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81421" w14:textId="1F039A82" w:rsidR="006C43D7" w:rsidRPr="008E2A22" w:rsidRDefault="00AD3D5D" w:rsidP="006F0330">
      <w:pPr>
        <w:spacing w:after="120" w:line="360" w:lineRule="auto"/>
        <w:jc w:val="center"/>
        <w:rPr>
          <w:rFonts w:cs="Arial"/>
          <w:b/>
          <w:bCs/>
          <w:sz w:val="21"/>
          <w:szCs w:val="21"/>
        </w:rPr>
      </w:pPr>
      <w:bookmarkStart w:id="0" w:name="_GoBack"/>
      <w:r w:rsidRPr="008E2A22">
        <w:rPr>
          <w:rFonts w:cs="Arial"/>
          <w:b/>
          <w:bCs/>
          <w:sz w:val="21"/>
          <w:szCs w:val="21"/>
        </w:rPr>
        <w:t xml:space="preserve"> </w:t>
      </w:r>
      <w:r w:rsidR="006C43D7" w:rsidRPr="008E2A22">
        <w:rPr>
          <w:rFonts w:cs="Arial"/>
          <w:b/>
          <w:bCs/>
          <w:noProof/>
          <w:sz w:val="21"/>
          <w:szCs w:val="21"/>
          <w:lang w:val="en-US"/>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2D1EC7" w:rsidRDefault="006C43D7" w:rsidP="00C74E97">
      <w:pPr>
        <w:spacing w:line="360" w:lineRule="auto"/>
        <w:jc w:val="center"/>
        <w:rPr>
          <w:rFonts w:cs="Arial"/>
          <w:b/>
          <w:szCs w:val="22"/>
        </w:rPr>
      </w:pPr>
      <w:r w:rsidRPr="002D1EC7">
        <w:rPr>
          <w:rFonts w:cs="Arial"/>
          <w:b/>
          <w:szCs w:val="22"/>
        </w:rPr>
        <w:t xml:space="preserve">IN THE HIGH COURT OF SOUTH AFRICA, </w:t>
      </w:r>
    </w:p>
    <w:p w14:paraId="566C4D1B" w14:textId="77777777" w:rsidR="006C43D7" w:rsidRPr="002D1EC7" w:rsidRDefault="006C43D7" w:rsidP="00C74E97">
      <w:pPr>
        <w:spacing w:line="360" w:lineRule="auto"/>
        <w:jc w:val="center"/>
        <w:rPr>
          <w:rFonts w:cs="Arial"/>
          <w:b/>
          <w:szCs w:val="22"/>
        </w:rPr>
      </w:pPr>
      <w:r w:rsidRPr="002D1EC7">
        <w:rPr>
          <w:rFonts w:cs="Arial"/>
          <w:b/>
          <w:szCs w:val="22"/>
        </w:rPr>
        <w:t>GAUTENG DIVISION, JOHANNESBURG</w:t>
      </w:r>
    </w:p>
    <w:p w14:paraId="13D6E83E" w14:textId="77777777" w:rsidR="006C43D7" w:rsidRPr="002D1EC7" w:rsidRDefault="006C43D7" w:rsidP="00C74E97">
      <w:pPr>
        <w:spacing w:line="360" w:lineRule="auto"/>
        <w:jc w:val="both"/>
        <w:rPr>
          <w:rFonts w:cs="Arial"/>
          <w:b/>
          <w:szCs w:val="22"/>
        </w:rPr>
      </w:pPr>
    </w:p>
    <w:p w14:paraId="0AF8DD38" w14:textId="1D6C1116" w:rsidR="006C43D7" w:rsidRPr="002D1EC7" w:rsidRDefault="00F913C7" w:rsidP="00C74E97">
      <w:pPr>
        <w:spacing w:line="360" w:lineRule="auto"/>
        <w:jc w:val="right"/>
        <w:rPr>
          <w:rFonts w:cs="Arial"/>
          <w:b/>
          <w:szCs w:val="22"/>
        </w:rPr>
      </w:pPr>
      <w:r w:rsidRPr="002D1EC7">
        <w:rPr>
          <w:rFonts w:cs="Arial"/>
          <w:b/>
          <w:szCs w:val="22"/>
        </w:rPr>
        <w:t xml:space="preserve">CASE NO: </w:t>
      </w:r>
      <w:r w:rsidR="002C4B84" w:rsidRPr="002D1EC7">
        <w:rPr>
          <w:rFonts w:cs="Arial"/>
          <w:noProof/>
          <w:szCs w:val="22"/>
          <w:lang w:val="en-US"/>
        </w:rPr>
        <mc:AlternateContent>
          <mc:Choice Requires="wps">
            <w:drawing>
              <wp:anchor distT="0" distB="0" distL="114300" distR="114300" simplePos="0" relativeHeight="251659264" behindDoc="0" locked="0" layoutInCell="1" allowOverlap="1" wp14:anchorId="2491E7FC" wp14:editId="052260DA">
                <wp:simplePos x="0" y="0"/>
                <wp:positionH relativeFrom="margin">
                  <wp:align>left</wp:align>
                </wp:positionH>
                <wp:positionV relativeFrom="paragraph">
                  <wp:posOffset>49530</wp:posOffset>
                </wp:positionV>
                <wp:extent cx="3314700" cy="1592580"/>
                <wp:effectExtent l="0" t="0" r="0" b="7620"/>
                <wp:wrapNone/>
                <wp:docPr id="124713278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580"/>
                        </a:xfrm>
                        <a:prstGeom prst="rect">
                          <a:avLst/>
                        </a:prstGeom>
                        <a:solidFill>
                          <a:srgbClr val="FFFFFF"/>
                        </a:solidFill>
                        <a:ln w="9525">
                          <a:solidFill>
                            <a:srgbClr val="000000"/>
                          </a:solidFill>
                          <a:miter lim="800000"/>
                          <a:headEnd/>
                          <a:tailEnd/>
                        </a:ln>
                      </wps:spPr>
                      <wps:txbx>
                        <w:txbxContent>
                          <w:p w14:paraId="0EA4B470" w14:textId="77777777" w:rsidR="00893C08" w:rsidRPr="008E2A22" w:rsidRDefault="00893C08" w:rsidP="006C43D7">
                            <w:pPr>
                              <w:jc w:val="center"/>
                              <w:rPr>
                                <w:rFonts w:ascii="Century Gothic" w:hAnsi="Century Gothic"/>
                                <w:b/>
                                <w:sz w:val="19"/>
                                <w:szCs w:val="19"/>
                              </w:rPr>
                            </w:pPr>
                          </w:p>
                          <w:p w14:paraId="01FDAE28" w14:textId="73F56704" w:rsidR="00893C08" w:rsidRPr="008E2A22" w:rsidRDefault="0091370E" w:rsidP="0091370E">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47251076" w:rsidR="00893C08" w:rsidRPr="008E2A22" w:rsidRDefault="0091370E" w:rsidP="0091370E">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F913C7" w:rsidRPr="008E2A22">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1E7FC" id="_x0000_t202" coordsize="21600,21600" o:spt="202" path="m,l,21600r21600,l21600,xe">
                <v:stroke joinstyle="miter"/>
                <v:path gradientshapeok="t" o:connecttype="rect"/>
              </v:shapetype>
              <v:shape id="Text Box 1" o:spid="_x0000_s1026" type="#_x0000_t202" style="position:absolute;left:0;text-align:left;margin-left:0;margin-top:3.9pt;width:261pt;height:12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">
                <v:textbox>
                  <w:txbxContent>
                    <w:p w14:paraId="0EA4B470" w14:textId="77777777" w:rsidR="00893C08" w:rsidRPr="008E2A22" w:rsidRDefault="00893C08" w:rsidP="006C43D7">
                      <w:pPr>
                        <w:jc w:val="center"/>
                        <w:rPr>
                          <w:rFonts w:ascii="Century Gothic" w:hAnsi="Century Gothic"/>
                          <w:b/>
                          <w:sz w:val="19"/>
                          <w:szCs w:val="19"/>
                        </w:rPr>
                      </w:pPr>
                    </w:p>
                    <w:p w14:paraId="01FDAE28" w14:textId="73F56704" w:rsidR="00893C08" w:rsidRPr="008E2A22" w:rsidRDefault="0091370E" w:rsidP="0091370E">
                      <w:pPr>
                        <w:tabs>
                          <w:tab w:val="left" w:pos="900"/>
                        </w:tabs>
                        <w:ind w:left="900" w:hanging="720"/>
                        <w:rPr>
                          <w:rFonts w:ascii="Century Gothic" w:hAnsi="Century Gothic"/>
                          <w:sz w:val="19"/>
                          <w:szCs w:val="19"/>
                        </w:rPr>
                      </w:pPr>
                      <w:r w:rsidRPr="008E2A22">
                        <w:rPr>
                          <w:rFonts w:ascii="Century Gothic" w:hAnsi="Century Gothic"/>
                          <w:sz w:val="19"/>
                          <w:szCs w:val="19"/>
                        </w:rPr>
                        <w:t>(1)</w:t>
                      </w:r>
                      <w:r w:rsidRPr="008E2A22">
                        <w:rPr>
                          <w:rFonts w:ascii="Century Gothic" w:hAnsi="Century Gothic"/>
                          <w:sz w:val="19"/>
                          <w:szCs w:val="19"/>
                        </w:rPr>
                        <w:tab/>
                      </w:r>
                      <w:r w:rsidR="00893C08" w:rsidRPr="008E2A22">
                        <w:rPr>
                          <w:rFonts w:ascii="Century Gothic" w:hAnsi="Century Gothic"/>
                          <w:sz w:val="19"/>
                          <w:szCs w:val="19"/>
                        </w:rPr>
                        <w:t xml:space="preserve">REPORTABLE: </w:t>
                      </w:r>
                      <w:r w:rsidR="004F5D23" w:rsidRPr="008E2A22">
                        <w:rPr>
                          <w:rFonts w:ascii="Century Gothic" w:hAnsi="Century Gothic"/>
                          <w:sz w:val="19"/>
                          <w:szCs w:val="19"/>
                        </w:rPr>
                        <w:t>NO</w:t>
                      </w:r>
                    </w:p>
                    <w:p w14:paraId="3A4C7296" w14:textId="47251076" w:rsidR="00893C08" w:rsidRPr="008E2A22" w:rsidRDefault="0091370E" w:rsidP="0091370E">
                      <w:pPr>
                        <w:tabs>
                          <w:tab w:val="left" w:pos="900"/>
                        </w:tabs>
                        <w:ind w:left="900" w:hanging="720"/>
                        <w:rPr>
                          <w:rFonts w:ascii="Century Gothic" w:hAnsi="Century Gothic"/>
                          <w:sz w:val="19"/>
                          <w:szCs w:val="19"/>
                        </w:rPr>
                      </w:pPr>
                      <w:r w:rsidRPr="008E2A22">
                        <w:rPr>
                          <w:rFonts w:ascii="Century Gothic" w:hAnsi="Century Gothic"/>
                          <w:sz w:val="19"/>
                          <w:szCs w:val="19"/>
                        </w:rPr>
                        <w:t>(2)</w:t>
                      </w:r>
                      <w:r w:rsidRPr="008E2A22">
                        <w:rPr>
                          <w:rFonts w:ascii="Century Gothic" w:hAnsi="Century Gothic"/>
                          <w:sz w:val="19"/>
                          <w:szCs w:val="19"/>
                        </w:rPr>
                        <w:tab/>
                      </w:r>
                      <w:r w:rsidR="00893C08" w:rsidRPr="008E2A22">
                        <w:rPr>
                          <w:rFonts w:ascii="Century Gothic" w:hAnsi="Century Gothic"/>
                          <w:sz w:val="19"/>
                          <w:szCs w:val="19"/>
                        </w:rPr>
                        <w:t xml:space="preserve">OF INTEREST TO OTHER JUDGES: </w:t>
                      </w:r>
                      <w:r w:rsidR="00F913C7" w:rsidRPr="008E2A22">
                        <w:rPr>
                          <w:rFonts w:ascii="Century Gothic" w:hAnsi="Century Gothic"/>
                          <w:sz w:val="19"/>
                          <w:szCs w:val="19"/>
                        </w:rPr>
                        <w:t>NO</w:t>
                      </w:r>
                    </w:p>
                    <w:p w14:paraId="1545E4B8" w14:textId="74255A93" w:rsidR="00CA0F98" w:rsidRPr="008E2A22" w:rsidRDefault="00CA0F98" w:rsidP="004479C3">
                      <w:pPr>
                        <w:rPr>
                          <w:rFonts w:ascii="Century Gothic" w:hAnsi="Century Gothic"/>
                          <w:sz w:val="19"/>
                          <w:szCs w:val="19"/>
                        </w:rPr>
                      </w:pPr>
                    </w:p>
                    <w:p w14:paraId="21D4A71B" w14:textId="5B58BFC8" w:rsidR="00893C08" w:rsidRPr="008E2A22" w:rsidRDefault="00893C08" w:rsidP="001D3CC2">
                      <w:pPr>
                        <w:ind w:left="180"/>
                        <w:rPr>
                          <w:rFonts w:ascii="Century Gothic" w:hAnsi="Century Gothic"/>
                          <w:sz w:val="19"/>
                          <w:szCs w:val="19"/>
                        </w:rPr>
                      </w:pPr>
                    </w:p>
                    <w:p w14:paraId="761B7CA4" w14:textId="77777777" w:rsidR="00893C08" w:rsidRPr="008E2A22" w:rsidRDefault="00893C08" w:rsidP="006C43D7">
                      <w:pPr>
                        <w:rPr>
                          <w:rFonts w:ascii="Century Gothic" w:hAnsi="Century Gothic"/>
                          <w:b/>
                          <w:sz w:val="17"/>
                          <w:szCs w:val="17"/>
                        </w:rPr>
                      </w:pPr>
                    </w:p>
                    <w:p w14:paraId="0EC4BA5C" w14:textId="61945B0D" w:rsidR="00893C08" w:rsidRPr="008E2A22" w:rsidRDefault="00893C08" w:rsidP="001D3CC2">
                      <w:pPr>
                        <w:keepNext/>
                        <w:tabs>
                          <w:tab w:val="right" w:pos="0"/>
                        </w:tabs>
                        <w:contextualSpacing/>
                        <w:jc w:val="center"/>
                        <w:rPr>
                          <w:rFonts w:cs="Arial"/>
                          <w:sz w:val="31"/>
                          <w:szCs w:val="31"/>
                        </w:rPr>
                      </w:pPr>
                      <w:r w:rsidRPr="008E2A22">
                        <w:rPr>
                          <w:rFonts w:ascii="Century Gothic" w:hAnsi="Century Gothic"/>
                          <w:b/>
                          <w:sz w:val="17"/>
                          <w:szCs w:val="17"/>
                        </w:rPr>
                        <w:t xml:space="preserve">                        </w:t>
                      </w:r>
                      <w:r w:rsidRPr="008E2A22">
                        <w:rPr>
                          <w:rFonts w:ascii="Century Gothic" w:hAnsi="Century Gothic"/>
                          <w:b/>
                          <w:sz w:val="31"/>
                          <w:szCs w:val="31"/>
                        </w:rPr>
                        <w:t xml:space="preserve">  </w:t>
                      </w:r>
                    </w:p>
                    <w:p w14:paraId="11AD3C7B" w14:textId="4114C951" w:rsidR="00893C08" w:rsidRPr="008E2A22" w:rsidRDefault="00893C08" w:rsidP="001D3CC2">
                      <w:pPr>
                        <w:rPr>
                          <w:rFonts w:ascii="Century Gothic" w:hAnsi="Century Gothic"/>
                          <w:sz w:val="17"/>
                          <w:szCs w:val="17"/>
                        </w:rPr>
                      </w:pPr>
                      <w:r w:rsidRPr="008E2A22">
                        <w:rPr>
                          <w:rFonts w:ascii="Century Gothic" w:hAnsi="Century Gothic"/>
                          <w:b/>
                          <w:sz w:val="17"/>
                          <w:szCs w:val="17"/>
                        </w:rPr>
                        <w:t xml:space="preserve">       </w:t>
                      </w:r>
                      <w:r w:rsidRPr="008E2A22">
                        <w:rPr>
                          <w:rFonts w:ascii="Century Gothic" w:hAnsi="Century Gothic"/>
                          <w:sz w:val="17"/>
                          <w:szCs w:val="17"/>
                        </w:rPr>
                        <w:t xml:space="preserve">            DATE</w:t>
                      </w:r>
                      <w:r w:rsidRPr="008E2A22">
                        <w:rPr>
                          <w:rFonts w:ascii="Century Gothic" w:hAnsi="Century Gothic"/>
                          <w:sz w:val="17"/>
                          <w:szCs w:val="17"/>
                        </w:rPr>
                        <w:tab/>
                      </w:r>
                      <w:r w:rsidRPr="008E2A22">
                        <w:rPr>
                          <w:rFonts w:ascii="Century Gothic" w:hAnsi="Century Gothic"/>
                          <w:sz w:val="17"/>
                          <w:szCs w:val="17"/>
                        </w:rPr>
                        <w:tab/>
                      </w:r>
                      <w:r w:rsidRPr="008E2A22">
                        <w:rPr>
                          <w:rFonts w:ascii="Century Gothic" w:hAnsi="Century Gothic"/>
                          <w:sz w:val="17"/>
                          <w:szCs w:val="17"/>
                        </w:rPr>
                        <w:tab/>
                        <w:t xml:space="preserve">        SIGNATURE</w:t>
                      </w:r>
                    </w:p>
                  </w:txbxContent>
                </v:textbox>
                <w10:wrap anchorx="margin"/>
              </v:shape>
            </w:pict>
          </mc:Fallback>
        </mc:AlternateContent>
      </w:r>
      <w:r w:rsidR="00236E47" w:rsidRPr="002D1EC7">
        <w:rPr>
          <w:rFonts w:cs="Arial"/>
          <w:b/>
          <w:szCs w:val="22"/>
        </w:rPr>
        <w:t>202</w:t>
      </w:r>
      <w:r w:rsidR="008A32BD" w:rsidRPr="002D1EC7">
        <w:rPr>
          <w:rFonts w:cs="Arial"/>
          <w:b/>
          <w:szCs w:val="22"/>
        </w:rPr>
        <w:t>2</w:t>
      </w:r>
      <w:r w:rsidR="00515FD8" w:rsidRPr="002D1EC7">
        <w:rPr>
          <w:rFonts w:cs="Arial"/>
          <w:b/>
          <w:szCs w:val="22"/>
        </w:rPr>
        <w:t xml:space="preserve"> - </w:t>
      </w:r>
      <w:r w:rsidR="004D692E" w:rsidRPr="002D1EC7">
        <w:rPr>
          <w:rFonts w:cs="Arial"/>
          <w:b/>
          <w:szCs w:val="22"/>
        </w:rPr>
        <w:t>055971</w:t>
      </w:r>
    </w:p>
    <w:p w14:paraId="084B5ECD" w14:textId="77777777" w:rsidR="006C43D7" w:rsidRPr="002D1EC7" w:rsidRDefault="006C43D7" w:rsidP="00C74E97">
      <w:pPr>
        <w:spacing w:line="360" w:lineRule="auto"/>
        <w:jc w:val="both"/>
        <w:rPr>
          <w:rFonts w:cs="Arial"/>
          <w:szCs w:val="22"/>
        </w:rPr>
      </w:pPr>
    </w:p>
    <w:p w14:paraId="4E808D74" w14:textId="77777777" w:rsidR="006C43D7" w:rsidRPr="002D1EC7" w:rsidRDefault="006C43D7" w:rsidP="00C74E97">
      <w:pPr>
        <w:spacing w:line="360" w:lineRule="auto"/>
        <w:jc w:val="both"/>
        <w:rPr>
          <w:rFonts w:cs="Arial"/>
          <w:szCs w:val="22"/>
        </w:rPr>
      </w:pPr>
    </w:p>
    <w:p w14:paraId="34BF70B6" w14:textId="77777777" w:rsidR="006C43D7" w:rsidRPr="002D1EC7" w:rsidRDefault="006C43D7" w:rsidP="00C74E97">
      <w:pPr>
        <w:spacing w:line="360" w:lineRule="auto"/>
        <w:jc w:val="both"/>
        <w:rPr>
          <w:rFonts w:cs="Arial"/>
          <w:szCs w:val="22"/>
        </w:rPr>
      </w:pPr>
    </w:p>
    <w:p w14:paraId="2F53BA3A" w14:textId="7CE26CA8" w:rsidR="006C43D7" w:rsidRPr="002D1EC7" w:rsidRDefault="00C56E55" w:rsidP="00C74E97">
      <w:pPr>
        <w:spacing w:line="360" w:lineRule="auto"/>
        <w:jc w:val="both"/>
        <w:rPr>
          <w:rFonts w:cs="Arial"/>
          <w:szCs w:val="22"/>
        </w:rPr>
      </w:pPr>
      <w:r w:rsidRPr="002D1EC7">
        <w:rPr>
          <w:rFonts w:cs="Arial"/>
          <w:szCs w:val="22"/>
        </w:rPr>
        <w:t xml:space="preserve">                        </w:t>
      </w:r>
    </w:p>
    <w:p w14:paraId="3A1C212E" w14:textId="77777777" w:rsidR="006C43D7" w:rsidRPr="002D1EC7" w:rsidRDefault="006C43D7" w:rsidP="00C74E97">
      <w:pPr>
        <w:spacing w:line="360" w:lineRule="auto"/>
        <w:jc w:val="both"/>
        <w:rPr>
          <w:rFonts w:cs="Arial"/>
          <w:szCs w:val="22"/>
        </w:rPr>
      </w:pPr>
    </w:p>
    <w:p w14:paraId="04919B1B" w14:textId="77777777" w:rsidR="001D3CC2" w:rsidRPr="002D1EC7" w:rsidRDefault="001D3CC2" w:rsidP="00C74E97">
      <w:pPr>
        <w:spacing w:line="360" w:lineRule="auto"/>
        <w:jc w:val="both"/>
        <w:rPr>
          <w:rFonts w:cs="Arial"/>
          <w:szCs w:val="22"/>
        </w:rPr>
      </w:pPr>
    </w:p>
    <w:p w14:paraId="045D3852" w14:textId="77777777" w:rsidR="00E57446" w:rsidRPr="002D1EC7" w:rsidRDefault="00E57446" w:rsidP="00C74E97">
      <w:pPr>
        <w:spacing w:line="360" w:lineRule="auto"/>
        <w:jc w:val="both"/>
        <w:rPr>
          <w:rFonts w:cs="Arial"/>
          <w:szCs w:val="22"/>
        </w:rPr>
      </w:pPr>
    </w:p>
    <w:p w14:paraId="2804C32A" w14:textId="6C8D50AF" w:rsidR="00E57446" w:rsidRPr="002D1EC7" w:rsidRDefault="00E57446" w:rsidP="00C74E97">
      <w:pPr>
        <w:spacing w:line="360" w:lineRule="auto"/>
        <w:jc w:val="both"/>
        <w:rPr>
          <w:rFonts w:cs="Arial"/>
          <w:szCs w:val="22"/>
        </w:rPr>
      </w:pPr>
      <w:r w:rsidRPr="002D1EC7">
        <w:rPr>
          <w:rFonts w:cs="Arial"/>
          <w:szCs w:val="22"/>
        </w:rPr>
        <w:t>In the application by</w:t>
      </w:r>
    </w:p>
    <w:p w14:paraId="4521E045" w14:textId="77777777" w:rsidR="00D33A54" w:rsidRPr="002D1EC7" w:rsidRDefault="00D33A54" w:rsidP="00C74E97">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23"/>
        <w:gridCol w:w="2318"/>
      </w:tblGrid>
      <w:tr w:rsidR="00E57446" w:rsidRPr="002D1EC7" w14:paraId="4CBFF906" w14:textId="77777777" w:rsidTr="00430142">
        <w:tc>
          <w:tcPr>
            <w:tcW w:w="6223" w:type="dxa"/>
          </w:tcPr>
          <w:p w14:paraId="07466740" w14:textId="799F929F" w:rsidR="004D692E" w:rsidRPr="002D1EC7" w:rsidRDefault="004D692E" w:rsidP="004D692E">
            <w:pPr>
              <w:tabs>
                <w:tab w:val="right" w:pos="9070"/>
              </w:tabs>
              <w:spacing w:before="120" w:after="120"/>
              <w:rPr>
                <w:rFonts w:cs="Arial"/>
                <w:b/>
                <w:szCs w:val="22"/>
              </w:rPr>
            </w:pPr>
            <w:r w:rsidRPr="002D1EC7">
              <w:rPr>
                <w:rFonts w:cs="Arial"/>
                <w:b/>
                <w:szCs w:val="22"/>
              </w:rPr>
              <w:t xml:space="preserve">JOHANNESBURG ROAD AGENCY </w:t>
            </w:r>
            <w:r w:rsidR="00757143">
              <w:rPr>
                <w:rFonts w:cs="Arial"/>
                <w:b/>
                <w:szCs w:val="22"/>
              </w:rPr>
              <w:t xml:space="preserve">(PTY) </w:t>
            </w:r>
            <w:r w:rsidRPr="002D1EC7">
              <w:rPr>
                <w:rFonts w:cs="Arial"/>
                <w:b/>
                <w:szCs w:val="22"/>
              </w:rPr>
              <w:t>LTD</w:t>
            </w:r>
          </w:p>
        </w:tc>
        <w:tc>
          <w:tcPr>
            <w:tcW w:w="2318" w:type="dxa"/>
          </w:tcPr>
          <w:p w14:paraId="32F3C456" w14:textId="27534787" w:rsidR="00E57446" w:rsidRPr="002D1EC7" w:rsidRDefault="004D692E" w:rsidP="004D692E">
            <w:pPr>
              <w:spacing w:before="120" w:after="120"/>
              <w:rPr>
                <w:rFonts w:cs="Arial"/>
                <w:szCs w:val="22"/>
              </w:rPr>
            </w:pPr>
            <w:r w:rsidRPr="002D1EC7">
              <w:rPr>
                <w:rFonts w:cs="Arial"/>
                <w:szCs w:val="22"/>
              </w:rPr>
              <w:t xml:space="preserve">First </w:t>
            </w:r>
            <w:r w:rsidR="003031A1" w:rsidRPr="002D1EC7">
              <w:rPr>
                <w:rFonts w:cs="Arial"/>
                <w:szCs w:val="22"/>
              </w:rPr>
              <w:t>Applicant</w:t>
            </w:r>
          </w:p>
        </w:tc>
      </w:tr>
      <w:tr w:rsidR="004D692E" w:rsidRPr="002D1EC7" w14:paraId="5A40BF28" w14:textId="77777777" w:rsidTr="00430142">
        <w:tc>
          <w:tcPr>
            <w:tcW w:w="6223" w:type="dxa"/>
          </w:tcPr>
          <w:p w14:paraId="59227E71" w14:textId="4C94C7BE" w:rsidR="004D692E" w:rsidRPr="002D1EC7" w:rsidRDefault="004D692E" w:rsidP="004D692E">
            <w:pPr>
              <w:tabs>
                <w:tab w:val="right" w:pos="9026"/>
              </w:tabs>
              <w:spacing w:before="120" w:after="120"/>
              <w:rPr>
                <w:rFonts w:cs="Arial"/>
                <w:b/>
                <w:bCs/>
                <w:szCs w:val="22"/>
              </w:rPr>
            </w:pPr>
            <w:r w:rsidRPr="002D1EC7">
              <w:rPr>
                <w:rFonts w:cs="Arial"/>
                <w:b/>
                <w:bCs/>
                <w:szCs w:val="22"/>
              </w:rPr>
              <w:t>CITY OF JOHANNESBURG METROPOLITAN MUNICIPALITY</w:t>
            </w:r>
          </w:p>
        </w:tc>
        <w:tc>
          <w:tcPr>
            <w:tcW w:w="2318" w:type="dxa"/>
          </w:tcPr>
          <w:p w14:paraId="1B59ACA4" w14:textId="14C85A7D" w:rsidR="004D692E" w:rsidRPr="002D1EC7" w:rsidRDefault="004D692E" w:rsidP="004D692E">
            <w:pPr>
              <w:spacing w:before="120" w:after="120"/>
              <w:rPr>
                <w:rFonts w:cs="Arial"/>
                <w:szCs w:val="22"/>
              </w:rPr>
            </w:pPr>
            <w:r w:rsidRPr="002D1EC7">
              <w:rPr>
                <w:rFonts w:cs="Arial"/>
                <w:szCs w:val="22"/>
              </w:rPr>
              <w:t>Second Applicant</w:t>
            </w:r>
          </w:p>
        </w:tc>
      </w:tr>
      <w:tr w:rsidR="00E57446" w:rsidRPr="002D1EC7" w14:paraId="582D8E94" w14:textId="77777777" w:rsidTr="00430142">
        <w:tc>
          <w:tcPr>
            <w:tcW w:w="6223" w:type="dxa"/>
          </w:tcPr>
          <w:p w14:paraId="7BC13697" w14:textId="58372611" w:rsidR="00E37B97" w:rsidRPr="002D1EC7" w:rsidRDefault="007B275E" w:rsidP="004D692E">
            <w:pPr>
              <w:tabs>
                <w:tab w:val="right" w:pos="9026"/>
              </w:tabs>
              <w:spacing w:before="120" w:after="120"/>
              <w:rPr>
                <w:rFonts w:cs="Arial"/>
                <w:b/>
                <w:bCs/>
                <w:szCs w:val="22"/>
              </w:rPr>
            </w:pPr>
            <w:r w:rsidRPr="002D1EC7">
              <w:rPr>
                <w:rFonts w:cs="Arial"/>
                <w:b/>
                <w:bCs/>
                <w:szCs w:val="22"/>
              </w:rPr>
              <w:t>A</w:t>
            </w:r>
            <w:r w:rsidR="001F361F" w:rsidRPr="002D1EC7">
              <w:rPr>
                <w:rFonts w:cs="Arial"/>
                <w:b/>
                <w:bCs/>
                <w:szCs w:val="22"/>
              </w:rPr>
              <w:t>nd</w:t>
            </w:r>
          </w:p>
        </w:tc>
        <w:tc>
          <w:tcPr>
            <w:tcW w:w="2318" w:type="dxa"/>
          </w:tcPr>
          <w:p w14:paraId="3E582FC6" w14:textId="6D3E836F" w:rsidR="00E57446" w:rsidRPr="002D1EC7" w:rsidRDefault="00E57446" w:rsidP="004D692E">
            <w:pPr>
              <w:spacing w:before="120" w:after="120"/>
              <w:rPr>
                <w:rFonts w:cs="Arial"/>
                <w:szCs w:val="22"/>
              </w:rPr>
            </w:pPr>
          </w:p>
        </w:tc>
      </w:tr>
      <w:tr w:rsidR="000F00EF" w:rsidRPr="002D1EC7" w14:paraId="72126C43" w14:textId="77777777" w:rsidTr="00430142">
        <w:tc>
          <w:tcPr>
            <w:tcW w:w="6223" w:type="dxa"/>
          </w:tcPr>
          <w:p w14:paraId="35C8FDE9" w14:textId="43B19B5E" w:rsidR="00E37B97" w:rsidRPr="002D1EC7" w:rsidRDefault="004D692E" w:rsidP="004D692E">
            <w:pPr>
              <w:tabs>
                <w:tab w:val="right" w:pos="9070"/>
              </w:tabs>
              <w:spacing w:before="120" w:after="120"/>
              <w:rPr>
                <w:rFonts w:cs="Arial"/>
                <w:b/>
                <w:bCs/>
                <w:szCs w:val="22"/>
              </w:rPr>
            </w:pPr>
            <w:r w:rsidRPr="002D1EC7">
              <w:rPr>
                <w:rFonts w:cs="Arial"/>
                <w:b/>
                <w:bCs/>
                <w:szCs w:val="22"/>
              </w:rPr>
              <w:t>PK RAMASHU JV</w:t>
            </w:r>
          </w:p>
        </w:tc>
        <w:tc>
          <w:tcPr>
            <w:tcW w:w="2318" w:type="dxa"/>
          </w:tcPr>
          <w:p w14:paraId="7AC1A636" w14:textId="632A3362" w:rsidR="000F00EF" w:rsidRPr="002D1EC7" w:rsidRDefault="004D692E" w:rsidP="004D692E">
            <w:pPr>
              <w:spacing w:before="120" w:after="120"/>
              <w:rPr>
                <w:rFonts w:cs="Arial"/>
                <w:szCs w:val="22"/>
              </w:rPr>
            </w:pPr>
            <w:r w:rsidRPr="002D1EC7">
              <w:rPr>
                <w:rFonts w:cs="Arial"/>
                <w:szCs w:val="22"/>
              </w:rPr>
              <w:t xml:space="preserve">First </w:t>
            </w:r>
            <w:r w:rsidR="003031A1" w:rsidRPr="002D1EC7">
              <w:rPr>
                <w:rFonts w:cs="Arial"/>
                <w:szCs w:val="22"/>
              </w:rPr>
              <w:t>Respondent</w:t>
            </w:r>
          </w:p>
        </w:tc>
      </w:tr>
      <w:tr w:rsidR="000F00EF" w:rsidRPr="002D1EC7" w14:paraId="5E2E11F1" w14:textId="77777777" w:rsidTr="00430142">
        <w:tc>
          <w:tcPr>
            <w:tcW w:w="6223" w:type="dxa"/>
          </w:tcPr>
          <w:p w14:paraId="3E1783E7" w14:textId="50C364AD" w:rsidR="008A32BD" w:rsidRPr="002D1EC7" w:rsidRDefault="004D692E" w:rsidP="004D692E">
            <w:pPr>
              <w:tabs>
                <w:tab w:val="right" w:pos="9070"/>
              </w:tabs>
              <w:spacing w:before="120" w:after="120"/>
              <w:rPr>
                <w:rFonts w:cs="Arial"/>
                <w:b/>
                <w:bCs/>
                <w:szCs w:val="22"/>
              </w:rPr>
            </w:pPr>
            <w:r w:rsidRPr="002D1EC7">
              <w:rPr>
                <w:rFonts w:cs="Arial"/>
                <w:b/>
                <w:bCs/>
                <w:szCs w:val="22"/>
              </w:rPr>
              <w:t>28 OTHER RESPONDENTS</w:t>
            </w:r>
          </w:p>
        </w:tc>
        <w:tc>
          <w:tcPr>
            <w:tcW w:w="2318" w:type="dxa"/>
          </w:tcPr>
          <w:p w14:paraId="272C00F9" w14:textId="3DD3578D" w:rsidR="00430142" w:rsidRPr="002D1EC7" w:rsidRDefault="004D692E" w:rsidP="004D692E">
            <w:pPr>
              <w:spacing w:before="120" w:after="120"/>
              <w:rPr>
                <w:rFonts w:cs="Arial"/>
                <w:szCs w:val="22"/>
              </w:rPr>
            </w:pPr>
            <w:r w:rsidRPr="002D1EC7">
              <w:rPr>
                <w:rFonts w:cs="Arial"/>
                <w:szCs w:val="22"/>
              </w:rPr>
              <w:t>Second to Twenty-Eighth Respondent</w:t>
            </w:r>
          </w:p>
        </w:tc>
      </w:tr>
    </w:tbl>
    <w:p w14:paraId="67781CE9" w14:textId="77777777" w:rsidR="0023405C" w:rsidRPr="002D1EC7" w:rsidRDefault="0023405C" w:rsidP="00C74E97">
      <w:pPr>
        <w:pBdr>
          <w:bottom w:val="single" w:sz="4" w:space="1" w:color="auto"/>
        </w:pBdr>
        <w:spacing w:line="360" w:lineRule="auto"/>
        <w:jc w:val="both"/>
        <w:rPr>
          <w:rFonts w:cs="Arial"/>
          <w:szCs w:val="22"/>
        </w:rPr>
      </w:pPr>
    </w:p>
    <w:p w14:paraId="58DE5549" w14:textId="77777777" w:rsidR="006C43D7" w:rsidRPr="002D1EC7" w:rsidRDefault="006C43D7" w:rsidP="00C74E97">
      <w:pPr>
        <w:spacing w:line="360" w:lineRule="auto"/>
        <w:jc w:val="both"/>
        <w:rPr>
          <w:rFonts w:cs="Arial"/>
          <w:szCs w:val="22"/>
        </w:rPr>
      </w:pPr>
    </w:p>
    <w:p w14:paraId="647AB70C" w14:textId="77777777" w:rsidR="006C43D7" w:rsidRPr="002D1EC7" w:rsidRDefault="006C43D7" w:rsidP="00C74E97">
      <w:pPr>
        <w:keepNext/>
        <w:spacing w:line="360" w:lineRule="auto"/>
        <w:jc w:val="center"/>
        <w:outlineLvl w:val="1"/>
        <w:rPr>
          <w:rFonts w:cs="Arial"/>
          <w:b/>
          <w:bCs/>
          <w:szCs w:val="22"/>
        </w:rPr>
      </w:pPr>
      <w:r w:rsidRPr="002D1EC7">
        <w:rPr>
          <w:rFonts w:cs="Arial"/>
          <w:b/>
          <w:bCs/>
          <w:szCs w:val="22"/>
        </w:rPr>
        <w:t>JUDGMENT</w:t>
      </w:r>
    </w:p>
    <w:p w14:paraId="52CD25EB" w14:textId="77777777" w:rsidR="006C43D7" w:rsidRPr="002D1EC7" w:rsidRDefault="006C43D7" w:rsidP="00C74E97">
      <w:pPr>
        <w:pBdr>
          <w:bottom w:val="single" w:sz="4" w:space="1" w:color="auto"/>
        </w:pBdr>
        <w:spacing w:line="360" w:lineRule="auto"/>
        <w:jc w:val="both"/>
        <w:rPr>
          <w:rFonts w:cs="Arial"/>
          <w:szCs w:val="22"/>
        </w:rPr>
      </w:pPr>
    </w:p>
    <w:p w14:paraId="2FFFE5A8" w14:textId="77777777" w:rsidR="0040197A" w:rsidRPr="002D1EC7" w:rsidRDefault="0040197A" w:rsidP="00C74E97">
      <w:pPr>
        <w:spacing w:after="480" w:line="360" w:lineRule="auto"/>
        <w:jc w:val="both"/>
        <w:rPr>
          <w:rFonts w:cs="Arial"/>
          <w:b/>
          <w:szCs w:val="22"/>
        </w:rPr>
      </w:pPr>
    </w:p>
    <w:p w14:paraId="5BD82EFE" w14:textId="147D8FBC" w:rsidR="00BE6AB8" w:rsidRPr="002D1EC7" w:rsidRDefault="00C676F3" w:rsidP="00C74E97">
      <w:pPr>
        <w:spacing w:after="480" w:line="360" w:lineRule="auto"/>
        <w:jc w:val="both"/>
        <w:rPr>
          <w:rFonts w:cs="Arial"/>
          <w:b/>
          <w:szCs w:val="22"/>
        </w:rPr>
      </w:pPr>
      <w:r w:rsidRPr="002D1EC7">
        <w:rPr>
          <w:rFonts w:cs="Arial"/>
          <w:b/>
          <w:szCs w:val="22"/>
        </w:rPr>
        <w:t>MOORCROFT</w:t>
      </w:r>
      <w:r w:rsidR="006C43D7" w:rsidRPr="002D1EC7">
        <w:rPr>
          <w:rFonts w:cs="Arial"/>
          <w:b/>
          <w:szCs w:val="22"/>
        </w:rPr>
        <w:t xml:space="preserve"> AJ:</w:t>
      </w:r>
    </w:p>
    <w:p w14:paraId="5B9302F1" w14:textId="4DE0F352" w:rsidR="001F361F" w:rsidRPr="002D1EC7" w:rsidRDefault="00C460A0" w:rsidP="00C74E97">
      <w:pPr>
        <w:keepNext/>
        <w:spacing w:after="480" w:line="360" w:lineRule="auto"/>
        <w:jc w:val="both"/>
        <w:rPr>
          <w:rFonts w:cs="Arial"/>
          <w:bCs/>
          <w:i/>
          <w:iCs/>
          <w:szCs w:val="22"/>
          <w:u w:val="single"/>
        </w:rPr>
      </w:pPr>
      <w:r w:rsidRPr="002D1EC7">
        <w:rPr>
          <w:rFonts w:cs="Arial"/>
          <w:bCs/>
          <w:i/>
          <w:iCs/>
          <w:szCs w:val="22"/>
          <w:u w:val="single"/>
        </w:rPr>
        <w:lastRenderedPageBreak/>
        <w:t>Summar</w:t>
      </w:r>
      <w:r w:rsidR="00026A26">
        <w:rPr>
          <w:rFonts w:cs="Arial"/>
          <w:bCs/>
          <w:i/>
          <w:iCs/>
          <w:szCs w:val="22"/>
          <w:u w:val="single"/>
        </w:rPr>
        <w:t>y</w:t>
      </w:r>
    </w:p>
    <w:p w14:paraId="5ABA4249" w14:textId="115AFE29" w:rsidR="00D33A54" w:rsidRPr="002D1EC7" w:rsidRDefault="0015238F" w:rsidP="00C74E97">
      <w:pPr>
        <w:keepNext/>
        <w:spacing w:after="480" w:line="360" w:lineRule="auto"/>
        <w:jc w:val="both"/>
        <w:rPr>
          <w:rFonts w:cs="Arial"/>
          <w:bCs/>
          <w:i/>
          <w:iCs/>
          <w:szCs w:val="22"/>
        </w:rPr>
      </w:pPr>
      <w:r w:rsidRPr="002D1EC7">
        <w:rPr>
          <w:rFonts w:cs="Arial"/>
          <w:bCs/>
          <w:i/>
          <w:iCs/>
          <w:szCs w:val="22"/>
        </w:rPr>
        <w:t xml:space="preserve">Rule 35(12) of Uniform Rules – </w:t>
      </w:r>
      <w:r w:rsidR="00026A26">
        <w:rPr>
          <w:rFonts w:cs="Arial"/>
          <w:bCs/>
          <w:i/>
          <w:iCs/>
          <w:szCs w:val="22"/>
        </w:rPr>
        <w:t xml:space="preserve"> discovery of documents referred to in affidavits or pleadings – court will not go behind the response to the notice except under exceptional circumstances – documents sought must identifiable – application dismissed</w:t>
      </w:r>
    </w:p>
    <w:p w14:paraId="18AFD427" w14:textId="7B3D0B7D" w:rsidR="00BE6AB8" w:rsidRPr="002D1EC7" w:rsidRDefault="00BE6AB8" w:rsidP="00C74E97">
      <w:pPr>
        <w:keepNext/>
        <w:spacing w:after="480" w:line="360" w:lineRule="auto"/>
        <w:jc w:val="both"/>
        <w:rPr>
          <w:rFonts w:cs="Arial"/>
          <w:bCs/>
          <w:szCs w:val="22"/>
          <w:u w:val="single"/>
        </w:rPr>
      </w:pPr>
      <w:r w:rsidRPr="002D1EC7">
        <w:rPr>
          <w:rFonts w:cs="Arial"/>
          <w:bCs/>
          <w:szCs w:val="22"/>
          <w:u w:val="single"/>
        </w:rPr>
        <w:t>Order</w:t>
      </w:r>
    </w:p>
    <w:p w14:paraId="63515C87" w14:textId="5E38E138" w:rsidR="004E3D0E" w:rsidRPr="002D1EC7" w:rsidRDefault="0091370E" w:rsidP="0091370E">
      <w:pPr>
        <w:tabs>
          <w:tab w:val="left" w:pos="567"/>
        </w:tabs>
        <w:spacing w:after="480" w:line="360" w:lineRule="auto"/>
        <w:jc w:val="both"/>
        <w:rPr>
          <w:rFonts w:cs="Arial"/>
          <w:i/>
          <w:iCs/>
          <w:szCs w:val="22"/>
        </w:rPr>
      </w:pPr>
      <w:r w:rsidRPr="002D1EC7">
        <w:rPr>
          <w:rFonts w:cs="Arial"/>
          <w:iCs/>
          <w:szCs w:val="22"/>
        </w:rPr>
        <w:t>[1]</w:t>
      </w:r>
      <w:r w:rsidRPr="002D1EC7">
        <w:rPr>
          <w:rFonts w:cs="Arial"/>
          <w:iCs/>
          <w:szCs w:val="22"/>
        </w:rPr>
        <w:tab/>
      </w:r>
      <w:r w:rsidR="003B4100" w:rsidRPr="002D1EC7">
        <w:rPr>
          <w:rFonts w:cs="Arial"/>
          <w:bCs/>
          <w:szCs w:val="22"/>
        </w:rPr>
        <w:t xml:space="preserve">In this </w:t>
      </w:r>
      <w:r w:rsidR="00B56906" w:rsidRPr="002D1EC7">
        <w:rPr>
          <w:rFonts w:cs="Arial"/>
          <w:bCs/>
          <w:szCs w:val="22"/>
        </w:rPr>
        <w:t xml:space="preserve">matter </w:t>
      </w:r>
      <w:r w:rsidR="00C460A0" w:rsidRPr="002D1EC7">
        <w:rPr>
          <w:rFonts w:cs="Arial"/>
          <w:bCs/>
          <w:szCs w:val="22"/>
        </w:rPr>
        <w:t>I ma</w:t>
      </w:r>
      <w:r w:rsidR="000976D2" w:rsidRPr="002D1EC7">
        <w:rPr>
          <w:rFonts w:cs="Arial"/>
          <w:bCs/>
          <w:szCs w:val="22"/>
        </w:rPr>
        <w:t>k</w:t>
      </w:r>
      <w:r w:rsidR="00DC6EF8" w:rsidRPr="002D1EC7">
        <w:rPr>
          <w:rFonts w:cs="Arial"/>
          <w:bCs/>
          <w:szCs w:val="22"/>
        </w:rPr>
        <w:t>e</w:t>
      </w:r>
      <w:r w:rsidR="00C460A0" w:rsidRPr="002D1EC7">
        <w:rPr>
          <w:rFonts w:cs="Arial"/>
          <w:bCs/>
          <w:szCs w:val="22"/>
        </w:rPr>
        <w:t xml:space="preserve"> the following order</w:t>
      </w:r>
      <w:r w:rsidR="000976D2" w:rsidRPr="002D1EC7">
        <w:rPr>
          <w:rFonts w:cs="Arial"/>
          <w:bCs/>
          <w:szCs w:val="22"/>
        </w:rPr>
        <w:t>:</w:t>
      </w:r>
    </w:p>
    <w:p w14:paraId="763B6041" w14:textId="3625ABB4" w:rsidR="004D692E" w:rsidRPr="0091370E" w:rsidRDefault="0091370E" w:rsidP="0091370E">
      <w:pPr>
        <w:spacing w:after="480" w:line="360" w:lineRule="auto"/>
        <w:ind w:left="720" w:hanging="360"/>
        <w:jc w:val="both"/>
        <w:rPr>
          <w:rFonts w:cs="Arial"/>
          <w:i/>
          <w:iCs/>
          <w:szCs w:val="22"/>
        </w:rPr>
      </w:pPr>
      <w:r w:rsidRPr="002D1EC7">
        <w:rPr>
          <w:rFonts w:cs="Arial"/>
          <w:i/>
          <w:iCs/>
          <w:szCs w:val="22"/>
        </w:rPr>
        <w:t>1.</w:t>
      </w:r>
      <w:r w:rsidRPr="002D1EC7">
        <w:rPr>
          <w:rFonts w:cs="Arial"/>
          <w:i/>
          <w:iCs/>
          <w:szCs w:val="22"/>
        </w:rPr>
        <w:tab/>
      </w:r>
      <w:r w:rsidR="00C0236E" w:rsidRPr="0091370E">
        <w:rPr>
          <w:rFonts w:cs="Arial"/>
          <w:i/>
          <w:iCs/>
          <w:szCs w:val="22"/>
        </w:rPr>
        <w:t>The application is dismissed;</w:t>
      </w:r>
    </w:p>
    <w:p w14:paraId="27F3599D" w14:textId="2F438709" w:rsidR="00A040E3" w:rsidRPr="0091370E" w:rsidRDefault="0091370E" w:rsidP="0091370E">
      <w:pPr>
        <w:spacing w:after="480" w:line="360" w:lineRule="auto"/>
        <w:ind w:left="720" w:hanging="360"/>
        <w:jc w:val="both"/>
        <w:rPr>
          <w:rFonts w:cs="Arial"/>
          <w:i/>
          <w:iCs/>
          <w:szCs w:val="22"/>
        </w:rPr>
      </w:pPr>
      <w:r w:rsidRPr="002D1EC7">
        <w:rPr>
          <w:rFonts w:cs="Arial"/>
          <w:i/>
          <w:iCs/>
          <w:szCs w:val="22"/>
        </w:rPr>
        <w:t>2.</w:t>
      </w:r>
      <w:r w:rsidRPr="002D1EC7">
        <w:rPr>
          <w:rFonts w:cs="Arial"/>
          <w:i/>
          <w:iCs/>
          <w:szCs w:val="22"/>
        </w:rPr>
        <w:tab/>
      </w:r>
      <w:r w:rsidR="00C0236E" w:rsidRPr="0091370E">
        <w:rPr>
          <w:rFonts w:cs="Arial"/>
          <w:i/>
          <w:iCs/>
          <w:szCs w:val="22"/>
        </w:rPr>
        <w:t>The first respondent is ordered to pay the costs of the applicant</w:t>
      </w:r>
      <w:r w:rsidR="0075204D" w:rsidRPr="0091370E">
        <w:rPr>
          <w:rFonts w:cs="Arial"/>
          <w:i/>
          <w:iCs/>
          <w:szCs w:val="22"/>
        </w:rPr>
        <w:t>s</w:t>
      </w:r>
      <w:r w:rsidR="00C0236E" w:rsidRPr="0091370E">
        <w:rPr>
          <w:rFonts w:cs="Arial"/>
          <w:i/>
          <w:iCs/>
          <w:szCs w:val="22"/>
        </w:rPr>
        <w:t xml:space="preserve"> </w:t>
      </w:r>
      <w:r w:rsidR="00A040E3" w:rsidRPr="0091370E">
        <w:rPr>
          <w:rFonts w:cs="Arial"/>
          <w:i/>
          <w:iCs/>
          <w:szCs w:val="22"/>
        </w:rPr>
        <w:t xml:space="preserve">in respect of the notice of motion </w:t>
      </w:r>
      <w:r w:rsidR="00C42D18" w:rsidRPr="0091370E">
        <w:rPr>
          <w:rFonts w:cs="Arial"/>
          <w:i/>
          <w:iCs/>
          <w:szCs w:val="22"/>
        </w:rPr>
        <w:t xml:space="preserve">and the founding affidavit </w:t>
      </w:r>
      <w:r w:rsidR="00A040E3" w:rsidRPr="0091370E">
        <w:rPr>
          <w:rFonts w:cs="Arial"/>
          <w:i/>
          <w:iCs/>
          <w:szCs w:val="22"/>
        </w:rPr>
        <w:t>in the interlocutory application to compel</w:t>
      </w:r>
      <w:r w:rsidR="00C52108" w:rsidRPr="0091370E">
        <w:rPr>
          <w:rFonts w:cs="Arial"/>
          <w:i/>
          <w:iCs/>
          <w:szCs w:val="22"/>
        </w:rPr>
        <w:t>;</w:t>
      </w:r>
    </w:p>
    <w:p w14:paraId="376C178A" w14:textId="0CA67DF7" w:rsidR="00A040E3" w:rsidRPr="0091370E" w:rsidRDefault="0091370E" w:rsidP="0091370E">
      <w:pPr>
        <w:spacing w:after="480" w:line="360" w:lineRule="auto"/>
        <w:ind w:left="720" w:hanging="360"/>
        <w:jc w:val="both"/>
        <w:rPr>
          <w:rFonts w:cs="Arial"/>
          <w:i/>
          <w:iCs/>
          <w:szCs w:val="22"/>
        </w:rPr>
      </w:pPr>
      <w:r w:rsidRPr="002D1EC7">
        <w:rPr>
          <w:rFonts w:cs="Arial"/>
          <w:i/>
          <w:iCs/>
          <w:szCs w:val="22"/>
        </w:rPr>
        <w:t>3.</w:t>
      </w:r>
      <w:r w:rsidRPr="002D1EC7">
        <w:rPr>
          <w:rFonts w:cs="Arial"/>
          <w:i/>
          <w:iCs/>
          <w:szCs w:val="22"/>
        </w:rPr>
        <w:tab/>
      </w:r>
      <w:r w:rsidR="00A040E3" w:rsidRPr="0091370E">
        <w:rPr>
          <w:rFonts w:cs="Arial"/>
          <w:i/>
          <w:iCs/>
          <w:szCs w:val="22"/>
        </w:rPr>
        <w:t xml:space="preserve">The applicants are ordered to pay the costs of the first respondent in respect of all costs incurred by the first respondent in respect of the affidavit opposing the application to compel and subsequently up to and including </w:t>
      </w:r>
      <w:r w:rsidR="00C42D18" w:rsidRPr="0091370E">
        <w:rPr>
          <w:rFonts w:cs="Arial"/>
          <w:i/>
          <w:iCs/>
          <w:szCs w:val="22"/>
        </w:rPr>
        <w:t xml:space="preserve">appearance and </w:t>
      </w:r>
      <w:r w:rsidR="00A040E3" w:rsidRPr="0091370E">
        <w:rPr>
          <w:rFonts w:cs="Arial"/>
          <w:i/>
          <w:iCs/>
          <w:szCs w:val="22"/>
        </w:rPr>
        <w:t xml:space="preserve">argument, </w:t>
      </w:r>
      <w:r w:rsidR="00C52108" w:rsidRPr="0091370E">
        <w:rPr>
          <w:rFonts w:cs="Arial"/>
          <w:i/>
          <w:iCs/>
          <w:szCs w:val="22"/>
        </w:rPr>
        <w:t>such costs to include the cost of two counsel where so employed.</w:t>
      </w:r>
    </w:p>
    <w:p w14:paraId="115774C9" w14:textId="77777777" w:rsidR="0040197A" w:rsidRPr="002D1EC7" w:rsidRDefault="0040197A" w:rsidP="0040197A">
      <w:pPr>
        <w:widowControl w:val="0"/>
        <w:spacing w:before="480" w:after="480" w:line="360" w:lineRule="auto"/>
        <w:jc w:val="both"/>
        <w:rPr>
          <w:rFonts w:cs="Arial"/>
          <w:bCs/>
          <w:szCs w:val="22"/>
          <w:u w:val="single"/>
        </w:rPr>
      </w:pPr>
    </w:p>
    <w:p w14:paraId="08540072" w14:textId="2CF7AF7B" w:rsidR="00C9310B" w:rsidRPr="0091370E" w:rsidRDefault="0091370E" w:rsidP="0091370E">
      <w:pPr>
        <w:widowControl w:val="0"/>
        <w:tabs>
          <w:tab w:val="left" w:pos="567"/>
        </w:tabs>
        <w:spacing w:before="480" w:after="480" w:line="360" w:lineRule="auto"/>
        <w:jc w:val="both"/>
        <w:rPr>
          <w:rFonts w:cs="Arial"/>
          <w:bCs/>
          <w:szCs w:val="22"/>
          <w:u w:val="single"/>
        </w:rPr>
      </w:pPr>
      <w:r w:rsidRPr="002D1EC7">
        <w:rPr>
          <w:rFonts w:cs="Arial"/>
          <w:bCs/>
          <w:szCs w:val="22"/>
        </w:rPr>
        <w:t>[2]</w:t>
      </w:r>
      <w:r w:rsidRPr="002D1EC7">
        <w:rPr>
          <w:rFonts w:cs="Arial"/>
          <w:bCs/>
          <w:szCs w:val="22"/>
        </w:rPr>
        <w:tab/>
      </w:r>
      <w:r w:rsidR="004A5AF5" w:rsidRPr="0091370E">
        <w:rPr>
          <w:rFonts w:cs="Arial"/>
          <w:bCs/>
          <w:szCs w:val="22"/>
        </w:rPr>
        <w:t xml:space="preserve">The </w:t>
      </w:r>
      <w:r w:rsidR="00573FF9" w:rsidRPr="0091370E">
        <w:rPr>
          <w:rFonts w:cs="Arial"/>
          <w:bCs/>
          <w:szCs w:val="22"/>
        </w:rPr>
        <w:t xml:space="preserve">reasons for the order </w:t>
      </w:r>
      <w:r w:rsidR="00A63709" w:rsidRPr="0091370E">
        <w:rPr>
          <w:rFonts w:cs="Arial"/>
          <w:bCs/>
          <w:szCs w:val="22"/>
        </w:rPr>
        <w:t>follow</w:t>
      </w:r>
      <w:r w:rsidR="00573FF9" w:rsidRPr="0091370E">
        <w:rPr>
          <w:rFonts w:cs="Arial"/>
          <w:bCs/>
          <w:szCs w:val="22"/>
        </w:rPr>
        <w:t xml:space="preserve"> below.</w:t>
      </w:r>
    </w:p>
    <w:p w14:paraId="037F1A01" w14:textId="77777777" w:rsidR="00A444DD" w:rsidRPr="002D1EC7" w:rsidRDefault="00A444DD" w:rsidP="00C74E97">
      <w:pPr>
        <w:keepNext/>
        <w:widowControl w:val="0"/>
        <w:spacing w:before="480" w:after="480" w:line="360" w:lineRule="auto"/>
        <w:jc w:val="both"/>
        <w:rPr>
          <w:rFonts w:cs="Arial"/>
          <w:bCs/>
          <w:szCs w:val="22"/>
          <w:u w:val="single"/>
        </w:rPr>
      </w:pPr>
    </w:p>
    <w:p w14:paraId="3658C913" w14:textId="6056F843" w:rsidR="00573FF9" w:rsidRPr="002D1EC7" w:rsidRDefault="00D9086C" w:rsidP="00C74E97">
      <w:pPr>
        <w:keepNext/>
        <w:widowControl w:val="0"/>
        <w:spacing w:before="480" w:after="480" w:line="360" w:lineRule="auto"/>
        <w:jc w:val="both"/>
        <w:rPr>
          <w:rFonts w:cs="Arial"/>
          <w:bCs/>
          <w:szCs w:val="22"/>
          <w:u w:val="single"/>
        </w:rPr>
      </w:pPr>
      <w:r w:rsidRPr="002D1EC7">
        <w:rPr>
          <w:rFonts w:cs="Arial"/>
          <w:bCs/>
          <w:szCs w:val="22"/>
          <w:u w:val="single"/>
        </w:rPr>
        <w:t>Introduction</w:t>
      </w:r>
    </w:p>
    <w:p w14:paraId="472C76B1" w14:textId="1F377390" w:rsidR="0041262D" w:rsidRDefault="0091370E" w:rsidP="0091370E">
      <w:pPr>
        <w:widowControl w:val="0"/>
        <w:tabs>
          <w:tab w:val="left" w:pos="567"/>
        </w:tabs>
        <w:spacing w:before="480" w:after="480" w:line="360" w:lineRule="auto"/>
        <w:jc w:val="both"/>
        <w:rPr>
          <w:rFonts w:cs="Arial"/>
          <w:bCs/>
          <w:szCs w:val="22"/>
        </w:rPr>
      </w:pPr>
      <w:r>
        <w:rPr>
          <w:rFonts w:cs="Arial"/>
          <w:bCs/>
          <w:szCs w:val="22"/>
        </w:rPr>
        <w:t>[3]</w:t>
      </w:r>
      <w:r>
        <w:rPr>
          <w:rFonts w:cs="Arial"/>
          <w:bCs/>
          <w:szCs w:val="22"/>
        </w:rPr>
        <w:tab/>
      </w:r>
      <w:r w:rsidR="00360253" w:rsidRPr="002D1EC7">
        <w:rPr>
          <w:rFonts w:cs="Arial"/>
          <w:bCs/>
          <w:szCs w:val="22"/>
        </w:rPr>
        <w:t xml:space="preserve">The </w:t>
      </w:r>
      <w:r w:rsidR="00A85664" w:rsidRPr="002D1EC7">
        <w:rPr>
          <w:rFonts w:cs="Arial"/>
          <w:bCs/>
          <w:szCs w:val="22"/>
        </w:rPr>
        <w:t xml:space="preserve">applicants </w:t>
      </w:r>
      <w:r w:rsidR="00EE7598" w:rsidRPr="002D1EC7">
        <w:rPr>
          <w:rFonts w:cs="Arial"/>
          <w:bCs/>
          <w:szCs w:val="22"/>
        </w:rPr>
        <w:t>s</w:t>
      </w:r>
      <w:r w:rsidR="00360253" w:rsidRPr="002D1EC7">
        <w:rPr>
          <w:rFonts w:cs="Arial"/>
          <w:bCs/>
          <w:szCs w:val="22"/>
        </w:rPr>
        <w:t xml:space="preserve">erved a </w:t>
      </w:r>
      <w:r w:rsidR="002D1EC7" w:rsidRPr="002D1EC7">
        <w:rPr>
          <w:rFonts w:cs="Arial"/>
          <w:bCs/>
          <w:szCs w:val="22"/>
        </w:rPr>
        <w:t xml:space="preserve">notice in terms </w:t>
      </w:r>
      <w:r w:rsidR="00360253" w:rsidRPr="002D1EC7">
        <w:rPr>
          <w:rFonts w:cs="Arial"/>
          <w:bCs/>
          <w:szCs w:val="22"/>
        </w:rPr>
        <w:t xml:space="preserve">of </w:t>
      </w:r>
      <w:r w:rsidR="00D12E8D" w:rsidRPr="002D1EC7">
        <w:rPr>
          <w:rFonts w:cs="Arial"/>
          <w:bCs/>
          <w:szCs w:val="22"/>
        </w:rPr>
        <w:t>uniform r</w:t>
      </w:r>
      <w:r w:rsidR="00360253" w:rsidRPr="002D1EC7">
        <w:rPr>
          <w:rFonts w:cs="Arial"/>
          <w:bCs/>
          <w:szCs w:val="22"/>
        </w:rPr>
        <w:t>ule 35(12) requiring the first respondent to produce and discover documents with reference to</w:t>
      </w:r>
      <w:r w:rsidR="00A85664" w:rsidRPr="002D1EC7">
        <w:rPr>
          <w:rFonts w:cs="Arial"/>
          <w:bCs/>
          <w:szCs w:val="22"/>
        </w:rPr>
        <w:t xml:space="preserve"> various </w:t>
      </w:r>
      <w:r w:rsidR="00360253" w:rsidRPr="002D1EC7">
        <w:rPr>
          <w:rFonts w:cs="Arial"/>
          <w:bCs/>
          <w:szCs w:val="22"/>
        </w:rPr>
        <w:t xml:space="preserve">paragraphs of </w:t>
      </w:r>
      <w:r w:rsidR="00360253" w:rsidRPr="002D1EC7">
        <w:rPr>
          <w:rFonts w:cs="Arial"/>
          <w:bCs/>
          <w:szCs w:val="22"/>
        </w:rPr>
        <w:lastRenderedPageBreak/>
        <w:t>the answering affidavit</w:t>
      </w:r>
      <w:r w:rsidR="00C42D18" w:rsidRPr="002D1EC7">
        <w:rPr>
          <w:rStyle w:val="FootnoteReference"/>
          <w:rFonts w:cs="Arial"/>
          <w:bCs/>
          <w:szCs w:val="22"/>
        </w:rPr>
        <w:footnoteReference w:id="1"/>
      </w:r>
      <w:r w:rsidR="00360253" w:rsidRPr="002D1EC7">
        <w:rPr>
          <w:rFonts w:cs="Arial"/>
          <w:bCs/>
          <w:szCs w:val="22"/>
        </w:rPr>
        <w:t xml:space="preserve"> </w:t>
      </w:r>
      <w:r w:rsidR="007B275E" w:rsidRPr="002D1EC7">
        <w:rPr>
          <w:rFonts w:cs="Arial"/>
          <w:bCs/>
          <w:szCs w:val="22"/>
        </w:rPr>
        <w:t xml:space="preserve">in a pending application between the parties. In the pending application the applicants seek an order setting aside its own decision to award </w:t>
      </w:r>
      <w:r w:rsidR="0055674D" w:rsidRPr="002D1EC7">
        <w:rPr>
          <w:rFonts w:cs="Arial"/>
          <w:bCs/>
          <w:szCs w:val="22"/>
        </w:rPr>
        <w:t>a</w:t>
      </w:r>
      <w:r w:rsidR="007B275E" w:rsidRPr="002D1EC7">
        <w:rPr>
          <w:rFonts w:cs="Arial"/>
          <w:bCs/>
          <w:szCs w:val="22"/>
        </w:rPr>
        <w:t xml:space="preserve"> tender to the first respondent and declaring the tender to be unlawful, invalid and unconstitutional. </w:t>
      </w:r>
    </w:p>
    <w:p w14:paraId="37CEE3CE" w14:textId="41FC5A32" w:rsidR="007B275E" w:rsidRPr="002D1EC7" w:rsidRDefault="002D1EC7" w:rsidP="0041262D">
      <w:pPr>
        <w:widowControl w:val="0"/>
        <w:spacing w:before="480" w:after="480" w:line="360" w:lineRule="auto"/>
        <w:jc w:val="both"/>
        <w:rPr>
          <w:rFonts w:cs="Arial"/>
          <w:bCs/>
          <w:szCs w:val="22"/>
        </w:rPr>
      </w:pPr>
      <w:r>
        <w:rPr>
          <w:rFonts w:cs="Arial"/>
          <w:bCs/>
          <w:szCs w:val="22"/>
        </w:rPr>
        <w:t xml:space="preserve">The </w:t>
      </w:r>
      <w:r w:rsidR="00B15D12">
        <w:rPr>
          <w:rFonts w:cs="Arial"/>
          <w:bCs/>
          <w:szCs w:val="22"/>
        </w:rPr>
        <w:t xml:space="preserve">pending </w:t>
      </w:r>
      <w:r>
        <w:rPr>
          <w:rFonts w:cs="Arial"/>
          <w:bCs/>
          <w:szCs w:val="22"/>
        </w:rPr>
        <w:t>main application is opposed by the first respondent, a joint venture and the successful bidder</w:t>
      </w:r>
      <w:r w:rsidR="00B15D12">
        <w:rPr>
          <w:rFonts w:cs="Arial"/>
          <w:bCs/>
          <w:szCs w:val="22"/>
        </w:rPr>
        <w:t xml:space="preserve"> for</w:t>
      </w:r>
      <w:r>
        <w:rPr>
          <w:rFonts w:cs="Arial"/>
          <w:bCs/>
          <w:szCs w:val="22"/>
        </w:rPr>
        <w:t xml:space="preserve"> the tender </w:t>
      </w:r>
      <w:r w:rsidR="00B15D12">
        <w:rPr>
          <w:rFonts w:cs="Arial"/>
          <w:bCs/>
          <w:szCs w:val="22"/>
        </w:rPr>
        <w:t xml:space="preserve">now </w:t>
      </w:r>
      <w:r>
        <w:rPr>
          <w:rFonts w:cs="Arial"/>
          <w:bCs/>
          <w:szCs w:val="22"/>
        </w:rPr>
        <w:t>sought to be set aside on review. The remaining twenty-seven respondents are</w:t>
      </w:r>
      <w:r w:rsidR="00757143">
        <w:rPr>
          <w:rFonts w:cs="Arial"/>
          <w:bCs/>
          <w:szCs w:val="22"/>
        </w:rPr>
        <w:t xml:space="preserve"> not </w:t>
      </w:r>
      <w:r w:rsidR="00026A26">
        <w:rPr>
          <w:rFonts w:cs="Arial"/>
          <w:bCs/>
          <w:szCs w:val="22"/>
        </w:rPr>
        <w:t>described</w:t>
      </w:r>
      <w:r w:rsidR="00757143">
        <w:rPr>
          <w:rFonts w:cs="Arial"/>
          <w:bCs/>
          <w:szCs w:val="22"/>
        </w:rPr>
        <w:t xml:space="preserve"> in the founding affidavit in the main application and they seem to be the unsuccessful bidders who were not awarded the tender. They play no role in this application</w:t>
      </w:r>
      <w:r w:rsidR="00B15D12">
        <w:rPr>
          <w:rFonts w:cs="Arial"/>
          <w:bCs/>
          <w:szCs w:val="22"/>
        </w:rPr>
        <w:t xml:space="preserve"> and have not filed papers in the main application</w:t>
      </w:r>
      <w:r w:rsidR="00757143">
        <w:rPr>
          <w:rFonts w:cs="Arial"/>
          <w:bCs/>
          <w:szCs w:val="22"/>
        </w:rPr>
        <w:t>.</w:t>
      </w:r>
    </w:p>
    <w:p w14:paraId="41264FA2" w14:textId="4F3AD62E" w:rsidR="0055674D" w:rsidRPr="002D1EC7" w:rsidRDefault="0091370E" w:rsidP="0091370E">
      <w:pPr>
        <w:widowControl w:val="0"/>
        <w:tabs>
          <w:tab w:val="left" w:pos="567"/>
        </w:tabs>
        <w:spacing w:before="480" w:after="480" w:line="360" w:lineRule="auto"/>
        <w:jc w:val="both"/>
        <w:rPr>
          <w:rFonts w:cs="Arial"/>
          <w:bCs/>
          <w:szCs w:val="22"/>
        </w:rPr>
      </w:pPr>
      <w:r w:rsidRPr="002D1EC7">
        <w:rPr>
          <w:rFonts w:cs="Arial"/>
          <w:bCs/>
          <w:szCs w:val="22"/>
        </w:rPr>
        <w:t>[4]</w:t>
      </w:r>
      <w:r w:rsidRPr="002D1EC7">
        <w:rPr>
          <w:rFonts w:cs="Arial"/>
          <w:bCs/>
          <w:szCs w:val="22"/>
        </w:rPr>
        <w:tab/>
      </w:r>
      <w:r w:rsidR="0055674D" w:rsidRPr="002D1EC7">
        <w:rPr>
          <w:rFonts w:cs="Arial"/>
          <w:bCs/>
          <w:szCs w:val="22"/>
        </w:rPr>
        <w:t>The first applicant is a private company and a wholly owned subsidiary of the second applicant. The second applicant is a municipality and thus an organ of state.</w:t>
      </w:r>
    </w:p>
    <w:p w14:paraId="1B79FE01" w14:textId="7A594F0E" w:rsidR="004D692E" w:rsidRPr="002D1EC7" w:rsidRDefault="0091370E" w:rsidP="0091370E">
      <w:pPr>
        <w:widowControl w:val="0"/>
        <w:tabs>
          <w:tab w:val="left" w:pos="567"/>
        </w:tabs>
        <w:spacing w:before="480" w:after="480" w:line="360" w:lineRule="auto"/>
        <w:jc w:val="both"/>
        <w:rPr>
          <w:rFonts w:cs="Arial"/>
          <w:bCs/>
          <w:szCs w:val="22"/>
        </w:rPr>
      </w:pPr>
      <w:r w:rsidRPr="002D1EC7">
        <w:rPr>
          <w:rFonts w:cs="Arial"/>
          <w:bCs/>
          <w:szCs w:val="22"/>
        </w:rPr>
        <w:t>[5]</w:t>
      </w:r>
      <w:r w:rsidRPr="002D1EC7">
        <w:rPr>
          <w:rFonts w:cs="Arial"/>
          <w:bCs/>
          <w:szCs w:val="22"/>
        </w:rPr>
        <w:tab/>
      </w:r>
      <w:r w:rsidR="00360253" w:rsidRPr="002D1EC7">
        <w:rPr>
          <w:rFonts w:cs="Arial"/>
          <w:bCs/>
          <w:szCs w:val="22"/>
        </w:rPr>
        <w:t>Rule 35(12) applies to applications and</w:t>
      </w:r>
      <w:r w:rsidR="00A85664" w:rsidRPr="002D1EC7">
        <w:rPr>
          <w:rFonts w:cs="Arial"/>
          <w:szCs w:val="22"/>
          <w:lang w:eastAsia="en-ZA"/>
        </w:rPr>
        <w:t xml:space="preserve"> provides for the discovery of documents or recordings referred to in </w:t>
      </w:r>
      <w:r w:rsidR="00B15D12">
        <w:rPr>
          <w:rFonts w:cs="Arial"/>
          <w:szCs w:val="22"/>
          <w:lang w:eastAsia="en-ZA"/>
        </w:rPr>
        <w:t>an</w:t>
      </w:r>
      <w:r w:rsidR="00A85664" w:rsidRPr="002D1EC7">
        <w:rPr>
          <w:rFonts w:cs="Arial"/>
          <w:szCs w:val="22"/>
          <w:lang w:eastAsia="en-ZA"/>
        </w:rPr>
        <w:t xml:space="preserve"> opponent’s pleadings or affidavits. The opponent may produce the document, object to its production on the basis that it is privileged or irrelevant, or state under </w:t>
      </w:r>
      <w:r w:rsidR="0041262D" w:rsidRPr="002D1EC7">
        <w:rPr>
          <w:rFonts w:cs="Arial"/>
          <w:szCs w:val="22"/>
          <w:lang w:eastAsia="en-ZA"/>
        </w:rPr>
        <w:t>oat</w:t>
      </w:r>
      <w:r w:rsidR="0041262D">
        <w:rPr>
          <w:rFonts w:cs="Arial"/>
          <w:szCs w:val="22"/>
          <w:lang w:eastAsia="en-ZA"/>
        </w:rPr>
        <w:t>h</w:t>
      </w:r>
      <w:r w:rsidR="00A85664" w:rsidRPr="002D1EC7">
        <w:rPr>
          <w:rFonts w:cs="Arial"/>
          <w:szCs w:val="22"/>
          <w:lang w:eastAsia="en-ZA"/>
        </w:rPr>
        <w:t xml:space="preserve"> that the document is not in its possession.</w:t>
      </w:r>
      <w:r w:rsidR="0041262D">
        <w:rPr>
          <w:rFonts w:cs="Arial"/>
          <w:szCs w:val="22"/>
          <w:lang w:eastAsia="en-ZA"/>
        </w:rPr>
        <w:t xml:space="preserve"> A document might possibly not be in the possession of a party because it never was, or because it simply does not exist, or because it is no longer in possession of the party.</w:t>
      </w:r>
    </w:p>
    <w:p w14:paraId="0502E75A" w14:textId="7E115791" w:rsidR="007B275E" w:rsidRPr="002D1EC7" w:rsidRDefault="0091370E" w:rsidP="0091370E">
      <w:pPr>
        <w:widowControl w:val="0"/>
        <w:tabs>
          <w:tab w:val="left" w:pos="567"/>
        </w:tabs>
        <w:spacing w:before="480" w:after="480" w:line="360" w:lineRule="auto"/>
        <w:jc w:val="both"/>
        <w:rPr>
          <w:rFonts w:cs="Arial"/>
          <w:bCs/>
          <w:szCs w:val="22"/>
        </w:rPr>
      </w:pPr>
      <w:r w:rsidRPr="002D1EC7">
        <w:rPr>
          <w:rFonts w:cs="Arial"/>
          <w:bCs/>
          <w:szCs w:val="22"/>
        </w:rPr>
        <w:t>[6]</w:t>
      </w:r>
      <w:r w:rsidRPr="002D1EC7">
        <w:rPr>
          <w:rFonts w:cs="Arial"/>
          <w:bCs/>
          <w:szCs w:val="22"/>
        </w:rPr>
        <w:tab/>
      </w:r>
      <w:r w:rsidR="00A2023B" w:rsidRPr="002D1EC7">
        <w:rPr>
          <w:rFonts w:cs="Arial"/>
          <w:bCs/>
          <w:szCs w:val="22"/>
        </w:rPr>
        <w:t xml:space="preserve">While rule 35(12) apply to applications, the remaining provisions of the rule do not apply to applications </w:t>
      </w:r>
      <w:r w:rsidR="00D12E8D" w:rsidRPr="002D1EC7">
        <w:rPr>
          <w:rFonts w:cs="Arial"/>
          <w:bCs/>
          <w:szCs w:val="22"/>
        </w:rPr>
        <w:t>unless the court so directs</w:t>
      </w:r>
      <w:r w:rsidR="00A2023B" w:rsidRPr="002D1EC7">
        <w:rPr>
          <w:rFonts w:cs="Arial"/>
          <w:bCs/>
          <w:szCs w:val="22"/>
        </w:rPr>
        <w:t xml:space="preserve"> in terms of rule 35(13)</w:t>
      </w:r>
      <w:r w:rsidR="00D12E8D" w:rsidRPr="002D1EC7">
        <w:rPr>
          <w:rFonts w:cs="Arial"/>
          <w:bCs/>
          <w:szCs w:val="22"/>
        </w:rPr>
        <w:t>.</w:t>
      </w:r>
      <w:r w:rsidR="00A2023B" w:rsidRPr="002D1EC7">
        <w:rPr>
          <w:rFonts w:cs="Arial"/>
          <w:bCs/>
          <w:szCs w:val="22"/>
        </w:rPr>
        <w:t xml:space="preserve"> The usual practice would be for a party seeking discovery in application proceedings to deliver its notice </w:t>
      </w:r>
      <w:r w:rsidR="007B275E" w:rsidRPr="002D1EC7">
        <w:rPr>
          <w:rFonts w:cs="Arial"/>
          <w:bCs/>
          <w:szCs w:val="22"/>
        </w:rPr>
        <w:t>requiring discovery</w:t>
      </w:r>
      <w:r w:rsidR="00A2023B" w:rsidRPr="002D1EC7">
        <w:rPr>
          <w:rFonts w:cs="Arial"/>
          <w:bCs/>
          <w:szCs w:val="22"/>
        </w:rPr>
        <w:t xml:space="preserve"> </w:t>
      </w:r>
      <w:r w:rsidR="00D12E8D" w:rsidRPr="002D1EC7">
        <w:rPr>
          <w:rFonts w:cs="Arial"/>
          <w:bCs/>
          <w:szCs w:val="22"/>
        </w:rPr>
        <w:t xml:space="preserve">in terms of </w:t>
      </w:r>
      <w:r w:rsidR="007966EF">
        <w:rPr>
          <w:rFonts w:cs="Arial"/>
          <w:bCs/>
          <w:szCs w:val="22"/>
        </w:rPr>
        <w:t xml:space="preserve">the </w:t>
      </w:r>
      <w:r w:rsidR="00D12E8D" w:rsidRPr="002D1EC7">
        <w:rPr>
          <w:rFonts w:cs="Arial"/>
          <w:bCs/>
          <w:szCs w:val="22"/>
        </w:rPr>
        <w:t xml:space="preserve">rule </w:t>
      </w:r>
      <w:r w:rsidR="007966EF">
        <w:rPr>
          <w:rFonts w:cs="Arial"/>
          <w:bCs/>
          <w:szCs w:val="22"/>
        </w:rPr>
        <w:t xml:space="preserve">(primarily rule </w:t>
      </w:r>
      <w:r w:rsidR="00D12E8D" w:rsidRPr="002D1EC7">
        <w:rPr>
          <w:rFonts w:cs="Arial"/>
          <w:bCs/>
          <w:szCs w:val="22"/>
        </w:rPr>
        <w:t xml:space="preserve">35(1) and (14) </w:t>
      </w:r>
      <w:r w:rsidR="00A2023B" w:rsidRPr="002D1EC7">
        <w:rPr>
          <w:rFonts w:cs="Arial"/>
          <w:bCs/>
          <w:szCs w:val="22"/>
        </w:rPr>
        <w:t>and then when the other party refuses discovery to approach the court for an order in terms of rule 35(13) as well as an order for discovery</w:t>
      </w:r>
      <w:r w:rsidR="00026A26">
        <w:rPr>
          <w:rFonts w:cs="Arial"/>
          <w:bCs/>
          <w:szCs w:val="22"/>
        </w:rPr>
        <w:t xml:space="preserve"> in terms of rule 35(1), (14), or any other </w:t>
      </w:r>
      <w:proofErr w:type="spellStart"/>
      <w:r w:rsidR="00026A26">
        <w:rPr>
          <w:rFonts w:cs="Arial"/>
          <w:bCs/>
          <w:szCs w:val="22"/>
        </w:rPr>
        <w:t>subrule</w:t>
      </w:r>
      <w:proofErr w:type="spellEnd"/>
      <w:r w:rsidR="00026A26">
        <w:rPr>
          <w:rFonts w:cs="Arial"/>
          <w:bCs/>
          <w:szCs w:val="22"/>
        </w:rPr>
        <w:t xml:space="preserve"> that might be applic</w:t>
      </w:r>
      <w:r w:rsidR="0041262D">
        <w:rPr>
          <w:rFonts w:cs="Arial"/>
          <w:bCs/>
          <w:szCs w:val="22"/>
        </w:rPr>
        <w:t>able in the circumstances of the case.</w:t>
      </w:r>
    </w:p>
    <w:p w14:paraId="2636C00C" w14:textId="3F24B3C5" w:rsidR="0041262D" w:rsidRDefault="0091370E" w:rsidP="0091370E">
      <w:pPr>
        <w:widowControl w:val="0"/>
        <w:tabs>
          <w:tab w:val="left" w:pos="567"/>
        </w:tabs>
        <w:spacing w:before="480" w:after="480" w:line="360" w:lineRule="auto"/>
        <w:jc w:val="both"/>
        <w:rPr>
          <w:rFonts w:cs="Arial"/>
          <w:bCs/>
          <w:szCs w:val="22"/>
        </w:rPr>
      </w:pPr>
      <w:r>
        <w:rPr>
          <w:rFonts w:cs="Arial"/>
          <w:bCs/>
          <w:szCs w:val="22"/>
        </w:rPr>
        <w:t>[7]</w:t>
      </w:r>
      <w:r>
        <w:rPr>
          <w:rFonts w:cs="Arial"/>
          <w:bCs/>
          <w:szCs w:val="22"/>
        </w:rPr>
        <w:tab/>
      </w:r>
      <w:r w:rsidR="00A2023B" w:rsidRPr="002D1EC7">
        <w:rPr>
          <w:rFonts w:cs="Arial"/>
          <w:bCs/>
          <w:szCs w:val="22"/>
        </w:rPr>
        <w:t xml:space="preserve">Rule 35(1) provides for discovery in general, in other words of all documents and tape recordings relating to any matter in question in </w:t>
      </w:r>
      <w:r w:rsidR="00B30FE0" w:rsidRPr="002D1EC7">
        <w:rPr>
          <w:rFonts w:cs="Arial"/>
          <w:bCs/>
          <w:szCs w:val="22"/>
        </w:rPr>
        <w:t xml:space="preserve">the proceedings, while rule 35(14) </w:t>
      </w:r>
      <w:r w:rsidR="00B30FE0" w:rsidRPr="002D1EC7">
        <w:rPr>
          <w:rFonts w:cs="Arial"/>
          <w:bCs/>
          <w:szCs w:val="22"/>
        </w:rPr>
        <w:lastRenderedPageBreak/>
        <w:t>provides for the discovery of a clearly specified document or tape recording.</w:t>
      </w:r>
      <w:r w:rsidR="00C52108" w:rsidRPr="002D1EC7">
        <w:rPr>
          <w:rFonts w:cs="Arial"/>
          <w:bCs/>
          <w:szCs w:val="22"/>
        </w:rPr>
        <w:t xml:space="preserve"> </w:t>
      </w:r>
    </w:p>
    <w:p w14:paraId="73CB3660" w14:textId="32D811FC" w:rsidR="00A2023B" w:rsidRPr="002D1EC7" w:rsidRDefault="00C52108" w:rsidP="0041262D">
      <w:pPr>
        <w:widowControl w:val="0"/>
        <w:spacing w:before="480" w:after="480" w:line="360" w:lineRule="auto"/>
        <w:jc w:val="both"/>
        <w:rPr>
          <w:rFonts w:cs="Arial"/>
          <w:bCs/>
          <w:szCs w:val="22"/>
        </w:rPr>
      </w:pPr>
      <w:r w:rsidRPr="002D1EC7">
        <w:rPr>
          <w:rFonts w:cs="Arial"/>
          <w:bCs/>
          <w:szCs w:val="22"/>
        </w:rPr>
        <w:t xml:space="preserve">A document includes any written, printed or electronic matter, and data and data messages as defined in the </w:t>
      </w:r>
      <w:r w:rsidR="007B275E" w:rsidRPr="002D1EC7">
        <w:rPr>
          <w:rFonts w:cs="Arial"/>
          <w:bCs/>
          <w:szCs w:val="22"/>
        </w:rPr>
        <w:t xml:space="preserve">Electronic Communications and Transactions Act </w:t>
      </w:r>
      <w:r w:rsidRPr="002D1EC7">
        <w:rPr>
          <w:rFonts w:cs="Arial"/>
          <w:bCs/>
          <w:szCs w:val="22"/>
        </w:rPr>
        <w:t xml:space="preserve">25 of 2002, </w:t>
      </w:r>
      <w:r w:rsidR="007B275E" w:rsidRPr="002D1EC7">
        <w:rPr>
          <w:rFonts w:cs="Arial"/>
          <w:bCs/>
          <w:szCs w:val="22"/>
        </w:rPr>
        <w:t xml:space="preserve">A </w:t>
      </w:r>
      <w:r w:rsidRPr="002D1EC7">
        <w:rPr>
          <w:rFonts w:cs="Arial"/>
          <w:bCs/>
          <w:szCs w:val="22"/>
        </w:rPr>
        <w:t xml:space="preserve">tape recording includes a soundtrack, film, magnetic tape, record or other material on which visual images, sound or other information can be recorded or any other form of </w:t>
      </w:r>
      <w:r w:rsidR="00D12E8D" w:rsidRPr="002D1EC7">
        <w:rPr>
          <w:rFonts w:cs="Arial"/>
          <w:bCs/>
          <w:szCs w:val="22"/>
        </w:rPr>
        <w:t>recording.</w:t>
      </w:r>
      <w:r w:rsidR="00D12E8D" w:rsidRPr="002D1EC7">
        <w:rPr>
          <w:rStyle w:val="FootnoteReference"/>
          <w:rFonts w:cs="Arial"/>
          <w:bCs/>
          <w:szCs w:val="22"/>
        </w:rPr>
        <w:footnoteReference w:id="2"/>
      </w:r>
    </w:p>
    <w:p w14:paraId="158CDD51" w14:textId="1C8F43B2" w:rsidR="00A85664" w:rsidRPr="002D1EC7" w:rsidRDefault="0091370E" w:rsidP="0091370E">
      <w:pPr>
        <w:widowControl w:val="0"/>
        <w:tabs>
          <w:tab w:val="left" w:pos="567"/>
        </w:tabs>
        <w:spacing w:before="480" w:after="480" w:line="360" w:lineRule="auto"/>
        <w:jc w:val="both"/>
        <w:rPr>
          <w:rFonts w:cs="Arial"/>
          <w:bCs/>
          <w:szCs w:val="22"/>
        </w:rPr>
      </w:pPr>
      <w:r w:rsidRPr="002D1EC7">
        <w:rPr>
          <w:rFonts w:cs="Arial"/>
          <w:bCs/>
          <w:szCs w:val="22"/>
        </w:rPr>
        <w:t>[8]</w:t>
      </w:r>
      <w:r w:rsidRPr="002D1EC7">
        <w:rPr>
          <w:rFonts w:cs="Arial"/>
          <w:bCs/>
          <w:szCs w:val="22"/>
        </w:rPr>
        <w:tab/>
      </w:r>
      <w:r w:rsidR="00A85664" w:rsidRPr="002D1EC7">
        <w:rPr>
          <w:rFonts w:cs="Arial"/>
          <w:bCs/>
          <w:szCs w:val="22"/>
        </w:rPr>
        <w:t>In</w:t>
      </w:r>
      <w:r w:rsidR="00A85664" w:rsidRPr="002D1EC7">
        <w:rPr>
          <w:rFonts w:cs="Arial"/>
          <w:i/>
          <w:iCs/>
          <w:color w:val="000000" w:themeColor="text1"/>
          <w:szCs w:val="22"/>
          <w:shd w:val="clear" w:color="auto" w:fill="FFFFFF"/>
        </w:rPr>
        <w:t xml:space="preserve"> Democratic Alliance v </w:t>
      </w:r>
      <w:proofErr w:type="spellStart"/>
      <w:r w:rsidR="00A85664" w:rsidRPr="002D1EC7">
        <w:rPr>
          <w:rFonts w:cs="Arial"/>
          <w:i/>
          <w:iCs/>
          <w:color w:val="000000" w:themeColor="text1"/>
          <w:szCs w:val="22"/>
          <w:shd w:val="clear" w:color="auto" w:fill="FFFFFF"/>
        </w:rPr>
        <w:t>Mkhwebane</w:t>
      </w:r>
      <w:proofErr w:type="spellEnd"/>
      <w:r w:rsidR="00A85664" w:rsidRPr="002D1EC7">
        <w:rPr>
          <w:rStyle w:val="FootnoteReference"/>
          <w:rFonts w:cs="Arial"/>
          <w:szCs w:val="22"/>
          <w:lang w:eastAsia="en-ZA"/>
        </w:rPr>
        <w:t xml:space="preserve"> </w:t>
      </w:r>
      <w:r w:rsidR="00A85664" w:rsidRPr="002D1EC7">
        <w:rPr>
          <w:rStyle w:val="FootnoteReference"/>
          <w:rFonts w:cs="Arial"/>
          <w:szCs w:val="22"/>
          <w:lang w:eastAsia="en-ZA"/>
        </w:rPr>
        <w:footnoteReference w:id="3"/>
      </w:r>
      <w:r w:rsidR="00A85664" w:rsidRPr="002D1EC7">
        <w:rPr>
          <w:rStyle w:val="FootnoteReference"/>
          <w:rFonts w:cs="Arial"/>
          <w:szCs w:val="22"/>
          <w:lang w:eastAsia="en-ZA"/>
        </w:rPr>
        <w:t xml:space="preserve"> </w:t>
      </w:r>
      <w:proofErr w:type="spellStart"/>
      <w:r w:rsidR="00A85664" w:rsidRPr="002D1EC7">
        <w:rPr>
          <w:rFonts w:cs="Arial"/>
          <w:szCs w:val="22"/>
          <w:lang w:eastAsia="en-ZA"/>
        </w:rPr>
        <w:t>Navsa</w:t>
      </w:r>
      <w:proofErr w:type="spellEnd"/>
      <w:r w:rsidR="00A85664" w:rsidRPr="002D1EC7">
        <w:rPr>
          <w:rFonts w:cs="Arial"/>
          <w:szCs w:val="22"/>
          <w:lang w:eastAsia="en-ZA"/>
        </w:rPr>
        <w:t xml:space="preserve"> JA said</w:t>
      </w:r>
      <w:r w:rsidR="0041262D">
        <w:rPr>
          <w:rFonts w:cs="Arial"/>
          <w:szCs w:val="22"/>
          <w:lang w:eastAsia="en-ZA"/>
        </w:rPr>
        <w:t xml:space="preserve"> with reference to rule 35(12)</w:t>
      </w:r>
      <w:r w:rsidR="00A85664" w:rsidRPr="002D1EC7">
        <w:rPr>
          <w:rFonts w:cs="Arial"/>
          <w:szCs w:val="22"/>
          <w:lang w:eastAsia="en-ZA"/>
        </w:rPr>
        <w:t>:</w:t>
      </w:r>
    </w:p>
    <w:p w14:paraId="58131B68" w14:textId="45850277" w:rsidR="00A85664" w:rsidRPr="002D1EC7" w:rsidRDefault="002E704D" w:rsidP="002E704D">
      <w:pPr>
        <w:spacing w:line="360" w:lineRule="auto"/>
        <w:ind w:left="1440"/>
        <w:jc w:val="both"/>
        <w:rPr>
          <w:rFonts w:cs="Arial"/>
          <w:bCs/>
          <w:i/>
          <w:iCs/>
          <w:color w:val="000000" w:themeColor="text1"/>
          <w:szCs w:val="22"/>
        </w:rPr>
      </w:pPr>
      <w:r w:rsidRPr="002D1EC7">
        <w:rPr>
          <w:rFonts w:cs="Arial"/>
          <w:i/>
          <w:iCs/>
          <w:color w:val="000000" w:themeColor="text1"/>
          <w:szCs w:val="22"/>
          <w:shd w:val="clear" w:color="auto" w:fill="FFFFFF"/>
        </w:rPr>
        <w:t>“</w:t>
      </w:r>
      <w:r w:rsidR="007B275E" w:rsidRPr="002D1EC7">
        <w:rPr>
          <w:rFonts w:cs="Arial"/>
          <w:i/>
          <w:iCs/>
          <w:szCs w:val="22"/>
        </w:rPr>
        <w:t xml:space="preserve">[41] </w:t>
      </w:r>
      <w:r w:rsidRPr="002D1EC7">
        <w:rPr>
          <w:rFonts w:cs="Arial"/>
          <w:i/>
          <w:iCs/>
          <w:szCs w:val="22"/>
        </w:rPr>
        <w:t xml:space="preserve">… </w:t>
      </w:r>
      <w:r w:rsidR="007B275E" w:rsidRPr="002D1EC7">
        <w:rPr>
          <w:rFonts w:cs="Arial"/>
          <w:i/>
          <w:iCs/>
          <w:szCs w:val="22"/>
        </w:rPr>
        <w:t>It appears to me to be clear that documents in respect of which there is a direct or indirect reference in an affidavit or its annexures, that are relevant, and which are not privileged, and are in the possession of that party, must be produced. Relevance is assessed in relation to rule 35(12), not on the basis of issues that have crystallised, as they would have had pleadings closed or all the affidavits filed, but rather on the basis of aspects or issues that might arise in relation to what has thus far been stated in the pleadings or affidavits and possible grounds of opposition or defences that might be raised, and on the basis that they will better enable the party seeking production to assess his or her position and that they might assist in asserting such a defence or defences…. The question to be addressed is whether the documents sought might have evidentiary value and might assist the appellants in their defence to the relief claimed in the main case. Supposition or speculation about the existence of documents or tape recordings to compel production will not suffice. In exercising its discretion, the court will approach the matter on the basis set out in the preceding paragraph. The wording of rule 35(12) is clear in relation to its application. Where there has been reference to a document within the meaning of that expression in an affidavit, and it is relevant, it must be produced….”</w:t>
      </w:r>
    </w:p>
    <w:p w14:paraId="700F3A59" w14:textId="0846BB62" w:rsidR="00A85664" w:rsidRPr="002D1EC7" w:rsidRDefault="0091370E" w:rsidP="0091370E">
      <w:pPr>
        <w:widowControl w:val="0"/>
        <w:tabs>
          <w:tab w:val="left" w:pos="567"/>
        </w:tabs>
        <w:spacing w:before="480" w:after="480" w:line="360" w:lineRule="auto"/>
        <w:jc w:val="both"/>
        <w:rPr>
          <w:rFonts w:cs="Arial"/>
          <w:bCs/>
          <w:szCs w:val="22"/>
        </w:rPr>
      </w:pPr>
      <w:r w:rsidRPr="002D1EC7">
        <w:rPr>
          <w:rFonts w:cs="Arial"/>
          <w:bCs/>
          <w:szCs w:val="22"/>
        </w:rPr>
        <w:lastRenderedPageBreak/>
        <w:t>[9]</w:t>
      </w:r>
      <w:r w:rsidRPr="002D1EC7">
        <w:rPr>
          <w:rFonts w:cs="Arial"/>
          <w:bCs/>
          <w:szCs w:val="22"/>
        </w:rPr>
        <w:tab/>
      </w:r>
      <w:r w:rsidR="00A85664" w:rsidRPr="002D1EC7">
        <w:rPr>
          <w:rFonts w:cs="Arial"/>
          <w:bCs/>
          <w:szCs w:val="22"/>
        </w:rPr>
        <w:t>Three questions therefore arise in the context of Rule 35(12):</w:t>
      </w:r>
    </w:p>
    <w:p w14:paraId="133E52CF" w14:textId="6E9FECA7" w:rsidR="00A85664" w:rsidRPr="002D1EC7" w:rsidRDefault="0091370E" w:rsidP="0091370E">
      <w:pPr>
        <w:widowControl w:val="0"/>
        <w:tabs>
          <w:tab w:val="left" w:pos="1418"/>
        </w:tabs>
        <w:spacing w:before="480" w:after="480" w:line="360" w:lineRule="auto"/>
        <w:ind w:left="1418" w:hanging="851"/>
        <w:jc w:val="both"/>
        <w:rPr>
          <w:rFonts w:cs="Arial"/>
          <w:bCs/>
          <w:szCs w:val="22"/>
        </w:rPr>
      </w:pPr>
      <w:r w:rsidRPr="002D1EC7">
        <w:rPr>
          <w:rFonts w:cs="Arial"/>
          <w:bCs/>
          <w:szCs w:val="22"/>
        </w:rPr>
        <w:t>9.1</w:t>
      </w:r>
      <w:r w:rsidRPr="002D1EC7">
        <w:rPr>
          <w:rFonts w:cs="Arial"/>
          <w:bCs/>
          <w:szCs w:val="22"/>
        </w:rPr>
        <w:tab/>
      </w:r>
      <w:r w:rsidR="00A85664" w:rsidRPr="002D1EC7">
        <w:rPr>
          <w:rFonts w:cs="Arial"/>
          <w:bCs/>
          <w:szCs w:val="22"/>
        </w:rPr>
        <w:t>Are the documents referred to</w:t>
      </w:r>
      <w:r w:rsidR="007966EF">
        <w:rPr>
          <w:rFonts w:cs="Arial"/>
          <w:bCs/>
          <w:szCs w:val="22"/>
        </w:rPr>
        <w:t xml:space="preserve"> either directly or indirectly</w:t>
      </w:r>
      <w:r w:rsidR="00A85664" w:rsidRPr="002D1EC7">
        <w:rPr>
          <w:rFonts w:cs="Arial"/>
          <w:bCs/>
          <w:szCs w:val="22"/>
        </w:rPr>
        <w:t xml:space="preserve"> in an affidavit or pleading, either in the body of the document or in an annexure,</w:t>
      </w:r>
    </w:p>
    <w:p w14:paraId="58FB8705" w14:textId="7C29E76B" w:rsidR="00A85664" w:rsidRPr="002D1EC7" w:rsidRDefault="0091370E" w:rsidP="0091370E">
      <w:pPr>
        <w:widowControl w:val="0"/>
        <w:tabs>
          <w:tab w:val="left" w:pos="1418"/>
        </w:tabs>
        <w:spacing w:before="480" w:after="480" w:line="360" w:lineRule="auto"/>
        <w:ind w:left="1418" w:hanging="851"/>
        <w:jc w:val="both"/>
        <w:rPr>
          <w:rFonts w:cs="Arial"/>
          <w:bCs/>
          <w:szCs w:val="22"/>
        </w:rPr>
      </w:pPr>
      <w:r w:rsidRPr="002D1EC7">
        <w:rPr>
          <w:rFonts w:cs="Arial"/>
          <w:bCs/>
          <w:szCs w:val="22"/>
        </w:rPr>
        <w:t>9.2</w:t>
      </w:r>
      <w:r w:rsidRPr="002D1EC7">
        <w:rPr>
          <w:rFonts w:cs="Arial"/>
          <w:bCs/>
          <w:szCs w:val="22"/>
        </w:rPr>
        <w:tab/>
      </w:r>
      <w:r w:rsidR="00A85664" w:rsidRPr="002D1EC7">
        <w:rPr>
          <w:rFonts w:cs="Arial"/>
          <w:bCs/>
          <w:szCs w:val="22"/>
        </w:rPr>
        <w:t>are the documents relevant, and</w:t>
      </w:r>
    </w:p>
    <w:p w14:paraId="4477B105" w14:textId="242009EF" w:rsidR="00A85664" w:rsidRPr="002D1EC7" w:rsidRDefault="0091370E" w:rsidP="0091370E">
      <w:pPr>
        <w:widowControl w:val="0"/>
        <w:tabs>
          <w:tab w:val="left" w:pos="1418"/>
        </w:tabs>
        <w:spacing w:before="480" w:after="480" w:line="360" w:lineRule="auto"/>
        <w:ind w:left="1418" w:hanging="851"/>
        <w:jc w:val="both"/>
        <w:rPr>
          <w:rFonts w:cs="Arial"/>
          <w:bCs/>
          <w:szCs w:val="22"/>
        </w:rPr>
      </w:pPr>
      <w:r w:rsidRPr="002D1EC7">
        <w:rPr>
          <w:rFonts w:cs="Arial"/>
          <w:bCs/>
          <w:szCs w:val="22"/>
        </w:rPr>
        <w:t>9.3</w:t>
      </w:r>
      <w:r w:rsidRPr="002D1EC7">
        <w:rPr>
          <w:rFonts w:cs="Arial"/>
          <w:bCs/>
          <w:szCs w:val="22"/>
        </w:rPr>
        <w:tab/>
      </w:r>
      <w:r w:rsidR="00A85664" w:rsidRPr="002D1EC7">
        <w:rPr>
          <w:rFonts w:cs="Arial"/>
          <w:bCs/>
          <w:szCs w:val="22"/>
        </w:rPr>
        <w:t>are the documents privileged?</w:t>
      </w:r>
    </w:p>
    <w:p w14:paraId="436A72AA" w14:textId="29CFCE09" w:rsidR="007966EF" w:rsidRDefault="0091370E" w:rsidP="0091370E">
      <w:pPr>
        <w:widowControl w:val="0"/>
        <w:tabs>
          <w:tab w:val="left" w:pos="567"/>
        </w:tabs>
        <w:spacing w:before="480" w:after="480" w:line="360" w:lineRule="auto"/>
        <w:jc w:val="both"/>
        <w:rPr>
          <w:rFonts w:cs="Arial"/>
          <w:bCs/>
          <w:szCs w:val="22"/>
        </w:rPr>
      </w:pPr>
      <w:r>
        <w:rPr>
          <w:rFonts w:cs="Arial"/>
          <w:bCs/>
          <w:szCs w:val="22"/>
        </w:rPr>
        <w:t>[10]</w:t>
      </w:r>
      <w:r>
        <w:rPr>
          <w:rFonts w:cs="Arial"/>
          <w:bCs/>
          <w:szCs w:val="22"/>
        </w:rPr>
        <w:tab/>
      </w:r>
      <w:r w:rsidR="008A7448">
        <w:rPr>
          <w:rFonts w:cs="Arial"/>
          <w:bCs/>
          <w:szCs w:val="22"/>
        </w:rPr>
        <w:t xml:space="preserve">A document might be referred to indirectly for instance when reference is made to an agreement without any details being provided. The opposing party </w:t>
      </w:r>
      <w:r w:rsidR="007966EF">
        <w:rPr>
          <w:rFonts w:cs="Arial"/>
          <w:bCs/>
          <w:szCs w:val="22"/>
        </w:rPr>
        <w:t>sh</w:t>
      </w:r>
      <w:r w:rsidR="008A7448">
        <w:rPr>
          <w:rFonts w:cs="Arial"/>
          <w:bCs/>
          <w:szCs w:val="22"/>
        </w:rPr>
        <w:t>ould then be permitted to seek a copy of a written agreement if any existed, but a response that the agreement was an oral agreement would usually suffice.</w:t>
      </w:r>
      <w:r w:rsidR="008A7448" w:rsidRPr="008A7448">
        <w:rPr>
          <w:rFonts w:cs="Arial"/>
          <w:bCs/>
          <w:szCs w:val="22"/>
        </w:rPr>
        <w:t xml:space="preserve"> </w:t>
      </w:r>
    </w:p>
    <w:p w14:paraId="73345A29" w14:textId="28DD0DE2" w:rsidR="008A7448" w:rsidRPr="002D1EC7" w:rsidRDefault="008A7448" w:rsidP="007966EF">
      <w:pPr>
        <w:widowControl w:val="0"/>
        <w:spacing w:before="480" w:after="480" w:line="360" w:lineRule="auto"/>
        <w:jc w:val="both"/>
        <w:rPr>
          <w:rFonts w:cs="Arial"/>
          <w:bCs/>
          <w:szCs w:val="22"/>
        </w:rPr>
      </w:pPr>
      <w:r w:rsidRPr="002D1EC7">
        <w:rPr>
          <w:rFonts w:cs="Arial"/>
          <w:bCs/>
          <w:szCs w:val="22"/>
        </w:rPr>
        <w:t xml:space="preserve">A court will usually refrain from going behind a discovery affidavit and the affidavit is regarded as conclusive except when it appears from the affidavit itself or from documents referred to in the discovery affidavit, from the pleadings, from any admission made by the party, or from the nature of the case or the documents in issue that grounds exist for supposing that the party has other relevant documents or tape recordings, or a party has misconceived the principles upon which the </w:t>
      </w:r>
      <w:r>
        <w:rPr>
          <w:rFonts w:cs="Arial"/>
          <w:bCs/>
          <w:szCs w:val="22"/>
        </w:rPr>
        <w:t xml:space="preserve">discovery </w:t>
      </w:r>
      <w:r w:rsidRPr="002D1EC7">
        <w:rPr>
          <w:rFonts w:cs="Arial"/>
          <w:bCs/>
          <w:szCs w:val="22"/>
        </w:rPr>
        <w:t>affidavit should be made.</w:t>
      </w:r>
      <w:r w:rsidRPr="002D1EC7">
        <w:rPr>
          <w:rStyle w:val="FootnoteReference"/>
          <w:rFonts w:cs="Arial"/>
          <w:bCs/>
          <w:szCs w:val="22"/>
        </w:rPr>
        <w:footnoteReference w:id="4"/>
      </w:r>
    </w:p>
    <w:p w14:paraId="210F1CBE" w14:textId="3EFDCDE0" w:rsidR="00A85664" w:rsidRPr="002D1EC7" w:rsidRDefault="0091370E" w:rsidP="0091370E">
      <w:pPr>
        <w:widowControl w:val="0"/>
        <w:tabs>
          <w:tab w:val="left" w:pos="567"/>
        </w:tabs>
        <w:spacing w:before="480" w:after="480" w:line="360" w:lineRule="auto"/>
        <w:jc w:val="both"/>
        <w:rPr>
          <w:rFonts w:cs="Arial"/>
          <w:bCs/>
          <w:szCs w:val="22"/>
        </w:rPr>
      </w:pPr>
      <w:r w:rsidRPr="002D1EC7">
        <w:rPr>
          <w:rFonts w:cs="Arial"/>
          <w:bCs/>
          <w:szCs w:val="22"/>
        </w:rPr>
        <w:t>[11]</w:t>
      </w:r>
      <w:r w:rsidRPr="002D1EC7">
        <w:rPr>
          <w:rFonts w:cs="Arial"/>
          <w:bCs/>
          <w:szCs w:val="22"/>
        </w:rPr>
        <w:tab/>
      </w:r>
      <w:r w:rsidR="00A85664" w:rsidRPr="002D1EC7">
        <w:rPr>
          <w:rFonts w:cs="Arial"/>
          <w:bCs/>
          <w:szCs w:val="22"/>
        </w:rPr>
        <w:t>Documents referred to in affidavits and pleadings would often be relevant. A party is required in litigation to rely on relevant evidence and irrelevant evidence is inadmissible. Relevance is a matter of common sense.</w:t>
      </w:r>
      <w:r w:rsidR="00A85664" w:rsidRPr="002D1EC7">
        <w:rPr>
          <w:rStyle w:val="FootnoteReference"/>
          <w:rFonts w:cs="Arial"/>
          <w:bCs/>
          <w:szCs w:val="22"/>
        </w:rPr>
        <w:footnoteReference w:id="5"/>
      </w:r>
      <w:r w:rsidR="00A85664" w:rsidRPr="002D1EC7">
        <w:rPr>
          <w:rFonts w:cs="Arial"/>
          <w:bCs/>
          <w:szCs w:val="22"/>
        </w:rPr>
        <w:t xml:space="preserve"> </w:t>
      </w:r>
    </w:p>
    <w:p w14:paraId="6C4E7D24" w14:textId="792DE7E7" w:rsidR="00066915" w:rsidRPr="002D1EC7" w:rsidRDefault="0091370E" w:rsidP="0091370E">
      <w:pPr>
        <w:widowControl w:val="0"/>
        <w:tabs>
          <w:tab w:val="left" w:pos="567"/>
        </w:tabs>
        <w:spacing w:before="480" w:after="480" w:line="360" w:lineRule="auto"/>
        <w:jc w:val="both"/>
        <w:rPr>
          <w:rFonts w:cs="Arial"/>
          <w:bCs/>
          <w:szCs w:val="22"/>
        </w:rPr>
      </w:pPr>
      <w:r w:rsidRPr="002D1EC7">
        <w:rPr>
          <w:rFonts w:cs="Arial"/>
          <w:bCs/>
          <w:szCs w:val="22"/>
        </w:rPr>
        <w:t>[12]</w:t>
      </w:r>
      <w:r w:rsidRPr="002D1EC7">
        <w:rPr>
          <w:rFonts w:cs="Arial"/>
          <w:bCs/>
          <w:szCs w:val="22"/>
        </w:rPr>
        <w:tab/>
      </w:r>
      <w:r w:rsidR="000045DF" w:rsidRPr="002D1EC7">
        <w:rPr>
          <w:rFonts w:cs="Arial"/>
          <w:bCs/>
          <w:szCs w:val="22"/>
        </w:rPr>
        <w:t>T</w:t>
      </w:r>
      <w:r w:rsidR="00066915" w:rsidRPr="002D1EC7">
        <w:rPr>
          <w:rFonts w:cs="Arial"/>
          <w:bCs/>
          <w:szCs w:val="22"/>
        </w:rPr>
        <w:t>he principles relating to the discovery of documents are intended to assist the parties as well as the court to discover the truth and to promote a just determination of the dispute between the parties. Rule 35(12) authorises the production of documents even though they are referred to in general terms and not with great specificity. Reference by mere inference does however not</w:t>
      </w:r>
      <w:r w:rsidR="000045DF" w:rsidRPr="002D1EC7">
        <w:rPr>
          <w:rFonts w:cs="Arial"/>
          <w:bCs/>
          <w:szCs w:val="22"/>
        </w:rPr>
        <w:t xml:space="preserve"> entitle a party to discovery of a document that might possibly exist. The rule does not provide for speculation</w:t>
      </w:r>
      <w:r w:rsidR="00173B8E" w:rsidRPr="002D1EC7">
        <w:rPr>
          <w:rFonts w:cs="Arial"/>
          <w:bCs/>
          <w:szCs w:val="22"/>
        </w:rPr>
        <w:t xml:space="preserve"> and supposition</w:t>
      </w:r>
      <w:r w:rsidR="000045DF" w:rsidRPr="002D1EC7">
        <w:rPr>
          <w:rFonts w:cs="Arial"/>
          <w:bCs/>
          <w:szCs w:val="22"/>
        </w:rPr>
        <w:t>.</w:t>
      </w:r>
      <w:r w:rsidR="008A7448">
        <w:rPr>
          <w:rFonts w:cs="Arial"/>
          <w:bCs/>
          <w:szCs w:val="22"/>
        </w:rPr>
        <w:t xml:space="preserve"> A fishing </w:t>
      </w:r>
      <w:r w:rsidR="008A7448">
        <w:rPr>
          <w:rFonts w:cs="Arial"/>
          <w:bCs/>
          <w:szCs w:val="22"/>
        </w:rPr>
        <w:lastRenderedPageBreak/>
        <w:t>expedition</w:t>
      </w:r>
      <w:r w:rsidR="007966EF">
        <w:rPr>
          <w:rFonts w:cs="Arial"/>
          <w:bCs/>
          <w:szCs w:val="22"/>
        </w:rPr>
        <w:t xml:space="preserve"> is unacceptable</w:t>
      </w:r>
      <w:r w:rsidR="008A7448">
        <w:rPr>
          <w:rFonts w:cs="Arial"/>
          <w:bCs/>
          <w:szCs w:val="22"/>
        </w:rPr>
        <w:t>.</w:t>
      </w:r>
    </w:p>
    <w:p w14:paraId="7F9B0766" w14:textId="09D6314C" w:rsidR="004D692E" w:rsidRPr="002D1EC7" w:rsidRDefault="0091370E" w:rsidP="0091370E">
      <w:pPr>
        <w:widowControl w:val="0"/>
        <w:tabs>
          <w:tab w:val="left" w:pos="567"/>
        </w:tabs>
        <w:spacing w:before="480" w:after="480" w:line="360" w:lineRule="auto"/>
        <w:jc w:val="both"/>
        <w:rPr>
          <w:rFonts w:cs="Arial"/>
          <w:bCs/>
          <w:szCs w:val="22"/>
        </w:rPr>
      </w:pPr>
      <w:r w:rsidRPr="002D1EC7">
        <w:rPr>
          <w:rFonts w:cs="Arial"/>
          <w:bCs/>
          <w:szCs w:val="22"/>
        </w:rPr>
        <w:t>[13]</w:t>
      </w:r>
      <w:r w:rsidRPr="002D1EC7">
        <w:rPr>
          <w:rFonts w:cs="Arial"/>
          <w:bCs/>
          <w:szCs w:val="22"/>
        </w:rPr>
        <w:tab/>
      </w:r>
      <w:r w:rsidR="00066915" w:rsidRPr="002D1EC7">
        <w:rPr>
          <w:rFonts w:cs="Arial"/>
          <w:bCs/>
          <w:szCs w:val="22"/>
        </w:rPr>
        <w:t>T</w:t>
      </w:r>
      <w:r w:rsidR="00A85664" w:rsidRPr="002D1EC7">
        <w:rPr>
          <w:rFonts w:cs="Arial"/>
          <w:bCs/>
          <w:szCs w:val="22"/>
        </w:rPr>
        <w:t>he first respondent denies that the paragraphs</w:t>
      </w:r>
      <w:r w:rsidR="002E704D" w:rsidRPr="002D1EC7">
        <w:rPr>
          <w:rFonts w:cs="Arial"/>
          <w:bCs/>
          <w:szCs w:val="22"/>
        </w:rPr>
        <w:t xml:space="preserve"> in the answering affidavit</w:t>
      </w:r>
      <w:r w:rsidR="00A85664" w:rsidRPr="002D1EC7">
        <w:rPr>
          <w:rFonts w:cs="Arial"/>
          <w:bCs/>
          <w:szCs w:val="22"/>
        </w:rPr>
        <w:t xml:space="preserve"> referred to by the applicants referred to written documents, and argues that what the applicants are seeking to do is to obtain access to different documents not referred to in the affidavit</w:t>
      </w:r>
      <w:r w:rsidR="00360253" w:rsidRPr="002D1EC7">
        <w:rPr>
          <w:rFonts w:cs="Arial"/>
          <w:bCs/>
          <w:szCs w:val="22"/>
        </w:rPr>
        <w:t>,</w:t>
      </w:r>
      <w:r w:rsidR="00A85664" w:rsidRPr="002D1EC7">
        <w:rPr>
          <w:rFonts w:cs="Arial"/>
          <w:bCs/>
          <w:szCs w:val="22"/>
        </w:rPr>
        <w:t xml:space="preserve"> to require the documents to be provided in a particular format and to use the application under rule 35(12) as a foundation for interrogatories.</w:t>
      </w:r>
    </w:p>
    <w:p w14:paraId="04C35D8D" w14:textId="4A5A6B60" w:rsidR="004D692E" w:rsidRPr="002D1EC7" w:rsidRDefault="0091370E" w:rsidP="0091370E">
      <w:pPr>
        <w:widowControl w:val="0"/>
        <w:tabs>
          <w:tab w:val="left" w:pos="567"/>
        </w:tabs>
        <w:spacing w:before="480" w:after="480" w:line="360" w:lineRule="auto"/>
        <w:jc w:val="both"/>
        <w:rPr>
          <w:rFonts w:cs="Arial"/>
          <w:bCs/>
          <w:szCs w:val="22"/>
        </w:rPr>
      </w:pPr>
      <w:r w:rsidRPr="002D1EC7">
        <w:rPr>
          <w:rFonts w:cs="Arial"/>
          <w:bCs/>
          <w:szCs w:val="22"/>
        </w:rPr>
        <w:t>[14]</w:t>
      </w:r>
      <w:r w:rsidRPr="002D1EC7">
        <w:rPr>
          <w:rFonts w:cs="Arial"/>
          <w:bCs/>
          <w:szCs w:val="22"/>
        </w:rPr>
        <w:tab/>
      </w:r>
      <w:r w:rsidR="003653FF" w:rsidRPr="002D1EC7">
        <w:rPr>
          <w:rFonts w:cs="Arial"/>
          <w:bCs/>
          <w:szCs w:val="22"/>
        </w:rPr>
        <w:t xml:space="preserve">When the first respondent failed to provide the documents sought in the </w:t>
      </w:r>
      <w:r w:rsidR="002E704D" w:rsidRPr="002D1EC7">
        <w:rPr>
          <w:rFonts w:cs="Arial"/>
          <w:bCs/>
          <w:szCs w:val="22"/>
        </w:rPr>
        <w:t xml:space="preserve">rule 35(12) </w:t>
      </w:r>
      <w:r w:rsidR="003653FF" w:rsidRPr="002D1EC7">
        <w:rPr>
          <w:rFonts w:cs="Arial"/>
          <w:bCs/>
          <w:szCs w:val="22"/>
        </w:rPr>
        <w:t>notice the applicants launched an application in terms of rule 30A requiring the first respondent to comply with the notice and stating that should the first respondent fail to comply in 10 days the applicants would make application to the court for an order that the notice be complied with alternatively that the first respondent’s defence be struck</w:t>
      </w:r>
      <w:r w:rsidR="0055674D" w:rsidRPr="002D1EC7">
        <w:rPr>
          <w:rFonts w:cs="Arial"/>
          <w:bCs/>
          <w:szCs w:val="22"/>
        </w:rPr>
        <w:t>.</w:t>
      </w:r>
      <w:r w:rsidR="003653FF" w:rsidRPr="002D1EC7">
        <w:rPr>
          <w:rFonts w:cs="Arial"/>
          <w:bCs/>
          <w:szCs w:val="22"/>
        </w:rPr>
        <w:t xml:space="preserve"> There then follows a list of requests for </w:t>
      </w:r>
      <w:r w:rsidR="00EB3E4C">
        <w:rPr>
          <w:rFonts w:cs="Arial"/>
          <w:bCs/>
          <w:szCs w:val="22"/>
        </w:rPr>
        <w:t>particulars</w:t>
      </w:r>
      <w:r w:rsidR="003653FF" w:rsidRPr="002D1EC7">
        <w:rPr>
          <w:rFonts w:cs="Arial"/>
          <w:bCs/>
          <w:szCs w:val="22"/>
        </w:rPr>
        <w:t xml:space="preserve"> and documents with reference to various paragraphs of the answering affidavit.</w:t>
      </w:r>
    </w:p>
    <w:p w14:paraId="7C41015E" w14:textId="5B29CD83" w:rsidR="003653FF" w:rsidRPr="002D1EC7" w:rsidRDefault="0091370E" w:rsidP="0091370E">
      <w:pPr>
        <w:widowControl w:val="0"/>
        <w:tabs>
          <w:tab w:val="left" w:pos="567"/>
        </w:tabs>
        <w:spacing w:before="480" w:after="480" w:line="360" w:lineRule="auto"/>
        <w:jc w:val="both"/>
        <w:rPr>
          <w:rFonts w:cs="Arial"/>
          <w:bCs/>
          <w:szCs w:val="22"/>
        </w:rPr>
      </w:pPr>
      <w:r w:rsidRPr="002D1EC7">
        <w:rPr>
          <w:rFonts w:cs="Arial"/>
          <w:bCs/>
          <w:szCs w:val="22"/>
        </w:rPr>
        <w:t>[15]</w:t>
      </w:r>
      <w:r w:rsidRPr="002D1EC7">
        <w:rPr>
          <w:rFonts w:cs="Arial"/>
          <w:bCs/>
          <w:szCs w:val="22"/>
        </w:rPr>
        <w:tab/>
      </w:r>
      <w:r w:rsidR="003653FF" w:rsidRPr="002D1EC7">
        <w:rPr>
          <w:rFonts w:cs="Arial"/>
          <w:bCs/>
          <w:szCs w:val="22"/>
        </w:rPr>
        <w:t xml:space="preserve"> </w:t>
      </w:r>
      <w:r w:rsidR="00C46041" w:rsidRPr="002D1EC7">
        <w:rPr>
          <w:rFonts w:cs="Arial"/>
          <w:bCs/>
          <w:szCs w:val="22"/>
        </w:rPr>
        <w:t>In</w:t>
      </w:r>
      <w:r w:rsidR="003653FF" w:rsidRPr="002D1EC7">
        <w:rPr>
          <w:rFonts w:cs="Arial"/>
          <w:bCs/>
          <w:szCs w:val="22"/>
        </w:rPr>
        <w:t xml:space="preserve"> response to the </w:t>
      </w:r>
      <w:r w:rsidR="002E704D" w:rsidRPr="002D1EC7">
        <w:rPr>
          <w:rFonts w:cs="Arial"/>
          <w:bCs/>
          <w:szCs w:val="22"/>
        </w:rPr>
        <w:t>rule 35(12) notice</w:t>
      </w:r>
      <w:r w:rsidR="003653FF" w:rsidRPr="002D1EC7">
        <w:rPr>
          <w:rFonts w:cs="Arial"/>
          <w:bCs/>
          <w:szCs w:val="22"/>
        </w:rPr>
        <w:t xml:space="preserve"> the first respondent</w:t>
      </w:r>
      <w:r w:rsidR="00C0236E" w:rsidRPr="002D1EC7">
        <w:rPr>
          <w:rFonts w:cs="Arial"/>
          <w:bCs/>
          <w:szCs w:val="22"/>
        </w:rPr>
        <w:t xml:space="preserve"> </w:t>
      </w:r>
      <w:r w:rsidR="003653FF" w:rsidRPr="002D1EC7">
        <w:rPr>
          <w:rFonts w:cs="Arial"/>
          <w:bCs/>
          <w:szCs w:val="22"/>
        </w:rPr>
        <w:t xml:space="preserve">discovered a rental </w:t>
      </w:r>
      <w:r w:rsidR="00720C2E" w:rsidRPr="002D1EC7">
        <w:rPr>
          <w:rFonts w:cs="Arial"/>
          <w:bCs/>
          <w:szCs w:val="22"/>
        </w:rPr>
        <w:t>agreement, an</w:t>
      </w:r>
      <w:r w:rsidR="003653FF" w:rsidRPr="002D1EC7">
        <w:rPr>
          <w:rFonts w:cs="Arial"/>
          <w:bCs/>
          <w:szCs w:val="22"/>
        </w:rPr>
        <w:t xml:space="preserve"> </w:t>
      </w:r>
      <w:r w:rsidR="00720C2E" w:rsidRPr="002D1EC7">
        <w:rPr>
          <w:rFonts w:cs="Arial"/>
          <w:bCs/>
          <w:szCs w:val="22"/>
        </w:rPr>
        <w:t>invoice, and</w:t>
      </w:r>
      <w:r w:rsidR="003653FF" w:rsidRPr="002D1EC7">
        <w:rPr>
          <w:rFonts w:cs="Arial"/>
          <w:bCs/>
          <w:szCs w:val="22"/>
        </w:rPr>
        <w:t xml:space="preserve"> appointment letters</w:t>
      </w:r>
      <w:r w:rsidR="006D27E2" w:rsidRPr="002D1EC7">
        <w:rPr>
          <w:rFonts w:cs="Arial"/>
          <w:bCs/>
          <w:szCs w:val="22"/>
        </w:rPr>
        <w:t>.</w:t>
      </w:r>
      <w:r w:rsidR="00EB3E4C">
        <w:rPr>
          <w:rFonts w:cs="Arial"/>
          <w:bCs/>
          <w:szCs w:val="22"/>
        </w:rPr>
        <w:t xml:space="preserve"> This was done in April 2023.</w:t>
      </w:r>
      <w:r w:rsidR="006D27E2" w:rsidRPr="002D1EC7">
        <w:rPr>
          <w:rFonts w:cs="Arial"/>
          <w:bCs/>
          <w:szCs w:val="22"/>
        </w:rPr>
        <w:t xml:space="preserve"> The applicants were not satisfied and launched an application for the discovery of various documents listed in a notice of motion. The first respondent filed an </w:t>
      </w:r>
      <w:r w:rsidR="00C42D18" w:rsidRPr="002D1EC7">
        <w:rPr>
          <w:rFonts w:cs="Arial"/>
          <w:bCs/>
          <w:szCs w:val="22"/>
        </w:rPr>
        <w:t>opposing</w:t>
      </w:r>
      <w:r w:rsidR="006D27E2" w:rsidRPr="002D1EC7">
        <w:rPr>
          <w:rFonts w:cs="Arial"/>
          <w:bCs/>
          <w:szCs w:val="22"/>
        </w:rPr>
        <w:t xml:space="preserve"> affidavit. The deponent </w:t>
      </w:r>
      <w:r w:rsidR="002E704D" w:rsidRPr="002D1EC7">
        <w:rPr>
          <w:rFonts w:cs="Arial"/>
          <w:bCs/>
          <w:szCs w:val="22"/>
        </w:rPr>
        <w:t xml:space="preserve">to the opposing affidavit </w:t>
      </w:r>
      <w:r w:rsidR="006D27E2" w:rsidRPr="002D1EC7">
        <w:rPr>
          <w:rFonts w:cs="Arial"/>
          <w:bCs/>
          <w:szCs w:val="22"/>
        </w:rPr>
        <w:t xml:space="preserve">stated that the first respondent had delivered its answering affidavit </w:t>
      </w:r>
      <w:r w:rsidR="002E704D" w:rsidRPr="002D1EC7">
        <w:rPr>
          <w:rFonts w:cs="Arial"/>
          <w:bCs/>
          <w:szCs w:val="22"/>
        </w:rPr>
        <w:t xml:space="preserve">in the main application </w:t>
      </w:r>
      <w:r w:rsidR="006D27E2" w:rsidRPr="002D1EC7">
        <w:rPr>
          <w:rFonts w:cs="Arial"/>
          <w:bCs/>
          <w:szCs w:val="22"/>
        </w:rPr>
        <w:t xml:space="preserve">on 5 April 2023 and that the replying affidavit by the applicants </w:t>
      </w:r>
      <w:r w:rsidR="00C42D18" w:rsidRPr="002D1EC7">
        <w:rPr>
          <w:rFonts w:cs="Arial"/>
          <w:bCs/>
          <w:szCs w:val="22"/>
        </w:rPr>
        <w:t xml:space="preserve">in the main application </w:t>
      </w:r>
      <w:r w:rsidR="006D27E2" w:rsidRPr="002D1EC7">
        <w:rPr>
          <w:rFonts w:cs="Arial"/>
          <w:bCs/>
          <w:szCs w:val="22"/>
        </w:rPr>
        <w:t xml:space="preserve">was now late. The mere delivery of a notice in terms of rule 35(12) does not suspend the </w:t>
      </w:r>
      <w:r w:rsidR="006D27E2" w:rsidRPr="002D1EC7">
        <w:rPr>
          <w:rFonts w:cs="Arial"/>
          <w:bCs/>
          <w:i/>
          <w:iCs/>
          <w:szCs w:val="22"/>
        </w:rPr>
        <w:t>dies</w:t>
      </w:r>
      <w:r w:rsidR="006D27E2" w:rsidRPr="002D1EC7">
        <w:rPr>
          <w:rFonts w:cs="Arial"/>
          <w:bCs/>
          <w:szCs w:val="22"/>
        </w:rPr>
        <w:t xml:space="preserve"> for the delivery of a replying affidavit.</w:t>
      </w:r>
    </w:p>
    <w:p w14:paraId="7FEDA6FE" w14:textId="49A9F61A" w:rsidR="006D27E2" w:rsidRPr="002D1EC7" w:rsidRDefault="0091370E" w:rsidP="0091370E">
      <w:pPr>
        <w:widowControl w:val="0"/>
        <w:tabs>
          <w:tab w:val="left" w:pos="567"/>
        </w:tabs>
        <w:spacing w:before="480" w:after="480" w:line="360" w:lineRule="auto"/>
        <w:jc w:val="both"/>
        <w:rPr>
          <w:rFonts w:cs="Arial"/>
          <w:bCs/>
          <w:szCs w:val="22"/>
        </w:rPr>
      </w:pPr>
      <w:r w:rsidRPr="002D1EC7">
        <w:rPr>
          <w:rFonts w:cs="Arial"/>
          <w:bCs/>
          <w:szCs w:val="22"/>
        </w:rPr>
        <w:t>[16]</w:t>
      </w:r>
      <w:r w:rsidRPr="002D1EC7">
        <w:rPr>
          <w:rFonts w:cs="Arial"/>
          <w:bCs/>
          <w:szCs w:val="22"/>
        </w:rPr>
        <w:tab/>
      </w:r>
      <w:r w:rsidR="006D27E2" w:rsidRPr="002D1EC7">
        <w:rPr>
          <w:rFonts w:cs="Arial"/>
          <w:bCs/>
          <w:szCs w:val="22"/>
        </w:rPr>
        <w:t xml:space="preserve">The deponent </w:t>
      </w:r>
      <w:r w:rsidR="007966EF">
        <w:rPr>
          <w:rFonts w:cs="Arial"/>
          <w:bCs/>
          <w:szCs w:val="22"/>
        </w:rPr>
        <w:t xml:space="preserve">to the opposing affidavit </w:t>
      </w:r>
      <w:r w:rsidR="006D27E2" w:rsidRPr="002D1EC7">
        <w:rPr>
          <w:rFonts w:cs="Arial"/>
          <w:bCs/>
          <w:szCs w:val="22"/>
        </w:rPr>
        <w:t xml:space="preserve">submits that a party may not rely on rule 35(12) to request documents not referred to in a pleading or affidavit and may not utilise the sub-rule to obtain further and better discovery. He submitted that the applicants request went </w:t>
      </w:r>
      <w:r w:rsidR="00EB3E4C">
        <w:rPr>
          <w:rFonts w:cs="Arial"/>
          <w:bCs/>
          <w:szCs w:val="22"/>
        </w:rPr>
        <w:t>beyond</w:t>
      </w:r>
      <w:r w:rsidR="006D27E2" w:rsidRPr="002D1EC7">
        <w:rPr>
          <w:rFonts w:cs="Arial"/>
          <w:bCs/>
          <w:szCs w:val="22"/>
        </w:rPr>
        <w:t xml:space="preserve"> the parameters of the sub-rule and constituted interrogatories directed at the first respondent.</w:t>
      </w:r>
    </w:p>
    <w:p w14:paraId="1699E82A" w14:textId="6DA40D95" w:rsidR="00C0236E" w:rsidRPr="002D1EC7" w:rsidRDefault="0091370E" w:rsidP="0091370E">
      <w:pPr>
        <w:widowControl w:val="0"/>
        <w:tabs>
          <w:tab w:val="left" w:pos="567"/>
        </w:tabs>
        <w:spacing w:before="480" w:after="480" w:line="360" w:lineRule="auto"/>
        <w:jc w:val="both"/>
        <w:rPr>
          <w:rFonts w:cs="Arial"/>
          <w:bCs/>
          <w:szCs w:val="22"/>
        </w:rPr>
      </w:pPr>
      <w:r w:rsidRPr="002D1EC7">
        <w:rPr>
          <w:rFonts w:cs="Arial"/>
          <w:bCs/>
          <w:szCs w:val="22"/>
        </w:rPr>
        <w:t>[17]</w:t>
      </w:r>
      <w:r w:rsidRPr="002D1EC7">
        <w:rPr>
          <w:rFonts w:cs="Arial"/>
          <w:bCs/>
          <w:szCs w:val="22"/>
        </w:rPr>
        <w:tab/>
      </w:r>
      <w:r w:rsidR="00BA304F" w:rsidRPr="002D1EC7">
        <w:rPr>
          <w:rFonts w:cs="Arial"/>
          <w:bCs/>
          <w:szCs w:val="22"/>
        </w:rPr>
        <w:t>The deponent dealt in detail with the request for documents</w:t>
      </w:r>
      <w:r w:rsidR="00EB3E4C">
        <w:rPr>
          <w:rFonts w:cs="Arial"/>
          <w:bCs/>
          <w:szCs w:val="22"/>
        </w:rPr>
        <w:t xml:space="preserve"> in the opposing affidavit</w:t>
      </w:r>
      <w:r w:rsidR="00BA304F" w:rsidRPr="002D1EC7">
        <w:rPr>
          <w:rFonts w:cs="Arial"/>
          <w:bCs/>
          <w:szCs w:val="22"/>
        </w:rPr>
        <w:t xml:space="preserve">. </w:t>
      </w:r>
    </w:p>
    <w:p w14:paraId="25D6A290" w14:textId="5E513D28" w:rsidR="00BA304F" w:rsidRPr="002D1EC7" w:rsidRDefault="0091370E" w:rsidP="0091370E">
      <w:pPr>
        <w:widowControl w:val="0"/>
        <w:tabs>
          <w:tab w:val="left" w:pos="1418"/>
        </w:tabs>
        <w:spacing w:before="480" w:after="480" w:line="360" w:lineRule="auto"/>
        <w:ind w:left="1418" w:hanging="851"/>
        <w:jc w:val="both"/>
        <w:rPr>
          <w:rFonts w:cs="Arial"/>
          <w:bCs/>
          <w:szCs w:val="22"/>
        </w:rPr>
      </w:pPr>
      <w:r w:rsidRPr="002D1EC7">
        <w:rPr>
          <w:rFonts w:cs="Arial"/>
          <w:bCs/>
          <w:szCs w:val="22"/>
        </w:rPr>
        <w:t>17.1</w:t>
      </w:r>
      <w:r w:rsidRPr="002D1EC7">
        <w:rPr>
          <w:rFonts w:cs="Arial"/>
          <w:bCs/>
          <w:szCs w:val="22"/>
        </w:rPr>
        <w:tab/>
      </w:r>
      <w:r w:rsidR="00BA304F" w:rsidRPr="002D1EC7">
        <w:rPr>
          <w:rFonts w:cs="Arial"/>
          <w:bCs/>
          <w:szCs w:val="22"/>
        </w:rPr>
        <w:t xml:space="preserve">Paragraphs 26 and 27 of the answering affidavit do not refer to written </w:t>
      </w:r>
      <w:r w:rsidR="00BA304F" w:rsidRPr="002D1EC7">
        <w:rPr>
          <w:rFonts w:cs="Arial"/>
          <w:bCs/>
          <w:szCs w:val="22"/>
        </w:rPr>
        <w:lastRenderedPageBreak/>
        <w:t>documents and the deponent confirmed that no written contracts had been entered into.</w:t>
      </w:r>
      <w:r w:rsidR="001305E0" w:rsidRPr="002D1EC7">
        <w:rPr>
          <w:rFonts w:cs="Arial"/>
          <w:bCs/>
          <w:szCs w:val="22"/>
        </w:rPr>
        <w:t xml:space="preserve"> The contracts for the supply of bitumen had been concluded orally and </w:t>
      </w:r>
      <w:r w:rsidR="00BA304F" w:rsidRPr="002D1EC7">
        <w:rPr>
          <w:rFonts w:cs="Arial"/>
          <w:bCs/>
          <w:szCs w:val="22"/>
        </w:rPr>
        <w:t>proof of payment</w:t>
      </w:r>
      <w:r w:rsidR="001305E0" w:rsidRPr="002D1EC7">
        <w:rPr>
          <w:rFonts w:cs="Arial"/>
          <w:bCs/>
          <w:szCs w:val="22"/>
        </w:rPr>
        <w:t>s</w:t>
      </w:r>
      <w:r w:rsidR="00BA304F" w:rsidRPr="002D1EC7">
        <w:rPr>
          <w:rFonts w:cs="Arial"/>
          <w:bCs/>
          <w:szCs w:val="22"/>
        </w:rPr>
        <w:t xml:space="preserve"> made were annexed to the answering affidavit and</w:t>
      </w:r>
      <w:r w:rsidR="001305E0" w:rsidRPr="002D1EC7">
        <w:rPr>
          <w:rFonts w:cs="Arial"/>
          <w:bCs/>
          <w:szCs w:val="22"/>
        </w:rPr>
        <w:t xml:space="preserve"> copies of invoices issued by suppliers were annexed to the opposing affidavit.</w:t>
      </w:r>
    </w:p>
    <w:p w14:paraId="2214B273" w14:textId="53F0F76F" w:rsidR="00BA304F" w:rsidRPr="002D1EC7" w:rsidRDefault="0091370E" w:rsidP="0091370E">
      <w:pPr>
        <w:widowControl w:val="0"/>
        <w:tabs>
          <w:tab w:val="left" w:pos="1418"/>
        </w:tabs>
        <w:spacing w:before="480" w:after="480" w:line="360" w:lineRule="auto"/>
        <w:ind w:left="1418" w:hanging="851"/>
        <w:jc w:val="both"/>
        <w:rPr>
          <w:rFonts w:cs="Arial"/>
          <w:bCs/>
          <w:szCs w:val="22"/>
        </w:rPr>
      </w:pPr>
      <w:r w:rsidRPr="002D1EC7">
        <w:rPr>
          <w:rFonts w:cs="Arial"/>
          <w:bCs/>
          <w:szCs w:val="22"/>
        </w:rPr>
        <w:t>17.2</w:t>
      </w:r>
      <w:r w:rsidRPr="002D1EC7">
        <w:rPr>
          <w:rFonts w:cs="Arial"/>
          <w:bCs/>
          <w:szCs w:val="22"/>
        </w:rPr>
        <w:tab/>
      </w:r>
      <w:r w:rsidR="001305E0" w:rsidRPr="002D1EC7">
        <w:rPr>
          <w:rFonts w:cs="Arial"/>
          <w:bCs/>
          <w:szCs w:val="22"/>
        </w:rPr>
        <w:t>Rule 35(12)</w:t>
      </w:r>
      <w:r w:rsidR="00BA304F" w:rsidRPr="002D1EC7">
        <w:rPr>
          <w:rFonts w:cs="Arial"/>
          <w:bCs/>
          <w:szCs w:val="22"/>
        </w:rPr>
        <w:t xml:space="preserve"> cannot be employed to obtain the names of contracting parties as sought by the applicants.</w:t>
      </w:r>
      <w:r w:rsidR="00C42D18" w:rsidRPr="002D1EC7">
        <w:rPr>
          <w:rFonts w:cs="Arial"/>
          <w:bCs/>
          <w:szCs w:val="22"/>
        </w:rPr>
        <w:t xml:space="preserve"> This amounts to a request for further and better particulars rather than discovery of documents.</w:t>
      </w:r>
    </w:p>
    <w:p w14:paraId="37416E88" w14:textId="7D4179F7" w:rsidR="006D27E2" w:rsidRPr="002D1EC7" w:rsidRDefault="0091370E" w:rsidP="0091370E">
      <w:pPr>
        <w:widowControl w:val="0"/>
        <w:tabs>
          <w:tab w:val="left" w:pos="1418"/>
        </w:tabs>
        <w:spacing w:before="480" w:after="480" w:line="360" w:lineRule="auto"/>
        <w:ind w:left="1418" w:hanging="851"/>
        <w:jc w:val="both"/>
        <w:rPr>
          <w:rFonts w:cs="Arial"/>
          <w:bCs/>
          <w:szCs w:val="22"/>
        </w:rPr>
      </w:pPr>
      <w:r w:rsidRPr="002D1EC7">
        <w:rPr>
          <w:rFonts w:cs="Arial"/>
          <w:bCs/>
          <w:szCs w:val="22"/>
        </w:rPr>
        <w:t>17.3</w:t>
      </w:r>
      <w:r w:rsidRPr="002D1EC7">
        <w:rPr>
          <w:rFonts w:cs="Arial"/>
          <w:bCs/>
          <w:szCs w:val="22"/>
        </w:rPr>
        <w:tab/>
      </w:r>
      <w:r w:rsidR="00BA304F" w:rsidRPr="002D1EC7">
        <w:rPr>
          <w:rFonts w:cs="Arial"/>
          <w:bCs/>
          <w:szCs w:val="22"/>
        </w:rPr>
        <w:t>In respect of paragraph 32 of the answering affidavit the deponent confirmed that the documents referred to were annexed to the answering affidavit as annexures.</w:t>
      </w:r>
      <w:r w:rsidR="00554ED3" w:rsidRPr="002D1EC7">
        <w:rPr>
          <w:rFonts w:cs="Arial"/>
          <w:bCs/>
          <w:szCs w:val="22"/>
        </w:rPr>
        <w:t xml:space="preserve"> These documents relate to the cost of bitumen. </w:t>
      </w:r>
      <w:r w:rsidR="00D05AC1" w:rsidRPr="002D1EC7">
        <w:rPr>
          <w:rFonts w:cs="Arial"/>
          <w:bCs/>
          <w:szCs w:val="22"/>
        </w:rPr>
        <w:t>Rule 35(12)</w:t>
      </w:r>
      <w:r w:rsidR="00554ED3" w:rsidRPr="002D1EC7">
        <w:rPr>
          <w:rFonts w:cs="Arial"/>
          <w:bCs/>
          <w:szCs w:val="22"/>
        </w:rPr>
        <w:t xml:space="preserve"> cannot be utilised to obtain access to other documents.</w:t>
      </w:r>
    </w:p>
    <w:p w14:paraId="3023124A" w14:textId="142F7FAB" w:rsidR="00D05AC1" w:rsidRPr="002D1EC7" w:rsidRDefault="0091370E" w:rsidP="0091370E">
      <w:pPr>
        <w:widowControl w:val="0"/>
        <w:tabs>
          <w:tab w:val="left" w:pos="1418"/>
        </w:tabs>
        <w:spacing w:before="480" w:after="480" w:line="360" w:lineRule="auto"/>
        <w:ind w:left="1418" w:hanging="851"/>
        <w:jc w:val="both"/>
        <w:rPr>
          <w:rFonts w:cs="Arial"/>
          <w:bCs/>
          <w:szCs w:val="22"/>
        </w:rPr>
      </w:pPr>
      <w:r w:rsidRPr="002D1EC7">
        <w:rPr>
          <w:rFonts w:cs="Arial"/>
          <w:bCs/>
          <w:szCs w:val="22"/>
        </w:rPr>
        <w:t>17.4</w:t>
      </w:r>
      <w:r w:rsidRPr="002D1EC7">
        <w:rPr>
          <w:rFonts w:cs="Arial"/>
          <w:bCs/>
          <w:szCs w:val="22"/>
        </w:rPr>
        <w:tab/>
      </w:r>
      <w:r w:rsidR="00D05AC1" w:rsidRPr="002D1EC7">
        <w:rPr>
          <w:rFonts w:cs="Arial"/>
          <w:bCs/>
          <w:szCs w:val="22"/>
        </w:rPr>
        <w:t>The applicants’ objection seems to be that the documents provided did not reflect date stamps rather than that the documents were not provided that all.</w:t>
      </w:r>
    </w:p>
    <w:p w14:paraId="5FEB8E11" w14:textId="25FDC9B2" w:rsidR="00554ED3" w:rsidRPr="002D1EC7" w:rsidRDefault="0091370E" w:rsidP="0091370E">
      <w:pPr>
        <w:widowControl w:val="0"/>
        <w:tabs>
          <w:tab w:val="left" w:pos="1418"/>
        </w:tabs>
        <w:spacing w:before="480" w:after="480" w:line="360" w:lineRule="auto"/>
        <w:ind w:left="1418" w:hanging="851"/>
        <w:jc w:val="both"/>
        <w:rPr>
          <w:rFonts w:cs="Arial"/>
          <w:bCs/>
          <w:szCs w:val="22"/>
        </w:rPr>
      </w:pPr>
      <w:r w:rsidRPr="002D1EC7">
        <w:rPr>
          <w:rFonts w:cs="Arial"/>
          <w:bCs/>
          <w:szCs w:val="22"/>
        </w:rPr>
        <w:t>17.5</w:t>
      </w:r>
      <w:r w:rsidRPr="002D1EC7">
        <w:rPr>
          <w:rFonts w:cs="Arial"/>
          <w:bCs/>
          <w:szCs w:val="22"/>
        </w:rPr>
        <w:tab/>
      </w:r>
      <w:r w:rsidR="00554ED3" w:rsidRPr="002D1EC7">
        <w:rPr>
          <w:rFonts w:cs="Arial"/>
          <w:bCs/>
          <w:szCs w:val="22"/>
        </w:rPr>
        <w:t xml:space="preserve">With reference to paragraph 33.1 of the answering affidavit the applicants seek the </w:t>
      </w:r>
      <w:r w:rsidR="00EB3E4C">
        <w:rPr>
          <w:rFonts w:cs="Arial"/>
          <w:bCs/>
          <w:szCs w:val="22"/>
        </w:rPr>
        <w:t>discovery</w:t>
      </w:r>
      <w:r w:rsidR="00554ED3" w:rsidRPr="002D1EC7">
        <w:rPr>
          <w:rFonts w:cs="Arial"/>
          <w:bCs/>
          <w:szCs w:val="22"/>
        </w:rPr>
        <w:t xml:space="preserve"> of proof of payment and proof of cost in the regards to labour, copies of employment agreements, and the production of monthly payslips. None of these documents are referred to in paragraph 33 of the answering affidavit. The first respondent</w:t>
      </w:r>
      <w:r w:rsidR="00D05AC1" w:rsidRPr="002D1EC7">
        <w:rPr>
          <w:rFonts w:cs="Arial"/>
          <w:bCs/>
          <w:szCs w:val="22"/>
        </w:rPr>
        <w:t xml:space="preserve"> without admitting any obligation to do so</w:t>
      </w:r>
      <w:r w:rsidR="00554ED3" w:rsidRPr="002D1EC7">
        <w:rPr>
          <w:rFonts w:cs="Arial"/>
          <w:bCs/>
          <w:szCs w:val="22"/>
        </w:rPr>
        <w:t xml:space="preserve"> nevertheless made copies of payslips available and attached same to its</w:t>
      </w:r>
      <w:r w:rsidR="00C42D18" w:rsidRPr="002D1EC7">
        <w:rPr>
          <w:rFonts w:cs="Arial"/>
          <w:bCs/>
          <w:szCs w:val="22"/>
        </w:rPr>
        <w:t xml:space="preserve"> opposing</w:t>
      </w:r>
      <w:r w:rsidR="00554ED3" w:rsidRPr="002D1EC7">
        <w:rPr>
          <w:rFonts w:cs="Arial"/>
          <w:bCs/>
          <w:szCs w:val="22"/>
        </w:rPr>
        <w:t xml:space="preserve"> affidavit.</w:t>
      </w:r>
    </w:p>
    <w:p w14:paraId="3F5730E1" w14:textId="0D197DDA" w:rsidR="00554ED3" w:rsidRPr="002D1EC7" w:rsidRDefault="0091370E" w:rsidP="0091370E">
      <w:pPr>
        <w:widowControl w:val="0"/>
        <w:tabs>
          <w:tab w:val="left" w:pos="1418"/>
        </w:tabs>
        <w:spacing w:before="480" w:after="480" w:line="360" w:lineRule="auto"/>
        <w:ind w:left="1418" w:hanging="851"/>
        <w:jc w:val="both"/>
        <w:rPr>
          <w:rFonts w:cs="Arial"/>
          <w:bCs/>
          <w:szCs w:val="22"/>
        </w:rPr>
      </w:pPr>
      <w:r w:rsidRPr="002D1EC7">
        <w:rPr>
          <w:rFonts w:cs="Arial"/>
          <w:bCs/>
          <w:szCs w:val="22"/>
        </w:rPr>
        <w:t>17.6</w:t>
      </w:r>
      <w:r w:rsidRPr="002D1EC7">
        <w:rPr>
          <w:rFonts w:cs="Arial"/>
          <w:bCs/>
          <w:szCs w:val="22"/>
        </w:rPr>
        <w:tab/>
      </w:r>
      <w:r w:rsidR="00C0236E" w:rsidRPr="002D1EC7">
        <w:rPr>
          <w:rFonts w:cs="Arial"/>
          <w:bCs/>
          <w:szCs w:val="22"/>
        </w:rPr>
        <w:t xml:space="preserve">With reference to paragraph 33.2 of the answering affidavit the </w:t>
      </w:r>
      <w:r w:rsidR="00554ED3" w:rsidRPr="002D1EC7">
        <w:rPr>
          <w:rFonts w:cs="Arial"/>
          <w:bCs/>
          <w:szCs w:val="22"/>
        </w:rPr>
        <w:t>applicant also see</w:t>
      </w:r>
      <w:r w:rsidR="00C0236E" w:rsidRPr="002D1EC7">
        <w:rPr>
          <w:rFonts w:cs="Arial"/>
          <w:bCs/>
          <w:szCs w:val="22"/>
        </w:rPr>
        <w:t>ks</w:t>
      </w:r>
      <w:r w:rsidR="00554ED3" w:rsidRPr="002D1EC7">
        <w:rPr>
          <w:rFonts w:cs="Arial"/>
          <w:bCs/>
          <w:szCs w:val="22"/>
        </w:rPr>
        <w:t xml:space="preserve"> copies of proof of costs of securing storage facilities and lease agreements. No such documents are referred to in the answering affidavit.</w:t>
      </w:r>
      <w:r w:rsidR="00D05AC1" w:rsidRPr="002D1EC7">
        <w:rPr>
          <w:rFonts w:cs="Arial"/>
          <w:bCs/>
          <w:szCs w:val="22"/>
        </w:rPr>
        <w:t xml:space="preserve"> The first respondent explains that there are no written lease agreements and that the bitumen was stored</w:t>
      </w:r>
      <w:r w:rsidR="00335170" w:rsidRPr="002D1EC7">
        <w:rPr>
          <w:rFonts w:cs="Arial"/>
          <w:bCs/>
          <w:szCs w:val="22"/>
        </w:rPr>
        <w:t xml:space="preserve"> at premises leased to the joint venture in terms of an oral agreement.</w:t>
      </w:r>
    </w:p>
    <w:p w14:paraId="0A21E8ED" w14:textId="09B8AEE0" w:rsidR="00554ED3" w:rsidRPr="002D1EC7" w:rsidRDefault="0091370E" w:rsidP="0091370E">
      <w:pPr>
        <w:widowControl w:val="0"/>
        <w:tabs>
          <w:tab w:val="left" w:pos="1418"/>
        </w:tabs>
        <w:spacing w:before="480" w:after="480" w:line="360" w:lineRule="auto"/>
        <w:ind w:left="1418" w:hanging="851"/>
        <w:jc w:val="both"/>
        <w:rPr>
          <w:rFonts w:cs="Arial"/>
          <w:bCs/>
          <w:szCs w:val="22"/>
        </w:rPr>
      </w:pPr>
      <w:r w:rsidRPr="002D1EC7">
        <w:rPr>
          <w:rFonts w:cs="Arial"/>
          <w:bCs/>
          <w:szCs w:val="22"/>
        </w:rPr>
        <w:t>17.7</w:t>
      </w:r>
      <w:r w:rsidRPr="002D1EC7">
        <w:rPr>
          <w:rFonts w:cs="Arial"/>
          <w:bCs/>
          <w:szCs w:val="22"/>
        </w:rPr>
        <w:tab/>
      </w:r>
      <w:r w:rsidR="00554ED3" w:rsidRPr="002D1EC7">
        <w:rPr>
          <w:rFonts w:cs="Arial"/>
          <w:bCs/>
          <w:szCs w:val="22"/>
        </w:rPr>
        <w:t xml:space="preserve">The first respondent explains that there is no written lease agreement and </w:t>
      </w:r>
      <w:r w:rsidR="00554ED3" w:rsidRPr="002D1EC7">
        <w:rPr>
          <w:rFonts w:cs="Arial"/>
          <w:bCs/>
          <w:szCs w:val="22"/>
        </w:rPr>
        <w:lastRenderedPageBreak/>
        <w:t>there is no reference to a lease agreement in the answering affidavit.</w:t>
      </w:r>
    </w:p>
    <w:p w14:paraId="1DB4DB12" w14:textId="0CCC03C1" w:rsidR="00554ED3" w:rsidRPr="002D1EC7" w:rsidRDefault="0091370E" w:rsidP="0091370E">
      <w:pPr>
        <w:widowControl w:val="0"/>
        <w:tabs>
          <w:tab w:val="left" w:pos="1418"/>
        </w:tabs>
        <w:spacing w:before="480" w:after="480" w:line="360" w:lineRule="auto"/>
        <w:ind w:left="1418" w:hanging="851"/>
        <w:jc w:val="both"/>
        <w:rPr>
          <w:rFonts w:cs="Arial"/>
          <w:bCs/>
          <w:szCs w:val="22"/>
        </w:rPr>
      </w:pPr>
      <w:r w:rsidRPr="002D1EC7">
        <w:rPr>
          <w:rFonts w:cs="Arial"/>
          <w:bCs/>
          <w:szCs w:val="22"/>
        </w:rPr>
        <w:t>17.8</w:t>
      </w:r>
      <w:r w:rsidRPr="002D1EC7">
        <w:rPr>
          <w:rFonts w:cs="Arial"/>
          <w:bCs/>
          <w:szCs w:val="22"/>
        </w:rPr>
        <w:tab/>
      </w:r>
      <w:r w:rsidR="00554ED3" w:rsidRPr="002D1EC7">
        <w:rPr>
          <w:rFonts w:cs="Arial"/>
          <w:bCs/>
          <w:szCs w:val="22"/>
        </w:rPr>
        <w:t>The applicants then seek documents evidencing proof of costs of vehicle</w:t>
      </w:r>
      <w:r w:rsidR="00EB3E4C">
        <w:rPr>
          <w:rFonts w:cs="Arial"/>
          <w:bCs/>
          <w:szCs w:val="22"/>
        </w:rPr>
        <w:t>s</w:t>
      </w:r>
      <w:r w:rsidR="00C0236E" w:rsidRPr="002D1EC7">
        <w:rPr>
          <w:rFonts w:cs="Arial"/>
          <w:bCs/>
          <w:szCs w:val="22"/>
        </w:rPr>
        <w:t xml:space="preserve"> and</w:t>
      </w:r>
      <w:r w:rsidR="00554ED3" w:rsidRPr="002D1EC7">
        <w:rPr>
          <w:rFonts w:cs="Arial"/>
          <w:bCs/>
          <w:szCs w:val="22"/>
        </w:rPr>
        <w:t xml:space="preserve"> copies of lease agreement</w:t>
      </w:r>
      <w:r w:rsidR="00EB3E4C">
        <w:rPr>
          <w:rFonts w:cs="Arial"/>
          <w:bCs/>
          <w:szCs w:val="22"/>
        </w:rPr>
        <w:t>s</w:t>
      </w:r>
      <w:r w:rsidR="00554ED3" w:rsidRPr="002D1EC7">
        <w:rPr>
          <w:rFonts w:cs="Arial"/>
          <w:bCs/>
          <w:szCs w:val="22"/>
        </w:rPr>
        <w:t>. No such documents are referred to in paragraph 33</w:t>
      </w:r>
      <w:r w:rsidR="00C0236E" w:rsidRPr="002D1EC7">
        <w:rPr>
          <w:rFonts w:cs="Arial"/>
          <w:bCs/>
          <w:szCs w:val="22"/>
        </w:rPr>
        <w:t>.3</w:t>
      </w:r>
      <w:r w:rsidR="00554ED3" w:rsidRPr="002D1EC7">
        <w:rPr>
          <w:rFonts w:cs="Arial"/>
          <w:bCs/>
          <w:szCs w:val="22"/>
        </w:rPr>
        <w:t xml:space="preserve"> of the answering affidavit or anywhere else</w:t>
      </w:r>
      <w:r w:rsidR="00C0236E" w:rsidRPr="002D1EC7">
        <w:rPr>
          <w:rFonts w:cs="Arial"/>
          <w:bCs/>
          <w:szCs w:val="22"/>
        </w:rPr>
        <w:t>.</w:t>
      </w:r>
      <w:r w:rsidR="00335170" w:rsidRPr="002D1EC7">
        <w:rPr>
          <w:rFonts w:cs="Arial"/>
          <w:bCs/>
          <w:szCs w:val="22"/>
        </w:rPr>
        <w:t xml:space="preserve"> The first respondent confirms that there are no such written documents.</w:t>
      </w:r>
    </w:p>
    <w:p w14:paraId="5FE6522F" w14:textId="16E5E698" w:rsidR="00EB3E4C" w:rsidRDefault="0091370E" w:rsidP="0091370E">
      <w:pPr>
        <w:widowControl w:val="0"/>
        <w:tabs>
          <w:tab w:val="left" w:pos="1418"/>
        </w:tabs>
        <w:spacing w:before="480" w:after="480" w:line="360" w:lineRule="auto"/>
        <w:ind w:left="1418" w:hanging="851"/>
        <w:jc w:val="both"/>
        <w:rPr>
          <w:rFonts w:cs="Arial"/>
          <w:bCs/>
          <w:szCs w:val="22"/>
        </w:rPr>
      </w:pPr>
      <w:r>
        <w:rPr>
          <w:rFonts w:cs="Arial"/>
          <w:bCs/>
          <w:szCs w:val="22"/>
        </w:rPr>
        <w:t>17.9</w:t>
      </w:r>
      <w:r>
        <w:rPr>
          <w:rFonts w:cs="Arial"/>
          <w:bCs/>
          <w:szCs w:val="22"/>
        </w:rPr>
        <w:tab/>
      </w:r>
      <w:r w:rsidR="00554ED3" w:rsidRPr="002D1EC7">
        <w:rPr>
          <w:rFonts w:cs="Arial"/>
          <w:bCs/>
          <w:szCs w:val="22"/>
        </w:rPr>
        <w:t xml:space="preserve">In the respect of the reference to insurance the applicant in paragraph 33.4 of the answering affidavit the applicant seeks proof of insurance costs and a copy of the insurance agreement. No such documents are referred to in the answering affidavit. </w:t>
      </w:r>
    </w:p>
    <w:p w14:paraId="0EE7F02A" w14:textId="43866BE4" w:rsidR="00554ED3" w:rsidRPr="002D1EC7" w:rsidRDefault="0091370E" w:rsidP="0091370E">
      <w:pPr>
        <w:widowControl w:val="0"/>
        <w:tabs>
          <w:tab w:val="left" w:pos="1418"/>
        </w:tabs>
        <w:spacing w:before="480" w:after="480" w:line="360" w:lineRule="auto"/>
        <w:ind w:left="1418" w:hanging="851"/>
        <w:jc w:val="both"/>
        <w:rPr>
          <w:rFonts w:cs="Arial"/>
          <w:bCs/>
          <w:szCs w:val="22"/>
        </w:rPr>
      </w:pPr>
      <w:r w:rsidRPr="002D1EC7">
        <w:rPr>
          <w:rFonts w:cs="Arial"/>
          <w:bCs/>
          <w:szCs w:val="22"/>
        </w:rPr>
        <w:t>17.10</w:t>
      </w:r>
      <w:r w:rsidRPr="002D1EC7">
        <w:rPr>
          <w:rFonts w:cs="Arial"/>
          <w:bCs/>
          <w:szCs w:val="22"/>
        </w:rPr>
        <w:tab/>
      </w:r>
      <w:r w:rsidR="00554ED3" w:rsidRPr="002D1EC7">
        <w:rPr>
          <w:rFonts w:cs="Arial"/>
          <w:bCs/>
          <w:szCs w:val="22"/>
        </w:rPr>
        <w:t>The applicant also seeks access to miscellaneous documents</w:t>
      </w:r>
      <w:r w:rsidR="00C0236E" w:rsidRPr="002D1EC7">
        <w:rPr>
          <w:rFonts w:cs="Arial"/>
          <w:bCs/>
          <w:szCs w:val="22"/>
        </w:rPr>
        <w:t xml:space="preserve"> with reference to paragraph 33.5 of the answering affidavit</w:t>
      </w:r>
      <w:r w:rsidR="00554ED3" w:rsidRPr="002D1EC7">
        <w:rPr>
          <w:rFonts w:cs="Arial"/>
          <w:bCs/>
          <w:szCs w:val="22"/>
        </w:rPr>
        <w:t>. No documents are referred to</w:t>
      </w:r>
      <w:r w:rsidR="0055674D" w:rsidRPr="002D1EC7">
        <w:rPr>
          <w:rFonts w:cs="Arial"/>
          <w:bCs/>
          <w:szCs w:val="22"/>
        </w:rPr>
        <w:t xml:space="preserve"> and</w:t>
      </w:r>
      <w:r w:rsidR="00554ED3" w:rsidRPr="002D1EC7">
        <w:rPr>
          <w:rFonts w:cs="Arial"/>
          <w:bCs/>
          <w:szCs w:val="22"/>
        </w:rPr>
        <w:t xml:space="preserve"> documentation relating to a laptop computer </w:t>
      </w:r>
      <w:r w:rsidR="0055674D" w:rsidRPr="002D1EC7">
        <w:rPr>
          <w:rFonts w:cs="Arial"/>
          <w:bCs/>
          <w:szCs w:val="22"/>
        </w:rPr>
        <w:t>had</w:t>
      </w:r>
      <w:r w:rsidR="00554ED3" w:rsidRPr="002D1EC7">
        <w:rPr>
          <w:rFonts w:cs="Arial"/>
          <w:bCs/>
          <w:szCs w:val="22"/>
        </w:rPr>
        <w:t xml:space="preserve"> in any event </w:t>
      </w:r>
      <w:r w:rsidR="0055674D" w:rsidRPr="002D1EC7">
        <w:rPr>
          <w:rFonts w:cs="Arial"/>
          <w:bCs/>
          <w:szCs w:val="22"/>
        </w:rPr>
        <w:t xml:space="preserve">been </w:t>
      </w:r>
      <w:r w:rsidR="00554ED3" w:rsidRPr="002D1EC7">
        <w:rPr>
          <w:rFonts w:cs="Arial"/>
          <w:bCs/>
          <w:szCs w:val="22"/>
        </w:rPr>
        <w:t>provided in the initial response to the rule 35(12) notice.</w:t>
      </w:r>
    </w:p>
    <w:p w14:paraId="761F5022" w14:textId="181A499B" w:rsidR="00554ED3" w:rsidRPr="002D1EC7" w:rsidRDefault="0091370E" w:rsidP="0091370E">
      <w:pPr>
        <w:widowControl w:val="0"/>
        <w:tabs>
          <w:tab w:val="left" w:pos="1418"/>
        </w:tabs>
        <w:spacing w:before="480" w:after="480" w:line="360" w:lineRule="auto"/>
        <w:ind w:left="1418" w:hanging="851"/>
        <w:jc w:val="both"/>
        <w:rPr>
          <w:rFonts w:cs="Arial"/>
          <w:bCs/>
          <w:szCs w:val="22"/>
        </w:rPr>
      </w:pPr>
      <w:r w:rsidRPr="002D1EC7">
        <w:rPr>
          <w:rFonts w:cs="Arial"/>
          <w:bCs/>
          <w:szCs w:val="22"/>
        </w:rPr>
        <w:t>17.11</w:t>
      </w:r>
      <w:r w:rsidRPr="002D1EC7">
        <w:rPr>
          <w:rFonts w:cs="Arial"/>
          <w:bCs/>
          <w:szCs w:val="22"/>
        </w:rPr>
        <w:tab/>
      </w:r>
      <w:r w:rsidR="00C0236E" w:rsidRPr="002D1EC7">
        <w:rPr>
          <w:rFonts w:cs="Arial"/>
          <w:bCs/>
          <w:szCs w:val="22"/>
        </w:rPr>
        <w:t>In respect of evidence to establish the losses suffered by the first respondent reflected in the schedule “PKR4”</w:t>
      </w:r>
      <w:r w:rsidR="0055674D" w:rsidRPr="002D1EC7">
        <w:rPr>
          <w:rFonts w:cs="Arial"/>
          <w:bCs/>
          <w:szCs w:val="22"/>
        </w:rPr>
        <w:t xml:space="preserve"> mentioned in paragraph 34 of the answering affidavit</w:t>
      </w:r>
      <w:r w:rsidR="00C0236E" w:rsidRPr="002D1EC7">
        <w:rPr>
          <w:rFonts w:cs="Arial"/>
          <w:bCs/>
          <w:szCs w:val="22"/>
        </w:rPr>
        <w:t xml:space="preserve"> to the answering affidavit the documents have been provided.</w:t>
      </w:r>
    </w:p>
    <w:p w14:paraId="79D15E49" w14:textId="10834C7E" w:rsidR="00C0236E" w:rsidRPr="002D1EC7" w:rsidRDefault="0091370E" w:rsidP="0091370E">
      <w:pPr>
        <w:widowControl w:val="0"/>
        <w:tabs>
          <w:tab w:val="left" w:pos="567"/>
        </w:tabs>
        <w:spacing w:before="480" w:after="480" w:line="360" w:lineRule="auto"/>
        <w:jc w:val="both"/>
        <w:rPr>
          <w:rFonts w:cs="Arial"/>
          <w:bCs/>
          <w:szCs w:val="22"/>
        </w:rPr>
      </w:pPr>
      <w:r w:rsidRPr="002D1EC7">
        <w:rPr>
          <w:rFonts w:cs="Arial"/>
          <w:bCs/>
          <w:szCs w:val="22"/>
        </w:rPr>
        <w:t>[18]</w:t>
      </w:r>
      <w:r w:rsidRPr="002D1EC7">
        <w:rPr>
          <w:rFonts w:cs="Arial"/>
          <w:bCs/>
          <w:szCs w:val="22"/>
        </w:rPr>
        <w:tab/>
      </w:r>
      <w:r w:rsidR="00C0236E" w:rsidRPr="002D1EC7">
        <w:rPr>
          <w:rFonts w:cs="Arial"/>
          <w:bCs/>
          <w:szCs w:val="22"/>
        </w:rPr>
        <w:t>The first respondent failed to provide a formal r</w:t>
      </w:r>
      <w:r w:rsidR="0055674D" w:rsidRPr="002D1EC7">
        <w:rPr>
          <w:rFonts w:cs="Arial"/>
          <w:bCs/>
          <w:szCs w:val="22"/>
        </w:rPr>
        <w:t>es</w:t>
      </w:r>
      <w:r w:rsidR="00C0236E" w:rsidRPr="002D1EC7">
        <w:rPr>
          <w:rFonts w:cs="Arial"/>
          <w:bCs/>
          <w:szCs w:val="22"/>
        </w:rPr>
        <w:t>ponse to the applicants</w:t>
      </w:r>
      <w:r w:rsidR="0055674D" w:rsidRPr="002D1EC7">
        <w:rPr>
          <w:rFonts w:cs="Arial"/>
          <w:bCs/>
          <w:szCs w:val="22"/>
        </w:rPr>
        <w:t>’</w:t>
      </w:r>
      <w:r w:rsidR="00C0236E" w:rsidRPr="002D1EC7">
        <w:rPr>
          <w:rFonts w:cs="Arial"/>
          <w:bCs/>
          <w:szCs w:val="22"/>
        </w:rPr>
        <w:t xml:space="preserve"> rule 35(12) notice for reasons explained in the</w:t>
      </w:r>
      <w:r w:rsidR="00C42D18" w:rsidRPr="002D1EC7">
        <w:rPr>
          <w:rFonts w:cs="Arial"/>
          <w:bCs/>
          <w:szCs w:val="22"/>
        </w:rPr>
        <w:t xml:space="preserve"> opposing</w:t>
      </w:r>
      <w:r w:rsidR="00C0236E" w:rsidRPr="002D1EC7">
        <w:rPr>
          <w:rFonts w:cs="Arial"/>
          <w:bCs/>
          <w:szCs w:val="22"/>
        </w:rPr>
        <w:t xml:space="preserve"> affidavit The first respondent quite correctly </w:t>
      </w:r>
      <w:r w:rsidR="00C42D18" w:rsidRPr="002D1EC7">
        <w:rPr>
          <w:rFonts w:cs="Arial"/>
          <w:bCs/>
          <w:szCs w:val="22"/>
        </w:rPr>
        <w:t>tendered</w:t>
      </w:r>
      <w:r w:rsidR="00C0236E" w:rsidRPr="002D1EC7">
        <w:rPr>
          <w:rFonts w:cs="Arial"/>
          <w:bCs/>
          <w:szCs w:val="22"/>
        </w:rPr>
        <w:t xml:space="preserve"> the costs consequent </w:t>
      </w:r>
      <w:r w:rsidR="00EB3E4C">
        <w:rPr>
          <w:rFonts w:cs="Arial"/>
          <w:bCs/>
          <w:szCs w:val="22"/>
        </w:rPr>
        <w:t>up</w:t>
      </w:r>
      <w:r w:rsidR="00C0236E" w:rsidRPr="002D1EC7">
        <w:rPr>
          <w:rFonts w:cs="Arial"/>
          <w:bCs/>
          <w:szCs w:val="22"/>
        </w:rPr>
        <w:t xml:space="preserve">on the formal launching of the present application to compel but advised that should the applicants persist with the application they would seek a dismissal of the application with </w:t>
      </w:r>
      <w:r w:rsidR="0055674D" w:rsidRPr="002D1EC7">
        <w:rPr>
          <w:rFonts w:cs="Arial"/>
          <w:bCs/>
          <w:szCs w:val="22"/>
        </w:rPr>
        <w:t>a</w:t>
      </w:r>
      <w:r w:rsidR="00C0236E" w:rsidRPr="002D1EC7">
        <w:rPr>
          <w:rFonts w:cs="Arial"/>
          <w:bCs/>
          <w:szCs w:val="22"/>
        </w:rPr>
        <w:t xml:space="preserve"> punitive cost order. </w:t>
      </w:r>
    </w:p>
    <w:p w14:paraId="31CCEA54" w14:textId="5E557C02" w:rsidR="001F014C" w:rsidRDefault="0091370E" w:rsidP="0091370E">
      <w:pPr>
        <w:widowControl w:val="0"/>
        <w:tabs>
          <w:tab w:val="left" w:pos="567"/>
        </w:tabs>
        <w:spacing w:before="480" w:after="480" w:line="360" w:lineRule="auto"/>
        <w:jc w:val="both"/>
        <w:rPr>
          <w:rFonts w:cs="Arial"/>
          <w:bCs/>
          <w:szCs w:val="22"/>
        </w:rPr>
      </w:pPr>
      <w:r>
        <w:rPr>
          <w:rFonts w:cs="Arial"/>
          <w:bCs/>
          <w:szCs w:val="22"/>
        </w:rPr>
        <w:t>[19]</w:t>
      </w:r>
      <w:r>
        <w:rPr>
          <w:rFonts w:cs="Arial"/>
          <w:bCs/>
          <w:szCs w:val="22"/>
        </w:rPr>
        <w:tab/>
      </w:r>
      <w:r w:rsidR="00C0236E" w:rsidRPr="002D1EC7">
        <w:rPr>
          <w:rFonts w:cs="Arial"/>
          <w:bCs/>
          <w:szCs w:val="22"/>
        </w:rPr>
        <w:t>No case is made out for discovery under rule 35(12) of the founding affidavit and the request consists of interrogatories.</w:t>
      </w:r>
      <w:r w:rsidR="002D1EC7">
        <w:rPr>
          <w:rFonts w:cs="Arial"/>
          <w:bCs/>
          <w:szCs w:val="22"/>
        </w:rPr>
        <w:t xml:space="preserve"> </w:t>
      </w:r>
    </w:p>
    <w:p w14:paraId="524E0FE6" w14:textId="068EDD50" w:rsidR="00B15D12" w:rsidRDefault="00B15D12" w:rsidP="001F014C">
      <w:pPr>
        <w:widowControl w:val="0"/>
        <w:spacing w:before="480" w:after="480" w:line="360" w:lineRule="auto"/>
        <w:jc w:val="both"/>
        <w:rPr>
          <w:rFonts w:cs="Arial"/>
          <w:bCs/>
          <w:szCs w:val="22"/>
        </w:rPr>
      </w:pPr>
      <w:r>
        <w:rPr>
          <w:rFonts w:cs="Arial"/>
          <w:bCs/>
          <w:szCs w:val="22"/>
        </w:rPr>
        <w:t>There is some merit in the first respondent’s arguments in support of a punitive cost order but having considered the whole application and the history as set out in the affidavits I am satisfied that the ordinary order of costs including the cost of two counsel would suffice.</w:t>
      </w:r>
      <w:r w:rsidRPr="00B15D12">
        <w:rPr>
          <w:rFonts w:cs="Arial"/>
          <w:bCs/>
          <w:szCs w:val="22"/>
        </w:rPr>
        <w:t xml:space="preserve"> </w:t>
      </w:r>
    </w:p>
    <w:p w14:paraId="5AA88EA9" w14:textId="6DAE99F7" w:rsidR="004D692E" w:rsidRPr="002D1EC7" w:rsidRDefault="0091370E" w:rsidP="0091370E">
      <w:pPr>
        <w:widowControl w:val="0"/>
        <w:tabs>
          <w:tab w:val="left" w:pos="567"/>
        </w:tabs>
        <w:spacing w:before="480" w:after="480" w:line="360" w:lineRule="auto"/>
        <w:jc w:val="both"/>
        <w:rPr>
          <w:rFonts w:cs="Arial"/>
          <w:bCs/>
          <w:szCs w:val="22"/>
        </w:rPr>
      </w:pPr>
      <w:r w:rsidRPr="002D1EC7">
        <w:rPr>
          <w:rFonts w:cs="Arial"/>
          <w:bCs/>
          <w:szCs w:val="22"/>
        </w:rPr>
        <w:lastRenderedPageBreak/>
        <w:t>[20]</w:t>
      </w:r>
      <w:r w:rsidRPr="002D1EC7">
        <w:rPr>
          <w:rFonts w:cs="Arial"/>
          <w:bCs/>
          <w:szCs w:val="22"/>
        </w:rPr>
        <w:tab/>
      </w:r>
      <w:r w:rsidR="00B15D12">
        <w:rPr>
          <w:rFonts w:cs="Arial"/>
          <w:bCs/>
          <w:szCs w:val="22"/>
        </w:rPr>
        <w:t>For all the reasons as set out above I make the order in paragraph 1.</w:t>
      </w:r>
    </w:p>
    <w:p w14:paraId="5B7FD0E4" w14:textId="77777777" w:rsidR="00B15D12" w:rsidRDefault="00B15D12" w:rsidP="003A1D18">
      <w:pPr>
        <w:widowControl w:val="0"/>
        <w:tabs>
          <w:tab w:val="right" w:pos="0"/>
        </w:tabs>
        <w:spacing w:line="360" w:lineRule="auto"/>
        <w:contextualSpacing/>
        <w:jc w:val="right"/>
        <w:rPr>
          <w:rFonts w:cs="Arial"/>
          <w:b/>
          <w:szCs w:val="22"/>
        </w:rPr>
      </w:pPr>
    </w:p>
    <w:p w14:paraId="58DFDFC0" w14:textId="77777777" w:rsidR="00B15D12" w:rsidRDefault="00B15D12" w:rsidP="003A1D18">
      <w:pPr>
        <w:widowControl w:val="0"/>
        <w:tabs>
          <w:tab w:val="right" w:pos="0"/>
        </w:tabs>
        <w:spacing w:line="360" w:lineRule="auto"/>
        <w:contextualSpacing/>
        <w:jc w:val="right"/>
        <w:rPr>
          <w:rFonts w:cs="Arial"/>
          <w:b/>
          <w:szCs w:val="22"/>
        </w:rPr>
      </w:pPr>
    </w:p>
    <w:p w14:paraId="53CD27EE" w14:textId="517D8EE6" w:rsidR="00AE287F" w:rsidRPr="002D1EC7" w:rsidRDefault="00A649E6" w:rsidP="003A1D18">
      <w:pPr>
        <w:widowControl w:val="0"/>
        <w:tabs>
          <w:tab w:val="right" w:pos="0"/>
        </w:tabs>
        <w:spacing w:line="360" w:lineRule="auto"/>
        <w:contextualSpacing/>
        <w:jc w:val="right"/>
        <w:rPr>
          <w:rFonts w:cs="Arial"/>
          <w:b/>
          <w:szCs w:val="22"/>
        </w:rPr>
      </w:pPr>
      <w:r w:rsidRPr="002D1EC7">
        <w:rPr>
          <w:rFonts w:cs="Arial"/>
          <w:b/>
          <w:szCs w:val="22"/>
        </w:rPr>
        <w:t>______________</w:t>
      </w:r>
    </w:p>
    <w:p w14:paraId="0CCB9BFE" w14:textId="7ABE564D" w:rsidR="006C43D7" w:rsidRPr="002D1EC7" w:rsidRDefault="00C676F3" w:rsidP="003A1D18">
      <w:pPr>
        <w:widowControl w:val="0"/>
        <w:tabs>
          <w:tab w:val="right" w:pos="0"/>
        </w:tabs>
        <w:spacing w:line="360" w:lineRule="auto"/>
        <w:contextualSpacing/>
        <w:jc w:val="right"/>
        <w:rPr>
          <w:rFonts w:cs="Arial"/>
          <w:b/>
          <w:szCs w:val="22"/>
        </w:rPr>
      </w:pPr>
      <w:r w:rsidRPr="002D1EC7">
        <w:rPr>
          <w:rFonts w:cs="Arial"/>
          <w:b/>
          <w:szCs w:val="22"/>
        </w:rPr>
        <w:t>J MOORCROFT</w:t>
      </w:r>
    </w:p>
    <w:p w14:paraId="7A2C1059" w14:textId="77777777" w:rsidR="006C43D7" w:rsidRPr="002D1EC7" w:rsidRDefault="006C43D7" w:rsidP="003A1D18">
      <w:pPr>
        <w:widowControl w:val="0"/>
        <w:tabs>
          <w:tab w:val="right" w:pos="0"/>
        </w:tabs>
        <w:spacing w:line="360" w:lineRule="auto"/>
        <w:contextualSpacing/>
        <w:jc w:val="right"/>
        <w:rPr>
          <w:rFonts w:cs="Arial"/>
          <w:b/>
          <w:szCs w:val="22"/>
        </w:rPr>
      </w:pPr>
      <w:r w:rsidRPr="002D1EC7">
        <w:rPr>
          <w:rFonts w:cs="Arial"/>
          <w:b/>
          <w:szCs w:val="22"/>
        </w:rPr>
        <w:t>ACTING JUDGE OF THE HIGH COURT OF SOUTH AFRICA</w:t>
      </w:r>
    </w:p>
    <w:p w14:paraId="077C2590" w14:textId="7452355B" w:rsidR="006C43D7" w:rsidRPr="002D1EC7" w:rsidRDefault="006C43D7" w:rsidP="003A1D18">
      <w:pPr>
        <w:widowControl w:val="0"/>
        <w:tabs>
          <w:tab w:val="right" w:pos="0"/>
          <w:tab w:val="left" w:pos="4253"/>
        </w:tabs>
        <w:spacing w:line="360" w:lineRule="auto"/>
        <w:contextualSpacing/>
        <w:jc w:val="right"/>
        <w:rPr>
          <w:rFonts w:cs="Arial"/>
          <w:b/>
          <w:szCs w:val="22"/>
        </w:rPr>
      </w:pPr>
      <w:r w:rsidRPr="002D1EC7">
        <w:rPr>
          <w:rFonts w:cs="Arial"/>
          <w:b/>
          <w:szCs w:val="22"/>
        </w:rPr>
        <w:t>GAUTENG DIVISION</w:t>
      </w:r>
    </w:p>
    <w:p w14:paraId="40B9C946" w14:textId="77777777" w:rsidR="006C43D7" w:rsidRPr="002D1EC7" w:rsidRDefault="006C43D7" w:rsidP="0005282E">
      <w:pPr>
        <w:widowControl w:val="0"/>
        <w:tabs>
          <w:tab w:val="right" w:pos="0"/>
          <w:tab w:val="left" w:pos="4253"/>
        </w:tabs>
        <w:spacing w:line="360" w:lineRule="auto"/>
        <w:contextualSpacing/>
        <w:jc w:val="right"/>
        <w:rPr>
          <w:rFonts w:cs="Arial"/>
          <w:b/>
          <w:szCs w:val="22"/>
        </w:rPr>
      </w:pPr>
      <w:r w:rsidRPr="002D1EC7">
        <w:rPr>
          <w:rFonts w:cs="Arial"/>
          <w:b/>
          <w:szCs w:val="22"/>
        </w:rPr>
        <w:t>JOHANNESBURG</w:t>
      </w:r>
    </w:p>
    <w:p w14:paraId="326B529B" w14:textId="77777777" w:rsidR="006C43D7" w:rsidRPr="002D1EC7" w:rsidRDefault="006C43D7" w:rsidP="003A1D18">
      <w:pPr>
        <w:widowControl w:val="0"/>
        <w:tabs>
          <w:tab w:val="right" w:pos="0"/>
          <w:tab w:val="left" w:pos="4253"/>
        </w:tabs>
        <w:spacing w:line="360" w:lineRule="auto"/>
        <w:contextualSpacing/>
        <w:jc w:val="center"/>
        <w:rPr>
          <w:rFonts w:cs="Arial"/>
          <w:b/>
          <w:szCs w:val="22"/>
        </w:rPr>
      </w:pPr>
    </w:p>
    <w:p w14:paraId="5A4CC56C" w14:textId="051C4E22" w:rsidR="006C43D7" w:rsidRPr="002D1EC7" w:rsidRDefault="006C43D7" w:rsidP="003A1D18">
      <w:pPr>
        <w:widowControl w:val="0"/>
        <w:spacing w:after="200" w:line="480" w:lineRule="auto"/>
        <w:contextualSpacing/>
        <w:jc w:val="right"/>
        <w:rPr>
          <w:rFonts w:cs="Arial"/>
          <w:b/>
          <w:i/>
          <w:iCs/>
          <w:szCs w:val="22"/>
        </w:rPr>
      </w:pPr>
      <w:r w:rsidRPr="002D1EC7">
        <w:rPr>
          <w:rFonts w:cs="Arial"/>
          <w:b/>
          <w:i/>
          <w:iCs/>
          <w:szCs w:val="22"/>
        </w:rPr>
        <w:t>Electronically submitted</w:t>
      </w:r>
    </w:p>
    <w:p w14:paraId="482DDF6E" w14:textId="325B5773" w:rsidR="006C43D7" w:rsidRPr="002D1EC7" w:rsidRDefault="006C43D7" w:rsidP="00A84915">
      <w:pPr>
        <w:widowControl w:val="0"/>
        <w:spacing w:after="200" w:line="360" w:lineRule="auto"/>
        <w:contextualSpacing/>
        <w:jc w:val="both"/>
        <w:rPr>
          <w:rFonts w:eastAsia="Arial Unicode MS" w:cs="Arial"/>
          <w:b/>
          <w:szCs w:val="22"/>
        </w:rPr>
      </w:pPr>
      <w:r w:rsidRPr="002D1EC7">
        <w:rPr>
          <w:rFonts w:eastAsia="Arial Unicode MS" w:cs="Arial"/>
          <w:bCs/>
          <w:szCs w:val="22"/>
        </w:rPr>
        <w:t xml:space="preserve">Delivered: This judgement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2D1EC7">
        <w:rPr>
          <w:rFonts w:eastAsia="Arial Unicode MS" w:cs="Arial"/>
          <w:bCs/>
          <w:szCs w:val="22"/>
        </w:rPr>
        <w:t>CaseLines</w:t>
      </w:r>
      <w:proofErr w:type="spellEnd"/>
      <w:r w:rsidRPr="002D1EC7">
        <w:rPr>
          <w:rFonts w:eastAsia="Arial Unicode MS" w:cs="Arial"/>
          <w:bCs/>
          <w:szCs w:val="22"/>
        </w:rPr>
        <w:t xml:space="preserve">. The date of the judgment is deemed to </w:t>
      </w:r>
      <w:r w:rsidR="00720C2E" w:rsidRPr="002D1EC7">
        <w:rPr>
          <w:rFonts w:eastAsia="Arial Unicode MS" w:cs="Arial"/>
          <w:bCs/>
          <w:szCs w:val="22"/>
        </w:rPr>
        <w:t>be</w:t>
      </w:r>
      <w:r w:rsidR="00720C2E" w:rsidRPr="002D1EC7">
        <w:rPr>
          <w:rFonts w:eastAsia="Arial Unicode MS" w:cs="Arial"/>
          <w:b/>
          <w:szCs w:val="22"/>
        </w:rPr>
        <w:t xml:space="preserve"> 1</w:t>
      </w:r>
      <w:r w:rsidR="009111C8" w:rsidRPr="002D1EC7">
        <w:rPr>
          <w:rFonts w:eastAsia="Arial Unicode MS" w:cs="Arial"/>
          <w:b/>
          <w:szCs w:val="22"/>
        </w:rPr>
        <w:t xml:space="preserve"> MARCH</w:t>
      </w:r>
      <w:r w:rsidR="000976D2" w:rsidRPr="002D1EC7">
        <w:rPr>
          <w:rFonts w:eastAsia="Arial Unicode MS" w:cs="Arial"/>
          <w:b/>
          <w:szCs w:val="22"/>
        </w:rPr>
        <w:t xml:space="preserve"> </w:t>
      </w:r>
      <w:r w:rsidR="00D33A54" w:rsidRPr="002D1EC7">
        <w:rPr>
          <w:rFonts w:eastAsia="Arial Unicode MS" w:cs="Arial"/>
          <w:b/>
          <w:szCs w:val="22"/>
        </w:rPr>
        <w:t>2024</w:t>
      </w:r>
    </w:p>
    <w:p w14:paraId="74CD3952" w14:textId="77777777" w:rsidR="00A84915" w:rsidRPr="002D1EC7" w:rsidRDefault="00A84915" w:rsidP="00A84915">
      <w:pPr>
        <w:widowControl w:val="0"/>
        <w:spacing w:after="200" w:line="360" w:lineRule="auto"/>
        <w:contextualSpacing/>
        <w:jc w:val="both"/>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2D1EC7" w14:paraId="493AF0D7" w14:textId="77777777" w:rsidTr="00615F6B">
        <w:tc>
          <w:tcPr>
            <w:tcW w:w="4678" w:type="dxa"/>
          </w:tcPr>
          <w:p w14:paraId="6A05541A" w14:textId="26EE0262" w:rsidR="009D35B5" w:rsidRPr="002D1EC7" w:rsidRDefault="009D35B5" w:rsidP="00A25AB4">
            <w:pPr>
              <w:tabs>
                <w:tab w:val="right" w:pos="0"/>
                <w:tab w:val="left" w:pos="4253"/>
              </w:tabs>
              <w:spacing w:before="120" w:after="120"/>
              <w:rPr>
                <w:rFonts w:cs="Arial"/>
                <w:szCs w:val="22"/>
              </w:rPr>
            </w:pPr>
            <w:r w:rsidRPr="002D1EC7">
              <w:rPr>
                <w:rFonts w:cs="Arial"/>
                <w:szCs w:val="22"/>
              </w:rPr>
              <w:t xml:space="preserve">COUNSEL FOR </w:t>
            </w:r>
            <w:r w:rsidR="00404A52" w:rsidRPr="002D1EC7">
              <w:rPr>
                <w:rFonts w:cs="Arial"/>
                <w:szCs w:val="22"/>
              </w:rPr>
              <w:t xml:space="preserve">THE </w:t>
            </w:r>
            <w:r w:rsidR="000976D2" w:rsidRPr="002D1EC7">
              <w:rPr>
                <w:rFonts w:cs="Arial"/>
                <w:szCs w:val="22"/>
              </w:rPr>
              <w:t xml:space="preserve"> </w:t>
            </w:r>
            <w:r w:rsidR="00404A52" w:rsidRPr="002D1EC7">
              <w:rPr>
                <w:rFonts w:cs="Arial"/>
                <w:szCs w:val="22"/>
              </w:rPr>
              <w:t>APPLICANT</w:t>
            </w:r>
            <w:r w:rsidR="00D33A54" w:rsidRPr="002D1EC7">
              <w:rPr>
                <w:rFonts w:cs="Arial"/>
                <w:szCs w:val="22"/>
              </w:rPr>
              <w:t>/ DEFENDANT</w:t>
            </w:r>
            <w:r w:rsidRPr="002D1EC7">
              <w:rPr>
                <w:rFonts w:cs="Arial"/>
                <w:szCs w:val="22"/>
              </w:rPr>
              <w:t>:</w:t>
            </w:r>
          </w:p>
        </w:tc>
        <w:tc>
          <w:tcPr>
            <w:tcW w:w="3935" w:type="dxa"/>
          </w:tcPr>
          <w:p w14:paraId="2499F6D0" w14:textId="77777777" w:rsidR="000976D2" w:rsidRPr="002D1EC7" w:rsidRDefault="009111C8" w:rsidP="00D65571">
            <w:pPr>
              <w:tabs>
                <w:tab w:val="right" w:pos="0"/>
                <w:tab w:val="left" w:pos="567"/>
                <w:tab w:val="right" w:pos="2727"/>
                <w:tab w:val="left" w:pos="4253"/>
              </w:tabs>
              <w:spacing w:before="120" w:after="120"/>
              <w:jc w:val="right"/>
              <w:rPr>
                <w:rFonts w:cs="Arial"/>
                <w:szCs w:val="22"/>
              </w:rPr>
            </w:pPr>
            <w:r w:rsidRPr="002D1EC7">
              <w:rPr>
                <w:rFonts w:cs="Arial"/>
                <w:szCs w:val="22"/>
              </w:rPr>
              <w:t>E MOKUTU SC</w:t>
            </w:r>
          </w:p>
          <w:p w14:paraId="69785AA9" w14:textId="074D8A18" w:rsidR="009111C8" w:rsidRPr="002D1EC7" w:rsidRDefault="009111C8" w:rsidP="00D65571">
            <w:pPr>
              <w:tabs>
                <w:tab w:val="right" w:pos="0"/>
                <w:tab w:val="left" w:pos="567"/>
                <w:tab w:val="right" w:pos="2727"/>
                <w:tab w:val="left" w:pos="4253"/>
              </w:tabs>
              <w:spacing w:before="120" w:after="120"/>
              <w:jc w:val="right"/>
              <w:rPr>
                <w:rFonts w:cs="Arial"/>
                <w:szCs w:val="22"/>
              </w:rPr>
            </w:pPr>
            <w:r w:rsidRPr="002D1EC7">
              <w:rPr>
                <w:rFonts w:cs="Arial"/>
                <w:szCs w:val="22"/>
              </w:rPr>
              <w:t>Y S NTLOKO</w:t>
            </w:r>
          </w:p>
        </w:tc>
      </w:tr>
      <w:tr w:rsidR="009D35B5" w:rsidRPr="002D1EC7" w14:paraId="183C176D" w14:textId="77777777" w:rsidTr="00615F6B">
        <w:tc>
          <w:tcPr>
            <w:tcW w:w="4678" w:type="dxa"/>
          </w:tcPr>
          <w:p w14:paraId="75365413" w14:textId="481747BC" w:rsidR="009D35B5" w:rsidRPr="002D1EC7" w:rsidRDefault="009D35B5" w:rsidP="00A25AB4">
            <w:pPr>
              <w:tabs>
                <w:tab w:val="right" w:pos="0"/>
                <w:tab w:val="left" w:pos="4253"/>
              </w:tabs>
              <w:spacing w:before="120" w:after="120"/>
              <w:rPr>
                <w:rFonts w:cs="Arial"/>
                <w:szCs w:val="22"/>
              </w:rPr>
            </w:pPr>
            <w:r w:rsidRPr="002D1EC7">
              <w:rPr>
                <w:rFonts w:cs="Arial"/>
                <w:szCs w:val="22"/>
              </w:rPr>
              <w:t>INSTRUCTED BY:</w:t>
            </w:r>
          </w:p>
        </w:tc>
        <w:tc>
          <w:tcPr>
            <w:tcW w:w="3935" w:type="dxa"/>
          </w:tcPr>
          <w:p w14:paraId="4044534A" w14:textId="6AEB078A" w:rsidR="00E10D04" w:rsidRPr="002D1EC7" w:rsidRDefault="009111C8" w:rsidP="00A25AB4">
            <w:pPr>
              <w:tabs>
                <w:tab w:val="right" w:pos="0"/>
                <w:tab w:val="left" w:pos="4253"/>
              </w:tabs>
              <w:spacing w:before="120" w:after="120"/>
              <w:jc w:val="right"/>
              <w:rPr>
                <w:rFonts w:cs="Arial"/>
                <w:szCs w:val="22"/>
              </w:rPr>
            </w:pPr>
            <w:r w:rsidRPr="002D1EC7">
              <w:rPr>
                <w:rFonts w:cs="Arial"/>
                <w:szCs w:val="22"/>
              </w:rPr>
              <w:t>MALEBYE MOTAUNG MTEMBU INC</w:t>
            </w:r>
          </w:p>
        </w:tc>
      </w:tr>
      <w:tr w:rsidR="009D35B5" w:rsidRPr="002D1EC7" w14:paraId="6E2BF966" w14:textId="77777777" w:rsidTr="00615F6B">
        <w:tc>
          <w:tcPr>
            <w:tcW w:w="4678" w:type="dxa"/>
          </w:tcPr>
          <w:p w14:paraId="545B6665" w14:textId="0BFFCC44" w:rsidR="009D35B5" w:rsidRPr="002D1EC7" w:rsidRDefault="009D35B5" w:rsidP="00A25AB4">
            <w:pPr>
              <w:tabs>
                <w:tab w:val="right" w:pos="0"/>
                <w:tab w:val="left" w:pos="4253"/>
              </w:tabs>
              <w:spacing w:before="120" w:after="120"/>
              <w:rPr>
                <w:rFonts w:cs="Arial"/>
                <w:szCs w:val="22"/>
              </w:rPr>
            </w:pPr>
            <w:r w:rsidRPr="002D1EC7">
              <w:rPr>
                <w:rFonts w:cs="Arial"/>
                <w:szCs w:val="22"/>
              </w:rPr>
              <w:t xml:space="preserve">COUNSEL FOR </w:t>
            </w:r>
            <w:r w:rsidR="004D692E" w:rsidRPr="002D1EC7">
              <w:rPr>
                <w:rFonts w:cs="Arial"/>
                <w:szCs w:val="22"/>
              </w:rPr>
              <w:t xml:space="preserve">FIRST </w:t>
            </w:r>
            <w:r w:rsidR="00027D19" w:rsidRPr="002D1EC7">
              <w:rPr>
                <w:rFonts w:cs="Arial"/>
                <w:szCs w:val="22"/>
              </w:rPr>
              <w:t>RESPONDENT</w:t>
            </w:r>
            <w:r w:rsidRPr="002D1EC7">
              <w:rPr>
                <w:rFonts w:cs="Arial"/>
                <w:szCs w:val="22"/>
              </w:rPr>
              <w:t>:</w:t>
            </w:r>
          </w:p>
        </w:tc>
        <w:tc>
          <w:tcPr>
            <w:tcW w:w="3935" w:type="dxa"/>
          </w:tcPr>
          <w:p w14:paraId="2983669C" w14:textId="77777777" w:rsidR="001966E8" w:rsidRPr="002D1EC7" w:rsidRDefault="004D692E" w:rsidP="00D65571">
            <w:pPr>
              <w:tabs>
                <w:tab w:val="right" w:pos="0"/>
                <w:tab w:val="left" w:pos="4253"/>
              </w:tabs>
              <w:spacing w:before="120" w:after="120"/>
              <w:jc w:val="right"/>
              <w:rPr>
                <w:rFonts w:cs="Arial"/>
                <w:szCs w:val="22"/>
              </w:rPr>
            </w:pPr>
            <w:r w:rsidRPr="002D1EC7">
              <w:rPr>
                <w:rFonts w:cs="Arial"/>
                <w:szCs w:val="22"/>
              </w:rPr>
              <w:t>A G SAWMA SC</w:t>
            </w:r>
          </w:p>
          <w:p w14:paraId="51741A90" w14:textId="37165DE9" w:rsidR="004D692E" w:rsidRPr="002D1EC7" w:rsidRDefault="004D692E" w:rsidP="00D65571">
            <w:pPr>
              <w:tabs>
                <w:tab w:val="right" w:pos="0"/>
                <w:tab w:val="left" w:pos="4253"/>
              </w:tabs>
              <w:spacing w:before="120" w:after="120"/>
              <w:jc w:val="right"/>
              <w:rPr>
                <w:rFonts w:cs="Arial"/>
                <w:szCs w:val="22"/>
              </w:rPr>
            </w:pPr>
            <w:r w:rsidRPr="002D1EC7">
              <w:rPr>
                <w:rFonts w:cs="Arial"/>
                <w:szCs w:val="22"/>
              </w:rPr>
              <w:t>A E AYAYEE</w:t>
            </w:r>
          </w:p>
        </w:tc>
      </w:tr>
      <w:tr w:rsidR="009D35B5" w:rsidRPr="002D1EC7" w14:paraId="1EC4105A" w14:textId="77777777" w:rsidTr="00615F6B">
        <w:tc>
          <w:tcPr>
            <w:tcW w:w="4678" w:type="dxa"/>
          </w:tcPr>
          <w:p w14:paraId="184EC2ED" w14:textId="1E42F28A" w:rsidR="009D35B5" w:rsidRPr="002D1EC7" w:rsidRDefault="009D35B5" w:rsidP="00A25AB4">
            <w:pPr>
              <w:tabs>
                <w:tab w:val="right" w:pos="0"/>
                <w:tab w:val="left" w:pos="4253"/>
              </w:tabs>
              <w:spacing w:before="120" w:after="120"/>
              <w:rPr>
                <w:rFonts w:cs="Arial"/>
                <w:szCs w:val="22"/>
              </w:rPr>
            </w:pPr>
            <w:r w:rsidRPr="002D1EC7">
              <w:rPr>
                <w:rFonts w:cs="Arial"/>
                <w:szCs w:val="22"/>
              </w:rPr>
              <w:t>INSTRUCTED BY:</w:t>
            </w:r>
          </w:p>
        </w:tc>
        <w:tc>
          <w:tcPr>
            <w:tcW w:w="3935" w:type="dxa"/>
          </w:tcPr>
          <w:p w14:paraId="2098BE2A" w14:textId="4CC82E9D" w:rsidR="009D35B5" w:rsidRPr="002D1EC7" w:rsidRDefault="009111C8" w:rsidP="00A25AB4">
            <w:pPr>
              <w:tabs>
                <w:tab w:val="right" w:pos="0"/>
                <w:tab w:val="left" w:pos="4253"/>
              </w:tabs>
              <w:spacing w:before="120" w:after="120"/>
              <w:jc w:val="right"/>
              <w:rPr>
                <w:rFonts w:cs="Arial"/>
                <w:szCs w:val="22"/>
              </w:rPr>
            </w:pPr>
            <w:r w:rsidRPr="002D1EC7">
              <w:rPr>
                <w:rFonts w:cs="Arial"/>
                <w:szCs w:val="22"/>
              </w:rPr>
              <w:t>MENZI VILAKAZI ATTORNEYS</w:t>
            </w:r>
          </w:p>
        </w:tc>
      </w:tr>
      <w:tr w:rsidR="009D35B5" w:rsidRPr="002D1EC7" w14:paraId="2A3FE2B1" w14:textId="77777777" w:rsidTr="00615F6B">
        <w:tc>
          <w:tcPr>
            <w:tcW w:w="4678" w:type="dxa"/>
          </w:tcPr>
          <w:p w14:paraId="0767D0FE" w14:textId="61925A22" w:rsidR="009D35B5" w:rsidRPr="002D1EC7" w:rsidRDefault="009D35B5" w:rsidP="00A25AB4">
            <w:pPr>
              <w:tabs>
                <w:tab w:val="right" w:pos="0"/>
                <w:tab w:val="left" w:pos="4253"/>
              </w:tabs>
              <w:spacing w:before="120" w:after="120"/>
              <w:rPr>
                <w:rFonts w:cs="Arial"/>
                <w:szCs w:val="22"/>
              </w:rPr>
            </w:pPr>
            <w:r w:rsidRPr="002D1EC7">
              <w:rPr>
                <w:rFonts w:cs="Arial"/>
                <w:szCs w:val="22"/>
              </w:rPr>
              <w:t xml:space="preserve">DATE </w:t>
            </w:r>
            <w:r w:rsidR="00E57446" w:rsidRPr="002D1EC7">
              <w:rPr>
                <w:rFonts w:cs="Arial"/>
                <w:szCs w:val="22"/>
              </w:rPr>
              <w:t>OF ARGUMENT</w:t>
            </w:r>
            <w:r w:rsidRPr="002D1EC7">
              <w:rPr>
                <w:rFonts w:cs="Arial"/>
                <w:szCs w:val="22"/>
              </w:rPr>
              <w:t>:</w:t>
            </w:r>
          </w:p>
        </w:tc>
        <w:tc>
          <w:tcPr>
            <w:tcW w:w="3935" w:type="dxa"/>
          </w:tcPr>
          <w:p w14:paraId="34C95147" w14:textId="209C87F8" w:rsidR="009D35B5" w:rsidRPr="002D1EC7" w:rsidRDefault="00D33A54" w:rsidP="00A25AB4">
            <w:pPr>
              <w:tabs>
                <w:tab w:val="right" w:pos="0"/>
                <w:tab w:val="left" w:pos="4253"/>
              </w:tabs>
              <w:spacing w:before="120" w:after="120"/>
              <w:jc w:val="right"/>
              <w:rPr>
                <w:rFonts w:cs="Arial"/>
                <w:szCs w:val="22"/>
              </w:rPr>
            </w:pPr>
            <w:r w:rsidRPr="002D1EC7">
              <w:rPr>
                <w:rFonts w:cs="Arial"/>
                <w:szCs w:val="22"/>
              </w:rPr>
              <w:t>2</w:t>
            </w:r>
            <w:r w:rsidR="00602FA4">
              <w:rPr>
                <w:rFonts w:cs="Arial"/>
                <w:szCs w:val="22"/>
              </w:rPr>
              <w:t>1</w:t>
            </w:r>
            <w:r w:rsidRPr="002D1EC7">
              <w:rPr>
                <w:rFonts w:cs="Arial"/>
                <w:szCs w:val="22"/>
              </w:rPr>
              <w:t xml:space="preserve"> FEBRUARY 2024</w:t>
            </w:r>
          </w:p>
        </w:tc>
      </w:tr>
      <w:tr w:rsidR="00A25AB4" w:rsidRPr="002D1EC7" w14:paraId="5ECDFF3A" w14:textId="77777777" w:rsidTr="00615F6B">
        <w:tc>
          <w:tcPr>
            <w:tcW w:w="4678" w:type="dxa"/>
          </w:tcPr>
          <w:p w14:paraId="1DF2AE9E" w14:textId="1FC539A4" w:rsidR="00A25AB4" w:rsidRPr="002D1EC7" w:rsidRDefault="00A25AB4" w:rsidP="00A25AB4">
            <w:pPr>
              <w:tabs>
                <w:tab w:val="right" w:pos="0"/>
                <w:tab w:val="left" w:pos="4253"/>
              </w:tabs>
              <w:spacing w:before="120" w:after="120"/>
              <w:rPr>
                <w:rFonts w:cs="Arial"/>
                <w:szCs w:val="22"/>
              </w:rPr>
            </w:pPr>
            <w:r w:rsidRPr="002D1EC7">
              <w:rPr>
                <w:rFonts w:cs="Arial"/>
                <w:szCs w:val="22"/>
              </w:rPr>
              <w:t>DATE OF JUDGMENT:</w:t>
            </w:r>
          </w:p>
        </w:tc>
        <w:tc>
          <w:tcPr>
            <w:tcW w:w="3935" w:type="dxa"/>
          </w:tcPr>
          <w:p w14:paraId="02219E99" w14:textId="2C6E6ED8" w:rsidR="00A25AB4" w:rsidRPr="002D1EC7" w:rsidRDefault="002D1EC7" w:rsidP="00A25AB4">
            <w:pPr>
              <w:tabs>
                <w:tab w:val="right" w:pos="0"/>
                <w:tab w:val="left" w:pos="4253"/>
              </w:tabs>
              <w:spacing w:before="120" w:after="120"/>
              <w:jc w:val="right"/>
              <w:rPr>
                <w:rFonts w:cs="Arial"/>
                <w:szCs w:val="22"/>
              </w:rPr>
            </w:pPr>
            <w:r>
              <w:rPr>
                <w:rFonts w:cs="Arial"/>
                <w:szCs w:val="22"/>
              </w:rPr>
              <w:t>1</w:t>
            </w:r>
            <w:r w:rsidR="009111C8" w:rsidRPr="002D1EC7">
              <w:rPr>
                <w:rFonts w:cs="Arial"/>
                <w:szCs w:val="22"/>
              </w:rPr>
              <w:t xml:space="preserve"> MARCH</w:t>
            </w:r>
            <w:r w:rsidR="00B664E5" w:rsidRPr="002D1EC7">
              <w:rPr>
                <w:rFonts w:cs="Arial"/>
                <w:szCs w:val="22"/>
              </w:rPr>
              <w:t xml:space="preserve"> </w:t>
            </w:r>
            <w:r w:rsidR="00D33A54" w:rsidRPr="002D1EC7">
              <w:rPr>
                <w:rFonts w:cs="Arial"/>
                <w:szCs w:val="22"/>
              </w:rPr>
              <w:t>2024</w:t>
            </w:r>
          </w:p>
        </w:tc>
      </w:tr>
      <w:bookmarkEnd w:id="0"/>
    </w:tbl>
    <w:p w14:paraId="1BD8F4EB" w14:textId="491B3C8F" w:rsidR="00A402F6" w:rsidRPr="002D1EC7" w:rsidRDefault="00A402F6" w:rsidP="008E2A22">
      <w:pPr>
        <w:widowControl w:val="0"/>
        <w:spacing w:before="480" w:after="480" w:line="360" w:lineRule="auto"/>
        <w:jc w:val="both"/>
        <w:rPr>
          <w:rFonts w:cs="Arial"/>
          <w:szCs w:val="22"/>
        </w:rPr>
      </w:pPr>
    </w:p>
    <w:sectPr w:rsidR="00A402F6" w:rsidRPr="002D1EC7" w:rsidSect="002B782F">
      <w:headerReference w:type="default" r:id="rId9"/>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40562" w14:textId="77777777" w:rsidR="00FE3EA1" w:rsidRPr="008E2A22" w:rsidRDefault="00FE3EA1">
      <w:pPr>
        <w:rPr>
          <w:sz w:val="21"/>
          <w:szCs w:val="21"/>
        </w:rPr>
      </w:pPr>
      <w:r w:rsidRPr="008E2A22">
        <w:rPr>
          <w:sz w:val="21"/>
          <w:szCs w:val="21"/>
        </w:rPr>
        <w:separator/>
      </w:r>
    </w:p>
  </w:endnote>
  <w:endnote w:type="continuationSeparator" w:id="0">
    <w:p w14:paraId="356CEBF1" w14:textId="77777777" w:rsidR="00FE3EA1" w:rsidRPr="008E2A22" w:rsidRDefault="00FE3EA1">
      <w:pPr>
        <w:rPr>
          <w:sz w:val="21"/>
          <w:szCs w:val="21"/>
        </w:rPr>
      </w:pPr>
      <w:r w:rsidRPr="008E2A22">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745E8" w14:textId="77777777" w:rsidR="00FE3EA1" w:rsidRPr="008E2A22" w:rsidRDefault="00FE3EA1">
      <w:pPr>
        <w:rPr>
          <w:sz w:val="21"/>
          <w:szCs w:val="21"/>
        </w:rPr>
      </w:pPr>
      <w:r w:rsidRPr="008E2A22">
        <w:rPr>
          <w:sz w:val="21"/>
          <w:szCs w:val="21"/>
        </w:rPr>
        <w:separator/>
      </w:r>
    </w:p>
  </w:footnote>
  <w:footnote w:type="continuationSeparator" w:id="0">
    <w:p w14:paraId="557DB2F8" w14:textId="77777777" w:rsidR="00FE3EA1" w:rsidRPr="008E2A22" w:rsidRDefault="00FE3EA1">
      <w:pPr>
        <w:rPr>
          <w:sz w:val="21"/>
          <w:szCs w:val="21"/>
        </w:rPr>
      </w:pPr>
      <w:r w:rsidRPr="008E2A22">
        <w:rPr>
          <w:sz w:val="21"/>
          <w:szCs w:val="21"/>
        </w:rPr>
        <w:continuationSeparator/>
      </w:r>
    </w:p>
  </w:footnote>
  <w:footnote w:id="1">
    <w:p w14:paraId="792D4286" w14:textId="41B41914" w:rsidR="00C42D18" w:rsidRDefault="00C42D18">
      <w:pPr>
        <w:pStyle w:val="FootnoteText"/>
      </w:pPr>
      <w:r>
        <w:rPr>
          <w:rStyle w:val="FootnoteReference"/>
        </w:rPr>
        <w:footnoteRef/>
      </w:r>
      <w:r>
        <w:t xml:space="preserve"> </w:t>
      </w:r>
      <w:r>
        <w:tab/>
        <w:t>I refer to the answering affidavit in the main application as such, and to the first respondent's answering affidavit to the interlocutory application to compel discovery in terms of rule 35 (12) as the opposing affidavit so as to distinguish between the two affidavits.</w:t>
      </w:r>
    </w:p>
  </w:footnote>
  <w:footnote w:id="2">
    <w:p w14:paraId="0EA2948E" w14:textId="78B7FDC7" w:rsidR="00D12E8D" w:rsidRPr="00D12E8D" w:rsidRDefault="00D12E8D">
      <w:pPr>
        <w:pStyle w:val="FootnoteText"/>
        <w:rPr>
          <w:lang w:val="en-GB"/>
        </w:rPr>
      </w:pPr>
      <w:r>
        <w:rPr>
          <w:rStyle w:val="FootnoteReference"/>
        </w:rPr>
        <w:footnoteRef/>
      </w:r>
      <w:r>
        <w:t xml:space="preserve"> </w:t>
      </w:r>
      <w:r>
        <w:rPr>
          <w:lang w:val="en-GB"/>
        </w:rPr>
        <w:tab/>
        <w:t>Rule 35(15).</w:t>
      </w:r>
    </w:p>
  </w:footnote>
  <w:footnote w:id="3">
    <w:p w14:paraId="5BCE6456" w14:textId="55662EE0" w:rsidR="00A85664" w:rsidRDefault="00A85664" w:rsidP="00A85664">
      <w:pPr>
        <w:pStyle w:val="FootnoteText"/>
      </w:pPr>
      <w:r>
        <w:rPr>
          <w:rStyle w:val="FootnoteReference"/>
        </w:rPr>
        <w:footnoteRef/>
      </w:r>
      <w:r>
        <w:t xml:space="preserve"> </w:t>
      </w:r>
      <w:r>
        <w:tab/>
      </w:r>
      <w:r w:rsidRPr="00FE16BD">
        <w:rPr>
          <w:rFonts w:cs="Arial"/>
          <w:i/>
          <w:iCs/>
          <w:color w:val="000000" w:themeColor="text1"/>
          <w:shd w:val="clear" w:color="auto" w:fill="FFFFFF"/>
        </w:rPr>
        <w:t xml:space="preserve">Democratic Alliance v </w:t>
      </w:r>
      <w:proofErr w:type="spellStart"/>
      <w:r w:rsidRPr="00FE16BD">
        <w:rPr>
          <w:rFonts w:cs="Arial"/>
          <w:i/>
          <w:iCs/>
          <w:color w:val="000000" w:themeColor="text1"/>
          <w:shd w:val="clear" w:color="auto" w:fill="FFFFFF"/>
        </w:rPr>
        <w:t>Mkhwebane</w:t>
      </w:r>
      <w:proofErr w:type="spellEnd"/>
      <w:r w:rsidRPr="00FE16BD">
        <w:rPr>
          <w:rFonts w:cs="Arial"/>
          <w:i/>
          <w:iCs/>
          <w:color w:val="000000" w:themeColor="text1"/>
          <w:shd w:val="clear" w:color="auto" w:fill="FFFFFF"/>
        </w:rPr>
        <w:t xml:space="preserve"> </w:t>
      </w:r>
      <w:r w:rsidRPr="00FE16BD">
        <w:rPr>
          <w:rFonts w:cs="Arial"/>
          <w:color w:val="000000" w:themeColor="text1"/>
        </w:rPr>
        <w:t>2021 (3) SA 403 (SCA)</w:t>
      </w:r>
      <w:r>
        <w:rPr>
          <w:rFonts w:cs="Arial"/>
          <w:color w:val="000000" w:themeColor="text1"/>
        </w:rPr>
        <w:t xml:space="preserve"> par</w:t>
      </w:r>
      <w:r w:rsidR="005037B3">
        <w:rPr>
          <w:rFonts w:cs="Arial"/>
          <w:color w:val="000000" w:themeColor="text1"/>
        </w:rPr>
        <w:t>a</w:t>
      </w:r>
      <w:r>
        <w:rPr>
          <w:rFonts w:cs="Arial"/>
          <w:color w:val="000000" w:themeColor="text1"/>
        </w:rPr>
        <w:t xml:space="preserve"> 41. See also </w:t>
      </w:r>
      <w:r w:rsidRPr="00FE16BD">
        <w:rPr>
          <w:rFonts w:cs="Arial"/>
          <w:i/>
          <w:iCs/>
          <w:color w:val="000000" w:themeColor="text1"/>
        </w:rPr>
        <w:t>Caxton and CTP Publishers and Printers Ltd v Novus Holdings Ltd</w:t>
      </w:r>
      <w:r w:rsidRPr="00FE16BD">
        <w:rPr>
          <w:rFonts w:cs="Arial"/>
          <w:color w:val="000000" w:themeColor="text1"/>
        </w:rPr>
        <w:t xml:space="preserve"> [2022] 2 All SA 299 (SCA)</w:t>
      </w:r>
      <w:r w:rsidR="005037B3">
        <w:rPr>
          <w:rFonts w:cs="Arial"/>
          <w:color w:val="000000" w:themeColor="text1"/>
        </w:rPr>
        <w:t>, 2022 JDR 0431 (SCA).</w:t>
      </w:r>
    </w:p>
  </w:footnote>
  <w:footnote w:id="4">
    <w:p w14:paraId="09BF03DE" w14:textId="77777777" w:rsidR="008A7448" w:rsidRDefault="008A7448" w:rsidP="008A7448">
      <w:pPr>
        <w:pStyle w:val="FootnoteText"/>
      </w:pPr>
      <w:r>
        <w:rPr>
          <w:rStyle w:val="FootnoteReference"/>
        </w:rPr>
        <w:footnoteRef/>
      </w:r>
      <w:r>
        <w:t xml:space="preserve"> </w:t>
      </w:r>
      <w:r>
        <w:tab/>
      </w:r>
      <w:r w:rsidRPr="00562CA5">
        <w:rPr>
          <w:rFonts w:cs="Arial"/>
          <w:bCs/>
          <w:i/>
          <w:iCs/>
          <w:szCs w:val="22"/>
        </w:rPr>
        <w:t>Federal Wine &amp; Brandy Company Ltd v Kantor</w:t>
      </w:r>
      <w:r w:rsidRPr="00562CA5">
        <w:rPr>
          <w:rFonts w:cs="Arial"/>
          <w:bCs/>
          <w:szCs w:val="22"/>
        </w:rPr>
        <w:t xml:space="preserve"> 1958 (4)</w:t>
      </w:r>
      <w:r>
        <w:rPr>
          <w:rFonts w:cs="Arial"/>
          <w:bCs/>
          <w:szCs w:val="22"/>
        </w:rPr>
        <w:t xml:space="preserve"> SA 735 (E) 749H and the various cases referred to by Van </w:t>
      </w:r>
      <w:proofErr w:type="spellStart"/>
      <w:r>
        <w:rPr>
          <w:rFonts w:cs="Arial"/>
          <w:bCs/>
          <w:szCs w:val="22"/>
        </w:rPr>
        <w:t>Loggerenberg</w:t>
      </w:r>
      <w:proofErr w:type="spellEnd"/>
      <w:r>
        <w:rPr>
          <w:rFonts w:cs="Arial"/>
          <w:bCs/>
          <w:szCs w:val="22"/>
        </w:rPr>
        <w:t xml:space="preserve"> </w:t>
      </w:r>
      <w:r w:rsidRPr="00562CA5">
        <w:rPr>
          <w:rFonts w:cs="Arial"/>
          <w:bCs/>
          <w:i/>
          <w:iCs/>
          <w:szCs w:val="22"/>
        </w:rPr>
        <w:t>Erasmus: Superior Court Practice</w:t>
      </w:r>
      <w:r>
        <w:rPr>
          <w:rFonts w:cs="Arial"/>
          <w:bCs/>
          <w:szCs w:val="22"/>
        </w:rPr>
        <w:t xml:space="preserve"> RS 21, 2023, D1-472, footnote 146.</w:t>
      </w:r>
    </w:p>
  </w:footnote>
  <w:footnote w:id="5">
    <w:p w14:paraId="17EC23BE" w14:textId="77777777" w:rsidR="00A85664" w:rsidRDefault="00A85664" w:rsidP="00A85664">
      <w:pPr>
        <w:pStyle w:val="FootnoteText"/>
      </w:pPr>
      <w:r>
        <w:rPr>
          <w:rStyle w:val="FootnoteReference"/>
        </w:rPr>
        <w:footnoteRef/>
      </w:r>
      <w:r>
        <w:t xml:space="preserve"> </w:t>
      </w:r>
      <w:r>
        <w:tab/>
      </w:r>
      <w:r w:rsidRPr="00B224B3">
        <w:rPr>
          <w:i/>
          <w:iCs/>
        </w:rPr>
        <w:t>R v Matthews</w:t>
      </w:r>
      <w:r>
        <w:t xml:space="preserve"> 1960 (1) SA 752 (A) 758.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C68A9B" w14:textId="691BDFCA" w:rsidR="00893C08" w:rsidRPr="008E2A22" w:rsidRDefault="00893C08" w:rsidP="004B21D9">
    <w:pPr>
      <w:tabs>
        <w:tab w:val="center" w:pos="4153"/>
        <w:tab w:val="right" w:pos="8306"/>
      </w:tabs>
      <w:spacing w:line="276" w:lineRule="auto"/>
      <w:rPr>
        <w:rFonts w:cs="Arial"/>
        <w:sz w:val="19"/>
        <w:szCs w:val="19"/>
        <w:lang w:val="en-GB"/>
      </w:rPr>
    </w:pPr>
    <w:r w:rsidRPr="008E2A22">
      <w:rPr>
        <w:rFonts w:cs="Arial"/>
        <w:sz w:val="19"/>
        <w:szCs w:val="19"/>
        <w:lang w:val="en-GB"/>
      </w:rPr>
      <w:fldChar w:fldCharType="begin"/>
    </w:r>
    <w:r w:rsidRPr="008E2A22">
      <w:rPr>
        <w:rFonts w:cs="Arial"/>
        <w:sz w:val="19"/>
        <w:szCs w:val="19"/>
        <w:lang w:val="en-GB"/>
      </w:rPr>
      <w:instrText xml:space="preserve"> PAGE </w:instrText>
    </w:r>
    <w:r w:rsidRPr="008E2A22">
      <w:rPr>
        <w:rFonts w:cs="Arial"/>
        <w:sz w:val="19"/>
        <w:szCs w:val="19"/>
        <w:lang w:val="en-GB"/>
      </w:rPr>
      <w:fldChar w:fldCharType="separate"/>
    </w:r>
    <w:r w:rsidR="00720C2E">
      <w:rPr>
        <w:rFonts w:cs="Arial"/>
        <w:noProof/>
        <w:sz w:val="19"/>
        <w:szCs w:val="19"/>
        <w:lang w:val="en-GB"/>
      </w:rPr>
      <w:t>9</w:t>
    </w:r>
    <w:r w:rsidRPr="008E2A22">
      <w:rPr>
        <w:rFonts w:cs="Arial"/>
        <w:sz w:val="19"/>
        <w:szCs w:val="19"/>
        <w:lang w:val="en-GB"/>
      </w:rPr>
      <w:fldChar w:fldCharType="end"/>
    </w:r>
  </w:p>
  <w:p w14:paraId="08C008E5" w14:textId="77777777" w:rsidR="00893C08" w:rsidRPr="008E2A22" w:rsidRDefault="00893C08" w:rsidP="006C43D7">
    <w:pPr>
      <w:tabs>
        <w:tab w:val="center" w:pos="4153"/>
        <w:tab w:val="right" w:pos="8306"/>
      </w:tabs>
      <w:spacing w:line="276" w:lineRule="auto"/>
      <w:jc w:val="right"/>
      <w:rPr>
        <w:rFonts w:cs="Arial"/>
        <w:sz w:val="21"/>
        <w:szCs w:val="21"/>
        <w:lang w:val="en-US"/>
      </w:rPr>
    </w:pPr>
  </w:p>
  <w:p w14:paraId="4A21EF97" w14:textId="77777777" w:rsidR="00893C08" w:rsidRPr="008E2A22" w:rsidRDefault="00893C08" w:rsidP="006C43D7">
    <w:pPr>
      <w:pStyle w:val="Header"/>
      <w:rPr>
        <w:sz w:val="21"/>
        <w:szCs w:val="21"/>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0D50CD"/>
    <w:multiLevelType w:val="hybridMultilevel"/>
    <w:tmpl w:val="9DC0471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4" w15:restartNumberingAfterBreak="0">
    <w:nsid w:val="14576F93"/>
    <w:multiLevelType w:val="hybridMultilevel"/>
    <w:tmpl w:val="64068F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5DE0EEF"/>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12639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0"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11"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12"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
  </w:num>
  <w:num w:numId="3">
    <w:abstractNumId w:val="16"/>
  </w:num>
  <w:num w:numId="4">
    <w:abstractNumId w:val="9"/>
  </w:num>
  <w:num w:numId="5">
    <w:abstractNumId w:val="15"/>
  </w:num>
  <w:num w:numId="6">
    <w:abstractNumId w:val="13"/>
  </w:num>
  <w:num w:numId="7">
    <w:abstractNumId w:val="0"/>
  </w:num>
  <w:num w:numId="8">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3"/>
  </w:num>
  <w:num w:numId="11">
    <w:abstractNumId w:val="17"/>
  </w:num>
  <w:num w:numId="12">
    <w:abstractNumId w:val="6"/>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abstractNumId w:val="14"/>
  </w:num>
  <w:num w:numId="14">
    <w:abstractNumId w:val="12"/>
  </w:num>
  <w:num w:numId="15">
    <w:abstractNumId w:val="5"/>
  </w:num>
  <w:num w:numId="16">
    <w:abstractNumId w:val="8"/>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Y3NzYztjA3MTC3MDZU0lEKTi0uzszPAykwrAUAsXRYeSwAAAA="/>
    <w:docVar w:name="dgnword-docGUID" w:val="{75DAC108-2F90-4D77-8637-F26FFF779F3B}"/>
    <w:docVar w:name="dgnword-eventsink" w:val="2962512989408"/>
  </w:docVars>
  <w:rsids>
    <w:rsidRoot w:val="00C676F3"/>
    <w:rsid w:val="000004A3"/>
    <w:rsid w:val="00000AFE"/>
    <w:rsid w:val="00001138"/>
    <w:rsid w:val="000019D2"/>
    <w:rsid w:val="000045DF"/>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A26"/>
    <w:rsid w:val="00026D9A"/>
    <w:rsid w:val="00027D19"/>
    <w:rsid w:val="00030A89"/>
    <w:rsid w:val="000319AA"/>
    <w:rsid w:val="000325E2"/>
    <w:rsid w:val="00036508"/>
    <w:rsid w:val="00040CD3"/>
    <w:rsid w:val="000426C0"/>
    <w:rsid w:val="00042D0E"/>
    <w:rsid w:val="0004506F"/>
    <w:rsid w:val="0004508D"/>
    <w:rsid w:val="00047F26"/>
    <w:rsid w:val="00050086"/>
    <w:rsid w:val="000504F1"/>
    <w:rsid w:val="00051A2B"/>
    <w:rsid w:val="0005282E"/>
    <w:rsid w:val="000528B3"/>
    <w:rsid w:val="000550EB"/>
    <w:rsid w:val="000554B8"/>
    <w:rsid w:val="0005636C"/>
    <w:rsid w:val="00060AF8"/>
    <w:rsid w:val="00063F7B"/>
    <w:rsid w:val="00066915"/>
    <w:rsid w:val="00066971"/>
    <w:rsid w:val="00072105"/>
    <w:rsid w:val="000737E1"/>
    <w:rsid w:val="00073E30"/>
    <w:rsid w:val="00077D11"/>
    <w:rsid w:val="00081716"/>
    <w:rsid w:val="00082EDC"/>
    <w:rsid w:val="000833BB"/>
    <w:rsid w:val="000835BE"/>
    <w:rsid w:val="00085288"/>
    <w:rsid w:val="00087AE6"/>
    <w:rsid w:val="000906B5"/>
    <w:rsid w:val="00090FFC"/>
    <w:rsid w:val="00092591"/>
    <w:rsid w:val="00093237"/>
    <w:rsid w:val="0009429D"/>
    <w:rsid w:val="0009488C"/>
    <w:rsid w:val="0009540B"/>
    <w:rsid w:val="000956E5"/>
    <w:rsid w:val="00096A67"/>
    <w:rsid w:val="000976D2"/>
    <w:rsid w:val="00097968"/>
    <w:rsid w:val="000A6AD8"/>
    <w:rsid w:val="000B0116"/>
    <w:rsid w:val="000B0A70"/>
    <w:rsid w:val="000B21DA"/>
    <w:rsid w:val="000B39D7"/>
    <w:rsid w:val="000C7A3D"/>
    <w:rsid w:val="000C7E41"/>
    <w:rsid w:val="000D01E0"/>
    <w:rsid w:val="000D21E7"/>
    <w:rsid w:val="000D2265"/>
    <w:rsid w:val="000D415C"/>
    <w:rsid w:val="000D4E84"/>
    <w:rsid w:val="000D53F5"/>
    <w:rsid w:val="000D5760"/>
    <w:rsid w:val="000D71C5"/>
    <w:rsid w:val="000D7D6A"/>
    <w:rsid w:val="000E1EC8"/>
    <w:rsid w:val="000E3EE8"/>
    <w:rsid w:val="000E4985"/>
    <w:rsid w:val="000E5343"/>
    <w:rsid w:val="000F00EF"/>
    <w:rsid w:val="000F430D"/>
    <w:rsid w:val="000F59F8"/>
    <w:rsid w:val="000F7813"/>
    <w:rsid w:val="00101890"/>
    <w:rsid w:val="001025B5"/>
    <w:rsid w:val="00104142"/>
    <w:rsid w:val="00105F97"/>
    <w:rsid w:val="00107D26"/>
    <w:rsid w:val="00107D90"/>
    <w:rsid w:val="001114D8"/>
    <w:rsid w:val="001142D1"/>
    <w:rsid w:val="00120C79"/>
    <w:rsid w:val="00120FB1"/>
    <w:rsid w:val="00130253"/>
    <w:rsid w:val="001305E0"/>
    <w:rsid w:val="00130C4A"/>
    <w:rsid w:val="00133E81"/>
    <w:rsid w:val="001342B3"/>
    <w:rsid w:val="00140454"/>
    <w:rsid w:val="00140CED"/>
    <w:rsid w:val="00141AD1"/>
    <w:rsid w:val="0014628D"/>
    <w:rsid w:val="00147FF5"/>
    <w:rsid w:val="00151DA9"/>
    <w:rsid w:val="0015238F"/>
    <w:rsid w:val="00152899"/>
    <w:rsid w:val="00154961"/>
    <w:rsid w:val="00155A21"/>
    <w:rsid w:val="00161057"/>
    <w:rsid w:val="0016589D"/>
    <w:rsid w:val="001671C1"/>
    <w:rsid w:val="00171182"/>
    <w:rsid w:val="0017124B"/>
    <w:rsid w:val="00171D7F"/>
    <w:rsid w:val="00172763"/>
    <w:rsid w:val="00172DDF"/>
    <w:rsid w:val="00173B8E"/>
    <w:rsid w:val="00175DDD"/>
    <w:rsid w:val="001802F8"/>
    <w:rsid w:val="00180CB6"/>
    <w:rsid w:val="001838CC"/>
    <w:rsid w:val="00183EB6"/>
    <w:rsid w:val="00185ACF"/>
    <w:rsid w:val="00190579"/>
    <w:rsid w:val="00190F4E"/>
    <w:rsid w:val="001916C4"/>
    <w:rsid w:val="0019236B"/>
    <w:rsid w:val="001923E3"/>
    <w:rsid w:val="00192613"/>
    <w:rsid w:val="00192F78"/>
    <w:rsid w:val="00193DDD"/>
    <w:rsid w:val="00195810"/>
    <w:rsid w:val="001966E8"/>
    <w:rsid w:val="00196E14"/>
    <w:rsid w:val="001A2608"/>
    <w:rsid w:val="001A5145"/>
    <w:rsid w:val="001A522A"/>
    <w:rsid w:val="001A7904"/>
    <w:rsid w:val="001B1550"/>
    <w:rsid w:val="001B1D39"/>
    <w:rsid w:val="001B35C2"/>
    <w:rsid w:val="001B4217"/>
    <w:rsid w:val="001B47D8"/>
    <w:rsid w:val="001B4812"/>
    <w:rsid w:val="001B4893"/>
    <w:rsid w:val="001B5D3E"/>
    <w:rsid w:val="001B5E58"/>
    <w:rsid w:val="001B606B"/>
    <w:rsid w:val="001B7889"/>
    <w:rsid w:val="001C0755"/>
    <w:rsid w:val="001C2371"/>
    <w:rsid w:val="001C33E6"/>
    <w:rsid w:val="001C608F"/>
    <w:rsid w:val="001C7048"/>
    <w:rsid w:val="001D3CC2"/>
    <w:rsid w:val="001D46A3"/>
    <w:rsid w:val="001E0529"/>
    <w:rsid w:val="001E2EED"/>
    <w:rsid w:val="001E44D1"/>
    <w:rsid w:val="001E4691"/>
    <w:rsid w:val="001E518E"/>
    <w:rsid w:val="001F014C"/>
    <w:rsid w:val="001F09D1"/>
    <w:rsid w:val="001F0A29"/>
    <w:rsid w:val="001F0CE5"/>
    <w:rsid w:val="001F361F"/>
    <w:rsid w:val="001F3DBD"/>
    <w:rsid w:val="001F648A"/>
    <w:rsid w:val="001F6F43"/>
    <w:rsid w:val="00200B96"/>
    <w:rsid w:val="00201620"/>
    <w:rsid w:val="00203DA2"/>
    <w:rsid w:val="0020474A"/>
    <w:rsid w:val="00205392"/>
    <w:rsid w:val="00205E72"/>
    <w:rsid w:val="00206919"/>
    <w:rsid w:val="002104BF"/>
    <w:rsid w:val="002108B6"/>
    <w:rsid w:val="00211F49"/>
    <w:rsid w:val="00213738"/>
    <w:rsid w:val="00214877"/>
    <w:rsid w:val="00215824"/>
    <w:rsid w:val="00216BC8"/>
    <w:rsid w:val="002175BA"/>
    <w:rsid w:val="002200DC"/>
    <w:rsid w:val="0022218D"/>
    <w:rsid w:val="00226926"/>
    <w:rsid w:val="002302E3"/>
    <w:rsid w:val="00232528"/>
    <w:rsid w:val="0023405C"/>
    <w:rsid w:val="00235D20"/>
    <w:rsid w:val="00236E47"/>
    <w:rsid w:val="0023711D"/>
    <w:rsid w:val="00237806"/>
    <w:rsid w:val="00237FF9"/>
    <w:rsid w:val="0024012B"/>
    <w:rsid w:val="00243D2F"/>
    <w:rsid w:val="00244FB9"/>
    <w:rsid w:val="00250164"/>
    <w:rsid w:val="00251668"/>
    <w:rsid w:val="002535F0"/>
    <w:rsid w:val="00253F38"/>
    <w:rsid w:val="00253F72"/>
    <w:rsid w:val="00260B0A"/>
    <w:rsid w:val="002625C5"/>
    <w:rsid w:val="00262819"/>
    <w:rsid w:val="00263A96"/>
    <w:rsid w:val="00270557"/>
    <w:rsid w:val="002709AE"/>
    <w:rsid w:val="00272B77"/>
    <w:rsid w:val="0027600C"/>
    <w:rsid w:val="00277491"/>
    <w:rsid w:val="00285040"/>
    <w:rsid w:val="00285062"/>
    <w:rsid w:val="0029196F"/>
    <w:rsid w:val="00292E3E"/>
    <w:rsid w:val="0029369B"/>
    <w:rsid w:val="00293C02"/>
    <w:rsid w:val="0029605B"/>
    <w:rsid w:val="00296DAF"/>
    <w:rsid w:val="002976B8"/>
    <w:rsid w:val="002A030C"/>
    <w:rsid w:val="002A4B7B"/>
    <w:rsid w:val="002B0355"/>
    <w:rsid w:val="002B05EA"/>
    <w:rsid w:val="002B12D6"/>
    <w:rsid w:val="002B528D"/>
    <w:rsid w:val="002B782F"/>
    <w:rsid w:val="002C15AC"/>
    <w:rsid w:val="002C2E80"/>
    <w:rsid w:val="002C4687"/>
    <w:rsid w:val="002C48E7"/>
    <w:rsid w:val="002C4B84"/>
    <w:rsid w:val="002D1EC7"/>
    <w:rsid w:val="002D2842"/>
    <w:rsid w:val="002D47B3"/>
    <w:rsid w:val="002E0E37"/>
    <w:rsid w:val="002E2648"/>
    <w:rsid w:val="002E2901"/>
    <w:rsid w:val="002E3586"/>
    <w:rsid w:val="002E5B57"/>
    <w:rsid w:val="002E612C"/>
    <w:rsid w:val="002E6CD7"/>
    <w:rsid w:val="002E704D"/>
    <w:rsid w:val="002F1C4D"/>
    <w:rsid w:val="002F2881"/>
    <w:rsid w:val="002F41F8"/>
    <w:rsid w:val="002F4A5D"/>
    <w:rsid w:val="002F508A"/>
    <w:rsid w:val="002F72D3"/>
    <w:rsid w:val="002F774A"/>
    <w:rsid w:val="00302290"/>
    <w:rsid w:val="003023F9"/>
    <w:rsid w:val="00302C31"/>
    <w:rsid w:val="003031A1"/>
    <w:rsid w:val="00303919"/>
    <w:rsid w:val="003047C2"/>
    <w:rsid w:val="0030653F"/>
    <w:rsid w:val="00306B41"/>
    <w:rsid w:val="003102C8"/>
    <w:rsid w:val="0031117B"/>
    <w:rsid w:val="00312EBC"/>
    <w:rsid w:val="00313056"/>
    <w:rsid w:val="00321DF8"/>
    <w:rsid w:val="00323058"/>
    <w:rsid w:val="00324EDF"/>
    <w:rsid w:val="003312BF"/>
    <w:rsid w:val="003313A2"/>
    <w:rsid w:val="00335170"/>
    <w:rsid w:val="00337135"/>
    <w:rsid w:val="0034147B"/>
    <w:rsid w:val="00342E02"/>
    <w:rsid w:val="003448B1"/>
    <w:rsid w:val="003463D6"/>
    <w:rsid w:val="00346D31"/>
    <w:rsid w:val="00346DE6"/>
    <w:rsid w:val="00347E19"/>
    <w:rsid w:val="0035170A"/>
    <w:rsid w:val="003541F6"/>
    <w:rsid w:val="00354395"/>
    <w:rsid w:val="003543C5"/>
    <w:rsid w:val="00354EF2"/>
    <w:rsid w:val="00355BEB"/>
    <w:rsid w:val="00357081"/>
    <w:rsid w:val="00357D35"/>
    <w:rsid w:val="00360253"/>
    <w:rsid w:val="0036253D"/>
    <w:rsid w:val="00363FCD"/>
    <w:rsid w:val="00364C43"/>
    <w:rsid w:val="00364E6A"/>
    <w:rsid w:val="00364E80"/>
    <w:rsid w:val="003653FF"/>
    <w:rsid w:val="00366E5C"/>
    <w:rsid w:val="003676CF"/>
    <w:rsid w:val="00367720"/>
    <w:rsid w:val="00367778"/>
    <w:rsid w:val="0037029D"/>
    <w:rsid w:val="00371332"/>
    <w:rsid w:val="00372A48"/>
    <w:rsid w:val="00373181"/>
    <w:rsid w:val="00375E93"/>
    <w:rsid w:val="003761BD"/>
    <w:rsid w:val="00377123"/>
    <w:rsid w:val="00377CD6"/>
    <w:rsid w:val="00380919"/>
    <w:rsid w:val="00381213"/>
    <w:rsid w:val="003832F7"/>
    <w:rsid w:val="00383EAF"/>
    <w:rsid w:val="003840EC"/>
    <w:rsid w:val="00385DBA"/>
    <w:rsid w:val="00386938"/>
    <w:rsid w:val="0038715A"/>
    <w:rsid w:val="00390C3F"/>
    <w:rsid w:val="00393127"/>
    <w:rsid w:val="003940DD"/>
    <w:rsid w:val="00394A1A"/>
    <w:rsid w:val="00395873"/>
    <w:rsid w:val="003959D1"/>
    <w:rsid w:val="003A1D18"/>
    <w:rsid w:val="003A62CC"/>
    <w:rsid w:val="003A649B"/>
    <w:rsid w:val="003A7864"/>
    <w:rsid w:val="003A7CA2"/>
    <w:rsid w:val="003B0559"/>
    <w:rsid w:val="003B0845"/>
    <w:rsid w:val="003B0C56"/>
    <w:rsid w:val="003B11F4"/>
    <w:rsid w:val="003B1882"/>
    <w:rsid w:val="003B4100"/>
    <w:rsid w:val="003B6C02"/>
    <w:rsid w:val="003B75AD"/>
    <w:rsid w:val="003C067B"/>
    <w:rsid w:val="003C0ED8"/>
    <w:rsid w:val="003C1488"/>
    <w:rsid w:val="003C1A16"/>
    <w:rsid w:val="003C1E91"/>
    <w:rsid w:val="003C5536"/>
    <w:rsid w:val="003C7FCC"/>
    <w:rsid w:val="003D1202"/>
    <w:rsid w:val="003D19C3"/>
    <w:rsid w:val="003D36F9"/>
    <w:rsid w:val="003D77F1"/>
    <w:rsid w:val="003D7970"/>
    <w:rsid w:val="003E0159"/>
    <w:rsid w:val="003E449A"/>
    <w:rsid w:val="003E4A33"/>
    <w:rsid w:val="003E54E1"/>
    <w:rsid w:val="003E724B"/>
    <w:rsid w:val="003E7A60"/>
    <w:rsid w:val="003F1F49"/>
    <w:rsid w:val="003F23F0"/>
    <w:rsid w:val="003F44F4"/>
    <w:rsid w:val="003F4801"/>
    <w:rsid w:val="003F7448"/>
    <w:rsid w:val="0040197A"/>
    <w:rsid w:val="00404A52"/>
    <w:rsid w:val="00407B85"/>
    <w:rsid w:val="00407F28"/>
    <w:rsid w:val="00410BA9"/>
    <w:rsid w:val="0041100A"/>
    <w:rsid w:val="0041262D"/>
    <w:rsid w:val="004131C5"/>
    <w:rsid w:val="0041363D"/>
    <w:rsid w:val="00413D9B"/>
    <w:rsid w:val="00415439"/>
    <w:rsid w:val="0042161A"/>
    <w:rsid w:val="0042423E"/>
    <w:rsid w:val="00424BA6"/>
    <w:rsid w:val="004274E7"/>
    <w:rsid w:val="00430142"/>
    <w:rsid w:val="00430B04"/>
    <w:rsid w:val="00431ABD"/>
    <w:rsid w:val="004339E6"/>
    <w:rsid w:val="00434796"/>
    <w:rsid w:val="0043683A"/>
    <w:rsid w:val="00437EB1"/>
    <w:rsid w:val="00441422"/>
    <w:rsid w:val="00444ED6"/>
    <w:rsid w:val="00445DCB"/>
    <w:rsid w:val="00447235"/>
    <w:rsid w:val="004479C3"/>
    <w:rsid w:val="0045044C"/>
    <w:rsid w:val="00460495"/>
    <w:rsid w:val="00460EEA"/>
    <w:rsid w:val="004630B6"/>
    <w:rsid w:val="00463106"/>
    <w:rsid w:val="00466A30"/>
    <w:rsid w:val="00467F5B"/>
    <w:rsid w:val="00472F97"/>
    <w:rsid w:val="00474607"/>
    <w:rsid w:val="00474910"/>
    <w:rsid w:val="004749AF"/>
    <w:rsid w:val="00475410"/>
    <w:rsid w:val="00475E80"/>
    <w:rsid w:val="004774FF"/>
    <w:rsid w:val="0048285C"/>
    <w:rsid w:val="00483F21"/>
    <w:rsid w:val="00484116"/>
    <w:rsid w:val="00484163"/>
    <w:rsid w:val="004841A8"/>
    <w:rsid w:val="0048424E"/>
    <w:rsid w:val="00484F8A"/>
    <w:rsid w:val="00486F42"/>
    <w:rsid w:val="00487D14"/>
    <w:rsid w:val="0049165E"/>
    <w:rsid w:val="004923A9"/>
    <w:rsid w:val="00494337"/>
    <w:rsid w:val="00495F7C"/>
    <w:rsid w:val="004976D5"/>
    <w:rsid w:val="004A10CD"/>
    <w:rsid w:val="004A11D9"/>
    <w:rsid w:val="004A1E3F"/>
    <w:rsid w:val="004A2C7E"/>
    <w:rsid w:val="004A5056"/>
    <w:rsid w:val="004A5AF5"/>
    <w:rsid w:val="004A6625"/>
    <w:rsid w:val="004A69D6"/>
    <w:rsid w:val="004A70AB"/>
    <w:rsid w:val="004A7DFE"/>
    <w:rsid w:val="004B085D"/>
    <w:rsid w:val="004B0DBA"/>
    <w:rsid w:val="004B21D9"/>
    <w:rsid w:val="004B255A"/>
    <w:rsid w:val="004B3A47"/>
    <w:rsid w:val="004B3CA9"/>
    <w:rsid w:val="004C0CE3"/>
    <w:rsid w:val="004C368B"/>
    <w:rsid w:val="004D1A31"/>
    <w:rsid w:val="004D1A91"/>
    <w:rsid w:val="004D2123"/>
    <w:rsid w:val="004D262A"/>
    <w:rsid w:val="004D2C6F"/>
    <w:rsid w:val="004D2E01"/>
    <w:rsid w:val="004D3237"/>
    <w:rsid w:val="004D3FD6"/>
    <w:rsid w:val="004D4E89"/>
    <w:rsid w:val="004D635C"/>
    <w:rsid w:val="004D692E"/>
    <w:rsid w:val="004E0F3F"/>
    <w:rsid w:val="004E1191"/>
    <w:rsid w:val="004E1349"/>
    <w:rsid w:val="004E1AF1"/>
    <w:rsid w:val="004E3305"/>
    <w:rsid w:val="004E3D0E"/>
    <w:rsid w:val="004E568C"/>
    <w:rsid w:val="004E5AD8"/>
    <w:rsid w:val="004E61DE"/>
    <w:rsid w:val="004F0806"/>
    <w:rsid w:val="004F12D8"/>
    <w:rsid w:val="004F2189"/>
    <w:rsid w:val="004F22A6"/>
    <w:rsid w:val="004F4A37"/>
    <w:rsid w:val="004F5D23"/>
    <w:rsid w:val="005037B3"/>
    <w:rsid w:val="00504B53"/>
    <w:rsid w:val="00505FF7"/>
    <w:rsid w:val="0051015D"/>
    <w:rsid w:val="0051292D"/>
    <w:rsid w:val="00514426"/>
    <w:rsid w:val="0051442D"/>
    <w:rsid w:val="00515FD8"/>
    <w:rsid w:val="0051622D"/>
    <w:rsid w:val="00517A09"/>
    <w:rsid w:val="005207B2"/>
    <w:rsid w:val="005219EB"/>
    <w:rsid w:val="005262C2"/>
    <w:rsid w:val="005263F0"/>
    <w:rsid w:val="0052705A"/>
    <w:rsid w:val="005272E3"/>
    <w:rsid w:val="00532E26"/>
    <w:rsid w:val="00533CD6"/>
    <w:rsid w:val="00537126"/>
    <w:rsid w:val="00537A72"/>
    <w:rsid w:val="005405F8"/>
    <w:rsid w:val="00542EAE"/>
    <w:rsid w:val="00546878"/>
    <w:rsid w:val="005509BE"/>
    <w:rsid w:val="00554ED3"/>
    <w:rsid w:val="0055674D"/>
    <w:rsid w:val="00560E18"/>
    <w:rsid w:val="005615BB"/>
    <w:rsid w:val="005621E7"/>
    <w:rsid w:val="00562B7E"/>
    <w:rsid w:val="00562CA5"/>
    <w:rsid w:val="00563355"/>
    <w:rsid w:val="00571E81"/>
    <w:rsid w:val="00573FF9"/>
    <w:rsid w:val="005743CA"/>
    <w:rsid w:val="005755B7"/>
    <w:rsid w:val="00576B16"/>
    <w:rsid w:val="00577427"/>
    <w:rsid w:val="005808E5"/>
    <w:rsid w:val="005875A9"/>
    <w:rsid w:val="00593C34"/>
    <w:rsid w:val="005949BC"/>
    <w:rsid w:val="005971D5"/>
    <w:rsid w:val="005A0847"/>
    <w:rsid w:val="005A313A"/>
    <w:rsid w:val="005A35EB"/>
    <w:rsid w:val="005A5582"/>
    <w:rsid w:val="005A680F"/>
    <w:rsid w:val="005A70F0"/>
    <w:rsid w:val="005A747A"/>
    <w:rsid w:val="005B07CB"/>
    <w:rsid w:val="005B2B27"/>
    <w:rsid w:val="005B2FF9"/>
    <w:rsid w:val="005B380D"/>
    <w:rsid w:val="005B3F1C"/>
    <w:rsid w:val="005B696E"/>
    <w:rsid w:val="005B6D81"/>
    <w:rsid w:val="005B7767"/>
    <w:rsid w:val="005B7DD3"/>
    <w:rsid w:val="005C11DA"/>
    <w:rsid w:val="005C1E41"/>
    <w:rsid w:val="005C7FC2"/>
    <w:rsid w:val="005D1F92"/>
    <w:rsid w:val="005D2137"/>
    <w:rsid w:val="005D2408"/>
    <w:rsid w:val="005D32A9"/>
    <w:rsid w:val="005D6122"/>
    <w:rsid w:val="005D6E80"/>
    <w:rsid w:val="005E02FB"/>
    <w:rsid w:val="005E03B3"/>
    <w:rsid w:val="005E0B20"/>
    <w:rsid w:val="005E2936"/>
    <w:rsid w:val="005E2F7B"/>
    <w:rsid w:val="005E3C94"/>
    <w:rsid w:val="005E5C01"/>
    <w:rsid w:val="005E6A9D"/>
    <w:rsid w:val="005E7118"/>
    <w:rsid w:val="005E7B14"/>
    <w:rsid w:val="005E7E9F"/>
    <w:rsid w:val="005F1CDA"/>
    <w:rsid w:val="005F35C5"/>
    <w:rsid w:val="005F37A4"/>
    <w:rsid w:val="005F561B"/>
    <w:rsid w:val="005F7E15"/>
    <w:rsid w:val="00601270"/>
    <w:rsid w:val="0060221B"/>
    <w:rsid w:val="00602403"/>
    <w:rsid w:val="00602FA4"/>
    <w:rsid w:val="006041A4"/>
    <w:rsid w:val="00610873"/>
    <w:rsid w:val="006109EC"/>
    <w:rsid w:val="00610F53"/>
    <w:rsid w:val="00611D8A"/>
    <w:rsid w:val="006122AB"/>
    <w:rsid w:val="0061430D"/>
    <w:rsid w:val="006150CE"/>
    <w:rsid w:val="00615ED4"/>
    <w:rsid w:val="00615F6B"/>
    <w:rsid w:val="006165F4"/>
    <w:rsid w:val="006245EC"/>
    <w:rsid w:val="00626ABB"/>
    <w:rsid w:val="006309D5"/>
    <w:rsid w:val="006376C5"/>
    <w:rsid w:val="006407E9"/>
    <w:rsid w:val="00641F4F"/>
    <w:rsid w:val="00642664"/>
    <w:rsid w:val="00644BBE"/>
    <w:rsid w:val="006466DA"/>
    <w:rsid w:val="00646711"/>
    <w:rsid w:val="00646777"/>
    <w:rsid w:val="006479F9"/>
    <w:rsid w:val="00647DDD"/>
    <w:rsid w:val="00653BA4"/>
    <w:rsid w:val="00656E2E"/>
    <w:rsid w:val="00657478"/>
    <w:rsid w:val="00657EDA"/>
    <w:rsid w:val="00657F9A"/>
    <w:rsid w:val="006609A2"/>
    <w:rsid w:val="00660C84"/>
    <w:rsid w:val="0066132D"/>
    <w:rsid w:val="0066194B"/>
    <w:rsid w:val="00661FC4"/>
    <w:rsid w:val="006630E1"/>
    <w:rsid w:val="00666D4D"/>
    <w:rsid w:val="00672205"/>
    <w:rsid w:val="00672E95"/>
    <w:rsid w:val="0067508C"/>
    <w:rsid w:val="006762B3"/>
    <w:rsid w:val="00677059"/>
    <w:rsid w:val="00680072"/>
    <w:rsid w:val="00680421"/>
    <w:rsid w:val="00681B06"/>
    <w:rsid w:val="006858DA"/>
    <w:rsid w:val="00686C3F"/>
    <w:rsid w:val="006902F1"/>
    <w:rsid w:val="006918E9"/>
    <w:rsid w:val="00692A13"/>
    <w:rsid w:val="006951CE"/>
    <w:rsid w:val="00695B2C"/>
    <w:rsid w:val="006A1F2C"/>
    <w:rsid w:val="006A3B6B"/>
    <w:rsid w:val="006A438B"/>
    <w:rsid w:val="006A4F20"/>
    <w:rsid w:val="006A5A46"/>
    <w:rsid w:val="006A6039"/>
    <w:rsid w:val="006B1E87"/>
    <w:rsid w:val="006B514A"/>
    <w:rsid w:val="006C1EA3"/>
    <w:rsid w:val="006C1EDF"/>
    <w:rsid w:val="006C2AB0"/>
    <w:rsid w:val="006C2B5F"/>
    <w:rsid w:val="006C31B7"/>
    <w:rsid w:val="006C3CE1"/>
    <w:rsid w:val="006C4213"/>
    <w:rsid w:val="006C43D7"/>
    <w:rsid w:val="006C49F6"/>
    <w:rsid w:val="006C53ED"/>
    <w:rsid w:val="006C5694"/>
    <w:rsid w:val="006D11AD"/>
    <w:rsid w:val="006D193A"/>
    <w:rsid w:val="006D23FB"/>
    <w:rsid w:val="006D25DD"/>
    <w:rsid w:val="006D27E2"/>
    <w:rsid w:val="006D29AA"/>
    <w:rsid w:val="006D3D1D"/>
    <w:rsid w:val="006D4128"/>
    <w:rsid w:val="006D4C1B"/>
    <w:rsid w:val="006D5E45"/>
    <w:rsid w:val="006D5E57"/>
    <w:rsid w:val="006E0B4D"/>
    <w:rsid w:val="006E2083"/>
    <w:rsid w:val="006E2725"/>
    <w:rsid w:val="006E3064"/>
    <w:rsid w:val="006E405E"/>
    <w:rsid w:val="006E68E6"/>
    <w:rsid w:val="006E73D0"/>
    <w:rsid w:val="006F0330"/>
    <w:rsid w:val="006F042A"/>
    <w:rsid w:val="006F0C74"/>
    <w:rsid w:val="006F1875"/>
    <w:rsid w:val="006F2187"/>
    <w:rsid w:val="006F25E5"/>
    <w:rsid w:val="006F2FCE"/>
    <w:rsid w:val="006F36B9"/>
    <w:rsid w:val="006F415C"/>
    <w:rsid w:val="006F489F"/>
    <w:rsid w:val="00700C86"/>
    <w:rsid w:val="00703C49"/>
    <w:rsid w:val="0070560F"/>
    <w:rsid w:val="007112CA"/>
    <w:rsid w:val="00714728"/>
    <w:rsid w:val="007202BD"/>
    <w:rsid w:val="007205BF"/>
    <w:rsid w:val="00720C2E"/>
    <w:rsid w:val="00721AE9"/>
    <w:rsid w:val="007237D1"/>
    <w:rsid w:val="007241D4"/>
    <w:rsid w:val="00724246"/>
    <w:rsid w:val="00724D82"/>
    <w:rsid w:val="00730BF2"/>
    <w:rsid w:val="00732A6F"/>
    <w:rsid w:val="007351A5"/>
    <w:rsid w:val="0074214D"/>
    <w:rsid w:val="00742764"/>
    <w:rsid w:val="00745456"/>
    <w:rsid w:val="00746E92"/>
    <w:rsid w:val="00750950"/>
    <w:rsid w:val="00751452"/>
    <w:rsid w:val="0075156A"/>
    <w:rsid w:val="00751D8C"/>
    <w:rsid w:val="00751F90"/>
    <w:rsid w:val="0075204D"/>
    <w:rsid w:val="00752EF6"/>
    <w:rsid w:val="00754BDD"/>
    <w:rsid w:val="00757143"/>
    <w:rsid w:val="007619C5"/>
    <w:rsid w:val="00761B26"/>
    <w:rsid w:val="00761C35"/>
    <w:rsid w:val="00762178"/>
    <w:rsid w:val="00765F62"/>
    <w:rsid w:val="00766026"/>
    <w:rsid w:val="00772025"/>
    <w:rsid w:val="007726C0"/>
    <w:rsid w:val="007744FD"/>
    <w:rsid w:val="00775AB7"/>
    <w:rsid w:val="00776B34"/>
    <w:rsid w:val="00781088"/>
    <w:rsid w:val="00781AA0"/>
    <w:rsid w:val="00781CF7"/>
    <w:rsid w:val="00781D24"/>
    <w:rsid w:val="00782DE8"/>
    <w:rsid w:val="00786D45"/>
    <w:rsid w:val="00787202"/>
    <w:rsid w:val="00792E10"/>
    <w:rsid w:val="0079383D"/>
    <w:rsid w:val="007966EF"/>
    <w:rsid w:val="007A006B"/>
    <w:rsid w:val="007A1D60"/>
    <w:rsid w:val="007A34D1"/>
    <w:rsid w:val="007A5BDB"/>
    <w:rsid w:val="007A7102"/>
    <w:rsid w:val="007B165A"/>
    <w:rsid w:val="007B275E"/>
    <w:rsid w:val="007B2DAD"/>
    <w:rsid w:val="007B2DF7"/>
    <w:rsid w:val="007B7246"/>
    <w:rsid w:val="007B78C2"/>
    <w:rsid w:val="007C23FF"/>
    <w:rsid w:val="007C25B0"/>
    <w:rsid w:val="007C416B"/>
    <w:rsid w:val="007C4CB7"/>
    <w:rsid w:val="007C5008"/>
    <w:rsid w:val="007C6046"/>
    <w:rsid w:val="007C658B"/>
    <w:rsid w:val="007D1E79"/>
    <w:rsid w:val="007D27CF"/>
    <w:rsid w:val="007D4DAF"/>
    <w:rsid w:val="007E1175"/>
    <w:rsid w:val="007E220A"/>
    <w:rsid w:val="007E468A"/>
    <w:rsid w:val="007E54E5"/>
    <w:rsid w:val="007E58FC"/>
    <w:rsid w:val="007E7463"/>
    <w:rsid w:val="007F07D4"/>
    <w:rsid w:val="007F1517"/>
    <w:rsid w:val="007F207F"/>
    <w:rsid w:val="007F5B91"/>
    <w:rsid w:val="007F7DAA"/>
    <w:rsid w:val="00800BE5"/>
    <w:rsid w:val="008019A7"/>
    <w:rsid w:val="00803CEC"/>
    <w:rsid w:val="008040B5"/>
    <w:rsid w:val="00804B15"/>
    <w:rsid w:val="008076A4"/>
    <w:rsid w:val="00807DC2"/>
    <w:rsid w:val="0081003E"/>
    <w:rsid w:val="00810CA3"/>
    <w:rsid w:val="008112DE"/>
    <w:rsid w:val="00811776"/>
    <w:rsid w:val="008200A7"/>
    <w:rsid w:val="00822050"/>
    <w:rsid w:val="008304EC"/>
    <w:rsid w:val="00830952"/>
    <w:rsid w:val="00830F84"/>
    <w:rsid w:val="00832522"/>
    <w:rsid w:val="00833453"/>
    <w:rsid w:val="0084184E"/>
    <w:rsid w:val="00841B33"/>
    <w:rsid w:val="00841C01"/>
    <w:rsid w:val="00843EFD"/>
    <w:rsid w:val="008442F2"/>
    <w:rsid w:val="008443A9"/>
    <w:rsid w:val="0084599C"/>
    <w:rsid w:val="008469B3"/>
    <w:rsid w:val="00847539"/>
    <w:rsid w:val="008535CA"/>
    <w:rsid w:val="00856FA8"/>
    <w:rsid w:val="00856FF2"/>
    <w:rsid w:val="008578F4"/>
    <w:rsid w:val="00860576"/>
    <w:rsid w:val="00861120"/>
    <w:rsid w:val="0086688C"/>
    <w:rsid w:val="008674AA"/>
    <w:rsid w:val="008675CC"/>
    <w:rsid w:val="0087609B"/>
    <w:rsid w:val="00880850"/>
    <w:rsid w:val="0088094C"/>
    <w:rsid w:val="00881004"/>
    <w:rsid w:val="00882C40"/>
    <w:rsid w:val="00885973"/>
    <w:rsid w:val="0089145D"/>
    <w:rsid w:val="008919D3"/>
    <w:rsid w:val="00891DC8"/>
    <w:rsid w:val="00891F55"/>
    <w:rsid w:val="00892908"/>
    <w:rsid w:val="00893C08"/>
    <w:rsid w:val="008942FC"/>
    <w:rsid w:val="0089562F"/>
    <w:rsid w:val="008957BF"/>
    <w:rsid w:val="00895BE0"/>
    <w:rsid w:val="0089629F"/>
    <w:rsid w:val="008A082A"/>
    <w:rsid w:val="008A32BD"/>
    <w:rsid w:val="008A389B"/>
    <w:rsid w:val="008A4DF4"/>
    <w:rsid w:val="008A7448"/>
    <w:rsid w:val="008B0950"/>
    <w:rsid w:val="008B1DA9"/>
    <w:rsid w:val="008B23D4"/>
    <w:rsid w:val="008B571D"/>
    <w:rsid w:val="008B6162"/>
    <w:rsid w:val="008C3710"/>
    <w:rsid w:val="008C3EBC"/>
    <w:rsid w:val="008C4AE0"/>
    <w:rsid w:val="008C57F6"/>
    <w:rsid w:val="008C68A7"/>
    <w:rsid w:val="008C7019"/>
    <w:rsid w:val="008D2A7F"/>
    <w:rsid w:val="008D33A3"/>
    <w:rsid w:val="008D4715"/>
    <w:rsid w:val="008D5B23"/>
    <w:rsid w:val="008D6F1D"/>
    <w:rsid w:val="008E03A3"/>
    <w:rsid w:val="008E1B11"/>
    <w:rsid w:val="008E2A22"/>
    <w:rsid w:val="008E2ACD"/>
    <w:rsid w:val="008E2D8C"/>
    <w:rsid w:val="008E53BA"/>
    <w:rsid w:val="008E7E5E"/>
    <w:rsid w:val="008E7F87"/>
    <w:rsid w:val="008E7FB3"/>
    <w:rsid w:val="008F0CC7"/>
    <w:rsid w:val="008F11CF"/>
    <w:rsid w:val="008F14EA"/>
    <w:rsid w:val="008F189C"/>
    <w:rsid w:val="008F1FE1"/>
    <w:rsid w:val="008F32FF"/>
    <w:rsid w:val="008F4486"/>
    <w:rsid w:val="008F4FC6"/>
    <w:rsid w:val="008F6436"/>
    <w:rsid w:val="008F72CD"/>
    <w:rsid w:val="009015D3"/>
    <w:rsid w:val="00902179"/>
    <w:rsid w:val="00903877"/>
    <w:rsid w:val="0090677E"/>
    <w:rsid w:val="009111C8"/>
    <w:rsid w:val="0091370E"/>
    <w:rsid w:val="00913A4A"/>
    <w:rsid w:val="00914A6E"/>
    <w:rsid w:val="0091544C"/>
    <w:rsid w:val="00921D03"/>
    <w:rsid w:val="00921DE6"/>
    <w:rsid w:val="00925CD2"/>
    <w:rsid w:val="00932559"/>
    <w:rsid w:val="00933065"/>
    <w:rsid w:val="00933569"/>
    <w:rsid w:val="00934918"/>
    <w:rsid w:val="009365B1"/>
    <w:rsid w:val="0093799C"/>
    <w:rsid w:val="009422A1"/>
    <w:rsid w:val="00943484"/>
    <w:rsid w:val="00944804"/>
    <w:rsid w:val="009449FB"/>
    <w:rsid w:val="0094634F"/>
    <w:rsid w:val="009473D8"/>
    <w:rsid w:val="00947F51"/>
    <w:rsid w:val="00954386"/>
    <w:rsid w:val="009564B5"/>
    <w:rsid w:val="00957513"/>
    <w:rsid w:val="00960ADF"/>
    <w:rsid w:val="009623DA"/>
    <w:rsid w:val="00963A0C"/>
    <w:rsid w:val="009661A4"/>
    <w:rsid w:val="009661B5"/>
    <w:rsid w:val="009725C0"/>
    <w:rsid w:val="009727D8"/>
    <w:rsid w:val="009729BD"/>
    <w:rsid w:val="009729D5"/>
    <w:rsid w:val="00974A92"/>
    <w:rsid w:val="00974C91"/>
    <w:rsid w:val="00975270"/>
    <w:rsid w:val="00975BA1"/>
    <w:rsid w:val="00976F39"/>
    <w:rsid w:val="009809DD"/>
    <w:rsid w:val="009835E3"/>
    <w:rsid w:val="009837A6"/>
    <w:rsid w:val="009839B9"/>
    <w:rsid w:val="00983C64"/>
    <w:rsid w:val="009869F2"/>
    <w:rsid w:val="00987CDB"/>
    <w:rsid w:val="009A087C"/>
    <w:rsid w:val="009A2613"/>
    <w:rsid w:val="009A2726"/>
    <w:rsid w:val="009A30E0"/>
    <w:rsid w:val="009A3619"/>
    <w:rsid w:val="009A57B9"/>
    <w:rsid w:val="009A66D0"/>
    <w:rsid w:val="009A739F"/>
    <w:rsid w:val="009B08AF"/>
    <w:rsid w:val="009B0AC9"/>
    <w:rsid w:val="009B10F4"/>
    <w:rsid w:val="009B3DFC"/>
    <w:rsid w:val="009B53BC"/>
    <w:rsid w:val="009B793E"/>
    <w:rsid w:val="009C1EA6"/>
    <w:rsid w:val="009C37B9"/>
    <w:rsid w:val="009C38E7"/>
    <w:rsid w:val="009D31FA"/>
    <w:rsid w:val="009D32BD"/>
    <w:rsid w:val="009D33F1"/>
    <w:rsid w:val="009D35B5"/>
    <w:rsid w:val="009D3771"/>
    <w:rsid w:val="009D37BD"/>
    <w:rsid w:val="009D4486"/>
    <w:rsid w:val="009D7128"/>
    <w:rsid w:val="009D7613"/>
    <w:rsid w:val="009E21DE"/>
    <w:rsid w:val="009E6174"/>
    <w:rsid w:val="009F1DC7"/>
    <w:rsid w:val="009F211E"/>
    <w:rsid w:val="009F2572"/>
    <w:rsid w:val="009F294E"/>
    <w:rsid w:val="009F30F1"/>
    <w:rsid w:val="009F37C7"/>
    <w:rsid w:val="009F50AB"/>
    <w:rsid w:val="00A005F6"/>
    <w:rsid w:val="00A03986"/>
    <w:rsid w:val="00A040E3"/>
    <w:rsid w:val="00A0424F"/>
    <w:rsid w:val="00A051FB"/>
    <w:rsid w:val="00A0659C"/>
    <w:rsid w:val="00A07164"/>
    <w:rsid w:val="00A10039"/>
    <w:rsid w:val="00A100BA"/>
    <w:rsid w:val="00A103FF"/>
    <w:rsid w:val="00A121B5"/>
    <w:rsid w:val="00A16C6E"/>
    <w:rsid w:val="00A17DB2"/>
    <w:rsid w:val="00A2023B"/>
    <w:rsid w:val="00A21DEA"/>
    <w:rsid w:val="00A22A14"/>
    <w:rsid w:val="00A23A49"/>
    <w:rsid w:val="00A25AB4"/>
    <w:rsid w:val="00A26214"/>
    <w:rsid w:val="00A26566"/>
    <w:rsid w:val="00A27A51"/>
    <w:rsid w:val="00A31837"/>
    <w:rsid w:val="00A31D70"/>
    <w:rsid w:val="00A33018"/>
    <w:rsid w:val="00A3310D"/>
    <w:rsid w:val="00A3484C"/>
    <w:rsid w:val="00A351B3"/>
    <w:rsid w:val="00A35CE6"/>
    <w:rsid w:val="00A37BA4"/>
    <w:rsid w:val="00A402F6"/>
    <w:rsid w:val="00A406B4"/>
    <w:rsid w:val="00A42167"/>
    <w:rsid w:val="00A429D5"/>
    <w:rsid w:val="00A434B9"/>
    <w:rsid w:val="00A43739"/>
    <w:rsid w:val="00A444DD"/>
    <w:rsid w:val="00A47150"/>
    <w:rsid w:val="00A471EF"/>
    <w:rsid w:val="00A47466"/>
    <w:rsid w:val="00A47815"/>
    <w:rsid w:val="00A47A18"/>
    <w:rsid w:val="00A47A3D"/>
    <w:rsid w:val="00A47CD6"/>
    <w:rsid w:val="00A5359C"/>
    <w:rsid w:val="00A539CB"/>
    <w:rsid w:val="00A57DA7"/>
    <w:rsid w:val="00A60542"/>
    <w:rsid w:val="00A63709"/>
    <w:rsid w:val="00A643AB"/>
    <w:rsid w:val="00A649E6"/>
    <w:rsid w:val="00A660AF"/>
    <w:rsid w:val="00A7021C"/>
    <w:rsid w:val="00A70814"/>
    <w:rsid w:val="00A70A95"/>
    <w:rsid w:val="00A70BDA"/>
    <w:rsid w:val="00A712D3"/>
    <w:rsid w:val="00A73E2C"/>
    <w:rsid w:val="00A740B6"/>
    <w:rsid w:val="00A7621E"/>
    <w:rsid w:val="00A76BE4"/>
    <w:rsid w:val="00A817D5"/>
    <w:rsid w:val="00A841B2"/>
    <w:rsid w:val="00A84915"/>
    <w:rsid w:val="00A84F01"/>
    <w:rsid w:val="00A85664"/>
    <w:rsid w:val="00A9029A"/>
    <w:rsid w:val="00A91332"/>
    <w:rsid w:val="00A93351"/>
    <w:rsid w:val="00A95538"/>
    <w:rsid w:val="00AA0013"/>
    <w:rsid w:val="00AA26FF"/>
    <w:rsid w:val="00AA43EC"/>
    <w:rsid w:val="00AA4C92"/>
    <w:rsid w:val="00AA4E77"/>
    <w:rsid w:val="00AA6E8C"/>
    <w:rsid w:val="00AA6F19"/>
    <w:rsid w:val="00AA75E6"/>
    <w:rsid w:val="00AA79A8"/>
    <w:rsid w:val="00AA7A76"/>
    <w:rsid w:val="00AA7C2E"/>
    <w:rsid w:val="00AB0286"/>
    <w:rsid w:val="00AB0DD9"/>
    <w:rsid w:val="00AB404E"/>
    <w:rsid w:val="00AB4C6D"/>
    <w:rsid w:val="00AB53F2"/>
    <w:rsid w:val="00AB55F7"/>
    <w:rsid w:val="00AB6E29"/>
    <w:rsid w:val="00AB7162"/>
    <w:rsid w:val="00AC022F"/>
    <w:rsid w:val="00AC114D"/>
    <w:rsid w:val="00AC2995"/>
    <w:rsid w:val="00AC2F6A"/>
    <w:rsid w:val="00AC38A4"/>
    <w:rsid w:val="00AC4165"/>
    <w:rsid w:val="00AC556A"/>
    <w:rsid w:val="00AC76EA"/>
    <w:rsid w:val="00AC7FB7"/>
    <w:rsid w:val="00AD0007"/>
    <w:rsid w:val="00AD12F6"/>
    <w:rsid w:val="00AD23B3"/>
    <w:rsid w:val="00AD23BF"/>
    <w:rsid w:val="00AD25B6"/>
    <w:rsid w:val="00AD2631"/>
    <w:rsid w:val="00AD2C31"/>
    <w:rsid w:val="00AD3D5D"/>
    <w:rsid w:val="00AD4080"/>
    <w:rsid w:val="00AD40E8"/>
    <w:rsid w:val="00AD5A05"/>
    <w:rsid w:val="00AD662C"/>
    <w:rsid w:val="00AE1220"/>
    <w:rsid w:val="00AE287F"/>
    <w:rsid w:val="00AE39F3"/>
    <w:rsid w:val="00AE4006"/>
    <w:rsid w:val="00AE4875"/>
    <w:rsid w:val="00AE5118"/>
    <w:rsid w:val="00AE63BD"/>
    <w:rsid w:val="00AF0B2B"/>
    <w:rsid w:val="00AF20DB"/>
    <w:rsid w:val="00AF2914"/>
    <w:rsid w:val="00AF345A"/>
    <w:rsid w:val="00AF363F"/>
    <w:rsid w:val="00AF3E4F"/>
    <w:rsid w:val="00AF71E5"/>
    <w:rsid w:val="00B00DA5"/>
    <w:rsid w:val="00B0321E"/>
    <w:rsid w:val="00B0366D"/>
    <w:rsid w:val="00B071FF"/>
    <w:rsid w:val="00B110BC"/>
    <w:rsid w:val="00B11505"/>
    <w:rsid w:val="00B1182B"/>
    <w:rsid w:val="00B11DC2"/>
    <w:rsid w:val="00B15142"/>
    <w:rsid w:val="00B15D12"/>
    <w:rsid w:val="00B16F69"/>
    <w:rsid w:val="00B1789D"/>
    <w:rsid w:val="00B207DD"/>
    <w:rsid w:val="00B20DD8"/>
    <w:rsid w:val="00B21CA9"/>
    <w:rsid w:val="00B223FE"/>
    <w:rsid w:val="00B30FE0"/>
    <w:rsid w:val="00B3161A"/>
    <w:rsid w:val="00B3208F"/>
    <w:rsid w:val="00B3260E"/>
    <w:rsid w:val="00B36F2F"/>
    <w:rsid w:val="00B413BD"/>
    <w:rsid w:val="00B42807"/>
    <w:rsid w:val="00B428A6"/>
    <w:rsid w:val="00B43340"/>
    <w:rsid w:val="00B4461C"/>
    <w:rsid w:val="00B46D68"/>
    <w:rsid w:val="00B53913"/>
    <w:rsid w:val="00B554D4"/>
    <w:rsid w:val="00B5572D"/>
    <w:rsid w:val="00B55F3A"/>
    <w:rsid w:val="00B56906"/>
    <w:rsid w:val="00B569F1"/>
    <w:rsid w:val="00B6007E"/>
    <w:rsid w:val="00B61484"/>
    <w:rsid w:val="00B6179E"/>
    <w:rsid w:val="00B62B08"/>
    <w:rsid w:val="00B664E5"/>
    <w:rsid w:val="00B71CB5"/>
    <w:rsid w:val="00B71F16"/>
    <w:rsid w:val="00B72922"/>
    <w:rsid w:val="00B72A13"/>
    <w:rsid w:val="00B72ADA"/>
    <w:rsid w:val="00B7473A"/>
    <w:rsid w:val="00B74A39"/>
    <w:rsid w:val="00B75819"/>
    <w:rsid w:val="00B75CDA"/>
    <w:rsid w:val="00B76FD7"/>
    <w:rsid w:val="00B81526"/>
    <w:rsid w:val="00B819E4"/>
    <w:rsid w:val="00B84042"/>
    <w:rsid w:val="00B84DD5"/>
    <w:rsid w:val="00B903CC"/>
    <w:rsid w:val="00B9165A"/>
    <w:rsid w:val="00B91F7E"/>
    <w:rsid w:val="00B924B4"/>
    <w:rsid w:val="00B9487E"/>
    <w:rsid w:val="00B95910"/>
    <w:rsid w:val="00B9692A"/>
    <w:rsid w:val="00BA0848"/>
    <w:rsid w:val="00BA29E7"/>
    <w:rsid w:val="00BA304F"/>
    <w:rsid w:val="00BA33AF"/>
    <w:rsid w:val="00BA3A4C"/>
    <w:rsid w:val="00BA61FA"/>
    <w:rsid w:val="00BA67FC"/>
    <w:rsid w:val="00BB0F20"/>
    <w:rsid w:val="00BB17D2"/>
    <w:rsid w:val="00BB1DC5"/>
    <w:rsid w:val="00BB2328"/>
    <w:rsid w:val="00BB3264"/>
    <w:rsid w:val="00BB50D7"/>
    <w:rsid w:val="00BB7F08"/>
    <w:rsid w:val="00BC0623"/>
    <w:rsid w:val="00BC35CD"/>
    <w:rsid w:val="00BC3C54"/>
    <w:rsid w:val="00BC415B"/>
    <w:rsid w:val="00BC5B96"/>
    <w:rsid w:val="00BD2C66"/>
    <w:rsid w:val="00BD2CDE"/>
    <w:rsid w:val="00BD3D16"/>
    <w:rsid w:val="00BD41CF"/>
    <w:rsid w:val="00BD75F3"/>
    <w:rsid w:val="00BE0164"/>
    <w:rsid w:val="00BE12BD"/>
    <w:rsid w:val="00BE2ED7"/>
    <w:rsid w:val="00BE3498"/>
    <w:rsid w:val="00BE5A3E"/>
    <w:rsid w:val="00BE6AB8"/>
    <w:rsid w:val="00BF040B"/>
    <w:rsid w:val="00BF086D"/>
    <w:rsid w:val="00BF1C99"/>
    <w:rsid w:val="00BF2167"/>
    <w:rsid w:val="00BF43BC"/>
    <w:rsid w:val="00BF4DDA"/>
    <w:rsid w:val="00BF55C7"/>
    <w:rsid w:val="00BF7ED8"/>
    <w:rsid w:val="00C00A14"/>
    <w:rsid w:val="00C0222C"/>
    <w:rsid w:val="00C0236E"/>
    <w:rsid w:val="00C04139"/>
    <w:rsid w:val="00C0476F"/>
    <w:rsid w:val="00C0572E"/>
    <w:rsid w:val="00C1095B"/>
    <w:rsid w:val="00C1108E"/>
    <w:rsid w:val="00C14A51"/>
    <w:rsid w:val="00C14B1A"/>
    <w:rsid w:val="00C15C65"/>
    <w:rsid w:val="00C163C1"/>
    <w:rsid w:val="00C16519"/>
    <w:rsid w:val="00C16C1D"/>
    <w:rsid w:val="00C17853"/>
    <w:rsid w:val="00C17EE4"/>
    <w:rsid w:val="00C21656"/>
    <w:rsid w:val="00C21B3D"/>
    <w:rsid w:val="00C24267"/>
    <w:rsid w:val="00C243E6"/>
    <w:rsid w:val="00C26FA6"/>
    <w:rsid w:val="00C2788D"/>
    <w:rsid w:val="00C31D37"/>
    <w:rsid w:val="00C33398"/>
    <w:rsid w:val="00C34388"/>
    <w:rsid w:val="00C34C5B"/>
    <w:rsid w:val="00C361F6"/>
    <w:rsid w:val="00C3669A"/>
    <w:rsid w:val="00C371D5"/>
    <w:rsid w:val="00C423E3"/>
    <w:rsid w:val="00C428AB"/>
    <w:rsid w:val="00C42D18"/>
    <w:rsid w:val="00C44BAC"/>
    <w:rsid w:val="00C45626"/>
    <w:rsid w:val="00C458AF"/>
    <w:rsid w:val="00C46041"/>
    <w:rsid w:val="00C460A0"/>
    <w:rsid w:val="00C46244"/>
    <w:rsid w:val="00C4720D"/>
    <w:rsid w:val="00C47768"/>
    <w:rsid w:val="00C50068"/>
    <w:rsid w:val="00C50180"/>
    <w:rsid w:val="00C51C4B"/>
    <w:rsid w:val="00C51EE9"/>
    <w:rsid w:val="00C52108"/>
    <w:rsid w:val="00C539A5"/>
    <w:rsid w:val="00C53DFA"/>
    <w:rsid w:val="00C549F4"/>
    <w:rsid w:val="00C555FE"/>
    <w:rsid w:val="00C56E55"/>
    <w:rsid w:val="00C60DD4"/>
    <w:rsid w:val="00C60F27"/>
    <w:rsid w:val="00C610F2"/>
    <w:rsid w:val="00C61B5E"/>
    <w:rsid w:val="00C676F3"/>
    <w:rsid w:val="00C71AB8"/>
    <w:rsid w:val="00C73E8B"/>
    <w:rsid w:val="00C74E97"/>
    <w:rsid w:val="00C75909"/>
    <w:rsid w:val="00C767D5"/>
    <w:rsid w:val="00C76EB2"/>
    <w:rsid w:val="00C77219"/>
    <w:rsid w:val="00C77EFD"/>
    <w:rsid w:val="00C809AF"/>
    <w:rsid w:val="00C81A10"/>
    <w:rsid w:val="00C81F39"/>
    <w:rsid w:val="00C829DF"/>
    <w:rsid w:val="00C82F5A"/>
    <w:rsid w:val="00C84021"/>
    <w:rsid w:val="00C85B7F"/>
    <w:rsid w:val="00C86AEA"/>
    <w:rsid w:val="00C875AE"/>
    <w:rsid w:val="00C90B1C"/>
    <w:rsid w:val="00C90CE6"/>
    <w:rsid w:val="00C93030"/>
    <w:rsid w:val="00C9310B"/>
    <w:rsid w:val="00C937FB"/>
    <w:rsid w:val="00CA0F98"/>
    <w:rsid w:val="00CA2964"/>
    <w:rsid w:val="00CA696D"/>
    <w:rsid w:val="00CA6B5A"/>
    <w:rsid w:val="00CB1536"/>
    <w:rsid w:val="00CB3907"/>
    <w:rsid w:val="00CB3B51"/>
    <w:rsid w:val="00CB46F0"/>
    <w:rsid w:val="00CB5B24"/>
    <w:rsid w:val="00CB6167"/>
    <w:rsid w:val="00CC0C54"/>
    <w:rsid w:val="00CC1016"/>
    <w:rsid w:val="00CC32A0"/>
    <w:rsid w:val="00CC3829"/>
    <w:rsid w:val="00CC585C"/>
    <w:rsid w:val="00CD0D1D"/>
    <w:rsid w:val="00CD1673"/>
    <w:rsid w:val="00CD1721"/>
    <w:rsid w:val="00CD25F1"/>
    <w:rsid w:val="00CD4DDC"/>
    <w:rsid w:val="00CD6592"/>
    <w:rsid w:val="00CE0808"/>
    <w:rsid w:val="00CE2E22"/>
    <w:rsid w:val="00CE35B4"/>
    <w:rsid w:val="00CE6301"/>
    <w:rsid w:val="00CF06D4"/>
    <w:rsid w:val="00CF1D94"/>
    <w:rsid w:val="00CF2008"/>
    <w:rsid w:val="00CF2496"/>
    <w:rsid w:val="00CF3649"/>
    <w:rsid w:val="00CF4188"/>
    <w:rsid w:val="00CF4E9E"/>
    <w:rsid w:val="00CF52CE"/>
    <w:rsid w:val="00CF7848"/>
    <w:rsid w:val="00D00B84"/>
    <w:rsid w:val="00D058FC"/>
    <w:rsid w:val="00D05AC1"/>
    <w:rsid w:val="00D06213"/>
    <w:rsid w:val="00D073D1"/>
    <w:rsid w:val="00D10010"/>
    <w:rsid w:val="00D11510"/>
    <w:rsid w:val="00D116EE"/>
    <w:rsid w:val="00D12BB7"/>
    <w:rsid w:val="00D12E8D"/>
    <w:rsid w:val="00D159D4"/>
    <w:rsid w:val="00D15C79"/>
    <w:rsid w:val="00D1641A"/>
    <w:rsid w:val="00D20E16"/>
    <w:rsid w:val="00D21601"/>
    <w:rsid w:val="00D2164A"/>
    <w:rsid w:val="00D21AA7"/>
    <w:rsid w:val="00D22F1C"/>
    <w:rsid w:val="00D23D75"/>
    <w:rsid w:val="00D256F0"/>
    <w:rsid w:val="00D26D4B"/>
    <w:rsid w:val="00D31882"/>
    <w:rsid w:val="00D31BAB"/>
    <w:rsid w:val="00D31D27"/>
    <w:rsid w:val="00D32109"/>
    <w:rsid w:val="00D330B3"/>
    <w:rsid w:val="00D336A4"/>
    <w:rsid w:val="00D33A54"/>
    <w:rsid w:val="00D34AFB"/>
    <w:rsid w:val="00D352EE"/>
    <w:rsid w:val="00D35A03"/>
    <w:rsid w:val="00D3725D"/>
    <w:rsid w:val="00D37377"/>
    <w:rsid w:val="00D41830"/>
    <w:rsid w:val="00D45B8C"/>
    <w:rsid w:val="00D56058"/>
    <w:rsid w:val="00D567E0"/>
    <w:rsid w:val="00D56A09"/>
    <w:rsid w:val="00D57976"/>
    <w:rsid w:val="00D61F2D"/>
    <w:rsid w:val="00D630DE"/>
    <w:rsid w:val="00D63DBC"/>
    <w:rsid w:val="00D645C6"/>
    <w:rsid w:val="00D6548A"/>
    <w:rsid w:val="00D65571"/>
    <w:rsid w:val="00D65905"/>
    <w:rsid w:val="00D65A71"/>
    <w:rsid w:val="00D66C66"/>
    <w:rsid w:val="00D67355"/>
    <w:rsid w:val="00D712C3"/>
    <w:rsid w:val="00D71B03"/>
    <w:rsid w:val="00D7327A"/>
    <w:rsid w:val="00D74EC8"/>
    <w:rsid w:val="00D76F23"/>
    <w:rsid w:val="00D81AC9"/>
    <w:rsid w:val="00D858CC"/>
    <w:rsid w:val="00D9086C"/>
    <w:rsid w:val="00D91172"/>
    <w:rsid w:val="00D922E1"/>
    <w:rsid w:val="00D92C84"/>
    <w:rsid w:val="00D93AAA"/>
    <w:rsid w:val="00D93ECC"/>
    <w:rsid w:val="00D94745"/>
    <w:rsid w:val="00D94921"/>
    <w:rsid w:val="00D95DFF"/>
    <w:rsid w:val="00D963D5"/>
    <w:rsid w:val="00D96C96"/>
    <w:rsid w:val="00DA2201"/>
    <w:rsid w:val="00DA41B2"/>
    <w:rsid w:val="00DA5D06"/>
    <w:rsid w:val="00DA62C4"/>
    <w:rsid w:val="00DA7B20"/>
    <w:rsid w:val="00DB049D"/>
    <w:rsid w:val="00DB473D"/>
    <w:rsid w:val="00DB5727"/>
    <w:rsid w:val="00DB68CC"/>
    <w:rsid w:val="00DC2E38"/>
    <w:rsid w:val="00DC2FBF"/>
    <w:rsid w:val="00DC52BC"/>
    <w:rsid w:val="00DC60C2"/>
    <w:rsid w:val="00DC621D"/>
    <w:rsid w:val="00DC6A98"/>
    <w:rsid w:val="00DC6EF8"/>
    <w:rsid w:val="00DC7245"/>
    <w:rsid w:val="00DC730A"/>
    <w:rsid w:val="00DC7A0C"/>
    <w:rsid w:val="00DD12FC"/>
    <w:rsid w:val="00DD1ED6"/>
    <w:rsid w:val="00DD2B0D"/>
    <w:rsid w:val="00DE130A"/>
    <w:rsid w:val="00DE1F21"/>
    <w:rsid w:val="00DE2E1C"/>
    <w:rsid w:val="00DE3369"/>
    <w:rsid w:val="00DE33DB"/>
    <w:rsid w:val="00DE38B2"/>
    <w:rsid w:val="00DF2C9A"/>
    <w:rsid w:val="00DF32E5"/>
    <w:rsid w:val="00DF5291"/>
    <w:rsid w:val="00DF6AC1"/>
    <w:rsid w:val="00E010C4"/>
    <w:rsid w:val="00E03EBC"/>
    <w:rsid w:val="00E05572"/>
    <w:rsid w:val="00E06927"/>
    <w:rsid w:val="00E06AB6"/>
    <w:rsid w:val="00E10D04"/>
    <w:rsid w:val="00E1217F"/>
    <w:rsid w:val="00E16292"/>
    <w:rsid w:val="00E166FD"/>
    <w:rsid w:val="00E17143"/>
    <w:rsid w:val="00E20294"/>
    <w:rsid w:val="00E221E9"/>
    <w:rsid w:val="00E25706"/>
    <w:rsid w:val="00E25F47"/>
    <w:rsid w:val="00E264BB"/>
    <w:rsid w:val="00E267F5"/>
    <w:rsid w:val="00E276DF"/>
    <w:rsid w:val="00E27A89"/>
    <w:rsid w:val="00E30596"/>
    <w:rsid w:val="00E31FF9"/>
    <w:rsid w:val="00E33434"/>
    <w:rsid w:val="00E33B23"/>
    <w:rsid w:val="00E37B1B"/>
    <w:rsid w:val="00E37B97"/>
    <w:rsid w:val="00E417B9"/>
    <w:rsid w:val="00E41B67"/>
    <w:rsid w:val="00E43C23"/>
    <w:rsid w:val="00E4477A"/>
    <w:rsid w:val="00E45160"/>
    <w:rsid w:val="00E45E6A"/>
    <w:rsid w:val="00E50A42"/>
    <w:rsid w:val="00E52F6E"/>
    <w:rsid w:val="00E53930"/>
    <w:rsid w:val="00E54FA5"/>
    <w:rsid w:val="00E56D64"/>
    <w:rsid w:val="00E57446"/>
    <w:rsid w:val="00E61081"/>
    <w:rsid w:val="00E61788"/>
    <w:rsid w:val="00E65B18"/>
    <w:rsid w:val="00E65B9D"/>
    <w:rsid w:val="00E704E0"/>
    <w:rsid w:val="00E71CE6"/>
    <w:rsid w:val="00E71E16"/>
    <w:rsid w:val="00E728C6"/>
    <w:rsid w:val="00E73E65"/>
    <w:rsid w:val="00E75732"/>
    <w:rsid w:val="00E76641"/>
    <w:rsid w:val="00E77AC7"/>
    <w:rsid w:val="00E83DA2"/>
    <w:rsid w:val="00E851E8"/>
    <w:rsid w:val="00E856E9"/>
    <w:rsid w:val="00E862E7"/>
    <w:rsid w:val="00E86395"/>
    <w:rsid w:val="00E86DF2"/>
    <w:rsid w:val="00E879EC"/>
    <w:rsid w:val="00E949F8"/>
    <w:rsid w:val="00E94A64"/>
    <w:rsid w:val="00E9538B"/>
    <w:rsid w:val="00E95703"/>
    <w:rsid w:val="00E95707"/>
    <w:rsid w:val="00E95C5F"/>
    <w:rsid w:val="00E964C2"/>
    <w:rsid w:val="00EA0297"/>
    <w:rsid w:val="00EA116B"/>
    <w:rsid w:val="00EA2C29"/>
    <w:rsid w:val="00EA3F05"/>
    <w:rsid w:val="00EA5E85"/>
    <w:rsid w:val="00EB0B07"/>
    <w:rsid w:val="00EB0C6A"/>
    <w:rsid w:val="00EB144E"/>
    <w:rsid w:val="00EB1B82"/>
    <w:rsid w:val="00EB2F49"/>
    <w:rsid w:val="00EB3E4C"/>
    <w:rsid w:val="00EB462A"/>
    <w:rsid w:val="00EB545A"/>
    <w:rsid w:val="00EB635D"/>
    <w:rsid w:val="00EB6554"/>
    <w:rsid w:val="00EB6AA6"/>
    <w:rsid w:val="00EC00AF"/>
    <w:rsid w:val="00EC0354"/>
    <w:rsid w:val="00EC5A70"/>
    <w:rsid w:val="00EC5B97"/>
    <w:rsid w:val="00EC692F"/>
    <w:rsid w:val="00EC6BED"/>
    <w:rsid w:val="00EC70BC"/>
    <w:rsid w:val="00ED018E"/>
    <w:rsid w:val="00ED044F"/>
    <w:rsid w:val="00ED07AD"/>
    <w:rsid w:val="00ED2A04"/>
    <w:rsid w:val="00ED370F"/>
    <w:rsid w:val="00ED3804"/>
    <w:rsid w:val="00ED39D5"/>
    <w:rsid w:val="00ED3B36"/>
    <w:rsid w:val="00ED46B4"/>
    <w:rsid w:val="00EE21F2"/>
    <w:rsid w:val="00EE50EE"/>
    <w:rsid w:val="00EE55F9"/>
    <w:rsid w:val="00EE62A5"/>
    <w:rsid w:val="00EE63DE"/>
    <w:rsid w:val="00EE64F9"/>
    <w:rsid w:val="00EE7598"/>
    <w:rsid w:val="00EF00EA"/>
    <w:rsid w:val="00EF0CBA"/>
    <w:rsid w:val="00EF34E1"/>
    <w:rsid w:val="00EF3688"/>
    <w:rsid w:val="00EF36A0"/>
    <w:rsid w:val="00EF524C"/>
    <w:rsid w:val="00EF6CC3"/>
    <w:rsid w:val="00F00D0F"/>
    <w:rsid w:val="00F0109E"/>
    <w:rsid w:val="00F03A0B"/>
    <w:rsid w:val="00F11454"/>
    <w:rsid w:val="00F12E5A"/>
    <w:rsid w:val="00F2125A"/>
    <w:rsid w:val="00F221FC"/>
    <w:rsid w:val="00F23C89"/>
    <w:rsid w:val="00F24025"/>
    <w:rsid w:val="00F322F5"/>
    <w:rsid w:val="00F35033"/>
    <w:rsid w:val="00F35CAE"/>
    <w:rsid w:val="00F36EE7"/>
    <w:rsid w:val="00F4192F"/>
    <w:rsid w:val="00F41B64"/>
    <w:rsid w:val="00F41D9D"/>
    <w:rsid w:val="00F44250"/>
    <w:rsid w:val="00F4468A"/>
    <w:rsid w:val="00F47653"/>
    <w:rsid w:val="00F47EFB"/>
    <w:rsid w:val="00F505CE"/>
    <w:rsid w:val="00F5169E"/>
    <w:rsid w:val="00F51C0B"/>
    <w:rsid w:val="00F57AFC"/>
    <w:rsid w:val="00F627E4"/>
    <w:rsid w:val="00F6494D"/>
    <w:rsid w:val="00F65A5D"/>
    <w:rsid w:val="00F65DBD"/>
    <w:rsid w:val="00F669B9"/>
    <w:rsid w:val="00F67D80"/>
    <w:rsid w:val="00F773E6"/>
    <w:rsid w:val="00F7797F"/>
    <w:rsid w:val="00F77DEE"/>
    <w:rsid w:val="00F80A07"/>
    <w:rsid w:val="00F80C1E"/>
    <w:rsid w:val="00F80CEE"/>
    <w:rsid w:val="00F81639"/>
    <w:rsid w:val="00F81C18"/>
    <w:rsid w:val="00F81F36"/>
    <w:rsid w:val="00F83E85"/>
    <w:rsid w:val="00F8493C"/>
    <w:rsid w:val="00F85468"/>
    <w:rsid w:val="00F86A45"/>
    <w:rsid w:val="00F86BC7"/>
    <w:rsid w:val="00F907D4"/>
    <w:rsid w:val="00F913C7"/>
    <w:rsid w:val="00F9202F"/>
    <w:rsid w:val="00F92AA4"/>
    <w:rsid w:val="00F967E1"/>
    <w:rsid w:val="00FA2519"/>
    <w:rsid w:val="00FA625E"/>
    <w:rsid w:val="00FA6B1E"/>
    <w:rsid w:val="00FA756E"/>
    <w:rsid w:val="00FB4165"/>
    <w:rsid w:val="00FB48E1"/>
    <w:rsid w:val="00FB59A0"/>
    <w:rsid w:val="00FC1484"/>
    <w:rsid w:val="00FC1792"/>
    <w:rsid w:val="00FC1944"/>
    <w:rsid w:val="00FC42BD"/>
    <w:rsid w:val="00FD2E9B"/>
    <w:rsid w:val="00FD378D"/>
    <w:rsid w:val="00FD41A2"/>
    <w:rsid w:val="00FE065B"/>
    <w:rsid w:val="00FE06D8"/>
    <w:rsid w:val="00FE17D2"/>
    <w:rsid w:val="00FE2BF0"/>
    <w:rsid w:val="00FE3EA1"/>
    <w:rsid w:val="00FE43C6"/>
    <w:rsid w:val="00FE7835"/>
    <w:rsid w:val="00FF5A86"/>
    <w:rsid w:val="00FF6D2A"/>
    <w:rsid w:val="00FF7F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57696"/>
  <w15:docId w15:val="{54B553D7-EB98-4712-864F-7CF43B73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semiHidden/>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B20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559486776">
          <w:marLeft w:val="0"/>
          <w:marRight w:val="0"/>
          <w:marTop w:val="120"/>
          <w:marBottom w:val="0"/>
          <w:divBdr>
            <w:top w:val="none" w:sz="0" w:space="0" w:color="auto"/>
            <w:left w:val="none" w:sz="0" w:space="0" w:color="auto"/>
            <w:bottom w:val="none" w:sz="0" w:space="0" w:color="auto"/>
            <w:right w:val="none" w:sz="0" w:space="0" w:color="auto"/>
          </w:divBdr>
        </w:div>
        <w:div w:id="1238244361">
          <w:marLeft w:val="0"/>
          <w:marRight w:val="0"/>
          <w:marTop w:val="24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02393966">
      <w:bodyDiv w:val="1"/>
      <w:marLeft w:val="0"/>
      <w:marRight w:val="0"/>
      <w:marTop w:val="0"/>
      <w:marBottom w:val="0"/>
      <w:divBdr>
        <w:top w:val="none" w:sz="0" w:space="0" w:color="auto"/>
        <w:left w:val="none" w:sz="0" w:space="0" w:color="auto"/>
        <w:bottom w:val="none" w:sz="0" w:space="0" w:color="auto"/>
        <w:right w:val="none" w:sz="0" w:space="0" w:color="auto"/>
      </w:divBdr>
      <w:divsChild>
        <w:div w:id="315837348">
          <w:marLeft w:val="0"/>
          <w:marRight w:val="0"/>
          <w:marTop w:val="180"/>
          <w:marBottom w:val="60"/>
          <w:divBdr>
            <w:top w:val="single" w:sz="8" w:space="1" w:color="808080"/>
            <w:left w:val="none" w:sz="0" w:space="0" w:color="auto"/>
            <w:bottom w:val="none" w:sz="0" w:space="0" w:color="auto"/>
            <w:right w:val="none" w:sz="0" w:space="0" w:color="auto"/>
          </w:divBdr>
        </w:div>
        <w:div w:id="1121724181">
          <w:marLeft w:val="1134"/>
          <w:marRight w:val="0"/>
          <w:marTop w:val="60"/>
          <w:marBottom w:val="0"/>
          <w:divBdr>
            <w:top w:val="none" w:sz="0" w:space="0" w:color="auto"/>
            <w:left w:val="none" w:sz="0" w:space="0" w:color="auto"/>
            <w:bottom w:val="none" w:sz="0" w:space="0" w:color="auto"/>
            <w:right w:val="none" w:sz="0" w:space="0" w:color="auto"/>
          </w:divBdr>
        </w:div>
        <w:div w:id="1205827785">
          <w:marLeft w:val="0"/>
          <w:marRight w:val="0"/>
          <w:marTop w:val="120"/>
          <w:marBottom w:val="0"/>
          <w:divBdr>
            <w:top w:val="none" w:sz="0" w:space="0" w:color="auto"/>
            <w:left w:val="none" w:sz="0" w:space="0" w:color="auto"/>
            <w:bottom w:val="none" w:sz="0" w:space="0" w:color="auto"/>
            <w:right w:val="none" w:sz="0" w:space="0" w:color="auto"/>
          </w:divBdr>
        </w:div>
        <w:div w:id="1577285130">
          <w:marLeft w:val="0"/>
          <w:marRight w:val="0"/>
          <w:marTop w:val="120"/>
          <w:marBottom w:val="0"/>
          <w:divBdr>
            <w:top w:val="none" w:sz="0" w:space="0" w:color="auto"/>
            <w:left w:val="none" w:sz="0" w:space="0" w:color="auto"/>
            <w:bottom w:val="none" w:sz="0" w:space="0" w:color="auto"/>
            <w:right w:val="none" w:sz="0" w:space="0" w:color="auto"/>
          </w:divBdr>
        </w:div>
        <w:div w:id="1627590018">
          <w:marLeft w:val="0"/>
          <w:marRight w:val="0"/>
          <w:marTop w:val="120"/>
          <w:marBottom w:val="0"/>
          <w:divBdr>
            <w:top w:val="none" w:sz="0" w:space="0" w:color="auto"/>
            <w:left w:val="none" w:sz="0" w:space="0" w:color="auto"/>
            <w:bottom w:val="none" w:sz="0" w:space="0" w:color="auto"/>
            <w:right w:val="none" w:sz="0" w:space="0" w:color="auto"/>
          </w:divBdr>
        </w:div>
        <w:div w:id="1653682268">
          <w:marLeft w:val="1134"/>
          <w:marRight w:val="0"/>
          <w:marTop w:val="60"/>
          <w:marBottom w:val="0"/>
          <w:divBdr>
            <w:top w:val="none" w:sz="0" w:space="0" w:color="auto"/>
            <w:left w:val="none" w:sz="0" w:space="0" w:color="auto"/>
            <w:bottom w:val="none" w:sz="0" w:space="0" w:color="auto"/>
            <w:right w:val="none" w:sz="0" w:space="0" w:color="auto"/>
          </w:divBdr>
        </w:div>
        <w:div w:id="1819493354">
          <w:marLeft w:val="0"/>
          <w:marRight w:val="0"/>
          <w:marTop w:val="180"/>
          <w:marBottom w:val="60"/>
          <w:divBdr>
            <w:top w:val="single" w:sz="8" w:space="1" w:color="808080"/>
            <w:left w:val="none" w:sz="0" w:space="0" w:color="auto"/>
            <w:bottom w:val="none" w:sz="0" w:space="0" w:color="auto"/>
            <w:right w:val="none" w:sz="0" w:space="0" w:color="auto"/>
          </w:divBdr>
        </w:div>
        <w:div w:id="1977877299">
          <w:marLeft w:val="1134"/>
          <w:marRight w:val="0"/>
          <w:marTop w:val="60"/>
          <w:marBottom w:val="0"/>
          <w:divBdr>
            <w:top w:val="none" w:sz="0" w:space="0" w:color="auto"/>
            <w:left w:val="none" w:sz="0" w:space="0" w:color="auto"/>
            <w:bottom w:val="none" w:sz="0" w:space="0" w:color="auto"/>
            <w:right w:val="none" w:sz="0" w:space="0" w:color="auto"/>
          </w:divBdr>
        </w:div>
        <w:div w:id="2013219642">
          <w:marLeft w:val="0"/>
          <w:marRight w:val="0"/>
          <w:marTop w:val="120"/>
          <w:marBottom w:val="0"/>
          <w:divBdr>
            <w:top w:val="none" w:sz="0" w:space="0" w:color="auto"/>
            <w:left w:val="none" w:sz="0" w:space="0" w:color="auto"/>
            <w:bottom w:val="none" w:sz="0" w:space="0" w:color="auto"/>
            <w:right w:val="none" w:sz="0" w:space="0" w:color="auto"/>
          </w:divBdr>
        </w:div>
        <w:div w:id="2123844857">
          <w:marLeft w:val="0"/>
          <w:marRight w:val="0"/>
          <w:marTop w:val="120"/>
          <w:marBottom w:val="0"/>
          <w:divBdr>
            <w:top w:val="none" w:sz="0" w:space="0" w:color="auto"/>
            <w:left w:val="none" w:sz="0" w:space="0" w:color="auto"/>
            <w:bottom w:val="none" w:sz="0" w:space="0" w:color="auto"/>
            <w:right w:val="none" w:sz="0" w:space="0" w:color="auto"/>
          </w:divBdr>
        </w:div>
      </w:divsChild>
    </w:div>
    <w:div w:id="305014019">
      <w:bodyDiv w:val="1"/>
      <w:marLeft w:val="0"/>
      <w:marRight w:val="0"/>
      <w:marTop w:val="0"/>
      <w:marBottom w:val="0"/>
      <w:divBdr>
        <w:top w:val="none" w:sz="0" w:space="0" w:color="auto"/>
        <w:left w:val="none" w:sz="0" w:space="0" w:color="auto"/>
        <w:bottom w:val="none" w:sz="0" w:space="0" w:color="auto"/>
        <w:right w:val="none" w:sz="0" w:space="0" w:color="auto"/>
      </w:divBdr>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543565086">
          <w:marLeft w:val="0"/>
          <w:marRight w:val="0"/>
          <w:marTop w:val="60"/>
          <w:marBottom w:val="0"/>
          <w:divBdr>
            <w:top w:val="none" w:sz="0" w:space="0" w:color="auto"/>
            <w:left w:val="none" w:sz="0" w:space="0" w:color="auto"/>
            <w:bottom w:val="none" w:sz="0" w:space="0" w:color="auto"/>
            <w:right w:val="none" w:sz="0" w:space="0" w:color="auto"/>
          </w:divBdr>
        </w:div>
        <w:div w:id="795026512">
          <w:marLeft w:val="0"/>
          <w:marRight w:val="0"/>
          <w:marTop w:val="12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52427858">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78808815">
          <w:marLeft w:val="675"/>
          <w:marRight w:val="0"/>
          <w:marTop w:val="0"/>
          <w:marBottom w:val="0"/>
          <w:divBdr>
            <w:top w:val="none" w:sz="0" w:space="0" w:color="auto"/>
            <w:left w:val="none" w:sz="0" w:space="0" w:color="auto"/>
            <w:bottom w:val="none" w:sz="0" w:space="0" w:color="auto"/>
            <w:right w:val="none" w:sz="0" w:space="0" w:color="auto"/>
          </w:divBdr>
        </w:div>
        <w:div w:id="1892958996">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FA76CA-1157-4D93-9082-09A05DDE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Template>
  <TotalTime>8</TotalTime>
  <Pages>9</Pages>
  <Words>2143</Words>
  <Characters>12220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subject/>
  <dc:creator>JR TYPING SERVICES</dc:creator>
  <cp:keywords>JOHAN MOORCROFT</cp:keywords>
  <dc:description/>
  <cp:lastModifiedBy>Sathish</cp:lastModifiedBy>
  <cp:revision>4</cp:revision>
  <cp:lastPrinted>2023-08-22T07:45:00Z</cp:lastPrinted>
  <dcterms:created xsi:type="dcterms:W3CDTF">2024-03-01T13:38:00Z</dcterms:created>
  <dcterms:modified xsi:type="dcterms:W3CDTF">2024-03-01T20:53:00Z</dcterms:modified>
</cp:coreProperties>
</file>