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0CF31C4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6A1AB17C"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9E7F12">
        <w:rPr>
          <w:rFonts w:ascii="Times New Roman" w:hAnsi="Times New Roman"/>
          <w:b/>
          <w:sz w:val="24"/>
        </w:rPr>
        <w:t xml:space="preserve"> </w:t>
      </w:r>
      <w:r w:rsidR="00FF1DA7">
        <w:rPr>
          <w:rFonts w:ascii="Times New Roman" w:hAnsi="Times New Roman"/>
          <w:b/>
          <w:sz w:val="24"/>
        </w:rPr>
        <w:t>00678/</w:t>
      </w:r>
      <w:r w:rsidR="008A00DA">
        <w:rPr>
          <w:rFonts w:ascii="Times New Roman" w:hAnsi="Times New Roman"/>
          <w:b/>
          <w:sz w:val="24"/>
        </w:rPr>
        <w:t>20</w:t>
      </w:r>
      <w:r w:rsidR="00FF1DA7">
        <w:rPr>
          <w:rFonts w:ascii="Times New Roman" w:hAnsi="Times New Roman"/>
          <w:b/>
          <w:sz w:val="24"/>
        </w:rPr>
        <w:t>22</w:t>
      </w:r>
    </w:p>
    <w:p w14:paraId="280D14F5" w14:textId="10B653A4" w:rsidR="009725C6" w:rsidRPr="00AB7752" w:rsidRDefault="00E35AD7" w:rsidP="009725C6">
      <w:pPr>
        <w:jc w:val="right"/>
        <w:rPr>
          <w:rFonts w:ascii="Times New Roman" w:hAnsi="Times New Roman"/>
          <w:sz w:val="24"/>
        </w:rPr>
      </w:pPr>
      <w:r>
        <w:rPr>
          <w:noProof/>
          <w:lang w:eastAsia="en-ZA"/>
        </w:rPr>
        <mc:AlternateContent>
          <mc:Choice Requires="wps">
            <w:drawing>
              <wp:anchor distT="0" distB="0" distL="114300" distR="114300" simplePos="0" relativeHeight="251659264" behindDoc="0" locked="0" layoutInCell="1" allowOverlap="1" wp14:anchorId="4092AF6F" wp14:editId="764A0532">
                <wp:simplePos x="0" y="0"/>
                <wp:positionH relativeFrom="column">
                  <wp:posOffset>-4445</wp:posOffset>
                </wp:positionH>
                <wp:positionV relativeFrom="paragraph">
                  <wp:posOffset>46990</wp:posOffset>
                </wp:positionV>
                <wp:extent cx="33147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CD24435" w14:textId="77777777" w:rsidR="009725C6" w:rsidRPr="00913F95" w:rsidRDefault="009725C6" w:rsidP="009725C6">
                            <w:pPr>
                              <w:jc w:val="center"/>
                              <w:rPr>
                                <w:rFonts w:ascii="Century Gothic" w:hAnsi="Century Gothic"/>
                                <w:b/>
                                <w:sz w:val="20"/>
                                <w:szCs w:val="20"/>
                              </w:rPr>
                            </w:pPr>
                          </w:p>
                          <w:p w14:paraId="398F902D" w14:textId="20338EA9" w:rsidR="009725C6" w:rsidRDefault="003E4555" w:rsidP="003E455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725C6" w:rsidRPr="00913F95">
                              <w:rPr>
                                <w:rFonts w:ascii="Century Gothic" w:hAnsi="Century Gothic"/>
                                <w:sz w:val="20"/>
                                <w:szCs w:val="20"/>
                              </w:rPr>
                              <w:t xml:space="preserve">REPORTABLE: </w:t>
                            </w:r>
                            <w:r w:rsidR="009725C6" w:rsidRPr="00684B02">
                              <w:rPr>
                                <w:rFonts w:ascii="Century Gothic" w:hAnsi="Century Gothic"/>
                                <w:dstrike/>
                                <w:sz w:val="20"/>
                                <w:szCs w:val="20"/>
                              </w:rPr>
                              <w:t>YES</w:t>
                            </w:r>
                            <w:r w:rsidR="009725C6" w:rsidRPr="0025358C">
                              <w:rPr>
                                <w:rFonts w:ascii="Century Gothic" w:hAnsi="Century Gothic"/>
                                <w:sz w:val="20"/>
                                <w:szCs w:val="20"/>
                              </w:rPr>
                              <w:t xml:space="preserve"> /</w:t>
                            </w:r>
                            <w:r w:rsidR="009725C6">
                              <w:rPr>
                                <w:rFonts w:ascii="Century Gothic" w:hAnsi="Century Gothic"/>
                                <w:sz w:val="20"/>
                                <w:szCs w:val="20"/>
                              </w:rPr>
                              <w:t xml:space="preserve"> NO</w:t>
                            </w:r>
                          </w:p>
                          <w:p w14:paraId="539AEFE7" w14:textId="337B6738" w:rsidR="009725C6" w:rsidRPr="00913F95" w:rsidRDefault="003E4555" w:rsidP="003E455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725C6" w:rsidRPr="00913F95">
                              <w:rPr>
                                <w:rFonts w:ascii="Century Gothic" w:hAnsi="Century Gothic"/>
                                <w:sz w:val="20"/>
                                <w:szCs w:val="20"/>
                              </w:rPr>
                              <w:t xml:space="preserve">OF INTEREST TO OTHER JUDGES: </w:t>
                            </w:r>
                            <w:r w:rsidR="009725C6" w:rsidRPr="00684B02">
                              <w:rPr>
                                <w:rFonts w:ascii="Century Gothic" w:hAnsi="Century Gothic"/>
                                <w:dstrike/>
                                <w:sz w:val="20"/>
                                <w:szCs w:val="20"/>
                              </w:rPr>
                              <w:t>YES</w:t>
                            </w:r>
                            <w:r w:rsidR="009725C6" w:rsidRPr="0025358C">
                              <w:rPr>
                                <w:rFonts w:ascii="Century Gothic" w:hAnsi="Century Gothic"/>
                                <w:sz w:val="20"/>
                                <w:szCs w:val="20"/>
                              </w:rPr>
                              <w:t>/</w:t>
                            </w:r>
                            <w:r w:rsidR="009725C6" w:rsidRPr="00913F95">
                              <w:rPr>
                                <w:rFonts w:ascii="Century Gothic" w:hAnsi="Century Gothic"/>
                                <w:sz w:val="20"/>
                                <w:szCs w:val="20"/>
                              </w:rPr>
                              <w:t>NO</w:t>
                            </w:r>
                          </w:p>
                          <w:p w14:paraId="79F25DC9" w14:textId="5FF7761F" w:rsidR="009725C6" w:rsidRPr="00913F95" w:rsidRDefault="003E4555" w:rsidP="003E455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9725C6" w:rsidRPr="00913F95">
                              <w:rPr>
                                <w:rFonts w:ascii="Century Gothic" w:hAnsi="Century Gothic"/>
                                <w:sz w:val="20"/>
                                <w:szCs w:val="20"/>
                              </w:rPr>
                              <w:t>REVISED</w:t>
                            </w:r>
                            <w:r w:rsidR="009725C6">
                              <w:rPr>
                                <w:rFonts w:ascii="Century Gothic" w:hAnsi="Century Gothic"/>
                                <w:sz w:val="20"/>
                                <w:szCs w:val="20"/>
                              </w:rPr>
                              <w:t>: NO</w:t>
                            </w:r>
                          </w:p>
                          <w:p w14:paraId="6204E54C" w14:textId="77777777" w:rsidR="009725C6" w:rsidRDefault="009725C6" w:rsidP="009725C6">
                            <w:pPr>
                              <w:rPr>
                                <w:rFonts w:ascii="Century Gothic" w:hAnsi="Century Gothic"/>
                                <w:b/>
                                <w:sz w:val="18"/>
                                <w:szCs w:val="18"/>
                              </w:rPr>
                            </w:pPr>
                          </w:p>
                          <w:p w14:paraId="70DD896C" w14:textId="784667E7" w:rsidR="009725C6" w:rsidRPr="00084341" w:rsidRDefault="009725C6" w:rsidP="009725C6">
                            <w:pPr>
                              <w:rPr>
                                <w:rFonts w:ascii="Century Gothic" w:hAnsi="Century Gothic"/>
                                <w:b/>
                                <w:sz w:val="18"/>
                                <w:szCs w:val="18"/>
                              </w:rPr>
                            </w:pPr>
                            <w:r w:rsidRPr="00084341">
                              <w:rPr>
                                <w:rFonts w:ascii="Century Gothic" w:hAnsi="Century Gothic"/>
                                <w:b/>
                                <w:sz w:val="18"/>
                                <w:szCs w:val="18"/>
                              </w:rPr>
                              <w:t xml:space="preserve">         </w:t>
                            </w:r>
                            <w:r w:rsidR="00916375">
                              <w:rPr>
                                <w:rFonts w:ascii="Century Gothic" w:hAnsi="Century Gothic"/>
                                <w:b/>
                                <w:sz w:val="18"/>
                                <w:szCs w:val="18"/>
                              </w:rPr>
                              <w:t>4</w:t>
                            </w:r>
                            <w:r>
                              <w:rPr>
                                <w:rFonts w:ascii="Century Gothic" w:hAnsi="Century Gothic"/>
                                <w:b/>
                                <w:sz w:val="18"/>
                                <w:szCs w:val="18"/>
                              </w:rPr>
                              <w:t xml:space="preserve"> </w:t>
                            </w:r>
                            <w:r w:rsidR="00916375">
                              <w:rPr>
                                <w:rFonts w:ascii="Century Gothic" w:hAnsi="Century Gothic"/>
                                <w:b/>
                                <w:sz w:val="18"/>
                                <w:szCs w:val="18"/>
                              </w:rPr>
                              <w:t>March</w:t>
                            </w:r>
                            <w:r>
                              <w:rPr>
                                <w:rFonts w:ascii="Century Gothic" w:hAnsi="Century Gothic"/>
                                <w:b/>
                                <w:sz w:val="18"/>
                                <w:szCs w:val="18"/>
                              </w:rPr>
                              <w:t xml:space="preserve"> 2024</w:t>
                            </w:r>
                            <w:r w:rsidRPr="00084341">
                              <w:rPr>
                                <w:rFonts w:ascii="Century Gothic" w:hAnsi="Century Gothic"/>
                                <w:b/>
                                <w:sz w:val="18"/>
                                <w:szCs w:val="18"/>
                              </w:rPr>
                              <w:tab/>
                            </w:r>
                            <w:r w:rsidRPr="00084341">
                              <w:rPr>
                                <w:rFonts w:ascii="Century Gothic" w:hAnsi="Century Gothic"/>
                                <w:b/>
                                <w:sz w:val="18"/>
                                <w:szCs w:val="18"/>
                              </w:rPr>
                              <w:tab/>
                              <w:t>………………………...</w:t>
                            </w:r>
                          </w:p>
                          <w:p w14:paraId="7DEDD4E3" w14:textId="77777777" w:rsidR="009725C6" w:rsidRPr="00084341" w:rsidRDefault="009725C6" w:rsidP="009725C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2AF6F"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4CD24435" w14:textId="77777777" w:rsidR="009725C6" w:rsidRPr="00913F95" w:rsidRDefault="009725C6" w:rsidP="009725C6">
                      <w:pPr>
                        <w:jc w:val="center"/>
                        <w:rPr>
                          <w:rFonts w:ascii="Century Gothic" w:hAnsi="Century Gothic"/>
                          <w:b/>
                          <w:sz w:val="20"/>
                          <w:szCs w:val="20"/>
                        </w:rPr>
                      </w:pPr>
                    </w:p>
                    <w:p w14:paraId="398F902D" w14:textId="20338EA9" w:rsidR="009725C6" w:rsidRDefault="003E4555" w:rsidP="003E455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725C6" w:rsidRPr="00913F95">
                        <w:rPr>
                          <w:rFonts w:ascii="Century Gothic" w:hAnsi="Century Gothic"/>
                          <w:sz w:val="20"/>
                          <w:szCs w:val="20"/>
                        </w:rPr>
                        <w:t xml:space="preserve">REPORTABLE: </w:t>
                      </w:r>
                      <w:r w:rsidR="009725C6" w:rsidRPr="00684B02">
                        <w:rPr>
                          <w:rFonts w:ascii="Century Gothic" w:hAnsi="Century Gothic"/>
                          <w:dstrike/>
                          <w:sz w:val="20"/>
                          <w:szCs w:val="20"/>
                        </w:rPr>
                        <w:t>YES</w:t>
                      </w:r>
                      <w:r w:rsidR="009725C6" w:rsidRPr="0025358C">
                        <w:rPr>
                          <w:rFonts w:ascii="Century Gothic" w:hAnsi="Century Gothic"/>
                          <w:sz w:val="20"/>
                          <w:szCs w:val="20"/>
                        </w:rPr>
                        <w:t xml:space="preserve"> /</w:t>
                      </w:r>
                      <w:r w:rsidR="009725C6">
                        <w:rPr>
                          <w:rFonts w:ascii="Century Gothic" w:hAnsi="Century Gothic"/>
                          <w:sz w:val="20"/>
                          <w:szCs w:val="20"/>
                        </w:rPr>
                        <w:t xml:space="preserve"> NO</w:t>
                      </w:r>
                    </w:p>
                    <w:p w14:paraId="539AEFE7" w14:textId="337B6738" w:rsidR="009725C6" w:rsidRPr="00913F95" w:rsidRDefault="003E4555" w:rsidP="003E455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725C6" w:rsidRPr="00913F95">
                        <w:rPr>
                          <w:rFonts w:ascii="Century Gothic" w:hAnsi="Century Gothic"/>
                          <w:sz w:val="20"/>
                          <w:szCs w:val="20"/>
                        </w:rPr>
                        <w:t xml:space="preserve">OF INTEREST TO OTHER JUDGES: </w:t>
                      </w:r>
                      <w:r w:rsidR="009725C6" w:rsidRPr="00684B02">
                        <w:rPr>
                          <w:rFonts w:ascii="Century Gothic" w:hAnsi="Century Gothic"/>
                          <w:dstrike/>
                          <w:sz w:val="20"/>
                          <w:szCs w:val="20"/>
                        </w:rPr>
                        <w:t>YES</w:t>
                      </w:r>
                      <w:r w:rsidR="009725C6" w:rsidRPr="0025358C">
                        <w:rPr>
                          <w:rFonts w:ascii="Century Gothic" w:hAnsi="Century Gothic"/>
                          <w:sz w:val="20"/>
                          <w:szCs w:val="20"/>
                        </w:rPr>
                        <w:t>/</w:t>
                      </w:r>
                      <w:r w:rsidR="009725C6" w:rsidRPr="00913F95">
                        <w:rPr>
                          <w:rFonts w:ascii="Century Gothic" w:hAnsi="Century Gothic"/>
                          <w:sz w:val="20"/>
                          <w:szCs w:val="20"/>
                        </w:rPr>
                        <w:t>NO</w:t>
                      </w:r>
                    </w:p>
                    <w:p w14:paraId="79F25DC9" w14:textId="5FF7761F" w:rsidR="009725C6" w:rsidRPr="00913F95" w:rsidRDefault="003E4555" w:rsidP="003E455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9725C6" w:rsidRPr="00913F95">
                        <w:rPr>
                          <w:rFonts w:ascii="Century Gothic" w:hAnsi="Century Gothic"/>
                          <w:sz w:val="20"/>
                          <w:szCs w:val="20"/>
                        </w:rPr>
                        <w:t>REVISED</w:t>
                      </w:r>
                      <w:r w:rsidR="009725C6">
                        <w:rPr>
                          <w:rFonts w:ascii="Century Gothic" w:hAnsi="Century Gothic"/>
                          <w:sz w:val="20"/>
                          <w:szCs w:val="20"/>
                        </w:rPr>
                        <w:t>: NO</w:t>
                      </w:r>
                    </w:p>
                    <w:p w14:paraId="6204E54C" w14:textId="77777777" w:rsidR="009725C6" w:rsidRDefault="009725C6" w:rsidP="009725C6">
                      <w:pPr>
                        <w:rPr>
                          <w:rFonts w:ascii="Century Gothic" w:hAnsi="Century Gothic"/>
                          <w:b/>
                          <w:sz w:val="18"/>
                          <w:szCs w:val="18"/>
                        </w:rPr>
                      </w:pPr>
                    </w:p>
                    <w:p w14:paraId="70DD896C" w14:textId="784667E7" w:rsidR="009725C6" w:rsidRPr="00084341" w:rsidRDefault="009725C6" w:rsidP="009725C6">
                      <w:pPr>
                        <w:rPr>
                          <w:rFonts w:ascii="Century Gothic" w:hAnsi="Century Gothic"/>
                          <w:b/>
                          <w:sz w:val="18"/>
                          <w:szCs w:val="18"/>
                        </w:rPr>
                      </w:pPr>
                      <w:r w:rsidRPr="00084341">
                        <w:rPr>
                          <w:rFonts w:ascii="Century Gothic" w:hAnsi="Century Gothic"/>
                          <w:b/>
                          <w:sz w:val="18"/>
                          <w:szCs w:val="18"/>
                        </w:rPr>
                        <w:t xml:space="preserve">         </w:t>
                      </w:r>
                      <w:r w:rsidR="00916375">
                        <w:rPr>
                          <w:rFonts w:ascii="Century Gothic" w:hAnsi="Century Gothic"/>
                          <w:b/>
                          <w:sz w:val="18"/>
                          <w:szCs w:val="18"/>
                        </w:rPr>
                        <w:t>4</w:t>
                      </w:r>
                      <w:r>
                        <w:rPr>
                          <w:rFonts w:ascii="Century Gothic" w:hAnsi="Century Gothic"/>
                          <w:b/>
                          <w:sz w:val="18"/>
                          <w:szCs w:val="18"/>
                        </w:rPr>
                        <w:t xml:space="preserve"> </w:t>
                      </w:r>
                      <w:r w:rsidR="00916375">
                        <w:rPr>
                          <w:rFonts w:ascii="Century Gothic" w:hAnsi="Century Gothic"/>
                          <w:b/>
                          <w:sz w:val="18"/>
                          <w:szCs w:val="18"/>
                        </w:rPr>
                        <w:t>March</w:t>
                      </w:r>
                      <w:r>
                        <w:rPr>
                          <w:rFonts w:ascii="Century Gothic" w:hAnsi="Century Gothic"/>
                          <w:b/>
                          <w:sz w:val="18"/>
                          <w:szCs w:val="18"/>
                        </w:rPr>
                        <w:t xml:space="preserve"> 2024</w:t>
                      </w:r>
                      <w:r w:rsidRPr="00084341">
                        <w:rPr>
                          <w:rFonts w:ascii="Century Gothic" w:hAnsi="Century Gothic"/>
                          <w:b/>
                          <w:sz w:val="18"/>
                          <w:szCs w:val="18"/>
                        </w:rPr>
                        <w:tab/>
                      </w:r>
                      <w:r w:rsidRPr="00084341">
                        <w:rPr>
                          <w:rFonts w:ascii="Century Gothic" w:hAnsi="Century Gothic"/>
                          <w:b/>
                          <w:sz w:val="18"/>
                          <w:szCs w:val="18"/>
                        </w:rPr>
                        <w:tab/>
                        <w:t>………………………...</w:t>
                      </w:r>
                    </w:p>
                    <w:p w14:paraId="7DEDD4E3" w14:textId="77777777" w:rsidR="009725C6" w:rsidRPr="00084341" w:rsidRDefault="009725C6" w:rsidP="009725C6">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8E9C4A9" w14:textId="77777777" w:rsidR="009725C6" w:rsidRPr="00AB7752" w:rsidRDefault="009725C6" w:rsidP="009725C6">
      <w:pPr>
        <w:rPr>
          <w:rFonts w:ascii="Times New Roman" w:hAnsi="Times New Roman"/>
          <w:sz w:val="24"/>
        </w:rPr>
      </w:pPr>
    </w:p>
    <w:p w14:paraId="5B2A5013" w14:textId="12F082CC" w:rsidR="009725C6" w:rsidRPr="00AB7752" w:rsidRDefault="009725C6" w:rsidP="009725C6">
      <w:pPr>
        <w:rPr>
          <w:rFonts w:ascii="Times New Roman" w:hAnsi="Times New Roman"/>
          <w:sz w:val="24"/>
        </w:rPr>
      </w:pPr>
    </w:p>
    <w:p w14:paraId="014ECA17" w14:textId="77777777" w:rsidR="009725C6" w:rsidRPr="00AB7752" w:rsidRDefault="009725C6" w:rsidP="009725C6">
      <w:pPr>
        <w:rPr>
          <w:rFonts w:ascii="Times New Roman" w:hAnsi="Times New Roman"/>
          <w:sz w:val="24"/>
        </w:rPr>
      </w:pPr>
    </w:p>
    <w:p w14:paraId="46AB7805" w14:textId="77777777" w:rsidR="009725C6" w:rsidRPr="00AB7752" w:rsidRDefault="009725C6" w:rsidP="009725C6">
      <w:pPr>
        <w:spacing w:line="480" w:lineRule="auto"/>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2370"/>
        <w:gridCol w:w="3811"/>
        <w:gridCol w:w="2370"/>
      </w:tblGrid>
      <w:tr w:rsidR="00647012" w:rsidRPr="00AB7752" w14:paraId="62D6BDD3" w14:textId="77777777" w:rsidTr="008D5FEB">
        <w:tc>
          <w:tcPr>
            <w:tcW w:w="6181" w:type="dxa"/>
            <w:gridSpan w:val="2"/>
          </w:tcPr>
          <w:p w14:paraId="01808EAA" w14:textId="77777777" w:rsidR="00994324" w:rsidRDefault="00FF1DA7" w:rsidP="005103BA">
            <w:pPr>
              <w:spacing w:line="240" w:lineRule="auto"/>
              <w:jc w:val="left"/>
              <w:rPr>
                <w:rFonts w:ascii="Times New Roman" w:hAnsi="Times New Roman"/>
                <w:b/>
                <w:bCs/>
                <w:sz w:val="24"/>
              </w:rPr>
            </w:pPr>
            <w:r>
              <w:rPr>
                <w:rFonts w:ascii="Times New Roman" w:hAnsi="Times New Roman"/>
                <w:b/>
                <w:bCs/>
                <w:sz w:val="24"/>
              </w:rPr>
              <w:t xml:space="preserve">BP SOUTHERN AFRICA </w:t>
            </w:r>
            <w:r w:rsidR="000F2471">
              <w:rPr>
                <w:rFonts w:ascii="Times New Roman" w:hAnsi="Times New Roman"/>
                <w:b/>
                <w:bCs/>
                <w:sz w:val="24"/>
              </w:rPr>
              <w:t>(</w:t>
            </w:r>
            <w:r>
              <w:rPr>
                <w:rFonts w:ascii="Times New Roman" w:hAnsi="Times New Roman"/>
                <w:b/>
                <w:bCs/>
                <w:sz w:val="24"/>
              </w:rPr>
              <w:t>PTY</w:t>
            </w:r>
            <w:r w:rsidR="000F2471">
              <w:rPr>
                <w:rFonts w:ascii="Times New Roman" w:hAnsi="Times New Roman"/>
                <w:b/>
                <w:bCs/>
                <w:sz w:val="24"/>
              </w:rPr>
              <w:t>)</w:t>
            </w:r>
            <w:r>
              <w:rPr>
                <w:rFonts w:ascii="Times New Roman" w:hAnsi="Times New Roman"/>
                <w:b/>
                <w:bCs/>
                <w:sz w:val="24"/>
              </w:rPr>
              <w:t xml:space="preserve"> LTD</w:t>
            </w:r>
          </w:p>
          <w:p w14:paraId="1D80ED6A" w14:textId="091ED4F4" w:rsidR="000F2471" w:rsidRPr="000F2471" w:rsidRDefault="000F2471" w:rsidP="005103BA">
            <w:pPr>
              <w:spacing w:line="240" w:lineRule="auto"/>
              <w:jc w:val="left"/>
              <w:rPr>
                <w:rFonts w:ascii="Times New Roman" w:hAnsi="Times New Roman"/>
                <w:sz w:val="24"/>
              </w:rPr>
            </w:pPr>
            <w:r>
              <w:rPr>
                <w:rFonts w:ascii="Times New Roman" w:hAnsi="Times New Roman"/>
                <w:b/>
                <w:bCs/>
                <w:sz w:val="24"/>
              </w:rPr>
              <w:t>(</w:t>
            </w:r>
            <w:r>
              <w:rPr>
                <w:rFonts w:ascii="Times New Roman" w:hAnsi="Times New Roman"/>
                <w:sz w:val="24"/>
              </w:rPr>
              <w:t>Registration Number:</w:t>
            </w:r>
            <w:r w:rsidR="009725C6">
              <w:rPr>
                <w:rFonts w:ascii="Times New Roman" w:hAnsi="Times New Roman"/>
                <w:sz w:val="24"/>
              </w:rPr>
              <w:t xml:space="preserve"> 1924/002602/07)</w:t>
            </w:r>
            <w:r>
              <w:rPr>
                <w:rFonts w:ascii="Times New Roman" w:hAnsi="Times New Roman"/>
                <w:sz w:val="24"/>
              </w:rPr>
              <w:t xml:space="preserve"> </w:t>
            </w:r>
          </w:p>
        </w:tc>
        <w:tc>
          <w:tcPr>
            <w:tcW w:w="2370" w:type="dxa"/>
          </w:tcPr>
          <w:p w14:paraId="22D90A5B" w14:textId="06AFB8B0" w:rsidR="00994324" w:rsidRDefault="00005586" w:rsidP="00F9123D">
            <w:pPr>
              <w:spacing w:line="240" w:lineRule="auto"/>
              <w:jc w:val="right"/>
              <w:rPr>
                <w:rFonts w:ascii="Times New Roman" w:hAnsi="Times New Roman"/>
                <w:sz w:val="24"/>
              </w:rPr>
            </w:pPr>
            <w:r w:rsidRPr="00AB7752">
              <w:rPr>
                <w:rFonts w:ascii="Times New Roman" w:hAnsi="Times New Roman"/>
                <w:sz w:val="24"/>
              </w:rPr>
              <w:t>App</w:t>
            </w:r>
            <w:r w:rsidR="00994324">
              <w:rPr>
                <w:rFonts w:ascii="Times New Roman" w:hAnsi="Times New Roman"/>
                <w:sz w:val="24"/>
              </w:rPr>
              <w:t>licant</w:t>
            </w:r>
          </w:p>
          <w:p w14:paraId="7620C948" w14:textId="26F18B28" w:rsidR="00647012" w:rsidRPr="00AB7752" w:rsidRDefault="00F15E41" w:rsidP="00F9123D">
            <w:pPr>
              <w:spacing w:line="240" w:lineRule="auto"/>
              <w:jc w:val="right"/>
              <w:rPr>
                <w:rFonts w:ascii="Times New Roman" w:hAnsi="Times New Roman"/>
                <w:sz w:val="24"/>
              </w:rPr>
            </w:pPr>
            <w:r w:rsidRPr="00AB7752">
              <w:rPr>
                <w:rFonts w:ascii="Times New Roman" w:hAnsi="Times New Roman"/>
                <w:sz w:val="24"/>
              </w:rPr>
              <w:t xml:space="preserve"> </w:t>
            </w:r>
          </w:p>
        </w:tc>
      </w:tr>
      <w:tr w:rsidR="008D5FEB" w:rsidRPr="00AB7752" w14:paraId="333645C3" w14:textId="77777777" w:rsidTr="008D5FEB">
        <w:trPr>
          <w:gridAfter w:val="2"/>
          <w:wAfter w:w="6181" w:type="dxa"/>
        </w:trPr>
        <w:tc>
          <w:tcPr>
            <w:tcW w:w="2370" w:type="dxa"/>
          </w:tcPr>
          <w:p w14:paraId="137CBB9E" w14:textId="77777777" w:rsidR="008D5FEB" w:rsidRPr="00AB7752" w:rsidRDefault="008D5FEB" w:rsidP="00F9123D">
            <w:pPr>
              <w:spacing w:line="240" w:lineRule="auto"/>
              <w:jc w:val="right"/>
              <w:rPr>
                <w:rFonts w:ascii="Times New Roman" w:hAnsi="Times New Roman"/>
                <w:sz w:val="24"/>
              </w:rPr>
            </w:pPr>
          </w:p>
        </w:tc>
      </w:tr>
      <w:tr w:rsidR="00005586" w:rsidRPr="00AB7752" w14:paraId="25A1FEE2" w14:textId="77777777" w:rsidTr="008D5FEB">
        <w:tc>
          <w:tcPr>
            <w:tcW w:w="6181" w:type="dxa"/>
            <w:gridSpan w:val="2"/>
          </w:tcPr>
          <w:p w14:paraId="5D057F9A" w14:textId="7D5BE21E" w:rsidR="00005586" w:rsidRPr="00AB7752" w:rsidRDefault="00005586" w:rsidP="005103BA">
            <w:pPr>
              <w:spacing w:line="240" w:lineRule="auto"/>
              <w:jc w:val="left"/>
              <w:rPr>
                <w:rFonts w:ascii="Times New Roman" w:hAnsi="Times New Roman"/>
                <w:b/>
                <w:sz w:val="24"/>
              </w:rPr>
            </w:pP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8D5FEB">
        <w:tc>
          <w:tcPr>
            <w:tcW w:w="6181" w:type="dxa"/>
            <w:gridSpan w:val="2"/>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8D5FEB">
        <w:tc>
          <w:tcPr>
            <w:tcW w:w="6181" w:type="dxa"/>
            <w:gridSpan w:val="2"/>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8D5FEB">
        <w:tc>
          <w:tcPr>
            <w:tcW w:w="6181" w:type="dxa"/>
            <w:gridSpan w:val="2"/>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8D5FEB">
        <w:tc>
          <w:tcPr>
            <w:tcW w:w="6181" w:type="dxa"/>
            <w:gridSpan w:val="2"/>
          </w:tcPr>
          <w:p w14:paraId="1D9D3BF0" w14:textId="6C32C8DD" w:rsidR="00F15E41" w:rsidRPr="00AB7752" w:rsidRDefault="00FF1DA7" w:rsidP="00E36E33">
            <w:pPr>
              <w:spacing w:line="240" w:lineRule="auto"/>
              <w:jc w:val="left"/>
              <w:rPr>
                <w:rFonts w:ascii="Times New Roman" w:hAnsi="Times New Roman"/>
                <w:b/>
                <w:bCs/>
                <w:sz w:val="24"/>
              </w:rPr>
            </w:pPr>
            <w:r>
              <w:rPr>
                <w:rFonts w:ascii="Times New Roman" w:hAnsi="Times New Roman"/>
                <w:b/>
                <w:bCs/>
                <w:sz w:val="24"/>
              </w:rPr>
              <w:t>BAY</w:t>
            </w:r>
            <w:r w:rsidR="00E56846">
              <w:rPr>
                <w:rFonts w:ascii="Times New Roman" w:hAnsi="Times New Roman"/>
                <w:b/>
                <w:bCs/>
                <w:sz w:val="24"/>
              </w:rPr>
              <w:t>A</w:t>
            </w:r>
            <w:r>
              <w:rPr>
                <w:rFonts w:ascii="Times New Roman" w:hAnsi="Times New Roman"/>
                <w:b/>
                <w:bCs/>
                <w:sz w:val="24"/>
              </w:rPr>
              <w:t>FSA CC t/a BP KENSINGTON</w:t>
            </w:r>
          </w:p>
        </w:tc>
        <w:tc>
          <w:tcPr>
            <w:tcW w:w="2370" w:type="dxa"/>
          </w:tcPr>
          <w:p w14:paraId="34112B6C" w14:textId="71AC4BA8" w:rsidR="00F15E41" w:rsidRPr="00AB7752" w:rsidRDefault="00F15E41" w:rsidP="00E36E33">
            <w:pPr>
              <w:spacing w:line="240" w:lineRule="auto"/>
              <w:jc w:val="right"/>
              <w:rPr>
                <w:rFonts w:ascii="Times New Roman" w:hAnsi="Times New Roman"/>
                <w:sz w:val="24"/>
              </w:rPr>
            </w:pPr>
            <w:r w:rsidRPr="00AB7752">
              <w:rPr>
                <w:rFonts w:ascii="Times New Roman" w:hAnsi="Times New Roman"/>
                <w:sz w:val="24"/>
              </w:rPr>
              <w:t xml:space="preserve">Respondent </w:t>
            </w:r>
          </w:p>
        </w:tc>
      </w:tr>
      <w:tr w:rsidR="00F15E41" w:rsidRPr="00AB7752" w14:paraId="20C50AF1" w14:textId="77777777" w:rsidTr="008D5FEB">
        <w:tc>
          <w:tcPr>
            <w:tcW w:w="6181" w:type="dxa"/>
            <w:gridSpan w:val="2"/>
          </w:tcPr>
          <w:p w14:paraId="663A3D70" w14:textId="3F21D084" w:rsidR="00692F8D" w:rsidRPr="000F2471" w:rsidRDefault="000F2471" w:rsidP="00F572EA">
            <w:pPr>
              <w:spacing w:line="240" w:lineRule="auto"/>
              <w:jc w:val="left"/>
              <w:rPr>
                <w:rFonts w:ascii="Times New Roman" w:hAnsi="Times New Roman"/>
                <w:sz w:val="24"/>
              </w:rPr>
            </w:pPr>
            <w:r>
              <w:rPr>
                <w:rFonts w:ascii="Times New Roman" w:hAnsi="Times New Roman"/>
                <w:b/>
                <w:bCs/>
                <w:sz w:val="24"/>
              </w:rPr>
              <w:t>(</w:t>
            </w:r>
            <w:r>
              <w:rPr>
                <w:rFonts w:ascii="Times New Roman" w:hAnsi="Times New Roman"/>
                <w:sz w:val="24"/>
              </w:rPr>
              <w:t>Registration Number: 2010/128700/23)</w:t>
            </w:r>
          </w:p>
        </w:tc>
        <w:tc>
          <w:tcPr>
            <w:tcW w:w="2370" w:type="dxa"/>
          </w:tcPr>
          <w:p w14:paraId="6353CBF9" w14:textId="5C2B9F60" w:rsidR="00994324" w:rsidRPr="00AB7752" w:rsidRDefault="00994324" w:rsidP="00E36E33">
            <w:pPr>
              <w:spacing w:line="240" w:lineRule="auto"/>
              <w:jc w:val="right"/>
              <w:rPr>
                <w:rFonts w:ascii="Times New Roman" w:hAnsi="Times New Roman"/>
                <w:sz w:val="24"/>
              </w:rPr>
            </w:pPr>
          </w:p>
        </w:tc>
      </w:tr>
      <w:tr w:rsidR="00692F8D" w:rsidRPr="00AB7752" w14:paraId="432CD603" w14:textId="77777777" w:rsidTr="008D5FEB">
        <w:tc>
          <w:tcPr>
            <w:tcW w:w="6181" w:type="dxa"/>
            <w:gridSpan w:val="2"/>
          </w:tcPr>
          <w:p w14:paraId="1189A44B" w14:textId="77777777" w:rsidR="00692F8D" w:rsidRDefault="00692F8D" w:rsidP="00F572EA">
            <w:pPr>
              <w:spacing w:line="240" w:lineRule="auto"/>
              <w:jc w:val="left"/>
              <w:rPr>
                <w:rFonts w:ascii="Times New Roman" w:hAnsi="Times New Roman"/>
                <w:b/>
                <w:bCs/>
                <w:sz w:val="24"/>
              </w:rPr>
            </w:pPr>
          </w:p>
        </w:tc>
        <w:tc>
          <w:tcPr>
            <w:tcW w:w="2370" w:type="dxa"/>
          </w:tcPr>
          <w:p w14:paraId="68709C66" w14:textId="77777777" w:rsidR="00692F8D" w:rsidRDefault="00692F8D"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5A4E9F64" w:rsidR="00E70877" w:rsidRDefault="00851DB4" w:rsidP="00E519F2">
      <w:pPr>
        <w:spacing w:after="480" w:line="480" w:lineRule="auto"/>
        <w:rPr>
          <w:rFonts w:ascii="Times New Roman" w:hAnsi="Times New Roman"/>
          <w:b/>
          <w:sz w:val="24"/>
        </w:rPr>
      </w:pPr>
      <w:r w:rsidRPr="00AB7752">
        <w:rPr>
          <w:rFonts w:ascii="Times New Roman" w:hAnsi="Times New Roman"/>
          <w:b/>
          <w:sz w:val="24"/>
        </w:rPr>
        <w:t>NOKO J</w:t>
      </w:r>
      <w:r>
        <w:rPr>
          <w:rFonts w:ascii="Times New Roman" w:hAnsi="Times New Roman"/>
          <w:b/>
          <w:sz w:val="24"/>
        </w:rPr>
        <w:t xml:space="preserve"> </w:t>
      </w:r>
    </w:p>
    <w:p w14:paraId="7909A899" w14:textId="33C65600" w:rsidR="000C073E" w:rsidRPr="009725C6" w:rsidRDefault="000C073E" w:rsidP="00E519F2">
      <w:pPr>
        <w:spacing w:after="480" w:line="480" w:lineRule="auto"/>
        <w:rPr>
          <w:rFonts w:ascii="Times New Roman" w:hAnsi="Times New Roman"/>
          <w:bCs/>
          <w:i/>
          <w:iCs/>
          <w:sz w:val="24"/>
        </w:rPr>
      </w:pPr>
      <w:r w:rsidRPr="009725C6">
        <w:rPr>
          <w:rFonts w:ascii="Times New Roman" w:hAnsi="Times New Roman"/>
          <w:bCs/>
          <w:i/>
          <w:iCs/>
          <w:sz w:val="24"/>
        </w:rPr>
        <w:t>Introduction</w:t>
      </w:r>
    </w:p>
    <w:p w14:paraId="5B16A4F8" w14:textId="0630133D" w:rsidR="000F2471" w:rsidRPr="003E4555" w:rsidRDefault="003E4555" w:rsidP="003E4555">
      <w:pPr>
        <w:spacing w:after="480" w:line="480" w:lineRule="auto"/>
        <w:rPr>
          <w:rFonts w:ascii="Times New Roman" w:hAnsi="Times New Roman"/>
          <w:bCs/>
          <w:i/>
          <w:iCs/>
          <w:sz w:val="24"/>
        </w:rPr>
      </w:pPr>
      <w:r w:rsidRPr="000F2471">
        <w:rPr>
          <w:rFonts w:ascii="Times New Roman" w:hAnsi="Times New Roman"/>
          <w:bCs/>
          <w:iCs/>
          <w:sz w:val="24"/>
        </w:rPr>
        <w:lastRenderedPageBreak/>
        <w:t>[1]</w:t>
      </w:r>
      <w:r w:rsidRPr="000F2471">
        <w:rPr>
          <w:rFonts w:ascii="Times New Roman" w:hAnsi="Times New Roman"/>
          <w:bCs/>
          <w:iCs/>
          <w:sz w:val="24"/>
        </w:rPr>
        <w:tab/>
      </w:r>
      <w:r w:rsidR="00005586" w:rsidRPr="003E4555">
        <w:rPr>
          <w:rFonts w:ascii="Times New Roman" w:hAnsi="Times New Roman"/>
          <w:bCs/>
          <w:sz w:val="24"/>
        </w:rPr>
        <w:t>T</w:t>
      </w:r>
      <w:r w:rsidR="00F3528F" w:rsidRPr="003E4555">
        <w:rPr>
          <w:rFonts w:ascii="Times New Roman" w:hAnsi="Times New Roman"/>
          <w:bCs/>
          <w:sz w:val="24"/>
        </w:rPr>
        <w:t>he</w:t>
      </w:r>
      <w:r w:rsidR="00233EFA" w:rsidRPr="003E4555">
        <w:rPr>
          <w:rFonts w:ascii="Times New Roman" w:hAnsi="Times New Roman"/>
          <w:bCs/>
          <w:sz w:val="24"/>
        </w:rPr>
        <w:t xml:space="preserve"> </w:t>
      </w:r>
      <w:r w:rsidR="006858D4" w:rsidRPr="003E4555">
        <w:rPr>
          <w:rFonts w:ascii="Times New Roman" w:hAnsi="Times New Roman"/>
          <w:bCs/>
          <w:sz w:val="24"/>
        </w:rPr>
        <w:t>applicant</w:t>
      </w:r>
      <w:r w:rsidR="000D6CFD" w:rsidRPr="003E4555">
        <w:rPr>
          <w:rFonts w:ascii="Times New Roman" w:hAnsi="Times New Roman"/>
          <w:bCs/>
          <w:sz w:val="24"/>
        </w:rPr>
        <w:t xml:space="preserve"> </w:t>
      </w:r>
      <w:r w:rsidR="0000385F" w:rsidRPr="003E4555">
        <w:rPr>
          <w:rFonts w:ascii="Times New Roman" w:hAnsi="Times New Roman"/>
          <w:bCs/>
          <w:sz w:val="24"/>
        </w:rPr>
        <w:t>(</w:t>
      </w:r>
      <w:r w:rsidR="0000385F" w:rsidRPr="003E4555">
        <w:rPr>
          <w:rFonts w:ascii="Times New Roman" w:hAnsi="Times New Roman"/>
          <w:bCs/>
          <w:i/>
          <w:iCs/>
          <w:sz w:val="24"/>
        </w:rPr>
        <w:t>BP</w:t>
      </w:r>
      <w:r w:rsidR="0000385F" w:rsidRPr="003E4555">
        <w:rPr>
          <w:rFonts w:ascii="Times New Roman" w:hAnsi="Times New Roman"/>
          <w:bCs/>
          <w:sz w:val="24"/>
        </w:rPr>
        <w:t xml:space="preserve">) </w:t>
      </w:r>
      <w:r w:rsidR="00A551FA" w:rsidRPr="003E4555">
        <w:rPr>
          <w:rFonts w:ascii="Times New Roman" w:hAnsi="Times New Roman"/>
          <w:bCs/>
          <w:sz w:val="24"/>
        </w:rPr>
        <w:t xml:space="preserve">launched </w:t>
      </w:r>
      <w:r w:rsidR="00C679A3" w:rsidRPr="003E4555">
        <w:rPr>
          <w:rFonts w:ascii="Times New Roman" w:hAnsi="Times New Roman"/>
          <w:bCs/>
          <w:sz w:val="24"/>
        </w:rPr>
        <w:t xml:space="preserve">application for the eviction of the respondent </w:t>
      </w:r>
      <w:r w:rsidR="000F2471" w:rsidRPr="003E4555">
        <w:rPr>
          <w:rFonts w:ascii="Times New Roman" w:hAnsi="Times New Roman"/>
          <w:bCs/>
          <w:sz w:val="24"/>
        </w:rPr>
        <w:t xml:space="preserve">from a </w:t>
      </w:r>
      <w:r w:rsidR="009725C6" w:rsidRPr="003E4555">
        <w:rPr>
          <w:rFonts w:ascii="Times New Roman" w:hAnsi="Times New Roman"/>
          <w:bCs/>
          <w:sz w:val="24"/>
        </w:rPr>
        <w:t>fu</w:t>
      </w:r>
      <w:r w:rsidR="0000385F" w:rsidRPr="003E4555">
        <w:rPr>
          <w:rFonts w:ascii="Times New Roman" w:hAnsi="Times New Roman"/>
          <w:bCs/>
          <w:sz w:val="24"/>
        </w:rPr>
        <w:t>el</w:t>
      </w:r>
      <w:r w:rsidR="009725C6" w:rsidRPr="003E4555">
        <w:rPr>
          <w:rFonts w:ascii="Times New Roman" w:hAnsi="Times New Roman"/>
          <w:bCs/>
          <w:sz w:val="24"/>
        </w:rPr>
        <w:t xml:space="preserve"> and service </w:t>
      </w:r>
      <w:r w:rsidR="000F2471" w:rsidRPr="003E4555">
        <w:rPr>
          <w:rFonts w:ascii="Times New Roman" w:hAnsi="Times New Roman"/>
          <w:bCs/>
          <w:sz w:val="24"/>
        </w:rPr>
        <w:t xml:space="preserve">station </w:t>
      </w:r>
      <w:r w:rsidR="0089248D" w:rsidRPr="003E4555">
        <w:rPr>
          <w:rFonts w:ascii="Times New Roman" w:hAnsi="Times New Roman"/>
          <w:bCs/>
          <w:sz w:val="24"/>
        </w:rPr>
        <w:t xml:space="preserve">carried </w:t>
      </w:r>
      <w:r w:rsidR="009725C6" w:rsidRPr="003E4555">
        <w:rPr>
          <w:rFonts w:ascii="Times New Roman" w:hAnsi="Times New Roman"/>
          <w:bCs/>
          <w:sz w:val="24"/>
        </w:rPr>
        <w:t xml:space="preserve">on portion 1002 (a portion of portion 58) of the farm Doornfontein 92, </w:t>
      </w:r>
      <w:r w:rsidR="003C398C" w:rsidRPr="003E4555">
        <w:rPr>
          <w:rFonts w:ascii="Times New Roman" w:hAnsi="Times New Roman"/>
          <w:bCs/>
          <w:sz w:val="24"/>
        </w:rPr>
        <w:t xml:space="preserve">situated </w:t>
      </w:r>
      <w:r w:rsidR="009725C6" w:rsidRPr="003E4555">
        <w:rPr>
          <w:rFonts w:ascii="Times New Roman" w:hAnsi="Times New Roman"/>
          <w:bCs/>
          <w:sz w:val="24"/>
        </w:rPr>
        <w:t xml:space="preserve">at </w:t>
      </w:r>
      <w:r w:rsidR="00825D9C" w:rsidRPr="003E4555">
        <w:rPr>
          <w:rFonts w:ascii="Times New Roman" w:hAnsi="Times New Roman"/>
          <w:bCs/>
          <w:sz w:val="24"/>
        </w:rPr>
        <w:t>Broadway Avenue, Kensington, Johannesburg (</w:t>
      </w:r>
      <w:r w:rsidR="00825D9C" w:rsidRPr="003E4555">
        <w:rPr>
          <w:rFonts w:ascii="Times New Roman" w:hAnsi="Times New Roman"/>
          <w:bCs/>
          <w:i/>
          <w:iCs/>
          <w:sz w:val="24"/>
        </w:rPr>
        <w:t>leased premises</w:t>
      </w:r>
      <w:r w:rsidR="00825D9C" w:rsidRPr="003E4555">
        <w:rPr>
          <w:rFonts w:ascii="Times New Roman" w:hAnsi="Times New Roman"/>
          <w:bCs/>
          <w:sz w:val="24"/>
        </w:rPr>
        <w:t>).</w:t>
      </w:r>
      <w:r w:rsidR="003C398C" w:rsidRPr="003E4555">
        <w:rPr>
          <w:rFonts w:ascii="Times New Roman" w:hAnsi="Times New Roman"/>
          <w:bCs/>
          <w:sz w:val="24"/>
        </w:rPr>
        <w:t xml:space="preserve"> </w:t>
      </w:r>
      <w:r w:rsidR="000F2471" w:rsidRPr="003E4555">
        <w:rPr>
          <w:rFonts w:ascii="Times New Roman" w:hAnsi="Times New Roman"/>
          <w:bCs/>
          <w:sz w:val="24"/>
        </w:rPr>
        <w:t>The applicant further sought a declaratory order directing that the respondent’s right of occupying the leased pr</w:t>
      </w:r>
      <w:r w:rsidR="0089248D" w:rsidRPr="003E4555">
        <w:rPr>
          <w:rFonts w:ascii="Times New Roman" w:hAnsi="Times New Roman"/>
          <w:bCs/>
          <w:sz w:val="24"/>
        </w:rPr>
        <w:t xml:space="preserve">emises </w:t>
      </w:r>
      <w:r w:rsidR="0000385F" w:rsidRPr="003E4555">
        <w:rPr>
          <w:rFonts w:ascii="Times New Roman" w:hAnsi="Times New Roman"/>
          <w:bCs/>
          <w:sz w:val="24"/>
        </w:rPr>
        <w:t xml:space="preserve">is </w:t>
      </w:r>
      <w:r w:rsidR="000F2471" w:rsidRPr="003E4555">
        <w:rPr>
          <w:rFonts w:ascii="Times New Roman" w:hAnsi="Times New Roman"/>
          <w:bCs/>
          <w:sz w:val="24"/>
        </w:rPr>
        <w:t xml:space="preserve">terminated on 10 December 2021. </w:t>
      </w:r>
    </w:p>
    <w:p w14:paraId="0DED33FF" w14:textId="1C9F96F5" w:rsidR="003C398C" w:rsidRPr="003E4555" w:rsidRDefault="003E4555" w:rsidP="003E4555">
      <w:pPr>
        <w:spacing w:after="480" w:line="480" w:lineRule="auto"/>
        <w:rPr>
          <w:rFonts w:ascii="Times New Roman" w:hAnsi="Times New Roman"/>
          <w:bCs/>
          <w:i/>
          <w:iCs/>
          <w:sz w:val="24"/>
        </w:rPr>
      </w:pPr>
      <w:r w:rsidRPr="003C398C">
        <w:rPr>
          <w:rFonts w:ascii="Times New Roman" w:hAnsi="Times New Roman"/>
          <w:bCs/>
          <w:iCs/>
          <w:sz w:val="24"/>
        </w:rPr>
        <w:t>[2]</w:t>
      </w:r>
      <w:r w:rsidRPr="003C398C">
        <w:rPr>
          <w:rFonts w:ascii="Times New Roman" w:hAnsi="Times New Roman"/>
          <w:bCs/>
          <w:iCs/>
          <w:sz w:val="24"/>
        </w:rPr>
        <w:tab/>
      </w:r>
      <w:r w:rsidR="003C398C" w:rsidRPr="003E4555">
        <w:rPr>
          <w:rFonts w:ascii="Times New Roman" w:hAnsi="Times New Roman"/>
          <w:bCs/>
          <w:sz w:val="24"/>
        </w:rPr>
        <w:t xml:space="preserve">The respondent </w:t>
      </w:r>
      <w:r w:rsidR="00825D9C" w:rsidRPr="003E4555">
        <w:rPr>
          <w:rFonts w:ascii="Times New Roman" w:hAnsi="Times New Roman"/>
          <w:bCs/>
          <w:sz w:val="24"/>
        </w:rPr>
        <w:t>is opposing the application and has also launched a</w:t>
      </w:r>
      <w:r w:rsidR="003C398C" w:rsidRPr="003E4555">
        <w:rPr>
          <w:rFonts w:ascii="Times New Roman" w:hAnsi="Times New Roman"/>
          <w:bCs/>
          <w:sz w:val="24"/>
        </w:rPr>
        <w:t xml:space="preserve"> counter application</w:t>
      </w:r>
      <w:r w:rsidR="000F2471" w:rsidRPr="003E4555">
        <w:rPr>
          <w:rFonts w:ascii="Times New Roman" w:hAnsi="Times New Roman"/>
          <w:bCs/>
          <w:sz w:val="24"/>
        </w:rPr>
        <w:t xml:space="preserve"> for several orders including the stay of the application for eviction pending arbitration instituted in terms of section 12B of the Petroleum Products Act</w:t>
      </w:r>
      <w:r w:rsidR="0000385F" w:rsidRPr="003E4555">
        <w:rPr>
          <w:rFonts w:ascii="Times New Roman" w:hAnsi="Times New Roman"/>
          <w:bCs/>
          <w:sz w:val="24"/>
        </w:rPr>
        <w:t xml:space="preserve"> 120 of 1977 (</w:t>
      </w:r>
      <w:r w:rsidR="0000385F" w:rsidRPr="003E4555">
        <w:rPr>
          <w:rFonts w:ascii="Times New Roman" w:hAnsi="Times New Roman"/>
          <w:bCs/>
          <w:i/>
          <w:iCs/>
          <w:sz w:val="24"/>
        </w:rPr>
        <w:t>PPA</w:t>
      </w:r>
      <w:r w:rsidR="0000385F" w:rsidRPr="003E4555">
        <w:rPr>
          <w:rFonts w:ascii="Times New Roman" w:hAnsi="Times New Roman"/>
          <w:bCs/>
          <w:sz w:val="24"/>
        </w:rPr>
        <w:t>).</w:t>
      </w:r>
    </w:p>
    <w:p w14:paraId="1834F664" w14:textId="77777777" w:rsidR="0049139A" w:rsidRPr="009725C6" w:rsidRDefault="0049139A" w:rsidP="0049139A">
      <w:pPr>
        <w:pStyle w:val="ListParagraph"/>
        <w:spacing w:after="480" w:line="480" w:lineRule="auto"/>
        <w:ind w:left="0"/>
        <w:contextualSpacing w:val="0"/>
        <w:rPr>
          <w:rFonts w:ascii="Times New Roman" w:hAnsi="Times New Roman"/>
          <w:bCs/>
          <w:i/>
          <w:iCs/>
          <w:sz w:val="24"/>
        </w:rPr>
      </w:pPr>
      <w:r w:rsidRPr="009725C6">
        <w:rPr>
          <w:rFonts w:ascii="Times New Roman" w:hAnsi="Times New Roman"/>
          <w:bCs/>
          <w:i/>
          <w:iCs/>
          <w:sz w:val="24"/>
        </w:rPr>
        <w:t>Background.</w:t>
      </w:r>
    </w:p>
    <w:p w14:paraId="7E6D34B7" w14:textId="79F41360" w:rsidR="00363E02" w:rsidRDefault="00825D9C" w:rsidP="00363E02">
      <w:pPr>
        <w:pStyle w:val="ListParagraph"/>
        <w:spacing w:after="480" w:line="480" w:lineRule="auto"/>
        <w:ind w:left="0"/>
        <w:contextualSpacing w:val="0"/>
        <w:rPr>
          <w:rFonts w:ascii="Times New Roman" w:hAnsi="Times New Roman"/>
          <w:bCs/>
          <w:sz w:val="24"/>
        </w:rPr>
      </w:pPr>
      <w:r>
        <w:rPr>
          <w:rFonts w:ascii="Times New Roman" w:hAnsi="Times New Roman"/>
          <w:bCs/>
          <w:sz w:val="24"/>
        </w:rPr>
        <w:t>The</w:t>
      </w:r>
      <w:r w:rsidR="00363E02">
        <w:rPr>
          <w:rFonts w:ascii="Times New Roman" w:hAnsi="Times New Roman"/>
          <w:bCs/>
          <w:sz w:val="24"/>
        </w:rPr>
        <w:t xml:space="preserve">re are three lease agreements relevant </w:t>
      </w:r>
      <w:r w:rsidR="00E56846">
        <w:rPr>
          <w:rFonts w:ascii="Times New Roman" w:hAnsi="Times New Roman"/>
          <w:bCs/>
          <w:sz w:val="24"/>
        </w:rPr>
        <w:t>to</w:t>
      </w:r>
      <w:r w:rsidR="00363E02">
        <w:rPr>
          <w:rFonts w:ascii="Times New Roman" w:hAnsi="Times New Roman"/>
          <w:bCs/>
          <w:sz w:val="24"/>
        </w:rPr>
        <w:t xml:space="preserve"> this </w:t>
      </w:r>
      <w:r w:rsidR="00363E02" w:rsidRPr="0000385F">
        <w:rPr>
          <w:rFonts w:ascii="Times New Roman" w:hAnsi="Times New Roman"/>
          <w:bCs/>
          <w:i/>
          <w:iCs/>
          <w:sz w:val="24"/>
        </w:rPr>
        <w:t>lis</w:t>
      </w:r>
      <w:r w:rsidR="00363E02">
        <w:rPr>
          <w:rFonts w:ascii="Times New Roman" w:hAnsi="Times New Roman"/>
          <w:bCs/>
          <w:sz w:val="24"/>
        </w:rPr>
        <w:t xml:space="preserve"> between the parties</w:t>
      </w:r>
      <w:r w:rsidR="0089248D">
        <w:rPr>
          <w:rStyle w:val="FootnoteReference"/>
          <w:rFonts w:ascii="Times New Roman" w:hAnsi="Times New Roman"/>
          <w:bCs/>
          <w:sz w:val="24"/>
        </w:rPr>
        <w:footnoteReference w:id="2"/>
      </w:r>
      <w:r w:rsidR="00363E02">
        <w:rPr>
          <w:rFonts w:ascii="Times New Roman" w:hAnsi="Times New Roman"/>
          <w:bCs/>
          <w:sz w:val="24"/>
        </w:rPr>
        <w:t>.</w:t>
      </w:r>
    </w:p>
    <w:p w14:paraId="28171A4A" w14:textId="471F8B1C" w:rsidR="00363E02" w:rsidRPr="00363E02" w:rsidRDefault="00363E02" w:rsidP="00363E02">
      <w:pPr>
        <w:pStyle w:val="ListParagraph"/>
        <w:spacing w:after="480" w:line="480" w:lineRule="auto"/>
        <w:ind w:left="0" w:firstLine="720"/>
        <w:contextualSpacing w:val="0"/>
        <w:rPr>
          <w:rFonts w:ascii="Times New Roman" w:hAnsi="Times New Roman"/>
          <w:bCs/>
          <w:i/>
          <w:iCs/>
          <w:sz w:val="24"/>
        </w:rPr>
      </w:pPr>
      <w:r w:rsidRPr="00363E02">
        <w:rPr>
          <w:rFonts w:ascii="Times New Roman" w:hAnsi="Times New Roman"/>
          <w:bCs/>
          <w:i/>
          <w:iCs/>
          <w:sz w:val="24"/>
        </w:rPr>
        <w:t>Head lease</w:t>
      </w:r>
      <w:r w:rsidR="0000385F">
        <w:rPr>
          <w:rFonts w:ascii="Times New Roman" w:hAnsi="Times New Roman"/>
          <w:bCs/>
          <w:i/>
          <w:iCs/>
          <w:sz w:val="24"/>
        </w:rPr>
        <w:t xml:space="preserve"> (</w:t>
      </w:r>
      <w:r w:rsidR="00E56846">
        <w:rPr>
          <w:rFonts w:ascii="Times New Roman" w:hAnsi="Times New Roman"/>
          <w:bCs/>
          <w:i/>
          <w:iCs/>
          <w:sz w:val="24"/>
        </w:rPr>
        <w:t xml:space="preserve">between </w:t>
      </w:r>
      <w:r w:rsidR="0000385F">
        <w:rPr>
          <w:rFonts w:ascii="Times New Roman" w:hAnsi="Times New Roman"/>
          <w:bCs/>
          <w:i/>
          <w:iCs/>
          <w:sz w:val="24"/>
        </w:rPr>
        <w:t>Salvation Ar</w:t>
      </w:r>
      <w:r w:rsidR="0089248D">
        <w:rPr>
          <w:rFonts w:ascii="Times New Roman" w:hAnsi="Times New Roman"/>
          <w:bCs/>
          <w:i/>
          <w:iCs/>
          <w:sz w:val="24"/>
        </w:rPr>
        <w:t>m</w:t>
      </w:r>
      <w:r w:rsidR="0000385F">
        <w:rPr>
          <w:rFonts w:ascii="Times New Roman" w:hAnsi="Times New Roman"/>
          <w:bCs/>
          <w:i/>
          <w:iCs/>
          <w:sz w:val="24"/>
        </w:rPr>
        <w:t>y and Oblix).</w:t>
      </w:r>
      <w:r>
        <w:rPr>
          <w:rFonts w:ascii="Times New Roman" w:hAnsi="Times New Roman"/>
          <w:bCs/>
          <w:sz w:val="24"/>
        </w:rPr>
        <w:t xml:space="preserve"> </w:t>
      </w:r>
    </w:p>
    <w:p w14:paraId="20B90DA6" w14:textId="7A78E5A1" w:rsidR="00363E02" w:rsidRPr="003E4555" w:rsidRDefault="003E4555" w:rsidP="003E4555">
      <w:pPr>
        <w:spacing w:after="480" w:line="480" w:lineRule="auto"/>
        <w:rPr>
          <w:rFonts w:ascii="Times New Roman" w:hAnsi="Times New Roman"/>
          <w:bCs/>
          <w:i/>
          <w:iCs/>
          <w:sz w:val="24"/>
        </w:rPr>
      </w:pPr>
      <w:r w:rsidRPr="00E56846">
        <w:rPr>
          <w:rFonts w:ascii="Times New Roman" w:hAnsi="Times New Roman"/>
          <w:bCs/>
          <w:iCs/>
          <w:sz w:val="24"/>
        </w:rPr>
        <w:t>[3]</w:t>
      </w:r>
      <w:r w:rsidRPr="00E56846">
        <w:rPr>
          <w:rFonts w:ascii="Times New Roman" w:hAnsi="Times New Roman"/>
          <w:bCs/>
          <w:iCs/>
          <w:sz w:val="24"/>
        </w:rPr>
        <w:tab/>
      </w:r>
      <w:r w:rsidR="00363E02" w:rsidRPr="003E4555">
        <w:rPr>
          <w:rFonts w:ascii="Times New Roman" w:hAnsi="Times New Roman"/>
          <w:bCs/>
          <w:sz w:val="24"/>
        </w:rPr>
        <w:t xml:space="preserve">The </w:t>
      </w:r>
      <w:r w:rsidR="00AE40FE" w:rsidRPr="003E4555">
        <w:rPr>
          <w:rFonts w:ascii="Times New Roman" w:hAnsi="Times New Roman"/>
          <w:bCs/>
          <w:sz w:val="24"/>
        </w:rPr>
        <w:t xml:space="preserve">leased premise </w:t>
      </w:r>
      <w:r w:rsidR="000F2471" w:rsidRPr="003E4555">
        <w:rPr>
          <w:rFonts w:ascii="Times New Roman" w:hAnsi="Times New Roman"/>
          <w:bCs/>
          <w:sz w:val="24"/>
        </w:rPr>
        <w:t xml:space="preserve">is owned by </w:t>
      </w:r>
      <w:r w:rsidR="00AE40FE" w:rsidRPr="003E4555">
        <w:rPr>
          <w:rFonts w:ascii="Times New Roman" w:hAnsi="Times New Roman"/>
          <w:bCs/>
          <w:sz w:val="24"/>
        </w:rPr>
        <w:t>Salvation Army</w:t>
      </w:r>
      <w:r w:rsidR="00363E02" w:rsidRPr="003E4555">
        <w:rPr>
          <w:rFonts w:ascii="Times New Roman" w:hAnsi="Times New Roman"/>
          <w:bCs/>
          <w:sz w:val="24"/>
        </w:rPr>
        <w:t xml:space="preserve"> Property Company (</w:t>
      </w:r>
      <w:r w:rsidR="00363E02" w:rsidRPr="003E4555">
        <w:rPr>
          <w:rFonts w:ascii="Times New Roman" w:hAnsi="Times New Roman"/>
          <w:bCs/>
          <w:i/>
          <w:iCs/>
          <w:sz w:val="24"/>
        </w:rPr>
        <w:t>Salvation Army</w:t>
      </w:r>
      <w:r w:rsidR="00363E02" w:rsidRPr="003E4555">
        <w:rPr>
          <w:rFonts w:ascii="Times New Roman" w:hAnsi="Times New Roman"/>
          <w:bCs/>
          <w:sz w:val="24"/>
        </w:rPr>
        <w:t>)</w:t>
      </w:r>
      <w:r w:rsidR="0089248D" w:rsidRPr="003E4555">
        <w:rPr>
          <w:rFonts w:ascii="Times New Roman" w:hAnsi="Times New Roman"/>
          <w:bCs/>
          <w:sz w:val="24"/>
        </w:rPr>
        <w:t xml:space="preserve"> over which </w:t>
      </w:r>
      <w:r w:rsidR="00363E02" w:rsidRPr="003E4555">
        <w:rPr>
          <w:rFonts w:ascii="Times New Roman" w:hAnsi="Times New Roman"/>
          <w:bCs/>
          <w:sz w:val="24"/>
        </w:rPr>
        <w:t>Salvation Army and Oblix Investments (Pty) Ltd (</w:t>
      </w:r>
      <w:r w:rsidR="00363E02" w:rsidRPr="003E4555">
        <w:rPr>
          <w:rFonts w:ascii="Times New Roman" w:hAnsi="Times New Roman"/>
          <w:bCs/>
          <w:i/>
          <w:iCs/>
          <w:sz w:val="24"/>
        </w:rPr>
        <w:t>Oblix</w:t>
      </w:r>
      <w:r w:rsidR="00363E02" w:rsidRPr="003E4555">
        <w:rPr>
          <w:rFonts w:ascii="Times New Roman" w:hAnsi="Times New Roman"/>
          <w:bCs/>
          <w:sz w:val="24"/>
        </w:rPr>
        <w:t xml:space="preserve">) entered into a </w:t>
      </w:r>
      <w:r w:rsidR="009725C6" w:rsidRPr="003E4555">
        <w:rPr>
          <w:rFonts w:ascii="Times New Roman" w:hAnsi="Times New Roman"/>
          <w:bCs/>
          <w:sz w:val="24"/>
        </w:rPr>
        <w:t>30-year</w:t>
      </w:r>
      <w:r w:rsidR="00363E02" w:rsidRPr="003E4555">
        <w:rPr>
          <w:rFonts w:ascii="Times New Roman" w:hAnsi="Times New Roman"/>
          <w:bCs/>
          <w:sz w:val="24"/>
        </w:rPr>
        <w:t xml:space="preserve"> notarial deed of lease</w:t>
      </w:r>
      <w:r w:rsidR="0089248D" w:rsidRPr="003E4555">
        <w:rPr>
          <w:rFonts w:ascii="Times New Roman" w:hAnsi="Times New Roman"/>
          <w:bCs/>
          <w:sz w:val="24"/>
        </w:rPr>
        <w:t>.</w:t>
      </w:r>
      <w:r w:rsidR="00A913A8" w:rsidRPr="003E4555">
        <w:rPr>
          <w:rFonts w:ascii="Times New Roman" w:hAnsi="Times New Roman"/>
          <w:bCs/>
          <w:sz w:val="24"/>
        </w:rPr>
        <w:t xml:space="preserve"> </w:t>
      </w:r>
    </w:p>
    <w:p w14:paraId="534FFEC4" w14:textId="5DD92509" w:rsidR="00363E02" w:rsidRPr="00363E02" w:rsidRDefault="00363E02" w:rsidP="00363E02">
      <w:pPr>
        <w:pStyle w:val="ListParagraph"/>
        <w:spacing w:after="480" w:line="480" w:lineRule="auto"/>
        <w:ind w:left="0" w:firstLine="720"/>
        <w:contextualSpacing w:val="0"/>
        <w:rPr>
          <w:rFonts w:ascii="Times New Roman" w:hAnsi="Times New Roman"/>
          <w:bCs/>
          <w:i/>
          <w:iCs/>
          <w:sz w:val="24"/>
        </w:rPr>
      </w:pPr>
      <w:r w:rsidRPr="00363E02">
        <w:rPr>
          <w:rFonts w:ascii="Times New Roman" w:hAnsi="Times New Roman"/>
          <w:bCs/>
          <w:i/>
          <w:iCs/>
          <w:sz w:val="24"/>
        </w:rPr>
        <w:t>Sub – lease</w:t>
      </w:r>
      <w:r w:rsidR="0000385F">
        <w:rPr>
          <w:rFonts w:ascii="Times New Roman" w:hAnsi="Times New Roman"/>
          <w:bCs/>
          <w:i/>
          <w:iCs/>
          <w:sz w:val="24"/>
        </w:rPr>
        <w:t xml:space="preserve"> (</w:t>
      </w:r>
      <w:r w:rsidR="00E56846">
        <w:rPr>
          <w:rFonts w:ascii="Times New Roman" w:hAnsi="Times New Roman"/>
          <w:bCs/>
          <w:i/>
          <w:iCs/>
          <w:sz w:val="24"/>
        </w:rPr>
        <w:t xml:space="preserve">between </w:t>
      </w:r>
      <w:r w:rsidR="0000385F">
        <w:rPr>
          <w:rFonts w:ascii="Times New Roman" w:hAnsi="Times New Roman"/>
          <w:bCs/>
          <w:i/>
          <w:iCs/>
          <w:sz w:val="24"/>
        </w:rPr>
        <w:t>Oblix and BP).</w:t>
      </w:r>
    </w:p>
    <w:p w14:paraId="6A82EEF4" w14:textId="222ACFAB" w:rsidR="00363E02" w:rsidRPr="003E4555" w:rsidRDefault="003E4555" w:rsidP="003E4555">
      <w:pPr>
        <w:spacing w:after="480" w:line="480" w:lineRule="auto"/>
        <w:rPr>
          <w:rFonts w:ascii="Times New Roman" w:hAnsi="Times New Roman"/>
          <w:bCs/>
          <w:i/>
          <w:iCs/>
          <w:sz w:val="24"/>
        </w:rPr>
      </w:pPr>
      <w:r w:rsidRPr="00A913A8">
        <w:rPr>
          <w:rFonts w:ascii="Times New Roman" w:hAnsi="Times New Roman"/>
          <w:bCs/>
          <w:iCs/>
          <w:sz w:val="24"/>
        </w:rPr>
        <w:t>[4]</w:t>
      </w:r>
      <w:r w:rsidRPr="00A913A8">
        <w:rPr>
          <w:rFonts w:ascii="Times New Roman" w:hAnsi="Times New Roman"/>
          <w:bCs/>
          <w:iCs/>
          <w:sz w:val="24"/>
        </w:rPr>
        <w:tab/>
      </w:r>
      <w:r w:rsidR="0000385F" w:rsidRPr="003E4555">
        <w:rPr>
          <w:rFonts w:ascii="Times New Roman" w:hAnsi="Times New Roman"/>
          <w:bCs/>
          <w:sz w:val="24"/>
        </w:rPr>
        <w:t>A</w:t>
      </w:r>
      <w:r w:rsidR="000F2471" w:rsidRPr="003E4555">
        <w:rPr>
          <w:rFonts w:ascii="Times New Roman" w:hAnsi="Times New Roman"/>
          <w:bCs/>
          <w:sz w:val="24"/>
        </w:rPr>
        <w:t xml:space="preserve"> notarial </w:t>
      </w:r>
      <w:r w:rsidR="0089248D" w:rsidRPr="003E4555">
        <w:rPr>
          <w:rFonts w:ascii="Times New Roman" w:hAnsi="Times New Roman"/>
          <w:bCs/>
          <w:sz w:val="24"/>
        </w:rPr>
        <w:t>sub-</w:t>
      </w:r>
      <w:r w:rsidR="000F2471" w:rsidRPr="003E4555">
        <w:rPr>
          <w:rFonts w:ascii="Times New Roman" w:hAnsi="Times New Roman"/>
          <w:bCs/>
          <w:sz w:val="24"/>
        </w:rPr>
        <w:t xml:space="preserve">lease </w:t>
      </w:r>
      <w:r w:rsidR="0000385F" w:rsidRPr="003E4555">
        <w:rPr>
          <w:rFonts w:ascii="Times New Roman" w:hAnsi="Times New Roman"/>
          <w:bCs/>
          <w:sz w:val="24"/>
        </w:rPr>
        <w:t xml:space="preserve">agreement </w:t>
      </w:r>
      <w:r w:rsidR="000F2471" w:rsidRPr="003E4555">
        <w:rPr>
          <w:rFonts w:ascii="Times New Roman" w:hAnsi="Times New Roman"/>
          <w:bCs/>
          <w:sz w:val="24"/>
        </w:rPr>
        <w:t>was executed</w:t>
      </w:r>
      <w:r w:rsidR="00D13922" w:rsidRPr="003E4555">
        <w:rPr>
          <w:rFonts w:ascii="Times New Roman" w:hAnsi="Times New Roman"/>
          <w:bCs/>
          <w:sz w:val="24"/>
        </w:rPr>
        <w:t xml:space="preserve"> </w:t>
      </w:r>
      <w:r w:rsidR="0000385F" w:rsidRPr="003E4555">
        <w:rPr>
          <w:rFonts w:ascii="Times New Roman" w:hAnsi="Times New Roman"/>
          <w:bCs/>
          <w:sz w:val="24"/>
        </w:rPr>
        <w:t xml:space="preserve">between Oblix and BP </w:t>
      </w:r>
      <w:r w:rsidR="00D13922" w:rsidRPr="003E4555">
        <w:rPr>
          <w:rFonts w:ascii="Times New Roman" w:hAnsi="Times New Roman"/>
          <w:bCs/>
          <w:sz w:val="24"/>
        </w:rPr>
        <w:t xml:space="preserve">on 12 September 2000 for a period of 20 years from the date of commencement </w:t>
      </w:r>
      <w:r w:rsidR="0089248D" w:rsidRPr="003E4555">
        <w:rPr>
          <w:rFonts w:ascii="Times New Roman" w:hAnsi="Times New Roman"/>
          <w:bCs/>
          <w:sz w:val="24"/>
        </w:rPr>
        <w:t xml:space="preserve">ending on </w:t>
      </w:r>
      <w:r w:rsidR="00D13922" w:rsidRPr="003E4555">
        <w:rPr>
          <w:rFonts w:ascii="Times New Roman" w:hAnsi="Times New Roman"/>
          <w:bCs/>
          <w:sz w:val="24"/>
        </w:rPr>
        <w:t>11 September 2020. The applicant</w:t>
      </w:r>
      <w:r w:rsidR="000F2471" w:rsidRPr="003E4555">
        <w:rPr>
          <w:rFonts w:ascii="Times New Roman" w:hAnsi="Times New Roman"/>
          <w:bCs/>
          <w:sz w:val="24"/>
        </w:rPr>
        <w:t xml:space="preserve"> and </w:t>
      </w:r>
      <w:r w:rsidR="00A913A8" w:rsidRPr="003E4555">
        <w:rPr>
          <w:rFonts w:ascii="Times New Roman" w:hAnsi="Times New Roman"/>
          <w:bCs/>
          <w:sz w:val="24"/>
        </w:rPr>
        <w:t xml:space="preserve">Oblix </w:t>
      </w:r>
      <w:r w:rsidR="00E56846" w:rsidRPr="003E4555">
        <w:rPr>
          <w:rFonts w:ascii="Times New Roman" w:hAnsi="Times New Roman"/>
          <w:bCs/>
          <w:sz w:val="24"/>
        </w:rPr>
        <w:t xml:space="preserve">subsequently </w:t>
      </w:r>
      <w:r w:rsidR="00A913A8" w:rsidRPr="003E4555">
        <w:rPr>
          <w:rFonts w:ascii="Times New Roman" w:hAnsi="Times New Roman"/>
          <w:bCs/>
          <w:sz w:val="24"/>
        </w:rPr>
        <w:t xml:space="preserve">entered into an addendum </w:t>
      </w:r>
      <w:r w:rsidR="00757BF4" w:rsidRPr="003E4555">
        <w:rPr>
          <w:rFonts w:ascii="Times New Roman" w:hAnsi="Times New Roman"/>
          <w:bCs/>
          <w:sz w:val="24"/>
        </w:rPr>
        <w:t xml:space="preserve">on 12 December 2014 </w:t>
      </w:r>
      <w:r w:rsidR="00BF6B23" w:rsidRPr="003E4555">
        <w:rPr>
          <w:rFonts w:ascii="Times New Roman" w:hAnsi="Times New Roman"/>
          <w:bCs/>
          <w:sz w:val="24"/>
        </w:rPr>
        <w:t xml:space="preserve">in </w:t>
      </w:r>
      <w:r w:rsidR="0089248D" w:rsidRPr="003E4555">
        <w:rPr>
          <w:rFonts w:ascii="Times New Roman" w:hAnsi="Times New Roman"/>
          <w:bCs/>
          <w:sz w:val="24"/>
        </w:rPr>
        <w:t xml:space="preserve">terms of </w:t>
      </w:r>
      <w:r w:rsidR="00BF6B23" w:rsidRPr="003E4555">
        <w:rPr>
          <w:rFonts w:ascii="Times New Roman" w:hAnsi="Times New Roman"/>
          <w:bCs/>
          <w:sz w:val="24"/>
        </w:rPr>
        <w:t xml:space="preserve">which a lease period was extended </w:t>
      </w:r>
      <w:r w:rsidR="008A00DA" w:rsidRPr="003E4555">
        <w:rPr>
          <w:rFonts w:ascii="Times New Roman" w:hAnsi="Times New Roman"/>
          <w:bCs/>
          <w:sz w:val="24"/>
        </w:rPr>
        <w:t>to</w:t>
      </w:r>
      <w:r w:rsidR="00BF6B23" w:rsidRPr="003E4555">
        <w:rPr>
          <w:rFonts w:ascii="Times New Roman" w:hAnsi="Times New Roman"/>
          <w:bCs/>
          <w:sz w:val="24"/>
        </w:rPr>
        <w:t xml:space="preserve"> 31 December 2029. The </w:t>
      </w:r>
      <w:r w:rsidR="00BF6B23" w:rsidRPr="003E4555">
        <w:rPr>
          <w:rFonts w:ascii="Times New Roman" w:hAnsi="Times New Roman"/>
          <w:bCs/>
          <w:sz w:val="24"/>
        </w:rPr>
        <w:lastRenderedPageBreak/>
        <w:t xml:space="preserve">addendum also provided that </w:t>
      </w:r>
      <w:r w:rsidR="00A913A8" w:rsidRPr="003E4555">
        <w:rPr>
          <w:rFonts w:ascii="Times New Roman" w:hAnsi="Times New Roman"/>
          <w:bCs/>
          <w:sz w:val="24"/>
        </w:rPr>
        <w:t>Oblix</w:t>
      </w:r>
      <w:r w:rsidR="00BF6B23" w:rsidRPr="003E4555">
        <w:rPr>
          <w:rFonts w:ascii="Times New Roman" w:hAnsi="Times New Roman"/>
          <w:bCs/>
          <w:sz w:val="24"/>
        </w:rPr>
        <w:t xml:space="preserve"> would</w:t>
      </w:r>
      <w:r w:rsidR="00A913A8" w:rsidRPr="003E4555">
        <w:rPr>
          <w:rFonts w:ascii="Times New Roman" w:hAnsi="Times New Roman"/>
          <w:bCs/>
          <w:sz w:val="24"/>
        </w:rPr>
        <w:t xml:space="preserve"> </w:t>
      </w:r>
      <w:r w:rsidR="0063532E" w:rsidRPr="003E4555">
        <w:rPr>
          <w:rFonts w:ascii="Times New Roman" w:hAnsi="Times New Roman"/>
          <w:bCs/>
          <w:sz w:val="24"/>
        </w:rPr>
        <w:t>‘</w:t>
      </w:r>
      <w:r w:rsidR="00BF6B23" w:rsidRPr="003E4555">
        <w:rPr>
          <w:rFonts w:ascii="Times New Roman" w:hAnsi="Times New Roman"/>
          <w:bCs/>
          <w:sz w:val="24"/>
        </w:rPr>
        <w:t xml:space="preserve">… </w:t>
      </w:r>
      <w:r w:rsidR="0063532E" w:rsidRPr="003E4555">
        <w:rPr>
          <w:rFonts w:ascii="Times New Roman" w:hAnsi="Times New Roman"/>
          <w:bCs/>
          <w:i/>
          <w:iCs/>
          <w:sz w:val="24"/>
        </w:rPr>
        <w:t>appoint its own retailer to operate a BP-branded fuel service station on the leased premises’</w:t>
      </w:r>
      <w:r w:rsidR="0063532E">
        <w:rPr>
          <w:rStyle w:val="FootnoteReference"/>
          <w:rFonts w:ascii="Times New Roman" w:hAnsi="Times New Roman"/>
          <w:bCs/>
          <w:sz w:val="24"/>
        </w:rPr>
        <w:footnoteReference w:id="3"/>
      </w:r>
      <w:r w:rsidR="00BF6B23" w:rsidRPr="003E4555">
        <w:rPr>
          <w:rFonts w:ascii="Times New Roman" w:hAnsi="Times New Roman"/>
          <w:bCs/>
          <w:i/>
          <w:iCs/>
          <w:sz w:val="24"/>
        </w:rPr>
        <w:t xml:space="preserve"> </w:t>
      </w:r>
      <w:r w:rsidR="00BF6B23" w:rsidRPr="003E4555">
        <w:rPr>
          <w:rFonts w:ascii="Times New Roman" w:hAnsi="Times New Roman"/>
          <w:bCs/>
          <w:sz w:val="24"/>
        </w:rPr>
        <w:t>after the expiry of the lease agreement with the respondent.</w:t>
      </w:r>
      <w:r w:rsidR="007B3D6B" w:rsidRPr="003E4555">
        <w:rPr>
          <w:rFonts w:ascii="Times New Roman" w:hAnsi="Times New Roman"/>
          <w:bCs/>
          <w:sz w:val="24"/>
        </w:rPr>
        <w:t xml:space="preserve"> </w:t>
      </w:r>
      <w:r w:rsidR="00D4356E" w:rsidRPr="003E4555">
        <w:rPr>
          <w:rFonts w:ascii="Times New Roman" w:hAnsi="Times New Roman"/>
          <w:bCs/>
          <w:sz w:val="24"/>
        </w:rPr>
        <w:t xml:space="preserve">Oblix </w:t>
      </w:r>
      <w:r w:rsidR="00E56846" w:rsidRPr="003E4555">
        <w:rPr>
          <w:rFonts w:ascii="Times New Roman" w:hAnsi="Times New Roman"/>
          <w:bCs/>
          <w:sz w:val="24"/>
        </w:rPr>
        <w:t xml:space="preserve">paid </w:t>
      </w:r>
      <w:r w:rsidR="00D4356E" w:rsidRPr="003E4555">
        <w:rPr>
          <w:rFonts w:ascii="Times New Roman" w:hAnsi="Times New Roman"/>
          <w:bCs/>
          <w:sz w:val="24"/>
        </w:rPr>
        <w:t>the applicant amount of R6</w:t>
      </w:r>
      <w:r w:rsidR="0000385F" w:rsidRPr="003E4555">
        <w:rPr>
          <w:rFonts w:ascii="Times New Roman" w:hAnsi="Times New Roman"/>
          <w:bCs/>
          <w:sz w:val="24"/>
        </w:rPr>
        <w:t> 406 050.00</w:t>
      </w:r>
      <w:r w:rsidR="007D7C28" w:rsidRPr="003E4555">
        <w:rPr>
          <w:rFonts w:ascii="Times New Roman" w:hAnsi="Times New Roman"/>
          <w:bCs/>
          <w:sz w:val="24"/>
        </w:rPr>
        <w:t xml:space="preserve"> for ‘… </w:t>
      </w:r>
      <w:r w:rsidR="007D7C28" w:rsidRPr="003E4555">
        <w:rPr>
          <w:rFonts w:ascii="Times New Roman" w:hAnsi="Times New Roman"/>
          <w:bCs/>
          <w:i/>
          <w:iCs/>
          <w:sz w:val="24"/>
        </w:rPr>
        <w:t>agreeing to the amendments of the periods under the sub-lease</w:t>
      </w:r>
      <w:r w:rsidR="007D7C28" w:rsidRPr="003E4555">
        <w:rPr>
          <w:rFonts w:ascii="Times New Roman" w:hAnsi="Times New Roman"/>
          <w:bCs/>
          <w:sz w:val="24"/>
        </w:rPr>
        <w:t>’</w:t>
      </w:r>
      <w:r w:rsidR="0000385F" w:rsidRPr="003E4555">
        <w:rPr>
          <w:rFonts w:ascii="Times New Roman" w:hAnsi="Times New Roman"/>
          <w:bCs/>
          <w:sz w:val="24"/>
        </w:rPr>
        <w:t>.</w:t>
      </w:r>
      <w:r w:rsidR="009725C6">
        <w:rPr>
          <w:rStyle w:val="FootnoteReference"/>
          <w:rFonts w:ascii="Times New Roman" w:hAnsi="Times New Roman"/>
          <w:bCs/>
          <w:sz w:val="24"/>
        </w:rPr>
        <w:footnoteReference w:id="4"/>
      </w:r>
    </w:p>
    <w:p w14:paraId="248920C4" w14:textId="46FE6FB6" w:rsidR="00363E02" w:rsidRPr="00363E02" w:rsidRDefault="00363E02" w:rsidP="00363E02">
      <w:pPr>
        <w:pStyle w:val="ListParagraph"/>
        <w:spacing w:after="480" w:line="480" w:lineRule="auto"/>
        <w:ind w:left="0" w:firstLine="720"/>
        <w:contextualSpacing w:val="0"/>
        <w:rPr>
          <w:rFonts w:ascii="Times New Roman" w:hAnsi="Times New Roman"/>
          <w:bCs/>
          <w:i/>
          <w:iCs/>
          <w:sz w:val="24"/>
        </w:rPr>
      </w:pPr>
      <w:r w:rsidRPr="00363E02">
        <w:rPr>
          <w:rFonts w:ascii="Times New Roman" w:hAnsi="Times New Roman"/>
          <w:bCs/>
          <w:i/>
          <w:iCs/>
          <w:sz w:val="24"/>
        </w:rPr>
        <w:t>Sub</w:t>
      </w:r>
      <w:r w:rsidR="00A913A8">
        <w:rPr>
          <w:rFonts w:ascii="Times New Roman" w:hAnsi="Times New Roman"/>
          <w:bCs/>
          <w:i/>
          <w:iCs/>
          <w:sz w:val="24"/>
        </w:rPr>
        <w:t>-</w:t>
      </w:r>
      <w:r w:rsidRPr="00363E02">
        <w:rPr>
          <w:rFonts w:ascii="Times New Roman" w:hAnsi="Times New Roman"/>
          <w:bCs/>
          <w:i/>
          <w:iCs/>
          <w:sz w:val="24"/>
        </w:rPr>
        <w:t>sub lease</w:t>
      </w:r>
      <w:r w:rsidR="0000385F">
        <w:rPr>
          <w:rFonts w:ascii="Times New Roman" w:hAnsi="Times New Roman"/>
          <w:bCs/>
          <w:i/>
          <w:iCs/>
          <w:sz w:val="24"/>
        </w:rPr>
        <w:t xml:space="preserve"> (</w:t>
      </w:r>
      <w:r w:rsidR="00E56846">
        <w:rPr>
          <w:rFonts w:ascii="Times New Roman" w:hAnsi="Times New Roman"/>
          <w:bCs/>
          <w:i/>
          <w:iCs/>
          <w:sz w:val="24"/>
        </w:rPr>
        <w:t xml:space="preserve">between </w:t>
      </w:r>
      <w:r w:rsidR="0000385F">
        <w:rPr>
          <w:rFonts w:ascii="Times New Roman" w:hAnsi="Times New Roman"/>
          <w:bCs/>
          <w:i/>
          <w:iCs/>
          <w:sz w:val="24"/>
        </w:rPr>
        <w:t>BP – BAY</w:t>
      </w:r>
      <w:r w:rsidR="00E56846">
        <w:rPr>
          <w:rFonts w:ascii="Times New Roman" w:hAnsi="Times New Roman"/>
          <w:bCs/>
          <w:i/>
          <w:iCs/>
          <w:sz w:val="24"/>
        </w:rPr>
        <w:t>A</w:t>
      </w:r>
      <w:r w:rsidR="0000385F">
        <w:rPr>
          <w:rFonts w:ascii="Times New Roman" w:hAnsi="Times New Roman"/>
          <w:bCs/>
          <w:i/>
          <w:iCs/>
          <w:sz w:val="24"/>
        </w:rPr>
        <w:t>FSA)</w:t>
      </w:r>
    </w:p>
    <w:p w14:paraId="095FD128" w14:textId="09A8E845" w:rsidR="00BF6B23" w:rsidRPr="003E4555" w:rsidRDefault="003E4555" w:rsidP="003E4555">
      <w:pPr>
        <w:spacing w:after="480" w:line="480" w:lineRule="auto"/>
        <w:rPr>
          <w:rFonts w:ascii="Times New Roman" w:hAnsi="Times New Roman"/>
          <w:bCs/>
          <w:i/>
          <w:iCs/>
          <w:sz w:val="24"/>
        </w:rPr>
      </w:pPr>
      <w:r w:rsidRPr="00BF6B23">
        <w:rPr>
          <w:rFonts w:ascii="Times New Roman" w:hAnsi="Times New Roman"/>
          <w:bCs/>
          <w:iCs/>
          <w:sz w:val="24"/>
        </w:rPr>
        <w:t>[5]</w:t>
      </w:r>
      <w:r w:rsidRPr="00BF6B23">
        <w:rPr>
          <w:rFonts w:ascii="Times New Roman" w:hAnsi="Times New Roman"/>
          <w:bCs/>
          <w:iCs/>
          <w:sz w:val="24"/>
        </w:rPr>
        <w:tab/>
      </w:r>
      <w:r w:rsidR="00363E02" w:rsidRPr="003E4555">
        <w:rPr>
          <w:rFonts w:ascii="Times New Roman" w:hAnsi="Times New Roman"/>
          <w:bCs/>
          <w:sz w:val="24"/>
        </w:rPr>
        <w:t>The applicant and the respondent entered into a sub</w:t>
      </w:r>
      <w:r w:rsidR="00A913A8" w:rsidRPr="003E4555">
        <w:rPr>
          <w:rFonts w:ascii="Times New Roman" w:hAnsi="Times New Roman"/>
          <w:bCs/>
          <w:sz w:val="24"/>
        </w:rPr>
        <w:t>-</w:t>
      </w:r>
      <w:r w:rsidR="00363E02" w:rsidRPr="003E4555">
        <w:rPr>
          <w:rFonts w:ascii="Times New Roman" w:hAnsi="Times New Roman"/>
          <w:bCs/>
          <w:sz w:val="24"/>
        </w:rPr>
        <w:t xml:space="preserve">sub lease </w:t>
      </w:r>
      <w:r w:rsidR="00BF6B23" w:rsidRPr="003E4555">
        <w:rPr>
          <w:rFonts w:ascii="Times New Roman" w:hAnsi="Times New Roman"/>
          <w:bCs/>
          <w:sz w:val="24"/>
        </w:rPr>
        <w:t>to conduct a garage, petrol-filling, and service station</w:t>
      </w:r>
      <w:r w:rsidR="00BF6B23">
        <w:rPr>
          <w:rStyle w:val="FootnoteReference"/>
          <w:rFonts w:ascii="Times New Roman" w:hAnsi="Times New Roman"/>
          <w:bCs/>
          <w:sz w:val="24"/>
        </w:rPr>
        <w:footnoteReference w:id="5"/>
      </w:r>
      <w:r w:rsidR="00BF6B23" w:rsidRPr="003E4555">
        <w:rPr>
          <w:rFonts w:ascii="Times New Roman" w:hAnsi="Times New Roman"/>
          <w:bCs/>
          <w:sz w:val="24"/>
        </w:rPr>
        <w:t xml:space="preserve"> (to conduct a BP-branded fuel service station) </w:t>
      </w:r>
      <w:r w:rsidR="00363E02" w:rsidRPr="003E4555">
        <w:rPr>
          <w:rFonts w:ascii="Times New Roman" w:hAnsi="Times New Roman"/>
          <w:bCs/>
          <w:sz w:val="24"/>
        </w:rPr>
        <w:t xml:space="preserve">on </w:t>
      </w:r>
      <w:r w:rsidR="00A913A8" w:rsidRPr="003E4555">
        <w:rPr>
          <w:rFonts w:ascii="Times New Roman" w:hAnsi="Times New Roman"/>
          <w:bCs/>
          <w:sz w:val="24"/>
        </w:rPr>
        <w:t>13 May 2011.</w:t>
      </w:r>
      <w:r w:rsidR="00BF6B23" w:rsidRPr="003E4555">
        <w:rPr>
          <w:rFonts w:ascii="Times New Roman" w:hAnsi="Times New Roman"/>
          <w:bCs/>
          <w:sz w:val="24"/>
        </w:rPr>
        <w:t xml:space="preserve"> This lease agreement lapsed, and the parties</w:t>
      </w:r>
      <w:r w:rsidR="00A913A8" w:rsidRPr="003E4555">
        <w:rPr>
          <w:rFonts w:ascii="Times New Roman" w:hAnsi="Times New Roman"/>
          <w:bCs/>
          <w:sz w:val="24"/>
        </w:rPr>
        <w:t xml:space="preserve"> entered into a further sub-sub lease on 7 September 2015. The commencement date in respect of the second sub-sub lease </w:t>
      </w:r>
      <w:r w:rsidR="00BF6B23" w:rsidRPr="003E4555">
        <w:rPr>
          <w:rFonts w:ascii="Times New Roman" w:hAnsi="Times New Roman"/>
          <w:bCs/>
          <w:sz w:val="24"/>
        </w:rPr>
        <w:t xml:space="preserve">was agreed to be </w:t>
      </w:r>
      <w:r w:rsidR="00A913A8" w:rsidRPr="003E4555">
        <w:rPr>
          <w:rFonts w:ascii="Times New Roman" w:hAnsi="Times New Roman"/>
          <w:bCs/>
          <w:sz w:val="24"/>
        </w:rPr>
        <w:t xml:space="preserve">1 January 2015. </w:t>
      </w:r>
    </w:p>
    <w:p w14:paraId="137DED2B" w14:textId="2279C20C" w:rsidR="00363E02" w:rsidRPr="003E4555" w:rsidRDefault="003E4555" w:rsidP="003E4555">
      <w:pPr>
        <w:spacing w:after="480" w:line="480" w:lineRule="auto"/>
        <w:rPr>
          <w:rFonts w:ascii="Times New Roman" w:hAnsi="Times New Roman"/>
          <w:bCs/>
          <w:i/>
          <w:iCs/>
          <w:sz w:val="24"/>
        </w:rPr>
      </w:pPr>
      <w:r w:rsidRPr="00363E02">
        <w:rPr>
          <w:rFonts w:ascii="Times New Roman" w:hAnsi="Times New Roman"/>
          <w:bCs/>
          <w:iCs/>
          <w:sz w:val="24"/>
        </w:rPr>
        <w:t>[6]</w:t>
      </w:r>
      <w:r w:rsidRPr="00363E02">
        <w:rPr>
          <w:rFonts w:ascii="Times New Roman" w:hAnsi="Times New Roman"/>
          <w:bCs/>
          <w:iCs/>
          <w:sz w:val="24"/>
        </w:rPr>
        <w:tab/>
      </w:r>
      <w:r w:rsidR="00A913A8" w:rsidRPr="003E4555">
        <w:rPr>
          <w:rFonts w:ascii="Times New Roman" w:hAnsi="Times New Roman"/>
          <w:bCs/>
          <w:sz w:val="24"/>
        </w:rPr>
        <w:t>The sub-sub lease between the parties was preceded by a franchise agreement signed by the parties on 11 May 2011.</w:t>
      </w:r>
      <w:r w:rsidR="00363E02" w:rsidRPr="003E4555">
        <w:rPr>
          <w:rFonts w:ascii="Times New Roman" w:hAnsi="Times New Roman"/>
          <w:bCs/>
          <w:sz w:val="24"/>
        </w:rPr>
        <w:t xml:space="preserve"> </w:t>
      </w:r>
    </w:p>
    <w:p w14:paraId="0F495CE8" w14:textId="09600ED1" w:rsidR="008A00DA" w:rsidRPr="003E4555" w:rsidRDefault="003E4555" w:rsidP="003E4555">
      <w:pPr>
        <w:spacing w:after="480" w:line="480" w:lineRule="auto"/>
        <w:rPr>
          <w:rFonts w:ascii="Times New Roman" w:hAnsi="Times New Roman"/>
          <w:bCs/>
          <w:i/>
          <w:iCs/>
          <w:sz w:val="24"/>
        </w:rPr>
      </w:pPr>
      <w:r w:rsidRPr="008A00DA">
        <w:rPr>
          <w:rFonts w:ascii="Times New Roman" w:hAnsi="Times New Roman"/>
          <w:bCs/>
          <w:iCs/>
          <w:sz w:val="24"/>
        </w:rPr>
        <w:t>[7]</w:t>
      </w:r>
      <w:r w:rsidRPr="008A00DA">
        <w:rPr>
          <w:rFonts w:ascii="Times New Roman" w:hAnsi="Times New Roman"/>
          <w:bCs/>
          <w:iCs/>
          <w:sz w:val="24"/>
        </w:rPr>
        <w:tab/>
      </w:r>
      <w:r w:rsidR="00825D9C" w:rsidRPr="003E4555">
        <w:rPr>
          <w:rFonts w:ascii="Times New Roman" w:hAnsi="Times New Roman"/>
          <w:bCs/>
          <w:sz w:val="24"/>
        </w:rPr>
        <w:t xml:space="preserve">The </w:t>
      </w:r>
      <w:r w:rsidR="00757BF4" w:rsidRPr="003E4555">
        <w:rPr>
          <w:rFonts w:ascii="Times New Roman" w:hAnsi="Times New Roman"/>
          <w:bCs/>
          <w:sz w:val="24"/>
        </w:rPr>
        <w:t xml:space="preserve">sub-sub </w:t>
      </w:r>
      <w:r w:rsidR="00825D9C" w:rsidRPr="003E4555">
        <w:rPr>
          <w:rFonts w:ascii="Times New Roman" w:hAnsi="Times New Roman"/>
          <w:bCs/>
          <w:sz w:val="24"/>
        </w:rPr>
        <w:t xml:space="preserve">lease was for an indefinite period and may be terminated </w:t>
      </w:r>
      <w:r w:rsidR="00757BF4" w:rsidRPr="003E4555">
        <w:rPr>
          <w:rFonts w:ascii="Times New Roman" w:hAnsi="Times New Roman"/>
          <w:bCs/>
          <w:sz w:val="24"/>
        </w:rPr>
        <w:t xml:space="preserve">by the applicant </w:t>
      </w:r>
      <w:r w:rsidR="00825D9C" w:rsidRPr="003E4555">
        <w:rPr>
          <w:rFonts w:ascii="Times New Roman" w:hAnsi="Times New Roman"/>
          <w:bCs/>
          <w:sz w:val="24"/>
        </w:rPr>
        <w:t xml:space="preserve">by a six month notice after a period of 4 years and six months </w:t>
      </w:r>
      <w:r w:rsidR="00E56846" w:rsidRPr="003E4555">
        <w:rPr>
          <w:rFonts w:ascii="Times New Roman" w:hAnsi="Times New Roman"/>
          <w:bCs/>
          <w:sz w:val="24"/>
        </w:rPr>
        <w:t xml:space="preserve">which was </w:t>
      </w:r>
      <w:r w:rsidR="00825D9C" w:rsidRPr="003E4555">
        <w:rPr>
          <w:rFonts w:ascii="Times New Roman" w:hAnsi="Times New Roman"/>
          <w:bCs/>
          <w:sz w:val="24"/>
        </w:rPr>
        <w:t>ending on 1 Ju</w:t>
      </w:r>
      <w:r w:rsidR="00E56846" w:rsidRPr="003E4555">
        <w:rPr>
          <w:rFonts w:ascii="Times New Roman" w:hAnsi="Times New Roman"/>
          <w:bCs/>
          <w:sz w:val="24"/>
        </w:rPr>
        <w:t>ly</w:t>
      </w:r>
      <w:r w:rsidR="00825D9C" w:rsidRPr="003E4555">
        <w:rPr>
          <w:rFonts w:ascii="Times New Roman" w:hAnsi="Times New Roman"/>
          <w:bCs/>
          <w:sz w:val="24"/>
        </w:rPr>
        <w:t xml:space="preserve"> 2019.</w:t>
      </w:r>
      <w:r w:rsidR="00E56846" w:rsidRPr="003E4555">
        <w:rPr>
          <w:rFonts w:ascii="Times New Roman" w:hAnsi="Times New Roman"/>
          <w:bCs/>
          <w:sz w:val="24"/>
        </w:rPr>
        <w:t xml:space="preserve"> It follows that the lease would at least </w:t>
      </w:r>
      <w:r w:rsidR="008A00DA" w:rsidRPr="003E4555">
        <w:rPr>
          <w:rFonts w:ascii="Times New Roman" w:hAnsi="Times New Roman"/>
          <w:bCs/>
          <w:sz w:val="24"/>
        </w:rPr>
        <w:t xml:space="preserve">be </w:t>
      </w:r>
      <w:r w:rsidR="00E56846" w:rsidRPr="003E4555">
        <w:rPr>
          <w:rFonts w:ascii="Times New Roman" w:hAnsi="Times New Roman"/>
          <w:bCs/>
          <w:sz w:val="24"/>
        </w:rPr>
        <w:t>for a period</w:t>
      </w:r>
      <w:r w:rsidR="008A00DA" w:rsidRPr="003E4555">
        <w:rPr>
          <w:rFonts w:ascii="Times New Roman" w:hAnsi="Times New Roman"/>
          <w:bCs/>
          <w:sz w:val="24"/>
        </w:rPr>
        <w:t xml:space="preserve"> </w:t>
      </w:r>
      <w:r w:rsidR="00E56846" w:rsidRPr="003E4555">
        <w:rPr>
          <w:rFonts w:ascii="Times New Roman" w:hAnsi="Times New Roman"/>
          <w:bCs/>
          <w:sz w:val="24"/>
        </w:rPr>
        <w:t xml:space="preserve">of 5 years </w:t>
      </w:r>
      <w:r w:rsidR="008A00DA" w:rsidRPr="003E4555">
        <w:rPr>
          <w:rFonts w:ascii="Times New Roman" w:hAnsi="Times New Roman"/>
          <w:bCs/>
          <w:sz w:val="24"/>
        </w:rPr>
        <w:t xml:space="preserve">ending </w:t>
      </w:r>
      <w:r w:rsidR="00E56846" w:rsidRPr="003E4555">
        <w:rPr>
          <w:rFonts w:ascii="Times New Roman" w:hAnsi="Times New Roman"/>
          <w:bCs/>
          <w:sz w:val="24"/>
        </w:rPr>
        <w:t xml:space="preserve">on 31 December 2019, inclusive of 6 months termination notice. </w:t>
      </w:r>
      <w:r w:rsidR="001B5947" w:rsidRPr="003E4555">
        <w:rPr>
          <w:rFonts w:ascii="Times New Roman" w:hAnsi="Times New Roman"/>
          <w:bCs/>
          <w:sz w:val="24"/>
        </w:rPr>
        <w:t xml:space="preserve"> </w:t>
      </w:r>
    </w:p>
    <w:p w14:paraId="576A6BA2" w14:textId="6381C61D" w:rsidR="00613185" w:rsidRPr="003E4555" w:rsidRDefault="003E4555" w:rsidP="003E4555">
      <w:pPr>
        <w:spacing w:after="480" w:line="480" w:lineRule="auto"/>
        <w:rPr>
          <w:rFonts w:ascii="Times New Roman" w:hAnsi="Times New Roman"/>
          <w:bCs/>
          <w:i/>
          <w:iCs/>
          <w:sz w:val="24"/>
        </w:rPr>
      </w:pPr>
      <w:r w:rsidRPr="00613185">
        <w:rPr>
          <w:rFonts w:ascii="Times New Roman" w:hAnsi="Times New Roman"/>
          <w:bCs/>
          <w:iCs/>
          <w:sz w:val="24"/>
        </w:rPr>
        <w:t>[8]</w:t>
      </w:r>
      <w:r w:rsidRPr="00613185">
        <w:rPr>
          <w:rFonts w:ascii="Times New Roman" w:hAnsi="Times New Roman"/>
          <w:bCs/>
          <w:iCs/>
          <w:sz w:val="24"/>
        </w:rPr>
        <w:tab/>
      </w:r>
      <w:r w:rsidR="001B5947" w:rsidRPr="003E4555">
        <w:rPr>
          <w:rFonts w:ascii="Times New Roman" w:hAnsi="Times New Roman"/>
          <w:bCs/>
          <w:sz w:val="24"/>
        </w:rPr>
        <w:t xml:space="preserve">The </w:t>
      </w:r>
      <w:r w:rsidR="008A0207" w:rsidRPr="003E4555">
        <w:rPr>
          <w:rFonts w:ascii="Times New Roman" w:hAnsi="Times New Roman"/>
          <w:bCs/>
          <w:sz w:val="24"/>
        </w:rPr>
        <w:t xml:space="preserve">period of 5 years having passed the </w:t>
      </w:r>
      <w:r w:rsidR="001B5947" w:rsidRPr="003E4555">
        <w:rPr>
          <w:rFonts w:ascii="Times New Roman" w:hAnsi="Times New Roman"/>
          <w:bCs/>
          <w:sz w:val="24"/>
        </w:rPr>
        <w:t xml:space="preserve">applicant notified the respondent in writing on 4 February 2020 that the </w:t>
      </w:r>
      <w:r w:rsidR="008A00DA" w:rsidRPr="003E4555">
        <w:rPr>
          <w:rFonts w:ascii="Times New Roman" w:hAnsi="Times New Roman"/>
          <w:bCs/>
          <w:sz w:val="24"/>
        </w:rPr>
        <w:t>l</w:t>
      </w:r>
      <w:r w:rsidR="001B5947" w:rsidRPr="003E4555">
        <w:rPr>
          <w:rFonts w:ascii="Times New Roman" w:hAnsi="Times New Roman"/>
          <w:bCs/>
          <w:sz w:val="24"/>
        </w:rPr>
        <w:t>ease agreement expired on 31 December 2019</w:t>
      </w:r>
      <w:r w:rsidR="001B5947">
        <w:rPr>
          <w:rStyle w:val="FootnoteReference"/>
          <w:rFonts w:ascii="Times New Roman" w:hAnsi="Times New Roman"/>
          <w:bCs/>
          <w:sz w:val="24"/>
        </w:rPr>
        <w:footnoteReference w:id="6"/>
      </w:r>
      <w:r w:rsidR="001B5947" w:rsidRPr="003E4555">
        <w:rPr>
          <w:rFonts w:ascii="Times New Roman" w:hAnsi="Times New Roman"/>
          <w:bCs/>
          <w:sz w:val="24"/>
        </w:rPr>
        <w:t xml:space="preserve"> and </w:t>
      </w:r>
      <w:r w:rsidR="001B5947" w:rsidRPr="003E4555">
        <w:rPr>
          <w:rFonts w:ascii="Times New Roman" w:hAnsi="Times New Roman"/>
          <w:bCs/>
          <w:sz w:val="24"/>
        </w:rPr>
        <w:lastRenderedPageBreak/>
        <w:t xml:space="preserve">a common law month to month lease agreement kicked in though on the same terms and conditions as they are in the </w:t>
      </w:r>
      <w:r w:rsidR="008A00DA" w:rsidRPr="003E4555">
        <w:rPr>
          <w:rFonts w:ascii="Times New Roman" w:hAnsi="Times New Roman"/>
          <w:bCs/>
          <w:sz w:val="24"/>
        </w:rPr>
        <w:t>said expired</w:t>
      </w:r>
      <w:r w:rsidR="001B5947" w:rsidRPr="003E4555">
        <w:rPr>
          <w:rFonts w:ascii="Times New Roman" w:hAnsi="Times New Roman"/>
          <w:bCs/>
          <w:sz w:val="24"/>
        </w:rPr>
        <w:t xml:space="preserve"> lease agreement.  </w:t>
      </w:r>
    </w:p>
    <w:p w14:paraId="693D0D34" w14:textId="493EDE77" w:rsidR="00757BF4" w:rsidRPr="003E4555" w:rsidRDefault="003E4555" w:rsidP="003E4555">
      <w:pPr>
        <w:spacing w:after="480" w:line="480" w:lineRule="auto"/>
        <w:rPr>
          <w:rFonts w:ascii="Times New Roman" w:hAnsi="Times New Roman"/>
          <w:bCs/>
          <w:i/>
          <w:iCs/>
          <w:sz w:val="24"/>
        </w:rPr>
      </w:pPr>
      <w:r w:rsidRPr="00757BF4">
        <w:rPr>
          <w:rFonts w:ascii="Times New Roman" w:hAnsi="Times New Roman"/>
          <w:bCs/>
          <w:iCs/>
          <w:sz w:val="24"/>
        </w:rPr>
        <w:t>[9]</w:t>
      </w:r>
      <w:r w:rsidRPr="00757BF4">
        <w:rPr>
          <w:rFonts w:ascii="Times New Roman" w:hAnsi="Times New Roman"/>
          <w:bCs/>
          <w:iCs/>
          <w:sz w:val="24"/>
        </w:rPr>
        <w:tab/>
      </w:r>
      <w:r w:rsidR="001B5947" w:rsidRPr="003E4555">
        <w:rPr>
          <w:rFonts w:ascii="Times New Roman" w:hAnsi="Times New Roman"/>
          <w:bCs/>
          <w:sz w:val="24"/>
        </w:rPr>
        <w:t xml:space="preserve">The applicant further informed the respondent in writing on 9 October 2020 that the fixed lease agreement would not be renewed and further that the notice to terminate the lease would be furnished in due course </w:t>
      </w:r>
      <w:r w:rsidR="007D7C28" w:rsidRPr="003E4555">
        <w:rPr>
          <w:rFonts w:ascii="Times New Roman" w:hAnsi="Times New Roman"/>
          <w:bCs/>
          <w:sz w:val="24"/>
        </w:rPr>
        <w:t xml:space="preserve">at which time </w:t>
      </w:r>
      <w:r w:rsidR="001B5947" w:rsidRPr="003E4555">
        <w:rPr>
          <w:rFonts w:ascii="Times New Roman" w:hAnsi="Times New Roman"/>
          <w:bCs/>
          <w:sz w:val="24"/>
        </w:rPr>
        <w:t xml:space="preserve">the respondent’s operations would have to be brought to a close. </w:t>
      </w:r>
    </w:p>
    <w:p w14:paraId="14F17B20" w14:textId="4D99A748" w:rsidR="00BF037A" w:rsidRPr="003E4555" w:rsidRDefault="003E4555" w:rsidP="003E4555">
      <w:pPr>
        <w:spacing w:after="480" w:line="480" w:lineRule="auto"/>
        <w:rPr>
          <w:rFonts w:ascii="Times New Roman" w:hAnsi="Times New Roman"/>
          <w:bCs/>
          <w:i/>
          <w:iCs/>
          <w:sz w:val="24"/>
        </w:rPr>
      </w:pPr>
      <w:r w:rsidRPr="003A75A3">
        <w:rPr>
          <w:rFonts w:ascii="Times New Roman" w:hAnsi="Times New Roman"/>
          <w:bCs/>
          <w:iCs/>
          <w:sz w:val="24"/>
        </w:rPr>
        <w:t>[10]</w:t>
      </w:r>
      <w:r w:rsidRPr="003A75A3">
        <w:rPr>
          <w:rFonts w:ascii="Times New Roman" w:hAnsi="Times New Roman"/>
          <w:bCs/>
          <w:iCs/>
          <w:sz w:val="24"/>
        </w:rPr>
        <w:tab/>
      </w:r>
      <w:r w:rsidR="00825D9C" w:rsidRPr="003E4555">
        <w:rPr>
          <w:rFonts w:ascii="Times New Roman" w:hAnsi="Times New Roman"/>
          <w:bCs/>
          <w:sz w:val="24"/>
        </w:rPr>
        <w:t xml:space="preserve">The applicant </w:t>
      </w:r>
      <w:r w:rsidR="001B5947" w:rsidRPr="003E4555">
        <w:rPr>
          <w:rFonts w:ascii="Times New Roman" w:hAnsi="Times New Roman"/>
          <w:bCs/>
          <w:sz w:val="24"/>
        </w:rPr>
        <w:t xml:space="preserve">delivered </w:t>
      </w:r>
      <w:r w:rsidR="007B3D6B" w:rsidRPr="003E4555">
        <w:rPr>
          <w:rFonts w:ascii="Times New Roman" w:hAnsi="Times New Roman"/>
          <w:bCs/>
          <w:sz w:val="24"/>
        </w:rPr>
        <w:t xml:space="preserve">a notice of termination </w:t>
      </w:r>
      <w:r w:rsidR="001B5947" w:rsidRPr="003E4555">
        <w:rPr>
          <w:rFonts w:ascii="Times New Roman" w:hAnsi="Times New Roman"/>
          <w:bCs/>
          <w:sz w:val="24"/>
        </w:rPr>
        <w:t xml:space="preserve">to the </w:t>
      </w:r>
      <w:r w:rsidR="00825D9C" w:rsidRPr="003E4555">
        <w:rPr>
          <w:rFonts w:ascii="Times New Roman" w:hAnsi="Times New Roman"/>
          <w:bCs/>
          <w:sz w:val="24"/>
        </w:rPr>
        <w:t>respondent on 11 June 2021</w:t>
      </w:r>
      <w:r w:rsidR="00BE17FE" w:rsidRPr="003E4555">
        <w:rPr>
          <w:rFonts w:ascii="Times New Roman" w:hAnsi="Times New Roman"/>
          <w:bCs/>
          <w:sz w:val="24"/>
        </w:rPr>
        <w:t xml:space="preserve"> </w:t>
      </w:r>
      <w:r w:rsidR="003A75A3" w:rsidRPr="003E4555">
        <w:rPr>
          <w:rFonts w:ascii="Times New Roman" w:hAnsi="Times New Roman"/>
          <w:bCs/>
          <w:sz w:val="24"/>
        </w:rPr>
        <w:t>and demanded respondent to vacate the premises on or before 10</w:t>
      </w:r>
      <w:r w:rsidR="00BE17FE" w:rsidRPr="003E4555">
        <w:rPr>
          <w:rFonts w:ascii="Times New Roman" w:hAnsi="Times New Roman"/>
          <w:bCs/>
          <w:sz w:val="24"/>
        </w:rPr>
        <w:t xml:space="preserve"> December 2021</w:t>
      </w:r>
      <w:r w:rsidR="008111C5" w:rsidRPr="003E4555">
        <w:rPr>
          <w:rFonts w:ascii="Times New Roman" w:hAnsi="Times New Roman"/>
          <w:bCs/>
          <w:sz w:val="24"/>
        </w:rPr>
        <w:t>.</w:t>
      </w:r>
      <w:r w:rsidR="003C4ECF" w:rsidRPr="003E4555">
        <w:rPr>
          <w:rFonts w:ascii="Times New Roman" w:hAnsi="Times New Roman"/>
          <w:bCs/>
          <w:sz w:val="24"/>
        </w:rPr>
        <w:t xml:space="preserve"> The </w:t>
      </w:r>
      <w:r w:rsidR="00613185" w:rsidRPr="003E4555">
        <w:rPr>
          <w:rFonts w:ascii="Times New Roman" w:hAnsi="Times New Roman"/>
          <w:bCs/>
          <w:sz w:val="24"/>
        </w:rPr>
        <w:t>respondent replied thereto through its attorneys</w:t>
      </w:r>
      <w:r w:rsidR="00613185">
        <w:rPr>
          <w:rStyle w:val="FootnoteReference"/>
          <w:rFonts w:ascii="Times New Roman" w:hAnsi="Times New Roman"/>
          <w:bCs/>
          <w:sz w:val="24"/>
        </w:rPr>
        <w:footnoteReference w:id="7"/>
      </w:r>
      <w:r w:rsidR="00613185" w:rsidRPr="003E4555">
        <w:rPr>
          <w:rFonts w:ascii="Times New Roman" w:hAnsi="Times New Roman"/>
          <w:bCs/>
          <w:sz w:val="24"/>
        </w:rPr>
        <w:t xml:space="preserve"> </w:t>
      </w:r>
      <w:r w:rsidR="007D7C28" w:rsidRPr="003E4555">
        <w:rPr>
          <w:rFonts w:ascii="Times New Roman" w:hAnsi="Times New Roman"/>
          <w:bCs/>
          <w:sz w:val="24"/>
        </w:rPr>
        <w:t xml:space="preserve">on 5 August 2021 </w:t>
      </w:r>
      <w:r w:rsidR="00613185" w:rsidRPr="003E4555">
        <w:rPr>
          <w:rFonts w:ascii="Times New Roman" w:hAnsi="Times New Roman"/>
          <w:bCs/>
          <w:sz w:val="24"/>
        </w:rPr>
        <w:t>that a dispute in terms of section 12B of the P</w:t>
      </w:r>
      <w:r w:rsidR="00155C58" w:rsidRPr="003E4555">
        <w:rPr>
          <w:rFonts w:ascii="Times New Roman" w:hAnsi="Times New Roman"/>
          <w:bCs/>
          <w:sz w:val="24"/>
        </w:rPr>
        <w:t xml:space="preserve">etroleum </w:t>
      </w:r>
      <w:r w:rsidR="00613185" w:rsidRPr="003E4555">
        <w:rPr>
          <w:rFonts w:ascii="Times New Roman" w:hAnsi="Times New Roman"/>
          <w:bCs/>
          <w:sz w:val="24"/>
        </w:rPr>
        <w:t>P</w:t>
      </w:r>
      <w:r w:rsidR="00155C58" w:rsidRPr="003E4555">
        <w:rPr>
          <w:rFonts w:ascii="Times New Roman" w:hAnsi="Times New Roman"/>
          <w:bCs/>
          <w:sz w:val="24"/>
        </w:rPr>
        <w:t xml:space="preserve">roducts </w:t>
      </w:r>
      <w:r w:rsidR="00613185" w:rsidRPr="003E4555">
        <w:rPr>
          <w:rFonts w:ascii="Times New Roman" w:hAnsi="Times New Roman"/>
          <w:bCs/>
          <w:sz w:val="24"/>
        </w:rPr>
        <w:t>A</w:t>
      </w:r>
      <w:r w:rsidR="00155C58" w:rsidRPr="003E4555">
        <w:rPr>
          <w:rFonts w:ascii="Times New Roman" w:hAnsi="Times New Roman"/>
          <w:bCs/>
          <w:sz w:val="24"/>
        </w:rPr>
        <w:t>ct 120 of 1977 (</w:t>
      </w:r>
      <w:r w:rsidR="00155C58" w:rsidRPr="003E4555">
        <w:rPr>
          <w:rFonts w:ascii="Times New Roman" w:hAnsi="Times New Roman"/>
          <w:bCs/>
          <w:i/>
          <w:iCs/>
          <w:sz w:val="24"/>
        </w:rPr>
        <w:t>PPA</w:t>
      </w:r>
      <w:r w:rsidR="00155C58" w:rsidRPr="003E4555">
        <w:rPr>
          <w:rFonts w:ascii="Times New Roman" w:hAnsi="Times New Roman"/>
          <w:bCs/>
          <w:sz w:val="24"/>
        </w:rPr>
        <w:t>)</w:t>
      </w:r>
      <w:r w:rsidR="00E56846" w:rsidRPr="003E4555">
        <w:rPr>
          <w:rFonts w:ascii="Times New Roman" w:hAnsi="Times New Roman"/>
          <w:bCs/>
          <w:sz w:val="24"/>
        </w:rPr>
        <w:t xml:space="preserve"> would have to be adjudicated first.</w:t>
      </w:r>
      <w:r w:rsidR="00613185" w:rsidRPr="003E4555">
        <w:rPr>
          <w:rFonts w:ascii="Times New Roman" w:hAnsi="Times New Roman"/>
          <w:bCs/>
          <w:sz w:val="24"/>
        </w:rPr>
        <w:t xml:space="preserve"> </w:t>
      </w:r>
      <w:r w:rsidR="00155C58" w:rsidRPr="003E4555">
        <w:rPr>
          <w:rFonts w:ascii="Times New Roman" w:hAnsi="Times New Roman"/>
          <w:bCs/>
          <w:sz w:val="24"/>
        </w:rPr>
        <w:t xml:space="preserve">Further that it is unfair and unreasonable to terminate </w:t>
      </w:r>
      <w:r w:rsidR="008A00DA" w:rsidRPr="003E4555">
        <w:rPr>
          <w:rFonts w:ascii="Times New Roman" w:hAnsi="Times New Roman"/>
          <w:bCs/>
          <w:sz w:val="24"/>
        </w:rPr>
        <w:t xml:space="preserve">the lease agreement </w:t>
      </w:r>
      <w:r w:rsidR="00155C58" w:rsidRPr="003E4555">
        <w:rPr>
          <w:rFonts w:ascii="Times New Roman" w:hAnsi="Times New Roman"/>
          <w:bCs/>
          <w:sz w:val="24"/>
        </w:rPr>
        <w:t>without compensating the respondent for the business and goodwill. The respondent therefore demanded a fair and market related consideration or a renewal of the lease for a period of 5 years.</w:t>
      </w:r>
      <w:r w:rsidR="00613185" w:rsidRPr="003E4555">
        <w:rPr>
          <w:rFonts w:ascii="Times New Roman" w:hAnsi="Times New Roman"/>
          <w:bCs/>
          <w:sz w:val="24"/>
        </w:rPr>
        <w:t xml:space="preserve"> </w:t>
      </w:r>
    </w:p>
    <w:p w14:paraId="1B89B8D6" w14:textId="596B325A" w:rsidR="007B3D6B" w:rsidRPr="003E4555" w:rsidRDefault="003E4555" w:rsidP="003E4555">
      <w:pPr>
        <w:spacing w:after="480" w:line="480" w:lineRule="auto"/>
        <w:rPr>
          <w:rFonts w:ascii="Times New Roman" w:hAnsi="Times New Roman"/>
          <w:bCs/>
          <w:i/>
          <w:iCs/>
          <w:sz w:val="24"/>
        </w:rPr>
      </w:pPr>
      <w:r w:rsidRPr="007B3D6B">
        <w:rPr>
          <w:rFonts w:ascii="Times New Roman" w:hAnsi="Times New Roman"/>
          <w:bCs/>
          <w:iCs/>
          <w:sz w:val="24"/>
        </w:rPr>
        <w:t>[11]</w:t>
      </w:r>
      <w:r w:rsidRPr="007B3D6B">
        <w:rPr>
          <w:rFonts w:ascii="Times New Roman" w:hAnsi="Times New Roman"/>
          <w:bCs/>
          <w:iCs/>
          <w:sz w:val="24"/>
        </w:rPr>
        <w:tab/>
      </w:r>
      <w:r w:rsidR="00F676FC" w:rsidRPr="003E4555">
        <w:rPr>
          <w:rFonts w:ascii="Times New Roman" w:hAnsi="Times New Roman"/>
          <w:bCs/>
          <w:sz w:val="24"/>
        </w:rPr>
        <w:t xml:space="preserve">The referral </w:t>
      </w:r>
      <w:r w:rsidR="00155C58" w:rsidRPr="003E4555">
        <w:rPr>
          <w:rFonts w:ascii="Times New Roman" w:hAnsi="Times New Roman"/>
          <w:bCs/>
          <w:sz w:val="24"/>
        </w:rPr>
        <w:t xml:space="preserve">for arbitration </w:t>
      </w:r>
      <w:r w:rsidR="00F676FC" w:rsidRPr="003E4555">
        <w:rPr>
          <w:rFonts w:ascii="Times New Roman" w:hAnsi="Times New Roman"/>
          <w:bCs/>
          <w:sz w:val="24"/>
        </w:rPr>
        <w:t xml:space="preserve">was served on the applicant on </w:t>
      </w:r>
      <w:r w:rsidR="003A75A3" w:rsidRPr="003E4555">
        <w:rPr>
          <w:rFonts w:ascii="Times New Roman" w:hAnsi="Times New Roman"/>
          <w:bCs/>
          <w:sz w:val="24"/>
        </w:rPr>
        <w:t>22 October 2021</w:t>
      </w:r>
      <w:r w:rsidR="00155C58" w:rsidRPr="003E4555">
        <w:rPr>
          <w:rFonts w:ascii="Times New Roman" w:hAnsi="Times New Roman"/>
          <w:bCs/>
          <w:sz w:val="24"/>
        </w:rPr>
        <w:t xml:space="preserve"> in which the r</w:t>
      </w:r>
      <w:r w:rsidR="00F676FC" w:rsidRPr="003E4555">
        <w:rPr>
          <w:rFonts w:ascii="Times New Roman" w:hAnsi="Times New Roman"/>
          <w:bCs/>
          <w:sz w:val="24"/>
        </w:rPr>
        <w:t xml:space="preserve">espondent alleged that the applicant’s conduct constituted unfair and unreasonable contractual conduct as reasonable expectation for the renewal of the lease was created and further that the termination prevented the respondent from selling its business. </w:t>
      </w:r>
    </w:p>
    <w:p w14:paraId="2072DE65" w14:textId="31591DFC" w:rsidR="003A75A3" w:rsidRPr="003E4555" w:rsidRDefault="003E4555" w:rsidP="003E4555">
      <w:pPr>
        <w:spacing w:after="480" w:line="480" w:lineRule="auto"/>
        <w:rPr>
          <w:rFonts w:ascii="Times New Roman" w:hAnsi="Times New Roman"/>
          <w:bCs/>
          <w:i/>
          <w:iCs/>
          <w:sz w:val="24"/>
        </w:rPr>
      </w:pPr>
      <w:r w:rsidRPr="004C77D0">
        <w:rPr>
          <w:rFonts w:ascii="Times New Roman" w:hAnsi="Times New Roman"/>
          <w:bCs/>
          <w:iCs/>
          <w:sz w:val="24"/>
        </w:rPr>
        <w:t>[12]</w:t>
      </w:r>
      <w:r w:rsidRPr="004C77D0">
        <w:rPr>
          <w:rFonts w:ascii="Times New Roman" w:hAnsi="Times New Roman"/>
          <w:bCs/>
          <w:iCs/>
          <w:sz w:val="24"/>
        </w:rPr>
        <w:tab/>
      </w:r>
      <w:r w:rsidR="004C77D0" w:rsidRPr="003E4555">
        <w:rPr>
          <w:rFonts w:ascii="Times New Roman" w:hAnsi="Times New Roman"/>
          <w:bCs/>
          <w:sz w:val="24"/>
        </w:rPr>
        <w:t xml:space="preserve">The respondent having refused to vacate the </w:t>
      </w:r>
      <w:r w:rsidR="00757BF4" w:rsidRPr="003E4555">
        <w:rPr>
          <w:rFonts w:ascii="Times New Roman" w:hAnsi="Times New Roman"/>
          <w:bCs/>
          <w:sz w:val="24"/>
        </w:rPr>
        <w:t xml:space="preserve">premises </w:t>
      </w:r>
      <w:r w:rsidR="007B3D6B" w:rsidRPr="003E4555">
        <w:rPr>
          <w:rFonts w:ascii="Times New Roman" w:hAnsi="Times New Roman"/>
          <w:bCs/>
          <w:sz w:val="24"/>
        </w:rPr>
        <w:t>on 10 December 2021</w:t>
      </w:r>
      <w:r w:rsidR="008A00DA" w:rsidRPr="003E4555">
        <w:rPr>
          <w:rFonts w:ascii="Times New Roman" w:hAnsi="Times New Roman"/>
          <w:bCs/>
          <w:sz w:val="24"/>
        </w:rPr>
        <w:t>,</w:t>
      </w:r>
      <w:r w:rsidR="007B3D6B" w:rsidRPr="003E4555">
        <w:rPr>
          <w:rFonts w:ascii="Times New Roman" w:hAnsi="Times New Roman"/>
          <w:bCs/>
          <w:sz w:val="24"/>
        </w:rPr>
        <w:t xml:space="preserve"> </w:t>
      </w:r>
      <w:r w:rsidR="008A0207" w:rsidRPr="003E4555">
        <w:rPr>
          <w:rFonts w:ascii="Times New Roman" w:hAnsi="Times New Roman"/>
          <w:bCs/>
          <w:sz w:val="24"/>
        </w:rPr>
        <w:t>as per notice of termination</w:t>
      </w:r>
      <w:r w:rsidR="008A00DA" w:rsidRPr="003E4555">
        <w:rPr>
          <w:rFonts w:ascii="Times New Roman" w:hAnsi="Times New Roman"/>
          <w:bCs/>
          <w:sz w:val="24"/>
        </w:rPr>
        <w:t>,</w:t>
      </w:r>
      <w:r w:rsidR="008A0207" w:rsidRPr="003E4555">
        <w:rPr>
          <w:rFonts w:ascii="Times New Roman" w:hAnsi="Times New Roman"/>
          <w:bCs/>
          <w:sz w:val="24"/>
        </w:rPr>
        <w:t xml:space="preserve"> </w:t>
      </w:r>
      <w:r w:rsidR="00757BF4" w:rsidRPr="003E4555">
        <w:rPr>
          <w:rFonts w:ascii="Times New Roman" w:hAnsi="Times New Roman"/>
          <w:bCs/>
          <w:sz w:val="24"/>
        </w:rPr>
        <w:t xml:space="preserve">the </w:t>
      </w:r>
      <w:r w:rsidR="004C77D0" w:rsidRPr="003E4555">
        <w:rPr>
          <w:rFonts w:ascii="Times New Roman" w:hAnsi="Times New Roman"/>
          <w:bCs/>
          <w:sz w:val="24"/>
        </w:rPr>
        <w:t>applicant launched this proceedings on 12 January 2022.</w:t>
      </w:r>
      <w:r w:rsidR="00155C58" w:rsidRPr="003E4555">
        <w:rPr>
          <w:rFonts w:ascii="Times New Roman" w:hAnsi="Times New Roman"/>
          <w:bCs/>
          <w:sz w:val="24"/>
        </w:rPr>
        <w:t xml:space="preserve"> </w:t>
      </w:r>
    </w:p>
    <w:p w14:paraId="1CFF9846" w14:textId="7D6C9DFF" w:rsidR="004C77D0" w:rsidRPr="003E4555" w:rsidRDefault="003E4555" w:rsidP="003E4555">
      <w:pPr>
        <w:spacing w:after="480" w:line="480" w:lineRule="auto"/>
        <w:rPr>
          <w:rFonts w:ascii="Times New Roman" w:hAnsi="Times New Roman"/>
          <w:bCs/>
          <w:i/>
          <w:iCs/>
          <w:sz w:val="24"/>
        </w:rPr>
      </w:pPr>
      <w:r w:rsidRPr="00A113D2">
        <w:rPr>
          <w:rFonts w:ascii="Times New Roman" w:hAnsi="Times New Roman"/>
          <w:bCs/>
          <w:iCs/>
          <w:sz w:val="24"/>
        </w:rPr>
        <w:lastRenderedPageBreak/>
        <w:t>[13]</w:t>
      </w:r>
      <w:r w:rsidRPr="00A113D2">
        <w:rPr>
          <w:rFonts w:ascii="Times New Roman" w:hAnsi="Times New Roman"/>
          <w:bCs/>
          <w:iCs/>
          <w:sz w:val="24"/>
        </w:rPr>
        <w:tab/>
      </w:r>
      <w:r w:rsidR="004C77D0" w:rsidRPr="003E4555">
        <w:rPr>
          <w:rFonts w:ascii="Times New Roman" w:hAnsi="Times New Roman"/>
          <w:bCs/>
          <w:sz w:val="24"/>
        </w:rPr>
        <w:t xml:space="preserve">The respondent </w:t>
      </w:r>
      <w:r w:rsidR="007B3D6B" w:rsidRPr="003E4555">
        <w:rPr>
          <w:rFonts w:ascii="Times New Roman" w:hAnsi="Times New Roman"/>
          <w:bCs/>
          <w:sz w:val="24"/>
        </w:rPr>
        <w:t xml:space="preserve">avers that it </w:t>
      </w:r>
      <w:r w:rsidR="004C77D0" w:rsidRPr="003E4555">
        <w:rPr>
          <w:rFonts w:ascii="Times New Roman" w:hAnsi="Times New Roman"/>
          <w:bCs/>
          <w:sz w:val="24"/>
        </w:rPr>
        <w:t>acquired the fuel retail business f</w:t>
      </w:r>
      <w:r w:rsidR="007B3D6B" w:rsidRPr="003E4555">
        <w:rPr>
          <w:rFonts w:ascii="Times New Roman" w:hAnsi="Times New Roman"/>
          <w:bCs/>
          <w:sz w:val="24"/>
        </w:rPr>
        <w:t>rom</w:t>
      </w:r>
      <w:r w:rsidR="004C77D0" w:rsidRPr="003E4555">
        <w:rPr>
          <w:rFonts w:ascii="Times New Roman" w:hAnsi="Times New Roman"/>
          <w:bCs/>
          <w:sz w:val="24"/>
        </w:rPr>
        <w:t xml:space="preserve"> the previous operator and ha</w:t>
      </w:r>
      <w:r w:rsidR="007B3D6B" w:rsidRPr="003E4555">
        <w:rPr>
          <w:rFonts w:ascii="Times New Roman" w:hAnsi="Times New Roman"/>
          <w:bCs/>
          <w:sz w:val="24"/>
        </w:rPr>
        <w:t>d</w:t>
      </w:r>
      <w:r w:rsidR="004C77D0" w:rsidRPr="003E4555">
        <w:rPr>
          <w:rFonts w:ascii="Times New Roman" w:hAnsi="Times New Roman"/>
          <w:bCs/>
          <w:sz w:val="24"/>
        </w:rPr>
        <w:t xml:space="preserve"> paid 5,7 million </w:t>
      </w:r>
      <w:r w:rsidR="00E56846" w:rsidRPr="003E4555">
        <w:rPr>
          <w:rFonts w:ascii="Times New Roman" w:hAnsi="Times New Roman"/>
          <w:bCs/>
          <w:sz w:val="24"/>
        </w:rPr>
        <w:t xml:space="preserve">rand </w:t>
      </w:r>
      <w:r w:rsidR="004C77D0" w:rsidRPr="003E4555">
        <w:rPr>
          <w:rFonts w:ascii="Times New Roman" w:hAnsi="Times New Roman"/>
          <w:bCs/>
          <w:sz w:val="24"/>
        </w:rPr>
        <w:t xml:space="preserve">for its goodwill. </w:t>
      </w:r>
      <w:r w:rsidR="007D7C28" w:rsidRPr="003E4555">
        <w:rPr>
          <w:rFonts w:ascii="Times New Roman" w:hAnsi="Times New Roman"/>
          <w:bCs/>
          <w:sz w:val="24"/>
        </w:rPr>
        <w:t>In support hereof the respondent attached</w:t>
      </w:r>
      <w:r w:rsidR="0093140C" w:rsidRPr="003E4555">
        <w:rPr>
          <w:rFonts w:ascii="Times New Roman" w:hAnsi="Times New Roman"/>
          <w:bCs/>
          <w:sz w:val="24"/>
        </w:rPr>
        <w:t xml:space="preserve"> </w:t>
      </w:r>
      <w:r w:rsidR="0093140C" w:rsidRPr="003E4555">
        <w:rPr>
          <w:rFonts w:ascii="Times New Roman" w:hAnsi="Times New Roman"/>
          <w:bCs/>
          <w:i/>
          <w:iCs/>
          <w:sz w:val="24"/>
        </w:rPr>
        <w:t>‘documents titled Kensington Site Change Over’</w:t>
      </w:r>
      <w:r w:rsidR="0093140C">
        <w:rPr>
          <w:rStyle w:val="FootnoteReference"/>
          <w:rFonts w:ascii="Times New Roman" w:hAnsi="Times New Roman"/>
          <w:bCs/>
          <w:i/>
          <w:iCs/>
          <w:sz w:val="24"/>
        </w:rPr>
        <w:footnoteReference w:id="8"/>
      </w:r>
      <w:r w:rsidR="0093140C" w:rsidRPr="003E4555">
        <w:rPr>
          <w:rFonts w:ascii="Times New Roman" w:hAnsi="Times New Roman"/>
          <w:bCs/>
          <w:sz w:val="24"/>
        </w:rPr>
        <w:t xml:space="preserve"> from the erstwhile retailer</w:t>
      </w:r>
      <w:r w:rsidR="007D7C28" w:rsidRPr="003E4555">
        <w:rPr>
          <w:rFonts w:ascii="Times New Roman" w:hAnsi="Times New Roman"/>
          <w:bCs/>
          <w:sz w:val="24"/>
        </w:rPr>
        <w:t xml:space="preserve"> reflecting the amount payable for the goodwill.</w:t>
      </w:r>
      <w:r w:rsidR="007D7C28">
        <w:rPr>
          <w:rStyle w:val="FootnoteReference"/>
          <w:rFonts w:ascii="Times New Roman" w:hAnsi="Times New Roman"/>
          <w:bCs/>
          <w:sz w:val="24"/>
        </w:rPr>
        <w:footnoteReference w:id="9"/>
      </w:r>
    </w:p>
    <w:p w14:paraId="1D61E690" w14:textId="3CC5C711" w:rsidR="00BE17FE" w:rsidRPr="003E4555" w:rsidRDefault="003E4555" w:rsidP="003E4555">
      <w:pPr>
        <w:spacing w:after="480" w:line="480" w:lineRule="auto"/>
        <w:rPr>
          <w:rFonts w:ascii="Times New Roman" w:hAnsi="Times New Roman"/>
          <w:bCs/>
          <w:i/>
          <w:iCs/>
          <w:sz w:val="24"/>
        </w:rPr>
      </w:pPr>
      <w:r w:rsidRPr="00BE17FE">
        <w:rPr>
          <w:rFonts w:ascii="Times New Roman" w:hAnsi="Times New Roman"/>
          <w:bCs/>
          <w:iCs/>
          <w:sz w:val="24"/>
        </w:rPr>
        <w:t>[14]</w:t>
      </w:r>
      <w:r w:rsidRPr="00BE17FE">
        <w:rPr>
          <w:rFonts w:ascii="Times New Roman" w:hAnsi="Times New Roman"/>
          <w:bCs/>
          <w:iCs/>
          <w:sz w:val="24"/>
        </w:rPr>
        <w:tab/>
      </w:r>
      <w:r w:rsidR="008111C5" w:rsidRPr="003E4555">
        <w:rPr>
          <w:rFonts w:ascii="Times New Roman" w:hAnsi="Times New Roman"/>
          <w:bCs/>
          <w:sz w:val="24"/>
        </w:rPr>
        <w:t xml:space="preserve">The respondent has in opposition of the application </w:t>
      </w:r>
      <w:r w:rsidR="00D4356E" w:rsidRPr="003E4555">
        <w:rPr>
          <w:rFonts w:ascii="Times New Roman" w:hAnsi="Times New Roman"/>
          <w:bCs/>
          <w:sz w:val="24"/>
        </w:rPr>
        <w:t xml:space="preserve">for the eviction </w:t>
      </w:r>
      <w:r w:rsidR="008111C5" w:rsidRPr="003E4555">
        <w:rPr>
          <w:rFonts w:ascii="Times New Roman" w:hAnsi="Times New Roman"/>
          <w:bCs/>
          <w:sz w:val="24"/>
        </w:rPr>
        <w:t xml:space="preserve">raised the </w:t>
      </w:r>
      <w:r w:rsidR="00E56846" w:rsidRPr="003E4555">
        <w:rPr>
          <w:rFonts w:ascii="Times New Roman" w:hAnsi="Times New Roman"/>
          <w:bCs/>
          <w:sz w:val="24"/>
        </w:rPr>
        <w:t>following</w:t>
      </w:r>
      <w:r w:rsidR="008111C5" w:rsidRPr="003E4555">
        <w:rPr>
          <w:rFonts w:ascii="Times New Roman" w:hAnsi="Times New Roman"/>
          <w:bCs/>
          <w:sz w:val="24"/>
        </w:rPr>
        <w:t xml:space="preserve"> defences, first, that the notice of termination is defective as it was not given on the first day of the month. Secondly, that the reason for the termination of the lease was dishonest and unreasonable</w:t>
      </w:r>
      <w:r w:rsidR="0070135B" w:rsidRPr="003E4555">
        <w:rPr>
          <w:rFonts w:ascii="Times New Roman" w:hAnsi="Times New Roman"/>
          <w:bCs/>
          <w:sz w:val="24"/>
        </w:rPr>
        <w:t xml:space="preserve"> as</w:t>
      </w:r>
      <w:r w:rsidR="0093140C" w:rsidRPr="003E4555">
        <w:rPr>
          <w:rFonts w:ascii="Times New Roman" w:hAnsi="Times New Roman"/>
          <w:bCs/>
          <w:sz w:val="24"/>
        </w:rPr>
        <w:t xml:space="preserve"> it was on the premises that the Oblix refuses to extend the applicant’s lease whereas the said lease was extended till 2029</w:t>
      </w:r>
      <w:r w:rsidR="008111C5" w:rsidRPr="003E4555">
        <w:rPr>
          <w:rFonts w:ascii="Times New Roman" w:hAnsi="Times New Roman"/>
          <w:bCs/>
          <w:sz w:val="24"/>
        </w:rPr>
        <w:t xml:space="preserve">. Thirdly, that the respondent had a right of </w:t>
      </w:r>
      <w:r w:rsidR="008A00DA" w:rsidRPr="003E4555">
        <w:rPr>
          <w:rFonts w:ascii="Times New Roman" w:hAnsi="Times New Roman"/>
          <w:bCs/>
          <w:sz w:val="24"/>
        </w:rPr>
        <w:t xml:space="preserve">first </w:t>
      </w:r>
      <w:r w:rsidR="008111C5" w:rsidRPr="003E4555">
        <w:rPr>
          <w:rFonts w:ascii="Times New Roman" w:hAnsi="Times New Roman"/>
          <w:bCs/>
          <w:sz w:val="24"/>
        </w:rPr>
        <w:t>refusal</w:t>
      </w:r>
      <w:r w:rsidR="003300A0" w:rsidRPr="003E4555">
        <w:rPr>
          <w:rFonts w:ascii="Times New Roman" w:hAnsi="Times New Roman"/>
          <w:bCs/>
          <w:sz w:val="24"/>
        </w:rPr>
        <w:t xml:space="preserve"> in terms of franchise agreement</w:t>
      </w:r>
      <w:r w:rsidR="008111C5" w:rsidRPr="003E4555">
        <w:rPr>
          <w:rFonts w:ascii="Times New Roman" w:hAnsi="Times New Roman"/>
          <w:bCs/>
          <w:sz w:val="24"/>
        </w:rPr>
        <w:t xml:space="preserve"> </w:t>
      </w:r>
      <w:r w:rsidR="008A00DA" w:rsidRPr="003E4555">
        <w:rPr>
          <w:rFonts w:ascii="Times New Roman" w:hAnsi="Times New Roman"/>
          <w:bCs/>
          <w:sz w:val="24"/>
        </w:rPr>
        <w:t xml:space="preserve">before </w:t>
      </w:r>
      <w:r w:rsidR="008111C5" w:rsidRPr="003E4555">
        <w:rPr>
          <w:rFonts w:ascii="Times New Roman" w:hAnsi="Times New Roman"/>
          <w:bCs/>
          <w:sz w:val="24"/>
        </w:rPr>
        <w:t>enter</w:t>
      </w:r>
      <w:r w:rsidR="008A00DA" w:rsidRPr="003E4555">
        <w:rPr>
          <w:rFonts w:ascii="Times New Roman" w:hAnsi="Times New Roman"/>
          <w:bCs/>
          <w:sz w:val="24"/>
        </w:rPr>
        <w:t>ing</w:t>
      </w:r>
      <w:r w:rsidR="008111C5" w:rsidRPr="003E4555">
        <w:rPr>
          <w:rFonts w:ascii="Times New Roman" w:hAnsi="Times New Roman"/>
          <w:bCs/>
          <w:sz w:val="24"/>
        </w:rPr>
        <w:t xml:space="preserve"> into a new </w:t>
      </w:r>
      <w:r w:rsidR="003300A0" w:rsidRPr="003E4555">
        <w:rPr>
          <w:rFonts w:ascii="Times New Roman" w:hAnsi="Times New Roman"/>
          <w:bCs/>
          <w:sz w:val="24"/>
        </w:rPr>
        <w:t xml:space="preserve">franchise agreement </w:t>
      </w:r>
      <w:r w:rsidR="008111C5" w:rsidRPr="003E4555">
        <w:rPr>
          <w:rFonts w:ascii="Times New Roman" w:hAnsi="Times New Roman"/>
          <w:bCs/>
          <w:sz w:val="24"/>
        </w:rPr>
        <w:t xml:space="preserve">with </w:t>
      </w:r>
      <w:r w:rsidR="003300A0" w:rsidRPr="003E4555">
        <w:rPr>
          <w:rFonts w:ascii="Times New Roman" w:hAnsi="Times New Roman"/>
          <w:bCs/>
          <w:sz w:val="24"/>
        </w:rPr>
        <w:t>a third party</w:t>
      </w:r>
      <w:r w:rsidR="008111C5" w:rsidRPr="003E4555">
        <w:rPr>
          <w:rFonts w:ascii="Times New Roman" w:hAnsi="Times New Roman"/>
          <w:bCs/>
          <w:sz w:val="24"/>
        </w:rPr>
        <w:t xml:space="preserve">. Forth, the termination deprived the respondent of the right to sell its business. </w:t>
      </w:r>
      <w:r w:rsidR="00D4356E" w:rsidRPr="003E4555">
        <w:rPr>
          <w:rFonts w:ascii="Times New Roman" w:hAnsi="Times New Roman"/>
          <w:bCs/>
          <w:sz w:val="24"/>
        </w:rPr>
        <w:t xml:space="preserve">Fifth, the respondent had reasonable expectation of the renewal of a fixed term contract. Sixth, a point </w:t>
      </w:r>
      <w:r w:rsidR="00D4356E" w:rsidRPr="003E4555">
        <w:rPr>
          <w:rFonts w:ascii="Times New Roman" w:hAnsi="Times New Roman"/>
          <w:bCs/>
          <w:i/>
          <w:iCs/>
          <w:sz w:val="24"/>
        </w:rPr>
        <w:t>in limine</w:t>
      </w:r>
      <w:r w:rsidR="00D4356E" w:rsidRPr="003E4555">
        <w:rPr>
          <w:rFonts w:ascii="Times New Roman" w:hAnsi="Times New Roman"/>
          <w:bCs/>
          <w:sz w:val="24"/>
        </w:rPr>
        <w:t xml:space="preserve"> of non-joinder of both the Salvation Army and Oblix.</w:t>
      </w:r>
    </w:p>
    <w:p w14:paraId="778A7211" w14:textId="5D062BC6" w:rsidR="00590410" w:rsidRPr="003E4555" w:rsidRDefault="003E4555" w:rsidP="003E4555">
      <w:pPr>
        <w:spacing w:after="480" w:line="480" w:lineRule="auto"/>
        <w:rPr>
          <w:rFonts w:ascii="Times New Roman" w:hAnsi="Times New Roman"/>
          <w:bCs/>
          <w:i/>
          <w:iCs/>
          <w:sz w:val="24"/>
        </w:rPr>
      </w:pPr>
      <w:r w:rsidRPr="00590410">
        <w:rPr>
          <w:rFonts w:ascii="Times New Roman" w:hAnsi="Times New Roman"/>
          <w:bCs/>
          <w:iCs/>
          <w:sz w:val="24"/>
        </w:rPr>
        <w:t>[15]</w:t>
      </w:r>
      <w:r w:rsidRPr="00590410">
        <w:rPr>
          <w:rFonts w:ascii="Times New Roman" w:hAnsi="Times New Roman"/>
          <w:bCs/>
          <w:iCs/>
          <w:sz w:val="24"/>
        </w:rPr>
        <w:tab/>
      </w:r>
      <w:r w:rsidR="00D4356E" w:rsidRPr="003E4555">
        <w:rPr>
          <w:rFonts w:ascii="Times New Roman" w:hAnsi="Times New Roman"/>
          <w:bCs/>
          <w:sz w:val="24"/>
        </w:rPr>
        <w:t>Seventh</w:t>
      </w:r>
      <w:r w:rsidR="008111C5" w:rsidRPr="003E4555">
        <w:rPr>
          <w:rFonts w:ascii="Times New Roman" w:hAnsi="Times New Roman"/>
          <w:bCs/>
          <w:sz w:val="24"/>
        </w:rPr>
        <w:t>, that the applicant had unlawfully competed with the respondent</w:t>
      </w:r>
      <w:r w:rsidR="00A113D2" w:rsidRPr="003E4555">
        <w:rPr>
          <w:rFonts w:ascii="Times New Roman" w:hAnsi="Times New Roman"/>
          <w:bCs/>
          <w:sz w:val="24"/>
        </w:rPr>
        <w:t xml:space="preserve"> by entering into a contract with O</w:t>
      </w:r>
      <w:r w:rsidR="009E7748" w:rsidRPr="003E4555">
        <w:rPr>
          <w:rFonts w:ascii="Times New Roman" w:hAnsi="Times New Roman"/>
          <w:bCs/>
          <w:sz w:val="24"/>
        </w:rPr>
        <w:t>b</w:t>
      </w:r>
      <w:r w:rsidR="00A113D2" w:rsidRPr="003E4555">
        <w:rPr>
          <w:rFonts w:ascii="Times New Roman" w:hAnsi="Times New Roman"/>
          <w:bCs/>
          <w:sz w:val="24"/>
        </w:rPr>
        <w:t xml:space="preserve">lix in contravention </w:t>
      </w:r>
      <w:r w:rsidR="00E56846" w:rsidRPr="003E4555">
        <w:rPr>
          <w:rFonts w:ascii="Times New Roman" w:hAnsi="Times New Roman"/>
          <w:bCs/>
          <w:sz w:val="24"/>
        </w:rPr>
        <w:t>of</w:t>
      </w:r>
      <w:r w:rsidR="00A113D2" w:rsidRPr="003E4555">
        <w:rPr>
          <w:rFonts w:ascii="Times New Roman" w:hAnsi="Times New Roman"/>
          <w:bCs/>
          <w:sz w:val="24"/>
        </w:rPr>
        <w:t xml:space="preserve"> clause 34 </w:t>
      </w:r>
      <w:r w:rsidR="00580D45" w:rsidRPr="003E4555">
        <w:rPr>
          <w:rFonts w:ascii="Times New Roman" w:hAnsi="Times New Roman"/>
          <w:bCs/>
          <w:sz w:val="24"/>
        </w:rPr>
        <w:t xml:space="preserve">of the lease agreement </w:t>
      </w:r>
      <w:r w:rsidR="00A113D2" w:rsidRPr="003E4555">
        <w:rPr>
          <w:rFonts w:ascii="Times New Roman" w:hAnsi="Times New Roman"/>
          <w:bCs/>
          <w:sz w:val="24"/>
        </w:rPr>
        <w:t xml:space="preserve">read with 7.4 and 7.5 of the </w:t>
      </w:r>
      <w:r w:rsidR="00580D45" w:rsidRPr="003E4555">
        <w:rPr>
          <w:rFonts w:ascii="Times New Roman" w:hAnsi="Times New Roman"/>
          <w:bCs/>
          <w:sz w:val="24"/>
        </w:rPr>
        <w:t xml:space="preserve">franchise </w:t>
      </w:r>
      <w:r w:rsidR="00A113D2" w:rsidRPr="003E4555">
        <w:rPr>
          <w:rFonts w:ascii="Times New Roman" w:hAnsi="Times New Roman"/>
          <w:bCs/>
          <w:sz w:val="24"/>
        </w:rPr>
        <w:t>agreement</w:t>
      </w:r>
      <w:r w:rsidR="008111C5" w:rsidRPr="003E4555">
        <w:rPr>
          <w:rFonts w:ascii="Times New Roman" w:hAnsi="Times New Roman"/>
          <w:bCs/>
          <w:sz w:val="24"/>
        </w:rPr>
        <w:t>.</w:t>
      </w:r>
      <w:r w:rsidR="00BE17FE" w:rsidRPr="003E4555">
        <w:rPr>
          <w:rFonts w:ascii="Times New Roman" w:hAnsi="Times New Roman"/>
          <w:bCs/>
          <w:sz w:val="24"/>
        </w:rPr>
        <w:t xml:space="preserve"> In this regard the respondent seek an order </w:t>
      </w:r>
      <w:r w:rsidR="00580D45" w:rsidRPr="003E4555">
        <w:rPr>
          <w:rFonts w:ascii="Times New Roman" w:hAnsi="Times New Roman"/>
          <w:bCs/>
          <w:sz w:val="24"/>
        </w:rPr>
        <w:t xml:space="preserve">in the counter application </w:t>
      </w:r>
      <w:r w:rsidR="00BE17FE" w:rsidRPr="003E4555">
        <w:rPr>
          <w:rFonts w:ascii="Times New Roman" w:hAnsi="Times New Roman"/>
          <w:bCs/>
          <w:sz w:val="24"/>
        </w:rPr>
        <w:t xml:space="preserve">in terms of which it </w:t>
      </w:r>
      <w:r w:rsidR="0070135B" w:rsidRPr="003E4555">
        <w:rPr>
          <w:rFonts w:ascii="Times New Roman" w:hAnsi="Times New Roman"/>
          <w:bCs/>
          <w:sz w:val="24"/>
        </w:rPr>
        <w:t>sh</w:t>
      </w:r>
      <w:r w:rsidR="00BE17FE" w:rsidRPr="003E4555">
        <w:rPr>
          <w:rFonts w:ascii="Times New Roman" w:hAnsi="Times New Roman"/>
          <w:bCs/>
          <w:sz w:val="24"/>
        </w:rPr>
        <w:t>ould be deemed to be the applicant’s nominee in terms of clause 34 and ensure that Oblix’s nominee pays the respondent an amount determined on a 36-month EBITDA basis</w:t>
      </w:r>
      <w:r w:rsidR="00580D45">
        <w:rPr>
          <w:rStyle w:val="FootnoteReference"/>
          <w:rFonts w:ascii="Times New Roman" w:hAnsi="Times New Roman"/>
          <w:bCs/>
          <w:sz w:val="24"/>
        </w:rPr>
        <w:footnoteReference w:id="10"/>
      </w:r>
      <w:r w:rsidR="00BE17FE" w:rsidRPr="003E4555">
        <w:rPr>
          <w:rFonts w:ascii="Times New Roman" w:hAnsi="Times New Roman"/>
          <w:bCs/>
          <w:sz w:val="24"/>
        </w:rPr>
        <w:t xml:space="preserve"> alternatively that the applicant be directed to pay the amount as determined on 36-m</w:t>
      </w:r>
      <w:r w:rsidR="00580D45" w:rsidRPr="003E4555">
        <w:rPr>
          <w:rFonts w:ascii="Times New Roman" w:hAnsi="Times New Roman"/>
          <w:bCs/>
          <w:sz w:val="24"/>
        </w:rPr>
        <w:t>o</w:t>
      </w:r>
      <w:r w:rsidR="00BE17FE" w:rsidRPr="003E4555">
        <w:rPr>
          <w:rFonts w:ascii="Times New Roman" w:hAnsi="Times New Roman"/>
          <w:bCs/>
          <w:sz w:val="24"/>
        </w:rPr>
        <w:t xml:space="preserve">nth EBITDA </w:t>
      </w:r>
      <w:r w:rsidR="008A0207" w:rsidRPr="003E4555">
        <w:rPr>
          <w:rFonts w:ascii="Times New Roman" w:hAnsi="Times New Roman"/>
          <w:bCs/>
          <w:sz w:val="24"/>
        </w:rPr>
        <w:t>as damages</w:t>
      </w:r>
      <w:r w:rsidR="00580D45" w:rsidRPr="003E4555">
        <w:rPr>
          <w:rFonts w:ascii="Times New Roman" w:hAnsi="Times New Roman"/>
          <w:bCs/>
          <w:sz w:val="24"/>
        </w:rPr>
        <w:t xml:space="preserve"> or </w:t>
      </w:r>
      <w:r w:rsidR="008A0207" w:rsidRPr="003E4555">
        <w:rPr>
          <w:rFonts w:ascii="Times New Roman" w:hAnsi="Times New Roman"/>
          <w:bCs/>
          <w:sz w:val="24"/>
        </w:rPr>
        <w:t xml:space="preserve">the determination thereof should be </w:t>
      </w:r>
      <w:r w:rsidR="00580D45" w:rsidRPr="003E4555">
        <w:rPr>
          <w:rFonts w:ascii="Times New Roman" w:hAnsi="Times New Roman"/>
          <w:bCs/>
          <w:sz w:val="24"/>
        </w:rPr>
        <w:t xml:space="preserve">referred </w:t>
      </w:r>
      <w:r w:rsidR="008A0207" w:rsidRPr="003E4555">
        <w:rPr>
          <w:rFonts w:ascii="Times New Roman" w:hAnsi="Times New Roman"/>
          <w:bCs/>
          <w:sz w:val="24"/>
        </w:rPr>
        <w:t>to</w:t>
      </w:r>
      <w:r w:rsidR="00580D45" w:rsidRPr="003E4555">
        <w:rPr>
          <w:rFonts w:ascii="Times New Roman" w:hAnsi="Times New Roman"/>
          <w:bCs/>
          <w:sz w:val="24"/>
        </w:rPr>
        <w:t xml:space="preserve"> oral evidence</w:t>
      </w:r>
      <w:r w:rsidR="00BE17FE" w:rsidRPr="003E4555">
        <w:rPr>
          <w:rFonts w:ascii="Times New Roman" w:hAnsi="Times New Roman"/>
          <w:bCs/>
          <w:sz w:val="24"/>
        </w:rPr>
        <w:t>.</w:t>
      </w:r>
      <w:r w:rsidR="008111C5" w:rsidRPr="003E4555">
        <w:rPr>
          <w:rFonts w:ascii="Times New Roman" w:hAnsi="Times New Roman"/>
          <w:bCs/>
          <w:sz w:val="24"/>
        </w:rPr>
        <w:t xml:space="preserve"> </w:t>
      </w:r>
    </w:p>
    <w:p w14:paraId="7F44BE84" w14:textId="1E893931" w:rsidR="00BE17FE" w:rsidRPr="003E4555" w:rsidRDefault="003E4555" w:rsidP="003E4555">
      <w:pPr>
        <w:spacing w:after="480" w:line="480" w:lineRule="auto"/>
        <w:rPr>
          <w:rFonts w:ascii="Times New Roman" w:hAnsi="Times New Roman"/>
          <w:bCs/>
          <w:i/>
          <w:iCs/>
          <w:sz w:val="24"/>
        </w:rPr>
      </w:pPr>
      <w:r w:rsidRPr="00BE17FE">
        <w:rPr>
          <w:rFonts w:ascii="Times New Roman" w:hAnsi="Times New Roman"/>
          <w:bCs/>
          <w:iCs/>
          <w:sz w:val="24"/>
        </w:rPr>
        <w:lastRenderedPageBreak/>
        <w:t>[16]</w:t>
      </w:r>
      <w:r w:rsidRPr="00BE17FE">
        <w:rPr>
          <w:rFonts w:ascii="Times New Roman" w:hAnsi="Times New Roman"/>
          <w:bCs/>
          <w:iCs/>
          <w:sz w:val="24"/>
        </w:rPr>
        <w:tab/>
      </w:r>
      <w:r w:rsidR="00590410" w:rsidRPr="003E4555">
        <w:rPr>
          <w:rFonts w:ascii="Times New Roman" w:hAnsi="Times New Roman"/>
          <w:bCs/>
          <w:sz w:val="24"/>
        </w:rPr>
        <w:t>Lastly, that the common law must be developed to include the duty of good faith and mutual cooperation in the lease agreements in</w:t>
      </w:r>
      <w:r w:rsidR="008A0207" w:rsidRPr="003E4555">
        <w:rPr>
          <w:rFonts w:ascii="Times New Roman" w:hAnsi="Times New Roman"/>
          <w:bCs/>
          <w:sz w:val="24"/>
        </w:rPr>
        <w:t xml:space="preserve"> the</w:t>
      </w:r>
      <w:r w:rsidR="00590410" w:rsidRPr="003E4555">
        <w:rPr>
          <w:rFonts w:ascii="Times New Roman" w:hAnsi="Times New Roman"/>
          <w:bCs/>
          <w:sz w:val="24"/>
        </w:rPr>
        <w:t xml:space="preserve"> </w:t>
      </w:r>
      <w:r w:rsidR="00E56846" w:rsidRPr="003E4555">
        <w:rPr>
          <w:rFonts w:ascii="Times New Roman" w:hAnsi="Times New Roman"/>
          <w:bCs/>
          <w:sz w:val="24"/>
        </w:rPr>
        <w:t xml:space="preserve">petroleum </w:t>
      </w:r>
      <w:r w:rsidR="00590410" w:rsidRPr="003E4555">
        <w:rPr>
          <w:rFonts w:ascii="Times New Roman" w:hAnsi="Times New Roman"/>
          <w:bCs/>
          <w:sz w:val="24"/>
        </w:rPr>
        <w:t>industry.</w:t>
      </w:r>
    </w:p>
    <w:p w14:paraId="5D5E44E2" w14:textId="0FDF1A1E" w:rsidR="00590410" w:rsidRPr="003E4555" w:rsidRDefault="003E4555" w:rsidP="003E4555">
      <w:pPr>
        <w:spacing w:after="480" w:line="480" w:lineRule="auto"/>
        <w:rPr>
          <w:rFonts w:ascii="Times New Roman" w:hAnsi="Times New Roman"/>
          <w:bCs/>
          <w:i/>
          <w:iCs/>
          <w:sz w:val="24"/>
        </w:rPr>
      </w:pPr>
      <w:r w:rsidRPr="00590410">
        <w:rPr>
          <w:rFonts w:ascii="Times New Roman" w:hAnsi="Times New Roman"/>
          <w:bCs/>
          <w:iCs/>
          <w:sz w:val="24"/>
        </w:rPr>
        <w:t>[17]</w:t>
      </w:r>
      <w:r w:rsidRPr="00590410">
        <w:rPr>
          <w:rFonts w:ascii="Times New Roman" w:hAnsi="Times New Roman"/>
          <w:bCs/>
          <w:iCs/>
          <w:sz w:val="24"/>
        </w:rPr>
        <w:tab/>
      </w:r>
      <w:r w:rsidR="00590410" w:rsidRPr="003E4555">
        <w:rPr>
          <w:rFonts w:ascii="Times New Roman" w:hAnsi="Times New Roman"/>
          <w:bCs/>
          <w:sz w:val="24"/>
        </w:rPr>
        <w:t xml:space="preserve">The respondent has launched a counter application in terms of which it seeks an order, </w:t>
      </w:r>
      <w:r w:rsidR="00590410" w:rsidRPr="003E4555">
        <w:rPr>
          <w:rFonts w:ascii="Times New Roman" w:hAnsi="Times New Roman"/>
          <w:bCs/>
          <w:i/>
          <w:iCs/>
          <w:sz w:val="24"/>
        </w:rPr>
        <w:t>inter alia</w:t>
      </w:r>
      <w:r w:rsidR="00590410" w:rsidRPr="003E4555">
        <w:rPr>
          <w:rFonts w:ascii="Times New Roman" w:hAnsi="Times New Roman"/>
          <w:bCs/>
          <w:sz w:val="24"/>
        </w:rPr>
        <w:t xml:space="preserve">, </w:t>
      </w:r>
      <w:r w:rsidR="0070135B" w:rsidRPr="003E4555">
        <w:rPr>
          <w:rFonts w:ascii="Times New Roman" w:hAnsi="Times New Roman"/>
          <w:bCs/>
          <w:sz w:val="24"/>
        </w:rPr>
        <w:t xml:space="preserve">to </w:t>
      </w:r>
      <w:r w:rsidR="00590410" w:rsidRPr="003E4555">
        <w:rPr>
          <w:rFonts w:ascii="Times New Roman" w:hAnsi="Times New Roman"/>
          <w:bCs/>
          <w:sz w:val="24"/>
        </w:rPr>
        <w:t xml:space="preserve">stay the </w:t>
      </w:r>
      <w:r w:rsidR="008111C5" w:rsidRPr="003E4555">
        <w:rPr>
          <w:rFonts w:ascii="Times New Roman" w:hAnsi="Times New Roman"/>
          <w:bCs/>
          <w:sz w:val="24"/>
        </w:rPr>
        <w:t xml:space="preserve">application for eviction pending the adjudication of the dispute pending </w:t>
      </w:r>
      <w:r w:rsidR="00DB5519" w:rsidRPr="003E4555">
        <w:rPr>
          <w:rFonts w:ascii="Times New Roman" w:hAnsi="Times New Roman"/>
          <w:bCs/>
          <w:sz w:val="24"/>
        </w:rPr>
        <w:t xml:space="preserve">referral to the Controller of Petroleum Products </w:t>
      </w:r>
      <w:r w:rsidR="008111C5" w:rsidRPr="003E4555">
        <w:rPr>
          <w:rFonts w:ascii="Times New Roman" w:hAnsi="Times New Roman"/>
          <w:bCs/>
          <w:sz w:val="24"/>
        </w:rPr>
        <w:t xml:space="preserve">in terms of section 12B of the </w:t>
      </w:r>
      <w:r w:rsidR="00490904" w:rsidRPr="003E4555">
        <w:rPr>
          <w:rFonts w:ascii="Times New Roman" w:hAnsi="Times New Roman"/>
          <w:bCs/>
          <w:sz w:val="24"/>
        </w:rPr>
        <w:t>PPA</w:t>
      </w:r>
      <w:r w:rsidR="006E5746" w:rsidRPr="003E4555">
        <w:rPr>
          <w:rFonts w:ascii="Times New Roman" w:hAnsi="Times New Roman"/>
          <w:bCs/>
          <w:sz w:val="24"/>
        </w:rPr>
        <w:t xml:space="preserve">, an order directing the applicant to perform in terms </w:t>
      </w:r>
      <w:r w:rsidR="006F57C9" w:rsidRPr="003E4555">
        <w:rPr>
          <w:rFonts w:ascii="Times New Roman" w:hAnsi="Times New Roman"/>
          <w:bCs/>
          <w:sz w:val="24"/>
        </w:rPr>
        <w:t xml:space="preserve">of </w:t>
      </w:r>
      <w:r w:rsidR="006E5746" w:rsidRPr="003E4555">
        <w:rPr>
          <w:rFonts w:ascii="Times New Roman" w:hAnsi="Times New Roman"/>
          <w:bCs/>
          <w:sz w:val="24"/>
        </w:rPr>
        <w:t xml:space="preserve">both franchise and lease agreements, </w:t>
      </w:r>
      <w:r w:rsidR="008A0207" w:rsidRPr="003E4555">
        <w:rPr>
          <w:rFonts w:ascii="Times New Roman" w:hAnsi="Times New Roman"/>
          <w:bCs/>
          <w:sz w:val="24"/>
        </w:rPr>
        <w:t xml:space="preserve">an </w:t>
      </w:r>
      <w:r w:rsidR="006E5746" w:rsidRPr="003E4555">
        <w:rPr>
          <w:rFonts w:ascii="Times New Roman" w:hAnsi="Times New Roman"/>
          <w:bCs/>
          <w:sz w:val="24"/>
        </w:rPr>
        <w:t>interdict</w:t>
      </w:r>
      <w:r w:rsidR="008A0207" w:rsidRPr="003E4555">
        <w:rPr>
          <w:rFonts w:ascii="Times New Roman" w:hAnsi="Times New Roman"/>
          <w:bCs/>
          <w:sz w:val="24"/>
        </w:rPr>
        <w:t xml:space="preserve"> against the applicant and Oblix for </w:t>
      </w:r>
      <w:r w:rsidR="006E5746" w:rsidRPr="003E4555">
        <w:rPr>
          <w:rFonts w:ascii="Times New Roman" w:hAnsi="Times New Roman"/>
          <w:bCs/>
          <w:sz w:val="24"/>
        </w:rPr>
        <w:t>unlawful competition, an order that the Oblix be deemed to be applicant’s nominee in terms of clause 34 of the lease agreement coupled with an order that Oblix pay the respondent amount determined on a 6-month EBITDA basis alternatively</w:t>
      </w:r>
      <w:r w:rsidR="007535AA" w:rsidRPr="003E4555">
        <w:rPr>
          <w:rFonts w:ascii="Times New Roman" w:hAnsi="Times New Roman"/>
          <w:bCs/>
          <w:sz w:val="24"/>
        </w:rPr>
        <w:t xml:space="preserve"> such payment be made</w:t>
      </w:r>
      <w:r w:rsidR="006E5746" w:rsidRPr="003E4555">
        <w:rPr>
          <w:rFonts w:ascii="Times New Roman" w:hAnsi="Times New Roman"/>
          <w:bCs/>
          <w:sz w:val="24"/>
        </w:rPr>
        <w:t xml:space="preserve"> as damages. Finally, an order that the duty of good faith and mutual cooperation be declared implied terms into Petroleum Products Franchise agreements.   </w:t>
      </w:r>
      <w:r w:rsidR="00490904" w:rsidRPr="003E4555">
        <w:rPr>
          <w:rFonts w:ascii="Times New Roman" w:hAnsi="Times New Roman"/>
          <w:bCs/>
          <w:sz w:val="24"/>
        </w:rPr>
        <w:t xml:space="preserve"> </w:t>
      </w:r>
    </w:p>
    <w:p w14:paraId="2A449211" w14:textId="335C13F0" w:rsidR="002C0259" w:rsidRPr="003E4555" w:rsidRDefault="003E4555" w:rsidP="003E4555">
      <w:pPr>
        <w:spacing w:after="480" w:line="480" w:lineRule="auto"/>
        <w:rPr>
          <w:rFonts w:ascii="Times New Roman" w:hAnsi="Times New Roman"/>
          <w:bCs/>
          <w:i/>
          <w:iCs/>
          <w:sz w:val="24"/>
        </w:rPr>
      </w:pPr>
      <w:r w:rsidRPr="002C0259">
        <w:rPr>
          <w:rFonts w:ascii="Times New Roman" w:hAnsi="Times New Roman"/>
          <w:bCs/>
          <w:iCs/>
          <w:sz w:val="24"/>
        </w:rPr>
        <w:t>[18]</w:t>
      </w:r>
      <w:r w:rsidRPr="002C0259">
        <w:rPr>
          <w:rFonts w:ascii="Times New Roman" w:hAnsi="Times New Roman"/>
          <w:bCs/>
          <w:iCs/>
          <w:sz w:val="24"/>
        </w:rPr>
        <w:tab/>
      </w:r>
      <w:r w:rsidR="00A113D2" w:rsidRPr="003E4555">
        <w:rPr>
          <w:rFonts w:ascii="Times New Roman" w:hAnsi="Times New Roman"/>
          <w:bCs/>
          <w:sz w:val="24"/>
        </w:rPr>
        <w:t>The clause</w:t>
      </w:r>
      <w:r w:rsidR="002C0259" w:rsidRPr="003E4555">
        <w:rPr>
          <w:rFonts w:ascii="Times New Roman" w:hAnsi="Times New Roman"/>
          <w:bCs/>
          <w:sz w:val="24"/>
        </w:rPr>
        <w:t>s</w:t>
      </w:r>
      <w:r w:rsidR="00580D45" w:rsidRPr="003E4555">
        <w:rPr>
          <w:rFonts w:ascii="Times New Roman" w:hAnsi="Times New Roman"/>
          <w:bCs/>
          <w:sz w:val="24"/>
        </w:rPr>
        <w:t xml:space="preserve"> in the agreements entered into be between parties which </w:t>
      </w:r>
      <w:r w:rsidR="008A0207" w:rsidRPr="003E4555">
        <w:rPr>
          <w:rFonts w:ascii="Times New Roman" w:hAnsi="Times New Roman"/>
          <w:bCs/>
          <w:sz w:val="24"/>
        </w:rPr>
        <w:t xml:space="preserve">are </w:t>
      </w:r>
      <w:r w:rsidR="00A113D2" w:rsidRPr="003E4555">
        <w:rPr>
          <w:rFonts w:ascii="Times New Roman" w:hAnsi="Times New Roman"/>
          <w:bCs/>
          <w:sz w:val="24"/>
        </w:rPr>
        <w:t xml:space="preserve">implicated in this </w:t>
      </w:r>
      <w:r w:rsidR="00A113D2" w:rsidRPr="003E4555">
        <w:rPr>
          <w:rFonts w:ascii="Times New Roman" w:hAnsi="Times New Roman"/>
          <w:bCs/>
          <w:i/>
          <w:iCs/>
          <w:sz w:val="24"/>
        </w:rPr>
        <w:t>lis</w:t>
      </w:r>
      <w:r w:rsidR="00A113D2" w:rsidRPr="003E4555">
        <w:rPr>
          <w:rFonts w:ascii="Times New Roman" w:hAnsi="Times New Roman"/>
          <w:bCs/>
          <w:sz w:val="24"/>
        </w:rPr>
        <w:t xml:space="preserve"> are</w:t>
      </w:r>
      <w:r w:rsidR="002C0259" w:rsidRPr="003E4555">
        <w:rPr>
          <w:rFonts w:ascii="Times New Roman" w:hAnsi="Times New Roman"/>
          <w:bCs/>
          <w:sz w:val="24"/>
        </w:rPr>
        <w:t xml:space="preserve"> the following:</w:t>
      </w:r>
    </w:p>
    <w:p w14:paraId="7E7787D4" w14:textId="4D426C4A" w:rsidR="009C17CD" w:rsidRPr="002C0259" w:rsidRDefault="009C17CD" w:rsidP="009C17CD">
      <w:pPr>
        <w:pStyle w:val="ListParagraph"/>
        <w:spacing w:after="480" w:line="480" w:lineRule="auto"/>
        <w:ind w:left="0"/>
        <w:contextualSpacing w:val="0"/>
        <w:rPr>
          <w:rFonts w:ascii="Times New Roman" w:hAnsi="Times New Roman"/>
          <w:bCs/>
          <w:i/>
          <w:iCs/>
          <w:sz w:val="24"/>
        </w:rPr>
      </w:pPr>
      <w:r w:rsidRPr="002C0259">
        <w:rPr>
          <w:rFonts w:ascii="Times New Roman" w:hAnsi="Times New Roman"/>
          <w:bCs/>
          <w:i/>
          <w:iCs/>
          <w:sz w:val="24"/>
        </w:rPr>
        <w:t>Lease agreement</w:t>
      </w:r>
    </w:p>
    <w:p w14:paraId="7AF51DD0" w14:textId="4D203DF8" w:rsidR="009C17CD" w:rsidRPr="003E4555" w:rsidRDefault="003E4555" w:rsidP="003E4555">
      <w:pPr>
        <w:spacing w:after="480" w:line="480" w:lineRule="auto"/>
        <w:rPr>
          <w:rFonts w:ascii="Times New Roman" w:hAnsi="Times New Roman"/>
          <w:bCs/>
          <w:i/>
          <w:iCs/>
          <w:sz w:val="24"/>
        </w:rPr>
      </w:pPr>
      <w:r w:rsidRPr="009C17CD">
        <w:rPr>
          <w:rFonts w:ascii="Times New Roman" w:hAnsi="Times New Roman"/>
          <w:bCs/>
          <w:iCs/>
          <w:sz w:val="24"/>
        </w:rPr>
        <w:t>[19]</w:t>
      </w:r>
      <w:r w:rsidRPr="009C17CD">
        <w:rPr>
          <w:rFonts w:ascii="Times New Roman" w:hAnsi="Times New Roman"/>
          <w:bCs/>
          <w:iCs/>
          <w:sz w:val="24"/>
        </w:rPr>
        <w:tab/>
      </w:r>
      <w:r w:rsidR="003F7075" w:rsidRPr="003E4555">
        <w:rPr>
          <w:rFonts w:ascii="Times New Roman" w:hAnsi="Times New Roman"/>
          <w:bCs/>
          <w:sz w:val="24"/>
        </w:rPr>
        <w:t>C</w:t>
      </w:r>
      <w:r w:rsidR="00A113D2" w:rsidRPr="003E4555">
        <w:rPr>
          <w:rFonts w:ascii="Times New Roman" w:hAnsi="Times New Roman"/>
          <w:bCs/>
          <w:sz w:val="24"/>
        </w:rPr>
        <w:t>lause 8.1.</w:t>
      </w:r>
      <w:r w:rsidR="009C17CD" w:rsidRPr="003E4555">
        <w:rPr>
          <w:rFonts w:ascii="Times New Roman" w:hAnsi="Times New Roman"/>
          <w:bCs/>
          <w:sz w:val="24"/>
        </w:rPr>
        <w:t xml:space="preserve"> which provides that </w:t>
      </w:r>
      <w:r w:rsidR="009C17CD" w:rsidRPr="003E4555">
        <w:rPr>
          <w:rFonts w:ascii="Times New Roman" w:hAnsi="Times New Roman"/>
          <w:bCs/>
          <w:i/>
          <w:iCs/>
          <w:sz w:val="24"/>
        </w:rPr>
        <w:t>‘the Lease Period means a period commencing on the commencement date … enduring until terminated by [BP] on not less than six months written notice to the [respondent], which notice may not be given less than four years and six months after the Commencement Date</w:t>
      </w:r>
      <w:r w:rsidR="009C17CD" w:rsidRPr="003E4555">
        <w:rPr>
          <w:rFonts w:ascii="Times New Roman" w:hAnsi="Times New Roman"/>
          <w:bCs/>
          <w:sz w:val="24"/>
        </w:rPr>
        <w:t>.</w:t>
      </w:r>
    </w:p>
    <w:p w14:paraId="2D46A7F4" w14:textId="217F205F" w:rsidR="009C17CD" w:rsidRPr="003E4555" w:rsidRDefault="003E4555" w:rsidP="003E4555">
      <w:pPr>
        <w:spacing w:after="480" w:line="480" w:lineRule="auto"/>
        <w:rPr>
          <w:rFonts w:ascii="Times New Roman" w:hAnsi="Times New Roman"/>
          <w:bCs/>
          <w:i/>
          <w:iCs/>
          <w:sz w:val="24"/>
        </w:rPr>
      </w:pPr>
      <w:r w:rsidRPr="009C17CD">
        <w:rPr>
          <w:rFonts w:ascii="Times New Roman" w:hAnsi="Times New Roman"/>
          <w:bCs/>
          <w:iCs/>
          <w:sz w:val="24"/>
        </w:rPr>
        <w:t>[20]</w:t>
      </w:r>
      <w:r w:rsidRPr="009C17CD">
        <w:rPr>
          <w:rFonts w:ascii="Times New Roman" w:hAnsi="Times New Roman"/>
          <w:bCs/>
          <w:iCs/>
          <w:sz w:val="24"/>
        </w:rPr>
        <w:tab/>
      </w:r>
      <w:r w:rsidR="002C0259" w:rsidRPr="003E4555">
        <w:rPr>
          <w:rFonts w:ascii="Times New Roman" w:hAnsi="Times New Roman"/>
          <w:bCs/>
          <w:sz w:val="24"/>
        </w:rPr>
        <w:t xml:space="preserve">Clause </w:t>
      </w:r>
      <w:r w:rsidR="00A113D2" w:rsidRPr="003E4555">
        <w:rPr>
          <w:rFonts w:ascii="Times New Roman" w:hAnsi="Times New Roman"/>
          <w:bCs/>
          <w:sz w:val="24"/>
        </w:rPr>
        <w:t>34</w:t>
      </w:r>
      <w:r w:rsidR="002C0259">
        <w:rPr>
          <w:rStyle w:val="FootnoteReference"/>
          <w:rFonts w:ascii="Times New Roman" w:hAnsi="Times New Roman"/>
          <w:bCs/>
          <w:sz w:val="24"/>
        </w:rPr>
        <w:footnoteReference w:id="11"/>
      </w:r>
      <w:r w:rsidR="002C0259" w:rsidRPr="003E4555">
        <w:rPr>
          <w:rFonts w:ascii="Times New Roman" w:hAnsi="Times New Roman"/>
          <w:bCs/>
          <w:sz w:val="24"/>
        </w:rPr>
        <w:t xml:space="preserve"> of the lease agreement which provides for the respondent’s right to dispose of its right in the business </w:t>
      </w:r>
      <w:r w:rsidR="008A0207" w:rsidRPr="003E4555">
        <w:rPr>
          <w:rFonts w:ascii="Times New Roman" w:hAnsi="Times New Roman"/>
          <w:bCs/>
          <w:sz w:val="24"/>
        </w:rPr>
        <w:t xml:space="preserve">to a third party </w:t>
      </w:r>
      <w:r w:rsidR="002C0259" w:rsidRPr="003E4555">
        <w:rPr>
          <w:rFonts w:ascii="Times New Roman" w:hAnsi="Times New Roman"/>
          <w:bCs/>
          <w:sz w:val="24"/>
        </w:rPr>
        <w:t>read with clause 34.4</w:t>
      </w:r>
      <w:r w:rsidR="0070135B">
        <w:rPr>
          <w:rStyle w:val="FootnoteReference"/>
          <w:rFonts w:ascii="Times New Roman" w:hAnsi="Times New Roman"/>
          <w:bCs/>
          <w:sz w:val="24"/>
        </w:rPr>
        <w:footnoteReference w:id="12"/>
      </w:r>
      <w:r w:rsidR="002C0259" w:rsidRPr="003E4555">
        <w:rPr>
          <w:rFonts w:ascii="Times New Roman" w:hAnsi="Times New Roman"/>
          <w:bCs/>
          <w:sz w:val="24"/>
        </w:rPr>
        <w:t xml:space="preserve"> which provides </w:t>
      </w:r>
      <w:r w:rsidR="002C0259" w:rsidRPr="003E4555">
        <w:rPr>
          <w:rFonts w:ascii="Times New Roman" w:hAnsi="Times New Roman"/>
          <w:bCs/>
          <w:sz w:val="24"/>
        </w:rPr>
        <w:lastRenderedPageBreak/>
        <w:t xml:space="preserve">that an interested </w:t>
      </w:r>
      <w:r w:rsidR="00B13C0A" w:rsidRPr="003E4555">
        <w:rPr>
          <w:rFonts w:ascii="Times New Roman" w:hAnsi="Times New Roman"/>
          <w:bCs/>
          <w:sz w:val="24"/>
        </w:rPr>
        <w:t xml:space="preserve">third </w:t>
      </w:r>
      <w:r w:rsidR="002C0259" w:rsidRPr="003E4555">
        <w:rPr>
          <w:rFonts w:ascii="Times New Roman" w:hAnsi="Times New Roman"/>
          <w:bCs/>
          <w:sz w:val="24"/>
        </w:rPr>
        <w:t xml:space="preserve">party </w:t>
      </w:r>
      <w:r w:rsidR="007535AA" w:rsidRPr="003E4555">
        <w:rPr>
          <w:rFonts w:ascii="Times New Roman" w:hAnsi="Times New Roman"/>
          <w:bCs/>
          <w:sz w:val="24"/>
        </w:rPr>
        <w:t xml:space="preserve">intending to buy the business </w:t>
      </w:r>
      <w:r w:rsidR="002C0259" w:rsidRPr="003E4555">
        <w:rPr>
          <w:rFonts w:ascii="Times New Roman" w:hAnsi="Times New Roman"/>
          <w:bCs/>
          <w:sz w:val="24"/>
        </w:rPr>
        <w:t>would have to make a bona fide offer.</w:t>
      </w:r>
      <w:r w:rsidR="002E53E9" w:rsidRPr="003E4555">
        <w:rPr>
          <w:rFonts w:ascii="Times New Roman" w:hAnsi="Times New Roman"/>
          <w:bCs/>
          <w:sz w:val="24"/>
        </w:rPr>
        <w:t xml:space="preserve"> The said sale </w:t>
      </w:r>
      <w:r w:rsidR="005821E8" w:rsidRPr="003E4555">
        <w:rPr>
          <w:rFonts w:ascii="Times New Roman" w:hAnsi="Times New Roman"/>
          <w:bCs/>
          <w:sz w:val="24"/>
        </w:rPr>
        <w:t>would be</w:t>
      </w:r>
      <w:r w:rsidR="002E53E9" w:rsidRPr="003E4555">
        <w:rPr>
          <w:rFonts w:ascii="Times New Roman" w:hAnsi="Times New Roman"/>
          <w:bCs/>
          <w:sz w:val="24"/>
        </w:rPr>
        <w:t xml:space="preserve"> subject to the approval by the applicant.</w:t>
      </w:r>
    </w:p>
    <w:p w14:paraId="0AA60DB1" w14:textId="77777777" w:rsidR="009C17CD" w:rsidRPr="002C0259" w:rsidRDefault="009C17CD" w:rsidP="009C17CD">
      <w:pPr>
        <w:pStyle w:val="ListParagraph"/>
        <w:spacing w:after="480" w:line="480" w:lineRule="auto"/>
        <w:ind w:left="0"/>
        <w:contextualSpacing w:val="0"/>
        <w:rPr>
          <w:rFonts w:ascii="Times New Roman" w:hAnsi="Times New Roman"/>
          <w:bCs/>
          <w:i/>
          <w:iCs/>
          <w:sz w:val="24"/>
        </w:rPr>
      </w:pPr>
      <w:r w:rsidRPr="002C0259">
        <w:rPr>
          <w:rFonts w:ascii="Times New Roman" w:hAnsi="Times New Roman"/>
          <w:bCs/>
          <w:i/>
          <w:iCs/>
          <w:sz w:val="24"/>
        </w:rPr>
        <w:t>Franchise agreement</w:t>
      </w:r>
    </w:p>
    <w:p w14:paraId="1D7887AE" w14:textId="76F9C3B1" w:rsidR="00AC5BFD" w:rsidRPr="003E4555" w:rsidRDefault="003E4555" w:rsidP="003E4555">
      <w:pPr>
        <w:spacing w:after="480" w:line="480" w:lineRule="auto"/>
        <w:rPr>
          <w:rFonts w:ascii="Times New Roman" w:hAnsi="Times New Roman"/>
          <w:bCs/>
          <w:i/>
          <w:iCs/>
          <w:sz w:val="24"/>
        </w:rPr>
      </w:pPr>
      <w:r w:rsidRPr="00AC5BFD">
        <w:rPr>
          <w:rFonts w:ascii="Times New Roman" w:hAnsi="Times New Roman"/>
          <w:bCs/>
          <w:iCs/>
          <w:sz w:val="24"/>
        </w:rPr>
        <w:t>[21]</w:t>
      </w:r>
      <w:r w:rsidRPr="00AC5BFD">
        <w:rPr>
          <w:rFonts w:ascii="Times New Roman" w:hAnsi="Times New Roman"/>
          <w:bCs/>
          <w:iCs/>
          <w:sz w:val="24"/>
        </w:rPr>
        <w:tab/>
      </w:r>
      <w:r w:rsidR="00B72E53" w:rsidRPr="003E4555">
        <w:rPr>
          <w:rFonts w:ascii="Times New Roman" w:hAnsi="Times New Roman"/>
          <w:bCs/>
          <w:sz w:val="24"/>
        </w:rPr>
        <w:t>Clauses 4.1.1.</w:t>
      </w:r>
      <w:r w:rsidR="00AC5BFD" w:rsidRPr="003E4555">
        <w:rPr>
          <w:rFonts w:ascii="Times New Roman" w:hAnsi="Times New Roman"/>
          <w:bCs/>
          <w:sz w:val="24"/>
        </w:rPr>
        <w:t xml:space="preserve"> provides that ‘the Agreement of Lease and/or Supply Agreement remain in full force and effect.</w:t>
      </w:r>
      <w:r w:rsidR="00B72E53" w:rsidRPr="003E4555">
        <w:rPr>
          <w:rFonts w:ascii="Times New Roman" w:hAnsi="Times New Roman"/>
          <w:bCs/>
          <w:sz w:val="24"/>
        </w:rPr>
        <w:t xml:space="preserve"> </w:t>
      </w:r>
    </w:p>
    <w:p w14:paraId="2E7AF7CE" w14:textId="0087F78F" w:rsidR="00AC5BFD" w:rsidRPr="003E4555" w:rsidRDefault="003E4555" w:rsidP="003E4555">
      <w:pPr>
        <w:spacing w:after="480" w:line="480" w:lineRule="auto"/>
        <w:rPr>
          <w:rFonts w:ascii="Times New Roman" w:hAnsi="Times New Roman"/>
          <w:bCs/>
          <w:i/>
          <w:iCs/>
          <w:sz w:val="24"/>
        </w:rPr>
      </w:pPr>
      <w:r w:rsidRPr="00AC5BFD">
        <w:rPr>
          <w:rFonts w:ascii="Times New Roman" w:hAnsi="Times New Roman"/>
          <w:bCs/>
          <w:iCs/>
          <w:sz w:val="24"/>
        </w:rPr>
        <w:t>[22]</w:t>
      </w:r>
      <w:r w:rsidRPr="00AC5BFD">
        <w:rPr>
          <w:rFonts w:ascii="Times New Roman" w:hAnsi="Times New Roman"/>
          <w:bCs/>
          <w:iCs/>
          <w:sz w:val="24"/>
        </w:rPr>
        <w:tab/>
      </w:r>
      <w:r w:rsidR="00AC5BFD" w:rsidRPr="003E4555">
        <w:rPr>
          <w:rFonts w:ascii="Times New Roman" w:hAnsi="Times New Roman"/>
          <w:bCs/>
          <w:sz w:val="24"/>
        </w:rPr>
        <w:t xml:space="preserve">Clause </w:t>
      </w:r>
      <w:r w:rsidR="00B72E53" w:rsidRPr="003E4555">
        <w:rPr>
          <w:rFonts w:ascii="Times New Roman" w:hAnsi="Times New Roman"/>
          <w:bCs/>
          <w:sz w:val="24"/>
        </w:rPr>
        <w:t>4.2.1.</w:t>
      </w:r>
      <w:r w:rsidR="003F7075">
        <w:rPr>
          <w:rStyle w:val="FootnoteReference"/>
          <w:rFonts w:ascii="Times New Roman" w:hAnsi="Times New Roman"/>
          <w:bCs/>
          <w:sz w:val="24"/>
        </w:rPr>
        <w:footnoteReference w:id="13"/>
      </w:r>
      <w:r w:rsidR="00B72E53" w:rsidRPr="003E4555">
        <w:rPr>
          <w:rFonts w:ascii="Times New Roman" w:hAnsi="Times New Roman"/>
          <w:bCs/>
          <w:sz w:val="24"/>
        </w:rPr>
        <w:t xml:space="preserve"> </w:t>
      </w:r>
      <w:r w:rsidR="00AC5BFD" w:rsidRPr="003E4555">
        <w:rPr>
          <w:rFonts w:ascii="Times New Roman" w:hAnsi="Times New Roman"/>
          <w:bCs/>
          <w:sz w:val="24"/>
        </w:rPr>
        <w:t xml:space="preserve">provided that </w:t>
      </w:r>
      <w:r w:rsidR="00AC5BFD" w:rsidRPr="003E4555">
        <w:rPr>
          <w:rFonts w:ascii="Times New Roman" w:hAnsi="Times New Roman"/>
          <w:bCs/>
          <w:i/>
          <w:iCs/>
          <w:sz w:val="24"/>
        </w:rPr>
        <w:t>‘the Agreement of Lease or Supply Agreement, as the case may be, is terminated for any reason; and or …’.</w:t>
      </w:r>
      <w:r w:rsidR="00AC5BFD" w:rsidRPr="003E4555">
        <w:rPr>
          <w:rFonts w:ascii="Times New Roman" w:hAnsi="Times New Roman"/>
          <w:bCs/>
          <w:sz w:val="24"/>
        </w:rPr>
        <w:t xml:space="preserve"> </w:t>
      </w:r>
    </w:p>
    <w:p w14:paraId="78B4B99C" w14:textId="473511C1" w:rsidR="003F7075" w:rsidRPr="003E4555" w:rsidRDefault="003E4555" w:rsidP="003E4555">
      <w:pPr>
        <w:spacing w:after="480" w:line="480" w:lineRule="auto"/>
        <w:rPr>
          <w:rFonts w:ascii="Times New Roman" w:hAnsi="Times New Roman"/>
          <w:bCs/>
          <w:i/>
          <w:iCs/>
          <w:sz w:val="24"/>
        </w:rPr>
      </w:pPr>
      <w:r w:rsidRPr="003F7075">
        <w:rPr>
          <w:rFonts w:ascii="Times New Roman" w:hAnsi="Times New Roman"/>
          <w:bCs/>
          <w:iCs/>
          <w:sz w:val="24"/>
        </w:rPr>
        <w:t>[23]</w:t>
      </w:r>
      <w:r w:rsidRPr="003F7075">
        <w:rPr>
          <w:rFonts w:ascii="Times New Roman" w:hAnsi="Times New Roman"/>
          <w:bCs/>
          <w:iCs/>
          <w:sz w:val="24"/>
        </w:rPr>
        <w:tab/>
      </w:r>
      <w:r w:rsidR="00AC5BFD" w:rsidRPr="003E4555">
        <w:rPr>
          <w:rFonts w:ascii="Times New Roman" w:hAnsi="Times New Roman"/>
          <w:bCs/>
          <w:sz w:val="24"/>
        </w:rPr>
        <w:t>C</w:t>
      </w:r>
      <w:r w:rsidR="00B72E53" w:rsidRPr="003E4555">
        <w:rPr>
          <w:rFonts w:ascii="Times New Roman" w:hAnsi="Times New Roman"/>
          <w:bCs/>
          <w:sz w:val="24"/>
        </w:rPr>
        <w:t>lause 7.2 provides that the franchise agreement will terminate upon termination of the lease agreement.</w:t>
      </w:r>
    </w:p>
    <w:p w14:paraId="67C1423B" w14:textId="295F2116" w:rsidR="007535AA" w:rsidRPr="003E4555" w:rsidRDefault="003E4555" w:rsidP="003E4555">
      <w:pPr>
        <w:spacing w:after="480" w:line="480" w:lineRule="auto"/>
        <w:rPr>
          <w:rFonts w:ascii="Times New Roman" w:hAnsi="Times New Roman"/>
          <w:bCs/>
          <w:i/>
          <w:iCs/>
          <w:sz w:val="24"/>
        </w:rPr>
      </w:pPr>
      <w:r w:rsidRPr="007535AA">
        <w:rPr>
          <w:rFonts w:ascii="Times New Roman" w:hAnsi="Times New Roman"/>
          <w:bCs/>
          <w:iCs/>
          <w:sz w:val="24"/>
        </w:rPr>
        <w:t>[24]</w:t>
      </w:r>
      <w:r w:rsidRPr="007535AA">
        <w:rPr>
          <w:rFonts w:ascii="Times New Roman" w:hAnsi="Times New Roman"/>
          <w:bCs/>
          <w:iCs/>
          <w:sz w:val="24"/>
        </w:rPr>
        <w:tab/>
      </w:r>
      <w:r w:rsidR="003F7075" w:rsidRPr="003E4555">
        <w:rPr>
          <w:rFonts w:ascii="Times New Roman" w:hAnsi="Times New Roman"/>
          <w:bCs/>
          <w:sz w:val="24"/>
        </w:rPr>
        <w:t xml:space="preserve">Clauses </w:t>
      </w:r>
      <w:r w:rsidR="00155C58" w:rsidRPr="003E4555">
        <w:rPr>
          <w:rFonts w:ascii="Times New Roman" w:hAnsi="Times New Roman"/>
          <w:bCs/>
          <w:sz w:val="24"/>
        </w:rPr>
        <w:t>7.3,</w:t>
      </w:r>
      <w:r w:rsidR="00AC5BFD" w:rsidRPr="003E4555">
        <w:rPr>
          <w:rFonts w:ascii="Times New Roman" w:hAnsi="Times New Roman"/>
          <w:bCs/>
          <w:sz w:val="24"/>
        </w:rPr>
        <w:t xml:space="preserve"> provides that </w:t>
      </w:r>
    </w:p>
    <w:p w14:paraId="2076669A" w14:textId="3A7E7FBF" w:rsidR="00AC5BFD" w:rsidRDefault="00AC5BFD" w:rsidP="007535AA">
      <w:pPr>
        <w:pStyle w:val="ListParagraph"/>
        <w:contextualSpacing w:val="0"/>
        <w:rPr>
          <w:rFonts w:ascii="Times New Roman" w:hAnsi="Times New Roman"/>
          <w:bCs/>
          <w:sz w:val="24"/>
        </w:rPr>
      </w:pPr>
      <w:r w:rsidRPr="00845AFF">
        <w:rPr>
          <w:rFonts w:ascii="Times New Roman" w:hAnsi="Times New Roman"/>
          <w:bCs/>
          <w:i/>
          <w:iCs/>
          <w:sz w:val="24"/>
        </w:rPr>
        <w:t>‘Notwithstanding anything to the contrary</w:t>
      </w:r>
      <w:r w:rsidR="005C2399" w:rsidRPr="00845AFF">
        <w:rPr>
          <w:rFonts w:ascii="Times New Roman" w:hAnsi="Times New Roman"/>
          <w:bCs/>
          <w:i/>
          <w:iCs/>
          <w:sz w:val="24"/>
        </w:rPr>
        <w:t xml:space="preserve"> contained in this agreement, </w:t>
      </w:r>
      <w:r w:rsidR="005C2399" w:rsidRPr="007535AA">
        <w:rPr>
          <w:rFonts w:ascii="Times New Roman" w:hAnsi="Times New Roman"/>
          <w:bCs/>
          <w:i/>
          <w:iCs/>
          <w:sz w:val="24"/>
          <w:u w:val="single"/>
        </w:rPr>
        <w:t>should any law governing any aspect of this agreement change is such a way that BP</w:t>
      </w:r>
      <w:r w:rsidR="005C2399" w:rsidRPr="00845AFF">
        <w:rPr>
          <w:rFonts w:ascii="Times New Roman" w:hAnsi="Times New Roman"/>
          <w:bCs/>
          <w:i/>
          <w:iCs/>
          <w:sz w:val="24"/>
        </w:rPr>
        <w:t>, in its sole and absolute discretion, is of t</w:t>
      </w:r>
      <w:r w:rsidR="00845AFF">
        <w:rPr>
          <w:rFonts w:ascii="Times New Roman" w:hAnsi="Times New Roman"/>
          <w:bCs/>
          <w:i/>
          <w:iCs/>
          <w:sz w:val="24"/>
        </w:rPr>
        <w:t>h</w:t>
      </w:r>
      <w:r w:rsidR="005C2399" w:rsidRPr="00845AFF">
        <w:rPr>
          <w:rFonts w:ascii="Times New Roman" w:hAnsi="Times New Roman"/>
          <w:bCs/>
          <w:i/>
          <w:iCs/>
          <w:sz w:val="24"/>
        </w:rPr>
        <w:t xml:space="preserve">e opinion that such change would affect the implementation of this Agreement or adversely affect BP or cause BP loss or to be subject to added costs </w:t>
      </w:r>
      <w:r w:rsidR="00845AFF">
        <w:rPr>
          <w:rFonts w:ascii="Times New Roman" w:hAnsi="Times New Roman"/>
          <w:bCs/>
          <w:i/>
          <w:iCs/>
          <w:sz w:val="24"/>
        </w:rPr>
        <w:t>or</w:t>
      </w:r>
      <w:r w:rsidR="005C2399" w:rsidRPr="00845AFF">
        <w:rPr>
          <w:rFonts w:ascii="Times New Roman" w:hAnsi="Times New Roman"/>
          <w:bCs/>
          <w:i/>
          <w:iCs/>
          <w:sz w:val="24"/>
        </w:rPr>
        <w:t xml:space="preserve"> expense or in any way render continued operation of BP’s Business under this Agreement commercially unattractive or less viable or subject to BP to obligations or liabilities that it did not hitherto have or increase such obligations or liabilities such as to render the continued operation of BP’s Business under this Agreement more </w:t>
      </w:r>
      <w:r w:rsidR="00845AFF" w:rsidRPr="00845AFF">
        <w:rPr>
          <w:rFonts w:ascii="Times New Roman" w:hAnsi="Times New Roman"/>
          <w:bCs/>
          <w:i/>
          <w:iCs/>
          <w:sz w:val="24"/>
        </w:rPr>
        <w:t>o</w:t>
      </w:r>
      <w:r w:rsidR="005C2399" w:rsidRPr="00845AFF">
        <w:rPr>
          <w:rFonts w:ascii="Times New Roman" w:hAnsi="Times New Roman"/>
          <w:bCs/>
          <w:i/>
          <w:iCs/>
          <w:sz w:val="24"/>
        </w:rPr>
        <w:t xml:space="preserve">nerous (which change may include but not be limited to the re-regulation of the petroleum industry or any </w:t>
      </w:r>
      <w:r w:rsidR="00845AFF" w:rsidRPr="00845AFF">
        <w:rPr>
          <w:rFonts w:ascii="Times New Roman" w:hAnsi="Times New Roman"/>
          <w:bCs/>
          <w:i/>
          <w:iCs/>
          <w:sz w:val="24"/>
        </w:rPr>
        <w:t>p</w:t>
      </w:r>
      <w:r w:rsidR="005C2399" w:rsidRPr="00845AFF">
        <w:rPr>
          <w:rFonts w:ascii="Times New Roman" w:hAnsi="Times New Roman"/>
          <w:bCs/>
          <w:i/>
          <w:iCs/>
          <w:sz w:val="24"/>
        </w:rPr>
        <w:t xml:space="preserve">art thereof), </w:t>
      </w:r>
      <w:r w:rsidR="005C2399" w:rsidRPr="007535AA">
        <w:rPr>
          <w:rFonts w:ascii="Times New Roman" w:hAnsi="Times New Roman"/>
          <w:bCs/>
          <w:i/>
          <w:iCs/>
          <w:sz w:val="24"/>
          <w:u w:val="single"/>
        </w:rPr>
        <w:t>then BP shall be entitled (but not obliged) to resile from this Agreement</w:t>
      </w:r>
      <w:r w:rsidR="005C2399" w:rsidRPr="00845AFF">
        <w:rPr>
          <w:rFonts w:ascii="Times New Roman" w:hAnsi="Times New Roman"/>
          <w:bCs/>
          <w:i/>
          <w:iCs/>
          <w:sz w:val="24"/>
        </w:rPr>
        <w:t xml:space="preserve"> on not less than 3 (three) calendar months written notice to the Franchisee to such effect and neither party shall have any claim against the other as a consequence of such termination</w:t>
      </w:r>
      <w:r w:rsidR="005C2399">
        <w:rPr>
          <w:rFonts w:ascii="Times New Roman" w:hAnsi="Times New Roman"/>
          <w:bCs/>
          <w:sz w:val="24"/>
        </w:rPr>
        <w:t xml:space="preserve">. </w:t>
      </w:r>
      <w:r>
        <w:rPr>
          <w:rFonts w:ascii="Times New Roman" w:hAnsi="Times New Roman"/>
          <w:bCs/>
          <w:sz w:val="24"/>
        </w:rPr>
        <w:t xml:space="preserve"> </w:t>
      </w:r>
      <w:r w:rsidR="00155C58">
        <w:rPr>
          <w:rFonts w:ascii="Times New Roman" w:hAnsi="Times New Roman"/>
          <w:bCs/>
          <w:sz w:val="24"/>
        </w:rPr>
        <w:t xml:space="preserve"> </w:t>
      </w:r>
      <w:r w:rsidR="007535AA">
        <w:rPr>
          <w:rFonts w:ascii="Times New Roman" w:hAnsi="Times New Roman"/>
          <w:bCs/>
          <w:sz w:val="24"/>
        </w:rPr>
        <w:t>(underling added).</w:t>
      </w:r>
    </w:p>
    <w:p w14:paraId="0F7916D1" w14:textId="77777777" w:rsidR="007535AA" w:rsidRPr="007535AA" w:rsidRDefault="007535AA" w:rsidP="007535AA">
      <w:pPr>
        <w:rPr>
          <w:rFonts w:ascii="Times New Roman" w:hAnsi="Times New Roman"/>
          <w:bCs/>
          <w:i/>
          <w:iCs/>
          <w:sz w:val="24"/>
        </w:rPr>
      </w:pPr>
    </w:p>
    <w:p w14:paraId="0FE30728" w14:textId="08F375C6" w:rsidR="007535AA" w:rsidRPr="003E4555" w:rsidRDefault="003E4555" w:rsidP="003E4555">
      <w:pPr>
        <w:spacing w:after="480" w:line="480" w:lineRule="auto"/>
        <w:rPr>
          <w:rFonts w:ascii="Times New Roman" w:hAnsi="Times New Roman"/>
          <w:bCs/>
          <w:i/>
          <w:iCs/>
          <w:sz w:val="24"/>
        </w:rPr>
      </w:pPr>
      <w:r w:rsidRPr="007535AA">
        <w:rPr>
          <w:rFonts w:ascii="Times New Roman" w:hAnsi="Times New Roman"/>
          <w:bCs/>
          <w:iCs/>
          <w:sz w:val="24"/>
        </w:rPr>
        <w:t>[25]</w:t>
      </w:r>
      <w:r w:rsidRPr="007535AA">
        <w:rPr>
          <w:rFonts w:ascii="Times New Roman" w:hAnsi="Times New Roman"/>
          <w:bCs/>
          <w:iCs/>
          <w:sz w:val="24"/>
        </w:rPr>
        <w:tab/>
      </w:r>
      <w:r w:rsidR="00AC5BFD" w:rsidRPr="003E4555">
        <w:rPr>
          <w:rFonts w:ascii="Times New Roman" w:hAnsi="Times New Roman"/>
          <w:bCs/>
          <w:sz w:val="24"/>
        </w:rPr>
        <w:t xml:space="preserve">Clause </w:t>
      </w:r>
      <w:r w:rsidR="003F7075" w:rsidRPr="003E4555">
        <w:rPr>
          <w:rFonts w:ascii="Times New Roman" w:hAnsi="Times New Roman"/>
          <w:bCs/>
          <w:sz w:val="24"/>
        </w:rPr>
        <w:t>7.4.</w:t>
      </w:r>
      <w:r w:rsidR="007535AA" w:rsidRPr="003E4555">
        <w:rPr>
          <w:rFonts w:ascii="Times New Roman" w:hAnsi="Times New Roman"/>
          <w:bCs/>
          <w:sz w:val="24"/>
        </w:rPr>
        <w:t xml:space="preserve"> provides that:</w:t>
      </w:r>
    </w:p>
    <w:p w14:paraId="4BCCC9A6" w14:textId="23F0BE7A" w:rsidR="00AC5BFD" w:rsidRDefault="007535AA" w:rsidP="007535AA">
      <w:pPr>
        <w:pStyle w:val="ListParagraph"/>
        <w:ind w:firstLine="62"/>
        <w:contextualSpacing w:val="0"/>
        <w:rPr>
          <w:rFonts w:ascii="Times New Roman" w:hAnsi="Times New Roman"/>
          <w:bCs/>
          <w:i/>
          <w:iCs/>
          <w:sz w:val="24"/>
        </w:rPr>
      </w:pPr>
      <w:r>
        <w:rPr>
          <w:rFonts w:ascii="Times New Roman" w:hAnsi="Times New Roman"/>
          <w:bCs/>
          <w:i/>
          <w:iCs/>
          <w:sz w:val="24"/>
        </w:rPr>
        <w:t>‘</w:t>
      </w:r>
      <w:r w:rsidR="005C2399" w:rsidRPr="00845AFF">
        <w:rPr>
          <w:rFonts w:ascii="Times New Roman" w:hAnsi="Times New Roman"/>
          <w:bCs/>
          <w:i/>
          <w:iCs/>
          <w:sz w:val="24"/>
        </w:rPr>
        <w:t>If BP will have terminated this Agreement or given the Franchisee notification of its intention to do so in terms of clause 7.3, and BP expresses the willingness to enter into a fresh agreement of Lease or Supply Agreement; and a fresh version of this Agreemen</w:t>
      </w:r>
      <w:r w:rsidR="00845AFF" w:rsidRPr="00845AFF">
        <w:rPr>
          <w:rFonts w:ascii="Times New Roman" w:hAnsi="Times New Roman"/>
          <w:bCs/>
          <w:i/>
          <w:iCs/>
          <w:sz w:val="24"/>
        </w:rPr>
        <w:t>t</w:t>
      </w:r>
      <w:r w:rsidR="005C2399" w:rsidRPr="00845AFF">
        <w:rPr>
          <w:rFonts w:ascii="Times New Roman" w:hAnsi="Times New Roman"/>
          <w:bCs/>
          <w:i/>
          <w:iCs/>
          <w:sz w:val="24"/>
        </w:rPr>
        <w:t>, either with the Franchise or any third party on terms and conditions different from those under which th</w:t>
      </w:r>
      <w:r w:rsidR="00845AFF" w:rsidRPr="00845AFF">
        <w:rPr>
          <w:rFonts w:ascii="Times New Roman" w:hAnsi="Times New Roman"/>
          <w:bCs/>
          <w:i/>
          <w:iCs/>
          <w:sz w:val="24"/>
        </w:rPr>
        <w:t xml:space="preserve">e </w:t>
      </w:r>
      <w:r w:rsidR="005C2399" w:rsidRPr="00845AFF">
        <w:rPr>
          <w:rFonts w:ascii="Times New Roman" w:hAnsi="Times New Roman"/>
          <w:bCs/>
          <w:i/>
          <w:iCs/>
          <w:sz w:val="24"/>
        </w:rPr>
        <w:t>existing Agreements are constituted</w:t>
      </w:r>
      <w:r w:rsidR="00845AFF" w:rsidRPr="00845AFF">
        <w:rPr>
          <w:rFonts w:ascii="Times New Roman" w:hAnsi="Times New Roman"/>
          <w:bCs/>
          <w:i/>
          <w:iCs/>
          <w:sz w:val="24"/>
        </w:rPr>
        <w:t>, the Franchisee shall have the right of the first refusal to enter int</w:t>
      </w:r>
      <w:r>
        <w:rPr>
          <w:rFonts w:ascii="Times New Roman" w:hAnsi="Times New Roman"/>
          <w:bCs/>
          <w:i/>
          <w:iCs/>
          <w:sz w:val="24"/>
        </w:rPr>
        <w:t>o</w:t>
      </w:r>
      <w:r w:rsidR="00845AFF" w:rsidRPr="00845AFF">
        <w:rPr>
          <w:rFonts w:ascii="Times New Roman" w:hAnsi="Times New Roman"/>
          <w:bCs/>
          <w:i/>
          <w:iCs/>
          <w:sz w:val="24"/>
        </w:rPr>
        <w:t xml:space="preserve"> such agreements on such varie</w:t>
      </w:r>
      <w:r>
        <w:rPr>
          <w:rFonts w:ascii="Times New Roman" w:hAnsi="Times New Roman"/>
          <w:bCs/>
          <w:i/>
          <w:iCs/>
          <w:sz w:val="24"/>
        </w:rPr>
        <w:t>d</w:t>
      </w:r>
      <w:r w:rsidR="00845AFF" w:rsidRPr="00845AFF">
        <w:rPr>
          <w:rFonts w:ascii="Times New Roman" w:hAnsi="Times New Roman"/>
          <w:bCs/>
          <w:i/>
          <w:iCs/>
          <w:sz w:val="24"/>
        </w:rPr>
        <w:t xml:space="preserve"> basis as may be offered by BP either to the Franchisee or to any third party</w:t>
      </w:r>
      <w:r>
        <w:rPr>
          <w:rFonts w:ascii="Times New Roman" w:hAnsi="Times New Roman"/>
          <w:bCs/>
          <w:i/>
          <w:iCs/>
          <w:sz w:val="24"/>
        </w:rPr>
        <w:t xml:space="preserve">’. </w:t>
      </w:r>
    </w:p>
    <w:p w14:paraId="11D04841" w14:textId="77777777" w:rsidR="007535AA" w:rsidRPr="00845AFF" w:rsidRDefault="007535AA" w:rsidP="007535AA">
      <w:pPr>
        <w:pStyle w:val="ListParagraph"/>
        <w:ind w:firstLine="62"/>
        <w:contextualSpacing w:val="0"/>
        <w:rPr>
          <w:rFonts w:ascii="Times New Roman" w:hAnsi="Times New Roman"/>
          <w:bCs/>
          <w:i/>
          <w:iCs/>
          <w:sz w:val="24"/>
        </w:rPr>
      </w:pPr>
    </w:p>
    <w:p w14:paraId="43DE344D" w14:textId="5F861167" w:rsidR="007535AA" w:rsidRPr="003E4555" w:rsidRDefault="003E4555" w:rsidP="003E4555">
      <w:pPr>
        <w:spacing w:after="480" w:line="480" w:lineRule="auto"/>
        <w:rPr>
          <w:rFonts w:ascii="Times New Roman" w:hAnsi="Times New Roman"/>
          <w:bCs/>
          <w:i/>
          <w:iCs/>
          <w:sz w:val="24"/>
        </w:rPr>
      </w:pPr>
      <w:r w:rsidRPr="007535AA">
        <w:rPr>
          <w:rFonts w:ascii="Times New Roman" w:hAnsi="Times New Roman"/>
          <w:bCs/>
          <w:iCs/>
          <w:sz w:val="24"/>
        </w:rPr>
        <w:t>[26]</w:t>
      </w:r>
      <w:r w:rsidRPr="007535AA">
        <w:rPr>
          <w:rFonts w:ascii="Times New Roman" w:hAnsi="Times New Roman"/>
          <w:bCs/>
          <w:iCs/>
          <w:sz w:val="24"/>
        </w:rPr>
        <w:tab/>
      </w:r>
      <w:r w:rsidR="00845AFF" w:rsidRPr="003E4555">
        <w:rPr>
          <w:rFonts w:ascii="Times New Roman" w:hAnsi="Times New Roman"/>
          <w:bCs/>
          <w:sz w:val="24"/>
        </w:rPr>
        <w:t>Clause 7.5 provides that</w:t>
      </w:r>
    </w:p>
    <w:p w14:paraId="3B3BF75A" w14:textId="3E893408" w:rsidR="00845AFF" w:rsidRDefault="00845AFF" w:rsidP="007535AA">
      <w:pPr>
        <w:pStyle w:val="ListParagraph"/>
        <w:contextualSpacing w:val="0"/>
        <w:rPr>
          <w:rFonts w:ascii="Times New Roman" w:hAnsi="Times New Roman"/>
          <w:bCs/>
          <w:i/>
          <w:iCs/>
          <w:sz w:val="24"/>
        </w:rPr>
      </w:pPr>
      <w:r w:rsidRPr="00845AFF">
        <w:rPr>
          <w:rFonts w:ascii="Times New Roman" w:hAnsi="Times New Roman"/>
          <w:bCs/>
          <w:i/>
          <w:iCs/>
          <w:sz w:val="24"/>
        </w:rPr>
        <w:t>‘B</w:t>
      </w:r>
      <w:r>
        <w:rPr>
          <w:rFonts w:ascii="Times New Roman" w:hAnsi="Times New Roman"/>
          <w:bCs/>
          <w:i/>
          <w:iCs/>
          <w:sz w:val="24"/>
        </w:rPr>
        <w:t>P</w:t>
      </w:r>
      <w:r w:rsidRPr="00845AFF">
        <w:rPr>
          <w:rFonts w:ascii="Times New Roman" w:hAnsi="Times New Roman"/>
          <w:bCs/>
          <w:i/>
          <w:iCs/>
          <w:sz w:val="24"/>
        </w:rPr>
        <w:t>. Should it wish to enter into such an agreement with any third party or any other contract, shall be obliged to give the Franchisee written notice setting out details of the varied agreement that it proposes to enter into and the Franchisee shall have the right within 30(thirty) days of having received such notice to notify BP whether it wishes to enter into an agreement on term and conditions no less onerous than those offered by BP either to the Franchisee or to any third party. Should the Franchisee elect not to enter into such agreements it shall have no further right of first refusal.’</w:t>
      </w:r>
    </w:p>
    <w:p w14:paraId="4F88578E" w14:textId="77777777" w:rsidR="00916375" w:rsidRDefault="00916375" w:rsidP="00916375">
      <w:pPr>
        <w:pStyle w:val="ListParagraph"/>
        <w:spacing w:line="480" w:lineRule="auto"/>
        <w:ind w:left="0" w:firstLine="720"/>
        <w:contextualSpacing w:val="0"/>
        <w:rPr>
          <w:rFonts w:ascii="Times New Roman" w:hAnsi="Times New Roman"/>
          <w:bCs/>
          <w:i/>
          <w:iCs/>
          <w:sz w:val="24"/>
        </w:rPr>
      </w:pPr>
    </w:p>
    <w:p w14:paraId="25272F05" w14:textId="400D0BBE" w:rsidR="009372A8" w:rsidRPr="009372A8" w:rsidRDefault="009372A8" w:rsidP="009372A8">
      <w:pPr>
        <w:pStyle w:val="ListParagraph"/>
        <w:spacing w:after="480" w:line="480" w:lineRule="auto"/>
        <w:ind w:left="0" w:firstLine="720"/>
        <w:contextualSpacing w:val="0"/>
        <w:rPr>
          <w:rFonts w:ascii="Times New Roman" w:hAnsi="Times New Roman"/>
          <w:bCs/>
          <w:i/>
          <w:iCs/>
          <w:sz w:val="24"/>
        </w:rPr>
      </w:pPr>
      <w:r w:rsidRPr="009372A8">
        <w:rPr>
          <w:rFonts w:ascii="Times New Roman" w:hAnsi="Times New Roman"/>
          <w:bCs/>
          <w:i/>
          <w:iCs/>
          <w:sz w:val="24"/>
        </w:rPr>
        <w:t>Addendum agreement</w:t>
      </w:r>
    </w:p>
    <w:p w14:paraId="05BE6673" w14:textId="2E3A25AC" w:rsidR="007535AA" w:rsidRPr="003E4555" w:rsidRDefault="003E4555" w:rsidP="003E4555">
      <w:pPr>
        <w:spacing w:after="480" w:line="480" w:lineRule="auto"/>
        <w:rPr>
          <w:rFonts w:ascii="Times New Roman" w:hAnsi="Times New Roman"/>
          <w:bCs/>
          <w:i/>
          <w:iCs/>
          <w:sz w:val="24"/>
        </w:rPr>
      </w:pPr>
      <w:r w:rsidRPr="007535AA">
        <w:rPr>
          <w:rFonts w:ascii="Times New Roman" w:hAnsi="Times New Roman"/>
          <w:bCs/>
          <w:iCs/>
          <w:sz w:val="24"/>
        </w:rPr>
        <w:t>[27]</w:t>
      </w:r>
      <w:r w:rsidRPr="007535AA">
        <w:rPr>
          <w:rFonts w:ascii="Times New Roman" w:hAnsi="Times New Roman"/>
          <w:bCs/>
          <w:iCs/>
          <w:sz w:val="24"/>
        </w:rPr>
        <w:tab/>
      </w:r>
      <w:r w:rsidR="00080409" w:rsidRPr="003E4555">
        <w:rPr>
          <w:rFonts w:ascii="Times New Roman" w:hAnsi="Times New Roman"/>
          <w:bCs/>
          <w:sz w:val="24"/>
        </w:rPr>
        <w:t xml:space="preserve">Clause </w:t>
      </w:r>
      <w:r w:rsidR="009372A8" w:rsidRPr="003E4555">
        <w:rPr>
          <w:rFonts w:ascii="Times New Roman" w:hAnsi="Times New Roman"/>
          <w:bCs/>
          <w:sz w:val="24"/>
        </w:rPr>
        <w:t>3.5.2.</w:t>
      </w:r>
      <w:r w:rsidR="00080409" w:rsidRPr="003E4555">
        <w:rPr>
          <w:rFonts w:ascii="Times New Roman" w:hAnsi="Times New Roman"/>
          <w:bCs/>
          <w:sz w:val="24"/>
        </w:rPr>
        <w:t xml:space="preserve"> provides that </w:t>
      </w:r>
    </w:p>
    <w:p w14:paraId="0CDF8255" w14:textId="1FAB3289" w:rsidR="00080409" w:rsidRDefault="00080409" w:rsidP="007535AA">
      <w:pPr>
        <w:pStyle w:val="ListParagraph"/>
        <w:contextualSpacing w:val="0"/>
        <w:rPr>
          <w:rFonts w:ascii="Times New Roman" w:hAnsi="Times New Roman"/>
          <w:bCs/>
          <w:sz w:val="24"/>
        </w:rPr>
      </w:pPr>
      <w:r>
        <w:rPr>
          <w:rFonts w:ascii="Times New Roman" w:hAnsi="Times New Roman"/>
          <w:bCs/>
          <w:sz w:val="24"/>
        </w:rPr>
        <w:t>‘</w:t>
      </w:r>
      <w:r w:rsidRPr="00080409">
        <w:rPr>
          <w:rFonts w:ascii="Times New Roman" w:hAnsi="Times New Roman"/>
          <w:bCs/>
          <w:i/>
          <w:iCs/>
          <w:sz w:val="24"/>
        </w:rPr>
        <w:t>Upon termination and/or expiry of this sub-sub-lease agreement `between BP and its operator, BP undertakes to sub-let the lease premises to a nominee of the Lessor (“the Proposed Dealer”), subject to the following terms and conditions</w:t>
      </w:r>
      <w:r>
        <w:rPr>
          <w:rFonts w:ascii="Times New Roman" w:hAnsi="Times New Roman"/>
          <w:bCs/>
          <w:sz w:val="24"/>
        </w:rPr>
        <w:t>:</w:t>
      </w:r>
    </w:p>
    <w:p w14:paraId="00185022" w14:textId="77777777" w:rsidR="007535AA" w:rsidRPr="00080409" w:rsidRDefault="007535AA" w:rsidP="007535AA">
      <w:pPr>
        <w:pStyle w:val="ListParagraph"/>
        <w:contextualSpacing w:val="0"/>
        <w:rPr>
          <w:rFonts w:ascii="Times New Roman" w:hAnsi="Times New Roman"/>
          <w:bCs/>
          <w:i/>
          <w:iCs/>
          <w:sz w:val="24"/>
        </w:rPr>
      </w:pPr>
    </w:p>
    <w:p w14:paraId="3379176D" w14:textId="6AAAD93D" w:rsidR="007535AA" w:rsidRPr="003E4555" w:rsidRDefault="003E4555" w:rsidP="003E4555">
      <w:pPr>
        <w:spacing w:after="480" w:line="480" w:lineRule="auto"/>
        <w:rPr>
          <w:rFonts w:ascii="Times New Roman" w:hAnsi="Times New Roman"/>
          <w:bCs/>
          <w:i/>
          <w:iCs/>
          <w:sz w:val="24"/>
        </w:rPr>
      </w:pPr>
      <w:r w:rsidRPr="007535AA">
        <w:rPr>
          <w:rFonts w:ascii="Times New Roman" w:hAnsi="Times New Roman"/>
          <w:bCs/>
          <w:iCs/>
          <w:sz w:val="24"/>
        </w:rPr>
        <w:t>[28]</w:t>
      </w:r>
      <w:r w:rsidRPr="007535AA">
        <w:rPr>
          <w:rFonts w:ascii="Times New Roman" w:hAnsi="Times New Roman"/>
          <w:bCs/>
          <w:iCs/>
          <w:sz w:val="24"/>
        </w:rPr>
        <w:tab/>
      </w:r>
      <w:r w:rsidR="00080409" w:rsidRPr="003E4555">
        <w:rPr>
          <w:rFonts w:ascii="Times New Roman" w:hAnsi="Times New Roman"/>
          <w:bCs/>
          <w:sz w:val="24"/>
        </w:rPr>
        <w:t xml:space="preserve">Clause </w:t>
      </w:r>
      <w:r w:rsidR="009372A8" w:rsidRPr="003E4555">
        <w:rPr>
          <w:rFonts w:ascii="Times New Roman" w:hAnsi="Times New Roman"/>
          <w:bCs/>
          <w:sz w:val="24"/>
        </w:rPr>
        <w:t>3.5.3</w:t>
      </w:r>
      <w:r w:rsidR="00080409" w:rsidRPr="003E4555">
        <w:rPr>
          <w:rFonts w:ascii="Times New Roman" w:hAnsi="Times New Roman"/>
          <w:bCs/>
          <w:sz w:val="24"/>
        </w:rPr>
        <w:t xml:space="preserve"> provides that</w:t>
      </w:r>
      <w:r w:rsidR="007535AA" w:rsidRPr="003E4555">
        <w:rPr>
          <w:rFonts w:ascii="Times New Roman" w:hAnsi="Times New Roman"/>
          <w:bCs/>
          <w:sz w:val="24"/>
        </w:rPr>
        <w:t>:</w:t>
      </w:r>
    </w:p>
    <w:p w14:paraId="39062DB2" w14:textId="6D7ED471" w:rsidR="009372A8" w:rsidRPr="008B7906" w:rsidRDefault="00080409" w:rsidP="007535AA">
      <w:pPr>
        <w:pStyle w:val="ListParagraph"/>
        <w:contextualSpacing w:val="0"/>
        <w:rPr>
          <w:rFonts w:ascii="Times New Roman" w:hAnsi="Times New Roman"/>
          <w:bCs/>
          <w:i/>
          <w:iCs/>
          <w:sz w:val="24"/>
        </w:rPr>
      </w:pPr>
      <w:r w:rsidRPr="00AC5BFD">
        <w:rPr>
          <w:rFonts w:ascii="Times New Roman" w:hAnsi="Times New Roman"/>
          <w:bCs/>
          <w:i/>
          <w:iCs/>
          <w:sz w:val="24"/>
        </w:rPr>
        <w:lastRenderedPageBreak/>
        <w:t>‘It is recorded that it is the</w:t>
      </w:r>
      <w:r w:rsidR="00AC5BFD" w:rsidRPr="00AC5BFD">
        <w:rPr>
          <w:rFonts w:ascii="Times New Roman" w:hAnsi="Times New Roman"/>
          <w:bCs/>
          <w:i/>
          <w:iCs/>
          <w:sz w:val="24"/>
        </w:rPr>
        <w:t xml:space="preserve"> </w:t>
      </w:r>
      <w:r w:rsidRPr="00AC5BFD">
        <w:rPr>
          <w:rFonts w:ascii="Times New Roman" w:hAnsi="Times New Roman"/>
          <w:bCs/>
          <w:i/>
          <w:iCs/>
          <w:sz w:val="24"/>
        </w:rPr>
        <w:t>intention of the parties that the sub-sub-lease agreement between BP and the Pr</w:t>
      </w:r>
      <w:r w:rsidR="007535AA">
        <w:rPr>
          <w:rFonts w:ascii="Times New Roman" w:hAnsi="Times New Roman"/>
          <w:bCs/>
          <w:i/>
          <w:iCs/>
          <w:sz w:val="24"/>
        </w:rPr>
        <w:t>o</w:t>
      </w:r>
      <w:r w:rsidRPr="00AC5BFD">
        <w:rPr>
          <w:rFonts w:ascii="Times New Roman" w:hAnsi="Times New Roman"/>
          <w:bCs/>
          <w:i/>
          <w:iCs/>
          <w:sz w:val="24"/>
        </w:rPr>
        <w:t>pose</w:t>
      </w:r>
      <w:r w:rsidR="008A0207">
        <w:rPr>
          <w:rFonts w:ascii="Times New Roman" w:hAnsi="Times New Roman"/>
          <w:bCs/>
          <w:i/>
          <w:iCs/>
          <w:sz w:val="24"/>
        </w:rPr>
        <w:t>d</w:t>
      </w:r>
      <w:r w:rsidRPr="00AC5BFD">
        <w:rPr>
          <w:rFonts w:ascii="Times New Roman" w:hAnsi="Times New Roman"/>
          <w:bCs/>
          <w:i/>
          <w:iCs/>
          <w:sz w:val="24"/>
        </w:rPr>
        <w:t xml:space="preserve"> Dealer shall commence on the expiry by the effluxion of time or termination of the existing sub-sub- lease agreement between BP and its current sub-sub-lease agreement between BP and its current dealer (for any reason whatsoever other than the </w:t>
      </w:r>
      <w:r w:rsidR="00AC5BFD" w:rsidRPr="00AC5BFD">
        <w:rPr>
          <w:rFonts w:ascii="Times New Roman" w:hAnsi="Times New Roman"/>
          <w:bCs/>
          <w:i/>
          <w:iCs/>
          <w:sz w:val="24"/>
        </w:rPr>
        <w:t>effluxion of time) or on 12 December 2020 whichever date is earlier, provided that the Propose</w:t>
      </w:r>
      <w:r w:rsidR="007535AA">
        <w:rPr>
          <w:rFonts w:ascii="Times New Roman" w:hAnsi="Times New Roman"/>
          <w:bCs/>
          <w:i/>
          <w:iCs/>
          <w:sz w:val="24"/>
        </w:rPr>
        <w:t>d</w:t>
      </w:r>
      <w:r w:rsidR="00AC5BFD" w:rsidRPr="00AC5BFD">
        <w:rPr>
          <w:rFonts w:ascii="Times New Roman" w:hAnsi="Times New Roman"/>
          <w:bCs/>
          <w:i/>
          <w:iCs/>
          <w:sz w:val="24"/>
        </w:rPr>
        <w:t xml:space="preserve"> Dealer will have compiled with all of t</w:t>
      </w:r>
      <w:r w:rsidR="00AC5BFD">
        <w:rPr>
          <w:rFonts w:ascii="Times New Roman" w:hAnsi="Times New Roman"/>
          <w:bCs/>
          <w:i/>
          <w:iCs/>
          <w:sz w:val="24"/>
        </w:rPr>
        <w:t>h</w:t>
      </w:r>
      <w:r w:rsidR="00AC5BFD" w:rsidRPr="00AC5BFD">
        <w:rPr>
          <w:rFonts w:ascii="Times New Roman" w:hAnsi="Times New Roman"/>
          <w:bCs/>
          <w:i/>
          <w:iCs/>
          <w:sz w:val="24"/>
        </w:rPr>
        <w:t>e requirements set out in clause 3.5.2.</w:t>
      </w:r>
      <w:r w:rsidR="00AC5BFD">
        <w:rPr>
          <w:rFonts w:ascii="Times New Roman" w:hAnsi="Times New Roman"/>
          <w:bCs/>
          <w:i/>
          <w:iCs/>
          <w:sz w:val="24"/>
        </w:rPr>
        <w:t>’</w:t>
      </w:r>
    </w:p>
    <w:p w14:paraId="25A922B8" w14:textId="77777777" w:rsidR="007535AA" w:rsidRDefault="007535AA" w:rsidP="007535AA">
      <w:pPr>
        <w:pStyle w:val="ListParagraph"/>
        <w:spacing w:line="480" w:lineRule="auto"/>
        <w:ind w:left="0"/>
        <w:contextualSpacing w:val="0"/>
        <w:rPr>
          <w:rFonts w:ascii="Times New Roman" w:hAnsi="Times New Roman"/>
          <w:bCs/>
          <w:i/>
          <w:iCs/>
          <w:sz w:val="24"/>
        </w:rPr>
      </w:pPr>
    </w:p>
    <w:p w14:paraId="0A3B8AA6" w14:textId="284CCEE0" w:rsidR="008B7906" w:rsidRPr="00155C58" w:rsidRDefault="008B7906" w:rsidP="00F9101B">
      <w:pPr>
        <w:pStyle w:val="ListParagraph"/>
        <w:spacing w:after="480" w:line="480" w:lineRule="auto"/>
        <w:ind w:left="0"/>
        <w:contextualSpacing w:val="0"/>
        <w:rPr>
          <w:rFonts w:ascii="Times New Roman" w:hAnsi="Times New Roman"/>
          <w:bCs/>
          <w:i/>
          <w:iCs/>
          <w:sz w:val="24"/>
        </w:rPr>
      </w:pPr>
      <w:r w:rsidRPr="00155C58">
        <w:rPr>
          <w:rFonts w:ascii="Times New Roman" w:hAnsi="Times New Roman"/>
          <w:bCs/>
          <w:i/>
          <w:iCs/>
          <w:sz w:val="24"/>
        </w:rPr>
        <w:t>I</w:t>
      </w:r>
      <w:r w:rsidR="00F9101B" w:rsidRPr="00155C58">
        <w:rPr>
          <w:rFonts w:ascii="Times New Roman" w:hAnsi="Times New Roman"/>
          <w:bCs/>
          <w:i/>
          <w:iCs/>
          <w:sz w:val="24"/>
        </w:rPr>
        <w:t>ssues</w:t>
      </w:r>
      <w:r w:rsidR="00841B7E" w:rsidRPr="00155C58">
        <w:rPr>
          <w:rFonts w:ascii="Times New Roman" w:hAnsi="Times New Roman"/>
          <w:bCs/>
          <w:i/>
          <w:iCs/>
          <w:sz w:val="24"/>
        </w:rPr>
        <w:t xml:space="preserve"> for determination</w:t>
      </w:r>
    </w:p>
    <w:p w14:paraId="1DD39DDD" w14:textId="2B15C7AC" w:rsidR="00331E83" w:rsidRPr="008111C5" w:rsidRDefault="00F9101B" w:rsidP="008111C5">
      <w:pPr>
        <w:pStyle w:val="ListParagraph"/>
        <w:spacing w:after="480" w:line="480" w:lineRule="auto"/>
        <w:ind w:left="0"/>
        <w:contextualSpacing w:val="0"/>
        <w:rPr>
          <w:rFonts w:ascii="Times New Roman" w:hAnsi="Times New Roman"/>
          <w:bCs/>
          <w:i/>
          <w:iCs/>
          <w:sz w:val="24"/>
        </w:rPr>
      </w:pPr>
      <w:r>
        <w:rPr>
          <w:rFonts w:ascii="Times New Roman" w:hAnsi="Times New Roman"/>
          <w:bCs/>
          <w:sz w:val="24"/>
        </w:rPr>
        <w:t>The</w:t>
      </w:r>
      <w:r w:rsidR="008111C5">
        <w:rPr>
          <w:rFonts w:ascii="Times New Roman" w:hAnsi="Times New Roman"/>
          <w:bCs/>
          <w:sz w:val="24"/>
        </w:rPr>
        <w:t xml:space="preserve"> issue</w:t>
      </w:r>
      <w:r w:rsidR="009372A8">
        <w:rPr>
          <w:rFonts w:ascii="Times New Roman" w:hAnsi="Times New Roman"/>
          <w:bCs/>
          <w:sz w:val="24"/>
        </w:rPr>
        <w:t>s</w:t>
      </w:r>
      <w:r w:rsidR="008111C5">
        <w:rPr>
          <w:rFonts w:ascii="Times New Roman" w:hAnsi="Times New Roman"/>
          <w:bCs/>
          <w:sz w:val="24"/>
        </w:rPr>
        <w:t xml:space="preserve"> for determination are as set out below.</w:t>
      </w:r>
    </w:p>
    <w:p w14:paraId="70A2E8C9" w14:textId="6FF8A65C" w:rsidR="008111C5" w:rsidRPr="003E4555" w:rsidRDefault="003E4555" w:rsidP="003E4555">
      <w:pPr>
        <w:spacing w:after="480" w:line="480" w:lineRule="auto"/>
        <w:rPr>
          <w:rFonts w:ascii="Times New Roman" w:hAnsi="Times New Roman"/>
          <w:bCs/>
          <w:i/>
          <w:iCs/>
          <w:sz w:val="24"/>
        </w:rPr>
      </w:pPr>
      <w:r w:rsidRPr="002E53E9">
        <w:rPr>
          <w:rFonts w:ascii="Times New Roman" w:hAnsi="Times New Roman"/>
          <w:bCs/>
          <w:iCs/>
          <w:sz w:val="24"/>
        </w:rPr>
        <w:t>[29]</w:t>
      </w:r>
      <w:r w:rsidRPr="002E53E9">
        <w:rPr>
          <w:rFonts w:ascii="Times New Roman" w:hAnsi="Times New Roman"/>
          <w:bCs/>
          <w:iCs/>
          <w:sz w:val="24"/>
        </w:rPr>
        <w:tab/>
      </w:r>
      <w:r w:rsidR="00FE3C35" w:rsidRPr="003E4555">
        <w:rPr>
          <w:rFonts w:ascii="Times New Roman" w:hAnsi="Times New Roman"/>
          <w:bCs/>
          <w:sz w:val="24"/>
        </w:rPr>
        <w:t xml:space="preserve">Whether the agreement was terminated in accordance with the </w:t>
      </w:r>
      <w:r w:rsidR="002E53E9" w:rsidRPr="003E4555">
        <w:rPr>
          <w:rFonts w:ascii="Times New Roman" w:hAnsi="Times New Roman"/>
          <w:bCs/>
          <w:sz w:val="24"/>
        </w:rPr>
        <w:t xml:space="preserve">terms of the </w:t>
      </w:r>
      <w:r w:rsidR="00FE3C35" w:rsidRPr="003E4555">
        <w:rPr>
          <w:rFonts w:ascii="Times New Roman" w:hAnsi="Times New Roman"/>
          <w:bCs/>
          <w:sz w:val="24"/>
        </w:rPr>
        <w:t xml:space="preserve">lease </w:t>
      </w:r>
      <w:r w:rsidR="008A0207" w:rsidRPr="003E4555">
        <w:rPr>
          <w:rFonts w:ascii="Times New Roman" w:hAnsi="Times New Roman"/>
          <w:bCs/>
          <w:sz w:val="24"/>
        </w:rPr>
        <w:t xml:space="preserve">and franchise </w:t>
      </w:r>
      <w:r w:rsidR="00FE3C35" w:rsidRPr="003E4555">
        <w:rPr>
          <w:rFonts w:ascii="Times New Roman" w:hAnsi="Times New Roman"/>
          <w:bCs/>
          <w:sz w:val="24"/>
        </w:rPr>
        <w:t>agreement.</w:t>
      </w:r>
    </w:p>
    <w:p w14:paraId="700ED5FC" w14:textId="3708E4CB" w:rsidR="002E53E9" w:rsidRPr="003E4555" w:rsidRDefault="003E4555" w:rsidP="003E4555">
      <w:pPr>
        <w:spacing w:after="480" w:line="480" w:lineRule="auto"/>
        <w:rPr>
          <w:rFonts w:ascii="Times New Roman" w:hAnsi="Times New Roman"/>
          <w:bCs/>
          <w:i/>
          <w:iCs/>
          <w:sz w:val="24"/>
        </w:rPr>
      </w:pPr>
      <w:r w:rsidRPr="00FE3C35">
        <w:rPr>
          <w:rFonts w:ascii="Times New Roman" w:hAnsi="Times New Roman"/>
          <w:bCs/>
          <w:iCs/>
          <w:sz w:val="24"/>
        </w:rPr>
        <w:t>[30]</w:t>
      </w:r>
      <w:r w:rsidRPr="00FE3C35">
        <w:rPr>
          <w:rFonts w:ascii="Times New Roman" w:hAnsi="Times New Roman"/>
          <w:bCs/>
          <w:iCs/>
          <w:sz w:val="24"/>
        </w:rPr>
        <w:tab/>
      </w:r>
      <w:r w:rsidR="005E497C" w:rsidRPr="003E4555">
        <w:rPr>
          <w:rFonts w:ascii="Times New Roman" w:hAnsi="Times New Roman"/>
          <w:bCs/>
          <w:sz w:val="24"/>
        </w:rPr>
        <w:t xml:space="preserve">To determine the point </w:t>
      </w:r>
      <w:r w:rsidR="005E497C" w:rsidRPr="003E4555">
        <w:rPr>
          <w:rFonts w:ascii="Times New Roman" w:hAnsi="Times New Roman"/>
          <w:bCs/>
          <w:i/>
          <w:iCs/>
          <w:sz w:val="24"/>
        </w:rPr>
        <w:t>in limine</w:t>
      </w:r>
      <w:r w:rsidR="005E497C" w:rsidRPr="003E4555">
        <w:rPr>
          <w:rFonts w:ascii="Times New Roman" w:hAnsi="Times New Roman"/>
          <w:bCs/>
          <w:sz w:val="24"/>
        </w:rPr>
        <w:t xml:space="preserve"> of </w:t>
      </w:r>
      <w:r w:rsidR="00916375" w:rsidRPr="003E4555">
        <w:rPr>
          <w:rFonts w:ascii="Times New Roman" w:hAnsi="Times New Roman"/>
          <w:bCs/>
          <w:sz w:val="24"/>
        </w:rPr>
        <w:t>n</w:t>
      </w:r>
      <w:r w:rsidR="002E53E9" w:rsidRPr="003E4555">
        <w:rPr>
          <w:rFonts w:ascii="Times New Roman" w:hAnsi="Times New Roman"/>
          <w:bCs/>
          <w:sz w:val="24"/>
        </w:rPr>
        <w:t xml:space="preserve">on-joinder, </w:t>
      </w:r>
      <w:r w:rsidR="005E497C" w:rsidRPr="003E4555">
        <w:rPr>
          <w:rFonts w:ascii="Times New Roman" w:hAnsi="Times New Roman"/>
          <w:bCs/>
          <w:sz w:val="24"/>
        </w:rPr>
        <w:t xml:space="preserve">the </w:t>
      </w:r>
      <w:r w:rsidR="005821E8" w:rsidRPr="003E4555">
        <w:rPr>
          <w:rFonts w:ascii="Times New Roman" w:hAnsi="Times New Roman"/>
          <w:bCs/>
          <w:sz w:val="24"/>
        </w:rPr>
        <w:t xml:space="preserve">respondent’s </w:t>
      </w:r>
      <w:r w:rsidR="005E497C" w:rsidRPr="003E4555">
        <w:rPr>
          <w:rFonts w:ascii="Times New Roman" w:hAnsi="Times New Roman"/>
          <w:bCs/>
          <w:sz w:val="24"/>
        </w:rPr>
        <w:t xml:space="preserve">claim </w:t>
      </w:r>
      <w:r w:rsidR="008A0207" w:rsidRPr="003E4555">
        <w:rPr>
          <w:rFonts w:ascii="Times New Roman" w:hAnsi="Times New Roman"/>
          <w:bCs/>
          <w:sz w:val="24"/>
        </w:rPr>
        <w:t>of a</w:t>
      </w:r>
      <w:r w:rsidR="005E497C" w:rsidRPr="003E4555">
        <w:rPr>
          <w:rFonts w:ascii="Times New Roman" w:hAnsi="Times New Roman"/>
          <w:bCs/>
          <w:sz w:val="24"/>
        </w:rPr>
        <w:t xml:space="preserve"> </w:t>
      </w:r>
      <w:r w:rsidR="002E53E9" w:rsidRPr="003E4555">
        <w:rPr>
          <w:rFonts w:ascii="Times New Roman" w:hAnsi="Times New Roman"/>
          <w:bCs/>
          <w:sz w:val="24"/>
        </w:rPr>
        <w:t xml:space="preserve">reasonable expectation, </w:t>
      </w:r>
      <w:r w:rsidR="005821E8" w:rsidRPr="003E4555">
        <w:rPr>
          <w:rFonts w:ascii="Times New Roman" w:hAnsi="Times New Roman"/>
          <w:bCs/>
          <w:sz w:val="24"/>
        </w:rPr>
        <w:t xml:space="preserve">the respondent’s </w:t>
      </w:r>
      <w:r w:rsidR="002E53E9" w:rsidRPr="003E4555">
        <w:rPr>
          <w:rFonts w:ascii="Times New Roman" w:hAnsi="Times New Roman"/>
          <w:bCs/>
          <w:sz w:val="24"/>
        </w:rPr>
        <w:t xml:space="preserve">right of first refusal, </w:t>
      </w:r>
      <w:r w:rsidR="005821E8" w:rsidRPr="003E4555">
        <w:rPr>
          <w:rFonts w:ascii="Times New Roman" w:hAnsi="Times New Roman"/>
          <w:bCs/>
          <w:sz w:val="24"/>
        </w:rPr>
        <w:t xml:space="preserve">the respondent’s </w:t>
      </w:r>
      <w:r w:rsidR="005E497C" w:rsidRPr="003E4555">
        <w:rPr>
          <w:rFonts w:ascii="Times New Roman" w:hAnsi="Times New Roman"/>
          <w:bCs/>
          <w:sz w:val="24"/>
        </w:rPr>
        <w:t xml:space="preserve">the right to the </w:t>
      </w:r>
      <w:r w:rsidR="002E53E9" w:rsidRPr="003E4555">
        <w:rPr>
          <w:rFonts w:ascii="Times New Roman" w:hAnsi="Times New Roman"/>
          <w:bCs/>
          <w:sz w:val="24"/>
        </w:rPr>
        <w:t>sale of business.</w:t>
      </w:r>
    </w:p>
    <w:p w14:paraId="1FAB504B" w14:textId="56370181" w:rsidR="00FE3C35" w:rsidRPr="003E4555" w:rsidRDefault="003E4555" w:rsidP="003E4555">
      <w:pPr>
        <w:spacing w:after="480" w:line="480" w:lineRule="auto"/>
        <w:rPr>
          <w:rFonts w:ascii="Times New Roman" w:hAnsi="Times New Roman"/>
          <w:bCs/>
          <w:i/>
          <w:iCs/>
          <w:sz w:val="24"/>
        </w:rPr>
      </w:pPr>
      <w:r w:rsidRPr="005821E8">
        <w:rPr>
          <w:rFonts w:ascii="Times New Roman" w:hAnsi="Times New Roman"/>
          <w:bCs/>
          <w:iCs/>
          <w:sz w:val="24"/>
        </w:rPr>
        <w:t>[31]</w:t>
      </w:r>
      <w:r w:rsidRPr="005821E8">
        <w:rPr>
          <w:rFonts w:ascii="Times New Roman" w:hAnsi="Times New Roman"/>
          <w:bCs/>
          <w:iCs/>
          <w:sz w:val="24"/>
        </w:rPr>
        <w:tab/>
      </w:r>
      <w:r w:rsidR="00FE3C35" w:rsidRPr="003E4555">
        <w:rPr>
          <w:rFonts w:ascii="Times New Roman" w:hAnsi="Times New Roman"/>
          <w:bCs/>
          <w:sz w:val="24"/>
        </w:rPr>
        <w:t>Whether the respondent has made out a case for the stay of the</w:t>
      </w:r>
      <w:r w:rsidR="002E53E9" w:rsidRPr="003E4555">
        <w:rPr>
          <w:rFonts w:ascii="Times New Roman" w:hAnsi="Times New Roman"/>
          <w:bCs/>
          <w:sz w:val="24"/>
        </w:rPr>
        <w:t xml:space="preserve"> application of the</w:t>
      </w:r>
      <w:r w:rsidR="00FE3C35" w:rsidRPr="003E4555">
        <w:rPr>
          <w:rFonts w:ascii="Times New Roman" w:hAnsi="Times New Roman"/>
          <w:bCs/>
          <w:sz w:val="24"/>
        </w:rPr>
        <w:t xml:space="preserve"> eviction pending adjudication of the referral to arbitration in terms of section 12B of the</w:t>
      </w:r>
      <w:r w:rsidR="002E53E9" w:rsidRPr="003E4555">
        <w:rPr>
          <w:rFonts w:ascii="Times New Roman" w:hAnsi="Times New Roman"/>
          <w:bCs/>
          <w:sz w:val="24"/>
        </w:rPr>
        <w:t xml:space="preserve"> PPA</w:t>
      </w:r>
      <w:r w:rsidR="00FE3C35" w:rsidRPr="003E4555">
        <w:rPr>
          <w:rFonts w:ascii="Times New Roman" w:hAnsi="Times New Roman"/>
          <w:bCs/>
          <w:sz w:val="24"/>
        </w:rPr>
        <w:t>.</w:t>
      </w:r>
    </w:p>
    <w:p w14:paraId="5F409F29" w14:textId="6D607FE9" w:rsidR="00B76AD8" w:rsidRPr="00A113D2" w:rsidRDefault="00B76AD8" w:rsidP="00D76520">
      <w:pPr>
        <w:pStyle w:val="ListParagraph"/>
        <w:spacing w:after="480" w:line="480" w:lineRule="auto"/>
        <w:ind w:left="0"/>
        <w:contextualSpacing w:val="0"/>
        <w:rPr>
          <w:rFonts w:ascii="Times New Roman" w:hAnsi="Times New Roman"/>
          <w:bCs/>
          <w:i/>
          <w:iCs/>
          <w:sz w:val="24"/>
        </w:rPr>
      </w:pPr>
      <w:r w:rsidRPr="00A113D2">
        <w:rPr>
          <w:rFonts w:ascii="Times New Roman" w:hAnsi="Times New Roman"/>
          <w:bCs/>
          <w:i/>
          <w:iCs/>
          <w:sz w:val="24"/>
        </w:rPr>
        <w:t>Submission</w:t>
      </w:r>
      <w:r w:rsidR="00A113D2">
        <w:rPr>
          <w:rFonts w:ascii="Times New Roman" w:hAnsi="Times New Roman"/>
          <w:bCs/>
          <w:i/>
          <w:iCs/>
          <w:sz w:val="24"/>
        </w:rPr>
        <w:t>s</w:t>
      </w:r>
      <w:r w:rsidRPr="00A113D2">
        <w:rPr>
          <w:rFonts w:ascii="Times New Roman" w:hAnsi="Times New Roman"/>
          <w:bCs/>
          <w:i/>
          <w:iCs/>
          <w:sz w:val="24"/>
        </w:rPr>
        <w:t xml:space="preserve"> and contentions by the parties</w:t>
      </w:r>
      <w:r w:rsidR="00A113D2">
        <w:rPr>
          <w:rFonts w:ascii="Times New Roman" w:hAnsi="Times New Roman"/>
          <w:bCs/>
          <w:i/>
          <w:iCs/>
          <w:sz w:val="24"/>
        </w:rPr>
        <w:t>.</w:t>
      </w:r>
    </w:p>
    <w:p w14:paraId="310CF23D" w14:textId="5EA50AAC" w:rsidR="009372A8" w:rsidRPr="009372A8" w:rsidRDefault="009372A8" w:rsidP="009372A8">
      <w:pPr>
        <w:pStyle w:val="ListParagraph"/>
        <w:spacing w:after="480" w:line="480" w:lineRule="auto"/>
        <w:ind w:left="0" w:firstLine="720"/>
        <w:contextualSpacing w:val="0"/>
        <w:rPr>
          <w:rFonts w:ascii="Times New Roman" w:hAnsi="Times New Roman"/>
          <w:bCs/>
          <w:i/>
          <w:iCs/>
          <w:sz w:val="24"/>
        </w:rPr>
      </w:pPr>
      <w:r w:rsidRPr="009372A8">
        <w:rPr>
          <w:rFonts w:ascii="Times New Roman" w:hAnsi="Times New Roman"/>
          <w:bCs/>
          <w:i/>
          <w:iCs/>
          <w:sz w:val="24"/>
        </w:rPr>
        <w:t>Non-Joinder</w:t>
      </w:r>
    </w:p>
    <w:p w14:paraId="1E062030" w14:textId="0518EF05" w:rsidR="009372A8" w:rsidRPr="003E4555" w:rsidRDefault="003E4555" w:rsidP="003E4555">
      <w:pPr>
        <w:spacing w:after="480" w:line="480" w:lineRule="auto"/>
        <w:rPr>
          <w:rFonts w:ascii="Times New Roman" w:hAnsi="Times New Roman"/>
          <w:bCs/>
          <w:i/>
          <w:iCs/>
          <w:sz w:val="24"/>
        </w:rPr>
      </w:pPr>
      <w:r w:rsidRPr="00080409">
        <w:rPr>
          <w:rFonts w:ascii="Times New Roman" w:hAnsi="Times New Roman"/>
          <w:bCs/>
          <w:iCs/>
          <w:sz w:val="24"/>
        </w:rPr>
        <w:t>[32]</w:t>
      </w:r>
      <w:r w:rsidRPr="00080409">
        <w:rPr>
          <w:rFonts w:ascii="Times New Roman" w:hAnsi="Times New Roman"/>
          <w:bCs/>
          <w:iCs/>
          <w:sz w:val="24"/>
        </w:rPr>
        <w:tab/>
      </w:r>
      <w:r w:rsidR="00080409" w:rsidRPr="003E4555">
        <w:rPr>
          <w:rFonts w:ascii="Times New Roman" w:hAnsi="Times New Roman"/>
          <w:bCs/>
          <w:sz w:val="24"/>
        </w:rPr>
        <w:t xml:space="preserve">The respondent contends that </w:t>
      </w:r>
      <w:r w:rsidR="005E497C" w:rsidRPr="003E4555">
        <w:rPr>
          <w:rFonts w:ascii="Times New Roman" w:hAnsi="Times New Roman"/>
          <w:bCs/>
          <w:sz w:val="24"/>
        </w:rPr>
        <w:t xml:space="preserve">both </w:t>
      </w:r>
      <w:r w:rsidR="00080409" w:rsidRPr="003E4555">
        <w:rPr>
          <w:rFonts w:ascii="Times New Roman" w:hAnsi="Times New Roman"/>
          <w:bCs/>
          <w:sz w:val="24"/>
        </w:rPr>
        <w:t xml:space="preserve">Salvation Army and Oblix have interest in this </w:t>
      </w:r>
      <w:r w:rsidR="00080409" w:rsidRPr="003E4555">
        <w:rPr>
          <w:rFonts w:ascii="Times New Roman" w:hAnsi="Times New Roman"/>
          <w:bCs/>
          <w:i/>
          <w:iCs/>
          <w:sz w:val="24"/>
        </w:rPr>
        <w:t>lis</w:t>
      </w:r>
      <w:r w:rsidR="00080409" w:rsidRPr="003E4555">
        <w:rPr>
          <w:rFonts w:ascii="Times New Roman" w:hAnsi="Times New Roman"/>
          <w:bCs/>
          <w:sz w:val="24"/>
        </w:rPr>
        <w:t xml:space="preserve"> and should have been joined as parties. </w:t>
      </w:r>
      <w:r w:rsidR="005E497C" w:rsidRPr="003E4555">
        <w:rPr>
          <w:rFonts w:ascii="Times New Roman" w:hAnsi="Times New Roman"/>
          <w:bCs/>
          <w:sz w:val="24"/>
        </w:rPr>
        <w:t>Further that Oblix</w:t>
      </w:r>
      <w:r w:rsidR="008A0207" w:rsidRPr="003E4555">
        <w:rPr>
          <w:rFonts w:ascii="Times New Roman" w:hAnsi="Times New Roman"/>
          <w:bCs/>
          <w:sz w:val="24"/>
        </w:rPr>
        <w:t>’s</w:t>
      </w:r>
      <w:r w:rsidR="005E497C" w:rsidRPr="003E4555">
        <w:rPr>
          <w:rFonts w:ascii="Times New Roman" w:hAnsi="Times New Roman"/>
          <w:bCs/>
          <w:sz w:val="24"/>
        </w:rPr>
        <w:t xml:space="preserve"> interest is predicated on </w:t>
      </w:r>
      <w:r w:rsidR="005E497C" w:rsidRPr="003E4555">
        <w:rPr>
          <w:rFonts w:ascii="Times New Roman" w:hAnsi="Times New Roman"/>
          <w:bCs/>
          <w:sz w:val="24"/>
        </w:rPr>
        <w:lastRenderedPageBreak/>
        <w:t xml:space="preserve">the basis that </w:t>
      </w:r>
      <w:r w:rsidR="00080409" w:rsidRPr="003E4555">
        <w:rPr>
          <w:rFonts w:ascii="Times New Roman" w:hAnsi="Times New Roman"/>
          <w:bCs/>
          <w:sz w:val="24"/>
        </w:rPr>
        <w:t xml:space="preserve">the respondent intends </w:t>
      </w:r>
      <w:r w:rsidR="00B13C0A" w:rsidRPr="003E4555">
        <w:rPr>
          <w:rFonts w:ascii="Times New Roman" w:hAnsi="Times New Roman"/>
          <w:bCs/>
          <w:sz w:val="24"/>
        </w:rPr>
        <w:t>instituting the proceedings against Oblix for unfair competition and the said suit will be consolidated</w:t>
      </w:r>
      <w:r w:rsidR="005E497C" w:rsidRPr="003E4555">
        <w:rPr>
          <w:rFonts w:ascii="Times New Roman" w:hAnsi="Times New Roman"/>
          <w:bCs/>
          <w:sz w:val="24"/>
        </w:rPr>
        <w:t xml:space="preserve"> with this </w:t>
      </w:r>
      <w:r w:rsidR="005E497C" w:rsidRPr="003E4555">
        <w:rPr>
          <w:rFonts w:ascii="Times New Roman" w:hAnsi="Times New Roman"/>
          <w:bCs/>
          <w:i/>
          <w:iCs/>
          <w:sz w:val="24"/>
        </w:rPr>
        <w:t>lis</w:t>
      </w:r>
      <w:r w:rsidR="00B13C0A" w:rsidRPr="003E4555">
        <w:rPr>
          <w:rFonts w:ascii="Times New Roman" w:hAnsi="Times New Roman"/>
          <w:bCs/>
          <w:sz w:val="24"/>
        </w:rPr>
        <w:t>.</w:t>
      </w:r>
      <w:r w:rsidR="00B13C0A">
        <w:rPr>
          <w:rStyle w:val="FootnoteReference"/>
          <w:rFonts w:ascii="Times New Roman" w:hAnsi="Times New Roman"/>
          <w:bCs/>
          <w:sz w:val="24"/>
        </w:rPr>
        <w:footnoteReference w:id="14"/>
      </w:r>
    </w:p>
    <w:p w14:paraId="0D3CCD42" w14:textId="408456BF" w:rsidR="00080409" w:rsidRPr="003E4555" w:rsidRDefault="003E4555" w:rsidP="003E4555">
      <w:pPr>
        <w:spacing w:after="480" w:line="480" w:lineRule="auto"/>
        <w:rPr>
          <w:rFonts w:ascii="Times New Roman" w:hAnsi="Times New Roman"/>
          <w:bCs/>
          <w:i/>
          <w:iCs/>
          <w:sz w:val="24"/>
        </w:rPr>
      </w:pPr>
      <w:r w:rsidRPr="005821E8">
        <w:rPr>
          <w:rFonts w:ascii="Times New Roman" w:hAnsi="Times New Roman"/>
          <w:bCs/>
          <w:iCs/>
          <w:sz w:val="24"/>
        </w:rPr>
        <w:t>[33]</w:t>
      </w:r>
      <w:r w:rsidRPr="005821E8">
        <w:rPr>
          <w:rFonts w:ascii="Times New Roman" w:hAnsi="Times New Roman"/>
          <w:bCs/>
          <w:iCs/>
          <w:sz w:val="24"/>
        </w:rPr>
        <w:tab/>
      </w:r>
      <w:r w:rsidR="00080409" w:rsidRPr="003E4555">
        <w:rPr>
          <w:rFonts w:ascii="Times New Roman" w:hAnsi="Times New Roman"/>
          <w:bCs/>
          <w:sz w:val="24"/>
        </w:rPr>
        <w:t xml:space="preserve">The applicant contends in retort that </w:t>
      </w:r>
      <w:r w:rsidR="00B13C0A" w:rsidRPr="003E4555">
        <w:rPr>
          <w:rFonts w:ascii="Times New Roman" w:hAnsi="Times New Roman"/>
          <w:bCs/>
          <w:sz w:val="24"/>
        </w:rPr>
        <w:t xml:space="preserve">Salvation Army has no rights to exert during the currency of the notarial lease entered </w:t>
      </w:r>
      <w:r w:rsidR="005E497C" w:rsidRPr="003E4555">
        <w:rPr>
          <w:rFonts w:ascii="Times New Roman" w:hAnsi="Times New Roman"/>
          <w:bCs/>
          <w:sz w:val="24"/>
        </w:rPr>
        <w:t xml:space="preserve">into </w:t>
      </w:r>
      <w:r w:rsidR="00B13C0A" w:rsidRPr="003E4555">
        <w:rPr>
          <w:rFonts w:ascii="Times New Roman" w:hAnsi="Times New Roman"/>
          <w:bCs/>
          <w:sz w:val="24"/>
        </w:rPr>
        <w:t xml:space="preserve">with Oblix and </w:t>
      </w:r>
      <w:r w:rsidR="005E497C" w:rsidRPr="003E4555">
        <w:rPr>
          <w:rFonts w:ascii="Times New Roman" w:hAnsi="Times New Roman"/>
          <w:bCs/>
          <w:sz w:val="24"/>
        </w:rPr>
        <w:t xml:space="preserve">therefore </w:t>
      </w:r>
      <w:r w:rsidR="00B13C0A" w:rsidRPr="003E4555">
        <w:rPr>
          <w:rFonts w:ascii="Times New Roman" w:hAnsi="Times New Roman"/>
          <w:bCs/>
          <w:sz w:val="24"/>
        </w:rPr>
        <w:t xml:space="preserve">has no interest in the </w:t>
      </w:r>
      <w:r w:rsidR="00B13C0A" w:rsidRPr="003E4555">
        <w:rPr>
          <w:rFonts w:ascii="Times New Roman" w:hAnsi="Times New Roman"/>
          <w:bCs/>
          <w:i/>
          <w:iCs/>
          <w:sz w:val="24"/>
        </w:rPr>
        <w:t>lis</w:t>
      </w:r>
      <w:r w:rsidR="00B13C0A" w:rsidRPr="003E4555">
        <w:rPr>
          <w:rFonts w:ascii="Times New Roman" w:hAnsi="Times New Roman"/>
          <w:bCs/>
          <w:sz w:val="24"/>
        </w:rPr>
        <w:t xml:space="preserve"> between the parties. </w:t>
      </w:r>
      <w:r w:rsidR="005E497C" w:rsidRPr="003E4555">
        <w:rPr>
          <w:rFonts w:ascii="Times New Roman" w:hAnsi="Times New Roman"/>
          <w:bCs/>
          <w:sz w:val="24"/>
        </w:rPr>
        <w:t>O</w:t>
      </w:r>
      <w:r w:rsidR="00B13C0A" w:rsidRPr="003E4555">
        <w:rPr>
          <w:rFonts w:ascii="Times New Roman" w:hAnsi="Times New Roman"/>
          <w:bCs/>
          <w:sz w:val="24"/>
        </w:rPr>
        <w:t>n the other hand</w:t>
      </w:r>
      <w:r w:rsidR="008A0207" w:rsidRPr="003E4555">
        <w:rPr>
          <w:rFonts w:ascii="Times New Roman" w:hAnsi="Times New Roman"/>
          <w:bCs/>
          <w:sz w:val="24"/>
        </w:rPr>
        <w:t>,</w:t>
      </w:r>
      <w:r w:rsidR="00B13C0A" w:rsidRPr="003E4555">
        <w:rPr>
          <w:rFonts w:ascii="Times New Roman" w:hAnsi="Times New Roman"/>
          <w:bCs/>
          <w:sz w:val="24"/>
        </w:rPr>
        <w:t xml:space="preserve"> Oblix stated through a correspondence</w:t>
      </w:r>
      <w:r w:rsidR="005E497C" w:rsidRPr="003E4555">
        <w:rPr>
          <w:rFonts w:ascii="Times New Roman" w:hAnsi="Times New Roman"/>
          <w:bCs/>
          <w:sz w:val="24"/>
        </w:rPr>
        <w:t xml:space="preserve"> to the applicant</w:t>
      </w:r>
      <w:r w:rsidR="00B13C0A" w:rsidRPr="003E4555">
        <w:rPr>
          <w:rFonts w:ascii="Times New Roman" w:hAnsi="Times New Roman"/>
          <w:bCs/>
          <w:sz w:val="24"/>
        </w:rPr>
        <w:t xml:space="preserve"> that it would abide by the court decision.</w:t>
      </w:r>
    </w:p>
    <w:p w14:paraId="02E312D5" w14:textId="77777777" w:rsidR="005821E8" w:rsidRPr="00A113D2" w:rsidRDefault="005821E8" w:rsidP="005821E8">
      <w:pPr>
        <w:pStyle w:val="ListParagraph"/>
        <w:spacing w:after="480" w:line="480" w:lineRule="auto"/>
        <w:ind w:left="0" w:firstLine="720"/>
        <w:contextualSpacing w:val="0"/>
        <w:rPr>
          <w:rFonts w:ascii="Times New Roman" w:hAnsi="Times New Roman"/>
          <w:bCs/>
          <w:i/>
          <w:iCs/>
          <w:sz w:val="24"/>
        </w:rPr>
      </w:pPr>
      <w:r w:rsidRPr="00A113D2">
        <w:rPr>
          <w:rFonts w:ascii="Times New Roman" w:hAnsi="Times New Roman"/>
          <w:bCs/>
          <w:i/>
          <w:iCs/>
          <w:sz w:val="24"/>
        </w:rPr>
        <w:t>Unfair and unlawful competition</w:t>
      </w:r>
    </w:p>
    <w:p w14:paraId="5C562EFF" w14:textId="15E26764" w:rsidR="005821E8" w:rsidRPr="003E4555" w:rsidRDefault="003E4555" w:rsidP="003E4555">
      <w:pPr>
        <w:spacing w:after="480" w:line="480" w:lineRule="auto"/>
        <w:rPr>
          <w:rFonts w:ascii="Times New Roman" w:hAnsi="Times New Roman"/>
          <w:bCs/>
          <w:i/>
          <w:iCs/>
          <w:sz w:val="24"/>
        </w:rPr>
      </w:pPr>
      <w:r w:rsidRPr="006F57C9">
        <w:rPr>
          <w:rFonts w:ascii="Times New Roman" w:hAnsi="Times New Roman"/>
          <w:bCs/>
          <w:iCs/>
          <w:sz w:val="24"/>
        </w:rPr>
        <w:t>[34]</w:t>
      </w:r>
      <w:r w:rsidRPr="006F57C9">
        <w:rPr>
          <w:rFonts w:ascii="Times New Roman" w:hAnsi="Times New Roman"/>
          <w:bCs/>
          <w:iCs/>
          <w:sz w:val="24"/>
        </w:rPr>
        <w:tab/>
      </w:r>
      <w:r w:rsidR="005821E8" w:rsidRPr="003E4555">
        <w:rPr>
          <w:rFonts w:ascii="Times New Roman" w:hAnsi="Times New Roman"/>
          <w:bCs/>
          <w:sz w:val="24"/>
        </w:rPr>
        <w:t xml:space="preserve">The respondent contends that the </w:t>
      </w:r>
      <w:r w:rsidR="005821E8" w:rsidRPr="003E4555">
        <w:rPr>
          <w:rFonts w:ascii="Times New Roman" w:hAnsi="Times New Roman"/>
          <w:bCs/>
          <w:i/>
          <w:iCs/>
          <w:sz w:val="24"/>
        </w:rPr>
        <w:t>‘… it is a form of unlawful competition to misappropriate a competitors performance</w:t>
      </w:r>
      <w:r w:rsidR="005821E8" w:rsidRPr="003E4555">
        <w:rPr>
          <w:rFonts w:ascii="Times New Roman" w:hAnsi="Times New Roman"/>
          <w:bCs/>
          <w:sz w:val="24"/>
        </w:rPr>
        <w:t>’.</w:t>
      </w:r>
      <w:r w:rsidR="005821E8">
        <w:rPr>
          <w:rStyle w:val="FootnoteReference"/>
          <w:rFonts w:ascii="Times New Roman" w:hAnsi="Times New Roman"/>
          <w:bCs/>
          <w:sz w:val="24"/>
        </w:rPr>
        <w:footnoteReference w:id="15"/>
      </w:r>
      <w:r w:rsidR="005821E8" w:rsidRPr="003E4555">
        <w:rPr>
          <w:rFonts w:ascii="Times New Roman" w:hAnsi="Times New Roman"/>
          <w:bCs/>
          <w:sz w:val="24"/>
        </w:rPr>
        <w:t xml:space="preserve"> The applicant and Oblix should be interdicted from conducting themselves in such a way that they intend to unfairly interfere with the business of the respondent by breaching clause 7.5 of the franchise agreement which affords the respondent the right of first refusal. The applicant having contended the reference to clause 7.5 of the franchise agreement was ill-advised.</w:t>
      </w:r>
    </w:p>
    <w:p w14:paraId="544ADFA1" w14:textId="70B78A9A" w:rsidR="009372A8" w:rsidRDefault="009372A8" w:rsidP="009F1353">
      <w:pPr>
        <w:pStyle w:val="ListParagraph"/>
        <w:spacing w:after="480" w:line="480" w:lineRule="auto"/>
        <w:ind w:left="0" w:firstLine="720"/>
        <w:contextualSpacing w:val="0"/>
        <w:rPr>
          <w:rFonts w:ascii="Times New Roman" w:hAnsi="Times New Roman"/>
          <w:bCs/>
          <w:i/>
          <w:iCs/>
          <w:sz w:val="24"/>
        </w:rPr>
      </w:pPr>
      <w:r w:rsidRPr="009372A8">
        <w:rPr>
          <w:rFonts w:ascii="Times New Roman" w:hAnsi="Times New Roman"/>
          <w:bCs/>
          <w:i/>
          <w:iCs/>
          <w:sz w:val="24"/>
        </w:rPr>
        <w:t xml:space="preserve">Right of first refusal </w:t>
      </w:r>
    </w:p>
    <w:p w14:paraId="0F828B22" w14:textId="7BCAE558" w:rsidR="00E26BE3" w:rsidRPr="003E4555" w:rsidRDefault="003E4555" w:rsidP="003E4555">
      <w:pPr>
        <w:spacing w:after="480" w:line="480" w:lineRule="auto"/>
        <w:rPr>
          <w:rFonts w:ascii="Times New Roman" w:hAnsi="Times New Roman"/>
          <w:bCs/>
          <w:i/>
          <w:iCs/>
          <w:sz w:val="24"/>
        </w:rPr>
      </w:pPr>
      <w:r w:rsidRPr="00E26BE3">
        <w:rPr>
          <w:rFonts w:ascii="Times New Roman" w:hAnsi="Times New Roman"/>
          <w:bCs/>
          <w:iCs/>
          <w:sz w:val="24"/>
        </w:rPr>
        <w:t>[35]</w:t>
      </w:r>
      <w:r w:rsidRPr="00E26BE3">
        <w:rPr>
          <w:rFonts w:ascii="Times New Roman" w:hAnsi="Times New Roman"/>
          <w:bCs/>
          <w:iCs/>
          <w:sz w:val="24"/>
        </w:rPr>
        <w:tab/>
      </w:r>
      <w:r w:rsidR="00E26BE3" w:rsidRPr="003E4555">
        <w:rPr>
          <w:rFonts w:ascii="Times New Roman" w:hAnsi="Times New Roman"/>
          <w:bCs/>
          <w:sz w:val="24"/>
        </w:rPr>
        <w:t xml:space="preserve">The applicant contends that the termination clause makes no requirement for the reason for termination of the agreement and to this end the reasons for termination are of no consequence. Be that as it may, so the counsel continued, the applicant has made commitments to </w:t>
      </w:r>
      <w:r w:rsidR="005E497C" w:rsidRPr="003E4555">
        <w:rPr>
          <w:rFonts w:ascii="Times New Roman" w:hAnsi="Times New Roman"/>
          <w:bCs/>
          <w:sz w:val="24"/>
        </w:rPr>
        <w:t xml:space="preserve">Oblix as its lessor </w:t>
      </w:r>
      <w:r w:rsidR="00E26BE3" w:rsidRPr="003E4555">
        <w:rPr>
          <w:rFonts w:ascii="Times New Roman" w:hAnsi="Times New Roman"/>
          <w:bCs/>
          <w:sz w:val="24"/>
        </w:rPr>
        <w:t xml:space="preserve">that </w:t>
      </w:r>
      <w:r w:rsidR="008A0207" w:rsidRPr="003E4555">
        <w:rPr>
          <w:rFonts w:ascii="Times New Roman" w:hAnsi="Times New Roman"/>
          <w:bCs/>
          <w:sz w:val="24"/>
        </w:rPr>
        <w:t xml:space="preserve">the lessor </w:t>
      </w:r>
      <w:r w:rsidR="00E26BE3" w:rsidRPr="003E4555">
        <w:rPr>
          <w:rFonts w:ascii="Times New Roman" w:hAnsi="Times New Roman"/>
          <w:bCs/>
          <w:sz w:val="24"/>
        </w:rPr>
        <w:t>reserves the right to appoint its own operator/sublessee upon the termination of the sublease with the respondent</w:t>
      </w:r>
      <w:r w:rsidR="005E497C" w:rsidRPr="003E4555">
        <w:rPr>
          <w:rFonts w:ascii="Times New Roman" w:hAnsi="Times New Roman"/>
          <w:bCs/>
          <w:sz w:val="24"/>
        </w:rPr>
        <w:t xml:space="preserve">. Since the </w:t>
      </w:r>
      <w:r w:rsidR="005E497C" w:rsidRPr="003E4555">
        <w:rPr>
          <w:rFonts w:ascii="Times New Roman" w:hAnsi="Times New Roman"/>
          <w:bCs/>
          <w:sz w:val="24"/>
        </w:rPr>
        <w:lastRenderedPageBreak/>
        <w:t>lease with the respondent has been terminated Oblix is entitled to exercise its rights in terms of the addendum agreement</w:t>
      </w:r>
      <w:r w:rsidR="00E26BE3" w:rsidRPr="003E4555">
        <w:rPr>
          <w:rFonts w:ascii="Times New Roman" w:hAnsi="Times New Roman"/>
          <w:bCs/>
          <w:sz w:val="24"/>
        </w:rPr>
        <w:t>.</w:t>
      </w:r>
    </w:p>
    <w:p w14:paraId="5ABC0ADC" w14:textId="380C90C2" w:rsidR="00E26BE3" w:rsidRPr="003E4555" w:rsidRDefault="003E4555" w:rsidP="003E4555">
      <w:pPr>
        <w:spacing w:after="480" w:line="480" w:lineRule="auto"/>
        <w:rPr>
          <w:rFonts w:ascii="Times New Roman" w:hAnsi="Times New Roman"/>
          <w:bCs/>
          <w:i/>
          <w:iCs/>
          <w:sz w:val="24"/>
        </w:rPr>
      </w:pPr>
      <w:r w:rsidRPr="002264EC">
        <w:rPr>
          <w:rFonts w:ascii="Times New Roman" w:hAnsi="Times New Roman"/>
          <w:bCs/>
          <w:iCs/>
          <w:sz w:val="24"/>
        </w:rPr>
        <w:t>[36]</w:t>
      </w:r>
      <w:r w:rsidRPr="002264EC">
        <w:rPr>
          <w:rFonts w:ascii="Times New Roman" w:hAnsi="Times New Roman"/>
          <w:bCs/>
          <w:iCs/>
          <w:sz w:val="24"/>
        </w:rPr>
        <w:tab/>
      </w:r>
      <w:r w:rsidR="00E26BE3" w:rsidRPr="003E4555">
        <w:rPr>
          <w:rFonts w:ascii="Times New Roman" w:hAnsi="Times New Roman"/>
          <w:bCs/>
          <w:sz w:val="24"/>
        </w:rPr>
        <w:t>The respondent persist</w:t>
      </w:r>
      <w:r w:rsidR="0013779F" w:rsidRPr="003E4555">
        <w:rPr>
          <w:rFonts w:ascii="Times New Roman" w:hAnsi="Times New Roman"/>
          <w:bCs/>
          <w:sz w:val="24"/>
        </w:rPr>
        <w:t>s</w:t>
      </w:r>
      <w:r w:rsidR="00E26BE3" w:rsidRPr="003E4555">
        <w:rPr>
          <w:rFonts w:ascii="Times New Roman" w:hAnsi="Times New Roman"/>
          <w:bCs/>
          <w:sz w:val="24"/>
        </w:rPr>
        <w:t xml:space="preserve"> with the argument that the reason advanced to cancel the agreement was not honest a</w:t>
      </w:r>
      <w:r w:rsidR="008A0207" w:rsidRPr="003E4555">
        <w:rPr>
          <w:rFonts w:ascii="Times New Roman" w:hAnsi="Times New Roman"/>
          <w:bCs/>
          <w:sz w:val="24"/>
        </w:rPr>
        <w:t>s</w:t>
      </w:r>
      <w:r w:rsidR="00E26BE3" w:rsidRPr="003E4555">
        <w:rPr>
          <w:rFonts w:ascii="Times New Roman" w:hAnsi="Times New Roman"/>
          <w:bCs/>
          <w:sz w:val="24"/>
        </w:rPr>
        <w:t xml:space="preserve"> the lease with Oblix was extended until 2029.</w:t>
      </w:r>
      <w:r w:rsidR="005E497C" w:rsidRPr="003E4555">
        <w:rPr>
          <w:rFonts w:ascii="Times New Roman" w:hAnsi="Times New Roman"/>
          <w:bCs/>
          <w:sz w:val="24"/>
        </w:rPr>
        <w:t xml:space="preserve"> This is contrary to the assertion </w:t>
      </w:r>
      <w:r w:rsidR="002264EC" w:rsidRPr="003E4555">
        <w:rPr>
          <w:rFonts w:ascii="Times New Roman" w:hAnsi="Times New Roman"/>
          <w:bCs/>
          <w:sz w:val="24"/>
        </w:rPr>
        <w:t xml:space="preserve">by the applicant </w:t>
      </w:r>
      <w:r w:rsidR="005E497C" w:rsidRPr="003E4555">
        <w:rPr>
          <w:rFonts w:ascii="Times New Roman" w:hAnsi="Times New Roman"/>
          <w:bCs/>
          <w:sz w:val="24"/>
        </w:rPr>
        <w:t>that Oblix has conveyed that it has no interest to extend the lease.</w:t>
      </w:r>
    </w:p>
    <w:p w14:paraId="5F5E3C93" w14:textId="37756E26" w:rsidR="002264EC" w:rsidRPr="003E4555" w:rsidRDefault="003E4555" w:rsidP="003E4555">
      <w:pPr>
        <w:spacing w:after="480" w:line="480" w:lineRule="auto"/>
        <w:rPr>
          <w:rFonts w:ascii="Times New Roman" w:hAnsi="Times New Roman"/>
          <w:bCs/>
          <w:i/>
          <w:iCs/>
          <w:sz w:val="24"/>
        </w:rPr>
      </w:pPr>
      <w:r w:rsidRPr="00E26BE3">
        <w:rPr>
          <w:rFonts w:ascii="Times New Roman" w:hAnsi="Times New Roman"/>
          <w:bCs/>
          <w:iCs/>
          <w:sz w:val="24"/>
        </w:rPr>
        <w:t>[37]</w:t>
      </w:r>
      <w:r w:rsidRPr="00E26BE3">
        <w:rPr>
          <w:rFonts w:ascii="Times New Roman" w:hAnsi="Times New Roman"/>
          <w:bCs/>
          <w:iCs/>
          <w:sz w:val="24"/>
        </w:rPr>
        <w:tab/>
      </w:r>
      <w:r w:rsidR="002264EC" w:rsidRPr="003E4555">
        <w:rPr>
          <w:rFonts w:ascii="Times New Roman" w:hAnsi="Times New Roman"/>
          <w:bCs/>
          <w:sz w:val="24"/>
        </w:rPr>
        <w:t>In addition, the respondent contends that it has a right of first refusal in terms of clause 7.4 and 7.5 of the franchise agreement and allowing Oblix to take over the business is in contravention of the said clauses.</w:t>
      </w:r>
    </w:p>
    <w:p w14:paraId="531F6D4A" w14:textId="16171358" w:rsidR="002264EC" w:rsidRPr="003E4555" w:rsidRDefault="003E4555" w:rsidP="003E4555">
      <w:pPr>
        <w:spacing w:after="480" w:line="480" w:lineRule="auto"/>
        <w:rPr>
          <w:rFonts w:ascii="Times New Roman" w:hAnsi="Times New Roman"/>
          <w:bCs/>
          <w:i/>
          <w:iCs/>
          <w:sz w:val="24"/>
        </w:rPr>
      </w:pPr>
      <w:r>
        <w:rPr>
          <w:rFonts w:ascii="Times New Roman" w:hAnsi="Times New Roman"/>
          <w:bCs/>
          <w:iCs/>
          <w:sz w:val="24"/>
        </w:rPr>
        <w:t>[38]</w:t>
      </w:r>
      <w:r>
        <w:rPr>
          <w:rFonts w:ascii="Times New Roman" w:hAnsi="Times New Roman"/>
          <w:bCs/>
          <w:iCs/>
          <w:sz w:val="24"/>
        </w:rPr>
        <w:tab/>
      </w:r>
      <w:r w:rsidR="00E26BE3" w:rsidRPr="003E4555">
        <w:rPr>
          <w:rFonts w:ascii="Times New Roman" w:hAnsi="Times New Roman"/>
          <w:bCs/>
          <w:sz w:val="24"/>
        </w:rPr>
        <w:t>In response</w:t>
      </w:r>
      <w:r w:rsidR="002264EC" w:rsidRPr="003E4555">
        <w:rPr>
          <w:rFonts w:ascii="Times New Roman" w:hAnsi="Times New Roman"/>
          <w:bCs/>
          <w:sz w:val="24"/>
        </w:rPr>
        <w:t>,</w:t>
      </w:r>
      <w:r w:rsidR="00E26BE3" w:rsidRPr="003E4555">
        <w:rPr>
          <w:rFonts w:ascii="Times New Roman" w:hAnsi="Times New Roman"/>
          <w:bCs/>
          <w:sz w:val="24"/>
        </w:rPr>
        <w:t xml:space="preserve"> t</w:t>
      </w:r>
      <w:r w:rsidR="005E497C" w:rsidRPr="003E4555">
        <w:rPr>
          <w:rFonts w:ascii="Times New Roman" w:hAnsi="Times New Roman"/>
          <w:bCs/>
          <w:sz w:val="24"/>
        </w:rPr>
        <w:t xml:space="preserve">he applicant contends that clause 7.3 to 7.5 are triggered by the cancellation of the lease agreement at the instance of the applicant pursuant to </w:t>
      </w:r>
      <w:r w:rsidR="00A37493" w:rsidRPr="003E4555">
        <w:rPr>
          <w:rFonts w:ascii="Times New Roman" w:hAnsi="Times New Roman"/>
          <w:bCs/>
          <w:sz w:val="24"/>
        </w:rPr>
        <w:t xml:space="preserve">unfavourable </w:t>
      </w:r>
      <w:r w:rsidR="005E497C" w:rsidRPr="003E4555">
        <w:rPr>
          <w:rFonts w:ascii="Times New Roman" w:hAnsi="Times New Roman"/>
          <w:bCs/>
          <w:sz w:val="24"/>
        </w:rPr>
        <w:t xml:space="preserve">changes in any law governing any aspect </w:t>
      </w:r>
      <w:r w:rsidR="00A37493" w:rsidRPr="003E4555">
        <w:rPr>
          <w:rFonts w:ascii="Times New Roman" w:hAnsi="Times New Roman"/>
          <w:bCs/>
          <w:sz w:val="24"/>
        </w:rPr>
        <w:t>o</w:t>
      </w:r>
      <w:r w:rsidR="005E497C" w:rsidRPr="003E4555">
        <w:rPr>
          <w:rFonts w:ascii="Times New Roman" w:hAnsi="Times New Roman"/>
          <w:bCs/>
          <w:sz w:val="24"/>
        </w:rPr>
        <w:t>f the agreement</w:t>
      </w:r>
      <w:r w:rsidR="00A37493" w:rsidRPr="003E4555">
        <w:rPr>
          <w:rFonts w:ascii="Times New Roman" w:hAnsi="Times New Roman"/>
          <w:bCs/>
          <w:sz w:val="24"/>
        </w:rPr>
        <w:t xml:space="preserve">. In such an instance the applicant would give the respondent three months’ notice to cancel and would also give the respondent right of first refusal if the applicant later intends </w:t>
      </w:r>
      <w:r w:rsidR="002264EC" w:rsidRPr="003E4555">
        <w:rPr>
          <w:rFonts w:ascii="Times New Roman" w:hAnsi="Times New Roman"/>
          <w:bCs/>
          <w:sz w:val="24"/>
        </w:rPr>
        <w:t xml:space="preserve">resuming the </w:t>
      </w:r>
      <w:r w:rsidR="00A37493" w:rsidRPr="003E4555">
        <w:rPr>
          <w:rFonts w:ascii="Times New Roman" w:hAnsi="Times New Roman"/>
          <w:bCs/>
          <w:sz w:val="24"/>
        </w:rPr>
        <w:t>business. The applicant contends that the circumstances of these clause</w:t>
      </w:r>
      <w:r w:rsidR="002264EC" w:rsidRPr="003E4555">
        <w:rPr>
          <w:rFonts w:ascii="Times New Roman" w:hAnsi="Times New Roman"/>
          <w:bCs/>
          <w:sz w:val="24"/>
        </w:rPr>
        <w:t>s</w:t>
      </w:r>
      <w:r w:rsidR="00A37493" w:rsidRPr="003E4555">
        <w:rPr>
          <w:rFonts w:ascii="Times New Roman" w:hAnsi="Times New Roman"/>
          <w:bCs/>
          <w:sz w:val="24"/>
        </w:rPr>
        <w:t xml:space="preserve"> have not been </w:t>
      </w:r>
      <w:r w:rsidR="002264EC" w:rsidRPr="003E4555">
        <w:rPr>
          <w:rFonts w:ascii="Times New Roman" w:hAnsi="Times New Roman"/>
          <w:bCs/>
          <w:sz w:val="24"/>
        </w:rPr>
        <w:t xml:space="preserve">engaged or </w:t>
      </w:r>
      <w:r w:rsidR="00A37493" w:rsidRPr="003E4555">
        <w:rPr>
          <w:rFonts w:ascii="Times New Roman" w:hAnsi="Times New Roman"/>
          <w:bCs/>
          <w:sz w:val="24"/>
        </w:rPr>
        <w:t>triggered and the</w:t>
      </w:r>
      <w:r w:rsidR="002264EC" w:rsidRPr="003E4555">
        <w:rPr>
          <w:rFonts w:ascii="Times New Roman" w:hAnsi="Times New Roman"/>
          <w:bCs/>
          <w:sz w:val="24"/>
        </w:rPr>
        <w:t>ir</w:t>
      </w:r>
      <w:r w:rsidR="00A37493" w:rsidRPr="003E4555">
        <w:rPr>
          <w:rFonts w:ascii="Times New Roman" w:hAnsi="Times New Roman"/>
          <w:bCs/>
          <w:sz w:val="24"/>
        </w:rPr>
        <w:t xml:space="preserve"> invocation is ill-advised.</w:t>
      </w:r>
    </w:p>
    <w:p w14:paraId="3E9C4A36" w14:textId="048F7531" w:rsidR="002337F6" w:rsidRDefault="002337F6" w:rsidP="009E71D0">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Reasonable expectation</w:t>
      </w:r>
    </w:p>
    <w:p w14:paraId="33A9559B" w14:textId="68D51473" w:rsidR="002337F6" w:rsidRPr="003E4555" w:rsidRDefault="003E4555" w:rsidP="003E4555">
      <w:pPr>
        <w:spacing w:after="480" w:line="480" w:lineRule="auto"/>
        <w:rPr>
          <w:rFonts w:ascii="Times New Roman" w:hAnsi="Times New Roman"/>
          <w:bCs/>
          <w:i/>
          <w:iCs/>
          <w:sz w:val="24"/>
        </w:rPr>
      </w:pPr>
      <w:r w:rsidRPr="004E696F">
        <w:rPr>
          <w:rFonts w:ascii="Times New Roman" w:hAnsi="Times New Roman"/>
          <w:bCs/>
          <w:iCs/>
          <w:sz w:val="24"/>
        </w:rPr>
        <w:t>[39]</w:t>
      </w:r>
      <w:r w:rsidRPr="004E696F">
        <w:rPr>
          <w:rFonts w:ascii="Times New Roman" w:hAnsi="Times New Roman"/>
          <w:bCs/>
          <w:iCs/>
          <w:sz w:val="24"/>
        </w:rPr>
        <w:tab/>
      </w:r>
      <w:r w:rsidR="002337F6" w:rsidRPr="003E4555">
        <w:rPr>
          <w:rFonts w:ascii="Times New Roman" w:hAnsi="Times New Roman"/>
          <w:bCs/>
          <w:sz w:val="24"/>
        </w:rPr>
        <w:t xml:space="preserve">The respondent contends that there were </w:t>
      </w:r>
      <w:r w:rsidR="004E696F" w:rsidRPr="003E4555">
        <w:rPr>
          <w:rFonts w:ascii="Times New Roman" w:hAnsi="Times New Roman"/>
          <w:bCs/>
          <w:sz w:val="24"/>
        </w:rPr>
        <w:t xml:space="preserve">WhatsApp </w:t>
      </w:r>
      <w:r w:rsidR="002337F6" w:rsidRPr="003E4555">
        <w:rPr>
          <w:rFonts w:ascii="Times New Roman" w:hAnsi="Times New Roman"/>
          <w:bCs/>
          <w:sz w:val="24"/>
        </w:rPr>
        <w:t>communication</w:t>
      </w:r>
      <w:r w:rsidR="00D03156" w:rsidRPr="003E4555">
        <w:rPr>
          <w:rFonts w:ascii="Times New Roman" w:hAnsi="Times New Roman"/>
          <w:bCs/>
          <w:sz w:val="24"/>
        </w:rPr>
        <w:t>s</w:t>
      </w:r>
      <w:r w:rsidR="002337F6" w:rsidRPr="003E4555">
        <w:rPr>
          <w:rFonts w:ascii="Times New Roman" w:hAnsi="Times New Roman"/>
          <w:bCs/>
          <w:sz w:val="24"/>
        </w:rPr>
        <w:t xml:space="preserve"> in March 2019 between the dealers whose agreement</w:t>
      </w:r>
      <w:r w:rsidR="0013779F" w:rsidRPr="003E4555">
        <w:rPr>
          <w:rFonts w:ascii="Times New Roman" w:hAnsi="Times New Roman"/>
          <w:bCs/>
          <w:sz w:val="24"/>
        </w:rPr>
        <w:t>s</w:t>
      </w:r>
      <w:r w:rsidR="002337F6" w:rsidRPr="003E4555">
        <w:rPr>
          <w:rFonts w:ascii="Times New Roman" w:hAnsi="Times New Roman"/>
          <w:bCs/>
          <w:sz w:val="24"/>
        </w:rPr>
        <w:t xml:space="preserve"> were due for extension and employees of the applicant where it was stated that the dealers should submit their </w:t>
      </w:r>
      <w:r w:rsidR="004E696F" w:rsidRPr="003E4555">
        <w:rPr>
          <w:rFonts w:ascii="Times New Roman" w:hAnsi="Times New Roman"/>
          <w:bCs/>
          <w:sz w:val="24"/>
        </w:rPr>
        <w:t xml:space="preserve">5-year </w:t>
      </w:r>
      <w:r w:rsidR="002337F6" w:rsidRPr="003E4555">
        <w:rPr>
          <w:rFonts w:ascii="Times New Roman" w:hAnsi="Times New Roman"/>
          <w:bCs/>
          <w:sz w:val="24"/>
        </w:rPr>
        <w:t>business plans for considerations</w:t>
      </w:r>
      <w:r w:rsidR="00D03156" w:rsidRPr="003E4555">
        <w:rPr>
          <w:rFonts w:ascii="Times New Roman" w:hAnsi="Times New Roman"/>
          <w:bCs/>
          <w:sz w:val="24"/>
        </w:rPr>
        <w:t xml:space="preserve"> </w:t>
      </w:r>
      <w:r w:rsidR="0013779F" w:rsidRPr="003E4555">
        <w:rPr>
          <w:rFonts w:ascii="Times New Roman" w:hAnsi="Times New Roman"/>
          <w:bCs/>
          <w:sz w:val="24"/>
        </w:rPr>
        <w:t xml:space="preserve">before </w:t>
      </w:r>
      <w:r w:rsidR="00D03156" w:rsidRPr="003E4555">
        <w:rPr>
          <w:rFonts w:ascii="Times New Roman" w:hAnsi="Times New Roman"/>
          <w:bCs/>
          <w:sz w:val="24"/>
        </w:rPr>
        <w:t>deciding on the extension</w:t>
      </w:r>
      <w:r w:rsidR="0013779F" w:rsidRPr="003E4555">
        <w:rPr>
          <w:rFonts w:ascii="Times New Roman" w:hAnsi="Times New Roman"/>
          <w:bCs/>
          <w:sz w:val="24"/>
        </w:rPr>
        <w:t>s</w:t>
      </w:r>
      <w:r w:rsidR="002337F6" w:rsidRPr="003E4555">
        <w:rPr>
          <w:rFonts w:ascii="Times New Roman" w:hAnsi="Times New Roman"/>
          <w:bCs/>
          <w:sz w:val="24"/>
        </w:rPr>
        <w:t>.</w:t>
      </w:r>
      <w:r w:rsidR="004E696F" w:rsidRPr="003E4555">
        <w:rPr>
          <w:rFonts w:ascii="Times New Roman" w:hAnsi="Times New Roman"/>
          <w:bCs/>
          <w:sz w:val="24"/>
        </w:rPr>
        <w:t xml:space="preserve"> Despite having submitted its business plan no extension was forthcoming.</w:t>
      </w:r>
      <w:r w:rsidR="002337F6" w:rsidRPr="003E4555">
        <w:rPr>
          <w:rFonts w:ascii="Times New Roman" w:hAnsi="Times New Roman"/>
          <w:bCs/>
          <w:sz w:val="24"/>
        </w:rPr>
        <w:t xml:space="preserve"> </w:t>
      </w:r>
    </w:p>
    <w:p w14:paraId="618AFE0B" w14:textId="3A533B80" w:rsidR="004E696F" w:rsidRPr="003E4555" w:rsidRDefault="003E4555" w:rsidP="003E4555">
      <w:pPr>
        <w:spacing w:after="480" w:line="480" w:lineRule="auto"/>
        <w:rPr>
          <w:rFonts w:ascii="Times New Roman" w:hAnsi="Times New Roman"/>
          <w:bCs/>
          <w:i/>
          <w:iCs/>
          <w:sz w:val="24"/>
        </w:rPr>
      </w:pPr>
      <w:r w:rsidRPr="00A8421D">
        <w:rPr>
          <w:rFonts w:ascii="Times New Roman" w:hAnsi="Times New Roman"/>
          <w:bCs/>
          <w:iCs/>
          <w:sz w:val="24"/>
        </w:rPr>
        <w:lastRenderedPageBreak/>
        <w:t>[40]</w:t>
      </w:r>
      <w:r w:rsidRPr="00A8421D">
        <w:rPr>
          <w:rFonts w:ascii="Times New Roman" w:hAnsi="Times New Roman"/>
          <w:bCs/>
          <w:iCs/>
          <w:sz w:val="24"/>
        </w:rPr>
        <w:tab/>
      </w:r>
      <w:r w:rsidR="004E696F" w:rsidRPr="003E4555">
        <w:rPr>
          <w:rFonts w:ascii="Times New Roman" w:hAnsi="Times New Roman"/>
          <w:bCs/>
          <w:sz w:val="24"/>
        </w:rPr>
        <w:t xml:space="preserve">The applicant in retort stated that there is no indication in those </w:t>
      </w:r>
      <w:r w:rsidR="00D03156" w:rsidRPr="003E4555">
        <w:rPr>
          <w:rFonts w:ascii="Times New Roman" w:hAnsi="Times New Roman"/>
          <w:bCs/>
          <w:sz w:val="24"/>
        </w:rPr>
        <w:t xml:space="preserve">WhatsApp </w:t>
      </w:r>
      <w:r w:rsidR="004E696F" w:rsidRPr="003E4555">
        <w:rPr>
          <w:rFonts w:ascii="Times New Roman" w:hAnsi="Times New Roman"/>
          <w:bCs/>
          <w:sz w:val="24"/>
        </w:rPr>
        <w:t>exchanges that the applicant has committed to extend the respondent’s lease agreement.</w:t>
      </w:r>
    </w:p>
    <w:p w14:paraId="46E03C58" w14:textId="4322AD27" w:rsidR="004B07F1" w:rsidRPr="00490904" w:rsidRDefault="004B07F1" w:rsidP="00AE17A2">
      <w:pPr>
        <w:pStyle w:val="ListParagraph"/>
        <w:spacing w:after="480" w:line="480" w:lineRule="auto"/>
        <w:ind w:left="0" w:firstLine="720"/>
        <w:contextualSpacing w:val="0"/>
        <w:rPr>
          <w:rFonts w:ascii="Times New Roman" w:hAnsi="Times New Roman"/>
          <w:bCs/>
          <w:i/>
          <w:iCs/>
          <w:sz w:val="24"/>
        </w:rPr>
      </w:pPr>
      <w:r w:rsidRPr="00490904">
        <w:rPr>
          <w:rFonts w:ascii="Times New Roman" w:hAnsi="Times New Roman"/>
          <w:bCs/>
          <w:i/>
          <w:iCs/>
          <w:sz w:val="24"/>
        </w:rPr>
        <w:t>Stay of the proceedings</w:t>
      </w:r>
      <w:r w:rsidR="00113ABF" w:rsidRPr="00490904">
        <w:rPr>
          <w:rFonts w:ascii="Times New Roman" w:hAnsi="Times New Roman"/>
          <w:bCs/>
          <w:i/>
          <w:iCs/>
          <w:sz w:val="24"/>
        </w:rPr>
        <w:t>.</w:t>
      </w:r>
    </w:p>
    <w:p w14:paraId="22C0DBDE" w14:textId="559A5BCD" w:rsidR="004B07F1" w:rsidRPr="003E4555" w:rsidRDefault="003E4555" w:rsidP="003E4555">
      <w:pPr>
        <w:spacing w:after="480" w:line="480" w:lineRule="auto"/>
        <w:rPr>
          <w:rFonts w:ascii="Times New Roman" w:hAnsi="Times New Roman"/>
          <w:bCs/>
          <w:i/>
          <w:iCs/>
          <w:sz w:val="24"/>
        </w:rPr>
      </w:pPr>
      <w:r w:rsidRPr="00924393">
        <w:rPr>
          <w:rFonts w:ascii="Times New Roman" w:hAnsi="Times New Roman"/>
          <w:bCs/>
          <w:iCs/>
          <w:sz w:val="24"/>
        </w:rPr>
        <w:t>[41]</w:t>
      </w:r>
      <w:r w:rsidRPr="00924393">
        <w:rPr>
          <w:rFonts w:ascii="Times New Roman" w:hAnsi="Times New Roman"/>
          <w:bCs/>
          <w:iCs/>
          <w:sz w:val="24"/>
        </w:rPr>
        <w:tab/>
      </w:r>
      <w:r w:rsidR="00113ABF" w:rsidRPr="003E4555">
        <w:rPr>
          <w:rFonts w:ascii="Times New Roman" w:hAnsi="Times New Roman"/>
          <w:bCs/>
          <w:sz w:val="24"/>
        </w:rPr>
        <w:t xml:space="preserve">The </w:t>
      </w:r>
      <w:r w:rsidR="00490904" w:rsidRPr="003E4555">
        <w:rPr>
          <w:rFonts w:ascii="Times New Roman" w:hAnsi="Times New Roman"/>
          <w:bCs/>
          <w:sz w:val="24"/>
        </w:rPr>
        <w:t xml:space="preserve">applicant contends that the argument </w:t>
      </w:r>
      <w:r w:rsidR="00113ABF" w:rsidRPr="003E4555">
        <w:rPr>
          <w:rFonts w:ascii="Times New Roman" w:hAnsi="Times New Roman"/>
          <w:bCs/>
          <w:sz w:val="24"/>
        </w:rPr>
        <w:t xml:space="preserve">by the respondent that the proceedings must be stayed pending the arbitration should have first being brought </w:t>
      </w:r>
      <w:r w:rsidR="00A97307" w:rsidRPr="003E4555">
        <w:rPr>
          <w:rFonts w:ascii="Times New Roman" w:hAnsi="Times New Roman"/>
          <w:bCs/>
          <w:sz w:val="24"/>
        </w:rPr>
        <w:t>by way o</w:t>
      </w:r>
      <w:r w:rsidR="00113ABF" w:rsidRPr="003E4555">
        <w:rPr>
          <w:rFonts w:ascii="Times New Roman" w:hAnsi="Times New Roman"/>
          <w:bCs/>
          <w:sz w:val="24"/>
        </w:rPr>
        <w:t xml:space="preserve">f an application. There is no such application </w:t>
      </w:r>
      <w:r w:rsidR="00E47961" w:rsidRPr="003E4555">
        <w:rPr>
          <w:rFonts w:ascii="Times New Roman" w:hAnsi="Times New Roman"/>
          <w:bCs/>
          <w:sz w:val="24"/>
        </w:rPr>
        <w:t xml:space="preserve">before the court </w:t>
      </w:r>
      <w:r w:rsidR="00113ABF" w:rsidRPr="003E4555">
        <w:rPr>
          <w:rFonts w:ascii="Times New Roman" w:hAnsi="Times New Roman"/>
          <w:bCs/>
          <w:sz w:val="24"/>
        </w:rPr>
        <w:t xml:space="preserve">and therefore </w:t>
      </w:r>
      <w:r w:rsidR="00490904" w:rsidRPr="003E4555">
        <w:rPr>
          <w:rFonts w:ascii="Times New Roman" w:hAnsi="Times New Roman"/>
          <w:bCs/>
          <w:sz w:val="24"/>
        </w:rPr>
        <w:t xml:space="preserve">the argument for the stay </w:t>
      </w:r>
      <w:r w:rsidR="00A97307" w:rsidRPr="003E4555">
        <w:rPr>
          <w:rFonts w:ascii="Times New Roman" w:hAnsi="Times New Roman"/>
          <w:bCs/>
          <w:sz w:val="24"/>
        </w:rPr>
        <w:t>i</w:t>
      </w:r>
      <w:r w:rsidR="00490904" w:rsidRPr="003E4555">
        <w:rPr>
          <w:rFonts w:ascii="Times New Roman" w:hAnsi="Times New Roman"/>
          <w:bCs/>
          <w:sz w:val="24"/>
        </w:rPr>
        <w:t>s stillborn</w:t>
      </w:r>
      <w:r w:rsidR="00425F24" w:rsidRPr="003E4555">
        <w:rPr>
          <w:rFonts w:ascii="Times New Roman" w:hAnsi="Times New Roman"/>
          <w:bCs/>
          <w:sz w:val="24"/>
        </w:rPr>
        <w:t>. In any event authorities</w:t>
      </w:r>
      <w:r w:rsidR="00D03156" w:rsidRPr="003E4555">
        <w:rPr>
          <w:rFonts w:ascii="Times New Roman" w:hAnsi="Times New Roman"/>
          <w:bCs/>
          <w:sz w:val="24"/>
        </w:rPr>
        <w:t>, so it was argued,</w:t>
      </w:r>
      <w:r w:rsidR="00425F24" w:rsidRPr="003E4555">
        <w:rPr>
          <w:rFonts w:ascii="Times New Roman" w:hAnsi="Times New Roman"/>
          <w:bCs/>
          <w:sz w:val="24"/>
        </w:rPr>
        <w:t xml:space="preserve"> state that the intention to apply for the stay should be effected immediately after the </w:t>
      </w:r>
      <w:r w:rsidR="007964D7" w:rsidRPr="003E4555">
        <w:rPr>
          <w:rFonts w:ascii="Times New Roman" w:hAnsi="Times New Roman"/>
          <w:bCs/>
          <w:sz w:val="24"/>
        </w:rPr>
        <w:t xml:space="preserve">respondent has delivered its notice of intention to oppose. In this instance the respondent served its answering papers and should then be considered to have acquiesced in the </w:t>
      </w:r>
      <w:r w:rsidR="00924393" w:rsidRPr="003E4555">
        <w:rPr>
          <w:rFonts w:ascii="Times New Roman" w:hAnsi="Times New Roman"/>
          <w:bCs/>
          <w:sz w:val="24"/>
        </w:rPr>
        <w:t>jurisdiction of the court.</w:t>
      </w:r>
    </w:p>
    <w:p w14:paraId="0392A039" w14:textId="427C1CBE" w:rsidR="0096218C" w:rsidRPr="003E4555" w:rsidRDefault="003E4555" w:rsidP="003E4555">
      <w:pPr>
        <w:spacing w:after="480" w:line="480" w:lineRule="auto"/>
        <w:rPr>
          <w:rFonts w:ascii="Times New Roman" w:hAnsi="Times New Roman"/>
          <w:bCs/>
          <w:i/>
          <w:iCs/>
          <w:sz w:val="24"/>
        </w:rPr>
      </w:pPr>
      <w:r w:rsidRPr="004E696F">
        <w:rPr>
          <w:rFonts w:ascii="Times New Roman" w:hAnsi="Times New Roman"/>
          <w:bCs/>
          <w:iCs/>
          <w:sz w:val="24"/>
        </w:rPr>
        <w:t>[42]</w:t>
      </w:r>
      <w:r w:rsidRPr="004E696F">
        <w:rPr>
          <w:rFonts w:ascii="Times New Roman" w:hAnsi="Times New Roman"/>
          <w:bCs/>
          <w:iCs/>
          <w:sz w:val="24"/>
        </w:rPr>
        <w:tab/>
      </w:r>
      <w:r w:rsidR="0096218C" w:rsidRPr="003E4555">
        <w:rPr>
          <w:rFonts w:ascii="Times New Roman" w:hAnsi="Times New Roman"/>
          <w:bCs/>
          <w:sz w:val="24"/>
        </w:rPr>
        <w:t>The aforegoing was in response to the respondent having averred that it would not bring a separate application to stay to minimise legal costs and regard being to the fact that it as a good defence to the eviction application.</w:t>
      </w:r>
      <w:r w:rsidR="00B13C0A" w:rsidRPr="003E4555">
        <w:rPr>
          <w:rFonts w:ascii="Times New Roman" w:hAnsi="Times New Roman"/>
          <w:bCs/>
          <w:sz w:val="24"/>
        </w:rPr>
        <w:t xml:space="preserve"> The respondent having stated that</w:t>
      </w:r>
      <w:r w:rsidR="00B13C0A" w:rsidRPr="003E4555">
        <w:rPr>
          <w:rFonts w:ascii="Times New Roman" w:hAnsi="Times New Roman"/>
          <w:bCs/>
          <w:i/>
          <w:iCs/>
          <w:sz w:val="24"/>
        </w:rPr>
        <w:t xml:space="preserve"> ‘… it would be inappropriate to file a sperate application to stay, considering that Bay</w:t>
      </w:r>
      <w:r w:rsidR="004E696F" w:rsidRPr="003E4555">
        <w:rPr>
          <w:rFonts w:ascii="Times New Roman" w:hAnsi="Times New Roman"/>
          <w:bCs/>
          <w:i/>
          <w:iCs/>
          <w:sz w:val="24"/>
        </w:rPr>
        <w:t>a</w:t>
      </w:r>
      <w:r w:rsidR="00B13C0A" w:rsidRPr="003E4555">
        <w:rPr>
          <w:rFonts w:ascii="Times New Roman" w:hAnsi="Times New Roman"/>
          <w:bCs/>
          <w:i/>
          <w:iCs/>
          <w:sz w:val="24"/>
        </w:rPr>
        <w:t>fza has a good defence to the eviction. Bayafza will limit costs of all parties and will ensure that the Court is not faced with a multiplicity of claims.</w:t>
      </w:r>
      <w:r w:rsidR="00B13C0A" w:rsidRPr="003E4555">
        <w:rPr>
          <w:rFonts w:ascii="Times New Roman" w:hAnsi="Times New Roman"/>
          <w:bCs/>
          <w:sz w:val="24"/>
        </w:rPr>
        <w:t xml:space="preserve"> </w:t>
      </w:r>
      <w:r w:rsidR="00D14987">
        <w:rPr>
          <w:rStyle w:val="FootnoteReference"/>
          <w:rFonts w:ascii="Times New Roman" w:hAnsi="Times New Roman"/>
          <w:bCs/>
          <w:sz w:val="24"/>
        </w:rPr>
        <w:footnoteReference w:id="16"/>
      </w:r>
    </w:p>
    <w:p w14:paraId="793F9D60" w14:textId="10F39D6E" w:rsidR="004E696F" w:rsidRPr="003E4555" w:rsidRDefault="003E4555" w:rsidP="003E4555">
      <w:pPr>
        <w:spacing w:after="480" w:line="480" w:lineRule="auto"/>
        <w:rPr>
          <w:rFonts w:ascii="Times New Roman" w:hAnsi="Times New Roman"/>
          <w:bCs/>
          <w:i/>
          <w:iCs/>
          <w:sz w:val="24"/>
        </w:rPr>
      </w:pPr>
      <w:r w:rsidRPr="00AE6DFF">
        <w:rPr>
          <w:rFonts w:ascii="Times New Roman" w:hAnsi="Times New Roman"/>
          <w:bCs/>
          <w:iCs/>
          <w:sz w:val="24"/>
        </w:rPr>
        <w:t>[43]</w:t>
      </w:r>
      <w:r w:rsidRPr="00AE6DFF">
        <w:rPr>
          <w:rFonts w:ascii="Times New Roman" w:hAnsi="Times New Roman"/>
          <w:bCs/>
          <w:iCs/>
          <w:sz w:val="24"/>
        </w:rPr>
        <w:tab/>
      </w:r>
      <w:r w:rsidR="004E696F" w:rsidRPr="003E4555">
        <w:rPr>
          <w:rFonts w:ascii="Times New Roman" w:hAnsi="Times New Roman"/>
          <w:bCs/>
          <w:sz w:val="24"/>
        </w:rPr>
        <w:t>The applicant contended that the court has discretion with regard to the stay of the eviction process pending the arbitration and contended that the facts of this case do not warrant the exercise of the discretion to make such an order. The factors which the court should consider</w:t>
      </w:r>
      <w:r w:rsidR="00D03156" w:rsidRPr="003E4555">
        <w:rPr>
          <w:rFonts w:ascii="Times New Roman" w:hAnsi="Times New Roman"/>
          <w:bCs/>
          <w:sz w:val="24"/>
        </w:rPr>
        <w:t>, so it was argued,</w:t>
      </w:r>
      <w:r w:rsidR="004E696F" w:rsidRPr="003E4555">
        <w:rPr>
          <w:rFonts w:ascii="Times New Roman" w:hAnsi="Times New Roman"/>
          <w:bCs/>
          <w:sz w:val="24"/>
        </w:rPr>
        <w:t xml:space="preserve"> in exercising the discretion against the request for stay includes, the fact that arbitration process has not </w:t>
      </w:r>
      <w:r w:rsidR="00E47961" w:rsidRPr="003E4555">
        <w:rPr>
          <w:rFonts w:ascii="Times New Roman" w:hAnsi="Times New Roman"/>
          <w:bCs/>
          <w:sz w:val="24"/>
        </w:rPr>
        <w:t xml:space="preserve">as yet </w:t>
      </w:r>
      <w:r w:rsidR="004E696F" w:rsidRPr="003E4555">
        <w:rPr>
          <w:rFonts w:ascii="Times New Roman" w:hAnsi="Times New Roman"/>
          <w:bCs/>
          <w:sz w:val="24"/>
        </w:rPr>
        <w:t xml:space="preserve">kicked started and yet the eviction process is almost concluded. The respondent did not comply with the procedural </w:t>
      </w:r>
      <w:r w:rsidR="004E696F" w:rsidRPr="003E4555">
        <w:rPr>
          <w:rFonts w:ascii="Times New Roman" w:hAnsi="Times New Roman"/>
          <w:bCs/>
          <w:sz w:val="24"/>
        </w:rPr>
        <w:lastRenderedPageBreak/>
        <w:t xml:space="preserve">requirements that the stay application should be launched after notice to oppose and before filing any affidavit. In this instance the respondent did not only file the answering </w:t>
      </w:r>
      <w:r w:rsidR="00E47961" w:rsidRPr="003E4555">
        <w:rPr>
          <w:rFonts w:ascii="Times New Roman" w:hAnsi="Times New Roman"/>
          <w:bCs/>
          <w:sz w:val="24"/>
        </w:rPr>
        <w:t>it</w:t>
      </w:r>
      <w:r w:rsidR="004E696F" w:rsidRPr="003E4555">
        <w:rPr>
          <w:rFonts w:ascii="Times New Roman" w:hAnsi="Times New Roman"/>
          <w:bCs/>
          <w:sz w:val="24"/>
        </w:rPr>
        <w:t xml:space="preserve"> has in addition launched a counter application. </w:t>
      </w:r>
    </w:p>
    <w:p w14:paraId="2DCB5E87" w14:textId="4086B656" w:rsidR="0074412B" w:rsidRPr="003E4555" w:rsidRDefault="003E4555" w:rsidP="003E4555">
      <w:pPr>
        <w:spacing w:after="480" w:line="480" w:lineRule="auto"/>
        <w:rPr>
          <w:rFonts w:ascii="Times New Roman" w:hAnsi="Times New Roman"/>
          <w:bCs/>
          <w:i/>
          <w:iCs/>
          <w:sz w:val="24"/>
        </w:rPr>
      </w:pPr>
      <w:r w:rsidRPr="004E696F">
        <w:rPr>
          <w:rFonts w:ascii="Times New Roman" w:hAnsi="Times New Roman"/>
          <w:bCs/>
          <w:iCs/>
          <w:sz w:val="24"/>
        </w:rPr>
        <w:t>[44]</w:t>
      </w:r>
      <w:r w:rsidRPr="004E696F">
        <w:rPr>
          <w:rFonts w:ascii="Times New Roman" w:hAnsi="Times New Roman"/>
          <w:bCs/>
          <w:iCs/>
          <w:sz w:val="24"/>
        </w:rPr>
        <w:tab/>
      </w:r>
      <w:r w:rsidR="0074412B" w:rsidRPr="003E4555">
        <w:rPr>
          <w:rFonts w:ascii="Times New Roman" w:hAnsi="Times New Roman"/>
          <w:bCs/>
          <w:sz w:val="24"/>
        </w:rPr>
        <w:t>The respondent contends that the stay of the proceedings is sought in terms of section 6(1) and (2) of the arbitration Act 42 of 1965.</w:t>
      </w:r>
      <w:r w:rsidR="00D14987">
        <w:rPr>
          <w:rStyle w:val="FootnoteReference"/>
          <w:rFonts w:ascii="Times New Roman" w:hAnsi="Times New Roman"/>
          <w:bCs/>
          <w:sz w:val="24"/>
        </w:rPr>
        <w:footnoteReference w:id="17"/>
      </w:r>
      <w:r w:rsidR="0074412B" w:rsidRPr="003E4555">
        <w:rPr>
          <w:rFonts w:ascii="Times New Roman" w:hAnsi="Times New Roman"/>
          <w:bCs/>
          <w:sz w:val="24"/>
        </w:rPr>
        <w:t xml:space="preserve"> It is submitted by the respondent that the issues to be traverse</w:t>
      </w:r>
      <w:r w:rsidR="00A97307" w:rsidRPr="003E4555">
        <w:rPr>
          <w:rFonts w:ascii="Times New Roman" w:hAnsi="Times New Roman"/>
          <w:bCs/>
          <w:sz w:val="24"/>
        </w:rPr>
        <w:t>d</w:t>
      </w:r>
      <w:r w:rsidR="0074412B" w:rsidRPr="003E4555">
        <w:rPr>
          <w:rFonts w:ascii="Times New Roman" w:hAnsi="Times New Roman"/>
          <w:bCs/>
          <w:sz w:val="24"/>
        </w:rPr>
        <w:t xml:space="preserve"> before the arbitration </w:t>
      </w:r>
      <w:r w:rsidR="00D03156" w:rsidRPr="003E4555">
        <w:rPr>
          <w:rFonts w:ascii="Times New Roman" w:hAnsi="Times New Roman"/>
          <w:bCs/>
          <w:sz w:val="24"/>
        </w:rPr>
        <w:t>are</w:t>
      </w:r>
      <w:r w:rsidR="0074412B" w:rsidRPr="003E4555">
        <w:rPr>
          <w:rFonts w:ascii="Times New Roman" w:hAnsi="Times New Roman"/>
          <w:bCs/>
          <w:sz w:val="24"/>
        </w:rPr>
        <w:t xml:space="preserve"> the same as issues raised herein and it would therefore be incompetent for this court to adjudicate over the said issues pending elsewhere.</w:t>
      </w:r>
    </w:p>
    <w:p w14:paraId="706824EF" w14:textId="7742D55D" w:rsidR="00D10167" w:rsidRPr="003E4555" w:rsidRDefault="003E4555" w:rsidP="003E4555">
      <w:pPr>
        <w:spacing w:after="480" w:line="480" w:lineRule="auto"/>
        <w:rPr>
          <w:rFonts w:ascii="Times New Roman" w:hAnsi="Times New Roman"/>
          <w:bCs/>
          <w:i/>
          <w:iCs/>
          <w:sz w:val="24"/>
        </w:rPr>
      </w:pPr>
      <w:r w:rsidRPr="004E696F">
        <w:rPr>
          <w:rFonts w:ascii="Times New Roman" w:hAnsi="Times New Roman"/>
          <w:bCs/>
          <w:iCs/>
          <w:sz w:val="24"/>
        </w:rPr>
        <w:t>[45]</w:t>
      </w:r>
      <w:r w:rsidRPr="004E696F">
        <w:rPr>
          <w:rFonts w:ascii="Times New Roman" w:hAnsi="Times New Roman"/>
          <w:bCs/>
          <w:iCs/>
          <w:sz w:val="24"/>
        </w:rPr>
        <w:tab/>
      </w:r>
      <w:r w:rsidR="00D10167" w:rsidRPr="003E4555">
        <w:rPr>
          <w:rFonts w:ascii="Times New Roman" w:hAnsi="Times New Roman"/>
          <w:bCs/>
          <w:sz w:val="24"/>
        </w:rPr>
        <w:t xml:space="preserve">The respondent referred to the </w:t>
      </w:r>
      <w:r w:rsidR="00D10167" w:rsidRPr="003E4555">
        <w:rPr>
          <w:rFonts w:ascii="Times New Roman" w:hAnsi="Times New Roman"/>
          <w:bCs/>
          <w:i/>
          <w:iCs/>
          <w:sz w:val="24"/>
        </w:rPr>
        <w:t>Mfoza</w:t>
      </w:r>
      <w:r w:rsidR="00AA156E">
        <w:rPr>
          <w:rStyle w:val="FootnoteReference"/>
          <w:rFonts w:ascii="Times New Roman" w:hAnsi="Times New Roman"/>
          <w:bCs/>
          <w:i/>
          <w:iCs/>
          <w:sz w:val="24"/>
        </w:rPr>
        <w:footnoteReference w:id="18"/>
      </w:r>
      <w:r w:rsidR="00D10167" w:rsidRPr="003E4555">
        <w:rPr>
          <w:rFonts w:ascii="Times New Roman" w:hAnsi="Times New Roman"/>
          <w:bCs/>
          <w:sz w:val="24"/>
        </w:rPr>
        <w:t xml:space="preserve"> and </w:t>
      </w:r>
      <w:r w:rsidR="00AA156E" w:rsidRPr="003E4555">
        <w:rPr>
          <w:rFonts w:ascii="Times New Roman" w:hAnsi="Times New Roman"/>
          <w:bCs/>
          <w:i/>
          <w:iCs/>
          <w:sz w:val="24"/>
        </w:rPr>
        <w:t>Rissik Street</w:t>
      </w:r>
      <w:r w:rsidR="00AA156E">
        <w:rPr>
          <w:rStyle w:val="FootnoteReference"/>
          <w:rFonts w:ascii="Times New Roman" w:hAnsi="Times New Roman"/>
          <w:bCs/>
          <w:i/>
          <w:iCs/>
          <w:sz w:val="24"/>
        </w:rPr>
        <w:footnoteReference w:id="19"/>
      </w:r>
      <w:r w:rsidR="00AA156E" w:rsidRPr="003E4555">
        <w:rPr>
          <w:rFonts w:ascii="Times New Roman" w:hAnsi="Times New Roman"/>
          <w:bCs/>
          <w:sz w:val="24"/>
        </w:rPr>
        <w:t xml:space="preserve"> judgment where the constitutional court emphasised the importance of arbitrations where the parties have agreed to it</w:t>
      </w:r>
      <w:r w:rsidR="00A97307" w:rsidRPr="003E4555">
        <w:rPr>
          <w:rFonts w:ascii="Times New Roman" w:hAnsi="Times New Roman"/>
          <w:bCs/>
          <w:sz w:val="24"/>
        </w:rPr>
        <w:t>.</w:t>
      </w:r>
    </w:p>
    <w:p w14:paraId="25DAC853" w14:textId="40FB7EFD" w:rsidR="009A22EE" w:rsidRPr="00490904" w:rsidRDefault="009A22EE" w:rsidP="00B45266">
      <w:pPr>
        <w:pStyle w:val="ListParagraph"/>
        <w:spacing w:after="480" w:line="480" w:lineRule="auto"/>
        <w:ind w:left="0" w:firstLine="720"/>
        <w:contextualSpacing w:val="0"/>
        <w:rPr>
          <w:rFonts w:ascii="Times New Roman" w:hAnsi="Times New Roman"/>
          <w:bCs/>
          <w:i/>
          <w:iCs/>
          <w:sz w:val="24"/>
        </w:rPr>
      </w:pPr>
      <w:r w:rsidRPr="00490904">
        <w:rPr>
          <w:rFonts w:ascii="Times New Roman" w:hAnsi="Times New Roman"/>
          <w:bCs/>
          <w:i/>
          <w:iCs/>
          <w:sz w:val="24"/>
        </w:rPr>
        <w:t>Development of common law</w:t>
      </w:r>
    </w:p>
    <w:p w14:paraId="1F9101DD" w14:textId="3854A224" w:rsidR="00C57156" w:rsidRPr="003E4555" w:rsidRDefault="003E4555" w:rsidP="003E4555">
      <w:pPr>
        <w:spacing w:after="480" w:line="480" w:lineRule="auto"/>
        <w:rPr>
          <w:rFonts w:ascii="Times New Roman" w:hAnsi="Times New Roman"/>
          <w:bCs/>
          <w:i/>
          <w:iCs/>
          <w:sz w:val="24"/>
        </w:rPr>
      </w:pPr>
      <w:r w:rsidRPr="00C57156">
        <w:rPr>
          <w:rFonts w:ascii="Times New Roman" w:hAnsi="Times New Roman"/>
          <w:bCs/>
          <w:iCs/>
          <w:sz w:val="24"/>
        </w:rPr>
        <w:t>[46]</w:t>
      </w:r>
      <w:r w:rsidRPr="00C57156">
        <w:rPr>
          <w:rFonts w:ascii="Times New Roman" w:hAnsi="Times New Roman"/>
          <w:bCs/>
          <w:iCs/>
          <w:sz w:val="24"/>
        </w:rPr>
        <w:tab/>
      </w:r>
      <w:r w:rsidR="009A22EE" w:rsidRPr="003E4555">
        <w:rPr>
          <w:rFonts w:ascii="Times New Roman" w:hAnsi="Times New Roman"/>
          <w:bCs/>
          <w:sz w:val="24"/>
        </w:rPr>
        <w:t xml:space="preserve">The respondent </w:t>
      </w:r>
      <w:r w:rsidR="004E696F" w:rsidRPr="003E4555">
        <w:rPr>
          <w:rFonts w:ascii="Times New Roman" w:hAnsi="Times New Roman"/>
          <w:bCs/>
          <w:sz w:val="24"/>
        </w:rPr>
        <w:t xml:space="preserve">contends that steps should be undertaken </w:t>
      </w:r>
      <w:r w:rsidR="009A22EE" w:rsidRPr="003E4555">
        <w:rPr>
          <w:rFonts w:ascii="Times New Roman" w:hAnsi="Times New Roman"/>
          <w:bCs/>
          <w:sz w:val="24"/>
        </w:rPr>
        <w:t>to develop common law</w:t>
      </w:r>
      <w:r w:rsidR="0070736A" w:rsidRPr="003E4555">
        <w:rPr>
          <w:rFonts w:ascii="Times New Roman" w:hAnsi="Times New Roman"/>
          <w:bCs/>
          <w:sz w:val="24"/>
        </w:rPr>
        <w:t xml:space="preserve"> and impos</w:t>
      </w:r>
      <w:r w:rsidR="00E47961" w:rsidRPr="003E4555">
        <w:rPr>
          <w:rFonts w:ascii="Times New Roman" w:hAnsi="Times New Roman"/>
          <w:bCs/>
          <w:sz w:val="24"/>
        </w:rPr>
        <w:t>e</w:t>
      </w:r>
      <w:r w:rsidR="0070736A" w:rsidRPr="003E4555">
        <w:rPr>
          <w:rFonts w:ascii="Times New Roman" w:hAnsi="Times New Roman"/>
          <w:bCs/>
          <w:sz w:val="24"/>
        </w:rPr>
        <w:t xml:space="preserve"> the duty of good faith in </w:t>
      </w:r>
      <w:r w:rsidR="008E55B2" w:rsidRPr="003E4555">
        <w:rPr>
          <w:rFonts w:ascii="Times New Roman" w:hAnsi="Times New Roman"/>
          <w:bCs/>
          <w:sz w:val="24"/>
        </w:rPr>
        <w:t xml:space="preserve">petroleum and fuel service </w:t>
      </w:r>
      <w:r w:rsidR="00D03156" w:rsidRPr="003E4555">
        <w:rPr>
          <w:rFonts w:ascii="Times New Roman" w:hAnsi="Times New Roman"/>
          <w:bCs/>
          <w:sz w:val="24"/>
        </w:rPr>
        <w:t>agreements</w:t>
      </w:r>
      <w:r w:rsidR="0070736A" w:rsidRPr="003E4555">
        <w:rPr>
          <w:rFonts w:ascii="Times New Roman" w:hAnsi="Times New Roman"/>
          <w:bCs/>
          <w:sz w:val="24"/>
        </w:rPr>
        <w:t xml:space="preserve">. This </w:t>
      </w:r>
      <w:r w:rsidR="008E55B2" w:rsidRPr="003E4555">
        <w:rPr>
          <w:rFonts w:ascii="Times New Roman" w:hAnsi="Times New Roman"/>
          <w:bCs/>
          <w:sz w:val="24"/>
        </w:rPr>
        <w:t>sh</w:t>
      </w:r>
      <w:r w:rsidR="0070736A" w:rsidRPr="003E4555">
        <w:rPr>
          <w:rFonts w:ascii="Times New Roman" w:hAnsi="Times New Roman"/>
          <w:bCs/>
          <w:sz w:val="24"/>
        </w:rPr>
        <w:t xml:space="preserve">ould </w:t>
      </w:r>
      <w:r w:rsidR="008E55B2" w:rsidRPr="003E4555">
        <w:rPr>
          <w:rFonts w:ascii="Times New Roman" w:hAnsi="Times New Roman"/>
          <w:bCs/>
          <w:sz w:val="24"/>
        </w:rPr>
        <w:t xml:space="preserve">also </w:t>
      </w:r>
      <w:r w:rsidR="0070736A" w:rsidRPr="003E4555">
        <w:rPr>
          <w:rFonts w:ascii="Times New Roman" w:hAnsi="Times New Roman"/>
          <w:bCs/>
          <w:sz w:val="24"/>
        </w:rPr>
        <w:t>be guided by what the international jurisdictions have adopted in terms of which duty of good faith is rec</w:t>
      </w:r>
      <w:r w:rsidR="00A554BD" w:rsidRPr="003E4555">
        <w:rPr>
          <w:rFonts w:ascii="Times New Roman" w:hAnsi="Times New Roman"/>
          <w:bCs/>
          <w:sz w:val="24"/>
        </w:rPr>
        <w:t>o</w:t>
      </w:r>
      <w:r w:rsidR="0070736A" w:rsidRPr="003E4555">
        <w:rPr>
          <w:rFonts w:ascii="Times New Roman" w:hAnsi="Times New Roman"/>
          <w:bCs/>
          <w:sz w:val="24"/>
        </w:rPr>
        <w:t xml:space="preserve">gnised as an imperative in the </w:t>
      </w:r>
      <w:r w:rsidR="00A554BD" w:rsidRPr="003E4555">
        <w:rPr>
          <w:rFonts w:ascii="Times New Roman" w:hAnsi="Times New Roman"/>
          <w:bCs/>
          <w:sz w:val="24"/>
        </w:rPr>
        <w:t>franchise agreement.</w:t>
      </w:r>
      <w:r w:rsidR="004E696F" w:rsidRPr="003E4555">
        <w:rPr>
          <w:rFonts w:ascii="Times New Roman" w:hAnsi="Times New Roman"/>
          <w:bCs/>
          <w:sz w:val="24"/>
        </w:rPr>
        <w:t xml:space="preserve"> The plea to consider developing common law was predicated on t</w:t>
      </w:r>
      <w:r w:rsidR="00E47961" w:rsidRPr="003E4555">
        <w:rPr>
          <w:rFonts w:ascii="Times New Roman" w:hAnsi="Times New Roman"/>
          <w:bCs/>
          <w:sz w:val="24"/>
        </w:rPr>
        <w:t>h</w:t>
      </w:r>
      <w:r w:rsidR="004E696F" w:rsidRPr="003E4555">
        <w:rPr>
          <w:rFonts w:ascii="Times New Roman" w:hAnsi="Times New Roman"/>
          <w:bCs/>
          <w:sz w:val="24"/>
        </w:rPr>
        <w:t xml:space="preserve">e following factors. First, that the applicant failed to disclose to the respondent the contends of the addendum agreement entered into between the applicant and </w:t>
      </w:r>
      <w:r w:rsidR="00C57156" w:rsidRPr="003E4555">
        <w:rPr>
          <w:rFonts w:ascii="Times New Roman" w:hAnsi="Times New Roman"/>
          <w:bCs/>
          <w:sz w:val="24"/>
        </w:rPr>
        <w:t xml:space="preserve">Oblix. Secondly, that the applicant converted the six-month contract to a month-to-month agreement which is prejudicial to the respondent. Thirdly, there are factors which created an expectation that there would be renewal of the </w:t>
      </w:r>
      <w:r w:rsidR="00C57156" w:rsidRPr="003E4555">
        <w:rPr>
          <w:rFonts w:ascii="Times New Roman" w:hAnsi="Times New Roman"/>
          <w:bCs/>
          <w:sz w:val="24"/>
        </w:rPr>
        <w:lastRenderedPageBreak/>
        <w:t xml:space="preserve">lease agreement for a further term. Fourthly, there was a also stratagem by both Oblix and the applicant to take over the business of the respondent without any compensation. The conduct of the applicant is due to the differentials in </w:t>
      </w:r>
      <w:r w:rsidR="006E3DF9" w:rsidRPr="003E4555">
        <w:rPr>
          <w:rFonts w:ascii="Times New Roman" w:hAnsi="Times New Roman"/>
          <w:bCs/>
          <w:sz w:val="24"/>
        </w:rPr>
        <w:t xml:space="preserve">bargaining power between the parties and the respondent like other small players would readily be frustrated in entering </w:t>
      </w:r>
      <w:r w:rsidR="00E47961" w:rsidRPr="003E4555">
        <w:rPr>
          <w:rFonts w:ascii="Times New Roman" w:hAnsi="Times New Roman"/>
          <w:bCs/>
          <w:sz w:val="24"/>
        </w:rPr>
        <w:t xml:space="preserve">and or remain in </w:t>
      </w:r>
      <w:r w:rsidR="006E3DF9" w:rsidRPr="003E4555">
        <w:rPr>
          <w:rFonts w:ascii="Times New Roman" w:hAnsi="Times New Roman"/>
          <w:bCs/>
          <w:sz w:val="24"/>
        </w:rPr>
        <w:t>the</w:t>
      </w:r>
      <w:r w:rsidR="00C57156" w:rsidRPr="003E4555">
        <w:rPr>
          <w:rFonts w:ascii="Times New Roman" w:hAnsi="Times New Roman"/>
          <w:bCs/>
          <w:sz w:val="24"/>
        </w:rPr>
        <w:t xml:space="preserve"> petroleum</w:t>
      </w:r>
      <w:r w:rsidR="006E3DF9" w:rsidRPr="003E4555">
        <w:rPr>
          <w:rFonts w:ascii="Times New Roman" w:hAnsi="Times New Roman"/>
          <w:bCs/>
          <w:sz w:val="24"/>
        </w:rPr>
        <w:t xml:space="preserve"> business.</w:t>
      </w:r>
    </w:p>
    <w:p w14:paraId="1BA65774" w14:textId="7587B311" w:rsidR="009E3A9C" w:rsidRPr="003E4555" w:rsidRDefault="003E4555" w:rsidP="003E4555">
      <w:pPr>
        <w:spacing w:after="480" w:line="480" w:lineRule="auto"/>
        <w:rPr>
          <w:rFonts w:ascii="Times New Roman" w:hAnsi="Times New Roman"/>
          <w:bCs/>
          <w:i/>
          <w:iCs/>
          <w:sz w:val="24"/>
        </w:rPr>
      </w:pPr>
      <w:r w:rsidRPr="0013779F">
        <w:rPr>
          <w:rFonts w:ascii="Times New Roman" w:hAnsi="Times New Roman"/>
          <w:bCs/>
          <w:iCs/>
          <w:sz w:val="24"/>
        </w:rPr>
        <w:t>[47]</w:t>
      </w:r>
      <w:r w:rsidRPr="0013779F">
        <w:rPr>
          <w:rFonts w:ascii="Times New Roman" w:hAnsi="Times New Roman"/>
          <w:bCs/>
          <w:iCs/>
          <w:sz w:val="24"/>
        </w:rPr>
        <w:tab/>
      </w:r>
      <w:r w:rsidR="00C57156" w:rsidRPr="003E4555">
        <w:rPr>
          <w:rFonts w:ascii="Times New Roman" w:hAnsi="Times New Roman"/>
          <w:bCs/>
          <w:sz w:val="24"/>
        </w:rPr>
        <w:t>The applicant in retort contended that the agreement between the parties was in full and final understanding between the parties and invocation of Consumer Protection Act could not be sanctioned. Further that the grievance highlighted by the respondent are unfounded and unsustainable</w:t>
      </w:r>
      <w:r w:rsidR="00074B0C" w:rsidRPr="003E4555">
        <w:rPr>
          <w:rFonts w:ascii="Times New Roman" w:hAnsi="Times New Roman"/>
          <w:bCs/>
          <w:sz w:val="24"/>
        </w:rPr>
        <w:t xml:space="preserve"> and the applicant acted honestly and in accordance with the express terms of the lease and franchise agreements</w:t>
      </w:r>
      <w:r w:rsidR="00C57156" w:rsidRPr="003E4555">
        <w:rPr>
          <w:rFonts w:ascii="Times New Roman" w:hAnsi="Times New Roman"/>
          <w:bCs/>
          <w:sz w:val="24"/>
        </w:rPr>
        <w:t>. There is therefore no justi</w:t>
      </w:r>
      <w:r w:rsidR="00074B0C" w:rsidRPr="003E4555">
        <w:rPr>
          <w:rFonts w:ascii="Times New Roman" w:hAnsi="Times New Roman"/>
          <w:bCs/>
          <w:sz w:val="24"/>
        </w:rPr>
        <w:t>fi</w:t>
      </w:r>
      <w:r w:rsidR="00C57156" w:rsidRPr="003E4555">
        <w:rPr>
          <w:rFonts w:ascii="Times New Roman" w:hAnsi="Times New Roman"/>
          <w:bCs/>
          <w:sz w:val="24"/>
        </w:rPr>
        <w:t>cation for the development of common law in this instance.</w:t>
      </w:r>
    </w:p>
    <w:p w14:paraId="0DFAECA1" w14:textId="77777777" w:rsidR="0013779F" w:rsidRPr="00490904" w:rsidRDefault="0013779F" w:rsidP="0013779F">
      <w:pPr>
        <w:pStyle w:val="ListParagraph"/>
        <w:spacing w:after="480" w:line="480" w:lineRule="auto"/>
        <w:ind w:left="0" w:firstLine="720"/>
        <w:contextualSpacing w:val="0"/>
        <w:rPr>
          <w:rFonts w:ascii="Times New Roman" w:hAnsi="Times New Roman"/>
          <w:bCs/>
          <w:i/>
          <w:iCs/>
          <w:sz w:val="24"/>
        </w:rPr>
      </w:pPr>
      <w:r w:rsidRPr="00490904">
        <w:rPr>
          <w:rFonts w:ascii="Times New Roman" w:hAnsi="Times New Roman"/>
          <w:bCs/>
          <w:i/>
          <w:iCs/>
          <w:sz w:val="24"/>
        </w:rPr>
        <w:t>Right to sell business</w:t>
      </w:r>
    </w:p>
    <w:p w14:paraId="6E54919C" w14:textId="4BB51557" w:rsidR="0013779F" w:rsidRPr="003E4555" w:rsidRDefault="003E4555" w:rsidP="003E4555">
      <w:pPr>
        <w:spacing w:after="480" w:line="480" w:lineRule="auto"/>
        <w:rPr>
          <w:rFonts w:ascii="Times New Roman" w:hAnsi="Times New Roman"/>
          <w:bCs/>
          <w:i/>
          <w:iCs/>
          <w:sz w:val="24"/>
        </w:rPr>
      </w:pPr>
      <w:r w:rsidRPr="008C5445">
        <w:rPr>
          <w:rFonts w:ascii="Times New Roman" w:hAnsi="Times New Roman"/>
          <w:bCs/>
          <w:iCs/>
          <w:sz w:val="24"/>
        </w:rPr>
        <w:t>[48]</w:t>
      </w:r>
      <w:r w:rsidRPr="008C5445">
        <w:rPr>
          <w:rFonts w:ascii="Times New Roman" w:hAnsi="Times New Roman"/>
          <w:bCs/>
          <w:iCs/>
          <w:sz w:val="24"/>
        </w:rPr>
        <w:tab/>
      </w:r>
      <w:r w:rsidR="0013779F" w:rsidRPr="003E4555">
        <w:rPr>
          <w:rFonts w:ascii="Times New Roman" w:hAnsi="Times New Roman"/>
          <w:bCs/>
          <w:sz w:val="24"/>
        </w:rPr>
        <w:t>The applicant contends that the claim by the respondent that it has the right to sell its business has no basis in law as the assets which are being used for business by the respondent are owned by the applicant whilst the land is owned by Salvation Army. The respondent has very few assets to sell. The respondent only owns the members interest in the close corporation, stock, and the car wash.</w:t>
      </w:r>
      <w:r w:rsidR="0013779F">
        <w:rPr>
          <w:rStyle w:val="FootnoteReference"/>
          <w:rFonts w:ascii="Times New Roman" w:hAnsi="Times New Roman"/>
          <w:bCs/>
          <w:sz w:val="24"/>
        </w:rPr>
        <w:footnoteReference w:id="20"/>
      </w:r>
      <w:r w:rsidR="0013779F" w:rsidRPr="003E4555">
        <w:rPr>
          <w:rFonts w:ascii="Times New Roman" w:hAnsi="Times New Roman"/>
          <w:bCs/>
          <w:sz w:val="24"/>
        </w:rPr>
        <w:t xml:space="preserve"> The agreement provides for an instance when the retailer may sell its business, referring to either shares or interest in the CC as it is the case with the respondent alternatively, stock if available. The said sale will have to be during the currency of the lease</w:t>
      </w:r>
      <w:r w:rsidR="0013779F">
        <w:rPr>
          <w:rStyle w:val="FootnoteReference"/>
          <w:rFonts w:ascii="Times New Roman" w:hAnsi="Times New Roman"/>
          <w:bCs/>
          <w:sz w:val="24"/>
        </w:rPr>
        <w:footnoteReference w:id="21"/>
      </w:r>
      <w:r w:rsidR="0013779F" w:rsidRPr="003E4555">
        <w:rPr>
          <w:rFonts w:ascii="Times New Roman" w:hAnsi="Times New Roman"/>
          <w:bCs/>
          <w:sz w:val="24"/>
        </w:rPr>
        <w:t xml:space="preserve"> and must approved by the applicant. In this case there </w:t>
      </w:r>
      <w:r w:rsidR="0013779F" w:rsidRPr="003E4555">
        <w:rPr>
          <w:rFonts w:ascii="Times New Roman" w:hAnsi="Times New Roman"/>
          <w:bCs/>
          <w:sz w:val="24"/>
        </w:rPr>
        <w:lastRenderedPageBreak/>
        <w:t>is no mention of the sale of the close corporation and or the stock hence the argument regarding the sale of the business is hollow.</w:t>
      </w:r>
    </w:p>
    <w:p w14:paraId="3D63058F" w14:textId="706C6DBC" w:rsidR="0013779F" w:rsidRPr="003E4555" w:rsidRDefault="003E4555" w:rsidP="003E4555">
      <w:pPr>
        <w:spacing w:after="480" w:line="480" w:lineRule="auto"/>
        <w:rPr>
          <w:rFonts w:ascii="Times New Roman" w:hAnsi="Times New Roman"/>
          <w:bCs/>
          <w:i/>
          <w:iCs/>
          <w:sz w:val="24"/>
        </w:rPr>
      </w:pPr>
      <w:r w:rsidRPr="00743C64">
        <w:rPr>
          <w:rFonts w:ascii="Times New Roman" w:hAnsi="Times New Roman"/>
          <w:bCs/>
          <w:iCs/>
          <w:sz w:val="24"/>
        </w:rPr>
        <w:t>[49]</w:t>
      </w:r>
      <w:r w:rsidRPr="00743C64">
        <w:rPr>
          <w:rFonts w:ascii="Times New Roman" w:hAnsi="Times New Roman"/>
          <w:bCs/>
          <w:iCs/>
          <w:sz w:val="24"/>
        </w:rPr>
        <w:tab/>
      </w:r>
      <w:r w:rsidR="0013779F" w:rsidRPr="003E4555">
        <w:rPr>
          <w:rFonts w:ascii="Times New Roman" w:hAnsi="Times New Roman"/>
          <w:bCs/>
          <w:sz w:val="24"/>
        </w:rPr>
        <w:t>In addition, the applicant contends that the parties have agreed in terms of clause 32.3 of the standard terms and clause 17.3 of the franchise agreement that goodwill associated with BP shall remain the asset of BP and the respondent will not lay any claim thereon.</w:t>
      </w:r>
    </w:p>
    <w:p w14:paraId="1AD90A68" w14:textId="0904BB37" w:rsidR="0013779F" w:rsidRPr="003E4555" w:rsidRDefault="003E4555" w:rsidP="003E4555">
      <w:pPr>
        <w:spacing w:after="480" w:line="480" w:lineRule="auto"/>
        <w:rPr>
          <w:rFonts w:ascii="Times New Roman" w:hAnsi="Times New Roman"/>
          <w:bCs/>
          <w:i/>
          <w:iCs/>
          <w:sz w:val="24"/>
        </w:rPr>
      </w:pPr>
      <w:r w:rsidRPr="002D7E0A">
        <w:rPr>
          <w:rFonts w:ascii="Times New Roman" w:hAnsi="Times New Roman"/>
          <w:bCs/>
          <w:iCs/>
          <w:sz w:val="24"/>
        </w:rPr>
        <w:t>[50]</w:t>
      </w:r>
      <w:r w:rsidRPr="002D7E0A">
        <w:rPr>
          <w:rFonts w:ascii="Times New Roman" w:hAnsi="Times New Roman"/>
          <w:bCs/>
          <w:iCs/>
          <w:sz w:val="24"/>
        </w:rPr>
        <w:tab/>
      </w:r>
      <w:r w:rsidR="0013779F" w:rsidRPr="003E4555">
        <w:rPr>
          <w:rFonts w:ascii="Times New Roman" w:hAnsi="Times New Roman"/>
          <w:bCs/>
          <w:sz w:val="24"/>
        </w:rPr>
        <w:t xml:space="preserve">The respondent on the other hand contended that clause 34.4 of the lease agreement provides for the transfer of the business to a third party in exchange for value. The effect of the termination, so it is argued, and the ability of Oblix to nominate an operator denies the respondent this opportunity. </w:t>
      </w:r>
    </w:p>
    <w:p w14:paraId="1370E7E3" w14:textId="6EF11C44" w:rsidR="0013779F" w:rsidRPr="003E4555" w:rsidRDefault="003E4555" w:rsidP="003E4555">
      <w:pPr>
        <w:spacing w:after="480" w:line="480" w:lineRule="auto"/>
        <w:rPr>
          <w:rFonts w:ascii="Times New Roman" w:hAnsi="Times New Roman"/>
          <w:bCs/>
          <w:i/>
          <w:iCs/>
          <w:sz w:val="24"/>
        </w:rPr>
      </w:pPr>
      <w:r w:rsidRPr="00553B6A">
        <w:rPr>
          <w:rFonts w:ascii="Times New Roman" w:hAnsi="Times New Roman"/>
          <w:bCs/>
          <w:iCs/>
          <w:sz w:val="24"/>
        </w:rPr>
        <w:t>[51]</w:t>
      </w:r>
      <w:r w:rsidRPr="00553B6A">
        <w:rPr>
          <w:rFonts w:ascii="Times New Roman" w:hAnsi="Times New Roman"/>
          <w:bCs/>
          <w:iCs/>
          <w:sz w:val="24"/>
        </w:rPr>
        <w:tab/>
      </w:r>
      <w:r w:rsidR="0013779F" w:rsidRPr="003E4555">
        <w:rPr>
          <w:rFonts w:ascii="Times New Roman" w:hAnsi="Times New Roman"/>
          <w:bCs/>
          <w:sz w:val="24"/>
        </w:rPr>
        <w:t>The respondent further averred that a discussion about sale of businesses by the dealers and the applicant was undertaken previously at which the applicant advised that the purchase price should be on the basis of 36 months EBIDTA.</w:t>
      </w:r>
      <w:r w:rsidR="0013779F">
        <w:rPr>
          <w:rStyle w:val="FootnoteReference"/>
          <w:rFonts w:ascii="Times New Roman" w:hAnsi="Times New Roman"/>
          <w:bCs/>
          <w:sz w:val="24"/>
        </w:rPr>
        <w:footnoteReference w:id="22"/>
      </w:r>
      <w:r w:rsidR="0013779F" w:rsidRPr="003E4555">
        <w:rPr>
          <w:rFonts w:ascii="Times New Roman" w:hAnsi="Times New Roman"/>
          <w:bCs/>
          <w:sz w:val="24"/>
        </w:rPr>
        <w:t xml:space="preserve">  In addition, it was also mentioned at th</w:t>
      </w:r>
      <w:r w:rsidR="00E47961" w:rsidRPr="003E4555">
        <w:rPr>
          <w:rFonts w:ascii="Times New Roman" w:hAnsi="Times New Roman"/>
          <w:bCs/>
          <w:sz w:val="24"/>
        </w:rPr>
        <w:t>os</w:t>
      </w:r>
      <w:r w:rsidR="0013779F" w:rsidRPr="003E4555">
        <w:rPr>
          <w:rFonts w:ascii="Times New Roman" w:hAnsi="Times New Roman"/>
          <w:bCs/>
          <w:sz w:val="24"/>
        </w:rPr>
        <w:t>e meeting</w:t>
      </w:r>
      <w:r w:rsidR="00E47961" w:rsidRPr="003E4555">
        <w:rPr>
          <w:rFonts w:ascii="Times New Roman" w:hAnsi="Times New Roman"/>
          <w:bCs/>
          <w:sz w:val="24"/>
        </w:rPr>
        <w:t>s</w:t>
      </w:r>
      <w:r w:rsidR="0013779F" w:rsidRPr="003E4555">
        <w:rPr>
          <w:rFonts w:ascii="Times New Roman" w:hAnsi="Times New Roman"/>
          <w:bCs/>
          <w:sz w:val="24"/>
        </w:rPr>
        <w:t xml:space="preserve"> that dealers who were engaged on a month-to-month basis were allowed time to sell their businesses.</w:t>
      </w:r>
      <w:r w:rsidR="0013779F">
        <w:rPr>
          <w:rStyle w:val="FootnoteReference"/>
          <w:rFonts w:ascii="Times New Roman" w:hAnsi="Times New Roman"/>
          <w:bCs/>
          <w:sz w:val="24"/>
        </w:rPr>
        <w:footnoteReference w:id="23"/>
      </w:r>
      <w:r w:rsidR="0013779F" w:rsidRPr="003E4555">
        <w:rPr>
          <w:rFonts w:ascii="Times New Roman" w:hAnsi="Times New Roman"/>
          <w:bCs/>
          <w:sz w:val="24"/>
        </w:rPr>
        <w:t xml:space="preserve"> If for any reason the applicant intends to raise a dispute, so it is argued,  about the formula then this issue should be referred to oral evidence for determination.</w:t>
      </w:r>
      <w:r w:rsidR="0013779F">
        <w:rPr>
          <w:rStyle w:val="FootnoteReference"/>
          <w:rFonts w:ascii="Times New Roman" w:hAnsi="Times New Roman"/>
          <w:bCs/>
          <w:sz w:val="24"/>
        </w:rPr>
        <w:footnoteReference w:id="24"/>
      </w:r>
    </w:p>
    <w:p w14:paraId="6D7CBA77" w14:textId="2000EDB9" w:rsidR="0013779F" w:rsidRPr="003E4555" w:rsidRDefault="003E4555" w:rsidP="003E4555">
      <w:pPr>
        <w:spacing w:after="480" w:line="480" w:lineRule="auto"/>
        <w:rPr>
          <w:rFonts w:ascii="Times New Roman" w:hAnsi="Times New Roman"/>
          <w:bCs/>
          <w:i/>
          <w:iCs/>
          <w:sz w:val="24"/>
        </w:rPr>
      </w:pPr>
      <w:r w:rsidRPr="00190A49">
        <w:rPr>
          <w:rFonts w:ascii="Times New Roman" w:hAnsi="Times New Roman"/>
          <w:bCs/>
          <w:iCs/>
          <w:sz w:val="24"/>
        </w:rPr>
        <w:t>[52]</w:t>
      </w:r>
      <w:r w:rsidRPr="00190A49">
        <w:rPr>
          <w:rFonts w:ascii="Times New Roman" w:hAnsi="Times New Roman"/>
          <w:bCs/>
          <w:iCs/>
          <w:sz w:val="24"/>
        </w:rPr>
        <w:tab/>
      </w:r>
      <w:r w:rsidR="0013779F" w:rsidRPr="003E4555">
        <w:rPr>
          <w:rFonts w:ascii="Times New Roman" w:hAnsi="Times New Roman"/>
          <w:bCs/>
          <w:sz w:val="24"/>
        </w:rPr>
        <w:t xml:space="preserve">The respondent persisted with the contention that there is goodwill which has been created during its tenure and has value which must be acquired by a party who is interested </w:t>
      </w:r>
      <w:r w:rsidR="0013779F" w:rsidRPr="003E4555">
        <w:rPr>
          <w:rFonts w:ascii="Times New Roman" w:hAnsi="Times New Roman"/>
          <w:bCs/>
          <w:sz w:val="24"/>
        </w:rPr>
        <w:lastRenderedPageBreak/>
        <w:t>in purchasing the business. The goodwill is constituted by production capacity, good reputation of the site, loyalty, growth in turn over should be considered and be paid for. The method to determine the value, for both the business and the goodwill would have to be the outcome of an investigation into the market which will help guide the process to follow</w:t>
      </w:r>
      <w:r w:rsidR="00E47961" w:rsidRPr="003E4555">
        <w:rPr>
          <w:rFonts w:ascii="Times New Roman" w:hAnsi="Times New Roman"/>
          <w:bCs/>
          <w:sz w:val="24"/>
        </w:rPr>
        <w:t>.</w:t>
      </w:r>
    </w:p>
    <w:p w14:paraId="650A609D" w14:textId="45A35EC7" w:rsidR="0013779F" w:rsidRPr="003E4555" w:rsidRDefault="003E4555" w:rsidP="003E4555">
      <w:pPr>
        <w:spacing w:after="480" w:line="480" w:lineRule="auto"/>
        <w:rPr>
          <w:rFonts w:ascii="Times New Roman" w:hAnsi="Times New Roman"/>
          <w:bCs/>
          <w:i/>
          <w:iCs/>
          <w:sz w:val="24"/>
        </w:rPr>
      </w:pPr>
      <w:r>
        <w:rPr>
          <w:rFonts w:ascii="Times New Roman" w:hAnsi="Times New Roman"/>
          <w:bCs/>
          <w:iCs/>
          <w:sz w:val="24"/>
        </w:rPr>
        <w:t>[53]</w:t>
      </w:r>
      <w:r>
        <w:rPr>
          <w:rFonts w:ascii="Times New Roman" w:hAnsi="Times New Roman"/>
          <w:bCs/>
          <w:iCs/>
          <w:sz w:val="24"/>
        </w:rPr>
        <w:tab/>
      </w:r>
      <w:r w:rsidR="0013779F" w:rsidRPr="003E4555">
        <w:rPr>
          <w:rFonts w:ascii="Times New Roman" w:hAnsi="Times New Roman"/>
          <w:bCs/>
          <w:sz w:val="24"/>
        </w:rPr>
        <w:t xml:space="preserve">The respondent prayed in the counter application that an interdict </w:t>
      </w:r>
      <w:r w:rsidR="00E47961" w:rsidRPr="003E4555">
        <w:rPr>
          <w:rFonts w:ascii="Times New Roman" w:hAnsi="Times New Roman"/>
          <w:bCs/>
          <w:sz w:val="24"/>
        </w:rPr>
        <w:t xml:space="preserve">be </w:t>
      </w:r>
      <w:r w:rsidR="0013779F" w:rsidRPr="003E4555">
        <w:rPr>
          <w:rFonts w:ascii="Times New Roman" w:hAnsi="Times New Roman"/>
          <w:bCs/>
          <w:sz w:val="24"/>
        </w:rPr>
        <w:t>issued against the taking over</w:t>
      </w:r>
      <w:r w:rsidR="00E47961" w:rsidRPr="003E4555">
        <w:rPr>
          <w:rFonts w:ascii="Times New Roman" w:hAnsi="Times New Roman"/>
          <w:bCs/>
          <w:sz w:val="24"/>
        </w:rPr>
        <w:t xml:space="preserve"> by</w:t>
      </w:r>
      <w:r w:rsidR="0013779F" w:rsidRPr="003E4555">
        <w:rPr>
          <w:rFonts w:ascii="Times New Roman" w:hAnsi="Times New Roman"/>
          <w:bCs/>
          <w:sz w:val="24"/>
        </w:rPr>
        <w:t xml:space="preserve"> Oblix alternatively that the nominee of Oblix be determined to be BP’s nominee in terms of clause 34.7(a) and then BP procure its nominee which should pay the respondent amount calculated on 36-month EBITDA basis further alternatively that the applicant pay that amount as damages.</w:t>
      </w:r>
      <w:r w:rsidR="0013779F">
        <w:rPr>
          <w:rStyle w:val="FootnoteReference"/>
          <w:rFonts w:ascii="Times New Roman" w:hAnsi="Times New Roman"/>
          <w:bCs/>
          <w:sz w:val="24"/>
        </w:rPr>
        <w:footnoteReference w:id="25"/>
      </w:r>
      <w:r w:rsidR="0013779F" w:rsidRPr="003E4555">
        <w:rPr>
          <w:rFonts w:ascii="Times New Roman" w:hAnsi="Times New Roman"/>
          <w:bCs/>
          <w:sz w:val="24"/>
        </w:rPr>
        <w:t xml:space="preserve"> </w:t>
      </w:r>
      <w:r w:rsidR="0013779F" w:rsidRPr="003E4555">
        <w:rPr>
          <w:rFonts w:ascii="Times New Roman" w:hAnsi="Times New Roman"/>
          <w:bCs/>
          <w:i/>
          <w:iCs/>
          <w:sz w:val="24"/>
        </w:rPr>
        <w:t>‘Compensation will be sought in the section 12B arbitration – this compensation will consider the patrimonial loss of Bayafsa’.</w:t>
      </w:r>
      <w:r w:rsidR="0013779F">
        <w:rPr>
          <w:rStyle w:val="FootnoteReference"/>
          <w:rFonts w:ascii="Times New Roman" w:hAnsi="Times New Roman"/>
          <w:bCs/>
          <w:i/>
          <w:iCs/>
          <w:sz w:val="24"/>
        </w:rPr>
        <w:footnoteReference w:id="26"/>
      </w:r>
    </w:p>
    <w:p w14:paraId="24B5CA1A" w14:textId="77777777" w:rsidR="0013779F" w:rsidRPr="000F5675" w:rsidRDefault="0013779F" w:rsidP="0013779F">
      <w:pPr>
        <w:pStyle w:val="ListParagraph"/>
        <w:spacing w:after="480" w:line="480" w:lineRule="auto"/>
        <w:ind w:left="0" w:firstLine="720"/>
        <w:contextualSpacing w:val="0"/>
        <w:rPr>
          <w:rFonts w:ascii="Times New Roman" w:hAnsi="Times New Roman"/>
          <w:bCs/>
          <w:i/>
          <w:iCs/>
          <w:sz w:val="24"/>
        </w:rPr>
      </w:pPr>
      <w:r w:rsidRPr="000F5675">
        <w:rPr>
          <w:rFonts w:ascii="Times New Roman" w:hAnsi="Times New Roman"/>
          <w:bCs/>
          <w:i/>
          <w:iCs/>
          <w:sz w:val="24"/>
        </w:rPr>
        <w:t>Termination of the lease</w:t>
      </w:r>
    </w:p>
    <w:p w14:paraId="6D16FB98" w14:textId="56253F16" w:rsidR="0013779F" w:rsidRPr="003E4555" w:rsidRDefault="003E4555" w:rsidP="003E4555">
      <w:pPr>
        <w:spacing w:after="480" w:line="480" w:lineRule="auto"/>
        <w:rPr>
          <w:rFonts w:ascii="Times New Roman" w:hAnsi="Times New Roman"/>
          <w:bCs/>
          <w:i/>
          <w:iCs/>
          <w:sz w:val="24"/>
        </w:rPr>
      </w:pPr>
      <w:r w:rsidRPr="001B01E7">
        <w:rPr>
          <w:rFonts w:ascii="Times New Roman" w:hAnsi="Times New Roman"/>
          <w:bCs/>
          <w:iCs/>
          <w:sz w:val="24"/>
        </w:rPr>
        <w:t>[54]</w:t>
      </w:r>
      <w:r w:rsidRPr="001B01E7">
        <w:rPr>
          <w:rFonts w:ascii="Times New Roman" w:hAnsi="Times New Roman"/>
          <w:bCs/>
          <w:iCs/>
          <w:sz w:val="24"/>
        </w:rPr>
        <w:tab/>
      </w:r>
      <w:r w:rsidR="0013779F" w:rsidRPr="003E4555">
        <w:rPr>
          <w:rFonts w:ascii="Times New Roman" w:hAnsi="Times New Roman"/>
          <w:bCs/>
          <w:sz w:val="24"/>
        </w:rPr>
        <w:t>The applicant contends that the lease agreement lapsed at the end of 5 years a</w:t>
      </w:r>
      <w:r w:rsidR="00E47961" w:rsidRPr="003E4555">
        <w:rPr>
          <w:rFonts w:ascii="Times New Roman" w:hAnsi="Times New Roman"/>
          <w:bCs/>
          <w:sz w:val="24"/>
        </w:rPr>
        <w:t>nd</w:t>
      </w:r>
      <w:r w:rsidR="0013779F" w:rsidRPr="003E4555">
        <w:rPr>
          <w:rFonts w:ascii="Times New Roman" w:hAnsi="Times New Roman"/>
          <w:bCs/>
          <w:sz w:val="24"/>
        </w:rPr>
        <w:t xml:space="preserve"> six-month termination notice was accordingly issued in compliance with the lease agreement. To this end the respondent has no right to continue the occupation of the leased premises. This assertion was in response to the respondent’s contention that the notice is not in accordance with the lease agreement and is therefore ineffectual. The definition of a month is in terms of claims 1(aa)</w:t>
      </w:r>
      <w:r w:rsidR="0013779F">
        <w:rPr>
          <w:rStyle w:val="FootnoteReference"/>
          <w:rFonts w:ascii="Times New Roman" w:hAnsi="Times New Roman"/>
          <w:bCs/>
          <w:sz w:val="24"/>
        </w:rPr>
        <w:footnoteReference w:id="27"/>
      </w:r>
      <w:r w:rsidR="0013779F" w:rsidRPr="003E4555">
        <w:rPr>
          <w:rFonts w:ascii="Times New Roman" w:hAnsi="Times New Roman"/>
          <w:bCs/>
          <w:sz w:val="24"/>
        </w:rPr>
        <w:t xml:space="preserve"> which refers to the calendar month, the definition continues and state that the period will run from </w:t>
      </w:r>
      <w:r w:rsidR="00E47961" w:rsidRPr="003E4555">
        <w:rPr>
          <w:rFonts w:ascii="Times New Roman" w:hAnsi="Times New Roman"/>
          <w:bCs/>
          <w:sz w:val="24"/>
        </w:rPr>
        <w:t>a</w:t>
      </w:r>
      <w:r w:rsidR="0013779F" w:rsidRPr="003E4555">
        <w:rPr>
          <w:rFonts w:ascii="Times New Roman" w:hAnsi="Times New Roman"/>
          <w:bCs/>
          <w:sz w:val="24"/>
        </w:rPr>
        <w:t xml:space="preserve"> specific date which does not ordinarily </w:t>
      </w:r>
      <w:r w:rsidR="0013779F" w:rsidRPr="003E4555">
        <w:rPr>
          <w:rFonts w:ascii="Times New Roman" w:hAnsi="Times New Roman"/>
          <w:bCs/>
          <w:sz w:val="24"/>
        </w:rPr>
        <w:lastRenderedPageBreak/>
        <w:t xml:space="preserve">imply that it should be the beginning of the month as the respondent contends. The clause, so the applicant submits, means that the notice can be given on the first day ‘… </w:t>
      </w:r>
      <w:r w:rsidR="0013779F" w:rsidRPr="003E4555">
        <w:rPr>
          <w:rFonts w:ascii="Times New Roman" w:hAnsi="Times New Roman"/>
          <w:bCs/>
          <w:i/>
          <w:iCs/>
          <w:sz w:val="24"/>
        </w:rPr>
        <w:t>of a given month or any date in a given month. The date must just be a date and a specific date’.</w:t>
      </w:r>
      <w:r w:rsidR="0013779F">
        <w:rPr>
          <w:rStyle w:val="FootnoteReference"/>
          <w:rFonts w:ascii="Times New Roman" w:hAnsi="Times New Roman"/>
          <w:bCs/>
          <w:i/>
          <w:iCs/>
          <w:sz w:val="24"/>
        </w:rPr>
        <w:footnoteReference w:id="28"/>
      </w:r>
    </w:p>
    <w:p w14:paraId="25BEE03F" w14:textId="1F990B5E" w:rsidR="0013779F" w:rsidRPr="003E4555" w:rsidRDefault="003E4555" w:rsidP="003E4555">
      <w:pPr>
        <w:spacing w:after="480" w:line="480" w:lineRule="auto"/>
        <w:rPr>
          <w:rFonts w:ascii="Times New Roman" w:hAnsi="Times New Roman"/>
          <w:bCs/>
          <w:i/>
          <w:iCs/>
          <w:sz w:val="24"/>
        </w:rPr>
      </w:pPr>
      <w:r w:rsidRPr="00A0019D">
        <w:rPr>
          <w:rFonts w:ascii="Times New Roman" w:hAnsi="Times New Roman"/>
          <w:bCs/>
          <w:iCs/>
          <w:sz w:val="24"/>
        </w:rPr>
        <w:t>[55]</w:t>
      </w:r>
      <w:r w:rsidRPr="00A0019D">
        <w:rPr>
          <w:rFonts w:ascii="Times New Roman" w:hAnsi="Times New Roman"/>
          <w:bCs/>
          <w:iCs/>
          <w:sz w:val="24"/>
        </w:rPr>
        <w:tab/>
      </w:r>
      <w:r w:rsidR="0013779F" w:rsidRPr="003E4555">
        <w:rPr>
          <w:rFonts w:ascii="Times New Roman" w:hAnsi="Times New Roman"/>
          <w:bCs/>
          <w:sz w:val="24"/>
        </w:rPr>
        <w:t>The respondent persisted with the argument that the parties had a month-to-month agreement which commences on the first day of the month. To this end it is expected of the applicant to properly comply with that period. In terms of the respondent’s calculation the notice was given 11 days preceding the end of the month. In addition, the respondent contended that the applicant’s letter stating that the lease agreement is on a month-to-month basis with a one month notice for termination is a repudiation of the six-monthly contract.</w:t>
      </w:r>
    </w:p>
    <w:p w14:paraId="32813C1E" w14:textId="139A872F" w:rsidR="006F57C9" w:rsidRPr="006F57C9" w:rsidRDefault="0013779F" w:rsidP="006F57C9">
      <w:pPr>
        <w:pStyle w:val="ListParagraph"/>
        <w:spacing w:after="480" w:line="480" w:lineRule="auto"/>
        <w:ind w:left="0"/>
        <w:contextualSpacing w:val="0"/>
        <w:rPr>
          <w:rFonts w:ascii="Times New Roman" w:hAnsi="Times New Roman"/>
          <w:bCs/>
          <w:i/>
          <w:iCs/>
          <w:sz w:val="24"/>
        </w:rPr>
      </w:pPr>
      <w:r>
        <w:rPr>
          <w:rFonts w:ascii="Times New Roman" w:hAnsi="Times New Roman"/>
          <w:bCs/>
          <w:i/>
          <w:iCs/>
          <w:sz w:val="24"/>
        </w:rPr>
        <w:t>R</w:t>
      </w:r>
      <w:r w:rsidR="006F57C9" w:rsidRPr="006F57C9">
        <w:rPr>
          <w:rFonts w:ascii="Times New Roman" w:hAnsi="Times New Roman"/>
          <w:bCs/>
          <w:i/>
          <w:iCs/>
          <w:sz w:val="24"/>
        </w:rPr>
        <w:t>espondent’s counter application.</w:t>
      </w:r>
    </w:p>
    <w:p w14:paraId="433D07FD" w14:textId="3AEBDBE9" w:rsidR="006F57C9" w:rsidRPr="003E4555" w:rsidRDefault="003E4555" w:rsidP="003E4555">
      <w:pPr>
        <w:spacing w:after="480" w:line="480" w:lineRule="auto"/>
        <w:rPr>
          <w:rFonts w:ascii="Times New Roman" w:hAnsi="Times New Roman"/>
          <w:bCs/>
          <w:i/>
          <w:iCs/>
          <w:sz w:val="24"/>
        </w:rPr>
      </w:pPr>
      <w:r w:rsidRPr="00415E30">
        <w:rPr>
          <w:rFonts w:ascii="Times New Roman" w:hAnsi="Times New Roman"/>
          <w:bCs/>
          <w:iCs/>
          <w:sz w:val="24"/>
        </w:rPr>
        <w:t>[56]</w:t>
      </w:r>
      <w:r w:rsidRPr="00415E30">
        <w:rPr>
          <w:rFonts w:ascii="Times New Roman" w:hAnsi="Times New Roman"/>
          <w:bCs/>
          <w:iCs/>
          <w:sz w:val="24"/>
        </w:rPr>
        <w:tab/>
      </w:r>
      <w:r w:rsidR="006F57C9" w:rsidRPr="003E4555">
        <w:rPr>
          <w:rFonts w:ascii="Times New Roman" w:hAnsi="Times New Roman"/>
          <w:bCs/>
          <w:sz w:val="24"/>
        </w:rPr>
        <w:t xml:space="preserve">In view of the findings </w:t>
      </w:r>
      <w:r w:rsidR="00A24DC9" w:rsidRPr="003E4555">
        <w:rPr>
          <w:rFonts w:ascii="Times New Roman" w:hAnsi="Times New Roman"/>
          <w:bCs/>
          <w:sz w:val="24"/>
        </w:rPr>
        <w:t>s</w:t>
      </w:r>
      <w:r w:rsidR="006F57C9" w:rsidRPr="003E4555">
        <w:rPr>
          <w:rFonts w:ascii="Times New Roman" w:hAnsi="Times New Roman"/>
          <w:bCs/>
          <w:sz w:val="24"/>
        </w:rPr>
        <w:t>et out below it follows that the relief</w:t>
      </w:r>
      <w:r w:rsidR="00A24DC9" w:rsidRPr="003E4555">
        <w:rPr>
          <w:rFonts w:ascii="Times New Roman" w:hAnsi="Times New Roman"/>
          <w:bCs/>
          <w:sz w:val="24"/>
        </w:rPr>
        <w:t>s</w:t>
      </w:r>
      <w:r w:rsidR="006F57C9" w:rsidRPr="003E4555">
        <w:rPr>
          <w:rFonts w:ascii="Times New Roman" w:hAnsi="Times New Roman"/>
          <w:bCs/>
          <w:sz w:val="24"/>
        </w:rPr>
        <w:t xml:space="preserve"> sought by the respondent are premature and shall therefore not be decided upon</w:t>
      </w:r>
      <w:r w:rsidR="009D78C2" w:rsidRPr="003E4555">
        <w:rPr>
          <w:rFonts w:ascii="Times New Roman" w:hAnsi="Times New Roman"/>
          <w:bCs/>
          <w:sz w:val="24"/>
        </w:rPr>
        <w:t xml:space="preserve">, except where a pronouncement has accordingly been </w:t>
      </w:r>
      <w:r w:rsidR="00A24DC9" w:rsidRPr="003E4555">
        <w:rPr>
          <w:rFonts w:ascii="Times New Roman" w:hAnsi="Times New Roman"/>
          <w:bCs/>
          <w:sz w:val="24"/>
        </w:rPr>
        <w:t>made</w:t>
      </w:r>
      <w:r w:rsidR="006F57C9" w:rsidRPr="003E4555">
        <w:rPr>
          <w:rFonts w:ascii="Times New Roman" w:hAnsi="Times New Roman"/>
          <w:bCs/>
          <w:sz w:val="24"/>
        </w:rPr>
        <w:t>.</w:t>
      </w:r>
    </w:p>
    <w:p w14:paraId="497E9C23" w14:textId="25D7786A" w:rsidR="0038366C" w:rsidRPr="00DF229C" w:rsidRDefault="0038366C" w:rsidP="002C1AD4">
      <w:pPr>
        <w:pStyle w:val="ListParagraph"/>
        <w:spacing w:after="480" w:line="480" w:lineRule="auto"/>
        <w:ind w:left="0"/>
        <w:contextualSpacing w:val="0"/>
        <w:rPr>
          <w:rFonts w:ascii="Times New Roman" w:hAnsi="Times New Roman"/>
          <w:bCs/>
          <w:i/>
          <w:iCs/>
          <w:sz w:val="24"/>
        </w:rPr>
      </w:pPr>
      <w:r w:rsidRPr="00DF229C">
        <w:rPr>
          <w:rFonts w:ascii="Times New Roman" w:hAnsi="Times New Roman"/>
          <w:bCs/>
          <w:i/>
          <w:iCs/>
          <w:sz w:val="24"/>
        </w:rPr>
        <w:t>Legal analysis and evaluation</w:t>
      </w:r>
    </w:p>
    <w:p w14:paraId="193BA677" w14:textId="6340EB7C" w:rsidR="00DF229C" w:rsidRPr="00DF229C" w:rsidRDefault="00DF229C" w:rsidP="00DF229C">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rPr>
        <w:t>Non-joinder and unlawful competition</w:t>
      </w:r>
    </w:p>
    <w:p w14:paraId="2BA58CD1" w14:textId="4F8510C1" w:rsidR="008E55B2" w:rsidRPr="003E4555" w:rsidRDefault="003E4555" w:rsidP="003E4555">
      <w:pPr>
        <w:spacing w:after="480" w:line="480" w:lineRule="auto"/>
        <w:rPr>
          <w:rFonts w:ascii="Times New Roman" w:hAnsi="Times New Roman"/>
          <w:bCs/>
          <w:i/>
          <w:iCs/>
          <w:sz w:val="24"/>
        </w:rPr>
      </w:pPr>
      <w:r w:rsidRPr="008E55B2">
        <w:rPr>
          <w:rFonts w:ascii="Times New Roman" w:hAnsi="Times New Roman"/>
          <w:bCs/>
          <w:iCs/>
          <w:sz w:val="24"/>
        </w:rPr>
        <w:t>[57]</w:t>
      </w:r>
      <w:r w:rsidRPr="008E55B2">
        <w:rPr>
          <w:rFonts w:ascii="Times New Roman" w:hAnsi="Times New Roman"/>
          <w:bCs/>
          <w:iCs/>
          <w:sz w:val="24"/>
        </w:rPr>
        <w:tab/>
      </w:r>
      <w:r w:rsidR="007C7338" w:rsidRPr="003E4555">
        <w:rPr>
          <w:rFonts w:ascii="Times New Roman" w:hAnsi="Times New Roman"/>
          <w:bCs/>
          <w:sz w:val="24"/>
          <w:lang w:val="en-GB"/>
        </w:rPr>
        <w:t xml:space="preserve">It was held in </w:t>
      </w:r>
      <w:r w:rsidR="007C7338" w:rsidRPr="003E4555">
        <w:rPr>
          <w:rFonts w:ascii="Times New Roman" w:hAnsi="Times New Roman"/>
          <w:bCs/>
          <w:i/>
          <w:iCs/>
          <w:sz w:val="24"/>
          <w:lang w:val="en-GB"/>
        </w:rPr>
        <w:t>Amalgamated Engineering Union</w:t>
      </w:r>
      <w:r w:rsidR="00A24DC9">
        <w:rPr>
          <w:rStyle w:val="FootnoteReference"/>
          <w:rFonts w:ascii="Times New Roman" w:hAnsi="Times New Roman"/>
          <w:bCs/>
          <w:i/>
          <w:iCs/>
          <w:sz w:val="24"/>
          <w:lang w:val="en-GB"/>
        </w:rPr>
        <w:footnoteReference w:id="29"/>
      </w:r>
      <w:r w:rsidR="007C7338" w:rsidRPr="003E4555">
        <w:rPr>
          <w:rFonts w:ascii="Times New Roman" w:hAnsi="Times New Roman"/>
          <w:bCs/>
          <w:sz w:val="24"/>
          <w:lang w:val="en-GB"/>
        </w:rPr>
        <w:t xml:space="preserve"> that ‘</w:t>
      </w:r>
      <w:r w:rsidR="007C7338" w:rsidRPr="003E4555">
        <w:rPr>
          <w:rFonts w:ascii="Times New Roman" w:hAnsi="Times New Roman"/>
          <w:bCs/>
          <w:i/>
          <w:iCs/>
          <w:sz w:val="24"/>
          <w:lang w:val="en-GB"/>
        </w:rPr>
        <w:t>[T[]he question of joinder should- … not depend on the nature of the subject matter of the suit … but … on the manner in which, and the extent to which, the court’s order may affect the interest of third parties’</w:t>
      </w:r>
      <w:r w:rsidR="007C7338" w:rsidRPr="003E4555">
        <w:rPr>
          <w:rFonts w:ascii="Times New Roman" w:hAnsi="Times New Roman"/>
          <w:bCs/>
          <w:sz w:val="24"/>
          <w:lang w:val="en-GB"/>
        </w:rPr>
        <w:t>.</w:t>
      </w:r>
      <w:r w:rsidR="007C7338">
        <w:rPr>
          <w:rStyle w:val="FootnoteReference"/>
          <w:rFonts w:ascii="Times New Roman" w:hAnsi="Times New Roman"/>
          <w:bCs/>
          <w:sz w:val="24"/>
          <w:lang w:val="en-GB"/>
        </w:rPr>
        <w:footnoteReference w:id="30"/>
      </w:r>
      <w:r w:rsidR="007C7338" w:rsidRPr="003E4555">
        <w:rPr>
          <w:rFonts w:ascii="Times New Roman" w:hAnsi="Times New Roman"/>
          <w:bCs/>
          <w:sz w:val="24"/>
          <w:lang w:val="en-GB"/>
        </w:rPr>
        <w:t xml:space="preserve"> </w:t>
      </w:r>
      <w:r w:rsidR="00A92BC2" w:rsidRPr="003E4555">
        <w:rPr>
          <w:rFonts w:ascii="Times New Roman" w:hAnsi="Times New Roman"/>
          <w:bCs/>
          <w:sz w:val="24"/>
          <w:lang w:val="en-GB"/>
        </w:rPr>
        <w:t xml:space="preserve">The </w:t>
      </w:r>
      <w:r w:rsidR="00E47961" w:rsidRPr="003E4555">
        <w:rPr>
          <w:rFonts w:ascii="Times New Roman" w:hAnsi="Times New Roman"/>
          <w:bCs/>
          <w:sz w:val="24"/>
          <w:lang w:val="en-GB"/>
        </w:rPr>
        <w:t xml:space="preserve">respondent’s </w:t>
      </w:r>
      <w:r w:rsidR="00A97307" w:rsidRPr="003E4555">
        <w:rPr>
          <w:rFonts w:ascii="Times New Roman" w:hAnsi="Times New Roman"/>
          <w:bCs/>
          <w:sz w:val="24"/>
          <w:lang w:val="en-GB"/>
        </w:rPr>
        <w:t xml:space="preserve">point </w:t>
      </w:r>
      <w:r w:rsidR="00A97307" w:rsidRPr="003E4555">
        <w:rPr>
          <w:rFonts w:ascii="Times New Roman" w:hAnsi="Times New Roman"/>
          <w:bCs/>
          <w:i/>
          <w:iCs/>
          <w:sz w:val="24"/>
          <w:lang w:val="en-GB"/>
        </w:rPr>
        <w:t>in limine</w:t>
      </w:r>
      <w:r w:rsidR="00A97307" w:rsidRPr="003E4555">
        <w:rPr>
          <w:rFonts w:ascii="Times New Roman" w:hAnsi="Times New Roman"/>
          <w:bCs/>
          <w:sz w:val="24"/>
          <w:lang w:val="en-GB"/>
        </w:rPr>
        <w:t xml:space="preserve"> for non-joinder is premised on the argument </w:t>
      </w:r>
      <w:r w:rsidR="008E55B2" w:rsidRPr="003E4555">
        <w:rPr>
          <w:rFonts w:ascii="Times New Roman" w:hAnsi="Times New Roman"/>
          <w:bCs/>
          <w:sz w:val="24"/>
          <w:lang w:val="en-GB"/>
        </w:rPr>
        <w:lastRenderedPageBreak/>
        <w:t xml:space="preserve">that </w:t>
      </w:r>
      <w:r w:rsidR="00811156" w:rsidRPr="003E4555">
        <w:rPr>
          <w:rFonts w:ascii="Times New Roman" w:hAnsi="Times New Roman"/>
          <w:bCs/>
          <w:sz w:val="24"/>
          <w:lang w:val="en-GB"/>
        </w:rPr>
        <w:t xml:space="preserve">both Salvation Army and Oblix should have been joined for convenience is </w:t>
      </w:r>
      <w:r w:rsidR="008E55B2" w:rsidRPr="003E4555">
        <w:rPr>
          <w:rFonts w:ascii="Times New Roman" w:hAnsi="Times New Roman"/>
          <w:bCs/>
          <w:sz w:val="24"/>
          <w:lang w:val="en-GB"/>
        </w:rPr>
        <w:t>un</w:t>
      </w:r>
      <w:r w:rsidR="00811156" w:rsidRPr="003E4555">
        <w:rPr>
          <w:rFonts w:ascii="Times New Roman" w:hAnsi="Times New Roman"/>
          <w:bCs/>
          <w:sz w:val="24"/>
          <w:lang w:val="en-GB"/>
        </w:rPr>
        <w:t xml:space="preserve">sustainable as they </w:t>
      </w:r>
      <w:r w:rsidR="007C7338" w:rsidRPr="003E4555">
        <w:rPr>
          <w:rFonts w:ascii="Times New Roman" w:hAnsi="Times New Roman"/>
          <w:bCs/>
          <w:sz w:val="24"/>
          <w:lang w:val="en-GB"/>
        </w:rPr>
        <w:t xml:space="preserve">both </w:t>
      </w:r>
      <w:r w:rsidR="00811156" w:rsidRPr="003E4555">
        <w:rPr>
          <w:rFonts w:ascii="Times New Roman" w:hAnsi="Times New Roman"/>
          <w:bCs/>
          <w:sz w:val="24"/>
          <w:lang w:val="en-GB"/>
        </w:rPr>
        <w:t xml:space="preserve">do not have an interest in the dispute about the business between the applicant and the respondent. </w:t>
      </w:r>
      <w:r w:rsidR="007C7338" w:rsidRPr="003E4555">
        <w:rPr>
          <w:rFonts w:ascii="Times New Roman" w:hAnsi="Times New Roman"/>
          <w:bCs/>
          <w:sz w:val="24"/>
          <w:lang w:val="en-GB"/>
        </w:rPr>
        <w:t xml:space="preserve">In addition, it has not been demonstrated as to how the outcome of the </w:t>
      </w:r>
      <w:r w:rsidR="007C7338" w:rsidRPr="003E4555">
        <w:rPr>
          <w:rFonts w:ascii="Times New Roman" w:hAnsi="Times New Roman"/>
          <w:bCs/>
          <w:i/>
          <w:iCs/>
          <w:sz w:val="24"/>
          <w:lang w:val="en-GB"/>
        </w:rPr>
        <w:t>lis</w:t>
      </w:r>
      <w:r w:rsidR="007C7338" w:rsidRPr="003E4555">
        <w:rPr>
          <w:rFonts w:ascii="Times New Roman" w:hAnsi="Times New Roman"/>
          <w:bCs/>
          <w:sz w:val="24"/>
          <w:lang w:val="en-GB"/>
        </w:rPr>
        <w:t xml:space="preserve"> will affect them. </w:t>
      </w:r>
    </w:p>
    <w:p w14:paraId="7C3BE544" w14:textId="5E6B88D9" w:rsidR="008E55B2" w:rsidRPr="003E4555" w:rsidRDefault="003E4555" w:rsidP="003E4555">
      <w:pPr>
        <w:spacing w:after="480" w:line="480" w:lineRule="auto"/>
        <w:rPr>
          <w:rFonts w:ascii="Times New Roman" w:hAnsi="Times New Roman"/>
          <w:bCs/>
          <w:i/>
          <w:iCs/>
          <w:sz w:val="24"/>
        </w:rPr>
      </w:pPr>
      <w:r w:rsidRPr="008E55B2">
        <w:rPr>
          <w:rFonts w:ascii="Times New Roman" w:hAnsi="Times New Roman"/>
          <w:bCs/>
          <w:iCs/>
          <w:sz w:val="24"/>
        </w:rPr>
        <w:t>[58]</w:t>
      </w:r>
      <w:r w:rsidRPr="008E55B2">
        <w:rPr>
          <w:rFonts w:ascii="Times New Roman" w:hAnsi="Times New Roman"/>
          <w:bCs/>
          <w:iCs/>
          <w:sz w:val="24"/>
        </w:rPr>
        <w:tab/>
      </w:r>
      <w:r w:rsidR="00DE1E0E" w:rsidRPr="003E4555">
        <w:rPr>
          <w:rFonts w:ascii="Times New Roman" w:hAnsi="Times New Roman"/>
          <w:bCs/>
          <w:sz w:val="24"/>
          <w:lang w:val="en-GB"/>
        </w:rPr>
        <w:t>A</w:t>
      </w:r>
      <w:r w:rsidR="00811156" w:rsidRPr="003E4555">
        <w:rPr>
          <w:rFonts w:ascii="Times New Roman" w:hAnsi="Times New Roman"/>
          <w:bCs/>
          <w:sz w:val="24"/>
          <w:lang w:val="en-GB"/>
        </w:rPr>
        <w:t xml:space="preserve"> further basis for non-joinder being </w:t>
      </w:r>
      <w:r w:rsidR="00A97307" w:rsidRPr="003E4555">
        <w:rPr>
          <w:rFonts w:ascii="Times New Roman" w:hAnsi="Times New Roman"/>
          <w:bCs/>
          <w:sz w:val="24"/>
          <w:lang w:val="en-GB"/>
        </w:rPr>
        <w:t xml:space="preserve">that the respondent would wish to </w:t>
      </w:r>
      <w:r w:rsidR="00811156" w:rsidRPr="003E4555">
        <w:rPr>
          <w:rFonts w:ascii="Times New Roman" w:hAnsi="Times New Roman"/>
          <w:bCs/>
          <w:sz w:val="24"/>
          <w:lang w:val="en-GB"/>
        </w:rPr>
        <w:t>institute proceedings against Oblix alleging unfair</w:t>
      </w:r>
      <w:r w:rsidR="00AB55C8" w:rsidRPr="003E4555">
        <w:rPr>
          <w:rFonts w:ascii="Times New Roman" w:hAnsi="Times New Roman"/>
          <w:bCs/>
          <w:sz w:val="24"/>
          <w:lang w:val="en-GB"/>
        </w:rPr>
        <w:t>/unlawful</w:t>
      </w:r>
      <w:r w:rsidR="00811156" w:rsidRPr="003E4555">
        <w:rPr>
          <w:rFonts w:ascii="Times New Roman" w:hAnsi="Times New Roman"/>
          <w:bCs/>
          <w:sz w:val="24"/>
          <w:lang w:val="en-GB"/>
        </w:rPr>
        <w:t xml:space="preserve"> competition and would later consolidate matters. </w:t>
      </w:r>
      <w:r w:rsidR="00B13C0A" w:rsidRPr="003E4555">
        <w:rPr>
          <w:rFonts w:ascii="Times New Roman" w:hAnsi="Times New Roman"/>
          <w:bCs/>
          <w:sz w:val="24"/>
          <w:lang w:val="en-GB"/>
        </w:rPr>
        <w:t>Until a civil suit is launched as alleged t</w:t>
      </w:r>
      <w:r w:rsidR="00811156" w:rsidRPr="003E4555">
        <w:rPr>
          <w:rFonts w:ascii="Times New Roman" w:hAnsi="Times New Roman"/>
          <w:bCs/>
          <w:sz w:val="24"/>
          <w:lang w:val="en-GB"/>
        </w:rPr>
        <w:t xml:space="preserve">here is no evidence to establish the basis for the contention of competition between Oblix and the respondent. </w:t>
      </w:r>
      <w:r w:rsidR="00DE1E0E" w:rsidRPr="003E4555">
        <w:rPr>
          <w:rFonts w:ascii="Times New Roman" w:hAnsi="Times New Roman"/>
          <w:bCs/>
          <w:sz w:val="24"/>
          <w:lang w:val="en-GB"/>
        </w:rPr>
        <w:t>The order against Oblix would therefore be incompetent.</w:t>
      </w:r>
    </w:p>
    <w:p w14:paraId="3F92E3FE" w14:textId="447C3E1B" w:rsidR="00811156" w:rsidRPr="003E4555" w:rsidRDefault="003E4555" w:rsidP="003E4555">
      <w:pPr>
        <w:spacing w:after="480" w:line="480" w:lineRule="auto"/>
        <w:rPr>
          <w:rFonts w:ascii="Times New Roman" w:hAnsi="Times New Roman"/>
          <w:bCs/>
          <w:i/>
          <w:iCs/>
          <w:sz w:val="24"/>
        </w:rPr>
      </w:pPr>
      <w:r w:rsidRPr="004974EE">
        <w:rPr>
          <w:rFonts w:ascii="Times New Roman" w:hAnsi="Times New Roman"/>
          <w:bCs/>
          <w:iCs/>
          <w:sz w:val="24"/>
        </w:rPr>
        <w:t>[59]</w:t>
      </w:r>
      <w:r w:rsidRPr="004974EE">
        <w:rPr>
          <w:rFonts w:ascii="Times New Roman" w:hAnsi="Times New Roman"/>
          <w:bCs/>
          <w:iCs/>
          <w:sz w:val="24"/>
        </w:rPr>
        <w:tab/>
      </w:r>
      <w:r w:rsidR="008E55B2" w:rsidRPr="003E4555">
        <w:rPr>
          <w:rFonts w:ascii="Times New Roman" w:hAnsi="Times New Roman"/>
          <w:bCs/>
          <w:sz w:val="24"/>
          <w:lang w:val="en-GB"/>
        </w:rPr>
        <w:t>T</w:t>
      </w:r>
      <w:r w:rsidR="00811156" w:rsidRPr="003E4555">
        <w:rPr>
          <w:rFonts w:ascii="Times New Roman" w:hAnsi="Times New Roman"/>
          <w:bCs/>
          <w:sz w:val="24"/>
          <w:lang w:val="en-GB"/>
        </w:rPr>
        <w:t xml:space="preserve">he addendum provides for Oblix nominating operator at the end of the contract between the applicant and the respondent and not during the subsistence of the </w:t>
      </w:r>
      <w:r w:rsidR="00AB55C8" w:rsidRPr="003E4555">
        <w:rPr>
          <w:rFonts w:ascii="Times New Roman" w:hAnsi="Times New Roman"/>
          <w:bCs/>
          <w:sz w:val="24"/>
          <w:lang w:val="en-GB"/>
        </w:rPr>
        <w:t>agreements between the applicant and the respondent</w:t>
      </w:r>
      <w:r w:rsidR="00811156" w:rsidRPr="003E4555">
        <w:rPr>
          <w:rFonts w:ascii="Times New Roman" w:hAnsi="Times New Roman"/>
          <w:bCs/>
          <w:sz w:val="24"/>
          <w:lang w:val="en-GB"/>
        </w:rPr>
        <w:t xml:space="preserve">. To this end it follows that the point </w:t>
      </w:r>
      <w:r w:rsidR="00811156" w:rsidRPr="003E4555">
        <w:rPr>
          <w:rFonts w:ascii="Times New Roman" w:hAnsi="Times New Roman"/>
          <w:bCs/>
          <w:i/>
          <w:iCs/>
          <w:sz w:val="24"/>
          <w:lang w:val="en-GB"/>
        </w:rPr>
        <w:t>in limine</w:t>
      </w:r>
      <w:r w:rsidR="00811156" w:rsidRPr="003E4555">
        <w:rPr>
          <w:rFonts w:ascii="Times New Roman" w:hAnsi="Times New Roman"/>
          <w:bCs/>
          <w:sz w:val="24"/>
          <w:lang w:val="en-GB"/>
        </w:rPr>
        <w:t xml:space="preserve"> and argument for unlawful competition are unsustainable and bound to fail.</w:t>
      </w:r>
    </w:p>
    <w:p w14:paraId="33F46C45" w14:textId="2F497765" w:rsidR="00055889" w:rsidRPr="00055889" w:rsidRDefault="00055889" w:rsidP="000379AF">
      <w:pPr>
        <w:pStyle w:val="ListParagraph"/>
        <w:spacing w:after="480" w:line="480" w:lineRule="auto"/>
        <w:ind w:left="0" w:firstLine="720"/>
        <w:contextualSpacing w:val="0"/>
        <w:rPr>
          <w:rFonts w:ascii="Times New Roman" w:hAnsi="Times New Roman"/>
          <w:bCs/>
          <w:i/>
          <w:iCs/>
          <w:sz w:val="24"/>
        </w:rPr>
      </w:pPr>
      <w:r w:rsidRPr="000379AF">
        <w:rPr>
          <w:rFonts w:ascii="Times New Roman" w:hAnsi="Times New Roman"/>
          <w:bCs/>
          <w:i/>
          <w:iCs/>
          <w:sz w:val="24"/>
          <w:lang w:val="en-GB"/>
        </w:rPr>
        <w:t xml:space="preserve">Right of </w:t>
      </w:r>
      <w:r w:rsidR="000379AF" w:rsidRPr="000379AF">
        <w:rPr>
          <w:rFonts w:ascii="Times New Roman" w:hAnsi="Times New Roman"/>
          <w:bCs/>
          <w:i/>
          <w:iCs/>
          <w:sz w:val="24"/>
          <w:lang w:val="en-GB"/>
        </w:rPr>
        <w:t>first refusal</w:t>
      </w:r>
      <w:r w:rsidR="000379AF">
        <w:rPr>
          <w:rFonts w:ascii="Times New Roman" w:hAnsi="Times New Roman"/>
          <w:bCs/>
          <w:sz w:val="24"/>
          <w:lang w:val="en-GB"/>
        </w:rPr>
        <w:t>.</w:t>
      </w:r>
    </w:p>
    <w:p w14:paraId="321F4D36" w14:textId="3F978311" w:rsidR="00DE1E0E" w:rsidRPr="003E4555" w:rsidRDefault="003E4555" w:rsidP="003E4555">
      <w:pPr>
        <w:spacing w:after="480" w:line="480" w:lineRule="auto"/>
        <w:rPr>
          <w:rFonts w:ascii="Times New Roman" w:hAnsi="Times New Roman"/>
          <w:bCs/>
          <w:i/>
          <w:iCs/>
          <w:sz w:val="24"/>
        </w:rPr>
      </w:pPr>
      <w:r w:rsidRPr="00DE1E0E">
        <w:rPr>
          <w:rFonts w:ascii="Times New Roman" w:hAnsi="Times New Roman"/>
          <w:bCs/>
          <w:iCs/>
          <w:sz w:val="24"/>
        </w:rPr>
        <w:t>[60]</w:t>
      </w:r>
      <w:r w:rsidRPr="00DE1E0E">
        <w:rPr>
          <w:rFonts w:ascii="Times New Roman" w:hAnsi="Times New Roman"/>
          <w:bCs/>
          <w:iCs/>
          <w:sz w:val="24"/>
        </w:rPr>
        <w:tab/>
      </w:r>
      <w:r w:rsidR="00055889" w:rsidRPr="003E4555">
        <w:rPr>
          <w:rFonts w:ascii="Times New Roman" w:hAnsi="Times New Roman"/>
          <w:bCs/>
          <w:sz w:val="24"/>
          <w:lang w:val="en-GB"/>
        </w:rPr>
        <w:t>The applicant has correctly contended that the right of first refusal would be invoked only where the circumstances referred to in clause 7.3 of the franchise agreement are implicated. The respondent has failed to demonstrate that the current lease agreement has been terminated on the basis of circumstances set out in 7.3 and to this end the contention that the provisions of 7.3 are triggered is ill-advised and unsustainable.</w:t>
      </w:r>
    </w:p>
    <w:p w14:paraId="42795DC6" w14:textId="76FEFE5B" w:rsidR="00DF229C" w:rsidRPr="00DF229C" w:rsidRDefault="00DF229C" w:rsidP="00DF229C">
      <w:pPr>
        <w:pStyle w:val="ListParagraph"/>
        <w:spacing w:after="480" w:line="480" w:lineRule="auto"/>
        <w:ind w:left="0" w:firstLine="720"/>
        <w:contextualSpacing w:val="0"/>
        <w:rPr>
          <w:rFonts w:ascii="Times New Roman" w:hAnsi="Times New Roman"/>
          <w:bCs/>
          <w:i/>
          <w:iCs/>
          <w:sz w:val="24"/>
        </w:rPr>
      </w:pPr>
      <w:r w:rsidRPr="00DF229C">
        <w:rPr>
          <w:rFonts w:ascii="Times New Roman" w:hAnsi="Times New Roman"/>
          <w:bCs/>
          <w:i/>
          <w:iCs/>
          <w:sz w:val="24"/>
          <w:lang w:val="en-GB"/>
        </w:rPr>
        <w:t>Reasonable expectation.</w:t>
      </w:r>
    </w:p>
    <w:p w14:paraId="0B6A0106" w14:textId="4C3CC3A3" w:rsidR="00DF229C" w:rsidRPr="003E4555" w:rsidRDefault="003E4555" w:rsidP="003E4555">
      <w:pPr>
        <w:spacing w:after="480" w:line="480" w:lineRule="auto"/>
        <w:rPr>
          <w:rFonts w:ascii="Times New Roman" w:hAnsi="Times New Roman"/>
          <w:bCs/>
          <w:i/>
          <w:iCs/>
          <w:sz w:val="24"/>
        </w:rPr>
      </w:pPr>
      <w:r w:rsidRPr="0052654F">
        <w:rPr>
          <w:rFonts w:ascii="Times New Roman" w:hAnsi="Times New Roman"/>
          <w:bCs/>
          <w:iCs/>
          <w:sz w:val="24"/>
        </w:rPr>
        <w:t>[61]</w:t>
      </w:r>
      <w:r w:rsidRPr="0052654F">
        <w:rPr>
          <w:rFonts w:ascii="Times New Roman" w:hAnsi="Times New Roman"/>
          <w:bCs/>
          <w:iCs/>
          <w:sz w:val="24"/>
        </w:rPr>
        <w:tab/>
      </w:r>
      <w:r w:rsidR="00811156" w:rsidRPr="003E4555">
        <w:rPr>
          <w:rFonts w:ascii="Times New Roman" w:hAnsi="Times New Roman"/>
          <w:bCs/>
          <w:sz w:val="24"/>
          <w:lang w:val="en-GB"/>
        </w:rPr>
        <w:t>The contention on reasonable expectation is based on communications which took place during March 2019 before lapse of the minimum period of the lease agreement</w:t>
      </w:r>
      <w:r w:rsidR="00DF229C" w:rsidRPr="003E4555">
        <w:rPr>
          <w:rFonts w:ascii="Times New Roman" w:hAnsi="Times New Roman"/>
          <w:bCs/>
          <w:sz w:val="24"/>
          <w:lang w:val="en-GB"/>
        </w:rPr>
        <w:t xml:space="preserve"> being </w:t>
      </w:r>
      <w:r w:rsidR="00DF229C" w:rsidRPr="003E4555">
        <w:rPr>
          <w:rFonts w:ascii="Times New Roman" w:hAnsi="Times New Roman"/>
          <w:bCs/>
          <w:sz w:val="24"/>
          <w:lang w:val="en-GB"/>
        </w:rPr>
        <w:lastRenderedPageBreak/>
        <w:t>1 Ju</w:t>
      </w:r>
      <w:r w:rsidR="00AB55C8" w:rsidRPr="003E4555">
        <w:rPr>
          <w:rFonts w:ascii="Times New Roman" w:hAnsi="Times New Roman"/>
          <w:bCs/>
          <w:sz w:val="24"/>
          <w:lang w:val="en-GB"/>
        </w:rPr>
        <w:t xml:space="preserve">ly </w:t>
      </w:r>
      <w:r w:rsidR="00DF229C" w:rsidRPr="003E4555">
        <w:rPr>
          <w:rFonts w:ascii="Times New Roman" w:hAnsi="Times New Roman"/>
          <w:bCs/>
          <w:sz w:val="24"/>
          <w:lang w:val="en-GB"/>
        </w:rPr>
        <w:t xml:space="preserve">2019. Subsequent correspondence between the parties on 4 February </w:t>
      </w:r>
      <w:r w:rsidR="009213B4" w:rsidRPr="003E4555">
        <w:rPr>
          <w:rFonts w:ascii="Times New Roman" w:hAnsi="Times New Roman"/>
          <w:bCs/>
          <w:sz w:val="24"/>
          <w:lang w:val="en-GB"/>
        </w:rPr>
        <w:t xml:space="preserve">2020 </w:t>
      </w:r>
      <w:r w:rsidR="00DF229C" w:rsidRPr="003E4555">
        <w:rPr>
          <w:rFonts w:ascii="Times New Roman" w:hAnsi="Times New Roman"/>
          <w:bCs/>
          <w:sz w:val="24"/>
          <w:lang w:val="en-GB"/>
        </w:rPr>
        <w:t xml:space="preserve">and 9 October 2020 militate against the conclusion that the respondent had a reasonable expectation of the renewal of the lease agreement. </w:t>
      </w:r>
      <w:r w:rsidR="00DE1E0E" w:rsidRPr="003E4555">
        <w:rPr>
          <w:rFonts w:ascii="Times New Roman" w:hAnsi="Times New Roman"/>
          <w:bCs/>
          <w:sz w:val="24"/>
          <w:lang w:val="en-GB"/>
        </w:rPr>
        <w:t xml:space="preserve">These correspondence in 2020 unsettle the alleged expectation which was created by the inchoate communication of possible extension a year before. </w:t>
      </w:r>
      <w:r w:rsidR="00DF229C" w:rsidRPr="003E4555">
        <w:rPr>
          <w:rFonts w:ascii="Times New Roman" w:hAnsi="Times New Roman"/>
          <w:bCs/>
          <w:sz w:val="24"/>
          <w:lang w:val="en-GB"/>
        </w:rPr>
        <w:t>Th</w:t>
      </w:r>
      <w:r w:rsidR="00DE1E0E" w:rsidRPr="003E4555">
        <w:rPr>
          <w:rFonts w:ascii="Times New Roman" w:hAnsi="Times New Roman"/>
          <w:bCs/>
          <w:sz w:val="24"/>
          <w:lang w:val="en-GB"/>
        </w:rPr>
        <w:t>e respondent’s</w:t>
      </w:r>
      <w:r w:rsidR="00DF229C" w:rsidRPr="003E4555">
        <w:rPr>
          <w:rFonts w:ascii="Times New Roman" w:hAnsi="Times New Roman"/>
          <w:bCs/>
          <w:sz w:val="24"/>
          <w:lang w:val="en-GB"/>
        </w:rPr>
        <w:t xml:space="preserve"> argument </w:t>
      </w:r>
      <w:r w:rsidR="00AB55C8" w:rsidRPr="003E4555">
        <w:rPr>
          <w:rFonts w:ascii="Times New Roman" w:hAnsi="Times New Roman"/>
          <w:bCs/>
          <w:sz w:val="24"/>
          <w:lang w:val="en-GB"/>
        </w:rPr>
        <w:t xml:space="preserve">has </w:t>
      </w:r>
      <w:r w:rsidR="00DE1E0E" w:rsidRPr="003E4555">
        <w:rPr>
          <w:rFonts w:ascii="Times New Roman" w:hAnsi="Times New Roman"/>
          <w:bCs/>
          <w:sz w:val="24"/>
          <w:lang w:val="en-GB"/>
        </w:rPr>
        <w:t xml:space="preserve">therefore </w:t>
      </w:r>
      <w:r w:rsidR="00AB55C8" w:rsidRPr="003E4555">
        <w:rPr>
          <w:rFonts w:ascii="Times New Roman" w:hAnsi="Times New Roman"/>
          <w:bCs/>
          <w:sz w:val="24"/>
          <w:lang w:val="en-GB"/>
        </w:rPr>
        <w:t xml:space="preserve">no proper legal foundation and </w:t>
      </w:r>
      <w:r w:rsidR="00DF229C" w:rsidRPr="003E4555">
        <w:rPr>
          <w:rFonts w:ascii="Times New Roman" w:hAnsi="Times New Roman"/>
          <w:bCs/>
          <w:sz w:val="24"/>
          <w:lang w:val="en-GB"/>
        </w:rPr>
        <w:t>is bound to fail.</w:t>
      </w:r>
    </w:p>
    <w:p w14:paraId="6E9A3AFF" w14:textId="77777777" w:rsidR="0052654F" w:rsidRPr="003A08EB" w:rsidRDefault="0052654F" w:rsidP="0052654F">
      <w:pPr>
        <w:pStyle w:val="ListParagraph"/>
        <w:spacing w:after="480" w:line="480" w:lineRule="auto"/>
        <w:ind w:left="0" w:firstLine="720"/>
        <w:contextualSpacing w:val="0"/>
        <w:rPr>
          <w:rFonts w:ascii="Times New Roman" w:hAnsi="Times New Roman"/>
          <w:bCs/>
          <w:i/>
          <w:iCs/>
          <w:sz w:val="24"/>
        </w:rPr>
      </w:pPr>
      <w:r>
        <w:rPr>
          <w:rFonts w:ascii="Times New Roman" w:hAnsi="Times New Roman"/>
          <w:bCs/>
          <w:i/>
          <w:iCs/>
          <w:sz w:val="24"/>
          <w:lang w:val="en-GB"/>
        </w:rPr>
        <w:t>Stay of the application</w:t>
      </w:r>
    </w:p>
    <w:p w14:paraId="2DD64BC3" w14:textId="2C85B144" w:rsidR="0052654F" w:rsidRPr="003E4555" w:rsidRDefault="003E4555" w:rsidP="003E4555">
      <w:pPr>
        <w:spacing w:after="480" w:line="480" w:lineRule="auto"/>
        <w:rPr>
          <w:rFonts w:ascii="Times New Roman" w:hAnsi="Times New Roman"/>
          <w:bCs/>
          <w:i/>
          <w:iCs/>
          <w:sz w:val="24"/>
        </w:rPr>
      </w:pPr>
      <w:r w:rsidRPr="003A08EB">
        <w:rPr>
          <w:rFonts w:ascii="Times New Roman" w:hAnsi="Times New Roman"/>
          <w:bCs/>
          <w:iCs/>
          <w:sz w:val="24"/>
        </w:rPr>
        <w:t>[62]</w:t>
      </w:r>
      <w:r w:rsidRPr="003A08EB">
        <w:rPr>
          <w:rFonts w:ascii="Times New Roman" w:hAnsi="Times New Roman"/>
          <w:bCs/>
          <w:iCs/>
          <w:sz w:val="24"/>
        </w:rPr>
        <w:tab/>
      </w:r>
      <w:r w:rsidR="0052654F" w:rsidRPr="003E4555">
        <w:rPr>
          <w:rFonts w:ascii="Times New Roman" w:hAnsi="Times New Roman"/>
          <w:bCs/>
          <w:sz w:val="24"/>
        </w:rPr>
        <w:t>The respondent stated that indeed no formal application has been made for the stay of the application pending the arbitration as it has a strong defence to the eviction application. This was in retort to the applicant’s contention that the respondent has failed to launch a proper application to stay as it is s</w:t>
      </w:r>
      <w:r w:rsidR="00DE1E0E" w:rsidRPr="003E4555">
        <w:rPr>
          <w:rFonts w:ascii="Times New Roman" w:hAnsi="Times New Roman"/>
          <w:bCs/>
          <w:sz w:val="24"/>
        </w:rPr>
        <w:t xml:space="preserve">et out </w:t>
      </w:r>
      <w:r w:rsidR="0052654F" w:rsidRPr="003E4555">
        <w:rPr>
          <w:rFonts w:ascii="Times New Roman" w:hAnsi="Times New Roman"/>
          <w:bCs/>
          <w:sz w:val="24"/>
        </w:rPr>
        <w:t xml:space="preserve">in the authorities relied at. In principle the respondent posit the view that the application for the stay will not be pursued with the necessary vigour hence non-compliance. </w:t>
      </w:r>
    </w:p>
    <w:p w14:paraId="11254CE3" w14:textId="4C8C6707" w:rsidR="0052654F" w:rsidRPr="003E4555" w:rsidRDefault="003E4555" w:rsidP="003E4555">
      <w:pPr>
        <w:spacing w:after="480" w:line="480" w:lineRule="auto"/>
        <w:rPr>
          <w:rFonts w:ascii="Times New Roman" w:hAnsi="Times New Roman"/>
          <w:bCs/>
          <w:i/>
          <w:iCs/>
          <w:sz w:val="24"/>
        </w:rPr>
      </w:pPr>
      <w:r w:rsidRPr="004476FB">
        <w:rPr>
          <w:rFonts w:ascii="Times New Roman" w:hAnsi="Times New Roman"/>
          <w:bCs/>
          <w:iCs/>
          <w:sz w:val="24"/>
        </w:rPr>
        <w:t>[63]</w:t>
      </w:r>
      <w:r w:rsidRPr="004476FB">
        <w:rPr>
          <w:rFonts w:ascii="Times New Roman" w:hAnsi="Times New Roman"/>
          <w:bCs/>
          <w:iCs/>
          <w:sz w:val="24"/>
        </w:rPr>
        <w:tab/>
      </w:r>
      <w:r w:rsidR="0052654F" w:rsidRPr="003E4555">
        <w:rPr>
          <w:rFonts w:ascii="Times New Roman" w:hAnsi="Times New Roman"/>
          <w:bCs/>
          <w:sz w:val="24"/>
        </w:rPr>
        <w:t>Th</w:t>
      </w:r>
      <w:r w:rsidR="00DE1E0E" w:rsidRPr="003E4555">
        <w:rPr>
          <w:rFonts w:ascii="Times New Roman" w:hAnsi="Times New Roman"/>
          <w:bCs/>
          <w:sz w:val="24"/>
        </w:rPr>
        <w:t xml:space="preserve">at notwithstanding the </w:t>
      </w:r>
      <w:r w:rsidR="0052654F" w:rsidRPr="003E4555">
        <w:rPr>
          <w:rFonts w:ascii="Times New Roman" w:hAnsi="Times New Roman"/>
          <w:bCs/>
          <w:sz w:val="24"/>
        </w:rPr>
        <w:t>court has the powers in terms of section 173 of the Constitution stay the eviction proceedings pending the finalisation of the arbitration if the interest of justice so demand. Bearing in mind that the arbitrator, may as his corrective measure issue an award that the dealer or operator continue occupation of the premises pending the sale of the business.</w:t>
      </w:r>
      <w:r w:rsidR="0052654F">
        <w:rPr>
          <w:rStyle w:val="FootnoteReference"/>
          <w:rFonts w:ascii="Times New Roman" w:hAnsi="Times New Roman"/>
          <w:bCs/>
          <w:sz w:val="24"/>
        </w:rPr>
        <w:footnoteReference w:id="31"/>
      </w:r>
      <w:r w:rsidR="0052654F" w:rsidRPr="003E4555">
        <w:rPr>
          <w:rFonts w:ascii="Times New Roman" w:hAnsi="Times New Roman"/>
          <w:bCs/>
          <w:sz w:val="24"/>
        </w:rPr>
        <w:t xml:space="preserve"> The court could have regard </w:t>
      </w:r>
      <w:r w:rsidR="00502810" w:rsidRPr="003E4555">
        <w:rPr>
          <w:rFonts w:ascii="Times New Roman" w:hAnsi="Times New Roman"/>
          <w:bCs/>
          <w:sz w:val="24"/>
        </w:rPr>
        <w:t>to</w:t>
      </w:r>
      <w:r w:rsidR="0052654F" w:rsidRPr="003E4555">
        <w:rPr>
          <w:rFonts w:ascii="Times New Roman" w:hAnsi="Times New Roman"/>
          <w:bCs/>
          <w:sz w:val="24"/>
        </w:rPr>
        <w:t xml:space="preserve"> a variety of reasons in the exercise of the discretion including but not limited to judicial resources.</w:t>
      </w:r>
      <w:r w:rsidR="0052654F">
        <w:rPr>
          <w:rStyle w:val="FootnoteReference"/>
          <w:rFonts w:ascii="Times New Roman" w:hAnsi="Times New Roman"/>
          <w:bCs/>
          <w:sz w:val="24"/>
        </w:rPr>
        <w:footnoteReference w:id="32"/>
      </w:r>
      <w:r w:rsidR="0052654F" w:rsidRPr="003E4555">
        <w:rPr>
          <w:rFonts w:ascii="Times New Roman" w:hAnsi="Times New Roman"/>
          <w:bCs/>
          <w:sz w:val="24"/>
        </w:rPr>
        <w:t xml:space="preserve"> The judicial resources was sufficient to refuse to exercise the discretion to stay the application pending the arbitration.</w:t>
      </w:r>
      <w:r w:rsidR="0052654F">
        <w:rPr>
          <w:rStyle w:val="FootnoteReference"/>
          <w:rFonts w:ascii="Times New Roman" w:hAnsi="Times New Roman"/>
          <w:bCs/>
          <w:sz w:val="24"/>
        </w:rPr>
        <w:footnoteReference w:id="33"/>
      </w:r>
    </w:p>
    <w:p w14:paraId="5F035A28" w14:textId="57413DD4" w:rsidR="0052654F" w:rsidRPr="003E4555" w:rsidRDefault="003E4555" w:rsidP="003E4555">
      <w:pPr>
        <w:spacing w:after="480" w:line="480" w:lineRule="auto"/>
        <w:rPr>
          <w:rFonts w:ascii="Times New Roman" w:hAnsi="Times New Roman"/>
          <w:bCs/>
          <w:i/>
          <w:iCs/>
          <w:sz w:val="24"/>
        </w:rPr>
      </w:pPr>
      <w:r w:rsidRPr="004476FB">
        <w:rPr>
          <w:rFonts w:ascii="Times New Roman" w:hAnsi="Times New Roman"/>
          <w:bCs/>
          <w:iCs/>
          <w:sz w:val="24"/>
        </w:rPr>
        <w:lastRenderedPageBreak/>
        <w:t>[64]</w:t>
      </w:r>
      <w:r w:rsidRPr="004476FB">
        <w:rPr>
          <w:rFonts w:ascii="Times New Roman" w:hAnsi="Times New Roman"/>
          <w:bCs/>
          <w:iCs/>
          <w:sz w:val="24"/>
        </w:rPr>
        <w:tab/>
      </w:r>
      <w:r w:rsidR="00DE1E0E" w:rsidRPr="003E4555">
        <w:rPr>
          <w:rFonts w:ascii="Times New Roman" w:hAnsi="Times New Roman"/>
          <w:bCs/>
          <w:sz w:val="24"/>
        </w:rPr>
        <w:t>T</w:t>
      </w:r>
      <w:r w:rsidR="0052654F" w:rsidRPr="003E4555">
        <w:rPr>
          <w:rFonts w:ascii="Times New Roman" w:hAnsi="Times New Roman"/>
          <w:bCs/>
          <w:sz w:val="24"/>
        </w:rPr>
        <w:t xml:space="preserve">he respondent submitted that the application to stay will not vigorously be pursued </w:t>
      </w:r>
      <w:r w:rsidR="00DE1E0E" w:rsidRPr="003E4555">
        <w:rPr>
          <w:rFonts w:ascii="Times New Roman" w:hAnsi="Times New Roman"/>
          <w:bCs/>
          <w:sz w:val="24"/>
        </w:rPr>
        <w:t xml:space="preserve">with the requisite vigour </w:t>
      </w:r>
      <w:r w:rsidR="0052654F" w:rsidRPr="003E4555">
        <w:rPr>
          <w:rFonts w:ascii="Times New Roman" w:hAnsi="Times New Roman"/>
          <w:bCs/>
          <w:sz w:val="24"/>
        </w:rPr>
        <w:t xml:space="preserve">and therefore </w:t>
      </w:r>
      <w:r w:rsidR="00DE1E0E" w:rsidRPr="003E4555">
        <w:rPr>
          <w:rFonts w:ascii="Times New Roman" w:hAnsi="Times New Roman"/>
          <w:bCs/>
          <w:sz w:val="24"/>
        </w:rPr>
        <w:t xml:space="preserve">I </w:t>
      </w:r>
      <w:r w:rsidR="0052654F" w:rsidRPr="003E4555">
        <w:rPr>
          <w:rFonts w:ascii="Times New Roman" w:hAnsi="Times New Roman"/>
          <w:bCs/>
          <w:sz w:val="24"/>
        </w:rPr>
        <w:t xml:space="preserve">do not find </w:t>
      </w:r>
      <w:r w:rsidR="00DE1E0E" w:rsidRPr="003E4555">
        <w:rPr>
          <w:rFonts w:ascii="Times New Roman" w:hAnsi="Times New Roman"/>
          <w:bCs/>
          <w:sz w:val="24"/>
        </w:rPr>
        <w:t xml:space="preserve">the issue </w:t>
      </w:r>
      <w:r w:rsidR="0052654F" w:rsidRPr="003E4555">
        <w:rPr>
          <w:rFonts w:ascii="Times New Roman" w:hAnsi="Times New Roman"/>
          <w:bCs/>
          <w:sz w:val="24"/>
        </w:rPr>
        <w:t xml:space="preserve">deserving of more attention </w:t>
      </w:r>
      <w:r w:rsidR="00DE1E0E" w:rsidRPr="003E4555">
        <w:rPr>
          <w:rFonts w:ascii="Times New Roman" w:hAnsi="Times New Roman"/>
          <w:bCs/>
          <w:sz w:val="24"/>
        </w:rPr>
        <w:t>of</w:t>
      </w:r>
      <w:r w:rsidR="0052654F" w:rsidRPr="003E4555">
        <w:rPr>
          <w:rFonts w:ascii="Times New Roman" w:hAnsi="Times New Roman"/>
          <w:bCs/>
          <w:sz w:val="24"/>
        </w:rPr>
        <w:t xml:space="preserve"> this court.</w:t>
      </w:r>
    </w:p>
    <w:p w14:paraId="3513CF66" w14:textId="6834EDF7" w:rsidR="0052654F" w:rsidRPr="004E035A" w:rsidRDefault="0052654F" w:rsidP="0052654F">
      <w:pPr>
        <w:pStyle w:val="ListParagraph"/>
        <w:spacing w:after="480" w:line="480" w:lineRule="auto"/>
        <w:ind w:left="0" w:firstLine="720"/>
        <w:contextualSpacing w:val="0"/>
        <w:rPr>
          <w:rFonts w:ascii="Times New Roman" w:hAnsi="Times New Roman"/>
          <w:bCs/>
          <w:i/>
          <w:iCs/>
          <w:sz w:val="24"/>
        </w:rPr>
      </w:pPr>
      <w:r w:rsidRPr="004E035A">
        <w:rPr>
          <w:rFonts w:ascii="Times New Roman" w:hAnsi="Times New Roman"/>
          <w:bCs/>
          <w:i/>
          <w:iCs/>
          <w:sz w:val="24"/>
          <w:lang w:val="en-GB"/>
        </w:rPr>
        <w:t xml:space="preserve">Development of common law </w:t>
      </w:r>
    </w:p>
    <w:p w14:paraId="7556BA22" w14:textId="18E10AFA" w:rsidR="000F3E94" w:rsidRPr="003E4555" w:rsidRDefault="003E4555" w:rsidP="003E4555">
      <w:pPr>
        <w:spacing w:after="480" w:line="480" w:lineRule="auto"/>
        <w:rPr>
          <w:rFonts w:ascii="Times New Roman" w:hAnsi="Times New Roman"/>
          <w:bCs/>
          <w:i/>
          <w:iCs/>
          <w:sz w:val="24"/>
        </w:rPr>
      </w:pPr>
      <w:r w:rsidRPr="000F3E94">
        <w:rPr>
          <w:rFonts w:ascii="Times New Roman" w:hAnsi="Times New Roman"/>
          <w:bCs/>
          <w:iCs/>
          <w:sz w:val="24"/>
        </w:rPr>
        <w:t>[65]</w:t>
      </w:r>
      <w:r w:rsidRPr="000F3E94">
        <w:rPr>
          <w:rFonts w:ascii="Times New Roman" w:hAnsi="Times New Roman"/>
          <w:bCs/>
          <w:iCs/>
          <w:sz w:val="24"/>
        </w:rPr>
        <w:tab/>
      </w:r>
      <w:r w:rsidR="000F3E94" w:rsidRPr="003E4555">
        <w:rPr>
          <w:rFonts w:ascii="Times New Roman" w:hAnsi="Times New Roman"/>
          <w:bCs/>
          <w:sz w:val="24"/>
        </w:rPr>
        <w:t xml:space="preserve">The respondent contended that there is a need for development of common law in the petroleum industry more importantly due to the unequal bargaining power. It </w:t>
      </w:r>
      <w:r w:rsidR="00DE1E0E" w:rsidRPr="003E4555">
        <w:rPr>
          <w:rFonts w:ascii="Times New Roman" w:hAnsi="Times New Roman"/>
          <w:bCs/>
          <w:sz w:val="24"/>
        </w:rPr>
        <w:t xml:space="preserve">is </w:t>
      </w:r>
      <w:r w:rsidR="000F3E94" w:rsidRPr="003E4555">
        <w:rPr>
          <w:rFonts w:ascii="Times New Roman" w:hAnsi="Times New Roman"/>
          <w:bCs/>
          <w:sz w:val="24"/>
        </w:rPr>
        <w:t xml:space="preserve">noted that </w:t>
      </w:r>
      <w:r w:rsidR="000F3E94" w:rsidRPr="003E4555">
        <w:rPr>
          <w:rFonts w:ascii="Times New Roman" w:hAnsi="Times New Roman"/>
        </w:rPr>
        <w:t xml:space="preserve">Mhlantla J explained that: </w:t>
      </w:r>
    </w:p>
    <w:p w14:paraId="698665D1" w14:textId="78D7B6B5" w:rsidR="000F3E94" w:rsidRDefault="000F3E94" w:rsidP="000F3E94">
      <w:pPr>
        <w:pStyle w:val="ListParagraph"/>
        <w:contextualSpacing w:val="0"/>
      </w:pPr>
      <w:r w:rsidRPr="000F3E94">
        <w:rPr>
          <w:rFonts w:ascii="Times New Roman" w:hAnsi="Times New Roman"/>
        </w:rPr>
        <w:t>“One of the purposes of the [Petroleum Products] Amendment Act is set out in its preamble and is, amongst others, ‘to promote transformation of the South African petroleum and liquid fuels industry’. Schedule 1 of the Amendment Act goes on to introduce an industry charter ‘on empowering historically disadvantaged South Africans in the petroleum and liquid fuels industry’. Unequal bargaining power in the petroleum industry is pervasive even in more developed countries such as our common law comparator, England, whose history of inequality pales in comparison with our own.”</w:t>
      </w:r>
      <w:r>
        <w:t xml:space="preserve"> </w:t>
      </w:r>
    </w:p>
    <w:p w14:paraId="4F59AD71" w14:textId="77777777" w:rsidR="000F3E94" w:rsidRPr="000F3E94" w:rsidRDefault="000F3E94" w:rsidP="000F3E94">
      <w:pPr>
        <w:pStyle w:val="ListParagraph"/>
        <w:contextualSpacing w:val="0"/>
        <w:rPr>
          <w:rFonts w:ascii="Times New Roman" w:hAnsi="Times New Roman"/>
          <w:bCs/>
          <w:i/>
          <w:iCs/>
          <w:sz w:val="24"/>
        </w:rPr>
      </w:pPr>
    </w:p>
    <w:p w14:paraId="076C21B4" w14:textId="6809972C" w:rsidR="00D03156" w:rsidRPr="003E4555" w:rsidRDefault="003E4555" w:rsidP="003E4555">
      <w:pPr>
        <w:spacing w:after="480" w:line="480" w:lineRule="auto"/>
        <w:rPr>
          <w:rFonts w:ascii="Times New Roman" w:hAnsi="Times New Roman"/>
          <w:bCs/>
          <w:sz w:val="24"/>
        </w:rPr>
      </w:pPr>
      <w:r w:rsidRPr="00415E30">
        <w:rPr>
          <w:rFonts w:ascii="Times New Roman" w:hAnsi="Times New Roman"/>
          <w:bCs/>
          <w:sz w:val="24"/>
        </w:rPr>
        <w:t>[66]</w:t>
      </w:r>
      <w:r w:rsidRPr="00415E30">
        <w:rPr>
          <w:rFonts w:ascii="Times New Roman" w:hAnsi="Times New Roman"/>
          <w:bCs/>
          <w:sz w:val="24"/>
        </w:rPr>
        <w:tab/>
      </w:r>
      <w:r w:rsidR="00D03156" w:rsidRPr="003E4555">
        <w:rPr>
          <w:rFonts w:ascii="Times New Roman" w:hAnsi="Times New Roman"/>
          <w:bCs/>
          <w:sz w:val="24"/>
        </w:rPr>
        <w:t xml:space="preserve">It was </w:t>
      </w:r>
      <w:r w:rsidR="008B38BD" w:rsidRPr="003E4555">
        <w:rPr>
          <w:rFonts w:ascii="Times New Roman" w:hAnsi="Times New Roman"/>
          <w:bCs/>
          <w:sz w:val="24"/>
        </w:rPr>
        <w:t xml:space="preserve">also </w:t>
      </w:r>
      <w:r w:rsidR="00D03156" w:rsidRPr="003E4555">
        <w:rPr>
          <w:rFonts w:ascii="Times New Roman" w:hAnsi="Times New Roman"/>
          <w:bCs/>
          <w:sz w:val="24"/>
        </w:rPr>
        <w:t xml:space="preserve">held in </w:t>
      </w:r>
      <w:r w:rsidR="00D03156" w:rsidRPr="003E4555">
        <w:rPr>
          <w:rFonts w:ascii="Times New Roman" w:hAnsi="Times New Roman"/>
          <w:bCs/>
          <w:i/>
          <w:iCs/>
          <w:sz w:val="24"/>
        </w:rPr>
        <w:t>Beadica</w:t>
      </w:r>
      <w:r w:rsidR="008B38BD">
        <w:rPr>
          <w:rStyle w:val="FootnoteReference"/>
          <w:rFonts w:ascii="Times New Roman" w:hAnsi="Times New Roman"/>
          <w:bCs/>
          <w:i/>
          <w:iCs/>
          <w:sz w:val="24"/>
        </w:rPr>
        <w:footnoteReference w:id="34"/>
      </w:r>
      <w:r w:rsidR="00D03156" w:rsidRPr="003E4555">
        <w:rPr>
          <w:rFonts w:ascii="Times New Roman" w:hAnsi="Times New Roman"/>
          <w:bCs/>
          <w:sz w:val="24"/>
        </w:rPr>
        <w:t xml:space="preserve"> case that our ‘… </w:t>
      </w:r>
      <w:r w:rsidR="00D03156" w:rsidRPr="003E4555">
        <w:rPr>
          <w:rFonts w:ascii="Times New Roman" w:hAnsi="Times New Roman"/>
          <w:bCs/>
          <w:i/>
          <w:iCs/>
          <w:sz w:val="24"/>
        </w:rPr>
        <w:t>law has always, to a greater or lesser extent, recognised the role of equity (encompassing the notions of good faith, fairness ad reasonableness) as a factor in assessing the terms and the enforcement of contracts.’</w:t>
      </w:r>
      <w:r w:rsidR="008B38BD">
        <w:rPr>
          <w:rStyle w:val="FootnoteReference"/>
          <w:rFonts w:ascii="Times New Roman" w:hAnsi="Times New Roman"/>
          <w:bCs/>
          <w:i/>
          <w:iCs/>
          <w:sz w:val="24"/>
        </w:rPr>
        <w:footnoteReference w:id="35"/>
      </w:r>
    </w:p>
    <w:p w14:paraId="54083E4A" w14:textId="713C7636" w:rsidR="0052654F" w:rsidRPr="003E4555" w:rsidRDefault="003E4555" w:rsidP="003E4555">
      <w:pPr>
        <w:spacing w:after="480" w:line="480" w:lineRule="auto"/>
        <w:rPr>
          <w:rFonts w:ascii="Times New Roman" w:hAnsi="Times New Roman"/>
          <w:bCs/>
          <w:i/>
          <w:iCs/>
          <w:sz w:val="24"/>
        </w:rPr>
      </w:pPr>
      <w:r w:rsidRPr="008A3E5D">
        <w:rPr>
          <w:rFonts w:ascii="Times New Roman" w:hAnsi="Times New Roman"/>
          <w:bCs/>
          <w:iCs/>
          <w:sz w:val="24"/>
        </w:rPr>
        <w:t>[67]</w:t>
      </w:r>
      <w:r w:rsidRPr="008A3E5D">
        <w:rPr>
          <w:rFonts w:ascii="Times New Roman" w:hAnsi="Times New Roman"/>
          <w:bCs/>
          <w:iCs/>
          <w:sz w:val="24"/>
        </w:rPr>
        <w:tab/>
      </w:r>
      <w:r w:rsidR="00317448" w:rsidRPr="003E4555">
        <w:rPr>
          <w:rFonts w:ascii="Times New Roman" w:hAnsi="Times New Roman"/>
          <w:bCs/>
          <w:sz w:val="24"/>
        </w:rPr>
        <w:t>In assessing the submission</w:t>
      </w:r>
      <w:r w:rsidR="008B38BD" w:rsidRPr="003E4555">
        <w:rPr>
          <w:rFonts w:ascii="Times New Roman" w:hAnsi="Times New Roman"/>
          <w:bCs/>
          <w:sz w:val="24"/>
        </w:rPr>
        <w:t>s by</w:t>
      </w:r>
      <w:r w:rsidR="00317448" w:rsidRPr="003E4555">
        <w:rPr>
          <w:rFonts w:ascii="Times New Roman" w:hAnsi="Times New Roman"/>
          <w:bCs/>
          <w:sz w:val="24"/>
        </w:rPr>
        <w:t xml:space="preserve"> the respondent against the above background it is noted that t</w:t>
      </w:r>
      <w:r w:rsidR="0052654F" w:rsidRPr="003E4555">
        <w:rPr>
          <w:rFonts w:ascii="Times New Roman" w:hAnsi="Times New Roman"/>
          <w:bCs/>
          <w:sz w:val="24"/>
        </w:rPr>
        <w:t>he term in the lease agreement with Oblix</w:t>
      </w:r>
      <w:r w:rsidR="008B38BD" w:rsidRPr="003E4555">
        <w:rPr>
          <w:rFonts w:ascii="Times New Roman" w:hAnsi="Times New Roman"/>
          <w:bCs/>
          <w:sz w:val="24"/>
        </w:rPr>
        <w:t>,</w:t>
      </w:r>
      <w:r w:rsidR="0052654F" w:rsidRPr="003E4555">
        <w:rPr>
          <w:rFonts w:ascii="Times New Roman" w:hAnsi="Times New Roman"/>
          <w:bCs/>
          <w:sz w:val="24"/>
        </w:rPr>
        <w:t xml:space="preserve"> as the lessor to the applicant does not appear to oppressive of the interest of the respondent. It is not obligatory for the applicant to renew the agreement with the respondent. There is nothing which stops or stopped the respondent to put up his business for sale in terms of clause 34</w:t>
      </w:r>
      <w:r w:rsidR="008B38BD" w:rsidRPr="003E4555">
        <w:rPr>
          <w:rFonts w:ascii="Times New Roman" w:hAnsi="Times New Roman"/>
          <w:bCs/>
          <w:sz w:val="24"/>
        </w:rPr>
        <w:t>.</w:t>
      </w:r>
      <w:r w:rsidR="0052654F" w:rsidRPr="003E4555">
        <w:rPr>
          <w:rFonts w:ascii="Times New Roman" w:hAnsi="Times New Roman"/>
          <w:bCs/>
          <w:sz w:val="24"/>
        </w:rPr>
        <w:t xml:space="preserve"> It however </w:t>
      </w:r>
      <w:r w:rsidR="0052654F" w:rsidRPr="003E4555">
        <w:rPr>
          <w:rFonts w:ascii="Times New Roman" w:hAnsi="Times New Roman"/>
          <w:bCs/>
          <w:sz w:val="24"/>
        </w:rPr>
        <w:lastRenderedPageBreak/>
        <w:t xml:space="preserve">appears that it would have been difficult to implement </w:t>
      </w:r>
      <w:r w:rsidR="008B38BD" w:rsidRPr="003E4555">
        <w:rPr>
          <w:rFonts w:ascii="Times New Roman" w:hAnsi="Times New Roman"/>
          <w:bCs/>
          <w:sz w:val="24"/>
        </w:rPr>
        <w:t xml:space="preserve">same </w:t>
      </w:r>
      <w:r w:rsidR="0052654F" w:rsidRPr="003E4555">
        <w:rPr>
          <w:rFonts w:ascii="Times New Roman" w:hAnsi="Times New Roman"/>
          <w:bCs/>
          <w:sz w:val="24"/>
        </w:rPr>
        <w:t>since such a purchaser may have to be approved by Oblix who had the option to nominate a dealer</w:t>
      </w:r>
      <w:r w:rsidR="008B38BD" w:rsidRPr="003E4555">
        <w:rPr>
          <w:rFonts w:ascii="Times New Roman" w:hAnsi="Times New Roman"/>
          <w:bCs/>
          <w:sz w:val="24"/>
        </w:rPr>
        <w:t>/operator</w:t>
      </w:r>
      <w:r w:rsidR="0052654F" w:rsidRPr="003E4555">
        <w:rPr>
          <w:rFonts w:ascii="Times New Roman" w:hAnsi="Times New Roman"/>
          <w:bCs/>
          <w:sz w:val="24"/>
        </w:rPr>
        <w:t xml:space="preserve">. It should not however be pre-empted </w:t>
      </w:r>
      <w:r w:rsidR="008B38BD" w:rsidRPr="003E4555">
        <w:rPr>
          <w:rFonts w:ascii="Times New Roman" w:hAnsi="Times New Roman"/>
          <w:bCs/>
          <w:sz w:val="24"/>
        </w:rPr>
        <w:t xml:space="preserve">in this judgment </w:t>
      </w:r>
      <w:r w:rsidR="0052654F" w:rsidRPr="003E4555">
        <w:rPr>
          <w:rFonts w:ascii="Times New Roman" w:hAnsi="Times New Roman"/>
          <w:bCs/>
          <w:sz w:val="24"/>
        </w:rPr>
        <w:t xml:space="preserve">that Oblix would have rejected the request to waive its right to choose on request by the applicant who committed itself to </w:t>
      </w:r>
      <w:r w:rsidR="008B38BD" w:rsidRPr="003E4555">
        <w:rPr>
          <w:rFonts w:ascii="Times New Roman" w:hAnsi="Times New Roman"/>
          <w:bCs/>
          <w:sz w:val="24"/>
        </w:rPr>
        <w:t xml:space="preserve">the respondent in terms of </w:t>
      </w:r>
      <w:r w:rsidR="0052654F" w:rsidRPr="003E4555">
        <w:rPr>
          <w:rFonts w:ascii="Times New Roman" w:hAnsi="Times New Roman"/>
          <w:bCs/>
          <w:sz w:val="24"/>
        </w:rPr>
        <w:t xml:space="preserve">clause 34. The contention that the applicant would not be able to give more rights than it has would expose the applicant to a possible suit for damages which could be suffered as a result of its inability to give effect to clause 34 of the lease agreement. In general, the grounds and facts put forward by the respondent to advance for the development of common law do not demonstrate the lack or want in common law to protect parties rights without adding the element of duty of good faith in lease agreements at least for the purposes of this </w:t>
      </w:r>
      <w:r w:rsidR="0052654F" w:rsidRPr="003E4555">
        <w:rPr>
          <w:rFonts w:ascii="Times New Roman" w:hAnsi="Times New Roman"/>
          <w:bCs/>
          <w:i/>
          <w:iCs/>
          <w:sz w:val="24"/>
        </w:rPr>
        <w:t>lis</w:t>
      </w:r>
      <w:r w:rsidR="0052654F" w:rsidRPr="003E4555">
        <w:rPr>
          <w:rFonts w:ascii="Times New Roman" w:hAnsi="Times New Roman"/>
          <w:bCs/>
          <w:sz w:val="24"/>
        </w:rPr>
        <w:t>.</w:t>
      </w:r>
    </w:p>
    <w:p w14:paraId="5B4A8C99" w14:textId="6808629A" w:rsidR="0052654F" w:rsidRPr="003E4555" w:rsidRDefault="003E4555" w:rsidP="003E4555">
      <w:pPr>
        <w:spacing w:after="480" w:line="480" w:lineRule="auto"/>
        <w:rPr>
          <w:rFonts w:ascii="Times New Roman" w:hAnsi="Times New Roman"/>
          <w:bCs/>
          <w:i/>
          <w:iCs/>
          <w:sz w:val="24"/>
        </w:rPr>
      </w:pPr>
      <w:r>
        <w:rPr>
          <w:rFonts w:ascii="Times New Roman" w:hAnsi="Times New Roman"/>
          <w:bCs/>
          <w:iCs/>
          <w:sz w:val="24"/>
        </w:rPr>
        <w:t>[68]</w:t>
      </w:r>
      <w:r>
        <w:rPr>
          <w:rFonts w:ascii="Times New Roman" w:hAnsi="Times New Roman"/>
          <w:bCs/>
          <w:iCs/>
          <w:sz w:val="24"/>
        </w:rPr>
        <w:tab/>
      </w:r>
      <w:r w:rsidR="0052654F" w:rsidRPr="003E4555">
        <w:rPr>
          <w:rFonts w:ascii="Times New Roman" w:hAnsi="Times New Roman"/>
          <w:bCs/>
          <w:sz w:val="24"/>
        </w:rPr>
        <w:t xml:space="preserve">The development of the law should not be erratic and should engender certainty and uniformity. The clause agreed upon should be dealt with in accordance with the principles of </w:t>
      </w:r>
      <w:r w:rsidR="0052654F" w:rsidRPr="003E4555">
        <w:rPr>
          <w:rFonts w:ascii="Times New Roman" w:hAnsi="Times New Roman"/>
          <w:bCs/>
          <w:i/>
          <w:iCs/>
          <w:sz w:val="24"/>
        </w:rPr>
        <w:t>pact sun servanda</w:t>
      </w:r>
      <w:r w:rsidR="0052654F" w:rsidRPr="003E4555">
        <w:rPr>
          <w:rFonts w:ascii="Times New Roman" w:hAnsi="Times New Roman"/>
          <w:bCs/>
          <w:sz w:val="24"/>
        </w:rPr>
        <w:t xml:space="preserve"> but may not be given effect to where it is clear that they are </w:t>
      </w:r>
      <w:r w:rsidR="0052654F" w:rsidRPr="003E4555">
        <w:rPr>
          <w:rFonts w:ascii="Times New Roman" w:hAnsi="Times New Roman"/>
          <w:bCs/>
          <w:i/>
          <w:iCs/>
          <w:sz w:val="24"/>
        </w:rPr>
        <w:t>‘… so unfair, unreasonable or unjust so as to be contrary to public policy’.</w:t>
      </w:r>
      <w:r w:rsidR="0052654F">
        <w:rPr>
          <w:rStyle w:val="FootnoteReference"/>
          <w:rFonts w:ascii="Times New Roman" w:hAnsi="Times New Roman"/>
          <w:bCs/>
          <w:i/>
          <w:iCs/>
          <w:sz w:val="24"/>
        </w:rPr>
        <w:footnoteReference w:id="36"/>
      </w:r>
    </w:p>
    <w:p w14:paraId="6EB842B6" w14:textId="25C37147" w:rsidR="00DF229C" w:rsidRPr="00DF229C" w:rsidRDefault="00DF229C" w:rsidP="00DF229C">
      <w:pPr>
        <w:pStyle w:val="ListParagraph"/>
        <w:spacing w:after="480" w:line="480" w:lineRule="auto"/>
        <w:ind w:left="0" w:firstLine="720"/>
        <w:contextualSpacing w:val="0"/>
        <w:rPr>
          <w:rFonts w:ascii="Times New Roman" w:hAnsi="Times New Roman"/>
          <w:bCs/>
          <w:i/>
          <w:iCs/>
          <w:sz w:val="24"/>
        </w:rPr>
      </w:pPr>
      <w:r w:rsidRPr="00DF229C">
        <w:rPr>
          <w:rFonts w:ascii="Times New Roman" w:hAnsi="Times New Roman"/>
          <w:bCs/>
          <w:i/>
          <w:iCs/>
          <w:sz w:val="24"/>
          <w:lang w:val="en-GB"/>
        </w:rPr>
        <w:t>Sale of business</w:t>
      </w:r>
    </w:p>
    <w:p w14:paraId="11B104C9" w14:textId="4676BB87" w:rsidR="00DF229C" w:rsidRPr="003E4555" w:rsidRDefault="003E4555" w:rsidP="003E4555">
      <w:pPr>
        <w:spacing w:after="480" w:line="480" w:lineRule="auto"/>
        <w:rPr>
          <w:rFonts w:ascii="Times New Roman" w:hAnsi="Times New Roman"/>
          <w:bCs/>
          <w:i/>
          <w:iCs/>
          <w:sz w:val="24"/>
        </w:rPr>
      </w:pPr>
      <w:r w:rsidRPr="00B13C0A">
        <w:rPr>
          <w:rFonts w:ascii="Times New Roman" w:hAnsi="Times New Roman"/>
          <w:bCs/>
          <w:iCs/>
          <w:sz w:val="24"/>
        </w:rPr>
        <w:t>[69]</w:t>
      </w:r>
      <w:r w:rsidRPr="00B13C0A">
        <w:rPr>
          <w:rFonts w:ascii="Times New Roman" w:hAnsi="Times New Roman"/>
          <w:bCs/>
          <w:iCs/>
          <w:sz w:val="24"/>
        </w:rPr>
        <w:tab/>
      </w:r>
      <w:r w:rsidR="00DF229C" w:rsidRPr="003E4555">
        <w:rPr>
          <w:rFonts w:ascii="Times New Roman" w:hAnsi="Times New Roman"/>
          <w:bCs/>
          <w:sz w:val="24"/>
          <w:lang w:val="en-GB"/>
        </w:rPr>
        <w:t>The sale of business should include the stock and the goodwill.</w:t>
      </w:r>
      <w:r w:rsidR="00B13C0A" w:rsidRPr="003E4555">
        <w:rPr>
          <w:rFonts w:ascii="Times New Roman" w:hAnsi="Times New Roman"/>
          <w:bCs/>
          <w:sz w:val="24"/>
          <w:lang w:val="en-GB"/>
        </w:rPr>
        <w:t xml:space="preserve"> The applicant </w:t>
      </w:r>
      <w:r w:rsidR="00502810" w:rsidRPr="003E4555">
        <w:rPr>
          <w:rFonts w:ascii="Times New Roman" w:hAnsi="Times New Roman"/>
          <w:bCs/>
          <w:sz w:val="24"/>
          <w:lang w:val="en-GB"/>
        </w:rPr>
        <w:t xml:space="preserve">has stated </w:t>
      </w:r>
      <w:r w:rsidR="00B13C0A" w:rsidRPr="003E4555">
        <w:rPr>
          <w:rFonts w:ascii="Times New Roman" w:hAnsi="Times New Roman"/>
          <w:bCs/>
          <w:sz w:val="24"/>
          <w:lang w:val="en-GB"/>
        </w:rPr>
        <w:t>that the respondent owned the car wash business.</w:t>
      </w:r>
      <w:r w:rsidR="00DF229C" w:rsidRPr="003E4555">
        <w:rPr>
          <w:rFonts w:ascii="Times New Roman" w:hAnsi="Times New Roman"/>
          <w:bCs/>
          <w:sz w:val="24"/>
          <w:lang w:val="en-GB"/>
        </w:rPr>
        <w:t xml:space="preserve"> The respondent was alive to the fact that the lease was for a minimum of 4 and half years and should have then sold the business during </w:t>
      </w:r>
      <w:r w:rsidR="009213B4" w:rsidRPr="003E4555">
        <w:rPr>
          <w:rFonts w:ascii="Times New Roman" w:hAnsi="Times New Roman"/>
          <w:bCs/>
          <w:sz w:val="24"/>
          <w:lang w:val="en-GB"/>
        </w:rPr>
        <w:t xml:space="preserve">the lease </w:t>
      </w:r>
      <w:r w:rsidR="00AB55C8" w:rsidRPr="003E4555">
        <w:rPr>
          <w:rFonts w:ascii="Times New Roman" w:hAnsi="Times New Roman"/>
          <w:bCs/>
          <w:sz w:val="24"/>
          <w:lang w:val="en-GB"/>
        </w:rPr>
        <w:t>period</w:t>
      </w:r>
      <w:r w:rsidR="00B13C0A" w:rsidRPr="003E4555">
        <w:rPr>
          <w:rFonts w:ascii="Times New Roman" w:hAnsi="Times New Roman"/>
          <w:bCs/>
          <w:sz w:val="24"/>
          <w:lang w:val="en-GB"/>
        </w:rPr>
        <w:t xml:space="preserve">. </w:t>
      </w:r>
      <w:r w:rsidR="00DF229C" w:rsidRPr="003E4555">
        <w:rPr>
          <w:rFonts w:ascii="Times New Roman" w:hAnsi="Times New Roman"/>
          <w:bCs/>
          <w:sz w:val="24"/>
          <w:lang w:val="en-GB"/>
        </w:rPr>
        <w:t>The argument that the applicant is frustrating possible sale is unfounded as there has not been any offer which was brought forward to the applicant for consideration and approval.</w:t>
      </w:r>
      <w:r w:rsidR="00AB55C8" w:rsidRPr="003E4555">
        <w:rPr>
          <w:rFonts w:ascii="Times New Roman" w:hAnsi="Times New Roman"/>
          <w:bCs/>
          <w:sz w:val="24"/>
          <w:lang w:val="en-GB"/>
        </w:rPr>
        <w:t xml:space="preserve"> In view of the finding below that the notice </w:t>
      </w:r>
      <w:r w:rsidR="008B38BD" w:rsidRPr="003E4555">
        <w:rPr>
          <w:rFonts w:ascii="Times New Roman" w:hAnsi="Times New Roman"/>
          <w:bCs/>
          <w:sz w:val="24"/>
          <w:lang w:val="en-GB"/>
        </w:rPr>
        <w:t xml:space="preserve">of termination </w:t>
      </w:r>
      <w:r w:rsidR="00AB55C8" w:rsidRPr="003E4555">
        <w:rPr>
          <w:rFonts w:ascii="Times New Roman" w:hAnsi="Times New Roman"/>
          <w:bCs/>
          <w:sz w:val="24"/>
          <w:lang w:val="en-GB"/>
        </w:rPr>
        <w:t xml:space="preserve">is ineffective there is nothing which bar the respondent to sell the business </w:t>
      </w:r>
      <w:r w:rsidR="00AB55C8" w:rsidRPr="003E4555">
        <w:rPr>
          <w:rFonts w:ascii="Times New Roman" w:hAnsi="Times New Roman"/>
          <w:bCs/>
          <w:sz w:val="24"/>
          <w:lang w:val="en-GB"/>
        </w:rPr>
        <w:lastRenderedPageBreak/>
        <w:t xml:space="preserve">which must be approved by the applicant in terms of the agreement between the parties. </w:t>
      </w:r>
      <w:r w:rsidR="00453759" w:rsidRPr="003E4555">
        <w:rPr>
          <w:rFonts w:ascii="Times New Roman" w:hAnsi="Times New Roman"/>
          <w:bCs/>
          <w:sz w:val="24"/>
          <w:lang w:val="en-GB"/>
        </w:rPr>
        <w:t>I</w:t>
      </w:r>
      <w:r w:rsidR="00AB55C8" w:rsidRPr="003E4555">
        <w:rPr>
          <w:rFonts w:ascii="Times New Roman" w:hAnsi="Times New Roman"/>
          <w:bCs/>
          <w:sz w:val="24"/>
          <w:lang w:val="en-GB"/>
        </w:rPr>
        <w:t>t is noted that the respondent would still have a final say</w:t>
      </w:r>
      <w:r w:rsidR="00F36B92" w:rsidRPr="003E4555">
        <w:rPr>
          <w:rFonts w:ascii="Times New Roman" w:hAnsi="Times New Roman"/>
          <w:bCs/>
          <w:sz w:val="24"/>
          <w:lang w:val="en-GB"/>
        </w:rPr>
        <w:t>,</w:t>
      </w:r>
      <w:r w:rsidR="00AB55C8" w:rsidRPr="003E4555">
        <w:rPr>
          <w:rFonts w:ascii="Times New Roman" w:hAnsi="Times New Roman"/>
          <w:bCs/>
          <w:sz w:val="24"/>
          <w:lang w:val="en-GB"/>
        </w:rPr>
        <w:t xml:space="preserve"> </w:t>
      </w:r>
      <w:r w:rsidR="008B38BD" w:rsidRPr="003E4555">
        <w:rPr>
          <w:rFonts w:ascii="Times New Roman" w:hAnsi="Times New Roman"/>
          <w:bCs/>
          <w:sz w:val="24"/>
          <w:lang w:val="en-GB"/>
        </w:rPr>
        <w:t xml:space="preserve">on who satisfies the requirements of a dealer in terms of </w:t>
      </w:r>
      <w:r w:rsidR="00F36B92" w:rsidRPr="003E4555">
        <w:rPr>
          <w:rFonts w:ascii="Times New Roman" w:hAnsi="Times New Roman"/>
          <w:bCs/>
          <w:sz w:val="24"/>
          <w:lang w:val="en-GB"/>
        </w:rPr>
        <w:t xml:space="preserve">the applicant’s policies, </w:t>
      </w:r>
      <w:r w:rsidR="00AB55C8" w:rsidRPr="003E4555">
        <w:rPr>
          <w:rFonts w:ascii="Times New Roman" w:hAnsi="Times New Roman"/>
          <w:bCs/>
          <w:sz w:val="24"/>
          <w:lang w:val="en-GB"/>
        </w:rPr>
        <w:t>despite Oblix having been given the right to nominate a dealer/operator.</w:t>
      </w:r>
      <w:r w:rsidR="00453759" w:rsidRPr="003E4555">
        <w:rPr>
          <w:rFonts w:ascii="Times New Roman" w:hAnsi="Times New Roman"/>
          <w:bCs/>
          <w:sz w:val="24"/>
          <w:lang w:val="en-GB"/>
        </w:rPr>
        <w:t xml:space="preserve"> </w:t>
      </w:r>
    </w:p>
    <w:p w14:paraId="3F54E592" w14:textId="4D28D3E5" w:rsidR="00487A1D" w:rsidRPr="003E4555" w:rsidRDefault="003E4555" w:rsidP="003E4555">
      <w:pPr>
        <w:spacing w:after="480" w:line="480" w:lineRule="auto"/>
        <w:rPr>
          <w:rFonts w:ascii="Times New Roman" w:hAnsi="Times New Roman"/>
          <w:bCs/>
          <w:i/>
          <w:iCs/>
          <w:sz w:val="24"/>
        </w:rPr>
      </w:pPr>
      <w:r w:rsidRPr="00487A1D">
        <w:rPr>
          <w:rFonts w:ascii="Times New Roman" w:hAnsi="Times New Roman"/>
          <w:bCs/>
          <w:iCs/>
          <w:sz w:val="24"/>
        </w:rPr>
        <w:t>[70]</w:t>
      </w:r>
      <w:r w:rsidRPr="00487A1D">
        <w:rPr>
          <w:rFonts w:ascii="Times New Roman" w:hAnsi="Times New Roman"/>
          <w:bCs/>
          <w:iCs/>
          <w:sz w:val="24"/>
        </w:rPr>
        <w:tab/>
      </w:r>
      <w:r w:rsidR="00487A1D" w:rsidRPr="003E4555">
        <w:rPr>
          <w:rFonts w:ascii="Times New Roman" w:hAnsi="Times New Roman"/>
          <w:bCs/>
          <w:sz w:val="24"/>
          <w:lang w:val="en-GB"/>
        </w:rPr>
        <w:t xml:space="preserve">It is however unsettling that the applicant received payment of </w:t>
      </w:r>
      <w:r w:rsidR="00B13C0A" w:rsidRPr="003E4555">
        <w:rPr>
          <w:rFonts w:ascii="Times New Roman" w:hAnsi="Times New Roman"/>
          <w:bCs/>
          <w:sz w:val="24"/>
          <w:lang w:val="en-GB"/>
        </w:rPr>
        <w:t>6</w:t>
      </w:r>
      <w:r w:rsidR="00487A1D" w:rsidRPr="003E4555">
        <w:rPr>
          <w:rFonts w:ascii="Times New Roman" w:hAnsi="Times New Roman"/>
          <w:bCs/>
          <w:sz w:val="24"/>
          <w:lang w:val="en-GB"/>
        </w:rPr>
        <w:t xml:space="preserve"> million just to give away its right to choose the operator or dealer. The process of giving away the right </w:t>
      </w:r>
      <w:r w:rsidR="00453759" w:rsidRPr="003E4555">
        <w:rPr>
          <w:rFonts w:ascii="Times New Roman" w:hAnsi="Times New Roman"/>
          <w:bCs/>
          <w:sz w:val="24"/>
          <w:lang w:val="en-GB"/>
        </w:rPr>
        <w:t xml:space="preserve">may </w:t>
      </w:r>
      <w:r w:rsidR="00487A1D" w:rsidRPr="003E4555">
        <w:rPr>
          <w:rFonts w:ascii="Times New Roman" w:hAnsi="Times New Roman"/>
          <w:bCs/>
          <w:sz w:val="24"/>
          <w:lang w:val="en-GB"/>
        </w:rPr>
        <w:t>compromise the prospect of the applicant (but not extinguish it since Oblix may still agree to an operator willing to buy the respondent’s business) being able to give effect to clause 34 of the agreement with the dealers and specifically the respondent.</w:t>
      </w:r>
      <w:r w:rsidR="00F36B92" w:rsidRPr="003E4555">
        <w:rPr>
          <w:rFonts w:ascii="Times New Roman" w:hAnsi="Times New Roman"/>
          <w:bCs/>
          <w:sz w:val="24"/>
          <w:lang w:val="en-GB"/>
        </w:rPr>
        <w:t xml:space="preserve"> </w:t>
      </w:r>
      <w:r w:rsidR="00502810" w:rsidRPr="003E4555">
        <w:rPr>
          <w:rFonts w:ascii="Times New Roman" w:hAnsi="Times New Roman"/>
          <w:bCs/>
          <w:sz w:val="24"/>
          <w:lang w:val="en-GB"/>
        </w:rPr>
        <w:t>T</w:t>
      </w:r>
      <w:r w:rsidR="00F36B92" w:rsidRPr="003E4555">
        <w:rPr>
          <w:rFonts w:ascii="Times New Roman" w:hAnsi="Times New Roman"/>
          <w:bCs/>
          <w:sz w:val="24"/>
          <w:lang w:val="en-GB"/>
        </w:rPr>
        <w:t>he respondent might have a recourse for damages against the applicant.</w:t>
      </w:r>
    </w:p>
    <w:p w14:paraId="26E5692F" w14:textId="1B17283E" w:rsidR="00DF229C" w:rsidRPr="003E4555" w:rsidRDefault="003E4555" w:rsidP="003E4555">
      <w:pPr>
        <w:spacing w:after="480" w:line="480" w:lineRule="auto"/>
        <w:rPr>
          <w:rFonts w:ascii="Times New Roman" w:hAnsi="Times New Roman"/>
          <w:bCs/>
          <w:i/>
          <w:iCs/>
          <w:sz w:val="24"/>
        </w:rPr>
      </w:pPr>
      <w:r w:rsidRPr="00AB55C8">
        <w:rPr>
          <w:rFonts w:ascii="Times New Roman" w:hAnsi="Times New Roman"/>
          <w:bCs/>
          <w:iCs/>
          <w:sz w:val="24"/>
        </w:rPr>
        <w:t>[71]</w:t>
      </w:r>
      <w:r w:rsidRPr="00AB55C8">
        <w:rPr>
          <w:rFonts w:ascii="Times New Roman" w:hAnsi="Times New Roman"/>
          <w:bCs/>
          <w:iCs/>
          <w:sz w:val="24"/>
        </w:rPr>
        <w:tab/>
      </w:r>
      <w:r w:rsidR="00487A1D" w:rsidRPr="003E4555">
        <w:rPr>
          <w:rFonts w:ascii="Times New Roman" w:hAnsi="Times New Roman"/>
          <w:bCs/>
          <w:sz w:val="24"/>
          <w:lang w:val="en-GB"/>
        </w:rPr>
        <w:t xml:space="preserve">It </w:t>
      </w:r>
      <w:r w:rsidR="00F36B92" w:rsidRPr="003E4555">
        <w:rPr>
          <w:rFonts w:ascii="Times New Roman" w:hAnsi="Times New Roman"/>
          <w:bCs/>
          <w:sz w:val="24"/>
          <w:lang w:val="en-GB"/>
        </w:rPr>
        <w:t xml:space="preserve">is </w:t>
      </w:r>
      <w:r w:rsidR="00487A1D" w:rsidRPr="003E4555">
        <w:rPr>
          <w:rFonts w:ascii="Times New Roman" w:hAnsi="Times New Roman"/>
          <w:bCs/>
          <w:sz w:val="24"/>
          <w:lang w:val="en-GB"/>
        </w:rPr>
        <w:t xml:space="preserve">also strange that the applicant chose not </w:t>
      </w:r>
      <w:r w:rsidR="008656DF" w:rsidRPr="003E4555">
        <w:rPr>
          <w:rFonts w:ascii="Times New Roman" w:hAnsi="Times New Roman"/>
          <w:bCs/>
          <w:sz w:val="24"/>
          <w:lang w:val="en-GB"/>
        </w:rPr>
        <w:t>to present</w:t>
      </w:r>
      <w:r w:rsidR="00487A1D" w:rsidRPr="003E4555">
        <w:rPr>
          <w:rFonts w:ascii="Times New Roman" w:hAnsi="Times New Roman"/>
          <w:bCs/>
          <w:sz w:val="24"/>
          <w:lang w:val="en-GB"/>
        </w:rPr>
        <w:t xml:space="preserve"> any</w:t>
      </w:r>
      <w:r w:rsidR="008A3E5D" w:rsidRPr="003E4555">
        <w:rPr>
          <w:rFonts w:ascii="Times New Roman" w:hAnsi="Times New Roman"/>
          <w:bCs/>
          <w:sz w:val="24"/>
          <w:lang w:val="en-GB"/>
        </w:rPr>
        <w:t xml:space="preserve"> direct</w:t>
      </w:r>
      <w:r w:rsidR="00487A1D" w:rsidRPr="003E4555">
        <w:rPr>
          <w:rFonts w:ascii="Times New Roman" w:hAnsi="Times New Roman"/>
          <w:bCs/>
          <w:sz w:val="24"/>
          <w:lang w:val="en-GB"/>
        </w:rPr>
        <w:t xml:space="preserve"> evidence to </w:t>
      </w:r>
      <w:r w:rsidR="008A3E5D" w:rsidRPr="003E4555">
        <w:rPr>
          <w:rFonts w:ascii="Times New Roman" w:hAnsi="Times New Roman"/>
          <w:bCs/>
          <w:sz w:val="24"/>
          <w:lang w:val="en-GB"/>
        </w:rPr>
        <w:t xml:space="preserve">contradict </w:t>
      </w:r>
      <w:r w:rsidR="00487A1D" w:rsidRPr="003E4555">
        <w:rPr>
          <w:rFonts w:ascii="Times New Roman" w:hAnsi="Times New Roman"/>
          <w:bCs/>
          <w:sz w:val="24"/>
          <w:lang w:val="en-GB"/>
        </w:rPr>
        <w:t xml:space="preserve">the allegation that the applicant came with the practise that the businesses would be sold </w:t>
      </w:r>
      <w:r w:rsidR="00657330" w:rsidRPr="003E4555">
        <w:rPr>
          <w:rFonts w:ascii="Times New Roman" w:hAnsi="Times New Roman"/>
          <w:bCs/>
          <w:sz w:val="24"/>
          <w:lang w:val="en-GB"/>
        </w:rPr>
        <w:t xml:space="preserve">using the 36-month EBIDTA formula as averred by the respondent who attached document suggesting that the formula was a </w:t>
      </w:r>
      <w:r w:rsidR="00AB55C8" w:rsidRPr="003E4555">
        <w:rPr>
          <w:rFonts w:ascii="Times New Roman" w:hAnsi="Times New Roman"/>
          <w:bCs/>
          <w:sz w:val="24"/>
          <w:lang w:val="en-GB"/>
        </w:rPr>
        <w:t xml:space="preserve">proposal </w:t>
      </w:r>
      <w:r w:rsidR="00657330" w:rsidRPr="003E4555">
        <w:rPr>
          <w:rFonts w:ascii="Times New Roman" w:hAnsi="Times New Roman"/>
          <w:bCs/>
          <w:sz w:val="24"/>
          <w:lang w:val="en-GB"/>
        </w:rPr>
        <w:t xml:space="preserve">by the applicant as a </w:t>
      </w:r>
      <w:r w:rsidR="00317448" w:rsidRPr="003E4555">
        <w:rPr>
          <w:rFonts w:ascii="Times New Roman" w:hAnsi="Times New Roman"/>
          <w:bCs/>
          <w:sz w:val="24"/>
          <w:lang w:val="en-GB"/>
        </w:rPr>
        <w:t>compromise</w:t>
      </w:r>
      <w:r w:rsidR="00657330" w:rsidRPr="003E4555">
        <w:rPr>
          <w:rFonts w:ascii="Times New Roman" w:hAnsi="Times New Roman"/>
          <w:bCs/>
          <w:sz w:val="24"/>
          <w:lang w:val="en-GB"/>
        </w:rPr>
        <w:t xml:space="preserve"> to avoid overpricing of the businesses. In addition, </w:t>
      </w:r>
      <w:r w:rsidR="009213B4" w:rsidRPr="003E4555">
        <w:rPr>
          <w:rFonts w:ascii="Times New Roman" w:hAnsi="Times New Roman"/>
          <w:bCs/>
          <w:sz w:val="24"/>
          <w:lang w:val="en-GB"/>
        </w:rPr>
        <w:t xml:space="preserve">the applicant </w:t>
      </w:r>
      <w:r w:rsidR="00657330" w:rsidRPr="003E4555">
        <w:rPr>
          <w:rFonts w:ascii="Times New Roman" w:hAnsi="Times New Roman"/>
          <w:bCs/>
          <w:sz w:val="24"/>
          <w:lang w:val="en-GB"/>
        </w:rPr>
        <w:t>failed to deny that those dealers who are on a mo</w:t>
      </w:r>
      <w:r w:rsidR="008656DF" w:rsidRPr="003E4555">
        <w:rPr>
          <w:rFonts w:ascii="Times New Roman" w:hAnsi="Times New Roman"/>
          <w:bCs/>
          <w:sz w:val="24"/>
          <w:lang w:val="en-GB"/>
        </w:rPr>
        <w:t>n</w:t>
      </w:r>
      <w:r w:rsidR="00657330" w:rsidRPr="003E4555">
        <w:rPr>
          <w:rFonts w:ascii="Times New Roman" w:hAnsi="Times New Roman"/>
          <w:bCs/>
          <w:sz w:val="24"/>
          <w:lang w:val="en-GB"/>
        </w:rPr>
        <w:t>t</w:t>
      </w:r>
      <w:r w:rsidR="008656DF" w:rsidRPr="003E4555">
        <w:rPr>
          <w:rFonts w:ascii="Times New Roman" w:hAnsi="Times New Roman"/>
          <w:bCs/>
          <w:sz w:val="24"/>
          <w:lang w:val="en-GB"/>
        </w:rPr>
        <w:t>h</w:t>
      </w:r>
      <w:r w:rsidR="00657330" w:rsidRPr="003E4555">
        <w:rPr>
          <w:rFonts w:ascii="Times New Roman" w:hAnsi="Times New Roman"/>
          <w:bCs/>
          <w:sz w:val="24"/>
          <w:lang w:val="en-GB"/>
        </w:rPr>
        <w:t>-to-month agreement were allowed to conclude sale of businesses agreements.</w:t>
      </w:r>
      <w:r w:rsidR="008656DF" w:rsidRPr="003E4555">
        <w:rPr>
          <w:rFonts w:ascii="Times New Roman" w:hAnsi="Times New Roman"/>
          <w:bCs/>
          <w:sz w:val="24"/>
          <w:lang w:val="en-GB"/>
        </w:rPr>
        <w:t xml:space="preserve"> The</w:t>
      </w:r>
      <w:r w:rsidR="009213B4" w:rsidRPr="003E4555">
        <w:rPr>
          <w:rFonts w:ascii="Times New Roman" w:hAnsi="Times New Roman"/>
          <w:bCs/>
          <w:sz w:val="24"/>
          <w:lang w:val="en-GB"/>
        </w:rPr>
        <w:t xml:space="preserve"> applicant’s </w:t>
      </w:r>
      <w:r w:rsidR="008656DF" w:rsidRPr="003E4555">
        <w:rPr>
          <w:rFonts w:ascii="Times New Roman" w:hAnsi="Times New Roman"/>
          <w:bCs/>
          <w:sz w:val="24"/>
          <w:lang w:val="en-GB"/>
        </w:rPr>
        <w:t>difficulty in not confronting th</w:t>
      </w:r>
      <w:r w:rsidR="00AB55C8" w:rsidRPr="003E4555">
        <w:rPr>
          <w:rFonts w:ascii="Times New Roman" w:hAnsi="Times New Roman"/>
          <w:bCs/>
          <w:sz w:val="24"/>
          <w:lang w:val="en-GB"/>
        </w:rPr>
        <w:t>ese</w:t>
      </w:r>
      <w:r w:rsidR="008656DF" w:rsidRPr="003E4555">
        <w:rPr>
          <w:rFonts w:ascii="Times New Roman" w:hAnsi="Times New Roman"/>
          <w:bCs/>
          <w:sz w:val="24"/>
          <w:lang w:val="en-GB"/>
        </w:rPr>
        <w:t xml:space="preserve"> assertion</w:t>
      </w:r>
      <w:r w:rsidR="00AB55C8" w:rsidRPr="003E4555">
        <w:rPr>
          <w:rFonts w:ascii="Times New Roman" w:hAnsi="Times New Roman"/>
          <w:bCs/>
          <w:sz w:val="24"/>
          <w:lang w:val="en-GB"/>
        </w:rPr>
        <w:t>s</w:t>
      </w:r>
      <w:r w:rsidR="008656DF" w:rsidRPr="003E4555">
        <w:rPr>
          <w:rFonts w:ascii="Times New Roman" w:hAnsi="Times New Roman"/>
          <w:bCs/>
          <w:sz w:val="24"/>
          <w:lang w:val="en-GB"/>
        </w:rPr>
        <w:t xml:space="preserve"> may be considered as a</w:t>
      </w:r>
      <w:r w:rsidR="00AB55C8" w:rsidRPr="003E4555">
        <w:rPr>
          <w:rFonts w:ascii="Times New Roman" w:hAnsi="Times New Roman"/>
          <w:bCs/>
          <w:sz w:val="24"/>
          <w:lang w:val="en-GB"/>
        </w:rPr>
        <w:t xml:space="preserve"> sign that </w:t>
      </w:r>
      <w:r w:rsidR="008656DF" w:rsidRPr="003E4555">
        <w:rPr>
          <w:rFonts w:ascii="Times New Roman" w:hAnsi="Times New Roman"/>
          <w:bCs/>
          <w:sz w:val="24"/>
          <w:lang w:val="en-GB"/>
        </w:rPr>
        <w:t>the applicant may find it difficult to obtain a buy in from Oblix to assist in complying with clause 34 of the lease agreement more particularly as payment has been received to waive that right.</w:t>
      </w:r>
    </w:p>
    <w:p w14:paraId="64DAE62C" w14:textId="11EA5485" w:rsidR="00055889" w:rsidRPr="003E4555" w:rsidRDefault="003E4555" w:rsidP="003E4555">
      <w:pPr>
        <w:spacing w:after="480" w:line="480" w:lineRule="auto"/>
        <w:rPr>
          <w:rFonts w:ascii="Times New Roman" w:hAnsi="Times New Roman"/>
          <w:bCs/>
          <w:i/>
          <w:iCs/>
          <w:sz w:val="24"/>
        </w:rPr>
      </w:pPr>
      <w:r w:rsidRPr="00055889">
        <w:rPr>
          <w:rFonts w:ascii="Times New Roman" w:hAnsi="Times New Roman"/>
          <w:bCs/>
          <w:iCs/>
          <w:sz w:val="24"/>
        </w:rPr>
        <w:t>[72]</w:t>
      </w:r>
      <w:r w:rsidRPr="00055889">
        <w:rPr>
          <w:rFonts w:ascii="Times New Roman" w:hAnsi="Times New Roman"/>
          <w:bCs/>
          <w:iCs/>
          <w:sz w:val="24"/>
        </w:rPr>
        <w:tab/>
      </w:r>
      <w:r w:rsidR="00DF229C" w:rsidRPr="003E4555">
        <w:rPr>
          <w:rFonts w:ascii="Times New Roman" w:hAnsi="Times New Roman"/>
          <w:bCs/>
          <w:sz w:val="24"/>
          <w:lang w:val="en-GB"/>
        </w:rPr>
        <w:t xml:space="preserve">Goodwill </w:t>
      </w:r>
      <w:r w:rsidR="00B13C0A" w:rsidRPr="003E4555">
        <w:rPr>
          <w:rFonts w:ascii="Times New Roman" w:hAnsi="Times New Roman"/>
          <w:bCs/>
          <w:i/>
          <w:iCs/>
          <w:sz w:val="24"/>
          <w:lang w:val="en-GB"/>
        </w:rPr>
        <w:t>‘denotes the benefit and the advantage of the good name, reputation and connection of a business’</w:t>
      </w:r>
      <w:r w:rsidR="00B13C0A" w:rsidRPr="003E4555">
        <w:rPr>
          <w:rFonts w:ascii="Times New Roman" w:hAnsi="Times New Roman"/>
          <w:bCs/>
          <w:sz w:val="24"/>
          <w:lang w:val="en-GB"/>
        </w:rPr>
        <w:t>.</w:t>
      </w:r>
      <w:r w:rsidR="00B13C0A">
        <w:rPr>
          <w:rStyle w:val="FootnoteReference"/>
          <w:rFonts w:ascii="Times New Roman" w:hAnsi="Times New Roman"/>
          <w:bCs/>
          <w:sz w:val="24"/>
          <w:lang w:val="en-GB"/>
        </w:rPr>
        <w:footnoteReference w:id="37"/>
      </w:r>
      <w:r w:rsidR="00B13C0A" w:rsidRPr="003E4555">
        <w:rPr>
          <w:rFonts w:ascii="Times New Roman" w:hAnsi="Times New Roman"/>
          <w:bCs/>
          <w:sz w:val="24"/>
          <w:lang w:val="en-GB"/>
        </w:rPr>
        <w:t xml:space="preserve"> The SCA went further to state that </w:t>
      </w:r>
      <w:r w:rsidR="00B13C0A" w:rsidRPr="003E4555">
        <w:rPr>
          <w:rFonts w:ascii="Times New Roman" w:hAnsi="Times New Roman"/>
          <w:bCs/>
          <w:i/>
          <w:iCs/>
          <w:sz w:val="24"/>
          <w:lang w:val="en-GB"/>
        </w:rPr>
        <w:t>“goodwill, being the relationship between a business and its customers can only be enforced by t</w:t>
      </w:r>
      <w:r w:rsidR="00AB55C8" w:rsidRPr="003E4555">
        <w:rPr>
          <w:rFonts w:ascii="Times New Roman" w:hAnsi="Times New Roman"/>
          <w:bCs/>
          <w:i/>
          <w:iCs/>
          <w:sz w:val="24"/>
          <w:lang w:val="en-GB"/>
        </w:rPr>
        <w:t>h</w:t>
      </w:r>
      <w:r w:rsidR="00B13C0A" w:rsidRPr="003E4555">
        <w:rPr>
          <w:rFonts w:ascii="Times New Roman" w:hAnsi="Times New Roman"/>
          <w:bCs/>
          <w:i/>
          <w:iCs/>
          <w:sz w:val="24"/>
          <w:lang w:val="en-GB"/>
        </w:rPr>
        <w:t xml:space="preserve">e business </w:t>
      </w:r>
      <w:r w:rsidR="00B13C0A" w:rsidRPr="003E4555">
        <w:rPr>
          <w:rFonts w:ascii="Times New Roman" w:hAnsi="Times New Roman"/>
          <w:bCs/>
          <w:i/>
          <w:iCs/>
          <w:sz w:val="24"/>
          <w:lang w:val="en-GB"/>
        </w:rPr>
        <w:lastRenderedPageBreak/>
        <w:t>as long as it exists</w:t>
      </w:r>
      <w:r w:rsidR="00B13C0A" w:rsidRPr="003E4555">
        <w:rPr>
          <w:rFonts w:ascii="Times New Roman" w:hAnsi="Times New Roman"/>
          <w:bCs/>
          <w:sz w:val="24"/>
          <w:lang w:val="en-GB"/>
        </w:rPr>
        <w:t>’</w:t>
      </w:r>
      <w:r w:rsidR="00B13C0A">
        <w:rPr>
          <w:rStyle w:val="FootnoteReference"/>
          <w:rFonts w:ascii="Times New Roman" w:hAnsi="Times New Roman"/>
          <w:bCs/>
          <w:sz w:val="24"/>
          <w:lang w:val="en-GB"/>
        </w:rPr>
        <w:footnoteReference w:id="38"/>
      </w:r>
      <w:r w:rsidR="00DF229C" w:rsidRPr="003E4555">
        <w:rPr>
          <w:rFonts w:ascii="Times New Roman" w:hAnsi="Times New Roman"/>
          <w:bCs/>
          <w:sz w:val="24"/>
          <w:lang w:val="en-GB"/>
        </w:rPr>
        <w:t xml:space="preserve">. In the premises the contention by the applicant that the </w:t>
      </w:r>
      <w:r w:rsidR="00055889" w:rsidRPr="003E4555">
        <w:rPr>
          <w:rFonts w:ascii="Times New Roman" w:hAnsi="Times New Roman"/>
          <w:bCs/>
          <w:sz w:val="24"/>
          <w:lang w:val="en-GB"/>
        </w:rPr>
        <w:t xml:space="preserve">respondent has agreed that the goodwill associated with its business cannot validly stand against the goodwill which </w:t>
      </w:r>
      <w:r w:rsidR="00F36B92" w:rsidRPr="003E4555">
        <w:rPr>
          <w:rFonts w:ascii="Times New Roman" w:hAnsi="Times New Roman"/>
          <w:bCs/>
          <w:sz w:val="24"/>
          <w:lang w:val="en-GB"/>
        </w:rPr>
        <w:t xml:space="preserve">was created and attaches </w:t>
      </w:r>
      <w:r w:rsidR="00055889" w:rsidRPr="003E4555">
        <w:rPr>
          <w:rFonts w:ascii="Times New Roman" w:hAnsi="Times New Roman"/>
          <w:bCs/>
          <w:sz w:val="24"/>
          <w:lang w:val="en-GB"/>
        </w:rPr>
        <w:t>to the respondent</w:t>
      </w:r>
      <w:r w:rsidR="00F36B92" w:rsidRPr="003E4555">
        <w:rPr>
          <w:rFonts w:ascii="Times New Roman" w:hAnsi="Times New Roman"/>
          <w:bCs/>
          <w:sz w:val="24"/>
          <w:lang w:val="en-GB"/>
        </w:rPr>
        <w:t xml:space="preserve"> and </w:t>
      </w:r>
      <w:r w:rsidR="00502810" w:rsidRPr="003E4555">
        <w:rPr>
          <w:rFonts w:ascii="Times New Roman" w:hAnsi="Times New Roman"/>
          <w:bCs/>
          <w:sz w:val="24"/>
          <w:lang w:val="en-GB"/>
        </w:rPr>
        <w:t xml:space="preserve">not the </w:t>
      </w:r>
      <w:r w:rsidR="00F36B92" w:rsidRPr="003E4555">
        <w:rPr>
          <w:rFonts w:ascii="Times New Roman" w:hAnsi="Times New Roman"/>
          <w:bCs/>
          <w:sz w:val="24"/>
          <w:lang w:val="en-GB"/>
        </w:rPr>
        <w:t>assets of the applicant</w:t>
      </w:r>
      <w:r w:rsidR="00055889" w:rsidRPr="003E4555">
        <w:rPr>
          <w:rFonts w:ascii="Times New Roman" w:hAnsi="Times New Roman"/>
          <w:bCs/>
          <w:sz w:val="24"/>
          <w:lang w:val="en-GB"/>
        </w:rPr>
        <w:t xml:space="preserve">. </w:t>
      </w:r>
      <w:r w:rsidR="00F36B92" w:rsidRPr="003E4555">
        <w:rPr>
          <w:rFonts w:ascii="Times New Roman" w:hAnsi="Times New Roman"/>
          <w:bCs/>
          <w:sz w:val="24"/>
          <w:lang w:val="en-GB"/>
        </w:rPr>
        <w:t>If t</w:t>
      </w:r>
      <w:r w:rsidR="00055889" w:rsidRPr="003E4555">
        <w:rPr>
          <w:rFonts w:ascii="Times New Roman" w:hAnsi="Times New Roman"/>
          <w:bCs/>
          <w:sz w:val="24"/>
          <w:lang w:val="en-GB"/>
        </w:rPr>
        <w:t xml:space="preserve">he said </w:t>
      </w:r>
      <w:r w:rsidR="00502810" w:rsidRPr="003E4555">
        <w:rPr>
          <w:rFonts w:ascii="Times New Roman" w:hAnsi="Times New Roman"/>
          <w:bCs/>
          <w:sz w:val="24"/>
          <w:lang w:val="en-GB"/>
        </w:rPr>
        <w:t xml:space="preserve">respondents </w:t>
      </w:r>
      <w:r w:rsidR="00055889" w:rsidRPr="003E4555">
        <w:rPr>
          <w:rFonts w:ascii="Times New Roman" w:hAnsi="Times New Roman"/>
          <w:bCs/>
          <w:sz w:val="24"/>
          <w:lang w:val="en-GB"/>
        </w:rPr>
        <w:t xml:space="preserve">goodwill </w:t>
      </w:r>
      <w:r w:rsidR="00F36B92" w:rsidRPr="003E4555">
        <w:rPr>
          <w:rFonts w:ascii="Times New Roman" w:hAnsi="Times New Roman"/>
          <w:bCs/>
          <w:sz w:val="24"/>
          <w:lang w:val="en-GB"/>
        </w:rPr>
        <w:t xml:space="preserve">is appropriated </w:t>
      </w:r>
      <w:r w:rsidR="00055889" w:rsidRPr="003E4555">
        <w:rPr>
          <w:rFonts w:ascii="Times New Roman" w:hAnsi="Times New Roman"/>
          <w:bCs/>
          <w:sz w:val="24"/>
          <w:lang w:val="en-GB"/>
        </w:rPr>
        <w:t>with</w:t>
      </w:r>
      <w:r w:rsidR="003D1053" w:rsidRPr="003E4555">
        <w:rPr>
          <w:rFonts w:ascii="Times New Roman" w:hAnsi="Times New Roman"/>
          <w:bCs/>
          <w:sz w:val="24"/>
          <w:lang w:val="en-GB"/>
        </w:rPr>
        <w:t>out</w:t>
      </w:r>
      <w:r w:rsidR="00055889" w:rsidRPr="003E4555">
        <w:rPr>
          <w:rFonts w:ascii="Times New Roman" w:hAnsi="Times New Roman"/>
          <w:bCs/>
          <w:sz w:val="24"/>
          <w:lang w:val="en-GB"/>
        </w:rPr>
        <w:t xml:space="preserve"> compensation by Oblix or the applicant</w:t>
      </w:r>
      <w:r w:rsidR="00F36B92" w:rsidRPr="003E4555">
        <w:rPr>
          <w:rFonts w:ascii="Times New Roman" w:hAnsi="Times New Roman"/>
          <w:bCs/>
          <w:sz w:val="24"/>
          <w:lang w:val="en-GB"/>
        </w:rPr>
        <w:t>,</w:t>
      </w:r>
      <w:r w:rsidR="00055889" w:rsidRPr="003E4555">
        <w:rPr>
          <w:rFonts w:ascii="Times New Roman" w:hAnsi="Times New Roman"/>
          <w:bCs/>
          <w:sz w:val="24"/>
          <w:lang w:val="en-GB"/>
        </w:rPr>
        <w:t xml:space="preserve"> </w:t>
      </w:r>
      <w:r w:rsidR="00F36B92" w:rsidRPr="003E4555">
        <w:rPr>
          <w:rFonts w:ascii="Times New Roman" w:hAnsi="Times New Roman"/>
          <w:bCs/>
          <w:sz w:val="24"/>
          <w:lang w:val="en-GB"/>
        </w:rPr>
        <w:t xml:space="preserve">it </w:t>
      </w:r>
      <w:r w:rsidR="00055889" w:rsidRPr="003E4555">
        <w:rPr>
          <w:rFonts w:ascii="Times New Roman" w:hAnsi="Times New Roman"/>
          <w:bCs/>
          <w:sz w:val="24"/>
          <w:lang w:val="en-GB"/>
        </w:rPr>
        <w:t xml:space="preserve">may be </w:t>
      </w:r>
      <w:r w:rsidR="00AB55C8" w:rsidRPr="003E4555">
        <w:rPr>
          <w:rFonts w:ascii="Times New Roman" w:hAnsi="Times New Roman"/>
          <w:bCs/>
          <w:sz w:val="24"/>
          <w:lang w:val="en-GB"/>
        </w:rPr>
        <w:t xml:space="preserve">construed as </w:t>
      </w:r>
      <w:r w:rsidR="00055889" w:rsidRPr="003E4555">
        <w:rPr>
          <w:rFonts w:ascii="Times New Roman" w:hAnsi="Times New Roman"/>
          <w:bCs/>
          <w:sz w:val="24"/>
          <w:lang w:val="en-GB"/>
        </w:rPr>
        <w:t xml:space="preserve">unjustified enrichment or even </w:t>
      </w:r>
      <w:r w:rsidR="00502810" w:rsidRPr="003E4555">
        <w:rPr>
          <w:rFonts w:ascii="Times New Roman" w:hAnsi="Times New Roman"/>
          <w:bCs/>
          <w:sz w:val="24"/>
          <w:lang w:val="en-GB"/>
        </w:rPr>
        <w:t xml:space="preserve">justify an </w:t>
      </w:r>
      <w:r w:rsidR="003D1053" w:rsidRPr="003E4555">
        <w:rPr>
          <w:rFonts w:ascii="Times New Roman" w:hAnsi="Times New Roman"/>
          <w:bCs/>
          <w:sz w:val="24"/>
          <w:lang w:val="en-GB"/>
        </w:rPr>
        <w:t xml:space="preserve">argument </w:t>
      </w:r>
      <w:r w:rsidR="00502810" w:rsidRPr="003E4555">
        <w:rPr>
          <w:rFonts w:ascii="Times New Roman" w:hAnsi="Times New Roman"/>
          <w:bCs/>
          <w:sz w:val="24"/>
          <w:lang w:val="en-GB"/>
        </w:rPr>
        <w:t xml:space="preserve">that such appropriation amount to </w:t>
      </w:r>
      <w:r w:rsidR="003D1053" w:rsidRPr="003E4555">
        <w:rPr>
          <w:rFonts w:ascii="Times New Roman" w:hAnsi="Times New Roman"/>
          <w:bCs/>
          <w:sz w:val="24"/>
          <w:lang w:val="en-GB"/>
        </w:rPr>
        <w:t xml:space="preserve">the </w:t>
      </w:r>
      <w:r w:rsidR="00DA49A3" w:rsidRPr="003E4555">
        <w:rPr>
          <w:rFonts w:ascii="Times New Roman" w:hAnsi="Times New Roman"/>
          <w:bCs/>
          <w:sz w:val="24"/>
          <w:lang w:val="en-GB"/>
        </w:rPr>
        <w:t xml:space="preserve">unjustified </w:t>
      </w:r>
      <w:r w:rsidR="00055889" w:rsidRPr="003E4555">
        <w:rPr>
          <w:rFonts w:ascii="Times New Roman" w:hAnsi="Times New Roman"/>
          <w:bCs/>
          <w:sz w:val="24"/>
          <w:lang w:val="en-GB"/>
        </w:rPr>
        <w:t xml:space="preserve">deprivation of property as envisaged in terms of section 25 of the Constitution. </w:t>
      </w:r>
    </w:p>
    <w:p w14:paraId="11D77A53" w14:textId="46C64978" w:rsidR="00AB55C8" w:rsidRPr="003E4555" w:rsidRDefault="003E4555" w:rsidP="003E4555">
      <w:pPr>
        <w:spacing w:after="480" w:line="480" w:lineRule="auto"/>
        <w:rPr>
          <w:rFonts w:ascii="Times New Roman" w:hAnsi="Times New Roman"/>
          <w:bCs/>
          <w:i/>
          <w:iCs/>
          <w:sz w:val="24"/>
        </w:rPr>
      </w:pPr>
      <w:r w:rsidRPr="00F36B92">
        <w:rPr>
          <w:rFonts w:ascii="Times New Roman" w:hAnsi="Times New Roman"/>
          <w:bCs/>
          <w:iCs/>
          <w:sz w:val="24"/>
        </w:rPr>
        <w:t>[73]</w:t>
      </w:r>
      <w:r w:rsidRPr="00F36B92">
        <w:rPr>
          <w:rFonts w:ascii="Times New Roman" w:hAnsi="Times New Roman"/>
          <w:bCs/>
          <w:iCs/>
          <w:sz w:val="24"/>
        </w:rPr>
        <w:tab/>
      </w:r>
      <w:r w:rsidR="00AB55C8" w:rsidRPr="003E4555">
        <w:rPr>
          <w:rFonts w:ascii="Times New Roman" w:hAnsi="Times New Roman"/>
          <w:bCs/>
          <w:sz w:val="24"/>
          <w:lang w:val="en-GB"/>
        </w:rPr>
        <w:t>It should be noted that if sale of the business takes place as a going concern ‘</w:t>
      </w:r>
      <w:r w:rsidR="00AB55C8" w:rsidRPr="003E4555">
        <w:rPr>
          <w:rFonts w:ascii="Times New Roman" w:hAnsi="Times New Roman"/>
          <w:bCs/>
          <w:i/>
          <w:iCs/>
          <w:sz w:val="24"/>
          <w:lang w:val="en-GB"/>
        </w:rPr>
        <w:t>goodwill must of necessity be one of the assets being purchased’</w:t>
      </w:r>
      <w:r w:rsidR="00AB55C8" w:rsidRPr="003E4555">
        <w:rPr>
          <w:rFonts w:ascii="Times New Roman" w:hAnsi="Times New Roman"/>
          <w:bCs/>
          <w:sz w:val="24"/>
          <w:lang w:val="en-GB"/>
        </w:rPr>
        <w:t>.</w:t>
      </w:r>
      <w:r w:rsidR="00AB55C8">
        <w:rPr>
          <w:rStyle w:val="FootnoteReference"/>
          <w:rFonts w:ascii="Times New Roman" w:hAnsi="Times New Roman"/>
          <w:bCs/>
          <w:sz w:val="24"/>
          <w:lang w:val="en-GB"/>
        </w:rPr>
        <w:footnoteReference w:id="39"/>
      </w:r>
      <w:r w:rsidR="00DF229C" w:rsidRPr="003E4555">
        <w:rPr>
          <w:rFonts w:ascii="Times New Roman" w:hAnsi="Times New Roman"/>
          <w:bCs/>
          <w:i/>
          <w:iCs/>
          <w:sz w:val="24"/>
          <w:lang w:val="en-GB"/>
        </w:rPr>
        <w:t xml:space="preserve"> </w:t>
      </w:r>
    </w:p>
    <w:p w14:paraId="0A062058" w14:textId="27FA1C37" w:rsidR="00524A1F" w:rsidRPr="003E4555" w:rsidRDefault="003E4555" w:rsidP="003E4555">
      <w:pPr>
        <w:spacing w:after="480" w:line="480" w:lineRule="auto"/>
        <w:rPr>
          <w:rFonts w:ascii="Times New Roman" w:hAnsi="Times New Roman"/>
          <w:bCs/>
          <w:i/>
          <w:iCs/>
          <w:sz w:val="24"/>
        </w:rPr>
      </w:pPr>
      <w:r w:rsidRPr="00524A1F">
        <w:rPr>
          <w:rFonts w:ascii="Times New Roman" w:hAnsi="Times New Roman"/>
          <w:bCs/>
          <w:iCs/>
          <w:sz w:val="24"/>
        </w:rPr>
        <w:t>[74]</w:t>
      </w:r>
      <w:r w:rsidRPr="00524A1F">
        <w:rPr>
          <w:rFonts w:ascii="Times New Roman" w:hAnsi="Times New Roman"/>
          <w:bCs/>
          <w:iCs/>
          <w:sz w:val="24"/>
        </w:rPr>
        <w:tab/>
      </w:r>
      <w:r w:rsidR="006B6B6E" w:rsidRPr="003E4555">
        <w:rPr>
          <w:rFonts w:ascii="Times New Roman" w:hAnsi="Times New Roman"/>
          <w:bCs/>
          <w:sz w:val="24"/>
          <w:lang w:val="en-GB"/>
        </w:rPr>
        <w:t xml:space="preserve">It was held in </w:t>
      </w:r>
      <w:r w:rsidR="006B6B6E" w:rsidRPr="003E4555">
        <w:rPr>
          <w:rFonts w:ascii="Times New Roman" w:hAnsi="Times New Roman"/>
          <w:bCs/>
          <w:i/>
          <w:iCs/>
          <w:sz w:val="24"/>
          <w:lang w:val="en-GB"/>
        </w:rPr>
        <w:t>Rissik Street One Stop</w:t>
      </w:r>
      <w:r w:rsidR="003D1053">
        <w:rPr>
          <w:rStyle w:val="FootnoteReference"/>
          <w:rFonts w:ascii="Times New Roman" w:hAnsi="Times New Roman"/>
          <w:bCs/>
          <w:i/>
          <w:iCs/>
          <w:sz w:val="24"/>
          <w:lang w:val="en-GB"/>
        </w:rPr>
        <w:footnoteReference w:id="40"/>
      </w:r>
      <w:r w:rsidR="006B6B6E" w:rsidRPr="003E4555">
        <w:rPr>
          <w:rFonts w:ascii="Times New Roman" w:hAnsi="Times New Roman"/>
          <w:bCs/>
          <w:sz w:val="24"/>
          <w:lang w:val="en-GB"/>
        </w:rPr>
        <w:t xml:space="preserve"> that evicting the operator/dealer prior selling the business may mean that the operator </w:t>
      </w:r>
      <w:r w:rsidR="0052654F" w:rsidRPr="003E4555">
        <w:rPr>
          <w:rFonts w:ascii="Times New Roman" w:hAnsi="Times New Roman"/>
          <w:bCs/>
          <w:sz w:val="24"/>
          <w:lang w:val="en-GB"/>
        </w:rPr>
        <w:t>loses</w:t>
      </w:r>
      <w:r w:rsidR="006B6B6E" w:rsidRPr="003E4555">
        <w:rPr>
          <w:rFonts w:ascii="Times New Roman" w:hAnsi="Times New Roman"/>
          <w:bCs/>
          <w:sz w:val="24"/>
          <w:lang w:val="en-GB"/>
        </w:rPr>
        <w:t xml:space="preserve"> the opportunity to recoup the goodwill </w:t>
      </w:r>
      <w:r w:rsidR="00F551D4" w:rsidRPr="003E4555">
        <w:rPr>
          <w:rFonts w:ascii="Times New Roman" w:hAnsi="Times New Roman"/>
          <w:bCs/>
          <w:sz w:val="24"/>
          <w:lang w:val="en-GB"/>
        </w:rPr>
        <w:t>b</w:t>
      </w:r>
      <w:r w:rsidR="006B6B6E" w:rsidRPr="003E4555">
        <w:rPr>
          <w:rFonts w:ascii="Times New Roman" w:hAnsi="Times New Roman"/>
          <w:bCs/>
          <w:sz w:val="24"/>
          <w:lang w:val="en-GB"/>
        </w:rPr>
        <w:t>uilt up over a period of time</w:t>
      </w:r>
      <w:r w:rsidR="00453759" w:rsidRPr="003E4555">
        <w:rPr>
          <w:rFonts w:ascii="Times New Roman" w:hAnsi="Times New Roman"/>
          <w:bCs/>
          <w:sz w:val="24"/>
          <w:lang w:val="en-GB"/>
        </w:rPr>
        <w:t xml:space="preserve"> and at the same time Franchisor would undully benefit from such entrenched value</w:t>
      </w:r>
      <w:r w:rsidR="006B6B6E" w:rsidRPr="003E4555">
        <w:rPr>
          <w:rFonts w:ascii="Times New Roman" w:hAnsi="Times New Roman"/>
          <w:bCs/>
          <w:sz w:val="24"/>
          <w:lang w:val="en-GB"/>
        </w:rPr>
        <w:t>. Further that this will be inconsistent with transformative objectives of the PPA.</w:t>
      </w:r>
      <w:r w:rsidR="003D1053" w:rsidRPr="003E4555">
        <w:rPr>
          <w:rFonts w:ascii="Times New Roman" w:hAnsi="Times New Roman"/>
          <w:bCs/>
          <w:sz w:val="24"/>
          <w:lang w:val="en-GB"/>
        </w:rPr>
        <w:t xml:space="preserve"> The operato</w:t>
      </w:r>
      <w:r w:rsidR="00AB55C8" w:rsidRPr="003E4555">
        <w:rPr>
          <w:rFonts w:ascii="Times New Roman" w:hAnsi="Times New Roman"/>
          <w:bCs/>
          <w:sz w:val="24"/>
          <w:lang w:val="en-GB"/>
        </w:rPr>
        <w:t>r</w:t>
      </w:r>
      <w:r w:rsidR="003D1053" w:rsidRPr="003E4555">
        <w:rPr>
          <w:rFonts w:ascii="Times New Roman" w:hAnsi="Times New Roman"/>
          <w:bCs/>
          <w:sz w:val="24"/>
          <w:lang w:val="en-GB"/>
        </w:rPr>
        <w:t xml:space="preserve"> in this </w:t>
      </w:r>
      <w:r w:rsidR="00561F57" w:rsidRPr="003E4555">
        <w:rPr>
          <w:rFonts w:ascii="Times New Roman" w:hAnsi="Times New Roman"/>
          <w:bCs/>
          <w:sz w:val="24"/>
          <w:lang w:val="en-GB"/>
        </w:rPr>
        <w:t xml:space="preserve">case </w:t>
      </w:r>
      <w:r w:rsidR="003D1053" w:rsidRPr="003E4555">
        <w:rPr>
          <w:rFonts w:ascii="Times New Roman" w:hAnsi="Times New Roman"/>
          <w:bCs/>
          <w:sz w:val="24"/>
          <w:lang w:val="en-GB"/>
        </w:rPr>
        <w:t>was entitled to 12 months to sell the business once the lessor notified the lessee of the intention not to renew the operating lease</w:t>
      </w:r>
      <w:r w:rsidR="00561F57" w:rsidRPr="003E4555">
        <w:rPr>
          <w:rFonts w:ascii="Times New Roman" w:hAnsi="Times New Roman"/>
          <w:bCs/>
          <w:sz w:val="24"/>
          <w:lang w:val="en-GB"/>
        </w:rPr>
        <w:t xml:space="preserve"> and to this end the said case is distinguishable.</w:t>
      </w:r>
    </w:p>
    <w:p w14:paraId="50E2E6C1" w14:textId="1992C721" w:rsidR="006B6B6E" w:rsidRPr="003E4555" w:rsidRDefault="003E4555" w:rsidP="003E4555">
      <w:pPr>
        <w:spacing w:after="480" w:line="480" w:lineRule="auto"/>
        <w:rPr>
          <w:rFonts w:ascii="Times New Roman" w:hAnsi="Times New Roman"/>
          <w:bCs/>
          <w:i/>
          <w:iCs/>
          <w:sz w:val="24"/>
        </w:rPr>
      </w:pPr>
      <w:r w:rsidRPr="000379AF">
        <w:rPr>
          <w:rFonts w:ascii="Times New Roman" w:hAnsi="Times New Roman"/>
          <w:bCs/>
          <w:iCs/>
          <w:sz w:val="24"/>
        </w:rPr>
        <w:t>[75]</w:t>
      </w:r>
      <w:r w:rsidRPr="000379AF">
        <w:rPr>
          <w:rFonts w:ascii="Times New Roman" w:hAnsi="Times New Roman"/>
          <w:bCs/>
          <w:iCs/>
          <w:sz w:val="24"/>
        </w:rPr>
        <w:tab/>
      </w:r>
      <w:r w:rsidR="00524A1F" w:rsidRPr="003E4555">
        <w:rPr>
          <w:rFonts w:ascii="Times New Roman" w:hAnsi="Times New Roman"/>
          <w:bCs/>
          <w:sz w:val="24"/>
          <w:lang w:val="en-GB"/>
        </w:rPr>
        <w:t>The respondent has not received an offer in terms of clause 34 and any decision regarding sale of the business in this judgment will be presumptuous.</w:t>
      </w:r>
      <w:r w:rsidR="003D1053" w:rsidRPr="003E4555">
        <w:rPr>
          <w:rFonts w:ascii="Times New Roman" w:hAnsi="Times New Roman"/>
          <w:bCs/>
          <w:sz w:val="24"/>
          <w:lang w:val="en-GB"/>
        </w:rPr>
        <w:t xml:space="preserve"> </w:t>
      </w:r>
      <w:r w:rsidR="006B6B6E" w:rsidRPr="003E4555">
        <w:rPr>
          <w:rFonts w:ascii="Times New Roman" w:hAnsi="Times New Roman"/>
          <w:bCs/>
          <w:sz w:val="24"/>
          <w:lang w:val="en-GB"/>
        </w:rPr>
        <w:t xml:space="preserve"> </w:t>
      </w:r>
    </w:p>
    <w:p w14:paraId="66FFDE85" w14:textId="77777777" w:rsidR="000379AF" w:rsidRPr="000379AF" w:rsidRDefault="000379AF" w:rsidP="00750113">
      <w:pPr>
        <w:pStyle w:val="ListParagraph"/>
        <w:spacing w:after="480" w:line="480" w:lineRule="auto"/>
        <w:ind w:left="0" w:firstLine="720"/>
        <w:contextualSpacing w:val="0"/>
        <w:rPr>
          <w:rFonts w:ascii="Times New Roman" w:hAnsi="Times New Roman"/>
          <w:bCs/>
          <w:i/>
          <w:iCs/>
          <w:sz w:val="24"/>
        </w:rPr>
      </w:pPr>
      <w:r w:rsidRPr="000379AF">
        <w:rPr>
          <w:rFonts w:ascii="Times New Roman" w:hAnsi="Times New Roman"/>
          <w:bCs/>
          <w:i/>
          <w:iCs/>
          <w:sz w:val="24"/>
          <w:lang w:val="en-GB"/>
        </w:rPr>
        <w:t>Notice to terminate</w:t>
      </w:r>
    </w:p>
    <w:p w14:paraId="4CA41A37" w14:textId="6CAF06EA" w:rsidR="00050622" w:rsidRPr="003E4555" w:rsidRDefault="003E4555" w:rsidP="003E4555">
      <w:pPr>
        <w:spacing w:after="480" w:line="480" w:lineRule="auto"/>
        <w:rPr>
          <w:rFonts w:ascii="Times New Roman" w:hAnsi="Times New Roman"/>
          <w:bCs/>
          <w:i/>
          <w:iCs/>
          <w:sz w:val="24"/>
        </w:rPr>
      </w:pPr>
      <w:r w:rsidRPr="003A08EB">
        <w:rPr>
          <w:rFonts w:ascii="Times New Roman" w:hAnsi="Times New Roman"/>
          <w:bCs/>
          <w:iCs/>
          <w:sz w:val="24"/>
        </w:rPr>
        <w:lastRenderedPageBreak/>
        <w:t>[76]</w:t>
      </w:r>
      <w:r w:rsidRPr="003A08EB">
        <w:rPr>
          <w:rFonts w:ascii="Times New Roman" w:hAnsi="Times New Roman"/>
          <w:bCs/>
          <w:iCs/>
          <w:sz w:val="24"/>
        </w:rPr>
        <w:tab/>
      </w:r>
      <w:r w:rsidR="000379AF" w:rsidRPr="003E4555">
        <w:rPr>
          <w:rFonts w:ascii="Times New Roman" w:hAnsi="Times New Roman"/>
          <w:bCs/>
          <w:sz w:val="24"/>
          <w:lang w:val="en-GB"/>
        </w:rPr>
        <w:t xml:space="preserve">It is confirmed in </w:t>
      </w:r>
      <w:r w:rsidR="000379AF" w:rsidRPr="003E4555">
        <w:rPr>
          <w:rFonts w:ascii="Times New Roman" w:hAnsi="Times New Roman"/>
          <w:bCs/>
          <w:i/>
          <w:iCs/>
          <w:sz w:val="24"/>
          <w:lang w:val="en-GB"/>
        </w:rPr>
        <w:t>Luanga</w:t>
      </w:r>
      <w:r w:rsidR="000379AF" w:rsidRPr="003E4555">
        <w:rPr>
          <w:rFonts w:ascii="Times New Roman" w:hAnsi="Times New Roman"/>
          <w:bCs/>
          <w:sz w:val="24"/>
          <w:lang w:val="en-GB"/>
        </w:rPr>
        <w:t xml:space="preserve"> judgment</w:t>
      </w:r>
      <w:r w:rsidR="000379AF">
        <w:rPr>
          <w:rStyle w:val="FootnoteReference"/>
          <w:rFonts w:ascii="Times New Roman" w:hAnsi="Times New Roman"/>
          <w:bCs/>
          <w:sz w:val="24"/>
          <w:lang w:val="en-GB"/>
        </w:rPr>
        <w:footnoteReference w:id="41"/>
      </w:r>
      <w:r w:rsidR="000379AF" w:rsidRPr="003E4555">
        <w:rPr>
          <w:rFonts w:ascii="Times New Roman" w:hAnsi="Times New Roman"/>
          <w:bCs/>
          <w:sz w:val="24"/>
          <w:lang w:val="en-GB"/>
        </w:rPr>
        <w:t xml:space="preserve"> that the common law </w:t>
      </w:r>
      <w:r w:rsidR="00AB55C8" w:rsidRPr="003E4555">
        <w:rPr>
          <w:rFonts w:ascii="Times New Roman" w:hAnsi="Times New Roman"/>
          <w:bCs/>
          <w:sz w:val="24"/>
          <w:lang w:val="en-GB"/>
        </w:rPr>
        <w:t xml:space="preserve">states </w:t>
      </w:r>
      <w:r w:rsidR="000379AF" w:rsidRPr="003E4555">
        <w:rPr>
          <w:rFonts w:ascii="Times New Roman" w:hAnsi="Times New Roman"/>
          <w:bCs/>
          <w:sz w:val="24"/>
          <w:lang w:val="en-GB"/>
        </w:rPr>
        <w:t>that ‘</w:t>
      </w:r>
      <w:r w:rsidR="000379AF" w:rsidRPr="003E4555">
        <w:rPr>
          <w:rFonts w:ascii="Times New Roman" w:hAnsi="Times New Roman"/>
          <w:bCs/>
          <w:i/>
          <w:iCs/>
          <w:sz w:val="24"/>
          <w:lang w:val="en-GB"/>
        </w:rPr>
        <w:t>…notice of termination of a monthly lease must run concurrently with a period of the lease and expire at the end of the month.</w:t>
      </w:r>
      <w:r w:rsidR="000379AF" w:rsidRPr="003E4555">
        <w:rPr>
          <w:rFonts w:ascii="Times New Roman" w:hAnsi="Times New Roman"/>
          <w:bCs/>
          <w:sz w:val="24"/>
          <w:lang w:val="en-GB"/>
        </w:rPr>
        <w:t>’</w:t>
      </w:r>
      <w:r w:rsidR="000379AF">
        <w:rPr>
          <w:rStyle w:val="FootnoteReference"/>
          <w:rFonts w:ascii="Times New Roman" w:hAnsi="Times New Roman"/>
          <w:bCs/>
          <w:sz w:val="24"/>
          <w:lang w:val="en-GB"/>
        </w:rPr>
        <w:footnoteReference w:id="42"/>
      </w:r>
      <w:r w:rsidR="000379AF" w:rsidRPr="003E4555">
        <w:rPr>
          <w:rFonts w:ascii="Times New Roman" w:hAnsi="Times New Roman"/>
          <w:bCs/>
          <w:sz w:val="24"/>
          <w:lang w:val="en-GB"/>
        </w:rPr>
        <w:t xml:space="preserve"> </w:t>
      </w:r>
      <w:r w:rsidR="00561F57" w:rsidRPr="003E4555">
        <w:rPr>
          <w:rFonts w:ascii="Times New Roman" w:hAnsi="Times New Roman"/>
          <w:bCs/>
          <w:sz w:val="24"/>
          <w:lang w:val="en-GB"/>
        </w:rPr>
        <w:t>Kerr</w:t>
      </w:r>
      <w:r w:rsidR="00524A1F">
        <w:rPr>
          <w:rStyle w:val="FootnoteReference"/>
          <w:rFonts w:ascii="Times New Roman" w:hAnsi="Times New Roman"/>
          <w:bCs/>
          <w:sz w:val="24"/>
          <w:lang w:val="en-GB"/>
        </w:rPr>
        <w:footnoteReference w:id="43"/>
      </w:r>
      <w:r w:rsidR="00561F57" w:rsidRPr="003E4555">
        <w:rPr>
          <w:rFonts w:ascii="Times New Roman" w:hAnsi="Times New Roman"/>
          <w:bCs/>
          <w:sz w:val="24"/>
          <w:lang w:val="en-GB"/>
        </w:rPr>
        <w:t xml:space="preserve"> had regard to </w:t>
      </w:r>
      <w:r w:rsidR="00524A1F" w:rsidRPr="003E4555">
        <w:rPr>
          <w:rFonts w:ascii="Times New Roman" w:hAnsi="Times New Roman"/>
          <w:bCs/>
          <w:sz w:val="24"/>
          <w:lang w:val="en-GB"/>
        </w:rPr>
        <w:t xml:space="preserve">this issue </w:t>
      </w:r>
      <w:r w:rsidR="00561F57" w:rsidRPr="003E4555">
        <w:rPr>
          <w:rFonts w:ascii="Times New Roman" w:hAnsi="Times New Roman"/>
          <w:bCs/>
          <w:sz w:val="24"/>
          <w:lang w:val="en-GB"/>
        </w:rPr>
        <w:t xml:space="preserve">and concluded that </w:t>
      </w:r>
      <w:r w:rsidR="00E9443B" w:rsidRPr="003E4555">
        <w:rPr>
          <w:rFonts w:ascii="Times New Roman" w:hAnsi="Times New Roman"/>
          <w:bCs/>
          <w:i/>
          <w:iCs/>
          <w:sz w:val="24"/>
          <w:lang w:val="en-GB"/>
        </w:rPr>
        <w:t>‘…if a period of the lease is a calendar month, beginning on the first date of each month, notice given on 12 December to terminate on 12 January is ineffective and so it is notice given on 4 October to terminate on 24 December.’</w:t>
      </w:r>
      <w:r w:rsidR="00E9443B">
        <w:rPr>
          <w:rStyle w:val="FootnoteReference"/>
          <w:rFonts w:ascii="Times New Roman" w:hAnsi="Times New Roman"/>
          <w:bCs/>
          <w:i/>
          <w:iCs/>
          <w:sz w:val="24"/>
          <w:lang w:val="en-GB"/>
        </w:rPr>
        <w:footnoteReference w:id="44"/>
      </w:r>
    </w:p>
    <w:p w14:paraId="66A9370A" w14:textId="31A05805" w:rsidR="003A08EB" w:rsidRPr="003E4555" w:rsidRDefault="003E4555" w:rsidP="003E4555">
      <w:pPr>
        <w:spacing w:after="480" w:line="480" w:lineRule="auto"/>
        <w:rPr>
          <w:rFonts w:ascii="Times New Roman" w:hAnsi="Times New Roman"/>
          <w:bCs/>
          <w:i/>
          <w:iCs/>
          <w:sz w:val="24"/>
        </w:rPr>
      </w:pPr>
      <w:r w:rsidRPr="00561F57">
        <w:rPr>
          <w:rFonts w:ascii="Times New Roman" w:hAnsi="Times New Roman"/>
          <w:bCs/>
          <w:iCs/>
          <w:sz w:val="24"/>
        </w:rPr>
        <w:t>[77]</w:t>
      </w:r>
      <w:r w:rsidRPr="00561F57">
        <w:rPr>
          <w:rFonts w:ascii="Times New Roman" w:hAnsi="Times New Roman"/>
          <w:bCs/>
          <w:iCs/>
          <w:sz w:val="24"/>
        </w:rPr>
        <w:tab/>
      </w:r>
      <w:r w:rsidR="003A08EB" w:rsidRPr="003E4555">
        <w:rPr>
          <w:rFonts w:ascii="Times New Roman" w:hAnsi="Times New Roman"/>
          <w:bCs/>
          <w:sz w:val="24"/>
          <w:lang w:val="en-GB"/>
        </w:rPr>
        <w:t>The applicant contend</w:t>
      </w:r>
      <w:r w:rsidR="00DA49A3" w:rsidRPr="003E4555">
        <w:rPr>
          <w:rFonts w:ascii="Times New Roman" w:hAnsi="Times New Roman"/>
          <w:bCs/>
          <w:sz w:val="24"/>
          <w:lang w:val="en-GB"/>
        </w:rPr>
        <w:t>s</w:t>
      </w:r>
      <w:r w:rsidR="003A08EB" w:rsidRPr="003E4555">
        <w:rPr>
          <w:rFonts w:ascii="Times New Roman" w:hAnsi="Times New Roman"/>
          <w:bCs/>
          <w:sz w:val="24"/>
          <w:lang w:val="en-GB"/>
        </w:rPr>
        <w:t xml:space="preserve"> that there could be several interpretation</w:t>
      </w:r>
      <w:r w:rsidR="00524A1F" w:rsidRPr="003E4555">
        <w:rPr>
          <w:rFonts w:ascii="Times New Roman" w:hAnsi="Times New Roman"/>
          <w:bCs/>
          <w:sz w:val="24"/>
          <w:lang w:val="en-GB"/>
        </w:rPr>
        <w:t>s</w:t>
      </w:r>
      <w:r w:rsidR="003A08EB" w:rsidRPr="003E4555">
        <w:rPr>
          <w:rFonts w:ascii="Times New Roman" w:hAnsi="Times New Roman"/>
          <w:bCs/>
          <w:sz w:val="24"/>
          <w:lang w:val="en-GB"/>
        </w:rPr>
        <w:t xml:space="preserve"> but failed to advance a persuasive argument why its chosen </w:t>
      </w:r>
      <w:r w:rsidR="00524A1F" w:rsidRPr="003E4555">
        <w:rPr>
          <w:rFonts w:ascii="Times New Roman" w:hAnsi="Times New Roman"/>
          <w:bCs/>
          <w:sz w:val="24"/>
          <w:lang w:val="en-GB"/>
        </w:rPr>
        <w:t xml:space="preserve">interpretation </w:t>
      </w:r>
      <w:r w:rsidR="003A08EB" w:rsidRPr="003E4555">
        <w:rPr>
          <w:rFonts w:ascii="Times New Roman" w:hAnsi="Times New Roman"/>
          <w:bCs/>
          <w:sz w:val="24"/>
          <w:lang w:val="en-GB"/>
        </w:rPr>
        <w:t>should override the other</w:t>
      </w:r>
      <w:r w:rsidR="00524A1F" w:rsidRPr="003E4555">
        <w:rPr>
          <w:rFonts w:ascii="Times New Roman" w:hAnsi="Times New Roman"/>
          <w:bCs/>
          <w:sz w:val="24"/>
          <w:lang w:val="en-GB"/>
        </w:rPr>
        <w:t>(</w:t>
      </w:r>
      <w:r w:rsidR="003A08EB" w:rsidRPr="003E4555">
        <w:rPr>
          <w:rFonts w:ascii="Times New Roman" w:hAnsi="Times New Roman"/>
          <w:bCs/>
          <w:sz w:val="24"/>
          <w:lang w:val="en-GB"/>
        </w:rPr>
        <w:t>s</w:t>
      </w:r>
      <w:r w:rsidR="00524A1F" w:rsidRPr="003E4555">
        <w:rPr>
          <w:rFonts w:ascii="Times New Roman" w:hAnsi="Times New Roman"/>
          <w:bCs/>
          <w:sz w:val="24"/>
          <w:lang w:val="en-GB"/>
        </w:rPr>
        <w:t>)</w:t>
      </w:r>
      <w:r w:rsidR="003A08EB" w:rsidRPr="003E4555">
        <w:rPr>
          <w:rFonts w:ascii="Times New Roman" w:hAnsi="Times New Roman"/>
          <w:bCs/>
          <w:sz w:val="24"/>
          <w:lang w:val="en-GB"/>
        </w:rPr>
        <w:t xml:space="preserve">. From the agreement it appears that the agreement started on 1 January 2015, and four and half years would have ended on 1 June 2019 and fifth year would have ended on 31 December 2019.  The letter dated </w:t>
      </w:r>
      <w:r w:rsidR="00A45267" w:rsidRPr="003E4555">
        <w:rPr>
          <w:rFonts w:ascii="Times New Roman" w:hAnsi="Times New Roman"/>
          <w:bCs/>
          <w:sz w:val="24"/>
          <w:lang w:val="en-GB"/>
        </w:rPr>
        <w:t>4 February 2020</w:t>
      </w:r>
      <w:r w:rsidR="003A08EB" w:rsidRPr="003E4555">
        <w:rPr>
          <w:rFonts w:ascii="Times New Roman" w:hAnsi="Times New Roman"/>
          <w:bCs/>
          <w:sz w:val="24"/>
          <w:lang w:val="en-GB"/>
        </w:rPr>
        <w:t xml:space="preserve"> reminded the respondent that the agreement was on a </w:t>
      </w:r>
      <w:r w:rsidR="00487A1D" w:rsidRPr="003E4555">
        <w:rPr>
          <w:rFonts w:ascii="Times New Roman" w:hAnsi="Times New Roman"/>
          <w:bCs/>
          <w:sz w:val="24"/>
          <w:lang w:val="en-GB"/>
        </w:rPr>
        <w:t>month-to-month</w:t>
      </w:r>
      <w:r w:rsidR="003A08EB" w:rsidRPr="003E4555">
        <w:rPr>
          <w:rFonts w:ascii="Times New Roman" w:hAnsi="Times New Roman"/>
          <w:bCs/>
          <w:sz w:val="24"/>
          <w:lang w:val="en-GB"/>
        </w:rPr>
        <w:t xml:space="preserve"> basis without stating that a month would hence forth </w:t>
      </w:r>
      <w:r w:rsidR="00561F57" w:rsidRPr="003E4555">
        <w:rPr>
          <w:rFonts w:ascii="Times New Roman" w:hAnsi="Times New Roman"/>
          <w:bCs/>
          <w:sz w:val="24"/>
          <w:lang w:val="en-GB"/>
        </w:rPr>
        <w:t xml:space="preserve">commence </w:t>
      </w:r>
      <w:r w:rsidR="003A08EB" w:rsidRPr="003E4555">
        <w:rPr>
          <w:rFonts w:ascii="Times New Roman" w:hAnsi="Times New Roman"/>
          <w:bCs/>
          <w:sz w:val="24"/>
          <w:lang w:val="en-GB"/>
        </w:rPr>
        <w:t>on the 11</w:t>
      </w:r>
      <w:r w:rsidR="003A08EB" w:rsidRPr="003E4555">
        <w:rPr>
          <w:rFonts w:ascii="Times New Roman" w:hAnsi="Times New Roman"/>
          <w:bCs/>
          <w:sz w:val="24"/>
          <w:vertAlign w:val="superscript"/>
          <w:lang w:val="en-GB"/>
        </w:rPr>
        <w:t>th</w:t>
      </w:r>
      <w:r w:rsidR="003A08EB" w:rsidRPr="003E4555">
        <w:rPr>
          <w:rFonts w:ascii="Times New Roman" w:hAnsi="Times New Roman"/>
          <w:bCs/>
          <w:sz w:val="24"/>
          <w:lang w:val="en-GB"/>
        </w:rPr>
        <w:t xml:space="preserve"> of each month. There is no evidence which </w:t>
      </w:r>
      <w:r w:rsidR="00DA49A3" w:rsidRPr="003E4555">
        <w:rPr>
          <w:rFonts w:ascii="Times New Roman" w:hAnsi="Times New Roman"/>
          <w:bCs/>
          <w:sz w:val="24"/>
          <w:lang w:val="en-GB"/>
        </w:rPr>
        <w:t>buttress the assertion</w:t>
      </w:r>
      <w:r w:rsidR="003A08EB" w:rsidRPr="003E4555">
        <w:rPr>
          <w:rFonts w:ascii="Times New Roman" w:hAnsi="Times New Roman"/>
          <w:bCs/>
          <w:sz w:val="24"/>
          <w:lang w:val="en-GB"/>
        </w:rPr>
        <w:t xml:space="preserve"> that </w:t>
      </w:r>
      <w:r w:rsidR="004E035A" w:rsidRPr="003E4555">
        <w:rPr>
          <w:rFonts w:ascii="Times New Roman" w:hAnsi="Times New Roman"/>
          <w:bCs/>
          <w:sz w:val="24"/>
          <w:lang w:val="en-GB"/>
        </w:rPr>
        <w:t xml:space="preserve">a month would have started on any date except the first day of the month. </w:t>
      </w:r>
      <w:r w:rsidR="00561F57" w:rsidRPr="003E4555">
        <w:rPr>
          <w:rFonts w:ascii="Times New Roman" w:hAnsi="Times New Roman"/>
          <w:bCs/>
          <w:sz w:val="24"/>
          <w:lang w:val="en-GB"/>
        </w:rPr>
        <w:t xml:space="preserve">It must also be noted </w:t>
      </w:r>
      <w:r w:rsidR="004E035A" w:rsidRPr="003E4555">
        <w:rPr>
          <w:rFonts w:ascii="Times New Roman" w:hAnsi="Times New Roman"/>
          <w:bCs/>
          <w:sz w:val="24"/>
          <w:lang w:val="en-GB"/>
        </w:rPr>
        <w:t>that the first day of the month is a specific date</w:t>
      </w:r>
      <w:r w:rsidR="00561F57" w:rsidRPr="003E4555">
        <w:rPr>
          <w:rFonts w:ascii="Times New Roman" w:hAnsi="Times New Roman"/>
          <w:bCs/>
          <w:sz w:val="24"/>
          <w:lang w:val="en-GB"/>
        </w:rPr>
        <w:t xml:space="preserve"> and </w:t>
      </w:r>
      <w:r w:rsidR="00DA49A3" w:rsidRPr="003E4555">
        <w:rPr>
          <w:rFonts w:ascii="Times New Roman" w:hAnsi="Times New Roman"/>
          <w:bCs/>
          <w:sz w:val="24"/>
          <w:lang w:val="en-GB"/>
        </w:rPr>
        <w:t>‘</w:t>
      </w:r>
      <w:r w:rsidR="00DA49A3" w:rsidRPr="003E4555">
        <w:rPr>
          <w:rFonts w:ascii="Times New Roman" w:hAnsi="Times New Roman"/>
          <w:bCs/>
          <w:i/>
          <w:iCs/>
          <w:sz w:val="24"/>
          <w:lang w:val="en-GB"/>
        </w:rPr>
        <w:t>a specific date’</w:t>
      </w:r>
      <w:r w:rsidR="00DA49A3" w:rsidRPr="003E4555">
        <w:rPr>
          <w:rFonts w:ascii="Times New Roman" w:hAnsi="Times New Roman"/>
          <w:bCs/>
          <w:sz w:val="24"/>
          <w:lang w:val="en-GB"/>
        </w:rPr>
        <w:t xml:space="preserve"> </w:t>
      </w:r>
      <w:r w:rsidR="00561F57" w:rsidRPr="003E4555">
        <w:rPr>
          <w:rFonts w:ascii="Times New Roman" w:hAnsi="Times New Roman"/>
          <w:bCs/>
          <w:sz w:val="24"/>
          <w:lang w:val="en-GB"/>
        </w:rPr>
        <w:t xml:space="preserve">cannot exclusively </w:t>
      </w:r>
      <w:r w:rsidR="00DA49A3" w:rsidRPr="003E4555">
        <w:rPr>
          <w:rFonts w:ascii="Times New Roman" w:hAnsi="Times New Roman"/>
          <w:bCs/>
          <w:sz w:val="24"/>
          <w:lang w:val="en-GB"/>
        </w:rPr>
        <w:t xml:space="preserve">mean </w:t>
      </w:r>
      <w:r w:rsidR="00561F57" w:rsidRPr="003E4555">
        <w:rPr>
          <w:rFonts w:ascii="Times New Roman" w:hAnsi="Times New Roman"/>
          <w:bCs/>
          <w:sz w:val="24"/>
          <w:lang w:val="en-GB"/>
        </w:rPr>
        <w:t>any other day as argued by the applicant</w:t>
      </w:r>
      <w:r w:rsidR="004E035A" w:rsidRPr="003E4555">
        <w:rPr>
          <w:rFonts w:ascii="Times New Roman" w:hAnsi="Times New Roman"/>
          <w:bCs/>
          <w:sz w:val="24"/>
          <w:lang w:val="en-GB"/>
        </w:rPr>
        <w:t>. In the premises a notice issued on 11 June 2021 should have been effective from 1 July until 31 December 2021 without which it was then ineffective.</w:t>
      </w:r>
      <w:r w:rsidR="00C81EC8" w:rsidRPr="003E4555">
        <w:rPr>
          <w:rFonts w:ascii="Times New Roman" w:hAnsi="Times New Roman"/>
          <w:bCs/>
          <w:sz w:val="24"/>
          <w:lang w:val="en-GB"/>
        </w:rPr>
        <w:t xml:space="preserve"> ‘</w:t>
      </w:r>
      <w:r w:rsidR="00C81EC8" w:rsidRPr="003E4555">
        <w:rPr>
          <w:rFonts w:ascii="Times New Roman" w:hAnsi="Times New Roman"/>
          <w:bCs/>
          <w:i/>
          <w:iCs/>
          <w:sz w:val="24"/>
          <w:lang w:val="en-GB"/>
        </w:rPr>
        <w:t xml:space="preserve">If it is given after the first day, the lease will only expire at the </w:t>
      </w:r>
      <w:r w:rsidR="00A45267" w:rsidRPr="003E4555">
        <w:rPr>
          <w:rFonts w:ascii="Times New Roman" w:hAnsi="Times New Roman"/>
          <w:bCs/>
          <w:i/>
          <w:iCs/>
          <w:sz w:val="24"/>
          <w:lang w:val="en-GB"/>
        </w:rPr>
        <w:t xml:space="preserve">end </w:t>
      </w:r>
      <w:r w:rsidR="00C81EC8" w:rsidRPr="003E4555">
        <w:rPr>
          <w:rFonts w:ascii="Times New Roman" w:hAnsi="Times New Roman"/>
          <w:bCs/>
          <w:i/>
          <w:iCs/>
          <w:sz w:val="24"/>
          <w:lang w:val="en-GB"/>
        </w:rPr>
        <w:t>of the following month’.</w:t>
      </w:r>
      <w:r w:rsidR="00C81EC8">
        <w:rPr>
          <w:rStyle w:val="FootnoteReference"/>
          <w:rFonts w:ascii="Times New Roman" w:hAnsi="Times New Roman"/>
          <w:bCs/>
          <w:i/>
          <w:iCs/>
          <w:sz w:val="24"/>
          <w:lang w:val="en-GB"/>
        </w:rPr>
        <w:footnoteReference w:id="45"/>
      </w:r>
      <w:r w:rsidR="00A45267" w:rsidRPr="003E4555">
        <w:rPr>
          <w:rFonts w:ascii="Times New Roman" w:hAnsi="Times New Roman"/>
          <w:bCs/>
          <w:i/>
          <w:iCs/>
          <w:sz w:val="24"/>
          <w:lang w:val="en-GB"/>
        </w:rPr>
        <w:t xml:space="preserve"> </w:t>
      </w:r>
      <w:r w:rsidR="00A45267" w:rsidRPr="003E4555">
        <w:rPr>
          <w:rFonts w:ascii="Times New Roman" w:hAnsi="Times New Roman"/>
          <w:bCs/>
          <w:sz w:val="24"/>
          <w:lang w:val="en-GB"/>
        </w:rPr>
        <w:t xml:space="preserve">It therefore follows that the notice to vacate on 10 December 2021 is ineffective and it </w:t>
      </w:r>
      <w:r w:rsidR="00DA49A3" w:rsidRPr="003E4555">
        <w:rPr>
          <w:rFonts w:ascii="Times New Roman" w:hAnsi="Times New Roman"/>
          <w:bCs/>
          <w:sz w:val="24"/>
          <w:lang w:val="en-GB"/>
        </w:rPr>
        <w:t xml:space="preserve">further </w:t>
      </w:r>
      <w:r w:rsidR="00A45267" w:rsidRPr="003E4555">
        <w:rPr>
          <w:rFonts w:ascii="Times New Roman" w:hAnsi="Times New Roman"/>
          <w:bCs/>
          <w:sz w:val="24"/>
          <w:lang w:val="en-GB"/>
        </w:rPr>
        <w:t xml:space="preserve">follows </w:t>
      </w:r>
      <w:r w:rsidR="00DA49A3" w:rsidRPr="003E4555">
        <w:rPr>
          <w:rFonts w:ascii="Times New Roman" w:hAnsi="Times New Roman"/>
          <w:bCs/>
          <w:sz w:val="24"/>
          <w:lang w:val="en-GB"/>
        </w:rPr>
        <w:t xml:space="preserve">therefore </w:t>
      </w:r>
      <w:r w:rsidR="00A45267" w:rsidRPr="003E4555">
        <w:rPr>
          <w:rFonts w:ascii="Times New Roman" w:hAnsi="Times New Roman"/>
          <w:bCs/>
          <w:sz w:val="24"/>
          <w:lang w:val="en-GB"/>
        </w:rPr>
        <w:t>that the relief for a declarator is bound to fail.</w:t>
      </w:r>
      <w:r w:rsidR="00DA3FD1" w:rsidRPr="003E4555">
        <w:rPr>
          <w:rFonts w:ascii="Times New Roman" w:hAnsi="Times New Roman"/>
          <w:bCs/>
          <w:sz w:val="24"/>
          <w:lang w:val="en-GB"/>
        </w:rPr>
        <w:t xml:space="preserve"> Ay other interpretation may fall foul of the common law principle </w:t>
      </w:r>
      <w:r w:rsidR="00DA3FD1" w:rsidRPr="003E4555">
        <w:rPr>
          <w:rFonts w:ascii="Times New Roman" w:hAnsi="Times New Roman"/>
          <w:bCs/>
          <w:sz w:val="24"/>
        </w:rPr>
        <w:t xml:space="preserve">relating to integration rule in terms of which </w:t>
      </w:r>
      <w:r w:rsidR="00DA3FD1" w:rsidRPr="003E4555">
        <w:rPr>
          <w:rFonts w:ascii="Times New Roman" w:hAnsi="Times New Roman"/>
          <w:bCs/>
          <w:i/>
          <w:iCs/>
          <w:sz w:val="24"/>
        </w:rPr>
        <w:t xml:space="preserve">“[I]f a document was intended to provide a complete </w:t>
      </w:r>
      <w:r w:rsidR="00DA3FD1" w:rsidRPr="003E4555">
        <w:rPr>
          <w:rFonts w:ascii="Times New Roman" w:hAnsi="Times New Roman"/>
          <w:bCs/>
          <w:i/>
          <w:iCs/>
          <w:sz w:val="24"/>
        </w:rPr>
        <w:lastRenderedPageBreak/>
        <w:t>memorial of a jural act, extrinsic evidence may not be contradict, add or modify its meaning…”.</w:t>
      </w:r>
      <w:r w:rsidR="00DA3FD1">
        <w:rPr>
          <w:rStyle w:val="FootnoteReference"/>
          <w:rFonts w:ascii="Times New Roman" w:hAnsi="Times New Roman"/>
          <w:bCs/>
          <w:i/>
          <w:iCs/>
          <w:sz w:val="24"/>
        </w:rPr>
        <w:footnoteReference w:id="46"/>
      </w:r>
      <w:r w:rsidR="00524A1F" w:rsidRPr="003E4555">
        <w:rPr>
          <w:rFonts w:ascii="Times New Roman" w:hAnsi="Times New Roman"/>
          <w:bCs/>
          <w:i/>
          <w:iCs/>
          <w:sz w:val="24"/>
        </w:rPr>
        <w:t xml:space="preserve"> </w:t>
      </w:r>
      <w:r w:rsidR="00524A1F" w:rsidRPr="003E4555">
        <w:rPr>
          <w:rFonts w:ascii="Times New Roman" w:hAnsi="Times New Roman"/>
          <w:bCs/>
          <w:sz w:val="24"/>
        </w:rPr>
        <w:t>Any attempt to extrapolate some interpretation from elsewhere or being ingenious should be discouraged.</w:t>
      </w:r>
    </w:p>
    <w:p w14:paraId="71FA8DE8" w14:textId="79058A8F" w:rsidR="00561F57" w:rsidRPr="003E4555" w:rsidRDefault="003E4555" w:rsidP="003E4555">
      <w:pPr>
        <w:spacing w:after="480" w:line="480" w:lineRule="auto"/>
        <w:rPr>
          <w:rFonts w:ascii="Times New Roman" w:hAnsi="Times New Roman"/>
          <w:bCs/>
          <w:i/>
          <w:iCs/>
          <w:sz w:val="24"/>
        </w:rPr>
      </w:pPr>
      <w:r w:rsidRPr="004E035A">
        <w:rPr>
          <w:rFonts w:ascii="Times New Roman" w:hAnsi="Times New Roman"/>
          <w:bCs/>
          <w:iCs/>
          <w:sz w:val="24"/>
        </w:rPr>
        <w:t>[78]</w:t>
      </w:r>
      <w:r w:rsidRPr="004E035A">
        <w:rPr>
          <w:rFonts w:ascii="Times New Roman" w:hAnsi="Times New Roman"/>
          <w:bCs/>
          <w:iCs/>
          <w:sz w:val="24"/>
        </w:rPr>
        <w:tab/>
      </w:r>
      <w:r w:rsidR="00561F57" w:rsidRPr="003E4555">
        <w:rPr>
          <w:rFonts w:ascii="Times New Roman" w:hAnsi="Times New Roman"/>
          <w:bCs/>
          <w:sz w:val="24"/>
          <w:lang w:val="en-GB"/>
        </w:rPr>
        <w:t>O</w:t>
      </w:r>
      <w:r w:rsidR="00DA3FD1" w:rsidRPr="003E4555">
        <w:rPr>
          <w:rFonts w:ascii="Times New Roman" w:hAnsi="Times New Roman"/>
          <w:bCs/>
          <w:sz w:val="24"/>
          <w:lang w:val="en-GB"/>
        </w:rPr>
        <w:t>n</w:t>
      </w:r>
      <w:r w:rsidR="00561F57" w:rsidRPr="003E4555">
        <w:rPr>
          <w:rFonts w:ascii="Times New Roman" w:hAnsi="Times New Roman"/>
          <w:bCs/>
          <w:sz w:val="24"/>
          <w:lang w:val="en-GB"/>
        </w:rPr>
        <w:t>e may be tempted to conclude that the 11 days should be discounted since the respondent has been on the leased pr</w:t>
      </w:r>
      <w:r w:rsidR="00524A1F" w:rsidRPr="003E4555">
        <w:rPr>
          <w:rFonts w:ascii="Times New Roman" w:hAnsi="Times New Roman"/>
          <w:bCs/>
          <w:sz w:val="24"/>
          <w:lang w:val="en-GB"/>
        </w:rPr>
        <w:t xml:space="preserve">emises </w:t>
      </w:r>
      <w:r w:rsidR="00561F57" w:rsidRPr="003E4555">
        <w:rPr>
          <w:rFonts w:ascii="Times New Roman" w:hAnsi="Times New Roman"/>
          <w:bCs/>
          <w:sz w:val="24"/>
          <w:lang w:val="en-GB"/>
        </w:rPr>
        <w:t>for an extended period since the said termination.</w:t>
      </w:r>
      <w:r w:rsidR="004476FB" w:rsidRPr="003E4555">
        <w:rPr>
          <w:rFonts w:ascii="Times New Roman" w:hAnsi="Times New Roman"/>
          <w:bCs/>
          <w:sz w:val="24"/>
          <w:lang w:val="en-GB"/>
        </w:rPr>
        <w:t xml:space="preserve"> This was not raised by the parties at all or comprehensively</w:t>
      </w:r>
      <w:r w:rsidR="00524A1F" w:rsidRPr="003E4555">
        <w:rPr>
          <w:rFonts w:ascii="Times New Roman" w:hAnsi="Times New Roman"/>
          <w:bCs/>
          <w:sz w:val="24"/>
          <w:lang w:val="en-GB"/>
        </w:rPr>
        <w:t>,</w:t>
      </w:r>
      <w:r w:rsidR="004476FB" w:rsidRPr="003E4555">
        <w:rPr>
          <w:rFonts w:ascii="Times New Roman" w:hAnsi="Times New Roman"/>
          <w:bCs/>
          <w:sz w:val="24"/>
          <w:lang w:val="en-GB"/>
        </w:rPr>
        <w:t xml:space="preserve"> if any. Having to comply with the common law principle of </w:t>
      </w:r>
      <w:r w:rsidR="004476FB" w:rsidRPr="003E4555">
        <w:rPr>
          <w:rFonts w:ascii="Times New Roman" w:hAnsi="Times New Roman"/>
          <w:bCs/>
          <w:i/>
          <w:iCs/>
          <w:sz w:val="24"/>
          <w:lang w:val="en-GB"/>
        </w:rPr>
        <w:t>pacta sunt servanda</w:t>
      </w:r>
      <w:r w:rsidR="00DA49A3" w:rsidRPr="003E4555">
        <w:rPr>
          <w:rFonts w:ascii="Times New Roman" w:hAnsi="Times New Roman"/>
          <w:bCs/>
          <w:i/>
          <w:iCs/>
          <w:sz w:val="24"/>
          <w:lang w:val="en-GB"/>
        </w:rPr>
        <w:t>,</w:t>
      </w:r>
      <w:r w:rsidR="004476FB" w:rsidRPr="003E4555">
        <w:rPr>
          <w:rFonts w:ascii="Times New Roman" w:hAnsi="Times New Roman"/>
          <w:bCs/>
          <w:sz w:val="24"/>
          <w:lang w:val="en-GB"/>
        </w:rPr>
        <w:t xml:space="preserve"> </w:t>
      </w:r>
      <w:r w:rsidR="00DA49A3" w:rsidRPr="003E4555">
        <w:rPr>
          <w:rFonts w:ascii="Times New Roman" w:hAnsi="Times New Roman"/>
          <w:bCs/>
          <w:sz w:val="24"/>
          <w:lang w:val="en-GB"/>
        </w:rPr>
        <w:t xml:space="preserve">which is </w:t>
      </w:r>
      <w:r w:rsidR="004476FB" w:rsidRPr="003E4555">
        <w:rPr>
          <w:rFonts w:ascii="Times New Roman" w:hAnsi="Times New Roman"/>
          <w:bCs/>
          <w:sz w:val="24"/>
          <w:lang w:val="en-GB"/>
        </w:rPr>
        <w:t>also espoused by the applicant</w:t>
      </w:r>
      <w:r w:rsidR="00DA49A3" w:rsidRPr="003E4555">
        <w:rPr>
          <w:rFonts w:ascii="Times New Roman" w:hAnsi="Times New Roman"/>
          <w:bCs/>
          <w:sz w:val="24"/>
          <w:lang w:val="en-GB"/>
        </w:rPr>
        <w:t>,</w:t>
      </w:r>
      <w:r w:rsidR="004476FB" w:rsidRPr="003E4555">
        <w:rPr>
          <w:rFonts w:ascii="Times New Roman" w:hAnsi="Times New Roman"/>
          <w:bCs/>
          <w:sz w:val="24"/>
          <w:lang w:val="en-GB"/>
        </w:rPr>
        <w:t xml:space="preserve"> compliance with the letter of the agreement is paramount</w:t>
      </w:r>
      <w:r w:rsidR="00524A1F" w:rsidRPr="003E4555">
        <w:rPr>
          <w:rFonts w:ascii="Times New Roman" w:hAnsi="Times New Roman"/>
          <w:bCs/>
          <w:sz w:val="24"/>
          <w:lang w:val="en-GB"/>
        </w:rPr>
        <w:t xml:space="preserve"> and the argument to discount the 11 days </w:t>
      </w:r>
      <w:r w:rsidR="00DA49A3" w:rsidRPr="003E4555">
        <w:rPr>
          <w:rFonts w:ascii="Times New Roman" w:hAnsi="Times New Roman"/>
          <w:bCs/>
          <w:sz w:val="24"/>
          <w:lang w:val="en-GB"/>
        </w:rPr>
        <w:t xml:space="preserve">finds </w:t>
      </w:r>
      <w:r w:rsidR="00524A1F" w:rsidRPr="003E4555">
        <w:rPr>
          <w:rFonts w:ascii="Times New Roman" w:hAnsi="Times New Roman"/>
          <w:bCs/>
          <w:sz w:val="24"/>
          <w:lang w:val="en-GB"/>
        </w:rPr>
        <w:t>no foundation in the jurisprudence of the law of contract</w:t>
      </w:r>
      <w:r w:rsidR="004476FB" w:rsidRPr="003E4555">
        <w:rPr>
          <w:rFonts w:ascii="Times New Roman" w:hAnsi="Times New Roman"/>
          <w:bCs/>
          <w:sz w:val="24"/>
          <w:lang w:val="en-GB"/>
        </w:rPr>
        <w:t xml:space="preserve">. </w:t>
      </w:r>
    </w:p>
    <w:p w14:paraId="3F43C641" w14:textId="3459CA17" w:rsidR="004476FB" w:rsidRPr="003E4555" w:rsidRDefault="003E4555" w:rsidP="003E4555">
      <w:pPr>
        <w:spacing w:after="480" w:line="480" w:lineRule="auto"/>
        <w:rPr>
          <w:rFonts w:ascii="Times New Roman" w:hAnsi="Times New Roman"/>
          <w:bCs/>
          <w:i/>
          <w:iCs/>
          <w:sz w:val="24"/>
        </w:rPr>
      </w:pPr>
      <w:r w:rsidRPr="00156E0C">
        <w:rPr>
          <w:rFonts w:ascii="Times New Roman" w:hAnsi="Times New Roman"/>
          <w:bCs/>
          <w:iCs/>
          <w:sz w:val="24"/>
        </w:rPr>
        <w:t>[79]</w:t>
      </w:r>
      <w:r w:rsidRPr="00156E0C">
        <w:rPr>
          <w:rFonts w:ascii="Times New Roman" w:hAnsi="Times New Roman"/>
          <w:bCs/>
          <w:iCs/>
          <w:sz w:val="24"/>
        </w:rPr>
        <w:tab/>
      </w:r>
      <w:r w:rsidR="004476FB" w:rsidRPr="003E4555">
        <w:rPr>
          <w:rFonts w:ascii="Times New Roman" w:hAnsi="Times New Roman"/>
          <w:bCs/>
          <w:sz w:val="24"/>
        </w:rPr>
        <w:t>Having regard to the finding as stated below all other issues raised by the parties need not detain me further.</w:t>
      </w:r>
    </w:p>
    <w:p w14:paraId="435567CB" w14:textId="77777777" w:rsidR="00156E0C" w:rsidRPr="0052654F" w:rsidRDefault="00156E0C" w:rsidP="0052654F">
      <w:pPr>
        <w:pStyle w:val="ListParagraph"/>
        <w:spacing w:after="480" w:line="480" w:lineRule="auto"/>
        <w:ind w:left="0"/>
        <w:contextualSpacing w:val="0"/>
        <w:rPr>
          <w:rFonts w:ascii="Times New Roman" w:hAnsi="Times New Roman"/>
          <w:bCs/>
          <w:i/>
          <w:iCs/>
          <w:sz w:val="24"/>
        </w:rPr>
      </w:pPr>
      <w:r w:rsidRPr="0052654F">
        <w:rPr>
          <w:rFonts w:ascii="Times New Roman" w:hAnsi="Times New Roman"/>
          <w:bCs/>
          <w:i/>
          <w:iCs/>
          <w:sz w:val="24"/>
        </w:rPr>
        <w:t>Conclusion</w:t>
      </w:r>
    </w:p>
    <w:p w14:paraId="330B5E71" w14:textId="2E814847" w:rsidR="00156E0C" w:rsidRPr="003E4555" w:rsidRDefault="003E4555" w:rsidP="003E4555">
      <w:pPr>
        <w:spacing w:after="480" w:line="480" w:lineRule="auto"/>
        <w:rPr>
          <w:rFonts w:ascii="Times New Roman" w:hAnsi="Times New Roman"/>
          <w:bCs/>
          <w:i/>
          <w:iCs/>
          <w:sz w:val="24"/>
        </w:rPr>
      </w:pPr>
      <w:r w:rsidRPr="00156E0C">
        <w:rPr>
          <w:rFonts w:ascii="Times New Roman" w:hAnsi="Times New Roman"/>
          <w:bCs/>
          <w:iCs/>
          <w:sz w:val="24"/>
        </w:rPr>
        <w:t>[80]</w:t>
      </w:r>
      <w:r w:rsidRPr="00156E0C">
        <w:rPr>
          <w:rFonts w:ascii="Times New Roman" w:hAnsi="Times New Roman"/>
          <w:bCs/>
          <w:iCs/>
          <w:sz w:val="24"/>
        </w:rPr>
        <w:tab/>
      </w:r>
      <w:r w:rsidR="00156E0C" w:rsidRPr="003E4555">
        <w:rPr>
          <w:rFonts w:ascii="Times New Roman" w:hAnsi="Times New Roman"/>
          <w:bCs/>
          <w:sz w:val="24"/>
        </w:rPr>
        <w:t xml:space="preserve">The authorities referred to above do not support the interpretation of the notice date as advanced by the applicant instead it is clearly demonstrated that the notice </w:t>
      </w:r>
      <w:r w:rsidR="00524A1F" w:rsidRPr="003E4555">
        <w:rPr>
          <w:rFonts w:ascii="Times New Roman" w:hAnsi="Times New Roman"/>
          <w:bCs/>
          <w:sz w:val="24"/>
        </w:rPr>
        <w:t>c</w:t>
      </w:r>
      <w:r w:rsidR="00156E0C" w:rsidRPr="003E4555">
        <w:rPr>
          <w:rFonts w:ascii="Times New Roman" w:hAnsi="Times New Roman"/>
          <w:bCs/>
          <w:sz w:val="24"/>
        </w:rPr>
        <w:t>rafted by the applicant is ineffective. To this end the lease agreement between the parties is not terminated.</w:t>
      </w:r>
    </w:p>
    <w:p w14:paraId="0309087E" w14:textId="372C8F7F" w:rsidR="00156E0C" w:rsidRPr="003E4555" w:rsidRDefault="003E4555" w:rsidP="003E4555">
      <w:pPr>
        <w:spacing w:after="480" w:line="480" w:lineRule="auto"/>
        <w:rPr>
          <w:rFonts w:ascii="Times New Roman" w:hAnsi="Times New Roman"/>
          <w:bCs/>
          <w:i/>
          <w:iCs/>
          <w:sz w:val="24"/>
        </w:rPr>
      </w:pPr>
      <w:r w:rsidRPr="00DF229C">
        <w:rPr>
          <w:rFonts w:ascii="Times New Roman" w:hAnsi="Times New Roman"/>
          <w:bCs/>
          <w:iCs/>
          <w:sz w:val="24"/>
        </w:rPr>
        <w:lastRenderedPageBreak/>
        <w:t>[81]</w:t>
      </w:r>
      <w:r w:rsidRPr="00DF229C">
        <w:rPr>
          <w:rFonts w:ascii="Times New Roman" w:hAnsi="Times New Roman"/>
          <w:bCs/>
          <w:iCs/>
          <w:sz w:val="24"/>
        </w:rPr>
        <w:tab/>
      </w:r>
      <w:r w:rsidR="00156E0C" w:rsidRPr="003E4555">
        <w:rPr>
          <w:rFonts w:ascii="Times New Roman" w:hAnsi="Times New Roman"/>
          <w:bCs/>
          <w:sz w:val="24"/>
        </w:rPr>
        <w:t>The grounds upon which the respondent sought to obtain orders as set out in the relief are not supported by the arguments advanced by the respondent</w:t>
      </w:r>
      <w:r w:rsidR="00DA49A3" w:rsidRPr="003E4555">
        <w:rPr>
          <w:rFonts w:ascii="Times New Roman" w:hAnsi="Times New Roman"/>
          <w:bCs/>
          <w:sz w:val="24"/>
        </w:rPr>
        <w:t xml:space="preserve"> and are also premature</w:t>
      </w:r>
      <w:r w:rsidR="00156E0C" w:rsidRPr="003E4555">
        <w:rPr>
          <w:rFonts w:ascii="Times New Roman" w:hAnsi="Times New Roman"/>
          <w:bCs/>
          <w:sz w:val="24"/>
        </w:rPr>
        <w:t xml:space="preserve">. </w:t>
      </w:r>
      <w:r w:rsidR="00524A1F" w:rsidRPr="003E4555">
        <w:rPr>
          <w:rFonts w:ascii="Times New Roman" w:hAnsi="Times New Roman"/>
          <w:bCs/>
          <w:sz w:val="24"/>
        </w:rPr>
        <w:t>N</w:t>
      </w:r>
      <w:r w:rsidR="00156E0C" w:rsidRPr="003E4555">
        <w:rPr>
          <w:rFonts w:ascii="Times New Roman" w:hAnsi="Times New Roman"/>
          <w:bCs/>
          <w:sz w:val="24"/>
        </w:rPr>
        <w:t>one of the relief</w:t>
      </w:r>
      <w:r w:rsidR="00524A1F" w:rsidRPr="003E4555">
        <w:rPr>
          <w:rFonts w:ascii="Times New Roman" w:hAnsi="Times New Roman"/>
          <w:bCs/>
          <w:sz w:val="24"/>
        </w:rPr>
        <w:t>s</w:t>
      </w:r>
      <w:r w:rsidR="00156E0C" w:rsidRPr="003E4555">
        <w:rPr>
          <w:rFonts w:ascii="Times New Roman" w:hAnsi="Times New Roman"/>
          <w:bCs/>
          <w:sz w:val="24"/>
        </w:rPr>
        <w:t xml:space="preserve"> sought is sustainable</w:t>
      </w:r>
      <w:r w:rsidR="00524A1F" w:rsidRPr="003E4555">
        <w:rPr>
          <w:rFonts w:ascii="Times New Roman" w:hAnsi="Times New Roman"/>
          <w:bCs/>
          <w:sz w:val="24"/>
        </w:rPr>
        <w:t xml:space="preserve"> and</w:t>
      </w:r>
      <w:r w:rsidR="00156E0C" w:rsidRPr="003E4555">
        <w:rPr>
          <w:rFonts w:ascii="Times New Roman" w:hAnsi="Times New Roman"/>
          <w:bCs/>
          <w:sz w:val="24"/>
        </w:rPr>
        <w:t xml:space="preserve"> are bound to fail.</w:t>
      </w:r>
    </w:p>
    <w:p w14:paraId="63C5045B" w14:textId="77777777" w:rsidR="008268B9" w:rsidRPr="0052654F" w:rsidRDefault="000E1C65" w:rsidP="008268B9">
      <w:pPr>
        <w:pStyle w:val="ListParagraph"/>
        <w:spacing w:after="480" w:line="480" w:lineRule="auto"/>
        <w:ind w:left="0"/>
        <w:contextualSpacing w:val="0"/>
        <w:rPr>
          <w:rFonts w:ascii="Times New Roman" w:hAnsi="Times New Roman"/>
          <w:bCs/>
          <w:i/>
          <w:iCs/>
          <w:sz w:val="24"/>
        </w:rPr>
      </w:pPr>
      <w:r w:rsidRPr="0052654F">
        <w:rPr>
          <w:rFonts w:ascii="Times New Roman" w:hAnsi="Times New Roman"/>
          <w:bCs/>
          <w:i/>
          <w:iCs/>
          <w:sz w:val="24"/>
        </w:rPr>
        <w:t>Costs</w:t>
      </w:r>
    </w:p>
    <w:p w14:paraId="22E1328E" w14:textId="564F5D84" w:rsidR="000E1C65" w:rsidRPr="003E4555" w:rsidRDefault="003E4555" w:rsidP="003E4555">
      <w:pPr>
        <w:spacing w:after="480" w:line="480" w:lineRule="auto"/>
        <w:rPr>
          <w:rFonts w:ascii="Times New Roman" w:hAnsi="Times New Roman"/>
          <w:bCs/>
          <w:i/>
          <w:iCs/>
          <w:sz w:val="24"/>
        </w:rPr>
      </w:pPr>
      <w:r w:rsidRPr="008268B9">
        <w:rPr>
          <w:rFonts w:ascii="Times New Roman" w:hAnsi="Times New Roman"/>
          <w:bCs/>
          <w:iCs/>
          <w:sz w:val="24"/>
        </w:rPr>
        <w:t>[82]</w:t>
      </w:r>
      <w:r w:rsidRPr="008268B9">
        <w:rPr>
          <w:rFonts w:ascii="Times New Roman" w:hAnsi="Times New Roman"/>
          <w:bCs/>
          <w:iCs/>
          <w:sz w:val="24"/>
        </w:rPr>
        <w:tab/>
      </w:r>
      <w:r w:rsidR="00B13C0A" w:rsidRPr="003E4555">
        <w:rPr>
          <w:rFonts w:ascii="Times New Roman" w:hAnsi="Times New Roman"/>
          <w:bCs/>
          <w:sz w:val="24"/>
        </w:rPr>
        <w:t>There are no reason</w:t>
      </w:r>
      <w:r w:rsidR="00AD0C05" w:rsidRPr="003E4555">
        <w:rPr>
          <w:rFonts w:ascii="Times New Roman" w:hAnsi="Times New Roman"/>
          <w:bCs/>
          <w:sz w:val="24"/>
        </w:rPr>
        <w:t>s</w:t>
      </w:r>
      <w:r w:rsidR="00B13C0A" w:rsidRPr="003E4555">
        <w:rPr>
          <w:rFonts w:ascii="Times New Roman" w:hAnsi="Times New Roman"/>
          <w:bCs/>
          <w:sz w:val="24"/>
        </w:rPr>
        <w:t xml:space="preserve"> advance</w:t>
      </w:r>
      <w:r w:rsidR="00524A1F" w:rsidRPr="003E4555">
        <w:rPr>
          <w:rFonts w:ascii="Times New Roman" w:hAnsi="Times New Roman"/>
          <w:bCs/>
          <w:sz w:val="24"/>
        </w:rPr>
        <w:t>d</w:t>
      </w:r>
      <w:r w:rsidR="00B13C0A" w:rsidRPr="003E4555">
        <w:rPr>
          <w:rFonts w:ascii="Times New Roman" w:hAnsi="Times New Roman"/>
          <w:bCs/>
          <w:sz w:val="24"/>
        </w:rPr>
        <w:t xml:space="preserve"> to unsettle the general principle that the costs should follow the results.</w:t>
      </w:r>
    </w:p>
    <w:p w14:paraId="005B0CFE" w14:textId="77777777" w:rsidR="00A77883" w:rsidRPr="0052654F" w:rsidRDefault="008268B9" w:rsidP="001B6EC5">
      <w:pPr>
        <w:pStyle w:val="ListParagraph"/>
        <w:spacing w:line="480" w:lineRule="auto"/>
        <w:ind w:left="0"/>
        <w:contextualSpacing w:val="0"/>
        <w:rPr>
          <w:rFonts w:ascii="Times New Roman" w:hAnsi="Times New Roman"/>
          <w:bCs/>
          <w:i/>
          <w:iCs/>
          <w:sz w:val="24"/>
        </w:rPr>
      </w:pPr>
      <w:r w:rsidRPr="0052654F">
        <w:rPr>
          <w:rFonts w:ascii="Times New Roman" w:hAnsi="Times New Roman"/>
          <w:bCs/>
          <w:i/>
          <w:iCs/>
          <w:sz w:val="24"/>
        </w:rPr>
        <w:t>Order</w:t>
      </w:r>
    </w:p>
    <w:p w14:paraId="345D2E81" w14:textId="7A393960" w:rsidR="000E1C65" w:rsidRPr="00A77883" w:rsidRDefault="008268B9" w:rsidP="001B6EC5">
      <w:pPr>
        <w:pStyle w:val="ListParagraph"/>
        <w:spacing w:line="480" w:lineRule="auto"/>
        <w:ind w:left="0"/>
        <w:contextualSpacing w:val="0"/>
        <w:rPr>
          <w:rFonts w:ascii="Times New Roman" w:hAnsi="Times New Roman"/>
          <w:b/>
          <w:i/>
          <w:iCs/>
          <w:sz w:val="24"/>
          <w:u w:val="single"/>
        </w:rPr>
      </w:pPr>
      <w:r w:rsidRPr="00A77883">
        <w:rPr>
          <w:rFonts w:ascii="Times New Roman" w:hAnsi="Times New Roman"/>
          <w:b/>
          <w:i/>
          <w:iCs/>
          <w:sz w:val="24"/>
          <w:u w:val="single"/>
        </w:rPr>
        <w:t xml:space="preserve"> </w:t>
      </w:r>
    </w:p>
    <w:p w14:paraId="75CDD830" w14:textId="78DA1690" w:rsidR="002700AC" w:rsidRPr="003E4555" w:rsidRDefault="003E4555" w:rsidP="003E4555">
      <w:pPr>
        <w:spacing w:after="480" w:line="480" w:lineRule="auto"/>
        <w:rPr>
          <w:rFonts w:ascii="Times New Roman" w:hAnsi="Times New Roman"/>
          <w:bCs/>
          <w:sz w:val="24"/>
        </w:rPr>
      </w:pPr>
      <w:r>
        <w:rPr>
          <w:rFonts w:ascii="Times New Roman" w:hAnsi="Times New Roman"/>
          <w:bCs/>
          <w:sz w:val="24"/>
        </w:rPr>
        <w:t>[83]</w:t>
      </w:r>
      <w:r>
        <w:rPr>
          <w:rFonts w:ascii="Times New Roman" w:hAnsi="Times New Roman"/>
          <w:bCs/>
          <w:sz w:val="24"/>
        </w:rPr>
        <w:tab/>
      </w:r>
      <w:r w:rsidR="00524A1F" w:rsidRPr="003E4555">
        <w:rPr>
          <w:rFonts w:ascii="Times New Roman" w:hAnsi="Times New Roman"/>
          <w:bCs/>
          <w:sz w:val="24"/>
        </w:rPr>
        <w:t>T</w:t>
      </w:r>
      <w:r w:rsidR="000E1C65" w:rsidRPr="003E4555">
        <w:rPr>
          <w:rFonts w:ascii="Times New Roman" w:hAnsi="Times New Roman"/>
          <w:bCs/>
          <w:sz w:val="24"/>
        </w:rPr>
        <w:t>he</w:t>
      </w:r>
      <w:r w:rsidR="00B13C0A" w:rsidRPr="003E4555">
        <w:rPr>
          <w:rFonts w:ascii="Times New Roman" w:hAnsi="Times New Roman"/>
          <w:bCs/>
          <w:sz w:val="24"/>
        </w:rPr>
        <w:t xml:space="preserve"> following order</w:t>
      </w:r>
      <w:r w:rsidR="00524A1F" w:rsidRPr="003E4555">
        <w:rPr>
          <w:rFonts w:ascii="Times New Roman" w:hAnsi="Times New Roman"/>
          <w:bCs/>
          <w:sz w:val="24"/>
        </w:rPr>
        <w:t xml:space="preserve"> is made:</w:t>
      </w:r>
    </w:p>
    <w:p w14:paraId="025FE192" w14:textId="612D58A3" w:rsidR="005B12F6" w:rsidRPr="003E4555" w:rsidRDefault="003E4555" w:rsidP="003E4555">
      <w:pPr>
        <w:spacing w:after="480" w:line="480" w:lineRule="auto"/>
        <w:ind w:left="720" w:hanging="360"/>
        <w:rPr>
          <w:rFonts w:ascii="Times New Roman" w:hAnsi="Times New Roman"/>
          <w:bCs/>
          <w:sz w:val="24"/>
        </w:rPr>
      </w:pPr>
      <w:r>
        <w:rPr>
          <w:rFonts w:ascii="Times New Roman" w:hAnsi="Times New Roman"/>
          <w:bCs/>
          <w:sz w:val="24"/>
        </w:rPr>
        <w:t>1.</w:t>
      </w:r>
      <w:r>
        <w:rPr>
          <w:rFonts w:ascii="Times New Roman" w:hAnsi="Times New Roman"/>
          <w:bCs/>
          <w:sz w:val="24"/>
        </w:rPr>
        <w:tab/>
      </w:r>
      <w:r w:rsidR="00B13C0A" w:rsidRPr="003E4555">
        <w:rPr>
          <w:rFonts w:ascii="Times New Roman" w:hAnsi="Times New Roman"/>
          <w:bCs/>
          <w:sz w:val="24"/>
        </w:rPr>
        <w:t>The application for eviction is dismissed with costs.</w:t>
      </w:r>
    </w:p>
    <w:p w14:paraId="266D6E33" w14:textId="03D78FD3" w:rsidR="004476FB" w:rsidRPr="003E4555" w:rsidRDefault="003E4555" w:rsidP="003E4555">
      <w:pPr>
        <w:spacing w:after="480" w:line="480" w:lineRule="auto"/>
        <w:ind w:left="720" w:hanging="360"/>
        <w:rPr>
          <w:rFonts w:ascii="Times New Roman" w:hAnsi="Times New Roman"/>
          <w:bCs/>
          <w:sz w:val="24"/>
        </w:rPr>
      </w:pPr>
      <w:r>
        <w:rPr>
          <w:rFonts w:ascii="Times New Roman" w:hAnsi="Times New Roman"/>
          <w:bCs/>
          <w:sz w:val="24"/>
        </w:rPr>
        <w:t>2.</w:t>
      </w:r>
      <w:r>
        <w:rPr>
          <w:rFonts w:ascii="Times New Roman" w:hAnsi="Times New Roman"/>
          <w:bCs/>
          <w:sz w:val="24"/>
        </w:rPr>
        <w:tab/>
      </w:r>
      <w:r w:rsidR="004476FB" w:rsidRPr="003E4555">
        <w:rPr>
          <w:rFonts w:ascii="Times New Roman" w:hAnsi="Times New Roman"/>
          <w:bCs/>
          <w:sz w:val="24"/>
        </w:rPr>
        <w:t>The counter</w:t>
      </w:r>
      <w:r w:rsidR="0052654F" w:rsidRPr="003E4555">
        <w:rPr>
          <w:rFonts w:ascii="Times New Roman" w:hAnsi="Times New Roman"/>
          <w:bCs/>
          <w:sz w:val="24"/>
        </w:rPr>
        <w:t xml:space="preserve"> application </w:t>
      </w:r>
      <w:r w:rsidR="004476FB" w:rsidRPr="003E4555">
        <w:rPr>
          <w:rFonts w:ascii="Times New Roman" w:hAnsi="Times New Roman"/>
          <w:bCs/>
          <w:sz w:val="24"/>
        </w:rPr>
        <w:t>by the respondent is dismissed</w:t>
      </w:r>
      <w:r w:rsidR="0052654F" w:rsidRPr="003E4555">
        <w:rPr>
          <w:rFonts w:ascii="Times New Roman" w:hAnsi="Times New Roman"/>
          <w:bCs/>
          <w:sz w:val="24"/>
        </w:rPr>
        <w:t xml:space="preserve"> with costs</w:t>
      </w:r>
      <w:r w:rsidR="004476FB" w:rsidRPr="003E4555">
        <w:rPr>
          <w:rFonts w:ascii="Times New Roman" w:hAnsi="Times New Roman"/>
          <w:bCs/>
          <w:sz w:val="24"/>
        </w:rPr>
        <w:t>.</w:t>
      </w:r>
    </w:p>
    <w:p w14:paraId="2CADB405" w14:textId="77777777" w:rsidR="006C7446" w:rsidRPr="0054117F" w:rsidRDefault="006C7446" w:rsidP="006C7446">
      <w:pPr>
        <w:pStyle w:val="ListParagraph"/>
        <w:spacing w:after="480" w:line="480" w:lineRule="auto"/>
        <w:rPr>
          <w:rFonts w:ascii="Times New Roman" w:hAnsi="Times New Roman"/>
          <w:bCs/>
          <w:sz w:val="24"/>
        </w:rPr>
      </w:pPr>
    </w:p>
    <w:p w14:paraId="5F7ADD83" w14:textId="5E2C4DC8" w:rsidR="009725C6" w:rsidRPr="003F409D" w:rsidRDefault="009725C6" w:rsidP="009725C6">
      <w:pPr>
        <w:pStyle w:val="ListParagraph"/>
        <w:spacing w:line="480" w:lineRule="auto"/>
        <w:ind w:left="1080"/>
        <w:rPr>
          <w:rFonts w:ascii="Times New Roman" w:hAnsi="Times New Roman"/>
          <w:bCs/>
          <w:i/>
          <w:iCs/>
          <w:sz w:val="24"/>
        </w:rPr>
      </w:pPr>
    </w:p>
    <w:p w14:paraId="0790E660" w14:textId="2E27BFC1" w:rsidR="009725C6" w:rsidRPr="004409A1" w:rsidRDefault="009725C6" w:rsidP="009725C6">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w:t>
      </w:r>
    </w:p>
    <w:p w14:paraId="5CE2A70C" w14:textId="77777777" w:rsidR="009725C6" w:rsidRPr="005E7535" w:rsidRDefault="009725C6" w:rsidP="009725C6">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Mokate Victor Noko </w:t>
      </w:r>
    </w:p>
    <w:p w14:paraId="7E2F5DB5" w14:textId="77777777" w:rsidR="009725C6" w:rsidRPr="005E7535" w:rsidRDefault="009725C6" w:rsidP="009725C6">
      <w:pPr>
        <w:pStyle w:val="ListParagraph"/>
        <w:tabs>
          <w:tab w:val="right" w:pos="0"/>
        </w:tabs>
        <w:ind w:left="0"/>
        <w:jc w:val="right"/>
        <w:rPr>
          <w:rFonts w:ascii="Times New Roman" w:hAnsi="Times New Roman"/>
          <w:bCs/>
          <w:sz w:val="24"/>
        </w:rPr>
      </w:pPr>
      <w:r w:rsidRPr="005E7535">
        <w:rPr>
          <w:rFonts w:ascii="Times New Roman" w:hAnsi="Times New Roman"/>
          <w:bCs/>
          <w:sz w:val="24"/>
        </w:rPr>
        <w:t xml:space="preserve">Judge </w:t>
      </w:r>
      <w:r>
        <w:rPr>
          <w:rFonts w:ascii="Times New Roman" w:hAnsi="Times New Roman"/>
          <w:bCs/>
          <w:sz w:val="24"/>
        </w:rPr>
        <w:t>o</w:t>
      </w:r>
      <w:r w:rsidRPr="005E7535">
        <w:rPr>
          <w:rFonts w:ascii="Times New Roman" w:hAnsi="Times New Roman"/>
          <w:bCs/>
          <w:sz w:val="24"/>
        </w:rPr>
        <w:t xml:space="preserve">f </w:t>
      </w:r>
      <w:r>
        <w:rPr>
          <w:rFonts w:ascii="Times New Roman" w:hAnsi="Times New Roman"/>
          <w:bCs/>
          <w:sz w:val="24"/>
        </w:rPr>
        <w:t>t</w:t>
      </w:r>
      <w:r w:rsidRPr="005E7535">
        <w:rPr>
          <w:rFonts w:ascii="Times New Roman" w:hAnsi="Times New Roman"/>
          <w:bCs/>
          <w:sz w:val="24"/>
        </w:rPr>
        <w:t xml:space="preserve">he High Court </w:t>
      </w:r>
    </w:p>
    <w:p w14:paraId="5813F399" w14:textId="26B3EC3E" w:rsidR="000E1C65" w:rsidRPr="004409A1" w:rsidRDefault="000E1C65" w:rsidP="000E1C65">
      <w:pPr>
        <w:pStyle w:val="ListParagraph"/>
        <w:tabs>
          <w:tab w:val="right" w:pos="0"/>
          <w:tab w:val="left" w:pos="4253"/>
        </w:tabs>
        <w:ind w:left="0"/>
        <w:jc w:val="right"/>
        <w:rPr>
          <w:rFonts w:ascii="Times New Roman" w:hAnsi="Times New Roman"/>
          <w:b/>
          <w:sz w:val="24"/>
        </w:rPr>
      </w:pPr>
    </w:p>
    <w:p w14:paraId="0944B71B" w14:textId="0A0EB041" w:rsidR="009725C6" w:rsidRPr="004409A1" w:rsidRDefault="009725C6" w:rsidP="009725C6">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This judgement was prepared and authored by</w:t>
      </w:r>
      <w:r>
        <w:rPr>
          <w:rFonts w:ascii="Times New Roman" w:eastAsia="Arial Unicode MS" w:hAnsi="Times New Roman"/>
          <w:bCs/>
          <w:sz w:val="24"/>
        </w:rPr>
        <w:t xml:space="preserve"> Noko</w:t>
      </w:r>
      <w:r w:rsidR="00524A1F">
        <w:rPr>
          <w:rFonts w:ascii="Times New Roman" w:eastAsia="Arial Unicode MS" w:hAnsi="Times New Roman"/>
          <w:bCs/>
          <w:sz w:val="24"/>
        </w:rPr>
        <w:t xml:space="preserve"> J</w:t>
      </w:r>
      <w:r>
        <w:rPr>
          <w:rFonts w:ascii="Times New Roman" w:eastAsia="Arial Unicode MS" w:hAnsi="Times New Roman"/>
          <w:bCs/>
          <w:sz w:val="24"/>
        </w:rPr>
        <w:t xml:space="preserve"> </w:t>
      </w:r>
      <w:r w:rsidRPr="004409A1">
        <w:rPr>
          <w:rFonts w:ascii="Times New Roman" w:eastAsia="Arial Unicode MS" w:hAnsi="Times New Roman"/>
          <w:bCs/>
          <w:sz w:val="24"/>
        </w:rPr>
        <w:t>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0220AB">
        <w:rPr>
          <w:rFonts w:ascii="Times New Roman" w:eastAsia="Arial Unicode MS" w:hAnsi="Times New Roman"/>
          <w:b/>
          <w:sz w:val="24"/>
        </w:rPr>
        <w:t>4 March</w:t>
      </w:r>
      <w:r>
        <w:rPr>
          <w:rFonts w:ascii="Times New Roman" w:eastAsia="Arial Unicode MS" w:hAnsi="Times New Roman"/>
          <w:b/>
          <w:sz w:val="24"/>
        </w:rPr>
        <w:t xml:space="preserve"> 2024</w:t>
      </w:r>
      <w:r w:rsidRPr="004409A1">
        <w:rPr>
          <w:rFonts w:ascii="Times New Roman" w:eastAsia="Arial Unicode MS" w:hAnsi="Times New Roman"/>
          <w:b/>
          <w:sz w:val="24"/>
        </w:rPr>
        <w:t>.</w:t>
      </w:r>
    </w:p>
    <w:p w14:paraId="7687F148" w14:textId="77777777" w:rsidR="000220AB" w:rsidRDefault="000220AB" w:rsidP="000220AB">
      <w:pPr>
        <w:pStyle w:val="ListParagraph"/>
        <w:tabs>
          <w:tab w:val="right" w:pos="8647"/>
        </w:tabs>
        <w:ind w:left="0"/>
        <w:rPr>
          <w:rFonts w:ascii="Times New Roman" w:hAnsi="Times New Roman"/>
          <w:sz w:val="24"/>
        </w:rPr>
      </w:pPr>
    </w:p>
    <w:p w14:paraId="21B48F40" w14:textId="77777777" w:rsidR="00DA49A3" w:rsidRDefault="00DA49A3" w:rsidP="000220AB">
      <w:pPr>
        <w:pStyle w:val="ListParagraph"/>
        <w:tabs>
          <w:tab w:val="right" w:pos="8647"/>
        </w:tabs>
        <w:ind w:left="0"/>
        <w:rPr>
          <w:rFonts w:ascii="Times New Roman" w:hAnsi="Times New Roman"/>
          <w:sz w:val="24"/>
        </w:rPr>
      </w:pPr>
    </w:p>
    <w:p w14:paraId="71AEA284" w14:textId="477CFDD5" w:rsidR="000220AB" w:rsidRDefault="000220AB" w:rsidP="000220AB">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r>
      <w:r w:rsidR="00317448">
        <w:rPr>
          <w:rFonts w:ascii="Times New Roman" w:hAnsi="Times New Roman"/>
          <w:sz w:val="24"/>
        </w:rPr>
        <w:t xml:space="preserve">2 October </w:t>
      </w:r>
      <w:r>
        <w:rPr>
          <w:rFonts w:ascii="Times New Roman" w:hAnsi="Times New Roman"/>
          <w:sz w:val="24"/>
        </w:rPr>
        <w:t>2023</w:t>
      </w:r>
    </w:p>
    <w:p w14:paraId="467AF7F9" w14:textId="66F882B1" w:rsidR="000220AB" w:rsidRDefault="000220AB" w:rsidP="000220AB">
      <w:pPr>
        <w:pStyle w:val="ListParagraph"/>
        <w:tabs>
          <w:tab w:val="right" w:pos="0"/>
          <w:tab w:val="left" w:pos="4253"/>
        </w:tabs>
        <w:ind w:left="0"/>
        <w:rPr>
          <w:rFonts w:ascii="Times New Roman" w:hAnsi="Times New Roman"/>
          <w:b/>
          <w:sz w:val="24"/>
        </w:rPr>
      </w:pPr>
      <w:r>
        <w:rPr>
          <w:rFonts w:ascii="Times New Roman" w:hAnsi="Times New Roman"/>
          <w:sz w:val="24"/>
        </w:rPr>
        <w:t>Date of judgment:</w:t>
      </w:r>
      <w:r>
        <w:rPr>
          <w:rFonts w:ascii="Times New Roman" w:hAnsi="Times New Roman"/>
          <w:sz w:val="24"/>
        </w:rPr>
        <w:tab/>
        <w:t xml:space="preserve">                                                 4 March 2024</w:t>
      </w:r>
    </w:p>
    <w:p w14:paraId="031B8492" w14:textId="77777777" w:rsidR="000220AB" w:rsidRDefault="000220AB" w:rsidP="001B6EC5">
      <w:pPr>
        <w:pStyle w:val="ListParagraph"/>
        <w:tabs>
          <w:tab w:val="right" w:pos="0"/>
          <w:tab w:val="left" w:pos="4253"/>
        </w:tabs>
        <w:ind w:left="0"/>
        <w:rPr>
          <w:rFonts w:ascii="Times New Roman" w:hAnsi="Times New Roman"/>
          <w:b/>
          <w:sz w:val="24"/>
        </w:rPr>
      </w:pPr>
    </w:p>
    <w:p w14:paraId="338F216F" w14:textId="6F53F644"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t>Appearances</w:t>
      </w:r>
    </w:p>
    <w:p w14:paraId="18B482F3" w14:textId="77777777" w:rsidR="001B6EC5" w:rsidRPr="00AB7752" w:rsidRDefault="001B6EC5" w:rsidP="001B6EC5">
      <w:pPr>
        <w:pStyle w:val="ListParagraph"/>
        <w:tabs>
          <w:tab w:val="right" w:pos="0"/>
          <w:tab w:val="left" w:pos="4253"/>
        </w:tabs>
        <w:ind w:left="0"/>
        <w:rPr>
          <w:rFonts w:ascii="Times New Roman" w:hAnsi="Times New Roman"/>
          <w:sz w:val="24"/>
        </w:rPr>
      </w:pPr>
    </w:p>
    <w:p w14:paraId="601071C1" w14:textId="4FA388E3" w:rsidR="001B6EC5" w:rsidRDefault="00EA4F65" w:rsidP="00317448">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1B6EC5" w:rsidRPr="00AB7752">
        <w:rPr>
          <w:rFonts w:ascii="Times New Roman" w:hAnsi="Times New Roman"/>
          <w:sz w:val="24"/>
        </w:rPr>
        <w:t xml:space="preserve">: </w:t>
      </w:r>
      <w:r w:rsidR="001B6EC5" w:rsidRPr="00AB7752">
        <w:rPr>
          <w:rFonts w:ascii="Times New Roman" w:hAnsi="Times New Roman"/>
          <w:sz w:val="24"/>
        </w:rPr>
        <w:tab/>
      </w:r>
      <w:r w:rsidR="008D5FEB">
        <w:rPr>
          <w:rFonts w:ascii="Times New Roman" w:hAnsi="Times New Roman"/>
          <w:sz w:val="24"/>
        </w:rPr>
        <w:t>A</w:t>
      </w:r>
      <w:r w:rsidR="006A5175">
        <w:rPr>
          <w:rFonts w:ascii="Times New Roman" w:hAnsi="Times New Roman"/>
          <w:sz w:val="24"/>
        </w:rPr>
        <w:t xml:space="preserve">dv </w:t>
      </w:r>
      <w:r w:rsidR="0052654F">
        <w:rPr>
          <w:rFonts w:ascii="Times New Roman" w:hAnsi="Times New Roman"/>
          <w:sz w:val="24"/>
        </w:rPr>
        <w:t>T L Marolen</w:t>
      </w:r>
      <w:r w:rsidR="00317448">
        <w:rPr>
          <w:rFonts w:ascii="Times New Roman" w:hAnsi="Times New Roman"/>
          <w:sz w:val="24"/>
        </w:rPr>
        <w:t>.</w:t>
      </w:r>
      <w:r w:rsidR="001B6EC5">
        <w:rPr>
          <w:rFonts w:ascii="Times New Roman" w:hAnsi="Times New Roman"/>
          <w:sz w:val="24"/>
        </w:rPr>
        <w:t xml:space="preserve"> </w:t>
      </w:r>
    </w:p>
    <w:p w14:paraId="71E8E2E9" w14:textId="4F467FF5"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Pr>
          <w:rFonts w:ascii="Times New Roman" w:hAnsi="Times New Roman"/>
          <w:sz w:val="24"/>
        </w:rPr>
        <w:tab/>
      </w:r>
      <w:r w:rsidR="006A5175">
        <w:rPr>
          <w:rFonts w:ascii="Times New Roman" w:hAnsi="Times New Roman"/>
          <w:sz w:val="24"/>
        </w:rPr>
        <w:t xml:space="preserve"> </w:t>
      </w:r>
      <w:r w:rsidR="000220AB">
        <w:rPr>
          <w:rFonts w:ascii="Times New Roman" w:hAnsi="Times New Roman"/>
          <w:sz w:val="24"/>
        </w:rPr>
        <w:t xml:space="preserve">Lawtons Incorporated </w:t>
      </w:r>
    </w:p>
    <w:p w14:paraId="2982CA24" w14:textId="1A8D5A4D" w:rsidR="006A5175" w:rsidRDefault="006A5175" w:rsidP="001B6EC5">
      <w:pPr>
        <w:pStyle w:val="ListParagraph"/>
        <w:tabs>
          <w:tab w:val="right" w:pos="8647"/>
        </w:tabs>
        <w:ind w:left="0"/>
        <w:rPr>
          <w:rFonts w:ascii="Times New Roman" w:hAnsi="Times New Roman"/>
          <w:sz w:val="24"/>
        </w:rPr>
      </w:pPr>
      <w:r>
        <w:rPr>
          <w:rFonts w:ascii="Times New Roman" w:hAnsi="Times New Roman"/>
          <w:sz w:val="24"/>
        </w:rPr>
        <w:tab/>
        <w:t>Johannesburg</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41072FD8" w14:textId="0E594697" w:rsidR="006A5175" w:rsidRDefault="00EA4F65" w:rsidP="00317448">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Respondent:</w:t>
      </w:r>
      <w:r w:rsidR="001B6EC5">
        <w:rPr>
          <w:rFonts w:ascii="Times New Roman" w:hAnsi="Times New Roman"/>
          <w:sz w:val="24"/>
        </w:rPr>
        <w:tab/>
      </w:r>
      <w:r w:rsidR="008D5FEB">
        <w:rPr>
          <w:rFonts w:ascii="Times New Roman" w:hAnsi="Times New Roman"/>
          <w:sz w:val="24"/>
        </w:rPr>
        <w:t>A</w:t>
      </w:r>
      <w:r w:rsidR="000A5B37">
        <w:rPr>
          <w:rFonts w:ascii="Times New Roman" w:hAnsi="Times New Roman"/>
          <w:sz w:val="24"/>
        </w:rPr>
        <w:t xml:space="preserve">dv </w:t>
      </w:r>
      <w:r w:rsidR="006A5175">
        <w:rPr>
          <w:rFonts w:ascii="Times New Roman" w:hAnsi="Times New Roman"/>
          <w:sz w:val="24"/>
        </w:rPr>
        <w:t>M Desai</w:t>
      </w:r>
      <w:r w:rsidR="00317448">
        <w:rPr>
          <w:rFonts w:ascii="Times New Roman" w:hAnsi="Times New Roman"/>
          <w:sz w:val="24"/>
        </w:rPr>
        <w:t>.</w:t>
      </w:r>
    </w:p>
    <w:p w14:paraId="0225956E" w14:textId="6BF4579D" w:rsidR="001B6EC5" w:rsidRDefault="001B6EC5" w:rsidP="001B6EC5">
      <w:pPr>
        <w:pStyle w:val="ListParagraph"/>
        <w:tabs>
          <w:tab w:val="right" w:pos="0"/>
          <w:tab w:val="right" w:pos="8647"/>
        </w:tabs>
        <w:ind w:left="0"/>
        <w:rPr>
          <w:rFonts w:ascii="Times New Roman" w:hAnsi="Times New Roman"/>
          <w:sz w:val="24"/>
        </w:rPr>
      </w:pPr>
      <w:r>
        <w:rPr>
          <w:rFonts w:ascii="Times New Roman" w:hAnsi="Times New Roman"/>
          <w:sz w:val="24"/>
        </w:rPr>
        <w:t>Attorneys for the Respondent</w:t>
      </w:r>
      <w:r>
        <w:rPr>
          <w:rFonts w:ascii="Times New Roman" w:hAnsi="Times New Roman"/>
          <w:sz w:val="24"/>
        </w:rPr>
        <w:tab/>
      </w:r>
      <w:r w:rsidR="000220AB">
        <w:rPr>
          <w:rFonts w:ascii="Times New Roman" w:hAnsi="Times New Roman"/>
          <w:sz w:val="24"/>
        </w:rPr>
        <w:t xml:space="preserve">Govender Patel Dladla </w:t>
      </w:r>
      <w:r w:rsidR="000A5B37">
        <w:rPr>
          <w:rFonts w:ascii="Times New Roman" w:hAnsi="Times New Roman"/>
          <w:sz w:val="24"/>
        </w:rPr>
        <w:t>Inc</w:t>
      </w:r>
    </w:p>
    <w:p w14:paraId="2E792B37" w14:textId="040B83F8" w:rsidR="000220AB" w:rsidRDefault="006A5175" w:rsidP="000220AB">
      <w:pPr>
        <w:pStyle w:val="ListParagraph"/>
        <w:tabs>
          <w:tab w:val="right" w:pos="0"/>
          <w:tab w:val="right" w:pos="8647"/>
        </w:tabs>
        <w:ind w:left="0"/>
        <w:rPr>
          <w:rFonts w:ascii="Times New Roman" w:hAnsi="Times New Roman"/>
          <w:sz w:val="24"/>
        </w:rPr>
      </w:pPr>
      <w:r>
        <w:rPr>
          <w:rFonts w:ascii="Times New Roman" w:hAnsi="Times New Roman"/>
          <w:sz w:val="24"/>
        </w:rPr>
        <w:tab/>
      </w:r>
    </w:p>
    <w:p w14:paraId="08CDFC44" w14:textId="17D2011F" w:rsidR="006A5175" w:rsidRPr="00AB7752" w:rsidRDefault="006A5175" w:rsidP="001B6EC5">
      <w:pPr>
        <w:pStyle w:val="ListParagraph"/>
        <w:tabs>
          <w:tab w:val="right" w:pos="0"/>
          <w:tab w:val="right" w:pos="8647"/>
        </w:tabs>
        <w:ind w:left="0"/>
        <w:rPr>
          <w:rFonts w:ascii="Times New Roman" w:hAnsi="Times New Roman"/>
          <w:sz w:val="24"/>
        </w:rPr>
      </w:pPr>
      <w:r>
        <w:rPr>
          <w:rFonts w:ascii="Times New Roman" w:hAnsi="Times New Roman"/>
          <w:sz w:val="24"/>
        </w:rPr>
        <w:t xml:space="preserve"> </w:t>
      </w:r>
    </w:p>
    <w:p w14:paraId="6E9EB16B" w14:textId="1775C6F3" w:rsidR="001B6EC5" w:rsidRDefault="001B6EC5" w:rsidP="001B6EC5">
      <w:pPr>
        <w:pStyle w:val="ListParagraph"/>
        <w:tabs>
          <w:tab w:val="right" w:pos="8647"/>
        </w:tabs>
        <w:ind w:left="0"/>
        <w:rPr>
          <w:rFonts w:ascii="Times New Roman" w:hAnsi="Times New Roman"/>
          <w:sz w:val="24"/>
        </w:rPr>
      </w:pPr>
    </w:p>
    <w:sectPr w:rsidR="001B6EC5" w:rsidSect="00B72CFF">
      <w:headerReference w:type="default" r:id="rId9"/>
      <w:pgSz w:w="11906" w:h="16838"/>
      <w:pgMar w:top="1440" w:right="1558" w:bottom="42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F7EA" w14:textId="77777777" w:rsidR="00B72CFF" w:rsidRDefault="00B72CFF">
      <w:r>
        <w:separator/>
      </w:r>
    </w:p>
  </w:endnote>
  <w:endnote w:type="continuationSeparator" w:id="0">
    <w:p w14:paraId="42239105" w14:textId="77777777" w:rsidR="00B72CFF" w:rsidRDefault="00B7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ED49" w14:textId="77777777" w:rsidR="00B72CFF" w:rsidRDefault="00B72CFF" w:rsidP="00927532">
      <w:pPr>
        <w:spacing w:line="240" w:lineRule="auto"/>
      </w:pPr>
      <w:r>
        <w:separator/>
      </w:r>
    </w:p>
  </w:footnote>
  <w:footnote w:type="continuationSeparator" w:id="0">
    <w:p w14:paraId="05EAA732" w14:textId="77777777" w:rsidR="00B72CFF" w:rsidRDefault="00B72CFF" w:rsidP="00927532">
      <w:pPr>
        <w:spacing w:line="240" w:lineRule="auto"/>
      </w:pPr>
      <w:r>
        <w:continuationSeparator/>
      </w:r>
    </w:p>
  </w:footnote>
  <w:footnote w:type="continuationNotice" w:id="1">
    <w:p w14:paraId="6C1E3330" w14:textId="77777777" w:rsidR="00B72CFF" w:rsidRDefault="00B72CFF" w:rsidP="00927532">
      <w:pPr>
        <w:spacing w:line="240" w:lineRule="auto"/>
      </w:pPr>
    </w:p>
  </w:footnote>
  <w:footnote w:id="2">
    <w:p w14:paraId="23984835" w14:textId="69DA8BBE" w:rsidR="0089248D" w:rsidRPr="0089248D" w:rsidRDefault="0089248D">
      <w:pPr>
        <w:pStyle w:val="FootnoteText"/>
        <w:rPr>
          <w:lang w:val="en-US"/>
        </w:rPr>
      </w:pPr>
      <w:r>
        <w:rPr>
          <w:rStyle w:val="FootnoteReference"/>
        </w:rPr>
        <w:footnoteRef/>
      </w:r>
      <w:r>
        <w:t xml:space="preserve"> </w:t>
      </w:r>
      <w:r>
        <w:rPr>
          <w:lang w:val="en-US"/>
        </w:rPr>
        <w:t>Including Salvation Army and Oblix.</w:t>
      </w:r>
    </w:p>
  </w:footnote>
  <w:footnote w:id="3">
    <w:p w14:paraId="7E34D6FD" w14:textId="67F18AF2" w:rsidR="0063532E" w:rsidRPr="0063532E" w:rsidRDefault="0063532E">
      <w:pPr>
        <w:pStyle w:val="FootnoteText"/>
        <w:rPr>
          <w:lang w:val="en-US"/>
        </w:rPr>
      </w:pPr>
      <w:r>
        <w:rPr>
          <w:rStyle w:val="FootnoteReference"/>
        </w:rPr>
        <w:footnoteRef/>
      </w:r>
      <w:r>
        <w:t xml:space="preserve"> </w:t>
      </w:r>
      <w:r>
        <w:rPr>
          <w:lang w:val="en-US"/>
        </w:rPr>
        <w:t>See para 57 of the Applicant’s Heads of Agreement at 022-21.</w:t>
      </w:r>
    </w:p>
  </w:footnote>
  <w:footnote w:id="4">
    <w:p w14:paraId="13C15A47" w14:textId="53AB1D35" w:rsidR="009725C6" w:rsidRPr="009725C6" w:rsidRDefault="009725C6">
      <w:pPr>
        <w:pStyle w:val="FootnoteText"/>
        <w:rPr>
          <w:lang w:val="en-US"/>
        </w:rPr>
      </w:pPr>
      <w:r>
        <w:rPr>
          <w:rStyle w:val="FootnoteReference"/>
        </w:rPr>
        <w:footnoteRef/>
      </w:r>
      <w:r>
        <w:t xml:space="preserve"> </w:t>
      </w:r>
      <w:r>
        <w:rPr>
          <w:lang w:val="en-US"/>
        </w:rPr>
        <w:t xml:space="preserve">See </w:t>
      </w:r>
      <w:r w:rsidR="007D7C28" w:rsidRPr="007D7C28">
        <w:rPr>
          <w:lang w:val="en-US"/>
        </w:rPr>
        <w:t>clause 3.3.2 of the addendum</w:t>
      </w:r>
      <w:r w:rsidR="007D7C28">
        <w:rPr>
          <w:lang w:val="en-US"/>
        </w:rPr>
        <w:t xml:space="preserve">. See also </w:t>
      </w:r>
      <w:r>
        <w:rPr>
          <w:lang w:val="en-US"/>
        </w:rPr>
        <w:t xml:space="preserve">para 75 of the Respondent’s Answering Affidavit where it is stated that </w:t>
      </w:r>
      <w:r w:rsidRPr="00613185">
        <w:rPr>
          <w:i/>
          <w:iCs/>
          <w:lang w:val="en-US"/>
        </w:rPr>
        <w:t>‘The addendum appears on the face of it to be a simulated agreement</w:t>
      </w:r>
      <w:r w:rsidR="00613185" w:rsidRPr="00613185">
        <w:rPr>
          <w:i/>
          <w:iCs/>
          <w:lang w:val="en-US"/>
        </w:rPr>
        <w:t>.</w:t>
      </w:r>
    </w:p>
  </w:footnote>
  <w:footnote w:id="5">
    <w:p w14:paraId="2D2D09C8" w14:textId="6D90A946" w:rsidR="00BF6B23" w:rsidRPr="002C0259" w:rsidRDefault="00BF6B23" w:rsidP="00BF6B23">
      <w:pPr>
        <w:pStyle w:val="FootnoteText"/>
        <w:rPr>
          <w:lang w:val="en-US"/>
        </w:rPr>
      </w:pPr>
      <w:r>
        <w:rPr>
          <w:rStyle w:val="FootnoteReference"/>
        </w:rPr>
        <w:footnoteRef/>
      </w:r>
      <w:r>
        <w:t xml:space="preserve"> </w:t>
      </w:r>
      <w:r>
        <w:rPr>
          <w:lang w:val="en-US"/>
        </w:rPr>
        <w:t>See para 20 of the R</w:t>
      </w:r>
      <w:r w:rsidR="00613185">
        <w:rPr>
          <w:lang w:val="en-US"/>
        </w:rPr>
        <w:t>espondent’s Heads of Argument</w:t>
      </w:r>
      <w:r>
        <w:rPr>
          <w:lang w:val="en-US"/>
        </w:rPr>
        <w:t xml:space="preserve"> at 026-13.</w:t>
      </w:r>
    </w:p>
  </w:footnote>
  <w:footnote w:id="6">
    <w:p w14:paraId="2EF3AD69" w14:textId="76656829" w:rsidR="001B5947" w:rsidRPr="001B5947" w:rsidRDefault="001B5947">
      <w:pPr>
        <w:pStyle w:val="FootnoteText"/>
        <w:rPr>
          <w:lang w:val="en-US"/>
        </w:rPr>
      </w:pPr>
      <w:r>
        <w:rPr>
          <w:rStyle w:val="FootnoteReference"/>
        </w:rPr>
        <w:footnoteRef/>
      </w:r>
      <w:r>
        <w:t xml:space="preserve"> </w:t>
      </w:r>
      <w:r>
        <w:rPr>
          <w:lang w:val="en-US"/>
        </w:rPr>
        <w:t xml:space="preserve">In </w:t>
      </w:r>
      <w:r w:rsidR="007B3D6B">
        <w:rPr>
          <w:lang w:val="en-US"/>
        </w:rPr>
        <w:t>fact,</w:t>
      </w:r>
      <w:r>
        <w:rPr>
          <w:lang w:val="en-US"/>
        </w:rPr>
        <w:t xml:space="preserve"> the minimum period for which the lease obtained lapsed </w:t>
      </w:r>
      <w:r w:rsidR="00155C58">
        <w:rPr>
          <w:lang w:val="en-US"/>
        </w:rPr>
        <w:t>o</w:t>
      </w:r>
      <w:r>
        <w:rPr>
          <w:lang w:val="en-US"/>
        </w:rPr>
        <w:t>n 1 June 2019 f</w:t>
      </w:r>
      <w:r w:rsidR="007B3D6B">
        <w:rPr>
          <w:lang w:val="en-US"/>
        </w:rPr>
        <w:t>rom</w:t>
      </w:r>
      <w:r>
        <w:rPr>
          <w:lang w:val="en-US"/>
        </w:rPr>
        <w:t xml:space="preserve"> which date a month to mont</w:t>
      </w:r>
      <w:r w:rsidR="007B3D6B">
        <w:rPr>
          <w:lang w:val="en-US"/>
        </w:rPr>
        <w:t>h</w:t>
      </w:r>
      <w:r>
        <w:rPr>
          <w:lang w:val="en-US"/>
        </w:rPr>
        <w:t xml:space="preserve"> kicked </w:t>
      </w:r>
      <w:r w:rsidR="007B3D6B">
        <w:rPr>
          <w:lang w:val="en-US"/>
        </w:rPr>
        <w:t xml:space="preserve">in </w:t>
      </w:r>
      <w:r>
        <w:rPr>
          <w:lang w:val="en-US"/>
        </w:rPr>
        <w:t xml:space="preserve">subject to a </w:t>
      </w:r>
      <w:r w:rsidR="007D7C28">
        <w:rPr>
          <w:lang w:val="en-US"/>
        </w:rPr>
        <w:t>six-month</w:t>
      </w:r>
      <w:r>
        <w:rPr>
          <w:lang w:val="en-US"/>
        </w:rPr>
        <w:t xml:space="preserve"> termination notice.</w:t>
      </w:r>
      <w:r w:rsidR="008A0207">
        <w:rPr>
          <w:lang w:val="en-US"/>
        </w:rPr>
        <w:t xml:space="preserve"> It is therefore not correct that the lease agreement expired on 31 December 2019.</w:t>
      </w:r>
    </w:p>
  </w:footnote>
  <w:footnote w:id="7">
    <w:p w14:paraId="71DCB15F" w14:textId="7262F364" w:rsidR="00613185" w:rsidRPr="00613185" w:rsidRDefault="00613185">
      <w:pPr>
        <w:pStyle w:val="FootnoteText"/>
        <w:rPr>
          <w:lang w:val="en-US"/>
        </w:rPr>
      </w:pPr>
      <w:r>
        <w:rPr>
          <w:rStyle w:val="FootnoteReference"/>
        </w:rPr>
        <w:footnoteRef/>
      </w:r>
      <w:r>
        <w:t xml:space="preserve"> </w:t>
      </w:r>
      <w:r>
        <w:rPr>
          <w:lang w:val="en-US"/>
        </w:rPr>
        <w:t>See letter from</w:t>
      </w:r>
      <w:r w:rsidR="00155C58">
        <w:rPr>
          <w:lang w:val="en-US"/>
        </w:rPr>
        <w:t xml:space="preserve"> Govender Patel Dladla </w:t>
      </w:r>
      <w:r w:rsidR="008A00DA">
        <w:rPr>
          <w:lang w:val="en-US"/>
        </w:rPr>
        <w:t xml:space="preserve">attorneys </w:t>
      </w:r>
      <w:r w:rsidR="00155C58">
        <w:rPr>
          <w:lang w:val="en-US"/>
        </w:rPr>
        <w:t>dated 5 August 2021</w:t>
      </w:r>
      <w:r w:rsidR="008A00DA">
        <w:rPr>
          <w:lang w:val="en-US"/>
        </w:rPr>
        <w:t xml:space="preserve"> </w:t>
      </w:r>
      <w:r>
        <w:rPr>
          <w:lang w:val="en-US"/>
        </w:rPr>
        <w:t xml:space="preserve">attached </w:t>
      </w:r>
      <w:r w:rsidR="008A00DA">
        <w:rPr>
          <w:lang w:val="en-US"/>
        </w:rPr>
        <w:t xml:space="preserve">as </w:t>
      </w:r>
      <w:r>
        <w:rPr>
          <w:lang w:val="en-US"/>
        </w:rPr>
        <w:t xml:space="preserve">annexure 7 to the </w:t>
      </w:r>
      <w:r w:rsidR="00E56846">
        <w:rPr>
          <w:lang w:val="en-US"/>
        </w:rPr>
        <w:t>Respondent’s A</w:t>
      </w:r>
      <w:r>
        <w:rPr>
          <w:lang w:val="en-US"/>
        </w:rPr>
        <w:t xml:space="preserve">nswering </w:t>
      </w:r>
      <w:r w:rsidR="00E56846">
        <w:rPr>
          <w:lang w:val="en-US"/>
        </w:rPr>
        <w:t>A</w:t>
      </w:r>
      <w:r>
        <w:rPr>
          <w:lang w:val="en-US"/>
        </w:rPr>
        <w:t>ffidavit at 011-2.</w:t>
      </w:r>
    </w:p>
  </w:footnote>
  <w:footnote w:id="8">
    <w:p w14:paraId="2970C97E" w14:textId="49311FEF" w:rsidR="0093140C" w:rsidRPr="0093140C" w:rsidRDefault="0093140C">
      <w:pPr>
        <w:pStyle w:val="FootnoteText"/>
        <w:rPr>
          <w:lang w:val="en-US"/>
        </w:rPr>
      </w:pPr>
      <w:r>
        <w:rPr>
          <w:rStyle w:val="FootnoteReference"/>
        </w:rPr>
        <w:footnoteRef/>
      </w:r>
      <w:r>
        <w:t xml:space="preserve"> </w:t>
      </w:r>
      <w:r>
        <w:rPr>
          <w:lang w:val="en-US"/>
        </w:rPr>
        <w:t>See para 49 of the Respondent’s Answering Affidavit at 019-2</w:t>
      </w:r>
      <w:r w:rsidR="008A0207">
        <w:rPr>
          <w:lang w:val="en-US"/>
        </w:rPr>
        <w:t>2</w:t>
      </w:r>
      <w:r>
        <w:rPr>
          <w:lang w:val="en-US"/>
        </w:rPr>
        <w:t>.</w:t>
      </w:r>
    </w:p>
  </w:footnote>
  <w:footnote w:id="9">
    <w:p w14:paraId="1DC0279D" w14:textId="24876F91" w:rsidR="007D7C28" w:rsidRPr="00155C58" w:rsidRDefault="007D7C28" w:rsidP="007D7C28">
      <w:pPr>
        <w:pStyle w:val="FootnoteText"/>
        <w:rPr>
          <w:lang w:val="en-US"/>
        </w:rPr>
      </w:pPr>
      <w:r>
        <w:rPr>
          <w:rStyle w:val="FootnoteReference"/>
        </w:rPr>
        <w:footnoteRef/>
      </w:r>
      <w:r>
        <w:t xml:space="preserve"> </w:t>
      </w:r>
      <w:r>
        <w:rPr>
          <w:lang w:val="en-US"/>
        </w:rPr>
        <w:t>See annexure ZA2 of the Respondent’s Answering Affidavit at</w:t>
      </w:r>
      <w:r w:rsidR="0093140C">
        <w:rPr>
          <w:lang w:val="en-US"/>
        </w:rPr>
        <w:t xml:space="preserve"> 019-</w:t>
      </w:r>
      <w:r w:rsidR="008A0207">
        <w:rPr>
          <w:lang w:val="en-US"/>
        </w:rPr>
        <w:t>23</w:t>
      </w:r>
      <w:r w:rsidR="0093140C">
        <w:rPr>
          <w:lang w:val="en-US"/>
        </w:rPr>
        <w:t>.</w:t>
      </w:r>
    </w:p>
  </w:footnote>
  <w:footnote w:id="10">
    <w:p w14:paraId="759C5812" w14:textId="65A1A5BE" w:rsidR="00580D45" w:rsidRPr="00580D45" w:rsidRDefault="00580D45">
      <w:pPr>
        <w:pStyle w:val="FootnoteText"/>
        <w:rPr>
          <w:lang w:val="en-US"/>
        </w:rPr>
      </w:pPr>
      <w:r>
        <w:rPr>
          <w:rStyle w:val="FootnoteReference"/>
        </w:rPr>
        <w:footnoteRef/>
      </w:r>
      <w:r>
        <w:t xml:space="preserve"> </w:t>
      </w:r>
      <w:r>
        <w:rPr>
          <w:lang w:val="en-US"/>
        </w:rPr>
        <w:t>The respondent alleges that this formula was agreed upon between the applicant and its dealers.</w:t>
      </w:r>
    </w:p>
  </w:footnote>
  <w:footnote w:id="11">
    <w:p w14:paraId="5ED435FB" w14:textId="4711E94C" w:rsidR="002C0259" w:rsidRPr="002C0259" w:rsidRDefault="002C0259">
      <w:pPr>
        <w:pStyle w:val="FootnoteText"/>
        <w:rPr>
          <w:lang w:val="en-US"/>
        </w:rPr>
      </w:pPr>
      <w:r>
        <w:rPr>
          <w:rStyle w:val="FootnoteReference"/>
        </w:rPr>
        <w:footnoteRef/>
      </w:r>
      <w:r>
        <w:t xml:space="preserve"> See para 28 R</w:t>
      </w:r>
      <w:r w:rsidR="007535AA">
        <w:t xml:space="preserve">espondent’s Heads of Argument </w:t>
      </w:r>
      <w:r>
        <w:t>at 026-15.</w:t>
      </w:r>
    </w:p>
  </w:footnote>
  <w:footnote w:id="12">
    <w:p w14:paraId="1CECA3BC" w14:textId="2511E1F7" w:rsidR="0070135B" w:rsidRPr="0070135B" w:rsidRDefault="0070135B">
      <w:pPr>
        <w:pStyle w:val="FootnoteText"/>
        <w:rPr>
          <w:lang w:val="en-US"/>
        </w:rPr>
      </w:pPr>
      <w:r>
        <w:rPr>
          <w:rStyle w:val="FootnoteReference"/>
        </w:rPr>
        <w:footnoteRef/>
      </w:r>
      <w:r>
        <w:t xml:space="preserve"> </w:t>
      </w:r>
      <w:r w:rsidR="00B13C0A">
        <w:t>Clause 34.4 provides that ‘</w:t>
      </w:r>
      <w:r w:rsidR="00B13C0A" w:rsidRPr="00B13C0A">
        <w:rPr>
          <w:i/>
          <w:iCs/>
        </w:rPr>
        <w:t>If the Lessee wishes to transfer the Business to a third party, it shall obtain a written bona fide offer from third party</w:t>
      </w:r>
      <w:r w:rsidR="00B13C0A">
        <w:t>’. At 003-60.</w:t>
      </w:r>
    </w:p>
  </w:footnote>
  <w:footnote w:id="13">
    <w:p w14:paraId="1AF6CC56" w14:textId="649009B7" w:rsidR="003F7075" w:rsidRPr="003F7075" w:rsidRDefault="003F7075">
      <w:pPr>
        <w:pStyle w:val="FootnoteText"/>
        <w:rPr>
          <w:lang w:val="en-US"/>
        </w:rPr>
      </w:pPr>
      <w:r>
        <w:rPr>
          <w:rStyle w:val="FootnoteReference"/>
        </w:rPr>
        <w:footnoteRef/>
      </w:r>
      <w:r>
        <w:t xml:space="preserve"> </w:t>
      </w:r>
      <w:r>
        <w:rPr>
          <w:lang w:val="en-US"/>
        </w:rPr>
        <w:t>See para 22 of the Applicant’s Heads of argument at 022-10.</w:t>
      </w:r>
    </w:p>
  </w:footnote>
  <w:footnote w:id="14">
    <w:p w14:paraId="5F70704F" w14:textId="01EAEE9F" w:rsidR="00B13C0A" w:rsidRPr="00B13C0A" w:rsidRDefault="00B13C0A">
      <w:pPr>
        <w:pStyle w:val="FootnoteText"/>
        <w:rPr>
          <w:lang w:val="en-US"/>
        </w:rPr>
      </w:pPr>
      <w:r>
        <w:rPr>
          <w:rStyle w:val="FootnoteReference"/>
        </w:rPr>
        <w:footnoteRef/>
      </w:r>
      <w:r>
        <w:t xml:space="preserve"> </w:t>
      </w:r>
      <w:r>
        <w:rPr>
          <w:lang w:val="en-US"/>
        </w:rPr>
        <w:t xml:space="preserve">See para 80 of the Respondent’s Answering </w:t>
      </w:r>
      <w:r w:rsidR="00916375">
        <w:rPr>
          <w:lang w:val="en-US"/>
        </w:rPr>
        <w:t>A</w:t>
      </w:r>
      <w:r>
        <w:rPr>
          <w:lang w:val="en-US"/>
        </w:rPr>
        <w:t>ffidavit at 019-33.</w:t>
      </w:r>
    </w:p>
  </w:footnote>
  <w:footnote w:id="15">
    <w:p w14:paraId="7155E0A0" w14:textId="77777777" w:rsidR="005821E8" w:rsidRPr="0074412B" w:rsidRDefault="005821E8" w:rsidP="005821E8">
      <w:pPr>
        <w:pStyle w:val="FootnoteText"/>
        <w:rPr>
          <w:lang w:val="en-US"/>
        </w:rPr>
      </w:pPr>
      <w:r>
        <w:rPr>
          <w:rStyle w:val="FootnoteReference"/>
        </w:rPr>
        <w:footnoteRef/>
      </w:r>
      <w:r>
        <w:t xml:space="preserve"> </w:t>
      </w:r>
      <w:r>
        <w:rPr>
          <w:lang w:val="en-US"/>
        </w:rPr>
        <w:t>Para 58 Respondent’s Heads of Argument at 026-37</w:t>
      </w:r>
    </w:p>
  </w:footnote>
  <w:footnote w:id="16">
    <w:p w14:paraId="0922EDB1" w14:textId="4C5DD70E" w:rsidR="00D14987" w:rsidRPr="00D14987" w:rsidRDefault="00D14987">
      <w:pPr>
        <w:pStyle w:val="FootnoteText"/>
        <w:rPr>
          <w:lang w:val="en-US"/>
        </w:rPr>
      </w:pPr>
      <w:r>
        <w:rPr>
          <w:rStyle w:val="FootnoteReference"/>
        </w:rPr>
        <w:footnoteRef/>
      </w:r>
      <w:r>
        <w:t xml:space="preserve"> </w:t>
      </w:r>
      <w:r w:rsidR="00B13C0A">
        <w:t>See para 83 of the Respondent’s Answering Affidavit at 019-33.</w:t>
      </w:r>
    </w:p>
  </w:footnote>
  <w:footnote w:id="17">
    <w:p w14:paraId="377293E2" w14:textId="1150A967" w:rsidR="00D14987" w:rsidRPr="00D14987" w:rsidRDefault="00D14987" w:rsidP="00D14987">
      <w:pPr>
        <w:pStyle w:val="FootnoteText"/>
        <w:ind w:left="0" w:firstLine="0"/>
        <w:rPr>
          <w:lang w:val="en-US"/>
        </w:rPr>
      </w:pPr>
      <w:r>
        <w:rPr>
          <w:rStyle w:val="FootnoteReference"/>
        </w:rPr>
        <w:footnoteRef/>
      </w:r>
      <w:r>
        <w:t xml:space="preserve"> </w:t>
      </w:r>
      <w:r>
        <w:rPr>
          <w:lang w:val="en-US"/>
        </w:rPr>
        <w:t xml:space="preserve">It was held in </w:t>
      </w:r>
      <w:r w:rsidRPr="00D14987">
        <w:rPr>
          <w:i/>
          <w:iCs/>
          <w:lang w:val="en-US"/>
        </w:rPr>
        <w:t>Mfoza</w:t>
      </w:r>
      <w:r>
        <w:rPr>
          <w:lang w:val="en-US"/>
        </w:rPr>
        <w:t xml:space="preserve"> that there is no parallel between arbitration in terms of Arbitration Act and the arbitration as contemplated in terms of the PPA and the latter has restrictions to only correcting the practice.</w:t>
      </w:r>
    </w:p>
  </w:footnote>
  <w:footnote w:id="18">
    <w:p w14:paraId="7496393C" w14:textId="759B1EA4" w:rsidR="00AA156E" w:rsidRPr="00AA156E" w:rsidRDefault="00AA156E">
      <w:pPr>
        <w:pStyle w:val="FootnoteText"/>
        <w:rPr>
          <w:lang w:val="en-US"/>
        </w:rPr>
      </w:pPr>
      <w:r>
        <w:rPr>
          <w:rStyle w:val="FootnoteReference"/>
        </w:rPr>
        <w:footnoteRef/>
      </w:r>
      <w:r>
        <w:t xml:space="preserve"> </w:t>
      </w:r>
      <w:r w:rsidR="008B38BD">
        <w:t>Ibid.</w:t>
      </w:r>
    </w:p>
  </w:footnote>
  <w:footnote w:id="19">
    <w:p w14:paraId="730D3E6A" w14:textId="3A44FD14" w:rsidR="00AA156E" w:rsidRPr="00AA156E" w:rsidRDefault="00AA156E">
      <w:pPr>
        <w:pStyle w:val="FootnoteText"/>
        <w:rPr>
          <w:lang w:val="en-US"/>
        </w:rPr>
      </w:pPr>
      <w:r>
        <w:rPr>
          <w:rStyle w:val="FootnoteReference"/>
        </w:rPr>
        <w:footnoteRef/>
      </w:r>
      <w:r>
        <w:t xml:space="preserve"> </w:t>
      </w:r>
      <w:r w:rsidR="00A24DC9" w:rsidRPr="00561F57">
        <w:rPr>
          <w:bCs/>
          <w:i/>
          <w:iCs/>
          <w:lang w:val="en-GB"/>
        </w:rPr>
        <w:t>Rissik Street One Stop t/a Rissik Street Engen and Another v Engen Petroleum Ltd (</w:t>
      </w:r>
      <w:r w:rsidR="00A24DC9" w:rsidRPr="00561F57">
        <w:rPr>
          <w:bCs/>
          <w:lang w:val="en-GB"/>
        </w:rPr>
        <w:t>CCT 196/21) [2023] ZACC 4, 2023 (4) BCLR 425 (CC) (1 February 2023)</w:t>
      </w:r>
      <w:r w:rsidR="00A24DC9">
        <w:rPr>
          <w:bCs/>
          <w:lang w:val="en-GB"/>
        </w:rPr>
        <w:t>.</w:t>
      </w:r>
    </w:p>
  </w:footnote>
  <w:footnote w:id="20">
    <w:p w14:paraId="5A294AC3" w14:textId="77777777" w:rsidR="0013779F" w:rsidRPr="00743C64" w:rsidRDefault="0013779F" w:rsidP="0013779F">
      <w:pPr>
        <w:pStyle w:val="FootnoteText"/>
        <w:rPr>
          <w:lang w:val="en-US"/>
        </w:rPr>
      </w:pPr>
      <w:r>
        <w:rPr>
          <w:rStyle w:val="FootnoteReference"/>
        </w:rPr>
        <w:footnoteRef/>
      </w:r>
      <w:r>
        <w:t xml:space="preserve"> </w:t>
      </w:r>
      <w:r>
        <w:rPr>
          <w:lang w:val="en-US"/>
        </w:rPr>
        <w:t>See para 138 of the Applicant’s Founding Affidavit at 020-372.</w:t>
      </w:r>
    </w:p>
  </w:footnote>
  <w:footnote w:id="21">
    <w:p w14:paraId="7D2611F9" w14:textId="77777777" w:rsidR="0013779F" w:rsidRPr="00843003" w:rsidRDefault="0013779F" w:rsidP="0013779F">
      <w:pPr>
        <w:pStyle w:val="FootnoteText"/>
        <w:rPr>
          <w:lang w:val="en-US"/>
        </w:rPr>
      </w:pPr>
      <w:r>
        <w:rPr>
          <w:rStyle w:val="FootnoteReference"/>
        </w:rPr>
        <w:footnoteRef/>
      </w:r>
      <w:r>
        <w:t xml:space="preserve"> </w:t>
      </w:r>
      <w:r>
        <w:rPr>
          <w:bCs/>
        </w:rPr>
        <w:t>T</w:t>
      </w:r>
      <w:r w:rsidRPr="00843003">
        <w:rPr>
          <w:bCs/>
        </w:rPr>
        <w:t>he applicant stated in the letter to DMRE dated 15 November 2021 that ordinarily sale of business should be embarked upon during the currency of the lease.</w:t>
      </w:r>
      <w:r>
        <w:rPr>
          <w:bCs/>
        </w:rPr>
        <w:t xml:space="preserve"> See letter on 019-104.</w:t>
      </w:r>
    </w:p>
  </w:footnote>
  <w:footnote w:id="22">
    <w:p w14:paraId="388C7651" w14:textId="77777777" w:rsidR="0013779F" w:rsidRPr="00725EBA" w:rsidRDefault="0013779F" w:rsidP="0013779F">
      <w:pPr>
        <w:pStyle w:val="FootnoteText"/>
        <w:rPr>
          <w:lang w:val="en-US"/>
        </w:rPr>
      </w:pPr>
      <w:r>
        <w:rPr>
          <w:rStyle w:val="FootnoteReference"/>
        </w:rPr>
        <w:footnoteRef/>
      </w:r>
      <w:r>
        <w:t xml:space="preserve"> </w:t>
      </w:r>
      <w:r>
        <w:rPr>
          <w:lang w:val="en-US"/>
        </w:rPr>
        <w:t>See para 29.3 of the Respondent’s Heads of Argument at 026-16. The applicant having also suggested and agreed on the formula as a compromise after the applicant having complained that dealers are overpricing their business sites, as per draft document attached to the Respondent’s Answering Affidavit marked ZA 4 at 019-104.</w:t>
      </w:r>
    </w:p>
  </w:footnote>
  <w:footnote w:id="23">
    <w:p w14:paraId="7FA3DAD0" w14:textId="77777777" w:rsidR="0013779F" w:rsidRPr="00553B6A" w:rsidRDefault="0013779F" w:rsidP="0013779F">
      <w:pPr>
        <w:pStyle w:val="FootnoteText"/>
        <w:rPr>
          <w:lang w:val="en-US"/>
        </w:rPr>
      </w:pPr>
      <w:r>
        <w:rPr>
          <w:rStyle w:val="FootnoteReference"/>
        </w:rPr>
        <w:footnoteRef/>
      </w:r>
      <w:r>
        <w:t xml:space="preserve"> </w:t>
      </w:r>
      <w:r>
        <w:rPr>
          <w:lang w:val="en-US"/>
        </w:rPr>
        <w:t>See Respondent’s Answering Affidavit at 019-108,</w:t>
      </w:r>
    </w:p>
  </w:footnote>
  <w:footnote w:id="24">
    <w:p w14:paraId="4C0E5227" w14:textId="77777777" w:rsidR="0013779F" w:rsidRPr="00553B6A" w:rsidRDefault="0013779F" w:rsidP="0013779F">
      <w:pPr>
        <w:pStyle w:val="FootnoteText"/>
        <w:rPr>
          <w:lang w:val="en-US"/>
        </w:rPr>
      </w:pPr>
      <w:r>
        <w:rPr>
          <w:rStyle w:val="FootnoteReference"/>
        </w:rPr>
        <w:footnoteRef/>
      </w:r>
      <w:r>
        <w:t xml:space="preserve"> </w:t>
      </w:r>
      <w:r>
        <w:rPr>
          <w:lang w:val="en-US"/>
        </w:rPr>
        <w:t>See para 240 of the Respondent’s Answering Affidavit. The respondent further attached a power point presentation which refers to sites whose lease were no renewed and were to sell on the basis of the 36-month EBITDA formula. BP would assist by advertising such sale internally and subsequently external in the event of no taking up.</w:t>
      </w:r>
    </w:p>
  </w:footnote>
  <w:footnote w:id="25">
    <w:p w14:paraId="5C726DEB" w14:textId="77777777" w:rsidR="0013779F" w:rsidRPr="00D67E6F" w:rsidRDefault="0013779F" w:rsidP="0013779F">
      <w:pPr>
        <w:pStyle w:val="FootnoteText"/>
        <w:rPr>
          <w:lang w:val="en-US"/>
        </w:rPr>
      </w:pPr>
      <w:r>
        <w:rPr>
          <w:rStyle w:val="FootnoteReference"/>
        </w:rPr>
        <w:footnoteRef/>
      </w:r>
      <w:r>
        <w:t xml:space="preserve"> </w:t>
      </w:r>
      <w:r>
        <w:rPr>
          <w:lang w:val="en-US"/>
        </w:rPr>
        <w:t>See para 11 of the Respondent’s Answering Affidavit at 019-51.</w:t>
      </w:r>
    </w:p>
  </w:footnote>
  <w:footnote w:id="26">
    <w:p w14:paraId="2CEFC2B7" w14:textId="77777777" w:rsidR="0013779F" w:rsidRPr="009F1353" w:rsidRDefault="0013779F" w:rsidP="0013779F">
      <w:pPr>
        <w:pStyle w:val="FootnoteText"/>
        <w:rPr>
          <w:lang w:val="en-US"/>
        </w:rPr>
      </w:pPr>
      <w:r>
        <w:rPr>
          <w:rStyle w:val="FootnoteReference"/>
        </w:rPr>
        <w:footnoteRef/>
      </w:r>
      <w:r>
        <w:t xml:space="preserve"> </w:t>
      </w:r>
      <w:r>
        <w:rPr>
          <w:lang w:val="en-US"/>
        </w:rPr>
        <w:t xml:space="preserve">It is to be noted that compensation and ward for damages are not within the jurisdiction of the arbitrator in terms of section 12B (4)(a) of the PPA- see </w:t>
      </w:r>
      <w:r w:rsidRPr="008E55B2">
        <w:rPr>
          <w:i/>
          <w:iCs/>
          <w:lang w:val="en-US"/>
        </w:rPr>
        <w:t>Mfoza Service Station (Pty) Ltd v Engen Petroleum Limited and Another</w:t>
      </w:r>
      <w:r>
        <w:rPr>
          <w:i/>
          <w:iCs/>
          <w:lang w:val="en-US"/>
        </w:rPr>
        <w:t xml:space="preserve"> </w:t>
      </w:r>
      <w:r>
        <w:rPr>
          <w:lang w:val="en-US"/>
        </w:rPr>
        <w:t>(CCT167/21) [2023] ZACC 3; 2023 (4) BCLR397 (CC); 2023 (6) SA 29 (CC) (1 February 2023).</w:t>
      </w:r>
    </w:p>
  </w:footnote>
  <w:footnote w:id="27">
    <w:p w14:paraId="26AD8543" w14:textId="77777777" w:rsidR="0013779F" w:rsidRDefault="0013779F" w:rsidP="0013779F">
      <w:pPr>
        <w:pStyle w:val="FootnoteText"/>
        <w:rPr>
          <w:lang w:val="en-US"/>
        </w:rPr>
      </w:pPr>
      <w:r>
        <w:rPr>
          <w:rStyle w:val="FootnoteReference"/>
        </w:rPr>
        <w:footnoteRef/>
      </w:r>
      <w:r>
        <w:t xml:space="preserve"> </w:t>
      </w:r>
      <w:r>
        <w:rPr>
          <w:lang w:val="en-US"/>
        </w:rPr>
        <w:t>Month means a calendar month and specifically:</w:t>
      </w:r>
    </w:p>
    <w:p w14:paraId="69DE33E7" w14:textId="34B35CAF" w:rsidR="0013779F" w:rsidRDefault="003E4555" w:rsidP="003E4555">
      <w:pPr>
        <w:pStyle w:val="FootnoteText"/>
        <w:ind w:left="426" w:hanging="286"/>
        <w:rPr>
          <w:lang w:val="en-US"/>
        </w:rPr>
      </w:pPr>
      <w:r>
        <w:rPr>
          <w:lang w:val="en-US"/>
        </w:rPr>
        <w:t>(i)</w:t>
      </w:r>
      <w:r>
        <w:rPr>
          <w:lang w:val="en-US"/>
        </w:rPr>
        <w:tab/>
      </w:r>
      <w:r w:rsidR="0013779F">
        <w:rPr>
          <w:lang w:val="en-US"/>
        </w:rPr>
        <w:t>In reference to a number of months from a specific date, a calendar month commencing on that date or the same date of any subsequent month; and</w:t>
      </w:r>
    </w:p>
    <w:p w14:paraId="0C7A1996" w14:textId="7D5EB0D8" w:rsidR="0013779F" w:rsidRDefault="003E4555" w:rsidP="003E4555">
      <w:pPr>
        <w:pStyle w:val="FootnoteText"/>
        <w:ind w:left="860" w:hanging="720"/>
        <w:rPr>
          <w:lang w:val="en-US"/>
        </w:rPr>
      </w:pPr>
      <w:r>
        <w:rPr>
          <w:lang w:val="en-US"/>
        </w:rPr>
        <w:t>(ii)</w:t>
      </w:r>
      <w:r>
        <w:rPr>
          <w:lang w:val="en-US"/>
        </w:rPr>
        <w:tab/>
      </w:r>
      <w:r w:rsidR="0013779F">
        <w:rPr>
          <w:lang w:val="en-US"/>
        </w:rPr>
        <w:t xml:space="preserve">In any other context a month in the calendar that is one of the twelve months of the calendar; and </w:t>
      </w:r>
    </w:p>
    <w:p w14:paraId="43343BDA" w14:textId="77777777" w:rsidR="0013779F" w:rsidRPr="006B18C2" w:rsidRDefault="0013779F" w:rsidP="0013779F">
      <w:pPr>
        <w:pStyle w:val="FootnoteText"/>
        <w:ind w:left="140" w:firstLine="0"/>
        <w:rPr>
          <w:lang w:val="en-US"/>
        </w:rPr>
      </w:pPr>
      <w:r>
        <w:rPr>
          <w:lang w:val="en-US"/>
        </w:rPr>
        <w:t xml:space="preserve">“Monthly has a corresponding meaning”. </w:t>
      </w:r>
    </w:p>
  </w:footnote>
  <w:footnote w:id="28">
    <w:p w14:paraId="45E8E20D" w14:textId="77777777" w:rsidR="0013779F" w:rsidRPr="009372A8" w:rsidRDefault="0013779F" w:rsidP="0013779F">
      <w:pPr>
        <w:pStyle w:val="FootnoteText"/>
        <w:rPr>
          <w:lang w:val="en-US"/>
        </w:rPr>
      </w:pPr>
      <w:r>
        <w:rPr>
          <w:rStyle w:val="FootnoteReference"/>
        </w:rPr>
        <w:footnoteRef/>
      </w:r>
      <w:r>
        <w:t xml:space="preserve"> See para 63 of the Applicant’s Heads of Argument at 020-19.</w:t>
      </w:r>
    </w:p>
  </w:footnote>
  <w:footnote w:id="29">
    <w:p w14:paraId="5D9B234E" w14:textId="49A0EF41" w:rsidR="00A24DC9" w:rsidRPr="00A24DC9" w:rsidRDefault="00A24DC9">
      <w:pPr>
        <w:pStyle w:val="FootnoteText"/>
        <w:rPr>
          <w:lang w:val="en-US"/>
        </w:rPr>
      </w:pPr>
      <w:r>
        <w:rPr>
          <w:rStyle w:val="FootnoteReference"/>
        </w:rPr>
        <w:footnoteRef/>
      </w:r>
      <w:r>
        <w:t xml:space="preserve"> </w:t>
      </w:r>
      <w:r w:rsidRPr="007C7338">
        <w:rPr>
          <w:i/>
          <w:iCs/>
          <w:lang w:val="en-US"/>
        </w:rPr>
        <w:t>Ama</w:t>
      </w:r>
      <w:r>
        <w:rPr>
          <w:i/>
          <w:iCs/>
          <w:lang w:val="en-US"/>
        </w:rPr>
        <w:t>l</w:t>
      </w:r>
      <w:r w:rsidRPr="007C7338">
        <w:rPr>
          <w:i/>
          <w:iCs/>
          <w:lang w:val="en-US"/>
        </w:rPr>
        <w:t>gamated Engineering Union v Minister of Labour</w:t>
      </w:r>
      <w:r>
        <w:rPr>
          <w:i/>
          <w:iCs/>
          <w:lang w:val="en-US"/>
        </w:rPr>
        <w:t xml:space="preserve"> </w:t>
      </w:r>
      <w:r>
        <w:rPr>
          <w:lang w:val="en-US"/>
        </w:rPr>
        <w:t>1949 (3) SA 637 (A).</w:t>
      </w:r>
    </w:p>
  </w:footnote>
  <w:footnote w:id="30">
    <w:p w14:paraId="264EFDD4" w14:textId="3BC26C12" w:rsidR="007C7338" w:rsidRPr="007C7338" w:rsidRDefault="007C7338">
      <w:pPr>
        <w:pStyle w:val="FootnoteText"/>
        <w:rPr>
          <w:lang w:val="en-US"/>
        </w:rPr>
      </w:pPr>
      <w:r>
        <w:rPr>
          <w:rStyle w:val="FootnoteReference"/>
        </w:rPr>
        <w:footnoteRef/>
      </w:r>
      <w:r>
        <w:t xml:space="preserve"> </w:t>
      </w:r>
      <w:r>
        <w:rPr>
          <w:lang w:val="en-US"/>
        </w:rPr>
        <w:t>at 653.</w:t>
      </w:r>
    </w:p>
  </w:footnote>
  <w:footnote w:id="31">
    <w:p w14:paraId="1EA6AB7E" w14:textId="57DD10F4" w:rsidR="0052654F" w:rsidRPr="00F551D4" w:rsidRDefault="0052654F" w:rsidP="0052654F">
      <w:pPr>
        <w:pStyle w:val="FootnoteText"/>
        <w:rPr>
          <w:lang w:val="en-US"/>
        </w:rPr>
      </w:pPr>
      <w:r>
        <w:rPr>
          <w:rStyle w:val="FootnoteReference"/>
        </w:rPr>
        <w:footnoteRef/>
      </w:r>
      <w:r>
        <w:t xml:space="preserve"> </w:t>
      </w:r>
      <w:r>
        <w:rPr>
          <w:lang w:val="en-US"/>
        </w:rPr>
        <w:t xml:space="preserve">See </w:t>
      </w:r>
      <w:r w:rsidR="008B38BD">
        <w:rPr>
          <w:lang w:val="en-US"/>
        </w:rPr>
        <w:t>n 26 above</w:t>
      </w:r>
      <w:r>
        <w:rPr>
          <w:lang w:val="en-US"/>
        </w:rPr>
        <w:t>.</w:t>
      </w:r>
    </w:p>
  </w:footnote>
  <w:footnote w:id="32">
    <w:p w14:paraId="7B0DB705" w14:textId="77777777" w:rsidR="0052654F" w:rsidRPr="00F551D4" w:rsidRDefault="0052654F" w:rsidP="0052654F">
      <w:pPr>
        <w:pStyle w:val="FootnoteText"/>
        <w:rPr>
          <w:lang w:val="en-US"/>
        </w:rPr>
      </w:pPr>
      <w:r>
        <w:rPr>
          <w:rStyle w:val="FootnoteReference"/>
        </w:rPr>
        <w:footnoteRef/>
      </w:r>
      <w:r>
        <w:t xml:space="preserve"> </w:t>
      </w:r>
      <w:r w:rsidRPr="00F551D4">
        <w:rPr>
          <w:i/>
          <w:iCs/>
          <w:lang w:val="en-US"/>
        </w:rPr>
        <w:t>Crompton Street Motors v Bright Idea Projects 66 (Pty) Limited</w:t>
      </w:r>
      <w:r>
        <w:rPr>
          <w:lang w:val="en-US"/>
        </w:rPr>
        <w:t xml:space="preserve"> CCT 19/2020.</w:t>
      </w:r>
    </w:p>
  </w:footnote>
  <w:footnote w:id="33">
    <w:p w14:paraId="58332823" w14:textId="77777777" w:rsidR="0052654F" w:rsidRPr="00A45267" w:rsidRDefault="0052654F" w:rsidP="0052654F">
      <w:pPr>
        <w:pStyle w:val="FootnoteText"/>
        <w:rPr>
          <w:lang w:val="en-US"/>
        </w:rPr>
      </w:pPr>
      <w:r>
        <w:rPr>
          <w:rStyle w:val="FootnoteReference"/>
        </w:rPr>
        <w:footnoteRef/>
      </w:r>
      <w:r>
        <w:t xml:space="preserve"> </w:t>
      </w:r>
      <w:r>
        <w:rPr>
          <w:i/>
          <w:iCs/>
          <w:lang w:val="en-US"/>
        </w:rPr>
        <w:t>ibid</w:t>
      </w:r>
      <w:r>
        <w:rPr>
          <w:lang w:val="en-US"/>
        </w:rPr>
        <w:t>.</w:t>
      </w:r>
    </w:p>
  </w:footnote>
  <w:footnote w:id="34">
    <w:p w14:paraId="0A4C8D94" w14:textId="77777777" w:rsidR="008B38BD" w:rsidRDefault="008B38BD">
      <w:pPr>
        <w:pStyle w:val="FootnoteText"/>
        <w:rPr>
          <w:lang w:val="en-US"/>
        </w:rPr>
      </w:pPr>
      <w:r>
        <w:rPr>
          <w:rStyle w:val="FootnoteReference"/>
        </w:rPr>
        <w:footnoteRef/>
      </w:r>
      <w:r>
        <w:t xml:space="preserve"> </w:t>
      </w:r>
      <w:r w:rsidRPr="008A3E5D">
        <w:rPr>
          <w:i/>
          <w:iCs/>
          <w:lang w:val="en-US"/>
        </w:rPr>
        <w:t>Beadica 231 CC and Others v Trustees for the Time being of the Oregon Trust and Others</w:t>
      </w:r>
      <w:r>
        <w:rPr>
          <w:lang w:val="en-US"/>
        </w:rPr>
        <w:t xml:space="preserve">    </w:t>
      </w:r>
    </w:p>
    <w:p w14:paraId="315CE03F" w14:textId="7003DC2D" w:rsidR="008B38BD" w:rsidRPr="008B38BD" w:rsidRDefault="008B38BD">
      <w:pPr>
        <w:pStyle w:val="FootnoteText"/>
        <w:rPr>
          <w:lang w:val="en-US"/>
        </w:rPr>
      </w:pPr>
      <w:r>
        <w:rPr>
          <w:lang w:val="en-US"/>
        </w:rPr>
        <w:t xml:space="preserve">    (CCT109/19) [2020] ZACC 13; 2020(5) SA 247 (CC); 2020(9) BCLR 1098 (CC)</w:t>
      </w:r>
    </w:p>
  </w:footnote>
  <w:footnote w:id="35">
    <w:p w14:paraId="1F348106" w14:textId="2C5C67B9" w:rsidR="008B38BD" w:rsidRPr="008B38BD" w:rsidRDefault="008B38BD">
      <w:pPr>
        <w:pStyle w:val="FootnoteText"/>
        <w:rPr>
          <w:lang w:val="en-US"/>
        </w:rPr>
      </w:pPr>
      <w:r>
        <w:rPr>
          <w:rStyle w:val="FootnoteReference"/>
        </w:rPr>
        <w:footnoteRef/>
      </w:r>
      <w:r>
        <w:t xml:space="preserve"> </w:t>
      </w:r>
      <w:r>
        <w:rPr>
          <w:lang w:val="en-US"/>
        </w:rPr>
        <w:t>At para 80.</w:t>
      </w:r>
    </w:p>
  </w:footnote>
  <w:footnote w:id="36">
    <w:p w14:paraId="4FDE0AF4" w14:textId="497E5058" w:rsidR="0052654F" w:rsidRPr="008A3E5D" w:rsidRDefault="0052654F" w:rsidP="0052654F">
      <w:pPr>
        <w:pStyle w:val="FootnoteText"/>
        <w:rPr>
          <w:lang w:val="en-US"/>
        </w:rPr>
      </w:pPr>
      <w:r>
        <w:rPr>
          <w:rStyle w:val="FootnoteReference"/>
        </w:rPr>
        <w:footnoteRef/>
      </w:r>
      <w:r>
        <w:t xml:space="preserve"> </w:t>
      </w:r>
      <w:r w:rsidR="00F36B92">
        <w:t>See n 33 above</w:t>
      </w:r>
      <w:r w:rsidR="00317448">
        <w:rPr>
          <w:lang w:val="en-US"/>
        </w:rPr>
        <w:t xml:space="preserve">. </w:t>
      </w:r>
    </w:p>
  </w:footnote>
  <w:footnote w:id="37">
    <w:p w14:paraId="27872A76" w14:textId="4E36C64F" w:rsidR="00B13C0A" w:rsidRPr="00B13C0A" w:rsidRDefault="00B13C0A">
      <w:pPr>
        <w:pStyle w:val="FootnoteText"/>
        <w:rPr>
          <w:lang w:val="en-US"/>
        </w:rPr>
      </w:pPr>
      <w:r>
        <w:rPr>
          <w:rStyle w:val="FootnoteReference"/>
        </w:rPr>
        <w:footnoteRef/>
      </w:r>
      <w:r>
        <w:t xml:space="preserve"> See p</w:t>
      </w:r>
      <w:r>
        <w:rPr>
          <w:lang w:val="en-US"/>
        </w:rPr>
        <w:t xml:space="preserve">ara 28 </w:t>
      </w:r>
      <w:r w:rsidR="0052654F">
        <w:rPr>
          <w:lang w:val="en-US"/>
        </w:rPr>
        <w:t xml:space="preserve">in </w:t>
      </w:r>
      <w:r w:rsidRPr="00B13C0A">
        <w:rPr>
          <w:i/>
          <w:iCs/>
          <w:lang w:val="en-US"/>
        </w:rPr>
        <w:t>Kon</w:t>
      </w:r>
      <w:r>
        <w:rPr>
          <w:i/>
          <w:iCs/>
          <w:lang w:val="en-US"/>
        </w:rPr>
        <w:t>i</w:t>
      </w:r>
      <w:r w:rsidRPr="00B13C0A">
        <w:rPr>
          <w:i/>
          <w:iCs/>
          <w:lang w:val="en-US"/>
        </w:rPr>
        <w:t xml:space="preserve"> Multinational Brands (Pty) Ltd v Beiersdorf AG</w:t>
      </w:r>
      <w:r>
        <w:rPr>
          <w:lang w:val="en-US"/>
        </w:rPr>
        <w:t xml:space="preserve"> (553/19) [2021] ZASCA 24 (19 March 2021).</w:t>
      </w:r>
    </w:p>
  </w:footnote>
  <w:footnote w:id="38">
    <w:p w14:paraId="1458A33A" w14:textId="708D1EA3" w:rsidR="00B13C0A" w:rsidRPr="00B13C0A" w:rsidRDefault="00B13C0A">
      <w:pPr>
        <w:pStyle w:val="FootnoteText"/>
        <w:rPr>
          <w:lang w:val="en-US"/>
        </w:rPr>
      </w:pPr>
      <w:r>
        <w:rPr>
          <w:rStyle w:val="FootnoteReference"/>
        </w:rPr>
        <w:footnoteRef/>
      </w:r>
      <w:r>
        <w:t xml:space="preserve"> </w:t>
      </w:r>
      <w:r w:rsidR="00F36B92">
        <w:rPr>
          <w:lang w:val="en-US"/>
        </w:rPr>
        <w:t xml:space="preserve">See n 26 above, </w:t>
      </w:r>
      <w:r>
        <w:rPr>
          <w:lang w:val="en-US"/>
        </w:rPr>
        <w:t>para 29.</w:t>
      </w:r>
    </w:p>
  </w:footnote>
  <w:footnote w:id="39">
    <w:p w14:paraId="6A77B7BB" w14:textId="77777777" w:rsidR="00AB55C8" w:rsidRPr="00B13C0A" w:rsidRDefault="00AB55C8" w:rsidP="00AB55C8">
      <w:pPr>
        <w:pStyle w:val="FootnoteText"/>
        <w:rPr>
          <w:lang w:val="en-US"/>
        </w:rPr>
      </w:pPr>
      <w:r>
        <w:rPr>
          <w:rStyle w:val="FootnoteReference"/>
        </w:rPr>
        <w:footnoteRef/>
      </w:r>
      <w:r>
        <w:t xml:space="preserve"> See </w:t>
      </w:r>
      <w:r w:rsidRPr="00B13C0A">
        <w:rPr>
          <w:i/>
          <w:iCs/>
          <w:lang w:val="en-US"/>
        </w:rPr>
        <w:t>Butterworths and Precedent-Commercial Transactions 2</w:t>
      </w:r>
      <w:r>
        <w:rPr>
          <w:lang w:val="en-US"/>
        </w:rPr>
        <w:t>’ LexisNexis at 718.</w:t>
      </w:r>
    </w:p>
  </w:footnote>
  <w:footnote w:id="40">
    <w:p w14:paraId="1EE4426D" w14:textId="5CFD8775" w:rsidR="003D1053" w:rsidRPr="003D1053" w:rsidRDefault="003D1053">
      <w:pPr>
        <w:pStyle w:val="FootnoteText"/>
        <w:rPr>
          <w:lang w:val="en-US"/>
        </w:rPr>
      </w:pPr>
      <w:r>
        <w:rPr>
          <w:rStyle w:val="FootnoteReference"/>
        </w:rPr>
        <w:footnoteRef/>
      </w:r>
      <w:r>
        <w:t xml:space="preserve"> </w:t>
      </w:r>
      <w:r w:rsidR="00F36B92" w:rsidRPr="00F36B92">
        <w:rPr>
          <w:bCs/>
          <w:lang w:val="en-GB"/>
        </w:rPr>
        <w:t>See n 26 above</w:t>
      </w:r>
      <w:r w:rsidR="00F36B92">
        <w:rPr>
          <w:bCs/>
          <w:lang w:val="en-GB"/>
        </w:rPr>
        <w:t>,</w:t>
      </w:r>
      <w:r w:rsidR="00453759">
        <w:rPr>
          <w:bCs/>
          <w:lang w:val="en-GB"/>
        </w:rPr>
        <w:t xml:space="preserve"> at para 70.</w:t>
      </w:r>
    </w:p>
  </w:footnote>
  <w:footnote w:id="41">
    <w:p w14:paraId="578AAF7E" w14:textId="77777777" w:rsidR="00524A1F" w:rsidRDefault="000379AF">
      <w:pPr>
        <w:pStyle w:val="FootnoteText"/>
        <w:rPr>
          <w:lang w:val="en-US"/>
        </w:rPr>
      </w:pPr>
      <w:r>
        <w:rPr>
          <w:rStyle w:val="FootnoteReference"/>
        </w:rPr>
        <w:footnoteRef/>
      </w:r>
      <w:r>
        <w:t xml:space="preserve"> </w:t>
      </w:r>
      <w:r w:rsidRPr="000379AF">
        <w:rPr>
          <w:i/>
          <w:iCs/>
          <w:lang w:val="en-US"/>
        </w:rPr>
        <w:t>Luanga v Perthpark Properties Ltd</w:t>
      </w:r>
      <w:r>
        <w:rPr>
          <w:lang w:val="en-US"/>
        </w:rPr>
        <w:t xml:space="preserve"> (A99/2018) [2018] (20 September 2018) WCHC. See also </w:t>
      </w:r>
      <w:r w:rsidR="00524A1F">
        <w:rPr>
          <w:lang w:val="en-US"/>
        </w:rPr>
        <w:t xml:space="preserve">  </w:t>
      </w:r>
    </w:p>
    <w:p w14:paraId="298F46C0" w14:textId="77777777" w:rsidR="00524A1F" w:rsidRDefault="00524A1F">
      <w:pPr>
        <w:pStyle w:val="FootnoteText"/>
        <w:rPr>
          <w:lang w:val="en-US"/>
        </w:rPr>
      </w:pPr>
      <w:r>
        <w:rPr>
          <w:lang w:val="en-US"/>
        </w:rPr>
        <w:t xml:space="preserve">    </w:t>
      </w:r>
      <w:r w:rsidR="000379AF">
        <w:rPr>
          <w:lang w:val="en-US"/>
        </w:rPr>
        <w:t xml:space="preserve">judgments referred herein, </w:t>
      </w:r>
      <w:r w:rsidR="000379AF" w:rsidRPr="000379AF">
        <w:rPr>
          <w:i/>
          <w:iCs/>
          <w:lang w:val="en-US"/>
        </w:rPr>
        <w:t>Fulton v Nunn</w:t>
      </w:r>
      <w:r w:rsidR="000379AF">
        <w:rPr>
          <w:lang w:val="en-US"/>
        </w:rPr>
        <w:t xml:space="preserve"> 1904 TS 123, </w:t>
      </w:r>
      <w:r w:rsidR="004D7BFC" w:rsidRPr="004D7BFC">
        <w:rPr>
          <w:i/>
          <w:iCs/>
          <w:lang w:val="en-US"/>
        </w:rPr>
        <w:t>Tiopaizi v Bulawayo Municipality</w:t>
      </w:r>
      <w:r w:rsidR="004D7BFC">
        <w:rPr>
          <w:lang w:val="en-US"/>
        </w:rPr>
        <w:t xml:space="preserve"> 1923 AD </w:t>
      </w:r>
      <w:r>
        <w:rPr>
          <w:lang w:val="en-US"/>
        </w:rPr>
        <w:t xml:space="preserve"> </w:t>
      </w:r>
    </w:p>
    <w:p w14:paraId="1C82E453" w14:textId="047723C1" w:rsidR="000379AF" w:rsidRPr="000379AF" w:rsidRDefault="00524A1F">
      <w:pPr>
        <w:pStyle w:val="FootnoteText"/>
        <w:rPr>
          <w:lang w:val="en-US"/>
        </w:rPr>
      </w:pPr>
      <w:r>
        <w:rPr>
          <w:lang w:val="en-US"/>
        </w:rPr>
        <w:t xml:space="preserve">    </w:t>
      </w:r>
      <w:r w:rsidR="004D7BFC">
        <w:rPr>
          <w:lang w:val="en-US"/>
        </w:rPr>
        <w:t xml:space="preserve">317 and </w:t>
      </w:r>
      <w:r w:rsidR="004D7BFC" w:rsidRPr="004D7BFC">
        <w:rPr>
          <w:i/>
          <w:iCs/>
          <w:lang w:val="en-US"/>
        </w:rPr>
        <w:t>Stocks and Stocks Holdings Ltd and Another v Mphelo</w:t>
      </w:r>
      <w:r w:rsidR="004D7BFC">
        <w:rPr>
          <w:lang w:val="en-US"/>
        </w:rPr>
        <w:t xml:space="preserve"> 1996 (2) SA 864 (T) </w:t>
      </w:r>
    </w:p>
  </w:footnote>
  <w:footnote w:id="42">
    <w:p w14:paraId="31FB917E" w14:textId="62FF282B" w:rsidR="000379AF" w:rsidRPr="000379AF" w:rsidRDefault="000379AF">
      <w:pPr>
        <w:pStyle w:val="FootnoteText"/>
        <w:rPr>
          <w:lang w:val="en-US"/>
        </w:rPr>
      </w:pPr>
      <w:r>
        <w:rPr>
          <w:rStyle w:val="FootnoteReference"/>
        </w:rPr>
        <w:footnoteRef/>
      </w:r>
      <w:r>
        <w:t xml:space="preserve"> See ibid, para 16 </w:t>
      </w:r>
    </w:p>
  </w:footnote>
  <w:footnote w:id="43">
    <w:p w14:paraId="1502FEE8" w14:textId="173B7F91" w:rsidR="00524A1F" w:rsidRPr="00524A1F" w:rsidRDefault="00524A1F">
      <w:pPr>
        <w:pStyle w:val="FootnoteText"/>
        <w:rPr>
          <w:lang w:val="en-US"/>
        </w:rPr>
      </w:pPr>
      <w:r>
        <w:rPr>
          <w:rStyle w:val="FootnoteReference"/>
        </w:rPr>
        <w:footnoteRef/>
      </w:r>
      <w:r>
        <w:t xml:space="preserve"> </w:t>
      </w:r>
      <w:r>
        <w:rPr>
          <w:lang w:val="en-US"/>
        </w:rPr>
        <w:t xml:space="preserve">See AJ Kerr </w:t>
      </w:r>
      <w:r w:rsidRPr="00561F57">
        <w:rPr>
          <w:i/>
          <w:iCs/>
          <w:lang w:val="en-US"/>
        </w:rPr>
        <w:t>“The Law of Sale and Lease”</w:t>
      </w:r>
      <w:r>
        <w:rPr>
          <w:lang w:val="en-US"/>
        </w:rPr>
        <w:t xml:space="preserve"> 2</w:t>
      </w:r>
      <w:r w:rsidRPr="00561F57">
        <w:rPr>
          <w:vertAlign w:val="superscript"/>
          <w:lang w:val="en-US"/>
        </w:rPr>
        <w:t>nd</w:t>
      </w:r>
      <w:r>
        <w:rPr>
          <w:lang w:val="en-US"/>
        </w:rPr>
        <w:t xml:space="preserve"> edition, Butterworths, 2003.</w:t>
      </w:r>
    </w:p>
  </w:footnote>
  <w:footnote w:id="44">
    <w:p w14:paraId="1FDF85FC" w14:textId="33A68B51" w:rsidR="00E9443B" w:rsidRPr="00E9443B" w:rsidRDefault="00E9443B">
      <w:pPr>
        <w:pStyle w:val="FootnoteText"/>
        <w:rPr>
          <w:lang w:val="en-US"/>
        </w:rPr>
      </w:pPr>
      <w:r>
        <w:rPr>
          <w:rStyle w:val="FootnoteReference"/>
        </w:rPr>
        <w:footnoteRef/>
      </w:r>
      <w:r w:rsidR="00524A1F">
        <w:rPr>
          <w:lang w:val="en-US"/>
        </w:rPr>
        <w:t xml:space="preserve"> Ibid, </w:t>
      </w:r>
      <w:r>
        <w:rPr>
          <w:lang w:val="en-US"/>
        </w:rPr>
        <w:t>on 436.</w:t>
      </w:r>
    </w:p>
  </w:footnote>
  <w:footnote w:id="45">
    <w:p w14:paraId="49AF1037" w14:textId="2CFF49C6" w:rsidR="00C81EC8" w:rsidRPr="0099702A" w:rsidRDefault="00C81EC8">
      <w:pPr>
        <w:pStyle w:val="FootnoteText"/>
        <w:rPr>
          <w:lang w:val="en-US"/>
        </w:rPr>
      </w:pPr>
      <w:r>
        <w:rPr>
          <w:rStyle w:val="FootnoteReference"/>
        </w:rPr>
        <w:footnoteRef/>
      </w:r>
      <w:r>
        <w:t xml:space="preserve"> </w:t>
      </w:r>
      <w:r>
        <w:rPr>
          <w:lang w:val="en-US"/>
        </w:rPr>
        <w:t xml:space="preserve">See </w:t>
      </w:r>
      <w:r w:rsidR="0099702A">
        <w:rPr>
          <w:lang w:val="en-US"/>
        </w:rPr>
        <w:t xml:space="preserve">Robert Sharrock </w:t>
      </w:r>
      <w:r w:rsidR="0099702A" w:rsidRPr="0099702A">
        <w:rPr>
          <w:i/>
          <w:iCs/>
          <w:lang w:val="en-US"/>
        </w:rPr>
        <w:t>‘</w:t>
      </w:r>
      <w:r w:rsidRPr="0099702A">
        <w:rPr>
          <w:i/>
          <w:iCs/>
          <w:lang w:val="en-US"/>
        </w:rPr>
        <w:t>Business transactions Law</w:t>
      </w:r>
      <w:r w:rsidR="0099702A">
        <w:rPr>
          <w:i/>
          <w:iCs/>
          <w:lang w:val="en-US"/>
        </w:rPr>
        <w:t xml:space="preserve">’ </w:t>
      </w:r>
      <w:r w:rsidR="0099702A">
        <w:rPr>
          <w:lang w:val="en-US"/>
        </w:rPr>
        <w:t>Juta and Co. Ltd, 2002, 6</w:t>
      </w:r>
      <w:r w:rsidR="0099702A" w:rsidRPr="0099702A">
        <w:rPr>
          <w:vertAlign w:val="superscript"/>
          <w:lang w:val="en-US"/>
        </w:rPr>
        <w:t>th</w:t>
      </w:r>
      <w:r w:rsidR="0099702A">
        <w:rPr>
          <w:lang w:val="en-US"/>
        </w:rPr>
        <w:t xml:space="preserve"> ed.</w:t>
      </w:r>
    </w:p>
  </w:footnote>
  <w:footnote w:id="46">
    <w:p w14:paraId="4628AD9D" w14:textId="1D419A9A" w:rsidR="00DA3FD1" w:rsidRPr="000A2383" w:rsidRDefault="00DA3FD1" w:rsidP="00DA3FD1">
      <w:pPr>
        <w:pStyle w:val="FootnoteText"/>
        <w:rPr>
          <w:lang w:val="en-US"/>
        </w:rPr>
      </w:pPr>
      <w:r>
        <w:rPr>
          <w:rStyle w:val="FootnoteReference"/>
        </w:rPr>
        <w:footnoteRef/>
      </w:r>
      <w:r>
        <w:t xml:space="preserve"> </w:t>
      </w:r>
      <w:r>
        <w:rPr>
          <w:lang w:val="en-US"/>
        </w:rPr>
        <w:t xml:space="preserve">See </w:t>
      </w:r>
      <w:r w:rsidRPr="000A2383">
        <w:rPr>
          <w:i/>
          <w:iCs/>
          <w:lang w:val="en-US"/>
        </w:rPr>
        <w:t>KPMG Chartered Accountants (SA) v Securefin Ltd &amp; Another</w:t>
      </w:r>
      <w:r>
        <w:rPr>
          <w:lang w:val="en-US"/>
        </w:rPr>
        <w:t xml:space="preserve"> 2009(4) SA 399 (SCA), at para 39 quoted with approval in </w:t>
      </w:r>
      <w:r w:rsidRPr="000A2383">
        <w:rPr>
          <w:i/>
          <w:iCs/>
          <w:lang w:val="en-US"/>
        </w:rPr>
        <w:t>Beijers v Harlequin Duck Properties 231 (Pty) Ltd t/a Office Space Online</w:t>
      </w:r>
      <w:r>
        <w:rPr>
          <w:lang w:val="en-US"/>
        </w:rPr>
        <w:t xml:space="preserve"> (1216/2017) [2019] ZASCA 89 (31 May 2019). The </w:t>
      </w:r>
      <w:r w:rsidR="007C7338">
        <w:rPr>
          <w:lang w:val="en-US"/>
        </w:rPr>
        <w:t>C</w:t>
      </w:r>
      <w:r>
        <w:rPr>
          <w:lang w:val="en-US"/>
        </w:rPr>
        <w:t xml:space="preserve">onstitutional </w:t>
      </w:r>
      <w:r w:rsidR="007C7338">
        <w:rPr>
          <w:lang w:val="en-US"/>
        </w:rPr>
        <w:t>C</w:t>
      </w:r>
      <w:r>
        <w:rPr>
          <w:lang w:val="en-US"/>
        </w:rPr>
        <w:t xml:space="preserve">ourt having stated in </w:t>
      </w:r>
      <w:r w:rsidRPr="007D5CA0">
        <w:rPr>
          <w:i/>
          <w:iCs/>
          <w:lang w:val="en-US"/>
        </w:rPr>
        <w:t>University of Johannesburg v Auckland Park Theological Seminary and Another</w:t>
      </w:r>
      <w:r>
        <w:rPr>
          <w:lang w:val="en-US"/>
        </w:rPr>
        <w:t xml:space="preserve"> 2021 (6) SA 1 (CC) at par 68 that the </w:t>
      </w:r>
      <w:r>
        <w:rPr>
          <w:i/>
          <w:iCs/>
          <w:lang w:val="en-US"/>
        </w:rPr>
        <w:t>[</w:t>
      </w:r>
      <w:r w:rsidRPr="007D5CA0">
        <w:rPr>
          <w:i/>
          <w:iCs/>
          <w:lang w:val="en-US"/>
        </w:rPr>
        <w:t>T</w:t>
      </w:r>
      <w:r>
        <w:rPr>
          <w:i/>
          <w:iCs/>
          <w:lang w:val="en-US"/>
        </w:rPr>
        <w:t>]</w:t>
      </w:r>
      <w:r w:rsidRPr="007D5CA0">
        <w:rPr>
          <w:i/>
          <w:iCs/>
          <w:lang w:val="en-US"/>
        </w:rPr>
        <w:t>he rule is concerned with cases where the evidence in question seeks to vary, contradict or add to (as opposed to assist the c</w:t>
      </w:r>
      <w:r>
        <w:rPr>
          <w:i/>
          <w:iCs/>
          <w:lang w:val="en-US"/>
        </w:rPr>
        <w:t>o</w:t>
      </w:r>
      <w:r w:rsidRPr="007D5CA0">
        <w:rPr>
          <w:i/>
          <w:iCs/>
          <w:lang w:val="en-US"/>
        </w:rPr>
        <w:t>urt to interpret) the terms of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200B9093"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E35AD7">
      <w:rPr>
        <w:rStyle w:val="PageNumber"/>
        <w:rFonts w:cs="Arial"/>
        <w:noProof/>
        <w:sz w:val="20"/>
        <w:szCs w:val="20"/>
      </w:rPr>
      <w:t>24</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D84"/>
    <w:multiLevelType w:val="hybridMultilevel"/>
    <w:tmpl w:val="00CC0DC2"/>
    <w:lvl w:ilvl="0" w:tplc="EFC8658C">
      <w:start w:val="1"/>
      <w:numFmt w:val="lowerRoman"/>
      <w:lvlText w:val="(%1)"/>
      <w:lvlJc w:val="left"/>
      <w:pPr>
        <w:ind w:left="1866" w:hanging="72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 w15:restartNumberingAfterBreak="0">
    <w:nsid w:val="050958D0"/>
    <w:multiLevelType w:val="hybridMultilevel"/>
    <w:tmpl w:val="B3EC13E8"/>
    <w:lvl w:ilvl="0" w:tplc="117C1D6A">
      <w:start w:val="1"/>
      <w:numFmt w:val="decimal"/>
      <w:lvlText w:val="(%1)"/>
      <w:lvlJc w:val="left"/>
      <w:pPr>
        <w:ind w:left="610" w:hanging="360"/>
      </w:pPr>
      <w:rPr>
        <w:rFonts w:hint="default"/>
      </w:rPr>
    </w:lvl>
    <w:lvl w:ilvl="1" w:tplc="1C090019" w:tentative="1">
      <w:start w:val="1"/>
      <w:numFmt w:val="lowerLetter"/>
      <w:lvlText w:val="%2."/>
      <w:lvlJc w:val="left"/>
      <w:pPr>
        <w:ind w:left="1330" w:hanging="360"/>
      </w:pPr>
    </w:lvl>
    <w:lvl w:ilvl="2" w:tplc="1C09001B" w:tentative="1">
      <w:start w:val="1"/>
      <w:numFmt w:val="lowerRoman"/>
      <w:lvlText w:val="%3."/>
      <w:lvlJc w:val="right"/>
      <w:pPr>
        <w:ind w:left="2050" w:hanging="180"/>
      </w:pPr>
    </w:lvl>
    <w:lvl w:ilvl="3" w:tplc="1C09000F" w:tentative="1">
      <w:start w:val="1"/>
      <w:numFmt w:val="decimal"/>
      <w:lvlText w:val="%4."/>
      <w:lvlJc w:val="left"/>
      <w:pPr>
        <w:ind w:left="2770" w:hanging="360"/>
      </w:pPr>
    </w:lvl>
    <w:lvl w:ilvl="4" w:tplc="1C090019" w:tentative="1">
      <w:start w:val="1"/>
      <w:numFmt w:val="lowerLetter"/>
      <w:lvlText w:val="%5."/>
      <w:lvlJc w:val="left"/>
      <w:pPr>
        <w:ind w:left="3490" w:hanging="360"/>
      </w:pPr>
    </w:lvl>
    <w:lvl w:ilvl="5" w:tplc="1C09001B" w:tentative="1">
      <w:start w:val="1"/>
      <w:numFmt w:val="lowerRoman"/>
      <w:lvlText w:val="%6."/>
      <w:lvlJc w:val="right"/>
      <w:pPr>
        <w:ind w:left="4210" w:hanging="180"/>
      </w:pPr>
    </w:lvl>
    <w:lvl w:ilvl="6" w:tplc="1C09000F" w:tentative="1">
      <w:start w:val="1"/>
      <w:numFmt w:val="decimal"/>
      <w:lvlText w:val="%7."/>
      <w:lvlJc w:val="left"/>
      <w:pPr>
        <w:ind w:left="4930" w:hanging="360"/>
      </w:pPr>
    </w:lvl>
    <w:lvl w:ilvl="7" w:tplc="1C090019" w:tentative="1">
      <w:start w:val="1"/>
      <w:numFmt w:val="lowerLetter"/>
      <w:lvlText w:val="%8."/>
      <w:lvlJc w:val="left"/>
      <w:pPr>
        <w:ind w:left="5650" w:hanging="360"/>
      </w:pPr>
    </w:lvl>
    <w:lvl w:ilvl="8" w:tplc="1C09001B" w:tentative="1">
      <w:start w:val="1"/>
      <w:numFmt w:val="lowerRoman"/>
      <w:lvlText w:val="%9."/>
      <w:lvlJc w:val="right"/>
      <w:pPr>
        <w:ind w:left="637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E1A27A6"/>
    <w:multiLevelType w:val="hybridMultilevel"/>
    <w:tmpl w:val="C79EA5A8"/>
    <w:lvl w:ilvl="0" w:tplc="9FB2FE8E">
      <w:start w:val="1"/>
      <w:numFmt w:val="decimal"/>
      <w:lvlText w:val="(%1)"/>
      <w:lvlJc w:val="left"/>
      <w:pPr>
        <w:ind w:left="720" w:hanging="360"/>
      </w:pPr>
      <w:rPr>
        <w:rFonts w:hint="default"/>
        <w:color w:val="auto"/>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725BA1"/>
    <w:multiLevelType w:val="hybridMultilevel"/>
    <w:tmpl w:val="9E489D86"/>
    <w:lvl w:ilvl="0" w:tplc="62442700">
      <w:start w:val="1"/>
      <w:numFmt w:val="lowerRoman"/>
      <w:lvlText w:val="(%1)"/>
      <w:lvlJc w:val="left"/>
      <w:pPr>
        <w:ind w:left="860" w:hanging="72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5" w15:restartNumberingAfterBreak="0">
    <w:nsid w:val="23F0788A"/>
    <w:multiLevelType w:val="hybridMultilevel"/>
    <w:tmpl w:val="19DA135E"/>
    <w:lvl w:ilvl="0" w:tplc="CAE698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6A5BDD"/>
    <w:multiLevelType w:val="hybridMultilevel"/>
    <w:tmpl w:val="478649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32A0BA0"/>
    <w:multiLevelType w:val="hybridMultilevel"/>
    <w:tmpl w:val="770EC53C"/>
    <w:lvl w:ilvl="0" w:tplc="71901B94">
      <w:start w:val="1"/>
      <w:numFmt w:val="lowerLetter"/>
      <w:lvlText w:val="(%1)"/>
      <w:lvlJc w:val="left"/>
      <w:pPr>
        <w:ind w:left="500" w:hanging="360"/>
      </w:pPr>
      <w:rPr>
        <w:rFonts w:hint="default"/>
      </w:r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9" w15:restartNumberingAfterBreak="0">
    <w:nsid w:val="403F6D41"/>
    <w:multiLevelType w:val="hybridMultilevel"/>
    <w:tmpl w:val="A46A1A44"/>
    <w:lvl w:ilvl="0" w:tplc="EF6ED96C">
      <w:start w:val="1"/>
      <w:numFmt w:val="lowerRoman"/>
      <w:lvlText w:val="(%1)"/>
      <w:lvlJc w:val="left"/>
      <w:pPr>
        <w:ind w:left="1866" w:hanging="72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10" w15:restartNumberingAfterBreak="0">
    <w:nsid w:val="60881DC5"/>
    <w:multiLevelType w:val="hybridMultilevel"/>
    <w:tmpl w:val="09CAF76E"/>
    <w:lvl w:ilvl="0" w:tplc="4504370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619F4DBC"/>
    <w:multiLevelType w:val="hybridMultilevel"/>
    <w:tmpl w:val="E4BCAEC4"/>
    <w:lvl w:ilvl="0" w:tplc="71901B94">
      <w:start w:val="1"/>
      <w:numFmt w:val="lowerLetter"/>
      <w:lvlText w:val="(%1)"/>
      <w:lvlJc w:val="left"/>
      <w:pPr>
        <w:ind w:left="106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7121514C"/>
    <w:multiLevelType w:val="hybridMultilevel"/>
    <w:tmpl w:val="FBC8B60E"/>
    <w:lvl w:ilvl="0" w:tplc="79A88E1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7C71558B"/>
    <w:multiLevelType w:val="multilevel"/>
    <w:tmpl w:val="0040D5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A93C15"/>
    <w:multiLevelType w:val="hybridMultilevel"/>
    <w:tmpl w:val="EE2E040A"/>
    <w:lvl w:ilvl="0" w:tplc="20C2124A">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16cid:durableId="1685981739">
    <w:abstractNumId w:val="7"/>
  </w:num>
  <w:num w:numId="2" w16cid:durableId="433674678">
    <w:abstractNumId w:val="2"/>
  </w:num>
  <w:num w:numId="3" w16cid:durableId="1504978245">
    <w:abstractNumId w:val="13"/>
  </w:num>
  <w:num w:numId="4" w16cid:durableId="388650694">
    <w:abstractNumId w:val="5"/>
  </w:num>
  <w:num w:numId="5" w16cid:durableId="110705765">
    <w:abstractNumId w:val="10"/>
  </w:num>
  <w:num w:numId="6" w16cid:durableId="1586456971">
    <w:abstractNumId w:val="14"/>
  </w:num>
  <w:num w:numId="7" w16cid:durableId="1201818301">
    <w:abstractNumId w:val="9"/>
  </w:num>
  <w:num w:numId="8" w16cid:durableId="520827452">
    <w:abstractNumId w:val="0"/>
  </w:num>
  <w:num w:numId="9" w16cid:durableId="202524894">
    <w:abstractNumId w:val="8"/>
  </w:num>
  <w:num w:numId="10" w16cid:durableId="1736201365">
    <w:abstractNumId w:val="11"/>
  </w:num>
  <w:num w:numId="11" w16cid:durableId="987172718">
    <w:abstractNumId w:val="12"/>
  </w:num>
  <w:num w:numId="12" w16cid:durableId="937445491">
    <w:abstractNumId w:val="3"/>
  </w:num>
  <w:num w:numId="13" w16cid:durableId="1415470323">
    <w:abstractNumId w:val="1"/>
  </w:num>
  <w:num w:numId="14" w16cid:durableId="1461807157">
    <w:abstractNumId w:val="6"/>
  </w:num>
  <w:num w:numId="15" w16cid:durableId="151522079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NDI0sTCwtLA0NzNS0lEKTi0uzszPAykwrAUAQzg+bCwAAAA="/>
  </w:docVars>
  <w:rsids>
    <w:rsidRoot w:val="000E462D"/>
    <w:rsid w:val="00000464"/>
    <w:rsid w:val="000008C8"/>
    <w:rsid w:val="00000A42"/>
    <w:rsid w:val="00000EF8"/>
    <w:rsid w:val="00001488"/>
    <w:rsid w:val="000014AB"/>
    <w:rsid w:val="00001C2B"/>
    <w:rsid w:val="00001D87"/>
    <w:rsid w:val="00001ED1"/>
    <w:rsid w:val="00001F37"/>
    <w:rsid w:val="00001F4A"/>
    <w:rsid w:val="00002989"/>
    <w:rsid w:val="00002A5A"/>
    <w:rsid w:val="0000385F"/>
    <w:rsid w:val="00003B22"/>
    <w:rsid w:val="00004DCC"/>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2122"/>
    <w:rsid w:val="00012338"/>
    <w:rsid w:val="00012951"/>
    <w:rsid w:val="00013098"/>
    <w:rsid w:val="000132C8"/>
    <w:rsid w:val="000138E7"/>
    <w:rsid w:val="00013C41"/>
    <w:rsid w:val="00015564"/>
    <w:rsid w:val="000159D0"/>
    <w:rsid w:val="000159E3"/>
    <w:rsid w:val="00015CB4"/>
    <w:rsid w:val="00015DF2"/>
    <w:rsid w:val="00015E33"/>
    <w:rsid w:val="000167A0"/>
    <w:rsid w:val="00016CAE"/>
    <w:rsid w:val="00017ADC"/>
    <w:rsid w:val="00017F38"/>
    <w:rsid w:val="00017F91"/>
    <w:rsid w:val="00017FBE"/>
    <w:rsid w:val="000201F3"/>
    <w:rsid w:val="00020BD3"/>
    <w:rsid w:val="0002182D"/>
    <w:rsid w:val="0002183E"/>
    <w:rsid w:val="000218D9"/>
    <w:rsid w:val="00021D00"/>
    <w:rsid w:val="000220AB"/>
    <w:rsid w:val="00022137"/>
    <w:rsid w:val="000223FF"/>
    <w:rsid w:val="00022553"/>
    <w:rsid w:val="00022755"/>
    <w:rsid w:val="00022DBD"/>
    <w:rsid w:val="0002339D"/>
    <w:rsid w:val="00023C83"/>
    <w:rsid w:val="00023E81"/>
    <w:rsid w:val="00024BBC"/>
    <w:rsid w:val="00024C2E"/>
    <w:rsid w:val="00024CFC"/>
    <w:rsid w:val="00024D9F"/>
    <w:rsid w:val="00024EEC"/>
    <w:rsid w:val="00025230"/>
    <w:rsid w:val="0002572E"/>
    <w:rsid w:val="000257BF"/>
    <w:rsid w:val="00025954"/>
    <w:rsid w:val="00025AC8"/>
    <w:rsid w:val="00025C30"/>
    <w:rsid w:val="00025F74"/>
    <w:rsid w:val="0002779C"/>
    <w:rsid w:val="00027B76"/>
    <w:rsid w:val="00027F96"/>
    <w:rsid w:val="0003016A"/>
    <w:rsid w:val="00030489"/>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6E2C"/>
    <w:rsid w:val="0003747A"/>
    <w:rsid w:val="000379AF"/>
    <w:rsid w:val="00037BEE"/>
    <w:rsid w:val="00040CCB"/>
    <w:rsid w:val="00041412"/>
    <w:rsid w:val="000416E1"/>
    <w:rsid w:val="000417FB"/>
    <w:rsid w:val="000420A7"/>
    <w:rsid w:val="00042147"/>
    <w:rsid w:val="0004227F"/>
    <w:rsid w:val="000424CF"/>
    <w:rsid w:val="00042F90"/>
    <w:rsid w:val="00043BD9"/>
    <w:rsid w:val="00043CF0"/>
    <w:rsid w:val="00043D62"/>
    <w:rsid w:val="00043FBC"/>
    <w:rsid w:val="00044931"/>
    <w:rsid w:val="00045097"/>
    <w:rsid w:val="00045632"/>
    <w:rsid w:val="00045833"/>
    <w:rsid w:val="00045E98"/>
    <w:rsid w:val="00045F4F"/>
    <w:rsid w:val="00046217"/>
    <w:rsid w:val="000465C5"/>
    <w:rsid w:val="00046D4B"/>
    <w:rsid w:val="00046DA1"/>
    <w:rsid w:val="00046E6F"/>
    <w:rsid w:val="00046EF1"/>
    <w:rsid w:val="00047010"/>
    <w:rsid w:val="000475CE"/>
    <w:rsid w:val="00047CD9"/>
    <w:rsid w:val="00047D01"/>
    <w:rsid w:val="000504D1"/>
    <w:rsid w:val="00050622"/>
    <w:rsid w:val="00051411"/>
    <w:rsid w:val="00051CEC"/>
    <w:rsid w:val="00051E18"/>
    <w:rsid w:val="00051EA6"/>
    <w:rsid w:val="0005304A"/>
    <w:rsid w:val="0005313D"/>
    <w:rsid w:val="000542E5"/>
    <w:rsid w:val="0005441F"/>
    <w:rsid w:val="000544E5"/>
    <w:rsid w:val="000548AD"/>
    <w:rsid w:val="00054B4E"/>
    <w:rsid w:val="000552D2"/>
    <w:rsid w:val="00055739"/>
    <w:rsid w:val="00055889"/>
    <w:rsid w:val="00055DEE"/>
    <w:rsid w:val="00056201"/>
    <w:rsid w:val="00056244"/>
    <w:rsid w:val="00056580"/>
    <w:rsid w:val="00057567"/>
    <w:rsid w:val="00057638"/>
    <w:rsid w:val="00057700"/>
    <w:rsid w:val="00060392"/>
    <w:rsid w:val="000610F7"/>
    <w:rsid w:val="000618C4"/>
    <w:rsid w:val="00061E96"/>
    <w:rsid w:val="00063810"/>
    <w:rsid w:val="00063A5A"/>
    <w:rsid w:val="00063EDD"/>
    <w:rsid w:val="0006492B"/>
    <w:rsid w:val="00064C10"/>
    <w:rsid w:val="000656B7"/>
    <w:rsid w:val="000656D7"/>
    <w:rsid w:val="000656EA"/>
    <w:rsid w:val="000659AD"/>
    <w:rsid w:val="00065A64"/>
    <w:rsid w:val="00065BC7"/>
    <w:rsid w:val="00066475"/>
    <w:rsid w:val="000664E2"/>
    <w:rsid w:val="00066521"/>
    <w:rsid w:val="00066C39"/>
    <w:rsid w:val="00066D38"/>
    <w:rsid w:val="00067676"/>
    <w:rsid w:val="0006773F"/>
    <w:rsid w:val="000677A9"/>
    <w:rsid w:val="000678A4"/>
    <w:rsid w:val="0006797C"/>
    <w:rsid w:val="00067B41"/>
    <w:rsid w:val="000701D2"/>
    <w:rsid w:val="000705F3"/>
    <w:rsid w:val="000705FB"/>
    <w:rsid w:val="0007071E"/>
    <w:rsid w:val="00070B87"/>
    <w:rsid w:val="00071C87"/>
    <w:rsid w:val="00071CED"/>
    <w:rsid w:val="00072209"/>
    <w:rsid w:val="00072880"/>
    <w:rsid w:val="00072E6A"/>
    <w:rsid w:val="00073083"/>
    <w:rsid w:val="00073173"/>
    <w:rsid w:val="000736CC"/>
    <w:rsid w:val="00073A15"/>
    <w:rsid w:val="00073B67"/>
    <w:rsid w:val="00073C24"/>
    <w:rsid w:val="00074B0C"/>
    <w:rsid w:val="00074EFC"/>
    <w:rsid w:val="0007555F"/>
    <w:rsid w:val="0007582B"/>
    <w:rsid w:val="00075846"/>
    <w:rsid w:val="00075EF8"/>
    <w:rsid w:val="00076993"/>
    <w:rsid w:val="00076B87"/>
    <w:rsid w:val="00076FDD"/>
    <w:rsid w:val="000774B9"/>
    <w:rsid w:val="00077700"/>
    <w:rsid w:val="00077825"/>
    <w:rsid w:val="00077BE9"/>
    <w:rsid w:val="00080236"/>
    <w:rsid w:val="00080409"/>
    <w:rsid w:val="00080800"/>
    <w:rsid w:val="00080D72"/>
    <w:rsid w:val="0008104D"/>
    <w:rsid w:val="000815CC"/>
    <w:rsid w:val="000818E4"/>
    <w:rsid w:val="00081FB0"/>
    <w:rsid w:val="00082591"/>
    <w:rsid w:val="000846A3"/>
    <w:rsid w:val="00084DB1"/>
    <w:rsid w:val="000859AD"/>
    <w:rsid w:val="000859E7"/>
    <w:rsid w:val="00085B09"/>
    <w:rsid w:val="00085F9F"/>
    <w:rsid w:val="00085FC0"/>
    <w:rsid w:val="00086287"/>
    <w:rsid w:val="0008630F"/>
    <w:rsid w:val="00086D96"/>
    <w:rsid w:val="0008730F"/>
    <w:rsid w:val="00091291"/>
    <w:rsid w:val="000916D9"/>
    <w:rsid w:val="000920BA"/>
    <w:rsid w:val="00092D66"/>
    <w:rsid w:val="00093730"/>
    <w:rsid w:val="00093F4D"/>
    <w:rsid w:val="00093FBF"/>
    <w:rsid w:val="000942F8"/>
    <w:rsid w:val="0009496E"/>
    <w:rsid w:val="00094BC0"/>
    <w:rsid w:val="00094F34"/>
    <w:rsid w:val="00095583"/>
    <w:rsid w:val="000958D3"/>
    <w:rsid w:val="00096174"/>
    <w:rsid w:val="0009637A"/>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190"/>
    <w:rsid w:val="000A43C8"/>
    <w:rsid w:val="000A4BCE"/>
    <w:rsid w:val="000A5083"/>
    <w:rsid w:val="000A5310"/>
    <w:rsid w:val="000A54AB"/>
    <w:rsid w:val="000A5691"/>
    <w:rsid w:val="000A5902"/>
    <w:rsid w:val="000A5B37"/>
    <w:rsid w:val="000A5CFF"/>
    <w:rsid w:val="000A5F6C"/>
    <w:rsid w:val="000A674D"/>
    <w:rsid w:val="000A68FA"/>
    <w:rsid w:val="000A75E3"/>
    <w:rsid w:val="000A7B46"/>
    <w:rsid w:val="000A7DB6"/>
    <w:rsid w:val="000B077F"/>
    <w:rsid w:val="000B092C"/>
    <w:rsid w:val="000B1D38"/>
    <w:rsid w:val="000B20BE"/>
    <w:rsid w:val="000B231A"/>
    <w:rsid w:val="000B375C"/>
    <w:rsid w:val="000B3AD7"/>
    <w:rsid w:val="000B4664"/>
    <w:rsid w:val="000B5120"/>
    <w:rsid w:val="000B57F7"/>
    <w:rsid w:val="000B60D0"/>
    <w:rsid w:val="000B62E1"/>
    <w:rsid w:val="000B66C8"/>
    <w:rsid w:val="000B6AB6"/>
    <w:rsid w:val="000B6B72"/>
    <w:rsid w:val="000B73E6"/>
    <w:rsid w:val="000B7560"/>
    <w:rsid w:val="000B7740"/>
    <w:rsid w:val="000B7F2F"/>
    <w:rsid w:val="000C073E"/>
    <w:rsid w:val="000C08EE"/>
    <w:rsid w:val="000C0E4C"/>
    <w:rsid w:val="000C11A2"/>
    <w:rsid w:val="000C23CE"/>
    <w:rsid w:val="000C2F7E"/>
    <w:rsid w:val="000C340C"/>
    <w:rsid w:val="000C37A9"/>
    <w:rsid w:val="000C37B9"/>
    <w:rsid w:val="000C3E6D"/>
    <w:rsid w:val="000C50A3"/>
    <w:rsid w:val="000C54B8"/>
    <w:rsid w:val="000C589E"/>
    <w:rsid w:val="000C6187"/>
    <w:rsid w:val="000C6459"/>
    <w:rsid w:val="000C671C"/>
    <w:rsid w:val="000C6929"/>
    <w:rsid w:val="000C69ED"/>
    <w:rsid w:val="000C736C"/>
    <w:rsid w:val="000C7459"/>
    <w:rsid w:val="000C7699"/>
    <w:rsid w:val="000C79C6"/>
    <w:rsid w:val="000C7D50"/>
    <w:rsid w:val="000C7F43"/>
    <w:rsid w:val="000D102B"/>
    <w:rsid w:val="000D132A"/>
    <w:rsid w:val="000D1ECD"/>
    <w:rsid w:val="000D2CEB"/>
    <w:rsid w:val="000D2CFF"/>
    <w:rsid w:val="000D2F06"/>
    <w:rsid w:val="000D3A78"/>
    <w:rsid w:val="000D40E2"/>
    <w:rsid w:val="000D480F"/>
    <w:rsid w:val="000D4BC5"/>
    <w:rsid w:val="000D4D04"/>
    <w:rsid w:val="000D4EB5"/>
    <w:rsid w:val="000D4EBD"/>
    <w:rsid w:val="000D50F2"/>
    <w:rsid w:val="000D512A"/>
    <w:rsid w:val="000D515D"/>
    <w:rsid w:val="000D53B8"/>
    <w:rsid w:val="000D5462"/>
    <w:rsid w:val="000D60CB"/>
    <w:rsid w:val="000D65C9"/>
    <w:rsid w:val="000D67EE"/>
    <w:rsid w:val="000D6CFD"/>
    <w:rsid w:val="000D6D32"/>
    <w:rsid w:val="000D7AD3"/>
    <w:rsid w:val="000E0029"/>
    <w:rsid w:val="000E0869"/>
    <w:rsid w:val="000E0B6E"/>
    <w:rsid w:val="000E0CCE"/>
    <w:rsid w:val="000E0F0F"/>
    <w:rsid w:val="000E0F94"/>
    <w:rsid w:val="000E110F"/>
    <w:rsid w:val="000E117E"/>
    <w:rsid w:val="000E1B5D"/>
    <w:rsid w:val="000E1B61"/>
    <w:rsid w:val="000E1C65"/>
    <w:rsid w:val="000E21A8"/>
    <w:rsid w:val="000E22D9"/>
    <w:rsid w:val="000E28D4"/>
    <w:rsid w:val="000E2E13"/>
    <w:rsid w:val="000E3137"/>
    <w:rsid w:val="000E38A9"/>
    <w:rsid w:val="000E3933"/>
    <w:rsid w:val="000E462D"/>
    <w:rsid w:val="000E481A"/>
    <w:rsid w:val="000E4A0E"/>
    <w:rsid w:val="000E4BD3"/>
    <w:rsid w:val="000E4ECC"/>
    <w:rsid w:val="000E4EE7"/>
    <w:rsid w:val="000E500F"/>
    <w:rsid w:val="000E5617"/>
    <w:rsid w:val="000E5B2A"/>
    <w:rsid w:val="000E5C46"/>
    <w:rsid w:val="000E5D15"/>
    <w:rsid w:val="000E5E2A"/>
    <w:rsid w:val="000E60D7"/>
    <w:rsid w:val="000E6538"/>
    <w:rsid w:val="000E6CFF"/>
    <w:rsid w:val="000E7271"/>
    <w:rsid w:val="000E7553"/>
    <w:rsid w:val="000E75BA"/>
    <w:rsid w:val="000E7B93"/>
    <w:rsid w:val="000E7BD3"/>
    <w:rsid w:val="000F041B"/>
    <w:rsid w:val="000F05C4"/>
    <w:rsid w:val="000F0969"/>
    <w:rsid w:val="000F1075"/>
    <w:rsid w:val="000F11A1"/>
    <w:rsid w:val="000F194B"/>
    <w:rsid w:val="000F1A27"/>
    <w:rsid w:val="000F1C11"/>
    <w:rsid w:val="000F2471"/>
    <w:rsid w:val="000F279F"/>
    <w:rsid w:val="000F29F1"/>
    <w:rsid w:val="000F2AF9"/>
    <w:rsid w:val="000F2BA3"/>
    <w:rsid w:val="000F2EEA"/>
    <w:rsid w:val="000F2FE0"/>
    <w:rsid w:val="000F3157"/>
    <w:rsid w:val="000F33AB"/>
    <w:rsid w:val="000F3A4C"/>
    <w:rsid w:val="000F3E2A"/>
    <w:rsid w:val="000F3E94"/>
    <w:rsid w:val="000F4586"/>
    <w:rsid w:val="000F4B56"/>
    <w:rsid w:val="000F50ED"/>
    <w:rsid w:val="000F5675"/>
    <w:rsid w:val="000F57D6"/>
    <w:rsid w:val="000F588A"/>
    <w:rsid w:val="000F5D8D"/>
    <w:rsid w:val="000F66CF"/>
    <w:rsid w:val="000F686D"/>
    <w:rsid w:val="000F6A76"/>
    <w:rsid w:val="000F6ED1"/>
    <w:rsid w:val="000F75ED"/>
    <w:rsid w:val="0010088E"/>
    <w:rsid w:val="001013CF"/>
    <w:rsid w:val="001017AA"/>
    <w:rsid w:val="0010180A"/>
    <w:rsid w:val="00101811"/>
    <w:rsid w:val="0010191A"/>
    <w:rsid w:val="001026AC"/>
    <w:rsid w:val="00102832"/>
    <w:rsid w:val="00102A45"/>
    <w:rsid w:val="00102A78"/>
    <w:rsid w:val="00102ADA"/>
    <w:rsid w:val="0010452B"/>
    <w:rsid w:val="00104818"/>
    <w:rsid w:val="00104C5A"/>
    <w:rsid w:val="001050E7"/>
    <w:rsid w:val="00105C3B"/>
    <w:rsid w:val="00105D5A"/>
    <w:rsid w:val="001061C2"/>
    <w:rsid w:val="00106AA3"/>
    <w:rsid w:val="00106ACB"/>
    <w:rsid w:val="00106D7F"/>
    <w:rsid w:val="001074A3"/>
    <w:rsid w:val="00110198"/>
    <w:rsid w:val="00110911"/>
    <w:rsid w:val="00110B59"/>
    <w:rsid w:val="00110C9C"/>
    <w:rsid w:val="00110DF2"/>
    <w:rsid w:val="001119A7"/>
    <w:rsid w:val="0011232E"/>
    <w:rsid w:val="00112648"/>
    <w:rsid w:val="00112796"/>
    <w:rsid w:val="00112E3E"/>
    <w:rsid w:val="00112EEE"/>
    <w:rsid w:val="00112FA3"/>
    <w:rsid w:val="00113782"/>
    <w:rsid w:val="00113984"/>
    <w:rsid w:val="00113ABF"/>
    <w:rsid w:val="001148C4"/>
    <w:rsid w:val="001150B8"/>
    <w:rsid w:val="00115F4F"/>
    <w:rsid w:val="001164AF"/>
    <w:rsid w:val="00116594"/>
    <w:rsid w:val="001167AD"/>
    <w:rsid w:val="00116FBC"/>
    <w:rsid w:val="00117303"/>
    <w:rsid w:val="00117F01"/>
    <w:rsid w:val="00120602"/>
    <w:rsid w:val="001206C7"/>
    <w:rsid w:val="00120A5D"/>
    <w:rsid w:val="00120B19"/>
    <w:rsid w:val="001211F9"/>
    <w:rsid w:val="0012138A"/>
    <w:rsid w:val="001225C5"/>
    <w:rsid w:val="00122AF9"/>
    <w:rsid w:val="00123305"/>
    <w:rsid w:val="001236DB"/>
    <w:rsid w:val="00124028"/>
    <w:rsid w:val="00124235"/>
    <w:rsid w:val="001244D0"/>
    <w:rsid w:val="001246AF"/>
    <w:rsid w:val="00124900"/>
    <w:rsid w:val="001249F8"/>
    <w:rsid w:val="00124A80"/>
    <w:rsid w:val="00125C9C"/>
    <w:rsid w:val="00125DCE"/>
    <w:rsid w:val="001277E1"/>
    <w:rsid w:val="00127B21"/>
    <w:rsid w:val="001301CC"/>
    <w:rsid w:val="00130561"/>
    <w:rsid w:val="00130946"/>
    <w:rsid w:val="00130C03"/>
    <w:rsid w:val="0013102F"/>
    <w:rsid w:val="00131080"/>
    <w:rsid w:val="00131AB6"/>
    <w:rsid w:val="00131D0D"/>
    <w:rsid w:val="0013226D"/>
    <w:rsid w:val="0013320B"/>
    <w:rsid w:val="00133940"/>
    <w:rsid w:val="00133C40"/>
    <w:rsid w:val="00133FB9"/>
    <w:rsid w:val="00134210"/>
    <w:rsid w:val="00135763"/>
    <w:rsid w:val="00135CEF"/>
    <w:rsid w:val="00136022"/>
    <w:rsid w:val="00136678"/>
    <w:rsid w:val="00136787"/>
    <w:rsid w:val="00137139"/>
    <w:rsid w:val="001373A8"/>
    <w:rsid w:val="0013779F"/>
    <w:rsid w:val="00137B1B"/>
    <w:rsid w:val="00140568"/>
    <w:rsid w:val="00140FCD"/>
    <w:rsid w:val="001418F6"/>
    <w:rsid w:val="00141934"/>
    <w:rsid w:val="001428B4"/>
    <w:rsid w:val="0014293C"/>
    <w:rsid w:val="00142DE0"/>
    <w:rsid w:val="00143208"/>
    <w:rsid w:val="00143C72"/>
    <w:rsid w:val="00143CE5"/>
    <w:rsid w:val="0014511D"/>
    <w:rsid w:val="00145C4D"/>
    <w:rsid w:val="00145F25"/>
    <w:rsid w:val="0014646E"/>
    <w:rsid w:val="0014686F"/>
    <w:rsid w:val="00146A5D"/>
    <w:rsid w:val="00146FE2"/>
    <w:rsid w:val="00147534"/>
    <w:rsid w:val="001475BE"/>
    <w:rsid w:val="00147F0A"/>
    <w:rsid w:val="0015043C"/>
    <w:rsid w:val="00150736"/>
    <w:rsid w:val="0015158E"/>
    <w:rsid w:val="001515C2"/>
    <w:rsid w:val="00151A5C"/>
    <w:rsid w:val="001521BF"/>
    <w:rsid w:val="001522F0"/>
    <w:rsid w:val="00152374"/>
    <w:rsid w:val="0015346F"/>
    <w:rsid w:val="0015383F"/>
    <w:rsid w:val="001539DC"/>
    <w:rsid w:val="00154DFB"/>
    <w:rsid w:val="0015517B"/>
    <w:rsid w:val="00155257"/>
    <w:rsid w:val="00155435"/>
    <w:rsid w:val="00155C58"/>
    <w:rsid w:val="00155D72"/>
    <w:rsid w:val="001561ED"/>
    <w:rsid w:val="00156BE8"/>
    <w:rsid w:val="00156E0C"/>
    <w:rsid w:val="00157078"/>
    <w:rsid w:val="0015711A"/>
    <w:rsid w:val="001606E5"/>
    <w:rsid w:val="00160AF0"/>
    <w:rsid w:val="00160C3A"/>
    <w:rsid w:val="00160CB0"/>
    <w:rsid w:val="00161306"/>
    <w:rsid w:val="00161774"/>
    <w:rsid w:val="00161E4A"/>
    <w:rsid w:val="001624DA"/>
    <w:rsid w:val="00162E9F"/>
    <w:rsid w:val="0016357E"/>
    <w:rsid w:val="00163946"/>
    <w:rsid w:val="001639B4"/>
    <w:rsid w:val="00163B92"/>
    <w:rsid w:val="001646D0"/>
    <w:rsid w:val="00165A4D"/>
    <w:rsid w:val="00165B65"/>
    <w:rsid w:val="001661BD"/>
    <w:rsid w:val="001663F8"/>
    <w:rsid w:val="00166C64"/>
    <w:rsid w:val="001670E1"/>
    <w:rsid w:val="001677D4"/>
    <w:rsid w:val="00167C60"/>
    <w:rsid w:val="001700A1"/>
    <w:rsid w:val="001705DD"/>
    <w:rsid w:val="001708A2"/>
    <w:rsid w:val="00170A01"/>
    <w:rsid w:val="00170CEC"/>
    <w:rsid w:val="00170EF1"/>
    <w:rsid w:val="00170FFC"/>
    <w:rsid w:val="00171B11"/>
    <w:rsid w:val="00171E72"/>
    <w:rsid w:val="00171EEF"/>
    <w:rsid w:val="0017249D"/>
    <w:rsid w:val="001725DC"/>
    <w:rsid w:val="0017293F"/>
    <w:rsid w:val="00172CCC"/>
    <w:rsid w:val="001735DD"/>
    <w:rsid w:val="00174292"/>
    <w:rsid w:val="0017471E"/>
    <w:rsid w:val="001754F1"/>
    <w:rsid w:val="001755D7"/>
    <w:rsid w:val="0017613A"/>
    <w:rsid w:val="00176392"/>
    <w:rsid w:val="00176D66"/>
    <w:rsid w:val="00176DA7"/>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90A"/>
    <w:rsid w:val="00184B94"/>
    <w:rsid w:val="00184E4D"/>
    <w:rsid w:val="00184F8B"/>
    <w:rsid w:val="00185471"/>
    <w:rsid w:val="00185636"/>
    <w:rsid w:val="0018589B"/>
    <w:rsid w:val="00185948"/>
    <w:rsid w:val="00185EB4"/>
    <w:rsid w:val="001860A4"/>
    <w:rsid w:val="00186B90"/>
    <w:rsid w:val="00186E6A"/>
    <w:rsid w:val="00187065"/>
    <w:rsid w:val="0018712C"/>
    <w:rsid w:val="0018731B"/>
    <w:rsid w:val="00187A23"/>
    <w:rsid w:val="00187F7D"/>
    <w:rsid w:val="001900C0"/>
    <w:rsid w:val="00190A49"/>
    <w:rsid w:val="00191055"/>
    <w:rsid w:val="0019118A"/>
    <w:rsid w:val="001920EA"/>
    <w:rsid w:val="00192350"/>
    <w:rsid w:val="00192438"/>
    <w:rsid w:val="001928D0"/>
    <w:rsid w:val="00192CEE"/>
    <w:rsid w:val="00192D3B"/>
    <w:rsid w:val="00192FB3"/>
    <w:rsid w:val="00192FFE"/>
    <w:rsid w:val="0019333D"/>
    <w:rsid w:val="001936C6"/>
    <w:rsid w:val="00193F44"/>
    <w:rsid w:val="0019591C"/>
    <w:rsid w:val="00195C0C"/>
    <w:rsid w:val="00195CC3"/>
    <w:rsid w:val="00195E8F"/>
    <w:rsid w:val="001961EE"/>
    <w:rsid w:val="00196531"/>
    <w:rsid w:val="00196D92"/>
    <w:rsid w:val="001976FF"/>
    <w:rsid w:val="001978CD"/>
    <w:rsid w:val="00197E9D"/>
    <w:rsid w:val="001A0BA2"/>
    <w:rsid w:val="001A0D6D"/>
    <w:rsid w:val="001A181F"/>
    <w:rsid w:val="001A185D"/>
    <w:rsid w:val="001A1F5C"/>
    <w:rsid w:val="001A211A"/>
    <w:rsid w:val="001A288B"/>
    <w:rsid w:val="001A29BA"/>
    <w:rsid w:val="001A3F92"/>
    <w:rsid w:val="001A4019"/>
    <w:rsid w:val="001A4353"/>
    <w:rsid w:val="001A4417"/>
    <w:rsid w:val="001A4535"/>
    <w:rsid w:val="001A468E"/>
    <w:rsid w:val="001A5D83"/>
    <w:rsid w:val="001A677B"/>
    <w:rsid w:val="001A6A66"/>
    <w:rsid w:val="001A6CA8"/>
    <w:rsid w:val="001A7257"/>
    <w:rsid w:val="001B01E7"/>
    <w:rsid w:val="001B05B4"/>
    <w:rsid w:val="001B0826"/>
    <w:rsid w:val="001B087A"/>
    <w:rsid w:val="001B0B0D"/>
    <w:rsid w:val="001B0DF5"/>
    <w:rsid w:val="001B0E6E"/>
    <w:rsid w:val="001B0ED8"/>
    <w:rsid w:val="001B118F"/>
    <w:rsid w:val="001B11A3"/>
    <w:rsid w:val="001B1D83"/>
    <w:rsid w:val="001B1EF2"/>
    <w:rsid w:val="001B20D0"/>
    <w:rsid w:val="001B2103"/>
    <w:rsid w:val="001B30EE"/>
    <w:rsid w:val="001B37B2"/>
    <w:rsid w:val="001B3D65"/>
    <w:rsid w:val="001B3E1D"/>
    <w:rsid w:val="001B5937"/>
    <w:rsid w:val="001B5947"/>
    <w:rsid w:val="001B5B9B"/>
    <w:rsid w:val="001B6735"/>
    <w:rsid w:val="001B6D01"/>
    <w:rsid w:val="001B6DCB"/>
    <w:rsid w:val="001B6EC5"/>
    <w:rsid w:val="001B7144"/>
    <w:rsid w:val="001B78E5"/>
    <w:rsid w:val="001B7B42"/>
    <w:rsid w:val="001B7D07"/>
    <w:rsid w:val="001C0023"/>
    <w:rsid w:val="001C0207"/>
    <w:rsid w:val="001C0390"/>
    <w:rsid w:val="001C0640"/>
    <w:rsid w:val="001C066F"/>
    <w:rsid w:val="001C06E4"/>
    <w:rsid w:val="001C0DA5"/>
    <w:rsid w:val="001C139D"/>
    <w:rsid w:val="001C1FBB"/>
    <w:rsid w:val="001C20ED"/>
    <w:rsid w:val="001C2207"/>
    <w:rsid w:val="001C26FA"/>
    <w:rsid w:val="001C275E"/>
    <w:rsid w:val="001C2908"/>
    <w:rsid w:val="001C38AB"/>
    <w:rsid w:val="001C40D9"/>
    <w:rsid w:val="001C470C"/>
    <w:rsid w:val="001C4D70"/>
    <w:rsid w:val="001C4D7F"/>
    <w:rsid w:val="001C508B"/>
    <w:rsid w:val="001C53A3"/>
    <w:rsid w:val="001C54CF"/>
    <w:rsid w:val="001C5776"/>
    <w:rsid w:val="001C57B1"/>
    <w:rsid w:val="001C6472"/>
    <w:rsid w:val="001C6C89"/>
    <w:rsid w:val="001C749A"/>
    <w:rsid w:val="001D0863"/>
    <w:rsid w:val="001D0A15"/>
    <w:rsid w:val="001D0DC9"/>
    <w:rsid w:val="001D0F50"/>
    <w:rsid w:val="001D18EE"/>
    <w:rsid w:val="001D280D"/>
    <w:rsid w:val="001D29C7"/>
    <w:rsid w:val="001D2DB8"/>
    <w:rsid w:val="001D3140"/>
    <w:rsid w:val="001D4425"/>
    <w:rsid w:val="001D470B"/>
    <w:rsid w:val="001D47C8"/>
    <w:rsid w:val="001D4C3D"/>
    <w:rsid w:val="001D4E67"/>
    <w:rsid w:val="001D546C"/>
    <w:rsid w:val="001D5D3E"/>
    <w:rsid w:val="001D6026"/>
    <w:rsid w:val="001D6341"/>
    <w:rsid w:val="001D67A8"/>
    <w:rsid w:val="001D6B02"/>
    <w:rsid w:val="001D7B87"/>
    <w:rsid w:val="001E00F8"/>
    <w:rsid w:val="001E021E"/>
    <w:rsid w:val="001E03C3"/>
    <w:rsid w:val="001E074B"/>
    <w:rsid w:val="001E07D7"/>
    <w:rsid w:val="001E0FAC"/>
    <w:rsid w:val="001E143C"/>
    <w:rsid w:val="001E156C"/>
    <w:rsid w:val="001E1FF7"/>
    <w:rsid w:val="001E221F"/>
    <w:rsid w:val="001E22A1"/>
    <w:rsid w:val="001E2530"/>
    <w:rsid w:val="001E2566"/>
    <w:rsid w:val="001E2BD6"/>
    <w:rsid w:val="001E316D"/>
    <w:rsid w:val="001E394B"/>
    <w:rsid w:val="001E3AF6"/>
    <w:rsid w:val="001E3C31"/>
    <w:rsid w:val="001E3E1F"/>
    <w:rsid w:val="001E4134"/>
    <w:rsid w:val="001E4B2F"/>
    <w:rsid w:val="001E4DB4"/>
    <w:rsid w:val="001E4E87"/>
    <w:rsid w:val="001E578A"/>
    <w:rsid w:val="001E5B65"/>
    <w:rsid w:val="001E5DF1"/>
    <w:rsid w:val="001E5E97"/>
    <w:rsid w:val="001E694F"/>
    <w:rsid w:val="001E714A"/>
    <w:rsid w:val="001E72B0"/>
    <w:rsid w:val="001E791E"/>
    <w:rsid w:val="001F044D"/>
    <w:rsid w:val="001F0548"/>
    <w:rsid w:val="001F07C9"/>
    <w:rsid w:val="001F0C9D"/>
    <w:rsid w:val="001F105E"/>
    <w:rsid w:val="001F10D7"/>
    <w:rsid w:val="001F1401"/>
    <w:rsid w:val="001F1FAB"/>
    <w:rsid w:val="001F2002"/>
    <w:rsid w:val="001F25DE"/>
    <w:rsid w:val="001F29CC"/>
    <w:rsid w:val="001F2B93"/>
    <w:rsid w:val="001F326A"/>
    <w:rsid w:val="001F3D27"/>
    <w:rsid w:val="001F41B9"/>
    <w:rsid w:val="001F43F3"/>
    <w:rsid w:val="001F453A"/>
    <w:rsid w:val="001F453B"/>
    <w:rsid w:val="001F45A3"/>
    <w:rsid w:val="001F4D08"/>
    <w:rsid w:val="001F50BB"/>
    <w:rsid w:val="001F577B"/>
    <w:rsid w:val="001F5A15"/>
    <w:rsid w:val="001F5CEA"/>
    <w:rsid w:val="001F5D1C"/>
    <w:rsid w:val="001F6491"/>
    <w:rsid w:val="001F6807"/>
    <w:rsid w:val="001F6855"/>
    <w:rsid w:val="001F7FC1"/>
    <w:rsid w:val="00201238"/>
    <w:rsid w:val="00201B08"/>
    <w:rsid w:val="00202075"/>
    <w:rsid w:val="002024CE"/>
    <w:rsid w:val="00203210"/>
    <w:rsid w:val="00203474"/>
    <w:rsid w:val="0020349D"/>
    <w:rsid w:val="00203AE3"/>
    <w:rsid w:val="00204D01"/>
    <w:rsid w:val="0020513E"/>
    <w:rsid w:val="00205577"/>
    <w:rsid w:val="00205D02"/>
    <w:rsid w:val="00205DE8"/>
    <w:rsid w:val="00205FA5"/>
    <w:rsid w:val="00206393"/>
    <w:rsid w:val="00206E70"/>
    <w:rsid w:val="002070EB"/>
    <w:rsid w:val="00207BAD"/>
    <w:rsid w:val="00210399"/>
    <w:rsid w:val="00210ACE"/>
    <w:rsid w:val="002113CA"/>
    <w:rsid w:val="0021141A"/>
    <w:rsid w:val="002129DA"/>
    <w:rsid w:val="0021309A"/>
    <w:rsid w:val="002130A3"/>
    <w:rsid w:val="002130F8"/>
    <w:rsid w:val="0021467E"/>
    <w:rsid w:val="00214942"/>
    <w:rsid w:val="00214A36"/>
    <w:rsid w:val="0021536D"/>
    <w:rsid w:val="00215625"/>
    <w:rsid w:val="00215A62"/>
    <w:rsid w:val="0021667B"/>
    <w:rsid w:val="00216CB7"/>
    <w:rsid w:val="00216E08"/>
    <w:rsid w:val="002171B3"/>
    <w:rsid w:val="00217E2F"/>
    <w:rsid w:val="00217EAF"/>
    <w:rsid w:val="00220401"/>
    <w:rsid w:val="0022062B"/>
    <w:rsid w:val="00220798"/>
    <w:rsid w:val="0022087F"/>
    <w:rsid w:val="00220AC0"/>
    <w:rsid w:val="00220C57"/>
    <w:rsid w:val="0022168A"/>
    <w:rsid w:val="002217AB"/>
    <w:rsid w:val="00221B2D"/>
    <w:rsid w:val="0022220F"/>
    <w:rsid w:val="00222D82"/>
    <w:rsid w:val="002233C3"/>
    <w:rsid w:val="002233ED"/>
    <w:rsid w:val="00223AA7"/>
    <w:rsid w:val="00224AA8"/>
    <w:rsid w:val="00225102"/>
    <w:rsid w:val="00225437"/>
    <w:rsid w:val="0022643C"/>
    <w:rsid w:val="002264EC"/>
    <w:rsid w:val="002266F7"/>
    <w:rsid w:val="00226A78"/>
    <w:rsid w:val="00226EA7"/>
    <w:rsid w:val="0022707A"/>
    <w:rsid w:val="002275E5"/>
    <w:rsid w:val="00227EEF"/>
    <w:rsid w:val="00230A6E"/>
    <w:rsid w:val="00231030"/>
    <w:rsid w:val="00231AC4"/>
    <w:rsid w:val="00231E85"/>
    <w:rsid w:val="002320D5"/>
    <w:rsid w:val="002321CB"/>
    <w:rsid w:val="00232827"/>
    <w:rsid w:val="00232E66"/>
    <w:rsid w:val="00233523"/>
    <w:rsid w:val="002337F6"/>
    <w:rsid w:val="002338BC"/>
    <w:rsid w:val="00233934"/>
    <w:rsid w:val="00233A86"/>
    <w:rsid w:val="00233E2F"/>
    <w:rsid w:val="00233EFA"/>
    <w:rsid w:val="002345E1"/>
    <w:rsid w:val="00234EEB"/>
    <w:rsid w:val="00234F5C"/>
    <w:rsid w:val="00235167"/>
    <w:rsid w:val="0023604E"/>
    <w:rsid w:val="00236588"/>
    <w:rsid w:val="00237261"/>
    <w:rsid w:val="002378A6"/>
    <w:rsid w:val="0024022C"/>
    <w:rsid w:val="002409CB"/>
    <w:rsid w:val="00240C58"/>
    <w:rsid w:val="00241548"/>
    <w:rsid w:val="002437F4"/>
    <w:rsid w:val="00243C3C"/>
    <w:rsid w:val="00243F62"/>
    <w:rsid w:val="00244131"/>
    <w:rsid w:val="002444AB"/>
    <w:rsid w:val="00244CBB"/>
    <w:rsid w:val="00244D2B"/>
    <w:rsid w:val="00244FE6"/>
    <w:rsid w:val="002458F9"/>
    <w:rsid w:val="0024653F"/>
    <w:rsid w:val="00246840"/>
    <w:rsid w:val="00246E13"/>
    <w:rsid w:val="00247543"/>
    <w:rsid w:val="002475ED"/>
    <w:rsid w:val="002476ED"/>
    <w:rsid w:val="00247B9E"/>
    <w:rsid w:val="00250378"/>
    <w:rsid w:val="00250648"/>
    <w:rsid w:val="00250B43"/>
    <w:rsid w:val="00250BD9"/>
    <w:rsid w:val="00250C99"/>
    <w:rsid w:val="0025141C"/>
    <w:rsid w:val="002520C1"/>
    <w:rsid w:val="00252B17"/>
    <w:rsid w:val="00252B87"/>
    <w:rsid w:val="00252ECC"/>
    <w:rsid w:val="0025308B"/>
    <w:rsid w:val="0025358C"/>
    <w:rsid w:val="00253BD4"/>
    <w:rsid w:val="00253DB2"/>
    <w:rsid w:val="00255177"/>
    <w:rsid w:val="00255CE9"/>
    <w:rsid w:val="0025691A"/>
    <w:rsid w:val="00256C42"/>
    <w:rsid w:val="00256D6E"/>
    <w:rsid w:val="002600FF"/>
    <w:rsid w:val="002606AE"/>
    <w:rsid w:val="002611AB"/>
    <w:rsid w:val="00261A07"/>
    <w:rsid w:val="00261AC4"/>
    <w:rsid w:val="00261C0E"/>
    <w:rsid w:val="00261E33"/>
    <w:rsid w:val="0026232A"/>
    <w:rsid w:val="00262D1B"/>
    <w:rsid w:val="002634E8"/>
    <w:rsid w:val="00264485"/>
    <w:rsid w:val="00264B39"/>
    <w:rsid w:val="002650EF"/>
    <w:rsid w:val="0026512D"/>
    <w:rsid w:val="00265BBC"/>
    <w:rsid w:val="00265BE4"/>
    <w:rsid w:val="00265D7D"/>
    <w:rsid w:val="00265DEC"/>
    <w:rsid w:val="00266956"/>
    <w:rsid w:val="0026732D"/>
    <w:rsid w:val="002673B6"/>
    <w:rsid w:val="002675F7"/>
    <w:rsid w:val="0026772A"/>
    <w:rsid w:val="002700AC"/>
    <w:rsid w:val="00270C3D"/>
    <w:rsid w:val="002713A4"/>
    <w:rsid w:val="002713AC"/>
    <w:rsid w:val="002723E4"/>
    <w:rsid w:val="002725D0"/>
    <w:rsid w:val="00272BBF"/>
    <w:rsid w:val="00272E54"/>
    <w:rsid w:val="00273767"/>
    <w:rsid w:val="002740B9"/>
    <w:rsid w:val="0027430B"/>
    <w:rsid w:val="002746A7"/>
    <w:rsid w:val="0027530E"/>
    <w:rsid w:val="00275F1E"/>
    <w:rsid w:val="00277703"/>
    <w:rsid w:val="00277BCD"/>
    <w:rsid w:val="00277C59"/>
    <w:rsid w:val="00280E63"/>
    <w:rsid w:val="0028107E"/>
    <w:rsid w:val="00281E81"/>
    <w:rsid w:val="00282A33"/>
    <w:rsid w:val="00282FDA"/>
    <w:rsid w:val="00283115"/>
    <w:rsid w:val="002843A1"/>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8C1"/>
    <w:rsid w:val="00287B4F"/>
    <w:rsid w:val="00290804"/>
    <w:rsid w:val="00290C84"/>
    <w:rsid w:val="00291B61"/>
    <w:rsid w:val="00292EEE"/>
    <w:rsid w:val="002934FF"/>
    <w:rsid w:val="00293BC0"/>
    <w:rsid w:val="0029444C"/>
    <w:rsid w:val="00294618"/>
    <w:rsid w:val="002946B2"/>
    <w:rsid w:val="00294CEB"/>
    <w:rsid w:val="00294D0F"/>
    <w:rsid w:val="00295461"/>
    <w:rsid w:val="00295B9B"/>
    <w:rsid w:val="00295BFA"/>
    <w:rsid w:val="00295FBE"/>
    <w:rsid w:val="00296014"/>
    <w:rsid w:val="0029632B"/>
    <w:rsid w:val="00296C83"/>
    <w:rsid w:val="002977A4"/>
    <w:rsid w:val="00297AD4"/>
    <w:rsid w:val="002A039B"/>
    <w:rsid w:val="002A03BD"/>
    <w:rsid w:val="002A0C31"/>
    <w:rsid w:val="002A0D1A"/>
    <w:rsid w:val="002A171C"/>
    <w:rsid w:val="002A1D64"/>
    <w:rsid w:val="002A1F85"/>
    <w:rsid w:val="002A2EFA"/>
    <w:rsid w:val="002A3037"/>
    <w:rsid w:val="002A3124"/>
    <w:rsid w:val="002A3288"/>
    <w:rsid w:val="002A3952"/>
    <w:rsid w:val="002A3D79"/>
    <w:rsid w:val="002A3FAA"/>
    <w:rsid w:val="002A511C"/>
    <w:rsid w:val="002A6518"/>
    <w:rsid w:val="002A66C9"/>
    <w:rsid w:val="002A6EA0"/>
    <w:rsid w:val="002A72AB"/>
    <w:rsid w:val="002A7FCE"/>
    <w:rsid w:val="002B083B"/>
    <w:rsid w:val="002B0A52"/>
    <w:rsid w:val="002B0E5E"/>
    <w:rsid w:val="002B107F"/>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02"/>
    <w:rsid w:val="002B66F3"/>
    <w:rsid w:val="002B6AEB"/>
    <w:rsid w:val="002B6BC5"/>
    <w:rsid w:val="002B7955"/>
    <w:rsid w:val="002B7B1D"/>
    <w:rsid w:val="002C0259"/>
    <w:rsid w:val="002C0408"/>
    <w:rsid w:val="002C0527"/>
    <w:rsid w:val="002C065B"/>
    <w:rsid w:val="002C079B"/>
    <w:rsid w:val="002C1012"/>
    <w:rsid w:val="002C1194"/>
    <w:rsid w:val="002C1AD4"/>
    <w:rsid w:val="002C1E67"/>
    <w:rsid w:val="002C2C33"/>
    <w:rsid w:val="002C32E6"/>
    <w:rsid w:val="002C385F"/>
    <w:rsid w:val="002C3CFF"/>
    <w:rsid w:val="002C4732"/>
    <w:rsid w:val="002C4CDA"/>
    <w:rsid w:val="002C5318"/>
    <w:rsid w:val="002C664B"/>
    <w:rsid w:val="002C75F5"/>
    <w:rsid w:val="002C7826"/>
    <w:rsid w:val="002D10B4"/>
    <w:rsid w:val="002D2DFD"/>
    <w:rsid w:val="002D4271"/>
    <w:rsid w:val="002D4B08"/>
    <w:rsid w:val="002D5225"/>
    <w:rsid w:val="002D5A1F"/>
    <w:rsid w:val="002D5AB4"/>
    <w:rsid w:val="002D5E3E"/>
    <w:rsid w:val="002D5FBF"/>
    <w:rsid w:val="002D6185"/>
    <w:rsid w:val="002D689D"/>
    <w:rsid w:val="002D6B99"/>
    <w:rsid w:val="002D7E0A"/>
    <w:rsid w:val="002D7FF7"/>
    <w:rsid w:val="002E0ECC"/>
    <w:rsid w:val="002E1CF5"/>
    <w:rsid w:val="002E20F8"/>
    <w:rsid w:val="002E2D65"/>
    <w:rsid w:val="002E3411"/>
    <w:rsid w:val="002E378F"/>
    <w:rsid w:val="002E3B48"/>
    <w:rsid w:val="002E4005"/>
    <w:rsid w:val="002E42CE"/>
    <w:rsid w:val="002E42DF"/>
    <w:rsid w:val="002E4A51"/>
    <w:rsid w:val="002E53E9"/>
    <w:rsid w:val="002E59C4"/>
    <w:rsid w:val="002E5C4B"/>
    <w:rsid w:val="002E5EE7"/>
    <w:rsid w:val="002E6155"/>
    <w:rsid w:val="002E63D5"/>
    <w:rsid w:val="002E6473"/>
    <w:rsid w:val="002E6A1F"/>
    <w:rsid w:val="002E6DEE"/>
    <w:rsid w:val="002E791D"/>
    <w:rsid w:val="002E7EF0"/>
    <w:rsid w:val="002F07FB"/>
    <w:rsid w:val="002F0C6B"/>
    <w:rsid w:val="002F0CD2"/>
    <w:rsid w:val="002F0DE8"/>
    <w:rsid w:val="002F12A0"/>
    <w:rsid w:val="002F1778"/>
    <w:rsid w:val="002F2357"/>
    <w:rsid w:val="002F2397"/>
    <w:rsid w:val="002F26C0"/>
    <w:rsid w:val="002F2880"/>
    <w:rsid w:val="002F321E"/>
    <w:rsid w:val="002F3625"/>
    <w:rsid w:val="002F362A"/>
    <w:rsid w:val="002F36CF"/>
    <w:rsid w:val="002F39A0"/>
    <w:rsid w:val="002F421D"/>
    <w:rsid w:val="002F4D90"/>
    <w:rsid w:val="002F5B33"/>
    <w:rsid w:val="002F5F15"/>
    <w:rsid w:val="002F6B01"/>
    <w:rsid w:val="002F6FAE"/>
    <w:rsid w:val="002F71CA"/>
    <w:rsid w:val="002F7CD9"/>
    <w:rsid w:val="00300015"/>
    <w:rsid w:val="00300BF6"/>
    <w:rsid w:val="00300CE9"/>
    <w:rsid w:val="00300DB0"/>
    <w:rsid w:val="00302692"/>
    <w:rsid w:val="00302D6C"/>
    <w:rsid w:val="00302D83"/>
    <w:rsid w:val="00302F7A"/>
    <w:rsid w:val="0030314B"/>
    <w:rsid w:val="003033DB"/>
    <w:rsid w:val="00303A19"/>
    <w:rsid w:val="00304381"/>
    <w:rsid w:val="003043D5"/>
    <w:rsid w:val="003043DC"/>
    <w:rsid w:val="00304C08"/>
    <w:rsid w:val="00304DE0"/>
    <w:rsid w:val="00305047"/>
    <w:rsid w:val="0030509C"/>
    <w:rsid w:val="00305E04"/>
    <w:rsid w:val="00305F2C"/>
    <w:rsid w:val="003062F8"/>
    <w:rsid w:val="003069C5"/>
    <w:rsid w:val="00306B3E"/>
    <w:rsid w:val="003072D7"/>
    <w:rsid w:val="00307686"/>
    <w:rsid w:val="00307DB8"/>
    <w:rsid w:val="00307EBB"/>
    <w:rsid w:val="00307F09"/>
    <w:rsid w:val="003103AD"/>
    <w:rsid w:val="003105AD"/>
    <w:rsid w:val="0031080C"/>
    <w:rsid w:val="003108ED"/>
    <w:rsid w:val="00310949"/>
    <w:rsid w:val="00310A4F"/>
    <w:rsid w:val="003126A3"/>
    <w:rsid w:val="00313096"/>
    <w:rsid w:val="00313585"/>
    <w:rsid w:val="00313C22"/>
    <w:rsid w:val="00313F3C"/>
    <w:rsid w:val="003140C1"/>
    <w:rsid w:val="0031415A"/>
    <w:rsid w:val="003142DD"/>
    <w:rsid w:val="00314507"/>
    <w:rsid w:val="0031464F"/>
    <w:rsid w:val="00314AFE"/>
    <w:rsid w:val="00314B23"/>
    <w:rsid w:val="00314BC2"/>
    <w:rsid w:val="00314F33"/>
    <w:rsid w:val="00314F6F"/>
    <w:rsid w:val="00315357"/>
    <w:rsid w:val="00316206"/>
    <w:rsid w:val="003167EE"/>
    <w:rsid w:val="00316DB1"/>
    <w:rsid w:val="00316E45"/>
    <w:rsid w:val="00317125"/>
    <w:rsid w:val="00317448"/>
    <w:rsid w:val="00317938"/>
    <w:rsid w:val="00317F6B"/>
    <w:rsid w:val="003208E1"/>
    <w:rsid w:val="00321085"/>
    <w:rsid w:val="00321329"/>
    <w:rsid w:val="003213AA"/>
    <w:rsid w:val="003217A8"/>
    <w:rsid w:val="00321CC5"/>
    <w:rsid w:val="00322F66"/>
    <w:rsid w:val="003232F1"/>
    <w:rsid w:val="00323AD5"/>
    <w:rsid w:val="00323B4E"/>
    <w:rsid w:val="00324159"/>
    <w:rsid w:val="0032458F"/>
    <w:rsid w:val="00324CFA"/>
    <w:rsid w:val="00324FE9"/>
    <w:rsid w:val="003251D3"/>
    <w:rsid w:val="00325769"/>
    <w:rsid w:val="00325AD7"/>
    <w:rsid w:val="00325E88"/>
    <w:rsid w:val="00326226"/>
    <w:rsid w:val="00326EEB"/>
    <w:rsid w:val="00327FAB"/>
    <w:rsid w:val="003300A0"/>
    <w:rsid w:val="003301BC"/>
    <w:rsid w:val="00330BD2"/>
    <w:rsid w:val="00331104"/>
    <w:rsid w:val="00331369"/>
    <w:rsid w:val="003313AF"/>
    <w:rsid w:val="003315F0"/>
    <w:rsid w:val="00331E83"/>
    <w:rsid w:val="00332046"/>
    <w:rsid w:val="003321C0"/>
    <w:rsid w:val="00332DC2"/>
    <w:rsid w:val="00333640"/>
    <w:rsid w:val="00333667"/>
    <w:rsid w:val="0033385A"/>
    <w:rsid w:val="003339E4"/>
    <w:rsid w:val="00333DBF"/>
    <w:rsid w:val="00333F03"/>
    <w:rsid w:val="0033445E"/>
    <w:rsid w:val="00334FDF"/>
    <w:rsid w:val="0033509B"/>
    <w:rsid w:val="003354C2"/>
    <w:rsid w:val="0033556F"/>
    <w:rsid w:val="00335863"/>
    <w:rsid w:val="00335999"/>
    <w:rsid w:val="00335B24"/>
    <w:rsid w:val="00335F4C"/>
    <w:rsid w:val="00336322"/>
    <w:rsid w:val="003366C6"/>
    <w:rsid w:val="00336A9E"/>
    <w:rsid w:val="00336F02"/>
    <w:rsid w:val="00337F6A"/>
    <w:rsid w:val="00340901"/>
    <w:rsid w:val="00340D05"/>
    <w:rsid w:val="0034108A"/>
    <w:rsid w:val="003413B0"/>
    <w:rsid w:val="003416EC"/>
    <w:rsid w:val="003426E4"/>
    <w:rsid w:val="00342D32"/>
    <w:rsid w:val="0034400D"/>
    <w:rsid w:val="003444DE"/>
    <w:rsid w:val="00344E28"/>
    <w:rsid w:val="00345324"/>
    <w:rsid w:val="003455C8"/>
    <w:rsid w:val="00346A3F"/>
    <w:rsid w:val="00346BCB"/>
    <w:rsid w:val="00346E7C"/>
    <w:rsid w:val="00346FDD"/>
    <w:rsid w:val="0034771D"/>
    <w:rsid w:val="00347ECB"/>
    <w:rsid w:val="003500F3"/>
    <w:rsid w:val="0035089D"/>
    <w:rsid w:val="00350A26"/>
    <w:rsid w:val="00350AEA"/>
    <w:rsid w:val="00350EFE"/>
    <w:rsid w:val="003510B7"/>
    <w:rsid w:val="00351134"/>
    <w:rsid w:val="00351419"/>
    <w:rsid w:val="00351572"/>
    <w:rsid w:val="00352B6C"/>
    <w:rsid w:val="003534A4"/>
    <w:rsid w:val="003536E2"/>
    <w:rsid w:val="00354025"/>
    <w:rsid w:val="003542D4"/>
    <w:rsid w:val="0035432F"/>
    <w:rsid w:val="003546FF"/>
    <w:rsid w:val="00354877"/>
    <w:rsid w:val="00354EA6"/>
    <w:rsid w:val="00355474"/>
    <w:rsid w:val="0035554B"/>
    <w:rsid w:val="0035569E"/>
    <w:rsid w:val="00356378"/>
    <w:rsid w:val="0035648A"/>
    <w:rsid w:val="003577BC"/>
    <w:rsid w:val="00360557"/>
    <w:rsid w:val="00360AF9"/>
    <w:rsid w:val="003613D5"/>
    <w:rsid w:val="003618EB"/>
    <w:rsid w:val="00361DFE"/>
    <w:rsid w:val="00362EE3"/>
    <w:rsid w:val="00363174"/>
    <w:rsid w:val="0036381C"/>
    <w:rsid w:val="003638CA"/>
    <w:rsid w:val="0036399C"/>
    <w:rsid w:val="00363E02"/>
    <w:rsid w:val="00364B3C"/>
    <w:rsid w:val="0036500E"/>
    <w:rsid w:val="003651ED"/>
    <w:rsid w:val="0036549E"/>
    <w:rsid w:val="00365670"/>
    <w:rsid w:val="0036591C"/>
    <w:rsid w:val="00365DF7"/>
    <w:rsid w:val="00365F7B"/>
    <w:rsid w:val="0036620A"/>
    <w:rsid w:val="00366516"/>
    <w:rsid w:val="00366873"/>
    <w:rsid w:val="00366A57"/>
    <w:rsid w:val="003676B7"/>
    <w:rsid w:val="00367CAF"/>
    <w:rsid w:val="00367E83"/>
    <w:rsid w:val="0037095D"/>
    <w:rsid w:val="00370B43"/>
    <w:rsid w:val="003710E5"/>
    <w:rsid w:val="003717F2"/>
    <w:rsid w:val="00371CB9"/>
    <w:rsid w:val="003720CF"/>
    <w:rsid w:val="00372A0B"/>
    <w:rsid w:val="00372C57"/>
    <w:rsid w:val="00373066"/>
    <w:rsid w:val="003730FD"/>
    <w:rsid w:val="003732A8"/>
    <w:rsid w:val="0037346D"/>
    <w:rsid w:val="003739ED"/>
    <w:rsid w:val="00373B02"/>
    <w:rsid w:val="00373D06"/>
    <w:rsid w:val="00373F2E"/>
    <w:rsid w:val="003740D4"/>
    <w:rsid w:val="0037412E"/>
    <w:rsid w:val="00374240"/>
    <w:rsid w:val="003744D4"/>
    <w:rsid w:val="00374FA8"/>
    <w:rsid w:val="00375AF8"/>
    <w:rsid w:val="00375CBF"/>
    <w:rsid w:val="00375E5B"/>
    <w:rsid w:val="003763AE"/>
    <w:rsid w:val="00376607"/>
    <w:rsid w:val="00376789"/>
    <w:rsid w:val="00376DCC"/>
    <w:rsid w:val="00380006"/>
    <w:rsid w:val="00380268"/>
    <w:rsid w:val="00380D14"/>
    <w:rsid w:val="00381068"/>
    <w:rsid w:val="00381359"/>
    <w:rsid w:val="003819A0"/>
    <w:rsid w:val="00381CE0"/>
    <w:rsid w:val="0038213A"/>
    <w:rsid w:val="0038225F"/>
    <w:rsid w:val="00382AE3"/>
    <w:rsid w:val="00382BEA"/>
    <w:rsid w:val="0038301C"/>
    <w:rsid w:val="0038311D"/>
    <w:rsid w:val="0038366C"/>
    <w:rsid w:val="00383E02"/>
    <w:rsid w:val="00383E74"/>
    <w:rsid w:val="0038461A"/>
    <w:rsid w:val="00384662"/>
    <w:rsid w:val="0038487F"/>
    <w:rsid w:val="00384BD7"/>
    <w:rsid w:val="0038543F"/>
    <w:rsid w:val="0038564B"/>
    <w:rsid w:val="00385926"/>
    <w:rsid w:val="00385CCD"/>
    <w:rsid w:val="00385DFC"/>
    <w:rsid w:val="00385DFD"/>
    <w:rsid w:val="003871EF"/>
    <w:rsid w:val="00390673"/>
    <w:rsid w:val="00391131"/>
    <w:rsid w:val="00391B4A"/>
    <w:rsid w:val="00391D1F"/>
    <w:rsid w:val="00391F69"/>
    <w:rsid w:val="00392014"/>
    <w:rsid w:val="00392398"/>
    <w:rsid w:val="00392A26"/>
    <w:rsid w:val="0039373A"/>
    <w:rsid w:val="00394070"/>
    <w:rsid w:val="00394223"/>
    <w:rsid w:val="003945CB"/>
    <w:rsid w:val="003951DB"/>
    <w:rsid w:val="00395828"/>
    <w:rsid w:val="00395EC4"/>
    <w:rsid w:val="0039683F"/>
    <w:rsid w:val="003969B1"/>
    <w:rsid w:val="00396DA7"/>
    <w:rsid w:val="003973BE"/>
    <w:rsid w:val="00397D15"/>
    <w:rsid w:val="00397D48"/>
    <w:rsid w:val="00397EF3"/>
    <w:rsid w:val="003A08EB"/>
    <w:rsid w:val="003A1710"/>
    <w:rsid w:val="003A1A6A"/>
    <w:rsid w:val="003A1D8B"/>
    <w:rsid w:val="003A3094"/>
    <w:rsid w:val="003A3466"/>
    <w:rsid w:val="003A3911"/>
    <w:rsid w:val="003A4135"/>
    <w:rsid w:val="003A42B6"/>
    <w:rsid w:val="003A437B"/>
    <w:rsid w:val="003A4D53"/>
    <w:rsid w:val="003A4F05"/>
    <w:rsid w:val="003A4F21"/>
    <w:rsid w:val="003A566F"/>
    <w:rsid w:val="003A5A5E"/>
    <w:rsid w:val="003A6328"/>
    <w:rsid w:val="003A71B6"/>
    <w:rsid w:val="003A75A3"/>
    <w:rsid w:val="003B0454"/>
    <w:rsid w:val="003B0642"/>
    <w:rsid w:val="003B0788"/>
    <w:rsid w:val="003B13E2"/>
    <w:rsid w:val="003B1D7E"/>
    <w:rsid w:val="003B2DF6"/>
    <w:rsid w:val="003B3243"/>
    <w:rsid w:val="003B3610"/>
    <w:rsid w:val="003B4214"/>
    <w:rsid w:val="003B4B09"/>
    <w:rsid w:val="003B4C4F"/>
    <w:rsid w:val="003B4E34"/>
    <w:rsid w:val="003B5090"/>
    <w:rsid w:val="003B512F"/>
    <w:rsid w:val="003B568D"/>
    <w:rsid w:val="003B58E4"/>
    <w:rsid w:val="003B5942"/>
    <w:rsid w:val="003B5D58"/>
    <w:rsid w:val="003B5E69"/>
    <w:rsid w:val="003B6B32"/>
    <w:rsid w:val="003B6CC4"/>
    <w:rsid w:val="003B70E5"/>
    <w:rsid w:val="003B7111"/>
    <w:rsid w:val="003B7324"/>
    <w:rsid w:val="003B780F"/>
    <w:rsid w:val="003B7D91"/>
    <w:rsid w:val="003C06E3"/>
    <w:rsid w:val="003C0726"/>
    <w:rsid w:val="003C0AB4"/>
    <w:rsid w:val="003C0B06"/>
    <w:rsid w:val="003C1310"/>
    <w:rsid w:val="003C18C4"/>
    <w:rsid w:val="003C212B"/>
    <w:rsid w:val="003C2D59"/>
    <w:rsid w:val="003C2D74"/>
    <w:rsid w:val="003C2FDD"/>
    <w:rsid w:val="003C398C"/>
    <w:rsid w:val="003C4AD8"/>
    <w:rsid w:val="003C4ECF"/>
    <w:rsid w:val="003C55AB"/>
    <w:rsid w:val="003C56E3"/>
    <w:rsid w:val="003C5AF6"/>
    <w:rsid w:val="003C5D34"/>
    <w:rsid w:val="003C6994"/>
    <w:rsid w:val="003C704E"/>
    <w:rsid w:val="003D0180"/>
    <w:rsid w:val="003D0457"/>
    <w:rsid w:val="003D04E2"/>
    <w:rsid w:val="003D0B39"/>
    <w:rsid w:val="003D0E11"/>
    <w:rsid w:val="003D1053"/>
    <w:rsid w:val="003D1711"/>
    <w:rsid w:val="003D19AD"/>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4"/>
    <w:rsid w:val="003E2C3F"/>
    <w:rsid w:val="003E324A"/>
    <w:rsid w:val="003E3817"/>
    <w:rsid w:val="003E38C7"/>
    <w:rsid w:val="003E3B1C"/>
    <w:rsid w:val="003E3BEF"/>
    <w:rsid w:val="003E3CAE"/>
    <w:rsid w:val="003E3E0E"/>
    <w:rsid w:val="003E43F0"/>
    <w:rsid w:val="003E4555"/>
    <w:rsid w:val="003E52C0"/>
    <w:rsid w:val="003E552E"/>
    <w:rsid w:val="003E5E70"/>
    <w:rsid w:val="003E65FE"/>
    <w:rsid w:val="003E7D6D"/>
    <w:rsid w:val="003F04A8"/>
    <w:rsid w:val="003F1F55"/>
    <w:rsid w:val="003F2554"/>
    <w:rsid w:val="003F259D"/>
    <w:rsid w:val="003F279B"/>
    <w:rsid w:val="003F2C71"/>
    <w:rsid w:val="003F33B2"/>
    <w:rsid w:val="003F3767"/>
    <w:rsid w:val="003F3B09"/>
    <w:rsid w:val="003F3CEF"/>
    <w:rsid w:val="003F3D75"/>
    <w:rsid w:val="003F4B9C"/>
    <w:rsid w:val="003F4F5D"/>
    <w:rsid w:val="003F4FD8"/>
    <w:rsid w:val="003F50D5"/>
    <w:rsid w:val="003F51B2"/>
    <w:rsid w:val="003F587A"/>
    <w:rsid w:val="003F5AE4"/>
    <w:rsid w:val="003F61EB"/>
    <w:rsid w:val="003F648F"/>
    <w:rsid w:val="003F6D53"/>
    <w:rsid w:val="003F6DED"/>
    <w:rsid w:val="003F7075"/>
    <w:rsid w:val="003F7A7A"/>
    <w:rsid w:val="00400401"/>
    <w:rsid w:val="004008A7"/>
    <w:rsid w:val="00400B7E"/>
    <w:rsid w:val="004019DC"/>
    <w:rsid w:val="00401DC1"/>
    <w:rsid w:val="00401DF0"/>
    <w:rsid w:val="0040338F"/>
    <w:rsid w:val="00403727"/>
    <w:rsid w:val="00403A20"/>
    <w:rsid w:val="00404C85"/>
    <w:rsid w:val="004058FF"/>
    <w:rsid w:val="004061B6"/>
    <w:rsid w:val="00406997"/>
    <w:rsid w:val="00406C91"/>
    <w:rsid w:val="00406E8D"/>
    <w:rsid w:val="00407855"/>
    <w:rsid w:val="00407E35"/>
    <w:rsid w:val="00410019"/>
    <w:rsid w:val="00410400"/>
    <w:rsid w:val="004115E0"/>
    <w:rsid w:val="00412100"/>
    <w:rsid w:val="004124B1"/>
    <w:rsid w:val="00412627"/>
    <w:rsid w:val="00412BE3"/>
    <w:rsid w:val="00413AF3"/>
    <w:rsid w:val="00413E5B"/>
    <w:rsid w:val="00414941"/>
    <w:rsid w:val="00414976"/>
    <w:rsid w:val="004149C5"/>
    <w:rsid w:val="0041519E"/>
    <w:rsid w:val="004151DA"/>
    <w:rsid w:val="0041534A"/>
    <w:rsid w:val="00415B4E"/>
    <w:rsid w:val="00415E30"/>
    <w:rsid w:val="00415E59"/>
    <w:rsid w:val="0041603C"/>
    <w:rsid w:val="00416319"/>
    <w:rsid w:val="0041686E"/>
    <w:rsid w:val="00416C29"/>
    <w:rsid w:val="00416DFD"/>
    <w:rsid w:val="00416F68"/>
    <w:rsid w:val="00417060"/>
    <w:rsid w:val="0041771D"/>
    <w:rsid w:val="00417C2A"/>
    <w:rsid w:val="00417FD9"/>
    <w:rsid w:val="00420962"/>
    <w:rsid w:val="00420FA5"/>
    <w:rsid w:val="004211A6"/>
    <w:rsid w:val="0042181B"/>
    <w:rsid w:val="004218CD"/>
    <w:rsid w:val="004228BE"/>
    <w:rsid w:val="00422A45"/>
    <w:rsid w:val="004235CA"/>
    <w:rsid w:val="00423DD4"/>
    <w:rsid w:val="004243BD"/>
    <w:rsid w:val="00424437"/>
    <w:rsid w:val="004245D2"/>
    <w:rsid w:val="00425370"/>
    <w:rsid w:val="004258D8"/>
    <w:rsid w:val="00425980"/>
    <w:rsid w:val="00425F24"/>
    <w:rsid w:val="004262D5"/>
    <w:rsid w:val="00426919"/>
    <w:rsid w:val="0042698B"/>
    <w:rsid w:val="004269B5"/>
    <w:rsid w:val="00426BE4"/>
    <w:rsid w:val="00426E39"/>
    <w:rsid w:val="00427C64"/>
    <w:rsid w:val="0043072A"/>
    <w:rsid w:val="00430F5D"/>
    <w:rsid w:val="00431235"/>
    <w:rsid w:val="004321F4"/>
    <w:rsid w:val="00432668"/>
    <w:rsid w:val="00432AE8"/>
    <w:rsid w:val="004331BE"/>
    <w:rsid w:val="004333F4"/>
    <w:rsid w:val="00434641"/>
    <w:rsid w:val="00434D1E"/>
    <w:rsid w:val="00434F13"/>
    <w:rsid w:val="00434F4D"/>
    <w:rsid w:val="00435324"/>
    <w:rsid w:val="00435A4F"/>
    <w:rsid w:val="00435A8C"/>
    <w:rsid w:val="00435AAF"/>
    <w:rsid w:val="00436A30"/>
    <w:rsid w:val="00436E3A"/>
    <w:rsid w:val="00437828"/>
    <w:rsid w:val="0043796F"/>
    <w:rsid w:val="00440318"/>
    <w:rsid w:val="004406E0"/>
    <w:rsid w:val="00440A40"/>
    <w:rsid w:val="00440EAF"/>
    <w:rsid w:val="00441BBC"/>
    <w:rsid w:val="004420CD"/>
    <w:rsid w:val="004427AA"/>
    <w:rsid w:val="00442BF2"/>
    <w:rsid w:val="00442F46"/>
    <w:rsid w:val="004430E9"/>
    <w:rsid w:val="004431C7"/>
    <w:rsid w:val="00443880"/>
    <w:rsid w:val="00444B32"/>
    <w:rsid w:val="004452DF"/>
    <w:rsid w:val="00445816"/>
    <w:rsid w:val="004476FB"/>
    <w:rsid w:val="0044792B"/>
    <w:rsid w:val="004479AE"/>
    <w:rsid w:val="0045082F"/>
    <w:rsid w:val="004511FE"/>
    <w:rsid w:val="0045158E"/>
    <w:rsid w:val="004515C4"/>
    <w:rsid w:val="0045190F"/>
    <w:rsid w:val="00451BEA"/>
    <w:rsid w:val="00452064"/>
    <w:rsid w:val="004520E6"/>
    <w:rsid w:val="00452814"/>
    <w:rsid w:val="00453759"/>
    <w:rsid w:val="00453B72"/>
    <w:rsid w:val="00454041"/>
    <w:rsid w:val="004545F2"/>
    <w:rsid w:val="00454D23"/>
    <w:rsid w:val="004552B6"/>
    <w:rsid w:val="00455614"/>
    <w:rsid w:val="0045566C"/>
    <w:rsid w:val="00455D86"/>
    <w:rsid w:val="004561D0"/>
    <w:rsid w:val="00456252"/>
    <w:rsid w:val="00456273"/>
    <w:rsid w:val="00456993"/>
    <w:rsid w:val="00456CE3"/>
    <w:rsid w:val="004571C3"/>
    <w:rsid w:val="00457E51"/>
    <w:rsid w:val="00460172"/>
    <w:rsid w:val="0046071D"/>
    <w:rsid w:val="00460D14"/>
    <w:rsid w:val="004621D9"/>
    <w:rsid w:val="004623B9"/>
    <w:rsid w:val="004624C9"/>
    <w:rsid w:val="00462FF8"/>
    <w:rsid w:val="00463135"/>
    <w:rsid w:val="00463734"/>
    <w:rsid w:val="004637C1"/>
    <w:rsid w:val="004638A7"/>
    <w:rsid w:val="00463966"/>
    <w:rsid w:val="00463E05"/>
    <w:rsid w:val="004645E9"/>
    <w:rsid w:val="004646CE"/>
    <w:rsid w:val="00464BBD"/>
    <w:rsid w:val="00464F4F"/>
    <w:rsid w:val="00466100"/>
    <w:rsid w:val="0046713A"/>
    <w:rsid w:val="0046733B"/>
    <w:rsid w:val="00467C97"/>
    <w:rsid w:val="00470226"/>
    <w:rsid w:val="004709CA"/>
    <w:rsid w:val="004711BC"/>
    <w:rsid w:val="00471429"/>
    <w:rsid w:val="00471E18"/>
    <w:rsid w:val="00472669"/>
    <w:rsid w:val="00472D4A"/>
    <w:rsid w:val="00473442"/>
    <w:rsid w:val="0047361A"/>
    <w:rsid w:val="00473896"/>
    <w:rsid w:val="00473A15"/>
    <w:rsid w:val="00473A33"/>
    <w:rsid w:val="00474AEB"/>
    <w:rsid w:val="004752BE"/>
    <w:rsid w:val="00475341"/>
    <w:rsid w:val="00475917"/>
    <w:rsid w:val="00475FB1"/>
    <w:rsid w:val="004760AA"/>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1EDE"/>
    <w:rsid w:val="004820C0"/>
    <w:rsid w:val="00482595"/>
    <w:rsid w:val="00482C68"/>
    <w:rsid w:val="0048381F"/>
    <w:rsid w:val="00483B11"/>
    <w:rsid w:val="00484157"/>
    <w:rsid w:val="0048453D"/>
    <w:rsid w:val="00484A7E"/>
    <w:rsid w:val="00484C1C"/>
    <w:rsid w:val="00484D0B"/>
    <w:rsid w:val="00484F1E"/>
    <w:rsid w:val="00485157"/>
    <w:rsid w:val="004855F7"/>
    <w:rsid w:val="004857D5"/>
    <w:rsid w:val="0048596A"/>
    <w:rsid w:val="00485FCD"/>
    <w:rsid w:val="00486104"/>
    <w:rsid w:val="004866FF"/>
    <w:rsid w:val="00486A26"/>
    <w:rsid w:val="00486FDE"/>
    <w:rsid w:val="00487A1D"/>
    <w:rsid w:val="00487E5C"/>
    <w:rsid w:val="00490904"/>
    <w:rsid w:val="00490E23"/>
    <w:rsid w:val="00491039"/>
    <w:rsid w:val="0049139A"/>
    <w:rsid w:val="004919A7"/>
    <w:rsid w:val="00491F6F"/>
    <w:rsid w:val="00492346"/>
    <w:rsid w:val="0049242B"/>
    <w:rsid w:val="0049250F"/>
    <w:rsid w:val="004926F8"/>
    <w:rsid w:val="00492871"/>
    <w:rsid w:val="00492D8D"/>
    <w:rsid w:val="00492D99"/>
    <w:rsid w:val="004939D7"/>
    <w:rsid w:val="00493AAE"/>
    <w:rsid w:val="004949A5"/>
    <w:rsid w:val="00494F83"/>
    <w:rsid w:val="00495268"/>
    <w:rsid w:val="00495619"/>
    <w:rsid w:val="00495990"/>
    <w:rsid w:val="004959A3"/>
    <w:rsid w:val="00495C25"/>
    <w:rsid w:val="00496A0B"/>
    <w:rsid w:val="004974EE"/>
    <w:rsid w:val="004977EC"/>
    <w:rsid w:val="00497A69"/>
    <w:rsid w:val="00497CA1"/>
    <w:rsid w:val="00497CEE"/>
    <w:rsid w:val="00497E73"/>
    <w:rsid w:val="00497FE1"/>
    <w:rsid w:val="004A00A8"/>
    <w:rsid w:val="004A07AA"/>
    <w:rsid w:val="004A0BB5"/>
    <w:rsid w:val="004A0CB0"/>
    <w:rsid w:val="004A1024"/>
    <w:rsid w:val="004A1286"/>
    <w:rsid w:val="004A22B1"/>
    <w:rsid w:val="004A2453"/>
    <w:rsid w:val="004A2D4F"/>
    <w:rsid w:val="004A350C"/>
    <w:rsid w:val="004A3C00"/>
    <w:rsid w:val="004A4745"/>
    <w:rsid w:val="004A564A"/>
    <w:rsid w:val="004A65DB"/>
    <w:rsid w:val="004A6881"/>
    <w:rsid w:val="004A6C05"/>
    <w:rsid w:val="004A77D9"/>
    <w:rsid w:val="004A7E26"/>
    <w:rsid w:val="004B05BB"/>
    <w:rsid w:val="004B07F1"/>
    <w:rsid w:val="004B0892"/>
    <w:rsid w:val="004B0D02"/>
    <w:rsid w:val="004B135D"/>
    <w:rsid w:val="004B2274"/>
    <w:rsid w:val="004B2BF2"/>
    <w:rsid w:val="004B2D66"/>
    <w:rsid w:val="004B30F2"/>
    <w:rsid w:val="004B4714"/>
    <w:rsid w:val="004B4B4C"/>
    <w:rsid w:val="004B4CD3"/>
    <w:rsid w:val="004B50A7"/>
    <w:rsid w:val="004B5879"/>
    <w:rsid w:val="004B5FD9"/>
    <w:rsid w:val="004B63CB"/>
    <w:rsid w:val="004B756B"/>
    <w:rsid w:val="004B758C"/>
    <w:rsid w:val="004B7F22"/>
    <w:rsid w:val="004C024E"/>
    <w:rsid w:val="004C0265"/>
    <w:rsid w:val="004C0562"/>
    <w:rsid w:val="004C1AEC"/>
    <w:rsid w:val="004C202C"/>
    <w:rsid w:val="004C2D33"/>
    <w:rsid w:val="004C3283"/>
    <w:rsid w:val="004C33DA"/>
    <w:rsid w:val="004C3823"/>
    <w:rsid w:val="004C400E"/>
    <w:rsid w:val="004C45B9"/>
    <w:rsid w:val="004C5498"/>
    <w:rsid w:val="004C59AF"/>
    <w:rsid w:val="004C5C29"/>
    <w:rsid w:val="004C5E56"/>
    <w:rsid w:val="004C6007"/>
    <w:rsid w:val="004C61F5"/>
    <w:rsid w:val="004C62A2"/>
    <w:rsid w:val="004C66FC"/>
    <w:rsid w:val="004C67C0"/>
    <w:rsid w:val="004C6B83"/>
    <w:rsid w:val="004C6C18"/>
    <w:rsid w:val="004C6C65"/>
    <w:rsid w:val="004C77D0"/>
    <w:rsid w:val="004C7BCF"/>
    <w:rsid w:val="004C7E3B"/>
    <w:rsid w:val="004C7FE8"/>
    <w:rsid w:val="004D0531"/>
    <w:rsid w:val="004D083C"/>
    <w:rsid w:val="004D0D6D"/>
    <w:rsid w:val="004D21B2"/>
    <w:rsid w:val="004D29DB"/>
    <w:rsid w:val="004D2B43"/>
    <w:rsid w:val="004D3534"/>
    <w:rsid w:val="004D3711"/>
    <w:rsid w:val="004D390A"/>
    <w:rsid w:val="004D3C71"/>
    <w:rsid w:val="004D40F1"/>
    <w:rsid w:val="004D4141"/>
    <w:rsid w:val="004D459A"/>
    <w:rsid w:val="004D468B"/>
    <w:rsid w:val="004D5E55"/>
    <w:rsid w:val="004D5E79"/>
    <w:rsid w:val="004D685B"/>
    <w:rsid w:val="004D6A2C"/>
    <w:rsid w:val="004D6EBA"/>
    <w:rsid w:val="004D6F93"/>
    <w:rsid w:val="004D7445"/>
    <w:rsid w:val="004D77E9"/>
    <w:rsid w:val="004D7A2C"/>
    <w:rsid w:val="004D7BFC"/>
    <w:rsid w:val="004E00CE"/>
    <w:rsid w:val="004E035A"/>
    <w:rsid w:val="004E06FF"/>
    <w:rsid w:val="004E11A1"/>
    <w:rsid w:val="004E2C88"/>
    <w:rsid w:val="004E30A9"/>
    <w:rsid w:val="004E33DC"/>
    <w:rsid w:val="004E33E4"/>
    <w:rsid w:val="004E39E0"/>
    <w:rsid w:val="004E4066"/>
    <w:rsid w:val="004E4443"/>
    <w:rsid w:val="004E4520"/>
    <w:rsid w:val="004E4715"/>
    <w:rsid w:val="004E4733"/>
    <w:rsid w:val="004E4EA6"/>
    <w:rsid w:val="004E52E2"/>
    <w:rsid w:val="004E57D8"/>
    <w:rsid w:val="004E5A2A"/>
    <w:rsid w:val="004E696F"/>
    <w:rsid w:val="004E737F"/>
    <w:rsid w:val="004E7D8D"/>
    <w:rsid w:val="004E7E6B"/>
    <w:rsid w:val="004F0786"/>
    <w:rsid w:val="004F08E7"/>
    <w:rsid w:val="004F0C8E"/>
    <w:rsid w:val="004F1301"/>
    <w:rsid w:val="004F15A2"/>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FE6"/>
    <w:rsid w:val="004F6469"/>
    <w:rsid w:val="004F6B91"/>
    <w:rsid w:val="004F765E"/>
    <w:rsid w:val="004F7777"/>
    <w:rsid w:val="0050050B"/>
    <w:rsid w:val="0050062C"/>
    <w:rsid w:val="00500A2A"/>
    <w:rsid w:val="00501285"/>
    <w:rsid w:val="005014FF"/>
    <w:rsid w:val="005015B1"/>
    <w:rsid w:val="005015D2"/>
    <w:rsid w:val="0050199D"/>
    <w:rsid w:val="0050230D"/>
    <w:rsid w:val="00502810"/>
    <w:rsid w:val="00502870"/>
    <w:rsid w:val="00502C75"/>
    <w:rsid w:val="00503C0B"/>
    <w:rsid w:val="00503D49"/>
    <w:rsid w:val="005043D6"/>
    <w:rsid w:val="00504A8A"/>
    <w:rsid w:val="00504D69"/>
    <w:rsid w:val="00505394"/>
    <w:rsid w:val="00505EB9"/>
    <w:rsid w:val="00505EC0"/>
    <w:rsid w:val="005064BE"/>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CFC"/>
    <w:rsid w:val="00517A9B"/>
    <w:rsid w:val="00517FCB"/>
    <w:rsid w:val="00520269"/>
    <w:rsid w:val="005202DB"/>
    <w:rsid w:val="0052033A"/>
    <w:rsid w:val="005204A2"/>
    <w:rsid w:val="00520524"/>
    <w:rsid w:val="005206F6"/>
    <w:rsid w:val="0052096B"/>
    <w:rsid w:val="0052123B"/>
    <w:rsid w:val="0052130F"/>
    <w:rsid w:val="005213A1"/>
    <w:rsid w:val="00521484"/>
    <w:rsid w:val="005214C7"/>
    <w:rsid w:val="00521719"/>
    <w:rsid w:val="00522DAE"/>
    <w:rsid w:val="00522FA1"/>
    <w:rsid w:val="0052362C"/>
    <w:rsid w:val="0052392E"/>
    <w:rsid w:val="00523BD3"/>
    <w:rsid w:val="00524A1F"/>
    <w:rsid w:val="00524FF8"/>
    <w:rsid w:val="0052654F"/>
    <w:rsid w:val="0052725D"/>
    <w:rsid w:val="00527B04"/>
    <w:rsid w:val="00527B81"/>
    <w:rsid w:val="00527C01"/>
    <w:rsid w:val="0053041F"/>
    <w:rsid w:val="005305A0"/>
    <w:rsid w:val="005311CF"/>
    <w:rsid w:val="00531530"/>
    <w:rsid w:val="00531562"/>
    <w:rsid w:val="0053162F"/>
    <w:rsid w:val="00531995"/>
    <w:rsid w:val="00531F08"/>
    <w:rsid w:val="00531F0A"/>
    <w:rsid w:val="005325B5"/>
    <w:rsid w:val="00532859"/>
    <w:rsid w:val="00532FC4"/>
    <w:rsid w:val="005332E2"/>
    <w:rsid w:val="0053350F"/>
    <w:rsid w:val="00533F0C"/>
    <w:rsid w:val="005343CD"/>
    <w:rsid w:val="00534FAB"/>
    <w:rsid w:val="00535FC0"/>
    <w:rsid w:val="00535FFD"/>
    <w:rsid w:val="005361ED"/>
    <w:rsid w:val="005369E7"/>
    <w:rsid w:val="00540028"/>
    <w:rsid w:val="00540373"/>
    <w:rsid w:val="00540C48"/>
    <w:rsid w:val="0054117F"/>
    <w:rsid w:val="00541359"/>
    <w:rsid w:val="0054195B"/>
    <w:rsid w:val="005419E2"/>
    <w:rsid w:val="00541B63"/>
    <w:rsid w:val="005420E3"/>
    <w:rsid w:val="005427DF"/>
    <w:rsid w:val="00542D39"/>
    <w:rsid w:val="00542F43"/>
    <w:rsid w:val="005432E8"/>
    <w:rsid w:val="005435D1"/>
    <w:rsid w:val="00543DC0"/>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28F"/>
    <w:rsid w:val="005513E4"/>
    <w:rsid w:val="00551477"/>
    <w:rsid w:val="00551DC9"/>
    <w:rsid w:val="00551E78"/>
    <w:rsid w:val="005529C9"/>
    <w:rsid w:val="00553033"/>
    <w:rsid w:val="00553329"/>
    <w:rsid w:val="00553B6A"/>
    <w:rsid w:val="00553C68"/>
    <w:rsid w:val="005541F7"/>
    <w:rsid w:val="00554380"/>
    <w:rsid w:val="00554424"/>
    <w:rsid w:val="005547FD"/>
    <w:rsid w:val="00554A2A"/>
    <w:rsid w:val="00554C5B"/>
    <w:rsid w:val="0055588D"/>
    <w:rsid w:val="0055664E"/>
    <w:rsid w:val="00556A2D"/>
    <w:rsid w:val="00556CE8"/>
    <w:rsid w:val="00556EE0"/>
    <w:rsid w:val="00557DBB"/>
    <w:rsid w:val="00560390"/>
    <w:rsid w:val="00560936"/>
    <w:rsid w:val="0056096D"/>
    <w:rsid w:val="00560BDD"/>
    <w:rsid w:val="00560C1E"/>
    <w:rsid w:val="00561703"/>
    <w:rsid w:val="005617EB"/>
    <w:rsid w:val="0056185A"/>
    <w:rsid w:val="0056199E"/>
    <w:rsid w:val="00561ECA"/>
    <w:rsid w:val="00561F57"/>
    <w:rsid w:val="00562443"/>
    <w:rsid w:val="00562E2A"/>
    <w:rsid w:val="00563F98"/>
    <w:rsid w:val="0056440E"/>
    <w:rsid w:val="00565589"/>
    <w:rsid w:val="00566B8F"/>
    <w:rsid w:val="005673AA"/>
    <w:rsid w:val="00567644"/>
    <w:rsid w:val="00567A29"/>
    <w:rsid w:val="00567AD5"/>
    <w:rsid w:val="00567C47"/>
    <w:rsid w:val="005705F4"/>
    <w:rsid w:val="00570F45"/>
    <w:rsid w:val="00572FF4"/>
    <w:rsid w:val="005736FF"/>
    <w:rsid w:val="00573B05"/>
    <w:rsid w:val="00573E64"/>
    <w:rsid w:val="00573FEE"/>
    <w:rsid w:val="005747FA"/>
    <w:rsid w:val="00574C83"/>
    <w:rsid w:val="00574DB3"/>
    <w:rsid w:val="00574E7E"/>
    <w:rsid w:val="005751AF"/>
    <w:rsid w:val="00575311"/>
    <w:rsid w:val="005754F4"/>
    <w:rsid w:val="005756AC"/>
    <w:rsid w:val="00575B59"/>
    <w:rsid w:val="005774AD"/>
    <w:rsid w:val="0057750D"/>
    <w:rsid w:val="00577604"/>
    <w:rsid w:val="00577C90"/>
    <w:rsid w:val="00577D10"/>
    <w:rsid w:val="0058066D"/>
    <w:rsid w:val="005808CC"/>
    <w:rsid w:val="00580AD5"/>
    <w:rsid w:val="00580B32"/>
    <w:rsid w:val="00580D45"/>
    <w:rsid w:val="00581408"/>
    <w:rsid w:val="00581CE4"/>
    <w:rsid w:val="005821E8"/>
    <w:rsid w:val="00582D23"/>
    <w:rsid w:val="00582D83"/>
    <w:rsid w:val="00584315"/>
    <w:rsid w:val="00584445"/>
    <w:rsid w:val="00584582"/>
    <w:rsid w:val="00584D4A"/>
    <w:rsid w:val="00584F5B"/>
    <w:rsid w:val="005856E7"/>
    <w:rsid w:val="00585BCC"/>
    <w:rsid w:val="00585DA0"/>
    <w:rsid w:val="0058695A"/>
    <w:rsid w:val="00586BE3"/>
    <w:rsid w:val="0058778D"/>
    <w:rsid w:val="00587E14"/>
    <w:rsid w:val="00590410"/>
    <w:rsid w:val="005907CB"/>
    <w:rsid w:val="00590FED"/>
    <w:rsid w:val="00591155"/>
    <w:rsid w:val="00591948"/>
    <w:rsid w:val="00591DA5"/>
    <w:rsid w:val="00591E60"/>
    <w:rsid w:val="005927EF"/>
    <w:rsid w:val="00592E3C"/>
    <w:rsid w:val="005930E4"/>
    <w:rsid w:val="00594466"/>
    <w:rsid w:val="00594646"/>
    <w:rsid w:val="005948E2"/>
    <w:rsid w:val="00594BCE"/>
    <w:rsid w:val="00594D53"/>
    <w:rsid w:val="00594E81"/>
    <w:rsid w:val="00596E16"/>
    <w:rsid w:val="005975F3"/>
    <w:rsid w:val="00597650"/>
    <w:rsid w:val="00597791"/>
    <w:rsid w:val="005A1024"/>
    <w:rsid w:val="005A1239"/>
    <w:rsid w:val="005A1C4C"/>
    <w:rsid w:val="005A1E2E"/>
    <w:rsid w:val="005A1FB5"/>
    <w:rsid w:val="005A240B"/>
    <w:rsid w:val="005A254E"/>
    <w:rsid w:val="005A256C"/>
    <w:rsid w:val="005A30EF"/>
    <w:rsid w:val="005A3244"/>
    <w:rsid w:val="005A34F9"/>
    <w:rsid w:val="005A5BF8"/>
    <w:rsid w:val="005A6550"/>
    <w:rsid w:val="005A67CC"/>
    <w:rsid w:val="005A7246"/>
    <w:rsid w:val="005A7BA0"/>
    <w:rsid w:val="005B0C29"/>
    <w:rsid w:val="005B0D15"/>
    <w:rsid w:val="005B0E4A"/>
    <w:rsid w:val="005B1100"/>
    <w:rsid w:val="005B12F6"/>
    <w:rsid w:val="005B21F5"/>
    <w:rsid w:val="005B2319"/>
    <w:rsid w:val="005B2495"/>
    <w:rsid w:val="005B2624"/>
    <w:rsid w:val="005B26BE"/>
    <w:rsid w:val="005B2BF3"/>
    <w:rsid w:val="005B3318"/>
    <w:rsid w:val="005B3A7B"/>
    <w:rsid w:val="005B40CD"/>
    <w:rsid w:val="005B4267"/>
    <w:rsid w:val="005B44AF"/>
    <w:rsid w:val="005B465B"/>
    <w:rsid w:val="005B48F9"/>
    <w:rsid w:val="005B5047"/>
    <w:rsid w:val="005B5217"/>
    <w:rsid w:val="005B541B"/>
    <w:rsid w:val="005B5980"/>
    <w:rsid w:val="005B5D7E"/>
    <w:rsid w:val="005B5DED"/>
    <w:rsid w:val="005B64DF"/>
    <w:rsid w:val="005B66F0"/>
    <w:rsid w:val="005B6DD1"/>
    <w:rsid w:val="005B6FAC"/>
    <w:rsid w:val="005B7009"/>
    <w:rsid w:val="005B74E4"/>
    <w:rsid w:val="005B798F"/>
    <w:rsid w:val="005B79AF"/>
    <w:rsid w:val="005B7A3F"/>
    <w:rsid w:val="005B7C1F"/>
    <w:rsid w:val="005B7E35"/>
    <w:rsid w:val="005C008B"/>
    <w:rsid w:val="005C0ACE"/>
    <w:rsid w:val="005C163B"/>
    <w:rsid w:val="005C1B88"/>
    <w:rsid w:val="005C1B97"/>
    <w:rsid w:val="005C1EB6"/>
    <w:rsid w:val="005C1EBE"/>
    <w:rsid w:val="005C2399"/>
    <w:rsid w:val="005C32EB"/>
    <w:rsid w:val="005C39BD"/>
    <w:rsid w:val="005C3A47"/>
    <w:rsid w:val="005C3F84"/>
    <w:rsid w:val="005C4185"/>
    <w:rsid w:val="005C4D69"/>
    <w:rsid w:val="005C51D9"/>
    <w:rsid w:val="005C55C3"/>
    <w:rsid w:val="005C5A21"/>
    <w:rsid w:val="005C60A1"/>
    <w:rsid w:val="005C7B66"/>
    <w:rsid w:val="005D0A53"/>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5872"/>
    <w:rsid w:val="005D592B"/>
    <w:rsid w:val="005D64B8"/>
    <w:rsid w:val="005D655F"/>
    <w:rsid w:val="005D6ADC"/>
    <w:rsid w:val="005D742B"/>
    <w:rsid w:val="005D7979"/>
    <w:rsid w:val="005D7F06"/>
    <w:rsid w:val="005E0153"/>
    <w:rsid w:val="005E03F3"/>
    <w:rsid w:val="005E0406"/>
    <w:rsid w:val="005E0443"/>
    <w:rsid w:val="005E0578"/>
    <w:rsid w:val="005E08AC"/>
    <w:rsid w:val="005E0A15"/>
    <w:rsid w:val="005E2E5D"/>
    <w:rsid w:val="005E30DD"/>
    <w:rsid w:val="005E33D3"/>
    <w:rsid w:val="005E35D6"/>
    <w:rsid w:val="005E36FD"/>
    <w:rsid w:val="005E3792"/>
    <w:rsid w:val="005E37F8"/>
    <w:rsid w:val="005E3A33"/>
    <w:rsid w:val="005E3D2F"/>
    <w:rsid w:val="005E3F15"/>
    <w:rsid w:val="005E43B5"/>
    <w:rsid w:val="005E4659"/>
    <w:rsid w:val="005E4882"/>
    <w:rsid w:val="005E497C"/>
    <w:rsid w:val="005E4A23"/>
    <w:rsid w:val="005E4DB5"/>
    <w:rsid w:val="005E5277"/>
    <w:rsid w:val="005E5570"/>
    <w:rsid w:val="005E55FF"/>
    <w:rsid w:val="005E5AF5"/>
    <w:rsid w:val="005E611F"/>
    <w:rsid w:val="005E71D1"/>
    <w:rsid w:val="005E7763"/>
    <w:rsid w:val="005F0208"/>
    <w:rsid w:val="005F0555"/>
    <w:rsid w:val="005F07B4"/>
    <w:rsid w:val="005F0823"/>
    <w:rsid w:val="005F0890"/>
    <w:rsid w:val="005F117F"/>
    <w:rsid w:val="005F15BF"/>
    <w:rsid w:val="005F1BB5"/>
    <w:rsid w:val="005F2BD4"/>
    <w:rsid w:val="005F2C38"/>
    <w:rsid w:val="005F38E2"/>
    <w:rsid w:val="005F3B98"/>
    <w:rsid w:val="005F4D31"/>
    <w:rsid w:val="005F5F00"/>
    <w:rsid w:val="005F6A25"/>
    <w:rsid w:val="005F6F57"/>
    <w:rsid w:val="005F7142"/>
    <w:rsid w:val="005F7C1C"/>
    <w:rsid w:val="005F7CF6"/>
    <w:rsid w:val="00600DC7"/>
    <w:rsid w:val="006013FC"/>
    <w:rsid w:val="006016C9"/>
    <w:rsid w:val="00601F7C"/>
    <w:rsid w:val="006021C7"/>
    <w:rsid w:val="00602A5D"/>
    <w:rsid w:val="006032B4"/>
    <w:rsid w:val="00603C51"/>
    <w:rsid w:val="00603EB9"/>
    <w:rsid w:val="00603F1F"/>
    <w:rsid w:val="006041EC"/>
    <w:rsid w:val="00604666"/>
    <w:rsid w:val="00604856"/>
    <w:rsid w:val="00604993"/>
    <w:rsid w:val="00604997"/>
    <w:rsid w:val="00605E31"/>
    <w:rsid w:val="006061CC"/>
    <w:rsid w:val="00606428"/>
    <w:rsid w:val="006066F8"/>
    <w:rsid w:val="0060703A"/>
    <w:rsid w:val="0060734E"/>
    <w:rsid w:val="0061001F"/>
    <w:rsid w:val="00610473"/>
    <w:rsid w:val="00610C61"/>
    <w:rsid w:val="0061179F"/>
    <w:rsid w:val="006117D4"/>
    <w:rsid w:val="00611BDB"/>
    <w:rsid w:val="00611C3F"/>
    <w:rsid w:val="00611CF4"/>
    <w:rsid w:val="0061256F"/>
    <w:rsid w:val="00612A88"/>
    <w:rsid w:val="00613185"/>
    <w:rsid w:val="00613B06"/>
    <w:rsid w:val="00613F44"/>
    <w:rsid w:val="006140BA"/>
    <w:rsid w:val="006145AB"/>
    <w:rsid w:val="0061468E"/>
    <w:rsid w:val="00614A51"/>
    <w:rsid w:val="00614A7C"/>
    <w:rsid w:val="00614ADD"/>
    <w:rsid w:val="00614CE9"/>
    <w:rsid w:val="00614D6B"/>
    <w:rsid w:val="006156D1"/>
    <w:rsid w:val="00616430"/>
    <w:rsid w:val="00616C76"/>
    <w:rsid w:val="006173F0"/>
    <w:rsid w:val="006175AA"/>
    <w:rsid w:val="00617A23"/>
    <w:rsid w:val="00617C12"/>
    <w:rsid w:val="006206AB"/>
    <w:rsid w:val="0062139F"/>
    <w:rsid w:val="00621F03"/>
    <w:rsid w:val="00622AFD"/>
    <w:rsid w:val="00622BD8"/>
    <w:rsid w:val="00622CED"/>
    <w:rsid w:val="00622E03"/>
    <w:rsid w:val="00624287"/>
    <w:rsid w:val="00624409"/>
    <w:rsid w:val="006248A7"/>
    <w:rsid w:val="00624924"/>
    <w:rsid w:val="0062575C"/>
    <w:rsid w:val="00625D0B"/>
    <w:rsid w:val="00626C77"/>
    <w:rsid w:val="006270C5"/>
    <w:rsid w:val="00627BF1"/>
    <w:rsid w:val="00627FB2"/>
    <w:rsid w:val="00630451"/>
    <w:rsid w:val="0063068E"/>
    <w:rsid w:val="006308C0"/>
    <w:rsid w:val="006319DA"/>
    <w:rsid w:val="006323F3"/>
    <w:rsid w:val="006325EA"/>
    <w:rsid w:val="00632834"/>
    <w:rsid w:val="00632CC0"/>
    <w:rsid w:val="006333D3"/>
    <w:rsid w:val="00633854"/>
    <w:rsid w:val="00633FA9"/>
    <w:rsid w:val="0063401C"/>
    <w:rsid w:val="006345AA"/>
    <w:rsid w:val="00634D8F"/>
    <w:rsid w:val="00634E7C"/>
    <w:rsid w:val="00635148"/>
    <w:rsid w:val="006351F3"/>
    <w:rsid w:val="0063532E"/>
    <w:rsid w:val="00635488"/>
    <w:rsid w:val="00635754"/>
    <w:rsid w:val="00635DF9"/>
    <w:rsid w:val="00636856"/>
    <w:rsid w:val="006369CA"/>
    <w:rsid w:val="006369EA"/>
    <w:rsid w:val="00637023"/>
    <w:rsid w:val="00637293"/>
    <w:rsid w:val="0064131B"/>
    <w:rsid w:val="00641CAF"/>
    <w:rsid w:val="00642504"/>
    <w:rsid w:val="00642569"/>
    <w:rsid w:val="00642896"/>
    <w:rsid w:val="00643826"/>
    <w:rsid w:val="00643E82"/>
    <w:rsid w:val="00644114"/>
    <w:rsid w:val="006448CC"/>
    <w:rsid w:val="00644CD5"/>
    <w:rsid w:val="006457ED"/>
    <w:rsid w:val="00645BB7"/>
    <w:rsid w:val="00645C5B"/>
    <w:rsid w:val="00647012"/>
    <w:rsid w:val="00647117"/>
    <w:rsid w:val="0064771B"/>
    <w:rsid w:val="00647840"/>
    <w:rsid w:val="006509D9"/>
    <w:rsid w:val="00651769"/>
    <w:rsid w:val="00651D66"/>
    <w:rsid w:val="00652F45"/>
    <w:rsid w:val="00653382"/>
    <w:rsid w:val="00653F4E"/>
    <w:rsid w:val="006544AE"/>
    <w:rsid w:val="00654AEC"/>
    <w:rsid w:val="00654F20"/>
    <w:rsid w:val="006551D9"/>
    <w:rsid w:val="006552EE"/>
    <w:rsid w:val="006552F0"/>
    <w:rsid w:val="0065545D"/>
    <w:rsid w:val="006555F4"/>
    <w:rsid w:val="00655D97"/>
    <w:rsid w:val="00655F5C"/>
    <w:rsid w:val="006563EC"/>
    <w:rsid w:val="006566EA"/>
    <w:rsid w:val="006567D4"/>
    <w:rsid w:val="00657233"/>
    <w:rsid w:val="00657330"/>
    <w:rsid w:val="006574EA"/>
    <w:rsid w:val="006576DA"/>
    <w:rsid w:val="0065797F"/>
    <w:rsid w:val="00660889"/>
    <w:rsid w:val="006608CF"/>
    <w:rsid w:val="00661489"/>
    <w:rsid w:val="0066171F"/>
    <w:rsid w:val="00662343"/>
    <w:rsid w:val="0066244A"/>
    <w:rsid w:val="00662C7C"/>
    <w:rsid w:val="00662FA8"/>
    <w:rsid w:val="00663157"/>
    <w:rsid w:val="00663BDF"/>
    <w:rsid w:val="00663CBD"/>
    <w:rsid w:val="00664130"/>
    <w:rsid w:val="00664B9C"/>
    <w:rsid w:val="00664DD2"/>
    <w:rsid w:val="00664EB6"/>
    <w:rsid w:val="00664F5B"/>
    <w:rsid w:val="00665AE4"/>
    <w:rsid w:val="00665AE5"/>
    <w:rsid w:val="00665B0D"/>
    <w:rsid w:val="00665B5C"/>
    <w:rsid w:val="00665F2C"/>
    <w:rsid w:val="006669A0"/>
    <w:rsid w:val="00666A22"/>
    <w:rsid w:val="00666DD1"/>
    <w:rsid w:val="00666EE9"/>
    <w:rsid w:val="00670458"/>
    <w:rsid w:val="006715CD"/>
    <w:rsid w:val="006719A8"/>
    <w:rsid w:val="00671C60"/>
    <w:rsid w:val="006720E5"/>
    <w:rsid w:val="00672A1D"/>
    <w:rsid w:val="00673223"/>
    <w:rsid w:val="0067344A"/>
    <w:rsid w:val="0067371B"/>
    <w:rsid w:val="00673988"/>
    <w:rsid w:val="00674197"/>
    <w:rsid w:val="006742EC"/>
    <w:rsid w:val="00674503"/>
    <w:rsid w:val="00674B3E"/>
    <w:rsid w:val="00674FD1"/>
    <w:rsid w:val="0067517E"/>
    <w:rsid w:val="006752FC"/>
    <w:rsid w:val="00675C79"/>
    <w:rsid w:val="00675D9B"/>
    <w:rsid w:val="00676144"/>
    <w:rsid w:val="0067618A"/>
    <w:rsid w:val="00676916"/>
    <w:rsid w:val="00676A26"/>
    <w:rsid w:val="00676B2B"/>
    <w:rsid w:val="006807B1"/>
    <w:rsid w:val="00680814"/>
    <w:rsid w:val="0068096B"/>
    <w:rsid w:val="00680C0C"/>
    <w:rsid w:val="00680FE7"/>
    <w:rsid w:val="0068120A"/>
    <w:rsid w:val="00681BCF"/>
    <w:rsid w:val="00682AA6"/>
    <w:rsid w:val="00682D11"/>
    <w:rsid w:val="00682D54"/>
    <w:rsid w:val="006835A1"/>
    <w:rsid w:val="00683E3C"/>
    <w:rsid w:val="0068445B"/>
    <w:rsid w:val="00684930"/>
    <w:rsid w:val="00684934"/>
    <w:rsid w:val="00684B02"/>
    <w:rsid w:val="0068500B"/>
    <w:rsid w:val="0068515E"/>
    <w:rsid w:val="00685563"/>
    <w:rsid w:val="006858C8"/>
    <w:rsid w:val="006858C9"/>
    <w:rsid w:val="006858D4"/>
    <w:rsid w:val="0068607C"/>
    <w:rsid w:val="006862B7"/>
    <w:rsid w:val="0068649B"/>
    <w:rsid w:val="006869B5"/>
    <w:rsid w:val="00686D54"/>
    <w:rsid w:val="00686F44"/>
    <w:rsid w:val="00686F4B"/>
    <w:rsid w:val="00687275"/>
    <w:rsid w:val="0068795E"/>
    <w:rsid w:val="00690134"/>
    <w:rsid w:val="00690556"/>
    <w:rsid w:val="006906BA"/>
    <w:rsid w:val="0069071E"/>
    <w:rsid w:val="00691448"/>
    <w:rsid w:val="00691EEC"/>
    <w:rsid w:val="00691FCB"/>
    <w:rsid w:val="006927A4"/>
    <w:rsid w:val="00692F8D"/>
    <w:rsid w:val="006935EB"/>
    <w:rsid w:val="006943A8"/>
    <w:rsid w:val="006954F3"/>
    <w:rsid w:val="00696DB2"/>
    <w:rsid w:val="00696FFD"/>
    <w:rsid w:val="00697403"/>
    <w:rsid w:val="006974FD"/>
    <w:rsid w:val="00697643"/>
    <w:rsid w:val="006A0B3C"/>
    <w:rsid w:val="006A123D"/>
    <w:rsid w:val="006A1AAD"/>
    <w:rsid w:val="006A1BF5"/>
    <w:rsid w:val="006A1FF0"/>
    <w:rsid w:val="006A203F"/>
    <w:rsid w:val="006A25AA"/>
    <w:rsid w:val="006A2FCE"/>
    <w:rsid w:val="006A2FEE"/>
    <w:rsid w:val="006A3237"/>
    <w:rsid w:val="006A426F"/>
    <w:rsid w:val="006A4644"/>
    <w:rsid w:val="006A4F88"/>
    <w:rsid w:val="006A50A6"/>
    <w:rsid w:val="006A5175"/>
    <w:rsid w:val="006A5B43"/>
    <w:rsid w:val="006A5CED"/>
    <w:rsid w:val="006A671E"/>
    <w:rsid w:val="006A6AB3"/>
    <w:rsid w:val="006A6AF6"/>
    <w:rsid w:val="006A6F5A"/>
    <w:rsid w:val="006A70BC"/>
    <w:rsid w:val="006A79F1"/>
    <w:rsid w:val="006A7F83"/>
    <w:rsid w:val="006B08FB"/>
    <w:rsid w:val="006B0B3A"/>
    <w:rsid w:val="006B152E"/>
    <w:rsid w:val="006B17D3"/>
    <w:rsid w:val="006B18C2"/>
    <w:rsid w:val="006B1C88"/>
    <w:rsid w:val="006B212B"/>
    <w:rsid w:val="006B2BFB"/>
    <w:rsid w:val="006B3982"/>
    <w:rsid w:val="006B3FC7"/>
    <w:rsid w:val="006B5DC6"/>
    <w:rsid w:val="006B637C"/>
    <w:rsid w:val="006B6660"/>
    <w:rsid w:val="006B6829"/>
    <w:rsid w:val="006B6B6E"/>
    <w:rsid w:val="006B766A"/>
    <w:rsid w:val="006B76A7"/>
    <w:rsid w:val="006C0454"/>
    <w:rsid w:val="006C05EE"/>
    <w:rsid w:val="006C0938"/>
    <w:rsid w:val="006C0ADA"/>
    <w:rsid w:val="006C0FED"/>
    <w:rsid w:val="006C1F02"/>
    <w:rsid w:val="006C2326"/>
    <w:rsid w:val="006C3672"/>
    <w:rsid w:val="006C367F"/>
    <w:rsid w:val="006C4A7D"/>
    <w:rsid w:val="006C4BD0"/>
    <w:rsid w:val="006C4D91"/>
    <w:rsid w:val="006C5691"/>
    <w:rsid w:val="006C57A1"/>
    <w:rsid w:val="006C589B"/>
    <w:rsid w:val="006C5C35"/>
    <w:rsid w:val="006C5EBB"/>
    <w:rsid w:val="006C6B22"/>
    <w:rsid w:val="006C6F01"/>
    <w:rsid w:val="006C6FB8"/>
    <w:rsid w:val="006C7219"/>
    <w:rsid w:val="006C7407"/>
    <w:rsid w:val="006C7446"/>
    <w:rsid w:val="006C7927"/>
    <w:rsid w:val="006D090E"/>
    <w:rsid w:val="006D19BE"/>
    <w:rsid w:val="006D2252"/>
    <w:rsid w:val="006D26E0"/>
    <w:rsid w:val="006D2764"/>
    <w:rsid w:val="006D2D41"/>
    <w:rsid w:val="006D3B46"/>
    <w:rsid w:val="006D3F41"/>
    <w:rsid w:val="006D4A01"/>
    <w:rsid w:val="006D4B57"/>
    <w:rsid w:val="006D4D0E"/>
    <w:rsid w:val="006D4D90"/>
    <w:rsid w:val="006D52CC"/>
    <w:rsid w:val="006D52E7"/>
    <w:rsid w:val="006D5A9F"/>
    <w:rsid w:val="006D63A1"/>
    <w:rsid w:val="006D681E"/>
    <w:rsid w:val="006D6BF7"/>
    <w:rsid w:val="006D6D8C"/>
    <w:rsid w:val="006D6FB2"/>
    <w:rsid w:val="006D7590"/>
    <w:rsid w:val="006D7FE5"/>
    <w:rsid w:val="006E0492"/>
    <w:rsid w:val="006E0A42"/>
    <w:rsid w:val="006E1B89"/>
    <w:rsid w:val="006E256A"/>
    <w:rsid w:val="006E2AFD"/>
    <w:rsid w:val="006E37C2"/>
    <w:rsid w:val="006E3DF9"/>
    <w:rsid w:val="006E3F9E"/>
    <w:rsid w:val="006E45FA"/>
    <w:rsid w:val="006E46CB"/>
    <w:rsid w:val="006E4CAE"/>
    <w:rsid w:val="006E540C"/>
    <w:rsid w:val="006E5746"/>
    <w:rsid w:val="006E5AB6"/>
    <w:rsid w:val="006E5E40"/>
    <w:rsid w:val="006E6163"/>
    <w:rsid w:val="006E65CF"/>
    <w:rsid w:val="006E6A20"/>
    <w:rsid w:val="006E6ECF"/>
    <w:rsid w:val="006E770E"/>
    <w:rsid w:val="006E79B1"/>
    <w:rsid w:val="006E7C04"/>
    <w:rsid w:val="006F018F"/>
    <w:rsid w:val="006F0487"/>
    <w:rsid w:val="006F06E2"/>
    <w:rsid w:val="006F0AFF"/>
    <w:rsid w:val="006F0C49"/>
    <w:rsid w:val="006F0E48"/>
    <w:rsid w:val="006F13B8"/>
    <w:rsid w:val="006F18E3"/>
    <w:rsid w:val="006F1EB0"/>
    <w:rsid w:val="006F1FE0"/>
    <w:rsid w:val="006F2910"/>
    <w:rsid w:val="006F2A62"/>
    <w:rsid w:val="006F2CF2"/>
    <w:rsid w:val="006F3B15"/>
    <w:rsid w:val="006F3EE3"/>
    <w:rsid w:val="006F408C"/>
    <w:rsid w:val="006F4A4B"/>
    <w:rsid w:val="006F553A"/>
    <w:rsid w:val="006F57C9"/>
    <w:rsid w:val="006F5E3F"/>
    <w:rsid w:val="006F686E"/>
    <w:rsid w:val="006F7323"/>
    <w:rsid w:val="00700061"/>
    <w:rsid w:val="0070019B"/>
    <w:rsid w:val="007002F1"/>
    <w:rsid w:val="007007A3"/>
    <w:rsid w:val="00700A43"/>
    <w:rsid w:val="00700D77"/>
    <w:rsid w:val="007010B1"/>
    <w:rsid w:val="0070135B"/>
    <w:rsid w:val="00701472"/>
    <w:rsid w:val="00701CF6"/>
    <w:rsid w:val="0070227A"/>
    <w:rsid w:val="007029E4"/>
    <w:rsid w:val="007033B8"/>
    <w:rsid w:val="00703509"/>
    <w:rsid w:val="0070391C"/>
    <w:rsid w:val="00703AEF"/>
    <w:rsid w:val="007048D2"/>
    <w:rsid w:val="0070549A"/>
    <w:rsid w:val="00705946"/>
    <w:rsid w:val="00705BC6"/>
    <w:rsid w:val="00705CF3"/>
    <w:rsid w:val="00705D64"/>
    <w:rsid w:val="00706F9A"/>
    <w:rsid w:val="0070706B"/>
    <w:rsid w:val="0070736A"/>
    <w:rsid w:val="007075C2"/>
    <w:rsid w:val="007078DF"/>
    <w:rsid w:val="00707DAB"/>
    <w:rsid w:val="00707FBF"/>
    <w:rsid w:val="00710207"/>
    <w:rsid w:val="0071086A"/>
    <w:rsid w:val="0071088A"/>
    <w:rsid w:val="00710E06"/>
    <w:rsid w:val="00711595"/>
    <w:rsid w:val="00711BD0"/>
    <w:rsid w:val="00711DE6"/>
    <w:rsid w:val="0071240C"/>
    <w:rsid w:val="00712B19"/>
    <w:rsid w:val="00713564"/>
    <w:rsid w:val="00714598"/>
    <w:rsid w:val="00714617"/>
    <w:rsid w:val="00714B07"/>
    <w:rsid w:val="00714DB8"/>
    <w:rsid w:val="0071512E"/>
    <w:rsid w:val="007152A9"/>
    <w:rsid w:val="00715D1C"/>
    <w:rsid w:val="00716B4F"/>
    <w:rsid w:val="00716E2B"/>
    <w:rsid w:val="007176DC"/>
    <w:rsid w:val="00717920"/>
    <w:rsid w:val="00717AC1"/>
    <w:rsid w:val="00717E14"/>
    <w:rsid w:val="0072009F"/>
    <w:rsid w:val="00720440"/>
    <w:rsid w:val="00720445"/>
    <w:rsid w:val="007206EB"/>
    <w:rsid w:val="0072076B"/>
    <w:rsid w:val="00720E75"/>
    <w:rsid w:val="00722186"/>
    <w:rsid w:val="007226A1"/>
    <w:rsid w:val="00722F63"/>
    <w:rsid w:val="007247EA"/>
    <w:rsid w:val="0072547B"/>
    <w:rsid w:val="0072551B"/>
    <w:rsid w:val="007256A8"/>
    <w:rsid w:val="00725EBA"/>
    <w:rsid w:val="00725FE8"/>
    <w:rsid w:val="00726258"/>
    <w:rsid w:val="007262A0"/>
    <w:rsid w:val="00726373"/>
    <w:rsid w:val="00726A05"/>
    <w:rsid w:val="00727B8B"/>
    <w:rsid w:val="007302D1"/>
    <w:rsid w:val="007303CB"/>
    <w:rsid w:val="0073055E"/>
    <w:rsid w:val="00730596"/>
    <w:rsid w:val="007317DA"/>
    <w:rsid w:val="00731A9A"/>
    <w:rsid w:val="00731BB3"/>
    <w:rsid w:val="00732342"/>
    <w:rsid w:val="00732690"/>
    <w:rsid w:val="00733566"/>
    <w:rsid w:val="0073555E"/>
    <w:rsid w:val="00736331"/>
    <w:rsid w:val="00737194"/>
    <w:rsid w:val="007371CB"/>
    <w:rsid w:val="007372BC"/>
    <w:rsid w:val="007376BE"/>
    <w:rsid w:val="00740477"/>
    <w:rsid w:val="007404E2"/>
    <w:rsid w:val="00740AA5"/>
    <w:rsid w:val="00740D48"/>
    <w:rsid w:val="00740FB0"/>
    <w:rsid w:val="00741440"/>
    <w:rsid w:val="00741BAD"/>
    <w:rsid w:val="00742386"/>
    <w:rsid w:val="00742A62"/>
    <w:rsid w:val="00743394"/>
    <w:rsid w:val="00743B64"/>
    <w:rsid w:val="00743C64"/>
    <w:rsid w:val="00743D6C"/>
    <w:rsid w:val="00743F47"/>
    <w:rsid w:val="0074412B"/>
    <w:rsid w:val="007442A2"/>
    <w:rsid w:val="00744406"/>
    <w:rsid w:val="00744446"/>
    <w:rsid w:val="00744633"/>
    <w:rsid w:val="007449D1"/>
    <w:rsid w:val="00744F6E"/>
    <w:rsid w:val="00745082"/>
    <w:rsid w:val="007458BB"/>
    <w:rsid w:val="00745ABE"/>
    <w:rsid w:val="0074628E"/>
    <w:rsid w:val="00746CFF"/>
    <w:rsid w:val="00747E27"/>
    <w:rsid w:val="0075005E"/>
    <w:rsid w:val="00750113"/>
    <w:rsid w:val="00750341"/>
    <w:rsid w:val="007504C0"/>
    <w:rsid w:val="00750633"/>
    <w:rsid w:val="00750C9E"/>
    <w:rsid w:val="00750E5B"/>
    <w:rsid w:val="007513C0"/>
    <w:rsid w:val="00751941"/>
    <w:rsid w:val="007535AA"/>
    <w:rsid w:val="00753FB1"/>
    <w:rsid w:val="007547AC"/>
    <w:rsid w:val="00754956"/>
    <w:rsid w:val="00754B6C"/>
    <w:rsid w:val="00754C47"/>
    <w:rsid w:val="00754E8A"/>
    <w:rsid w:val="007552DD"/>
    <w:rsid w:val="00755498"/>
    <w:rsid w:val="007556E2"/>
    <w:rsid w:val="00755996"/>
    <w:rsid w:val="0075627D"/>
    <w:rsid w:val="0075643D"/>
    <w:rsid w:val="00756758"/>
    <w:rsid w:val="00757BF4"/>
    <w:rsid w:val="00761C4F"/>
    <w:rsid w:val="00761FF5"/>
    <w:rsid w:val="007625B3"/>
    <w:rsid w:val="00762E16"/>
    <w:rsid w:val="00764942"/>
    <w:rsid w:val="00765663"/>
    <w:rsid w:val="0076588A"/>
    <w:rsid w:val="00765DD9"/>
    <w:rsid w:val="007664D7"/>
    <w:rsid w:val="007667E8"/>
    <w:rsid w:val="00766A8D"/>
    <w:rsid w:val="007670F2"/>
    <w:rsid w:val="00770026"/>
    <w:rsid w:val="00770A50"/>
    <w:rsid w:val="007710D8"/>
    <w:rsid w:val="007720D4"/>
    <w:rsid w:val="007721BE"/>
    <w:rsid w:val="0077283C"/>
    <w:rsid w:val="00772AA3"/>
    <w:rsid w:val="00772B3B"/>
    <w:rsid w:val="007731E1"/>
    <w:rsid w:val="00773212"/>
    <w:rsid w:val="007735B9"/>
    <w:rsid w:val="007737B2"/>
    <w:rsid w:val="00774290"/>
    <w:rsid w:val="00774397"/>
    <w:rsid w:val="00775828"/>
    <w:rsid w:val="007769FB"/>
    <w:rsid w:val="007774AB"/>
    <w:rsid w:val="007777D3"/>
    <w:rsid w:val="00777820"/>
    <w:rsid w:val="0077782E"/>
    <w:rsid w:val="00777EF7"/>
    <w:rsid w:val="0078006E"/>
    <w:rsid w:val="00780379"/>
    <w:rsid w:val="00780729"/>
    <w:rsid w:val="00780B8E"/>
    <w:rsid w:val="00780BE2"/>
    <w:rsid w:val="00780EA3"/>
    <w:rsid w:val="00781422"/>
    <w:rsid w:val="00781B47"/>
    <w:rsid w:val="00781C01"/>
    <w:rsid w:val="00783051"/>
    <w:rsid w:val="00783A34"/>
    <w:rsid w:val="00784082"/>
    <w:rsid w:val="0078451D"/>
    <w:rsid w:val="00784D8D"/>
    <w:rsid w:val="007852F0"/>
    <w:rsid w:val="00785333"/>
    <w:rsid w:val="00785756"/>
    <w:rsid w:val="00785ABF"/>
    <w:rsid w:val="0078616B"/>
    <w:rsid w:val="0078621F"/>
    <w:rsid w:val="00786417"/>
    <w:rsid w:val="00786865"/>
    <w:rsid w:val="0078691B"/>
    <w:rsid w:val="00786A7C"/>
    <w:rsid w:val="00786EC4"/>
    <w:rsid w:val="00787391"/>
    <w:rsid w:val="00787745"/>
    <w:rsid w:val="00787DAE"/>
    <w:rsid w:val="00790209"/>
    <w:rsid w:val="00790223"/>
    <w:rsid w:val="0079033C"/>
    <w:rsid w:val="007905FF"/>
    <w:rsid w:val="007906B2"/>
    <w:rsid w:val="00790C8A"/>
    <w:rsid w:val="00791DC5"/>
    <w:rsid w:val="00792721"/>
    <w:rsid w:val="00792993"/>
    <w:rsid w:val="0079318C"/>
    <w:rsid w:val="00793230"/>
    <w:rsid w:val="00793D5B"/>
    <w:rsid w:val="00793EE3"/>
    <w:rsid w:val="00794540"/>
    <w:rsid w:val="007948B6"/>
    <w:rsid w:val="00794D15"/>
    <w:rsid w:val="00794EA0"/>
    <w:rsid w:val="00794FDC"/>
    <w:rsid w:val="00795155"/>
    <w:rsid w:val="00795327"/>
    <w:rsid w:val="00795CE8"/>
    <w:rsid w:val="00796014"/>
    <w:rsid w:val="00796072"/>
    <w:rsid w:val="007961DF"/>
    <w:rsid w:val="007964D7"/>
    <w:rsid w:val="007971D1"/>
    <w:rsid w:val="007976E4"/>
    <w:rsid w:val="0079771F"/>
    <w:rsid w:val="00797E2C"/>
    <w:rsid w:val="00797F89"/>
    <w:rsid w:val="007A033E"/>
    <w:rsid w:val="007A04D4"/>
    <w:rsid w:val="007A08E5"/>
    <w:rsid w:val="007A0B54"/>
    <w:rsid w:val="007A0E40"/>
    <w:rsid w:val="007A0F5F"/>
    <w:rsid w:val="007A11DB"/>
    <w:rsid w:val="007A15ED"/>
    <w:rsid w:val="007A18DF"/>
    <w:rsid w:val="007A18E5"/>
    <w:rsid w:val="007A205D"/>
    <w:rsid w:val="007A2133"/>
    <w:rsid w:val="007A21F1"/>
    <w:rsid w:val="007A27A6"/>
    <w:rsid w:val="007A2BA4"/>
    <w:rsid w:val="007A3256"/>
    <w:rsid w:val="007A3404"/>
    <w:rsid w:val="007A376F"/>
    <w:rsid w:val="007A415F"/>
    <w:rsid w:val="007A44DA"/>
    <w:rsid w:val="007A4557"/>
    <w:rsid w:val="007A47E1"/>
    <w:rsid w:val="007A497F"/>
    <w:rsid w:val="007A5096"/>
    <w:rsid w:val="007A52C0"/>
    <w:rsid w:val="007A5821"/>
    <w:rsid w:val="007A6D9A"/>
    <w:rsid w:val="007A6EF8"/>
    <w:rsid w:val="007A717A"/>
    <w:rsid w:val="007B0293"/>
    <w:rsid w:val="007B0741"/>
    <w:rsid w:val="007B0904"/>
    <w:rsid w:val="007B175B"/>
    <w:rsid w:val="007B2286"/>
    <w:rsid w:val="007B247F"/>
    <w:rsid w:val="007B2A88"/>
    <w:rsid w:val="007B2B18"/>
    <w:rsid w:val="007B2EA4"/>
    <w:rsid w:val="007B3021"/>
    <w:rsid w:val="007B34FE"/>
    <w:rsid w:val="007B3D6B"/>
    <w:rsid w:val="007B4414"/>
    <w:rsid w:val="007B47C9"/>
    <w:rsid w:val="007B4A83"/>
    <w:rsid w:val="007B4DA7"/>
    <w:rsid w:val="007B5084"/>
    <w:rsid w:val="007B522C"/>
    <w:rsid w:val="007B5704"/>
    <w:rsid w:val="007B5EE1"/>
    <w:rsid w:val="007B5F5D"/>
    <w:rsid w:val="007B66E4"/>
    <w:rsid w:val="007B6D61"/>
    <w:rsid w:val="007B708D"/>
    <w:rsid w:val="007B70CB"/>
    <w:rsid w:val="007B7E71"/>
    <w:rsid w:val="007C0F00"/>
    <w:rsid w:val="007C1152"/>
    <w:rsid w:val="007C2716"/>
    <w:rsid w:val="007C293B"/>
    <w:rsid w:val="007C2DE8"/>
    <w:rsid w:val="007C4F2D"/>
    <w:rsid w:val="007C5D85"/>
    <w:rsid w:val="007C69F3"/>
    <w:rsid w:val="007C6BD3"/>
    <w:rsid w:val="007C6F3F"/>
    <w:rsid w:val="007C6FC9"/>
    <w:rsid w:val="007C7013"/>
    <w:rsid w:val="007C72FD"/>
    <w:rsid w:val="007C7338"/>
    <w:rsid w:val="007C784A"/>
    <w:rsid w:val="007C7CF1"/>
    <w:rsid w:val="007D0C67"/>
    <w:rsid w:val="007D0CD1"/>
    <w:rsid w:val="007D3A15"/>
    <w:rsid w:val="007D456C"/>
    <w:rsid w:val="007D4959"/>
    <w:rsid w:val="007D4C42"/>
    <w:rsid w:val="007D5377"/>
    <w:rsid w:val="007D55F8"/>
    <w:rsid w:val="007D5EA8"/>
    <w:rsid w:val="007D6C9E"/>
    <w:rsid w:val="007D7089"/>
    <w:rsid w:val="007D76BA"/>
    <w:rsid w:val="007D793E"/>
    <w:rsid w:val="007D797F"/>
    <w:rsid w:val="007D7C28"/>
    <w:rsid w:val="007D7D39"/>
    <w:rsid w:val="007E0111"/>
    <w:rsid w:val="007E01CD"/>
    <w:rsid w:val="007E055E"/>
    <w:rsid w:val="007E1056"/>
    <w:rsid w:val="007E139E"/>
    <w:rsid w:val="007E1A44"/>
    <w:rsid w:val="007E1FEC"/>
    <w:rsid w:val="007E2275"/>
    <w:rsid w:val="007E2A32"/>
    <w:rsid w:val="007E2FE1"/>
    <w:rsid w:val="007E3126"/>
    <w:rsid w:val="007E3127"/>
    <w:rsid w:val="007E3A4D"/>
    <w:rsid w:val="007E3E5A"/>
    <w:rsid w:val="007E40AE"/>
    <w:rsid w:val="007E42D3"/>
    <w:rsid w:val="007E43C5"/>
    <w:rsid w:val="007E4B3C"/>
    <w:rsid w:val="007E53BF"/>
    <w:rsid w:val="007E5409"/>
    <w:rsid w:val="007E54DF"/>
    <w:rsid w:val="007E5AFD"/>
    <w:rsid w:val="007E6403"/>
    <w:rsid w:val="007E649B"/>
    <w:rsid w:val="007E6A88"/>
    <w:rsid w:val="007E6BC9"/>
    <w:rsid w:val="007E7247"/>
    <w:rsid w:val="007E77D3"/>
    <w:rsid w:val="007E7AA5"/>
    <w:rsid w:val="007E7D4E"/>
    <w:rsid w:val="007F2000"/>
    <w:rsid w:val="007F24E3"/>
    <w:rsid w:val="007F266E"/>
    <w:rsid w:val="007F2681"/>
    <w:rsid w:val="007F30E4"/>
    <w:rsid w:val="007F3E5E"/>
    <w:rsid w:val="007F4992"/>
    <w:rsid w:val="007F4BF5"/>
    <w:rsid w:val="007F50D9"/>
    <w:rsid w:val="007F50E4"/>
    <w:rsid w:val="007F5240"/>
    <w:rsid w:val="007F58C4"/>
    <w:rsid w:val="007F59FB"/>
    <w:rsid w:val="007F5B0B"/>
    <w:rsid w:val="007F5FC6"/>
    <w:rsid w:val="007F60F7"/>
    <w:rsid w:val="007F6224"/>
    <w:rsid w:val="007F62D8"/>
    <w:rsid w:val="007F65EE"/>
    <w:rsid w:val="007F689D"/>
    <w:rsid w:val="007F6997"/>
    <w:rsid w:val="007F6D72"/>
    <w:rsid w:val="007F6E3F"/>
    <w:rsid w:val="007F746F"/>
    <w:rsid w:val="007F7D2A"/>
    <w:rsid w:val="008003F7"/>
    <w:rsid w:val="008005D2"/>
    <w:rsid w:val="00800E26"/>
    <w:rsid w:val="00800F8E"/>
    <w:rsid w:val="00801588"/>
    <w:rsid w:val="00801A8A"/>
    <w:rsid w:val="008021CB"/>
    <w:rsid w:val="00802297"/>
    <w:rsid w:val="00803A46"/>
    <w:rsid w:val="00803E08"/>
    <w:rsid w:val="008043EA"/>
    <w:rsid w:val="00804572"/>
    <w:rsid w:val="008046B5"/>
    <w:rsid w:val="00804853"/>
    <w:rsid w:val="00804AF3"/>
    <w:rsid w:val="00805198"/>
    <w:rsid w:val="008054E7"/>
    <w:rsid w:val="008055E0"/>
    <w:rsid w:val="008055EA"/>
    <w:rsid w:val="008056C2"/>
    <w:rsid w:val="008058F0"/>
    <w:rsid w:val="008068A0"/>
    <w:rsid w:val="00806F24"/>
    <w:rsid w:val="008078F5"/>
    <w:rsid w:val="00807C7E"/>
    <w:rsid w:val="0081016B"/>
    <w:rsid w:val="0081056B"/>
    <w:rsid w:val="00810A77"/>
    <w:rsid w:val="00810DB0"/>
    <w:rsid w:val="00811156"/>
    <w:rsid w:val="008111C5"/>
    <w:rsid w:val="00811CE1"/>
    <w:rsid w:val="00812295"/>
    <w:rsid w:val="0081251D"/>
    <w:rsid w:val="00812799"/>
    <w:rsid w:val="00812E90"/>
    <w:rsid w:val="00812EB8"/>
    <w:rsid w:val="00812ED8"/>
    <w:rsid w:val="00812F16"/>
    <w:rsid w:val="0081315F"/>
    <w:rsid w:val="0081378C"/>
    <w:rsid w:val="00813E3C"/>
    <w:rsid w:val="00813F75"/>
    <w:rsid w:val="0081430C"/>
    <w:rsid w:val="00814523"/>
    <w:rsid w:val="0081459A"/>
    <w:rsid w:val="00814ED3"/>
    <w:rsid w:val="00815150"/>
    <w:rsid w:val="008163C2"/>
    <w:rsid w:val="00817115"/>
    <w:rsid w:val="00817381"/>
    <w:rsid w:val="0081750B"/>
    <w:rsid w:val="008178AD"/>
    <w:rsid w:val="008178C5"/>
    <w:rsid w:val="0082064C"/>
    <w:rsid w:val="008209AF"/>
    <w:rsid w:val="008212D6"/>
    <w:rsid w:val="008213CB"/>
    <w:rsid w:val="008227F6"/>
    <w:rsid w:val="00822936"/>
    <w:rsid w:val="00822E9F"/>
    <w:rsid w:val="00823E76"/>
    <w:rsid w:val="00824224"/>
    <w:rsid w:val="00824228"/>
    <w:rsid w:val="008252E0"/>
    <w:rsid w:val="00825490"/>
    <w:rsid w:val="00825D9C"/>
    <w:rsid w:val="00825DB0"/>
    <w:rsid w:val="00826643"/>
    <w:rsid w:val="008268B9"/>
    <w:rsid w:val="00827343"/>
    <w:rsid w:val="0082756D"/>
    <w:rsid w:val="00830442"/>
    <w:rsid w:val="008311DE"/>
    <w:rsid w:val="00831586"/>
    <w:rsid w:val="00831927"/>
    <w:rsid w:val="00832677"/>
    <w:rsid w:val="008339F2"/>
    <w:rsid w:val="00834083"/>
    <w:rsid w:val="008340F3"/>
    <w:rsid w:val="0083495B"/>
    <w:rsid w:val="00834A33"/>
    <w:rsid w:val="00834ACB"/>
    <w:rsid w:val="00834FDE"/>
    <w:rsid w:val="00835AE2"/>
    <w:rsid w:val="00836150"/>
    <w:rsid w:val="008366FA"/>
    <w:rsid w:val="00836C38"/>
    <w:rsid w:val="00836F84"/>
    <w:rsid w:val="00837366"/>
    <w:rsid w:val="0083783F"/>
    <w:rsid w:val="00837EE6"/>
    <w:rsid w:val="00837F23"/>
    <w:rsid w:val="008403BB"/>
    <w:rsid w:val="00840B30"/>
    <w:rsid w:val="00840F49"/>
    <w:rsid w:val="00841B7E"/>
    <w:rsid w:val="008424A7"/>
    <w:rsid w:val="008428C1"/>
    <w:rsid w:val="00842A65"/>
    <w:rsid w:val="00842CA9"/>
    <w:rsid w:val="00843003"/>
    <w:rsid w:val="0084350E"/>
    <w:rsid w:val="0084359E"/>
    <w:rsid w:val="008436D6"/>
    <w:rsid w:val="008442B3"/>
    <w:rsid w:val="00844318"/>
    <w:rsid w:val="00844E09"/>
    <w:rsid w:val="00845933"/>
    <w:rsid w:val="00845A88"/>
    <w:rsid w:val="00845AFF"/>
    <w:rsid w:val="0084610C"/>
    <w:rsid w:val="00846220"/>
    <w:rsid w:val="008464DC"/>
    <w:rsid w:val="00846A0F"/>
    <w:rsid w:val="00846CAD"/>
    <w:rsid w:val="00847E3A"/>
    <w:rsid w:val="00850485"/>
    <w:rsid w:val="00850A4C"/>
    <w:rsid w:val="00850A73"/>
    <w:rsid w:val="00851242"/>
    <w:rsid w:val="008513AD"/>
    <w:rsid w:val="00851593"/>
    <w:rsid w:val="008518EA"/>
    <w:rsid w:val="00851B3D"/>
    <w:rsid w:val="00851B42"/>
    <w:rsid w:val="00851D8B"/>
    <w:rsid w:val="00851DB4"/>
    <w:rsid w:val="00851F06"/>
    <w:rsid w:val="008523E3"/>
    <w:rsid w:val="0085295A"/>
    <w:rsid w:val="00853A99"/>
    <w:rsid w:val="008549B7"/>
    <w:rsid w:val="008550A8"/>
    <w:rsid w:val="00855223"/>
    <w:rsid w:val="008557D8"/>
    <w:rsid w:val="008565A3"/>
    <w:rsid w:val="008567C4"/>
    <w:rsid w:val="00856AC4"/>
    <w:rsid w:val="00856E1E"/>
    <w:rsid w:val="00856F27"/>
    <w:rsid w:val="008600DD"/>
    <w:rsid w:val="008601F3"/>
    <w:rsid w:val="00860AAC"/>
    <w:rsid w:val="00861367"/>
    <w:rsid w:val="0086173F"/>
    <w:rsid w:val="008618AB"/>
    <w:rsid w:val="00861DF4"/>
    <w:rsid w:val="008629E3"/>
    <w:rsid w:val="00862D33"/>
    <w:rsid w:val="008635A6"/>
    <w:rsid w:val="00864290"/>
    <w:rsid w:val="00864675"/>
    <w:rsid w:val="0086539A"/>
    <w:rsid w:val="008654A5"/>
    <w:rsid w:val="0086565A"/>
    <w:rsid w:val="008656DF"/>
    <w:rsid w:val="00865808"/>
    <w:rsid w:val="00865EAF"/>
    <w:rsid w:val="008667F9"/>
    <w:rsid w:val="008679D9"/>
    <w:rsid w:val="00867B69"/>
    <w:rsid w:val="00870435"/>
    <w:rsid w:val="00870482"/>
    <w:rsid w:val="00870803"/>
    <w:rsid w:val="008709B2"/>
    <w:rsid w:val="0087148E"/>
    <w:rsid w:val="008716E8"/>
    <w:rsid w:val="0087181A"/>
    <w:rsid w:val="00871C70"/>
    <w:rsid w:val="00872A2E"/>
    <w:rsid w:val="00872DAF"/>
    <w:rsid w:val="00872EB0"/>
    <w:rsid w:val="0087340C"/>
    <w:rsid w:val="0087482B"/>
    <w:rsid w:val="00874A20"/>
    <w:rsid w:val="00874F62"/>
    <w:rsid w:val="008750ED"/>
    <w:rsid w:val="0087581D"/>
    <w:rsid w:val="0087720A"/>
    <w:rsid w:val="00877702"/>
    <w:rsid w:val="00877FF3"/>
    <w:rsid w:val="0088112A"/>
    <w:rsid w:val="00881C55"/>
    <w:rsid w:val="008820B5"/>
    <w:rsid w:val="00882227"/>
    <w:rsid w:val="00882BAD"/>
    <w:rsid w:val="00883225"/>
    <w:rsid w:val="00883872"/>
    <w:rsid w:val="00883892"/>
    <w:rsid w:val="00883A4A"/>
    <w:rsid w:val="00883DD5"/>
    <w:rsid w:val="00883F43"/>
    <w:rsid w:val="00884147"/>
    <w:rsid w:val="00884195"/>
    <w:rsid w:val="00884584"/>
    <w:rsid w:val="00884698"/>
    <w:rsid w:val="008849FA"/>
    <w:rsid w:val="008852C8"/>
    <w:rsid w:val="00885738"/>
    <w:rsid w:val="00885B2E"/>
    <w:rsid w:val="00886048"/>
    <w:rsid w:val="008865AF"/>
    <w:rsid w:val="008865D4"/>
    <w:rsid w:val="008868BD"/>
    <w:rsid w:val="00886933"/>
    <w:rsid w:val="00886956"/>
    <w:rsid w:val="008872FF"/>
    <w:rsid w:val="0088733C"/>
    <w:rsid w:val="00887D5E"/>
    <w:rsid w:val="00890288"/>
    <w:rsid w:val="00890ACF"/>
    <w:rsid w:val="00890C03"/>
    <w:rsid w:val="00890C8B"/>
    <w:rsid w:val="00891077"/>
    <w:rsid w:val="00891603"/>
    <w:rsid w:val="00891852"/>
    <w:rsid w:val="00891ABA"/>
    <w:rsid w:val="00891E32"/>
    <w:rsid w:val="0089248D"/>
    <w:rsid w:val="00892BA6"/>
    <w:rsid w:val="00892F1F"/>
    <w:rsid w:val="008934CD"/>
    <w:rsid w:val="00894283"/>
    <w:rsid w:val="00895551"/>
    <w:rsid w:val="008956F1"/>
    <w:rsid w:val="00895A4B"/>
    <w:rsid w:val="00895CE9"/>
    <w:rsid w:val="008966E9"/>
    <w:rsid w:val="008968EE"/>
    <w:rsid w:val="008972FD"/>
    <w:rsid w:val="0089777D"/>
    <w:rsid w:val="008A00DA"/>
    <w:rsid w:val="008A0207"/>
    <w:rsid w:val="008A037D"/>
    <w:rsid w:val="008A07BF"/>
    <w:rsid w:val="008A151C"/>
    <w:rsid w:val="008A1E73"/>
    <w:rsid w:val="008A2545"/>
    <w:rsid w:val="008A2D05"/>
    <w:rsid w:val="008A322B"/>
    <w:rsid w:val="008A33A5"/>
    <w:rsid w:val="008A39B1"/>
    <w:rsid w:val="008A3B5E"/>
    <w:rsid w:val="008A3E5D"/>
    <w:rsid w:val="008A4759"/>
    <w:rsid w:val="008A4DCB"/>
    <w:rsid w:val="008A555A"/>
    <w:rsid w:val="008A5AC5"/>
    <w:rsid w:val="008A603F"/>
    <w:rsid w:val="008A6302"/>
    <w:rsid w:val="008A6519"/>
    <w:rsid w:val="008A6A8B"/>
    <w:rsid w:val="008A793B"/>
    <w:rsid w:val="008A7F53"/>
    <w:rsid w:val="008B0399"/>
    <w:rsid w:val="008B084E"/>
    <w:rsid w:val="008B0FB0"/>
    <w:rsid w:val="008B128D"/>
    <w:rsid w:val="008B1706"/>
    <w:rsid w:val="008B2E64"/>
    <w:rsid w:val="008B37B5"/>
    <w:rsid w:val="008B38BD"/>
    <w:rsid w:val="008B39F1"/>
    <w:rsid w:val="008B471D"/>
    <w:rsid w:val="008B4885"/>
    <w:rsid w:val="008B48E1"/>
    <w:rsid w:val="008B4B00"/>
    <w:rsid w:val="008B5B99"/>
    <w:rsid w:val="008B5F26"/>
    <w:rsid w:val="008B5FB8"/>
    <w:rsid w:val="008B6AD0"/>
    <w:rsid w:val="008B6F5D"/>
    <w:rsid w:val="008B78EC"/>
    <w:rsid w:val="008B7906"/>
    <w:rsid w:val="008C01EC"/>
    <w:rsid w:val="008C0407"/>
    <w:rsid w:val="008C0435"/>
    <w:rsid w:val="008C07D4"/>
    <w:rsid w:val="008C1ACE"/>
    <w:rsid w:val="008C1C6D"/>
    <w:rsid w:val="008C21C8"/>
    <w:rsid w:val="008C2431"/>
    <w:rsid w:val="008C2571"/>
    <w:rsid w:val="008C28BF"/>
    <w:rsid w:val="008C2AD3"/>
    <w:rsid w:val="008C2C2D"/>
    <w:rsid w:val="008C2F29"/>
    <w:rsid w:val="008C3644"/>
    <w:rsid w:val="008C36D2"/>
    <w:rsid w:val="008C39B9"/>
    <w:rsid w:val="008C3D00"/>
    <w:rsid w:val="008C3D7B"/>
    <w:rsid w:val="008C3F87"/>
    <w:rsid w:val="008C417C"/>
    <w:rsid w:val="008C5264"/>
    <w:rsid w:val="008C5445"/>
    <w:rsid w:val="008C54BA"/>
    <w:rsid w:val="008C593E"/>
    <w:rsid w:val="008C5A54"/>
    <w:rsid w:val="008C6233"/>
    <w:rsid w:val="008C6243"/>
    <w:rsid w:val="008C64E5"/>
    <w:rsid w:val="008C6E21"/>
    <w:rsid w:val="008C6F20"/>
    <w:rsid w:val="008C6F9E"/>
    <w:rsid w:val="008C737E"/>
    <w:rsid w:val="008C7452"/>
    <w:rsid w:val="008D0320"/>
    <w:rsid w:val="008D064B"/>
    <w:rsid w:val="008D0D13"/>
    <w:rsid w:val="008D0E46"/>
    <w:rsid w:val="008D143D"/>
    <w:rsid w:val="008D145D"/>
    <w:rsid w:val="008D1508"/>
    <w:rsid w:val="008D17D7"/>
    <w:rsid w:val="008D3955"/>
    <w:rsid w:val="008D3A45"/>
    <w:rsid w:val="008D3D19"/>
    <w:rsid w:val="008D3D31"/>
    <w:rsid w:val="008D3E65"/>
    <w:rsid w:val="008D43CF"/>
    <w:rsid w:val="008D5861"/>
    <w:rsid w:val="008D5ED6"/>
    <w:rsid w:val="008D5FEB"/>
    <w:rsid w:val="008D6328"/>
    <w:rsid w:val="008D6534"/>
    <w:rsid w:val="008D69DA"/>
    <w:rsid w:val="008D6B72"/>
    <w:rsid w:val="008D6D85"/>
    <w:rsid w:val="008D6FF3"/>
    <w:rsid w:val="008D72F7"/>
    <w:rsid w:val="008D73A0"/>
    <w:rsid w:val="008D792A"/>
    <w:rsid w:val="008E021C"/>
    <w:rsid w:val="008E0905"/>
    <w:rsid w:val="008E143A"/>
    <w:rsid w:val="008E14D4"/>
    <w:rsid w:val="008E1C6D"/>
    <w:rsid w:val="008E1EFC"/>
    <w:rsid w:val="008E1F23"/>
    <w:rsid w:val="008E2B6C"/>
    <w:rsid w:val="008E3C1B"/>
    <w:rsid w:val="008E5275"/>
    <w:rsid w:val="008E55B2"/>
    <w:rsid w:val="008E57E1"/>
    <w:rsid w:val="008E58E9"/>
    <w:rsid w:val="008E6310"/>
    <w:rsid w:val="008E6AF7"/>
    <w:rsid w:val="008E751A"/>
    <w:rsid w:val="008E7704"/>
    <w:rsid w:val="008E78EC"/>
    <w:rsid w:val="008E7F63"/>
    <w:rsid w:val="008F00C3"/>
    <w:rsid w:val="008F01F6"/>
    <w:rsid w:val="008F1047"/>
    <w:rsid w:val="008F128E"/>
    <w:rsid w:val="008F13B8"/>
    <w:rsid w:val="008F13ED"/>
    <w:rsid w:val="008F1626"/>
    <w:rsid w:val="008F1A35"/>
    <w:rsid w:val="008F1E61"/>
    <w:rsid w:val="008F21CE"/>
    <w:rsid w:val="008F21F4"/>
    <w:rsid w:val="008F23AB"/>
    <w:rsid w:val="008F25DB"/>
    <w:rsid w:val="008F2DF3"/>
    <w:rsid w:val="008F3FB1"/>
    <w:rsid w:val="008F4044"/>
    <w:rsid w:val="008F46B0"/>
    <w:rsid w:val="008F48B3"/>
    <w:rsid w:val="008F5329"/>
    <w:rsid w:val="008F5454"/>
    <w:rsid w:val="008F6506"/>
    <w:rsid w:val="008F6E8E"/>
    <w:rsid w:val="008F7537"/>
    <w:rsid w:val="009000BA"/>
    <w:rsid w:val="009003D1"/>
    <w:rsid w:val="0090047A"/>
    <w:rsid w:val="009005BA"/>
    <w:rsid w:val="009005BE"/>
    <w:rsid w:val="00900804"/>
    <w:rsid w:val="00900A38"/>
    <w:rsid w:val="00901F13"/>
    <w:rsid w:val="00902088"/>
    <w:rsid w:val="00902220"/>
    <w:rsid w:val="0090255B"/>
    <w:rsid w:val="0090269F"/>
    <w:rsid w:val="00902C59"/>
    <w:rsid w:val="00903046"/>
    <w:rsid w:val="00903436"/>
    <w:rsid w:val="00903A9A"/>
    <w:rsid w:val="009040BB"/>
    <w:rsid w:val="009042DB"/>
    <w:rsid w:val="009046D2"/>
    <w:rsid w:val="00904A11"/>
    <w:rsid w:val="009051B5"/>
    <w:rsid w:val="0090539E"/>
    <w:rsid w:val="009055D2"/>
    <w:rsid w:val="0090564E"/>
    <w:rsid w:val="00905A7D"/>
    <w:rsid w:val="00905B00"/>
    <w:rsid w:val="00906827"/>
    <w:rsid w:val="00907A42"/>
    <w:rsid w:val="00907BCA"/>
    <w:rsid w:val="00907C5E"/>
    <w:rsid w:val="00907DC6"/>
    <w:rsid w:val="00907E65"/>
    <w:rsid w:val="009101AA"/>
    <w:rsid w:val="00910D01"/>
    <w:rsid w:val="009113DD"/>
    <w:rsid w:val="0091175B"/>
    <w:rsid w:val="00911AC0"/>
    <w:rsid w:val="009120C5"/>
    <w:rsid w:val="009126FC"/>
    <w:rsid w:val="00912DCF"/>
    <w:rsid w:val="009133B0"/>
    <w:rsid w:val="009137AE"/>
    <w:rsid w:val="00913803"/>
    <w:rsid w:val="009139CA"/>
    <w:rsid w:val="00914205"/>
    <w:rsid w:val="009156AA"/>
    <w:rsid w:val="00915EC1"/>
    <w:rsid w:val="00916375"/>
    <w:rsid w:val="0091679F"/>
    <w:rsid w:val="00916FED"/>
    <w:rsid w:val="00917B64"/>
    <w:rsid w:val="00917BB3"/>
    <w:rsid w:val="00920E25"/>
    <w:rsid w:val="00921377"/>
    <w:rsid w:val="009213B4"/>
    <w:rsid w:val="00921F2A"/>
    <w:rsid w:val="009221B9"/>
    <w:rsid w:val="00922290"/>
    <w:rsid w:val="009225FD"/>
    <w:rsid w:val="0092260C"/>
    <w:rsid w:val="00922A97"/>
    <w:rsid w:val="00922BE0"/>
    <w:rsid w:val="00922DAC"/>
    <w:rsid w:val="009231EF"/>
    <w:rsid w:val="009238F5"/>
    <w:rsid w:val="00924393"/>
    <w:rsid w:val="00924992"/>
    <w:rsid w:val="00925726"/>
    <w:rsid w:val="00925EEE"/>
    <w:rsid w:val="00925F86"/>
    <w:rsid w:val="009265FE"/>
    <w:rsid w:val="00927532"/>
    <w:rsid w:val="00930F37"/>
    <w:rsid w:val="009310A7"/>
    <w:rsid w:val="0093140C"/>
    <w:rsid w:val="00931AD1"/>
    <w:rsid w:val="009323AA"/>
    <w:rsid w:val="00932618"/>
    <w:rsid w:val="0093261A"/>
    <w:rsid w:val="00933173"/>
    <w:rsid w:val="00933320"/>
    <w:rsid w:val="0093361C"/>
    <w:rsid w:val="00933695"/>
    <w:rsid w:val="00933CC4"/>
    <w:rsid w:val="00934298"/>
    <w:rsid w:val="00934649"/>
    <w:rsid w:val="009346A9"/>
    <w:rsid w:val="009356E9"/>
    <w:rsid w:val="00935AFB"/>
    <w:rsid w:val="00935E2C"/>
    <w:rsid w:val="0093610E"/>
    <w:rsid w:val="00936618"/>
    <w:rsid w:val="009371A8"/>
    <w:rsid w:val="009371C2"/>
    <w:rsid w:val="009372A8"/>
    <w:rsid w:val="009378A7"/>
    <w:rsid w:val="009378C9"/>
    <w:rsid w:val="00937F05"/>
    <w:rsid w:val="00937FEE"/>
    <w:rsid w:val="00940097"/>
    <w:rsid w:val="00940DB6"/>
    <w:rsid w:val="00940DDF"/>
    <w:rsid w:val="00941D59"/>
    <w:rsid w:val="00941F38"/>
    <w:rsid w:val="00942AE1"/>
    <w:rsid w:val="00942E24"/>
    <w:rsid w:val="00942F9D"/>
    <w:rsid w:val="00944414"/>
    <w:rsid w:val="009448BD"/>
    <w:rsid w:val="00944B08"/>
    <w:rsid w:val="00944CD8"/>
    <w:rsid w:val="00944F65"/>
    <w:rsid w:val="009458C8"/>
    <w:rsid w:val="009463BB"/>
    <w:rsid w:val="00946958"/>
    <w:rsid w:val="009475F6"/>
    <w:rsid w:val="00947A6D"/>
    <w:rsid w:val="00950898"/>
    <w:rsid w:val="00951068"/>
    <w:rsid w:val="0095128E"/>
    <w:rsid w:val="00951C93"/>
    <w:rsid w:val="00952552"/>
    <w:rsid w:val="00952AA8"/>
    <w:rsid w:val="00953315"/>
    <w:rsid w:val="0095332E"/>
    <w:rsid w:val="00954A4F"/>
    <w:rsid w:val="00954B6A"/>
    <w:rsid w:val="00956AFB"/>
    <w:rsid w:val="00956B1D"/>
    <w:rsid w:val="00957732"/>
    <w:rsid w:val="00957C19"/>
    <w:rsid w:val="00960C10"/>
    <w:rsid w:val="00960C59"/>
    <w:rsid w:val="00960CB1"/>
    <w:rsid w:val="0096133F"/>
    <w:rsid w:val="00961980"/>
    <w:rsid w:val="00961B65"/>
    <w:rsid w:val="00961EE7"/>
    <w:rsid w:val="0096218C"/>
    <w:rsid w:val="0096289C"/>
    <w:rsid w:val="009634DF"/>
    <w:rsid w:val="009634F6"/>
    <w:rsid w:val="00963B35"/>
    <w:rsid w:val="0096404E"/>
    <w:rsid w:val="009647C4"/>
    <w:rsid w:val="00964802"/>
    <w:rsid w:val="0096558F"/>
    <w:rsid w:val="0096562C"/>
    <w:rsid w:val="0096753F"/>
    <w:rsid w:val="00967793"/>
    <w:rsid w:val="00967C74"/>
    <w:rsid w:val="00967CF2"/>
    <w:rsid w:val="00967DC6"/>
    <w:rsid w:val="00970450"/>
    <w:rsid w:val="00970E9F"/>
    <w:rsid w:val="0097135B"/>
    <w:rsid w:val="00971A05"/>
    <w:rsid w:val="00971EDF"/>
    <w:rsid w:val="009723D3"/>
    <w:rsid w:val="009725C6"/>
    <w:rsid w:val="00973354"/>
    <w:rsid w:val="009738E8"/>
    <w:rsid w:val="0097419D"/>
    <w:rsid w:val="00974287"/>
    <w:rsid w:val="00975AB0"/>
    <w:rsid w:val="00975DEC"/>
    <w:rsid w:val="00976684"/>
    <w:rsid w:val="009768EB"/>
    <w:rsid w:val="00976DCA"/>
    <w:rsid w:val="00977044"/>
    <w:rsid w:val="00977993"/>
    <w:rsid w:val="0097799E"/>
    <w:rsid w:val="00977CC0"/>
    <w:rsid w:val="00977FAB"/>
    <w:rsid w:val="009806D7"/>
    <w:rsid w:val="00980773"/>
    <w:rsid w:val="00981041"/>
    <w:rsid w:val="00982AE1"/>
    <w:rsid w:val="00982D20"/>
    <w:rsid w:val="00983386"/>
    <w:rsid w:val="0098339B"/>
    <w:rsid w:val="0098377A"/>
    <w:rsid w:val="0098389C"/>
    <w:rsid w:val="00983CDF"/>
    <w:rsid w:val="00983CF7"/>
    <w:rsid w:val="00983EDB"/>
    <w:rsid w:val="00983F0C"/>
    <w:rsid w:val="00984A8D"/>
    <w:rsid w:val="009853E4"/>
    <w:rsid w:val="0098601D"/>
    <w:rsid w:val="009869FD"/>
    <w:rsid w:val="009872DF"/>
    <w:rsid w:val="009875BF"/>
    <w:rsid w:val="00987681"/>
    <w:rsid w:val="009878C2"/>
    <w:rsid w:val="00987E8B"/>
    <w:rsid w:val="00987FB9"/>
    <w:rsid w:val="00990241"/>
    <w:rsid w:val="00990311"/>
    <w:rsid w:val="00990423"/>
    <w:rsid w:val="00990453"/>
    <w:rsid w:val="009905D4"/>
    <w:rsid w:val="009907AB"/>
    <w:rsid w:val="00990F2A"/>
    <w:rsid w:val="00991020"/>
    <w:rsid w:val="00991413"/>
    <w:rsid w:val="00991CFC"/>
    <w:rsid w:val="00992A26"/>
    <w:rsid w:val="00992AEC"/>
    <w:rsid w:val="00992F90"/>
    <w:rsid w:val="00993397"/>
    <w:rsid w:val="00993B34"/>
    <w:rsid w:val="00993B8D"/>
    <w:rsid w:val="00993D69"/>
    <w:rsid w:val="00993F80"/>
    <w:rsid w:val="0099413A"/>
    <w:rsid w:val="00994204"/>
    <w:rsid w:val="00994324"/>
    <w:rsid w:val="0099526A"/>
    <w:rsid w:val="00995319"/>
    <w:rsid w:val="009955E4"/>
    <w:rsid w:val="009959E4"/>
    <w:rsid w:val="00995C0A"/>
    <w:rsid w:val="00996384"/>
    <w:rsid w:val="00996A34"/>
    <w:rsid w:val="0099702A"/>
    <w:rsid w:val="009976AB"/>
    <w:rsid w:val="00997727"/>
    <w:rsid w:val="00997DC1"/>
    <w:rsid w:val="009A0E26"/>
    <w:rsid w:val="009A0F3F"/>
    <w:rsid w:val="009A1518"/>
    <w:rsid w:val="009A15DC"/>
    <w:rsid w:val="009A17F3"/>
    <w:rsid w:val="009A1FED"/>
    <w:rsid w:val="009A213F"/>
    <w:rsid w:val="009A2154"/>
    <w:rsid w:val="009A2272"/>
    <w:rsid w:val="009A22EE"/>
    <w:rsid w:val="009A23E8"/>
    <w:rsid w:val="009A248C"/>
    <w:rsid w:val="009A283F"/>
    <w:rsid w:val="009A2BCE"/>
    <w:rsid w:val="009A2CD7"/>
    <w:rsid w:val="009A2DF9"/>
    <w:rsid w:val="009A2F92"/>
    <w:rsid w:val="009A3015"/>
    <w:rsid w:val="009A32FD"/>
    <w:rsid w:val="009A389B"/>
    <w:rsid w:val="009A396A"/>
    <w:rsid w:val="009A4420"/>
    <w:rsid w:val="009A4FD8"/>
    <w:rsid w:val="009A5147"/>
    <w:rsid w:val="009A5F7A"/>
    <w:rsid w:val="009A60B2"/>
    <w:rsid w:val="009A66C7"/>
    <w:rsid w:val="009A6861"/>
    <w:rsid w:val="009A696B"/>
    <w:rsid w:val="009A6D80"/>
    <w:rsid w:val="009B0643"/>
    <w:rsid w:val="009B0664"/>
    <w:rsid w:val="009B0704"/>
    <w:rsid w:val="009B0E43"/>
    <w:rsid w:val="009B11FE"/>
    <w:rsid w:val="009B1670"/>
    <w:rsid w:val="009B1B35"/>
    <w:rsid w:val="009B1CC2"/>
    <w:rsid w:val="009B1D57"/>
    <w:rsid w:val="009B21C2"/>
    <w:rsid w:val="009B2485"/>
    <w:rsid w:val="009B2684"/>
    <w:rsid w:val="009B2BC9"/>
    <w:rsid w:val="009B2E8A"/>
    <w:rsid w:val="009B37CD"/>
    <w:rsid w:val="009B3A7E"/>
    <w:rsid w:val="009B3F12"/>
    <w:rsid w:val="009B4265"/>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7CD"/>
    <w:rsid w:val="009C1B24"/>
    <w:rsid w:val="009C1BFA"/>
    <w:rsid w:val="009C1DF4"/>
    <w:rsid w:val="009C1F4C"/>
    <w:rsid w:val="009C209B"/>
    <w:rsid w:val="009C21A2"/>
    <w:rsid w:val="009C2542"/>
    <w:rsid w:val="009C284B"/>
    <w:rsid w:val="009C4B39"/>
    <w:rsid w:val="009C5559"/>
    <w:rsid w:val="009C5E92"/>
    <w:rsid w:val="009C5F4F"/>
    <w:rsid w:val="009C614A"/>
    <w:rsid w:val="009C693C"/>
    <w:rsid w:val="009C6CB9"/>
    <w:rsid w:val="009C7281"/>
    <w:rsid w:val="009C7310"/>
    <w:rsid w:val="009C76DD"/>
    <w:rsid w:val="009D0044"/>
    <w:rsid w:val="009D08AC"/>
    <w:rsid w:val="009D12CF"/>
    <w:rsid w:val="009D152A"/>
    <w:rsid w:val="009D1A92"/>
    <w:rsid w:val="009D1B52"/>
    <w:rsid w:val="009D222D"/>
    <w:rsid w:val="009D291B"/>
    <w:rsid w:val="009D302C"/>
    <w:rsid w:val="009D315D"/>
    <w:rsid w:val="009D343B"/>
    <w:rsid w:val="009D3722"/>
    <w:rsid w:val="009D3745"/>
    <w:rsid w:val="009D3762"/>
    <w:rsid w:val="009D390C"/>
    <w:rsid w:val="009D3C45"/>
    <w:rsid w:val="009D3FA1"/>
    <w:rsid w:val="009D450F"/>
    <w:rsid w:val="009D506E"/>
    <w:rsid w:val="009D5A35"/>
    <w:rsid w:val="009D604B"/>
    <w:rsid w:val="009D6331"/>
    <w:rsid w:val="009D6EAA"/>
    <w:rsid w:val="009D701B"/>
    <w:rsid w:val="009D78C2"/>
    <w:rsid w:val="009D7C05"/>
    <w:rsid w:val="009E000C"/>
    <w:rsid w:val="009E01B0"/>
    <w:rsid w:val="009E0462"/>
    <w:rsid w:val="009E062E"/>
    <w:rsid w:val="009E069B"/>
    <w:rsid w:val="009E0C18"/>
    <w:rsid w:val="009E0F1B"/>
    <w:rsid w:val="009E1141"/>
    <w:rsid w:val="009E11DF"/>
    <w:rsid w:val="009E17D5"/>
    <w:rsid w:val="009E1B17"/>
    <w:rsid w:val="009E20F0"/>
    <w:rsid w:val="009E237C"/>
    <w:rsid w:val="009E2B59"/>
    <w:rsid w:val="009E2BCC"/>
    <w:rsid w:val="009E3A9C"/>
    <w:rsid w:val="009E3AA1"/>
    <w:rsid w:val="009E3E41"/>
    <w:rsid w:val="009E3F73"/>
    <w:rsid w:val="009E3FFD"/>
    <w:rsid w:val="009E4BDE"/>
    <w:rsid w:val="009E5878"/>
    <w:rsid w:val="009E5981"/>
    <w:rsid w:val="009E60FC"/>
    <w:rsid w:val="009E63BE"/>
    <w:rsid w:val="009E71D0"/>
    <w:rsid w:val="009E72BE"/>
    <w:rsid w:val="009E7748"/>
    <w:rsid w:val="009E7F12"/>
    <w:rsid w:val="009F108F"/>
    <w:rsid w:val="009F1353"/>
    <w:rsid w:val="009F14D6"/>
    <w:rsid w:val="009F17A5"/>
    <w:rsid w:val="009F1BCD"/>
    <w:rsid w:val="009F20BE"/>
    <w:rsid w:val="009F2439"/>
    <w:rsid w:val="009F2796"/>
    <w:rsid w:val="009F3275"/>
    <w:rsid w:val="009F32A4"/>
    <w:rsid w:val="009F3A41"/>
    <w:rsid w:val="009F3FE6"/>
    <w:rsid w:val="009F445D"/>
    <w:rsid w:val="009F46AF"/>
    <w:rsid w:val="009F4C50"/>
    <w:rsid w:val="009F4E1B"/>
    <w:rsid w:val="009F523A"/>
    <w:rsid w:val="009F54FB"/>
    <w:rsid w:val="009F5B47"/>
    <w:rsid w:val="009F5C11"/>
    <w:rsid w:val="009F6059"/>
    <w:rsid w:val="009F675E"/>
    <w:rsid w:val="009F6AAC"/>
    <w:rsid w:val="009F6AD3"/>
    <w:rsid w:val="009F6AD7"/>
    <w:rsid w:val="009F6BA6"/>
    <w:rsid w:val="009F6DA9"/>
    <w:rsid w:val="00A0019D"/>
    <w:rsid w:val="00A006E9"/>
    <w:rsid w:val="00A00874"/>
    <w:rsid w:val="00A024F7"/>
    <w:rsid w:val="00A0253A"/>
    <w:rsid w:val="00A02FD6"/>
    <w:rsid w:val="00A03603"/>
    <w:rsid w:val="00A03610"/>
    <w:rsid w:val="00A03C78"/>
    <w:rsid w:val="00A04198"/>
    <w:rsid w:val="00A043F8"/>
    <w:rsid w:val="00A04690"/>
    <w:rsid w:val="00A04D2A"/>
    <w:rsid w:val="00A05440"/>
    <w:rsid w:val="00A0595D"/>
    <w:rsid w:val="00A0598B"/>
    <w:rsid w:val="00A07155"/>
    <w:rsid w:val="00A073FA"/>
    <w:rsid w:val="00A07D53"/>
    <w:rsid w:val="00A07F9A"/>
    <w:rsid w:val="00A11227"/>
    <w:rsid w:val="00A113D2"/>
    <w:rsid w:val="00A11579"/>
    <w:rsid w:val="00A11BEA"/>
    <w:rsid w:val="00A11D5A"/>
    <w:rsid w:val="00A129D6"/>
    <w:rsid w:val="00A131B0"/>
    <w:rsid w:val="00A13472"/>
    <w:rsid w:val="00A13943"/>
    <w:rsid w:val="00A141CF"/>
    <w:rsid w:val="00A149D5"/>
    <w:rsid w:val="00A14D22"/>
    <w:rsid w:val="00A15B14"/>
    <w:rsid w:val="00A15B83"/>
    <w:rsid w:val="00A16A08"/>
    <w:rsid w:val="00A16ED2"/>
    <w:rsid w:val="00A1744B"/>
    <w:rsid w:val="00A17864"/>
    <w:rsid w:val="00A17C99"/>
    <w:rsid w:val="00A17F45"/>
    <w:rsid w:val="00A21BF1"/>
    <w:rsid w:val="00A222FF"/>
    <w:rsid w:val="00A227F0"/>
    <w:rsid w:val="00A2281D"/>
    <w:rsid w:val="00A22E09"/>
    <w:rsid w:val="00A23078"/>
    <w:rsid w:val="00A2319B"/>
    <w:rsid w:val="00A238E3"/>
    <w:rsid w:val="00A24DC9"/>
    <w:rsid w:val="00A2531C"/>
    <w:rsid w:val="00A25376"/>
    <w:rsid w:val="00A25960"/>
    <w:rsid w:val="00A25D6B"/>
    <w:rsid w:val="00A261D0"/>
    <w:rsid w:val="00A2624A"/>
    <w:rsid w:val="00A2635E"/>
    <w:rsid w:val="00A263E1"/>
    <w:rsid w:val="00A26A38"/>
    <w:rsid w:val="00A26EB8"/>
    <w:rsid w:val="00A270C3"/>
    <w:rsid w:val="00A271CD"/>
    <w:rsid w:val="00A2776F"/>
    <w:rsid w:val="00A27E5E"/>
    <w:rsid w:val="00A301D0"/>
    <w:rsid w:val="00A30C76"/>
    <w:rsid w:val="00A3120B"/>
    <w:rsid w:val="00A31556"/>
    <w:rsid w:val="00A3187C"/>
    <w:rsid w:val="00A3191A"/>
    <w:rsid w:val="00A32886"/>
    <w:rsid w:val="00A32F19"/>
    <w:rsid w:val="00A335E0"/>
    <w:rsid w:val="00A33D0D"/>
    <w:rsid w:val="00A353FF"/>
    <w:rsid w:val="00A354EA"/>
    <w:rsid w:val="00A357CC"/>
    <w:rsid w:val="00A35972"/>
    <w:rsid w:val="00A35BEB"/>
    <w:rsid w:val="00A35EB1"/>
    <w:rsid w:val="00A3631A"/>
    <w:rsid w:val="00A366ED"/>
    <w:rsid w:val="00A3692C"/>
    <w:rsid w:val="00A36E9A"/>
    <w:rsid w:val="00A37493"/>
    <w:rsid w:val="00A3766D"/>
    <w:rsid w:val="00A3767C"/>
    <w:rsid w:val="00A37BFE"/>
    <w:rsid w:val="00A37C61"/>
    <w:rsid w:val="00A403ED"/>
    <w:rsid w:val="00A4054E"/>
    <w:rsid w:val="00A40E31"/>
    <w:rsid w:val="00A413AD"/>
    <w:rsid w:val="00A41641"/>
    <w:rsid w:val="00A41701"/>
    <w:rsid w:val="00A418E1"/>
    <w:rsid w:val="00A41A51"/>
    <w:rsid w:val="00A41BC0"/>
    <w:rsid w:val="00A41DDC"/>
    <w:rsid w:val="00A421C4"/>
    <w:rsid w:val="00A42958"/>
    <w:rsid w:val="00A42D78"/>
    <w:rsid w:val="00A434DE"/>
    <w:rsid w:val="00A43F1A"/>
    <w:rsid w:val="00A443D3"/>
    <w:rsid w:val="00A444F8"/>
    <w:rsid w:val="00A4458B"/>
    <w:rsid w:val="00A44619"/>
    <w:rsid w:val="00A44D8D"/>
    <w:rsid w:val="00A44DB3"/>
    <w:rsid w:val="00A45267"/>
    <w:rsid w:val="00A4572A"/>
    <w:rsid w:val="00A457AE"/>
    <w:rsid w:val="00A45A0F"/>
    <w:rsid w:val="00A45D69"/>
    <w:rsid w:val="00A45FE0"/>
    <w:rsid w:val="00A4642A"/>
    <w:rsid w:val="00A469FA"/>
    <w:rsid w:val="00A476A6"/>
    <w:rsid w:val="00A47874"/>
    <w:rsid w:val="00A47E51"/>
    <w:rsid w:val="00A47F6A"/>
    <w:rsid w:val="00A5049B"/>
    <w:rsid w:val="00A505E6"/>
    <w:rsid w:val="00A509F8"/>
    <w:rsid w:val="00A511BB"/>
    <w:rsid w:val="00A512A4"/>
    <w:rsid w:val="00A51AAF"/>
    <w:rsid w:val="00A52314"/>
    <w:rsid w:val="00A528A6"/>
    <w:rsid w:val="00A52FD2"/>
    <w:rsid w:val="00A5360F"/>
    <w:rsid w:val="00A53A72"/>
    <w:rsid w:val="00A53BE5"/>
    <w:rsid w:val="00A54938"/>
    <w:rsid w:val="00A54B34"/>
    <w:rsid w:val="00A551FA"/>
    <w:rsid w:val="00A553A7"/>
    <w:rsid w:val="00A5543E"/>
    <w:rsid w:val="00A554BD"/>
    <w:rsid w:val="00A556FA"/>
    <w:rsid w:val="00A55D1A"/>
    <w:rsid w:val="00A56229"/>
    <w:rsid w:val="00A56329"/>
    <w:rsid w:val="00A56BDA"/>
    <w:rsid w:val="00A57EF5"/>
    <w:rsid w:val="00A60B0B"/>
    <w:rsid w:val="00A60BC7"/>
    <w:rsid w:val="00A62612"/>
    <w:rsid w:val="00A628AE"/>
    <w:rsid w:val="00A62A36"/>
    <w:rsid w:val="00A62AF3"/>
    <w:rsid w:val="00A62BC4"/>
    <w:rsid w:val="00A62FAE"/>
    <w:rsid w:val="00A63433"/>
    <w:rsid w:val="00A634F6"/>
    <w:rsid w:val="00A6358C"/>
    <w:rsid w:val="00A63BF3"/>
    <w:rsid w:val="00A63E29"/>
    <w:rsid w:val="00A64635"/>
    <w:rsid w:val="00A64D41"/>
    <w:rsid w:val="00A64EA8"/>
    <w:rsid w:val="00A656B3"/>
    <w:rsid w:val="00A6595D"/>
    <w:rsid w:val="00A65A8E"/>
    <w:rsid w:val="00A65AD4"/>
    <w:rsid w:val="00A66B07"/>
    <w:rsid w:val="00A67559"/>
    <w:rsid w:val="00A67590"/>
    <w:rsid w:val="00A67B55"/>
    <w:rsid w:val="00A701BD"/>
    <w:rsid w:val="00A70307"/>
    <w:rsid w:val="00A70762"/>
    <w:rsid w:val="00A70F36"/>
    <w:rsid w:val="00A713BB"/>
    <w:rsid w:val="00A71574"/>
    <w:rsid w:val="00A71797"/>
    <w:rsid w:val="00A7197E"/>
    <w:rsid w:val="00A71BCE"/>
    <w:rsid w:val="00A71D9A"/>
    <w:rsid w:val="00A7205D"/>
    <w:rsid w:val="00A722CD"/>
    <w:rsid w:val="00A729B7"/>
    <w:rsid w:val="00A72FC1"/>
    <w:rsid w:val="00A731DC"/>
    <w:rsid w:val="00A735AE"/>
    <w:rsid w:val="00A7497A"/>
    <w:rsid w:val="00A74C63"/>
    <w:rsid w:val="00A753D1"/>
    <w:rsid w:val="00A75600"/>
    <w:rsid w:val="00A75759"/>
    <w:rsid w:val="00A76C04"/>
    <w:rsid w:val="00A77883"/>
    <w:rsid w:val="00A77E53"/>
    <w:rsid w:val="00A77E68"/>
    <w:rsid w:val="00A8012C"/>
    <w:rsid w:val="00A80241"/>
    <w:rsid w:val="00A806AE"/>
    <w:rsid w:val="00A80795"/>
    <w:rsid w:val="00A80AFE"/>
    <w:rsid w:val="00A8144F"/>
    <w:rsid w:val="00A8155B"/>
    <w:rsid w:val="00A8196F"/>
    <w:rsid w:val="00A82069"/>
    <w:rsid w:val="00A82486"/>
    <w:rsid w:val="00A82C58"/>
    <w:rsid w:val="00A8325F"/>
    <w:rsid w:val="00A834F7"/>
    <w:rsid w:val="00A83503"/>
    <w:rsid w:val="00A83550"/>
    <w:rsid w:val="00A83765"/>
    <w:rsid w:val="00A83CEF"/>
    <w:rsid w:val="00A8421D"/>
    <w:rsid w:val="00A8450D"/>
    <w:rsid w:val="00A846BB"/>
    <w:rsid w:val="00A84FB2"/>
    <w:rsid w:val="00A8561D"/>
    <w:rsid w:val="00A8609D"/>
    <w:rsid w:val="00A86430"/>
    <w:rsid w:val="00A86547"/>
    <w:rsid w:val="00A86638"/>
    <w:rsid w:val="00A86DDE"/>
    <w:rsid w:val="00A87E23"/>
    <w:rsid w:val="00A90A81"/>
    <w:rsid w:val="00A913A8"/>
    <w:rsid w:val="00A916CC"/>
    <w:rsid w:val="00A91A3C"/>
    <w:rsid w:val="00A91B82"/>
    <w:rsid w:val="00A92BC2"/>
    <w:rsid w:val="00A92EC3"/>
    <w:rsid w:val="00A93BBE"/>
    <w:rsid w:val="00A946B0"/>
    <w:rsid w:val="00A94AA6"/>
    <w:rsid w:val="00A94F7B"/>
    <w:rsid w:val="00A94F86"/>
    <w:rsid w:val="00A9568F"/>
    <w:rsid w:val="00A95888"/>
    <w:rsid w:val="00A96648"/>
    <w:rsid w:val="00A97307"/>
    <w:rsid w:val="00AA0454"/>
    <w:rsid w:val="00AA156E"/>
    <w:rsid w:val="00AA22AB"/>
    <w:rsid w:val="00AA282C"/>
    <w:rsid w:val="00AA311B"/>
    <w:rsid w:val="00AA3361"/>
    <w:rsid w:val="00AA3563"/>
    <w:rsid w:val="00AA35D7"/>
    <w:rsid w:val="00AA3D06"/>
    <w:rsid w:val="00AA3FD4"/>
    <w:rsid w:val="00AA45E1"/>
    <w:rsid w:val="00AA5386"/>
    <w:rsid w:val="00AA575C"/>
    <w:rsid w:val="00AA6DB3"/>
    <w:rsid w:val="00AA76DD"/>
    <w:rsid w:val="00AA7BF2"/>
    <w:rsid w:val="00AA7C2B"/>
    <w:rsid w:val="00AA7F57"/>
    <w:rsid w:val="00AB0120"/>
    <w:rsid w:val="00AB0840"/>
    <w:rsid w:val="00AB0BA2"/>
    <w:rsid w:val="00AB0C4C"/>
    <w:rsid w:val="00AB10F6"/>
    <w:rsid w:val="00AB1776"/>
    <w:rsid w:val="00AB1936"/>
    <w:rsid w:val="00AB1E4C"/>
    <w:rsid w:val="00AB24C0"/>
    <w:rsid w:val="00AB2603"/>
    <w:rsid w:val="00AB2CC2"/>
    <w:rsid w:val="00AB2D94"/>
    <w:rsid w:val="00AB2F90"/>
    <w:rsid w:val="00AB2FCB"/>
    <w:rsid w:val="00AB36EB"/>
    <w:rsid w:val="00AB3B2D"/>
    <w:rsid w:val="00AB3EBE"/>
    <w:rsid w:val="00AB4013"/>
    <w:rsid w:val="00AB40CC"/>
    <w:rsid w:val="00AB4604"/>
    <w:rsid w:val="00AB5251"/>
    <w:rsid w:val="00AB5268"/>
    <w:rsid w:val="00AB5573"/>
    <w:rsid w:val="00AB55C8"/>
    <w:rsid w:val="00AB5740"/>
    <w:rsid w:val="00AB5783"/>
    <w:rsid w:val="00AB58D4"/>
    <w:rsid w:val="00AB660E"/>
    <w:rsid w:val="00AB6658"/>
    <w:rsid w:val="00AB6D0F"/>
    <w:rsid w:val="00AB737D"/>
    <w:rsid w:val="00AB7752"/>
    <w:rsid w:val="00AB78CC"/>
    <w:rsid w:val="00AB7E98"/>
    <w:rsid w:val="00AC03F0"/>
    <w:rsid w:val="00AC062F"/>
    <w:rsid w:val="00AC0A81"/>
    <w:rsid w:val="00AC0C7D"/>
    <w:rsid w:val="00AC0E7C"/>
    <w:rsid w:val="00AC1250"/>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5BFD"/>
    <w:rsid w:val="00AC5C98"/>
    <w:rsid w:val="00AC5FED"/>
    <w:rsid w:val="00AC6E6A"/>
    <w:rsid w:val="00AC6EA9"/>
    <w:rsid w:val="00AC6F0C"/>
    <w:rsid w:val="00AC72B5"/>
    <w:rsid w:val="00AC7A8A"/>
    <w:rsid w:val="00AC7CFF"/>
    <w:rsid w:val="00AD0A56"/>
    <w:rsid w:val="00AD0B94"/>
    <w:rsid w:val="00AD0C05"/>
    <w:rsid w:val="00AD12EC"/>
    <w:rsid w:val="00AD2CA8"/>
    <w:rsid w:val="00AD317C"/>
    <w:rsid w:val="00AD3354"/>
    <w:rsid w:val="00AD45CE"/>
    <w:rsid w:val="00AD4FB2"/>
    <w:rsid w:val="00AD55B4"/>
    <w:rsid w:val="00AD5F6B"/>
    <w:rsid w:val="00AD66BF"/>
    <w:rsid w:val="00AD68B0"/>
    <w:rsid w:val="00AD69C0"/>
    <w:rsid w:val="00AD6B02"/>
    <w:rsid w:val="00AD72FC"/>
    <w:rsid w:val="00AD7A93"/>
    <w:rsid w:val="00AE08A5"/>
    <w:rsid w:val="00AE1107"/>
    <w:rsid w:val="00AE1217"/>
    <w:rsid w:val="00AE17A2"/>
    <w:rsid w:val="00AE191D"/>
    <w:rsid w:val="00AE1F15"/>
    <w:rsid w:val="00AE33EA"/>
    <w:rsid w:val="00AE37F7"/>
    <w:rsid w:val="00AE3B3E"/>
    <w:rsid w:val="00AE3E0B"/>
    <w:rsid w:val="00AE40FE"/>
    <w:rsid w:val="00AE4215"/>
    <w:rsid w:val="00AE4A43"/>
    <w:rsid w:val="00AE4C77"/>
    <w:rsid w:val="00AE4FD6"/>
    <w:rsid w:val="00AE576C"/>
    <w:rsid w:val="00AE5CEF"/>
    <w:rsid w:val="00AE60B1"/>
    <w:rsid w:val="00AE64B1"/>
    <w:rsid w:val="00AE6C92"/>
    <w:rsid w:val="00AE6DFF"/>
    <w:rsid w:val="00AE7C28"/>
    <w:rsid w:val="00AE7F93"/>
    <w:rsid w:val="00AF056D"/>
    <w:rsid w:val="00AF059E"/>
    <w:rsid w:val="00AF0CDE"/>
    <w:rsid w:val="00AF0FA4"/>
    <w:rsid w:val="00AF1857"/>
    <w:rsid w:val="00AF2142"/>
    <w:rsid w:val="00AF2A80"/>
    <w:rsid w:val="00AF3764"/>
    <w:rsid w:val="00AF3B95"/>
    <w:rsid w:val="00AF4032"/>
    <w:rsid w:val="00AF4701"/>
    <w:rsid w:val="00AF49BA"/>
    <w:rsid w:val="00AF49BB"/>
    <w:rsid w:val="00AF4B46"/>
    <w:rsid w:val="00AF4D58"/>
    <w:rsid w:val="00AF4D89"/>
    <w:rsid w:val="00AF5B31"/>
    <w:rsid w:val="00AF5B91"/>
    <w:rsid w:val="00AF5DCD"/>
    <w:rsid w:val="00AF65A7"/>
    <w:rsid w:val="00AF674D"/>
    <w:rsid w:val="00AF6A64"/>
    <w:rsid w:val="00AF6BB3"/>
    <w:rsid w:val="00AF756A"/>
    <w:rsid w:val="00AF78DA"/>
    <w:rsid w:val="00AF7E93"/>
    <w:rsid w:val="00B001A9"/>
    <w:rsid w:val="00B01621"/>
    <w:rsid w:val="00B0230F"/>
    <w:rsid w:val="00B02A0E"/>
    <w:rsid w:val="00B02EC7"/>
    <w:rsid w:val="00B03E9D"/>
    <w:rsid w:val="00B040A3"/>
    <w:rsid w:val="00B0475D"/>
    <w:rsid w:val="00B04873"/>
    <w:rsid w:val="00B04AF7"/>
    <w:rsid w:val="00B0529D"/>
    <w:rsid w:val="00B052BE"/>
    <w:rsid w:val="00B06935"/>
    <w:rsid w:val="00B10957"/>
    <w:rsid w:val="00B1116B"/>
    <w:rsid w:val="00B1156A"/>
    <w:rsid w:val="00B12670"/>
    <w:rsid w:val="00B12A34"/>
    <w:rsid w:val="00B13C0A"/>
    <w:rsid w:val="00B13D1E"/>
    <w:rsid w:val="00B14168"/>
    <w:rsid w:val="00B15286"/>
    <w:rsid w:val="00B153AB"/>
    <w:rsid w:val="00B16465"/>
    <w:rsid w:val="00B174F7"/>
    <w:rsid w:val="00B17611"/>
    <w:rsid w:val="00B178E0"/>
    <w:rsid w:val="00B20474"/>
    <w:rsid w:val="00B20568"/>
    <w:rsid w:val="00B20729"/>
    <w:rsid w:val="00B20803"/>
    <w:rsid w:val="00B20D46"/>
    <w:rsid w:val="00B213E9"/>
    <w:rsid w:val="00B215E7"/>
    <w:rsid w:val="00B21CD6"/>
    <w:rsid w:val="00B22704"/>
    <w:rsid w:val="00B22951"/>
    <w:rsid w:val="00B229FC"/>
    <w:rsid w:val="00B22F72"/>
    <w:rsid w:val="00B23486"/>
    <w:rsid w:val="00B234C9"/>
    <w:rsid w:val="00B236C5"/>
    <w:rsid w:val="00B243AC"/>
    <w:rsid w:val="00B24AC1"/>
    <w:rsid w:val="00B24C45"/>
    <w:rsid w:val="00B24E12"/>
    <w:rsid w:val="00B24F43"/>
    <w:rsid w:val="00B25244"/>
    <w:rsid w:val="00B25559"/>
    <w:rsid w:val="00B255F2"/>
    <w:rsid w:val="00B25852"/>
    <w:rsid w:val="00B25939"/>
    <w:rsid w:val="00B25A53"/>
    <w:rsid w:val="00B25CBA"/>
    <w:rsid w:val="00B25CC6"/>
    <w:rsid w:val="00B2649C"/>
    <w:rsid w:val="00B265B2"/>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629"/>
    <w:rsid w:val="00B3677E"/>
    <w:rsid w:val="00B36B1D"/>
    <w:rsid w:val="00B36D0E"/>
    <w:rsid w:val="00B3755C"/>
    <w:rsid w:val="00B3780B"/>
    <w:rsid w:val="00B37ECE"/>
    <w:rsid w:val="00B37F3C"/>
    <w:rsid w:val="00B4040D"/>
    <w:rsid w:val="00B404AA"/>
    <w:rsid w:val="00B40746"/>
    <w:rsid w:val="00B40B7C"/>
    <w:rsid w:val="00B40F0D"/>
    <w:rsid w:val="00B41247"/>
    <w:rsid w:val="00B42381"/>
    <w:rsid w:val="00B42754"/>
    <w:rsid w:val="00B427DD"/>
    <w:rsid w:val="00B42CD6"/>
    <w:rsid w:val="00B42E48"/>
    <w:rsid w:val="00B42E9E"/>
    <w:rsid w:val="00B4399A"/>
    <w:rsid w:val="00B43BB5"/>
    <w:rsid w:val="00B440E7"/>
    <w:rsid w:val="00B45266"/>
    <w:rsid w:val="00B45874"/>
    <w:rsid w:val="00B45B27"/>
    <w:rsid w:val="00B45F7F"/>
    <w:rsid w:val="00B469F4"/>
    <w:rsid w:val="00B46A63"/>
    <w:rsid w:val="00B46BA3"/>
    <w:rsid w:val="00B46C65"/>
    <w:rsid w:val="00B4716E"/>
    <w:rsid w:val="00B47282"/>
    <w:rsid w:val="00B474EF"/>
    <w:rsid w:val="00B47E4F"/>
    <w:rsid w:val="00B47F25"/>
    <w:rsid w:val="00B50110"/>
    <w:rsid w:val="00B50B4A"/>
    <w:rsid w:val="00B52C1E"/>
    <w:rsid w:val="00B52F94"/>
    <w:rsid w:val="00B53E18"/>
    <w:rsid w:val="00B54008"/>
    <w:rsid w:val="00B55825"/>
    <w:rsid w:val="00B56100"/>
    <w:rsid w:val="00B5681F"/>
    <w:rsid w:val="00B56A4E"/>
    <w:rsid w:val="00B571A9"/>
    <w:rsid w:val="00B5734A"/>
    <w:rsid w:val="00B5753B"/>
    <w:rsid w:val="00B60218"/>
    <w:rsid w:val="00B609CF"/>
    <w:rsid w:val="00B629FA"/>
    <w:rsid w:val="00B62E19"/>
    <w:rsid w:val="00B63143"/>
    <w:rsid w:val="00B63D03"/>
    <w:rsid w:val="00B64281"/>
    <w:rsid w:val="00B64787"/>
    <w:rsid w:val="00B65098"/>
    <w:rsid w:val="00B65268"/>
    <w:rsid w:val="00B652BF"/>
    <w:rsid w:val="00B65AFE"/>
    <w:rsid w:val="00B662D4"/>
    <w:rsid w:val="00B671BE"/>
    <w:rsid w:val="00B671EB"/>
    <w:rsid w:val="00B67612"/>
    <w:rsid w:val="00B67724"/>
    <w:rsid w:val="00B67D8D"/>
    <w:rsid w:val="00B70224"/>
    <w:rsid w:val="00B70379"/>
    <w:rsid w:val="00B7050D"/>
    <w:rsid w:val="00B70987"/>
    <w:rsid w:val="00B70996"/>
    <w:rsid w:val="00B70A4D"/>
    <w:rsid w:val="00B71131"/>
    <w:rsid w:val="00B71243"/>
    <w:rsid w:val="00B71424"/>
    <w:rsid w:val="00B715A3"/>
    <w:rsid w:val="00B71BA9"/>
    <w:rsid w:val="00B72634"/>
    <w:rsid w:val="00B728B3"/>
    <w:rsid w:val="00B72CFF"/>
    <w:rsid w:val="00B72E53"/>
    <w:rsid w:val="00B73389"/>
    <w:rsid w:val="00B73B5C"/>
    <w:rsid w:val="00B745EF"/>
    <w:rsid w:val="00B74BED"/>
    <w:rsid w:val="00B7534B"/>
    <w:rsid w:val="00B76558"/>
    <w:rsid w:val="00B76AD8"/>
    <w:rsid w:val="00B77B10"/>
    <w:rsid w:val="00B80060"/>
    <w:rsid w:val="00B8051B"/>
    <w:rsid w:val="00B81186"/>
    <w:rsid w:val="00B81DD9"/>
    <w:rsid w:val="00B81F9C"/>
    <w:rsid w:val="00B82161"/>
    <w:rsid w:val="00B828D3"/>
    <w:rsid w:val="00B82AA2"/>
    <w:rsid w:val="00B8314B"/>
    <w:rsid w:val="00B842EF"/>
    <w:rsid w:val="00B8477C"/>
    <w:rsid w:val="00B85842"/>
    <w:rsid w:val="00B85F3F"/>
    <w:rsid w:val="00B861C7"/>
    <w:rsid w:val="00B87315"/>
    <w:rsid w:val="00B873D4"/>
    <w:rsid w:val="00B87414"/>
    <w:rsid w:val="00B87E5B"/>
    <w:rsid w:val="00B903BF"/>
    <w:rsid w:val="00B90A1B"/>
    <w:rsid w:val="00B912E3"/>
    <w:rsid w:val="00B91AF9"/>
    <w:rsid w:val="00B91C73"/>
    <w:rsid w:val="00B92321"/>
    <w:rsid w:val="00B92643"/>
    <w:rsid w:val="00B92B1C"/>
    <w:rsid w:val="00B949D2"/>
    <w:rsid w:val="00B95A72"/>
    <w:rsid w:val="00B95E60"/>
    <w:rsid w:val="00B961C5"/>
    <w:rsid w:val="00B96421"/>
    <w:rsid w:val="00B9673F"/>
    <w:rsid w:val="00B96921"/>
    <w:rsid w:val="00B97193"/>
    <w:rsid w:val="00B9748D"/>
    <w:rsid w:val="00B9762F"/>
    <w:rsid w:val="00B976A3"/>
    <w:rsid w:val="00B977B8"/>
    <w:rsid w:val="00B978BC"/>
    <w:rsid w:val="00B97C45"/>
    <w:rsid w:val="00BA049C"/>
    <w:rsid w:val="00BA0DEA"/>
    <w:rsid w:val="00BA1064"/>
    <w:rsid w:val="00BA1623"/>
    <w:rsid w:val="00BA173F"/>
    <w:rsid w:val="00BA2965"/>
    <w:rsid w:val="00BA2C5D"/>
    <w:rsid w:val="00BA3264"/>
    <w:rsid w:val="00BA3996"/>
    <w:rsid w:val="00BA3F1B"/>
    <w:rsid w:val="00BA40BF"/>
    <w:rsid w:val="00BA467C"/>
    <w:rsid w:val="00BA4844"/>
    <w:rsid w:val="00BA5051"/>
    <w:rsid w:val="00BA6F16"/>
    <w:rsid w:val="00BA72FD"/>
    <w:rsid w:val="00BA76C6"/>
    <w:rsid w:val="00BB00FC"/>
    <w:rsid w:val="00BB086B"/>
    <w:rsid w:val="00BB0FDE"/>
    <w:rsid w:val="00BB15F8"/>
    <w:rsid w:val="00BB1672"/>
    <w:rsid w:val="00BB1775"/>
    <w:rsid w:val="00BB18D4"/>
    <w:rsid w:val="00BB2274"/>
    <w:rsid w:val="00BB2BB2"/>
    <w:rsid w:val="00BB3595"/>
    <w:rsid w:val="00BB377F"/>
    <w:rsid w:val="00BB3A24"/>
    <w:rsid w:val="00BB3B60"/>
    <w:rsid w:val="00BB3E23"/>
    <w:rsid w:val="00BB48D1"/>
    <w:rsid w:val="00BB49D7"/>
    <w:rsid w:val="00BB4F5C"/>
    <w:rsid w:val="00BB5A2B"/>
    <w:rsid w:val="00BB5E9C"/>
    <w:rsid w:val="00BB6E73"/>
    <w:rsid w:val="00BB746E"/>
    <w:rsid w:val="00BB797A"/>
    <w:rsid w:val="00BB7AAC"/>
    <w:rsid w:val="00BC05AA"/>
    <w:rsid w:val="00BC07C7"/>
    <w:rsid w:val="00BC087D"/>
    <w:rsid w:val="00BC0A59"/>
    <w:rsid w:val="00BC0B92"/>
    <w:rsid w:val="00BC0BC8"/>
    <w:rsid w:val="00BC0E1A"/>
    <w:rsid w:val="00BC11A4"/>
    <w:rsid w:val="00BC151E"/>
    <w:rsid w:val="00BC1784"/>
    <w:rsid w:val="00BC1CD5"/>
    <w:rsid w:val="00BC1D3F"/>
    <w:rsid w:val="00BC24EB"/>
    <w:rsid w:val="00BC2B6C"/>
    <w:rsid w:val="00BC3107"/>
    <w:rsid w:val="00BC3CEC"/>
    <w:rsid w:val="00BC43EB"/>
    <w:rsid w:val="00BC4BBA"/>
    <w:rsid w:val="00BC4EE9"/>
    <w:rsid w:val="00BC5A3B"/>
    <w:rsid w:val="00BC5B71"/>
    <w:rsid w:val="00BC66FA"/>
    <w:rsid w:val="00BC69DB"/>
    <w:rsid w:val="00BC6FDA"/>
    <w:rsid w:val="00BC7674"/>
    <w:rsid w:val="00BC7C5D"/>
    <w:rsid w:val="00BD03F4"/>
    <w:rsid w:val="00BD07EE"/>
    <w:rsid w:val="00BD0FAC"/>
    <w:rsid w:val="00BD1050"/>
    <w:rsid w:val="00BD25B9"/>
    <w:rsid w:val="00BD2CF9"/>
    <w:rsid w:val="00BD2E18"/>
    <w:rsid w:val="00BD317F"/>
    <w:rsid w:val="00BD31AA"/>
    <w:rsid w:val="00BD3B8A"/>
    <w:rsid w:val="00BD422C"/>
    <w:rsid w:val="00BD4C64"/>
    <w:rsid w:val="00BD5319"/>
    <w:rsid w:val="00BD582C"/>
    <w:rsid w:val="00BD5A58"/>
    <w:rsid w:val="00BD6074"/>
    <w:rsid w:val="00BD64BD"/>
    <w:rsid w:val="00BD6568"/>
    <w:rsid w:val="00BD66F2"/>
    <w:rsid w:val="00BD6709"/>
    <w:rsid w:val="00BD677D"/>
    <w:rsid w:val="00BD6D20"/>
    <w:rsid w:val="00BD6E66"/>
    <w:rsid w:val="00BD7678"/>
    <w:rsid w:val="00BD7DC8"/>
    <w:rsid w:val="00BD7E7F"/>
    <w:rsid w:val="00BE0027"/>
    <w:rsid w:val="00BE0334"/>
    <w:rsid w:val="00BE040A"/>
    <w:rsid w:val="00BE043A"/>
    <w:rsid w:val="00BE05C8"/>
    <w:rsid w:val="00BE0F32"/>
    <w:rsid w:val="00BE15E4"/>
    <w:rsid w:val="00BE17FE"/>
    <w:rsid w:val="00BE1C05"/>
    <w:rsid w:val="00BE2053"/>
    <w:rsid w:val="00BE254D"/>
    <w:rsid w:val="00BE257C"/>
    <w:rsid w:val="00BE2EE2"/>
    <w:rsid w:val="00BE2F2B"/>
    <w:rsid w:val="00BE311F"/>
    <w:rsid w:val="00BE34F8"/>
    <w:rsid w:val="00BE3FF0"/>
    <w:rsid w:val="00BE4B51"/>
    <w:rsid w:val="00BE4C2C"/>
    <w:rsid w:val="00BE5491"/>
    <w:rsid w:val="00BE57A1"/>
    <w:rsid w:val="00BE58AF"/>
    <w:rsid w:val="00BE5C1D"/>
    <w:rsid w:val="00BE5C9E"/>
    <w:rsid w:val="00BE6195"/>
    <w:rsid w:val="00BE62FF"/>
    <w:rsid w:val="00BE6FCE"/>
    <w:rsid w:val="00BE7E56"/>
    <w:rsid w:val="00BE7F1E"/>
    <w:rsid w:val="00BF01EF"/>
    <w:rsid w:val="00BF037A"/>
    <w:rsid w:val="00BF0D2C"/>
    <w:rsid w:val="00BF1370"/>
    <w:rsid w:val="00BF1A2F"/>
    <w:rsid w:val="00BF1B96"/>
    <w:rsid w:val="00BF1DF0"/>
    <w:rsid w:val="00BF2115"/>
    <w:rsid w:val="00BF2229"/>
    <w:rsid w:val="00BF24AA"/>
    <w:rsid w:val="00BF2556"/>
    <w:rsid w:val="00BF2CA5"/>
    <w:rsid w:val="00BF3023"/>
    <w:rsid w:val="00BF3179"/>
    <w:rsid w:val="00BF35F1"/>
    <w:rsid w:val="00BF362E"/>
    <w:rsid w:val="00BF4352"/>
    <w:rsid w:val="00BF4489"/>
    <w:rsid w:val="00BF4965"/>
    <w:rsid w:val="00BF5B89"/>
    <w:rsid w:val="00BF5E3D"/>
    <w:rsid w:val="00BF5EE6"/>
    <w:rsid w:val="00BF622A"/>
    <w:rsid w:val="00BF638D"/>
    <w:rsid w:val="00BF6693"/>
    <w:rsid w:val="00BF6B23"/>
    <w:rsid w:val="00BF6ED4"/>
    <w:rsid w:val="00C0024C"/>
    <w:rsid w:val="00C009DD"/>
    <w:rsid w:val="00C0144C"/>
    <w:rsid w:val="00C01970"/>
    <w:rsid w:val="00C01A9B"/>
    <w:rsid w:val="00C01AAB"/>
    <w:rsid w:val="00C01F70"/>
    <w:rsid w:val="00C02369"/>
    <w:rsid w:val="00C02640"/>
    <w:rsid w:val="00C026E4"/>
    <w:rsid w:val="00C02A5E"/>
    <w:rsid w:val="00C02BCC"/>
    <w:rsid w:val="00C02D8E"/>
    <w:rsid w:val="00C031F7"/>
    <w:rsid w:val="00C03412"/>
    <w:rsid w:val="00C03530"/>
    <w:rsid w:val="00C03B95"/>
    <w:rsid w:val="00C03CC3"/>
    <w:rsid w:val="00C0459C"/>
    <w:rsid w:val="00C046B3"/>
    <w:rsid w:val="00C046D5"/>
    <w:rsid w:val="00C04838"/>
    <w:rsid w:val="00C048DA"/>
    <w:rsid w:val="00C048E1"/>
    <w:rsid w:val="00C062BE"/>
    <w:rsid w:val="00C067FD"/>
    <w:rsid w:val="00C06BB4"/>
    <w:rsid w:val="00C070B2"/>
    <w:rsid w:val="00C0730A"/>
    <w:rsid w:val="00C07D78"/>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49A"/>
    <w:rsid w:val="00C157A9"/>
    <w:rsid w:val="00C15D93"/>
    <w:rsid w:val="00C16BFD"/>
    <w:rsid w:val="00C1700D"/>
    <w:rsid w:val="00C17086"/>
    <w:rsid w:val="00C177D0"/>
    <w:rsid w:val="00C17B2E"/>
    <w:rsid w:val="00C17CE9"/>
    <w:rsid w:val="00C17E84"/>
    <w:rsid w:val="00C200B6"/>
    <w:rsid w:val="00C207C0"/>
    <w:rsid w:val="00C20F8D"/>
    <w:rsid w:val="00C2131A"/>
    <w:rsid w:val="00C21A26"/>
    <w:rsid w:val="00C220A2"/>
    <w:rsid w:val="00C22AB1"/>
    <w:rsid w:val="00C23382"/>
    <w:rsid w:val="00C23811"/>
    <w:rsid w:val="00C24023"/>
    <w:rsid w:val="00C240D9"/>
    <w:rsid w:val="00C245EA"/>
    <w:rsid w:val="00C24A56"/>
    <w:rsid w:val="00C25064"/>
    <w:rsid w:val="00C25390"/>
    <w:rsid w:val="00C25AC6"/>
    <w:rsid w:val="00C266D8"/>
    <w:rsid w:val="00C26C63"/>
    <w:rsid w:val="00C2775B"/>
    <w:rsid w:val="00C27BC0"/>
    <w:rsid w:val="00C3009D"/>
    <w:rsid w:val="00C300D1"/>
    <w:rsid w:val="00C30149"/>
    <w:rsid w:val="00C309C9"/>
    <w:rsid w:val="00C30C56"/>
    <w:rsid w:val="00C31896"/>
    <w:rsid w:val="00C31AE3"/>
    <w:rsid w:val="00C3379F"/>
    <w:rsid w:val="00C33DBA"/>
    <w:rsid w:val="00C3511A"/>
    <w:rsid w:val="00C3525D"/>
    <w:rsid w:val="00C35632"/>
    <w:rsid w:val="00C359E9"/>
    <w:rsid w:val="00C35DC7"/>
    <w:rsid w:val="00C35F15"/>
    <w:rsid w:val="00C3650D"/>
    <w:rsid w:val="00C36538"/>
    <w:rsid w:val="00C369C0"/>
    <w:rsid w:val="00C40251"/>
    <w:rsid w:val="00C40328"/>
    <w:rsid w:val="00C40B61"/>
    <w:rsid w:val="00C40F76"/>
    <w:rsid w:val="00C412D7"/>
    <w:rsid w:val="00C414F9"/>
    <w:rsid w:val="00C4157D"/>
    <w:rsid w:val="00C4204E"/>
    <w:rsid w:val="00C425F1"/>
    <w:rsid w:val="00C428BE"/>
    <w:rsid w:val="00C433B4"/>
    <w:rsid w:val="00C43814"/>
    <w:rsid w:val="00C43A2F"/>
    <w:rsid w:val="00C43A4E"/>
    <w:rsid w:val="00C43F13"/>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077"/>
    <w:rsid w:val="00C52078"/>
    <w:rsid w:val="00C5224C"/>
    <w:rsid w:val="00C522B4"/>
    <w:rsid w:val="00C5291A"/>
    <w:rsid w:val="00C52B11"/>
    <w:rsid w:val="00C52CF4"/>
    <w:rsid w:val="00C52D5B"/>
    <w:rsid w:val="00C52FAA"/>
    <w:rsid w:val="00C5302F"/>
    <w:rsid w:val="00C53E36"/>
    <w:rsid w:val="00C53F58"/>
    <w:rsid w:val="00C53F71"/>
    <w:rsid w:val="00C54B37"/>
    <w:rsid w:val="00C5524E"/>
    <w:rsid w:val="00C556CC"/>
    <w:rsid w:val="00C560B5"/>
    <w:rsid w:val="00C566BC"/>
    <w:rsid w:val="00C56776"/>
    <w:rsid w:val="00C56E17"/>
    <w:rsid w:val="00C57156"/>
    <w:rsid w:val="00C575B8"/>
    <w:rsid w:val="00C57757"/>
    <w:rsid w:val="00C57A08"/>
    <w:rsid w:val="00C60A60"/>
    <w:rsid w:val="00C60BA2"/>
    <w:rsid w:val="00C60EF2"/>
    <w:rsid w:val="00C6122C"/>
    <w:rsid w:val="00C614D0"/>
    <w:rsid w:val="00C61A06"/>
    <w:rsid w:val="00C61A90"/>
    <w:rsid w:val="00C61D34"/>
    <w:rsid w:val="00C61DEE"/>
    <w:rsid w:val="00C62EAE"/>
    <w:rsid w:val="00C630E3"/>
    <w:rsid w:val="00C637D6"/>
    <w:rsid w:val="00C63B40"/>
    <w:rsid w:val="00C64452"/>
    <w:rsid w:val="00C647B9"/>
    <w:rsid w:val="00C64B0F"/>
    <w:rsid w:val="00C65281"/>
    <w:rsid w:val="00C652AC"/>
    <w:rsid w:val="00C65552"/>
    <w:rsid w:val="00C656FE"/>
    <w:rsid w:val="00C6635C"/>
    <w:rsid w:val="00C66459"/>
    <w:rsid w:val="00C666A6"/>
    <w:rsid w:val="00C66AE2"/>
    <w:rsid w:val="00C66F96"/>
    <w:rsid w:val="00C67019"/>
    <w:rsid w:val="00C67467"/>
    <w:rsid w:val="00C676A1"/>
    <w:rsid w:val="00C679A3"/>
    <w:rsid w:val="00C70BB7"/>
    <w:rsid w:val="00C710C8"/>
    <w:rsid w:val="00C718D9"/>
    <w:rsid w:val="00C7234E"/>
    <w:rsid w:val="00C7256F"/>
    <w:rsid w:val="00C728C7"/>
    <w:rsid w:val="00C72BEC"/>
    <w:rsid w:val="00C72D45"/>
    <w:rsid w:val="00C72FE3"/>
    <w:rsid w:val="00C73457"/>
    <w:rsid w:val="00C737C1"/>
    <w:rsid w:val="00C73B50"/>
    <w:rsid w:val="00C741B3"/>
    <w:rsid w:val="00C7429D"/>
    <w:rsid w:val="00C746F0"/>
    <w:rsid w:val="00C74A3B"/>
    <w:rsid w:val="00C74AF7"/>
    <w:rsid w:val="00C74B47"/>
    <w:rsid w:val="00C74BFE"/>
    <w:rsid w:val="00C755D8"/>
    <w:rsid w:val="00C7588D"/>
    <w:rsid w:val="00C759A8"/>
    <w:rsid w:val="00C75BEF"/>
    <w:rsid w:val="00C75C1D"/>
    <w:rsid w:val="00C75D19"/>
    <w:rsid w:val="00C7600C"/>
    <w:rsid w:val="00C761B8"/>
    <w:rsid w:val="00C76991"/>
    <w:rsid w:val="00C76FA6"/>
    <w:rsid w:val="00C7727A"/>
    <w:rsid w:val="00C77D64"/>
    <w:rsid w:val="00C8014A"/>
    <w:rsid w:val="00C8015F"/>
    <w:rsid w:val="00C80696"/>
    <w:rsid w:val="00C80C1E"/>
    <w:rsid w:val="00C80C2A"/>
    <w:rsid w:val="00C80E65"/>
    <w:rsid w:val="00C80F15"/>
    <w:rsid w:val="00C81B97"/>
    <w:rsid w:val="00C81C9F"/>
    <w:rsid w:val="00C81EC8"/>
    <w:rsid w:val="00C8222B"/>
    <w:rsid w:val="00C825CF"/>
    <w:rsid w:val="00C82F39"/>
    <w:rsid w:val="00C83EFB"/>
    <w:rsid w:val="00C83F76"/>
    <w:rsid w:val="00C843A6"/>
    <w:rsid w:val="00C851C3"/>
    <w:rsid w:val="00C85A46"/>
    <w:rsid w:val="00C85D3E"/>
    <w:rsid w:val="00C871B2"/>
    <w:rsid w:val="00C903CE"/>
    <w:rsid w:val="00C90D76"/>
    <w:rsid w:val="00C90FC8"/>
    <w:rsid w:val="00C91017"/>
    <w:rsid w:val="00C91D59"/>
    <w:rsid w:val="00C92210"/>
    <w:rsid w:val="00C92514"/>
    <w:rsid w:val="00C92726"/>
    <w:rsid w:val="00C92C02"/>
    <w:rsid w:val="00C92E88"/>
    <w:rsid w:val="00C9329F"/>
    <w:rsid w:val="00C935BB"/>
    <w:rsid w:val="00C938CB"/>
    <w:rsid w:val="00C93A22"/>
    <w:rsid w:val="00C93A45"/>
    <w:rsid w:val="00C940B0"/>
    <w:rsid w:val="00C941F7"/>
    <w:rsid w:val="00C94309"/>
    <w:rsid w:val="00C94556"/>
    <w:rsid w:val="00C947EC"/>
    <w:rsid w:val="00C951EF"/>
    <w:rsid w:val="00C95286"/>
    <w:rsid w:val="00C95290"/>
    <w:rsid w:val="00C95541"/>
    <w:rsid w:val="00C95C29"/>
    <w:rsid w:val="00C96ED0"/>
    <w:rsid w:val="00C97377"/>
    <w:rsid w:val="00C97C17"/>
    <w:rsid w:val="00C97C8A"/>
    <w:rsid w:val="00CA04A6"/>
    <w:rsid w:val="00CA1A88"/>
    <w:rsid w:val="00CA2178"/>
    <w:rsid w:val="00CA2DAF"/>
    <w:rsid w:val="00CA2F0C"/>
    <w:rsid w:val="00CA3077"/>
    <w:rsid w:val="00CA3081"/>
    <w:rsid w:val="00CA39C2"/>
    <w:rsid w:val="00CA4382"/>
    <w:rsid w:val="00CA4482"/>
    <w:rsid w:val="00CA48B9"/>
    <w:rsid w:val="00CA4AF9"/>
    <w:rsid w:val="00CA4BC5"/>
    <w:rsid w:val="00CA4DAF"/>
    <w:rsid w:val="00CA57D7"/>
    <w:rsid w:val="00CA5C27"/>
    <w:rsid w:val="00CA60AF"/>
    <w:rsid w:val="00CA6559"/>
    <w:rsid w:val="00CA6629"/>
    <w:rsid w:val="00CA73A1"/>
    <w:rsid w:val="00CA7A58"/>
    <w:rsid w:val="00CA7BAA"/>
    <w:rsid w:val="00CB0162"/>
    <w:rsid w:val="00CB0DEC"/>
    <w:rsid w:val="00CB1A5F"/>
    <w:rsid w:val="00CB1B31"/>
    <w:rsid w:val="00CB203D"/>
    <w:rsid w:val="00CB24E6"/>
    <w:rsid w:val="00CB2BB3"/>
    <w:rsid w:val="00CB3197"/>
    <w:rsid w:val="00CB37BB"/>
    <w:rsid w:val="00CB3F82"/>
    <w:rsid w:val="00CB4613"/>
    <w:rsid w:val="00CB4B09"/>
    <w:rsid w:val="00CB4C02"/>
    <w:rsid w:val="00CB5515"/>
    <w:rsid w:val="00CB5854"/>
    <w:rsid w:val="00CB5932"/>
    <w:rsid w:val="00CB65E4"/>
    <w:rsid w:val="00CB7280"/>
    <w:rsid w:val="00CB7330"/>
    <w:rsid w:val="00CB7643"/>
    <w:rsid w:val="00CB78BF"/>
    <w:rsid w:val="00CB7D12"/>
    <w:rsid w:val="00CC101C"/>
    <w:rsid w:val="00CC2CD7"/>
    <w:rsid w:val="00CC2F07"/>
    <w:rsid w:val="00CC2FD1"/>
    <w:rsid w:val="00CC3749"/>
    <w:rsid w:val="00CC3C21"/>
    <w:rsid w:val="00CC42A5"/>
    <w:rsid w:val="00CC5BDC"/>
    <w:rsid w:val="00CC653A"/>
    <w:rsid w:val="00CC6870"/>
    <w:rsid w:val="00CC6911"/>
    <w:rsid w:val="00CC6A98"/>
    <w:rsid w:val="00CC6DF6"/>
    <w:rsid w:val="00CC6F0C"/>
    <w:rsid w:val="00CC7326"/>
    <w:rsid w:val="00CC7852"/>
    <w:rsid w:val="00CC7CD6"/>
    <w:rsid w:val="00CD009C"/>
    <w:rsid w:val="00CD01BD"/>
    <w:rsid w:val="00CD02E9"/>
    <w:rsid w:val="00CD0548"/>
    <w:rsid w:val="00CD07A4"/>
    <w:rsid w:val="00CD0E59"/>
    <w:rsid w:val="00CD1437"/>
    <w:rsid w:val="00CD1489"/>
    <w:rsid w:val="00CD1FB0"/>
    <w:rsid w:val="00CD224E"/>
    <w:rsid w:val="00CD22B6"/>
    <w:rsid w:val="00CD2634"/>
    <w:rsid w:val="00CD27D4"/>
    <w:rsid w:val="00CD2A9D"/>
    <w:rsid w:val="00CD2C69"/>
    <w:rsid w:val="00CD3CDA"/>
    <w:rsid w:val="00CD4D8D"/>
    <w:rsid w:val="00CD5B02"/>
    <w:rsid w:val="00CD5D24"/>
    <w:rsid w:val="00CD61E6"/>
    <w:rsid w:val="00CD62F1"/>
    <w:rsid w:val="00CD63EC"/>
    <w:rsid w:val="00CD6DEC"/>
    <w:rsid w:val="00CD751E"/>
    <w:rsid w:val="00CD7B6E"/>
    <w:rsid w:val="00CD7E57"/>
    <w:rsid w:val="00CE073F"/>
    <w:rsid w:val="00CE09A6"/>
    <w:rsid w:val="00CE0FC1"/>
    <w:rsid w:val="00CE1730"/>
    <w:rsid w:val="00CE1907"/>
    <w:rsid w:val="00CE1C54"/>
    <w:rsid w:val="00CE1FB2"/>
    <w:rsid w:val="00CE2766"/>
    <w:rsid w:val="00CE276E"/>
    <w:rsid w:val="00CE291C"/>
    <w:rsid w:val="00CE2BF6"/>
    <w:rsid w:val="00CE3364"/>
    <w:rsid w:val="00CE3E32"/>
    <w:rsid w:val="00CE405A"/>
    <w:rsid w:val="00CE407F"/>
    <w:rsid w:val="00CE44EF"/>
    <w:rsid w:val="00CE48C0"/>
    <w:rsid w:val="00CE4EC1"/>
    <w:rsid w:val="00CE5366"/>
    <w:rsid w:val="00CE571B"/>
    <w:rsid w:val="00CE5AB1"/>
    <w:rsid w:val="00CE6490"/>
    <w:rsid w:val="00CE6AF3"/>
    <w:rsid w:val="00CE727B"/>
    <w:rsid w:val="00CE73DB"/>
    <w:rsid w:val="00CE7455"/>
    <w:rsid w:val="00CE7E82"/>
    <w:rsid w:val="00CF00F2"/>
    <w:rsid w:val="00CF05C1"/>
    <w:rsid w:val="00CF0BE6"/>
    <w:rsid w:val="00CF1D3A"/>
    <w:rsid w:val="00CF1D83"/>
    <w:rsid w:val="00CF1F1B"/>
    <w:rsid w:val="00CF275E"/>
    <w:rsid w:val="00CF2AEF"/>
    <w:rsid w:val="00CF35CA"/>
    <w:rsid w:val="00CF3997"/>
    <w:rsid w:val="00CF3D61"/>
    <w:rsid w:val="00CF46B7"/>
    <w:rsid w:val="00CF4FD0"/>
    <w:rsid w:val="00CF59A9"/>
    <w:rsid w:val="00CF6C0F"/>
    <w:rsid w:val="00CF74E1"/>
    <w:rsid w:val="00CF787C"/>
    <w:rsid w:val="00CF7A63"/>
    <w:rsid w:val="00CF7D0D"/>
    <w:rsid w:val="00D00A6D"/>
    <w:rsid w:val="00D01131"/>
    <w:rsid w:val="00D019C1"/>
    <w:rsid w:val="00D01A51"/>
    <w:rsid w:val="00D01AA6"/>
    <w:rsid w:val="00D01E80"/>
    <w:rsid w:val="00D01F45"/>
    <w:rsid w:val="00D02292"/>
    <w:rsid w:val="00D02725"/>
    <w:rsid w:val="00D02AEC"/>
    <w:rsid w:val="00D02D99"/>
    <w:rsid w:val="00D03156"/>
    <w:rsid w:val="00D033B7"/>
    <w:rsid w:val="00D036E0"/>
    <w:rsid w:val="00D03865"/>
    <w:rsid w:val="00D0413C"/>
    <w:rsid w:val="00D047FA"/>
    <w:rsid w:val="00D04839"/>
    <w:rsid w:val="00D04EBA"/>
    <w:rsid w:val="00D06288"/>
    <w:rsid w:val="00D06425"/>
    <w:rsid w:val="00D066EC"/>
    <w:rsid w:val="00D06CD3"/>
    <w:rsid w:val="00D072EF"/>
    <w:rsid w:val="00D07864"/>
    <w:rsid w:val="00D07D21"/>
    <w:rsid w:val="00D10167"/>
    <w:rsid w:val="00D103E7"/>
    <w:rsid w:val="00D10FC3"/>
    <w:rsid w:val="00D11230"/>
    <w:rsid w:val="00D121C9"/>
    <w:rsid w:val="00D1228B"/>
    <w:rsid w:val="00D126C0"/>
    <w:rsid w:val="00D128CE"/>
    <w:rsid w:val="00D134D7"/>
    <w:rsid w:val="00D136B4"/>
    <w:rsid w:val="00D13922"/>
    <w:rsid w:val="00D13FFC"/>
    <w:rsid w:val="00D144EC"/>
    <w:rsid w:val="00D1466C"/>
    <w:rsid w:val="00D14987"/>
    <w:rsid w:val="00D15788"/>
    <w:rsid w:val="00D1595F"/>
    <w:rsid w:val="00D1617C"/>
    <w:rsid w:val="00D162DE"/>
    <w:rsid w:val="00D163EF"/>
    <w:rsid w:val="00D1690A"/>
    <w:rsid w:val="00D16CC8"/>
    <w:rsid w:val="00D1781C"/>
    <w:rsid w:val="00D17BA1"/>
    <w:rsid w:val="00D203FE"/>
    <w:rsid w:val="00D206FA"/>
    <w:rsid w:val="00D20AF4"/>
    <w:rsid w:val="00D20F20"/>
    <w:rsid w:val="00D2156F"/>
    <w:rsid w:val="00D21DFB"/>
    <w:rsid w:val="00D2244F"/>
    <w:rsid w:val="00D22919"/>
    <w:rsid w:val="00D22C9A"/>
    <w:rsid w:val="00D23EA6"/>
    <w:rsid w:val="00D2436E"/>
    <w:rsid w:val="00D24B95"/>
    <w:rsid w:val="00D24BF7"/>
    <w:rsid w:val="00D2539A"/>
    <w:rsid w:val="00D2547E"/>
    <w:rsid w:val="00D26011"/>
    <w:rsid w:val="00D26BE4"/>
    <w:rsid w:val="00D26C69"/>
    <w:rsid w:val="00D26D61"/>
    <w:rsid w:val="00D26F0F"/>
    <w:rsid w:val="00D27103"/>
    <w:rsid w:val="00D3053A"/>
    <w:rsid w:val="00D30D8E"/>
    <w:rsid w:val="00D31242"/>
    <w:rsid w:val="00D3149E"/>
    <w:rsid w:val="00D314B1"/>
    <w:rsid w:val="00D318BF"/>
    <w:rsid w:val="00D31DAD"/>
    <w:rsid w:val="00D320C9"/>
    <w:rsid w:val="00D3295B"/>
    <w:rsid w:val="00D333E5"/>
    <w:rsid w:val="00D339EB"/>
    <w:rsid w:val="00D33D34"/>
    <w:rsid w:val="00D33DF7"/>
    <w:rsid w:val="00D34375"/>
    <w:rsid w:val="00D349D0"/>
    <w:rsid w:val="00D349FF"/>
    <w:rsid w:val="00D34A70"/>
    <w:rsid w:val="00D34E8A"/>
    <w:rsid w:val="00D35159"/>
    <w:rsid w:val="00D35867"/>
    <w:rsid w:val="00D35D37"/>
    <w:rsid w:val="00D35D59"/>
    <w:rsid w:val="00D35E24"/>
    <w:rsid w:val="00D3629C"/>
    <w:rsid w:val="00D363C6"/>
    <w:rsid w:val="00D365E0"/>
    <w:rsid w:val="00D36638"/>
    <w:rsid w:val="00D37449"/>
    <w:rsid w:val="00D404BF"/>
    <w:rsid w:val="00D409DD"/>
    <w:rsid w:val="00D40DA1"/>
    <w:rsid w:val="00D41054"/>
    <w:rsid w:val="00D4114A"/>
    <w:rsid w:val="00D411BC"/>
    <w:rsid w:val="00D412D6"/>
    <w:rsid w:val="00D4142C"/>
    <w:rsid w:val="00D419CA"/>
    <w:rsid w:val="00D41B43"/>
    <w:rsid w:val="00D424BE"/>
    <w:rsid w:val="00D429E5"/>
    <w:rsid w:val="00D4335F"/>
    <w:rsid w:val="00D4356E"/>
    <w:rsid w:val="00D45175"/>
    <w:rsid w:val="00D4655A"/>
    <w:rsid w:val="00D4717C"/>
    <w:rsid w:val="00D47C6A"/>
    <w:rsid w:val="00D50950"/>
    <w:rsid w:val="00D50A57"/>
    <w:rsid w:val="00D50B30"/>
    <w:rsid w:val="00D5131F"/>
    <w:rsid w:val="00D51531"/>
    <w:rsid w:val="00D5164C"/>
    <w:rsid w:val="00D5190B"/>
    <w:rsid w:val="00D51FDA"/>
    <w:rsid w:val="00D52185"/>
    <w:rsid w:val="00D53E64"/>
    <w:rsid w:val="00D548D9"/>
    <w:rsid w:val="00D54E5A"/>
    <w:rsid w:val="00D55821"/>
    <w:rsid w:val="00D55B45"/>
    <w:rsid w:val="00D55D67"/>
    <w:rsid w:val="00D55E7F"/>
    <w:rsid w:val="00D56228"/>
    <w:rsid w:val="00D562E5"/>
    <w:rsid w:val="00D6051A"/>
    <w:rsid w:val="00D6078D"/>
    <w:rsid w:val="00D61128"/>
    <w:rsid w:val="00D620EC"/>
    <w:rsid w:val="00D62A1A"/>
    <w:rsid w:val="00D63319"/>
    <w:rsid w:val="00D63AC5"/>
    <w:rsid w:val="00D63DFB"/>
    <w:rsid w:val="00D63EA2"/>
    <w:rsid w:val="00D65422"/>
    <w:rsid w:val="00D6589A"/>
    <w:rsid w:val="00D660E6"/>
    <w:rsid w:val="00D66549"/>
    <w:rsid w:val="00D6674B"/>
    <w:rsid w:val="00D66B95"/>
    <w:rsid w:val="00D67E6F"/>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69B"/>
    <w:rsid w:val="00D74D4F"/>
    <w:rsid w:val="00D7516C"/>
    <w:rsid w:val="00D75E6D"/>
    <w:rsid w:val="00D75FA5"/>
    <w:rsid w:val="00D76520"/>
    <w:rsid w:val="00D76C53"/>
    <w:rsid w:val="00D8149B"/>
    <w:rsid w:val="00D815B9"/>
    <w:rsid w:val="00D82C5C"/>
    <w:rsid w:val="00D82FA5"/>
    <w:rsid w:val="00D8343B"/>
    <w:rsid w:val="00D840C6"/>
    <w:rsid w:val="00D85064"/>
    <w:rsid w:val="00D8537E"/>
    <w:rsid w:val="00D85BCA"/>
    <w:rsid w:val="00D85BDF"/>
    <w:rsid w:val="00D85FD6"/>
    <w:rsid w:val="00D85FE8"/>
    <w:rsid w:val="00D86074"/>
    <w:rsid w:val="00D860D9"/>
    <w:rsid w:val="00D863AB"/>
    <w:rsid w:val="00D8676B"/>
    <w:rsid w:val="00D86858"/>
    <w:rsid w:val="00D86925"/>
    <w:rsid w:val="00D87E77"/>
    <w:rsid w:val="00D87E8C"/>
    <w:rsid w:val="00D87EF2"/>
    <w:rsid w:val="00D9070F"/>
    <w:rsid w:val="00D90B3F"/>
    <w:rsid w:val="00D90CA2"/>
    <w:rsid w:val="00D9198B"/>
    <w:rsid w:val="00D91ECD"/>
    <w:rsid w:val="00D929B3"/>
    <w:rsid w:val="00D92EEB"/>
    <w:rsid w:val="00D931C8"/>
    <w:rsid w:val="00D94025"/>
    <w:rsid w:val="00D94621"/>
    <w:rsid w:val="00D948D1"/>
    <w:rsid w:val="00D94D03"/>
    <w:rsid w:val="00D9567B"/>
    <w:rsid w:val="00D95EF2"/>
    <w:rsid w:val="00D95FF4"/>
    <w:rsid w:val="00D968BD"/>
    <w:rsid w:val="00D969F6"/>
    <w:rsid w:val="00D9734A"/>
    <w:rsid w:val="00D97B94"/>
    <w:rsid w:val="00DA0836"/>
    <w:rsid w:val="00DA08B9"/>
    <w:rsid w:val="00DA0A1D"/>
    <w:rsid w:val="00DA1376"/>
    <w:rsid w:val="00DA1ADA"/>
    <w:rsid w:val="00DA1E96"/>
    <w:rsid w:val="00DA3388"/>
    <w:rsid w:val="00DA351D"/>
    <w:rsid w:val="00DA3706"/>
    <w:rsid w:val="00DA3B21"/>
    <w:rsid w:val="00DA3FD1"/>
    <w:rsid w:val="00DA442B"/>
    <w:rsid w:val="00DA49A3"/>
    <w:rsid w:val="00DA4E8A"/>
    <w:rsid w:val="00DA5063"/>
    <w:rsid w:val="00DA5437"/>
    <w:rsid w:val="00DA5A7B"/>
    <w:rsid w:val="00DA6359"/>
    <w:rsid w:val="00DA7533"/>
    <w:rsid w:val="00DA767D"/>
    <w:rsid w:val="00DA792E"/>
    <w:rsid w:val="00DB0546"/>
    <w:rsid w:val="00DB0CB1"/>
    <w:rsid w:val="00DB162A"/>
    <w:rsid w:val="00DB173D"/>
    <w:rsid w:val="00DB1F2A"/>
    <w:rsid w:val="00DB2AE9"/>
    <w:rsid w:val="00DB30F0"/>
    <w:rsid w:val="00DB35BF"/>
    <w:rsid w:val="00DB3B32"/>
    <w:rsid w:val="00DB3E7F"/>
    <w:rsid w:val="00DB3EC4"/>
    <w:rsid w:val="00DB3EE1"/>
    <w:rsid w:val="00DB4622"/>
    <w:rsid w:val="00DB47A3"/>
    <w:rsid w:val="00DB47D2"/>
    <w:rsid w:val="00DB5519"/>
    <w:rsid w:val="00DB58CC"/>
    <w:rsid w:val="00DB6D57"/>
    <w:rsid w:val="00DB7DE2"/>
    <w:rsid w:val="00DC0565"/>
    <w:rsid w:val="00DC099E"/>
    <w:rsid w:val="00DC0A39"/>
    <w:rsid w:val="00DC0E9E"/>
    <w:rsid w:val="00DC18E1"/>
    <w:rsid w:val="00DC259E"/>
    <w:rsid w:val="00DC26D6"/>
    <w:rsid w:val="00DC2E59"/>
    <w:rsid w:val="00DC2EB5"/>
    <w:rsid w:val="00DC3935"/>
    <w:rsid w:val="00DC3B00"/>
    <w:rsid w:val="00DC3B09"/>
    <w:rsid w:val="00DC43E4"/>
    <w:rsid w:val="00DC45FD"/>
    <w:rsid w:val="00DC4745"/>
    <w:rsid w:val="00DC492A"/>
    <w:rsid w:val="00DC4C43"/>
    <w:rsid w:val="00DC4D4C"/>
    <w:rsid w:val="00DC5808"/>
    <w:rsid w:val="00DC5920"/>
    <w:rsid w:val="00DC5E1D"/>
    <w:rsid w:val="00DC5EA2"/>
    <w:rsid w:val="00DC6717"/>
    <w:rsid w:val="00DC6798"/>
    <w:rsid w:val="00DC6D3F"/>
    <w:rsid w:val="00DC6E33"/>
    <w:rsid w:val="00DC7A20"/>
    <w:rsid w:val="00DD000F"/>
    <w:rsid w:val="00DD04E6"/>
    <w:rsid w:val="00DD1124"/>
    <w:rsid w:val="00DD1948"/>
    <w:rsid w:val="00DD244F"/>
    <w:rsid w:val="00DD2BD4"/>
    <w:rsid w:val="00DD480B"/>
    <w:rsid w:val="00DD4980"/>
    <w:rsid w:val="00DD49E0"/>
    <w:rsid w:val="00DD5B53"/>
    <w:rsid w:val="00DD5BBB"/>
    <w:rsid w:val="00DD66DB"/>
    <w:rsid w:val="00DD673C"/>
    <w:rsid w:val="00DD67C0"/>
    <w:rsid w:val="00DD67F1"/>
    <w:rsid w:val="00DD7146"/>
    <w:rsid w:val="00DD7BB6"/>
    <w:rsid w:val="00DD7E55"/>
    <w:rsid w:val="00DE0391"/>
    <w:rsid w:val="00DE0996"/>
    <w:rsid w:val="00DE16B6"/>
    <w:rsid w:val="00DE16EF"/>
    <w:rsid w:val="00DE1B5E"/>
    <w:rsid w:val="00DE1E0E"/>
    <w:rsid w:val="00DE2056"/>
    <w:rsid w:val="00DE23FA"/>
    <w:rsid w:val="00DE2A11"/>
    <w:rsid w:val="00DE35A2"/>
    <w:rsid w:val="00DE3B49"/>
    <w:rsid w:val="00DE3D4F"/>
    <w:rsid w:val="00DE425A"/>
    <w:rsid w:val="00DE49EE"/>
    <w:rsid w:val="00DE4AF6"/>
    <w:rsid w:val="00DE4DAF"/>
    <w:rsid w:val="00DE584A"/>
    <w:rsid w:val="00DE5FEA"/>
    <w:rsid w:val="00DE6361"/>
    <w:rsid w:val="00DE65BB"/>
    <w:rsid w:val="00DE6C28"/>
    <w:rsid w:val="00DE6DC2"/>
    <w:rsid w:val="00DE7915"/>
    <w:rsid w:val="00DF0230"/>
    <w:rsid w:val="00DF05D0"/>
    <w:rsid w:val="00DF0738"/>
    <w:rsid w:val="00DF07A8"/>
    <w:rsid w:val="00DF0929"/>
    <w:rsid w:val="00DF0950"/>
    <w:rsid w:val="00DF0C53"/>
    <w:rsid w:val="00DF11BE"/>
    <w:rsid w:val="00DF15C8"/>
    <w:rsid w:val="00DF1FBC"/>
    <w:rsid w:val="00DF229C"/>
    <w:rsid w:val="00DF2D5C"/>
    <w:rsid w:val="00DF38F1"/>
    <w:rsid w:val="00DF3DD2"/>
    <w:rsid w:val="00DF4013"/>
    <w:rsid w:val="00DF435F"/>
    <w:rsid w:val="00DF444A"/>
    <w:rsid w:val="00DF45A8"/>
    <w:rsid w:val="00DF48A0"/>
    <w:rsid w:val="00DF4C4D"/>
    <w:rsid w:val="00DF4CDA"/>
    <w:rsid w:val="00DF4E64"/>
    <w:rsid w:val="00DF50C6"/>
    <w:rsid w:val="00DF5531"/>
    <w:rsid w:val="00DF5994"/>
    <w:rsid w:val="00DF5F19"/>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3EB5"/>
    <w:rsid w:val="00E0434D"/>
    <w:rsid w:val="00E04408"/>
    <w:rsid w:val="00E0456B"/>
    <w:rsid w:val="00E045AB"/>
    <w:rsid w:val="00E04741"/>
    <w:rsid w:val="00E05427"/>
    <w:rsid w:val="00E06EA4"/>
    <w:rsid w:val="00E07D2C"/>
    <w:rsid w:val="00E112DD"/>
    <w:rsid w:val="00E11478"/>
    <w:rsid w:val="00E1163E"/>
    <w:rsid w:val="00E11721"/>
    <w:rsid w:val="00E11BD1"/>
    <w:rsid w:val="00E11C5D"/>
    <w:rsid w:val="00E11D9D"/>
    <w:rsid w:val="00E11F28"/>
    <w:rsid w:val="00E13381"/>
    <w:rsid w:val="00E135AC"/>
    <w:rsid w:val="00E13DBD"/>
    <w:rsid w:val="00E14178"/>
    <w:rsid w:val="00E149C4"/>
    <w:rsid w:val="00E14BEA"/>
    <w:rsid w:val="00E14EB7"/>
    <w:rsid w:val="00E15158"/>
    <w:rsid w:val="00E1542D"/>
    <w:rsid w:val="00E1566E"/>
    <w:rsid w:val="00E16014"/>
    <w:rsid w:val="00E16923"/>
    <w:rsid w:val="00E16BF5"/>
    <w:rsid w:val="00E1768E"/>
    <w:rsid w:val="00E2029A"/>
    <w:rsid w:val="00E20DBF"/>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63"/>
    <w:rsid w:val="00E24D75"/>
    <w:rsid w:val="00E25079"/>
    <w:rsid w:val="00E25490"/>
    <w:rsid w:val="00E255AE"/>
    <w:rsid w:val="00E261D8"/>
    <w:rsid w:val="00E26BE3"/>
    <w:rsid w:val="00E26C5C"/>
    <w:rsid w:val="00E27B88"/>
    <w:rsid w:val="00E27C60"/>
    <w:rsid w:val="00E30094"/>
    <w:rsid w:val="00E30B17"/>
    <w:rsid w:val="00E30CB5"/>
    <w:rsid w:val="00E30D6E"/>
    <w:rsid w:val="00E30DA2"/>
    <w:rsid w:val="00E31FD9"/>
    <w:rsid w:val="00E331AC"/>
    <w:rsid w:val="00E33AC0"/>
    <w:rsid w:val="00E33CED"/>
    <w:rsid w:val="00E34792"/>
    <w:rsid w:val="00E34A2B"/>
    <w:rsid w:val="00E34DBF"/>
    <w:rsid w:val="00E350D4"/>
    <w:rsid w:val="00E35AD7"/>
    <w:rsid w:val="00E35E57"/>
    <w:rsid w:val="00E36191"/>
    <w:rsid w:val="00E36554"/>
    <w:rsid w:val="00E36B92"/>
    <w:rsid w:val="00E36E1E"/>
    <w:rsid w:val="00E36E33"/>
    <w:rsid w:val="00E36EC4"/>
    <w:rsid w:val="00E372D7"/>
    <w:rsid w:val="00E37333"/>
    <w:rsid w:val="00E374B8"/>
    <w:rsid w:val="00E374D5"/>
    <w:rsid w:val="00E40428"/>
    <w:rsid w:val="00E407A7"/>
    <w:rsid w:val="00E40CC4"/>
    <w:rsid w:val="00E40F97"/>
    <w:rsid w:val="00E4115D"/>
    <w:rsid w:val="00E41BEA"/>
    <w:rsid w:val="00E41DBD"/>
    <w:rsid w:val="00E42326"/>
    <w:rsid w:val="00E43133"/>
    <w:rsid w:val="00E43481"/>
    <w:rsid w:val="00E4452D"/>
    <w:rsid w:val="00E44E4E"/>
    <w:rsid w:val="00E45181"/>
    <w:rsid w:val="00E460C4"/>
    <w:rsid w:val="00E466C8"/>
    <w:rsid w:val="00E4674B"/>
    <w:rsid w:val="00E46A55"/>
    <w:rsid w:val="00E46EF5"/>
    <w:rsid w:val="00E4758A"/>
    <w:rsid w:val="00E47961"/>
    <w:rsid w:val="00E50788"/>
    <w:rsid w:val="00E5142F"/>
    <w:rsid w:val="00E51657"/>
    <w:rsid w:val="00E5178D"/>
    <w:rsid w:val="00E517F2"/>
    <w:rsid w:val="00E519F2"/>
    <w:rsid w:val="00E5312B"/>
    <w:rsid w:val="00E533FA"/>
    <w:rsid w:val="00E53914"/>
    <w:rsid w:val="00E543BD"/>
    <w:rsid w:val="00E5476C"/>
    <w:rsid w:val="00E54925"/>
    <w:rsid w:val="00E54B9F"/>
    <w:rsid w:val="00E554D2"/>
    <w:rsid w:val="00E5575D"/>
    <w:rsid w:val="00E55821"/>
    <w:rsid w:val="00E55F4F"/>
    <w:rsid w:val="00E563F7"/>
    <w:rsid w:val="00E56846"/>
    <w:rsid w:val="00E569C5"/>
    <w:rsid w:val="00E56BC0"/>
    <w:rsid w:val="00E56EA5"/>
    <w:rsid w:val="00E576EE"/>
    <w:rsid w:val="00E57832"/>
    <w:rsid w:val="00E578B3"/>
    <w:rsid w:val="00E57907"/>
    <w:rsid w:val="00E57992"/>
    <w:rsid w:val="00E579F2"/>
    <w:rsid w:val="00E57A93"/>
    <w:rsid w:val="00E602D9"/>
    <w:rsid w:val="00E60423"/>
    <w:rsid w:val="00E60CA8"/>
    <w:rsid w:val="00E610AC"/>
    <w:rsid w:val="00E616EC"/>
    <w:rsid w:val="00E617D5"/>
    <w:rsid w:val="00E61AC8"/>
    <w:rsid w:val="00E61D34"/>
    <w:rsid w:val="00E61D8D"/>
    <w:rsid w:val="00E61E3D"/>
    <w:rsid w:val="00E62FCA"/>
    <w:rsid w:val="00E63F28"/>
    <w:rsid w:val="00E64772"/>
    <w:rsid w:val="00E64FAC"/>
    <w:rsid w:val="00E650F6"/>
    <w:rsid w:val="00E65979"/>
    <w:rsid w:val="00E65A11"/>
    <w:rsid w:val="00E6660D"/>
    <w:rsid w:val="00E66663"/>
    <w:rsid w:val="00E6686C"/>
    <w:rsid w:val="00E67327"/>
    <w:rsid w:val="00E674CE"/>
    <w:rsid w:val="00E675FD"/>
    <w:rsid w:val="00E67844"/>
    <w:rsid w:val="00E67A82"/>
    <w:rsid w:val="00E67D92"/>
    <w:rsid w:val="00E70877"/>
    <w:rsid w:val="00E70906"/>
    <w:rsid w:val="00E70B62"/>
    <w:rsid w:val="00E70B64"/>
    <w:rsid w:val="00E70EE0"/>
    <w:rsid w:val="00E71028"/>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6B76"/>
    <w:rsid w:val="00E77367"/>
    <w:rsid w:val="00E80130"/>
    <w:rsid w:val="00E801AF"/>
    <w:rsid w:val="00E80472"/>
    <w:rsid w:val="00E809E6"/>
    <w:rsid w:val="00E80E86"/>
    <w:rsid w:val="00E81253"/>
    <w:rsid w:val="00E81AE3"/>
    <w:rsid w:val="00E81C17"/>
    <w:rsid w:val="00E82570"/>
    <w:rsid w:val="00E82577"/>
    <w:rsid w:val="00E82885"/>
    <w:rsid w:val="00E83241"/>
    <w:rsid w:val="00E8355A"/>
    <w:rsid w:val="00E8361D"/>
    <w:rsid w:val="00E8371A"/>
    <w:rsid w:val="00E844EE"/>
    <w:rsid w:val="00E8451E"/>
    <w:rsid w:val="00E8518A"/>
    <w:rsid w:val="00E853D5"/>
    <w:rsid w:val="00E85568"/>
    <w:rsid w:val="00E858C4"/>
    <w:rsid w:val="00E85B30"/>
    <w:rsid w:val="00E862BB"/>
    <w:rsid w:val="00E8650C"/>
    <w:rsid w:val="00E86ACF"/>
    <w:rsid w:val="00E86BF7"/>
    <w:rsid w:val="00E8702D"/>
    <w:rsid w:val="00E87109"/>
    <w:rsid w:val="00E905CD"/>
    <w:rsid w:val="00E9099D"/>
    <w:rsid w:val="00E90B21"/>
    <w:rsid w:val="00E90D5E"/>
    <w:rsid w:val="00E91030"/>
    <w:rsid w:val="00E9121B"/>
    <w:rsid w:val="00E91E18"/>
    <w:rsid w:val="00E925B7"/>
    <w:rsid w:val="00E926CD"/>
    <w:rsid w:val="00E92C52"/>
    <w:rsid w:val="00E93A0C"/>
    <w:rsid w:val="00E93A23"/>
    <w:rsid w:val="00E93E4E"/>
    <w:rsid w:val="00E9443B"/>
    <w:rsid w:val="00E9452F"/>
    <w:rsid w:val="00E95582"/>
    <w:rsid w:val="00E9597D"/>
    <w:rsid w:val="00E95C31"/>
    <w:rsid w:val="00E96C8E"/>
    <w:rsid w:val="00E96F2F"/>
    <w:rsid w:val="00E97196"/>
    <w:rsid w:val="00EA00F2"/>
    <w:rsid w:val="00EA02B6"/>
    <w:rsid w:val="00EA0438"/>
    <w:rsid w:val="00EA0C72"/>
    <w:rsid w:val="00EA15FA"/>
    <w:rsid w:val="00EA1746"/>
    <w:rsid w:val="00EA1F51"/>
    <w:rsid w:val="00EA1FE2"/>
    <w:rsid w:val="00EA20B2"/>
    <w:rsid w:val="00EA22ED"/>
    <w:rsid w:val="00EA2423"/>
    <w:rsid w:val="00EA2F19"/>
    <w:rsid w:val="00EA2FB2"/>
    <w:rsid w:val="00EA3267"/>
    <w:rsid w:val="00EA32E7"/>
    <w:rsid w:val="00EA3750"/>
    <w:rsid w:val="00EA3873"/>
    <w:rsid w:val="00EA3A8C"/>
    <w:rsid w:val="00EA3B3A"/>
    <w:rsid w:val="00EA4590"/>
    <w:rsid w:val="00EA487D"/>
    <w:rsid w:val="00EA4F65"/>
    <w:rsid w:val="00EA5B14"/>
    <w:rsid w:val="00EA5D04"/>
    <w:rsid w:val="00EA67B0"/>
    <w:rsid w:val="00EA6ADD"/>
    <w:rsid w:val="00EA6E19"/>
    <w:rsid w:val="00EA7049"/>
    <w:rsid w:val="00EA784D"/>
    <w:rsid w:val="00EA7D2C"/>
    <w:rsid w:val="00EA7F02"/>
    <w:rsid w:val="00EA7F72"/>
    <w:rsid w:val="00EB1221"/>
    <w:rsid w:val="00EB12F6"/>
    <w:rsid w:val="00EB2BDB"/>
    <w:rsid w:val="00EB3A59"/>
    <w:rsid w:val="00EB3F6C"/>
    <w:rsid w:val="00EB42D0"/>
    <w:rsid w:val="00EB4551"/>
    <w:rsid w:val="00EB48CA"/>
    <w:rsid w:val="00EB518F"/>
    <w:rsid w:val="00EB5B60"/>
    <w:rsid w:val="00EB6235"/>
    <w:rsid w:val="00EB6240"/>
    <w:rsid w:val="00EC0170"/>
    <w:rsid w:val="00EC0359"/>
    <w:rsid w:val="00EC07BA"/>
    <w:rsid w:val="00EC0B23"/>
    <w:rsid w:val="00EC1578"/>
    <w:rsid w:val="00EC15B5"/>
    <w:rsid w:val="00EC1DE3"/>
    <w:rsid w:val="00EC1FD7"/>
    <w:rsid w:val="00EC313B"/>
    <w:rsid w:val="00EC31DD"/>
    <w:rsid w:val="00EC3A75"/>
    <w:rsid w:val="00EC5686"/>
    <w:rsid w:val="00EC622A"/>
    <w:rsid w:val="00EC68EF"/>
    <w:rsid w:val="00EC6D8C"/>
    <w:rsid w:val="00EC70C4"/>
    <w:rsid w:val="00EC724B"/>
    <w:rsid w:val="00EC7673"/>
    <w:rsid w:val="00EC7A23"/>
    <w:rsid w:val="00ED04E0"/>
    <w:rsid w:val="00ED04E9"/>
    <w:rsid w:val="00ED08D9"/>
    <w:rsid w:val="00ED091A"/>
    <w:rsid w:val="00ED2A07"/>
    <w:rsid w:val="00ED2B46"/>
    <w:rsid w:val="00ED2F42"/>
    <w:rsid w:val="00ED3640"/>
    <w:rsid w:val="00ED3CF3"/>
    <w:rsid w:val="00ED3D0C"/>
    <w:rsid w:val="00ED4B29"/>
    <w:rsid w:val="00ED5065"/>
    <w:rsid w:val="00ED52FA"/>
    <w:rsid w:val="00ED5489"/>
    <w:rsid w:val="00ED570E"/>
    <w:rsid w:val="00ED58D4"/>
    <w:rsid w:val="00ED58D9"/>
    <w:rsid w:val="00ED5C4C"/>
    <w:rsid w:val="00ED73EC"/>
    <w:rsid w:val="00ED74F5"/>
    <w:rsid w:val="00ED7A90"/>
    <w:rsid w:val="00EE081F"/>
    <w:rsid w:val="00EE0C47"/>
    <w:rsid w:val="00EE199E"/>
    <w:rsid w:val="00EE1B00"/>
    <w:rsid w:val="00EE1D7C"/>
    <w:rsid w:val="00EE1EC9"/>
    <w:rsid w:val="00EE23D9"/>
    <w:rsid w:val="00EE296D"/>
    <w:rsid w:val="00EE2D28"/>
    <w:rsid w:val="00EE2DD2"/>
    <w:rsid w:val="00EE3132"/>
    <w:rsid w:val="00EE32D5"/>
    <w:rsid w:val="00EE34A8"/>
    <w:rsid w:val="00EE3931"/>
    <w:rsid w:val="00EE3DE1"/>
    <w:rsid w:val="00EE3FAE"/>
    <w:rsid w:val="00EE462B"/>
    <w:rsid w:val="00EE49A7"/>
    <w:rsid w:val="00EE4AAD"/>
    <w:rsid w:val="00EE50EE"/>
    <w:rsid w:val="00EE5360"/>
    <w:rsid w:val="00EE5A8A"/>
    <w:rsid w:val="00EE5DB3"/>
    <w:rsid w:val="00EE6050"/>
    <w:rsid w:val="00EE6069"/>
    <w:rsid w:val="00EE62D3"/>
    <w:rsid w:val="00EE69B9"/>
    <w:rsid w:val="00EE6DC7"/>
    <w:rsid w:val="00EE6E0F"/>
    <w:rsid w:val="00EF00A8"/>
    <w:rsid w:val="00EF07D8"/>
    <w:rsid w:val="00EF119D"/>
    <w:rsid w:val="00EF191E"/>
    <w:rsid w:val="00EF1933"/>
    <w:rsid w:val="00EF1BE7"/>
    <w:rsid w:val="00EF1F1B"/>
    <w:rsid w:val="00EF20D2"/>
    <w:rsid w:val="00EF27FF"/>
    <w:rsid w:val="00EF2B7A"/>
    <w:rsid w:val="00EF2CF7"/>
    <w:rsid w:val="00EF307B"/>
    <w:rsid w:val="00EF328F"/>
    <w:rsid w:val="00EF36AE"/>
    <w:rsid w:val="00EF37DF"/>
    <w:rsid w:val="00EF4419"/>
    <w:rsid w:val="00EF45E2"/>
    <w:rsid w:val="00EF5092"/>
    <w:rsid w:val="00EF524B"/>
    <w:rsid w:val="00EF54A6"/>
    <w:rsid w:val="00EF5755"/>
    <w:rsid w:val="00EF5879"/>
    <w:rsid w:val="00EF63FA"/>
    <w:rsid w:val="00EF7132"/>
    <w:rsid w:val="00EF7315"/>
    <w:rsid w:val="00EF7D70"/>
    <w:rsid w:val="00F003AA"/>
    <w:rsid w:val="00F0085F"/>
    <w:rsid w:val="00F0090F"/>
    <w:rsid w:val="00F0093D"/>
    <w:rsid w:val="00F00C88"/>
    <w:rsid w:val="00F00E06"/>
    <w:rsid w:val="00F01053"/>
    <w:rsid w:val="00F017AD"/>
    <w:rsid w:val="00F01A26"/>
    <w:rsid w:val="00F01B08"/>
    <w:rsid w:val="00F02739"/>
    <w:rsid w:val="00F03441"/>
    <w:rsid w:val="00F03C50"/>
    <w:rsid w:val="00F03DF9"/>
    <w:rsid w:val="00F04A62"/>
    <w:rsid w:val="00F04BCD"/>
    <w:rsid w:val="00F05426"/>
    <w:rsid w:val="00F0570D"/>
    <w:rsid w:val="00F05C6B"/>
    <w:rsid w:val="00F06274"/>
    <w:rsid w:val="00F06673"/>
    <w:rsid w:val="00F06A92"/>
    <w:rsid w:val="00F10275"/>
    <w:rsid w:val="00F10417"/>
    <w:rsid w:val="00F1105C"/>
    <w:rsid w:val="00F119C9"/>
    <w:rsid w:val="00F11DEB"/>
    <w:rsid w:val="00F1225B"/>
    <w:rsid w:val="00F12A45"/>
    <w:rsid w:val="00F132A7"/>
    <w:rsid w:val="00F13BCF"/>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22F9"/>
    <w:rsid w:val="00F226F1"/>
    <w:rsid w:val="00F227BD"/>
    <w:rsid w:val="00F22E98"/>
    <w:rsid w:val="00F23069"/>
    <w:rsid w:val="00F2389A"/>
    <w:rsid w:val="00F23A8A"/>
    <w:rsid w:val="00F252F9"/>
    <w:rsid w:val="00F25362"/>
    <w:rsid w:val="00F259BE"/>
    <w:rsid w:val="00F266EE"/>
    <w:rsid w:val="00F277B7"/>
    <w:rsid w:val="00F27AD7"/>
    <w:rsid w:val="00F27FA3"/>
    <w:rsid w:val="00F30006"/>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3EAF"/>
    <w:rsid w:val="00F3412B"/>
    <w:rsid w:val="00F34D83"/>
    <w:rsid w:val="00F34F1F"/>
    <w:rsid w:val="00F3528F"/>
    <w:rsid w:val="00F35321"/>
    <w:rsid w:val="00F35A59"/>
    <w:rsid w:val="00F35A66"/>
    <w:rsid w:val="00F35DE2"/>
    <w:rsid w:val="00F36912"/>
    <w:rsid w:val="00F36B92"/>
    <w:rsid w:val="00F36FFF"/>
    <w:rsid w:val="00F37110"/>
    <w:rsid w:val="00F372D4"/>
    <w:rsid w:val="00F37750"/>
    <w:rsid w:val="00F37881"/>
    <w:rsid w:val="00F40419"/>
    <w:rsid w:val="00F40536"/>
    <w:rsid w:val="00F4070B"/>
    <w:rsid w:val="00F40B5D"/>
    <w:rsid w:val="00F40DCE"/>
    <w:rsid w:val="00F417DC"/>
    <w:rsid w:val="00F41901"/>
    <w:rsid w:val="00F41B9F"/>
    <w:rsid w:val="00F41BC0"/>
    <w:rsid w:val="00F41F29"/>
    <w:rsid w:val="00F420DA"/>
    <w:rsid w:val="00F42151"/>
    <w:rsid w:val="00F424B7"/>
    <w:rsid w:val="00F4256E"/>
    <w:rsid w:val="00F42E25"/>
    <w:rsid w:val="00F43201"/>
    <w:rsid w:val="00F4324F"/>
    <w:rsid w:val="00F437E3"/>
    <w:rsid w:val="00F43924"/>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697"/>
    <w:rsid w:val="00F53761"/>
    <w:rsid w:val="00F5408C"/>
    <w:rsid w:val="00F551D4"/>
    <w:rsid w:val="00F553D8"/>
    <w:rsid w:val="00F55681"/>
    <w:rsid w:val="00F56027"/>
    <w:rsid w:val="00F572EA"/>
    <w:rsid w:val="00F603A7"/>
    <w:rsid w:val="00F60A93"/>
    <w:rsid w:val="00F60AE3"/>
    <w:rsid w:val="00F6196F"/>
    <w:rsid w:val="00F61EF0"/>
    <w:rsid w:val="00F622F7"/>
    <w:rsid w:val="00F627D5"/>
    <w:rsid w:val="00F62A9A"/>
    <w:rsid w:val="00F62B9B"/>
    <w:rsid w:val="00F62F2C"/>
    <w:rsid w:val="00F63404"/>
    <w:rsid w:val="00F635DA"/>
    <w:rsid w:val="00F637C6"/>
    <w:rsid w:val="00F64E6D"/>
    <w:rsid w:val="00F64F22"/>
    <w:rsid w:val="00F6540D"/>
    <w:rsid w:val="00F65730"/>
    <w:rsid w:val="00F65BBA"/>
    <w:rsid w:val="00F66124"/>
    <w:rsid w:val="00F662A6"/>
    <w:rsid w:val="00F66580"/>
    <w:rsid w:val="00F6674F"/>
    <w:rsid w:val="00F66825"/>
    <w:rsid w:val="00F669A9"/>
    <w:rsid w:val="00F67260"/>
    <w:rsid w:val="00F676FC"/>
    <w:rsid w:val="00F67CA4"/>
    <w:rsid w:val="00F704AC"/>
    <w:rsid w:val="00F70787"/>
    <w:rsid w:val="00F712D7"/>
    <w:rsid w:val="00F716F3"/>
    <w:rsid w:val="00F7170C"/>
    <w:rsid w:val="00F717FF"/>
    <w:rsid w:val="00F71845"/>
    <w:rsid w:val="00F71B22"/>
    <w:rsid w:val="00F71F0A"/>
    <w:rsid w:val="00F72023"/>
    <w:rsid w:val="00F72376"/>
    <w:rsid w:val="00F723DF"/>
    <w:rsid w:val="00F72533"/>
    <w:rsid w:val="00F72FFD"/>
    <w:rsid w:val="00F73413"/>
    <w:rsid w:val="00F7369B"/>
    <w:rsid w:val="00F73985"/>
    <w:rsid w:val="00F73AED"/>
    <w:rsid w:val="00F73C37"/>
    <w:rsid w:val="00F73DDA"/>
    <w:rsid w:val="00F74950"/>
    <w:rsid w:val="00F749D2"/>
    <w:rsid w:val="00F74AF1"/>
    <w:rsid w:val="00F7507B"/>
    <w:rsid w:val="00F7563C"/>
    <w:rsid w:val="00F773F5"/>
    <w:rsid w:val="00F77701"/>
    <w:rsid w:val="00F77721"/>
    <w:rsid w:val="00F7772C"/>
    <w:rsid w:val="00F77D42"/>
    <w:rsid w:val="00F80305"/>
    <w:rsid w:val="00F803C2"/>
    <w:rsid w:val="00F806AA"/>
    <w:rsid w:val="00F80AC5"/>
    <w:rsid w:val="00F80DE1"/>
    <w:rsid w:val="00F81113"/>
    <w:rsid w:val="00F81708"/>
    <w:rsid w:val="00F81F3A"/>
    <w:rsid w:val="00F8226D"/>
    <w:rsid w:val="00F824CA"/>
    <w:rsid w:val="00F827C4"/>
    <w:rsid w:val="00F82949"/>
    <w:rsid w:val="00F82BBC"/>
    <w:rsid w:val="00F843B9"/>
    <w:rsid w:val="00F8479D"/>
    <w:rsid w:val="00F84808"/>
    <w:rsid w:val="00F84ADE"/>
    <w:rsid w:val="00F85282"/>
    <w:rsid w:val="00F85398"/>
    <w:rsid w:val="00F85714"/>
    <w:rsid w:val="00F8572F"/>
    <w:rsid w:val="00F85BBF"/>
    <w:rsid w:val="00F85EA0"/>
    <w:rsid w:val="00F85EAF"/>
    <w:rsid w:val="00F86291"/>
    <w:rsid w:val="00F8745C"/>
    <w:rsid w:val="00F874CE"/>
    <w:rsid w:val="00F87A50"/>
    <w:rsid w:val="00F9003D"/>
    <w:rsid w:val="00F9028F"/>
    <w:rsid w:val="00F9047A"/>
    <w:rsid w:val="00F90A77"/>
    <w:rsid w:val="00F90A9F"/>
    <w:rsid w:val="00F90C99"/>
    <w:rsid w:val="00F90E27"/>
    <w:rsid w:val="00F9101B"/>
    <w:rsid w:val="00F91031"/>
    <w:rsid w:val="00F91198"/>
    <w:rsid w:val="00F9123D"/>
    <w:rsid w:val="00F917EA"/>
    <w:rsid w:val="00F93EAC"/>
    <w:rsid w:val="00F93FD1"/>
    <w:rsid w:val="00F94A70"/>
    <w:rsid w:val="00F94B8A"/>
    <w:rsid w:val="00F94CBF"/>
    <w:rsid w:val="00F950B6"/>
    <w:rsid w:val="00F95286"/>
    <w:rsid w:val="00F955FA"/>
    <w:rsid w:val="00F95888"/>
    <w:rsid w:val="00F95B48"/>
    <w:rsid w:val="00F966C6"/>
    <w:rsid w:val="00F96906"/>
    <w:rsid w:val="00F96E0B"/>
    <w:rsid w:val="00F96E1C"/>
    <w:rsid w:val="00F96E47"/>
    <w:rsid w:val="00F97D8E"/>
    <w:rsid w:val="00FA02FD"/>
    <w:rsid w:val="00FA03B3"/>
    <w:rsid w:val="00FA03FE"/>
    <w:rsid w:val="00FA10CF"/>
    <w:rsid w:val="00FA13EA"/>
    <w:rsid w:val="00FA16A5"/>
    <w:rsid w:val="00FA2737"/>
    <w:rsid w:val="00FA2980"/>
    <w:rsid w:val="00FA2F82"/>
    <w:rsid w:val="00FA3305"/>
    <w:rsid w:val="00FA37A4"/>
    <w:rsid w:val="00FA3CB2"/>
    <w:rsid w:val="00FA4AAF"/>
    <w:rsid w:val="00FA4F11"/>
    <w:rsid w:val="00FA4F5D"/>
    <w:rsid w:val="00FA5593"/>
    <w:rsid w:val="00FA6A39"/>
    <w:rsid w:val="00FA6A88"/>
    <w:rsid w:val="00FA6AF2"/>
    <w:rsid w:val="00FA727B"/>
    <w:rsid w:val="00FA7B5D"/>
    <w:rsid w:val="00FB04DE"/>
    <w:rsid w:val="00FB0DE0"/>
    <w:rsid w:val="00FB1B22"/>
    <w:rsid w:val="00FB1EC4"/>
    <w:rsid w:val="00FB295A"/>
    <w:rsid w:val="00FB2AB0"/>
    <w:rsid w:val="00FB2E78"/>
    <w:rsid w:val="00FB31DA"/>
    <w:rsid w:val="00FB3225"/>
    <w:rsid w:val="00FB3C40"/>
    <w:rsid w:val="00FB401F"/>
    <w:rsid w:val="00FB410A"/>
    <w:rsid w:val="00FB42CD"/>
    <w:rsid w:val="00FB499F"/>
    <w:rsid w:val="00FB4A80"/>
    <w:rsid w:val="00FB4E6E"/>
    <w:rsid w:val="00FB4E87"/>
    <w:rsid w:val="00FB5461"/>
    <w:rsid w:val="00FB55AF"/>
    <w:rsid w:val="00FB5686"/>
    <w:rsid w:val="00FB59BC"/>
    <w:rsid w:val="00FB5D5D"/>
    <w:rsid w:val="00FB5E7F"/>
    <w:rsid w:val="00FB666D"/>
    <w:rsid w:val="00FB676F"/>
    <w:rsid w:val="00FB6891"/>
    <w:rsid w:val="00FB6C89"/>
    <w:rsid w:val="00FB71A2"/>
    <w:rsid w:val="00FB7604"/>
    <w:rsid w:val="00FB77CF"/>
    <w:rsid w:val="00FB7D61"/>
    <w:rsid w:val="00FC036A"/>
    <w:rsid w:val="00FC0B2B"/>
    <w:rsid w:val="00FC1425"/>
    <w:rsid w:val="00FC18B6"/>
    <w:rsid w:val="00FC21AA"/>
    <w:rsid w:val="00FC2D05"/>
    <w:rsid w:val="00FC3CF8"/>
    <w:rsid w:val="00FC4651"/>
    <w:rsid w:val="00FC477D"/>
    <w:rsid w:val="00FC4F7A"/>
    <w:rsid w:val="00FC5933"/>
    <w:rsid w:val="00FC5B54"/>
    <w:rsid w:val="00FC66AE"/>
    <w:rsid w:val="00FC6CE5"/>
    <w:rsid w:val="00FC6FD7"/>
    <w:rsid w:val="00FD002C"/>
    <w:rsid w:val="00FD0CB0"/>
    <w:rsid w:val="00FD1234"/>
    <w:rsid w:val="00FD170E"/>
    <w:rsid w:val="00FD2A39"/>
    <w:rsid w:val="00FD377F"/>
    <w:rsid w:val="00FD3C2B"/>
    <w:rsid w:val="00FD4447"/>
    <w:rsid w:val="00FD45FA"/>
    <w:rsid w:val="00FD460D"/>
    <w:rsid w:val="00FD4A71"/>
    <w:rsid w:val="00FD4B25"/>
    <w:rsid w:val="00FD4F5C"/>
    <w:rsid w:val="00FD5422"/>
    <w:rsid w:val="00FD5978"/>
    <w:rsid w:val="00FD5B77"/>
    <w:rsid w:val="00FD5E00"/>
    <w:rsid w:val="00FD6022"/>
    <w:rsid w:val="00FD60EC"/>
    <w:rsid w:val="00FD6358"/>
    <w:rsid w:val="00FD674C"/>
    <w:rsid w:val="00FD7035"/>
    <w:rsid w:val="00FD709A"/>
    <w:rsid w:val="00FD71BA"/>
    <w:rsid w:val="00FE126A"/>
    <w:rsid w:val="00FE17CF"/>
    <w:rsid w:val="00FE18BF"/>
    <w:rsid w:val="00FE1905"/>
    <w:rsid w:val="00FE1D0F"/>
    <w:rsid w:val="00FE1D1D"/>
    <w:rsid w:val="00FE1FE4"/>
    <w:rsid w:val="00FE20A4"/>
    <w:rsid w:val="00FE2661"/>
    <w:rsid w:val="00FE2D28"/>
    <w:rsid w:val="00FE346C"/>
    <w:rsid w:val="00FE367D"/>
    <w:rsid w:val="00FE3C35"/>
    <w:rsid w:val="00FE3DD9"/>
    <w:rsid w:val="00FE405B"/>
    <w:rsid w:val="00FE4AB3"/>
    <w:rsid w:val="00FE5605"/>
    <w:rsid w:val="00FE59D6"/>
    <w:rsid w:val="00FE6713"/>
    <w:rsid w:val="00FE6DC6"/>
    <w:rsid w:val="00FE6E3C"/>
    <w:rsid w:val="00FE7028"/>
    <w:rsid w:val="00FE7951"/>
    <w:rsid w:val="00FE7C85"/>
    <w:rsid w:val="00FE7D22"/>
    <w:rsid w:val="00FF00CD"/>
    <w:rsid w:val="00FF0654"/>
    <w:rsid w:val="00FF07BF"/>
    <w:rsid w:val="00FF0DEF"/>
    <w:rsid w:val="00FF1158"/>
    <w:rsid w:val="00FF1A77"/>
    <w:rsid w:val="00FF1DA7"/>
    <w:rsid w:val="00FF22B5"/>
    <w:rsid w:val="00FF2724"/>
    <w:rsid w:val="00FF27AE"/>
    <w:rsid w:val="00FF3103"/>
    <w:rsid w:val="00FF317A"/>
    <w:rsid w:val="00FF350A"/>
    <w:rsid w:val="00FF3B0E"/>
    <w:rsid w:val="00FF3C38"/>
    <w:rsid w:val="00FF4267"/>
    <w:rsid w:val="00FF5DE4"/>
    <w:rsid w:val="00FF5FE8"/>
    <w:rsid w:val="00FF63BB"/>
    <w:rsid w:val="00FF6D67"/>
    <w:rsid w:val="00FF6FAE"/>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FD0822-0046-4F95-9DC0-86778B3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paragraph" w:styleId="Heading3">
    <w:name w:val="heading 3"/>
    <w:basedOn w:val="Normal"/>
    <w:next w:val="Normal"/>
    <w:link w:val="Heading3Char"/>
    <w:uiPriority w:val="9"/>
    <w:semiHidden/>
    <w:unhideWhenUsed/>
    <w:qFormat/>
    <w:rsid w:val="0040699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3069C5"/>
    <w:pPr>
      <w:tabs>
        <w:tab w:val="left" w:pos="426"/>
        <w:tab w:val="left" w:pos="4395"/>
      </w:tabs>
      <w:spacing w:line="240" w:lineRule="auto"/>
      <w:ind w:left="142" w:hanging="142"/>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3069C5"/>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 w:type="character" w:customStyle="1" w:styleId="Heading3Char">
    <w:name w:val="Heading 3 Char"/>
    <w:basedOn w:val="DefaultParagraphFont"/>
    <w:link w:val="Heading3"/>
    <w:uiPriority w:val="9"/>
    <w:semiHidden/>
    <w:rsid w:val="00406997"/>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865488409">
      <w:bodyDiv w:val="1"/>
      <w:marLeft w:val="0"/>
      <w:marRight w:val="0"/>
      <w:marTop w:val="0"/>
      <w:marBottom w:val="0"/>
      <w:divBdr>
        <w:top w:val="none" w:sz="0" w:space="0" w:color="auto"/>
        <w:left w:val="none" w:sz="0" w:space="0" w:color="auto"/>
        <w:bottom w:val="none" w:sz="0" w:space="0" w:color="auto"/>
        <w:right w:val="none" w:sz="0" w:space="0" w:color="auto"/>
      </w:divBdr>
    </w:div>
    <w:div w:id="99302293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538929071">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99B9-0BEE-40FC-AC20-322A5A7C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5</TotalTime>
  <Pages>27</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 sarshan  mohan</cp:lastModifiedBy>
  <cp:revision>3</cp:revision>
  <cp:lastPrinted>2024-03-04T05:51:00Z</cp:lastPrinted>
  <dcterms:created xsi:type="dcterms:W3CDTF">2024-03-05T11:44:00Z</dcterms:created>
  <dcterms:modified xsi:type="dcterms:W3CDTF">2024-03-06T10:00:00Z</dcterms:modified>
</cp:coreProperties>
</file>