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CD62"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D6797F">
        <w:rPr>
          <w:rFonts w:ascii="Arial" w:eastAsia="Times New Roman" w:hAnsi="Arial" w:cs="Arial"/>
          <w:b/>
          <w:noProof/>
          <w:sz w:val="24"/>
          <w:szCs w:val="24"/>
          <w:lang w:eastAsia="en-ZA"/>
        </w:rPr>
        <w:t>REPUBLIC OF SOUTH AFRICA</w:t>
      </w:r>
    </w:p>
    <w:p w14:paraId="495CE571"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BDB0CC6" w14:textId="0EBA5586"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42787B29" wp14:editId="23199B8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r w:rsidR="00DB6B0C">
        <w:rPr>
          <w:rFonts w:ascii="Arial" w:eastAsia="Times New Roman" w:hAnsi="Arial" w:cs="Arial"/>
          <w:sz w:val="24"/>
          <w:szCs w:val="24"/>
        </w:rPr>
        <w:t xml:space="preserve"> </w:t>
      </w:r>
    </w:p>
    <w:p w14:paraId="6D85D0E8" w14:textId="77777777" w:rsidR="005C7C99" w:rsidRPr="00D6797F" w:rsidRDefault="005C7C99" w:rsidP="005C7C99">
      <w:pPr>
        <w:spacing w:after="0" w:line="240" w:lineRule="auto"/>
        <w:jc w:val="center"/>
        <w:outlineLvl w:val="0"/>
        <w:rPr>
          <w:rFonts w:ascii="Arial" w:eastAsia="Times New Roman" w:hAnsi="Arial" w:cs="Arial"/>
          <w:b/>
          <w:sz w:val="24"/>
          <w:szCs w:val="24"/>
        </w:rPr>
      </w:pPr>
    </w:p>
    <w:p w14:paraId="41AC5156"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0AB9303B"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16810366" w14:textId="77777777" w:rsidR="005C7C99" w:rsidRPr="00D6797F" w:rsidRDefault="005C7C99" w:rsidP="005C7C99">
      <w:pPr>
        <w:spacing w:after="0" w:line="240" w:lineRule="auto"/>
        <w:jc w:val="both"/>
        <w:rPr>
          <w:rFonts w:ascii="Arial" w:eastAsia="Times New Roman" w:hAnsi="Arial" w:cs="Arial"/>
          <w:sz w:val="24"/>
          <w:szCs w:val="24"/>
        </w:rPr>
      </w:pPr>
    </w:p>
    <w:p w14:paraId="4615F8F8" w14:textId="35A90B0F" w:rsidR="005C7C99" w:rsidRPr="00D6797F" w:rsidRDefault="005C7C99" w:rsidP="0027178D">
      <w:pPr>
        <w:tabs>
          <w:tab w:val="right" w:pos="9029"/>
        </w:tabs>
        <w:spacing w:after="0" w:line="240" w:lineRule="auto"/>
        <w:jc w:val="right"/>
        <w:rPr>
          <w:rFonts w:ascii="Arial" w:eastAsia="Times New Roman" w:hAnsi="Arial" w:cs="Arial"/>
          <w:sz w:val="24"/>
          <w:szCs w:val="24"/>
        </w:rPr>
      </w:pPr>
      <w:r w:rsidRPr="00D6797F">
        <w:rPr>
          <w:rFonts w:ascii="Arial" w:eastAsia="Times New Roman" w:hAnsi="Arial" w:cs="Arial"/>
          <w:sz w:val="24"/>
          <w:szCs w:val="24"/>
        </w:rPr>
        <w:tab/>
      </w:r>
    </w:p>
    <w:p w14:paraId="53FD2ED0" w14:textId="77777777" w:rsidR="005C7C99" w:rsidRPr="0016795C" w:rsidRDefault="005C7C99" w:rsidP="005C7C99">
      <w:pPr>
        <w:tabs>
          <w:tab w:val="left" w:pos="8998"/>
        </w:tabs>
        <w:spacing w:after="0" w:line="240" w:lineRule="auto"/>
        <w:jc w:val="both"/>
        <w:rPr>
          <w:rFonts w:ascii="Arial" w:eastAsia="Times New Roman" w:hAnsi="Arial" w:cs="Arial"/>
        </w:rPr>
      </w:pPr>
      <w:r w:rsidRPr="0016795C">
        <w:rPr>
          <w:rFonts w:ascii="Arial" w:hAnsi="Arial" w:cs="Arial"/>
          <w:noProof/>
          <w:lang w:eastAsia="en-ZA"/>
        </w:rPr>
        <mc:AlternateContent>
          <mc:Choice Requires="wps">
            <w:drawing>
              <wp:anchor distT="0" distB="0" distL="114300" distR="114300" simplePos="0" relativeHeight="251659264" behindDoc="0" locked="0" layoutInCell="1" allowOverlap="1" wp14:anchorId="28705666" wp14:editId="78AF3E0D">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410A7D99" w14:textId="15C9D6B5" w:rsidR="001E02B1" w:rsidRPr="00C344A5" w:rsidRDefault="001E02B1" w:rsidP="008205CD">
                            <w:pPr>
                              <w:numPr>
                                <w:ilvl w:val="0"/>
                                <w:numId w:val="3"/>
                              </w:numPr>
                              <w:spacing w:after="0" w:line="240" w:lineRule="auto"/>
                              <w:rPr>
                                <w:rFonts w:ascii="Arial" w:hAnsi="Arial" w:cs="Arial"/>
                                <w:sz w:val="18"/>
                                <w:szCs w:val="20"/>
                              </w:rPr>
                            </w:pPr>
                            <w:r>
                              <w:rPr>
                                <w:rFonts w:ascii="Arial" w:hAnsi="Arial" w:cs="Arial"/>
                                <w:sz w:val="18"/>
                                <w:szCs w:val="20"/>
                              </w:rPr>
                              <w:t xml:space="preserve">REPORTABLE: NO </w:t>
                            </w:r>
                          </w:p>
                          <w:p w14:paraId="4A8131C5" w14:textId="7A2C9D64" w:rsidR="001E02B1" w:rsidRPr="00C344A5" w:rsidRDefault="001E02B1" w:rsidP="008205CD">
                            <w:pPr>
                              <w:numPr>
                                <w:ilvl w:val="0"/>
                                <w:numId w:val="3"/>
                              </w:numPr>
                              <w:spacing w:after="0" w:line="240" w:lineRule="auto"/>
                              <w:rPr>
                                <w:rFonts w:ascii="Arial" w:hAnsi="Arial" w:cs="Arial"/>
                                <w:sz w:val="18"/>
                                <w:szCs w:val="20"/>
                              </w:rPr>
                            </w:pPr>
                            <w:r>
                              <w:rPr>
                                <w:rFonts w:ascii="Arial" w:hAnsi="Arial" w:cs="Arial"/>
                                <w:sz w:val="18"/>
                                <w:szCs w:val="20"/>
                              </w:rPr>
                              <w:t>OF INTEREST TO OTHER JUDGES: NO</w:t>
                            </w:r>
                          </w:p>
                          <w:p w14:paraId="595F2E94" w14:textId="77777777" w:rsidR="001E02B1" w:rsidRPr="00C344A5" w:rsidRDefault="001E02B1" w:rsidP="005C7C99">
                            <w:pPr>
                              <w:rPr>
                                <w:rFonts w:ascii="Arial" w:hAnsi="Arial" w:cs="Arial"/>
                                <w:b/>
                                <w:sz w:val="18"/>
                                <w:szCs w:val="20"/>
                              </w:rPr>
                            </w:pPr>
                          </w:p>
                          <w:p w14:paraId="338ABFB4" w14:textId="77777777" w:rsidR="001E02B1" w:rsidRPr="00C344A5" w:rsidRDefault="001E02B1"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1E02B1" w:rsidRPr="00C344A5" w:rsidRDefault="001E02B1"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05666"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">
                <v:textbox>
                  <w:txbxContent>
                    <w:p w14:paraId="410A7D99" w14:textId="15C9D6B5" w:rsidR="001E02B1" w:rsidRPr="00C344A5" w:rsidRDefault="001E02B1" w:rsidP="008205CD">
                      <w:pPr>
                        <w:numPr>
                          <w:ilvl w:val="0"/>
                          <w:numId w:val="3"/>
                        </w:numPr>
                        <w:spacing w:after="0" w:line="240" w:lineRule="auto"/>
                        <w:rPr>
                          <w:rFonts w:ascii="Arial" w:hAnsi="Arial" w:cs="Arial"/>
                          <w:sz w:val="18"/>
                          <w:szCs w:val="20"/>
                        </w:rPr>
                      </w:pPr>
                      <w:r>
                        <w:rPr>
                          <w:rFonts w:ascii="Arial" w:hAnsi="Arial" w:cs="Arial"/>
                          <w:sz w:val="18"/>
                          <w:szCs w:val="20"/>
                        </w:rPr>
                        <w:t xml:space="preserve">REPORTABLE: NO </w:t>
                      </w:r>
                    </w:p>
                    <w:p w14:paraId="4A8131C5" w14:textId="7A2C9D64" w:rsidR="001E02B1" w:rsidRPr="00C344A5" w:rsidRDefault="001E02B1" w:rsidP="008205CD">
                      <w:pPr>
                        <w:numPr>
                          <w:ilvl w:val="0"/>
                          <w:numId w:val="3"/>
                        </w:numPr>
                        <w:spacing w:after="0" w:line="240" w:lineRule="auto"/>
                        <w:rPr>
                          <w:rFonts w:ascii="Arial" w:hAnsi="Arial" w:cs="Arial"/>
                          <w:sz w:val="18"/>
                          <w:szCs w:val="20"/>
                        </w:rPr>
                      </w:pPr>
                      <w:r>
                        <w:rPr>
                          <w:rFonts w:ascii="Arial" w:hAnsi="Arial" w:cs="Arial"/>
                          <w:sz w:val="18"/>
                          <w:szCs w:val="20"/>
                        </w:rPr>
                        <w:t>OF INTEREST TO OTHER JUDGES: NO</w:t>
                      </w:r>
                    </w:p>
                    <w:p w14:paraId="595F2E94" w14:textId="77777777" w:rsidR="001E02B1" w:rsidRPr="00C344A5" w:rsidRDefault="001E02B1" w:rsidP="005C7C99">
                      <w:pPr>
                        <w:rPr>
                          <w:rFonts w:ascii="Arial" w:hAnsi="Arial" w:cs="Arial"/>
                          <w:b/>
                          <w:sz w:val="18"/>
                          <w:szCs w:val="20"/>
                        </w:rPr>
                      </w:pPr>
                    </w:p>
                    <w:p w14:paraId="338ABFB4" w14:textId="77777777" w:rsidR="001E02B1" w:rsidRPr="00C344A5" w:rsidRDefault="001E02B1"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1E02B1" w:rsidRPr="00C344A5" w:rsidRDefault="001E02B1"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32F9D0E8" w14:textId="77777777" w:rsidR="005C7C99" w:rsidRPr="0016795C" w:rsidRDefault="005C7C99" w:rsidP="005C7C99">
      <w:pPr>
        <w:tabs>
          <w:tab w:val="left" w:pos="8998"/>
        </w:tabs>
        <w:spacing w:after="0" w:line="240" w:lineRule="auto"/>
        <w:jc w:val="both"/>
        <w:rPr>
          <w:rFonts w:ascii="Arial" w:eastAsia="Times New Roman" w:hAnsi="Arial" w:cs="Arial"/>
        </w:rPr>
      </w:pPr>
    </w:p>
    <w:p w14:paraId="34D02AF9" w14:textId="77777777" w:rsidR="005C7C99" w:rsidRPr="0016795C" w:rsidRDefault="005C7C99" w:rsidP="005C7C99">
      <w:pPr>
        <w:tabs>
          <w:tab w:val="right" w:pos="9029"/>
        </w:tabs>
        <w:spacing w:after="0" w:line="240" w:lineRule="auto"/>
        <w:jc w:val="both"/>
        <w:rPr>
          <w:rFonts w:ascii="Arial" w:eastAsia="Times New Roman" w:hAnsi="Arial" w:cs="Arial"/>
        </w:rPr>
      </w:pPr>
    </w:p>
    <w:p w14:paraId="310D725E" w14:textId="77777777" w:rsidR="005C7C99" w:rsidRPr="0016795C" w:rsidRDefault="005C7C99" w:rsidP="005C7C99">
      <w:pPr>
        <w:tabs>
          <w:tab w:val="right" w:pos="9029"/>
        </w:tabs>
        <w:spacing w:after="0" w:line="240" w:lineRule="auto"/>
        <w:jc w:val="both"/>
        <w:rPr>
          <w:rFonts w:ascii="Arial" w:eastAsia="Times New Roman" w:hAnsi="Arial" w:cs="Arial"/>
        </w:rPr>
      </w:pPr>
    </w:p>
    <w:p w14:paraId="6BE946CE"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6F4E31B0"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25D519A9"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7B463172"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4EE3E670" w14:textId="3FAA6AFF" w:rsidR="005C7C99" w:rsidRPr="0016795C" w:rsidRDefault="005C7C99" w:rsidP="005C7C99">
      <w:pPr>
        <w:tabs>
          <w:tab w:val="right" w:pos="9029"/>
        </w:tabs>
        <w:spacing w:after="0" w:line="240" w:lineRule="auto"/>
        <w:contextualSpacing/>
        <w:jc w:val="center"/>
        <w:rPr>
          <w:rFonts w:ascii="Arial" w:eastAsia="Times New Roman" w:hAnsi="Arial" w:cs="Arial"/>
        </w:rPr>
      </w:pPr>
    </w:p>
    <w:p w14:paraId="26FEF918" w14:textId="77777777" w:rsidR="005C7C99" w:rsidRPr="00D6797F" w:rsidRDefault="005C7C99" w:rsidP="005C7C99">
      <w:pPr>
        <w:tabs>
          <w:tab w:val="right" w:pos="9029"/>
        </w:tabs>
        <w:spacing w:after="0" w:line="240" w:lineRule="auto"/>
        <w:contextualSpacing/>
        <w:jc w:val="both"/>
        <w:rPr>
          <w:rFonts w:ascii="Arial" w:eastAsia="Times New Roman" w:hAnsi="Arial" w:cs="Arial"/>
          <w:b/>
          <w:sz w:val="24"/>
          <w:szCs w:val="24"/>
        </w:rPr>
      </w:pPr>
    </w:p>
    <w:p w14:paraId="6BAF9A13" w14:textId="77777777" w:rsidR="0027178D" w:rsidRPr="0027178D" w:rsidRDefault="0027178D" w:rsidP="0027178D">
      <w:pPr>
        <w:tabs>
          <w:tab w:val="right" w:pos="9029"/>
        </w:tabs>
        <w:spacing w:after="0" w:line="240" w:lineRule="auto"/>
        <w:contextualSpacing/>
        <w:jc w:val="right"/>
        <w:rPr>
          <w:rFonts w:ascii="Arial" w:eastAsia="Times New Roman" w:hAnsi="Arial" w:cs="Arial"/>
          <w:b/>
          <w:sz w:val="24"/>
          <w:szCs w:val="24"/>
        </w:rPr>
      </w:pPr>
      <w:bookmarkStart w:id="0" w:name="_Hlk150337709"/>
      <w:r w:rsidRPr="0027178D">
        <w:rPr>
          <w:rFonts w:ascii="Arial" w:eastAsia="Times New Roman" w:hAnsi="Arial" w:cs="Arial"/>
          <w:b/>
          <w:sz w:val="24"/>
          <w:szCs w:val="24"/>
        </w:rPr>
        <w:t>APPEAL COURT CASE NO: A2022-050014</w:t>
      </w:r>
    </w:p>
    <w:p w14:paraId="4AB6A890" w14:textId="77777777" w:rsidR="0027178D" w:rsidRDefault="0027178D" w:rsidP="0027178D">
      <w:pPr>
        <w:tabs>
          <w:tab w:val="right" w:pos="9029"/>
        </w:tabs>
        <w:spacing w:after="0" w:line="240" w:lineRule="auto"/>
        <w:contextualSpacing/>
        <w:jc w:val="right"/>
        <w:rPr>
          <w:rFonts w:ascii="Arial" w:eastAsia="Times New Roman" w:hAnsi="Arial" w:cs="Arial"/>
          <w:b/>
          <w:sz w:val="24"/>
          <w:szCs w:val="24"/>
        </w:rPr>
      </w:pPr>
      <w:r w:rsidRPr="0027178D">
        <w:rPr>
          <w:rFonts w:ascii="Arial" w:eastAsia="Times New Roman" w:hAnsi="Arial" w:cs="Arial"/>
          <w:b/>
          <w:sz w:val="24"/>
          <w:szCs w:val="24"/>
        </w:rPr>
        <w:t>CASE NO.: 57981/2021</w:t>
      </w:r>
    </w:p>
    <w:p w14:paraId="30CF6E76" w14:textId="77777777" w:rsidR="00F20FE7" w:rsidRPr="0027178D" w:rsidRDefault="00F20FE7" w:rsidP="0027178D">
      <w:pPr>
        <w:tabs>
          <w:tab w:val="right" w:pos="9029"/>
        </w:tabs>
        <w:spacing w:after="0" w:line="240" w:lineRule="auto"/>
        <w:contextualSpacing/>
        <w:jc w:val="right"/>
        <w:rPr>
          <w:rFonts w:ascii="Arial" w:eastAsia="Times New Roman" w:hAnsi="Arial" w:cs="Arial"/>
          <w:b/>
          <w:sz w:val="24"/>
          <w:szCs w:val="24"/>
        </w:rPr>
      </w:pPr>
    </w:p>
    <w:p w14:paraId="5C6D7840" w14:textId="77777777" w:rsidR="0027178D" w:rsidRPr="00F20FE7" w:rsidRDefault="0027178D" w:rsidP="0027178D">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Cs/>
          <w:sz w:val="24"/>
          <w:szCs w:val="24"/>
        </w:rPr>
        <w:t>In the matter between:</w:t>
      </w:r>
    </w:p>
    <w:bookmarkEnd w:id="0"/>
    <w:p w14:paraId="46F3D65A" w14:textId="77777777" w:rsidR="0027178D" w:rsidRPr="00F20FE7" w:rsidRDefault="0027178D" w:rsidP="0027178D">
      <w:pPr>
        <w:tabs>
          <w:tab w:val="right" w:pos="9029"/>
        </w:tabs>
        <w:spacing w:after="0" w:line="240" w:lineRule="auto"/>
        <w:contextualSpacing/>
        <w:jc w:val="both"/>
        <w:rPr>
          <w:rFonts w:ascii="Arial" w:eastAsia="Times New Roman" w:hAnsi="Arial" w:cs="Arial"/>
          <w:bCs/>
          <w:sz w:val="24"/>
          <w:szCs w:val="24"/>
        </w:rPr>
      </w:pPr>
    </w:p>
    <w:p w14:paraId="6EAB0437" w14:textId="7175017C" w:rsidR="0027178D" w:rsidRPr="0027178D" w:rsidRDefault="0027178D" w:rsidP="0027178D">
      <w:pPr>
        <w:tabs>
          <w:tab w:val="right" w:pos="9029"/>
        </w:tabs>
        <w:spacing w:after="0" w:line="240" w:lineRule="auto"/>
        <w:contextualSpacing/>
        <w:jc w:val="both"/>
        <w:rPr>
          <w:rFonts w:ascii="Arial" w:eastAsia="Times New Roman" w:hAnsi="Arial" w:cs="Arial"/>
          <w:b/>
          <w:sz w:val="24"/>
          <w:szCs w:val="24"/>
        </w:rPr>
      </w:pPr>
      <w:r w:rsidRPr="0027178D">
        <w:rPr>
          <w:rFonts w:ascii="Arial" w:eastAsia="Times New Roman" w:hAnsi="Arial" w:cs="Arial"/>
          <w:b/>
          <w:sz w:val="24"/>
          <w:szCs w:val="24"/>
        </w:rPr>
        <w:t xml:space="preserve">WACO AFRICA (PTY) LIMITED t/a SGB-CAPE </w:t>
      </w:r>
      <w:r>
        <w:rPr>
          <w:rFonts w:ascii="Arial" w:eastAsia="Times New Roman" w:hAnsi="Arial" w:cs="Arial"/>
          <w:b/>
          <w:sz w:val="24"/>
          <w:szCs w:val="24"/>
        </w:rPr>
        <w:t xml:space="preserve">                                           </w:t>
      </w:r>
      <w:r w:rsidRPr="00F20FE7">
        <w:rPr>
          <w:rFonts w:ascii="Arial" w:eastAsia="Times New Roman" w:hAnsi="Arial" w:cs="Arial"/>
          <w:bCs/>
          <w:sz w:val="24"/>
          <w:szCs w:val="24"/>
        </w:rPr>
        <w:t>Appellant</w:t>
      </w:r>
    </w:p>
    <w:p w14:paraId="31CDB16F" w14:textId="30C6ECDB" w:rsidR="0027178D" w:rsidRPr="0027178D" w:rsidRDefault="0027178D" w:rsidP="0027178D">
      <w:pPr>
        <w:tabs>
          <w:tab w:val="right" w:pos="9029"/>
        </w:tabs>
        <w:spacing w:after="0" w:line="240" w:lineRule="auto"/>
        <w:contextualSpacing/>
        <w:jc w:val="both"/>
        <w:rPr>
          <w:rFonts w:ascii="Arial" w:eastAsia="Times New Roman" w:hAnsi="Arial" w:cs="Arial"/>
          <w:b/>
          <w:sz w:val="24"/>
          <w:szCs w:val="24"/>
        </w:rPr>
      </w:pPr>
    </w:p>
    <w:p w14:paraId="3B1CC81D" w14:textId="508915DD" w:rsidR="0027178D" w:rsidRPr="00F20FE7" w:rsidRDefault="00F20FE7" w:rsidP="0027178D">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Cs/>
          <w:sz w:val="24"/>
          <w:szCs w:val="24"/>
        </w:rPr>
        <w:t>a</w:t>
      </w:r>
      <w:r w:rsidR="0027178D" w:rsidRPr="00F20FE7">
        <w:rPr>
          <w:rFonts w:ascii="Arial" w:eastAsia="Times New Roman" w:hAnsi="Arial" w:cs="Arial"/>
          <w:bCs/>
          <w:sz w:val="24"/>
          <w:szCs w:val="24"/>
        </w:rPr>
        <w:t>nd</w:t>
      </w:r>
    </w:p>
    <w:p w14:paraId="7CD718DD" w14:textId="77777777" w:rsidR="0027178D" w:rsidRPr="0027178D" w:rsidRDefault="0027178D" w:rsidP="0027178D">
      <w:pPr>
        <w:tabs>
          <w:tab w:val="right" w:pos="9029"/>
        </w:tabs>
        <w:spacing w:after="0" w:line="240" w:lineRule="auto"/>
        <w:contextualSpacing/>
        <w:jc w:val="both"/>
        <w:rPr>
          <w:rFonts w:ascii="Arial" w:eastAsia="Times New Roman" w:hAnsi="Arial" w:cs="Arial"/>
          <w:b/>
          <w:sz w:val="24"/>
          <w:szCs w:val="24"/>
        </w:rPr>
      </w:pPr>
    </w:p>
    <w:p w14:paraId="5A35E3BD" w14:textId="5E22DF85" w:rsidR="0027178D" w:rsidRDefault="0027178D" w:rsidP="0027178D">
      <w:pPr>
        <w:tabs>
          <w:tab w:val="right" w:pos="9029"/>
        </w:tabs>
        <w:spacing w:after="0" w:line="240" w:lineRule="auto"/>
        <w:contextualSpacing/>
        <w:jc w:val="both"/>
        <w:rPr>
          <w:rFonts w:ascii="Arial" w:eastAsia="Times New Roman" w:hAnsi="Arial" w:cs="Arial"/>
          <w:b/>
          <w:sz w:val="24"/>
          <w:szCs w:val="24"/>
        </w:rPr>
      </w:pPr>
      <w:r w:rsidRPr="0027178D">
        <w:rPr>
          <w:rFonts w:ascii="Arial" w:eastAsia="Times New Roman" w:hAnsi="Arial" w:cs="Arial"/>
          <w:b/>
          <w:sz w:val="24"/>
          <w:szCs w:val="24"/>
        </w:rPr>
        <w:t xml:space="preserve">SOC LIMITED </w:t>
      </w:r>
      <w:r>
        <w:rPr>
          <w:rFonts w:ascii="Arial" w:eastAsia="Times New Roman" w:hAnsi="Arial" w:cs="Arial"/>
          <w:b/>
          <w:sz w:val="24"/>
          <w:szCs w:val="24"/>
        </w:rPr>
        <w:t xml:space="preserve">                                                                     </w:t>
      </w:r>
      <w:r w:rsidR="006C20F8">
        <w:rPr>
          <w:rFonts w:ascii="Arial" w:eastAsia="Times New Roman" w:hAnsi="Arial" w:cs="Arial"/>
          <w:b/>
          <w:sz w:val="24"/>
          <w:szCs w:val="24"/>
        </w:rPr>
        <w:tab/>
      </w:r>
      <w:r w:rsidRPr="0027178D">
        <w:rPr>
          <w:rFonts w:ascii="Arial" w:eastAsia="Times New Roman" w:hAnsi="Arial" w:cs="Arial"/>
          <w:bCs/>
          <w:sz w:val="24"/>
          <w:szCs w:val="24"/>
        </w:rPr>
        <w:t>First Respondent</w:t>
      </w:r>
      <w:r>
        <w:rPr>
          <w:rFonts w:ascii="Arial" w:eastAsia="Times New Roman" w:hAnsi="Arial" w:cs="Arial"/>
          <w:b/>
          <w:sz w:val="24"/>
          <w:szCs w:val="24"/>
        </w:rPr>
        <w:t xml:space="preserve">  </w:t>
      </w:r>
    </w:p>
    <w:p w14:paraId="6C1D3B6A" w14:textId="401AE6D1" w:rsidR="0027178D" w:rsidRPr="0027178D" w:rsidRDefault="0027178D" w:rsidP="0027178D">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 </w:t>
      </w:r>
    </w:p>
    <w:p w14:paraId="606EB661" w14:textId="64B2F2D6" w:rsidR="0027178D" w:rsidRPr="0027178D" w:rsidRDefault="0027178D" w:rsidP="0027178D">
      <w:pPr>
        <w:tabs>
          <w:tab w:val="right" w:pos="9029"/>
        </w:tabs>
        <w:spacing w:after="0" w:line="240" w:lineRule="auto"/>
        <w:contextualSpacing/>
        <w:jc w:val="both"/>
        <w:rPr>
          <w:rFonts w:ascii="Arial" w:eastAsia="Times New Roman" w:hAnsi="Arial" w:cs="Arial"/>
          <w:bCs/>
          <w:sz w:val="24"/>
          <w:szCs w:val="24"/>
        </w:rPr>
      </w:pPr>
      <w:r w:rsidRPr="0027178D">
        <w:rPr>
          <w:rFonts w:ascii="Arial" w:eastAsia="Times New Roman" w:hAnsi="Arial" w:cs="Arial"/>
          <w:b/>
          <w:sz w:val="24"/>
          <w:szCs w:val="24"/>
        </w:rPr>
        <w:t xml:space="preserve">KAEFER THERMAL CONTRACTING SERVICES (PTY) LTD </w:t>
      </w:r>
      <w:r>
        <w:rPr>
          <w:rFonts w:ascii="Arial" w:eastAsia="Times New Roman" w:hAnsi="Arial" w:cs="Arial"/>
          <w:b/>
          <w:sz w:val="24"/>
          <w:szCs w:val="24"/>
        </w:rPr>
        <w:t xml:space="preserve">    </w:t>
      </w:r>
      <w:r w:rsidRPr="0027178D">
        <w:rPr>
          <w:rFonts w:ascii="Arial" w:eastAsia="Times New Roman" w:hAnsi="Arial" w:cs="Arial"/>
          <w:bCs/>
          <w:sz w:val="24"/>
          <w:szCs w:val="24"/>
        </w:rPr>
        <w:t>Second Respondent</w:t>
      </w:r>
    </w:p>
    <w:p w14:paraId="376D2AA1" w14:textId="77777777" w:rsidR="0027178D" w:rsidRPr="0027178D" w:rsidRDefault="0027178D" w:rsidP="0027178D">
      <w:pPr>
        <w:tabs>
          <w:tab w:val="right" w:pos="9029"/>
        </w:tabs>
        <w:spacing w:after="0" w:line="240" w:lineRule="auto"/>
        <w:contextualSpacing/>
        <w:jc w:val="both"/>
        <w:rPr>
          <w:rFonts w:ascii="Arial" w:eastAsia="Times New Roman" w:hAnsi="Arial" w:cs="Arial"/>
          <w:bCs/>
          <w:sz w:val="24"/>
          <w:szCs w:val="24"/>
        </w:rPr>
      </w:pPr>
    </w:p>
    <w:p w14:paraId="12579696" w14:textId="033E1DA1" w:rsidR="0027178D" w:rsidRDefault="0027178D" w:rsidP="0027178D">
      <w:pPr>
        <w:tabs>
          <w:tab w:val="right" w:pos="9029"/>
        </w:tabs>
        <w:spacing w:after="0" w:line="240" w:lineRule="auto"/>
        <w:contextualSpacing/>
        <w:jc w:val="both"/>
        <w:rPr>
          <w:rFonts w:ascii="Arial" w:eastAsia="Times New Roman" w:hAnsi="Arial" w:cs="Arial"/>
          <w:bCs/>
          <w:sz w:val="24"/>
          <w:szCs w:val="24"/>
        </w:rPr>
      </w:pPr>
      <w:r w:rsidRPr="0027178D">
        <w:rPr>
          <w:rFonts w:ascii="Arial" w:eastAsia="Times New Roman" w:hAnsi="Arial" w:cs="Arial"/>
          <w:b/>
          <w:sz w:val="24"/>
          <w:szCs w:val="24"/>
        </w:rPr>
        <w:t xml:space="preserve">ELECTROHEAT ENERGY (PTY) LTD </w:t>
      </w:r>
      <w:r w:rsidR="00F20FE7">
        <w:rPr>
          <w:rFonts w:ascii="Arial" w:eastAsia="Times New Roman" w:hAnsi="Arial" w:cs="Arial"/>
          <w:b/>
          <w:sz w:val="24"/>
          <w:szCs w:val="24"/>
        </w:rPr>
        <w:t xml:space="preserve">                                             </w:t>
      </w:r>
      <w:r w:rsidRPr="0027178D">
        <w:rPr>
          <w:rFonts w:ascii="Arial" w:eastAsia="Times New Roman" w:hAnsi="Arial" w:cs="Arial"/>
          <w:bCs/>
          <w:sz w:val="24"/>
          <w:szCs w:val="24"/>
        </w:rPr>
        <w:t>Third Respondent</w:t>
      </w:r>
    </w:p>
    <w:p w14:paraId="7823AC23" w14:textId="77777777" w:rsidR="00F20FE7" w:rsidRPr="0027178D" w:rsidRDefault="00F20FE7" w:rsidP="0027178D">
      <w:pPr>
        <w:tabs>
          <w:tab w:val="right" w:pos="9029"/>
        </w:tabs>
        <w:spacing w:after="0" w:line="240" w:lineRule="auto"/>
        <w:contextualSpacing/>
        <w:jc w:val="both"/>
        <w:rPr>
          <w:rFonts w:ascii="Arial" w:eastAsia="Times New Roman" w:hAnsi="Arial" w:cs="Arial"/>
          <w:b/>
          <w:sz w:val="24"/>
          <w:szCs w:val="24"/>
        </w:rPr>
      </w:pPr>
    </w:p>
    <w:p w14:paraId="414E56C1" w14:textId="77777777" w:rsidR="00553076" w:rsidRDefault="00553076" w:rsidP="0027178D">
      <w:pPr>
        <w:tabs>
          <w:tab w:val="right" w:pos="9029"/>
        </w:tabs>
        <w:spacing w:after="0" w:line="240" w:lineRule="auto"/>
        <w:contextualSpacing/>
        <w:jc w:val="both"/>
        <w:rPr>
          <w:rFonts w:ascii="Arial" w:eastAsia="Times New Roman" w:hAnsi="Arial" w:cs="Arial"/>
          <w:b/>
          <w:sz w:val="24"/>
          <w:szCs w:val="24"/>
        </w:rPr>
      </w:pPr>
      <w:r w:rsidRPr="00553076">
        <w:rPr>
          <w:rFonts w:ascii="Arial" w:eastAsia="Times New Roman" w:hAnsi="Arial" w:cs="Arial"/>
          <w:b/>
          <w:sz w:val="24"/>
          <w:szCs w:val="24"/>
        </w:rPr>
        <w:t xml:space="preserve">RAMGULAM INVESTMENTS CC TRADING AS </w:t>
      </w:r>
    </w:p>
    <w:p w14:paraId="4538A8D2" w14:textId="55ABF7CD" w:rsidR="0027178D" w:rsidRDefault="0027178D" w:rsidP="0027178D">
      <w:pPr>
        <w:tabs>
          <w:tab w:val="right" w:pos="9029"/>
        </w:tabs>
        <w:spacing w:after="0" w:line="240" w:lineRule="auto"/>
        <w:contextualSpacing/>
        <w:jc w:val="both"/>
        <w:rPr>
          <w:rFonts w:ascii="Arial" w:eastAsia="Times New Roman" w:hAnsi="Arial" w:cs="Arial"/>
          <w:bCs/>
          <w:sz w:val="24"/>
          <w:szCs w:val="24"/>
        </w:rPr>
      </w:pPr>
      <w:r w:rsidRPr="0027178D">
        <w:rPr>
          <w:rFonts w:ascii="Arial" w:eastAsia="Times New Roman" w:hAnsi="Arial" w:cs="Arial"/>
          <w:b/>
          <w:sz w:val="24"/>
          <w:szCs w:val="24"/>
        </w:rPr>
        <w:t xml:space="preserve">ORAM INDUSTRIALS (PTY) LTD </w:t>
      </w:r>
      <w:r w:rsidR="00F20FE7">
        <w:rPr>
          <w:rFonts w:ascii="Arial" w:eastAsia="Times New Roman" w:hAnsi="Arial" w:cs="Arial"/>
          <w:b/>
          <w:sz w:val="24"/>
          <w:szCs w:val="24"/>
        </w:rPr>
        <w:t xml:space="preserve">                                                  </w:t>
      </w:r>
      <w:r w:rsidRPr="0027178D">
        <w:rPr>
          <w:rFonts w:ascii="Arial" w:eastAsia="Times New Roman" w:hAnsi="Arial" w:cs="Arial"/>
          <w:bCs/>
          <w:sz w:val="24"/>
          <w:szCs w:val="24"/>
        </w:rPr>
        <w:t>Fourth Respondent</w:t>
      </w:r>
    </w:p>
    <w:p w14:paraId="144489B2" w14:textId="77777777" w:rsidR="00F20FE7" w:rsidRPr="0027178D" w:rsidRDefault="00F20FE7" w:rsidP="0027178D">
      <w:pPr>
        <w:tabs>
          <w:tab w:val="right" w:pos="9029"/>
        </w:tabs>
        <w:spacing w:after="0" w:line="240" w:lineRule="auto"/>
        <w:contextualSpacing/>
        <w:jc w:val="both"/>
        <w:rPr>
          <w:rFonts w:ascii="Arial" w:eastAsia="Times New Roman" w:hAnsi="Arial" w:cs="Arial"/>
          <w:b/>
          <w:sz w:val="24"/>
          <w:szCs w:val="24"/>
        </w:rPr>
      </w:pPr>
    </w:p>
    <w:p w14:paraId="29B16033" w14:textId="2812718A" w:rsidR="0027178D" w:rsidRDefault="0027178D" w:rsidP="0027178D">
      <w:pPr>
        <w:tabs>
          <w:tab w:val="right" w:pos="9029"/>
        </w:tabs>
        <w:spacing w:after="0" w:line="240" w:lineRule="auto"/>
        <w:contextualSpacing/>
        <w:jc w:val="both"/>
        <w:rPr>
          <w:rFonts w:ascii="Arial" w:eastAsia="Times New Roman" w:hAnsi="Arial" w:cs="Arial"/>
          <w:bCs/>
          <w:sz w:val="24"/>
          <w:szCs w:val="24"/>
        </w:rPr>
      </w:pPr>
      <w:r w:rsidRPr="0027178D">
        <w:rPr>
          <w:rFonts w:ascii="Arial" w:eastAsia="Times New Roman" w:hAnsi="Arial" w:cs="Arial"/>
          <w:b/>
          <w:sz w:val="24"/>
          <w:szCs w:val="24"/>
        </w:rPr>
        <w:t xml:space="preserve">RSC INDUSTRIAL SERVICES (PTY) LTD </w:t>
      </w:r>
      <w:r w:rsidR="00F20FE7">
        <w:rPr>
          <w:rFonts w:ascii="Arial" w:eastAsia="Times New Roman" w:hAnsi="Arial" w:cs="Arial"/>
          <w:b/>
          <w:sz w:val="24"/>
          <w:szCs w:val="24"/>
        </w:rPr>
        <w:t xml:space="preserve">                                        </w:t>
      </w:r>
      <w:r w:rsidRPr="0027178D">
        <w:rPr>
          <w:rFonts w:ascii="Arial" w:eastAsia="Times New Roman" w:hAnsi="Arial" w:cs="Arial"/>
          <w:bCs/>
          <w:sz w:val="24"/>
          <w:szCs w:val="24"/>
        </w:rPr>
        <w:t>Fifth Respondent</w:t>
      </w:r>
    </w:p>
    <w:p w14:paraId="04E7A9EC"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2F1EEAD0"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678172E3"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1E650B6E" w14:textId="7AE5CA67" w:rsidR="00F20FE7" w:rsidRDefault="00CB0485" w:rsidP="0027178D">
      <w:pPr>
        <w:tabs>
          <w:tab w:val="right" w:pos="9029"/>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a</w:t>
      </w:r>
      <w:r w:rsidR="00F20FE7">
        <w:rPr>
          <w:rFonts w:ascii="Arial" w:eastAsia="Times New Roman" w:hAnsi="Arial" w:cs="Arial"/>
          <w:bCs/>
          <w:sz w:val="24"/>
          <w:szCs w:val="24"/>
        </w:rPr>
        <w:t>nd</w:t>
      </w:r>
    </w:p>
    <w:p w14:paraId="67FC5AB3"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7839ECEC"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63B77B6B"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18BC5024" w14:textId="77777777" w:rsidR="00F20FE7" w:rsidRDefault="00F20FE7" w:rsidP="0027178D">
      <w:pPr>
        <w:tabs>
          <w:tab w:val="right" w:pos="9029"/>
        </w:tabs>
        <w:spacing w:after="0" w:line="240" w:lineRule="auto"/>
        <w:contextualSpacing/>
        <w:jc w:val="both"/>
        <w:rPr>
          <w:rFonts w:ascii="Arial" w:eastAsia="Times New Roman" w:hAnsi="Arial" w:cs="Arial"/>
          <w:bCs/>
          <w:sz w:val="24"/>
          <w:szCs w:val="24"/>
        </w:rPr>
      </w:pPr>
    </w:p>
    <w:p w14:paraId="01281CB0" w14:textId="02FB0065" w:rsidR="00F20FE7" w:rsidRPr="0027178D" w:rsidRDefault="00F20FE7" w:rsidP="00F20FE7">
      <w:pPr>
        <w:tabs>
          <w:tab w:val="right" w:pos="9029"/>
        </w:tabs>
        <w:spacing w:after="0" w:line="240" w:lineRule="auto"/>
        <w:contextualSpacing/>
        <w:jc w:val="right"/>
        <w:rPr>
          <w:rFonts w:ascii="Arial" w:eastAsia="Times New Roman" w:hAnsi="Arial" w:cs="Arial"/>
          <w:b/>
          <w:sz w:val="24"/>
          <w:szCs w:val="24"/>
        </w:rPr>
      </w:pPr>
      <w:r w:rsidRPr="0027178D">
        <w:rPr>
          <w:rFonts w:ascii="Arial" w:eastAsia="Times New Roman" w:hAnsi="Arial" w:cs="Arial"/>
          <w:b/>
          <w:sz w:val="24"/>
          <w:szCs w:val="24"/>
        </w:rPr>
        <w:t xml:space="preserve">APPEAL COURT CASE NO: </w:t>
      </w:r>
      <w:r>
        <w:rPr>
          <w:rFonts w:ascii="Arial" w:eastAsia="Times New Roman" w:hAnsi="Arial" w:cs="Arial"/>
          <w:b/>
          <w:sz w:val="24"/>
          <w:szCs w:val="24"/>
        </w:rPr>
        <w:t>A009029/2023</w:t>
      </w:r>
    </w:p>
    <w:p w14:paraId="7AE14E3F" w14:textId="5BF56B8B" w:rsidR="00F20FE7" w:rsidRDefault="00F20FE7" w:rsidP="00F20FE7">
      <w:pPr>
        <w:tabs>
          <w:tab w:val="right" w:pos="9029"/>
        </w:tabs>
        <w:spacing w:after="0" w:line="240" w:lineRule="auto"/>
        <w:contextualSpacing/>
        <w:jc w:val="right"/>
        <w:rPr>
          <w:rFonts w:ascii="Arial" w:eastAsia="Times New Roman" w:hAnsi="Arial" w:cs="Arial"/>
          <w:b/>
          <w:sz w:val="24"/>
          <w:szCs w:val="24"/>
        </w:rPr>
      </w:pPr>
      <w:r w:rsidRPr="0027178D">
        <w:rPr>
          <w:rFonts w:ascii="Arial" w:eastAsia="Times New Roman" w:hAnsi="Arial" w:cs="Arial"/>
          <w:b/>
          <w:sz w:val="24"/>
          <w:szCs w:val="24"/>
        </w:rPr>
        <w:t>CASE NO</w:t>
      </w:r>
      <w:r>
        <w:rPr>
          <w:rFonts w:ascii="Arial" w:eastAsia="Times New Roman" w:hAnsi="Arial" w:cs="Arial"/>
          <w:b/>
          <w:sz w:val="24"/>
          <w:szCs w:val="24"/>
        </w:rPr>
        <w:t>:2022/3047</w:t>
      </w:r>
    </w:p>
    <w:p w14:paraId="3083BD93" w14:textId="77777777" w:rsidR="00F20FE7" w:rsidRPr="0027178D" w:rsidRDefault="00F20FE7" w:rsidP="00F20FE7">
      <w:pPr>
        <w:tabs>
          <w:tab w:val="right" w:pos="9029"/>
        </w:tabs>
        <w:spacing w:after="0" w:line="240" w:lineRule="auto"/>
        <w:contextualSpacing/>
        <w:jc w:val="right"/>
        <w:rPr>
          <w:rFonts w:ascii="Arial" w:eastAsia="Times New Roman" w:hAnsi="Arial" w:cs="Arial"/>
          <w:b/>
          <w:sz w:val="24"/>
          <w:szCs w:val="24"/>
        </w:rPr>
      </w:pPr>
    </w:p>
    <w:p w14:paraId="490C8AFE" w14:textId="77777777" w:rsidR="00F20FE7" w:rsidRPr="00F20FE7" w:rsidRDefault="00F20FE7" w:rsidP="00F20FE7">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Cs/>
          <w:sz w:val="24"/>
          <w:szCs w:val="24"/>
        </w:rPr>
        <w:t>In the matter between:</w:t>
      </w:r>
    </w:p>
    <w:p w14:paraId="47DF38F3" w14:textId="77777777" w:rsidR="00F20FE7" w:rsidRDefault="00F20FE7" w:rsidP="00F20FE7">
      <w:pPr>
        <w:tabs>
          <w:tab w:val="right" w:pos="9029"/>
        </w:tabs>
        <w:spacing w:after="0" w:line="240" w:lineRule="auto"/>
        <w:contextualSpacing/>
        <w:jc w:val="both"/>
        <w:rPr>
          <w:rFonts w:ascii="Arial" w:eastAsia="Times New Roman" w:hAnsi="Arial" w:cs="Arial"/>
          <w:b/>
          <w:sz w:val="24"/>
          <w:szCs w:val="24"/>
        </w:rPr>
      </w:pPr>
    </w:p>
    <w:p w14:paraId="62C2253D" w14:textId="5266140D" w:rsid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 xml:space="preserve">SOUTHEY CONTRACTING (PTY) LTD </w:t>
      </w:r>
      <w:r>
        <w:rPr>
          <w:rFonts w:ascii="Arial" w:eastAsia="Times New Roman" w:hAnsi="Arial" w:cs="Arial"/>
          <w:b/>
          <w:sz w:val="24"/>
          <w:szCs w:val="24"/>
        </w:rPr>
        <w:t xml:space="preserve">                                                          </w:t>
      </w:r>
      <w:r w:rsidRPr="00F20FE7">
        <w:rPr>
          <w:rFonts w:ascii="Arial" w:eastAsia="Times New Roman" w:hAnsi="Arial" w:cs="Arial"/>
          <w:bCs/>
          <w:sz w:val="24"/>
          <w:szCs w:val="24"/>
        </w:rPr>
        <w:t>Appellant</w:t>
      </w:r>
      <w:r w:rsidRPr="00F20FE7">
        <w:rPr>
          <w:rFonts w:ascii="Arial" w:eastAsia="Times New Roman" w:hAnsi="Arial" w:cs="Arial"/>
          <w:b/>
          <w:sz w:val="24"/>
          <w:szCs w:val="24"/>
        </w:rPr>
        <w:t xml:space="preserve"> </w:t>
      </w:r>
    </w:p>
    <w:p w14:paraId="1FFB9039" w14:textId="77777777"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p>
    <w:p w14:paraId="4D1B7B36" w14:textId="7225C636" w:rsidR="00F20FE7" w:rsidRPr="00F20FE7" w:rsidRDefault="00F20FE7" w:rsidP="00F20FE7">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Cs/>
          <w:sz w:val="24"/>
          <w:szCs w:val="24"/>
        </w:rPr>
        <w:t>and</w:t>
      </w:r>
    </w:p>
    <w:p w14:paraId="6265899E" w14:textId="77777777"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p>
    <w:p w14:paraId="2927200E" w14:textId="4995277C" w:rsidR="00F20FE7" w:rsidRDefault="00F20FE7" w:rsidP="00F20FE7">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
          <w:sz w:val="24"/>
          <w:szCs w:val="24"/>
        </w:rPr>
        <w:t xml:space="preserve">ESKOM HOLDINGS SOC LTD </w:t>
      </w:r>
      <w:r>
        <w:rPr>
          <w:rFonts w:ascii="Arial" w:eastAsia="Times New Roman" w:hAnsi="Arial" w:cs="Arial"/>
          <w:b/>
          <w:sz w:val="24"/>
          <w:szCs w:val="24"/>
        </w:rPr>
        <w:t xml:space="preserve">                      </w:t>
      </w:r>
      <w:bookmarkStart w:id="1" w:name="_GoBack"/>
      <w:bookmarkEnd w:id="1"/>
      <w:r>
        <w:rPr>
          <w:rFonts w:ascii="Arial" w:eastAsia="Times New Roman" w:hAnsi="Arial" w:cs="Arial"/>
          <w:b/>
          <w:sz w:val="24"/>
          <w:szCs w:val="24"/>
        </w:rPr>
        <w:t xml:space="preserve">                                    </w:t>
      </w:r>
      <w:r w:rsidRPr="00F20FE7">
        <w:rPr>
          <w:rFonts w:ascii="Arial" w:eastAsia="Times New Roman" w:hAnsi="Arial" w:cs="Arial"/>
          <w:bCs/>
          <w:sz w:val="24"/>
          <w:szCs w:val="24"/>
        </w:rPr>
        <w:t>First Respondent</w:t>
      </w:r>
    </w:p>
    <w:p w14:paraId="63D5F4EE" w14:textId="77777777" w:rsidR="00F20FE7" w:rsidRPr="00F20FE7" w:rsidRDefault="00F20FE7" w:rsidP="00F20FE7">
      <w:pPr>
        <w:tabs>
          <w:tab w:val="right" w:pos="9029"/>
        </w:tabs>
        <w:spacing w:after="0" w:line="240" w:lineRule="auto"/>
        <w:contextualSpacing/>
        <w:jc w:val="both"/>
        <w:rPr>
          <w:rFonts w:ascii="Arial" w:eastAsia="Times New Roman" w:hAnsi="Arial" w:cs="Arial"/>
          <w:bCs/>
          <w:sz w:val="24"/>
          <w:szCs w:val="24"/>
        </w:rPr>
      </w:pPr>
    </w:p>
    <w:p w14:paraId="5D0577A6" w14:textId="4298C856"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 xml:space="preserve">ELECTROHEAT ENERGY (PTY) LTD </w:t>
      </w:r>
      <w:r>
        <w:rPr>
          <w:rFonts w:ascii="Arial" w:eastAsia="Times New Roman" w:hAnsi="Arial" w:cs="Arial"/>
          <w:b/>
          <w:sz w:val="24"/>
          <w:szCs w:val="24"/>
        </w:rPr>
        <w:t xml:space="preserve">                                         </w:t>
      </w:r>
      <w:r w:rsidRPr="00F20FE7">
        <w:rPr>
          <w:rFonts w:ascii="Arial" w:eastAsia="Times New Roman" w:hAnsi="Arial" w:cs="Arial"/>
          <w:bCs/>
          <w:sz w:val="24"/>
          <w:szCs w:val="24"/>
        </w:rPr>
        <w:t>Second Respondent</w:t>
      </w:r>
    </w:p>
    <w:p w14:paraId="35CC0ED8" w14:textId="434E5258"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p>
    <w:p w14:paraId="706251C0" w14:textId="77777777"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KAEFER THERMAL CONTRACTING SERVICES</w:t>
      </w:r>
    </w:p>
    <w:p w14:paraId="6F6C62DE" w14:textId="67980026"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(PTY) LTD</w:t>
      </w:r>
      <w:r>
        <w:rPr>
          <w:rFonts w:ascii="Arial" w:eastAsia="Times New Roman" w:hAnsi="Arial" w:cs="Arial"/>
          <w:b/>
          <w:sz w:val="24"/>
          <w:szCs w:val="24"/>
        </w:rPr>
        <w:t xml:space="preserve">                                                                                          </w:t>
      </w:r>
      <w:r w:rsidRPr="00F20FE7">
        <w:rPr>
          <w:rFonts w:ascii="Arial" w:eastAsia="Times New Roman" w:hAnsi="Arial" w:cs="Arial"/>
          <w:bCs/>
          <w:sz w:val="24"/>
          <w:szCs w:val="24"/>
        </w:rPr>
        <w:t>Third Respondent</w:t>
      </w:r>
    </w:p>
    <w:p w14:paraId="2C19E479" w14:textId="364F810F" w:rsidR="00F20FE7" w:rsidRPr="00F20FE7" w:rsidRDefault="00F20FE7" w:rsidP="00F20FE7">
      <w:pPr>
        <w:tabs>
          <w:tab w:val="right" w:pos="9029"/>
        </w:tabs>
        <w:spacing w:after="0" w:line="240" w:lineRule="auto"/>
        <w:contextualSpacing/>
        <w:jc w:val="both"/>
        <w:rPr>
          <w:rFonts w:ascii="Arial" w:eastAsia="Times New Roman" w:hAnsi="Arial" w:cs="Arial"/>
          <w:bCs/>
          <w:sz w:val="24"/>
          <w:szCs w:val="24"/>
        </w:rPr>
      </w:pPr>
    </w:p>
    <w:p w14:paraId="26488423" w14:textId="77777777" w:rsid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RAMGULAM INVESTMENTS CC</w:t>
      </w:r>
      <w:r>
        <w:rPr>
          <w:rFonts w:ascii="Arial" w:eastAsia="Times New Roman" w:hAnsi="Arial" w:cs="Arial"/>
          <w:b/>
          <w:sz w:val="24"/>
          <w:szCs w:val="24"/>
        </w:rPr>
        <w:t xml:space="preserve"> TRADING AS</w:t>
      </w:r>
      <w:r w:rsidRPr="00F20FE7">
        <w:rPr>
          <w:rFonts w:ascii="Arial" w:eastAsia="Times New Roman" w:hAnsi="Arial" w:cs="Arial"/>
          <w:b/>
          <w:sz w:val="24"/>
          <w:szCs w:val="24"/>
        </w:rPr>
        <w:t xml:space="preserve"> </w:t>
      </w:r>
    </w:p>
    <w:p w14:paraId="3A1A6D7F" w14:textId="0AEE5445" w:rsidR="00F20FE7" w:rsidRDefault="00F20FE7" w:rsidP="00F20FE7">
      <w:pPr>
        <w:tabs>
          <w:tab w:val="right" w:pos="9029"/>
        </w:tabs>
        <w:spacing w:after="0" w:line="240" w:lineRule="auto"/>
        <w:contextualSpacing/>
        <w:jc w:val="both"/>
        <w:rPr>
          <w:rFonts w:ascii="Arial" w:eastAsia="Times New Roman" w:hAnsi="Arial" w:cs="Arial"/>
          <w:bCs/>
          <w:sz w:val="24"/>
          <w:szCs w:val="24"/>
        </w:rPr>
      </w:pPr>
      <w:r w:rsidRPr="00F20FE7">
        <w:rPr>
          <w:rFonts w:ascii="Arial" w:eastAsia="Times New Roman" w:hAnsi="Arial" w:cs="Arial"/>
          <w:b/>
          <w:sz w:val="24"/>
          <w:szCs w:val="24"/>
        </w:rPr>
        <w:t>O</w:t>
      </w:r>
      <w:r>
        <w:rPr>
          <w:rFonts w:ascii="Arial" w:eastAsia="Times New Roman" w:hAnsi="Arial" w:cs="Arial"/>
          <w:b/>
          <w:sz w:val="24"/>
          <w:szCs w:val="24"/>
        </w:rPr>
        <w:t xml:space="preserve">RAM </w:t>
      </w:r>
      <w:r w:rsidR="000D087A">
        <w:rPr>
          <w:rFonts w:ascii="Arial" w:eastAsia="Times New Roman" w:hAnsi="Arial" w:cs="Arial"/>
          <w:b/>
          <w:sz w:val="24"/>
          <w:szCs w:val="24"/>
        </w:rPr>
        <w:t xml:space="preserve"> </w:t>
      </w:r>
      <w:r>
        <w:rPr>
          <w:rFonts w:ascii="Arial" w:eastAsia="Times New Roman" w:hAnsi="Arial" w:cs="Arial"/>
          <w:b/>
          <w:sz w:val="24"/>
          <w:szCs w:val="24"/>
        </w:rPr>
        <w:t xml:space="preserve">INDUSTRIALS </w:t>
      </w:r>
      <w:r w:rsidR="006663A2">
        <w:rPr>
          <w:rFonts w:ascii="Arial" w:eastAsia="Times New Roman" w:hAnsi="Arial" w:cs="Arial"/>
          <w:b/>
          <w:sz w:val="24"/>
          <w:szCs w:val="24"/>
        </w:rPr>
        <w:t>(PTY) LTD</w:t>
      </w:r>
      <w:r>
        <w:rPr>
          <w:rFonts w:ascii="Arial" w:eastAsia="Times New Roman" w:hAnsi="Arial" w:cs="Arial"/>
          <w:b/>
          <w:sz w:val="24"/>
          <w:szCs w:val="24"/>
        </w:rPr>
        <w:t xml:space="preserve">                   </w:t>
      </w:r>
      <w:r w:rsidR="006663A2">
        <w:rPr>
          <w:rFonts w:ascii="Arial" w:eastAsia="Times New Roman" w:hAnsi="Arial" w:cs="Arial"/>
          <w:b/>
          <w:sz w:val="24"/>
          <w:szCs w:val="24"/>
        </w:rPr>
        <w:t xml:space="preserve"> </w:t>
      </w:r>
      <w:r>
        <w:rPr>
          <w:rFonts w:ascii="Arial" w:eastAsia="Times New Roman" w:hAnsi="Arial" w:cs="Arial"/>
          <w:b/>
          <w:sz w:val="24"/>
          <w:szCs w:val="24"/>
        </w:rPr>
        <w:t xml:space="preserve">                                   </w:t>
      </w:r>
      <w:r w:rsidRPr="00F20FE7">
        <w:rPr>
          <w:rFonts w:ascii="Arial" w:eastAsia="Times New Roman" w:hAnsi="Arial" w:cs="Arial"/>
          <w:bCs/>
          <w:sz w:val="24"/>
          <w:szCs w:val="24"/>
        </w:rPr>
        <w:t>Fourth Respondent</w:t>
      </w:r>
    </w:p>
    <w:p w14:paraId="7B0701D3" w14:textId="77777777" w:rsidR="00F20FE7" w:rsidRPr="00F20FE7" w:rsidRDefault="00F20FE7" w:rsidP="00F20FE7">
      <w:pPr>
        <w:tabs>
          <w:tab w:val="right" w:pos="9029"/>
        </w:tabs>
        <w:spacing w:after="0" w:line="240" w:lineRule="auto"/>
        <w:contextualSpacing/>
        <w:jc w:val="both"/>
        <w:rPr>
          <w:rFonts w:ascii="Arial" w:eastAsia="Times New Roman" w:hAnsi="Arial" w:cs="Arial"/>
          <w:b/>
          <w:sz w:val="24"/>
          <w:szCs w:val="24"/>
        </w:rPr>
      </w:pPr>
    </w:p>
    <w:p w14:paraId="4C3478E4" w14:textId="3CD62498" w:rsidR="00F20FE7" w:rsidRDefault="00F20FE7" w:rsidP="00F20FE7">
      <w:pPr>
        <w:tabs>
          <w:tab w:val="right" w:pos="9029"/>
        </w:tabs>
        <w:spacing w:after="0" w:line="240" w:lineRule="auto"/>
        <w:contextualSpacing/>
        <w:jc w:val="both"/>
        <w:rPr>
          <w:rFonts w:ascii="Arial" w:eastAsia="Times New Roman" w:hAnsi="Arial" w:cs="Arial"/>
          <w:b/>
          <w:sz w:val="24"/>
          <w:szCs w:val="24"/>
        </w:rPr>
      </w:pPr>
      <w:r w:rsidRPr="00F20FE7">
        <w:rPr>
          <w:rFonts w:ascii="Arial" w:eastAsia="Times New Roman" w:hAnsi="Arial" w:cs="Arial"/>
          <w:b/>
          <w:sz w:val="24"/>
          <w:szCs w:val="24"/>
        </w:rPr>
        <w:t xml:space="preserve">RSC INDUSTRIAL SERVICES (PTY) LTD </w:t>
      </w:r>
      <w:r>
        <w:rPr>
          <w:rFonts w:ascii="Arial" w:eastAsia="Times New Roman" w:hAnsi="Arial" w:cs="Arial"/>
          <w:b/>
          <w:sz w:val="24"/>
          <w:szCs w:val="24"/>
        </w:rPr>
        <w:t xml:space="preserve">                                       </w:t>
      </w:r>
      <w:r w:rsidRPr="00F20FE7">
        <w:rPr>
          <w:rFonts w:ascii="Arial" w:eastAsia="Times New Roman" w:hAnsi="Arial" w:cs="Arial"/>
          <w:bCs/>
          <w:sz w:val="24"/>
          <w:szCs w:val="24"/>
        </w:rPr>
        <w:t>Fifth Respondent</w:t>
      </w:r>
    </w:p>
    <w:p w14:paraId="0E99CB6B" w14:textId="77777777" w:rsidR="00F20FE7" w:rsidRPr="0027178D" w:rsidRDefault="00F20FE7" w:rsidP="0027178D">
      <w:pPr>
        <w:tabs>
          <w:tab w:val="right" w:pos="9029"/>
        </w:tabs>
        <w:spacing w:after="0" w:line="240" w:lineRule="auto"/>
        <w:contextualSpacing/>
        <w:jc w:val="both"/>
        <w:rPr>
          <w:rFonts w:ascii="Arial" w:eastAsia="Times New Roman" w:hAnsi="Arial" w:cs="Arial"/>
          <w:b/>
          <w:sz w:val="24"/>
          <w:szCs w:val="24"/>
        </w:rPr>
      </w:pPr>
    </w:p>
    <w:p w14:paraId="14C44B30" w14:textId="5F93F9F1" w:rsidR="0027178D" w:rsidRPr="0027178D" w:rsidRDefault="0027178D" w:rsidP="0027178D">
      <w:pPr>
        <w:tabs>
          <w:tab w:val="right" w:pos="9029"/>
        </w:tabs>
        <w:spacing w:after="0" w:line="240" w:lineRule="auto"/>
        <w:contextualSpacing/>
        <w:jc w:val="both"/>
        <w:rPr>
          <w:rFonts w:ascii="Arial" w:eastAsia="Times New Roman" w:hAnsi="Arial" w:cs="Arial"/>
          <w:b/>
          <w:sz w:val="24"/>
          <w:szCs w:val="24"/>
        </w:rPr>
      </w:pPr>
    </w:p>
    <w:p w14:paraId="2827A30F" w14:textId="0C7A3AA7" w:rsidR="009C6CBC" w:rsidRDefault="0027178D" w:rsidP="009C6CBC">
      <w:pPr>
        <w:pBdr>
          <w:bottom w:val="single" w:sz="12" w:space="1" w:color="auto"/>
        </w:pBdr>
        <w:tabs>
          <w:tab w:val="left" w:pos="1930"/>
        </w:tabs>
        <w:spacing w:after="0" w:line="24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w:t>
      </w:r>
    </w:p>
    <w:p w14:paraId="6370F37A" w14:textId="77777777" w:rsidR="0027178D" w:rsidRDefault="0027178D" w:rsidP="009C6CBC">
      <w:pPr>
        <w:pBdr>
          <w:bottom w:val="single" w:sz="12" w:space="1" w:color="auto"/>
        </w:pBdr>
        <w:tabs>
          <w:tab w:val="left" w:pos="1930"/>
        </w:tabs>
        <w:spacing w:after="0" w:line="240" w:lineRule="auto"/>
        <w:rPr>
          <w:rFonts w:ascii="Arial" w:hAnsi="Arial" w:cs="Arial"/>
          <w:b/>
          <w:sz w:val="24"/>
          <w:szCs w:val="24"/>
        </w:rPr>
      </w:pPr>
    </w:p>
    <w:p w14:paraId="38B794E4" w14:textId="76A67E4B" w:rsidR="00BF43AD" w:rsidRPr="00D6797F" w:rsidRDefault="009C6CBC" w:rsidP="00D6797F">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J</w:t>
      </w:r>
      <w:r w:rsidR="005C7C99" w:rsidRPr="00D6797F">
        <w:rPr>
          <w:rFonts w:ascii="Arial" w:hAnsi="Arial" w:cs="Arial"/>
          <w:b/>
          <w:sz w:val="24"/>
          <w:szCs w:val="24"/>
        </w:rPr>
        <w:t>UDGMENT</w:t>
      </w:r>
    </w:p>
    <w:p w14:paraId="08D6A002" w14:textId="77777777" w:rsidR="008C0689" w:rsidRPr="00D6797F" w:rsidRDefault="008C0689" w:rsidP="008C0689">
      <w:pPr>
        <w:pBdr>
          <w:bottom w:val="single" w:sz="12" w:space="1" w:color="auto"/>
        </w:pBdr>
        <w:spacing w:after="240" w:line="240" w:lineRule="auto"/>
        <w:jc w:val="center"/>
        <w:rPr>
          <w:rFonts w:ascii="Arial" w:hAnsi="Arial" w:cs="Arial"/>
          <w:b/>
          <w:sz w:val="24"/>
          <w:szCs w:val="24"/>
        </w:rPr>
      </w:pPr>
    </w:p>
    <w:p w14:paraId="533AA6D4" w14:textId="68096E3B" w:rsidR="00AE22CA" w:rsidRPr="00AE22CA" w:rsidRDefault="00AE22CA" w:rsidP="00AE22CA">
      <w:pPr>
        <w:tabs>
          <w:tab w:val="right" w:pos="9029"/>
        </w:tabs>
        <w:spacing w:after="0" w:line="240" w:lineRule="auto"/>
        <w:contextualSpacing/>
        <w:jc w:val="both"/>
        <w:rPr>
          <w:rFonts w:ascii="Arial" w:eastAsia="Calibri" w:hAnsi="Arial" w:cs="Arial"/>
          <w:b/>
          <w:sz w:val="24"/>
          <w:szCs w:val="24"/>
        </w:rPr>
      </w:pPr>
      <w:r w:rsidRPr="00AE22CA">
        <w:rPr>
          <w:rFonts w:ascii="Arial" w:eastAsia="Calibri" w:hAnsi="Arial" w:cs="Arial"/>
          <w:b/>
          <w:sz w:val="24"/>
          <w:szCs w:val="24"/>
        </w:rPr>
        <w:t>This judgment has been delivered by being uploaded to the CaseLines profile and communicated to the parties by email.</w:t>
      </w:r>
    </w:p>
    <w:p w14:paraId="5BA2571B" w14:textId="77777777" w:rsidR="006744C9" w:rsidRDefault="006744C9" w:rsidP="00D6797F">
      <w:pPr>
        <w:spacing w:after="0" w:line="480" w:lineRule="auto"/>
        <w:rPr>
          <w:rFonts w:ascii="Arial" w:hAnsi="Arial" w:cs="Arial"/>
          <w:b/>
        </w:rPr>
      </w:pPr>
    </w:p>
    <w:p w14:paraId="7671A639" w14:textId="33B09CE0" w:rsidR="006C6B08" w:rsidRDefault="00F7027B" w:rsidP="00D6797F">
      <w:pPr>
        <w:spacing w:after="0" w:line="480" w:lineRule="auto"/>
        <w:rPr>
          <w:rFonts w:ascii="Arial" w:hAnsi="Arial" w:cs="Arial"/>
          <w:sz w:val="24"/>
          <w:szCs w:val="24"/>
        </w:rPr>
      </w:pPr>
      <w:r>
        <w:rPr>
          <w:rFonts w:ascii="Arial" w:hAnsi="Arial" w:cs="Arial"/>
          <w:sz w:val="24"/>
          <w:szCs w:val="24"/>
        </w:rPr>
        <w:t xml:space="preserve">Wepener </w:t>
      </w:r>
      <w:r w:rsidR="006C6B08" w:rsidRPr="00D6797F">
        <w:rPr>
          <w:rFonts w:ascii="Arial" w:hAnsi="Arial" w:cs="Arial"/>
          <w:sz w:val="24"/>
          <w:szCs w:val="24"/>
        </w:rPr>
        <w:t>J</w:t>
      </w:r>
      <w:r w:rsidR="0027178D">
        <w:rPr>
          <w:rFonts w:ascii="Arial" w:hAnsi="Arial" w:cs="Arial"/>
          <w:sz w:val="24"/>
          <w:szCs w:val="24"/>
        </w:rPr>
        <w:t xml:space="preserve"> et Yacoob J et Dosio J:</w:t>
      </w:r>
    </w:p>
    <w:p w14:paraId="746D2D41" w14:textId="67738D57" w:rsidR="002E7E32" w:rsidRDefault="002034F6" w:rsidP="000767F7">
      <w:pPr>
        <w:spacing w:after="0" w:line="480" w:lineRule="auto"/>
        <w:jc w:val="both"/>
        <w:rPr>
          <w:rFonts w:ascii="Arial" w:hAnsi="Arial" w:cs="Arial"/>
          <w:sz w:val="24"/>
          <w:szCs w:val="24"/>
          <w:lang w:val="en-GB"/>
        </w:rPr>
      </w:pPr>
      <w:r>
        <w:rPr>
          <w:rFonts w:ascii="Arial" w:hAnsi="Arial" w:cs="Arial"/>
          <w:sz w:val="24"/>
          <w:szCs w:val="24"/>
        </w:rPr>
        <w:t>[1]</w:t>
      </w:r>
      <w:r>
        <w:rPr>
          <w:rFonts w:ascii="Arial" w:hAnsi="Arial" w:cs="Arial"/>
          <w:sz w:val="24"/>
          <w:szCs w:val="24"/>
        </w:rPr>
        <w:tab/>
      </w:r>
      <w:r w:rsidR="00521233">
        <w:rPr>
          <w:rFonts w:ascii="Arial" w:hAnsi="Arial" w:cs="Arial"/>
          <w:sz w:val="24"/>
          <w:szCs w:val="24"/>
          <w:lang w:val="en-GB"/>
        </w:rPr>
        <w:t>T</w:t>
      </w:r>
      <w:r w:rsidR="00521233" w:rsidRPr="00521233">
        <w:rPr>
          <w:rFonts w:ascii="Arial" w:hAnsi="Arial" w:cs="Arial"/>
          <w:sz w:val="24"/>
          <w:szCs w:val="24"/>
          <w:lang w:val="en-GB"/>
        </w:rPr>
        <w:t>his is an appeal</w:t>
      </w:r>
      <w:r w:rsidR="00521233">
        <w:rPr>
          <w:rFonts w:ascii="Arial" w:hAnsi="Arial" w:cs="Arial"/>
          <w:sz w:val="24"/>
          <w:szCs w:val="24"/>
          <w:lang w:val="en-GB"/>
        </w:rPr>
        <w:t xml:space="preserve"> </w:t>
      </w:r>
      <w:r w:rsidR="00521233" w:rsidRPr="00521233">
        <w:rPr>
          <w:rFonts w:ascii="Arial" w:hAnsi="Arial" w:cs="Arial"/>
          <w:sz w:val="24"/>
          <w:szCs w:val="24"/>
          <w:lang w:val="en-GB"/>
        </w:rPr>
        <w:t>by two parties being S</w:t>
      </w:r>
      <w:r w:rsidR="00521233">
        <w:rPr>
          <w:rFonts w:ascii="Arial" w:hAnsi="Arial" w:cs="Arial"/>
          <w:sz w:val="24"/>
          <w:szCs w:val="24"/>
          <w:lang w:val="en-GB"/>
        </w:rPr>
        <w:t>outhey C</w:t>
      </w:r>
      <w:r w:rsidR="00521233" w:rsidRPr="00521233">
        <w:rPr>
          <w:rFonts w:ascii="Arial" w:hAnsi="Arial" w:cs="Arial"/>
          <w:sz w:val="24"/>
          <w:szCs w:val="24"/>
          <w:lang w:val="en-GB"/>
        </w:rPr>
        <w:t xml:space="preserve">ontracting </w:t>
      </w:r>
      <w:r w:rsidR="00521233">
        <w:rPr>
          <w:rFonts w:ascii="Arial" w:hAnsi="Arial" w:cs="Arial"/>
          <w:sz w:val="24"/>
          <w:szCs w:val="24"/>
          <w:lang w:val="en-GB"/>
        </w:rPr>
        <w:t>(</w:t>
      </w:r>
      <w:r w:rsidR="00521233" w:rsidRPr="00521233">
        <w:rPr>
          <w:rFonts w:ascii="Arial" w:hAnsi="Arial" w:cs="Arial"/>
          <w:sz w:val="24"/>
          <w:szCs w:val="24"/>
          <w:lang w:val="en-GB"/>
        </w:rPr>
        <w:t>Pty</w:t>
      </w:r>
      <w:r w:rsidR="00521233">
        <w:rPr>
          <w:rFonts w:ascii="Arial" w:hAnsi="Arial" w:cs="Arial"/>
          <w:sz w:val="24"/>
          <w:szCs w:val="24"/>
          <w:lang w:val="en-GB"/>
        </w:rPr>
        <w:t>)</w:t>
      </w:r>
      <w:r w:rsidR="00521233" w:rsidRPr="00521233">
        <w:rPr>
          <w:rFonts w:ascii="Arial" w:hAnsi="Arial" w:cs="Arial"/>
          <w:sz w:val="24"/>
          <w:szCs w:val="24"/>
          <w:lang w:val="en-GB"/>
        </w:rPr>
        <w:t xml:space="preserve"> </w:t>
      </w:r>
      <w:r w:rsidR="00521233">
        <w:rPr>
          <w:rFonts w:ascii="Arial" w:hAnsi="Arial" w:cs="Arial"/>
          <w:sz w:val="24"/>
          <w:szCs w:val="24"/>
          <w:lang w:val="en-GB"/>
        </w:rPr>
        <w:t>L</w:t>
      </w:r>
      <w:r w:rsidR="00521233" w:rsidRPr="00521233">
        <w:rPr>
          <w:rFonts w:ascii="Arial" w:hAnsi="Arial" w:cs="Arial"/>
          <w:sz w:val="24"/>
          <w:szCs w:val="24"/>
          <w:lang w:val="en-GB"/>
        </w:rPr>
        <w:t xml:space="preserve">imited </w:t>
      </w:r>
      <w:r w:rsidR="00521233">
        <w:rPr>
          <w:rFonts w:ascii="Arial" w:hAnsi="Arial" w:cs="Arial"/>
          <w:sz w:val="24"/>
          <w:szCs w:val="24"/>
          <w:lang w:val="en-GB"/>
        </w:rPr>
        <w:t xml:space="preserve">(“Southey”) </w:t>
      </w:r>
      <w:r w:rsidR="00521233" w:rsidRPr="00521233">
        <w:rPr>
          <w:rFonts w:ascii="Arial" w:hAnsi="Arial" w:cs="Arial"/>
          <w:sz w:val="24"/>
          <w:szCs w:val="24"/>
          <w:lang w:val="en-GB"/>
        </w:rPr>
        <w:t xml:space="preserve">and </w:t>
      </w:r>
      <w:r w:rsidR="00521233">
        <w:rPr>
          <w:rFonts w:ascii="Arial" w:hAnsi="Arial" w:cs="Arial"/>
          <w:sz w:val="24"/>
          <w:szCs w:val="24"/>
          <w:lang w:val="en-GB"/>
        </w:rPr>
        <w:t>Waco</w:t>
      </w:r>
      <w:r w:rsidR="00521233" w:rsidRPr="00521233">
        <w:rPr>
          <w:rFonts w:ascii="Arial" w:hAnsi="Arial" w:cs="Arial"/>
          <w:sz w:val="24"/>
          <w:szCs w:val="24"/>
          <w:lang w:val="en-GB"/>
        </w:rPr>
        <w:t xml:space="preserve"> Africa </w:t>
      </w:r>
      <w:r w:rsidR="00521233">
        <w:rPr>
          <w:rFonts w:ascii="Arial" w:hAnsi="Arial" w:cs="Arial"/>
          <w:sz w:val="24"/>
          <w:szCs w:val="24"/>
          <w:lang w:val="en-GB"/>
        </w:rPr>
        <w:t>(</w:t>
      </w:r>
      <w:r w:rsidR="00521233" w:rsidRPr="00521233">
        <w:rPr>
          <w:rFonts w:ascii="Arial" w:hAnsi="Arial" w:cs="Arial"/>
          <w:sz w:val="24"/>
          <w:szCs w:val="24"/>
          <w:lang w:val="en-GB"/>
        </w:rPr>
        <w:t>Pty</w:t>
      </w:r>
      <w:r w:rsidR="00521233">
        <w:rPr>
          <w:rFonts w:ascii="Arial" w:hAnsi="Arial" w:cs="Arial"/>
          <w:sz w:val="24"/>
          <w:szCs w:val="24"/>
          <w:lang w:val="en-GB"/>
        </w:rPr>
        <w:t>)</w:t>
      </w:r>
      <w:r w:rsidR="00521233" w:rsidRPr="00521233">
        <w:rPr>
          <w:rFonts w:ascii="Arial" w:hAnsi="Arial" w:cs="Arial"/>
          <w:sz w:val="24"/>
          <w:szCs w:val="24"/>
          <w:lang w:val="en-GB"/>
        </w:rPr>
        <w:t xml:space="preserve"> </w:t>
      </w:r>
      <w:r w:rsidR="00521233">
        <w:rPr>
          <w:rFonts w:ascii="Arial" w:hAnsi="Arial" w:cs="Arial"/>
          <w:sz w:val="24"/>
          <w:szCs w:val="24"/>
          <w:lang w:val="en-GB"/>
        </w:rPr>
        <w:t>L</w:t>
      </w:r>
      <w:r w:rsidR="00521233" w:rsidRPr="00521233">
        <w:rPr>
          <w:rFonts w:ascii="Arial" w:hAnsi="Arial" w:cs="Arial"/>
          <w:sz w:val="24"/>
          <w:szCs w:val="24"/>
          <w:lang w:val="en-GB"/>
        </w:rPr>
        <w:t xml:space="preserve">imited trading as SGB </w:t>
      </w:r>
      <w:r w:rsidR="00521233">
        <w:rPr>
          <w:rFonts w:ascii="Arial" w:hAnsi="Arial" w:cs="Arial"/>
          <w:sz w:val="24"/>
          <w:szCs w:val="24"/>
          <w:lang w:val="en-GB"/>
        </w:rPr>
        <w:t>(</w:t>
      </w:r>
      <w:r w:rsidR="002C09DB">
        <w:rPr>
          <w:rFonts w:ascii="Arial" w:hAnsi="Arial" w:cs="Arial"/>
          <w:sz w:val="24"/>
          <w:szCs w:val="24"/>
          <w:lang w:val="en-GB"/>
        </w:rPr>
        <w:t>“</w:t>
      </w:r>
      <w:r w:rsidR="00521233" w:rsidRPr="00521233">
        <w:rPr>
          <w:rFonts w:ascii="Arial" w:hAnsi="Arial" w:cs="Arial"/>
          <w:sz w:val="24"/>
          <w:szCs w:val="24"/>
          <w:lang w:val="en-GB"/>
        </w:rPr>
        <w:t>SG</w:t>
      </w:r>
      <w:r w:rsidR="00521233">
        <w:rPr>
          <w:rFonts w:ascii="Arial" w:hAnsi="Arial" w:cs="Arial"/>
          <w:sz w:val="24"/>
          <w:szCs w:val="24"/>
          <w:lang w:val="en-GB"/>
        </w:rPr>
        <w:t>B</w:t>
      </w:r>
      <w:r w:rsidR="002C09DB">
        <w:rPr>
          <w:rFonts w:ascii="Arial" w:hAnsi="Arial" w:cs="Arial"/>
          <w:sz w:val="24"/>
          <w:szCs w:val="24"/>
          <w:lang w:val="en-GB"/>
        </w:rPr>
        <w:t>”</w:t>
      </w:r>
      <w:r w:rsidR="00521233">
        <w:rPr>
          <w:rFonts w:ascii="Arial" w:hAnsi="Arial" w:cs="Arial"/>
          <w:sz w:val="24"/>
          <w:szCs w:val="24"/>
          <w:lang w:val="en-GB"/>
        </w:rPr>
        <w:t>)</w:t>
      </w:r>
      <w:r w:rsidR="00521233" w:rsidRPr="00521233">
        <w:rPr>
          <w:rFonts w:ascii="Arial" w:hAnsi="Arial" w:cs="Arial"/>
          <w:sz w:val="24"/>
          <w:szCs w:val="24"/>
          <w:lang w:val="en-GB"/>
        </w:rPr>
        <w:t xml:space="preserve"> arising from two of three applications</w:t>
      </w:r>
      <w:r w:rsidR="00E073E0">
        <w:rPr>
          <w:rFonts w:ascii="Arial" w:hAnsi="Arial" w:cs="Arial"/>
          <w:sz w:val="24"/>
          <w:szCs w:val="24"/>
          <w:lang w:val="en-GB"/>
        </w:rPr>
        <w:t>,</w:t>
      </w:r>
      <w:r w:rsidR="00521233" w:rsidRPr="00521233">
        <w:rPr>
          <w:rFonts w:ascii="Arial" w:hAnsi="Arial" w:cs="Arial"/>
          <w:sz w:val="24"/>
          <w:szCs w:val="24"/>
          <w:lang w:val="en-GB"/>
        </w:rPr>
        <w:t xml:space="preserve"> heard together</w:t>
      </w:r>
      <w:r w:rsidR="00521233">
        <w:rPr>
          <w:rFonts w:ascii="Arial" w:hAnsi="Arial" w:cs="Arial"/>
          <w:sz w:val="24"/>
          <w:szCs w:val="24"/>
          <w:lang w:val="en-GB"/>
        </w:rPr>
        <w:t>,</w:t>
      </w:r>
      <w:r w:rsidR="00521233" w:rsidRPr="00521233">
        <w:rPr>
          <w:rFonts w:ascii="Arial" w:hAnsi="Arial" w:cs="Arial"/>
          <w:sz w:val="24"/>
          <w:szCs w:val="24"/>
          <w:lang w:val="en-GB"/>
        </w:rPr>
        <w:t xml:space="preserve"> although not consolidated</w:t>
      </w:r>
      <w:r w:rsidR="00521233">
        <w:rPr>
          <w:rFonts w:ascii="Arial" w:hAnsi="Arial" w:cs="Arial"/>
          <w:sz w:val="24"/>
          <w:szCs w:val="24"/>
          <w:lang w:val="en-GB"/>
        </w:rPr>
        <w:t>,</w:t>
      </w:r>
      <w:r w:rsidR="00521233" w:rsidRPr="00521233">
        <w:rPr>
          <w:rFonts w:ascii="Arial" w:hAnsi="Arial" w:cs="Arial"/>
          <w:sz w:val="24"/>
          <w:szCs w:val="24"/>
          <w:lang w:val="en-GB"/>
        </w:rPr>
        <w:t xml:space="preserve"> by three</w:t>
      </w:r>
      <w:r w:rsidR="00F2032C">
        <w:rPr>
          <w:rFonts w:ascii="Arial" w:hAnsi="Arial" w:cs="Arial"/>
          <w:sz w:val="24"/>
          <w:szCs w:val="24"/>
          <w:lang w:val="en-GB"/>
        </w:rPr>
        <w:t xml:space="preserve"> erstwhile</w:t>
      </w:r>
      <w:r w:rsidR="00521233" w:rsidRPr="00521233">
        <w:rPr>
          <w:rFonts w:ascii="Arial" w:hAnsi="Arial" w:cs="Arial"/>
          <w:sz w:val="24"/>
          <w:szCs w:val="24"/>
          <w:lang w:val="en-GB"/>
        </w:rPr>
        <w:t xml:space="preserve"> service providers </w:t>
      </w:r>
      <w:r w:rsidR="00521233">
        <w:rPr>
          <w:rFonts w:ascii="Arial" w:hAnsi="Arial" w:cs="Arial"/>
          <w:sz w:val="24"/>
          <w:szCs w:val="24"/>
          <w:lang w:val="en-GB"/>
        </w:rPr>
        <w:t xml:space="preserve">to </w:t>
      </w:r>
      <w:r w:rsidR="00521233" w:rsidRPr="00521233">
        <w:rPr>
          <w:rFonts w:ascii="Arial" w:hAnsi="Arial" w:cs="Arial"/>
          <w:sz w:val="24"/>
          <w:szCs w:val="24"/>
          <w:lang w:val="en-GB"/>
        </w:rPr>
        <w:t>the respondent</w:t>
      </w:r>
      <w:r w:rsidR="00E073E0">
        <w:rPr>
          <w:rFonts w:ascii="Arial" w:hAnsi="Arial" w:cs="Arial"/>
          <w:sz w:val="24"/>
          <w:szCs w:val="24"/>
          <w:lang w:val="en-GB"/>
        </w:rPr>
        <w:t>,</w:t>
      </w:r>
      <w:r w:rsidR="00521233" w:rsidRPr="00521233">
        <w:rPr>
          <w:rFonts w:ascii="Arial" w:hAnsi="Arial" w:cs="Arial"/>
          <w:sz w:val="24"/>
          <w:szCs w:val="24"/>
          <w:lang w:val="en-GB"/>
        </w:rPr>
        <w:t xml:space="preserve"> </w:t>
      </w:r>
      <w:r w:rsidR="00382A14">
        <w:rPr>
          <w:rFonts w:ascii="Arial" w:hAnsi="Arial" w:cs="Arial"/>
          <w:sz w:val="24"/>
          <w:szCs w:val="24"/>
          <w:lang w:val="en-GB"/>
        </w:rPr>
        <w:t>Eskom</w:t>
      </w:r>
      <w:r w:rsidR="00521233" w:rsidRPr="00521233">
        <w:rPr>
          <w:rFonts w:ascii="Arial" w:hAnsi="Arial" w:cs="Arial"/>
          <w:sz w:val="24"/>
          <w:szCs w:val="24"/>
          <w:lang w:val="en-GB"/>
        </w:rPr>
        <w:t xml:space="preserve"> </w:t>
      </w:r>
      <w:r w:rsidR="00521233">
        <w:rPr>
          <w:rFonts w:ascii="Arial" w:hAnsi="Arial" w:cs="Arial"/>
          <w:sz w:val="24"/>
          <w:szCs w:val="24"/>
          <w:lang w:val="en-GB"/>
        </w:rPr>
        <w:t>SOC</w:t>
      </w:r>
      <w:r w:rsidR="00521233" w:rsidRPr="00521233">
        <w:rPr>
          <w:rFonts w:ascii="Arial" w:hAnsi="Arial" w:cs="Arial"/>
          <w:sz w:val="24"/>
          <w:szCs w:val="24"/>
          <w:lang w:val="en-GB"/>
        </w:rPr>
        <w:t xml:space="preserve"> </w:t>
      </w:r>
      <w:r w:rsidR="00521233">
        <w:rPr>
          <w:rFonts w:ascii="Arial" w:hAnsi="Arial" w:cs="Arial"/>
          <w:sz w:val="24"/>
          <w:szCs w:val="24"/>
          <w:lang w:val="en-GB"/>
        </w:rPr>
        <w:t>L</w:t>
      </w:r>
      <w:r w:rsidR="00521233" w:rsidRPr="00521233">
        <w:rPr>
          <w:rFonts w:ascii="Arial" w:hAnsi="Arial" w:cs="Arial"/>
          <w:sz w:val="24"/>
          <w:szCs w:val="24"/>
          <w:lang w:val="en-GB"/>
        </w:rPr>
        <w:t xml:space="preserve">imited </w:t>
      </w:r>
      <w:r w:rsidR="00521233">
        <w:rPr>
          <w:rFonts w:ascii="Arial" w:hAnsi="Arial" w:cs="Arial"/>
          <w:sz w:val="24"/>
          <w:szCs w:val="24"/>
          <w:lang w:val="en-GB"/>
        </w:rPr>
        <w:t>(“</w:t>
      </w:r>
      <w:r w:rsidR="00382A14">
        <w:rPr>
          <w:rFonts w:ascii="Arial" w:hAnsi="Arial" w:cs="Arial"/>
          <w:sz w:val="24"/>
          <w:szCs w:val="24"/>
          <w:lang w:val="en-GB"/>
        </w:rPr>
        <w:t>Eskom</w:t>
      </w:r>
      <w:r w:rsidR="00521233">
        <w:rPr>
          <w:rFonts w:ascii="Arial" w:hAnsi="Arial" w:cs="Arial"/>
          <w:sz w:val="24"/>
          <w:szCs w:val="24"/>
          <w:lang w:val="en-GB"/>
        </w:rPr>
        <w:t>”)</w:t>
      </w:r>
      <w:r w:rsidR="00E073E0">
        <w:rPr>
          <w:rFonts w:ascii="Arial" w:hAnsi="Arial" w:cs="Arial"/>
          <w:sz w:val="24"/>
          <w:szCs w:val="24"/>
          <w:lang w:val="en-GB"/>
        </w:rPr>
        <w:t>,</w:t>
      </w:r>
      <w:r w:rsidR="00521233" w:rsidRPr="00521233">
        <w:rPr>
          <w:rFonts w:ascii="Arial" w:hAnsi="Arial" w:cs="Arial"/>
          <w:sz w:val="24"/>
          <w:szCs w:val="24"/>
          <w:lang w:val="en-GB"/>
        </w:rPr>
        <w:t xml:space="preserve"> for the provision</w:t>
      </w:r>
      <w:r w:rsidR="00521233">
        <w:rPr>
          <w:rFonts w:ascii="Arial" w:hAnsi="Arial" w:cs="Arial"/>
          <w:sz w:val="24"/>
          <w:szCs w:val="24"/>
          <w:lang w:val="en-GB"/>
        </w:rPr>
        <w:t>,</w:t>
      </w:r>
      <w:r w:rsidR="00521233" w:rsidRPr="00521233">
        <w:rPr>
          <w:rFonts w:ascii="Arial" w:hAnsi="Arial" w:cs="Arial"/>
          <w:sz w:val="24"/>
          <w:szCs w:val="24"/>
          <w:lang w:val="en-GB"/>
        </w:rPr>
        <w:t xml:space="preserve"> supply erection and dismantling of scaffolding</w:t>
      </w:r>
      <w:r w:rsidR="00521233">
        <w:rPr>
          <w:rFonts w:ascii="Arial" w:hAnsi="Arial" w:cs="Arial"/>
          <w:sz w:val="24"/>
          <w:szCs w:val="24"/>
          <w:lang w:val="en-GB"/>
        </w:rPr>
        <w:t xml:space="preserve"> </w:t>
      </w:r>
      <w:r w:rsidR="00521233" w:rsidRPr="00521233">
        <w:rPr>
          <w:rFonts w:ascii="Arial" w:hAnsi="Arial" w:cs="Arial"/>
          <w:sz w:val="24"/>
          <w:szCs w:val="24"/>
          <w:lang w:val="en-GB"/>
        </w:rPr>
        <w:t xml:space="preserve">and removal and replacement of insulation material at </w:t>
      </w:r>
      <w:r w:rsidR="00382A14">
        <w:rPr>
          <w:rFonts w:ascii="Arial" w:hAnsi="Arial" w:cs="Arial"/>
          <w:sz w:val="24"/>
          <w:szCs w:val="24"/>
          <w:lang w:val="en-GB"/>
        </w:rPr>
        <w:t>Eskom</w:t>
      </w:r>
      <w:r w:rsidR="002C09DB">
        <w:rPr>
          <w:rFonts w:ascii="Arial" w:hAnsi="Arial" w:cs="Arial"/>
          <w:sz w:val="24"/>
          <w:szCs w:val="24"/>
          <w:lang w:val="en-GB"/>
        </w:rPr>
        <w:t>’s fifteen</w:t>
      </w:r>
      <w:r w:rsidR="00521233" w:rsidRPr="00521233">
        <w:rPr>
          <w:rFonts w:ascii="Arial" w:hAnsi="Arial" w:cs="Arial"/>
          <w:sz w:val="24"/>
          <w:szCs w:val="24"/>
          <w:lang w:val="en-GB"/>
        </w:rPr>
        <w:t xml:space="preserve"> coal-fired power stations</w:t>
      </w:r>
      <w:r w:rsidR="002C09DB">
        <w:rPr>
          <w:rFonts w:ascii="Arial" w:hAnsi="Arial" w:cs="Arial"/>
          <w:sz w:val="24"/>
          <w:szCs w:val="24"/>
          <w:lang w:val="en-GB"/>
        </w:rPr>
        <w:t>. T</w:t>
      </w:r>
      <w:r w:rsidR="00521233" w:rsidRPr="00521233">
        <w:rPr>
          <w:rFonts w:ascii="Arial" w:hAnsi="Arial" w:cs="Arial"/>
          <w:sz w:val="24"/>
          <w:szCs w:val="24"/>
          <w:lang w:val="en-GB"/>
        </w:rPr>
        <w:t xml:space="preserve">he </w:t>
      </w:r>
      <w:r w:rsidR="002C09DB">
        <w:rPr>
          <w:rFonts w:ascii="Arial" w:hAnsi="Arial" w:cs="Arial"/>
          <w:sz w:val="24"/>
          <w:szCs w:val="24"/>
          <w:lang w:val="en-GB"/>
        </w:rPr>
        <w:t>court a quo</w:t>
      </w:r>
      <w:r w:rsidR="00521233" w:rsidRPr="00521233">
        <w:rPr>
          <w:rFonts w:ascii="Arial" w:hAnsi="Arial" w:cs="Arial"/>
          <w:sz w:val="24"/>
          <w:szCs w:val="24"/>
          <w:lang w:val="en-GB"/>
        </w:rPr>
        <w:t xml:space="preserve"> </w:t>
      </w:r>
      <w:r w:rsidR="002C09DB">
        <w:rPr>
          <w:rFonts w:ascii="Arial" w:hAnsi="Arial" w:cs="Arial"/>
          <w:sz w:val="24"/>
          <w:szCs w:val="24"/>
          <w:lang w:val="en-GB"/>
        </w:rPr>
        <w:t>(</w:t>
      </w:r>
      <w:r w:rsidR="00521233" w:rsidRPr="00521233">
        <w:rPr>
          <w:rFonts w:ascii="Arial" w:hAnsi="Arial" w:cs="Arial"/>
          <w:sz w:val="24"/>
          <w:szCs w:val="24"/>
          <w:lang w:val="en-GB"/>
        </w:rPr>
        <w:t>Adams J</w:t>
      </w:r>
      <w:r w:rsidR="002C09DB">
        <w:rPr>
          <w:rFonts w:ascii="Arial" w:hAnsi="Arial" w:cs="Arial"/>
          <w:sz w:val="24"/>
          <w:szCs w:val="24"/>
          <w:lang w:val="en-GB"/>
        </w:rPr>
        <w:t xml:space="preserve">) </w:t>
      </w:r>
      <w:r w:rsidR="00521233" w:rsidRPr="00521233">
        <w:rPr>
          <w:rFonts w:ascii="Arial" w:hAnsi="Arial" w:cs="Arial"/>
          <w:sz w:val="24"/>
          <w:szCs w:val="24"/>
          <w:lang w:val="en-GB"/>
        </w:rPr>
        <w:t xml:space="preserve">heard the </w:t>
      </w:r>
      <w:r w:rsidR="002C09DB">
        <w:rPr>
          <w:rFonts w:ascii="Arial" w:hAnsi="Arial" w:cs="Arial"/>
          <w:sz w:val="24"/>
          <w:szCs w:val="24"/>
          <w:lang w:val="en-GB"/>
        </w:rPr>
        <w:t>matters</w:t>
      </w:r>
      <w:r w:rsidR="00521233" w:rsidRPr="00521233">
        <w:rPr>
          <w:rFonts w:ascii="Arial" w:hAnsi="Arial" w:cs="Arial"/>
          <w:sz w:val="24"/>
          <w:szCs w:val="24"/>
          <w:lang w:val="en-GB"/>
        </w:rPr>
        <w:t xml:space="preserve"> together and issued a single judgment </w:t>
      </w:r>
      <w:r w:rsidR="000C2BEA">
        <w:rPr>
          <w:rFonts w:ascii="Arial" w:hAnsi="Arial" w:cs="Arial"/>
          <w:sz w:val="24"/>
          <w:szCs w:val="24"/>
          <w:lang w:val="en-GB"/>
        </w:rPr>
        <w:t>dismissing</w:t>
      </w:r>
      <w:r w:rsidR="000C2BEA" w:rsidRPr="00521233">
        <w:rPr>
          <w:rFonts w:ascii="Arial" w:hAnsi="Arial" w:cs="Arial"/>
          <w:sz w:val="24"/>
          <w:szCs w:val="24"/>
          <w:lang w:val="en-GB"/>
        </w:rPr>
        <w:t xml:space="preserve"> </w:t>
      </w:r>
      <w:r w:rsidR="00521233" w:rsidRPr="00521233">
        <w:rPr>
          <w:rFonts w:ascii="Arial" w:hAnsi="Arial" w:cs="Arial"/>
          <w:sz w:val="24"/>
          <w:szCs w:val="24"/>
          <w:lang w:val="en-GB"/>
        </w:rPr>
        <w:t xml:space="preserve">all </w:t>
      </w:r>
      <w:r w:rsidR="00521233" w:rsidRPr="00521233">
        <w:rPr>
          <w:rFonts w:ascii="Arial" w:hAnsi="Arial" w:cs="Arial"/>
          <w:sz w:val="24"/>
          <w:szCs w:val="24"/>
          <w:lang w:val="en-GB"/>
        </w:rPr>
        <w:lastRenderedPageBreak/>
        <w:t xml:space="preserve">three </w:t>
      </w:r>
      <w:r w:rsidR="000C2BEA">
        <w:rPr>
          <w:rFonts w:ascii="Arial" w:hAnsi="Arial" w:cs="Arial"/>
          <w:sz w:val="24"/>
          <w:szCs w:val="24"/>
          <w:lang w:val="en-GB"/>
        </w:rPr>
        <w:t>applications.</w:t>
      </w:r>
      <w:r w:rsidR="000B2A4D">
        <w:rPr>
          <w:rFonts w:ascii="Arial" w:hAnsi="Arial" w:cs="Arial"/>
          <w:sz w:val="24"/>
          <w:szCs w:val="24"/>
          <w:lang w:val="en-GB"/>
        </w:rPr>
        <w:t xml:space="preserve"> </w:t>
      </w:r>
      <w:r w:rsidR="000C2BEA">
        <w:rPr>
          <w:rFonts w:ascii="Arial" w:hAnsi="Arial" w:cs="Arial"/>
          <w:sz w:val="24"/>
          <w:szCs w:val="24"/>
          <w:lang w:val="en-GB"/>
        </w:rPr>
        <w:t>O</w:t>
      </w:r>
      <w:r w:rsidR="00521233" w:rsidRPr="00521233">
        <w:rPr>
          <w:rFonts w:ascii="Arial" w:hAnsi="Arial" w:cs="Arial"/>
          <w:sz w:val="24"/>
          <w:szCs w:val="24"/>
          <w:lang w:val="en-GB"/>
        </w:rPr>
        <w:t xml:space="preserve">ne of the applicants in the </w:t>
      </w:r>
      <w:r w:rsidR="002C09DB">
        <w:rPr>
          <w:rFonts w:ascii="Arial" w:hAnsi="Arial" w:cs="Arial"/>
          <w:sz w:val="24"/>
          <w:szCs w:val="24"/>
          <w:lang w:val="en-GB"/>
        </w:rPr>
        <w:t>court</w:t>
      </w:r>
      <w:r w:rsidR="002C09DB" w:rsidRPr="008248AF">
        <w:rPr>
          <w:rFonts w:ascii="Arial" w:hAnsi="Arial" w:cs="Arial"/>
          <w:i/>
          <w:sz w:val="24"/>
          <w:szCs w:val="24"/>
          <w:lang w:val="en-GB"/>
        </w:rPr>
        <w:t xml:space="preserve"> a quo</w:t>
      </w:r>
      <w:r w:rsidR="002C09DB">
        <w:rPr>
          <w:rFonts w:ascii="Arial" w:hAnsi="Arial" w:cs="Arial"/>
          <w:sz w:val="24"/>
          <w:szCs w:val="24"/>
          <w:lang w:val="en-GB"/>
        </w:rPr>
        <w:t>,</w:t>
      </w:r>
      <w:r w:rsidR="003A56DC">
        <w:rPr>
          <w:rFonts w:ascii="Arial" w:hAnsi="Arial" w:cs="Arial"/>
          <w:sz w:val="24"/>
          <w:szCs w:val="24"/>
          <w:lang w:val="en-GB"/>
        </w:rPr>
        <w:t xml:space="preserve"> </w:t>
      </w:r>
      <w:r w:rsidR="002C09DB">
        <w:rPr>
          <w:rFonts w:ascii="Arial" w:hAnsi="Arial" w:cs="Arial"/>
          <w:sz w:val="24"/>
          <w:szCs w:val="24"/>
          <w:lang w:val="en-GB"/>
        </w:rPr>
        <w:t>TMS</w:t>
      </w:r>
      <w:r w:rsidR="00521233" w:rsidRPr="00521233">
        <w:rPr>
          <w:rFonts w:ascii="Arial" w:hAnsi="Arial" w:cs="Arial"/>
          <w:sz w:val="24"/>
          <w:szCs w:val="24"/>
          <w:lang w:val="en-GB"/>
        </w:rPr>
        <w:t xml:space="preserve"> </w:t>
      </w:r>
      <w:r w:rsidR="002C09DB">
        <w:rPr>
          <w:rFonts w:ascii="Arial" w:hAnsi="Arial" w:cs="Arial"/>
          <w:sz w:val="24"/>
          <w:szCs w:val="24"/>
          <w:lang w:val="en-GB"/>
        </w:rPr>
        <w:t>G</w:t>
      </w:r>
      <w:r w:rsidR="00521233" w:rsidRPr="00521233">
        <w:rPr>
          <w:rFonts w:ascii="Arial" w:hAnsi="Arial" w:cs="Arial"/>
          <w:sz w:val="24"/>
          <w:szCs w:val="24"/>
          <w:lang w:val="en-GB"/>
        </w:rPr>
        <w:t xml:space="preserve">roup </w:t>
      </w:r>
      <w:r w:rsidR="002C09DB">
        <w:rPr>
          <w:rFonts w:ascii="Arial" w:hAnsi="Arial" w:cs="Arial"/>
          <w:sz w:val="24"/>
          <w:szCs w:val="24"/>
          <w:lang w:val="en-GB"/>
        </w:rPr>
        <w:t>I</w:t>
      </w:r>
      <w:r w:rsidR="00521233" w:rsidRPr="00521233">
        <w:rPr>
          <w:rFonts w:ascii="Arial" w:hAnsi="Arial" w:cs="Arial"/>
          <w:sz w:val="24"/>
          <w:szCs w:val="24"/>
          <w:lang w:val="en-GB"/>
        </w:rPr>
        <w:t xml:space="preserve">ndustrial </w:t>
      </w:r>
      <w:r w:rsidR="002C09DB">
        <w:rPr>
          <w:rFonts w:ascii="Arial" w:hAnsi="Arial" w:cs="Arial"/>
          <w:sz w:val="24"/>
          <w:szCs w:val="24"/>
          <w:lang w:val="en-GB"/>
        </w:rPr>
        <w:t>S</w:t>
      </w:r>
      <w:r w:rsidR="00521233" w:rsidRPr="00521233">
        <w:rPr>
          <w:rFonts w:ascii="Arial" w:hAnsi="Arial" w:cs="Arial"/>
          <w:sz w:val="24"/>
          <w:szCs w:val="24"/>
          <w:lang w:val="en-GB"/>
        </w:rPr>
        <w:t xml:space="preserve">ervices </w:t>
      </w:r>
      <w:r w:rsidR="002C09DB">
        <w:rPr>
          <w:rFonts w:ascii="Arial" w:hAnsi="Arial" w:cs="Arial"/>
          <w:sz w:val="24"/>
          <w:szCs w:val="24"/>
          <w:lang w:val="en-GB"/>
        </w:rPr>
        <w:t>L</w:t>
      </w:r>
      <w:r w:rsidR="00521233" w:rsidRPr="00521233">
        <w:rPr>
          <w:rFonts w:ascii="Arial" w:hAnsi="Arial" w:cs="Arial"/>
          <w:sz w:val="24"/>
          <w:szCs w:val="24"/>
          <w:lang w:val="en-GB"/>
        </w:rPr>
        <w:t>imited</w:t>
      </w:r>
      <w:r w:rsidR="002C09DB">
        <w:rPr>
          <w:rFonts w:ascii="Arial" w:hAnsi="Arial" w:cs="Arial"/>
          <w:sz w:val="24"/>
          <w:szCs w:val="24"/>
          <w:lang w:val="en-GB"/>
        </w:rPr>
        <w:t xml:space="preserve"> (“</w:t>
      </w:r>
      <w:r w:rsidR="00521233" w:rsidRPr="00521233">
        <w:rPr>
          <w:rFonts w:ascii="Arial" w:hAnsi="Arial" w:cs="Arial"/>
          <w:sz w:val="24"/>
          <w:szCs w:val="24"/>
          <w:lang w:val="en-GB"/>
        </w:rPr>
        <w:t>TMS</w:t>
      </w:r>
      <w:r w:rsidR="002C09DB">
        <w:rPr>
          <w:rFonts w:ascii="Arial" w:hAnsi="Arial" w:cs="Arial"/>
          <w:sz w:val="24"/>
          <w:szCs w:val="24"/>
          <w:lang w:val="en-GB"/>
        </w:rPr>
        <w:t>”)</w:t>
      </w:r>
      <w:r w:rsidR="00112C46">
        <w:rPr>
          <w:rFonts w:ascii="Arial" w:hAnsi="Arial" w:cs="Arial"/>
          <w:sz w:val="24"/>
          <w:szCs w:val="24"/>
          <w:lang w:val="en-GB"/>
        </w:rPr>
        <w:t>,</w:t>
      </w:r>
      <w:r w:rsidR="00521233" w:rsidRPr="00521233">
        <w:rPr>
          <w:rFonts w:ascii="Arial" w:hAnsi="Arial" w:cs="Arial"/>
          <w:sz w:val="24"/>
          <w:szCs w:val="24"/>
          <w:lang w:val="en-GB"/>
        </w:rPr>
        <w:t xml:space="preserve"> takes no further part in this matter</w:t>
      </w:r>
      <w:r w:rsidR="00066679">
        <w:rPr>
          <w:rFonts w:ascii="Arial" w:hAnsi="Arial" w:cs="Arial"/>
          <w:sz w:val="24"/>
          <w:szCs w:val="24"/>
          <w:lang w:val="en-GB"/>
        </w:rPr>
        <w:t>.</w:t>
      </w:r>
    </w:p>
    <w:p w14:paraId="58BE04E5" w14:textId="53138735" w:rsidR="004275CB" w:rsidRDefault="002E7E32" w:rsidP="000767F7">
      <w:pPr>
        <w:spacing w:after="0"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521233" w:rsidRPr="00521233">
        <w:rPr>
          <w:rFonts w:ascii="Arial" w:hAnsi="Arial" w:cs="Arial"/>
          <w:sz w:val="24"/>
          <w:szCs w:val="24"/>
          <w:lang w:val="en-GB"/>
        </w:rPr>
        <w:t xml:space="preserve"> </w:t>
      </w:r>
      <w:r>
        <w:rPr>
          <w:rFonts w:ascii="Arial" w:hAnsi="Arial" w:cs="Arial"/>
          <w:sz w:val="24"/>
          <w:szCs w:val="24"/>
          <w:lang w:val="en-GB"/>
        </w:rPr>
        <w:t>A</w:t>
      </w:r>
      <w:r w:rsidR="00521233" w:rsidRPr="00521233">
        <w:rPr>
          <w:rFonts w:ascii="Arial" w:hAnsi="Arial" w:cs="Arial"/>
          <w:sz w:val="24"/>
          <w:szCs w:val="24"/>
          <w:lang w:val="en-GB"/>
        </w:rPr>
        <w:t>s unsuccessful tenderers</w:t>
      </w:r>
      <w:r w:rsidR="009F0210">
        <w:rPr>
          <w:rFonts w:ascii="Arial" w:hAnsi="Arial" w:cs="Arial"/>
          <w:sz w:val="24"/>
          <w:szCs w:val="24"/>
          <w:lang w:val="en-GB"/>
        </w:rPr>
        <w:t>,</w:t>
      </w:r>
      <w:r w:rsidR="00521233" w:rsidRPr="00521233">
        <w:rPr>
          <w:rFonts w:ascii="Arial" w:hAnsi="Arial" w:cs="Arial"/>
          <w:sz w:val="24"/>
          <w:szCs w:val="24"/>
          <w:lang w:val="en-GB"/>
        </w:rPr>
        <w:t xml:space="preserve"> the three applicants </w:t>
      </w:r>
      <w:r w:rsidR="009F0210">
        <w:rPr>
          <w:rFonts w:ascii="Arial" w:hAnsi="Arial" w:cs="Arial"/>
          <w:sz w:val="24"/>
          <w:szCs w:val="24"/>
          <w:lang w:val="en-GB"/>
        </w:rPr>
        <w:t>(</w:t>
      </w:r>
      <w:r w:rsidR="00521233" w:rsidRPr="00521233">
        <w:rPr>
          <w:rFonts w:ascii="Arial" w:hAnsi="Arial" w:cs="Arial"/>
          <w:sz w:val="24"/>
          <w:szCs w:val="24"/>
          <w:lang w:val="en-GB"/>
        </w:rPr>
        <w:t>in the court below</w:t>
      </w:r>
      <w:r w:rsidR="009F0210">
        <w:rPr>
          <w:rFonts w:ascii="Arial" w:hAnsi="Arial" w:cs="Arial"/>
          <w:sz w:val="24"/>
          <w:szCs w:val="24"/>
          <w:lang w:val="en-GB"/>
        </w:rPr>
        <w:t xml:space="preserve">) </w:t>
      </w:r>
      <w:r w:rsidR="00521233" w:rsidRPr="00521233">
        <w:rPr>
          <w:rFonts w:ascii="Arial" w:hAnsi="Arial" w:cs="Arial"/>
          <w:sz w:val="24"/>
          <w:szCs w:val="24"/>
          <w:lang w:val="en-GB"/>
        </w:rPr>
        <w:t>appl</w:t>
      </w:r>
      <w:r w:rsidR="001C41E3">
        <w:rPr>
          <w:rFonts w:ascii="Arial" w:hAnsi="Arial" w:cs="Arial"/>
          <w:sz w:val="24"/>
          <w:szCs w:val="24"/>
          <w:lang w:val="en-GB"/>
        </w:rPr>
        <w:t>ied</w:t>
      </w:r>
      <w:r w:rsidR="00521233" w:rsidRPr="00521233">
        <w:rPr>
          <w:rFonts w:ascii="Arial" w:hAnsi="Arial" w:cs="Arial"/>
          <w:sz w:val="24"/>
          <w:szCs w:val="24"/>
          <w:lang w:val="en-GB"/>
        </w:rPr>
        <w:t xml:space="preserve"> to review</w:t>
      </w:r>
      <w:r w:rsidR="001C41E3">
        <w:rPr>
          <w:rFonts w:ascii="Arial" w:hAnsi="Arial" w:cs="Arial"/>
          <w:sz w:val="24"/>
          <w:szCs w:val="24"/>
          <w:lang w:val="en-GB"/>
        </w:rPr>
        <w:t xml:space="preserve"> the validity</w:t>
      </w:r>
      <w:r w:rsidR="00521233" w:rsidRPr="00521233">
        <w:rPr>
          <w:rFonts w:ascii="Arial" w:hAnsi="Arial" w:cs="Arial"/>
          <w:sz w:val="24"/>
          <w:szCs w:val="24"/>
          <w:lang w:val="en-GB"/>
        </w:rPr>
        <w:t xml:space="preserve"> of </w:t>
      </w:r>
      <w:r w:rsidR="00382A14">
        <w:rPr>
          <w:rFonts w:ascii="Arial" w:hAnsi="Arial" w:cs="Arial"/>
          <w:sz w:val="24"/>
          <w:szCs w:val="24"/>
          <w:lang w:val="en-GB"/>
        </w:rPr>
        <w:t>Eskom</w:t>
      </w:r>
      <w:r w:rsidR="00521233" w:rsidRPr="00521233">
        <w:rPr>
          <w:rFonts w:ascii="Arial" w:hAnsi="Arial" w:cs="Arial"/>
          <w:sz w:val="24"/>
          <w:szCs w:val="24"/>
          <w:lang w:val="en-GB"/>
        </w:rPr>
        <w:t>'s tender process and the awarding of the tender con</w:t>
      </w:r>
      <w:r w:rsidR="001C41E3">
        <w:rPr>
          <w:rFonts w:ascii="Arial" w:hAnsi="Arial" w:cs="Arial"/>
          <w:sz w:val="24"/>
          <w:szCs w:val="24"/>
          <w:lang w:val="en-GB"/>
        </w:rPr>
        <w:t>tracts</w:t>
      </w:r>
      <w:r w:rsidR="00521233" w:rsidRPr="00521233">
        <w:rPr>
          <w:rFonts w:ascii="Arial" w:hAnsi="Arial" w:cs="Arial"/>
          <w:sz w:val="24"/>
          <w:szCs w:val="24"/>
          <w:lang w:val="en-GB"/>
        </w:rPr>
        <w:t xml:space="preserve"> to successful tenderers</w:t>
      </w:r>
      <w:r w:rsidR="001C41E3">
        <w:rPr>
          <w:rFonts w:ascii="Arial" w:hAnsi="Arial" w:cs="Arial"/>
          <w:sz w:val="24"/>
          <w:szCs w:val="24"/>
          <w:lang w:val="en-GB"/>
        </w:rPr>
        <w:t xml:space="preserve">, being </w:t>
      </w:r>
      <w:r w:rsidR="00521233" w:rsidRPr="00521233">
        <w:rPr>
          <w:rFonts w:ascii="Arial" w:hAnsi="Arial" w:cs="Arial"/>
          <w:sz w:val="24"/>
          <w:szCs w:val="24"/>
          <w:lang w:val="en-GB"/>
        </w:rPr>
        <w:t>respondent</w:t>
      </w:r>
      <w:r w:rsidR="00B62FB3">
        <w:rPr>
          <w:rFonts w:ascii="Arial" w:hAnsi="Arial" w:cs="Arial"/>
          <w:sz w:val="24"/>
          <w:szCs w:val="24"/>
          <w:lang w:val="en-GB"/>
        </w:rPr>
        <w:t>s</w:t>
      </w:r>
      <w:r w:rsidR="00521233" w:rsidRPr="00521233">
        <w:rPr>
          <w:rFonts w:ascii="Arial" w:hAnsi="Arial" w:cs="Arial"/>
          <w:sz w:val="24"/>
          <w:szCs w:val="24"/>
          <w:lang w:val="en-GB"/>
        </w:rPr>
        <w:t xml:space="preserve"> in the matter</w:t>
      </w:r>
      <w:r w:rsidR="001C41E3">
        <w:rPr>
          <w:rFonts w:ascii="Arial" w:hAnsi="Arial" w:cs="Arial"/>
          <w:sz w:val="24"/>
          <w:szCs w:val="24"/>
          <w:lang w:val="en-GB"/>
        </w:rPr>
        <w:t>.</w:t>
      </w:r>
      <w:r w:rsidR="00521233" w:rsidRPr="00521233">
        <w:rPr>
          <w:rFonts w:ascii="Arial" w:hAnsi="Arial" w:cs="Arial"/>
          <w:sz w:val="24"/>
          <w:szCs w:val="24"/>
          <w:lang w:val="en-GB"/>
        </w:rPr>
        <w:t xml:space="preserve"> </w:t>
      </w:r>
      <w:r w:rsidR="004275CB">
        <w:rPr>
          <w:rFonts w:ascii="Arial" w:hAnsi="Arial" w:cs="Arial"/>
          <w:sz w:val="24"/>
          <w:szCs w:val="24"/>
          <w:lang w:val="en-GB"/>
        </w:rPr>
        <w:t>Th</w:t>
      </w:r>
      <w:r w:rsidR="00521233" w:rsidRPr="00521233">
        <w:rPr>
          <w:rFonts w:ascii="Arial" w:hAnsi="Arial" w:cs="Arial"/>
          <w:sz w:val="24"/>
          <w:szCs w:val="24"/>
          <w:lang w:val="en-GB"/>
        </w:rPr>
        <w:t xml:space="preserve">e court </w:t>
      </w:r>
      <w:r w:rsidR="004275CB">
        <w:rPr>
          <w:rFonts w:ascii="Arial" w:hAnsi="Arial" w:cs="Arial"/>
          <w:sz w:val="24"/>
          <w:szCs w:val="24"/>
          <w:lang w:val="en-GB"/>
        </w:rPr>
        <w:t>a quo’s</w:t>
      </w:r>
      <w:r w:rsidR="00521233" w:rsidRPr="00521233">
        <w:rPr>
          <w:rFonts w:ascii="Arial" w:hAnsi="Arial" w:cs="Arial"/>
          <w:sz w:val="24"/>
          <w:szCs w:val="24"/>
          <w:lang w:val="en-GB"/>
        </w:rPr>
        <w:t xml:space="preserve"> judgment was delivered on </w:t>
      </w:r>
      <w:r w:rsidR="004275CB">
        <w:rPr>
          <w:rFonts w:ascii="Arial" w:hAnsi="Arial" w:cs="Arial"/>
          <w:sz w:val="24"/>
          <w:szCs w:val="24"/>
          <w:lang w:val="en-GB"/>
        </w:rPr>
        <w:t>2</w:t>
      </w:r>
      <w:r w:rsidR="00521233" w:rsidRPr="00521233">
        <w:rPr>
          <w:rFonts w:ascii="Arial" w:hAnsi="Arial" w:cs="Arial"/>
          <w:sz w:val="24"/>
          <w:szCs w:val="24"/>
          <w:lang w:val="en-GB"/>
        </w:rPr>
        <w:t xml:space="preserve"> September 2022</w:t>
      </w:r>
      <w:r w:rsidR="004275CB">
        <w:rPr>
          <w:rFonts w:ascii="Arial" w:hAnsi="Arial" w:cs="Arial"/>
          <w:sz w:val="24"/>
          <w:szCs w:val="24"/>
          <w:lang w:val="en-GB"/>
        </w:rPr>
        <w:t>,</w:t>
      </w:r>
      <w:r w:rsidR="00521233" w:rsidRPr="00521233">
        <w:rPr>
          <w:rFonts w:ascii="Arial" w:hAnsi="Arial" w:cs="Arial"/>
          <w:sz w:val="24"/>
          <w:szCs w:val="24"/>
          <w:lang w:val="en-GB"/>
        </w:rPr>
        <w:t xml:space="preserve"> </w:t>
      </w:r>
      <w:r w:rsidR="000C2BEA">
        <w:rPr>
          <w:rFonts w:ascii="Arial" w:hAnsi="Arial" w:cs="Arial"/>
          <w:sz w:val="24"/>
          <w:szCs w:val="24"/>
          <w:lang w:val="en-GB"/>
        </w:rPr>
        <w:t>and the</w:t>
      </w:r>
      <w:r w:rsidR="00521233" w:rsidRPr="00521233">
        <w:rPr>
          <w:rFonts w:ascii="Arial" w:hAnsi="Arial" w:cs="Arial"/>
          <w:sz w:val="24"/>
          <w:szCs w:val="24"/>
          <w:lang w:val="en-GB"/>
        </w:rPr>
        <w:t xml:space="preserve"> two </w:t>
      </w:r>
      <w:r w:rsidR="004275CB">
        <w:rPr>
          <w:rFonts w:ascii="Arial" w:hAnsi="Arial" w:cs="Arial"/>
          <w:sz w:val="24"/>
          <w:szCs w:val="24"/>
          <w:lang w:val="en-GB"/>
        </w:rPr>
        <w:t>appellants</w:t>
      </w:r>
      <w:r w:rsidR="000C2BEA">
        <w:rPr>
          <w:rFonts w:ascii="Arial" w:hAnsi="Arial" w:cs="Arial"/>
          <w:sz w:val="24"/>
          <w:szCs w:val="24"/>
          <w:lang w:val="en-GB"/>
        </w:rPr>
        <w:t xml:space="preserve"> </w:t>
      </w:r>
      <w:r w:rsidR="00521233" w:rsidRPr="00521233">
        <w:rPr>
          <w:rFonts w:ascii="Arial" w:hAnsi="Arial" w:cs="Arial"/>
          <w:sz w:val="24"/>
          <w:szCs w:val="24"/>
          <w:lang w:val="en-GB"/>
        </w:rPr>
        <w:t>were granted leave to appeal on 21 October 2022</w:t>
      </w:r>
      <w:r w:rsidR="004275CB">
        <w:rPr>
          <w:rFonts w:ascii="Arial" w:hAnsi="Arial" w:cs="Arial"/>
          <w:sz w:val="24"/>
          <w:szCs w:val="24"/>
          <w:lang w:val="en-GB"/>
        </w:rPr>
        <w:t>.</w:t>
      </w:r>
      <w:r w:rsidR="00521233" w:rsidRPr="00521233">
        <w:rPr>
          <w:rFonts w:ascii="Arial" w:hAnsi="Arial" w:cs="Arial"/>
          <w:sz w:val="24"/>
          <w:szCs w:val="24"/>
          <w:lang w:val="en-GB"/>
        </w:rPr>
        <w:t xml:space="preserve"> </w:t>
      </w:r>
    </w:p>
    <w:p w14:paraId="2CFA9425" w14:textId="7098AA05" w:rsidR="00737560" w:rsidRDefault="004275CB" w:rsidP="000767F7">
      <w:pPr>
        <w:spacing w:after="0" w:line="48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w:t>
      </w:r>
      <w:r w:rsidR="00521233" w:rsidRPr="00521233">
        <w:rPr>
          <w:rFonts w:ascii="Arial" w:hAnsi="Arial" w:cs="Arial"/>
          <w:sz w:val="24"/>
          <w:szCs w:val="24"/>
          <w:lang w:val="en-GB"/>
        </w:rPr>
        <w:t xml:space="preserve">t is common cause </w:t>
      </w:r>
      <w:r>
        <w:rPr>
          <w:rFonts w:ascii="Arial" w:hAnsi="Arial" w:cs="Arial"/>
          <w:sz w:val="24"/>
          <w:szCs w:val="24"/>
          <w:lang w:val="en-GB"/>
        </w:rPr>
        <w:t>that the procurement</w:t>
      </w:r>
      <w:r w:rsidR="00521233" w:rsidRPr="00521233">
        <w:rPr>
          <w:rFonts w:ascii="Arial" w:hAnsi="Arial" w:cs="Arial"/>
          <w:sz w:val="24"/>
          <w:szCs w:val="24"/>
          <w:lang w:val="en-GB"/>
        </w:rPr>
        <w:t xml:space="preserve"> </w:t>
      </w:r>
      <w:r>
        <w:rPr>
          <w:rFonts w:ascii="Arial" w:hAnsi="Arial" w:cs="Arial"/>
          <w:sz w:val="24"/>
          <w:szCs w:val="24"/>
          <w:lang w:val="en-GB"/>
        </w:rPr>
        <w:t xml:space="preserve">of </w:t>
      </w:r>
      <w:r w:rsidR="00521233" w:rsidRPr="00521233">
        <w:rPr>
          <w:rFonts w:ascii="Arial" w:hAnsi="Arial" w:cs="Arial"/>
          <w:sz w:val="24"/>
          <w:szCs w:val="24"/>
          <w:lang w:val="en-GB"/>
        </w:rPr>
        <w:t xml:space="preserve">the goods and services by </w:t>
      </w:r>
      <w:r w:rsidR="00382A14">
        <w:rPr>
          <w:rFonts w:ascii="Arial" w:hAnsi="Arial" w:cs="Arial"/>
          <w:sz w:val="24"/>
          <w:szCs w:val="24"/>
          <w:lang w:val="en-GB"/>
        </w:rPr>
        <w:t>Eskom</w:t>
      </w:r>
      <w:r w:rsidR="00521233" w:rsidRPr="00521233">
        <w:rPr>
          <w:rFonts w:ascii="Arial" w:hAnsi="Arial" w:cs="Arial"/>
          <w:sz w:val="24"/>
          <w:szCs w:val="24"/>
          <w:lang w:val="en-GB"/>
        </w:rPr>
        <w:t xml:space="preserve"> is subject to various legal prescripts</w:t>
      </w:r>
      <w:r w:rsidR="004F4916">
        <w:rPr>
          <w:rFonts w:ascii="Arial" w:hAnsi="Arial" w:cs="Arial"/>
          <w:sz w:val="24"/>
          <w:szCs w:val="24"/>
          <w:lang w:val="en-GB"/>
        </w:rPr>
        <w:t xml:space="preserve"> </w:t>
      </w:r>
      <w:r w:rsidR="00521233" w:rsidRPr="00521233">
        <w:rPr>
          <w:rFonts w:ascii="Arial" w:hAnsi="Arial" w:cs="Arial"/>
          <w:sz w:val="24"/>
          <w:szCs w:val="24"/>
          <w:lang w:val="en-GB"/>
        </w:rPr>
        <w:t xml:space="preserve">such as the </w:t>
      </w:r>
      <w:r w:rsidR="004F4916">
        <w:rPr>
          <w:rFonts w:ascii="Arial" w:hAnsi="Arial" w:cs="Arial"/>
          <w:sz w:val="24"/>
          <w:szCs w:val="24"/>
          <w:lang w:val="en-GB"/>
        </w:rPr>
        <w:t>P</w:t>
      </w:r>
      <w:r w:rsidR="00521233" w:rsidRPr="00521233">
        <w:rPr>
          <w:rFonts w:ascii="Arial" w:hAnsi="Arial" w:cs="Arial"/>
          <w:sz w:val="24"/>
          <w:szCs w:val="24"/>
          <w:lang w:val="en-GB"/>
        </w:rPr>
        <w:t xml:space="preserve">ublic </w:t>
      </w:r>
      <w:r w:rsidR="004F4916">
        <w:rPr>
          <w:rFonts w:ascii="Arial" w:hAnsi="Arial" w:cs="Arial"/>
          <w:sz w:val="24"/>
          <w:szCs w:val="24"/>
          <w:lang w:val="en-GB"/>
        </w:rPr>
        <w:t>F</w:t>
      </w:r>
      <w:r w:rsidR="00521233" w:rsidRPr="00521233">
        <w:rPr>
          <w:rFonts w:ascii="Arial" w:hAnsi="Arial" w:cs="Arial"/>
          <w:sz w:val="24"/>
          <w:szCs w:val="24"/>
          <w:lang w:val="en-GB"/>
        </w:rPr>
        <w:t xml:space="preserve">inance </w:t>
      </w:r>
      <w:r w:rsidR="004F4916">
        <w:rPr>
          <w:rFonts w:ascii="Arial" w:hAnsi="Arial" w:cs="Arial"/>
          <w:sz w:val="24"/>
          <w:szCs w:val="24"/>
          <w:lang w:val="en-GB"/>
        </w:rPr>
        <w:t>M</w:t>
      </w:r>
      <w:r w:rsidR="00521233" w:rsidRPr="00521233">
        <w:rPr>
          <w:rFonts w:ascii="Arial" w:hAnsi="Arial" w:cs="Arial"/>
          <w:sz w:val="24"/>
          <w:szCs w:val="24"/>
          <w:lang w:val="en-GB"/>
        </w:rPr>
        <w:t xml:space="preserve">anagement </w:t>
      </w:r>
      <w:r w:rsidR="004F4916">
        <w:rPr>
          <w:rFonts w:ascii="Arial" w:hAnsi="Arial" w:cs="Arial"/>
          <w:sz w:val="24"/>
          <w:szCs w:val="24"/>
          <w:lang w:val="en-GB"/>
        </w:rPr>
        <w:t>Act</w:t>
      </w:r>
      <w:r w:rsidR="004F4916">
        <w:rPr>
          <w:rStyle w:val="FootnoteReference"/>
          <w:rFonts w:ascii="Arial" w:hAnsi="Arial" w:cs="Arial"/>
          <w:sz w:val="24"/>
          <w:szCs w:val="24"/>
          <w:lang w:val="en-GB"/>
        </w:rPr>
        <w:footnoteReference w:id="1"/>
      </w:r>
      <w:r w:rsidR="009F40A4">
        <w:rPr>
          <w:rFonts w:ascii="Arial" w:hAnsi="Arial" w:cs="Arial"/>
          <w:sz w:val="24"/>
          <w:szCs w:val="24"/>
          <w:lang w:val="en-GB"/>
        </w:rPr>
        <w:t xml:space="preserve"> (“PFMA”);</w:t>
      </w:r>
      <w:r w:rsidR="00B62FB3">
        <w:rPr>
          <w:rFonts w:ascii="Arial" w:hAnsi="Arial" w:cs="Arial"/>
          <w:sz w:val="24"/>
          <w:szCs w:val="24"/>
          <w:lang w:val="en-GB"/>
        </w:rPr>
        <w:t xml:space="preserve"> </w:t>
      </w:r>
      <w:r w:rsidR="00521233" w:rsidRPr="00521233">
        <w:rPr>
          <w:rFonts w:ascii="Arial" w:hAnsi="Arial" w:cs="Arial"/>
          <w:sz w:val="24"/>
          <w:szCs w:val="24"/>
          <w:lang w:val="en-GB"/>
        </w:rPr>
        <w:t xml:space="preserve">the </w:t>
      </w:r>
      <w:r w:rsidR="00EA4791">
        <w:rPr>
          <w:rFonts w:ascii="Arial" w:hAnsi="Arial" w:cs="Arial"/>
          <w:sz w:val="24"/>
          <w:szCs w:val="24"/>
          <w:lang w:val="en-GB"/>
        </w:rPr>
        <w:t>C</w:t>
      </w:r>
      <w:r w:rsidR="00521233" w:rsidRPr="00521233">
        <w:rPr>
          <w:rFonts w:ascii="Arial" w:hAnsi="Arial" w:cs="Arial"/>
          <w:sz w:val="24"/>
          <w:szCs w:val="24"/>
          <w:lang w:val="en-GB"/>
        </w:rPr>
        <w:t>onstitution</w:t>
      </w:r>
      <w:r w:rsidR="000C2BEA">
        <w:rPr>
          <w:rFonts w:ascii="Arial" w:hAnsi="Arial" w:cs="Arial"/>
          <w:sz w:val="24"/>
          <w:szCs w:val="24"/>
          <w:lang w:val="en-GB"/>
        </w:rPr>
        <w:t>;</w:t>
      </w:r>
      <w:r w:rsidR="00EA4791">
        <w:rPr>
          <w:rStyle w:val="FootnoteReference"/>
          <w:rFonts w:ascii="Arial" w:hAnsi="Arial" w:cs="Arial"/>
          <w:sz w:val="24"/>
          <w:szCs w:val="24"/>
          <w:lang w:val="en-GB"/>
        </w:rPr>
        <w:footnoteReference w:id="2"/>
      </w:r>
      <w:r w:rsidR="00521233" w:rsidRPr="00521233">
        <w:rPr>
          <w:rFonts w:ascii="Arial" w:hAnsi="Arial" w:cs="Arial"/>
          <w:sz w:val="24"/>
          <w:szCs w:val="24"/>
          <w:lang w:val="en-GB"/>
        </w:rPr>
        <w:t xml:space="preserve"> </w:t>
      </w:r>
      <w:r w:rsidR="002A3875">
        <w:rPr>
          <w:rFonts w:ascii="Arial" w:hAnsi="Arial" w:cs="Arial"/>
          <w:sz w:val="24"/>
          <w:szCs w:val="24"/>
          <w:lang w:val="en-GB"/>
        </w:rPr>
        <w:t>the P</w:t>
      </w:r>
      <w:r w:rsidR="00521233" w:rsidRPr="00521233">
        <w:rPr>
          <w:rFonts w:ascii="Arial" w:hAnsi="Arial" w:cs="Arial"/>
          <w:sz w:val="24"/>
          <w:szCs w:val="24"/>
          <w:lang w:val="en-GB"/>
        </w:rPr>
        <w:t xml:space="preserve">romotion of </w:t>
      </w:r>
      <w:r w:rsidR="002A3875">
        <w:rPr>
          <w:rFonts w:ascii="Arial" w:hAnsi="Arial" w:cs="Arial"/>
          <w:sz w:val="24"/>
          <w:szCs w:val="24"/>
          <w:lang w:val="en-GB"/>
        </w:rPr>
        <w:t>A</w:t>
      </w:r>
      <w:r w:rsidR="00521233" w:rsidRPr="00521233">
        <w:rPr>
          <w:rFonts w:ascii="Arial" w:hAnsi="Arial" w:cs="Arial"/>
          <w:sz w:val="24"/>
          <w:szCs w:val="24"/>
          <w:lang w:val="en-GB"/>
        </w:rPr>
        <w:t>dministrati</w:t>
      </w:r>
      <w:r w:rsidR="002A3875">
        <w:rPr>
          <w:rFonts w:ascii="Arial" w:hAnsi="Arial" w:cs="Arial"/>
          <w:sz w:val="24"/>
          <w:szCs w:val="24"/>
          <w:lang w:val="en-GB"/>
        </w:rPr>
        <w:t xml:space="preserve">ve </w:t>
      </w:r>
      <w:r w:rsidR="00521233" w:rsidRPr="00521233">
        <w:rPr>
          <w:rFonts w:ascii="Arial" w:hAnsi="Arial" w:cs="Arial"/>
          <w:sz w:val="24"/>
          <w:szCs w:val="24"/>
          <w:lang w:val="en-GB"/>
        </w:rPr>
        <w:t>Justice Act</w:t>
      </w:r>
      <w:r w:rsidR="002A3875">
        <w:rPr>
          <w:rStyle w:val="FootnoteReference"/>
          <w:rFonts w:ascii="Arial" w:hAnsi="Arial" w:cs="Arial"/>
          <w:sz w:val="24"/>
          <w:szCs w:val="24"/>
          <w:lang w:val="en-GB"/>
        </w:rPr>
        <w:footnoteReference w:id="3"/>
      </w:r>
      <w:r w:rsidR="002A3875">
        <w:rPr>
          <w:rFonts w:ascii="Arial" w:hAnsi="Arial" w:cs="Arial"/>
          <w:sz w:val="24"/>
          <w:szCs w:val="24"/>
          <w:lang w:val="en-GB"/>
        </w:rPr>
        <w:t xml:space="preserve"> (“PAJA”)</w:t>
      </w:r>
      <w:r w:rsidR="00521233" w:rsidRPr="00521233">
        <w:rPr>
          <w:rFonts w:ascii="Arial" w:hAnsi="Arial" w:cs="Arial"/>
          <w:sz w:val="24"/>
          <w:szCs w:val="24"/>
          <w:lang w:val="en-GB"/>
        </w:rPr>
        <w:t xml:space="preserve">; the </w:t>
      </w:r>
      <w:r w:rsidR="004C569A">
        <w:rPr>
          <w:rFonts w:ascii="Arial" w:hAnsi="Arial" w:cs="Arial"/>
          <w:sz w:val="24"/>
          <w:szCs w:val="24"/>
          <w:lang w:val="en-GB"/>
        </w:rPr>
        <w:t>P</w:t>
      </w:r>
      <w:r w:rsidR="00521233" w:rsidRPr="00521233">
        <w:rPr>
          <w:rFonts w:ascii="Arial" w:hAnsi="Arial" w:cs="Arial"/>
          <w:sz w:val="24"/>
          <w:szCs w:val="24"/>
          <w:lang w:val="en-GB"/>
        </w:rPr>
        <w:t xml:space="preserve">referential </w:t>
      </w:r>
      <w:r w:rsidR="004C569A">
        <w:rPr>
          <w:rFonts w:ascii="Arial" w:hAnsi="Arial" w:cs="Arial"/>
          <w:sz w:val="24"/>
          <w:szCs w:val="24"/>
          <w:lang w:val="en-GB"/>
        </w:rPr>
        <w:t>P</w:t>
      </w:r>
      <w:r w:rsidR="00521233" w:rsidRPr="00521233">
        <w:rPr>
          <w:rFonts w:ascii="Arial" w:hAnsi="Arial" w:cs="Arial"/>
          <w:sz w:val="24"/>
          <w:szCs w:val="24"/>
          <w:lang w:val="en-GB"/>
        </w:rPr>
        <w:t xml:space="preserve">rocurement </w:t>
      </w:r>
      <w:r w:rsidR="004C569A">
        <w:rPr>
          <w:rFonts w:ascii="Arial" w:hAnsi="Arial" w:cs="Arial"/>
          <w:sz w:val="24"/>
          <w:szCs w:val="24"/>
          <w:lang w:val="en-GB"/>
        </w:rPr>
        <w:t>P</w:t>
      </w:r>
      <w:r w:rsidR="00521233" w:rsidRPr="00521233">
        <w:rPr>
          <w:rFonts w:ascii="Arial" w:hAnsi="Arial" w:cs="Arial"/>
          <w:sz w:val="24"/>
          <w:szCs w:val="24"/>
          <w:lang w:val="en-GB"/>
        </w:rPr>
        <w:t xml:space="preserve">olicy </w:t>
      </w:r>
      <w:r w:rsidR="004C569A">
        <w:rPr>
          <w:rFonts w:ascii="Arial" w:hAnsi="Arial" w:cs="Arial"/>
          <w:sz w:val="24"/>
          <w:szCs w:val="24"/>
          <w:lang w:val="en-GB"/>
        </w:rPr>
        <w:t>F</w:t>
      </w:r>
      <w:r w:rsidR="00521233" w:rsidRPr="00521233">
        <w:rPr>
          <w:rFonts w:ascii="Arial" w:hAnsi="Arial" w:cs="Arial"/>
          <w:sz w:val="24"/>
          <w:szCs w:val="24"/>
          <w:lang w:val="en-GB"/>
        </w:rPr>
        <w:t xml:space="preserve">ramework </w:t>
      </w:r>
      <w:r w:rsidR="004C569A">
        <w:rPr>
          <w:rFonts w:ascii="Arial" w:hAnsi="Arial" w:cs="Arial"/>
          <w:sz w:val="24"/>
          <w:szCs w:val="24"/>
          <w:lang w:val="en-GB"/>
        </w:rPr>
        <w:t>A</w:t>
      </w:r>
      <w:r w:rsidR="00521233" w:rsidRPr="00521233">
        <w:rPr>
          <w:rFonts w:ascii="Arial" w:hAnsi="Arial" w:cs="Arial"/>
          <w:sz w:val="24"/>
          <w:szCs w:val="24"/>
          <w:lang w:val="en-GB"/>
        </w:rPr>
        <w:t>ct</w:t>
      </w:r>
      <w:r w:rsidR="004C569A">
        <w:rPr>
          <w:rStyle w:val="FootnoteReference"/>
          <w:rFonts w:ascii="Arial" w:hAnsi="Arial" w:cs="Arial"/>
          <w:sz w:val="24"/>
          <w:szCs w:val="24"/>
          <w:lang w:val="en-GB"/>
        </w:rPr>
        <w:footnoteReference w:id="4"/>
      </w:r>
      <w:r w:rsidR="00320057">
        <w:rPr>
          <w:rFonts w:ascii="Arial" w:hAnsi="Arial" w:cs="Arial"/>
          <w:sz w:val="24"/>
          <w:szCs w:val="24"/>
          <w:lang w:val="en-GB"/>
        </w:rPr>
        <w:t xml:space="preserve"> </w:t>
      </w:r>
      <w:r w:rsidR="00844071">
        <w:rPr>
          <w:rFonts w:ascii="Arial" w:hAnsi="Arial" w:cs="Arial"/>
          <w:sz w:val="24"/>
          <w:szCs w:val="24"/>
          <w:lang w:val="en-GB"/>
        </w:rPr>
        <w:t>(“</w:t>
      </w:r>
      <w:r w:rsidR="00521233" w:rsidRPr="00521233">
        <w:rPr>
          <w:rFonts w:ascii="Arial" w:hAnsi="Arial" w:cs="Arial"/>
          <w:sz w:val="24"/>
          <w:szCs w:val="24"/>
          <w:lang w:val="en-GB"/>
        </w:rPr>
        <w:t>PPPF</w:t>
      </w:r>
      <w:r w:rsidR="00844071">
        <w:rPr>
          <w:rFonts w:ascii="Arial" w:hAnsi="Arial" w:cs="Arial"/>
          <w:sz w:val="24"/>
          <w:szCs w:val="24"/>
          <w:lang w:val="en-GB"/>
        </w:rPr>
        <w:t>A”)</w:t>
      </w:r>
      <w:r w:rsidR="00F1090B">
        <w:rPr>
          <w:rFonts w:ascii="Arial" w:hAnsi="Arial" w:cs="Arial"/>
          <w:sz w:val="24"/>
          <w:szCs w:val="24"/>
          <w:lang w:val="en-GB"/>
        </w:rPr>
        <w:t>; Public</w:t>
      </w:r>
      <w:r w:rsidR="00521233" w:rsidRPr="00521233">
        <w:rPr>
          <w:rFonts w:ascii="Arial" w:hAnsi="Arial" w:cs="Arial"/>
          <w:sz w:val="24"/>
          <w:szCs w:val="24"/>
          <w:lang w:val="en-GB"/>
        </w:rPr>
        <w:t xml:space="preserve"> </w:t>
      </w:r>
      <w:r w:rsidR="00F1090B">
        <w:rPr>
          <w:rFonts w:ascii="Arial" w:hAnsi="Arial" w:cs="Arial"/>
          <w:sz w:val="24"/>
          <w:szCs w:val="24"/>
          <w:lang w:val="en-GB"/>
        </w:rPr>
        <w:t>F</w:t>
      </w:r>
      <w:r w:rsidR="00521233" w:rsidRPr="00521233">
        <w:rPr>
          <w:rFonts w:ascii="Arial" w:hAnsi="Arial" w:cs="Arial"/>
          <w:sz w:val="24"/>
          <w:szCs w:val="24"/>
          <w:lang w:val="en-GB"/>
        </w:rPr>
        <w:t xml:space="preserve">inance </w:t>
      </w:r>
      <w:r w:rsidR="00F1090B">
        <w:rPr>
          <w:rFonts w:ascii="Arial" w:hAnsi="Arial" w:cs="Arial"/>
          <w:sz w:val="24"/>
          <w:szCs w:val="24"/>
          <w:lang w:val="en-GB"/>
        </w:rPr>
        <w:lastRenderedPageBreak/>
        <w:t>M</w:t>
      </w:r>
      <w:r w:rsidR="00521233" w:rsidRPr="00521233">
        <w:rPr>
          <w:rFonts w:ascii="Arial" w:hAnsi="Arial" w:cs="Arial"/>
          <w:sz w:val="24"/>
          <w:szCs w:val="24"/>
          <w:lang w:val="en-GB"/>
        </w:rPr>
        <w:t xml:space="preserve">anagement </w:t>
      </w:r>
      <w:r w:rsidR="00F1090B">
        <w:rPr>
          <w:rFonts w:ascii="Arial" w:hAnsi="Arial" w:cs="Arial"/>
          <w:sz w:val="24"/>
          <w:szCs w:val="24"/>
          <w:lang w:val="en-GB"/>
        </w:rPr>
        <w:t>(“PFMA”)</w:t>
      </w:r>
      <w:r w:rsidR="00F1090B">
        <w:rPr>
          <w:rStyle w:val="FootnoteReference"/>
          <w:rFonts w:ascii="Arial" w:hAnsi="Arial" w:cs="Arial"/>
          <w:sz w:val="24"/>
          <w:szCs w:val="24"/>
          <w:lang w:val="en-GB"/>
        </w:rPr>
        <w:footnoteReference w:id="5"/>
      </w:r>
      <w:r w:rsidR="00521233" w:rsidRPr="00521233">
        <w:rPr>
          <w:rFonts w:ascii="Arial" w:hAnsi="Arial" w:cs="Arial"/>
          <w:sz w:val="24"/>
          <w:szCs w:val="24"/>
          <w:lang w:val="en-GB"/>
        </w:rPr>
        <w:t xml:space="preserve"> as well as the </w:t>
      </w:r>
      <w:r w:rsidR="00C63A0B">
        <w:rPr>
          <w:rFonts w:ascii="Arial" w:hAnsi="Arial" w:cs="Arial"/>
          <w:sz w:val="24"/>
          <w:szCs w:val="24"/>
          <w:lang w:val="en-GB"/>
        </w:rPr>
        <w:t>C</w:t>
      </w:r>
      <w:r w:rsidR="00521233" w:rsidRPr="00521233">
        <w:rPr>
          <w:rFonts w:ascii="Arial" w:hAnsi="Arial" w:cs="Arial"/>
          <w:sz w:val="24"/>
          <w:szCs w:val="24"/>
          <w:lang w:val="en-GB"/>
        </w:rPr>
        <w:t xml:space="preserve">onstruction </w:t>
      </w:r>
      <w:r w:rsidR="00C63A0B">
        <w:rPr>
          <w:rFonts w:ascii="Arial" w:hAnsi="Arial" w:cs="Arial"/>
          <w:sz w:val="24"/>
          <w:szCs w:val="24"/>
          <w:lang w:val="en-GB"/>
        </w:rPr>
        <w:t>I</w:t>
      </w:r>
      <w:r w:rsidR="00521233" w:rsidRPr="00521233">
        <w:rPr>
          <w:rFonts w:ascii="Arial" w:hAnsi="Arial" w:cs="Arial"/>
          <w:sz w:val="24"/>
          <w:szCs w:val="24"/>
          <w:lang w:val="en-GB"/>
        </w:rPr>
        <w:t xml:space="preserve">ndustry Development Board </w:t>
      </w:r>
      <w:r w:rsidR="00C63A0B">
        <w:rPr>
          <w:rFonts w:ascii="Arial" w:hAnsi="Arial" w:cs="Arial"/>
          <w:sz w:val="24"/>
          <w:szCs w:val="24"/>
          <w:lang w:val="en-GB"/>
        </w:rPr>
        <w:t>A</w:t>
      </w:r>
      <w:r w:rsidR="00521233" w:rsidRPr="00521233">
        <w:rPr>
          <w:rFonts w:ascii="Arial" w:hAnsi="Arial" w:cs="Arial"/>
          <w:sz w:val="24"/>
          <w:szCs w:val="24"/>
          <w:lang w:val="en-GB"/>
        </w:rPr>
        <w:t>ct</w:t>
      </w:r>
      <w:r w:rsidR="00C63A0B">
        <w:rPr>
          <w:rStyle w:val="FootnoteReference"/>
          <w:rFonts w:ascii="Arial" w:hAnsi="Arial" w:cs="Arial"/>
          <w:sz w:val="24"/>
          <w:szCs w:val="24"/>
          <w:lang w:val="en-GB"/>
        </w:rPr>
        <w:footnoteReference w:id="6"/>
      </w:r>
      <w:r w:rsidR="00C63A0B">
        <w:rPr>
          <w:rFonts w:ascii="Arial" w:hAnsi="Arial" w:cs="Arial"/>
          <w:sz w:val="24"/>
          <w:szCs w:val="24"/>
          <w:lang w:val="en-GB"/>
        </w:rPr>
        <w:t xml:space="preserve"> (“CIDB</w:t>
      </w:r>
      <w:r w:rsidR="000C2BEA">
        <w:rPr>
          <w:rFonts w:ascii="Arial" w:hAnsi="Arial" w:cs="Arial"/>
          <w:sz w:val="24"/>
          <w:szCs w:val="24"/>
          <w:lang w:val="en-GB"/>
        </w:rPr>
        <w:t>”</w:t>
      </w:r>
      <w:r w:rsidR="00C63A0B">
        <w:rPr>
          <w:rFonts w:ascii="Arial" w:hAnsi="Arial" w:cs="Arial"/>
          <w:sz w:val="24"/>
          <w:szCs w:val="24"/>
          <w:lang w:val="en-GB"/>
        </w:rPr>
        <w:t>)</w:t>
      </w:r>
      <w:r w:rsidR="00521233" w:rsidRPr="00521233">
        <w:rPr>
          <w:rFonts w:ascii="Arial" w:hAnsi="Arial" w:cs="Arial"/>
          <w:sz w:val="24"/>
          <w:szCs w:val="24"/>
          <w:lang w:val="en-GB"/>
        </w:rPr>
        <w:t xml:space="preserve"> and the regulations published the</w:t>
      </w:r>
      <w:r w:rsidR="00C63A0B">
        <w:rPr>
          <w:rFonts w:ascii="Arial" w:hAnsi="Arial" w:cs="Arial"/>
          <w:sz w:val="24"/>
          <w:szCs w:val="24"/>
          <w:lang w:val="en-GB"/>
        </w:rPr>
        <w:t>re</w:t>
      </w:r>
      <w:r w:rsidR="00521233" w:rsidRPr="00521233">
        <w:rPr>
          <w:rFonts w:ascii="Arial" w:hAnsi="Arial" w:cs="Arial"/>
          <w:sz w:val="24"/>
          <w:szCs w:val="24"/>
          <w:lang w:val="en-GB"/>
        </w:rPr>
        <w:t>under</w:t>
      </w:r>
      <w:r w:rsidR="00B62FB3">
        <w:rPr>
          <w:rFonts w:ascii="Arial" w:hAnsi="Arial" w:cs="Arial"/>
          <w:sz w:val="24"/>
          <w:szCs w:val="24"/>
          <w:lang w:val="en-GB"/>
        </w:rPr>
        <w:t>.</w:t>
      </w:r>
      <w:r w:rsidR="00C63A0B">
        <w:rPr>
          <w:rStyle w:val="FootnoteReference"/>
          <w:rFonts w:ascii="Arial" w:hAnsi="Arial" w:cs="Arial"/>
          <w:sz w:val="24"/>
          <w:szCs w:val="24"/>
          <w:lang w:val="en-GB"/>
        </w:rPr>
        <w:footnoteReference w:id="7"/>
      </w:r>
    </w:p>
    <w:p w14:paraId="543F0DB9" w14:textId="13E1CF36" w:rsidR="00CF1498" w:rsidRDefault="00737560" w:rsidP="000767F7">
      <w:pPr>
        <w:spacing w:after="0" w:line="48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382A14">
        <w:rPr>
          <w:rFonts w:ascii="Arial" w:hAnsi="Arial" w:cs="Arial"/>
          <w:sz w:val="24"/>
          <w:szCs w:val="24"/>
          <w:lang w:val="en-GB"/>
        </w:rPr>
        <w:t>Eskom</w:t>
      </w:r>
      <w:r w:rsidR="005155BC">
        <w:rPr>
          <w:rFonts w:ascii="Arial" w:hAnsi="Arial" w:cs="Arial"/>
          <w:sz w:val="24"/>
          <w:szCs w:val="24"/>
          <w:lang w:val="en-GB"/>
        </w:rPr>
        <w:t>,</w:t>
      </w:r>
      <w:r w:rsidR="00521233" w:rsidRPr="00521233">
        <w:rPr>
          <w:rFonts w:ascii="Arial" w:hAnsi="Arial" w:cs="Arial"/>
          <w:sz w:val="24"/>
          <w:szCs w:val="24"/>
          <w:lang w:val="en-GB"/>
        </w:rPr>
        <w:t xml:space="preserve"> being a public entity listed in </w:t>
      </w:r>
      <w:r w:rsidR="005155BC">
        <w:rPr>
          <w:rFonts w:ascii="Arial" w:hAnsi="Arial" w:cs="Arial"/>
          <w:sz w:val="24"/>
          <w:szCs w:val="24"/>
          <w:lang w:val="en-GB"/>
        </w:rPr>
        <w:t>S</w:t>
      </w:r>
      <w:r w:rsidR="00521233" w:rsidRPr="00521233">
        <w:rPr>
          <w:rFonts w:ascii="Arial" w:hAnsi="Arial" w:cs="Arial"/>
          <w:sz w:val="24"/>
          <w:szCs w:val="24"/>
          <w:lang w:val="en-GB"/>
        </w:rPr>
        <w:t xml:space="preserve">chedule </w:t>
      </w:r>
      <w:r w:rsidR="005155BC">
        <w:rPr>
          <w:rFonts w:ascii="Arial" w:hAnsi="Arial" w:cs="Arial"/>
          <w:sz w:val="24"/>
          <w:szCs w:val="24"/>
          <w:lang w:val="en-GB"/>
        </w:rPr>
        <w:t>2</w:t>
      </w:r>
      <w:r w:rsidR="00521233" w:rsidRPr="00521233">
        <w:rPr>
          <w:rFonts w:ascii="Arial" w:hAnsi="Arial" w:cs="Arial"/>
          <w:sz w:val="24"/>
          <w:szCs w:val="24"/>
          <w:lang w:val="en-GB"/>
        </w:rPr>
        <w:t xml:space="preserve"> </w:t>
      </w:r>
      <w:r w:rsidR="000C2BEA" w:rsidRPr="00521233">
        <w:rPr>
          <w:rFonts w:ascii="Arial" w:hAnsi="Arial" w:cs="Arial"/>
          <w:sz w:val="24"/>
          <w:szCs w:val="24"/>
          <w:lang w:val="en-GB"/>
        </w:rPr>
        <w:t>of</w:t>
      </w:r>
      <w:r w:rsidR="000C2BEA">
        <w:rPr>
          <w:rFonts w:ascii="Arial" w:hAnsi="Arial" w:cs="Arial"/>
          <w:sz w:val="24"/>
          <w:szCs w:val="24"/>
          <w:lang w:val="en-GB"/>
        </w:rPr>
        <w:t xml:space="preserve"> </w:t>
      </w:r>
      <w:r w:rsidR="00521233" w:rsidRPr="00521233">
        <w:rPr>
          <w:rFonts w:ascii="Arial" w:hAnsi="Arial" w:cs="Arial"/>
          <w:sz w:val="24"/>
          <w:szCs w:val="24"/>
          <w:lang w:val="en-GB"/>
        </w:rPr>
        <w:t>the PFM</w:t>
      </w:r>
      <w:r w:rsidR="005155BC">
        <w:rPr>
          <w:rFonts w:ascii="Arial" w:hAnsi="Arial" w:cs="Arial"/>
          <w:sz w:val="24"/>
          <w:szCs w:val="24"/>
          <w:lang w:val="en-GB"/>
        </w:rPr>
        <w:t>A</w:t>
      </w:r>
      <w:r w:rsidR="00CB192A">
        <w:rPr>
          <w:rFonts w:ascii="Arial" w:hAnsi="Arial" w:cs="Arial"/>
          <w:sz w:val="24"/>
          <w:szCs w:val="24"/>
          <w:lang w:val="en-GB"/>
        </w:rPr>
        <w:t>,</w:t>
      </w:r>
      <w:r w:rsidR="00521233" w:rsidRPr="00521233">
        <w:rPr>
          <w:rFonts w:ascii="Arial" w:hAnsi="Arial" w:cs="Arial"/>
          <w:sz w:val="24"/>
          <w:szCs w:val="24"/>
          <w:lang w:val="en-GB"/>
        </w:rPr>
        <w:t xml:space="preserve"> is </w:t>
      </w:r>
      <w:r w:rsidR="007F3410">
        <w:rPr>
          <w:rFonts w:ascii="Arial" w:hAnsi="Arial" w:cs="Arial"/>
          <w:sz w:val="24"/>
          <w:szCs w:val="24"/>
          <w:lang w:val="en-GB"/>
        </w:rPr>
        <w:t xml:space="preserve">also </w:t>
      </w:r>
      <w:r w:rsidR="00521233" w:rsidRPr="00521233">
        <w:rPr>
          <w:rFonts w:ascii="Arial" w:hAnsi="Arial" w:cs="Arial"/>
          <w:sz w:val="24"/>
          <w:szCs w:val="24"/>
          <w:lang w:val="en-GB"/>
        </w:rPr>
        <w:t>subject to th</w:t>
      </w:r>
      <w:r w:rsidR="00CF1498">
        <w:rPr>
          <w:rFonts w:ascii="Arial" w:hAnsi="Arial" w:cs="Arial"/>
          <w:sz w:val="24"/>
          <w:szCs w:val="24"/>
          <w:lang w:val="en-GB"/>
        </w:rPr>
        <w:t>e</w:t>
      </w:r>
      <w:r w:rsidR="00521233" w:rsidRPr="00521233">
        <w:rPr>
          <w:rFonts w:ascii="Arial" w:hAnsi="Arial" w:cs="Arial"/>
          <w:sz w:val="24"/>
          <w:szCs w:val="24"/>
          <w:lang w:val="en-GB"/>
        </w:rPr>
        <w:t xml:space="preserve"> </w:t>
      </w:r>
      <w:r w:rsidR="00CF1498">
        <w:rPr>
          <w:rFonts w:ascii="Arial" w:hAnsi="Arial" w:cs="Arial"/>
          <w:sz w:val="24"/>
          <w:szCs w:val="24"/>
          <w:lang w:val="en-GB"/>
        </w:rPr>
        <w:t>pro</w:t>
      </w:r>
      <w:r w:rsidR="00521233" w:rsidRPr="00521233">
        <w:rPr>
          <w:rFonts w:ascii="Arial" w:hAnsi="Arial" w:cs="Arial"/>
          <w:sz w:val="24"/>
          <w:szCs w:val="24"/>
          <w:lang w:val="en-GB"/>
        </w:rPr>
        <w:t>visions of</w:t>
      </w:r>
      <w:r w:rsidR="00CF1498">
        <w:rPr>
          <w:rFonts w:ascii="Arial" w:hAnsi="Arial" w:cs="Arial"/>
          <w:sz w:val="24"/>
          <w:szCs w:val="24"/>
          <w:lang w:val="en-GB"/>
        </w:rPr>
        <w:t xml:space="preserve"> </w:t>
      </w:r>
      <w:r w:rsidR="00521233" w:rsidRPr="00521233">
        <w:rPr>
          <w:rFonts w:ascii="Arial" w:hAnsi="Arial" w:cs="Arial"/>
          <w:sz w:val="24"/>
          <w:szCs w:val="24"/>
          <w:lang w:val="en-GB"/>
        </w:rPr>
        <w:t xml:space="preserve">the National Treasury </w:t>
      </w:r>
      <w:r w:rsidR="00CF1498">
        <w:rPr>
          <w:rFonts w:ascii="Arial" w:hAnsi="Arial" w:cs="Arial"/>
          <w:sz w:val="24"/>
          <w:szCs w:val="24"/>
          <w:lang w:val="en-GB"/>
        </w:rPr>
        <w:t xml:space="preserve">Regulations, </w:t>
      </w:r>
      <w:r w:rsidR="00521233" w:rsidRPr="00521233">
        <w:rPr>
          <w:rFonts w:ascii="Arial" w:hAnsi="Arial" w:cs="Arial"/>
          <w:sz w:val="24"/>
          <w:szCs w:val="24"/>
          <w:lang w:val="en-GB"/>
        </w:rPr>
        <w:t>guidelines</w:t>
      </w:r>
      <w:r w:rsidR="00CF1498">
        <w:rPr>
          <w:rFonts w:ascii="Arial" w:hAnsi="Arial" w:cs="Arial"/>
          <w:sz w:val="24"/>
          <w:szCs w:val="24"/>
          <w:lang w:val="en-GB"/>
        </w:rPr>
        <w:t>,</w:t>
      </w:r>
      <w:r w:rsidR="00521233" w:rsidRPr="00521233">
        <w:rPr>
          <w:rFonts w:ascii="Arial" w:hAnsi="Arial" w:cs="Arial"/>
          <w:sz w:val="24"/>
          <w:szCs w:val="24"/>
          <w:lang w:val="en-GB"/>
        </w:rPr>
        <w:t xml:space="preserve"> </w:t>
      </w:r>
      <w:r w:rsidR="00991255" w:rsidRPr="00521233">
        <w:rPr>
          <w:rFonts w:ascii="Arial" w:hAnsi="Arial" w:cs="Arial"/>
          <w:sz w:val="24"/>
          <w:szCs w:val="24"/>
          <w:lang w:val="en-GB"/>
        </w:rPr>
        <w:t>circulars,</w:t>
      </w:r>
      <w:r w:rsidR="00521233" w:rsidRPr="00521233">
        <w:rPr>
          <w:rFonts w:ascii="Arial" w:hAnsi="Arial" w:cs="Arial"/>
          <w:sz w:val="24"/>
          <w:szCs w:val="24"/>
          <w:lang w:val="en-GB"/>
        </w:rPr>
        <w:t xml:space="preserve"> and instruction notes</w:t>
      </w:r>
      <w:r w:rsidR="00CF1498">
        <w:rPr>
          <w:rFonts w:ascii="Arial" w:hAnsi="Arial" w:cs="Arial"/>
          <w:sz w:val="24"/>
          <w:szCs w:val="24"/>
          <w:lang w:val="en-GB"/>
        </w:rPr>
        <w:t xml:space="preserve"> that </w:t>
      </w:r>
      <w:r w:rsidR="00521233" w:rsidRPr="00521233">
        <w:rPr>
          <w:rFonts w:ascii="Arial" w:hAnsi="Arial" w:cs="Arial"/>
          <w:sz w:val="24"/>
          <w:szCs w:val="24"/>
          <w:lang w:val="en-GB"/>
        </w:rPr>
        <w:t>regulate the procurement of services and goods</w:t>
      </w:r>
      <w:r w:rsidR="00CF1498">
        <w:rPr>
          <w:rFonts w:ascii="Arial" w:hAnsi="Arial" w:cs="Arial"/>
          <w:sz w:val="24"/>
          <w:szCs w:val="24"/>
          <w:lang w:val="en-GB"/>
        </w:rPr>
        <w:t>.</w:t>
      </w:r>
      <w:r w:rsidR="00521233" w:rsidRPr="00521233">
        <w:rPr>
          <w:rFonts w:ascii="Arial" w:hAnsi="Arial" w:cs="Arial"/>
          <w:sz w:val="24"/>
          <w:szCs w:val="24"/>
          <w:lang w:val="en-GB"/>
        </w:rPr>
        <w:t xml:space="preserve"> </w:t>
      </w:r>
      <w:r w:rsidR="00CF1498">
        <w:rPr>
          <w:rFonts w:ascii="Arial" w:hAnsi="Arial" w:cs="Arial"/>
          <w:sz w:val="24"/>
          <w:szCs w:val="24"/>
          <w:lang w:val="en-GB"/>
        </w:rPr>
        <w:t>T</w:t>
      </w:r>
      <w:r w:rsidR="00521233" w:rsidRPr="00521233">
        <w:rPr>
          <w:rFonts w:ascii="Arial" w:hAnsi="Arial" w:cs="Arial"/>
          <w:sz w:val="24"/>
          <w:szCs w:val="24"/>
          <w:lang w:val="en-GB"/>
        </w:rPr>
        <w:t>hese instruments have legal effect having been issued under the provisions of the statute</w:t>
      </w:r>
      <w:r w:rsidR="00CF1498">
        <w:rPr>
          <w:rFonts w:ascii="Arial" w:hAnsi="Arial" w:cs="Arial"/>
          <w:sz w:val="24"/>
          <w:szCs w:val="24"/>
          <w:lang w:val="en-GB"/>
        </w:rPr>
        <w:t>.</w:t>
      </w:r>
      <w:r w:rsidR="007F3410">
        <w:rPr>
          <w:rFonts w:ascii="Arial" w:hAnsi="Arial" w:cs="Arial"/>
          <w:sz w:val="24"/>
          <w:szCs w:val="24"/>
          <w:lang w:val="en-GB"/>
        </w:rPr>
        <w:t xml:space="preserve"> Not all of the provisions feature in this appeal.</w:t>
      </w:r>
    </w:p>
    <w:p w14:paraId="00246131" w14:textId="357AF9FC" w:rsidR="007F3410" w:rsidRPr="007F3410" w:rsidRDefault="00CF1498" w:rsidP="007F3410">
      <w:pPr>
        <w:spacing w:after="0" w:line="48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7F3410" w:rsidRPr="007F3410">
        <w:rPr>
          <w:rFonts w:ascii="Arial" w:hAnsi="Arial" w:cs="Arial"/>
          <w:sz w:val="24"/>
          <w:szCs w:val="24"/>
          <w:lang w:val="en-GB"/>
        </w:rPr>
        <w:t xml:space="preserve">In </w:t>
      </w:r>
      <w:r w:rsidR="0099225A" w:rsidRPr="0099225A">
        <w:rPr>
          <w:rFonts w:ascii="Arial" w:hAnsi="Arial" w:cs="Arial"/>
          <w:i/>
          <w:iCs/>
          <w:sz w:val="24"/>
          <w:szCs w:val="24"/>
          <w:lang w:val="en-GB"/>
        </w:rPr>
        <w:t>Steenkamp NO v Provincial Tender Board of the Eastern Cape</w:t>
      </w:r>
      <w:r w:rsidR="007F3410" w:rsidRPr="007F3410">
        <w:rPr>
          <w:rFonts w:ascii="Arial" w:hAnsi="Arial" w:cs="Arial"/>
          <w:sz w:val="24"/>
          <w:szCs w:val="24"/>
          <w:lang w:val="en-GB"/>
        </w:rPr>
        <w:t>,</w:t>
      </w:r>
      <w:r w:rsidR="0099225A">
        <w:rPr>
          <w:rStyle w:val="FootnoteReference"/>
          <w:rFonts w:ascii="Arial" w:hAnsi="Arial" w:cs="Arial"/>
          <w:sz w:val="24"/>
          <w:szCs w:val="24"/>
          <w:lang w:val="en-GB"/>
        </w:rPr>
        <w:footnoteReference w:id="8"/>
      </w:r>
      <w:r w:rsidR="007F3410">
        <w:rPr>
          <w:rFonts w:ascii="Arial" w:hAnsi="Arial" w:cs="Arial"/>
          <w:sz w:val="24"/>
          <w:szCs w:val="24"/>
          <w:lang w:val="en-GB"/>
        </w:rPr>
        <w:t xml:space="preserve"> </w:t>
      </w:r>
      <w:r w:rsidR="007F3410" w:rsidRPr="007F3410">
        <w:rPr>
          <w:rFonts w:ascii="Arial" w:hAnsi="Arial" w:cs="Arial"/>
          <w:sz w:val="24"/>
          <w:szCs w:val="24"/>
          <w:lang w:val="en-GB"/>
        </w:rPr>
        <w:t xml:space="preserve">the Constitutional Court stated that tender processes require </w:t>
      </w:r>
      <w:r w:rsidR="007F3410">
        <w:rPr>
          <w:rFonts w:ascii="Arial" w:hAnsi="Arial" w:cs="Arial"/>
          <w:sz w:val="24"/>
          <w:szCs w:val="24"/>
          <w:lang w:val="en-GB"/>
        </w:rPr>
        <w:t>“</w:t>
      </w:r>
      <w:bookmarkStart w:id="2" w:name="_Hlk151284096"/>
      <w:r w:rsidR="007F3410" w:rsidRPr="007F3410">
        <w:rPr>
          <w:rFonts w:ascii="Arial" w:hAnsi="Arial" w:cs="Arial"/>
          <w:sz w:val="24"/>
          <w:szCs w:val="24"/>
          <w:lang w:val="en-GB"/>
        </w:rPr>
        <w:t xml:space="preserve">strict equal compliance </w:t>
      </w:r>
      <w:bookmarkEnd w:id="2"/>
      <w:r w:rsidR="007F3410" w:rsidRPr="007F3410">
        <w:rPr>
          <w:rFonts w:ascii="Arial" w:hAnsi="Arial" w:cs="Arial"/>
          <w:sz w:val="24"/>
          <w:szCs w:val="24"/>
          <w:lang w:val="en-GB"/>
        </w:rPr>
        <w:t>by all competing tenderers, on the closing day for submission of tenders.</w:t>
      </w:r>
      <w:r w:rsidR="007F3410">
        <w:rPr>
          <w:rFonts w:ascii="Arial" w:hAnsi="Arial" w:cs="Arial"/>
          <w:sz w:val="24"/>
          <w:szCs w:val="24"/>
          <w:lang w:val="en-GB"/>
        </w:rPr>
        <w:t>”</w:t>
      </w:r>
      <w:r w:rsidR="0099225A">
        <w:rPr>
          <w:rStyle w:val="FootnoteReference"/>
          <w:rFonts w:ascii="Arial" w:hAnsi="Arial" w:cs="Arial"/>
          <w:sz w:val="24"/>
          <w:szCs w:val="24"/>
          <w:lang w:val="en-GB"/>
        </w:rPr>
        <w:footnoteReference w:id="9"/>
      </w:r>
    </w:p>
    <w:p w14:paraId="0EB15072" w14:textId="58A50466" w:rsidR="007F3410" w:rsidRPr="007F3410" w:rsidRDefault="007F3410" w:rsidP="007F3410">
      <w:pPr>
        <w:spacing w:after="0" w:line="48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Pr="007F3410">
        <w:rPr>
          <w:rFonts w:ascii="Arial" w:hAnsi="Arial" w:cs="Arial"/>
          <w:sz w:val="24"/>
          <w:szCs w:val="24"/>
          <w:lang w:val="en-GB"/>
        </w:rPr>
        <w:t xml:space="preserve">The proper legal approach was set out in </w:t>
      </w:r>
      <w:r w:rsidR="00D70571" w:rsidRPr="00D70571">
        <w:rPr>
          <w:rFonts w:ascii="Arial" w:hAnsi="Arial" w:cs="Arial"/>
          <w:i/>
          <w:iCs/>
          <w:sz w:val="24"/>
          <w:szCs w:val="24"/>
          <w:lang w:val="en-GB"/>
        </w:rPr>
        <w:t>Allpay Consolidated Investment Holdings (Pty) Ltd and Others v Chief Executive Officer, South African Social Security Agency and Others</w:t>
      </w:r>
      <w:r w:rsidR="00CB0DB9">
        <w:rPr>
          <w:rFonts w:ascii="Arial" w:hAnsi="Arial" w:cs="Arial"/>
          <w:i/>
          <w:iCs/>
          <w:sz w:val="24"/>
          <w:szCs w:val="24"/>
          <w:lang w:val="en-GB"/>
        </w:rPr>
        <w:t xml:space="preserve"> (</w:t>
      </w:r>
      <w:r w:rsidR="00A63E82">
        <w:rPr>
          <w:rFonts w:ascii="Arial" w:hAnsi="Arial" w:cs="Arial"/>
          <w:i/>
          <w:iCs/>
          <w:sz w:val="24"/>
          <w:szCs w:val="24"/>
          <w:lang w:val="en-GB"/>
        </w:rPr>
        <w:t>Corruption Watch as Amicus Curiae)</w:t>
      </w:r>
      <w:r w:rsidR="00D70571" w:rsidRPr="00D70571">
        <w:rPr>
          <w:rFonts w:ascii="Arial" w:hAnsi="Arial" w:cs="Arial"/>
          <w:i/>
          <w:iCs/>
          <w:sz w:val="24"/>
          <w:szCs w:val="24"/>
          <w:lang w:val="en-GB"/>
        </w:rPr>
        <w:t xml:space="preserve"> </w:t>
      </w:r>
      <w:r w:rsidR="00CB0DB9">
        <w:rPr>
          <w:rFonts w:ascii="Arial" w:hAnsi="Arial" w:cs="Arial"/>
          <w:i/>
          <w:iCs/>
          <w:sz w:val="24"/>
          <w:szCs w:val="24"/>
          <w:lang w:val="en-GB"/>
        </w:rPr>
        <w:t>(“</w:t>
      </w:r>
      <w:r w:rsidRPr="00D70571">
        <w:rPr>
          <w:rFonts w:ascii="Arial" w:hAnsi="Arial" w:cs="Arial"/>
          <w:i/>
          <w:iCs/>
          <w:sz w:val="24"/>
          <w:szCs w:val="24"/>
          <w:lang w:val="en-GB"/>
        </w:rPr>
        <w:t>Allpay</w:t>
      </w:r>
      <w:r w:rsidR="00066679">
        <w:rPr>
          <w:rFonts w:ascii="Arial" w:hAnsi="Arial" w:cs="Arial"/>
          <w:i/>
          <w:iCs/>
          <w:sz w:val="24"/>
          <w:szCs w:val="24"/>
          <w:lang w:val="en-GB"/>
        </w:rPr>
        <w:t xml:space="preserve"> (1)</w:t>
      </w:r>
      <w:r w:rsidR="00CB0DB9">
        <w:rPr>
          <w:rFonts w:ascii="Arial" w:hAnsi="Arial" w:cs="Arial"/>
          <w:i/>
          <w:iCs/>
          <w:sz w:val="24"/>
          <w:szCs w:val="24"/>
          <w:lang w:val="en-GB"/>
        </w:rPr>
        <w:t>”)</w:t>
      </w:r>
      <w:r w:rsidR="00CB0DB9">
        <w:rPr>
          <w:rStyle w:val="FootnoteReference"/>
          <w:rFonts w:ascii="Arial" w:hAnsi="Arial" w:cs="Arial"/>
          <w:i/>
          <w:iCs/>
          <w:sz w:val="24"/>
          <w:szCs w:val="24"/>
          <w:lang w:val="en-GB"/>
        </w:rPr>
        <w:footnoteReference w:id="10"/>
      </w:r>
    </w:p>
    <w:p w14:paraId="4367EF5F" w14:textId="1135C0D8" w:rsidR="007F3410" w:rsidRPr="007F3410" w:rsidRDefault="006B4B34" w:rsidP="007F3410">
      <w:pPr>
        <w:spacing w:after="0" w:line="480" w:lineRule="auto"/>
        <w:ind w:left="709"/>
        <w:jc w:val="both"/>
        <w:rPr>
          <w:rFonts w:ascii="Arial" w:hAnsi="Arial" w:cs="Arial"/>
          <w:lang w:val="en-GB"/>
        </w:rPr>
      </w:pPr>
      <w:r>
        <w:rPr>
          <w:rFonts w:ascii="Arial" w:hAnsi="Arial" w:cs="Arial"/>
          <w:lang w:val="en-GB"/>
        </w:rPr>
        <w:t>“[22]</w:t>
      </w:r>
      <w:r>
        <w:rPr>
          <w:rFonts w:ascii="Arial" w:hAnsi="Arial" w:cs="Arial"/>
          <w:lang w:val="en-GB"/>
        </w:rPr>
        <w:tab/>
      </w:r>
      <w:r w:rsidR="007F3410" w:rsidRPr="007F3410">
        <w:rPr>
          <w:rFonts w:ascii="Arial" w:hAnsi="Arial" w:cs="Arial"/>
          <w:lang w:val="en-GB"/>
        </w:rPr>
        <w:t>This judgment holds that:</w:t>
      </w:r>
    </w:p>
    <w:p w14:paraId="0556DC13" w14:textId="77777777" w:rsidR="007F3410" w:rsidRPr="007F3410" w:rsidRDefault="007F3410" w:rsidP="007F3410">
      <w:pPr>
        <w:spacing w:after="0" w:line="480" w:lineRule="auto"/>
        <w:ind w:left="709"/>
        <w:jc w:val="both"/>
        <w:rPr>
          <w:rFonts w:ascii="Arial" w:hAnsi="Arial" w:cs="Arial"/>
          <w:lang w:val="en-GB"/>
        </w:rPr>
      </w:pPr>
      <w:r w:rsidRPr="007F3410">
        <w:rPr>
          <w:rFonts w:ascii="Arial" w:hAnsi="Arial" w:cs="Arial"/>
          <w:lang w:val="en-GB"/>
        </w:rPr>
        <w:t>(a)   The suggestion that “inconsequential irregularities” are of no moment conflates the test for irregularities and their import; hence an assessment of the fairness and lawfulness of the procurement process must be independent of the outcome of the tender process.</w:t>
      </w:r>
    </w:p>
    <w:p w14:paraId="7045724E" w14:textId="77777777" w:rsidR="007F3410" w:rsidRPr="007F3410" w:rsidRDefault="007F3410" w:rsidP="007F3410">
      <w:pPr>
        <w:spacing w:after="0" w:line="480" w:lineRule="auto"/>
        <w:ind w:left="709"/>
        <w:jc w:val="both"/>
        <w:rPr>
          <w:rFonts w:ascii="Arial" w:hAnsi="Arial" w:cs="Arial"/>
          <w:lang w:val="en-GB"/>
        </w:rPr>
      </w:pPr>
      <w:r w:rsidRPr="007F3410">
        <w:rPr>
          <w:rFonts w:ascii="Arial" w:hAnsi="Arial" w:cs="Arial"/>
          <w:lang w:val="en-GB"/>
        </w:rPr>
        <w:t>(b)   The materiality of compliance with legal requirements depends on the extent to which the purpose of the requirements is attained.</w:t>
      </w:r>
    </w:p>
    <w:p w14:paraId="333F1D63" w14:textId="77777777" w:rsidR="007F3410" w:rsidRPr="007F3410" w:rsidRDefault="007F3410" w:rsidP="007F3410">
      <w:pPr>
        <w:spacing w:after="0" w:line="480" w:lineRule="auto"/>
        <w:ind w:left="709"/>
        <w:jc w:val="both"/>
        <w:rPr>
          <w:rFonts w:ascii="Arial" w:hAnsi="Arial" w:cs="Arial"/>
          <w:lang w:val="en-GB"/>
        </w:rPr>
      </w:pPr>
      <w:r w:rsidRPr="007F3410">
        <w:rPr>
          <w:rFonts w:ascii="Arial" w:hAnsi="Arial" w:cs="Arial"/>
          <w:lang w:val="en-GB"/>
        </w:rPr>
        <w:t xml:space="preserve">(c)   The constitutional and legislative procurement framework entails supply chain management prescripts that are legally binding.  </w:t>
      </w:r>
    </w:p>
    <w:p w14:paraId="17572CF8" w14:textId="77777777" w:rsidR="007F3410" w:rsidRPr="007F3410" w:rsidRDefault="007F3410" w:rsidP="007F3410">
      <w:pPr>
        <w:spacing w:after="0" w:line="480" w:lineRule="auto"/>
        <w:ind w:left="709"/>
        <w:jc w:val="both"/>
        <w:rPr>
          <w:rFonts w:ascii="Arial" w:hAnsi="Arial" w:cs="Arial"/>
          <w:lang w:val="en-GB"/>
        </w:rPr>
      </w:pPr>
      <w:r w:rsidRPr="007F3410">
        <w:rPr>
          <w:rFonts w:ascii="Arial" w:hAnsi="Arial" w:cs="Arial"/>
          <w:lang w:val="en-GB"/>
        </w:rPr>
        <w:lastRenderedPageBreak/>
        <w:t>(d)   The fairness and lawfulness of the procurement process must be assessed in terms of the provisions of the Promotion of Administrative Justice Act (PAJA).</w:t>
      </w:r>
    </w:p>
    <w:p w14:paraId="0664DCF2" w14:textId="77777777" w:rsidR="007F3410" w:rsidRPr="007F3410" w:rsidRDefault="007F3410" w:rsidP="007F3410">
      <w:pPr>
        <w:spacing w:after="0" w:line="480" w:lineRule="auto"/>
        <w:ind w:left="709"/>
        <w:jc w:val="both"/>
        <w:rPr>
          <w:rFonts w:ascii="Arial" w:hAnsi="Arial" w:cs="Arial"/>
          <w:lang w:val="en-GB"/>
        </w:rPr>
      </w:pPr>
      <w:r w:rsidRPr="007F3410">
        <w:rPr>
          <w:rFonts w:ascii="Arial" w:hAnsi="Arial" w:cs="Arial"/>
          <w:lang w:val="en-GB"/>
        </w:rPr>
        <w:t>(e)   Black economic empowerment generally requires substantive participation in the management and running of any enterprise.</w:t>
      </w:r>
    </w:p>
    <w:p w14:paraId="5FF2C796" w14:textId="1C199D48" w:rsidR="007F3410" w:rsidRPr="007F3410" w:rsidRDefault="007F3410" w:rsidP="0099225A">
      <w:pPr>
        <w:spacing w:after="0" w:line="480" w:lineRule="auto"/>
        <w:ind w:left="709"/>
        <w:jc w:val="both"/>
        <w:rPr>
          <w:rFonts w:ascii="Arial" w:hAnsi="Arial" w:cs="Arial"/>
          <w:lang w:val="en-GB"/>
        </w:rPr>
      </w:pPr>
      <w:r w:rsidRPr="007F3410">
        <w:rPr>
          <w:rFonts w:ascii="Arial" w:hAnsi="Arial" w:cs="Arial"/>
          <w:lang w:val="en-GB"/>
        </w:rPr>
        <w:t>(f)   The remedy stage is where appropriate consideration must be given to the public interest in the consequences of setting the procurement process aside.”</w:t>
      </w:r>
    </w:p>
    <w:p w14:paraId="7FDFA493" w14:textId="73245AAF" w:rsidR="007F3410" w:rsidRPr="007F3410" w:rsidRDefault="007F3410" w:rsidP="007F3410">
      <w:pPr>
        <w:spacing w:after="0" w:line="480" w:lineRule="auto"/>
        <w:jc w:val="both"/>
        <w:rPr>
          <w:rFonts w:ascii="Arial" w:hAnsi="Arial" w:cs="Arial"/>
          <w:sz w:val="24"/>
          <w:szCs w:val="24"/>
          <w:lang w:val="en-GB"/>
        </w:rPr>
      </w:pPr>
      <w:r w:rsidRPr="007F3410">
        <w:rPr>
          <w:rFonts w:ascii="Arial" w:hAnsi="Arial" w:cs="Arial"/>
          <w:sz w:val="24"/>
          <w:szCs w:val="24"/>
          <w:lang w:val="en-GB"/>
        </w:rPr>
        <w:t>[</w:t>
      </w:r>
      <w:r w:rsidR="003A201E">
        <w:rPr>
          <w:rFonts w:ascii="Arial" w:hAnsi="Arial" w:cs="Arial"/>
          <w:sz w:val="24"/>
          <w:szCs w:val="24"/>
          <w:lang w:val="en-GB"/>
        </w:rPr>
        <w:t>7</w:t>
      </w:r>
      <w:r w:rsidRPr="007F3410">
        <w:rPr>
          <w:rFonts w:ascii="Arial" w:hAnsi="Arial" w:cs="Arial"/>
          <w:sz w:val="24"/>
          <w:szCs w:val="24"/>
          <w:lang w:val="en-GB"/>
        </w:rPr>
        <w:t>]    When considering the fairness and lawfulness of the administrative action (independent from the result) the following approach is to be followed:</w:t>
      </w:r>
    </w:p>
    <w:p w14:paraId="05B65BF6" w14:textId="2BECF6D3" w:rsidR="007F3410" w:rsidRPr="0099225A" w:rsidRDefault="00D70571" w:rsidP="0099225A">
      <w:pPr>
        <w:spacing w:after="0" w:line="480" w:lineRule="auto"/>
        <w:ind w:left="709"/>
        <w:jc w:val="both"/>
        <w:rPr>
          <w:rFonts w:ascii="Arial" w:hAnsi="Arial" w:cs="Arial"/>
          <w:lang w:val="en-GB"/>
        </w:rPr>
      </w:pPr>
      <w:r>
        <w:rPr>
          <w:rFonts w:ascii="Arial" w:hAnsi="Arial" w:cs="Arial"/>
          <w:lang w:val="en-GB"/>
        </w:rPr>
        <w:t>“</w:t>
      </w:r>
      <w:r w:rsidR="007F3410" w:rsidRPr="008838B3">
        <w:rPr>
          <w:rFonts w:ascii="Arial" w:hAnsi="Arial" w:cs="Arial"/>
          <w:lang w:val="en-GB"/>
        </w:rPr>
        <w:t xml:space="preserve">Once the ground of review under PAJA has been established there is no room for shying away from it.  Section 172(2) (a) of the Constitution requires the decision to be declared unlawful.  The consequences of the declaration of unlawfulness must then be dealt with in a just and equitable order under Section 172(1) (b).  Section 8 of PAJA gives detailed legislative content to the Constitution’s </w:t>
      </w:r>
      <w:r>
        <w:rPr>
          <w:rFonts w:ascii="Arial" w:hAnsi="Arial" w:cs="Arial"/>
          <w:lang w:val="en-GB"/>
        </w:rPr>
        <w:t>‘</w:t>
      </w:r>
      <w:r w:rsidR="007F3410" w:rsidRPr="008838B3">
        <w:rPr>
          <w:rFonts w:ascii="Arial" w:hAnsi="Arial" w:cs="Arial"/>
          <w:lang w:val="en-GB"/>
        </w:rPr>
        <w:t>just and equitable</w:t>
      </w:r>
      <w:r>
        <w:rPr>
          <w:rFonts w:ascii="Arial" w:hAnsi="Arial" w:cs="Arial"/>
          <w:lang w:val="en-GB"/>
        </w:rPr>
        <w:t>’</w:t>
      </w:r>
      <w:r w:rsidR="007F3410" w:rsidRPr="008838B3">
        <w:rPr>
          <w:rFonts w:ascii="Arial" w:hAnsi="Arial" w:cs="Arial"/>
          <w:lang w:val="en-GB"/>
        </w:rPr>
        <w:t xml:space="preserve"> remedy.</w:t>
      </w:r>
      <w:r>
        <w:rPr>
          <w:rFonts w:ascii="Arial" w:hAnsi="Arial" w:cs="Arial"/>
          <w:lang w:val="en-GB"/>
        </w:rPr>
        <w:t xml:space="preserve">” </w:t>
      </w:r>
      <w:r w:rsidR="007F3410" w:rsidRPr="008838B3">
        <w:rPr>
          <w:rFonts w:ascii="Arial" w:hAnsi="Arial" w:cs="Arial"/>
          <w:lang w:val="en-GB"/>
        </w:rPr>
        <w:t>(footnotes omitted)</w:t>
      </w:r>
      <w:r w:rsidR="00631BB9">
        <w:rPr>
          <w:rStyle w:val="FootnoteReference"/>
          <w:rFonts w:ascii="Arial" w:hAnsi="Arial" w:cs="Arial"/>
          <w:lang w:val="en-GB"/>
        </w:rPr>
        <w:footnoteReference w:id="11"/>
      </w:r>
    </w:p>
    <w:p w14:paraId="3FF2AE74" w14:textId="00129551" w:rsidR="007F3410" w:rsidRPr="007F3410" w:rsidRDefault="007F3410" w:rsidP="007F3410">
      <w:pPr>
        <w:spacing w:after="0" w:line="480" w:lineRule="auto"/>
        <w:jc w:val="both"/>
        <w:rPr>
          <w:rFonts w:ascii="Arial" w:hAnsi="Arial" w:cs="Arial"/>
          <w:sz w:val="24"/>
          <w:szCs w:val="24"/>
          <w:lang w:val="en-GB"/>
        </w:rPr>
      </w:pPr>
      <w:r w:rsidRPr="007F3410">
        <w:rPr>
          <w:rFonts w:ascii="Arial" w:hAnsi="Arial" w:cs="Arial"/>
          <w:sz w:val="24"/>
          <w:szCs w:val="24"/>
          <w:lang w:val="en-GB"/>
        </w:rPr>
        <w:t>[</w:t>
      </w:r>
      <w:r w:rsidR="0099225A">
        <w:rPr>
          <w:rFonts w:ascii="Arial" w:hAnsi="Arial" w:cs="Arial"/>
          <w:sz w:val="24"/>
          <w:szCs w:val="24"/>
          <w:lang w:val="en-GB"/>
        </w:rPr>
        <w:t>8</w:t>
      </w:r>
      <w:r w:rsidRPr="007F3410">
        <w:rPr>
          <w:rFonts w:ascii="Arial" w:hAnsi="Arial" w:cs="Arial"/>
          <w:sz w:val="24"/>
          <w:szCs w:val="24"/>
          <w:lang w:val="en-GB"/>
        </w:rPr>
        <w:t>]    The Constitutional Court further considered</w:t>
      </w:r>
      <w:r w:rsidR="00631BB9">
        <w:rPr>
          <w:rStyle w:val="FootnoteReference"/>
          <w:rFonts w:ascii="Arial" w:hAnsi="Arial" w:cs="Arial"/>
          <w:sz w:val="24"/>
          <w:szCs w:val="24"/>
          <w:lang w:val="en-GB"/>
        </w:rPr>
        <w:footnoteReference w:id="12"/>
      </w:r>
      <w:r w:rsidRPr="007F3410">
        <w:rPr>
          <w:rFonts w:ascii="Arial" w:hAnsi="Arial" w:cs="Arial"/>
          <w:sz w:val="24"/>
          <w:szCs w:val="24"/>
          <w:lang w:val="en-GB"/>
        </w:rPr>
        <w:t xml:space="preserve"> that</w:t>
      </w:r>
    </w:p>
    <w:p w14:paraId="25212E26" w14:textId="2932C76E" w:rsidR="007F3410" w:rsidRPr="0099225A" w:rsidRDefault="0099225A" w:rsidP="0099225A">
      <w:pPr>
        <w:spacing w:after="0" w:line="480" w:lineRule="auto"/>
        <w:ind w:left="709"/>
        <w:jc w:val="both"/>
        <w:rPr>
          <w:rFonts w:ascii="Arial" w:hAnsi="Arial" w:cs="Arial"/>
          <w:lang w:val="en-GB"/>
        </w:rPr>
      </w:pPr>
      <w:r>
        <w:rPr>
          <w:rFonts w:ascii="Arial" w:hAnsi="Arial" w:cs="Arial"/>
          <w:lang w:val="en-GB"/>
        </w:rPr>
        <w:t>“</w:t>
      </w:r>
      <w:r w:rsidR="007F3410" w:rsidRPr="0099225A">
        <w:rPr>
          <w:rFonts w:ascii="Arial" w:hAnsi="Arial" w:cs="Arial"/>
          <w:lang w:val="en-GB"/>
        </w:rPr>
        <w:t>. . . deviations from fair process may themselves all too often be symptoms of corruption or malfeasance in the process.  In other words, an unfair process may betoken a deliberately skewed process.  Hence insistence on compliance with process formalities has a threefold purpose: (a) it ensures fairness to participants in the bid process; (b) it enhances the likelihood of efficiency and optimality in the outcome; and (c) it serves as a guardian against a process skewed by corrupt influences.</w:t>
      </w:r>
      <w:r>
        <w:rPr>
          <w:rFonts w:ascii="Arial" w:hAnsi="Arial" w:cs="Arial"/>
          <w:lang w:val="en-GB"/>
        </w:rPr>
        <w:t>”</w:t>
      </w:r>
      <w:r w:rsidR="007F3410" w:rsidRPr="0099225A">
        <w:rPr>
          <w:rFonts w:ascii="Arial" w:hAnsi="Arial" w:cs="Arial"/>
          <w:lang w:val="en-GB"/>
        </w:rPr>
        <w:t xml:space="preserve">          </w:t>
      </w:r>
    </w:p>
    <w:p w14:paraId="04F4325D" w14:textId="6FF6D6E4" w:rsidR="007F3410" w:rsidRPr="007F3410" w:rsidRDefault="007F3410" w:rsidP="007F3410">
      <w:pPr>
        <w:spacing w:after="0" w:line="480" w:lineRule="auto"/>
        <w:jc w:val="both"/>
        <w:rPr>
          <w:rFonts w:ascii="Arial" w:hAnsi="Arial" w:cs="Arial"/>
          <w:sz w:val="24"/>
          <w:szCs w:val="24"/>
          <w:lang w:val="en-GB"/>
        </w:rPr>
      </w:pPr>
      <w:r w:rsidRPr="007F3410">
        <w:rPr>
          <w:rFonts w:ascii="Arial" w:hAnsi="Arial" w:cs="Arial"/>
          <w:sz w:val="24"/>
          <w:szCs w:val="24"/>
          <w:lang w:val="en-GB"/>
        </w:rPr>
        <w:t>[</w:t>
      </w:r>
      <w:r w:rsidR="00B72C0A">
        <w:rPr>
          <w:rFonts w:ascii="Arial" w:hAnsi="Arial" w:cs="Arial"/>
          <w:sz w:val="24"/>
          <w:szCs w:val="24"/>
          <w:lang w:val="en-GB"/>
        </w:rPr>
        <w:t>9]</w:t>
      </w:r>
      <w:r w:rsidR="00B72C0A">
        <w:rPr>
          <w:rFonts w:ascii="Arial" w:hAnsi="Arial" w:cs="Arial"/>
          <w:sz w:val="24"/>
          <w:szCs w:val="24"/>
          <w:lang w:val="en-GB"/>
        </w:rPr>
        <w:tab/>
      </w:r>
      <w:r w:rsidRPr="007F3410">
        <w:rPr>
          <w:rFonts w:ascii="Arial" w:hAnsi="Arial" w:cs="Arial"/>
          <w:sz w:val="24"/>
          <w:szCs w:val="24"/>
          <w:lang w:val="en-GB"/>
        </w:rPr>
        <w:t xml:space="preserve">The procurement framework legality was set out by Froneman J in </w:t>
      </w:r>
      <w:r w:rsidRPr="0099225A">
        <w:rPr>
          <w:rFonts w:ascii="Arial" w:hAnsi="Arial" w:cs="Arial"/>
          <w:i/>
          <w:iCs/>
          <w:sz w:val="24"/>
          <w:szCs w:val="24"/>
          <w:lang w:val="en-GB"/>
        </w:rPr>
        <w:t>Allpay</w:t>
      </w:r>
      <w:r w:rsidR="00631BB9">
        <w:rPr>
          <w:rFonts w:ascii="Arial" w:hAnsi="Arial" w:cs="Arial"/>
          <w:sz w:val="24"/>
          <w:szCs w:val="24"/>
          <w:lang w:val="en-GB"/>
        </w:rPr>
        <w:t xml:space="preserve"> </w:t>
      </w:r>
      <w:r w:rsidRPr="00631BB9">
        <w:rPr>
          <w:rFonts w:ascii="Arial" w:hAnsi="Arial" w:cs="Arial"/>
          <w:i/>
          <w:iCs/>
          <w:sz w:val="24"/>
          <w:szCs w:val="24"/>
          <w:lang w:val="en-GB"/>
        </w:rPr>
        <w:t>(1)</w:t>
      </w:r>
      <w:r w:rsidR="00631BB9">
        <w:rPr>
          <w:rStyle w:val="FootnoteReference"/>
          <w:rFonts w:ascii="Arial" w:hAnsi="Arial" w:cs="Arial"/>
          <w:i/>
          <w:iCs/>
          <w:sz w:val="24"/>
          <w:szCs w:val="24"/>
          <w:lang w:val="en-GB"/>
        </w:rPr>
        <w:footnoteReference w:id="13"/>
      </w:r>
      <w:r w:rsidRPr="007F3410">
        <w:rPr>
          <w:rFonts w:ascii="Arial" w:hAnsi="Arial" w:cs="Arial"/>
          <w:sz w:val="24"/>
          <w:szCs w:val="24"/>
          <w:lang w:val="en-GB"/>
        </w:rPr>
        <w:t xml:space="preserve"> as follows:</w:t>
      </w:r>
    </w:p>
    <w:p w14:paraId="273CC2FF" w14:textId="25A4CE0E" w:rsidR="007F3410" w:rsidRPr="007F3410" w:rsidRDefault="00D70571" w:rsidP="00D70571">
      <w:pPr>
        <w:spacing w:after="0" w:line="480" w:lineRule="auto"/>
        <w:ind w:left="709"/>
        <w:jc w:val="both"/>
        <w:rPr>
          <w:rFonts w:ascii="Arial" w:hAnsi="Arial" w:cs="Arial"/>
          <w:sz w:val="24"/>
          <w:szCs w:val="24"/>
          <w:lang w:val="en-GB"/>
        </w:rPr>
      </w:pPr>
      <w:r>
        <w:rPr>
          <w:rFonts w:ascii="Arial" w:hAnsi="Arial" w:cs="Arial"/>
          <w:sz w:val="24"/>
          <w:szCs w:val="24"/>
          <w:lang w:val="en-GB"/>
        </w:rPr>
        <w:t>“</w:t>
      </w:r>
      <w:r w:rsidR="006B4B34">
        <w:rPr>
          <w:rFonts w:ascii="Arial" w:hAnsi="Arial" w:cs="Arial"/>
          <w:sz w:val="24"/>
          <w:szCs w:val="24"/>
          <w:lang w:val="en-GB"/>
        </w:rPr>
        <w:t>[31]</w:t>
      </w:r>
      <w:r w:rsidR="006B4B34">
        <w:rPr>
          <w:rFonts w:ascii="Arial" w:hAnsi="Arial" w:cs="Arial"/>
          <w:sz w:val="24"/>
          <w:szCs w:val="24"/>
          <w:lang w:val="en-GB"/>
        </w:rPr>
        <w:tab/>
      </w:r>
      <w:r w:rsidR="007F3410" w:rsidRPr="007F3410">
        <w:rPr>
          <w:rFonts w:ascii="Arial" w:hAnsi="Arial" w:cs="Arial"/>
          <w:sz w:val="24"/>
          <w:szCs w:val="24"/>
          <w:lang w:val="en-GB"/>
        </w:rPr>
        <w:t xml:space="preserve">In </w:t>
      </w:r>
      <w:r w:rsidR="007F3410" w:rsidRPr="0099225A">
        <w:rPr>
          <w:rFonts w:ascii="Arial" w:hAnsi="Arial" w:cs="Arial"/>
          <w:i/>
          <w:iCs/>
          <w:sz w:val="24"/>
          <w:szCs w:val="24"/>
          <w:lang w:val="en-GB"/>
        </w:rPr>
        <w:t>Steenkamp</w:t>
      </w:r>
      <w:r w:rsidR="007F3410" w:rsidRPr="007F3410">
        <w:rPr>
          <w:rFonts w:ascii="Arial" w:hAnsi="Arial" w:cs="Arial"/>
          <w:sz w:val="24"/>
          <w:szCs w:val="24"/>
          <w:lang w:val="en-GB"/>
        </w:rPr>
        <w:t xml:space="preserve"> Moseneke DCJ stated:-</w:t>
      </w:r>
    </w:p>
    <w:p w14:paraId="611186BA" w14:textId="076EBC69" w:rsidR="007F3410" w:rsidRPr="0099225A" w:rsidRDefault="00D70571" w:rsidP="0099225A">
      <w:pPr>
        <w:spacing w:after="0" w:line="480" w:lineRule="auto"/>
        <w:ind w:left="709"/>
        <w:jc w:val="both"/>
        <w:rPr>
          <w:rFonts w:ascii="Arial" w:hAnsi="Arial" w:cs="Arial"/>
          <w:lang w:val="en-GB"/>
        </w:rPr>
      </w:pPr>
      <w:r>
        <w:rPr>
          <w:rFonts w:ascii="Arial" w:hAnsi="Arial" w:cs="Arial"/>
          <w:lang w:val="en-GB"/>
        </w:rPr>
        <w:lastRenderedPageBreak/>
        <w:t>‘</w:t>
      </w:r>
      <w:r w:rsidR="007F3410" w:rsidRPr="0099225A">
        <w:rPr>
          <w:rFonts w:ascii="Arial" w:hAnsi="Arial" w:cs="Arial"/>
          <w:lang w:val="en-GB"/>
        </w:rPr>
        <w:t xml:space="preserve">Section 217 of the Constitution is the source of the powers and function of a government tender board. It lays down that an organ of State in any of the three spheres of government, if authorised by law may contract for goods and services on behalf of government. However, the tendering system it devises must be fair, equitable, transparent, </w:t>
      </w:r>
      <w:r w:rsidR="00991255" w:rsidRPr="0099225A">
        <w:rPr>
          <w:rFonts w:ascii="Arial" w:hAnsi="Arial" w:cs="Arial"/>
          <w:lang w:val="en-GB"/>
        </w:rPr>
        <w:t>competitive,</w:t>
      </w:r>
      <w:r w:rsidR="007F3410" w:rsidRPr="0099225A">
        <w:rPr>
          <w:rFonts w:ascii="Arial" w:hAnsi="Arial" w:cs="Arial"/>
          <w:lang w:val="en-GB"/>
        </w:rPr>
        <w:t xml:space="preserve"> and cost-effective. This requirement must be understood together with the constitutional precepts on administrative justice in s 33 and the basic values governing public administration in section 195(1).’</w:t>
      </w:r>
      <w:r>
        <w:rPr>
          <w:rFonts w:ascii="Arial" w:hAnsi="Arial" w:cs="Arial"/>
          <w:lang w:val="en-GB"/>
        </w:rPr>
        <w:t>”</w:t>
      </w:r>
      <w:r w:rsidR="007F3410" w:rsidRPr="0099225A">
        <w:rPr>
          <w:rFonts w:ascii="Arial" w:hAnsi="Arial" w:cs="Arial"/>
          <w:lang w:val="en-GB"/>
        </w:rPr>
        <w:t xml:space="preserve"> (footnotes omitted)</w:t>
      </w:r>
    </w:p>
    <w:p w14:paraId="786A8275" w14:textId="29F3F3A8" w:rsidR="007F3410" w:rsidRPr="003E3323" w:rsidRDefault="007F3410" w:rsidP="006B4B34">
      <w:pPr>
        <w:spacing w:after="0" w:line="480" w:lineRule="auto"/>
        <w:ind w:left="709"/>
        <w:jc w:val="both"/>
        <w:rPr>
          <w:rFonts w:ascii="Arial" w:hAnsi="Arial" w:cs="Arial"/>
          <w:lang w:val="en-GB"/>
        </w:rPr>
      </w:pPr>
      <w:r w:rsidRPr="003E3323">
        <w:rPr>
          <w:rFonts w:ascii="Arial" w:hAnsi="Arial" w:cs="Arial"/>
          <w:lang w:val="en-GB"/>
        </w:rPr>
        <w:t xml:space="preserve">In </w:t>
      </w:r>
      <w:r w:rsidRPr="003E3323">
        <w:rPr>
          <w:rFonts w:ascii="Arial" w:hAnsi="Arial" w:cs="Arial"/>
          <w:i/>
          <w:iCs/>
          <w:lang w:val="en-GB"/>
        </w:rPr>
        <w:t>Millennium Waste</w:t>
      </w:r>
      <w:r w:rsidRPr="003E3323">
        <w:rPr>
          <w:rFonts w:ascii="Arial" w:hAnsi="Arial" w:cs="Arial"/>
          <w:lang w:val="en-GB"/>
        </w:rPr>
        <w:t xml:space="preserve"> </w:t>
      </w:r>
      <w:r w:rsidR="00B72C0A" w:rsidRPr="003E3323">
        <w:rPr>
          <w:rFonts w:ascii="Arial" w:hAnsi="Arial" w:cs="Arial"/>
          <w:i/>
          <w:iCs/>
          <w:lang w:val="en-GB"/>
        </w:rPr>
        <w:t xml:space="preserve">Management (Pty) Ltd. v Chairperson of the Tender Board: Limpopo Province and Others </w:t>
      </w:r>
      <w:r w:rsidRPr="003E3323">
        <w:rPr>
          <w:rFonts w:ascii="Arial" w:hAnsi="Arial" w:cs="Arial"/>
          <w:i/>
          <w:iCs/>
          <w:lang w:val="en-GB"/>
        </w:rPr>
        <w:t>the Supreme Court of Appeal</w:t>
      </w:r>
      <w:r w:rsidRPr="003E3323">
        <w:rPr>
          <w:rFonts w:ascii="Arial" w:hAnsi="Arial" w:cs="Arial"/>
          <w:lang w:val="en-GB"/>
        </w:rPr>
        <w:t xml:space="preserve"> (per Jafta JA) elaborated:</w:t>
      </w:r>
    </w:p>
    <w:p w14:paraId="291BAA22" w14:textId="77777777"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t>“The . . . Constitution lays down minimum requirements for a valid tender process and contracts entered into following an award of tender to a successful tenderer (s 217). The section requires that the tender process, preceding the conclusion of contracts for the supply of goods and services, must be ‘fair, equitable, transparent, competitive and cost-effective’. Finally, as the decision to award a tender constitutes administrative action, it follows that the provisions of [PAJA] apply to the process.” (footnotes omitted)</w:t>
      </w:r>
    </w:p>
    <w:p w14:paraId="255A95EC" w14:textId="406B400A"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t xml:space="preserve">[32] </w:t>
      </w:r>
      <w:r w:rsidR="00E45F68">
        <w:rPr>
          <w:rFonts w:ascii="Arial" w:hAnsi="Arial" w:cs="Arial"/>
          <w:lang w:val="en-GB"/>
        </w:rPr>
        <w:tab/>
      </w:r>
      <w:r w:rsidRPr="00B72C0A">
        <w:rPr>
          <w:rFonts w:ascii="Arial" w:hAnsi="Arial" w:cs="Arial"/>
          <w:lang w:val="en-GB"/>
        </w:rPr>
        <w:t>The starting point for an evaluation of the proper approach to an assessment of the constitutional validity of outcomes under the state procurement process is thus s 217 of the Constitution:</w:t>
      </w:r>
    </w:p>
    <w:p w14:paraId="1F3641B9" w14:textId="3019F41A" w:rsidR="007F3410" w:rsidRPr="00B72C0A" w:rsidRDefault="00D70571" w:rsidP="00B72C0A">
      <w:pPr>
        <w:spacing w:after="0" w:line="480" w:lineRule="auto"/>
        <w:ind w:left="709"/>
        <w:jc w:val="both"/>
        <w:rPr>
          <w:rFonts w:ascii="Arial" w:hAnsi="Arial" w:cs="Arial"/>
          <w:lang w:val="en-GB"/>
        </w:rPr>
      </w:pPr>
      <w:r>
        <w:rPr>
          <w:rFonts w:ascii="Arial" w:hAnsi="Arial" w:cs="Arial"/>
          <w:lang w:val="en-GB"/>
        </w:rPr>
        <w:t>‘</w:t>
      </w:r>
      <w:r w:rsidR="007F3410" w:rsidRPr="00B72C0A">
        <w:rPr>
          <w:rFonts w:ascii="Arial" w:hAnsi="Arial" w:cs="Arial"/>
          <w:lang w:val="en-GB"/>
        </w:rPr>
        <w:t xml:space="preserve">(1) When an organ of state in the national, </w:t>
      </w:r>
      <w:r w:rsidR="00991255" w:rsidRPr="00B72C0A">
        <w:rPr>
          <w:rFonts w:ascii="Arial" w:hAnsi="Arial" w:cs="Arial"/>
          <w:lang w:val="en-GB"/>
        </w:rPr>
        <w:t>provincial,</w:t>
      </w:r>
      <w:r w:rsidR="007F3410" w:rsidRPr="00B72C0A">
        <w:rPr>
          <w:rFonts w:ascii="Arial" w:hAnsi="Arial" w:cs="Arial"/>
          <w:lang w:val="en-GB"/>
        </w:rPr>
        <w:t xml:space="preserve"> or local sphere of government, or any other institution identified in national legislation, contracts for goods or services, it must do so in accordance with a system which is fair, equitable, transparent, competitive and cost-effective. </w:t>
      </w:r>
    </w:p>
    <w:p w14:paraId="7F841884" w14:textId="77777777"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t>(2) Subsection (1) does not prevent the organs of state or institutions referred to in that subsection from implementing a procurement policy providing for —</w:t>
      </w:r>
    </w:p>
    <w:p w14:paraId="09AD76A5" w14:textId="77777777"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t xml:space="preserve">(a)   categories of preference in the allocation of contracts; and  </w:t>
      </w:r>
    </w:p>
    <w:p w14:paraId="5EAD40A0" w14:textId="77777777"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t>(b)   the protection or advancement of persons, or categories of persons, disadvantaged by unfair discrimination.</w:t>
      </w:r>
    </w:p>
    <w:p w14:paraId="37952C2B" w14:textId="47E76F3E" w:rsidR="007F3410" w:rsidRPr="00B72C0A" w:rsidRDefault="007F3410" w:rsidP="00B72C0A">
      <w:pPr>
        <w:spacing w:after="0" w:line="480" w:lineRule="auto"/>
        <w:ind w:left="709"/>
        <w:jc w:val="both"/>
        <w:rPr>
          <w:rFonts w:ascii="Arial" w:hAnsi="Arial" w:cs="Arial"/>
          <w:lang w:val="en-GB"/>
        </w:rPr>
      </w:pPr>
      <w:r w:rsidRPr="00B72C0A">
        <w:rPr>
          <w:rFonts w:ascii="Arial" w:hAnsi="Arial" w:cs="Arial"/>
          <w:lang w:val="en-GB"/>
        </w:rPr>
        <w:lastRenderedPageBreak/>
        <w:t>(3) National legislation must prescribe a framework within which the policy referred to in subsection (2) must be implemented.</w:t>
      </w:r>
      <w:r w:rsidR="00D70571">
        <w:rPr>
          <w:rFonts w:ascii="Arial" w:hAnsi="Arial" w:cs="Arial"/>
          <w:lang w:val="en-GB"/>
        </w:rPr>
        <w:t>’”</w:t>
      </w:r>
    </w:p>
    <w:p w14:paraId="70CC32A1" w14:textId="23E6C8F0"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w:t>
      </w:r>
      <w:r w:rsidR="00E45F68">
        <w:rPr>
          <w:rFonts w:ascii="Arial" w:hAnsi="Arial" w:cs="Arial"/>
          <w:lang w:val="en-GB"/>
        </w:rPr>
        <w:t>33</w:t>
      </w:r>
      <w:r w:rsidRPr="00E45F68">
        <w:rPr>
          <w:rFonts w:ascii="Arial" w:hAnsi="Arial" w:cs="Arial"/>
          <w:lang w:val="en-GB"/>
        </w:rPr>
        <w:t xml:space="preserve">] </w:t>
      </w:r>
      <w:r w:rsidR="00C84703" w:rsidRPr="00E45F68">
        <w:rPr>
          <w:rFonts w:ascii="Arial" w:hAnsi="Arial" w:cs="Arial"/>
          <w:lang w:val="en-GB"/>
        </w:rPr>
        <w:tab/>
      </w:r>
      <w:r w:rsidRPr="00E45F68">
        <w:rPr>
          <w:rFonts w:ascii="Arial" w:hAnsi="Arial" w:cs="Arial"/>
          <w:lang w:val="en-GB"/>
        </w:rPr>
        <w:t>The national legislation prescribing the framework within which procurement policy must be implemented is the Preferential Procurement Policy Framework Act (Procurement Act). The Public Finance Management Act is also relevant.</w:t>
      </w:r>
    </w:p>
    <w:p w14:paraId="5C1BD3FE" w14:textId="1CBFFEDC" w:rsidR="00D70571"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w:t>
      </w:r>
      <w:r w:rsidR="00E45F68">
        <w:rPr>
          <w:rFonts w:ascii="Arial" w:hAnsi="Arial" w:cs="Arial"/>
          <w:lang w:val="en-GB"/>
        </w:rPr>
        <w:t>34</w:t>
      </w:r>
      <w:r w:rsidRPr="00E45F68">
        <w:rPr>
          <w:rFonts w:ascii="Arial" w:hAnsi="Arial" w:cs="Arial"/>
          <w:lang w:val="en-GB"/>
        </w:rPr>
        <w:t xml:space="preserve">] </w:t>
      </w:r>
      <w:r w:rsidR="00C84703" w:rsidRPr="00E45F68">
        <w:rPr>
          <w:rFonts w:ascii="Arial" w:hAnsi="Arial" w:cs="Arial"/>
          <w:lang w:val="en-GB"/>
        </w:rPr>
        <w:tab/>
      </w:r>
      <w:r w:rsidRPr="00E45F68">
        <w:rPr>
          <w:rFonts w:ascii="Arial" w:hAnsi="Arial" w:cs="Arial"/>
          <w:lang w:val="en-GB"/>
        </w:rPr>
        <w:t xml:space="preserve">An “acceptable tender” under the Procurement Act is any “tender which, in all respects, complies with the specifications and conditions of tender as set out in the tender document; . . .” The Preferential Procurement Regulations (Procurement Regulations) define a tender as </w:t>
      </w:r>
    </w:p>
    <w:p w14:paraId="64BF2F7D" w14:textId="14A369BA"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“a written offer in a prescribed or stipulated form in response to an invitation by an organ of state for the provision of services, works or goods, through price quotations, advertised competitive tendering processes or proposals; . . . .”</w:t>
      </w:r>
    </w:p>
    <w:p w14:paraId="158DC8EC" w14:textId="704A4725"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w:t>
      </w:r>
      <w:r w:rsidR="00E45F68">
        <w:rPr>
          <w:rFonts w:ascii="Arial" w:hAnsi="Arial" w:cs="Arial"/>
          <w:lang w:val="en-GB"/>
        </w:rPr>
        <w:t>35</w:t>
      </w:r>
      <w:r w:rsidRPr="00E45F68">
        <w:rPr>
          <w:rFonts w:ascii="Arial" w:hAnsi="Arial" w:cs="Arial"/>
          <w:lang w:val="en-GB"/>
        </w:rPr>
        <w:t xml:space="preserve">] </w:t>
      </w:r>
      <w:r w:rsidR="00C84703" w:rsidRPr="00E45F68">
        <w:rPr>
          <w:rFonts w:ascii="Arial" w:hAnsi="Arial" w:cs="Arial"/>
          <w:lang w:val="en-GB"/>
        </w:rPr>
        <w:tab/>
      </w:r>
      <w:r w:rsidRPr="00E45F68">
        <w:rPr>
          <w:rFonts w:ascii="Arial" w:hAnsi="Arial" w:cs="Arial"/>
          <w:lang w:val="en-GB"/>
        </w:rPr>
        <w:t>An organ of state must indicate in the invitation to submit a tender —</w:t>
      </w:r>
    </w:p>
    <w:p w14:paraId="7B61B888" w14:textId="77777777"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(a)   if that tender will be evaluated on functionality;</w:t>
      </w:r>
    </w:p>
    <w:p w14:paraId="6EF13F73" w14:textId="77777777"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(b)   that the evaluation criteria for measuring functionality are objective;</w:t>
      </w:r>
    </w:p>
    <w:p w14:paraId="381C1D55" w14:textId="77777777"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(c)   the evaluation criteria, weight of each criterion, applicable values and minimum qualifying score for functionality;</w:t>
      </w:r>
    </w:p>
    <w:p w14:paraId="299E17C7" w14:textId="77777777"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(d)   that no tender will be regarded as an acceptable tender if it fails to  achieve the minimum qualifying score for functionality as indicated in the tender invitation; and</w:t>
      </w:r>
    </w:p>
    <w:p w14:paraId="3102F53A" w14:textId="77777777"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(e)   that tenders that have achieved the minimum qualification score for functionality must be evaluated further in terms of the applicable prescribed point systems.</w:t>
      </w:r>
    </w:p>
    <w:p w14:paraId="53809680" w14:textId="5B2E0194" w:rsidR="00C84703"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w:t>
      </w:r>
      <w:r w:rsidR="00E45F68">
        <w:rPr>
          <w:rFonts w:ascii="Arial" w:hAnsi="Arial" w:cs="Arial"/>
          <w:lang w:val="en-GB"/>
        </w:rPr>
        <w:t>36</w:t>
      </w:r>
      <w:r w:rsidRPr="00E45F68">
        <w:rPr>
          <w:rFonts w:ascii="Arial" w:hAnsi="Arial" w:cs="Arial"/>
          <w:lang w:val="en-GB"/>
        </w:rPr>
        <w:t xml:space="preserve">] </w:t>
      </w:r>
      <w:r w:rsidR="00C84703" w:rsidRPr="00E45F68">
        <w:rPr>
          <w:rFonts w:ascii="Arial" w:hAnsi="Arial" w:cs="Arial"/>
          <w:lang w:val="en-GB"/>
        </w:rPr>
        <w:tab/>
      </w:r>
      <w:r w:rsidRPr="00E45F68">
        <w:rPr>
          <w:rFonts w:ascii="Arial" w:hAnsi="Arial" w:cs="Arial"/>
          <w:lang w:val="en-GB"/>
        </w:rPr>
        <w:t>The object of the P</w:t>
      </w:r>
      <w:r w:rsidR="00D70571" w:rsidRPr="00E45F68">
        <w:rPr>
          <w:rFonts w:ascii="Arial" w:hAnsi="Arial" w:cs="Arial"/>
          <w:lang w:val="en-GB"/>
        </w:rPr>
        <w:t>FMA</w:t>
      </w:r>
      <w:r w:rsidRPr="00E45F68">
        <w:rPr>
          <w:rFonts w:ascii="Arial" w:hAnsi="Arial" w:cs="Arial"/>
          <w:lang w:val="en-GB"/>
        </w:rPr>
        <w:t xml:space="preserve"> is to </w:t>
      </w:r>
    </w:p>
    <w:p w14:paraId="598673EE" w14:textId="255833A0"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t>“secure transparency, accountability and sound management of the revenue, expenditure, assets and liabilities of the institutions” to which it applies, SASSA being one of them. Section 51(1)(a)(iii) provides that an accounting authority for a public entity must ensure and maintain “an appropriate procurement and provisioning system which is fair, equitable, transparent, competitive and cost-effective; ... .”</w:t>
      </w:r>
    </w:p>
    <w:p w14:paraId="0D960ECE" w14:textId="43C13BAD" w:rsidR="007F3410" w:rsidRPr="00E45F68" w:rsidRDefault="007F3410" w:rsidP="00E45F68">
      <w:pPr>
        <w:spacing w:after="0" w:line="480" w:lineRule="auto"/>
        <w:ind w:left="709"/>
        <w:jc w:val="both"/>
        <w:rPr>
          <w:rFonts w:ascii="Arial" w:hAnsi="Arial" w:cs="Arial"/>
          <w:lang w:val="en-GB"/>
        </w:rPr>
      </w:pPr>
      <w:r w:rsidRPr="00E45F68">
        <w:rPr>
          <w:rFonts w:ascii="Arial" w:hAnsi="Arial" w:cs="Arial"/>
          <w:lang w:val="en-GB"/>
        </w:rPr>
        <w:lastRenderedPageBreak/>
        <w:t>[</w:t>
      </w:r>
      <w:r w:rsidR="00E45F68">
        <w:rPr>
          <w:rFonts w:ascii="Arial" w:hAnsi="Arial" w:cs="Arial"/>
          <w:lang w:val="en-GB"/>
        </w:rPr>
        <w:t>37]</w:t>
      </w:r>
      <w:r w:rsidRPr="00E45F68">
        <w:rPr>
          <w:rFonts w:ascii="Arial" w:hAnsi="Arial" w:cs="Arial"/>
          <w:lang w:val="en-GB"/>
        </w:rPr>
        <w:t xml:space="preserve"> </w:t>
      </w:r>
      <w:r w:rsidR="0045566F" w:rsidRPr="00E45F68">
        <w:rPr>
          <w:rFonts w:ascii="Arial" w:hAnsi="Arial" w:cs="Arial"/>
          <w:lang w:val="en-GB"/>
        </w:rPr>
        <w:tab/>
      </w:r>
      <w:r w:rsidRPr="00E45F68">
        <w:rPr>
          <w:rFonts w:ascii="Arial" w:hAnsi="Arial" w:cs="Arial"/>
          <w:lang w:val="en-GB"/>
        </w:rPr>
        <w:t xml:space="preserve">The Treasury Regulations issued pursuant to </w:t>
      </w:r>
      <w:r w:rsidR="0045566F" w:rsidRPr="00E45F68">
        <w:rPr>
          <w:rFonts w:ascii="Arial" w:hAnsi="Arial" w:cs="Arial"/>
          <w:lang w:val="en-GB"/>
        </w:rPr>
        <w:t>section</w:t>
      </w:r>
      <w:r w:rsidRPr="00E45F68">
        <w:rPr>
          <w:rFonts w:ascii="Arial" w:hAnsi="Arial" w:cs="Arial"/>
          <w:lang w:val="en-GB"/>
        </w:rPr>
        <w:t xml:space="preserve"> 76 of the P</w:t>
      </w:r>
      <w:r w:rsidR="0045566F" w:rsidRPr="00E45F68">
        <w:rPr>
          <w:rFonts w:ascii="Arial" w:hAnsi="Arial" w:cs="Arial"/>
          <w:lang w:val="en-GB"/>
        </w:rPr>
        <w:t>FMA</w:t>
      </w:r>
      <w:r w:rsidRPr="00E45F68">
        <w:rPr>
          <w:rFonts w:ascii="Arial" w:hAnsi="Arial" w:cs="Arial"/>
          <w:lang w:val="en-GB"/>
        </w:rPr>
        <w:t xml:space="preserve"> require the development and implementation of an effective and efficient supply chain management system for the acquisition of goods and services that must be fair, equitable, transparent, competitive and cost-effective.  In the case of procurement through a bidding process, the supply chain management system must provide for the adjudication of bids through a bid adjudication committee; the establishment, composition and functioning of bid specification, evaluation</w:t>
      </w:r>
      <w:r w:rsidR="0045566F" w:rsidRPr="00E45F68">
        <w:rPr>
          <w:rFonts w:ascii="Arial" w:hAnsi="Arial" w:cs="Arial"/>
          <w:lang w:val="en-GB"/>
        </w:rPr>
        <w:t xml:space="preserve"> </w:t>
      </w:r>
      <w:r w:rsidRPr="00E45F68">
        <w:rPr>
          <w:rFonts w:ascii="Arial" w:hAnsi="Arial" w:cs="Arial"/>
          <w:lang w:val="en-GB"/>
        </w:rPr>
        <w:t>and adjudication committees; the selection of bid adjudication members; bidding procedures; and the approval of bid evaluation and/or adjudication committee recommendations.  The accounting officer or accounting authority must ensure that the bid documentation and the general conditions of contract are in accordance with the instructions of the National Treasury, and that</w:t>
      </w:r>
      <w:r w:rsidR="00A95786">
        <w:rPr>
          <w:rFonts w:ascii="Arial" w:hAnsi="Arial" w:cs="Arial"/>
          <w:lang w:val="en-GB"/>
        </w:rPr>
        <w:t xml:space="preserve"> the bid documentation includes </w:t>
      </w:r>
      <w:r w:rsidRPr="00E45F68">
        <w:rPr>
          <w:rFonts w:ascii="Arial" w:hAnsi="Arial" w:cs="Arial"/>
          <w:lang w:val="en-GB"/>
        </w:rPr>
        <w:t>evaluation and adjudication criteria, including criteria prescribed by the Procurement Act and the Broad-Based Black Economic Empowerment Act  (Empowerment Act).</w:t>
      </w:r>
      <w:r w:rsidR="00E45F68">
        <w:rPr>
          <w:rFonts w:ascii="Arial" w:hAnsi="Arial" w:cs="Arial"/>
          <w:lang w:val="en-GB"/>
        </w:rPr>
        <w:t>’”</w:t>
      </w:r>
      <w:r w:rsidRPr="00E45F68">
        <w:rPr>
          <w:rFonts w:ascii="Arial" w:hAnsi="Arial" w:cs="Arial"/>
          <w:lang w:val="en-GB"/>
        </w:rPr>
        <w:t>(footnotes omitted)</w:t>
      </w:r>
    </w:p>
    <w:p w14:paraId="50C2BE44" w14:textId="73074FAB" w:rsidR="007F3410" w:rsidRPr="007F3410" w:rsidRDefault="007F3410" w:rsidP="007F3410">
      <w:pPr>
        <w:spacing w:after="0" w:line="480" w:lineRule="auto"/>
        <w:jc w:val="both"/>
        <w:rPr>
          <w:rFonts w:ascii="Arial" w:hAnsi="Arial" w:cs="Arial"/>
          <w:sz w:val="24"/>
          <w:szCs w:val="24"/>
          <w:lang w:val="en-GB"/>
        </w:rPr>
      </w:pPr>
      <w:r w:rsidRPr="007F3410">
        <w:rPr>
          <w:rFonts w:ascii="Arial" w:hAnsi="Arial" w:cs="Arial"/>
          <w:sz w:val="24"/>
          <w:szCs w:val="24"/>
          <w:lang w:val="en-GB"/>
        </w:rPr>
        <w:t>[</w:t>
      </w:r>
      <w:r w:rsidR="002D76A3">
        <w:rPr>
          <w:rFonts w:ascii="Arial" w:hAnsi="Arial" w:cs="Arial"/>
          <w:sz w:val="24"/>
          <w:szCs w:val="24"/>
          <w:lang w:val="en-GB"/>
        </w:rPr>
        <w:t>1</w:t>
      </w:r>
      <w:r w:rsidR="00623EF8">
        <w:rPr>
          <w:rFonts w:ascii="Arial" w:hAnsi="Arial" w:cs="Arial"/>
          <w:sz w:val="24"/>
          <w:szCs w:val="24"/>
          <w:lang w:val="en-GB"/>
        </w:rPr>
        <w:t>0</w:t>
      </w:r>
      <w:r w:rsidRPr="007F3410">
        <w:rPr>
          <w:rFonts w:ascii="Arial" w:hAnsi="Arial" w:cs="Arial"/>
          <w:sz w:val="24"/>
          <w:szCs w:val="24"/>
          <w:lang w:val="en-GB"/>
        </w:rPr>
        <w:t xml:space="preserve">]    It is only after applying the proper principles that consideration to a remedy, if applicable, should be given.  In this regard Froneman J said in </w:t>
      </w:r>
      <w:r w:rsidRPr="00353BF0">
        <w:rPr>
          <w:rFonts w:ascii="Arial" w:hAnsi="Arial" w:cs="Arial"/>
          <w:i/>
          <w:iCs/>
          <w:sz w:val="24"/>
          <w:szCs w:val="24"/>
          <w:lang w:val="en-GB"/>
        </w:rPr>
        <w:t>Allpay (1)</w:t>
      </w:r>
      <w:r w:rsidR="003E3323">
        <w:rPr>
          <w:rStyle w:val="FootnoteReference"/>
          <w:rFonts w:ascii="Arial" w:hAnsi="Arial" w:cs="Arial"/>
          <w:i/>
          <w:iCs/>
          <w:sz w:val="24"/>
          <w:szCs w:val="24"/>
          <w:lang w:val="en-GB"/>
        </w:rPr>
        <w:footnoteReference w:id="14"/>
      </w:r>
      <w:r w:rsidRPr="007F3410">
        <w:rPr>
          <w:rFonts w:ascii="Arial" w:hAnsi="Arial" w:cs="Arial"/>
          <w:sz w:val="24"/>
          <w:szCs w:val="24"/>
          <w:lang w:val="en-GB"/>
        </w:rPr>
        <w:t xml:space="preserve"> as follows:        </w:t>
      </w:r>
    </w:p>
    <w:p w14:paraId="5A0A10D7" w14:textId="11631631" w:rsidR="007F3410" w:rsidRPr="00353BF0" w:rsidRDefault="00353BF0" w:rsidP="00353BF0">
      <w:pPr>
        <w:spacing w:after="0" w:line="480" w:lineRule="auto"/>
        <w:ind w:left="709"/>
        <w:jc w:val="both"/>
        <w:rPr>
          <w:rFonts w:ascii="Arial" w:hAnsi="Arial" w:cs="Arial"/>
          <w:lang w:val="en-GB"/>
        </w:rPr>
      </w:pPr>
      <w:r>
        <w:rPr>
          <w:rFonts w:ascii="Arial" w:hAnsi="Arial" w:cs="Arial"/>
          <w:lang w:val="en-GB"/>
        </w:rPr>
        <w:t>“</w:t>
      </w:r>
      <w:r w:rsidR="007F3410" w:rsidRPr="00353BF0">
        <w:rPr>
          <w:rFonts w:ascii="Arial" w:hAnsi="Arial" w:cs="Arial"/>
          <w:lang w:val="en-GB"/>
        </w:rPr>
        <w:t>Once a finding of invalidity under PAJA review grounds is made, the affected decision or conduct must be declared unlawful and a just and equitable order must be made. It is at this stage that the possible inevitability of a similar outcome, if the decision is retaken, may be one of the factors that will have to be considered. Any contract that flows from the constitutional and statutory procurement framework is concluded not on the state entity's behalf, but on the public's behalf. The interests of those most closely associated with the benefits of that contract must be given due weight.</w:t>
      </w:r>
      <w:r>
        <w:rPr>
          <w:rFonts w:ascii="Arial" w:hAnsi="Arial" w:cs="Arial"/>
          <w:lang w:val="en-GB"/>
        </w:rPr>
        <w:t>”</w:t>
      </w:r>
    </w:p>
    <w:p w14:paraId="290E6721" w14:textId="7C6575E1" w:rsidR="007F3410" w:rsidRPr="007F3410" w:rsidRDefault="007F3410" w:rsidP="007F3410">
      <w:pPr>
        <w:spacing w:after="0" w:line="480" w:lineRule="auto"/>
        <w:jc w:val="both"/>
        <w:rPr>
          <w:rFonts w:ascii="Arial" w:hAnsi="Arial" w:cs="Arial"/>
          <w:sz w:val="24"/>
          <w:szCs w:val="24"/>
          <w:lang w:val="en-GB"/>
        </w:rPr>
      </w:pPr>
      <w:r w:rsidRPr="007F3410">
        <w:rPr>
          <w:rFonts w:ascii="Arial" w:hAnsi="Arial" w:cs="Arial"/>
          <w:sz w:val="24"/>
          <w:szCs w:val="24"/>
          <w:lang w:val="en-GB"/>
        </w:rPr>
        <w:t>[</w:t>
      </w:r>
      <w:r w:rsidR="00D70571">
        <w:rPr>
          <w:rFonts w:ascii="Arial" w:hAnsi="Arial" w:cs="Arial"/>
          <w:sz w:val="24"/>
          <w:szCs w:val="24"/>
          <w:lang w:val="en-GB"/>
        </w:rPr>
        <w:t>1</w:t>
      </w:r>
      <w:r w:rsidR="00623EF8">
        <w:rPr>
          <w:rFonts w:ascii="Arial" w:hAnsi="Arial" w:cs="Arial"/>
          <w:sz w:val="24"/>
          <w:szCs w:val="24"/>
          <w:lang w:val="en-GB"/>
        </w:rPr>
        <w:t>1</w:t>
      </w:r>
      <w:r w:rsidRPr="007F3410">
        <w:rPr>
          <w:rFonts w:ascii="Arial" w:hAnsi="Arial" w:cs="Arial"/>
          <w:sz w:val="24"/>
          <w:szCs w:val="24"/>
          <w:lang w:val="en-GB"/>
        </w:rPr>
        <w:t xml:space="preserve">]    If the requirements are deviated from </w:t>
      </w:r>
    </w:p>
    <w:p w14:paraId="19B04891" w14:textId="18097468" w:rsidR="000B530B" w:rsidRPr="00353BF0" w:rsidRDefault="00D70571" w:rsidP="00353BF0">
      <w:pPr>
        <w:spacing w:after="0" w:line="480" w:lineRule="auto"/>
        <w:ind w:left="709"/>
        <w:jc w:val="both"/>
        <w:rPr>
          <w:rFonts w:ascii="Arial" w:hAnsi="Arial" w:cs="Arial"/>
          <w:lang w:val="en-GB"/>
        </w:rPr>
      </w:pPr>
      <w:r>
        <w:rPr>
          <w:rFonts w:ascii="Arial" w:hAnsi="Arial" w:cs="Arial"/>
          <w:lang w:val="en-GB"/>
        </w:rPr>
        <w:lastRenderedPageBreak/>
        <w:t>“</w:t>
      </w:r>
      <w:r w:rsidR="00782A1B">
        <w:rPr>
          <w:rFonts w:ascii="Arial" w:hAnsi="Arial" w:cs="Arial"/>
          <w:lang w:val="en-GB"/>
        </w:rPr>
        <w:t>. . . t</w:t>
      </w:r>
      <w:r w:rsidR="007F3410" w:rsidRPr="00353BF0">
        <w:rPr>
          <w:rFonts w:ascii="Arial" w:hAnsi="Arial" w:cs="Arial"/>
          <w:lang w:val="en-GB"/>
        </w:rPr>
        <w:t>he basis for doing so will have to be reasonable and justifiable, and the process of change must be procedurally fair.</w:t>
      </w:r>
      <w:r>
        <w:rPr>
          <w:rFonts w:ascii="Arial" w:hAnsi="Arial" w:cs="Arial"/>
          <w:lang w:val="en-GB"/>
        </w:rPr>
        <w:t>”</w:t>
      </w:r>
      <w:r w:rsidR="00520DCC">
        <w:rPr>
          <w:rStyle w:val="FootnoteReference"/>
          <w:rFonts w:ascii="Arial" w:hAnsi="Arial" w:cs="Arial"/>
          <w:lang w:val="en-GB"/>
        </w:rPr>
        <w:footnoteReference w:id="15"/>
      </w:r>
    </w:p>
    <w:p w14:paraId="2BAA8434" w14:textId="27C4A4D7" w:rsidR="00D508AB" w:rsidRDefault="000B530B" w:rsidP="000B530B">
      <w:pPr>
        <w:spacing w:after="0" w:line="480" w:lineRule="auto"/>
        <w:jc w:val="both"/>
        <w:rPr>
          <w:rFonts w:ascii="Arial" w:hAnsi="Arial" w:cs="Arial"/>
          <w:sz w:val="24"/>
          <w:szCs w:val="24"/>
          <w:lang w:val="en-GB"/>
        </w:rPr>
      </w:pPr>
      <w:r>
        <w:rPr>
          <w:rFonts w:ascii="Arial" w:hAnsi="Arial" w:cs="Arial"/>
          <w:sz w:val="24"/>
          <w:szCs w:val="24"/>
          <w:lang w:val="en-GB"/>
        </w:rPr>
        <w:t>[</w:t>
      </w:r>
      <w:r w:rsidR="00110141">
        <w:rPr>
          <w:rFonts w:ascii="Arial" w:hAnsi="Arial" w:cs="Arial"/>
          <w:sz w:val="24"/>
          <w:szCs w:val="24"/>
          <w:lang w:val="en-GB"/>
        </w:rPr>
        <w:t>1</w:t>
      </w:r>
      <w:r w:rsidR="00623EF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353BF0">
        <w:rPr>
          <w:rFonts w:ascii="Arial" w:hAnsi="Arial" w:cs="Arial"/>
          <w:sz w:val="24"/>
          <w:szCs w:val="24"/>
          <w:lang w:val="en-GB"/>
        </w:rPr>
        <w:t>I</w:t>
      </w:r>
      <w:r w:rsidR="00EF2584" w:rsidRPr="00EF2584">
        <w:rPr>
          <w:rFonts w:ascii="Arial" w:hAnsi="Arial" w:cs="Arial"/>
          <w:sz w:val="24"/>
          <w:szCs w:val="24"/>
          <w:lang w:val="en-GB"/>
        </w:rPr>
        <w:t>t is common cause that</w:t>
      </w:r>
      <w:r>
        <w:rPr>
          <w:rFonts w:ascii="Arial" w:hAnsi="Arial" w:cs="Arial"/>
          <w:sz w:val="24"/>
          <w:szCs w:val="24"/>
          <w:lang w:val="en-GB"/>
        </w:rPr>
        <w:t xml:space="preserve"> at</w:t>
      </w:r>
      <w:r w:rsidR="00EF2584" w:rsidRPr="00EF2584">
        <w:rPr>
          <w:rFonts w:ascii="Arial" w:hAnsi="Arial" w:cs="Arial"/>
          <w:sz w:val="24"/>
          <w:szCs w:val="24"/>
          <w:lang w:val="en-GB"/>
        </w:rPr>
        <w:t xml:space="preserve"> all material times</w:t>
      </w:r>
      <w:r>
        <w:rPr>
          <w:rFonts w:ascii="Arial" w:hAnsi="Arial" w:cs="Arial"/>
          <w:sz w:val="24"/>
          <w:szCs w:val="24"/>
          <w:lang w:val="en-GB"/>
        </w:rPr>
        <w:t>,</w:t>
      </w:r>
      <w:r w:rsidR="00EF2584" w:rsidRPr="00EF2584">
        <w:rPr>
          <w:rFonts w:ascii="Arial" w:hAnsi="Arial" w:cs="Arial"/>
          <w:sz w:val="24"/>
          <w:szCs w:val="24"/>
          <w:lang w:val="en-GB"/>
        </w:rPr>
        <w:t xml:space="preserve"> both appellants were existing suppliers of the same or similar goods and services to </w:t>
      </w:r>
      <w:r w:rsidR="00382A14">
        <w:rPr>
          <w:rFonts w:ascii="Arial" w:hAnsi="Arial" w:cs="Arial"/>
          <w:sz w:val="24"/>
          <w:szCs w:val="24"/>
          <w:lang w:val="en-GB"/>
        </w:rPr>
        <w:t>Eskom</w:t>
      </w:r>
      <w:r w:rsidR="00EF2584" w:rsidRPr="00EF2584">
        <w:rPr>
          <w:rFonts w:ascii="Arial" w:hAnsi="Arial" w:cs="Arial"/>
          <w:sz w:val="24"/>
          <w:szCs w:val="24"/>
          <w:lang w:val="en-GB"/>
        </w:rPr>
        <w:t xml:space="preserve"> at some of each </w:t>
      </w:r>
      <w:r w:rsidR="00431F1D">
        <w:rPr>
          <w:rFonts w:ascii="Arial" w:hAnsi="Arial" w:cs="Arial"/>
          <w:sz w:val="24"/>
          <w:szCs w:val="24"/>
          <w:lang w:val="en-GB"/>
        </w:rPr>
        <w:t xml:space="preserve">of the </w:t>
      </w:r>
      <w:r w:rsidR="00EF2584" w:rsidRPr="00EF2584">
        <w:rPr>
          <w:rFonts w:ascii="Arial" w:hAnsi="Arial" w:cs="Arial"/>
          <w:sz w:val="24"/>
          <w:szCs w:val="24"/>
          <w:lang w:val="en-GB"/>
        </w:rPr>
        <w:t>co</w:t>
      </w:r>
      <w:r>
        <w:rPr>
          <w:rFonts w:ascii="Arial" w:hAnsi="Arial" w:cs="Arial"/>
          <w:sz w:val="24"/>
          <w:szCs w:val="24"/>
          <w:lang w:val="en-GB"/>
        </w:rPr>
        <w:t>al</w:t>
      </w:r>
      <w:r w:rsidR="00EF2584" w:rsidRPr="00EF2584">
        <w:rPr>
          <w:rFonts w:ascii="Arial" w:hAnsi="Arial" w:cs="Arial"/>
          <w:sz w:val="24"/>
          <w:szCs w:val="24"/>
          <w:lang w:val="en-GB"/>
        </w:rPr>
        <w:t xml:space="preserve"> fire</w:t>
      </w:r>
      <w:r w:rsidR="00D869F6">
        <w:rPr>
          <w:rFonts w:ascii="Arial" w:hAnsi="Arial" w:cs="Arial"/>
          <w:sz w:val="24"/>
          <w:szCs w:val="24"/>
          <w:lang w:val="en-GB"/>
        </w:rPr>
        <w:t>d</w:t>
      </w:r>
      <w:r w:rsidR="00EF2584" w:rsidRPr="00EF2584">
        <w:rPr>
          <w:rFonts w:ascii="Arial" w:hAnsi="Arial" w:cs="Arial"/>
          <w:sz w:val="24"/>
          <w:szCs w:val="24"/>
          <w:lang w:val="en-GB"/>
        </w:rPr>
        <w:t xml:space="preserve"> power stations</w:t>
      </w:r>
      <w:r>
        <w:rPr>
          <w:rFonts w:ascii="Arial" w:hAnsi="Arial" w:cs="Arial"/>
          <w:sz w:val="24"/>
          <w:szCs w:val="24"/>
          <w:lang w:val="en-GB"/>
        </w:rPr>
        <w:t xml:space="preserve">. On 26 October </w:t>
      </w:r>
      <w:r w:rsidR="00EF2584" w:rsidRPr="00EF2584">
        <w:rPr>
          <w:rFonts w:ascii="Arial" w:hAnsi="Arial" w:cs="Arial"/>
          <w:sz w:val="24"/>
          <w:szCs w:val="24"/>
          <w:lang w:val="en-GB"/>
        </w:rPr>
        <w:t>2020</w:t>
      </w:r>
      <w:r w:rsidR="00D4764C">
        <w:rPr>
          <w:rFonts w:ascii="Arial" w:hAnsi="Arial" w:cs="Arial"/>
          <w:sz w:val="24"/>
          <w:szCs w:val="24"/>
          <w:lang w:val="en-GB"/>
        </w:rPr>
        <w:t>,</w:t>
      </w:r>
      <w:r w:rsidR="00EF2584" w:rsidRPr="00EF2584">
        <w:rPr>
          <w:rFonts w:ascii="Arial" w:hAnsi="Arial" w:cs="Arial"/>
          <w:sz w:val="24"/>
          <w:szCs w:val="24"/>
          <w:lang w:val="en-GB"/>
        </w:rPr>
        <w:t xml:space="preserve"> </w:t>
      </w:r>
      <w:r w:rsidR="00382A14">
        <w:rPr>
          <w:rFonts w:ascii="Arial" w:hAnsi="Arial" w:cs="Arial"/>
          <w:sz w:val="24"/>
          <w:szCs w:val="24"/>
          <w:lang w:val="en-GB"/>
        </w:rPr>
        <w:t>Eskom</w:t>
      </w:r>
      <w:r w:rsidR="00EF2584" w:rsidRPr="00EF2584">
        <w:rPr>
          <w:rFonts w:ascii="Arial" w:hAnsi="Arial" w:cs="Arial"/>
          <w:sz w:val="24"/>
          <w:szCs w:val="24"/>
          <w:lang w:val="en-GB"/>
        </w:rPr>
        <w:t xml:space="preserve"> called for tenders for new contracts for 15 po</w:t>
      </w:r>
      <w:r>
        <w:rPr>
          <w:rFonts w:ascii="Arial" w:hAnsi="Arial" w:cs="Arial"/>
          <w:sz w:val="24"/>
          <w:szCs w:val="24"/>
          <w:lang w:val="en-GB"/>
        </w:rPr>
        <w:t>wer</w:t>
      </w:r>
      <w:r w:rsidR="00EF2584" w:rsidRPr="00EF2584">
        <w:rPr>
          <w:rFonts w:ascii="Arial" w:hAnsi="Arial" w:cs="Arial"/>
          <w:sz w:val="24"/>
          <w:szCs w:val="24"/>
          <w:lang w:val="en-GB"/>
        </w:rPr>
        <w:t xml:space="preserve"> stations</w:t>
      </w:r>
      <w:r>
        <w:rPr>
          <w:rFonts w:ascii="Arial" w:hAnsi="Arial" w:cs="Arial"/>
          <w:sz w:val="24"/>
          <w:szCs w:val="24"/>
          <w:lang w:val="en-GB"/>
        </w:rPr>
        <w:t>.</w:t>
      </w:r>
      <w:r w:rsidR="00EF2584" w:rsidRPr="00EF2584">
        <w:rPr>
          <w:rFonts w:ascii="Arial" w:hAnsi="Arial" w:cs="Arial"/>
          <w:sz w:val="24"/>
          <w:szCs w:val="24"/>
          <w:lang w:val="en-GB"/>
        </w:rPr>
        <w:t xml:space="preserve"> </w:t>
      </w:r>
      <w:r>
        <w:rPr>
          <w:rFonts w:ascii="Arial" w:hAnsi="Arial" w:cs="Arial"/>
          <w:sz w:val="24"/>
          <w:szCs w:val="24"/>
          <w:lang w:val="en-GB"/>
        </w:rPr>
        <w:t>The process</w:t>
      </w:r>
      <w:r w:rsidR="00EF2584" w:rsidRPr="00EF2584">
        <w:rPr>
          <w:rFonts w:ascii="Arial" w:hAnsi="Arial" w:cs="Arial"/>
          <w:sz w:val="24"/>
          <w:szCs w:val="24"/>
          <w:lang w:val="en-GB"/>
        </w:rPr>
        <w:t xml:space="preserve"> was designated </w:t>
      </w:r>
      <w:r w:rsidR="00F57C6F">
        <w:rPr>
          <w:rFonts w:ascii="Arial" w:hAnsi="Arial" w:cs="Arial"/>
          <w:sz w:val="24"/>
          <w:szCs w:val="24"/>
          <w:lang w:val="en-GB"/>
        </w:rPr>
        <w:t xml:space="preserve">Corp </w:t>
      </w:r>
      <w:r w:rsidR="00EF2584" w:rsidRPr="00EF2584">
        <w:rPr>
          <w:rFonts w:ascii="Arial" w:hAnsi="Arial" w:cs="Arial"/>
          <w:sz w:val="24"/>
          <w:szCs w:val="24"/>
          <w:lang w:val="en-GB"/>
        </w:rPr>
        <w:t xml:space="preserve">5171. The closing date for tenders was </w:t>
      </w:r>
      <w:r w:rsidR="00427165">
        <w:rPr>
          <w:rFonts w:ascii="Arial" w:hAnsi="Arial" w:cs="Arial"/>
          <w:sz w:val="24"/>
          <w:szCs w:val="24"/>
          <w:lang w:val="en-GB"/>
        </w:rPr>
        <w:t>3</w:t>
      </w:r>
      <w:r w:rsidR="00EF2584" w:rsidRPr="00EF2584">
        <w:rPr>
          <w:rFonts w:ascii="Arial" w:hAnsi="Arial" w:cs="Arial"/>
          <w:sz w:val="24"/>
          <w:szCs w:val="24"/>
          <w:lang w:val="en-GB"/>
        </w:rPr>
        <w:t xml:space="preserve"> December 2020 and the tender validity</w:t>
      </w:r>
      <w:r w:rsidR="00427165">
        <w:rPr>
          <w:rFonts w:ascii="Arial" w:hAnsi="Arial" w:cs="Arial"/>
          <w:sz w:val="24"/>
          <w:szCs w:val="24"/>
          <w:lang w:val="en-GB"/>
        </w:rPr>
        <w:t xml:space="preserve"> period</w:t>
      </w:r>
      <w:r w:rsidR="00EF2584" w:rsidRPr="00EF2584">
        <w:rPr>
          <w:rFonts w:ascii="Arial" w:hAnsi="Arial" w:cs="Arial"/>
          <w:sz w:val="24"/>
          <w:szCs w:val="24"/>
          <w:lang w:val="en-GB"/>
        </w:rPr>
        <w:t xml:space="preserve"> </w:t>
      </w:r>
      <w:r w:rsidR="00427165">
        <w:rPr>
          <w:rFonts w:ascii="Arial" w:hAnsi="Arial" w:cs="Arial"/>
          <w:sz w:val="24"/>
          <w:szCs w:val="24"/>
          <w:lang w:val="en-GB"/>
        </w:rPr>
        <w:t>w</w:t>
      </w:r>
      <w:r w:rsidR="00EF2584" w:rsidRPr="00EF2584">
        <w:rPr>
          <w:rFonts w:ascii="Arial" w:hAnsi="Arial" w:cs="Arial"/>
          <w:sz w:val="24"/>
          <w:szCs w:val="24"/>
          <w:lang w:val="en-GB"/>
        </w:rPr>
        <w:t>as 52 weeks</w:t>
      </w:r>
      <w:r w:rsidR="00427165">
        <w:rPr>
          <w:rFonts w:ascii="Arial" w:hAnsi="Arial" w:cs="Arial"/>
          <w:sz w:val="24"/>
          <w:szCs w:val="24"/>
          <w:lang w:val="en-GB"/>
        </w:rPr>
        <w:t>.</w:t>
      </w:r>
      <w:r w:rsidR="00EF2584" w:rsidRPr="00EF2584">
        <w:rPr>
          <w:rFonts w:ascii="Arial" w:hAnsi="Arial" w:cs="Arial"/>
          <w:sz w:val="24"/>
          <w:szCs w:val="24"/>
          <w:lang w:val="en-GB"/>
        </w:rPr>
        <w:t xml:space="preserve"> </w:t>
      </w:r>
      <w:r w:rsidR="00D508AB">
        <w:rPr>
          <w:rFonts w:ascii="Arial" w:hAnsi="Arial" w:cs="Arial"/>
          <w:sz w:val="24"/>
          <w:szCs w:val="24"/>
          <w:lang w:val="en-GB"/>
        </w:rPr>
        <w:t>T</w:t>
      </w:r>
      <w:r w:rsidR="00EF2584" w:rsidRPr="00EF2584">
        <w:rPr>
          <w:rFonts w:ascii="Arial" w:hAnsi="Arial" w:cs="Arial"/>
          <w:sz w:val="24"/>
          <w:szCs w:val="24"/>
          <w:lang w:val="en-GB"/>
        </w:rPr>
        <w:t xml:space="preserve">he approved budget value for the tender was approximately </w:t>
      </w:r>
      <w:r w:rsidR="00D508AB">
        <w:rPr>
          <w:rFonts w:ascii="Arial" w:hAnsi="Arial" w:cs="Arial"/>
          <w:sz w:val="24"/>
          <w:szCs w:val="24"/>
          <w:lang w:val="en-GB"/>
        </w:rPr>
        <w:t>R</w:t>
      </w:r>
      <w:r w:rsidR="00EF2584" w:rsidRPr="00EF2584">
        <w:rPr>
          <w:rFonts w:ascii="Arial" w:hAnsi="Arial" w:cs="Arial"/>
          <w:sz w:val="24"/>
          <w:szCs w:val="24"/>
          <w:lang w:val="en-GB"/>
        </w:rPr>
        <w:t>4,5 billion</w:t>
      </w:r>
      <w:r w:rsidR="00D508AB">
        <w:rPr>
          <w:rFonts w:ascii="Arial" w:hAnsi="Arial" w:cs="Arial"/>
          <w:sz w:val="24"/>
          <w:szCs w:val="24"/>
          <w:lang w:val="en-GB"/>
        </w:rPr>
        <w:t>.</w:t>
      </w:r>
    </w:p>
    <w:p w14:paraId="0798AF99" w14:textId="1DA52D03" w:rsidR="003A24D6" w:rsidRDefault="00D508AB" w:rsidP="000B530B">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13</w:t>
      </w:r>
      <w:r>
        <w:rPr>
          <w:rFonts w:ascii="Arial" w:hAnsi="Arial" w:cs="Arial"/>
          <w:sz w:val="24"/>
          <w:szCs w:val="24"/>
          <w:lang w:val="en-GB"/>
        </w:rPr>
        <w:t>]</w:t>
      </w:r>
      <w:r>
        <w:rPr>
          <w:rFonts w:ascii="Arial" w:hAnsi="Arial" w:cs="Arial"/>
          <w:sz w:val="24"/>
          <w:szCs w:val="24"/>
          <w:lang w:val="en-GB"/>
        </w:rPr>
        <w:tab/>
        <w:t>For</w:t>
      </w:r>
      <w:r w:rsidR="00EF2584" w:rsidRPr="00EF2584">
        <w:rPr>
          <w:rFonts w:ascii="Arial" w:hAnsi="Arial" w:cs="Arial"/>
          <w:sz w:val="24"/>
          <w:szCs w:val="24"/>
          <w:lang w:val="en-GB"/>
        </w:rPr>
        <w:t xml:space="preserve"> purposes of the tender </w:t>
      </w:r>
      <w:r w:rsidR="00382A14">
        <w:rPr>
          <w:rFonts w:ascii="Arial" w:hAnsi="Arial" w:cs="Arial"/>
          <w:sz w:val="24"/>
          <w:szCs w:val="24"/>
          <w:lang w:val="en-GB"/>
        </w:rPr>
        <w:t>Eskom</w:t>
      </w:r>
      <w:r w:rsidR="00EF2584" w:rsidRPr="00EF2584">
        <w:rPr>
          <w:rFonts w:ascii="Arial" w:hAnsi="Arial" w:cs="Arial"/>
          <w:sz w:val="24"/>
          <w:szCs w:val="24"/>
          <w:lang w:val="en-GB"/>
        </w:rPr>
        <w:t xml:space="preserve"> divided the 15 </w:t>
      </w:r>
      <w:r>
        <w:rPr>
          <w:rFonts w:ascii="Arial" w:hAnsi="Arial" w:cs="Arial"/>
          <w:sz w:val="24"/>
          <w:szCs w:val="24"/>
          <w:lang w:val="en-GB"/>
        </w:rPr>
        <w:t>power</w:t>
      </w:r>
      <w:r w:rsidR="00EF2584" w:rsidRPr="00EF2584">
        <w:rPr>
          <w:rFonts w:ascii="Arial" w:hAnsi="Arial" w:cs="Arial"/>
          <w:sz w:val="24"/>
          <w:szCs w:val="24"/>
          <w:lang w:val="en-GB"/>
        </w:rPr>
        <w:t xml:space="preserve"> stations into eight clusters</w:t>
      </w:r>
      <w:r>
        <w:rPr>
          <w:rFonts w:ascii="Arial" w:hAnsi="Arial" w:cs="Arial"/>
          <w:sz w:val="24"/>
          <w:szCs w:val="24"/>
          <w:lang w:val="en-GB"/>
        </w:rPr>
        <w:t>,</w:t>
      </w:r>
      <w:r w:rsidR="00EF2584" w:rsidRPr="00EF2584">
        <w:rPr>
          <w:rFonts w:ascii="Arial" w:hAnsi="Arial" w:cs="Arial"/>
          <w:sz w:val="24"/>
          <w:szCs w:val="24"/>
          <w:lang w:val="en-GB"/>
        </w:rPr>
        <w:t xml:space="preserve"> of which </w:t>
      </w:r>
      <w:r w:rsidR="003A24D6">
        <w:rPr>
          <w:rFonts w:ascii="Arial" w:hAnsi="Arial" w:cs="Arial"/>
          <w:sz w:val="24"/>
          <w:szCs w:val="24"/>
          <w:lang w:val="en-GB"/>
        </w:rPr>
        <w:t xml:space="preserve">all </w:t>
      </w:r>
      <w:r w:rsidR="00EF2584" w:rsidRPr="00EF2584">
        <w:rPr>
          <w:rFonts w:ascii="Arial" w:hAnsi="Arial" w:cs="Arial"/>
          <w:sz w:val="24"/>
          <w:szCs w:val="24"/>
          <w:lang w:val="en-GB"/>
        </w:rPr>
        <w:t>but one</w:t>
      </w:r>
      <w:r w:rsidR="003A24D6">
        <w:rPr>
          <w:rFonts w:ascii="Arial" w:hAnsi="Arial" w:cs="Arial"/>
          <w:sz w:val="24"/>
          <w:szCs w:val="24"/>
          <w:lang w:val="en-GB"/>
        </w:rPr>
        <w:t xml:space="preserve"> cluster</w:t>
      </w:r>
      <w:r w:rsidR="00EF2584" w:rsidRPr="00EF2584">
        <w:rPr>
          <w:rFonts w:ascii="Arial" w:hAnsi="Arial" w:cs="Arial"/>
          <w:sz w:val="24"/>
          <w:szCs w:val="24"/>
          <w:lang w:val="en-GB"/>
        </w:rPr>
        <w:t xml:space="preserve"> contained two power stations</w:t>
      </w:r>
      <w:r w:rsidR="003A24D6">
        <w:rPr>
          <w:rFonts w:ascii="Arial" w:hAnsi="Arial" w:cs="Arial"/>
          <w:sz w:val="24"/>
          <w:szCs w:val="24"/>
          <w:lang w:val="en-GB"/>
        </w:rPr>
        <w:t>.</w:t>
      </w:r>
      <w:r w:rsidR="00EF2584" w:rsidRPr="00EF2584">
        <w:rPr>
          <w:rFonts w:ascii="Arial" w:hAnsi="Arial" w:cs="Arial"/>
          <w:sz w:val="24"/>
          <w:szCs w:val="24"/>
          <w:lang w:val="en-GB"/>
        </w:rPr>
        <w:t xml:space="preserve"> </w:t>
      </w:r>
      <w:r w:rsidR="003A24D6">
        <w:rPr>
          <w:rFonts w:ascii="Arial" w:hAnsi="Arial" w:cs="Arial"/>
          <w:sz w:val="24"/>
          <w:szCs w:val="24"/>
          <w:lang w:val="en-GB"/>
        </w:rPr>
        <w:t>A</w:t>
      </w:r>
      <w:r w:rsidR="00EF2584" w:rsidRPr="00EF2584">
        <w:rPr>
          <w:rFonts w:ascii="Arial" w:hAnsi="Arial" w:cs="Arial"/>
          <w:sz w:val="24"/>
          <w:szCs w:val="24"/>
          <w:lang w:val="en-GB"/>
        </w:rPr>
        <w:t xml:space="preserve">n approved budget </w:t>
      </w:r>
      <w:r w:rsidR="003A24D6">
        <w:rPr>
          <w:rFonts w:ascii="Arial" w:hAnsi="Arial" w:cs="Arial"/>
          <w:sz w:val="24"/>
          <w:szCs w:val="24"/>
          <w:lang w:val="en-GB"/>
        </w:rPr>
        <w:t>per cluster</w:t>
      </w:r>
      <w:r w:rsidR="00EF2584" w:rsidRPr="00EF2584">
        <w:rPr>
          <w:rFonts w:ascii="Arial" w:hAnsi="Arial" w:cs="Arial"/>
          <w:sz w:val="24"/>
          <w:szCs w:val="24"/>
          <w:lang w:val="en-GB"/>
        </w:rPr>
        <w:t xml:space="preserve"> was contained in</w:t>
      </w:r>
      <w:r w:rsidR="003A24D6">
        <w:rPr>
          <w:rFonts w:ascii="Arial" w:hAnsi="Arial" w:cs="Arial"/>
          <w:sz w:val="24"/>
          <w:szCs w:val="24"/>
          <w:lang w:val="en-GB"/>
        </w:rPr>
        <w:t xml:space="preserve"> </w:t>
      </w:r>
      <w:r w:rsidR="00382A14">
        <w:rPr>
          <w:rFonts w:ascii="Arial" w:hAnsi="Arial" w:cs="Arial"/>
          <w:sz w:val="24"/>
          <w:szCs w:val="24"/>
          <w:lang w:val="en-GB"/>
        </w:rPr>
        <w:t>Eskom</w:t>
      </w:r>
      <w:r w:rsidR="003A24D6">
        <w:rPr>
          <w:rFonts w:ascii="Arial" w:hAnsi="Arial" w:cs="Arial"/>
          <w:sz w:val="24"/>
          <w:szCs w:val="24"/>
          <w:lang w:val="en-GB"/>
        </w:rPr>
        <w:t>’s</w:t>
      </w:r>
      <w:r w:rsidR="00EF2584" w:rsidRPr="00EF2584">
        <w:rPr>
          <w:rFonts w:ascii="Arial" w:hAnsi="Arial" w:cs="Arial"/>
          <w:sz w:val="24"/>
          <w:szCs w:val="24"/>
          <w:lang w:val="en-GB"/>
        </w:rPr>
        <w:t xml:space="preserve"> procurement strategy</w:t>
      </w:r>
      <w:r w:rsidR="005333F6">
        <w:rPr>
          <w:rFonts w:ascii="Arial" w:hAnsi="Arial" w:cs="Arial"/>
          <w:sz w:val="24"/>
          <w:szCs w:val="24"/>
          <w:lang w:val="en-GB"/>
        </w:rPr>
        <w:t>.</w:t>
      </w:r>
      <w:r w:rsidR="00EF2584" w:rsidRPr="00EF2584">
        <w:rPr>
          <w:rFonts w:ascii="Arial" w:hAnsi="Arial" w:cs="Arial"/>
          <w:sz w:val="24"/>
          <w:szCs w:val="24"/>
          <w:lang w:val="en-GB"/>
        </w:rPr>
        <w:t xml:space="preserve"> </w:t>
      </w:r>
      <w:r w:rsidR="005333F6">
        <w:rPr>
          <w:rFonts w:ascii="Arial" w:hAnsi="Arial" w:cs="Arial"/>
          <w:sz w:val="24"/>
          <w:szCs w:val="24"/>
          <w:lang w:val="en-GB"/>
        </w:rPr>
        <w:t>T</w:t>
      </w:r>
      <w:r w:rsidR="00EF2584" w:rsidRPr="00EF2584">
        <w:rPr>
          <w:rFonts w:ascii="Arial" w:hAnsi="Arial" w:cs="Arial"/>
          <w:sz w:val="24"/>
          <w:szCs w:val="24"/>
          <w:lang w:val="en-GB"/>
        </w:rPr>
        <w:t>he l</w:t>
      </w:r>
      <w:r w:rsidR="005333F6">
        <w:rPr>
          <w:rFonts w:ascii="Arial" w:hAnsi="Arial" w:cs="Arial"/>
          <w:sz w:val="24"/>
          <w:szCs w:val="24"/>
          <w:lang w:val="en-GB"/>
        </w:rPr>
        <w:t>a</w:t>
      </w:r>
      <w:r w:rsidR="00EF2584" w:rsidRPr="00EF2584">
        <w:rPr>
          <w:rFonts w:ascii="Arial" w:hAnsi="Arial" w:cs="Arial"/>
          <w:sz w:val="24"/>
          <w:szCs w:val="24"/>
          <w:lang w:val="en-GB"/>
        </w:rPr>
        <w:t>tter strategy</w:t>
      </w:r>
      <w:r w:rsidR="003A24D6">
        <w:rPr>
          <w:rFonts w:ascii="Arial" w:hAnsi="Arial" w:cs="Arial"/>
          <w:sz w:val="24"/>
          <w:szCs w:val="24"/>
          <w:lang w:val="en-GB"/>
        </w:rPr>
        <w:t xml:space="preserve"> </w:t>
      </w:r>
      <w:r w:rsidR="00EF2584" w:rsidRPr="00EF2584">
        <w:rPr>
          <w:rFonts w:ascii="Arial" w:hAnsi="Arial" w:cs="Arial"/>
          <w:sz w:val="24"/>
          <w:szCs w:val="24"/>
          <w:lang w:val="en-GB"/>
        </w:rPr>
        <w:t>also recorded that it aimed at the reduction of costs and the realisation of savings through payment of market related rates</w:t>
      </w:r>
      <w:r w:rsidR="003A24D6">
        <w:rPr>
          <w:rFonts w:ascii="Arial" w:hAnsi="Arial" w:cs="Arial"/>
          <w:sz w:val="24"/>
          <w:szCs w:val="24"/>
          <w:lang w:val="en-GB"/>
        </w:rPr>
        <w:t>.</w:t>
      </w:r>
      <w:r w:rsidR="00EF2584" w:rsidRPr="00EF2584">
        <w:rPr>
          <w:rFonts w:ascii="Arial" w:hAnsi="Arial" w:cs="Arial"/>
          <w:sz w:val="24"/>
          <w:szCs w:val="24"/>
          <w:lang w:val="en-GB"/>
        </w:rPr>
        <w:t xml:space="preserve"> </w:t>
      </w:r>
      <w:r w:rsidR="003A24D6">
        <w:rPr>
          <w:rFonts w:ascii="Arial" w:hAnsi="Arial" w:cs="Arial"/>
          <w:sz w:val="24"/>
          <w:szCs w:val="24"/>
          <w:lang w:val="en-GB"/>
        </w:rPr>
        <w:t xml:space="preserve">The procurement </w:t>
      </w:r>
      <w:r w:rsidR="00EF2584" w:rsidRPr="00EF2584">
        <w:rPr>
          <w:rFonts w:ascii="Arial" w:hAnsi="Arial" w:cs="Arial"/>
          <w:sz w:val="24"/>
          <w:szCs w:val="24"/>
          <w:lang w:val="en-GB"/>
        </w:rPr>
        <w:t>strategy embodied the following features</w:t>
      </w:r>
      <w:r w:rsidR="003A24D6">
        <w:rPr>
          <w:rFonts w:ascii="Arial" w:hAnsi="Arial" w:cs="Arial"/>
          <w:sz w:val="24"/>
          <w:szCs w:val="24"/>
          <w:lang w:val="en-GB"/>
        </w:rPr>
        <w:t>:</w:t>
      </w:r>
      <w:r w:rsidR="00450DFF">
        <w:rPr>
          <w:rStyle w:val="FootnoteReference"/>
          <w:rFonts w:ascii="Arial" w:hAnsi="Arial" w:cs="Arial"/>
          <w:sz w:val="24"/>
          <w:szCs w:val="24"/>
          <w:lang w:val="en-GB"/>
        </w:rPr>
        <w:footnoteReference w:id="16"/>
      </w:r>
    </w:p>
    <w:p w14:paraId="04289C09" w14:textId="32B53E77" w:rsidR="003A24D6" w:rsidRPr="003A24D6" w:rsidRDefault="003A24D6" w:rsidP="003A24D6">
      <w:pPr>
        <w:spacing w:after="0" w:line="480" w:lineRule="auto"/>
        <w:ind w:left="709" w:firstLine="11"/>
        <w:jc w:val="both"/>
        <w:rPr>
          <w:rFonts w:ascii="Arial" w:hAnsi="Arial" w:cs="Arial"/>
          <w:lang w:val="en-GB"/>
        </w:rPr>
      </w:pPr>
      <w:r>
        <w:rPr>
          <w:rFonts w:ascii="Arial" w:hAnsi="Arial" w:cs="Arial"/>
          <w:lang w:val="en-GB"/>
        </w:rPr>
        <w:t>“</w:t>
      </w:r>
      <w:r w:rsidRPr="003A24D6">
        <w:rPr>
          <w:rFonts w:ascii="Arial" w:hAnsi="Arial" w:cs="Arial"/>
          <w:lang w:val="en-GB"/>
        </w:rPr>
        <w:t xml:space="preserve">To issue an open competitive tender to the market for a contract period of four years commencing 1 July 2021 to 30 June 2025; the works were to be divided into eight clusters; the awarding of contracts would be to a maximum of eight suppliers in possession of the technical capability and capacity to provide scaffolding and insulation material and those who met </w:t>
      </w:r>
      <w:r w:rsidR="00382A14">
        <w:rPr>
          <w:rFonts w:ascii="Arial" w:hAnsi="Arial" w:cs="Arial"/>
          <w:lang w:val="en-GB"/>
        </w:rPr>
        <w:t>Eskom</w:t>
      </w:r>
      <w:r w:rsidRPr="003A24D6">
        <w:rPr>
          <w:rFonts w:ascii="Arial" w:hAnsi="Arial" w:cs="Arial"/>
          <w:lang w:val="en-GB"/>
        </w:rPr>
        <w:t xml:space="preserve"> parameters; to negotiate market related rates with the recommended suppliers; to impose the requirement that all tenderers be in possession of a CIDB Grade 8 SL or higher;</w:t>
      </w:r>
      <w:r>
        <w:rPr>
          <w:rFonts w:ascii="Arial" w:hAnsi="Arial" w:cs="Arial"/>
          <w:lang w:val="en-GB"/>
        </w:rPr>
        <w:t xml:space="preserve"> </w:t>
      </w:r>
      <w:r w:rsidRPr="003A24D6">
        <w:rPr>
          <w:rFonts w:ascii="Arial" w:hAnsi="Arial" w:cs="Arial"/>
          <w:lang w:val="en-GB"/>
        </w:rPr>
        <w:t>to mirror the contract terms and conditions present in the historical term service contracts; and highlighting that the works would be repetitive and routine in nature for the purposes of providing access to the plant and equipment to perform maintenance and repair work and to provide access to areas that require the removal and reinstatement of insulation.</w:t>
      </w:r>
      <w:r>
        <w:rPr>
          <w:rFonts w:ascii="Arial" w:hAnsi="Arial" w:cs="Arial"/>
          <w:lang w:val="en-GB"/>
        </w:rPr>
        <w:t>”</w:t>
      </w:r>
    </w:p>
    <w:p w14:paraId="5CB78294" w14:textId="1566DB93" w:rsidR="00D91F96" w:rsidRDefault="00D869F6" w:rsidP="00653FF9">
      <w:pPr>
        <w:spacing w:after="0" w:line="480" w:lineRule="auto"/>
        <w:jc w:val="both"/>
        <w:rPr>
          <w:rFonts w:ascii="Arial" w:hAnsi="Arial" w:cs="Arial"/>
          <w:sz w:val="24"/>
          <w:szCs w:val="24"/>
          <w:lang w:val="en-GB"/>
        </w:rPr>
      </w:pPr>
      <w:r>
        <w:rPr>
          <w:rFonts w:ascii="Arial" w:hAnsi="Arial" w:cs="Arial"/>
          <w:sz w:val="24"/>
          <w:szCs w:val="24"/>
          <w:lang w:val="en-GB"/>
        </w:rPr>
        <w:lastRenderedPageBreak/>
        <w:t>[</w:t>
      </w:r>
      <w:r w:rsidR="00623EF8">
        <w:rPr>
          <w:rFonts w:ascii="Arial" w:hAnsi="Arial" w:cs="Arial"/>
          <w:sz w:val="24"/>
          <w:szCs w:val="24"/>
          <w:lang w:val="en-GB"/>
        </w:rPr>
        <w:t>14</w:t>
      </w:r>
      <w:r>
        <w:rPr>
          <w:rFonts w:ascii="Arial" w:hAnsi="Arial" w:cs="Arial"/>
          <w:sz w:val="24"/>
          <w:szCs w:val="24"/>
          <w:lang w:val="en-GB"/>
        </w:rPr>
        <w:t>]</w:t>
      </w:r>
      <w:r>
        <w:rPr>
          <w:rFonts w:ascii="Arial" w:hAnsi="Arial" w:cs="Arial"/>
          <w:sz w:val="24"/>
          <w:szCs w:val="24"/>
          <w:lang w:val="en-GB"/>
        </w:rPr>
        <w:tab/>
        <w:t>T</w:t>
      </w:r>
      <w:r w:rsidR="00EF2584" w:rsidRPr="00EF2584">
        <w:rPr>
          <w:rFonts w:ascii="Arial" w:hAnsi="Arial" w:cs="Arial"/>
          <w:sz w:val="24"/>
          <w:szCs w:val="24"/>
          <w:lang w:val="en-GB"/>
        </w:rPr>
        <w:t xml:space="preserve">he invitation to tender </w:t>
      </w:r>
      <w:r>
        <w:rPr>
          <w:rFonts w:ascii="Arial" w:hAnsi="Arial" w:cs="Arial"/>
          <w:sz w:val="24"/>
          <w:szCs w:val="24"/>
          <w:lang w:val="en-GB"/>
        </w:rPr>
        <w:t>(</w:t>
      </w:r>
      <w:r w:rsidR="00EF2584" w:rsidRPr="00EF2584">
        <w:rPr>
          <w:rFonts w:ascii="Arial" w:hAnsi="Arial" w:cs="Arial"/>
          <w:sz w:val="24"/>
          <w:szCs w:val="24"/>
          <w:lang w:val="en-GB"/>
        </w:rPr>
        <w:t>ITT</w:t>
      </w:r>
      <w:r>
        <w:rPr>
          <w:rFonts w:ascii="Arial" w:hAnsi="Arial" w:cs="Arial"/>
          <w:sz w:val="24"/>
          <w:szCs w:val="24"/>
          <w:lang w:val="en-GB"/>
        </w:rPr>
        <w:t>)</w:t>
      </w:r>
      <w:r w:rsidR="00EF2584" w:rsidRPr="00EF2584">
        <w:rPr>
          <w:rFonts w:ascii="Arial" w:hAnsi="Arial" w:cs="Arial"/>
          <w:sz w:val="24"/>
          <w:szCs w:val="24"/>
          <w:lang w:val="en-GB"/>
        </w:rPr>
        <w:t xml:space="preserve"> that was issued incorporated</w:t>
      </w:r>
      <w:r w:rsidR="006975CA">
        <w:rPr>
          <w:rFonts w:ascii="Arial" w:hAnsi="Arial" w:cs="Arial"/>
          <w:sz w:val="24"/>
          <w:szCs w:val="24"/>
          <w:lang w:val="en-GB"/>
        </w:rPr>
        <w:t xml:space="preserve"> </w:t>
      </w:r>
      <w:r w:rsidR="00382A14">
        <w:rPr>
          <w:rFonts w:ascii="Arial" w:hAnsi="Arial" w:cs="Arial"/>
          <w:sz w:val="24"/>
          <w:szCs w:val="24"/>
          <w:lang w:val="en-GB"/>
        </w:rPr>
        <w:t>Eskom</w:t>
      </w:r>
      <w:r w:rsidR="006975CA">
        <w:rPr>
          <w:rFonts w:ascii="Arial" w:hAnsi="Arial" w:cs="Arial"/>
          <w:sz w:val="24"/>
          <w:szCs w:val="24"/>
          <w:lang w:val="en-GB"/>
        </w:rPr>
        <w:t>’s</w:t>
      </w:r>
      <w:r w:rsidR="00EF2584" w:rsidRPr="00EF2584">
        <w:rPr>
          <w:rFonts w:ascii="Arial" w:hAnsi="Arial" w:cs="Arial"/>
          <w:sz w:val="24"/>
          <w:szCs w:val="24"/>
          <w:lang w:val="en-GB"/>
        </w:rPr>
        <w:t xml:space="preserve"> standard conditions of tender and included the following provisions: </w:t>
      </w:r>
      <w:r w:rsidR="006975CA" w:rsidRPr="006975CA">
        <w:rPr>
          <w:rFonts w:ascii="Arial" w:hAnsi="Arial" w:cs="Arial"/>
          <w:sz w:val="24"/>
          <w:szCs w:val="24"/>
          <w:lang w:val="en-GB"/>
        </w:rPr>
        <w:t>the tender validity period was fifty-two weeks from the date and time of the tender; the evaluation criteria were divided into five different stages, namely (i) basic compliance, (ii) mandatory and pre-qualification criteria including compliance with the CIDB Level 8SL or higher grading, (iii) functionality criteria including site inspection and tender evaluation, (iv) evaluation of price and B-BBEE preference points with prices to be scored out of 90 points and B-BBEE out of 10 points in accordance with the PPPFA, and (v) contractual requirements, which included the Safety and Quality requirements, financial statement</w:t>
      </w:r>
      <w:r w:rsidR="00C61A13">
        <w:rPr>
          <w:rFonts w:ascii="Arial" w:hAnsi="Arial" w:cs="Arial"/>
          <w:sz w:val="24"/>
          <w:szCs w:val="24"/>
          <w:lang w:val="en-GB"/>
        </w:rPr>
        <w:t>s</w:t>
      </w:r>
      <w:r w:rsidR="006975CA" w:rsidRPr="006975CA">
        <w:rPr>
          <w:rFonts w:ascii="Arial" w:hAnsi="Arial" w:cs="Arial"/>
          <w:sz w:val="24"/>
          <w:szCs w:val="24"/>
          <w:lang w:val="en-GB"/>
        </w:rPr>
        <w:t xml:space="preserve"> and SD&amp;L that were to be assessed after the evaluation and the ranking of the tenderers; the allocation strategy inter alia reflected that (i) the contracts would be divided into eight different clusters, (ii) the allocation of contracts would be based on the 90/10 Price Preference Scoring methodology, (iii) tenderers could submit offers for all the clusters or select the clusters they preferred, even though a supplier would only be awarded a contract for one cluster, (iv) in the event that a tenderer scored the highest in more than one cluster, the said tenderer would be given an option to choose one cluster they preferred and the remaining clusters would be allocated to the next</w:t>
      </w:r>
      <w:r w:rsidR="006975CA">
        <w:rPr>
          <w:rFonts w:ascii="Arial" w:hAnsi="Arial" w:cs="Arial"/>
          <w:sz w:val="24"/>
          <w:szCs w:val="24"/>
          <w:lang w:val="en-GB"/>
        </w:rPr>
        <w:t xml:space="preserve"> </w:t>
      </w:r>
      <w:r w:rsidR="006975CA" w:rsidRPr="006975CA">
        <w:rPr>
          <w:rFonts w:ascii="Arial" w:hAnsi="Arial" w:cs="Arial"/>
          <w:sz w:val="24"/>
          <w:szCs w:val="24"/>
          <w:lang w:val="en-GB"/>
        </w:rPr>
        <w:t xml:space="preserve">ranked tenderer as per the 90/10 Price Preference Scoring methodology, which methodology would be applied to the remaining clusters, (v) </w:t>
      </w:r>
      <w:r w:rsidR="00382A14">
        <w:rPr>
          <w:rFonts w:ascii="Arial" w:hAnsi="Arial" w:cs="Arial"/>
          <w:sz w:val="24"/>
          <w:szCs w:val="24"/>
          <w:lang w:val="en-GB"/>
        </w:rPr>
        <w:t>Eskom</w:t>
      </w:r>
      <w:r w:rsidR="006975CA" w:rsidRPr="006975CA">
        <w:rPr>
          <w:rFonts w:ascii="Arial" w:hAnsi="Arial" w:cs="Arial"/>
          <w:sz w:val="24"/>
          <w:szCs w:val="24"/>
          <w:lang w:val="en-GB"/>
        </w:rPr>
        <w:t xml:space="preserve"> reserved its right to allocate more than one cluster per supplier (limited to two clusters) should the tenderers refuse to accept mandated negotiation parameters, (vi) no supplier would be allocated more than two clusters, and (vii) the allocation of the second cluster would be on the 90/10 Price Preference Scoring methodology meaning the highest ranked supplier would be allocated a second cluster. </w:t>
      </w:r>
      <w:r w:rsidR="00CD30F7" w:rsidRPr="00CD30F7">
        <w:rPr>
          <w:rFonts w:ascii="Arial" w:hAnsi="Arial" w:cs="Arial"/>
          <w:sz w:val="24"/>
          <w:szCs w:val="24"/>
          <w:lang w:val="en-GB"/>
        </w:rPr>
        <w:t xml:space="preserve">The ITT also provided for </w:t>
      </w:r>
      <w:r w:rsidR="00382A14">
        <w:rPr>
          <w:rFonts w:ascii="Arial" w:hAnsi="Arial" w:cs="Arial"/>
          <w:sz w:val="24"/>
          <w:szCs w:val="24"/>
          <w:lang w:val="en-GB"/>
        </w:rPr>
        <w:t>Eskom</w:t>
      </w:r>
      <w:r w:rsidR="00CD30F7" w:rsidRPr="00CD30F7">
        <w:rPr>
          <w:rFonts w:ascii="Arial" w:hAnsi="Arial" w:cs="Arial"/>
          <w:sz w:val="24"/>
          <w:szCs w:val="24"/>
          <w:lang w:val="en-GB"/>
        </w:rPr>
        <w:t xml:space="preserve">’s reservation of its right to negotiate with preferred bidders after the competitive bidding </w:t>
      </w:r>
      <w:r w:rsidR="00CD30F7" w:rsidRPr="00CD30F7">
        <w:rPr>
          <w:rFonts w:ascii="Arial" w:hAnsi="Arial" w:cs="Arial"/>
          <w:sz w:val="24"/>
          <w:szCs w:val="24"/>
          <w:lang w:val="en-GB"/>
        </w:rPr>
        <w:lastRenderedPageBreak/>
        <w:t>process or price quotations, should the tendered prices not have been deemed to be market related. The conditions of contract would be those of the NEC 3 Term Service Contract. A non-mandatory clarification meeting was to take place on 4 November 2020.</w:t>
      </w:r>
      <w:r w:rsidR="00465B5C">
        <w:rPr>
          <w:rFonts w:ascii="Arial" w:hAnsi="Arial" w:cs="Arial"/>
          <w:sz w:val="24"/>
          <w:szCs w:val="24"/>
          <w:lang w:val="en-GB"/>
        </w:rPr>
        <w:t xml:space="preserve"> </w:t>
      </w:r>
    </w:p>
    <w:p w14:paraId="6265BD9B" w14:textId="348C6AA3" w:rsidR="008007BF" w:rsidRDefault="00D91F96" w:rsidP="00653FF9">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15</w:t>
      </w:r>
      <w:r>
        <w:rPr>
          <w:rFonts w:ascii="Arial" w:hAnsi="Arial" w:cs="Arial"/>
          <w:sz w:val="24"/>
          <w:szCs w:val="24"/>
          <w:lang w:val="en-GB"/>
        </w:rPr>
        <w:t>]</w:t>
      </w:r>
      <w:r>
        <w:rPr>
          <w:rFonts w:ascii="Arial" w:hAnsi="Arial" w:cs="Arial"/>
          <w:sz w:val="24"/>
          <w:szCs w:val="24"/>
          <w:lang w:val="en-GB"/>
        </w:rPr>
        <w:tab/>
      </w:r>
      <w:r w:rsidR="00653FF9" w:rsidRPr="00653FF9">
        <w:rPr>
          <w:rFonts w:ascii="Arial" w:hAnsi="Arial" w:cs="Arial"/>
          <w:sz w:val="24"/>
          <w:szCs w:val="24"/>
          <w:lang w:val="en-GB"/>
        </w:rPr>
        <w:t xml:space="preserve">On 4 February 2021, </w:t>
      </w:r>
      <w:r w:rsidR="00382A14">
        <w:rPr>
          <w:rFonts w:ascii="Arial" w:hAnsi="Arial" w:cs="Arial"/>
          <w:sz w:val="24"/>
          <w:szCs w:val="24"/>
          <w:lang w:val="en-GB"/>
        </w:rPr>
        <w:t>Eskom</w:t>
      </w:r>
      <w:r w:rsidR="00653FF9" w:rsidRPr="00653FF9">
        <w:rPr>
          <w:rFonts w:ascii="Arial" w:hAnsi="Arial" w:cs="Arial"/>
          <w:sz w:val="24"/>
          <w:szCs w:val="24"/>
          <w:lang w:val="en-GB"/>
        </w:rPr>
        <w:t xml:space="preserve"> received the bid submissions of the various bidders, including the applicants, and the evaluations commenced during February 2021 and were concluded during May 2021. The analysis </w:t>
      </w:r>
      <w:r>
        <w:rPr>
          <w:rFonts w:ascii="Arial" w:hAnsi="Arial" w:cs="Arial"/>
          <w:sz w:val="24"/>
          <w:szCs w:val="24"/>
          <w:lang w:val="en-GB"/>
        </w:rPr>
        <w:t xml:space="preserve">that was </w:t>
      </w:r>
      <w:r w:rsidR="00653FF9" w:rsidRPr="00653FF9">
        <w:rPr>
          <w:rFonts w:ascii="Arial" w:hAnsi="Arial" w:cs="Arial"/>
          <w:sz w:val="24"/>
          <w:szCs w:val="24"/>
          <w:lang w:val="en-GB"/>
        </w:rPr>
        <w:t xml:space="preserve">conducted took into account the cheapest </w:t>
      </w:r>
      <w:r w:rsidR="00382A14">
        <w:rPr>
          <w:rFonts w:ascii="Arial" w:hAnsi="Arial" w:cs="Arial"/>
          <w:sz w:val="24"/>
          <w:szCs w:val="24"/>
          <w:lang w:val="en-GB"/>
        </w:rPr>
        <w:t>Eskom</w:t>
      </w:r>
      <w:r w:rsidR="00653FF9" w:rsidRPr="00653FF9">
        <w:rPr>
          <w:rFonts w:ascii="Arial" w:hAnsi="Arial" w:cs="Arial"/>
          <w:sz w:val="24"/>
          <w:szCs w:val="24"/>
          <w:lang w:val="en-GB"/>
        </w:rPr>
        <w:t xml:space="preserve"> rates and the cheapest rates found in the bid submissions from all the suppliers, for the purposes of arriving at a revised </w:t>
      </w:r>
      <w:r w:rsidR="00382A14">
        <w:rPr>
          <w:rFonts w:ascii="Arial" w:hAnsi="Arial" w:cs="Arial"/>
          <w:sz w:val="24"/>
          <w:szCs w:val="24"/>
          <w:lang w:val="en-GB"/>
        </w:rPr>
        <w:t>Eskom</w:t>
      </w:r>
      <w:r w:rsidR="00653FF9" w:rsidRPr="00653FF9">
        <w:rPr>
          <w:rFonts w:ascii="Arial" w:hAnsi="Arial" w:cs="Arial"/>
          <w:sz w:val="24"/>
          <w:szCs w:val="24"/>
          <w:lang w:val="en-GB"/>
        </w:rPr>
        <w:t xml:space="preserve"> estimate (the new </w:t>
      </w:r>
      <w:r w:rsidR="00382A14">
        <w:rPr>
          <w:rFonts w:ascii="Arial" w:hAnsi="Arial" w:cs="Arial"/>
          <w:sz w:val="24"/>
          <w:szCs w:val="24"/>
          <w:lang w:val="en-GB"/>
        </w:rPr>
        <w:t>Eskom</w:t>
      </w:r>
      <w:r w:rsidR="00653FF9" w:rsidRPr="00653FF9">
        <w:rPr>
          <w:rFonts w:ascii="Arial" w:hAnsi="Arial" w:cs="Arial"/>
          <w:sz w:val="24"/>
          <w:szCs w:val="24"/>
          <w:lang w:val="en-GB"/>
        </w:rPr>
        <w:t xml:space="preserve"> estimate). Twenty-three tenderers responded to the tender and were evaluated in the four stages recorded in both the Proposed Allocation Strategy in the Procurement Strategy and the ITT. The shortlisted bidders were ranked per cluster according to price as follows: (1) Kaefer scored the highest points on cluster 1 to 7. Kaefer did not tender on cluster 8; (2) RSC scored the third highest points on cluster 8 and the second highest on clusters 1 to 7;(3) Oram scored the third highest points on clusters 1 to 7 and the second highest on cluster 8; (4) Electro-Heat scored the fourth highest points on clusters</w:t>
      </w:r>
      <w:r w:rsidR="00653FF9">
        <w:rPr>
          <w:rFonts w:ascii="Arial" w:hAnsi="Arial" w:cs="Arial"/>
          <w:sz w:val="24"/>
          <w:szCs w:val="24"/>
          <w:lang w:val="en-GB"/>
        </w:rPr>
        <w:t xml:space="preserve"> </w:t>
      </w:r>
      <w:r w:rsidR="00653FF9" w:rsidRPr="00653FF9">
        <w:rPr>
          <w:rFonts w:ascii="Arial" w:hAnsi="Arial" w:cs="Arial"/>
          <w:sz w:val="24"/>
          <w:szCs w:val="24"/>
          <w:lang w:val="en-GB"/>
        </w:rPr>
        <w:t>1 to 7 and the third highest on cluster 8; (5) SGB-Cape scored the fifth highest points on clusters 1 to 7 and the fourth highest on cluster 8; (6) Southey scored the sixth highest points on clusters 1 to 7 and the fifth highest points on cluster 8; and (7) TMS scored the seventh highest points on clusters 1 to 7 and the sixth highest on cluster 8.</w:t>
      </w:r>
      <w:r w:rsidR="008007BF">
        <w:rPr>
          <w:rFonts w:ascii="Arial" w:hAnsi="Arial" w:cs="Arial"/>
          <w:sz w:val="24"/>
          <w:szCs w:val="24"/>
          <w:lang w:val="en-GB"/>
        </w:rPr>
        <w:t xml:space="preserve"> </w:t>
      </w:r>
    </w:p>
    <w:p w14:paraId="6F9F0121" w14:textId="7DB88811"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16</w:t>
      </w:r>
      <w:r>
        <w:rPr>
          <w:rFonts w:ascii="Arial" w:hAnsi="Arial" w:cs="Arial"/>
          <w:sz w:val="24"/>
          <w:szCs w:val="24"/>
          <w:lang w:val="en-GB"/>
        </w:rPr>
        <w:t>]</w:t>
      </w:r>
      <w:r>
        <w:rPr>
          <w:rFonts w:ascii="Arial" w:hAnsi="Arial" w:cs="Arial"/>
          <w:sz w:val="24"/>
          <w:szCs w:val="24"/>
          <w:lang w:val="en-GB"/>
        </w:rPr>
        <w:tab/>
      </w:r>
      <w:r w:rsidR="00382A14">
        <w:rPr>
          <w:rFonts w:ascii="Arial" w:hAnsi="Arial" w:cs="Arial"/>
          <w:sz w:val="24"/>
          <w:szCs w:val="24"/>
          <w:lang w:val="en-GB"/>
        </w:rPr>
        <w:t>Eskom</w:t>
      </w:r>
      <w:r w:rsidRPr="008007BF">
        <w:rPr>
          <w:rFonts w:ascii="Arial" w:hAnsi="Arial" w:cs="Arial"/>
          <w:sz w:val="24"/>
          <w:szCs w:val="24"/>
          <w:lang w:val="en-GB"/>
        </w:rPr>
        <w:t xml:space="preserve"> followed the 90/10 Preference Scoring Methodology by first allocating to the highest ranked tenderer and thereafter to the tender ranked second, third, fourth, fifth, sixth and seventh in that particular cluster. In effect each of the successful </w:t>
      </w:r>
      <w:r w:rsidRPr="008007BF">
        <w:rPr>
          <w:rFonts w:ascii="Arial" w:hAnsi="Arial" w:cs="Arial"/>
          <w:sz w:val="24"/>
          <w:szCs w:val="24"/>
          <w:lang w:val="en-GB"/>
        </w:rPr>
        <w:lastRenderedPageBreak/>
        <w:t xml:space="preserve">tenderers scored the highest points in the clusters allocated, in light of the </w:t>
      </w:r>
      <w:r w:rsidR="00991255" w:rsidRPr="008007BF">
        <w:rPr>
          <w:rFonts w:ascii="Arial" w:hAnsi="Arial" w:cs="Arial"/>
          <w:sz w:val="24"/>
          <w:szCs w:val="24"/>
          <w:lang w:val="en-GB"/>
        </w:rPr>
        <w:t>two-contract</w:t>
      </w:r>
      <w:r w:rsidRPr="008007BF">
        <w:rPr>
          <w:rFonts w:ascii="Arial" w:hAnsi="Arial" w:cs="Arial"/>
          <w:sz w:val="24"/>
          <w:szCs w:val="24"/>
          <w:lang w:val="en-GB"/>
        </w:rPr>
        <w:t xml:space="preserve"> limitation per tenderer</w:t>
      </w:r>
      <w:r w:rsidR="007A6BCA">
        <w:rPr>
          <w:rFonts w:ascii="Arial" w:hAnsi="Arial" w:cs="Arial"/>
          <w:sz w:val="24"/>
          <w:szCs w:val="24"/>
          <w:lang w:val="en-GB"/>
        </w:rPr>
        <w:t xml:space="preserve"> once tenderers already having contracts are</w:t>
      </w:r>
      <w:r w:rsidRPr="008007BF">
        <w:rPr>
          <w:rFonts w:ascii="Arial" w:hAnsi="Arial" w:cs="Arial"/>
          <w:sz w:val="24"/>
          <w:szCs w:val="24"/>
          <w:lang w:val="en-GB"/>
        </w:rPr>
        <w:t xml:space="preserve"> exclud</w:t>
      </w:r>
      <w:r w:rsidR="007A6BCA">
        <w:rPr>
          <w:rFonts w:ascii="Arial" w:hAnsi="Arial" w:cs="Arial"/>
          <w:sz w:val="24"/>
          <w:szCs w:val="24"/>
          <w:lang w:val="en-GB"/>
        </w:rPr>
        <w:t>ed.</w:t>
      </w:r>
    </w:p>
    <w:p w14:paraId="6DEDE100" w14:textId="118FC1AC"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17</w:t>
      </w:r>
      <w:r>
        <w:rPr>
          <w:rFonts w:ascii="Arial" w:hAnsi="Arial" w:cs="Arial"/>
          <w:sz w:val="24"/>
          <w:szCs w:val="24"/>
          <w:lang w:val="en-GB"/>
        </w:rPr>
        <w:t>]</w:t>
      </w:r>
      <w:r>
        <w:rPr>
          <w:rFonts w:ascii="Arial" w:hAnsi="Arial" w:cs="Arial"/>
          <w:sz w:val="24"/>
          <w:szCs w:val="24"/>
          <w:lang w:val="en-GB"/>
        </w:rPr>
        <w:tab/>
      </w:r>
      <w:r w:rsidR="00382A14">
        <w:rPr>
          <w:rFonts w:ascii="Arial" w:hAnsi="Arial" w:cs="Arial"/>
          <w:sz w:val="24"/>
          <w:szCs w:val="24"/>
          <w:lang w:val="en-GB"/>
        </w:rPr>
        <w:t>Eskom</w:t>
      </w:r>
      <w:r w:rsidRPr="008007BF">
        <w:rPr>
          <w:rFonts w:ascii="Arial" w:hAnsi="Arial" w:cs="Arial"/>
          <w:sz w:val="24"/>
          <w:szCs w:val="24"/>
          <w:lang w:val="en-GB"/>
        </w:rPr>
        <w:t xml:space="preserve"> thereafter commenced negotiations, as per the reservation of their rights in terms of the ITT, with all seven shortlisted bidders using the price ranking methodology as per the ITT and the approved Procurement Strategy. The negotiations with the shortlisted tenderers took place in three rounds between 23 to 26 April 2021</w:t>
      </w:r>
      <w:r>
        <w:rPr>
          <w:rFonts w:ascii="Arial" w:hAnsi="Arial" w:cs="Arial"/>
          <w:sz w:val="24"/>
          <w:szCs w:val="24"/>
          <w:lang w:val="en-GB"/>
        </w:rPr>
        <w:t>.</w:t>
      </w:r>
    </w:p>
    <w:p w14:paraId="099CD1AD" w14:textId="098144A6"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18</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Based on the revised rates offered by the preferred bidders during the negotiation process, the four highest scoring bidders were Kaefer, RSC, Oram and Electro-Heat (who were ranked first to fourth respectively), having offered competitive prices in line with </w:t>
      </w:r>
      <w:r w:rsidR="00382A14">
        <w:rPr>
          <w:rFonts w:ascii="Arial" w:hAnsi="Arial" w:cs="Arial"/>
          <w:sz w:val="24"/>
          <w:szCs w:val="24"/>
          <w:lang w:val="en-GB"/>
        </w:rPr>
        <w:t>Eskom</w:t>
      </w:r>
      <w:r w:rsidRPr="008007BF">
        <w:rPr>
          <w:rFonts w:ascii="Arial" w:hAnsi="Arial" w:cs="Arial"/>
          <w:sz w:val="24"/>
          <w:szCs w:val="24"/>
          <w:lang w:val="en-GB"/>
        </w:rPr>
        <w:t xml:space="preserve">’s cost saving initiative. On the other hand, SGB-Cape, Southey and TMS were ranked fifth, sixth and seventh respectively as their prices were still between 11% and 28% higher than the first ranked tenderer, resulting in no further negotiation rounds with them. The negotiated prices were evaluated and signed off by </w:t>
      </w:r>
      <w:r w:rsidR="00382A14">
        <w:rPr>
          <w:rFonts w:ascii="Arial" w:hAnsi="Arial" w:cs="Arial"/>
          <w:sz w:val="24"/>
          <w:szCs w:val="24"/>
          <w:lang w:val="en-GB"/>
        </w:rPr>
        <w:t>Eskom</w:t>
      </w:r>
      <w:r w:rsidRPr="008007BF">
        <w:rPr>
          <w:rFonts w:ascii="Arial" w:hAnsi="Arial" w:cs="Arial"/>
          <w:sz w:val="24"/>
          <w:szCs w:val="24"/>
          <w:lang w:val="en-GB"/>
        </w:rPr>
        <w:t xml:space="preserve">’s Chief Advisor Quantity Surveyor, who confirmed that the prices offered were financially acceptable offers in relation to the agreed </w:t>
      </w:r>
      <w:r w:rsidR="007A6BCA">
        <w:rPr>
          <w:rFonts w:ascii="Arial" w:hAnsi="Arial" w:cs="Arial"/>
          <w:sz w:val="24"/>
          <w:szCs w:val="24"/>
          <w:lang w:val="en-GB"/>
        </w:rPr>
        <w:t>t</w:t>
      </w:r>
      <w:r w:rsidRPr="008007BF">
        <w:rPr>
          <w:rFonts w:ascii="Arial" w:hAnsi="Arial" w:cs="Arial"/>
          <w:sz w:val="24"/>
          <w:szCs w:val="24"/>
          <w:lang w:val="en-GB"/>
        </w:rPr>
        <w:t>ender price and confirmed the recommendation to award the contracts to the four highest ranked tenderers.</w:t>
      </w:r>
    </w:p>
    <w:p w14:paraId="256A42D7" w14:textId="56DC89BC"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19</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The effect of the above recommendation was that </w:t>
      </w:r>
      <w:r w:rsidR="00382A14">
        <w:rPr>
          <w:rFonts w:ascii="Arial" w:hAnsi="Arial" w:cs="Arial"/>
          <w:sz w:val="24"/>
          <w:szCs w:val="24"/>
          <w:lang w:val="en-GB"/>
        </w:rPr>
        <w:t>Eskom</w:t>
      </w:r>
      <w:r w:rsidRPr="008007BF">
        <w:rPr>
          <w:rFonts w:ascii="Arial" w:hAnsi="Arial" w:cs="Arial"/>
          <w:sz w:val="24"/>
          <w:szCs w:val="24"/>
          <w:lang w:val="en-GB"/>
        </w:rPr>
        <w:t xml:space="preserve"> would be awarding a maximum of two clusters to the four successful bidders, instead of one cluster to seven bidders</w:t>
      </w:r>
      <w:r w:rsidR="004F60CE">
        <w:rPr>
          <w:rFonts w:ascii="Arial" w:hAnsi="Arial" w:cs="Arial"/>
          <w:sz w:val="24"/>
          <w:szCs w:val="24"/>
          <w:lang w:val="en-GB"/>
        </w:rPr>
        <w:t xml:space="preserve"> and</w:t>
      </w:r>
      <w:r w:rsidRPr="008007BF">
        <w:rPr>
          <w:rFonts w:ascii="Arial" w:hAnsi="Arial" w:cs="Arial"/>
          <w:sz w:val="24"/>
          <w:szCs w:val="24"/>
          <w:lang w:val="en-GB"/>
        </w:rPr>
        <w:t xml:space="preserve"> one extra cluster to one successful supplier, as initially envisioned in the Procurement Strategy and Invitation to Tender. The total savings achieved on the CORP 5171 contract, so </w:t>
      </w:r>
      <w:r w:rsidR="00382A14">
        <w:rPr>
          <w:rFonts w:ascii="Arial" w:hAnsi="Arial" w:cs="Arial"/>
          <w:sz w:val="24"/>
          <w:szCs w:val="24"/>
          <w:lang w:val="en-GB"/>
        </w:rPr>
        <w:t>Eskom</w:t>
      </w:r>
      <w:r w:rsidRPr="008007BF">
        <w:rPr>
          <w:rFonts w:ascii="Arial" w:hAnsi="Arial" w:cs="Arial"/>
          <w:sz w:val="24"/>
          <w:szCs w:val="24"/>
          <w:lang w:val="en-GB"/>
        </w:rPr>
        <w:t xml:space="preserve"> alleges, is approximately 29% in comparison to what </w:t>
      </w:r>
      <w:r w:rsidR="00382A14">
        <w:rPr>
          <w:rFonts w:ascii="Arial" w:hAnsi="Arial" w:cs="Arial"/>
          <w:sz w:val="24"/>
          <w:szCs w:val="24"/>
          <w:lang w:val="en-GB"/>
        </w:rPr>
        <w:t>Eskom</w:t>
      </w:r>
      <w:r w:rsidRPr="008007BF">
        <w:rPr>
          <w:rFonts w:ascii="Arial" w:hAnsi="Arial" w:cs="Arial"/>
          <w:sz w:val="24"/>
          <w:szCs w:val="24"/>
          <w:lang w:val="en-GB"/>
        </w:rPr>
        <w:t xml:space="preserve"> was then paying for the same scope of work in terms of the expired ENK contracts</w:t>
      </w:r>
      <w:r>
        <w:rPr>
          <w:rFonts w:ascii="Arial" w:hAnsi="Arial" w:cs="Arial"/>
          <w:sz w:val="24"/>
          <w:szCs w:val="24"/>
          <w:lang w:val="en-GB"/>
        </w:rPr>
        <w:t>.</w:t>
      </w:r>
    </w:p>
    <w:p w14:paraId="0843FF83" w14:textId="4EDB84D7"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110141">
        <w:rPr>
          <w:rFonts w:ascii="Arial" w:hAnsi="Arial" w:cs="Arial"/>
          <w:sz w:val="24"/>
          <w:szCs w:val="24"/>
          <w:lang w:val="en-GB"/>
        </w:rPr>
        <w:t>2</w:t>
      </w:r>
      <w:r w:rsidR="00623EF8">
        <w:rPr>
          <w:rFonts w:ascii="Arial" w:hAnsi="Arial" w:cs="Arial"/>
          <w:sz w:val="24"/>
          <w:szCs w:val="24"/>
          <w:lang w:val="en-GB"/>
        </w:rPr>
        <w:t>0</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On 30 November 2021, </w:t>
      </w:r>
      <w:r w:rsidR="00382A14">
        <w:rPr>
          <w:rFonts w:ascii="Arial" w:hAnsi="Arial" w:cs="Arial"/>
          <w:sz w:val="24"/>
          <w:szCs w:val="24"/>
          <w:lang w:val="en-GB"/>
        </w:rPr>
        <w:t>Eskom</w:t>
      </w:r>
      <w:r w:rsidRPr="008007BF">
        <w:rPr>
          <w:rFonts w:ascii="Arial" w:hAnsi="Arial" w:cs="Arial"/>
          <w:sz w:val="24"/>
          <w:szCs w:val="24"/>
          <w:lang w:val="en-GB"/>
        </w:rPr>
        <w:t>’s Board resolved that the contracts be awarded to Kaefer, RSC, Oram and Electro</w:t>
      </w:r>
      <w:r w:rsidR="00AD7725">
        <w:rPr>
          <w:rFonts w:ascii="Arial" w:hAnsi="Arial" w:cs="Arial"/>
          <w:sz w:val="24"/>
          <w:szCs w:val="24"/>
          <w:lang w:val="en-GB"/>
        </w:rPr>
        <w:t>-</w:t>
      </w:r>
      <w:r w:rsidRPr="008007BF">
        <w:rPr>
          <w:rFonts w:ascii="Arial" w:hAnsi="Arial" w:cs="Arial"/>
          <w:sz w:val="24"/>
          <w:szCs w:val="24"/>
          <w:lang w:val="en-GB"/>
        </w:rPr>
        <w:t>Heat for a period of four years and correspondence</w:t>
      </w:r>
      <w:r w:rsidR="00AD7725">
        <w:rPr>
          <w:rFonts w:ascii="Arial" w:hAnsi="Arial" w:cs="Arial"/>
          <w:sz w:val="24"/>
          <w:szCs w:val="24"/>
          <w:lang w:val="en-GB"/>
        </w:rPr>
        <w:t xml:space="preserve"> </w:t>
      </w:r>
      <w:r w:rsidRPr="008007BF">
        <w:rPr>
          <w:rFonts w:ascii="Arial" w:hAnsi="Arial" w:cs="Arial"/>
          <w:sz w:val="24"/>
          <w:szCs w:val="24"/>
          <w:lang w:val="en-GB"/>
        </w:rPr>
        <w:lastRenderedPageBreak/>
        <w:t>together with the NEC 3 Contracts were sent to the successful bidders on or about 7 December 2021, notifying them of their award.</w:t>
      </w:r>
    </w:p>
    <w:p w14:paraId="7E9CA6B7" w14:textId="14E7B4A1"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110141">
        <w:rPr>
          <w:rFonts w:ascii="Arial" w:hAnsi="Arial" w:cs="Arial"/>
          <w:sz w:val="24"/>
          <w:szCs w:val="24"/>
          <w:lang w:val="en-GB"/>
        </w:rPr>
        <w:t>2</w:t>
      </w:r>
      <w:r w:rsidR="00623EF8">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On 3 December 2021, </w:t>
      </w:r>
      <w:r w:rsidR="00382A14">
        <w:rPr>
          <w:rFonts w:ascii="Arial" w:hAnsi="Arial" w:cs="Arial"/>
          <w:sz w:val="24"/>
          <w:szCs w:val="24"/>
          <w:lang w:val="en-GB"/>
        </w:rPr>
        <w:t>Eskom</w:t>
      </w:r>
      <w:r w:rsidRPr="008007BF">
        <w:rPr>
          <w:rFonts w:ascii="Arial" w:hAnsi="Arial" w:cs="Arial"/>
          <w:sz w:val="24"/>
          <w:szCs w:val="24"/>
          <w:lang w:val="en-GB"/>
        </w:rPr>
        <w:t xml:space="preserve"> informed the applicants that (a) their ENK Contracts would terminate in terms of its full scope of the works on 31 December 2021, (b) the demobilisation and handover would occur in January 2022, (c) the applicants would be permitted to complete outage works that had not been completed by 31 December 2021, and (d) they should provide </w:t>
      </w:r>
      <w:r w:rsidR="00382A14">
        <w:rPr>
          <w:rFonts w:ascii="Arial" w:hAnsi="Arial" w:cs="Arial"/>
          <w:sz w:val="24"/>
          <w:szCs w:val="24"/>
          <w:lang w:val="en-GB"/>
        </w:rPr>
        <w:t>Eskom</w:t>
      </w:r>
      <w:r w:rsidRPr="008007BF">
        <w:rPr>
          <w:rFonts w:ascii="Arial" w:hAnsi="Arial" w:cs="Arial"/>
          <w:sz w:val="24"/>
          <w:szCs w:val="24"/>
          <w:lang w:val="en-GB"/>
        </w:rPr>
        <w:t xml:space="preserve"> with their demobilisation plans.</w:t>
      </w:r>
    </w:p>
    <w:p w14:paraId="6745317F" w14:textId="3624BFD9" w:rsidR="008007BF" w:rsidRDefault="008007BF" w:rsidP="008007BF">
      <w:pPr>
        <w:spacing w:after="0" w:line="480" w:lineRule="auto"/>
        <w:jc w:val="both"/>
        <w:rPr>
          <w:rFonts w:ascii="Arial" w:hAnsi="Arial" w:cs="Arial"/>
          <w:sz w:val="24"/>
          <w:szCs w:val="24"/>
          <w:lang w:val="en-GB"/>
        </w:rPr>
      </w:pPr>
      <w:r>
        <w:rPr>
          <w:rFonts w:ascii="Arial" w:hAnsi="Arial" w:cs="Arial"/>
          <w:sz w:val="24"/>
          <w:szCs w:val="24"/>
          <w:lang w:val="en-GB"/>
        </w:rPr>
        <w:t>[</w:t>
      </w:r>
      <w:r w:rsidR="00110141">
        <w:rPr>
          <w:rFonts w:ascii="Arial" w:hAnsi="Arial" w:cs="Arial"/>
          <w:sz w:val="24"/>
          <w:szCs w:val="24"/>
          <w:lang w:val="en-GB"/>
        </w:rPr>
        <w:t>2</w:t>
      </w:r>
      <w:r w:rsidR="00623EF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Between 13 December and 17 December 2021 </w:t>
      </w:r>
      <w:r w:rsidR="00382A14">
        <w:rPr>
          <w:rFonts w:ascii="Arial" w:hAnsi="Arial" w:cs="Arial"/>
          <w:sz w:val="24"/>
          <w:szCs w:val="24"/>
          <w:lang w:val="en-GB"/>
        </w:rPr>
        <w:t>Eskom</w:t>
      </w:r>
      <w:r w:rsidR="00FF6957">
        <w:rPr>
          <w:rFonts w:ascii="Arial" w:hAnsi="Arial" w:cs="Arial"/>
          <w:sz w:val="24"/>
          <w:szCs w:val="24"/>
          <w:lang w:val="en-GB"/>
        </w:rPr>
        <w:t xml:space="preserve"> </w:t>
      </w:r>
      <w:r w:rsidRPr="008007BF">
        <w:rPr>
          <w:rFonts w:ascii="Arial" w:hAnsi="Arial" w:cs="Arial"/>
          <w:sz w:val="24"/>
          <w:szCs w:val="24"/>
          <w:lang w:val="en-GB"/>
        </w:rPr>
        <w:t>entered into contracts with the successful tenderers in the following terms: (1) The contract was a rate</w:t>
      </w:r>
      <w:r w:rsidR="006C0262">
        <w:rPr>
          <w:rFonts w:ascii="Arial" w:hAnsi="Arial" w:cs="Arial"/>
          <w:sz w:val="24"/>
          <w:szCs w:val="24"/>
          <w:lang w:val="en-GB"/>
        </w:rPr>
        <w:t>s</w:t>
      </w:r>
      <w:r w:rsidRPr="008007BF">
        <w:rPr>
          <w:rFonts w:ascii="Arial" w:hAnsi="Arial" w:cs="Arial"/>
          <w:sz w:val="24"/>
          <w:szCs w:val="24"/>
          <w:lang w:val="en-GB"/>
        </w:rPr>
        <w:t xml:space="preserve"> based contract; (2) The starting date of the contract was 1 January 2022 to 31 December 2025; (3) The plan identified in the Contract Data is stated in each Task Order; (4) The use of plant equipment and materials is per Task Order; (5) The Contractor supplies, erects and dismantles scaffolding in accordance with each detailed Task Order; (6) The Employer instructs the Contractor when a scaffold is required and by when it must be dismantled; and</w:t>
      </w:r>
      <w:r w:rsidR="00DE1895">
        <w:rPr>
          <w:rFonts w:ascii="Arial" w:hAnsi="Arial" w:cs="Arial"/>
          <w:sz w:val="24"/>
          <w:szCs w:val="24"/>
          <w:lang w:val="en-GB"/>
        </w:rPr>
        <w:t xml:space="preserve"> </w:t>
      </w:r>
      <w:r w:rsidRPr="008007BF">
        <w:rPr>
          <w:rFonts w:ascii="Arial" w:hAnsi="Arial" w:cs="Arial"/>
          <w:sz w:val="24"/>
          <w:szCs w:val="24"/>
          <w:lang w:val="en-GB"/>
        </w:rPr>
        <w:t>(7) The Contractor makes the provision for the supply of labour for the erection, alteration and dismantling of scaffolding during outages, maintenance and project activities.</w:t>
      </w:r>
    </w:p>
    <w:p w14:paraId="10770D2C" w14:textId="57019CB2" w:rsidR="008007BF" w:rsidRDefault="008007BF" w:rsidP="00653FF9">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r>
      <w:r w:rsidRPr="008007BF">
        <w:rPr>
          <w:rFonts w:ascii="Arial" w:hAnsi="Arial" w:cs="Arial"/>
          <w:sz w:val="24"/>
          <w:szCs w:val="24"/>
          <w:lang w:val="en-GB"/>
        </w:rPr>
        <w:t xml:space="preserve">On 17 December 2021, </w:t>
      </w:r>
      <w:r w:rsidR="00382A14">
        <w:rPr>
          <w:rFonts w:ascii="Arial" w:hAnsi="Arial" w:cs="Arial"/>
          <w:sz w:val="24"/>
          <w:szCs w:val="24"/>
          <w:lang w:val="en-GB"/>
        </w:rPr>
        <w:t>Eskom</w:t>
      </w:r>
      <w:r w:rsidRPr="008007BF">
        <w:rPr>
          <w:rFonts w:ascii="Arial" w:hAnsi="Arial" w:cs="Arial"/>
          <w:sz w:val="24"/>
          <w:szCs w:val="24"/>
          <w:lang w:val="en-GB"/>
        </w:rPr>
        <w:t xml:space="preserve"> published a Regret Letter to the unsuccessful suppliers on its Tender Bulletin and on the CIDB website, informing all bidders that it had decided to award the CORP 5171 Tender to the respective successful bidders and that they had been unsuccessful in their bids. On 22 December 2021, </w:t>
      </w:r>
      <w:r w:rsidR="00382A14">
        <w:rPr>
          <w:rFonts w:ascii="Arial" w:hAnsi="Arial" w:cs="Arial"/>
          <w:sz w:val="24"/>
          <w:szCs w:val="24"/>
          <w:lang w:val="en-GB"/>
        </w:rPr>
        <w:t>Eskom</w:t>
      </w:r>
      <w:r w:rsidRPr="008007BF">
        <w:rPr>
          <w:rFonts w:ascii="Arial" w:hAnsi="Arial" w:cs="Arial"/>
          <w:sz w:val="24"/>
          <w:szCs w:val="24"/>
          <w:lang w:val="en-GB"/>
        </w:rPr>
        <w:t xml:space="preserve"> wrote letters to the applicants informing them that they were not successful in their bids for the CORP 5171 Tender for the reasons, namely, that they had tendered exorbitant prices when compared to the lowest accepted rates and prices, and their </w:t>
      </w:r>
      <w:r w:rsidRPr="008007BF">
        <w:rPr>
          <w:rFonts w:ascii="Arial" w:hAnsi="Arial" w:cs="Arial"/>
          <w:sz w:val="24"/>
          <w:szCs w:val="24"/>
          <w:lang w:val="en-GB"/>
        </w:rPr>
        <w:lastRenderedPageBreak/>
        <w:t>prices were thus not market-related and could not be awarded the Tender in terms of the 90/10 preference point system.</w:t>
      </w:r>
    </w:p>
    <w:p w14:paraId="232C7787" w14:textId="3874B3A4" w:rsidR="00904B9C" w:rsidRDefault="008007BF" w:rsidP="00653FF9">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24</w:t>
      </w:r>
      <w:r>
        <w:rPr>
          <w:rFonts w:ascii="Arial" w:hAnsi="Arial" w:cs="Arial"/>
          <w:sz w:val="24"/>
          <w:szCs w:val="24"/>
          <w:lang w:val="en-GB"/>
        </w:rPr>
        <w:t>]</w:t>
      </w:r>
      <w:r>
        <w:rPr>
          <w:rFonts w:ascii="Arial" w:hAnsi="Arial" w:cs="Arial"/>
          <w:sz w:val="24"/>
          <w:szCs w:val="24"/>
          <w:lang w:val="en-GB"/>
        </w:rPr>
        <w:tab/>
        <w:t>B</w:t>
      </w:r>
      <w:r w:rsidR="006C0262">
        <w:rPr>
          <w:rFonts w:ascii="Arial" w:hAnsi="Arial" w:cs="Arial"/>
          <w:sz w:val="24"/>
          <w:szCs w:val="24"/>
          <w:lang w:val="en-GB"/>
        </w:rPr>
        <w:t>etween</w:t>
      </w:r>
      <w:r w:rsidR="00EF2584" w:rsidRPr="00EF2584">
        <w:rPr>
          <w:rFonts w:ascii="Arial" w:hAnsi="Arial" w:cs="Arial"/>
          <w:sz w:val="24"/>
          <w:szCs w:val="24"/>
          <w:lang w:val="en-GB"/>
        </w:rPr>
        <w:t xml:space="preserve"> December 2021 </w:t>
      </w:r>
      <w:r w:rsidR="000E0C17">
        <w:rPr>
          <w:rFonts w:ascii="Arial" w:hAnsi="Arial" w:cs="Arial"/>
          <w:sz w:val="24"/>
          <w:szCs w:val="24"/>
          <w:lang w:val="en-GB"/>
        </w:rPr>
        <w:t>and</w:t>
      </w:r>
      <w:r w:rsidR="00EF2584" w:rsidRPr="00EF2584">
        <w:rPr>
          <w:rFonts w:ascii="Arial" w:hAnsi="Arial" w:cs="Arial"/>
          <w:sz w:val="24"/>
          <w:szCs w:val="24"/>
          <w:lang w:val="en-GB"/>
        </w:rPr>
        <w:t xml:space="preserve"> January 202</w:t>
      </w:r>
      <w:r w:rsidR="006C0262">
        <w:rPr>
          <w:rFonts w:ascii="Arial" w:hAnsi="Arial" w:cs="Arial"/>
          <w:sz w:val="24"/>
          <w:szCs w:val="24"/>
          <w:lang w:val="en-GB"/>
        </w:rPr>
        <w:t>2</w:t>
      </w:r>
      <w:r w:rsidR="004F60CE">
        <w:rPr>
          <w:rFonts w:ascii="Arial" w:hAnsi="Arial" w:cs="Arial"/>
          <w:sz w:val="24"/>
          <w:szCs w:val="24"/>
          <w:lang w:val="en-GB"/>
        </w:rPr>
        <w:t xml:space="preserve"> the</w:t>
      </w:r>
      <w:r w:rsidR="00EF2584" w:rsidRPr="00EF2584">
        <w:rPr>
          <w:rFonts w:ascii="Arial" w:hAnsi="Arial" w:cs="Arial"/>
          <w:sz w:val="24"/>
          <w:szCs w:val="24"/>
          <w:lang w:val="en-GB"/>
        </w:rPr>
        <w:t xml:space="preserve"> three </w:t>
      </w:r>
      <w:r w:rsidR="000E0C17">
        <w:rPr>
          <w:rFonts w:ascii="Arial" w:hAnsi="Arial" w:cs="Arial"/>
          <w:sz w:val="24"/>
          <w:szCs w:val="24"/>
          <w:lang w:val="en-GB"/>
        </w:rPr>
        <w:t xml:space="preserve">unsuccessful </w:t>
      </w:r>
      <w:r w:rsidR="006C0262">
        <w:rPr>
          <w:rFonts w:ascii="Arial" w:hAnsi="Arial" w:cs="Arial"/>
          <w:sz w:val="24"/>
          <w:szCs w:val="24"/>
          <w:lang w:val="en-GB"/>
        </w:rPr>
        <w:t>tenderers</w:t>
      </w:r>
      <w:r w:rsidR="000E0C17">
        <w:rPr>
          <w:rFonts w:ascii="Arial" w:hAnsi="Arial" w:cs="Arial"/>
          <w:sz w:val="24"/>
          <w:szCs w:val="24"/>
          <w:lang w:val="en-GB"/>
        </w:rPr>
        <w:t>,</w:t>
      </w:r>
      <w:r w:rsidR="00EF2584" w:rsidRPr="00EF2584">
        <w:rPr>
          <w:rFonts w:ascii="Arial" w:hAnsi="Arial" w:cs="Arial"/>
          <w:sz w:val="24"/>
          <w:szCs w:val="24"/>
          <w:lang w:val="en-GB"/>
        </w:rPr>
        <w:t xml:space="preserve"> including the two appellants</w:t>
      </w:r>
      <w:r w:rsidR="000E0C17">
        <w:rPr>
          <w:rFonts w:ascii="Arial" w:hAnsi="Arial" w:cs="Arial"/>
          <w:sz w:val="24"/>
          <w:szCs w:val="24"/>
          <w:lang w:val="en-GB"/>
        </w:rPr>
        <w:t>,</w:t>
      </w:r>
      <w:r w:rsidR="00EF2584" w:rsidRPr="00EF2584">
        <w:rPr>
          <w:rFonts w:ascii="Arial" w:hAnsi="Arial" w:cs="Arial"/>
          <w:sz w:val="24"/>
          <w:szCs w:val="24"/>
          <w:lang w:val="en-GB"/>
        </w:rPr>
        <w:t xml:space="preserve"> instituted </w:t>
      </w:r>
      <w:r w:rsidR="000E0C17">
        <w:rPr>
          <w:rFonts w:ascii="Arial" w:hAnsi="Arial" w:cs="Arial"/>
          <w:sz w:val="24"/>
          <w:szCs w:val="24"/>
          <w:lang w:val="en-GB"/>
        </w:rPr>
        <w:t>three</w:t>
      </w:r>
      <w:r w:rsidR="00EF2584" w:rsidRPr="00EF2584">
        <w:rPr>
          <w:rFonts w:ascii="Arial" w:hAnsi="Arial" w:cs="Arial"/>
          <w:sz w:val="24"/>
          <w:szCs w:val="24"/>
          <w:lang w:val="en-GB"/>
        </w:rPr>
        <w:t xml:space="preserve"> separate urgent applications seeking interim relief pending the finalisation of review proceedings</w:t>
      </w:r>
      <w:r w:rsidR="000E0C17">
        <w:rPr>
          <w:rFonts w:ascii="Arial" w:hAnsi="Arial" w:cs="Arial"/>
          <w:sz w:val="24"/>
          <w:szCs w:val="24"/>
          <w:lang w:val="en-GB"/>
        </w:rPr>
        <w:t>.</w:t>
      </w:r>
      <w:r w:rsidR="00EF2584" w:rsidRPr="00EF2584">
        <w:rPr>
          <w:rFonts w:ascii="Arial" w:hAnsi="Arial" w:cs="Arial"/>
          <w:sz w:val="24"/>
          <w:szCs w:val="24"/>
          <w:lang w:val="en-GB"/>
        </w:rPr>
        <w:t xml:space="preserve"> </w:t>
      </w:r>
      <w:r w:rsidR="004234CF">
        <w:rPr>
          <w:rFonts w:ascii="Arial" w:hAnsi="Arial" w:cs="Arial"/>
          <w:sz w:val="24"/>
          <w:szCs w:val="24"/>
          <w:lang w:val="en-GB"/>
        </w:rPr>
        <w:t>I</w:t>
      </w:r>
      <w:r w:rsidR="00EF2584" w:rsidRPr="00EF2584">
        <w:rPr>
          <w:rFonts w:ascii="Arial" w:hAnsi="Arial" w:cs="Arial"/>
          <w:sz w:val="24"/>
          <w:szCs w:val="24"/>
          <w:lang w:val="en-GB"/>
        </w:rPr>
        <w:t>n the review proceedings th</w:t>
      </w:r>
      <w:r w:rsidR="004234CF">
        <w:rPr>
          <w:rFonts w:ascii="Arial" w:hAnsi="Arial" w:cs="Arial"/>
          <w:sz w:val="24"/>
          <w:szCs w:val="24"/>
          <w:lang w:val="en-GB"/>
        </w:rPr>
        <w:t>e appellants sought the</w:t>
      </w:r>
      <w:r w:rsidR="00EF2584" w:rsidRPr="00EF2584">
        <w:rPr>
          <w:rFonts w:ascii="Arial" w:hAnsi="Arial" w:cs="Arial"/>
          <w:sz w:val="24"/>
          <w:szCs w:val="24"/>
          <w:lang w:val="en-GB"/>
        </w:rPr>
        <w:t xml:space="preserve"> review and setting aside of the </w:t>
      </w:r>
      <w:r w:rsidR="004234CF">
        <w:rPr>
          <w:rFonts w:ascii="Arial" w:hAnsi="Arial" w:cs="Arial"/>
          <w:sz w:val="24"/>
          <w:szCs w:val="24"/>
          <w:lang w:val="en-GB"/>
        </w:rPr>
        <w:t>award</w:t>
      </w:r>
      <w:r w:rsidR="00EF2584" w:rsidRPr="00EF2584">
        <w:rPr>
          <w:rFonts w:ascii="Arial" w:hAnsi="Arial" w:cs="Arial"/>
          <w:sz w:val="24"/>
          <w:szCs w:val="24"/>
          <w:lang w:val="en-GB"/>
        </w:rPr>
        <w:t xml:space="preserve"> of the tenders to the four parties mentioned before</w:t>
      </w:r>
      <w:r w:rsidR="004234CF">
        <w:rPr>
          <w:rFonts w:ascii="Arial" w:hAnsi="Arial" w:cs="Arial"/>
          <w:sz w:val="24"/>
          <w:szCs w:val="24"/>
          <w:lang w:val="en-GB"/>
        </w:rPr>
        <w:t>. B</w:t>
      </w:r>
      <w:r w:rsidR="00EF2584" w:rsidRPr="00EF2584">
        <w:rPr>
          <w:rFonts w:ascii="Arial" w:hAnsi="Arial" w:cs="Arial"/>
          <w:sz w:val="24"/>
          <w:szCs w:val="24"/>
          <w:lang w:val="en-GB"/>
        </w:rPr>
        <w:t>y agreement between the parties</w:t>
      </w:r>
      <w:r w:rsidR="004234CF">
        <w:rPr>
          <w:rFonts w:ascii="Arial" w:hAnsi="Arial" w:cs="Arial"/>
          <w:sz w:val="24"/>
          <w:szCs w:val="24"/>
          <w:lang w:val="en-GB"/>
        </w:rPr>
        <w:t>,</w:t>
      </w:r>
      <w:r w:rsidR="00EF2584" w:rsidRPr="00EF2584">
        <w:rPr>
          <w:rFonts w:ascii="Arial" w:hAnsi="Arial" w:cs="Arial"/>
          <w:sz w:val="24"/>
          <w:szCs w:val="24"/>
          <w:lang w:val="en-GB"/>
        </w:rPr>
        <w:t xml:space="preserve"> the urgent applications were not persisted </w:t>
      </w:r>
      <w:r w:rsidR="00991255" w:rsidRPr="00EF2584">
        <w:rPr>
          <w:rFonts w:ascii="Arial" w:hAnsi="Arial" w:cs="Arial"/>
          <w:sz w:val="24"/>
          <w:szCs w:val="24"/>
          <w:lang w:val="en-GB"/>
        </w:rPr>
        <w:t>with,</w:t>
      </w:r>
      <w:r w:rsidR="00EF2584" w:rsidRPr="00EF2584">
        <w:rPr>
          <w:rFonts w:ascii="Arial" w:hAnsi="Arial" w:cs="Arial"/>
          <w:sz w:val="24"/>
          <w:szCs w:val="24"/>
          <w:lang w:val="en-GB"/>
        </w:rPr>
        <w:t xml:space="preserve"> and the</w:t>
      </w:r>
      <w:r w:rsidR="004234CF">
        <w:rPr>
          <w:rFonts w:ascii="Arial" w:hAnsi="Arial" w:cs="Arial"/>
          <w:sz w:val="24"/>
          <w:szCs w:val="24"/>
          <w:lang w:val="en-GB"/>
        </w:rPr>
        <w:t xml:space="preserve"> Deputy Judge President</w:t>
      </w:r>
      <w:r w:rsidR="00EF2584" w:rsidRPr="00EF2584">
        <w:rPr>
          <w:rFonts w:ascii="Arial" w:hAnsi="Arial" w:cs="Arial"/>
          <w:sz w:val="24"/>
          <w:szCs w:val="24"/>
          <w:lang w:val="en-GB"/>
        </w:rPr>
        <w:t xml:space="preserve"> was approached for an expedited hearing of the review applications</w:t>
      </w:r>
      <w:r w:rsidR="004234CF">
        <w:rPr>
          <w:rFonts w:ascii="Arial" w:hAnsi="Arial" w:cs="Arial"/>
          <w:sz w:val="24"/>
          <w:szCs w:val="24"/>
          <w:lang w:val="en-GB"/>
        </w:rPr>
        <w:t>.</w:t>
      </w:r>
      <w:r w:rsidR="00EF2584" w:rsidRPr="00EF2584">
        <w:rPr>
          <w:rFonts w:ascii="Arial" w:hAnsi="Arial" w:cs="Arial"/>
          <w:sz w:val="24"/>
          <w:szCs w:val="24"/>
          <w:lang w:val="en-GB"/>
        </w:rPr>
        <w:t xml:space="preserve"> </w:t>
      </w:r>
      <w:r w:rsidR="004234CF">
        <w:rPr>
          <w:rFonts w:ascii="Arial" w:hAnsi="Arial" w:cs="Arial"/>
          <w:sz w:val="24"/>
          <w:szCs w:val="24"/>
          <w:lang w:val="en-GB"/>
        </w:rPr>
        <w:t>The</w:t>
      </w:r>
      <w:r w:rsidR="00EF2584" w:rsidRPr="00EF2584">
        <w:rPr>
          <w:rFonts w:ascii="Arial" w:hAnsi="Arial" w:cs="Arial"/>
          <w:sz w:val="24"/>
          <w:szCs w:val="24"/>
          <w:lang w:val="en-GB"/>
        </w:rPr>
        <w:t xml:space="preserve"> </w:t>
      </w:r>
      <w:r w:rsidR="003025DE">
        <w:rPr>
          <w:rFonts w:ascii="Arial" w:hAnsi="Arial" w:cs="Arial"/>
          <w:sz w:val="24"/>
          <w:szCs w:val="24"/>
          <w:lang w:val="en-GB"/>
        </w:rPr>
        <w:t>re</w:t>
      </w:r>
      <w:r w:rsidR="00EF2584" w:rsidRPr="00EF2584">
        <w:rPr>
          <w:rFonts w:ascii="Arial" w:hAnsi="Arial" w:cs="Arial"/>
          <w:sz w:val="24"/>
          <w:szCs w:val="24"/>
          <w:lang w:val="en-GB"/>
        </w:rPr>
        <w:t xml:space="preserve">view applications were heard as indicated </w:t>
      </w:r>
      <w:r w:rsidR="004234CF">
        <w:rPr>
          <w:rFonts w:ascii="Arial" w:hAnsi="Arial" w:cs="Arial"/>
          <w:sz w:val="24"/>
          <w:szCs w:val="24"/>
          <w:lang w:val="en-GB"/>
        </w:rPr>
        <w:t xml:space="preserve">aforesaid </w:t>
      </w:r>
      <w:r w:rsidR="00EF2584" w:rsidRPr="00EF2584">
        <w:rPr>
          <w:rFonts w:ascii="Arial" w:hAnsi="Arial" w:cs="Arial"/>
          <w:sz w:val="24"/>
          <w:szCs w:val="24"/>
          <w:lang w:val="en-GB"/>
        </w:rPr>
        <w:t xml:space="preserve">with the unsuccessful conclusion </w:t>
      </w:r>
      <w:r w:rsidR="004234CF">
        <w:rPr>
          <w:rFonts w:ascii="Arial" w:hAnsi="Arial" w:cs="Arial"/>
          <w:sz w:val="24"/>
          <w:szCs w:val="24"/>
          <w:lang w:val="en-GB"/>
        </w:rPr>
        <w:t xml:space="preserve">for </w:t>
      </w:r>
      <w:r w:rsidR="006C0262">
        <w:rPr>
          <w:rFonts w:ascii="Arial" w:hAnsi="Arial" w:cs="Arial"/>
          <w:sz w:val="24"/>
          <w:szCs w:val="24"/>
          <w:lang w:val="en-GB"/>
        </w:rPr>
        <w:t>all three applicants</w:t>
      </w:r>
      <w:r w:rsidR="004234CF">
        <w:rPr>
          <w:rFonts w:ascii="Arial" w:hAnsi="Arial" w:cs="Arial"/>
          <w:sz w:val="24"/>
          <w:szCs w:val="24"/>
          <w:lang w:val="en-GB"/>
        </w:rPr>
        <w:t>.</w:t>
      </w:r>
      <w:r w:rsidR="00EF2584" w:rsidRPr="00EF2584">
        <w:rPr>
          <w:rFonts w:ascii="Arial" w:hAnsi="Arial" w:cs="Arial"/>
          <w:sz w:val="24"/>
          <w:szCs w:val="24"/>
          <w:lang w:val="en-GB"/>
        </w:rPr>
        <w:t xml:space="preserve"> </w:t>
      </w:r>
    </w:p>
    <w:p w14:paraId="348A2E5B" w14:textId="034177E6" w:rsidR="00677A54" w:rsidRDefault="00904B9C" w:rsidP="00653FF9">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25</w:t>
      </w:r>
      <w:r>
        <w:rPr>
          <w:rFonts w:ascii="Arial" w:hAnsi="Arial" w:cs="Arial"/>
          <w:sz w:val="24"/>
          <w:szCs w:val="24"/>
          <w:lang w:val="en-GB"/>
        </w:rPr>
        <w:t>]</w:t>
      </w:r>
      <w:r>
        <w:rPr>
          <w:rFonts w:ascii="Arial" w:hAnsi="Arial" w:cs="Arial"/>
          <w:sz w:val="24"/>
          <w:szCs w:val="24"/>
          <w:lang w:val="en-GB"/>
        </w:rPr>
        <w:tab/>
        <w:t>A</w:t>
      </w:r>
      <w:r w:rsidR="00EF2584" w:rsidRPr="00EF2584">
        <w:rPr>
          <w:rFonts w:ascii="Arial" w:hAnsi="Arial" w:cs="Arial"/>
          <w:sz w:val="24"/>
          <w:szCs w:val="24"/>
          <w:lang w:val="en-GB"/>
        </w:rPr>
        <w:t xml:space="preserve">n issue that was raised in the court below was an application by </w:t>
      </w:r>
      <w:r w:rsidR="00382A14">
        <w:rPr>
          <w:rFonts w:ascii="Arial" w:hAnsi="Arial" w:cs="Arial"/>
          <w:sz w:val="24"/>
          <w:szCs w:val="24"/>
          <w:lang w:val="en-GB"/>
        </w:rPr>
        <w:t>Eskom</w:t>
      </w:r>
      <w:r w:rsidR="00EF2584" w:rsidRPr="00EF2584">
        <w:rPr>
          <w:rFonts w:ascii="Arial" w:hAnsi="Arial" w:cs="Arial"/>
          <w:sz w:val="24"/>
          <w:szCs w:val="24"/>
          <w:lang w:val="en-GB"/>
        </w:rPr>
        <w:t xml:space="preserve"> to strike out certain paragraphs of S</w:t>
      </w:r>
      <w:r>
        <w:rPr>
          <w:rFonts w:ascii="Arial" w:hAnsi="Arial" w:cs="Arial"/>
          <w:sz w:val="24"/>
          <w:szCs w:val="24"/>
          <w:lang w:val="en-GB"/>
        </w:rPr>
        <w:t>outhey’s</w:t>
      </w:r>
      <w:r w:rsidR="00EF2584" w:rsidRPr="00EF2584">
        <w:rPr>
          <w:rFonts w:ascii="Arial" w:hAnsi="Arial" w:cs="Arial"/>
          <w:sz w:val="24"/>
          <w:szCs w:val="24"/>
          <w:lang w:val="en-GB"/>
        </w:rPr>
        <w:t xml:space="preserve"> replying affidavit</w:t>
      </w:r>
      <w:r>
        <w:rPr>
          <w:rFonts w:ascii="Arial" w:hAnsi="Arial" w:cs="Arial"/>
          <w:sz w:val="24"/>
          <w:szCs w:val="24"/>
          <w:lang w:val="en-GB"/>
        </w:rPr>
        <w:t>.</w:t>
      </w:r>
      <w:r w:rsidR="00EF2584" w:rsidRPr="00EF2584">
        <w:rPr>
          <w:rFonts w:ascii="Arial" w:hAnsi="Arial" w:cs="Arial"/>
          <w:sz w:val="24"/>
          <w:szCs w:val="24"/>
          <w:lang w:val="en-GB"/>
        </w:rPr>
        <w:t xml:space="preserve"> </w:t>
      </w:r>
      <w:r>
        <w:rPr>
          <w:rFonts w:ascii="Arial" w:hAnsi="Arial" w:cs="Arial"/>
          <w:sz w:val="24"/>
          <w:szCs w:val="24"/>
          <w:lang w:val="en-GB"/>
        </w:rPr>
        <w:t>T</w:t>
      </w:r>
      <w:r w:rsidR="00EF2584" w:rsidRPr="00EF2584">
        <w:rPr>
          <w:rFonts w:ascii="Arial" w:hAnsi="Arial" w:cs="Arial"/>
          <w:sz w:val="24"/>
          <w:szCs w:val="24"/>
          <w:lang w:val="en-GB"/>
        </w:rPr>
        <w:t xml:space="preserve">he judgment of the court </w:t>
      </w:r>
      <w:r>
        <w:rPr>
          <w:rFonts w:ascii="Arial" w:hAnsi="Arial" w:cs="Arial"/>
          <w:sz w:val="24"/>
          <w:szCs w:val="24"/>
          <w:lang w:val="en-GB"/>
        </w:rPr>
        <w:t>a quo</w:t>
      </w:r>
      <w:r w:rsidR="00EF2584" w:rsidRPr="00EF2584">
        <w:rPr>
          <w:rFonts w:ascii="Arial" w:hAnsi="Arial" w:cs="Arial"/>
          <w:sz w:val="24"/>
          <w:szCs w:val="24"/>
          <w:lang w:val="en-GB"/>
        </w:rPr>
        <w:t xml:space="preserve"> </w:t>
      </w:r>
      <w:r w:rsidR="001260B0">
        <w:rPr>
          <w:rFonts w:ascii="Arial" w:hAnsi="Arial" w:cs="Arial"/>
          <w:sz w:val="24"/>
          <w:szCs w:val="24"/>
          <w:lang w:val="en-GB"/>
        </w:rPr>
        <w:t xml:space="preserve">does not mention </w:t>
      </w:r>
      <w:r w:rsidR="00EF2584" w:rsidRPr="00EF2584">
        <w:rPr>
          <w:rFonts w:ascii="Arial" w:hAnsi="Arial" w:cs="Arial"/>
          <w:sz w:val="24"/>
          <w:szCs w:val="24"/>
          <w:lang w:val="en-GB"/>
        </w:rPr>
        <w:t xml:space="preserve">the issue and it is mentioned in the appeal papers </w:t>
      </w:r>
      <w:r w:rsidR="00537C72">
        <w:rPr>
          <w:rFonts w:ascii="Arial" w:hAnsi="Arial" w:cs="Arial"/>
          <w:sz w:val="24"/>
          <w:szCs w:val="24"/>
          <w:lang w:val="en-GB"/>
        </w:rPr>
        <w:t xml:space="preserve">only in relation to </w:t>
      </w:r>
      <w:r w:rsidR="00EF2584" w:rsidRPr="00EF2584">
        <w:rPr>
          <w:rFonts w:ascii="Arial" w:hAnsi="Arial" w:cs="Arial"/>
          <w:sz w:val="24"/>
          <w:szCs w:val="24"/>
          <w:lang w:val="en-GB"/>
        </w:rPr>
        <w:t>costs and there is no cross appeal regarding that matter</w:t>
      </w:r>
      <w:r w:rsidR="00537C72">
        <w:rPr>
          <w:rFonts w:ascii="Arial" w:hAnsi="Arial" w:cs="Arial"/>
          <w:sz w:val="24"/>
          <w:szCs w:val="24"/>
          <w:lang w:val="en-GB"/>
        </w:rPr>
        <w:t>.</w:t>
      </w:r>
      <w:r w:rsidR="00EF2584" w:rsidRPr="00EF2584">
        <w:rPr>
          <w:rFonts w:ascii="Arial" w:hAnsi="Arial" w:cs="Arial"/>
          <w:sz w:val="24"/>
          <w:szCs w:val="24"/>
          <w:lang w:val="en-GB"/>
        </w:rPr>
        <w:t xml:space="preserve"> </w:t>
      </w:r>
      <w:r w:rsidR="00537C72">
        <w:rPr>
          <w:rFonts w:ascii="Arial" w:hAnsi="Arial" w:cs="Arial"/>
          <w:sz w:val="24"/>
          <w:szCs w:val="24"/>
          <w:lang w:val="en-GB"/>
        </w:rPr>
        <w:t>H</w:t>
      </w:r>
      <w:r w:rsidR="00EF2584" w:rsidRPr="00EF2584">
        <w:rPr>
          <w:rFonts w:ascii="Arial" w:hAnsi="Arial" w:cs="Arial"/>
          <w:sz w:val="24"/>
          <w:szCs w:val="24"/>
          <w:lang w:val="en-GB"/>
        </w:rPr>
        <w:t>aving requested coun</w:t>
      </w:r>
      <w:r w:rsidR="00537C72">
        <w:rPr>
          <w:rFonts w:ascii="Arial" w:hAnsi="Arial" w:cs="Arial"/>
          <w:sz w:val="24"/>
          <w:szCs w:val="24"/>
          <w:lang w:val="en-GB"/>
        </w:rPr>
        <w:t>sel</w:t>
      </w:r>
      <w:r w:rsidR="00EF2584" w:rsidRPr="00EF2584">
        <w:rPr>
          <w:rFonts w:ascii="Arial" w:hAnsi="Arial" w:cs="Arial"/>
          <w:sz w:val="24"/>
          <w:szCs w:val="24"/>
          <w:lang w:val="en-GB"/>
        </w:rPr>
        <w:t xml:space="preserve"> to address us on the issue</w:t>
      </w:r>
      <w:r w:rsidR="00537C72">
        <w:rPr>
          <w:rFonts w:ascii="Arial" w:hAnsi="Arial" w:cs="Arial"/>
          <w:sz w:val="24"/>
          <w:szCs w:val="24"/>
          <w:lang w:val="en-GB"/>
        </w:rPr>
        <w:t>,</w:t>
      </w:r>
      <w:r w:rsidR="00EF2584" w:rsidRPr="00EF2584">
        <w:rPr>
          <w:rFonts w:ascii="Arial" w:hAnsi="Arial" w:cs="Arial"/>
          <w:sz w:val="24"/>
          <w:szCs w:val="24"/>
          <w:lang w:val="en-GB"/>
        </w:rPr>
        <w:t xml:space="preserve"> we are the view that that the striking out application does not warrant any further consideration or </w:t>
      </w:r>
      <w:r w:rsidR="00FF6957">
        <w:rPr>
          <w:rFonts w:ascii="Arial" w:hAnsi="Arial" w:cs="Arial"/>
          <w:sz w:val="24"/>
          <w:szCs w:val="24"/>
          <w:lang w:val="en-GB"/>
        </w:rPr>
        <w:t xml:space="preserve">that </w:t>
      </w:r>
      <w:r w:rsidR="00EF2584" w:rsidRPr="00EF2584">
        <w:rPr>
          <w:rFonts w:ascii="Arial" w:hAnsi="Arial" w:cs="Arial"/>
          <w:sz w:val="24"/>
          <w:szCs w:val="24"/>
          <w:lang w:val="en-GB"/>
        </w:rPr>
        <w:t xml:space="preserve">any special costs order </w:t>
      </w:r>
      <w:r w:rsidR="00FF6957">
        <w:rPr>
          <w:rFonts w:ascii="Arial" w:hAnsi="Arial" w:cs="Arial"/>
          <w:sz w:val="24"/>
          <w:szCs w:val="24"/>
          <w:lang w:val="en-GB"/>
        </w:rPr>
        <w:t xml:space="preserve">is </w:t>
      </w:r>
      <w:r w:rsidR="00EF2584" w:rsidRPr="00EF2584">
        <w:rPr>
          <w:rFonts w:ascii="Arial" w:hAnsi="Arial" w:cs="Arial"/>
          <w:sz w:val="24"/>
          <w:szCs w:val="24"/>
          <w:lang w:val="en-GB"/>
        </w:rPr>
        <w:t>attributable</w:t>
      </w:r>
      <w:r w:rsidR="00537C72">
        <w:rPr>
          <w:rFonts w:ascii="Arial" w:hAnsi="Arial" w:cs="Arial"/>
          <w:sz w:val="24"/>
          <w:szCs w:val="24"/>
          <w:lang w:val="en-GB"/>
        </w:rPr>
        <w:t xml:space="preserve"> to it</w:t>
      </w:r>
      <w:r w:rsidR="006C0262">
        <w:rPr>
          <w:rFonts w:ascii="Arial" w:hAnsi="Arial" w:cs="Arial"/>
          <w:sz w:val="24"/>
          <w:szCs w:val="24"/>
          <w:lang w:val="en-GB"/>
        </w:rPr>
        <w:t>. T</w:t>
      </w:r>
      <w:r w:rsidR="00EF2584" w:rsidRPr="00EF2584">
        <w:rPr>
          <w:rFonts w:ascii="Arial" w:hAnsi="Arial" w:cs="Arial"/>
          <w:sz w:val="24"/>
          <w:szCs w:val="24"/>
          <w:lang w:val="en-GB"/>
        </w:rPr>
        <w:t>hat application was an</w:t>
      </w:r>
      <w:r w:rsidR="00537C72">
        <w:rPr>
          <w:rFonts w:ascii="Arial" w:hAnsi="Arial" w:cs="Arial"/>
          <w:sz w:val="24"/>
          <w:szCs w:val="24"/>
          <w:lang w:val="en-GB"/>
        </w:rPr>
        <w:t>d</w:t>
      </w:r>
      <w:r w:rsidR="00EF2584" w:rsidRPr="00EF2584">
        <w:rPr>
          <w:rFonts w:ascii="Arial" w:hAnsi="Arial" w:cs="Arial"/>
          <w:sz w:val="24"/>
          <w:szCs w:val="24"/>
          <w:lang w:val="en-GB"/>
        </w:rPr>
        <w:t xml:space="preserve"> </w:t>
      </w:r>
      <w:r w:rsidR="00537C72">
        <w:rPr>
          <w:rFonts w:ascii="Arial" w:hAnsi="Arial" w:cs="Arial"/>
          <w:sz w:val="24"/>
          <w:szCs w:val="24"/>
          <w:lang w:val="en-GB"/>
        </w:rPr>
        <w:t>is, in our view,</w:t>
      </w:r>
      <w:r w:rsidR="00EF2584" w:rsidRPr="00EF2584">
        <w:rPr>
          <w:rFonts w:ascii="Arial" w:hAnsi="Arial" w:cs="Arial"/>
          <w:sz w:val="24"/>
          <w:szCs w:val="24"/>
          <w:lang w:val="en-GB"/>
        </w:rPr>
        <w:t xml:space="preserve"> inconsequential in the greater scheme of things of this matter and no order </w:t>
      </w:r>
      <w:r w:rsidR="00B16732">
        <w:rPr>
          <w:rFonts w:ascii="Arial" w:hAnsi="Arial" w:cs="Arial"/>
          <w:sz w:val="24"/>
          <w:szCs w:val="24"/>
          <w:lang w:val="en-GB"/>
        </w:rPr>
        <w:t xml:space="preserve">should be </w:t>
      </w:r>
      <w:r w:rsidR="00EF2584" w:rsidRPr="00EF2584">
        <w:rPr>
          <w:rFonts w:ascii="Arial" w:hAnsi="Arial" w:cs="Arial"/>
          <w:sz w:val="24"/>
          <w:szCs w:val="24"/>
          <w:lang w:val="en-GB"/>
        </w:rPr>
        <w:t>made regarding the striking out</w:t>
      </w:r>
      <w:r w:rsidR="00537C72">
        <w:rPr>
          <w:rFonts w:ascii="Arial" w:hAnsi="Arial" w:cs="Arial"/>
          <w:sz w:val="24"/>
          <w:szCs w:val="24"/>
          <w:lang w:val="en-GB"/>
        </w:rPr>
        <w:t xml:space="preserve"> </w:t>
      </w:r>
      <w:r w:rsidR="00EF2584" w:rsidRPr="00EF2584">
        <w:rPr>
          <w:rFonts w:ascii="Arial" w:hAnsi="Arial" w:cs="Arial"/>
          <w:sz w:val="24"/>
          <w:szCs w:val="24"/>
          <w:lang w:val="en-GB"/>
        </w:rPr>
        <w:t>application</w:t>
      </w:r>
      <w:r w:rsidR="00537C72">
        <w:rPr>
          <w:rFonts w:ascii="Arial" w:hAnsi="Arial" w:cs="Arial"/>
          <w:sz w:val="24"/>
          <w:szCs w:val="24"/>
          <w:lang w:val="en-GB"/>
        </w:rPr>
        <w:t>.</w:t>
      </w:r>
      <w:r w:rsidR="00EF2584" w:rsidRPr="00EF2584">
        <w:rPr>
          <w:rFonts w:ascii="Arial" w:hAnsi="Arial" w:cs="Arial"/>
          <w:sz w:val="24"/>
          <w:szCs w:val="24"/>
          <w:lang w:val="en-GB"/>
        </w:rPr>
        <w:t xml:space="preserve"> </w:t>
      </w:r>
    </w:p>
    <w:p w14:paraId="1DF6CDE6" w14:textId="7A35EA98" w:rsidR="00FE2BC7" w:rsidRDefault="00677A54" w:rsidP="00653FF9">
      <w:pPr>
        <w:spacing w:after="0" w:line="48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537C72">
        <w:rPr>
          <w:rFonts w:ascii="Arial" w:hAnsi="Arial" w:cs="Arial"/>
          <w:sz w:val="24"/>
          <w:szCs w:val="24"/>
          <w:lang w:val="en-GB"/>
        </w:rPr>
        <w:t>D</w:t>
      </w:r>
      <w:r w:rsidR="00EF2584" w:rsidRPr="00EF2584">
        <w:rPr>
          <w:rFonts w:ascii="Arial" w:hAnsi="Arial" w:cs="Arial"/>
          <w:sz w:val="24"/>
          <w:szCs w:val="24"/>
          <w:lang w:val="en-GB"/>
        </w:rPr>
        <w:t>espite s</w:t>
      </w:r>
      <w:r w:rsidR="00537C72">
        <w:rPr>
          <w:rFonts w:ascii="Arial" w:hAnsi="Arial" w:cs="Arial"/>
          <w:sz w:val="24"/>
          <w:szCs w:val="24"/>
          <w:lang w:val="en-GB"/>
        </w:rPr>
        <w:t>etting</w:t>
      </w:r>
      <w:r w:rsidR="00EF2584" w:rsidRPr="00EF2584">
        <w:rPr>
          <w:rFonts w:ascii="Arial" w:hAnsi="Arial" w:cs="Arial"/>
          <w:sz w:val="24"/>
          <w:szCs w:val="24"/>
          <w:lang w:val="en-GB"/>
        </w:rPr>
        <w:t xml:space="preserve"> out a large number of grounds of appeal in its application for leave to appeal</w:t>
      </w:r>
      <w:r w:rsidR="00537C72">
        <w:rPr>
          <w:rFonts w:ascii="Arial" w:hAnsi="Arial" w:cs="Arial"/>
          <w:sz w:val="24"/>
          <w:szCs w:val="24"/>
          <w:lang w:val="en-GB"/>
        </w:rPr>
        <w:t>, Southey has</w:t>
      </w:r>
      <w:r w:rsidR="00EF2584" w:rsidRPr="00EF2584">
        <w:rPr>
          <w:rFonts w:ascii="Arial" w:hAnsi="Arial" w:cs="Arial"/>
          <w:sz w:val="24"/>
          <w:szCs w:val="24"/>
          <w:lang w:val="en-GB"/>
        </w:rPr>
        <w:t xml:space="preserve"> limited th</w:t>
      </w:r>
      <w:r w:rsidR="00537C72">
        <w:rPr>
          <w:rFonts w:ascii="Arial" w:hAnsi="Arial" w:cs="Arial"/>
          <w:sz w:val="24"/>
          <w:szCs w:val="24"/>
          <w:lang w:val="en-GB"/>
        </w:rPr>
        <w:t>e</w:t>
      </w:r>
      <w:r w:rsidR="00EF2584" w:rsidRPr="00EF2584">
        <w:rPr>
          <w:rFonts w:ascii="Arial" w:hAnsi="Arial" w:cs="Arial"/>
          <w:sz w:val="24"/>
          <w:szCs w:val="24"/>
          <w:lang w:val="en-GB"/>
        </w:rPr>
        <w:t xml:space="preserve"> relief sought on appeal i</w:t>
      </w:r>
      <w:r w:rsidR="00537C72">
        <w:rPr>
          <w:rFonts w:ascii="Arial" w:hAnsi="Arial" w:cs="Arial"/>
          <w:sz w:val="24"/>
          <w:szCs w:val="24"/>
          <w:lang w:val="en-GB"/>
        </w:rPr>
        <w:t xml:space="preserve">n its </w:t>
      </w:r>
      <w:r w:rsidR="00EF2584" w:rsidRPr="00EF2584">
        <w:rPr>
          <w:rFonts w:ascii="Arial" w:hAnsi="Arial" w:cs="Arial"/>
          <w:sz w:val="24"/>
          <w:szCs w:val="24"/>
          <w:lang w:val="en-GB"/>
        </w:rPr>
        <w:t>heads and argument</w:t>
      </w:r>
      <w:r w:rsidR="00537C72">
        <w:rPr>
          <w:rFonts w:ascii="Arial" w:hAnsi="Arial" w:cs="Arial"/>
          <w:sz w:val="24"/>
          <w:szCs w:val="24"/>
          <w:lang w:val="en-GB"/>
        </w:rPr>
        <w:t>.</w:t>
      </w:r>
      <w:r w:rsidR="00EF2584" w:rsidRPr="00EF2584">
        <w:rPr>
          <w:rFonts w:ascii="Arial" w:hAnsi="Arial" w:cs="Arial"/>
          <w:sz w:val="24"/>
          <w:szCs w:val="24"/>
          <w:lang w:val="en-GB"/>
        </w:rPr>
        <w:t xml:space="preserve"> </w:t>
      </w:r>
      <w:r w:rsidR="00537C72">
        <w:rPr>
          <w:rFonts w:ascii="Arial" w:hAnsi="Arial" w:cs="Arial"/>
          <w:sz w:val="24"/>
          <w:szCs w:val="24"/>
          <w:lang w:val="en-GB"/>
        </w:rPr>
        <w:t>SGB’s</w:t>
      </w:r>
      <w:r w:rsidR="00EF2584" w:rsidRPr="00EF2584">
        <w:rPr>
          <w:rFonts w:ascii="Arial" w:hAnsi="Arial" w:cs="Arial"/>
          <w:sz w:val="24"/>
          <w:szCs w:val="24"/>
          <w:lang w:val="en-GB"/>
        </w:rPr>
        <w:t xml:space="preserve"> grounds of appeal</w:t>
      </w:r>
      <w:r w:rsidR="006C0262">
        <w:rPr>
          <w:rFonts w:ascii="Arial" w:hAnsi="Arial" w:cs="Arial"/>
          <w:sz w:val="24"/>
          <w:szCs w:val="24"/>
          <w:lang w:val="en-GB"/>
        </w:rPr>
        <w:t xml:space="preserve">, in addition to broadly making common cause with Southey, </w:t>
      </w:r>
      <w:r w:rsidR="00EF2584" w:rsidRPr="00EF2584">
        <w:rPr>
          <w:rFonts w:ascii="Arial" w:hAnsi="Arial" w:cs="Arial"/>
          <w:sz w:val="24"/>
          <w:szCs w:val="24"/>
          <w:lang w:val="en-GB"/>
        </w:rPr>
        <w:t>can be broadly placed in</w:t>
      </w:r>
      <w:r w:rsidR="00FE2BC7">
        <w:rPr>
          <w:rFonts w:ascii="Arial" w:hAnsi="Arial" w:cs="Arial"/>
          <w:sz w:val="24"/>
          <w:szCs w:val="24"/>
          <w:lang w:val="en-GB"/>
        </w:rPr>
        <w:t xml:space="preserve"> two</w:t>
      </w:r>
      <w:r w:rsidR="00EF2584" w:rsidRPr="00EF2584">
        <w:rPr>
          <w:rFonts w:ascii="Arial" w:hAnsi="Arial" w:cs="Arial"/>
          <w:sz w:val="24"/>
          <w:szCs w:val="24"/>
          <w:lang w:val="en-GB"/>
        </w:rPr>
        <w:t xml:space="preserve"> categories: the failure of the court to consider certain grounds and</w:t>
      </w:r>
      <w:r w:rsidR="006C0262">
        <w:rPr>
          <w:rFonts w:ascii="Arial" w:hAnsi="Arial" w:cs="Arial"/>
          <w:sz w:val="24"/>
          <w:szCs w:val="24"/>
          <w:lang w:val="en-GB"/>
        </w:rPr>
        <w:t>,</w:t>
      </w:r>
      <w:r w:rsidR="00EF2584" w:rsidRPr="00EF2584">
        <w:rPr>
          <w:rFonts w:ascii="Arial" w:hAnsi="Arial" w:cs="Arial"/>
          <w:sz w:val="24"/>
          <w:szCs w:val="24"/>
          <w:lang w:val="en-GB"/>
        </w:rPr>
        <w:t xml:space="preserve"> secondly</w:t>
      </w:r>
      <w:r w:rsidR="006C0262">
        <w:rPr>
          <w:rFonts w:ascii="Arial" w:hAnsi="Arial" w:cs="Arial"/>
          <w:sz w:val="24"/>
          <w:szCs w:val="24"/>
          <w:lang w:val="en-GB"/>
        </w:rPr>
        <w:t xml:space="preserve">, </w:t>
      </w:r>
      <w:r w:rsidR="00EF2584" w:rsidRPr="00EF2584">
        <w:rPr>
          <w:rFonts w:ascii="Arial" w:hAnsi="Arial" w:cs="Arial"/>
          <w:sz w:val="24"/>
          <w:szCs w:val="24"/>
          <w:lang w:val="en-GB"/>
        </w:rPr>
        <w:t>the errors and misdirections of the court below</w:t>
      </w:r>
      <w:r>
        <w:rPr>
          <w:rFonts w:ascii="Arial" w:hAnsi="Arial" w:cs="Arial"/>
          <w:sz w:val="24"/>
          <w:szCs w:val="24"/>
          <w:lang w:val="en-GB"/>
        </w:rPr>
        <w:t xml:space="preserve"> in those grounds it did consider</w:t>
      </w:r>
      <w:r w:rsidR="00FE2BC7">
        <w:rPr>
          <w:rFonts w:ascii="Arial" w:hAnsi="Arial" w:cs="Arial"/>
          <w:sz w:val="24"/>
          <w:szCs w:val="24"/>
          <w:lang w:val="en-GB"/>
        </w:rPr>
        <w:t>.</w:t>
      </w:r>
    </w:p>
    <w:p w14:paraId="38457BEC" w14:textId="0175B2CC" w:rsidR="008873EC" w:rsidRDefault="00FE2BC7" w:rsidP="00653FF9">
      <w:pPr>
        <w:spacing w:after="0" w:line="480" w:lineRule="auto"/>
        <w:jc w:val="both"/>
        <w:rPr>
          <w:rFonts w:ascii="Arial" w:hAnsi="Arial" w:cs="Arial"/>
          <w:sz w:val="24"/>
          <w:szCs w:val="24"/>
          <w:lang w:val="en-GB"/>
        </w:rPr>
      </w:pPr>
      <w:r>
        <w:rPr>
          <w:rFonts w:ascii="Arial" w:hAnsi="Arial" w:cs="Arial"/>
          <w:sz w:val="24"/>
          <w:szCs w:val="24"/>
          <w:lang w:val="en-GB"/>
        </w:rPr>
        <w:lastRenderedPageBreak/>
        <w:t>[</w:t>
      </w:r>
      <w:r w:rsidR="00623EF8">
        <w:rPr>
          <w:rFonts w:ascii="Arial" w:hAnsi="Arial" w:cs="Arial"/>
          <w:sz w:val="24"/>
          <w:szCs w:val="24"/>
          <w:lang w:val="en-GB"/>
        </w:rPr>
        <w:t>2</w:t>
      </w:r>
      <w:r w:rsidR="00677A54">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S</w:t>
      </w:r>
      <w:r w:rsidR="00EF2584" w:rsidRPr="00EF2584">
        <w:rPr>
          <w:rFonts w:ascii="Arial" w:hAnsi="Arial" w:cs="Arial"/>
          <w:sz w:val="24"/>
          <w:szCs w:val="24"/>
          <w:lang w:val="en-GB"/>
        </w:rPr>
        <w:t>ome of the grounds of appeal are common to both appe</w:t>
      </w:r>
      <w:r>
        <w:rPr>
          <w:rFonts w:ascii="Arial" w:hAnsi="Arial" w:cs="Arial"/>
          <w:sz w:val="24"/>
          <w:szCs w:val="24"/>
          <w:lang w:val="en-GB"/>
        </w:rPr>
        <w:t>llants</w:t>
      </w:r>
      <w:r w:rsidR="00EF2584" w:rsidRPr="00EF2584">
        <w:rPr>
          <w:rFonts w:ascii="Arial" w:hAnsi="Arial" w:cs="Arial"/>
          <w:sz w:val="24"/>
          <w:szCs w:val="24"/>
          <w:lang w:val="en-GB"/>
        </w:rPr>
        <w:t xml:space="preserve"> and th</w:t>
      </w:r>
      <w:r w:rsidR="00A12181">
        <w:rPr>
          <w:rFonts w:ascii="Arial" w:hAnsi="Arial" w:cs="Arial"/>
          <w:sz w:val="24"/>
          <w:szCs w:val="24"/>
          <w:lang w:val="en-GB"/>
        </w:rPr>
        <w:t>ose</w:t>
      </w:r>
      <w:r w:rsidR="00EF2584" w:rsidRPr="00EF2584">
        <w:rPr>
          <w:rFonts w:ascii="Arial" w:hAnsi="Arial" w:cs="Arial"/>
          <w:sz w:val="24"/>
          <w:szCs w:val="24"/>
          <w:lang w:val="en-GB"/>
        </w:rPr>
        <w:t xml:space="preserve"> will be dealt with</w:t>
      </w:r>
      <w:r w:rsidR="00677A54">
        <w:rPr>
          <w:rFonts w:ascii="Arial" w:hAnsi="Arial" w:cs="Arial"/>
          <w:sz w:val="24"/>
          <w:szCs w:val="24"/>
          <w:lang w:val="en-GB"/>
        </w:rPr>
        <w:t xml:space="preserve"> primarily</w:t>
      </w:r>
      <w:r w:rsidR="00EF2584" w:rsidRPr="00EF2584">
        <w:rPr>
          <w:rFonts w:ascii="Arial" w:hAnsi="Arial" w:cs="Arial"/>
          <w:sz w:val="24"/>
          <w:szCs w:val="24"/>
          <w:lang w:val="en-GB"/>
        </w:rPr>
        <w:t xml:space="preserve"> </w:t>
      </w:r>
      <w:r w:rsidR="0077297F">
        <w:rPr>
          <w:rFonts w:ascii="Arial" w:hAnsi="Arial" w:cs="Arial"/>
          <w:sz w:val="24"/>
          <w:szCs w:val="24"/>
          <w:lang w:val="en-GB"/>
        </w:rPr>
        <w:t>as submitted by counsel for Southey.</w:t>
      </w:r>
      <w:r w:rsidR="004C14D4">
        <w:rPr>
          <w:rFonts w:ascii="Arial" w:hAnsi="Arial" w:cs="Arial"/>
          <w:sz w:val="24"/>
          <w:szCs w:val="24"/>
          <w:lang w:val="en-GB"/>
        </w:rPr>
        <w:t xml:space="preserve"> </w:t>
      </w:r>
      <w:r w:rsidR="008873EC">
        <w:rPr>
          <w:rFonts w:ascii="Arial" w:hAnsi="Arial" w:cs="Arial"/>
          <w:sz w:val="24"/>
          <w:szCs w:val="24"/>
          <w:lang w:val="en-GB"/>
        </w:rPr>
        <w:t>A number of the grounds that overlapped dealt with the validity and manner of application of the cluster allocation system.</w:t>
      </w:r>
    </w:p>
    <w:p w14:paraId="69B9EC3C" w14:textId="7AD3FEAA" w:rsidR="008873EC" w:rsidRDefault="008873EC" w:rsidP="00653FF9">
      <w:pPr>
        <w:spacing w:after="0" w:line="480" w:lineRule="auto"/>
        <w:jc w:val="both"/>
        <w:rPr>
          <w:rFonts w:ascii="Arial" w:hAnsi="Arial" w:cs="Arial"/>
          <w:sz w:val="24"/>
          <w:szCs w:val="24"/>
          <w:lang w:val="en-GB"/>
        </w:rPr>
      </w:pPr>
      <w:r>
        <w:rPr>
          <w:rFonts w:ascii="Arial" w:hAnsi="Arial" w:cs="Arial"/>
          <w:sz w:val="24"/>
          <w:szCs w:val="24"/>
          <w:lang w:val="en-GB"/>
        </w:rPr>
        <w:t xml:space="preserve">[28] </w:t>
      </w:r>
      <w:r w:rsidR="00A12181">
        <w:rPr>
          <w:rFonts w:ascii="Arial" w:hAnsi="Arial" w:cs="Arial"/>
          <w:sz w:val="24"/>
          <w:szCs w:val="24"/>
          <w:lang w:val="en-GB"/>
        </w:rPr>
        <w:t>One of the grounds</w:t>
      </w:r>
      <w:r w:rsidR="00EF2584" w:rsidRPr="00EF2584">
        <w:rPr>
          <w:rFonts w:ascii="Arial" w:hAnsi="Arial" w:cs="Arial"/>
          <w:sz w:val="24"/>
          <w:szCs w:val="24"/>
          <w:lang w:val="en-GB"/>
        </w:rPr>
        <w:t xml:space="preserve"> of appeal addressed before us related</w:t>
      </w:r>
      <w:r w:rsidR="00A12181">
        <w:rPr>
          <w:rFonts w:ascii="Arial" w:hAnsi="Arial" w:cs="Arial"/>
          <w:sz w:val="24"/>
          <w:szCs w:val="24"/>
          <w:lang w:val="en-GB"/>
        </w:rPr>
        <w:t xml:space="preserve"> </w:t>
      </w:r>
      <w:r w:rsidR="00917525">
        <w:rPr>
          <w:rFonts w:ascii="Arial" w:hAnsi="Arial" w:cs="Arial"/>
          <w:sz w:val="24"/>
          <w:szCs w:val="24"/>
          <w:lang w:val="en-GB"/>
        </w:rPr>
        <w:t xml:space="preserve">to the </w:t>
      </w:r>
      <w:r w:rsidR="00A12181">
        <w:rPr>
          <w:rFonts w:ascii="Arial" w:hAnsi="Arial" w:cs="Arial"/>
          <w:sz w:val="24"/>
          <w:szCs w:val="24"/>
          <w:lang w:val="en-GB"/>
        </w:rPr>
        <w:t>complaint</w:t>
      </w:r>
      <w:r w:rsidR="00EF2584" w:rsidRPr="00EF2584">
        <w:rPr>
          <w:rFonts w:ascii="Arial" w:hAnsi="Arial" w:cs="Arial"/>
          <w:sz w:val="24"/>
          <w:szCs w:val="24"/>
          <w:lang w:val="en-GB"/>
        </w:rPr>
        <w:t xml:space="preserve"> </w:t>
      </w:r>
      <w:r w:rsidR="00A12181">
        <w:rPr>
          <w:rFonts w:ascii="Arial" w:hAnsi="Arial" w:cs="Arial"/>
          <w:sz w:val="24"/>
          <w:szCs w:val="24"/>
          <w:lang w:val="en-GB"/>
        </w:rPr>
        <w:t xml:space="preserve">that </w:t>
      </w:r>
      <w:r w:rsidR="00382A14">
        <w:rPr>
          <w:rFonts w:ascii="Arial" w:hAnsi="Arial" w:cs="Arial"/>
          <w:sz w:val="24"/>
          <w:szCs w:val="24"/>
          <w:lang w:val="en-GB"/>
        </w:rPr>
        <w:t>Eskom</w:t>
      </w:r>
      <w:r w:rsidR="00EF2584" w:rsidRPr="00EF2584">
        <w:rPr>
          <w:rFonts w:ascii="Arial" w:hAnsi="Arial" w:cs="Arial"/>
          <w:sz w:val="24"/>
          <w:szCs w:val="24"/>
          <w:lang w:val="en-GB"/>
        </w:rPr>
        <w:t xml:space="preserve"> had failed to adhere to legal prescripts and that the manner in which </w:t>
      </w:r>
      <w:r w:rsidR="00A12181">
        <w:rPr>
          <w:rFonts w:ascii="Arial" w:hAnsi="Arial" w:cs="Arial"/>
          <w:sz w:val="24"/>
          <w:szCs w:val="24"/>
          <w:lang w:val="en-GB"/>
        </w:rPr>
        <w:t>the</w:t>
      </w:r>
      <w:r w:rsidR="00EF2584" w:rsidRPr="00EF2584">
        <w:rPr>
          <w:rFonts w:ascii="Arial" w:hAnsi="Arial" w:cs="Arial"/>
          <w:sz w:val="24"/>
          <w:szCs w:val="24"/>
          <w:lang w:val="en-GB"/>
        </w:rPr>
        <w:t xml:space="preserve"> ITT was put together and advertised</w:t>
      </w:r>
      <w:r w:rsidR="00A12181">
        <w:rPr>
          <w:rFonts w:ascii="Arial" w:hAnsi="Arial" w:cs="Arial"/>
          <w:sz w:val="24"/>
          <w:szCs w:val="24"/>
          <w:lang w:val="en-GB"/>
        </w:rPr>
        <w:t>,</w:t>
      </w:r>
      <w:r w:rsidR="00EF2584" w:rsidRPr="00EF2584">
        <w:rPr>
          <w:rFonts w:ascii="Arial" w:hAnsi="Arial" w:cs="Arial"/>
          <w:sz w:val="24"/>
          <w:szCs w:val="24"/>
          <w:lang w:val="en-GB"/>
        </w:rPr>
        <w:t xml:space="preserve"> was unlawful</w:t>
      </w:r>
      <w:r w:rsidR="00A12181">
        <w:rPr>
          <w:rFonts w:ascii="Arial" w:hAnsi="Arial" w:cs="Arial"/>
          <w:sz w:val="24"/>
          <w:szCs w:val="24"/>
          <w:lang w:val="en-GB"/>
        </w:rPr>
        <w:t>.</w:t>
      </w:r>
      <w:r w:rsidR="00EF2584" w:rsidRPr="00EF2584">
        <w:rPr>
          <w:rFonts w:ascii="Arial" w:hAnsi="Arial" w:cs="Arial"/>
          <w:sz w:val="24"/>
          <w:szCs w:val="24"/>
          <w:lang w:val="en-GB"/>
        </w:rPr>
        <w:t xml:space="preserve"> </w:t>
      </w:r>
      <w:r w:rsidR="00A12181">
        <w:rPr>
          <w:rFonts w:ascii="Arial" w:hAnsi="Arial" w:cs="Arial"/>
          <w:sz w:val="24"/>
          <w:szCs w:val="24"/>
          <w:lang w:val="en-GB"/>
        </w:rPr>
        <w:t>W</w:t>
      </w:r>
      <w:r w:rsidR="00EF2584" w:rsidRPr="00EF2584">
        <w:rPr>
          <w:rFonts w:ascii="Arial" w:hAnsi="Arial" w:cs="Arial"/>
          <w:sz w:val="24"/>
          <w:szCs w:val="24"/>
          <w:lang w:val="en-GB"/>
        </w:rPr>
        <w:t>ithout dealing with the specifics of the alleged illegality</w:t>
      </w:r>
      <w:r w:rsidR="00A12181">
        <w:rPr>
          <w:rFonts w:ascii="Arial" w:hAnsi="Arial" w:cs="Arial"/>
          <w:sz w:val="24"/>
          <w:szCs w:val="24"/>
          <w:lang w:val="en-GB"/>
        </w:rPr>
        <w:t>,</w:t>
      </w:r>
      <w:r w:rsidR="00EF2584" w:rsidRPr="00EF2584">
        <w:rPr>
          <w:rFonts w:ascii="Arial" w:hAnsi="Arial" w:cs="Arial"/>
          <w:sz w:val="24"/>
          <w:szCs w:val="24"/>
          <w:lang w:val="en-GB"/>
        </w:rPr>
        <w:t xml:space="preserve"> it is important to note that</w:t>
      </w:r>
      <w:r w:rsidR="00A12181">
        <w:rPr>
          <w:rFonts w:ascii="Arial" w:hAnsi="Arial" w:cs="Arial"/>
          <w:sz w:val="24"/>
          <w:szCs w:val="24"/>
          <w:lang w:val="en-GB"/>
        </w:rPr>
        <w:t xml:space="preserve"> </w:t>
      </w:r>
      <w:r w:rsidR="007E2D14">
        <w:rPr>
          <w:rFonts w:ascii="Arial" w:hAnsi="Arial" w:cs="Arial"/>
          <w:sz w:val="24"/>
          <w:szCs w:val="24"/>
          <w:lang w:val="en-GB"/>
        </w:rPr>
        <w:t xml:space="preserve">a </w:t>
      </w:r>
      <w:r w:rsidR="00EF2584" w:rsidRPr="00EF2584">
        <w:rPr>
          <w:rFonts w:ascii="Arial" w:hAnsi="Arial" w:cs="Arial"/>
          <w:sz w:val="24"/>
          <w:szCs w:val="24"/>
          <w:lang w:val="en-GB"/>
        </w:rPr>
        <w:t xml:space="preserve">complaint was never raised at the time when the </w:t>
      </w:r>
      <w:r w:rsidR="00A12181">
        <w:rPr>
          <w:rFonts w:ascii="Arial" w:hAnsi="Arial" w:cs="Arial"/>
          <w:sz w:val="24"/>
          <w:szCs w:val="24"/>
          <w:lang w:val="en-GB"/>
        </w:rPr>
        <w:t>appellants</w:t>
      </w:r>
      <w:r w:rsidR="00EF2584" w:rsidRPr="00EF2584">
        <w:rPr>
          <w:rFonts w:ascii="Arial" w:hAnsi="Arial" w:cs="Arial"/>
          <w:sz w:val="24"/>
          <w:szCs w:val="24"/>
          <w:lang w:val="en-GB"/>
        </w:rPr>
        <w:t xml:space="preserve"> submitted their b</w:t>
      </w:r>
      <w:r w:rsidR="00A12181">
        <w:rPr>
          <w:rFonts w:ascii="Arial" w:hAnsi="Arial" w:cs="Arial"/>
          <w:sz w:val="24"/>
          <w:szCs w:val="24"/>
          <w:lang w:val="en-GB"/>
        </w:rPr>
        <w:t>ids</w:t>
      </w:r>
      <w:r w:rsidR="00EF2584" w:rsidRPr="00EF2584">
        <w:rPr>
          <w:rFonts w:ascii="Arial" w:hAnsi="Arial" w:cs="Arial"/>
          <w:sz w:val="24"/>
          <w:szCs w:val="24"/>
          <w:lang w:val="en-GB"/>
        </w:rPr>
        <w:t xml:space="preserve"> and the</w:t>
      </w:r>
      <w:r>
        <w:rPr>
          <w:rFonts w:ascii="Arial" w:hAnsi="Arial" w:cs="Arial"/>
          <w:sz w:val="24"/>
          <w:szCs w:val="24"/>
          <w:lang w:val="en-GB"/>
        </w:rPr>
        <w:t xml:space="preserve"> appellants</w:t>
      </w:r>
      <w:r w:rsidR="00EF2584" w:rsidRPr="00EF2584">
        <w:rPr>
          <w:rFonts w:ascii="Arial" w:hAnsi="Arial" w:cs="Arial"/>
          <w:sz w:val="24"/>
          <w:szCs w:val="24"/>
          <w:lang w:val="en-GB"/>
        </w:rPr>
        <w:t xml:space="preserve"> happily participated in the bidding process in the manner in which </w:t>
      </w:r>
      <w:r w:rsidR="00382A14">
        <w:rPr>
          <w:rFonts w:ascii="Arial" w:hAnsi="Arial" w:cs="Arial"/>
          <w:sz w:val="24"/>
          <w:szCs w:val="24"/>
          <w:lang w:val="en-GB"/>
        </w:rPr>
        <w:t>Eskom</w:t>
      </w:r>
      <w:r w:rsidR="00EF2584" w:rsidRPr="00EF2584">
        <w:rPr>
          <w:rFonts w:ascii="Arial" w:hAnsi="Arial" w:cs="Arial"/>
          <w:sz w:val="24"/>
          <w:szCs w:val="24"/>
          <w:lang w:val="en-GB"/>
        </w:rPr>
        <w:t xml:space="preserve"> had </w:t>
      </w:r>
      <w:r w:rsidR="00A12181">
        <w:rPr>
          <w:rFonts w:ascii="Arial" w:hAnsi="Arial" w:cs="Arial"/>
          <w:sz w:val="24"/>
          <w:szCs w:val="24"/>
          <w:lang w:val="en-GB"/>
        </w:rPr>
        <w:t>set it out.</w:t>
      </w:r>
      <w:r w:rsidR="00EF2584" w:rsidRPr="00EF2584">
        <w:rPr>
          <w:rFonts w:ascii="Arial" w:hAnsi="Arial" w:cs="Arial"/>
          <w:sz w:val="24"/>
          <w:szCs w:val="24"/>
          <w:lang w:val="en-GB"/>
        </w:rPr>
        <w:t xml:space="preserve"> </w:t>
      </w:r>
      <w:r w:rsidR="00A12181">
        <w:rPr>
          <w:rFonts w:ascii="Arial" w:hAnsi="Arial" w:cs="Arial"/>
          <w:sz w:val="24"/>
          <w:szCs w:val="24"/>
          <w:lang w:val="en-GB"/>
        </w:rPr>
        <w:t>W</w:t>
      </w:r>
      <w:r w:rsidR="00EF2584" w:rsidRPr="00EF2584">
        <w:rPr>
          <w:rFonts w:ascii="Arial" w:hAnsi="Arial" w:cs="Arial"/>
          <w:sz w:val="24"/>
          <w:szCs w:val="24"/>
          <w:lang w:val="en-GB"/>
        </w:rPr>
        <w:t>e find</w:t>
      </w:r>
      <w:r w:rsidR="00811384">
        <w:rPr>
          <w:rFonts w:ascii="Arial" w:hAnsi="Arial" w:cs="Arial"/>
          <w:sz w:val="24"/>
          <w:szCs w:val="24"/>
          <w:lang w:val="en-GB"/>
        </w:rPr>
        <w:t xml:space="preserve"> </w:t>
      </w:r>
      <w:r w:rsidR="00EF2584" w:rsidRPr="00EF2584">
        <w:rPr>
          <w:rFonts w:ascii="Arial" w:hAnsi="Arial" w:cs="Arial"/>
          <w:sz w:val="24"/>
          <w:szCs w:val="24"/>
          <w:lang w:val="en-GB"/>
        </w:rPr>
        <w:t>that the complaint</w:t>
      </w:r>
      <w:r w:rsidR="00811384">
        <w:rPr>
          <w:rFonts w:ascii="Arial" w:hAnsi="Arial" w:cs="Arial"/>
          <w:sz w:val="24"/>
          <w:szCs w:val="24"/>
          <w:lang w:val="en-GB"/>
        </w:rPr>
        <w:t>,</w:t>
      </w:r>
      <w:r w:rsidR="00EF2584" w:rsidRPr="00EF2584">
        <w:rPr>
          <w:rFonts w:ascii="Arial" w:hAnsi="Arial" w:cs="Arial"/>
          <w:sz w:val="24"/>
          <w:szCs w:val="24"/>
          <w:lang w:val="en-GB"/>
        </w:rPr>
        <w:t xml:space="preserve"> after the fact</w:t>
      </w:r>
      <w:r w:rsidR="006C0262">
        <w:rPr>
          <w:rFonts w:ascii="Arial" w:hAnsi="Arial" w:cs="Arial"/>
          <w:sz w:val="24"/>
          <w:szCs w:val="24"/>
          <w:lang w:val="en-GB"/>
        </w:rPr>
        <w:t>,</w:t>
      </w:r>
      <w:r w:rsidR="00EF2584" w:rsidRPr="00EF2584">
        <w:rPr>
          <w:rFonts w:ascii="Arial" w:hAnsi="Arial" w:cs="Arial"/>
          <w:sz w:val="24"/>
          <w:szCs w:val="24"/>
          <w:lang w:val="en-GB"/>
        </w:rPr>
        <w:t xml:space="preserve"> that the</w:t>
      </w:r>
      <w:r w:rsidR="006C0262">
        <w:rPr>
          <w:rFonts w:ascii="Arial" w:hAnsi="Arial" w:cs="Arial"/>
          <w:sz w:val="24"/>
          <w:szCs w:val="24"/>
          <w:lang w:val="en-GB"/>
        </w:rPr>
        <w:t>re</w:t>
      </w:r>
      <w:r w:rsidR="00EF2584" w:rsidRPr="00EF2584">
        <w:rPr>
          <w:rFonts w:ascii="Arial" w:hAnsi="Arial" w:cs="Arial"/>
          <w:sz w:val="24"/>
          <w:szCs w:val="24"/>
          <w:lang w:val="en-GB"/>
        </w:rPr>
        <w:t xml:space="preserve"> may not have been s</w:t>
      </w:r>
      <w:r w:rsidR="00811384">
        <w:rPr>
          <w:rFonts w:ascii="Arial" w:hAnsi="Arial" w:cs="Arial"/>
          <w:sz w:val="24"/>
          <w:szCs w:val="24"/>
          <w:lang w:val="en-GB"/>
        </w:rPr>
        <w:t>ome</w:t>
      </w:r>
      <w:r w:rsidR="00EF2584" w:rsidRPr="00EF2584">
        <w:rPr>
          <w:rFonts w:ascii="Arial" w:hAnsi="Arial" w:cs="Arial"/>
          <w:sz w:val="24"/>
          <w:szCs w:val="24"/>
          <w:lang w:val="en-GB"/>
        </w:rPr>
        <w:t xml:space="preserve"> or other strict compliance with any of the </w:t>
      </w:r>
      <w:r w:rsidR="00811384">
        <w:rPr>
          <w:rFonts w:ascii="Arial" w:hAnsi="Arial" w:cs="Arial"/>
          <w:sz w:val="24"/>
          <w:szCs w:val="24"/>
          <w:lang w:val="en-GB"/>
        </w:rPr>
        <w:t>prescripts,</w:t>
      </w:r>
      <w:r w:rsidR="00EF2584" w:rsidRPr="00EF2584">
        <w:rPr>
          <w:rFonts w:ascii="Arial" w:hAnsi="Arial" w:cs="Arial"/>
          <w:sz w:val="24"/>
          <w:szCs w:val="24"/>
          <w:lang w:val="en-GB"/>
        </w:rPr>
        <w:t xml:space="preserve"> </w:t>
      </w:r>
      <w:r w:rsidR="00811384">
        <w:rPr>
          <w:rFonts w:ascii="Arial" w:hAnsi="Arial" w:cs="Arial"/>
          <w:sz w:val="24"/>
          <w:szCs w:val="24"/>
          <w:lang w:val="en-GB"/>
        </w:rPr>
        <w:t xml:space="preserve">does </w:t>
      </w:r>
      <w:r w:rsidR="00EF2584" w:rsidRPr="00EF2584">
        <w:rPr>
          <w:rFonts w:ascii="Arial" w:hAnsi="Arial" w:cs="Arial"/>
          <w:sz w:val="24"/>
          <w:szCs w:val="24"/>
          <w:lang w:val="en-GB"/>
        </w:rPr>
        <w:t>not avail the app</w:t>
      </w:r>
      <w:r w:rsidR="00811384">
        <w:rPr>
          <w:rFonts w:ascii="Arial" w:hAnsi="Arial" w:cs="Arial"/>
          <w:sz w:val="24"/>
          <w:szCs w:val="24"/>
          <w:lang w:val="en-GB"/>
        </w:rPr>
        <w:t>ellants.</w:t>
      </w:r>
      <w:r w:rsidR="00DA619A" w:rsidRPr="00DA619A">
        <w:rPr>
          <w:rFonts w:ascii="Arial" w:hAnsi="Arial" w:cs="Arial"/>
          <w:sz w:val="24"/>
          <w:szCs w:val="24"/>
          <w:lang w:val="en-GB"/>
        </w:rPr>
        <w:t xml:space="preserve"> </w:t>
      </w:r>
      <w:r w:rsidR="00811384">
        <w:rPr>
          <w:rFonts w:ascii="Arial" w:hAnsi="Arial" w:cs="Arial"/>
          <w:sz w:val="24"/>
          <w:szCs w:val="24"/>
          <w:lang w:val="en-GB"/>
        </w:rPr>
        <w:t>T</w:t>
      </w:r>
      <w:r w:rsidR="00DA619A" w:rsidRPr="00DA619A">
        <w:rPr>
          <w:rFonts w:ascii="Arial" w:hAnsi="Arial" w:cs="Arial"/>
          <w:sz w:val="24"/>
          <w:szCs w:val="24"/>
          <w:lang w:val="en-GB"/>
        </w:rPr>
        <w:t xml:space="preserve">he complaint </w:t>
      </w:r>
      <w:r w:rsidR="00811384">
        <w:rPr>
          <w:rFonts w:ascii="Arial" w:hAnsi="Arial" w:cs="Arial"/>
          <w:sz w:val="24"/>
          <w:szCs w:val="24"/>
          <w:lang w:val="en-GB"/>
        </w:rPr>
        <w:t>by the appellant</w:t>
      </w:r>
      <w:r w:rsidR="006C0262">
        <w:rPr>
          <w:rFonts w:ascii="Arial" w:hAnsi="Arial" w:cs="Arial"/>
          <w:sz w:val="24"/>
          <w:szCs w:val="24"/>
          <w:lang w:val="en-GB"/>
        </w:rPr>
        <w:t>s</w:t>
      </w:r>
      <w:r w:rsidR="00811384">
        <w:rPr>
          <w:rFonts w:ascii="Arial" w:hAnsi="Arial" w:cs="Arial"/>
          <w:sz w:val="24"/>
          <w:szCs w:val="24"/>
          <w:lang w:val="en-GB"/>
        </w:rPr>
        <w:t xml:space="preserve"> is, by </w:t>
      </w:r>
      <w:r w:rsidR="0077297F">
        <w:rPr>
          <w:rFonts w:ascii="Arial" w:hAnsi="Arial" w:cs="Arial"/>
          <w:sz w:val="24"/>
          <w:szCs w:val="24"/>
          <w:lang w:val="en-GB"/>
        </w:rPr>
        <w:t xml:space="preserve">and </w:t>
      </w:r>
      <w:r w:rsidR="00811384">
        <w:rPr>
          <w:rFonts w:ascii="Arial" w:hAnsi="Arial" w:cs="Arial"/>
          <w:sz w:val="24"/>
          <w:szCs w:val="24"/>
          <w:lang w:val="en-GB"/>
        </w:rPr>
        <w:t>large, that the</w:t>
      </w:r>
      <w:r>
        <w:rPr>
          <w:rFonts w:ascii="Arial" w:hAnsi="Arial" w:cs="Arial"/>
          <w:sz w:val="24"/>
          <w:szCs w:val="24"/>
          <w:lang w:val="en-GB"/>
        </w:rPr>
        <w:t xml:space="preserve"> cluster</w:t>
      </w:r>
      <w:r w:rsidR="00DA619A" w:rsidRPr="00DA619A">
        <w:rPr>
          <w:rFonts w:ascii="Arial" w:hAnsi="Arial" w:cs="Arial"/>
          <w:sz w:val="24"/>
          <w:szCs w:val="24"/>
          <w:lang w:val="en-GB"/>
        </w:rPr>
        <w:t xml:space="preserve"> allocation system utilised by</w:t>
      </w:r>
      <w:r w:rsidR="00811384">
        <w:rPr>
          <w:rFonts w:ascii="Arial" w:hAnsi="Arial" w:cs="Arial"/>
          <w:sz w:val="24"/>
          <w:szCs w:val="24"/>
          <w:lang w:val="en-GB"/>
        </w:rPr>
        <w:t xml:space="preserve"> </w:t>
      </w:r>
      <w:r w:rsidR="00382A14">
        <w:rPr>
          <w:rFonts w:ascii="Arial" w:hAnsi="Arial" w:cs="Arial"/>
          <w:sz w:val="24"/>
          <w:szCs w:val="24"/>
          <w:lang w:val="en-GB"/>
        </w:rPr>
        <w:t>Eskom</w:t>
      </w:r>
      <w:r w:rsidR="00811384">
        <w:rPr>
          <w:rFonts w:ascii="Arial" w:hAnsi="Arial" w:cs="Arial"/>
          <w:sz w:val="24"/>
          <w:szCs w:val="24"/>
          <w:lang w:val="en-GB"/>
        </w:rPr>
        <w:t>,</w:t>
      </w:r>
      <w:r w:rsidR="00DA619A" w:rsidRPr="00DA619A">
        <w:rPr>
          <w:rFonts w:ascii="Arial" w:hAnsi="Arial" w:cs="Arial"/>
          <w:sz w:val="24"/>
          <w:szCs w:val="24"/>
          <w:lang w:val="en-GB"/>
        </w:rPr>
        <w:t xml:space="preserve"> regarding the clusters</w:t>
      </w:r>
      <w:r w:rsidR="00811384">
        <w:rPr>
          <w:rFonts w:ascii="Arial" w:hAnsi="Arial" w:cs="Arial"/>
          <w:sz w:val="24"/>
          <w:szCs w:val="24"/>
          <w:lang w:val="en-GB"/>
        </w:rPr>
        <w:t>,</w:t>
      </w:r>
      <w:r w:rsidR="00DA619A" w:rsidRPr="00DA619A">
        <w:rPr>
          <w:rFonts w:ascii="Arial" w:hAnsi="Arial" w:cs="Arial"/>
          <w:sz w:val="24"/>
          <w:szCs w:val="24"/>
          <w:lang w:val="en-GB"/>
        </w:rPr>
        <w:t xml:space="preserve"> offended the rule of legality</w:t>
      </w:r>
      <w:r w:rsidR="00811384">
        <w:rPr>
          <w:rFonts w:ascii="Arial" w:hAnsi="Arial" w:cs="Arial"/>
          <w:sz w:val="24"/>
          <w:szCs w:val="24"/>
          <w:lang w:val="en-GB"/>
        </w:rPr>
        <w:t>.</w:t>
      </w:r>
      <w:r w:rsidR="00DA619A" w:rsidRPr="00DA619A">
        <w:rPr>
          <w:rFonts w:ascii="Arial" w:hAnsi="Arial" w:cs="Arial"/>
          <w:sz w:val="24"/>
          <w:szCs w:val="24"/>
          <w:lang w:val="en-GB"/>
        </w:rPr>
        <w:t xml:space="preserve"> </w:t>
      </w:r>
      <w:r w:rsidR="00382A14">
        <w:rPr>
          <w:rFonts w:ascii="Arial" w:hAnsi="Arial" w:cs="Arial"/>
          <w:sz w:val="24"/>
          <w:szCs w:val="24"/>
          <w:lang w:val="en-GB"/>
        </w:rPr>
        <w:t>Eskom</w:t>
      </w:r>
      <w:r w:rsidR="00811384">
        <w:rPr>
          <w:rFonts w:ascii="Arial" w:hAnsi="Arial" w:cs="Arial"/>
          <w:sz w:val="24"/>
          <w:szCs w:val="24"/>
          <w:lang w:val="en-GB"/>
        </w:rPr>
        <w:t>’s</w:t>
      </w:r>
      <w:r w:rsidR="00DA619A" w:rsidRPr="00DA619A">
        <w:rPr>
          <w:rFonts w:ascii="Arial" w:hAnsi="Arial" w:cs="Arial"/>
          <w:sz w:val="24"/>
          <w:szCs w:val="24"/>
          <w:lang w:val="en-GB"/>
        </w:rPr>
        <w:t xml:space="preserve"> answer to this ground of review </w:t>
      </w:r>
      <w:r w:rsidR="006C0262">
        <w:rPr>
          <w:rFonts w:ascii="Arial" w:hAnsi="Arial" w:cs="Arial"/>
          <w:sz w:val="24"/>
          <w:szCs w:val="24"/>
          <w:lang w:val="en-GB"/>
        </w:rPr>
        <w:t xml:space="preserve">is </w:t>
      </w:r>
      <w:r w:rsidR="00DA619A" w:rsidRPr="00DA619A">
        <w:rPr>
          <w:rFonts w:ascii="Arial" w:hAnsi="Arial" w:cs="Arial"/>
          <w:sz w:val="24"/>
          <w:szCs w:val="24"/>
          <w:lang w:val="en-GB"/>
        </w:rPr>
        <w:t xml:space="preserve">that the </w:t>
      </w:r>
      <w:r w:rsidR="00811384">
        <w:rPr>
          <w:rFonts w:ascii="Arial" w:hAnsi="Arial" w:cs="Arial"/>
          <w:sz w:val="24"/>
          <w:szCs w:val="24"/>
          <w:lang w:val="en-GB"/>
        </w:rPr>
        <w:t>appellants</w:t>
      </w:r>
      <w:r w:rsidR="00DA619A" w:rsidRPr="00DA619A">
        <w:rPr>
          <w:rFonts w:ascii="Arial" w:hAnsi="Arial" w:cs="Arial"/>
          <w:sz w:val="24"/>
          <w:szCs w:val="24"/>
          <w:lang w:val="en-GB"/>
        </w:rPr>
        <w:t xml:space="preserve"> are precluded from challenging the criteria set out in the invitation to tender</w:t>
      </w:r>
      <w:r w:rsidR="00811384">
        <w:rPr>
          <w:rFonts w:ascii="Arial" w:hAnsi="Arial" w:cs="Arial"/>
          <w:sz w:val="24"/>
          <w:szCs w:val="24"/>
          <w:lang w:val="en-GB"/>
        </w:rPr>
        <w:t>,</w:t>
      </w:r>
      <w:r w:rsidR="00DA619A" w:rsidRPr="00DA619A">
        <w:rPr>
          <w:rFonts w:ascii="Arial" w:hAnsi="Arial" w:cs="Arial"/>
          <w:sz w:val="24"/>
          <w:szCs w:val="24"/>
          <w:lang w:val="en-GB"/>
        </w:rPr>
        <w:t xml:space="preserve"> which it failed to challenge before </w:t>
      </w:r>
      <w:r w:rsidR="00811384">
        <w:rPr>
          <w:rFonts w:ascii="Arial" w:hAnsi="Arial" w:cs="Arial"/>
          <w:sz w:val="24"/>
          <w:szCs w:val="24"/>
          <w:lang w:val="en-GB"/>
        </w:rPr>
        <w:t xml:space="preserve">it </w:t>
      </w:r>
      <w:r w:rsidR="00DA619A" w:rsidRPr="00DA619A">
        <w:rPr>
          <w:rFonts w:ascii="Arial" w:hAnsi="Arial" w:cs="Arial"/>
          <w:sz w:val="24"/>
          <w:szCs w:val="24"/>
          <w:lang w:val="en-GB"/>
        </w:rPr>
        <w:t>submitted itself to the tender</w:t>
      </w:r>
      <w:r w:rsidR="00811384">
        <w:rPr>
          <w:rFonts w:ascii="Arial" w:hAnsi="Arial" w:cs="Arial"/>
          <w:sz w:val="24"/>
          <w:szCs w:val="24"/>
          <w:lang w:val="en-GB"/>
        </w:rPr>
        <w:t xml:space="preserve">, </w:t>
      </w:r>
      <w:r w:rsidR="00DA619A" w:rsidRPr="00DA619A">
        <w:rPr>
          <w:rFonts w:ascii="Arial" w:hAnsi="Arial" w:cs="Arial"/>
          <w:sz w:val="24"/>
          <w:szCs w:val="24"/>
          <w:lang w:val="en-GB"/>
        </w:rPr>
        <w:t>which on</w:t>
      </w:r>
      <w:r w:rsidR="00811384">
        <w:rPr>
          <w:rFonts w:ascii="Arial" w:hAnsi="Arial" w:cs="Arial"/>
          <w:sz w:val="24"/>
          <w:szCs w:val="24"/>
          <w:lang w:val="en-GB"/>
        </w:rPr>
        <w:t xml:space="preserve"> its</w:t>
      </w:r>
      <w:r w:rsidR="00DA619A" w:rsidRPr="00DA619A">
        <w:rPr>
          <w:rFonts w:ascii="Arial" w:hAnsi="Arial" w:cs="Arial"/>
          <w:sz w:val="24"/>
          <w:szCs w:val="24"/>
          <w:lang w:val="en-GB"/>
        </w:rPr>
        <w:t xml:space="preserve"> version</w:t>
      </w:r>
      <w:r w:rsidR="00811384">
        <w:rPr>
          <w:rFonts w:ascii="Arial" w:hAnsi="Arial" w:cs="Arial"/>
          <w:sz w:val="24"/>
          <w:szCs w:val="24"/>
          <w:lang w:val="en-GB"/>
        </w:rPr>
        <w:t>,</w:t>
      </w:r>
      <w:r w:rsidR="00DA619A" w:rsidRPr="00DA619A">
        <w:rPr>
          <w:rFonts w:ascii="Arial" w:hAnsi="Arial" w:cs="Arial"/>
          <w:sz w:val="24"/>
          <w:szCs w:val="24"/>
          <w:lang w:val="en-GB"/>
        </w:rPr>
        <w:t xml:space="preserve"> it was awa</w:t>
      </w:r>
      <w:r w:rsidR="00811384">
        <w:rPr>
          <w:rFonts w:ascii="Arial" w:hAnsi="Arial" w:cs="Arial"/>
          <w:sz w:val="24"/>
          <w:szCs w:val="24"/>
          <w:lang w:val="en-GB"/>
        </w:rPr>
        <w:t>re</w:t>
      </w:r>
      <w:r w:rsidR="00DA619A" w:rsidRPr="00DA619A">
        <w:rPr>
          <w:rFonts w:ascii="Arial" w:hAnsi="Arial" w:cs="Arial"/>
          <w:sz w:val="24"/>
          <w:szCs w:val="24"/>
          <w:lang w:val="en-GB"/>
        </w:rPr>
        <w:t xml:space="preserve"> was irregular</w:t>
      </w:r>
      <w:r w:rsidR="00811384">
        <w:rPr>
          <w:rFonts w:ascii="Arial" w:hAnsi="Arial" w:cs="Arial"/>
          <w:sz w:val="24"/>
          <w:szCs w:val="24"/>
          <w:lang w:val="en-GB"/>
        </w:rPr>
        <w:t>.</w:t>
      </w:r>
      <w:r w:rsidR="00DA619A" w:rsidRPr="00DA619A">
        <w:rPr>
          <w:rFonts w:ascii="Arial" w:hAnsi="Arial" w:cs="Arial"/>
          <w:sz w:val="24"/>
          <w:szCs w:val="24"/>
          <w:lang w:val="en-GB"/>
        </w:rPr>
        <w:t xml:space="preserve"> </w:t>
      </w:r>
    </w:p>
    <w:p w14:paraId="39C2C39E" w14:textId="58591F56" w:rsidR="007F6ED9" w:rsidRDefault="008873EC" w:rsidP="00653FF9">
      <w:pPr>
        <w:spacing w:after="0" w:line="48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sidR="00DC6A2B">
        <w:rPr>
          <w:rFonts w:ascii="Arial" w:hAnsi="Arial" w:cs="Arial"/>
          <w:sz w:val="24"/>
          <w:szCs w:val="24"/>
          <w:lang w:val="en-GB"/>
        </w:rPr>
        <w:t>I</w:t>
      </w:r>
      <w:r w:rsidR="00DA619A" w:rsidRPr="00DA619A">
        <w:rPr>
          <w:rFonts w:ascii="Arial" w:hAnsi="Arial" w:cs="Arial"/>
          <w:sz w:val="24"/>
          <w:szCs w:val="24"/>
          <w:lang w:val="en-GB"/>
        </w:rPr>
        <w:t>t is so that t</w:t>
      </w:r>
      <w:r w:rsidR="00DC6A2B">
        <w:rPr>
          <w:rFonts w:ascii="Arial" w:hAnsi="Arial" w:cs="Arial"/>
          <w:sz w:val="24"/>
          <w:szCs w:val="24"/>
          <w:lang w:val="en-GB"/>
        </w:rPr>
        <w:t>ender</w:t>
      </w:r>
      <w:r w:rsidR="00DA619A" w:rsidRPr="00DA619A">
        <w:rPr>
          <w:rFonts w:ascii="Arial" w:hAnsi="Arial" w:cs="Arial"/>
          <w:sz w:val="24"/>
          <w:szCs w:val="24"/>
          <w:lang w:val="en-GB"/>
        </w:rPr>
        <w:t xml:space="preserve"> criteria can be challenged prior to the evaluation of a tender</w:t>
      </w:r>
      <w:r w:rsidR="006C0262">
        <w:rPr>
          <w:rFonts w:ascii="Arial" w:hAnsi="Arial" w:cs="Arial"/>
          <w:sz w:val="24"/>
          <w:szCs w:val="24"/>
          <w:lang w:val="en-GB"/>
        </w:rPr>
        <w:t>,</w:t>
      </w:r>
      <w:r w:rsidR="00DA619A" w:rsidRPr="00DA619A">
        <w:rPr>
          <w:rFonts w:ascii="Arial" w:hAnsi="Arial" w:cs="Arial"/>
          <w:sz w:val="24"/>
          <w:szCs w:val="24"/>
          <w:lang w:val="en-GB"/>
        </w:rPr>
        <w:t xml:space="preserve"> as it was done in </w:t>
      </w:r>
      <w:r w:rsidR="00DC6A2B" w:rsidRPr="00DC6A2B">
        <w:rPr>
          <w:rFonts w:ascii="Arial" w:hAnsi="Arial" w:cs="Arial"/>
          <w:i/>
          <w:iCs/>
          <w:sz w:val="24"/>
          <w:szCs w:val="24"/>
          <w:lang w:val="en-GB"/>
        </w:rPr>
        <w:t>A</w:t>
      </w:r>
      <w:r w:rsidR="00DA619A" w:rsidRPr="00DC6A2B">
        <w:rPr>
          <w:rFonts w:ascii="Arial" w:hAnsi="Arial" w:cs="Arial"/>
          <w:i/>
          <w:iCs/>
          <w:sz w:val="24"/>
          <w:szCs w:val="24"/>
          <w:lang w:val="en-GB"/>
        </w:rPr>
        <w:t xml:space="preserve">irports </w:t>
      </w:r>
      <w:r w:rsidR="00DC6A2B" w:rsidRPr="00DC6A2B">
        <w:rPr>
          <w:rFonts w:ascii="Arial" w:hAnsi="Arial" w:cs="Arial"/>
          <w:i/>
          <w:iCs/>
          <w:sz w:val="24"/>
          <w:szCs w:val="24"/>
          <w:lang w:val="en-GB"/>
        </w:rPr>
        <w:t>C</w:t>
      </w:r>
      <w:r w:rsidR="00DA619A" w:rsidRPr="00DC6A2B">
        <w:rPr>
          <w:rFonts w:ascii="Arial" w:hAnsi="Arial" w:cs="Arial"/>
          <w:i/>
          <w:iCs/>
          <w:sz w:val="24"/>
          <w:szCs w:val="24"/>
          <w:lang w:val="en-GB"/>
        </w:rPr>
        <w:t xml:space="preserve">ompany South Africa </w:t>
      </w:r>
      <w:r w:rsidR="00DC6A2B" w:rsidRPr="00DC6A2B">
        <w:rPr>
          <w:rFonts w:ascii="Arial" w:hAnsi="Arial" w:cs="Arial"/>
          <w:i/>
          <w:iCs/>
          <w:sz w:val="24"/>
          <w:szCs w:val="24"/>
          <w:lang w:val="en-GB"/>
        </w:rPr>
        <w:t>SOC</w:t>
      </w:r>
      <w:r w:rsidR="00DA619A" w:rsidRPr="00DC6A2B">
        <w:rPr>
          <w:rFonts w:ascii="Arial" w:hAnsi="Arial" w:cs="Arial"/>
          <w:i/>
          <w:iCs/>
          <w:sz w:val="24"/>
          <w:szCs w:val="24"/>
          <w:lang w:val="en-GB"/>
        </w:rPr>
        <w:t xml:space="preserve"> </w:t>
      </w:r>
      <w:r w:rsidR="00DC6A2B" w:rsidRPr="00DC6A2B">
        <w:rPr>
          <w:rFonts w:ascii="Arial" w:hAnsi="Arial" w:cs="Arial"/>
          <w:i/>
          <w:iCs/>
          <w:sz w:val="24"/>
          <w:szCs w:val="24"/>
          <w:lang w:val="en-GB"/>
        </w:rPr>
        <w:t>L</w:t>
      </w:r>
      <w:r w:rsidR="00DA619A" w:rsidRPr="00DC6A2B">
        <w:rPr>
          <w:rFonts w:ascii="Arial" w:hAnsi="Arial" w:cs="Arial"/>
          <w:i/>
          <w:iCs/>
          <w:sz w:val="24"/>
          <w:szCs w:val="24"/>
          <w:lang w:val="en-GB"/>
        </w:rPr>
        <w:t xml:space="preserve">imited v </w:t>
      </w:r>
      <w:r w:rsidR="00DC6A2B" w:rsidRPr="00DC6A2B">
        <w:rPr>
          <w:rFonts w:ascii="Arial" w:hAnsi="Arial" w:cs="Arial"/>
          <w:i/>
          <w:iCs/>
          <w:sz w:val="24"/>
          <w:szCs w:val="24"/>
          <w:lang w:val="en-GB"/>
        </w:rPr>
        <w:t>I</w:t>
      </w:r>
      <w:r w:rsidR="00DA619A" w:rsidRPr="00DC6A2B">
        <w:rPr>
          <w:rFonts w:ascii="Arial" w:hAnsi="Arial" w:cs="Arial"/>
          <w:i/>
          <w:iCs/>
          <w:sz w:val="24"/>
          <w:szCs w:val="24"/>
          <w:lang w:val="en-GB"/>
        </w:rPr>
        <w:t xml:space="preserve">mperial </w:t>
      </w:r>
      <w:r w:rsidR="00DC6A2B" w:rsidRPr="00DC6A2B">
        <w:rPr>
          <w:rFonts w:ascii="Arial" w:hAnsi="Arial" w:cs="Arial"/>
          <w:i/>
          <w:iCs/>
          <w:sz w:val="24"/>
          <w:szCs w:val="24"/>
          <w:lang w:val="en-GB"/>
        </w:rPr>
        <w:t>G</w:t>
      </w:r>
      <w:r w:rsidR="00DA619A" w:rsidRPr="00DC6A2B">
        <w:rPr>
          <w:rFonts w:ascii="Arial" w:hAnsi="Arial" w:cs="Arial"/>
          <w:i/>
          <w:iCs/>
          <w:sz w:val="24"/>
          <w:szCs w:val="24"/>
          <w:lang w:val="en-GB"/>
        </w:rPr>
        <w:t xml:space="preserve">roup </w:t>
      </w:r>
      <w:r w:rsidR="00DC6A2B" w:rsidRPr="00DC6A2B">
        <w:rPr>
          <w:rFonts w:ascii="Arial" w:hAnsi="Arial" w:cs="Arial"/>
          <w:i/>
          <w:iCs/>
          <w:sz w:val="24"/>
          <w:szCs w:val="24"/>
          <w:lang w:val="en-GB"/>
        </w:rPr>
        <w:t>L</w:t>
      </w:r>
      <w:r w:rsidR="00DA619A" w:rsidRPr="00DC6A2B">
        <w:rPr>
          <w:rFonts w:ascii="Arial" w:hAnsi="Arial" w:cs="Arial"/>
          <w:i/>
          <w:iCs/>
          <w:sz w:val="24"/>
          <w:szCs w:val="24"/>
          <w:lang w:val="en-GB"/>
        </w:rPr>
        <w:t xml:space="preserve">imited and </w:t>
      </w:r>
      <w:r w:rsidR="00DC6A2B" w:rsidRPr="00DC6A2B">
        <w:rPr>
          <w:rFonts w:ascii="Arial" w:hAnsi="Arial" w:cs="Arial"/>
          <w:i/>
          <w:iCs/>
          <w:sz w:val="24"/>
          <w:szCs w:val="24"/>
          <w:lang w:val="en-GB"/>
        </w:rPr>
        <w:t>O</w:t>
      </w:r>
      <w:r w:rsidR="00DA619A" w:rsidRPr="00DC6A2B">
        <w:rPr>
          <w:rFonts w:ascii="Arial" w:hAnsi="Arial" w:cs="Arial"/>
          <w:i/>
          <w:iCs/>
          <w:sz w:val="24"/>
          <w:szCs w:val="24"/>
          <w:lang w:val="en-GB"/>
        </w:rPr>
        <w:t>thers</w:t>
      </w:r>
      <w:r w:rsidR="00BB6EAB">
        <w:rPr>
          <w:rStyle w:val="FootnoteReference"/>
          <w:rFonts w:ascii="Arial" w:hAnsi="Arial" w:cs="Arial"/>
          <w:i/>
          <w:iCs/>
          <w:sz w:val="24"/>
          <w:szCs w:val="24"/>
          <w:lang w:val="en-GB"/>
        </w:rPr>
        <w:footnoteReference w:id="17"/>
      </w:r>
      <w:r w:rsidR="00DA619A" w:rsidRPr="00DA619A">
        <w:rPr>
          <w:rFonts w:ascii="Arial" w:hAnsi="Arial" w:cs="Arial"/>
          <w:sz w:val="24"/>
          <w:szCs w:val="24"/>
          <w:lang w:val="en-GB"/>
        </w:rPr>
        <w:t xml:space="preserve"> where the applicant successfully </w:t>
      </w:r>
      <w:r w:rsidR="00BB6EAB">
        <w:rPr>
          <w:rFonts w:ascii="Arial" w:hAnsi="Arial" w:cs="Arial"/>
          <w:sz w:val="24"/>
          <w:szCs w:val="24"/>
          <w:lang w:val="en-GB"/>
        </w:rPr>
        <w:t>sought an</w:t>
      </w:r>
      <w:r w:rsidR="00DA619A" w:rsidRPr="00DA619A">
        <w:rPr>
          <w:rFonts w:ascii="Arial" w:hAnsi="Arial" w:cs="Arial"/>
          <w:sz w:val="24"/>
          <w:szCs w:val="24"/>
          <w:lang w:val="en-GB"/>
        </w:rPr>
        <w:t xml:space="preserve"> order reviewing and setting </w:t>
      </w:r>
      <w:r w:rsidR="007F6ED9">
        <w:rPr>
          <w:rFonts w:ascii="Arial" w:hAnsi="Arial" w:cs="Arial"/>
          <w:sz w:val="24"/>
          <w:szCs w:val="24"/>
          <w:lang w:val="en-GB"/>
        </w:rPr>
        <w:t>a</w:t>
      </w:r>
      <w:r w:rsidR="00DA619A" w:rsidRPr="00DA619A">
        <w:rPr>
          <w:rFonts w:ascii="Arial" w:hAnsi="Arial" w:cs="Arial"/>
          <w:sz w:val="24"/>
          <w:szCs w:val="24"/>
          <w:lang w:val="en-GB"/>
        </w:rPr>
        <w:t xml:space="preserve">side </w:t>
      </w:r>
      <w:r w:rsidR="007F6ED9">
        <w:rPr>
          <w:rFonts w:ascii="Arial" w:hAnsi="Arial" w:cs="Arial"/>
          <w:sz w:val="24"/>
          <w:szCs w:val="24"/>
          <w:lang w:val="en-GB"/>
        </w:rPr>
        <w:t>ACSA’s</w:t>
      </w:r>
      <w:r w:rsidR="00DA619A" w:rsidRPr="00DA619A">
        <w:rPr>
          <w:rFonts w:ascii="Arial" w:hAnsi="Arial" w:cs="Arial"/>
          <w:sz w:val="24"/>
          <w:szCs w:val="24"/>
          <w:lang w:val="en-GB"/>
        </w:rPr>
        <w:t xml:space="preserve"> decision to issue and publish an</w:t>
      </w:r>
      <w:r w:rsidR="007F6ED9">
        <w:rPr>
          <w:rFonts w:ascii="Arial" w:hAnsi="Arial" w:cs="Arial"/>
          <w:sz w:val="24"/>
          <w:szCs w:val="24"/>
          <w:lang w:val="en-GB"/>
        </w:rPr>
        <w:t xml:space="preserve"> RFB on</w:t>
      </w:r>
      <w:r w:rsidR="00DA619A" w:rsidRPr="00DA619A">
        <w:rPr>
          <w:rFonts w:ascii="Arial" w:hAnsi="Arial" w:cs="Arial"/>
          <w:sz w:val="24"/>
          <w:szCs w:val="24"/>
          <w:lang w:val="en-GB"/>
        </w:rPr>
        <w:t xml:space="preserve"> the basis that it was unlawful</w:t>
      </w:r>
      <w:r w:rsidR="007F6ED9">
        <w:rPr>
          <w:rFonts w:ascii="Arial" w:hAnsi="Arial" w:cs="Arial"/>
          <w:sz w:val="24"/>
          <w:szCs w:val="24"/>
          <w:lang w:val="en-GB"/>
        </w:rPr>
        <w:t>,</w:t>
      </w:r>
      <w:r w:rsidR="00DA619A" w:rsidRPr="00DA619A">
        <w:rPr>
          <w:rFonts w:ascii="Arial" w:hAnsi="Arial" w:cs="Arial"/>
          <w:sz w:val="24"/>
          <w:szCs w:val="24"/>
          <w:lang w:val="en-GB"/>
        </w:rPr>
        <w:t xml:space="preserve"> unreasonable</w:t>
      </w:r>
      <w:r w:rsidR="007F6ED9">
        <w:rPr>
          <w:rFonts w:ascii="Arial" w:hAnsi="Arial" w:cs="Arial"/>
          <w:sz w:val="24"/>
          <w:szCs w:val="24"/>
          <w:lang w:val="en-GB"/>
        </w:rPr>
        <w:t>,</w:t>
      </w:r>
      <w:r w:rsidR="00DA619A" w:rsidRPr="00DA619A">
        <w:rPr>
          <w:rFonts w:ascii="Arial" w:hAnsi="Arial" w:cs="Arial"/>
          <w:sz w:val="24"/>
          <w:szCs w:val="24"/>
          <w:lang w:val="en-GB"/>
        </w:rPr>
        <w:t xml:space="preserve"> inconsistent with the </w:t>
      </w:r>
      <w:r w:rsidR="007F6ED9">
        <w:rPr>
          <w:rFonts w:ascii="Arial" w:hAnsi="Arial" w:cs="Arial"/>
          <w:sz w:val="24"/>
          <w:szCs w:val="24"/>
          <w:lang w:val="en-GB"/>
        </w:rPr>
        <w:t>C</w:t>
      </w:r>
      <w:r w:rsidR="00DA619A" w:rsidRPr="00DA619A">
        <w:rPr>
          <w:rFonts w:ascii="Arial" w:hAnsi="Arial" w:cs="Arial"/>
          <w:sz w:val="24"/>
          <w:szCs w:val="24"/>
          <w:lang w:val="en-GB"/>
        </w:rPr>
        <w:t>onstitution and invalid</w:t>
      </w:r>
      <w:r w:rsidR="007F6ED9">
        <w:rPr>
          <w:rFonts w:ascii="Arial" w:hAnsi="Arial" w:cs="Arial"/>
          <w:sz w:val="24"/>
          <w:szCs w:val="24"/>
          <w:lang w:val="en-GB"/>
        </w:rPr>
        <w:t>.</w:t>
      </w:r>
      <w:r w:rsidR="00DA619A" w:rsidRPr="00DA619A">
        <w:rPr>
          <w:rFonts w:ascii="Arial" w:hAnsi="Arial" w:cs="Arial"/>
          <w:sz w:val="24"/>
          <w:szCs w:val="24"/>
          <w:lang w:val="en-GB"/>
        </w:rPr>
        <w:t xml:space="preserve"> </w:t>
      </w:r>
      <w:r w:rsidR="007F6ED9">
        <w:rPr>
          <w:rFonts w:ascii="Arial" w:hAnsi="Arial" w:cs="Arial"/>
          <w:sz w:val="24"/>
          <w:szCs w:val="24"/>
          <w:lang w:val="en-GB"/>
        </w:rPr>
        <w:t>I</w:t>
      </w:r>
      <w:r w:rsidR="00DA619A" w:rsidRPr="00DA619A">
        <w:rPr>
          <w:rFonts w:ascii="Arial" w:hAnsi="Arial" w:cs="Arial"/>
          <w:sz w:val="24"/>
          <w:szCs w:val="24"/>
          <w:lang w:val="en-GB"/>
        </w:rPr>
        <w:t xml:space="preserve">n this regard the Supreme Court of </w:t>
      </w:r>
      <w:r w:rsidR="007F6ED9">
        <w:rPr>
          <w:rFonts w:ascii="Arial" w:hAnsi="Arial" w:cs="Arial"/>
          <w:sz w:val="24"/>
          <w:szCs w:val="24"/>
          <w:lang w:val="en-GB"/>
        </w:rPr>
        <w:t>A</w:t>
      </w:r>
      <w:r w:rsidR="00DA619A" w:rsidRPr="00DA619A">
        <w:rPr>
          <w:rFonts w:ascii="Arial" w:hAnsi="Arial" w:cs="Arial"/>
          <w:sz w:val="24"/>
          <w:szCs w:val="24"/>
          <w:lang w:val="en-GB"/>
        </w:rPr>
        <w:t>ppeal held</w:t>
      </w:r>
      <w:r w:rsidR="007F6ED9">
        <w:rPr>
          <w:rStyle w:val="FootnoteReference"/>
          <w:rFonts w:ascii="Arial" w:hAnsi="Arial" w:cs="Arial"/>
          <w:sz w:val="24"/>
          <w:szCs w:val="24"/>
          <w:lang w:val="en-GB"/>
        </w:rPr>
        <w:footnoteReference w:id="18"/>
      </w:r>
      <w:r w:rsidR="00DA619A" w:rsidRPr="00DA619A">
        <w:rPr>
          <w:rFonts w:ascii="Arial" w:hAnsi="Arial" w:cs="Arial"/>
          <w:sz w:val="24"/>
          <w:szCs w:val="24"/>
          <w:lang w:val="en-GB"/>
        </w:rPr>
        <w:t xml:space="preserve"> as follows</w:t>
      </w:r>
      <w:r w:rsidR="007F6ED9">
        <w:rPr>
          <w:rFonts w:ascii="Arial" w:hAnsi="Arial" w:cs="Arial"/>
          <w:sz w:val="24"/>
          <w:szCs w:val="24"/>
          <w:lang w:val="en-GB"/>
        </w:rPr>
        <w:t>:</w:t>
      </w:r>
    </w:p>
    <w:p w14:paraId="023633A2" w14:textId="4F9153F0" w:rsidR="007F6ED9" w:rsidRDefault="007F6ED9" w:rsidP="007F6ED9">
      <w:pPr>
        <w:spacing w:after="0" w:line="480" w:lineRule="auto"/>
        <w:ind w:left="709"/>
        <w:jc w:val="both"/>
        <w:rPr>
          <w:rFonts w:ascii="Arial" w:hAnsi="Arial" w:cs="Arial"/>
          <w:lang w:val="en-GB"/>
        </w:rPr>
      </w:pPr>
      <w:r>
        <w:rPr>
          <w:rFonts w:ascii="Arial" w:hAnsi="Arial" w:cs="Arial"/>
          <w:sz w:val="24"/>
          <w:szCs w:val="24"/>
          <w:lang w:val="en-GB"/>
        </w:rPr>
        <w:lastRenderedPageBreak/>
        <w:tab/>
      </w:r>
      <w:r>
        <w:rPr>
          <w:rFonts w:ascii="Arial" w:hAnsi="Arial" w:cs="Arial"/>
          <w:lang w:val="en-GB"/>
        </w:rPr>
        <w:t>“</w:t>
      </w:r>
      <w:r w:rsidRPr="007F6ED9">
        <w:rPr>
          <w:rFonts w:ascii="Arial" w:hAnsi="Arial" w:cs="Arial"/>
          <w:lang w:val="en-GB"/>
        </w:rPr>
        <w:t>[16] The correct starting point is to consider whether the issuance and publication of the RFB constitutes an administrative action that can be challenged on review under PAJA. The definition of ‘administrative action’ in s 1 of PAJA has seven components: (a) there must be a decision of an administrative nature; (b) by an organ of state or a natural or juristic person; (c) exercising a public power  or performing a public function;  (d) in terms of any legislation or empowering provision; (e) if that decision adversely affects the rights of any person; (f) or has a direct, external legal effect; and (g) does not fall under any of the exclusions listed in that section. It is evident from the provisions of clause 5.1 and 5.3 of the RFB that a bidder who did not meet the prescribed pre-qualification criteria would be automatically disqualified from the evaluation process at stage I. It is also evident that the RFB did not allow ACSA to exercise any discretion in that regard. It is undisputed that in the light of the pre-qualification criteria set out in those clauses of the RFB, the self-evident outcome of stage I of the evaluation process was that Imperial would be disqualified from further evaluation.  Imperial’s assertion that it could not wait until after ACSA had made a final award because it would, upon its disqualification from the bid, have to vacate ACSA’s premises, was not refuted.</w:t>
      </w:r>
    </w:p>
    <w:p w14:paraId="47C926C5" w14:textId="6FD48A5A" w:rsidR="007F6ED9" w:rsidRDefault="007F6ED9" w:rsidP="007F6ED9">
      <w:pPr>
        <w:spacing w:after="0" w:line="480" w:lineRule="auto"/>
        <w:ind w:left="709"/>
        <w:jc w:val="both"/>
        <w:rPr>
          <w:rFonts w:ascii="Arial" w:hAnsi="Arial" w:cs="Arial"/>
          <w:lang w:val="en-GB"/>
        </w:rPr>
      </w:pPr>
      <w:r>
        <w:rPr>
          <w:rFonts w:ascii="Arial" w:hAnsi="Arial" w:cs="Arial"/>
          <w:lang w:val="en-GB"/>
        </w:rPr>
        <w:t>[</w:t>
      </w:r>
      <w:r w:rsidR="00F2536C">
        <w:rPr>
          <w:rFonts w:ascii="Arial" w:hAnsi="Arial" w:cs="Arial"/>
          <w:lang w:val="en-GB"/>
        </w:rPr>
        <w:t>\</w:t>
      </w:r>
      <w:r>
        <w:rPr>
          <w:rFonts w:ascii="Arial" w:hAnsi="Arial" w:cs="Arial"/>
          <w:lang w:val="en-GB"/>
        </w:rPr>
        <w:t>7]</w:t>
      </w:r>
      <w:r>
        <w:rPr>
          <w:rFonts w:ascii="Arial" w:hAnsi="Arial" w:cs="Arial"/>
          <w:lang w:val="en-GB"/>
        </w:rPr>
        <w:tab/>
        <w:t xml:space="preserve">. . . </w:t>
      </w:r>
    </w:p>
    <w:p w14:paraId="117D06F0" w14:textId="3F4B150E" w:rsidR="007F6ED9" w:rsidRPr="007F6ED9" w:rsidRDefault="007F6ED9" w:rsidP="007F6ED9">
      <w:pPr>
        <w:spacing w:after="0" w:line="480" w:lineRule="auto"/>
        <w:ind w:left="709"/>
        <w:jc w:val="both"/>
        <w:rPr>
          <w:rFonts w:ascii="Arial" w:hAnsi="Arial" w:cs="Arial"/>
          <w:lang w:val="en-GB"/>
        </w:rPr>
      </w:pPr>
      <w:r>
        <w:rPr>
          <w:rFonts w:ascii="Arial" w:hAnsi="Arial" w:cs="Arial"/>
          <w:lang w:val="en-GB"/>
        </w:rPr>
        <w:t>[18]</w:t>
      </w:r>
      <w:r>
        <w:rPr>
          <w:rFonts w:ascii="Arial" w:hAnsi="Arial" w:cs="Arial"/>
          <w:lang w:val="en-GB"/>
        </w:rPr>
        <w:tab/>
      </w:r>
      <w:r w:rsidRPr="007F6ED9">
        <w:rPr>
          <w:rFonts w:ascii="Arial" w:hAnsi="Arial" w:cs="Arial"/>
          <w:lang w:val="en-GB"/>
        </w:rPr>
        <w:t>Fortified by the authorities mentioned in the preceding paragraph, I agree that the automatic disqualification of Imperial at the first hurdle of the evaluation process would have an external effect and adversely affected Imperial’s legal rights. Expecting Imperial to wait until it was formally notified of the outcome before resorting to judicial review in terms of PAJA would indeed be tantamount to putting form above substance. I am thus satisfied that, on the facts of this case, the RFB constituted an administrative action that was ripe for a judicial challenge. Imperial was therefore perfectly entitled to resort to judicial review without having to await the formal notification of the outcome.</w:t>
      </w:r>
      <w:r>
        <w:rPr>
          <w:rFonts w:ascii="Arial" w:hAnsi="Arial" w:cs="Arial"/>
          <w:lang w:val="en-GB"/>
        </w:rPr>
        <w:t>”</w:t>
      </w:r>
    </w:p>
    <w:p w14:paraId="2AE96E46" w14:textId="3E830D4E" w:rsidR="00520253" w:rsidRDefault="004A4FFF" w:rsidP="00F2536C">
      <w:pPr>
        <w:spacing w:after="0" w:line="480" w:lineRule="auto"/>
        <w:jc w:val="both"/>
        <w:rPr>
          <w:rFonts w:ascii="Arial" w:hAnsi="Arial" w:cs="Arial"/>
          <w:sz w:val="24"/>
          <w:szCs w:val="24"/>
          <w:lang w:val="en-GB"/>
        </w:rPr>
      </w:pPr>
      <w:r>
        <w:rPr>
          <w:rFonts w:ascii="Arial" w:hAnsi="Arial" w:cs="Arial"/>
          <w:sz w:val="24"/>
          <w:szCs w:val="24"/>
          <w:lang w:val="en-GB"/>
        </w:rPr>
        <w:t>[</w:t>
      </w:r>
      <w:r w:rsidR="008873EC">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t>T</w:t>
      </w:r>
      <w:r w:rsidR="00DA619A" w:rsidRPr="00DA619A">
        <w:rPr>
          <w:rFonts w:ascii="Arial" w:hAnsi="Arial" w:cs="Arial"/>
          <w:sz w:val="24"/>
          <w:szCs w:val="24"/>
          <w:lang w:val="en-GB"/>
        </w:rPr>
        <w:t xml:space="preserve">he Supreme Court of </w:t>
      </w:r>
      <w:r>
        <w:rPr>
          <w:rFonts w:ascii="Arial" w:hAnsi="Arial" w:cs="Arial"/>
          <w:sz w:val="24"/>
          <w:szCs w:val="24"/>
          <w:lang w:val="en-GB"/>
        </w:rPr>
        <w:t>A</w:t>
      </w:r>
      <w:r w:rsidR="00DA619A" w:rsidRPr="00DA619A">
        <w:rPr>
          <w:rFonts w:ascii="Arial" w:hAnsi="Arial" w:cs="Arial"/>
          <w:sz w:val="24"/>
          <w:szCs w:val="24"/>
          <w:lang w:val="en-GB"/>
        </w:rPr>
        <w:t xml:space="preserve">ppeal adopted the same approach </w:t>
      </w:r>
      <w:r w:rsidR="003025DE">
        <w:rPr>
          <w:rFonts w:ascii="Arial" w:hAnsi="Arial" w:cs="Arial"/>
          <w:sz w:val="24"/>
          <w:szCs w:val="24"/>
          <w:lang w:val="en-GB"/>
        </w:rPr>
        <w:t>in the matter of</w:t>
      </w:r>
      <w:r w:rsidR="00F2536C">
        <w:rPr>
          <w:rFonts w:ascii="Arial" w:hAnsi="Arial" w:cs="Arial"/>
          <w:sz w:val="24"/>
          <w:szCs w:val="24"/>
          <w:lang w:val="en-GB"/>
        </w:rPr>
        <w:t xml:space="preserve"> </w:t>
      </w:r>
      <w:r w:rsidRPr="004A4FFF">
        <w:rPr>
          <w:rFonts w:ascii="Arial" w:hAnsi="Arial" w:cs="Arial"/>
          <w:i/>
          <w:iCs/>
          <w:sz w:val="24"/>
          <w:szCs w:val="24"/>
          <w:lang w:val="en-GB"/>
        </w:rPr>
        <w:t>SwissPort</w:t>
      </w:r>
      <w:r w:rsidR="00DA619A" w:rsidRPr="004A4FFF">
        <w:rPr>
          <w:rFonts w:ascii="Arial" w:hAnsi="Arial" w:cs="Arial"/>
          <w:i/>
          <w:iCs/>
          <w:sz w:val="24"/>
          <w:szCs w:val="24"/>
          <w:lang w:val="en-GB"/>
        </w:rPr>
        <w:t xml:space="preserve"> South Africa </w:t>
      </w:r>
      <w:r w:rsidRPr="004A4FFF">
        <w:rPr>
          <w:rFonts w:ascii="Arial" w:hAnsi="Arial" w:cs="Arial"/>
          <w:i/>
          <w:iCs/>
          <w:sz w:val="24"/>
          <w:szCs w:val="24"/>
          <w:lang w:val="en-GB"/>
        </w:rPr>
        <w:t>(</w:t>
      </w:r>
      <w:r w:rsidR="00DA619A" w:rsidRPr="004A4FFF">
        <w:rPr>
          <w:rFonts w:ascii="Arial" w:hAnsi="Arial" w:cs="Arial"/>
          <w:i/>
          <w:iCs/>
          <w:sz w:val="24"/>
          <w:szCs w:val="24"/>
          <w:lang w:val="en-GB"/>
        </w:rPr>
        <w:t>Pty</w:t>
      </w:r>
      <w:r w:rsidRPr="004A4FFF">
        <w:rPr>
          <w:rFonts w:ascii="Arial" w:hAnsi="Arial" w:cs="Arial"/>
          <w:i/>
          <w:iCs/>
          <w:sz w:val="24"/>
          <w:szCs w:val="24"/>
          <w:lang w:val="en-GB"/>
        </w:rPr>
        <w:t>)</w:t>
      </w:r>
      <w:r w:rsidR="00DA619A" w:rsidRPr="004A4FFF">
        <w:rPr>
          <w:rFonts w:ascii="Arial" w:hAnsi="Arial" w:cs="Arial"/>
          <w:i/>
          <w:iCs/>
          <w:sz w:val="24"/>
          <w:szCs w:val="24"/>
          <w:lang w:val="en-GB"/>
        </w:rPr>
        <w:t xml:space="preserve"> </w:t>
      </w:r>
      <w:r w:rsidRPr="004A4FFF">
        <w:rPr>
          <w:rFonts w:ascii="Arial" w:hAnsi="Arial" w:cs="Arial"/>
          <w:i/>
          <w:iCs/>
          <w:sz w:val="24"/>
          <w:szCs w:val="24"/>
          <w:lang w:val="en-GB"/>
        </w:rPr>
        <w:t>L</w:t>
      </w:r>
      <w:r w:rsidR="00DA619A" w:rsidRPr="004A4FFF">
        <w:rPr>
          <w:rFonts w:ascii="Arial" w:hAnsi="Arial" w:cs="Arial"/>
          <w:i/>
          <w:iCs/>
          <w:sz w:val="24"/>
          <w:szCs w:val="24"/>
          <w:lang w:val="en-GB"/>
        </w:rPr>
        <w:t xml:space="preserve">imited v </w:t>
      </w:r>
      <w:r w:rsidRPr="004A4FFF">
        <w:rPr>
          <w:rFonts w:ascii="Arial" w:hAnsi="Arial" w:cs="Arial"/>
          <w:i/>
          <w:iCs/>
          <w:sz w:val="24"/>
          <w:szCs w:val="24"/>
          <w:lang w:val="en-GB"/>
        </w:rPr>
        <w:t>A</w:t>
      </w:r>
      <w:r w:rsidR="00DA619A" w:rsidRPr="004A4FFF">
        <w:rPr>
          <w:rFonts w:ascii="Arial" w:hAnsi="Arial" w:cs="Arial"/>
          <w:i/>
          <w:iCs/>
          <w:sz w:val="24"/>
          <w:szCs w:val="24"/>
          <w:lang w:val="en-GB"/>
        </w:rPr>
        <w:t xml:space="preserve">irports </w:t>
      </w:r>
      <w:r w:rsidRPr="004A4FFF">
        <w:rPr>
          <w:rFonts w:ascii="Arial" w:hAnsi="Arial" w:cs="Arial"/>
          <w:i/>
          <w:iCs/>
          <w:sz w:val="24"/>
          <w:szCs w:val="24"/>
          <w:lang w:val="en-GB"/>
        </w:rPr>
        <w:t>C</w:t>
      </w:r>
      <w:r w:rsidR="00DA619A" w:rsidRPr="004A4FFF">
        <w:rPr>
          <w:rFonts w:ascii="Arial" w:hAnsi="Arial" w:cs="Arial"/>
          <w:i/>
          <w:iCs/>
          <w:sz w:val="24"/>
          <w:szCs w:val="24"/>
          <w:lang w:val="en-GB"/>
        </w:rPr>
        <w:t xml:space="preserve">ompanies </w:t>
      </w:r>
      <w:r w:rsidRPr="004A4FFF">
        <w:rPr>
          <w:rFonts w:ascii="Arial" w:hAnsi="Arial" w:cs="Arial"/>
          <w:i/>
          <w:iCs/>
          <w:sz w:val="24"/>
          <w:szCs w:val="24"/>
          <w:lang w:val="en-GB"/>
        </w:rPr>
        <w:t>South</w:t>
      </w:r>
      <w:r w:rsidR="00DA619A" w:rsidRPr="004A4FFF">
        <w:rPr>
          <w:rFonts w:ascii="Arial" w:hAnsi="Arial" w:cs="Arial"/>
          <w:i/>
          <w:iCs/>
          <w:sz w:val="24"/>
          <w:szCs w:val="24"/>
          <w:lang w:val="en-GB"/>
        </w:rPr>
        <w:t xml:space="preserve"> Africa </w:t>
      </w:r>
      <w:r w:rsidRPr="004A4FFF">
        <w:rPr>
          <w:rFonts w:ascii="Arial" w:hAnsi="Arial" w:cs="Arial"/>
          <w:i/>
          <w:iCs/>
          <w:sz w:val="24"/>
          <w:szCs w:val="24"/>
          <w:lang w:val="en-GB"/>
        </w:rPr>
        <w:t>SOC</w:t>
      </w:r>
      <w:r w:rsidR="00DA619A" w:rsidRPr="004A4FFF">
        <w:rPr>
          <w:rFonts w:ascii="Arial" w:hAnsi="Arial" w:cs="Arial"/>
          <w:i/>
          <w:iCs/>
          <w:sz w:val="24"/>
          <w:szCs w:val="24"/>
          <w:lang w:val="en-GB"/>
        </w:rPr>
        <w:t xml:space="preserve"> </w:t>
      </w:r>
      <w:r w:rsidRPr="004A4FFF">
        <w:rPr>
          <w:rFonts w:ascii="Arial" w:hAnsi="Arial" w:cs="Arial"/>
          <w:i/>
          <w:iCs/>
          <w:sz w:val="24"/>
          <w:szCs w:val="24"/>
          <w:lang w:val="en-GB"/>
        </w:rPr>
        <w:t>L</w:t>
      </w:r>
      <w:r w:rsidR="00DA619A" w:rsidRPr="004A4FFF">
        <w:rPr>
          <w:rFonts w:ascii="Arial" w:hAnsi="Arial" w:cs="Arial"/>
          <w:i/>
          <w:iCs/>
          <w:sz w:val="24"/>
          <w:szCs w:val="24"/>
          <w:lang w:val="en-GB"/>
        </w:rPr>
        <w:t xml:space="preserve">imited </w:t>
      </w:r>
      <w:r w:rsidR="00DA619A" w:rsidRPr="004A4FFF">
        <w:rPr>
          <w:rFonts w:ascii="Arial" w:hAnsi="Arial" w:cs="Arial"/>
          <w:i/>
          <w:iCs/>
          <w:sz w:val="24"/>
          <w:szCs w:val="24"/>
          <w:lang w:val="en-GB"/>
        </w:rPr>
        <w:lastRenderedPageBreak/>
        <w:t xml:space="preserve">and </w:t>
      </w:r>
      <w:r w:rsidRPr="004A4FFF">
        <w:rPr>
          <w:rFonts w:ascii="Arial" w:hAnsi="Arial" w:cs="Arial"/>
          <w:i/>
          <w:iCs/>
          <w:sz w:val="24"/>
          <w:szCs w:val="24"/>
          <w:lang w:val="en-GB"/>
        </w:rPr>
        <w:t>O</w:t>
      </w:r>
      <w:r w:rsidR="00DA619A" w:rsidRPr="004A4FFF">
        <w:rPr>
          <w:rFonts w:ascii="Arial" w:hAnsi="Arial" w:cs="Arial"/>
          <w:i/>
          <w:iCs/>
          <w:sz w:val="24"/>
          <w:szCs w:val="24"/>
          <w:lang w:val="en-GB"/>
        </w:rPr>
        <w:t>thers</w:t>
      </w:r>
      <w:r>
        <w:rPr>
          <w:rFonts w:ascii="Arial" w:hAnsi="Arial" w:cs="Arial"/>
          <w:i/>
          <w:iCs/>
          <w:sz w:val="24"/>
          <w:szCs w:val="24"/>
          <w:lang w:val="en-GB"/>
        </w:rPr>
        <w:t>.</w:t>
      </w:r>
      <w:r>
        <w:rPr>
          <w:rStyle w:val="FootnoteReference"/>
          <w:rFonts w:ascii="Arial" w:hAnsi="Arial" w:cs="Arial"/>
          <w:i/>
          <w:iCs/>
          <w:sz w:val="24"/>
          <w:szCs w:val="24"/>
          <w:lang w:val="en-GB"/>
        </w:rPr>
        <w:footnoteReference w:id="19"/>
      </w:r>
      <w:r w:rsidR="00DA619A" w:rsidRPr="00DA619A">
        <w:rPr>
          <w:rFonts w:ascii="Arial" w:hAnsi="Arial" w:cs="Arial"/>
          <w:sz w:val="24"/>
          <w:szCs w:val="24"/>
          <w:lang w:val="en-GB"/>
        </w:rPr>
        <w:t xml:space="preserve"> </w:t>
      </w:r>
      <w:r w:rsidR="00520253">
        <w:rPr>
          <w:rFonts w:ascii="Arial" w:hAnsi="Arial" w:cs="Arial"/>
          <w:sz w:val="24"/>
          <w:szCs w:val="24"/>
          <w:lang w:val="en-GB"/>
        </w:rPr>
        <w:t>T</w:t>
      </w:r>
      <w:r w:rsidR="00DA619A" w:rsidRPr="00DA619A">
        <w:rPr>
          <w:rFonts w:ascii="Arial" w:hAnsi="Arial" w:cs="Arial"/>
          <w:sz w:val="24"/>
          <w:szCs w:val="24"/>
          <w:lang w:val="en-GB"/>
        </w:rPr>
        <w:t>o the extent that any provision in the invitation to tender can be said to result</w:t>
      </w:r>
      <w:r>
        <w:rPr>
          <w:rFonts w:ascii="Arial" w:hAnsi="Arial" w:cs="Arial"/>
          <w:sz w:val="24"/>
          <w:szCs w:val="24"/>
          <w:lang w:val="en-GB"/>
        </w:rPr>
        <w:t xml:space="preserve"> in </w:t>
      </w:r>
      <w:r w:rsidR="00382A14">
        <w:rPr>
          <w:rFonts w:ascii="Arial" w:hAnsi="Arial" w:cs="Arial"/>
          <w:sz w:val="24"/>
          <w:szCs w:val="24"/>
          <w:lang w:val="en-GB"/>
        </w:rPr>
        <w:t>Eskom</w:t>
      </w:r>
      <w:r w:rsidR="00DA619A" w:rsidRPr="00DA619A">
        <w:rPr>
          <w:rFonts w:ascii="Arial" w:hAnsi="Arial" w:cs="Arial"/>
          <w:sz w:val="24"/>
          <w:szCs w:val="24"/>
          <w:lang w:val="en-GB"/>
        </w:rPr>
        <w:t xml:space="preserve"> not complying with the requirements of section 217 of the </w:t>
      </w:r>
      <w:r>
        <w:rPr>
          <w:rFonts w:ascii="Arial" w:hAnsi="Arial" w:cs="Arial"/>
          <w:sz w:val="24"/>
          <w:szCs w:val="24"/>
          <w:lang w:val="en-GB"/>
        </w:rPr>
        <w:t>C</w:t>
      </w:r>
      <w:r w:rsidR="00DA619A" w:rsidRPr="00DA619A">
        <w:rPr>
          <w:rFonts w:ascii="Arial" w:hAnsi="Arial" w:cs="Arial"/>
          <w:sz w:val="24"/>
          <w:szCs w:val="24"/>
          <w:lang w:val="en-GB"/>
        </w:rPr>
        <w:t>onstitution and section 2</w:t>
      </w:r>
      <w:r>
        <w:rPr>
          <w:rFonts w:ascii="Arial" w:hAnsi="Arial" w:cs="Arial"/>
          <w:sz w:val="24"/>
          <w:szCs w:val="24"/>
          <w:lang w:val="en-GB"/>
        </w:rPr>
        <w:t>(</w:t>
      </w:r>
      <w:r w:rsidR="00DA619A" w:rsidRPr="00DA619A">
        <w:rPr>
          <w:rFonts w:ascii="Arial" w:hAnsi="Arial" w:cs="Arial"/>
          <w:sz w:val="24"/>
          <w:szCs w:val="24"/>
          <w:lang w:val="en-GB"/>
        </w:rPr>
        <w:t>1</w:t>
      </w:r>
      <w:r>
        <w:rPr>
          <w:rFonts w:ascii="Arial" w:hAnsi="Arial" w:cs="Arial"/>
          <w:sz w:val="24"/>
          <w:szCs w:val="24"/>
          <w:lang w:val="en-GB"/>
        </w:rPr>
        <w:t>)(f)</w:t>
      </w:r>
      <w:r w:rsidR="00DA619A" w:rsidRPr="00DA619A">
        <w:rPr>
          <w:rFonts w:ascii="Arial" w:hAnsi="Arial" w:cs="Arial"/>
          <w:sz w:val="24"/>
          <w:szCs w:val="24"/>
          <w:lang w:val="en-GB"/>
        </w:rPr>
        <w:t xml:space="preserve"> of the PPPFA</w:t>
      </w:r>
      <w:r>
        <w:rPr>
          <w:rFonts w:ascii="Arial" w:hAnsi="Arial" w:cs="Arial"/>
          <w:sz w:val="24"/>
          <w:szCs w:val="24"/>
          <w:lang w:val="en-GB"/>
        </w:rPr>
        <w:t>,</w:t>
      </w:r>
      <w:r w:rsidR="00DA619A" w:rsidRPr="00DA619A">
        <w:rPr>
          <w:rFonts w:ascii="Arial" w:hAnsi="Arial" w:cs="Arial"/>
          <w:sz w:val="24"/>
          <w:szCs w:val="24"/>
          <w:lang w:val="en-GB"/>
        </w:rPr>
        <w:t xml:space="preserve"> it did affect legal rights adversely</w:t>
      </w:r>
      <w:r>
        <w:rPr>
          <w:rFonts w:ascii="Arial" w:hAnsi="Arial" w:cs="Arial"/>
          <w:sz w:val="24"/>
          <w:szCs w:val="24"/>
          <w:lang w:val="en-GB"/>
        </w:rPr>
        <w:t>.</w:t>
      </w:r>
      <w:r w:rsidR="00DA619A" w:rsidRPr="00DA619A">
        <w:rPr>
          <w:rFonts w:ascii="Arial" w:hAnsi="Arial" w:cs="Arial"/>
          <w:sz w:val="24"/>
          <w:szCs w:val="24"/>
          <w:lang w:val="en-GB"/>
        </w:rPr>
        <w:t xml:space="preserve"> </w:t>
      </w:r>
      <w:r>
        <w:rPr>
          <w:rFonts w:ascii="Arial" w:hAnsi="Arial" w:cs="Arial"/>
          <w:sz w:val="24"/>
          <w:szCs w:val="24"/>
          <w:lang w:val="en-GB"/>
        </w:rPr>
        <w:t>T</w:t>
      </w:r>
      <w:r w:rsidR="00DA619A" w:rsidRPr="00DA619A">
        <w:rPr>
          <w:rFonts w:ascii="Arial" w:hAnsi="Arial" w:cs="Arial"/>
          <w:sz w:val="24"/>
          <w:szCs w:val="24"/>
          <w:lang w:val="en-GB"/>
        </w:rPr>
        <w:t>hose legal rights include the app</w:t>
      </w:r>
      <w:r w:rsidR="00520253">
        <w:rPr>
          <w:rFonts w:ascii="Arial" w:hAnsi="Arial" w:cs="Arial"/>
          <w:sz w:val="24"/>
          <w:szCs w:val="24"/>
          <w:lang w:val="en-GB"/>
        </w:rPr>
        <w:t>ellant’s</w:t>
      </w:r>
      <w:r w:rsidR="00DA619A" w:rsidRPr="00DA619A">
        <w:rPr>
          <w:rFonts w:ascii="Arial" w:hAnsi="Arial" w:cs="Arial"/>
          <w:sz w:val="24"/>
          <w:szCs w:val="24"/>
          <w:lang w:val="en-GB"/>
        </w:rPr>
        <w:t xml:space="preserve"> entitlement to have </w:t>
      </w:r>
      <w:r>
        <w:rPr>
          <w:rFonts w:ascii="Arial" w:hAnsi="Arial" w:cs="Arial"/>
          <w:sz w:val="24"/>
          <w:szCs w:val="24"/>
          <w:lang w:val="en-GB"/>
        </w:rPr>
        <w:t>its</w:t>
      </w:r>
      <w:r w:rsidR="00DA619A" w:rsidRPr="00DA619A">
        <w:rPr>
          <w:rFonts w:ascii="Arial" w:hAnsi="Arial" w:cs="Arial"/>
          <w:sz w:val="24"/>
          <w:szCs w:val="24"/>
          <w:lang w:val="en-GB"/>
        </w:rPr>
        <w:t xml:space="preserve"> </w:t>
      </w:r>
      <w:r>
        <w:rPr>
          <w:rFonts w:ascii="Arial" w:hAnsi="Arial" w:cs="Arial"/>
          <w:sz w:val="24"/>
          <w:szCs w:val="24"/>
          <w:lang w:val="en-GB"/>
        </w:rPr>
        <w:t>bid</w:t>
      </w:r>
      <w:r w:rsidR="00DA619A" w:rsidRPr="00DA619A">
        <w:rPr>
          <w:rFonts w:ascii="Arial" w:hAnsi="Arial" w:cs="Arial"/>
          <w:sz w:val="24"/>
          <w:szCs w:val="24"/>
          <w:lang w:val="en-GB"/>
        </w:rPr>
        <w:t xml:space="preserve"> considered in a manner compliant with section 217 of the </w:t>
      </w:r>
      <w:r w:rsidR="00520253">
        <w:rPr>
          <w:rFonts w:ascii="Arial" w:hAnsi="Arial" w:cs="Arial"/>
          <w:sz w:val="24"/>
          <w:szCs w:val="24"/>
          <w:lang w:val="en-GB"/>
        </w:rPr>
        <w:t>C</w:t>
      </w:r>
      <w:r w:rsidR="00DA619A" w:rsidRPr="00DA619A">
        <w:rPr>
          <w:rFonts w:ascii="Arial" w:hAnsi="Arial" w:cs="Arial"/>
          <w:sz w:val="24"/>
          <w:szCs w:val="24"/>
          <w:lang w:val="en-GB"/>
        </w:rPr>
        <w:t>onstitution and the other prescripts</w:t>
      </w:r>
      <w:r>
        <w:rPr>
          <w:rFonts w:ascii="Arial" w:hAnsi="Arial" w:cs="Arial"/>
          <w:sz w:val="24"/>
          <w:szCs w:val="24"/>
          <w:lang w:val="en-GB"/>
        </w:rPr>
        <w:t>.</w:t>
      </w:r>
      <w:r w:rsidR="00DA619A" w:rsidRPr="00DA619A">
        <w:rPr>
          <w:rFonts w:ascii="Arial" w:hAnsi="Arial" w:cs="Arial"/>
          <w:sz w:val="24"/>
          <w:szCs w:val="24"/>
          <w:lang w:val="en-GB"/>
        </w:rPr>
        <w:t xml:space="preserve"> </w:t>
      </w:r>
      <w:r w:rsidR="00943613">
        <w:rPr>
          <w:rFonts w:ascii="Arial" w:hAnsi="Arial" w:cs="Arial"/>
          <w:sz w:val="24"/>
          <w:szCs w:val="24"/>
          <w:lang w:val="en-GB"/>
        </w:rPr>
        <w:t>However, n</w:t>
      </w:r>
      <w:r w:rsidR="00DA619A" w:rsidRPr="00DA619A">
        <w:rPr>
          <w:rFonts w:ascii="Arial" w:hAnsi="Arial" w:cs="Arial"/>
          <w:sz w:val="24"/>
          <w:szCs w:val="24"/>
          <w:lang w:val="en-GB"/>
        </w:rPr>
        <w:t xml:space="preserve">o party challenged the criteria contained in the </w:t>
      </w:r>
      <w:r>
        <w:rPr>
          <w:rFonts w:ascii="Arial" w:hAnsi="Arial" w:cs="Arial"/>
          <w:sz w:val="24"/>
          <w:szCs w:val="24"/>
          <w:lang w:val="en-GB"/>
        </w:rPr>
        <w:t>ITT</w:t>
      </w:r>
      <w:r w:rsidR="00DA619A" w:rsidRPr="00DA619A">
        <w:rPr>
          <w:rFonts w:ascii="Arial" w:hAnsi="Arial" w:cs="Arial"/>
          <w:sz w:val="24"/>
          <w:szCs w:val="24"/>
          <w:lang w:val="en-GB"/>
        </w:rPr>
        <w:t xml:space="preserve"> </w:t>
      </w:r>
      <w:r w:rsidR="00E439F3">
        <w:rPr>
          <w:rFonts w:ascii="Arial" w:hAnsi="Arial" w:cs="Arial"/>
          <w:sz w:val="24"/>
          <w:szCs w:val="24"/>
          <w:lang w:val="en-GB"/>
        </w:rPr>
        <w:t>before it</w:t>
      </w:r>
      <w:r w:rsidR="00DA619A" w:rsidRPr="00DA619A">
        <w:rPr>
          <w:rFonts w:ascii="Arial" w:hAnsi="Arial" w:cs="Arial"/>
          <w:sz w:val="24"/>
          <w:szCs w:val="24"/>
          <w:lang w:val="en-GB"/>
        </w:rPr>
        <w:t xml:space="preserve"> submitted itself to the tender</w:t>
      </w:r>
      <w:r w:rsidR="00E439F3">
        <w:rPr>
          <w:rFonts w:ascii="Arial" w:hAnsi="Arial" w:cs="Arial"/>
          <w:sz w:val="24"/>
          <w:szCs w:val="24"/>
          <w:lang w:val="en-GB"/>
        </w:rPr>
        <w:t>,</w:t>
      </w:r>
      <w:r w:rsidR="00DA619A" w:rsidRPr="00DA619A">
        <w:rPr>
          <w:rFonts w:ascii="Arial" w:hAnsi="Arial" w:cs="Arial"/>
          <w:sz w:val="24"/>
          <w:szCs w:val="24"/>
          <w:lang w:val="en-GB"/>
        </w:rPr>
        <w:t xml:space="preserve"> which it now contends was irregular</w:t>
      </w:r>
      <w:r w:rsidR="00E439F3">
        <w:rPr>
          <w:rFonts w:ascii="Arial" w:hAnsi="Arial" w:cs="Arial"/>
          <w:sz w:val="24"/>
          <w:szCs w:val="24"/>
          <w:lang w:val="en-GB"/>
        </w:rPr>
        <w:t>.</w:t>
      </w:r>
      <w:r w:rsidR="00DA619A" w:rsidRPr="00DA619A">
        <w:rPr>
          <w:rFonts w:ascii="Arial" w:hAnsi="Arial" w:cs="Arial"/>
          <w:sz w:val="24"/>
          <w:szCs w:val="24"/>
          <w:lang w:val="en-GB"/>
        </w:rPr>
        <w:t xml:space="preserve"> </w:t>
      </w:r>
    </w:p>
    <w:p w14:paraId="4B84DE71" w14:textId="1D627AFB" w:rsidR="00520253" w:rsidRDefault="00520253" w:rsidP="00F2536C">
      <w:pPr>
        <w:spacing w:after="0" w:line="480" w:lineRule="auto"/>
        <w:jc w:val="both"/>
        <w:rPr>
          <w:rFonts w:ascii="Arial" w:hAnsi="Arial" w:cs="Arial"/>
          <w:i/>
          <w:iCs/>
          <w:sz w:val="24"/>
          <w:szCs w:val="24"/>
          <w:lang w:val="en-GB"/>
        </w:rPr>
      </w:pPr>
      <w:r>
        <w:rPr>
          <w:rFonts w:ascii="Arial" w:hAnsi="Arial" w:cs="Arial"/>
          <w:sz w:val="24"/>
          <w:szCs w:val="24"/>
          <w:lang w:val="en-GB"/>
        </w:rPr>
        <w:t>[</w:t>
      </w:r>
      <w:r w:rsidR="008873EC">
        <w:rPr>
          <w:rFonts w:ascii="Arial" w:hAnsi="Arial" w:cs="Arial"/>
          <w:sz w:val="24"/>
          <w:szCs w:val="24"/>
          <w:lang w:val="en-GB"/>
        </w:rPr>
        <w:t>31</w:t>
      </w:r>
      <w:r>
        <w:rPr>
          <w:rFonts w:ascii="Arial" w:hAnsi="Arial" w:cs="Arial"/>
          <w:sz w:val="24"/>
          <w:szCs w:val="24"/>
          <w:lang w:val="en-GB"/>
        </w:rPr>
        <w:t>]</w:t>
      </w:r>
      <w:r>
        <w:rPr>
          <w:rFonts w:ascii="Arial" w:hAnsi="Arial" w:cs="Arial"/>
          <w:sz w:val="24"/>
          <w:szCs w:val="24"/>
          <w:lang w:val="en-GB"/>
        </w:rPr>
        <w:tab/>
        <w:t xml:space="preserve">In </w:t>
      </w:r>
      <w:r w:rsidRPr="00520253">
        <w:rPr>
          <w:rFonts w:ascii="Arial" w:hAnsi="Arial" w:cs="Arial"/>
          <w:i/>
          <w:iCs/>
          <w:sz w:val="24"/>
          <w:szCs w:val="24"/>
          <w:lang w:val="en-GB"/>
        </w:rPr>
        <w:t>Babcock Ntuthuko Engineering (Pty) Ltd v Eskom Holdings SOC Limited and Others</w:t>
      </w:r>
      <w:r>
        <w:rPr>
          <w:rFonts w:ascii="Arial" w:hAnsi="Arial" w:cs="Arial"/>
          <w:i/>
          <w:iCs/>
          <w:sz w:val="24"/>
          <w:szCs w:val="24"/>
          <w:lang w:val="en-GB"/>
        </w:rPr>
        <w:t>,</w:t>
      </w:r>
      <w:r w:rsidR="00C061EE">
        <w:rPr>
          <w:rFonts w:ascii="Arial" w:hAnsi="Arial" w:cs="Arial"/>
          <w:i/>
          <w:iCs/>
          <w:sz w:val="24"/>
          <w:szCs w:val="24"/>
          <w:lang w:val="en-GB"/>
        </w:rPr>
        <w:t xml:space="preserve"> </w:t>
      </w:r>
      <w:r w:rsidR="00C061EE" w:rsidRPr="00C10908">
        <w:rPr>
          <w:rFonts w:ascii="Arial" w:hAnsi="Arial" w:cs="Arial"/>
          <w:sz w:val="24"/>
          <w:szCs w:val="24"/>
          <w:lang w:val="en-GB"/>
        </w:rPr>
        <w:t>Millar J held that:</w:t>
      </w:r>
      <w:r w:rsidRPr="00C10908">
        <w:rPr>
          <w:rStyle w:val="FootnoteReference"/>
          <w:rFonts w:ascii="Arial" w:hAnsi="Arial" w:cs="Arial"/>
          <w:sz w:val="24"/>
          <w:szCs w:val="24"/>
          <w:lang w:val="en-GB"/>
        </w:rPr>
        <w:footnoteReference w:id="20"/>
      </w:r>
    </w:p>
    <w:p w14:paraId="5661D2EF" w14:textId="1BBFF79D" w:rsidR="00C5283B" w:rsidRDefault="00C5283B" w:rsidP="00C061EE">
      <w:pPr>
        <w:ind w:left="709"/>
        <w:jc w:val="both"/>
        <w:rPr>
          <w:rFonts w:ascii="Arial" w:hAnsi="Arial" w:cs="Arial"/>
          <w:i/>
          <w:iCs/>
          <w:lang w:val="en-GB"/>
        </w:rPr>
      </w:pPr>
      <w:r>
        <w:rPr>
          <w:rFonts w:ascii="Arial" w:hAnsi="Arial" w:cs="Arial"/>
          <w:i/>
          <w:iCs/>
          <w:sz w:val="24"/>
          <w:szCs w:val="24"/>
          <w:lang w:val="en-GB"/>
        </w:rPr>
        <w:tab/>
      </w:r>
      <w:r>
        <w:rPr>
          <w:rFonts w:ascii="Arial" w:hAnsi="Arial" w:cs="Arial"/>
          <w:i/>
          <w:iCs/>
          <w:lang w:val="en-GB"/>
        </w:rPr>
        <w:t>“</w:t>
      </w:r>
      <w:r w:rsidRPr="00C5283B">
        <w:rPr>
          <w:rFonts w:ascii="Arial" w:hAnsi="Arial" w:cs="Arial"/>
          <w:i/>
          <w:iCs/>
          <w:lang w:val="en-GB"/>
        </w:rPr>
        <w:t>It does not behoove a tenderer in the position of Babcock to engage in a tender process well knowing the tender was going to be split,</w:t>
      </w:r>
      <w:r w:rsidR="00B54BBC">
        <w:rPr>
          <w:rFonts w:ascii="Arial" w:hAnsi="Arial" w:cs="Arial"/>
          <w:i/>
          <w:iCs/>
          <w:lang w:val="en-GB"/>
        </w:rPr>
        <w:t xml:space="preserve"> </w:t>
      </w:r>
      <w:r w:rsidRPr="00C5283B">
        <w:rPr>
          <w:rFonts w:ascii="Arial" w:hAnsi="Arial" w:cs="Arial"/>
          <w:i/>
          <w:iCs/>
          <w:lang w:val="en-GB"/>
        </w:rPr>
        <w:t>and to then after its disqualification for other reasons, attempt to review the award on this basis. It seems to me to have been raised in consequence of a 'belts and braces' approach to the review, a not unreasonable approach given the importance of the matter to all concerned.</w:t>
      </w:r>
      <w:r>
        <w:rPr>
          <w:rFonts w:ascii="Arial" w:hAnsi="Arial" w:cs="Arial"/>
          <w:i/>
          <w:iCs/>
          <w:lang w:val="en-GB"/>
        </w:rPr>
        <w:t>”</w:t>
      </w:r>
    </w:p>
    <w:p w14:paraId="62F93BBE" w14:textId="7D031510" w:rsidR="00110141" w:rsidRPr="00110141" w:rsidRDefault="00110141" w:rsidP="00110141">
      <w:pPr>
        <w:jc w:val="both"/>
        <w:rPr>
          <w:rFonts w:ascii="Arial" w:hAnsi="Arial" w:cs="Arial"/>
          <w:sz w:val="24"/>
          <w:szCs w:val="24"/>
          <w:lang w:val="en-GB"/>
        </w:rPr>
      </w:pPr>
      <w:r w:rsidRPr="00110141">
        <w:rPr>
          <w:rFonts w:ascii="Arial" w:hAnsi="Arial" w:cs="Arial"/>
          <w:sz w:val="24"/>
          <w:szCs w:val="24"/>
          <w:lang w:val="en-GB"/>
        </w:rPr>
        <w:t xml:space="preserve">This approach </w:t>
      </w:r>
      <w:r>
        <w:rPr>
          <w:rFonts w:ascii="Arial" w:hAnsi="Arial" w:cs="Arial"/>
          <w:sz w:val="24"/>
          <w:szCs w:val="24"/>
          <w:lang w:val="en-GB"/>
        </w:rPr>
        <w:t xml:space="preserve">may result in </w:t>
      </w:r>
      <w:r w:rsidR="004C14D4">
        <w:rPr>
          <w:rFonts w:ascii="Arial" w:hAnsi="Arial" w:cs="Arial"/>
          <w:sz w:val="24"/>
          <w:szCs w:val="24"/>
          <w:lang w:val="en-GB"/>
        </w:rPr>
        <w:t>administrative</w:t>
      </w:r>
      <w:r>
        <w:rPr>
          <w:rFonts w:ascii="Arial" w:hAnsi="Arial" w:cs="Arial"/>
          <w:sz w:val="24"/>
          <w:szCs w:val="24"/>
          <w:lang w:val="en-GB"/>
        </w:rPr>
        <w:t xml:space="preserve"> action indeed b</w:t>
      </w:r>
      <w:r w:rsidR="004C14D4">
        <w:rPr>
          <w:rFonts w:ascii="Arial" w:hAnsi="Arial" w:cs="Arial"/>
          <w:sz w:val="24"/>
          <w:szCs w:val="24"/>
          <w:lang w:val="en-GB"/>
        </w:rPr>
        <w:t>eing regarded</w:t>
      </w:r>
      <w:r>
        <w:rPr>
          <w:rFonts w:ascii="Arial" w:hAnsi="Arial" w:cs="Arial"/>
          <w:sz w:val="24"/>
          <w:szCs w:val="24"/>
          <w:lang w:val="en-GB"/>
        </w:rPr>
        <w:t xml:space="preserve"> as valid, despite it being tainted.</w:t>
      </w:r>
    </w:p>
    <w:p w14:paraId="78CAAA3A" w14:textId="6614AEA5" w:rsidR="002034F6" w:rsidRDefault="00520253" w:rsidP="00653FF9">
      <w:pPr>
        <w:spacing w:after="0" w:line="480" w:lineRule="auto"/>
        <w:jc w:val="both"/>
        <w:rPr>
          <w:rFonts w:ascii="Arial" w:hAnsi="Arial" w:cs="Arial"/>
          <w:sz w:val="24"/>
          <w:szCs w:val="24"/>
          <w:lang w:val="en-GB"/>
        </w:rPr>
      </w:pPr>
      <w:r>
        <w:rPr>
          <w:rFonts w:ascii="Arial" w:hAnsi="Arial" w:cs="Arial"/>
          <w:sz w:val="24"/>
          <w:szCs w:val="24"/>
          <w:lang w:val="en-GB"/>
        </w:rPr>
        <w:t>[</w:t>
      </w:r>
      <w:r w:rsidR="008873EC">
        <w:rPr>
          <w:rFonts w:ascii="Arial" w:hAnsi="Arial" w:cs="Arial"/>
          <w:sz w:val="24"/>
          <w:szCs w:val="24"/>
          <w:lang w:val="en-GB"/>
        </w:rPr>
        <w:t>3</w:t>
      </w:r>
      <w:r w:rsidR="00623EF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E439F3">
        <w:rPr>
          <w:rFonts w:ascii="Arial" w:hAnsi="Arial" w:cs="Arial"/>
          <w:sz w:val="24"/>
          <w:szCs w:val="24"/>
          <w:lang w:val="en-GB"/>
        </w:rPr>
        <w:t>I</w:t>
      </w:r>
      <w:r w:rsidR="00DA619A" w:rsidRPr="00DA619A">
        <w:rPr>
          <w:rFonts w:ascii="Arial" w:hAnsi="Arial" w:cs="Arial"/>
          <w:sz w:val="24"/>
          <w:szCs w:val="24"/>
          <w:lang w:val="en-GB"/>
        </w:rPr>
        <w:t xml:space="preserve">t was held in </w:t>
      </w:r>
      <w:r w:rsidR="00E439F3" w:rsidRPr="00E439F3">
        <w:rPr>
          <w:rFonts w:ascii="Arial" w:hAnsi="Arial" w:cs="Arial"/>
          <w:i/>
          <w:iCs/>
          <w:sz w:val="24"/>
          <w:szCs w:val="24"/>
          <w:lang w:val="en-GB"/>
        </w:rPr>
        <w:t>Oudekraal</w:t>
      </w:r>
      <w:r w:rsidR="00DA619A" w:rsidRPr="00E439F3">
        <w:rPr>
          <w:rFonts w:ascii="Arial" w:hAnsi="Arial" w:cs="Arial"/>
          <w:i/>
          <w:iCs/>
          <w:sz w:val="24"/>
          <w:szCs w:val="24"/>
          <w:lang w:val="en-GB"/>
        </w:rPr>
        <w:t xml:space="preserve"> </w:t>
      </w:r>
      <w:r w:rsidR="00E439F3" w:rsidRPr="00E439F3">
        <w:rPr>
          <w:rFonts w:ascii="Arial" w:hAnsi="Arial" w:cs="Arial"/>
          <w:i/>
          <w:iCs/>
          <w:sz w:val="24"/>
          <w:szCs w:val="24"/>
          <w:lang w:val="en-GB"/>
        </w:rPr>
        <w:t>Es</w:t>
      </w:r>
      <w:r w:rsidR="00DA619A" w:rsidRPr="00E439F3">
        <w:rPr>
          <w:rFonts w:ascii="Arial" w:hAnsi="Arial" w:cs="Arial"/>
          <w:i/>
          <w:iCs/>
          <w:sz w:val="24"/>
          <w:szCs w:val="24"/>
          <w:lang w:val="en-GB"/>
        </w:rPr>
        <w:t xml:space="preserve">tates </w:t>
      </w:r>
      <w:r w:rsidR="00E439F3" w:rsidRPr="00E439F3">
        <w:rPr>
          <w:rFonts w:ascii="Arial" w:hAnsi="Arial" w:cs="Arial"/>
          <w:i/>
          <w:iCs/>
          <w:sz w:val="24"/>
          <w:szCs w:val="24"/>
          <w:lang w:val="en-GB"/>
        </w:rPr>
        <w:t>(Pty) Limited</w:t>
      </w:r>
      <w:r w:rsidR="00DA619A" w:rsidRPr="00E439F3">
        <w:rPr>
          <w:rFonts w:ascii="Arial" w:hAnsi="Arial" w:cs="Arial"/>
          <w:i/>
          <w:iCs/>
          <w:sz w:val="24"/>
          <w:szCs w:val="24"/>
          <w:lang w:val="en-GB"/>
        </w:rPr>
        <w:t xml:space="preserve"> v </w:t>
      </w:r>
      <w:r w:rsidR="00E439F3" w:rsidRPr="00E439F3">
        <w:rPr>
          <w:rFonts w:ascii="Arial" w:hAnsi="Arial" w:cs="Arial"/>
          <w:i/>
          <w:iCs/>
          <w:sz w:val="24"/>
          <w:szCs w:val="24"/>
          <w:lang w:val="en-GB"/>
        </w:rPr>
        <w:t>C</w:t>
      </w:r>
      <w:r w:rsidR="00DA619A" w:rsidRPr="00E439F3">
        <w:rPr>
          <w:rFonts w:ascii="Arial" w:hAnsi="Arial" w:cs="Arial"/>
          <w:i/>
          <w:iCs/>
          <w:sz w:val="24"/>
          <w:szCs w:val="24"/>
          <w:lang w:val="en-GB"/>
        </w:rPr>
        <w:t xml:space="preserve">ity of Cape Town and </w:t>
      </w:r>
      <w:r w:rsidR="00E439F3" w:rsidRPr="00E439F3">
        <w:rPr>
          <w:rFonts w:ascii="Arial" w:hAnsi="Arial" w:cs="Arial"/>
          <w:i/>
          <w:iCs/>
          <w:sz w:val="24"/>
          <w:szCs w:val="24"/>
          <w:lang w:val="en-GB"/>
        </w:rPr>
        <w:t>O</w:t>
      </w:r>
      <w:r w:rsidR="00DA619A" w:rsidRPr="00E439F3">
        <w:rPr>
          <w:rFonts w:ascii="Arial" w:hAnsi="Arial" w:cs="Arial"/>
          <w:i/>
          <w:iCs/>
          <w:sz w:val="24"/>
          <w:szCs w:val="24"/>
          <w:lang w:val="en-GB"/>
        </w:rPr>
        <w:t>thers</w:t>
      </w:r>
      <w:r w:rsidR="00E439F3">
        <w:rPr>
          <w:rStyle w:val="FootnoteReference"/>
          <w:rFonts w:ascii="Arial" w:hAnsi="Arial" w:cs="Arial"/>
          <w:i/>
          <w:iCs/>
          <w:sz w:val="24"/>
          <w:szCs w:val="24"/>
          <w:lang w:val="en-GB"/>
        </w:rPr>
        <w:footnoteReference w:id="21"/>
      </w:r>
      <w:r w:rsidR="00DA619A" w:rsidRPr="00DA619A">
        <w:rPr>
          <w:rFonts w:ascii="Arial" w:hAnsi="Arial" w:cs="Arial"/>
          <w:sz w:val="24"/>
          <w:szCs w:val="24"/>
          <w:lang w:val="en-GB"/>
        </w:rPr>
        <w:t xml:space="preserve"> </w:t>
      </w:r>
      <w:r w:rsidR="002D332E">
        <w:rPr>
          <w:rFonts w:ascii="Arial" w:hAnsi="Arial" w:cs="Arial"/>
          <w:sz w:val="24"/>
          <w:szCs w:val="24"/>
          <w:lang w:val="en-GB"/>
        </w:rPr>
        <w:t xml:space="preserve">as </w:t>
      </w:r>
      <w:r w:rsidR="00DA619A" w:rsidRPr="00DA619A">
        <w:rPr>
          <w:rFonts w:ascii="Arial" w:hAnsi="Arial" w:cs="Arial"/>
          <w:sz w:val="24"/>
          <w:szCs w:val="24"/>
          <w:lang w:val="en-GB"/>
        </w:rPr>
        <w:t>follows</w:t>
      </w:r>
      <w:r w:rsidR="006D0EBE">
        <w:rPr>
          <w:rFonts w:ascii="Arial" w:hAnsi="Arial" w:cs="Arial"/>
          <w:sz w:val="24"/>
          <w:szCs w:val="24"/>
          <w:lang w:val="en-GB"/>
        </w:rPr>
        <w:t>:</w:t>
      </w:r>
    </w:p>
    <w:p w14:paraId="6F6B6908" w14:textId="344F5310" w:rsidR="006D0EBE" w:rsidRPr="006D0EBE" w:rsidRDefault="006D0EBE" w:rsidP="006D0EBE">
      <w:pPr>
        <w:spacing w:after="0" w:line="480" w:lineRule="auto"/>
        <w:ind w:left="709"/>
        <w:jc w:val="both"/>
        <w:rPr>
          <w:rFonts w:ascii="Arial" w:hAnsi="Arial" w:cs="Arial"/>
          <w:lang w:val="en-GB"/>
        </w:rPr>
      </w:pPr>
      <w:r>
        <w:rPr>
          <w:rFonts w:ascii="Arial" w:hAnsi="Arial" w:cs="Arial"/>
          <w:sz w:val="24"/>
          <w:szCs w:val="24"/>
          <w:lang w:val="en-GB"/>
        </w:rPr>
        <w:tab/>
      </w:r>
      <w:r>
        <w:rPr>
          <w:rFonts w:ascii="Arial" w:hAnsi="Arial" w:cs="Arial"/>
          <w:lang w:val="en-GB"/>
        </w:rPr>
        <w:t>“</w:t>
      </w:r>
      <w:r w:rsidRPr="006D0EBE">
        <w:rPr>
          <w:rFonts w:ascii="Arial" w:hAnsi="Arial" w:cs="Arial"/>
          <w:lang w:val="en-GB"/>
        </w:rPr>
        <w:t xml:space="preserve">That has led some writers to suggest that legal validity (or invalidity) in the context of administrative action is never absolute but can only be described in relative terms. In Wade Administrative Law 7th ed (by H W R Wade and Christopher Forsyth) at 342 - 4 that view is expressed as follows: </w:t>
      </w:r>
    </w:p>
    <w:p w14:paraId="11EB2595" w14:textId="59582940" w:rsidR="006D0EBE" w:rsidRDefault="006D0EBE" w:rsidP="006D0EBE">
      <w:pPr>
        <w:spacing w:after="0" w:line="480" w:lineRule="auto"/>
        <w:ind w:left="567"/>
        <w:jc w:val="both"/>
        <w:rPr>
          <w:rFonts w:ascii="Arial" w:hAnsi="Arial" w:cs="Arial"/>
          <w:lang w:val="en-GB"/>
        </w:rPr>
      </w:pPr>
      <w:r w:rsidRPr="006D0EBE">
        <w:rPr>
          <w:rFonts w:ascii="Arial" w:hAnsi="Arial" w:cs="Arial"/>
          <w:lang w:val="en-GB"/>
        </w:rPr>
        <w:t xml:space="preserve">'The truth of the matter is that the Court will invalidate an order only if the right remedy is sought by the right person in the right proceedings and circumstances. The order may be hypothetically a nullity, but the Court may refuse to quash it because of the plaintiff's lack of standing, because he does not deserve a discretionary remedy, because he has </w:t>
      </w:r>
      <w:r w:rsidRPr="006D0EBE">
        <w:rPr>
          <w:rFonts w:ascii="Arial" w:hAnsi="Arial" w:cs="Arial"/>
          <w:lang w:val="en-GB"/>
        </w:rPr>
        <w:lastRenderedPageBreak/>
        <w:t xml:space="preserve">waived his rights, or for some other legal reason. In any such case the </w:t>
      </w:r>
      <w:r>
        <w:rPr>
          <w:rFonts w:ascii="Arial" w:hAnsi="Arial" w:cs="Arial"/>
          <w:lang w:val="en-GB"/>
        </w:rPr>
        <w:t>‘</w:t>
      </w:r>
      <w:r w:rsidRPr="006D0EBE">
        <w:rPr>
          <w:rFonts w:ascii="Arial" w:hAnsi="Arial" w:cs="Arial"/>
          <w:lang w:val="en-GB"/>
        </w:rPr>
        <w:t>void</w:t>
      </w:r>
      <w:r>
        <w:rPr>
          <w:rFonts w:ascii="Arial" w:hAnsi="Arial" w:cs="Arial"/>
          <w:lang w:val="en-GB"/>
        </w:rPr>
        <w:t>’</w:t>
      </w:r>
      <w:r w:rsidRPr="006D0EBE">
        <w:rPr>
          <w:rFonts w:ascii="Arial" w:hAnsi="Arial" w:cs="Arial"/>
          <w:lang w:val="en-GB"/>
        </w:rPr>
        <w:t xml:space="preserve"> order remains effective and is,</w:t>
      </w:r>
      <w:r>
        <w:rPr>
          <w:rFonts w:ascii="Arial" w:hAnsi="Arial" w:cs="Arial"/>
          <w:lang w:val="en-GB"/>
        </w:rPr>
        <w:t xml:space="preserve"> </w:t>
      </w:r>
      <w:r w:rsidRPr="006D0EBE">
        <w:rPr>
          <w:rFonts w:ascii="Arial" w:hAnsi="Arial" w:cs="Arial"/>
          <w:lang w:val="en-GB"/>
        </w:rPr>
        <w:t>in reality,</w:t>
      </w:r>
      <w:r>
        <w:rPr>
          <w:rFonts w:ascii="Arial" w:hAnsi="Arial" w:cs="Arial"/>
          <w:lang w:val="en-GB"/>
        </w:rPr>
        <w:t xml:space="preserve"> </w:t>
      </w:r>
      <w:r w:rsidRPr="006D0EBE">
        <w:rPr>
          <w:rFonts w:ascii="Arial" w:hAnsi="Arial" w:cs="Arial"/>
          <w:lang w:val="en-GB"/>
        </w:rPr>
        <w:t>valid. It follows that an order may be void for one purpose and valid for another; and that it may be void against one person but valid against another..</w:t>
      </w:r>
      <w:r w:rsidR="00B850CC" w:rsidRPr="006D0EBE">
        <w:rPr>
          <w:rFonts w:ascii="Arial" w:hAnsi="Arial" w:cs="Arial"/>
          <w:lang w:val="en-GB"/>
        </w:rPr>
        <w:t>..</w:t>
      </w:r>
      <w:r w:rsidRPr="006D0EBE">
        <w:rPr>
          <w:rFonts w:ascii="Arial" w:hAnsi="Arial" w:cs="Arial"/>
          <w:lang w:val="en-GB"/>
        </w:rPr>
        <w:t xml:space="preserve"> </w:t>
      </w:r>
      <w:r>
        <w:rPr>
          <w:rFonts w:ascii="Arial" w:hAnsi="Arial" w:cs="Arial"/>
          <w:lang w:val="en-GB"/>
        </w:rPr>
        <w:t>‘</w:t>
      </w:r>
      <w:r w:rsidRPr="006D0EBE">
        <w:rPr>
          <w:rFonts w:ascii="Arial" w:hAnsi="Arial" w:cs="Arial"/>
          <w:lang w:val="en-GB"/>
        </w:rPr>
        <w:t>Void</w:t>
      </w:r>
      <w:r>
        <w:rPr>
          <w:rFonts w:ascii="Arial" w:hAnsi="Arial" w:cs="Arial"/>
          <w:lang w:val="en-GB"/>
        </w:rPr>
        <w:t>’</w:t>
      </w:r>
      <w:r w:rsidRPr="006D0EBE">
        <w:rPr>
          <w:rFonts w:ascii="Arial" w:hAnsi="Arial" w:cs="Arial"/>
          <w:lang w:val="en-GB"/>
        </w:rPr>
        <w:t xml:space="preserve"> is therefore meaningless in any absolute sense. Its meaning is relative, depending upon the Court's willingness to grant relief in any particular situation.</w:t>
      </w:r>
      <w:r>
        <w:rPr>
          <w:rFonts w:ascii="Arial" w:hAnsi="Arial" w:cs="Arial"/>
          <w:lang w:val="en-GB"/>
        </w:rPr>
        <w:t>”</w:t>
      </w:r>
    </w:p>
    <w:p w14:paraId="1432C905" w14:textId="045E9DBA" w:rsidR="00110141" w:rsidRPr="00ED53E5" w:rsidRDefault="00ED53E5" w:rsidP="00ED53E5">
      <w:pPr>
        <w:spacing w:after="0" w:line="480" w:lineRule="auto"/>
        <w:jc w:val="both"/>
        <w:rPr>
          <w:rFonts w:ascii="Arial" w:hAnsi="Arial" w:cs="Arial"/>
          <w:sz w:val="24"/>
          <w:szCs w:val="24"/>
          <w:lang w:val="en-GB"/>
        </w:rPr>
      </w:pPr>
      <w:r>
        <w:rPr>
          <w:rFonts w:ascii="Arial" w:hAnsi="Arial" w:cs="Arial"/>
          <w:sz w:val="24"/>
          <w:szCs w:val="24"/>
          <w:lang w:val="en-GB"/>
        </w:rPr>
        <w:t>The result is that the ground of review regarding the</w:t>
      </w:r>
      <w:r w:rsidR="00F93205">
        <w:rPr>
          <w:rFonts w:ascii="Arial" w:hAnsi="Arial" w:cs="Arial"/>
          <w:sz w:val="24"/>
          <w:szCs w:val="24"/>
          <w:lang w:val="en-GB"/>
        </w:rPr>
        <w:t xml:space="preserve"> splitting</w:t>
      </w:r>
      <w:r w:rsidR="006610AC">
        <w:rPr>
          <w:rFonts w:ascii="Arial" w:hAnsi="Arial" w:cs="Arial"/>
          <w:sz w:val="24"/>
          <w:szCs w:val="24"/>
          <w:lang w:val="en-GB"/>
        </w:rPr>
        <w:t xml:space="preserve"> of</w:t>
      </w:r>
      <w:r>
        <w:rPr>
          <w:rFonts w:ascii="Arial" w:hAnsi="Arial" w:cs="Arial"/>
          <w:sz w:val="24"/>
          <w:szCs w:val="24"/>
          <w:lang w:val="en-GB"/>
        </w:rPr>
        <w:t xml:space="preserve"> the tender</w:t>
      </w:r>
      <w:r w:rsidR="003A4ACD">
        <w:rPr>
          <w:rFonts w:ascii="Arial" w:hAnsi="Arial" w:cs="Arial"/>
          <w:sz w:val="24"/>
          <w:szCs w:val="24"/>
          <w:lang w:val="en-GB"/>
        </w:rPr>
        <w:t xml:space="preserve"> into clusters</w:t>
      </w:r>
      <w:r>
        <w:rPr>
          <w:rFonts w:ascii="Arial" w:hAnsi="Arial" w:cs="Arial"/>
          <w:sz w:val="24"/>
          <w:szCs w:val="24"/>
          <w:lang w:val="en-GB"/>
        </w:rPr>
        <w:t xml:space="preserve"> was rightly dismissed by the court a quo.</w:t>
      </w:r>
    </w:p>
    <w:p w14:paraId="03B5830C" w14:textId="35241542" w:rsidR="00A36601" w:rsidRPr="00A320CC" w:rsidRDefault="00A36601" w:rsidP="00A36601">
      <w:pPr>
        <w:spacing w:after="0" w:line="480" w:lineRule="auto"/>
        <w:jc w:val="both"/>
        <w:rPr>
          <w:rFonts w:ascii="Arial" w:hAnsi="Arial" w:cs="Arial"/>
          <w:sz w:val="24"/>
          <w:szCs w:val="24"/>
          <w:lang w:val="en-GB"/>
        </w:rPr>
      </w:pPr>
      <w:r>
        <w:rPr>
          <w:rFonts w:ascii="Arial" w:hAnsi="Arial" w:cs="Arial"/>
          <w:sz w:val="24"/>
          <w:szCs w:val="24"/>
          <w:lang w:val="en-GB"/>
        </w:rPr>
        <w:t>[3</w:t>
      </w:r>
      <w:r w:rsidR="008873EC">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 xml:space="preserve">In </w:t>
      </w:r>
      <w:r w:rsidR="008873EC">
        <w:rPr>
          <w:rFonts w:ascii="Arial" w:hAnsi="Arial" w:cs="Arial"/>
          <w:sz w:val="24"/>
          <w:szCs w:val="24"/>
          <w:lang w:val="en-GB"/>
        </w:rPr>
        <w:t>any event</w:t>
      </w:r>
      <w:r>
        <w:rPr>
          <w:rFonts w:ascii="Arial" w:hAnsi="Arial" w:cs="Arial"/>
          <w:sz w:val="24"/>
          <w:szCs w:val="24"/>
          <w:lang w:val="en-GB"/>
        </w:rPr>
        <w:t xml:space="preserve">, we consider whether the allocation strategy </w:t>
      </w:r>
      <w:r w:rsidR="006610AC">
        <w:rPr>
          <w:rFonts w:ascii="Arial" w:hAnsi="Arial" w:cs="Arial"/>
          <w:sz w:val="24"/>
          <w:szCs w:val="24"/>
          <w:lang w:val="en-GB"/>
        </w:rPr>
        <w:t xml:space="preserve">foreshadowed </w:t>
      </w:r>
      <w:r>
        <w:rPr>
          <w:rFonts w:ascii="Arial" w:hAnsi="Arial" w:cs="Arial"/>
          <w:sz w:val="24"/>
          <w:szCs w:val="24"/>
          <w:lang w:val="en-GB"/>
        </w:rPr>
        <w:t xml:space="preserve">in the ITT is unlawful or irrational and </w:t>
      </w:r>
      <w:r w:rsidR="008873EC">
        <w:rPr>
          <w:rFonts w:ascii="Arial" w:hAnsi="Arial" w:cs="Arial"/>
          <w:sz w:val="24"/>
          <w:szCs w:val="24"/>
          <w:lang w:val="en-GB"/>
        </w:rPr>
        <w:t xml:space="preserve">whether </w:t>
      </w:r>
      <w:r>
        <w:rPr>
          <w:rFonts w:ascii="Arial" w:hAnsi="Arial" w:cs="Arial"/>
          <w:sz w:val="24"/>
          <w:szCs w:val="24"/>
          <w:lang w:val="en-GB"/>
        </w:rPr>
        <w:t>the award con</w:t>
      </w:r>
      <w:r w:rsidR="00F16AEA">
        <w:rPr>
          <w:rFonts w:ascii="Arial" w:hAnsi="Arial" w:cs="Arial"/>
          <w:sz w:val="24"/>
          <w:szCs w:val="24"/>
          <w:lang w:val="en-GB"/>
        </w:rPr>
        <w:t>travened</w:t>
      </w:r>
      <w:r>
        <w:rPr>
          <w:rFonts w:ascii="Arial" w:hAnsi="Arial" w:cs="Arial"/>
          <w:sz w:val="24"/>
          <w:szCs w:val="24"/>
          <w:lang w:val="en-GB"/>
        </w:rPr>
        <w:t xml:space="preserve"> section 2(1)(f) of the PPPF</w:t>
      </w:r>
      <w:r w:rsidR="00F16AEA">
        <w:rPr>
          <w:rFonts w:ascii="Arial" w:hAnsi="Arial" w:cs="Arial"/>
          <w:sz w:val="24"/>
          <w:szCs w:val="24"/>
          <w:lang w:val="en-GB"/>
        </w:rPr>
        <w:t>A</w:t>
      </w:r>
      <w:r w:rsidR="006610AC">
        <w:rPr>
          <w:rFonts w:ascii="Arial" w:hAnsi="Arial" w:cs="Arial"/>
          <w:sz w:val="24"/>
          <w:szCs w:val="24"/>
          <w:lang w:val="en-GB"/>
        </w:rPr>
        <w:t>.</w:t>
      </w:r>
      <w:r>
        <w:rPr>
          <w:rFonts w:ascii="Arial" w:hAnsi="Arial" w:cs="Arial"/>
          <w:sz w:val="24"/>
          <w:szCs w:val="24"/>
          <w:lang w:val="en-GB"/>
        </w:rPr>
        <w:t xml:space="preserve"> </w:t>
      </w:r>
      <w:r w:rsidR="006610AC">
        <w:rPr>
          <w:rFonts w:ascii="Arial" w:hAnsi="Arial" w:cs="Arial"/>
          <w:sz w:val="24"/>
          <w:szCs w:val="24"/>
          <w:lang w:val="en-GB"/>
        </w:rPr>
        <w:t>A p</w:t>
      </w:r>
      <w:r>
        <w:rPr>
          <w:rFonts w:ascii="Arial" w:hAnsi="Arial" w:cs="Arial"/>
          <w:sz w:val="24"/>
          <w:szCs w:val="24"/>
          <w:lang w:val="en-GB"/>
        </w:rPr>
        <w:t>roper consideration of section (2)(1)(f) leaves the</w:t>
      </w:r>
      <w:r w:rsidR="00F16AEA">
        <w:rPr>
          <w:rFonts w:ascii="Arial" w:hAnsi="Arial" w:cs="Arial"/>
          <w:sz w:val="24"/>
          <w:szCs w:val="24"/>
          <w:lang w:val="en-GB"/>
        </w:rPr>
        <w:t xml:space="preserve"> imp</w:t>
      </w:r>
      <w:r w:rsidR="0062652E">
        <w:rPr>
          <w:rFonts w:ascii="Arial" w:hAnsi="Arial" w:cs="Arial"/>
          <w:sz w:val="24"/>
          <w:szCs w:val="24"/>
          <w:lang w:val="en-GB"/>
        </w:rPr>
        <w:t>ression</w:t>
      </w:r>
      <w:r>
        <w:rPr>
          <w:rFonts w:ascii="Arial" w:hAnsi="Arial" w:cs="Arial"/>
          <w:sz w:val="24"/>
          <w:szCs w:val="24"/>
          <w:lang w:val="en-GB"/>
        </w:rPr>
        <w:t xml:space="preserve"> that it does not prohibit the strategy</w:t>
      </w:r>
      <w:r w:rsidR="00F16AEA">
        <w:rPr>
          <w:rFonts w:ascii="Arial" w:hAnsi="Arial" w:cs="Arial"/>
          <w:sz w:val="24"/>
          <w:szCs w:val="24"/>
          <w:lang w:val="en-GB"/>
        </w:rPr>
        <w:t xml:space="preserve"> employed</w:t>
      </w:r>
      <w:r>
        <w:rPr>
          <w:rFonts w:ascii="Arial" w:hAnsi="Arial" w:cs="Arial"/>
          <w:sz w:val="24"/>
          <w:szCs w:val="24"/>
          <w:lang w:val="en-GB"/>
        </w:rPr>
        <w:t xml:space="preserve"> by </w:t>
      </w:r>
      <w:r w:rsidR="00382A14">
        <w:rPr>
          <w:rFonts w:ascii="Arial" w:hAnsi="Arial" w:cs="Arial"/>
          <w:sz w:val="24"/>
          <w:szCs w:val="24"/>
          <w:lang w:val="en-GB"/>
        </w:rPr>
        <w:t>Eskom</w:t>
      </w:r>
      <w:r>
        <w:rPr>
          <w:rFonts w:ascii="Arial" w:hAnsi="Arial" w:cs="Arial"/>
          <w:sz w:val="24"/>
          <w:szCs w:val="24"/>
          <w:lang w:val="en-GB"/>
        </w:rPr>
        <w:t>. The ITT is clear that the</w:t>
      </w:r>
      <w:r w:rsidR="00F16AEA">
        <w:rPr>
          <w:rFonts w:ascii="Arial" w:hAnsi="Arial" w:cs="Arial"/>
          <w:sz w:val="24"/>
          <w:szCs w:val="24"/>
          <w:lang w:val="en-GB"/>
        </w:rPr>
        <w:t xml:space="preserve"> ranking</w:t>
      </w:r>
      <w:r>
        <w:rPr>
          <w:rFonts w:ascii="Arial" w:hAnsi="Arial" w:cs="Arial"/>
          <w:sz w:val="24"/>
          <w:szCs w:val="24"/>
          <w:lang w:val="en-GB"/>
        </w:rPr>
        <w:t xml:space="preserve"> </w:t>
      </w:r>
      <w:r w:rsidR="00F16AEA">
        <w:rPr>
          <w:rFonts w:ascii="Arial" w:hAnsi="Arial" w:cs="Arial"/>
          <w:sz w:val="24"/>
          <w:szCs w:val="24"/>
          <w:lang w:val="en-GB"/>
        </w:rPr>
        <w:t>w</w:t>
      </w:r>
      <w:r>
        <w:rPr>
          <w:rFonts w:ascii="Arial" w:hAnsi="Arial" w:cs="Arial"/>
          <w:sz w:val="24"/>
          <w:szCs w:val="24"/>
          <w:lang w:val="en-GB"/>
        </w:rPr>
        <w:t xml:space="preserve">ill be per cluster. Although a bidder could bid for all eight clusters, one bidder would only be allocated a maximum of two clusters. In effect, a bidder was limited to contest for a maximum of two clusters which would be awarded on the basis that the bidder scored the highest points for those clusters, in line with section 2(1)(f). The remainder of the clusters could be contested by other bidders, who could </w:t>
      </w:r>
      <w:r w:rsidR="00A320CC">
        <w:rPr>
          <w:rFonts w:ascii="Arial" w:hAnsi="Arial" w:cs="Arial"/>
          <w:sz w:val="24"/>
          <w:szCs w:val="24"/>
          <w:lang w:val="en-GB"/>
        </w:rPr>
        <w:t>likewise be the highest scoring bidders for two clusters, and so forth. Ultimately, the tenders were awarded to the highest scoring bidder per cluster after elimination of those that were already awarded tenders. We ar</w:t>
      </w:r>
      <w:r w:rsidR="003025DE">
        <w:rPr>
          <w:rFonts w:ascii="Arial" w:hAnsi="Arial" w:cs="Arial"/>
          <w:sz w:val="24"/>
          <w:szCs w:val="24"/>
          <w:lang w:val="en-GB"/>
        </w:rPr>
        <w:t>e</w:t>
      </w:r>
      <w:r w:rsidR="00A320CC">
        <w:rPr>
          <w:rFonts w:ascii="Arial" w:hAnsi="Arial" w:cs="Arial"/>
          <w:sz w:val="24"/>
          <w:szCs w:val="24"/>
          <w:lang w:val="en-GB"/>
        </w:rPr>
        <w:t xml:space="preserve"> of the view that the allocation strategy meets and achieves the purpose of section 2(1)(f), which is cost-effectiveness or contest on</w:t>
      </w:r>
      <w:r w:rsidR="00F16AEA">
        <w:rPr>
          <w:rFonts w:ascii="Arial" w:hAnsi="Arial" w:cs="Arial"/>
          <w:sz w:val="24"/>
          <w:szCs w:val="24"/>
          <w:lang w:val="en-GB"/>
        </w:rPr>
        <w:t xml:space="preserve"> price.</w:t>
      </w:r>
      <w:r w:rsidR="00A320CC">
        <w:rPr>
          <w:rFonts w:ascii="Arial" w:hAnsi="Arial" w:cs="Arial"/>
          <w:sz w:val="24"/>
          <w:szCs w:val="24"/>
          <w:lang w:val="en-GB"/>
        </w:rPr>
        <w:t xml:space="preserve"> In </w:t>
      </w:r>
      <w:r w:rsidR="00A320CC" w:rsidRPr="00A320CC">
        <w:rPr>
          <w:rFonts w:ascii="Arial" w:hAnsi="Arial" w:cs="Arial"/>
          <w:i/>
          <w:iCs/>
          <w:sz w:val="24"/>
          <w:szCs w:val="24"/>
          <w:lang w:val="en-GB"/>
        </w:rPr>
        <w:t>South African Container Stevedores (Pty) Ltd v Transnet Port Terminals</w:t>
      </w:r>
      <w:r w:rsidR="00A320CC">
        <w:rPr>
          <w:rFonts w:ascii="Arial" w:hAnsi="Arial" w:cs="Arial"/>
          <w:i/>
          <w:iCs/>
          <w:sz w:val="24"/>
          <w:szCs w:val="24"/>
          <w:lang w:val="en-GB"/>
        </w:rPr>
        <w:t xml:space="preserve"> and Others</w:t>
      </w:r>
      <w:r w:rsidR="00A320CC">
        <w:rPr>
          <w:rStyle w:val="FootnoteReference"/>
          <w:rFonts w:ascii="Arial" w:hAnsi="Arial" w:cs="Arial"/>
          <w:i/>
          <w:iCs/>
          <w:sz w:val="24"/>
          <w:szCs w:val="24"/>
          <w:lang w:val="en-GB"/>
        </w:rPr>
        <w:footnoteReference w:id="22"/>
      </w:r>
      <w:r w:rsidR="000C72AD">
        <w:rPr>
          <w:rFonts w:ascii="Arial" w:hAnsi="Arial" w:cs="Arial"/>
          <w:i/>
          <w:iCs/>
          <w:sz w:val="24"/>
          <w:szCs w:val="24"/>
          <w:lang w:val="en-GB"/>
        </w:rPr>
        <w:t xml:space="preserve"> (“South African Containers Stevedores”)</w:t>
      </w:r>
      <w:r w:rsidR="00A320CC">
        <w:rPr>
          <w:rFonts w:ascii="Arial" w:hAnsi="Arial" w:cs="Arial"/>
          <w:i/>
          <w:iCs/>
          <w:sz w:val="24"/>
          <w:szCs w:val="24"/>
          <w:lang w:val="en-GB"/>
        </w:rPr>
        <w:t xml:space="preserve"> </w:t>
      </w:r>
      <w:r w:rsidR="00A320CC">
        <w:rPr>
          <w:rFonts w:ascii="Arial" w:hAnsi="Arial" w:cs="Arial"/>
          <w:sz w:val="24"/>
          <w:szCs w:val="24"/>
          <w:lang w:val="en-GB"/>
        </w:rPr>
        <w:t>the court said as follows:</w:t>
      </w:r>
    </w:p>
    <w:p w14:paraId="32B2FBEC" w14:textId="515A56C4" w:rsidR="00D2159C" w:rsidRPr="00D2159C" w:rsidRDefault="00D2159C" w:rsidP="00ED53E5">
      <w:pPr>
        <w:spacing w:after="0" w:line="480" w:lineRule="auto"/>
        <w:ind w:left="709"/>
        <w:jc w:val="both"/>
        <w:rPr>
          <w:rFonts w:ascii="Arial" w:hAnsi="Arial" w:cs="Arial"/>
          <w:lang w:val="en-GB"/>
        </w:rPr>
      </w:pPr>
      <w:r>
        <w:rPr>
          <w:rFonts w:ascii="Arial" w:hAnsi="Arial" w:cs="Arial"/>
          <w:sz w:val="24"/>
          <w:szCs w:val="24"/>
          <w:lang w:val="en-GB"/>
        </w:rPr>
        <w:tab/>
      </w:r>
      <w:r>
        <w:rPr>
          <w:rFonts w:ascii="Arial" w:hAnsi="Arial" w:cs="Arial"/>
          <w:lang w:val="en-GB"/>
        </w:rPr>
        <w:t>“</w:t>
      </w:r>
      <w:r w:rsidRPr="00D2159C">
        <w:rPr>
          <w:rFonts w:ascii="Arial" w:hAnsi="Arial" w:cs="Arial"/>
          <w:lang w:val="en-GB"/>
        </w:rPr>
        <w:t xml:space="preserve">The purpose of a tender process was described in </w:t>
      </w:r>
      <w:r w:rsidRPr="008D7A84">
        <w:rPr>
          <w:rFonts w:ascii="Arial" w:hAnsi="Arial" w:cs="Arial"/>
          <w:i/>
          <w:iCs/>
          <w:lang w:val="en-GB"/>
        </w:rPr>
        <w:t>Cash Paymaster Services (Pty) Ltd v Eastern Cape Province &amp; Others</w:t>
      </w:r>
      <w:r w:rsidRPr="00D2159C">
        <w:rPr>
          <w:rFonts w:ascii="Arial" w:hAnsi="Arial" w:cs="Arial"/>
          <w:lang w:val="en-GB"/>
        </w:rPr>
        <w:t xml:space="preserve"> as follows</w:t>
      </w:r>
      <w:r w:rsidR="00ED53E5">
        <w:rPr>
          <w:rFonts w:ascii="Arial" w:hAnsi="Arial" w:cs="Arial"/>
          <w:lang w:val="en-GB"/>
        </w:rPr>
        <w:t>:</w:t>
      </w:r>
    </w:p>
    <w:p w14:paraId="1777557E" w14:textId="256A3A9C" w:rsidR="00D2159C" w:rsidRDefault="00D2159C" w:rsidP="00D2159C">
      <w:pPr>
        <w:spacing w:after="0" w:line="480" w:lineRule="auto"/>
        <w:ind w:left="709"/>
        <w:jc w:val="both"/>
        <w:rPr>
          <w:rFonts w:ascii="Arial" w:hAnsi="Arial" w:cs="Arial"/>
          <w:lang w:val="en-GB"/>
        </w:rPr>
      </w:pPr>
      <w:r>
        <w:rPr>
          <w:rFonts w:ascii="Arial" w:hAnsi="Arial" w:cs="Arial"/>
          <w:lang w:val="en-GB"/>
        </w:rPr>
        <w:lastRenderedPageBreak/>
        <w:t>‘</w:t>
      </w:r>
      <w:r w:rsidRPr="00D2159C">
        <w:rPr>
          <w:rFonts w:ascii="Arial" w:hAnsi="Arial" w:cs="Arial"/>
          <w:lang w:val="en-GB"/>
        </w:rPr>
        <w:t>Tender procedures, as we have come to know them over many years, have been the result of vast experience gained in the procuring of services and goods by government. They have evolved over a long period of time through trial and error and have crystallised into a procedure that has become vital to the very essence of effective government procurement. Strict rules have developed over the years in order to ensure that the system works effectively. The very essence of tender procedures may well be described as a procedure intended to ensure that government, before it procures goods or services, or enters into contracts for the procurement thereof, is assured that a proper evaluation is done of what is available, at what price and whether or not that which is procured serves the purposes for which it is intended.</w:t>
      </w:r>
      <w:r>
        <w:rPr>
          <w:rFonts w:ascii="Arial" w:hAnsi="Arial" w:cs="Arial"/>
          <w:lang w:val="en-GB"/>
        </w:rPr>
        <w:t>’”</w:t>
      </w:r>
    </w:p>
    <w:p w14:paraId="44560D29" w14:textId="709E6EE0" w:rsidR="008D7A84" w:rsidRDefault="008D7A84" w:rsidP="008D7A84">
      <w:pPr>
        <w:spacing w:after="0" w:line="480" w:lineRule="auto"/>
        <w:jc w:val="both"/>
        <w:rPr>
          <w:rFonts w:ascii="Arial" w:hAnsi="Arial" w:cs="Arial"/>
          <w:sz w:val="24"/>
          <w:szCs w:val="24"/>
          <w:lang w:val="en-GB"/>
        </w:rPr>
      </w:pPr>
      <w:r w:rsidRPr="008D7A84">
        <w:rPr>
          <w:rFonts w:ascii="Arial" w:hAnsi="Arial" w:cs="Arial"/>
          <w:sz w:val="24"/>
          <w:szCs w:val="24"/>
          <w:lang w:val="en-GB"/>
        </w:rPr>
        <w:t>[3</w:t>
      </w:r>
      <w:r w:rsidR="008873EC">
        <w:rPr>
          <w:rFonts w:ascii="Arial" w:hAnsi="Arial" w:cs="Arial"/>
          <w:sz w:val="24"/>
          <w:szCs w:val="24"/>
          <w:lang w:val="en-GB"/>
        </w:rPr>
        <w:t>4</w:t>
      </w:r>
      <w:r w:rsidRPr="008D7A84">
        <w:rPr>
          <w:rFonts w:ascii="Arial" w:hAnsi="Arial" w:cs="Arial"/>
          <w:sz w:val="24"/>
          <w:szCs w:val="24"/>
          <w:lang w:val="en-GB"/>
        </w:rPr>
        <w:t>]</w:t>
      </w:r>
      <w:r w:rsidRPr="008D7A84">
        <w:rPr>
          <w:rFonts w:ascii="Arial" w:hAnsi="Arial" w:cs="Arial"/>
          <w:sz w:val="24"/>
          <w:szCs w:val="24"/>
          <w:lang w:val="en-GB"/>
        </w:rPr>
        <w:tab/>
      </w:r>
      <w:r>
        <w:rPr>
          <w:rFonts w:ascii="Arial" w:hAnsi="Arial" w:cs="Arial"/>
          <w:sz w:val="24"/>
          <w:szCs w:val="24"/>
          <w:lang w:val="en-GB"/>
        </w:rPr>
        <w:t xml:space="preserve">In these circumstances there is no breach in terms of section 2(1)(f) or </w:t>
      </w:r>
      <w:r w:rsidR="00B850CC">
        <w:rPr>
          <w:rFonts w:ascii="Arial" w:hAnsi="Arial" w:cs="Arial"/>
          <w:sz w:val="24"/>
          <w:szCs w:val="24"/>
          <w:lang w:val="en-GB"/>
        </w:rPr>
        <w:t xml:space="preserve">any breach </w:t>
      </w:r>
      <w:r>
        <w:rPr>
          <w:rFonts w:ascii="Arial" w:hAnsi="Arial" w:cs="Arial"/>
          <w:sz w:val="24"/>
          <w:szCs w:val="24"/>
          <w:lang w:val="en-GB"/>
        </w:rPr>
        <w:t>is not</w:t>
      </w:r>
      <w:r w:rsidR="00B850CC">
        <w:rPr>
          <w:rFonts w:ascii="Arial" w:hAnsi="Arial" w:cs="Arial"/>
          <w:sz w:val="24"/>
          <w:szCs w:val="24"/>
          <w:lang w:val="en-GB"/>
        </w:rPr>
        <w:t xml:space="preserve"> so</w:t>
      </w:r>
      <w:r>
        <w:rPr>
          <w:rFonts w:ascii="Arial" w:hAnsi="Arial" w:cs="Arial"/>
          <w:sz w:val="24"/>
          <w:szCs w:val="24"/>
          <w:lang w:val="en-GB"/>
        </w:rPr>
        <w:t xml:space="preserve"> material</w:t>
      </w:r>
      <w:r>
        <w:rPr>
          <w:rStyle w:val="FootnoteReference"/>
          <w:rFonts w:ascii="Arial" w:hAnsi="Arial" w:cs="Arial"/>
          <w:sz w:val="24"/>
          <w:szCs w:val="24"/>
          <w:lang w:val="en-GB"/>
        </w:rPr>
        <w:footnoteReference w:id="23"/>
      </w:r>
      <w:r w:rsidR="000B2487">
        <w:rPr>
          <w:rFonts w:ascii="Arial" w:hAnsi="Arial" w:cs="Arial"/>
          <w:sz w:val="24"/>
          <w:szCs w:val="24"/>
          <w:lang w:val="en-GB"/>
        </w:rPr>
        <w:t xml:space="preserve"> </w:t>
      </w:r>
      <w:r w:rsidR="00B850CC">
        <w:rPr>
          <w:rFonts w:ascii="Arial" w:hAnsi="Arial" w:cs="Arial"/>
          <w:sz w:val="24"/>
          <w:szCs w:val="24"/>
          <w:lang w:val="en-GB"/>
        </w:rPr>
        <w:t xml:space="preserve">as </w:t>
      </w:r>
      <w:r w:rsidR="000B2487">
        <w:rPr>
          <w:rFonts w:ascii="Arial" w:hAnsi="Arial" w:cs="Arial"/>
          <w:sz w:val="24"/>
          <w:szCs w:val="24"/>
          <w:lang w:val="en-GB"/>
        </w:rPr>
        <w:t>to</w:t>
      </w:r>
      <w:r w:rsidR="006610AC">
        <w:rPr>
          <w:rFonts w:ascii="Arial" w:hAnsi="Arial" w:cs="Arial"/>
          <w:sz w:val="24"/>
          <w:szCs w:val="24"/>
          <w:lang w:val="en-GB"/>
        </w:rPr>
        <w:t xml:space="preserve"> constitute</w:t>
      </w:r>
      <w:r w:rsidR="000B2487">
        <w:rPr>
          <w:rFonts w:ascii="Arial" w:hAnsi="Arial" w:cs="Arial"/>
          <w:sz w:val="24"/>
          <w:szCs w:val="24"/>
          <w:lang w:val="en-GB"/>
        </w:rPr>
        <w:t xml:space="preserve"> a ground of review.</w:t>
      </w:r>
    </w:p>
    <w:p w14:paraId="0BC25DD9" w14:textId="09107FB7" w:rsidR="00DC0DD7" w:rsidRDefault="000B2487" w:rsidP="008248AF">
      <w:pPr>
        <w:spacing w:after="0" w:line="480" w:lineRule="auto"/>
        <w:jc w:val="both"/>
        <w:rPr>
          <w:rFonts w:ascii="Arial" w:hAnsi="Arial" w:cs="Arial"/>
          <w:sz w:val="24"/>
          <w:szCs w:val="24"/>
          <w:lang w:val="en-GB"/>
        </w:rPr>
      </w:pPr>
      <w:r>
        <w:rPr>
          <w:rFonts w:ascii="Arial" w:hAnsi="Arial" w:cs="Arial"/>
          <w:sz w:val="24"/>
          <w:szCs w:val="24"/>
          <w:lang w:val="en-GB"/>
        </w:rPr>
        <w:t>[</w:t>
      </w:r>
      <w:r w:rsidR="00623EF8">
        <w:rPr>
          <w:rFonts w:ascii="Arial" w:hAnsi="Arial" w:cs="Arial"/>
          <w:sz w:val="24"/>
          <w:szCs w:val="24"/>
          <w:lang w:val="en-GB"/>
        </w:rPr>
        <w:t>3</w:t>
      </w:r>
      <w:r w:rsidR="008873EC">
        <w:rPr>
          <w:rFonts w:ascii="Arial" w:hAnsi="Arial" w:cs="Arial"/>
          <w:sz w:val="24"/>
          <w:szCs w:val="24"/>
          <w:lang w:val="en-GB"/>
        </w:rPr>
        <w:t>5</w:t>
      </w:r>
      <w:r w:rsidR="00623EF8">
        <w:rPr>
          <w:rFonts w:ascii="Arial" w:hAnsi="Arial" w:cs="Arial"/>
          <w:sz w:val="24"/>
          <w:szCs w:val="24"/>
          <w:lang w:val="en-GB"/>
        </w:rPr>
        <w:t>]</w:t>
      </w:r>
      <w:r>
        <w:rPr>
          <w:rFonts w:ascii="Arial" w:hAnsi="Arial" w:cs="Arial"/>
          <w:sz w:val="24"/>
          <w:szCs w:val="24"/>
          <w:lang w:val="en-GB"/>
        </w:rPr>
        <w:tab/>
        <w:t>The interpretation that section 2(1)(f) allows for multiple tenders and multiple contracts at award stage is, in our view, in line with the interpretation o</w:t>
      </w:r>
      <w:r w:rsidR="00EC1EB2">
        <w:rPr>
          <w:rFonts w:ascii="Arial" w:hAnsi="Arial" w:cs="Arial"/>
          <w:sz w:val="24"/>
          <w:szCs w:val="24"/>
          <w:lang w:val="en-GB"/>
        </w:rPr>
        <w:t>f</w:t>
      </w:r>
      <w:r>
        <w:rPr>
          <w:rFonts w:ascii="Arial" w:hAnsi="Arial" w:cs="Arial"/>
          <w:sz w:val="24"/>
          <w:szCs w:val="24"/>
          <w:lang w:val="en-GB"/>
        </w:rPr>
        <w:t xml:space="preserve"> section 2(1)(f) in </w:t>
      </w:r>
      <w:r w:rsidRPr="00623EF8">
        <w:rPr>
          <w:rFonts w:ascii="Arial" w:hAnsi="Arial" w:cs="Arial"/>
          <w:i/>
          <w:iCs/>
          <w:sz w:val="24"/>
          <w:szCs w:val="24"/>
          <w:lang w:val="en-GB"/>
        </w:rPr>
        <w:t>South African Container Stevedores</w:t>
      </w:r>
      <w:r>
        <w:rPr>
          <w:rFonts w:ascii="Arial" w:hAnsi="Arial" w:cs="Arial"/>
          <w:sz w:val="24"/>
          <w:szCs w:val="24"/>
          <w:lang w:val="en-GB"/>
        </w:rPr>
        <w:t>.</w:t>
      </w:r>
      <w:r>
        <w:rPr>
          <w:rStyle w:val="FootnoteReference"/>
          <w:rFonts w:ascii="Arial" w:hAnsi="Arial" w:cs="Arial"/>
          <w:sz w:val="24"/>
          <w:szCs w:val="24"/>
          <w:lang w:val="en-GB"/>
        </w:rPr>
        <w:footnoteReference w:id="24"/>
      </w:r>
      <w:r w:rsidR="00706FD4">
        <w:rPr>
          <w:rFonts w:ascii="Arial" w:hAnsi="Arial" w:cs="Arial"/>
          <w:sz w:val="24"/>
          <w:szCs w:val="24"/>
          <w:lang w:val="en-GB"/>
        </w:rPr>
        <w:t xml:space="preserve"> </w:t>
      </w:r>
    </w:p>
    <w:p w14:paraId="4D3A7A2D" w14:textId="599D2CDC" w:rsidR="008873EC" w:rsidRDefault="00CA5776" w:rsidP="008248AF">
      <w:pPr>
        <w:spacing w:after="0" w:line="480" w:lineRule="auto"/>
        <w:jc w:val="both"/>
        <w:rPr>
          <w:rFonts w:ascii="Arial" w:eastAsia="SimSun" w:hAnsi="Arial" w:cs="SimSun"/>
          <w:kern w:val="2"/>
          <w:sz w:val="24"/>
          <w:lang w:val="en-US" w:eastAsia="en-GB"/>
          <w14:ligatures w14:val="standardContextual"/>
        </w:rPr>
      </w:pPr>
      <w:r>
        <w:rPr>
          <w:rFonts w:ascii="Arial" w:hAnsi="Arial" w:cs="Arial"/>
          <w:sz w:val="24"/>
          <w:szCs w:val="24"/>
          <w:lang w:val="en-GB"/>
        </w:rPr>
        <w:t>[3</w:t>
      </w:r>
      <w:r w:rsidR="008873EC">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Pr="00353945">
        <w:rPr>
          <w:rFonts w:ascii="Arial" w:hAnsi="Arial" w:cs="Arial"/>
          <w:sz w:val="24"/>
          <w:szCs w:val="24"/>
          <w:lang w:val="en-GB"/>
        </w:rPr>
        <w:t>Both SGB and Southey fail to appreciate that Eskom does not claim that the cluster allocation is an “objective criterion” as envisaged in section 2(1)(f) of the PPPFA.  The cluster allocation ensured that at every stage, following the elimination of the highest-scoring bidder, the next highest scoring bidder in a cluster would be allocated.   The I</w:t>
      </w:r>
      <w:r>
        <w:rPr>
          <w:rFonts w:ascii="Arial" w:hAnsi="Arial" w:cs="Arial"/>
          <w:sz w:val="24"/>
          <w:szCs w:val="24"/>
          <w:lang w:val="en-GB"/>
        </w:rPr>
        <w:t>TT</w:t>
      </w:r>
      <w:r w:rsidRPr="00353945">
        <w:rPr>
          <w:rFonts w:ascii="Arial" w:hAnsi="Arial" w:cs="Arial"/>
          <w:sz w:val="24"/>
          <w:szCs w:val="24"/>
          <w:lang w:val="en-GB"/>
        </w:rPr>
        <w:t xml:space="preserve"> is clear that objective criteria will not be applicable in this Tender.  Thus, applying the two-stage enquiry in </w:t>
      </w:r>
      <w:r w:rsidRPr="00353945">
        <w:rPr>
          <w:rFonts w:ascii="Arial" w:hAnsi="Arial" w:cs="Arial"/>
          <w:i/>
          <w:sz w:val="24"/>
          <w:szCs w:val="24"/>
          <w:lang w:val="en-GB"/>
        </w:rPr>
        <w:t>Grinaker LTA Ltd and another v Tender Board (Mpumalanga) and others</w:t>
      </w:r>
      <w:r>
        <w:rPr>
          <w:rFonts w:ascii="Arial" w:hAnsi="Arial" w:cs="Arial"/>
          <w:iCs/>
          <w:sz w:val="24"/>
          <w:szCs w:val="24"/>
          <w:lang w:val="en-GB"/>
        </w:rPr>
        <w:t>,</w:t>
      </w:r>
      <w:r>
        <w:rPr>
          <w:rStyle w:val="FootnoteReference"/>
          <w:rFonts w:ascii="Arial" w:hAnsi="Arial" w:cs="Arial"/>
          <w:sz w:val="24"/>
          <w:szCs w:val="24"/>
          <w:lang w:val="en-GB"/>
        </w:rPr>
        <w:footnoteReference w:id="25"/>
      </w:r>
      <w:r w:rsidRPr="00353945">
        <w:rPr>
          <w:rFonts w:ascii="Arial" w:hAnsi="Arial" w:cs="Arial"/>
          <w:sz w:val="24"/>
          <w:szCs w:val="24"/>
          <w:lang w:val="en-GB"/>
        </w:rPr>
        <w:t xml:space="preserve"> Eskom only had to ensure that when it awarded the clusters it awarded to the highest scoring bidders in clusters following the negotiations and after eliminating the bidders that had already been awarded contracts in other </w:t>
      </w:r>
      <w:r w:rsidRPr="00353945">
        <w:rPr>
          <w:rFonts w:ascii="Arial" w:hAnsi="Arial" w:cs="Arial"/>
          <w:sz w:val="24"/>
          <w:szCs w:val="24"/>
          <w:lang w:val="en-GB"/>
        </w:rPr>
        <w:lastRenderedPageBreak/>
        <w:t xml:space="preserve">clusters.  </w:t>
      </w:r>
      <w:r w:rsidRPr="00E2742D">
        <w:rPr>
          <w:rFonts w:ascii="Arial" w:hAnsi="Arial" w:cs="Arial"/>
          <w:sz w:val="24"/>
          <w:szCs w:val="24"/>
          <w:lang w:val="en-GB"/>
        </w:rPr>
        <w:t xml:space="preserve">Therefore, the Court a quo correctly found that the cluster allocation did not contravene section 2(1)(f) of the PPPFA and met the cost-effectiveness objective in </w:t>
      </w:r>
      <w:r w:rsidR="00396CB8">
        <w:rPr>
          <w:rFonts w:ascii="Arial" w:hAnsi="Arial" w:cs="Arial"/>
          <w:sz w:val="24"/>
          <w:szCs w:val="24"/>
          <w:lang w:val="en-GB"/>
        </w:rPr>
        <w:t>the</w:t>
      </w:r>
      <w:r w:rsidR="00DC0DD7" w:rsidRPr="00DC0DD7">
        <w:rPr>
          <w:rFonts w:ascii="Arial" w:eastAsia="SimSun" w:hAnsi="Arial" w:cs="SimSun"/>
          <w:kern w:val="2"/>
          <w:sz w:val="24"/>
          <w:lang w:val="en-US" w:eastAsia="en-GB"/>
          <w14:ligatures w14:val="standardContextual"/>
        </w:rPr>
        <w:t xml:space="preserve"> SGB grounds whe</w:t>
      </w:r>
      <w:r w:rsidR="008873EC">
        <w:rPr>
          <w:rFonts w:ascii="Arial" w:eastAsia="SimSun" w:hAnsi="Arial" w:cs="SimSun"/>
          <w:kern w:val="2"/>
          <w:sz w:val="24"/>
          <w:lang w:val="en-US" w:eastAsia="en-GB"/>
          <w14:ligatures w14:val="standardContextual"/>
        </w:rPr>
        <w:t>re SGB contends the court erred.</w:t>
      </w:r>
    </w:p>
    <w:p w14:paraId="42112DA6" w14:textId="77777777" w:rsidR="008873EC" w:rsidRDefault="008873EC" w:rsidP="008873EC">
      <w:pPr>
        <w:spacing w:after="0" w:line="480" w:lineRule="auto"/>
        <w:jc w:val="both"/>
        <w:rPr>
          <w:rFonts w:ascii="Arial" w:hAnsi="Arial" w:cs="Arial"/>
          <w:sz w:val="24"/>
          <w:szCs w:val="24"/>
          <w:lang w:val="en-GB"/>
        </w:rPr>
      </w:pPr>
      <w:r>
        <w:rPr>
          <w:rFonts w:ascii="Arial" w:eastAsia="SimSun" w:hAnsi="Arial" w:cs="SimSun"/>
          <w:kern w:val="2"/>
          <w:sz w:val="24"/>
          <w:lang w:val="en-US" w:eastAsia="en-GB"/>
          <w14:ligatures w14:val="standardContextual"/>
        </w:rPr>
        <w:t>[37]</w:t>
      </w:r>
      <w:r>
        <w:rPr>
          <w:rFonts w:ascii="Arial" w:eastAsia="SimSun" w:hAnsi="Arial" w:cs="SimSun"/>
          <w:kern w:val="2"/>
          <w:sz w:val="24"/>
          <w:lang w:val="en-US" w:eastAsia="en-GB"/>
          <w14:ligatures w14:val="standardContextual"/>
        </w:rPr>
        <w:tab/>
      </w:r>
      <w:r>
        <w:rPr>
          <w:rFonts w:ascii="Arial" w:hAnsi="Arial" w:cs="Arial"/>
          <w:sz w:val="24"/>
          <w:szCs w:val="24"/>
          <w:lang w:val="en-GB"/>
        </w:rPr>
        <w:t xml:space="preserve">Counsel for SGB suggested that the application of </w:t>
      </w:r>
      <w:r>
        <w:rPr>
          <w:rFonts w:ascii="Arial" w:hAnsi="Arial" w:cs="Arial"/>
          <w:i/>
          <w:sz w:val="24"/>
          <w:szCs w:val="24"/>
          <w:lang w:val="en-GB"/>
        </w:rPr>
        <w:t>South African Container Stevedores</w:t>
      </w:r>
      <w:r>
        <w:rPr>
          <w:rFonts w:ascii="Arial" w:hAnsi="Arial" w:cs="Arial"/>
          <w:sz w:val="24"/>
          <w:szCs w:val="24"/>
          <w:lang w:val="en-GB"/>
        </w:rPr>
        <w:t xml:space="preserve"> by the court </w:t>
      </w:r>
      <w:r>
        <w:rPr>
          <w:rFonts w:ascii="Arial" w:hAnsi="Arial" w:cs="Arial"/>
          <w:i/>
          <w:sz w:val="24"/>
          <w:szCs w:val="24"/>
          <w:lang w:val="en-GB"/>
        </w:rPr>
        <w:t>a quo</w:t>
      </w:r>
      <w:r>
        <w:rPr>
          <w:rFonts w:ascii="Arial" w:hAnsi="Arial" w:cs="Arial"/>
          <w:sz w:val="24"/>
          <w:szCs w:val="24"/>
          <w:lang w:val="en-GB"/>
        </w:rPr>
        <w:t xml:space="preserve"> was incorrect. There is no merit in this contention, and there is nothing in the language, context and purpose of the relevant provisions that justifies the approach contended for by SGB. As set out below, this is based on an incorrect interpretation of the cluster allocation system by SGB.</w:t>
      </w:r>
    </w:p>
    <w:p w14:paraId="7D42D40B" w14:textId="78B16299" w:rsidR="00DC0DD7" w:rsidRPr="00DC0DD7" w:rsidRDefault="008873EC" w:rsidP="008248AF">
      <w:pPr>
        <w:spacing w:after="0" w:line="480" w:lineRule="auto"/>
        <w:jc w:val="both"/>
        <w:rPr>
          <w:rFonts w:ascii="Arial" w:eastAsia="SimSun" w:hAnsi="Arial" w:cs="Arial"/>
          <w:kern w:val="2"/>
          <w:sz w:val="24"/>
          <w:szCs w:val="24"/>
          <w:lang w:val="en-GB" w:eastAsia="en-GB"/>
          <w14:ligatures w14:val="standardContextual"/>
        </w:rPr>
      </w:pPr>
      <w:r>
        <w:rPr>
          <w:rFonts w:ascii="Arial" w:eastAsia="SimSun" w:hAnsi="Arial" w:cs="Arial"/>
          <w:kern w:val="2"/>
          <w:sz w:val="24"/>
          <w:szCs w:val="24"/>
          <w:lang w:val="en-GB" w:eastAsia="en-GB"/>
          <w14:ligatures w14:val="standardContextual"/>
        </w:rPr>
        <w:t>[3</w:t>
      </w:r>
      <w:r w:rsidR="007E5787">
        <w:rPr>
          <w:rFonts w:ascii="Arial" w:eastAsia="SimSun" w:hAnsi="Arial" w:cs="Arial"/>
          <w:kern w:val="2"/>
          <w:sz w:val="24"/>
          <w:szCs w:val="24"/>
          <w:lang w:val="en-GB" w:eastAsia="en-GB"/>
          <w14:ligatures w14:val="standardContextual"/>
        </w:rPr>
        <w:t>8</w:t>
      </w:r>
      <w:r w:rsidR="00DC0DD7" w:rsidRPr="00DC0DD7">
        <w:rPr>
          <w:rFonts w:ascii="Arial" w:eastAsia="SimSun" w:hAnsi="Arial" w:cs="Arial"/>
          <w:kern w:val="2"/>
          <w:sz w:val="24"/>
          <w:szCs w:val="24"/>
          <w:lang w:val="en-GB" w:eastAsia="en-GB"/>
          <w14:ligatures w14:val="standardContextual"/>
        </w:rPr>
        <w:t>] SGB also raised as a ground of review that Eskom did not comply with its own cluster allocation system. The cluster system set out in the RFP is essentially that a cluster will be allocated to the highest scoring bidder for that cluster, which has not yet been allocated a cluster, and that a second cluster would then be allocated to the highest scoring bidder who has not yet been allocated a second cluster.</w:t>
      </w:r>
    </w:p>
    <w:p w14:paraId="07CDB285" w14:textId="4E71EDE1" w:rsidR="00DC0DD7" w:rsidRPr="00DC0DD7" w:rsidRDefault="002C6564" w:rsidP="008248AF">
      <w:pPr>
        <w:spacing w:after="0" w:line="480" w:lineRule="auto"/>
        <w:jc w:val="both"/>
        <w:rPr>
          <w:rFonts w:ascii="Arial" w:eastAsia="SimSun" w:hAnsi="Arial" w:cs="Arial"/>
          <w:kern w:val="2"/>
          <w:sz w:val="24"/>
          <w:szCs w:val="24"/>
          <w:lang w:val="en-GB" w:eastAsia="en-GB"/>
          <w14:ligatures w14:val="standardContextual"/>
        </w:rPr>
      </w:pPr>
      <w:r>
        <w:rPr>
          <w:rFonts w:ascii="Arial" w:eastAsia="SimSun" w:hAnsi="Arial" w:cs="Arial"/>
          <w:kern w:val="2"/>
          <w:sz w:val="24"/>
          <w:szCs w:val="24"/>
          <w:lang w:val="en-GB" w:eastAsia="en-GB"/>
          <w14:ligatures w14:val="standardContextual"/>
        </w:rPr>
        <w:t>[3</w:t>
      </w:r>
      <w:r w:rsidR="007E5787">
        <w:rPr>
          <w:rFonts w:ascii="Arial" w:eastAsia="SimSun" w:hAnsi="Arial" w:cs="Arial"/>
          <w:kern w:val="2"/>
          <w:sz w:val="24"/>
          <w:szCs w:val="24"/>
          <w:lang w:val="en-GB" w:eastAsia="en-GB"/>
          <w14:ligatures w14:val="standardContextual"/>
        </w:rPr>
        <w:t>9</w:t>
      </w:r>
      <w:r w:rsidR="00DC0DD7" w:rsidRPr="00DC0DD7">
        <w:rPr>
          <w:rFonts w:ascii="Arial" w:eastAsia="SimSun" w:hAnsi="Arial" w:cs="Arial"/>
          <w:kern w:val="2"/>
          <w:sz w:val="24"/>
          <w:szCs w:val="24"/>
          <w:lang w:val="en-GB" w:eastAsia="en-GB"/>
          <w14:ligatures w14:val="standardContextual"/>
        </w:rPr>
        <w:t>] SGB’s contention is that Eskom had to do this mechanically and entirely numerically by cluster, and that Eskom’s failure to do so falls foul of the procedure set out in the RFP. Each cluster, then, had to be looked at in a vacuum, without reference to that bidder’s rating or ranking in other clusters, or any other consideration. As an example, it complains that RSC should have been awarded Cluster 2 and then only another Cluster between 5 and 8, because there were two more bidders who had to be allocated clusters before RSC could be considered again. Instead, RSC was allocated Clusters 2 and 4.</w:t>
      </w:r>
    </w:p>
    <w:p w14:paraId="794649FE" w14:textId="592FE52E" w:rsidR="00DC0DD7" w:rsidRPr="00DC0DD7" w:rsidRDefault="00DC0DD7" w:rsidP="008248AF">
      <w:pPr>
        <w:spacing w:after="0" w:line="480" w:lineRule="auto"/>
        <w:jc w:val="both"/>
        <w:rPr>
          <w:rFonts w:ascii="Arial" w:eastAsia="SimSun" w:hAnsi="Arial" w:cs="Arial"/>
          <w:kern w:val="2"/>
          <w:sz w:val="24"/>
          <w:szCs w:val="24"/>
          <w:lang w:val="en-GB" w:eastAsia="en-GB"/>
          <w14:ligatures w14:val="standardContextual"/>
        </w:rPr>
      </w:pPr>
      <w:r w:rsidRPr="00DC0DD7">
        <w:rPr>
          <w:rFonts w:ascii="Arial" w:eastAsia="SimSun" w:hAnsi="Arial" w:cs="Arial"/>
          <w:kern w:val="2"/>
          <w:sz w:val="24"/>
          <w:szCs w:val="24"/>
          <w:lang w:val="en-GB" w:eastAsia="en-GB"/>
          <w14:ligatures w14:val="standardContextual"/>
        </w:rPr>
        <w:t>[</w:t>
      </w:r>
      <w:r w:rsidR="007E5787">
        <w:rPr>
          <w:rFonts w:ascii="Arial" w:eastAsia="SimSun" w:hAnsi="Arial" w:cs="Arial"/>
          <w:kern w:val="2"/>
          <w:sz w:val="24"/>
          <w:szCs w:val="24"/>
          <w:lang w:val="en-GB" w:eastAsia="en-GB"/>
          <w14:ligatures w14:val="standardContextual"/>
        </w:rPr>
        <w:t>40</w:t>
      </w:r>
      <w:r w:rsidR="002C6564">
        <w:rPr>
          <w:rFonts w:ascii="Arial" w:eastAsia="SimSun" w:hAnsi="Arial" w:cs="Arial"/>
          <w:kern w:val="2"/>
          <w:sz w:val="24"/>
          <w:szCs w:val="24"/>
          <w:lang w:val="en-GB" w:eastAsia="en-GB"/>
          <w14:ligatures w14:val="standardContextual"/>
        </w:rPr>
        <w:t>]</w:t>
      </w:r>
      <w:r w:rsidRPr="00DC0DD7">
        <w:rPr>
          <w:rFonts w:ascii="Arial" w:eastAsia="SimSun" w:hAnsi="Arial" w:cs="Arial"/>
          <w:kern w:val="2"/>
          <w:sz w:val="24"/>
          <w:szCs w:val="24"/>
          <w:lang w:val="en-GB" w:eastAsia="en-GB"/>
          <w14:ligatures w14:val="standardContextual"/>
        </w:rPr>
        <w:t xml:space="preserve"> </w:t>
      </w:r>
      <w:r w:rsidR="00F2536C">
        <w:rPr>
          <w:rFonts w:ascii="Arial" w:eastAsia="SimSun" w:hAnsi="Arial" w:cs="Arial"/>
          <w:kern w:val="2"/>
          <w:sz w:val="24"/>
          <w:szCs w:val="24"/>
          <w:lang w:val="en-GB" w:eastAsia="en-GB"/>
          <w14:ligatures w14:val="standardContextual"/>
        </w:rPr>
        <w:tab/>
      </w:r>
      <w:r w:rsidRPr="00DC0DD7">
        <w:rPr>
          <w:rFonts w:ascii="Arial" w:eastAsia="SimSun" w:hAnsi="Arial" w:cs="Arial"/>
          <w:kern w:val="2"/>
          <w:sz w:val="24"/>
          <w:szCs w:val="24"/>
          <w:lang w:val="en-GB" w:eastAsia="en-GB"/>
          <w14:ligatures w14:val="standardContextual"/>
        </w:rPr>
        <w:t xml:space="preserve">There is no reason to conclude that the method of application, in itself, is inconsistent with the various applicable precepts. Nor is there merit in the contention that the system was not applied in accordance with how it is set out. The Procurement Strategy, for example, specifies that a cluster will be allocated to the highest scoring </w:t>
      </w:r>
      <w:r w:rsidRPr="00DC0DD7">
        <w:rPr>
          <w:rFonts w:ascii="Arial" w:eastAsia="SimSun" w:hAnsi="Arial" w:cs="Arial"/>
          <w:kern w:val="2"/>
          <w:sz w:val="24"/>
          <w:szCs w:val="24"/>
          <w:lang w:val="en-GB" w:eastAsia="en-GB"/>
          <w14:ligatures w14:val="standardContextual"/>
        </w:rPr>
        <w:lastRenderedPageBreak/>
        <w:t>tenderer who has not yet ha</w:t>
      </w:r>
      <w:r w:rsidR="00FE57DE">
        <w:rPr>
          <w:rFonts w:ascii="Arial" w:eastAsia="SimSun" w:hAnsi="Arial" w:cs="Arial"/>
          <w:kern w:val="2"/>
          <w:sz w:val="24"/>
          <w:szCs w:val="24"/>
          <w:lang w:val="en-GB" w:eastAsia="en-GB"/>
          <w14:ligatures w14:val="standardContextual"/>
        </w:rPr>
        <w:t>d</w:t>
      </w:r>
      <w:r w:rsidRPr="00DC0DD7">
        <w:rPr>
          <w:rFonts w:ascii="Arial" w:eastAsia="SimSun" w:hAnsi="Arial" w:cs="Arial"/>
          <w:kern w:val="2"/>
          <w:sz w:val="24"/>
          <w:szCs w:val="24"/>
          <w:lang w:val="en-GB" w:eastAsia="en-GB"/>
          <w14:ligatures w14:val="standardContextual"/>
        </w:rPr>
        <w:t xml:space="preserve"> an allocation. It also specifies that if the tenderer has the highest score in more than one cluster it may choose which cluster it prefers. There is nothing in the Procurement Strategy Document which requires that the clusters would be allocated strictly according to</w:t>
      </w:r>
      <w:r w:rsidR="00FE57DE">
        <w:rPr>
          <w:rFonts w:ascii="Arial" w:eastAsia="SimSun" w:hAnsi="Arial" w:cs="Arial"/>
          <w:kern w:val="2"/>
          <w:sz w:val="24"/>
          <w:szCs w:val="24"/>
          <w:lang w:val="en-GB" w:eastAsia="en-GB"/>
          <w14:ligatures w14:val="standardContextual"/>
        </w:rPr>
        <w:t xml:space="preserve"> an</w:t>
      </w:r>
      <w:r w:rsidRPr="00DC0DD7">
        <w:rPr>
          <w:rFonts w:ascii="Arial" w:eastAsia="SimSun" w:hAnsi="Arial" w:cs="Arial"/>
          <w:kern w:val="2"/>
          <w:sz w:val="24"/>
          <w:szCs w:val="24"/>
          <w:lang w:val="en-GB" w:eastAsia="en-GB"/>
          <w14:ligatures w14:val="standardContextual"/>
        </w:rPr>
        <w:t xml:space="preserve"> [arbitrarily allocated] number. </w:t>
      </w:r>
    </w:p>
    <w:p w14:paraId="18917F86" w14:textId="1D780C06" w:rsidR="00DC0DD7" w:rsidRPr="00DC0DD7" w:rsidRDefault="002C6564" w:rsidP="008248AF">
      <w:pPr>
        <w:spacing w:after="0" w:line="480" w:lineRule="auto"/>
        <w:jc w:val="both"/>
        <w:rPr>
          <w:rFonts w:ascii="Arial" w:eastAsia="SimSun" w:hAnsi="Arial" w:cs="Arial"/>
          <w:kern w:val="2"/>
          <w:sz w:val="24"/>
          <w:szCs w:val="24"/>
          <w:lang w:val="en-GB" w:eastAsia="en-GB"/>
          <w14:ligatures w14:val="standardContextual"/>
        </w:rPr>
      </w:pPr>
      <w:r>
        <w:rPr>
          <w:rFonts w:ascii="Arial" w:eastAsia="SimSun" w:hAnsi="Arial" w:cs="Arial"/>
          <w:kern w:val="2"/>
          <w:sz w:val="24"/>
          <w:szCs w:val="24"/>
          <w:lang w:val="en-GB" w:eastAsia="en-GB"/>
          <w14:ligatures w14:val="standardContextual"/>
        </w:rPr>
        <w:t>[</w:t>
      </w:r>
      <w:r w:rsidR="00EE4469">
        <w:rPr>
          <w:rFonts w:ascii="Arial" w:eastAsia="SimSun" w:hAnsi="Arial" w:cs="Arial"/>
          <w:kern w:val="2"/>
          <w:sz w:val="24"/>
          <w:szCs w:val="24"/>
          <w:lang w:val="en-GB" w:eastAsia="en-GB"/>
          <w14:ligatures w14:val="standardContextual"/>
        </w:rPr>
        <w:t>41</w:t>
      </w:r>
      <w:r>
        <w:rPr>
          <w:rFonts w:ascii="Arial" w:eastAsia="SimSun" w:hAnsi="Arial" w:cs="Arial"/>
          <w:kern w:val="2"/>
          <w:sz w:val="24"/>
          <w:szCs w:val="24"/>
          <w:lang w:val="en-GB" w:eastAsia="en-GB"/>
          <w14:ligatures w14:val="standardContextual"/>
        </w:rPr>
        <w:t>]</w:t>
      </w:r>
      <w:r w:rsidR="00F2536C">
        <w:rPr>
          <w:rFonts w:ascii="Arial" w:eastAsia="SimSun" w:hAnsi="Arial" w:cs="Arial"/>
          <w:kern w:val="2"/>
          <w:sz w:val="24"/>
          <w:szCs w:val="24"/>
          <w:lang w:val="en-GB" w:eastAsia="en-GB"/>
          <w14:ligatures w14:val="standardContextual"/>
        </w:rPr>
        <w:tab/>
      </w:r>
      <w:r w:rsidR="00DC0DD7" w:rsidRPr="00DC0DD7">
        <w:rPr>
          <w:rFonts w:ascii="Arial" w:eastAsia="SimSun" w:hAnsi="Arial" w:cs="Arial"/>
          <w:kern w:val="2"/>
          <w:sz w:val="24"/>
          <w:szCs w:val="24"/>
          <w:lang w:val="en-GB" w:eastAsia="en-GB"/>
          <w14:ligatures w14:val="standardContextual"/>
        </w:rPr>
        <w:t xml:space="preserve"> The method of application contended for by SGB is, in any case, in our view, overly mechanical, and may well deprive Eskom of the ability to ensure that it has achieved the cluster allocation that is most equitable, fair, competitive and cost-effective, within the parameters of the ITT and the RFP. It has the potential of resulting in an arbitrary allocation which does not serve the objectives of regulatory framework, because it does not allow Eskom to look at the overall result when making its decision. In fact, it is possibly this interpretation of how the cluster allocation system ought to be applied which led to some of SGB’s submissions on why the cluster allocation system was invalid.</w:t>
      </w:r>
    </w:p>
    <w:p w14:paraId="20D60109" w14:textId="6CBE3CD0" w:rsidR="00DC0DD7" w:rsidRPr="00DC0DD7" w:rsidRDefault="0064653C" w:rsidP="008248AF">
      <w:pPr>
        <w:spacing w:after="0" w:line="480" w:lineRule="auto"/>
        <w:jc w:val="both"/>
        <w:rPr>
          <w:rFonts w:ascii="Arial" w:eastAsia="SimSun" w:hAnsi="Arial" w:cs="Arial"/>
          <w:kern w:val="2"/>
          <w:sz w:val="24"/>
          <w:szCs w:val="24"/>
          <w:lang w:val="en-GB" w:eastAsia="en-GB"/>
          <w14:ligatures w14:val="standardContextual"/>
        </w:rPr>
      </w:pPr>
      <w:r>
        <w:rPr>
          <w:rFonts w:ascii="Arial" w:eastAsia="SimSun" w:hAnsi="Arial" w:cs="Arial"/>
          <w:kern w:val="2"/>
          <w:sz w:val="24"/>
          <w:szCs w:val="24"/>
          <w:lang w:val="en-GB" w:eastAsia="en-GB"/>
          <w14:ligatures w14:val="standardContextual"/>
        </w:rPr>
        <w:t>[4</w:t>
      </w:r>
      <w:r w:rsidR="00EE4469">
        <w:rPr>
          <w:rFonts w:ascii="Arial" w:eastAsia="SimSun" w:hAnsi="Arial" w:cs="Arial"/>
          <w:kern w:val="2"/>
          <w:sz w:val="24"/>
          <w:szCs w:val="24"/>
          <w:lang w:val="en-GB" w:eastAsia="en-GB"/>
          <w14:ligatures w14:val="standardContextual"/>
        </w:rPr>
        <w:t>2</w:t>
      </w:r>
      <w:r w:rsidR="00DC0DD7" w:rsidRPr="00DC0DD7">
        <w:rPr>
          <w:rFonts w:ascii="Arial" w:eastAsia="SimSun" w:hAnsi="Arial" w:cs="Arial"/>
          <w:kern w:val="2"/>
          <w:sz w:val="24"/>
          <w:szCs w:val="24"/>
          <w:lang w:val="en-GB" w:eastAsia="en-GB"/>
          <w14:ligatures w14:val="standardContextual"/>
        </w:rPr>
        <w:t xml:space="preserve">] </w:t>
      </w:r>
      <w:r w:rsidR="00F2536C">
        <w:rPr>
          <w:rFonts w:ascii="Arial" w:eastAsia="SimSun" w:hAnsi="Arial" w:cs="Arial"/>
          <w:kern w:val="2"/>
          <w:sz w:val="24"/>
          <w:szCs w:val="24"/>
          <w:lang w:val="en-GB" w:eastAsia="en-GB"/>
          <w14:ligatures w14:val="standardContextual"/>
        </w:rPr>
        <w:tab/>
      </w:r>
      <w:r w:rsidR="00DC0DD7" w:rsidRPr="00DC0DD7">
        <w:rPr>
          <w:rFonts w:ascii="Arial" w:eastAsia="SimSun" w:hAnsi="Arial" w:cs="Arial"/>
          <w:kern w:val="2"/>
          <w:sz w:val="24"/>
          <w:szCs w:val="24"/>
          <w:lang w:val="en-GB" w:eastAsia="en-GB"/>
          <w14:ligatures w14:val="standardContextual"/>
        </w:rPr>
        <w:t>We are satisfied that there is no merit in this ground of review.</w:t>
      </w:r>
    </w:p>
    <w:p w14:paraId="490C0A1A" w14:textId="2FE42029" w:rsidR="00DC0DD7" w:rsidRPr="00DC0DD7" w:rsidRDefault="00DC0DD7" w:rsidP="00DC0DD7">
      <w:pPr>
        <w:spacing w:after="0" w:line="480" w:lineRule="auto"/>
        <w:jc w:val="both"/>
        <w:rPr>
          <w:rFonts w:ascii="Arial" w:eastAsia="SimSun" w:hAnsi="Arial" w:cs="Arial"/>
          <w:kern w:val="2"/>
          <w:sz w:val="24"/>
          <w:szCs w:val="24"/>
          <w:lang w:val="en-GB" w:eastAsia="en-GB"/>
          <w14:ligatures w14:val="standardContextual"/>
        </w:rPr>
      </w:pPr>
      <w:r w:rsidRPr="00DC0DD7">
        <w:rPr>
          <w:rFonts w:ascii="Arial" w:eastAsia="SimSun" w:hAnsi="Arial" w:cs="Arial"/>
          <w:kern w:val="2"/>
          <w:sz w:val="24"/>
          <w:szCs w:val="24"/>
          <w:lang w:val="en-GB" w:eastAsia="en-GB"/>
          <w14:ligatures w14:val="standardContextual"/>
        </w:rPr>
        <w:t>[</w:t>
      </w:r>
      <w:r w:rsidR="0064653C">
        <w:rPr>
          <w:rFonts w:ascii="Arial" w:eastAsia="SimSun" w:hAnsi="Arial" w:cs="Arial"/>
          <w:kern w:val="2"/>
          <w:sz w:val="24"/>
          <w:szCs w:val="24"/>
          <w:lang w:val="en-GB" w:eastAsia="en-GB"/>
          <w14:ligatures w14:val="standardContextual"/>
        </w:rPr>
        <w:t>4</w:t>
      </w:r>
      <w:r w:rsidR="00EE4469">
        <w:rPr>
          <w:rFonts w:ascii="Arial" w:eastAsia="SimSun" w:hAnsi="Arial" w:cs="Arial"/>
          <w:kern w:val="2"/>
          <w:sz w:val="24"/>
          <w:szCs w:val="24"/>
          <w:lang w:val="en-GB" w:eastAsia="en-GB"/>
          <w14:ligatures w14:val="standardContextual"/>
        </w:rPr>
        <w:t>3</w:t>
      </w:r>
      <w:r w:rsidRPr="00DC0DD7">
        <w:rPr>
          <w:rFonts w:ascii="Arial" w:eastAsia="SimSun" w:hAnsi="Arial" w:cs="Arial"/>
          <w:kern w:val="2"/>
          <w:sz w:val="24"/>
          <w:szCs w:val="24"/>
          <w:lang w:val="en-GB" w:eastAsia="en-GB"/>
          <w14:ligatures w14:val="standardContextual"/>
        </w:rPr>
        <w:t>]</w:t>
      </w:r>
      <w:r w:rsidRPr="00DC0DD7">
        <w:rPr>
          <w:rFonts w:ascii="Arial" w:eastAsia="SimSun" w:hAnsi="Arial" w:cs="Arial"/>
          <w:kern w:val="2"/>
          <w:sz w:val="24"/>
          <w:szCs w:val="24"/>
          <w:lang w:val="en-GB" w:eastAsia="en-GB"/>
          <w14:ligatures w14:val="standardContextual"/>
        </w:rPr>
        <w:tab/>
        <w:t xml:space="preserve">Both SGB and Southey argued that Eskom allocated the tenders on the basis that it subjectively believed those who were granted the tenders could do the work, without objectively complying with the functionality and capacity test. There were various red flags raised in Eskom’s financial assessment of these tenderers, showing that the awards to them should be much lower because of their lack of financial capacity. The award to them was therefore neither rational </w:t>
      </w:r>
      <w:r w:rsidR="00991255" w:rsidRPr="00DC0DD7">
        <w:rPr>
          <w:rFonts w:ascii="Arial" w:eastAsia="SimSun" w:hAnsi="Arial" w:cs="Arial"/>
          <w:kern w:val="2"/>
          <w:sz w:val="24"/>
          <w:szCs w:val="24"/>
          <w:lang w:val="en-GB" w:eastAsia="en-GB"/>
          <w14:ligatures w14:val="standardContextual"/>
        </w:rPr>
        <w:t>nor</w:t>
      </w:r>
      <w:r w:rsidRPr="00DC0DD7">
        <w:rPr>
          <w:rFonts w:ascii="Arial" w:eastAsia="SimSun" w:hAnsi="Arial" w:cs="Arial"/>
          <w:kern w:val="2"/>
          <w:sz w:val="24"/>
          <w:szCs w:val="24"/>
          <w:lang w:val="en-GB" w:eastAsia="en-GB"/>
          <w14:ligatures w14:val="standardContextual"/>
        </w:rPr>
        <w:t xml:space="preserve"> lawful. SGB contends that the court </w:t>
      </w:r>
      <w:r w:rsidRPr="00DC0DD7">
        <w:rPr>
          <w:rFonts w:ascii="Arial" w:eastAsia="SimSun" w:hAnsi="Arial" w:cs="Arial"/>
          <w:i/>
          <w:kern w:val="2"/>
          <w:sz w:val="24"/>
          <w:szCs w:val="24"/>
          <w:lang w:val="en-GB" w:eastAsia="en-GB"/>
          <w14:ligatures w14:val="standardContextual"/>
        </w:rPr>
        <w:t xml:space="preserve">a quo </w:t>
      </w:r>
      <w:r w:rsidRPr="00DC0DD7">
        <w:rPr>
          <w:rFonts w:ascii="Arial" w:eastAsia="SimSun" w:hAnsi="Arial" w:cs="Arial"/>
          <w:kern w:val="2"/>
          <w:sz w:val="24"/>
          <w:szCs w:val="24"/>
          <w:lang w:val="en-GB" w:eastAsia="en-GB"/>
          <w14:ligatures w14:val="standardContextual"/>
        </w:rPr>
        <w:t>erred in finding that Eskom satisfied itself that the two tenderers have the necessary financial capabilities.</w:t>
      </w:r>
    </w:p>
    <w:p w14:paraId="6DEC59B7" w14:textId="77777777" w:rsidR="00DC0DD7" w:rsidRPr="00DC0DD7" w:rsidRDefault="00DC0DD7" w:rsidP="00DC0DD7">
      <w:pPr>
        <w:spacing w:after="0" w:line="480" w:lineRule="auto"/>
        <w:jc w:val="both"/>
        <w:rPr>
          <w:rFonts w:ascii="Arial" w:eastAsia="SimSun" w:hAnsi="Arial" w:cs="Arial"/>
          <w:kern w:val="2"/>
          <w:sz w:val="24"/>
          <w:szCs w:val="24"/>
          <w:lang w:val="en-GB" w:eastAsia="en-GB"/>
          <w14:ligatures w14:val="standardContextual"/>
        </w:rPr>
      </w:pPr>
    </w:p>
    <w:p w14:paraId="1F3AAC41" w14:textId="77777777" w:rsidR="00DC0DD7" w:rsidRPr="00DC0DD7" w:rsidRDefault="00DC0DD7" w:rsidP="00DC0DD7">
      <w:pPr>
        <w:spacing w:after="0" w:line="480" w:lineRule="auto"/>
        <w:jc w:val="both"/>
        <w:rPr>
          <w:rFonts w:ascii="Arial" w:eastAsia="SimSun" w:hAnsi="Arial" w:cs="Arial"/>
          <w:kern w:val="2"/>
          <w:sz w:val="24"/>
          <w:szCs w:val="24"/>
          <w:lang w:val="en-GB" w:eastAsia="en-GB"/>
          <w14:ligatures w14:val="standardContextual"/>
        </w:rPr>
      </w:pPr>
    </w:p>
    <w:p w14:paraId="28EF0D4F" w14:textId="103E4AD6" w:rsidR="00DC0DD7" w:rsidRPr="00DC0DD7" w:rsidRDefault="00DC0DD7" w:rsidP="00DC0DD7">
      <w:pPr>
        <w:spacing w:after="0" w:line="480" w:lineRule="auto"/>
        <w:jc w:val="both"/>
        <w:rPr>
          <w:rFonts w:ascii="Arial" w:eastAsia="SimSun" w:hAnsi="Arial" w:cs="Arial"/>
          <w:kern w:val="2"/>
          <w:sz w:val="24"/>
          <w:szCs w:val="24"/>
          <w:lang w:val="en-GB" w:eastAsia="en-GB"/>
          <w14:ligatures w14:val="standardContextual"/>
        </w:rPr>
      </w:pPr>
      <w:r w:rsidRPr="00DC0DD7">
        <w:rPr>
          <w:rFonts w:ascii="Arial" w:eastAsia="SimSun" w:hAnsi="Arial" w:cs="Arial"/>
          <w:kern w:val="2"/>
          <w:sz w:val="24"/>
          <w:szCs w:val="24"/>
          <w:lang w:val="en-GB" w:eastAsia="en-GB"/>
          <w14:ligatures w14:val="standardContextual"/>
        </w:rPr>
        <w:lastRenderedPageBreak/>
        <w:t>[</w:t>
      </w:r>
      <w:r w:rsidR="0064653C">
        <w:rPr>
          <w:rFonts w:ascii="Arial" w:eastAsia="SimSun" w:hAnsi="Arial" w:cs="Arial"/>
          <w:kern w:val="2"/>
          <w:sz w:val="24"/>
          <w:szCs w:val="24"/>
          <w:lang w:val="en-GB" w:eastAsia="en-GB"/>
          <w14:ligatures w14:val="standardContextual"/>
        </w:rPr>
        <w:t>4</w:t>
      </w:r>
      <w:r w:rsidR="00EE4469">
        <w:rPr>
          <w:rFonts w:ascii="Arial" w:eastAsia="SimSun" w:hAnsi="Arial" w:cs="Arial"/>
          <w:kern w:val="2"/>
          <w:sz w:val="24"/>
          <w:szCs w:val="24"/>
          <w:lang w:val="en-GB" w:eastAsia="en-GB"/>
          <w14:ligatures w14:val="standardContextual"/>
        </w:rPr>
        <w:t>4</w:t>
      </w:r>
      <w:r w:rsidRPr="00DC0DD7">
        <w:rPr>
          <w:rFonts w:ascii="Arial" w:eastAsia="SimSun" w:hAnsi="Arial" w:cs="Arial"/>
          <w:kern w:val="2"/>
          <w:sz w:val="24"/>
          <w:szCs w:val="24"/>
          <w:lang w:val="en-GB" w:eastAsia="en-GB"/>
          <w14:ligatures w14:val="standardContextual"/>
        </w:rPr>
        <w:t>]</w:t>
      </w:r>
      <w:r w:rsidRPr="00DC0DD7">
        <w:rPr>
          <w:rFonts w:ascii="Arial" w:eastAsia="SimSun" w:hAnsi="Arial" w:cs="Arial"/>
          <w:kern w:val="2"/>
          <w:sz w:val="24"/>
          <w:szCs w:val="24"/>
          <w:lang w:val="en-GB" w:eastAsia="en-GB"/>
          <w14:ligatures w14:val="standardContextual"/>
        </w:rPr>
        <w:tab/>
        <w:t xml:space="preserve">Eskom satisfactorily demonstrated that it required mitigating measures of these tenderers as a result of the financial analyses and examined the specific capability of each tenderer to carry out the exact services that were being tendered for, before being satisfied that the tenderers would be able to do the work required and deciding that they qualified for the tenders.  SGB’s argument ignores the holistic approach taken by Eskom in assuring functional capacity, as well as the mitigating measures required. There is no merit in this </w:t>
      </w:r>
      <w:r w:rsidR="00991255" w:rsidRPr="00DC0DD7">
        <w:rPr>
          <w:rFonts w:ascii="Arial" w:eastAsia="SimSun" w:hAnsi="Arial" w:cs="Arial"/>
          <w:kern w:val="2"/>
          <w:sz w:val="24"/>
          <w:szCs w:val="24"/>
          <w:lang w:val="en-GB" w:eastAsia="en-GB"/>
          <w14:ligatures w14:val="standardContextual"/>
        </w:rPr>
        <w:t>ground,</w:t>
      </w:r>
      <w:r w:rsidRPr="00DC0DD7">
        <w:rPr>
          <w:rFonts w:ascii="Arial" w:eastAsia="SimSun" w:hAnsi="Arial" w:cs="Arial"/>
          <w:kern w:val="2"/>
          <w:sz w:val="24"/>
          <w:szCs w:val="24"/>
          <w:lang w:val="en-GB" w:eastAsia="en-GB"/>
          <w14:ligatures w14:val="standardContextual"/>
        </w:rPr>
        <w:t xml:space="preserve"> and it also fails.</w:t>
      </w:r>
    </w:p>
    <w:p w14:paraId="54358C50" w14:textId="4529B980" w:rsidR="00DC0DD7" w:rsidRPr="00DC0DD7" w:rsidRDefault="00DC0DD7" w:rsidP="00DC0DD7">
      <w:pPr>
        <w:spacing w:after="0" w:line="480" w:lineRule="auto"/>
        <w:jc w:val="both"/>
        <w:rPr>
          <w:rFonts w:ascii="Arial" w:eastAsia="SimSun" w:hAnsi="Arial" w:cs="SimSun"/>
          <w:kern w:val="2"/>
          <w:sz w:val="24"/>
          <w:lang w:val="en-US" w:eastAsia="en-GB"/>
          <w14:ligatures w14:val="standardContextual"/>
        </w:rPr>
      </w:pPr>
      <w:r w:rsidRPr="00DC0DD7">
        <w:rPr>
          <w:rFonts w:ascii="Arial" w:eastAsia="SimSun" w:hAnsi="Arial" w:cs="SimSun"/>
          <w:kern w:val="2"/>
          <w:sz w:val="24"/>
          <w:lang w:val="en-US" w:eastAsia="en-GB"/>
          <w14:ligatures w14:val="standardContextual"/>
        </w:rPr>
        <w:t>[</w:t>
      </w:r>
      <w:r w:rsidR="0064653C">
        <w:rPr>
          <w:rFonts w:ascii="Arial" w:eastAsia="SimSun" w:hAnsi="Arial" w:cs="SimSun"/>
          <w:kern w:val="2"/>
          <w:sz w:val="24"/>
          <w:lang w:val="en-US" w:eastAsia="en-GB"/>
          <w14:ligatures w14:val="standardContextual"/>
        </w:rPr>
        <w:t>4</w:t>
      </w:r>
      <w:r w:rsidR="00EE4469">
        <w:rPr>
          <w:rFonts w:ascii="Arial" w:eastAsia="SimSun" w:hAnsi="Arial" w:cs="SimSun"/>
          <w:kern w:val="2"/>
          <w:sz w:val="24"/>
          <w:lang w:val="en-US" w:eastAsia="en-GB"/>
          <w14:ligatures w14:val="standardContextual"/>
        </w:rPr>
        <w:t>5</w:t>
      </w:r>
      <w:r w:rsidRPr="00DC0DD7">
        <w:rPr>
          <w:rFonts w:ascii="Arial" w:eastAsia="SimSun" w:hAnsi="Arial" w:cs="SimSun"/>
          <w:kern w:val="2"/>
          <w:sz w:val="24"/>
          <w:lang w:val="en-US" w:eastAsia="en-GB"/>
          <w14:ligatures w14:val="standardContextual"/>
        </w:rPr>
        <w:t xml:space="preserve">] </w:t>
      </w:r>
      <w:r w:rsidR="00F2536C">
        <w:rPr>
          <w:rFonts w:ascii="Arial" w:eastAsia="SimSun" w:hAnsi="Arial" w:cs="SimSun"/>
          <w:kern w:val="2"/>
          <w:sz w:val="24"/>
          <w:lang w:val="en-US" w:eastAsia="en-GB"/>
          <w14:ligatures w14:val="standardContextual"/>
        </w:rPr>
        <w:tab/>
        <w:t>A</w:t>
      </w:r>
      <w:r w:rsidRPr="00DC0DD7">
        <w:rPr>
          <w:rFonts w:ascii="Arial" w:eastAsia="SimSun" w:hAnsi="Arial" w:cs="SimSun"/>
          <w:kern w:val="2"/>
          <w:sz w:val="24"/>
          <w:lang w:val="en-US" w:eastAsia="en-GB"/>
          <w14:ligatures w14:val="standardContextual"/>
        </w:rPr>
        <w:t xml:space="preserve"> further ground relied on by SGB is that the contracts exceed the values which the successful tenderers qualify for in terms of their CIDB grading. </w:t>
      </w:r>
    </w:p>
    <w:p w14:paraId="2554C017" w14:textId="217214C1" w:rsidR="00DC0DD7" w:rsidRPr="00DC0DD7" w:rsidRDefault="00DC0DD7" w:rsidP="00DC0DD7">
      <w:pPr>
        <w:spacing w:after="0" w:line="480" w:lineRule="auto"/>
        <w:jc w:val="both"/>
        <w:rPr>
          <w:rFonts w:ascii="Arial" w:eastAsia="SimSun" w:hAnsi="Arial" w:cs="SimSun"/>
          <w:kern w:val="2"/>
          <w:sz w:val="24"/>
          <w:lang w:val="en-US" w:eastAsia="en-GB"/>
          <w14:ligatures w14:val="standardContextual"/>
        </w:rPr>
      </w:pPr>
      <w:r w:rsidRPr="00DC0DD7">
        <w:rPr>
          <w:rFonts w:ascii="Arial" w:eastAsia="SimSun" w:hAnsi="Arial" w:cs="SimSun"/>
          <w:kern w:val="2"/>
          <w:sz w:val="24"/>
          <w:lang w:val="en-US" w:eastAsia="en-GB"/>
          <w14:ligatures w14:val="standardContextual"/>
        </w:rPr>
        <w:t>[</w:t>
      </w:r>
      <w:r w:rsidR="0064653C">
        <w:rPr>
          <w:rFonts w:ascii="Arial" w:eastAsia="SimSun" w:hAnsi="Arial" w:cs="SimSun"/>
          <w:kern w:val="2"/>
          <w:sz w:val="24"/>
          <w:lang w:val="en-US" w:eastAsia="en-GB"/>
          <w14:ligatures w14:val="standardContextual"/>
        </w:rPr>
        <w:t>4</w:t>
      </w:r>
      <w:r w:rsidR="00EE4469">
        <w:rPr>
          <w:rFonts w:ascii="Arial" w:eastAsia="SimSun" w:hAnsi="Arial" w:cs="SimSun"/>
          <w:kern w:val="2"/>
          <w:sz w:val="24"/>
          <w:lang w:val="en-US" w:eastAsia="en-GB"/>
          <w14:ligatures w14:val="standardContextual"/>
        </w:rPr>
        <w:t>6</w:t>
      </w:r>
      <w:r w:rsidR="0064653C">
        <w:rPr>
          <w:rFonts w:ascii="Arial" w:eastAsia="SimSun" w:hAnsi="Arial" w:cs="SimSun"/>
          <w:kern w:val="2"/>
          <w:sz w:val="24"/>
          <w:lang w:val="en-US" w:eastAsia="en-GB"/>
          <w14:ligatures w14:val="standardContextual"/>
        </w:rPr>
        <w:t xml:space="preserve">] </w:t>
      </w:r>
      <w:r w:rsidR="00F2536C">
        <w:rPr>
          <w:rFonts w:ascii="Arial" w:eastAsia="SimSun" w:hAnsi="Arial" w:cs="SimSun"/>
          <w:kern w:val="2"/>
          <w:sz w:val="24"/>
          <w:lang w:val="en-US" w:eastAsia="en-GB"/>
          <w14:ligatures w14:val="standardContextual"/>
        </w:rPr>
        <w:tab/>
      </w:r>
      <w:r w:rsidR="0064653C">
        <w:rPr>
          <w:rFonts w:ascii="Arial" w:eastAsia="SimSun" w:hAnsi="Arial" w:cs="SimSun"/>
          <w:kern w:val="2"/>
          <w:sz w:val="24"/>
          <w:lang w:val="en-US" w:eastAsia="en-GB"/>
          <w14:ligatures w14:val="standardContextual"/>
        </w:rPr>
        <w:t>W</w:t>
      </w:r>
      <w:r w:rsidRPr="00DC0DD7">
        <w:rPr>
          <w:rFonts w:ascii="Arial" w:eastAsia="SimSun" w:hAnsi="Arial" w:cs="SimSun"/>
          <w:kern w:val="2"/>
          <w:sz w:val="24"/>
          <w:lang w:val="en-US" w:eastAsia="en-GB"/>
          <w14:ligatures w14:val="standardContextual"/>
        </w:rPr>
        <w:t>e are satisfied that SGB’s contention is based on a mischaracterization of the contracts and on a misreading of the relevant CIDB regulations. Eskom has demonstrated that the contracts are for work that is of an “as and when required” [outages] or “routine” [maintenance] nature. Eskom was therefore entitled to rely on regulation 25(1B), which permits the annual values of the contracts to be used as the determining factor, rather than the full value. The contracts do not exceed the annual values for which the contractors qualify. There is therefore no merit in this ground.</w:t>
      </w:r>
    </w:p>
    <w:p w14:paraId="69CFED97" w14:textId="600CA52F" w:rsidR="005013C5" w:rsidRDefault="00DC0DD7" w:rsidP="005013C5">
      <w:pPr>
        <w:spacing w:after="0" w:line="480" w:lineRule="auto"/>
        <w:ind w:firstLine="720"/>
        <w:jc w:val="both"/>
        <w:rPr>
          <w:rFonts w:ascii="Arial" w:hAnsi="Arial" w:cs="Arial"/>
          <w:sz w:val="24"/>
          <w:szCs w:val="24"/>
          <w:lang w:val="en-GB"/>
        </w:rPr>
      </w:pPr>
      <w:r>
        <w:rPr>
          <w:rFonts w:ascii="Arial" w:hAnsi="Arial" w:cs="Arial"/>
          <w:sz w:val="24"/>
          <w:szCs w:val="24"/>
          <w:lang w:val="en-GB"/>
        </w:rPr>
        <w:t xml:space="preserve"> </w:t>
      </w:r>
    </w:p>
    <w:p w14:paraId="4B90FD32" w14:textId="3686AD25" w:rsidR="007422B9" w:rsidRPr="007422B9" w:rsidRDefault="007422B9" w:rsidP="008D7A84">
      <w:pPr>
        <w:spacing w:after="0" w:line="480" w:lineRule="auto"/>
        <w:jc w:val="both"/>
        <w:rPr>
          <w:rFonts w:ascii="Arial" w:hAnsi="Arial" w:cs="Arial"/>
          <w:sz w:val="24"/>
          <w:szCs w:val="24"/>
          <w:u w:val="single"/>
          <w:lang w:val="en-GB"/>
        </w:rPr>
      </w:pPr>
      <w:r w:rsidRPr="007422B9">
        <w:rPr>
          <w:rFonts w:ascii="Arial" w:hAnsi="Arial" w:cs="Arial"/>
          <w:sz w:val="24"/>
          <w:szCs w:val="24"/>
          <w:u w:val="single"/>
          <w:lang w:val="en-GB"/>
        </w:rPr>
        <w:t>Southey</w:t>
      </w:r>
      <w:r w:rsidR="006610AC">
        <w:rPr>
          <w:rFonts w:ascii="Arial" w:hAnsi="Arial" w:cs="Arial"/>
          <w:sz w:val="24"/>
          <w:szCs w:val="24"/>
          <w:u w:val="single"/>
          <w:lang w:val="en-GB"/>
        </w:rPr>
        <w:t xml:space="preserve">’s contention of a </w:t>
      </w:r>
      <w:r w:rsidR="001534C3">
        <w:rPr>
          <w:rFonts w:ascii="Arial" w:hAnsi="Arial" w:cs="Arial"/>
          <w:sz w:val="24"/>
          <w:szCs w:val="24"/>
          <w:u w:val="single"/>
          <w:lang w:val="en-GB"/>
        </w:rPr>
        <w:t>simulated contract</w:t>
      </w:r>
    </w:p>
    <w:p w14:paraId="0A50B042" w14:textId="151ACA42" w:rsidR="00CB0485" w:rsidRDefault="000D41F1" w:rsidP="008D7A84">
      <w:pPr>
        <w:spacing w:after="0" w:line="480" w:lineRule="auto"/>
        <w:jc w:val="both"/>
        <w:rPr>
          <w:rFonts w:ascii="Arial" w:hAnsi="Arial" w:cs="Arial"/>
          <w:color w:val="000000" w:themeColor="text1"/>
          <w:sz w:val="24"/>
          <w:szCs w:val="24"/>
          <w:lang w:val="en-GB"/>
        </w:rPr>
      </w:pPr>
      <w:r w:rsidRPr="000D41F1">
        <w:rPr>
          <w:rFonts w:ascii="Arial" w:hAnsi="Arial" w:cs="Arial"/>
          <w:sz w:val="24"/>
          <w:szCs w:val="24"/>
          <w:lang w:val="en-GB"/>
        </w:rPr>
        <w:t>[</w:t>
      </w:r>
      <w:r w:rsidR="00CA5776">
        <w:rPr>
          <w:rFonts w:ascii="Arial" w:hAnsi="Arial" w:cs="Arial"/>
          <w:sz w:val="24"/>
          <w:szCs w:val="24"/>
          <w:lang w:val="en-GB"/>
        </w:rPr>
        <w:t>4</w:t>
      </w:r>
      <w:r w:rsidR="00EE4469">
        <w:rPr>
          <w:rFonts w:ascii="Arial" w:hAnsi="Arial" w:cs="Arial"/>
          <w:sz w:val="24"/>
          <w:szCs w:val="24"/>
          <w:lang w:val="en-GB"/>
        </w:rPr>
        <w:t>7</w:t>
      </w:r>
      <w:r w:rsidRPr="000D41F1">
        <w:rPr>
          <w:rFonts w:ascii="Arial" w:hAnsi="Arial" w:cs="Arial"/>
          <w:sz w:val="24"/>
          <w:szCs w:val="24"/>
          <w:lang w:val="en-GB"/>
        </w:rPr>
        <w:t>]</w:t>
      </w:r>
      <w:r w:rsidRPr="000D41F1">
        <w:rPr>
          <w:rFonts w:ascii="Arial" w:hAnsi="Arial" w:cs="Arial"/>
          <w:sz w:val="24"/>
          <w:szCs w:val="24"/>
          <w:lang w:val="en-GB"/>
        </w:rPr>
        <w:tab/>
      </w:r>
      <w:r w:rsidR="006610AC">
        <w:rPr>
          <w:rFonts w:ascii="Arial" w:hAnsi="Arial" w:cs="Arial"/>
          <w:sz w:val="24"/>
          <w:szCs w:val="24"/>
          <w:lang w:val="en-GB"/>
        </w:rPr>
        <w:t>Southey’s most vociferously argued</w:t>
      </w:r>
      <w:r w:rsidR="006610AC" w:rsidRPr="000D41F1">
        <w:rPr>
          <w:rFonts w:ascii="Arial" w:hAnsi="Arial" w:cs="Arial"/>
          <w:sz w:val="24"/>
          <w:szCs w:val="24"/>
          <w:lang w:val="en-GB"/>
        </w:rPr>
        <w:t xml:space="preserve"> </w:t>
      </w:r>
      <w:r w:rsidRPr="000D41F1">
        <w:rPr>
          <w:rFonts w:ascii="Arial" w:hAnsi="Arial" w:cs="Arial"/>
          <w:sz w:val="24"/>
          <w:szCs w:val="24"/>
          <w:lang w:val="en-GB"/>
        </w:rPr>
        <w:t>ground was that the contracts between Eskom and the successful tenderers were simulated transactions. Southey argued that the contracts between Eskom and the successful tenderers were simulated transactions, disguised to evade statutory prohibitions under the CIDB and its regulations.</w:t>
      </w:r>
      <w:r w:rsidR="005C4031">
        <w:rPr>
          <w:rFonts w:ascii="Arial" w:hAnsi="Arial" w:cs="Arial"/>
          <w:sz w:val="24"/>
          <w:szCs w:val="24"/>
          <w:lang w:val="en-GB"/>
        </w:rPr>
        <w:t xml:space="preserve"> </w:t>
      </w:r>
      <w:r w:rsidR="005C4031" w:rsidRPr="00EC1EB2">
        <w:rPr>
          <w:rFonts w:ascii="Arial" w:hAnsi="Arial" w:cs="Arial"/>
          <w:color w:val="000000" w:themeColor="text1"/>
          <w:sz w:val="24"/>
          <w:szCs w:val="24"/>
          <w:lang w:val="en-GB"/>
        </w:rPr>
        <w:t xml:space="preserve">It was argued that Eskom took a </w:t>
      </w:r>
      <w:r w:rsidR="008F2C5F" w:rsidRPr="00EC1EB2">
        <w:rPr>
          <w:rFonts w:ascii="Arial" w:hAnsi="Arial" w:cs="Arial"/>
          <w:color w:val="000000" w:themeColor="text1"/>
          <w:sz w:val="24"/>
          <w:szCs w:val="24"/>
          <w:lang w:val="en-GB"/>
        </w:rPr>
        <w:t>price-based</w:t>
      </w:r>
      <w:r w:rsidR="005C4031" w:rsidRPr="00EC1EB2">
        <w:rPr>
          <w:rFonts w:ascii="Arial" w:hAnsi="Arial" w:cs="Arial"/>
          <w:color w:val="000000" w:themeColor="text1"/>
          <w:sz w:val="24"/>
          <w:szCs w:val="24"/>
          <w:lang w:val="en-GB"/>
        </w:rPr>
        <w:t xml:space="preserve"> contract, didn’t change anything, and </w:t>
      </w:r>
      <w:r w:rsidR="00B8738D">
        <w:rPr>
          <w:rFonts w:ascii="Arial" w:hAnsi="Arial" w:cs="Arial"/>
          <w:color w:val="000000" w:themeColor="text1"/>
          <w:sz w:val="24"/>
          <w:szCs w:val="24"/>
          <w:lang w:val="en-GB"/>
        </w:rPr>
        <w:t xml:space="preserve">simply </w:t>
      </w:r>
      <w:r w:rsidR="005C4031" w:rsidRPr="00EC1EB2">
        <w:rPr>
          <w:rFonts w:ascii="Arial" w:hAnsi="Arial" w:cs="Arial"/>
          <w:color w:val="000000" w:themeColor="text1"/>
          <w:sz w:val="24"/>
          <w:szCs w:val="24"/>
          <w:lang w:val="en-GB"/>
        </w:rPr>
        <w:t>stated</w:t>
      </w:r>
      <w:r w:rsidR="00B8738D">
        <w:rPr>
          <w:rFonts w:ascii="Arial" w:hAnsi="Arial" w:cs="Arial"/>
          <w:color w:val="000000" w:themeColor="text1"/>
          <w:sz w:val="24"/>
          <w:szCs w:val="24"/>
          <w:lang w:val="en-GB"/>
        </w:rPr>
        <w:t xml:space="preserve"> that</w:t>
      </w:r>
      <w:r w:rsidR="005C4031" w:rsidRPr="00EC1EB2">
        <w:rPr>
          <w:rFonts w:ascii="Arial" w:hAnsi="Arial" w:cs="Arial"/>
          <w:color w:val="000000" w:themeColor="text1"/>
          <w:sz w:val="24"/>
          <w:szCs w:val="24"/>
          <w:lang w:val="en-GB"/>
        </w:rPr>
        <w:t xml:space="preserve"> it was a </w:t>
      </w:r>
      <w:r w:rsidR="00991255" w:rsidRPr="00EC1EB2">
        <w:rPr>
          <w:rFonts w:ascii="Arial" w:hAnsi="Arial" w:cs="Arial"/>
          <w:color w:val="000000" w:themeColor="text1"/>
          <w:sz w:val="24"/>
          <w:szCs w:val="24"/>
          <w:lang w:val="en-GB"/>
        </w:rPr>
        <w:t>rates-based</w:t>
      </w:r>
      <w:r w:rsidR="005C4031" w:rsidRPr="00EC1EB2">
        <w:rPr>
          <w:rFonts w:ascii="Arial" w:hAnsi="Arial" w:cs="Arial"/>
          <w:color w:val="000000" w:themeColor="text1"/>
          <w:sz w:val="24"/>
          <w:szCs w:val="24"/>
          <w:lang w:val="en-GB"/>
        </w:rPr>
        <w:t xml:space="preserve"> contract. Reference was made </w:t>
      </w:r>
      <w:r w:rsidR="005C4031" w:rsidRPr="00EC1EB2">
        <w:rPr>
          <w:rFonts w:ascii="Arial" w:hAnsi="Arial" w:cs="Arial"/>
          <w:color w:val="000000" w:themeColor="text1"/>
          <w:sz w:val="24"/>
          <w:szCs w:val="24"/>
          <w:lang w:val="en-GB"/>
        </w:rPr>
        <w:lastRenderedPageBreak/>
        <w:t xml:space="preserve">to the fact that the </w:t>
      </w:r>
      <w:r w:rsidR="006610AC">
        <w:rPr>
          <w:rFonts w:ascii="Arial" w:hAnsi="Arial" w:cs="Arial"/>
          <w:color w:val="000000" w:themeColor="text1"/>
          <w:sz w:val="24"/>
          <w:szCs w:val="24"/>
          <w:lang w:val="en-GB"/>
        </w:rPr>
        <w:t>ITT</w:t>
      </w:r>
      <w:r w:rsidR="006610AC" w:rsidRPr="00EC1EB2">
        <w:rPr>
          <w:rFonts w:ascii="Arial" w:hAnsi="Arial" w:cs="Arial"/>
          <w:color w:val="000000" w:themeColor="text1"/>
          <w:sz w:val="24"/>
          <w:szCs w:val="24"/>
          <w:lang w:val="en-GB"/>
        </w:rPr>
        <w:t xml:space="preserve"> </w:t>
      </w:r>
      <w:r w:rsidR="006610AC">
        <w:rPr>
          <w:rFonts w:ascii="Arial" w:hAnsi="Arial" w:cs="Arial"/>
          <w:color w:val="000000" w:themeColor="text1"/>
          <w:sz w:val="24"/>
          <w:szCs w:val="24"/>
          <w:lang w:val="en-GB"/>
        </w:rPr>
        <w:t>uses the word</w:t>
      </w:r>
      <w:r w:rsidR="006610AC" w:rsidRPr="00EC1EB2">
        <w:rPr>
          <w:rFonts w:ascii="Arial" w:hAnsi="Arial" w:cs="Arial"/>
          <w:color w:val="000000" w:themeColor="text1"/>
          <w:sz w:val="24"/>
          <w:szCs w:val="24"/>
          <w:lang w:val="en-GB"/>
        </w:rPr>
        <w:t xml:space="preserve"> </w:t>
      </w:r>
      <w:r w:rsidR="00B8738D">
        <w:rPr>
          <w:rFonts w:ascii="Arial" w:hAnsi="Arial" w:cs="Arial"/>
          <w:color w:val="000000" w:themeColor="text1"/>
          <w:sz w:val="24"/>
          <w:szCs w:val="24"/>
          <w:lang w:val="en-GB"/>
        </w:rPr>
        <w:t>“</w:t>
      </w:r>
      <w:r w:rsidR="00EC1EB2" w:rsidRPr="00EC1EB2">
        <w:rPr>
          <w:rFonts w:ascii="Arial" w:hAnsi="Arial" w:cs="Arial"/>
          <w:color w:val="000000" w:themeColor="text1"/>
          <w:sz w:val="24"/>
          <w:szCs w:val="24"/>
          <w:lang w:val="en-GB"/>
        </w:rPr>
        <w:t>Price</w:t>
      </w:r>
      <w:r w:rsidR="00B8738D">
        <w:rPr>
          <w:rFonts w:ascii="Arial" w:hAnsi="Arial" w:cs="Arial"/>
          <w:color w:val="000000" w:themeColor="text1"/>
          <w:sz w:val="24"/>
          <w:szCs w:val="24"/>
          <w:lang w:val="en-GB"/>
        </w:rPr>
        <w:t>”, while once the tenders were received and evaluated, the word used is ”Rates”</w:t>
      </w:r>
      <w:r w:rsidR="005C4031" w:rsidRPr="00EC1EB2">
        <w:rPr>
          <w:rFonts w:ascii="Arial" w:hAnsi="Arial" w:cs="Arial"/>
          <w:color w:val="000000" w:themeColor="text1"/>
          <w:sz w:val="24"/>
          <w:szCs w:val="24"/>
          <w:lang w:val="en-GB"/>
        </w:rPr>
        <w:t>.</w:t>
      </w:r>
      <w:r w:rsidR="00CB0485">
        <w:rPr>
          <w:rFonts w:ascii="Arial" w:hAnsi="Arial" w:cs="Arial"/>
          <w:color w:val="000000" w:themeColor="text1"/>
          <w:sz w:val="24"/>
          <w:szCs w:val="24"/>
          <w:lang w:val="en-GB"/>
        </w:rPr>
        <w:t xml:space="preserve"> </w:t>
      </w:r>
    </w:p>
    <w:p w14:paraId="35AAA54E" w14:textId="0CA63908" w:rsidR="007422B9" w:rsidRPr="00EC1EB2" w:rsidRDefault="00CB0485" w:rsidP="008D7A84">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w:t>
      </w:r>
      <w:r w:rsidR="00ED0234">
        <w:rPr>
          <w:rFonts w:ascii="Arial" w:hAnsi="Arial" w:cs="Arial"/>
          <w:color w:val="000000" w:themeColor="text1"/>
          <w:sz w:val="24"/>
          <w:szCs w:val="24"/>
          <w:lang w:val="en-GB"/>
        </w:rPr>
        <w:t>4</w:t>
      </w:r>
      <w:r w:rsidR="00EE4469">
        <w:rPr>
          <w:rFonts w:ascii="Arial" w:hAnsi="Arial" w:cs="Arial"/>
          <w:color w:val="000000" w:themeColor="text1"/>
          <w:sz w:val="24"/>
          <w:szCs w:val="24"/>
          <w:lang w:val="en-GB"/>
        </w:rPr>
        <w:t>8</w:t>
      </w:r>
      <w:r>
        <w:rPr>
          <w:rFonts w:ascii="Arial" w:hAnsi="Arial" w:cs="Arial"/>
          <w:color w:val="000000" w:themeColor="text1"/>
          <w:sz w:val="24"/>
          <w:szCs w:val="24"/>
          <w:lang w:val="en-GB"/>
        </w:rPr>
        <w:t>]</w:t>
      </w:r>
      <w:r>
        <w:rPr>
          <w:rFonts w:ascii="Arial" w:hAnsi="Arial" w:cs="Arial"/>
          <w:color w:val="000000" w:themeColor="text1"/>
          <w:sz w:val="24"/>
          <w:szCs w:val="24"/>
          <w:lang w:val="en-GB"/>
        </w:rPr>
        <w:tab/>
        <w:t>If this argument succeeds, not only is the contract unlawful for that reason alone, but it would also mean the awarded contracts were far outside the budgeted value, and the successful tenderers did not have a high enough CIDB grading for the value, which would be additional grounds to set the awards aside. Naturally, if the simulated contract argument fails, the grounds based on a finding of a simulated contract</w:t>
      </w:r>
      <w:r w:rsidR="00ED0234">
        <w:rPr>
          <w:rFonts w:ascii="Arial" w:hAnsi="Arial" w:cs="Arial"/>
          <w:color w:val="000000" w:themeColor="text1"/>
          <w:sz w:val="24"/>
          <w:szCs w:val="24"/>
          <w:lang w:val="en-GB"/>
        </w:rPr>
        <w:t>, or of a contract that is price based and has the value reached by the quantities tenderers were asked to tender on,</w:t>
      </w:r>
      <w:r>
        <w:rPr>
          <w:rFonts w:ascii="Arial" w:hAnsi="Arial" w:cs="Arial"/>
          <w:color w:val="000000" w:themeColor="text1"/>
          <w:sz w:val="24"/>
          <w:szCs w:val="24"/>
          <w:lang w:val="en-GB"/>
        </w:rPr>
        <w:t xml:space="preserve"> also fail.</w:t>
      </w:r>
    </w:p>
    <w:p w14:paraId="00C43693" w14:textId="6E53A7F0" w:rsidR="008E0C9D" w:rsidRDefault="008E0C9D"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ED0234">
        <w:rPr>
          <w:rFonts w:ascii="Arial" w:hAnsi="Arial" w:cs="Arial"/>
          <w:sz w:val="24"/>
          <w:szCs w:val="24"/>
          <w:lang w:val="en-GB"/>
        </w:rPr>
        <w:t>4</w:t>
      </w:r>
      <w:r w:rsidR="00EE4469">
        <w:rPr>
          <w:rFonts w:ascii="Arial" w:hAnsi="Arial" w:cs="Arial"/>
          <w:sz w:val="24"/>
          <w:szCs w:val="24"/>
          <w:lang w:val="en-GB"/>
        </w:rPr>
        <w:t>9</w:t>
      </w:r>
      <w:r w:rsidRPr="008E0C9D">
        <w:rPr>
          <w:rFonts w:ascii="Arial" w:hAnsi="Arial" w:cs="Arial"/>
          <w:sz w:val="24"/>
          <w:szCs w:val="24"/>
          <w:lang w:val="en-GB"/>
        </w:rPr>
        <w:t>]</w:t>
      </w:r>
      <w:r w:rsidRPr="008E0C9D">
        <w:rPr>
          <w:rFonts w:ascii="Arial" w:hAnsi="Arial" w:cs="Arial"/>
          <w:sz w:val="24"/>
          <w:szCs w:val="24"/>
          <w:lang w:val="en-GB"/>
        </w:rPr>
        <w:tab/>
        <w:t xml:space="preserve">In support of </w:t>
      </w:r>
      <w:r w:rsidR="00B8738D" w:rsidRPr="008E0C9D">
        <w:rPr>
          <w:rFonts w:ascii="Arial" w:hAnsi="Arial" w:cs="Arial"/>
          <w:sz w:val="24"/>
          <w:szCs w:val="24"/>
          <w:lang w:val="en-GB"/>
        </w:rPr>
        <w:t>th</w:t>
      </w:r>
      <w:r w:rsidR="00B8738D">
        <w:rPr>
          <w:rFonts w:ascii="Arial" w:hAnsi="Arial" w:cs="Arial"/>
          <w:sz w:val="24"/>
          <w:szCs w:val="24"/>
          <w:lang w:val="en-GB"/>
        </w:rPr>
        <w:t>is</w:t>
      </w:r>
      <w:r w:rsidR="00B8738D" w:rsidRPr="008E0C9D">
        <w:rPr>
          <w:rFonts w:ascii="Arial" w:hAnsi="Arial" w:cs="Arial"/>
          <w:sz w:val="24"/>
          <w:szCs w:val="24"/>
          <w:lang w:val="en-GB"/>
        </w:rPr>
        <w:t xml:space="preserve"> </w:t>
      </w:r>
      <w:r w:rsidRPr="008E0C9D">
        <w:rPr>
          <w:rFonts w:ascii="Arial" w:hAnsi="Arial" w:cs="Arial"/>
          <w:sz w:val="24"/>
          <w:szCs w:val="24"/>
          <w:lang w:val="en-GB"/>
        </w:rPr>
        <w:t xml:space="preserve">argument, Southey cited the case of </w:t>
      </w:r>
      <w:r w:rsidRPr="008E0C9D">
        <w:rPr>
          <w:rFonts w:ascii="Arial" w:hAnsi="Arial" w:cs="Arial"/>
          <w:i/>
          <w:sz w:val="24"/>
          <w:szCs w:val="24"/>
          <w:lang w:val="en-GB"/>
        </w:rPr>
        <w:t>De Faria v Sheriff High Court Witbank</w:t>
      </w:r>
      <w:r w:rsidR="00B8738D">
        <w:rPr>
          <w:rFonts w:ascii="Arial" w:hAnsi="Arial" w:cs="Arial"/>
          <w:iCs/>
          <w:sz w:val="24"/>
          <w:szCs w:val="24"/>
          <w:lang w:val="en-GB"/>
        </w:rPr>
        <w:t>,</w:t>
      </w:r>
      <w:r>
        <w:rPr>
          <w:rStyle w:val="FootnoteReference"/>
          <w:rFonts w:ascii="Arial" w:hAnsi="Arial" w:cs="Arial"/>
          <w:sz w:val="24"/>
          <w:szCs w:val="24"/>
          <w:lang w:val="en-GB"/>
        </w:rPr>
        <w:footnoteReference w:id="26"/>
      </w:r>
      <w:r w:rsidRPr="008E0C9D">
        <w:rPr>
          <w:rFonts w:ascii="Arial" w:hAnsi="Arial" w:cs="Arial"/>
          <w:sz w:val="24"/>
          <w:szCs w:val="24"/>
          <w:lang w:val="en-GB"/>
        </w:rPr>
        <w:t xml:space="preserve"> where the court said, “it is virtually impossible to escape the conclusion that the Legislature intended the general rule to apply, ie that non-compliance with the prescriptions thereof results in nullity.”</w:t>
      </w:r>
      <w:r>
        <w:rPr>
          <w:rFonts w:ascii="Arial" w:hAnsi="Arial" w:cs="Arial"/>
          <w:sz w:val="24"/>
          <w:szCs w:val="24"/>
          <w:lang w:val="en-GB"/>
        </w:rPr>
        <w:t xml:space="preserve"> </w:t>
      </w:r>
    </w:p>
    <w:p w14:paraId="454EB5E5" w14:textId="4E9BEAE6" w:rsidR="008E0C9D" w:rsidRPr="008E0C9D" w:rsidRDefault="008E0C9D" w:rsidP="008E0C9D">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50</w:t>
      </w:r>
      <w:r w:rsidRPr="008E0C9D">
        <w:rPr>
          <w:rFonts w:ascii="Arial" w:hAnsi="Arial" w:cs="Arial"/>
          <w:sz w:val="24"/>
          <w:szCs w:val="24"/>
          <w:lang w:val="en-GB"/>
        </w:rPr>
        <w:t>]</w:t>
      </w:r>
      <w:r w:rsidRPr="008E0C9D">
        <w:rPr>
          <w:rFonts w:ascii="Arial" w:hAnsi="Arial" w:cs="Arial"/>
          <w:sz w:val="24"/>
          <w:szCs w:val="24"/>
          <w:lang w:val="en-GB"/>
        </w:rPr>
        <w:tab/>
        <w:t>In addition to the above case</w:t>
      </w:r>
      <w:r>
        <w:rPr>
          <w:rFonts w:ascii="Arial" w:hAnsi="Arial" w:cs="Arial"/>
          <w:sz w:val="24"/>
          <w:szCs w:val="24"/>
          <w:lang w:val="en-GB"/>
        </w:rPr>
        <w:t xml:space="preserve">, Southey </w:t>
      </w:r>
      <w:r w:rsidRPr="008E0C9D">
        <w:rPr>
          <w:rFonts w:ascii="Arial" w:hAnsi="Arial" w:cs="Arial"/>
          <w:sz w:val="24"/>
          <w:szCs w:val="24"/>
          <w:lang w:val="en-GB"/>
        </w:rPr>
        <w:t xml:space="preserve">cited the case of </w:t>
      </w:r>
      <w:r w:rsidRPr="008E0C9D">
        <w:rPr>
          <w:rFonts w:ascii="Arial" w:hAnsi="Arial" w:cs="Arial"/>
          <w:i/>
          <w:sz w:val="24"/>
          <w:szCs w:val="24"/>
          <w:lang w:val="en-GB"/>
        </w:rPr>
        <w:t>Schierhout v Minister of Justice</w:t>
      </w:r>
      <w:r w:rsidRPr="008E0C9D">
        <w:rPr>
          <w:rFonts w:ascii="Arial" w:hAnsi="Arial" w:cs="Arial"/>
          <w:sz w:val="24"/>
          <w:szCs w:val="24"/>
          <w:lang w:val="en-GB"/>
        </w:rPr>
        <w:t xml:space="preserve"> </w:t>
      </w:r>
      <w:r>
        <w:rPr>
          <w:rStyle w:val="FootnoteReference"/>
          <w:rFonts w:ascii="Arial" w:hAnsi="Arial" w:cs="Arial"/>
          <w:sz w:val="24"/>
          <w:szCs w:val="24"/>
          <w:lang w:val="en-GB"/>
        </w:rPr>
        <w:footnoteReference w:id="27"/>
      </w:r>
      <w:r>
        <w:rPr>
          <w:rFonts w:ascii="Arial" w:hAnsi="Arial" w:cs="Arial"/>
          <w:sz w:val="24"/>
          <w:szCs w:val="24"/>
          <w:lang w:val="en-GB"/>
        </w:rPr>
        <w:t xml:space="preserve"> </w:t>
      </w:r>
      <w:r w:rsidRPr="008E0C9D">
        <w:rPr>
          <w:rFonts w:ascii="Arial" w:hAnsi="Arial" w:cs="Arial"/>
          <w:sz w:val="24"/>
          <w:szCs w:val="24"/>
          <w:lang w:val="en-GB"/>
        </w:rPr>
        <w:t xml:space="preserve">where </w:t>
      </w:r>
      <w:r>
        <w:rPr>
          <w:rFonts w:ascii="Arial" w:hAnsi="Arial" w:cs="Arial"/>
          <w:sz w:val="24"/>
          <w:szCs w:val="24"/>
          <w:lang w:val="en-GB"/>
        </w:rPr>
        <w:t xml:space="preserve">the Appellate Division, (as it then was), </w:t>
      </w:r>
      <w:r w:rsidRPr="008E0C9D">
        <w:rPr>
          <w:rFonts w:ascii="Arial" w:hAnsi="Arial" w:cs="Arial"/>
          <w:sz w:val="24"/>
          <w:szCs w:val="24"/>
          <w:lang w:val="en-GB"/>
        </w:rPr>
        <w:t>stated “it is a fundamental principle of our law that a thing done contrary to the direct prohibition of the law is void and of no effect</w:t>
      </w:r>
      <w:r w:rsidR="00B8738D">
        <w:rPr>
          <w:rFonts w:ascii="Arial" w:hAnsi="Arial" w:cs="Arial"/>
          <w:sz w:val="24"/>
          <w:szCs w:val="24"/>
          <w:lang w:val="en-GB"/>
        </w:rPr>
        <w:t xml:space="preserve"> </w:t>
      </w:r>
      <w:r w:rsidRPr="008E0C9D">
        <w:rPr>
          <w:rFonts w:ascii="Arial" w:hAnsi="Arial" w:cs="Arial"/>
          <w:sz w:val="24"/>
          <w:szCs w:val="24"/>
          <w:lang w:val="en-GB"/>
        </w:rPr>
        <w:t>…</w:t>
      </w:r>
      <w:r w:rsidR="00B8738D">
        <w:rPr>
          <w:rFonts w:ascii="Arial" w:hAnsi="Arial" w:cs="Arial"/>
          <w:sz w:val="24"/>
          <w:szCs w:val="24"/>
          <w:lang w:val="en-GB"/>
        </w:rPr>
        <w:t xml:space="preserve"> </w:t>
      </w:r>
      <w:r w:rsidRPr="008E0C9D">
        <w:rPr>
          <w:rFonts w:ascii="Arial" w:hAnsi="Arial" w:cs="Arial"/>
          <w:sz w:val="24"/>
          <w:szCs w:val="24"/>
          <w:lang w:val="en-GB"/>
        </w:rPr>
        <w:t>so that what is done contrary to the prohibition of the law is not only of no effect, but must be regarded as never having been done – and that whether the law giver has expressly so decreed or not; the mere prohibition operates to nullify the act</w:t>
      </w:r>
      <w:r w:rsidR="00B8738D">
        <w:rPr>
          <w:rFonts w:ascii="Arial" w:hAnsi="Arial" w:cs="Arial"/>
          <w:sz w:val="24"/>
          <w:szCs w:val="24"/>
          <w:lang w:val="en-GB"/>
        </w:rPr>
        <w:t xml:space="preserve"> </w:t>
      </w:r>
      <w:r w:rsidRPr="008E0C9D">
        <w:rPr>
          <w:rFonts w:ascii="Arial" w:hAnsi="Arial" w:cs="Arial"/>
          <w:sz w:val="24"/>
          <w:szCs w:val="24"/>
          <w:lang w:val="en-GB"/>
        </w:rPr>
        <w:t>…</w:t>
      </w:r>
      <w:r w:rsidR="00B8738D">
        <w:rPr>
          <w:rFonts w:ascii="Arial" w:hAnsi="Arial" w:cs="Arial"/>
          <w:sz w:val="24"/>
          <w:szCs w:val="24"/>
          <w:lang w:val="en-GB"/>
        </w:rPr>
        <w:t xml:space="preserve"> </w:t>
      </w:r>
      <w:r w:rsidRPr="008E0C9D">
        <w:rPr>
          <w:rFonts w:ascii="Arial" w:hAnsi="Arial" w:cs="Arial"/>
          <w:sz w:val="24"/>
          <w:szCs w:val="24"/>
          <w:lang w:val="en-GB"/>
        </w:rPr>
        <w:t>And the disregard of pre-emptory provisions in a statute is fatal to the validity of the proceeding affected.”</w:t>
      </w:r>
      <w:r w:rsidR="000C72AD">
        <w:rPr>
          <w:rStyle w:val="FootnoteReference"/>
          <w:rFonts w:ascii="Arial" w:hAnsi="Arial" w:cs="Arial"/>
          <w:sz w:val="24"/>
          <w:szCs w:val="24"/>
          <w:lang w:val="en-GB"/>
        </w:rPr>
        <w:footnoteReference w:id="28"/>
      </w:r>
    </w:p>
    <w:p w14:paraId="77A4EE6D" w14:textId="2BA606C8" w:rsidR="008E0C9D" w:rsidRPr="008E0C9D" w:rsidRDefault="00325528" w:rsidP="008E0C9D">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51</w:t>
      </w:r>
      <w:r w:rsidR="008E0C9D" w:rsidRPr="008E0C9D">
        <w:rPr>
          <w:rFonts w:ascii="Arial" w:hAnsi="Arial" w:cs="Arial"/>
          <w:sz w:val="24"/>
          <w:szCs w:val="24"/>
          <w:lang w:val="en-GB"/>
        </w:rPr>
        <w:t>]</w:t>
      </w:r>
      <w:r w:rsidR="008E0C9D" w:rsidRPr="008E0C9D">
        <w:rPr>
          <w:rFonts w:ascii="Arial" w:hAnsi="Arial" w:cs="Arial"/>
          <w:sz w:val="24"/>
          <w:szCs w:val="24"/>
          <w:lang w:val="en-GB"/>
        </w:rPr>
        <w:tab/>
        <w:t xml:space="preserve">Southey submitted that Eskom’s conduct in utilising </w:t>
      </w:r>
      <w:r w:rsidR="00B8738D">
        <w:rPr>
          <w:rFonts w:ascii="Arial" w:hAnsi="Arial" w:cs="Arial"/>
          <w:sz w:val="24"/>
          <w:szCs w:val="24"/>
          <w:lang w:val="en-GB"/>
        </w:rPr>
        <w:t xml:space="preserve">what Southey characterised as </w:t>
      </w:r>
      <w:r w:rsidR="008E0C9D" w:rsidRPr="008E0C9D">
        <w:rPr>
          <w:rFonts w:ascii="Arial" w:hAnsi="Arial" w:cs="Arial"/>
          <w:sz w:val="24"/>
          <w:szCs w:val="24"/>
          <w:lang w:val="en-GB"/>
        </w:rPr>
        <w:t xml:space="preserve">simulated or disguised transactions to evade invalidation of the </w:t>
      </w:r>
      <w:r w:rsidR="008E0C9D" w:rsidRPr="008E0C9D">
        <w:rPr>
          <w:rFonts w:ascii="Arial" w:hAnsi="Arial" w:cs="Arial"/>
          <w:sz w:val="24"/>
          <w:szCs w:val="24"/>
          <w:lang w:val="en-GB"/>
        </w:rPr>
        <w:lastRenderedPageBreak/>
        <w:t xml:space="preserve">tender and contracts under the CIDB Act, has </w:t>
      </w:r>
      <w:r w:rsidR="00FB787E">
        <w:rPr>
          <w:rFonts w:ascii="Arial" w:hAnsi="Arial" w:cs="Arial"/>
          <w:sz w:val="24"/>
          <w:szCs w:val="24"/>
          <w:lang w:val="en-GB"/>
        </w:rPr>
        <w:t>the consequence</w:t>
      </w:r>
      <w:r w:rsidR="008E0C9D" w:rsidRPr="008E0C9D">
        <w:rPr>
          <w:rFonts w:ascii="Arial" w:hAnsi="Arial" w:cs="Arial"/>
          <w:sz w:val="24"/>
          <w:szCs w:val="24"/>
          <w:lang w:val="en-GB"/>
        </w:rPr>
        <w:t xml:space="preserve"> that the entire tender process and all the contracts should be declared invalid and set aside, because it is unlawful and against public policy for anyone, and </w:t>
      </w:r>
      <w:r w:rsidR="008E0C9D" w:rsidRPr="008248AF">
        <w:rPr>
          <w:rFonts w:ascii="Arial" w:hAnsi="Arial" w:cs="Arial"/>
          <w:i/>
          <w:iCs/>
          <w:sz w:val="24"/>
          <w:szCs w:val="24"/>
          <w:lang w:val="en-GB"/>
        </w:rPr>
        <w:t>a fortiori</w:t>
      </w:r>
      <w:r w:rsidR="008E0C9D" w:rsidRPr="008E0C9D">
        <w:rPr>
          <w:rFonts w:ascii="Arial" w:hAnsi="Arial" w:cs="Arial"/>
          <w:sz w:val="24"/>
          <w:szCs w:val="24"/>
          <w:lang w:val="en-GB"/>
        </w:rPr>
        <w:t xml:space="preserve"> a State-Owned Enterprise like Eskom, to conclude simulated contracts to evade legislative non-compliance.</w:t>
      </w:r>
    </w:p>
    <w:p w14:paraId="185ADA3D" w14:textId="6AE6A4A7" w:rsidR="00B8738D" w:rsidRDefault="008E0C9D" w:rsidP="008E0C9D">
      <w:pPr>
        <w:spacing w:after="0" w:line="480" w:lineRule="auto"/>
        <w:jc w:val="both"/>
        <w:rPr>
          <w:rFonts w:ascii="Arial" w:hAnsi="Arial" w:cs="Arial"/>
          <w:sz w:val="24"/>
          <w:szCs w:val="24"/>
          <w:lang w:val="en-GB"/>
        </w:rPr>
      </w:pPr>
      <w:r w:rsidRPr="008E0C9D">
        <w:rPr>
          <w:rFonts w:ascii="Arial" w:hAnsi="Arial" w:cs="Arial"/>
          <w:sz w:val="24"/>
          <w:szCs w:val="24"/>
          <w:lang w:val="en-GB"/>
        </w:rPr>
        <w:t>[</w:t>
      </w:r>
      <w:r w:rsidR="003543D3">
        <w:rPr>
          <w:rFonts w:ascii="Arial" w:hAnsi="Arial" w:cs="Arial"/>
          <w:sz w:val="24"/>
          <w:szCs w:val="24"/>
          <w:lang w:val="en-GB"/>
        </w:rPr>
        <w:t>5</w:t>
      </w:r>
      <w:r w:rsidR="00EE4469">
        <w:rPr>
          <w:rFonts w:ascii="Arial" w:hAnsi="Arial" w:cs="Arial"/>
          <w:sz w:val="24"/>
          <w:szCs w:val="24"/>
          <w:lang w:val="en-GB"/>
        </w:rPr>
        <w:t>2</w:t>
      </w:r>
      <w:r w:rsidRPr="008E0C9D">
        <w:rPr>
          <w:rFonts w:ascii="Arial" w:hAnsi="Arial" w:cs="Arial"/>
          <w:sz w:val="24"/>
          <w:szCs w:val="24"/>
          <w:lang w:val="en-GB"/>
        </w:rPr>
        <w:t>]</w:t>
      </w:r>
      <w:r w:rsidRPr="008E0C9D">
        <w:rPr>
          <w:rFonts w:ascii="Arial" w:hAnsi="Arial" w:cs="Arial"/>
          <w:sz w:val="24"/>
          <w:szCs w:val="24"/>
          <w:lang w:val="en-GB"/>
        </w:rPr>
        <w:tab/>
        <w:t>Eskom, on the other hand</w:t>
      </w:r>
      <w:r w:rsidR="00B8738D">
        <w:rPr>
          <w:rFonts w:ascii="Arial" w:hAnsi="Arial" w:cs="Arial"/>
          <w:sz w:val="24"/>
          <w:szCs w:val="24"/>
          <w:lang w:val="en-GB"/>
        </w:rPr>
        <w:t>,</w:t>
      </w:r>
      <w:r w:rsidRPr="008E0C9D">
        <w:rPr>
          <w:rFonts w:ascii="Arial" w:hAnsi="Arial" w:cs="Arial"/>
          <w:sz w:val="24"/>
          <w:szCs w:val="24"/>
          <w:lang w:val="en-GB"/>
        </w:rPr>
        <w:t xml:space="preserve"> submitted that Southey’s simulation argument lacks merit. In support of </w:t>
      </w:r>
      <w:r w:rsidR="00B8738D">
        <w:rPr>
          <w:rFonts w:ascii="Arial" w:hAnsi="Arial" w:cs="Arial"/>
          <w:sz w:val="24"/>
          <w:szCs w:val="24"/>
          <w:lang w:val="en-GB"/>
        </w:rPr>
        <w:t>its</w:t>
      </w:r>
      <w:r w:rsidR="00B8738D" w:rsidRPr="008E0C9D">
        <w:rPr>
          <w:rFonts w:ascii="Arial" w:hAnsi="Arial" w:cs="Arial"/>
          <w:sz w:val="24"/>
          <w:szCs w:val="24"/>
          <w:lang w:val="en-GB"/>
        </w:rPr>
        <w:t xml:space="preserve"> </w:t>
      </w:r>
      <w:r w:rsidRPr="008E0C9D">
        <w:rPr>
          <w:rFonts w:ascii="Arial" w:hAnsi="Arial" w:cs="Arial"/>
          <w:sz w:val="24"/>
          <w:szCs w:val="24"/>
          <w:lang w:val="en-GB"/>
        </w:rPr>
        <w:t xml:space="preserve">argument, Eskom cited the case of </w:t>
      </w:r>
      <w:r w:rsidRPr="00325528">
        <w:rPr>
          <w:rFonts w:ascii="Arial" w:hAnsi="Arial" w:cs="Arial"/>
          <w:i/>
          <w:sz w:val="24"/>
          <w:szCs w:val="24"/>
          <w:lang w:val="en-GB"/>
        </w:rPr>
        <w:t>Commissioner for South African Revenue Service v NWK Ltd</w:t>
      </w:r>
      <w:r w:rsidR="00325528">
        <w:rPr>
          <w:rFonts w:ascii="Arial" w:hAnsi="Arial" w:cs="Arial"/>
          <w:sz w:val="24"/>
          <w:szCs w:val="24"/>
          <w:lang w:val="en-GB"/>
        </w:rPr>
        <w:t xml:space="preserve"> </w:t>
      </w:r>
      <w:r w:rsidR="00325528">
        <w:rPr>
          <w:rStyle w:val="FootnoteReference"/>
          <w:rFonts w:ascii="Arial" w:hAnsi="Arial" w:cs="Arial"/>
          <w:sz w:val="24"/>
          <w:szCs w:val="24"/>
          <w:lang w:val="en-GB"/>
        </w:rPr>
        <w:footnoteReference w:id="29"/>
      </w:r>
      <w:r w:rsidR="00FB787E">
        <w:rPr>
          <w:rFonts w:ascii="Arial" w:hAnsi="Arial" w:cs="Arial"/>
          <w:sz w:val="24"/>
          <w:szCs w:val="24"/>
          <w:lang w:val="en-GB"/>
        </w:rPr>
        <w:t xml:space="preserve"> </w:t>
      </w:r>
      <w:r w:rsidR="00325528">
        <w:rPr>
          <w:rFonts w:ascii="Arial" w:hAnsi="Arial" w:cs="Arial"/>
          <w:sz w:val="24"/>
          <w:szCs w:val="24"/>
          <w:lang w:val="en-GB"/>
        </w:rPr>
        <w:t>(“</w:t>
      </w:r>
      <w:r w:rsidR="00325528" w:rsidRPr="00325528">
        <w:rPr>
          <w:rFonts w:ascii="Arial" w:hAnsi="Arial" w:cs="Arial"/>
          <w:i/>
          <w:sz w:val="24"/>
          <w:szCs w:val="24"/>
          <w:lang w:val="en-GB"/>
        </w:rPr>
        <w:t>NW</w:t>
      </w:r>
      <w:r w:rsidR="00B8738D">
        <w:rPr>
          <w:rFonts w:ascii="Arial" w:hAnsi="Arial" w:cs="Arial"/>
          <w:i/>
          <w:sz w:val="24"/>
          <w:szCs w:val="24"/>
          <w:lang w:val="en-GB"/>
        </w:rPr>
        <w:t>K</w:t>
      </w:r>
      <w:r w:rsidR="00325528">
        <w:rPr>
          <w:rFonts w:ascii="Arial" w:hAnsi="Arial" w:cs="Arial"/>
          <w:sz w:val="24"/>
          <w:szCs w:val="24"/>
          <w:lang w:val="en-GB"/>
        </w:rPr>
        <w:t>”)</w:t>
      </w:r>
      <w:r w:rsidRPr="00325528">
        <w:rPr>
          <w:rFonts w:ascii="Arial" w:hAnsi="Arial" w:cs="Arial"/>
          <w:sz w:val="24"/>
          <w:szCs w:val="24"/>
          <w:lang w:val="en-GB"/>
        </w:rPr>
        <w:t xml:space="preserve"> </w:t>
      </w:r>
      <w:r w:rsidRPr="008E0C9D">
        <w:rPr>
          <w:rFonts w:ascii="Arial" w:hAnsi="Arial" w:cs="Arial"/>
          <w:sz w:val="24"/>
          <w:szCs w:val="24"/>
          <w:lang w:val="en-GB"/>
        </w:rPr>
        <w:t>where the S</w:t>
      </w:r>
      <w:r w:rsidR="00FB787E">
        <w:rPr>
          <w:rFonts w:ascii="Arial" w:hAnsi="Arial" w:cs="Arial"/>
          <w:sz w:val="24"/>
          <w:szCs w:val="24"/>
          <w:lang w:val="en-GB"/>
        </w:rPr>
        <w:t xml:space="preserve">upreme Court of Appeal </w:t>
      </w:r>
      <w:r w:rsidRPr="008E0C9D">
        <w:rPr>
          <w:rFonts w:ascii="Arial" w:hAnsi="Arial" w:cs="Arial"/>
          <w:sz w:val="24"/>
          <w:szCs w:val="24"/>
          <w:lang w:val="en-GB"/>
        </w:rPr>
        <w:t xml:space="preserve">said the following: </w:t>
      </w:r>
    </w:p>
    <w:p w14:paraId="0D5BBC71" w14:textId="149AF94E" w:rsidR="008E0C9D" w:rsidRPr="008248AF" w:rsidRDefault="00325528" w:rsidP="008248AF">
      <w:pPr>
        <w:spacing w:after="0" w:line="480" w:lineRule="auto"/>
        <w:ind w:left="720"/>
        <w:jc w:val="both"/>
        <w:rPr>
          <w:rFonts w:ascii="Arial" w:hAnsi="Arial" w:cs="Arial"/>
          <w:lang w:val="en-GB"/>
        </w:rPr>
      </w:pPr>
      <w:r w:rsidRPr="008248AF">
        <w:rPr>
          <w:rFonts w:ascii="Arial" w:hAnsi="Arial" w:cs="Arial"/>
          <w:lang w:val="en-GB"/>
        </w:rPr>
        <w:t>“</w:t>
      </w:r>
      <w:r w:rsidR="008E0C9D" w:rsidRPr="008248AF">
        <w:rPr>
          <w:rFonts w:ascii="Arial" w:hAnsi="Arial" w:cs="Arial"/>
          <w:lang w:val="en-GB"/>
        </w:rPr>
        <w:t>In my view the test to determine simulation cannot simply be whether there is an intention to give effect to a contract in accordance with its terms. Invariably where parties structure a transaction to achieve an objective other than the one ostensibly achieved they will intend to give effect to the transaction on the terms agreed. The test should thus go further, and require an examination of the commercial sense of the transaction: of its real substance and purpose. If the purpose of the transaction is only to achieve an object that allows the evasion of tax, or of a peremptory law, then it will be regarded as simulated. And the mere fact that parties do perform in terms of the contract does not show that it is not simulated: the charade of performance is generally meant to give credence to t</w:t>
      </w:r>
      <w:r w:rsidRPr="008248AF">
        <w:rPr>
          <w:rFonts w:ascii="Arial" w:hAnsi="Arial" w:cs="Arial"/>
          <w:lang w:val="en-GB"/>
        </w:rPr>
        <w:t xml:space="preserve">heir simulation.” </w:t>
      </w:r>
      <w:r w:rsidR="0038763A" w:rsidRPr="008248AF">
        <w:rPr>
          <w:rStyle w:val="FootnoteReference"/>
          <w:rFonts w:ascii="Arial" w:hAnsi="Arial" w:cs="Arial"/>
          <w:lang w:val="en-GB"/>
        </w:rPr>
        <w:footnoteReference w:id="30"/>
      </w:r>
    </w:p>
    <w:p w14:paraId="3DA3EE3E" w14:textId="7858C798" w:rsidR="00B8738D" w:rsidRDefault="00325528" w:rsidP="007542F1">
      <w:pPr>
        <w:spacing w:after="0" w:line="480" w:lineRule="auto"/>
        <w:jc w:val="both"/>
        <w:rPr>
          <w:rFonts w:ascii="Arial" w:hAnsi="Arial" w:cs="Arial"/>
          <w:sz w:val="24"/>
          <w:szCs w:val="24"/>
          <w:lang w:val="en-GB"/>
        </w:rPr>
      </w:pPr>
      <w:r>
        <w:rPr>
          <w:rFonts w:ascii="Arial" w:hAnsi="Arial" w:cs="Arial"/>
          <w:sz w:val="24"/>
          <w:szCs w:val="24"/>
          <w:lang w:val="en-GB"/>
        </w:rPr>
        <w:t>[</w:t>
      </w:r>
      <w:r w:rsidR="003543D3">
        <w:rPr>
          <w:rFonts w:ascii="Arial" w:hAnsi="Arial" w:cs="Arial"/>
          <w:sz w:val="24"/>
          <w:szCs w:val="24"/>
          <w:lang w:val="en-GB"/>
        </w:rPr>
        <w:t>5</w:t>
      </w:r>
      <w:r w:rsidR="00EE4469">
        <w:rPr>
          <w:rFonts w:ascii="Arial" w:hAnsi="Arial" w:cs="Arial"/>
          <w:sz w:val="24"/>
          <w:szCs w:val="24"/>
          <w:lang w:val="en-GB"/>
        </w:rPr>
        <w:t>3</w:t>
      </w:r>
      <w:r w:rsidR="008E0C9D" w:rsidRPr="008E0C9D">
        <w:rPr>
          <w:rFonts w:ascii="Arial" w:hAnsi="Arial" w:cs="Arial"/>
          <w:sz w:val="24"/>
          <w:szCs w:val="24"/>
          <w:lang w:val="en-GB"/>
        </w:rPr>
        <w:t>]</w:t>
      </w:r>
      <w:r w:rsidR="008E0C9D" w:rsidRPr="008E0C9D">
        <w:rPr>
          <w:rFonts w:ascii="Arial" w:hAnsi="Arial" w:cs="Arial"/>
          <w:sz w:val="24"/>
          <w:szCs w:val="24"/>
          <w:lang w:val="en-GB"/>
        </w:rPr>
        <w:tab/>
        <w:t xml:space="preserve">Eskom submitted </w:t>
      </w:r>
      <w:r w:rsidR="007542F1">
        <w:rPr>
          <w:rFonts w:ascii="Arial" w:hAnsi="Arial" w:cs="Arial"/>
          <w:sz w:val="24"/>
          <w:szCs w:val="24"/>
          <w:lang w:val="en-GB"/>
        </w:rPr>
        <w:t xml:space="preserve">that </w:t>
      </w:r>
      <w:r w:rsidR="008E0C9D" w:rsidRPr="008E0C9D">
        <w:rPr>
          <w:rFonts w:ascii="Arial" w:hAnsi="Arial" w:cs="Arial"/>
          <w:sz w:val="24"/>
          <w:szCs w:val="24"/>
          <w:lang w:val="en-GB"/>
        </w:rPr>
        <w:t>Southey makes no attempt to meet the stringent test for simulation, i.e., to show that the only purpose of the contracts is to evade the provisions of the CIDB Regulations.</w:t>
      </w:r>
      <w:r w:rsidR="007542F1">
        <w:rPr>
          <w:rFonts w:ascii="Arial" w:hAnsi="Arial" w:cs="Arial"/>
          <w:sz w:val="24"/>
          <w:szCs w:val="24"/>
          <w:lang w:val="en-GB"/>
        </w:rPr>
        <w:t xml:space="preserve"> Furthermore, </w:t>
      </w:r>
      <w:r w:rsidR="008E0C9D" w:rsidRPr="008E0C9D">
        <w:rPr>
          <w:rFonts w:ascii="Arial" w:hAnsi="Arial" w:cs="Arial"/>
          <w:sz w:val="24"/>
          <w:szCs w:val="24"/>
          <w:lang w:val="en-GB"/>
        </w:rPr>
        <w:t>the established facts show that from the outset Eskom intended to conclude rate</w:t>
      </w:r>
      <w:r w:rsidR="00382A14">
        <w:rPr>
          <w:rFonts w:ascii="Arial" w:hAnsi="Arial" w:cs="Arial"/>
          <w:sz w:val="24"/>
          <w:szCs w:val="24"/>
          <w:lang w:val="en-GB"/>
        </w:rPr>
        <w:t>s</w:t>
      </w:r>
      <w:r w:rsidR="008E0C9D" w:rsidRPr="008E0C9D">
        <w:rPr>
          <w:rFonts w:ascii="Arial" w:hAnsi="Arial" w:cs="Arial"/>
          <w:sz w:val="24"/>
          <w:szCs w:val="24"/>
          <w:lang w:val="en-GB"/>
        </w:rPr>
        <w:t xml:space="preserve">-based contracts. Eskom made it clear in its responses to the clarification questions posted in Eskom’s Tender Bulletin at the time that the quantities as contained in the bill of quantities were provided for </w:t>
      </w:r>
      <w:r w:rsidR="008E0C9D" w:rsidRPr="008E0C9D">
        <w:rPr>
          <w:rFonts w:ascii="Arial" w:hAnsi="Arial" w:cs="Arial"/>
          <w:sz w:val="24"/>
          <w:szCs w:val="24"/>
          <w:lang w:val="en-GB"/>
        </w:rPr>
        <w:lastRenderedPageBreak/>
        <w:t>estimation purposes and that the contracts to be awarded were rate-based contracts. There was no objection to this clarification; nor any PAJA or legality challenge.</w:t>
      </w:r>
    </w:p>
    <w:p w14:paraId="415C91F3" w14:textId="45A9A6EB" w:rsidR="00B8738D" w:rsidRPr="008E0C9D" w:rsidRDefault="00B8738D" w:rsidP="007542F1">
      <w:pPr>
        <w:spacing w:after="0" w:line="480" w:lineRule="auto"/>
        <w:jc w:val="both"/>
        <w:rPr>
          <w:rFonts w:ascii="Arial" w:hAnsi="Arial" w:cs="Arial"/>
          <w:sz w:val="24"/>
          <w:szCs w:val="24"/>
          <w:lang w:val="en-GB"/>
        </w:rPr>
      </w:pPr>
      <w:r>
        <w:rPr>
          <w:rFonts w:ascii="Arial" w:hAnsi="Arial" w:cs="Arial"/>
          <w:sz w:val="24"/>
          <w:szCs w:val="24"/>
          <w:lang w:val="en-GB"/>
        </w:rPr>
        <w:t>[</w:t>
      </w:r>
      <w:r w:rsidR="003543D3">
        <w:rPr>
          <w:rFonts w:ascii="Arial" w:hAnsi="Arial" w:cs="Arial"/>
          <w:sz w:val="24"/>
          <w:szCs w:val="24"/>
          <w:lang w:val="en-GB"/>
        </w:rPr>
        <w:t>5</w:t>
      </w:r>
      <w:r w:rsidR="00EE4469">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In addition, the contracts had always historically been rates-based contracts, and the appellants, as incumbent service providers, were aware that this was the case, and that nothing had changed.</w:t>
      </w:r>
    </w:p>
    <w:p w14:paraId="21EB7F1A" w14:textId="52ACDDDE" w:rsidR="008E0C9D" w:rsidRDefault="008E0C9D" w:rsidP="008E0C9D">
      <w:pPr>
        <w:spacing w:after="0" w:line="480" w:lineRule="auto"/>
        <w:jc w:val="both"/>
        <w:rPr>
          <w:rFonts w:ascii="Arial" w:hAnsi="Arial" w:cs="Arial"/>
          <w:sz w:val="24"/>
          <w:szCs w:val="24"/>
          <w:lang w:val="en-GB"/>
        </w:rPr>
      </w:pPr>
      <w:r w:rsidRPr="008E0C9D">
        <w:rPr>
          <w:rFonts w:ascii="Arial" w:hAnsi="Arial" w:cs="Arial"/>
          <w:sz w:val="24"/>
          <w:szCs w:val="24"/>
          <w:lang w:val="en-GB"/>
        </w:rPr>
        <w:t>[</w:t>
      </w:r>
      <w:r w:rsidR="00EE4469">
        <w:rPr>
          <w:rFonts w:ascii="Arial" w:hAnsi="Arial" w:cs="Arial"/>
          <w:sz w:val="24"/>
          <w:szCs w:val="24"/>
          <w:lang w:val="en-GB"/>
        </w:rPr>
        <w:t>55</w:t>
      </w:r>
      <w:r w:rsidRPr="008E0C9D">
        <w:rPr>
          <w:rFonts w:ascii="Arial" w:hAnsi="Arial" w:cs="Arial"/>
          <w:sz w:val="24"/>
          <w:szCs w:val="24"/>
          <w:lang w:val="en-GB"/>
        </w:rPr>
        <w:t>]</w:t>
      </w:r>
      <w:r w:rsidRPr="008E0C9D">
        <w:rPr>
          <w:rFonts w:ascii="Arial" w:hAnsi="Arial" w:cs="Arial"/>
          <w:sz w:val="24"/>
          <w:szCs w:val="24"/>
          <w:lang w:val="en-GB"/>
        </w:rPr>
        <w:tab/>
        <w:t>Therefore, according to Eskom, Southey’s contentions were misplaced.</w:t>
      </w:r>
    </w:p>
    <w:p w14:paraId="7E5C6FAC" w14:textId="0BC5A120" w:rsidR="000D41F1" w:rsidRDefault="000D41F1" w:rsidP="000D41F1">
      <w:pPr>
        <w:spacing w:after="0" w:line="480" w:lineRule="auto"/>
        <w:jc w:val="both"/>
        <w:rPr>
          <w:rFonts w:ascii="Arial" w:hAnsi="Arial" w:cs="Arial"/>
          <w:sz w:val="24"/>
          <w:szCs w:val="24"/>
          <w:lang w:val="en-GB"/>
        </w:rPr>
      </w:pPr>
      <w:r w:rsidRPr="000D41F1">
        <w:rPr>
          <w:rFonts w:ascii="Arial" w:hAnsi="Arial" w:cs="Arial"/>
          <w:sz w:val="24"/>
          <w:szCs w:val="24"/>
          <w:lang w:val="en-GB"/>
        </w:rPr>
        <w:t>[</w:t>
      </w:r>
      <w:r w:rsidR="003543D3">
        <w:rPr>
          <w:rFonts w:ascii="Arial" w:hAnsi="Arial" w:cs="Arial"/>
          <w:sz w:val="24"/>
          <w:szCs w:val="24"/>
          <w:lang w:val="en-GB"/>
        </w:rPr>
        <w:t>5</w:t>
      </w:r>
      <w:r w:rsidR="00EE4469">
        <w:rPr>
          <w:rFonts w:ascii="Arial" w:hAnsi="Arial" w:cs="Arial"/>
          <w:sz w:val="24"/>
          <w:szCs w:val="24"/>
          <w:lang w:val="en-GB"/>
        </w:rPr>
        <w:t>6</w:t>
      </w:r>
      <w:r w:rsidRPr="000D41F1">
        <w:rPr>
          <w:rFonts w:ascii="Arial" w:hAnsi="Arial" w:cs="Arial"/>
          <w:sz w:val="24"/>
          <w:szCs w:val="24"/>
          <w:lang w:val="en-GB"/>
        </w:rPr>
        <w:t>]</w:t>
      </w:r>
      <w:r w:rsidRPr="000D41F1">
        <w:rPr>
          <w:rFonts w:ascii="Arial" w:hAnsi="Arial" w:cs="Arial"/>
          <w:sz w:val="24"/>
          <w:szCs w:val="24"/>
          <w:lang w:val="en-GB"/>
        </w:rPr>
        <w:tab/>
        <w:t>A “simulated transaction” is defined as a transaction where the parties to the transaction do not intend it to have as between them the legal effect it purports to convey. The purpose thereof is to deceive by concealing the real transaction – substance rather than form determines the nature of a transaction (</w:t>
      </w:r>
      <w:r w:rsidRPr="008248AF">
        <w:rPr>
          <w:rFonts w:ascii="Arial" w:hAnsi="Arial" w:cs="Arial"/>
          <w:i/>
          <w:iCs/>
          <w:sz w:val="24"/>
          <w:szCs w:val="24"/>
          <w:lang w:val="en-GB"/>
        </w:rPr>
        <w:t>plus valet quod agitur quam quod simulate concipitur</w:t>
      </w:r>
      <w:r w:rsidRPr="000D41F1">
        <w:rPr>
          <w:rFonts w:ascii="Arial" w:hAnsi="Arial" w:cs="Arial"/>
          <w:sz w:val="24"/>
          <w:szCs w:val="24"/>
          <w:lang w:val="en-GB"/>
        </w:rPr>
        <w:t>).</w:t>
      </w:r>
      <w:r>
        <w:rPr>
          <w:rStyle w:val="FootnoteReference"/>
          <w:rFonts w:ascii="Arial" w:hAnsi="Arial" w:cs="Arial"/>
          <w:sz w:val="24"/>
          <w:szCs w:val="24"/>
          <w:lang w:val="en-GB"/>
        </w:rPr>
        <w:footnoteReference w:id="31"/>
      </w:r>
    </w:p>
    <w:p w14:paraId="74492E0D" w14:textId="46955086" w:rsidR="00DF572E" w:rsidRDefault="00DF572E" w:rsidP="000D41F1">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57</w:t>
      </w:r>
      <w:r w:rsidRPr="00DF572E">
        <w:rPr>
          <w:rFonts w:ascii="Arial" w:hAnsi="Arial" w:cs="Arial"/>
          <w:sz w:val="24"/>
          <w:szCs w:val="24"/>
          <w:lang w:val="en-GB"/>
        </w:rPr>
        <w:t>]</w:t>
      </w:r>
      <w:r w:rsidRPr="00DF572E">
        <w:rPr>
          <w:rFonts w:ascii="Arial" w:hAnsi="Arial" w:cs="Arial"/>
          <w:sz w:val="24"/>
          <w:szCs w:val="24"/>
          <w:lang w:val="en-GB"/>
        </w:rPr>
        <w:tab/>
        <w:t>I</w:t>
      </w:r>
      <w:r>
        <w:rPr>
          <w:rFonts w:ascii="Arial" w:hAnsi="Arial" w:cs="Arial"/>
          <w:sz w:val="24"/>
          <w:szCs w:val="24"/>
          <w:lang w:val="en-GB"/>
        </w:rPr>
        <w:t xml:space="preserve">n light of the matter of </w:t>
      </w:r>
      <w:r w:rsidRPr="00C56B27">
        <w:rPr>
          <w:rFonts w:ascii="Arial" w:hAnsi="Arial" w:cs="Arial"/>
          <w:i/>
          <w:sz w:val="24"/>
          <w:szCs w:val="24"/>
          <w:lang w:val="en-GB"/>
        </w:rPr>
        <w:t>NWK</w:t>
      </w:r>
      <w:r w:rsidRPr="00DF572E">
        <w:rPr>
          <w:rFonts w:ascii="Arial" w:hAnsi="Arial" w:cs="Arial"/>
          <w:sz w:val="24"/>
          <w:szCs w:val="24"/>
          <w:lang w:val="en-GB"/>
        </w:rPr>
        <w:t xml:space="preserve">, if the purpose of the transaction is only to achieve an object that allows the evasion of a peremptory law that transaction is regarded as </w:t>
      </w:r>
      <w:r w:rsidR="003543D3">
        <w:rPr>
          <w:rFonts w:ascii="Arial" w:hAnsi="Arial" w:cs="Arial"/>
          <w:sz w:val="24"/>
          <w:szCs w:val="24"/>
          <w:lang w:val="en-GB"/>
        </w:rPr>
        <w:t>having been</w:t>
      </w:r>
      <w:r w:rsidR="003543D3" w:rsidRPr="00DF572E">
        <w:rPr>
          <w:rFonts w:ascii="Arial" w:hAnsi="Arial" w:cs="Arial"/>
          <w:sz w:val="24"/>
          <w:szCs w:val="24"/>
          <w:lang w:val="en-GB"/>
        </w:rPr>
        <w:t xml:space="preserve"> </w:t>
      </w:r>
      <w:r w:rsidRPr="00DF572E">
        <w:rPr>
          <w:rFonts w:ascii="Arial" w:hAnsi="Arial" w:cs="Arial"/>
          <w:sz w:val="24"/>
          <w:szCs w:val="24"/>
          <w:lang w:val="en-GB"/>
        </w:rPr>
        <w:t>simulated.</w:t>
      </w:r>
    </w:p>
    <w:p w14:paraId="1A64998C" w14:textId="01E0FC65" w:rsidR="003F14FD" w:rsidRDefault="003F14FD" w:rsidP="003F14FD">
      <w:pPr>
        <w:spacing w:after="0" w:line="480" w:lineRule="auto"/>
        <w:jc w:val="both"/>
        <w:rPr>
          <w:rFonts w:ascii="Arial" w:hAnsi="Arial" w:cs="Arial"/>
          <w:sz w:val="24"/>
          <w:szCs w:val="24"/>
          <w:lang w:val="en-GB"/>
        </w:rPr>
      </w:pPr>
      <w:r w:rsidRPr="003F14FD">
        <w:rPr>
          <w:rFonts w:ascii="Arial" w:hAnsi="Arial" w:cs="Arial"/>
          <w:sz w:val="24"/>
          <w:szCs w:val="24"/>
          <w:lang w:val="en-GB"/>
        </w:rPr>
        <w:t>[</w:t>
      </w:r>
      <w:r w:rsidR="00EE4469">
        <w:rPr>
          <w:rFonts w:ascii="Arial" w:hAnsi="Arial" w:cs="Arial"/>
          <w:sz w:val="24"/>
          <w:szCs w:val="24"/>
          <w:lang w:val="en-GB"/>
        </w:rPr>
        <w:t>58</w:t>
      </w:r>
      <w:r w:rsidRPr="003F14FD">
        <w:rPr>
          <w:rFonts w:ascii="Arial" w:hAnsi="Arial" w:cs="Arial"/>
          <w:sz w:val="24"/>
          <w:szCs w:val="24"/>
          <w:lang w:val="en-GB"/>
        </w:rPr>
        <w:t>]</w:t>
      </w:r>
      <w:r w:rsidRPr="003F14FD">
        <w:rPr>
          <w:rFonts w:ascii="Arial" w:hAnsi="Arial" w:cs="Arial"/>
          <w:sz w:val="24"/>
          <w:szCs w:val="24"/>
          <w:lang w:val="en-GB"/>
        </w:rPr>
        <w:tab/>
        <w:t xml:space="preserve">In </w:t>
      </w:r>
      <w:r w:rsidRPr="003F14FD">
        <w:rPr>
          <w:rFonts w:ascii="Arial" w:hAnsi="Arial" w:cs="Arial"/>
          <w:i/>
          <w:sz w:val="24"/>
          <w:szCs w:val="24"/>
          <w:lang w:val="en-GB"/>
        </w:rPr>
        <w:t>Roshcon (Pty) Limited v Anchor Auto Body Builders CC</w:t>
      </w:r>
      <w:r w:rsidRPr="003F14FD">
        <w:rPr>
          <w:rFonts w:ascii="Arial" w:hAnsi="Arial" w:cs="Arial"/>
          <w:sz w:val="24"/>
          <w:szCs w:val="24"/>
          <w:lang w:val="en-GB"/>
        </w:rPr>
        <w:t xml:space="preserve"> </w:t>
      </w:r>
      <w:r>
        <w:rPr>
          <w:rStyle w:val="FootnoteReference"/>
          <w:rFonts w:ascii="Arial" w:hAnsi="Arial" w:cs="Arial"/>
          <w:sz w:val="24"/>
          <w:szCs w:val="24"/>
          <w:lang w:val="en-GB"/>
        </w:rPr>
        <w:footnoteReference w:id="32"/>
      </w:r>
      <w:r w:rsidR="00AA64FF">
        <w:rPr>
          <w:rFonts w:ascii="Arial" w:hAnsi="Arial" w:cs="Arial"/>
          <w:sz w:val="24"/>
          <w:szCs w:val="24"/>
          <w:lang w:val="en-GB"/>
        </w:rPr>
        <w:t xml:space="preserve"> (“</w:t>
      </w:r>
      <w:r w:rsidR="00AA64FF" w:rsidRPr="00AA64FF">
        <w:rPr>
          <w:rFonts w:ascii="Arial" w:hAnsi="Arial" w:cs="Arial"/>
          <w:i/>
          <w:sz w:val="24"/>
          <w:szCs w:val="24"/>
          <w:lang w:val="en-GB"/>
        </w:rPr>
        <w:t>Roshcon</w:t>
      </w:r>
      <w:r w:rsidR="00AA64FF">
        <w:rPr>
          <w:rFonts w:ascii="Arial" w:hAnsi="Arial" w:cs="Arial"/>
          <w:sz w:val="24"/>
          <w:szCs w:val="24"/>
          <w:lang w:val="en-GB"/>
        </w:rPr>
        <w:t>”)</w:t>
      </w:r>
      <w:r>
        <w:rPr>
          <w:rFonts w:ascii="Arial" w:hAnsi="Arial" w:cs="Arial"/>
          <w:sz w:val="24"/>
          <w:szCs w:val="24"/>
          <w:lang w:val="en-GB"/>
        </w:rPr>
        <w:t xml:space="preserve"> </w:t>
      </w:r>
      <w:r w:rsidRPr="003F14FD">
        <w:rPr>
          <w:rFonts w:ascii="Arial" w:hAnsi="Arial" w:cs="Arial"/>
          <w:sz w:val="24"/>
          <w:szCs w:val="24"/>
          <w:lang w:val="en-GB"/>
        </w:rPr>
        <w:t xml:space="preserve"> the </w:t>
      </w:r>
      <w:r>
        <w:rPr>
          <w:rFonts w:ascii="Arial" w:hAnsi="Arial" w:cs="Arial"/>
          <w:sz w:val="24"/>
          <w:szCs w:val="24"/>
          <w:lang w:val="en-GB"/>
        </w:rPr>
        <w:t xml:space="preserve">Supreme Court of Appeal </w:t>
      </w:r>
      <w:r w:rsidRPr="003F14FD">
        <w:rPr>
          <w:rFonts w:ascii="Arial" w:hAnsi="Arial" w:cs="Arial"/>
          <w:sz w:val="24"/>
          <w:szCs w:val="24"/>
          <w:lang w:val="en-GB"/>
        </w:rPr>
        <w:t>said,  “for a court to declare a transaction a simulation it does not have to look at any particular legislation but has to look at the facts of each particular case.”</w:t>
      </w:r>
      <w:r>
        <w:rPr>
          <w:rStyle w:val="FootnoteReference"/>
          <w:rFonts w:ascii="Arial" w:hAnsi="Arial" w:cs="Arial"/>
          <w:sz w:val="24"/>
          <w:szCs w:val="24"/>
          <w:lang w:val="en-GB"/>
        </w:rPr>
        <w:footnoteReference w:id="33"/>
      </w:r>
      <w:r w:rsidRPr="003F14FD">
        <w:rPr>
          <w:rFonts w:ascii="Arial" w:hAnsi="Arial" w:cs="Arial"/>
          <w:sz w:val="24"/>
          <w:szCs w:val="24"/>
          <w:lang w:val="en-GB"/>
        </w:rPr>
        <w:t xml:space="preserve"> This is in light of the </w:t>
      </w:r>
      <w:r w:rsidR="003543D3">
        <w:rPr>
          <w:rFonts w:ascii="Arial" w:hAnsi="Arial" w:cs="Arial"/>
          <w:sz w:val="24"/>
          <w:szCs w:val="24"/>
          <w:lang w:val="en-GB"/>
        </w:rPr>
        <w:t>j</w:t>
      </w:r>
      <w:r w:rsidRPr="003F14FD">
        <w:rPr>
          <w:rFonts w:ascii="Arial" w:hAnsi="Arial" w:cs="Arial"/>
          <w:sz w:val="24"/>
          <w:szCs w:val="24"/>
          <w:lang w:val="en-GB"/>
        </w:rPr>
        <w:t xml:space="preserve">udgment of </w:t>
      </w:r>
      <w:r w:rsidRPr="00416856">
        <w:rPr>
          <w:rFonts w:ascii="Arial" w:hAnsi="Arial" w:cs="Arial"/>
          <w:i/>
          <w:sz w:val="24"/>
          <w:szCs w:val="24"/>
          <w:lang w:val="en-GB"/>
        </w:rPr>
        <w:t>Zandberg v van Zyl</w:t>
      </w:r>
      <w:r w:rsidRPr="003F14FD">
        <w:rPr>
          <w:rFonts w:ascii="Arial" w:hAnsi="Arial" w:cs="Arial"/>
          <w:sz w:val="24"/>
          <w:szCs w:val="24"/>
          <w:lang w:val="en-GB"/>
        </w:rPr>
        <w:t xml:space="preserve"> </w:t>
      </w:r>
      <w:r w:rsidR="00416856">
        <w:rPr>
          <w:rStyle w:val="FootnoteReference"/>
          <w:rFonts w:ascii="Arial" w:hAnsi="Arial" w:cs="Arial"/>
          <w:sz w:val="24"/>
          <w:szCs w:val="24"/>
          <w:lang w:val="en-GB"/>
        </w:rPr>
        <w:footnoteReference w:id="34"/>
      </w:r>
      <w:r w:rsidR="00DE398B">
        <w:rPr>
          <w:rFonts w:ascii="Arial" w:hAnsi="Arial" w:cs="Arial"/>
          <w:sz w:val="24"/>
          <w:szCs w:val="24"/>
          <w:lang w:val="en-GB"/>
        </w:rPr>
        <w:t xml:space="preserve"> </w:t>
      </w:r>
      <w:r w:rsidRPr="003F14FD">
        <w:rPr>
          <w:rFonts w:ascii="Arial" w:hAnsi="Arial" w:cs="Arial"/>
          <w:sz w:val="24"/>
          <w:szCs w:val="24"/>
          <w:lang w:val="en-GB"/>
        </w:rPr>
        <w:t>where the court said “the inquiry, therefore, is in each case one of fact, for the right solution of which no general rule can be laid down. Perezius (Ad . Cod, 4.22.2) remarks that these simulations may be detected by considering the facts leading up to the contract, and by taking account of any unusual provision embodied in it.”</w:t>
      </w:r>
      <w:r w:rsidR="00416856">
        <w:rPr>
          <w:rFonts w:ascii="Arial" w:hAnsi="Arial" w:cs="Arial"/>
          <w:sz w:val="24"/>
          <w:szCs w:val="24"/>
          <w:lang w:val="en-GB"/>
        </w:rPr>
        <w:t xml:space="preserve"> </w:t>
      </w:r>
      <w:r>
        <w:rPr>
          <w:rStyle w:val="FootnoteReference"/>
          <w:rFonts w:ascii="Arial" w:hAnsi="Arial" w:cs="Arial"/>
          <w:sz w:val="24"/>
          <w:szCs w:val="24"/>
          <w:lang w:val="en-GB"/>
        </w:rPr>
        <w:footnoteReference w:id="35"/>
      </w:r>
    </w:p>
    <w:p w14:paraId="35B66ACB" w14:textId="297F7894" w:rsidR="00C56B27" w:rsidRPr="00C56B27" w:rsidRDefault="00C56B27" w:rsidP="00C56B27">
      <w:pPr>
        <w:spacing w:after="0" w:line="480" w:lineRule="auto"/>
        <w:jc w:val="both"/>
        <w:rPr>
          <w:rFonts w:ascii="Arial" w:hAnsi="Arial" w:cs="Arial"/>
          <w:sz w:val="24"/>
          <w:szCs w:val="24"/>
          <w:lang w:val="en-GB"/>
        </w:rPr>
      </w:pPr>
      <w:r w:rsidRPr="00C56B27">
        <w:rPr>
          <w:rFonts w:ascii="Arial" w:hAnsi="Arial" w:cs="Arial"/>
          <w:sz w:val="24"/>
          <w:szCs w:val="24"/>
          <w:lang w:val="en-GB"/>
        </w:rPr>
        <w:lastRenderedPageBreak/>
        <w:t>[</w:t>
      </w:r>
      <w:r w:rsidR="00265D31">
        <w:rPr>
          <w:rFonts w:ascii="Arial" w:hAnsi="Arial" w:cs="Arial"/>
          <w:sz w:val="24"/>
          <w:szCs w:val="24"/>
          <w:lang w:val="en-GB"/>
        </w:rPr>
        <w:t>5</w:t>
      </w:r>
      <w:r w:rsidR="00EE4469">
        <w:rPr>
          <w:rFonts w:ascii="Arial" w:hAnsi="Arial" w:cs="Arial"/>
          <w:sz w:val="24"/>
          <w:szCs w:val="24"/>
          <w:lang w:val="en-GB"/>
        </w:rPr>
        <w:t>9</w:t>
      </w:r>
      <w:r w:rsidRPr="00C56B27">
        <w:rPr>
          <w:rFonts w:ascii="Arial" w:hAnsi="Arial" w:cs="Arial"/>
          <w:sz w:val="24"/>
          <w:szCs w:val="24"/>
          <w:lang w:val="en-GB"/>
        </w:rPr>
        <w:t>]</w:t>
      </w:r>
      <w:r w:rsidRPr="00C56B27">
        <w:rPr>
          <w:rFonts w:ascii="Arial" w:hAnsi="Arial" w:cs="Arial"/>
          <w:sz w:val="24"/>
          <w:szCs w:val="24"/>
          <w:lang w:val="en-GB"/>
        </w:rPr>
        <w:tab/>
      </w:r>
      <w:r w:rsidRPr="00DE398B">
        <w:rPr>
          <w:rFonts w:ascii="Arial" w:hAnsi="Arial" w:cs="Arial"/>
          <w:i/>
          <w:sz w:val="24"/>
          <w:szCs w:val="24"/>
          <w:lang w:val="en-GB"/>
        </w:rPr>
        <w:t xml:space="preserve">Roshcon </w:t>
      </w:r>
      <w:r w:rsidRPr="00C56B27">
        <w:rPr>
          <w:rFonts w:ascii="Arial" w:hAnsi="Arial" w:cs="Arial"/>
          <w:sz w:val="24"/>
          <w:szCs w:val="24"/>
          <w:lang w:val="en-GB"/>
        </w:rPr>
        <w:t>made it clear that “the position remains that the court examines the transaction as a whole, including all surrounding circumstances, any unusual features of the transaction and the manner in which the parties intend to implement it, before determining in any particular case whether a transaction is simulated.”</w:t>
      </w:r>
      <w:r w:rsidR="00DE398B">
        <w:rPr>
          <w:rStyle w:val="FootnoteReference"/>
          <w:rFonts w:ascii="Arial" w:hAnsi="Arial" w:cs="Arial"/>
          <w:sz w:val="24"/>
          <w:szCs w:val="24"/>
          <w:lang w:val="en-GB"/>
        </w:rPr>
        <w:footnoteReference w:id="36"/>
      </w:r>
    </w:p>
    <w:p w14:paraId="694BC8F2" w14:textId="1CEC27FF" w:rsidR="00C56B27" w:rsidRPr="00C56B27" w:rsidRDefault="00DE398B" w:rsidP="00C56B27">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60</w:t>
      </w:r>
      <w:r w:rsidR="00C56B27" w:rsidRPr="00C56B27">
        <w:rPr>
          <w:rFonts w:ascii="Arial" w:hAnsi="Arial" w:cs="Arial"/>
          <w:sz w:val="24"/>
          <w:szCs w:val="24"/>
          <w:lang w:val="en-GB"/>
        </w:rPr>
        <w:t>]</w:t>
      </w:r>
      <w:r w:rsidR="00C56B27" w:rsidRPr="00C56B27">
        <w:rPr>
          <w:rFonts w:ascii="Arial" w:hAnsi="Arial" w:cs="Arial"/>
          <w:sz w:val="24"/>
          <w:szCs w:val="24"/>
          <w:lang w:val="en-GB"/>
        </w:rPr>
        <w:tab/>
        <w:t xml:space="preserve">Similarly, in </w:t>
      </w:r>
      <w:r w:rsidR="00C56B27" w:rsidRPr="00DE398B">
        <w:rPr>
          <w:rFonts w:ascii="Arial" w:hAnsi="Arial" w:cs="Arial"/>
          <w:i/>
          <w:sz w:val="24"/>
          <w:szCs w:val="24"/>
          <w:lang w:val="en-GB"/>
        </w:rPr>
        <w:t>Commissioner For The South African Revenue Service v Bosch</w:t>
      </w:r>
      <w:r w:rsidR="00C56B27" w:rsidRPr="00C56B27">
        <w:rPr>
          <w:rFonts w:ascii="Arial" w:hAnsi="Arial" w:cs="Arial"/>
          <w:sz w:val="24"/>
          <w:szCs w:val="24"/>
          <w:lang w:val="en-GB"/>
        </w:rPr>
        <w:t xml:space="preserve"> </w:t>
      </w:r>
      <w:r>
        <w:rPr>
          <w:rStyle w:val="FootnoteReference"/>
          <w:rFonts w:ascii="Arial" w:hAnsi="Arial" w:cs="Arial"/>
          <w:sz w:val="24"/>
          <w:szCs w:val="24"/>
          <w:lang w:val="en-GB"/>
        </w:rPr>
        <w:footnoteReference w:id="37"/>
      </w:r>
      <w:r>
        <w:rPr>
          <w:rFonts w:ascii="Arial" w:hAnsi="Arial" w:cs="Arial"/>
          <w:sz w:val="24"/>
          <w:szCs w:val="24"/>
          <w:lang w:val="en-GB"/>
        </w:rPr>
        <w:t xml:space="preserve"> </w:t>
      </w:r>
      <w:r w:rsidR="00C56B27" w:rsidRPr="00C56B27">
        <w:rPr>
          <w:rFonts w:ascii="Arial" w:hAnsi="Arial" w:cs="Arial"/>
          <w:sz w:val="24"/>
          <w:szCs w:val="24"/>
          <w:lang w:val="en-GB"/>
        </w:rPr>
        <w:t>the S</w:t>
      </w:r>
      <w:r w:rsidR="001534C3">
        <w:rPr>
          <w:rFonts w:ascii="Arial" w:hAnsi="Arial" w:cs="Arial"/>
          <w:sz w:val="24"/>
          <w:szCs w:val="24"/>
          <w:lang w:val="en-GB"/>
        </w:rPr>
        <w:t xml:space="preserve">upreme Court of Appeal </w:t>
      </w:r>
      <w:r w:rsidR="00C56B27" w:rsidRPr="00C56B27">
        <w:rPr>
          <w:rFonts w:ascii="Arial" w:hAnsi="Arial" w:cs="Arial"/>
          <w:sz w:val="24"/>
          <w:szCs w:val="24"/>
          <w:lang w:val="en-GB"/>
        </w:rPr>
        <w:t xml:space="preserve">said, “simulation is a question of the genuineness of the transaction under consideration. If it is genuine then it is not simulated, and if it is simulated then it is a dishonest transaction, whatever the motives of those who concluded the transaction. The true position is that ‘the court examines the transaction as a whole, including all surrounding circumstances, any unusual features of the transaction and the manner in which the parties intend to implement it, before determining in any particular case whether a transaction is simulated.’” </w:t>
      </w:r>
      <w:r>
        <w:rPr>
          <w:rStyle w:val="FootnoteReference"/>
          <w:rFonts w:ascii="Arial" w:hAnsi="Arial" w:cs="Arial"/>
          <w:sz w:val="24"/>
          <w:szCs w:val="24"/>
          <w:lang w:val="en-GB"/>
        </w:rPr>
        <w:footnoteReference w:id="38"/>
      </w:r>
    </w:p>
    <w:p w14:paraId="25CDC533" w14:textId="1A622CA0" w:rsidR="00C56B27" w:rsidRDefault="001534C3" w:rsidP="00C56B27">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61</w:t>
      </w:r>
      <w:r w:rsidR="00C56B27" w:rsidRPr="00C56B27">
        <w:rPr>
          <w:rFonts w:ascii="Arial" w:hAnsi="Arial" w:cs="Arial"/>
          <w:sz w:val="24"/>
          <w:szCs w:val="24"/>
          <w:lang w:val="en-GB"/>
        </w:rPr>
        <w:t>]</w:t>
      </w:r>
      <w:r w:rsidR="00C56B27" w:rsidRPr="00C56B27">
        <w:rPr>
          <w:rFonts w:ascii="Arial" w:hAnsi="Arial" w:cs="Arial"/>
          <w:sz w:val="24"/>
          <w:szCs w:val="24"/>
          <w:lang w:val="en-GB"/>
        </w:rPr>
        <w:tab/>
        <w:t xml:space="preserve">In light of these quoted </w:t>
      </w:r>
      <w:r w:rsidR="00E6179C">
        <w:rPr>
          <w:rFonts w:ascii="Arial" w:hAnsi="Arial" w:cs="Arial"/>
          <w:sz w:val="24"/>
          <w:szCs w:val="24"/>
          <w:lang w:val="en-GB"/>
        </w:rPr>
        <w:t>cases</w:t>
      </w:r>
      <w:r w:rsidR="00C56B27" w:rsidRPr="00C56B27">
        <w:rPr>
          <w:rFonts w:ascii="Arial" w:hAnsi="Arial" w:cs="Arial"/>
          <w:sz w:val="24"/>
          <w:szCs w:val="24"/>
          <w:lang w:val="en-GB"/>
        </w:rPr>
        <w:t xml:space="preserve">, it is clear that the correct test for examining whether a transaction is a simulated one or not is by considering the facts. </w:t>
      </w:r>
    </w:p>
    <w:p w14:paraId="25A5822A" w14:textId="6777C793" w:rsidR="00C1454B" w:rsidRPr="00C1454B" w:rsidRDefault="007542F1" w:rsidP="00C1454B">
      <w:pPr>
        <w:spacing w:after="0" w:line="480" w:lineRule="auto"/>
        <w:jc w:val="both"/>
        <w:rPr>
          <w:rFonts w:ascii="Arial" w:hAnsi="Arial" w:cs="Arial"/>
          <w:sz w:val="24"/>
          <w:szCs w:val="24"/>
          <w:lang w:val="en-GB"/>
        </w:rPr>
      </w:pPr>
      <w:r w:rsidRPr="007542F1">
        <w:rPr>
          <w:rFonts w:ascii="Arial" w:hAnsi="Arial" w:cs="Arial"/>
          <w:sz w:val="24"/>
          <w:szCs w:val="24"/>
          <w:lang w:val="en-GB"/>
        </w:rPr>
        <w:t>[</w:t>
      </w:r>
      <w:r w:rsidR="00EE4469">
        <w:rPr>
          <w:rFonts w:ascii="Arial" w:hAnsi="Arial" w:cs="Arial"/>
          <w:sz w:val="24"/>
          <w:szCs w:val="24"/>
          <w:lang w:val="en-GB"/>
        </w:rPr>
        <w:t>62</w:t>
      </w:r>
      <w:r w:rsidRPr="007542F1">
        <w:rPr>
          <w:rFonts w:ascii="Arial" w:hAnsi="Arial" w:cs="Arial"/>
          <w:sz w:val="24"/>
          <w:szCs w:val="24"/>
          <w:lang w:val="en-GB"/>
        </w:rPr>
        <w:t>]</w:t>
      </w:r>
      <w:r w:rsidRPr="007542F1">
        <w:rPr>
          <w:rFonts w:ascii="Arial" w:hAnsi="Arial" w:cs="Arial"/>
          <w:sz w:val="24"/>
          <w:szCs w:val="24"/>
          <w:lang w:val="en-GB"/>
        </w:rPr>
        <w:tab/>
        <w:t>Southey</w:t>
      </w:r>
      <w:r w:rsidR="00E228FD">
        <w:rPr>
          <w:rFonts w:ascii="Arial" w:hAnsi="Arial" w:cs="Arial"/>
          <w:sz w:val="24"/>
          <w:szCs w:val="24"/>
          <w:lang w:val="en-GB"/>
        </w:rPr>
        <w:t xml:space="preserve">’s argument </w:t>
      </w:r>
      <w:r w:rsidRPr="007542F1">
        <w:rPr>
          <w:rFonts w:ascii="Arial" w:hAnsi="Arial" w:cs="Arial"/>
          <w:sz w:val="24"/>
          <w:szCs w:val="24"/>
          <w:lang w:val="en-GB"/>
        </w:rPr>
        <w:t xml:space="preserve">that </w:t>
      </w:r>
      <w:r w:rsidR="00E228FD">
        <w:rPr>
          <w:rFonts w:ascii="Arial" w:hAnsi="Arial" w:cs="Arial"/>
          <w:sz w:val="24"/>
          <w:szCs w:val="24"/>
          <w:lang w:val="en-GB"/>
        </w:rPr>
        <w:t xml:space="preserve">the contracts entered into between </w:t>
      </w:r>
      <w:r w:rsidRPr="007542F1">
        <w:rPr>
          <w:rFonts w:ascii="Arial" w:hAnsi="Arial" w:cs="Arial"/>
          <w:sz w:val="24"/>
          <w:szCs w:val="24"/>
          <w:lang w:val="en-GB"/>
        </w:rPr>
        <w:t>Eskom and the successful tenderers were simulated transactions, disguised to evade statutory prohibitions under the CIDB Act and its regulations</w:t>
      </w:r>
      <w:r w:rsidR="00E228FD">
        <w:rPr>
          <w:rFonts w:ascii="Arial" w:hAnsi="Arial" w:cs="Arial"/>
          <w:sz w:val="24"/>
          <w:szCs w:val="24"/>
          <w:lang w:val="en-GB"/>
        </w:rPr>
        <w:t>, does not stand</w:t>
      </w:r>
      <w:r w:rsidRPr="007542F1">
        <w:rPr>
          <w:rFonts w:ascii="Arial" w:hAnsi="Arial" w:cs="Arial"/>
          <w:sz w:val="24"/>
          <w:szCs w:val="24"/>
          <w:lang w:val="en-GB"/>
        </w:rPr>
        <w:t xml:space="preserve">. </w:t>
      </w:r>
      <w:r w:rsidR="00C1454B" w:rsidRPr="00C1454B">
        <w:rPr>
          <w:rFonts w:ascii="Arial" w:hAnsi="Arial" w:cs="Arial"/>
          <w:sz w:val="24"/>
          <w:szCs w:val="24"/>
          <w:lang w:val="en-GB"/>
        </w:rPr>
        <w:t>Eskom made it clear in its responses to the clarification questions posted in Eskom’s Tender Bulletin at the time that the quantities</w:t>
      </w:r>
      <w:r w:rsidR="00E228FD">
        <w:rPr>
          <w:rFonts w:ascii="Arial" w:hAnsi="Arial" w:cs="Arial"/>
          <w:sz w:val="24"/>
          <w:szCs w:val="24"/>
          <w:lang w:val="en-GB"/>
        </w:rPr>
        <w:t>,</w:t>
      </w:r>
      <w:r w:rsidR="00C1454B" w:rsidRPr="00C1454B">
        <w:rPr>
          <w:rFonts w:ascii="Arial" w:hAnsi="Arial" w:cs="Arial"/>
          <w:sz w:val="24"/>
          <w:szCs w:val="24"/>
          <w:lang w:val="en-GB"/>
        </w:rPr>
        <w:t xml:space="preserve"> as contained in the bill of quantities</w:t>
      </w:r>
      <w:r w:rsidR="00E228FD">
        <w:rPr>
          <w:rFonts w:ascii="Arial" w:hAnsi="Arial" w:cs="Arial"/>
          <w:sz w:val="24"/>
          <w:szCs w:val="24"/>
          <w:lang w:val="en-GB"/>
        </w:rPr>
        <w:t>,</w:t>
      </w:r>
      <w:r w:rsidR="00C1454B" w:rsidRPr="00C1454B">
        <w:rPr>
          <w:rFonts w:ascii="Arial" w:hAnsi="Arial" w:cs="Arial"/>
          <w:sz w:val="24"/>
          <w:szCs w:val="24"/>
          <w:lang w:val="en-GB"/>
        </w:rPr>
        <w:t xml:space="preserve"> were provided for estimation purposes and that the contracts to be awarded were rate-based contracts.   There was no objection to this clarification; nor any PAJA or legality challenge.</w:t>
      </w:r>
      <w:r w:rsidR="00E228FD">
        <w:rPr>
          <w:rFonts w:ascii="Arial" w:hAnsi="Arial" w:cs="Arial"/>
          <w:sz w:val="24"/>
          <w:szCs w:val="24"/>
          <w:lang w:val="en-GB"/>
        </w:rPr>
        <w:t xml:space="preserve"> </w:t>
      </w:r>
      <w:r w:rsidR="00C1454B" w:rsidRPr="00C1454B">
        <w:rPr>
          <w:rFonts w:ascii="Arial" w:hAnsi="Arial" w:cs="Arial"/>
          <w:sz w:val="24"/>
          <w:szCs w:val="24"/>
          <w:lang w:val="en-GB"/>
        </w:rPr>
        <w:t xml:space="preserve">This is in line with what is stated in the “Approval of negotiated outcome” document. This is fully explained by Eskom’s expert witness who had personal knowledge of the facts </w:t>
      </w:r>
      <w:r w:rsidR="00C1454B" w:rsidRPr="00C1454B">
        <w:rPr>
          <w:rFonts w:ascii="Arial" w:hAnsi="Arial" w:cs="Arial"/>
          <w:sz w:val="24"/>
          <w:szCs w:val="24"/>
          <w:lang w:val="en-GB"/>
        </w:rPr>
        <w:lastRenderedPageBreak/>
        <w:t xml:space="preserve">that Eskom’s Approval of Negotiated Outcome and feedback Report recorded that the estimated spend for each of </w:t>
      </w:r>
      <w:r w:rsidR="00E228FD">
        <w:rPr>
          <w:rFonts w:ascii="Arial" w:hAnsi="Arial" w:cs="Arial"/>
          <w:sz w:val="24"/>
          <w:szCs w:val="24"/>
          <w:lang w:val="en-GB"/>
        </w:rPr>
        <w:t xml:space="preserve">the </w:t>
      </w:r>
      <w:r w:rsidR="00C1454B" w:rsidRPr="00C1454B">
        <w:rPr>
          <w:rFonts w:ascii="Arial" w:hAnsi="Arial" w:cs="Arial"/>
          <w:sz w:val="24"/>
          <w:szCs w:val="24"/>
          <w:lang w:val="en-GB"/>
        </w:rPr>
        <w:t xml:space="preserve">clusters 1 to 7 was R1 811 919 333.9225 and the estimated spend for cluster 8 (one power station) was R905 959 666.96.26 which was higher than the approved budget. </w:t>
      </w:r>
      <w:r w:rsidR="00E228FD">
        <w:rPr>
          <w:rFonts w:ascii="Arial" w:hAnsi="Arial" w:cs="Arial"/>
          <w:sz w:val="24"/>
          <w:szCs w:val="24"/>
          <w:lang w:val="en-GB"/>
        </w:rPr>
        <w:t xml:space="preserve">The expert </w:t>
      </w:r>
      <w:r w:rsidR="00C1454B" w:rsidRPr="00C1454B">
        <w:rPr>
          <w:rFonts w:ascii="Arial" w:hAnsi="Arial" w:cs="Arial"/>
          <w:sz w:val="24"/>
          <w:szCs w:val="24"/>
          <w:lang w:val="en-GB"/>
        </w:rPr>
        <w:t>confirm</w:t>
      </w:r>
      <w:r w:rsidR="00E228FD">
        <w:rPr>
          <w:rFonts w:ascii="Arial" w:hAnsi="Arial" w:cs="Arial"/>
          <w:sz w:val="24"/>
          <w:szCs w:val="24"/>
          <w:lang w:val="en-GB"/>
        </w:rPr>
        <w:t>ed</w:t>
      </w:r>
      <w:r w:rsidR="00C1454B" w:rsidRPr="00C1454B">
        <w:rPr>
          <w:rFonts w:ascii="Arial" w:hAnsi="Arial" w:cs="Arial"/>
          <w:sz w:val="24"/>
          <w:szCs w:val="24"/>
          <w:lang w:val="en-GB"/>
        </w:rPr>
        <w:t xml:space="preserve"> that the envisaged contracts are rate</w:t>
      </w:r>
      <w:r w:rsidR="000D1F51">
        <w:rPr>
          <w:rFonts w:ascii="Arial" w:hAnsi="Arial" w:cs="Arial"/>
          <w:sz w:val="24"/>
          <w:szCs w:val="24"/>
          <w:lang w:val="en-GB"/>
        </w:rPr>
        <w:t>s-</w:t>
      </w:r>
      <w:r w:rsidR="00C1454B" w:rsidRPr="00C1454B">
        <w:rPr>
          <w:rFonts w:ascii="Arial" w:hAnsi="Arial" w:cs="Arial"/>
          <w:sz w:val="24"/>
          <w:szCs w:val="24"/>
          <w:lang w:val="en-GB"/>
        </w:rPr>
        <w:t>based rather than volume-based</w:t>
      </w:r>
      <w:r w:rsidR="000D1F51">
        <w:rPr>
          <w:rFonts w:ascii="Arial" w:hAnsi="Arial" w:cs="Arial"/>
          <w:sz w:val="24"/>
          <w:szCs w:val="24"/>
          <w:lang w:val="en-GB"/>
        </w:rPr>
        <w:t xml:space="preserve"> (which would be the same as price-based)</w:t>
      </w:r>
      <w:r w:rsidR="00C1454B" w:rsidRPr="00C1454B">
        <w:rPr>
          <w:rFonts w:ascii="Arial" w:hAnsi="Arial" w:cs="Arial"/>
          <w:sz w:val="24"/>
          <w:szCs w:val="24"/>
          <w:lang w:val="en-GB"/>
        </w:rPr>
        <w:t>. This was due to the specified quantities issued with the Tender being inflated</w:t>
      </w:r>
      <w:r w:rsidR="000D1F51">
        <w:rPr>
          <w:rFonts w:ascii="Arial" w:hAnsi="Arial" w:cs="Arial"/>
          <w:sz w:val="24"/>
          <w:szCs w:val="24"/>
          <w:lang w:val="en-GB"/>
        </w:rPr>
        <w:t>, in order to give Eskom more accurate rates based on bulk supply</w:t>
      </w:r>
      <w:r w:rsidR="00C1454B" w:rsidRPr="00C1454B">
        <w:rPr>
          <w:rFonts w:ascii="Arial" w:hAnsi="Arial" w:cs="Arial"/>
          <w:sz w:val="24"/>
          <w:szCs w:val="24"/>
          <w:lang w:val="en-GB"/>
        </w:rPr>
        <w:t>. However, given that this is an enabling contract and a rate</w:t>
      </w:r>
      <w:r w:rsidR="000D1F51">
        <w:rPr>
          <w:rFonts w:ascii="Arial" w:hAnsi="Arial" w:cs="Arial"/>
          <w:sz w:val="24"/>
          <w:szCs w:val="24"/>
          <w:lang w:val="en-GB"/>
        </w:rPr>
        <w:t>s-</w:t>
      </w:r>
      <w:r w:rsidR="00C1454B" w:rsidRPr="00C1454B">
        <w:rPr>
          <w:rFonts w:ascii="Arial" w:hAnsi="Arial" w:cs="Arial"/>
          <w:sz w:val="24"/>
          <w:szCs w:val="24"/>
          <w:lang w:val="en-GB"/>
        </w:rPr>
        <w:t xml:space="preserve">based contract rather than volume based, this would not implicate the approved budget. </w:t>
      </w:r>
    </w:p>
    <w:p w14:paraId="597F3F67" w14:textId="343A0C5F" w:rsidR="00C1454B" w:rsidRPr="00C1454B" w:rsidRDefault="00E228FD" w:rsidP="00C1454B">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63</w:t>
      </w:r>
      <w:r>
        <w:rPr>
          <w:rFonts w:ascii="Arial" w:hAnsi="Arial" w:cs="Arial"/>
          <w:sz w:val="24"/>
          <w:szCs w:val="24"/>
          <w:lang w:val="en-GB"/>
        </w:rPr>
        <w:t>]</w:t>
      </w:r>
      <w:r w:rsidR="00C1454B" w:rsidRPr="00C1454B">
        <w:rPr>
          <w:rFonts w:ascii="Arial" w:hAnsi="Arial" w:cs="Arial"/>
          <w:sz w:val="24"/>
          <w:szCs w:val="24"/>
          <w:lang w:val="en-GB"/>
        </w:rPr>
        <w:tab/>
        <w:t xml:space="preserve">Southey’s contentions ignore these explanations and </w:t>
      </w:r>
      <w:r w:rsidR="00265D31">
        <w:rPr>
          <w:rFonts w:ascii="Arial" w:hAnsi="Arial" w:cs="Arial"/>
          <w:sz w:val="24"/>
          <w:szCs w:val="24"/>
          <w:lang w:val="en-GB"/>
        </w:rPr>
        <w:t>with no basis</w:t>
      </w:r>
      <w:r w:rsidR="00265D31" w:rsidRPr="00C1454B">
        <w:rPr>
          <w:rFonts w:ascii="Arial" w:hAnsi="Arial" w:cs="Arial"/>
          <w:sz w:val="24"/>
          <w:szCs w:val="24"/>
          <w:lang w:val="en-GB"/>
        </w:rPr>
        <w:t xml:space="preserve"> </w:t>
      </w:r>
      <w:r w:rsidR="00C1454B" w:rsidRPr="00C1454B">
        <w:rPr>
          <w:rFonts w:ascii="Arial" w:hAnsi="Arial" w:cs="Arial"/>
          <w:sz w:val="24"/>
          <w:szCs w:val="24"/>
          <w:lang w:val="en-GB"/>
        </w:rPr>
        <w:t>allege an attempt by Eskom to mislead the Court a quo regarding the budget of R4,5 billion.</w:t>
      </w:r>
    </w:p>
    <w:p w14:paraId="01B02A76" w14:textId="501F7793" w:rsidR="00C1454B" w:rsidRPr="00C1454B" w:rsidRDefault="00E228FD" w:rsidP="00C1454B">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64</w:t>
      </w:r>
      <w:r>
        <w:rPr>
          <w:rFonts w:ascii="Arial" w:hAnsi="Arial" w:cs="Arial"/>
          <w:sz w:val="24"/>
          <w:szCs w:val="24"/>
          <w:lang w:val="en-GB"/>
        </w:rPr>
        <w:t>]</w:t>
      </w:r>
      <w:r w:rsidR="00C1454B" w:rsidRPr="00C1454B">
        <w:rPr>
          <w:rFonts w:ascii="Arial" w:hAnsi="Arial" w:cs="Arial"/>
          <w:sz w:val="24"/>
          <w:szCs w:val="24"/>
          <w:lang w:val="en-GB"/>
        </w:rPr>
        <w:tab/>
        <w:t>Having indicated from the beginning that it intended to conclude rate</w:t>
      </w:r>
      <w:r w:rsidR="000D1F51">
        <w:rPr>
          <w:rFonts w:ascii="Arial" w:hAnsi="Arial" w:cs="Arial"/>
          <w:sz w:val="24"/>
          <w:szCs w:val="24"/>
          <w:lang w:val="en-GB"/>
        </w:rPr>
        <w:t>s</w:t>
      </w:r>
      <w:r w:rsidR="00C1454B" w:rsidRPr="00C1454B">
        <w:rPr>
          <w:rFonts w:ascii="Arial" w:hAnsi="Arial" w:cs="Arial"/>
          <w:sz w:val="24"/>
          <w:szCs w:val="24"/>
          <w:lang w:val="en-GB"/>
        </w:rPr>
        <w:t xml:space="preserve">-based contracts, Eskom was </w:t>
      </w:r>
      <w:r w:rsidR="00265D31">
        <w:rPr>
          <w:rFonts w:ascii="Arial" w:hAnsi="Arial" w:cs="Arial"/>
          <w:sz w:val="24"/>
          <w:szCs w:val="24"/>
          <w:lang w:val="en-GB"/>
        </w:rPr>
        <w:t>entitled</w:t>
      </w:r>
      <w:r w:rsidR="00265D31" w:rsidRPr="00C1454B">
        <w:rPr>
          <w:rFonts w:ascii="Arial" w:hAnsi="Arial" w:cs="Arial"/>
          <w:sz w:val="24"/>
          <w:szCs w:val="24"/>
          <w:lang w:val="en-GB"/>
        </w:rPr>
        <w:t xml:space="preserve"> </w:t>
      </w:r>
      <w:r w:rsidR="00C1454B" w:rsidRPr="00C1454B">
        <w:rPr>
          <w:rFonts w:ascii="Arial" w:hAnsi="Arial" w:cs="Arial"/>
          <w:sz w:val="24"/>
          <w:szCs w:val="24"/>
          <w:lang w:val="en-GB"/>
        </w:rPr>
        <w:t>to conclude the tender contract on a rates basis.</w:t>
      </w:r>
    </w:p>
    <w:p w14:paraId="427F9E6E" w14:textId="4BC40299" w:rsidR="00C1454B" w:rsidRPr="007542F1" w:rsidRDefault="00E228FD" w:rsidP="00C1454B">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65</w:t>
      </w:r>
      <w:r>
        <w:rPr>
          <w:rFonts w:ascii="Arial" w:hAnsi="Arial" w:cs="Arial"/>
          <w:sz w:val="24"/>
          <w:szCs w:val="24"/>
          <w:lang w:val="en-GB"/>
        </w:rPr>
        <w:t>]</w:t>
      </w:r>
      <w:r w:rsidR="00C1454B" w:rsidRPr="00C1454B">
        <w:rPr>
          <w:rFonts w:ascii="Arial" w:hAnsi="Arial" w:cs="Arial"/>
          <w:sz w:val="24"/>
          <w:szCs w:val="24"/>
          <w:lang w:val="en-GB"/>
        </w:rPr>
        <w:tab/>
        <w:t>Southey has not established any simulation.  There is no simulation relevant to the merits of the review or to the just and equitable remedy sought.</w:t>
      </w:r>
    </w:p>
    <w:p w14:paraId="5554AECC" w14:textId="77777777" w:rsidR="00265D31" w:rsidRDefault="00265D31" w:rsidP="008D7A84">
      <w:pPr>
        <w:spacing w:after="0" w:line="480" w:lineRule="auto"/>
        <w:jc w:val="both"/>
        <w:rPr>
          <w:rFonts w:ascii="Arial" w:hAnsi="Arial" w:cs="Arial"/>
          <w:sz w:val="24"/>
          <w:szCs w:val="24"/>
          <w:u w:val="single"/>
          <w:lang w:val="en-GB"/>
        </w:rPr>
      </w:pPr>
    </w:p>
    <w:p w14:paraId="6AD0264B" w14:textId="63587FAB" w:rsidR="007422B9" w:rsidRDefault="007422B9" w:rsidP="008D7A84">
      <w:pPr>
        <w:spacing w:after="0" w:line="480" w:lineRule="auto"/>
        <w:jc w:val="both"/>
        <w:rPr>
          <w:rFonts w:ascii="Arial" w:hAnsi="Arial" w:cs="Arial"/>
          <w:sz w:val="24"/>
          <w:szCs w:val="24"/>
          <w:u w:val="single"/>
          <w:lang w:val="en-GB"/>
        </w:rPr>
      </w:pPr>
      <w:r w:rsidRPr="007422B9">
        <w:rPr>
          <w:rFonts w:ascii="Arial" w:hAnsi="Arial" w:cs="Arial"/>
          <w:sz w:val="24"/>
          <w:szCs w:val="24"/>
          <w:u w:val="single"/>
          <w:lang w:val="en-GB"/>
        </w:rPr>
        <w:t>SGB</w:t>
      </w:r>
      <w:r w:rsidR="000D1F51">
        <w:rPr>
          <w:rFonts w:ascii="Arial" w:hAnsi="Arial" w:cs="Arial"/>
          <w:sz w:val="24"/>
          <w:szCs w:val="24"/>
          <w:u w:val="single"/>
          <w:lang w:val="en-GB"/>
        </w:rPr>
        <w:t>’s remaining grounds of appeal</w:t>
      </w:r>
    </w:p>
    <w:p w14:paraId="468DC259" w14:textId="3092EA09" w:rsidR="001E02B1" w:rsidRDefault="00EE4469" w:rsidP="008D7A84">
      <w:pPr>
        <w:spacing w:after="0" w:line="480" w:lineRule="auto"/>
        <w:jc w:val="both"/>
        <w:rPr>
          <w:rFonts w:ascii="Arial" w:hAnsi="Arial" w:cs="Arial"/>
          <w:sz w:val="24"/>
          <w:szCs w:val="24"/>
          <w:lang w:val="en-GB"/>
        </w:rPr>
      </w:pPr>
      <w:r>
        <w:rPr>
          <w:rFonts w:ascii="Arial" w:hAnsi="Arial" w:cs="Arial"/>
          <w:sz w:val="24"/>
          <w:szCs w:val="24"/>
          <w:lang w:val="en-GB"/>
        </w:rPr>
        <w:t>[66</w:t>
      </w:r>
      <w:r w:rsidR="001E02B1">
        <w:rPr>
          <w:rFonts w:ascii="Arial" w:hAnsi="Arial" w:cs="Arial"/>
          <w:sz w:val="24"/>
          <w:szCs w:val="24"/>
          <w:lang w:val="en-GB"/>
        </w:rPr>
        <w:t>]</w:t>
      </w:r>
      <w:r w:rsidR="00F2536C">
        <w:rPr>
          <w:rFonts w:ascii="Arial" w:hAnsi="Arial" w:cs="Arial"/>
          <w:sz w:val="24"/>
          <w:szCs w:val="24"/>
          <w:lang w:val="en-GB"/>
        </w:rPr>
        <w:tab/>
      </w:r>
      <w:r w:rsidR="001E02B1">
        <w:rPr>
          <w:rFonts w:ascii="Arial" w:hAnsi="Arial" w:cs="Arial"/>
          <w:sz w:val="24"/>
          <w:szCs w:val="24"/>
          <w:lang w:val="en-GB"/>
        </w:rPr>
        <w:t xml:space="preserve"> The grounds on which SGB contends the Court </w:t>
      </w:r>
      <w:r w:rsidR="001E02B1">
        <w:rPr>
          <w:rFonts w:ascii="Arial" w:hAnsi="Arial" w:cs="Arial"/>
          <w:i/>
          <w:sz w:val="24"/>
          <w:szCs w:val="24"/>
          <w:lang w:val="en-GB"/>
        </w:rPr>
        <w:t xml:space="preserve">a quo </w:t>
      </w:r>
      <w:r w:rsidR="001E02B1">
        <w:rPr>
          <w:rFonts w:ascii="Arial" w:hAnsi="Arial" w:cs="Arial"/>
          <w:sz w:val="24"/>
          <w:szCs w:val="24"/>
          <w:lang w:val="en-GB"/>
        </w:rPr>
        <w:t xml:space="preserve">erred or misdirected itself </w:t>
      </w:r>
      <w:r w:rsidR="00CA5776">
        <w:rPr>
          <w:rFonts w:ascii="Arial" w:hAnsi="Arial" w:cs="Arial"/>
          <w:sz w:val="24"/>
          <w:szCs w:val="24"/>
          <w:lang w:val="en-GB"/>
        </w:rPr>
        <w:t>have already been deal</w:t>
      </w:r>
      <w:r w:rsidR="004544E1">
        <w:rPr>
          <w:rFonts w:ascii="Arial" w:hAnsi="Arial" w:cs="Arial"/>
          <w:sz w:val="24"/>
          <w:szCs w:val="24"/>
          <w:lang w:val="en-GB"/>
        </w:rPr>
        <w:t>t</w:t>
      </w:r>
      <w:r w:rsidR="00CA5776">
        <w:rPr>
          <w:rFonts w:ascii="Arial" w:hAnsi="Arial" w:cs="Arial"/>
          <w:sz w:val="24"/>
          <w:szCs w:val="24"/>
          <w:lang w:val="en-GB"/>
        </w:rPr>
        <w:t xml:space="preserve"> with earlier in this judgment.</w:t>
      </w:r>
      <w:r w:rsidR="005013C5">
        <w:rPr>
          <w:rFonts w:ascii="Arial" w:hAnsi="Arial" w:cs="Arial"/>
          <w:sz w:val="24"/>
          <w:szCs w:val="24"/>
          <w:lang w:val="en-GB"/>
        </w:rPr>
        <w:t xml:space="preserve"> They are primarily based on the cluster </w:t>
      </w:r>
      <w:r w:rsidR="007E5787">
        <w:rPr>
          <w:rFonts w:ascii="Arial" w:hAnsi="Arial" w:cs="Arial"/>
          <w:sz w:val="24"/>
          <w:szCs w:val="24"/>
          <w:lang w:val="en-GB"/>
        </w:rPr>
        <w:t xml:space="preserve">allocation policy, its </w:t>
      </w:r>
      <w:r w:rsidR="00991255">
        <w:rPr>
          <w:rFonts w:ascii="Arial" w:hAnsi="Arial" w:cs="Arial"/>
          <w:sz w:val="24"/>
          <w:szCs w:val="24"/>
          <w:lang w:val="en-GB"/>
        </w:rPr>
        <w:t>validity,</w:t>
      </w:r>
      <w:r w:rsidR="005013C5">
        <w:rPr>
          <w:rFonts w:ascii="Arial" w:hAnsi="Arial" w:cs="Arial"/>
          <w:sz w:val="24"/>
          <w:szCs w:val="24"/>
          <w:lang w:val="en-GB"/>
        </w:rPr>
        <w:t xml:space="preserve"> and the manner in which it was applied.</w:t>
      </w:r>
      <w:r w:rsidR="00CA5776">
        <w:rPr>
          <w:rFonts w:ascii="Arial" w:hAnsi="Arial" w:cs="Arial"/>
          <w:sz w:val="24"/>
          <w:szCs w:val="24"/>
          <w:lang w:val="en-GB"/>
        </w:rPr>
        <w:t xml:space="preserve"> It remains to deal with those grounds which SGB contends the court failed to consider.</w:t>
      </w:r>
    </w:p>
    <w:p w14:paraId="6B45DCD6" w14:textId="63A05D6B" w:rsidR="007422B9" w:rsidRDefault="005C4031" w:rsidP="004770D8">
      <w:pPr>
        <w:spacing w:after="0" w:line="480" w:lineRule="auto"/>
        <w:jc w:val="both"/>
        <w:rPr>
          <w:rFonts w:ascii="Arial" w:hAnsi="Arial" w:cs="Arial"/>
          <w:sz w:val="24"/>
          <w:szCs w:val="24"/>
          <w:lang w:val="en-GB"/>
        </w:rPr>
      </w:pPr>
      <w:r w:rsidRPr="0069000B">
        <w:rPr>
          <w:rFonts w:ascii="Arial" w:hAnsi="Arial" w:cs="Arial"/>
          <w:sz w:val="24"/>
          <w:szCs w:val="24"/>
          <w:lang w:val="en-GB"/>
        </w:rPr>
        <w:t>[</w:t>
      </w:r>
      <w:r w:rsidR="0033171A">
        <w:rPr>
          <w:rFonts w:ascii="Arial" w:hAnsi="Arial" w:cs="Arial"/>
          <w:sz w:val="24"/>
          <w:szCs w:val="24"/>
          <w:lang w:val="en-GB"/>
        </w:rPr>
        <w:t>6</w:t>
      </w:r>
      <w:r w:rsidR="00EE4469">
        <w:rPr>
          <w:rFonts w:ascii="Arial" w:hAnsi="Arial" w:cs="Arial"/>
          <w:sz w:val="24"/>
          <w:szCs w:val="24"/>
          <w:lang w:val="en-GB"/>
        </w:rPr>
        <w:t>7</w:t>
      </w:r>
      <w:r w:rsidRPr="0069000B">
        <w:rPr>
          <w:rFonts w:ascii="Arial" w:hAnsi="Arial" w:cs="Arial"/>
          <w:sz w:val="24"/>
          <w:szCs w:val="24"/>
          <w:lang w:val="en-GB"/>
        </w:rPr>
        <w:t>]</w:t>
      </w:r>
      <w:r w:rsidRPr="0069000B">
        <w:rPr>
          <w:rFonts w:ascii="Arial" w:hAnsi="Arial" w:cs="Arial"/>
          <w:sz w:val="24"/>
          <w:szCs w:val="24"/>
          <w:lang w:val="en-GB"/>
        </w:rPr>
        <w:tab/>
        <w:t xml:space="preserve">It was argued by SGB that the grounds not dealt with by the Court </w:t>
      </w:r>
      <w:r w:rsidRPr="007E5787">
        <w:rPr>
          <w:rFonts w:ascii="Arial" w:hAnsi="Arial" w:cs="Arial"/>
          <w:iCs/>
          <w:sz w:val="24"/>
          <w:szCs w:val="24"/>
          <w:lang w:val="en-GB"/>
        </w:rPr>
        <w:t>a quo</w:t>
      </w:r>
      <w:r w:rsidRPr="0069000B">
        <w:rPr>
          <w:rFonts w:ascii="Arial" w:hAnsi="Arial" w:cs="Arial"/>
          <w:sz w:val="24"/>
          <w:szCs w:val="24"/>
          <w:lang w:val="en-GB"/>
        </w:rPr>
        <w:t xml:space="preserve"> are good grounds which </w:t>
      </w:r>
      <w:r w:rsidR="0069000B" w:rsidRPr="0069000B">
        <w:rPr>
          <w:rFonts w:ascii="Arial" w:hAnsi="Arial" w:cs="Arial"/>
          <w:sz w:val="24"/>
          <w:szCs w:val="24"/>
          <w:lang w:val="en-GB"/>
        </w:rPr>
        <w:t>should result in the tender being set aside.</w:t>
      </w:r>
      <w:r w:rsidRPr="0069000B">
        <w:rPr>
          <w:rFonts w:ascii="Arial" w:hAnsi="Arial" w:cs="Arial"/>
          <w:sz w:val="24"/>
          <w:szCs w:val="24"/>
          <w:lang w:val="en-GB"/>
        </w:rPr>
        <w:t xml:space="preserve">  </w:t>
      </w:r>
      <w:r w:rsidR="00631EC8">
        <w:rPr>
          <w:rFonts w:ascii="Arial" w:hAnsi="Arial" w:cs="Arial"/>
          <w:sz w:val="24"/>
          <w:szCs w:val="24"/>
          <w:lang w:val="en-GB"/>
        </w:rPr>
        <w:t>These grounds ar</w:t>
      </w:r>
      <w:r w:rsidR="005013C5">
        <w:rPr>
          <w:rFonts w:ascii="Arial" w:hAnsi="Arial" w:cs="Arial"/>
          <w:sz w:val="24"/>
          <w:szCs w:val="24"/>
          <w:lang w:val="en-GB"/>
        </w:rPr>
        <w:t xml:space="preserve">e: </w:t>
      </w:r>
      <w:r w:rsidR="007C64F1">
        <w:rPr>
          <w:rFonts w:ascii="Arial" w:hAnsi="Arial" w:cs="Arial"/>
          <w:sz w:val="24"/>
          <w:szCs w:val="24"/>
          <w:lang w:val="en-GB"/>
        </w:rPr>
        <w:t xml:space="preserve">that </w:t>
      </w:r>
      <w:r w:rsidR="0033171A">
        <w:rPr>
          <w:rFonts w:ascii="Arial" w:hAnsi="Arial" w:cs="Arial"/>
          <w:sz w:val="24"/>
          <w:szCs w:val="24"/>
          <w:lang w:val="en-GB"/>
        </w:rPr>
        <w:t xml:space="preserve">Eskom </w:t>
      </w:r>
      <w:r w:rsidR="007C64F1">
        <w:rPr>
          <w:rFonts w:ascii="Arial" w:hAnsi="Arial" w:cs="Arial"/>
          <w:sz w:val="24"/>
          <w:szCs w:val="24"/>
          <w:lang w:val="en-GB"/>
        </w:rPr>
        <w:t>applied price matching</w:t>
      </w:r>
      <w:r w:rsidR="004909B8">
        <w:rPr>
          <w:rFonts w:ascii="Arial" w:hAnsi="Arial" w:cs="Arial"/>
          <w:sz w:val="24"/>
          <w:szCs w:val="24"/>
          <w:lang w:val="en-GB"/>
        </w:rPr>
        <w:t xml:space="preserve"> contrary to its own policy</w:t>
      </w:r>
      <w:r w:rsidR="005013C5">
        <w:rPr>
          <w:rFonts w:ascii="Arial" w:hAnsi="Arial" w:cs="Arial"/>
          <w:sz w:val="24"/>
          <w:szCs w:val="24"/>
          <w:lang w:val="en-GB"/>
        </w:rPr>
        <w:t xml:space="preserve">; </w:t>
      </w:r>
      <w:r w:rsidR="007C64F1">
        <w:rPr>
          <w:rFonts w:ascii="Arial" w:hAnsi="Arial" w:cs="Arial"/>
          <w:sz w:val="24"/>
          <w:szCs w:val="24"/>
          <w:lang w:val="en-GB"/>
        </w:rPr>
        <w:t xml:space="preserve">that SGB did not have </w:t>
      </w:r>
      <w:r w:rsidR="007C64F1">
        <w:rPr>
          <w:rFonts w:ascii="Arial" w:hAnsi="Arial" w:cs="Arial"/>
          <w:sz w:val="24"/>
          <w:szCs w:val="24"/>
          <w:lang w:val="en-GB"/>
        </w:rPr>
        <w:lastRenderedPageBreak/>
        <w:t xml:space="preserve">the full opportunity to </w:t>
      </w:r>
      <w:r w:rsidR="004909B8">
        <w:rPr>
          <w:rFonts w:ascii="Arial" w:hAnsi="Arial" w:cs="Arial"/>
          <w:sz w:val="24"/>
          <w:szCs w:val="24"/>
          <w:lang w:val="en-GB"/>
        </w:rPr>
        <w:t xml:space="preserve">negotiate </w:t>
      </w:r>
      <w:r w:rsidR="005013C5">
        <w:rPr>
          <w:rFonts w:ascii="Arial" w:hAnsi="Arial" w:cs="Arial"/>
          <w:sz w:val="24"/>
          <w:szCs w:val="24"/>
          <w:lang w:val="en-GB"/>
        </w:rPr>
        <w:t>as set out in the ITT, and</w:t>
      </w:r>
      <w:r w:rsidR="004770D8">
        <w:rPr>
          <w:rFonts w:ascii="Arial" w:hAnsi="Arial" w:cs="Arial"/>
          <w:sz w:val="24"/>
          <w:szCs w:val="24"/>
          <w:lang w:val="en-GB"/>
        </w:rPr>
        <w:t>, that</w:t>
      </w:r>
      <w:r w:rsidR="005013C5">
        <w:rPr>
          <w:rFonts w:ascii="Arial" w:hAnsi="Arial" w:cs="Arial"/>
          <w:sz w:val="24"/>
          <w:szCs w:val="24"/>
          <w:lang w:val="en-GB"/>
        </w:rPr>
        <w:t xml:space="preserve"> </w:t>
      </w:r>
      <w:r w:rsidR="0033171A">
        <w:rPr>
          <w:rFonts w:ascii="Arial" w:hAnsi="Arial" w:cs="Arial"/>
          <w:sz w:val="24"/>
          <w:szCs w:val="24"/>
          <w:lang w:val="en-GB"/>
        </w:rPr>
        <w:t xml:space="preserve">Eskom </w:t>
      </w:r>
      <w:r w:rsidR="004909B8">
        <w:rPr>
          <w:rFonts w:ascii="Arial" w:hAnsi="Arial" w:cs="Arial"/>
          <w:sz w:val="24"/>
          <w:szCs w:val="24"/>
          <w:lang w:val="en-GB"/>
        </w:rPr>
        <w:t xml:space="preserve">incorrectly took into account a pending matter between the parties and therefore excluded SGB. </w:t>
      </w:r>
    </w:p>
    <w:p w14:paraId="4C67F73F" w14:textId="6E1B510D" w:rsidR="00735D1F" w:rsidRDefault="00631EC8" w:rsidP="00631EC8">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68</w:t>
      </w:r>
      <w:r>
        <w:rPr>
          <w:rFonts w:ascii="Arial" w:hAnsi="Arial" w:cs="Arial"/>
          <w:sz w:val="24"/>
          <w:szCs w:val="24"/>
          <w:lang w:val="en-GB"/>
        </w:rPr>
        <w:t>]</w:t>
      </w:r>
      <w:r>
        <w:rPr>
          <w:rFonts w:ascii="Arial" w:hAnsi="Arial" w:cs="Arial"/>
          <w:sz w:val="24"/>
          <w:szCs w:val="24"/>
          <w:lang w:val="en-GB"/>
        </w:rPr>
        <w:tab/>
      </w:r>
      <w:r w:rsidR="00660CA2">
        <w:rPr>
          <w:rFonts w:ascii="Arial" w:hAnsi="Arial" w:cs="Arial"/>
          <w:sz w:val="24"/>
          <w:szCs w:val="24"/>
          <w:lang w:val="en-GB"/>
        </w:rPr>
        <w:t xml:space="preserve">It was contended by SGB that </w:t>
      </w:r>
      <w:r w:rsidR="00660CA2" w:rsidRPr="00660CA2">
        <w:rPr>
          <w:rFonts w:ascii="Arial" w:hAnsi="Arial" w:cs="Arial"/>
          <w:sz w:val="24"/>
          <w:szCs w:val="24"/>
          <w:lang w:val="en-GB"/>
        </w:rPr>
        <w:t>the rejection of SGB’s tender bid on the basis that its pricing is “exorbitantly high and not-market-related when compared to the lowest tende</w:t>
      </w:r>
      <w:r w:rsidR="00952F28">
        <w:rPr>
          <w:rFonts w:ascii="Arial" w:hAnsi="Arial" w:cs="Arial"/>
          <w:sz w:val="24"/>
          <w:szCs w:val="24"/>
          <w:lang w:val="en-GB"/>
        </w:rPr>
        <w:t xml:space="preserve">red” is irrational and unlawful. </w:t>
      </w:r>
      <w:r w:rsidR="00660CA2" w:rsidRPr="00660CA2">
        <w:rPr>
          <w:rFonts w:ascii="Arial" w:hAnsi="Arial" w:cs="Arial"/>
          <w:sz w:val="24"/>
          <w:szCs w:val="24"/>
          <w:lang w:val="en-GB"/>
        </w:rPr>
        <w:t>SGB</w:t>
      </w:r>
      <w:r w:rsidR="00952F28">
        <w:rPr>
          <w:rFonts w:ascii="Arial" w:hAnsi="Arial" w:cs="Arial"/>
          <w:sz w:val="24"/>
          <w:szCs w:val="24"/>
          <w:lang w:val="en-GB"/>
        </w:rPr>
        <w:t xml:space="preserve"> argued it</w:t>
      </w:r>
      <w:r w:rsidR="00660CA2" w:rsidRPr="00660CA2">
        <w:rPr>
          <w:rFonts w:ascii="Arial" w:hAnsi="Arial" w:cs="Arial"/>
          <w:sz w:val="24"/>
          <w:szCs w:val="24"/>
          <w:lang w:val="en-GB"/>
        </w:rPr>
        <w:t xml:space="preserve">s prices are market-related and the pricing of the successful bidders (as well as Eskom’s aspirational rates) are below market-related </w:t>
      </w:r>
      <w:r w:rsidR="004770D8">
        <w:rPr>
          <w:rFonts w:ascii="Arial" w:hAnsi="Arial" w:cs="Arial"/>
          <w:sz w:val="24"/>
          <w:szCs w:val="24"/>
          <w:lang w:val="en-GB"/>
        </w:rPr>
        <w:t xml:space="preserve">to the extent </w:t>
      </w:r>
      <w:r w:rsidR="00660CA2" w:rsidRPr="00660CA2">
        <w:rPr>
          <w:rFonts w:ascii="Arial" w:hAnsi="Arial" w:cs="Arial"/>
          <w:sz w:val="24"/>
          <w:szCs w:val="24"/>
          <w:lang w:val="en-GB"/>
        </w:rPr>
        <w:t>that no service provider would in fact be able to execute the tendered services at those rates.</w:t>
      </w:r>
      <w:r w:rsidR="00660CA2">
        <w:rPr>
          <w:rFonts w:ascii="Arial" w:hAnsi="Arial" w:cs="Arial"/>
          <w:sz w:val="24"/>
          <w:szCs w:val="24"/>
          <w:lang w:val="en-GB"/>
        </w:rPr>
        <w:t xml:space="preserve"> </w:t>
      </w:r>
    </w:p>
    <w:p w14:paraId="7A4F611B" w14:textId="792EB8A4" w:rsidR="00631EC8" w:rsidRDefault="00735D1F" w:rsidP="008D7A84">
      <w:pPr>
        <w:spacing w:after="0" w:line="480" w:lineRule="auto"/>
        <w:jc w:val="both"/>
        <w:rPr>
          <w:rFonts w:ascii="Arial" w:hAnsi="Arial" w:cs="Arial"/>
          <w:b/>
          <w:i/>
          <w:sz w:val="24"/>
          <w:szCs w:val="24"/>
          <w:lang w:val="en-GB"/>
        </w:rPr>
      </w:pPr>
      <w:r>
        <w:rPr>
          <w:rFonts w:ascii="Arial" w:hAnsi="Arial" w:cs="Arial"/>
          <w:sz w:val="24"/>
          <w:szCs w:val="24"/>
          <w:lang w:val="en-GB"/>
        </w:rPr>
        <w:t>[</w:t>
      </w:r>
      <w:r w:rsidR="00EE4469">
        <w:rPr>
          <w:rFonts w:ascii="Arial" w:hAnsi="Arial" w:cs="Arial"/>
          <w:sz w:val="24"/>
          <w:szCs w:val="24"/>
          <w:lang w:val="en-GB"/>
        </w:rPr>
        <w:t>69</w:t>
      </w:r>
      <w:r>
        <w:rPr>
          <w:rFonts w:ascii="Arial" w:hAnsi="Arial" w:cs="Arial"/>
          <w:sz w:val="24"/>
          <w:szCs w:val="24"/>
          <w:lang w:val="en-GB"/>
        </w:rPr>
        <w:t>]</w:t>
      </w:r>
      <w:r>
        <w:rPr>
          <w:rFonts w:ascii="Arial" w:hAnsi="Arial" w:cs="Arial"/>
          <w:sz w:val="24"/>
          <w:szCs w:val="24"/>
          <w:lang w:val="en-GB"/>
        </w:rPr>
        <w:tab/>
      </w:r>
      <w:r w:rsidR="00631EC8" w:rsidRPr="00631EC8">
        <w:rPr>
          <w:rFonts w:ascii="Arial" w:hAnsi="Arial" w:cs="Arial"/>
          <w:sz w:val="24"/>
          <w:szCs w:val="24"/>
          <w:lang w:val="en-GB"/>
        </w:rPr>
        <w:t xml:space="preserve">The submission that </w:t>
      </w:r>
      <w:r w:rsidR="00382A14">
        <w:rPr>
          <w:rFonts w:ascii="Arial" w:hAnsi="Arial" w:cs="Arial"/>
          <w:sz w:val="24"/>
          <w:szCs w:val="24"/>
          <w:lang w:val="en-GB"/>
        </w:rPr>
        <w:t>Eskom</w:t>
      </w:r>
      <w:r w:rsidR="00631EC8" w:rsidRPr="00631EC8">
        <w:rPr>
          <w:rFonts w:ascii="Arial" w:hAnsi="Arial" w:cs="Arial"/>
          <w:sz w:val="24"/>
          <w:szCs w:val="24"/>
          <w:lang w:val="en-GB"/>
        </w:rPr>
        <w:t xml:space="preserve"> applied price matching must fail. </w:t>
      </w:r>
      <w:r w:rsidR="00382A14">
        <w:rPr>
          <w:rFonts w:ascii="Arial" w:hAnsi="Arial" w:cs="Arial"/>
          <w:sz w:val="24"/>
          <w:szCs w:val="24"/>
          <w:lang w:val="en-GB"/>
        </w:rPr>
        <w:t>Eskom</w:t>
      </w:r>
      <w:r w:rsidR="00631EC8" w:rsidRPr="00631EC8">
        <w:rPr>
          <w:rFonts w:ascii="Arial" w:hAnsi="Arial" w:cs="Arial"/>
          <w:sz w:val="24"/>
          <w:szCs w:val="24"/>
          <w:lang w:val="en-GB"/>
        </w:rPr>
        <w:t xml:space="preserve"> explained that it used aspirational rate</w:t>
      </w:r>
      <w:r w:rsidR="00F043F4">
        <w:rPr>
          <w:rFonts w:ascii="Arial" w:hAnsi="Arial" w:cs="Arial"/>
          <w:sz w:val="24"/>
          <w:szCs w:val="24"/>
          <w:lang w:val="en-GB"/>
        </w:rPr>
        <w:t>s</w:t>
      </w:r>
      <w:r w:rsidR="00631EC8" w:rsidRPr="00631EC8">
        <w:rPr>
          <w:rFonts w:ascii="Arial" w:hAnsi="Arial" w:cs="Arial"/>
          <w:sz w:val="24"/>
          <w:szCs w:val="24"/>
          <w:lang w:val="en-GB"/>
        </w:rPr>
        <w:t xml:space="preserve"> as a negotiation parameter. The success of a bidder was not based on its ability to match the aspired rate of the highest bidder on price.</w:t>
      </w:r>
      <w:r w:rsidR="004A3E80">
        <w:rPr>
          <w:rFonts w:ascii="Arial" w:hAnsi="Arial" w:cs="Arial"/>
          <w:sz w:val="24"/>
          <w:szCs w:val="24"/>
          <w:lang w:val="en-GB"/>
        </w:rPr>
        <w:t xml:space="preserve"> The affidavit supplied by </w:t>
      </w:r>
      <w:r w:rsidR="00382A14">
        <w:rPr>
          <w:rFonts w:ascii="Arial" w:hAnsi="Arial" w:cs="Arial"/>
          <w:sz w:val="24"/>
          <w:szCs w:val="24"/>
          <w:lang w:val="en-GB"/>
        </w:rPr>
        <w:t>Eskom</w:t>
      </w:r>
      <w:r w:rsidR="004A3E80">
        <w:rPr>
          <w:rFonts w:ascii="Arial" w:hAnsi="Arial" w:cs="Arial"/>
          <w:sz w:val="24"/>
          <w:szCs w:val="24"/>
          <w:lang w:val="en-GB"/>
        </w:rPr>
        <w:t>’</w:t>
      </w:r>
      <w:r w:rsidR="004770D8">
        <w:rPr>
          <w:rFonts w:ascii="Arial" w:hAnsi="Arial" w:cs="Arial"/>
          <w:sz w:val="24"/>
          <w:szCs w:val="24"/>
          <w:lang w:val="en-GB"/>
        </w:rPr>
        <w:t>s</w:t>
      </w:r>
      <w:r w:rsidR="004A3E80">
        <w:rPr>
          <w:rFonts w:ascii="Arial" w:hAnsi="Arial" w:cs="Arial"/>
          <w:sz w:val="24"/>
          <w:szCs w:val="24"/>
          <w:lang w:val="en-GB"/>
        </w:rPr>
        <w:t xml:space="preserve"> expert explains the methodology used to determine </w:t>
      </w:r>
      <w:r w:rsidR="00382A14">
        <w:rPr>
          <w:rFonts w:ascii="Arial" w:hAnsi="Arial" w:cs="Arial"/>
          <w:sz w:val="24"/>
          <w:szCs w:val="24"/>
          <w:lang w:val="en-GB"/>
        </w:rPr>
        <w:t>Eskom</w:t>
      </w:r>
      <w:r w:rsidR="004A3E80">
        <w:rPr>
          <w:rFonts w:ascii="Arial" w:hAnsi="Arial" w:cs="Arial"/>
          <w:sz w:val="24"/>
          <w:szCs w:val="24"/>
          <w:lang w:val="en-GB"/>
        </w:rPr>
        <w:t>’s aspirant prices. SGB failed to establish that its</w:t>
      </w:r>
      <w:r w:rsidR="004770D8">
        <w:rPr>
          <w:rFonts w:ascii="Arial" w:hAnsi="Arial" w:cs="Arial"/>
          <w:sz w:val="24"/>
          <w:szCs w:val="24"/>
          <w:lang w:val="en-GB"/>
        </w:rPr>
        <w:t xml:space="preserve"> own</w:t>
      </w:r>
      <w:r w:rsidR="004A3E80">
        <w:rPr>
          <w:rFonts w:ascii="Arial" w:hAnsi="Arial" w:cs="Arial"/>
          <w:sz w:val="24"/>
          <w:szCs w:val="24"/>
          <w:lang w:val="en-GB"/>
        </w:rPr>
        <w:t xml:space="preserve"> prices were market-related or that its exclusion was </w:t>
      </w:r>
      <w:r w:rsidR="004770D8">
        <w:rPr>
          <w:rFonts w:ascii="Arial" w:hAnsi="Arial" w:cs="Arial"/>
          <w:sz w:val="24"/>
          <w:szCs w:val="24"/>
          <w:lang w:val="en-GB"/>
        </w:rPr>
        <w:t>un</w:t>
      </w:r>
      <w:r w:rsidR="004A3E80">
        <w:rPr>
          <w:rFonts w:ascii="Arial" w:hAnsi="Arial" w:cs="Arial"/>
          <w:sz w:val="24"/>
          <w:szCs w:val="24"/>
          <w:lang w:val="en-GB"/>
        </w:rPr>
        <w:t xml:space="preserve">fair.  </w:t>
      </w:r>
      <w:r w:rsidR="00382A14">
        <w:rPr>
          <w:rFonts w:ascii="Arial" w:hAnsi="Arial" w:cs="Arial"/>
          <w:sz w:val="24"/>
          <w:szCs w:val="24"/>
          <w:lang w:val="en-GB"/>
        </w:rPr>
        <w:t>Eskom</w:t>
      </w:r>
      <w:r w:rsidR="004A3E80">
        <w:rPr>
          <w:rFonts w:ascii="Arial" w:hAnsi="Arial" w:cs="Arial"/>
          <w:sz w:val="24"/>
          <w:szCs w:val="24"/>
          <w:lang w:val="en-GB"/>
        </w:rPr>
        <w:t>’s decision on pricing was both reasonable and rational.</w:t>
      </w:r>
      <w:r w:rsidR="00631EC8">
        <w:rPr>
          <w:rFonts w:ascii="Arial" w:hAnsi="Arial" w:cs="Arial"/>
          <w:b/>
          <w:i/>
          <w:sz w:val="24"/>
          <w:szCs w:val="24"/>
          <w:lang w:val="en-GB"/>
        </w:rPr>
        <w:t xml:space="preserve"> </w:t>
      </w:r>
    </w:p>
    <w:p w14:paraId="1F0DF936" w14:textId="28E5D1D5" w:rsidR="00952F28" w:rsidRDefault="00660CA2"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70</w:t>
      </w:r>
      <w:r>
        <w:rPr>
          <w:rFonts w:ascii="Arial" w:hAnsi="Arial" w:cs="Arial"/>
          <w:sz w:val="24"/>
          <w:szCs w:val="24"/>
          <w:lang w:val="en-GB"/>
        </w:rPr>
        <w:t>]</w:t>
      </w:r>
      <w:r>
        <w:rPr>
          <w:rFonts w:ascii="Arial" w:hAnsi="Arial" w:cs="Arial"/>
          <w:sz w:val="24"/>
          <w:szCs w:val="24"/>
          <w:lang w:val="en-GB"/>
        </w:rPr>
        <w:tab/>
      </w:r>
      <w:r w:rsidR="0011425E">
        <w:rPr>
          <w:rFonts w:ascii="Arial" w:hAnsi="Arial" w:cs="Arial"/>
          <w:sz w:val="24"/>
          <w:szCs w:val="24"/>
          <w:lang w:val="en-GB"/>
        </w:rPr>
        <w:t>SGB</w:t>
      </w:r>
      <w:r w:rsidR="00952F28">
        <w:rPr>
          <w:rFonts w:ascii="Arial" w:hAnsi="Arial" w:cs="Arial"/>
          <w:sz w:val="24"/>
          <w:szCs w:val="24"/>
          <w:lang w:val="en-GB"/>
        </w:rPr>
        <w:t>’s</w:t>
      </w:r>
      <w:r w:rsidR="0011425E">
        <w:rPr>
          <w:rFonts w:ascii="Arial" w:hAnsi="Arial" w:cs="Arial"/>
          <w:sz w:val="24"/>
          <w:szCs w:val="24"/>
          <w:lang w:val="en-GB"/>
        </w:rPr>
        <w:t xml:space="preserve"> complain</w:t>
      </w:r>
      <w:r w:rsidR="00952F28">
        <w:rPr>
          <w:rFonts w:ascii="Arial" w:hAnsi="Arial" w:cs="Arial"/>
          <w:sz w:val="24"/>
          <w:szCs w:val="24"/>
          <w:lang w:val="en-GB"/>
        </w:rPr>
        <w:t>t</w:t>
      </w:r>
      <w:r w:rsidR="0011425E">
        <w:rPr>
          <w:rFonts w:ascii="Arial" w:hAnsi="Arial" w:cs="Arial"/>
          <w:sz w:val="24"/>
          <w:szCs w:val="24"/>
          <w:lang w:val="en-GB"/>
        </w:rPr>
        <w:t xml:space="preserve"> that </w:t>
      </w:r>
      <w:r w:rsidR="0011425E" w:rsidRPr="0011425E">
        <w:rPr>
          <w:rFonts w:ascii="Arial" w:hAnsi="Arial" w:cs="Arial"/>
          <w:sz w:val="24"/>
          <w:szCs w:val="24"/>
          <w:lang w:val="en-GB"/>
        </w:rPr>
        <w:t xml:space="preserve">the Court </w:t>
      </w:r>
      <w:r w:rsidR="0011425E">
        <w:rPr>
          <w:rFonts w:ascii="Arial" w:hAnsi="Arial" w:cs="Arial"/>
          <w:sz w:val="24"/>
          <w:szCs w:val="24"/>
          <w:lang w:val="en-GB"/>
        </w:rPr>
        <w:t xml:space="preserve">a quo </w:t>
      </w:r>
      <w:r w:rsidR="0011425E" w:rsidRPr="0011425E">
        <w:rPr>
          <w:rFonts w:ascii="Arial" w:hAnsi="Arial" w:cs="Arial"/>
          <w:sz w:val="24"/>
          <w:szCs w:val="24"/>
          <w:lang w:val="en-GB"/>
        </w:rPr>
        <w:t>failed to consider and address the fact that Eskom deliberately failed and/or neglected to provide SGB an opportunity to engage in a further price negotiation meeting with Eskom, in circumstances where the same opportunity was granted to Electro Heat, Oram, and RSC</w:t>
      </w:r>
      <w:r w:rsidR="00952F28">
        <w:rPr>
          <w:rFonts w:ascii="Arial" w:hAnsi="Arial" w:cs="Arial"/>
          <w:sz w:val="24"/>
          <w:szCs w:val="24"/>
          <w:lang w:val="en-GB"/>
        </w:rPr>
        <w:t xml:space="preserve"> must fail. </w:t>
      </w:r>
    </w:p>
    <w:p w14:paraId="511B1F0E" w14:textId="30945A71" w:rsidR="00952F28" w:rsidRDefault="00952F28"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EE4469">
        <w:rPr>
          <w:rFonts w:ascii="Arial" w:hAnsi="Arial" w:cs="Arial"/>
          <w:sz w:val="24"/>
          <w:szCs w:val="24"/>
          <w:lang w:val="en-GB"/>
        </w:rPr>
        <w:t>71</w:t>
      </w:r>
      <w:r>
        <w:rPr>
          <w:rFonts w:ascii="Arial" w:hAnsi="Arial" w:cs="Arial"/>
          <w:sz w:val="24"/>
          <w:szCs w:val="24"/>
          <w:lang w:val="en-GB"/>
        </w:rPr>
        <w:t>]</w:t>
      </w:r>
      <w:r>
        <w:rPr>
          <w:rFonts w:ascii="Arial" w:hAnsi="Arial" w:cs="Arial"/>
          <w:sz w:val="24"/>
          <w:szCs w:val="24"/>
          <w:lang w:val="en-GB"/>
        </w:rPr>
        <w:tab/>
      </w:r>
      <w:r w:rsidR="0011425E" w:rsidRPr="0011425E">
        <w:rPr>
          <w:rFonts w:ascii="Arial" w:hAnsi="Arial" w:cs="Arial"/>
          <w:sz w:val="24"/>
          <w:szCs w:val="24"/>
          <w:lang w:val="en-GB"/>
        </w:rPr>
        <w:t xml:space="preserve">SGB had addressed a plethora of correspondence to Eskom subsequent to its initial and only negotiation meeting requesting an opportunity to meet with Eskom to negotiate its rates further. </w:t>
      </w:r>
    </w:p>
    <w:p w14:paraId="7BBEA2EC" w14:textId="0E729709" w:rsidR="00660CA2" w:rsidRPr="00660CA2" w:rsidRDefault="00952F28"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F043F4">
        <w:rPr>
          <w:rFonts w:ascii="Arial" w:hAnsi="Arial" w:cs="Arial"/>
          <w:sz w:val="24"/>
          <w:szCs w:val="24"/>
          <w:lang w:val="en-GB"/>
        </w:rPr>
        <w:t>72</w:t>
      </w:r>
      <w:r>
        <w:rPr>
          <w:rFonts w:ascii="Arial" w:hAnsi="Arial" w:cs="Arial"/>
          <w:sz w:val="24"/>
          <w:szCs w:val="24"/>
          <w:lang w:val="en-GB"/>
        </w:rPr>
        <w:t>]</w:t>
      </w:r>
      <w:r>
        <w:rPr>
          <w:rFonts w:ascii="Arial" w:hAnsi="Arial" w:cs="Arial"/>
          <w:sz w:val="24"/>
          <w:szCs w:val="24"/>
          <w:lang w:val="en-GB"/>
        </w:rPr>
        <w:tab/>
      </w:r>
      <w:r w:rsidR="0011425E">
        <w:rPr>
          <w:rFonts w:ascii="Arial" w:hAnsi="Arial" w:cs="Arial"/>
          <w:sz w:val="24"/>
          <w:szCs w:val="24"/>
          <w:lang w:val="en-GB"/>
        </w:rPr>
        <w:t xml:space="preserve">SGB </w:t>
      </w:r>
      <w:r w:rsidR="00660CA2" w:rsidRPr="00660CA2">
        <w:rPr>
          <w:rFonts w:ascii="Arial" w:hAnsi="Arial" w:cs="Arial"/>
          <w:sz w:val="24"/>
          <w:szCs w:val="24"/>
          <w:lang w:val="en-GB"/>
        </w:rPr>
        <w:t xml:space="preserve">was indeed called to a meeting where prices were discussed. It cannot be suggested that SGB can have the right to </w:t>
      </w:r>
      <w:r w:rsidR="00F043F4">
        <w:rPr>
          <w:rFonts w:ascii="Arial" w:hAnsi="Arial" w:cs="Arial"/>
          <w:sz w:val="24"/>
          <w:szCs w:val="24"/>
          <w:lang w:val="en-GB"/>
        </w:rPr>
        <w:t>insist on being included in</w:t>
      </w:r>
      <w:r w:rsidR="00660CA2" w:rsidRPr="00660CA2">
        <w:rPr>
          <w:rFonts w:ascii="Arial" w:hAnsi="Arial" w:cs="Arial"/>
          <w:sz w:val="24"/>
          <w:szCs w:val="24"/>
          <w:lang w:val="en-GB"/>
        </w:rPr>
        <w:t xml:space="preserve"> negotiations when it was clear that it did not offer market related prices. The contractors who were </w:t>
      </w:r>
      <w:r w:rsidR="00660CA2" w:rsidRPr="00660CA2">
        <w:rPr>
          <w:rFonts w:ascii="Arial" w:hAnsi="Arial" w:cs="Arial"/>
          <w:sz w:val="24"/>
          <w:szCs w:val="24"/>
          <w:lang w:val="en-GB"/>
        </w:rPr>
        <w:lastRenderedPageBreak/>
        <w:t xml:space="preserve">engaged in the second round of negotiations were the ones who gave better pricing and were ranked higher than SGB. Having fallen out due to higher pricing, there is nothing unfair in </w:t>
      </w:r>
      <w:r w:rsidR="00382A14">
        <w:rPr>
          <w:rFonts w:ascii="Arial" w:hAnsi="Arial" w:cs="Arial"/>
          <w:sz w:val="24"/>
          <w:szCs w:val="24"/>
          <w:lang w:val="en-GB"/>
        </w:rPr>
        <w:t>Eskom</w:t>
      </w:r>
      <w:r w:rsidR="00660CA2" w:rsidRPr="00660CA2">
        <w:rPr>
          <w:rFonts w:ascii="Arial" w:hAnsi="Arial" w:cs="Arial"/>
          <w:sz w:val="24"/>
          <w:szCs w:val="24"/>
          <w:lang w:val="en-GB"/>
        </w:rPr>
        <w:t xml:space="preserve"> not calling SGB back for further negotiations.</w:t>
      </w:r>
    </w:p>
    <w:p w14:paraId="16BD7063" w14:textId="5B4798B1" w:rsidR="004A3E80" w:rsidRDefault="004909B8"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F043F4">
        <w:rPr>
          <w:rFonts w:ascii="Arial" w:hAnsi="Arial" w:cs="Arial"/>
          <w:sz w:val="24"/>
          <w:szCs w:val="24"/>
          <w:lang w:val="en-GB"/>
        </w:rPr>
        <w:t>73</w:t>
      </w:r>
      <w:r>
        <w:rPr>
          <w:rFonts w:ascii="Arial" w:hAnsi="Arial" w:cs="Arial"/>
          <w:sz w:val="24"/>
          <w:szCs w:val="24"/>
          <w:lang w:val="en-GB"/>
        </w:rPr>
        <w:t>]</w:t>
      </w:r>
      <w:r>
        <w:rPr>
          <w:rFonts w:ascii="Arial" w:hAnsi="Arial" w:cs="Arial"/>
          <w:sz w:val="24"/>
          <w:szCs w:val="24"/>
          <w:lang w:val="en-GB"/>
        </w:rPr>
        <w:tab/>
      </w:r>
      <w:r w:rsidR="00631EC8">
        <w:rPr>
          <w:rFonts w:ascii="Arial" w:hAnsi="Arial" w:cs="Arial"/>
          <w:sz w:val="24"/>
          <w:szCs w:val="24"/>
          <w:lang w:val="en-GB"/>
        </w:rPr>
        <w:t>SGB</w:t>
      </w:r>
      <w:r w:rsidR="00952F28">
        <w:rPr>
          <w:rFonts w:ascii="Arial" w:hAnsi="Arial" w:cs="Arial"/>
          <w:sz w:val="24"/>
          <w:szCs w:val="24"/>
          <w:lang w:val="en-GB"/>
        </w:rPr>
        <w:t xml:space="preserve">’s complaint that the Court </w:t>
      </w:r>
      <w:r w:rsidR="00952F28" w:rsidRPr="007E5787">
        <w:rPr>
          <w:rFonts w:ascii="Arial" w:hAnsi="Arial" w:cs="Arial"/>
          <w:sz w:val="24"/>
          <w:szCs w:val="24"/>
          <w:lang w:val="en-GB"/>
        </w:rPr>
        <w:t>a quo</w:t>
      </w:r>
      <w:r w:rsidR="00952F28">
        <w:rPr>
          <w:rFonts w:ascii="Arial" w:hAnsi="Arial" w:cs="Arial"/>
          <w:sz w:val="24"/>
          <w:szCs w:val="24"/>
          <w:lang w:val="en-GB"/>
        </w:rPr>
        <w:t xml:space="preserve"> failed to</w:t>
      </w:r>
      <w:r w:rsidR="00631EC8">
        <w:rPr>
          <w:rFonts w:ascii="Arial" w:hAnsi="Arial" w:cs="Arial"/>
          <w:sz w:val="24"/>
          <w:szCs w:val="24"/>
          <w:lang w:val="en-GB"/>
        </w:rPr>
        <w:t xml:space="preserve"> </w:t>
      </w:r>
      <w:r w:rsidR="00952F28">
        <w:rPr>
          <w:rFonts w:ascii="Arial" w:hAnsi="Arial" w:cs="Arial"/>
          <w:sz w:val="24"/>
          <w:szCs w:val="24"/>
          <w:lang w:val="en-GB"/>
        </w:rPr>
        <w:t xml:space="preserve">consider </w:t>
      </w:r>
      <w:r w:rsidR="00631EC8">
        <w:rPr>
          <w:rFonts w:ascii="Arial" w:hAnsi="Arial" w:cs="Arial"/>
          <w:sz w:val="24"/>
          <w:szCs w:val="24"/>
          <w:lang w:val="en-GB"/>
        </w:rPr>
        <w:t xml:space="preserve">that Eskom took </w:t>
      </w:r>
      <w:r w:rsidR="00631EC8" w:rsidRPr="00631EC8">
        <w:rPr>
          <w:rFonts w:ascii="Arial" w:hAnsi="Arial" w:cs="Arial"/>
          <w:sz w:val="24"/>
          <w:szCs w:val="24"/>
          <w:lang w:val="en-GB"/>
        </w:rPr>
        <w:t>into consideration pending Competition Tribunal proceedings</w:t>
      </w:r>
      <w:r w:rsidR="00F043F4">
        <w:rPr>
          <w:rFonts w:ascii="Arial" w:hAnsi="Arial" w:cs="Arial"/>
          <w:sz w:val="24"/>
          <w:szCs w:val="24"/>
          <w:lang w:val="en-GB"/>
        </w:rPr>
        <w:t>, and that, in fact, Eskom held pending Competition Tribunal proceedings against it resulting in an unfair process,</w:t>
      </w:r>
      <w:r w:rsidR="00631EC8" w:rsidRPr="00631EC8">
        <w:rPr>
          <w:rFonts w:ascii="Arial" w:hAnsi="Arial" w:cs="Arial"/>
          <w:sz w:val="24"/>
          <w:szCs w:val="24"/>
          <w:lang w:val="en-GB"/>
        </w:rPr>
        <w:t xml:space="preserve"> </w:t>
      </w:r>
      <w:r w:rsidR="00952F28">
        <w:rPr>
          <w:rFonts w:ascii="Arial" w:hAnsi="Arial" w:cs="Arial"/>
          <w:sz w:val="24"/>
          <w:szCs w:val="24"/>
          <w:lang w:val="en-GB"/>
        </w:rPr>
        <w:t xml:space="preserve">must equally fail. </w:t>
      </w:r>
    </w:p>
    <w:p w14:paraId="73A149B2" w14:textId="7884ED9E" w:rsidR="004909B8" w:rsidRDefault="004A3E80"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F043F4">
        <w:rPr>
          <w:rFonts w:ascii="Arial" w:hAnsi="Arial" w:cs="Arial"/>
          <w:sz w:val="24"/>
          <w:szCs w:val="24"/>
          <w:lang w:val="en-GB"/>
        </w:rPr>
        <w:t>74</w:t>
      </w:r>
      <w:r>
        <w:rPr>
          <w:rFonts w:ascii="Arial" w:hAnsi="Arial" w:cs="Arial"/>
          <w:sz w:val="24"/>
          <w:szCs w:val="24"/>
          <w:lang w:val="en-GB"/>
        </w:rPr>
        <w:t>]</w:t>
      </w:r>
      <w:r>
        <w:rPr>
          <w:rFonts w:ascii="Arial" w:hAnsi="Arial" w:cs="Arial"/>
          <w:sz w:val="24"/>
          <w:szCs w:val="24"/>
          <w:lang w:val="en-GB"/>
        </w:rPr>
        <w:tab/>
      </w:r>
      <w:r w:rsidR="004909B8">
        <w:rPr>
          <w:rFonts w:ascii="Arial" w:hAnsi="Arial" w:cs="Arial"/>
          <w:sz w:val="24"/>
          <w:szCs w:val="24"/>
          <w:lang w:val="en-GB"/>
        </w:rPr>
        <w:t xml:space="preserve">The submission that </w:t>
      </w:r>
      <w:r w:rsidR="00382A14">
        <w:rPr>
          <w:rFonts w:ascii="Arial" w:hAnsi="Arial" w:cs="Arial"/>
          <w:sz w:val="24"/>
          <w:szCs w:val="24"/>
          <w:lang w:val="en-GB"/>
        </w:rPr>
        <w:t>Eskom</w:t>
      </w:r>
      <w:r w:rsidR="004909B8">
        <w:rPr>
          <w:rFonts w:ascii="Arial" w:hAnsi="Arial" w:cs="Arial"/>
          <w:sz w:val="24"/>
          <w:szCs w:val="24"/>
          <w:lang w:val="en-GB"/>
        </w:rPr>
        <w:t xml:space="preserve"> </w:t>
      </w:r>
      <w:r w:rsidR="00656F25">
        <w:rPr>
          <w:rFonts w:ascii="Arial" w:hAnsi="Arial" w:cs="Arial"/>
          <w:sz w:val="24"/>
          <w:szCs w:val="24"/>
          <w:lang w:val="en-GB"/>
        </w:rPr>
        <w:t>placed SGB at a disadvantage by taking into account litigation between them, is in our view, no more than a fiction</w:t>
      </w:r>
      <w:r w:rsidR="005116A4">
        <w:rPr>
          <w:rFonts w:ascii="Arial" w:hAnsi="Arial" w:cs="Arial"/>
          <w:sz w:val="24"/>
          <w:szCs w:val="24"/>
          <w:lang w:val="en-GB"/>
        </w:rPr>
        <w:t xml:space="preserve"> and no facts to support the allegation have been pleaded</w:t>
      </w:r>
      <w:r w:rsidR="00656F25">
        <w:rPr>
          <w:rFonts w:ascii="Arial" w:hAnsi="Arial" w:cs="Arial"/>
          <w:sz w:val="24"/>
          <w:szCs w:val="24"/>
          <w:lang w:val="en-GB"/>
        </w:rPr>
        <w:t xml:space="preserve">. </w:t>
      </w:r>
      <w:r w:rsidR="005116A4">
        <w:rPr>
          <w:rFonts w:ascii="Arial" w:hAnsi="Arial" w:cs="Arial"/>
          <w:sz w:val="24"/>
          <w:szCs w:val="24"/>
          <w:lang w:val="en-GB"/>
        </w:rPr>
        <w:t xml:space="preserve">The tender was considered and awarded for reasons unrelated to the pending Tribunal proceedings. </w:t>
      </w:r>
      <w:r w:rsidR="00F043F4">
        <w:rPr>
          <w:rFonts w:ascii="Arial" w:hAnsi="Arial" w:cs="Arial"/>
          <w:sz w:val="24"/>
          <w:szCs w:val="24"/>
          <w:lang w:val="en-GB"/>
        </w:rPr>
        <w:t xml:space="preserve">While </w:t>
      </w:r>
      <w:r w:rsidR="005116A4">
        <w:rPr>
          <w:rFonts w:ascii="Arial" w:hAnsi="Arial" w:cs="Arial"/>
          <w:sz w:val="24"/>
          <w:szCs w:val="24"/>
          <w:lang w:val="en-GB"/>
        </w:rPr>
        <w:t>SGB was afforded an opportunity in the negotiations to address the concern regarding the Tribunal proceeding</w:t>
      </w:r>
      <w:r w:rsidR="00F043F4">
        <w:rPr>
          <w:rFonts w:ascii="Arial" w:hAnsi="Arial" w:cs="Arial"/>
          <w:sz w:val="24"/>
          <w:szCs w:val="24"/>
          <w:lang w:val="en-GB"/>
        </w:rPr>
        <w:t>s, i</w:t>
      </w:r>
      <w:r w:rsidR="005116A4">
        <w:rPr>
          <w:rFonts w:ascii="Arial" w:hAnsi="Arial" w:cs="Arial"/>
          <w:sz w:val="24"/>
          <w:szCs w:val="24"/>
          <w:lang w:val="en-GB"/>
        </w:rPr>
        <w:t xml:space="preserve">t </w:t>
      </w:r>
      <w:r w:rsidR="00F043F4">
        <w:rPr>
          <w:rFonts w:ascii="Arial" w:hAnsi="Arial" w:cs="Arial"/>
          <w:sz w:val="24"/>
          <w:szCs w:val="24"/>
          <w:lang w:val="en-GB"/>
        </w:rPr>
        <w:t>is</w:t>
      </w:r>
      <w:r w:rsidR="005116A4">
        <w:rPr>
          <w:rFonts w:ascii="Arial" w:hAnsi="Arial" w:cs="Arial"/>
          <w:sz w:val="24"/>
          <w:szCs w:val="24"/>
          <w:lang w:val="en-GB"/>
        </w:rPr>
        <w:t xml:space="preserve"> clear that the decisive issue was the rates that was tendered. </w:t>
      </w:r>
      <w:r>
        <w:rPr>
          <w:rFonts w:ascii="Arial" w:hAnsi="Arial" w:cs="Arial"/>
          <w:sz w:val="24"/>
          <w:szCs w:val="24"/>
          <w:lang w:val="en-GB"/>
        </w:rPr>
        <w:t xml:space="preserve">The pending Competition Tribunal proceedings played no role in the ultimate decision. </w:t>
      </w:r>
      <w:r w:rsidR="00656F25">
        <w:rPr>
          <w:rFonts w:ascii="Arial" w:hAnsi="Arial" w:cs="Arial"/>
          <w:sz w:val="24"/>
          <w:szCs w:val="24"/>
          <w:lang w:val="en-GB"/>
        </w:rPr>
        <w:t xml:space="preserve">There is no basis for this </w:t>
      </w:r>
      <w:r w:rsidR="00991255">
        <w:rPr>
          <w:rFonts w:ascii="Arial" w:hAnsi="Arial" w:cs="Arial"/>
          <w:sz w:val="24"/>
          <w:szCs w:val="24"/>
          <w:lang w:val="en-GB"/>
        </w:rPr>
        <w:t>submission,</w:t>
      </w:r>
      <w:r w:rsidR="00656F25">
        <w:rPr>
          <w:rFonts w:ascii="Arial" w:hAnsi="Arial" w:cs="Arial"/>
          <w:sz w:val="24"/>
          <w:szCs w:val="24"/>
          <w:lang w:val="en-GB"/>
        </w:rPr>
        <w:t xml:space="preserve"> and it finds no factual basis in the papers. </w:t>
      </w:r>
    </w:p>
    <w:p w14:paraId="5E1B879B" w14:textId="30C809E7" w:rsidR="007422B9" w:rsidRDefault="0011425E" w:rsidP="008D7A84">
      <w:pPr>
        <w:spacing w:after="0" w:line="480" w:lineRule="auto"/>
        <w:jc w:val="both"/>
        <w:rPr>
          <w:rFonts w:ascii="Arial" w:hAnsi="Arial" w:cs="Arial"/>
          <w:sz w:val="24"/>
          <w:szCs w:val="24"/>
          <w:u w:val="single"/>
          <w:lang w:val="en-GB"/>
        </w:rPr>
      </w:pPr>
      <w:r w:rsidRPr="0011425E">
        <w:rPr>
          <w:rFonts w:ascii="Arial" w:hAnsi="Arial" w:cs="Arial"/>
          <w:sz w:val="24"/>
          <w:szCs w:val="24"/>
          <w:u w:val="single"/>
          <w:lang w:val="en-GB"/>
        </w:rPr>
        <w:t>Costs</w:t>
      </w:r>
    </w:p>
    <w:p w14:paraId="440B8858" w14:textId="5F3D2C6F" w:rsidR="007422B9" w:rsidRDefault="0011425E"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F043F4">
        <w:rPr>
          <w:rFonts w:ascii="Arial" w:hAnsi="Arial" w:cs="Arial"/>
          <w:sz w:val="24"/>
          <w:szCs w:val="24"/>
          <w:lang w:val="en-GB"/>
        </w:rPr>
        <w:t>75</w:t>
      </w:r>
      <w:r>
        <w:rPr>
          <w:rFonts w:ascii="Arial" w:hAnsi="Arial" w:cs="Arial"/>
          <w:sz w:val="24"/>
          <w:szCs w:val="24"/>
          <w:lang w:val="en-GB"/>
        </w:rPr>
        <w:t>]</w:t>
      </w:r>
      <w:r>
        <w:rPr>
          <w:rFonts w:ascii="Arial" w:hAnsi="Arial" w:cs="Arial"/>
          <w:sz w:val="24"/>
          <w:szCs w:val="24"/>
          <w:lang w:val="en-GB"/>
        </w:rPr>
        <w:tab/>
      </w:r>
      <w:r w:rsidRPr="0011425E">
        <w:rPr>
          <w:rFonts w:ascii="Arial" w:hAnsi="Arial" w:cs="Arial"/>
          <w:sz w:val="24"/>
          <w:szCs w:val="24"/>
          <w:lang w:val="en-GB"/>
        </w:rPr>
        <w:t xml:space="preserve">The Court </w:t>
      </w:r>
      <w:r w:rsidRPr="008248AF">
        <w:rPr>
          <w:rFonts w:ascii="Arial" w:hAnsi="Arial" w:cs="Arial"/>
          <w:i/>
          <w:sz w:val="24"/>
          <w:szCs w:val="24"/>
          <w:lang w:val="en-GB"/>
        </w:rPr>
        <w:t>a quo</w:t>
      </w:r>
      <w:r w:rsidRPr="0011425E">
        <w:rPr>
          <w:rFonts w:ascii="Arial" w:hAnsi="Arial" w:cs="Arial"/>
          <w:sz w:val="24"/>
          <w:szCs w:val="24"/>
          <w:lang w:val="en-GB"/>
        </w:rPr>
        <w:t xml:space="preserve"> correctly exercised its discretion in making costs orders against the Appellants.  The Appellants do not make out a case for interference on appeal with the Court’s exercise of </w:t>
      </w:r>
      <w:r>
        <w:rPr>
          <w:rFonts w:ascii="Arial" w:hAnsi="Arial" w:cs="Arial"/>
          <w:sz w:val="24"/>
          <w:szCs w:val="24"/>
          <w:lang w:val="en-GB"/>
        </w:rPr>
        <w:t xml:space="preserve">discretion on costs on appeal. </w:t>
      </w:r>
    </w:p>
    <w:p w14:paraId="197F7D8F" w14:textId="063BFEAD" w:rsidR="00F16AEA" w:rsidRDefault="00F16AEA" w:rsidP="008D7A84">
      <w:pPr>
        <w:spacing w:after="0" w:line="480" w:lineRule="auto"/>
        <w:jc w:val="both"/>
        <w:rPr>
          <w:rFonts w:ascii="Arial" w:hAnsi="Arial" w:cs="Arial"/>
          <w:sz w:val="24"/>
          <w:szCs w:val="24"/>
          <w:lang w:val="en-GB"/>
        </w:rPr>
      </w:pPr>
      <w:r>
        <w:rPr>
          <w:rFonts w:ascii="Arial" w:hAnsi="Arial" w:cs="Arial"/>
          <w:sz w:val="24"/>
          <w:szCs w:val="24"/>
          <w:lang w:val="en-GB"/>
        </w:rPr>
        <w:t>[</w:t>
      </w:r>
      <w:r w:rsidR="00F043F4">
        <w:rPr>
          <w:rFonts w:ascii="Arial" w:hAnsi="Arial" w:cs="Arial"/>
          <w:sz w:val="24"/>
          <w:szCs w:val="24"/>
          <w:lang w:val="en-GB"/>
        </w:rPr>
        <w:t>76</w:t>
      </w:r>
      <w:r>
        <w:rPr>
          <w:rFonts w:ascii="Arial" w:hAnsi="Arial" w:cs="Arial"/>
          <w:sz w:val="24"/>
          <w:szCs w:val="24"/>
          <w:lang w:val="en-GB"/>
        </w:rPr>
        <w:t>]</w:t>
      </w:r>
      <w:r>
        <w:rPr>
          <w:rFonts w:ascii="Arial" w:hAnsi="Arial" w:cs="Arial"/>
          <w:sz w:val="24"/>
          <w:szCs w:val="24"/>
          <w:lang w:val="en-GB"/>
        </w:rPr>
        <w:tab/>
        <w:t>We make the following orders:</w:t>
      </w:r>
    </w:p>
    <w:p w14:paraId="4AB60BEA" w14:textId="251A6C01" w:rsidR="00F16AEA" w:rsidRDefault="00F043F4" w:rsidP="008D7A84">
      <w:pPr>
        <w:spacing w:after="0" w:line="480" w:lineRule="auto"/>
        <w:jc w:val="both"/>
        <w:rPr>
          <w:rFonts w:ascii="Arial" w:hAnsi="Arial" w:cs="Arial"/>
          <w:sz w:val="24"/>
          <w:szCs w:val="24"/>
          <w:u w:val="single"/>
          <w:lang w:val="en-GB"/>
        </w:rPr>
      </w:pPr>
      <w:r w:rsidRPr="008248AF">
        <w:rPr>
          <w:rFonts w:ascii="Arial" w:hAnsi="Arial" w:cs="Arial"/>
          <w:sz w:val="24"/>
          <w:szCs w:val="24"/>
          <w:lang w:val="en-GB"/>
        </w:rPr>
        <w:tab/>
        <w:t>(1)</w:t>
      </w:r>
      <w:r w:rsidRPr="008248AF">
        <w:rPr>
          <w:rFonts w:ascii="Arial" w:hAnsi="Arial" w:cs="Arial"/>
          <w:sz w:val="24"/>
          <w:szCs w:val="24"/>
          <w:lang w:val="en-GB"/>
        </w:rPr>
        <w:tab/>
      </w:r>
      <w:r w:rsidR="00F16AEA">
        <w:rPr>
          <w:rFonts w:ascii="Arial" w:hAnsi="Arial" w:cs="Arial"/>
          <w:sz w:val="24"/>
          <w:szCs w:val="24"/>
          <w:u w:val="single"/>
          <w:lang w:val="en-GB"/>
        </w:rPr>
        <w:t>Appeal by Southey</w:t>
      </w:r>
    </w:p>
    <w:p w14:paraId="6233B336" w14:textId="5EFFB5CC" w:rsidR="00F16AEA" w:rsidRPr="0011425E" w:rsidRDefault="00F043F4" w:rsidP="008D7A84">
      <w:pPr>
        <w:spacing w:after="0" w:line="480" w:lineRule="auto"/>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sidR="0011425E" w:rsidRPr="0011425E">
        <w:rPr>
          <w:rFonts w:ascii="Arial" w:hAnsi="Arial" w:cs="Arial"/>
          <w:sz w:val="24"/>
          <w:szCs w:val="24"/>
          <w:lang w:val="en-GB"/>
        </w:rPr>
        <w:t>The appeal is dismissed with costs</w:t>
      </w:r>
      <w:r w:rsidR="003B7007">
        <w:rPr>
          <w:rFonts w:ascii="Arial" w:hAnsi="Arial" w:cs="Arial"/>
          <w:sz w:val="24"/>
          <w:szCs w:val="24"/>
          <w:lang w:val="en-GB"/>
        </w:rPr>
        <w:t xml:space="preserve"> </w:t>
      </w:r>
      <w:r w:rsidR="00F2536C">
        <w:rPr>
          <w:rFonts w:ascii="Arial" w:hAnsi="Arial" w:cs="Arial"/>
          <w:sz w:val="24"/>
          <w:szCs w:val="24"/>
          <w:lang w:val="en-GB"/>
        </w:rPr>
        <w:t xml:space="preserve">including the costs </w:t>
      </w:r>
      <w:r w:rsidR="003B7007">
        <w:rPr>
          <w:rFonts w:ascii="Arial" w:hAnsi="Arial" w:cs="Arial"/>
          <w:sz w:val="24"/>
          <w:szCs w:val="24"/>
          <w:lang w:val="en-GB"/>
        </w:rPr>
        <w:t>of two counsel</w:t>
      </w:r>
      <w:r w:rsidR="0011425E" w:rsidRPr="0011425E">
        <w:rPr>
          <w:rFonts w:ascii="Arial" w:hAnsi="Arial" w:cs="Arial"/>
          <w:sz w:val="24"/>
          <w:szCs w:val="24"/>
          <w:lang w:val="en-GB"/>
        </w:rPr>
        <w:t>.</w:t>
      </w:r>
    </w:p>
    <w:p w14:paraId="60892ED0" w14:textId="724668FC" w:rsidR="00F16AEA" w:rsidRPr="00F043F4" w:rsidRDefault="00F043F4" w:rsidP="008248AF">
      <w:pPr>
        <w:spacing w:after="0" w:line="480" w:lineRule="auto"/>
        <w:ind w:firstLine="720"/>
        <w:jc w:val="both"/>
        <w:rPr>
          <w:rFonts w:ascii="Arial" w:hAnsi="Arial" w:cs="Arial"/>
          <w:sz w:val="24"/>
          <w:szCs w:val="24"/>
          <w:u w:val="single"/>
          <w:lang w:val="en-GB"/>
        </w:rPr>
      </w:pPr>
      <w:r>
        <w:rPr>
          <w:rFonts w:ascii="Arial" w:hAnsi="Arial" w:cs="Arial"/>
          <w:sz w:val="24"/>
          <w:szCs w:val="24"/>
          <w:lang w:val="en-GB"/>
        </w:rPr>
        <w:t>(2)</w:t>
      </w:r>
      <w:r>
        <w:rPr>
          <w:rFonts w:ascii="Arial" w:hAnsi="Arial" w:cs="Arial"/>
          <w:sz w:val="24"/>
          <w:szCs w:val="24"/>
          <w:lang w:val="en-GB"/>
        </w:rPr>
        <w:tab/>
      </w:r>
      <w:r w:rsidR="00F16AEA">
        <w:rPr>
          <w:rFonts w:ascii="Arial" w:hAnsi="Arial" w:cs="Arial"/>
          <w:sz w:val="24"/>
          <w:szCs w:val="24"/>
          <w:u w:val="single"/>
          <w:lang w:val="en-GB"/>
        </w:rPr>
        <w:t>Appeal</w:t>
      </w:r>
      <w:r w:rsidR="00F16AEA" w:rsidRPr="00F043F4">
        <w:rPr>
          <w:rFonts w:ascii="Arial" w:hAnsi="Arial" w:cs="Arial"/>
          <w:sz w:val="24"/>
          <w:szCs w:val="24"/>
          <w:u w:val="single"/>
          <w:lang w:val="en-GB"/>
        </w:rPr>
        <w:t xml:space="preserve"> by SGB</w:t>
      </w:r>
    </w:p>
    <w:p w14:paraId="5AF59F40" w14:textId="26AF8DBD" w:rsidR="00A36601" w:rsidRPr="008248AF" w:rsidRDefault="0011425E" w:rsidP="008248AF">
      <w:pPr>
        <w:spacing w:after="0" w:line="480" w:lineRule="auto"/>
        <w:ind w:firstLine="720"/>
        <w:jc w:val="both"/>
        <w:rPr>
          <w:rFonts w:ascii="Arial" w:hAnsi="Arial" w:cs="Arial"/>
          <w:sz w:val="24"/>
          <w:szCs w:val="24"/>
          <w:lang w:val="en-GB"/>
        </w:rPr>
      </w:pPr>
      <w:r w:rsidRPr="008248AF">
        <w:rPr>
          <w:rFonts w:ascii="Arial" w:hAnsi="Arial" w:cs="Arial"/>
          <w:sz w:val="24"/>
          <w:szCs w:val="24"/>
          <w:lang w:val="en-GB"/>
        </w:rPr>
        <w:t>The appeal is dismissed with costs</w:t>
      </w:r>
      <w:r w:rsidR="003B7007" w:rsidRPr="008248AF">
        <w:rPr>
          <w:rFonts w:ascii="Arial" w:hAnsi="Arial" w:cs="Arial"/>
          <w:sz w:val="24"/>
          <w:szCs w:val="24"/>
          <w:lang w:val="en-GB"/>
        </w:rPr>
        <w:t xml:space="preserve"> </w:t>
      </w:r>
      <w:r w:rsidR="00F2536C">
        <w:rPr>
          <w:rFonts w:ascii="Arial" w:hAnsi="Arial" w:cs="Arial"/>
          <w:sz w:val="24"/>
          <w:szCs w:val="24"/>
          <w:lang w:val="en-GB"/>
        </w:rPr>
        <w:t xml:space="preserve">including the costs </w:t>
      </w:r>
      <w:r w:rsidR="003B7007" w:rsidRPr="008248AF">
        <w:rPr>
          <w:rFonts w:ascii="Arial" w:hAnsi="Arial" w:cs="Arial"/>
          <w:sz w:val="24"/>
          <w:szCs w:val="24"/>
          <w:lang w:val="en-GB"/>
        </w:rPr>
        <w:t>of two counsel</w:t>
      </w:r>
      <w:r w:rsidRPr="008248AF">
        <w:rPr>
          <w:rFonts w:ascii="Arial" w:hAnsi="Arial" w:cs="Arial"/>
          <w:sz w:val="24"/>
          <w:szCs w:val="24"/>
          <w:lang w:val="en-GB"/>
        </w:rPr>
        <w:t>.</w:t>
      </w:r>
    </w:p>
    <w:p w14:paraId="62BF699D" w14:textId="2B051DAD" w:rsidR="00952F28" w:rsidRDefault="00952F28" w:rsidP="00A36601">
      <w:pPr>
        <w:spacing w:after="0" w:line="480" w:lineRule="auto"/>
        <w:jc w:val="both"/>
        <w:rPr>
          <w:rFonts w:ascii="Arial" w:hAnsi="Arial" w:cs="Arial"/>
          <w:lang w:val="en-GB"/>
        </w:rPr>
      </w:pPr>
    </w:p>
    <w:p w14:paraId="7E504797" w14:textId="343FD522" w:rsidR="00952F28" w:rsidRDefault="00952F28" w:rsidP="00A36601">
      <w:pPr>
        <w:spacing w:after="0" w:line="480" w:lineRule="auto"/>
        <w:jc w:val="both"/>
        <w:rPr>
          <w:rFonts w:ascii="Arial" w:hAnsi="Arial" w:cs="Arial"/>
          <w:lang w:val="en-GB"/>
        </w:rPr>
      </w:pPr>
    </w:p>
    <w:p w14:paraId="0FE0397E" w14:textId="5DF92C42" w:rsidR="00952F28" w:rsidRDefault="00952F28" w:rsidP="00A36601">
      <w:pPr>
        <w:spacing w:after="0" w:line="480" w:lineRule="auto"/>
        <w:jc w:val="both"/>
        <w:rPr>
          <w:rFonts w:ascii="Arial" w:hAnsi="Arial" w:cs="Arial"/>
          <w:lang w:val="en-GB"/>
        </w:rPr>
      </w:pPr>
    </w:p>
    <w:p w14:paraId="3B23BB2A" w14:textId="77777777" w:rsidR="00952F28" w:rsidRPr="00D2159C" w:rsidRDefault="00952F28" w:rsidP="00A36601">
      <w:pPr>
        <w:spacing w:after="0" w:line="480" w:lineRule="auto"/>
        <w:jc w:val="both"/>
        <w:rPr>
          <w:rFonts w:ascii="Arial" w:hAnsi="Arial" w:cs="Arial"/>
          <w:lang w:val="en-GB"/>
        </w:rPr>
      </w:pPr>
    </w:p>
    <w:p w14:paraId="17BCA3EA" w14:textId="380C4A32" w:rsidR="00314D07" w:rsidRDefault="00314D07" w:rsidP="00D6797F">
      <w:pPr>
        <w:pStyle w:val="ListParagraph"/>
        <w:spacing w:after="0" w:line="360" w:lineRule="auto"/>
        <w:ind w:left="0"/>
        <w:jc w:val="both"/>
        <w:rPr>
          <w:rFonts w:ascii="Arial" w:hAnsi="Arial" w:cs="Arial"/>
          <w:sz w:val="24"/>
          <w:szCs w:val="24"/>
        </w:rPr>
      </w:pPr>
    </w:p>
    <w:p w14:paraId="4B0E902F" w14:textId="4CDFD031" w:rsidR="002155EE" w:rsidRPr="002034F6" w:rsidRDefault="002155EE" w:rsidP="00D6797F">
      <w:pPr>
        <w:spacing w:line="360" w:lineRule="auto"/>
        <w:ind w:left="4320"/>
        <w:jc w:val="right"/>
        <w:rPr>
          <w:rFonts w:ascii="Arial" w:hAnsi="Arial" w:cs="Arial"/>
          <w:b/>
          <w:bCs/>
          <w:sz w:val="24"/>
          <w:szCs w:val="24"/>
        </w:rPr>
      </w:pPr>
      <w:r w:rsidRPr="002034F6">
        <w:rPr>
          <w:rFonts w:ascii="Arial" w:hAnsi="Arial" w:cs="Arial"/>
          <w:b/>
          <w:bCs/>
          <w:sz w:val="24"/>
          <w:szCs w:val="24"/>
        </w:rPr>
        <w:t>______________________________</w:t>
      </w:r>
    </w:p>
    <w:p w14:paraId="271FAC4F" w14:textId="42B69B2E" w:rsidR="00305020" w:rsidRDefault="006020B0">
      <w:pPr>
        <w:spacing w:line="360" w:lineRule="auto"/>
        <w:jc w:val="right"/>
        <w:rPr>
          <w:rFonts w:ascii="Arial" w:hAnsi="Arial" w:cs="Arial"/>
          <w:b/>
          <w:sz w:val="24"/>
          <w:szCs w:val="24"/>
        </w:rPr>
      </w:pPr>
      <w:r>
        <w:rPr>
          <w:rFonts w:ascii="Arial" w:hAnsi="Arial" w:cs="Arial"/>
          <w:b/>
          <w:sz w:val="24"/>
          <w:szCs w:val="24"/>
        </w:rPr>
        <w:t>Wepener</w:t>
      </w:r>
      <w:r w:rsidR="009021CC" w:rsidRPr="00D6797F">
        <w:rPr>
          <w:rFonts w:ascii="Arial" w:hAnsi="Arial" w:cs="Arial"/>
          <w:b/>
          <w:sz w:val="24"/>
          <w:szCs w:val="24"/>
        </w:rPr>
        <w:t xml:space="preserve"> J</w:t>
      </w:r>
    </w:p>
    <w:p w14:paraId="4B1BBB46" w14:textId="77777777" w:rsidR="00F20FE7" w:rsidRDefault="00F20FE7">
      <w:pPr>
        <w:spacing w:line="360" w:lineRule="auto"/>
        <w:jc w:val="right"/>
        <w:rPr>
          <w:rFonts w:ascii="Arial" w:hAnsi="Arial" w:cs="Arial"/>
          <w:b/>
          <w:sz w:val="24"/>
          <w:szCs w:val="24"/>
        </w:rPr>
      </w:pPr>
    </w:p>
    <w:p w14:paraId="607E94AB" w14:textId="77777777" w:rsidR="00F20FE7" w:rsidRDefault="00F20FE7">
      <w:pPr>
        <w:spacing w:line="360" w:lineRule="auto"/>
        <w:jc w:val="right"/>
        <w:rPr>
          <w:rFonts w:ascii="Arial" w:hAnsi="Arial" w:cs="Arial"/>
          <w:b/>
          <w:sz w:val="24"/>
          <w:szCs w:val="24"/>
        </w:rPr>
      </w:pPr>
    </w:p>
    <w:p w14:paraId="19EEF685" w14:textId="3FE2E6BA" w:rsidR="00F20FE7" w:rsidRDefault="00F20FE7">
      <w:pPr>
        <w:spacing w:line="360" w:lineRule="auto"/>
        <w:jc w:val="right"/>
        <w:rPr>
          <w:rFonts w:ascii="Arial" w:hAnsi="Arial" w:cs="Arial"/>
          <w:b/>
          <w:sz w:val="24"/>
          <w:szCs w:val="24"/>
        </w:rPr>
      </w:pPr>
      <w:r>
        <w:rPr>
          <w:rFonts w:ascii="Arial" w:hAnsi="Arial" w:cs="Arial"/>
          <w:b/>
          <w:sz w:val="24"/>
          <w:szCs w:val="24"/>
        </w:rPr>
        <w:t>______________________________</w:t>
      </w:r>
    </w:p>
    <w:p w14:paraId="3571B9B1" w14:textId="66ED8F98" w:rsidR="00F20FE7" w:rsidRDefault="00F20FE7" w:rsidP="00F20FE7">
      <w:pPr>
        <w:spacing w:line="360" w:lineRule="auto"/>
        <w:jc w:val="right"/>
        <w:rPr>
          <w:rFonts w:ascii="Arial" w:hAnsi="Arial" w:cs="Arial"/>
          <w:b/>
          <w:sz w:val="24"/>
          <w:szCs w:val="24"/>
        </w:rPr>
      </w:pPr>
      <w:r>
        <w:rPr>
          <w:rFonts w:ascii="Arial" w:hAnsi="Arial" w:cs="Arial"/>
          <w:b/>
          <w:sz w:val="24"/>
          <w:szCs w:val="24"/>
        </w:rPr>
        <w:t>Yacoob J</w:t>
      </w:r>
    </w:p>
    <w:p w14:paraId="468BF6D4" w14:textId="77777777" w:rsidR="00F20FE7" w:rsidRDefault="00F20FE7" w:rsidP="00F20FE7">
      <w:pPr>
        <w:spacing w:line="360" w:lineRule="auto"/>
        <w:jc w:val="right"/>
        <w:rPr>
          <w:rFonts w:ascii="Arial" w:hAnsi="Arial" w:cs="Arial"/>
          <w:b/>
          <w:sz w:val="24"/>
          <w:szCs w:val="24"/>
        </w:rPr>
      </w:pPr>
    </w:p>
    <w:p w14:paraId="5EF6F119" w14:textId="77777777" w:rsidR="00F20FE7" w:rsidRDefault="00F20FE7" w:rsidP="00F20FE7">
      <w:pPr>
        <w:spacing w:line="360" w:lineRule="auto"/>
        <w:jc w:val="right"/>
        <w:rPr>
          <w:rFonts w:ascii="Arial" w:hAnsi="Arial" w:cs="Arial"/>
          <w:b/>
          <w:sz w:val="24"/>
          <w:szCs w:val="24"/>
        </w:rPr>
      </w:pPr>
    </w:p>
    <w:p w14:paraId="35BE2042" w14:textId="02A5C6BE" w:rsidR="00F20FE7" w:rsidRDefault="00F20FE7" w:rsidP="00F20FE7">
      <w:pPr>
        <w:spacing w:line="360" w:lineRule="auto"/>
        <w:jc w:val="right"/>
        <w:rPr>
          <w:rFonts w:ascii="Arial" w:hAnsi="Arial" w:cs="Arial"/>
          <w:b/>
          <w:sz w:val="24"/>
          <w:szCs w:val="24"/>
        </w:rPr>
      </w:pPr>
      <w:r>
        <w:rPr>
          <w:rFonts w:ascii="Arial" w:hAnsi="Arial" w:cs="Arial"/>
          <w:b/>
          <w:sz w:val="24"/>
          <w:szCs w:val="24"/>
        </w:rPr>
        <w:t>______________________________</w:t>
      </w:r>
    </w:p>
    <w:p w14:paraId="3FEB890D" w14:textId="38F6AB35" w:rsidR="00F20FE7" w:rsidRPr="00D6797F" w:rsidRDefault="00F20FE7" w:rsidP="00F20FE7">
      <w:pPr>
        <w:spacing w:line="360" w:lineRule="auto"/>
        <w:jc w:val="right"/>
        <w:rPr>
          <w:rFonts w:ascii="Arial" w:hAnsi="Arial" w:cs="Arial"/>
          <w:b/>
          <w:sz w:val="24"/>
          <w:szCs w:val="24"/>
        </w:rPr>
      </w:pPr>
      <w:r>
        <w:rPr>
          <w:rFonts w:ascii="Arial" w:hAnsi="Arial" w:cs="Arial"/>
          <w:b/>
          <w:sz w:val="24"/>
          <w:szCs w:val="24"/>
        </w:rPr>
        <w:t>Dosio J</w:t>
      </w:r>
    </w:p>
    <w:p w14:paraId="38B80BAD" w14:textId="6637F39D" w:rsidR="009021CC" w:rsidRPr="00D6797F" w:rsidRDefault="009021CC">
      <w:pPr>
        <w:spacing w:line="360" w:lineRule="auto"/>
        <w:jc w:val="right"/>
        <w:rPr>
          <w:rFonts w:ascii="Arial" w:hAnsi="Arial" w:cs="Arial"/>
          <w:b/>
          <w:sz w:val="24"/>
          <w:szCs w:val="24"/>
        </w:rPr>
      </w:pPr>
    </w:p>
    <w:p w14:paraId="2B85A64C" w14:textId="7F7A2E82" w:rsidR="007E4C8C"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Heard</w:t>
      </w:r>
      <w:r w:rsidR="00E93873">
        <w:rPr>
          <w:rFonts w:ascii="Arial" w:hAnsi="Arial" w:cs="Arial"/>
          <w:b/>
          <w:sz w:val="24"/>
          <w:szCs w:val="24"/>
        </w:rPr>
        <w:t>:</w:t>
      </w:r>
      <w:r w:rsidR="00E93873">
        <w:rPr>
          <w:rFonts w:ascii="Arial" w:hAnsi="Arial" w:cs="Arial"/>
          <w:b/>
          <w:sz w:val="24"/>
          <w:szCs w:val="24"/>
        </w:rPr>
        <w:tab/>
      </w:r>
      <w:r w:rsidR="0027178D">
        <w:rPr>
          <w:rFonts w:ascii="Arial" w:hAnsi="Arial" w:cs="Arial"/>
          <w:bCs/>
          <w:sz w:val="24"/>
          <w:szCs w:val="24"/>
        </w:rPr>
        <w:t>8 November</w:t>
      </w:r>
      <w:r w:rsidRPr="00067120">
        <w:rPr>
          <w:rFonts w:ascii="Arial" w:hAnsi="Arial" w:cs="Arial"/>
          <w:bCs/>
          <w:sz w:val="24"/>
          <w:szCs w:val="24"/>
        </w:rPr>
        <w:t xml:space="preserve"> 2023</w:t>
      </w:r>
    </w:p>
    <w:p w14:paraId="3D6232A4" w14:textId="647BB8EE" w:rsidR="005C790E" w:rsidRDefault="007E4C8C" w:rsidP="00D6797F">
      <w:pPr>
        <w:spacing w:line="240" w:lineRule="auto"/>
        <w:jc w:val="both"/>
        <w:rPr>
          <w:rFonts w:ascii="Arial" w:hAnsi="Arial" w:cs="Arial"/>
          <w:bCs/>
          <w:sz w:val="24"/>
          <w:szCs w:val="24"/>
        </w:rPr>
      </w:pPr>
      <w:r w:rsidRPr="00D6797F">
        <w:rPr>
          <w:rFonts w:ascii="Arial" w:hAnsi="Arial" w:cs="Arial"/>
          <w:b/>
          <w:sz w:val="24"/>
          <w:szCs w:val="24"/>
        </w:rPr>
        <w:t>Delivered:</w:t>
      </w:r>
      <w:r w:rsidR="00E93873">
        <w:rPr>
          <w:rFonts w:ascii="Arial" w:hAnsi="Arial" w:cs="Arial"/>
          <w:b/>
          <w:sz w:val="24"/>
          <w:szCs w:val="24"/>
        </w:rPr>
        <w:tab/>
      </w:r>
      <w:r w:rsidR="008E1344">
        <w:rPr>
          <w:rFonts w:ascii="Arial" w:hAnsi="Arial" w:cs="Arial"/>
          <w:b/>
          <w:sz w:val="24"/>
          <w:szCs w:val="24"/>
        </w:rPr>
        <w:t xml:space="preserve">4 </w:t>
      </w:r>
      <w:r w:rsidR="00996A6B">
        <w:rPr>
          <w:rFonts w:ascii="Arial" w:hAnsi="Arial" w:cs="Arial"/>
          <w:bCs/>
          <w:sz w:val="24"/>
          <w:szCs w:val="24"/>
        </w:rPr>
        <w:t>March 2024</w:t>
      </w:r>
    </w:p>
    <w:p w14:paraId="34879A55" w14:textId="77777777" w:rsidR="00996A6B" w:rsidRPr="00D6797F" w:rsidRDefault="00996A6B" w:rsidP="00D6797F">
      <w:pPr>
        <w:spacing w:line="240" w:lineRule="auto"/>
        <w:jc w:val="both"/>
        <w:rPr>
          <w:rFonts w:ascii="Arial" w:hAnsi="Arial" w:cs="Arial"/>
          <w:b/>
          <w:sz w:val="24"/>
          <w:szCs w:val="24"/>
        </w:rPr>
      </w:pPr>
    </w:p>
    <w:p w14:paraId="15A80114" w14:textId="153330A4" w:rsidR="007E4C8C" w:rsidRPr="00D6797F" w:rsidRDefault="007E4C8C" w:rsidP="00D6797F">
      <w:pPr>
        <w:spacing w:line="240" w:lineRule="auto"/>
        <w:jc w:val="both"/>
        <w:rPr>
          <w:rFonts w:ascii="Arial" w:hAnsi="Arial" w:cs="Arial"/>
          <w:b/>
          <w:sz w:val="24"/>
          <w:szCs w:val="24"/>
        </w:rPr>
      </w:pPr>
    </w:p>
    <w:p w14:paraId="29528A10" w14:textId="2A73D63C" w:rsidR="009021CC" w:rsidRPr="00D6797F" w:rsidRDefault="009021CC" w:rsidP="00D6797F">
      <w:pPr>
        <w:spacing w:line="240" w:lineRule="auto"/>
        <w:jc w:val="both"/>
        <w:rPr>
          <w:rFonts w:ascii="Arial" w:hAnsi="Arial" w:cs="Arial"/>
          <w:sz w:val="24"/>
          <w:szCs w:val="24"/>
        </w:rPr>
      </w:pPr>
      <w:r w:rsidRPr="00D6797F">
        <w:rPr>
          <w:rFonts w:ascii="Arial" w:hAnsi="Arial" w:cs="Arial"/>
          <w:sz w:val="24"/>
          <w:szCs w:val="24"/>
        </w:rPr>
        <w:t xml:space="preserve">For </w:t>
      </w:r>
      <w:r w:rsidR="0027178D">
        <w:rPr>
          <w:rFonts w:ascii="Arial" w:hAnsi="Arial" w:cs="Arial"/>
          <w:sz w:val="24"/>
          <w:szCs w:val="24"/>
        </w:rPr>
        <w:t>SGB</w:t>
      </w:r>
      <w:r w:rsidRPr="00D6797F">
        <w:rPr>
          <w:rFonts w:ascii="Arial" w:hAnsi="Arial" w:cs="Arial"/>
          <w:sz w:val="24"/>
          <w:szCs w:val="24"/>
        </w:rPr>
        <w:t>:</w:t>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27178D">
        <w:rPr>
          <w:rFonts w:ascii="Arial" w:hAnsi="Arial" w:cs="Arial"/>
          <w:sz w:val="24"/>
          <w:szCs w:val="24"/>
        </w:rPr>
        <w:t xml:space="preserve">           Adv. </w:t>
      </w:r>
      <w:r w:rsidR="0027178D" w:rsidRPr="0027178D">
        <w:rPr>
          <w:rFonts w:ascii="Arial" w:hAnsi="Arial" w:cs="Arial"/>
          <w:sz w:val="24"/>
          <w:szCs w:val="24"/>
        </w:rPr>
        <w:t>W. R. Mokhar</w:t>
      </w:r>
      <w:r w:rsidR="008F2C5F">
        <w:rPr>
          <w:rFonts w:ascii="Arial" w:hAnsi="Arial" w:cs="Arial"/>
          <w:sz w:val="24"/>
          <w:szCs w:val="24"/>
        </w:rPr>
        <w:t>i</w:t>
      </w:r>
      <w:r w:rsidR="0027178D" w:rsidRPr="0027178D">
        <w:rPr>
          <w:rFonts w:ascii="Arial" w:hAnsi="Arial" w:cs="Arial"/>
          <w:sz w:val="24"/>
          <w:szCs w:val="24"/>
        </w:rPr>
        <w:t xml:space="preserve"> SC</w:t>
      </w:r>
    </w:p>
    <w:p w14:paraId="155B1011" w14:textId="6239C651" w:rsidR="009021CC" w:rsidRPr="00D6797F" w:rsidRDefault="009021CC" w:rsidP="00D6797F">
      <w:pPr>
        <w:spacing w:line="240" w:lineRule="auto"/>
        <w:ind w:left="4320" w:firstLine="720"/>
        <w:jc w:val="both"/>
        <w:rPr>
          <w:rFonts w:ascii="Arial" w:hAnsi="Arial" w:cs="Arial"/>
          <w:sz w:val="24"/>
          <w:szCs w:val="24"/>
        </w:rPr>
      </w:pPr>
      <w:r w:rsidRPr="00D6797F">
        <w:rPr>
          <w:rFonts w:ascii="Arial" w:hAnsi="Arial" w:cs="Arial"/>
          <w:sz w:val="24"/>
          <w:szCs w:val="24"/>
        </w:rPr>
        <w:t xml:space="preserve">With him </w:t>
      </w:r>
      <w:r w:rsidR="0027178D">
        <w:rPr>
          <w:rFonts w:ascii="Arial" w:hAnsi="Arial" w:cs="Arial"/>
          <w:sz w:val="24"/>
          <w:szCs w:val="24"/>
        </w:rPr>
        <w:t xml:space="preserve">Adv. </w:t>
      </w:r>
      <w:r w:rsidR="0027178D" w:rsidRPr="0027178D">
        <w:rPr>
          <w:rFonts w:ascii="Arial" w:hAnsi="Arial" w:cs="Arial"/>
          <w:sz w:val="24"/>
          <w:szCs w:val="24"/>
        </w:rPr>
        <w:t>S Mathiba</w:t>
      </w:r>
    </w:p>
    <w:p w14:paraId="373B5825" w14:textId="56A4DC68" w:rsidR="00BC759F" w:rsidRPr="00D6797F" w:rsidRDefault="009021CC" w:rsidP="00B14882">
      <w:pPr>
        <w:spacing w:line="240" w:lineRule="auto"/>
        <w:ind w:left="5040"/>
        <w:jc w:val="both"/>
        <w:rPr>
          <w:rFonts w:ascii="Arial" w:hAnsi="Arial" w:cs="Arial"/>
          <w:sz w:val="24"/>
          <w:szCs w:val="24"/>
        </w:rPr>
      </w:pPr>
      <w:r w:rsidRPr="00D6797F">
        <w:rPr>
          <w:rFonts w:ascii="Arial" w:hAnsi="Arial" w:cs="Arial"/>
          <w:sz w:val="24"/>
          <w:szCs w:val="24"/>
        </w:rPr>
        <w:t xml:space="preserve">Instructed by </w:t>
      </w:r>
      <w:r w:rsidR="0027178D" w:rsidRPr="0027178D">
        <w:rPr>
          <w:rFonts w:ascii="Arial" w:hAnsi="Arial" w:cs="Arial"/>
          <w:sz w:val="24"/>
          <w:szCs w:val="24"/>
        </w:rPr>
        <w:t>Werksmans Attorneys</w:t>
      </w:r>
    </w:p>
    <w:p w14:paraId="2328B395" w14:textId="77777777" w:rsidR="00F20FE7" w:rsidRDefault="00F20FE7" w:rsidP="00D6797F">
      <w:pPr>
        <w:spacing w:line="240" w:lineRule="auto"/>
        <w:ind w:left="4320" w:firstLine="720"/>
        <w:jc w:val="both"/>
        <w:rPr>
          <w:rFonts w:ascii="Arial" w:hAnsi="Arial" w:cs="Arial"/>
          <w:sz w:val="24"/>
          <w:szCs w:val="24"/>
        </w:rPr>
      </w:pPr>
    </w:p>
    <w:p w14:paraId="38A8E2B1" w14:textId="77777777" w:rsidR="00F20FE7" w:rsidRDefault="00F20FE7" w:rsidP="00F20FE7">
      <w:pPr>
        <w:spacing w:line="240" w:lineRule="auto"/>
        <w:jc w:val="both"/>
        <w:rPr>
          <w:rFonts w:ascii="Arial" w:hAnsi="Arial" w:cs="Arial"/>
          <w:sz w:val="24"/>
          <w:szCs w:val="24"/>
        </w:rPr>
      </w:pPr>
      <w:r>
        <w:rPr>
          <w:rFonts w:ascii="Arial" w:hAnsi="Arial" w:cs="Arial"/>
          <w:sz w:val="24"/>
          <w:szCs w:val="24"/>
        </w:rPr>
        <w:t xml:space="preserve">For Southey Contracting: </w:t>
      </w:r>
      <w:r>
        <w:rPr>
          <w:rFonts w:ascii="Arial" w:hAnsi="Arial" w:cs="Arial"/>
          <w:sz w:val="24"/>
          <w:szCs w:val="24"/>
        </w:rPr>
        <w:tab/>
      </w:r>
      <w:r>
        <w:rPr>
          <w:rFonts w:ascii="Arial" w:hAnsi="Arial" w:cs="Arial"/>
          <w:sz w:val="24"/>
          <w:szCs w:val="24"/>
        </w:rPr>
        <w:tab/>
        <w:t xml:space="preserve">                     Adv. A. Kemack SC </w:t>
      </w:r>
    </w:p>
    <w:p w14:paraId="2CCA41B8" w14:textId="77777777" w:rsidR="00F20FE7" w:rsidRDefault="00F20FE7" w:rsidP="00F20FE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With him Adv. M. Nieuwoudt </w:t>
      </w:r>
    </w:p>
    <w:p w14:paraId="3E7ED55F" w14:textId="19B3CEE9" w:rsidR="00FD22EF" w:rsidRDefault="00F20FE7" w:rsidP="00F20FE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Adv. </w:t>
      </w:r>
      <w:r w:rsidR="003211F8">
        <w:rPr>
          <w:rFonts w:ascii="Arial" w:hAnsi="Arial" w:cs="Arial"/>
          <w:sz w:val="24"/>
          <w:szCs w:val="24"/>
        </w:rPr>
        <w:t xml:space="preserve">B. </w:t>
      </w:r>
      <w:r>
        <w:rPr>
          <w:rFonts w:ascii="Arial" w:hAnsi="Arial" w:cs="Arial"/>
          <w:sz w:val="24"/>
          <w:szCs w:val="24"/>
        </w:rPr>
        <w:t xml:space="preserve">Magogo </w:t>
      </w:r>
    </w:p>
    <w:p w14:paraId="155B5A21" w14:textId="4B09794F" w:rsidR="00F20FE7" w:rsidRPr="00D6797F" w:rsidRDefault="00FD22EF" w:rsidP="006A71DD">
      <w:pPr>
        <w:spacing w:line="240" w:lineRule="auto"/>
        <w:ind w:left="5040"/>
        <w:jc w:val="both"/>
        <w:rPr>
          <w:rFonts w:ascii="Arial" w:hAnsi="Arial" w:cs="Arial"/>
          <w:sz w:val="24"/>
          <w:szCs w:val="24"/>
        </w:rPr>
      </w:pPr>
      <w:r>
        <w:rPr>
          <w:rFonts w:ascii="Arial" w:hAnsi="Arial" w:cs="Arial"/>
          <w:sz w:val="24"/>
          <w:szCs w:val="24"/>
        </w:rPr>
        <w:t>Instructed</w:t>
      </w:r>
      <w:r w:rsidR="003B7231">
        <w:rPr>
          <w:rFonts w:ascii="Arial" w:hAnsi="Arial" w:cs="Arial"/>
          <w:sz w:val="24"/>
          <w:szCs w:val="24"/>
        </w:rPr>
        <w:t xml:space="preserve"> </w:t>
      </w:r>
      <w:r>
        <w:rPr>
          <w:rFonts w:ascii="Arial" w:hAnsi="Arial" w:cs="Arial"/>
          <w:sz w:val="24"/>
          <w:szCs w:val="24"/>
        </w:rPr>
        <w:t xml:space="preserve">by </w:t>
      </w:r>
      <w:r w:rsidRPr="00FD22EF">
        <w:rPr>
          <w:rFonts w:ascii="Arial" w:hAnsi="Arial" w:cs="Arial"/>
          <w:sz w:val="24"/>
          <w:szCs w:val="24"/>
        </w:rPr>
        <w:t>Hattingh Massey Bennett Inc</w:t>
      </w:r>
      <w:r w:rsidR="003B7231">
        <w:rPr>
          <w:rFonts w:ascii="Arial" w:hAnsi="Arial" w:cs="Arial"/>
          <w:sz w:val="24"/>
          <w:szCs w:val="24"/>
        </w:rPr>
        <w:t xml:space="preserve">orporated </w:t>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lastRenderedPageBreak/>
        <w:tab/>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tab/>
      </w:r>
      <w:r w:rsidR="00F20FE7">
        <w:rPr>
          <w:rFonts w:ascii="Arial" w:hAnsi="Arial" w:cs="Arial"/>
          <w:sz w:val="24"/>
          <w:szCs w:val="24"/>
        </w:rPr>
        <w:tab/>
      </w:r>
    </w:p>
    <w:p w14:paraId="0A14C01A" w14:textId="0679ED27" w:rsidR="00B14882" w:rsidRPr="00B14882" w:rsidRDefault="00B14882" w:rsidP="00B14882">
      <w:pPr>
        <w:spacing w:line="240" w:lineRule="auto"/>
        <w:jc w:val="both"/>
        <w:rPr>
          <w:rFonts w:ascii="Arial" w:hAnsi="Arial" w:cs="Arial"/>
          <w:sz w:val="24"/>
          <w:szCs w:val="24"/>
        </w:rPr>
      </w:pPr>
      <w:r w:rsidRPr="00B14882">
        <w:rPr>
          <w:rFonts w:ascii="Arial" w:hAnsi="Arial" w:cs="Arial"/>
          <w:sz w:val="24"/>
          <w:szCs w:val="24"/>
        </w:rPr>
        <w:t xml:space="preserve">For </w:t>
      </w:r>
      <w:r w:rsidR="00382A14">
        <w:rPr>
          <w:rFonts w:ascii="Arial" w:hAnsi="Arial" w:cs="Arial"/>
          <w:sz w:val="24"/>
          <w:szCs w:val="24"/>
        </w:rPr>
        <w:t>Eskom</w:t>
      </w:r>
      <w:r w:rsidRPr="00B14882">
        <w:rPr>
          <w:rFonts w:ascii="Arial" w:hAnsi="Arial" w:cs="Arial"/>
          <w:sz w:val="24"/>
          <w:szCs w:val="24"/>
        </w:rPr>
        <w:t>:                                                       Adv. H Maenetje SC</w:t>
      </w:r>
    </w:p>
    <w:p w14:paraId="591A4A89" w14:textId="77777777" w:rsidR="00B14882" w:rsidRPr="00B14882" w:rsidRDefault="00B14882" w:rsidP="008F2C5F">
      <w:pPr>
        <w:spacing w:line="240" w:lineRule="auto"/>
        <w:ind w:left="4320" w:firstLine="720"/>
        <w:jc w:val="both"/>
        <w:rPr>
          <w:rFonts w:ascii="Arial" w:hAnsi="Arial" w:cs="Arial"/>
          <w:sz w:val="24"/>
          <w:szCs w:val="24"/>
        </w:rPr>
      </w:pPr>
      <w:r w:rsidRPr="00B14882">
        <w:rPr>
          <w:rFonts w:ascii="Arial" w:hAnsi="Arial" w:cs="Arial"/>
          <w:sz w:val="24"/>
          <w:szCs w:val="24"/>
        </w:rPr>
        <w:t>With him Adv. H Rajah</w:t>
      </w:r>
    </w:p>
    <w:p w14:paraId="00A7EC98" w14:textId="60AA403C" w:rsidR="00BC759F" w:rsidRPr="00D6797F" w:rsidRDefault="00B14882" w:rsidP="00B14882">
      <w:pPr>
        <w:spacing w:line="240" w:lineRule="auto"/>
        <w:ind w:left="5040"/>
        <w:jc w:val="both"/>
        <w:rPr>
          <w:rFonts w:ascii="Arial" w:hAnsi="Arial" w:cs="Arial"/>
          <w:sz w:val="24"/>
          <w:szCs w:val="24"/>
        </w:rPr>
      </w:pPr>
      <w:r w:rsidRPr="00B14882">
        <w:rPr>
          <w:rFonts w:ascii="Arial" w:hAnsi="Arial" w:cs="Arial"/>
          <w:sz w:val="24"/>
          <w:szCs w:val="24"/>
        </w:rPr>
        <w:t>Instructed by Mchunu Attorneys</w:t>
      </w:r>
    </w:p>
    <w:sectPr w:rsidR="00BC759F" w:rsidRPr="00D6797F" w:rsidSect="00823184">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7129" w14:textId="77777777" w:rsidR="0039051C" w:rsidRDefault="0039051C" w:rsidP="004B3A00">
      <w:pPr>
        <w:spacing w:after="0" w:line="240" w:lineRule="auto"/>
      </w:pPr>
      <w:r>
        <w:separator/>
      </w:r>
    </w:p>
  </w:endnote>
  <w:endnote w:type="continuationSeparator" w:id="0">
    <w:p w14:paraId="47EE0004" w14:textId="77777777" w:rsidR="0039051C" w:rsidRDefault="0039051C" w:rsidP="004B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18776015"/>
      <w:docPartObj>
        <w:docPartGallery w:val="Page Numbers (Bottom of Page)"/>
        <w:docPartUnique/>
      </w:docPartObj>
    </w:sdtPr>
    <w:sdtEndPr>
      <w:rPr>
        <w:noProof/>
      </w:rPr>
    </w:sdtEndPr>
    <w:sdtContent>
      <w:p w14:paraId="5FE73F51" w14:textId="3B9D2A9F" w:rsidR="001E02B1" w:rsidRPr="00D6797F" w:rsidRDefault="001E02B1">
        <w:pPr>
          <w:pStyle w:val="Footer"/>
          <w:jc w:val="right"/>
          <w:rPr>
            <w:rFonts w:ascii="Arial" w:hAnsi="Arial" w:cs="Arial"/>
            <w:sz w:val="24"/>
            <w:szCs w:val="24"/>
          </w:rPr>
        </w:pPr>
        <w:r w:rsidRPr="00D6797F">
          <w:rPr>
            <w:rFonts w:ascii="Arial" w:hAnsi="Arial" w:cs="Arial"/>
            <w:sz w:val="24"/>
            <w:szCs w:val="24"/>
          </w:rPr>
          <w:fldChar w:fldCharType="begin"/>
        </w:r>
        <w:r w:rsidRPr="00D6797F">
          <w:rPr>
            <w:rFonts w:ascii="Arial" w:hAnsi="Arial" w:cs="Arial"/>
            <w:sz w:val="24"/>
            <w:szCs w:val="24"/>
          </w:rPr>
          <w:instrText xml:space="preserve"> PAGE   \* MERGEFORMAT </w:instrText>
        </w:r>
        <w:r w:rsidRPr="00D6797F">
          <w:rPr>
            <w:rFonts w:ascii="Arial" w:hAnsi="Arial" w:cs="Arial"/>
            <w:sz w:val="24"/>
            <w:szCs w:val="24"/>
          </w:rPr>
          <w:fldChar w:fldCharType="separate"/>
        </w:r>
        <w:r w:rsidR="0083112E">
          <w:rPr>
            <w:rFonts w:ascii="Arial" w:hAnsi="Arial" w:cs="Arial"/>
            <w:noProof/>
            <w:sz w:val="24"/>
            <w:szCs w:val="24"/>
          </w:rPr>
          <w:t>2</w:t>
        </w:r>
        <w:r w:rsidRPr="00D6797F">
          <w:rPr>
            <w:rFonts w:ascii="Arial" w:hAnsi="Arial" w:cs="Arial"/>
            <w:noProof/>
            <w:sz w:val="24"/>
            <w:szCs w:val="24"/>
          </w:rPr>
          <w:fldChar w:fldCharType="end"/>
        </w:r>
      </w:p>
    </w:sdtContent>
  </w:sdt>
  <w:p w14:paraId="3AAEC881" w14:textId="77777777" w:rsidR="001E02B1" w:rsidRPr="00D6797F" w:rsidRDefault="001E02B1">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5FF3" w14:textId="77777777" w:rsidR="0039051C" w:rsidRDefault="0039051C" w:rsidP="004B3A00">
      <w:pPr>
        <w:spacing w:after="0" w:line="240" w:lineRule="auto"/>
      </w:pPr>
      <w:r>
        <w:separator/>
      </w:r>
    </w:p>
  </w:footnote>
  <w:footnote w:type="continuationSeparator" w:id="0">
    <w:p w14:paraId="20F018EE" w14:textId="77777777" w:rsidR="0039051C" w:rsidRDefault="0039051C" w:rsidP="004B3A00">
      <w:pPr>
        <w:spacing w:after="0" w:line="240" w:lineRule="auto"/>
      </w:pPr>
      <w:r>
        <w:continuationSeparator/>
      </w:r>
    </w:p>
  </w:footnote>
  <w:footnote w:id="1">
    <w:p w14:paraId="687CBDEB" w14:textId="3DD12197" w:rsidR="001E02B1" w:rsidRPr="002A3875" w:rsidRDefault="001E02B1">
      <w:pPr>
        <w:pStyle w:val="FootnoteText"/>
        <w:rPr>
          <w:sz w:val="18"/>
          <w:szCs w:val="18"/>
          <w:lang w:val="en-GB"/>
        </w:rPr>
      </w:pPr>
      <w:r>
        <w:rPr>
          <w:rStyle w:val="FootnoteReference"/>
        </w:rPr>
        <w:footnoteRef/>
      </w:r>
      <w:r>
        <w:t xml:space="preserve"> </w:t>
      </w:r>
      <w:r w:rsidRPr="002A3875">
        <w:rPr>
          <w:sz w:val="18"/>
          <w:szCs w:val="18"/>
        </w:rPr>
        <w:t>Act 1 of 1999.</w:t>
      </w:r>
    </w:p>
  </w:footnote>
  <w:footnote w:id="2">
    <w:p w14:paraId="3E1DEAA9" w14:textId="77777777" w:rsidR="001E02B1" w:rsidRPr="002A3875" w:rsidRDefault="001E02B1" w:rsidP="00293F3C">
      <w:pPr>
        <w:pStyle w:val="FootnoteText"/>
        <w:jc w:val="both"/>
        <w:rPr>
          <w:sz w:val="18"/>
          <w:szCs w:val="18"/>
        </w:rPr>
      </w:pPr>
      <w:r w:rsidRPr="002A3875">
        <w:rPr>
          <w:rStyle w:val="FootnoteReference"/>
          <w:sz w:val="18"/>
          <w:szCs w:val="18"/>
        </w:rPr>
        <w:footnoteRef/>
      </w:r>
      <w:r w:rsidRPr="002A3875">
        <w:rPr>
          <w:sz w:val="18"/>
          <w:szCs w:val="18"/>
        </w:rPr>
        <w:t xml:space="preserve"> Section 217(1) – (3): </w:t>
      </w:r>
    </w:p>
    <w:p w14:paraId="2C2AA04E" w14:textId="09D08658" w:rsidR="001E02B1" w:rsidRPr="002A3875" w:rsidRDefault="001E02B1" w:rsidP="00293F3C">
      <w:pPr>
        <w:pStyle w:val="FootnoteText"/>
        <w:jc w:val="both"/>
        <w:rPr>
          <w:sz w:val="18"/>
          <w:szCs w:val="18"/>
        </w:rPr>
      </w:pPr>
      <w:r w:rsidRPr="002A3875">
        <w:rPr>
          <w:sz w:val="18"/>
          <w:szCs w:val="18"/>
        </w:rPr>
        <w:t xml:space="preserve">“Procurement.- (1)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 </w:t>
      </w:r>
    </w:p>
    <w:p w14:paraId="61245A29" w14:textId="77777777" w:rsidR="001E02B1" w:rsidRPr="002A3875" w:rsidRDefault="001E02B1" w:rsidP="00844071">
      <w:pPr>
        <w:pStyle w:val="FootnoteText"/>
        <w:jc w:val="both"/>
        <w:rPr>
          <w:sz w:val="18"/>
          <w:szCs w:val="18"/>
        </w:rPr>
      </w:pPr>
      <w:r w:rsidRPr="002A3875">
        <w:rPr>
          <w:sz w:val="18"/>
          <w:szCs w:val="18"/>
        </w:rPr>
        <w:t>(2) Subsection (1) does not prevent the organs of state or institutions referred to in that subsection from</w:t>
      </w:r>
    </w:p>
    <w:p w14:paraId="1C761901" w14:textId="61F07779" w:rsidR="001E02B1" w:rsidRPr="002A3875" w:rsidRDefault="001E02B1" w:rsidP="00844071">
      <w:pPr>
        <w:pStyle w:val="FootnoteText"/>
        <w:jc w:val="both"/>
        <w:rPr>
          <w:sz w:val="18"/>
          <w:szCs w:val="18"/>
        </w:rPr>
      </w:pPr>
      <w:r w:rsidRPr="002A3875">
        <w:rPr>
          <w:sz w:val="18"/>
          <w:szCs w:val="18"/>
        </w:rPr>
        <w:t xml:space="preserve">implementing a procurement policy providing for- </w:t>
      </w:r>
    </w:p>
    <w:p w14:paraId="6A314467" w14:textId="4043EB2B" w:rsidR="001E02B1" w:rsidRPr="002A3875" w:rsidRDefault="001E02B1" w:rsidP="00844071">
      <w:pPr>
        <w:pStyle w:val="FootnoteText"/>
        <w:numPr>
          <w:ilvl w:val="0"/>
          <w:numId w:val="42"/>
        </w:numPr>
        <w:ind w:left="284" w:hanging="284"/>
        <w:jc w:val="both"/>
        <w:rPr>
          <w:sz w:val="18"/>
          <w:szCs w:val="18"/>
        </w:rPr>
      </w:pPr>
      <w:r w:rsidRPr="002A3875">
        <w:rPr>
          <w:sz w:val="18"/>
          <w:szCs w:val="18"/>
        </w:rPr>
        <w:t>categories of preference in the allocation of contracts; and</w:t>
      </w:r>
    </w:p>
    <w:p w14:paraId="2ACC0A81" w14:textId="32C1D881" w:rsidR="001E02B1" w:rsidRPr="002A3875" w:rsidRDefault="001E02B1" w:rsidP="00844071">
      <w:pPr>
        <w:pStyle w:val="FootnoteText"/>
        <w:numPr>
          <w:ilvl w:val="0"/>
          <w:numId w:val="42"/>
        </w:numPr>
        <w:ind w:left="284" w:hanging="284"/>
        <w:jc w:val="both"/>
        <w:rPr>
          <w:sz w:val="18"/>
          <w:szCs w:val="18"/>
          <w:lang w:val="en-GB"/>
        </w:rPr>
      </w:pPr>
      <w:r w:rsidRPr="002A3875">
        <w:rPr>
          <w:sz w:val="18"/>
          <w:szCs w:val="18"/>
          <w:lang w:val="en-GB"/>
        </w:rPr>
        <w:t xml:space="preserve">the protection or advancement of persons, or categories of persons, disadvantaged by unfair discrimination. </w:t>
      </w:r>
    </w:p>
    <w:p w14:paraId="75B873EB" w14:textId="7879EAC9" w:rsidR="001E02B1" w:rsidRPr="002A3875" w:rsidRDefault="001E02B1" w:rsidP="00844071">
      <w:pPr>
        <w:pStyle w:val="FootnoteText"/>
        <w:ind w:left="142" w:hanging="142"/>
        <w:jc w:val="both"/>
        <w:rPr>
          <w:sz w:val="18"/>
          <w:szCs w:val="18"/>
          <w:lang w:val="en-GB"/>
        </w:rPr>
      </w:pPr>
      <w:r w:rsidRPr="002A3875">
        <w:rPr>
          <w:sz w:val="18"/>
          <w:szCs w:val="18"/>
          <w:lang w:val="en-GB"/>
        </w:rPr>
        <w:t>(3) National legislation must prescribe a framework within which the policy referred to in subsection (3) must be implemented.”</w:t>
      </w:r>
    </w:p>
  </w:footnote>
  <w:footnote w:id="3">
    <w:p w14:paraId="3BFA727E" w14:textId="24D9D5F5" w:rsidR="001E02B1" w:rsidRPr="002A3875" w:rsidRDefault="001E02B1" w:rsidP="00844071">
      <w:pPr>
        <w:pStyle w:val="FootnoteText"/>
        <w:jc w:val="both"/>
        <w:rPr>
          <w:sz w:val="18"/>
          <w:szCs w:val="18"/>
          <w:lang w:val="en-GB"/>
        </w:rPr>
      </w:pPr>
      <w:r w:rsidRPr="002A3875">
        <w:rPr>
          <w:rStyle w:val="FootnoteReference"/>
          <w:sz w:val="18"/>
          <w:szCs w:val="18"/>
        </w:rPr>
        <w:footnoteRef/>
      </w:r>
      <w:r w:rsidRPr="002A3875">
        <w:rPr>
          <w:sz w:val="18"/>
          <w:szCs w:val="18"/>
        </w:rPr>
        <w:t xml:space="preserve"> Act 3 of 2000.</w:t>
      </w:r>
    </w:p>
  </w:footnote>
  <w:footnote w:id="4">
    <w:p w14:paraId="03C62A80" w14:textId="0EB43D32" w:rsidR="001E02B1" w:rsidRDefault="001E02B1" w:rsidP="00844071">
      <w:pPr>
        <w:pStyle w:val="FootnoteText"/>
        <w:jc w:val="both"/>
        <w:rPr>
          <w:sz w:val="18"/>
          <w:szCs w:val="18"/>
          <w:lang w:val="en-GB"/>
        </w:rPr>
      </w:pPr>
      <w:r>
        <w:rPr>
          <w:rStyle w:val="FootnoteReference"/>
        </w:rPr>
        <w:footnoteRef/>
      </w:r>
      <w:r>
        <w:t xml:space="preserve"> </w:t>
      </w:r>
      <w:r w:rsidRPr="004C569A">
        <w:rPr>
          <w:sz w:val="18"/>
          <w:szCs w:val="18"/>
          <w:lang w:val="en-GB"/>
        </w:rPr>
        <w:t>Act 5 of 2000</w:t>
      </w:r>
      <w:r>
        <w:rPr>
          <w:sz w:val="18"/>
          <w:szCs w:val="18"/>
          <w:lang w:val="en-GB"/>
        </w:rPr>
        <w:t xml:space="preserve"> – section 2(1):</w:t>
      </w:r>
    </w:p>
    <w:p w14:paraId="7157089D" w14:textId="0A1C5224" w:rsidR="001E02B1" w:rsidRPr="00844071" w:rsidRDefault="001E02B1" w:rsidP="00844071">
      <w:pPr>
        <w:pStyle w:val="FootnoteText"/>
        <w:jc w:val="both"/>
        <w:rPr>
          <w:sz w:val="18"/>
          <w:szCs w:val="18"/>
        </w:rPr>
      </w:pPr>
      <w:r w:rsidRPr="00844071">
        <w:rPr>
          <w:sz w:val="18"/>
          <w:szCs w:val="18"/>
        </w:rPr>
        <w:t>An organ of state must determine its preferential procurement policy and</w:t>
      </w:r>
      <w:r>
        <w:rPr>
          <w:sz w:val="18"/>
          <w:szCs w:val="18"/>
        </w:rPr>
        <w:t xml:space="preserve"> </w:t>
      </w:r>
      <w:r w:rsidRPr="00844071">
        <w:rPr>
          <w:sz w:val="18"/>
          <w:szCs w:val="18"/>
        </w:rPr>
        <w:t>implement it within the following framework:</w:t>
      </w:r>
    </w:p>
    <w:p w14:paraId="32F257DC" w14:textId="77777777" w:rsidR="001E02B1" w:rsidRPr="00844071" w:rsidRDefault="001E02B1" w:rsidP="00844071">
      <w:pPr>
        <w:pStyle w:val="FootnoteText"/>
        <w:jc w:val="both"/>
        <w:rPr>
          <w:sz w:val="18"/>
          <w:szCs w:val="18"/>
        </w:rPr>
      </w:pPr>
      <w:r w:rsidRPr="00844071">
        <w:rPr>
          <w:sz w:val="18"/>
          <w:szCs w:val="18"/>
        </w:rPr>
        <w:t>(a) A Preference point system must be followed;</w:t>
      </w:r>
    </w:p>
    <w:p w14:paraId="3BA40081" w14:textId="2C4029A2" w:rsidR="001E02B1" w:rsidRPr="00844071" w:rsidRDefault="001E02B1" w:rsidP="00844071">
      <w:pPr>
        <w:pStyle w:val="FootnoteText"/>
        <w:jc w:val="both"/>
        <w:rPr>
          <w:sz w:val="18"/>
          <w:szCs w:val="18"/>
        </w:rPr>
      </w:pPr>
      <w:r w:rsidRPr="00844071">
        <w:rPr>
          <w:sz w:val="18"/>
          <w:szCs w:val="18"/>
        </w:rPr>
        <w:t xml:space="preserve">(b) </w:t>
      </w:r>
      <w:r>
        <w:rPr>
          <w:sz w:val="18"/>
          <w:szCs w:val="18"/>
        </w:rPr>
        <w:t xml:space="preserve">(i) </w:t>
      </w:r>
      <w:r w:rsidRPr="00844071">
        <w:rPr>
          <w:sz w:val="18"/>
          <w:szCs w:val="18"/>
        </w:rPr>
        <w:t>for contracts with a Rand value above a prescribed amount a maximum</w:t>
      </w:r>
      <w:r>
        <w:rPr>
          <w:sz w:val="18"/>
          <w:szCs w:val="18"/>
        </w:rPr>
        <w:t xml:space="preserve"> </w:t>
      </w:r>
      <w:r w:rsidRPr="00844071">
        <w:rPr>
          <w:sz w:val="18"/>
          <w:szCs w:val="18"/>
        </w:rPr>
        <w:t>of 10 points may be allocated for specific</w:t>
      </w:r>
      <w:r>
        <w:rPr>
          <w:sz w:val="18"/>
          <w:szCs w:val="18"/>
        </w:rPr>
        <w:t xml:space="preserve"> </w:t>
      </w:r>
      <w:r w:rsidRPr="00844071">
        <w:rPr>
          <w:sz w:val="18"/>
          <w:szCs w:val="18"/>
        </w:rPr>
        <w:t>go</w:t>
      </w:r>
      <w:r>
        <w:rPr>
          <w:sz w:val="18"/>
          <w:szCs w:val="18"/>
        </w:rPr>
        <w:t>al</w:t>
      </w:r>
      <w:r w:rsidRPr="00844071">
        <w:rPr>
          <w:sz w:val="18"/>
          <w:szCs w:val="18"/>
        </w:rPr>
        <w:t>s as contemplated in</w:t>
      </w:r>
      <w:r>
        <w:rPr>
          <w:sz w:val="18"/>
          <w:szCs w:val="18"/>
        </w:rPr>
        <w:t xml:space="preserve"> </w:t>
      </w:r>
      <w:r w:rsidRPr="00844071">
        <w:rPr>
          <w:sz w:val="18"/>
          <w:szCs w:val="18"/>
        </w:rPr>
        <w:t>paragraph (d) provided that the lowest acceptable tender scores 90 points</w:t>
      </w:r>
      <w:r>
        <w:rPr>
          <w:sz w:val="18"/>
          <w:szCs w:val="18"/>
        </w:rPr>
        <w:t xml:space="preserve"> </w:t>
      </w:r>
      <w:r w:rsidRPr="00844071">
        <w:rPr>
          <w:sz w:val="18"/>
          <w:szCs w:val="18"/>
        </w:rPr>
        <w:t>for price;</w:t>
      </w:r>
    </w:p>
    <w:p w14:paraId="7062A89E" w14:textId="60CD48A3" w:rsidR="001E02B1" w:rsidRDefault="001E02B1" w:rsidP="00844071">
      <w:pPr>
        <w:pStyle w:val="FootnoteText"/>
        <w:jc w:val="both"/>
        <w:rPr>
          <w:sz w:val="18"/>
          <w:szCs w:val="18"/>
        </w:rPr>
      </w:pPr>
      <w:r>
        <w:rPr>
          <w:sz w:val="18"/>
          <w:szCs w:val="18"/>
        </w:rPr>
        <w:t xml:space="preserve">     (ii) </w:t>
      </w:r>
      <w:r w:rsidRPr="00844071">
        <w:rPr>
          <w:sz w:val="18"/>
          <w:szCs w:val="18"/>
        </w:rPr>
        <w:t>for contracts with a Rand value equal to or below a prescribed amount a</w:t>
      </w:r>
      <w:r>
        <w:rPr>
          <w:sz w:val="18"/>
          <w:szCs w:val="18"/>
        </w:rPr>
        <w:t xml:space="preserve"> </w:t>
      </w:r>
      <w:r w:rsidRPr="00844071">
        <w:rPr>
          <w:sz w:val="18"/>
          <w:szCs w:val="18"/>
        </w:rPr>
        <w:t>maximum of 20 points may be allocated for specific go</w:t>
      </w:r>
      <w:r>
        <w:rPr>
          <w:sz w:val="18"/>
          <w:szCs w:val="18"/>
        </w:rPr>
        <w:t>al</w:t>
      </w:r>
      <w:r w:rsidRPr="00844071">
        <w:rPr>
          <w:sz w:val="18"/>
          <w:szCs w:val="18"/>
        </w:rPr>
        <w:t>s as</w:t>
      </w:r>
      <w:r>
        <w:rPr>
          <w:sz w:val="18"/>
          <w:szCs w:val="18"/>
        </w:rPr>
        <w:t xml:space="preserve"> </w:t>
      </w:r>
      <w:r w:rsidRPr="00844071">
        <w:rPr>
          <w:sz w:val="18"/>
          <w:szCs w:val="18"/>
        </w:rPr>
        <w:t>contemplated in paragraph (d) provided that the lowest acceptable tender</w:t>
      </w:r>
      <w:r>
        <w:rPr>
          <w:sz w:val="18"/>
          <w:szCs w:val="18"/>
        </w:rPr>
        <w:t xml:space="preserve"> </w:t>
      </w:r>
      <w:r w:rsidRPr="00844071">
        <w:rPr>
          <w:sz w:val="18"/>
          <w:szCs w:val="18"/>
        </w:rPr>
        <w:t>scores 80 points for price;</w:t>
      </w:r>
    </w:p>
    <w:p w14:paraId="5967569C" w14:textId="148BF22F" w:rsidR="001E02B1" w:rsidRPr="006B4091" w:rsidRDefault="001E02B1" w:rsidP="00F1090B">
      <w:pPr>
        <w:pStyle w:val="FootnoteText"/>
        <w:numPr>
          <w:ilvl w:val="0"/>
          <w:numId w:val="42"/>
        </w:numPr>
        <w:ind w:left="284" w:hanging="284"/>
        <w:jc w:val="both"/>
        <w:rPr>
          <w:sz w:val="18"/>
          <w:szCs w:val="18"/>
        </w:rPr>
      </w:pPr>
      <w:r w:rsidRPr="00844071">
        <w:rPr>
          <w:sz w:val="18"/>
          <w:szCs w:val="18"/>
        </w:rPr>
        <w:t>other acceptable tenders which are higher in price must score fewer</w:t>
      </w:r>
      <w:r>
        <w:rPr>
          <w:sz w:val="18"/>
          <w:szCs w:val="18"/>
        </w:rPr>
        <w:t xml:space="preserve"> </w:t>
      </w:r>
      <w:r w:rsidRPr="006B4091">
        <w:rPr>
          <w:sz w:val="18"/>
          <w:szCs w:val="18"/>
        </w:rPr>
        <w:t xml:space="preserve">points, on a </w:t>
      </w:r>
      <w:r>
        <w:rPr>
          <w:sz w:val="18"/>
          <w:szCs w:val="18"/>
        </w:rPr>
        <w:t xml:space="preserve">pro rata </w:t>
      </w:r>
      <w:r w:rsidRPr="006B4091">
        <w:rPr>
          <w:sz w:val="18"/>
          <w:szCs w:val="18"/>
        </w:rPr>
        <w:t>basis, c</w:t>
      </w:r>
      <w:r>
        <w:rPr>
          <w:sz w:val="18"/>
          <w:szCs w:val="18"/>
        </w:rPr>
        <w:t>alculated</w:t>
      </w:r>
      <w:r w:rsidRPr="006B4091">
        <w:rPr>
          <w:sz w:val="18"/>
          <w:szCs w:val="18"/>
        </w:rPr>
        <w:t xml:space="preserve"> on their tender prices in relation to the</w:t>
      </w:r>
      <w:r>
        <w:rPr>
          <w:sz w:val="18"/>
          <w:szCs w:val="18"/>
        </w:rPr>
        <w:t xml:space="preserve"> </w:t>
      </w:r>
      <w:r w:rsidRPr="006B4091">
        <w:rPr>
          <w:sz w:val="18"/>
          <w:szCs w:val="18"/>
        </w:rPr>
        <w:t>Iowest</w:t>
      </w:r>
      <w:r>
        <w:rPr>
          <w:sz w:val="18"/>
          <w:szCs w:val="18"/>
        </w:rPr>
        <w:t xml:space="preserve"> </w:t>
      </w:r>
      <w:r w:rsidRPr="006B4091">
        <w:rPr>
          <w:sz w:val="18"/>
          <w:szCs w:val="18"/>
        </w:rPr>
        <w:t>acc</w:t>
      </w:r>
      <w:r>
        <w:rPr>
          <w:sz w:val="18"/>
          <w:szCs w:val="18"/>
        </w:rPr>
        <w:t>e</w:t>
      </w:r>
      <w:r w:rsidRPr="006B4091">
        <w:rPr>
          <w:sz w:val="18"/>
          <w:szCs w:val="18"/>
        </w:rPr>
        <w:t>ptable tender, in</w:t>
      </w:r>
      <w:r>
        <w:rPr>
          <w:sz w:val="18"/>
          <w:szCs w:val="18"/>
        </w:rPr>
        <w:t xml:space="preserve"> </w:t>
      </w:r>
      <w:r w:rsidRPr="006B4091">
        <w:rPr>
          <w:sz w:val="18"/>
          <w:szCs w:val="18"/>
        </w:rPr>
        <w:t>accordance with a prescribed formula;</w:t>
      </w:r>
    </w:p>
    <w:p w14:paraId="6C7274D6" w14:textId="5A066381" w:rsidR="001E02B1" w:rsidRPr="006B4091" w:rsidRDefault="001E02B1" w:rsidP="00F1090B">
      <w:pPr>
        <w:pStyle w:val="FootnoteText"/>
        <w:jc w:val="both"/>
        <w:rPr>
          <w:sz w:val="18"/>
          <w:szCs w:val="18"/>
        </w:rPr>
      </w:pPr>
      <w:r w:rsidRPr="006B4091">
        <w:rPr>
          <w:sz w:val="18"/>
          <w:szCs w:val="18"/>
        </w:rPr>
        <w:t>(d) the</w:t>
      </w:r>
      <w:r>
        <w:rPr>
          <w:sz w:val="18"/>
          <w:szCs w:val="18"/>
        </w:rPr>
        <w:t xml:space="preserve"> </w:t>
      </w:r>
      <w:r w:rsidRPr="006B4091">
        <w:rPr>
          <w:sz w:val="18"/>
          <w:szCs w:val="18"/>
        </w:rPr>
        <w:t xml:space="preserve">specific </w:t>
      </w:r>
      <w:r>
        <w:rPr>
          <w:sz w:val="18"/>
          <w:szCs w:val="18"/>
        </w:rPr>
        <w:t>g</w:t>
      </w:r>
      <w:r w:rsidRPr="006B4091">
        <w:rPr>
          <w:sz w:val="18"/>
          <w:szCs w:val="18"/>
        </w:rPr>
        <w:t>oa!s</w:t>
      </w:r>
      <w:r>
        <w:rPr>
          <w:sz w:val="18"/>
          <w:szCs w:val="18"/>
        </w:rPr>
        <w:t xml:space="preserve"> </w:t>
      </w:r>
      <w:r w:rsidRPr="006B4091">
        <w:rPr>
          <w:sz w:val="18"/>
          <w:szCs w:val="18"/>
        </w:rPr>
        <w:t>may</w:t>
      </w:r>
      <w:r>
        <w:rPr>
          <w:sz w:val="18"/>
          <w:szCs w:val="18"/>
        </w:rPr>
        <w:t xml:space="preserve"> </w:t>
      </w:r>
      <w:r w:rsidRPr="006B4091">
        <w:rPr>
          <w:sz w:val="18"/>
          <w:szCs w:val="18"/>
        </w:rPr>
        <w:t>include—</w:t>
      </w:r>
    </w:p>
    <w:p w14:paraId="7DF93198" w14:textId="0B31E9E2" w:rsidR="001E02B1" w:rsidRPr="006B4091" w:rsidRDefault="001E02B1" w:rsidP="00F1090B">
      <w:pPr>
        <w:pStyle w:val="FootnoteText"/>
        <w:jc w:val="both"/>
        <w:rPr>
          <w:sz w:val="18"/>
          <w:szCs w:val="18"/>
        </w:rPr>
      </w:pPr>
      <w:r>
        <w:rPr>
          <w:sz w:val="18"/>
          <w:szCs w:val="18"/>
        </w:rPr>
        <w:t xml:space="preserve">     </w:t>
      </w:r>
      <w:r w:rsidRPr="006B4091">
        <w:rPr>
          <w:sz w:val="18"/>
          <w:szCs w:val="18"/>
        </w:rPr>
        <w:t>(i) contracting with</w:t>
      </w:r>
      <w:r>
        <w:rPr>
          <w:sz w:val="18"/>
          <w:szCs w:val="18"/>
        </w:rPr>
        <w:t xml:space="preserve"> </w:t>
      </w:r>
      <w:r w:rsidRPr="006B4091">
        <w:rPr>
          <w:sz w:val="18"/>
          <w:szCs w:val="18"/>
        </w:rPr>
        <w:t>persons</w:t>
      </w:r>
      <w:r>
        <w:rPr>
          <w:sz w:val="18"/>
          <w:szCs w:val="18"/>
        </w:rPr>
        <w:t xml:space="preserve">, or </w:t>
      </w:r>
      <w:r w:rsidRPr="006B4091">
        <w:rPr>
          <w:sz w:val="18"/>
          <w:szCs w:val="18"/>
        </w:rPr>
        <w:t>categorie</w:t>
      </w:r>
      <w:r>
        <w:rPr>
          <w:sz w:val="18"/>
          <w:szCs w:val="18"/>
        </w:rPr>
        <w:t>s of</w:t>
      </w:r>
      <w:r w:rsidRPr="006B4091">
        <w:rPr>
          <w:sz w:val="18"/>
          <w:szCs w:val="18"/>
        </w:rPr>
        <w:t xml:space="preserve"> persons,</w:t>
      </w:r>
      <w:r>
        <w:rPr>
          <w:sz w:val="18"/>
          <w:szCs w:val="18"/>
        </w:rPr>
        <w:t xml:space="preserve"> historically disadvantaged by</w:t>
      </w:r>
      <w:r w:rsidRPr="006B4091">
        <w:rPr>
          <w:sz w:val="18"/>
          <w:szCs w:val="18"/>
        </w:rPr>
        <w:t xml:space="preserve"> unfair discrimination on</w:t>
      </w:r>
      <w:r>
        <w:rPr>
          <w:sz w:val="18"/>
          <w:szCs w:val="18"/>
        </w:rPr>
        <w:t xml:space="preserve"> </w:t>
      </w:r>
      <w:r w:rsidRPr="006B4091">
        <w:rPr>
          <w:sz w:val="18"/>
          <w:szCs w:val="18"/>
        </w:rPr>
        <w:t>the</w:t>
      </w:r>
      <w:r>
        <w:rPr>
          <w:sz w:val="18"/>
          <w:szCs w:val="18"/>
        </w:rPr>
        <w:t xml:space="preserve"> </w:t>
      </w:r>
      <w:r w:rsidRPr="006B4091">
        <w:rPr>
          <w:sz w:val="18"/>
          <w:szCs w:val="18"/>
        </w:rPr>
        <w:t xml:space="preserve">basis of race, </w:t>
      </w:r>
      <w:r>
        <w:rPr>
          <w:sz w:val="18"/>
          <w:szCs w:val="18"/>
        </w:rPr>
        <w:t xml:space="preserve">gender </w:t>
      </w:r>
      <w:r w:rsidRPr="006B4091">
        <w:rPr>
          <w:sz w:val="18"/>
          <w:szCs w:val="18"/>
        </w:rPr>
        <w:t>or disability;</w:t>
      </w:r>
    </w:p>
    <w:p w14:paraId="7BA57753" w14:textId="1639FCD2" w:rsidR="001E02B1" w:rsidRPr="006B4091" w:rsidRDefault="001E02B1" w:rsidP="00F1090B">
      <w:pPr>
        <w:pStyle w:val="FootnoteText"/>
        <w:jc w:val="both"/>
        <w:rPr>
          <w:sz w:val="18"/>
          <w:szCs w:val="18"/>
        </w:rPr>
      </w:pPr>
      <w:r>
        <w:rPr>
          <w:sz w:val="18"/>
          <w:szCs w:val="18"/>
        </w:rPr>
        <w:t xml:space="preserve">    </w:t>
      </w:r>
      <w:r w:rsidRPr="006B4091">
        <w:rPr>
          <w:sz w:val="18"/>
          <w:szCs w:val="18"/>
        </w:rPr>
        <w:t>(ii) implementing the progr</w:t>
      </w:r>
      <w:r>
        <w:rPr>
          <w:sz w:val="18"/>
          <w:szCs w:val="18"/>
        </w:rPr>
        <w:t>a</w:t>
      </w:r>
      <w:r w:rsidRPr="006B4091">
        <w:rPr>
          <w:sz w:val="18"/>
          <w:szCs w:val="18"/>
        </w:rPr>
        <w:t>mmes of the Reconstruction and Development</w:t>
      </w:r>
      <w:r>
        <w:rPr>
          <w:sz w:val="18"/>
          <w:szCs w:val="18"/>
        </w:rPr>
        <w:t xml:space="preserve"> </w:t>
      </w:r>
      <w:r w:rsidRPr="006B4091">
        <w:rPr>
          <w:sz w:val="18"/>
          <w:szCs w:val="18"/>
        </w:rPr>
        <w:t>Progra</w:t>
      </w:r>
      <w:r>
        <w:rPr>
          <w:sz w:val="18"/>
          <w:szCs w:val="18"/>
        </w:rPr>
        <w:t>m</w:t>
      </w:r>
      <w:r w:rsidRPr="006B4091">
        <w:rPr>
          <w:sz w:val="18"/>
          <w:szCs w:val="18"/>
        </w:rPr>
        <w:t>me as published in Go</w:t>
      </w:r>
      <w:r>
        <w:rPr>
          <w:sz w:val="18"/>
          <w:szCs w:val="18"/>
        </w:rPr>
        <w:t>vernment Gazette</w:t>
      </w:r>
      <w:r w:rsidRPr="006B4091">
        <w:rPr>
          <w:sz w:val="18"/>
          <w:szCs w:val="18"/>
        </w:rPr>
        <w:t xml:space="preserve"> No. 16085 dated</w:t>
      </w:r>
      <w:r>
        <w:rPr>
          <w:sz w:val="18"/>
          <w:szCs w:val="18"/>
        </w:rPr>
        <w:t xml:space="preserve"> </w:t>
      </w:r>
      <w:r w:rsidRPr="006B4091">
        <w:rPr>
          <w:sz w:val="18"/>
          <w:szCs w:val="18"/>
        </w:rPr>
        <w:t>23 November 1994;</w:t>
      </w:r>
    </w:p>
    <w:p w14:paraId="3FEE9D1E" w14:textId="417A2528" w:rsidR="001E02B1" w:rsidRPr="006B4091" w:rsidRDefault="001E02B1" w:rsidP="00F1090B">
      <w:pPr>
        <w:pStyle w:val="FootnoteText"/>
        <w:numPr>
          <w:ilvl w:val="0"/>
          <w:numId w:val="42"/>
        </w:numPr>
        <w:ind w:left="284" w:hanging="284"/>
        <w:jc w:val="both"/>
        <w:rPr>
          <w:sz w:val="18"/>
          <w:szCs w:val="18"/>
        </w:rPr>
      </w:pPr>
      <w:r w:rsidRPr="006B4091">
        <w:rPr>
          <w:sz w:val="18"/>
          <w:szCs w:val="18"/>
        </w:rPr>
        <w:t>any specific goal for which a point maybe awarded, must be clearly specified</w:t>
      </w:r>
      <w:r>
        <w:rPr>
          <w:sz w:val="18"/>
          <w:szCs w:val="18"/>
        </w:rPr>
        <w:t xml:space="preserve"> </w:t>
      </w:r>
      <w:r w:rsidRPr="006B4091">
        <w:rPr>
          <w:sz w:val="18"/>
          <w:szCs w:val="18"/>
        </w:rPr>
        <w:t>in the in</w:t>
      </w:r>
      <w:r>
        <w:rPr>
          <w:sz w:val="18"/>
          <w:szCs w:val="18"/>
        </w:rPr>
        <w:t>vitation</w:t>
      </w:r>
      <w:r w:rsidRPr="006B4091">
        <w:rPr>
          <w:sz w:val="18"/>
          <w:szCs w:val="18"/>
        </w:rPr>
        <w:t xml:space="preserve"> to submit a tender; </w:t>
      </w:r>
    </w:p>
    <w:p w14:paraId="40D08EA0" w14:textId="4EDE89F8" w:rsidR="001E02B1" w:rsidRPr="006B4091" w:rsidRDefault="001E02B1" w:rsidP="00F1090B">
      <w:pPr>
        <w:pStyle w:val="FootnoteText"/>
        <w:numPr>
          <w:ilvl w:val="0"/>
          <w:numId w:val="42"/>
        </w:numPr>
        <w:ind w:left="284" w:hanging="284"/>
        <w:jc w:val="both"/>
        <w:rPr>
          <w:sz w:val="18"/>
          <w:szCs w:val="18"/>
        </w:rPr>
      </w:pPr>
      <w:r w:rsidRPr="006B4091">
        <w:rPr>
          <w:sz w:val="18"/>
          <w:szCs w:val="18"/>
        </w:rPr>
        <w:t>the contract must be awarded to the tenderer who scores the highest points,</w:t>
      </w:r>
      <w:r>
        <w:rPr>
          <w:sz w:val="18"/>
          <w:szCs w:val="18"/>
        </w:rPr>
        <w:t xml:space="preserve"> </w:t>
      </w:r>
      <w:r w:rsidRPr="006B4091">
        <w:rPr>
          <w:sz w:val="18"/>
          <w:szCs w:val="18"/>
        </w:rPr>
        <w:t>unless objective criteria in addition to those contemplated in paragraphs (d)</w:t>
      </w:r>
      <w:r>
        <w:rPr>
          <w:sz w:val="18"/>
          <w:szCs w:val="18"/>
        </w:rPr>
        <w:t xml:space="preserve"> </w:t>
      </w:r>
      <w:r w:rsidRPr="006B4091">
        <w:rPr>
          <w:sz w:val="18"/>
          <w:szCs w:val="18"/>
        </w:rPr>
        <w:t>and (e) justify the award to another tenderer; and</w:t>
      </w:r>
    </w:p>
    <w:p w14:paraId="119008C5" w14:textId="2B528CCE" w:rsidR="001E02B1" w:rsidRPr="006B4091" w:rsidRDefault="001E02B1" w:rsidP="00F1090B">
      <w:pPr>
        <w:pStyle w:val="FootnoteText"/>
        <w:numPr>
          <w:ilvl w:val="0"/>
          <w:numId w:val="42"/>
        </w:numPr>
        <w:ind w:left="284" w:hanging="284"/>
        <w:jc w:val="both"/>
        <w:rPr>
          <w:sz w:val="18"/>
          <w:szCs w:val="18"/>
        </w:rPr>
      </w:pPr>
      <w:r w:rsidRPr="006B4091">
        <w:rPr>
          <w:sz w:val="18"/>
          <w:szCs w:val="18"/>
        </w:rPr>
        <w:t>any contract awarded on account of false information furnished by the</w:t>
      </w:r>
      <w:r>
        <w:rPr>
          <w:sz w:val="18"/>
          <w:szCs w:val="18"/>
        </w:rPr>
        <w:t xml:space="preserve"> </w:t>
      </w:r>
      <w:r w:rsidRPr="006B4091">
        <w:rPr>
          <w:sz w:val="18"/>
          <w:szCs w:val="18"/>
        </w:rPr>
        <w:t>tenderer in order to secure preference in terms of this Act, maybe cancel led at the sole discretion of the organ of state without prejudice to any other</w:t>
      </w:r>
      <w:r>
        <w:rPr>
          <w:sz w:val="18"/>
          <w:szCs w:val="18"/>
        </w:rPr>
        <w:t xml:space="preserve"> </w:t>
      </w:r>
      <w:r w:rsidRPr="006B4091">
        <w:rPr>
          <w:sz w:val="18"/>
          <w:szCs w:val="18"/>
        </w:rPr>
        <w:t>remedies the organ of state may have</w:t>
      </w:r>
      <w:r>
        <w:rPr>
          <w:sz w:val="18"/>
          <w:szCs w:val="18"/>
        </w:rPr>
        <w:t>.”</w:t>
      </w:r>
    </w:p>
  </w:footnote>
  <w:footnote w:id="5">
    <w:p w14:paraId="79D9EAEB" w14:textId="5A563F74" w:rsidR="001E02B1" w:rsidRDefault="001E02B1">
      <w:pPr>
        <w:pStyle w:val="FootnoteText"/>
        <w:rPr>
          <w:sz w:val="18"/>
          <w:szCs w:val="18"/>
        </w:rPr>
      </w:pPr>
      <w:r>
        <w:rPr>
          <w:rStyle w:val="FootnoteReference"/>
        </w:rPr>
        <w:footnoteRef/>
      </w:r>
      <w:r>
        <w:t xml:space="preserve"> </w:t>
      </w:r>
      <w:r w:rsidRPr="00F1090B">
        <w:rPr>
          <w:sz w:val="18"/>
          <w:szCs w:val="18"/>
        </w:rPr>
        <w:t>Act 1 of 1999</w:t>
      </w:r>
      <w:r>
        <w:rPr>
          <w:sz w:val="18"/>
          <w:szCs w:val="18"/>
        </w:rPr>
        <w:t xml:space="preserve"> – Section 51(1)(a)(iii):</w:t>
      </w:r>
    </w:p>
    <w:p w14:paraId="0EE7E0D0" w14:textId="0BCF168A" w:rsidR="001E02B1" w:rsidRPr="00F1090B" w:rsidRDefault="001E02B1" w:rsidP="00C53921">
      <w:pPr>
        <w:pStyle w:val="FootnoteText"/>
        <w:rPr>
          <w:sz w:val="18"/>
          <w:szCs w:val="18"/>
        </w:rPr>
      </w:pPr>
      <w:r>
        <w:rPr>
          <w:sz w:val="18"/>
          <w:szCs w:val="18"/>
        </w:rPr>
        <w:t>“</w:t>
      </w:r>
      <w:r w:rsidRPr="00C53921">
        <w:rPr>
          <w:sz w:val="18"/>
          <w:szCs w:val="18"/>
        </w:rPr>
        <w:t>an appropriate procurement and provisioning system which is fair, equitable, transparent, competitive and cost-effective</w:t>
      </w:r>
      <w:r>
        <w:rPr>
          <w:sz w:val="18"/>
          <w:szCs w:val="18"/>
        </w:rPr>
        <w:t>”</w:t>
      </w:r>
    </w:p>
  </w:footnote>
  <w:footnote w:id="6">
    <w:p w14:paraId="7E679B9A" w14:textId="6D16CA88" w:rsidR="001E02B1" w:rsidRPr="00C63A0B" w:rsidRDefault="001E02B1">
      <w:pPr>
        <w:pStyle w:val="FootnoteText"/>
        <w:rPr>
          <w:sz w:val="18"/>
          <w:szCs w:val="18"/>
          <w:lang w:val="en-GB"/>
        </w:rPr>
      </w:pPr>
      <w:r>
        <w:rPr>
          <w:rStyle w:val="FootnoteReference"/>
        </w:rPr>
        <w:footnoteRef/>
      </w:r>
      <w:r>
        <w:t xml:space="preserve"> </w:t>
      </w:r>
      <w:r w:rsidRPr="00C63A0B">
        <w:rPr>
          <w:sz w:val="18"/>
          <w:szCs w:val="18"/>
          <w:lang w:val="en-GB"/>
        </w:rPr>
        <w:t>Act 38 of 2000</w:t>
      </w:r>
    </w:p>
  </w:footnote>
  <w:footnote w:id="7">
    <w:p w14:paraId="00CE1F3F" w14:textId="0393E68F" w:rsidR="001E02B1" w:rsidRPr="00C63A0B" w:rsidRDefault="001E02B1">
      <w:pPr>
        <w:pStyle w:val="FootnoteText"/>
        <w:rPr>
          <w:lang w:val="en-GB"/>
        </w:rPr>
      </w:pPr>
      <w:r>
        <w:rPr>
          <w:rStyle w:val="FootnoteReference"/>
        </w:rPr>
        <w:footnoteRef/>
      </w:r>
      <w:r>
        <w:t xml:space="preserve"> </w:t>
      </w:r>
      <w:r w:rsidRPr="00C63A0B">
        <w:rPr>
          <w:sz w:val="18"/>
          <w:szCs w:val="18"/>
          <w:lang w:val="en-GB"/>
        </w:rPr>
        <w:t>Regulations published under Government Notice 692 in Government Gazette 26427</w:t>
      </w:r>
      <w:r>
        <w:rPr>
          <w:sz w:val="18"/>
          <w:szCs w:val="18"/>
          <w:lang w:val="en-GB"/>
        </w:rPr>
        <w:t xml:space="preserve"> of 9 June 2004as amended thereafter.</w:t>
      </w:r>
    </w:p>
  </w:footnote>
  <w:footnote w:id="8">
    <w:p w14:paraId="02961F1B" w14:textId="754A9DBF" w:rsidR="001E02B1" w:rsidRPr="0099225A" w:rsidRDefault="001E02B1">
      <w:pPr>
        <w:pStyle w:val="FootnoteText"/>
        <w:rPr>
          <w:sz w:val="18"/>
          <w:szCs w:val="18"/>
        </w:rPr>
      </w:pPr>
      <w:r w:rsidRPr="0099225A">
        <w:rPr>
          <w:rStyle w:val="FootnoteReference"/>
          <w:sz w:val="18"/>
          <w:szCs w:val="18"/>
        </w:rPr>
        <w:footnoteRef/>
      </w:r>
      <w:r w:rsidRPr="0099225A">
        <w:rPr>
          <w:sz w:val="18"/>
          <w:szCs w:val="18"/>
        </w:rPr>
        <w:t xml:space="preserve"> </w:t>
      </w:r>
      <w:r>
        <w:rPr>
          <w:sz w:val="18"/>
          <w:szCs w:val="18"/>
        </w:rPr>
        <w:t xml:space="preserve">2007 (3) SA 121 (CC) para 60; confirmed in </w:t>
      </w:r>
      <w:r w:rsidRPr="00631BB9">
        <w:rPr>
          <w:i/>
          <w:iCs/>
          <w:sz w:val="18"/>
          <w:szCs w:val="18"/>
        </w:rPr>
        <w:t>Allpay</w:t>
      </w:r>
      <w:r>
        <w:rPr>
          <w:sz w:val="18"/>
          <w:szCs w:val="18"/>
        </w:rPr>
        <w:t xml:space="preserve"> (1) para 39.</w:t>
      </w:r>
    </w:p>
  </w:footnote>
  <w:footnote w:id="9">
    <w:p w14:paraId="49D501C0" w14:textId="22ADE1BE" w:rsidR="001E02B1" w:rsidRPr="0099225A" w:rsidRDefault="001E02B1">
      <w:pPr>
        <w:pStyle w:val="FootnoteText"/>
        <w:rPr>
          <w:sz w:val="18"/>
          <w:szCs w:val="18"/>
        </w:rPr>
      </w:pPr>
      <w:r>
        <w:rPr>
          <w:rStyle w:val="FootnoteReference"/>
        </w:rPr>
        <w:footnoteRef/>
      </w:r>
      <w:r>
        <w:t xml:space="preserve"> </w:t>
      </w:r>
      <w:r w:rsidRPr="0099225A">
        <w:rPr>
          <w:sz w:val="18"/>
          <w:szCs w:val="18"/>
        </w:rPr>
        <w:t>Paragraph 60.</w:t>
      </w:r>
    </w:p>
  </w:footnote>
  <w:footnote w:id="10">
    <w:p w14:paraId="10947303" w14:textId="1943725E" w:rsidR="001E02B1" w:rsidRDefault="001E02B1">
      <w:pPr>
        <w:pStyle w:val="FootnoteText"/>
      </w:pPr>
      <w:r>
        <w:rPr>
          <w:rStyle w:val="FootnoteReference"/>
        </w:rPr>
        <w:footnoteRef/>
      </w:r>
      <w:r>
        <w:t xml:space="preserve"> </w:t>
      </w:r>
      <w:r w:rsidRPr="00CB0DB9">
        <w:rPr>
          <w:sz w:val="18"/>
          <w:szCs w:val="18"/>
        </w:rPr>
        <w:t>2014 (1) SA 604(CC)</w:t>
      </w:r>
      <w:r>
        <w:rPr>
          <w:sz w:val="18"/>
          <w:szCs w:val="18"/>
        </w:rPr>
        <w:t xml:space="preserve"> at para 22.</w:t>
      </w:r>
    </w:p>
  </w:footnote>
  <w:footnote w:id="11">
    <w:p w14:paraId="3CC5D0F2" w14:textId="1EC40F61" w:rsidR="001E02B1" w:rsidRPr="00631BB9" w:rsidRDefault="001E02B1">
      <w:pPr>
        <w:pStyle w:val="FootnoteText"/>
        <w:rPr>
          <w:sz w:val="18"/>
          <w:szCs w:val="18"/>
        </w:rPr>
      </w:pPr>
      <w:r>
        <w:rPr>
          <w:rStyle w:val="FootnoteReference"/>
        </w:rPr>
        <w:footnoteRef/>
      </w:r>
      <w:r>
        <w:t xml:space="preserve"> </w:t>
      </w:r>
      <w:r w:rsidRPr="00631BB9">
        <w:rPr>
          <w:i/>
          <w:iCs/>
          <w:sz w:val="18"/>
          <w:szCs w:val="18"/>
        </w:rPr>
        <w:t>Allpay</w:t>
      </w:r>
      <w:r w:rsidRPr="00631BB9">
        <w:rPr>
          <w:sz w:val="18"/>
          <w:szCs w:val="18"/>
        </w:rPr>
        <w:t xml:space="preserve"> (1) et para 34.</w:t>
      </w:r>
    </w:p>
  </w:footnote>
  <w:footnote w:id="12">
    <w:p w14:paraId="63F6F008" w14:textId="73D5099C" w:rsidR="001E02B1" w:rsidRDefault="001E02B1">
      <w:pPr>
        <w:pStyle w:val="FootnoteText"/>
      </w:pPr>
      <w:r>
        <w:rPr>
          <w:rStyle w:val="FootnoteReference"/>
        </w:rPr>
        <w:footnoteRef/>
      </w:r>
      <w:r>
        <w:t xml:space="preserve"> </w:t>
      </w:r>
      <w:r w:rsidRPr="00631BB9">
        <w:rPr>
          <w:sz w:val="18"/>
          <w:szCs w:val="18"/>
        </w:rPr>
        <w:t>At para 27.</w:t>
      </w:r>
    </w:p>
  </w:footnote>
  <w:footnote w:id="13">
    <w:p w14:paraId="6B9EE4AF" w14:textId="55CA360B" w:rsidR="001E02B1" w:rsidRDefault="001E02B1">
      <w:pPr>
        <w:pStyle w:val="FootnoteText"/>
      </w:pPr>
      <w:r>
        <w:rPr>
          <w:rStyle w:val="FootnoteReference"/>
        </w:rPr>
        <w:footnoteRef/>
      </w:r>
      <w:r>
        <w:t xml:space="preserve"> </w:t>
      </w:r>
      <w:r w:rsidRPr="00631BB9">
        <w:rPr>
          <w:sz w:val="18"/>
          <w:szCs w:val="18"/>
        </w:rPr>
        <w:t>At para 31</w:t>
      </w:r>
      <w:r>
        <w:rPr>
          <w:sz w:val="18"/>
          <w:szCs w:val="18"/>
        </w:rPr>
        <w:t xml:space="preserve"> and following.</w:t>
      </w:r>
    </w:p>
  </w:footnote>
  <w:footnote w:id="14">
    <w:p w14:paraId="7A88405D" w14:textId="580FC4D9" w:rsidR="001E02B1" w:rsidRPr="003E3323" w:rsidRDefault="001E02B1">
      <w:pPr>
        <w:pStyle w:val="FootnoteText"/>
        <w:rPr>
          <w:lang w:val="en-GB"/>
        </w:rPr>
      </w:pPr>
      <w:r>
        <w:rPr>
          <w:rStyle w:val="FootnoteReference"/>
        </w:rPr>
        <w:footnoteRef/>
      </w:r>
      <w:r>
        <w:t xml:space="preserve"> </w:t>
      </w:r>
      <w:r w:rsidRPr="003E3323">
        <w:rPr>
          <w:sz w:val="18"/>
          <w:szCs w:val="18"/>
          <w:lang w:val="en-GB"/>
        </w:rPr>
        <w:t>At para 56.</w:t>
      </w:r>
    </w:p>
  </w:footnote>
  <w:footnote w:id="15">
    <w:p w14:paraId="7F6EFADD" w14:textId="1CDA9D27" w:rsidR="001E02B1" w:rsidRPr="00520DCC" w:rsidRDefault="001E02B1">
      <w:pPr>
        <w:pStyle w:val="FootnoteText"/>
        <w:rPr>
          <w:sz w:val="18"/>
          <w:szCs w:val="18"/>
          <w:lang w:val="en-GB"/>
        </w:rPr>
      </w:pPr>
      <w:r w:rsidRPr="00520DCC">
        <w:rPr>
          <w:rStyle w:val="FootnoteReference"/>
          <w:sz w:val="18"/>
          <w:szCs w:val="18"/>
        </w:rPr>
        <w:footnoteRef/>
      </w:r>
      <w:r w:rsidRPr="00520DCC">
        <w:rPr>
          <w:sz w:val="18"/>
          <w:szCs w:val="18"/>
        </w:rPr>
        <w:t xml:space="preserve"> </w:t>
      </w:r>
      <w:r w:rsidRPr="00520DCC">
        <w:rPr>
          <w:i/>
          <w:iCs/>
          <w:sz w:val="18"/>
          <w:szCs w:val="18"/>
          <w:lang w:val="en-GB"/>
        </w:rPr>
        <w:t>Allpay (1)</w:t>
      </w:r>
      <w:r w:rsidRPr="00520DCC">
        <w:rPr>
          <w:sz w:val="18"/>
          <w:szCs w:val="18"/>
          <w:lang w:val="en-GB"/>
        </w:rPr>
        <w:t xml:space="preserve">  at para 40.</w:t>
      </w:r>
    </w:p>
  </w:footnote>
  <w:footnote w:id="16">
    <w:p w14:paraId="02B1C188" w14:textId="676798D1" w:rsidR="001E02B1" w:rsidRDefault="001E02B1">
      <w:pPr>
        <w:pStyle w:val="FootnoteText"/>
      </w:pPr>
      <w:r>
        <w:rPr>
          <w:rStyle w:val="FootnoteReference"/>
        </w:rPr>
        <w:footnoteRef/>
      </w:r>
      <w:r>
        <w:t xml:space="preserve"> </w:t>
      </w:r>
      <w:r w:rsidRPr="00450DFF">
        <w:rPr>
          <w:sz w:val="18"/>
          <w:szCs w:val="18"/>
        </w:rPr>
        <w:t>See judgment of Adams J para 13.</w:t>
      </w:r>
    </w:p>
  </w:footnote>
  <w:footnote w:id="17">
    <w:p w14:paraId="33BCCB72" w14:textId="115E472D" w:rsidR="001E02B1" w:rsidRDefault="001E02B1">
      <w:pPr>
        <w:pStyle w:val="FootnoteText"/>
      </w:pPr>
      <w:r>
        <w:rPr>
          <w:rStyle w:val="FootnoteReference"/>
        </w:rPr>
        <w:footnoteRef/>
      </w:r>
      <w:r>
        <w:t xml:space="preserve"> </w:t>
      </w:r>
      <w:r w:rsidRPr="00BB6EAB">
        <w:rPr>
          <w:sz w:val="18"/>
          <w:szCs w:val="18"/>
        </w:rPr>
        <w:t>2020 (4) SA 17 (SCA)</w:t>
      </w:r>
      <w:r>
        <w:rPr>
          <w:sz w:val="18"/>
          <w:szCs w:val="18"/>
        </w:rPr>
        <w:t>.</w:t>
      </w:r>
    </w:p>
  </w:footnote>
  <w:footnote w:id="18">
    <w:p w14:paraId="2D57CC63" w14:textId="0D88EFD7" w:rsidR="001E02B1" w:rsidRPr="007F6ED9" w:rsidRDefault="001E02B1">
      <w:pPr>
        <w:pStyle w:val="FootnoteText"/>
        <w:rPr>
          <w:sz w:val="18"/>
          <w:szCs w:val="18"/>
        </w:rPr>
      </w:pPr>
      <w:r w:rsidRPr="007F6ED9">
        <w:rPr>
          <w:rStyle w:val="FootnoteReference"/>
          <w:sz w:val="18"/>
          <w:szCs w:val="18"/>
        </w:rPr>
        <w:footnoteRef/>
      </w:r>
      <w:r w:rsidRPr="007F6ED9">
        <w:rPr>
          <w:sz w:val="18"/>
          <w:szCs w:val="18"/>
        </w:rPr>
        <w:t xml:space="preserve"> At para 16 and 18.</w:t>
      </w:r>
    </w:p>
  </w:footnote>
  <w:footnote w:id="19">
    <w:p w14:paraId="310D53DD" w14:textId="06B6D249" w:rsidR="001E02B1" w:rsidRPr="004A4FFF" w:rsidRDefault="001E02B1">
      <w:pPr>
        <w:pStyle w:val="FootnoteText"/>
        <w:rPr>
          <w:sz w:val="18"/>
          <w:szCs w:val="18"/>
        </w:rPr>
      </w:pPr>
      <w:r w:rsidRPr="004A4FFF">
        <w:rPr>
          <w:rStyle w:val="FootnoteReference"/>
          <w:sz w:val="18"/>
          <w:szCs w:val="18"/>
        </w:rPr>
        <w:footnoteRef/>
      </w:r>
      <w:r w:rsidRPr="004A4FFF">
        <w:rPr>
          <w:sz w:val="18"/>
          <w:szCs w:val="18"/>
        </w:rPr>
        <w:t xml:space="preserve"> 25363/2018  [2020]  ZAGPHC 70 (2 March 2020)</w:t>
      </w:r>
      <w:r>
        <w:rPr>
          <w:sz w:val="18"/>
          <w:szCs w:val="18"/>
        </w:rPr>
        <w:t>.</w:t>
      </w:r>
    </w:p>
  </w:footnote>
  <w:footnote w:id="20">
    <w:p w14:paraId="46910022" w14:textId="4D6F9E12" w:rsidR="001E02B1" w:rsidRPr="00520253" w:rsidRDefault="001E02B1">
      <w:pPr>
        <w:pStyle w:val="FootnoteText"/>
        <w:rPr>
          <w:sz w:val="18"/>
          <w:szCs w:val="18"/>
        </w:rPr>
      </w:pPr>
      <w:r>
        <w:rPr>
          <w:rStyle w:val="FootnoteReference"/>
        </w:rPr>
        <w:footnoteRef/>
      </w:r>
      <w:r>
        <w:t xml:space="preserve"> </w:t>
      </w:r>
      <w:r w:rsidRPr="00520253">
        <w:rPr>
          <w:sz w:val="18"/>
          <w:szCs w:val="18"/>
        </w:rPr>
        <w:t>(64288/2021) [2022] ZAGPPHC 865 (17 November 2022)</w:t>
      </w:r>
      <w:r>
        <w:rPr>
          <w:sz w:val="18"/>
          <w:szCs w:val="18"/>
        </w:rPr>
        <w:t xml:space="preserve"> para 37.</w:t>
      </w:r>
    </w:p>
  </w:footnote>
  <w:footnote w:id="21">
    <w:p w14:paraId="724C9ECD" w14:textId="76426B39" w:rsidR="001E02B1" w:rsidRDefault="001E02B1">
      <w:pPr>
        <w:pStyle w:val="FootnoteText"/>
      </w:pPr>
      <w:r>
        <w:rPr>
          <w:rStyle w:val="FootnoteReference"/>
        </w:rPr>
        <w:footnoteRef/>
      </w:r>
      <w:r>
        <w:t xml:space="preserve"> </w:t>
      </w:r>
      <w:r w:rsidRPr="00520253">
        <w:rPr>
          <w:sz w:val="18"/>
          <w:szCs w:val="18"/>
        </w:rPr>
        <w:t>2004 (6) SA 222 (SCA) para 28.</w:t>
      </w:r>
    </w:p>
  </w:footnote>
  <w:footnote w:id="22">
    <w:p w14:paraId="77E9ED3B" w14:textId="0E5A0528" w:rsidR="001E02B1" w:rsidRPr="00A320CC" w:rsidRDefault="001E02B1">
      <w:pPr>
        <w:pStyle w:val="FootnoteText"/>
        <w:rPr>
          <w:sz w:val="18"/>
          <w:szCs w:val="18"/>
        </w:rPr>
      </w:pPr>
      <w:r>
        <w:rPr>
          <w:rStyle w:val="FootnoteReference"/>
        </w:rPr>
        <w:footnoteRef/>
      </w:r>
      <w:r>
        <w:t xml:space="preserve"> </w:t>
      </w:r>
      <w:r w:rsidRPr="0027034B">
        <w:rPr>
          <w:i/>
          <w:iCs/>
        </w:rPr>
        <w:t xml:space="preserve">(11445/2010) [2011] ZAKZDHC 22 (30 March 2011) </w:t>
      </w:r>
      <w:r w:rsidRPr="0027034B">
        <w:rPr>
          <w:i/>
          <w:iCs/>
          <w:sz w:val="18"/>
          <w:szCs w:val="18"/>
        </w:rPr>
        <w:t>para 49.</w:t>
      </w:r>
    </w:p>
  </w:footnote>
  <w:footnote w:id="23">
    <w:p w14:paraId="52594C61" w14:textId="0667B813" w:rsidR="001E02B1" w:rsidRPr="008D7A84" w:rsidRDefault="001E02B1">
      <w:pPr>
        <w:pStyle w:val="FootnoteText"/>
      </w:pPr>
      <w:r>
        <w:rPr>
          <w:rStyle w:val="FootnoteReference"/>
        </w:rPr>
        <w:footnoteRef/>
      </w:r>
      <w:r>
        <w:t xml:space="preserve"> </w:t>
      </w:r>
      <w:r w:rsidRPr="008D7A84">
        <w:rPr>
          <w:sz w:val="18"/>
          <w:szCs w:val="18"/>
        </w:rPr>
        <w:t xml:space="preserve">Materiality being a requirement – See </w:t>
      </w:r>
      <w:r w:rsidRPr="008D7A84">
        <w:rPr>
          <w:i/>
          <w:iCs/>
          <w:sz w:val="18"/>
          <w:szCs w:val="18"/>
        </w:rPr>
        <w:t xml:space="preserve">Allpay (1) </w:t>
      </w:r>
      <w:r w:rsidRPr="008D7A84">
        <w:rPr>
          <w:sz w:val="18"/>
          <w:szCs w:val="18"/>
        </w:rPr>
        <w:t>para 28-30.</w:t>
      </w:r>
    </w:p>
  </w:footnote>
  <w:footnote w:id="24">
    <w:p w14:paraId="7E63DEE8" w14:textId="5BF5C13D" w:rsidR="001E02B1" w:rsidRPr="000B2487" w:rsidRDefault="001E02B1">
      <w:pPr>
        <w:pStyle w:val="FootnoteText"/>
        <w:rPr>
          <w:sz w:val="18"/>
          <w:szCs w:val="18"/>
        </w:rPr>
      </w:pPr>
      <w:r>
        <w:rPr>
          <w:rStyle w:val="FootnoteReference"/>
        </w:rPr>
        <w:footnoteRef/>
      </w:r>
      <w:r>
        <w:t xml:space="preserve"> </w:t>
      </w:r>
      <w:r w:rsidRPr="000B2487">
        <w:rPr>
          <w:sz w:val="18"/>
          <w:szCs w:val="18"/>
        </w:rPr>
        <w:t>Paragraph 142.</w:t>
      </w:r>
    </w:p>
  </w:footnote>
  <w:footnote w:id="25">
    <w:p w14:paraId="5C2F97B0" w14:textId="77777777" w:rsidR="00CA5776" w:rsidRPr="00353945" w:rsidRDefault="00CA5776" w:rsidP="00CA5776">
      <w:pPr>
        <w:pStyle w:val="FootnoteText"/>
      </w:pPr>
      <w:r>
        <w:rPr>
          <w:rStyle w:val="FootnoteReference"/>
        </w:rPr>
        <w:footnoteRef/>
      </w:r>
      <w:r>
        <w:t xml:space="preserve"> </w:t>
      </w:r>
      <w:r w:rsidRPr="00353945">
        <w:t>[2002] 3 All SA 336 (T) paras 40 - 41</w:t>
      </w:r>
    </w:p>
  </w:footnote>
  <w:footnote w:id="26">
    <w:p w14:paraId="79949285" w14:textId="61E70486" w:rsidR="001E02B1" w:rsidRDefault="001E02B1">
      <w:pPr>
        <w:pStyle w:val="FootnoteText"/>
      </w:pPr>
      <w:r>
        <w:rPr>
          <w:rStyle w:val="FootnoteReference"/>
        </w:rPr>
        <w:footnoteRef/>
      </w:r>
      <w:r>
        <w:t xml:space="preserve"> </w:t>
      </w:r>
      <w:r w:rsidRPr="008E0C9D">
        <w:t>2005 (3) SA 372 (T)</w:t>
      </w:r>
    </w:p>
  </w:footnote>
  <w:footnote w:id="27">
    <w:p w14:paraId="3706BABC" w14:textId="7AFBA747" w:rsidR="001E02B1" w:rsidRPr="008E0C9D" w:rsidRDefault="001E02B1" w:rsidP="008E0C9D">
      <w:pPr>
        <w:pStyle w:val="FootnoteText"/>
      </w:pPr>
      <w:r>
        <w:rPr>
          <w:rStyle w:val="FootnoteReference"/>
        </w:rPr>
        <w:footnoteRef/>
      </w:r>
      <w:r>
        <w:t xml:space="preserve"> </w:t>
      </w:r>
      <w:r w:rsidRPr="008E0C9D">
        <w:t>1926 AD 99</w:t>
      </w:r>
    </w:p>
  </w:footnote>
  <w:footnote w:id="28">
    <w:p w14:paraId="4A25CAA1" w14:textId="6F805EF1" w:rsidR="001E02B1" w:rsidRDefault="001E02B1">
      <w:pPr>
        <w:pStyle w:val="FootnoteText"/>
      </w:pPr>
      <w:r>
        <w:rPr>
          <w:rStyle w:val="FootnoteReference"/>
        </w:rPr>
        <w:footnoteRef/>
      </w:r>
      <w:r>
        <w:t xml:space="preserve"> At page 109</w:t>
      </w:r>
    </w:p>
  </w:footnote>
  <w:footnote w:id="29">
    <w:p w14:paraId="232FE676" w14:textId="1B7ABF2C" w:rsidR="001E02B1" w:rsidRPr="00325528" w:rsidRDefault="001E02B1" w:rsidP="00325528">
      <w:pPr>
        <w:pStyle w:val="FootnoteText"/>
      </w:pPr>
      <w:r>
        <w:rPr>
          <w:rStyle w:val="FootnoteReference"/>
        </w:rPr>
        <w:footnoteRef/>
      </w:r>
      <w:r>
        <w:t xml:space="preserve"> 2011 (2) SA 67 (SCA)</w:t>
      </w:r>
    </w:p>
  </w:footnote>
  <w:footnote w:id="30">
    <w:p w14:paraId="1093264A" w14:textId="6590485A" w:rsidR="001E02B1" w:rsidRDefault="001E02B1">
      <w:pPr>
        <w:pStyle w:val="FootnoteText"/>
      </w:pPr>
      <w:r>
        <w:rPr>
          <w:rStyle w:val="FootnoteReference"/>
        </w:rPr>
        <w:footnoteRef/>
      </w:r>
      <w:r>
        <w:t xml:space="preserve"> Para [55]</w:t>
      </w:r>
    </w:p>
  </w:footnote>
  <w:footnote w:id="31">
    <w:p w14:paraId="054A0D1D" w14:textId="0C377186" w:rsidR="001E02B1" w:rsidRDefault="001E02B1">
      <w:pPr>
        <w:pStyle w:val="FootnoteText"/>
      </w:pPr>
      <w:r>
        <w:rPr>
          <w:rStyle w:val="FootnoteReference"/>
        </w:rPr>
        <w:footnoteRef/>
      </w:r>
      <w:r>
        <w:t xml:space="preserve"> </w:t>
      </w:r>
      <w:r w:rsidRPr="000D41F1">
        <w:rPr>
          <w:i/>
        </w:rPr>
        <w:t>IPH Finance (Pty) v Masilela</w:t>
      </w:r>
      <w:r w:rsidRPr="000D41F1">
        <w:t xml:space="preserve"> (19877/2021) [2023] ZAWCHC 143 (13 June 2023) at para 14.</w:t>
      </w:r>
    </w:p>
  </w:footnote>
  <w:footnote w:id="32">
    <w:p w14:paraId="01D35C85" w14:textId="44C91E38" w:rsidR="001E02B1" w:rsidRDefault="001E02B1">
      <w:pPr>
        <w:pStyle w:val="FootnoteText"/>
      </w:pPr>
      <w:r>
        <w:rPr>
          <w:rStyle w:val="FootnoteReference"/>
        </w:rPr>
        <w:footnoteRef/>
      </w:r>
      <w:r>
        <w:t xml:space="preserve"> </w:t>
      </w:r>
      <w:r w:rsidRPr="003F14FD">
        <w:t>(49/13) [2014] ZASCA 40; [2014] 2 All SA 654 (SCA); 2014 (4) SA 319 (SCA)</w:t>
      </w:r>
    </w:p>
  </w:footnote>
  <w:footnote w:id="33">
    <w:p w14:paraId="4F327885" w14:textId="7FCE3915" w:rsidR="001E02B1" w:rsidRDefault="001E02B1">
      <w:pPr>
        <w:pStyle w:val="FootnoteText"/>
      </w:pPr>
      <w:r>
        <w:rPr>
          <w:rStyle w:val="FootnoteReference"/>
        </w:rPr>
        <w:footnoteRef/>
      </w:r>
      <w:r>
        <w:t xml:space="preserve"> para 10</w:t>
      </w:r>
    </w:p>
  </w:footnote>
  <w:footnote w:id="34">
    <w:p w14:paraId="22EAF698" w14:textId="02C7AC4F" w:rsidR="001E02B1" w:rsidRPr="00416856" w:rsidRDefault="001E02B1" w:rsidP="00416856">
      <w:pPr>
        <w:pStyle w:val="FootnoteText"/>
      </w:pPr>
      <w:r>
        <w:rPr>
          <w:rStyle w:val="FootnoteReference"/>
        </w:rPr>
        <w:footnoteRef/>
      </w:r>
      <w:r>
        <w:t xml:space="preserve"> </w:t>
      </w:r>
      <w:r w:rsidRPr="00416856">
        <w:t>1910 AD 302</w:t>
      </w:r>
    </w:p>
  </w:footnote>
  <w:footnote w:id="35">
    <w:p w14:paraId="5151EC52" w14:textId="65EEB66B" w:rsidR="001E02B1" w:rsidRDefault="001E02B1">
      <w:pPr>
        <w:pStyle w:val="FootnoteText"/>
      </w:pPr>
      <w:r>
        <w:rPr>
          <w:rStyle w:val="FootnoteReference"/>
        </w:rPr>
        <w:footnoteRef/>
      </w:r>
      <w:r>
        <w:t xml:space="preserve"> </w:t>
      </w:r>
      <w:r w:rsidRPr="003F14FD">
        <w:rPr>
          <w:i/>
        </w:rPr>
        <w:t>Zandberg v van Zyl</w:t>
      </w:r>
      <w:r w:rsidRPr="003F14FD">
        <w:t xml:space="preserve"> 1910 AD 302 at 309.</w:t>
      </w:r>
    </w:p>
  </w:footnote>
  <w:footnote w:id="36">
    <w:p w14:paraId="43338B59" w14:textId="6D129D3D" w:rsidR="001E02B1" w:rsidRDefault="001E02B1">
      <w:pPr>
        <w:pStyle w:val="FootnoteText"/>
      </w:pPr>
      <w:r>
        <w:rPr>
          <w:rStyle w:val="FootnoteReference"/>
        </w:rPr>
        <w:footnoteRef/>
      </w:r>
      <w:r>
        <w:t xml:space="preserve"> para 37</w:t>
      </w:r>
    </w:p>
  </w:footnote>
  <w:footnote w:id="37">
    <w:p w14:paraId="4BDF70C2" w14:textId="0398E508" w:rsidR="001E02B1" w:rsidRPr="00DE398B" w:rsidRDefault="001E02B1" w:rsidP="00DE398B">
      <w:pPr>
        <w:pStyle w:val="FootnoteText"/>
      </w:pPr>
      <w:r>
        <w:rPr>
          <w:rStyle w:val="FootnoteReference"/>
        </w:rPr>
        <w:footnoteRef/>
      </w:r>
      <w:r>
        <w:t xml:space="preserve"> </w:t>
      </w:r>
      <w:r w:rsidRPr="00DE398B">
        <w:t>(394/2013) [2014] ZASCA 171; [2015] 1 All SA 1 (SCA); 2015 (2) SA 174 (SCA)</w:t>
      </w:r>
    </w:p>
  </w:footnote>
  <w:footnote w:id="38">
    <w:p w14:paraId="0A127A11" w14:textId="40AED120" w:rsidR="001E02B1" w:rsidRDefault="001E02B1">
      <w:pPr>
        <w:pStyle w:val="FootnoteText"/>
      </w:pPr>
      <w:r>
        <w:rPr>
          <w:rStyle w:val="FootnoteReference"/>
        </w:rPr>
        <w:footnoteRef/>
      </w:r>
      <w:r>
        <w:t xml:space="preserve"> para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DA9"/>
    <w:multiLevelType w:val="hybridMultilevel"/>
    <w:tmpl w:val="13121908"/>
    <w:lvl w:ilvl="0" w:tplc="C0FAEB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6970B34"/>
    <w:multiLevelType w:val="hybridMultilevel"/>
    <w:tmpl w:val="E4505E2C"/>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AB4043"/>
    <w:multiLevelType w:val="hybridMultilevel"/>
    <w:tmpl w:val="6D06F678"/>
    <w:lvl w:ilvl="0" w:tplc="C0FAEB9A">
      <w:start w:val="1"/>
      <w:numFmt w:val="lowerRoman"/>
      <w:lvlText w:val="(%1)"/>
      <w:lvlJc w:val="left"/>
      <w:pPr>
        <w:ind w:left="1160" w:hanging="44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CF1F70"/>
    <w:multiLevelType w:val="hybridMultilevel"/>
    <w:tmpl w:val="8ABCF7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13597B"/>
    <w:multiLevelType w:val="multilevel"/>
    <w:tmpl w:val="1C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15480EB5"/>
    <w:multiLevelType w:val="hybridMultilevel"/>
    <w:tmpl w:val="AD6C7E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74906FC"/>
    <w:multiLevelType w:val="hybridMultilevel"/>
    <w:tmpl w:val="46B2994E"/>
    <w:lvl w:ilvl="0" w:tplc="C0FAEB9A">
      <w:start w:val="1"/>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C0FAEB9A">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DD3916"/>
    <w:multiLevelType w:val="hybridMultilevel"/>
    <w:tmpl w:val="B5529808"/>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3372A"/>
    <w:multiLevelType w:val="hybridMultilevel"/>
    <w:tmpl w:val="5EC89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A712AA"/>
    <w:multiLevelType w:val="hybridMultilevel"/>
    <w:tmpl w:val="755A96F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F852EC"/>
    <w:multiLevelType w:val="hybridMultilevel"/>
    <w:tmpl w:val="948094EE"/>
    <w:lvl w:ilvl="0" w:tplc="AAAE3F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05B06B4"/>
    <w:multiLevelType w:val="hybridMultilevel"/>
    <w:tmpl w:val="B4244942"/>
    <w:lvl w:ilvl="0" w:tplc="1C090011">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15:restartNumberingAfterBreak="0">
    <w:nsid w:val="21C4096E"/>
    <w:multiLevelType w:val="hybridMultilevel"/>
    <w:tmpl w:val="CB864ED2"/>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2C81968"/>
    <w:multiLevelType w:val="hybridMultilevel"/>
    <w:tmpl w:val="BD6ED0B6"/>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92585C"/>
    <w:multiLevelType w:val="hybridMultilevel"/>
    <w:tmpl w:val="13B42728"/>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1947D8"/>
    <w:multiLevelType w:val="hybridMultilevel"/>
    <w:tmpl w:val="4D76FA74"/>
    <w:lvl w:ilvl="0" w:tplc="C0FAEB9A">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7" w15:restartNumberingAfterBreak="0">
    <w:nsid w:val="2C8B7FE3"/>
    <w:multiLevelType w:val="hybridMultilevel"/>
    <w:tmpl w:val="85406C6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DC10C96"/>
    <w:multiLevelType w:val="hybridMultilevel"/>
    <w:tmpl w:val="A5E842F0"/>
    <w:lvl w:ilvl="0" w:tplc="91B40A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594E1E"/>
    <w:multiLevelType w:val="hybridMultilevel"/>
    <w:tmpl w:val="4328A81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5F7069C"/>
    <w:multiLevelType w:val="hybridMultilevel"/>
    <w:tmpl w:val="2642FF38"/>
    <w:lvl w:ilvl="0" w:tplc="1CA8E0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A1D3A2E"/>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B2E2407"/>
    <w:multiLevelType w:val="hybridMultilevel"/>
    <w:tmpl w:val="82AA4A2E"/>
    <w:lvl w:ilvl="0" w:tplc="1CA8E0B8">
      <w:start w:val="1"/>
      <w:numFmt w:val="decimal"/>
      <w:lvlText w:val="(%1)"/>
      <w:lvlJc w:val="left"/>
      <w:pPr>
        <w:ind w:left="2565" w:hanging="360"/>
      </w:pPr>
      <w:rPr>
        <w:rFonts w:hint="default"/>
      </w:rPr>
    </w:lvl>
    <w:lvl w:ilvl="1" w:tplc="1C090019" w:tentative="1">
      <w:start w:val="1"/>
      <w:numFmt w:val="lowerLetter"/>
      <w:lvlText w:val="%2."/>
      <w:lvlJc w:val="left"/>
      <w:pPr>
        <w:ind w:left="3285" w:hanging="360"/>
      </w:pPr>
    </w:lvl>
    <w:lvl w:ilvl="2" w:tplc="1C09001B" w:tentative="1">
      <w:start w:val="1"/>
      <w:numFmt w:val="lowerRoman"/>
      <w:lvlText w:val="%3."/>
      <w:lvlJc w:val="right"/>
      <w:pPr>
        <w:ind w:left="4005" w:hanging="180"/>
      </w:pPr>
    </w:lvl>
    <w:lvl w:ilvl="3" w:tplc="1C09000F" w:tentative="1">
      <w:start w:val="1"/>
      <w:numFmt w:val="decimal"/>
      <w:lvlText w:val="%4."/>
      <w:lvlJc w:val="left"/>
      <w:pPr>
        <w:ind w:left="4725" w:hanging="360"/>
      </w:pPr>
    </w:lvl>
    <w:lvl w:ilvl="4" w:tplc="1C090019" w:tentative="1">
      <w:start w:val="1"/>
      <w:numFmt w:val="lowerLetter"/>
      <w:lvlText w:val="%5."/>
      <w:lvlJc w:val="left"/>
      <w:pPr>
        <w:ind w:left="5445" w:hanging="360"/>
      </w:pPr>
    </w:lvl>
    <w:lvl w:ilvl="5" w:tplc="1C09001B" w:tentative="1">
      <w:start w:val="1"/>
      <w:numFmt w:val="lowerRoman"/>
      <w:lvlText w:val="%6."/>
      <w:lvlJc w:val="right"/>
      <w:pPr>
        <w:ind w:left="6165" w:hanging="180"/>
      </w:pPr>
    </w:lvl>
    <w:lvl w:ilvl="6" w:tplc="1C09000F" w:tentative="1">
      <w:start w:val="1"/>
      <w:numFmt w:val="decimal"/>
      <w:lvlText w:val="%7."/>
      <w:lvlJc w:val="left"/>
      <w:pPr>
        <w:ind w:left="6885" w:hanging="360"/>
      </w:pPr>
    </w:lvl>
    <w:lvl w:ilvl="7" w:tplc="1C090019" w:tentative="1">
      <w:start w:val="1"/>
      <w:numFmt w:val="lowerLetter"/>
      <w:lvlText w:val="%8."/>
      <w:lvlJc w:val="left"/>
      <w:pPr>
        <w:ind w:left="7605" w:hanging="360"/>
      </w:pPr>
    </w:lvl>
    <w:lvl w:ilvl="8" w:tplc="1C09001B" w:tentative="1">
      <w:start w:val="1"/>
      <w:numFmt w:val="lowerRoman"/>
      <w:lvlText w:val="%9."/>
      <w:lvlJc w:val="right"/>
      <w:pPr>
        <w:ind w:left="8325" w:hanging="180"/>
      </w:pPr>
    </w:lvl>
  </w:abstractNum>
  <w:abstractNum w:abstractNumId="23" w15:restartNumberingAfterBreak="0">
    <w:nsid w:val="3C9B440C"/>
    <w:multiLevelType w:val="hybridMultilevel"/>
    <w:tmpl w:val="6D747B52"/>
    <w:lvl w:ilvl="0" w:tplc="1CA8E0B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3C9F5FFD"/>
    <w:multiLevelType w:val="hybridMultilevel"/>
    <w:tmpl w:val="5E346600"/>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E3836B0"/>
    <w:multiLevelType w:val="hybridMultilevel"/>
    <w:tmpl w:val="CA8CEA9C"/>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CF6235"/>
    <w:multiLevelType w:val="hybridMultilevel"/>
    <w:tmpl w:val="38B03E70"/>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A4321A3"/>
    <w:multiLevelType w:val="hybridMultilevel"/>
    <w:tmpl w:val="4B5683E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4DA45A43"/>
    <w:multiLevelType w:val="hybridMultilevel"/>
    <w:tmpl w:val="D16A773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4DD955F2"/>
    <w:multiLevelType w:val="hybridMultilevel"/>
    <w:tmpl w:val="E24AE2E0"/>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4EF30130"/>
    <w:multiLevelType w:val="hybridMultilevel"/>
    <w:tmpl w:val="654EB7C4"/>
    <w:lvl w:ilvl="0" w:tplc="B8F4D7C0">
      <w:start w:val="2"/>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8B30ED"/>
    <w:multiLevelType w:val="hybridMultilevel"/>
    <w:tmpl w:val="B05C3954"/>
    <w:lvl w:ilvl="0" w:tplc="F3B07208">
      <w:start w:val="1"/>
      <w:numFmt w:val="decimal"/>
      <w:lvlText w:val="[%1]"/>
      <w:lvlJc w:val="left"/>
      <w:pPr>
        <w:ind w:left="785"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D937F2"/>
    <w:multiLevelType w:val="hybridMultilevel"/>
    <w:tmpl w:val="162C13AE"/>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DF5699"/>
    <w:multiLevelType w:val="hybridMultilevel"/>
    <w:tmpl w:val="B57A9494"/>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4567BBC"/>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EC3482"/>
    <w:multiLevelType w:val="hybridMultilevel"/>
    <w:tmpl w:val="0CFC5DF0"/>
    <w:lvl w:ilvl="0" w:tplc="06CAC0A8">
      <w:start w:val="1"/>
      <w:numFmt w:val="decimal"/>
      <w:lvlText w:val="%1."/>
      <w:lvlJc w:val="left"/>
      <w:pPr>
        <w:ind w:left="2061" w:hanging="360"/>
      </w:pPr>
      <w:rPr>
        <w:rFonts w:hint="default"/>
      </w:rPr>
    </w:lvl>
    <w:lvl w:ilvl="1" w:tplc="2B5E0900">
      <w:start w:val="1"/>
      <w:numFmt w:val="lowerLetter"/>
      <w:lvlText w:val="(%2)"/>
      <w:lvlJc w:val="left"/>
      <w:pPr>
        <w:ind w:left="2871" w:hanging="450"/>
      </w:pPr>
      <w:rPr>
        <w:rFonts w:hint="default"/>
        <w:i/>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15:restartNumberingAfterBreak="0">
    <w:nsid w:val="708F7F3C"/>
    <w:multiLevelType w:val="hybridMultilevel"/>
    <w:tmpl w:val="1AE667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1DD7700"/>
    <w:multiLevelType w:val="hybridMultilevel"/>
    <w:tmpl w:val="6B34202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74F24104"/>
    <w:multiLevelType w:val="hybridMultilevel"/>
    <w:tmpl w:val="625E2DB8"/>
    <w:lvl w:ilvl="0" w:tplc="1CA8E0B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80235F6"/>
    <w:multiLevelType w:val="hybridMultilevel"/>
    <w:tmpl w:val="CD108270"/>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190510"/>
    <w:multiLevelType w:val="hybridMultilevel"/>
    <w:tmpl w:val="E12AA8F8"/>
    <w:lvl w:ilvl="0" w:tplc="CA48CC08">
      <w:start w:val="4"/>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132B80"/>
    <w:multiLevelType w:val="hybridMultilevel"/>
    <w:tmpl w:val="1BA4CADC"/>
    <w:lvl w:ilvl="0" w:tplc="C0FAEB9A">
      <w:start w:val="1"/>
      <w:numFmt w:val="lowerRoman"/>
      <w:lvlText w:val="(%1)"/>
      <w:lvlJc w:val="left"/>
      <w:pPr>
        <w:ind w:left="-70" w:hanging="360"/>
      </w:pPr>
      <w:rPr>
        <w:rFonts w:hint="default"/>
      </w:rPr>
    </w:lvl>
    <w:lvl w:ilvl="1" w:tplc="1C090019" w:tentative="1">
      <w:start w:val="1"/>
      <w:numFmt w:val="lowerLetter"/>
      <w:lvlText w:val="%2."/>
      <w:lvlJc w:val="left"/>
      <w:pPr>
        <w:ind w:left="650" w:hanging="360"/>
      </w:pPr>
    </w:lvl>
    <w:lvl w:ilvl="2" w:tplc="1C09001B" w:tentative="1">
      <w:start w:val="1"/>
      <w:numFmt w:val="lowerRoman"/>
      <w:lvlText w:val="%3."/>
      <w:lvlJc w:val="right"/>
      <w:pPr>
        <w:ind w:left="1370" w:hanging="180"/>
      </w:pPr>
    </w:lvl>
    <w:lvl w:ilvl="3" w:tplc="1C09000F" w:tentative="1">
      <w:start w:val="1"/>
      <w:numFmt w:val="decimal"/>
      <w:lvlText w:val="%4."/>
      <w:lvlJc w:val="left"/>
      <w:pPr>
        <w:ind w:left="2090" w:hanging="360"/>
      </w:pPr>
    </w:lvl>
    <w:lvl w:ilvl="4" w:tplc="1C090019" w:tentative="1">
      <w:start w:val="1"/>
      <w:numFmt w:val="lowerLetter"/>
      <w:lvlText w:val="%5."/>
      <w:lvlJc w:val="left"/>
      <w:pPr>
        <w:ind w:left="2810" w:hanging="360"/>
      </w:pPr>
    </w:lvl>
    <w:lvl w:ilvl="5" w:tplc="1C09001B" w:tentative="1">
      <w:start w:val="1"/>
      <w:numFmt w:val="lowerRoman"/>
      <w:lvlText w:val="%6."/>
      <w:lvlJc w:val="right"/>
      <w:pPr>
        <w:ind w:left="3530" w:hanging="180"/>
      </w:pPr>
    </w:lvl>
    <w:lvl w:ilvl="6" w:tplc="1C09000F" w:tentative="1">
      <w:start w:val="1"/>
      <w:numFmt w:val="decimal"/>
      <w:lvlText w:val="%7."/>
      <w:lvlJc w:val="left"/>
      <w:pPr>
        <w:ind w:left="4250" w:hanging="360"/>
      </w:pPr>
    </w:lvl>
    <w:lvl w:ilvl="7" w:tplc="1C090019" w:tentative="1">
      <w:start w:val="1"/>
      <w:numFmt w:val="lowerLetter"/>
      <w:lvlText w:val="%8."/>
      <w:lvlJc w:val="left"/>
      <w:pPr>
        <w:ind w:left="4970" w:hanging="360"/>
      </w:pPr>
    </w:lvl>
    <w:lvl w:ilvl="8" w:tplc="1C09001B" w:tentative="1">
      <w:start w:val="1"/>
      <w:numFmt w:val="lowerRoman"/>
      <w:lvlText w:val="%9."/>
      <w:lvlJc w:val="right"/>
      <w:pPr>
        <w:ind w:left="5690" w:hanging="180"/>
      </w:pPr>
    </w:lvl>
  </w:abstractNum>
  <w:abstractNum w:abstractNumId="42" w15:restartNumberingAfterBreak="0">
    <w:nsid w:val="7C84146B"/>
    <w:multiLevelType w:val="hybridMultilevel"/>
    <w:tmpl w:val="C2DAA8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31"/>
  </w:num>
  <w:num w:numId="5">
    <w:abstractNumId w:val="35"/>
  </w:num>
  <w:num w:numId="6">
    <w:abstractNumId w:val="17"/>
  </w:num>
  <w:num w:numId="7">
    <w:abstractNumId w:val="20"/>
  </w:num>
  <w:num w:numId="8">
    <w:abstractNumId w:val="42"/>
  </w:num>
  <w:num w:numId="9">
    <w:abstractNumId w:val="38"/>
  </w:num>
  <w:num w:numId="10">
    <w:abstractNumId w:val="37"/>
  </w:num>
  <w:num w:numId="11">
    <w:abstractNumId w:val="19"/>
  </w:num>
  <w:num w:numId="12">
    <w:abstractNumId w:val="25"/>
  </w:num>
  <w:num w:numId="13">
    <w:abstractNumId w:val="26"/>
  </w:num>
  <w:num w:numId="14">
    <w:abstractNumId w:val="28"/>
  </w:num>
  <w:num w:numId="15">
    <w:abstractNumId w:val="22"/>
  </w:num>
  <w:num w:numId="16">
    <w:abstractNumId w:val="27"/>
  </w:num>
  <w:num w:numId="17">
    <w:abstractNumId w:val="10"/>
  </w:num>
  <w:num w:numId="18">
    <w:abstractNumId w:val="13"/>
  </w:num>
  <w:num w:numId="19">
    <w:abstractNumId w:val="6"/>
  </w:num>
  <w:num w:numId="20">
    <w:abstractNumId w:val="33"/>
  </w:num>
  <w:num w:numId="21">
    <w:abstractNumId w:val="12"/>
  </w:num>
  <w:num w:numId="22">
    <w:abstractNumId w:val="3"/>
  </w:num>
  <w:num w:numId="23">
    <w:abstractNumId w:val="30"/>
  </w:num>
  <w:num w:numId="24">
    <w:abstractNumId w:val="29"/>
  </w:num>
  <w:num w:numId="25">
    <w:abstractNumId w:val="7"/>
  </w:num>
  <w:num w:numId="26">
    <w:abstractNumId w:val="23"/>
  </w:num>
  <w:num w:numId="27">
    <w:abstractNumId w:val="16"/>
  </w:num>
  <w:num w:numId="28">
    <w:abstractNumId w:val="0"/>
  </w:num>
  <w:num w:numId="29">
    <w:abstractNumId w:val="40"/>
  </w:num>
  <w:num w:numId="30">
    <w:abstractNumId w:val="4"/>
  </w:num>
  <w:num w:numId="31">
    <w:abstractNumId w:val="24"/>
  </w:num>
  <w:num w:numId="32">
    <w:abstractNumId w:val="34"/>
  </w:num>
  <w:num w:numId="33">
    <w:abstractNumId w:val="21"/>
  </w:num>
  <w:num w:numId="34">
    <w:abstractNumId w:val="14"/>
  </w:num>
  <w:num w:numId="35">
    <w:abstractNumId w:val="32"/>
  </w:num>
  <w:num w:numId="36">
    <w:abstractNumId w:val="39"/>
  </w:num>
  <w:num w:numId="37">
    <w:abstractNumId w:val="15"/>
  </w:num>
  <w:num w:numId="38">
    <w:abstractNumId w:val="1"/>
  </w:num>
  <w:num w:numId="39">
    <w:abstractNumId w:val="41"/>
  </w:num>
  <w:num w:numId="40">
    <w:abstractNumId w:val="11"/>
  </w:num>
  <w:num w:numId="41">
    <w:abstractNumId w:val="9"/>
  </w:num>
  <w:num w:numId="42">
    <w:abstractNumId w:val="18"/>
  </w:num>
  <w:num w:numId="43">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0NAYiExMzEwMTYyUdpeDU4uLM/DyQAsNaAKQ904ksAAAA"/>
  </w:docVars>
  <w:rsids>
    <w:rsidRoot w:val="00BF43AD"/>
    <w:rsid w:val="0001103F"/>
    <w:rsid w:val="00012E4D"/>
    <w:rsid w:val="0002455F"/>
    <w:rsid w:val="000272CF"/>
    <w:rsid w:val="00031F63"/>
    <w:rsid w:val="0003589E"/>
    <w:rsid w:val="00040F10"/>
    <w:rsid w:val="00040FC6"/>
    <w:rsid w:val="00043CEA"/>
    <w:rsid w:val="00046802"/>
    <w:rsid w:val="000527ED"/>
    <w:rsid w:val="0005612F"/>
    <w:rsid w:val="0005626A"/>
    <w:rsid w:val="0005742D"/>
    <w:rsid w:val="0006063B"/>
    <w:rsid w:val="0006274B"/>
    <w:rsid w:val="000633D1"/>
    <w:rsid w:val="00066679"/>
    <w:rsid w:val="00067120"/>
    <w:rsid w:val="00074E33"/>
    <w:rsid w:val="0007564E"/>
    <w:rsid w:val="000764D2"/>
    <w:rsid w:val="000767F7"/>
    <w:rsid w:val="0008694A"/>
    <w:rsid w:val="00090159"/>
    <w:rsid w:val="000A1EE8"/>
    <w:rsid w:val="000A3150"/>
    <w:rsid w:val="000B2487"/>
    <w:rsid w:val="000B2A4D"/>
    <w:rsid w:val="000B2B73"/>
    <w:rsid w:val="000B530B"/>
    <w:rsid w:val="000B5FFC"/>
    <w:rsid w:val="000B69FC"/>
    <w:rsid w:val="000B73D8"/>
    <w:rsid w:val="000C1089"/>
    <w:rsid w:val="000C2BEA"/>
    <w:rsid w:val="000C72AD"/>
    <w:rsid w:val="000D087A"/>
    <w:rsid w:val="000D11C6"/>
    <w:rsid w:val="000D1F51"/>
    <w:rsid w:val="000D41F1"/>
    <w:rsid w:val="000D5C34"/>
    <w:rsid w:val="000E0C17"/>
    <w:rsid w:val="000E2CF0"/>
    <w:rsid w:val="000F4407"/>
    <w:rsid w:val="000F594C"/>
    <w:rsid w:val="000F644B"/>
    <w:rsid w:val="000F6EFF"/>
    <w:rsid w:val="00100798"/>
    <w:rsid w:val="00104C45"/>
    <w:rsid w:val="00107967"/>
    <w:rsid w:val="00110141"/>
    <w:rsid w:val="00111251"/>
    <w:rsid w:val="001127D7"/>
    <w:rsid w:val="00112C46"/>
    <w:rsid w:val="0011425E"/>
    <w:rsid w:val="00114584"/>
    <w:rsid w:val="001151D9"/>
    <w:rsid w:val="00123814"/>
    <w:rsid w:val="001260B0"/>
    <w:rsid w:val="001270E4"/>
    <w:rsid w:val="001321F3"/>
    <w:rsid w:val="00145155"/>
    <w:rsid w:val="001534C3"/>
    <w:rsid w:val="001534F7"/>
    <w:rsid w:val="00164A45"/>
    <w:rsid w:val="00165F0B"/>
    <w:rsid w:val="0016603C"/>
    <w:rsid w:val="00166474"/>
    <w:rsid w:val="0016795C"/>
    <w:rsid w:val="001A3273"/>
    <w:rsid w:val="001A490D"/>
    <w:rsid w:val="001A526F"/>
    <w:rsid w:val="001A5431"/>
    <w:rsid w:val="001A71D2"/>
    <w:rsid w:val="001B20AF"/>
    <w:rsid w:val="001B3481"/>
    <w:rsid w:val="001B5E0C"/>
    <w:rsid w:val="001B7576"/>
    <w:rsid w:val="001C41E3"/>
    <w:rsid w:val="001C4DE4"/>
    <w:rsid w:val="001D2A60"/>
    <w:rsid w:val="001D472C"/>
    <w:rsid w:val="001D47DD"/>
    <w:rsid w:val="001E02B1"/>
    <w:rsid w:val="00200A57"/>
    <w:rsid w:val="00200F2A"/>
    <w:rsid w:val="002011F7"/>
    <w:rsid w:val="00202ED8"/>
    <w:rsid w:val="002034F6"/>
    <w:rsid w:val="00204B06"/>
    <w:rsid w:val="00212FC6"/>
    <w:rsid w:val="00213DEF"/>
    <w:rsid w:val="002155EE"/>
    <w:rsid w:val="0022438D"/>
    <w:rsid w:val="00231380"/>
    <w:rsid w:val="00234A0C"/>
    <w:rsid w:val="002373D8"/>
    <w:rsid w:val="00243A95"/>
    <w:rsid w:val="00245FC3"/>
    <w:rsid w:val="0025455A"/>
    <w:rsid w:val="0025660B"/>
    <w:rsid w:val="00265D31"/>
    <w:rsid w:val="0027034B"/>
    <w:rsid w:val="0027178D"/>
    <w:rsid w:val="00275CD7"/>
    <w:rsid w:val="00277A91"/>
    <w:rsid w:val="00277AF3"/>
    <w:rsid w:val="0028266F"/>
    <w:rsid w:val="0028571C"/>
    <w:rsid w:val="002918EE"/>
    <w:rsid w:val="002924FD"/>
    <w:rsid w:val="00292609"/>
    <w:rsid w:val="00293F3C"/>
    <w:rsid w:val="002949A0"/>
    <w:rsid w:val="002A217D"/>
    <w:rsid w:val="002A3875"/>
    <w:rsid w:val="002A484C"/>
    <w:rsid w:val="002C09DB"/>
    <w:rsid w:val="002C09EF"/>
    <w:rsid w:val="002C3D2B"/>
    <w:rsid w:val="002C6564"/>
    <w:rsid w:val="002C681F"/>
    <w:rsid w:val="002D1F2D"/>
    <w:rsid w:val="002D332E"/>
    <w:rsid w:val="002D76A3"/>
    <w:rsid w:val="002E7E32"/>
    <w:rsid w:val="002F1162"/>
    <w:rsid w:val="002F1339"/>
    <w:rsid w:val="002F2020"/>
    <w:rsid w:val="002F628A"/>
    <w:rsid w:val="003025DE"/>
    <w:rsid w:val="00304D33"/>
    <w:rsid w:val="00305020"/>
    <w:rsid w:val="00307E22"/>
    <w:rsid w:val="00310228"/>
    <w:rsid w:val="00314D07"/>
    <w:rsid w:val="00320057"/>
    <w:rsid w:val="003211F8"/>
    <w:rsid w:val="003213FE"/>
    <w:rsid w:val="00325528"/>
    <w:rsid w:val="0033171A"/>
    <w:rsid w:val="00331B24"/>
    <w:rsid w:val="003324F2"/>
    <w:rsid w:val="00337950"/>
    <w:rsid w:val="0034073B"/>
    <w:rsid w:val="00342F6F"/>
    <w:rsid w:val="0034534A"/>
    <w:rsid w:val="00347E2B"/>
    <w:rsid w:val="00352730"/>
    <w:rsid w:val="00353945"/>
    <w:rsid w:val="00353BF0"/>
    <w:rsid w:val="003543D3"/>
    <w:rsid w:val="00360017"/>
    <w:rsid w:val="0036063E"/>
    <w:rsid w:val="0036469E"/>
    <w:rsid w:val="00364727"/>
    <w:rsid w:val="0036753D"/>
    <w:rsid w:val="00371B96"/>
    <w:rsid w:val="00372DD5"/>
    <w:rsid w:val="0037425E"/>
    <w:rsid w:val="003800D0"/>
    <w:rsid w:val="00382A14"/>
    <w:rsid w:val="0038763A"/>
    <w:rsid w:val="0039051C"/>
    <w:rsid w:val="00390E38"/>
    <w:rsid w:val="003965DD"/>
    <w:rsid w:val="00396CB8"/>
    <w:rsid w:val="003A1CEC"/>
    <w:rsid w:val="003A201E"/>
    <w:rsid w:val="003A24D6"/>
    <w:rsid w:val="003A4ACD"/>
    <w:rsid w:val="003A56DC"/>
    <w:rsid w:val="003A6B37"/>
    <w:rsid w:val="003A7216"/>
    <w:rsid w:val="003B042D"/>
    <w:rsid w:val="003B216A"/>
    <w:rsid w:val="003B39EF"/>
    <w:rsid w:val="003B4679"/>
    <w:rsid w:val="003B7007"/>
    <w:rsid w:val="003B7231"/>
    <w:rsid w:val="003D0BA7"/>
    <w:rsid w:val="003D148D"/>
    <w:rsid w:val="003D22A6"/>
    <w:rsid w:val="003E260E"/>
    <w:rsid w:val="003E3323"/>
    <w:rsid w:val="003F14FD"/>
    <w:rsid w:val="004033D8"/>
    <w:rsid w:val="00405B14"/>
    <w:rsid w:val="00406783"/>
    <w:rsid w:val="00411574"/>
    <w:rsid w:val="00412516"/>
    <w:rsid w:val="004125DA"/>
    <w:rsid w:val="004144A3"/>
    <w:rsid w:val="00416856"/>
    <w:rsid w:val="00416C70"/>
    <w:rsid w:val="004234CF"/>
    <w:rsid w:val="00427165"/>
    <w:rsid w:val="004275CB"/>
    <w:rsid w:val="004278C8"/>
    <w:rsid w:val="00431F1D"/>
    <w:rsid w:val="00432583"/>
    <w:rsid w:val="004361A8"/>
    <w:rsid w:val="00436F61"/>
    <w:rsid w:val="00450DFF"/>
    <w:rsid w:val="00451055"/>
    <w:rsid w:val="0045249A"/>
    <w:rsid w:val="0045348E"/>
    <w:rsid w:val="004544E1"/>
    <w:rsid w:val="0045566F"/>
    <w:rsid w:val="00462985"/>
    <w:rsid w:val="00465B5C"/>
    <w:rsid w:val="00465B71"/>
    <w:rsid w:val="004670A0"/>
    <w:rsid w:val="00470A33"/>
    <w:rsid w:val="00476925"/>
    <w:rsid w:val="004770D8"/>
    <w:rsid w:val="00481D99"/>
    <w:rsid w:val="00483FF4"/>
    <w:rsid w:val="00485DD1"/>
    <w:rsid w:val="004874B2"/>
    <w:rsid w:val="004909B8"/>
    <w:rsid w:val="00496539"/>
    <w:rsid w:val="004A3E80"/>
    <w:rsid w:val="004A4FFF"/>
    <w:rsid w:val="004A7439"/>
    <w:rsid w:val="004B3A00"/>
    <w:rsid w:val="004C02C2"/>
    <w:rsid w:val="004C14D4"/>
    <w:rsid w:val="004C4CB1"/>
    <w:rsid w:val="004C569A"/>
    <w:rsid w:val="004D1E53"/>
    <w:rsid w:val="004D65FD"/>
    <w:rsid w:val="004E601F"/>
    <w:rsid w:val="004E6B99"/>
    <w:rsid w:val="004F0E80"/>
    <w:rsid w:val="004F4916"/>
    <w:rsid w:val="004F60CE"/>
    <w:rsid w:val="005013C5"/>
    <w:rsid w:val="00505533"/>
    <w:rsid w:val="005116A4"/>
    <w:rsid w:val="00515339"/>
    <w:rsid w:val="005155BC"/>
    <w:rsid w:val="00520253"/>
    <w:rsid w:val="00520DCC"/>
    <w:rsid w:val="00521233"/>
    <w:rsid w:val="00523E65"/>
    <w:rsid w:val="005318F8"/>
    <w:rsid w:val="005322D7"/>
    <w:rsid w:val="005333F6"/>
    <w:rsid w:val="00536170"/>
    <w:rsid w:val="00537C72"/>
    <w:rsid w:val="00542758"/>
    <w:rsid w:val="005463DA"/>
    <w:rsid w:val="00546E16"/>
    <w:rsid w:val="00547AE7"/>
    <w:rsid w:val="00553076"/>
    <w:rsid w:val="00553721"/>
    <w:rsid w:val="00555253"/>
    <w:rsid w:val="005574EA"/>
    <w:rsid w:val="005666A9"/>
    <w:rsid w:val="00577CF1"/>
    <w:rsid w:val="005810B6"/>
    <w:rsid w:val="00586181"/>
    <w:rsid w:val="00587391"/>
    <w:rsid w:val="00591299"/>
    <w:rsid w:val="00591FCE"/>
    <w:rsid w:val="00594E4F"/>
    <w:rsid w:val="005A030B"/>
    <w:rsid w:val="005A131D"/>
    <w:rsid w:val="005A27AF"/>
    <w:rsid w:val="005A5599"/>
    <w:rsid w:val="005A68D5"/>
    <w:rsid w:val="005B1D4E"/>
    <w:rsid w:val="005B62F3"/>
    <w:rsid w:val="005B6763"/>
    <w:rsid w:val="005C4031"/>
    <w:rsid w:val="005C6A77"/>
    <w:rsid w:val="005C74CD"/>
    <w:rsid w:val="005C790E"/>
    <w:rsid w:val="005C7C99"/>
    <w:rsid w:val="005D4D82"/>
    <w:rsid w:val="005D517D"/>
    <w:rsid w:val="005D5FAD"/>
    <w:rsid w:val="005D7075"/>
    <w:rsid w:val="005E133C"/>
    <w:rsid w:val="005E186C"/>
    <w:rsid w:val="005E29C7"/>
    <w:rsid w:val="005E2DB5"/>
    <w:rsid w:val="005E532F"/>
    <w:rsid w:val="005F2009"/>
    <w:rsid w:val="005F4528"/>
    <w:rsid w:val="005F535F"/>
    <w:rsid w:val="006001CF"/>
    <w:rsid w:val="006020B0"/>
    <w:rsid w:val="00603EB9"/>
    <w:rsid w:val="0060792C"/>
    <w:rsid w:val="006129A6"/>
    <w:rsid w:val="00614A9F"/>
    <w:rsid w:val="00617960"/>
    <w:rsid w:val="00623EF8"/>
    <w:rsid w:val="006253A5"/>
    <w:rsid w:val="00625B18"/>
    <w:rsid w:val="0062652E"/>
    <w:rsid w:val="00630521"/>
    <w:rsid w:val="00630778"/>
    <w:rsid w:val="00631BB9"/>
    <w:rsid w:val="00631EC8"/>
    <w:rsid w:val="00632897"/>
    <w:rsid w:val="00633848"/>
    <w:rsid w:val="006402C1"/>
    <w:rsid w:val="006408B1"/>
    <w:rsid w:val="006415A7"/>
    <w:rsid w:val="00641CC4"/>
    <w:rsid w:val="0064294F"/>
    <w:rsid w:val="00643025"/>
    <w:rsid w:val="00645396"/>
    <w:rsid w:val="0064653C"/>
    <w:rsid w:val="00652900"/>
    <w:rsid w:val="00653FF9"/>
    <w:rsid w:val="00656F25"/>
    <w:rsid w:val="0066004F"/>
    <w:rsid w:val="00660CA2"/>
    <w:rsid w:val="006610AC"/>
    <w:rsid w:val="006663A2"/>
    <w:rsid w:val="00667162"/>
    <w:rsid w:val="006744C9"/>
    <w:rsid w:val="00674D08"/>
    <w:rsid w:val="00676B6E"/>
    <w:rsid w:val="00676D5B"/>
    <w:rsid w:val="00677A54"/>
    <w:rsid w:val="0068360F"/>
    <w:rsid w:val="0069000B"/>
    <w:rsid w:val="00692F89"/>
    <w:rsid w:val="006975CA"/>
    <w:rsid w:val="006A0493"/>
    <w:rsid w:val="006A71DD"/>
    <w:rsid w:val="006B4091"/>
    <w:rsid w:val="006B4B34"/>
    <w:rsid w:val="006B7065"/>
    <w:rsid w:val="006C0262"/>
    <w:rsid w:val="006C059A"/>
    <w:rsid w:val="006C20F8"/>
    <w:rsid w:val="006C39C4"/>
    <w:rsid w:val="006C68E3"/>
    <w:rsid w:val="006C6B08"/>
    <w:rsid w:val="006D0EBE"/>
    <w:rsid w:val="006D1E7C"/>
    <w:rsid w:val="006D3408"/>
    <w:rsid w:val="006D376F"/>
    <w:rsid w:val="006D462E"/>
    <w:rsid w:val="006D4D6C"/>
    <w:rsid w:val="006D67B1"/>
    <w:rsid w:val="006D6B69"/>
    <w:rsid w:val="006D7204"/>
    <w:rsid w:val="006D7EAD"/>
    <w:rsid w:val="006E097E"/>
    <w:rsid w:val="006E39D9"/>
    <w:rsid w:val="006F6C81"/>
    <w:rsid w:val="00705346"/>
    <w:rsid w:val="00706FD4"/>
    <w:rsid w:val="00707749"/>
    <w:rsid w:val="00710AAA"/>
    <w:rsid w:val="00712E67"/>
    <w:rsid w:val="00720775"/>
    <w:rsid w:val="00730548"/>
    <w:rsid w:val="00730591"/>
    <w:rsid w:val="00735D1F"/>
    <w:rsid w:val="00737560"/>
    <w:rsid w:val="007422B9"/>
    <w:rsid w:val="007542F1"/>
    <w:rsid w:val="007564F8"/>
    <w:rsid w:val="00756BD2"/>
    <w:rsid w:val="00757150"/>
    <w:rsid w:val="00761686"/>
    <w:rsid w:val="00767043"/>
    <w:rsid w:val="0077297F"/>
    <w:rsid w:val="007743BB"/>
    <w:rsid w:val="00782A1B"/>
    <w:rsid w:val="00790849"/>
    <w:rsid w:val="007913A7"/>
    <w:rsid w:val="00792E5C"/>
    <w:rsid w:val="00793317"/>
    <w:rsid w:val="007A3A1A"/>
    <w:rsid w:val="007A4366"/>
    <w:rsid w:val="007A6702"/>
    <w:rsid w:val="007A6BCA"/>
    <w:rsid w:val="007B025D"/>
    <w:rsid w:val="007B0D27"/>
    <w:rsid w:val="007B37F5"/>
    <w:rsid w:val="007C358B"/>
    <w:rsid w:val="007C35F9"/>
    <w:rsid w:val="007C64F1"/>
    <w:rsid w:val="007D0289"/>
    <w:rsid w:val="007D26D3"/>
    <w:rsid w:val="007E1EA3"/>
    <w:rsid w:val="007E2D14"/>
    <w:rsid w:val="007E411A"/>
    <w:rsid w:val="007E4C8C"/>
    <w:rsid w:val="007E5787"/>
    <w:rsid w:val="007E5DA5"/>
    <w:rsid w:val="007E602B"/>
    <w:rsid w:val="007E7ECD"/>
    <w:rsid w:val="007F3410"/>
    <w:rsid w:val="007F5177"/>
    <w:rsid w:val="007F67A9"/>
    <w:rsid w:val="007F6ED9"/>
    <w:rsid w:val="008007BF"/>
    <w:rsid w:val="00804EDD"/>
    <w:rsid w:val="00805A38"/>
    <w:rsid w:val="00810074"/>
    <w:rsid w:val="00810D2A"/>
    <w:rsid w:val="00811384"/>
    <w:rsid w:val="008135E3"/>
    <w:rsid w:val="00820447"/>
    <w:rsid w:val="008205CD"/>
    <w:rsid w:val="0082102E"/>
    <w:rsid w:val="00822987"/>
    <w:rsid w:val="00823184"/>
    <w:rsid w:val="008248AF"/>
    <w:rsid w:val="00824C5E"/>
    <w:rsid w:val="0083112E"/>
    <w:rsid w:val="00831942"/>
    <w:rsid w:val="0083347F"/>
    <w:rsid w:val="00837E3B"/>
    <w:rsid w:val="00844071"/>
    <w:rsid w:val="00845865"/>
    <w:rsid w:val="00851C82"/>
    <w:rsid w:val="00871881"/>
    <w:rsid w:val="00874EEC"/>
    <w:rsid w:val="00876CDF"/>
    <w:rsid w:val="008810E0"/>
    <w:rsid w:val="008838B3"/>
    <w:rsid w:val="008873EC"/>
    <w:rsid w:val="00892D14"/>
    <w:rsid w:val="00894C22"/>
    <w:rsid w:val="00895126"/>
    <w:rsid w:val="0089613D"/>
    <w:rsid w:val="008A79ED"/>
    <w:rsid w:val="008B173C"/>
    <w:rsid w:val="008B2110"/>
    <w:rsid w:val="008B66DC"/>
    <w:rsid w:val="008C0689"/>
    <w:rsid w:val="008C1FC7"/>
    <w:rsid w:val="008D5F1A"/>
    <w:rsid w:val="008D6D85"/>
    <w:rsid w:val="008D7A84"/>
    <w:rsid w:val="008E0C9D"/>
    <w:rsid w:val="008E1344"/>
    <w:rsid w:val="008E2DEF"/>
    <w:rsid w:val="008E3132"/>
    <w:rsid w:val="008F04CE"/>
    <w:rsid w:val="008F2C5F"/>
    <w:rsid w:val="008F3D1E"/>
    <w:rsid w:val="008F487B"/>
    <w:rsid w:val="009009D5"/>
    <w:rsid w:val="009021CC"/>
    <w:rsid w:val="00904B9C"/>
    <w:rsid w:val="0090605B"/>
    <w:rsid w:val="00907215"/>
    <w:rsid w:val="00912977"/>
    <w:rsid w:val="00914FCF"/>
    <w:rsid w:val="00917525"/>
    <w:rsid w:val="00923867"/>
    <w:rsid w:val="00935C1C"/>
    <w:rsid w:val="00943613"/>
    <w:rsid w:val="0094428C"/>
    <w:rsid w:val="009465ED"/>
    <w:rsid w:val="00952F28"/>
    <w:rsid w:val="00962899"/>
    <w:rsid w:val="00964ECB"/>
    <w:rsid w:val="00966641"/>
    <w:rsid w:val="00971259"/>
    <w:rsid w:val="00977A25"/>
    <w:rsid w:val="00985E7E"/>
    <w:rsid w:val="009908DB"/>
    <w:rsid w:val="00991255"/>
    <w:rsid w:val="0099225A"/>
    <w:rsid w:val="00993E63"/>
    <w:rsid w:val="00996A6B"/>
    <w:rsid w:val="00996DE6"/>
    <w:rsid w:val="009A7FF2"/>
    <w:rsid w:val="009B7469"/>
    <w:rsid w:val="009C28C9"/>
    <w:rsid w:val="009C6CBC"/>
    <w:rsid w:val="009D0C5F"/>
    <w:rsid w:val="009D533B"/>
    <w:rsid w:val="009E1633"/>
    <w:rsid w:val="009E22A7"/>
    <w:rsid w:val="009E65EF"/>
    <w:rsid w:val="009F0210"/>
    <w:rsid w:val="009F40A4"/>
    <w:rsid w:val="00A0074A"/>
    <w:rsid w:val="00A109DE"/>
    <w:rsid w:val="00A11AA8"/>
    <w:rsid w:val="00A12181"/>
    <w:rsid w:val="00A13AB5"/>
    <w:rsid w:val="00A1508E"/>
    <w:rsid w:val="00A320CC"/>
    <w:rsid w:val="00A342B8"/>
    <w:rsid w:val="00A36601"/>
    <w:rsid w:val="00A42754"/>
    <w:rsid w:val="00A44A03"/>
    <w:rsid w:val="00A55A6D"/>
    <w:rsid w:val="00A63E82"/>
    <w:rsid w:val="00A67DD6"/>
    <w:rsid w:val="00A7115F"/>
    <w:rsid w:val="00A716E6"/>
    <w:rsid w:val="00A724A5"/>
    <w:rsid w:val="00A84E78"/>
    <w:rsid w:val="00A867AB"/>
    <w:rsid w:val="00A86D56"/>
    <w:rsid w:val="00A922B4"/>
    <w:rsid w:val="00A93BEE"/>
    <w:rsid w:val="00A95786"/>
    <w:rsid w:val="00AA64FF"/>
    <w:rsid w:val="00AB5E8D"/>
    <w:rsid w:val="00AC1B89"/>
    <w:rsid w:val="00AC54D1"/>
    <w:rsid w:val="00AC61EA"/>
    <w:rsid w:val="00AD30DA"/>
    <w:rsid w:val="00AD57CE"/>
    <w:rsid w:val="00AD7725"/>
    <w:rsid w:val="00AE22CA"/>
    <w:rsid w:val="00AE2409"/>
    <w:rsid w:val="00AE3E84"/>
    <w:rsid w:val="00AE43E0"/>
    <w:rsid w:val="00AE61D2"/>
    <w:rsid w:val="00AE7BEC"/>
    <w:rsid w:val="00AF3C19"/>
    <w:rsid w:val="00AF5235"/>
    <w:rsid w:val="00AF7C43"/>
    <w:rsid w:val="00B06CD3"/>
    <w:rsid w:val="00B06D41"/>
    <w:rsid w:val="00B07D90"/>
    <w:rsid w:val="00B13F6D"/>
    <w:rsid w:val="00B141FB"/>
    <w:rsid w:val="00B14882"/>
    <w:rsid w:val="00B15198"/>
    <w:rsid w:val="00B16732"/>
    <w:rsid w:val="00B201B4"/>
    <w:rsid w:val="00B205A0"/>
    <w:rsid w:val="00B20FE8"/>
    <w:rsid w:val="00B24107"/>
    <w:rsid w:val="00B245C3"/>
    <w:rsid w:val="00B30D0A"/>
    <w:rsid w:val="00B35569"/>
    <w:rsid w:val="00B358C7"/>
    <w:rsid w:val="00B36B42"/>
    <w:rsid w:val="00B40063"/>
    <w:rsid w:val="00B435D2"/>
    <w:rsid w:val="00B437F5"/>
    <w:rsid w:val="00B467F5"/>
    <w:rsid w:val="00B54219"/>
    <w:rsid w:val="00B54444"/>
    <w:rsid w:val="00B54BBC"/>
    <w:rsid w:val="00B5502D"/>
    <w:rsid w:val="00B5526D"/>
    <w:rsid w:val="00B6111B"/>
    <w:rsid w:val="00B62FB3"/>
    <w:rsid w:val="00B63858"/>
    <w:rsid w:val="00B66C35"/>
    <w:rsid w:val="00B72A92"/>
    <w:rsid w:val="00B72C0A"/>
    <w:rsid w:val="00B74A63"/>
    <w:rsid w:val="00B763F4"/>
    <w:rsid w:val="00B76C9C"/>
    <w:rsid w:val="00B850CC"/>
    <w:rsid w:val="00B85348"/>
    <w:rsid w:val="00B857D2"/>
    <w:rsid w:val="00B8738D"/>
    <w:rsid w:val="00B93B68"/>
    <w:rsid w:val="00B948C5"/>
    <w:rsid w:val="00B95C51"/>
    <w:rsid w:val="00B96A2E"/>
    <w:rsid w:val="00B97954"/>
    <w:rsid w:val="00BA0337"/>
    <w:rsid w:val="00BB10E5"/>
    <w:rsid w:val="00BB4103"/>
    <w:rsid w:val="00BB6CAF"/>
    <w:rsid w:val="00BB6EAB"/>
    <w:rsid w:val="00BC23ED"/>
    <w:rsid w:val="00BC5750"/>
    <w:rsid w:val="00BC6991"/>
    <w:rsid w:val="00BC759F"/>
    <w:rsid w:val="00BD2AFF"/>
    <w:rsid w:val="00BE40AE"/>
    <w:rsid w:val="00BE4899"/>
    <w:rsid w:val="00BE72AB"/>
    <w:rsid w:val="00BE7856"/>
    <w:rsid w:val="00BF43AD"/>
    <w:rsid w:val="00BF4B2C"/>
    <w:rsid w:val="00BF52EB"/>
    <w:rsid w:val="00C061EE"/>
    <w:rsid w:val="00C10908"/>
    <w:rsid w:val="00C10DC7"/>
    <w:rsid w:val="00C122A4"/>
    <w:rsid w:val="00C143CB"/>
    <w:rsid w:val="00C1454B"/>
    <w:rsid w:val="00C167A1"/>
    <w:rsid w:val="00C237A6"/>
    <w:rsid w:val="00C23F39"/>
    <w:rsid w:val="00C27E75"/>
    <w:rsid w:val="00C31D54"/>
    <w:rsid w:val="00C4531D"/>
    <w:rsid w:val="00C51555"/>
    <w:rsid w:val="00C5283B"/>
    <w:rsid w:val="00C532EB"/>
    <w:rsid w:val="00C53921"/>
    <w:rsid w:val="00C54D97"/>
    <w:rsid w:val="00C56B27"/>
    <w:rsid w:val="00C61A13"/>
    <w:rsid w:val="00C627A0"/>
    <w:rsid w:val="00C63A0B"/>
    <w:rsid w:val="00C661CE"/>
    <w:rsid w:val="00C84377"/>
    <w:rsid w:val="00C84703"/>
    <w:rsid w:val="00C85C77"/>
    <w:rsid w:val="00C91E35"/>
    <w:rsid w:val="00C93D1F"/>
    <w:rsid w:val="00C940B1"/>
    <w:rsid w:val="00C94E73"/>
    <w:rsid w:val="00C962BF"/>
    <w:rsid w:val="00CA077F"/>
    <w:rsid w:val="00CA2EF4"/>
    <w:rsid w:val="00CA575A"/>
    <w:rsid w:val="00CA5776"/>
    <w:rsid w:val="00CB0485"/>
    <w:rsid w:val="00CB0D15"/>
    <w:rsid w:val="00CB0DB9"/>
    <w:rsid w:val="00CB192A"/>
    <w:rsid w:val="00CB3C76"/>
    <w:rsid w:val="00CB4E7A"/>
    <w:rsid w:val="00CB5942"/>
    <w:rsid w:val="00CC3932"/>
    <w:rsid w:val="00CD30F7"/>
    <w:rsid w:val="00CD427E"/>
    <w:rsid w:val="00CD6DD9"/>
    <w:rsid w:val="00CD7290"/>
    <w:rsid w:val="00CE1309"/>
    <w:rsid w:val="00CE235E"/>
    <w:rsid w:val="00CE7BFC"/>
    <w:rsid w:val="00CF1498"/>
    <w:rsid w:val="00CF556E"/>
    <w:rsid w:val="00D13244"/>
    <w:rsid w:val="00D14CA9"/>
    <w:rsid w:val="00D2159C"/>
    <w:rsid w:val="00D243D5"/>
    <w:rsid w:val="00D412E6"/>
    <w:rsid w:val="00D45931"/>
    <w:rsid w:val="00D4764C"/>
    <w:rsid w:val="00D508AB"/>
    <w:rsid w:val="00D50A7E"/>
    <w:rsid w:val="00D53BA0"/>
    <w:rsid w:val="00D60A04"/>
    <w:rsid w:val="00D64DA8"/>
    <w:rsid w:val="00D66D68"/>
    <w:rsid w:val="00D6797F"/>
    <w:rsid w:val="00D7020C"/>
    <w:rsid w:val="00D70571"/>
    <w:rsid w:val="00D70BCC"/>
    <w:rsid w:val="00D74163"/>
    <w:rsid w:val="00D77579"/>
    <w:rsid w:val="00D8234E"/>
    <w:rsid w:val="00D869F6"/>
    <w:rsid w:val="00D87852"/>
    <w:rsid w:val="00D915AB"/>
    <w:rsid w:val="00D91F96"/>
    <w:rsid w:val="00D9270A"/>
    <w:rsid w:val="00D931A2"/>
    <w:rsid w:val="00DA3695"/>
    <w:rsid w:val="00DA619A"/>
    <w:rsid w:val="00DA6717"/>
    <w:rsid w:val="00DB4384"/>
    <w:rsid w:val="00DB4F72"/>
    <w:rsid w:val="00DB6B0C"/>
    <w:rsid w:val="00DC0DD7"/>
    <w:rsid w:val="00DC1911"/>
    <w:rsid w:val="00DC6A2B"/>
    <w:rsid w:val="00DC6E1E"/>
    <w:rsid w:val="00DD17D2"/>
    <w:rsid w:val="00DD785A"/>
    <w:rsid w:val="00DD7B38"/>
    <w:rsid w:val="00DE1895"/>
    <w:rsid w:val="00DE2FCC"/>
    <w:rsid w:val="00DE398B"/>
    <w:rsid w:val="00DE4B44"/>
    <w:rsid w:val="00DF09C4"/>
    <w:rsid w:val="00DF572E"/>
    <w:rsid w:val="00E02590"/>
    <w:rsid w:val="00E05F39"/>
    <w:rsid w:val="00E073E0"/>
    <w:rsid w:val="00E11CCB"/>
    <w:rsid w:val="00E1508A"/>
    <w:rsid w:val="00E17216"/>
    <w:rsid w:val="00E228FD"/>
    <w:rsid w:val="00E247CA"/>
    <w:rsid w:val="00E2742D"/>
    <w:rsid w:val="00E357AF"/>
    <w:rsid w:val="00E37246"/>
    <w:rsid w:val="00E40355"/>
    <w:rsid w:val="00E439F3"/>
    <w:rsid w:val="00E45F68"/>
    <w:rsid w:val="00E50E4A"/>
    <w:rsid w:val="00E61220"/>
    <w:rsid w:val="00E6179C"/>
    <w:rsid w:val="00E627E0"/>
    <w:rsid w:val="00E6474B"/>
    <w:rsid w:val="00E74D4E"/>
    <w:rsid w:val="00E84F76"/>
    <w:rsid w:val="00E85FAA"/>
    <w:rsid w:val="00E9161D"/>
    <w:rsid w:val="00E9187E"/>
    <w:rsid w:val="00E9283A"/>
    <w:rsid w:val="00E93873"/>
    <w:rsid w:val="00EA2CB5"/>
    <w:rsid w:val="00EA40F2"/>
    <w:rsid w:val="00EA4791"/>
    <w:rsid w:val="00EA6342"/>
    <w:rsid w:val="00EB0FBD"/>
    <w:rsid w:val="00EB386B"/>
    <w:rsid w:val="00EC13C4"/>
    <w:rsid w:val="00EC1491"/>
    <w:rsid w:val="00EC1EB2"/>
    <w:rsid w:val="00EC5084"/>
    <w:rsid w:val="00EC7558"/>
    <w:rsid w:val="00EC7A0C"/>
    <w:rsid w:val="00EC7B55"/>
    <w:rsid w:val="00ED0234"/>
    <w:rsid w:val="00ED1FC5"/>
    <w:rsid w:val="00ED3E11"/>
    <w:rsid w:val="00ED53E5"/>
    <w:rsid w:val="00EE287B"/>
    <w:rsid w:val="00EE4469"/>
    <w:rsid w:val="00EE6A67"/>
    <w:rsid w:val="00EE6C82"/>
    <w:rsid w:val="00EE6E14"/>
    <w:rsid w:val="00EF1559"/>
    <w:rsid w:val="00EF21AA"/>
    <w:rsid w:val="00EF2584"/>
    <w:rsid w:val="00EF41C2"/>
    <w:rsid w:val="00EF4D55"/>
    <w:rsid w:val="00EF5348"/>
    <w:rsid w:val="00EF7D0A"/>
    <w:rsid w:val="00F043F4"/>
    <w:rsid w:val="00F06A7A"/>
    <w:rsid w:val="00F07683"/>
    <w:rsid w:val="00F1090B"/>
    <w:rsid w:val="00F146C4"/>
    <w:rsid w:val="00F155D4"/>
    <w:rsid w:val="00F16AEA"/>
    <w:rsid w:val="00F17FCF"/>
    <w:rsid w:val="00F2032C"/>
    <w:rsid w:val="00F20FE7"/>
    <w:rsid w:val="00F217F0"/>
    <w:rsid w:val="00F2536C"/>
    <w:rsid w:val="00F2612E"/>
    <w:rsid w:val="00F273C6"/>
    <w:rsid w:val="00F27EC8"/>
    <w:rsid w:val="00F32765"/>
    <w:rsid w:val="00F40085"/>
    <w:rsid w:val="00F404CB"/>
    <w:rsid w:val="00F40C6F"/>
    <w:rsid w:val="00F40D7F"/>
    <w:rsid w:val="00F41E47"/>
    <w:rsid w:val="00F41E4B"/>
    <w:rsid w:val="00F433B5"/>
    <w:rsid w:val="00F442D6"/>
    <w:rsid w:val="00F44A7A"/>
    <w:rsid w:val="00F5441C"/>
    <w:rsid w:val="00F57C6F"/>
    <w:rsid w:val="00F6017D"/>
    <w:rsid w:val="00F631F6"/>
    <w:rsid w:val="00F63307"/>
    <w:rsid w:val="00F664BA"/>
    <w:rsid w:val="00F66A61"/>
    <w:rsid w:val="00F7027B"/>
    <w:rsid w:val="00F70554"/>
    <w:rsid w:val="00F753DD"/>
    <w:rsid w:val="00F76B6F"/>
    <w:rsid w:val="00F82942"/>
    <w:rsid w:val="00F84091"/>
    <w:rsid w:val="00F90B74"/>
    <w:rsid w:val="00F93205"/>
    <w:rsid w:val="00F95927"/>
    <w:rsid w:val="00FA0E8C"/>
    <w:rsid w:val="00FA4029"/>
    <w:rsid w:val="00FA56BA"/>
    <w:rsid w:val="00FB14BA"/>
    <w:rsid w:val="00FB455A"/>
    <w:rsid w:val="00FB5E74"/>
    <w:rsid w:val="00FB787E"/>
    <w:rsid w:val="00FC5056"/>
    <w:rsid w:val="00FC5F5A"/>
    <w:rsid w:val="00FC7701"/>
    <w:rsid w:val="00FD1D5D"/>
    <w:rsid w:val="00FD22EF"/>
    <w:rsid w:val="00FD5396"/>
    <w:rsid w:val="00FD6A94"/>
    <w:rsid w:val="00FE08AB"/>
    <w:rsid w:val="00FE2BC7"/>
    <w:rsid w:val="00FE324F"/>
    <w:rsid w:val="00FE5221"/>
    <w:rsid w:val="00FE57DE"/>
    <w:rsid w:val="00FF1379"/>
    <w:rsid w:val="00FF4B53"/>
    <w:rsid w:val="00FF5DBA"/>
    <w:rsid w:val="00FF69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E9AF"/>
  <w15:chartTrackingRefBased/>
  <w15:docId w15:val="{884BDDE5-2475-440C-9F08-4705149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4B3A0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4B3A00"/>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Number,Footnote Reference_LVL6,ftref"/>
    <w:basedOn w:val="DefaultParagraphFont"/>
    <w:uiPriority w:val="99"/>
    <w:unhideWhenUsed/>
    <w:qFormat/>
    <w:rsid w:val="004B3A00"/>
    <w:rPr>
      <w:vertAlign w:val="superscript"/>
    </w:rPr>
  </w:style>
  <w:style w:type="character" w:styleId="Hyperlink">
    <w:name w:val="Hyperlink"/>
    <w:basedOn w:val="DefaultParagraphFont"/>
    <w:uiPriority w:val="99"/>
    <w:semiHidden/>
    <w:unhideWhenUsed/>
    <w:rsid w:val="00633848"/>
    <w:rPr>
      <w:color w:val="0000FF"/>
      <w:u w:val="single"/>
    </w:rPr>
  </w:style>
  <w:style w:type="character" w:customStyle="1" w:styleId="mc">
    <w:name w:val="mc"/>
    <w:basedOn w:val="DefaultParagraphFont"/>
    <w:rsid w:val="00E74D4E"/>
  </w:style>
  <w:style w:type="character" w:customStyle="1" w:styleId="g1">
    <w:name w:val="g1"/>
    <w:basedOn w:val="DefaultParagraphFont"/>
    <w:rsid w:val="00E74D4E"/>
  </w:style>
  <w:style w:type="paragraph" w:styleId="Header">
    <w:name w:val="header"/>
    <w:basedOn w:val="Normal"/>
    <w:link w:val="HeaderChar"/>
    <w:uiPriority w:val="99"/>
    <w:unhideWhenUsed/>
    <w:rsid w:val="008C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89"/>
  </w:style>
  <w:style w:type="paragraph" w:styleId="Footer">
    <w:name w:val="footer"/>
    <w:basedOn w:val="Normal"/>
    <w:link w:val="FooterChar"/>
    <w:uiPriority w:val="99"/>
    <w:unhideWhenUsed/>
    <w:rsid w:val="008C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89"/>
  </w:style>
  <w:style w:type="paragraph" w:styleId="NoSpacing">
    <w:name w:val="No Spacing"/>
    <w:uiPriority w:val="1"/>
    <w:qFormat/>
    <w:rsid w:val="00204B06"/>
    <w:pPr>
      <w:spacing w:after="0" w:line="240" w:lineRule="auto"/>
    </w:pPr>
  </w:style>
  <w:style w:type="paragraph" w:styleId="BalloonText">
    <w:name w:val="Balloon Text"/>
    <w:basedOn w:val="Normal"/>
    <w:link w:val="BalloonTextChar"/>
    <w:uiPriority w:val="99"/>
    <w:semiHidden/>
    <w:unhideWhenUsed/>
    <w:rsid w:val="0067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C9"/>
    <w:rPr>
      <w:rFonts w:ascii="Segoe UI" w:hAnsi="Segoe UI" w:cs="Segoe UI"/>
      <w:sz w:val="18"/>
      <w:szCs w:val="18"/>
    </w:rPr>
  </w:style>
  <w:style w:type="paragraph" w:styleId="Revision">
    <w:name w:val="Revision"/>
    <w:hidden/>
    <w:uiPriority w:val="99"/>
    <w:semiHidden/>
    <w:rsid w:val="00F20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293">
      <w:bodyDiv w:val="1"/>
      <w:marLeft w:val="0"/>
      <w:marRight w:val="0"/>
      <w:marTop w:val="0"/>
      <w:marBottom w:val="0"/>
      <w:divBdr>
        <w:top w:val="none" w:sz="0" w:space="0" w:color="auto"/>
        <w:left w:val="none" w:sz="0" w:space="0" w:color="auto"/>
        <w:bottom w:val="none" w:sz="0" w:space="0" w:color="auto"/>
        <w:right w:val="none" w:sz="0" w:space="0" w:color="auto"/>
      </w:divBdr>
      <w:divsChild>
        <w:div w:id="56710394">
          <w:marLeft w:val="1134"/>
          <w:marRight w:val="0"/>
          <w:marTop w:val="60"/>
          <w:marBottom w:val="0"/>
          <w:divBdr>
            <w:top w:val="none" w:sz="0" w:space="0" w:color="auto"/>
            <w:left w:val="none" w:sz="0" w:space="0" w:color="auto"/>
            <w:bottom w:val="none" w:sz="0" w:space="0" w:color="auto"/>
            <w:right w:val="none" w:sz="0" w:space="0" w:color="auto"/>
          </w:divBdr>
        </w:div>
        <w:div w:id="92750238">
          <w:marLeft w:val="284"/>
          <w:marRight w:val="0"/>
          <w:marTop w:val="80"/>
          <w:marBottom w:val="0"/>
          <w:divBdr>
            <w:top w:val="none" w:sz="0" w:space="0" w:color="auto"/>
            <w:left w:val="none" w:sz="0" w:space="0" w:color="auto"/>
            <w:bottom w:val="none" w:sz="0" w:space="0" w:color="auto"/>
            <w:right w:val="none" w:sz="0" w:space="0" w:color="auto"/>
          </w:divBdr>
        </w:div>
        <w:div w:id="212623469">
          <w:marLeft w:val="0"/>
          <w:marRight w:val="0"/>
          <w:marTop w:val="120"/>
          <w:marBottom w:val="0"/>
          <w:divBdr>
            <w:top w:val="none" w:sz="0" w:space="0" w:color="auto"/>
            <w:left w:val="none" w:sz="0" w:space="0" w:color="auto"/>
            <w:bottom w:val="none" w:sz="0" w:space="0" w:color="auto"/>
            <w:right w:val="none" w:sz="0" w:space="0" w:color="auto"/>
          </w:divBdr>
        </w:div>
        <w:div w:id="266550005">
          <w:marLeft w:val="1134"/>
          <w:marRight w:val="0"/>
          <w:marTop w:val="60"/>
          <w:marBottom w:val="0"/>
          <w:divBdr>
            <w:top w:val="none" w:sz="0" w:space="0" w:color="auto"/>
            <w:left w:val="none" w:sz="0" w:space="0" w:color="auto"/>
            <w:bottom w:val="none" w:sz="0" w:space="0" w:color="auto"/>
            <w:right w:val="none" w:sz="0" w:space="0" w:color="auto"/>
          </w:divBdr>
        </w:div>
        <w:div w:id="286352041">
          <w:marLeft w:val="284"/>
          <w:marRight w:val="0"/>
          <w:marTop w:val="80"/>
          <w:marBottom w:val="0"/>
          <w:divBdr>
            <w:top w:val="none" w:sz="0" w:space="0" w:color="auto"/>
            <w:left w:val="none" w:sz="0" w:space="0" w:color="auto"/>
            <w:bottom w:val="none" w:sz="0" w:space="0" w:color="auto"/>
            <w:right w:val="none" w:sz="0" w:space="0" w:color="auto"/>
          </w:divBdr>
        </w:div>
        <w:div w:id="347367373">
          <w:marLeft w:val="1134"/>
          <w:marRight w:val="0"/>
          <w:marTop w:val="60"/>
          <w:marBottom w:val="0"/>
          <w:divBdr>
            <w:top w:val="none" w:sz="0" w:space="0" w:color="auto"/>
            <w:left w:val="none" w:sz="0" w:space="0" w:color="auto"/>
            <w:bottom w:val="none" w:sz="0" w:space="0" w:color="auto"/>
            <w:right w:val="none" w:sz="0" w:space="0" w:color="auto"/>
          </w:divBdr>
        </w:div>
        <w:div w:id="381946634">
          <w:marLeft w:val="284"/>
          <w:marRight w:val="0"/>
          <w:marTop w:val="40"/>
          <w:marBottom w:val="0"/>
          <w:divBdr>
            <w:top w:val="none" w:sz="0" w:space="0" w:color="auto"/>
            <w:left w:val="none" w:sz="0" w:space="0" w:color="auto"/>
            <w:bottom w:val="none" w:sz="0" w:space="0" w:color="auto"/>
            <w:right w:val="none" w:sz="0" w:space="0" w:color="auto"/>
          </w:divBdr>
        </w:div>
        <w:div w:id="390268883">
          <w:marLeft w:val="1134"/>
          <w:marRight w:val="0"/>
          <w:marTop w:val="60"/>
          <w:marBottom w:val="0"/>
          <w:divBdr>
            <w:top w:val="none" w:sz="0" w:space="0" w:color="auto"/>
            <w:left w:val="none" w:sz="0" w:space="0" w:color="auto"/>
            <w:bottom w:val="none" w:sz="0" w:space="0" w:color="auto"/>
            <w:right w:val="none" w:sz="0" w:space="0" w:color="auto"/>
          </w:divBdr>
        </w:div>
        <w:div w:id="427585115">
          <w:marLeft w:val="1134"/>
          <w:marRight w:val="0"/>
          <w:marTop w:val="60"/>
          <w:marBottom w:val="0"/>
          <w:divBdr>
            <w:top w:val="none" w:sz="0" w:space="0" w:color="auto"/>
            <w:left w:val="none" w:sz="0" w:space="0" w:color="auto"/>
            <w:bottom w:val="none" w:sz="0" w:space="0" w:color="auto"/>
            <w:right w:val="none" w:sz="0" w:space="0" w:color="auto"/>
          </w:divBdr>
        </w:div>
        <w:div w:id="556665443">
          <w:marLeft w:val="1134"/>
          <w:marRight w:val="0"/>
          <w:marTop w:val="60"/>
          <w:marBottom w:val="0"/>
          <w:divBdr>
            <w:top w:val="none" w:sz="0" w:space="0" w:color="auto"/>
            <w:left w:val="none" w:sz="0" w:space="0" w:color="auto"/>
            <w:bottom w:val="none" w:sz="0" w:space="0" w:color="auto"/>
            <w:right w:val="none" w:sz="0" w:space="0" w:color="auto"/>
          </w:divBdr>
        </w:div>
        <w:div w:id="568228957">
          <w:marLeft w:val="1134"/>
          <w:marRight w:val="0"/>
          <w:marTop w:val="60"/>
          <w:marBottom w:val="0"/>
          <w:divBdr>
            <w:top w:val="none" w:sz="0" w:space="0" w:color="auto"/>
            <w:left w:val="none" w:sz="0" w:space="0" w:color="auto"/>
            <w:bottom w:val="none" w:sz="0" w:space="0" w:color="auto"/>
            <w:right w:val="none" w:sz="0" w:space="0" w:color="auto"/>
          </w:divBdr>
        </w:div>
        <w:div w:id="602693175">
          <w:marLeft w:val="1134"/>
          <w:marRight w:val="0"/>
          <w:marTop w:val="60"/>
          <w:marBottom w:val="0"/>
          <w:divBdr>
            <w:top w:val="none" w:sz="0" w:space="0" w:color="auto"/>
            <w:left w:val="none" w:sz="0" w:space="0" w:color="auto"/>
            <w:bottom w:val="none" w:sz="0" w:space="0" w:color="auto"/>
            <w:right w:val="none" w:sz="0" w:space="0" w:color="auto"/>
          </w:divBdr>
        </w:div>
        <w:div w:id="616257120">
          <w:marLeft w:val="1134"/>
          <w:marRight w:val="0"/>
          <w:marTop w:val="60"/>
          <w:marBottom w:val="0"/>
          <w:divBdr>
            <w:top w:val="none" w:sz="0" w:space="0" w:color="auto"/>
            <w:left w:val="none" w:sz="0" w:space="0" w:color="auto"/>
            <w:bottom w:val="none" w:sz="0" w:space="0" w:color="auto"/>
            <w:right w:val="none" w:sz="0" w:space="0" w:color="auto"/>
          </w:divBdr>
        </w:div>
        <w:div w:id="658777966">
          <w:marLeft w:val="284"/>
          <w:marRight w:val="0"/>
          <w:marTop w:val="80"/>
          <w:marBottom w:val="0"/>
          <w:divBdr>
            <w:top w:val="none" w:sz="0" w:space="0" w:color="auto"/>
            <w:left w:val="none" w:sz="0" w:space="0" w:color="auto"/>
            <w:bottom w:val="none" w:sz="0" w:space="0" w:color="auto"/>
            <w:right w:val="none" w:sz="0" w:space="0" w:color="auto"/>
          </w:divBdr>
        </w:div>
        <w:div w:id="667943575">
          <w:marLeft w:val="1134"/>
          <w:marRight w:val="0"/>
          <w:marTop w:val="60"/>
          <w:marBottom w:val="0"/>
          <w:divBdr>
            <w:top w:val="none" w:sz="0" w:space="0" w:color="auto"/>
            <w:left w:val="none" w:sz="0" w:space="0" w:color="auto"/>
            <w:bottom w:val="none" w:sz="0" w:space="0" w:color="auto"/>
            <w:right w:val="none" w:sz="0" w:space="0" w:color="auto"/>
          </w:divBdr>
        </w:div>
        <w:div w:id="688486289">
          <w:marLeft w:val="1134"/>
          <w:marRight w:val="0"/>
          <w:marTop w:val="60"/>
          <w:marBottom w:val="0"/>
          <w:divBdr>
            <w:top w:val="none" w:sz="0" w:space="0" w:color="auto"/>
            <w:left w:val="none" w:sz="0" w:space="0" w:color="auto"/>
            <w:bottom w:val="none" w:sz="0" w:space="0" w:color="auto"/>
            <w:right w:val="none" w:sz="0" w:space="0" w:color="auto"/>
          </w:divBdr>
        </w:div>
        <w:div w:id="762915041">
          <w:marLeft w:val="284"/>
          <w:marRight w:val="0"/>
          <w:marTop w:val="80"/>
          <w:marBottom w:val="0"/>
          <w:divBdr>
            <w:top w:val="none" w:sz="0" w:space="0" w:color="auto"/>
            <w:left w:val="none" w:sz="0" w:space="0" w:color="auto"/>
            <w:bottom w:val="none" w:sz="0" w:space="0" w:color="auto"/>
            <w:right w:val="none" w:sz="0" w:space="0" w:color="auto"/>
          </w:divBdr>
        </w:div>
        <w:div w:id="777136707">
          <w:marLeft w:val="284"/>
          <w:marRight w:val="0"/>
          <w:marTop w:val="80"/>
          <w:marBottom w:val="0"/>
          <w:divBdr>
            <w:top w:val="none" w:sz="0" w:space="0" w:color="auto"/>
            <w:left w:val="none" w:sz="0" w:space="0" w:color="auto"/>
            <w:bottom w:val="none" w:sz="0" w:space="0" w:color="auto"/>
            <w:right w:val="none" w:sz="0" w:space="0" w:color="auto"/>
          </w:divBdr>
        </w:div>
        <w:div w:id="943919130">
          <w:marLeft w:val="1134"/>
          <w:marRight w:val="0"/>
          <w:marTop w:val="60"/>
          <w:marBottom w:val="0"/>
          <w:divBdr>
            <w:top w:val="none" w:sz="0" w:space="0" w:color="auto"/>
            <w:left w:val="none" w:sz="0" w:space="0" w:color="auto"/>
            <w:bottom w:val="none" w:sz="0" w:space="0" w:color="auto"/>
            <w:right w:val="none" w:sz="0" w:space="0" w:color="auto"/>
          </w:divBdr>
        </w:div>
        <w:div w:id="1028676566">
          <w:marLeft w:val="1134"/>
          <w:marRight w:val="0"/>
          <w:marTop w:val="60"/>
          <w:marBottom w:val="0"/>
          <w:divBdr>
            <w:top w:val="none" w:sz="0" w:space="0" w:color="auto"/>
            <w:left w:val="none" w:sz="0" w:space="0" w:color="auto"/>
            <w:bottom w:val="none" w:sz="0" w:space="0" w:color="auto"/>
            <w:right w:val="none" w:sz="0" w:space="0" w:color="auto"/>
          </w:divBdr>
        </w:div>
        <w:div w:id="1038120379">
          <w:marLeft w:val="284"/>
          <w:marRight w:val="0"/>
          <w:marTop w:val="80"/>
          <w:marBottom w:val="0"/>
          <w:divBdr>
            <w:top w:val="none" w:sz="0" w:space="0" w:color="auto"/>
            <w:left w:val="none" w:sz="0" w:space="0" w:color="auto"/>
            <w:bottom w:val="none" w:sz="0" w:space="0" w:color="auto"/>
            <w:right w:val="none" w:sz="0" w:space="0" w:color="auto"/>
          </w:divBdr>
        </w:div>
        <w:div w:id="1220287089">
          <w:marLeft w:val="1134"/>
          <w:marRight w:val="0"/>
          <w:marTop w:val="60"/>
          <w:marBottom w:val="0"/>
          <w:divBdr>
            <w:top w:val="none" w:sz="0" w:space="0" w:color="auto"/>
            <w:left w:val="none" w:sz="0" w:space="0" w:color="auto"/>
            <w:bottom w:val="none" w:sz="0" w:space="0" w:color="auto"/>
            <w:right w:val="none" w:sz="0" w:space="0" w:color="auto"/>
          </w:divBdr>
        </w:div>
        <w:div w:id="1241863992">
          <w:marLeft w:val="284"/>
          <w:marRight w:val="0"/>
          <w:marTop w:val="80"/>
          <w:marBottom w:val="0"/>
          <w:divBdr>
            <w:top w:val="none" w:sz="0" w:space="0" w:color="auto"/>
            <w:left w:val="none" w:sz="0" w:space="0" w:color="auto"/>
            <w:bottom w:val="none" w:sz="0" w:space="0" w:color="auto"/>
            <w:right w:val="none" w:sz="0" w:space="0" w:color="auto"/>
          </w:divBdr>
        </w:div>
        <w:div w:id="1267153933">
          <w:marLeft w:val="1134"/>
          <w:marRight w:val="0"/>
          <w:marTop w:val="60"/>
          <w:marBottom w:val="0"/>
          <w:divBdr>
            <w:top w:val="none" w:sz="0" w:space="0" w:color="auto"/>
            <w:left w:val="none" w:sz="0" w:space="0" w:color="auto"/>
            <w:bottom w:val="none" w:sz="0" w:space="0" w:color="auto"/>
            <w:right w:val="none" w:sz="0" w:space="0" w:color="auto"/>
          </w:divBdr>
        </w:div>
        <w:div w:id="1272472510">
          <w:marLeft w:val="284"/>
          <w:marRight w:val="0"/>
          <w:marTop w:val="80"/>
          <w:marBottom w:val="0"/>
          <w:divBdr>
            <w:top w:val="none" w:sz="0" w:space="0" w:color="auto"/>
            <w:left w:val="none" w:sz="0" w:space="0" w:color="auto"/>
            <w:bottom w:val="none" w:sz="0" w:space="0" w:color="auto"/>
            <w:right w:val="none" w:sz="0" w:space="0" w:color="auto"/>
          </w:divBdr>
        </w:div>
        <w:div w:id="1297225726">
          <w:marLeft w:val="1134"/>
          <w:marRight w:val="0"/>
          <w:marTop w:val="60"/>
          <w:marBottom w:val="0"/>
          <w:divBdr>
            <w:top w:val="none" w:sz="0" w:space="0" w:color="auto"/>
            <w:left w:val="none" w:sz="0" w:space="0" w:color="auto"/>
            <w:bottom w:val="none" w:sz="0" w:space="0" w:color="auto"/>
            <w:right w:val="none" w:sz="0" w:space="0" w:color="auto"/>
          </w:divBdr>
        </w:div>
        <w:div w:id="1315569963">
          <w:marLeft w:val="1134"/>
          <w:marRight w:val="0"/>
          <w:marTop w:val="60"/>
          <w:marBottom w:val="0"/>
          <w:divBdr>
            <w:top w:val="none" w:sz="0" w:space="0" w:color="auto"/>
            <w:left w:val="none" w:sz="0" w:space="0" w:color="auto"/>
            <w:bottom w:val="none" w:sz="0" w:space="0" w:color="auto"/>
            <w:right w:val="none" w:sz="0" w:space="0" w:color="auto"/>
          </w:divBdr>
        </w:div>
        <w:div w:id="1359770145">
          <w:marLeft w:val="284"/>
          <w:marRight w:val="0"/>
          <w:marTop w:val="80"/>
          <w:marBottom w:val="0"/>
          <w:divBdr>
            <w:top w:val="none" w:sz="0" w:space="0" w:color="auto"/>
            <w:left w:val="none" w:sz="0" w:space="0" w:color="auto"/>
            <w:bottom w:val="none" w:sz="0" w:space="0" w:color="auto"/>
            <w:right w:val="none" w:sz="0" w:space="0" w:color="auto"/>
          </w:divBdr>
        </w:div>
        <w:div w:id="1393652931">
          <w:marLeft w:val="1134"/>
          <w:marRight w:val="0"/>
          <w:marTop w:val="60"/>
          <w:marBottom w:val="0"/>
          <w:divBdr>
            <w:top w:val="none" w:sz="0" w:space="0" w:color="auto"/>
            <w:left w:val="none" w:sz="0" w:space="0" w:color="auto"/>
            <w:bottom w:val="none" w:sz="0" w:space="0" w:color="auto"/>
            <w:right w:val="none" w:sz="0" w:space="0" w:color="auto"/>
          </w:divBdr>
        </w:div>
        <w:div w:id="1407609330">
          <w:marLeft w:val="1134"/>
          <w:marRight w:val="0"/>
          <w:marTop w:val="60"/>
          <w:marBottom w:val="0"/>
          <w:divBdr>
            <w:top w:val="none" w:sz="0" w:space="0" w:color="auto"/>
            <w:left w:val="none" w:sz="0" w:space="0" w:color="auto"/>
            <w:bottom w:val="none" w:sz="0" w:space="0" w:color="auto"/>
            <w:right w:val="none" w:sz="0" w:space="0" w:color="auto"/>
          </w:divBdr>
        </w:div>
        <w:div w:id="1413048568">
          <w:marLeft w:val="1134"/>
          <w:marRight w:val="0"/>
          <w:marTop w:val="60"/>
          <w:marBottom w:val="0"/>
          <w:divBdr>
            <w:top w:val="none" w:sz="0" w:space="0" w:color="auto"/>
            <w:left w:val="none" w:sz="0" w:space="0" w:color="auto"/>
            <w:bottom w:val="none" w:sz="0" w:space="0" w:color="auto"/>
            <w:right w:val="none" w:sz="0" w:space="0" w:color="auto"/>
          </w:divBdr>
        </w:div>
        <w:div w:id="1495799411">
          <w:marLeft w:val="1134"/>
          <w:marRight w:val="0"/>
          <w:marTop w:val="60"/>
          <w:marBottom w:val="0"/>
          <w:divBdr>
            <w:top w:val="none" w:sz="0" w:space="0" w:color="auto"/>
            <w:left w:val="none" w:sz="0" w:space="0" w:color="auto"/>
            <w:bottom w:val="none" w:sz="0" w:space="0" w:color="auto"/>
            <w:right w:val="none" w:sz="0" w:space="0" w:color="auto"/>
          </w:divBdr>
        </w:div>
        <w:div w:id="1613828067">
          <w:marLeft w:val="1134"/>
          <w:marRight w:val="0"/>
          <w:marTop w:val="60"/>
          <w:marBottom w:val="0"/>
          <w:divBdr>
            <w:top w:val="none" w:sz="0" w:space="0" w:color="auto"/>
            <w:left w:val="none" w:sz="0" w:space="0" w:color="auto"/>
            <w:bottom w:val="none" w:sz="0" w:space="0" w:color="auto"/>
            <w:right w:val="none" w:sz="0" w:space="0" w:color="auto"/>
          </w:divBdr>
        </w:div>
        <w:div w:id="1687095195">
          <w:marLeft w:val="567"/>
          <w:marRight w:val="567"/>
          <w:marTop w:val="20"/>
          <w:marBottom w:val="20"/>
          <w:divBdr>
            <w:top w:val="none" w:sz="0" w:space="0" w:color="auto"/>
            <w:left w:val="none" w:sz="0" w:space="0" w:color="auto"/>
            <w:bottom w:val="none" w:sz="0" w:space="0" w:color="auto"/>
            <w:right w:val="none" w:sz="0" w:space="0" w:color="auto"/>
          </w:divBdr>
        </w:div>
        <w:div w:id="1808165660">
          <w:marLeft w:val="284"/>
          <w:marRight w:val="0"/>
          <w:marTop w:val="80"/>
          <w:marBottom w:val="0"/>
          <w:divBdr>
            <w:top w:val="none" w:sz="0" w:space="0" w:color="auto"/>
            <w:left w:val="none" w:sz="0" w:space="0" w:color="auto"/>
            <w:bottom w:val="none" w:sz="0" w:space="0" w:color="auto"/>
            <w:right w:val="none" w:sz="0" w:space="0" w:color="auto"/>
          </w:divBdr>
        </w:div>
        <w:div w:id="1824158348">
          <w:marLeft w:val="1134"/>
          <w:marRight w:val="0"/>
          <w:marTop w:val="60"/>
          <w:marBottom w:val="0"/>
          <w:divBdr>
            <w:top w:val="none" w:sz="0" w:space="0" w:color="auto"/>
            <w:left w:val="none" w:sz="0" w:space="0" w:color="auto"/>
            <w:bottom w:val="none" w:sz="0" w:space="0" w:color="auto"/>
            <w:right w:val="none" w:sz="0" w:space="0" w:color="auto"/>
          </w:divBdr>
        </w:div>
        <w:div w:id="1851335835">
          <w:marLeft w:val="284"/>
          <w:marRight w:val="0"/>
          <w:marTop w:val="40"/>
          <w:marBottom w:val="0"/>
          <w:divBdr>
            <w:top w:val="none" w:sz="0" w:space="0" w:color="auto"/>
            <w:left w:val="none" w:sz="0" w:space="0" w:color="auto"/>
            <w:bottom w:val="none" w:sz="0" w:space="0" w:color="auto"/>
            <w:right w:val="none" w:sz="0" w:space="0" w:color="auto"/>
          </w:divBdr>
        </w:div>
        <w:div w:id="2102793625">
          <w:marLeft w:val="567"/>
          <w:marRight w:val="567"/>
          <w:marTop w:val="20"/>
          <w:marBottom w:val="20"/>
          <w:divBdr>
            <w:top w:val="none" w:sz="0" w:space="0" w:color="auto"/>
            <w:left w:val="none" w:sz="0" w:space="0" w:color="auto"/>
            <w:bottom w:val="none" w:sz="0" w:space="0" w:color="auto"/>
            <w:right w:val="none" w:sz="0" w:space="0" w:color="auto"/>
          </w:divBdr>
        </w:div>
      </w:divsChild>
    </w:div>
    <w:div w:id="154731145">
      <w:bodyDiv w:val="1"/>
      <w:marLeft w:val="0"/>
      <w:marRight w:val="0"/>
      <w:marTop w:val="0"/>
      <w:marBottom w:val="0"/>
      <w:divBdr>
        <w:top w:val="none" w:sz="0" w:space="0" w:color="auto"/>
        <w:left w:val="none" w:sz="0" w:space="0" w:color="auto"/>
        <w:bottom w:val="none" w:sz="0" w:space="0" w:color="auto"/>
        <w:right w:val="none" w:sz="0" w:space="0" w:color="auto"/>
      </w:divBdr>
      <w:divsChild>
        <w:div w:id="73013087">
          <w:marLeft w:val="1134"/>
          <w:marRight w:val="0"/>
          <w:marTop w:val="60"/>
          <w:marBottom w:val="0"/>
          <w:divBdr>
            <w:top w:val="none" w:sz="0" w:space="0" w:color="auto"/>
            <w:left w:val="none" w:sz="0" w:space="0" w:color="auto"/>
            <w:bottom w:val="none" w:sz="0" w:space="0" w:color="auto"/>
            <w:right w:val="none" w:sz="0" w:space="0" w:color="auto"/>
          </w:divBdr>
        </w:div>
        <w:div w:id="193034523">
          <w:marLeft w:val="1134"/>
          <w:marRight w:val="0"/>
          <w:marTop w:val="60"/>
          <w:marBottom w:val="0"/>
          <w:divBdr>
            <w:top w:val="none" w:sz="0" w:space="0" w:color="auto"/>
            <w:left w:val="none" w:sz="0" w:space="0" w:color="auto"/>
            <w:bottom w:val="none" w:sz="0" w:space="0" w:color="auto"/>
            <w:right w:val="none" w:sz="0" w:space="0" w:color="auto"/>
          </w:divBdr>
        </w:div>
        <w:div w:id="229921509">
          <w:marLeft w:val="0"/>
          <w:marRight w:val="0"/>
          <w:marTop w:val="120"/>
          <w:marBottom w:val="0"/>
          <w:divBdr>
            <w:top w:val="none" w:sz="0" w:space="0" w:color="auto"/>
            <w:left w:val="none" w:sz="0" w:space="0" w:color="auto"/>
            <w:bottom w:val="none" w:sz="0" w:space="0" w:color="auto"/>
            <w:right w:val="none" w:sz="0" w:space="0" w:color="auto"/>
          </w:divBdr>
        </w:div>
        <w:div w:id="381713174">
          <w:marLeft w:val="1134"/>
          <w:marRight w:val="0"/>
          <w:marTop w:val="60"/>
          <w:marBottom w:val="0"/>
          <w:divBdr>
            <w:top w:val="none" w:sz="0" w:space="0" w:color="auto"/>
            <w:left w:val="none" w:sz="0" w:space="0" w:color="auto"/>
            <w:bottom w:val="none" w:sz="0" w:space="0" w:color="auto"/>
            <w:right w:val="none" w:sz="0" w:space="0" w:color="auto"/>
          </w:divBdr>
        </w:div>
        <w:div w:id="498813719">
          <w:marLeft w:val="0"/>
          <w:marRight w:val="0"/>
          <w:marTop w:val="60"/>
          <w:marBottom w:val="0"/>
          <w:divBdr>
            <w:top w:val="none" w:sz="0" w:space="0" w:color="auto"/>
            <w:left w:val="none" w:sz="0" w:space="0" w:color="auto"/>
            <w:bottom w:val="none" w:sz="0" w:space="0" w:color="auto"/>
            <w:right w:val="none" w:sz="0" w:space="0" w:color="auto"/>
          </w:divBdr>
        </w:div>
        <w:div w:id="686441757">
          <w:marLeft w:val="0"/>
          <w:marRight w:val="0"/>
          <w:marTop w:val="120"/>
          <w:marBottom w:val="0"/>
          <w:divBdr>
            <w:top w:val="none" w:sz="0" w:space="0" w:color="auto"/>
            <w:left w:val="none" w:sz="0" w:space="0" w:color="auto"/>
            <w:bottom w:val="none" w:sz="0" w:space="0" w:color="auto"/>
            <w:right w:val="none" w:sz="0" w:space="0" w:color="auto"/>
          </w:divBdr>
        </w:div>
        <w:div w:id="820117530">
          <w:marLeft w:val="1134"/>
          <w:marRight w:val="0"/>
          <w:marTop w:val="60"/>
          <w:marBottom w:val="0"/>
          <w:divBdr>
            <w:top w:val="none" w:sz="0" w:space="0" w:color="auto"/>
            <w:left w:val="none" w:sz="0" w:space="0" w:color="auto"/>
            <w:bottom w:val="none" w:sz="0" w:space="0" w:color="auto"/>
            <w:right w:val="none" w:sz="0" w:space="0" w:color="auto"/>
          </w:divBdr>
        </w:div>
        <w:div w:id="867371502">
          <w:marLeft w:val="0"/>
          <w:marRight w:val="0"/>
          <w:marTop w:val="120"/>
          <w:marBottom w:val="0"/>
          <w:divBdr>
            <w:top w:val="none" w:sz="0" w:space="0" w:color="auto"/>
            <w:left w:val="none" w:sz="0" w:space="0" w:color="auto"/>
            <w:bottom w:val="none" w:sz="0" w:space="0" w:color="auto"/>
            <w:right w:val="none" w:sz="0" w:space="0" w:color="auto"/>
          </w:divBdr>
        </w:div>
        <w:div w:id="1189485187">
          <w:marLeft w:val="0"/>
          <w:marRight w:val="0"/>
          <w:marTop w:val="60"/>
          <w:marBottom w:val="0"/>
          <w:divBdr>
            <w:top w:val="none" w:sz="0" w:space="0" w:color="auto"/>
            <w:left w:val="none" w:sz="0" w:space="0" w:color="auto"/>
            <w:bottom w:val="none" w:sz="0" w:space="0" w:color="auto"/>
            <w:right w:val="none" w:sz="0" w:space="0" w:color="auto"/>
          </w:divBdr>
        </w:div>
        <w:div w:id="1194730355">
          <w:marLeft w:val="1134"/>
          <w:marRight w:val="0"/>
          <w:marTop w:val="60"/>
          <w:marBottom w:val="0"/>
          <w:divBdr>
            <w:top w:val="none" w:sz="0" w:space="0" w:color="auto"/>
            <w:left w:val="none" w:sz="0" w:space="0" w:color="auto"/>
            <w:bottom w:val="none" w:sz="0" w:space="0" w:color="auto"/>
            <w:right w:val="none" w:sz="0" w:space="0" w:color="auto"/>
          </w:divBdr>
        </w:div>
        <w:div w:id="1616865785">
          <w:marLeft w:val="1134"/>
          <w:marRight w:val="0"/>
          <w:marTop w:val="60"/>
          <w:marBottom w:val="0"/>
          <w:divBdr>
            <w:top w:val="none" w:sz="0" w:space="0" w:color="auto"/>
            <w:left w:val="none" w:sz="0" w:space="0" w:color="auto"/>
            <w:bottom w:val="none" w:sz="0" w:space="0" w:color="auto"/>
            <w:right w:val="none" w:sz="0" w:space="0" w:color="auto"/>
          </w:divBdr>
        </w:div>
        <w:div w:id="1717242526">
          <w:marLeft w:val="0"/>
          <w:marRight w:val="0"/>
          <w:marTop w:val="120"/>
          <w:marBottom w:val="0"/>
          <w:divBdr>
            <w:top w:val="none" w:sz="0" w:space="0" w:color="auto"/>
            <w:left w:val="none" w:sz="0" w:space="0" w:color="auto"/>
            <w:bottom w:val="none" w:sz="0" w:space="0" w:color="auto"/>
            <w:right w:val="none" w:sz="0" w:space="0" w:color="auto"/>
          </w:divBdr>
        </w:div>
        <w:div w:id="1793284118">
          <w:marLeft w:val="0"/>
          <w:marRight w:val="0"/>
          <w:marTop w:val="120"/>
          <w:marBottom w:val="0"/>
          <w:divBdr>
            <w:top w:val="none" w:sz="0" w:space="0" w:color="auto"/>
            <w:left w:val="none" w:sz="0" w:space="0" w:color="auto"/>
            <w:bottom w:val="none" w:sz="0" w:space="0" w:color="auto"/>
            <w:right w:val="none" w:sz="0" w:space="0" w:color="auto"/>
          </w:divBdr>
        </w:div>
        <w:div w:id="1844852426">
          <w:marLeft w:val="1134"/>
          <w:marRight w:val="0"/>
          <w:marTop w:val="60"/>
          <w:marBottom w:val="0"/>
          <w:divBdr>
            <w:top w:val="none" w:sz="0" w:space="0" w:color="auto"/>
            <w:left w:val="none" w:sz="0" w:space="0" w:color="auto"/>
            <w:bottom w:val="none" w:sz="0" w:space="0" w:color="auto"/>
            <w:right w:val="none" w:sz="0" w:space="0" w:color="auto"/>
          </w:divBdr>
        </w:div>
        <w:div w:id="1845822371">
          <w:marLeft w:val="0"/>
          <w:marRight w:val="0"/>
          <w:marTop w:val="240"/>
          <w:marBottom w:val="0"/>
          <w:divBdr>
            <w:top w:val="none" w:sz="0" w:space="0" w:color="auto"/>
            <w:left w:val="none" w:sz="0" w:space="0" w:color="auto"/>
            <w:bottom w:val="none" w:sz="0" w:space="0" w:color="auto"/>
            <w:right w:val="none" w:sz="0" w:space="0" w:color="auto"/>
          </w:divBdr>
        </w:div>
        <w:div w:id="2002155555">
          <w:marLeft w:val="0"/>
          <w:marRight w:val="0"/>
          <w:marTop w:val="120"/>
          <w:marBottom w:val="0"/>
          <w:divBdr>
            <w:top w:val="none" w:sz="0" w:space="0" w:color="auto"/>
            <w:left w:val="none" w:sz="0" w:space="0" w:color="auto"/>
            <w:bottom w:val="none" w:sz="0" w:space="0" w:color="auto"/>
            <w:right w:val="none" w:sz="0" w:space="0" w:color="auto"/>
          </w:divBdr>
        </w:div>
      </w:divsChild>
    </w:div>
    <w:div w:id="293945678">
      <w:bodyDiv w:val="1"/>
      <w:marLeft w:val="0"/>
      <w:marRight w:val="0"/>
      <w:marTop w:val="0"/>
      <w:marBottom w:val="0"/>
      <w:divBdr>
        <w:top w:val="none" w:sz="0" w:space="0" w:color="auto"/>
        <w:left w:val="none" w:sz="0" w:space="0" w:color="auto"/>
        <w:bottom w:val="none" w:sz="0" w:space="0" w:color="auto"/>
        <w:right w:val="none" w:sz="0" w:space="0" w:color="auto"/>
      </w:divBdr>
      <w:divsChild>
        <w:div w:id="405497479">
          <w:marLeft w:val="0"/>
          <w:marRight w:val="0"/>
          <w:marTop w:val="120"/>
          <w:marBottom w:val="0"/>
          <w:divBdr>
            <w:top w:val="none" w:sz="0" w:space="0" w:color="auto"/>
            <w:left w:val="none" w:sz="0" w:space="0" w:color="auto"/>
            <w:bottom w:val="none" w:sz="0" w:space="0" w:color="auto"/>
            <w:right w:val="none" w:sz="0" w:space="0" w:color="auto"/>
          </w:divBdr>
        </w:div>
        <w:div w:id="1272660876">
          <w:marLeft w:val="0"/>
          <w:marRight w:val="0"/>
          <w:marTop w:val="120"/>
          <w:marBottom w:val="0"/>
          <w:divBdr>
            <w:top w:val="none" w:sz="0" w:space="0" w:color="auto"/>
            <w:left w:val="none" w:sz="0" w:space="0" w:color="auto"/>
            <w:bottom w:val="none" w:sz="0" w:space="0" w:color="auto"/>
            <w:right w:val="none" w:sz="0" w:space="0" w:color="auto"/>
          </w:divBdr>
        </w:div>
        <w:div w:id="1711371231">
          <w:marLeft w:val="0"/>
          <w:marRight w:val="0"/>
          <w:marTop w:val="120"/>
          <w:marBottom w:val="0"/>
          <w:divBdr>
            <w:top w:val="none" w:sz="0" w:space="0" w:color="auto"/>
            <w:left w:val="none" w:sz="0" w:space="0" w:color="auto"/>
            <w:bottom w:val="none" w:sz="0" w:space="0" w:color="auto"/>
            <w:right w:val="none" w:sz="0" w:space="0" w:color="auto"/>
          </w:divBdr>
        </w:div>
        <w:div w:id="1750344121">
          <w:marLeft w:val="0"/>
          <w:marRight w:val="0"/>
          <w:marTop w:val="240"/>
          <w:marBottom w:val="24"/>
          <w:divBdr>
            <w:top w:val="single" w:sz="8" w:space="2" w:color="808080"/>
            <w:left w:val="none" w:sz="0" w:space="0" w:color="auto"/>
            <w:bottom w:val="none" w:sz="0" w:space="0" w:color="auto"/>
            <w:right w:val="none" w:sz="0" w:space="0" w:color="auto"/>
          </w:divBdr>
        </w:div>
        <w:div w:id="1963876152">
          <w:marLeft w:val="0"/>
          <w:marRight w:val="0"/>
          <w:marTop w:val="120"/>
          <w:marBottom w:val="0"/>
          <w:divBdr>
            <w:top w:val="none" w:sz="0" w:space="0" w:color="auto"/>
            <w:left w:val="none" w:sz="0" w:space="0" w:color="auto"/>
            <w:bottom w:val="none" w:sz="0" w:space="0" w:color="auto"/>
            <w:right w:val="none" w:sz="0" w:space="0" w:color="auto"/>
          </w:divBdr>
        </w:div>
      </w:divsChild>
    </w:div>
    <w:div w:id="336930161">
      <w:bodyDiv w:val="1"/>
      <w:marLeft w:val="0"/>
      <w:marRight w:val="0"/>
      <w:marTop w:val="0"/>
      <w:marBottom w:val="0"/>
      <w:divBdr>
        <w:top w:val="none" w:sz="0" w:space="0" w:color="auto"/>
        <w:left w:val="none" w:sz="0" w:space="0" w:color="auto"/>
        <w:bottom w:val="none" w:sz="0" w:space="0" w:color="auto"/>
        <w:right w:val="none" w:sz="0" w:space="0" w:color="auto"/>
      </w:divBdr>
      <w:divsChild>
        <w:div w:id="9068465">
          <w:marLeft w:val="0"/>
          <w:marRight w:val="0"/>
          <w:marTop w:val="120"/>
          <w:marBottom w:val="0"/>
          <w:divBdr>
            <w:top w:val="none" w:sz="0" w:space="0" w:color="auto"/>
            <w:left w:val="none" w:sz="0" w:space="0" w:color="auto"/>
            <w:bottom w:val="none" w:sz="0" w:space="0" w:color="auto"/>
            <w:right w:val="none" w:sz="0" w:space="0" w:color="auto"/>
          </w:divBdr>
        </w:div>
        <w:div w:id="35587984">
          <w:marLeft w:val="0"/>
          <w:marRight w:val="0"/>
          <w:marTop w:val="120"/>
          <w:marBottom w:val="0"/>
          <w:divBdr>
            <w:top w:val="none" w:sz="0" w:space="0" w:color="auto"/>
            <w:left w:val="none" w:sz="0" w:space="0" w:color="auto"/>
            <w:bottom w:val="none" w:sz="0" w:space="0" w:color="auto"/>
            <w:right w:val="none" w:sz="0" w:space="0" w:color="auto"/>
          </w:divBdr>
        </w:div>
        <w:div w:id="58746905">
          <w:marLeft w:val="1134"/>
          <w:marRight w:val="0"/>
          <w:marTop w:val="60"/>
          <w:marBottom w:val="0"/>
          <w:divBdr>
            <w:top w:val="none" w:sz="0" w:space="0" w:color="auto"/>
            <w:left w:val="none" w:sz="0" w:space="0" w:color="auto"/>
            <w:bottom w:val="none" w:sz="0" w:space="0" w:color="auto"/>
            <w:right w:val="none" w:sz="0" w:space="0" w:color="auto"/>
          </w:divBdr>
        </w:div>
        <w:div w:id="72819708">
          <w:marLeft w:val="0"/>
          <w:marRight w:val="0"/>
          <w:marTop w:val="120"/>
          <w:marBottom w:val="0"/>
          <w:divBdr>
            <w:top w:val="none" w:sz="0" w:space="0" w:color="auto"/>
            <w:left w:val="none" w:sz="0" w:space="0" w:color="auto"/>
            <w:bottom w:val="none" w:sz="0" w:space="0" w:color="auto"/>
            <w:right w:val="none" w:sz="0" w:space="0" w:color="auto"/>
          </w:divBdr>
        </w:div>
        <w:div w:id="117260930">
          <w:marLeft w:val="0"/>
          <w:marRight w:val="0"/>
          <w:marTop w:val="60"/>
          <w:marBottom w:val="0"/>
          <w:divBdr>
            <w:top w:val="none" w:sz="0" w:space="0" w:color="auto"/>
            <w:left w:val="none" w:sz="0" w:space="0" w:color="auto"/>
            <w:bottom w:val="none" w:sz="0" w:space="0" w:color="auto"/>
            <w:right w:val="none" w:sz="0" w:space="0" w:color="auto"/>
          </w:divBdr>
        </w:div>
        <w:div w:id="221216695">
          <w:marLeft w:val="567"/>
          <w:marRight w:val="567"/>
          <w:marTop w:val="20"/>
          <w:marBottom w:val="20"/>
          <w:divBdr>
            <w:top w:val="none" w:sz="0" w:space="0" w:color="auto"/>
            <w:left w:val="none" w:sz="0" w:space="0" w:color="auto"/>
            <w:bottom w:val="none" w:sz="0" w:space="0" w:color="auto"/>
            <w:right w:val="none" w:sz="0" w:space="0" w:color="auto"/>
          </w:divBdr>
        </w:div>
        <w:div w:id="350961135">
          <w:marLeft w:val="0"/>
          <w:marRight w:val="0"/>
          <w:marTop w:val="240"/>
          <w:marBottom w:val="0"/>
          <w:divBdr>
            <w:top w:val="none" w:sz="0" w:space="0" w:color="auto"/>
            <w:left w:val="none" w:sz="0" w:space="0" w:color="auto"/>
            <w:bottom w:val="none" w:sz="0" w:space="0" w:color="auto"/>
            <w:right w:val="none" w:sz="0" w:space="0" w:color="auto"/>
          </w:divBdr>
        </w:div>
        <w:div w:id="381448383">
          <w:marLeft w:val="0"/>
          <w:marRight w:val="0"/>
          <w:marTop w:val="120"/>
          <w:marBottom w:val="0"/>
          <w:divBdr>
            <w:top w:val="none" w:sz="0" w:space="0" w:color="auto"/>
            <w:left w:val="none" w:sz="0" w:space="0" w:color="auto"/>
            <w:bottom w:val="none" w:sz="0" w:space="0" w:color="auto"/>
            <w:right w:val="none" w:sz="0" w:space="0" w:color="auto"/>
          </w:divBdr>
        </w:div>
        <w:div w:id="387656066">
          <w:marLeft w:val="0"/>
          <w:marRight w:val="0"/>
          <w:marTop w:val="60"/>
          <w:marBottom w:val="0"/>
          <w:divBdr>
            <w:top w:val="none" w:sz="0" w:space="0" w:color="auto"/>
            <w:left w:val="none" w:sz="0" w:space="0" w:color="auto"/>
            <w:bottom w:val="none" w:sz="0" w:space="0" w:color="auto"/>
            <w:right w:val="none" w:sz="0" w:space="0" w:color="auto"/>
          </w:divBdr>
        </w:div>
        <w:div w:id="394209102">
          <w:marLeft w:val="0"/>
          <w:marRight w:val="0"/>
          <w:marTop w:val="60"/>
          <w:marBottom w:val="0"/>
          <w:divBdr>
            <w:top w:val="none" w:sz="0" w:space="0" w:color="auto"/>
            <w:left w:val="none" w:sz="0" w:space="0" w:color="auto"/>
            <w:bottom w:val="none" w:sz="0" w:space="0" w:color="auto"/>
            <w:right w:val="none" w:sz="0" w:space="0" w:color="auto"/>
          </w:divBdr>
        </w:div>
        <w:div w:id="418598632">
          <w:marLeft w:val="0"/>
          <w:marRight w:val="0"/>
          <w:marTop w:val="120"/>
          <w:marBottom w:val="0"/>
          <w:divBdr>
            <w:top w:val="none" w:sz="0" w:space="0" w:color="auto"/>
            <w:left w:val="none" w:sz="0" w:space="0" w:color="auto"/>
            <w:bottom w:val="none" w:sz="0" w:space="0" w:color="auto"/>
            <w:right w:val="none" w:sz="0" w:space="0" w:color="auto"/>
          </w:divBdr>
        </w:div>
        <w:div w:id="464742343">
          <w:marLeft w:val="0"/>
          <w:marRight w:val="0"/>
          <w:marTop w:val="120"/>
          <w:marBottom w:val="0"/>
          <w:divBdr>
            <w:top w:val="none" w:sz="0" w:space="0" w:color="auto"/>
            <w:left w:val="none" w:sz="0" w:space="0" w:color="auto"/>
            <w:bottom w:val="none" w:sz="0" w:space="0" w:color="auto"/>
            <w:right w:val="none" w:sz="0" w:space="0" w:color="auto"/>
          </w:divBdr>
        </w:div>
        <w:div w:id="514540162">
          <w:marLeft w:val="0"/>
          <w:marRight w:val="0"/>
          <w:marTop w:val="120"/>
          <w:marBottom w:val="0"/>
          <w:divBdr>
            <w:top w:val="none" w:sz="0" w:space="0" w:color="auto"/>
            <w:left w:val="none" w:sz="0" w:space="0" w:color="auto"/>
            <w:bottom w:val="none" w:sz="0" w:space="0" w:color="auto"/>
            <w:right w:val="none" w:sz="0" w:space="0" w:color="auto"/>
          </w:divBdr>
        </w:div>
        <w:div w:id="547836483">
          <w:marLeft w:val="1134"/>
          <w:marRight w:val="0"/>
          <w:marTop w:val="60"/>
          <w:marBottom w:val="0"/>
          <w:divBdr>
            <w:top w:val="none" w:sz="0" w:space="0" w:color="auto"/>
            <w:left w:val="none" w:sz="0" w:space="0" w:color="auto"/>
            <w:bottom w:val="none" w:sz="0" w:space="0" w:color="auto"/>
            <w:right w:val="none" w:sz="0" w:space="0" w:color="auto"/>
          </w:divBdr>
        </w:div>
        <w:div w:id="562448130">
          <w:marLeft w:val="1134"/>
          <w:marRight w:val="0"/>
          <w:marTop w:val="60"/>
          <w:marBottom w:val="0"/>
          <w:divBdr>
            <w:top w:val="none" w:sz="0" w:space="0" w:color="auto"/>
            <w:left w:val="none" w:sz="0" w:space="0" w:color="auto"/>
            <w:bottom w:val="none" w:sz="0" w:space="0" w:color="auto"/>
            <w:right w:val="none" w:sz="0" w:space="0" w:color="auto"/>
          </w:divBdr>
        </w:div>
        <w:div w:id="584146110">
          <w:marLeft w:val="567"/>
          <w:marRight w:val="567"/>
          <w:marTop w:val="20"/>
          <w:marBottom w:val="20"/>
          <w:divBdr>
            <w:top w:val="none" w:sz="0" w:space="0" w:color="auto"/>
            <w:left w:val="none" w:sz="0" w:space="0" w:color="auto"/>
            <w:bottom w:val="none" w:sz="0" w:space="0" w:color="auto"/>
            <w:right w:val="none" w:sz="0" w:space="0" w:color="auto"/>
          </w:divBdr>
        </w:div>
        <w:div w:id="594706106">
          <w:marLeft w:val="0"/>
          <w:marRight w:val="0"/>
          <w:marTop w:val="120"/>
          <w:marBottom w:val="0"/>
          <w:divBdr>
            <w:top w:val="none" w:sz="0" w:space="0" w:color="auto"/>
            <w:left w:val="none" w:sz="0" w:space="0" w:color="auto"/>
            <w:bottom w:val="none" w:sz="0" w:space="0" w:color="auto"/>
            <w:right w:val="none" w:sz="0" w:space="0" w:color="auto"/>
          </w:divBdr>
        </w:div>
        <w:div w:id="650602119">
          <w:marLeft w:val="0"/>
          <w:marRight w:val="0"/>
          <w:marTop w:val="120"/>
          <w:marBottom w:val="0"/>
          <w:divBdr>
            <w:top w:val="none" w:sz="0" w:space="0" w:color="auto"/>
            <w:left w:val="none" w:sz="0" w:space="0" w:color="auto"/>
            <w:bottom w:val="none" w:sz="0" w:space="0" w:color="auto"/>
            <w:right w:val="none" w:sz="0" w:space="0" w:color="auto"/>
          </w:divBdr>
        </w:div>
        <w:div w:id="686254749">
          <w:marLeft w:val="0"/>
          <w:marRight w:val="0"/>
          <w:marTop w:val="120"/>
          <w:marBottom w:val="0"/>
          <w:divBdr>
            <w:top w:val="none" w:sz="0" w:space="0" w:color="auto"/>
            <w:left w:val="none" w:sz="0" w:space="0" w:color="auto"/>
            <w:bottom w:val="none" w:sz="0" w:space="0" w:color="auto"/>
            <w:right w:val="none" w:sz="0" w:space="0" w:color="auto"/>
          </w:divBdr>
        </w:div>
        <w:div w:id="692220683">
          <w:marLeft w:val="0"/>
          <w:marRight w:val="0"/>
          <w:marTop w:val="120"/>
          <w:marBottom w:val="0"/>
          <w:divBdr>
            <w:top w:val="none" w:sz="0" w:space="0" w:color="auto"/>
            <w:left w:val="none" w:sz="0" w:space="0" w:color="auto"/>
            <w:bottom w:val="none" w:sz="0" w:space="0" w:color="auto"/>
            <w:right w:val="none" w:sz="0" w:space="0" w:color="auto"/>
          </w:divBdr>
        </w:div>
        <w:div w:id="708646361">
          <w:marLeft w:val="1134"/>
          <w:marRight w:val="0"/>
          <w:marTop w:val="60"/>
          <w:marBottom w:val="0"/>
          <w:divBdr>
            <w:top w:val="none" w:sz="0" w:space="0" w:color="auto"/>
            <w:left w:val="none" w:sz="0" w:space="0" w:color="auto"/>
            <w:bottom w:val="none" w:sz="0" w:space="0" w:color="auto"/>
            <w:right w:val="none" w:sz="0" w:space="0" w:color="auto"/>
          </w:divBdr>
        </w:div>
        <w:div w:id="746730611">
          <w:marLeft w:val="0"/>
          <w:marRight w:val="0"/>
          <w:marTop w:val="240"/>
          <w:marBottom w:val="0"/>
          <w:divBdr>
            <w:top w:val="none" w:sz="0" w:space="0" w:color="auto"/>
            <w:left w:val="none" w:sz="0" w:space="0" w:color="auto"/>
            <w:bottom w:val="none" w:sz="0" w:space="0" w:color="auto"/>
            <w:right w:val="none" w:sz="0" w:space="0" w:color="auto"/>
          </w:divBdr>
        </w:div>
        <w:div w:id="754982836">
          <w:marLeft w:val="1134"/>
          <w:marRight w:val="0"/>
          <w:marTop w:val="60"/>
          <w:marBottom w:val="0"/>
          <w:divBdr>
            <w:top w:val="none" w:sz="0" w:space="0" w:color="auto"/>
            <w:left w:val="none" w:sz="0" w:space="0" w:color="auto"/>
            <w:bottom w:val="none" w:sz="0" w:space="0" w:color="auto"/>
            <w:right w:val="none" w:sz="0" w:space="0" w:color="auto"/>
          </w:divBdr>
        </w:div>
        <w:div w:id="792598095">
          <w:marLeft w:val="0"/>
          <w:marRight w:val="0"/>
          <w:marTop w:val="120"/>
          <w:marBottom w:val="0"/>
          <w:divBdr>
            <w:top w:val="none" w:sz="0" w:space="0" w:color="auto"/>
            <w:left w:val="none" w:sz="0" w:space="0" w:color="auto"/>
            <w:bottom w:val="none" w:sz="0" w:space="0" w:color="auto"/>
            <w:right w:val="none" w:sz="0" w:space="0" w:color="auto"/>
          </w:divBdr>
        </w:div>
        <w:div w:id="809369668">
          <w:marLeft w:val="1134"/>
          <w:marRight w:val="0"/>
          <w:marTop w:val="60"/>
          <w:marBottom w:val="0"/>
          <w:divBdr>
            <w:top w:val="none" w:sz="0" w:space="0" w:color="auto"/>
            <w:left w:val="none" w:sz="0" w:space="0" w:color="auto"/>
            <w:bottom w:val="none" w:sz="0" w:space="0" w:color="auto"/>
            <w:right w:val="none" w:sz="0" w:space="0" w:color="auto"/>
          </w:divBdr>
        </w:div>
        <w:div w:id="872691821">
          <w:marLeft w:val="0"/>
          <w:marRight w:val="0"/>
          <w:marTop w:val="240"/>
          <w:marBottom w:val="0"/>
          <w:divBdr>
            <w:top w:val="none" w:sz="0" w:space="0" w:color="auto"/>
            <w:left w:val="none" w:sz="0" w:space="0" w:color="auto"/>
            <w:bottom w:val="none" w:sz="0" w:space="0" w:color="auto"/>
            <w:right w:val="none" w:sz="0" w:space="0" w:color="auto"/>
          </w:divBdr>
        </w:div>
        <w:div w:id="950363162">
          <w:marLeft w:val="0"/>
          <w:marRight w:val="0"/>
          <w:marTop w:val="120"/>
          <w:marBottom w:val="0"/>
          <w:divBdr>
            <w:top w:val="none" w:sz="0" w:space="0" w:color="auto"/>
            <w:left w:val="none" w:sz="0" w:space="0" w:color="auto"/>
            <w:bottom w:val="none" w:sz="0" w:space="0" w:color="auto"/>
            <w:right w:val="none" w:sz="0" w:space="0" w:color="auto"/>
          </w:divBdr>
        </w:div>
        <w:div w:id="963149160">
          <w:marLeft w:val="1134"/>
          <w:marRight w:val="0"/>
          <w:marTop w:val="60"/>
          <w:marBottom w:val="0"/>
          <w:divBdr>
            <w:top w:val="none" w:sz="0" w:space="0" w:color="auto"/>
            <w:left w:val="none" w:sz="0" w:space="0" w:color="auto"/>
            <w:bottom w:val="none" w:sz="0" w:space="0" w:color="auto"/>
            <w:right w:val="none" w:sz="0" w:space="0" w:color="auto"/>
          </w:divBdr>
        </w:div>
        <w:div w:id="974259755">
          <w:marLeft w:val="1134"/>
          <w:marRight w:val="0"/>
          <w:marTop w:val="60"/>
          <w:marBottom w:val="0"/>
          <w:divBdr>
            <w:top w:val="none" w:sz="0" w:space="0" w:color="auto"/>
            <w:left w:val="none" w:sz="0" w:space="0" w:color="auto"/>
            <w:bottom w:val="none" w:sz="0" w:space="0" w:color="auto"/>
            <w:right w:val="none" w:sz="0" w:space="0" w:color="auto"/>
          </w:divBdr>
        </w:div>
        <w:div w:id="974677887">
          <w:marLeft w:val="0"/>
          <w:marRight w:val="0"/>
          <w:marTop w:val="60"/>
          <w:marBottom w:val="0"/>
          <w:divBdr>
            <w:top w:val="none" w:sz="0" w:space="0" w:color="auto"/>
            <w:left w:val="none" w:sz="0" w:space="0" w:color="auto"/>
            <w:bottom w:val="none" w:sz="0" w:space="0" w:color="auto"/>
            <w:right w:val="none" w:sz="0" w:space="0" w:color="auto"/>
          </w:divBdr>
        </w:div>
        <w:div w:id="1020476518">
          <w:marLeft w:val="1134"/>
          <w:marRight w:val="0"/>
          <w:marTop w:val="60"/>
          <w:marBottom w:val="0"/>
          <w:divBdr>
            <w:top w:val="none" w:sz="0" w:space="0" w:color="auto"/>
            <w:left w:val="none" w:sz="0" w:space="0" w:color="auto"/>
            <w:bottom w:val="none" w:sz="0" w:space="0" w:color="auto"/>
            <w:right w:val="none" w:sz="0" w:space="0" w:color="auto"/>
          </w:divBdr>
        </w:div>
        <w:div w:id="1060639419">
          <w:marLeft w:val="0"/>
          <w:marRight w:val="0"/>
          <w:marTop w:val="120"/>
          <w:marBottom w:val="0"/>
          <w:divBdr>
            <w:top w:val="none" w:sz="0" w:space="0" w:color="auto"/>
            <w:left w:val="none" w:sz="0" w:space="0" w:color="auto"/>
            <w:bottom w:val="none" w:sz="0" w:space="0" w:color="auto"/>
            <w:right w:val="none" w:sz="0" w:space="0" w:color="auto"/>
          </w:divBdr>
        </w:div>
        <w:div w:id="1093475114">
          <w:marLeft w:val="0"/>
          <w:marRight w:val="0"/>
          <w:marTop w:val="120"/>
          <w:marBottom w:val="0"/>
          <w:divBdr>
            <w:top w:val="none" w:sz="0" w:space="0" w:color="auto"/>
            <w:left w:val="none" w:sz="0" w:space="0" w:color="auto"/>
            <w:bottom w:val="none" w:sz="0" w:space="0" w:color="auto"/>
            <w:right w:val="none" w:sz="0" w:space="0" w:color="auto"/>
          </w:divBdr>
        </w:div>
        <w:div w:id="1099066346">
          <w:marLeft w:val="1134"/>
          <w:marRight w:val="0"/>
          <w:marTop w:val="60"/>
          <w:marBottom w:val="0"/>
          <w:divBdr>
            <w:top w:val="none" w:sz="0" w:space="0" w:color="auto"/>
            <w:left w:val="none" w:sz="0" w:space="0" w:color="auto"/>
            <w:bottom w:val="none" w:sz="0" w:space="0" w:color="auto"/>
            <w:right w:val="none" w:sz="0" w:space="0" w:color="auto"/>
          </w:divBdr>
        </w:div>
        <w:div w:id="1099640003">
          <w:marLeft w:val="1134"/>
          <w:marRight w:val="0"/>
          <w:marTop w:val="60"/>
          <w:marBottom w:val="0"/>
          <w:divBdr>
            <w:top w:val="none" w:sz="0" w:space="0" w:color="auto"/>
            <w:left w:val="none" w:sz="0" w:space="0" w:color="auto"/>
            <w:bottom w:val="none" w:sz="0" w:space="0" w:color="auto"/>
            <w:right w:val="none" w:sz="0" w:space="0" w:color="auto"/>
          </w:divBdr>
        </w:div>
        <w:div w:id="1115716917">
          <w:marLeft w:val="1134"/>
          <w:marRight w:val="0"/>
          <w:marTop w:val="60"/>
          <w:marBottom w:val="0"/>
          <w:divBdr>
            <w:top w:val="none" w:sz="0" w:space="0" w:color="auto"/>
            <w:left w:val="none" w:sz="0" w:space="0" w:color="auto"/>
            <w:bottom w:val="none" w:sz="0" w:space="0" w:color="auto"/>
            <w:right w:val="none" w:sz="0" w:space="0" w:color="auto"/>
          </w:divBdr>
        </w:div>
        <w:div w:id="1117262178">
          <w:marLeft w:val="1134"/>
          <w:marRight w:val="0"/>
          <w:marTop w:val="60"/>
          <w:marBottom w:val="0"/>
          <w:divBdr>
            <w:top w:val="none" w:sz="0" w:space="0" w:color="auto"/>
            <w:left w:val="none" w:sz="0" w:space="0" w:color="auto"/>
            <w:bottom w:val="none" w:sz="0" w:space="0" w:color="auto"/>
            <w:right w:val="none" w:sz="0" w:space="0" w:color="auto"/>
          </w:divBdr>
        </w:div>
        <w:div w:id="1126853764">
          <w:marLeft w:val="0"/>
          <w:marRight w:val="0"/>
          <w:marTop w:val="120"/>
          <w:marBottom w:val="0"/>
          <w:divBdr>
            <w:top w:val="none" w:sz="0" w:space="0" w:color="auto"/>
            <w:left w:val="none" w:sz="0" w:space="0" w:color="auto"/>
            <w:bottom w:val="none" w:sz="0" w:space="0" w:color="auto"/>
            <w:right w:val="none" w:sz="0" w:space="0" w:color="auto"/>
          </w:divBdr>
        </w:div>
        <w:div w:id="1141192040">
          <w:marLeft w:val="1134"/>
          <w:marRight w:val="0"/>
          <w:marTop w:val="60"/>
          <w:marBottom w:val="0"/>
          <w:divBdr>
            <w:top w:val="none" w:sz="0" w:space="0" w:color="auto"/>
            <w:left w:val="none" w:sz="0" w:space="0" w:color="auto"/>
            <w:bottom w:val="none" w:sz="0" w:space="0" w:color="auto"/>
            <w:right w:val="none" w:sz="0" w:space="0" w:color="auto"/>
          </w:divBdr>
        </w:div>
        <w:div w:id="1149785470">
          <w:marLeft w:val="567"/>
          <w:marRight w:val="567"/>
          <w:marTop w:val="20"/>
          <w:marBottom w:val="20"/>
          <w:divBdr>
            <w:top w:val="none" w:sz="0" w:space="0" w:color="auto"/>
            <w:left w:val="none" w:sz="0" w:space="0" w:color="auto"/>
            <w:bottom w:val="none" w:sz="0" w:space="0" w:color="auto"/>
            <w:right w:val="none" w:sz="0" w:space="0" w:color="auto"/>
          </w:divBdr>
        </w:div>
        <w:div w:id="1155532765">
          <w:marLeft w:val="1134"/>
          <w:marRight w:val="0"/>
          <w:marTop w:val="60"/>
          <w:marBottom w:val="0"/>
          <w:divBdr>
            <w:top w:val="none" w:sz="0" w:space="0" w:color="auto"/>
            <w:left w:val="none" w:sz="0" w:space="0" w:color="auto"/>
            <w:bottom w:val="none" w:sz="0" w:space="0" w:color="auto"/>
            <w:right w:val="none" w:sz="0" w:space="0" w:color="auto"/>
          </w:divBdr>
        </w:div>
        <w:div w:id="1187790388">
          <w:marLeft w:val="1134"/>
          <w:marRight w:val="0"/>
          <w:marTop w:val="60"/>
          <w:marBottom w:val="0"/>
          <w:divBdr>
            <w:top w:val="none" w:sz="0" w:space="0" w:color="auto"/>
            <w:left w:val="none" w:sz="0" w:space="0" w:color="auto"/>
            <w:bottom w:val="none" w:sz="0" w:space="0" w:color="auto"/>
            <w:right w:val="none" w:sz="0" w:space="0" w:color="auto"/>
          </w:divBdr>
        </w:div>
        <w:div w:id="1206680471">
          <w:marLeft w:val="567"/>
          <w:marRight w:val="567"/>
          <w:marTop w:val="20"/>
          <w:marBottom w:val="20"/>
          <w:divBdr>
            <w:top w:val="none" w:sz="0" w:space="0" w:color="auto"/>
            <w:left w:val="none" w:sz="0" w:space="0" w:color="auto"/>
            <w:bottom w:val="none" w:sz="0" w:space="0" w:color="auto"/>
            <w:right w:val="none" w:sz="0" w:space="0" w:color="auto"/>
          </w:divBdr>
        </w:div>
        <w:div w:id="1233586072">
          <w:marLeft w:val="0"/>
          <w:marRight w:val="0"/>
          <w:marTop w:val="120"/>
          <w:marBottom w:val="0"/>
          <w:divBdr>
            <w:top w:val="none" w:sz="0" w:space="0" w:color="auto"/>
            <w:left w:val="none" w:sz="0" w:space="0" w:color="auto"/>
            <w:bottom w:val="none" w:sz="0" w:space="0" w:color="auto"/>
            <w:right w:val="none" w:sz="0" w:space="0" w:color="auto"/>
          </w:divBdr>
        </w:div>
        <w:div w:id="1252203484">
          <w:marLeft w:val="1134"/>
          <w:marRight w:val="0"/>
          <w:marTop w:val="60"/>
          <w:marBottom w:val="0"/>
          <w:divBdr>
            <w:top w:val="none" w:sz="0" w:space="0" w:color="auto"/>
            <w:left w:val="none" w:sz="0" w:space="0" w:color="auto"/>
            <w:bottom w:val="none" w:sz="0" w:space="0" w:color="auto"/>
            <w:right w:val="none" w:sz="0" w:space="0" w:color="auto"/>
          </w:divBdr>
        </w:div>
        <w:div w:id="1328946276">
          <w:marLeft w:val="0"/>
          <w:marRight w:val="0"/>
          <w:marTop w:val="240"/>
          <w:marBottom w:val="0"/>
          <w:divBdr>
            <w:top w:val="none" w:sz="0" w:space="0" w:color="auto"/>
            <w:left w:val="none" w:sz="0" w:space="0" w:color="auto"/>
            <w:bottom w:val="none" w:sz="0" w:space="0" w:color="auto"/>
            <w:right w:val="none" w:sz="0" w:space="0" w:color="auto"/>
          </w:divBdr>
        </w:div>
        <w:div w:id="1340964434">
          <w:marLeft w:val="0"/>
          <w:marRight w:val="0"/>
          <w:marTop w:val="120"/>
          <w:marBottom w:val="0"/>
          <w:divBdr>
            <w:top w:val="none" w:sz="0" w:space="0" w:color="auto"/>
            <w:left w:val="none" w:sz="0" w:space="0" w:color="auto"/>
            <w:bottom w:val="none" w:sz="0" w:space="0" w:color="auto"/>
            <w:right w:val="none" w:sz="0" w:space="0" w:color="auto"/>
          </w:divBdr>
        </w:div>
        <w:div w:id="1353412455">
          <w:marLeft w:val="0"/>
          <w:marRight w:val="0"/>
          <w:marTop w:val="120"/>
          <w:marBottom w:val="0"/>
          <w:divBdr>
            <w:top w:val="none" w:sz="0" w:space="0" w:color="auto"/>
            <w:left w:val="none" w:sz="0" w:space="0" w:color="auto"/>
            <w:bottom w:val="none" w:sz="0" w:space="0" w:color="auto"/>
            <w:right w:val="none" w:sz="0" w:space="0" w:color="auto"/>
          </w:divBdr>
        </w:div>
        <w:div w:id="1354182934">
          <w:marLeft w:val="0"/>
          <w:marRight w:val="0"/>
          <w:marTop w:val="60"/>
          <w:marBottom w:val="0"/>
          <w:divBdr>
            <w:top w:val="none" w:sz="0" w:space="0" w:color="auto"/>
            <w:left w:val="none" w:sz="0" w:space="0" w:color="auto"/>
            <w:bottom w:val="none" w:sz="0" w:space="0" w:color="auto"/>
            <w:right w:val="none" w:sz="0" w:space="0" w:color="auto"/>
          </w:divBdr>
        </w:div>
        <w:div w:id="1363938323">
          <w:marLeft w:val="1134"/>
          <w:marRight w:val="0"/>
          <w:marTop w:val="60"/>
          <w:marBottom w:val="0"/>
          <w:divBdr>
            <w:top w:val="none" w:sz="0" w:space="0" w:color="auto"/>
            <w:left w:val="none" w:sz="0" w:space="0" w:color="auto"/>
            <w:bottom w:val="none" w:sz="0" w:space="0" w:color="auto"/>
            <w:right w:val="none" w:sz="0" w:space="0" w:color="auto"/>
          </w:divBdr>
        </w:div>
        <w:div w:id="1395276681">
          <w:marLeft w:val="0"/>
          <w:marRight w:val="0"/>
          <w:marTop w:val="120"/>
          <w:marBottom w:val="0"/>
          <w:divBdr>
            <w:top w:val="none" w:sz="0" w:space="0" w:color="auto"/>
            <w:left w:val="none" w:sz="0" w:space="0" w:color="auto"/>
            <w:bottom w:val="none" w:sz="0" w:space="0" w:color="auto"/>
            <w:right w:val="none" w:sz="0" w:space="0" w:color="auto"/>
          </w:divBdr>
        </w:div>
        <w:div w:id="1428961554">
          <w:marLeft w:val="0"/>
          <w:marRight w:val="0"/>
          <w:marTop w:val="120"/>
          <w:marBottom w:val="0"/>
          <w:divBdr>
            <w:top w:val="none" w:sz="0" w:space="0" w:color="auto"/>
            <w:left w:val="none" w:sz="0" w:space="0" w:color="auto"/>
            <w:bottom w:val="none" w:sz="0" w:space="0" w:color="auto"/>
            <w:right w:val="none" w:sz="0" w:space="0" w:color="auto"/>
          </w:divBdr>
        </w:div>
        <w:div w:id="1435051852">
          <w:marLeft w:val="0"/>
          <w:marRight w:val="0"/>
          <w:marTop w:val="120"/>
          <w:marBottom w:val="0"/>
          <w:divBdr>
            <w:top w:val="none" w:sz="0" w:space="0" w:color="auto"/>
            <w:left w:val="none" w:sz="0" w:space="0" w:color="auto"/>
            <w:bottom w:val="none" w:sz="0" w:space="0" w:color="auto"/>
            <w:right w:val="none" w:sz="0" w:space="0" w:color="auto"/>
          </w:divBdr>
        </w:div>
        <w:div w:id="1446735418">
          <w:marLeft w:val="0"/>
          <w:marRight w:val="0"/>
          <w:marTop w:val="60"/>
          <w:marBottom w:val="0"/>
          <w:divBdr>
            <w:top w:val="none" w:sz="0" w:space="0" w:color="auto"/>
            <w:left w:val="none" w:sz="0" w:space="0" w:color="auto"/>
            <w:bottom w:val="none" w:sz="0" w:space="0" w:color="auto"/>
            <w:right w:val="none" w:sz="0" w:space="0" w:color="auto"/>
          </w:divBdr>
        </w:div>
        <w:div w:id="1452940746">
          <w:marLeft w:val="1134"/>
          <w:marRight w:val="0"/>
          <w:marTop w:val="60"/>
          <w:marBottom w:val="0"/>
          <w:divBdr>
            <w:top w:val="none" w:sz="0" w:space="0" w:color="auto"/>
            <w:left w:val="none" w:sz="0" w:space="0" w:color="auto"/>
            <w:bottom w:val="none" w:sz="0" w:space="0" w:color="auto"/>
            <w:right w:val="none" w:sz="0" w:space="0" w:color="auto"/>
          </w:divBdr>
        </w:div>
        <w:div w:id="1476491082">
          <w:marLeft w:val="0"/>
          <w:marRight w:val="0"/>
          <w:marTop w:val="120"/>
          <w:marBottom w:val="0"/>
          <w:divBdr>
            <w:top w:val="none" w:sz="0" w:space="0" w:color="auto"/>
            <w:left w:val="none" w:sz="0" w:space="0" w:color="auto"/>
            <w:bottom w:val="none" w:sz="0" w:space="0" w:color="auto"/>
            <w:right w:val="none" w:sz="0" w:space="0" w:color="auto"/>
          </w:divBdr>
        </w:div>
        <w:div w:id="1491945873">
          <w:marLeft w:val="0"/>
          <w:marRight w:val="0"/>
          <w:marTop w:val="120"/>
          <w:marBottom w:val="0"/>
          <w:divBdr>
            <w:top w:val="none" w:sz="0" w:space="0" w:color="auto"/>
            <w:left w:val="none" w:sz="0" w:space="0" w:color="auto"/>
            <w:bottom w:val="none" w:sz="0" w:space="0" w:color="auto"/>
            <w:right w:val="none" w:sz="0" w:space="0" w:color="auto"/>
          </w:divBdr>
        </w:div>
        <w:div w:id="1492983279">
          <w:marLeft w:val="1985"/>
          <w:marRight w:val="0"/>
          <w:marTop w:val="60"/>
          <w:marBottom w:val="0"/>
          <w:divBdr>
            <w:top w:val="none" w:sz="0" w:space="0" w:color="auto"/>
            <w:left w:val="none" w:sz="0" w:space="0" w:color="auto"/>
            <w:bottom w:val="none" w:sz="0" w:space="0" w:color="auto"/>
            <w:right w:val="none" w:sz="0" w:space="0" w:color="auto"/>
          </w:divBdr>
        </w:div>
        <w:div w:id="1538274931">
          <w:marLeft w:val="0"/>
          <w:marRight w:val="0"/>
          <w:marTop w:val="120"/>
          <w:marBottom w:val="0"/>
          <w:divBdr>
            <w:top w:val="none" w:sz="0" w:space="0" w:color="auto"/>
            <w:left w:val="none" w:sz="0" w:space="0" w:color="auto"/>
            <w:bottom w:val="none" w:sz="0" w:space="0" w:color="auto"/>
            <w:right w:val="none" w:sz="0" w:space="0" w:color="auto"/>
          </w:divBdr>
        </w:div>
        <w:div w:id="1565532547">
          <w:marLeft w:val="1134"/>
          <w:marRight w:val="0"/>
          <w:marTop w:val="60"/>
          <w:marBottom w:val="0"/>
          <w:divBdr>
            <w:top w:val="none" w:sz="0" w:space="0" w:color="auto"/>
            <w:left w:val="none" w:sz="0" w:space="0" w:color="auto"/>
            <w:bottom w:val="none" w:sz="0" w:space="0" w:color="auto"/>
            <w:right w:val="none" w:sz="0" w:space="0" w:color="auto"/>
          </w:divBdr>
        </w:div>
        <w:div w:id="1570728479">
          <w:marLeft w:val="0"/>
          <w:marRight w:val="0"/>
          <w:marTop w:val="60"/>
          <w:marBottom w:val="0"/>
          <w:divBdr>
            <w:top w:val="none" w:sz="0" w:space="0" w:color="auto"/>
            <w:left w:val="none" w:sz="0" w:space="0" w:color="auto"/>
            <w:bottom w:val="none" w:sz="0" w:space="0" w:color="auto"/>
            <w:right w:val="none" w:sz="0" w:space="0" w:color="auto"/>
          </w:divBdr>
        </w:div>
        <w:div w:id="1607225322">
          <w:marLeft w:val="1134"/>
          <w:marRight w:val="0"/>
          <w:marTop w:val="60"/>
          <w:marBottom w:val="0"/>
          <w:divBdr>
            <w:top w:val="none" w:sz="0" w:space="0" w:color="auto"/>
            <w:left w:val="none" w:sz="0" w:space="0" w:color="auto"/>
            <w:bottom w:val="none" w:sz="0" w:space="0" w:color="auto"/>
            <w:right w:val="none" w:sz="0" w:space="0" w:color="auto"/>
          </w:divBdr>
        </w:div>
        <w:div w:id="1644891583">
          <w:marLeft w:val="1134"/>
          <w:marRight w:val="0"/>
          <w:marTop w:val="60"/>
          <w:marBottom w:val="0"/>
          <w:divBdr>
            <w:top w:val="none" w:sz="0" w:space="0" w:color="auto"/>
            <w:left w:val="none" w:sz="0" w:space="0" w:color="auto"/>
            <w:bottom w:val="none" w:sz="0" w:space="0" w:color="auto"/>
            <w:right w:val="none" w:sz="0" w:space="0" w:color="auto"/>
          </w:divBdr>
        </w:div>
        <w:div w:id="1689411086">
          <w:marLeft w:val="0"/>
          <w:marRight w:val="0"/>
          <w:marTop w:val="120"/>
          <w:marBottom w:val="0"/>
          <w:divBdr>
            <w:top w:val="none" w:sz="0" w:space="0" w:color="auto"/>
            <w:left w:val="none" w:sz="0" w:space="0" w:color="auto"/>
            <w:bottom w:val="none" w:sz="0" w:space="0" w:color="auto"/>
            <w:right w:val="none" w:sz="0" w:space="0" w:color="auto"/>
          </w:divBdr>
        </w:div>
        <w:div w:id="1734306236">
          <w:marLeft w:val="1134"/>
          <w:marRight w:val="0"/>
          <w:marTop w:val="60"/>
          <w:marBottom w:val="0"/>
          <w:divBdr>
            <w:top w:val="none" w:sz="0" w:space="0" w:color="auto"/>
            <w:left w:val="none" w:sz="0" w:space="0" w:color="auto"/>
            <w:bottom w:val="none" w:sz="0" w:space="0" w:color="auto"/>
            <w:right w:val="none" w:sz="0" w:space="0" w:color="auto"/>
          </w:divBdr>
        </w:div>
        <w:div w:id="1806580695">
          <w:marLeft w:val="0"/>
          <w:marRight w:val="0"/>
          <w:marTop w:val="120"/>
          <w:marBottom w:val="0"/>
          <w:divBdr>
            <w:top w:val="none" w:sz="0" w:space="0" w:color="auto"/>
            <w:left w:val="none" w:sz="0" w:space="0" w:color="auto"/>
            <w:bottom w:val="none" w:sz="0" w:space="0" w:color="auto"/>
            <w:right w:val="none" w:sz="0" w:space="0" w:color="auto"/>
          </w:divBdr>
        </w:div>
        <w:div w:id="1807503348">
          <w:marLeft w:val="1134"/>
          <w:marRight w:val="0"/>
          <w:marTop w:val="60"/>
          <w:marBottom w:val="0"/>
          <w:divBdr>
            <w:top w:val="none" w:sz="0" w:space="0" w:color="auto"/>
            <w:left w:val="none" w:sz="0" w:space="0" w:color="auto"/>
            <w:bottom w:val="none" w:sz="0" w:space="0" w:color="auto"/>
            <w:right w:val="none" w:sz="0" w:space="0" w:color="auto"/>
          </w:divBdr>
        </w:div>
        <w:div w:id="1809669076">
          <w:marLeft w:val="1134"/>
          <w:marRight w:val="0"/>
          <w:marTop w:val="60"/>
          <w:marBottom w:val="0"/>
          <w:divBdr>
            <w:top w:val="none" w:sz="0" w:space="0" w:color="auto"/>
            <w:left w:val="none" w:sz="0" w:space="0" w:color="auto"/>
            <w:bottom w:val="none" w:sz="0" w:space="0" w:color="auto"/>
            <w:right w:val="none" w:sz="0" w:space="0" w:color="auto"/>
          </w:divBdr>
        </w:div>
        <w:div w:id="1819960762">
          <w:marLeft w:val="0"/>
          <w:marRight w:val="0"/>
          <w:marTop w:val="120"/>
          <w:marBottom w:val="0"/>
          <w:divBdr>
            <w:top w:val="none" w:sz="0" w:space="0" w:color="auto"/>
            <w:left w:val="none" w:sz="0" w:space="0" w:color="auto"/>
            <w:bottom w:val="none" w:sz="0" w:space="0" w:color="auto"/>
            <w:right w:val="none" w:sz="0" w:space="0" w:color="auto"/>
          </w:divBdr>
        </w:div>
        <w:div w:id="1834175900">
          <w:marLeft w:val="1134"/>
          <w:marRight w:val="0"/>
          <w:marTop w:val="60"/>
          <w:marBottom w:val="0"/>
          <w:divBdr>
            <w:top w:val="none" w:sz="0" w:space="0" w:color="auto"/>
            <w:left w:val="none" w:sz="0" w:space="0" w:color="auto"/>
            <w:bottom w:val="none" w:sz="0" w:space="0" w:color="auto"/>
            <w:right w:val="none" w:sz="0" w:space="0" w:color="auto"/>
          </w:divBdr>
        </w:div>
        <w:div w:id="1872457251">
          <w:marLeft w:val="0"/>
          <w:marRight w:val="0"/>
          <w:marTop w:val="240"/>
          <w:marBottom w:val="0"/>
          <w:divBdr>
            <w:top w:val="none" w:sz="0" w:space="0" w:color="auto"/>
            <w:left w:val="none" w:sz="0" w:space="0" w:color="auto"/>
            <w:bottom w:val="none" w:sz="0" w:space="0" w:color="auto"/>
            <w:right w:val="none" w:sz="0" w:space="0" w:color="auto"/>
          </w:divBdr>
        </w:div>
        <w:div w:id="1917591567">
          <w:marLeft w:val="0"/>
          <w:marRight w:val="0"/>
          <w:marTop w:val="240"/>
          <w:marBottom w:val="0"/>
          <w:divBdr>
            <w:top w:val="none" w:sz="0" w:space="0" w:color="auto"/>
            <w:left w:val="none" w:sz="0" w:space="0" w:color="auto"/>
            <w:bottom w:val="none" w:sz="0" w:space="0" w:color="auto"/>
            <w:right w:val="none" w:sz="0" w:space="0" w:color="auto"/>
          </w:divBdr>
        </w:div>
        <w:div w:id="1939287626">
          <w:marLeft w:val="0"/>
          <w:marRight w:val="0"/>
          <w:marTop w:val="120"/>
          <w:marBottom w:val="0"/>
          <w:divBdr>
            <w:top w:val="none" w:sz="0" w:space="0" w:color="auto"/>
            <w:left w:val="none" w:sz="0" w:space="0" w:color="auto"/>
            <w:bottom w:val="none" w:sz="0" w:space="0" w:color="auto"/>
            <w:right w:val="none" w:sz="0" w:space="0" w:color="auto"/>
          </w:divBdr>
        </w:div>
        <w:div w:id="1961103669">
          <w:marLeft w:val="1134"/>
          <w:marRight w:val="0"/>
          <w:marTop w:val="60"/>
          <w:marBottom w:val="0"/>
          <w:divBdr>
            <w:top w:val="none" w:sz="0" w:space="0" w:color="auto"/>
            <w:left w:val="none" w:sz="0" w:space="0" w:color="auto"/>
            <w:bottom w:val="none" w:sz="0" w:space="0" w:color="auto"/>
            <w:right w:val="none" w:sz="0" w:space="0" w:color="auto"/>
          </w:divBdr>
        </w:div>
        <w:div w:id="1974628301">
          <w:marLeft w:val="1134"/>
          <w:marRight w:val="0"/>
          <w:marTop w:val="60"/>
          <w:marBottom w:val="0"/>
          <w:divBdr>
            <w:top w:val="none" w:sz="0" w:space="0" w:color="auto"/>
            <w:left w:val="none" w:sz="0" w:space="0" w:color="auto"/>
            <w:bottom w:val="none" w:sz="0" w:space="0" w:color="auto"/>
            <w:right w:val="none" w:sz="0" w:space="0" w:color="auto"/>
          </w:divBdr>
        </w:div>
        <w:div w:id="1999728683">
          <w:marLeft w:val="1134"/>
          <w:marRight w:val="0"/>
          <w:marTop w:val="60"/>
          <w:marBottom w:val="0"/>
          <w:divBdr>
            <w:top w:val="none" w:sz="0" w:space="0" w:color="auto"/>
            <w:left w:val="none" w:sz="0" w:space="0" w:color="auto"/>
            <w:bottom w:val="none" w:sz="0" w:space="0" w:color="auto"/>
            <w:right w:val="none" w:sz="0" w:space="0" w:color="auto"/>
          </w:divBdr>
        </w:div>
        <w:div w:id="2043289007">
          <w:marLeft w:val="0"/>
          <w:marRight w:val="0"/>
          <w:marTop w:val="60"/>
          <w:marBottom w:val="0"/>
          <w:divBdr>
            <w:top w:val="none" w:sz="0" w:space="0" w:color="auto"/>
            <w:left w:val="none" w:sz="0" w:space="0" w:color="auto"/>
            <w:bottom w:val="none" w:sz="0" w:space="0" w:color="auto"/>
            <w:right w:val="none" w:sz="0" w:space="0" w:color="auto"/>
          </w:divBdr>
        </w:div>
        <w:div w:id="2101487041">
          <w:marLeft w:val="1985"/>
          <w:marRight w:val="0"/>
          <w:marTop w:val="60"/>
          <w:marBottom w:val="0"/>
          <w:divBdr>
            <w:top w:val="none" w:sz="0" w:space="0" w:color="auto"/>
            <w:left w:val="none" w:sz="0" w:space="0" w:color="auto"/>
            <w:bottom w:val="none" w:sz="0" w:space="0" w:color="auto"/>
            <w:right w:val="none" w:sz="0" w:space="0" w:color="auto"/>
          </w:divBdr>
        </w:div>
        <w:div w:id="2106727896">
          <w:marLeft w:val="0"/>
          <w:marRight w:val="0"/>
          <w:marTop w:val="60"/>
          <w:marBottom w:val="0"/>
          <w:divBdr>
            <w:top w:val="none" w:sz="0" w:space="0" w:color="auto"/>
            <w:left w:val="none" w:sz="0" w:space="0" w:color="auto"/>
            <w:bottom w:val="none" w:sz="0" w:space="0" w:color="auto"/>
            <w:right w:val="none" w:sz="0" w:space="0" w:color="auto"/>
          </w:divBdr>
        </w:div>
        <w:div w:id="2130128114">
          <w:marLeft w:val="1134"/>
          <w:marRight w:val="0"/>
          <w:marTop w:val="60"/>
          <w:marBottom w:val="0"/>
          <w:divBdr>
            <w:top w:val="none" w:sz="0" w:space="0" w:color="auto"/>
            <w:left w:val="none" w:sz="0" w:space="0" w:color="auto"/>
            <w:bottom w:val="none" w:sz="0" w:space="0" w:color="auto"/>
            <w:right w:val="none" w:sz="0" w:space="0" w:color="auto"/>
          </w:divBdr>
        </w:div>
      </w:divsChild>
    </w:div>
    <w:div w:id="1098333959">
      <w:bodyDiv w:val="1"/>
      <w:marLeft w:val="0"/>
      <w:marRight w:val="0"/>
      <w:marTop w:val="0"/>
      <w:marBottom w:val="0"/>
      <w:divBdr>
        <w:top w:val="none" w:sz="0" w:space="0" w:color="auto"/>
        <w:left w:val="none" w:sz="0" w:space="0" w:color="auto"/>
        <w:bottom w:val="none" w:sz="0" w:space="0" w:color="auto"/>
        <w:right w:val="none" w:sz="0" w:space="0" w:color="auto"/>
      </w:divBdr>
      <w:divsChild>
        <w:div w:id="6493494">
          <w:marLeft w:val="0"/>
          <w:marRight w:val="0"/>
          <w:marTop w:val="240"/>
          <w:marBottom w:val="0"/>
          <w:divBdr>
            <w:top w:val="none" w:sz="0" w:space="0" w:color="auto"/>
            <w:left w:val="none" w:sz="0" w:space="0" w:color="auto"/>
            <w:bottom w:val="none" w:sz="0" w:space="0" w:color="auto"/>
            <w:right w:val="none" w:sz="0" w:space="0" w:color="auto"/>
          </w:divBdr>
        </w:div>
        <w:div w:id="964699602">
          <w:marLeft w:val="0"/>
          <w:marRight w:val="0"/>
          <w:marTop w:val="120"/>
          <w:marBottom w:val="0"/>
          <w:divBdr>
            <w:top w:val="none" w:sz="0" w:space="0" w:color="auto"/>
            <w:left w:val="none" w:sz="0" w:space="0" w:color="auto"/>
            <w:bottom w:val="none" w:sz="0" w:space="0" w:color="auto"/>
            <w:right w:val="none" w:sz="0" w:space="0" w:color="auto"/>
          </w:divBdr>
        </w:div>
        <w:div w:id="1100881064">
          <w:marLeft w:val="0"/>
          <w:marRight w:val="0"/>
          <w:marTop w:val="120"/>
          <w:marBottom w:val="0"/>
          <w:divBdr>
            <w:top w:val="none" w:sz="0" w:space="0" w:color="auto"/>
            <w:left w:val="none" w:sz="0" w:space="0" w:color="auto"/>
            <w:bottom w:val="none" w:sz="0" w:space="0" w:color="auto"/>
            <w:right w:val="none" w:sz="0" w:space="0" w:color="auto"/>
          </w:divBdr>
        </w:div>
        <w:div w:id="1902598726">
          <w:marLeft w:val="0"/>
          <w:marRight w:val="0"/>
          <w:marTop w:val="120"/>
          <w:marBottom w:val="0"/>
          <w:divBdr>
            <w:top w:val="none" w:sz="0" w:space="0" w:color="auto"/>
            <w:left w:val="none" w:sz="0" w:space="0" w:color="auto"/>
            <w:bottom w:val="none" w:sz="0" w:space="0" w:color="auto"/>
            <w:right w:val="none" w:sz="0" w:space="0" w:color="auto"/>
          </w:divBdr>
        </w:div>
        <w:div w:id="2022079558">
          <w:marLeft w:val="567"/>
          <w:marRight w:val="567"/>
          <w:marTop w:val="20"/>
          <w:marBottom w:val="20"/>
          <w:divBdr>
            <w:top w:val="none" w:sz="0" w:space="0" w:color="auto"/>
            <w:left w:val="none" w:sz="0" w:space="0" w:color="auto"/>
            <w:bottom w:val="none" w:sz="0" w:space="0" w:color="auto"/>
            <w:right w:val="none" w:sz="0" w:space="0" w:color="auto"/>
          </w:divBdr>
        </w:div>
      </w:divsChild>
    </w:div>
    <w:div w:id="164882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485">
          <w:marLeft w:val="1134"/>
          <w:marRight w:val="0"/>
          <w:marTop w:val="60"/>
          <w:marBottom w:val="0"/>
          <w:divBdr>
            <w:top w:val="none" w:sz="0" w:space="0" w:color="auto"/>
            <w:left w:val="none" w:sz="0" w:space="0" w:color="auto"/>
            <w:bottom w:val="none" w:sz="0" w:space="0" w:color="auto"/>
            <w:right w:val="none" w:sz="0" w:space="0" w:color="auto"/>
          </w:divBdr>
        </w:div>
        <w:div w:id="43599399">
          <w:marLeft w:val="1134"/>
          <w:marRight w:val="0"/>
          <w:marTop w:val="60"/>
          <w:marBottom w:val="0"/>
          <w:divBdr>
            <w:top w:val="none" w:sz="0" w:space="0" w:color="auto"/>
            <w:left w:val="none" w:sz="0" w:space="0" w:color="auto"/>
            <w:bottom w:val="none" w:sz="0" w:space="0" w:color="auto"/>
            <w:right w:val="none" w:sz="0" w:space="0" w:color="auto"/>
          </w:divBdr>
        </w:div>
        <w:div w:id="63335411">
          <w:marLeft w:val="1134"/>
          <w:marRight w:val="0"/>
          <w:marTop w:val="60"/>
          <w:marBottom w:val="0"/>
          <w:divBdr>
            <w:top w:val="none" w:sz="0" w:space="0" w:color="auto"/>
            <w:left w:val="none" w:sz="0" w:space="0" w:color="auto"/>
            <w:bottom w:val="none" w:sz="0" w:space="0" w:color="auto"/>
            <w:right w:val="none" w:sz="0" w:space="0" w:color="auto"/>
          </w:divBdr>
        </w:div>
        <w:div w:id="65078519">
          <w:marLeft w:val="1134"/>
          <w:marRight w:val="0"/>
          <w:marTop w:val="60"/>
          <w:marBottom w:val="0"/>
          <w:divBdr>
            <w:top w:val="none" w:sz="0" w:space="0" w:color="auto"/>
            <w:left w:val="none" w:sz="0" w:space="0" w:color="auto"/>
            <w:bottom w:val="none" w:sz="0" w:space="0" w:color="auto"/>
            <w:right w:val="none" w:sz="0" w:space="0" w:color="auto"/>
          </w:divBdr>
        </w:div>
        <w:div w:id="149374883">
          <w:marLeft w:val="0"/>
          <w:marRight w:val="0"/>
          <w:marTop w:val="240"/>
          <w:marBottom w:val="0"/>
          <w:divBdr>
            <w:top w:val="none" w:sz="0" w:space="0" w:color="auto"/>
            <w:left w:val="none" w:sz="0" w:space="0" w:color="auto"/>
            <w:bottom w:val="none" w:sz="0" w:space="0" w:color="auto"/>
            <w:right w:val="none" w:sz="0" w:space="0" w:color="auto"/>
          </w:divBdr>
        </w:div>
        <w:div w:id="153688320">
          <w:marLeft w:val="0"/>
          <w:marRight w:val="0"/>
          <w:marTop w:val="60"/>
          <w:marBottom w:val="0"/>
          <w:divBdr>
            <w:top w:val="none" w:sz="0" w:space="0" w:color="auto"/>
            <w:left w:val="none" w:sz="0" w:space="0" w:color="auto"/>
            <w:bottom w:val="none" w:sz="0" w:space="0" w:color="auto"/>
            <w:right w:val="none" w:sz="0" w:space="0" w:color="auto"/>
          </w:divBdr>
        </w:div>
        <w:div w:id="187722397">
          <w:marLeft w:val="0"/>
          <w:marRight w:val="0"/>
          <w:marTop w:val="120"/>
          <w:marBottom w:val="0"/>
          <w:divBdr>
            <w:top w:val="none" w:sz="0" w:space="0" w:color="auto"/>
            <w:left w:val="none" w:sz="0" w:space="0" w:color="auto"/>
            <w:bottom w:val="none" w:sz="0" w:space="0" w:color="auto"/>
            <w:right w:val="none" w:sz="0" w:space="0" w:color="auto"/>
          </w:divBdr>
        </w:div>
        <w:div w:id="276452268">
          <w:marLeft w:val="1134"/>
          <w:marRight w:val="0"/>
          <w:marTop w:val="60"/>
          <w:marBottom w:val="0"/>
          <w:divBdr>
            <w:top w:val="none" w:sz="0" w:space="0" w:color="auto"/>
            <w:left w:val="none" w:sz="0" w:space="0" w:color="auto"/>
            <w:bottom w:val="none" w:sz="0" w:space="0" w:color="auto"/>
            <w:right w:val="none" w:sz="0" w:space="0" w:color="auto"/>
          </w:divBdr>
        </w:div>
        <w:div w:id="280187487">
          <w:marLeft w:val="0"/>
          <w:marRight w:val="0"/>
          <w:marTop w:val="120"/>
          <w:marBottom w:val="0"/>
          <w:divBdr>
            <w:top w:val="none" w:sz="0" w:space="0" w:color="auto"/>
            <w:left w:val="none" w:sz="0" w:space="0" w:color="auto"/>
            <w:bottom w:val="none" w:sz="0" w:space="0" w:color="auto"/>
            <w:right w:val="none" w:sz="0" w:space="0" w:color="auto"/>
          </w:divBdr>
        </w:div>
        <w:div w:id="289407858">
          <w:marLeft w:val="0"/>
          <w:marRight w:val="0"/>
          <w:marTop w:val="120"/>
          <w:marBottom w:val="0"/>
          <w:divBdr>
            <w:top w:val="none" w:sz="0" w:space="0" w:color="auto"/>
            <w:left w:val="none" w:sz="0" w:space="0" w:color="auto"/>
            <w:bottom w:val="none" w:sz="0" w:space="0" w:color="auto"/>
            <w:right w:val="none" w:sz="0" w:space="0" w:color="auto"/>
          </w:divBdr>
        </w:div>
        <w:div w:id="386294900">
          <w:marLeft w:val="0"/>
          <w:marRight w:val="0"/>
          <w:marTop w:val="60"/>
          <w:marBottom w:val="0"/>
          <w:divBdr>
            <w:top w:val="none" w:sz="0" w:space="0" w:color="auto"/>
            <w:left w:val="none" w:sz="0" w:space="0" w:color="auto"/>
            <w:bottom w:val="none" w:sz="0" w:space="0" w:color="auto"/>
            <w:right w:val="none" w:sz="0" w:space="0" w:color="auto"/>
          </w:divBdr>
        </w:div>
        <w:div w:id="462894610">
          <w:marLeft w:val="1134"/>
          <w:marRight w:val="0"/>
          <w:marTop w:val="60"/>
          <w:marBottom w:val="0"/>
          <w:divBdr>
            <w:top w:val="none" w:sz="0" w:space="0" w:color="auto"/>
            <w:left w:val="none" w:sz="0" w:space="0" w:color="auto"/>
            <w:bottom w:val="none" w:sz="0" w:space="0" w:color="auto"/>
            <w:right w:val="none" w:sz="0" w:space="0" w:color="auto"/>
          </w:divBdr>
        </w:div>
        <w:div w:id="474488653">
          <w:marLeft w:val="1134"/>
          <w:marRight w:val="0"/>
          <w:marTop w:val="60"/>
          <w:marBottom w:val="0"/>
          <w:divBdr>
            <w:top w:val="none" w:sz="0" w:space="0" w:color="auto"/>
            <w:left w:val="none" w:sz="0" w:space="0" w:color="auto"/>
            <w:bottom w:val="none" w:sz="0" w:space="0" w:color="auto"/>
            <w:right w:val="none" w:sz="0" w:space="0" w:color="auto"/>
          </w:divBdr>
        </w:div>
        <w:div w:id="479226717">
          <w:marLeft w:val="0"/>
          <w:marRight w:val="0"/>
          <w:marTop w:val="120"/>
          <w:marBottom w:val="0"/>
          <w:divBdr>
            <w:top w:val="none" w:sz="0" w:space="0" w:color="auto"/>
            <w:left w:val="none" w:sz="0" w:space="0" w:color="auto"/>
            <w:bottom w:val="none" w:sz="0" w:space="0" w:color="auto"/>
            <w:right w:val="none" w:sz="0" w:space="0" w:color="auto"/>
          </w:divBdr>
        </w:div>
        <w:div w:id="606892865">
          <w:marLeft w:val="0"/>
          <w:marRight w:val="0"/>
          <w:marTop w:val="120"/>
          <w:marBottom w:val="0"/>
          <w:divBdr>
            <w:top w:val="none" w:sz="0" w:space="0" w:color="auto"/>
            <w:left w:val="none" w:sz="0" w:space="0" w:color="auto"/>
            <w:bottom w:val="none" w:sz="0" w:space="0" w:color="auto"/>
            <w:right w:val="none" w:sz="0" w:space="0" w:color="auto"/>
          </w:divBdr>
        </w:div>
        <w:div w:id="626157354">
          <w:marLeft w:val="1134"/>
          <w:marRight w:val="0"/>
          <w:marTop w:val="60"/>
          <w:marBottom w:val="0"/>
          <w:divBdr>
            <w:top w:val="none" w:sz="0" w:space="0" w:color="auto"/>
            <w:left w:val="none" w:sz="0" w:space="0" w:color="auto"/>
            <w:bottom w:val="none" w:sz="0" w:space="0" w:color="auto"/>
            <w:right w:val="none" w:sz="0" w:space="0" w:color="auto"/>
          </w:divBdr>
        </w:div>
        <w:div w:id="656498750">
          <w:marLeft w:val="0"/>
          <w:marRight w:val="0"/>
          <w:marTop w:val="60"/>
          <w:marBottom w:val="0"/>
          <w:divBdr>
            <w:top w:val="none" w:sz="0" w:space="0" w:color="auto"/>
            <w:left w:val="none" w:sz="0" w:space="0" w:color="auto"/>
            <w:bottom w:val="none" w:sz="0" w:space="0" w:color="auto"/>
            <w:right w:val="none" w:sz="0" w:space="0" w:color="auto"/>
          </w:divBdr>
        </w:div>
        <w:div w:id="666127800">
          <w:marLeft w:val="1134"/>
          <w:marRight w:val="0"/>
          <w:marTop w:val="60"/>
          <w:marBottom w:val="0"/>
          <w:divBdr>
            <w:top w:val="none" w:sz="0" w:space="0" w:color="auto"/>
            <w:left w:val="none" w:sz="0" w:space="0" w:color="auto"/>
            <w:bottom w:val="none" w:sz="0" w:space="0" w:color="auto"/>
            <w:right w:val="none" w:sz="0" w:space="0" w:color="auto"/>
          </w:divBdr>
        </w:div>
        <w:div w:id="685716516">
          <w:marLeft w:val="0"/>
          <w:marRight w:val="0"/>
          <w:marTop w:val="60"/>
          <w:marBottom w:val="0"/>
          <w:divBdr>
            <w:top w:val="none" w:sz="0" w:space="0" w:color="auto"/>
            <w:left w:val="none" w:sz="0" w:space="0" w:color="auto"/>
            <w:bottom w:val="none" w:sz="0" w:space="0" w:color="auto"/>
            <w:right w:val="none" w:sz="0" w:space="0" w:color="auto"/>
          </w:divBdr>
        </w:div>
        <w:div w:id="690301426">
          <w:marLeft w:val="0"/>
          <w:marRight w:val="0"/>
          <w:marTop w:val="120"/>
          <w:marBottom w:val="0"/>
          <w:divBdr>
            <w:top w:val="none" w:sz="0" w:space="0" w:color="auto"/>
            <w:left w:val="none" w:sz="0" w:space="0" w:color="auto"/>
            <w:bottom w:val="none" w:sz="0" w:space="0" w:color="auto"/>
            <w:right w:val="none" w:sz="0" w:space="0" w:color="auto"/>
          </w:divBdr>
        </w:div>
        <w:div w:id="701056518">
          <w:marLeft w:val="0"/>
          <w:marRight w:val="0"/>
          <w:marTop w:val="240"/>
          <w:marBottom w:val="0"/>
          <w:divBdr>
            <w:top w:val="none" w:sz="0" w:space="0" w:color="auto"/>
            <w:left w:val="none" w:sz="0" w:space="0" w:color="auto"/>
            <w:bottom w:val="none" w:sz="0" w:space="0" w:color="auto"/>
            <w:right w:val="none" w:sz="0" w:space="0" w:color="auto"/>
          </w:divBdr>
        </w:div>
        <w:div w:id="705256674">
          <w:marLeft w:val="0"/>
          <w:marRight w:val="0"/>
          <w:marTop w:val="120"/>
          <w:marBottom w:val="0"/>
          <w:divBdr>
            <w:top w:val="none" w:sz="0" w:space="0" w:color="auto"/>
            <w:left w:val="none" w:sz="0" w:space="0" w:color="auto"/>
            <w:bottom w:val="none" w:sz="0" w:space="0" w:color="auto"/>
            <w:right w:val="none" w:sz="0" w:space="0" w:color="auto"/>
          </w:divBdr>
        </w:div>
        <w:div w:id="710880045">
          <w:marLeft w:val="0"/>
          <w:marRight w:val="0"/>
          <w:marTop w:val="120"/>
          <w:marBottom w:val="0"/>
          <w:divBdr>
            <w:top w:val="none" w:sz="0" w:space="0" w:color="auto"/>
            <w:left w:val="none" w:sz="0" w:space="0" w:color="auto"/>
            <w:bottom w:val="none" w:sz="0" w:space="0" w:color="auto"/>
            <w:right w:val="none" w:sz="0" w:space="0" w:color="auto"/>
          </w:divBdr>
        </w:div>
        <w:div w:id="732390921">
          <w:marLeft w:val="1134"/>
          <w:marRight w:val="0"/>
          <w:marTop w:val="60"/>
          <w:marBottom w:val="0"/>
          <w:divBdr>
            <w:top w:val="none" w:sz="0" w:space="0" w:color="auto"/>
            <w:left w:val="none" w:sz="0" w:space="0" w:color="auto"/>
            <w:bottom w:val="none" w:sz="0" w:space="0" w:color="auto"/>
            <w:right w:val="none" w:sz="0" w:space="0" w:color="auto"/>
          </w:divBdr>
        </w:div>
        <w:div w:id="750543734">
          <w:marLeft w:val="1985"/>
          <w:marRight w:val="0"/>
          <w:marTop w:val="60"/>
          <w:marBottom w:val="0"/>
          <w:divBdr>
            <w:top w:val="none" w:sz="0" w:space="0" w:color="auto"/>
            <w:left w:val="none" w:sz="0" w:space="0" w:color="auto"/>
            <w:bottom w:val="none" w:sz="0" w:space="0" w:color="auto"/>
            <w:right w:val="none" w:sz="0" w:space="0" w:color="auto"/>
          </w:divBdr>
        </w:div>
        <w:div w:id="779032489">
          <w:marLeft w:val="0"/>
          <w:marRight w:val="0"/>
          <w:marTop w:val="120"/>
          <w:marBottom w:val="0"/>
          <w:divBdr>
            <w:top w:val="none" w:sz="0" w:space="0" w:color="auto"/>
            <w:left w:val="none" w:sz="0" w:space="0" w:color="auto"/>
            <w:bottom w:val="none" w:sz="0" w:space="0" w:color="auto"/>
            <w:right w:val="none" w:sz="0" w:space="0" w:color="auto"/>
          </w:divBdr>
        </w:div>
        <w:div w:id="784815864">
          <w:marLeft w:val="567"/>
          <w:marRight w:val="567"/>
          <w:marTop w:val="20"/>
          <w:marBottom w:val="20"/>
          <w:divBdr>
            <w:top w:val="none" w:sz="0" w:space="0" w:color="auto"/>
            <w:left w:val="none" w:sz="0" w:space="0" w:color="auto"/>
            <w:bottom w:val="none" w:sz="0" w:space="0" w:color="auto"/>
            <w:right w:val="none" w:sz="0" w:space="0" w:color="auto"/>
          </w:divBdr>
        </w:div>
        <w:div w:id="790325464">
          <w:marLeft w:val="0"/>
          <w:marRight w:val="0"/>
          <w:marTop w:val="120"/>
          <w:marBottom w:val="0"/>
          <w:divBdr>
            <w:top w:val="none" w:sz="0" w:space="0" w:color="auto"/>
            <w:left w:val="none" w:sz="0" w:space="0" w:color="auto"/>
            <w:bottom w:val="none" w:sz="0" w:space="0" w:color="auto"/>
            <w:right w:val="none" w:sz="0" w:space="0" w:color="auto"/>
          </w:divBdr>
        </w:div>
        <w:div w:id="838731737">
          <w:marLeft w:val="0"/>
          <w:marRight w:val="0"/>
          <w:marTop w:val="120"/>
          <w:marBottom w:val="0"/>
          <w:divBdr>
            <w:top w:val="none" w:sz="0" w:space="0" w:color="auto"/>
            <w:left w:val="none" w:sz="0" w:space="0" w:color="auto"/>
            <w:bottom w:val="none" w:sz="0" w:space="0" w:color="auto"/>
            <w:right w:val="none" w:sz="0" w:space="0" w:color="auto"/>
          </w:divBdr>
        </w:div>
        <w:div w:id="875657182">
          <w:marLeft w:val="0"/>
          <w:marRight w:val="0"/>
          <w:marTop w:val="60"/>
          <w:marBottom w:val="0"/>
          <w:divBdr>
            <w:top w:val="none" w:sz="0" w:space="0" w:color="auto"/>
            <w:left w:val="none" w:sz="0" w:space="0" w:color="auto"/>
            <w:bottom w:val="none" w:sz="0" w:space="0" w:color="auto"/>
            <w:right w:val="none" w:sz="0" w:space="0" w:color="auto"/>
          </w:divBdr>
        </w:div>
        <w:div w:id="898521060">
          <w:marLeft w:val="1134"/>
          <w:marRight w:val="0"/>
          <w:marTop w:val="60"/>
          <w:marBottom w:val="0"/>
          <w:divBdr>
            <w:top w:val="none" w:sz="0" w:space="0" w:color="auto"/>
            <w:left w:val="none" w:sz="0" w:space="0" w:color="auto"/>
            <w:bottom w:val="none" w:sz="0" w:space="0" w:color="auto"/>
            <w:right w:val="none" w:sz="0" w:space="0" w:color="auto"/>
          </w:divBdr>
        </w:div>
        <w:div w:id="911239039">
          <w:marLeft w:val="0"/>
          <w:marRight w:val="0"/>
          <w:marTop w:val="240"/>
          <w:marBottom w:val="0"/>
          <w:divBdr>
            <w:top w:val="none" w:sz="0" w:space="0" w:color="auto"/>
            <w:left w:val="none" w:sz="0" w:space="0" w:color="auto"/>
            <w:bottom w:val="none" w:sz="0" w:space="0" w:color="auto"/>
            <w:right w:val="none" w:sz="0" w:space="0" w:color="auto"/>
          </w:divBdr>
        </w:div>
        <w:div w:id="929387242">
          <w:marLeft w:val="1134"/>
          <w:marRight w:val="0"/>
          <w:marTop w:val="60"/>
          <w:marBottom w:val="0"/>
          <w:divBdr>
            <w:top w:val="none" w:sz="0" w:space="0" w:color="auto"/>
            <w:left w:val="none" w:sz="0" w:space="0" w:color="auto"/>
            <w:bottom w:val="none" w:sz="0" w:space="0" w:color="auto"/>
            <w:right w:val="none" w:sz="0" w:space="0" w:color="auto"/>
          </w:divBdr>
        </w:div>
        <w:div w:id="974141403">
          <w:marLeft w:val="1134"/>
          <w:marRight w:val="0"/>
          <w:marTop w:val="60"/>
          <w:marBottom w:val="0"/>
          <w:divBdr>
            <w:top w:val="none" w:sz="0" w:space="0" w:color="auto"/>
            <w:left w:val="none" w:sz="0" w:space="0" w:color="auto"/>
            <w:bottom w:val="none" w:sz="0" w:space="0" w:color="auto"/>
            <w:right w:val="none" w:sz="0" w:space="0" w:color="auto"/>
          </w:divBdr>
        </w:div>
        <w:div w:id="993027600">
          <w:marLeft w:val="0"/>
          <w:marRight w:val="0"/>
          <w:marTop w:val="120"/>
          <w:marBottom w:val="0"/>
          <w:divBdr>
            <w:top w:val="none" w:sz="0" w:space="0" w:color="auto"/>
            <w:left w:val="none" w:sz="0" w:space="0" w:color="auto"/>
            <w:bottom w:val="none" w:sz="0" w:space="0" w:color="auto"/>
            <w:right w:val="none" w:sz="0" w:space="0" w:color="auto"/>
          </w:divBdr>
        </w:div>
        <w:div w:id="1006396862">
          <w:marLeft w:val="1134"/>
          <w:marRight w:val="0"/>
          <w:marTop w:val="60"/>
          <w:marBottom w:val="0"/>
          <w:divBdr>
            <w:top w:val="none" w:sz="0" w:space="0" w:color="auto"/>
            <w:left w:val="none" w:sz="0" w:space="0" w:color="auto"/>
            <w:bottom w:val="none" w:sz="0" w:space="0" w:color="auto"/>
            <w:right w:val="none" w:sz="0" w:space="0" w:color="auto"/>
          </w:divBdr>
        </w:div>
        <w:div w:id="1028335248">
          <w:marLeft w:val="1134"/>
          <w:marRight w:val="0"/>
          <w:marTop w:val="60"/>
          <w:marBottom w:val="0"/>
          <w:divBdr>
            <w:top w:val="none" w:sz="0" w:space="0" w:color="auto"/>
            <w:left w:val="none" w:sz="0" w:space="0" w:color="auto"/>
            <w:bottom w:val="none" w:sz="0" w:space="0" w:color="auto"/>
            <w:right w:val="none" w:sz="0" w:space="0" w:color="auto"/>
          </w:divBdr>
        </w:div>
        <w:div w:id="1090001109">
          <w:marLeft w:val="0"/>
          <w:marRight w:val="0"/>
          <w:marTop w:val="120"/>
          <w:marBottom w:val="0"/>
          <w:divBdr>
            <w:top w:val="none" w:sz="0" w:space="0" w:color="auto"/>
            <w:left w:val="none" w:sz="0" w:space="0" w:color="auto"/>
            <w:bottom w:val="none" w:sz="0" w:space="0" w:color="auto"/>
            <w:right w:val="none" w:sz="0" w:space="0" w:color="auto"/>
          </w:divBdr>
        </w:div>
        <w:div w:id="1153907882">
          <w:marLeft w:val="0"/>
          <w:marRight w:val="0"/>
          <w:marTop w:val="60"/>
          <w:marBottom w:val="0"/>
          <w:divBdr>
            <w:top w:val="none" w:sz="0" w:space="0" w:color="auto"/>
            <w:left w:val="none" w:sz="0" w:space="0" w:color="auto"/>
            <w:bottom w:val="none" w:sz="0" w:space="0" w:color="auto"/>
            <w:right w:val="none" w:sz="0" w:space="0" w:color="auto"/>
          </w:divBdr>
        </w:div>
        <w:div w:id="1154762682">
          <w:marLeft w:val="0"/>
          <w:marRight w:val="0"/>
          <w:marTop w:val="120"/>
          <w:marBottom w:val="0"/>
          <w:divBdr>
            <w:top w:val="none" w:sz="0" w:space="0" w:color="auto"/>
            <w:left w:val="none" w:sz="0" w:space="0" w:color="auto"/>
            <w:bottom w:val="none" w:sz="0" w:space="0" w:color="auto"/>
            <w:right w:val="none" w:sz="0" w:space="0" w:color="auto"/>
          </w:divBdr>
        </w:div>
        <w:div w:id="1161505481">
          <w:marLeft w:val="0"/>
          <w:marRight w:val="0"/>
          <w:marTop w:val="120"/>
          <w:marBottom w:val="0"/>
          <w:divBdr>
            <w:top w:val="none" w:sz="0" w:space="0" w:color="auto"/>
            <w:left w:val="none" w:sz="0" w:space="0" w:color="auto"/>
            <w:bottom w:val="none" w:sz="0" w:space="0" w:color="auto"/>
            <w:right w:val="none" w:sz="0" w:space="0" w:color="auto"/>
          </w:divBdr>
        </w:div>
        <w:div w:id="1291277051">
          <w:marLeft w:val="0"/>
          <w:marRight w:val="0"/>
          <w:marTop w:val="120"/>
          <w:marBottom w:val="0"/>
          <w:divBdr>
            <w:top w:val="none" w:sz="0" w:space="0" w:color="auto"/>
            <w:left w:val="none" w:sz="0" w:space="0" w:color="auto"/>
            <w:bottom w:val="none" w:sz="0" w:space="0" w:color="auto"/>
            <w:right w:val="none" w:sz="0" w:space="0" w:color="auto"/>
          </w:divBdr>
        </w:div>
        <w:div w:id="1293051987">
          <w:marLeft w:val="0"/>
          <w:marRight w:val="0"/>
          <w:marTop w:val="120"/>
          <w:marBottom w:val="0"/>
          <w:divBdr>
            <w:top w:val="none" w:sz="0" w:space="0" w:color="auto"/>
            <w:left w:val="none" w:sz="0" w:space="0" w:color="auto"/>
            <w:bottom w:val="none" w:sz="0" w:space="0" w:color="auto"/>
            <w:right w:val="none" w:sz="0" w:space="0" w:color="auto"/>
          </w:divBdr>
        </w:div>
        <w:div w:id="1303461694">
          <w:marLeft w:val="0"/>
          <w:marRight w:val="0"/>
          <w:marTop w:val="120"/>
          <w:marBottom w:val="0"/>
          <w:divBdr>
            <w:top w:val="none" w:sz="0" w:space="0" w:color="auto"/>
            <w:left w:val="none" w:sz="0" w:space="0" w:color="auto"/>
            <w:bottom w:val="none" w:sz="0" w:space="0" w:color="auto"/>
            <w:right w:val="none" w:sz="0" w:space="0" w:color="auto"/>
          </w:divBdr>
        </w:div>
        <w:div w:id="1305237753">
          <w:marLeft w:val="1134"/>
          <w:marRight w:val="0"/>
          <w:marTop w:val="60"/>
          <w:marBottom w:val="0"/>
          <w:divBdr>
            <w:top w:val="none" w:sz="0" w:space="0" w:color="auto"/>
            <w:left w:val="none" w:sz="0" w:space="0" w:color="auto"/>
            <w:bottom w:val="none" w:sz="0" w:space="0" w:color="auto"/>
            <w:right w:val="none" w:sz="0" w:space="0" w:color="auto"/>
          </w:divBdr>
        </w:div>
        <w:div w:id="1318261126">
          <w:marLeft w:val="1134"/>
          <w:marRight w:val="0"/>
          <w:marTop w:val="60"/>
          <w:marBottom w:val="0"/>
          <w:divBdr>
            <w:top w:val="none" w:sz="0" w:space="0" w:color="auto"/>
            <w:left w:val="none" w:sz="0" w:space="0" w:color="auto"/>
            <w:bottom w:val="none" w:sz="0" w:space="0" w:color="auto"/>
            <w:right w:val="none" w:sz="0" w:space="0" w:color="auto"/>
          </w:divBdr>
        </w:div>
        <w:div w:id="1324622528">
          <w:marLeft w:val="0"/>
          <w:marRight w:val="0"/>
          <w:marTop w:val="120"/>
          <w:marBottom w:val="0"/>
          <w:divBdr>
            <w:top w:val="none" w:sz="0" w:space="0" w:color="auto"/>
            <w:left w:val="none" w:sz="0" w:space="0" w:color="auto"/>
            <w:bottom w:val="none" w:sz="0" w:space="0" w:color="auto"/>
            <w:right w:val="none" w:sz="0" w:space="0" w:color="auto"/>
          </w:divBdr>
        </w:div>
        <w:div w:id="1337997872">
          <w:marLeft w:val="0"/>
          <w:marRight w:val="0"/>
          <w:marTop w:val="60"/>
          <w:marBottom w:val="0"/>
          <w:divBdr>
            <w:top w:val="none" w:sz="0" w:space="0" w:color="auto"/>
            <w:left w:val="none" w:sz="0" w:space="0" w:color="auto"/>
            <w:bottom w:val="none" w:sz="0" w:space="0" w:color="auto"/>
            <w:right w:val="none" w:sz="0" w:space="0" w:color="auto"/>
          </w:divBdr>
        </w:div>
        <w:div w:id="1365865148">
          <w:marLeft w:val="1985"/>
          <w:marRight w:val="0"/>
          <w:marTop w:val="60"/>
          <w:marBottom w:val="0"/>
          <w:divBdr>
            <w:top w:val="none" w:sz="0" w:space="0" w:color="auto"/>
            <w:left w:val="none" w:sz="0" w:space="0" w:color="auto"/>
            <w:bottom w:val="none" w:sz="0" w:space="0" w:color="auto"/>
            <w:right w:val="none" w:sz="0" w:space="0" w:color="auto"/>
          </w:divBdr>
        </w:div>
        <w:div w:id="1391922001">
          <w:marLeft w:val="1134"/>
          <w:marRight w:val="0"/>
          <w:marTop w:val="60"/>
          <w:marBottom w:val="0"/>
          <w:divBdr>
            <w:top w:val="none" w:sz="0" w:space="0" w:color="auto"/>
            <w:left w:val="none" w:sz="0" w:space="0" w:color="auto"/>
            <w:bottom w:val="none" w:sz="0" w:space="0" w:color="auto"/>
            <w:right w:val="none" w:sz="0" w:space="0" w:color="auto"/>
          </w:divBdr>
        </w:div>
        <w:div w:id="1395933564">
          <w:marLeft w:val="0"/>
          <w:marRight w:val="0"/>
          <w:marTop w:val="120"/>
          <w:marBottom w:val="0"/>
          <w:divBdr>
            <w:top w:val="none" w:sz="0" w:space="0" w:color="auto"/>
            <w:left w:val="none" w:sz="0" w:space="0" w:color="auto"/>
            <w:bottom w:val="none" w:sz="0" w:space="0" w:color="auto"/>
            <w:right w:val="none" w:sz="0" w:space="0" w:color="auto"/>
          </w:divBdr>
        </w:div>
        <w:div w:id="1417704180">
          <w:marLeft w:val="1134"/>
          <w:marRight w:val="0"/>
          <w:marTop w:val="60"/>
          <w:marBottom w:val="0"/>
          <w:divBdr>
            <w:top w:val="none" w:sz="0" w:space="0" w:color="auto"/>
            <w:left w:val="none" w:sz="0" w:space="0" w:color="auto"/>
            <w:bottom w:val="none" w:sz="0" w:space="0" w:color="auto"/>
            <w:right w:val="none" w:sz="0" w:space="0" w:color="auto"/>
          </w:divBdr>
        </w:div>
        <w:div w:id="1472212232">
          <w:marLeft w:val="0"/>
          <w:marRight w:val="0"/>
          <w:marTop w:val="120"/>
          <w:marBottom w:val="0"/>
          <w:divBdr>
            <w:top w:val="none" w:sz="0" w:space="0" w:color="auto"/>
            <w:left w:val="none" w:sz="0" w:space="0" w:color="auto"/>
            <w:bottom w:val="none" w:sz="0" w:space="0" w:color="auto"/>
            <w:right w:val="none" w:sz="0" w:space="0" w:color="auto"/>
          </w:divBdr>
        </w:div>
        <w:div w:id="1472821214">
          <w:marLeft w:val="1134"/>
          <w:marRight w:val="0"/>
          <w:marTop w:val="60"/>
          <w:marBottom w:val="0"/>
          <w:divBdr>
            <w:top w:val="none" w:sz="0" w:space="0" w:color="auto"/>
            <w:left w:val="none" w:sz="0" w:space="0" w:color="auto"/>
            <w:bottom w:val="none" w:sz="0" w:space="0" w:color="auto"/>
            <w:right w:val="none" w:sz="0" w:space="0" w:color="auto"/>
          </w:divBdr>
        </w:div>
        <w:div w:id="1483808264">
          <w:marLeft w:val="1134"/>
          <w:marRight w:val="0"/>
          <w:marTop w:val="60"/>
          <w:marBottom w:val="0"/>
          <w:divBdr>
            <w:top w:val="none" w:sz="0" w:space="0" w:color="auto"/>
            <w:left w:val="none" w:sz="0" w:space="0" w:color="auto"/>
            <w:bottom w:val="none" w:sz="0" w:space="0" w:color="auto"/>
            <w:right w:val="none" w:sz="0" w:space="0" w:color="auto"/>
          </w:divBdr>
        </w:div>
        <w:div w:id="1547331712">
          <w:marLeft w:val="0"/>
          <w:marRight w:val="0"/>
          <w:marTop w:val="60"/>
          <w:marBottom w:val="0"/>
          <w:divBdr>
            <w:top w:val="none" w:sz="0" w:space="0" w:color="auto"/>
            <w:left w:val="none" w:sz="0" w:space="0" w:color="auto"/>
            <w:bottom w:val="none" w:sz="0" w:space="0" w:color="auto"/>
            <w:right w:val="none" w:sz="0" w:space="0" w:color="auto"/>
          </w:divBdr>
        </w:div>
        <w:div w:id="1624925988">
          <w:marLeft w:val="1134"/>
          <w:marRight w:val="0"/>
          <w:marTop w:val="60"/>
          <w:marBottom w:val="0"/>
          <w:divBdr>
            <w:top w:val="none" w:sz="0" w:space="0" w:color="auto"/>
            <w:left w:val="none" w:sz="0" w:space="0" w:color="auto"/>
            <w:bottom w:val="none" w:sz="0" w:space="0" w:color="auto"/>
            <w:right w:val="none" w:sz="0" w:space="0" w:color="auto"/>
          </w:divBdr>
        </w:div>
        <w:div w:id="1663658998">
          <w:marLeft w:val="1134"/>
          <w:marRight w:val="0"/>
          <w:marTop w:val="60"/>
          <w:marBottom w:val="0"/>
          <w:divBdr>
            <w:top w:val="none" w:sz="0" w:space="0" w:color="auto"/>
            <w:left w:val="none" w:sz="0" w:space="0" w:color="auto"/>
            <w:bottom w:val="none" w:sz="0" w:space="0" w:color="auto"/>
            <w:right w:val="none" w:sz="0" w:space="0" w:color="auto"/>
          </w:divBdr>
        </w:div>
        <w:div w:id="1687780342">
          <w:marLeft w:val="1134"/>
          <w:marRight w:val="0"/>
          <w:marTop w:val="60"/>
          <w:marBottom w:val="0"/>
          <w:divBdr>
            <w:top w:val="none" w:sz="0" w:space="0" w:color="auto"/>
            <w:left w:val="none" w:sz="0" w:space="0" w:color="auto"/>
            <w:bottom w:val="none" w:sz="0" w:space="0" w:color="auto"/>
            <w:right w:val="none" w:sz="0" w:space="0" w:color="auto"/>
          </w:divBdr>
        </w:div>
        <w:div w:id="1694764526">
          <w:marLeft w:val="1134"/>
          <w:marRight w:val="0"/>
          <w:marTop w:val="60"/>
          <w:marBottom w:val="0"/>
          <w:divBdr>
            <w:top w:val="none" w:sz="0" w:space="0" w:color="auto"/>
            <w:left w:val="none" w:sz="0" w:space="0" w:color="auto"/>
            <w:bottom w:val="none" w:sz="0" w:space="0" w:color="auto"/>
            <w:right w:val="none" w:sz="0" w:space="0" w:color="auto"/>
          </w:divBdr>
        </w:div>
        <w:div w:id="1701707998">
          <w:marLeft w:val="567"/>
          <w:marRight w:val="567"/>
          <w:marTop w:val="20"/>
          <w:marBottom w:val="20"/>
          <w:divBdr>
            <w:top w:val="none" w:sz="0" w:space="0" w:color="auto"/>
            <w:left w:val="none" w:sz="0" w:space="0" w:color="auto"/>
            <w:bottom w:val="none" w:sz="0" w:space="0" w:color="auto"/>
            <w:right w:val="none" w:sz="0" w:space="0" w:color="auto"/>
          </w:divBdr>
        </w:div>
        <w:div w:id="1757088828">
          <w:marLeft w:val="1134"/>
          <w:marRight w:val="0"/>
          <w:marTop w:val="60"/>
          <w:marBottom w:val="0"/>
          <w:divBdr>
            <w:top w:val="none" w:sz="0" w:space="0" w:color="auto"/>
            <w:left w:val="none" w:sz="0" w:space="0" w:color="auto"/>
            <w:bottom w:val="none" w:sz="0" w:space="0" w:color="auto"/>
            <w:right w:val="none" w:sz="0" w:space="0" w:color="auto"/>
          </w:divBdr>
        </w:div>
        <w:div w:id="1760524046">
          <w:marLeft w:val="1134"/>
          <w:marRight w:val="0"/>
          <w:marTop w:val="60"/>
          <w:marBottom w:val="0"/>
          <w:divBdr>
            <w:top w:val="none" w:sz="0" w:space="0" w:color="auto"/>
            <w:left w:val="none" w:sz="0" w:space="0" w:color="auto"/>
            <w:bottom w:val="none" w:sz="0" w:space="0" w:color="auto"/>
            <w:right w:val="none" w:sz="0" w:space="0" w:color="auto"/>
          </w:divBdr>
        </w:div>
        <w:div w:id="1784306137">
          <w:marLeft w:val="567"/>
          <w:marRight w:val="567"/>
          <w:marTop w:val="20"/>
          <w:marBottom w:val="20"/>
          <w:divBdr>
            <w:top w:val="none" w:sz="0" w:space="0" w:color="auto"/>
            <w:left w:val="none" w:sz="0" w:space="0" w:color="auto"/>
            <w:bottom w:val="none" w:sz="0" w:space="0" w:color="auto"/>
            <w:right w:val="none" w:sz="0" w:space="0" w:color="auto"/>
          </w:divBdr>
        </w:div>
        <w:div w:id="1798601607">
          <w:marLeft w:val="0"/>
          <w:marRight w:val="0"/>
          <w:marTop w:val="120"/>
          <w:marBottom w:val="0"/>
          <w:divBdr>
            <w:top w:val="none" w:sz="0" w:space="0" w:color="auto"/>
            <w:left w:val="none" w:sz="0" w:space="0" w:color="auto"/>
            <w:bottom w:val="none" w:sz="0" w:space="0" w:color="auto"/>
            <w:right w:val="none" w:sz="0" w:space="0" w:color="auto"/>
          </w:divBdr>
        </w:div>
        <w:div w:id="1815104047">
          <w:marLeft w:val="1134"/>
          <w:marRight w:val="0"/>
          <w:marTop w:val="60"/>
          <w:marBottom w:val="0"/>
          <w:divBdr>
            <w:top w:val="none" w:sz="0" w:space="0" w:color="auto"/>
            <w:left w:val="none" w:sz="0" w:space="0" w:color="auto"/>
            <w:bottom w:val="none" w:sz="0" w:space="0" w:color="auto"/>
            <w:right w:val="none" w:sz="0" w:space="0" w:color="auto"/>
          </w:divBdr>
        </w:div>
        <w:div w:id="1829050909">
          <w:marLeft w:val="0"/>
          <w:marRight w:val="0"/>
          <w:marTop w:val="120"/>
          <w:marBottom w:val="0"/>
          <w:divBdr>
            <w:top w:val="none" w:sz="0" w:space="0" w:color="auto"/>
            <w:left w:val="none" w:sz="0" w:space="0" w:color="auto"/>
            <w:bottom w:val="none" w:sz="0" w:space="0" w:color="auto"/>
            <w:right w:val="none" w:sz="0" w:space="0" w:color="auto"/>
          </w:divBdr>
        </w:div>
        <w:div w:id="1851333914">
          <w:marLeft w:val="1134"/>
          <w:marRight w:val="0"/>
          <w:marTop w:val="60"/>
          <w:marBottom w:val="0"/>
          <w:divBdr>
            <w:top w:val="none" w:sz="0" w:space="0" w:color="auto"/>
            <w:left w:val="none" w:sz="0" w:space="0" w:color="auto"/>
            <w:bottom w:val="none" w:sz="0" w:space="0" w:color="auto"/>
            <w:right w:val="none" w:sz="0" w:space="0" w:color="auto"/>
          </w:divBdr>
        </w:div>
        <w:div w:id="1855149225">
          <w:marLeft w:val="0"/>
          <w:marRight w:val="0"/>
          <w:marTop w:val="240"/>
          <w:marBottom w:val="0"/>
          <w:divBdr>
            <w:top w:val="none" w:sz="0" w:space="0" w:color="auto"/>
            <w:left w:val="none" w:sz="0" w:space="0" w:color="auto"/>
            <w:bottom w:val="none" w:sz="0" w:space="0" w:color="auto"/>
            <w:right w:val="none" w:sz="0" w:space="0" w:color="auto"/>
          </w:divBdr>
        </w:div>
        <w:div w:id="1882403394">
          <w:marLeft w:val="0"/>
          <w:marRight w:val="0"/>
          <w:marTop w:val="240"/>
          <w:marBottom w:val="0"/>
          <w:divBdr>
            <w:top w:val="none" w:sz="0" w:space="0" w:color="auto"/>
            <w:left w:val="none" w:sz="0" w:space="0" w:color="auto"/>
            <w:bottom w:val="none" w:sz="0" w:space="0" w:color="auto"/>
            <w:right w:val="none" w:sz="0" w:space="0" w:color="auto"/>
          </w:divBdr>
        </w:div>
        <w:div w:id="1902597726">
          <w:marLeft w:val="0"/>
          <w:marRight w:val="0"/>
          <w:marTop w:val="120"/>
          <w:marBottom w:val="0"/>
          <w:divBdr>
            <w:top w:val="none" w:sz="0" w:space="0" w:color="auto"/>
            <w:left w:val="none" w:sz="0" w:space="0" w:color="auto"/>
            <w:bottom w:val="none" w:sz="0" w:space="0" w:color="auto"/>
            <w:right w:val="none" w:sz="0" w:space="0" w:color="auto"/>
          </w:divBdr>
        </w:div>
        <w:div w:id="1940675992">
          <w:marLeft w:val="1134"/>
          <w:marRight w:val="0"/>
          <w:marTop w:val="60"/>
          <w:marBottom w:val="0"/>
          <w:divBdr>
            <w:top w:val="none" w:sz="0" w:space="0" w:color="auto"/>
            <w:left w:val="none" w:sz="0" w:space="0" w:color="auto"/>
            <w:bottom w:val="none" w:sz="0" w:space="0" w:color="auto"/>
            <w:right w:val="none" w:sz="0" w:space="0" w:color="auto"/>
          </w:divBdr>
        </w:div>
        <w:div w:id="1940718098">
          <w:marLeft w:val="0"/>
          <w:marRight w:val="0"/>
          <w:marTop w:val="240"/>
          <w:marBottom w:val="0"/>
          <w:divBdr>
            <w:top w:val="none" w:sz="0" w:space="0" w:color="auto"/>
            <w:left w:val="none" w:sz="0" w:space="0" w:color="auto"/>
            <w:bottom w:val="none" w:sz="0" w:space="0" w:color="auto"/>
            <w:right w:val="none" w:sz="0" w:space="0" w:color="auto"/>
          </w:divBdr>
        </w:div>
        <w:div w:id="1964657310">
          <w:marLeft w:val="0"/>
          <w:marRight w:val="0"/>
          <w:marTop w:val="60"/>
          <w:marBottom w:val="0"/>
          <w:divBdr>
            <w:top w:val="none" w:sz="0" w:space="0" w:color="auto"/>
            <w:left w:val="none" w:sz="0" w:space="0" w:color="auto"/>
            <w:bottom w:val="none" w:sz="0" w:space="0" w:color="auto"/>
            <w:right w:val="none" w:sz="0" w:space="0" w:color="auto"/>
          </w:divBdr>
        </w:div>
        <w:div w:id="1996956632">
          <w:marLeft w:val="0"/>
          <w:marRight w:val="0"/>
          <w:marTop w:val="120"/>
          <w:marBottom w:val="0"/>
          <w:divBdr>
            <w:top w:val="none" w:sz="0" w:space="0" w:color="auto"/>
            <w:left w:val="none" w:sz="0" w:space="0" w:color="auto"/>
            <w:bottom w:val="none" w:sz="0" w:space="0" w:color="auto"/>
            <w:right w:val="none" w:sz="0" w:space="0" w:color="auto"/>
          </w:divBdr>
        </w:div>
        <w:div w:id="2009166931">
          <w:marLeft w:val="0"/>
          <w:marRight w:val="0"/>
          <w:marTop w:val="120"/>
          <w:marBottom w:val="0"/>
          <w:divBdr>
            <w:top w:val="none" w:sz="0" w:space="0" w:color="auto"/>
            <w:left w:val="none" w:sz="0" w:space="0" w:color="auto"/>
            <w:bottom w:val="none" w:sz="0" w:space="0" w:color="auto"/>
            <w:right w:val="none" w:sz="0" w:space="0" w:color="auto"/>
          </w:divBdr>
        </w:div>
        <w:div w:id="2043969263">
          <w:marLeft w:val="567"/>
          <w:marRight w:val="567"/>
          <w:marTop w:val="20"/>
          <w:marBottom w:val="20"/>
          <w:divBdr>
            <w:top w:val="none" w:sz="0" w:space="0" w:color="auto"/>
            <w:left w:val="none" w:sz="0" w:space="0" w:color="auto"/>
            <w:bottom w:val="none" w:sz="0" w:space="0" w:color="auto"/>
            <w:right w:val="none" w:sz="0" w:space="0" w:color="auto"/>
          </w:divBdr>
        </w:div>
        <w:div w:id="2109543172">
          <w:marLeft w:val="0"/>
          <w:marRight w:val="0"/>
          <w:marTop w:val="120"/>
          <w:marBottom w:val="0"/>
          <w:divBdr>
            <w:top w:val="none" w:sz="0" w:space="0" w:color="auto"/>
            <w:left w:val="none" w:sz="0" w:space="0" w:color="auto"/>
            <w:bottom w:val="none" w:sz="0" w:space="0" w:color="auto"/>
            <w:right w:val="none" w:sz="0" w:space="0" w:color="auto"/>
          </w:divBdr>
        </w:div>
        <w:div w:id="2127233993">
          <w:marLeft w:val="0"/>
          <w:marRight w:val="0"/>
          <w:marTop w:val="120"/>
          <w:marBottom w:val="0"/>
          <w:divBdr>
            <w:top w:val="none" w:sz="0" w:space="0" w:color="auto"/>
            <w:left w:val="none" w:sz="0" w:space="0" w:color="auto"/>
            <w:bottom w:val="none" w:sz="0" w:space="0" w:color="auto"/>
            <w:right w:val="none" w:sz="0" w:space="0" w:color="auto"/>
          </w:divBdr>
        </w:div>
        <w:div w:id="2140562526">
          <w:marLeft w:val="0"/>
          <w:marRight w:val="0"/>
          <w:marTop w:val="120"/>
          <w:marBottom w:val="0"/>
          <w:divBdr>
            <w:top w:val="none" w:sz="0" w:space="0" w:color="auto"/>
            <w:left w:val="none" w:sz="0" w:space="0" w:color="auto"/>
            <w:bottom w:val="none" w:sz="0" w:space="0" w:color="auto"/>
            <w:right w:val="none" w:sz="0" w:space="0" w:color="auto"/>
          </w:divBdr>
        </w:div>
      </w:divsChild>
    </w:div>
    <w:div w:id="19082247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85">
          <w:marLeft w:val="0"/>
          <w:marRight w:val="0"/>
          <w:marTop w:val="120"/>
          <w:marBottom w:val="0"/>
          <w:divBdr>
            <w:top w:val="none" w:sz="0" w:space="0" w:color="auto"/>
            <w:left w:val="none" w:sz="0" w:space="0" w:color="auto"/>
            <w:bottom w:val="none" w:sz="0" w:space="0" w:color="auto"/>
            <w:right w:val="none" w:sz="0" w:space="0" w:color="auto"/>
          </w:divBdr>
        </w:div>
        <w:div w:id="1122307849">
          <w:marLeft w:val="1134"/>
          <w:marRight w:val="0"/>
          <w:marTop w:val="60"/>
          <w:marBottom w:val="0"/>
          <w:divBdr>
            <w:top w:val="none" w:sz="0" w:space="0" w:color="auto"/>
            <w:left w:val="none" w:sz="0" w:space="0" w:color="auto"/>
            <w:bottom w:val="none" w:sz="0" w:space="0" w:color="auto"/>
            <w:right w:val="none" w:sz="0" w:space="0" w:color="auto"/>
          </w:divBdr>
        </w:div>
        <w:div w:id="1306161580">
          <w:marLeft w:val="1134"/>
          <w:marRight w:val="0"/>
          <w:marTop w:val="60"/>
          <w:marBottom w:val="0"/>
          <w:divBdr>
            <w:top w:val="none" w:sz="0" w:space="0" w:color="auto"/>
            <w:left w:val="none" w:sz="0" w:space="0" w:color="auto"/>
            <w:bottom w:val="none" w:sz="0" w:space="0" w:color="auto"/>
            <w:right w:val="none" w:sz="0" w:space="0" w:color="auto"/>
          </w:divBdr>
        </w:div>
        <w:div w:id="1511404671">
          <w:marLeft w:val="0"/>
          <w:marRight w:val="0"/>
          <w:marTop w:val="240"/>
          <w:marBottom w:val="0"/>
          <w:divBdr>
            <w:top w:val="none" w:sz="0" w:space="0" w:color="auto"/>
            <w:left w:val="none" w:sz="0" w:space="0" w:color="auto"/>
            <w:bottom w:val="none" w:sz="0" w:space="0" w:color="auto"/>
            <w:right w:val="none" w:sz="0" w:space="0" w:color="auto"/>
          </w:divBdr>
        </w:div>
        <w:div w:id="2129616998">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0E80-642D-4C95-8738-58DBD3A0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4</TotalTime>
  <Pages>31</Pages>
  <Words>7936</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Tshwarelo Mabina</cp:lastModifiedBy>
  <cp:revision>2</cp:revision>
  <cp:lastPrinted>2024-01-10T09:37:00Z</cp:lastPrinted>
  <dcterms:created xsi:type="dcterms:W3CDTF">2024-03-05T12:25:00Z</dcterms:created>
  <dcterms:modified xsi:type="dcterms:W3CDTF">2024-03-05T12:25:00Z</dcterms:modified>
</cp:coreProperties>
</file>