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C666" w14:textId="337148E7" w:rsidR="00F11226" w:rsidRDefault="00F11226" w:rsidP="00F11226">
      <w:pPr>
        <w:pStyle w:val="Body"/>
        <w:tabs>
          <w:tab w:val="center" w:pos="4693"/>
          <w:tab w:val="left" w:pos="8020"/>
        </w:tabs>
        <w:jc w:val="left"/>
        <w:outlineLvl w:val="0"/>
        <w:rPr>
          <w:rFonts w:hAnsi="Arial" w:cs="Arial"/>
          <w:noProof/>
          <w:color w:val="000000" w:themeColor="text1"/>
          <w:sz w:val="23"/>
          <w:szCs w:val="23"/>
        </w:rPr>
      </w:pPr>
      <w:bookmarkStart w:id="0" w:name="_GoBack"/>
      <w:r>
        <w:rPr>
          <w:rFonts w:hAnsi="Arial" w:cs="Arial"/>
          <w:noProof/>
          <w:color w:val="000000" w:themeColor="text1"/>
          <w:sz w:val="23"/>
          <w:szCs w:val="23"/>
        </w:rPr>
        <w:drawing>
          <wp:inline distT="0" distB="0" distL="0" distR="0" wp14:anchorId="4618EBC5" wp14:editId="7D6C5FC8">
            <wp:extent cx="4286250" cy="466725"/>
            <wp:effectExtent l="0" t="0" r="0" b="9525"/>
            <wp:docPr id="3" name="Picture 3"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103175E" w14:textId="77777777" w:rsidR="00F11226" w:rsidRDefault="00F11226" w:rsidP="00F2260B">
      <w:pPr>
        <w:pStyle w:val="Body"/>
        <w:tabs>
          <w:tab w:val="center" w:pos="4693"/>
          <w:tab w:val="left" w:pos="8020"/>
        </w:tabs>
        <w:jc w:val="center"/>
        <w:outlineLvl w:val="0"/>
        <w:rPr>
          <w:rFonts w:hAnsi="Arial" w:cs="Arial"/>
          <w:noProof/>
          <w:color w:val="000000" w:themeColor="text1"/>
          <w:sz w:val="23"/>
          <w:szCs w:val="23"/>
        </w:rPr>
      </w:pPr>
    </w:p>
    <w:p w14:paraId="6F9D8F3C" w14:textId="5213365A"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r w:rsidRPr="00154AA4">
        <w:rPr>
          <w:rFonts w:hAnsi="Arial" w:cs="Arial"/>
          <w:noProof/>
          <w:color w:val="000000" w:themeColor="text1"/>
          <w:sz w:val="23"/>
          <w:szCs w:val="23"/>
        </w:rPr>
        <w:drawing>
          <wp:anchor distT="0" distB="0" distL="114300" distR="114300" simplePos="0" relativeHeight="251659264" behindDoc="1" locked="0" layoutInCell="1" allowOverlap="1" wp14:anchorId="36ED4D36" wp14:editId="48B7E429">
            <wp:simplePos x="0" y="0"/>
            <wp:positionH relativeFrom="margin">
              <wp:posOffset>2089785</wp:posOffset>
            </wp:positionH>
            <wp:positionV relativeFrom="paragraph">
              <wp:posOffset>-312420</wp:posOffset>
            </wp:positionV>
            <wp:extent cx="1456690" cy="1432560"/>
            <wp:effectExtent l="0" t="0" r="0" b="0"/>
            <wp:wrapTight wrapText="bothSides">
              <wp:wrapPolygon edited="0">
                <wp:start x="0" y="0"/>
                <wp:lineTo x="0" y="21255"/>
                <wp:lineTo x="21186" y="21255"/>
                <wp:lineTo x="21186" y="0"/>
                <wp:lineTo x="0" y="0"/>
              </wp:wrapPolygon>
            </wp:wrapTight>
            <wp:docPr id="5" name="officeArt object" descr="Description: cid:image001.png@01D076AF.8E67B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cid:image001.png@01D076AF.8E67B5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CD9DA"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588E26A2"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606CF5A8"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4F1921F2" w14:textId="77777777" w:rsidR="00F2260B" w:rsidRPr="00154AA4" w:rsidRDefault="00F2260B" w:rsidP="00F2260B">
      <w:pPr>
        <w:pStyle w:val="Body"/>
        <w:tabs>
          <w:tab w:val="center" w:pos="4693"/>
          <w:tab w:val="left" w:pos="8020"/>
        </w:tabs>
        <w:jc w:val="center"/>
        <w:outlineLvl w:val="0"/>
        <w:rPr>
          <w:rFonts w:hAnsi="Arial" w:cs="Arial"/>
          <w:b/>
          <w:bCs/>
          <w:color w:val="000000" w:themeColor="text1"/>
          <w:sz w:val="23"/>
          <w:szCs w:val="23"/>
        </w:rPr>
      </w:pPr>
    </w:p>
    <w:p w14:paraId="12381AAE"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bCs/>
          <w:color w:val="000000" w:themeColor="text1"/>
          <w:sz w:val="23"/>
          <w:szCs w:val="23"/>
        </w:rPr>
        <w:t>IN THE HIGH COURT OF SOUTH AFRICA</w:t>
      </w:r>
    </w:p>
    <w:p w14:paraId="0D644FEB"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bCs/>
          <w:color w:val="000000" w:themeColor="text1"/>
          <w:sz w:val="23"/>
          <w:szCs w:val="23"/>
        </w:rPr>
        <w:t>GAUTENG DIVISION, JOHANNESBURG</w:t>
      </w:r>
    </w:p>
    <w:p w14:paraId="5C5AA184" w14:textId="77777777" w:rsidR="00F2260B" w:rsidRPr="00154AA4" w:rsidRDefault="00F2260B" w:rsidP="00F2260B">
      <w:pPr>
        <w:pStyle w:val="Body"/>
        <w:tabs>
          <w:tab w:val="center" w:pos="4693"/>
          <w:tab w:val="left" w:pos="8020"/>
        </w:tabs>
        <w:spacing w:line="240" w:lineRule="auto"/>
        <w:jc w:val="center"/>
        <w:outlineLvl w:val="0"/>
        <w:rPr>
          <w:rFonts w:hAnsi="Arial" w:cs="Arial"/>
          <w:b/>
          <w:bCs/>
          <w:color w:val="000000" w:themeColor="text1"/>
          <w:sz w:val="23"/>
          <w:szCs w:val="23"/>
        </w:rPr>
      </w:pPr>
      <w:r w:rsidRPr="00154AA4">
        <w:rPr>
          <w:rFonts w:hAnsi="Arial" w:cs="Arial"/>
          <w:b/>
          <w:noProof/>
          <w:sz w:val="23"/>
          <w:szCs w:val="23"/>
        </w:rPr>
        <mc:AlternateContent>
          <mc:Choice Requires="wps">
            <w:drawing>
              <wp:anchor distT="0" distB="0" distL="114300" distR="114300" simplePos="0" relativeHeight="251660288" behindDoc="0" locked="0" layoutInCell="1" allowOverlap="1" wp14:anchorId="51B8E70A" wp14:editId="3D8444EC">
                <wp:simplePos x="0" y="0"/>
                <wp:positionH relativeFrom="column">
                  <wp:posOffset>-356461</wp:posOffset>
                </wp:positionH>
                <wp:positionV relativeFrom="paragraph">
                  <wp:posOffset>129991</wp:posOffset>
                </wp:positionV>
                <wp:extent cx="3286760" cy="1549831"/>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549831"/>
                        </a:xfrm>
                        <a:prstGeom prst="rect">
                          <a:avLst/>
                        </a:prstGeom>
                        <a:solidFill>
                          <a:srgbClr val="FFFFFF"/>
                        </a:solidFill>
                        <a:ln w="9525">
                          <a:solidFill>
                            <a:srgbClr val="000000"/>
                          </a:solidFill>
                          <a:miter lim="800000"/>
                          <a:headEnd/>
                          <a:tailEnd/>
                        </a:ln>
                      </wps:spPr>
                      <wps:txbx>
                        <w:txbxContent>
                          <w:p w14:paraId="42196CF6" w14:textId="77777777" w:rsidR="00F2260B" w:rsidRDefault="00F2260B" w:rsidP="00F2260B">
                            <w:pPr>
                              <w:tabs>
                                <w:tab w:val="num" w:pos="900"/>
                              </w:tabs>
                              <w:ind w:left="900" w:hanging="720"/>
                            </w:pPr>
                          </w:p>
                          <w:p w14:paraId="6475E2DF" w14:textId="44E5B24F"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37C9699E"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449C35D1"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E70A" id="_x0000_t202" coordsize="21600,21600" o:spt="202" path="m,l,21600r21600,l21600,xe">
                <v:stroke joinstyle="miter"/>
                <v:path gradientshapeok="t" o:connecttype="rect"/>
              </v:shapetype>
              <v:shape id="Text Box 1" o:spid="_x0000_s1026" type="#_x0000_t202" style="position:absolute;left:0;text-align:left;margin-left:-28.05pt;margin-top:10.25pt;width:258.8pt;height:1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">
                <v:textbox>
                  <w:txbxContent>
                    <w:p w14:paraId="42196CF6" w14:textId="77777777" w:rsidR="00F2260B" w:rsidRDefault="00F2260B" w:rsidP="00F2260B">
                      <w:pPr>
                        <w:tabs>
                          <w:tab w:val="num" w:pos="900"/>
                        </w:tabs>
                        <w:ind w:left="900" w:hanging="720"/>
                      </w:pPr>
                    </w:p>
                    <w:p w14:paraId="6475E2DF" w14:textId="44E5B24F"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37C9699E"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449C35D1" w:rsidR="00F2260B" w:rsidRDefault="003D481C" w:rsidP="003D481C">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77777777"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p>
                    <w:p w14:paraId="191A0F78" w14:textId="77777777" w:rsidR="00F2260B" w:rsidRPr="00FC7186" w:rsidRDefault="00F2260B" w:rsidP="00F2260B">
                      <w:pPr>
                        <w:spacing w:line="276" w:lineRule="auto"/>
                        <w:rPr>
                          <w:rFonts w:ascii="Century Gothic" w:hAnsi="Century Gothic"/>
                          <w:sz w:val="18"/>
                          <w:szCs w:val="18"/>
                        </w:rPr>
                      </w:pPr>
                      <w:r w:rsidRPr="00FC7186">
                        <w:rPr>
                          <w:rFonts w:ascii="Century Gothic" w:hAnsi="Century Gothic"/>
                          <w:sz w:val="18"/>
                          <w:szCs w:val="18"/>
                        </w:rPr>
                        <w:t xml:space="preserve">    </w:t>
                      </w:r>
                    </w:p>
                    <w:p w14:paraId="17D036C1" w14:textId="77777777" w:rsidR="00F2260B" w:rsidRDefault="00F2260B" w:rsidP="00F2260B">
                      <w:pPr>
                        <w:rPr>
                          <w:rFonts w:ascii="Century Gothic" w:hAnsi="Century Gothic"/>
                          <w:b/>
                          <w:sz w:val="18"/>
                          <w:szCs w:val="18"/>
                        </w:rPr>
                      </w:pPr>
                      <w:r>
                        <w:rPr>
                          <w:rFonts w:ascii="Century Gothic" w:hAnsi="Century Gothic"/>
                          <w:b/>
                          <w:sz w:val="18"/>
                          <w:szCs w:val="18"/>
                        </w:rPr>
                        <w:t xml:space="preserve"> ………...............................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1BF3392B" w14:textId="77777777" w:rsidR="00F2260B" w:rsidRPr="00154AA4" w:rsidRDefault="00F2260B" w:rsidP="00F2260B">
      <w:pPr>
        <w:spacing w:line="360" w:lineRule="auto"/>
        <w:jc w:val="right"/>
        <w:rPr>
          <w:rFonts w:ascii="Arial" w:hAnsi="Arial" w:cs="Arial"/>
          <w:b/>
          <w:i/>
          <w:sz w:val="23"/>
          <w:szCs w:val="23"/>
        </w:rPr>
      </w:pPr>
    </w:p>
    <w:p w14:paraId="5CE4F5E5" w14:textId="77777777" w:rsidR="00F2260B" w:rsidRPr="00154AA4" w:rsidRDefault="00F2260B" w:rsidP="00F2260B">
      <w:pPr>
        <w:pStyle w:val="Heading1"/>
        <w:ind w:right="-29"/>
        <w:jc w:val="right"/>
        <w:rPr>
          <w:rFonts w:ascii="Arial" w:hAnsi="Arial" w:cs="Arial"/>
          <w:sz w:val="23"/>
          <w:szCs w:val="23"/>
          <w:lang w:val="en-ZA"/>
        </w:rPr>
      </w:pPr>
    </w:p>
    <w:p w14:paraId="56BA32C6" w14:textId="77777777" w:rsidR="00F2260B" w:rsidRPr="00154AA4" w:rsidRDefault="00F2260B" w:rsidP="00F2260B">
      <w:pPr>
        <w:pStyle w:val="Heading1"/>
        <w:ind w:right="-29"/>
        <w:jc w:val="right"/>
        <w:rPr>
          <w:rFonts w:ascii="Arial" w:hAnsi="Arial" w:cs="Arial"/>
          <w:sz w:val="23"/>
          <w:szCs w:val="23"/>
          <w:lang w:val="en-ZA"/>
        </w:rPr>
      </w:pPr>
    </w:p>
    <w:p w14:paraId="403AB4F0" w14:textId="77777777" w:rsidR="00F2260B" w:rsidRPr="00154AA4" w:rsidRDefault="00F2260B" w:rsidP="00F2260B">
      <w:pPr>
        <w:rPr>
          <w:rFonts w:ascii="Arial" w:hAnsi="Arial" w:cs="Arial"/>
          <w:color w:val="000000" w:themeColor="text1"/>
          <w:sz w:val="23"/>
          <w:szCs w:val="23"/>
        </w:rPr>
      </w:pPr>
    </w:p>
    <w:p w14:paraId="273C4151" w14:textId="2BAB08BD" w:rsidR="00F2260B" w:rsidRPr="00154AA4" w:rsidRDefault="00F2260B" w:rsidP="00F2260B">
      <w:pPr>
        <w:spacing w:before="120"/>
        <w:ind w:right="-46"/>
        <w:jc w:val="right"/>
        <w:rPr>
          <w:rFonts w:ascii="Arial" w:hAnsi="Arial" w:cs="Arial"/>
          <w:b/>
          <w:bCs/>
          <w:color w:val="000000" w:themeColor="text1"/>
          <w:sz w:val="23"/>
          <w:szCs w:val="23"/>
        </w:rPr>
      </w:pPr>
      <w:r w:rsidRPr="00154AA4">
        <w:rPr>
          <w:rFonts w:ascii="Arial" w:hAnsi="Arial" w:cs="Arial"/>
          <w:b/>
          <w:bCs/>
          <w:color w:val="000000" w:themeColor="text1"/>
          <w:sz w:val="23"/>
          <w:szCs w:val="23"/>
        </w:rPr>
        <w:t xml:space="preserve">Case no: </w:t>
      </w:r>
      <w:r w:rsidR="008D7342">
        <w:rPr>
          <w:rFonts w:ascii="Arial" w:hAnsi="Arial" w:cs="Arial"/>
          <w:b/>
          <w:sz w:val="23"/>
          <w:szCs w:val="23"/>
        </w:rPr>
        <w:t>2022/033096</w:t>
      </w:r>
    </w:p>
    <w:p w14:paraId="4DA28A01" w14:textId="77777777" w:rsidR="00F2260B" w:rsidRPr="00154AA4" w:rsidRDefault="00F2260B" w:rsidP="00F2260B">
      <w:pPr>
        <w:spacing w:before="120"/>
        <w:ind w:right="-46"/>
        <w:jc w:val="right"/>
        <w:rPr>
          <w:rFonts w:ascii="Arial" w:hAnsi="Arial" w:cs="Arial"/>
          <w:b/>
          <w:bCs/>
          <w:color w:val="000000" w:themeColor="text1"/>
          <w:sz w:val="23"/>
          <w:szCs w:val="23"/>
        </w:rPr>
      </w:pPr>
    </w:p>
    <w:p w14:paraId="6F953070" w14:textId="77777777" w:rsidR="00F2260B" w:rsidRPr="00154AA4" w:rsidRDefault="00F2260B" w:rsidP="00F2260B">
      <w:pPr>
        <w:spacing w:before="120" w:line="276" w:lineRule="auto"/>
        <w:ind w:right="-46"/>
        <w:rPr>
          <w:rFonts w:ascii="Arial" w:hAnsi="Arial" w:cs="Arial"/>
          <w:color w:val="000000" w:themeColor="text1"/>
          <w:sz w:val="23"/>
          <w:szCs w:val="23"/>
        </w:rPr>
      </w:pPr>
      <w:r w:rsidRPr="00154AA4">
        <w:rPr>
          <w:rFonts w:ascii="Arial" w:hAnsi="Arial" w:cs="Arial"/>
          <w:color w:val="000000" w:themeColor="text1"/>
          <w:sz w:val="23"/>
          <w:szCs w:val="23"/>
        </w:rPr>
        <w:t>In the application between:</w:t>
      </w:r>
    </w:p>
    <w:p w14:paraId="49701DFE" w14:textId="77777777" w:rsidR="00F2260B" w:rsidRPr="00154AA4" w:rsidRDefault="00F2260B" w:rsidP="00F2260B">
      <w:pPr>
        <w:spacing w:before="120" w:line="276" w:lineRule="auto"/>
        <w:ind w:right="-46"/>
        <w:rPr>
          <w:rFonts w:ascii="Arial" w:hAnsi="Arial" w:cs="Arial"/>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F2260B" w:rsidRPr="00154AA4" w14:paraId="65B7FF42" w14:textId="77777777" w:rsidTr="00F2260B">
        <w:tc>
          <w:tcPr>
            <w:tcW w:w="4962" w:type="dxa"/>
          </w:tcPr>
          <w:p w14:paraId="22672A53" w14:textId="77777777" w:rsidR="00F2260B" w:rsidRDefault="006B15E9" w:rsidP="00AA2D84">
            <w:pPr>
              <w:spacing w:line="276" w:lineRule="auto"/>
              <w:ind w:right="-46"/>
              <w:rPr>
                <w:rFonts w:ascii="Arial" w:hAnsi="Arial" w:cs="Arial"/>
                <w:b/>
                <w:sz w:val="23"/>
                <w:szCs w:val="23"/>
              </w:rPr>
            </w:pPr>
            <w:r>
              <w:rPr>
                <w:rFonts w:ascii="Arial" w:hAnsi="Arial" w:cs="Arial"/>
                <w:b/>
                <w:sz w:val="23"/>
                <w:szCs w:val="23"/>
              </w:rPr>
              <w:t>MAMPEULE</w:t>
            </w:r>
            <w:r w:rsidR="00AA2D84">
              <w:rPr>
                <w:rFonts w:ascii="Arial" w:hAnsi="Arial" w:cs="Arial"/>
                <w:b/>
                <w:sz w:val="23"/>
                <w:szCs w:val="23"/>
              </w:rPr>
              <w:t>, MOLATE EDWARD</w:t>
            </w:r>
          </w:p>
          <w:p w14:paraId="1A51D690" w14:textId="66CDEB61" w:rsidR="00AA2D84" w:rsidRDefault="00AA2D84" w:rsidP="00AA2D84">
            <w:pPr>
              <w:spacing w:line="276" w:lineRule="auto"/>
              <w:ind w:right="-46"/>
              <w:rPr>
                <w:rFonts w:ascii="Arial" w:hAnsi="Arial" w:cs="Arial"/>
                <w:b/>
                <w:bCs/>
                <w:sz w:val="23"/>
                <w:szCs w:val="23"/>
              </w:rPr>
            </w:pPr>
            <w:r>
              <w:rPr>
                <w:rFonts w:ascii="Arial" w:hAnsi="Arial" w:cs="Arial"/>
                <w:b/>
                <w:bCs/>
                <w:sz w:val="23"/>
                <w:szCs w:val="23"/>
              </w:rPr>
              <w:t xml:space="preserve">ID NO. </w:t>
            </w:r>
            <w:r w:rsidR="00F11226">
              <w:rPr>
                <w:rFonts w:ascii="Arial" w:hAnsi="Arial" w:cs="Arial"/>
                <w:b/>
                <w:bCs/>
                <w:sz w:val="23"/>
                <w:szCs w:val="23"/>
              </w:rPr>
              <w:t>[…]</w:t>
            </w:r>
          </w:p>
          <w:p w14:paraId="6D3B62ED" w14:textId="53034E4E" w:rsidR="00AA2D84" w:rsidRPr="00154AA4" w:rsidRDefault="00AA2D84" w:rsidP="00AA2D84">
            <w:pPr>
              <w:spacing w:line="276" w:lineRule="auto"/>
              <w:ind w:right="-46"/>
              <w:rPr>
                <w:rFonts w:ascii="Arial" w:hAnsi="Arial" w:cs="Arial"/>
                <w:b/>
                <w:bCs/>
                <w:color w:val="000000" w:themeColor="text1"/>
                <w:sz w:val="23"/>
                <w:szCs w:val="23"/>
              </w:rPr>
            </w:pPr>
          </w:p>
        </w:tc>
        <w:tc>
          <w:tcPr>
            <w:tcW w:w="4054" w:type="dxa"/>
          </w:tcPr>
          <w:p w14:paraId="1A4F0D25" w14:textId="5B679ECF" w:rsidR="00F2260B" w:rsidRPr="00154AA4" w:rsidRDefault="00F2260B" w:rsidP="00C7181C">
            <w:pPr>
              <w:spacing w:before="120" w:line="360" w:lineRule="auto"/>
              <w:ind w:right="-46"/>
              <w:jc w:val="right"/>
              <w:rPr>
                <w:rFonts w:ascii="Arial" w:hAnsi="Arial" w:cs="Arial"/>
                <w:color w:val="000000" w:themeColor="text1"/>
                <w:sz w:val="23"/>
                <w:szCs w:val="23"/>
              </w:rPr>
            </w:pPr>
            <w:r w:rsidRPr="00154AA4">
              <w:rPr>
                <w:rFonts w:ascii="Arial" w:hAnsi="Arial" w:cs="Arial"/>
                <w:color w:val="000000" w:themeColor="text1"/>
                <w:sz w:val="23"/>
                <w:szCs w:val="23"/>
              </w:rPr>
              <w:t>Applicant</w:t>
            </w:r>
          </w:p>
        </w:tc>
      </w:tr>
      <w:tr w:rsidR="00F2260B" w:rsidRPr="00154AA4" w14:paraId="2A5C5F10" w14:textId="77777777" w:rsidTr="00F2260B">
        <w:tc>
          <w:tcPr>
            <w:tcW w:w="4962" w:type="dxa"/>
          </w:tcPr>
          <w:p w14:paraId="5EC8775E" w14:textId="50CF85EB" w:rsidR="00F2260B" w:rsidRPr="00154AA4" w:rsidRDefault="00F2260B" w:rsidP="00C7181C">
            <w:pPr>
              <w:spacing w:before="120" w:line="360" w:lineRule="auto"/>
              <w:ind w:right="-46"/>
              <w:rPr>
                <w:rFonts w:ascii="Arial" w:hAnsi="Arial" w:cs="Arial"/>
                <w:color w:val="000000" w:themeColor="text1"/>
                <w:sz w:val="23"/>
                <w:szCs w:val="23"/>
              </w:rPr>
            </w:pPr>
            <w:r w:rsidRPr="00154AA4">
              <w:rPr>
                <w:rFonts w:ascii="Arial" w:hAnsi="Arial" w:cs="Arial"/>
                <w:color w:val="000000" w:themeColor="text1"/>
                <w:sz w:val="23"/>
                <w:szCs w:val="23"/>
              </w:rPr>
              <w:t>and</w:t>
            </w:r>
          </w:p>
        </w:tc>
        <w:tc>
          <w:tcPr>
            <w:tcW w:w="4054" w:type="dxa"/>
          </w:tcPr>
          <w:p w14:paraId="4B983CAC" w14:textId="77777777" w:rsidR="00F2260B" w:rsidRPr="00154AA4" w:rsidRDefault="00F2260B" w:rsidP="00C7181C">
            <w:pPr>
              <w:spacing w:before="120" w:line="360" w:lineRule="auto"/>
              <w:ind w:right="-46"/>
              <w:rPr>
                <w:rFonts w:ascii="Arial" w:hAnsi="Arial" w:cs="Arial"/>
                <w:b/>
                <w:bCs/>
                <w:color w:val="000000" w:themeColor="text1"/>
                <w:sz w:val="23"/>
                <w:szCs w:val="23"/>
              </w:rPr>
            </w:pPr>
          </w:p>
        </w:tc>
      </w:tr>
      <w:tr w:rsidR="00F2260B" w:rsidRPr="00154AA4" w14:paraId="4341BD55" w14:textId="77777777" w:rsidTr="00F2260B">
        <w:tc>
          <w:tcPr>
            <w:tcW w:w="4962" w:type="dxa"/>
          </w:tcPr>
          <w:p w14:paraId="6D6D0C2B" w14:textId="77777777" w:rsidR="00F2260B" w:rsidRDefault="00AA2D84" w:rsidP="00AA2D84">
            <w:pPr>
              <w:spacing w:before="120" w:line="276" w:lineRule="auto"/>
              <w:ind w:right="-46"/>
              <w:rPr>
                <w:rFonts w:ascii="Arial" w:hAnsi="Arial" w:cs="Arial"/>
                <w:b/>
                <w:sz w:val="23"/>
                <w:szCs w:val="23"/>
              </w:rPr>
            </w:pPr>
            <w:r>
              <w:rPr>
                <w:rFonts w:ascii="Arial" w:hAnsi="Arial" w:cs="Arial"/>
                <w:b/>
                <w:sz w:val="23"/>
                <w:szCs w:val="23"/>
              </w:rPr>
              <w:t>CHIEF DIRECTOR, JOHANNESBURG METRO DISTRICT HEALTH SERVICES</w:t>
            </w:r>
          </w:p>
          <w:p w14:paraId="34B7B4B7" w14:textId="18D296B7" w:rsidR="00AA2D84" w:rsidRPr="00154AA4" w:rsidRDefault="00AA2D84" w:rsidP="00AA2D84">
            <w:pPr>
              <w:spacing w:before="120" w:line="276" w:lineRule="auto"/>
              <w:ind w:right="-46"/>
              <w:rPr>
                <w:rFonts w:ascii="Arial" w:hAnsi="Arial" w:cs="Arial"/>
                <w:b/>
                <w:bCs/>
                <w:color w:val="000000" w:themeColor="text1"/>
                <w:sz w:val="23"/>
                <w:szCs w:val="23"/>
              </w:rPr>
            </w:pPr>
          </w:p>
        </w:tc>
        <w:tc>
          <w:tcPr>
            <w:tcW w:w="4054" w:type="dxa"/>
          </w:tcPr>
          <w:p w14:paraId="069CAA66" w14:textId="166B6AE6" w:rsidR="00F2260B" w:rsidRPr="00154AA4" w:rsidRDefault="00AA2D84" w:rsidP="00C7181C">
            <w:pPr>
              <w:spacing w:before="120" w:line="360" w:lineRule="auto"/>
              <w:ind w:right="-46"/>
              <w:jc w:val="right"/>
              <w:rPr>
                <w:rFonts w:ascii="Arial" w:hAnsi="Arial" w:cs="Arial"/>
                <w:color w:val="000000" w:themeColor="text1"/>
                <w:sz w:val="23"/>
                <w:szCs w:val="23"/>
              </w:rPr>
            </w:pPr>
            <w:r>
              <w:rPr>
                <w:rFonts w:ascii="Arial" w:hAnsi="Arial" w:cs="Arial"/>
                <w:color w:val="000000" w:themeColor="text1"/>
                <w:sz w:val="23"/>
                <w:szCs w:val="23"/>
              </w:rPr>
              <w:t xml:space="preserve">First </w:t>
            </w:r>
            <w:r w:rsidR="00F2260B" w:rsidRPr="00154AA4">
              <w:rPr>
                <w:rFonts w:ascii="Arial" w:hAnsi="Arial" w:cs="Arial"/>
                <w:color w:val="000000" w:themeColor="text1"/>
                <w:sz w:val="23"/>
                <w:szCs w:val="23"/>
              </w:rPr>
              <w:t>Respondent</w:t>
            </w:r>
          </w:p>
        </w:tc>
      </w:tr>
      <w:tr w:rsidR="00AA2D84" w:rsidRPr="00154AA4" w14:paraId="10AD4C1A" w14:textId="77777777" w:rsidTr="00F2260B">
        <w:tc>
          <w:tcPr>
            <w:tcW w:w="4962" w:type="dxa"/>
          </w:tcPr>
          <w:p w14:paraId="533C5AA3" w14:textId="21DFAB63" w:rsidR="00AA2D84" w:rsidRDefault="00AA2D84" w:rsidP="00AA2D84">
            <w:pPr>
              <w:spacing w:before="120" w:line="276" w:lineRule="auto"/>
              <w:ind w:right="-46"/>
              <w:rPr>
                <w:rFonts w:ascii="Arial" w:hAnsi="Arial" w:cs="Arial"/>
                <w:b/>
                <w:sz w:val="23"/>
                <w:szCs w:val="23"/>
              </w:rPr>
            </w:pPr>
            <w:r>
              <w:rPr>
                <w:rFonts w:ascii="Arial" w:hAnsi="Arial" w:cs="Arial"/>
                <w:b/>
                <w:sz w:val="23"/>
                <w:szCs w:val="23"/>
              </w:rPr>
              <w:t xml:space="preserve">MEC FOR HEALTH, GAUTENG PROVINCIAL GOVERNMENT </w:t>
            </w:r>
          </w:p>
        </w:tc>
        <w:tc>
          <w:tcPr>
            <w:tcW w:w="4054" w:type="dxa"/>
          </w:tcPr>
          <w:p w14:paraId="4D6E0471" w14:textId="67851FD3" w:rsidR="00AA2D84" w:rsidRDefault="00AA2D84" w:rsidP="00C7181C">
            <w:pPr>
              <w:spacing w:before="120" w:line="360" w:lineRule="auto"/>
              <w:ind w:right="-46"/>
              <w:jc w:val="right"/>
              <w:rPr>
                <w:rFonts w:ascii="Arial" w:hAnsi="Arial" w:cs="Arial"/>
                <w:color w:val="000000" w:themeColor="text1"/>
                <w:sz w:val="23"/>
                <w:szCs w:val="23"/>
              </w:rPr>
            </w:pPr>
            <w:r>
              <w:rPr>
                <w:rFonts w:ascii="Arial" w:hAnsi="Arial" w:cs="Arial"/>
                <w:color w:val="000000" w:themeColor="text1"/>
                <w:sz w:val="23"/>
                <w:szCs w:val="23"/>
              </w:rPr>
              <w:t xml:space="preserve">Second Respondent </w:t>
            </w:r>
          </w:p>
        </w:tc>
      </w:tr>
      <w:tr w:rsidR="00AA2D84" w:rsidRPr="00154AA4" w14:paraId="3683D217" w14:textId="77777777" w:rsidTr="00F2260B">
        <w:tc>
          <w:tcPr>
            <w:tcW w:w="4962" w:type="dxa"/>
          </w:tcPr>
          <w:p w14:paraId="7E912536" w14:textId="77777777" w:rsidR="00AA2D84" w:rsidRDefault="00AA2D84" w:rsidP="00AA2D84">
            <w:pPr>
              <w:spacing w:before="120" w:line="276" w:lineRule="auto"/>
              <w:ind w:right="-46"/>
              <w:rPr>
                <w:rFonts w:ascii="Arial" w:hAnsi="Arial" w:cs="Arial"/>
                <w:b/>
                <w:sz w:val="23"/>
                <w:szCs w:val="23"/>
              </w:rPr>
            </w:pPr>
          </w:p>
        </w:tc>
        <w:tc>
          <w:tcPr>
            <w:tcW w:w="4054" w:type="dxa"/>
          </w:tcPr>
          <w:p w14:paraId="214D88BF" w14:textId="77777777" w:rsidR="00AA2D84" w:rsidRDefault="00AA2D84" w:rsidP="00C7181C">
            <w:pPr>
              <w:spacing w:before="120" w:line="360" w:lineRule="auto"/>
              <w:ind w:right="-46"/>
              <w:jc w:val="right"/>
              <w:rPr>
                <w:rFonts w:ascii="Arial" w:hAnsi="Arial" w:cs="Arial"/>
                <w:color w:val="000000" w:themeColor="text1"/>
                <w:sz w:val="23"/>
                <w:szCs w:val="23"/>
              </w:rPr>
            </w:pPr>
          </w:p>
        </w:tc>
      </w:tr>
    </w:tbl>
    <w:p w14:paraId="1CBABF5F" w14:textId="1CE9CE32" w:rsidR="00F2260B" w:rsidRPr="00154AA4" w:rsidRDefault="00F2260B" w:rsidP="00154AA4">
      <w:pPr>
        <w:pBdr>
          <w:bottom w:val="single" w:sz="12" w:space="1" w:color="auto"/>
        </w:pBdr>
        <w:tabs>
          <w:tab w:val="right" w:pos="9072"/>
        </w:tabs>
        <w:spacing w:before="120" w:line="360" w:lineRule="auto"/>
        <w:ind w:right="-46"/>
        <w:rPr>
          <w:rFonts w:ascii="Arial" w:hAnsi="Arial" w:cs="Arial"/>
          <w:b/>
          <w:bCs/>
          <w:color w:val="000000" w:themeColor="text1"/>
          <w:sz w:val="23"/>
          <w:szCs w:val="23"/>
        </w:rPr>
      </w:pPr>
      <w:r w:rsidRPr="00154AA4">
        <w:rPr>
          <w:rFonts w:ascii="Arial" w:hAnsi="Arial" w:cs="Arial"/>
          <w:color w:val="000000" w:themeColor="text1"/>
          <w:sz w:val="23"/>
          <w:szCs w:val="23"/>
        </w:rPr>
        <w:t xml:space="preserve"> </w:t>
      </w:r>
    </w:p>
    <w:p w14:paraId="434C5FBA" w14:textId="77777777" w:rsidR="00F2260B" w:rsidRPr="00154AA4" w:rsidRDefault="00F2260B" w:rsidP="00F2260B">
      <w:pPr>
        <w:spacing w:after="240"/>
        <w:ind w:left="360" w:hanging="360"/>
        <w:jc w:val="center"/>
        <w:rPr>
          <w:rFonts w:ascii="Arial" w:hAnsi="Arial" w:cs="Arial"/>
          <w:b/>
          <w:bCs/>
          <w:sz w:val="23"/>
          <w:szCs w:val="23"/>
        </w:rPr>
      </w:pPr>
    </w:p>
    <w:p w14:paraId="64012F98" w14:textId="77777777" w:rsidR="00F2260B" w:rsidRPr="00154AA4" w:rsidRDefault="00F2260B" w:rsidP="00F2260B">
      <w:pPr>
        <w:spacing w:after="240"/>
        <w:ind w:left="360" w:hanging="360"/>
        <w:jc w:val="center"/>
        <w:rPr>
          <w:rFonts w:ascii="Arial" w:hAnsi="Arial" w:cs="Arial"/>
          <w:b/>
          <w:bCs/>
          <w:sz w:val="23"/>
          <w:szCs w:val="23"/>
        </w:rPr>
      </w:pPr>
      <w:r w:rsidRPr="00154AA4">
        <w:rPr>
          <w:rFonts w:ascii="Arial" w:hAnsi="Arial" w:cs="Arial"/>
          <w:b/>
          <w:bCs/>
          <w:sz w:val="23"/>
          <w:szCs w:val="23"/>
        </w:rPr>
        <w:t>JUDGMENT</w:t>
      </w:r>
    </w:p>
    <w:p w14:paraId="1C8BCFEF" w14:textId="0A0C40B9" w:rsidR="00F2260B" w:rsidRPr="00154AA4" w:rsidRDefault="00F2260B" w:rsidP="00F2260B">
      <w:pPr>
        <w:spacing w:after="240"/>
        <w:ind w:left="360" w:hanging="360"/>
        <w:jc w:val="center"/>
        <w:rPr>
          <w:rFonts w:ascii="Arial" w:hAnsi="Arial" w:cs="Arial"/>
          <w:b/>
          <w:bCs/>
          <w:sz w:val="23"/>
          <w:szCs w:val="23"/>
        </w:rPr>
      </w:pPr>
      <w:r w:rsidRPr="00154AA4">
        <w:rPr>
          <w:rFonts w:ascii="Arial" w:hAnsi="Arial" w:cs="Arial"/>
          <w:b/>
          <w:bCs/>
          <w:sz w:val="23"/>
          <w:szCs w:val="23"/>
        </w:rPr>
        <w:lastRenderedPageBreak/>
        <w:t>_______________</w:t>
      </w:r>
      <w:r w:rsidR="00C077FF">
        <w:rPr>
          <w:rFonts w:ascii="Arial" w:hAnsi="Arial" w:cs="Arial"/>
          <w:b/>
          <w:bCs/>
          <w:sz w:val="23"/>
          <w:szCs w:val="23"/>
        </w:rPr>
        <w:t>___</w:t>
      </w:r>
      <w:r w:rsidRPr="00154AA4">
        <w:rPr>
          <w:rFonts w:ascii="Arial" w:hAnsi="Arial" w:cs="Arial"/>
          <w:b/>
          <w:bCs/>
          <w:sz w:val="23"/>
          <w:szCs w:val="23"/>
        </w:rPr>
        <w:t>___________________________________________________</w:t>
      </w:r>
      <w:r w:rsidR="00334A5F" w:rsidRPr="00154AA4">
        <w:rPr>
          <w:rFonts w:ascii="Arial" w:hAnsi="Arial" w:cs="Arial"/>
          <w:b/>
          <w:bCs/>
          <w:sz w:val="23"/>
          <w:szCs w:val="23"/>
        </w:rPr>
        <w:t>_</w:t>
      </w:r>
    </w:p>
    <w:p w14:paraId="7618E672" w14:textId="4FF55457" w:rsidR="00F862D3" w:rsidRDefault="00F2260B" w:rsidP="00154AA4">
      <w:pPr>
        <w:jc w:val="both"/>
        <w:rPr>
          <w:rFonts w:ascii="Arial" w:hAnsi="Arial" w:cs="Arial"/>
          <w:iCs/>
          <w:sz w:val="23"/>
          <w:szCs w:val="23"/>
        </w:rPr>
      </w:pPr>
      <w:r w:rsidRPr="00154AA4">
        <w:rPr>
          <w:rFonts w:ascii="Arial" w:hAnsi="Arial" w:cs="Arial"/>
          <w:b/>
          <w:iCs/>
          <w:sz w:val="23"/>
          <w:szCs w:val="23"/>
          <w:u w:val="single"/>
        </w:rPr>
        <w:t xml:space="preserve">DELIVERED: </w:t>
      </w:r>
      <w:r w:rsidRPr="00154AA4">
        <w:rPr>
          <w:rFonts w:ascii="Arial" w:hAnsi="Arial" w:cs="Arial"/>
          <w:iCs/>
          <w:sz w:val="23"/>
          <w:szCs w:val="23"/>
        </w:rPr>
        <w:t>This judgment was handed down electronically by circulation to the parties and/or parties’ representatives by email and by upload to CaseLines. The date and time for hand-down is deemed to be 1</w:t>
      </w:r>
      <w:r w:rsidR="008D7342">
        <w:rPr>
          <w:rFonts w:ascii="Arial" w:hAnsi="Arial" w:cs="Arial"/>
          <w:iCs/>
          <w:sz w:val="23"/>
          <w:szCs w:val="23"/>
        </w:rPr>
        <w:t>0</w:t>
      </w:r>
      <w:r w:rsidRPr="00154AA4">
        <w:rPr>
          <w:rFonts w:ascii="Arial" w:hAnsi="Arial" w:cs="Arial"/>
          <w:iCs/>
          <w:sz w:val="23"/>
          <w:szCs w:val="23"/>
        </w:rPr>
        <w:t xml:space="preserve">h00 on </w:t>
      </w:r>
      <w:r w:rsidR="002A3BC7">
        <w:rPr>
          <w:rFonts w:ascii="Arial" w:hAnsi="Arial" w:cs="Arial"/>
          <w:iCs/>
          <w:sz w:val="23"/>
          <w:szCs w:val="23"/>
        </w:rPr>
        <w:t>1</w:t>
      </w:r>
      <w:r w:rsidR="008D7342">
        <w:rPr>
          <w:rFonts w:ascii="Arial" w:hAnsi="Arial" w:cs="Arial"/>
          <w:iCs/>
          <w:sz w:val="23"/>
          <w:szCs w:val="23"/>
        </w:rPr>
        <w:t>5</w:t>
      </w:r>
      <w:r w:rsidR="002A3BC7">
        <w:rPr>
          <w:rFonts w:ascii="Arial" w:hAnsi="Arial" w:cs="Arial"/>
          <w:iCs/>
          <w:sz w:val="23"/>
          <w:szCs w:val="23"/>
        </w:rPr>
        <w:t xml:space="preserve"> February </w:t>
      </w:r>
      <w:r w:rsidRPr="00154AA4">
        <w:rPr>
          <w:rFonts w:ascii="Arial" w:hAnsi="Arial" w:cs="Arial"/>
          <w:iCs/>
          <w:sz w:val="23"/>
          <w:szCs w:val="23"/>
        </w:rPr>
        <w:t>202</w:t>
      </w:r>
      <w:r w:rsidR="00FD755D" w:rsidRPr="00154AA4">
        <w:rPr>
          <w:rFonts w:ascii="Arial" w:hAnsi="Arial" w:cs="Arial"/>
          <w:iCs/>
          <w:sz w:val="23"/>
          <w:szCs w:val="23"/>
        </w:rPr>
        <w:t>4</w:t>
      </w:r>
      <w:r w:rsidRPr="00154AA4">
        <w:rPr>
          <w:rFonts w:ascii="Arial" w:hAnsi="Arial" w:cs="Arial"/>
          <w:iCs/>
          <w:sz w:val="23"/>
          <w:szCs w:val="23"/>
        </w:rPr>
        <w:t>.</w:t>
      </w:r>
    </w:p>
    <w:p w14:paraId="530BE240" w14:textId="77777777" w:rsidR="00154AA4" w:rsidRPr="00154AA4" w:rsidRDefault="00154AA4" w:rsidP="00154AA4">
      <w:pPr>
        <w:jc w:val="both"/>
        <w:rPr>
          <w:rFonts w:ascii="Arial" w:hAnsi="Arial" w:cs="Arial"/>
          <w:iCs/>
          <w:sz w:val="23"/>
          <w:szCs w:val="23"/>
        </w:rPr>
      </w:pPr>
    </w:p>
    <w:p w14:paraId="32312D39" w14:textId="77777777" w:rsidR="00AA2D84" w:rsidRPr="00334A5F" w:rsidRDefault="00AA2D84" w:rsidP="00002C7D">
      <w:pPr>
        <w:spacing w:after="240" w:line="360" w:lineRule="auto"/>
        <w:jc w:val="both"/>
        <w:rPr>
          <w:rFonts w:ascii="Arial" w:hAnsi="Arial" w:cs="Arial"/>
          <w:b/>
          <w:bCs/>
          <w:lang w:val="en-US"/>
        </w:rPr>
      </w:pPr>
      <w:r w:rsidRPr="00334A5F">
        <w:rPr>
          <w:rFonts w:ascii="Arial" w:hAnsi="Arial" w:cs="Arial"/>
          <w:b/>
          <w:bCs/>
          <w:lang w:val="en-US"/>
        </w:rPr>
        <w:t>GOODMAN, AJ:</w:t>
      </w:r>
    </w:p>
    <w:p w14:paraId="6641704D" w14:textId="170CA975" w:rsidR="00AA2D84" w:rsidRPr="00334A5F" w:rsidRDefault="00AA2D84" w:rsidP="00002C7D">
      <w:pPr>
        <w:spacing w:after="240" w:line="360" w:lineRule="auto"/>
        <w:jc w:val="both"/>
        <w:rPr>
          <w:rFonts w:ascii="Arial" w:hAnsi="Arial" w:cs="Arial"/>
          <w:b/>
          <w:bCs/>
          <w:lang w:val="en-US"/>
        </w:rPr>
      </w:pPr>
      <w:r w:rsidRPr="00334A5F">
        <w:rPr>
          <w:rFonts w:ascii="Arial" w:hAnsi="Arial" w:cs="Arial"/>
          <w:b/>
          <w:bCs/>
          <w:lang w:val="en-US"/>
        </w:rPr>
        <w:t xml:space="preserve">FACTUAL BACKGROUND </w:t>
      </w:r>
    </w:p>
    <w:p w14:paraId="0EC61B70" w14:textId="214DE6CE" w:rsidR="00002C7D"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w:t>
      </w:r>
      <w:r>
        <w:rPr>
          <w:rFonts w:ascii="Arial" w:hAnsi="Arial" w:cs="Arial"/>
          <w:lang w:val="en-US"/>
        </w:rPr>
        <w:tab/>
      </w:r>
      <w:r w:rsidR="00AA2D84" w:rsidRPr="003D481C">
        <w:rPr>
          <w:rFonts w:ascii="Arial" w:hAnsi="Arial" w:cs="Arial"/>
          <w:lang w:val="en-US"/>
        </w:rPr>
        <w:t>The applicant</w:t>
      </w:r>
      <w:r w:rsidR="00002C7D" w:rsidRPr="003D481C">
        <w:rPr>
          <w:rFonts w:ascii="Arial" w:hAnsi="Arial" w:cs="Arial"/>
          <w:lang w:val="en-US"/>
        </w:rPr>
        <w:t xml:space="preserve"> was employed, for a number of years, by the Gauteng Health Department as </w:t>
      </w:r>
      <w:r w:rsidR="00AA2D84" w:rsidRPr="003D481C">
        <w:rPr>
          <w:rFonts w:ascii="Arial" w:hAnsi="Arial" w:cs="Arial"/>
          <w:lang w:val="en-US"/>
        </w:rPr>
        <w:t xml:space="preserve">an </w:t>
      </w:r>
      <w:r w:rsidR="00002C7D" w:rsidRPr="003D481C">
        <w:rPr>
          <w:rFonts w:ascii="Arial" w:hAnsi="Arial" w:cs="Arial"/>
          <w:lang w:val="en-US"/>
        </w:rPr>
        <w:t>O</w:t>
      </w:r>
      <w:r w:rsidR="00AA2D84" w:rsidRPr="003D481C">
        <w:rPr>
          <w:rFonts w:ascii="Arial" w:hAnsi="Arial" w:cs="Arial"/>
          <w:lang w:val="en-US"/>
        </w:rPr>
        <w:t>ptometrist</w:t>
      </w:r>
      <w:r w:rsidR="00002C7D" w:rsidRPr="003D481C">
        <w:rPr>
          <w:rFonts w:ascii="Arial" w:hAnsi="Arial" w:cs="Arial"/>
          <w:lang w:val="en-US"/>
        </w:rPr>
        <w:t xml:space="preserve">, Grade 2, at the Lenasia </w:t>
      </w:r>
      <w:r w:rsidR="007D6B07" w:rsidRPr="003D481C">
        <w:rPr>
          <w:rFonts w:ascii="Arial" w:hAnsi="Arial" w:cs="Arial"/>
          <w:lang w:val="en-US"/>
        </w:rPr>
        <w:t xml:space="preserve">South </w:t>
      </w:r>
      <w:r w:rsidR="00002C7D" w:rsidRPr="003D481C">
        <w:rPr>
          <w:rFonts w:ascii="Arial" w:hAnsi="Arial" w:cs="Arial"/>
          <w:lang w:val="en-US"/>
        </w:rPr>
        <w:t xml:space="preserve">Community Health Centre, Lenasia. </w:t>
      </w:r>
      <w:r w:rsidR="001509D3" w:rsidRPr="003D481C">
        <w:rPr>
          <w:rFonts w:ascii="Arial" w:hAnsi="Arial" w:cs="Arial"/>
          <w:lang w:val="en-US"/>
        </w:rPr>
        <w:t>The</w:t>
      </w:r>
      <w:r w:rsidR="00807E54" w:rsidRPr="003D481C">
        <w:rPr>
          <w:rFonts w:ascii="Arial" w:hAnsi="Arial" w:cs="Arial"/>
          <w:lang w:val="en-US"/>
        </w:rPr>
        <w:t xml:space="preserve"> </w:t>
      </w:r>
      <w:r w:rsidR="00002C7D" w:rsidRPr="003D481C">
        <w:rPr>
          <w:rFonts w:ascii="Arial" w:hAnsi="Arial" w:cs="Arial"/>
          <w:lang w:val="en-US"/>
        </w:rPr>
        <w:t xml:space="preserve">background </w:t>
      </w:r>
      <w:r w:rsidR="001509D3" w:rsidRPr="003D481C">
        <w:rPr>
          <w:rFonts w:ascii="Arial" w:hAnsi="Arial" w:cs="Arial"/>
          <w:lang w:val="en-US"/>
        </w:rPr>
        <w:t xml:space="preserve">he provides </w:t>
      </w:r>
      <w:r w:rsidR="008C2F85" w:rsidRPr="003D481C">
        <w:rPr>
          <w:rFonts w:ascii="Arial" w:hAnsi="Arial" w:cs="Arial"/>
          <w:lang w:val="en-US"/>
        </w:rPr>
        <w:t xml:space="preserve">in that regard </w:t>
      </w:r>
      <w:r w:rsidR="00002C7D" w:rsidRPr="003D481C">
        <w:rPr>
          <w:rFonts w:ascii="Arial" w:hAnsi="Arial" w:cs="Arial"/>
          <w:lang w:val="en-US"/>
        </w:rPr>
        <w:t>is as follows:</w:t>
      </w:r>
    </w:p>
    <w:p w14:paraId="24F46F28" w14:textId="3B2079DC" w:rsidR="00463EA9"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1.1.</w:t>
      </w:r>
      <w:r>
        <w:rPr>
          <w:rFonts w:ascii="Arial" w:hAnsi="Arial" w:cs="Arial"/>
          <w:lang w:val="en-US"/>
        </w:rPr>
        <w:tab/>
      </w:r>
      <w:r w:rsidR="001509D3" w:rsidRPr="003D481C">
        <w:rPr>
          <w:rFonts w:ascii="Arial" w:hAnsi="Arial" w:cs="Arial"/>
          <w:lang w:val="en-US"/>
        </w:rPr>
        <w:t>The applicant</w:t>
      </w:r>
      <w:r w:rsidR="00002C7D" w:rsidRPr="003D481C">
        <w:rPr>
          <w:rFonts w:ascii="Arial" w:hAnsi="Arial" w:cs="Arial"/>
          <w:lang w:val="en-US"/>
        </w:rPr>
        <w:t xml:space="preserve"> first took up </w:t>
      </w:r>
      <w:r w:rsidR="001509D3" w:rsidRPr="003D481C">
        <w:rPr>
          <w:rFonts w:ascii="Arial" w:hAnsi="Arial" w:cs="Arial"/>
          <w:lang w:val="en-US"/>
        </w:rPr>
        <w:t xml:space="preserve">his </w:t>
      </w:r>
      <w:r w:rsidR="00002C7D" w:rsidRPr="003D481C">
        <w:rPr>
          <w:rFonts w:ascii="Arial" w:hAnsi="Arial" w:cs="Arial"/>
          <w:lang w:val="en-US"/>
        </w:rPr>
        <w:t xml:space="preserve">position in January 2007, to fulfill his contractual obligations under a state bursary contract which, in exchange for financial assistance for his studies, required him to work at a state institution for a period of two years. </w:t>
      </w:r>
      <w:r w:rsidR="00463EA9" w:rsidRPr="003D481C">
        <w:rPr>
          <w:rFonts w:ascii="Arial" w:hAnsi="Arial" w:cs="Arial"/>
          <w:lang w:val="en-US"/>
        </w:rPr>
        <w:t>Although he was contractually required to report for duty 5 days a week, due to equipment constraints, he was only able to offer optometric services at the hospital for 4 days a week initially</w:t>
      </w:r>
      <w:r w:rsidR="007D6B07" w:rsidRPr="003D481C">
        <w:rPr>
          <w:rFonts w:ascii="Arial" w:hAnsi="Arial" w:cs="Arial"/>
          <w:lang w:val="en-US"/>
        </w:rPr>
        <w:t xml:space="preserve"> – </w:t>
      </w:r>
      <w:r w:rsidR="00463EA9" w:rsidRPr="003D481C">
        <w:rPr>
          <w:rFonts w:ascii="Arial" w:hAnsi="Arial" w:cs="Arial"/>
          <w:lang w:val="en-US"/>
        </w:rPr>
        <w:t xml:space="preserve">and later for only 2 days a week. He raised </w:t>
      </w:r>
      <w:r w:rsidR="007D6B07" w:rsidRPr="003D481C">
        <w:rPr>
          <w:rFonts w:ascii="Arial" w:hAnsi="Arial" w:cs="Arial"/>
          <w:lang w:val="en-US"/>
        </w:rPr>
        <w:t xml:space="preserve">concerns </w:t>
      </w:r>
      <w:r w:rsidR="00463EA9" w:rsidRPr="003D481C">
        <w:rPr>
          <w:rFonts w:ascii="Arial" w:hAnsi="Arial" w:cs="Arial"/>
          <w:lang w:val="en-US"/>
        </w:rPr>
        <w:t>in this regard with the Department</w:t>
      </w:r>
      <w:r w:rsidR="00C275AD" w:rsidRPr="003D481C">
        <w:rPr>
          <w:rFonts w:ascii="Arial" w:hAnsi="Arial" w:cs="Arial"/>
          <w:lang w:val="en-US"/>
        </w:rPr>
        <w:t>,</w:t>
      </w:r>
      <w:r w:rsidR="00463EA9" w:rsidRPr="003D481C">
        <w:rPr>
          <w:rFonts w:ascii="Arial" w:hAnsi="Arial" w:cs="Arial"/>
          <w:lang w:val="en-US"/>
        </w:rPr>
        <w:t xml:space="preserve"> but </w:t>
      </w:r>
      <w:r w:rsidR="001509D3" w:rsidRPr="003D481C">
        <w:rPr>
          <w:rFonts w:ascii="Arial" w:hAnsi="Arial" w:cs="Arial"/>
          <w:lang w:val="en-US"/>
        </w:rPr>
        <w:t>no additional facilities were made available. He nevertheless continued to receive his full salary for a 5-day work week</w:t>
      </w:r>
      <w:r w:rsidR="00463EA9" w:rsidRPr="003D481C">
        <w:rPr>
          <w:rFonts w:ascii="Arial" w:hAnsi="Arial" w:cs="Arial"/>
          <w:lang w:val="en-US"/>
        </w:rPr>
        <w:t xml:space="preserve">. </w:t>
      </w:r>
    </w:p>
    <w:p w14:paraId="1A54DB54" w14:textId="3DAF9AB3" w:rsidR="007D6B07"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1.2.</w:t>
      </w:r>
      <w:r>
        <w:rPr>
          <w:rFonts w:ascii="Arial" w:hAnsi="Arial" w:cs="Arial"/>
          <w:lang w:val="en-US"/>
        </w:rPr>
        <w:tab/>
      </w:r>
      <w:r w:rsidR="00463EA9" w:rsidRPr="003D481C">
        <w:rPr>
          <w:rFonts w:ascii="Arial" w:hAnsi="Arial" w:cs="Arial"/>
          <w:lang w:val="en-US"/>
        </w:rPr>
        <w:t>In January 2010, s</w:t>
      </w:r>
      <w:r w:rsidR="00002C7D" w:rsidRPr="003D481C">
        <w:rPr>
          <w:rFonts w:ascii="Arial" w:hAnsi="Arial" w:cs="Arial"/>
          <w:lang w:val="en-US"/>
        </w:rPr>
        <w:t xml:space="preserve">hortly after </w:t>
      </w:r>
      <w:r w:rsidR="00463EA9" w:rsidRPr="003D481C">
        <w:rPr>
          <w:rFonts w:ascii="Arial" w:hAnsi="Arial" w:cs="Arial"/>
          <w:lang w:val="en-US"/>
        </w:rPr>
        <w:t xml:space="preserve">his bursary service period ended, </w:t>
      </w:r>
      <w:r w:rsidR="00002C7D" w:rsidRPr="003D481C">
        <w:rPr>
          <w:rFonts w:ascii="Arial" w:hAnsi="Arial" w:cs="Arial"/>
          <w:lang w:val="en-US"/>
        </w:rPr>
        <w:t xml:space="preserve">the applicant </w:t>
      </w:r>
      <w:r w:rsidR="00463EA9" w:rsidRPr="003D481C">
        <w:rPr>
          <w:rFonts w:ascii="Arial" w:hAnsi="Arial" w:cs="Arial"/>
          <w:lang w:val="en-US"/>
        </w:rPr>
        <w:t>wrote to the Department proposing that he be employed on new contractual terms – namely</w:t>
      </w:r>
      <w:r w:rsidR="00C275AD" w:rsidRPr="003D481C">
        <w:rPr>
          <w:rFonts w:ascii="Arial" w:hAnsi="Arial" w:cs="Arial"/>
          <w:lang w:val="en-US"/>
        </w:rPr>
        <w:t>,</w:t>
      </w:r>
      <w:r w:rsidR="00463EA9" w:rsidRPr="003D481C">
        <w:rPr>
          <w:rFonts w:ascii="Arial" w:hAnsi="Arial" w:cs="Arial"/>
          <w:lang w:val="en-US"/>
        </w:rPr>
        <w:t xml:space="preserve"> that he take on greater responsibilities (including conducting weekly visits to satellite clinics, and that he undertake training of junior optometrists) in exchange for a higher remuneration level.</w:t>
      </w:r>
      <w:r w:rsidR="007D6B07" w:rsidRPr="003D481C">
        <w:rPr>
          <w:rFonts w:ascii="Arial" w:hAnsi="Arial" w:cs="Arial"/>
          <w:lang w:val="en-US"/>
        </w:rPr>
        <w:t xml:space="preserve"> </w:t>
      </w:r>
      <w:r w:rsidR="00463EA9" w:rsidRPr="003D481C">
        <w:rPr>
          <w:rFonts w:ascii="Arial" w:hAnsi="Arial" w:cs="Arial"/>
          <w:lang w:val="en-US"/>
        </w:rPr>
        <w:t xml:space="preserve">The Department acknowledged receipt of that proposal but never reverted to the applicant. Nor did it increase his </w:t>
      </w:r>
      <w:r w:rsidR="007D6B07" w:rsidRPr="003D481C">
        <w:rPr>
          <w:rFonts w:ascii="Arial" w:hAnsi="Arial" w:cs="Arial"/>
          <w:lang w:val="en-US"/>
        </w:rPr>
        <w:t xml:space="preserve">salary as requested, or confer the proposed </w:t>
      </w:r>
      <w:r w:rsidR="00463EA9" w:rsidRPr="003D481C">
        <w:rPr>
          <w:rFonts w:ascii="Arial" w:hAnsi="Arial" w:cs="Arial"/>
          <w:lang w:val="en-US"/>
        </w:rPr>
        <w:t xml:space="preserve">responsibilities </w:t>
      </w:r>
      <w:r w:rsidR="007D6B07" w:rsidRPr="003D481C">
        <w:rPr>
          <w:rFonts w:ascii="Arial" w:hAnsi="Arial" w:cs="Arial"/>
          <w:lang w:val="en-US"/>
        </w:rPr>
        <w:t>on him</w:t>
      </w:r>
      <w:r w:rsidR="00463EA9" w:rsidRPr="003D481C">
        <w:rPr>
          <w:rFonts w:ascii="Arial" w:hAnsi="Arial" w:cs="Arial"/>
          <w:lang w:val="en-US"/>
        </w:rPr>
        <w:t xml:space="preserve">. </w:t>
      </w:r>
    </w:p>
    <w:p w14:paraId="247A4B28" w14:textId="2BCADD54" w:rsidR="001509D3"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1.3.</w:t>
      </w:r>
      <w:r>
        <w:rPr>
          <w:rFonts w:ascii="Arial" w:hAnsi="Arial" w:cs="Arial"/>
          <w:lang w:val="en-US"/>
        </w:rPr>
        <w:tab/>
      </w:r>
      <w:r w:rsidR="007D6B07" w:rsidRPr="003D481C">
        <w:rPr>
          <w:rFonts w:ascii="Arial" w:hAnsi="Arial" w:cs="Arial"/>
          <w:lang w:val="en-US"/>
        </w:rPr>
        <w:t>The applicant remained in the Department’s employment, and continued to provide optometric services at the hospital,</w:t>
      </w:r>
      <w:r w:rsidR="001509D3" w:rsidRPr="003D481C">
        <w:rPr>
          <w:rFonts w:ascii="Arial" w:hAnsi="Arial" w:cs="Arial"/>
          <w:lang w:val="en-US"/>
        </w:rPr>
        <w:t xml:space="preserve"> on the same basis as before</w:t>
      </w:r>
      <w:r w:rsidR="007D6B07" w:rsidRPr="003D481C">
        <w:rPr>
          <w:rFonts w:ascii="Arial" w:hAnsi="Arial" w:cs="Arial"/>
          <w:lang w:val="en-US"/>
        </w:rPr>
        <w:t xml:space="preserve"> until Tuesday 11 February 2020. </w:t>
      </w:r>
    </w:p>
    <w:p w14:paraId="34F2D637" w14:textId="7912E25D" w:rsidR="00807E54"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lastRenderedPageBreak/>
        <w:t>2.</w:t>
      </w:r>
      <w:r>
        <w:rPr>
          <w:rFonts w:ascii="Arial" w:hAnsi="Arial" w:cs="Arial"/>
          <w:lang w:val="en-US"/>
        </w:rPr>
        <w:tab/>
      </w:r>
      <w:r w:rsidR="00807E54" w:rsidRPr="003D481C">
        <w:rPr>
          <w:rFonts w:ascii="Arial" w:hAnsi="Arial" w:cs="Arial"/>
          <w:lang w:val="en-US"/>
        </w:rPr>
        <w:t>It is common cause</w:t>
      </w:r>
      <w:r w:rsidR="008C2F85" w:rsidRPr="003D481C">
        <w:rPr>
          <w:rFonts w:ascii="Arial" w:hAnsi="Arial" w:cs="Arial"/>
          <w:lang w:val="en-US"/>
        </w:rPr>
        <w:t xml:space="preserve"> between the parties</w:t>
      </w:r>
      <w:r w:rsidR="00807E54" w:rsidRPr="003D481C">
        <w:rPr>
          <w:rFonts w:ascii="Arial" w:hAnsi="Arial" w:cs="Arial"/>
          <w:lang w:val="en-US"/>
        </w:rPr>
        <w:t xml:space="preserve"> that this was </w:t>
      </w:r>
      <w:r w:rsidR="008C2F85" w:rsidRPr="003D481C">
        <w:rPr>
          <w:rFonts w:ascii="Arial" w:hAnsi="Arial" w:cs="Arial"/>
          <w:lang w:val="en-US"/>
        </w:rPr>
        <w:t xml:space="preserve">the applicant’s </w:t>
      </w:r>
      <w:r w:rsidR="00807E54" w:rsidRPr="003D481C">
        <w:rPr>
          <w:rFonts w:ascii="Arial" w:hAnsi="Arial" w:cs="Arial"/>
          <w:lang w:val="en-US"/>
        </w:rPr>
        <w:t>last day at work, and that his employment with the Department was</w:t>
      </w:r>
      <w:r w:rsidR="008C2F85" w:rsidRPr="003D481C">
        <w:rPr>
          <w:rFonts w:ascii="Arial" w:hAnsi="Arial" w:cs="Arial"/>
          <w:lang w:val="en-US"/>
        </w:rPr>
        <w:t xml:space="preserve"> subsequently</w:t>
      </w:r>
      <w:r w:rsidR="00807E54" w:rsidRPr="003D481C">
        <w:rPr>
          <w:rFonts w:ascii="Arial" w:hAnsi="Arial" w:cs="Arial"/>
          <w:lang w:val="en-US"/>
        </w:rPr>
        <w:t xml:space="preserve"> terminated</w:t>
      </w:r>
      <w:r w:rsidR="008C2F85" w:rsidRPr="003D481C">
        <w:rPr>
          <w:rFonts w:ascii="Arial" w:hAnsi="Arial" w:cs="Arial"/>
          <w:lang w:val="en-US"/>
        </w:rPr>
        <w:t>,</w:t>
      </w:r>
      <w:r w:rsidR="00807E54" w:rsidRPr="003D481C">
        <w:rPr>
          <w:rFonts w:ascii="Arial" w:hAnsi="Arial" w:cs="Arial"/>
          <w:lang w:val="en-US"/>
        </w:rPr>
        <w:t xml:space="preserve"> with effect from 31 March 2020.  </w:t>
      </w:r>
    </w:p>
    <w:p w14:paraId="146EB0E4" w14:textId="5C90501A" w:rsidR="00807E54"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3.</w:t>
      </w:r>
      <w:r>
        <w:rPr>
          <w:rFonts w:ascii="Arial" w:hAnsi="Arial" w:cs="Arial"/>
          <w:lang w:val="en-US"/>
        </w:rPr>
        <w:tab/>
      </w:r>
      <w:r w:rsidR="00807E54" w:rsidRPr="003D481C">
        <w:rPr>
          <w:rFonts w:ascii="Arial" w:hAnsi="Arial" w:cs="Arial"/>
          <w:lang w:val="en-US"/>
        </w:rPr>
        <w:t xml:space="preserve">The parties’ accounts of the applicant’s </w:t>
      </w:r>
      <w:r w:rsidR="003151EA" w:rsidRPr="003D481C">
        <w:rPr>
          <w:rFonts w:ascii="Arial" w:hAnsi="Arial" w:cs="Arial"/>
          <w:lang w:val="en-US"/>
        </w:rPr>
        <w:t xml:space="preserve">absence </w:t>
      </w:r>
      <w:r w:rsidR="008C2F85" w:rsidRPr="003D481C">
        <w:rPr>
          <w:rFonts w:ascii="Arial" w:hAnsi="Arial" w:cs="Arial"/>
          <w:lang w:val="en-US"/>
        </w:rPr>
        <w:t xml:space="preserve">from work </w:t>
      </w:r>
      <w:r w:rsidR="003151EA" w:rsidRPr="003D481C">
        <w:rPr>
          <w:rFonts w:ascii="Arial" w:hAnsi="Arial" w:cs="Arial"/>
          <w:lang w:val="en-US"/>
        </w:rPr>
        <w:t xml:space="preserve">and </w:t>
      </w:r>
      <w:r w:rsidR="008C2F85" w:rsidRPr="003D481C">
        <w:rPr>
          <w:rFonts w:ascii="Arial" w:hAnsi="Arial" w:cs="Arial"/>
          <w:lang w:val="en-US"/>
        </w:rPr>
        <w:t xml:space="preserve">his dismissal </w:t>
      </w:r>
      <w:r w:rsidR="00807E54" w:rsidRPr="003D481C">
        <w:rPr>
          <w:rFonts w:ascii="Arial" w:hAnsi="Arial" w:cs="Arial"/>
          <w:lang w:val="en-US"/>
        </w:rPr>
        <w:t>differ</w:t>
      </w:r>
      <w:r w:rsidR="00013166" w:rsidRPr="003D481C">
        <w:rPr>
          <w:rFonts w:ascii="Arial" w:hAnsi="Arial" w:cs="Arial"/>
          <w:lang w:val="en-US"/>
        </w:rPr>
        <w:t>.</w:t>
      </w:r>
    </w:p>
    <w:p w14:paraId="3CE392E9" w14:textId="576C4774" w:rsidR="009E3C9A"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3.1.</w:t>
      </w:r>
      <w:r>
        <w:rPr>
          <w:rFonts w:ascii="Arial" w:hAnsi="Arial" w:cs="Arial"/>
          <w:lang w:val="en-US"/>
        </w:rPr>
        <w:tab/>
      </w:r>
      <w:r w:rsidR="00807E54" w:rsidRPr="003D481C">
        <w:rPr>
          <w:rFonts w:ascii="Arial" w:hAnsi="Arial" w:cs="Arial"/>
          <w:lang w:val="en-US"/>
        </w:rPr>
        <w:t xml:space="preserve">The applicant states that he did </w:t>
      </w:r>
      <w:r w:rsidR="007D6B07" w:rsidRPr="003D481C">
        <w:rPr>
          <w:rFonts w:ascii="Arial" w:hAnsi="Arial" w:cs="Arial"/>
          <w:lang w:val="en-US"/>
        </w:rPr>
        <w:t xml:space="preserve">not attend work from Wednesday 12 February 2020, </w:t>
      </w:r>
      <w:r w:rsidR="001509D3" w:rsidRPr="003D481C">
        <w:rPr>
          <w:rFonts w:ascii="Arial" w:hAnsi="Arial" w:cs="Arial"/>
          <w:lang w:val="en-US"/>
        </w:rPr>
        <w:t xml:space="preserve">primarily </w:t>
      </w:r>
      <w:r w:rsidR="007D6B07" w:rsidRPr="003D481C">
        <w:rPr>
          <w:rFonts w:ascii="Arial" w:hAnsi="Arial" w:cs="Arial"/>
          <w:lang w:val="en-US"/>
        </w:rPr>
        <w:t xml:space="preserve">because his February 2020 salary </w:t>
      </w:r>
      <w:r w:rsidR="00013166" w:rsidRPr="003D481C">
        <w:rPr>
          <w:rFonts w:ascii="Arial" w:hAnsi="Arial" w:cs="Arial"/>
          <w:lang w:val="en-US"/>
        </w:rPr>
        <w:t xml:space="preserve">had </w:t>
      </w:r>
      <w:r w:rsidR="00C275AD" w:rsidRPr="003D481C">
        <w:rPr>
          <w:rFonts w:ascii="Arial" w:hAnsi="Arial" w:cs="Arial"/>
          <w:lang w:val="en-US"/>
        </w:rPr>
        <w:t>not been paid</w:t>
      </w:r>
      <w:r w:rsidR="00807E54" w:rsidRPr="003D481C">
        <w:rPr>
          <w:rFonts w:ascii="Arial" w:hAnsi="Arial" w:cs="Arial"/>
          <w:lang w:val="en-US"/>
        </w:rPr>
        <w:t xml:space="preserve">, prejudicing his ability to </w:t>
      </w:r>
      <w:r w:rsidR="00013166" w:rsidRPr="003D481C">
        <w:rPr>
          <w:rFonts w:ascii="Arial" w:hAnsi="Arial" w:cs="Arial"/>
          <w:lang w:val="en-US"/>
        </w:rPr>
        <w:t>report for duty</w:t>
      </w:r>
      <w:r w:rsidR="00807E54" w:rsidRPr="003D481C">
        <w:rPr>
          <w:rFonts w:ascii="Arial" w:hAnsi="Arial" w:cs="Arial"/>
          <w:lang w:val="en-US"/>
        </w:rPr>
        <w:t>. When he and his union representative engaged with the respondents’ representatives regarding the late salary payment and his return to work, he was instructed</w:t>
      </w:r>
      <w:r w:rsidR="009E3C9A" w:rsidRPr="003D481C">
        <w:rPr>
          <w:rFonts w:ascii="Arial" w:hAnsi="Arial" w:cs="Arial"/>
          <w:lang w:val="en-US"/>
        </w:rPr>
        <w:t xml:space="preserve"> </w:t>
      </w:r>
      <w:r w:rsidR="00807E54" w:rsidRPr="003D481C">
        <w:rPr>
          <w:rFonts w:ascii="Arial" w:hAnsi="Arial" w:cs="Arial"/>
          <w:lang w:val="en-US"/>
        </w:rPr>
        <w:t>to resolve his</w:t>
      </w:r>
      <w:r w:rsidR="009E3C9A" w:rsidRPr="003D481C">
        <w:rPr>
          <w:rFonts w:ascii="Arial" w:hAnsi="Arial" w:cs="Arial"/>
          <w:lang w:val="en-US"/>
        </w:rPr>
        <w:t xml:space="preserve"> </w:t>
      </w:r>
      <w:r w:rsidR="00807E54" w:rsidRPr="003D481C">
        <w:rPr>
          <w:rFonts w:ascii="Arial" w:hAnsi="Arial" w:cs="Arial"/>
          <w:lang w:val="en-US"/>
        </w:rPr>
        <w:t xml:space="preserve">registration with the Health Professions Council of South Africa (“HSPCA”). </w:t>
      </w:r>
      <w:r w:rsidR="009E3C9A" w:rsidRPr="003D481C">
        <w:rPr>
          <w:rFonts w:ascii="Arial" w:hAnsi="Arial" w:cs="Arial"/>
          <w:lang w:val="en-US"/>
        </w:rPr>
        <w:t>That had become an issue because, a</w:t>
      </w:r>
      <w:r w:rsidR="00807E54" w:rsidRPr="003D481C">
        <w:rPr>
          <w:rFonts w:ascii="Arial" w:hAnsi="Arial" w:cs="Arial"/>
          <w:lang w:val="en-US"/>
        </w:rPr>
        <w:t xml:space="preserve">lthough </w:t>
      </w:r>
      <w:r w:rsidR="00013166" w:rsidRPr="003D481C">
        <w:rPr>
          <w:rFonts w:ascii="Arial" w:hAnsi="Arial" w:cs="Arial"/>
          <w:lang w:val="en-US"/>
        </w:rPr>
        <w:t xml:space="preserve">optometrists are required to be registered with the HSPCA to practice as such, the applicant’s registration had been suspended from 24 November 2011. The applicant </w:t>
      </w:r>
      <w:r w:rsidR="009E3C9A" w:rsidRPr="003D481C">
        <w:rPr>
          <w:rFonts w:ascii="Arial" w:hAnsi="Arial" w:cs="Arial"/>
          <w:lang w:val="en-US"/>
        </w:rPr>
        <w:t xml:space="preserve">applied for restoration of his name to the register on about 20 January 2020, and </w:t>
      </w:r>
      <w:r w:rsidR="00013166" w:rsidRPr="003D481C">
        <w:rPr>
          <w:rFonts w:ascii="Arial" w:hAnsi="Arial" w:cs="Arial"/>
          <w:lang w:val="en-US"/>
        </w:rPr>
        <w:t xml:space="preserve">made </w:t>
      </w:r>
      <w:r w:rsidR="009E3C9A" w:rsidRPr="003D481C">
        <w:rPr>
          <w:rFonts w:ascii="Arial" w:hAnsi="Arial" w:cs="Arial"/>
          <w:lang w:val="en-US"/>
        </w:rPr>
        <w:t>payment to the HSPCA in respect thereof on about 25 February 2020 (</w:t>
      </w:r>
      <w:r w:rsidR="008C2F85" w:rsidRPr="003D481C">
        <w:rPr>
          <w:rFonts w:ascii="Arial" w:hAnsi="Arial" w:cs="Arial"/>
          <w:lang w:val="en-US"/>
        </w:rPr>
        <w:t xml:space="preserve">when he also sent </w:t>
      </w:r>
      <w:r w:rsidR="009E3C9A" w:rsidRPr="003D481C">
        <w:rPr>
          <w:rFonts w:ascii="Arial" w:hAnsi="Arial" w:cs="Arial"/>
          <w:lang w:val="en-US"/>
        </w:rPr>
        <w:t>proof of payment to the Department).</w:t>
      </w:r>
      <w:r w:rsidR="008C2F85" w:rsidRPr="003D481C">
        <w:rPr>
          <w:rFonts w:ascii="Arial" w:hAnsi="Arial" w:cs="Arial"/>
          <w:lang w:val="en-US"/>
        </w:rPr>
        <w:t xml:space="preserve"> He made a further payment to the HSPCA in early July 2020.</w:t>
      </w:r>
      <w:r w:rsidR="009E3C9A" w:rsidRPr="003D481C">
        <w:rPr>
          <w:rFonts w:ascii="Arial" w:hAnsi="Arial" w:cs="Arial"/>
          <w:lang w:val="en-US"/>
        </w:rPr>
        <w:t xml:space="preserve"> He was ultimately re-registered</w:t>
      </w:r>
      <w:r w:rsidR="001509D3" w:rsidRPr="003D481C">
        <w:rPr>
          <w:rFonts w:ascii="Arial" w:hAnsi="Arial" w:cs="Arial"/>
          <w:lang w:val="en-US"/>
        </w:rPr>
        <w:t xml:space="preserve"> during 2020</w:t>
      </w:r>
      <w:r w:rsidR="008C2F85" w:rsidRPr="003D481C">
        <w:rPr>
          <w:rFonts w:ascii="Arial" w:hAnsi="Arial" w:cs="Arial"/>
          <w:lang w:val="en-US"/>
        </w:rPr>
        <w:t xml:space="preserve">, </w:t>
      </w:r>
      <w:r w:rsidR="009E3C9A" w:rsidRPr="003D481C">
        <w:rPr>
          <w:rFonts w:ascii="Arial" w:hAnsi="Arial" w:cs="Arial"/>
          <w:lang w:val="en-US"/>
        </w:rPr>
        <w:t xml:space="preserve">although the </w:t>
      </w:r>
      <w:r w:rsidR="001509D3" w:rsidRPr="003D481C">
        <w:rPr>
          <w:rFonts w:ascii="Arial" w:hAnsi="Arial" w:cs="Arial"/>
          <w:lang w:val="en-US"/>
        </w:rPr>
        <w:t xml:space="preserve">exact </w:t>
      </w:r>
      <w:r w:rsidR="009E3C9A" w:rsidRPr="003D481C">
        <w:rPr>
          <w:rFonts w:ascii="Arial" w:hAnsi="Arial" w:cs="Arial"/>
          <w:lang w:val="en-US"/>
        </w:rPr>
        <w:t>date on which that occurred is not clear.</w:t>
      </w:r>
      <w:r w:rsidR="009E3C9A">
        <w:rPr>
          <w:rStyle w:val="FootnoteReference"/>
          <w:rFonts w:ascii="Arial" w:hAnsi="Arial" w:cs="Arial"/>
          <w:lang w:val="en-US"/>
        </w:rPr>
        <w:footnoteReference w:id="1"/>
      </w:r>
      <w:r w:rsidR="001509D3" w:rsidRPr="003D481C">
        <w:rPr>
          <w:rFonts w:ascii="Arial" w:hAnsi="Arial" w:cs="Arial"/>
          <w:lang w:val="en-US"/>
        </w:rPr>
        <w:t xml:space="preserve">  He subsequently learned, by way of a telephone call on 18 December 2020, that he had been dismissed</w:t>
      </w:r>
      <w:r w:rsidR="00C275AD" w:rsidRPr="003D481C">
        <w:rPr>
          <w:rFonts w:ascii="Arial" w:hAnsi="Arial" w:cs="Arial"/>
          <w:lang w:val="en-US"/>
        </w:rPr>
        <w:t xml:space="preserve"> from employment at the hospital </w:t>
      </w:r>
      <w:r w:rsidR="001509D3" w:rsidRPr="003D481C">
        <w:rPr>
          <w:rFonts w:ascii="Arial" w:hAnsi="Arial" w:cs="Arial"/>
          <w:lang w:val="en-US"/>
        </w:rPr>
        <w:t xml:space="preserve">in March 2020. He </w:t>
      </w:r>
      <w:r w:rsidR="00C275AD" w:rsidRPr="003D481C">
        <w:rPr>
          <w:rFonts w:ascii="Arial" w:hAnsi="Arial" w:cs="Arial"/>
          <w:lang w:val="en-US"/>
        </w:rPr>
        <w:t xml:space="preserve">states that he did </w:t>
      </w:r>
      <w:r w:rsidR="001509D3" w:rsidRPr="003D481C">
        <w:rPr>
          <w:rFonts w:ascii="Arial" w:hAnsi="Arial" w:cs="Arial"/>
          <w:lang w:val="en-US"/>
        </w:rPr>
        <w:t xml:space="preserve">not receive notice of either his suspension or termination because </w:t>
      </w:r>
      <w:r w:rsidR="00C275AD" w:rsidRPr="003D481C">
        <w:rPr>
          <w:rFonts w:ascii="Arial" w:hAnsi="Arial" w:cs="Arial"/>
          <w:lang w:val="en-US"/>
        </w:rPr>
        <w:t xml:space="preserve">the Department sent </w:t>
      </w:r>
      <w:r w:rsidR="008C2F85" w:rsidRPr="003D481C">
        <w:rPr>
          <w:rFonts w:ascii="Arial" w:hAnsi="Arial" w:cs="Arial"/>
          <w:lang w:val="en-US"/>
        </w:rPr>
        <w:t>notice</w:t>
      </w:r>
      <w:r w:rsidR="00C275AD" w:rsidRPr="003D481C">
        <w:rPr>
          <w:rFonts w:ascii="Arial" w:hAnsi="Arial" w:cs="Arial"/>
          <w:lang w:val="en-US"/>
        </w:rPr>
        <w:t xml:space="preserve"> thereof</w:t>
      </w:r>
      <w:r w:rsidR="001509D3" w:rsidRPr="003D481C">
        <w:rPr>
          <w:rFonts w:ascii="Arial" w:hAnsi="Arial" w:cs="Arial"/>
          <w:lang w:val="en-US"/>
        </w:rPr>
        <w:t xml:space="preserve"> to an outdated address.</w:t>
      </w:r>
      <w:r w:rsidR="00C275AD" w:rsidRPr="003D481C">
        <w:rPr>
          <w:rFonts w:ascii="Arial" w:hAnsi="Arial" w:cs="Arial"/>
          <w:lang w:val="en-US"/>
        </w:rPr>
        <w:t xml:space="preserve"> He submits that, as a consequence, he was not afforded an opportunity to be heard prior to being dismissed.</w:t>
      </w:r>
    </w:p>
    <w:p w14:paraId="6E59399E" w14:textId="11C7FE6D" w:rsidR="003151EA"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3.2.</w:t>
      </w:r>
      <w:r>
        <w:rPr>
          <w:rFonts w:ascii="Arial" w:hAnsi="Arial" w:cs="Arial"/>
          <w:lang w:val="en-US"/>
        </w:rPr>
        <w:tab/>
      </w:r>
      <w:r w:rsidR="001509D3" w:rsidRPr="003D481C">
        <w:rPr>
          <w:rFonts w:ascii="Arial" w:hAnsi="Arial" w:cs="Arial"/>
          <w:lang w:val="en-US"/>
        </w:rPr>
        <w:t>The respondents</w:t>
      </w:r>
      <w:r w:rsidR="003151EA" w:rsidRPr="003D481C">
        <w:rPr>
          <w:rFonts w:ascii="Arial" w:hAnsi="Arial" w:cs="Arial"/>
          <w:lang w:val="en-US"/>
        </w:rPr>
        <w:t>’</w:t>
      </w:r>
      <w:r w:rsidR="001509D3" w:rsidRPr="003D481C">
        <w:rPr>
          <w:rFonts w:ascii="Arial" w:hAnsi="Arial" w:cs="Arial"/>
          <w:lang w:val="en-US"/>
        </w:rPr>
        <w:t xml:space="preserve"> position is that the </w:t>
      </w:r>
      <w:r w:rsidR="003151EA" w:rsidRPr="003D481C">
        <w:rPr>
          <w:rFonts w:ascii="Arial" w:hAnsi="Arial" w:cs="Arial"/>
          <w:lang w:val="en-US"/>
        </w:rPr>
        <w:t>applicant was</w:t>
      </w:r>
      <w:r w:rsidR="001509D3" w:rsidRPr="003D481C">
        <w:rPr>
          <w:rFonts w:ascii="Arial" w:hAnsi="Arial" w:cs="Arial"/>
          <w:lang w:val="en-US"/>
        </w:rPr>
        <w:t>, by</w:t>
      </w:r>
      <w:r w:rsidR="003151EA" w:rsidRPr="003D481C">
        <w:rPr>
          <w:rFonts w:ascii="Arial" w:hAnsi="Arial" w:cs="Arial"/>
          <w:lang w:val="en-US"/>
        </w:rPr>
        <w:t xml:space="preserve"> his own admission, absent from work without leave</w:t>
      </w:r>
      <w:r w:rsidR="00C275AD" w:rsidRPr="003D481C">
        <w:rPr>
          <w:rFonts w:ascii="Arial" w:hAnsi="Arial" w:cs="Arial"/>
          <w:lang w:val="en-US"/>
        </w:rPr>
        <w:t xml:space="preserve"> or permissible reason</w:t>
      </w:r>
      <w:r w:rsidR="003151EA" w:rsidRPr="003D481C">
        <w:rPr>
          <w:rFonts w:ascii="Arial" w:hAnsi="Arial" w:cs="Arial"/>
          <w:lang w:val="en-US"/>
        </w:rPr>
        <w:t xml:space="preserve"> from 11 </w:t>
      </w:r>
      <w:r w:rsidR="003151EA" w:rsidRPr="003D481C">
        <w:rPr>
          <w:rFonts w:ascii="Arial" w:hAnsi="Arial" w:cs="Arial"/>
          <w:lang w:val="en-US"/>
        </w:rPr>
        <w:lastRenderedPageBreak/>
        <w:t>February 2020</w:t>
      </w:r>
      <w:r w:rsidR="008C2F85" w:rsidRPr="003D481C">
        <w:rPr>
          <w:rFonts w:ascii="Arial" w:hAnsi="Arial" w:cs="Arial"/>
          <w:lang w:val="en-US"/>
        </w:rPr>
        <w:t xml:space="preserve">. </w:t>
      </w:r>
      <w:r w:rsidR="002966BB" w:rsidRPr="003D481C">
        <w:rPr>
          <w:rFonts w:ascii="Arial" w:hAnsi="Arial" w:cs="Arial"/>
          <w:lang w:val="en-US"/>
        </w:rPr>
        <w:t>They</w:t>
      </w:r>
      <w:r w:rsidR="008C2F85" w:rsidRPr="003D481C">
        <w:rPr>
          <w:rFonts w:ascii="Arial" w:hAnsi="Arial" w:cs="Arial"/>
          <w:lang w:val="en-US"/>
        </w:rPr>
        <w:t xml:space="preserve"> say that such absence could</w:t>
      </w:r>
      <w:r w:rsidR="002966BB" w:rsidRPr="003D481C">
        <w:rPr>
          <w:rFonts w:ascii="Arial" w:hAnsi="Arial" w:cs="Arial"/>
          <w:lang w:val="en-US"/>
        </w:rPr>
        <w:t xml:space="preserve"> not</w:t>
      </w:r>
      <w:r w:rsidR="008C2F85" w:rsidRPr="003D481C">
        <w:rPr>
          <w:rFonts w:ascii="Arial" w:hAnsi="Arial" w:cs="Arial"/>
          <w:lang w:val="en-US"/>
        </w:rPr>
        <w:t xml:space="preserve"> have been attributable to non-payment of </w:t>
      </w:r>
      <w:r w:rsidR="002966BB" w:rsidRPr="003D481C">
        <w:rPr>
          <w:rFonts w:ascii="Arial" w:hAnsi="Arial" w:cs="Arial"/>
          <w:lang w:val="en-US"/>
        </w:rPr>
        <w:t xml:space="preserve">the applicant’s </w:t>
      </w:r>
      <w:r w:rsidR="008C2F85" w:rsidRPr="003D481C">
        <w:rPr>
          <w:rFonts w:ascii="Arial" w:hAnsi="Arial" w:cs="Arial"/>
          <w:lang w:val="en-US"/>
        </w:rPr>
        <w:t xml:space="preserve">salary since, on </w:t>
      </w:r>
      <w:r w:rsidR="002966BB" w:rsidRPr="003D481C">
        <w:rPr>
          <w:rFonts w:ascii="Arial" w:hAnsi="Arial" w:cs="Arial"/>
          <w:lang w:val="en-US"/>
        </w:rPr>
        <w:t xml:space="preserve">his </w:t>
      </w:r>
      <w:r w:rsidR="008C2F85" w:rsidRPr="003D481C">
        <w:rPr>
          <w:rFonts w:ascii="Arial" w:hAnsi="Arial" w:cs="Arial"/>
          <w:lang w:val="en-US"/>
        </w:rPr>
        <w:t xml:space="preserve">own version, </w:t>
      </w:r>
      <w:r w:rsidR="00C275AD" w:rsidRPr="003D481C">
        <w:rPr>
          <w:rFonts w:ascii="Arial" w:hAnsi="Arial" w:cs="Arial"/>
          <w:lang w:val="en-US"/>
        </w:rPr>
        <w:t xml:space="preserve">he ceased attending work before his salary </w:t>
      </w:r>
      <w:r w:rsidR="008C2F85" w:rsidRPr="003D481C">
        <w:rPr>
          <w:rFonts w:ascii="Arial" w:hAnsi="Arial" w:cs="Arial"/>
          <w:lang w:val="en-US"/>
        </w:rPr>
        <w:t xml:space="preserve">was due to be paid </w:t>
      </w:r>
      <w:r w:rsidR="00C275AD" w:rsidRPr="003D481C">
        <w:rPr>
          <w:rFonts w:ascii="Arial" w:hAnsi="Arial" w:cs="Arial"/>
          <w:lang w:val="en-US"/>
        </w:rPr>
        <w:t>(</w:t>
      </w:r>
      <w:r w:rsidR="008C2F85" w:rsidRPr="003D481C">
        <w:rPr>
          <w:rFonts w:ascii="Arial" w:hAnsi="Arial" w:cs="Arial"/>
          <w:lang w:val="en-US"/>
        </w:rPr>
        <w:t>on 15 February 2020</w:t>
      </w:r>
      <w:r w:rsidR="00C275AD" w:rsidRPr="003D481C">
        <w:rPr>
          <w:rFonts w:ascii="Arial" w:hAnsi="Arial" w:cs="Arial"/>
          <w:lang w:val="en-US"/>
        </w:rPr>
        <w:t>)</w:t>
      </w:r>
      <w:r w:rsidR="008C2F85" w:rsidRPr="003D481C">
        <w:rPr>
          <w:rFonts w:ascii="Arial" w:hAnsi="Arial" w:cs="Arial"/>
          <w:lang w:val="en-US"/>
        </w:rPr>
        <w:t xml:space="preserve">. </w:t>
      </w:r>
      <w:r w:rsidR="002966BB" w:rsidRPr="003D481C">
        <w:rPr>
          <w:rFonts w:ascii="Arial" w:hAnsi="Arial" w:cs="Arial"/>
          <w:lang w:val="en-US"/>
        </w:rPr>
        <w:t>But w</w:t>
      </w:r>
      <w:r w:rsidR="008C2F85" w:rsidRPr="003D481C">
        <w:rPr>
          <w:rFonts w:ascii="Arial" w:hAnsi="Arial" w:cs="Arial"/>
          <w:lang w:val="en-US"/>
        </w:rPr>
        <w:t xml:space="preserve">hatever the reason for the applicant’s absence, it </w:t>
      </w:r>
      <w:r w:rsidR="003151EA" w:rsidRPr="003D481C">
        <w:rPr>
          <w:rFonts w:ascii="Arial" w:hAnsi="Arial" w:cs="Arial"/>
          <w:lang w:val="en-US"/>
        </w:rPr>
        <w:t>constituted serious misconduct</w:t>
      </w:r>
      <w:r w:rsidR="008C2F85" w:rsidRPr="003D481C">
        <w:rPr>
          <w:rFonts w:ascii="Arial" w:hAnsi="Arial" w:cs="Arial"/>
          <w:lang w:val="en-US"/>
        </w:rPr>
        <w:t>.</w:t>
      </w:r>
      <w:r w:rsidR="002966BB" w:rsidRPr="003D481C">
        <w:rPr>
          <w:rFonts w:ascii="Arial" w:hAnsi="Arial" w:cs="Arial"/>
          <w:lang w:val="en-US"/>
        </w:rPr>
        <w:t xml:space="preserve"> </w:t>
      </w:r>
      <w:r w:rsidR="008C2F85" w:rsidRPr="003D481C">
        <w:rPr>
          <w:rFonts w:ascii="Arial" w:hAnsi="Arial" w:cs="Arial"/>
          <w:lang w:val="en-US"/>
        </w:rPr>
        <w:t xml:space="preserve">Warning letters were sent to the applicant’s </w:t>
      </w:r>
      <w:r w:rsidR="008C2F85" w:rsidRPr="003D481C">
        <w:rPr>
          <w:rFonts w:ascii="Arial" w:hAnsi="Arial" w:cs="Arial"/>
          <w:i/>
          <w:iCs/>
          <w:lang w:val="en-US"/>
        </w:rPr>
        <w:t xml:space="preserve">domicilium </w:t>
      </w:r>
      <w:r w:rsidR="008C2F85" w:rsidRPr="003D481C">
        <w:rPr>
          <w:rFonts w:ascii="Arial" w:hAnsi="Arial" w:cs="Arial"/>
          <w:lang w:val="en-US"/>
        </w:rPr>
        <w:t>address</w:t>
      </w:r>
      <w:r w:rsidR="008C2F85" w:rsidRPr="003D481C">
        <w:rPr>
          <w:rFonts w:ascii="Arial" w:hAnsi="Arial" w:cs="Arial"/>
          <w:i/>
          <w:iCs/>
          <w:lang w:val="en-US"/>
        </w:rPr>
        <w:t xml:space="preserve"> </w:t>
      </w:r>
      <w:r w:rsidR="008C2F85" w:rsidRPr="003D481C">
        <w:rPr>
          <w:rFonts w:ascii="Arial" w:hAnsi="Arial" w:cs="Arial"/>
          <w:lang w:val="en-US"/>
        </w:rPr>
        <w:t xml:space="preserve">on about 5 and 12 March 2020, but did not </w:t>
      </w:r>
      <w:r w:rsidR="00C275AD" w:rsidRPr="003D481C">
        <w:rPr>
          <w:rFonts w:ascii="Arial" w:hAnsi="Arial" w:cs="Arial"/>
          <w:lang w:val="en-US"/>
        </w:rPr>
        <w:t xml:space="preserve">trigger </w:t>
      </w:r>
      <w:r w:rsidR="008C2F85" w:rsidRPr="003D481C">
        <w:rPr>
          <w:rFonts w:ascii="Arial" w:hAnsi="Arial" w:cs="Arial"/>
          <w:lang w:val="en-US"/>
        </w:rPr>
        <w:t>a return to work</w:t>
      </w:r>
      <w:r w:rsidR="00C275AD" w:rsidRPr="003D481C">
        <w:rPr>
          <w:rFonts w:ascii="Arial" w:hAnsi="Arial" w:cs="Arial"/>
          <w:lang w:val="en-US"/>
        </w:rPr>
        <w:t xml:space="preserve"> or a response</w:t>
      </w:r>
      <w:r w:rsidR="008C2F85" w:rsidRPr="003D481C">
        <w:rPr>
          <w:rFonts w:ascii="Arial" w:hAnsi="Arial" w:cs="Arial"/>
          <w:lang w:val="en-US"/>
        </w:rPr>
        <w:t xml:space="preserve">.  Consequently, </w:t>
      </w:r>
      <w:r w:rsidR="00E6394D" w:rsidRPr="003D481C">
        <w:rPr>
          <w:rFonts w:ascii="Arial" w:hAnsi="Arial" w:cs="Arial"/>
          <w:lang w:val="en-US"/>
        </w:rPr>
        <w:t xml:space="preserve">the first respondent’s </w:t>
      </w:r>
      <w:r w:rsidR="008C2F85" w:rsidRPr="003D481C">
        <w:rPr>
          <w:rFonts w:ascii="Arial" w:hAnsi="Arial" w:cs="Arial"/>
          <w:lang w:val="en-US"/>
        </w:rPr>
        <w:t xml:space="preserve">decision to terminate the applicant’s </w:t>
      </w:r>
      <w:r w:rsidR="003151EA" w:rsidRPr="003D481C">
        <w:rPr>
          <w:rFonts w:ascii="Arial" w:hAnsi="Arial" w:cs="Arial"/>
          <w:lang w:val="en-US"/>
        </w:rPr>
        <w:t>employment</w:t>
      </w:r>
      <w:r w:rsidR="009D7319" w:rsidRPr="003D481C">
        <w:rPr>
          <w:rFonts w:ascii="Arial" w:hAnsi="Arial" w:cs="Arial"/>
          <w:lang w:val="en-US"/>
        </w:rPr>
        <w:t xml:space="preserve"> in terms of section 17(3)(a) of the Public Service Act 103 of 1994</w:t>
      </w:r>
      <w:r w:rsidR="008C2F85" w:rsidRPr="003D481C">
        <w:rPr>
          <w:rFonts w:ascii="Arial" w:hAnsi="Arial" w:cs="Arial"/>
          <w:lang w:val="en-US"/>
        </w:rPr>
        <w:t xml:space="preserve"> was </w:t>
      </w:r>
      <w:r w:rsidR="00C275AD" w:rsidRPr="003D481C">
        <w:rPr>
          <w:rFonts w:ascii="Arial" w:hAnsi="Arial" w:cs="Arial"/>
          <w:lang w:val="en-US"/>
        </w:rPr>
        <w:t xml:space="preserve">lawful and </w:t>
      </w:r>
      <w:r w:rsidR="008C2F85" w:rsidRPr="003D481C">
        <w:rPr>
          <w:rFonts w:ascii="Arial" w:hAnsi="Arial" w:cs="Arial"/>
          <w:lang w:val="en-US"/>
        </w:rPr>
        <w:t>justified</w:t>
      </w:r>
      <w:r w:rsidR="003151EA" w:rsidRPr="003D481C">
        <w:rPr>
          <w:rFonts w:ascii="Arial" w:hAnsi="Arial" w:cs="Arial"/>
          <w:lang w:val="en-US"/>
        </w:rPr>
        <w:t xml:space="preserve">. </w:t>
      </w:r>
    </w:p>
    <w:p w14:paraId="3E908301" w14:textId="0AD31A30" w:rsidR="009D731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4.</w:t>
      </w:r>
      <w:r>
        <w:rPr>
          <w:rFonts w:ascii="Arial" w:hAnsi="Arial" w:cs="Arial"/>
          <w:lang w:val="en-US"/>
        </w:rPr>
        <w:tab/>
      </w:r>
      <w:r w:rsidR="003151EA" w:rsidRPr="003D481C">
        <w:rPr>
          <w:rFonts w:ascii="Arial" w:hAnsi="Arial" w:cs="Arial"/>
          <w:lang w:val="en-US"/>
        </w:rPr>
        <w:t>During early 2021, the applicant referred an unfair dismissal complaint to the CCMA</w:t>
      </w:r>
      <w:r w:rsidR="00C275AD" w:rsidRPr="003D481C">
        <w:rPr>
          <w:rFonts w:ascii="Arial" w:hAnsi="Arial" w:cs="Arial"/>
          <w:lang w:val="en-US"/>
        </w:rPr>
        <w:t>,</w:t>
      </w:r>
      <w:r w:rsidR="003151EA" w:rsidRPr="003D481C">
        <w:rPr>
          <w:rFonts w:ascii="Arial" w:hAnsi="Arial" w:cs="Arial"/>
          <w:lang w:val="en-US"/>
        </w:rPr>
        <w:t xml:space="preserve"> which in turn referred </w:t>
      </w:r>
      <w:r w:rsidR="009D7319" w:rsidRPr="003D481C">
        <w:rPr>
          <w:rFonts w:ascii="Arial" w:hAnsi="Arial" w:cs="Arial"/>
          <w:lang w:val="en-US"/>
        </w:rPr>
        <w:t xml:space="preserve">the </w:t>
      </w:r>
      <w:r w:rsidR="003151EA" w:rsidRPr="003D481C">
        <w:rPr>
          <w:rFonts w:ascii="Arial" w:hAnsi="Arial" w:cs="Arial"/>
          <w:lang w:val="en-US"/>
        </w:rPr>
        <w:t xml:space="preserve">dispute to the </w:t>
      </w:r>
      <w:r w:rsidR="009D7319" w:rsidRPr="003D481C">
        <w:rPr>
          <w:rFonts w:ascii="Arial" w:hAnsi="Arial" w:cs="Arial"/>
          <w:lang w:val="en-US"/>
        </w:rPr>
        <w:t xml:space="preserve">General Public Service Sector </w:t>
      </w:r>
      <w:r w:rsidR="003151EA" w:rsidRPr="003D481C">
        <w:rPr>
          <w:rFonts w:ascii="Arial" w:hAnsi="Arial" w:cs="Arial"/>
          <w:lang w:val="en-US"/>
        </w:rPr>
        <w:t>Bargaining Council.</w:t>
      </w:r>
      <w:r w:rsidR="009D7319" w:rsidRPr="003D481C">
        <w:rPr>
          <w:rFonts w:ascii="Arial" w:hAnsi="Arial" w:cs="Arial"/>
          <w:lang w:val="en-US"/>
        </w:rPr>
        <w:t xml:space="preserve"> None of those records </w:t>
      </w:r>
      <w:r w:rsidR="002966BB" w:rsidRPr="003D481C">
        <w:rPr>
          <w:rFonts w:ascii="Arial" w:hAnsi="Arial" w:cs="Arial"/>
          <w:lang w:val="en-US"/>
        </w:rPr>
        <w:t xml:space="preserve">is </w:t>
      </w:r>
      <w:r w:rsidR="009D7319" w:rsidRPr="003D481C">
        <w:rPr>
          <w:rFonts w:ascii="Arial" w:hAnsi="Arial" w:cs="Arial"/>
          <w:lang w:val="en-US"/>
        </w:rPr>
        <w:t xml:space="preserve">before the Court, and it is unclear </w:t>
      </w:r>
      <w:r w:rsidR="002966BB" w:rsidRPr="003D481C">
        <w:rPr>
          <w:rFonts w:ascii="Arial" w:hAnsi="Arial" w:cs="Arial"/>
          <w:lang w:val="en-US"/>
        </w:rPr>
        <w:t xml:space="preserve">what came of those processes. </w:t>
      </w:r>
    </w:p>
    <w:p w14:paraId="4C9D7C40" w14:textId="48C94A1F" w:rsidR="009D731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5.</w:t>
      </w:r>
      <w:r>
        <w:rPr>
          <w:rFonts w:ascii="Arial" w:hAnsi="Arial" w:cs="Arial"/>
          <w:lang w:val="en-US"/>
        </w:rPr>
        <w:tab/>
      </w:r>
      <w:r w:rsidR="002966BB" w:rsidRPr="003D481C">
        <w:rPr>
          <w:rFonts w:ascii="Arial" w:hAnsi="Arial" w:cs="Arial"/>
          <w:lang w:val="en-US"/>
        </w:rPr>
        <w:t xml:space="preserve">It is clear, however, that they did not bear </w:t>
      </w:r>
      <w:r w:rsidR="009D7319" w:rsidRPr="003D481C">
        <w:rPr>
          <w:rFonts w:ascii="Arial" w:hAnsi="Arial" w:cs="Arial"/>
          <w:lang w:val="en-US"/>
        </w:rPr>
        <w:t>fruit for the applicant</w:t>
      </w:r>
      <w:r w:rsidR="002966BB" w:rsidRPr="003D481C">
        <w:rPr>
          <w:rFonts w:ascii="Arial" w:hAnsi="Arial" w:cs="Arial"/>
          <w:lang w:val="en-US"/>
        </w:rPr>
        <w:t xml:space="preserve"> </w:t>
      </w:r>
      <w:r w:rsidR="009D7319" w:rsidRPr="003D481C">
        <w:rPr>
          <w:rFonts w:ascii="Arial" w:hAnsi="Arial" w:cs="Arial"/>
          <w:lang w:val="en-US"/>
        </w:rPr>
        <w:t xml:space="preserve">because on 21 May 2021, he (through an attorney) filed an internal appeal against </w:t>
      </w:r>
      <w:r w:rsidR="00C275AD" w:rsidRPr="003D481C">
        <w:rPr>
          <w:rFonts w:ascii="Arial" w:hAnsi="Arial" w:cs="Arial"/>
          <w:lang w:val="en-US"/>
        </w:rPr>
        <w:t>the</w:t>
      </w:r>
      <w:r w:rsidR="009D7319" w:rsidRPr="003D481C">
        <w:rPr>
          <w:rFonts w:ascii="Arial" w:hAnsi="Arial" w:cs="Arial"/>
          <w:lang w:val="en-US"/>
        </w:rPr>
        <w:t xml:space="preserve"> termination </w:t>
      </w:r>
      <w:r w:rsidR="00C275AD" w:rsidRPr="003D481C">
        <w:rPr>
          <w:rFonts w:ascii="Arial" w:hAnsi="Arial" w:cs="Arial"/>
          <w:lang w:val="en-US"/>
        </w:rPr>
        <w:t xml:space="preserve">of his employment, </w:t>
      </w:r>
      <w:r w:rsidR="009D7319" w:rsidRPr="003D481C">
        <w:rPr>
          <w:rFonts w:ascii="Arial" w:hAnsi="Arial" w:cs="Arial"/>
          <w:lang w:val="en-US"/>
        </w:rPr>
        <w:t xml:space="preserve">to the second respondent, the MEC. The appeal </w:t>
      </w:r>
      <w:r w:rsidR="002966BB" w:rsidRPr="003D481C">
        <w:rPr>
          <w:rFonts w:ascii="Arial" w:hAnsi="Arial" w:cs="Arial"/>
          <w:lang w:val="en-US"/>
        </w:rPr>
        <w:t xml:space="preserve">set out the </w:t>
      </w:r>
      <w:r w:rsidR="009D7319" w:rsidRPr="003D481C">
        <w:rPr>
          <w:rFonts w:ascii="Arial" w:hAnsi="Arial" w:cs="Arial"/>
          <w:lang w:val="en-US"/>
        </w:rPr>
        <w:t xml:space="preserve">context and explanation </w:t>
      </w:r>
      <w:r w:rsidR="002966BB" w:rsidRPr="003D481C">
        <w:rPr>
          <w:rFonts w:ascii="Arial" w:hAnsi="Arial" w:cs="Arial"/>
          <w:lang w:val="en-US"/>
        </w:rPr>
        <w:t>recorded above</w:t>
      </w:r>
      <w:r w:rsidR="009D7319" w:rsidRPr="003D481C">
        <w:rPr>
          <w:rFonts w:ascii="Arial" w:hAnsi="Arial" w:cs="Arial"/>
          <w:lang w:val="en-US"/>
        </w:rPr>
        <w:t xml:space="preserve">, and submitted that </w:t>
      </w:r>
      <w:r w:rsidR="002966BB" w:rsidRPr="003D481C">
        <w:rPr>
          <w:rFonts w:ascii="Arial" w:hAnsi="Arial" w:cs="Arial"/>
          <w:lang w:val="en-US"/>
        </w:rPr>
        <w:t xml:space="preserve">the applicant’s </w:t>
      </w:r>
      <w:r w:rsidR="009D7319" w:rsidRPr="003D481C">
        <w:rPr>
          <w:rFonts w:ascii="Arial" w:hAnsi="Arial" w:cs="Arial"/>
          <w:lang w:val="en-US"/>
        </w:rPr>
        <w:t xml:space="preserve">termination had been substantively and procedurally unfair, unjustified and unreasonable. It sought </w:t>
      </w:r>
      <w:r w:rsidR="002966BB" w:rsidRPr="003D481C">
        <w:rPr>
          <w:rFonts w:ascii="Arial" w:hAnsi="Arial" w:cs="Arial"/>
          <w:lang w:val="en-US"/>
        </w:rPr>
        <w:t>the</w:t>
      </w:r>
      <w:r w:rsidR="009D7319" w:rsidRPr="003D481C">
        <w:rPr>
          <w:rFonts w:ascii="Arial" w:hAnsi="Arial" w:cs="Arial"/>
          <w:lang w:val="en-US"/>
        </w:rPr>
        <w:t xml:space="preserve"> immediate re-instatement </w:t>
      </w:r>
      <w:r w:rsidR="002966BB" w:rsidRPr="003D481C">
        <w:rPr>
          <w:rFonts w:ascii="Arial" w:hAnsi="Arial" w:cs="Arial"/>
          <w:lang w:val="en-US"/>
        </w:rPr>
        <w:t xml:space="preserve">or re-employment of the applicant </w:t>
      </w:r>
      <w:r w:rsidR="009D7319" w:rsidRPr="003D481C">
        <w:rPr>
          <w:rFonts w:ascii="Arial" w:hAnsi="Arial" w:cs="Arial"/>
          <w:lang w:val="en-US"/>
        </w:rPr>
        <w:t>to his previous post.</w:t>
      </w:r>
    </w:p>
    <w:p w14:paraId="49BBE1D5" w14:textId="5F109597" w:rsidR="009D731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6.</w:t>
      </w:r>
      <w:r>
        <w:rPr>
          <w:rFonts w:ascii="Arial" w:hAnsi="Arial" w:cs="Arial"/>
          <w:lang w:val="en-US"/>
        </w:rPr>
        <w:tab/>
      </w:r>
      <w:r w:rsidR="009D7319" w:rsidRPr="003D481C">
        <w:rPr>
          <w:rFonts w:ascii="Arial" w:hAnsi="Arial" w:cs="Arial"/>
          <w:lang w:val="en-US"/>
        </w:rPr>
        <w:t>The MEC dismissed the appeal on about 4 March 2022. She found that the applicant had failed to provide reasons for his failure to report for duty, and consequently that the termination was justified in terms of section 17(3)(a) of the Public Service Act. She refused to re</w:t>
      </w:r>
      <w:r w:rsidR="002966BB" w:rsidRPr="003D481C">
        <w:rPr>
          <w:rFonts w:ascii="Arial" w:hAnsi="Arial" w:cs="Arial"/>
          <w:lang w:val="en-US"/>
        </w:rPr>
        <w:t>-</w:t>
      </w:r>
      <w:r w:rsidR="009D7319" w:rsidRPr="003D481C">
        <w:rPr>
          <w:rFonts w:ascii="Arial" w:hAnsi="Arial" w:cs="Arial"/>
          <w:lang w:val="en-US"/>
        </w:rPr>
        <w:t xml:space="preserve">instate </w:t>
      </w:r>
      <w:r w:rsidR="002966BB" w:rsidRPr="003D481C">
        <w:rPr>
          <w:rFonts w:ascii="Arial" w:hAnsi="Arial" w:cs="Arial"/>
          <w:lang w:val="en-US"/>
        </w:rPr>
        <w:t xml:space="preserve">or re-employ </w:t>
      </w:r>
      <w:r w:rsidR="009D7319" w:rsidRPr="003D481C">
        <w:rPr>
          <w:rFonts w:ascii="Arial" w:hAnsi="Arial" w:cs="Arial"/>
          <w:lang w:val="en-US"/>
        </w:rPr>
        <w:t>him.</w:t>
      </w:r>
    </w:p>
    <w:p w14:paraId="5E7F70F4" w14:textId="2BDA1D2F" w:rsidR="002966BB"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7.</w:t>
      </w:r>
      <w:r>
        <w:rPr>
          <w:rFonts w:ascii="Arial" w:hAnsi="Arial" w:cs="Arial"/>
          <w:lang w:val="en-US"/>
        </w:rPr>
        <w:tab/>
      </w:r>
      <w:r w:rsidR="00E6394D" w:rsidRPr="003D481C">
        <w:rPr>
          <w:rFonts w:ascii="Arial" w:hAnsi="Arial" w:cs="Arial"/>
          <w:lang w:val="en-US"/>
        </w:rPr>
        <w:t>That triggered the present application</w:t>
      </w:r>
      <w:r w:rsidR="002966BB" w:rsidRPr="003D481C">
        <w:rPr>
          <w:rFonts w:ascii="Arial" w:hAnsi="Arial" w:cs="Arial"/>
          <w:lang w:val="en-US"/>
        </w:rPr>
        <w:t>:</w:t>
      </w:r>
    </w:p>
    <w:p w14:paraId="417D6D9B" w14:textId="4B2D029C" w:rsidR="00E6394D"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7.1.</w:t>
      </w:r>
      <w:r>
        <w:rPr>
          <w:rFonts w:ascii="Arial" w:hAnsi="Arial" w:cs="Arial"/>
          <w:lang w:val="en-US"/>
        </w:rPr>
        <w:tab/>
      </w:r>
      <w:r w:rsidR="005E519E" w:rsidRPr="003D481C">
        <w:rPr>
          <w:rFonts w:ascii="Arial" w:hAnsi="Arial" w:cs="Arial"/>
          <w:lang w:val="en-US"/>
        </w:rPr>
        <w:t>During October 2022, t</w:t>
      </w:r>
      <w:r w:rsidR="00E6394D" w:rsidRPr="003D481C">
        <w:rPr>
          <w:rFonts w:ascii="Arial" w:hAnsi="Arial" w:cs="Arial"/>
          <w:lang w:val="en-US"/>
        </w:rPr>
        <w:t>he applicant instituted proceedings to review and set aside his termination, as well as the MEC’s refusal of his appeal, and sought an order re-instating</w:t>
      </w:r>
      <w:r w:rsidR="002966BB" w:rsidRPr="003D481C">
        <w:rPr>
          <w:rFonts w:ascii="Arial" w:hAnsi="Arial" w:cs="Arial"/>
          <w:lang w:val="en-US"/>
        </w:rPr>
        <w:t xml:space="preserve"> </w:t>
      </w:r>
      <w:r w:rsidR="00E6394D" w:rsidRPr="003D481C">
        <w:rPr>
          <w:rFonts w:ascii="Arial" w:hAnsi="Arial" w:cs="Arial"/>
          <w:lang w:val="en-US"/>
        </w:rPr>
        <w:t xml:space="preserve">him to his previous post. </w:t>
      </w:r>
    </w:p>
    <w:p w14:paraId="3D70C939" w14:textId="41D7FE73" w:rsidR="00016F9F"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lastRenderedPageBreak/>
        <w:t>7.2.</w:t>
      </w:r>
      <w:r>
        <w:rPr>
          <w:rFonts w:ascii="Arial" w:hAnsi="Arial" w:cs="Arial"/>
          <w:lang w:val="en-US"/>
        </w:rPr>
        <w:tab/>
      </w:r>
      <w:r w:rsidR="00E6394D" w:rsidRPr="003D481C">
        <w:rPr>
          <w:rFonts w:ascii="Arial" w:hAnsi="Arial" w:cs="Arial"/>
          <w:lang w:val="en-US"/>
        </w:rPr>
        <w:t>The respondents opposed the application and filed answering papers</w:t>
      </w:r>
      <w:r w:rsidR="003E695A" w:rsidRPr="003D481C">
        <w:rPr>
          <w:rFonts w:ascii="Arial" w:hAnsi="Arial" w:cs="Arial"/>
          <w:lang w:val="en-US"/>
        </w:rPr>
        <w:t>,</w:t>
      </w:r>
      <w:r w:rsidR="00E6394D" w:rsidRPr="003D481C">
        <w:rPr>
          <w:rFonts w:ascii="Arial" w:hAnsi="Arial" w:cs="Arial"/>
          <w:lang w:val="en-US"/>
        </w:rPr>
        <w:t xml:space="preserve"> out of time. The applicant opposed condonation for the late filing</w:t>
      </w:r>
      <w:r w:rsidR="003E695A" w:rsidRPr="003D481C">
        <w:rPr>
          <w:rFonts w:ascii="Arial" w:hAnsi="Arial" w:cs="Arial"/>
          <w:lang w:val="en-US"/>
        </w:rPr>
        <w:t xml:space="preserve"> of the answering papers, but nevertheless filed a replying affidavit</w:t>
      </w:r>
      <w:r w:rsidR="00E6394D" w:rsidRPr="003D481C">
        <w:rPr>
          <w:rFonts w:ascii="Arial" w:hAnsi="Arial" w:cs="Arial"/>
          <w:lang w:val="en-US"/>
        </w:rPr>
        <w:t>.</w:t>
      </w:r>
      <w:r w:rsidR="003E695A" w:rsidRPr="003D481C">
        <w:rPr>
          <w:rFonts w:ascii="Arial" w:hAnsi="Arial" w:cs="Arial"/>
          <w:lang w:val="en-US"/>
        </w:rPr>
        <w:t xml:space="preserve"> </w:t>
      </w:r>
    </w:p>
    <w:p w14:paraId="634D6277" w14:textId="746B9AB3" w:rsidR="003E695A"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7.3.</w:t>
      </w:r>
      <w:r>
        <w:rPr>
          <w:rFonts w:ascii="Arial" w:hAnsi="Arial" w:cs="Arial"/>
          <w:lang w:val="en-US"/>
        </w:rPr>
        <w:tab/>
      </w:r>
      <w:r w:rsidR="003E695A" w:rsidRPr="003D481C">
        <w:rPr>
          <w:rFonts w:ascii="Arial" w:hAnsi="Arial" w:cs="Arial"/>
          <w:lang w:val="en-US"/>
        </w:rPr>
        <w:t xml:space="preserve">Some months after he had done so, </w:t>
      </w:r>
      <w:r w:rsidR="002966BB" w:rsidRPr="003D481C">
        <w:rPr>
          <w:rFonts w:ascii="Arial" w:hAnsi="Arial" w:cs="Arial"/>
          <w:lang w:val="en-US"/>
        </w:rPr>
        <w:t>the applicant</w:t>
      </w:r>
      <w:r w:rsidR="003E695A" w:rsidRPr="003D481C">
        <w:rPr>
          <w:rFonts w:ascii="Arial" w:hAnsi="Arial" w:cs="Arial"/>
          <w:lang w:val="en-US"/>
        </w:rPr>
        <w:t xml:space="preserve"> </w:t>
      </w:r>
      <w:r w:rsidR="00016F9F" w:rsidRPr="003D481C">
        <w:rPr>
          <w:rFonts w:ascii="Arial" w:hAnsi="Arial" w:cs="Arial"/>
          <w:lang w:val="en-US"/>
        </w:rPr>
        <w:t>filed a notice of intention to amend his notice of motion. No notice of objection was filed, and</w:t>
      </w:r>
      <w:r w:rsidR="00C275AD" w:rsidRPr="003D481C">
        <w:rPr>
          <w:rFonts w:ascii="Arial" w:hAnsi="Arial" w:cs="Arial"/>
          <w:lang w:val="en-US"/>
        </w:rPr>
        <w:t>, in September 2023,</w:t>
      </w:r>
      <w:r w:rsidR="00016F9F" w:rsidRPr="003D481C">
        <w:rPr>
          <w:rFonts w:ascii="Arial" w:hAnsi="Arial" w:cs="Arial"/>
          <w:lang w:val="en-US"/>
        </w:rPr>
        <w:t xml:space="preserve"> the applicant filed an</w:t>
      </w:r>
      <w:r w:rsidR="003E695A" w:rsidRPr="003D481C">
        <w:rPr>
          <w:rFonts w:ascii="Arial" w:hAnsi="Arial" w:cs="Arial"/>
          <w:lang w:val="en-US"/>
        </w:rPr>
        <w:t xml:space="preserve"> amended notice of motion</w:t>
      </w:r>
      <w:r w:rsidR="00016F9F" w:rsidRPr="003D481C">
        <w:rPr>
          <w:rFonts w:ascii="Arial" w:hAnsi="Arial" w:cs="Arial"/>
          <w:lang w:val="en-US"/>
        </w:rPr>
        <w:t>,</w:t>
      </w:r>
      <w:r w:rsidR="002966BB" w:rsidRPr="003D481C">
        <w:rPr>
          <w:rFonts w:ascii="Arial" w:hAnsi="Arial" w:cs="Arial"/>
          <w:lang w:val="en-US"/>
        </w:rPr>
        <w:t xml:space="preserve"> </w:t>
      </w:r>
      <w:r w:rsidR="00016F9F" w:rsidRPr="003D481C">
        <w:rPr>
          <w:rFonts w:ascii="Arial" w:hAnsi="Arial" w:cs="Arial"/>
          <w:lang w:val="en-US"/>
        </w:rPr>
        <w:t xml:space="preserve">and </w:t>
      </w:r>
      <w:r w:rsidR="002966BB" w:rsidRPr="003D481C">
        <w:rPr>
          <w:rFonts w:ascii="Arial" w:hAnsi="Arial" w:cs="Arial"/>
          <w:lang w:val="en-US"/>
        </w:rPr>
        <w:t xml:space="preserve">an </w:t>
      </w:r>
      <w:r w:rsidR="00016F9F" w:rsidRPr="003D481C">
        <w:rPr>
          <w:rFonts w:ascii="Arial" w:hAnsi="Arial" w:cs="Arial"/>
          <w:lang w:val="en-US"/>
        </w:rPr>
        <w:t xml:space="preserve">accompanying “supplementary founding affidavit”. The amended notice of motion </w:t>
      </w:r>
      <w:r w:rsidR="003E695A" w:rsidRPr="003D481C">
        <w:rPr>
          <w:rFonts w:ascii="Arial" w:hAnsi="Arial" w:cs="Arial"/>
          <w:lang w:val="en-US"/>
        </w:rPr>
        <w:t>seek</w:t>
      </w:r>
      <w:r w:rsidR="00016F9F" w:rsidRPr="003D481C">
        <w:rPr>
          <w:rFonts w:ascii="Arial" w:hAnsi="Arial" w:cs="Arial"/>
          <w:lang w:val="en-US"/>
        </w:rPr>
        <w:t>s</w:t>
      </w:r>
      <w:r w:rsidR="003E695A" w:rsidRPr="003D481C">
        <w:rPr>
          <w:rFonts w:ascii="Arial" w:hAnsi="Arial" w:cs="Arial"/>
          <w:lang w:val="en-US"/>
        </w:rPr>
        <w:t xml:space="preserve"> </w:t>
      </w:r>
      <w:r w:rsidR="00C71424" w:rsidRPr="003D481C">
        <w:rPr>
          <w:rFonts w:ascii="Arial" w:hAnsi="Arial" w:cs="Arial"/>
          <w:lang w:val="en-US"/>
        </w:rPr>
        <w:t xml:space="preserve">additional </w:t>
      </w:r>
      <w:r w:rsidR="003E695A" w:rsidRPr="003D481C">
        <w:rPr>
          <w:rFonts w:ascii="Arial" w:hAnsi="Arial" w:cs="Arial"/>
          <w:lang w:val="en-US"/>
        </w:rPr>
        <w:t>orders:</w:t>
      </w:r>
    </w:p>
    <w:p w14:paraId="2AC76CA9" w14:textId="59FEC079" w:rsidR="003E695A" w:rsidRPr="003D481C" w:rsidRDefault="003D481C" w:rsidP="003D481C">
      <w:pPr>
        <w:spacing w:after="240" w:line="360" w:lineRule="auto"/>
        <w:ind w:left="2410" w:hanging="992"/>
        <w:jc w:val="both"/>
        <w:rPr>
          <w:rFonts w:ascii="Arial" w:hAnsi="Arial" w:cs="Arial"/>
          <w:lang w:val="en-US"/>
        </w:rPr>
      </w:pPr>
      <w:r>
        <w:rPr>
          <w:rFonts w:ascii="Arial" w:hAnsi="Arial" w:cs="Arial"/>
          <w:lang w:val="en-US"/>
        </w:rPr>
        <w:t>7.3.1.</w:t>
      </w:r>
      <w:r>
        <w:rPr>
          <w:rFonts w:ascii="Arial" w:hAnsi="Arial" w:cs="Arial"/>
          <w:lang w:val="en-US"/>
        </w:rPr>
        <w:tab/>
      </w:r>
      <w:r w:rsidR="003E695A" w:rsidRPr="003D481C">
        <w:rPr>
          <w:rFonts w:ascii="Arial" w:hAnsi="Arial" w:cs="Arial"/>
          <w:lang w:val="en-US"/>
        </w:rPr>
        <w:t>declaring the termination letter of 25 March 2020 to be fraudulent and setting it aside;</w:t>
      </w:r>
    </w:p>
    <w:p w14:paraId="3FA06BC8" w14:textId="4DAB800A" w:rsidR="003E695A" w:rsidRPr="003D481C" w:rsidRDefault="003D481C" w:rsidP="003D481C">
      <w:pPr>
        <w:spacing w:after="240" w:line="360" w:lineRule="auto"/>
        <w:ind w:left="2410" w:hanging="992"/>
        <w:jc w:val="both"/>
        <w:rPr>
          <w:rFonts w:ascii="Arial" w:hAnsi="Arial" w:cs="Arial"/>
          <w:lang w:val="en-US"/>
        </w:rPr>
      </w:pPr>
      <w:r>
        <w:rPr>
          <w:rFonts w:ascii="Arial" w:hAnsi="Arial" w:cs="Arial"/>
          <w:lang w:val="en-US"/>
        </w:rPr>
        <w:t>7.3.2.</w:t>
      </w:r>
      <w:r>
        <w:rPr>
          <w:rFonts w:ascii="Arial" w:hAnsi="Arial" w:cs="Arial"/>
          <w:lang w:val="en-US"/>
        </w:rPr>
        <w:tab/>
      </w:r>
      <w:r w:rsidR="003E695A" w:rsidRPr="003D481C">
        <w:rPr>
          <w:rFonts w:ascii="Arial" w:hAnsi="Arial" w:cs="Arial"/>
          <w:lang w:val="en-US"/>
        </w:rPr>
        <w:t xml:space="preserve">declaring that his January 2010 proposal and the Department’s response to it constituted a contract; and </w:t>
      </w:r>
    </w:p>
    <w:p w14:paraId="0853B013" w14:textId="281760B6" w:rsidR="003E695A" w:rsidRPr="003D481C" w:rsidRDefault="003D481C" w:rsidP="003D481C">
      <w:pPr>
        <w:spacing w:after="240" w:line="360" w:lineRule="auto"/>
        <w:ind w:left="2410" w:hanging="992"/>
        <w:jc w:val="both"/>
        <w:rPr>
          <w:rFonts w:ascii="Arial" w:hAnsi="Arial" w:cs="Arial"/>
          <w:lang w:val="en-US"/>
        </w:rPr>
      </w:pPr>
      <w:r>
        <w:rPr>
          <w:rFonts w:ascii="Arial" w:hAnsi="Arial" w:cs="Arial"/>
          <w:lang w:val="en-US"/>
        </w:rPr>
        <w:t>7.3.3.</w:t>
      </w:r>
      <w:r>
        <w:rPr>
          <w:rFonts w:ascii="Arial" w:hAnsi="Arial" w:cs="Arial"/>
          <w:lang w:val="en-US"/>
        </w:rPr>
        <w:tab/>
      </w:r>
      <w:r w:rsidR="003E695A" w:rsidRPr="003D481C">
        <w:rPr>
          <w:rFonts w:ascii="Arial" w:hAnsi="Arial" w:cs="Arial"/>
          <w:lang w:val="en-US"/>
        </w:rPr>
        <w:t>for “</w:t>
      </w:r>
      <w:r w:rsidR="003E695A" w:rsidRPr="003D481C">
        <w:rPr>
          <w:rFonts w:ascii="Arial" w:hAnsi="Arial" w:cs="Arial"/>
          <w:i/>
          <w:iCs/>
          <w:lang w:val="en-US"/>
        </w:rPr>
        <w:t xml:space="preserve">restorative justice” </w:t>
      </w:r>
      <w:r w:rsidR="003E695A" w:rsidRPr="003D481C">
        <w:rPr>
          <w:rFonts w:ascii="Arial" w:hAnsi="Arial" w:cs="Arial"/>
          <w:lang w:val="en-US"/>
        </w:rPr>
        <w:t>to place the applicant in the position he would have been economically and otherwise, “</w:t>
      </w:r>
      <w:r w:rsidR="003E695A" w:rsidRPr="003D481C">
        <w:rPr>
          <w:rFonts w:ascii="Arial" w:hAnsi="Arial" w:cs="Arial"/>
          <w:i/>
          <w:iCs/>
          <w:lang w:val="en-US"/>
        </w:rPr>
        <w:t>if the injustice had not taken place”</w:t>
      </w:r>
      <w:r w:rsidR="003E695A" w:rsidRPr="003D481C">
        <w:rPr>
          <w:rFonts w:ascii="Arial" w:hAnsi="Arial" w:cs="Arial"/>
          <w:lang w:val="en-US"/>
        </w:rPr>
        <w:t xml:space="preserve">; and </w:t>
      </w:r>
    </w:p>
    <w:p w14:paraId="0D968945" w14:textId="44ECB9C2" w:rsidR="003E695A" w:rsidRPr="003D481C" w:rsidRDefault="003D481C" w:rsidP="003D481C">
      <w:pPr>
        <w:spacing w:after="240" w:line="360" w:lineRule="auto"/>
        <w:ind w:left="2410" w:hanging="992"/>
        <w:jc w:val="both"/>
        <w:rPr>
          <w:rFonts w:ascii="Arial" w:hAnsi="Arial" w:cs="Arial"/>
          <w:lang w:val="en-US"/>
        </w:rPr>
      </w:pPr>
      <w:r>
        <w:rPr>
          <w:rFonts w:ascii="Arial" w:hAnsi="Arial" w:cs="Arial"/>
          <w:lang w:val="en-US"/>
        </w:rPr>
        <w:t>7.3.4.</w:t>
      </w:r>
      <w:r>
        <w:rPr>
          <w:rFonts w:ascii="Arial" w:hAnsi="Arial" w:cs="Arial"/>
          <w:lang w:val="en-US"/>
        </w:rPr>
        <w:tab/>
      </w:r>
      <w:r w:rsidR="003E695A" w:rsidRPr="003D481C">
        <w:rPr>
          <w:rFonts w:ascii="Arial" w:hAnsi="Arial" w:cs="Arial"/>
          <w:lang w:val="en-US"/>
        </w:rPr>
        <w:t>for just and equitable compensation, “</w:t>
      </w:r>
      <w:r w:rsidR="003E695A" w:rsidRPr="003D481C">
        <w:rPr>
          <w:rFonts w:ascii="Arial" w:hAnsi="Arial" w:cs="Arial"/>
          <w:i/>
          <w:iCs/>
          <w:lang w:val="en-US"/>
        </w:rPr>
        <w:t>both delictual claim and breach of contract for the prejudice suffered”</w:t>
      </w:r>
      <w:r w:rsidR="003E695A" w:rsidRPr="003D481C">
        <w:rPr>
          <w:rFonts w:ascii="Arial" w:hAnsi="Arial" w:cs="Arial"/>
          <w:lang w:val="en-US"/>
        </w:rPr>
        <w:t xml:space="preserve">. </w:t>
      </w:r>
    </w:p>
    <w:p w14:paraId="5A94C39D" w14:textId="2A2A9F39" w:rsidR="00016F9F"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7.4.</w:t>
      </w:r>
      <w:r>
        <w:rPr>
          <w:rFonts w:ascii="Arial" w:hAnsi="Arial" w:cs="Arial"/>
          <w:lang w:val="en-US"/>
        </w:rPr>
        <w:tab/>
      </w:r>
      <w:r w:rsidR="00016F9F" w:rsidRPr="003D481C">
        <w:rPr>
          <w:rFonts w:ascii="Arial" w:hAnsi="Arial" w:cs="Arial"/>
          <w:lang w:val="en-US"/>
        </w:rPr>
        <w:t xml:space="preserve">The accompanying </w:t>
      </w:r>
      <w:r w:rsidR="00F02FA0" w:rsidRPr="003D481C">
        <w:rPr>
          <w:rFonts w:ascii="Arial" w:hAnsi="Arial" w:cs="Arial"/>
          <w:lang w:val="en-US"/>
        </w:rPr>
        <w:t>affidavit re-states many of the averments made in the founding affidavit, but also puts up new facts and legal argument in support of the relief sought. Among others, it seeks more than R9.6 million in just and equitable compensation – being the annual remuneration (with increases) that the applicant claims he would have received</w:t>
      </w:r>
      <w:r w:rsidR="0099286D" w:rsidRPr="003D481C">
        <w:rPr>
          <w:rFonts w:ascii="Arial" w:hAnsi="Arial" w:cs="Arial"/>
          <w:lang w:val="en-US"/>
        </w:rPr>
        <w:t xml:space="preserve"> under the 2010 proposal,</w:t>
      </w:r>
      <w:r w:rsidR="00F02FA0" w:rsidRPr="003D481C">
        <w:rPr>
          <w:rFonts w:ascii="Arial" w:hAnsi="Arial" w:cs="Arial"/>
          <w:lang w:val="en-US"/>
        </w:rPr>
        <w:t xml:space="preserve"> but for his dismissal.</w:t>
      </w:r>
    </w:p>
    <w:p w14:paraId="29771701" w14:textId="77777777" w:rsidR="005E519E" w:rsidRDefault="005E519E" w:rsidP="005E519E">
      <w:pPr>
        <w:spacing w:after="240"/>
        <w:jc w:val="both"/>
        <w:rPr>
          <w:rFonts w:ascii="Arial" w:hAnsi="Arial" w:cs="Arial"/>
          <w:b/>
          <w:bCs/>
          <w:lang w:val="en-US"/>
        </w:rPr>
      </w:pPr>
    </w:p>
    <w:p w14:paraId="573FD287" w14:textId="28A05203" w:rsidR="00E6394D" w:rsidRPr="00E6394D" w:rsidRDefault="00E6394D" w:rsidP="00E6394D">
      <w:pPr>
        <w:spacing w:after="240" w:line="360" w:lineRule="auto"/>
        <w:jc w:val="both"/>
        <w:rPr>
          <w:rFonts w:ascii="Arial" w:hAnsi="Arial" w:cs="Arial"/>
          <w:b/>
          <w:bCs/>
          <w:lang w:val="en-US"/>
        </w:rPr>
      </w:pPr>
      <w:r>
        <w:rPr>
          <w:rFonts w:ascii="Arial" w:hAnsi="Arial" w:cs="Arial"/>
          <w:b/>
          <w:bCs/>
          <w:lang w:val="en-US"/>
        </w:rPr>
        <w:t>CONDONATION</w:t>
      </w:r>
    </w:p>
    <w:p w14:paraId="5E166F45" w14:textId="68A12348" w:rsidR="005E519E"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8.</w:t>
      </w:r>
      <w:r>
        <w:rPr>
          <w:rFonts w:ascii="Arial" w:hAnsi="Arial" w:cs="Arial"/>
          <w:lang w:val="en-US"/>
        </w:rPr>
        <w:tab/>
      </w:r>
      <w:r w:rsidR="00E6394D" w:rsidRPr="003D481C">
        <w:rPr>
          <w:rFonts w:ascii="Arial" w:hAnsi="Arial" w:cs="Arial"/>
          <w:lang w:val="en-US"/>
        </w:rPr>
        <w:t xml:space="preserve">The </w:t>
      </w:r>
      <w:r w:rsidR="005E519E" w:rsidRPr="003D481C">
        <w:rPr>
          <w:rFonts w:ascii="Arial" w:hAnsi="Arial" w:cs="Arial"/>
          <w:lang w:val="en-US"/>
        </w:rPr>
        <w:t xml:space="preserve">respondents’ application </w:t>
      </w:r>
      <w:r w:rsidR="0099286D" w:rsidRPr="003D481C">
        <w:rPr>
          <w:rFonts w:ascii="Arial" w:hAnsi="Arial" w:cs="Arial"/>
          <w:lang w:val="en-US"/>
        </w:rPr>
        <w:t xml:space="preserve">for condonation of their late filing </w:t>
      </w:r>
      <w:r w:rsidR="005E519E" w:rsidRPr="003D481C">
        <w:rPr>
          <w:rFonts w:ascii="Arial" w:hAnsi="Arial" w:cs="Arial"/>
          <w:lang w:val="en-US"/>
        </w:rPr>
        <w:t>is made in scant terms.  The first respondent states:</w:t>
      </w:r>
    </w:p>
    <w:p w14:paraId="7955214A" w14:textId="45E2EAFF" w:rsidR="005E519E" w:rsidRDefault="005E519E" w:rsidP="00B37EAF">
      <w:pPr>
        <w:pStyle w:val="ListParagraph"/>
        <w:spacing w:after="240"/>
        <w:ind w:left="1440" w:right="521"/>
        <w:contextualSpacing w:val="0"/>
        <w:jc w:val="both"/>
        <w:rPr>
          <w:rFonts w:ascii="Arial" w:hAnsi="Arial" w:cs="Arial"/>
          <w:i/>
          <w:iCs/>
          <w:lang w:val="en-US"/>
        </w:rPr>
      </w:pPr>
      <w:r>
        <w:rPr>
          <w:rFonts w:ascii="Arial" w:hAnsi="Arial" w:cs="Arial"/>
          <w:lang w:val="en-US"/>
        </w:rPr>
        <w:lastRenderedPageBreak/>
        <w:t>“</w:t>
      </w:r>
      <w:r>
        <w:rPr>
          <w:rFonts w:ascii="Arial" w:hAnsi="Arial" w:cs="Arial"/>
          <w:i/>
          <w:iCs/>
          <w:lang w:val="en-US"/>
        </w:rPr>
        <w:t>I pray for condonation for the late filing of this Answering Affidavit. The State Attorney filed notice of opposition on 6 Janu</w:t>
      </w:r>
      <w:r w:rsidR="00AA40F6">
        <w:rPr>
          <w:rFonts w:ascii="Arial" w:hAnsi="Arial" w:cs="Arial"/>
          <w:i/>
          <w:iCs/>
          <w:lang w:val="en-US"/>
        </w:rPr>
        <w:t>a</w:t>
      </w:r>
      <w:r>
        <w:rPr>
          <w:rFonts w:ascii="Arial" w:hAnsi="Arial" w:cs="Arial"/>
          <w:i/>
          <w:iCs/>
          <w:lang w:val="en-US"/>
        </w:rPr>
        <w:t>ry 2022. After this date counsel had to be briefed and I am only now in a position to file my answering affidavit.”</w:t>
      </w:r>
    </w:p>
    <w:p w14:paraId="57E138E6" w14:textId="198E3D8D" w:rsidR="00AA40F6"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9.</w:t>
      </w:r>
      <w:r>
        <w:rPr>
          <w:rFonts w:ascii="Arial" w:hAnsi="Arial" w:cs="Arial"/>
          <w:lang w:val="en-US"/>
        </w:rPr>
        <w:tab/>
      </w:r>
      <w:r w:rsidR="00AA40F6" w:rsidRPr="003D481C">
        <w:rPr>
          <w:rFonts w:ascii="Arial" w:hAnsi="Arial" w:cs="Arial"/>
          <w:lang w:val="en-US"/>
        </w:rPr>
        <w:t xml:space="preserve">The affidavit does not record the length of the delay, nor give a </w:t>
      </w:r>
      <w:r w:rsidR="005E519E" w:rsidRPr="003D481C">
        <w:rPr>
          <w:rFonts w:ascii="Arial" w:hAnsi="Arial" w:cs="Arial"/>
          <w:lang w:val="en-US"/>
        </w:rPr>
        <w:t>fulsome explanation for it.</w:t>
      </w:r>
      <w:r w:rsidR="00AA40F6" w:rsidRPr="003D481C">
        <w:rPr>
          <w:rFonts w:ascii="Arial" w:hAnsi="Arial" w:cs="Arial"/>
          <w:lang w:val="en-US"/>
        </w:rPr>
        <w:t xml:space="preserve"> A more detailed account should usually be given where condonation is sought.</w:t>
      </w:r>
    </w:p>
    <w:p w14:paraId="3282BDCC" w14:textId="608D0484" w:rsidR="002E47F1"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10.</w:t>
      </w:r>
      <w:r>
        <w:rPr>
          <w:rFonts w:ascii="Arial" w:hAnsi="Arial" w:cs="Arial"/>
          <w:lang w:val="en-US"/>
        </w:rPr>
        <w:tab/>
      </w:r>
      <w:r w:rsidR="005E519E" w:rsidRPr="003D481C">
        <w:rPr>
          <w:rFonts w:ascii="Arial" w:hAnsi="Arial" w:cs="Arial"/>
          <w:lang w:val="en-US"/>
        </w:rPr>
        <w:t>I note</w:t>
      </w:r>
      <w:r w:rsidR="00AA40F6" w:rsidRPr="003D481C">
        <w:rPr>
          <w:rFonts w:ascii="Arial" w:hAnsi="Arial" w:cs="Arial"/>
          <w:lang w:val="en-US"/>
        </w:rPr>
        <w:t xml:space="preserve">, however, that the applicant has not himself always complied fully with the requirements of the Uniform Rules of Court (likely because he is not represented), and the respondents have not taken issue with his approach. Given their attitude, I am more inclined to grant them an indulgence. In addition, the applicant seeks, among others, to impute fraud and misconduct to them, and to be paid substantial monetary amounts under the rubric of just and equitable relief. </w:t>
      </w:r>
      <w:r w:rsidR="002E47F1" w:rsidRPr="003D481C">
        <w:rPr>
          <w:rFonts w:ascii="Arial" w:hAnsi="Arial" w:cs="Arial"/>
          <w:lang w:val="en-US"/>
        </w:rPr>
        <w:t xml:space="preserve">The respondents will be seriously prejudiced if their opposition and/or their answering papers are not admitted. By contrast, other than delay, the applicant suffers no prejudice if condonation is granted. </w:t>
      </w:r>
    </w:p>
    <w:p w14:paraId="76AF6A88" w14:textId="2DD3973C" w:rsidR="00AA40F6" w:rsidRPr="003D481C" w:rsidRDefault="003D481C" w:rsidP="003D481C">
      <w:pPr>
        <w:tabs>
          <w:tab w:val="left" w:pos="567"/>
        </w:tabs>
        <w:spacing w:after="240" w:line="360" w:lineRule="auto"/>
        <w:ind w:left="567" w:hanging="567"/>
        <w:jc w:val="both"/>
        <w:rPr>
          <w:rFonts w:ascii="Arial" w:hAnsi="Arial" w:cs="Arial"/>
          <w:lang w:val="en-US"/>
        </w:rPr>
      </w:pPr>
      <w:r w:rsidRPr="00C23C7B">
        <w:rPr>
          <w:rFonts w:ascii="Arial" w:hAnsi="Arial" w:cs="Arial"/>
          <w:lang w:val="en-US"/>
        </w:rPr>
        <w:t>11.</w:t>
      </w:r>
      <w:r w:rsidRPr="00C23C7B">
        <w:rPr>
          <w:rFonts w:ascii="Arial" w:hAnsi="Arial" w:cs="Arial"/>
          <w:lang w:val="en-US"/>
        </w:rPr>
        <w:tab/>
      </w:r>
      <w:r w:rsidR="002E47F1" w:rsidRPr="003D481C">
        <w:rPr>
          <w:rFonts w:ascii="Arial" w:hAnsi="Arial" w:cs="Arial"/>
          <w:lang w:val="en-US"/>
        </w:rPr>
        <w:t>In</w:t>
      </w:r>
      <w:r w:rsidR="00AA40F6" w:rsidRPr="003D481C">
        <w:rPr>
          <w:rFonts w:ascii="Arial" w:hAnsi="Arial" w:cs="Arial"/>
          <w:lang w:val="en-US"/>
        </w:rPr>
        <w:t xml:space="preserve"> those circumstances, it is in the interests of justice that the respondents </w:t>
      </w:r>
      <w:r w:rsidR="00C23C7B" w:rsidRPr="003D481C">
        <w:rPr>
          <w:rFonts w:ascii="Arial" w:hAnsi="Arial" w:cs="Arial"/>
          <w:lang w:val="en-US"/>
        </w:rPr>
        <w:t xml:space="preserve">be granted </w:t>
      </w:r>
      <w:r w:rsidR="00AA40F6" w:rsidRPr="003D481C">
        <w:rPr>
          <w:rFonts w:ascii="Arial" w:hAnsi="Arial" w:cs="Arial"/>
          <w:lang w:val="en-US"/>
        </w:rPr>
        <w:t xml:space="preserve">condonation for the late filing of their </w:t>
      </w:r>
      <w:r w:rsidR="00C23C7B" w:rsidRPr="003D481C">
        <w:rPr>
          <w:rFonts w:ascii="Arial" w:hAnsi="Arial" w:cs="Arial"/>
          <w:lang w:val="en-US"/>
        </w:rPr>
        <w:t xml:space="preserve">notice of intention to oppose and their </w:t>
      </w:r>
      <w:r w:rsidR="00AA40F6" w:rsidRPr="003D481C">
        <w:rPr>
          <w:rFonts w:ascii="Arial" w:hAnsi="Arial" w:cs="Arial"/>
          <w:lang w:val="en-US"/>
        </w:rPr>
        <w:t>answering affidavit.</w:t>
      </w:r>
    </w:p>
    <w:p w14:paraId="4599F770" w14:textId="77777777" w:rsidR="002E47F1" w:rsidRDefault="002E47F1" w:rsidP="002E47F1">
      <w:pPr>
        <w:spacing w:after="240"/>
        <w:jc w:val="both"/>
        <w:rPr>
          <w:rFonts w:ascii="Arial" w:hAnsi="Arial" w:cs="Arial"/>
          <w:b/>
          <w:bCs/>
          <w:lang w:val="en-US"/>
        </w:rPr>
      </w:pPr>
    </w:p>
    <w:p w14:paraId="1A47066C" w14:textId="3C272A99" w:rsidR="00AA40F6" w:rsidRPr="00AA40F6" w:rsidRDefault="00AA40F6" w:rsidP="00AA40F6">
      <w:pPr>
        <w:spacing w:after="240" w:line="360" w:lineRule="auto"/>
        <w:jc w:val="both"/>
        <w:rPr>
          <w:rFonts w:ascii="Arial" w:hAnsi="Arial" w:cs="Arial"/>
          <w:b/>
          <w:bCs/>
          <w:lang w:val="en-US"/>
        </w:rPr>
      </w:pPr>
      <w:r>
        <w:rPr>
          <w:rFonts w:ascii="Arial" w:hAnsi="Arial" w:cs="Arial"/>
          <w:b/>
          <w:bCs/>
          <w:lang w:val="en-US"/>
        </w:rPr>
        <w:t xml:space="preserve">JURISDICTION </w:t>
      </w:r>
    </w:p>
    <w:p w14:paraId="035875D6" w14:textId="5BBCD5CF" w:rsidR="008C67F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12.</w:t>
      </w:r>
      <w:r>
        <w:rPr>
          <w:rFonts w:ascii="Arial" w:hAnsi="Arial" w:cs="Arial"/>
          <w:lang w:val="en-US"/>
        </w:rPr>
        <w:tab/>
      </w:r>
      <w:r w:rsidR="00627C4E" w:rsidRPr="003D481C">
        <w:rPr>
          <w:rFonts w:ascii="Arial" w:hAnsi="Arial" w:cs="Arial"/>
          <w:lang w:val="en-US"/>
        </w:rPr>
        <w:t xml:space="preserve">The respondents’ primary </w:t>
      </w:r>
      <w:r w:rsidR="00C275AD" w:rsidRPr="003D481C">
        <w:rPr>
          <w:rFonts w:ascii="Arial" w:hAnsi="Arial" w:cs="Arial"/>
          <w:lang w:val="en-US"/>
        </w:rPr>
        <w:t>response</w:t>
      </w:r>
      <w:r w:rsidR="00627C4E" w:rsidRPr="003D481C">
        <w:rPr>
          <w:rFonts w:ascii="Arial" w:hAnsi="Arial" w:cs="Arial"/>
          <w:lang w:val="en-US"/>
        </w:rPr>
        <w:t xml:space="preserve"> to the application is that th</w:t>
      </w:r>
      <w:r w:rsidR="00C275AD" w:rsidRPr="003D481C">
        <w:rPr>
          <w:rFonts w:ascii="Arial" w:hAnsi="Arial" w:cs="Arial"/>
          <w:lang w:val="en-US"/>
        </w:rPr>
        <w:t>is</w:t>
      </w:r>
      <w:r w:rsidR="00627C4E" w:rsidRPr="003D481C">
        <w:rPr>
          <w:rFonts w:ascii="Arial" w:hAnsi="Arial" w:cs="Arial"/>
          <w:lang w:val="en-US"/>
        </w:rPr>
        <w:t xml:space="preserve"> Court lacks jurisdiction to determine it. That, they say, is because </w:t>
      </w:r>
      <w:r w:rsidR="008C67F9" w:rsidRPr="003D481C">
        <w:rPr>
          <w:rFonts w:ascii="Arial" w:hAnsi="Arial" w:cs="Arial"/>
          <w:lang w:val="en-US"/>
        </w:rPr>
        <w:t xml:space="preserve">properly construed, </w:t>
      </w:r>
      <w:r w:rsidR="00627C4E" w:rsidRPr="003D481C">
        <w:rPr>
          <w:rFonts w:ascii="Arial" w:hAnsi="Arial" w:cs="Arial"/>
          <w:lang w:val="en-US"/>
        </w:rPr>
        <w:t>it is a</w:t>
      </w:r>
      <w:r w:rsidR="008C67F9" w:rsidRPr="003D481C">
        <w:rPr>
          <w:rFonts w:ascii="Arial" w:hAnsi="Arial" w:cs="Arial"/>
          <w:lang w:val="en-US"/>
        </w:rPr>
        <w:t xml:space="preserve"> claim for unfair dismissal, which falls within the exclusive jurisdiction of the Labour Court under section 157 of the Labour Relations Act 66 of 1995 (“the LRA”). </w:t>
      </w:r>
    </w:p>
    <w:p w14:paraId="1C6B73E2" w14:textId="4B8E4FE6" w:rsidR="008C67F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13.</w:t>
      </w:r>
      <w:r>
        <w:rPr>
          <w:rFonts w:ascii="Arial" w:hAnsi="Arial" w:cs="Arial"/>
          <w:lang w:val="en-US"/>
        </w:rPr>
        <w:tab/>
      </w:r>
      <w:r w:rsidR="008C67F9" w:rsidRPr="003D481C">
        <w:rPr>
          <w:rFonts w:ascii="Arial" w:hAnsi="Arial" w:cs="Arial"/>
          <w:lang w:val="en-US"/>
        </w:rPr>
        <w:t>The applicant, by contrast, claims that his cause of action is one grounded in the Promotion of Administrative Justice Act 3 of 2000 (“PAJA”), and that this Court’s jurisdiction is consequently not ousted by the LRA.</w:t>
      </w:r>
    </w:p>
    <w:p w14:paraId="3D6F8814" w14:textId="6F2520DE" w:rsidR="008C67F9"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lastRenderedPageBreak/>
        <w:t>14.</w:t>
      </w:r>
      <w:r>
        <w:rPr>
          <w:rFonts w:ascii="Arial" w:hAnsi="Arial" w:cs="Arial"/>
          <w:lang w:val="en-US"/>
        </w:rPr>
        <w:tab/>
      </w:r>
      <w:r w:rsidR="008C67F9" w:rsidRPr="003D481C">
        <w:rPr>
          <w:rFonts w:ascii="Arial" w:hAnsi="Arial" w:cs="Arial"/>
          <w:lang w:val="en-US"/>
        </w:rPr>
        <w:t xml:space="preserve">The proper approach to jurisdictional disputes of this kind has been laid down by the Constitutional Court in </w:t>
      </w:r>
      <w:r w:rsidR="008C67F9" w:rsidRPr="003D481C">
        <w:rPr>
          <w:rFonts w:ascii="Arial" w:hAnsi="Arial" w:cs="Arial"/>
          <w:i/>
          <w:iCs/>
          <w:lang w:val="en-US"/>
        </w:rPr>
        <w:t>Baloyi</w:t>
      </w:r>
      <w:r w:rsidR="008C67F9" w:rsidRPr="003D481C">
        <w:rPr>
          <w:rFonts w:ascii="Arial" w:hAnsi="Arial" w:cs="Arial"/>
          <w:lang w:val="en-US"/>
        </w:rPr>
        <w:t>.</w:t>
      </w:r>
      <w:r w:rsidR="008C67F9" w:rsidRPr="00B36E10">
        <w:rPr>
          <w:rStyle w:val="FootnoteReference"/>
          <w:rFonts w:ascii="Arial" w:hAnsi="Arial" w:cs="Arial"/>
          <w:lang w:val="en-US"/>
        </w:rPr>
        <w:footnoteReference w:id="2"/>
      </w:r>
      <w:r w:rsidR="008C67F9" w:rsidRPr="003D481C">
        <w:rPr>
          <w:rFonts w:ascii="Arial" w:hAnsi="Arial" w:cs="Arial"/>
          <w:i/>
          <w:iCs/>
          <w:lang w:val="en-US"/>
        </w:rPr>
        <w:t xml:space="preserve"> </w:t>
      </w:r>
      <w:r w:rsidR="008C67F9" w:rsidRPr="003D481C">
        <w:rPr>
          <w:rFonts w:ascii="Arial" w:hAnsi="Arial" w:cs="Arial"/>
          <w:lang w:val="en-US"/>
        </w:rPr>
        <w:t xml:space="preserve"> It clarified that:</w:t>
      </w:r>
    </w:p>
    <w:p w14:paraId="3F6BFF7D" w14:textId="5384A5E0" w:rsidR="008C67F9"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14.1.</w:t>
      </w:r>
      <w:r>
        <w:rPr>
          <w:rFonts w:ascii="Arial" w:hAnsi="Arial" w:cs="Arial"/>
          <w:lang w:val="en-US"/>
        </w:rPr>
        <w:tab/>
      </w:r>
      <w:r w:rsidR="008C67F9" w:rsidRPr="003D481C">
        <w:rPr>
          <w:rFonts w:ascii="Arial" w:hAnsi="Arial" w:cs="Arial"/>
          <w:lang w:val="en-US"/>
        </w:rPr>
        <w:t>Section 157(1) of the LRA confers exclusive jurisdiction on the Labour Court to determine all matters that</w:t>
      </w:r>
      <w:r w:rsidR="0099286D" w:rsidRPr="003D481C">
        <w:rPr>
          <w:rFonts w:ascii="Arial" w:hAnsi="Arial" w:cs="Arial"/>
          <w:lang w:val="en-US"/>
        </w:rPr>
        <w:t>,</w:t>
      </w:r>
      <w:r w:rsidR="008C67F9" w:rsidRPr="003D481C">
        <w:rPr>
          <w:rFonts w:ascii="Arial" w:hAnsi="Arial" w:cs="Arial"/>
          <w:lang w:val="en-US"/>
        </w:rPr>
        <w:t xml:space="preserve"> in terms of the LRA or any other law</w:t>
      </w:r>
      <w:r w:rsidR="0099286D" w:rsidRPr="003D481C">
        <w:rPr>
          <w:rFonts w:ascii="Arial" w:hAnsi="Arial" w:cs="Arial"/>
          <w:lang w:val="en-US"/>
        </w:rPr>
        <w:t xml:space="preserve">, </w:t>
      </w:r>
      <w:r w:rsidR="008C67F9" w:rsidRPr="003D481C">
        <w:rPr>
          <w:rFonts w:ascii="Arial" w:hAnsi="Arial" w:cs="Arial"/>
          <w:lang w:val="en-US"/>
        </w:rPr>
        <w:t xml:space="preserve">are required to be determined by the Labour Court. </w:t>
      </w:r>
      <w:r w:rsidR="00871D73" w:rsidRPr="003D481C">
        <w:rPr>
          <w:rFonts w:ascii="Arial" w:hAnsi="Arial" w:cs="Arial"/>
          <w:lang w:val="en-US"/>
        </w:rPr>
        <w:t>Matters governed by or concerning the enforcement of a provision of the LRA, or for which the LRA creates specific remedies, are matters within its exclusive jurisdiction. These include unfair dismissal disputes.</w:t>
      </w:r>
      <w:r w:rsidR="00871D73">
        <w:rPr>
          <w:rStyle w:val="FootnoteReference"/>
          <w:rFonts w:ascii="Arial" w:hAnsi="Arial" w:cs="Arial"/>
          <w:lang w:val="en-US"/>
        </w:rPr>
        <w:footnoteReference w:id="3"/>
      </w:r>
    </w:p>
    <w:p w14:paraId="7A6BDE24" w14:textId="75A3820C" w:rsidR="00871D73"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14.2.</w:t>
      </w:r>
      <w:r>
        <w:rPr>
          <w:rFonts w:ascii="Arial" w:hAnsi="Arial" w:cs="Arial"/>
          <w:lang w:val="en-US"/>
        </w:rPr>
        <w:tab/>
      </w:r>
      <w:r w:rsidR="00871D73" w:rsidRPr="003D481C">
        <w:rPr>
          <w:rFonts w:ascii="Arial" w:hAnsi="Arial" w:cs="Arial"/>
          <w:lang w:val="en-US"/>
        </w:rPr>
        <w:t>However, the LRA does not afford the Labour Court exclusive jurisdiction in employment matters generally. The High Court’s jurisdiction is not ousted merely because a dispute arises within the overall sphere of labour relations.</w:t>
      </w:r>
      <w:r w:rsidR="00871D73">
        <w:rPr>
          <w:rStyle w:val="FootnoteReference"/>
          <w:rFonts w:ascii="Arial" w:hAnsi="Arial" w:cs="Arial"/>
          <w:lang w:val="en-US"/>
        </w:rPr>
        <w:footnoteReference w:id="4"/>
      </w:r>
      <w:r w:rsidR="00871D73" w:rsidRPr="003D481C">
        <w:rPr>
          <w:rFonts w:ascii="Arial" w:hAnsi="Arial" w:cs="Arial"/>
          <w:lang w:val="en-US"/>
        </w:rPr>
        <w:t xml:space="preserve"> A dispute concerning, for example, </w:t>
      </w:r>
      <w:r w:rsidR="0099286D" w:rsidRPr="003D481C">
        <w:rPr>
          <w:rFonts w:ascii="Arial" w:hAnsi="Arial" w:cs="Arial"/>
          <w:lang w:val="en-US"/>
        </w:rPr>
        <w:t xml:space="preserve">a </w:t>
      </w:r>
      <w:r w:rsidR="00871D73" w:rsidRPr="003D481C">
        <w:rPr>
          <w:rFonts w:ascii="Arial" w:hAnsi="Arial" w:cs="Arial"/>
          <w:lang w:val="en-US"/>
        </w:rPr>
        <w:t>contract of employment does not, without more, fall within the Labour Court’s exclusive jurisdiction.</w:t>
      </w:r>
      <w:r w:rsidR="00871D73">
        <w:rPr>
          <w:rStyle w:val="FootnoteReference"/>
          <w:rFonts w:ascii="Arial" w:hAnsi="Arial" w:cs="Arial"/>
          <w:lang w:val="en-US"/>
        </w:rPr>
        <w:footnoteReference w:id="5"/>
      </w:r>
      <w:r w:rsidR="00871D73" w:rsidRPr="003D481C">
        <w:rPr>
          <w:rFonts w:ascii="Arial" w:hAnsi="Arial" w:cs="Arial"/>
          <w:lang w:val="en-US"/>
        </w:rPr>
        <w:t xml:space="preserve"> </w:t>
      </w:r>
    </w:p>
    <w:p w14:paraId="51A58863" w14:textId="122EAE02" w:rsidR="003E695A"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14.3.</w:t>
      </w:r>
      <w:r>
        <w:rPr>
          <w:rFonts w:ascii="Arial" w:hAnsi="Arial" w:cs="Arial"/>
          <w:lang w:val="en-US"/>
        </w:rPr>
        <w:tab/>
      </w:r>
      <w:r w:rsidR="00871D73" w:rsidRPr="003D481C">
        <w:rPr>
          <w:rFonts w:ascii="Arial" w:hAnsi="Arial" w:cs="Arial"/>
          <w:lang w:val="en-US"/>
        </w:rPr>
        <w:t xml:space="preserve">Moreover, the same set of facts may give rise to different causes of action – some of which fall within the Labour Court’s exclusive or its concurrent jurisdiction, others of which may be beyond the Labour Court’s </w:t>
      </w:r>
      <w:r w:rsidR="00C275AD" w:rsidRPr="003D481C">
        <w:rPr>
          <w:rFonts w:ascii="Arial" w:hAnsi="Arial" w:cs="Arial"/>
          <w:lang w:val="en-US"/>
        </w:rPr>
        <w:t>remit</w:t>
      </w:r>
      <w:r w:rsidR="00871D73" w:rsidRPr="003D481C">
        <w:rPr>
          <w:rFonts w:ascii="Arial" w:hAnsi="Arial" w:cs="Arial"/>
          <w:lang w:val="en-US"/>
        </w:rPr>
        <w:t>.</w:t>
      </w:r>
      <w:r w:rsidR="00871D73">
        <w:rPr>
          <w:rStyle w:val="FootnoteReference"/>
          <w:rFonts w:ascii="Arial" w:hAnsi="Arial" w:cs="Arial"/>
          <w:lang w:val="en-US"/>
        </w:rPr>
        <w:footnoteReference w:id="6"/>
      </w:r>
      <w:r w:rsidR="00871D73" w:rsidRPr="003D481C">
        <w:rPr>
          <w:rFonts w:ascii="Arial" w:hAnsi="Arial" w:cs="Arial"/>
          <w:lang w:val="en-US"/>
        </w:rPr>
        <w:t xml:space="preserve"> </w:t>
      </w:r>
      <w:r w:rsidR="003E695A" w:rsidRPr="003D481C">
        <w:rPr>
          <w:rFonts w:ascii="Arial" w:hAnsi="Arial" w:cs="Arial"/>
          <w:lang w:val="en-US"/>
        </w:rPr>
        <w:t>Court must look to the pleadings to determine what the cause of action pleaded and pursued is, and which court has jurisdiction over it.</w:t>
      </w:r>
      <w:r w:rsidR="003E695A">
        <w:rPr>
          <w:rStyle w:val="FootnoteReference"/>
          <w:rFonts w:ascii="Arial" w:hAnsi="Arial" w:cs="Arial"/>
          <w:lang w:val="en-US"/>
        </w:rPr>
        <w:footnoteReference w:id="7"/>
      </w:r>
      <w:r w:rsidR="003E695A" w:rsidRPr="003D481C">
        <w:rPr>
          <w:rFonts w:ascii="Arial" w:hAnsi="Arial" w:cs="Arial"/>
          <w:lang w:val="en-US"/>
        </w:rPr>
        <w:t xml:space="preserve"> </w:t>
      </w:r>
    </w:p>
    <w:p w14:paraId="49A8E169" w14:textId="587B53DD" w:rsidR="003E695A"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15.</w:t>
      </w:r>
      <w:r>
        <w:rPr>
          <w:rFonts w:ascii="Arial" w:hAnsi="Arial" w:cs="Arial"/>
          <w:lang w:val="en-US"/>
        </w:rPr>
        <w:tab/>
      </w:r>
      <w:r w:rsidR="003E695A" w:rsidRPr="003D481C">
        <w:rPr>
          <w:rFonts w:ascii="Arial" w:hAnsi="Arial" w:cs="Arial"/>
          <w:lang w:val="en-US"/>
        </w:rPr>
        <w:t>The overarching question, then, is what cause of action is pleaded by the applicant? If it is a claim for unfair dismissal, then it is a cause of action within the exclusive jurisdiction of the Labour Court, and is beyond this Court’s purview. If it is in fact a PAJA review, then it falls to be determined by this Court.</w:t>
      </w:r>
    </w:p>
    <w:p w14:paraId="228A6425" w14:textId="7884CF41" w:rsidR="00F02FA0"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lastRenderedPageBreak/>
        <w:t>16.</w:t>
      </w:r>
      <w:r>
        <w:rPr>
          <w:rFonts w:ascii="Arial" w:hAnsi="Arial" w:cs="Arial"/>
          <w:lang w:val="en-US"/>
        </w:rPr>
        <w:tab/>
      </w:r>
      <w:r w:rsidR="00F02FA0" w:rsidRPr="003D481C">
        <w:rPr>
          <w:rFonts w:ascii="Arial" w:hAnsi="Arial" w:cs="Arial"/>
          <w:lang w:val="en-US"/>
        </w:rPr>
        <w:t>The following is noteworthy from the founding affidavit:</w:t>
      </w:r>
    </w:p>
    <w:p w14:paraId="0981112C" w14:textId="24A40C01" w:rsidR="00E26B86" w:rsidRPr="003D481C" w:rsidRDefault="003D481C" w:rsidP="003D481C">
      <w:pPr>
        <w:tabs>
          <w:tab w:val="left" w:pos="1361"/>
        </w:tabs>
        <w:spacing w:after="240" w:line="360" w:lineRule="auto"/>
        <w:ind w:left="1361" w:hanging="794"/>
        <w:jc w:val="both"/>
        <w:rPr>
          <w:rFonts w:ascii="Arial" w:hAnsi="Arial" w:cs="Arial"/>
          <w:lang w:val="en-US"/>
        </w:rPr>
      </w:pPr>
      <w:r w:rsidRPr="00E26B86">
        <w:rPr>
          <w:rFonts w:ascii="Arial" w:hAnsi="Arial" w:cs="Arial"/>
          <w:lang w:val="en-US"/>
        </w:rPr>
        <w:t>16.1.</w:t>
      </w:r>
      <w:r w:rsidRPr="00E26B86">
        <w:rPr>
          <w:rFonts w:ascii="Arial" w:hAnsi="Arial" w:cs="Arial"/>
          <w:lang w:val="en-US"/>
        </w:rPr>
        <w:tab/>
      </w:r>
      <w:r w:rsidR="00F02FA0" w:rsidRPr="003D481C">
        <w:rPr>
          <w:rFonts w:ascii="Arial" w:hAnsi="Arial" w:cs="Arial"/>
          <w:lang w:val="en-US"/>
        </w:rPr>
        <w:t xml:space="preserve">The main complaint advanced in the founding papers was that the </w:t>
      </w:r>
      <w:r w:rsidR="00E26B86" w:rsidRPr="003D481C">
        <w:rPr>
          <w:rFonts w:ascii="Arial" w:hAnsi="Arial" w:cs="Arial"/>
          <w:lang w:val="en-US"/>
        </w:rPr>
        <w:t xml:space="preserve">termination of the applicant’s employment was substantively and procedurally unfair, and that </w:t>
      </w:r>
      <w:r w:rsidR="00543633" w:rsidRPr="003D481C">
        <w:rPr>
          <w:rFonts w:ascii="Arial" w:hAnsi="Arial" w:cs="Arial"/>
          <w:lang w:val="en-US"/>
        </w:rPr>
        <w:t>the applicant</w:t>
      </w:r>
      <w:r w:rsidR="00E26B86" w:rsidRPr="003D481C">
        <w:rPr>
          <w:rFonts w:ascii="Arial" w:hAnsi="Arial" w:cs="Arial"/>
          <w:lang w:val="en-US"/>
        </w:rPr>
        <w:t xml:space="preserve"> was consequently arbitrarily</w:t>
      </w:r>
      <w:r w:rsidR="00E26B86" w:rsidRPr="003D481C">
        <w:rPr>
          <w:rFonts w:ascii="Arial" w:hAnsi="Arial" w:cs="Arial"/>
          <w:i/>
          <w:iCs/>
          <w:lang w:val="en-US"/>
        </w:rPr>
        <w:t xml:space="preserve"> </w:t>
      </w:r>
      <w:r w:rsidR="00E26B86" w:rsidRPr="003D481C">
        <w:rPr>
          <w:rFonts w:ascii="Arial" w:hAnsi="Arial" w:cs="Arial"/>
          <w:lang w:val="en-US"/>
        </w:rPr>
        <w:t>and/or unfairly dismissed. He complained that the respondents had not properly considered the reasons for his non-attendance at work, his service history and his record, that they did not give him proper warnings or undertake a proper disciplinary process, that the respondents were biased against him, and that the evidence against him was not properly considered.  He expressly stated that he brought the present application because “</w:t>
      </w:r>
      <w:r w:rsidR="00E26B86" w:rsidRPr="003D481C">
        <w:rPr>
          <w:rFonts w:ascii="Arial" w:hAnsi="Arial" w:cs="Arial"/>
          <w:i/>
          <w:iCs/>
          <w:lang w:val="en-US"/>
        </w:rPr>
        <w:t xml:space="preserve">I am not accepting the dismissal of my appeal and my dismissal from employment”. </w:t>
      </w:r>
      <w:r w:rsidR="00E26B86" w:rsidRPr="003D481C">
        <w:rPr>
          <w:rFonts w:ascii="Arial" w:hAnsi="Arial" w:cs="Arial"/>
          <w:lang w:val="en-US"/>
        </w:rPr>
        <w:t xml:space="preserve">The claim </w:t>
      </w:r>
      <w:r w:rsidR="00B40364" w:rsidRPr="003D481C">
        <w:rPr>
          <w:rFonts w:ascii="Arial" w:hAnsi="Arial" w:cs="Arial"/>
          <w:lang w:val="en-US"/>
        </w:rPr>
        <w:t xml:space="preserve">is framed as one for </w:t>
      </w:r>
      <w:r w:rsidR="00E26B86" w:rsidRPr="003D481C">
        <w:rPr>
          <w:rFonts w:ascii="Arial" w:hAnsi="Arial" w:cs="Arial"/>
          <w:lang w:val="en-US"/>
        </w:rPr>
        <w:t>unfair dismissal. The founding papers d</w:t>
      </w:r>
      <w:r w:rsidR="00543633" w:rsidRPr="003D481C">
        <w:rPr>
          <w:rFonts w:ascii="Arial" w:hAnsi="Arial" w:cs="Arial"/>
          <w:lang w:val="en-US"/>
        </w:rPr>
        <w:t>o</w:t>
      </w:r>
      <w:r w:rsidR="00E26B86" w:rsidRPr="003D481C">
        <w:rPr>
          <w:rFonts w:ascii="Arial" w:hAnsi="Arial" w:cs="Arial"/>
          <w:lang w:val="en-US"/>
        </w:rPr>
        <w:t xml:space="preserve"> not mention PAJA at all.</w:t>
      </w:r>
    </w:p>
    <w:p w14:paraId="05023E81" w14:textId="1AB5CDB3" w:rsidR="00E26B86"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16.2.</w:t>
      </w:r>
      <w:r>
        <w:rPr>
          <w:rFonts w:ascii="Arial" w:hAnsi="Arial" w:cs="Arial"/>
          <w:lang w:val="en-US"/>
        </w:rPr>
        <w:tab/>
      </w:r>
      <w:r w:rsidR="00E26B86" w:rsidRPr="003D481C">
        <w:rPr>
          <w:rFonts w:ascii="Arial" w:hAnsi="Arial" w:cs="Arial"/>
          <w:lang w:val="en-US"/>
        </w:rPr>
        <w:t>Congruent with that, the original notice of motion sought only to set aside the termination of the applicant’s employment and the refusal of his appeal, and to procure his reinstatement. These are quintessentially labour law remedies. The original notice of motion did</w:t>
      </w:r>
      <w:r w:rsidR="00B40364" w:rsidRPr="003D481C">
        <w:rPr>
          <w:rFonts w:ascii="Arial" w:hAnsi="Arial" w:cs="Arial"/>
          <w:lang w:val="en-US"/>
        </w:rPr>
        <w:t xml:space="preserve"> not ask for the relief set out in section 8 of </w:t>
      </w:r>
      <w:r w:rsidR="00E26B86" w:rsidRPr="003D481C">
        <w:rPr>
          <w:rFonts w:ascii="Arial" w:hAnsi="Arial" w:cs="Arial"/>
          <w:lang w:val="en-US"/>
        </w:rPr>
        <w:t xml:space="preserve">PAJA, either by seeking a declaration of invalidity or just and equitable relief. </w:t>
      </w:r>
    </w:p>
    <w:p w14:paraId="5FFD201E" w14:textId="7FB8C6A7" w:rsidR="00E26B86"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17.</w:t>
      </w:r>
      <w:r>
        <w:rPr>
          <w:rFonts w:ascii="Arial" w:hAnsi="Arial" w:cs="Arial"/>
          <w:lang w:val="en-US"/>
        </w:rPr>
        <w:tab/>
      </w:r>
      <w:r w:rsidR="00B40364" w:rsidRPr="003D481C">
        <w:rPr>
          <w:rFonts w:ascii="Arial" w:hAnsi="Arial" w:cs="Arial"/>
          <w:lang w:val="en-US"/>
        </w:rPr>
        <w:t>T</w:t>
      </w:r>
      <w:r w:rsidR="00E26B86" w:rsidRPr="003D481C">
        <w:rPr>
          <w:rFonts w:ascii="Arial" w:hAnsi="Arial" w:cs="Arial"/>
          <w:lang w:val="en-US"/>
        </w:rPr>
        <w:t xml:space="preserve">he founding papers </w:t>
      </w:r>
      <w:r w:rsidR="00B40364" w:rsidRPr="003D481C">
        <w:rPr>
          <w:rFonts w:ascii="Arial" w:hAnsi="Arial" w:cs="Arial"/>
          <w:lang w:val="en-US"/>
        </w:rPr>
        <w:t xml:space="preserve">thus </w:t>
      </w:r>
      <w:r w:rsidR="00E26B86" w:rsidRPr="003D481C">
        <w:rPr>
          <w:rFonts w:ascii="Arial" w:hAnsi="Arial" w:cs="Arial"/>
          <w:lang w:val="en-US"/>
        </w:rPr>
        <w:t>plead a cause of action for unfair dismissal – which is a claim within the Labour Court’s exclusive jurisdiction. They do not</w:t>
      </w:r>
      <w:r w:rsidR="00B86790" w:rsidRPr="003D481C">
        <w:rPr>
          <w:rFonts w:ascii="Arial" w:hAnsi="Arial" w:cs="Arial"/>
          <w:lang w:val="en-US"/>
        </w:rPr>
        <w:t xml:space="preserve"> properly</w:t>
      </w:r>
      <w:r w:rsidR="00E26B86" w:rsidRPr="003D481C">
        <w:rPr>
          <w:rFonts w:ascii="Arial" w:hAnsi="Arial" w:cs="Arial"/>
          <w:lang w:val="en-US"/>
        </w:rPr>
        <w:t xml:space="preserve"> </w:t>
      </w:r>
      <w:r w:rsidR="00B40364" w:rsidRPr="003D481C">
        <w:rPr>
          <w:rFonts w:ascii="Arial" w:hAnsi="Arial" w:cs="Arial"/>
          <w:lang w:val="en-US"/>
        </w:rPr>
        <w:t xml:space="preserve">advance a </w:t>
      </w:r>
      <w:r w:rsidR="00E26B86" w:rsidRPr="003D481C">
        <w:rPr>
          <w:rFonts w:ascii="Arial" w:hAnsi="Arial" w:cs="Arial"/>
          <w:lang w:val="en-US"/>
        </w:rPr>
        <w:t xml:space="preserve">claim </w:t>
      </w:r>
      <w:r w:rsidR="00B86790" w:rsidRPr="003D481C">
        <w:rPr>
          <w:rFonts w:ascii="Arial" w:hAnsi="Arial" w:cs="Arial"/>
          <w:lang w:val="en-US"/>
        </w:rPr>
        <w:t xml:space="preserve">in terms of </w:t>
      </w:r>
      <w:r w:rsidR="00E26B86" w:rsidRPr="003D481C">
        <w:rPr>
          <w:rFonts w:ascii="Arial" w:hAnsi="Arial" w:cs="Arial"/>
          <w:lang w:val="en-US"/>
        </w:rPr>
        <w:t>PAJA.</w:t>
      </w:r>
    </w:p>
    <w:p w14:paraId="6FE3E5D7" w14:textId="49B336C2" w:rsidR="002E35AE"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18.</w:t>
      </w:r>
      <w:r>
        <w:rPr>
          <w:rFonts w:ascii="Arial" w:hAnsi="Arial" w:cs="Arial"/>
          <w:lang w:val="en-US"/>
        </w:rPr>
        <w:tab/>
      </w:r>
      <w:r w:rsidR="00B40364" w:rsidRPr="003D481C">
        <w:rPr>
          <w:rFonts w:ascii="Arial" w:hAnsi="Arial" w:cs="Arial"/>
          <w:lang w:val="en-US"/>
        </w:rPr>
        <w:t xml:space="preserve">It is only in the “supplementary founding affidavit” </w:t>
      </w:r>
      <w:r w:rsidR="00C05D2D" w:rsidRPr="003D481C">
        <w:rPr>
          <w:rFonts w:ascii="Arial" w:hAnsi="Arial" w:cs="Arial"/>
          <w:lang w:val="en-US"/>
        </w:rPr>
        <w:t xml:space="preserve">that the applicant pleads a PAJA cause of action. For example, he </w:t>
      </w:r>
      <w:r w:rsidR="002E35AE" w:rsidRPr="003D481C">
        <w:rPr>
          <w:rFonts w:ascii="Arial" w:hAnsi="Arial" w:cs="Arial"/>
          <w:lang w:val="en-US"/>
        </w:rPr>
        <w:t xml:space="preserve">changes early paragraphs of the affidavit to </w:t>
      </w:r>
      <w:r w:rsidR="00C05D2D" w:rsidRPr="003D481C">
        <w:rPr>
          <w:rFonts w:ascii="Arial" w:hAnsi="Arial" w:cs="Arial"/>
          <w:lang w:val="en-US"/>
        </w:rPr>
        <w:t>characterize his review as one brought “</w:t>
      </w:r>
      <w:r w:rsidR="00C05D2D" w:rsidRPr="003D481C">
        <w:rPr>
          <w:rFonts w:ascii="Arial" w:hAnsi="Arial" w:cs="Arial"/>
          <w:i/>
          <w:iCs/>
          <w:lang w:val="en-US"/>
        </w:rPr>
        <w:t>in accordance with the Promotion of Administrative Justice Act 3 of 2000”</w:t>
      </w:r>
      <w:r w:rsidR="002E35AE" w:rsidRPr="003D481C">
        <w:rPr>
          <w:rFonts w:ascii="Arial" w:hAnsi="Arial" w:cs="Arial"/>
          <w:lang w:val="en-US"/>
        </w:rPr>
        <w:t xml:space="preserve">. He also seeks just and equitable relief for the first time – including an order declaring a contract </w:t>
      </w:r>
      <w:r w:rsidR="00B86790" w:rsidRPr="003D481C">
        <w:rPr>
          <w:rFonts w:ascii="Arial" w:hAnsi="Arial" w:cs="Arial"/>
          <w:lang w:val="en-US"/>
        </w:rPr>
        <w:t xml:space="preserve">to be in force </w:t>
      </w:r>
      <w:r w:rsidR="002E35AE" w:rsidRPr="003D481C">
        <w:rPr>
          <w:rFonts w:ascii="Arial" w:hAnsi="Arial" w:cs="Arial"/>
          <w:lang w:val="en-US"/>
        </w:rPr>
        <w:t>between the parties and for “</w:t>
      </w:r>
      <w:r w:rsidR="002E35AE" w:rsidRPr="003D481C">
        <w:rPr>
          <w:rFonts w:ascii="Arial" w:hAnsi="Arial" w:cs="Arial"/>
          <w:i/>
          <w:iCs/>
          <w:lang w:val="en-US"/>
        </w:rPr>
        <w:t>just and equitable compensation”</w:t>
      </w:r>
      <w:r w:rsidR="002E35AE" w:rsidRPr="003D481C">
        <w:rPr>
          <w:rFonts w:ascii="Arial" w:hAnsi="Arial" w:cs="Arial"/>
          <w:lang w:val="en-US"/>
        </w:rPr>
        <w:t>. That is a material change to the c</w:t>
      </w:r>
      <w:r w:rsidR="00B86790" w:rsidRPr="003D481C">
        <w:rPr>
          <w:rFonts w:ascii="Arial" w:hAnsi="Arial" w:cs="Arial"/>
          <w:lang w:val="en-US"/>
        </w:rPr>
        <w:t xml:space="preserve">laim </w:t>
      </w:r>
      <w:r w:rsidR="002E35AE" w:rsidRPr="003D481C">
        <w:rPr>
          <w:rFonts w:ascii="Arial" w:hAnsi="Arial" w:cs="Arial"/>
          <w:lang w:val="en-US"/>
        </w:rPr>
        <w:t>originally purs</w:t>
      </w:r>
      <w:r w:rsidR="00543633" w:rsidRPr="003D481C">
        <w:rPr>
          <w:rFonts w:ascii="Arial" w:hAnsi="Arial" w:cs="Arial"/>
          <w:lang w:val="en-US"/>
        </w:rPr>
        <w:t>u</w:t>
      </w:r>
      <w:r w:rsidR="002E35AE" w:rsidRPr="003D481C">
        <w:rPr>
          <w:rFonts w:ascii="Arial" w:hAnsi="Arial" w:cs="Arial"/>
          <w:lang w:val="en-US"/>
        </w:rPr>
        <w:t xml:space="preserve">ed. </w:t>
      </w:r>
    </w:p>
    <w:p w14:paraId="349867E4" w14:textId="2F076B29" w:rsidR="002E35AE"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19.</w:t>
      </w:r>
      <w:r>
        <w:rPr>
          <w:rFonts w:ascii="Arial" w:hAnsi="Arial" w:cs="Arial"/>
          <w:lang w:val="en-US"/>
        </w:rPr>
        <w:tab/>
      </w:r>
      <w:r w:rsidR="002E35AE" w:rsidRPr="003D481C">
        <w:rPr>
          <w:rFonts w:ascii="Arial" w:hAnsi="Arial" w:cs="Arial"/>
          <w:lang w:val="en-US"/>
        </w:rPr>
        <w:t xml:space="preserve">However, the </w:t>
      </w:r>
      <w:r w:rsidR="00F02FA0" w:rsidRPr="003D481C">
        <w:rPr>
          <w:rFonts w:ascii="Arial" w:hAnsi="Arial" w:cs="Arial"/>
          <w:lang w:val="en-US"/>
        </w:rPr>
        <w:t xml:space="preserve">“supplementary founding affidavit” was deposed to and filed after the answering </w:t>
      </w:r>
      <w:r w:rsidR="002E35AE" w:rsidRPr="003D481C">
        <w:rPr>
          <w:rFonts w:ascii="Arial" w:hAnsi="Arial" w:cs="Arial"/>
          <w:lang w:val="en-US"/>
        </w:rPr>
        <w:t xml:space="preserve">affidavit had raised the jurisdictional complaint. In fact, it was filed </w:t>
      </w:r>
      <w:r w:rsidR="002E35AE" w:rsidRPr="003D481C">
        <w:rPr>
          <w:rFonts w:ascii="Arial" w:hAnsi="Arial" w:cs="Arial"/>
          <w:lang w:val="en-US"/>
        </w:rPr>
        <w:lastRenderedPageBreak/>
        <w:t>several months after the reply</w:t>
      </w:r>
      <w:r w:rsidR="0004418D" w:rsidRPr="003D481C">
        <w:rPr>
          <w:rFonts w:ascii="Arial" w:hAnsi="Arial" w:cs="Arial"/>
          <w:lang w:val="en-US"/>
        </w:rPr>
        <w:t xml:space="preserve">ing affidavit </w:t>
      </w:r>
      <w:r w:rsidR="002E35AE" w:rsidRPr="003D481C">
        <w:rPr>
          <w:rFonts w:ascii="Arial" w:hAnsi="Arial" w:cs="Arial"/>
          <w:lang w:val="en-US"/>
        </w:rPr>
        <w:t xml:space="preserve">had </w:t>
      </w:r>
      <w:r w:rsidR="00F02FA0" w:rsidRPr="003D481C">
        <w:rPr>
          <w:rFonts w:ascii="Arial" w:hAnsi="Arial" w:cs="Arial"/>
          <w:lang w:val="en-US"/>
        </w:rPr>
        <w:t>been delivere</w:t>
      </w:r>
      <w:r w:rsidR="002E35AE" w:rsidRPr="003D481C">
        <w:rPr>
          <w:rFonts w:ascii="Arial" w:hAnsi="Arial" w:cs="Arial"/>
          <w:lang w:val="en-US"/>
        </w:rPr>
        <w:t>d</w:t>
      </w:r>
      <w:r w:rsidR="0004418D" w:rsidRPr="003D481C">
        <w:rPr>
          <w:rFonts w:ascii="Arial" w:hAnsi="Arial" w:cs="Arial"/>
          <w:lang w:val="en-US"/>
        </w:rPr>
        <w:t>. T</w:t>
      </w:r>
      <w:r w:rsidR="002E35AE" w:rsidRPr="003D481C">
        <w:rPr>
          <w:rFonts w:ascii="Arial" w:hAnsi="Arial" w:cs="Arial"/>
          <w:lang w:val="en-US"/>
        </w:rPr>
        <w:t>he applicant has neither sought nor procured leave for its admission</w:t>
      </w:r>
      <w:r w:rsidR="0004418D" w:rsidRPr="003D481C">
        <w:rPr>
          <w:rFonts w:ascii="Arial" w:hAnsi="Arial" w:cs="Arial"/>
          <w:lang w:val="en-US"/>
        </w:rPr>
        <w:t xml:space="preserve"> and the respondents have not answered to it</w:t>
      </w:r>
      <w:r w:rsidR="002E35AE" w:rsidRPr="003D481C">
        <w:rPr>
          <w:rFonts w:ascii="Arial" w:hAnsi="Arial" w:cs="Arial"/>
          <w:lang w:val="en-US"/>
        </w:rPr>
        <w:t>.</w:t>
      </w:r>
    </w:p>
    <w:p w14:paraId="6D5FC912" w14:textId="1B7B42F1" w:rsidR="00B36E10"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20.</w:t>
      </w:r>
      <w:r>
        <w:rPr>
          <w:rFonts w:ascii="Arial" w:hAnsi="Arial" w:cs="Arial"/>
          <w:lang w:val="en-US"/>
        </w:rPr>
        <w:tab/>
      </w:r>
      <w:r w:rsidR="0004418D" w:rsidRPr="003D481C">
        <w:rPr>
          <w:rFonts w:ascii="Arial" w:hAnsi="Arial" w:cs="Arial"/>
          <w:lang w:val="en-US"/>
        </w:rPr>
        <w:t xml:space="preserve">In those circumstances, it is not appropriate for the court to look to the “supplementary founding affidavit” to ascertain the applicant’s cause of action. </w:t>
      </w:r>
      <w:r w:rsidR="00B86790" w:rsidRPr="003D481C">
        <w:rPr>
          <w:rFonts w:ascii="Arial" w:hAnsi="Arial" w:cs="Arial"/>
          <w:lang w:val="en-US"/>
        </w:rPr>
        <w:t>A</w:t>
      </w:r>
      <w:r w:rsidR="002E35AE" w:rsidRPr="003D481C">
        <w:rPr>
          <w:rFonts w:ascii="Arial" w:hAnsi="Arial" w:cs="Arial"/>
          <w:lang w:val="en-US"/>
        </w:rPr>
        <w:t>n applicant in motion proceedings must plead the averments to establish his cause of action in his founding papers.</w:t>
      </w:r>
      <w:r w:rsidR="002E35AE" w:rsidRPr="00A92EF8">
        <w:rPr>
          <w:rStyle w:val="FootnoteReference"/>
          <w:rFonts w:ascii="Arial" w:hAnsi="Arial" w:cs="Arial"/>
          <w:color w:val="000000" w:themeColor="text1"/>
          <w:sz w:val="23"/>
          <w:szCs w:val="23"/>
        </w:rPr>
        <w:footnoteReference w:id="8"/>
      </w:r>
      <w:r w:rsidR="002E35AE" w:rsidRPr="003D481C">
        <w:rPr>
          <w:rFonts w:ascii="Arial" w:hAnsi="Arial" w:cs="Arial"/>
          <w:lang w:val="en-US"/>
        </w:rPr>
        <w:t xml:space="preserve"> </w:t>
      </w:r>
      <w:r w:rsidR="00B36E10" w:rsidRPr="003D481C">
        <w:rPr>
          <w:rFonts w:ascii="Arial" w:hAnsi="Arial" w:cs="Arial"/>
          <w:lang w:val="en-US"/>
        </w:rPr>
        <w:t>He cannot make out a new case in reply. By the same token, the applicant in this case cannot change his cause of action in a “supplementary founding affidavit” filed after pleadings would otherwise have closed, in order to overcome a jurisdiction complaint.</w:t>
      </w:r>
    </w:p>
    <w:p w14:paraId="0081CBE0" w14:textId="462AEF02" w:rsidR="00B36E10"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21.</w:t>
      </w:r>
      <w:r>
        <w:rPr>
          <w:rFonts w:ascii="Arial" w:hAnsi="Arial" w:cs="Arial"/>
          <w:lang w:val="en-US"/>
        </w:rPr>
        <w:tab/>
      </w:r>
      <w:r w:rsidR="00B36E10" w:rsidRPr="003D481C">
        <w:rPr>
          <w:rFonts w:ascii="Arial" w:hAnsi="Arial" w:cs="Arial"/>
          <w:lang w:val="en-US"/>
        </w:rPr>
        <w:t xml:space="preserve">In the circumstances, I find that the claim brought falls outside this Court’s jurisdiction and must be dismissed on that basis. </w:t>
      </w:r>
    </w:p>
    <w:p w14:paraId="4022FB1F" w14:textId="77777777" w:rsidR="00B36E10" w:rsidRDefault="00B36E10" w:rsidP="00B36E10">
      <w:pPr>
        <w:spacing w:after="240"/>
        <w:jc w:val="both"/>
        <w:rPr>
          <w:rFonts w:ascii="Arial" w:hAnsi="Arial" w:cs="Arial"/>
          <w:b/>
          <w:bCs/>
          <w:lang w:val="en-US"/>
        </w:rPr>
      </w:pPr>
    </w:p>
    <w:p w14:paraId="04C20C0E" w14:textId="0F335A7C" w:rsidR="00B36E10" w:rsidRPr="00B36E10" w:rsidRDefault="00B36E10" w:rsidP="00B36E10">
      <w:pPr>
        <w:spacing w:after="240" w:line="360" w:lineRule="auto"/>
        <w:jc w:val="both"/>
        <w:rPr>
          <w:rFonts w:ascii="Arial" w:hAnsi="Arial" w:cs="Arial"/>
          <w:b/>
          <w:bCs/>
          <w:lang w:val="en-US"/>
        </w:rPr>
      </w:pPr>
      <w:r>
        <w:rPr>
          <w:rFonts w:ascii="Arial" w:hAnsi="Arial" w:cs="Arial"/>
          <w:b/>
          <w:bCs/>
          <w:lang w:val="en-US"/>
        </w:rPr>
        <w:t xml:space="preserve">COSTS </w:t>
      </w:r>
    </w:p>
    <w:p w14:paraId="602A6E0A" w14:textId="05557383" w:rsidR="00B36E10"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22.</w:t>
      </w:r>
      <w:r>
        <w:rPr>
          <w:rFonts w:ascii="Arial" w:hAnsi="Arial" w:cs="Arial"/>
          <w:lang w:val="en-US"/>
        </w:rPr>
        <w:tab/>
      </w:r>
      <w:r w:rsidR="00B36E10" w:rsidRPr="003D481C">
        <w:rPr>
          <w:rFonts w:ascii="Arial" w:hAnsi="Arial" w:cs="Arial"/>
          <w:lang w:val="en-US"/>
        </w:rPr>
        <w:t>The respondents did not make any submissions as to costs, and left the matter purely to my discretion. Given that the applicant is unrepresented, I am not inclined to award costs against him.</w:t>
      </w:r>
    </w:p>
    <w:p w14:paraId="7E6D7D35" w14:textId="77777777" w:rsidR="00B36E10" w:rsidRDefault="00B36E10" w:rsidP="00B36E10">
      <w:pPr>
        <w:spacing w:after="240"/>
        <w:jc w:val="both"/>
        <w:rPr>
          <w:rFonts w:ascii="Arial" w:hAnsi="Arial" w:cs="Arial"/>
          <w:b/>
          <w:bCs/>
          <w:lang w:val="en-US"/>
        </w:rPr>
      </w:pPr>
    </w:p>
    <w:p w14:paraId="784538CA" w14:textId="1908B752" w:rsidR="00B36E10" w:rsidRPr="00B36E10" w:rsidRDefault="00B36E10" w:rsidP="00B36E10">
      <w:pPr>
        <w:spacing w:after="240" w:line="360" w:lineRule="auto"/>
        <w:jc w:val="both"/>
        <w:rPr>
          <w:rFonts w:ascii="Arial" w:hAnsi="Arial" w:cs="Arial"/>
          <w:b/>
          <w:bCs/>
          <w:lang w:val="en-US"/>
        </w:rPr>
      </w:pPr>
      <w:r>
        <w:rPr>
          <w:rFonts w:ascii="Arial" w:hAnsi="Arial" w:cs="Arial"/>
          <w:b/>
          <w:bCs/>
          <w:lang w:val="en-US"/>
        </w:rPr>
        <w:t>ORDER</w:t>
      </w:r>
    </w:p>
    <w:p w14:paraId="68CFA606" w14:textId="6BB87BAF" w:rsidR="00B36E10" w:rsidRPr="003D481C" w:rsidRDefault="003D481C" w:rsidP="003D481C">
      <w:pPr>
        <w:tabs>
          <w:tab w:val="left" w:pos="567"/>
        </w:tabs>
        <w:spacing w:after="240" w:line="360" w:lineRule="auto"/>
        <w:ind w:left="567" w:hanging="567"/>
        <w:jc w:val="both"/>
        <w:rPr>
          <w:rFonts w:ascii="Arial" w:hAnsi="Arial" w:cs="Arial"/>
          <w:lang w:val="en-US"/>
        </w:rPr>
      </w:pPr>
      <w:r>
        <w:rPr>
          <w:rFonts w:ascii="Arial" w:hAnsi="Arial" w:cs="Arial"/>
          <w:lang w:val="en-US"/>
        </w:rPr>
        <w:t>23.</w:t>
      </w:r>
      <w:r>
        <w:rPr>
          <w:rFonts w:ascii="Arial" w:hAnsi="Arial" w:cs="Arial"/>
          <w:lang w:val="en-US"/>
        </w:rPr>
        <w:tab/>
      </w:r>
      <w:r w:rsidR="00B36E10" w:rsidRPr="003D481C">
        <w:rPr>
          <w:rFonts w:ascii="Arial" w:hAnsi="Arial" w:cs="Arial"/>
          <w:lang w:val="en-US"/>
        </w:rPr>
        <w:t xml:space="preserve">  In the result, the following order is made:</w:t>
      </w:r>
    </w:p>
    <w:p w14:paraId="5040A1EA" w14:textId="75447B6E" w:rsidR="00B36E10" w:rsidRPr="003D481C" w:rsidRDefault="003D481C" w:rsidP="003D481C">
      <w:pPr>
        <w:tabs>
          <w:tab w:val="left" w:pos="1361"/>
        </w:tabs>
        <w:spacing w:after="240" w:line="360" w:lineRule="auto"/>
        <w:ind w:left="1361" w:hanging="794"/>
        <w:jc w:val="both"/>
        <w:rPr>
          <w:rFonts w:ascii="Arial" w:hAnsi="Arial" w:cs="Arial"/>
          <w:lang w:val="en-US"/>
        </w:rPr>
      </w:pPr>
      <w:r>
        <w:rPr>
          <w:rFonts w:ascii="Arial" w:hAnsi="Arial" w:cs="Arial"/>
          <w:lang w:val="en-US"/>
        </w:rPr>
        <w:t>23.1.</w:t>
      </w:r>
      <w:r>
        <w:rPr>
          <w:rFonts w:ascii="Arial" w:hAnsi="Arial" w:cs="Arial"/>
          <w:lang w:val="en-US"/>
        </w:rPr>
        <w:tab/>
      </w:r>
      <w:r w:rsidR="00B36E10" w:rsidRPr="003D481C">
        <w:rPr>
          <w:rFonts w:ascii="Arial" w:hAnsi="Arial" w:cs="Arial"/>
          <w:lang w:val="en-US"/>
        </w:rPr>
        <w:t>The respondents’ late filing of their notice of intention to oppose and their answering papers is condoned.</w:t>
      </w:r>
    </w:p>
    <w:p w14:paraId="2B132384" w14:textId="03A2F635" w:rsidR="00334A5F" w:rsidRPr="003D481C" w:rsidRDefault="003D481C" w:rsidP="003D481C">
      <w:pPr>
        <w:tabs>
          <w:tab w:val="left" w:pos="1361"/>
        </w:tabs>
        <w:spacing w:after="240" w:line="360" w:lineRule="auto"/>
        <w:ind w:left="1361" w:hanging="794"/>
        <w:jc w:val="both"/>
        <w:rPr>
          <w:rFonts w:ascii="Arial" w:hAnsi="Arial" w:cs="Arial"/>
          <w:sz w:val="23"/>
          <w:szCs w:val="23"/>
          <w:lang w:val="en-US"/>
        </w:rPr>
      </w:pPr>
      <w:r w:rsidRPr="00B36E10">
        <w:rPr>
          <w:rFonts w:ascii="Arial" w:hAnsi="Arial" w:cs="Arial"/>
          <w:sz w:val="23"/>
          <w:szCs w:val="23"/>
          <w:lang w:val="en-US"/>
        </w:rPr>
        <w:t>23.2.</w:t>
      </w:r>
      <w:r w:rsidRPr="00B36E10">
        <w:rPr>
          <w:rFonts w:ascii="Arial" w:hAnsi="Arial" w:cs="Arial"/>
          <w:sz w:val="23"/>
          <w:szCs w:val="23"/>
          <w:lang w:val="en-US"/>
        </w:rPr>
        <w:tab/>
      </w:r>
      <w:r w:rsidR="00B36E10" w:rsidRPr="003D481C">
        <w:rPr>
          <w:rFonts w:ascii="Arial" w:hAnsi="Arial" w:cs="Arial"/>
          <w:lang w:val="en-US"/>
        </w:rPr>
        <w:t xml:space="preserve">The application is dismissed. </w:t>
      </w:r>
    </w:p>
    <w:p w14:paraId="6D777A5B" w14:textId="77777777" w:rsidR="00B37EAF" w:rsidRDefault="00B37EAF" w:rsidP="00B36E10">
      <w:pPr>
        <w:spacing w:after="240" w:line="360" w:lineRule="auto"/>
        <w:jc w:val="both"/>
        <w:rPr>
          <w:rFonts w:ascii="Arial" w:hAnsi="Arial" w:cs="Arial"/>
          <w:sz w:val="23"/>
          <w:szCs w:val="23"/>
          <w:lang w:val="en-US"/>
        </w:rPr>
      </w:pPr>
    </w:p>
    <w:p w14:paraId="18464850" w14:textId="77777777" w:rsidR="00334A5F" w:rsidRDefault="00334A5F" w:rsidP="00334A5F">
      <w:pPr>
        <w:pStyle w:val="BodyText"/>
        <w:rPr>
          <w:sz w:val="23"/>
          <w:szCs w:val="23"/>
        </w:rPr>
      </w:pPr>
    </w:p>
    <w:p w14:paraId="7B127D2F" w14:textId="77777777" w:rsidR="00B86790" w:rsidRDefault="00B86790" w:rsidP="00334A5F">
      <w:pPr>
        <w:pStyle w:val="BodyText"/>
        <w:rPr>
          <w:sz w:val="23"/>
          <w:szCs w:val="23"/>
        </w:rPr>
      </w:pPr>
    </w:p>
    <w:p w14:paraId="74D1A4EB" w14:textId="77777777" w:rsidR="00B86790" w:rsidRPr="00154AA4" w:rsidRDefault="00B86790" w:rsidP="00334A5F">
      <w:pPr>
        <w:pStyle w:val="BodyText"/>
        <w:rPr>
          <w:sz w:val="23"/>
          <w:szCs w:val="23"/>
        </w:rPr>
      </w:pPr>
    </w:p>
    <w:p w14:paraId="5B50D1DE" w14:textId="77777777" w:rsidR="00334A5F" w:rsidRPr="00154AA4" w:rsidRDefault="00334A5F" w:rsidP="00334A5F">
      <w:pPr>
        <w:pStyle w:val="BodyText"/>
        <w:spacing w:before="10"/>
        <w:rPr>
          <w:sz w:val="23"/>
          <w:szCs w:val="23"/>
        </w:rPr>
      </w:pPr>
    </w:p>
    <w:p w14:paraId="46902351" w14:textId="77777777" w:rsidR="00334A5F" w:rsidRPr="00154AA4" w:rsidRDefault="00334A5F" w:rsidP="00334A5F">
      <w:pPr>
        <w:pStyle w:val="BodyText"/>
        <w:spacing w:line="20" w:lineRule="exact"/>
        <w:ind w:left="6211"/>
        <w:rPr>
          <w:sz w:val="23"/>
          <w:szCs w:val="23"/>
        </w:rPr>
      </w:pPr>
      <w:r w:rsidRPr="00154AA4">
        <w:rPr>
          <w:noProof/>
          <w:sz w:val="23"/>
          <w:szCs w:val="23"/>
        </w:rPr>
        <mc:AlternateContent>
          <mc:Choice Requires="wpg">
            <w:drawing>
              <wp:inline distT="0" distB="0" distL="0" distR="0" wp14:anchorId="0E94F44E" wp14:editId="036D135B">
                <wp:extent cx="1864995" cy="1016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10160"/>
                          <a:chOff x="0" y="0"/>
                          <a:chExt cx="2937" cy="16"/>
                        </a:xfrm>
                      </wpg:grpSpPr>
                      <wps:wsp>
                        <wps:cNvPr id="14" name="Line 3"/>
                        <wps:cNvCnPr>
                          <a:cxnSpLocks noChangeShapeType="1"/>
                        </wps:cNvCnPr>
                        <wps:spPr bwMode="auto">
                          <a:xfrm>
                            <a:off x="0" y="8"/>
                            <a:ext cx="2937" cy="0"/>
                          </a:xfrm>
                          <a:prstGeom prst="line">
                            <a:avLst/>
                          </a:prstGeom>
                          <a:noFill/>
                          <a:ln w="96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43BD4EE" id="Group 2" o:spid="_x0000_s1026" style="width:146.85pt;height:.8pt;mso-position-horizontal-relative:char;mso-position-vertical-relative:line" coordsize="29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">
                <v:line id="Line 3" o:spid="_x0000_s1027" style="position:absolute;visibility:visible;mso-wrap-style:square" from="0,8" to="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" strokeweight=".26875mm"/>
                <w10:anchorlock/>
              </v:group>
            </w:pict>
          </mc:Fallback>
        </mc:AlternateContent>
      </w:r>
    </w:p>
    <w:p w14:paraId="22A7A2F5" w14:textId="77777777" w:rsidR="00334A5F" w:rsidRPr="00154AA4" w:rsidRDefault="00334A5F" w:rsidP="00666253">
      <w:pPr>
        <w:pStyle w:val="Heading1"/>
        <w:spacing w:line="275" w:lineRule="exact"/>
        <w:ind w:right="95"/>
        <w:jc w:val="right"/>
        <w:rPr>
          <w:rFonts w:ascii="Arial" w:hAnsi="Arial" w:cs="Arial"/>
          <w:b w:val="0"/>
          <w:sz w:val="23"/>
          <w:szCs w:val="23"/>
        </w:rPr>
      </w:pPr>
      <w:r w:rsidRPr="00154AA4">
        <w:rPr>
          <w:rFonts w:ascii="Arial" w:hAnsi="Arial" w:cs="Arial"/>
          <w:b w:val="0"/>
          <w:sz w:val="23"/>
          <w:szCs w:val="23"/>
        </w:rPr>
        <w:t>I GOODMAN,</w:t>
      </w:r>
      <w:r w:rsidRPr="00154AA4">
        <w:rPr>
          <w:rFonts w:ascii="Arial" w:hAnsi="Arial" w:cs="Arial"/>
          <w:b w:val="0"/>
          <w:spacing w:val="-2"/>
          <w:sz w:val="23"/>
          <w:szCs w:val="23"/>
        </w:rPr>
        <w:t xml:space="preserve"> </w:t>
      </w:r>
      <w:r w:rsidRPr="00154AA4">
        <w:rPr>
          <w:rFonts w:ascii="Arial" w:hAnsi="Arial" w:cs="Arial"/>
          <w:b w:val="0"/>
          <w:sz w:val="23"/>
          <w:szCs w:val="23"/>
        </w:rPr>
        <w:t>AJ</w:t>
      </w:r>
    </w:p>
    <w:p w14:paraId="14236441" w14:textId="77777777" w:rsidR="00334A5F" w:rsidRPr="00154AA4" w:rsidRDefault="00334A5F" w:rsidP="00666253">
      <w:pPr>
        <w:pStyle w:val="BodyText"/>
        <w:spacing w:line="275" w:lineRule="exact"/>
        <w:ind w:right="95"/>
        <w:jc w:val="right"/>
        <w:rPr>
          <w:b/>
          <w:sz w:val="23"/>
          <w:szCs w:val="23"/>
        </w:rPr>
      </w:pPr>
      <w:r w:rsidRPr="00154AA4">
        <w:rPr>
          <w:b/>
          <w:sz w:val="23"/>
          <w:szCs w:val="23"/>
        </w:rPr>
        <w:t>ACTING JUDGE OF THE HIGH COURT OF SOUTH</w:t>
      </w:r>
      <w:r w:rsidRPr="00154AA4">
        <w:rPr>
          <w:b/>
          <w:spacing w:val="-6"/>
          <w:sz w:val="23"/>
          <w:szCs w:val="23"/>
        </w:rPr>
        <w:t xml:space="preserve"> </w:t>
      </w:r>
      <w:r w:rsidRPr="00154AA4">
        <w:rPr>
          <w:b/>
          <w:sz w:val="23"/>
          <w:szCs w:val="23"/>
        </w:rPr>
        <w:t>AFRICA</w:t>
      </w:r>
    </w:p>
    <w:p w14:paraId="1A9A4A37" w14:textId="775433C1" w:rsidR="00ED2969" w:rsidRPr="00154AA4" w:rsidRDefault="00334A5F" w:rsidP="00666253">
      <w:pPr>
        <w:pStyle w:val="BodyText"/>
        <w:spacing w:before="5" w:line="237" w:lineRule="auto"/>
        <w:ind w:right="95"/>
        <w:jc w:val="right"/>
        <w:rPr>
          <w:b/>
          <w:spacing w:val="-3"/>
          <w:sz w:val="23"/>
          <w:szCs w:val="23"/>
        </w:rPr>
      </w:pPr>
      <w:r w:rsidRPr="00154AA4">
        <w:rPr>
          <w:b/>
          <w:sz w:val="23"/>
          <w:szCs w:val="23"/>
        </w:rPr>
        <w:t xml:space="preserve"> GAUTENG </w:t>
      </w:r>
      <w:r w:rsidRPr="00154AA4">
        <w:rPr>
          <w:b/>
          <w:spacing w:val="-3"/>
          <w:sz w:val="23"/>
          <w:szCs w:val="23"/>
        </w:rPr>
        <w:t>DIVISION JOHANNESBURG</w:t>
      </w:r>
    </w:p>
    <w:p w14:paraId="28A98F49" w14:textId="77777777" w:rsidR="00B37EAF" w:rsidRDefault="00B37EAF" w:rsidP="00154AA4">
      <w:pPr>
        <w:pStyle w:val="BodyText"/>
        <w:spacing w:before="5" w:line="237" w:lineRule="auto"/>
        <w:ind w:right="187"/>
        <w:jc w:val="center"/>
        <w:rPr>
          <w:b/>
          <w:spacing w:val="-3"/>
          <w:sz w:val="23"/>
          <w:szCs w:val="23"/>
        </w:rPr>
      </w:pPr>
    </w:p>
    <w:p w14:paraId="100DD819" w14:textId="77777777" w:rsidR="00B37EAF" w:rsidRDefault="00B37EAF" w:rsidP="00154AA4">
      <w:pPr>
        <w:pStyle w:val="BodyText"/>
        <w:spacing w:before="5" w:line="237" w:lineRule="auto"/>
        <w:ind w:right="187"/>
        <w:jc w:val="center"/>
        <w:rPr>
          <w:b/>
          <w:spacing w:val="-3"/>
          <w:sz w:val="23"/>
          <w:szCs w:val="23"/>
        </w:rPr>
      </w:pPr>
    </w:p>
    <w:p w14:paraId="5C6CA0F9" w14:textId="77777777" w:rsidR="00B37EAF" w:rsidRDefault="00B37EAF" w:rsidP="00154AA4">
      <w:pPr>
        <w:pStyle w:val="BodyText"/>
        <w:spacing w:before="5" w:line="237" w:lineRule="auto"/>
        <w:ind w:right="187"/>
        <w:jc w:val="center"/>
        <w:rPr>
          <w:b/>
          <w:spacing w:val="-3"/>
          <w:sz w:val="23"/>
          <w:szCs w:val="23"/>
        </w:rPr>
      </w:pPr>
    </w:p>
    <w:p w14:paraId="1491F948" w14:textId="77777777" w:rsidR="00B37EAF" w:rsidRPr="00154AA4" w:rsidRDefault="00B37EAF" w:rsidP="00154AA4">
      <w:pPr>
        <w:pStyle w:val="BodyText"/>
        <w:spacing w:before="5" w:line="237" w:lineRule="auto"/>
        <w:ind w:right="187"/>
        <w:jc w:val="center"/>
        <w:rPr>
          <w:b/>
          <w:spacing w:val="-3"/>
          <w:sz w:val="23"/>
          <w:szCs w:val="23"/>
        </w:rPr>
      </w:pPr>
    </w:p>
    <w:p w14:paraId="0C2A7ABB" w14:textId="77777777" w:rsidR="00154AA4" w:rsidRPr="00154AA4" w:rsidRDefault="00154AA4" w:rsidP="00BE7D52">
      <w:pPr>
        <w:pStyle w:val="BodyText"/>
        <w:spacing w:before="5" w:line="237" w:lineRule="auto"/>
        <w:ind w:right="187"/>
        <w:jc w:val="right"/>
        <w:rPr>
          <w:sz w:val="23"/>
          <w:szCs w:val="23"/>
        </w:rPr>
      </w:pPr>
    </w:p>
    <w:p w14:paraId="2AA0B85A" w14:textId="77777777" w:rsidR="00B37EAF" w:rsidRPr="001469D2" w:rsidRDefault="00B37EAF" w:rsidP="00B37EAF">
      <w:pPr>
        <w:spacing w:line="360" w:lineRule="auto"/>
        <w:rPr>
          <w:rFonts w:ascii="Arial" w:hAnsi="Arial" w:cs="Arial"/>
          <w:u w:val="single"/>
        </w:rPr>
      </w:pPr>
      <w:r w:rsidRPr="001469D2">
        <w:rPr>
          <w:rFonts w:ascii="Arial" w:hAnsi="Arial" w:cs="Arial"/>
          <w:u w:val="single"/>
        </w:rPr>
        <w:t>APPEARANCES</w:t>
      </w:r>
    </w:p>
    <w:p w14:paraId="72CD2FA8" w14:textId="3D6640F8" w:rsidR="00B37EAF" w:rsidRPr="00BC2CFE" w:rsidRDefault="00B37EAF" w:rsidP="00B37EAF">
      <w:pPr>
        <w:spacing w:line="360" w:lineRule="auto"/>
        <w:rPr>
          <w:rFonts w:ascii="Arial" w:hAnsi="Arial" w:cs="Arial"/>
        </w:rPr>
      </w:pPr>
      <w:r>
        <w:rPr>
          <w:rFonts w:ascii="Arial" w:hAnsi="Arial" w:cs="Arial"/>
        </w:rPr>
        <w:t xml:space="preserve">DATE OF </w:t>
      </w:r>
      <w:r w:rsidRPr="00BC2CFE">
        <w:rPr>
          <w:rFonts w:ascii="Arial" w:hAnsi="Arial" w:cs="Arial"/>
        </w:rPr>
        <w:t>HEARING :</w:t>
      </w:r>
      <w:r>
        <w:rPr>
          <w:rFonts w:ascii="Arial" w:hAnsi="Arial" w:cs="Arial"/>
        </w:rPr>
        <w:tab/>
      </w:r>
      <w:r>
        <w:rPr>
          <w:rFonts w:ascii="Arial" w:hAnsi="Arial" w:cs="Arial"/>
        </w:rPr>
        <w:tab/>
      </w:r>
      <w:r w:rsidRPr="00BC2CFE">
        <w:rPr>
          <w:rFonts w:ascii="Arial" w:hAnsi="Arial" w:cs="Arial"/>
        </w:rPr>
        <w:tab/>
      </w:r>
      <w:r>
        <w:rPr>
          <w:rFonts w:ascii="Arial" w:hAnsi="Arial" w:cs="Arial"/>
        </w:rPr>
        <w:tab/>
      </w:r>
      <w:r w:rsidRPr="00BC2CFE">
        <w:rPr>
          <w:rFonts w:ascii="Arial" w:hAnsi="Arial" w:cs="Arial"/>
        </w:rPr>
        <w:t>2</w:t>
      </w:r>
      <w:r>
        <w:rPr>
          <w:rFonts w:ascii="Arial" w:hAnsi="Arial" w:cs="Arial"/>
        </w:rPr>
        <w:t>3</w:t>
      </w:r>
      <w:r w:rsidRPr="00BC2CFE">
        <w:rPr>
          <w:rFonts w:ascii="Arial" w:hAnsi="Arial" w:cs="Arial"/>
        </w:rPr>
        <w:t xml:space="preserve"> January 2024</w:t>
      </w:r>
    </w:p>
    <w:p w14:paraId="44AA2D80" w14:textId="3CE75607" w:rsidR="00B37EAF" w:rsidRPr="00BC2CFE" w:rsidRDefault="00B37EAF" w:rsidP="00B37EAF">
      <w:pPr>
        <w:pStyle w:val="BodyText"/>
        <w:tabs>
          <w:tab w:val="left" w:pos="4450"/>
        </w:tabs>
        <w:spacing w:after="240" w:line="360" w:lineRule="auto"/>
      </w:pPr>
      <w:r>
        <w:t xml:space="preserve">DATE OF </w:t>
      </w:r>
      <w:r w:rsidRPr="00BC2CFE">
        <w:t>JUDGMENT</w:t>
      </w:r>
      <w:r w:rsidRPr="00BC2CFE">
        <w:rPr>
          <w:spacing w:val="-1"/>
        </w:rPr>
        <w:t xml:space="preserve"> </w:t>
      </w:r>
      <w:r w:rsidRPr="00BC2CFE">
        <w:t>:</w:t>
      </w:r>
      <w:r>
        <w:tab/>
      </w:r>
      <w:r>
        <w:tab/>
        <w:t>1</w:t>
      </w:r>
      <w:r w:rsidR="009047F1">
        <w:t>5</w:t>
      </w:r>
      <w:r>
        <w:t xml:space="preserve"> </w:t>
      </w:r>
      <w:r w:rsidRPr="00BC2CFE">
        <w:t>February 2024</w:t>
      </w:r>
    </w:p>
    <w:p w14:paraId="4FA06FE0" w14:textId="638C75D0" w:rsidR="00B37EAF" w:rsidRPr="00BC2CFE" w:rsidRDefault="00B37EAF" w:rsidP="00B37EAF">
      <w:pPr>
        <w:pStyle w:val="BodyText"/>
        <w:tabs>
          <w:tab w:val="left" w:pos="4450"/>
        </w:tabs>
        <w:spacing w:line="360" w:lineRule="auto"/>
      </w:pPr>
      <w:r>
        <w:t>FOR THE APPLICANT :</w:t>
      </w:r>
      <w:r>
        <w:tab/>
      </w:r>
      <w:r>
        <w:tab/>
        <w:t>In person</w:t>
      </w:r>
    </w:p>
    <w:p w14:paraId="2B7AEF55" w14:textId="77777777" w:rsidR="00B37EAF" w:rsidRDefault="00B37EAF" w:rsidP="00B37EAF">
      <w:pPr>
        <w:pStyle w:val="BodyText"/>
        <w:tabs>
          <w:tab w:val="left" w:pos="4450"/>
        </w:tabs>
        <w:spacing w:line="360" w:lineRule="auto"/>
      </w:pPr>
    </w:p>
    <w:p w14:paraId="26E373F9" w14:textId="294C146A" w:rsidR="00B37EAF" w:rsidRPr="00BC2CFE" w:rsidRDefault="00B37EAF" w:rsidP="00B37EAF">
      <w:pPr>
        <w:pStyle w:val="BodyText"/>
        <w:tabs>
          <w:tab w:val="left" w:pos="4450"/>
        </w:tabs>
        <w:spacing w:line="360" w:lineRule="auto"/>
      </w:pPr>
      <w:r>
        <w:t xml:space="preserve">RESPONDENT’S </w:t>
      </w:r>
      <w:r w:rsidRPr="00BC2CFE">
        <w:t>COUNSEL:</w:t>
      </w:r>
      <w:r w:rsidRPr="00BC2CFE">
        <w:tab/>
      </w:r>
      <w:r>
        <w:tab/>
        <w:t xml:space="preserve">Adv </w:t>
      </w:r>
      <w:r w:rsidRPr="00BC2CFE">
        <w:t xml:space="preserve">C </w:t>
      </w:r>
      <w:r>
        <w:t xml:space="preserve">R Minnaar </w:t>
      </w:r>
    </w:p>
    <w:p w14:paraId="3C5A6D34" w14:textId="33D121DE" w:rsidR="00A33EA7" w:rsidRPr="00154AA4" w:rsidRDefault="00B37EAF" w:rsidP="00B37EAF">
      <w:pPr>
        <w:pStyle w:val="BodyText"/>
        <w:tabs>
          <w:tab w:val="left" w:pos="4450"/>
        </w:tabs>
        <w:spacing w:line="360" w:lineRule="auto"/>
        <w:rPr>
          <w:sz w:val="23"/>
          <w:szCs w:val="23"/>
        </w:rPr>
      </w:pPr>
      <w:r>
        <w:t xml:space="preserve">RESPONDENT’S </w:t>
      </w:r>
      <w:r w:rsidRPr="00BC2CFE">
        <w:rPr>
          <w:spacing w:val="-1"/>
        </w:rPr>
        <w:t xml:space="preserve"> </w:t>
      </w:r>
      <w:r w:rsidRPr="00BC2CFE">
        <w:t>ATTORNEYS</w:t>
      </w:r>
      <w:r>
        <w:t xml:space="preserve"> </w:t>
      </w:r>
      <w:r w:rsidRPr="00BC2CFE">
        <w:t>:</w:t>
      </w:r>
      <w:r w:rsidRPr="00BC2CFE">
        <w:tab/>
      </w:r>
      <w:r>
        <w:tab/>
        <w:t>State Attorney, Pretoria</w:t>
      </w:r>
      <w:bookmarkEnd w:id="0"/>
    </w:p>
    <w:sectPr w:rsidR="00A33EA7" w:rsidRPr="00154AA4">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F383" w14:textId="77777777" w:rsidR="00D37D05" w:rsidRDefault="00D37D05" w:rsidP="00596525">
      <w:r>
        <w:separator/>
      </w:r>
    </w:p>
  </w:endnote>
  <w:endnote w:type="continuationSeparator" w:id="0">
    <w:p w14:paraId="446A651E" w14:textId="77777777" w:rsidR="00D37D05" w:rsidRDefault="00D37D05" w:rsidP="005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A356" w14:textId="77777777" w:rsidR="00D37D05" w:rsidRDefault="00D37D05" w:rsidP="00596525">
      <w:r>
        <w:separator/>
      </w:r>
    </w:p>
  </w:footnote>
  <w:footnote w:type="continuationSeparator" w:id="0">
    <w:p w14:paraId="7C3DF446" w14:textId="77777777" w:rsidR="00D37D05" w:rsidRDefault="00D37D05" w:rsidP="00596525">
      <w:r>
        <w:continuationSeparator/>
      </w:r>
    </w:p>
  </w:footnote>
  <w:footnote w:id="1">
    <w:p w14:paraId="395F7D85" w14:textId="74152C87" w:rsidR="009E3C9A" w:rsidRPr="00B36E10" w:rsidRDefault="009E3C9A" w:rsidP="008C2F85">
      <w:pPr>
        <w:pStyle w:val="FootnoteText"/>
        <w:ind w:left="567" w:hanging="567"/>
        <w:jc w:val="both"/>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t xml:space="preserve">The applicant submits that the effect of </w:t>
      </w:r>
      <w:r w:rsidR="008C2F85">
        <w:rPr>
          <w:rFonts w:ascii="Arial" w:hAnsi="Arial" w:cs="Arial"/>
          <w:lang w:val="en-US"/>
        </w:rPr>
        <w:t xml:space="preserve">his February 2020 payment </w:t>
      </w:r>
      <w:r w:rsidRPr="00B36E10">
        <w:rPr>
          <w:rFonts w:ascii="Arial" w:hAnsi="Arial" w:cs="Arial"/>
          <w:lang w:val="en-US"/>
        </w:rPr>
        <w:t>was that his suspension was automatically</w:t>
      </w:r>
      <w:r w:rsidR="008C2F85">
        <w:rPr>
          <w:rFonts w:ascii="Arial" w:hAnsi="Arial" w:cs="Arial"/>
          <w:lang w:val="en-US"/>
        </w:rPr>
        <w:t xml:space="preserve"> and immediately</w:t>
      </w:r>
      <w:r w:rsidRPr="00B36E10">
        <w:rPr>
          <w:rFonts w:ascii="Arial" w:hAnsi="Arial" w:cs="Arial"/>
          <w:lang w:val="en-US"/>
        </w:rPr>
        <w:t xml:space="preserve"> </w:t>
      </w:r>
      <w:r w:rsidR="008C2F85">
        <w:rPr>
          <w:rFonts w:ascii="Arial" w:hAnsi="Arial" w:cs="Arial"/>
          <w:lang w:val="en-US"/>
        </w:rPr>
        <w:t>revoked</w:t>
      </w:r>
      <w:r w:rsidRPr="00B36E10">
        <w:rPr>
          <w:rFonts w:ascii="Arial" w:hAnsi="Arial" w:cs="Arial"/>
          <w:lang w:val="en-US"/>
        </w:rPr>
        <w:t xml:space="preserve"> by operation of law</w:t>
      </w:r>
      <w:r w:rsidR="008C2F85">
        <w:rPr>
          <w:rFonts w:ascii="Arial" w:hAnsi="Arial" w:cs="Arial"/>
          <w:lang w:val="en-US"/>
        </w:rPr>
        <w:t>. T</w:t>
      </w:r>
      <w:r w:rsidRPr="00B36E10">
        <w:rPr>
          <w:rFonts w:ascii="Arial" w:hAnsi="Arial" w:cs="Arial"/>
          <w:lang w:val="en-US"/>
        </w:rPr>
        <w:t xml:space="preserve">he HSPCA appears to have taken a different view and to have taken a decision to restore him to the register sometime before 1 April 2020. This dispute is not determinative of any of the issues in the present proceedings, and I consequently do not weigh in on it. </w:t>
      </w:r>
    </w:p>
  </w:footnote>
  <w:footnote w:id="2">
    <w:p w14:paraId="28ADBBF7" w14:textId="53851F44" w:rsidR="008C67F9" w:rsidRPr="00B36E10" w:rsidRDefault="008C67F9"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rPr>
        <w:t>Baloyi v Public Protector and Others</w:t>
      </w:r>
      <w:r w:rsidRPr="00B36E10">
        <w:rPr>
          <w:rFonts w:ascii="Arial" w:hAnsi="Arial" w:cs="Arial"/>
        </w:rPr>
        <w:t xml:space="preserve"> (CCT03/20) [2020] ZACC 27; 2021 (2) BCLR 101 (CC); [2021] 4 BLLR 325 (CC); (2021) 42 ILJ 961 (CC); 2022 (3) SA 321 (CC) (4 December 2020)</w:t>
      </w:r>
      <w:r w:rsidR="00B36E10" w:rsidRPr="00B36E10">
        <w:rPr>
          <w:rFonts w:ascii="Arial" w:hAnsi="Arial" w:cs="Arial"/>
        </w:rPr>
        <w:t xml:space="preserve">. See also </w:t>
      </w:r>
      <w:r w:rsidR="00B36E10" w:rsidRPr="00B36E10">
        <w:rPr>
          <w:rFonts w:ascii="Arial" w:hAnsi="Arial" w:cs="Arial"/>
          <w:i/>
          <w:iCs/>
        </w:rPr>
        <w:t>Gcaba v Minister for Safety and Security</w:t>
      </w:r>
      <w:r w:rsidR="00B36E10" w:rsidRPr="00B36E10">
        <w:rPr>
          <w:rFonts w:ascii="Arial" w:hAnsi="Arial" w:cs="Arial"/>
        </w:rPr>
        <w:t xml:space="preserve"> [2009] ZACC 26; 2010 (1) SA 238 (CC); 2010 (1) BCLR 35 (CC) paras 70-75; </w:t>
      </w:r>
      <w:r w:rsidR="00B36E10" w:rsidRPr="00B36E10">
        <w:rPr>
          <w:rFonts w:ascii="Arial" w:hAnsi="Arial" w:cs="Arial"/>
          <w:i/>
          <w:iCs/>
        </w:rPr>
        <w:t>Chirwa v Transnet Limited</w:t>
      </w:r>
      <w:r w:rsidR="00B36E10" w:rsidRPr="00B36E10">
        <w:rPr>
          <w:rFonts w:ascii="Arial" w:hAnsi="Arial" w:cs="Arial"/>
        </w:rPr>
        <w:t xml:space="preserve"> [2007] ZACC 23; 2008 (4) SA 367 (CC); 2008 (3) BCLR 251 (CC) paras 47, 60</w:t>
      </w:r>
      <w:r w:rsidR="00B36E10" w:rsidRPr="00B36E10">
        <w:rPr>
          <w:rFonts w:ascii="Arial" w:hAnsi="Arial" w:cs="Arial"/>
          <w:lang w:val="en-US"/>
        </w:rPr>
        <w:t>.</w:t>
      </w:r>
    </w:p>
  </w:footnote>
  <w:footnote w:id="3">
    <w:p w14:paraId="2AD75CC5" w14:textId="49006E29" w:rsidR="00871D73" w:rsidRPr="00B36E10" w:rsidRDefault="00871D73"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lang w:val="en-US"/>
        </w:rPr>
        <w:t xml:space="preserve">Baloyi </w:t>
      </w:r>
      <w:r w:rsidRPr="00B36E10">
        <w:rPr>
          <w:rFonts w:ascii="Arial" w:hAnsi="Arial" w:cs="Arial"/>
          <w:lang w:val="en-US"/>
        </w:rPr>
        <w:t>paras 23-26.</w:t>
      </w:r>
    </w:p>
  </w:footnote>
  <w:footnote w:id="4">
    <w:p w14:paraId="70BABD71" w14:textId="70EB4D7A" w:rsidR="00871D73" w:rsidRPr="00B36E10" w:rsidRDefault="00871D73"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lang w:val="en-US"/>
        </w:rPr>
        <w:t xml:space="preserve">Baloyi </w:t>
      </w:r>
      <w:r w:rsidRPr="00B36E10">
        <w:rPr>
          <w:rFonts w:ascii="Arial" w:hAnsi="Arial" w:cs="Arial"/>
          <w:lang w:val="en-US"/>
        </w:rPr>
        <w:t>para 24.</w:t>
      </w:r>
    </w:p>
  </w:footnote>
  <w:footnote w:id="5">
    <w:p w14:paraId="5216DB31" w14:textId="506FBF8F" w:rsidR="00871D73" w:rsidRPr="00B36E10" w:rsidRDefault="00871D73"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lang w:val="en-US"/>
        </w:rPr>
        <w:t xml:space="preserve">Baloyi </w:t>
      </w:r>
      <w:r w:rsidRPr="00B36E10">
        <w:rPr>
          <w:rFonts w:ascii="Arial" w:hAnsi="Arial" w:cs="Arial"/>
          <w:lang w:val="en-US"/>
        </w:rPr>
        <w:t>para 28.</w:t>
      </w:r>
    </w:p>
  </w:footnote>
  <w:footnote w:id="6">
    <w:p w14:paraId="24120555" w14:textId="174956C6" w:rsidR="00871D73" w:rsidRPr="00B36E10" w:rsidRDefault="00871D73"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lang w:val="en-US"/>
        </w:rPr>
        <w:t xml:space="preserve">Baloyi </w:t>
      </w:r>
      <w:r w:rsidRPr="00B36E10">
        <w:rPr>
          <w:rFonts w:ascii="Arial" w:hAnsi="Arial" w:cs="Arial"/>
          <w:lang w:val="en-US"/>
        </w:rPr>
        <w:t xml:space="preserve">para </w:t>
      </w:r>
      <w:r w:rsidR="003E695A" w:rsidRPr="00B36E10">
        <w:rPr>
          <w:rFonts w:ascii="Arial" w:hAnsi="Arial" w:cs="Arial"/>
          <w:lang w:val="en-US"/>
        </w:rPr>
        <w:t>38.</w:t>
      </w:r>
      <w:r w:rsidR="00B36E10" w:rsidRPr="00B36E10">
        <w:rPr>
          <w:rFonts w:ascii="Arial" w:hAnsi="Arial" w:cs="Arial"/>
          <w:lang w:val="en-US"/>
        </w:rPr>
        <w:t xml:space="preserve"> See also </w:t>
      </w:r>
      <w:r w:rsidR="00B36E10" w:rsidRPr="00B36E10">
        <w:rPr>
          <w:rFonts w:ascii="Arial" w:hAnsi="Arial" w:cs="Arial"/>
          <w:i/>
          <w:iCs/>
          <w:lang w:val="en-US"/>
        </w:rPr>
        <w:t>Makhanya v University of Zululand</w:t>
      </w:r>
      <w:r w:rsidR="00B36E10" w:rsidRPr="00B36E10">
        <w:rPr>
          <w:rFonts w:ascii="Arial" w:hAnsi="Arial" w:cs="Arial"/>
          <w:lang w:val="en-US"/>
        </w:rPr>
        <w:t xml:space="preserve"> </w:t>
      </w:r>
      <w:r w:rsidR="00B36E10" w:rsidRPr="00B36E10">
        <w:rPr>
          <w:rFonts w:ascii="Arial" w:hAnsi="Arial" w:cs="Arial"/>
        </w:rPr>
        <w:t xml:space="preserve">[2009] ZASCA 69; </w:t>
      </w:r>
      <w:r w:rsidR="00B36E10" w:rsidRPr="00B36E10">
        <w:rPr>
          <w:rFonts w:ascii="Arial" w:hAnsi="Arial" w:cs="Arial"/>
          <w:lang w:val="en-US"/>
        </w:rPr>
        <w:t>2010 (1) SA 62 (SCA) at paras 11 and 18</w:t>
      </w:r>
    </w:p>
  </w:footnote>
  <w:footnote w:id="7">
    <w:p w14:paraId="5A90D49E" w14:textId="7B6DC41F" w:rsidR="003E695A" w:rsidRPr="00B36E10" w:rsidRDefault="003E695A" w:rsidP="00B36E10">
      <w:pPr>
        <w:pStyle w:val="FootnoteText"/>
        <w:ind w:left="567" w:hanging="567"/>
        <w:rPr>
          <w:rFonts w:ascii="Arial" w:hAnsi="Arial" w:cs="Arial"/>
          <w:lang w:val="en-US"/>
        </w:rPr>
      </w:pPr>
      <w:r w:rsidRPr="00B36E10">
        <w:rPr>
          <w:rStyle w:val="FootnoteReference"/>
          <w:rFonts w:ascii="Arial" w:hAnsi="Arial" w:cs="Arial"/>
        </w:rPr>
        <w:footnoteRef/>
      </w:r>
      <w:r w:rsidRPr="00B36E10">
        <w:rPr>
          <w:rFonts w:ascii="Arial" w:hAnsi="Arial" w:cs="Arial"/>
        </w:rPr>
        <w:t xml:space="preserve"> </w:t>
      </w:r>
      <w:r w:rsidRPr="00B36E10">
        <w:rPr>
          <w:rFonts w:ascii="Arial" w:hAnsi="Arial" w:cs="Arial"/>
          <w:lang w:val="en-US"/>
        </w:rPr>
        <w:tab/>
      </w:r>
      <w:r w:rsidRPr="00B36E10">
        <w:rPr>
          <w:rFonts w:ascii="Arial" w:hAnsi="Arial" w:cs="Arial"/>
          <w:i/>
          <w:iCs/>
          <w:lang w:val="en-US"/>
        </w:rPr>
        <w:t xml:space="preserve">Baloyi </w:t>
      </w:r>
      <w:r w:rsidRPr="00B36E10">
        <w:rPr>
          <w:rFonts w:ascii="Arial" w:hAnsi="Arial" w:cs="Arial"/>
          <w:lang w:val="en-US"/>
        </w:rPr>
        <w:t>paras 33, 39.</w:t>
      </w:r>
    </w:p>
  </w:footnote>
  <w:footnote w:id="8">
    <w:p w14:paraId="61C97212" w14:textId="77777777" w:rsidR="002E35AE" w:rsidRPr="00B36E10" w:rsidRDefault="002E35AE" w:rsidP="00B36E10">
      <w:pPr>
        <w:autoSpaceDE w:val="0"/>
        <w:autoSpaceDN w:val="0"/>
        <w:adjustRightInd w:val="0"/>
        <w:ind w:left="567" w:hanging="567"/>
        <w:jc w:val="both"/>
        <w:rPr>
          <w:rFonts w:ascii="Arial" w:hAnsi="Arial" w:cs="Arial"/>
          <w:color w:val="000000" w:themeColor="text1"/>
          <w:kern w:val="0"/>
          <w:sz w:val="20"/>
          <w:szCs w:val="20"/>
          <w:lang w:val="en-GB"/>
        </w:rPr>
      </w:pPr>
      <w:r w:rsidRPr="00B36E10">
        <w:rPr>
          <w:rStyle w:val="FootnoteReference"/>
          <w:rFonts w:ascii="Arial" w:hAnsi="Arial" w:cs="Arial"/>
          <w:color w:val="000000" w:themeColor="text1"/>
          <w:sz w:val="20"/>
          <w:szCs w:val="20"/>
        </w:rPr>
        <w:footnoteRef/>
      </w:r>
      <w:r w:rsidRPr="00B36E10">
        <w:rPr>
          <w:rFonts w:ascii="Arial" w:hAnsi="Arial" w:cs="Arial"/>
          <w:color w:val="000000" w:themeColor="text1"/>
          <w:sz w:val="20"/>
          <w:szCs w:val="20"/>
        </w:rPr>
        <w:t xml:space="preserve"> </w:t>
      </w:r>
      <w:r w:rsidRPr="00B36E10">
        <w:rPr>
          <w:rFonts w:ascii="Arial" w:hAnsi="Arial" w:cs="Arial"/>
          <w:color w:val="000000" w:themeColor="text1"/>
          <w:sz w:val="20"/>
          <w:szCs w:val="20"/>
          <w:lang w:val="en-US"/>
        </w:rPr>
        <w:tab/>
        <w:t xml:space="preserve">See, for example, </w:t>
      </w:r>
      <w:r w:rsidRPr="00B36E10">
        <w:rPr>
          <w:rFonts w:ascii="Arial" w:hAnsi="Arial" w:cs="Arial"/>
          <w:i/>
          <w:iCs/>
          <w:color w:val="000000" w:themeColor="text1"/>
          <w:kern w:val="0"/>
          <w:sz w:val="20"/>
          <w:szCs w:val="20"/>
          <w:lang w:val="en-GB"/>
        </w:rPr>
        <w:t>Transnet Ltd v Rubenstein</w:t>
      </w:r>
      <w:r w:rsidRPr="00B36E10">
        <w:rPr>
          <w:rFonts w:ascii="Arial" w:hAnsi="Arial" w:cs="Arial"/>
          <w:color w:val="000000" w:themeColor="text1"/>
          <w:kern w:val="0"/>
          <w:sz w:val="20"/>
          <w:szCs w:val="20"/>
          <w:lang w:val="en-GB"/>
        </w:rPr>
        <w:t xml:space="preserve"> 2006 (1) SA 591 (SCA) at para 28; </w:t>
      </w:r>
      <w:r w:rsidRPr="00B36E10">
        <w:rPr>
          <w:rFonts w:ascii="Arial" w:hAnsi="Arial" w:cs="Arial"/>
          <w:i/>
          <w:iCs/>
          <w:color w:val="000000" w:themeColor="text1"/>
          <w:kern w:val="0"/>
          <w:sz w:val="20"/>
          <w:szCs w:val="20"/>
          <w:lang w:val="en-GB"/>
        </w:rPr>
        <w:t>NCSPCA v Openshaw</w:t>
      </w:r>
      <w:r w:rsidRPr="00B36E10">
        <w:rPr>
          <w:rFonts w:ascii="Arial" w:hAnsi="Arial" w:cs="Arial"/>
          <w:color w:val="000000" w:themeColor="text1"/>
          <w:kern w:val="0"/>
          <w:sz w:val="20"/>
          <w:szCs w:val="20"/>
          <w:lang w:val="en-GB"/>
        </w:rPr>
        <w:t xml:space="preserve"> [2008] 4 All SA 225 (SCA) at para 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1050009"/>
      <w:docPartObj>
        <w:docPartGallery w:val="Page Numbers (Top of Page)"/>
        <w:docPartUnique/>
      </w:docPartObj>
    </w:sdtPr>
    <w:sdtEndPr>
      <w:rPr>
        <w:rStyle w:val="PageNumber"/>
      </w:rPr>
    </w:sdtEndPr>
    <w:sdtContent>
      <w:p w14:paraId="59998476" w14:textId="28C2650F"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A9BD8" w14:textId="77777777" w:rsidR="00D9392D" w:rsidRDefault="00D9392D" w:rsidP="00D9392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551620"/>
      <w:docPartObj>
        <w:docPartGallery w:val="Page Numbers (Top of Page)"/>
        <w:docPartUnique/>
      </w:docPartObj>
    </w:sdtPr>
    <w:sdtEndPr>
      <w:rPr>
        <w:rStyle w:val="PageNumber"/>
        <w:rFonts w:ascii="Arial" w:hAnsi="Arial" w:cs="Arial"/>
        <w:sz w:val="20"/>
        <w:szCs w:val="20"/>
      </w:rPr>
    </w:sdtEndPr>
    <w:sdtContent>
      <w:p w14:paraId="6B4A69C8" w14:textId="7A883612" w:rsidR="00D9392D" w:rsidRPr="00666253" w:rsidRDefault="00D9392D" w:rsidP="0062620E">
        <w:pPr>
          <w:pStyle w:val="Header"/>
          <w:framePr w:wrap="none" w:vAnchor="text" w:hAnchor="margin" w:xAlign="right" w:y="1"/>
          <w:rPr>
            <w:rStyle w:val="PageNumber"/>
            <w:rFonts w:ascii="Arial" w:hAnsi="Arial" w:cs="Arial"/>
            <w:sz w:val="20"/>
            <w:szCs w:val="20"/>
          </w:rPr>
        </w:pPr>
        <w:r w:rsidRPr="00666253">
          <w:rPr>
            <w:rStyle w:val="PageNumber"/>
            <w:rFonts w:ascii="Arial" w:hAnsi="Arial" w:cs="Arial"/>
            <w:sz w:val="20"/>
            <w:szCs w:val="20"/>
          </w:rPr>
          <w:fldChar w:fldCharType="begin"/>
        </w:r>
        <w:r w:rsidRPr="00666253">
          <w:rPr>
            <w:rStyle w:val="PageNumber"/>
            <w:rFonts w:ascii="Arial" w:hAnsi="Arial" w:cs="Arial"/>
            <w:sz w:val="20"/>
            <w:szCs w:val="20"/>
          </w:rPr>
          <w:instrText xml:space="preserve"> PAGE </w:instrText>
        </w:r>
        <w:r w:rsidRPr="00666253">
          <w:rPr>
            <w:rStyle w:val="PageNumber"/>
            <w:rFonts w:ascii="Arial" w:hAnsi="Arial" w:cs="Arial"/>
            <w:sz w:val="20"/>
            <w:szCs w:val="20"/>
          </w:rPr>
          <w:fldChar w:fldCharType="separate"/>
        </w:r>
        <w:r w:rsidR="003D481C">
          <w:rPr>
            <w:rStyle w:val="PageNumber"/>
            <w:rFonts w:ascii="Arial" w:hAnsi="Arial" w:cs="Arial"/>
            <w:noProof/>
            <w:sz w:val="20"/>
            <w:szCs w:val="20"/>
          </w:rPr>
          <w:t>3</w:t>
        </w:r>
        <w:r w:rsidRPr="00666253">
          <w:rPr>
            <w:rStyle w:val="PageNumber"/>
            <w:rFonts w:ascii="Arial" w:hAnsi="Arial" w:cs="Arial"/>
            <w:sz w:val="20"/>
            <w:szCs w:val="20"/>
          </w:rPr>
          <w:fldChar w:fldCharType="end"/>
        </w:r>
      </w:p>
    </w:sdtContent>
  </w:sdt>
  <w:p w14:paraId="50912522" w14:textId="77777777" w:rsidR="00D9392D" w:rsidRDefault="00D9392D" w:rsidP="00D9392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B38"/>
    <w:multiLevelType w:val="multilevel"/>
    <w:tmpl w:val="064E26C8"/>
    <w:lvl w:ilvl="0">
      <w:start w:val="1"/>
      <w:numFmt w:val="decimal"/>
      <w:lvlText w:val="%1."/>
      <w:lvlJc w:val="left"/>
      <w:pPr>
        <w:tabs>
          <w:tab w:val="num" w:pos="567"/>
        </w:tabs>
        <w:ind w:left="567" w:hanging="567"/>
      </w:pPr>
      <w:rPr>
        <w:rFonts w:hint="default"/>
        <w:i w:val="0"/>
        <w:iCs w:val="0"/>
      </w:rPr>
    </w:lvl>
    <w:lvl w:ilvl="1">
      <w:start w:val="1"/>
      <w:numFmt w:val="decimal"/>
      <w:lvlText w:val="%1.%2."/>
      <w:lvlJc w:val="left"/>
      <w:pPr>
        <w:tabs>
          <w:tab w:val="num" w:pos="1361"/>
        </w:tabs>
        <w:ind w:left="1361" w:hanging="794"/>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xNzMyNTG1NDEzNjFV0lEKTi0uzszPAykwrAUAG1+qRSwAAAA="/>
  </w:docVars>
  <w:rsids>
    <w:rsidRoot w:val="004E7431"/>
    <w:rsid w:val="00002C7D"/>
    <w:rsid w:val="00013166"/>
    <w:rsid w:val="00016F9F"/>
    <w:rsid w:val="00024540"/>
    <w:rsid w:val="0004418D"/>
    <w:rsid w:val="000470FA"/>
    <w:rsid w:val="00081357"/>
    <w:rsid w:val="000C0D3F"/>
    <w:rsid w:val="000E1486"/>
    <w:rsid w:val="001231A5"/>
    <w:rsid w:val="001509D3"/>
    <w:rsid w:val="00154AA4"/>
    <w:rsid w:val="001B3DB5"/>
    <w:rsid w:val="001B5CB8"/>
    <w:rsid w:val="001E3FD9"/>
    <w:rsid w:val="0024543B"/>
    <w:rsid w:val="002966BB"/>
    <w:rsid w:val="002A3BC7"/>
    <w:rsid w:val="002B14CF"/>
    <w:rsid w:val="002E2EDC"/>
    <w:rsid w:val="002E35AE"/>
    <w:rsid w:val="002E47F1"/>
    <w:rsid w:val="003151EA"/>
    <w:rsid w:val="00334A5F"/>
    <w:rsid w:val="0039358D"/>
    <w:rsid w:val="003C1D44"/>
    <w:rsid w:val="003D481C"/>
    <w:rsid w:val="003E36A6"/>
    <w:rsid w:val="003E695A"/>
    <w:rsid w:val="00407701"/>
    <w:rsid w:val="004163B3"/>
    <w:rsid w:val="00436330"/>
    <w:rsid w:val="00452FE5"/>
    <w:rsid w:val="004602B8"/>
    <w:rsid w:val="00463EA9"/>
    <w:rsid w:val="00487E7C"/>
    <w:rsid w:val="00495750"/>
    <w:rsid w:val="004E7431"/>
    <w:rsid w:val="00501841"/>
    <w:rsid w:val="00520FB1"/>
    <w:rsid w:val="00525414"/>
    <w:rsid w:val="00530FC1"/>
    <w:rsid w:val="00541E2A"/>
    <w:rsid w:val="00543633"/>
    <w:rsid w:val="00571A5D"/>
    <w:rsid w:val="0057571C"/>
    <w:rsid w:val="00583638"/>
    <w:rsid w:val="00596525"/>
    <w:rsid w:val="005A3762"/>
    <w:rsid w:val="005D627C"/>
    <w:rsid w:val="005E519E"/>
    <w:rsid w:val="00627C4E"/>
    <w:rsid w:val="0063256B"/>
    <w:rsid w:val="00665F51"/>
    <w:rsid w:val="00666253"/>
    <w:rsid w:val="006B15E9"/>
    <w:rsid w:val="006B1F15"/>
    <w:rsid w:val="006D17D7"/>
    <w:rsid w:val="006F2EA7"/>
    <w:rsid w:val="00704208"/>
    <w:rsid w:val="0071746E"/>
    <w:rsid w:val="007238B3"/>
    <w:rsid w:val="00761029"/>
    <w:rsid w:val="0078261D"/>
    <w:rsid w:val="00796C87"/>
    <w:rsid w:val="007B3DD6"/>
    <w:rsid w:val="007C235E"/>
    <w:rsid w:val="007D1D93"/>
    <w:rsid w:val="007D6B07"/>
    <w:rsid w:val="007E3B9B"/>
    <w:rsid w:val="007E7F69"/>
    <w:rsid w:val="00807E54"/>
    <w:rsid w:val="00817C2F"/>
    <w:rsid w:val="00833BFA"/>
    <w:rsid w:val="00842A50"/>
    <w:rsid w:val="00870819"/>
    <w:rsid w:val="00871D1C"/>
    <w:rsid w:val="00871D73"/>
    <w:rsid w:val="008C2F85"/>
    <w:rsid w:val="008C67F9"/>
    <w:rsid w:val="008D7342"/>
    <w:rsid w:val="008F6A15"/>
    <w:rsid w:val="009047F1"/>
    <w:rsid w:val="009328B6"/>
    <w:rsid w:val="00942320"/>
    <w:rsid w:val="00950E4F"/>
    <w:rsid w:val="0097066A"/>
    <w:rsid w:val="00976342"/>
    <w:rsid w:val="0099286D"/>
    <w:rsid w:val="009A612A"/>
    <w:rsid w:val="009D7319"/>
    <w:rsid w:val="009E3C9A"/>
    <w:rsid w:val="00A1026B"/>
    <w:rsid w:val="00A32809"/>
    <w:rsid w:val="00A33EA7"/>
    <w:rsid w:val="00A8496E"/>
    <w:rsid w:val="00A91C45"/>
    <w:rsid w:val="00AA0B8C"/>
    <w:rsid w:val="00AA2D84"/>
    <w:rsid w:val="00AA40F6"/>
    <w:rsid w:val="00AD0A29"/>
    <w:rsid w:val="00AE62DF"/>
    <w:rsid w:val="00AE7D94"/>
    <w:rsid w:val="00B36E10"/>
    <w:rsid w:val="00B37EAF"/>
    <w:rsid w:val="00B40364"/>
    <w:rsid w:val="00B51816"/>
    <w:rsid w:val="00B70B04"/>
    <w:rsid w:val="00B722E6"/>
    <w:rsid w:val="00B86790"/>
    <w:rsid w:val="00B92399"/>
    <w:rsid w:val="00BE7D52"/>
    <w:rsid w:val="00BF5598"/>
    <w:rsid w:val="00C05D2D"/>
    <w:rsid w:val="00C077FF"/>
    <w:rsid w:val="00C23C7B"/>
    <w:rsid w:val="00C275AD"/>
    <w:rsid w:val="00C450F1"/>
    <w:rsid w:val="00C521BD"/>
    <w:rsid w:val="00C52FC7"/>
    <w:rsid w:val="00C71424"/>
    <w:rsid w:val="00CA52D3"/>
    <w:rsid w:val="00CC51B3"/>
    <w:rsid w:val="00CC6390"/>
    <w:rsid w:val="00CD2DAB"/>
    <w:rsid w:val="00D37D05"/>
    <w:rsid w:val="00D46E55"/>
    <w:rsid w:val="00D47D0A"/>
    <w:rsid w:val="00D50525"/>
    <w:rsid w:val="00D75D4B"/>
    <w:rsid w:val="00D819EC"/>
    <w:rsid w:val="00D9392D"/>
    <w:rsid w:val="00E26B86"/>
    <w:rsid w:val="00E414EE"/>
    <w:rsid w:val="00E6394D"/>
    <w:rsid w:val="00E8419E"/>
    <w:rsid w:val="00ED2969"/>
    <w:rsid w:val="00ED3262"/>
    <w:rsid w:val="00EF19D0"/>
    <w:rsid w:val="00F02FA0"/>
    <w:rsid w:val="00F05A79"/>
    <w:rsid w:val="00F11226"/>
    <w:rsid w:val="00F2260B"/>
    <w:rsid w:val="00F55A6B"/>
    <w:rsid w:val="00F67FE5"/>
    <w:rsid w:val="00F758D2"/>
    <w:rsid w:val="00F862D3"/>
    <w:rsid w:val="00F925EC"/>
    <w:rsid w:val="00FB2571"/>
    <w:rsid w:val="00FB746C"/>
    <w:rsid w:val="00FD755D"/>
    <w:rsid w:val="00FE68DD"/>
    <w:rsid w:val="00FE69CC"/>
    <w:rsid w:val="00FF1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BB2"/>
  <w15:chartTrackingRefBased/>
  <w15:docId w15:val="{A260065C-FAF3-5C49-A67C-D960438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260B"/>
    <w:pPr>
      <w:keepNext/>
      <w:spacing w:before="240" w:after="60"/>
      <w:outlineLvl w:val="0"/>
    </w:pPr>
    <w:rPr>
      <w:rFonts w:ascii="Cambria" w:eastAsia="Times New Roman" w:hAnsi="Cambria" w:cs="Times New Roman"/>
      <w:b/>
      <w:bCs/>
      <w:kern w:val="32"/>
      <w:sz w:val="32"/>
      <w:szCs w:val="32"/>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31"/>
    <w:pPr>
      <w:ind w:left="720"/>
      <w:contextualSpacing/>
    </w:pPr>
  </w:style>
  <w:style w:type="character" w:customStyle="1" w:styleId="Heading1Char">
    <w:name w:val="Heading 1 Char"/>
    <w:basedOn w:val="DefaultParagraphFont"/>
    <w:link w:val="Heading1"/>
    <w:rsid w:val="00F2260B"/>
    <w:rPr>
      <w:rFonts w:ascii="Cambria" w:eastAsia="Times New Roman" w:hAnsi="Cambria" w:cs="Times New Roman"/>
      <w:b/>
      <w:bCs/>
      <w:kern w:val="32"/>
      <w:sz w:val="32"/>
      <w:szCs w:val="32"/>
      <w:lang w:val="en-GB" w:eastAsia="zh-CN"/>
      <w14:ligatures w14:val="none"/>
    </w:rPr>
  </w:style>
  <w:style w:type="paragraph" w:customStyle="1" w:styleId="Body">
    <w:name w:val="Body"/>
    <w:rsid w:val="00F2260B"/>
    <w:pPr>
      <w:pBdr>
        <w:top w:val="nil"/>
        <w:left w:val="nil"/>
        <w:bottom w:val="nil"/>
        <w:right w:val="nil"/>
        <w:between w:val="nil"/>
        <w:bar w:val="nil"/>
      </w:pBdr>
      <w:spacing w:after="200" w:line="276" w:lineRule="auto"/>
      <w:jc w:val="both"/>
    </w:pPr>
    <w:rPr>
      <w:rFonts w:ascii="Arial" w:eastAsia="Arial Unicode MS" w:hAnsi="Arial Unicode MS" w:cs="Arial Unicode MS"/>
      <w:color w:val="000000"/>
      <w:kern w:val="0"/>
      <w:u w:color="000000"/>
      <w:bdr w:val="nil"/>
      <w:lang w:val="en-US"/>
      <w14:ligatures w14:val="none"/>
    </w:rPr>
  </w:style>
  <w:style w:type="table" w:styleId="TableGrid">
    <w:name w:val="Table Grid"/>
    <w:basedOn w:val="TableNormal"/>
    <w:uiPriority w:val="39"/>
    <w:rsid w:val="00F2260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525"/>
    <w:rPr>
      <w:sz w:val="20"/>
      <w:szCs w:val="20"/>
    </w:rPr>
  </w:style>
  <w:style w:type="character" w:customStyle="1" w:styleId="FootnoteTextChar">
    <w:name w:val="Footnote Text Char"/>
    <w:basedOn w:val="DefaultParagraphFont"/>
    <w:link w:val="FootnoteText"/>
    <w:uiPriority w:val="99"/>
    <w:semiHidden/>
    <w:rsid w:val="00596525"/>
    <w:rPr>
      <w:sz w:val="20"/>
      <w:szCs w:val="20"/>
    </w:rPr>
  </w:style>
  <w:style w:type="character" w:styleId="FootnoteReference">
    <w:name w:val="footnote reference"/>
    <w:basedOn w:val="DefaultParagraphFont"/>
    <w:uiPriority w:val="99"/>
    <w:semiHidden/>
    <w:unhideWhenUsed/>
    <w:rsid w:val="00596525"/>
    <w:rPr>
      <w:vertAlign w:val="superscript"/>
    </w:rPr>
  </w:style>
  <w:style w:type="character" w:styleId="Hyperlink">
    <w:name w:val="Hyperlink"/>
    <w:basedOn w:val="DefaultParagraphFont"/>
    <w:uiPriority w:val="99"/>
    <w:semiHidden/>
    <w:unhideWhenUsed/>
    <w:rsid w:val="001B3DB5"/>
    <w:rPr>
      <w:color w:val="0000FF"/>
      <w:u w:val="single"/>
    </w:rPr>
  </w:style>
  <w:style w:type="paragraph" w:customStyle="1" w:styleId="lrpara">
    <w:name w:val="lrpara"/>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footnoteanchor">
    <w:name w:val="footnoteanchor"/>
    <w:basedOn w:val="DefaultParagraphFont"/>
    <w:rsid w:val="006D17D7"/>
  </w:style>
  <w:style w:type="character" w:customStyle="1" w:styleId="mc">
    <w:name w:val="mc"/>
    <w:basedOn w:val="DefaultParagraphFont"/>
    <w:rsid w:val="006D17D7"/>
  </w:style>
  <w:style w:type="paragraph" w:customStyle="1" w:styleId="lrquote">
    <w:name w:val="lrquote"/>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geno">
    <w:name w:val="pageno"/>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rjudgecont">
    <w:name w:val="lrjudgecont"/>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9392D"/>
    <w:pPr>
      <w:tabs>
        <w:tab w:val="center" w:pos="4513"/>
        <w:tab w:val="right" w:pos="9026"/>
      </w:tabs>
    </w:pPr>
  </w:style>
  <w:style w:type="character" w:customStyle="1" w:styleId="HeaderChar">
    <w:name w:val="Header Char"/>
    <w:basedOn w:val="DefaultParagraphFont"/>
    <w:link w:val="Header"/>
    <w:uiPriority w:val="99"/>
    <w:rsid w:val="00D9392D"/>
  </w:style>
  <w:style w:type="character" w:styleId="PageNumber">
    <w:name w:val="page number"/>
    <w:basedOn w:val="DefaultParagraphFont"/>
    <w:uiPriority w:val="99"/>
    <w:semiHidden/>
    <w:unhideWhenUsed/>
    <w:rsid w:val="00D9392D"/>
  </w:style>
  <w:style w:type="paragraph" w:styleId="BodyText">
    <w:name w:val="Body Text"/>
    <w:basedOn w:val="Normal"/>
    <w:link w:val="BodyTextChar"/>
    <w:uiPriority w:val="1"/>
    <w:qFormat/>
    <w:rsid w:val="00334A5F"/>
    <w:pPr>
      <w:widowControl w:val="0"/>
      <w:autoSpaceDE w:val="0"/>
      <w:autoSpaceDN w:val="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334A5F"/>
    <w:rPr>
      <w:rFonts w:ascii="Arial" w:eastAsia="Arial" w:hAnsi="Arial" w:cs="Arial"/>
      <w:kern w:val="0"/>
      <w:lang w:val="en-US"/>
      <w14:ligatures w14:val="none"/>
    </w:rPr>
  </w:style>
  <w:style w:type="paragraph" w:customStyle="1" w:styleId="footnotes">
    <w:name w:val="footnotes"/>
    <w:basedOn w:val="Normal"/>
    <w:rsid w:val="00520FB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154AA4"/>
    <w:pPr>
      <w:tabs>
        <w:tab w:val="center" w:pos="4513"/>
        <w:tab w:val="right" w:pos="9026"/>
      </w:tabs>
    </w:pPr>
  </w:style>
  <w:style w:type="character" w:customStyle="1" w:styleId="FooterChar">
    <w:name w:val="Footer Char"/>
    <w:basedOn w:val="DefaultParagraphFont"/>
    <w:link w:val="Footer"/>
    <w:uiPriority w:val="99"/>
    <w:rsid w:val="00154AA4"/>
  </w:style>
  <w:style w:type="paragraph" w:styleId="EndnoteText">
    <w:name w:val="endnote text"/>
    <w:basedOn w:val="Normal"/>
    <w:link w:val="EndnoteTextChar"/>
    <w:uiPriority w:val="99"/>
    <w:semiHidden/>
    <w:unhideWhenUsed/>
    <w:rsid w:val="00871D73"/>
    <w:rPr>
      <w:sz w:val="20"/>
      <w:szCs w:val="20"/>
    </w:rPr>
  </w:style>
  <w:style w:type="character" w:customStyle="1" w:styleId="EndnoteTextChar">
    <w:name w:val="Endnote Text Char"/>
    <w:basedOn w:val="DefaultParagraphFont"/>
    <w:link w:val="EndnoteText"/>
    <w:uiPriority w:val="99"/>
    <w:semiHidden/>
    <w:rsid w:val="00871D73"/>
    <w:rPr>
      <w:sz w:val="20"/>
      <w:szCs w:val="20"/>
    </w:rPr>
  </w:style>
  <w:style w:type="character" w:styleId="EndnoteReference">
    <w:name w:val="endnote reference"/>
    <w:basedOn w:val="DefaultParagraphFont"/>
    <w:uiPriority w:val="99"/>
    <w:semiHidden/>
    <w:unhideWhenUsed/>
    <w:rsid w:val="00871D73"/>
    <w:rPr>
      <w:vertAlign w:val="superscript"/>
    </w:rPr>
  </w:style>
  <w:style w:type="character" w:styleId="FollowedHyperlink">
    <w:name w:val="FollowedHyperlink"/>
    <w:basedOn w:val="DefaultParagraphFont"/>
    <w:uiPriority w:val="99"/>
    <w:semiHidden/>
    <w:unhideWhenUsed/>
    <w:rsid w:val="00B36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2527">
      <w:bodyDiv w:val="1"/>
      <w:marLeft w:val="0"/>
      <w:marRight w:val="0"/>
      <w:marTop w:val="0"/>
      <w:marBottom w:val="0"/>
      <w:divBdr>
        <w:top w:val="none" w:sz="0" w:space="0" w:color="auto"/>
        <w:left w:val="none" w:sz="0" w:space="0" w:color="auto"/>
        <w:bottom w:val="none" w:sz="0" w:space="0" w:color="auto"/>
        <w:right w:val="none" w:sz="0" w:space="0" w:color="auto"/>
      </w:divBdr>
    </w:div>
    <w:div w:id="18689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CF94-3FB3-4549-82F3-A927C187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Goodman</dc:creator>
  <cp:keywords/>
  <dc:description/>
  <cp:lastModifiedBy>Sathish</cp:lastModifiedBy>
  <cp:revision>6</cp:revision>
  <cp:lastPrinted>2024-02-14T14:35:00Z</cp:lastPrinted>
  <dcterms:created xsi:type="dcterms:W3CDTF">2024-02-15T13:27:00Z</dcterms:created>
  <dcterms:modified xsi:type="dcterms:W3CDTF">2024-02-15T14:17:00Z</dcterms:modified>
</cp:coreProperties>
</file>