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8BEC" w14:textId="77777777" w:rsidR="007B7F59" w:rsidRPr="0082516A" w:rsidRDefault="007B7F59" w:rsidP="007B7F59">
      <w:pPr>
        <w:tabs>
          <w:tab w:val="left" w:pos="2342"/>
          <w:tab w:val="center" w:pos="4513"/>
        </w:tabs>
        <w:spacing w:after="0" w:line="240" w:lineRule="auto"/>
        <w:ind w:left="0"/>
        <w:jc w:val="center"/>
        <w:outlineLvl w:val="0"/>
        <w:rPr>
          <w:rFonts w:eastAsia="Times New Roman" w:cs="Arial"/>
          <w:b/>
          <w:szCs w:val="24"/>
          <w:lang w:eastAsia="en-ZA"/>
        </w:rPr>
      </w:pPr>
      <w:r w:rsidRPr="0082516A">
        <w:rPr>
          <w:rFonts w:eastAsia="Times New Roman" w:cs="Arial"/>
          <w:b/>
          <w:szCs w:val="24"/>
          <w:lang w:eastAsia="en-ZA"/>
        </w:rPr>
        <w:t>REPUBLIC OF SOUTH AFRICA</w:t>
      </w:r>
    </w:p>
    <w:p w14:paraId="7388A21D" w14:textId="77777777" w:rsidR="007B7F59" w:rsidRPr="0082516A" w:rsidRDefault="007B7F59" w:rsidP="007B7F59">
      <w:pPr>
        <w:tabs>
          <w:tab w:val="left" w:pos="2342"/>
          <w:tab w:val="center" w:pos="4513"/>
        </w:tabs>
        <w:spacing w:after="0" w:line="240" w:lineRule="auto"/>
        <w:ind w:left="0"/>
        <w:jc w:val="center"/>
        <w:outlineLvl w:val="0"/>
        <w:rPr>
          <w:rFonts w:eastAsia="Times New Roman" w:cs="Arial"/>
          <w:b/>
          <w:szCs w:val="24"/>
          <w:lang w:eastAsia="en-ZA"/>
        </w:rPr>
      </w:pPr>
    </w:p>
    <w:p w14:paraId="5BC03A61" w14:textId="77777777" w:rsidR="007B7F59" w:rsidRPr="0082516A" w:rsidRDefault="007B7F59" w:rsidP="007B7F59">
      <w:pPr>
        <w:tabs>
          <w:tab w:val="left" w:pos="2342"/>
          <w:tab w:val="center" w:pos="4513"/>
        </w:tabs>
        <w:spacing w:after="0" w:line="240" w:lineRule="auto"/>
        <w:ind w:left="0"/>
        <w:jc w:val="center"/>
        <w:outlineLvl w:val="0"/>
        <w:rPr>
          <w:rFonts w:eastAsia="Times New Roman" w:cs="Arial"/>
          <w:szCs w:val="24"/>
        </w:rPr>
      </w:pPr>
      <w:r w:rsidRPr="0082516A">
        <w:rPr>
          <w:rFonts w:eastAsia="Times New Roman" w:cs="Arial"/>
          <w:noProof/>
          <w:szCs w:val="24"/>
          <w:lang w:eastAsia="en-ZA"/>
        </w:rPr>
        <w:drawing>
          <wp:inline distT="0" distB="0" distL="0" distR="0" wp14:anchorId="6E0AA271" wp14:editId="2906B85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88C8136" w14:textId="77777777" w:rsidR="007B7F59" w:rsidRPr="0082516A" w:rsidRDefault="007B7F59" w:rsidP="007B7F59">
      <w:pPr>
        <w:spacing w:after="0" w:line="240" w:lineRule="auto"/>
        <w:ind w:left="0"/>
        <w:jc w:val="center"/>
        <w:outlineLvl w:val="0"/>
        <w:rPr>
          <w:rFonts w:eastAsia="Times New Roman" w:cs="Arial"/>
          <w:b/>
          <w:szCs w:val="24"/>
        </w:rPr>
      </w:pPr>
    </w:p>
    <w:p w14:paraId="4145FCFD" w14:textId="77777777" w:rsidR="007B7F59" w:rsidRPr="0082516A" w:rsidRDefault="007B7F59" w:rsidP="007B7F59">
      <w:pPr>
        <w:spacing w:after="0" w:line="240" w:lineRule="auto"/>
        <w:ind w:left="0"/>
        <w:jc w:val="center"/>
        <w:outlineLvl w:val="0"/>
        <w:rPr>
          <w:rFonts w:eastAsia="Times New Roman" w:cs="Arial"/>
          <w:b/>
          <w:szCs w:val="24"/>
        </w:rPr>
      </w:pPr>
      <w:r w:rsidRPr="0082516A">
        <w:rPr>
          <w:rFonts w:eastAsia="Times New Roman" w:cs="Arial"/>
          <w:b/>
          <w:szCs w:val="24"/>
        </w:rPr>
        <w:t>IN THE HIGH COURT OF SOUTH AFRICA</w:t>
      </w:r>
    </w:p>
    <w:p w14:paraId="35073FDE" w14:textId="77777777" w:rsidR="007B7F59" w:rsidRPr="0082516A" w:rsidRDefault="007B7F59" w:rsidP="007B7F59">
      <w:pPr>
        <w:spacing w:after="0" w:line="240" w:lineRule="auto"/>
        <w:ind w:left="0"/>
        <w:jc w:val="center"/>
        <w:outlineLvl w:val="0"/>
        <w:rPr>
          <w:rFonts w:eastAsia="Times New Roman" w:cs="Arial"/>
          <w:b/>
          <w:szCs w:val="24"/>
        </w:rPr>
      </w:pPr>
      <w:r w:rsidRPr="0082516A">
        <w:rPr>
          <w:rFonts w:eastAsia="Times New Roman" w:cs="Arial"/>
          <w:b/>
          <w:szCs w:val="24"/>
        </w:rPr>
        <w:t>GAUTENG LOCAL DIVISION, JOHANNESBURG</w:t>
      </w:r>
    </w:p>
    <w:p w14:paraId="7229E5D6" w14:textId="77777777" w:rsidR="007B7F59" w:rsidRPr="0082516A" w:rsidRDefault="007B7F59" w:rsidP="007B7F59">
      <w:pPr>
        <w:spacing w:after="0" w:line="240" w:lineRule="auto"/>
        <w:ind w:left="0"/>
        <w:rPr>
          <w:rFonts w:eastAsia="Times New Roman" w:cs="Arial"/>
          <w:szCs w:val="24"/>
        </w:rPr>
      </w:pPr>
    </w:p>
    <w:p w14:paraId="4C6339CE" w14:textId="77777777" w:rsidR="007B7F59" w:rsidRPr="0082516A" w:rsidRDefault="007B7F59" w:rsidP="007B7F59">
      <w:pPr>
        <w:spacing w:after="0" w:line="240" w:lineRule="auto"/>
        <w:ind w:left="0"/>
        <w:rPr>
          <w:rFonts w:eastAsia="Times New Roman" w:cs="Arial"/>
          <w:bCs/>
          <w:szCs w:val="24"/>
        </w:rPr>
      </w:pPr>
    </w:p>
    <w:p w14:paraId="68BF9016" w14:textId="77777777" w:rsidR="00466FF6" w:rsidRPr="0082516A" w:rsidRDefault="00466FF6" w:rsidP="00466FF6">
      <w:pPr>
        <w:spacing w:after="0" w:line="480" w:lineRule="auto"/>
        <w:ind w:left="0"/>
        <w:jc w:val="right"/>
        <w:outlineLvl w:val="0"/>
        <w:rPr>
          <w:rFonts w:eastAsia="Times New Roman" w:cs="Arial"/>
          <w:b/>
          <w:color w:val="000000"/>
          <w:sz w:val="25"/>
          <w:szCs w:val="20"/>
        </w:rPr>
      </w:pPr>
      <w:r w:rsidRPr="0082516A">
        <w:rPr>
          <w:rFonts w:eastAsia="Times New Roman" w:cs="Arial"/>
          <w:b/>
          <w:color w:val="000000"/>
          <w:sz w:val="25"/>
          <w:szCs w:val="20"/>
        </w:rPr>
        <w:t>CASE NUMBER: 21/50612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82"/>
      </w:tblGrid>
      <w:tr w:rsidR="00466FF6" w:rsidRPr="0082516A" w14:paraId="03F9FEED" w14:textId="77777777" w:rsidTr="009F6DF4">
        <w:trPr>
          <w:gridAfter w:val="1"/>
          <w:wAfter w:w="4582" w:type="dxa"/>
        </w:trPr>
        <w:tc>
          <w:tcPr>
            <w:tcW w:w="4428" w:type="dxa"/>
          </w:tcPr>
          <w:p w14:paraId="746DB973" w14:textId="77777777" w:rsidR="00466FF6" w:rsidRPr="0082516A" w:rsidRDefault="00466FF6" w:rsidP="00466FF6">
            <w:pPr>
              <w:spacing w:after="0" w:line="480" w:lineRule="auto"/>
              <w:ind w:left="0"/>
              <w:rPr>
                <w:rFonts w:eastAsia="Times New Roman" w:cs="Arial"/>
                <w:b/>
                <w:sz w:val="18"/>
                <w:szCs w:val="20"/>
              </w:rPr>
            </w:pPr>
            <w:r w:rsidRPr="0082516A">
              <w:rPr>
                <w:rFonts w:eastAsia="Times New Roman" w:cs="Arial"/>
                <w:b/>
                <w:sz w:val="18"/>
                <w:szCs w:val="20"/>
              </w:rPr>
              <w:t>DELETE WHICHEVER IS NOT APPLICABLE</w:t>
            </w:r>
          </w:p>
          <w:p w14:paraId="3070612C" w14:textId="261729E3" w:rsidR="00466FF6" w:rsidRPr="0082516A" w:rsidRDefault="00466FF6" w:rsidP="00466FF6">
            <w:pPr>
              <w:spacing w:after="0" w:line="240" w:lineRule="auto"/>
              <w:ind w:left="0"/>
              <w:rPr>
                <w:rFonts w:eastAsia="Times New Roman" w:cs="Arial"/>
                <w:b/>
                <w:sz w:val="18"/>
                <w:szCs w:val="20"/>
              </w:rPr>
            </w:pPr>
            <w:r w:rsidRPr="0082516A">
              <w:rPr>
                <w:rFonts w:eastAsia="Times New Roman" w:cs="Arial"/>
                <w:b/>
                <w:sz w:val="18"/>
                <w:szCs w:val="20"/>
              </w:rPr>
              <w:t>(1) REPORTABLE:  NO</w:t>
            </w:r>
          </w:p>
          <w:p w14:paraId="624C9A24" w14:textId="05656011" w:rsidR="00466FF6" w:rsidRPr="0082516A" w:rsidRDefault="00466FF6" w:rsidP="00466FF6">
            <w:pPr>
              <w:spacing w:after="0" w:line="240" w:lineRule="auto"/>
              <w:ind w:left="0"/>
              <w:rPr>
                <w:rFonts w:eastAsia="Times New Roman" w:cs="Arial"/>
                <w:b/>
                <w:sz w:val="18"/>
                <w:szCs w:val="20"/>
              </w:rPr>
            </w:pPr>
            <w:r w:rsidRPr="0082516A">
              <w:rPr>
                <w:rFonts w:eastAsia="Times New Roman" w:cs="Arial"/>
                <w:b/>
                <w:sz w:val="18"/>
                <w:szCs w:val="20"/>
              </w:rPr>
              <w:t>(2) OF INTEREST TO OTHER JUDGES:  NO</w:t>
            </w:r>
          </w:p>
          <w:p w14:paraId="2FC24A05" w14:textId="77777777" w:rsidR="00466FF6" w:rsidRPr="0082516A" w:rsidRDefault="00466FF6" w:rsidP="00466FF6">
            <w:pPr>
              <w:spacing w:after="0" w:line="240" w:lineRule="auto"/>
              <w:ind w:left="0"/>
              <w:rPr>
                <w:rFonts w:eastAsia="Times New Roman" w:cs="Arial"/>
                <w:b/>
                <w:sz w:val="18"/>
                <w:szCs w:val="20"/>
              </w:rPr>
            </w:pPr>
            <w:r w:rsidRPr="0082516A">
              <w:rPr>
                <w:rFonts w:eastAsia="Times New Roman" w:cs="Arial"/>
                <w:b/>
                <w:sz w:val="18"/>
                <w:szCs w:val="20"/>
              </w:rPr>
              <w:t>(3) REVISED: NO</w:t>
            </w:r>
          </w:p>
          <w:p w14:paraId="4B9E6DB8" w14:textId="77777777" w:rsidR="00466FF6" w:rsidRPr="0082516A" w:rsidRDefault="00466FF6" w:rsidP="00466FF6">
            <w:pPr>
              <w:spacing w:after="0" w:line="240" w:lineRule="auto"/>
              <w:ind w:left="0"/>
              <w:rPr>
                <w:rFonts w:eastAsia="Times New Roman" w:cs="Arial"/>
                <w:b/>
                <w:sz w:val="18"/>
                <w:szCs w:val="20"/>
              </w:rPr>
            </w:pPr>
          </w:p>
          <w:p w14:paraId="17E405C3" w14:textId="77777777" w:rsidR="00466FF6" w:rsidRPr="0082516A" w:rsidRDefault="00466FF6" w:rsidP="00466FF6">
            <w:pPr>
              <w:spacing w:after="0" w:line="240" w:lineRule="auto"/>
              <w:ind w:left="0"/>
              <w:rPr>
                <w:rFonts w:eastAsia="Times New Roman" w:cs="Arial"/>
                <w:b/>
                <w:sz w:val="18"/>
                <w:szCs w:val="20"/>
              </w:rPr>
            </w:pPr>
          </w:p>
          <w:p w14:paraId="21BDBC1E" w14:textId="77777777" w:rsidR="00466FF6" w:rsidRPr="0082516A" w:rsidRDefault="00466FF6" w:rsidP="00466FF6">
            <w:pPr>
              <w:spacing w:after="0" w:line="240" w:lineRule="auto"/>
              <w:ind w:left="0"/>
              <w:rPr>
                <w:rFonts w:eastAsia="Times New Roman" w:cs="Arial"/>
                <w:b/>
                <w:sz w:val="18"/>
                <w:szCs w:val="20"/>
              </w:rPr>
            </w:pPr>
          </w:p>
          <w:p w14:paraId="06E6A02C" w14:textId="77777777" w:rsidR="00466FF6" w:rsidRPr="0082516A" w:rsidRDefault="00466FF6" w:rsidP="00466FF6">
            <w:pPr>
              <w:spacing w:after="0" w:line="240" w:lineRule="auto"/>
              <w:ind w:left="0"/>
              <w:rPr>
                <w:rFonts w:eastAsia="Times New Roman" w:cs="Arial"/>
                <w:b/>
                <w:sz w:val="18"/>
                <w:szCs w:val="20"/>
              </w:rPr>
            </w:pPr>
          </w:p>
          <w:p w14:paraId="589B6038" w14:textId="77777777" w:rsidR="00466FF6" w:rsidRPr="0082516A" w:rsidRDefault="00466FF6" w:rsidP="00466FF6">
            <w:pPr>
              <w:spacing w:after="0" w:line="240" w:lineRule="auto"/>
              <w:ind w:left="0"/>
              <w:rPr>
                <w:rFonts w:eastAsia="Times New Roman" w:cs="Arial"/>
                <w:b/>
                <w:sz w:val="18"/>
                <w:szCs w:val="20"/>
              </w:rPr>
            </w:pPr>
          </w:p>
          <w:p w14:paraId="5BC732F0" w14:textId="18B9335D" w:rsidR="00466FF6" w:rsidRPr="0082516A" w:rsidRDefault="00466FF6" w:rsidP="00466FF6">
            <w:pPr>
              <w:spacing w:after="0" w:line="240" w:lineRule="auto"/>
              <w:ind w:left="0"/>
              <w:rPr>
                <w:rFonts w:eastAsia="Times New Roman" w:cs="Arial"/>
                <w:b/>
                <w:sz w:val="18"/>
                <w:szCs w:val="20"/>
                <w:u w:val="single"/>
              </w:rPr>
            </w:pPr>
            <w:r w:rsidRPr="0082516A">
              <w:rPr>
                <w:rFonts w:eastAsia="Times New Roman" w:cs="Arial"/>
                <w:b/>
                <w:sz w:val="18"/>
                <w:szCs w:val="20"/>
                <w:u w:val="single"/>
              </w:rPr>
              <w:t>DATE</w:t>
            </w:r>
            <w:r w:rsidRPr="0082516A">
              <w:rPr>
                <w:rFonts w:eastAsia="Times New Roman" w:cs="Arial"/>
                <w:b/>
                <w:sz w:val="18"/>
                <w:szCs w:val="20"/>
              </w:rPr>
              <w:t xml:space="preserve"> </w:t>
            </w:r>
            <w:r w:rsidR="00200A50">
              <w:rPr>
                <w:rFonts w:eastAsia="Times New Roman" w:cs="Arial"/>
                <w:b/>
                <w:sz w:val="18"/>
                <w:szCs w:val="20"/>
              </w:rPr>
              <w:t>4 March</w:t>
            </w:r>
            <w:r w:rsidR="00CB5B6B">
              <w:rPr>
                <w:rFonts w:eastAsia="Times New Roman" w:cs="Arial"/>
                <w:b/>
                <w:sz w:val="18"/>
                <w:szCs w:val="20"/>
              </w:rPr>
              <w:t xml:space="preserve"> 2024</w:t>
            </w:r>
            <w:r w:rsidRPr="0082516A">
              <w:rPr>
                <w:rFonts w:eastAsia="Times New Roman" w:cs="Arial"/>
                <w:b/>
                <w:sz w:val="18"/>
                <w:szCs w:val="20"/>
              </w:rPr>
              <w:t xml:space="preserve">      </w:t>
            </w:r>
            <w:r w:rsidRPr="0082516A">
              <w:rPr>
                <w:rFonts w:eastAsia="Times New Roman" w:cs="Arial"/>
                <w:b/>
                <w:sz w:val="18"/>
                <w:szCs w:val="20"/>
                <w:u w:val="single"/>
              </w:rPr>
              <w:t xml:space="preserve">SIGNATURE </w:t>
            </w:r>
          </w:p>
        </w:tc>
      </w:tr>
      <w:tr w:rsidR="00466FF6" w:rsidRPr="0082516A" w14:paraId="5875CF99" w14:textId="77777777" w:rsidTr="009F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tbl>
            <w:tblPr>
              <w:tblW w:w="8794" w:type="dxa"/>
              <w:tblLook w:val="04A0" w:firstRow="1" w:lastRow="0" w:firstColumn="1" w:lastColumn="0" w:noHBand="0" w:noVBand="1"/>
            </w:tblPr>
            <w:tblGrid>
              <w:gridCol w:w="8794"/>
            </w:tblGrid>
            <w:tr w:rsidR="00466FF6" w:rsidRPr="0082516A" w14:paraId="56F552AF" w14:textId="77777777" w:rsidTr="009F6DF4">
              <w:tc>
                <w:tcPr>
                  <w:tcW w:w="8794" w:type="dxa"/>
                  <w:shd w:val="clear" w:color="auto" w:fill="auto"/>
                </w:tcPr>
                <w:p w14:paraId="28B5867E" w14:textId="77777777" w:rsidR="00466FF6" w:rsidRPr="0082516A" w:rsidRDefault="00466FF6" w:rsidP="00466FF6">
                  <w:pPr>
                    <w:spacing w:after="0" w:line="240" w:lineRule="auto"/>
                    <w:ind w:left="0"/>
                    <w:jc w:val="right"/>
                    <w:rPr>
                      <w:rFonts w:eastAsia="Times New Roman" w:cs="Arial"/>
                      <w:b/>
                      <w:color w:val="000000"/>
                      <w:szCs w:val="20"/>
                    </w:rPr>
                  </w:pPr>
                </w:p>
              </w:tc>
            </w:tr>
          </w:tbl>
          <w:p w14:paraId="1C71E549" w14:textId="77777777" w:rsidR="00466FF6" w:rsidRPr="0082516A" w:rsidRDefault="00466FF6" w:rsidP="00466FF6">
            <w:pPr>
              <w:spacing w:after="0" w:line="480" w:lineRule="auto"/>
              <w:ind w:left="0"/>
              <w:rPr>
                <w:rFonts w:eastAsia="Times New Roman" w:cs="Arial"/>
                <w:b/>
                <w:color w:val="000000"/>
                <w:sz w:val="25"/>
                <w:szCs w:val="20"/>
              </w:rPr>
            </w:pPr>
          </w:p>
        </w:tc>
      </w:tr>
      <w:tr w:rsidR="00466FF6" w:rsidRPr="0082516A" w14:paraId="2A0C43F6" w14:textId="77777777" w:rsidTr="009F6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3AAA159F" w14:textId="77777777" w:rsidR="00466FF6" w:rsidRPr="0082516A" w:rsidRDefault="00466FF6" w:rsidP="00466FF6">
            <w:pPr>
              <w:tabs>
                <w:tab w:val="left" w:pos="2260"/>
              </w:tabs>
              <w:spacing w:after="0" w:line="240" w:lineRule="auto"/>
              <w:ind w:left="-110"/>
              <w:jc w:val="left"/>
              <w:rPr>
                <w:rFonts w:eastAsia="Times New Roman" w:cs="Arial"/>
                <w:b/>
                <w:color w:val="000000"/>
                <w:sz w:val="25"/>
                <w:szCs w:val="25"/>
              </w:rPr>
            </w:pPr>
            <w:r w:rsidRPr="0082516A">
              <w:rPr>
                <w:rFonts w:eastAsia="Times New Roman" w:cs="Arial"/>
                <w:b/>
                <w:color w:val="000000"/>
                <w:sz w:val="25"/>
                <w:szCs w:val="25"/>
              </w:rPr>
              <w:tab/>
            </w:r>
          </w:p>
        </w:tc>
      </w:tr>
    </w:tbl>
    <w:p w14:paraId="33980DFC" w14:textId="77777777" w:rsidR="00466FF6" w:rsidRPr="0082516A" w:rsidRDefault="00466FF6" w:rsidP="00466FF6">
      <w:pPr>
        <w:spacing w:after="0" w:line="480" w:lineRule="auto"/>
        <w:ind w:left="0"/>
        <w:rPr>
          <w:rFonts w:eastAsia="Times New Roman" w:cs="Arial"/>
          <w:b/>
          <w:color w:val="000000"/>
          <w:sz w:val="25"/>
          <w:szCs w:val="25"/>
        </w:rPr>
      </w:pPr>
      <w:r w:rsidRPr="0082516A">
        <w:rPr>
          <w:rFonts w:eastAsia="Times New Roman" w:cs="Arial"/>
          <w:b/>
          <w:color w:val="000000"/>
          <w:sz w:val="25"/>
          <w:szCs w:val="25"/>
        </w:rPr>
        <w:t>In the matter between:</w:t>
      </w:r>
    </w:p>
    <w:p w14:paraId="6B5D3950" w14:textId="77777777" w:rsidR="00466FF6" w:rsidRPr="0082516A" w:rsidRDefault="00466FF6" w:rsidP="00466FF6">
      <w:pPr>
        <w:tabs>
          <w:tab w:val="right" w:pos="9027"/>
        </w:tabs>
        <w:spacing w:after="0" w:line="480" w:lineRule="auto"/>
        <w:ind w:left="0"/>
        <w:rPr>
          <w:rFonts w:eastAsia="Times New Roman" w:cs="Arial"/>
          <w:bCs/>
          <w:color w:val="000000"/>
          <w:sz w:val="25"/>
          <w:szCs w:val="25"/>
        </w:rPr>
      </w:pPr>
      <w:r w:rsidRPr="0082516A">
        <w:rPr>
          <w:rFonts w:eastAsia="Times New Roman" w:cs="Arial"/>
          <w:b/>
          <w:color w:val="000000"/>
          <w:sz w:val="25"/>
          <w:szCs w:val="25"/>
        </w:rPr>
        <w:t>UNATHI PAKATI</w:t>
      </w:r>
      <w:r w:rsidRPr="0082516A">
        <w:rPr>
          <w:rFonts w:eastAsia="Times New Roman" w:cs="Arial"/>
          <w:b/>
          <w:color w:val="000000"/>
          <w:sz w:val="25"/>
          <w:szCs w:val="25"/>
        </w:rPr>
        <w:tab/>
        <w:t>Plaintiff/Respondent</w:t>
      </w:r>
    </w:p>
    <w:p w14:paraId="726C97D0" w14:textId="77777777" w:rsidR="00466FF6" w:rsidRPr="0082516A" w:rsidRDefault="00466FF6" w:rsidP="00466FF6">
      <w:pPr>
        <w:spacing w:after="0" w:line="480" w:lineRule="auto"/>
        <w:ind w:left="0"/>
        <w:rPr>
          <w:rFonts w:eastAsia="Times New Roman" w:cs="Arial"/>
          <w:bCs/>
          <w:color w:val="000000"/>
          <w:sz w:val="25"/>
          <w:szCs w:val="25"/>
        </w:rPr>
      </w:pPr>
      <w:r w:rsidRPr="0082516A">
        <w:rPr>
          <w:rFonts w:eastAsia="Times New Roman" w:cs="Arial"/>
          <w:bCs/>
          <w:color w:val="000000"/>
          <w:sz w:val="25"/>
          <w:szCs w:val="25"/>
        </w:rPr>
        <w:t>and</w:t>
      </w:r>
    </w:p>
    <w:p w14:paraId="4B08FA2D" w14:textId="77777777" w:rsidR="00466FF6" w:rsidRPr="0082516A" w:rsidRDefault="00466FF6" w:rsidP="00466FF6">
      <w:pPr>
        <w:tabs>
          <w:tab w:val="right" w:pos="9027"/>
        </w:tabs>
        <w:spacing w:after="0" w:line="480" w:lineRule="auto"/>
        <w:ind w:left="0"/>
        <w:rPr>
          <w:rFonts w:eastAsia="Times New Roman" w:cs="Arial"/>
          <w:b/>
          <w:bCs/>
          <w:color w:val="000000"/>
          <w:sz w:val="25"/>
          <w:szCs w:val="25"/>
        </w:rPr>
      </w:pPr>
      <w:r w:rsidRPr="0082516A">
        <w:rPr>
          <w:rFonts w:eastAsia="Times New Roman" w:cs="Arial"/>
          <w:b/>
          <w:bCs/>
          <w:sz w:val="25"/>
          <w:szCs w:val="25"/>
        </w:rPr>
        <w:t>HOUSING DEVELOPMENT AGENCY</w:t>
      </w:r>
      <w:r w:rsidRPr="0082516A">
        <w:rPr>
          <w:rFonts w:eastAsia="Times New Roman" w:cs="Arial"/>
          <w:b/>
          <w:bCs/>
          <w:sz w:val="25"/>
          <w:szCs w:val="25"/>
        </w:rPr>
        <w:tab/>
        <w:t>Defendant/Excipient</w:t>
      </w:r>
    </w:p>
    <w:p w14:paraId="359E6B10" w14:textId="77777777" w:rsidR="007B7F59" w:rsidRPr="0082516A" w:rsidRDefault="007B7F59" w:rsidP="007B7F59">
      <w:pPr>
        <w:pBdr>
          <w:bottom w:val="single" w:sz="12" w:space="1" w:color="auto"/>
        </w:pBdr>
        <w:spacing w:after="0" w:line="240" w:lineRule="auto"/>
        <w:ind w:left="0"/>
        <w:jc w:val="left"/>
        <w:rPr>
          <w:rFonts w:cs="Arial"/>
          <w:b/>
          <w:szCs w:val="24"/>
        </w:rPr>
      </w:pPr>
    </w:p>
    <w:p w14:paraId="197E20AD" w14:textId="77777777" w:rsidR="007B7F59" w:rsidRPr="0082516A" w:rsidRDefault="007B7F59" w:rsidP="007B7F59">
      <w:pPr>
        <w:spacing w:after="0" w:line="240" w:lineRule="auto"/>
        <w:ind w:left="1440" w:hanging="1440"/>
        <w:jc w:val="left"/>
        <w:rPr>
          <w:rFonts w:cs="Arial"/>
          <w:b/>
          <w:szCs w:val="24"/>
        </w:rPr>
      </w:pPr>
    </w:p>
    <w:p w14:paraId="16B85ADA" w14:textId="77777777" w:rsidR="007B7F59" w:rsidRPr="0082516A" w:rsidRDefault="007B7F59" w:rsidP="007B7F59">
      <w:pPr>
        <w:pBdr>
          <w:bottom w:val="single" w:sz="12" w:space="1" w:color="auto"/>
        </w:pBdr>
        <w:spacing w:line="480" w:lineRule="auto"/>
        <w:ind w:left="0"/>
        <w:jc w:val="center"/>
        <w:rPr>
          <w:rFonts w:cs="Arial"/>
          <w:b/>
          <w:szCs w:val="24"/>
        </w:rPr>
      </w:pPr>
      <w:r w:rsidRPr="0082516A">
        <w:rPr>
          <w:rFonts w:cs="Arial"/>
          <w:b/>
          <w:szCs w:val="24"/>
        </w:rPr>
        <w:t>JUDGMENT</w:t>
      </w:r>
    </w:p>
    <w:p w14:paraId="5EACC889" w14:textId="77777777" w:rsidR="00C50A48" w:rsidRPr="0082516A" w:rsidRDefault="00C50A48" w:rsidP="00C50A48">
      <w:pPr>
        <w:spacing w:after="0" w:line="240" w:lineRule="auto"/>
        <w:ind w:left="0"/>
        <w:jc w:val="left"/>
        <w:rPr>
          <w:rFonts w:cs="Arial"/>
          <w:b/>
          <w:bCs/>
          <w:szCs w:val="24"/>
        </w:rPr>
      </w:pPr>
      <w:r w:rsidRPr="0082516A">
        <w:rPr>
          <w:rFonts w:cs="Arial"/>
          <w:b/>
          <w:bCs/>
          <w:szCs w:val="24"/>
        </w:rPr>
        <w:t>KORF, AJ</w:t>
      </w:r>
    </w:p>
    <w:p w14:paraId="09765C55" w14:textId="77777777" w:rsidR="00C50A48" w:rsidRPr="0082516A" w:rsidRDefault="00C50A48" w:rsidP="00C50A48">
      <w:pPr>
        <w:spacing w:after="0" w:line="240" w:lineRule="auto"/>
        <w:ind w:left="0"/>
        <w:jc w:val="left"/>
        <w:rPr>
          <w:rFonts w:cs="Arial"/>
          <w:szCs w:val="24"/>
        </w:rPr>
      </w:pPr>
    </w:p>
    <w:p w14:paraId="1CC0EC04" w14:textId="77777777" w:rsidR="00C50A48" w:rsidRPr="0082516A" w:rsidRDefault="00C50A48" w:rsidP="00C50A48">
      <w:pPr>
        <w:pStyle w:val="JudgmentHeading"/>
      </w:pPr>
      <w:r w:rsidRPr="0082516A">
        <w:t>Introduction</w:t>
      </w:r>
    </w:p>
    <w:p w14:paraId="46375A11" w14:textId="62630B57" w:rsidR="00A9018F" w:rsidRPr="0082516A" w:rsidRDefault="006461D5" w:rsidP="006461D5">
      <w:pPr>
        <w:pStyle w:val="JUDGMENTNUMBERED"/>
        <w:numPr>
          <w:ilvl w:val="0"/>
          <w:numId w:val="0"/>
        </w:numPr>
        <w:ind w:left="709" w:hanging="709"/>
        <w:rPr>
          <w:lang w:val="en-ZA"/>
        </w:rPr>
      </w:pPr>
      <w:r w:rsidRPr="0082516A">
        <w:rPr>
          <w:rFonts w:cs="Arial"/>
          <w:color w:val="000000"/>
          <w:lang w:val="en-ZA"/>
        </w:rPr>
        <w:lastRenderedPageBreak/>
        <w:t>[1]</w:t>
      </w:r>
      <w:r w:rsidRPr="0082516A">
        <w:rPr>
          <w:rFonts w:cs="Arial"/>
          <w:color w:val="000000"/>
          <w:lang w:val="en-ZA"/>
        </w:rPr>
        <w:tab/>
      </w:r>
      <w:r w:rsidR="00A9018F" w:rsidRPr="0082516A">
        <w:rPr>
          <w:lang w:val="en-ZA"/>
        </w:rPr>
        <w:t xml:space="preserve">This matter concerns an exception by the defendant/excipient to the plaintiff/respondent’s amended particulars of claim dated 24 April 2022 </w:t>
      </w:r>
      <w:r w:rsidR="008951CE">
        <w:rPr>
          <w:lang w:val="en-ZA"/>
        </w:rPr>
        <w:t>because</w:t>
      </w:r>
      <w:r w:rsidR="00A9018F" w:rsidRPr="0082516A">
        <w:rPr>
          <w:lang w:val="en-ZA"/>
        </w:rPr>
        <w:t xml:space="preserve"> </w:t>
      </w:r>
      <w:r w:rsidR="00503E4A" w:rsidRPr="0082516A">
        <w:rPr>
          <w:lang w:val="en-ZA"/>
        </w:rPr>
        <w:t>it</w:t>
      </w:r>
      <w:r w:rsidR="00951D8C" w:rsidRPr="0082516A">
        <w:rPr>
          <w:lang w:val="en-ZA"/>
        </w:rPr>
        <w:t xml:space="preserve"> fail</w:t>
      </w:r>
      <w:r w:rsidR="00503E4A" w:rsidRPr="0082516A">
        <w:rPr>
          <w:lang w:val="en-ZA"/>
        </w:rPr>
        <w:t>s</w:t>
      </w:r>
      <w:r w:rsidR="008026D2" w:rsidRPr="0082516A">
        <w:rPr>
          <w:lang w:val="en-ZA"/>
        </w:rPr>
        <w:t xml:space="preserve"> to disclose a </w:t>
      </w:r>
      <w:r w:rsidR="00A9018F" w:rsidRPr="0082516A">
        <w:rPr>
          <w:lang w:val="en-ZA"/>
        </w:rPr>
        <w:t>cause of action.</w:t>
      </w:r>
    </w:p>
    <w:p w14:paraId="4FC7CD40" w14:textId="0837DE97" w:rsidR="00810308" w:rsidRPr="0082516A" w:rsidRDefault="006461D5" w:rsidP="006461D5">
      <w:pPr>
        <w:pStyle w:val="JUDGMENTNUMBERED"/>
        <w:numPr>
          <w:ilvl w:val="0"/>
          <w:numId w:val="0"/>
        </w:numPr>
        <w:ind w:left="709" w:hanging="709"/>
        <w:rPr>
          <w:lang w:val="en-ZA"/>
        </w:rPr>
      </w:pPr>
      <w:r w:rsidRPr="0082516A">
        <w:rPr>
          <w:rFonts w:cs="Arial"/>
          <w:color w:val="000000"/>
          <w:lang w:val="en-ZA"/>
        </w:rPr>
        <w:t>[2]</w:t>
      </w:r>
      <w:r w:rsidRPr="0082516A">
        <w:rPr>
          <w:rFonts w:cs="Arial"/>
          <w:color w:val="000000"/>
          <w:lang w:val="en-ZA"/>
        </w:rPr>
        <w:tab/>
      </w:r>
      <w:r w:rsidR="00810308" w:rsidRPr="0082516A">
        <w:rPr>
          <w:lang w:val="en-ZA"/>
        </w:rPr>
        <w:t>The parties shall be referred to as they have been cited in the summons, to wit, the excipient as the defendant and the respondent as the plaintiff.</w:t>
      </w:r>
    </w:p>
    <w:p w14:paraId="548714B8" w14:textId="5D2FA773" w:rsidR="00A9018F" w:rsidRPr="0082516A" w:rsidRDefault="006461D5" w:rsidP="006461D5">
      <w:pPr>
        <w:pStyle w:val="JUDGMENTNUMBERED"/>
        <w:numPr>
          <w:ilvl w:val="0"/>
          <w:numId w:val="0"/>
        </w:numPr>
        <w:ind w:left="709" w:hanging="709"/>
        <w:rPr>
          <w:lang w:val="en-ZA"/>
        </w:rPr>
      </w:pPr>
      <w:r w:rsidRPr="0082516A">
        <w:rPr>
          <w:rFonts w:cs="Arial"/>
          <w:color w:val="000000"/>
          <w:lang w:val="en-ZA"/>
        </w:rPr>
        <w:t>[3]</w:t>
      </w:r>
      <w:r w:rsidRPr="0082516A">
        <w:rPr>
          <w:rFonts w:cs="Arial"/>
          <w:color w:val="000000"/>
          <w:lang w:val="en-ZA"/>
        </w:rPr>
        <w:tab/>
      </w:r>
      <w:r w:rsidR="002F25F8" w:rsidRPr="0082516A">
        <w:rPr>
          <w:lang w:val="en-ZA"/>
        </w:rPr>
        <w:t>On or</w:t>
      </w:r>
      <w:r w:rsidR="00503187" w:rsidRPr="0082516A">
        <w:rPr>
          <w:lang w:val="en-ZA"/>
        </w:rPr>
        <w:t xml:space="preserve"> shortly after 22 October </w:t>
      </w:r>
      <w:r w:rsidR="00B740FB" w:rsidRPr="0082516A">
        <w:rPr>
          <w:lang w:val="en-ZA"/>
        </w:rPr>
        <w:t>2021,</w:t>
      </w:r>
      <w:r w:rsidR="0075522D" w:rsidRPr="0082516A">
        <w:rPr>
          <w:lang w:val="en-ZA"/>
        </w:rPr>
        <w:t xml:space="preserve"> </w:t>
      </w:r>
      <w:r w:rsidR="00C63D5A" w:rsidRPr="0082516A">
        <w:rPr>
          <w:lang w:val="en-ZA"/>
        </w:rPr>
        <w:t>the plaintiff</w:t>
      </w:r>
      <w:r w:rsidR="00B708D5" w:rsidRPr="0082516A">
        <w:rPr>
          <w:lang w:val="en-ZA"/>
        </w:rPr>
        <w:t xml:space="preserve">, </w:t>
      </w:r>
      <w:r w:rsidR="00B43F8A" w:rsidRPr="0082516A">
        <w:rPr>
          <w:lang w:val="en-ZA"/>
        </w:rPr>
        <w:t xml:space="preserve">UNATHI PAKATI, </w:t>
      </w:r>
      <w:r w:rsidR="00B708D5" w:rsidRPr="0082516A">
        <w:rPr>
          <w:lang w:val="en-ZA"/>
        </w:rPr>
        <w:t>an adult female employee of the defendant</w:t>
      </w:r>
      <w:r w:rsidR="00AD5C32" w:rsidRPr="0082516A">
        <w:rPr>
          <w:lang w:val="en-ZA"/>
        </w:rPr>
        <w:t>,</w:t>
      </w:r>
      <w:r w:rsidR="00C63D5A" w:rsidRPr="0082516A">
        <w:rPr>
          <w:lang w:val="en-ZA"/>
        </w:rPr>
        <w:t xml:space="preserve"> </w:t>
      </w:r>
      <w:r w:rsidR="00A9018F" w:rsidRPr="0082516A">
        <w:rPr>
          <w:lang w:val="en-ZA"/>
        </w:rPr>
        <w:t xml:space="preserve">instituted </w:t>
      </w:r>
      <w:r w:rsidR="004458A2" w:rsidRPr="0082516A">
        <w:rPr>
          <w:lang w:val="en-ZA"/>
        </w:rPr>
        <w:t>an action</w:t>
      </w:r>
      <w:r w:rsidR="00A9018F" w:rsidRPr="0082516A">
        <w:rPr>
          <w:lang w:val="en-ZA"/>
        </w:rPr>
        <w:t xml:space="preserve"> against the defendant</w:t>
      </w:r>
      <w:r w:rsidR="00C63D5A" w:rsidRPr="0082516A">
        <w:rPr>
          <w:lang w:val="en-ZA"/>
        </w:rPr>
        <w:t>, the HOUSING DEVELOPMENT AGENCY</w:t>
      </w:r>
      <w:r w:rsidR="00A9018F" w:rsidRPr="0082516A">
        <w:rPr>
          <w:lang w:val="en-ZA"/>
        </w:rPr>
        <w:t xml:space="preserve">, </w:t>
      </w:r>
      <w:r w:rsidR="00AE510A" w:rsidRPr="0082516A">
        <w:rPr>
          <w:lang w:val="en-ZA"/>
        </w:rPr>
        <w:t xml:space="preserve">cited as </w:t>
      </w:r>
      <w:r w:rsidR="00A9018F" w:rsidRPr="0082516A">
        <w:rPr>
          <w:lang w:val="en-ZA"/>
        </w:rPr>
        <w:t>an entity</w:t>
      </w:r>
      <w:r w:rsidR="00AE510A" w:rsidRPr="0082516A">
        <w:rPr>
          <w:lang w:val="en-ZA"/>
        </w:rPr>
        <w:t xml:space="preserve"> duly</w:t>
      </w:r>
      <w:r w:rsidR="00A9018F" w:rsidRPr="0082516A">
        <w:rPr>
          <w:lang w:val="en-ZA"/>
        </w:rPr>
        <w:t xml:space="preserve"> established </w:t>
      </w:r>
      <w:r w:rsidR="00701116">
        <w:rPr>
          <w:lang w:val="en-ZA"/>
        </w:rPr>
        <w:t>under</w:t>
      </w:r>
      <w:r w:rsidR="00A9018F" w:rsidRPr="0082516A">
        <w:rPr>
          <w:lang w:val="en-ZA"/>
        </w:rPr>
        <w:t xml:space="preserve"> the Housing Development Act, 23 of 2008. </w:t>
      </w:r>
    </w:p>
    <w:p w14:paraId="026DE857" w14:textId="0B4E7D75" w:rsidR="00156635" w:rsidRPr="0082516A" w:rsidRDefault="006461D5" w:rsidP="006461D5">
      <w:pPr>
        <w:pStyle w:val="JUDGMENTNUMBERED"/>
        <w:numPr>
          <w:ilvl w:val="0"/>
          <w:numId w:val="0"/>
        </w:numPr>
        <w:ind w:left="709" w:hanging="709"/>
        <w:rPr>
          <w:lang w:val="en-ZA"/>
        </w:rPr>
      </w:pPr>
      <w:r w:rsidRPr="0082516A">
        <w:rPr>
          <w:rFonts w:cs="Arial"/>
          <w:color w:val="000000"/>
          <w:lang w:val="en-ZA"/>
        </w:rPr>
        <w:t>[4]</w:t>
      </w:r>
      <w:r w:rsidRPr="0082516A">
        <w:rPr>
          <w:rFonts w:cs="Arial"/>
          <w:color w:val="000000"/>
          <w:lang w:val="en-ZA"/>
        </w:rPr>
        <w:tab/>
      </w:r>
      <w:r w:rsidR="00BC464E" w:rsidRPr="0082516A">
        <w:rPr>
          <w:lang w:val="en-ZA"/>
        </w:rPr>
        <w:t>As will be alluded to more fully below</w:t>
      </w:r>
      <w:r w:rsidR="005A2E0F" w:rsidRPr="0082516A">
        <w:rPr>
          <w:lang w:val="en-ZA"/>
        </w:rPr>
        <w:t xml:space="preserve">, the plaintiff’s action </w:t>
      </w:r>
      <w:r w:rsidR="00F56EBC" w:rsidRPr="0082516A">
        <w:rPr>
          <w:lang w:val="en-ZA"/>
        </w:rPr>
        <w:t>comprised</w:t>
      </w:r>
      <w:r w:rsidR="005A2E0F" w:rsidRPr="0082516A">
        <w:rPr>
          <w:lang w:val="en-ZA"/>
        </w:rPr>
        <w:t xml:space="preserve"> t</w:t>
      </w:r>
      <w:r w:rsidR="007C75BF" w:rsidRPr="0082516A">
        <w:rPr>
          <w:lang w:val="en-ZA"/>
        </w:rPr>
        <w:t>w</w:t>
      </w:r>
      <w:r w:rsidR="005A2E0F" w:rsidRPr="0082516A">
        <w:rPr>
          <w:lang w:val="en-ZA"/>
        </w:rPr>
        <w:t>o claims</w:t>
      </w:r>
      <w:r w:rsidR="00D73562" w:rsidRPr="0082516A">
        <w:rPr>
          <w:lang w:val="en-ZA"/>
        </w:rPr>
        <w:t>.</w:t>
      </w:r>
      <w:r w:rsidR="00F966D4" w:rsidRPr="0082516A">
        <w:rPr>
          <w:lang w:val="en-ZA"/>
        </w:rPr>
        <w:t xml:space="preserve"> As pleaded, Claim A is</w:t>
      </w:r>
      <w:r w:rsidR="00BC02B5" w:rsidRPr="0082516A">
        <w:rPr>
          <w:lang w:val="en-ZA"/>
        </w:rPr>
        <w:t xml:space="preserve"> </w:t>
      </w:r>
      <w:r w:rsidR="00FA4FDE" w:rsidRPr="0082516A">
        <w:rPr>
          <w:lang w:val="en-ZA"/>
        </w:rPr>
        <w:t>pleaded as a claim for delictual damages</w:t>
      </w:r>
      <w:r w:rsidR="003B5503" w:rsidRPr="0082516A">
        <w:rPr>
          <w:lang w:val="en-ZA"/>
        </w:rPr>
        <w:t xml:space="preserve"> </w:t>
      </w:r>
      <w:r w:rsidR="004C2C62" w:rsidRPr="0082516A">
        <w:rPr>
          <w:lang w:val="en-ZA"/>
        </w:rPr>
        <w:t>caused by the defendant’s breach of a</w:t>
      </w:r>
      <w:r w:rsidR="003046B0" w:rsidRPr="0082516A">
        <w:rPr>
          <w:lang w:val="en-ZA"/>
        </w:rPr>
        <w:t xml:space="preserve"> common law</w:t>
      </w:r>
      <w:r w:rsidR="004C2C62" w:rsidRPr="0082516A">
        <w:rPr>
          <w:lang w:val="en-ZA"/>
        </w:rPr>
        <w:t xml:space="preserve"> legal duty</w:t>
      </w:r>
      <w:r w:rsidR="00F966D4" w:rsidRPr="0082516A">
        <w:rPr>
          <w:lang w:val="en-ZA"/>
        </w:rPr>
        <w:t>.</w:t>
      </w:r>
      <w:r w:rsidR="00BC02B5" w:rsidRPr="0082516A">
        <w:rPr>
          <w:lang w:val="en-ZA"/>
        </w:rPr>
        <w:t xml:space="preserve"> Claim B is for constitutional damages sustained due to </w:t>
      </w:r>
      <w:r w:rsidR="00156635" w:rsidRPr="0082516A">
        <w:rPr>
          <w:lang w:val="en-ZA"/>
        </w:rPr>
        <w:t xml:space="preserve">the </w:t>
      </w:r>
      <w:r w:rsidR="00BC02B5" w:rsidRPr="0082516A">
        <w:rPr>
          <w:lang w:val="en-ZA"/>
        </w:rPr>
        <w:t>defendant’s infringement o</w:t>
      </w:r>
      <w:r w:rsidR="007D6A27" w:rsidRPr="0082516A">
        <w:rPr>
          <w:lang w:val="en-ZA"/>
        </w:rPr>
        <w:t>f</w:t>
      </w:r>
      <w:r w:rsidR="00BC02B5" w:rsidRPr="0082516A">
        <w:rPr>
          <w:lang w:val="en-ZA"/>
        </w:rPr>
        <w:t xml:space="preserve"> </w:t>
      </w:r>
      <w:r w:rsidR="007D6A27" w:rsidRPr="0082516A">
        <w:rPr>
          <w:lang w:val="en-ZA"/>
        </w:rPr>
        <w:t>certain</w:t>
      </w:r>
      <w:r w:rsidR="00BC02B5" w:rsidRPr="0082516A">
        <w:rPr>
          <w:lang w:val="en-ZA"/>
        </w:rPr>
        <w:t xml:space="preserve"> constitutional rights of the plaintiff.</w:t>
      </w:r>
    </w:p>
    <w:p w14:paraId="4E6C3E27" w14:textId="4E50C2D0" w:rsidR="009F1B80" w:rsidRPr="0082516A" w:rsidRDefault="006461D5" w:rsidP="006461D5">
      <w:pPr>
        <w:pStyle w:val="JUDGMENTNUMBERED"/>
        <w:numPr>
          <w:ilvl w:val="0"/>
          <w:numId w:val="0"/>
        </w:numPr>
        <w:ind w:left="709" w:hanging="709"/>
        <w:rPr>
          <w:lang w:val="en-ZA"/>
        </w:rPr>
      </w:pPr>
      <w:r w:rsidRPr="0082516A">
        <w:rPr>
          <w:rFonts w:cs="Arial"/>
          <w:color w:val="000000"/>
          <w:lang w:val="en-ZA"/>
        </w:rPr>
        <w:t>[5]</w:t>
      </w:r>
      <w:r w:rsidRPr="0082516A">
        <w:rPr>
          <w:rFonts w:cs="Arial"/>
          <w:color w:val="000000"/>
          <w:lang w:val="en-ZA"/>
        </w:rPr>
        <w:tab/>
      </w:r>
      <w:r w:rsidR="004B1937" w:rsidRPr="0082516A">
        <w:rPr>
          <w:lang w:val="en-ZA"/>
        </w:rPr>
        <w:t>The defendant’s first exception is</w:t>
      </w:r>
      <w:r w:rsidR="003354A1" w:rsidRPr="0082516A">
        <w:rPr>
          <w:lang w:val="en-ZA"/>
        </w:rPr>
        <w:t xml:space="preserve"> essentially</w:t>
      </w:r>
      <w:r w:rsidR="004B1937" w:rsidRPr="0082516A">
        <w:rPr>
          <w:lang w:val="en-ZA"/>
        </w:rPr>
        <w:t xml:space="preserve"> that </w:t>
      </w:r>
      <w:r w:rsidR="00F4437D" w:rsidRPr="0082516A">
        <w:rPr>
          <w:lang w:val="en-ZA"/>
        </w:rPr>
        <w:t xml:space="preserve">the </w:t>
      </w:r>
      <w:r w:rsidR="004B1937" w:rsidRPr="0082516A">
        <w:rPr>
          <w:lang w:val="en-ZA"/>
        </w:rPr>
        <w:t xml:space="preserve">plaintiff’s claim is precluded by </w:t>
      </w:r>
      <w:r w:rsidR="00B27F08" w:rsidRPr="0082516A">
        <w:rPr>
          <w:lang w:val="en-ZA"/>
        </w:rPr>
        <w:t>section 35(1) of the Compensation for Occupational Injuries and Diseases Act, 130 of 1993 (“COIDA”)</w:t>
      </w:r>
      <w:r w:rsidR="00355B5E" w:rsidRPr="0082516A">
        <w:rPr>
          <w:lang w:val="en-ZA"/>
        </w:rPr>
        <w:t>.</w:t>
      </w:r>
      <w:r w:rsidR="00E57FE9" w:rsidRPr="0082516A">
        <w:rPr>
          <w:lang w:val="en-ZA"/>
        </w:rPr>
        <w:t xml:space="preserve"> The second </w:t>
      </w:r>
      <w:r w:rsidR="003354A1" w:rsidRPr="0082516A">
        <w:rPr>
          <w:lang w:val="en-ZA"/>
        </w:rPr>
        <w:t xml:space="preserve">exception is that </w:t>
      </w:r>
      <w:r w:rsidR="00F4437D" w:rsidRPr="0082516A">
        <w:rPr>
          <w:lang w:val="en-ZA"/>
        </w:rPr>
        <w:t xml:space="preserve">the </w:t>
      </w:r>
      <w:r w:rsidR="003354A1" w:rsidRPr="0082516A">
        <w:rPr>
          <w:lang w:val="en-ZA"/>
        </w:rPr>
        <w:t xml:space="preserve">plaintiff’s claim for constitutional damages </w:t>
      </w:r>
      <w:r w:rsidR="00F4437D" w:rsidRPr="0082516A">
        <w:rPr>
          <w:lang w:val="en-ZA"/>
        </w:rPr>
        <w:t xml:space="preserve">is </w:t>
      </w:r>
      <w:r w:rsidR="0057508C">
        <w:rPr>
          <w:lang w:val="en-ZA"/>
        </w:rPr>
        <w:t>wrong</w:t>
      </w:r>
      <w:r w:rsidR="00F4437D" w:rsidRPr="0082516A">
        <w:rPr>
          <w:lang w:val="en-ZA"/>
        </w:rPr>
        <w:t xml:space="preserve"> in law</w:t>
      </w:r>
      <w:r w:rsidR="00632B66" w:rsidRPr="0082516A">
        <w:rPr>
          <w:lang w:val="en-ZA"/>
        </w:rPr>
        <w:t xml:space="preserve"> because the applicant has a </w:t>
      </w:r>
      <w:r w:rsidR="00DE19A3" w:rsidRPr="0082516A">
        <w:rPr>
          <w:lang w:val="en-ZA"/>
        </w:rPr>
        <w:t>common law remedy</w:t>
      </w:r>
      <w:r w:rsidR="00F4437D" w:rsidRPr="0082516A">
        <w:rPr>
          <w:lang w:val="en-ZA"/>
        </w:rPr>
        <w:t>.</w:t>
      </w:r>
    </w:p>
    <w:p w14:paraId="005F3E90" w14:textId="77777777" w:rsidR="00A73684" w:rsidRPr="0082516A" w:rsidRDefault="00A73684" w:rsidP="00A73684">
      <w:pPr>
        <w:pStyle w:val="JUDGMENTCONTINUED"/>
        <w:rPr>
          <w:lang w:val="en-ZA"/>
        </w:rPr>
      </w:pPr>
    </w:p>
    <w:p w14:paraId="51F48DF5" w14:textId="77777777" w:rsidR="00A41F37" w:rsidRPr="0082516A" w:rsidRDefault="00A41F37" w:rsidP="00A41F37">
      <w:pPr>
        <w:pStyle w:val="JudgmentHeading"/>
      </w:pPr>
      <w:r w:rsidRPr="0082516A">
        <w:t>Relief sought</w:t>
      </w:r>
    </w:p>
    <w:p w14:paraId="2DF6D2D6" w14:textId="716517D9" w:rsidR="00A41F37" w:rsidRPr="0082516A" w:rsidRDefault="006461D5" w:rsidP="006461D5">
      <w:pPr>
        <w:pStyle w:val="JUDGMENTNUMBERED"/>
        <w:numPr>
          <w:ilvl w:val="0"/>
          <w:numId w:val="0"/>
        </w:numPr>
        <w:ind w:left="709" w:hanging="709"/>
        <w:rPr>
          <w:lang w:val="en-ZA"/>
        </w:rPr>
      </w:pPr>
      <w:r w:rsidRPr="0082516A">
        <w:rPr>
          <w:rFonts w:cs="Arial"/>
          <w:color w:val="000000"/>
          <w:lang w:val="en-ZA"/>
        </w:rPr>
        <w:t>[6]</w:t>
      </w:r>
      <w:r w:rsidRPr="0082516A">
        <w:rPr>
          <w:rFonts w:cs="Arial"/>
          <w:color w:val="000000"/>
          <w:lang w:val="en-ZA"/>
        </w:rPr>
        <w:tab/>
      </w:r>
      <w:r w:rsidR="00A41F37" w:rsidRPr="0082516A">
        <w:rPr>
          <w:lang w:val="en-ZA"/>
        </w:rPr>
        <w:t>In its exception, the defendant pray</w:t>
      </w:r>
      <w:r w:rsidR="00A73684" w:rsidRPr="0082516A">
        <w:rPr>
          <w:lang w:val="en-ZA"/>
        </w:rPr>
        <w:t>ed</w:t>
      </w:r>
      <w:r w:rsidR="00A41F37" w:rsidRPr="0082516A">
        <w:rPr>
          <w:lang w:val="en-ZA"/>
        </w:rPr>
        <w:t xml:space="preserve"> for an order that:</w:t>
      </w:r>
    </w:p>
    <w:p w14:paraId="7103259E" w14:textId="77777777" w:rsidR="00A41F37" w:rsidRPr="0082516A" w:rsidRDefault="00A41F37" w:rsidP="00A41F37">
      <w:pPr>
        <w:pStyle w:val="JUDGMENTCONTINUED"/>
        <w:ind w:left="1276"/>
        <w:rPr>
          <w:lang w:val="en-ZA"/>
        </w:rPr>
      </w:pPr>
      <w:r w:rsidRPr="0082516A">
        <w:rPr>
          <w:lang w:val="en-ZA"/>
        </w:rPr>
        <w:t xml:space="preserve"> “a)</w:t>
      </w:r>
      <w:r w:rsidRPr="0082516A">
        <w:rPr>
          <w:lang w:val="en-ZA"/>
        </w:rPr>
        <w:tab/>
        <w:t>The exception be upheld;</w:t>
      </w:r>
    </w:p>
    <w:p w14:paraId="20C72259" w14:textId="77777777" w:rsidR="00A41F37" w:rsidRPr="0082516A" w:rsidRDefault="00A41F37" w:rsidP="00A41F37">
      <w:pPr>
        <w:pStyle w:val="JUDGMENTCONTINUED"/>
        <w:ind w:left="1440"/>
        <w:rPr>
          <w:lang w:val="en-ZA"/>
        </w:rPr>
      </w:pPr>
      <w:r w:rsidRPr="0082516A">
        <w:rPr>
          <w:lang w:val="en-ZA"/>
        </w:rPr>
        <w:t>b)</w:t>
      </w:r>
      <w:r w:rsidRPr="0082516A">
        <w:rPr>
          <w:lang w:val="en-ZA"/>
        </w:rPr>
        <w:tab/>
        <w:t>The Plaintiff pays the costs of the exception;</w:t>
      </w:r>
    </w:p>
    <w:p w14:paraId="127D853B" w14:textId="77777777" w:rsidR="00A41F37" w:rsidRPr="0082516A" w:rsidRDefault="00A41F37" w:rsidP="00A41F37">
      <w:pPr>
        <w:pStyle w:val="JUDGMENTCONTINUED"/>
        <w:ind w:left="1440"/>
        <w:rPr>
          <w:lang w:val="en-ZA"/>
        </w:rPr>
      </w:pPr>
      <w:r w:rsidRPr="0082516A">
        <w:rPr>
          <w:lang w:val="en-ZA"/>
        </w:rPr>
        <w:t>c)</w:t>
      </w:r>
      <w:r w:rsidRPr="0082516A">
        <w:rPr>
          <w:lang w:val="en-ZA"/>
        </w:rPr>
        <w:tab/>
        <w:t>Further and/or alternative relief.”</w:t>
      </w:r>
    </w:p>
    <w:p w14:paraId="746CD430" w14:textId="3095798E" w:rsidR="00A41F37" w:rsidRPr="0082516A" w:rsidRDefault="006461D5" w:rsidP="006461D5">
      <w:pPr>
        <w:pStyle w:val="JUDGMENTNUMBERED"/>
        <w:numPr>
          <w:ilvl w:val="0"/>
          <w:numId w:val="0"/>
        </w:numPr>
        <w:ind w:left="709" w:hanging="709"/>
        <w:rPr>
          <w:lang w:val="en-ZA"/>
        </w:rPr>
      </w:pPr>
      <w:r w:rsidRPr="0082516A">
        <w:rPr>
          <w:rFonts w:cs="Arial"/>
          <w:color w:val="000000"/>
          <w:lang w:val="en-ZA"/>
        </w:rPr>
        <w:t>[7]</w:t>
      </w:r>
      <w:r w:rsidRPr="0082516A">
        <w:rPr>
          <w:rFonts w:cs="Arial"/>
          <w:color w:val="000000"/>
          <w:lang w:val="en-ZA"/>
        </w:rPr>
        <w:tab/>
      </w:r>
      <w:r w:rsidR="00A41F37" w:rsidRPr="0082516A">
        <w:rPr>
          <w:lang w:val="en-ZA"/>
        </w:rPr>
        <w:t>According to the defendant’s heads of argument, it seeks its exception to be upheld with costs.</w:t>
      </w:r>
    </w:p>
    <w:p w14:paraId="5F2AA126" w14:textId="57714CA0" w:rsidR="00A41F37" w:rsidRPr="0082516A" w:rsidRDefault="006461D5" w:rsidP="006461D5">
      <w:pPr>
        <w:pStyle w:val="JUDGMENTNUMBERED"/>
        <w:numPr>
          <w:ilvl w:val="0"/>
          <w:numId w:val="0"/>
        </w:numPr>
        <w:ind w:left="709" w:hanging="709"/>
        <w:rPr>
          <w:lang w:val="en-ZA"/>
        </w:rPr>
      </w:pPr>
      <w:r w:rsidRPr="0082516A">
        <w:rPr>
          <w:rFonts w:cs="Arial"/>
          <w:color w:val="000000"/>
          <w:lang w:val="en-ZA"/>
        </w:rPr>
        <w:t>[8]</w:t>
      </w:r>
      <w:r w:rsidRPr="0082516A">
        <w:rPr>
          <w:rFonts w:cs="Arial"/>
          <w:color w:val="000000"/>
          <w:lang w:val="en-ZA"/>
        </w:rPr>
        <w:tab/>
      </w:r>
      <w:r w:rsidR="00A41F37" w:rsidRPr="0082516A">
        <w:rPr>
          <w:lang w:val="en-ZA"/>
        </w:rPr>
        <w:t xml:space="preserve">During the oral argument, I asked the </w:t>
      </w:r>
      <w:r w:rsidR="00E84CA3" w:rsidRPr="0082516A">
        <w:rPr>
          <w:lang w:val="en-ZA"/>
        </w:rPr>
        <w:t>d</w:t>
      </w:r>
      <w:r w:rsidR="00A41F37" w:rsidRPr="0082516A">
        <w:rPr>
          <w:lang w:val="en-ZA"/>
        </w:rPr>
        <w:t xml:space="preserve">efendant’s representative whether the upholding of the exception (without granting either a dismissal of the claim or an opportunity to amend) would not leave the case in limbo and that there may then be uncertainty as to the status of the </w:t>
      </w:r>
      <w:r w:rsidR="00F14984" w:rsidRPr="0082516A">
        <w:rPr>
          <w:lang w:val="en-ZA"/>
        </w:rPr>
        <w:t>plaintiff’s claims</w:t>
      </w:r>
      <w:r w:rsidR="00A41F37" w:rsidRPr="0082516A">
        <w:rPr>
          <w:lang w:val="en-ZA"/>
        </w:rPr>
        <w:t>.</w:t>
      </w:r>
    </w:p>
    <w:p w14:paraId="01752A24" w14:textId="7B8C7BAB" w:rsidR="00A41F37" w:rsidRPr="0082516A" w:rsidRDefault="006461D5" w:rsidP="006461D5">
      <w:pPr>
        <w:pStyle w:val="JUDGMENTNUMBERED"/>
        <w:numPr>
          <w:ilvl w:val="0"/>
          <w:numId w:val="0"/>
        </w:numPr>
        <w:ind w:left="709" w:hanging="709"/>
        <w:rPr>
          <w:lang w:val="en-ZA"/>
        </w:rPr>
      </w:pPr>
      <w:r w:rsidRPr="0082516A">
        <w:rPr>
          <w:rFonts w:cs="Arial"/>
          <w:color w:val="000000"/>
          <w:lang w:val="en-ZA"/>
        </w:rPr>
        <w:lastRenderedPageBreak/>
        <w:t>[9]</w:t>
      </w:r>
      <w:r w:rsidRPr="0082516A">
        <w:rPr>
          <w:rFonts w:cs="Arial"/>
          <w:color w:val="000000"/>
          <w:lang w:val="en-ZA"/>
        </w:rPr>
        <w:tab/>
      </w:r>
      <w:r w:rsidR="00A41F37" w:rsidRPr="0082516A">
        <w:rPr>
          <w:lang w:val="en-ZA"/>
        </w:rPr>
        <w:t xml:space="preserve">The defendant’s counsel accordingly </w:t>
      </w:r>
      <w:r w:rsidR="00700C26" w:rsidRPr="0082516A">
        <w:rPr>
          <w:lang w:val="en-ZA"/>
        </w:rPr>
        <w:t>contended</w:t>
      </w:r>
      <w:r w:rsidR="00A41F37" w:rsidRPr="0082516A">
        <w:rPr>
          <w:lang w:val="en-ZA"/>
        </w:rPr>
        <w:t xml:space="preserve"> that the following relief would be appropriate:</w:t>
      </w:r>
    </w:p>
    <w:p w14:paraId="73847C1B" w14:textId="5B0575FE" w:rsidR="001A422E" w:rsidRPr="0082516A" w:rsidRDefault="006461D5" w:rsidP="006461D5">
      <w:pPr>
        <w:pStyle w:val="JUDGMENTNUMBERED"/>
        <w:numPr>
          <w:ilvl w:val="0"/>
          <w:numId w:val="0"/>
        </w:numPr>
        <w:ind w:left="1440" w:hanging="360"/>
        <w:rPr>
          <w:lang w:val="en-ZA"/>
        </w:rPr>
      </w:pPr>
      <w:r w:rsidRPr="0082516A">
        <w:rPr>
          <w:rFonts w:cs="Times New Roman"/>
          <w:lang w:val="en-ZA"/>
        </w:rPr>
        <w:t>1.</w:t>
      </w:r>
      <w:r w:rsidRPr="0082516A">
        <w:rPr>
          <w:rFonts w:cs="Times New Roman"/>
          <w:lang w:val="en-ZA"/>
        </w:rPr>
        <w:tab/>
      </w:r>
      <w:r w:rsidR="001A422E" w:rsidRPr="0082516A">
        <w:rPr>
          <w:lang w:val="en-ZA"/>
        </w:rPr>
        <w:t xml:space="preserve">In respect of Claim A, that the exception be upheld inasmuch as the allegations relate to negligence, </w:t>
      </w:r>
      <w:r w:rsidR="001A422E" w:rsidRPr="0082516A">
        <w:rPr>
          <w:u w:val="single"/>
          <w:lang w:val="en-ZA"/>
        </w:rPr>
        <w:t>alternatively</w:t>
      </w:r>
      <w:r w:rsidR="001A422E" w:rsidRPr="0082516A">
        <w:rPr>
          <w:lang w:val="en-ZA"/>
        </w:rPr>
        <w:t xml:space="preserve">, </w:t>
      </w:r>
      <w:r w:rsidR="0089093A" w:rsidRPr="0082516A">
        <w:rPr>
          <w:lang w:val="en-ZA"/>
        </w:rPr>
        <w:t xml:space="preserve">if the court finds that this exception cannot be upheld at </w:t>
      </w:r>
      <w:r w:rsidR="00D0780F" w:rsidRPr="0082516A">
        <w:rPr>
          <w:lang w:val="en-ZA"/>
        </w:rPr>
        <w:t>th</w:t>
      </w:r>
      <w:r w:rsidR="007B08F1">
        <w:rPr>
          <w:lang w:val="en-ZA"/>
        </w:rPr>
        <w:t>e exception state</w:t>
      </w:r>
      <w:r w:rsidR="00D0780F" w:rsidRPr="0082516A">
        <w:rPr>
          <w:lang w:val="en-ZA"/>
        </w:rPr>
        <w:t xml:space="preserve">, </w:t>
      </w:r>
      <w:r w:rsidR="001A422E" w:rsidRPr="0082516A">
        <w:rPr>
          <w:lang w:val="en-ZA"/>
        </w:rPr>
        <w:t>that the excipiability of Claim B be reserved for determination at the end of the trial.</w:t>
      </w:r>
    </w:p>
    <w:p w14:paraId="06DE59CF" w14:textId="0F12B063" w:rsidR="00A41F37" w:rsidRPr="0082516A" w:rsidRDefault="006461D5" w:rsidP="006461D5">
      <w:pPr>
        <w:pStyle w:val="JUDGMENTNUMBERED"/>
        <w:numPr>
          <w:ilvl w:val="0"/>
          <w:numId w:val="0"/>
        </w:numPr>
        <w:ind w:left="1440" w:hanging="360"/>
        <w:rPr>
          <w:lang w:val="en-ZA"/>
        </w:rPr>
      </w:pPr>
      <w:r w:rsidRPr="0082516A">
        <w:rPr>
          <w:rFonts w:cs="Times New Roman"/>
          <w:lang w:val="en-ZA"/>
        </w:rPr>
        <w:t>2.</w:t>
      </w:r>
      <w:r w:rsidRPr="0082516A">
        <w:rPr>
          <w:rFonts w:cs="Times New Roman"/>
          <w:lang w:val="en-ZA"/>
        </w:rPr>
        <w:tab/>
      </w:r>
      <w:r w:rsidR="002A4D41">
        <w:rPr>
          <w:lang w:val="en-ZA"/>
        </w:rPr>
        <w:t>Regarding</w:t>
      </w:r>
      <w:r w:rsidR="00116F92">
        <w:rPr>
          <w:lang w:val="en-ZA"/>
        </w:rPr>
        <w:t xml:space="preserve"> Claim B, the exception should be upheld, and Claim B </w:t>
      </w:r>
      <w:r w:rsidR="00F463D2">
        <w:rPr>
          <w:lang w:val="en-ZA"/>
        </w:rPr>
        <w:t xml:space="preserve">should </w:t>
      </w:r>
      <w:r w:rsidR="00A41F37" w:rsidRPr="0082516A">
        <w:rPr>
          <w:lang w:val="en-ZA"/>
        </w:rPr>
        <w:t>be dismissed with costs.</w:t>
      </w:r>
    </w:p>
    <w:p w14:paraId="6A7664F5" w14:textId="5C499CD6" w:rsidR="00A41F37" w:rsidRPr="0082516A" w:rsidRDefault="006461D5" w:rsidP="006461D5">
      <w:pPr>
        <w:pStyle w:val="JUDGMENTNUMBERED"/>
        <w:numPr>
          <w:ilvl w:val="0"/>
          <w:numId w:val="0"/>
        </w:numPr>
        <w:ind w:left="709" w:hanging="709"/>
        <w:rPr>
          <w:lang w:val="en-ZA"/>
        </w:rPr>
      </w:pPr>
      <w:r w:rsidRPr="0082516A">
        <w:rPr>
          <w:rFonts w:cs="Arial"/>
          <w:color w:val="000000"/>
          <w:lang w:val="en-ZA"/>
        </w:rPr>
        <w:t>[10]</w:t>
      </w:r>
      <w:r w:rsidRPr="0082516A">
        <w:rPr>
          <w:rFonts w:cs="Arial"/>
          <w:color w:val="000000"/>
          <w:lang w:val="en-ZA"/>
        </w:rPr>
        <w:tab/>
      </w:r>
      <w:r w:rsidR="00A41F37" w:rsidRPr="0082516A">
        <w:rPr>
          <w:lang w:val="en-ZA"/>
        </w:rPr>
        <w:t xml:space="preserve">The plaintiff prayed that </w:t>
      </w:r>
      <w:r w:rsidR="00EB4B2C" w:rsidRPr="0082516A">
        <w:rPr>
          <w:lang w:val="en-ZA"/>
        </w:rPr>
        <w:t>both</w:t>
      </w:r>
      <w:r w:rsidR="00E02902" w:rsidRPr="0082516A">
        <w:rPr>
          <w:lang w:val="en-ZA"/>
        </w:rPr>
        <w:t xml:space="preserve"> objections</w:t>
      </w:r>
      <w:r w:rsidR="00A41F37" w:rsidRPr="0082516A">
        <w:rPr>
          <w:lang w:val="en-ZA"/>
        </w:rPr>
        <w:t xml:space="preserve"> be dismissed with costs</w:t>
      </w:r>
      <w:r w:rsidR="00557BEA">
        <w:rPr>
          <w:lang w:val="en-ZA"/>
        </w:rPr>
        <w:t>.</w:t>
      </w:r>
      <w:r w:rsidR="00F463D2">
        <w:rPr>
          <w:lang w:val="en-ZA"/>
        </w:rPr>
        <w:t xml:space="preserve"> </w:t>
      </w:r>
      <w:r w:rsidR="00557BEA">
        <w:rPr>
          <w:lang w:val="en-ZA"/>
        </w:rPr>
        <w:t>I</w:t>
      </w:r>
      <w:r w:rsidR="00F463D2">
        <w:rPr>
          <w:lang w:val="en-ZA"/>
        </w:rPr>
        <w:t xml:space="preserve">f upheld </w:t>
      </w:r>
      <w:r w:rsidR="00BE6504">
        <w:rPr>
          <w:lang w:val="en-ZA"/>
        </w:rPr>
        <w:t>concerning Claim B, the plaintiff should be afforded time to amend its pleading</w:t>
      </w:r>
      <w:r w:rsidR="00400FEE">
        <w:rPr>
          <w:lang w:val="en-ZA"/>
        </w:rPr>
        <w:t xml:space="preserve"> and </w:t>
      </w:r>
      <w:r w:rsidR="00A41F37" w:rsidRPr="0082516A">
        <w:rPr>
          <w:lang w:val="en-ZA"/>
        </w:rPr>
        <w:t>not be penalised with costs.</w:t>
      </w:r>
    </w:p>
    <w:p w14:paraId="00ABEF9E" w14:textId="77777777" w:rsidR="00565A3D" w:rsidRPr="0082516A" w:rsidRDefault="00565A3D" w:rsidP="00565A3D">
      <w:pPr>
        <w:pStyle w:val="JUDGMENTCONTINUED"/>
        <w:rPr>
          <w:lang w:val="en-ZA"/>
        </w:rPr>
      </w:pPr>
    </w:p>
    <w:p w14:paraId="132923A4" w14:textId="77777777" w:rsidR="005A4978" w:rsidRPr="0082516A" w:rsidRDefault="005A4978" w:rsidP="005A4978">
      <w:pPr>
        <w:pStyle w:val="JUDGMENTCONTINUED"/>
        <w:rPr>
          <w:lang w:val="en-ZA"/>
        </w:rPr>
      </w:pPr>
    </w:p>
    <w:p w14:paraId="741DCC62" w14:textId="607EF6E1" w:rsidR="009F1B80" w:rsidRPr="0082516A" w:rsidRDefault="00412C5F" w:rsidP="00037256">
      <w:pPr>
        <w:pStyle w:val="JudgmentHeading"/>
      </w:pPr>
      <w:r w:rsidRPr="0082516A">
        <w:t>Overview</w:t>
      </w:r>
      <w:r w:rsidR="005A4978" w:rsidRPr="0082516A">
        <w:t xml:space="preserve"> of the </w:t>
      </w:r>
      <w:r w:rsidR="00E353F9" w:rsidRPr="0082516A">
        <w:t>f</w:t>
      </w:r>
      <w:r w:rsidR="00EF146B" w:rsidRPr="0082516A">
        <w:t>acts pleaded in the</w:t>
      </w:r>
      <w:r w:rsidR="005A4978" w:rsidRPr="0082516A">
        <w:t xml:space="preserve"> Particulars of Claim</w:t>
      </w:r>
    </w:p>
    <w:p w14:paraId="1A00985A" w14:textId="62B1DBC9" w:rsidR="00590419" w:rsidRPr="0082516A" w:rsidRDefault="006461D5" w:rsidP="006461D5">
      <w:pPr>
        <w:pStyle w:val="JUDGMENTNUMBERED"/>
        <w:numPr>
          <w:ilvl w:val="0"/>
          <w:numId w:val="0"/>
        </w:numPr>
        <w:ind w:left="709" w:hanging="709"/>
        <w:rPr>
          <w:lang w:val="en-ZA"/>
        </w:rPr>
      </w:pPr>
      <w:r w:rsidRPr="0082516A">
        <w:rPr>
          <w:rFonts w:cs="Arial"/>
          <w:color w:val="000000"/>
          <w:lang w:val="en-ZA"/>
        </w:rPr>
        <w:t>[11]</w:t>
      </w:r>
      <w:r w:rsidRPr="0082516A">
        <w:rPr>
          <w:rFonts w:cs="Arial"/>
          <w:color w:val="000000"/>
          <w:lang w:val="en-ZA"/>
        </w:rPr>
        <w:tab/>
      </w:r>
      <w:r w:rsidR="00644BE7" w:rsidRPr="0082516A">
        <w:rPr>
          <w:lang w:val="en-ZA"/>
        </w:rPr>
        <w:t>Under the heading</w:t>
      </w:r>
      <w:r w:rsidR="00827D97" w:rsidRPr="0082516A">
        <w:rPr>
          <w:lang w:val="en-ZA"/>
        </w:rPr>
        <w:t xml:space="preserve"> “</w:t>
      </w:r>
      <w:r w:rsidR="00827D97" w:rsidRPr="0082516A">
        <w:rPr>
          <w:b/>
          <w:bCs/>
          <w:i/>
          <w:iCs/>
          <w:lang w:val="en-ZA"/>
        </w:rPr>
        <w:t>CONDUCT</w:t>
      </w:r>
      <w:r w:rsidR="00827D97" w:rsidRPr="0082516A">
        <w:rPr>
          <w:lang w:val="en-ZA"/>
        </w:rPr>
        <w:t>”</w:t>
      </w:r>
      <w:r w:rsidR="00F1049D" w:rsidRPr="0082516A">
        <w:rPr>
          <w:lang w:val="en-ZA"/>
        </w:rPr>
        <w:t xml:space="preserve">, </w:t>
      </w:r>
      <w:r w:rsidR="009153AA" w:rsidRPr="0082516A">
        <w:rPr>
          <w:lang w:val="en-ZA"/>
        </w:rPr>
        <w:t>the plaintiff pleads that</w:t>
      </w:r>
      <w:r w:rsidR="003B7D8F" w:rsidRPr="0082516A">
        <w:rPr>
          <w:lang w:val="en-ZA"/>
        </w:rPr>
        <w:t xml:space="preserve">: </w:t>
      </w:r>
      <w:r w:rsidR="001E63A7" w:rsidRPr="0082516A">
        <w:rPr>
          <w:lang w:val="en-ZA"/>
        </w:rPr>
        <w:t>[</w:t>
      </w:r>
      <w:r w:rsidR="006F677A" w:rsidRPr="0082516A">
        <w:rPr>
          <w:rStyle w:val="FootnoteReference"/>
          <w:lang w:val="en-ZA"/>
        </w:rPr>
        <w:footnoteReference w:id="1"/>
      </w:r>
      <w:r w:rsidR="001E63A7" w:rsidRPr="0082516A">
        <w:rPr>
          <w:lang w:val="en-ZA"/>
        </w:rPr>
        <w:t>]</w:t>
      </w:r>
    </w:p>
    <w:p w14:paraId="39EA6EA9" w14:textId="71A41E96" w:rsidR="00D30696" w:rsidRPr="0082516A" w:rsidRDefault="009153AA" w:rsidP="00583D9A">
      <w:pPr>
        <w:pStyle w:val="JUDGMENTCONTINUED"/>
        <w:spacing w:line="240" w:lineRule="auto"/>
        <w:ind w:left="2160" w:hanging="720"/>
        <w:rPr>
          <w:i/>
          <w:iCs/>
          <w:lang w:val="en-ZA"/>
        </w:rPr>
      </w:pPr>
      <w:r w:rsidRPr="0082516A">
        <w:rPr>
          <w:lang w:val="en-ZA"/>
        </w:rPr>
        <w:t>“</w:t>
      </w:r>
      <w:r w:rsidR="00D30696" w:rsidRPr="0082516A">
        <w:rPr>
          <w:bCs/>
          <w:i/>
          <w:iCs/>
          <w:u w:val="single"/>
          <w:lang w:val="en-ZA"/>
        </w:rPr>
        <w:t>Jobs for Sex and Rape</w:t>
      </w:r>
    </w:p>
    <w:p w14:paraId="557DDE31" w14:textId="6A9FA096" w:rsidR="009153AA" w:rsidRPr="0082516A" w:rsidRDefault="00CD5E01" w:rsidP="00583D9A">
      <w:pPr>
        <w:pStyle w:val="JUDGMENTCONTINUED"/>
        <w:spacing w:line="240" w:lineRule="auto"/>
        <w:ind w:left="2160" w:hanging="720"/>
        <w:rPr>
          <w:i/>
          <w:iCs/>
          <w:lang w:val="en-ZA"/>
        </w:rPr>
      </w:pPr>
      <w:r w:rsidRPr="0082516A">
        <w:rPr>
          <w:i/>
          <w:iCs/>
          <w:lang w:val="en-ZA"/>
        </w:rPr>
        <w:t>4.</w:t>
      </w:r>
      <w:r w:rsidRPr="0082516A">
        <w:rPr>
          <w:i/>
          <w:iCs/>
          <w:lang w:val="en-ZA"/>
        </w:rPr>
        <w:tab/>
        <w:t>In December 2018 and February 2019</w:t>
      </w:r>
      <w:r w:rsidR="00FB0B3D" w:rsidRPr="0082516A">
        <w:rPr>
          <w:i/>
          <w:iCs/>
          <w:lang w:val="en-ZA"/>
        </w:rPr>
        <w:t>, the defendant</w:t>
      </w:r>
      <w:r w:rsidR="00192D22" w:rsidRPr="0082516A">
        <w:rPr>
          <w:i/>
          <w:iCs/>
          <w:lang w:val="en-ZA"/>
        </w:rPr>
        <w:t xml:space="preserve"> [</w:t>
      </w:r>
      <w:r w:rsidR="00842B6E" w:rsidRPr="0082516A">
        <w:rPr>
          <w:i/>
          <w:iCs/>
          <w:lang w:val="en-ZA"/>
        </w:rPr>
        <w:t>through its employee</w:t>
      </w:r>
      <w:r w:rsidR="00AB0CE3" w:rsidRPr="0082516A">
        <w:rPr>
          <w:i/>
          <w:iCs/>
          <w:lang w:val="en-ZA"/>
        </w:rPr>
        <w:t xml:space="preserve"> [RI]</w:t>
      </w:r>
      <w:r w:rsidR="00842B6E" w:rsidRPr="0082516A">
        <w:rPr>
          <w:i/>
          <w:iCs/>
          <w:lang w:val="en-ZA"/>
        </w:rPr>
        <w:t xml:space="preserve"> acting in the course and scope of her employment or as an agent of the defendant]</w:t>
      </w:r>
      <w:r w:rsidR="009C4DB8" w:rsidRPr="0082516A">
        <w:rPr>
          <w:i/>
          <w:iCs/>
          <w:lang w:val="en-ZA"/>
        </w:rPr>
        <w:t xml:space="preserve"> presented [MM]</w:t>
      </w:r>
      <w:r w:rsidR="00F24576" w:rsidRPr="0082516A">
        <w:rPr>
          <w:i/>
          <w:iCs/>
          <w:lang w:val="en-ZA"/>
        </w:rPr>
        <w:t xml:space="preserve">…and [LM] with </w:t>
      </w:r>
      <w:r w:rsidR="00972B22" w:rsidRPr="0082516A">
        <w:rPr>
          <w:i/>
          <w:iCs/>
          <w:lang w:val="en-ZA"/>
        </w:rPr>
        <w:t>… charge sheets, inter alia</w:t>
      </w:r>
      <w:r w:rsidR="00A77D6D" w:rsidRPr="0082516A">
        <w:rPr>
          <w:i/>
          <w:iCs/>
          <w:lang w:val="en-ZA"/>
        </w:rPr>
        <w:t xml:space="preserve"> [for]</w:t>
      </w:r>
      <w:r w:rsidR="0064349B" w:rsidRPr="0082516A">
        <w:rPr>
          <w:i/>
          <w:iCs/>
          <w:lang w:val="en-ZA"/>
        </w:rPr>
        <w:t>:</w:t>
      </w:r>
    </w:p>
    <w:p w14:paraId="0B579558" w14:textId="3D3CACD4" w:rsidR="0064349B" w:rsidRPr="0082516A" w:rsidRDefault="0064349B" w:rsidP="00583D9A">
      <w:pPr>
        <w:pStyle w:val="JUDGMENTNUMBERED"/>
        <w:numPr>
          <w:ilvl w:val="0"/>
          <w:numId w:val="0"/>
        </w:numPr>
        <w:spacing w:line="240" w:lineRule="auto"/>
        <w:ind w:left="709"/>
        <w:rPr>
          <w:i/>
          <w:iCs/>
          <w:lang w:val="en-ZA"/>
        </w:rPr>
      </w:pPr>
      <w:r w:rsidRPr="0082516A">
        <w:rPr>
          <w:i/>
          <w:iCs/>
          <w:lang w:val="en-ZA"/>
        </w:rPr>
        <w:tab/>
      </w:r>
      <w:r w:rsidRPr="0082516A">
        <w:rPr>
          <w:i/>
          <w:iCs/>
          <w:lang w:val="en-ZA"/>
        </w:rPr>
        <w:tab/>
      </w:r>
      <w:r w:rsidRPr="0082516A">
        <w:rPr>
          <w:i/>
          <w:iCs/>
          <w:lang w:val="en-ZA"/>
        </w:rPr>
        <w:tab/>
        <w:t>4.1</w:t>
      </w:r>
      <w:r w:rsidR="00D72015" w:rsidRPr="0082516A">
        <w:rPr>
          <w:i/>
          <w:iCs/>
          <w:lang w:val="en-ZA"/>
        </w:rPr>
        <w:t>.</w:t>
      </w:r>
      <w:r w:rsidRPr="0082516A">
        <w:rPr>
          <w:i/>
          <w:iCs/>
          <w:lang w:val="en-ZA"/>
        </w:rPr>
        <w:tab/>
      </w:r>
      <w:r w:rsidR="00664B5C" w:rsidRPr="0082516A">
        <w:rPr>
          <w:i/>
          <w:iCs/>
          <w:lang w:val="en-ZA"/>
        </w:rPr>
        <w:t>sexually harassing the plaintiff;</w:t>
      </w:r>
    </w:p>
    <w:p w14:paraId="1C363F28" w14:textId="33B1BD6C" w:rsidR="00664B5C" w:rsidRPr="0082516A" w:rsidRDefault="00664B5C" w:rsidP="00583D9A">
      <w:pPr>
        <w:pStyle w:val="JUDGMENTCONTINUED"/>
        <w:spacing w:line="240" w:lineRule="auto"/>
        <w:rPr>
          <w:i/>
          <w:iCs/>
          <w:lang w:val="en-ZA"/>
        </w:rPr>
      </w:pPr>
      <w:r w:rsidRPr="0082516A">
        <w:rPr>
          <w:i/>
          <w:iCs/>
          <w:lang w:val="en-ZA"/>
        </w:rPr>
        <w:tab/>
      </w:r>
      <w:r w:rsidRPr="0082516A">
        <w:rPr>
          <w:i/>
          <w:iCs/>
          <w:lang w:val="en-ZA"/>
        </w:rPr>
        <w:tab/>
      </w:r>
      <w:r w:rsidRPr="0082516A">
        <w:rPr>
          <w:i/>
          <w:iCs/>
          <w:lang w:val="en-ZA"/>
        </w:rPr>
        <w:tab/>
        <w:t>…</w:t>
      </w:r>
    </w:p>
    <w:p w14:paraId="12C999F4" w14:textId="6E68F4A5" w:rsidR="00664B5C" w:rsidRPr="0082516A" w:rsidRDefault="00D72015" w:rsidP="00583D9A">
      <w:pPr>
        <w:pStyle w:val="JUDGMENTNUMBERED"/>
        <w:numPr>
          <w:ilvl w:val="0"/>
          <w:numId w:val="0"/>
        </w:numPr>
        <w:spacing w:line="240" w:lineRule="auto"/>
        <w:ind w:left="2880" w:hanging="720"/>
        <w:rPr>
          <w:i/>
          <w:iCs/>
          <w:lang w:val="en-ZA"/>
        </w:rPr>
      </w:pPr>
      <w:r w:rsidRPr="0082516A">
        <w:rPr>
          <w:i/>
          <w:iCs/>
          <w:lang w:val="en-ZA"/>
        </w:rPr>
        <w:t>4.5</w:t>
      </w:r>
      <w:r w:rsidR="00A13741" w:rsidRPr="0082516A">
        <w:rPr>
          <w:i/>
          <w:iCs/>
          <w:lang w:val="en-ZA"/>
        </w:rPr>
        <w:tab/>
        <w:t>sexual favours pertaining to the secondment of the plaintiff to the Strategic Support Department;</w:t>
      </w:r>
    </w:p>
    <w:p w14:paraId="2C6ED725" w14:textId="57E7CE69" w:rsidR="00D414A0" w:rsidRPr="0082516A" w:rsidRDefault="00D414A0" w:rsidP="00583D9A">
      <w:pPr>
        <w:pStyle w:val="JUDGMENTCONTINUED"/>
        <w:spacing w:line="240" w:lineRule="auto"/>
        <w:rPr>
          <w:i/>
          <w:iCs/>
          <w:lang w:val="en-ZA"/>
        </w:rPr>
      </w:pPr>
      <w:r w:rsidRPr="0082516A">
        <w:rPr>
          <w:i/>
          <w:iCs/>
          <w:lang w:val="en-ZA"/>
        </w:rPr>
        <w:tab/>
      </w:r>
      <w:r w:rsidRPr="0082516A">
        <w:rPr>
          <w:i/>
          <w:iCs/>
          <w:lang w:val="en-ZA"/>
        </w:rPr>
        <w:tab/>
      </w:r>
      <w:r w:rsidRPr="0082516A">
        <w:rPr>
          <w:i/>
          <w:iCs/>
          <w:lang w:val="en-ZA"/>
        </w:rPr>
        <w:tab/>
        <w:t>4.6</w:t>
      </w:r>
      <w:r w:rsidRPr="0082516A">
        <w:rPr>
          <w:i/>
          <w:iCs/>
          <w:lang w:val="en-ZA"/>
        </w:rPr>
        <w:tab/>
        <w:t>gang raping the plaintiff;</w:t>
      </w:r>
    </w:p>
    <w:p w14:paraId="5A8A0ECD" w14:textId="13AB9C53" w:rsidR="00D414A0" w:rsidRPr="0082516A" w:rsidRDefault="00D414A0" w:rsidP="00583D9A">
      <w:pPr>
        <w:pStyle w:val="JUDGMENTNUMBERED"/>
        <w:numPr>
          <w:ilvl w:val="0"/>
          <w:numId w:val="0"/>
        </w:numPr>
        <w:spacing w:line="240" w:lineRule="auto"/>
        <w:ind w:left="709"/>
        <w:rPr>
          <w:i/>
          <w:iCs/>
          <w:lang w:val="en-ZA"/>
        </w:rPr>
      </w:pPr>
      <w:r w:rsidRPr="0082516A">
        <w:rPr>
          <w:i/>
          <w:iCs/>
          <w:lang w:val="en-ZA"/>
        </w:rPr>
        <w:tab/>
      </w:r>
      <w:r w:rsidRPr="0082516A">
        <w:rPr>
          <w:i/>
          <w:iCs/>
          <w:lang w:val="en-ZA"/>
        </w:rPr>
        <w:tab/>
      </w:r>
      <w:r w:rsidRPr="0082516A">
        <w:rPr>
          <w:i/>
          <w:iCs/>
          <w:lang w:val="en-ZA"/>
        </w:rPr>
        <w:tab/>
        <w:t>…</w:t>
      </w:r>
    </w:p>
    <w:p w14:paraId="15586178" w14:textId="3A540313" w:rsidR="00D414A0" w:rsidRPr="0082516A" w:rsidRDefault="00D414A0" w:rsidP="00583D9A">
      <w:pPr>
        <w:pStyle w:val="JUDGMENTNUMBERED"/>
        <w:numPr>
          <w:ilvl w:val="0"/>
          <w:numId w:val="0"/>
        </w:numPr>
        <w:spacing w:line="240" w:lineRule="auto"/>
        <w:ind w:left="2880" w:hanging="720"/>
        <w:rPr>
          <w:i/>
          <w:iCs/>
          <w:lang w:val="en-ZA"/>
        </w:rPr>
      </w:pPr>
      <w:r w:rsidRPr="0082516A">
        <w:rPr>
          <w:i/>
          <w:iCs/>
          <w:lang w:val="en-ZA"/>
        </w:rPr>
        <w:t>4.8</w:t>
      </w:r>
      <w:r w:rsidR="005E7F1F" w:rsidRPr="0082516A">
        <w:rPr>
          <w:i/>
          <w:iCs/>
          <w:lang w:val="en-ZA"/>
        </w:rPr>
        <w:tab/>
        <w:t xml:space="preserve">…bringing the good name </w:t>
      </w:r>
      <w:r w:rsidR="007126B0" w:rsidRPr="0082516A">
        <w:rPr>
          <w:i/>
          <w:iCs/>
          <w:lang w:val="en-ZA"/>
        </w:rPr>
        <w:t xml:space="preserve">of the employer </w:t>
      </w:r>
      <w:r w:rsidR="004402F5" w:rsidRPr="0082516A">
        <w:rPr>
          <w:i/>
          <w:iCs/>
          <w:lang w:val="en-ZA"/>
        </w:rPr>
        <w:t>[</w:t>
      </w:r>
      <w:r w:rsidR="007126B0" w:rsidRPr="0082516A">
        <w:rPr>
          <w:i/>
          <w:iCs/>
          <w:lang w:val="en-ZA"/>
        </w:rPr>
        <w:t>the defendant</w:t>
      </w:r>
      <w:r w:rsidR="004402F5" w:rsidRPr="0082516A">
        <w:rPr>
          <w:i/>
          <w:iCs/>
          <w:lang w:val="en-ZA"/>
        </w:rPr>
        <w:t>]</w:t>
      </w:r>
      <w:r w:rsidR="007126B0" w:rsidRPr="0082516A">
        <w:rPr>
          <w:i/>
          <w:iCs/>
          <w:lang w:val="en-ZA"/>
        </w:rPr>
        <w:t xml:space="preserve"> into disrepute in that in the assembly party held in September 2017, [LM] was identified as one of the m</w:t>
      </w:r>
      <w:r w:rsidR="00FE4B3E" w:rsidRPr="0082516A">
        <w:rPr>
          <w:i/>
          <w:iCs/>
          <w:lang w:val="en-ZA"/>
        </w:rPr>
        <w:t>e</w:t>
      </w:r>
      <w:r w:rsidR="007126B0" w:rsidRPr="0082516A">
        <w:rPr>
          <w:i/>
          <w:iCs/>
          <w:lang w:val="en-ZA"/>
        </w:rPr>
        <w:t>n</w:t>
      </w:r>
      <w:r w:rsidR="002F4D5B" w:rsidRPr="0082516A">
        <w:rPr>
          <w:i/>
          <w:iCs/>
          <w:lang w:val="en-ZA"/>
        </w:rPr>
        <w:t xml:space="preserve"> who took “advantage” of </w:t>
      </w:r>
      <w:r w:rsidR="004402F5" w:rsidRPr="0082516A">
        <w:rPr>
          <w:i/>
          <w:iCs/>
          <w:lang w:val="en-ZA"/>
        </w:rPr>
        <w:t>[</w:t>
      </w:r>
      <w:r w:rsidR="002F4D5B" w:rsidRPr="0082516A">
        <w:rPr>
          <w:i/>
          <w:iCs/>
          <w:lang w:val="en-ZA"/>
        </w:rPr>
        <w:t>the plaintiff</w:t>
      </w:r>
      <w:r w:rsidR="004402F5" w:rsidRPr="0082516A">
        <w:rPr>
          <w:i/>
          <w:iCs/>
          <w:lang w:val="en-ZA"/>
        </w:rPr>
        <w:t>]</w:t>
      </w:r>
      <w:r w:rsidR="00714EB9" w:rsidRPr="0082516A">
        <w:rPr>
          <w:i/>
          <w:iCs/>
          <w:lang w:val="en-ZA"/>
        </w:rPr>
        <w:t xml:space="preserve"> who appeared extremely intoxicated</w:t>
      </w:r>
      <w:r w:rsidR="001E1038" w:rsidRPr="0082516A">
        <w:rPr>
          <w:i/>
          <w:iCs/>
          <w:lang w:val="en-ZA"/>
        </w:rPr>
        <w:t xml:space="preserve"> as he is alleged to have been seen in sexual acts with </w:t>
      </w:r>
      <w:r w:rsidR="00D15A6F" w:rsidRPr="0082516A">
        <w:rPr>
          <w:i/>
          <w:iCs/>
          <w:lang w:val="en-ZA"/>
        </w:rPr>
        <w:t>[</w:t>
      </w:r>
      <w:r w:rsidR="001E1038" w:rsidRPr="0082516A">
        <w:rPr>
          <w:i/>
          <w:iCs/>
          <w:lang w:val="en-ZA"/>
        </w:rPr>
        <w:t>the plaintiff</w:t>
      </w:r>
      <w:r w:rsidR="00D15A6F" w:rsidRPr="0082516A">
        <w:rPr>
          <w:i/>
          <w:iCs/>
          <w:lang w:val="en-ZA"/>
        </w:rPr>
        <w:t>]</w:t>
      </w:r>
      <w:r w:rsidR="001E1038" w:rsidRPr="0082516A">
        <w:rPr>
          <w:i/>
          <w:iCs/>
          <w:lang w:val="en-ZA"/>
        </w:rPr>
        <w:t xml:space="preserve"> in full view of others passing by, as the doors and windows were left open and the lights on….</w:t>
      </w:r>
    </w:p>
    <w:p w14:paraId="54C0E0D2" w14:textId="77777777" w:rsidR="00D15A6F" w:rsidRPr="0082516A" w:rsidRDefault="00D15A6F" w:rsidP="00D15A6F">
      <w:pPr>
        <w:pStyle w:val="JUDGMENTCONTINUED"/>
        <w:rPr>
          <w:lang w:val="en-ZA"/>
        </w:rPr>
      </w:pPr>
    </w:p>
    <w:p w14:paraId="13528B6A" w14:textId="64CC163D" w:rsidR="00A90047" w:rsidRPr="0082516A" w:rsidRDefault="001127B3" w:rsidP="00583D9A">
      <w:pPr>
        <w:pStyle w:val="JUDGMENTCONTINUED"/>
        <w:spacing w:line="240" w:lineRule="auto"/>
        <w:rPr>
          <w:i/>
          <w:iCs/>
          <w:lang w:val="en-ZA"/>
        </w:rPr>
      </w:pPr>
      <w:r w:rsidRPr="0082516A">
        <w:rPr>
          <w:i/>
          <w:iCs/>
          <w:lang w:val="en-ZA"/>
        </w:rPr>
        <w:tab/>
      </w:r>
      <w:r w:rsidRPr="0082516A">
        <w:rPr>
          <w:i/>
          <w:iCs/>
          <w:lang w:val="en-ZA"/>
        </w:rPr>
        <w:tab/>
      </w:r>
      <w:r w:rsidRPr="0082516A">
        <w:rPr>
          <w:i/>
          <w:iCs/>
          <w:u w:val="single"/>
          <w:lang w:val="en-ZA"/>
        </w:rPr>
        <w:t>Board Meeting:</w:t>
      </w:r>
    </w:p>
    <w:p w14:paraId="2F70A545" w14:textId="3AECFA6F" w:rsidR="00A14A4D" w:rsidRPr="0082516A" w:rsidRDefault="00A14A4D" w:rsidP="00583D9A">
      <w:pPr>
        <w:pStyle w:val="JUDGMENTNUMBERED"/>
        <w:numPr>
          <w:ilvl w:val="0"/>
          <w:numId w:val="0"/>
        </w:numPr>
        <w:spacing w:line="240" w:lineRule="auto"/>
        <w:ind w:left="2127" w:hanging="709"/>
        <w:rPr>
          <w:i/>
          <w:iCs/>
          <w:lang w:val="en-ZA"/>
        </w:rPr>
      </w:pPr>
      <w:r w:rsidRPr="0082516A">
        <w:rPr>
          <w:i/>
          <w:iCs/>
          <w:lang w:val="en-ZA"/>
        </w:rPr>
        <w:t>5.</w:t>
      </w:r>
      <w:r w:rsidR="00A702D2" w:rsidRPr="0082516A">
        <w:rPr>
          <w:i/>
          <w:iCs/>
          <w:lang w:val="en-ZA"/>
        </w:rPr>
        <w:tab/>
      </w:r>
      <w:r w:rsidR="000A0955" w:rsidRPr="0082516A">
        <w:rPr>
          <w:i/>
          <w:iCs/>
          <w:lang w:val="en-ZA"/>
        </w:rPr>
        <w:t xml:space="preserve">On or about 23 October </w:t>
      </w:r>
      <w:r w:rsidR="00A079B5" w:rsidRPr="0082516A">
        <w:rPr>
          <w:i/>
          <w:iCs/>
          <w:lang w:val="en-ZA"/>
        </w:rPr>
        <w:t>2018…the defendant</w:t>
      </w:r>
      <w:r w:rsidR="008032BF" w:rsidRPr="0082516A">
        <w:rPr>
          <w:i/>
          <w:iCs/>
          <w:lang w:val="en-ZA"/>
        </w:rPr>
        <w:t xml:space="preserve"> [through its employee</w:t>
      </w:r>
      <w:r w:rsidR="00AB0CE3" w:rsidRPr="0082516A">
        <w:rPr>
          <w:i/>
          <w:iCs/>
          <w:lang w:val="en-ZA"/>
        </w:rPr>
        <w:t xml:space="preserve"> [RI]</w:t>
      </w:r>
      <w:r w:rsidR="008032BF" w:rsidRPr="0082516A">
        <w:rPr>
          <w:i/>
          <w:iCs/>
          <w:lang w:val="en-ZA"/>
        </w:rPr>
        <w:t xml:space="preserve"> acting in the course and scope of her employment </w:t>
      </w:r>
      <w:r w:rsidR="008032BF" w:rsidRPr="0082516A">
        <w:rPr>
          <w:i/>
          <w:iCs/>
          <w:lang w:val="en-ZA"/>
        </w:rPr>
        <w:lastRenderedPageBreak/>
        <w:t>or as an agent of the defendant]</w:t>
      </w:r>
      <w:r w:rsidR="00A079B5" w:rsidRPr="0082516A">
        <w:rPr>
          <w:i/>
          <w:iCs/>
          <w:lang w:val="en-ZA"/>
        </w:rPr>
        <w:t>…reported to the Board</w:t>
      </w:r>
      <w:r w:rsidR="00A702D2" w:rsidRPr="0082516A">
        <w:rPr>
          <w:i/>
          <w:iCs/>
          <w:lang w:val="en-ZA"/>
        </w:rPr>
        <w:t xml:space="preserve"> of Directors</w:t>
      </w:r>
      <w:r w:rsidR="00D91274" w:rsidRPr="0082516A">
        <w:rPr>
          <w:i/>
          <w:iCs/>
          <w:lang w:val="en-ZA"/>
        </w:rPr>
        <w:t xml:space="preserve"> of the … defendant, </w:t>
      </w:r>
      <w:r w:rsidR="00D91274" w:rsidRPr="0082516A">
        <w:rPr>
          <w:lang w:val="en-ZA"/>
        </w:rPr>
        <w:t>inter alia</w:t>
      </w:r>
      <w:r w:rsidR="00EF64AA" w:rsidRPr="0082516A">
        <w:rPr>
          <w:lang w:val="en-ZA"/>
        </w:rPr>
        <w:t xml:space="preserve"> </w:t>
      </w:r>
      <w:r w:rsidR="00EF64AA" w:rsidRPr="0082516A">
        <w:rPr>
          <w:i/>
          <w:iCs/>
          <w:lang w:val="en-ZA"/>
        </w:rPr>
        <w:t>[that]</w:t>
      </w:r>
      <w:r w:rsidR="00D91274" w:rsidRPr="0082516A">
        <w:rPr>
          <w:i/>
          <w:iCs/>
          <w:lang w:val="en-ZA"/>
        </w:rPr>
        <w:t>:</w:t>
      </w:r>
    </w:p>
    <w:p w14:paraId="30203724" w14:textId="442317E4" w:rsidR="00D91274" w:rsidRPr="0082516A" w:rsidRDefault="00D91274" w:rsidP="00583D9A">
      <w:pPr>
        <w:pStyle w:val="JUDGMENTCONTINUED"/>
        <w:spacing w:line="240" w:lineRule="auto"/>
        <w:ind w:left="2127"/>
        <w:rPr>
          <w:i/>
          <w:iCs/>
          <w:lang w:val="en-ZA"/>
        </w:rPr>
      </w:pPr>
      <w:r w:rsidRPr="0082516A">
        <w:rPr>
          <w:i/>
          <w:iCs/>
          <w:lang w:val="en-ZA"/>
        </w:rPr>
        <w:t>5.1</w:t>
      </w:r>
      <w:r w:rsidRPr="0082516A">
        <w:rPr>
          <w:i/>
          <w:iCs/>
          <w:lang w:val="en-ZA"/>
        </w:rPr>
        <w:tab/>
      </w:r>
      <w:r w:rsidR="00610269" w:rsidRPr="0082516A">
        <w:rPr>
          <w:i/>
          <w:iCs/>
          <w:lang w:val="en-ZA"/>
        </w:rPr>
        <w:t>the plaintiff had been sexually harassed;</w:t>
      </w:r>
    </w:p>
    <w:p w14:paraId="3E8F3061" w14:textId="6448825F" w:rsidR="00610269" w:rsidRPr="0082516A" w:rsidRDefault="00610269" w:rsidP="00583D9A">
      <w:pPr>
        <w:pStyle w:val="JUDGMENTNUMBERED"/>
        <w:numPr>
          <w:ilvl w:val="0"/>
          <w:numId w:val="0"/>
        </w:numPr>
        <w:spacing w:line="240" w:lineRule="auto"/>
        <w:ind w:left="2880" w:hanging="753"/>
        <w:rPr>
          <w:i/>
          <w:iCs/>
          <w:lang w:val="en-ZA"/>
        </w:rPr>
      </w:pPr>
      <w:r w:rsidRPr="0082516A">
        <w:rPr>
          <w:i/>
          <w:iCs/>
          <w:lang w:val="en-ZA"/>
        </w:rPr>
        <w:t>5.2</w:t>
      </w:r>
      <w:r w:rsidRPr="0082516A">
        <w:rPr>
          <w:i/>
          <w:iCs/>
          <w:lang w:val="en-ZA"/>
        </w:rPr>
        <w:tab/>
        <w:t>the plaintiff had sexual intercourse</w:t>
      </w:r>
      <w:r w:rsidR="00CC51AE" w:rsidRPr="0082516A">
        <w:rPr>
          <w:i/>
          <w:iCs/>
          <w:lang w:val="en-ZA"/>
        </w:rPr>
        <w:t xml:space="preserve"> with senior executives employed by the defendant in return for job promotion;</w:t>
      </w:r>
    </w:p>
    <w:p w14:paraId="6A2CD0D5" w14:textId="77777777" w:rsidR="00290A95" w:rsidRPr="0082516A" w:rsidRDefault="00A121F4" w:rsidP="00583D9A">
      <w:pPr>
        <w:pStyle w:val="JUDGMENTCONTINUED"/>
        <w:spacing w:line="240" w:lineRule="auto"/>
        <w:ind w:left="2880" w:hanging="720"/>
        <w:rPr>
          <w:i/>
          <w:iCs/>
          <w:lang w:val="en-ZA"/>
        </w:rPr>
      </w:pPr>
      <w:r w:rsidRPr="0082516A">
        <w:rPr>
          <w:i/>
          <w:iCs/>
          <w:lang w:val="en-ZA"/>
        </w:rPr>
        <w:t>5.3</w:t>
      </w:r>
      <w:r w:rsidRPr="0082516A">
        <w:rPr>
          <w:i/>
          <w:iCs/>
          <w:lang w:val="en-ZA"/>
        </w:rPr>
        <w:tab/>
        <w:t>the plaintiff would not admit that she was either gang raped; or</w:t>
      </w:r>
      <w:r w:rsidR="00290A95" w:rsidRPr="0082516A">
        <w:rPr>
          <w:i/>
          <w:iCs/>
          <w:lang w:val="en-ZA"/>
        </w:rPr>
        <w:t xml:space="preserve"> </w:t>
      </w:r>
    </w:p>
    <w:p w14:paraId="67327697" w14:textId="6983374F" w:rsidR="00A121F4" w:rsidRPr="0082516A" w:rsidRDefault="00290A95" w:rsidP="00583D9A">
      <w:pPr>
        <w:pStyle w:val="JUDGMENTCONTINUED"/>
        <w:spacing w:line="240" w:lineRule="auto"/>
        <w:ind w:left="2880" w:hanging="720"/>
        <w:rPr>
          <w:lang w:val="en-ZA"/>
        </w:rPr>
      </w:pPr>
      <w:r w:rsidRPr="0082516A">
        <w:rPr>
          <w:i/>
          <w:iCs/>
          <w:lang w:val="en-ZA"/>
        </w:rPr>
        <w:t xml:space="preserve">5.4 </w:t>
      </w:r>
      <w:r w:rsidRPr="0082516A">
        <w:rPr>
          <w:i/>
          <w:iCs/>
          <w:lang w:val="en-ZA"/>
        </w:rPr>
        <w:tab/>
      </w:r>
      <w:r w:rsidR="00577FF0" w:rsidRPr="0082516A">
        <w:rPr>
          <w:i/>
          <w:iCs/>
          <w:lang w:val="en-ZA"/>
        </w:rPr>
        <w:t>s</w:t>
      </w:r>
      <w:r w:rsidRPr="0082516A">
        <w:rPr>
          <w:i/>
          <w:iCs/>
          <w:lang w:val="en-ZA"/>
        </w:rPr>
        <w:t>exually harassed.</w:t>
      </w:r>
      <w:r w:rsidRPr="0082516A">
        <w:rPr>
          <w:lang w:val="en-ZA"/>
        </w:rPr>
        <w:t>”</w:t>
      </w:r>
      <w:r w:rsidR="0089284C" w:rsidRPr="0082516A">
        <w:rPr>
          <w:lang w:val="en-ZA"/>
        </w:rPr>
        <w:t xml:space="preserve"> </w:t>
      </w:r>
      <w:r w:rsidR="00D66B06" w:rsidRPr="0082516A">
        <w:rPr>
          <w:lang w:val="en-ZA"/>
        </w:rPr>
        <w:t>[</w:t>
      </w:r>
      <w:r w:rsidR="003F3EFA" w:rsidRPr="0082516A">
        <w:rPr>
          <w:rStyle w:val="FootnoteReference"/>
          <w:lang w:val="en-ZA"/>
        </w:rPr>
        <w:footnoteReference w:id="2"/>
      </w:r>
      <w:r w:rsidR="00D66B06" w:rsidRPr="0082516A">
        <w:rPr>
          <w:lang w:val="en-ZA"/>
        </w:rPr>
        <w:t>]</w:t>
      </w:r>
    </w:p>
    <w:p w14:paraId="402902BC" w14:textId="1BACC3B1" w:rsidR="00B85C2F" w:rsidRPr="0082516A" w:rsidRDefault="00B85C2F" w:rsidP="00B85C2F">
      <w:r w:rsidRPr="0082516A">
        <w:tab/>
      </w:r>
      <w:r w:rsidRPr="0082516A">
        <w:tab/>
      </w:r>
      <w:r w:rsidR="004058C5" w:rsidRPr="0082516A">
        <w:t>(hereinafter referred to as the “Conduct”)</w:t>
      </w:r>
    </w:p>
    <w:p w14:paraId="1AA946EF" w14:textId="7ADBF0CD" w:rsidR="00364AFA" w:rsidRPr="0082516A" w:rsidRDefault="006461D5" w:rsidP="006461D5">
      <w:pPr>
        <w:pStyle w:val="JUDGMENTNUMBERED"/>
        <w:numPr>
          <w:ilvl w:val="0"/>
          <w:numId w:val="0"/>
        </w:numPr>
        <w:ind w:left="709" w:hanging="709"/>
        <w:rPr>
          <w:lang w:val="en-ZA"/>
        </w:rPr>
      </w:pPr>
      <w:r w:rsidRPr="0082516A">
        <w:rPr>
          <w:rFonts w:cs="Arial"/>
          <w:color w:val="000000"/>
          <w:lang w:val="en-ZA"/>
        </w:rPr>
        <w:t>[12]</w:t>
      </w:r>
      <w:r w:rsidRPr="0082516A">
        <w:rPr>
          <w:rFonts w:cs="Arial"/>
          <w:color w:val="000000"/>
          <w:lang w:val="en-ZA"/>
        </w:rPr>
        <w:tab/>
      </w:r>
      <w:r w:rsidR="0007236B" w:rsidRPr="0082516A">
        <w:rPr>
          <w:lang w:val="en-ZA"/>
        </w:rPr>
        <w:t>Under the heading “</w:t>
      </w:r>
      <w:r w:rsidR="007313D8" w:rsidRPr="0082516A">
        <w:rPr>
          <w:b/>
          <w:bCs/>
          <w:lang w:val="en-ZA"/>
        </w:rPr>
        <w:t>CONSEQUENCES</w:t>
      </w:r>
      <w:r w:rsidR="007313D8" w:rsidRPr="0082516A">
        <w:rPr>
          <w:lang w:val="en-ZA"/>
        </w:rPr>
        <w:t xml:space="preserve">”, </w:t>
      </w:r>
      <w:r w:rsidR="00643471" w:rsidRPr="0082516A">
        <w:rPr>
          <w:lang w:val="en-ZA"/>
        </w:rPr>
        <w:t xml:space="preserve">the </w:t>
      </w:r>
      <w:r w:rsidR="00BA09EB" w:rsidRPr="0082516A">
        <w:rPr>
          <w:lang w:val="en-ZA"/>
        </w:rPr>
        <w:t>plaintiff pleads the following:</w:t>
      </w:r>
    </w:p>
    <w:p w14:paraId="0A6243BF" w14:textId="3D00D1FE" w:rsidR="00BA09EB" w:rsidRPr="0082516A" w:rsidRDefault="00BA09EB" w:rsidP="001A2B44">
      <w:pPr>
        <w:pStyle w:val="JUDGMENTCONTINUED"/>
        <w:spacing w:line="240" w:lineRule="auto"/>
        <w:ind w:left="2160" w:hanging="720"/>
        <w:rPr>
          <w:i/>
          <w:iCs/>
          <w:lang w:val="en-ZA"/>
        </w:rPr>
      </w:pPr>
      <w:r w:rsidRPr="0082516A">
        <w:rPr>
          <w:lang w:val="en-ZA"/>
        </w:rPr>
        <w:t>“</w:t>
      </w:r>
      <w:r w:rsidR="005D41BC" w:rsidRPr="0082516A">
        <w:rPr>
          <w:i/>
          <w:iCs/>
          <w:lang w:val="en-ZA"/>
        </w:rPr>
        <w:t>11.</w:t>
      </w:r>
      <w:r w:rsidR="005D41BC" w:rsidRPr="0082516A">
        <w:rPr>
          <w:i/>
          <w:iCs/>
          <w:lang w:val="en-ZA"/>
        </w:rPr>
        <w:tab/>
      </w:r>
      <w:r w:rsidRPr="0082516A">
        <w:rPr>
          <w:i/>
          <w:iCs/>
          <w:lang w:val="en-ZA"/>
        </w:rPr>
        <w:t>As a result of the aforesaid conduct of the defendant and its employee mentioned above</w:t>
      </w:r>
      <w:r w:rsidR="005D41BC" w:rsidRPr="0082516A">
        <w:rPr>
          <w:i/>
          <w:iCs/>
          <w:lang w:val="en-ZA"/>
        </w:rPr>
        <w:t xml:space="preserve"> in paragraphs 4 to 5.4, the plaintiff:</w:t>
      </w:r>
    </w:p>
    <w:p w14:paraId="78577B0F" w14:textId="5FDB5FAE" w:rsidR="005D41BC" w:rsidRPr="0082516A" w:rsidRDefault="005D41BC" w:rsidP="001A2B44">
      <w:pPr>
        <w:pStyle w:val="JUDGMENTNUMBERED"/>
        <w:numPr>
          <w:ilvl w:val="0"/>
          <w:numId w:val="0"/>
        </w:numPr>
        <w:spacing w:line="240" w:lineRule="auto"/>
        <w:ind w:left="2127"/>
        <w:rPr>
          <w:i/>
          <w:iCs/>
          <w:lang w:val="en-ZA"/>
        </w:rPr>
      </w:pPr>
      <w:r w:rsidRPr="0082516A">
        <w:rPr>
          <w:i/>
          <w:iCs/>
          <w:lang w:val="en-ZA"/>
        </w:rPr>
        <w:t>11.1</w:t>
      </w:r>
      <w:r w:rsidRPr="0082516A">
        <w:rPr>
          <w:i/>
          <w:iCs/>
          <w:lang w:val="en-ZA"/>
        </w:rPr>
        <w:tab/>
      </w:r>
      <w:r w:rsidR="007226F0" w:rsidRPr="0082516A">
        <w:rPr>
          <w:i/>
          <w:iCs/>
          <w:lang w:val="en-ZA"/>
        </w:rPr>
        <w:t>suffered emotional shock and trauma;</w:t>
      </w:r>
    </w:p>
    <w:p w14:paraId="7E8DE23C" w14:textId="008803DF" w:rsidR="007226F0" w:rsidRPr="0082516A" w:rsidRDefault="007226F0" w:rsidP="001A2B44">
      <w:pPr>
        <w:pStyle w:val="JUDGMENTCONTINUED"/>
        <w:spacing w:line="240" w:lineRule="auto"/>
        <w:ind w:left="2880" w:hanging="753"/>
        <w:rPr>
          <w:i/>
          <w:iCs/>
          <w:lang w:val="en-ZA"/>
        </w:rPr>
      </w:pPr>
      <w:r w:rsidRPr="0082516A">
        <w:rPr>
          <w:i/>
          <w:iCs/>
          <w:lang w:val="en-ZA"/>
        </w:rPr>
        <w:t>11.2</w:t>
      </w:r>
      <w:r w:rsidRPr="0082516A">
        <w:rPr>
          <w:i/>
          <w:iCs/>
          <w:lang w:val="en-ZA"/>
        </w:rPr>
        <w:tab/>
        <w:t>suffered and still suffers</w:t>
      </w:r>
      <w:r w:rsidR="008C4D9F" w:rsidRPr="0082516A">
        <w:rPr>
          <w:i/>
          <w:iCs/>
          <w:lang w:val="en-ZA"/>
        </w:rPr>
        <w:t xml:space="preserve"> impaired mental health, for which she requires medical treatment;</w:t>
      </w:r>
    </w:p>
    <w:p w14:paraId="592BCF9C" w14:textId="30C45541" w:rsidR="008C4D9F" w:rsidRPr="0082516A" w:rsidRDefault="008C4D9F" w:rsidP="001A2B44">
      <w:pPr>
        <w:pStyle w:val="JUDGMENTNUMBERED"/>
        <w:numPr>
          <w:ilvl w:val="0"/>
          <w:numId w:val="0"/>
        </w:numPr>
        <w:spacing w:line="240" w:lineRule="auto"/>
        <w:ind w:left="709"/>
        <w:rPr>
          <w:i/>
          <w:iCs/>
          <w:lang w:val="en-ZA"/>
        </w:rPr>
      </w:pPr>
      <w:r w:rsidRPr="0082516A">
        <w:rPr>
          <w:i/>
          <w:iCs/>
          <w:lang w:val="en-ZA"/>
        </w:rPr>
        <w:tab/>
      </w:r>
      <w:r w:rsidRPr="0082516A">
        <w:rPr>
          <w:i/>
          <w:iCs/>
          <w:lang w:val="en-ZA"/>
        </w:rPr>
        <w:tab/>
      </w:r>
      <w:r w:rsidRPr="0082516A">
        <w:rPr>
          <w:i/>
          <w:iCs/>
          <w:lang w:val="en-ZA"/>
        </w:rPr>
        <w:tab/>
      </w:r>
      <w:r w:rsidR="00440BA9" w:rsidRPr="0082516A">
        <w:rPr>
          <w:i/>
          <w:iCs/>
          <w:lang w:val="en-ZA"/>
        </w:rPr>
        <w:t>11.3</w:t>
      </w:r>
      <w:r w:rsidR="00440BA9" w:rsidRPr="0082516A">
        <w:rPr>
          <w:i/>
          <w:iCs/>
          <w:lang w:val="en-ZA"/>
        </w:rPr>
        <w:tab/>
        <w:t>suffered financial loss;</w:t>
      </w:r>
    </w:p>
    <w:p w14:paraId="126DAEA9" w14:textId="0C33ED0A" w:rsidR="00440BA9" w:rsidRPr="0082516A" w:rsidRDefault="00440BA9" w:rsidP="001A2B44">
      <w:pPr>
        <w:pStyle w:val="JUDGMENTCONTINUED"/>
        <w:spacing w:line="240" w:lineRule="auto"/>
        <w:rPr>
          <w:i/>
          <w:iCs/>
          <w:lang w:val="en-ZA"/>
        </w:rPr>
      </w:pPr>
      <w:r w:rsidRPr="0082516A">
        <w:rPr>
          <w:i/>
          <w:iCs/>
          <w:lang w:val="en-ZA"/>
        </w:rPr>
        <w:tab/>
      </w:r>
      <w:r w:rsidRPr="0082516A">
        <w:rPr>
          <w:i/>
          <w:iCs/>
          <w:lang w:val="en-ZA"/>
        </w:rPr>
        <w:tab/>
      </w:r>
      <w:r w:rsidRPr="0082516A">
        <w:rPr>
          <w:i/>
          <w:iCs/>
          <w:lang w:val="en-ZA"/>
        </w:rPr>
        <w:tab/>
        <w:t>11.4</w:t>
      </w:r>
      <w:r w:rsidRPr="0082516A">
        <w:rPr>
          <w:i/>
          <w:iCs/>
          <w:lang w:val="en-ZA"/>
        </w:rPr>
        <w:tab/>
        <w:t>suffered constitutional damages.</w:t>
      </w:r>
    </w:p>
    <w:p w14:paraId="015E3918" w14:textId="238BC797" w:rsidR="004B1307" w:rsidRPr="0082516A" w:rsidRDefault="004B1307" w:rsidP="001A2B44">
      <w:pPr>
        <w:pStyle w:val="JUDGMENTNUMBERED"/>
        <w:numPr>
          <w:ilvl w:val="0"/>
          <w:numId w:val="0"/>
        </w:numPr>
        <w:spacing w:line="240" w:lineRule="auto"/>
        <w:ind w:left="2160" w:hanging="719"/>
        <w:rPr>
          <w:lang w:val="en-ZA"/>
        </w:rPr>
      </w:pPr>
      <w:r w:rsidRPr="0082516A">
        <w:rPr>
          <w:i/>
          <w:iCs/>
          <w:lang w:val="en-ZA"/>
        </w:rPr>
        <w:t>12.</w:t>
      </w:r>
      <w:r w:rsidRPr="0082516A">
        <w:rPr>
          <w:i/>
          <w:iCs/>
          <w:lang w:val="en-ZA"/>
        </w:rPr>
        <w:tab/>
      </w:r>
      <w:r w:rsidR="00BB5AD5" w:rsidRPr="0082516A">
        <w:rPr>
          <w:i/>
          <w:iCs/>
          <w:lang w:val="en-ZA"/>
        </w:rPr>
        <w:t>The defendant and its employee</w:t>
      </w:r>
      <w:r w:rsidR="000D5A96" w:rsidRPr="0082516A">
        <w:rPr>
          <w:i/>
          <w:iCs/>
          <w:lang w:val="en-ZA"/>
        </w:rPr>
        <w:t>’s</w:t>
      </w:r>
      <w:r w:rsidR="0005096B" w:rsidRPr="0082516A">
        <w:rPr>
          <w:i/>
          <w:iCs/>
          <w:lang w:val="en-ZA"/>
        </w:rPr>
        <w:t xml:space="preserve"> </w:t>
      </w:r>
      <w:r w:rsidR="00BB5AD5" w:rsidRPr="0082516A">
        <w:rPr>
          <w:i/>
          <w:iCs/>
          <w:lang w:val="en-ZA"/>
        </w:rPr>
        <w:t>aforesaid conduct</w:t>
      </w:r>
      <w:r w:rsidR="001E78E1" w:rsidRPr="0082516A">
        <w:rPr>
          <w:i/>
          <w:iCs/>
          <w:lang w:val="en-ZA"/>
        </w:rPr>
        <w:t>, as mentioned above,</w:t>
      </w:r>
      <w:r w:rsidR="00BB5AD5" w:rsidRPr="0082516A">
        <w:rPr>
          <w:i/>
          <w:iCs/>
          <w:lang w:val="en-ZA"/>
        </w:rPr>
        <w:t xml:space="preserve"> was the sole and/or the main cause of the above-mentioned</w:t>
      </w:r>
      <w:r w:rsidR="001A2B44" w:rsidRPr="0082516A">
        <w:rPr>
          <w:i/>
          <w:iCs/>
          <w:lang w:val="en-ZA"/>
        </w:rPr>
        <w:t xml:space="preserve"> consequences.</w:t>
      </w:r>
      <w:r w:rsidR="001A2B44" w:rsidRPr="0082516A">
        <w:rPr>
          <w:lang w:val="en-ZA"/>
        </w:rPr>
        <w:t>”</w:t>
      </w:r>
      <w:r w:rsidR="0089284C" w:rsidRPr="0082516A">
        <w:rPr>
          <w:lang w:val="en-ZA"/>
        </w:rPr>
        <w:t xml:space="preserve"> </w:t>
      </w:r>
      <w:r w:rsidR="00CF7C70" w:rsidRPr="0082516A">
        <w:rPr>
          <w:lang w:val="en-ZA"/>
        </w:rPr>
        <w:t>[</w:t>
      </w:r>
      <w:r w:rsidR="00CF7C70" w:rsidRPr="0082516A">
        <w:rPr>
          <w:rStyle w:val="FootnoteReference"/>
          <w:lang w:val="en-ZA"/>
        </w:rPr>
        <w:footnoteReference w:id="3"/>
      </w:r>
      <w:r w:rsidR="00CF7C70" w:rsidRPr="0082516A">
        <w:rPr>
          <w:lang w:val="en-ZA"/>
        </w:rPr>
        <w:t>]</w:t>
      </w:r>
    </w:p>
    <w:p w14:paraId="510982B1" w14:textId="78E8F285" w:rsidR="00583F52" w:rsidRPr="0082516A" w:rsidRDefault="00583F52" w:rsidP="00583F52">
      <w:r w:rsidRPr="0082516A">
        <w:tab/>
      </w:r>
      <w:r w:rsidRPr="0082516A">
        <w:tab/>
        <w:t>(hereinafter referred to as the “Consequences”)</w:t>
      </w:r>
    </w:p>
    <w:p w14:paraId="4A901DF1" w14:textId="719EF9A4" w:rsidR="001E1038" w:rsidRPr="0082516A" w:rsidRDefault="006461D5" w:rsidP="006461D5">
      <w:pPr>
        <w:pStyle w:val="JUDGMENTNUMBERED"/>
        <w:numPr>
          <w:ilvl w:val="0"/>
          <w:numId w:val="0"/>
        </w:numPr>
        <w:ind w:left="709" w:hanging="709"/>
        <w:rPr>
          <w:lang w:val="en-ZA"/>
        </w:rPr>
      </w:pPr>
      <w:r w:rsidRPr="0082516A">
        <w:rPr>
          <w:rFonts w:cs="Arial"/>
          <w:color w:val="000000"/>
          <w:lang w:val="en-ZA"/>
        </w:rPr>
        <w:t>[13]</w:t>
      </w:r>
      <w:r w:rsidRPr="0082516A">
        <w:rPr>
          <w:rFonts w:cs="Arial"/>
          <w:color w:val="000000"/>
          <w:lang w:val="en-ZA"/>
        </w:rPr>
        <w:tab/>
      </w:r>
      <w:r w:rsidR="004752CE" w:rsidRPr="0082516A">
        <w:rPr>
          <w:lang w:val="en-ZA"/>
        </w:rPr>
        <w:t>The portions quoted above</w:t>
      </w:r>
      <w:r w:rsidR="0020239D" w:rsidRPr="0082516A">
        <w:rPr>
          <w:lang w:val="en-ZA"/>
        </w:rPr>
        <w:t>, read in the context of the Particulars of Claim</w:t>
      </w:r>
      <w:r w:rsidR="00CB001E" w:rsidRPr="0082516A">
        <w:rPr>
          <w:lang w:val="en-ZA"/>
        </w:rPr>
        <w:t>, show</w:t>
      </w:r>
      <w:r w:rsidR="00153510" w:rsidRPr="0082516A">
        <w:rPr>
          <w:lang w:val="en-ZA"/>
        </w:rPr>
        <w:t xml:space="preserve"> that </w:t>
      </w:r>
      <w:r w:rsidR="007579D0" w:rsidRPr="0082516A">
        <w:rPr>
          <w:lang w:val="en-ZA"/>
        </w:rPr>
        <w:t>both plaintiff’s</w:t>
      </w:r>
      <w:r w:rsidR="00153510" w:rsidRPr="0082516A">
        <w:rPr>
          <w:lang w:val="en-ZA"/>
        </w:rPr>
        <w:t xml:space="preserve"> claims</w:t>
      </w:r>
      <w:r w:rsidR="0007236B" w:rsidRPr="0082516A">
        <w:rPr>
          <w:lang w:val="en-ZA"/>
        </w:rPr>
        <w:t xml:space="preserve"> stem from the same set of facts.</w:t>
      </w:r>
      <w:r w:rsidR="00F20D6F" w:rsidRPr="0082516A">
        <w:rPr>
          <w:lang w:val="en-ZA"/>
        </w:rPr>
        <w:t xml:space="preserve"> In </w:t>
      </w:r>
      <w:r w:rsidR="005A73C9" w:rsidRPr="0082516A">
        <w:rPr>
          <w:lang w:val="en-ZA"/>
        </w:rPr>
        <w:t>the plaintiff’s</w:t>
      </w:r>
      <w:r w:rsidR="00F20D6F" w:rsidRPr="0082516A">
        <w:rPr>
          <w:lang w:val="en-ZA"/>
        </w:rPr>
        <w:t xml:space="preserve"> heads of argument, counsel for the plaintiff agreed with this assessment.</w:t>
      </w:r>
    </w:p>
    <w:p w14:paraId="0C0FE130" w14:textId="7B75CF4F" w:rsidR="00D053AC" w:rsidRPr="0082516A" w:rsidRDefault="006461D5" w:rsidP="006461D5">
      <w:pPr>
        <w:pStyle w:val="JUDGMENTNUMBERED"/>
        <w:numPr>
          <w:ilvl w:val="0"/>
          <w:numId w:val="0"/>
        </w:numPr>
        <w:ind w:left="709" w:hanging="709"/>
        <w:rPr>
          <w:lang w:val="en-ZA"/>
        </w:rPr>
      </w:pPr>
      <w:r w:rsidRPr="0082516A">
        <w:rPr>
          <w:rFonts w:cs="Arial"/>
          <w:color w:val="000000"/>
          <w:lang w:val="en-ZA"/>
        </w:rPr>
        <w:t>[14]</w:t>
      </w:r>
      <w:r w:rsidRPr="0082516A">
        <w:rPr>
          <w:rFonts w:cs="Arial"/>
          <w:color w:val="000000"/>
          <w:lang w:val="en-ZA"/>
        </w:rPr>
        <w:tab/>
      </w:r>
      <w:r w:rsidR="00D053AC" w:rsidRPr="0082516A">
        <w:rPr>
          <w:lang w:val="en-ZA"/>
        </w:rPr>
        <w:t xml:space="preserve">The plaintiff’s pleading is </w:t>
      </w:r>
      <w:r w:rsidR="00CA7E76" w:rsidRPr="0082516A">
        <w:rPr>
          <w:lang w:val="en-ZA"/>
        </w:rPr>
        <w:t>by no measure</w:t>
      </w:r>
      <w:r w:rsidR="00D053AC" w:rsidRPr="0082516A">
        <w:rPr>
          <w:lang w:val="en-ZA"/>
        </w:rPr>
        <w:t xml:space="preserve"> a text</w:t>
      </w:r>
      <w:r w:rsidR="00997C6A" w:rsidRPr="0082516A">
        <w:rPr>
          <w:lang w:val="en-ZA"/>
        </w:rPr>
        <w:t>book example of clarity</w:t>
      </w:r>
      <w:r w:rsidR="00AE068F">
        <w:rPr>
          <w:lang w:val="en-ZA"/>
        </w:rPr>
        <w:t>. It</w:t>
      </w:r>
      <w:r w:rsidR="00CA7E76" w:rsidRPr="0082516A">
        <w:rPr>
          <w:lang w:val="en-ZA"/>
        </w:rPr>
        <w:t xml:space="preserve"> has various</w:t>
      </w:r>
      <w:r w:rsidR="00327A6F">
        <w:rPr>
          <w:lang w:val="en-ZA"/>
        </w:rPr>
        <w:t xml:space="preserve"> unnecessary </w:t>
      </w:r>
      <w:r w:rsidR="00E700AC">
        <w:rPr>
          <w:lang w:val="en-ZA"/>
        </w:rPr>
        <w:t>allegations</w:t>
      </w:r>
      <w:r w:rsidR="00EB5094">
        <w:rPr>
          <w:lang w:val="en-ZA"/>
        </w:rPr>
        <w:t xml:space="preserve"> and mistakes,</w:t>
      </w:r>
      <w:r w:rsidR="00CA7E76" w:rsidRPr="0082516A">
        <w:rPr>
          <w:lang w:val="en-ZA"/>
        </w:rPr>
        <w:t xml:space="preserve"> and</w:t>
      </w:r>
      <w:r w:rsidR="00327A6F">
        <w:rPr>
          <w:lang w:val="en-ZA"/>
        </w:rPr>
        <w:t xml:space="preserve"> it</w:t>
      </w:r>
      <w:r w:rsidR="00CA7E76" w:rsidRPr="0082516A">
        <w:rPr>
          <w:lang w:val="en-ZA"/>
        </w:rPr>
        <w:t xml:space="preserve"> is incomplete</w:t>
      </w:r>
      <w:r w:rsidR="00997C6A" w:rsidRPr="0082516A">
        <w:rPr>
          <w:lang w:val="en-ZA"/>
        </w:rPr>
        <w:t>. However,</w:t>
      </w:r>
      <w:r w:rsidR="00987707" w:rsidRPr="0082516A">
        <w:rPr>
          <w:lang w:val="en-ZA"/>
        </w:rPr>
        <w:t xml:space="preserve"> as will appear from what is stated below,</w:t>
      </w:r>
      <w:r w:rsidR="00997C6A" w:rsidRPr="0082516A">
        <w:rPr>
          <w:lang w:val="en-ZA"/>
        </w:rPr>
        <w:t xml:space="preserve"> </w:t>
      </w:r>
      <w:r w:rsidR="00E44A67" w:rsidRPr="0082516A">
        <w:rPr>
          <w:lang w:val="en-ZA"/>
        </w:rPr>
        <w:t xml:space="preserve">the defendant’s exception is </w:t>
      </w:r>
      <w:r w:rsidR="00C813F5" w:rsidRPr="0082516A">
        <w:rPr>
          <w:lang w:val="en-ZA"/>
        </w:rPr>
        <w:t xml:space="preserve">not </w:t>
      </w:r>
      <w:r w:rsidR="003C181C" w:rsidRPr="0082516A">
        <w:rPr>
          <w:lang w:val="en-ZA"/>
        </w:rPr>
        <w:t>that the pleading is vague and embarrassing</w:t>
      </w:r>
      <w:r w:rsidR="000E2BFB" w:rsidRPr="0082516A">
        <w:rPr>
          <w:lang w:val="en-ZA"/>
        </w:rPr>
        <w:t>.</w:t>
      </w:r>
    </w:p>
    <w:p w14:paraId="1B62E6BD" w14:textId="0503BCFC" w:rsidR="0023045A" w:rsidRPr="0082516A" w:rsidRDefault="006461D5" w:rsidP="006461D5">
      <w:pPr>
        <w:pStyle w:val="JUDGMENTNUMBERED"/>
        <w:numPr>
          <w:ilvl w:val="0"/>
          <w:numId w:val="0"/>
        </w:numPr>
        <w:ind w:left="709" w:hanging="709"/>
        <w:rPr>
          <w:lang w:val="en-ZA"/>
        </w:rPr>
      </w:pPr>
      <w:r w:rsidRPr="0082516A">
        <w:rPr>
          <w:rFonts w:cs="Arial"/>
          <w:color w:val="000000"/>
          <w:lang w:val="en-ZA"/>
        </w:rPr>
        <w:t>[15]</w:t>
      </w:r>
      <w:r w:rsidRPr="0082516A">
        <w:rPr>
          <w:rFonts w:cs="Arial"/>
          <w:color w:val="000000"/>
          <w:lang w:val="en-ZA"/>
        </w:rPr>
        <w:tab/>
      </w:r>
      <w:r w:rsidR="00E71A7A" w:rsidRPr="0082516A">
        <w:rPr>
          <w:lang w:val="en-ZA"/>
        </w:rPr>
        <w:t xml:space="preserve">In the </w:t>
      </w:r>
      <w:r w:rsidR="00761B7C">
        <w:rPr>
          <w:lang w:val="en-ZA"/>
        </w:rPr>
        <w:t>following section</w:t>
      </w:r>
      <w:r w:rsidR="00E71A7A" w:rsidRPr="0082516A">
        <w:rPr>
          <w:lang w:val="en-ZA"/>
        </w:rPr>
        <w:t>, I shall</w:t>
      </w:r>
      <w:r w:rsidR="00006200" w:rsidRPr="0082516A">
        <w:rPr>
          <w:lang w:val="en-ZA"/>
        </w:rPr>
        <w:t xml:space="preserve"> further</w:t>
      </w:r>
      <w:r w:rsidR="00E71A7A" w:rsidRPr="0082516A">
        <w:rPr>
          <w:lang w:val="en-ZA"/>
        </w:rPr>
        <w:t xml:space="preserve"> </w:t>
      </w:r>
      <w:r w:rsidR="00EB79D4">
        <w:rPr>
          <w:lang w:val="en-ZA"/>
        </w:rPr>
        <w:t>consider</w:t>
      </w:r>
      <w:r w:rsidR="00E71A7A" w:rsidRPr="0082516A">
        <w:rPr>
          <w:lang w:val="en-ZA"/>
        </w:rPr>
        <w:t xml:space="preserve"> Claim A</w:t>
      </w:r>
      <w:r w:rsidR="00006200" w:rsidRPr="0082516A">
        <w:rPr>
          <w:lang w:val="en-ZA"/>
        </w:rPr>
        <w:t xml:space="preserve"> and the</w:t>
      </w:r>
      <w:r w:rsidR="0089559D" w:rsidRPr="0082516A">
        <w:rPr>
          <w:lang w:val="en-ZA"/>
        </w:rPr>
        <w:t xml:space="preserve"> defendant’s exception based on the provisions of COIDA. </w:t>
      </w:r>
      <w:r w:rsidR="009E2D68">
        <w:rPr>
          <w:lang w:val="en-ZA"/>
        </w:rPr>
        <w:t>After that</w:t>
      </w:r>
      <w:r w:rsidR="006A18A9" w:rsidRPr="0082516A">
        <w:rPr>
          <w:lang w:val="en-ZA"/>
        </w:rPr>
        <w:t xml:space="preserve">, Claim </w:t>
      </w:r>
      <w:r w:rsidR="00295480" w:rsidRPr="0082516A">
        <w:rPr>
          <w:lang w:val="en-ZA"/>
        </w:rPr>
        <w:t>B</w:t>
      </w:r>
      <w:r w:rsidR="00086A28" w:rsidRPr="0082516A">
        <w:rPr>
          <w:lang w:val="en-ZA"/>
        </w:rPr>
        <w:t xml:space="preserve"> and the exception </w:t>
      </w:r>
      <w:r w:rsidR="00231436" w:rsidRPr="0082516A">
        <w:rPr>
          <w:lang w:val="en-ZA"/>
        </w:rPr>
        <w:t>(</w:t>
      </w:r>
      <w:r w:rsidR="00CD0BEA" w:rsidRPr="0082516A">
        <w:rPr>
          <w:lang w:val="en-ZA"/>
        </w:rPr>
        <w:t>that</w:t>
      </w:r>
      <w:r w:rsidR="00086A28" w:rsidRPr="0082516A">
        <w:rPr>
          <w:lang w:val="en-ZA"/>
        </w:rPr>
        <w:t xml:space="preserve"> </w:t>
      </w:r>
      <w:r w:rsidR="007508D6" w:rsidRPr="0082516A">
        <w:rPr>
          <w:lang w:val="en-ZA"/>
        </w:rPr>
        <w:t xml:space="preserve">the claim for constitutional damages is </w:t>
      </w:r>
      <w:r w:rsidR="009E2D68">
        <w:rPr>
          <w:lang w:val="en-ZA"/>
        </w:rPr>
        <w:t>wrong</w:t>
      </w:r>
      <w:r w:rsidR="007508D6" w:rsidRPr="0082516A">
        <w:rPr>
          <w:lang w:val="en-ZA"/>
        </w:rPr>
        <w:t xml:space="preserve"> in law</w:t>
      </w:r>
      <w:r w:rsidR="00231436" w:rsidRPr="0082516A">
        <w:rPr>
          <w:lang w:val="en-ZA"/>
        </w:rPr>
        <w:t>)</w:t>
      </w:r>
      <w:r w:rsidR="006A18A9" w:rsidRPr="0082516A">
        <w:rPr>
          <w:lang w:val="en-ZA"/>
        </w:rPr>
        <w:t xml:space="preserve"> will be</w:t>
      </w:r>
      <w:r w:rsidR="00151349" w:rsidRPr="0082516A">
        <w:rPr>
          <w:lang w:val="en-ZA"/>
        </w:rPr>
        <w:t xml:space="preserve"> considered.</w:t>
      </w:r>
    </w:p>
    <w:p w14:paraId="5BBDE03B" w14:textId="1757B90D" w:rsidR="00105132" w:rsidRPr="0082516A" w:rsidRDefault="00151349" w:rsidP="0023045A">
      <w:pPr>
        <w:pStyle w:val="JUDGMENTNUMBERED"/>
        <w:numPr>
          <w:ilvl w:val="0"/>
          <w:numId w:val="0"/>
        </w:numPr>
        <w:rPr>
          <w:lang w:val="en-ZA"/>
        </w:rPr>
      </w:pPr>
      <w:r w:rsidRPr="0082516A">
        <w:rPr>
          <w:lang w:val="en-ZA"/>
        </w:rPr>
        <w:t xml:space="preserve"> </w:t>
      </w:r>
    </w:p>
    <w:p w14:paraId="4C7EDFC4" w14:textId="3636AF08" w:rsidR="00F4437D" w:rsidRPr="0082516A" w:rsidRDefault="00E96544" w:rsidP="008C4368">
      <w:pPr>
        <w:pStyle w:val="JudgmentHeading"/>
      </w:pPr>
      <w:r w:rsidRPr="0082516A">
        <w:t>Claim A</w:t>
      </w:r>
    </w:p>
    <w:p w14:paraId="10112701" w14:textId="59BB644D" w:rsidR="00D9429F" w:rsidRPr="0082516A" w:rsidRDefault="006461D5" w:rsidP="006461D5">
      <w:pPr>
        <w:pStyle w:val="JUDGMENTNUMBERED"/>
        <w:numPr>
          <w:ilvl w:val="0"/>
          <w:numId w:val="0"/>
        </w:numPr>
        <w:ind w:left="709" w:hanging="709"/>
        <w:rPr>
          <w:lang w:val="en-ZA"/>
        </w:rPr>
      </w:pPr>
      <w:r w:rsidRPr="0082516A">
        <w:rPr>
          <w:rFonts w:cs="Arial"/>
          <w:color w:val="000000"/>
          <w:lang w:val="en-ZA"/>
        </w:rPr>
        <w:lastRenderedPageBreak/>
        <w:t>[16]</w:t>
      </w:r>
      <w:r w:rsidRPr="0082516A">
        <w:rPr>
          <w:rFonts w:cs="Arial"/>
          <w:color w:val="000000"/>
          <w:lang w:val="en-ZA"/>
        </w:rPr>
        <w:tab/>
      </w:r>
      <w:r w:rsidR="005A2E0F" w:rsidRPr="0082516A">
        <w:rPr>
          <w:lang w:val="en-ZA"/>
        </w:rPr>
        <w:t>Claim A</w:t>
      </w:r>
      <w:r w:rsidR="00B734B5" w:rsidRPr="0082516A">
        <w:rPr>
          <w:lang w:val="en-ZA"/>
        </w:rPr>
        <w:t xml:space="preserve"> is</w:t>
      </w:r>
      <w:r w:rsidR="007A239B" w:rsidRPr="0082516A">
        <w:rPr>
          <w:lang w:val="en-ZA"/>
        </w:rPr>
        <w:t xml:space="preserve"> essentially</w:t>
      </w:r>
      <w:r w:rsidR="00B734B5" w:rsidRPr="0082516A">
        <w:rPr>
          <w:lang w:val="en-ZA"/>
        </w:rPr>
        <w:t xml:space="preserve"> founded</w:t>
      </w:r>
      <w:r w:rsidR="00256A33" w:rsidRPr="0082516A">
        <w:rPr>
          <w:lang w:val="en-ZA"/>
        </w:rPr>
        <w:t xml:space="preserve"> on the defendant’s</w:t>
      </w:r>
      <w:r w:rsidR="00B15A70" w:rsidRPr="0082516A">
        <w:rPr>
          <w:lang w:val="en-ZA"/>
        </w:rPr>
        <w:t xml:space="preserve"> alleged</w:t>
      </w:r>
      <w:r w:rsidR="00256A33" w:rsidRPr="0082516A">
        <w:rPr>
          <w:lang w:val="en-ZA"/>
        </w:rPr>
        <w:t xml:space="preserve"> failure</w:t>
      </w:r>
      <w:r w:rsidR="000B2FB5" w:rsidRPr="0082516A">
        <w:rPr>
          <w:lang w:val="en-ZA"/>
        </w:rPr>
        <w:t xml:space="preserve"> to act in accordance with</w:t>
      </w:r>
      <w:r w:rsidR="00F05C8E" w:rsidRPr="0082516A">
        <w:rPr>
          <w:lang w:val="en-ZA"/>
        </w:rPr>
        <w:t xml:space="preserve"> a common law duty</w:t>
      </w:r>
      <w:r w:rsidR="00E91628" w:rsidRPr="0082516A">
        <w:rPr>
          <w:lang w:val="en-ZA"/>
        </w:rPr>
        <w:t xml:space="preserve"> to maintain a safe working environment</w:t>
      </w:r>
      <w:r w:rsidR="00255D5D" w:rsidRPr="0082516A">
        <w:rPr>
          <w:lang w:val="en-ZA"/>
        </w:rPr>
        <w:t>,</w:t>
      </w:r>
      <w:r w:rsidR="00E95B3D" w:rsidRPr="0082516A">
        <w:rPr>
          <w:lang w:val="en-ZA"/>
        </w:rPr>
        <w:t xml:space="preserve"> </w:t>
      </w:r>
      <w:r w:rsidR="005216D3" w:rsidRPr="0082516A">
        <w:rPr>
          <w:lang w:val="en-ZA"/>
        </w:rPr>
        <w:t>including</w:t>
      </w:r>
      <w:r w:rsidR="00E95B3D" w:rsidRPr="0082516A">
        <w:rPr>
          <w:lang w:val="en-ZA"/>
        </w:rPr>
        <w:t xml:space="preserve"> </w:t>
      </w:r>
      <w:r w:rsidR="00707011" w:rsidRPr="0082516A">
        <w:rPr>
          <w:lang w:val="en-ZA"/>
        </w:rPr>
        <w:t>taking</w:t>
      </w:r>
      <w:r w:rsidR="00E95B3D" w:rsidRPr="0082516A">
        <w:rPr>
          <w:lang w:val="en-ZA"/>
        </w:rPr>
        <w:t xml:space="preserve"> necessary steps</w:t>
      </w:r>
      <w:r w:rsidR="00B06702" w:rsidRPr="0082516A">
        <w:rPr>
          <w:lang w:val="en-ZA"/>
        </w:rPr>
        <w:t xml:space="preserve"> to ensure</w:t>
      </w:r>
      <w:r w:rsidR="0010107E" w:rsidRPr="0082516A">
        <w:rPr>
          <w:lang w:val="en-ZA"/>
        </w:rPr>
        <w:t xml:space="preserve"> that the plaintiff is not abused or harassed emotionally or psychologically.</w:t>
      </w:r>
      <w:r w:rsidR="008840BB" w:rsidRPr="0082516A">
        <w:rPr>
          <w:lang w:val="en-ZA"/>
        </w:rPr>
        <w:t xml:space="preserve"> </w:t>
      </w:r>
      <w:r w:rsidR="00DC470C" w:rsidRPr="0082516A">
        <w:rPr>
          <w:lang w:val="en-ZA"/>
        </w:rPr>
        <w:t>Apart from</w:t>
      </w:r>
      <w:r w:rsidR="004C4E9F" w:rsidRPr="0082516A">
        <w:rPr>
          <w:lang w:val="en-ZA"/>
        </w:rPr>
        <w:t xml:space="preserve"> the Consequences referred to above</w:t>
      </w:r>
      <w:r w:rsidR="00172FFF" w:rsidRPr="0082516A">
        <w:rPr>
          <w:lang w:val="en-ZA"/>
        </w:rPr>
        <w:t>, the plaintiff pleads that the Conduct</w:t>
      </w:r>
      <w:r w:rsidR="00805797" w:rsidRPr="0082516A">
        <w:rPr>
          <w:lang w:val="en-ZA"/>
        </w:rPr>
        <w:t xml:space="preserve"> caused her to “</w:t>
      </w:r>
      <w:r w:rsidR="001710FB" w:rsidRPr="0082516A">
        <w:rPr>
          <w:lang w:val="en-ZA"/>
        </w:rPr>
        <w:t>…</w:t>
      </w:r>
      <w:r w:rsidR="001710FB" w:rsidRPr="0082516A">
        <w:rPr>
          <w:i/>
          <w:iCs/>
          <w:lang w:val="en-ZA"/>
        </w:rPr>
        <w:t>suffer</w:t>
      </w:r>
      <w:r w:rsidR="00805797" w:rsidRPr="0082516A">
        <w:rPr>
          <w:i/>
          <w:iCs/>
          <w:lang w:val="en-ZA"/>
        </w:rPr>
        <w:t xml:space="preserve"> </w:t>
      </w:r>
      <w:r w:rsidR="00805797" w:rsidRPr="0082516A">
        <w:rPr>
          <w:i/>
          <w:lang w:val="en-ZA"/>
        </w:rPr>
        <w:t>emotional shock, trauma and damages…</w:t>
      </w:r>
      <w:r w:rsidR="00805797" w:rsidRPr="0082516A">
        <w:rPr>
          <w:iCs/>
          <w:lang w:val="en-ZA"/>
        </w:rPr>
        <w:t>”</w:t>
      </w:r>
      <w:r w:rsidR="00155CCE" w:rsidRPr="0082516A">
        <w:rPr>
          <w:iCs/>
          <w:lang w:val="en-ZA"/>
        </w:rPr>
        <w:t>.</w:t>
      </w:r>
      <w:r w:rsidR="0089284C" w:rsidRPr="0082516A">
        <w:rPr>
          <w:iCs/>
          <w:lang w:val="en-ZA"/>
        </w:rPr>
        <w:t xml:space="preserve"> </w:t>
      </w:r>
      <w:r w:rsidR="00155CCE" w:rsidRPr="0082516A">
        <w:rPr>
          <w:iCs/>
          <w:lang w:val="en-ZA"/>
        </w:rPr>
        <w:t>[</w:t>
      </w:r>
      <w:r w:rsidR="007951CD" w:rsidRPr="0082516A">
        <w:rPr>
          <w:rStyle w:val="FootnoteReference"/>
          <w:iCs/>
          <w:lang w:val="en-ZA"/>
        </w:rPr>
        <w:footnoteReference w:id="4"/>
      </w:r>
      <w:r w:rsidR="00155CCE" w:rsidRPr="0082516A">
        <w:rPr>
          <w:iCs/>
          <w:lang w:val="en-ZA"/>
        </w:rPr>
        <w:t>]</w:t>
      </w:r>
      <w:r w:rsidR="00255D5D" w:rsidRPr="0082516A">
        <w:rPr>
          <w:lang w:val="en-ZA"/>
        </w:rPr>
        <w:t xml:space="preserve"> </w:t>
      </w:r>
      <w:r w:rsidR="001F1C0C" w:rsidRPr="0082516A">
        <w:rPr>
          <w:lang w:val="en-ZA"/>
        </w:rPr>
        <w:t>T</w:t>
      </w:r>
      <w:r w:rsidR="00255D5D" w:rsidRPr="0082516A">
        <w:rPr>
          <w:lang w:val="en-ZA"/>
        </w:rPr>
        <w:t xml:space="preserve">he plaintiff </w:t>
      </w:r>
      <w:r w:rsidR="00972C7D" w:rsidRPr="0082516A">
        <w:rPr>
          <w:lang w:val="en-ZA"/>
        </w:rPr>
        <w:t>consequently</w:t>
      </w:r>
      <w:r w:rsidR="00255D5D" w:rsidRPr="0082516A">
        <w:rPr>
          <w:lang w:val="en-ZA"/>
        </w:rPr>
        <w:t xml:space="preserve"> claims general damages </w:t>
      </w:r>
      <w:r w:rsidR="001229D6">
        <w:rPr>
          <w:lang w:val="en-ZA"/>
        </w:rPr>
        <w:t>of</w:t>
      </w:r>
      <w:r w:rsidR="00255D5D" w:rsidRPr="0082516A">
        <w:rPr>
          <w:lang w:val="en-ZA"/>
        </w:rPr>
        <w:t xml:space="preserve"> R 5 million, interest and costs. </w:t>
      </w:r>
    </w:p>
    <w:p w14:paraId="15083133" w14:textId="1171E719" w:rsidR="00D9429F" w:rsidRPr="0082516A" w:rsidRDefault="006461D5" w:rsidP="006461D5">
      <w:pPr>
        <w:pStyle w:val="JUDGMENTNUMBERED"/>
        <w:numPr>
          <w:ilvl w:val="0"/>
          <w:numId w:val="0"/>
        </w:numPr>
        <w:ind w:left="709" w:hanging="709"/>
        <w:rPr>
          <w:lang w:val="en-ZA"/>
        </w:rPr>
      </w:pPr>
      <w:r w:rsidRPr="0082516A">
        <w:rPr>
          <w:rFonts w:cs="Arial"/>
          <w:color w:val="000000"/>
          <w:lang w:val="en-ZA"/>
        </w:rPr>
        <w:t>[17]</w:t>
      </w:r>
      <w:r w:rsidRPr="0082516A">
        <w:rPr>
          <w:rFonts w:cs="Arial"/>
          <w:color w:val="000000"/>
          <w:lang w:val="en-ZA"/>
        </w:rPr>
        <w:tab/>
      </w:r>
      <w:r w:rsidR="00E31C86" w:rsidRPr="0082516A">
        <w:rPr>
          <w:lang w:val="en-ZA"/>
        </w:rPr>
        <w:t xml:space="preserve">In </w:t>
      </w:r>
      <w:r w:rsidR="006E5744" w:rsidRPr="0082516A">
        <w:rPr>
          <w:lang w:val="en-ZA"/>
        </w:rPr>
        <w:t xml:space="preserve">the </w:t>
      </w:r>
      <w:r w:rsidR="00E31C86" w:rsidRPr="0082516A">
        <w:rPr>
          <w:lang w:val="en-ZA"/>
        </w:rPr>
        <w:t>defendant’s</w:t>
      </w:r>
      <w:r w:rsidR="00FB734B" w:rsidRPr="0082516A">
        <w:rPr>
          <w:lang w:val="en-ZA"/>
        </w:rPr>
        <w:t xml:space="preserve"> exception to Claim A</w:t>
      </w:r>
      <w:r w:rsidR="00BD7CE6" w:rsidRPr="0082516A">
        <w:rPr>
          <w:lang w:val="en-ZA"/>
        </w:rPr>
        <w:t>, it pleads essentially that</w:t>
      </w:r>
      <w:r w:rsidR="00CB4C93" w:rsidRPr="0082516A">
        <w:rPr>
          <w:lang w:val="en-ZA"/>
        </w:rPr>
        <w:t xml:space="preserve"> in terms of section 35(1) of COIDA, an employee who is covered by COIDA has no </w:t>
      </w:r>
      <w:r w:rsidR="003D6570" w:rsidRPr="0082516A">
        <w:rPr>
          <w:lang w:val="en-ZA"/>
        </w:rPr>
        <w:t>claim</w:t>
      </w:r>
      <w:r w:rsidR="00CB4C93" w:rsidRPr="0082516A">
        <w:rPr>
          <w:lang w:val="en-ZA"/>
        </w:rPr>
        <w:t xml:space="preserve"> against an employer</w:t>
      </w:r>
      <w:r w:rsidR="00D74A0B" w:rsidRPr="0082516A">
        <w:rPr>
          <w:lang w:val="en-ZA"/>
        </w:rPr>
        <w:t xml:space="preserve"> for damages </w:t>
      </w:r>
      <w:r w:rsidR="00C31E88" w:rsidRPr="0082516A">
        <w:rPr>
          <w:lang w:val="en-ZA"/>
        </w:rPr>
        <w:t>suffered</w:t>
      </w:r>
      <w:r w:rsidR="00A6537A" w:rsidRPr="0082516A">
        <w:rPr>
          <w:lang w:val="en-ZA"/>
        </w:rPr>
        <w:t xml:space="preserve"> following an</w:t>
      </w:r>
      <w:r w:rsidR="00D74A0B" w:rsidRPr="0082516A">
        <w:rPr>
          <w:lang w:val="en-ZA"/>
        </w:rPr>
        <w:t xml:space="preserve"> occupational injury</w:t>
      </w:r>
      <w:r w:rsidR="002D7032" w:rsidRPr="0082516A">
        <w:rPr>
          <w:lang w:val="en-ZA"/>
        </w:rPr>
        <w:t xml:space="preserve"> </w:t>
      </w:r>
      <w:r w:rsidR="00AA1D2A" w:rsidRPr="0082516A">
        <w:rPr>
          <w:lang w:val="en-ZA"/>
        </w:rPr>
        <w:t>arising</w:t>
      </w:r>
      <w:r w:rsidR="00D74A0B" w:rsidRPr="0082516A">
        <w:rPr>
          <w:lang w:val="en-ZA"/>
        </w:rPr>
        <w:t xml:space="preserve"> out of or within the scope of the employee’s employment.</w:t>
      </w:r>
      <w:r w:rsidR="00AF046B" w:rsidRPr="0082516A">
        <w:rPr>
          <w:lang w:val="en-ZA"/>
        </w:rPr>
        <w:t xml:space="preserve"> Under section 35(2)</w:t>
      </w:r>
      <w:r w:rsidR="00625660" w:rsidRPr="0082516A">
        <w:rPr>
          <w:lang w:val="en-ZA"/>
        </w:rPr>
        <w:t>,</w:t>
      </w:r>
      <w:r w:rsidR="004A14EA" w:rsidRPr="0082516A">
        <w:rPr>
          <w:lang w:val="en-ZA"/>
        </w:rPr>
        <w:t xml:space="preserve"> </w:t>
      </w:r>
      <w:r w:rsidR="00AE2E7E">
        <w:rPr>
          <w:lang w:val="en-ZA"/>
        </w:rPr>
        <w:t xml:space="preserve">as the defendant pleads, occupational injuries sustained due to negligence </w:t>
      </w:r>
      <w:r w:rsidR="00E50666">
        <w:rPr>
          <w:lang w:val="en-ZA"/>
        </w:rPr>
        <w:t>by</w:t>
      </w:r>
      <w:r w:rsidR="00AE2E7E">
        <w:rPr>
          <w:lang w:val="en-ZA"/>
        </w:rPr>
        <w:t xml:space="preserve"> certain employees are deemed </w:t>
      </w:r>
      <w:r w:rsidR="00226E9C" w:rsidRPr="0082516A">
        <w:rPr>
          <w:lang w:val="en-ZA"/>
        </w:rPr>
        <w:t>attributable to the employer.</w:t>
      </w:r>
      <w:r w:rsidR="00742027" w:rsidRPr="0082516A">
        <w:rPr>
          <w:lang w:val="en-ZA"/>
        </w:rPr>
        <w:t xml:space="preserve"> </w:t>
      </w:r>
      <w:r w:rsidR="000B3A6E" w:rsidRPr="0082516A">
        <w:rPr>
          <w:lang w:val="en-ZA"/>
        </w:rPr>
        <w:t xml:space="preserve">The defendant pleads that the employee whom the plaintiff alleges to have engaged in conduct </w:t>
      </w:r>
      <w:r w:rsidR="002B4409" w:rsidRPr="0082516A">
        <w:rPr>
          <w:lang w:val="en-ZA"/>
        </w:rPr>
        <w:t>resulting in</w:t>
      </w:r>
      <w:r w:rsidR="000B3A6E" w:rsidRPr="0082516A">
        <w:rPr>
          <w:lang w:val="en-ZA"/>
        </w:rPr>
        <w:t xml:space="preserve"> vicarious liability </w:t>
      </w:r>
      <w:r w:rsidR="000C5072" w:rsidRPr="0082516A">
        <w:rPr>
          <w:lang w:val="en-ZA"/>
        </w:rPr>
        <w:t xml:space="preserve">is deemed under the provisions of section </w:t>
      </w:r>
      <w:r w:rsidR="00FB2E1B" w:rsidRPr="0082516A">
        <w:rPr>
          <w:lang w:val="en-ZA"/>
        </w:rPr>
        <w:t>35(2)(b)</w:t>
      </w:r>
      <w:r w:rsidR="000C5072" w:rsidRPr="0082516A">
        <w:rPr>
          <w:lang w:val="en-ZA"/>
        </w:rPr>
        <w:t xml:space="preserve"> to be an employer.</w:t>
      </w:r>
      <w:r w:rsidR="00B62DAC" w:rsidRPr="0082516A">
        <w:rPr>
          <w:lang w:val="en-ZA"/>
        </w:rPr>
        <w:t xml:space="preserve"> The defendant concludes</w:t>
      </w:r>
      <w:r w:rsidR="00AE7DDD" w:rsidRPr="0082516A">
        <w:rPr>
          <w:lang w:val="en-ZA"/>
        </w:rPr>
        <w:t xml:space="preserve"> that the emotional shock, trauma and mental impairment</w:t>
      </w:r>
      <w:r w:rsidR="005847BB" w:rsidRPr="0082516A">
        <w:rPr>
          <w:lang w:val="en-ZA"/>
        </w:rPr>
        <w:t xml:space="preserve"> that she </w:t>
      </w:r>
      <w:r w:rsidR="00AE7DDD" w:rsidRPr="0082516A">
        <w:rPr>
          <w:lang w:val="en-ZA"/>
        </w:rPr>
        <w:t>suffered</w:t>
      </w:r>
      <w:r w:rsidR="00F14CE5" w:rsidRPr="0082516A">
        <w:rPr>
          <w:lang w:val="en-ZA"/>
        </w:rPr>
        <w:t xml:space="preserve"> constitutes an occupational injury,</w:t>
      </w:r>
      <w:r w:rsidR="00017988" w:rsidRPr="0082516A">
        <w:rPr>
          <w:lang w:val="en-ZA"/>
        </w:rPr>
        <w:t xml:space="preserve"> and the plaintiff is precluded</w:t>
      </w:r>
      <w:r w:rsidR="00125D8B" w:rsidRPr="0082516A">
        <w:rPr>
          <w:lang w:val="en-ZA"/>
        </w:rPr>
        <w:t xml:space="preserve"> under COIDA</w:t>
      </w:r>
      <w:r w:rsidR="00017988" w:rsidRPr="0082516A">
        <w:rPr>
          <w:lang w:val="en-ZA"/>
        </w:rPr>
        <w:t xml:space="preserve"> from claiming such damages from the employer.</w:t>
      </w:r>
    </w:p>
    <w:p w14:paraId="1890FA9D" w14:textId="19E215FA" w:rsidR="0000335F" w:rsidRPr="0082516A" w:rsidRDefault="006461D5" w:rsidP="006461D5">
      <w:pPr>
        <w:pStyle w:val="JUDGMENTNUMBERED"/>
        <w:numPr>
          <w:ilvl w:val="0"/>
          <w:numId w:val="0"/>
        </w:numPr>
        <w:ind w:left="709" w:hanging="709"/>
        <w:rPr>
          <w:lang w:val="en-ZA"/>
        </w:rPr>
      </w:pPr>
      <w:r w:rsidRPr="0082516A">
        <w:rPr>
          <w:rFonts w:cs="Arial"/>
          <w:color w:val="000000"/>
          <w:lang w:val="en-ZA"/>
        </w:rPr>
        <w:t>[18]</w:t>
      </w:r>
      <w:r w:rsidRPr="0082516A">
        <w:rPr>
          <w:rFonts w:cs="Arial"/>
          <w:color w:val="000000"/>
          <w:lang w:val="en-ZA"/>
        </w:rPr>
        <w:tab/>
      </w:r>
      <w:r w:rsidR="0000335F" w:rsidRPr="0082516A">
        <w:rPr>
          <w:lang w:val="en-ZA"/>
        </w:rPr>
        <w:t xml:space="preserve">For the defendant’s exception to be upheld, it would require </w:t>
      </w:r>
      <w:r w:rsidR="00120BC4" w:rsidRPr="0082516A">
        <w:rPr>
          <w:lang w:val="en-ZA"/>
        </w:rPr>
        <w:t>this court, at the exception stage of the proceedings and based on the plaintiff’s pleading, to find that all the jurisdictional requirements for a claim under COIDA are satisfied</w:t>
      </w:r>
      <w:r w:rsidR="007A39FA" w:rsidRPr="0082516A">
        <w:rPr>
          <w:lang w:val="en-ZA"/>
        </w:rPr>
        <w:t xml:space="preserve"> and that the defendant is not liable</w:t>
      </w:r>
      <w:r w:rsidR="00120BC4" w:rsidRPr="0082516A">
        <w:rPr>
          <w:lang w:val="en-ZA"/>
        </w:rPr>
        <w:t xml:space="preserve"> </w:t>
      </w:r>
      <w:r w:rsidR="00566C98">
        <w:rPr>
          <w:lang w:val="en-ZA"/>
        </w:rPr>
        <w:t>under</w:t>
      </w:r>
      <w:r w:rsidR="00120BC4" w:rsidRPr="0082516A">
        <w:rPr>
          <w:lang w:val="en-ZA"/>
        </w:rPr>
        <w:t xml:space="preserve"> the provisions of the said act</w:t>
      </w:r>
      <w:r w:rsidR="0000335F" w:rsidRPr="0082516A">
        <w:rPr>
          <w:lang w:val="en-ZA"/>
        </w:rPr>
        <w:t>.</w:t>
      </w:r>
      <w:r w:rsidR="00916F77" w:rsidRPr="0082516A">
        <w:rPr>
          <w:lang w:val="en-ZA"/>
        </w:rPr>
        <w:t xml:space="preserve"> This notion is tainted with difficulties.</w:t>
      </w:r>
    </w:p>
    <w:p w14:paraId="07B2D650" w14:textId="4581A6A0" w:rsidR="00C47FAE" w:rsidRPr="0082516A" w:rsidRDefault="006461D5" w:rsidP="006461D5">
      <w:pPr>
        <w:pStyle w:val="JUDGMENTNUMBERED"/>
        <w:numPr>
          <w:ilvl w:val="0"/>
          <w:numId w:val="0"/>
        </w:numPr>
        <w:ind w:left="709" w:hanging="709"/>
        <w:rPr>
          <w:lang w:val="en-ZA"/>
        </w:rPr>
      </w:pPr>
      <w:r w:rsidRPr="0082516A">
        <w:rPr>
          <w:rFonts w:cs="Arial"/>
          <w:color w:val="000000"/>
          <w:lang w:val="en-ZA"/>
        </w:rPr>
        <w:t>[19]</w:t>
      </w:r>
      <w:r w:rsidRPr="0082516A">
        <w:rPr>
          <w:rFonts w:cs="Arial"/>
          <w:color w:val="000000"/>
          <w:lang w:val="en-ZA"/>
        </w:rPr>
        <w:tab/>
      </w:r>
      <w:r w:rsidR="00873DE1" w:rsidRPr="0082516A">
        <w:rPr>
          <w:lang w:val="en-ZA"/>
        </w:rPr>
        <w:t>By way of example, a</w:t>
      </w:r>
      <w:r w:rsidR="008248CD" w:rsidRPr="0082516A">
        <w:rPr>
          <w:lang w:val="en-ZA"/>
        </w:rPr>
        <w:t xml:space="preserve"> jurisdictional requirement for the applicability of COIDA is that a </w:t>
      </w:r>
      <w:r w:rsidR="003705E6">
        <w:rPr>
          <w:lang w:val="en-ZA"/>
        </w:rPr>
        <w:t>claimant</w:t>
      </w:r>
      <w:r w:rsidR="008A5B91">
        <w:rPr>
          <w:lang w:val="en-ZA"/>
        </w:rPr>
        <w:t xml:space="preserve"> (such as the plaintiff)</w:t>
      </w:r>
      <w:r w:rsidR="00403CB3" w:rsidRPr="0082516A">
        <w:rPr>
          <w:lang w:val="en-ZA"/>
        </w:rPr>
        <w:t xml:space="preserve"> must have</w:t>
      </w:r>
      <w:r w:rsidR="008248CD" w:rsidRPr="0082516A">
        <w:rPr>
          <w:lang w:val="en-ZA"/>
        </w:rPr>
        <w:t xml:space="preserve"> sustained</w:t>
      </w:r>
      <w:r w:rsidR="00403CB3" w:rsidRPr="0082516A">
        <w:rPr>
          <w:lang w:val="en-ZA"/>
        </w:rPr>
        <w:t xml:space="preserve"> injury</w:t>
      </w:r>
      <w:r w:rsidR="008248CD" w:rsidRPr="0082516A">
        <w:rPr>
          <w:lang w:val="en-ZA"/>
        </w:rPr>
        <w:t xml:space="preserve"> (</w:t>
      </w:r>
      <w:r w:rsidR="00C47FAE" w:rsidRPr="0082516A">
        <w:rPr>
          <w:i/>
          <w:iCs/>
          <w:lang w:val="en-ZA"/>
        </w:rPr>
        <w:t>in casu</w:t>
      </w:r>
      <w:r w:rsidR="00C47FAE" w:rsidRPr="0082516A">
        <w:rPr>
          <w:lang w:val="en-ZA"/>
        </w:rPr>
        <w:t>,</w:t>
      </w:r>
      <w:r w:rsidR="00E11576" w:rsidRPr="0082516A">
        <w:rPr>
          <w:lang w:val="en-ZA"/>
        </w:rPr>
        <w:t xml:space="preserve"> emotional shock, trauma and impaired mental health</w:t>
      </w:r>
      <w:r w:rsidR="00C47FAE" w:rsidRPr="0082516A">
        <w:rPr>
          <w:lang w:val="en-ZA"/>
        </w:rPr>
        <w:t xml:space="preserve"> </w:t>
      </w:r>
      <w:r w:rsidR="008248CD" w:rsidRPr="0082516A">
        <w:rPr>
          <w:lang w:val="en-ZA"/>
        </w:rPr>
        <w:t xml:space="preserve">as a result of the Conduct) while acting in the course of </w:t>
      </w:r>
      <w:r w:rsidR="007B58FF">
        <w:rPr>
          <w:lang w:val="en-ZA"/>
        </w:rPr>
        <w:t>his/</w:t>
      </w:r>
      <w:r w:rsidR="008248CD" w:rsidRPr="0082516A">
        <w:rPr>
          <w:lang w:val="en-ZA"/>
        </w:rPr>
        <w:t>her</w:t>
      </w:r>
      <w:r w:rsidR="007B58FF">
        <w:rPr>
          <w:lang w:val="en-ZA"/>
        </w:rPr>
        <w:t xml:space="preserve"> (the plaintiff’s)</w:t>
      </w:r>
      <w:r w:rsidR="008248CD" w:rsidRPr="0082516A">
        <w:rPr>
          <w:lang w:val="en-ZA"/>
        </w:rPr>
        <w:t xml:space="preserve"> employment. [</w:t>
      </w:r>
      <w:r w:rsidR="008248CD" w:rsidRPr="0082516A">
        <w:rPr>
          <w:rStyle w:val="FootnoteReference"/>
          <w:lang w:val="en-ZA"/>
        </w:rPr>
        <w:footnoteReference w:id="5"/>
      </w:r>
      <w:r w:rsidR="008248CD" w:rsidRPr="0082516A">
        <w:rPr>
          <w:lang w:val="en-ZA"/>
        </w:rPr>
        <w:t xml:space="preserve">] </w:t>
      </w:r>
    </w:p>
    <w:p w14:paraId="72D004BD" w14:textId="1CDF81C2" w:rsidR="000B0D68" w:rsidRPr="0082516A" w:rsidRDefault="006461D5" w:rsidP="006461D5">
      <w:pPr>
        <w:pStyle w:val="JUDGMENTNUMBERED"/>
        <w:numPr>
          <w:ilvl w:val="0"/>
          <w:numId w:val="0"/>
        </w:numPr>
        <w:ind w:left="709" w:hanging="709"/>
        <w:rPr>
          <w:lang w:val="en-ZA"/>
        </w:rPr>
      </w:pPr>
      <w:r w:rsidRPr="0082516A">
        <w:rPr>
          <w:rFonts w:cs="Arial"/>
          <w:color w:val="000000"/>
          <w:lang w:val="en-ZA"/>
        </w:rPr>
        <w:lastRenderedPageBreak/>
        <w:t>[20]</w:t>
      </w:r>
      <w:r w:rsidRPr="0082516A">
        <w:rPr>
          <w:rFonts w:cs="Arial"/>
          <w:color w:val="000000"/>
          <w:lang w:val="en-ZA"/>
        </w:rPr>
        <w:tab/>
      </w:r>
      <w:r w:rsidR="000B0D68" w:rsidRPr="0082516A">
        <w:rPr>
          <w:lang w:val="en-ZA"/>
        </w:rPr>
        <w:t xml:space="preserve">In </w:t>
      </w:r>
      <w:r w:rsidR="000B0D68" w:rsidRPr="00E70271">
        <w:rPr>
          <w:i/>
          <w:iCs/>
          <w:lang w:val="en-ZA"/>
        </w:rPr>
        <w:t>Churchill v Premier of Mpumalanga and Another</w:t>
      </w:r>
      <w:r w:rsidR="00D67F1A" w:rsidRPr="0082516A">
        <w:rPr>
          <w:lang w:val="en-ZA"/>
        </w:rPr>
        <w:t xml:space="preserve"> [</w:t>
      </w:r>
      <w:r w:rsidR="00D67F1A" w:rsidRPr="0082516A">
        <w:rPr>
          <w:rStyle w:val="FootnoteReference"/>
          <w:lang w:val="en-ZA"/>
        </w:rPr>
        <w:footnoteReference w:id="6"/>
      </w:r>
      <w:r w:rsidR="00D67F1A" w:rsidRPr="0082516A">
        <w:rPr>
          <w:lang w:val="en-ZA"/>
        </w:rPr>
        <w:t>]</w:t>
      </w:r>
      <w:r w:rsidR="00B94F3D" w:rsidRPr="0082516A">
        <w:rPr>
          <w:lang w:val="en-ZA"/>
        </w:rPr>
        <w:t>, the Supreme Court of Appeal emphasised</w:t>
      </w:r>
      <w:r w:rsidR="001F4424" w:rsidRPr="0082516A">
        <w:rPr>
          <w:lang w:val="en-ZA"/>
        </w:rPr>
        <w:t xml:space="preserve"> the following</w:t>
      </w:r>
      <w:r w:rsidR="000B0D68" w:rsidRPr="0082516A">
        <w:rPr>
          <w:lang w:val="en-ZA"/>
        </w:rPr>
        <w:t>: “</w:t>
      </w:r>
      <w:r w:rsidR="000B0D68" w:rsidRPr="0082516A">
        <w:rPr>
          <w:i/>
          <w:iCs/>
          <w:lang w:val="en-ZA"/>
        </w:rPr>
        <w:t xml:space="preserve">[34] …[B]ut the nature and severity of the assault and the extent of the incursion upon the dignity and bodily integrity of the victim, cannot be the factors that determine whether it arose out of their employment. </w:t>
      </w:r>
      <w:r w:rsidR="000B0D68" w:rsidRPr="0082516A">
        <w:rPr>
          <w:i/>
          <w:iCs/>
          <w:u w:val="single"/>
          <w:lang w:val="en-ZA"/>
        </w:rPr>
        <w:t>As held in MEC v DN it is difficult to see on what basis, as a general proposition, attacks on a person's dignity and bodily integrity are incidental to their employment.</w:t>
      </w:r>
      <w:r w:rsidR="000B0D68" w:rsidRPr="0082516A">
        <w:rPr>
          <w:i/>
          <w:iCs/>
          <w:lang w:val="en-ZA"/>
        </w:rPr>
        <w:t xml:space="preserve"> In simple language</w:t>
      </w:r>
      <w:r w:rsidR="00460EB1" w:rsidRPr="0082516A">
        <w:rPr>
          <w:i/>
          <w:iCs/>
          <w:lang w:val="en-ZA"/>
        </w:rPr>
        <w:t>,</w:t>
      </w:r>
      <w:r w:rsidR="000B0D68" w:rsidRPr="0082516A">
        <w:rPr>
          <w:i/>
          <w:iCs/>
          <w:lang w:val="en-ZA"/>
        </w:rPr>
        <w:t xml:space="preserve"> they are not things that 'go with the job'.</w:t>
      </w:r>
      <w:r w:rsidR="000B0D68" w:rsidRPr="0082516A">
        <w:rPr>
          <w:lang w:val="en-ZA"/>
        </w:rPr>
        <w:t>”</w:t>
      </w:r>
      <w:r w:rsidR="00501D58" w:rsidRPr="0082516A">
        <w:rPr>
          <w:lang w:val="en-ZA"/>
        </w:rPr>
        <w:t xml:space="preserve"> [</w:t>
      </w:r>
      <w:r w:rsidR="00501D58" w:rsidRPr="004D42A2">
        <w:rPr>
          <w:i/>
          <w:iCs/>
          <w:u w:val="single"/>
          <w:lang w:val="en-ZA"/>
        </w:rPr>
        <w:t>Emphasis added</w:t>
      </w:r>
      <w:r w:rsidR="00501D58" w:rsidRPr="0082516A">
        <w:rPr>
          <w:lang w:val="en-ZA"/>
        </w:rPr>
        <w:t>]</w:t>
      </w:r>
    </w:p>
    <w:p w14:paraId="390E593B" w14:textId="401C6871" w:rsidR="00894A0F" w:rsidRPr="0082516A" w:rsidRDefault="006461D5" w:rsidP="006461D5">
      <w:pPr>
        <w:pStyle w:val="JUDGMENTNUMBERED"/>
        <w:numPr>
          <w:ilvl w:val="0"/>
          <w:numId w:val="0"/>
        </w:numPr>
        <w:ind w:left="709" w:hanging="709"/>
        <w:rPr>
          <w:lang w:val="en-ZA"/>
        </w:rPr>
      </w:pPr>
      <w:r w:rsidRPr="0082516A">
        <w:rPr>
          <w:rFonts w:cs="Arial"/>
          <w:color w:val="000000"/>
          <w:lang w:val="en-ZA"/>
        </w:rPr>
        <w:t>[21]</w:t>
      </w:r>
      <w:r w:rsidRPr="0082516A">
        <w:rPr>
          <w:rFonts w:cs="Arial"/>
          <w:color w:val="000000"/>
          <w:lang w:val="en-ZA"/>
        </w:rPr>
        <w:tab/>
      </w:r>
      <w:r w:rsidR="00894A0F" w:rsidRPr="0082516A">
        <w:rPr>
          <w:lang w:val="en-ZA"/>
        </w:rPr>
        <w:t>I</w:t>
      </w:r>
      <w:r w:rsidR="004D77FE" w:rsidRPr="0082516A">
        <w:rPr>
          <w:lang w:val="en-ZA"/>
        </w:rPr>
        <w:t>n</w:t>
      </w:r>
      <w:r w:rsidR="00894A0F" w:rsidRPr="0082516A">
        <w:rPr>
          <w:lang w:val="en-ZA"/>
        </w:rPr>
        <w:t xml:space="preserve"> </w:t>
      </w:r>
      <w:r w:rsidR="00894A0F" w:rsidRPr="00E70271">
        <w:rPr>
          <w:i/>
          <w:iCs/>
          <w:lang w:val="en-ZA"/>
        </w:rPr>
        <w:t xml:space="preserve">Member of the Executive Council </w:t>
      </w:r>
      <w:r w:rsidR="00366BF6" w:rsidRPr="00E70271">
        <w:rPr>
          <w:i/>
          <w:iCs/>
          <w:lang w:val="en-ZA"/>
        </w:rPr>
        <w:t>f</w:t>
      </w:r>
      <w:r w:rsidR="00894A0F" w:rsidRPr="00E70271">
        <w:rPr>
          <w:i/>
          <w:iCs/>
          <w:lang w:val="en-ZA"/>
        </w:rPr>
        <w:t>or the Department of Health, Free State</w:t>
      </w:r>
      <w:r w:rsidR="00C25FDD" w:rsidRPr="0082516A">
        <w:rPr>
          <w:lang w:val="en-ZA"/>
        </w:rPr>
        <w:t xml:space="preserve"> [</w:t>
      </w:r>
      <w:r w:rsidR="00C25FDD" w:rsidRPr="0082516A">
        <w:rPr>
          <w:rStyle w:val="FootnoteReference"/>
          <w:lang w:val="en-ZA"/>
        </w:rPr>
        <w:footnoteReference w:id="7"/>
      </w:r>
      <w:r w:rsidR="00C25FDD" w:rsidRPr="0082516A">
        <w:rPr>
          <w:lang w:val="en-ZA"/>
        </w:rPr>
        <w:t>]</w:t>
      </w:r>
      <w:r w:rsidR="004D77FE" w:rsidRPr="0082516A">
        <w:rPr>
          <w:lang w:val="en-ZA"/>
        </w:rPr>
        <w:t>,</w:t>
      </w:r>
      <w:r w:rsidR="00F83291" w:rsidRPr="0082516A">
        <w:rPr>
          <w:lang w:val="en-ZA"/>
        </w:rPr>
        <w:t xml:space="preserve"> the </w:t>
      </w:r>
      <w:r w:rsidR="00C362C8" w:rsidRPr="0082516A">
        <w:rPr>
          <w:lang w:val="en-ZA"/>
        </w:rPr>
        <w:t>SCA</w:t>
      </w:r>
      <w:r w:rsidR="00F83291" w:rsidRPr="0082516A">
        <w:rPr>
          <w:lang w:val="en-ZA"/>
        </w:rPr>
        <w:t xml:space="preserve"> concluded that</w:t>
      </w:r>
      <w:r w:rsidR="00894A0F" w:rsidRPr="0082516A">
        <w:rPr>
          <w:lang w:val="en-ZA"/>
        </w:rPr>
        <w:t xml:space="preserve">: </w:t>
      </w:r>
      <w:r w:rsidR="00894A0F" w:rsidRPr="0082516A">
        <w:rPr>
          <w:i/>
          <w:iCs/>
          <w:lang w:val="en-ZA"/>
        </w:rPr>
        <w:t xml:space="preserve">“[33] Dealing with a vulnerable class within our society and contemplating that rape is a scourge of South African Society, I have difficulty contemplating that employees would be assisted if their common law rights were to be restricted as proposed on behalf of the MEC. If anything, it might rightly be said to be adverse to the interests of employees injured by rape to restrict them to COIDA. </w:t>
      </w:r>
      <w:r w:rsidR="00894A0F" w:rsidRPr="0082516A">
        <w:rPr>
          <w:i/>
          <w:iCs/>
          <w:u w:val="single"/>
          <w:lang w:val="en-ZA"/>
        </w:rPr>
        <w:t>It would be sending an unacceptable message to employees, especially women, namely, that you are precluded from suing your employer for what you assert is a failure to provide reasonable protective measures against rape because rape directed against women is a risk inherent in employment in South Africa. This cannot be what our Constitution will countenance.</w:t>
      </w:r>
      <w:r w:rsidR="00894A0F" w:rsidRPr="0082516A">
        <w:rPr>
          <w:i/>
          <w:iCs/>
          <w:lang w:val="en-ZA"/>
        </w:rPr>
        <w:t>”</w:t>
      </w:r>
      <w:r w:rsidR="00894A0F" w:rsidRPr="0082516A">
        <w:rPr>
          <w:lang w:val="en-ZA"/>
        </w:rPr>
        <w:t xml:space="preserve"> </w:t>
      </w:r>
      <w:r w:rsidR="00441D70" w:rsidRPr="0082516A">
        <w:rPr>
          <w:lang w:val="en-ZA"/>
        </w:rPr>
        <w:t>[</w:t>
      </w:r>
      <w:r w:rsidR="00441D70" w:rsidRPr="004D42A2">
        <w:rPr>
          <w:i/>
          <w:iCs/>
          <w:u w:val="single"/>
          <w:lang w:val="en-ZA"/>
        </w:rPr>
        <w:t>Emphasis added</w:t>
      </w:r>
      <w:r w:rsidR="00441D70" w:rsidRPr="0082516A">
        <w:rPr>
          <w:lang w:val="en-ZA"/>
        </w:rPr>
        <w:t>]</w:t>
      </w:r>
    </w:p>
    <w:p w14:paraId="0BEE8E69" w14:textId="631BE491" w:rsidR="00EE19BB" w:rsidRPr="0082516A" w:rsidRDefault="006461D5" w:rsidP="006461D5">
      <w:pPr>
        <w:pStyle w:val="JUDGMENTNUMBERED"/>
        <w:numPr>
          <w:ilvl w:val="0"/>
          <w:numId w:val="0"/>
        </w:numPr>
        <w:ind w:left="709" w:hanging="709"/>
        <w:rPr>
          <w:lang w:val="en-ZA"/>
        </w:rPr>
      </w:pPr>
      <w:r w:rsidRPr="0082516A">
        <w:rPr>
          <w:rFonts w:cs="Arial"/>
          <w:color w:val="000000"/>
          <w:lang w:val="en-ZA"/>
        </w:rPr>
        <w:t>[22]</w:t>
      </w:r>
      <w:r w:rsidRPr="0082516A">
        <w:rPr>
          <w:rFonts w:cs="Arial"/>
          <w:color w:val="000000"/>
          <w:lang w:val="en-ZA"/>
        </w:rPr>
        <w:tab/>
      </w:r>
      <w:r w:rsidR="00EE19BB" w:rsidRPr="0082516A">
        <w:rPr>
          <w:lang w:val="en-ZA"/>
        </w:rPr>
        <w:t xml:space="preserve">The </w:t>
      </w:r>
      <w:r w:rsidR="00C362C8" w:rsidRPr="0082516A">
        <w:rPr>
          <w:lang w:val="en-ZA"/>
        </w:rPr>
        <w:t xml:space="preserve">above cases </w:t>
      </w:r>
      <w:r w:rsidR="00C57441" w:rsidRPr="0082516A">
        <w:rPr>
          <w:lang w:val="en-ZA"/>
        </w:rPr>
        <w:t>make</w:t>
      </w:r>
      <w:r w:rsidR="00C362C8" w:rsidRPr="0082516A">
        <w:rPr>
          <w:lang w:val="en-ZA"/>
        </w:rPr>
        <w:t xml:space="preserve"> it plain that </w:t>
      </w:r>
      <w:r w:rsidR="00777DCA" w:rsidRPr="0082516A">
        <w:rPr>
          <w:lang w:val="en-ZA"/>
        </w:rPr>
        <w:t xml:space="preserve">the applicability of COIDA to injuries sustained by an employee is i) </w:t>
      </w:r>
      <w:r w:rsidR="00861A15" w:rsidRPr="0082516A">
        <w:rPr>
          <w:lang w:val="en-ZA"/>
        </w:rPr>
        <w:t>intricate, ii) requires careful interpretation of the provisions of COIDA and</w:t>
      </w:r>
      <w:r w:rsidR="001601E9" w:rsidRPr="0082516A">
        <w:rPr>
          <w:lang w:val="en-ZA"/>
        </w:rPr>
        <w:t>, for example, the Constitution (1996)</w:t>
      </w:r>
      <w:r w:rsidR="00576BC9" w:rsidRPr="0082516A">
        <w:rPr>
          <w:lang w:val="en-ZA"/>
        </w:rPr>
        <w:t>, and</w:t>
      </w:r>
      <w:r w:rsidR="00941021" w:rsidRPr="0082516A">
        <w:rPr>
          <w:lang w:val="en-ZA"/>
        </w:rPr>
        <w:t xml:space="preserve"> iii)</w:t>
      </w:r>
      <w:r w:rsidR="00021192">
        <w:rPr>
          <w:lang w:val="en-ZA"/>
        </w:rPr>
        <w:t xml:space="preserve"> demands</w:t>
      </w:r>
      <w:r w:rsidR="00576BC9" w:rsidRPr="0082516A">
        <w:rPr>
          <w:lang w:val="en-ZA"/>
        </w:rPr>
        <w:t xml:space="preserve"> </w:t>
      </w:r>
      <w:r w:rsidR="00282A29" w:rsidRPr="0082516A">
        <w:rPr>
          <w:lang w:val="en-ZA"/>
        </w:rPr>
        <w:t xml:space="preserve">a </w:t>
      </w:r>
      <w:r w:rsidR="00DA46C3" w:rsidRPr="0082516A">
        <w:rPr>
          <w:lang w:val="en-ZA"/>
        </w:rPr>
        <w:t>considered finding on the facts of the case</w:t>
      </w:r>
      <w:r w:rsidR="001601E9" w:rsidRPr="0082516A">
        <w:rPr>
          <w:lang w:val="en-ZA"/>
        </w:rPr>
        <w:t>.</w:t>
      </w:r>
      <w:r w:rsidR="00135A53" w:rsidRPr="0082516A">
        <w:rPr>
          <w:lang w:val="en-ZA"/>
        </w:rPr>
        <w:t xml:space="preserve"> </w:t>
      </w:r>
      <w:r w:rsidR="0076143E" w:rsidRPr="0082516A">
        <w:rPr>
          <w:lang w:val="en-ZA"/>
        </w:rPr>
        <w:t>These considerations render</w:t>
      </w:r>
      <w:r w:rsidR="00C51471" w:rsidRPr="0082516A">
        <w:rPr>
          <w:lang w:val="en-ZA"/>
        </w:rPr>
        <w:t xml:space="preserve"> the</w:t>
      </w:r>
      <w:r w:rsidR="0076143E" w:rsidRPr="0082516A">
        <w:rPr>
          <w:lang w:val="en-ZA"/>
        </w:rPr>
        <w:t xml:space="preserve"> </w:t>
      </w:r>
      <w:r w:rsidR="00C51471" w:rsidRPr="0082516A">
        <w:rPr>
          <w:lang w:val="en-ZA"/>
        </w:rPr>
        <w:t>exception state of proceedings inappropriate to</w:t>
      </w:r>
      <w:r w:rsidR="00880A0C" w:rsidRPr="0082516A">
        <w:rPr>
          <w:lang w:val="en-ZA"/>
        </w:rPr>
        <w:t xml:space="preserve"> make any findings </w:t>
      </w:r>
      <w:r w:rsidR="00C16F3F" w:rsidRPr="0082516A">
        <w:rPr>
          <w:lang w:val="en-ZA"/>
        </w:rPr>
        <w:t>that</w:t>
      </w:r>
      <w:r w:rsidR="00880A0C" w:rsidRPr="0082516A">
        <w:rPr>
          <w:lang w:val="en-ZA"/>
        </w:rPr>
        <w:t xml:space="preserve"> </w:t>
      </w:r>
      <w:r w:rsidR="00496449" w:rsidRPr="0082516A">
        <w:rPr>
          <w:lang w:val="en-ZA"/>
        </w:rPr>
        <w:t xml:space="preserve">the </w:t>
      </w:r>
      <w:r w:rsidR="00880A0C" w:rsidRPr="0082516A">
        <w:rPr>
          <w:lang w:val="en-ZA"/>
        </w:rPr>
        <w:t>plaintiff’s claim falls under COIDA</w:t>
      </w:r>
      <w:r w:rsidR="00AA65DC" w:rsidRPr="0082516A">
        <w:rPr>
          <w:lang w:val="en-ZA"/>
        </w:rPr>
        <w:t>.</w:t>
      </w:r>
      <w:r w:rsidR="00C51471" w:rsidRPr="0082516A">
        <w:rPr>
          <w:lang w:val="en-ZA"/>
        </w:rPr>
        <w:t xml:space="preserve">  </w:t>
      </w:r>
    </w:p>
    <w:p w14:paraId="2F3826EB" w14:textId="03D37AD5" w:rsidR="00092D2C" w:rsidRPr="0082516A" w:rsidRDefault="006461D5" w:rsidP="006461D5">
      <w:pPr>
        <w:pStyle w:val="JUDGMENTNUMBERED"/>
        <w:numPr>
          <w:ilvl w:val="0"/>
          <w:numId w:val="0"/>
        </w:numPr>
        <w:ind w:left="709" w:hanging="709"/>
        <w:rPr>
          <w:lang w:val="en-ZA"/>
        </w:rPr>
      </w:pPr>
      <w:r w:rsidRPr="0082516A">
        <w:rPr>
          <w:rFonts w:cs="Arial"/>
          <w:color w:val="000000"/>
          <w:lang w:val="en-ZA"/>
        </w:rPr>
        <w:t>[23]</w:t>
      </w:r>
      <w:r w:rsidRPr="0082516A">
        <w:rPr>
          <w:rFonts w:cs="Arial"/>
          <w:color w:val="000000"/>
          <w:lang w:val="en-ZA"/>
        </w:rPr>
        <w:tab/>
      </w:r>
      <w:r w:rsidR="001A6007">
        <w:rPr>
          <w:lang w:val="en-ZA"/>
        </w:rPr>
        <w:t>I believe</w:t>
      </w:r>
      <w:r w:rsidR="00092D2C" w:rsidRPr="0082516A">
        <w:rPr>
          <w:lang w:val="en-ZA"/>
        </w:rPr>
        <w:t xml:space="preserve"> it would be incumbent upon the defendant to plead COIDA as a defence. As such, the defendant would bear the onus to demonstrate that all the</w:t>
      </w:r>
      <w:r w:rsidR="009C3163" w:rsidRPr="0082516A">
        <w:rPr>
          <w:lang w:val="en-ZA"/>
        </w:rPr>
        <w:t xml:space="preserve"> disputed</w:t>
      </w:r>
      <w:r w:rsidR="00092D2C" w:rsidRPr="0082516A">
        <w:rPr>
          <w:lang w:val="en-ZA"/>
        </w:rPr>
        <w:t xml:space="preserve"> elements for a claim under COIDA are present and, therefore, that </w:t>
      </w:r>
      <w:r w:rsidR="00092D2C" w:rsidRPr="0082516A">
        <w:rPr>
          <w:lang w:val="en-ZA"/>
        </w:rPr>
        <w:lastRenderedPageBreak/>
        <w:t xml:space="preserve">the defendant is exonerated under COIDA from any liability stemming from the Conduct. </w:t>
      </w:r>
    </w:p>
    <w:p w14:paraId="2A7BC691" w14:textId="366CB7C9" w:rsidR="00066887" w:rsidRPr="0082516A" w:rsidRDefault="006461D5" w:rsidP="006461D5">
      <w:pPr>
        <w:pStyle w:val="JUDGMENTNUMBERED"/>
        <w:numPr>
          <w:ilvl w:val="0"/>
          <w:numId w:val="0"/>
        </w:numPr>
        <w:ind w:left="709" w:hanging="709"/>
        <w:rPr>
          <w:lang w:val="en-ZA"/>
        </w:rPr>
      </w:pPr>
      <w:r w:rsidRPr="0082516A">
        <w:rPr>
          <w:rFonts w:cs="Arial"/>
          <w:color w:val="000000"/>
          <w:lang w:val="en-ZA"/>
        </w:rPr>
        <w:t>[24]</w:t>
      </w:r>
      <w:r w:rsidRPr="0082516A">
        <w:rPr>
          <w:rFonts w:cs="Arial"/>
          <w:color w:val="000000"/>
          <w:lang w:val="en-ZA"/>
        </w:rPr>
        <w:tab/>
      </w:r>
      <w:r w:rsidR="00066887" w:rsidRPr="0082516A">
        <w:rPr>
          <w:lang w:val="en-ZA"/>
        </w:rPr>
        <w:t xml:space="preserve">Counsel for the defendant argued that if the COIDA objection cannot be decided </w:t>
      </w:r>
      <w:r w:rsidR="00314805" w:rsidRPr="0082516A">
        <w:rPr>
          <w:lang w:val="en-ZA"/>
        </w:rPr>
        <w:t>at</w:t>
      </w:r>
      <w:r w:rsidR="00066887" w:rsidRPr="0082516A">
        <w:rPr>
          <w:lang w:val="en-ZA"/>
        </w:rPr>
        <w:t xml:space="preserve"> </w:t>
      </w:r>
      <w:r w:rsidR="006C2E48" w:rsidRPr="0082516A">
        <w:rPr>
          <w:lang w:val="en-ZA"/>
        </w:rPr>
        <w:t xml:space="preserve">the exception state, </w:t>
      </w:r>
      <w:r w:rsidR="00066887" w:rsidRPr="0082516A">
        <w:rPr>
          <w:lang w:val="en-ZA"/>
        </w:rPr>
        <w:t>this question should be reserved for determination at the end of the trial.</w:t>
      </w:r>
    </w:p>
    <w:p w14:paraId="03855FFD" w14:textId="3C236F2C" w:rsidR="00E21C08" w:rsidRPr="0082516A" w:rsidRDefault="006461D5" w:rsidP="006461D5">
      <w:pPr>
        <w:pStyle w:val="JUDGMENTNUMBERED"/>
        <w:numPr>
          <w:ilvl w:val="0"/>
          <w:numId w:val="0"/>
        </w:numPr>
        <w:ind w:left="709" w:hanging="709"/>
        <w:rPr>
          <w:lang w:val="en-ZA"/>
        </w:rPr>
      </w:pPr>
      <w:r w:rsidRPr="0082516A">
        <w:rPr>
          <w:rFonts w:cs="Arial"/>
          <w:color w:val="000000"/>
          <w:lang w:val="en-ZA"/>
        </w:rPr>
        <w:t>[25]</w:t>
      </w:r>
      <w:r w:rsidRPr="0082516A">
        <w:rPr>
          <w:rFonts w:cs="Arial"/>
          <w:color w:val="000000"/>
          <w:lang w:val="en-ZA"/>
        </w:rPr>
        <w:tab/>
      </w:r>
      <w:r w:rsidR="00E21C08" w:rsidRPr="0082516A">
        <w:rPr>
          <w:lang w:val="en-ZA"/>
        </w:rPr>
        <w:t>It must be born</w:t>
      </w:r>
      <w:r w:rsidR="00B612D6" w:rsidRPr="0082516A">
        <w:rPr>
          <w:lang w:val="en-ZA"/>
        </w:rPr>
        <w:t>e</w:t>
      </w:r>
      <w:r w:rsidR="00E21C08" w:rsidRPr="0082516A">
        <w:rPr>
          <w:lang w:val="en-ZA"/>
        </w:rPr>
        <w:t xml:space="preserve"> in mind that</w:t>
      </w:r>
      <w:r w:rsidR="00B612D6" w:rsidRPr="0082516A">
        <w:rPr>
          <w:lang w:val="en-ZA"/>
        </w:rPr>
        <w:t xml:space="preserve"> the trial court will ultimately </w:t>
      </w:r>
      <w:r w:rsidR="007012EF">
        <w:rPr>
          <w:lang w:val="en-ZA"/>
        </w:rPr>
        <w:t>adjudicate</w:t>
      </w:r>
      <w:r w:rsidR="001C5279" w:rsidRPr="0082516A">
        <w:rPr>
          <w:lang w:val="en-ZA"/>
        </w:rPr>
        <w:t xml:space="preserve"> </w:t>
      </w:r>
      <w:r w:rsidR="00D659DB" w:rsidRPr="0082516A">
        <w:rPr>
          <w:lang w:val="en-ZA"/>
        </w:rPr>
        <w:t>the applicability of COIDA based on the pleadings and the evidence before it</w:t>
      </w:r>
      <w:r w:rsidR="00935DC4" w:rsidRPr="0082516A">
        <w:rPr>
          <w:lang w:val="en-ZA"/>
        </w:rPr>
        <w:t xml:space="preserve"> and not </w:t>
      </w:r>
      <w:r w:rsidR="00151405" w:rsidRPr="0082516A">
        <w:rPr>
          <w:lang w:val="en-ZA"/>
        </w:rPr>
        <w:t>on the plaintiff’s Particulars of Claim.</w:t>
      </w:r>
      <w:r w:rsidR="006C2E48" w:rsidRPr="0082516A">
        <w:rPr>
          <w:lang w:val="en-ZA"/>
        </w:rPr>
        <w:t xml:space="preserve"> </w:t>
      </w:r>
      <w:r w:rsidR="00836B9B">
        <w:rPr>
          <w:lang w:val="en-ZA"/>
        </w:rPr>
        <w:t>Consequently</w:t>
      </w:r>
      <w:r w:rsidR="000F5D1B">
        <w:rPr>
          <w:lang w:val="en-ZA"/>
        </w:rPr>
        <w:t>,</w:t>
      </w:r>
      <w:r w:rsidR="006C2E48" w:rsidRPr="0082516A">
        <w:rPr>
          <w:lang w:val="en-ZA"/>
        </w:rPr>
        <w:t xml:space="preserve"> it would serve no purpose to reserve the determination of the COIDA exception </w:t>
      </w:r>
      <w:r w:rsidR="000F5D1B">
        <w:rPr>
          <w:lang w:val="en-ZA"/>
        </w:rPr>
        <w:t>at the end of the trial</w:t>
      </w:r>
      <w:r w:rsidR="006C2E48" w:rsidRPr="0082516A">
        <w:rPr>
          <w:lang w:val="en-ZA"/>
        </w:rPr>
        <w:t>.</w:t>
      </w:r>
    </w:p>
    <w:p w14:paraId="558056D0" w14:textId="0A961EAC" w:rsidR="002A65AD" w:rsidRPr="0082516A" w:rsidRDefault="006461D5" w:rsidP="006461D5">
      <w:pPr>
        <w:pStyle w:val="JUDGMENTNUMBERED"/>
        <w:numPr>
          <w:ilvl w:val="0"/>
          <w:numId w:val="0"/>
        </w:numPr>
        <w:ind w:left="709" w:hanging="709"/>
        <w:rPr>
          <w:lang w:val="en-ZA"/>
        </w:rPr>
      </w:pPr>
      <w:r w:rsidRPr="0082516A">
        <w:rPr>
          <w:rFonts w:cs="Arial"/>
          <w:color w:val="000000"/>
          <w:lang w:val="en-ZA"/>
        </w:rPr>
        <w:t>[26]</w:t>
      </w:r>
      <w:r w:rsidRPr="0082516A">
        <w:rPr>
          <w:rFonts w:cs="Arial"/>
          <w:color w:val="000000"/>
          <w:lang w:val="en-ZA"/>
        </w:rPr>
        <w:tab/>
      </w:r>
      <w:r w:rsidR="002A65AD" w:rsidRPr="0082516A">
        <w:rPr>
          <w:lang w:val="en-ZA"/>
        </w:rPr>
        <w:t>For these reasons, the defendant’s exception to Claim A cannot be upheld.</w:t>
      </w:r>
    </w:p>
    <w:p w14:paraId="7D9F961A" w14:textId="77777777" w:rsidR="00E868E4" w:rsidRPr="0082516A" w:rsidRDefault="00E868E4" w:rsidP="00E96544">
      <w:pPr>
        <w:pStyle w:val="JudgmentHeading"/>
      </w:pPr>
    </w:p>
    <w:p w14:paraId="15D740A2" w14:textId="448D5917" w:rsidR="00D9429F" w:rsidRPr="0082516A" w:rsidRDefault="00E96544" w:rsidP="00E96544">
      <w:pPr>
        <w:pStyle w:val="JudgmentHeading"/>
      </w:pPr>
      <w:r w:rsidRPr="0082516A">
        <w:t>Claim B</w:t>
      </w:r>
    </w:p>
    <w:p w14:paraId="447ED741" w14:textId="543B8625" w:rsidR="00295B4A" w:rsidRPr="0082516A" w:rsidRDefault="006461D5" w:rsidP="006461D5">
      <w:pPr>
        <w:pStyle w:val="JUDGMENTNUMBERED"/>
        <w:numPr>
          <w:ilvl w:val="0"/>
          <w:numId w:val="0"/>
        </w:numPr>
        <w:ind w:left="709" w:hanging="709"/>
        <w:rPr>
          <w:lang w:val="en-ZA"/>
        </w:rPr>
      </w:pPr>
      <w:r w:rsidRPr="0082516A">
        <w:rPr>
          <w:rFonts w:cs="Arial"/>
          <w:color w:val="000000"/>
          <w:lang w:val="en-ZA"/>
        </w:rPr>
        <w:t>[27]</w:t>
      </w:r>
      <w:r w:rsidRPr="0082516A">
        <w:rPr>
          <w:rFonts w:cs="Arial"/>
          <w:color w:val="000000"/>
          <w:lang w:val="en-ZA"/>
        </w:rPr>
        <w:tab/>
      </w:r>
      <w:r w:rsidR="008840BB" w:rsidRPr="0082516A">
        <w:rPr>
          <w:lang w:val="en-ZA"/>
        </w:rPr>
        <w:t>Under Claim B, the plaintiff claimed</w:t>
      </w:r>
      <w:r w:rsidR="00FF09BE" w:rsidRPr="0082516A">
        <w:rPr>
          <w:lang w:val="en-ZA"/>
        </w:rPr>
        <w:t xml:space="preserve"> R 2 million </w:t>
      </w:r>
      <w:r w:rsidR="000D2E23" w:rsidRPr="0082516A">
        <w:rPr>
          <w:lang w:val="en-ZA"/>
        </w:rPr>
        <w:t xml:space="preserve">(plus </w:t>
      </w:r>
      <w:r w:rsidR="00FF09BE" w:rsidRPr="0082516A">
        <w:rPr>
          <w:lang w:val="en-ZA"/>
        </w:rPr>
        <w:t>interest and costs</w:t>
      </w:r>
      <w:r w:rsidR="000D2E23" w:rsidRPr="0082516A">
        <w:rPr>
          <w:lang w:val="en-ZA"/>
        </w:rPr>
        <w:t>) as constitutional damages.</w:t>
      </w:r>
      <w:r w:rsidR="00056A8A" w:rsidRPr="0082516A">
        <w:rPr>
          <w:lang w:val="en-ZA"/>
        </w:rPr>
        <w:t xml:space="preserve"> </w:t>
      </w:r>
      <w:r w:rsidR="001A2BA8" w:rsidRPr="0082516A">
        <w:rPr>
          <w:lang w:val="en-ZA"/>
        </w:rPr>
        <w:t xml:space="preserve">According to the plaintiff’s pleading, </w:t>
      </w:r>
      <w:r w:rsidR="00056A8A" w:rsidRPr="0082516A">
        <w:rPr>
          <w:lang w:val="en-ZA"/>
        </w:rPr>
        <w:t>Claim B</w:t>
      </w:r>
      <w:r w:rsidR="00A50049" w:rsidRPr="0082516A">
        <w:rPr>
          <w:lang w:val="en-ZA"/>
        </w:rPr>
        <w:t xml:space="preserve"> arose </w:t>
      </w:r>
      <w:r w:rsidR="00534BB4" w:rsidRPr="0082516A">
        <w:rPr>
          <w:lang w:val="en-ZA"/>
        </w:rPr>
        <w:t xml:space="preserve">because </w:t>
      </w:r>
      <w:r w:rsidR="004206E8">
        <w:rPr>
          <w:lang w:val="en-ZA"/>
        </w:rPr>
        <w:t>the defendant breached</w:t>
      </w:r>
      <w:r w:rsidR="00DD43C2" w:rsidRPr="0082516A">
        <w:rPr>
          <w:lang w:val="en-ZA"/>
        </w:rPr>
        <w:t xml:space="preserve"> its constitutional duty</w:t>
      </w:r>
      <w:r w:rsidR="00283491" w:rsidRPr="0082516A">
        <w:rPr>
          <w:lang w:val="en-ZA"/>
        </w:rPr>
        <w:t xml:space="preserve"> </w:t>
      </w:r>
      <w:r w:rsidR="004206E8">
        <w:rPr>
          <w:lang w:val="en-ZA"/>
        </w:rPr>
        <w:t>to the defendant not to infringe upon</w:t>
      </w:r>
      <w:r w:rsidR="00DD43C2" w:rsidRPr="0082516A">
        <w:rPr>
          <w:lang w:val="en-ZA"/>
        </w:rPr>
        <w:t xml:space="preserve"> and </w:t>
      </w:r>
      <w:r w:rsidR="00C749DE">
        <w:rPr>
          <w:lang w:val="en-ZA"/>
        </w:rPr>
        <w:t>failed</w:t>
      </w:r>
      <w:r w:rsidR="00371B57" w:rsidRPr="0082516A">
        <w:rPr>
          <w:lang w:val="en-ZA"/>
        </w:rPr>
        <w:t xml:space="preserve"> to protect the plaintiff from infringement</w:t>
      </w:r>
      <w:r w:rsidR="006731DA" w:rsidRPr="0082516A">
        <w:rPr>
          <w:lang w:val="en-ZA"/>
        </w:rPr>
        <w:t xml:space="preserve"> of her constitutional rights.</w:t>
      </w:r>
      <w:r w:rsidR="00E867A4" w:rsidRPr="0082516A">
        <w:rPr>
          <w:lang w:val="en-ZA"/>
        </w:rPr>
        <w:t xml:space="preserve"> </w:t>
      </w:r>
      <w:r w:rsidR="00E44908" w:rsidRPr="0082516A">
        <w:rPr>
          <w:lang w:val="en-ZA"/>
        </w:rPr>
        <w:t>The plaintiff f</w:t>
      </w:r>
      <w:r w:rsidR="00E867A4" w:rsidRPr="0082516A">
        <w:rPr>
          <w:lang w:val="en-ZA"/>
        </w:rPr>
        <w:t>urther pleaded</w:t>
      </w:r>
      <w:r w:rsidR="00D67E7E" w:rsidRPr="0082516A">
        <w:rPr>
          <w:lang w:val="en-ZA"/>
        </w:rPr>
        <w:t xml:space="preserve"> that through the Conduct, the defendant </w:t>
      </w:r>
      <w:r w:rsidR="00C749DE">
        <w:rPr>
          <w:lang w:val="en-ZA"/>
        </w:rPr>
        <w:t>violated</w:t>
      </w:r>
      <w:r w:rsidR="00D67E7E" w:rsidRPr="0082516A">
        <w:rPr>
          <w:lang w:val="en-ZA"/>
        </w:rPr>
        <w:t xml:space="preserve"> </w:t>
      </w:r>
      <w:r w:rsidR="00447BAC" w:rsidRPr="0082516A">
        <w:rPr>
          <w:lang w:val="en-ZA"/>
        </w:rPr>
        <w:t>her</w:t>
      </w:r>
      <w:r w:rsidR="00D67E7E" w:rsidRPr="0082516A">
        <w:rPr>
          <w:lang w:val="en-ZA"/>
        </w:rPr>
        <w:t xml:space="preserve"> rights</w:t>
      </w:r>
      <w:r w:rsidR="00447BAC" w:rsidRPr="0082516A">
        <w:rPr>
          <w:lang w:val="en-ZA"/>
        </w:rPr>
        <w:t xml:space="preserve"> afforded by the Constitution,</w:t>
      </w:r>
      <w:r w:rsidR="002F4259" w:rsidRPr="0082516A">
        <w:rPr>
          <w:lang w:val="en-ZA"/>
        </w:rPr>
        <w:t xml:space="preserve"> i.e., the right</w:t>
      </w:r>
      <w:r w:rsidR="009A6850" w:rsidRPr="0082516A">
        <w:rPr>
          <w:lang w:val="en-ZA"/>
        </w:rPr>
        <w:t>s</w:t>
      </w:r>
      <w:r w:rsidR="00D67E7E" w:rsidRPr="0082516A">
        <w:rPr>
          <w:lang w:val="en-ZA"/>
        </w:rPr>
        <w:t xml:space="preserve"> </w:t>
      </w:r>
      <w:r w:rsidR="006E6080" w:rsidRPr="0082516A">
        <w:rPr>
          <w:lang w:val="en-ZA"/>
        </w:rPr>
        <w:t>to dignity</w:t>
      </w:r>
      <w:r w:rsidR="006F1E0E" w:rsidRPr="0082516A">
        <w:rPr>
          <w:lang w:val="en-ZA"/>
        </w:rPr>
        <w:t xml:space="preserve"> under section 10</w:t>
      </w:r>
      <w:r w:rsidR="00D5230E" w:rsidRPr="0082516A">
        <w:rPr>
          <w:lang w:val="en-ZA"/>
        </w:rPr>
        <w:t xml:space="preserve"> [</w:t>
      </w:r>
      <w:r w:rsidR="00D5230E" w:rsidRPr="0082516A">
        <w:rPr>
          <w:rStyle w:val="FootnoteReference"/>
          <w:lang w:val="en-ZA"/>
        </w:rPr>
        <w:footnoteReference w:id="8"/>
      </w:r>
      <w:r w:rsidR="00D5230E" w:rsidRPr="0082516A">
        <w:rPr>
          <w:lang w:val="en-ZA"/>
        </w:rPr>
        <w:t>]</w:t>
      </w:r>
      <w:r w:rsidR="00E74175" w:rsidRPr="0082516A">
        <w:rPr>
          <w:lang w:val="en-ZA"/>
        </w:rPr>
        <w:t>,</w:t>
      </w:r>
      <w:r w:rsidR="007D6123" w:rsidRPr="0082516A">
        <w:rPr>
          <w:lang w:val="en-ZA"/>
        </w:rPr>
        <w:t xml:space="preserve"> </w:t>
      </w:r>
      <w:r w:rsidR="00D411AA" w:rsidRPr="0082516A">
        <w:rPr>
          <w:lang w:val="en-ZA"/>
        </w:rPr>
        <w:t>to be free from all forms of violence</w:t>
      </w:r>
      <w:r w:rsidR="00295B4A" w:rsidRPr="0082516A">
        <w:rPr>
          <w:lang w:val="en-ZA"/>
        </w:rPr>
        <w:t>,</w:t>
      </w:r>
      <w:r w:rsidR="00D411AA" w:rsidRPr="0082516A">
        <w:rPr>
          <w:lang w:val="en-ZA"/>
        </w:rPr>
        <w:t xml:space="preserve"> and not to be treated or punished in a cruel, inhumane or degrading way</w:t>
      </w:r>
      <w:r w:rsidR="006F1E0E" w:rsidRPr="0082516A">
        <w:rPr>
          <w:lang w:val="en-ZA"/>
        </w:rPr>
        <w:t xml:space="preserve"> under section </w:t>
      </w:r>
      <w:r w:rsidR="00B70110" w:rsidRPr="0082516A">
        <w:rPr>
          <w:lang w:val="en-ZA"/>
        </w:rPr>
        <w:t>12</w:t>
      </w:r>
      <w:r w:rsidR="006F1E0E" w:rsidRPr="0082516A">
        <w:rPr>
          <w:lang w:val="en-ZA"/>
        </w:rPr>
        <w:t xml:space="preserve"> </w:t>
      </w:r>
      <w:r w:rsidR="00583EFD" w:rsidRPr="0082516A">
        <w:rPr>
          <w:lang w:val="en-ZA"/>
        </w:rPr>
        <w:t>[</w:t>
      </w:r>
      <w:r w:rsidR="00583EFD" w:rsidRPr="0082516A">
        <w:rPr>
          <w:rStyle w:val="FootnoteReference"/>
          <w:lang w:val="en-ZA"/>
        </w:rPr>
        <w:footnoteReference w:id="9"/>
      </w:r>
      <w:r w:rsidR="00583EFD" w:rsidRPr="0082516A">
        <w:rPr>
          <w:lang w:val="en-ZA"/>
        </w:rPr>
        <w:t>]</w:t>
      </w:r>
      <w:r w:rsidR="00B70110" w:rsidRPr="0082516A">
        <w:rPr>
          <w:lang w:val="en-ZA"/>
        </w:rPr>
        <w:t xml:space="preserve">. </w:t>
      </w:r>
      <w:r w:rsidR="00295B4A" w:rsidRPr="0082516A">
        <w:rPr>
          <w:lang w:val="en-ZA"/>
        </w:rPr>
        <w:t>Consequently, the plaintiff</w:t>
      </w:r>
      <w:r w:rsidR="009A6850" w:rsidRPr="0082516A">
        <w:rPr>
          <w:lang w:val="en-ZA"/>
        </w:rPr>
        <w:t xml:space="preserve"> avers that she</w:t>
      </w:r>
      <w:r w:rsidR="00295B4A" w:rsidRPr="0082516A">
        <w:rPr>
          <w:lang w:val="en-ZA"/>
        </w:rPr>
        <w:t xml:space="preserve"> suffered constitutional damages.</w:t>
      </w:r>
    </w:p>
    <w:p w14:paraId="05FBF4C4" w14:textId="7590EF5C" w:rsidR="006F3C73" w:rsidRPr="0082516A" w:rsidRDefault="006461D5" w:rsidP="006461D5">
      <w:pPr>
        <w:pStyle w:val="JUDGMENTNUMBERED"/>
        <w:numPr>
          <w:ilvl w:val="0"/>
          <w:numId w:val="0"/>
        </w:numPr>
        <w:ind w:left="709" w:hanging="709"/>
        <w:rPr>
          <w:lang w:val="en-ZA"/>
        </w:rPr>
      </w:pPr>
      <w:r w:rsidRPr="0082516A">
        <w:rPr>
          <w:rFonts w:cs="Arial"/>
          <w:color w:val="000000"/>
          <w:lang w:val="en-ZA"/>
        </w:rPr>
        <w:lastRenderedPageBreak/>
        <w:t>[28]</w:t>
      </w:r>
      <w:r w:rsidRPr="0082516A">
        <w:rPr>
          <w:rFonts w:cs="Arial"/>
          <w:color w:val="000000"/>
          <w:lang w:val="en-ZA"/>
        </w:rPr>
        <w:tab/>
      </w:r>
      <w:r w:rsidR="00A32703" w:rsidRPr="0082516A">
        <w:rPr>
          <w:lang w:val="en-ZA"/>
        </w:rPr>
        <w:t xml:space="preserve">The defendant excepts </w:t>
      </w:r>
      <w:r w:rsidR="00C6082F" w:rsidRPr="0082516A">
        <w:rPr>
          <w:lang w:val="en-ZA"/>
        </w:rPr>
        <w:t>against</w:t>
      </w:r>
      <w:r w:rsidR="008966C9" w:rsidRPr="0082516A">
        <w:rPr>
          <w:lang w:val="en-ZA"/>
        </w:rPr>
        <w:t xml:space="preserve"> Claim B</w:t>
      </w:r>
      <w:r w:rsidR="001A1A20" w:rsidRPr="0082516A">
        <w:rPr>
          <w:lang w:val="en-ZA"/>
        </w:rPr>
        <w:t xml:space="preserve"> because the plaintiff failed to disclose a cause of action </w:t>
      </w:r>
      <w:r w:rsidR="00C6082F" w:rsidRPr="0082516A">
        <w:rPr>
          <w:lang w:val="en-ZA"/>
        </w:rPr>
        <w:t>for</w:t>
      </w:r>
      <w:r w:rsidR="001A1A20" w:rsidRPr="0082516A">
        <w:rPr>
          <w:lang w:val="en-ZA"/>
        </w:rPr>
        <w:t xml:space="preserve"> constitutional damages. The defendant</w:t>
      </w:r>
      <w:r w:rsidR="005C5184" w:rsidRPr="0082516A">
        <w:rPr>
          <w:lang w:val="en-ZA"/>
        </w:rPr>
        <w:t xml:space="preserve"> pleads that: i) the plaintiff has available to it and</w:t>
      </w:r>
      <w:r w:rsidR="00D81D63" w:rsidRPr="0082516A">
        <w:rPr>
          <w:lang w:val="en-ZA"/>
        </w:rPr>
        <w:t>,</w:t>
      </w:r>
      <w:r w:rsidR="005C5184" w:rsidRPr="0082516A">
        <w:rPr>
          <w:lang w:val="en-ZA"/>
        </w:rPr>
        <w:t xml:space="preserve"> in fact</w:t>
      </w:r>
      <w:r w:rsidR="00D81D63" w:rsidRPr="0082516A">
        <w:rPr>
          <w:lang w:val="en-ZA"/>
        </w:rPr>
        <w:t>,</w:t>
      </w:r>
      <w:r w:rsidR="005C5184" w:rsidRPr="0082516A">
        <w:rPr>
          <w:lang w:val="en-ZA"/>
        </w:rPr>
        <w:t xml:space="preserve"> concurrently claims common law general damages and constitutional damages</w:t>
      </w:r>
      <w:r w:rsidR="001B6B22" w:rsidRPr="0082516A">
        <w:rPr>
          <w:lang w:val="en-ZA"/>
        </w:rPr>
        <w:t>;</w:t>
      </w:r>
      <w:r w:rsidR="005C5184" w:rsidRPr="0082516A">
        <w:rPr>
          <w:lang w:val="en-ZA"/>
        </w:rPr>
        <w:t xml:space="preserve"> ii) </w:t>
      </w:r>
      <w:r w:rsidR="00884316" w:rsidRPr="0082516A">
        <w:rPr>
          <w:lang w:val="en-ZA"/>
        </w:rPr>
        <w:t>that a claim for constitutional damages is inappropriate, unavailable and not recognised in law</w:t>
      </w:r>
      <w:r w:rsidR="001B6B22" w:rsidRPr="0082516A">
        <w:rPr>
          <w:lang w:val="en-ZA"/>
        </w:rPr>
        <w:t>; and</w:t>
      </w:r>
      <w:r w:rsidR="004039D9" w:rsidRPr="0082516A">
        <w:rPr>
          <w:lang w:val="en-ZA"/>
        </w:rPr>
        <w:t xml:space="preserve"> iii) </w:t>
      </w:r>
      <w:r w:rsidR="000B35E6" w:rsidRPr="0082516A">
        <w:rPr>
          <w:lang w:val="en-ZA"/>
        </w:rPr>
        <w:t xml:space="preserve">with the availability of common law damages, </w:t>
      </w:r>
      <w:r w:rsidR="00B11647">
        <w:rPr>
          <w:lang w:val="en-ZA"/>
        </w:rPr>
        <w:t xml:space="preserve">a claim for </w:t>
      </w:r>
      <w:r w:rsidR="000B35E6" w:rsidRPr="0082516A">
        <w:rPr>
          <w:lang w:val="en-ZA"/>
        </w:rPr>
        <w:t>constitutional damage</w:t>
      </w:r>
      <w:r w:rsidR="00B11647">
        <w:rPr>
          <w:lang w:val="en-ZA"/>
        </w:rPr>
        <w:t xml:space="preserve"> is</w:t>
      </w:r>
      <w:r w:rsidR="000B35E6" w:rsidRPr="0082516A">
        <w:rPr>
          <w:lang w:val="en-ZA"/>
        </w:rPr>
        <w:t xml:space="preserve"> not available to the plaintiff.</w:t>
      </w:r>
    </w:p>
    <w:p w14:paraId="431B7D1E" w14:textId="477884F1" w:rsidR="00D43DDA" w:rsidRPr="0082516A" w:rsidRDefault="006461D5" w:rsidP="006461D5">
      <w:pPr>
        <w:pStyle w:val="JUDGMENTNUMBERED"/>
        <w:numPr>
          <w:ilvl w:val="0"/>
          <w:numId w:val="0"/>
        </w:numPr>
        <w:ind w:left="709" w:hanging="709"/>
        <w:rPr>
          <w:lang w:val="en-ZA"/>
        </w:rPr>
      </w:pPr>
      <w:r w:rsidRPr="0082516A">
        <w:rPr>
          <w:rFonts w:cs="Arial"/>
          <w:color w:val="000000"/>
          <w:lang w:val="en-ZA"/>
        </w:rPr>
        <w:t>[29]</w:t>
      </w:r>
      <w:r w:rsidRPr="0082516A">
        <w:rPr>
          <w:rFonts w:cs="Arial"/>
          <w:color w:val="000000"/>
          <w:lang w:val="en-ZA"/>
        </w:rPr>
        <w:tab/>
      </w:r>
      <w:r w:rsidR="004C6075" w:rsidRPr="0082516A">
        <w:rPr>
          <w:lang w:val="en-ZA"/>
        </w:rPr>
        <w:t>Counsel for the defendant relied strongly on the matter of</w:t>
      </w:r>
      <w:r w:rsidR="00236ECB" w:rsidRPr="0082516A">
        <w:rPr>
          <w:lang w:val="en-ZA"/>
        </w:rPr>
        <w:t xml:space="preserve"> </w:t>
      </w:r>
      <w:r w:rsidR="00A91BC1" w:rsidRPr="00A91BC1">
        <w:rPr>
          <w:i/>
          <w:lang w:val="en-ZA"/>
        </w:rPr>
        <w:t>Fose</w:t>
      </w:r>
      <w:r w:rsidR="00AD0AC6" w:rsidRPr="0082516A">
        <w:rPr>
          <w:lang w:val="en-ZA"/>
        </w:rPr>
        <w:t>,</w:t>
      </w:r>
      <w:r w:rsidR="0056581D" w:rsidRPr="0082516A">
        <w:rPr>
          <w:lang w:val="en-ZA"/>
        </w:rPr>
        <w:t xml:space="preserve"> in which it was held that, </w:t>
      </w:r>
      <w:r w:rsidR="00EC084D">
        <w:rPr>
          <w:lang w:val="en-ZA"/>
        </w:rPr>
        <w:t xml:space="preserve">on the facts </w:t>
      </w:r>
      <w:r w:rsidR="0056581D" w:rsidRPr="0082516A">
        <w:rPr>
          <w:lang w:val="en-ZA"/>
        </w:rPr>
        <w:t>in that matter</w:t>
      </w:r>
      <w:r w:rsidR="00E927ED" w:rsidRPr="0082516A">
        <w:rPr>
          <w:lang w:val="en-ZA"/>
        </w:rPr>
        <w:t xml:space="preserve">, there was </w:t>
      </w:r>
      <w:r w:rsidR="007E66C2">
        <w:rPr>
          <w:lang w:val="en-ZA"/>
        </w:rPr>
        <w:t>no</w:t>
      </w:r>
      <w:r w:rsidR="00E927ED" w:rsidRPr="0082516A">
        <w:rPr>
          <w:lang w:val="en-ZA"/>
        </w:rPr>
        <w:t xml:space="preserve"> place for punitive constitutional damages</w:t>
      </w:r>
      <w:r w:rsidR="00CA739E">
        <w:rPr>
          <w:lang w:val="en-ZA"/>
        </w:rPr>
        <w:t>. A</w:t>
      </w:r>
      <w:r w:rsidR="009A3F41">
        <w:rPr>
          <w:lang w:val="en-ZA"/>
        </w:rPr>
        <w:t>ccordingly</w:t>
      </w:r>
      <w:r w:rsidR="00343F72">
        <w:rPr>
          <w:lang w:val="en-ZA"/>
        </w:rPr>
        <w:t>,</w:t>
      </w:r>
      <w:r w:rsidR="009A3F41">
        <w:rPr>
          <w:lang w:val="en-ZA"/>
        </w:rPr>
        <w:t xml:space="preserve"> the defendant’s exc</w:t>
      </w:r>
      <w:r w:rsidR="00820605" w:rsidRPr="0082516A">
        <w:rPr>
          <w:lang w:val="en-ZA"/>
        </w:rPr>
        <w:t>eption was upheld.</w:t>
      </w:r>
      <w:r w:rsidR="004F6229" w:rsidRPr="0082516A">
        <w:rPr>
          <w:lang w:val="en-ZA"/>
        </w:rPr>
        <w:t xml:space="preserve"> </w:t>
      </w:r>
      <w:r w:rsidR="00F42911" w:rsidRPr="0082516A">
        <w:rPr>
          <w:lang w:val="en-ZA"/>
        </w:rPr>
        <w:t xml:space="preserve">The plaintiff further relied on the cases of </w:t>
      </w:r>
      <w:r w:rsidR="00A91BC1" w:rsidRPr="00A91BC1">
        <w:rPr>
          <w:i/>
          <w:lang w:val="en-ZA"/>
        </w:rPr>
        <w:t>Komape</w:t>
      </w:r>
      <w:r w:rsidR="0062326F" w:rsidRPr="0082516A">
        <w:rPr>
          <w:lang w:val="en-ZA"/>
        </w:rPr>
        <w:t xml:space="preserve"> and</w:t>
      </w:r>
      <w:r w:rsidR="00720340" w:rsidRPr="0082516A">
        <w:rPr>
          <w:lang w:val="en-ZA"/>
        </w:rPr>
        <w:t xml:space="preserve"> </w:t>
      </w:r>
      <w:r w:rsidR="00A91BC1" w:rsidRPr="00A91BC1">
        <w:rPr>
          <w:i/>
          <w:lang w:val="en-ZA"/>
        </w:rPr>
        <w:t>Industry House</w:t>
      </w:r>
      <w:r w:rsidR="0062326F" w:rsidRPr="0082516A">
        <w:rPr>
          <w:lang w:val="en-ZA"/>
        </w:rPr>
        <w:t xml:space="preserve"> in support of the latter contention</w:t>
      </w:r>
      <w:r w:rsidR="00087B9C" w:rsidRPr="0082516A">
        <w:rPr>
          <w:lang w:val="en-ZA"/>
        </w:rPr>
        <w:t xml:space="preserve">s. </w:t>
      </w:r>
      <w:r w:rsidR="005D6174" w:rsidRPr="0082516A">
        <w:rPr>
          <w:lang w:val="en-ZA"/>
        </w:rPr>
        <w:t>It was submitted that the cases of</w:t>
      </w:r>
      <w:r w:rsidR="00087B9C" w:rsidRPr="0082516A">
        <w:rPr>
          <w:lang w:val="en-ZA"/>
        </w:rPr>
        <w:t xml:space="preserve"> </w:t>
      </w:r>
      <w:r w:rsidR="00A91BC1" w:rsidRPr="00A91BC1">
        <w:rPr>
          <w:i/>
          <w:lang w:val="en-ZA"/>
        </w:rPr>
        <w:t>Modderklip</w:t>
      </w:r>
      <w:r w:rsidR="00087B9C" w:rsidRPr="0082516A">
        <w:rPr>
          <w:lang w:val="en-ZA"/>
        </w:rPr>
        <w:t xml:space="preserve"> and </w:t>
      </w:r>
      <w:r w:rsidR="00A91BC1" w:rsidRPr="00A91BC1">
        <w:rPr>
          <w:i/>
          <w:lang w:val="en-ZA"/>
        </w:rPr>
        <w:t>Kate</w:t>
      </w:r>
      <w:r w:rsidR="005D6174" w:rsidRPr="0082516A">
        <w:rPr>
          <w:lang w:val="en-ZA"/>
        </w:rPr>
        <w:t xml:space="preserve"> were distinguishable from the plaintiff’s case. </w:t>
      </w:r>
      <w:r w:rsidR="003D151E" w:rsidRPr="0082516A">
        <w:rPr>
          <w:lang w:val="en-ZA"/>
        </w:rPr>
        <w:t>I shall deal</w:t>
      </w:r>
      <w:r w:rsidR="007A4357" w:rsidRPr="0082516A">
        <w:rPr>
          <w:lang w:val="en-ZA"/>
        </w:rPr>
        <w:t xml:space="preserve"> </w:t>
      </w:r>
      <w:r w:rsidR="004B6EFF" w:rsidRPr="0082516A">
        <w:rPr>
          <w:lang w:val="en-ZA"/>
        </w:rPr>
        <w:t>more</w:t>
      </w:r>
      <w:r w:rsidR="007A4357" w:rsidRPr="0082516A">
        <w:rPr>
          <w:lang w:val="en-ZA"/>
        </w:rPr>
        <w:t xml:space="preserve"> fully</w:t>
      </w:r>
      <w:r w:rsidR="003D151E" w:rsidRPr="0082516A">
        <w:rPr>
          <w:lang w:val="en-ZA"/>
        </w:rPr>
        <w:t xml:space="preserve"> with</w:t>
      </w:r>
      <w:r w:rsidR="00E07D88" w:rsidRPr="0082516A">
        <w:rPr>
          <w:lang w:val="en-ZA"/>
        </w:rPr>
        <w:t xml:space="preserve"> </w:t>
      </w:r>
      <w:r w:rsidR="00A91BC1" w:rsidRPr="00A91BC1">
        <w:rPr>
          <w:i/>
          <w:lang w:val="en-ZA"/>
        </w:rPr>
        <w:t>Fose</w:t>
      </w:r>
      <w:r w:rsidR="00E07D88" w:rsidRPr="0082516A">
        <w:rPr>
          <w:lang w:val="en-ZA"/>
        </w:rPr>
        <w:t>,</w:t>
      </w:r>
      <w:r w:rsidR="003D151E" w:rsidRPr="0082516A">
        <w:rPr>
          <w:lang w:val="en-ZA"/>
        </w:rPr>
        <w:t xml:space="preserve"> </w:t>
      </w:r>
      <w:r w:rsidR="00A91BC1" w:rsidRPr="00A91BC1">
        <w:rPr>
          <w:i/>
          <w:lang w:val="en-ZA"/>
        </w:rPr>
        <w:t>Komape</w:t>
      </w:r>
      <w:r w:rsidR="007A4357" w:rsidRPr="0082516A">
        <w:rPr>
          <w:lang w:val="en-ZA"/>
        </w:rPr>
        <w:t xml:space="preserve">, </w:t>
      </w:r>
      <w:r w:rsidR="00A91BC1" w:rsidRPr="00A91BC1">
        <w:rPr>
          <w:i/>
          <w:lang w:val="en-ZA"/>
        </w:rPr>
        <w:t>Industry House</w:t>
      </w:r>
      <w:r w:rsidR="007A4357" w:rsidRPr="0082516A">
        <w:rPr>
          <w:lang w:val="en-ZA"/>
        </w:rPr>
        <w:t xml:space="preserve">, </w:t>
      </w:r>
      <w:r w:rsidR="00A91BC1" w:rsidRPr="00A91BC1">
        <w:rPr>
          <w:i/>
          <w:lang w:val="en-ZA"/>
        </w:rPr>
        <w:t>Modderklip</w:t>
      </w:r>
      <w:r w:rsidR="007A4357" w:rsidRPr="0082516A">
        <w:rPr>
          <w:lang w:val="en-ZA"/>
        </w:rPr>
        <w:t xml:space="preserve"> and </w:t>
      </w:r>
      <w:r w:rsidR="00A91BC1" w:rsidRPr="00A91BC1">
        <w:rPr>
          <w:i/>
          <w:lang w:val="en-ZA"/>
        </w:rPr>
        <w:t>Kate</w:t>
      </w:r>
      <w:r w:rsidR="007A4357" w:rsidRPr="0082516A">
        <w:rPr>
          <w:lang w:val="en-ZA"/>
        </w:rPr>
        <w:t xml:space="preserve"> </w:t>
      </w:r>
      <w:r w:rsidR="00E07D88" w:rsidRPr="0082516A">
        <w:rPr>
          <w:lang w:val="en-ZA"/>
        </w:rPr>
        <w:t>below.</w:t>
      </w:r>
      <w:r w:rsidR="00634461" w:rsidRPr="0082516A">
        <w:rPr>
          <w:lang w:val="en-ZA"/>
        </w:rPr>
        <w:t xml:space="preserve"> </w:t>
      </w:r>
      <w:r w:rsidR="00634461" w:rsidRPr="0082516A">
        <w:rPr>
          <w:iCs/>
          <w:lang w:val="en-ZA"/>
        </w:rPr>
        <w:t xml:space="preserve">Counsel for the defendant highlighted that the judgement in </w:t>
      </w:r>
      <w:r w:rsidR="00A91BC1" w:rsidRPr="00A91BC1">
        <w:rPr>
          <w:i/>
          <w:iCs/>
          <w:lang w:val="en-ZA"/>
        </w:rPr>
        <w:t>Kate</w:t>
      </w:r>
      <w:r w:rsidR="00634461" w:rsidRPr="0082516A">
        <w:rPr>
          <w:iCs/>
          <w:lang w:val="en-ZA"/>
        </w:rPr>
        <w:t xml:space="preserve"> was </w:t>
      </w:r>
      <w:r w:rsidR="005107DD">
        <w:rPr>
          <w:iCs/>
          <w:lang w:val="en-ZA"/>
        </w:rPr>
        <w:t>criticised</w:t>
      </w:r>
      <w:r w:rsidR="00634461" w:rsidRPr="0082516A">
        <w:rPr>
          <w:iCs/>
          <w:lang w:val="en-ZA"/>
        </w:rPr>
        <w:t xml:space="preserve"> by Jafta J in </w:t>
      </w:r>
      <w:r w:rsidR="00A91BC1" w:rsidRPr="00A91BC1">
        <w:rPr>
          <w:i/>
          <w:iCs/>
          <w:lang w:val="en-ZA"/>
        </w:rPr>
        <w:t>Industry House</w:t>
      </w:r>
      <w:r w:rsidR="00634461" w:rsidRPr="0082516A">
        <w:rPr>
          <w:iCs/>
          <w:lang w:val="en-ZA"/>
        </w:rPr>
        <w:t xml:space="preserve">, stating that the SCA departed from its own previous decisions, including </w:t>
      </w:r>
      <w:r w:rsidR="00A91BC1" w:rsidRPr="00A91BC1">
        <w:rPr>
          <w:i/>
          <w:iCs/>
          <w:lang w:val="en-ZA"/>
        </w:rPr>
        <w:t>Modderklip</w:t>
      </w:r>
      <w:r w:rsidR="00634461" w:rsidRPr="0082516A">
        <w:rPr>
          <w:iCs/>
          <w:lang w:val="en-ZA"/>
        </w:rPr>
        <w:t>, and was at variance with the principles previously espoused by both the Constitutional Court as well as the SCA.</w:t>
      </w:r>
    </w:p>
    <w:p w14:paraId="4B0A8F88" w14:textId="0624A91E" w:rsidR="0017150D" w:rsidRPr="0082516A" w:rsidRDefault="006461D5" w:rsidP="006461D5">
      <w:pPr>
        <w:pStyle w:val="JUDGMENTNUMBERED"/>
        <w:numPr>
          <w:ilvl w:val="0"/>
          <w:numId w:val="0"/>
        </w:numPr>
        <w:ind w:left="709" w:hanging="709"/>
        <w:rPr>
          <w:iCs/>
          <w:lang w:val="en-ZA"/>
        </w:rPr>
      </w:pPr>
      <w:r w:rsidRPr="0082516A">
        <w:rPr>
          <w:rFonts w:cs="Arial"/>
          <w:color w:val="000000"/>
          <w:lang w:val="en-ZA"/>
        </w:rPr>
        <w:t>[30]</w:t>
      </w:r>
      <w:r w:rsidRPr="0082516A">
        <w:rPr>
          <w:rFonts w:cs="Arial"/>
          <w:color w:val="000000"/>
          <w:lang w:val="en-ZA"/>
        </w:rPr>
        <w:tab/>
      </w:r>
      <w:r w:rsidR="0017150D" w:rsidRPr="0082516A">
        <w:rPr>
          <w:lang w:val="en-ZA"/>
        </w:rPr>
        <w:t xml:space="preserve">Counsel for the plaintiff argued that a party’s right to claim constitutional damages where it has a claim in delict is not precluded in absolute terms. In support of this contention, counsel relied on </w:t>
      </w:r>
      <w:r w:rsidR="002B0BDE" w:rsidRPr="002B0BDE">
        <w:rPr>
          <w:i/>
          <w:lang w:val="en-ZA"/>
        </w:rPr>
        <w:t>Thubakgale</w:t>
      </w:r>
      <w:r w:rsidR="00CA3AA3" w:rsidRPr="00CA3AA3">
        <w:rPr>
          <w:iCs/>
          <w:lang w:val="en-ZA"/>
        </w:rPr>
        <w:t>,</w:t>
      </w:r>
      <w:r w:rsidR="0017150D" w:rsidRPr="0082516A">
        <w:rPr>
          <w:lang w:val="en-ZA"/>
        </w:rPr>
        <w:t xml:space="preserve"> in which it was stated that “</w:t>
      </w:r>
      <w:r w:rsidR="0017150D" w:rsidRPr="0082516A">
        <w:rPr>
          <w:i/>
          <w:lang w:val="en-ZA"/>
        </w:rPr>
        <w:t>Courts are under an obligation in terms of section 38 of the Constitution to grant “appropriate relief” when approached by someone who seeks to enforce a right in the Bill of Rights that has been infringed or threatened, and this may include constitutional damages”</w:t>
      </w:r>
      <w:r w:rsidR="0017150D" w:rsidRPr="0082516A">
        <w:rPr>
          <w:iCs/>
          <w:lang w:val="en-ZA"/>
        </w:rPr>
        <w:t>.</w:t>
      </w:r>
      <w:r w:rsidR="0017150D" w:rsidRPr="0082516A">
        <w:rPr>
          <w:lang w:val="en-ZA"/>
        </w:rPr>
        <w:t xml:space="preserve">  Further, it was highlighted in </w:t>
      </w:r>
      <w:r w:rsidR="00A91BC1" w:rsidRPr="00A91BC1">
        <w:rPr>
          <w:i/>
          <w:lang w:val="en-ZA"/>
        </w:rPr>
        <w:t>Fose</w:t>
      </w:r>
      <w:r w:rsidR="0017150D" w:rsidRPr="0082516A">
        <w:rPr>
          <w:lang w:val="en-ZA"/>
        </w:rPr>
        <w:t xml:space="preserve"> [</w:t>
      </w:r>
      <w:r w:rsidR="0017150D" w:rsidRPr="0082516A">
        <w:rPr>
          <w:rStyle w:val="FootnoteReference"/>
          <w:lang w:val="en-ZA"/>
        </w:rPr>
        <w:footnoteReference w:id="10"/>
      </w:r>
      <w:r w:rsidR="0017150D" w:rsidRPr="0082516A">
        <w:rPr>
          <w:lang w:val="en-ZA"/>
        </w:rPr>
        <w:t xml:space="preserve">] that courts have a particular responsibility to “forge the tools” and shape innovative remedies to </w:t>
      </w:r>
      <w:r w:rsidR="00B561D7">
        <w:rPr>
          <w:lang w:val="en-ZA"/>
        </w:rPr>
        <w:t>vindicate the Constitution.</w:t>
      </w:r>
      <w:r w:rsidR="0017150D" w:rsidRPr="0082516A">
        <w:rPr>
          <w:lang w:val="en-ZA"/>
        </w:rPr>
        <w:t xml:space="preserve"> Counsel contended that the defendant’s proposition was inconsistent with the constitution because courts </w:t>
      </w:r>
      <w:r w:rsidR="0029104A">
        <w:rPr>
          <w:lang w:val="en-ZA"/>
        </w:rPr>
        <w:t>must</w:t>
      </w:r>
      <w:r w:rsidR="0017150D" w:rsidRPr="0082516A">
        <w:rPr>
          <w:lang w:val="en-ZA"/>
        </w:rPr>
        <w:t xml:space="preserve"> be innovative in fashioning new remedies to meet constitutional obligations, and courts enjoy wide discretion to decide on what remedy would be effective, suitable or</w:t>
      </w:r>
      <w:r w:rsidR="00FE4645">
        <w:rPr>
          <w:lang w:val="en-ZA"/>
        </w:rPr>
        <w:t>,</w:t>
      </w:r>
      <w:r w:rsidR="0017150D" w:rsidRPr="0082516A">
        <w:rPr>
          <w:lang w:val="en-ZA"/>
        </w:rPr>
        <w:t xml:space="preserve"> just and equitable. During </w:t>
      </w:r>
      <w:r w:rsidR="00343238">
        <w:rPr>
          <w:lang w:val="en-ZA"/>
        </w:rPr>
        <w:t>his address</w:t>
      </w:r>
      <w:r w:rsidR="0017150D" w:rsidRPr="0082516A">
        <w:rPr>
          <w:lang w:val="en-ZA"/>
        </w:rPr>
        <w:t xml:space="preserve">, the plaintiff’s counsel </w:t>
      </w:r>
      <w:r w:rsidR="0017150D" w:rsidRPr="0082516A">
        <w:rPr>
          <w:lang w:val="en-ZA"/>
        </w:rPr>
        <w:lastRenderedPageBreak/>
        <w:t>emphasised the degree of seriousness of the references in the charge sheet and the report to the Board of Directors</w:t>
      </w:r>
      <w:r w:rsidR="00FD2AEE">
        <w:rPr>
          <w:lang w:val="en-ZA"/>
        </w:rPr>
        <w:t xml:space="preserve"> concerning the plaintiff.</w:t>
      </w:r>
      <w:r w:rsidR="00A71269">
        <w:rPr>
          <w:lang w:val="en-ZA"/>
        </w:rPr>
        <w:t xml:space="preserve"> Consequently, </w:t>
      </w:r>
      <w:r w:rsidR="0017150D" w:rsidRPr="0082516A">
        <w:rPr>
          <w:lang w:val="en-ZA"/>
        </w:rPr>
        <w:t xml:space="preserve">the claim for constitutional damages in addition to delictual damages was justified. As pleaded by the plaintiff, </w:t>
      </w:r>
      <w:r w:rsidR="00F82970">
        <w:rPr>
          <w:lang w:val="en-ZA"/>
        </w:rPr>
        <w:t>Claim B</w:t>
      </w:r>
      <w:r w:rsidR="0017150D" w:rsidRPr="0082516A">
        <w:rPr>
          <w:lang w:val="en-ZA"/>
        </w:rPr>
        <w:t xml:space="preserve"> </w:t>
      </w:r>
      <w:r w:rsidR="00F82970">
        <w:rPr>
          <w:lang w:val="en-ZA"/>
        </w:rPr>
        <w:t xml:space="preserve">is </w:t>
      </w:r>
      <w:r w:rsidR="0017150D" w:rsidRPr="0082516A">
        <w:rPr>
          <w:lang w:val="en-ZA"/>
        </w:rPr>
        <w:t xml:space="preserve">premised on </w:t>
      </w:r>
      <w:r w:rsidR="00A92F09">
        <w:rPr>
          <w:lang w:val="en-ZA"/>
        </w:rPr>
        <w:t>infringing</w:t>
      </w:r>
      <w:r w:rsidR="0017150D" w:rsidRPr="0082516A">
        <w:rPr>
          <w:lang w:val="en-ZA"/>
        </w:rPr>
        <w:t xml:space="preserve"> her constitutional rights, whereas the common law claim is premised on the duty to create a safe work environment. Counsel contended that the facts of </w:t>
      </w:r>
      <w:r w:rsidR="00A91BC1" w:rsidRPr="00A91BC1">
        <w:rPr>
          <w:i/>
          <w:lang w:val="en-ZA"/>
        </w:rPr>
        <w:t>Komape</w:t>
      </w:r>
      <w:r w:rsidR="0017150D" w:rsidRPr="0082516A">
        <w:rPr>
          <w:lang w:val="en-ZA"/>
        </w:rPr>
        <w:t xml:space="preserve"> were distinguishable from the instant matter.</w:t>
      </w:r>
      <w:r w:rsidR="00E1533A" w:rsidRPr="0082516A">
        <w:rPr>
          <w:lang w:val="en-ZA"/>
        </w:rPr>
        <w:t xml:space="preserve"> </w:t>
      </w:r>
    </w:p>
    <w:p w14:paraId="6F3137D5" w14:textId="77777777" w:rsidR="0017150D" w:rsidRPr="0082516A" w:rsidRDefault="0017150D" w:rsidP="0017150D">
      <w:pPr>
        <w:pStyle w:val="JUDGMENTCONTINUED"/>
        <w:rPr>
          <w:lang w:val="en-ZA"/>
        </w:rPr>
      </w:pPr>
    </w:p>
    <w:p w14:paraId="2C434987" w14:textId="02B89E53" w:rsidR="00716B20" w:rsidRPr="0082516A" w:rsidRDefault="004B6EFF" w:rsidP="004B6EFF">
      <w:pPr>
        <w:pStyle w:val="JudgmentHeading"/>
      </w:pPr>
      <w:r w:rsidRPr="0082516A">
        <w:t>Case Law</w:t>
      </w:r>
    </w:p>
    <w:p w14:paraId="0F3BB5F5" w14:textId="18CCDC1B" w:rsidR="000945B4" w:rsidRPr="0082516A" w:rsidRDefault="006461D5" w:rsidP="006461D5">
      <w:pPr>
        <w:pStyle w:val="JUDGMENTNUMBERED"/>
        <w:numPr>
          <w:ilvl w:val="0"/>
          <w:numId w:val="0"/>
        </w:numPr>
        <w:ind w:left="709" w:hanging="709"/>
        <w:rPr>
          <w:lang w:val="en-ZA"/>
        </w:rPr>
      </w:pPr>
      <w:r w:rsidRPr="0082516A">
        <w:rPr>
          <w:rFonts w:cs="Arial"/>
          <w:color w:val="000000"/>
          <w:lang w:val="en-ZA"/>
        </w:rPr>
        <w:t>[31]</w:t>
      </w:r>
      <w:r w:rsidRPr="0082516A">
        <w:rPr>
          <w:rFonts w:cs="Arial"/>
          <w:color w:val="000000"/>
          <w:lang w:val="en-ZA"/>
        </w:rPr>
        <w:tab/>
      </w:r>
      <w:r w:rsidR="000945B4" w:rsidRPr="0082516A">
        <w:rPr>
          <w:lang w:val="en-ZA"/>
        </w:rPr>
        <w:t xml:space="preserve">In </w:t>
      </w:r>
      <w:r w:rsidR="00A91BC1" w:rsidRPr="00E057CF">
        <w:rPr>
          <w:i/>
          <w:lang w:val="en-ZA"/>
        </w:rPr>
        <w:t>Fose</w:t>
      </w:r>
      <w:r w:rsidR="00C47C9B" w:rsidRPr="00E057CF">
        <w:rPr>
          <w:i/>
          <w:lang w:val="en-ZA"/>
        </w:rPr>
        <w:t xml:space="preserve"> v Minister of Safety and Security</w:t>
      </w:r>
      <w:r w:rsidR="00C47C9B" w:rsidRPr="0082516A">
        <w:rPr>
          <w:lang w:val="en-ZA"/>
        </w:rPr>
        <w:t xml:space="preserve"> [</w:t>
      </w:r>
      <w:r w:rsidR="00C47C9B" w:rsidRPr="0082516A">
        <w:rPr>
          <w:rStyle w:val="FootnoteReference"/>
          <w:lang w:val="en-ZA"/>
        </w:rPr>
        <w:footnoteReference w:id="11"/>
      </w:r>
      <w:r w:rsidR="00C47C9B" w:rsidRPr="0082516A">
        <w:rPr>
          <w:lang w:val="en-ZA"/>
        </w:rPr>
        <w:t>] (“</w:t>
      </w:r>
      <w:r w:rsidR="00A91BC1" w:rsidRPr="00A91BC1">
        <w:rPr>
          <w:i/>
          <w:lang w:val="en-ZA"/>
        </w:rPr>
        <w:t>Fose</w:t>
      </w:r>
      <w:r w:rsidR="00C47C9B" w:rsidRPr="0082516A">
        <w:rPr>
          <w:lang w:val="en-ZA"/>
        </w:rPr>
        <w:t>”)</w:t>
      </w:r>
      <w:r w:rsidR="000945B4" w:rsidRPr="0082516A">
        <w:rPr>
          <w:lang w:val="en-ZA"/>
        </w:rPr>
        <w:t>, the plaintiff sued the defendant for damages arising out of a series of assaults by members of the South African Police Force. The plaintiff alleged that these incidents constituted an infringement of the plaintiff’s fundamental rights as enshrined in chapter 3 of the interim Constitution, more particularly, the right to human dignity, freedom and security of the person, privacy</w:t>
      </w:r>
      <w:r w:rsidR="00D7615C">
        <w:rPr>
          <w:lang w:val="en-ZA"/>
        </w:rPr>
        <w:t>,</w:t>
      </w:r>
      <w:r w:rsidR="000945B4" w:rsidRPr="0082516A">
        <w:rPr>
          <w:lang w:val="en-ZA"/>
        </w:rPr>
        <w:t xml:space="preserve"> and to be arrested and detained lawfully. </w:t>
      </w:r>
    </w:p>
    <w:p w14:paraId="00C02F15" w14:textId="4DB44BCD" w:rsidR="000945B4" w:rsidRPr="0082516A" w:rsidRDefault="006461D5" w:rsidP="006461D5">
      <w:pPr>
        <w:pStyle w:val="JUDGMENTNUMBERED"/>
        <w:numPr>
          <w:ilvl w:val="0"/>
          <w:numId w:val="0"/>
        </w:numPr>
        <w:ind w:left="709" w:hanging="709"/>
        <w:rPr>
          <w:lang w:val="en-ZA"/>
        </w:rPr>
      </w:pPr>
      <w:r w:rsidRPr="0082516A">
        <w:rPr>
          <w:rFonts w:cs="Arial"/>
          <w:color w:val="000000"/>
          <w:lang w:val="en-ZA"/>
        </w:rPr>
        <w:t>[32]</w:t>
      </w:r>
      <w:r w:rsidRPr="0082516A">
        <w:rPr>
          <w:rFonts w:cs="Arial"/>
          <w:color w:val="000000"/>
          <w:lang w:val="en-ZA"/>
        </w:rPr>
        <w:tab/>
      </w:r>
      <w:r w:rsidR="000945B4" w:rsidRPr="0082516A">
        <w:rPr>
          <w:lang w:val="en-ZA"/>
        </w:rPr>
        <w:t xml:space="preserve">The Constitutional Court was not required to answer the question, in broad terms, whether an action for damages in the nature of constitutional damages </w:t>
      </w:r>
      <w:r w:rsidR="00D7615C">
        <w:rPr>
          <w:lang w:val="en-ZA"/>
        </w:rPr>
        <w:t>exists</w:t>
      </w:r>
      <w:r w:rsidR="000945B4" w:rsidRPr="0082516A">
        <w:rPr>
          <w:lang w:val="en-ZA"/>
        </w:rPr>
        <w:t xml:space="preserve"> in law and whether an order for payment of damages qualifies as appropriate relief for purposes of section 7(4)(a) of the interim Constitution in respect of a threat to or infringement of any of the rights in Chapter 3. That court was concerned with the much narrower task of answering these questions </w:t>
      </w:r>
      <w:r w:rsidR="00D06895">
        <w:rPr>
          <w:lang w:val="en-ZA"/>
        </w:rPr>
        <w:t>concerning</w:t>
      </w:r>
      <w:r w:rsidR="000945B4" w:rsidRPr="0082516A">
        <w:rPr>
          <w:lang w:val="en-ZA"/>
        </w:rPr>
        <w:t xml:space="preserve"> the rights allegedly infringed in </w:t>
      </w:r>
      <w:r w:rsidR="00B15F3E">
        <w:rPr>
          <w:lang w:val="en-ZA"/>
        </w:rPr>
        <w:t>the</w:t>
      </w:r>
      <w:r w:rsidR="000945B4" w:rsidRPr="0082516A">
        <w:rPr>
          <w:lang w:val="en-ZA"/>
        </w:rPr>
        <w:t xml:space="preserve"> case</w:t>
      </w:r>
      <w:r w:rsidR="00B15F3E">
        <w:rPr>
          <w:lang w:val="en-ZA"/>
        </w:rPr>
        <w:t xml:space="preserve"> before it</w:t>
      </w:r>
      <w:r w:rsidR="000945B4" w:rsidRPr="0082516A">
        <w:rPr>
          <w:lang w:val="en-ZA"/>
        </w:rPr>
        <w:t xml:space="preserve"> and only </w:t>
      </w:r>
      <w:r w:rsidR="000D5BC9">
        <w:rPr>
          <w:lang w:val="en-ZA"/>
        </w:rPr>
        <w:t>for</w:t>
      </w:r>
      <w:r w:rsidR="000945B4" w:rsidRPr="0082516A">
        <w:rPr>
          <w:lang w:val="en-ZA"/>
        </w:rPr>
        <w:t xml:space="preserve"> the separate claim for constitutional damages formulated in the claimant’s particulars of claim. [</w:t>
      </w:r>
      <w:r w:rsidR="000945B4" w:rsidRPr="0082516A">
        <w:rPr>
          <w:rStyle w:val="FootnoteReference"/>
          <w:lang w:val="en-ZA"/>
        </w:rPr>
        <w:footnoteReference w:id="12"/>
      </w:r>
      <w:r w:rsidR="000945B4" w:rsidRPr="0082516A">
        <w:rPr>
          <w:lang w:val="en-ZA"/>
        </w:rPr>
        <w:t>]</w:t>
      </w:r>
    </w:p>
    <w:p w14:paraId="30DC0312" w14:textId="334A8A9C" w:rsidR="00EE616B" w:rsidRPr="0082516A" w:rsidRDefault="006461D5" w:rsidP="006461D5">
      <w:pPr>
        <w:pStyle w:val="JUDGMENTNUMBERED"/>
        <w:numPr>
          <w:ilvl w:val="0"/>
          <w:numId w:val="0"/>
        </w:numPr>
        <w:ind w:left="709" w:hanging="709"/>
        <w:rPr>
          <w:lang w:val="en-ZA"/>
        </w:rPr>
      </w:pPr>
      <w:r w:rsidRPr="0082516A">
        <w:rPr>
          <w:rFonts w:cs="Arial"/>
          <w:color w:val="000000"/>
          <w:lang w:val="en-ZA"/>
        </w:rPr>
        <w:t>[33]</w:t>
      </w:r>
      <w:r w:rsidRPr="0082516A">
        <w:rPr>
          <w:rFonts w:cs="Arial"/>
          <w:color w:val="000000"/>
          <w:lang w:val="en-ZA"/>
        </w:rPr>
        <w:tab/>
      </w:r>
      <w:r w:rsidR="003F7A92" w:rsidRPr="0082516A">
        <w:rPr>
          <w:lang w:val="en-ZA"/>
        </w:rPr>
        <w:t xml:space="preserve">In paragraph [70] of the </w:t>
      </w:r>
      <w:r w:rsidR="00A91BC1" w:rsidRPr="00A91BC1">
        <w:rPr>
          <w:i/>
          <w:lang w:val="en-ZA"/>
        </w:rPr>
        <w:t>Fose</w:t>
      </w:r>
      <w:r w:rsidR="003F7A92" w:rsidRPr="0082516A">
        <w:rPr>
          <w:lang w:val="en-ZA"/>
        </w:rPr>
        <w:t xml:space="preserve"> judgment, Ackerman J states</w:t>
      </w:r>
      <w:r w:rsidR="000D5BC9">
        <w:rPr>
          <w:lang w:val="en-ZA"/>
        </w:rPr>
        <w:t>, "</w:t>
      </w:r>
      <w:r w:rsidR="003F7A92" w:rsidRPr="0082516A">
        <w:rPr>
          <w:lang w:val="en-ZA"/>
        </w:rPr>
        <w:t>…</w:t>
      </w:r>
      <w:r w:rsidR="003F7A92" w:rsidRPr="0082516A">
        <w:rPr>
          <w:i/>
          <w:iCs/>
          <w:shd w:val="clear" w:color="auto" w:fill="FFFFFF"/>
          <w:lang w:val="en-ZA"/>
        </w:rPr>
        <w:t>I have come to the conclusion that we ought not, in the present case, to hold that there is any place for punitive constitutional damages</w:t>
      </w:r>
      <w:r w:rsidR="003F7A92" w:rsidRPr="0082516A">
        <w:rPr>
          <w:shd w:val="clear" w:color="auto" w:fill="FFFFFF"/>
          <w:lang w:val="en-ZA"/>
        </w:rPr>
        <w:t xml:space="preserve">….”. This conclusion is fortified by two considerations: </w:t>
      </w:r>
      <w:r w:rsidR="003F7A92" w:rsidRPr="00542E9D">
        <w:rPr>
          <w:i/>
          <w:iCs/>
          <w:shd w:val="clear" w:color="auto" w:fill="FFFFFF"/>
          <w:lang w:val="en-ZA"/>
        </w:rPr>
        <w:t>first</w:t>
      </w:r>
      <w:r w:rsidR="003F7A92" w:rsidRPr="0082516A">
        <w:rPr>
          <w:shd w:val="clear" w:color="auto" w:fill="FFFFFF"/>
          <w:lang w:val="en-ZA"/>
        </w:rPr>
        <w:t xml:space="preserve">, the notion that granting punitive damages against the government will serve as a deterrent against further infringements of rights is </w:t>
      </w:r>
      <w:r w:rsidR="003F7A92" w:rsidRPr="0082516A">
        <w:rPr>
          <w:shd w:val="clear" w:color="auto" w:fill="FFFFFF"/>
          <w:lang w:val="en-ZA"/>
        </w:rPr>
        <w:lastRenderedPageBreak/>
        <w:t xml:space="preserve">an illusion, and </w:t>
      </w:r>
      <w:r w:rsidR="003F7A92" w:rsidRPr="00090504">
        <w:rPr>
          <w:i/>
          <w:iCs/>
          <w:shd w:val="clear" w:color="auto" w:fill="FFFFFF"/>
          <w:lang w:val="en-ZA"/>
        </w:rPr>
        <w:t>second</w:t>
      </w:r>
      <w:r w:rsidR="003F7A92" w:rsidRPr="0082516A">
        <w:rPr>
          <w:shd w:val="clear" w:color="auto" w:fill="FFFFFF"/>
          <w:lang w:val="en-ZA"/>
        </w:rPr>
        <w:t>, awarding punitive damages will place undue economic pressure on the already scarce resources of the fiscus.</w:t>
      </w:r>
      <w:r w:rsidR="00AA0F43" w:rsidRPr="0082516A">
        <w:rPr>
          <w:shd w:val="clear" w:color="auto" w:fill="FFFFFF"/>
          <w:lang w:val="en-ZA"/>
        </w:rPr>
        <w:t xml:space="preserve"> In the concurring judgment of Kriegler J</w:t>
      </w:r>
      <w:r w:rsidR="00373DCB" w:rsidRPr="0082516A">
        <w:rPr>
          <w:shd w:val="clear" w:color="auto" w:fill="FFFFFF"/>
          <w:lang w:val="en-ZA"/>
        </w:rPr>
        <w:t xml:space="preserve">, he expressed </w:t>
      </w:r>
      <w:r w:rsidR="007477E0">
        <w:rPr>
          <w:shd w:val="clear" w:color="auto" w:fill="FFFFFF"/>
          <w:lang w:val="en-ZA"/>
        </w:rPr>
        <w:t>more robust</w:t>
      </w:r>
      <w:r w:rsidR="00373DCB" w:rsidRPr="0082516A">
        <w:rPr>
          <w:shd w:val="clear" w:color="auto" w:fill="FFFFFF"/>
          <w:lang w:val="en-ZA"/>
        </w:rPr>
        <w:t xml:space="preserve"> views </w:t>
      </w:r>
      <w:r w:rsidR="008C009C" w:rsidRPr="0082516A">
        <w:rPr>
          <w:shd w:val="clear" w:color="auto" w:fill="FFFFFF"/>
          <w:lang w:val="en-ZA"/>
        </w:rPr>
        <w:t>that</w:t>
      </w:r>
      <w:r w:rsidR="00373DCB" w:rsidRPr="0082516A">
        <w:rPr>
          <w:shd w:val="clear" w:color="auto" w:fill="FFFFFF"/>
          <w:lang w:val="en-ZA"/>
        </w:rPr>
        <w:t xml:space="preserve"> </w:t>
      </w:r>
      <w:r w:rsidR="008C009C" w:rsidRPr="0082516A">
        <w:rPr>
          <w:lang w:val="en-ZA"/>
        </w:rPr>
        <w:t xml:space="preserve">punitive damages are inappropriate </w:t>
      </w:r>
      <w:r w:rsidR="007477E0">
        <w:rPr>
          <w:lang w:val="en-ZA"/>
        </w:rPr>
        <w:t>to vindicate the Constitution and deter</w:t>
      </w:r>
      <w:r w:rsidR="008C009C" w:rsidRPr="0082516A">
        <w:rPr>
          <w:lang w:val="en-ZA"/>
        </w:rPr>
        <w:t xml:space="preserve"> its further violation</w:t>
      </w:r>
      <w:r w:rsidR="005234A4" w:rsidRPr="0082516A">
        <w:rPr>
          <w:lang w:val="en-ZA"/>
        </w:rPr>
        <w:t>.</w:t>
      </w:r>
      <w:r w:rsidR="00331045" w:rsidRPr="0082516A">
        <w:rPr>
          <w:lang w:val="en-ZA"/>
        </w:rPr>
        <w:t xml:space="preserve"> In paragraph [91], he states</w:t>
      </w:r>
      <w:r w:rsidR="007477E0">
        <w:rPr>
          <w:lang w:val="en-ZA"/>
        </w:rPr>
        <w:t>, "</w:t>
      </w:r>
      <w:r w:rsidR="00331045" w:rsidRPr="0082516A">
        <w:rPr>
          <w:i/>
          <w:iCs/>
          <w:lang w:val="en-ZA"/>
        </w:rPr>
        <w:t>On one point, I respectfully suggest, Ackermann J is uncharacteristically ambivalent.  As I understand the reasoning in paragraphs 69 to 73 of his judgment, my learned colleague in principle condemns punitive damages as a potential remedy for infringements of constitutional rights but at the same time seeks to found the current rejection on the particular facts of this case.  For reasons that I hope to make plain shortly, I agree that we should unequivocally reject punitive damages as a remedy in this case.  I do believe, however, that we should refrain from any broad rejection of any particular remedies in other circumstances.</w:t>
      </w:r>
      <w:r w:rsidR="00977A05" w:rsidRPr="0082516A">
        <w:rPr>
          <w:lang w:val="en-ZA"/>
        </w:rPr>
        <w:t>”</w:t>
      </w:r>
    </w:p>
    <w:p w14:paraId="73DF5EA8" w14:textId="081BF31E" w:rsidR="00964FFA" w:rsidRPr="0082516A" w:rsidRDefault="006461D5" w:rsidP="006461D5">
      <w:pPr>
        <w:pStyle w:val="JUDGMENTNUMBERED"/>
        <w:numPr>
          <w:ilvl w:val="0"/>
          <w:numId w:val="0"/>
        </w:numPr>
        <w:ind w:left="709" w:hanging="709"/>
        <w:rPr>
          <w:lang w:val="en-ZA"/>
        </w:rPr>
      </w:pPr>
      <w:r w:rsidRPr="0082516A">
        <w:rPr>
          <w:rFonts w:cs="Arial"/>
          <w:color w:val="000000"/>
          <w:lang w:val="en-ZA"/>
        </w:rPr>
        <w:t>[34]</w:t>
      </w:r>
      <w:r w:rsidRPr="0082516A">
        <w:rPr>
          <w:rFonts w:cs="Arial"/>
          <w:color w:val="000000"/>
          <w:lang w:val="en-ZA"/>
        </w:rPr>
        <w:tab/>
      </w:r>
      <w:r w:rsidR="00964FFA" w:rsidRPr="00E057CF">
        <w:rPr>
          <w:i/>
          <w:iCs/>
          <w:lang w:val="en-ZA"/>
        </w:rPr>
        <w:t xml:space="preserve">Minister of Police v </w:t>
      </w:r>
      <w:r w:rsidR="002B0BDE" w:rsidRPr="002B0BDE">
        <w:rPr>
          <w:i/>
          <w:lang w:val="en-ZA"/>
        </w:rPr>
        <w:t>Mboweni</w:t>
      </w:r>
      <w:r w:rsidR="00964FFA" w:rsidRPr="0082516A">
        <w:rPr>
          <w:lang w:val="en-ZA"/>
        </w:rPr>
        <w:t xml:space="preserve"> [</w:t>
      </w:r>
      <w:r w:rsidR="00964FFA" w:rsidRPr="0082516A">
        <w:rPr>
          <w:rStyle w:val="FootnoteReference"/>
          <w:lang w:val="en-ZA"/>
        </w:rPr>
        <w:footnoteReference w:id="13"/>
      </w:r>
      <w:r w:rsidR="00964FFA" w:rsidRPr="0082516A">
        <w:rPr>
          <w:lang w:val="en-ZA"/>
        </w:rPr>
        <w:t>] (“</w:t>
      </w:r>
      <w:r w:rsidR="002B0BDE" w:rsidRPr="002B0BDE">
        <w:rPr>
          <w:i/>
          <w:lang w:val="en-ZA"/>
        </w:rPr>
        <w:t>Mboweni</w:t>
      </w:r>
      <w:r w:rsidR="00964FFA" w:rsidRPr="0082516A">
        <w:rPr>
          <w:lang w:val="en-ZA"/>
        </w:rPr>
        <w:t xml:space="preserve">”) concerned the case of assault of the plaintiff by fellow inmates detained at a local police station, as a result of which the plaintiff died five days after his release from custody. The High Court awarded </w:t>
      </w:r>
      <w:r w:rsidR="007824FE" w:rsidRPr="007824FE">
        <w:rPr>
          <w:lang w:val="en-ZA"/>
        </w:rPr>
        <w:t>delictual</w:t>
      </w:r>
      <w:r w:rsidR="00964FFA" w:rsidRPr="0082516A">
        <w:rPr>
          <w:lang w:val="en-ZA"/>
        </w:rPr>
        <w:t xml:space="preserve"> damages for loss of support </w:t>
      </w:r>
      <w:r w:rsidR="009E24F0">
        <w:rPr>
          <w:lang w:val="en-ZA"/>
        </w:rPr>
        <w:t>and</w:t>
      </w:r>
      <w:r w:rsidR="00964FFA" w:rsidRPr="0082516A">
        <w:rPr>
          <w:lang w:val="en-ZA"/>
        </w:rPr>
        <w:t xml:space="preserve"> constitutional damages. The Minister appealed the award of constitutional damages.  Wallis JA held that the proper starting point was to consider whether the </w:t>
      </w:r>
      <w:r w:rsidR="00EB6A25">
        <w:rPr>
          <w:lang w:val="en-ZA"/>
        </w:rPr>
        <w:t>deli</w:t>
      </w:r>
      <w:r w:rsidR="00964FFA" w:rsidRPr="0082516A">
        <w:rPr>
          <w:lang w:val="en-ZA"/>
        </w:rPr>
        <w:t xml:space="preserve">ctual remedy for damages for loss of support was appropriate for compensating the children for a breach of their constitutional rights. If the common law remedy was inadequate, the court should have considered whether </w:t>
      </w:r>
      <w:r w:rsidR="004501B7">
        <w:rPr>
          <w:lang w:val="en-ZA"/>
        </w:rPr>
        <w:t>the development of the common law could remedy this</w:t>
      </w:r>
      <w:r w:rsidR="00964FFA" w:rsidRPr="0082516A">
        <w:rPr>
          <w:lang w:val="en-ZA"/>
        </w:rPr>
        <w:t xml:space="preserve">. </w:t>
      </w:r>
    </w:p>
    <w:p w14:paraId="7C20A50C" w14:textId="6154AA73" w:rsidR="000B35E6" w:rsidRPr="0082516A" w:rsidRDefault="006461D5" w:rsidP="006461D5">
      <w:pPr>
        <w:pStyle w:val="JUDGMENTNUMBERED"/>
        <w:numPr>
          <w:ilvl w:val="0"/>
          <w:numId w:val="0"/>
        </w:numPr>
        <w:ind w:left="709" w:hanging="709"/>
        <w:rPr>
          <w:lang w:val="en-ZA"/>
        </w:rPr>
      </w:pPr>
      <w:r w:rsidRPr="0082516A">
        <w:rPr>
          <w:rFonts w:cs="Arial"/>
          <w:color w:val="000000"/>
          <w:lang w:val="en-ZA"/>
        </w:rPr>
        <w:t>[35]</w:t>
      </w:r>
      <w:r w:rsidRPr="0082516A">
        <w:rPr>
          <w:rFonts w:cs="Arial"/>
          <w:color w:val="000000"/>
          <w:lang w:val="en-ZA"/>
        </w:rPr>
        <w:tab/>
      </w:r>
      <w:r w:rsidR="00B94B35" w:rsidRPr="0082516A">
        <w:rPr>
          <w:lang w:val="en-ZA"/>
        </w:rPr>
        <w:t xml:space="preserve">The case of </w:t>
      </w:r>
      <w:r w:rsidR="00A91BC1" w:rsidRPr="00E057CF">
        <w:rPr>
          <w:i/>
          <w:lang w:val="en-ZA"/>
        </w:rPr>
        <w:t>Komape</w:t>
      </w:r>
      <w:r w:rsidR="0067092E" w:rsidRPr="00E057CF">
        <w:rPr>
          <w:i/>
          <w:lang w:val="en-ZA"/>
        </w:rPr>
        <w:t xml:space="preserve"> and Others v Minister of Basic Education and Others</w:t>
      </w:r>
      <w:r w:rsidR="0067092E" w:rsidRPr="0082516A">
        <w:rPr>
          <w:lang w:val="en-ZA"/>
        </w:rPr>
        <w:t xml:space="preserve"> [</w:t>
      </w:r>
      <w:r w:rsidR="0067092E" w:rsidRPr="0082516A">
        <w:rPr>
          <w:rStyle w:val="FootnoteReference"/>
          <w:lang w:val="en-ZA"/>
        </w:rPr>
        <w:footnoteReference w:id="14"/>
      </w:r>
      <w:r w:rsidR="0067092E" w:rsidRPr="0082516A">
        <w:rPr>
          <w:lang w:val="en-ZA"/>
        </w:rPr>
        <w:t>]</w:t>
      </w:r>
      <w:r w:rsidR="00D74844" w:rsidRPr="0082516A">
        <w:rPr>
          <w:lang w:val="en-ZA"/>
        </w:rPr>
        <w:t xml:space="preserve"> (“</w:t>
      </w:r>
      <w:r w:rsidR="00A91BC1" w:rsidRPr="00A91BC1">
        <w:rPr>
          <w:i/>
          <w:lang w:val="en-ZA"/>
        </w:rPr>
        <w:t>Komape</w:t>
      </w:r>
      <w:r w:rsidR="00D74844" w:rsidRPr="0082516A">
        <w:rPr>
          <w:lang w:val="en-ZA"/>
        </w:rPr>
        <w:t>”)</w:t>
      </w:r>
      <w:r w:rsidR="00B94B35" w:rsidRPr="0082516A">
        <w:rPr>
          <w:lang w:val="en-ZA"/>
        </w:rPr>
        <w:t xml:space="preserve"> </w:t>
      </w:r>
      <w:r w:rsidR="003E43C9" w:rsidRPr="0082516A">
        <w:rPr>
          <w:lang w:val="en-ZA"/>
        </w:rPr>
        <w:t>stemmed</w:t>
      </w:r>
      <w:r w:rsidR="00277BA6" w:rsidRPr="0082516A">
        <w:rPr>
          <w:lang w:val="en-ZA"/>
        </w:rPr>
        <w:t xml:space="preserve"> from the tragic</w:t>
      </w:r>
      <w:r w:rsidR="0054259E" w:rsidRPr="0082516A">
        <w:rPr>
          <w:lang w:val="en-ZA"/>
        </w:rPr>
        <w:t xml:space="preserve"> circumstances </w:t>
      </w:r>
      <w:r w:rsidR="00CF7D13">
        <w:rPr>
          <w:lang w:val="en-ZA"/>
        </w:rPr>
        <w:t>of</w:t>
      </w:r>
      <w:r w:rsidR="00277BA6" w:rsidRPr="0082516A">
        <w:rPr>
          <w:lang w:val="en-ZA"/>
        </w:rPr>
        <w:t xml:space="preserve"> a little boy</w:t>
      </w:r>
      <w:r w:rsidR="007746E6" w:rsidRPr="0082516A">
        <w:rPr>
          <w:lang w:val="en-ZA"/>
        </w:rPr>
        <w:t xml:space="preserve"> who fell into a pit latrine and succumbed by drowning in faeces.</w:t>
      </w:r>
      <w:r w:rsidR="00DF1B97" w:rsidRPr="0082516A">
        <w:rPr>
          <w:lang w:val="en-ZA"/>
        </w:rPr>
        <w:t xml:space="preserve"> The court recognised </w:t>
      </w:r>
      <w:r w:rsidR="00F23AD9">
        <w:rPr>
          <w:lang w:val="en-ZA"/>
        </w:rPr>
        <w:t>no other cases in which damages had been awarded for physical or psychiatric injuries.</w:t>
      </w:r>
      <w:r w:rsidR="00625FB6" w:rsidRPr="0082516A">
        <w:rPr>
          <w:lang w:val="en-ZA"/>
        </w:rPr>
        <w:t xml:space="preserve"> </w:t>
      </w:r>
      <w:r w:rsidR="00F202B6" w:rsidRPr="0082516A">
        <w:rPr>
          <w:lang w:val="en-ZA"/>
        </w:rPr>
        <w:t xml:space="preserve">The court held that </w:t>
      </w:r>
      <w:r w:rsidR="00187A42">
        <w:rPr>
          <w:lang w:val="en-ZA"/>
        </w:rPr>
        <w:t>additional damages would be equivalent to punishment because the parties had received compensation for general damages</w:t>
      </w:r>
      <w:r w:rsidR="00053F2D" w:rsidRPr="0082516A">
        <w:rPr>
          <w:lang w:val="en-ZA"/>
        </w:rPr>
        <w:t xml:space="preserve">. </w:t>
      </w:r>
      <w:r w:rsidR="00AC2478" w:rsidRPr="0082516A">
        <w:rPr>
          <w:lang w:val="en-ZA"/>
        </w:rPr>
        <w:t xml:space="preserve">As such, the parties have already been compensated for the breach </w:t>
      </w:r>
      <w:r w:rsidR="00AC2478" w:rsidRPr="0082516A">
        <w:rPr>
          <w:lang w:val="en-ZA"/>
        </w:rPr>
        <w:lastRenderedPageBreak/>
        <w:t>of the right in question.</w:t>
      </w:r>
      <w:r w:rsidR="009D3FCC" w:rsidRPr="0082516A">
        <w:rPr>
          <w:lang w:val="en-ZA"/>
        </w:rPr>
        <w:t xml:space="preserve"> [</w:t>
      </w:r>
      <w:r w:rsidR="00C15A71" w:rsidRPr="0082516A">
        <w:rPr>
          <w:rStyle w:val="FootnoteReference"/>
          <w:lang w:val="en-ZA"/>
        </w:rPr>
        <w:footnoteReference w:id="15"/>
      </w:r>
      <w:r w:rsidR="009D3FCC" w:rsidRPr="0082516A">
        <w:rPr>
          <w:lang w:val="en-ZA"/>
        </w:rPr>
        <w:t>]</w:t>
      </w:r>
      <w:r w:rsidR="00616BB7" w:rsidRPr="0082516A">
        <w:rPr>
          <w:lang w:val="en-ZA"/>
        </w:rPr>
        <w:t xml:space="preserve"> </w:t>
      </w:r>
      <w:r w:rsidR="00B225C5" w:rsidRPr="0082516A">
        <w:rPr>
          <w:lang w:val="en-ZA"/>
        </w:rPr>
        <w:t>Leach JA held that in South Africa, there was a “</w:t>
      </w:r>
      <w:r w:rsidR="00B225C5" w:rsidRPr="0082516A">
        <w:rPr>
          <w:i/>
          <w:lang w:val="en-ZA"/>
        </w:rPr>
        <w:t>chronic shortage of what would</w:t>
      </w:r>
      <w:r w:rsidR="00DE5BB7" w:rsidRPr="0082516A">
        <w:rPr>
          <w:i/>
          <w:lang w:val="en-ZA"/>
        </w:rPr>
        <w:t xml:space="preserve"> in foreign jurisdictions be regarded as basic infrastructure…</w:t>
      </w:r>
      <w:r w:rsidR="00DE5BB7" w:rsidRPr="0082516A">
        <w:rPr>
          <w:lang w:val="en-ZA"/>
        </w:rPr>
        <w:t>”</w:t>
      </w:r>
      <w:r w:rsidR="00DA7895" w:rsidRPr="0082516A">
        <w:rPr>
          <w:lang w:val="en-ZA"/>
        </w:rPr>
        <w:t xml:space="preserve"> and </w:t>
      </w:r>
      <w:r w:rsidR="00DE5BB7" w:rsidRPr="0082516A">
        <w:rPr>
          <w:lang w:val="en-ZA"/>
        </w:rPr>
        <w:t>that circumstances</w:t>
      </w:r>
      <w:r w:rsidR="00DA7895" w:rsidRPr="0082516A">
        <w:rPr>
          <w:lang w:val="en-ZA"/>
        </w:rPr>
        <w:t xml:space="preserve"> in this state </w:t>
      </w:r>
      <w:r w:rsidR="001822BD" w:rsidRPr="0082516A">
        <w:rPr>
          <w:lang w:val="en-ZA"/>
        </w:rPr>
        <w:t xml:space="preserve">had not changed so much as to regard the approach followed in </w:t>
      </w:r>
      <w:r w:rsidR="00A91BC1" w:rsidRPr="00A91BC1">
        <w:rPr>
          <w:i/>
          <w:lang w:val="en-ZA"/>
        </w:rPr>
        <w:t>Fose</w:t>
      </w:r>
      <w:r w:rsidR="001822BD" w:rsidRPr="0082516A">
        <w:rPr>
          <w:lang w:val="en-ZA"/>
        </w:rPr>
        <w:t xml:space="preserve"> as no longer applicable</w:t>
      </w:r>
      <w:r w:rsidR="00DA1188" w:rsidRPr="0082516A">
        <w:rPr>
          <w:lang w:val="en-ZA"/>
        </w:rPr>
        <w:t>.</w:t>
      </w:r>
      <w:r w:rsidR="00D161F1" w:rsidRPr="0082516A">
        <w:rPr>
          <w:lang w:val="en-ZA"/>
        </w:rPr>
        <w:t xml:space="preserve"> </w:t>
      </w:r>
      <w:r w:rsidR="00617440" w:rsidRPr="0082516A">
        <w:rPr>
          <w:lang w:val="en-ZA"/>
        </w:rPr>
        <w:t xml:space="preserve">Despite </w:t>
      </w:r>
      <w:r w:rsidR="0008044F" w:rsidRPr="0082516A">
        <w:rPr>
          <w:lang w:val="en-ZA"/>
        </w:rPr>
        <w:t xml:space="preserve">the tragic facts before it, the court found that there </w:t>
      </w:r>
      <w:r w:rsidR="00CF34BF" w:rsidRPr="0082516A">
        <w:rPr>
          <w:lang w:val="en-ZA"/>
        </w:rPr>
        <w:t>was</w:t>
      </w:r>
      <w:r w:rsidR="0008044F" w:rsidRPr="0082516A">
        <w:rPr>
          <w:lang w:val="en-ZA"/>
        </w:rPr>
        <w:t xml:space="preserve"> no reason why the deceased </w:t>
      </w:r>
      <w:r w:rsidR="00E52B00" w:rsidRPr="0082516A">
        <w:rPr>
          <w:lang w:val="en-ZA"/>
        </w:rPr>
        <w:t>child’s family should be the beneficiaries of an additional award for constitutional damages</w:t>
      </w:r>
      <w:r w:rsidR="00710C69" w:rsidRPr="0082516A">
        <w:rPr>
          <w:lang w:val="en-ZA"/>
        </w:rPr>
        <w:t xml:space="preserve"> and that there </w:t>
      </w:r>
      <w:r w:rsidR="00046925">
        <w:rPr>
          <w:lang w:val="en-ZA"/>
        </w:rPr>
        <w:t>was</w:t>
      </w:r>
      <w:r w:rsidR="00710C69" w:rsidRPr="0082516A">
        <w:rPr>
          <w:lang w:val="en-ZA"/>
        </w:rPr>
        <w:t xml:space="preserve"> no room for an award of constitutional damages.</w:t>
      </w:r>
      <w:r w:rsidR="000D0EFD" w:rsidRPr="0082516A">
        <w:rPr>
          <w:lang w:val="en-ZA"/>
        </w:rPr>
        <w:t xml:space="preserve"> [</w:t>
      </w:r>
      <w:r w:rsidR="000D0EFD" w:rsidRPr="0082516A">
        <w:rPr>
          <w:rStyle w:val="FootnoteReference"/>
          <w:lang w:val="en-ZA"/>
        </w:rPr>
        <w:footnoteReference w:id="16"/>
      </w:r>
      <w:r w:rsidR="000D0EFD" w:rsidRPr="0082516A">
        <w:rPr>
          <w:lang w:val="en-ZA"/>
        </w:rPr>
        <w:t>]</w:t>
      </w:r>
    </w:p>
    <w:p w14:paraId="630A6A00" w14:textId="10E94DA7" w:rsidR="00C918AE" w:rsidRPr="0082516A" w:rsidRDefault="006461D5" w:rsidP="006461D5">
      <w:pPr>
        <w:pStyle w:val="JUDGMENTNUMBERED"/>
        <w:numPr>
          <w:ilvl w:val="0"/>
          <w:numId w:val="0"/>
        </w:numPr>
        <w:ind w:left="709" w:hanging="709"/>
        <w:rPr>
          <w:lang w:val="en-ZA"/>
        </w:rPr>
      </w:pPr>
      <w:r w:rsidRPr="0082516A">
        <w:rPr>
          <w:rFonts w:cs="Arial"/>
          <w:color w:val="000000"/>
          <w:lang w:val="en-ZA"/>
        </w:rPr>
        <w:t>[36]</w:t>
      </w:r>
      <w:r w:rsidRPr="0082516A">
        <w:rPr>
          <w:rFonts w:cs="Arial"/>
          <w:color w:val="000000"/>
          <w:lang w:val="en-ZA"/>
        </w:rPr>
        <w:tab/>
      </w:r>
      <w:r w:rsidR="000F6D53" w:rsidRPr="0082516A">
        <w:rPr>
          <w:lang w:val="en-ZA"/>
        </w:rPr>
        <w:t>In</w:t>
      </w:r>
      <w:r w:rsidR="00303CD0" w:rsidRPr="0082516A">
        <w:rPr>
          <w:lang w:val="en-ZA"/>
        </w:rPr>
        <w:t xml:space="preserve"> </w:t>
      </w:r>
      <w:r w:rsidR="00D8396E" w:rsidRPr="00E057CF">
        <w:rPr>
          <w:i/>
          <w:iCs/>
          <w:lang w:val="en-ZA"/>
        </w:rPr>
        <w:t>Residence</w:t>
      </w:r>
      <w:r w:rsidR="00EF064F" w:rsidRPr="00E057CF">
        <w:rPr>
          <w:i/>
          <w:iCs/>
          <w:lang w:val="en-ZA"/>
        </w:rPr>
        <w:t xml:space="preserve"> of </w:t>
      </w:r>
      <w:r w:rsidR="00A91BC1" w:rsidRPr="00E057CF">
        <w:rPr>
          <w:i/>
          <w:iCs/>
          <w:lang w:val="en-ZA"/>
        </w:rPr>
        <w:t>Industry House</w:t>
      </w:r>
      <w:r w:rsidR="00EF064F" w:rsidRPr="00E057CF">
        <w:rPr>
          <w:i/>
          <w:iCs/>
          <w:lang w:val="en-ZA"/>
        </w:rPr>
        <w:t xml:space="preserve"> </w:t>
      </w:r>
      <w:r w:rsidR="00E56D43">
        <w:rPr>
          <w:i/>
          <w:iCs/>
          <w:lang w:val="en-ZA"/>
        </w:rPr>
        <w:t>et al. v Minister of Police and Others [] (“Industry House”),</w:t>
      </w:r>
      <w:r w:rsidR="00303CD0" w:rsidRPr="0082516A">
        <w:rPr>
          <w:lang w:val="en-ZA"/>
        </w:rPr>
        <w:t xml:space="preserve"> t</w:t>
      </w:r>
      <w:r w:rsidR="001D4AE8" w:rsidRPr="0082516A">
        <w:rPr>
          <w:lang w:val="en-ZA"/>
        </w:rPr>
        <w:t>he claimants</w:t>
      </w:r>
      <w:r w:rsidR="000806D8" w:rsidRPr="0082516A">
        <w:rPr>
          <w:lang w:val="en-ZA"/>
        </w:rPr>
        <w:t xml:space="preserve"> comprised a group of approximately 3000 people who lived</w:t>
      </w:r>
      <w:r w:rsidR="000B6F3B" w:rsidRPr="0082516A">
        <w:rPr>
          <w:lang w:val="en-ZA"/>
        </w:rPr>
        <w:t xml:space="preserve"> in 11 buildings situated in</w:t>
      </w:r>
      <w:r w:rsidR="000806D8" w:rsidRPr="0082516A">
        <w:rPr>
          <w:lang w:val="en-ZA"/>
        </w:rPr>
        <w:t xml:space="preserve"> the </w:t>
      </w:r>
      <w:r w:rsidR="00E2792A" w:rsidRPr="0082516A">
        <w:rPr>
          <w:lang w:val="en-ZA"/>
        </w:rPr>
        <w:t>inner city</w:t>
      </w:r>
      <w:r w:rsidR="000B6F3B" w:rsidRPr="0082516A">
        <w:rPr>
          <w:lang w:val="en-ZA"/>
        </w:rPr>
        <w:t xml:space="preserve"> of Johannesburg.</w:t>
      </w:r>
      <w:r w:rsidR="000561C2" w:rsidRPr="0082516A">
        <w:rPr>
          <w:lang w:val="en-ZA"/>
        </w:rPr>
        <w:t xml:space="preserve"> Over </w:t>
      </w:r>
      <w:r w:rsidR="00E56D43">
        <w:rPr>
          <w:lang w:val="en-ZA"/>
        </w:rPr>
        <w:t>the</w:t>
      </w:r>
      <w:r w:rsidR="000561C2" w:rsidRPr="0082516A">
        <w:rPr>
          <w:lang w:val="en-ZA"/>
        </w:rPr>
        <w:t xml:space="preserve"> period of a year, they had been subjected</w:t>
      </w:r>
      <w:r w:rsidR="003917DB" w:rsidRPr="0082516A">
        <w:rPr>
          <w:lang w:val="en-ZA"/>
        </w:rPr>
        <w:t xml:space="preserve"> to “cruel, invasive and degrading raids” by the police without warrants. [</w:t>
      </w:r>
      <w:r w:rsidR="00386DA3" w:rsidRPr="0082516A">
        <w:rPr>
          <w:rStyle w:val="FootnoteReference"/>
          <w:lang w:val="en-ZA"/>
        </w:rPr>
        <w:footnoteReference w:id="17"/>
      </w:r>
      <w:r w:rsidR="003917DB" w:rsidRPr="0082516A">
        <w:rPr>
          <w:lang w:val="en-ZA"/>
        </w:rPr>
        <w:t>]</w:t>
      </w:r>
      <w:r w:rsidR="00B02979" w:rsidRPr="0082516A">
        <w:rPr>
          <w:lang w:val="en-ZA"/>
        </w:rPr>
        <w:t xml:space="preserve"> </w:t>
      </w:r>
      <w:r w:rsidR="00972528" w:rsidRPr="0082516A">
        <w:rPr>
          <w:lang w:val="en-ZA"/>
        </w:rPr>
        <w:t xml:space="preserve">The </w:t>
      </w:r>
      <w:r w:rsidR="001733DF" w:rsidRPr="0082516A">
        <w:rPr>
          <w:lang w:val="en-ZA"/>
        </w:rPr>
        <w:t>claimants</w:t>
      </w:r>
      <w:r w:rsidR="00972528" w:rsidRPr="0082516A">
        <w:rPr>
          <w:lang w:val="en-ZA"/>
        </w:rPr>
        <w:t xml:space="preserve"> claimed, </w:t>
      </w:r>
      <w:r w:rsidR="00972528" w:rsidRPr="0082516A">
        <w:rPr>
          <w:i/>
          <w:iCs/>
          <w:lang w:val="en-ZA"/>
        </w:rPr>
        <w:t>inter alia</w:t>
      </w:r>
      <w:r w:rsidR="00972528" w:rsidRPr="0082516A">
        <w:rPr>
          <w:lang w:val="en-ZA"/>
        </w:rPr>
        <w:t>,</w:t>
      </w:r>
      <w:r w:rsidR="0066069A" w:rsidRPr="0082516A">
        <w:rPr>
          <w:lang w:val="en-ZA"/>
        </w:rPr>
        <w:t xml:space="preserve"> an amount of R 1000 each</w:t>
      </w:r>
      <w:r w:rsidR="00230CCE" w:rsidRPr="0082516A">
        <w:rPr>
          <w:lang w:val="en-ZA"/>
        </w:rPr>
        <w:t xml:space="preserve"> as constitutional damages for the infringement of their constitutional rights to dignity and privacy. [</w:t>
      </w:r>
      <w:r w:rsidR="00230CCE" w:rsidRPr="0082516A">
        <w:rPr>
          <w:rStyle w:val="FootnoteReference"/>
          <w:lang w:val="en-ZA"/>
        </w:rPr>
        <w:footnoteReference w:id="18"/>
      </w:r>
      <w:r w:rsidR="00230CCE" w:rsidRPr="0082516A">
        <w:rPr>
          <w:lang w:val="en-ZA"/>
        </w:rPr>
        <w:t>]</w:t>
      </w:r>
      <w:r w:rsidR="00972528" w:rsidRPr="0082516A">
        <w:rPr>
          <w:lang w:val="en-ZA"/>
        </w:rPr>
        <w:t xml:space="preserve"> </w:t>
      </w:r>
      <w:r w:rsidR="00C65311" w:rsidRPr="0082516A">
        <w:rPr>
          <w:lang w:val="en-ZA"/>
        </w:rPr>
        <w:t>The High Court dismissed the claim for constitutional damages, partly because there was no evidence that every room had been searched</w:t>
      </w:r>
      <w:r w:rsidR="001733DF" w:rsidRPr="0082516A">
        <w:rPr>
          <w:lang w:val="en-ZA"/>
        </w:rPr>
        <w:t>, and the court held</w:t>
      </w:r>
      <w:r w:rsidR="004F003C" w:rsidRPr="0082516A">
        <w:rPr>
          <w:lang w:val="en-ZA"/>
        </w:rPr>
        <w:t xml:space="preserve"> that it was not appropriate to grant a blanket order for constitutional damages.</w:t>
      </w:r>
      <w:r w:rsidR="000705F4" w:rsidRPr="0082516A">
        <w:rPr>
          <w:lang w:val="en-ZA"/>
        </w:rPr>
        <w:t xml:space="preserve"> [</w:t>
      </w:r>
      <w:r w:rsidR="000705F4" w:rsidRPr="0082516A">
        <w:rPr>
          <w:rStyle w:val="FootnoteReference"/>
          <w:lang w:val="en-ZA"/>
        </w:rPr>
        <w:footnoteReference w:id="19"/>
      </w:r>
      <w:r w:rsidR="000705F4" w:rsidRPr="0082516A">
        <w:rPr>
          <w:lang w:val="en-ZA"/>
        </w:rPr>
        <w:t>]</w:t>
      </w:r>
      <w:r w:rsidR="006A4363" w:rsidRPr="0082516A">
        <w:rPr>
          <w:lang w:val="en-ZA"/>
        </w:rPr>
        <w:t xml:space="preserve"> The </w:t>
      </w:r>
      <w:r w:rsidR="001733DF" w:rsidRPr="0082516A">
        <w:rPr>
          <w:lang w:val="en-ZA"/>
        </w:rPr>
        <w:t>claimants</w:t>
      </w:r>
      <w:r w:rsidR="006A4363" w:rsidRPr="0082516A">
        <w:rPr>
          <w:lang w:val="en-ZA"/>
        </w:rPr>
        <w:t xml:space="preserve"> approached the Constitutional Court</w:t>
      </w:r>
      <w:r w:rsidR="00E73992" w:rsidRPr="0082516A">
        <w:rPr>
          <w:lang w:val="en-ZA"/>
        </w:rPr>
        <w:t xml:space="preserve"> claiming leave to appeal against the High Court’s dismissal of their claims for constitutional damages</w:t>
      </w:r>
      <w:r w:rsidR="005A50F6" w:rsidRPr="0082516A">
        <w:rPr>
          <w:lang w:val="en-ZA"/>
        </w:rPr>
        <w:t>, which application was dismissed.</w:t>
      </w:r>
      <w:r w:rsidR="00F94C11" w:rsidRPr="0082516A">
        <w:rPr>
          <w:lang w:val="en-ZA"/>
        </w:rPr>
        <w:t xml:space="preserve"> </w:t>
      </w:r>
      <w:r w:rsidR="00C918AE" w:rsidRPr="0082516A">
        <w:rPr>
          <w:lang w:val="en-ZA"/>
        </w:rPr>
        <w:t>The following is germane:</w:t>
      </w:r>
    </w:p>
    <w:p w14:paraId="412D03BD" w14:textId="0BBDF193" w:rsidR="00FD152B" w:rsidRPr="0082516A" w:rsidRDefault="006461D5" w:rsidP="006461D5">
      <w:pPr>
        <w:pStyle w:val="JUDGMENTNUMBERED"/>
        <w:numPr>
          <w:ilvl w:val="0"/>
          <w:numId w:val="0"/>
        </w:numPr>
        <w:ind w:left="1440" w:hanging="360"/>
        <w:rPr>
          <w:lang w:val="en-ZA"/>
        </w:rPr>
      </w:pPr>
      <w:r w:rsidRPr="0082516A">
        <w:rPr>
          <w:rFonts w:cs="Times New Roman"/>
          <w:lang w:val="en-ZA"/>
        </w:rPr>
        <w:t>1.</w:t>
      </w:r>
      <w:r w:rsidRPr="0082516A">
        <w:rPr>
          <w:rFonts w:cs="Times New Roman"/>
          <w:lang w:val="en-ZA"/>
        </w:rPr>
        <w:tab/>
      </w:r>
      <w:r w:rsidR="002D0393" w:rsidRPr="0082516A">
        <w:rPr>
          <w:lang w:val="en-ZA"/>
        </w:rPr>
        <w:t xml:space="preserve">Based on an analysis of the relevant case law, </w:t>
      </w:r>
      <w:r w:rsidR="00F94C11" w:rsidRPr="0082516A">
        <w:rPr>
          <w:lang w:val="en-ZA"/>
        </w:rPr>
        <w:t>Mhlantla J (for the majority)</w:t>
      </w:r>
      <w:r w:rsidR="008E1922" w:rsidRPr="0082516A">
        <w:rPr>
          <w:lang w:val="en-ZA"/>
        </w:rPr>
        <w:t xml:space="preserve"> formulated general principles</w:t>
      </w:r>
      <w:r w:rsidR="009329DB" w:rsidRPr="0082516A">
        <w:rPr>
          <w:lang w:val="en-ZA"/>
        </w:rPr>
        <w:t xml:space="preserve"> concerning claims for constitutional damages.</w:t>
      </w:r>
      <w:r w:rsidR="00964096" w:rsidRPr="0082516A">
        <w:rPr>
          <w:lang w:val="en-ZA"/>
        </w:rPr>
        <w:t xml:space="preserve"> The learner judge referred</w:t>
      </w:r>
      <w:r w:rsidR="003C6F27" w:rsidRPr="0082516A">
        <w:rPr>
          <w:lang w:val="en-ZA"/>
        </w:rPr>
        <w:t xml:space="preserve">, </w:t>
      </w:r>
      <w:r w:rsidR="003C6F27" w:rsidRPr="0082516A">
        <w:rPr>
          <w:i/>
          <w:iCs/>
          <w:lang w:val="en-ZA"/>
        </w:rPr>
        <w:t>inter alia</w:t>
      </w:r>
      <w:r w:rsidR="003C6F27" w:rsidRPr="0082516A">
        <w:rPr>
          <w:lang w:val="en-ZA"/>
        </w:rPr>
        <w:t xml:space="preserve">, to </w:t>
      </w:r>
      <w:r w:rsidR="00A91BC1" w:rsidRPr="00A91BC1">
        <w:rPr>
          <w:i/>
          <w:lang w:val="en-ZA"/>
        </w:rPr>
        <w:t>Fose</w:t>
      </w:r>
      <w:r w:rsidR="008326A0" w:rsidRPr="0082516A">
        <w:rPr>
          <w:lang w:val="en-ZA"/>
        </w:rPr>
        <w:t>, holding that the law of delict would</w:t>
      </w:r>
      <w:r w:rsidR="00A43CCB" w:rsidRPr="0082516A">
        <w:rPr>
          <w:lang w:val="en-ZA"/>
        </w:rPr>
        <w:t>, in most cases,</w:t>
      </w:r>
      <w:r w:rsidR="00E54A00" w:rsidRPr="0082516A">
        <w:rPr>
          <w:lang w:val="en-ZA"/>
        </w:rPr>
        <w:t xml:space="preserve"> be broad enough to provide appropriate relief for the infringement of constitutional rights</w:t>
      </w:r>
      <w:r w:rsidR="009E6116" w:rsidRPr="0082516A">
        <w:rPr>
          <w:lang w:val="en-ZA"/>
        </w:rPr>
        <w:t>.</w:t>
      </w:r>
      <w:r w:rsidR="005A50F6" w:rsidRPr="0082516A">
        <w:rPr>
          <w:lang w:val="en-ZA"/>
        </w:rPr>
        <w:t xml:space="preserve"> [</w:t>
      </w:r>
      <w:r w:rsidR="00E92126" w:rsidRPr="0082516A">
        <w:rPr>
          <w:rStyle w:val="FootnoteReference"/>
          <w:lang w:val="en-ZA"/>
        </w:rPr>
        <w:footnoteReference w:id="20"/>
      </w:r>
      <w:r w:rsidR="005A50F6" w:rsidRPr="0082516A">
        <w:rPr>
          <w:lang w:val="en-ZA"/>
        </w:rPr>
        <w:t>]</w:t>
      </w:r>
      <w:r w:rsidR="00C417C3" w:rsidRPr="0082516A">
        <w:rPr>
          <w:lang w:val="en-ZA"/>
        </w:rPr>
        <w:t xml:space="preserve"> Where </w:t>
      </w:r>
      <w:r w:rsidR="00814282" w:rsidRPr="0082516A">
        <w:rPr>
          <w:lang w:val="en-ZA"/>
        </w:rPr>
        <w:t>a delictual</w:t>
      </w:r>
      <w:r w:rsidR="00C417C3" w:rsidRPr="0082516A">
        <w:rPr>
          <w:lang w:val="en-ZA"/>
        </w:rPr>
        <w:t xml:space="preserve"> remedy would be available, constitutional damages would seldom be available in addition to</w:t>
      </w:r>
      <w:r w:rsidR="008C252A" w:rsidRPr="0082516A">
        <w:rPr>
          <w:lang w:val="en-ZA"/>
        </w:rPr>
        <w:t xml:space="preserve"> a common law remedy. [</w:t>
      </w:r>
      <w:r w:rsidR="008C252A" w:rsidRPr="0082516A">
        <w:rPr>
          <w:rStyle w:val="FootnoteReference"/>
          <w:lang w:val="en-ZA"/>
        </w:rPr>
        <w:footnoteReference w:id="21"/>
      </w:r>
      <w:r w:rsidR="008C252A" w:rsidRPr="0082516A">
        <w:rPr>
          <w:lang w:val="en-ZA"/>
        </w:rPr>
        <w:t>]</w:t>
      </w:r>
      <w:r w:rsidR="00C3771A" w:rsidRPr="0082516A">
        <w:rPr>
          <w:lang w:val="en-ZA"/>
        </w:rPr>
        <w:t xml:space="preserve"> </w:t>
      </w:r>
    </w:p>
    <w:p w14:paraId="19F7688A" w14:textId="43CC3299" w:rsidR="003E5D3E" w:rsidRPr="0082516A" w:rsidRDefault="006461D5" w:rsidP="006461D5">
      <w:pPr>
        <w:pStyle w:val="JUDGMENTNUMBERED"/>
        <w:numPr>
          <w:ilvl w:val="0"/>
          <w:numId w:val="0"/>
        </w:numPr>
        <w:ind w:left="1440" w:hanging="360"/>
        <w:rPr>
          <w:lang w:val="en-ZA"/>
        </w:rPr>
      </w:pPr>
      <w:r w:rsidRPr="0082516A">
        <w:rPr>
          <w:rFonts w:cs="Times New Roman"/>
          <w:lang w:val="en-ZA"/>
        </w:rPr>
        <w:lastRenderedPageBreak/>
        <w:t>2.</w:t>
      </w:r>
      <w:r w:rsidRPr="0082516A">
        <w:rPr>
          <w:rFonts w:cs="Times New Roman"/>
          <w:lang w:val="en-ZA"/>
        </w:rPr>
        <w:tab/>
      </w:r>
      <w:r w:rsidR="00EF1833" w:rsidRPr="0082516A">
        <w:rPr>
          <w:lang w:val="en-ZA"/>
        </w:rPr>
        <w:t>The majority further held that the availability of an alternative common law or statutory law remedy</w:t>
      </w:r>
      <w:r w:rsidR="000C78CC" w:rsidRPr="0082516A">
        <w:rPr>
          <w:lang w:val="en-ZA"/>
        </w:rPr>
        <w:t xml:space="preserve"> was “</w:t>
      </w:r>
      <w:r w:rsidR="000C78CC" w:rsidRPr="0082516A">
        <w:rPr>
          <w:i/>
          <w:iCs/>
          <w:lang w:val="en-ZA"/>
        </w:rPr>
        <w:t>not an absolute bar to the granting of constitutional damages, but a weighty consideration against the award for such damages.</w:t>
      </w:r>
      <w:r w:rsidR="000C78CC" w:rsidRPr="0082516A">
        <w:rPr>
          <w:lang w:val="en-ZA"/>
        </w:rPr>
        <w:t>”</w:t>
      </w:r>
      <w:r w:rsidR="005E6838" w:rsidRPr="0082516A">
        <w:rPr>
          <w:lang w:val="en-ZA"/>
        </w:rPr>
        <w:t xml:space="preserve"> [</w:t>
      </w:r>
      <w:r w:rsidR="005E6838" w:rsidRPr="0082516A">
        <w:rPr>
          <w:rStyle w:val="FootnoteReference"/>
          <w:lang w:val="en-ZA"/>
        </w:rPr>
        <w:footnoteReference w:id="22"/>
      </w:r>
      <w:r w:rsidR="005E6838" w:rsidRPr="0082516A">
        <w:rPr>
          <w:lang w:val="en-ZA"/>
        </w:rPr>
        <w:t>]</w:t>
      </w:r>
      <w:r w:rsidR="004E4DD0" w:rsidRPr="0082516A">
        <w:rPr>
          <w:lang w:val="en-ZA"/>
        </w:rPr>
        <w:t xml:space="preserve"> </w:t>
      </w:r>
      <w:r w:rsidR="001E65AC">
        <w:rPr>
          <w:lang w:val="en-ZA"/>
        </w:rPr>
        <w:t>Sometimes</w:t>
      </w:r>
      <w:r w:rsidR="00B73F1C" w:rsidRPr="0082516A">
        <w:rPr>
          <w:lang w:val="en-ZA"/>
        </w:rPr>
        <w:t>, a delictual remedy would be available, but it would not be effective.</w:t>
      </w:r>
      <w:r w:rsidR="00695C69" w:rsidRPr="0082516A">
        <w:rPr>
          <w:lang w:val="en-ZA"/>
        </w:rPr>
        <w:t xml:space="preserve"> T</w:t>
      </w:r>
      <w:r w:rsidR="00EC1F6E" w:rsidRPr="0082516A">
        <w:rPr>
          <w:lang w:val="en-ZA"/>
        </w:rPr>
        <w:t>he damage-causing conduct could be an inherent barrier to the remedy</w:t>
      </w:r>
      <w:r w:rsidR="00695C69" w:rsidRPr="0082516A">
        <w:rPr>
          <w:lang w:val="en-ZA"/>
        </w:rPr>
        <w:t xml:space="preserve"> because wrongful conduct itself</w:t>
      </w:r>
      <w:r w:rsidR="00447431" w:rsidRPr="0082516A">
        <w:rPr>
          <w:lang w:val="en-ZA"/>
        </w:rPr>
        <w:t xml:space="preserve"> created a complete barrier to providing one of the elements of delict. [</w:t>
      </w:r>
      <w:r w:rsidR="00447431" w:rsidRPr="0082516A">
        <w:rPr>
          <w:rStyle w:val="FootnoteReference"/>
          <w:lang w:val="en-ZA"/>
        </w:rPr>
        <w:footnoteReference w:id="23"/>
      </w:r>
      <w:r w:rsidR="00447431" w:rsidRPr="0082516A">
        <w:rPr>
          <w:lang w:val="en-ZA"/>
        </w:rPr>
        <w:t>]</w:t>
      </w:r>
      <w:r w:rsidR="00B73F1C" w:rsidRPr="0082516A">
        <w:rPr>
          <w:lang w:val="en-ZA"/>
        </w:rPr>
        <w:t xml:space="preserve"> </w:t>
      </w:r>
      <w:r w:rsidR="005F7B63" w:rsidRPr="0082516A">
        <w:rPr>
          <w:lang w:val="en-ZA"/>
        </w:rPr>
        <w:t>In these instances</w:t>
      </w:r>
      <w:r w:rsidR="00640765" w:rsidRPr="0082516A">
        <w:rPr>
          <w:lang w:val="en-ZA"/>
        </w:rPr>
        <w:t>,</w:t>
      </w:r>
      <w:r w:rsidR="005F7B63" w:rsidRPr="0082516A">
        <w:rPr>
          <w:lang w:val="en-ZA"/>
        </w:rPr>
        <w:t xml:space="preserve"> a court might consider an award of constitutional damages </w:t>
      </w:r>
      <w:r w:rsidR="00D26184">
        <w:rPr>
          <w:lang w:val="en-ZA"/>
        </w:rPr>
        <w:t>even though</w:t>
      </w:r>
      <w:r w:rsidR="005F7B63" w:rsidRPr="0082516A">
        <w:rPr>
          <w:lang w:val="en-ZA"/>
        </w:rPr>
        <w:t xml:space="preserve"> there was an alternative remedy</w:t>
      </w:r>
      <w:r w:rsidR="00A54503">
        <w:rPr>
          <w:lang w:val="en-ZA"/>
        </w:rPr>
        <w:t>.</w:t>
      </w:r>
      <w:r w:rsidR="005F7B63" w:rsidRPr="0082516A">
        <w:rPr>
          <w:lang w:val="en-ZA"/>
        </w:rPr>
        <w:t xml:space="preserve"> [</w:t>
      </w:r>
      <w:r w:rsidR="005F7B63" w:rsidRPr="0082516A">
        <w:rPr>
          <w:rStyle w:val="FootnoteReference"/>
          <w:lang w:val="en-ZA"/>
        </w:rPr>
        <w:footnoteReference w:id="24"/>
      </w:r>
      <w:r w:rsidR="005F7B63" w:rsidRPr="0082516A">
        <w:rPr>
          <w:lang w:val="en-ZA"/>
        </w:rPr>
        <w:t>]</w:t>
      </w:r>
      <w:r w:rsidR="002A2A34" w:rsidRPr="0082516A">
        <w:rPr>
          <w:lang w:val="en-ZA"/>
        </w:rPr>
        <w:t xml:space="preserve"> </w:t>
      </w:r>
    </w:p>
    <w:p w14:paraId="0FE39E21" w14:textId="5670E348" w:rsidR="003E5D3E" w:rsidRPr="0082516A" w:rsidRDefault="006461D5" w:rsidP="006461D5">
      <w:pPr>
        <w:pStyle w:val="JUDGMENTNUMBERED"/>
        <w:numPr>
          <w:ilvl w:val="0"/>
          <w:numId w:val="0"/>
        </w:numPr>
        <w:ind w:left="1440" w:hanging="360"/>
        <w:rPr>
          <w:lang w:val="en-ZA"/>
        </w:rPr>
      </w:pPr>
      <w:r w:rsidRPr="0082516A">
        <w:rPr>
          <w:rFonts w:cs="Times New Roman"/>
          <w:lang w:val="en-ZA"/>
        </w:rPr>
        <w:t>3.</w:t>
      </w:r>
      <w:r w:rsidRPr="0082516A">
        <w:rPr>
          <w:rFonts w:cs="Times New Roman"/>
          <w:lang w:val="en-ZA"/>
        </w:rPr>
        <w:tab/>
      </w:r>
      <w:r w:rsidR="00D649A6" w:rsidRPr="0082516A">
        <w:rPr>
          <w:lang w:val="en-ZA"/>
        </w:rPr>
        <w:t>The court enunciated the legal position in the following terms: “</w:t>
      </w:r>
      <w:r w:rsidR="00D649A6" w:rsidRPr="0082516A">
        <w:rPr>
          <w:i/>
          <w:iCs/>
          <w:lang w:val="en-ZA"/>
        </w:rPr>
        <w:t>…</w:t>
      </w:r>
      <w:r w:rsidR="008D1750" w:rsidRPr="0082516A">
        <w:rPr>
          <w:i/>
          <w:iCs/>
          <w:lang w:val="en-ZA"/>
        </w:rPr>
        <w:t xml:space="preserve"> The uncertainty and unpredictability would be at variance with the rule of law, a linchpin of the Constitution. Therefore, constitutional damages must be the most appropriate remedy available to vindicate constitutional rights </w:t>
      </w:r>
      <w:r w:rsidR="00556EE8" w:rsidRPr="0082516A">
        <w:rPr>
          <w:i/>
          <w:iCs/>
          <w:lang w:val="en-ZA"/>
        </w:rPr>
        <w:t>with due weight attached to other alternative remedies available within the common law and statutes…</w:t>
      </w:r>
      <w:r w:rsidR="00556EE8" w:rsidRPr="0082516A">
        <w:rPr>
          <w:lang w:val="en-ZA"/>
        </w:rPr>
        <w:t>”</w:t>
      </w:r>
      <w:r w:rsidR="00084D83" w:rsidRPr="0082516A">
        <w:rPr>
          <w:lang w:val="en-ZA"/>
        </w:rPr>
        <w:t xml:space="preserve"> [</w:t>
      </w:r>
      <w:r w:rsidR="00084D83" w:rsidRPr="0082516A">
        <w:rPr>
          <w:rStyle w:val="FootnoteReference"/>
          <w:lang w:val="en-ZA"/>
        </w:rPr>
        <w:footnoteReference w:id="25"/>
      </w:r>
      <w:r w:rsidR="00084D83" w:rsidRPr="0082516A">
        <w:rPr>
          <w:lang w:val="en-ZA"/>
        </w:rPr>
        <w:t>]</w:t>
      </w:r>
      <w:r w:rsidR="00D9309D" w:rsidRPr="0082516A">
        <w:rPr>
          <w:lang w:val="en-ZA"/>
        </w:rPr>
        <w:t xml:space="preserve"> </w:t>
      </w:r>
      <w:r w:rsidR="008B1711" w:rsidRPr="0082516A">
        <w:rPr>
          <w:lang w:val="en-ZA"/>
        </w:rPr>
        <w:t xml:space="preserve">The court further found that once an appropriate remedy has been identified, it becomes unnecessary to award constitutional damages in addition to </w:t>
      </w:r>
      <w:r w:rsidR="00056093">
        <w:rPr>
          <w:lang w:val="en-ZA"/>
        </w:rPr>
        <w:t>damages</w:t>
      </w:r>
      <w:r w:rsidR="008B1711" w:rsidRPr="0082516A">
        <w:rPr>
          <w:lang w:val="en-ZA"/>
        </w:rPr>
        <w:t xml:space="preserve"> awarded in terms of</w:t>
      </w:r>
      <w:r w:rsidR="00881AFC" w:rsidRPr="0082516A">
        <w:rPr>
          <w:lang w:val="en-ZA"/>
        </w:rPr>
        <w:t xml:space="preserve"> the </w:t>
      </w:r>
      <w:r w:rsidR="00A61E10" w:rsidRPr="0082516A">
        <w:rPr>
          <w:lang w:val="en-ZA"/>
        </w:rPr>
        <w:t>delictual</w:t>
      </w:r>
      <w:r w:rsidR="00881AFC" w:rsidRPr="0082516A">
        <w:rPr>
          <w:lang w:val="en-ZA"/>
        </w:rPr>
        <w:t xml:space="preserve"> remedy</w:t>
      </w:r>
      <w:r w:rsidR="005069CE" w:rsidRPr="0082516A">
        <w:rPr>
          <w:lang w:val="en-ZA"/>
        </w:rPr>
        <w:t xml:space="preserve">, </w:t>
      </w:r>
      <w:r w:rsidR="00D80C5F" w:rsidRPr="0082516A">
        <w:rPr>
          <w:lang w:val="en-ZA"/>
        </w:rPr>
        <w:t>stating further that “…</w:t>
      </w:r>
      <w:r w:rsidR="00D80C5F" w:rsidRPr="0082516A">
        <w:rPr>
          <w:i/>
          <w:iCs/>
          <w:lang w:val="en-ZA"/>
        </w:rPr>
        <w:t>[I]t is not fair to burden the public purse with financial liability where there are alternative remedies</w:t>
      </w:r>
      <w:r w:rsidR="007A55A5" w:rsidRPr="0082516A">
        <w:rPr>
          <w:i/>
          <w:iCs/>
          <w:lang w:val="en-ZA"/>
        </w:rPr>
        <w:t xml:space="preserve"> that can sufficiently achieve that purpose, because that would effectively amount to punishing the taxpayers for conduct for which they bear no responsibility.</w:t>
      </w:r>
      <w:r w:rsidR="00704F07" w:rsidRPr="0082516A">
        <w:rPr>
          <w:lang w:val="en-ZA"/>
        </w:rPr>
        <w:t xml:space="preserve"> [</w:t>
      </w:r>
      <w:r w:rsidR="00704F07" w:rsidRPr="0082516A">
        <w:rPr>
          <w:rStyle w:val="FootnoteReference"/>
          <w:lang w:val="en-ZA"/>
        </w:rPr>
        <w:footnoteReference w:id="26"/>
      </w:r>
      <w:r w:rsidR="00704F07" w:rsidRPr="0082516A">
        <w:rPr>
          <w:lang w:val="en-ZA"/>
        </w:rPr>
        <w:t xml:space="preserve">] </w:t>
      </w:r>
    </w:p>
    <w:p w14:paraId="184DC93C" w14:textId="5FABA1F3" w:rsidR="00EC03BC" w:rsidRPr="0082516A" w:rsidRDefault="006461D5" w:rsidP="006461D5">
      <w:pPr>
        <w:pStyle w:val="JUDGMENTNUMBERED"/>
        <w:numPr>
          <w:ilvl w:val="0"/>
          <w:numId w:val="0"/>
        </w:numPr>
        <w:ind w:left="1440" w:hanging="360"/>
        <w:rPr>
          <w:lang w:val="en-ZA"/>
        </w:rPr>
      </w:pPr>
      <w:r w:rsidRPr="0082516A">
        <w:rPr>
          <w:rFonts w:cs="Times New Roman"/>
          <w:lang w:val="en-ZA"/>
        </w:rPr>
        <w:t>4.</w:t>
      </w:r>
      <w:r w:rsidRPr="0082516A">
        <w:rPr>
          <w:rFonts w:cs="Times New Roman"/>
          <w:lang w:val="en-ZA"/>
        </w:rPr>
        <w:tab/>
      </w:r>
      <w:r w:rsidR="00704F07" w:rsidRPr="0082516A">
        <w:rPr>
          <w:lang w:val="en-ZA"/>
        </w:rPr>
        <w:t>Jafta J concurred with the majority</w:t>
      </w:r>
      <w:r w:rsidR="00AC0790" w:rsidRPr="0082516A">
        <w:rPr>
          <w:lang w:val="en-ZA"/>
        </w:rPr>
        <w:t xml:space="preserve">. </w:t>
      </w:r>
      <w:r w:rsidR="00EB6C4F" w:rsidRPr="0082516A">
        <w:rPr>
          <w:lang w:val="en-ZA"/>
        </w:rPr>
        <w:t>In paragraph [157], Jafta J stated the following: “…</w:t>
      </w:r>
      <w:r w:rsidR="00237B70" w:rsidRPr="0082516A">
        <w:rPr>
          <w:i/>
          <w:iCs/>
          <w:lang w:val="en-ZA"/>
        </w:rPr>
        <w:t xml:space="preserve">The other alternative remedy available to the applicants was a delictual claim.  The delictual claim did not cease to be an alternative remedy only because it may be onerous to prove it.  The principle is not that the alternative remedy must be easy to prove.  Nor should it be convenient for the claimant to pursue it.  It will be recalled </w:t>
      </w:r>
      <w:r w:rsidR="00237B70" w:rsidRPr="0082516A">
        <w:rPr>
          <w:i/>
          <w:iCs/>
          <w:lang w:val="en-ZA"/>
        </w:rPr>
        <w:lastRenderedPageBreak/>
        <w:t>that in </w:t>
      </w:r>
      <w:r w:rsidR="00A91BC1" w:rsidRPr="00A91BC1">
        <w:rPr>
          <w:i/>
          <w:lang w:val="en-ZA"/>
        </w:rPr>
        <w:t>Fose</w:t>
      </w:r>
      <w:r w:rsidR="00237B70" w:rsidRPr="0082516A">
        <w:rPr>
          <w:i/>
          <w:iCs/>
          <w:lang w:val="en-ZA"/>
        </w:rPr>
        <w:t> and </w:t>
      </w:r>
      <w:r w:rsidR="00237B70" w:rsidRPr="0082516A">
        <w:rPr>
          <w:lang w:val="en-ZA"/>
        </w:rPr>
        <w:t>Dikoko</w:t>
      </w:r>
      <w:r w:rsidR="00237B70" w:rsidRPr="0082516A">
        <w:rPr>
          <w:i/>
          <w:iCs/>
          <w:lang w:val="en-ZA"/>
        </w:rPr>
        <w:t>, this Court stressed the fact that constitutional damages may be allowed where it is necessary.  It cannot be necessary to award them where there is an adequate alternative remedy that is not easy to prove</w:t>
      </w:r>
      <w:r w:rsidR="004C4305" w:rsidRPr="0082516A">
        <w:rPr>
          <w:lang w:val="en-ZA"/>
        </w:rPr>
        <w:t>…”.</w:t>
      </w:r>
    </w:p>
    <w:p w14:paraId="7091A54E" w14:textId="4EE26E3B" w:rsidR="00F21B88" w:rsidRPr="0082516A" w:rsidRDefault="006461D5" w:rsidP="006461D5">
      <w:pPr>
        <w:pStyle w:val="JUDGMENTNUMBERED"/>
        <w:numPr>
          <w:ilvl w:val="0"/>
          <w:numId w:val="0"/>
        </w:numPr>
        <w:ind w:left="709" w:hanging="709"/>
        <w:rPr>
          <w:lang w:val="en-ZA"/>
        </w:rPr>
      </w:pPr>
      <w:r w:rsidRPr="0082516A">
        <w:rPr>
          <w:rFonts w:cs="Arial"/>
          <w:color w:val="000000"/>
          <w:lang w:val="en-ZA"/>
        </w:rPr>
        <w:t>[37]</w:t>
      </w:r>
      <w:r w:rsidRPr="0082516A">
        <w:rPr>
          <w:rFonts w:cs="Arial"/>
          <w:color w:val="000000"/>
          <w:lang w:val="en-ZA"/>
        </w:rPr>
        <w:tab/>
      </w:r>
      <w:r w:rsidR="009801B6" w:rsidRPr="0082516A">
        <w:rPr>
          <w:lang w:val="en-ZA"/>
        </w:rPr>
        <w:t xml:space="preserve">In </w:t>
      </w:r>
      <w:r w:rsidR="009801B6" w:rsidRPr="00E057CF">
        <w:rPr>
          <w:i/>
          <w:iCs/>
          <w:lang w:val="en-ZA"/>
        </w:rPr>
        <w:t>Pres</w:t>
      </w:r>
      <w:r w:rsidR="0028400E" w:rsidRPr="00E057CF">
        <w:rPr>
          <w:i/>
          <w:iCs/>
          <w:lang w:val="en-ZA"/>
        </w:rPr>
        <w:t>ident</w:t>
      </w:r>
      <w:r w:rsidR="009801B6" w:rsidRPr="00E057CF">
        <w:rPr>
          <w:i/>
          <w:iCs/>
          <w:lang w:val="en-ZA"/>
        </w:rPr>
        <w:t xml:space="preserve"> of the Republic of South Africa</w:t>
      </w:r>
      <w:r w:rsidR="0028400E" w:rsidRPr="00E057CF">
        <w:rPr>
          <w:i/>
          <w:iCs/>
          <w:lang w:val="en-ZA"/>
        </w:rPr>
        <w:t xml:space="preserve"> v </w:t>
      </w:r>
      <w:r w:rsidR="00A91BC1" w:rsidRPr="00E057CF">
        <w:rPr>
          <w:i/>
          <w:iCs/>
          <w:lang w:val="en-ZA"/>
        </w:rPr>
        <w:t>Modderklip</w:t>
      </w:r>
      <w:r w:rsidR="0028400E" w:rsidRPr="00E057CF">
        <w:rPr>
          <w:i/>
          <w:iCs/>
          <w:lang w:val="en-ZA"/>
        </w:rPr>
        <w:t xml:space="preserve"> Boerdery (Pty) Ltd</w:t>
      </w:r>
      <w:r w:rsidR="00151A20" w:rsidRPr="0082516A">
        <w:rPr>
          <w:lang w:val="en-ZA"/>
        </w:rPr>
        <w:t xml:space="preserve"> [</w:t>
      </w:r>
      <w:r w:rsidR="00151A20" w:rsidRPr="0082516A">
        <w:rPr>
          <w:rStyle w:val="FootnoteReference"/>
          <w:lang w:val="en-ZA"/>
        </w:rPr>
        <w:footnoteReference w:id="27"/>
      </w:r>
      <w:r w:rsidR="00151A20" w:rsidRPr="0082516A">
        <w:rPr>
          <w:lang w:val="en-ZA"/>
        </w:rPr>
        <w:t>]</w:t>
      </w:r>
      <w:r w:rsidR="00216461" w:rsidRPr="0082516A">
        <w:rPr>
          <w:lang w:val="en-ZA"/>
        </w:rPr>
        <w:t xml:space="preserve"> (“</w:t>
      </w:r>
      <w:r w:rsidR="00A91BC1" w:rsidRPr="00A91BC1">
        <w:rPr>
          <w:i/>
          <w:lang w:val="en-ZA"/>
        </w:rPr>
        <w:t>Modderklip</w:t>
      </w:r>
      <w:r w:rsidR="00216461" w:rsidRPr="0082516A">
        <w:rPr>
          <w:lang w:val="en-ZA"/>
        </w:rPr>
        <w:t>”)</w:t>
      </w:r>
      <w:r w:rsidR="00186FB7" w:rsidRPr="0082516A">
        <w:rPr>
          <w:lang w:val="en-ZA"/>
        </w:rPr>
        <w:t>.</w:t>
      </w:r>
      <w:r w:rsidR="00B82D4C" w:rsidRPr="0082516A">
        <w:rPr>
          <w:lang w:val="en-ZA"/>
        </w:rPr>
        <w:t xml:space="preserve"> In</w:t>
      </w:r>
      <w:r w:rsidR="00186FB7" w:rsidRPr="0082516A">
        <w:rPr>
          <w:lang w:val="en-ZA"/>
        </w:rPr>
        <w:t xml:space="preserve"> that case,</w:t>
      </w:r>
      <w:r w:rsidR="00B82D4C" w:rsidRPr="0082516A">
        <w:rPr>
          <w:lang w:val="en-ZA"/>
        </w:rPr>
        <w:t xml:space="preserve"> the landowner exercised its remedies</w:t>
      </w:r>
      <w:r w:rsidR="00F51E4E" w:rsidRPr="0082516A">
        <w:rPr>
          <w:lang w:val="en-ZA"/>
        </w:rPr>
        <w:t>, proverbially, according to the book,</w:t>
      </w:r>
      <w:r w:rsidR="00B82D4C" w:rsidRPr="0082516A">
        <w:rPr>
          <w:lang w:val="en-ZA"/>
        </w:rPr>
        <w:t xml:space="preserve"> to have some 80,000 unlawful occupiers on its land evicted</w:t>
      </w:r>
      <w:r w:rsidR="00985125">
        <w:rPr>
          <w:lang w:val="en-ZA"/>
        </w:rPr>
        <w:t>. It succeeded</w:t>
      </w:r>
      <w:r w:rsidR="005775F4">
        <w:rPr>
          <w:lang w:val="en-ZA"/>
        </w:rPr>
        <w:t xml:space="preserve"> in </w:t>
      </w:r>
      <w:r w:rsidR="00B82D4C" w:rsidRPr="0082516A">
        <w:rPr>
          <w:lang w:val="en-ZA"/>
        </w:rPr>
        <w:t>being granted an eviction order, only to find that the organs of state were either unwilling or unable to assist in enforcing it. The court found that although the landowner had a claim in delict, constitutional damages would be a more effective remedy.</w:t>
      </w:r>
    </w:p>
    <w:p w14:paraId="353AB5F6" w14:textId="0C9F1B2E" w:rsidR="00E1533A" w:rsidRPr="0082516A" w:rsidRDefault="006461D5" w:rsidP="006461D5">
      <w:pPr>
        <w:pStyle w:val="JUDGMENTNUMBERED"/>
        <w:numPr>
          <w:ilvl w:val="0"/>
          <w:numId w:val="0"/>
        </w:numPr>
        <w:ind w:left="709" w:hanging="709"/>
        <w:rPr>
          <w:iCs/>
          <w:lang w:val="en-ZA"/>
        </w:rPr>
      </w:pPr>
      <w:r w:rsidRPr="0082516A">
        <w:rPr>
          <w:rFonts w:cs="Arial"/>
          <w:color w:val="000000"/>
          <w:lang w:val="en-ZA"/>
        </w:rPr>
        <w:t>[38]</w:t>
      </w:r>
      <w:r w:rsidRPr="0082516A">
        <w:rPr>
          <w:rFonts w:cs="Arial"/>
          <w:color w:val="000000"/>
          <w:lang w:val="en-ZA"/>
        </w:rPr>
        <w:tab/>
      </w:r>
      <w:r w:rsidR="0056509C" w:rsidRPr="00E057CF">
        <w:rPr>
          <w:i/>
          <w:iCs/>
          <w:lang w:val="en-ZA"/>
        </w:rPr>
        <w:t xml:space="preserve">Member of the Executive Council: Welfare v </w:t>
      </w:r>
      <w:r w:rsidR="00A91BC1" w:rsidRPr="00E057CF">
        <w:rPr>
          <w:i/>
          <w:iCs/>
          <w:lang w:val="en-ZA"/>
        </w:rPr>
        <w:t>Kate</w:t>
      </w:r>
      <w:r w:rsidR="005C7757" w:rsidRPr="0082516A">
        <w:rPr>
          <w:lang w:val="en-ZA"/>
        </w:rPr>
        <w:t xml:space="preserve"> [</w:t>
      </w:r>
      <w:r w:rsidR="005C7757" w:rsidRPr="0082516A">
        <w:rPr>
          <w:rStyle w:val="FootnoteReference"/>
          <w:lang w:val="en-ZA"/>
        </w:rPr>
        <w:footnoteReference w:id="28"/>
      </w:r>
      <w:r w:rsidR="005C7757" w:rsidRPr="0082516A">
        <w:rPr>
          <w:lang w:val="en-ZA"/>
        </w:rPr>
        <w:t>]</w:t>
      </w:r>
      <w:r w:rsidR="007179DA" w:rsidRPr="0082516A">
        <w:rPr>
          <w:lang w:val="en-ZA"/>
        </w:rPr>
        <w:t xml:space="preserve"> (</w:t>
      </w:r>
      <w:r w:rsidR="00A330BE" w:rsidRPr="0082516A">
        <w:rPr>
          <w:lang w:val="en-ZA"/>
        </w:rPr>
        <w:t>“</w:t>
      </w:r>
      <w:r w:rsidR="00A91BC1" w:rsidRPr="00A91BC1">
        <w:rPr>
          <w:i/>
          <w:lang w:val="en-ZA"/>
        </w:rPr>
        <w:t>Kate</w:t>
      </w:r>
      <w:r w:rsidR="00A330BE" w:rsidRPr="0082516A">
        <w:rPr>
          <w:lang w:val="en-ZA"/>
        </w:rPr>
        <w:t>”)</w:t>
      </w:r>
      <w:r w:rsidR="002C410A" w:rsidRPr="0082516A">
        <w:rPr>
          <w:lang w:val="en-ZA"/>
        </w:rPr>
        <w:t xml:space="preserve"> </w:t>
      </w:r>
      <w:r w:rsidR="000F13C2" w:rsidRPr="0082516A">
        <w:rPr>
          <w:lang w:val="en-ZA"/>
        </w:rPr>
        <w:t>concerned the failure on the part of the Department of Welfare to process the plaintiff’s application for a disability grant timely.</w:t>
      </w:r>
      <w:r w:rsidR="00944C4D" w:rsidRPr="0082516A">
        <w:rPr>
          <w:lang w:val="en-ZA"/>
        </w:rPr>
        <w:t xml:space="preserve"> </w:t>
      </w:r>
      <w:r w:rsidR="0074150C">
        <w:rPr>
          <w:lang w:val="en-ZA"/>
        </w:rPr>
        <w:t>Discussing</w:t>
      </w:r>
      <w:r w:rsidR="00CC5D04" w:rsidRPr="0082516A">
        <w:rPr>
          <w:lang w:val="en-ZA"/>
        </w:rPr>
        <w:t xml:space="preserve"> </w:t>
      </w:r>
      <w:r w:rsidR="00A91BC1" w:rsidRPr="00A91BC1">
        <w:rPr>
          <w:i/>
          <w:lang w:val="en-ZA"/>
        </w:rPr>
        <w:t>Fose</w:t>
      </w:r>
      <w:r w:rsidR="00CC5D04" w:rsidRPr="0082516A">
        <w:rPr>
          <w:lang w:val="en-ZA"/>
        </w:rPr>
        <w:t>, the court noted that “</w:t>
      </w:r>
      <w:r w:rsidR="00CC5D04" w:rsidRPr="0082516A">
        <w:rPr>
          <w:i/>
          <w:lang w:val="en-ZA"/>
        </w:rPr>
        <w:t>in principle</w:t>
      </w:r>
      <w:r w:rsidR="0074150C">
        <w:rPr>
          <w:i/>
          <w:lang w:val="en-ZA"/>
        </w:rPr>
        <w:t>,</w:t>
      </w:r>
      <w:r w:rsidR="00CC5D04" w:rsidRPr="0082516A">
        <w:rPr>
          <w:i/>
          <w:lang w:val="en-ZA"/>
        </w:rPr>
        <w:t xml:space="preserve"> monetary damages are capable of being awarded for a constitutional breach.</w:t>
      </w:r>
      <w:r w:rsidR="00A245D5" w:rsidRPr="0082516A">
        <w:rPr>
          <w:iCs/>
          <w:lang w:val="en-ZA"/>
        </w:rPr>
        <w:t>” [</w:t>
      </w:r>
      <w:r w:rsidR="00A245D5" w:rsidRPr="0082516A">
        <w:rPr>
          <w:rStyle w:val="FootnoteReference"/>
          <w:iCs/>
          <w:lang w:val="en-ZA"/>
        </w:rPr>
        <w:footnoteReference w:id="29"/>
      </w:r>
      <w:r w:rsidR="00A245D5" w:rsidRPr="0082516A">
        <w:rPr>
          <w:iCs/>
          <w:lang w:val="en-ZA"/>
        </w:rPr>
        <w:t>]</w:t>
      </w:r>
      <w:r w:rsidR="00EC008F" w:rsidRPr="0082516A">
        <w:rPr>
          <w:iCs/>
          <w:lang w:val="en-ZA"/>
        </w:rPr>
        <w:t xml:space="preserve"> The court held that </w:t>
      </w:r>
      <w:r w:rsidR="00943868" w:rsidRPr="0082516A">
        <w:rPr>
          <w:iCs/>
          <w:lang w:val="en-ZA"/>
        </w:rPr>
        <w:t>“</w:t>
      </w:r>
      <w:r w:rsidR="00020C6E">
        <w:rPr>
          <w:i/>
          <w:lang w:val="en-ZA"/>
        </w:rPr>
        <w:t>…</w:t>
      </w:r>
      <w:r w:rsidR="00593D1B" w:rsidRPr="0082516A">
        <w:rPr>
          <w:i/>
          <w:lang w:val="en-ZA"/>
        </w:rPr>
        <w:t xml:space="preserve"> in this case we are not called upon to answer those questions broadly and in the abstract – and I do not do so – but only to decide whether the particular breach that is now in issue is deserving of relief in the form of the monetary damages that are now claimed. Whether relief in that form is appropriate in a particular case must necessarily be determined casuistically with due regard to, amongst other things, the nature and relative importance of the rights that are in issue, the alternative remedies that might be available to assert and vindicate them, and the consequences of the breach for the claimant concerned…</w:t>
      </w:r>
      <w:r w:rsidR="00593D1B" w:rsidRPr="0082516A">
        <w:rPr>
          <w:iCs/>
          <w:lang w:val="en-ZA"/>
        </w:rPr>
        <w:t>”</w:t>
      </w:r>
      <w:r w:rsidR="00724799">
        <w:rPr>
          <w:iCs/>
          <w:lang w:val="en-ZA"/>
        </w:rPr>
        <w:t>.</w:t>
      </w:r>
      <w:r w:rsidR="00593D1B" w:rsidRPr="0082516A">
        <w:rPr>
          <w:iCs/>
          <w:lang w:val="en-ZA"/>
        </w:rPr>
        <w:t xml:space="preserve"> </w:t>
      </w:r>
      <w:r w:rsidR="00EB0DDC" w:rsidRPr="0082516A">
        <w:rPr>
          <w:iCs/>
          <w:lang w:val="en-ZA"/>
        </w:rPr>
        <w:t>[</w:t>
      </w:r>
      <w:r w:rsidR="00456D5F" w:rsidRPr="0082516A">
        <w:rPr>
          <w:rStyle w:val="FootnoteReference"/>
          <w:iCs/>
          <w:lang w:val="en-ZA"/>
        </w:rPr>
        <w:footnoteReference w:id="30"/>
      </w:r>
      <w:r w:rsidR="00EB0DDC" w:rsidRPr="0082516A">
        <w:rPr>
          <w:iCs/>
          <w:lang w:val="en-ZA"/>
        </w:rPr>
        <w:t>]</w:t>
      </w:r>
    </w:p>
    <w:p w14:paraId="06C6FF66" w14:textId="2437D2CF" w:rsidR="00FD6B8F" w:rsidRPr="0082516A" w:rsidRDefault="006461D5" w:rsidP="006461D5">
      <w:pPr>
        <w:pStyle w:val="JUDGMENTNUMBERED"/>
        <w:numPr>
          <w:ilvl w:val="0"/>
          <w:numId w:val="0"/>
        </w:numPr>
        <w:ind w:left="709" w:hanging="709"/>
        <w:rPr>
          <w:lang w:val="en-ZA"/>
        </w:rPr>
      </w:pPr>
      <w:r w:rsidRPr="0082516A">
        <w:rPr>
          <w:rFonts w:cs="Arial"/>
          <w:color w:val="000000"/>
          <w:lang w:val="en-ZA"/>
        </w:rPr>
        <w:t>[39]</w:t>
      </w:r>
      <w:r w:rsidRPr="0082516A">
        <w:rPr>
          <w:rFonts w:cs="Arial"/>
          <w:color w:val="000000"/>
          <w:lang w:val="en-ZA"/>
        </w:rPr>
        <w:tab/>
      </w:r>
      <w:r w:rsidR="002B0BDE" w:rsidRPr="006B38AB">
        <w:rPr>
          <w:i/>
          <w:lang w:val="en-ZA"/>
        </w:rPr>
        <w:t>Thubakgale</w:t>
      </w:r>
      <w:r w:rsidR="004C2636" w:rsidRPr="006B38AB">
        <w:rPr>
          <w:i/>
          <w:lang w:val="en-ZA"/>
        </w:rPr>
        <w:t xml:space="preserve"> and Others v Ekurhuleni Metropolitan Municipality and Others</w:t>
      </w:r>
      <w:r w:rsidR="004C2636" w:rsidRPr="0082516A">
        <w:rPr>
          <w:lang w:val="en-ZA"/>
        </w:rPr>
        <w:t xml:space="preserve"> [</w:t>
      </w:r>
      <w:r w:rsidR="004C2636" w:rsidRPr="0082516A">
        <w:rPr>
          <w:rStyle w:val="FootnoteReference"/>
          <w:lang w:val="en-ZA"/>
        </w:rPr>
        <w:footnoteReference w:id="31"/>
      </w:r>
      <w:r w:rsidR="004C2636" w:rsidRPr="0082516A">
        <w:rPr>
          <w:lang w:val="en-ZA"/>
        </w:rPr>
        <w:t>] (“</w:t>
      </w:r>
      <w:r w:rsidR="002B0BDE" w:rsidRPr="002B0BDE">
        <w:rPr>
          <w:i/>
          <w:lang w:val="en-ZA"/>
        </w:rPr>
        <w:t>Thubakgale</w:t>
      </w:r>
      <w:r w:rsidR="004C2636" w:rsidRPr="0082516A">
        <w:rPr>
          <w:lang w:val="en-ZA"/>
        </w:rPr>
        <w:t>”)</w:t>
      </w:r>
      <w:r w:rsidR="009D1370" w:rsidRPr="0082516A">
        <w:rPr>
          <w:lang w:val="en-ZA"/>
        </w:rPr>
        <w:t xml:space="preserve"> does not deal with the availability of constitutional damages where delictual damages are available. </w:t>
      </w:r>
      <w:r w:rsidR="00033BB7" w:rsidRPr="0082516A">
        <w:rPr>
          <w:lang w:val="en-ZA"/>
        </w:rPr>
        <w:t xml:space="preserve">That matter dealt with </w:t>
      </w:r>
      <w:r w:rsidR="00A674F4" w:rsidRPr="0082516A">
        <w:rPr>
          <w:lang w:val="en-ZA"/>
        </w:rPr>
        <w:t>c</w:t>
      </w:r>
      <w:r w:rsidR="00033BB7" w:rsidRPr="0082516A">
        <w:rPr>
          <w:lang w:val="en-ZA"/>
        </w:rPr>
        <w:t xml:space="preserve">onstitutional damages as a means to enforce socio-economic rights. </w:t>
      </w:r>
      <w:r w:rsidR="009D1370" w:rsidRPr="0082516A">
        <w:rPr>
          <w:lang w:val="en-ZA"/>
        </w:rPr>
        <w:t xml:space="preserve">The Constitutional </w:t>
      </w:r>
      <w:r w:rsidR="009D1370" w:rsidRPr="0082516A">
        <w:rPr>
          <w:lang w:val="en-ZA"/>
        </w:rPr>
        <w:lastRenderedPageBreak/>
        <w:t xml:space="preserve">Court held </w:t>
      </w:r>
      <w:r w:rsidR="00BD0736">
        <w:rPr>
          <w:lang w:val="en-ZA"/>
        </w:rPr>
        <w:t xml:space="preserve">that </w:t>
      </w:r>
      <w:r w:rsidR="009D1370" w:rsidRPr="0082516A">
        <w:rPr>
          <w:lang w:val="en-ZA"/>
        </w:rPr>
        <w:t xml:space="preserve">constitutional damages </w:t>
      </w:r>
      <w:r w:rsidR="008551F3" w:rsidRPr="0082516A">
        <w:rPr>
          <w:lang w:val="en-ZA"/>
        </w:rPr>
        <w:t>were</w:t>
      </w:r>
      <w:r w:rsidR="009D1370" w:rsidRPr="0082516A">
        <w:rPr>
          <w:lang w:val="en-ZA"/>
        </w:rPr>
        <w:t xml:space="preserve"> not </w:t>
      </w:r>
      <w:r w:rsidR="00002BF8">
        <w:rPr>
          <w:lang w:val="en-ZA"/>
        </w:rPr>
        <w:t>open</w:t>
      </w:r>
      <w:r w:rsidR="009D1370" w:rsidRPr="0082516A">
        <w:rPr>
          <w:lang w:val="en-ZA"/>
        </w:rPr>
        <w:t xml:space="preserve"> to the claimants because of the availability of </w:t>
      </w:r>
      <w:r w:rsidR="008551F3" w:rsidRPr="0082516A">
        <w:rPr>
          <w:lang w:val="en-ZA"/>
        </w:rPr>
        <w:t>remedies</w:t>
      </w:r>
      <w:r w:rsidR="009D1370" w:rsidRPr="0082516A">
        <w:rPr>
          <w:lang w:val="en-ZA"/>
        </w:rPr>
        <w:t xml:space="preserve"> in terms of </w:t>
      </w:r>
      <w:r w:rsidR="00253680" w:rsidRPr="0082516A">
        <w:rPr>
          <w:lang w:val="en-ZA"/>
        </w:rPr>
        <w:t>legislation.</w:t>
      </w:r>
      <w:r w:rsidR="00AD55E2" w:rsidRPr="0082516A">
        <w:rPr>
          <w:lang w:val="en-ZA"/>
        </w:rPr>
        <w:t xml:space="preserve"> [</w:t>
      </w:r>
      <w:r w:rsidR="00AD55E2" w:rsidRPr="0082516A">
        <w:rPr>
          <w:rStyle w:val="FootnoteReference"/>
          <w:lang w:val="en-ZA"/>
        </w:rPr>
        <w:footnoteReference w:id="32"/>
      </w:r>
      <w:r w:rsidR="00AD55E2" w:rsidRPr="0082516A">
        <w:rPr>
          <w:lang w:val="en-ZA"/>
        </w:rPr>
        <w:t>]</w:t>
      </w:r>
    </w:p>
    <w:p w14:paraId="65FFC7FE" w14:textId="77777777" w:rsidR="00E1533A" w:rsidRPr="0082516A" w:rsidRDefault="00E1533A" w:rsidP="00E1533A">
      <w:pPr>
        <w:pStyle w:val="JudgmentHeading"/>
        <w:rPr>
          <w:i w:val="0"/>
          <w:iCs/>
        </w:rPr>
      </w:pPr>
    </w:p>
    <w:p w14:paraId="2D2E4CB3" w14:textId="185A9481" w:rsidR="00203D2F" w:rsidRPr="0082516A" w:rsidRDefault="00203D2F" w:rsidP="00E1533A">
      <w:pPr>
        <w:pStyle w:val="JudgmentHeading"/>
      </w:pPr>
      <w:r w:rsidRPr="0082516A">
        <w:t>Analysis</w:t>
      </w:r>
    </w:p>
    <w:p w14:paraId="2E4D9132" w14:textId="2892D666" w:rsidR="00743B3F" w:rsidRPr="0082516A" w:rsidRDefault="006461D5" w:rsidP="006461D5">
      <w:pPr>
        <w:pStyle w:val="JUDGMENTNUMBERED"/>
        <w:numPr>
          <w:ilvl w:val="0"/>
          <w:numId w:val="0"/>
        </w:numPr>
        <w:ind w:left="709" w:hanging="709"/>
        <w:rPr>
          <w:lang w:val="en-ZA"/>
        </w:rPr>
      </w:pPr>
      <w:r w:rsidRPr="0082516A">
        <w:rPr>
          <w:rFonts w:cs="Arial"/>
          <w:color w:val="000000"/>
          <w:lang w:val="en-ZA"/>
        </w:rPr>
        <w:t>[40]</w:t>
      </w:r>
      <w:r w:rsidRPr="0082516A">
        <w:rPr>
          <w:rFonts w:cs="Arial"/>
          <w:color w:val="000000"/>
          <w:lang w:val="en-ZA"/>
        </w:rPr>
        <w:tab/>
      </w:r>
      <w:r w:rsidR="00743B3F" w:rsidRPr="0082516A">
        <w:rPr>
          <w:lang w:val="en-ZA"/>
        </w:rPr>
        <w:t>In my view, the legal principles</w:t>
      </w:r>
      <w:r w:rsidR="00743B3F">
        <w:rPr>
          <w:lang w:val="en-ZA"/>
        </w:rPr>
        <w:t xml:space="preserve"> expressed</w:t>
      </w:r>
      <w:r w:rsidR="00743B3F" w:rsidRPr="0082516A">
        <w:rPr>
          <w:lang w:val="en-ZA"/>
        </w:rPr>
        <w:t xml:space="preserve"> in the above cases concerning constitutional damages where a party has a common law remedy established may be </w:t>
      </w:r>
      <w:r w:rsidR="00743B3F">
        <w:rPr>
          <w:lang w:val="en-ZA"/>
        </w:rPr>
        <w:t>summarised</w:t>
      </w:r>
      <w:r w:rsidR="00743B3F" w:rsidRPr="0082516A">
        <w:rPr>
          <w:lang w:val="en-ZA"/>
        </w:rPr>
        <w:t xml:space="preserve"> as follows: </w:t>
      </w:r>
    </w:p>
    <w:p w14:paraId="70C7E588" w14:textId="18FFCE1C" w:rsidR="00743B3F" w:rsidRPr="0082516A" w:rsidRDefault="006461D5" w:rsidP="006461D5">
      <w:pPr>
        <w:pStyle w:val="JUDGMENTNUMBERED"/>
        <w:numPr>
          <w:ilvl w:val="0"/>
          <w:numId w:val="0"/>
        </w:numPr>
        <w:ind w:left="1440" w:hanging="360"/>
        <w:rPr>
          <w:lang w:val="en-ZA"/>
        </w:rPr>
      </w:pPr>
      <w:r w:rsidRPr="0082516A">
        <w:rPr>
          <w:rFonts w:cs="Times New Roman"/>
          <w:lang w:val="en-ZA"/>
        </w:rPr>
        <w:t>1.</w:t>
      </w:r>
      <w:r w:rsidRPr="0082516A">
        <w:rPr>
          <w:rFonts w:cs="Times New Roman"/>
          <w:lang w:val="en-ZA"/>
        </w:rPr>
        <w:tab/>
      </w:r>
      <w:r w:rsidR="00743B3F" w:rsidRPr="0082516A">
        <w:rPr>
          <w:lang w:val="en-ZA"/>
        </w:rPr>
        <w:t xml:space="preserve">Courts generally followed </w:t>
      </w:r>
      <w:r w:rsidR="00743B3F" w:rsidRPr="00A91BC1">
        <w:rPr>
          <w:i/>
          <w:lang w:val="en-ZA"/>
        </w:rPr>
        <w:t>Fose</w:t>
      </w:r>
      <w:r w:rsidR="00743B3F" w:rsidRPr="0082516A">
        <w:rPr>
          <w:lang w:val="en-ZA"/>
        </w:rPr>
        <w:t xml:space="preserve">. </w:t>
      </w:r>
    </w:p>
    <w:p w14:paraId="3FBD7F5A" w14:textId="047F0C19" w:rsidR="00743B3F" w:rsidRDefault="006461D5" w:rsidP="006461D5">
      <w:pPr>
        <w:pStyle w:val="JUDGMENTNUMBERED"/>
        <w:numPr>
          <w:ilvl w:val="0"/>
          <w:numId w:val="0"/>
        </w:numPr>
        <w:ind w:left="1440" w:hanging="360"/>
        <w:rPr>
          <w:lang w:val="en-ZA"/>
        </w:rPr>
      </w:pPr>
      <w:r>
        <w:rPr>
          <w:rFonts w:cs="Times New Roman"/>
          <w:lang w:val="en-ZA"/>
        </w:rPr>
        <w:t>2.</w:t>
      </w:r>
      <w:r>
        <w:rPr>
          <w:rFonts w:cs="Times New Roman"/>
          <w:lang w:val="en-ZA"/>
        </w:rPr>
        <w:tab/>
      </w:r>
      <w:r w:rsidR="00743B3F">
        <w:rPr>
          <w:lang w:val="en-ZA"/>
        </w:rPr>
        <w:t>Courts followed a casuistic approach.</w:t>
      </w:r>
    </w:p>
    <w:p w14:paraId="63CB7DBA" w14:textId="63AD255B" w:rsidR="00743B3F" w:rsidRPr="0082516A" w:rsidRDefault="006461D5" w:rsidP="006461D5">
      <w:pPr>
        <w:pStyle w:val="JUDGMENTNUMBERED"/>
        <w:numPr>
          <w:ilvl w:val="0"/>
          <w:numId w:val="0"/>
        </w:numPr>
        <w:ind w:left="1440" w:hanging="360"/>
        <w:rPr>
          <w:lang w:val="en-ZA"/>
        </w:rPr>
      </w:pPr>
      <w:r w:rsidRPr="0082516A">
        <w:rPr>
          <w:rFonts w:cs="Times New Roman"/>
          <w:lang w:val="en-ZA"/>
        </w:rPr>
        <w:t>3.</w:t>
      </w:r>
      <w:r w:rsidRPr="0082516A">
        <w:rPr>
          <w:rFonts w:cs="Times New Roman"/>
          <w:lang w:val="en-ZA"/>
        </w:rPr>
        <w:tab/>
      </w:r>
      <w:r w:rsidR="00743B3F" w:rsidRPr="0082516A">
        <w:rPr>
          <w:lang w:val="en-ZA"/>
        </w:rPr>
        <w:t xml:space="preserve">The purpose of constitutional damages is not to </w:t>
      </w:r>
      <w:r w:rsidR="00743B3F">
        <w:rPr>
          <w:lang w:val="en-ZA"/>
        </w:rPr>
        <w:t>penalise</w:t>
      </w:r>
      <w:r w:rsidR="00743B3F" w:rsidRPr="0082516A">
        <w:rPr>
          <w:lang w:val="en-ZA"/>
        </w:rPr>
        <w:t xml:space="preserve"> a party.</w:t>
      </w:r>
    </w:p>
    <w:p w14:paraId="10A34734" w14:textId="617F1749" w:rsidR="00743B3F" w:rsidRPr="0082516A" w:rsidRDefault="006461D5" w:rsidP="006461D5">
      <w:pPr>
        <w:pStyle w:val="JUDGMENTNUMBERED"/>
        <w:numPr>
          <w:ilvl w:val="0"/>
          <w:numId w:val="0"/>
        </w:numPr>
        <w:ind w:left="1440" w:hanging="360"/>
        <w:rPr>
          <w:lang w:val="en-ZA"/>
        </w:rPr>
      </w:pPr>
      <w:r w:rsidRPr="0082516A">
        <w:rPr>
          <w:rFonts w:cs="Times New Roman"/>
          <w:lang w:val="en-ZA"/>
        </w:rPr>
        <w:t>4.</w:t>
      </w:r>
      <w:r w:rsidRPr="0082516A">
        <w:rPr>
          <w:rFonts w:cs="Times New Roman"/>
          <w:lang w:val="en-ZA"/>
        </w:rPr>
        <w:tab/>
      </w:r>
      <w:r w:rsidR="00743B3F" w:rsidRPr="0082516A">
        <w:rPr>
          <w:lang w:val="en-ZA"/>
        </w:rPr>
        <w:t>Courts will not grant constitutional damages in addition to common law damages arising from the same set of facts.</w:t>
      </w:r>
    </w:p>
    <w:p w14:paraId="62EF4851" w14:textId="7A6DCDDA" w:rsidR="00743B3F" w:rsidRPr="0082516A" w:rsidRDefault="006461D5" w:rsidP="006461D5">
      <w:pPr>
        <w:pStyle w:val="JUDGMENTNUMBERED"/>
        <w:numPr>
          <w:ilvl w:val="0"/>
          <w:numId w:val="0"/>
        </w:numPr>
        <w:ind w:left="1440" w:hanging="360"/>
        <w:rPr>
          <w:lang w:val="en-ZA"/>
        </w:rPr>
      </w:pPr>
      <w:r w:rsidRPr="0082516A">
        <w:rPr>
          <w:rFonts w:cs="Times New Roman"/>
          <w:lang w:val="en-ZA"/>
        </w:rPr>
        <w:t>5.</w:t>
      </w:r>
      <w:r w:rsidRPr="0082516A">
        <w:rPr>
          <w:rFonts w:cs="Times New Roman"/>
          <w:lang w:val="en-ZA"/>
        </w:rPr>
        <w:tab/>
      </w:r>
      <w:r w:rsidR="00743B3F" w:rsidRPr="0082516A">
        <w:rPr>
          <w:lang w:val="en-ZA"/>
        </w:rPr>
        <w:t>It is accepted that there was no reason why “appropriate relief”, as envisaged by section 38 of the Constitution [</w:t>
      </w:r>
      <w:r w:rsidR="00743B3F" w:rsidRPr="0082516A">
        <w:rPr>
          <w:rStyle w:val="FootnoteReference"/>
          <w:lang w:val="en-ZA"/>
        </w:rPr>
        <w:footnoteReference w:id="33"/>
      </w:r>
      <w:r w:rsidR="00743B3F" w:rsidRPr="0082516A">
        <w:rPr>
          <w:lang w:val="en-ZA"/>
        </w:rPr>
        <w:t>], could not include an award for damages.</w:t>
      </w:r>
    </w:p>
    <w:p w14:paraId="10B62EA2" w14:textId="2D24DE38" w:rsidR="00743B3F" w:rsidRPr="0082516A" w:rsidRDefault="006461D5" w:rsidP="006461D5">
      <w:pPr>
        <w:pStyle w:val="JUDGMENTNUMBERED"/>
        <w:numPr>
          <w:ilvl w:val="0"/>
          <w:numId w:val="0"/>
        </w:numPr>
        <w:ind w:left="1440" w:hanging="360"/>
        <w:rPr>
          <w:lang w:val="en-ZA"/>
        </w:rPr>
      </w:pPr>
      <w:r w:rsidRPr="0082516A">
        <w:rPr>
          <w:rFonts w:cs="Times New Roman"/>
          <w:lang w:val="en-ZA"/>
        </w:rPr>
        <w:t>6.</w:t>
      </w:r>
      <w:r w:rsidRPr="0082516A">
        <w:rPr>
          <w:rFonts w:cs="Times New Roman"/>
          <w:lang w:val="en-ZA"/>
        </w:rPr>
        <w:tab/>
      </w:r>
      <w:r w:rsidR="00743B3F" w:rsidRPr="0082516A">
        <w:rPr>
          <w:lang w:val="en-ZA"/>
        </w:rPr>
        <w:t>Constitutional damages will only be awarded if a common law remedy is ineffective.</w:t>
      </w:r>
    </w:p>
    <w:p w14:paraId="3827C336" w14:textId="630E0D66" w:rsidR="00743B3F" w:rsidRPr="0082516A" w:rsidRDefault="006461D5" w:rsidP="006461D5">
      <w:pPr>
        <w:pStyle w:val="JUDGMENTNUMBERED"/>
        <w:numPr>
          <w:ilvl w:val="0"/>
          <w:numId w:val="0"/>
        </w:numPr>
        <w:ind w:left="1440" w:hanging="360"/>
        <w:rPr>
          <w:lang w:val="en-ZA"/>
        </w:rPr>
      </w:pPr>
      <w:r w:rsidRPr="0082516A">
        <w:rPr>
          <w:rFonts w:cs="Times New Roman"/>
          <w:lang w:val="en-ZA"/>
        </w:rPr>
        <w:t>7.</w:t>
      </w:r>
      <w:r w:rsidRPr="0082516A">
        <w:rPr>
          <w:rFonts w:cs="Times New Roman"/>
          <w:lang w:val="en-ZA"/>
        </w:rPr>
        <w:tab/>
      </w:r>
      <w:r w:rsidR="00743B3F" w:rsidRPr="0082516A">
        <w:rPr>
          <w:lang w:val="en-ZA"/>
        </w:rPr>
        <w:t>Constitutional damages will only be available where they are demonstrated to be the most effective and appropriate remedy.</w:t>
      </w:r>
    </w:p>
    <w:p w14:paraId="6878B798" w14:textId="5B478D8C" w:rsidR="00743B3F" w:rsidRPr="0082516A" w:rsidRDefault="006461D5" w:rsidP="006461D5">
      <w:pPr>
        <w:pStyle w:val="JUDGMENTNUMBERED"/>
        <w:numPr>
          <w:ilvl w:val="0"/>
          <w:numId w:val="0"/>
        </w:numPr>
        <w:ind w:left="1440" w:hanging="360"/>
        <w:rPr>
          <w:lang w:val="en-ZA"/>
        </w:rPr>
      </w:pPr>
      <w:r w:rsidRPr="0082516A">
        <w:rPr>
          <w:rFonts w:cs="Times New Roman"/>
          <w:lang w:val="en-ZA"/>
        </w:rPr>
        <w:t>8.</w:t>
      </w:r>
      <w:r w:rsidRPr="0082516A">
        <w:rPr>
          <w:rFonts w:cs="Times New Roman"/>
          <w:lang w:val="en-ZA"/>
        </w:rPr>
        <w:tab/>
      </w:r>
      <w:r w:rsidR="00C515C1">
        <w:rPr>
          <w:lang w:val="en-ZA"/>
        </w:rPr>
        <w:t>Most</w:t>
      </w:r>
      <w:r w:rsidR="00743B3F" w:rsidRPr="0082516A">
        <w:rPr>
          <w:lang w:val="en-ZA"/>
        </w:rPr>
        <w:t xml:space="preserve"> courts held that </w:t>
      </w:r>
      <w:r w:rsidR="00743B3F">
        <w:rPr>
          <w:lang w:val="en-ZA"/>
        </w:rPr>
        <w:t>constitutional damages should not be awarded when delictual damages were available</w:t>
      </w:r>
      <w:r w:rsidR="00743B3F" w:rsidRPr="0082516A">
        <w:rPr>
          <w:lang w:val="en-ZA"/>
        </w:rPr>
        <w:t>.</w:t>
      </w:r>
    </w:p>
    <w:p w14:paraId="1D7FB5CF" w14:textId="329A0F3E" w:rsidR="00BA1D8F" w:rsidRPr="0082516A" w:rsidRDefault="006461D5" w:rsidP="006461D5">
      <w:pPr>
        <w:pStyle w:val="JUDGMENTNUMBERED"/>
        <w:numPr>
          <w:ilvl w:val="0"/>
          <w:numId w:val="0"/>
        </w:numPr>
        <w:ind w:left="709" w:hanging="709"/>
        <w:rPr>
          <w:lang w:val="en-ZA"/>
        </w:rPr>
      </w:pPr>
      <w:r w:rsidRPr="0082516A">
        <w:rPr>
          <w:rFonts w:cs="Arial"/>
          <w:color w:val="000000"/>
          <w:lang w:val="en-ZA"/>
        </w:rPr>
        <w:t>[41]</w:t>
      </w:r>
      <w:r w:rsidRPr="0082516A">
        <w:rPr>
          <w:rFonts w:cs="Arial"/>
          <w:color w:val="000000"/>
          <w:lang w:val="en-ZA"/>
        </w:rPr>
        <w:tab/>
      </w:r>
      <w:r w:rsidR="008A22AF" w:rsidRPr="0082516A">
        <w:rPr>
          <w:lang w:val="en-ZA"/>
        </w:rPr>
        <w:t xml:space="preserve">On a plain reading of the Particulars of Claim, the plaintiff claims constitutional </w:t>
      </w:r>
      <w:r w:rsidR="00CF45DF">
        <w:rPr>
          <w:lang w:val="en-ZA"/>
        </w:rPr>
        <w:t>and</w:t>
      </w:r>
      <w:r w:rsidR="00AB06A4" w:rsidRPr="0082516A">
        <w:rPr>
          <w:lang w:val="en-ZA"/>
        </w:rPr>
        <w:t xml:space="preserve"> common law damages. Both claims stem from the same set of facts.</w:t>
      </w:r>
      <w:r w:rsidR="00050579" w:rsidRPr="0082516A">
        <w:rPr>
          <w:lang w:val="en-ZA"/>
        </w:rPr>
        <w:t xml:space="preserve"> </w:t>
      </w:r>
      <w:r w:rsidR="00DC6148" w:rsidRPr="0082516A">
        <w:rPr>
          <w:lang w:val="en-ZA"/>
        </w:rPr>
        <w:t>The defendant’s exception to Claim B</w:t>
      </w:r>
      <w:r w:rsidR="00525C8B" w:rsidRPr="0082516A">
        <w:rPr>
          <w:lang w:val="en-ZA"/>
        </w:rPr>
        <w:t xml:space="preserve"> </w:t>
      </w:r>
      <w:r w:rsidR="00CF45DF">
        <w:rPr>
          <w:lang w:val="en-ZA"/>
        </w:rPr>
        <w:t>asks</w:t>
      </w:r>
      <w:r w:rsidR="00EE6808" w:rsidRPr="0082516A">
        <w:rPr>
          <w:lang w:val="en-ZA"/>
        </w:rPr>
        <w:t xml:space="preserve"> whether the plaintiff is entitled to claim concurrently</w:t>
      </w:r>
      <w:r w:rsidR="00800D7D" w:rsidRPr="0082516A">
        <w:rPr>
          <w:lang w:val="en-ZA"/>
        </w:rPr>
        <w:t xml:space="preserve"> common law damages and constitutional damages.</w:t>
      </w:r>
    </w:p>
    <w:p w14:paraId="242AF209" w14:textId="402A520A" w:rsidR="00160F5B" w:rsidRDefault="006461D5" w:rsidP="006461D5">
      <w:pPr>
        <w:pStyle w:val="JUDGMENTNUMBERED"/>
        <w:numPr>
          <w:ilvl w:val="0"/>
          <w:numId w:val="0"/>
        </w:numPr>
        <w:ind w:left="709" w:hanging="709"/>
        <w:rPr>
          <w:lang w:val="en-ZA"/>
        </w:rPr>
      </w:pPr>
      <w:r>
        <w:rPr>
          <w:rFonts w:cs="Arial"/>
          <w:color w:val="000000"/>
          <w:lang w:val="en-ZA"/>
        </w:rPr>
        <w:t>[42]</w:t>
      </w:r>
      <w:r>
        <w:rPr>
          <w:rFonts w:cs="Arial"/>
          <w:color w:val="000000"/>
          <w:lang w:val="en-ZA"/>
        </w:rPr>
        <w:tab/>
      </w:r>
      <w:r w:rsidR="009C09CD">
        <w:rPr>
          <w:lang w:val="en-ZA"/>
        </w:rPr>
        <w:t>T</w:t>
      </w:r>
      <w:r w:rsidR="00160F5B">
        <w:rPr>
          <w:lang w:val="en-ZA"/>
        </w:rPr>
        <w:t xml:space="preserve">he plaintiff does not describe its claim for constitutional damages as </w:t>
      </w:r>
      <w:r w:rsidR="009C09CD">
        <w:rPr>
          <w:lang w:val="en-ZA"/>
        </w:rPr>
        <w:t>“</w:t>
      </w:r>
      <w:r w:rsidR="00472161" w:rsidRPr="009C09CD">
        <w:rPr>
          <w:i/>
          <w:iCs/>
          <w:lang w:val="en-ZA"/>
        </w:rPr>
        <w:t>punitive constitutional damages</w:t>
      </w:r>
      <w:r w:rsidR="009C09CD">
        <w:rPr>
          <w:lang w:val="en-ZA"/>
        </w:rPr>
        <w:t>”</w:t>
      </w:r>
      <w:r w:rsidR="00472161">
        <w:rPr>
          <w:lang w:val="en-ZA"/>
        </w:rPr>
        <w:t>. However</w:t>
      </w:r>
      <w:r w:rsidR="00764F2F">
        <w:rPr>
          <w:lang w:val="en-ZA"/>
        </w:rPr>
        <w:t xml:space="preserve">, concurrently with common law damages, </w:t>
      </w:r>
      <w:r w:rsidR="00764F2F">
        <w:rPr>
          <w:lang w:val="en-ZA"/>
        </w:rPr>
        <w:lastRenderedPageBreak/>
        <w:t xml:space="preserve">the plaintiff’s claim for constitutional </w:t>
      </w:r>
      <w:r w:rsidR="005E6940">
        <w:rPr>
          <w:lang w:val="en-ZA"/>
        </w:rPr>
        <w:t>damages renders Claim B</w:t>
      </w:r>
      <w:r w:rsidR="003130A4">
        <w:rPr>
          <w:lang w:val="en-ZA"/>
        </w:rPr>
        <w:t xml:space="preserve"> squarely</w:t>
      </w:r>
      <w:r w:rsidR="001B6936">
        <w:rPr>
          <w:lang w:val="en-ZA"/>
        </w:rPr>
        <w:t xml:space="preserve"> </w:t>
      </w:r>
      <w:r w:rsidR="00764F2F">
        <w:rPr>
          <w:lang w:val="en-ZA"/>
        </w:rPr>
        <w:t>as</w:t>
      </w:r>
      <w:r w:rsidR="001B6936">
        <w:rPr>
          <w:lang w:val="en-ZA"/>
        </w:rPr>
        <w:t xml:space="preserve"> punitive constitutional damages.</w:t>
      </w:r>
    </w:p>
    <w:p w14:paraId="62BE8B72" w14:textId="066A8984" w:rsidR="00BF775A" w:rsidRPr="0082516A" w:rsidRDefault="006461D5" w:rsidP="006461D5">
      <w:pPr>
        <w:pStyle w:val="JUDGMENTNUMBERED"/>
        <w:numPr>
          <w:ilvl w:val="0"/>
          <w:numId w:val="0"/>
        </w:numPr>
        <w:ind w:left="709" w:hanging="709"/>
        <w:rPr>
          <w:lang w:val="en-ZA"/>
        </w:rPr>
      </w:pPr>
      <w:r w:rsidRPr="0082516A">
        <w:rPr>
          <w:rFonts w:cs="Arial"/>
          <w:color w:val="000000"/>
          <w:lang w:val="en-ZA"/>
        </w:rPr>
        <w:t>[43]</w:t>
      </w:r>
      <w:r w:rsidRPr="0082516A">
        <w:rPr>
          <w:rFonts w:cs="Arial"/>
          <w:color w:val="000000"/>
          <w:lang w:val="en-ZA"/>
        </w:rPr>
        <w:tab/>
      </w:r>
      <w:r w:rsidR="00D952BC" w:rsidRPr="0082516A">
        <w:rPr>
          <w:lang w:val="en-ZA"/>
        </w:rPr>
        <w:t>Based on the case law referred to above</w:t>
      </w:r>
      <w:r w:rsidR="00DD74C1" w:rsidRPr="0082516A">
        <w:rPr>
          <w:lang w:val="en-ZA"/>
        </w:rPr>
        <w:t>, constitutional damages</w:t>
      </w:r>
      <w:r w:rsidR="007F1ECD">
        <w:rPr>
          <w:lang w:val="en-ZA"/>
        </w:rPr>
        <w:t>, in addition to common law damages, as the plaintiff seeks to claim, have</w:t>
      </w:r>
      <w:r w:rsidR="00DD3ACF" w:rsidRPr="0082516A">
        <w:rPr>
          <w:lang w:val="en-ZA"/>
        </w:rPr>
        <w:t xml:space="preserve"> no legal basis.</w:t>
      </w:r>
      <w:r w:rsidR="00461B5D">
        <w:rPr>
          <w:lang w:val="en-ZA"/>
        </w:rPr>
        <w:t xml:space="preserve"> In addition, the plaintiff failed to plead facts that may be relevant to determine what appropriate relief would be.</w:t>
      </w:r>
      <w:r w:rsidR="00D46A78">
        <w:rPr>
          <w:lang w:val="en-ZA"/>
        </w:rPr>
        <w:t xml:space="preserve"> The exception to Claim B should accordingly be upheld.</w:t>
      </w:r>
    </w:p>
    <w:p w14:paraId="53D7D52D" w14:textId="0BD85CBE" w:rsidR="00BF775A" w:rsidRPr="0082516A" w:rsidRDefault="006461D5" w:rsidP="006461D5">
      <w:pPr>
        <w:pStyle w:val="JUDGMENTNUMBERED"/>
        <w:numPr>
          <w:ilvl w:val="0"/>
          <w:numId w:val="0"/>
        </w:numPr>
        <w:ind w:left="709" w:hanging="709"/>
        <w:rPr>
          <w:lang w:val="en-ZA"/>
        </w:rPr>
      </w:pPr>
      <w:r w:rsidRPr="0082516A">
        <w:rPr>
          <w:rFonts w:cs="Arial"/>
          <w:color w:val="000000"/>
          <w:lang w:val="en-ZA"/>
        </w:rPr>
        <w:t>[44]</w:t>
      </w:r>
      <w:r w:rsidRPr="0082516A">
        <w:rPr>
          <w:rFonts w:cs="Arial"/>
          <w:color w:val="000000"/>
          <w:lang w:val="en-ZA"/>
        </w:rPr>
        <w:tab/>
      </w:r>
      <w:r w:rsidR="00872707">
        <w:rPr>
          <w:lang w:val="en-ZA"/>
        </w:rPr>
        <w:t xml:space="preserve">The next </w:t>
      </w:r>
      <w:r w:rsidR="00275BE0">
        <w:rPr>
          <w:lang w:val="en-ZA"/>
        </w:rPr>
        <w:t>inquiry</w:t>
      </w:r>
      <w:r w:rsidR="00872707">
        <w:rPr>
          <w:lang w:val="en-ZA"/>
        </w:rPr>
        <w:t xml:space="preserve"> is whether the plaintiff’s Claim B should be dismissed</w:t>
      </w:r>
      <w:r w:rsidR="00275BE0">
        <w:rPr>
          <w:lang w:val="en-ZA"/>
        </w:rPr>
        <w:t xml:space="preserve"> or whether the plaintiff should be </w:t>
      </w:r>
      <w:r w:rsidR="006F4000">
        <w:rPr>
          <w:lang w:val="en-ZA"/>
        </w:rPr>
        <w:t>allowed</w:t>
      </w:r>
      <w:r w:rsidR="00275BE0">
        <w:rPr>
          <w:lang w:val="en-ZA"/>
        </w:rPr>
        <w:t xml:space="preserve"> to amend its Particulars of Claim</w:t>
      </w:r>
      <w:r w:rsidR="00BE35B3">
        <w:rPr>
          <w:lang w:val="en-ZA"/>
        </w:rPr>
        <w:t xml:space="preserve"> inasmuch as it concerns Claim B</w:t>
      </w:r>
      <w:r w:rsidR="00275BE0">
        <w:rPr>
          <w:lang w:val="en-ZA"/>
        </w:rPr>
        <w:t>.</w:t>
      </w:r>
    </w:p>
    <w:p w14:paraId="5E084984" w14:textId="41022F2B" w:rsidR="002E28E7" w:rsidRDefault="006461D5" w:rsidP="006461D5">
      <w:pPr>
        <w:pStyle w:val="JUDGMENTNUMBERED"/>
        <w:numPr>
          <w:ilvl w:val="0"/>
          <w:numId w:val="0"/>
        </w:numPr>
        <w:ind w:left="709" w:hanging="709"/>
        <w:rPr>
          <w:lang w:val="en-ZA"/>
        </w:rPr>
      </w:pPr>
      <w:r>
        <w:rPr>
          <w:rFonts w:cs="Arial"/>
          <w:color w:val="000000"/>
          <w:lang w:val="en-ZA"/>
        </w:rPr>
        <w:t>[45]</w:t>
      </w:r>
      <w:r>
        <w:rPr>
          <w:rFonts w:cs="Arial"/>
          <w:color w:val="000000"/>
          <w:lang w:val="en-ZA"/>
        </w:rPr>
        <w:tab/>
      </w:r>
      <w:r w:rsidR="00275BE0">
        <w:rPr>
          <w:lang w:val="en-ZA"/>
        </w:rPr>
        <w:t xml:space="preserve">Counsel for the </w:t>
      </w:r>
      <w:r w:rsidR="00BE35B3">
        <w:rPr>
          <w:lang w:val="en-ZA"/>
        </w:rPr>
        <w:t>defendant submitted</w:t>
      </w:r>
      <w:r w:rsidR="007F1ECD">
        <w:rPr>
          <w:lang w:val="en-ZA"/>
        </w:rPr>
        <w:t xml:space="preserve"> </w:t>
      </w:r>
      <w:r w:rsidR="00095DB4">
        <w:rPr>
          <w:lang w:val="en-ZA"/>
        </w:rPr>
        <w:t xml:space="preserve">that </w:t>
      </w:r>
      <w:r w:rsidR="007F1ECD">
        <w:rPr>
          <w:lang w:val="en-ZA"/>
        </w:rPr>
        <w:t>the dismissal of Claim B</w:t>
      </w:r>
      <w:r w:rsidR="00D61693">
        <w:rPr>
          <w:lang w:val="en-ZA"/>
        </w:rPr>
        <w:t xml:space="preserve"> at the exception stage</w:t>
      </w:r>
      <w:r w:rsidR="00C515C1">
        <w:rPr>
          <w:lang w:val="en-ZA"/>
        </w:rPr>
        <w:t xml:space="preserve"> would align with Fose</w:t>
      </w:r>
      <w:r w:rsidR="00BE35B3">
        <w:rPr>
          <w:lang w:val="en-ZA"/>
        </w:rPr>
        <w:t xml:space="preserve"> </w:t>
      </w:r>
      <w:r w:rsidR="00B57CC7">
        <w:rPr>
          <w:lang w:val="en-ZA"/>
        </w:rPr>
        <w:t xml:space="preserve">and </w:t>
      </w:r>
      <w:r w:rsidR="00BE35B3">
        <w:rPr>
          <w:lang w:val="en-ZA"/>
        </w:rPr>
        <w:t xml:space="preserve">that </w:t>
      </w:r>
      <w:r w:rsidR="002E28E7">
        <w:rPr>
          <w:lang w:val="en-ZA"/>
        </w:rPr>
        <w:t>there is no possibility that an amendment will cure the plaintiff’s defective claim.</w:t>
      </w:r>
      <w:r w:rsidR="0051621D">
        <w:rPr>
          <w:lang w:val="en-ZA"/>
        </w:rPr>
        <w:t xml:space="preserve"> In any event, </w:t>
      </w:r>
      <w:r w:rsidR="00E77359">
        <w:rPr>
          <w:lang w:val="en-ZA"/>
        </w:rPr>
        <w:t>the plaintiff has had ample opportunity to amend its case.</w:t>
      </w:r>
    </w:p>
    <w:p w14:paraId="5B4977C4" w14:textId="295F1DAD" w:rsidR="005C1AF4" w:rsidRDefault="006461D5" w:rsidP="006461D5">
      <w:pPr>
        <w:pStyle w:val="JUDGMENTNUMBERED"/>
        <w:numPr>
          <w:ilvl w:val="0"/>
          <w:numId w:val="0"/>
        </w:numPr>
        <w:ind w:left="709" w:hanging="709"/>
      </w:pPr>
      <w:r>
        <w:rPr>
          <w:rFonts w:cs="Arial"/>
          <w:color w:val="000000"/>
        </w:rPr>
        <w:t>[46]</w:t>
      </w:r>
      <w:r>
        <w:rPr>
          <w:rFonts w:cs="Arial"/>
          <w:color w:val="000000"/>
        </w:rPr>
        <w:tab/>
      </w:r>
      <w:r w:rsidR="00896C4E">
        <w:t>I appreciate that the circumstances under which constitutional damages will be awarded</w:t>
      </w:r>
      <w:r w:rsidR="00A10B8A">
        <w:t xml:space="preserve"> are limited. However, i</w:t>
      </w:r>
      <w:r w:rsidR="005C1AF4">
        <w:t>n my view, it would not serve the interest of justice</w:t>
      </w:r>
      <w:r w:rsidR="00CE07C2">
        <w:t xml:space="preserve"> at this junction</w:t>
      </w:r>
      <w:r w:rsidR="005C1AF4">
        <w:t xml:space="preserve"> to dismiss the plaintiff’s Claim B without </w:t>
      </w:r>
      <w:r w:rsidR="00CE07C2">
        <w:t>allowing it</w:t>
      </w:r>
      <w:r w:rsidR="005C1AF4">
        <w:t xml:space="preserve"> to amend its claim. A dismissal of Claim B would finally shut the</w:t>
      </w:r>
      <w:r w:rsidR="00CE07C2">
        <w:t xml:space="preserve"> court’s</w:t>
      </w:r>
      <w:r w:rsidR="005C1AF4">
        <w:t xml:space="preserve"> doors to the plaintiff.</w:t>
      </w:r>
      <w:r w:rsidR="003D40C4">
        <w:t xml:space="preserve"> </w:t>
      </w:r>
      <w:r w:rsidR="00D44B13">
        <w:t>The plaintiff’s right to access the courts warranted under section 34 of the Constitution is</w:t>
      </w:r>
      <w:r w:rsidR="00204A38">
        <w:t xml:space="preserve"> accordingly</w:t>
      </w:r>
      <w:r w:rsidR="00D44B13">
        <w:t xml:space="preserve"> at stake</w:t>
      </w:r>
      <w:r w:rsidR="003D40C4">
        <w:t>.</w:t>
      </w:r>
      <w:r w:rsidR="005C1AF4">
        <w:t xml:space="preserve"> </w:t>
      </w:r>
    </w:p>
    <w:p w14:paraId="0219F59A" w14:textId="72F7D97A" w:rsidR="008A0D3E" w:rsidRPr="008A0D3E" w:rsidRDefault="006461D5" w:rsidP="006461D5">
      <w:pPr>
        <w:pStyle w:val="JUDGMENTNUMBERED"/>
        <w:numPr>
          <w:ilvl w:val="0"/>
          <w:numId w:val="0"/>
        </w:numPr>
        <w:ind w:left="709" w:hanging="709"/>
        <w:rPr>
          <w:lang w:val="en-ZA"/>
        </w:rPr>
      </w:pPr>
      <w:r w:rsidRPr="008A0D3E">
        <w:rPr>
          <w:rFonts w:cs="Arial"/>
          <w:color w:val="000000"/>
          <w:lang w:val="en-ZA"/>
        </w:rPr>
        <w:t>[47]</w:t>
      </w:r>
      <w:r w:rsidRPr="008A0D3E">
        <w:rPr>
          <w:rFonts w:cs="Arial"/>
          <w:color w:val="000000"/>
          <w:lang w:val="en-ZA"/>
        </w:rPr>
        <w:tab/>
      </w:r>
      <w:r w:rsidR="008A0D3E">
        <w:rPr>
          <w:lang w:val="en-ZA"/>
        </w:rPr>
        <w:t>The objection to Claim B</w:t>
      </w:r>
      <w:r w:rsidR="009C02B8">
        <w:rPr>
          <w:lang w:val="en-ZA"/>
        </w:rPr>
        <w:t>, on the basis of the punitive effect of the plaintiff’s concurrent claims, may be resolved</w:t>
      </w:r>
      <w:r w:rsidR="008463E6">
        <w:rPr>
          <w:lang w:val="en-ZA"/>
        </w:rPr>
        <w:t xml:space="preserve"> (albeit in part)</w:t>
      </w:r>
      <w:r w:rsidR="009C02B8">
        <w:rPr>
          <w:lang w:val="en-ZA"/>
        </w:rPr>
        <w:t xml:space="preserve"> by </w:t>
      </w:r>
      <w:r w:rsidR="002A5F16">
        <w:rPr>
          <w:lang w:val="en-ZA"/>
        </w:rPr>
        <w:t>an amendment to plead these claims in the alternative.</w:t>
      </w:r>
      <w:r w:rsidR="004D277A">
        <w:rPr>
          <w:lang w:val="en-ZA"/>
        </w:rPr>
        <w:t xml:space="preserve"> For </w:t>
      </w:r>
      <w:r w:rsidR="00902738">
        <w:rPr>
          <w:lang w:val="en-ZA"/>
        </w:rPr>
        <w:t>clarity, I do not find</w:t>
      </w:r>
      <w:r w:rsidR="004D277A">
        <w:rPr>
          <w:lang w:val="en-ZA"/>
        </w:rPr>
        <w:t xml:space="preserve"> it will</w:t>
      </w:r>
      <w:r w:rsidR="009C02B8">
        <w:rPr>
          <w:lang w:val="en-ZA"/>
        </w:rPr>
        <w:t xml:space="preserve"> or ought to</w:t>
      </w:r>
      <w:r w:rsidR="004D277A">
        <w:rPr>
          <w:lang w:val="en-ZA"/>
        </w:rPr>
        <w:t xml:space="preserve"> re</w:t>
      </w:r>
      <w:r w:rsidR="009C02B8">
        <w:rPr>
          <w:lang w:val="en-ZA"/>
        </w:rPr>
        <w:t>move the defendant’s cause of complaint.</w:t>
      </w:r>
    </w:p>
    <w:p w14:paraId="7EDCD048" w14:textId="1CEAB393" w:rsidR="007523E4" w:rsidRDefault="006461D5" w:rsidP="006461D5">
      <w:pPr>
        <w:pStyle w:val="JUDGMENTNUMBERED"/>
        <w:numPr>
          <w:ilvl w:val="0"/>
          <w:numId w:val="0"/>
        </w:numPr>
        <w:ind w:left="709" w:hanging="709"/>
        <w:rPr>
          <w:lang w:val="en-ZA"/>
        </w:rPr>
      </w:pPr>
      <w:r>
        <w:rPr>
          <w:rFonts w:cs="Arial"/>
          <w:color w:val="000000"/>
          <w:lang w:val="en-ZA"/>
        </w:rPr>
        <w:t>[48]</w:t>
      </w:r>
      <w:r>
        <w:rPr>
          <w:rFonts w:cs="Arial"/>
          <w:color w:val="000000"/>
          <w:lang w:val="en-ZA"/>
        </w:rPr>
        <w:tab/>
      </w:r>
      <w:r w:rsidR="00013D5F">
        <w:t xml:space="preserve">In </w:t>
      </w:r>
      <w:r w:rsidR="002B0BDE" w:rsidRPr="002B0BDE">
        <w:rPr>
          <w:i/>
        </w:rPr>
        <w:t>Mboweni</w:t>
      </w:r>
      <w:r w:rsidR="00013D5F">
        <w:t xml:space="preserve">, </w:t>
      </w:r>
      <w:r w:rsidR="00013D5F" w:rsidRPr="0082516A">
        <w:rPr>
          <w:lang w:val="en-ZA"/>
        </w:rPr>
        <w:t>Wallis JA held that the court</w:t>
      </w:r>
      <w:r w:rsidR="00013D5F">
        <w:rPr>
          <w:lang w:val="en-ZA"/>
        </w:rPr>
        <w:t xml:space="preserve"> </w:t>
      </w:r>
      <w:r w:rsidR="00013D5F">
        <w:rPr>
          <w:i/>
          <w:iCs/>
          <w:lang w:val="en-ZA"/>
        </w:rPr>
        <w:t>a quo</w:t>
      </w:r>
      <w:r w:rsidR="00013D5F" w:rsidRPr="0082516A">
        <w:rPr>
          <w:lang w:val="en-ZA"/>
        </w:rPr>
        <w:t xml:space="preserve"> had not addressed the factual and legal issues important to the decision it had to make</w:t>
      </w:r>
      <w:r w:rsidR="00F7212C">
        <w:rPr>
          <w:lang w:val="en-ZA"/>
        </w:rPr>
        <w:t>. Consequently</w:t>
      </w:r>
      <w:r w:rsidR="00013D5F" w:rsidRPr="0082516A">
        <w:rPr>
          <w:lang w:val="en-ZA"/>
        </w:rPr>
        <w:t xml:space="preserve">, the award of constitutional damages was overturned. Referring to </w:t>
      </w:r>
      <w:r w:rsidR="00A91BC1" w:rsidRPr="00A91BC1">
        <w:rPr>
          <w:i/>
          <w:lang w:val="en-ZA"/>
        </w:rPr>
        <w:t>Fose</w:t>
      </w:r>
      <w:r w:rsidR="00013D5F" w:rsidRPr="0082516A">
        <w:rPr>
          <w:lang w:val="en-ZA"/>
        </w:rPr>
        <w:t xml:space="preserve">, </w:t>
      </w:r>
      <w:r w:rsidR="00A91BC1" w:rsidRPr="00A91BC1">
        <w:rPr>
          <w:i/>
          <w:lang w:val="en-ZA"/>
        </w:rPr>
        <w:t>Modderklip</w:t>
      </w:r>
      <w:r w:rsidR="00013D5F" w:rsidRPr="0082516A">
        <w:rPr>
          <w:lang w:val="en-ZA"/>
        </w:rPr>
        <w:t xml:space="preserve"> and </w:t>
      </w:r>
      <w:r w:rsidR="00A91BC1" w:rsidRPr="00A91BC1">
        <w:rPr>
          <w:i/>
          <w:lang w:val="en-ZA"/>
        </w:rPr>
        <w:t>Kate</w:t>
      </w:r>
      <w:r w:rsidR="00013D5F" w:rsidRPr="0082516A">
        <w:rPr>
          <w:lang w:val="en-ZA"/>
        </w:rPr>
        <w:t xml:space="preserve">, the court found that in </w:t>
      </w:r>
      <w:r w:rsidR="009C412E">
        <w:rPr>
          <w:lang w:val="en-ZA"/>
        </w:rPr>
        <w:t>th</w:t>
      </w:r>
      <w:r w:rsidR="002B7D48">
        <w:rPr>
          <w:lang w:val="en-ZA"/>
        </w:rPr>
        <w:t>o</w:t>
      </w:r>
      <w:r w:rsidR="009C412E">
        <w:rPr>
          <w:lang w:val="en-ZA"/>
        </w:rPr>
        <w:t>se</w:t>
      </w:r>
      <w:r w:rsidR="00013D5F" w:rsidRPr="0082516A">
        <w:rPr>
          <w:lang w:val="en-ZA"/>
        </w:rPr>
        <w:t xml:space="preserve"> cases</w:t>
      </w:r>
      <w:r w:rsidR="004D61F0">
        <w:rPr>
          <w:lang w:val="en-ZA"/>
        </w:rPr>
        <w:t>,</w:t>
      </w:r>
      <w:r w:rsidR="00013D5F" w:rsidRPr="0082516A">
        <w:rPr>
          <w:lang w:val="en-ZA"/>
        </w:rPr>
        <w:t xml:space="preserve"> the court was apprised of the facts on which the claim was based. The SCA</w:t>
      </w:r>
      <w:r w:rsidR="009C412E">
        <w:rPr>
          <w:lang w:val="en-ZA"/>
        </w:rPr>
        <w:t>, however, found that the parties did not plead the facts necessary to determine an appropriate remedy</w:t>
      </w:r>
      <w:r w:rsidR="00013D5F" w:rsidRPr="0082516A">
        <w:rPr>
          <w:lang w:val="en-ZA"/>
        </w:rPr>
        <w:t xml:space="preserve"> and concluded that </w:t>
      </w:r>
      <w:r w:rsidR="00BD061B">
        <w:rPr>
          <w:lang w:val="en-ZA"/>
        </w:rPr>
        <w:t>the issue</w:t>
      </w:r>
      <w:r w:rsidR="00C51D2B">
        <w:rPr>
          <w:lang w:val="en-ZA"/>
        </w:rPr>
        <w:t xml:space="preserve"> (of an appropriate remedy)</w:t>
      </w:r>
      <w:r w:rsidR="00013D5F" w:rsidRPr="0082516A">
        <w:rPr>
          <w:lang w:val="en-ZA"/>
        </w:rPr>
        <w:t xml:space="preserve"> could arise only once the </w:t>
      </w:r>
      <w:r w:rsidR="00013D5F" w:rsidRPr="0082516A">
        <w:rPr>
          <w:lang w:val="en-ZA"/>
        </w:rPr>
        <w:lastRenderedPageBreak/>
        <w:t>relevant facts had been identified and pleaded and it had been shown that the rights in question had been infringed. [</w:t>
      </w:r>
      <w:r w:rsidR="00013D5F" w:rsidRPr="0082516A">
        <w:rPr>
          <w:rStyle w:val="FootnoteReference"/>
          <w:lang w:val="en-ZA"/>
        </w:rPr>
        <w:footnoteReference w:id="34"/>
      </w:r>
      <w:r w:rsidR="00013D5F" w:rsidRPr="0082516A">
        <w:rPr>
          <w:lang w:val="en-ZA"/>
        </w:rPr>
        <w:t>]</w:t>
      </w:r>
    </w:p>
    <w:p w14:paraId="293310DB" w14:textId="0A19DAC7" w:rsidR="00DC081C" w:rsidRDefault="006461D5" w:rsidP="006461D5">
      <w:pPr>
        <w:pStyle w:val="JUDGMENTNUMBERED"/>
        <w:numPr>
          <w:ilvl w:val="0"/>
          <w:numId w:val="0"/>
        </w:numPr>
        <w:ind w:left="709" w:hanging="709"/>
      </w:pPr>
      <w:r>
        <w:rPr>
          <w:rFonts w:cs="Arial"/>
          <w:color w:val="000000"/>
        </w:rPr>
        <w:t>[49]</w:t>
      </w:r>
      <w:r>
        <w:rPr>
          <w:rFonts w:cs="Arial"/>
          <w:color w:val="000000"/>
        </w:rPr>
        <w:tab/>
      </w:r>
      <w:r w:rsidR="002B0BDE" w:rsidRPr="002B0BDE">
        <w:rPr>
          <w:i/>
        </w:rPr>
        <w:t>Mboweni</w:t>
      </w:r>
      <w:r w:rsidR="008C29DB">
        <w:t>, in my view, is</w:t>
      </w:r>
      <w:r w:rsidR="006E7ACE">
        <w:t xml:space="preserve"> authority for the proposition that a court must ensure that all the facts necessary to determine an appropriate remedy have been pleaded. </w:t>
      </w:r>
      <w:r w:rsidR="006A090C">
        <w:t>I am not convinced that</w:t>
      </w:r>
      <w:r w:rsidR="003D4E44">
        <w:t xml:space="preserve"> </w:t>
      </w:r>
      <w:r w:rsidR="006E7ACE">
        <w:t>this is the case</w:t>
      </w:r>
      <w:r w:rsidR="003D0350">
        <w:t xml:space="preserve"> in the matter at hand</w:t>
      </w:r>
      <w:r w:rsidR="006E7ACE">
        <w:t>.</w:t>
      </w:r>
      <w:r w:rsidR="006A090C">
        <w:t xml:space="preserve"> </w:t>
      </w:r>
    </w:p>
    <w:p w14:paraId="360E96E1" w14:textId="74D42845" w:rsidR="0080335A" w:rsidRDefault="006461D5" w:rsidP="006461D5">
      <w:pPr>
        <w:pStyle w:val="JUDGMENTNUMBERED"/>
        <w:numPr>
          <w:ilvl w:val="0"/>
          <w:numId w:val="0"/>
        </w:numPr>
        <w:ind w:left="709" w:hanging="709"/>
      </w:pPr>
      <w:r>
        <w:rPr>
          <w:rFonts w:cs="Arial"/>
          <w:color w:val="000000"/>
        </w:rPr>
        <w:t>[50]</w:t>
      </w:r>
      <w:r>
        <w:rPr>
          <w:rFonts w:cs="Arial"/>
          <w:color w:val="000000"/>
        </w:rPr>
        <w:tab/>
      </w:r>
      <w:r w:rsidR="00322284">
        <w:t>Accordingly, I believe</w:t>
      </w:r>
      <w:r w:rsidR="0080335A">
        <w:t xml:space="preserve"> that Claim B should not be dismissed and that the plaintiff should be </w:t>
      </w:r>
      <w:r w:rsidR="00E257CE">
        <w:t>allowed</w:t>
      </w:r>
      <w:r w:rsidR="0080335A">
        <w:t xml:space="preserve"> to reconsider its pleading</w:t>
      </w:r>
      <w:r w:rsidR="00EE22F2">
        <w:t>,</w:t>
      </w:r>
      <w:r w:rsidR="0080335A">
        <w:t xml:space="preserve"> </w:t>
      </w:r>
      <w:r w:rsidR="009D6F1A">
        <w:t>given</w:t>
      </w:r>
      <w:r w:rsidR="0080335A">
        <w:t xml:space="preserve"> this judgment and the authorities to which I have referred. </w:t>
      </w:r>
    </w:p>
    <w:p w14:paraId="0BB05A4F" w14:textId="3D320D6E" w:rsidR="00B21D86" w:rsidRPr="00B21D86" w:rsidRDefault="00B21D86" w:rsidP="00B21D86">
      <w:pPr>
        <w:pStyle w:val="JudgmentHeading"/>
      </w:pPr>
      <w:r>
        <w:t>Costs</w:t>
      </w:r>
    </w:p>
    <w:p w14:paraId="35F0582C" w14:textId="220A00FA" w:rsidR="00236F78" w:rsidRDefault="006461D5" w:rsidP="006461D5">
      <w:pPr>
        <w:pStyle w:val="JUDGMENTNUMBERED"/>
        <w:numPr>
          <w:ilvl w:val="0"/>
          <w:numId w:val="0"/>
        </w:numPr>
        <w:ind w:left="709" w:hanging="709"/>
      </w:pPr>
      <w:r>
        <w:rPr>
          <w:rFonts w:cs="Arial"/>
          <w:color w:val="000000"/>
        </w:rPr>
        <w:t>[51]</w:t>
      </w:r>
      <w:r>
        <w:rPr>
          <w:rFonts w:cs="Arial"/>
          <w:color w:val="000000"/>
        </w:rPr>
        <w:tab/>
      </w:r>
      <w:r w:rsidR="00236F78">
        <w:t xml:space="preserve">Although the issue of costs remains the discretion of the court, the discretion cannot be exercised arbitrarily but judicially on grounds upon which a reasonable person could have arrived. The approach to awarding costs is succinctly set out in </w:t>
      </w:r>
      <w:r w:rsidR="00236F78" w:rsidRPr="00AD78DB">
        <w:rPr>
          <w:i/>
          <w:iCs/>
        </w:rPr>
        <w:t>Ferreira v Levin NO and Others, Vryenhoek and Others v Powell NO and Others</w:t>
      </w:r>
      <w:r w:rsidR="00250A12">
        <w:t xml:space="preserve"> [</w:t>
      </w:r>
      <w:r w:rsidR="00236F78">
        <w:rPr>
          <w:rStyle w:val="FootnoteReference"/>
        </w:rPr>
        <w:footnoteReference w:id="35"/>
      </w:r>
      <w:r w:rsidR="00250A12">
        <w:t>]</w:t>
      </w:r>
      <w:r w:rsidR="00236F78">
        <w:t xml:space="preserve"> in paragraph 3:</w:t>
      </w:r>
    </w:p>
    <w:p w14:paraId="60734E19" w14:textId="77777777" w:rsidR="00236F78" w:rsidRDefault="00236F78" w:rsidP="000E564A">
      <w:pPr>
        <w:pStyle w:val="MainParagraphNumber"/>
        <w:numPr>
          <w:ilvl w:val="0"/>
          <w:numId w:val="0"/>
        </w:numPr>
        <w:ind w:left="1276"/>
      </w:pPr>
      <w:r>
        <w:t>"</w:t>
      </w:r>
      <w:r w:rsidRPr="00267EAD">
        <w:rPr>
          <w:i/>
          <w:iCs/>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w:t>
      </w:r>
      <w:r>
        <w:t>"</w:t>
      </w:r>
    </w:p>
    <w:p w14:paraId="0D60DC84" w14:textId="695FFA16" w:rsidR="00125B36" w:rsidRDefault="006461D5" w:rsidP="006461D5">
      <w:pPr>
        <w:pStyle w:val="JUDGMENTNUMBERED"/>
        <w:numPr>
          <w:ilvl w:val="0"/>
          <w:numId w:val="0"/>
        </w:numPr>
        <w:ind w:left="709" w:hanging="709"/>
      </w:pPr>
      <w:r>
        <w:rPr>
          <w:rFonts w:cs="Arial"/>
          <w:color w:val="000000"/>
        </w:rPr>
        <w:t>[52]</w:t>
      </w:r>
      <w:r>
        <w:rPr>
          <w:rFonts w:cs="Arial"/>
          <w:color w:val="000000"/>
        </w:rPr>
        <w:tab/>
      </w:r>
      <w:r w:rsidR="00125B36">
        <w:t xml:space="preserve">Recently, in </w:t>
      </w:r>
      <w:r w:rsidR="00125B36" w:rsidRPr="00057941">
        <w:rPr>
          <w:i/>
          <w:iCs/>
        </w:rPr>
        <w:t>D</w:t>
      </w:r>
      <w:r w:rsidR="00125B36" w:rsidRPr="001B0ECF">
        <w:rPr>
          <w:i/>
          <w:iCs/>
        </w:rPr>
        <w:t>hlamini v Schumann, Van den Heever and Slabbert Inc and Others</w:t>
      </w:r>
      <w:r w:rsidR="005E0BDC" w:rsidRPr="005E0BDC">
        <w:t xml:space="preserve"> [</w:t>
      </w:r>
      <w:r w:rsidR="00125B36" w:rsidRPr="005E0BDC">
        <w:rPr>
          <w:rStyle w:val="FootnoteReference"/>
        </w:rPr>
        <w:footnoteReference w:id="36"/>
      </w:r>
      <w:r w:rsidR="005E0BDC" w:rsidRPr="005E0BDC">
        <w:t>]</w:t>
      </w:r>
      <w:r w:rsidR="00125B36">
        <w:t xml:space="preserve">, the Supreme Court of Appeal dealt with a matter in which both </w:t>
      </w:r>
      <w:r w:rsidR="00125B36">
        <w:lastRenderedPageBreak/>
        <w:t>parties were partially successful. In that matter, the court ordered each party to pay its own costs.</w:t>
      </w:r>
    </w:p>
    <w:p w14:paraId="2E3DA147" w14:textId="7CC702A0" w:rsidR="00125B36" w:rsidRDefault="006461D5" w:rsidP="006461D5">
      <w:pPr>
        <w:pStyle w:val="JUDGMENTNUMBERED"/>
        <w:numPr>
          <w:ilvl w:val="0"/>
          <w:numId w:val="0"/>
        </w:numPr>
        <w:ind w:left="709" w:hanging="709"/>
        <w:rPr>
          <w:lang w:val="en-ZA"/>
        </w:rPr>
      </w:pPr>
      <w:r>
        <w:rPr>
          <w:rFonts w:cs="Arial"/>
          <w:color w:val="000000"/>
          <w:lang w:val="en-ZA"/>
        </w:rPr>
        <w:t>[53]</w:t>
      </w:r>
      <w:r>
        <w:rPr>
          <w:rFonts w:cs="Arial"/>
          <w:color w:val="000000"/>
          <w:lang w:val="en-ZA"/>
        </w:rPr>
        <w:tab/>
      </w:r>
      <w:r w:rsidR="00817E11">
        <w:rPr>
          <w:lang w:val="en-ZA"/>
        </w:rPr>
        <w:t>It is true that the plaintiff enjoyed partial success in defeating the challenge to Claim A.</w:t>
      </w:r>
    </w:p>
    <w:p w14:paraId="715BADEA" w14:textId="589C3C6D" w:rsidR="00D51338" w:rsidRDefault="006461D5" w:rsidP="006461D5">
      <w:pPr>
        <w:pStyle w:val="JUDGMENTNUMBERED"/>
        <w:numPr>
          <w:ilvl w:val="0"/>
          <w:numId w:val="0"/>
        </w:numPr>
        <w:ind w:left="709" w:hanging="709"/>
      </w:pPr>
      <w:r>
        <w:rPr>
          <w:rFonts w:cs="Arial"/>
          <w:color w:val="000000"/>
        </w:rPr>
        <w:t>[54]</w:t>
      </w:r>
      <w:r>
        <w:rPr>
          <w:rFonts w:cs="Arial"/>
          <w:color w:val="000000"/>
        </w:rPr>
        <w:tab/>
      </w:r>
      <w:r w:rsidR="00D51338">
        <w:t>It was argued that the plaintiff is an individual litigating against a state-owned agency and that the court should pay due consideration to this factor.</w:t>
      </w:r>
    </w:p>
    <w:p w14:paraId="48036E4A" w14:textId="22C0C6ED" w:rsidR="00BF775A" w:rsidRPr="009E0486" w:rsidRDefault="006461D5" w:rsidP="006461D5">
      <w:pPr>
        <w:pStyle w:val="JUDGMENTNUMBERED"/>
        <w:numPr>
          <w:ilvl w:val="0"/>
          <w:numId w:val="0"/>
        </w:numPr>
        <w:ind w:left="709" w:hanging="709"/>
        <w:rPr>
          <w:lang w:val="en-ZA"/>
        </w:rPr>
      </w:pPr>
      <w:r w:rsidRPr="009E0486">
        <w:rPr>
          <w:rFonts w:cs="Arial"/>
          <w:color w:val="000000"/>
          <w:lang w:val="en-ZA"/>
        </w:rPr>
        <w:t>[55]</w:t>
      </w:r>
      <w:r w:rsidRPr="009E0486">
        <w:rPr>
          <w:rFonts w:cs="Arial"/>
          <w:color w:val="000000"/>
          <w:lang w:val="en-ZA"/>
        </w:rPr>
        <w:tab/>
      </w:r>
      <w:r w:rsidR="009E0486">
        <w:rPr>
          <w:lang w:val="en-ZA"/>
        </w:rPr>
        <w:t>It</w:t>
      </w:r>
      <w:r w:rsidR="00E05CF5">
        <w:rPr>
          <w:lang w:val="en-ZA"/>
        </w:rPr>
        <w:t xml:space="preserve"> is to be noted that</w:t>
      </w:r>
      <w:r w:rsidR="004654DE">
        <w:rPr>
          <w:lang w:val="en-ZA"/>
        </w:rPr>
        <w:t xml:space="preserve"> the </w:t>
      </w:r>
      <w:r w:rsidR="00A05DB6">
        <w:rPr>
          <w:lang w:val="en-ZA"/>
        </w:rPr>
        <w:t>exception</w:t>
      </w:r>
      <w:r w:rsidR="004654DE">
        <w:rPr>
          <w:lang w:val="en-ZA"/>
        </w:rPr>
        <w:t xml:space="preserve"> to Claim B</w:t>
      </w:r>
      <w:r w:rsidR="00A05DB6">
        <w:rPr>
          <w:lang w:val="en-ZA"/>
        </w:rPr>
        <w:t xml:space="preserve"> </w:t>
      </w:r>
      <w:r w:rsidR="00F24F7F">
        <w:rPr>
          <w:lang w:val="en-ZA"/>
        </w:rPr>
        <w:t>was caused</w:t>
      </w:r>
      <w:r w:rsidR="00A05DB6">
        <w:rPr>
          <w:lang w:val="en-ZA"/>
        </w:rPr>
        <w:t xml:space="preserve"> by the plaintiff’s failure </w:t>
      </w:r>
      <w:r w:rsidR="00207DD7">
        <w:rPr>
          <w:lang w:val="en-ZA"/>
        </w:rPr>
        <w:t>to plead her case for constitutional damages adequately</w:t>
      </w:r>
      <w:r w:rsidR="00A05DB6">
        <w:rPr>
          <w:lang w:val="en-ZA"/>
        </w:rPr>
        <w:t>.</w:t>
      </w:r>
      <w:r w:rsidR="009E0486">
        <w:rPr>
          <w:lang w:val="en-ZA"/>
        </w:rPr>
        <w:t xml:space="preserve"> </w:t>
      </w:r>
      <w:r w:rsidR="00D51338" w:rsidRPr="009E0486">
        <w:rPr>
          <w:lang w:val="en-ZA"/>
        </w:rPr>
        <w:t>T</w:t>
      </w:r>
      <w:r w:rsidR="00F95709" w:rsidRPr="009E0486">
        <w:rPr>
          <w:lang w:val="en-ZA"/>
        </w:rPr>
        <w:t>here is no reason why the public purse should pay for the defendant’s costs</w:t>
      </w:r>
      <w:r w:rsidR="009008D2" w:rsidRPr="009E0486">
        <w:rPr>
          <w:lang w:val="en-ZA"/>
        </w:rPr>
        <w:t xml:space="preserve"> while the defendant </w:t>
      </w:r>
      <w:r w:rsidR="005F4B47" w:rsidRPr="009E0486">
        <w:rPr>
          <w:lang w:val="en-ZA"/>
        </w:rPr>
        <w:t>was successful in its exception to Claim B.</w:t>
      </w:r>
      <w:r w:rsidR="001D4A1D" w:rsidRPr="009E0486">
        <w:rPr>
          <w:lang w:val="en-ZA"/>
        </w:rPr>
        <w:t xml:space="preserve"> </w:t>
      </w:r>
    </w:p>
    <w:p w14:paraId="431E9483" w14:textId="3C82AF2D" w:rsidR="00C50A48" w:rsidRPr="0082516A" w:rsidRDefault="00C50A48" w:rsidP="00C50A48">
      <w:pPr>
        <w:pStyle w:val="JudgmentHeading"/>
      </w:pPr>
      <w:r w:rsidRPr="0082516A">
        <w:t>Order</w:t>
      </w:r>
    </w:p>
    <w:p w14:paraId="07344D25" w14:textId="3F25A892" w:rsidR="00C50A48" w:rsidRPr="0082516A" w:rsidRDefault="006461D5" w:rsidP="006461D5">
      <w:pPr>
        <w:pStyle w:val="JudgmentNumbered0"/>
        <w:numPr>
          <w:ilvl w:val="0"/>
          <w:numId w:val="0"/>
        </w:numPr>
        <w:ind w:left="567" w:hanging="567"/>
      </w:pPr>
      <w:r w:rsidRPr="0082516A">
        <w:t>[1]</w:t>
      </w:r>
      <w:r w:rsidRPr="0082516A">
        <w:tab/>
      </w:r>
      <w:r w:rsidR="005E70DE">
        <w:t>The defendant’s exception to Claim A is dismissed</w:t>
      </w:r>
      <w:r w:rsidR="00363D4C">
        <w:t>.</w:t>
      </w:r>
    </w:p>
    <w:p w14:paraId="7C8038F6" w14:textId="2D44B021" w:rsidR="00C50A48" w:rsidRPr="0082516A" w:rsidRDefault="006461D5" w:rsidP="006461D5">
      <w:pPr>
        <w:pStyle w:val="JudgmentNumbered0"/>
        <w:numPr>
          <w:ilvl w:val="0"/>
          <w:numId w:val="0"/>
        </w:numPr>
        <w:ind w:left="567" w:hanging="567"/>
      </w:pPr>
      <w:r w:rsidRPr="0082516A">
        <w:t>[2]</w:t>
      </w:r>
      <w:r w:rsidRPr="0082516A">
        <w:tab/>
      </w:r>
      <w:r w:rsidR="00363D4C">
        <w:t>The defendant’s exception to Claim B is upheld.</w:t>
      </w:r>
    </w:p>
    <w:p w14:paraId="4DA0086F" w14:textId="2438ACAA" w:rsidR="00363D4C" w:rsidRDefault="006461D5" w:rsidP="006461D5">
      <w:pPr>
        <w:pStyle w:val="JudgmentNumbered0"/>
        <w:numPr>
          <w:ilvl w:val="0"/>
          <w:numId w:val="0"/>
        </w:numPr>
        <w:ind w:left="567" w:hanging="567"/>
      </w:pPr>
      <w:r>
        <w:t>[3]</w:t>
      </w:r>
      <w:r>
        <w:tab/>
      </w:r>
      <w:r w:rsidR="00363D4C">
        <w:t>The plaintiff is afforded 20 days from</w:t>
      </w:r>
      <w:r w:rsidR="00E76A60">
        <w:t xml:space="preserve"> the</w:t>
      </w:r>
      <w:r w:rsidR="00363D4C">
        <w:t xml:space="preserve"> date of this</w:t>
      </w:r>
      <w:r w:rsidR="008E2F7F">
        <w:t xml:space="preserve"> order</w:t>
      </w:r>
      <w:r w:rsidR="00E76A60">
        <w:t xml:space="preserve"> to</w:t>
      </w:r>
      <w:r w:rsidR="00F318EA">
        <w:t xml:space="preserve"> deliver </w:t>
      </w:r>
      <w:r w:rsidR="001739AF">
        <w:t xml:space="preserve">a </w:t>
      </w:r>
      <w:r w:rsidR="00F318EA">
        <w:t xml:space="preserve">notice </w:t>
      </w:r>
      <w:r w:rsidR="00DA4A78">
        <w:t>in terms of Rule 28(1) of the Uniform Rules of Court</w:t>
      </w:r>
      <w:r w:rsidR="001739AF">
        <w:t xml:space="preserve"> to amend i</w:t>
      </w:r>
      <w:r w:rsidR="00E76A60">
        <w:t>ts Particulars of Claim (as amended)</w:t>
      </w:r>
      <w:r w:rsidR="00F318EA">
        <w:t>,</w:t>
      </w:r>
      <w:r w:rsidR="001739AF">
        <w:t xml:space="preserve"> should it wish to do so.</w:t>
      </w:r>
    </w:p>
    <w:p w14:paraId="5E16423B" w14:textId="754647AD" w:rsidR="00C50A48" w:rsidRPr="0082516A" w:rsidRDefault="006461D5" w:rsidP="006461D5">
      <w:pPr>
        <w:pStyle w:val="JudgmentNumbered0"/>
        <w:numPr>
          <w:ilvl w:val="0"/>
          <w:numId w:val="0"/>
        </w:numPr>
        <w:ind w:left="567" w:hanging="567"/>
      </w:pPr>
      <w:r w:rsidRPr="0082516A">
        <w:t>[4]</w:t>
      </w:r>
      <w:r w:rsidRPr="0082516A">
        <w:tab/>
      </w:r>
      <w:r w:rsidR="001739AF">
        <w:t>The plaintiff shall be liable for the defendant’s costs</w:t>
      </w:r>
      <w:r w:rsidR="00A670F2">
        <w:t xml:space="preserve">, which </w:t>
      </w:r>
      <w:r w:rsidR="004A5D7D">
        <w:t>excludes</w:t>
      </w:r>
      <w:r w:rsidR="00E639CB">
        <w:t xml:space="preserve"> costs</w:t>
      </w:r>
      <w:r w:rsidR="00A670F2">
        <w:t xml:space="preserve"> </w:t>
      </w:r>
      <w:r w:rsidR="004D12DD">
        <w:t xml:space="preserve">incurred by the defendant </w:t>
      </w:r>
      <w:r w:rsidR="004A5D7D">
        <w:t>regarding</w:t>
      </w:r>
      <w:r w:rsidR="004D12DD">
        <w:t xml:space="preserve"> its exception to Claim A.</w:t>
      </w:r>
    </w:p>
    <w:p w14:paraId="22CFE8C0" w14:textId="7E62D09A" w:rsidR="002A3308" w:rsidRPr="0082516A" w:rsidRDefault="002A3308" w:rsidP="002A3308">
      <w:pPr>
        <w:pStyle w:val="JudgmentNumbered0"/>
        <w:numPr>
          <w:ilvl w:val="0"/>
          <w:numId w:val="0"/>
        </w:numPr>
      </w:pPr>
    </w:p>
    <w:p w14:paraId="41F7FD88" w14:textId="401A494D" w:rsidR="002A3308" w:rsidRPr="0082516A" w:rsidRDefault="002A3308" w:rsidP="002A3308">
      <w:pPr>
        <w:pStyle w:val="JudgmentNumbered0"/>
        <w:numPr>
          <w:ilvl w:val="0"/>
          <w:numId w:val="0"/>
        </w:numPr>
      </w:pPr>
    </w:p>
    <w:p w14:paraId="74B6457A" w14:textId="7020C67F" w:rsidR="0032689B" w:rsidRDefault="0032689B" w:rsidP="00651FDF">
      <w:pPr>
        <w:pStyle w:val="JudgmentNumbered0"/>
        <w:numPr>
          <w:ilvl w:val="0"/>
          <w:numId w:val="0"/>
        </w:numPr>
        <w:spacing w:after="0" w:line="276" w:lineRule="auto"/>
        <w:ind w:left="567" w:hanging="567"/>
        <w:jc w:val="right"/>
        <w:rPr>
          <w:b/>
          <w:bCs/>
        </w:rPr>
      </w:pPr>
    </w:p>
    <w:p w14:paraId="16F7BDDC" w14:textId="4627DAAB" w:rsidR="00C50A48" w:rsidRPr="0082516A" w:rsidRDefault="00C50A48" w:rsidP="00651FDF">
      <w:pPr>
        <w:pStyle w:val="JudgmentNumbered0"/>
        <w:numPr>
          <w:ilvl w:val="0"/>
          <w:numId w:val="0"/>
        </w:numPr>
        <w:spacing w:after="0" w:line="276" w:lineRule="auto"/>
        <w:ind w:left="567" w:hanging="567"/>
        <w:jc w:val="right"/>
        <w:rPr>
          <w:b/>
          <w:bCs/>
        </w:rPr>
      </w:pPr>
      <w:r w:rsidRPr="0082516A">
        <w:rPr>
          <w:b/>
          <w:bCs/>
        </w:rPr>
        <w:t>___________________________</w:t>
      </w:r>
    </w:p>
    <w:p w14:paraId="393B4E08" w14:textId="216C02C1" w:rsidR="00C50A48" w:rsidRPr="0082516A" w:rsidRDefault="002A3308" w:rsidP="00651FDF">
      <w:pPr>
        <w:pStyle w:val="JudgmentNumbered0"/>
        <w:numPr>
          <w:ilvl w:val="0"/>
          <w:numId w:val="0"/>
        </w:numPr>
        <w:spacing w:after="0" w:line="276" w:lineRule="auto"/>
        <w:ind w:left="567" w:hanging="567"/>
        <w:jc w:val="right"/>
        <w:rPr>
          <w:b/>
        </w:rPr>
      </w:pPr>
      <w:r w:rsidRPr="0082516A">
        <w:rPr>
          <w:b/>
        </w:rPr>
        <w:t xml:space="preserve">C. A. C. </w:t>
      </w:r>
      <w:r w:rsidR="00C50A48" w:rsidRPr="0082516A">
        <w:rPr>
          <w:b/>
        </w:rPr>
        <w:t>KOR</w:t>
      </w:r>
      <w:r w:rsidRPr="0082516A">
        <w:rPr>
          <w:b/>
        </w:rPr>
        <w:t>F</w:t>
      </w:r>
    </w:p>
    <w:p w14:paraId="332D49B8" w14:textId="3F99C1ED" w:rsidR="00C50A48" w:rsidRPr="0082516A" w:rsidRDefault="003B30E9" w:rsidP="00651FDF">
      <w:pPr>
        <w:pStyle w:val="JudgmentNumbered0"/>
        <w:numPr>
          <w:ilvl w:val="0"/>
          <w:numId w:val="0"/>
        </w:numPr>
        <w:spacing w:after="0" w:line="276" w:lineRule="auto"/>
        <w:ind w:left="567" w:hanging="567"/>
        <w:jc w:val="right"/>
        <w:rPr>
          <w:b/>
        </w:rPr>
      </w:pPr>
      <w:r>
        <w:rPr>
          <w:b/>
        </w:rPr>
        <w:t xml:space="preserve">ACTING </w:t>
      </w:r>
      <w:r w:rsidR="00C50A48" w:rsidRPr="0082516A">
        <w:rPr>
          <w:b/>
        </w:rPr>
        <w:t>JUDGE OF THE HIGH COURT</w:t>
      </w:r>
    </w:p>
    <w:p w14:paraId="6B71F640" w14:textId="23C574DD" w:rsidR="00C50A48" w:rsidRPr="0082516A" w:rsidRDefault="00C50A48" w:rsidP="00651FDF">
      <w:pPr>
        <w:pStyle w:val="JudgmentNumbered0"/>
        <w:numPr>
          <w:ilvl w:val="0"/>
          <w:numId w:val="0"/>
        </w:numPr>
        <w:spacing w:after="0" w:line="276" w:lineRule="auto"/>
        <w:ind w:left="567" w:hanging="567"/>
        <w:jc w:val="right"/>
        <w:rPr>
          <w:b/>
        </w:rPr>
        <w:sectPr w:rsidR="00C50A48" w:rsidRPr="0082516A" w:rsidSect="00711E6D">
          <w:footerReference w:type="default" r:id="rId10"/>
          <w:type w:val="continuous"/>
          <w:pgSz w:w="11906" w:h="16838"/>
          <w:pgMar w:top="1440" w:right="1440" w:bottom="1440" w:left="1440" w:header="708" w:footer="708" w:gutter="0"/>
          <w:cols w:space="708"/>
          <w:docGrid w:linePitch="360"/>
        </w:sectPr>
      </w:pPr>
      <w:r w:rsidRPr="0082516A">
        <w:rPr>
          <w:b/>
        </w:rPr>
        <w:t>JOHANNESBUR</w:t>
      </w:r>
      <w:r w:rsidR="005F29C5">
        <w:rPr>
          <w:b/>
        </w:rPr>
        <w:t>G</w:t>
      </w:r>
    </w:p>
    <w:p w14:paraId="1875381F" w14:textId="1C1901FC" w:rsidR="0098252E" w:rsidRPr="0082516A" w:rsidRDefault="0098252E" w:rsidP="0098252E">
      <w:pPr>
        <w:spacing w:after="0" w:line="240" w:lineRule="auto"/>
        <w:ind w:left="0"/>
        <w:rPr>
          <w:rFonts w:eastAsia="Times New Roman" w:cs="Arial"/>
          <w:szCs w:val="24"/>
        </w:rPr>
      </w:pPr>
      <w:r w:rsidRPr="0082516A">
        <w:rPr>
          <w:rFonts w:eastAsia="Times New Roman" w:cs="Arial"/>
          <w:szCs w:val="24"/>
        </w:rPr>
        <w:lastRenderedPageBreak/>
        <w:t xml:space="preserve">For the </w:t>
      </w:r>
      <w:r w:rsidR="00A52A70">
        <w:rPr>
          <w:rFonts w:eastAsia="Times New Roman" w:cs="Arial"/>
          <w:szCs w:val="24"/>
        </w:rPr>
        <w:t>Excipient</w:t>
      </w:r>
      <w:r w:rsidR="00C44981">
        <w:rPr>
          <w:rFonts w:eastAsia="Times New Roman" w:cs="Arial"/>
          <w:szCs w:val="24"/>
        </w:rPr>
        <w:t>/Defendant</w:t>
      </w:r>
      <w:r w:rsidRPr="0082516A">
        <w:rPr>
          <w:rFonts w:eastAsia="Times New Roman" w:cs="Arial"/>
          <w:szCs w:val="24"/>
        </w:rPr>
        <w:t>:</w:t>
      </w:r>
    </w:p>
    <w:p w14:paraId="63F6CB8F" w14:textId="77777777" w:rsidR="0098252E" w:rsidRPr="0082516A" w:rsidRDefault="0098252E" w:rsidP="0098252E">
      <w:pPr>
        <w:spacing w:after="0" w:line="240" w:lineRule="auto"/>
        <w:ind w:left="0"/>
        <w:rPr>
          <w:rFonts w:eastAsia="Times New Roman" w:cs="Arial"/>
          <w:szCs w:val="24"/>
        </w:rPr>
      </w:pPr>
    </w:p>
    <w:p w14:paraId="0DEC2609" w14:textId="77777777" w:rsidR="0098252E" w:rsidRPr="0082516A" w:rsidRDefault="0098252E" w:rsidP="0098252E">
      <w:pPr>
        <w:spacing w:after="0" w:line="240" w:lineRule="auto"/>
        <w:ind w:left="0"/>
        <w:rPr>
          <w:rFonts w:eastAsia="Times New Roman" w:cs="Arial"/>
          <w:szCs w:val="24"/>
        </w:rPr>
      </w:pPr>
    </w:p>
    <w:p w14:paraId="377BEF20" w14:textId="4FE61C46" w:rsidR="0098252E" w:rsidRPr="0082516A" w:rsidRDefault="0098252E" w:rsidP="0098252E">
      <w:pPr>
        <w:spacing w:after="0" w:line="240" w:lineRule="auto"/>
        <w:ind w:left="0"/>
        <w:rPr>
          <w:rFonts w:eastAsia="Times New Roman" w:cs="Arial"/>
          <w:szCs w:val="24"/>
        </w:rPr>
      </w:pPr>
      <w:r w:rsidRPr="0082516A">
        <w:rPr>
          <w:rFonts w:eastAsia="Times New Roman" w:cs="Arial"/>
          <w:szCs w:val="24"/>
        </w:rPr>
        <w:t>For the Respondent</w:t>
      </w:r>
      <w:r w:rsidR="00C44981">
        <w:rPr>
          <w:rFonts w:eastAsia="Times New Roman" w:cs="Arial"/>
          <w:szCs w:val="24"/>
        </w:rPr>
        <w:t>/Plaintiff</w:t>
      </w:r>
      <w:r w:rsidRPr="0082516A">
        <w:rPr>
          <w:rFonts w:eastAsia="Times New Roman" w:cs="Arial"/>
          <w:szCs w:val="24"/>
        </w:rPr>
        <w:t>:</w:t>
      </w:r>
    </w:p>
    <w:p w14:paraId="28917FE2" w14:textId="18EC995A" w:rsidR="0098252E" w:rsidRPr="0082516A" w:rsidRDefault="0098252E" w:rsidP="0098252E">
      <w:pPr>
        <w:spacing w:after="0" w:line="240" w:lineRule="auto"/>
        <w:ind w:left="0"/>
        <w:rPr>
          <w:rFonts w:eastAsia="Times New Roman" w:cs="Arial"/>
          <w:szCs w:val="24"/>
        </w:rPr>
      </w:pPr>
      <w:r w:rsidRPr="0082516A">
        <w:rPr>
          <w:rFonts w:eastAsia="Times New Roman" w:cs="Arial"/>
          <w:szCs w:val="24"/>
        </w:rPr>
        <w:br w:type="column"/>
      </w:r>
      <w:r w:rsidR="00A52A70">
        <w:rPr>
          <w:rFonts w:eastAsia="Times New Roman" w:cs="Arial"/>
          <w:szCs w:val="24"/>
        </w:rPr>
        <w:t>Y Peer</w:t>
      </w:r>
      <w:r w:rsidRPr="0082516A">
        <w:rPr>
          <w:rFonts w:eastAsia="Times New Roman" w:cs="Arial"/>
          <w:szCs w:val="24"/>
        </w:rPr>
        <w:t xml:space="preserve"> instructed by </w:t>
      </w:r>
      <w:r w:rsidR="008C42BD" w:rsidRPr="008C42BD">
        <w:rPr>
          <w:rFonts w:eastAsia="Times New Roman" w:cs="Arial"/>
          <w:szCs w:val="24"/>
        </w:rPr>
        <w:t>ENS Africa</w:t>
      </w:r>
    </w:p>
    <w:p w14:paraId="70E3D219" w14:textId="77777777" w:rsidR="0098252E" w:rsidRPr="0082516A" w:rsidRDefault="0098252E" w:rsidP="0098252E">
      <w:pPr>
        <w:spacing w:after="0" w:line="240" w:lineRule="auto"/>
        <w:ind w:left="0"/>
        <w:rPr>
          <w:rFonts w:eastAsia="Times New Roman" w:cs="Arial"/>
          <w:szCs w:val="24"/>
        </w:rPr>
      </w:pPr>
    </w:p>
    <w:p w14:paraId="6EFFF07B" w14:textId="77777777" w:rsidR="0098252E" w:rsidRPr="008A4F6A" w:rsidRDefault="0098252E" w:rsidP="0098252E">
      <w:pPr>
        <w:spacing w:after="0" w:line="240" w:lineRule="auto"/>
        <w:ind w:left="0"/>
        <w:rPr>
          <w:rFonts w:eastAsia="Times New Roman" w:cs="Arial"/>
          <w:bCs/>
          <w:szCs w:val="24"/>
          <w:highlight w:val="yellow"/>
        </w:rPr>
      </w:pPr>
    </w:p>
    <w:p w14:paraId="6BB991FF" w14:textId="0C0FC76B" w:rsidR="0098252E" w:rsidRPr="008A4F6A" w:rsidRDefault="008A4F6A" w:rsidP="0098252E">
      <w:pPr>
        <w:spacing w:after="0" w:line="240" w:lineRule="auto"/>
        <w:ind w:left="0"/>
        <w:rPr>
          <w:rFonts w:cs="Arial"/>
          <w:bCs/>
          <w:szCs w:val="24"/>
        </w:rPr>
      </w:pPr>
      <w:r w:rsidRPr="008A4F6A">
        <w:rPr>
          <w:rFonts w:cs="Arial"/>
          <w:bCs/>
          <w:szCs w:val="24"/>
        </w:rPr>
        <w:t>MW Maweshe</w:t>
      </w:r>
    </w:p>
    <w:p w14:paraId="32EA3423" w14:textId="77777777" w:rsidR="00E96BCF" w:rsidRPr="0082516A" w:rsidRDefault="00E96BCF" w:rsidP="00E96BCF">
      <w:pPr>
        <w:ind w:left="0"/>
        <w:rPr>
          <w:rFonts w:cs="Arial"/>
          <w:szCs w:val="24"/>
        </w:rPr>
      </w:pPr>
    </w:p>
    <w:sectPr w:rsidR="00E96BCF" w:rsidRPr="0082516A" w:rsidSect="00711E6D">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8B85" w14:textId="77777777" w:rsidR="00711E6D" w:rsidRPr="00151349" w:rsidRDefault="00711E6D" w:rsidP="00523CFC">
      <w:pPr>
        <w:spacing w:after="0" w:line="240" w:lineRule="auto"/>
      </w:pPr>
      <w:r w:rsidRPr="00151349">
        <w:separator/>
      </w:r>
    </w:p>
  </w:endnote>
  <w:endnote w:type="continuationSeparator" w:id="0">
    <w:p w14:paraId="33F8B2F2" w14:textId="77777777" w:rsidR="00711E6D" w:rsidRPr="00151349" w:rsidRDefault="00711E6D" w:rsidP="00523CFC">
      <w:pPr>
        <w:spacing w:after="0" w:line="240" w:lineRule="auto"/>
      </w:pPr>
      <w:r w:rsidRPr="001513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DD03" w14:textId="77777777" w:rsidR="00E51684" w:rsidRDefault="00E51684">
    <w:pPr>
      <w:pStyle w:val="Footer"/>
      <w:jc w:val="right"/>
      <w:rPr>
        <w:b/>
        <w:bCs/>
      </w:rPr>
    </w:pPr>
  </w:p>
  <w:p w14:paraId="1DEBBB3E" w14:textId="77777777" w:rsidR="00E51684" w:rsidRDefault="00E51684">
    <w:pPr>
      <w:pStyle w:val="Footer"/>
      <w:jc w:val="right"/>
      <w:rPr>
        <w:b/>
        <w:bCs/>
      </w:rPr>
    </w:pPr>
  </w:p>
  <w:sdt>
    <w:sdtPr>
      <w:rPr>
        <w:b/>
        <w:bCs/>
      </w:rPr>
      <w:id w:val="-2066246832"/>
      <w:docPartObj>
        <w:docPartGallery w:val="Page Numbers (Bottom of Page)"/>
        <w:docPartUnique/>
      </w:docPartObj>
    </w:sdtPr>
    <w:sdtEndPr>
      <w:rPr>
        <w:noProof/>
        <w:sz w:val="28"/>
        <w:szCs w:val="28"/>
      </w:rPr>
    </w:sdtEndPr>
    <w:sdtContent>
      <w:p w14:paraId="7D24B30C" w14:textId="75280EBC" w:rsidR="00E51684" w:rsidRPr="00E51684" w:rsidRDefault="00234144" w:rsidP="00F8243A">
        <w:pPr>
          <w:pStyle w:val="Footer"/>
          <w:jc w:val="right"/>
          <w:rPr>
            <w:b/>
            <w:bCs/>
            <w:noProof/>
            <w:sz w:val="28"/>
            <w:szCs w:val="28"/>
          </w:rPr>
        </w:pPr>
        <w:r w:rsidRPr="00E51684">
          <w:rPr>
            <w:b/>
            <w:bCs/>
            <w:sz w:val="28"/>
            <w:szCs w:val="28"/>
          </w:rPr>
          <w:fldChar w:fldCharType="begin"/>
        </w:r>
        <w:r w:rsidRPr="00E51684">
          <w:rPr>
            <w:b/>
            <w:bCs/>
            <w:sz w:val="28"/>
            <w:szCs w:val="28"/>
          </w:rPr>
          <w:instrText xml:space="preserve"> PAGE   \* MERGEFORMAT </w:instrText>
        </w:r>
        <w:r w:rsidRPr="00E51684">
          <w:rPr>
            <w:b/>
            <w:bCs/>
            <w:sz w:val="28"/>
            <w:szCs w:val="28"/>
          </w:rPr>
          <w:fldChar w:fldCharType="separate"/>
        </w:r>
        <w:r w:rsidR="000B4D40">
          <w:rPr>
            <w:b/>
            <w:bCs/>
            <w:noProof/>
            <w:sz w:val="28"/>
            <w:szCs w:val="28"/>
          </w:rPr>
          <w:t>2</w:t>
        </w:r>
        <w:r w:rsidRPr="00E51684">
          <w:rPr>
            <w:b/>
            <w:bCs/>
            <w:noProof/>
            <w:sz w:val="28"/>
            <w:szCs w:val="28"/>
          </w:rPr>
          <w:fldChar w:fldCharType="end"/>
        </w:r>
      </w:p>
    </w:sdtContent>
  </w:sdt>
  <w:p w14:paraId="2CD6025D" w14:textId="77777777" w:rsidR="00234144" w:rsidRDefault="00234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7E2F" w14:textId="77777777" w:rsidR="00711E6D" w:rsidRPr="00151349" w:rsidRDefault="00711E6D" w:rsidP="00523CFC">
      <w:pPr>
        <w:spacing w:after="0" w:line="240" w:lineRule="auto"/>
      </w:pPr>
      <w:r w:rsidRPr="00151349">
        <w:separator/>
      </w:r>
    </w:p>
  </w:footnote>
  <w:footnote w:type="continuationSeparator" w:id="0">
    <w:p w14:paraId="6790F483" w14:textId="77777777" w:rsidR="00711E6D" w:rsidRPr="00151349" w:rsidRDefault="00711E6D" w:rsidP="00523CFC">
      <w:pPr>
        <w:spacing w:after="0" w:line="240" w:lineRule="auto"/>
      </w:pPr>
      <w:r w:rsidRPr="00151349">
        <w:continuationSeparator/>
      </w:r>
    </w:p>
  </w:footnote>
  <w:footnote w:id="1">
    <w:p w14:paraId="58DF1830" w14:textId="34325751" w:rsidR="006F677A" w:rsidRPr="00151349" w:rsidRDefault="006F677A">
      <w:pPr>
        <w:pStyle w:val="FootnoteText"/>
      </w:pPr>
      <w:r w:rsidRPr="00151349">
        <w:rPr>
          <w:rStyle w:val="FootnoteReference"/>
        </w:rPr>
        <w:footnoteRef/>
      </w:r>
      <w:r w:rsidRPr="00151349">
        <w:t xml:space="preserve"> The quoted section excludes parts that do not refer to the plaintiff.</w:t>
      </w:r>
    </w:p>
  </w:footnote>
  <w:footnote w:id="2">
    <w:p w14:paraId="4218A697" w14:textId="58412EE8" w:rsidR="003F3EFA" w:rsidRPr="00151349" w:rsidRDefault="003F3EFA">
      <w:pPr>
        <w:pStyle w:val="FootnoteText"/>
      </w:pPr>
      <w:r w:rsidRPr="00151349">
        <w:rPr>
          <w:rStyle w:val="FootnoteReference"/>
        </w:rPr>
        <w:footnoteRef/>
      </w:r>
      <w:r w:rsidRPr="00151349">
        <w:t xml:space="preserve"> </w:t>
      </w:r>
      <w:r w:rsidR="009D5EC2" w:rsidRPr="00151349">
        <w:t>G</w:t>
      </w:r>
      <w:r w:rsidR="004C0520" w:rsidRPr="00151349">
        <w:t>rammatical errors have been corrected</w:t>
      </w:r>
      <w:r w:rsidR="009D5EC2" w:rsidRPr="00151349">
        <w:t>.</w:t>
      </w:r>
    </w:p>
  </w:footnote>
  <w:footnote w:id="3">
    <w:p w14:paraId="20BC005C" w14:textId="17F4EB29" w:rsidR="00CF7C70" w:rsidRPr="00151349" w:rsidRDefault="00CF7C70" w:rsidP="00CF7C70">
      <w:pPr>
        <w:pStyle w:val="FootnoteText"/>
      </w:pPr>
      <w:r w:rsidRPr="00151349">
        <w:rPr>
          <w:rStyle w:val="FootnoteReference"/>
        </w:rPr>
        <w:footnoteRef/>
      </w:r>
      <w:r w:rsidRPr="00151349">
        <w:t xml:space="preserve"> Grammatical errors have been corrected</w:t>
      </w:r>
      <w:r w:rsidR="00072AED" w:rsidRPr="00151349">
        <w:t>.</w:t>
      </w:r>
    </w:p>
  </w:footnote>
  <w:footnote w:id="4">
    <w:p w14:paraId="232E4699" w14:textId="504E2868" w:rsidR="007951CD" w:rsidRDefault="007951CD">
      <w:pPr>
        <w:pStyle w:val="FootnoteText"/>
      </w:pPr>
      <w:r>
        <w:rPr>
          <w:rStyle w:val="FootnoteReference"/>
        </w:rPr>
        <w:footnoteRef/>
      </w:r>
      <w:r>
        <w:t xml:space="preserve"> </w:t>
      </w:r>
      <w:r w:rsidR="001A2152">
        <w:t>Particulars of Claim, paragraph 19</w:t>
      </w:r>
    </w:p>
  </w:footnote>
  <w:footnote w:id="5">
    <w:p w14:paraId="42099486" w14:textId="77777777" w:rsidR="008248CD" w:rsidRDefault="008248CD" w:rsidP="008248CD">
      <w:pPr>
        <w:pStyle w:val="FootnoteText"/>
      </w:pPr>
      <w:r>
        <w:rPr>
          <w:rStyle w:val="FootnoteReference"/>
        </w:rPr>
        <w:footnoteRef/>
      </w:r>
      <w:r>
        <w:t xml:space="preserve"> COIDA, section 1- </w:t>
      </w:r>
      <w:r w:rsidRPr="00DE0DB4">
        <w:t xml:space="preserve">“accident” </w:t>
      </w:r>
      <w:r>
        <w:t>is defined as</w:t>
      </w:r>
      <w:r w:rsidRPr="00DE0DB4">
        <w:t xml:space="preserve"> an accident arising out of and in the course of an employee’s employment and resulting in a personal injury, illness or the death of the employee</w:t>
      </w:r>
      <w:r>
        <w:t>…”.</w:t>
      </w:r>
    </w:p>
  </w:footnote>
  <w:footnote w:id="6">
    <w:p w14:paraId="63EB7C7D" w14:textId="29C244E0" w:rsidR="00D67F1A" w:rsidRDefault="00D67F1A">
      <w:pPr>
        <w:pStyle w:val="FootnoteText"/>
      </w:pPr>
      <w:r>
        <w:rPr>
          <w:rStyle w:val="FootnoteReference"/>
        </w:rPr>
        <w:footnoteRef/>
      </w:r>
      <w:r>
        <w:t xml:space="preserve"> </w:t>
      </w:r>
      <w:r w:rsidRPr="00E70271">
        <w:rPr>
          <w:i/>
          <w:iCs/>
        </w:rPr>
        <w:t>Churchill v Premier of Mpumalanga and Another</w:t>
      </w:r>
      <w:r w:rsidRPr="007746E6">
        <w:t xml:space="preserve"> 2021 (4) SA 422</w:t>
      </w:r>
      <w:r>
        <w:t>.</w:t>
      </w:r>
    </w:p>
  </w:footnote>
  <w:footnote w:id="7">
    <w:p w14:paraId="3AAEF491" w14:textId="66F42925" w:rsidR="00C25FDD" w:rsidRDefault="00C25FDD">
      <w:pPr>
        <w:pStyle w:val="FootnoteText"/>
      </w:pPr>
      <w:r>
        <w:rPr>
          <w:rStyle w:val="FootnoteReference"/>
        </w:rPr>
        <w:footnoteRef/>
      </w:r>
      <w:r>
        <w:t xml:space="preserve"> </w:t>
      </w:r>
      <w:r w:rsidRPr="00E50666">
        <w:rPr>
          <w:i/>
          <w:iCs/>
        </w:rPr>
        <w:t>Member of the Executive Council For the Department of Health, Free State Province v EJN</w:t>
      </w:r>
      <w:r w:rsidRPr="007746E6">
        <w:t xml:space="preserve"> [2015] 1 All SA 20 (SCA)</w:t>
      </w:r>
      <w:r>
        <w:t>.</w:t>
      </w:r>
    </w:p>
  </w:footnote>
  <w:footnote w:id="8">
    <w:p w14:paraId="6B5E9689" w14:textId="7B07833D" w:rsidR="000F1989" w:rsidRDefault="00D5230E" w:rsidP="000F1989">
      <w:pPr>
        <w:pStyle w:val="FootnoteText"/>
      </w:pPr>
      <w:r>
        <w:rPr>
          <w:rStyle w:val="FootnoteReference"/>
        </w:rPr>
        <w:footnoteRef/>
      </w:r>
      <w:r>
        <w:t xml:space="preserve"> </w:t>
      </w:r>
      <w:r w:rsidR="000F1989">
        <w:t>Section 10:</w:t>
      </w:r>
    </w:p>
    <w:p w14:paraId="391BAF3A" w14:textId="40FE004E" w:rsidR="000F1989" w:rsidRPr="002F7F18" w:rsidRDefault="000F1989" w:rsidP="000F1989">
      <w:pPr>
        <w:pStyle w:val="FootnoteText"/>
        <w:ind w:left="1287" w:firstLine="153"/>
        <w:rPr>
          <w:i/>
          <w:iCs/>
        </w:rPr>
      </w:pPr>
      <w:r>
        <w:t>“</w:t>
      </w:r>
      <w:r w:rsidRPr="002F7F18">
        <w:rPr>
          <w:i/>
          <w:iCs/>
        </w:rPr>
        <w:t>Human dignity</w:t>
      </w:r>
    </w:p>
    <w:p w14:paraId="1ED7815C" w14:textId="50EEBDB8" w:rsidR="00D5230E" w:rsidRDefault="000F1989" w:rsidP="000F1989">
      <w:pPr>
        <w:pStyle w:val="FootnoteText"/>
        <w:ind w:left="1440" w:hanging="873"/>
      </w:pPr>
      <w:r w:rsidRPr="002F7F18">
        <w:rPr>
          <w:i/>
          <w:iCs/>
        </w:rPr>
        <w:tab/>
        <w:t>Everyone has inherent dignity and the right to have their dignity respected and protected.</w:t>
      </w:r>
      <w:r>
        <w:t>”</w:t>
      </w:r>
    </w:p>
  </w:footnote>
  <w:footnote w:id="9">
    <w:p w14:paraId="754930C3" w14:textId="1A7E4312" w:rsidR="00583EFD" w:rsidRDefault="00583EFD">
      <w:pPr>
        <w:pStyle w:val="FootnoteText"/>
      </w:pPr>
      <w:r>
        <w:rPr>
          <w:rStyle w:val="FootnoteReference"/>
        </w:rPr>
        <w:footnoteRef/>
      </w:r>
      <w:r>
        <w:t xml:space="preserve"> Section 12:</w:t>
      </w:r>
    </w:p>
    <w:p w14:paraId="7C84CDE7" w14:textId="77777777" w:rsidR="00E17C1F" w:rsidRPr="00E17C1F" w:rsidRDefault="00583EFD" w:rsidP="00E17C1F">
      <w:pPr>
        <w:pStyle w:val="FootnoteText"/>
        <w:rPr>
          <w:i/>
          <w:iCs/>
          <w:lang w:val="en-US"/>
        </w:rPr>
      </w:pPr>
      <w:r>
        <w:tab/>
      </w:r>
      <w:r>
        <w:tab/>
        <w:t>“</w:t>
      </w:r>
      <w:r w:rsidR="00E17C1F" w:rsidRPr="00E17C1F">
        <w:rPr>
          <w:i/>
          <w:iCs/>
          <w:lang w:val="en-US"/>
        </w:rPr>
        <w:t>12</w:t>
      </w:r>
      <w:r w:rsidR="00E17C1F" w:rsidRPr="00E17C1F">
        <w:rPr>
          <w:i/>
          <w:iCs/>
          <w:lang w:val="en-US"/>
        </w:rPr>
        <w:tab/>
        <w:t>Freedom and security of the person.</w:t>
      </w:r>
    </w:p>
    <w:p w14:paraId="0DDC0212" w14:textId="4F5D45F9" w:rsidR="00E17C1F" w:rsidRPr="00E17C1F" w:rsidRDefault="00E17C1F" w:rsidP="00E17C1F">
      <w:pPr>
        <w:pStyle w:val="FootnoteText"/>
        <w:ind w:left="2160" w:hanging="1593"/>
        <w:rPr>
          <w:i/>
          <w:iCs/>
          <w:lang w:val="en-US"/>
        </w:rPr>
      </w:pPr>
      <w:r w:rsidRPr="00E17C1F">
        <w:rPr>
          <w:i/>
          <w:iCs/>
          <w:lang w:val="en-US"/>
        </w:rPr>
        <w:tab/>
        <w:t>(1) Everyone has the right to freedom and security of the person, which includes the right-</w:t>
      </w:r>
    </w:p>
    <w:p w14:paraId="4C48166C" w14:textId="1B305513" w:rsidR="00E17C1F" w:rsidRPr="00E17C1F" w:rsidRDefault="00E17C1F" w:rsidP="00A409F0">
      <w:pPr>
        <w:pStyle w:val="FootnoteText"/>
        <w:ind w:left="1701"/>
        <w:rPr>
          <w:i/>
          <w:iCs/>
          <w:lang w:val="en-US"/>
        </w:rPr>
      </w:pPr>
      <w:r w:rsidRPr="00E17C1F">
        <w:rPr>
          <w:i/>
          <w:iCs/>
          <w:lang w:val="en-US"/>
        </w:rPr>
        <w:tab/>
      </w:r>
      <w:r w:rsidRPr="00E17C1F">
        <w:rPr>
          <w:i/>
          <w:iCs/>
          <w:lang w:val="en-US"/>
        </w:rPr>
        <w:tab/>
        <w:t>(a)</w:t>
      </w:r>
      <w:r w:rsidRPr="00E17C1F">
        <w:rPr>
          <w:i/>
          <w:iCs/>
          <w:lang w:val="en-US"/>
        </w:rPr>
        <w:tab/>
      </w:r>
      <w:r w:rsidR="00A409F0">
        <w:rPr>
          <w:i/>
          <w:iCs/>
          <w:lang w:val="en-US"/>
        </w:rPr>
        <w:t>…</w:t>
      </w:r>
    </w:p>
    <w:p w14:paraId="04911BAF" w14:textId="6840B750" w:rsidR="00E17C1F" w:rsidRPr="00E17C1F" w:rsidRDefault="00E17C1F" w:rsidP="00A409F0">
      <w:pPr>
        <w:pStyle w:val="FootnoteText"/>
        <w:ind w:left="1701"/>
        <w:rPr>
          <w:i/>
          <w:iCs/>
          <w:lang w:val="en-US"/>
        </w:rPr>
      </w:pPr>
      <w:r w:rsidRPr="00E17C1F">
        <w:rPr>
          <w:i/>
          <w:iCs/>
          <w:lang w:val="en-US"/>
        </w:rPr>
        <w:tab/>
      </w:r>
      <w:r w:rsidRPr="00E17C1F">
        <w:rPr>
          <w:i/>
          <w:iCs/>
          <w:lang w:val="en-US"/>
        </w:rPr>
        <w:tab/>
        <w:t>(b)</w:t>
      </w:r>
      <w:r w:rsidRPr="00E17C1F">
        <w:rPr>
          <w:i/>
          <w:iCs/>
          <w:lang w:val="en-US"/>
        </w:rPr>
        <w:tab/>
      </w:r>
      <w:r w:rsidR="00A409F0">
        <w:rPr>
          <w:i/>
          <w:iCs/>
          <w:lang w:val="en-US"/>
        </w:rPr>
        <w:t>…</w:t>
      </w:r>
    </w:p>
    <w:p w14:paraId="4DDFB202" w14:textId="4FE66571" w:rsidR="00E17C1F" w:rsidRPr="00E17C1F" w:rsidRDefault="00E17C1F" w:rsidP="00A409F0">
      <w:pPr>
        <w:pStyle w:val="FootnoteText"/>
        <w:ind w:left="3600" w:hanging="720"/>
        <w:rPr>
          <w:i/>
          <w:iCs/>
          <w:lang w:val="en-US"/>
        </w:rPr>
      </w:pPr>
      <w:r w:rsidRPr="00E17C1F">
        <w:rPr>
          <w:i/>
          <w:iCs/>
          <w:lang w:val="en-US"/>
        </w:rPr>
        <w:t>(c)</w:t>
      </w:r>
      <w:r w:rsidRPr="00E17C1F">
        <w:rPr>
          <w:i/>
          <w:iCs/>
          <w:lang w:val="en-US"/>
        </w:rPr>
        <w:tab/>
        <w:t>to be free from all forms of violence from either public or private sources;</w:t>
      </w:r>
    </w:p>
    <w:p w14:paraId="19BCE1BA" w14:textId="75DC1796" w:rsidR="00E17C1F" w:rsidRPr="00E17C1F" w:rsidRDefault="00E17C1F" w:rsidP="00A409F0">
      <w:pPr>
        <w:pStyle w:val="FootnoteText"/>
        <w:ind w:left="1701"/>
        <w:rPr>
          <w:i/>
          <w:iCs/>
          <w:lang w:val="en-US"/>
        </w:rPr>
      </w:pPr>
      <w:r w:rsidRPr="00E17C1F">
        <w:rPr>
          <w:i/>
          <w:iCs/>
          <w:lang w:val="en-US"/>
        </w:rPr>
        <w:tab/>
      </w:r>
      <w:r w:rsidRPr="00E17C1F">
        <w:rPr>
          <w:i/>
          <w:iCs/>
          <w:lang w:val="en-US"/>
        </w:rPr>
        <w:tab/>
        <w:t>(d)</w:t>
      </w:r>
      <w:r w:rsidRPr="00E17C1F">
        <w:rPr>
          <w:i/>
          <w:iCs/>
          <w:lang w:val="en-US"/>
        </w:rPr>
        <w:tab/>
      </w:r>
      <w:r w:rsidR="00A409F0">
        <w:rPr>
          <w:i/>
          <w:iCs/>
          <w:lang w:val="en-US"/>
        </w:rPr>
        <w:t>…</w:t>
      </w:r>
    </w:p>
    <w:p w14:paraId="39E499D1" w14:textId="45D066EF" w:rsidR="00583EFD" w:rsidRPr="006239CE" w:rsidRDefault="00E17C1F" w:rsidP="006239CE">
      <w:pPr>
        <w:pStyle w:val="FootnoteText"/>
        <w:ind w:left="3600" w:hanging="720"/>
      </w:pPr>
      <w:r w:rsidRPr="00E17C1F">
        <w:rPr>
          <w:i/>
          <w:iCs/>
          <w:lang w:val="en-US"/>
        </w:rPr>
        <w:t>(e)</w:t>
      </w:r>
      <w:r w:rsidRPr="00E17C1F">
        <w:rPr>
          <w:i/>
          <w:iCs/>
          <w:lang w:val="en-US"/>
        </w:rPr>
        <w:tab/>
        <w:t>not to be treated or punished in a cruel, inhuman or degrading way.</w:t>
      </w:r>
      <w:r w:rsidR="006239CE">
        <w:rPr>
          <w:lang w:val="en-US"/>
        </w:rPr>
        <w:t>”</w:t>
      </w:r>
    </w:p>
  </w:footnote>
  <w:footnote w:id="10">
    <w:p w14:paraId="51CC517E" w14:textId="095F2F74" w:rsidR="0017150D" w:rsidRDefault="0017150D" w:rsidP="0017150D">
      <w:pPr>
        <w:pStyle w:val="FootnoteText"/>
      </w:pPr>
      <w:r>
        <w:rPr>
          <w:rStyle w:val="FootnoteReference"/>
        </w:rPr>
        <w:footnoteRef/>
      </w:r>
      <w:r>
        <w:t xml:space="preserve"> </w:t>
      </w:r>
      <w:r w:rsidR="00A91BC1" w:rsidRPr="00A91BC1">
        <w:rPr>
          <w:i/>
        </w:rPr>
        <w:t>Fose</w:t>
      </w:r>
      <w:r>
        <w:t xml:space="preserve"> at [69].</w:t>
      </w:r>
    </w:p>
  </w:footnote>
  <w:footnote w:id="11">
    <w:p w14:paraId="5243124E" w14:textId="1D320E7E" w:rsidR="00C47C9B" w:rsidRDefault="00C47C9B" w:rsidP="00C47C9B">
      <w:pPr>
        <w:pStyle w:val="FootnoteText"/>
      </w:pPr>
      <w:r>
        <w:rPr>
          <w:rStyle w:val="FootnoteReference"/>
        </w:rPr>
        <w:footnoteRef/>
      </w:r>
      <w:r>
        <w:t xml:space="preserve"> </w:t>
      </w:r>
      <w:r w:rsidR="00A91BC1" w:rsidRPr="00E057CF">
        <w:rPr>
          <w:i/>
        </w:rPr>
        <w:t>Fose</w:t>
      </w:r>
      <w:r w:rsidRPr="00E057CF">
        <w:rPr>
          <w:i/>
        </w:rPr>
        <w:t xml:space="preserve"> v Minister of Safety and Security</w:t>
      </w:r>
      <w:r>
        <w:t xml:space="preserve"> 1997 (1) SA 786 (CC), in particular paragraphs [58], [60], [67], [69], [70] and [71]. </w:t>
      </w:r>
    </w:p>
  </w:footnote>
  <w:footnote w:id="12">
    <w:p w14:paraId="67DAD925" w14:textId="784C381D" w:rsidR="000945B4" w:rsidRDefault="000945B4" w:rsidP="000945B4">
      <w:pPr>
        <w:pStyle w:val="FootnoteText"/>
      </w:pPr>
      <w:r>
        <w:rPr>
          <w:rStyle w:val="FootnoteReference"/>
        </w:rPr>
        <w:footnoteRef/>
      </w:r>
      <w:r>
        <w:t xml:space="preserve"> </w:t>
      </w:r>
      <w:r w:rsidR="00A91BC1" w:rsidRPr="00A91BC1">
        <w:rPr>
          <w:i/>
        </w:rPr>
        <w:t>Fose</w:t>
      </w:r>
      <w:r>
        <w:t xml:space="preserve"> at [20].</w:t>
      </w:r>
    </w:p>
  </w:footnote>
  <w:footnote w:id="13">
    <w:p w14:paraId="5B3F4C90" w14:textId="0CD22D08" w:rsidR="00964FFA" w:rsidRDefault="00964FFA" w:rsidP="00964FFA">
      <w:pPr>
        <w:pStyle w:val="FootnoteText"/>
      </w:pPr>
      <w:r>
        <w:rPr>
          <w:rStyle w:val="FootnoteReference"/>
        </w:rPr>
        <w:footnoteRef/>
      </w:r>
      <w:r>
        <w:t xml:space="preserve"> </w:t>
      </w:r>
      <w:r w:rsidRPr="00E057CF">
        <w:rPr>
          <w:i/>
          <w:iCs/>
        </w:rPr>
        <w:t xml:space="preserve">Minister of Police v </w:t>
      </w:r>
      <w:r w:rsidR="002B0BDE" w:rsidRPr="00E057CF">
        <w:rPr>
          <w:i/>
          <w:iCs/>
        </w:rPr>
        <w:t>Mboweni</w:t>
      </w:r>
      <w:r>
        <w:t xml:space="preserve"> 2014 six SA 256 (SCA) </w:t>
      </w:r>
    </w:p>
  </w:footnote>
  <w:footnote w:id="14">
    <w:p w14:paraId="5D0A6233" w14:textId="311B3F98" w:rsidR="0067092E" w:rsidRDefault="0067092E">
      <w:pPr>
        <w:pStyle w:val="FootnoteText"/>
      </w:pPr>
      <w:r>
        <w:rPr>
          <w:rStyle w:val="FootnoteReference"/>
        </w:rPr>
        <w:footnoteRef/>
      </w:r>
      <w:r>
        <w:t xml:space="preserve"> </w:t>
      </w:r>
      <w:r w:rsidR="00A91BC1" w:rsidRPr="00E057CF">
        <w:rPr>
          <w:i/>
        </w:rPr>
        <w:t>Komape</w:t>
      </w:r>
      <w:r w:rsidR="00D74844" w:rsidRPr="00E057CF">
        <w:rPr>
          <w:i/>
        </w:rPr>
        <w:t xml:space="preserve"> and Others v Minister of Basic Education and Others</w:t>
      </w:r>
      <w:r w:rsidR="00BD72AE">
        <w:t xml:space="preserve"> [2019] ZASCA 192</w:t>
      </w:r>
    </w:p>
  </w:footnote>
  <w:footnote w:id="15">
    <w:p w14:paraId="3E62E414" w14:textId="350291FB" w:rsidR="00C15A71" w:rsidRDefault="00C15A71">
      <w:pPr>
        <w:pStyle w:val="FootnoteText"/>
      </w:pPr>
      <w:r>
        <w:rPr>
          <w:rStyle w:val="FootnoteReference"/>
        </w:rPr>
        <w:footnoteRef/>
      </w:r>
      <w:r>
        <w:t xml:space="preserve"> </w:t>
      </w:r>
      <w:r w:rsidR="00E415DE">
        <w:t>Ibid</w:t>
      </w:r>
      <w:r>
        <w:t xml:space="preserve"> at [</w:t>
      </w:r>
      <w:r w:rsidR="00912936">
        <w:t>59]</w:t>
      </w:r>
      <w:r w:rsidR="0029287E">
        <w:t>.</w:t>
      </w:r>
    </w:p>
  </w:footnote>
  <w:footnote w:id="16">
    <w:p w14:paraId="5AFD31BA" w14:textId="52AA11B8" w:rsidR="000D0EFD" w:rsidRDefault="000D0EFD" w:rsidP="000D0EFD">
      <w:pPr>
        <w:pStyle w:val="FootnoteText"/>
      </w:pPr>
      <w:r>
        <w:rPr>
          <w:rStyle w:val="FootnoteReference"/>
        </w:rPr>
        <w:footnoteRef/>
      </w:r>
      <w:r>
        <w:t xml:space="preserve"> </w:t>
      </w:r>
      <w:r w:rsidR="00E415DE">
        <w:t>Ibid</w:t>
      </w:r>
      <w:r>
        <w:t xml:space="preserve"> at [63].</w:t>
      </w:r>
    </w:p>
  </w:footnote>
  <w:footnote w:id="17">
    <w:p w14:paraId="68B5FB8E" w14:textId="59A2B73A" w:rsidR="00386DA3" w:rsidRDefault="00386DA3">
      <w:pPr>
        <w:pStyle w:val="FootnoteText"/>
      </w:pPr>
      <w:r>
        <w:rPr>
          <w:rStyle w:val="FootnoteReference"/>
        </w:rPr>
        <w:footnoteRef/>
      </w:r>
      <w:r>
        <w:t xml:space="preserve"> </w:t>
      </w:r>
      <w:r w:rsidR="00C54CD7">
        <w:t>Ibid</w:t>
      </w:r>
      <w:r>
        <w:t xml:space="preserve"> at [6</w:t>
      </w:r>
      <w:r w:rsidR="006A5316">
        <w:t>] – [18].</w:t>
      </w:r>
    </w:p>
  </w:footnote>
  <w:footnote w:id="18">
    <w:p w14:paraId="216A81FD" w14:textId="32A5C76D" w:rsidR="00230CCE" w:rsidRDefault="00230CCE">
      <w:pPr>
        <w:pStyle w:val="FootnoteText"/>
      </w:pPr>
      <w:r>
        <w:rPr>
          <w:rStyle w:val="FootnoteReference"/>
        </w:rPr>
        <w:footnoteRef/>
      </w:r>
      <w:r>
        <w:t xml:space="preserve"> </w:t>
      </w:r>
      <w:r w:rsidR="00C54CD7">
        <w:t>Ibid</w:t>
      </w:r>
      <w:r w:rsidR="007705D4">
        <w:t xml:space="preserve"> at [19].</w:t>
      </w:r>
    </w:p>
  </w:footnote>
  <w:footnote w:id="19">
    <w:p w14:paraId="731A2746" w14:textId="67FA2C8F" w:rsidR="000705F4" w:rsidRDefault="000705F4">
      <w:pPr>
        <w:pStyle w:val="FootnoteText"/>
      </w:pPr>
      <w:r>
        <w:rPr>
          <w:rStyle w:val="FootnoteReference"/>
        </w:rPr>
        <w:footnoteRef/>
      </w:r>
      <w:r>
        <w:t xml:space="preserve"> </w:t>
      </w:r>
      <w:r w:rsidR="00C54CD7">
        <w:t>Ibid</w:t>
      </w:r>
      <w:r w:rsidR="006A4363">
        <w:t xml:space="preserve"> at [27].</w:t>
      </w:r>
    </w:p>
  </w:footnote>
  <w:footnote w:id="20">
    <w:p w14:paraId="3DB89859" w14:textId="3B4D1D4D" w:rsidR="00E92126" w:rsidRDefault="00E92126">
      <w:pPr>
        <w:pStyle w:val="FootnoteText"/>
      </w:pPr>
      <w:r>
        <w:rPr>
          <w:rStyle w:val="FootnoteReference"/>
        </w:rPr>
        <w:footnoteRef/>
      </w:r>
      <w:r>
        <w:t xml:space="preserve"> </w:t>
      </w:r>
      <w:r w:rsidR="00C54CD7">
        <w:t>Ibid</w:t>
      </w:r>
      <w:r>
        <w:t xml:space="preserve"> at [96].</w:t>
      </w:r>
    </w:p>
  </w:footnote>
  <w:footnote w:id="21">
    <w:p w14:paraId="245D3CD4" w14:textId="2FC07AFD" w:rsidR="008C252A" w:rsidRDefault="008C252A">
      <w:pPr>
        <w:pStyle w:val="FootnoteText"/>
      </w:pPr>
      <w:r>
        <w:rPr>
          <w:rStyle w:val="FootnoteReference"/>
        </w:rPr>
        <w:footnoteRef/>
      </w:r>
      <w:r>
        <w:t xml:space="preserve"> </w:t>
      </w:r>
      <w:r w:rsidR="00C54CD7">
        <w:t>Ibid</w:t>
      </w:r>
      <w:r>
        <w:t xml:space="preserve"> at [97].</w:t>
      </w:r>
    </w:p>
  </w:footnote>
  <w:footnote w:id="22">
    <w:p w14:paraId="03999267" w14:textId="23E396BE" w:rsidR="005E6838" w:rsidRDefault="005E6838">
      <w:pPr>
        <w:pStyle w:val="FootnoteText"/>
      </w:pPr>
      <w:r>
        <w:rPr>
          <w:rStyle w:val="FootnoteReference"/>
        </w:rPr>
        <w:footnoteRef/>
      </w:r>
      <w:r>
        <w:t xml:space="preserve"> </w:t>
      </w:r>
      <w:r w:rsidR="00C54CD7">
        <w:t>Ibid</w:t>
      </w:r>
      <w:r w:rsidR="004E4DD0">
        <w:t xml:space="preserve"> at [104].</w:t>
      </w:r>
    </w:p>
  </w:footnote>
  <w:footnote w:id="23">
    <w:p w14:paraId="12D7DE44" w14:textId="3672BAFD" w:rsidR="00447431" w:rsidRDefault="00447431">
      <w:pPr>
        <w:pStyle w:val="FootnoteText"/>
      </w:pPr>
      <w:r>
        <w:rPr>
          <w:rStyle w:val="FootnoteReference"/>
        </w:rPr>
        <w:footnoteRef/>
      </w:r>
      <w:r>
        <w:t xml:space="preserve"> </w:t>
      </w:r>
      <w:r w:rsidR="00C54CD7">
        <w:t>Ibid</w:t>
      </w:r>
      <w:r w:rsidR="002F659B">
        <w:t xml:space="preserve"> at [104] and [105].</w:t>
      </w:r>
    </w:p>
  </w:footnote>
  <w:footnote w:id="24">
    <w:p w14:paraId="190B82CE" w14:textId="3BBC5D69" w:rsidR="005F7B63" w:rsidRDefault="005F7B63">
      <w:pPr>
        <w:pStyle w:val="FootnoteText"/>
      </w:pPr>
      <w:r>
        <w:rPr>
          <w:rStyle w:val="FootnoteReference"/>
        </w:rPr>
        <w:footnoteRef/>
      </w:r>
      <w:r>
        <w:t xml:space="preserve"> </w:t>
      </w:r>
      <w:r w:rsidR="00C54CD7">
        <w:t>Ibid</w:t>
      </w:r>
      <w:r w:rsidR="00DB0F79">
        <w:t xml:space="preserve"> at [104].</w:t>
      </w:r>
    </w:p>
  </w:footnote>
  <w:footnote w:id="25">
    <w:p w14:paraId="349B5E11" w14:textId="32C6780B" w:rsidR="00084D83" w:rsidRDefault="00084D83">
      <w:pPr>
        <w:pStyle w:val="FootnoteText"/>
      </w:pPr>
      <w:r>
        <w:rPr>
          <w:rStyle w:val="FootnoteReference"/>
        </w:rPr>
        <w:footnoteRef/>
      </w:r>
      <w:r>
        <w:t xml:space="preserve"> Ibid at [118].</w:t>
      </w:r>
    </w:p>
  </w:footnote>
  <w:footnote w:id="26">
    <w:p w14:paraId="7B196389" w14:textId="77777777" w:rsidR="00704F07" w:rsidRDefault="00704F07" w:rsidP="00704F07">
      <w:pPr>
        <w:pStyle w:val="FootnoteText"/>
      </w:pPr>
      <w:r>
        <w:rPr>
          <w:rStyle w:val="FootnoteReference"/>
        </w:rPr>
        <w:footnoteRef/>
      </w:r>
      <w:r>
        <w:t xml:space="preserve"> Ibis at [120].</w:t>
      </w:r>
    </w:p>
  </w:footnote>
  <w:footnote w:id="27">
    <w:p w14:paraId="7E33B5D3" w14:textId="67316A71" w:rsidR="00151A20" w:rsidRDefault="00151A20">
      <w:pPr>
        <w:pStyle w:val="FootnoteText"/>
      </w:pPr>
      <w:r>
        <w:rPr>
          <w:rStyle w:val="FootnoteReference"/>
        </w:rPr>
        <w:footnoteRef/>
      </w:r>
      <w:r>
        <w:t xml:space="preserve"> </w:t>
      </w:r>
      <w:r w:rsidRPr="00E057CF">
        <w:rPr>
          <w:i/>
          <w:iCs/>
        </w:rPr>
        <w:t>Pres</w:t>
      </w:r>
      <w:r w:rsidR="00216461" w:rsidRPr="00E057CF">
        <w:rPr>
          <w:i/>
          <w:iCs/>
        </w:rPr>
        <w:t>ident</w:t>
      </w:r>
      <w:r w:rsidRPr="00E057CF">
        <w:rPr>
          <w:i/>
          <w:iCs/>
        </w:rPr>
        <w:t xml:space="preserve"> of the Republic of South Africa v </w:t>
      </w:r>
      <w:r w:rsidR="00A91BC1" w:rsidRPr="00E057CF">
        <w:rPr>
          <w:i/>
          <w:iCs/>
        </w:rPr>
        <w:t>Modderklip</w:t>
      </w:r>
      <w:r w:rsidRPr="00E057CF">
        <w:rPr>
          <w:i/>
          <w:iCs/>
        </w:rPr>
        <w:t xml:space="preserve"> Boerdery (Pty) Ltd</w:t>
      </w:r>
      <w:r>
        <w:t xml:space="preserve"> 2005 (5) SA</w:t>
      </w:r>
      <w:r w:rsidR="00216461">
        <w:t xml:space="preserve"> 3 (CC).</w:t>
      </w:r>
    </w:p>
  </w:footnote>
  <w:footnote w:id="28">
    <w:p w14:paraId="31870A60" w14:textId="636B4AFC" w:rsidR="005C7757" w:rsidRDefault="005C7757">
      <w:pPr>
        <w:pStyle w:val="FootnoteText"/>
      </w:pPr>
      <w:r>
        <w:rPr>
          <w:rStyle w:val="FootnoteReference"/>
        </w:rPr>
        <w:footnoteRef/>
      </w:r>
      <w:r>
        <w:t xml:space="preserve"> </w:t>
      </w:r>
      <w:r w:rsidRPr="006B38AB">
        <w:rPr>
          <w:i/>
          <w:iCs/>
        </w:rPr>
        <w:t xml:space="preserve">Member of the Executive Council: Welfare v </w:t>
      </w:r>
      <w:r w:rsidR="00A91BC1" w:rsidRPr="006B38AB">
        <w:rPr>
          <w:i/>
          <w:iCs/>
        </w:rPr>
        <w:t>Kate</w:t>
      </w:r>
      <w:r w:rsidR="007322FA">
        <w:t xml:space="preserve"> 2006 4 SA 478 (SCA).</w:t>
      </w:r>
    </w:p>
  </w:footnote>
  <w:footnote w:id="29">
    <w:p w14:paraId="079F59F8" w14:textId="44ED28C1" w:rsidR="00A245D5" w:rsidRDefault="00A245D5">
      <w:pPr>
        <w:pStyle w:val="FootnoteText"/>
      </w:pPr>
      <w:r>
        <w:rPr>
          <w:rStyle w:val="FootnoteReference"/>
        </w:rPr>
        <w:footnoteRef/>
      </w:r>
      <w:r>
        <w:t xml:space="preserve"> </w:t>
      </w:r>
      <w:r w:rsidR="00A330BE">
        <w:t>Ibid at [23]</w:t>
      </w:r>
    </w:p>
  </w:footnote>
  <w:footnote w:id="30">
    <w:p w14:paraId="7C434158" w14:textId="367A60C2" w:rsidR="00456D5F" w:rsidRDefault="00456D5F">
      <w:pPr>
        <w:pStyle w:val="FootnoteText"/>
      </w:pPr>
      <w:r>
        <w:rPr>
          <w:rStyle w:val="FootnoteReference"/>
        </w:rPr>
        <w:footnoteRef/>
      </w:r>
      <w:r>
        <w:t xml:space="preserve"> Ibid at [25]</w:t>
      </w:r>
    </w:p>
  </w:footnote>
  <w:footnote w:id="31">
    <w:p w14:paraId="5142429B" w14:textId="5DDE2CC8" w:rsidR="004C2636" w:rsidRDefault="004C2636" w:rsidP="004C2636">
      <w:pPr>
        <w:pStyle w:val="FootnoteText"/>
      </w:pPr>
      <w:r>
        <w:rPr>
          <w:rStyle w:val="FootnoteReference"/>
        </w:rPr>
        <w:footnoteRef/>
      </w:r>
      <w:r>
        <w:t xml:space="preserve"> </w:t>
      </w:r>
      <w:r w:rsidR="002B0BDE" w:rsidRPr="006B38AB">
        <w:rPr>
          <w:i/>
        </w:rPr>
        <w:t>Thubakgale</w:t>
      </w:r>
      <w:r w:rsidRPr="006B38AB">
        <w:rPr>
          <w:i/>
        </w:rPr>
        <w:t xml:space="preserve"> and Others v Ekurhuleni Metropolitan Municipality and Others</w:t>
      </w:r>
      <w:r>
        <w:t xml:space="preserve"> (2021) ZACC 25.</w:t>
      </w:r>
    </w:p>
  </w:footnote>
  <w:footnote w:id="32">
    <w:p w14:paraId="6242C035" w14:textId="1CDBC97C" w:rsidR="00AD55E2" w:rsidRDefault="00AD55E2">
      <w:pPr>
        <w:pStyle w:val="FootnoteText"/>
      </w:pPr>
      <w:r>
        <w:rPr>
          <w:rStyle w:val="FootnoteReference"/>
        </w:rPr>
        <w:footnoteRef/>
      </w:r>
      <w:r>
        <w:t xml:space="preserve"> </w:t>
      </w:r>
      <w:r w:rsidR="00DC6B29">
        <w:t>Ibid at [145] and further</w:t>
      </w:r>
      <w:r w:rsidR="00DA459D">
        <w:t>; [171]</w:t>
      </w:r>
      <w:r w:rsidR="00832AC8">
        <w:t xml:space="preserve"> and [178]</w:t>
      </w:r>
      <w:r w:rsidR="00DC6B29">
        <w:t>.</w:t>
      </w:r>
    </w:p>
  </w:footnote>
  <w:footnote w:id="33">
    <w:p w14:paraId="7A283F45" w14:textId="77777777" w:rsidR="00743B3F" w:rsidRPr="006A043F" w:rsidRDefault="00743B3F" w:rsidP="00743B3F">
      <w:pPr>
        <w:pStyle w:val="FootnoteText"/>
        <w:rPr>
          <w:i/>
          <w:iCs/>
        </w:rPr>
      </w:pPr>
      <w:r>
        <w:rPr>
          <w:rStyle w:val="FootnoteReference"/>
        </w:rPr>
        <w:footnoteRef/>
      </w:r>
      <w:r>
        <w:t xml:space="preserve"> “</w:t>
      </w:r>
      <w:r w:rsidRPr="006A043F">
        <w:rPr>
          <w:i/>
          <w:iCs/>
        </w:rPr>
        <w:t>38</w:t>
      </w:r>
      <w:r w:rsidRPr="006A043F">
        <w:rPr>
          <w:i/>
          <w:iCs/>
        </w:rPr>
        <w:tab/>
        <w:t>Enforcement of rights</w:t>
      </w:r>
    </w:p>
    <w:p w14:paraId="75104056" w14:textId="77777777" w:rsidR="00743B3F" w:rsidRDefault="00743B3F" w:rsidP="00743B3F">
      <w:pPr>
        <w:pStyle w:val="FootnoteText"/>
      </w:pPr>
      <w:r w:rsidRPr="006A043F">
        <w:rPr>
          <w:i/>
          <w:iCs/>
        </w:rPr>
        <w:tab/>
        <w:t>Anyone listed in this section has the right to approach a competent court, alleging that a right in the Bill of Rights has been infringed or threatened, and the court may grant appropriate relief, including a declaration of rights</w:t>
      </w:r>
      <w:r>
        <w:rPr>
          <w:i/>
          <w:iCs/>
        </w:rPr>
        <w:t>…</w:t>
      </w:r>
      <w:r>
        <w:t>”.</w:t>
      </w:r>
    </w:p>
  </w:footnote>
  <w:footnote w:id="34">
    <w:p w14:paraId="2B7DBCB9" w14:textId="77777777" w:rsidR="00013D5F" w:rsidRDefault="00013D5F" w:rsidP="00013D5F">
      <w:pPr>
        <w:pStyle w:val="FootnoteText"/>
      </w:pPr>
      <w:r>
        <w:rPr>
          <w:rStyle w:val="FootnoteReference"/>
        </w:rPr>
        <w:footnoteRef/>
      </w:r>
      <w:r>
        <w:t xml:space="preserve"> Ibid at [6] – [7].</w:t>
      </w:r>
    </w:p>
  </w:footnote>
  <w:footnote w:id="35">
    <w:p w14:paraId="4288052D" w14:textId="77777777" w:rsidR="00236F78" w:rsidRPr="00AD78DB" w:rsidRDefault="00236F78" w:rsidP="00236F78">
      <w:pPr>
        <w:pStyle w:val="FootnoteText"/>
        <w:contextualSpacing/>
      </w:pPr>
      <w:r>
        <w:rPr>
          <w:rStyle w:val="FootnoteReference"/>
        </w:rPr>
        <w:footnoteRef/>
      </w:r>
      <w:r>
        <w:t xml:space="preserve"> </w:t>
      </w:r>
      <w:r w:rsidRPr="00E94A83">
        <w:rPr>
          <w:i/>
          <w:iCs/>
        </w:rPr>
        <w:t>Ferreira v Levin NO and Others, Vryenhoek and Others v Powell NO and Others</w:t>
      </w:r>
      <w:r>
        <w:t xml:space="preserve"> [1996] ZACC 27; 1996 (2) SA 621 (CC).</w:t>
      </w:r>
    </w:p>
  </w:footnote>
  <w:footnote w:id="36">
    <w:p w14:paraId="57F85E83" w14:textId="77777777" w:rsidR="00125B36" w:rsidRPr="002B7CDD" w:rsidRDefault="00125B36" w:rsidP="00125B36">
      <w:pPr>
        <w:pStyle w:val="FootnoteText"/>
        <w:contextualSpacing/>
      </w:pPr>
      <w:r>
        <w:rPr>
          <w:rStyle w:val="FootnoteReference"/>
        </w:rPr>
        <w:footnoteRef/>
      </w:r>
      <w:r>
        <w:t xml:space="preserve"> </w:t>
      </w:r>
      <w:r w:rsidRPr="00E94A83">
        <w:rPr>
          <w:i/>
          <w:iCs/>
        </w:rPr>
        <w:t>Dhlamini v Schumann, Van den Heever and Slabbert Inc and Others</w:t>
      </w:r>
      <w:r w:rsidRPr="000D32C6">
        <w:t xml:space="preserve"> (505/2021) [2023] ZASCA 79 (29 May 2023)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FFFFFFFF"/>
    <w:lvl w:ilvl="0">
      <w:start w:val="1"/>
      <w:numFmt w:val="lowerRoman"/>
      <w:pStyle w:val="i"/>
      <w:lvlText w:val="%1."/>
      <w:lvlJc w:val="left"/>
      <w:pPr>
        <w:tabs>
          <w:tab w:val="num" w:pos="720"/>
        </w:tabs>
      </w:pPr>
    </w:lvl>
  </w:abstractNum>
  <w:abstractNum w:abstractNumId="2" w15:restartNumberingAfterBreak="0">
    <w:nsid w:val="095A7A26"/>
    <w:multiLevelType w:val="hybridMultilevel"/>
    <w:tmpl w:val="7F7E9AB8"/>
    <w:lvl w:ilvl="0" w:tplc="FF260332">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1" w:tplc="1C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F45473B"/>
    <w:multiLevelType w:val="multilevel"/>
    <w:tmpl w:val="191A5ECE"/>
    <w:lvl w:ilvl="0">
      <w:start w:val="1"/>
      <w:numFmt w:val="decimal"/>
      <w:pStyle w:val="JudgmentNumbered0"/>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276C1C21"/>
    <w:multiLevelType w:val="hybridMultilevel"/>
    <w:tmpl w:val="96582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74B526C0"/>
    <w:multiLevelType w:val="multilevel"/>
    <w:tmpl w:val="BD8EA3C4"/>
    <w:lvl w:ilvl="0">
      <w:start w:val="1"/>
      <w:numFmt w:val="decimal"/>
      <w:pStyle w:val="MainParagraphNumber"/>
      <w:lvlText w:val="[%1]"/>
      <w:lvlJc w:val="left"/>
      <w:pPr>
        <w:ind w:left="360" w:hanging="360"/>
      </w:pPr>
      <w:rPr>
        <w:rFonts w:hint="default"/>
        <w:i w:val="0"/>
      </w:rPr>
    </w:lvl>
    <w:lvl w:ilvl="1">
      <w:start w:val="1"/>
      <w:numFmt w:val="decimal"/>
      <w:isLgl/>
      <w:lvlText w:val="%1.%2"/>
      <w:lvlJc w:val="left"/>
      <w:pPr>
        <w:ind w:left="1080" w:hanging="720"/>
      </w:pPr>
      <w:rPr>
        <w:rFonts w:ascii="Arial" w:hAnsi="Arial" w:cs="Arial" w:hint="default"/>
        <w:i w:val="0"/>
        <w:sz w:val="24"/>
        <w:szCs w:val="24"/>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871796123">
    <w:abstractNumId w:val="4"/>
  </w:num>
  <w:num w:numId="2" w16cid:durableId="1343434621">
    <w:abstractNumId w:val="6"/>
  </w:num>
  <w:num w:numId="3" w16cid:durableId="1116829667">
    <w:abstractNumId w:val="3"/>
  </w:num>
  <w:num w:numId="4" w16cid:durableId="1779370051">
    <w:abstractNumId w:val="4"/>
  </w:num>
  <w:num w:numId="5" w16cid:durableId="1464615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1751333">
    <w:abstractNumId w:val="2"/>
  </w:num>
  <w:num w:numId="7" w16cid:durableId="18317862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16cid:durableId="790631433">
    <w:abstractNumId w:val="1"/>
    <w:lvlOverride w:ilvl="0">
      <w:startOverride w:val="1"/>
      <w:lvl w:ilvl="0">
        <w:start w:val="1"/>
        <w:numFmt w:val="lowerRoman"/>
        <w:pStyle w:val="i"/>
        <w:lvlText w:val="%1."/>
        <w:lvlJc w:val="left"/>
      </w:lvl>
    </w:lvlOverride>
  </w:num>
  <w:num w:numId="9" w16cid:durableId="1169056917">
    <w:abstractNumId w:val="7"/>
  </w:num>
  <w:num w:numId="10" w16cid:durableId="971984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wNzE1sjA1NjYwNjdS0lEKTi0uzszPAykwrgUA4vJLOCwAAAA="/>
    <w:docVar w:name="dgnword-docGUID" w:val="{0D18A4D8-9AB9-4D66-BF6A-29AEF14A13C9}"/>
    <w:docVar w:name="dgnword-eventsink" w:val="1544750923824"/>
  </w:docVars>
  <w:rsids>
    <w:rsidRoot w:val="00B963C0"/>
    <w:rsid w:val="00002BF8"/>
    <w:rsid w:val="0000335F"/>
    <w:rsid w:val="00003CC3"/>
    <w:rsid w:val="00005E8E"/>
    <w:rsid w:val="00006200"/>
    <w:rsid w:val="00013D5F"/>
    <w:rsid w:val="00017988"/>
    <w:rsid w:val="00020C6E"/>
    <w:rsid w:val="00021192"/>
    <w:rsid w:val="0002467C"/>
    <w:rsid w:val="00026B50"/>
    <w:rsid w:val="000307C2"/>
    <w:rsid w:val="00031D93"/>
    <w:rsid w:val="00033BB7"/>
    <w:rsid w:val="00033FB8"/>
    <w:rsid w:val="00037256"/>
    <w:rsid w:val="000410BF"/>
    <w:rsid w:val="00046925"/>
    <w:rsid w:val="00050219"/>
    <w:rsid w:val="00050579"/>
    <w:rsid w:val="0005096B"/>
    <w:rsid w:val="00051A84"/>
    <w:rsid w:val="00053F2D"/>
    <w:rsid w:val="00054B44"/>
    <w:rsid w:val="00056093"/>
    <w:rsid w:val="000561C2"/>
    <w:rsid w:val="00056A8A"/>
    <w:rsid w:val="00060F35"/>
    <w:rsid w:val="0006118A"/>
    <w:rsid w:val="0006282E"/>
    <w:rsid w:val="000635F3"/>
    <w:rsid w:val="00066887"/>
    <w:rsid w:val="00066E2B"/>
    <w:rsid w:val="000679B9"/>
    <w:rsid w:val="00067E26"/>
    <w:rsid w:val="000705F4"/>
    <w:rsid w:val="00070FE8"/>
    <w:rsid w:val="0007236B"/>
    <w:rsid w:val="00072AED"/>
    <w:rsid w:val="00075D02"/>
    <w:rsid w:val="00075E6A"/>
    <w:rsid w:val="0008044F"/>
    <w:rsid w:val="000806D8"/>
    <w:rsid w:val="00084D83"/>
    <w:rsid w:val="000868E7"/>
    <w:rsid w:val="00086A28"/>
    <w:rsid w:val="00086C70"/>
    <w:rsid w:val="0008749E"/>
    <w:rsid w:val="00087B9C"/>
    <w:rsid w:val="00090504"/>
    <w:rsid w:val="00092D2C"/>
    <w:rsid w:val="00092E5F"/>
    <w:rsid w:val="000945B4"/>
    <w:rsid w:val="0009551D"/>
    <w:rsid w:val="00095DB4"/>
    <w:rsid w:val="00096E71"/>
    <w:rsid w:val="000A0955"/>
    <w:rsid w:val="000A0D74"/>
    <w:rsid w:val="000A3FB3"/>
    <w:rsid w:val="000A7897"/>
    <w:rsid w:val="000B0D68"/>
    <w:rsid w:val="000B2FB5"/>
    <w:rsid w:val="000B35E6"/>
    <w:rsid w:val="000B3A6E"/>
    <w:rsid w:val="000B4D40"/>
    <w:rsid w:val="000B6F3B"/>
    <w:rsid w:val="000B75F9"/>
    <w:rsid w:val="000C2662"/>
    <w:rsid w:val="000C5072"/>
    <w:rsid w:val="000C78CC"/>
    <w:rsid w:val="000D0421"/>
    <w:rsid w:val="000D0EFD"/>
    <w:rsid w:val="000D2D77"/>
    <w:rsid w:val="000D2E23"/>
    <w:rsid w:val="000D5A96"/>
    <w:rsid w:val="000D5BC9"/>
    <w:rsid w:val="000E0D6D"/>
    <w:rsid w:val="000E2BFB"/>
    <w:rsid w:val="000E489C"/>
    <w:rsid w:val="000E564A"/>
    <w:rsid w:val="000F13C2"/>
    <w:rsid w:val="000F1664"/>
    <w:rsid w:val="000F1989"/>
    <w:rsid w:val="000F23B0"/>
    <w:rsid w:val="000F5D1B"/>
    <w:rsid w:val="000F605D"/>
    <w:rsid w:val="000F6D53"/>
    <w:rsid w:val="0010107E"/>
    <w:rsid w:val="00102B3A"/>
    <w:rsid w:val="00105132"/>
    <w:rsid w:val="001054BC"/>
    <w:rsid w:val="001101F6"/>
    <w:rsid w:val="001127B3"/>
    <w:rsid w:val="001158BE"/>
    <w:rsid w:val="00116F92"/>
    <w:rsid w:val="00120492"/>
    <w:rsid w:val="00120BC4"/>
    <w:rsid w:val="00122207"/>
    <w:rsid w:val="001229D6"/>
    <w:rsid w:val="00125B36"/>
    <w:rsid w:val="00125D8B"/>
    <w:rsid w:val="00127074"/>
    <w:rsid w:val="00130233"/>
    <w:rsid w:val="00132AB1"/>
    <w:rsid w:val="00135A53"/>
    <w:rsid w:val="00145E37"/>
    <w:rsid w:val="00146390"/>
    <w:rsid w:val="00150A86"/>
    <w:rsid w:val="00151349"/>
    <w:rsid w:val="00151405"/>
    <w:rsid w:val="00151A20"/>
    <w:rsid w:val="00153510"/>
    <w:rsid w:val="00155CCE"/>
    <w:rsid w:val="00156635"/>
    <w:rsid w:val="001601E9"/>
    <w:rsid w:val="00160F5B"/>
    <w:rsid w:val="001613F0"/>
    <w:rsid w:val="001710FB"/>
    <w:rsid w:val="0017150D"/>
    <w:rsid w:val="00172FFF"/>
    <w:rsid w:val="001733DF"/>
    <w:rsid w:val="001739AF"/>
    <w:rsid w:val="00176764"/>
    <w:rsid w:val="0018095E"/>
    <w:rsid w:val="00180D05"/>
    <w:rsid w:val="00180D92"/>
    <w:rsid w:val="00181C97"/>
    <w:rsid w:val="001822BD"/>
    <w:rsid w:val="00183375"/>
    <w:rsid w:val="00186FB7"/>
    <w:rsid w:val="00187A42"/>
    <w:rsid w:val="0019127C"/>
    <w:rsid w:val="0019216A"/>
    <w:rsid w:val="00192D22"/>
    <w:rsid w:val="00193BB0"/>
    <w:rsid w:val="001952A2"/>
    <w:rsid w:val="001A0E97"/>
    <w:rsid w:val="001A1A20"/>
    <w:rsid w:val="001A2152"/>
    <w:rsid w:val="001A2B44"/>
    <w:rsid w:val="001A2BA8"/>
    <w:rsid w:val="001A422E"/>
    <w:rsid w:val="001A4E48"/>
    <w:rsid w:val="001A6007"/>
    <w:rsid w:val="001B1C83"/>
    <w:rsid w:val="001B6936"/>
    <w:rsid w:val="001B6B22"/>
    <w:rsid w:val="001B73EC"/>
    <w:rsid w:val="001C16CE"/>
    <w:rsid w:val="001C3576"/>
    <w:rsid w:val="001C4864"/>
    <w:rsid w:val="001C5042"/>
    <w:rsid w:val="001C5279"/>
    <w:rsid w:val="001D03CA"/>
    <w:rsid w:val="001D4A1D"/>
    <w:rsid w:val="001D4AE8"/>
    <w:rsid w:val="001D4C48"/>
    <w:rsid w:val="001E1038"/>
    <w:rsid w:val="001E134D"/>
    <w:rsid w:val="001E63A7"/>
    <w:rsid w:val="001E65AC"/>
    <w:rsid w:val="001E78E1"/>
    <w:rsid w:val="001F1A9E"/>
    <w:rsid w:val="001F1C0C"/>
    <w:rsid w:val="001F4424"/>
    <w:rsid w:val="00200A50"/>
    <w:rsid w:val="0020154C"/>
    <w:rsid w:val="0020239D"/>
    <w:rsid w:val="00203CF8"/>
    <w:rsid w:val="00203D2F"/>
    <w:rsid w:val="00204A38"/>
    <w:rsid w:val="00206F35"/>
    <w:rsid w:val="00207DD7"/>
    <w:rsid w:val="00216461"/>
    <w:rsid w:val="00220C04"/>
    <w:rsid w:val="002220D8"/>
    <w:rsid w:val="00226E9C"/>
    <w:rsid w:val="0023045A"/>
    <w:rsid w:val="00230CCE"/>
    <w:rsid w:val="00231436"/>
    <w:rsid w:val="00234144"/>
    <w:rsid w:val="00236ECB"/>
    <w:rsid w:val="00236F78"/>
    <w:rsid w:val="00237B70"/>
    <w:rsid w:val="00242332"/>
    <w:rsid w:val="002435FE"/>
    <w:rsid w:val="0024624F"/>
    <w:rsid w:val="0024658B"/>
    <w:rsid w:val="0024684F"/>
    <w:rsid w:val="00250A12"/>
    <w:rsid w:val="00252051"/>
    <w:rsid w:val="00253220"/>
    <w:rsid w:val="00253680"/>
    <w:rsid w:val="0025477A"/>
    <w:rsid w:val="00255D5D"/>
    <w:rsid w:val="00256412"/>
    <w:rsid w:val="00256A33"/>
    <w:rsid w:val="002573B0"/>
    <w:rsid w:val="00263F2E"/>
    <w:rsid w:val="002649EB"/>
    <w:rsid w:val="0027000B"/>
    <w:rsid w:val="00274D51"/>
    <w:rsid w:val="00275BE0"/>
    <w:rsid w:val="00277BA6"/>
    <w:rsid w:val="00282A29"/>
    <w:rsid w:val="00283491"/>
    <w:rsid w:val="0028400E"/>
    <w:rsid w:val="00286137"/>
    <w:rsid w:val="00290A95"/>
    <w:rsid w:val="0029104A"/>
    <w:rsid w:val="0029165C"/>
    <w:rsid w:val="0029198B"/>
    <w:rsid w:val="0029287E"/>
    <w:rsid w:val="00295480"/>
    <w:rsid w:val="00295B4A"/>
    <w:rsid w:val="00295EB4"/>
    <w:rsid w:val="002A060A"/>
    <w:rsid w:val="002A13F4"/>
    <w:rsid w:val="002A2A34"/>
    <w:rsid w:val="002A3308"/>
    <w:rsid w:val="002A3798"/>
    <w:rsid w:val="002A4D41"/>
    <w:rsid w:val="002A5F16"/>
    <w:rsid w:val="002A5FE3"/>
    <w:rsid w:val="002A65AD"/>
    <w:rsid w:val="002B0BDE"/>
    <w:rsid w:val="002B1C14"/>
    <w:rsid w:val="002B4409"/>
    <w:rsid w:val="002B448C"/>
    <w:rsid w:val="002B5CD5"/>
    <w:rsid w:val="002B7D48"/>
    <w:rsid w:val="002C05E5"/>
    <w:rsid w:val="002C2AB1"/>
    <w:rsid w:val="002C410A"/>
    <w:rsid w:val="002D0393"/>
    <w:rsid w:val="002D16C5"/>
    <w:rsid w:val="002D3D13"/>
    <w:rsid w:val="002D701A"/>
    <w:rsid w:val="002D7032"/>
    <w:rsid w:val="002E08F9"/>
    <w:rsid w:val="002E28E7"/>
    <w:rsid w:val="002E2B41"/>
    <w:rsid w:val="002F25F8"/>
    <w:rsid w:val="002F4259"/>
    <w:rsid w:val="002F4D5B"/>
    <w:rsid w:val="002F544F"/>
    <w:rsid w:val="002F5635"/>
    <w:rsid w:val="002F659B"/>
    <w:rsid w:val="002F6D60"/>
    <w:rsid w:val="002F7F18"/>
    <w:rsid w:val="00303CD0"/>
    <w:rsid w:val="003046B0"/>
    <w:rsid w:val="00304E19"/>
    <w:rsid w:val="00312E9A"/>
    <w:rsid w:val="003130A4"/>
    <w:rsid w:val="00314805"/>
    <w:rsid w:val="00315A12"/>
    <w:rsid w:val="00316B14"/>
    <w:rsid w:val="00321CB3"/>
    <w:rsid w:val="00322284"/>
    <w:rsid w:val="00325227"/>
    <w:rsid w:val="0032553B"/>
    <w:rsid w:val="0032689B"/>
    <w:rsid w:val="00327A6F"/>
    <w:rsid w:val="00331045"/>
    <w:rsid w:val="00331575"/>
    <w:rsid w:val="0033194C"/>
    <w:rsid w:val="00331C50"/>
    <w:rsid w:val="003354A1"/>
    <w:rsid w:val="00342577"/>
    <w:rsid w:val="00343238"/>
    <w:rsid w:val="003438E4"/>
    <w:rsid w:val="00343BBB"/>
    <w:rsid w:val="00343F72"/>
    <w:rsid w:val="0034546D"/>
    <w:rsid w:val="00346922"/>
    <w:rsid w:val="00346925"/>
    <w:rsid w:val="00351E53"/>
    <w:rsid w:val="00352F91"/>
    <w:rsid w:val="00354156"/>
    <w:rsid w:val="003543BC"/>
    <w:rsid w:val="00354AB8"/>
    <w:rsid w:val="00355B5E"/>
    <w:rsid w:val="0035671B"/>
    <w:rsid w:val="003626E8"/>
    <w:rsid w:val="00363D4C"/>
    <w:rsid w:val="00364AFA"/>
    <w:rsid w:val="00366BF6"/>
    <w:rsid w:val="003673B7"/>
    <w:rsid w:val="003705E6"/>
    <w:rsid w:val="00371B57"/>
    <w:rsid w:val="00373412"/>
    <w:rsid w:val="00373DCB"/>
    <w:rsid w:val="0038386F"/>
    <w:rsid w:val="00386DA3"/>
    <w:rsid w:val="003917DB"/>
    <w:rsid w:val="00391B88"/>
    <w:rsid w:val="00392BE7"/>
    <w:rsid w:val="0039381A"/>
    <w:rsid w:val="003976B2"/>
    <w:rsid w:val="003A3B35"/>
    <w:rsid w:val="003A4C2D"/>
    <w:rsid w:val="003A6828"/>
    <w:rsid w:val="003B0BEA"/>
    <w:rsid w:val="003B30E9"/>
    <w:rsid w:val="003B3B38"/>
    <w:rsid w:val="003B5503"/>
    <w:rsid w:val="003B7D8F"/>
    <w:rsid w:val="003C181C"/>
    <w:rsid w:val="003C3A3F"/>
    <w:rsid w:val="003C535D"/>
    <w:rsid w:val="003C5EC8"/>
    <w:rsid w:val="003C6F27"/>
    <w:rsid w:val="003D0350"/>
    <w:rsid w:val="003D0889"/>
    <w:rsid w:val="003D08A7"/>
    <w:rsid w:val="003D151E"/>
    <w:rsid w:val="003D2022"/>
    <w:rsid w:val="003D40C4"/>
    <w:rsid w:val="003D4E44"/>
    <w:rsid w:val="003D5B72"/>
    <w:rsid w:val="003D6570"/>
    <w:rsid w:val="003E2C53"/>
    <w:rsid w:val="003E3016"/>
    <w:rsid w:val="003E43C9"/>
    <w:rsid w:val="003E43FF"/>
    <w:rsid w:val="003E5814"/>
    <w:rsid w:val="003E5D3E"/>
    <w:rsid w:val="003F3EFA"/>
    <w:rsid w:val="003F43AB"/>
    <w:rsid w:val="003F7275"/>
    <w:rsid w:val="003F7A92"/>
    <w:rsid w:val="00400FEE"/>
    <w:rsid w:val="004039D9"/>
    <w:rsid w:val="00403CB3"/>
    <w:rsid w:val="004058C5"/>
    <w:rsid w:val="004113CE"/>
    <w:rsid w:val="00412452"/>
    <w:rsid w:val="00412C5F"/>
    <w:rsid w:val="004133A8"/>
    <w:rsid w:val="00416464"/>
    <w:rsid w:val="00417A29"/>
    <w:rsid w:val="004206E8"/>
    <w:rsid w:val="00426CE2"/>
    <w:rsid w:val="00431FD7"/>
    <w:rsid w:val="004365C3"/>
    <w:rsid w:val="00440071"/>
    <w:rsid w:val="004402F5"/>
    <w:rsid w:val="00440BA9"/>
    <w:rsid w:val="00441D70"/>
    <w:rsid w:val="004458A2"/>
    <w:rsid w:val="00446409"/>
    <w:rsid w:val="00447431"/>
    <w:rsid w:val="00447BAC"/>
    <w:rsid w:val="004501B7"/>
    <w:rsid w:val="00452D86"/>
    <w:rsid w:val="00454487"/>
    <w:rsid w:val="00454DA3"/>
    <w:rsid w:val="00455ABC"/>
    <w:rsid w:val="00456D5F"/>
    <w:rsid w:val="00460EB1"/>
    <w:rsid w:val="00461B5D"/>
    <w:rsid w:val="00463C5F"/>
    <w:rsid w:val="00464E6B"/>
    <w:rsid w:val="00464F8D"/>
    <w:rsid w:val="004654DE"/>
    <w:rsid w:val="00466FF6"/>
    <w:rsid w:val="004703E7"/>
    <w:rsid w:val="00471C8C"/>
    <w:rsid w:val="00472161"/>
    <w:rsid w:val="004752CE"/>
    <w:rsid w:val="004777D5"/>
    <w:rsid w:val="00481C8B"/>
    <w:rsid w:val="00481F4D"/>
    <w:rsid w:val="004836FD"/>
    <w:rsid w:val="00483DD6"/>
    <w:rsid w:val="00484327"/>
    <w:rsid w:val="00485D10"/>
    <w:rsid w:val="004864CB"/>
    <w:rsid w:val="00486FFF"/>
    <w:rsid w:val="00490F2E"/>
    <w:rsid w:val="00491E8B"/>
    <w:rsid w:val="00496449"/>
    <w:rsid w:val="004969A9"/>
    <w:rsid w:val="004A05DD"/>
    <w:rsid w:val="004A14EA"/>
    <w:rsid w:val="004A59BF"/>
    <w:rsid w:val="004A5D7D"/>
    <w:rsid w:val="004B1307"/>
    <w:rsid w:val="004B1937"/>
    <w:rsid w:val="004B6EFF"/>
    <w:rsid w:val="004C0520"/>
    <w:rsid w:val="004C18D1"/>
    <w:rsid w:val="004C218E"/>
    <w:rsid w:val="004C2636"/>
    <w:rsid w:val="004C2C62"/>
    <w:rsid w:val="004C36AE"/>
    <w:rsid w:val="004C4305"/>
    <w:rsid w:val="004C4E9F"/>
    <w:rsid w:val="004C6075"/>
    <w:rsid w:val="004D12DD"/>
    <w:rsid w:val="004D277A"/>
    <w:rsid w:val="004D42A2"/>
    <w:rsid w:val="004D563C"/>
    <w:rsid w:val="004D61F0"/>
    <w:rsid w:val="004D669D"/>
    <w:rsid w:val="004D773D"/>
    <w:rsid w:val="004D77FE"/>
    <w:rsid w:val="004E4DD0"/>
    <w:rsid w:val="004E6D15"/>
    <w:rsid w:val="004F003C"/>
    <w:rsid w:val="004F6229"/>
    <w:rsid w:val="00501D58"/>
    <w:rsid w:val="00503187"/>
    <w:rsid w:val="005039CC"/>
    <w:rsid w:val="00503E4A"/>
    <w:rsid w:val="00504839"/>
    <w:rsid w:val="005069CE"/>
    <w:rsid w:val="005107DD"/>
    <w:rsid w:val="00511555"/>
    <w:rsid w:val="00511AFA"/>
    <w:rsid w:val="005159EC"/>
    <w:rsid w:val="0051621D"/>
    <w:rsid w:val="005216D3"/>
    <w:rsid w:val="005234A4"/>
    <w:rsid w:val="00523CFC"/>
    <w:rsid w:val="00525C8B"/>
    <w:rsid w:val="005308C9"/>
    <w:rsid w:val="00534BB4"/>
    <w:rsid w:val="0054052E"/>
    <w:rsid w:val="0054151E"/>
    <w:rsid w:val="0054259E"/>
    <w:rsid w:val="00542C57"/>
    <w:rsid w:val="00542E9D"/>
    <w:rsid w:val="005474FD"/>
    <w:rsid w:val="00550088"/>
    <w:rsid w:val="00554CD1"/>
    <w:rsid w:val="00556EE8"/>
    <w:rsid w:val="00557BEA"/>
    <w:rsid w:val="00560E41"/>
    <w:rsid w:val="0056135E"/>
    <w:rsid w:val="005640FE"/>
    <w:rsid w:val="00564C71"/>
    <w:rsid w:val="00564D9E"/>
    <w:rsid w:val="0056509C"/>
    <w:rsid w:val="0056581D"/>
    <w:rsid w:val="00565A3D"/>
    <w:rsid w:val="00566C98"/>
    <w:rsid w:val="005714FA"/>
    <w:rsid w:val="0057219C"/>
    <w:rsid w:val="00572630"/>
    <w:rsid w:val="00574619"/>
    <w:rsid w:val="0057508C"/>
    <w:rsid w:val="0057567B"/>
    <w:rsid w:val="00576BC9"/>
    <w:rsid w:val="00576C8E"/>
    <w:rsid w:val="005775F4"/>
    <w:rsid w:val="00577FF0"/>
    <w:rsid w:val="00583D9A"/>
    <w:rsid w:val="00583EFD"/>
    <w:rsid w:val="00583F52"/>
    <w:rsid w:val="005847BB"/>
    <w:rsid w:val="005855B1"/>
    <w:rsid w:val="00590419"/>
    <w:rsid w:val="005921F5"/>
    <w:rsid w:val="00593C7B"/>
    <w:rsid w:val="00593D1B"/>
    <w:rsid w:val="00597252"/>
    <w:rsid w:val="005A1469"/>
    <w:rsid w:val="005A2E0F"/>
    <w:rsid w:val="005A4978"/>
    <w:rsid w:val="005A50F6"/>
    <w:rsid w:val="005A61AC"/>
    <w:rsid w:val="005A73C9"/>
    <w:rsid w:val="005B064A"/>
    <w:rsid w:val="005B3E9C"/>
    <w:rsid w:val="005B5708"/>
    <w:rsid w:val="005B5D0E"/>
    <w:rsid w:val="005B7C06"/>
    <w:rsid w:val="005C1AF4"/>
    <w:rsid w:val="005C50FD"/>
    <w:rsid w:val="005C5184"/>
    <w:rsid w:val="005C7757"/>
    <w:rsid w:val="005D0E2D"/>
    <w:rsid w:val="005D41BC"/>
    <w:rsid w:val="005D52BB"/>
    <w:rsid w:val="005D609D"/>
    <w:rsid w:val="005D6174"/>
    <w:rsid w:val="005D773B"/>
    <w:rsid w:val="005E01F9"/>
    <w:rsid w:val="005E0BDC"/>
    <w:rsid w:val="005E6838"/>
    <w:rsid w:val="005E6940"/>
    <w:rsid w:val="005E70DE"/>
    <w:rsid w:val="005E7F1F"/>
    <w:rsid w:val="005F29C5"/>
    <w:rsid w:val="005F4B47"/>
    <w:rsid w:val="005F79C9"/>
    <w:rsid w:val="005F7B07"/>
    <w:rsid w:val="005F7B63"/>
    <w:rsid w:val="00600984"/>
    <w:rsid w:val="00602C0B"/>
    <w:rsid w:val="0060592D"/>
    <w:rsid w:val="00610269"/>
    <w:rsid w:val="00615A6B"/>
    <w:rsid w:val="006165D3"/>
    <w:rsid w:val="00616BB7"/>
    <w:rsid w:val="00617440"/>
    <w:rsid w:val="00622D07"/>
    <w:rsid w:val="0062326F"/>
    <w:rsid w:val="006239CE"/>
    <w:rsid w:val="00625660"/>
    <w:rsid w:val="00625FB6"/>
    <w:rsid w:val="006268A1"/>
    <w:rsid w:val="00626AD8"/>
    <w:rsid w:val="00627209"/>
    <w:rsid w:val="00631D9F"/>
    <w:rsid w:val="00632B66"/>
    <w:rsid w:val="0063370A"/>
    <w:rsid w:val="00634461"/>
    <w:rsid w:val="00635A4E"/>
    <w:rsid w:val="00636D9B"/>
    <w:rsid w:val="00636E09"/>
    <w:rsid w:val="00640765"/>
    <w:rsid w:val="00640A02"/>
    <w:rsid w:val="00641170"/>
    <w:rsid w:val="00641177"/>
    <w:rsid w:val="00642274"/>
    <w:rsid w:val="00643471"/>
    <w:rsid w:val="0064349B"/>
    <w:rsid w:val="00644BE7"/>
    <w:rsid w:val="00644CA8"/>
    <w:rsid w:val="006461D5"/>
    <w:rsid w:val="00647C92"/>
    <w:rsid w:val="00651FDF"/>
    <w:rsid w:val="00653399"/>
    <w:rsid w:val="00654F80"/>
    <w:rsid w:val="00656708"/>
    <w:rsid w:val="006574C1"/>
    <w:rsid w:val="00660249"/>
    <w:rsid w:val="0066069A"/>
    <w:rsid w:val="006630F2"/>
    <w:rsid w:val="00663847"/>
    <w:rsid w:val="00663FE7"/>
    <w:rsid w:val="00664B5C"/>
    <w:rsid w:val="00666034"/>
    <w:rsid w:val="00667CCA"/>
    <w:rsid w:val="0067092E"/>
    <w:rsid w:val="0067199B"/>
    <w:rsid w:val="00671E70"/>
    <w:rsid w:val="006731DA"/>
    <w:rsid w:val="00674F4E"/>
    <w:rsid w:val="00683367"/>
    <w:rsid w:val="00690636"/>
    <w:rsid w:val="006919FF"/>
    <w:rsid w:val="00693268"/>
    <w:rsid w:val="006948A8"/>
    <w:rsid w:val="00695C69"/>
    <w:rsid w:val="006A043F"/>
    <w:rsid w:val="006A090C"/>
    <w:rsid w:val="006A18A9"/>
    <w:rsid w:val="006A4363"/>
    <w:rsid w:val="006A5316"/>
    <w:rsid w:val="006A599E"/>
    <w:rsid w:val="006A769F"/>
    <w:rsid w:val="006B2105"/>
    <w:rsid w:val="006B38AB"/>
    <w:rsid w:val="006C05AB"/>
    <w:rsid w:val="006C2E48"/>
    <w:rsid w:val="006D10D6"/>
    <w:rsid w:val="006D7F85"/>
    <w:rsid w:val="006E5744"/>
    <w:rsid w:val="006E59DB"/>
    <w:rsid w:val="006E5F2B"/>
    <w:rsid w:val="006E6080"/>
    <w:rsid w:val="006E7ACE"/>
    <w:rsid w:val="006F1682"/>
    <w:rsid w:val="006F1E0E"/>
    <w:rsid w:val="006F20A5"/>
    <w:rsid w:val="006F26A8"/>
    <w:rsid w:val="006F3C73"/>
    <w:rsid w:val="006F4000"/>
    <w:rsid w:val="006F677A"/>
    <w:rsid w:val="0070033C"/>
    <w:rsid w:val="00700C26"/>
    <w:rsid w:val="00701116"/>
    <w:rsid w:val="007012EF"/>
    <w:rsid w:val="00704F07"/>
    <w:rsid w:val="00707011"/>
    <w:rsid w:val="007073C8"/>
    <w:rsid w:val="00710C69"/>
    <w:rsid w:val="00711E6D"/>
    <w:rsid w:val="007126B0"/>
    <w:rsid w:val="00713922"/>
    <w:rsid w:val="00713F9D"/>
    <w:rsid w:val="00714EB9"/>
    <w:rsid w:val="00716B20"/>
    <w:rsid w:val="007179DA"/>
    <w:rsid w:val="00720340"/>
    <w:rsid w:val="00720C56"/>
    <w:rsid w:val="00720F45"/>
    <w:rsid w:val="007226F0"/>
    <w:rsid w:val="00724799"/>
    <w:rsid w:val="007313D8"/>
    <w:rsid w:val="007313F9"/>
    <w:rsid w:val="007322FA"/>
    <w:rsid w:val="00733930"/>
    <w:rsid w:val="00733A93"/>
    <w:rsid w:val="00733DDA"/>
    <w:rsid w:val="00734EE2"/>
    <w:rsid w:val="00735ABE"/>
    <w:rsid w:val="0074150C"/>
    <w:rsid w:val="00742027"/>
    <w:rsid w:val="00743B3F"/>
    <w:rsid w:val="00744EAA"/>
    <w:rsid w:val="00745950"/>
    <w:rsid w:val="00745C93"/>
    <w:rsid w:val="007477E0"/>
    <w:rsid w:val="007508D6"/>
    <w:rsid w:val="00750F98"/>
    <w:rsid w:val="007523E4"/>
    <w:rsid w:val="00754E6F"/>
    <w:rsid w:val="0075522D"/>
    <w:rsid w:val="007579D0"/>
    <w:rsid w:val="007610AA"/>
    <w:rsid w:val="0076143E"/>
    <w:rsid w:val="00761B7C"/>
    <w:rsid w:val="00764F2F"/>
    <w:rsid w:val="00766B69"/>
    <w:rsid w:val="00766EE7"/>
    <w:rsid w:val="007705D4"/>
    <w:rsid w:val="00773A84"/>
    <w:rsid w:val="007746E6"/>
    <w:rsid w:val="007747E6"/>
    <w:rsid w:val="007753A8"/>
    <w:rsid w:val="007775EB"/>
    <w:rsid w:val="00777DCA"/>
    <w:rsid w:val="007824FE"/>
    <w:rsid w:val="00794DCB"/>
    <w:rsid w:val="007951CD"/>
    <w:rsid w:val="007969A4"/>
    <w:rsid w:val="007A0D5F"/>
    <w:rsid w:val="007A1B7F"/>
    <w:rsid w:val="007A1E44"/>
    <w:rsid w:val="007A239B"/>
    <w:rsid w:val="007A39FA"/>
    <w:rsid w:val="007A40AA"/>
    <w:rsid w:val="007A4357"/>
    <w:rsid w:val="007A55A5"/>
    <w:rsid w:val="007A5822"/>
    <w:rsid w:val="007B08F1"/>
    <w:rsid w:val="007B58FF"/>
    <w:rsid w:val="007B729B"/>
    <w:rsid w:val="007B7F59"/>
    <w:rsid w:val="007C1D9F"/>
    <w:rsid w:val="007C4B9E"/>
    <w:rsid w:val="007C75BF"/>
    <w:rsid w:val="007C7FD2"/>
    <w:rsid w:val="007D6123"/>
    <w:rsid w:val="007D6A27"/>
    <w:rsid w:val="007D6FA5"/>
    <w:rsid w:val="007E66C2"/>
    <w:rsid w:val="007E74D6"/>
    <w:rsid w:val="007F1ECD"/>
    <w:rsid w:val="00800731"/>
    <w:rsid w:val="00800D7D"/>
    <w:rsid w:val="008026D2"/>
    <w:rsid w:val="008032BF"/>
    <w:rsid w:val="0080335A"/>
    <w:rsid w:val="00805797"/>
    <w:rsid w:val="00810308"/>
    <w:rsid w:val="00813363"/>
    <w:rsid w:val="00814282"/>
    <w:rsid w:val="00814A39"/>
    <w:rsid w:val="0081696D"/>
    <w:rsid w:val="00817E11"/>
    <w:rsid w:val="00817F33"/>
    <w:rsid w:val="00820605"/>
    <w:rsid w:val="0082369D"/>
    <w:rsid w:val="008248CD"/>
    <w:rsid w:val="0082516A"/>
    <w:rsid w:val="00827D97"/>
    <w:rsid w:val="008315A7"/>
    <w:rsid w:val="008326A0"/>
    <w:rsid w:val="00832AC8"/>
    <w:rsid w:val="00833210"/>
    <w:rsid w:val="00833F87"/>
    <w:rsid w:val="008340A1"/>
    <w:rsid w:val="00836721"/>
    <w:rsid w:val="00836B9B"/>
    <w:rsid w:val="00840894"/>
    <w:rsid w:val="00842941"/>
    <w:rsid w:val="00842B6E"/>
    <w:rsid w:val="00846244"/>
    <w:rsid w:val="008463E6"/>
    <w:rsid w:val="00846F60"/>
    <w:rsid w:val="00847E9F"/>
    <w:rsid w:val="008517A4"/>
    <w:rsid w:val="00851FB2"/>
    <w:rsid w:val="008524F3"/>
    <w:rsid w:val="008551F3"/>
    <w:rsid w:val="0085588B"/>
    <w:rsid w:val="00857335"/>
    <w:rsid w:val="00860C1E"/>
    <w:rsid w:val="00861A15"/>
    <w:rsid w:val="00865385"/>
    <w:rsid w:val="00872707"/>
    <w:rsid w:val="00873CB3"/>
    <w:rsid w:val="00873DE1"/>
    <w:rsid w:val="00880A0C"/>
    <w:rsid w:val="00881AFC"/>
    <w:rsid w:val="00882388"/>
    <w:rsid w:val="00883F69"/>
    <w:rsid w:val="008840BB"/>
    <w:rsid w:val="00884316"/>
    <w:rsid w:val="00885B5E"/>
    <w:rsid w:val="0089093A"/>
    <w:rsid w:val="0089159A"/>
    <w:rsid w:val="0089284C"/>
    <w:rsid w:val="00894A0F"/>
    <w:rsid w:val="008951CE"/>
    <w:rsid w:val="0089559D"/>
    <w:rsid w:val="008966C9"/>
    <w:rsid w:val="00896C4E"/>
    <w:rsid w:val="008A0D3E"/>
    <w:rsid w:val="008A22AF"/>
    <w:rsid w:val="008A4F6A"/>
    <w:rsid w:val="008A5B91"/>
    <w:rsid w:val="008B0E77"/>
    <w:rsid w:val="008B1711"/>
    <w:rsid w:val="008B3B72"/>
    <w:rsid w:val="008B5771"/>
    <w:rsid w:val="008B6816"/>
    <w:rsid w:val="008C009C"/>
    <w:rsid w:val="008C1964"/>
    <w:rsid w:val="008C252A"/>
    <w:rsid w:val="008C29DB"/>
    <w:rsid w:val="008C42BD"/>
    <w:rsid w:val="008C4368"/>
    <w:rsid w:val="008C4D9F"/>
    <w:rsid w:val="008C6A5C"/>
    <w:rsid w:val="008C6FEE"/>
    <w:rsid w:val="008D0F71"/>
    <w:rsid w:val="008D1750"/>
    <w:rsid w:val="008D7D7C"/>
    <w:rsid w:val="008E0249"/>
    <w:rsid w:val="008E08FD"/>
    <w:rsid w:val="008E1922"/>
    <w:rsid w:val="008E2F7F"/>
    <w:rsid w:val="008E391E"/>
    <w:rsid w:val="008F1505"/>
    <w:rsid w:val="008F4331"/>
    <w:rsid w:val="009008D2"/>
    <w:rsid w:val="00902738"/>
    <w:rsid w:val="00907026"/>
    <w:rsid w:val="00912936"/>
    <w:rsid w:val="00914780"/>
    <w:rsid w:val="00914C19"/>
    <w:rsid w:val="009153AA"/>
    <w:rsid w:val="00916F15"/>
    <w:rsid w:val="00916F77"/>
    <w:rsid w:val="00920AC5"/>
    <w:rsid w:val="009329DB"/>
    <w:rsid w:val="00935DC4"/>
    <w:rsid w:val="009363C4"/>
    <w:rsid w:val="0093691F"/>
    <w:rsid w:val="00941021"/>
    <w:rsid w:val="00943868"/>
    <w:rsid w:val="00944C4D"/>
    <w:rsid w:val="009471EA"/>
    <w:rsid w:val="00951D8C"/>
    <w:rsid w:val="00952549"/>
    <w:rsid w:val="00953DF6"/>
    <w:rsid w:val="00954640"/>
    <w:rsid w:val="00954B42"/>
    <w:rsid w:val="00954BF4"/>
    <w:rsid w:val="00960C24"/>
    <w:rsid w:val="0096173D"/>
    <w:rsid w:val="00962931"/>
    <w:rsid w:val="00963F0F"/>
    <w:rsid w:val="00964096"/>
    <w:rsid w:val="00964FFA"/>
    <w:rsid w:val="00972528"/>
    <w:rsid w:val="00972B22"/>
    <w:rsid w:val="00972C7D"/>
    <w:rsid w:val="009760D9"/>
    <w:rsid w:val="00976A92"/>
    <w:rsid w:val="00977A05"/>
    <w:rsid w:val="00980097"/>
    <w:rsid w:val="009801B6"/>
    <w:rsid w:val="00981668"/>
    <w:rsid w:val="0098252E"/>
    <w:rsid w:val="00985125"/>
    <w:rsid w:val="00987707"/>
    <w:rsid w:val="00987D01"/>
    <w:rsid w:val="00991735"/>
    <w:rsid w:val="009937EB"/>
    <w:rsid w:val="00996F23"/>
    <w:rsid w:val="00996F70"/>
    <w:rsid w:val="00997C6A"/>
    <w:rsid w:val="009A3F41"/>
    <w:rsid w:val="009A58F0"/>
    <w:rsid w:val="009A5E29"/>
    <w:rsid w:val="009A6850"/>
    <w:rsid w:val="009A791E"/>
    <w:rsid w:val="009B79EF"/>
    <w:rsid w:val="009C02B8"/>
    <w:rsid w:val="009C08C0"/>
    <w:rsid w:val="009C09CD"/>
    <w:rsid w:val="009C1C4D"/>
    <w:rsid w:val="009C3163"/>
    <w:rsid w:val="009C412E"/>
    <w:rsid w:val="009C4DB8"/>
    <w:rsid w:val="009D0558"/>
    <w:rsid w:val="009D1370"/>
    <w:rsid w:val="009D2401"/>
    <w:rsid w:val="009D3FCC"/>
    <w:rsid w:val="009D5200"/>
    <w:rsid w:val="009D5EC2"/>
    <w:rsid w:val="009D6F1A"/>
    <w:rsid w:val="009E0486"/>
    <w:rsid w:val="009E168E"/>
    <w:rsid w:val="009E24F0"/>
    <w:rsid w:val="009E26AA"/>
    <w:rsid w:val="009E2D68"/>
    <w:rsid w:val="009E4AC9"/>
    <w:rsid w:val="009E5C38"/>
    <w:rsid w:val="009E6116"/>
    <w:rsid w:val="009E702A"/>
    <w:rsid w:val="009E78B6"/>
    <w:rsid w:val="009F1B80"/>
    <w:rsid w:val="009F5E52"/>
    <w:rsid w:val="00A03812"/>
    <w:rsid w:val="00A046B7"/>
    <w:rsid w:val="00A04A13"/>
    <w:rsid w:val="00A04D8E"/>
    <w:rsid w:val="00A05932"/>
    <w:rsid w:val="00A05DB6"/>
    <w:rsid w:val="00A079B5"/>
    <w:rsid w:val="00A10B8A"/>
    <w:rsid w:val="00A121F4"/>
    <w:rsid w:val="00A13741"/>
    <w:rsid w:val="00A14A4D"/>
    <w:rsid w:val="00A1553C"/>
    <w:rsid w:val="00A1776A"/>
    <w:rsid w:val="00A245D5"/>
    <w:rsid w:val="00A261FF"/>
    <w:rsid w:val="00A30ED1"/>
    <w:rsid w:val="00A32703"/>
    <w:rsid w:val="00A32CC2"/>
    <w:rsid w:val="00A330BE"/>
    <w:rsid w:val="00A336FD"/>
    <w:rsid w:val="00A409F0"/>
    <w:rsid w:val="00A409F6"/>
    <w:rsid w:val="00A41F37"/>
    <w:rsid w:val="00A43CCB"/>
    <w:rsid w:val="00A445FC"/>
    <w:rsid w:val="00A45170"/>
    <w:rsid w:val="00A50049"/>
    <w:rsid w:val="00A52A70"/>
    <w:rsid w:val="00A538DC"/>
    <w:rsid w:val="00A54503"/>
    <w:rsid w:val="00A55371"/>
    <w:rsid w:val="00A554D5"/>
    <w:rsid w:val="00A61336"/>
    <w:rsid w:val="00A61E10"/>
    <w:rsid w:val="00A62D24"/>
    <w:rsid w:val="00A6537A"/>
    <w:rsid w:val="00A670F2"/>
    <w:rsid w:val="00A674F4"/>
    <w:rsid w:val="00A702D2"/>
    <w:rsid w:val="00A71269"/>
    <w:rsid w:val="00A72461"/>
    <w:rsid w:val="00A73684"/>
    <w:rsid w:val="00A77D6D"/>
    <w:rsid w:val="00A83247"/>
    <w:rsid w:val="00A83A79"/>
    <w:rsid w:val="00A86581"/>
    <w:rsid w:val="00A87ACB"/>
    <w:rsid w:val="00A90047"/>
    <w:rsid w:val="00A9018F"/>
    <w:rsid w:val="00A9094C"/>
    <w:rsid w:val="00A91BC1"/>
    <w:rsid w:val="00A92E36"/>
    <w:rsid w:val="00A92F09"/>
    <w:rsid w:val="00AA04C1"/>
    <w:rsid w:val="00AA0F43"/>
    <w:rsid w:val="00AA1D2A"/>
    <w:rsid w:val="00AA3772"/>
    <w:rsid w:val="00AA63C0"/>
    <w:rsid w:val="00AA65DC"/>
    <w:rsid w:val="00AB06A4"/>
    <w:rsid w:val="00AB0CE3"/>
    <w:rsid w:val="00AB0E03"/>
    <w:rsid w:val="00AB58E8"/>
    <w:rsid w:val="00AB65BA"/>
    <w:rsid w:val="00AC0790"/>
    <w:rsid w:val="00AC0AF2"/>
    <w:rsid w:val="00AC152B"/>
    <w:rsid w:val="00AC2478"/>
    <w:rsid w:val="00AC2E35"/>
    <w:rsid w:val="00AD0AC6"/>
    <w:rsid w:val="00AD39EE"/>
    <w:rsid w:val="00AD55E2"/>
    <w:rsid w:val="00AD5C32"/>
    <w:rsid w:val="00AD76CA"/>
    <w:rsid w:val="00AE068F"/>
    <w:rsid w:val="00AE1B32"/>
    <w:rsid w:val="00AE2E7E"/>
    <w:rsid w:val="00AE360A"/>
    <w:rsid w:val="00AE3A4B"/>
    <w:rsid w:val="00AE510A"/>
    <w:rsid w:val="00AE62A7"/>
    <w:rsid w:val="00AE63D4"/>
    <w:rsid w:val="00AE7DDD"/>
    <w:rsid w:val="00AF046B"/>
    <w:rsid w:val="00AF1657"/>
    <w:rsid w:val="00B02979"/>
    <w:rsid w:val="00B02DB5"/>
    <w:rsid w:val="00B03E2B"/>
    <w:rsid w:val="00B06702"/>
    <w:rsid w:val="00B10935"/>
    <w:rsid w:val="00B11647"/>
    <w:rsid w:val="00B11685"/>
    <w:rsid w:val="00B12E8F"/>
    <w:rsid w:val="00B15A70"/>
    <w:rsid w:val="00B15F3E"/>
    <w:rsid w:val="00B21D86"/>
    <w:rsid w:val="00B225C5"/>
    <w:rsid w:val="00B27F08"/>
    <w:rsid w:val="00B31EFB"/>
    <w:rsid w:val="00B32CEC"/>
    <w:rsid w:val="00B33D5B"/>
    <w:rsid w:val="00B33EF6"/>
    <w:rsid w:val="00B34B55"/>
    <w:rsid w:val="00B37814"/>
    <w:rsid w:val="00B428AE"/>
    <w:rsid w:val="00B43D80"/>
    <w:rsid w:val="00B43F8A"/>
    <w:rsid w:val="00B46AC0"/>
    <w:rsid w:val="00B551C3"/>
    <w:rsid w:val="00B561D7"/>
    <w:rsid w:val="00B57CC7"/>
    <w:rsid w:val="00B612D6"/>
    <w:rsid w:val="00B6250A"/>
    <w:rsid w:val="00B62DAC"/>
    <w:rsid w:val="00B64528"/>
    <w:rsid w:val="00B70110"/>
    <w:rsid w:val="00B705CB"/>
    <w:rsid w:val="00B708D5"/>
    <w:rsid w:val="00B71550"/>
    <w:rsid w:val="00B734B5"/>
    <w:rsid w:val="00B73F1C"/>
    <w:rsid w:val="00B740FB"/>
    <w:rsid w:val="00B82D4C"/>
    <w:rsid w:val="00B85C2F"/>
    <w:rsid w:val="00B94B35"/>
    <w:rsid w:val="00B94F3D"/>
    <w:rsid w:val="00B963C0"/>
    <w:rsid w:val="00BA09EB"/>
    <w:rsid w:val="00BA1D8F"/>
    <w:rsid w:val="00BA5D9F"/>
    <w:rsid w:val="00BB12C7"/>
    <w:rsid w:val="00BB191B"/>
    <w:rsid w:val="00BB439C"/>
    <w:rsid w:val="00BB5AD5"/>
    <w:rsid w:val="00BB7413"/>
    <w:rsid w:val="00BC02B5"/>
    <w:rsid w:val="00BC230D"/>
    <w:rsid w:val="00BC3D99"/>
    <w:rsid w:val="00BC464E"/>
    <w:rsid w:val="00BD061B"/>
    <w:rsid w:val="00BD0736"/>
    <w:rsid w:val="00BD12A9"/>
    <w:rsid w:val="00BD451E"/>
    <w:rsid w:val="00BD72AE"/>
    <w:rsid w:val="00BD7CE6"/>
    <w:rsid w:val="00BE053D"/>
    <w:rsid w:val="00BE21A2"/>
    <w:rsid w:val="00BE35B3"/>
    <w:rsid w:val="00BE6504"/>
    <w:rsid w:val="00BF0949"/>
    <w:rsid w:val="00BF775A"/>
    <w:rsid w:val="00C00EDB"/>
    <w:rsid w:val="00C03870"/>
    <w:rsid w:val="00C03D51"/>
    <w:rsid w:val="00C0476F"/>
    <w:rsid w:val="00C0514D"/>
    <w:rsid w:val="00C05A2B"/>
    <w:rsid w:val="00C0648B"/>
    <w:rsid w:val="00C11522"/>
    <w:rsid w:val="00C156BD"/>
    <w:rsid w:val="00C15A71"/>
    <w:rsid w:val="00C15B9B"/>
    <w:rsid w:val="00C16F3F"/>
    <w:rsid w:val="00C177E2"/>
    <w:rsid w:val="00C17874"/>
    <w:rsid w:val="00C25FDD"/>
    <w:rsid w:val="00C30458"/>
    <w:rsid w:val="00C31432"/>
    <w:rsid w:val="00C31E88"/>
    <w:rsid w:val="00C362C8"/>
    <w:rsid w:val="00C3771A"/>
    <w:rsid w:val="00C417C3"/>
    <w:rsid w:val="00C432CF"/>
    <w:rsid w:val="00C44981"/>
    <w:rsid w:val="00C47C9B"/>
    <w:rsid w:val="00C47FAE"/>
    <w:rsid w:val="00C50A48"/>
    <w:rsid w:val="00C51471"/>
    <w:rsid w:val="00C515C1"/>
    <w:rsid w:val="00C51D2B"/>
    <w:rsid w:val="00C5340B"/>
    <w:rsid w:val="00C5492B"/>
    <w:rsid w:val="00C54CD7"/>
    <w:rsid w:val="00C56038"/>
    <w:rsid w:val="00C56271"/>
    <w:rsid w:val="00C5727C"/>
    <w:rsid w:val="00C57441"/>
    <w:rsid w:val="00C6082F"/>
    <w:rsid w:val="00C623F0"/>
    <w:rsid w:val="00C63D5A"/>
    <w:rsid w:val="00C65311"/>
    <w:rsid w:val="00C65355"/>
    <w:rsid w:val="00C65DD5"/>
    <w:rsid w:val="00C665E0"/>
    <w:rsid w:val="00C703CE"/>
    <w:rsid w:val="00C749DE"/>
    <w:rsid w:val="00C7574D"/>
    <w:rsid w:val="00C813F5"/>
    <w:rsid w:val="00C84F17"/>
    <w:rsid w:val="00C8666E"/>
    <w:rsid w:val="00C87354"/>
    <w:rsid w:val="00C902AA"/>
    <w:rsid w:val="00C90BE6"/>
    <w:rsid w:val="00C918AE"/>
    <w:rsid w:val="00C935BA"/>
    <w:rsid w:val="00C960B1"/>
    <w:rsid w:val="00C978FE"/>
    <w:rsid w:val="00CA3AA3"/>
    <w:rsid w:val="00CA562F"/>
    <w:rsid w:val="00CA739E"/>
    <w:rsid w:val="00CA7E76"/>
    <w:rsid w:val="00CB001E"/>
    <w:rsid w:val="00CB0DA9"/>
    <w:rsid w:val="00CB24B2"/>
    <w:rsid w:val="00CB4397"/>
    <w:rsid w:val="00CB4C93"/>
    <w:rsid w:val="00CB5B6B"/>
    <w:rsid w:val="00CC0108"/>
    <w:rsid w:val="00CC51AE"/>
    <w:rsid w:val="00CC5D04"/>
    <w:rsid w:val="00CD05F2"/>
    <w:rsid w:val="00CD0BEA"/>
    <w:rsid w:val="00CD2098"/>
    <w:rsid w:val="00CD2E20"/>
    <w:rsid w:val="00CD5E01"/>
    <w:rsid w:val="00CD6870"/>
    <w:rsid w:val="00CE07C2"/>
    <w:rsid w:val="00CE33BB"/>
    <w:rsid w:val="00CE6213"/>
    <w:rsid w:val="00CE6630"/>
    <w:rsid w:val="00CE6678"/>
    <w:rsid w:val="00CE6E1E"/>
    <w:rsid w:val="00CF078F"/>
    <w:rsid w:val="00CF09D5"/>
    <w:rsid w:val="00CF34BF"/>
    <w:rsid w:val="00CF45DF"/>
    <w:rsid w:val="00CF5367"/>
    <w:rsid w:val="00CF5A3A"/>
    <w:rsid w:val="00CF7C70"/>
    <w:rsid w:val="00CF7D13"/>
    <w:rsid w:val="00D028E1"/>
    <w:rsid w:val="00D032F5"/>
    <w:rsid w:val="00D053AC"/>
    <w:rsid w:val="00D06895"/>
    <w:rsid w:val="00D0780F"/>
    <w:rsid w:val="00D13536"/>
    <w:rsid w:val="00D14261"/>
    <w:rsid w:val="00D15A6F"/>
    <w:rsid w:val="00D161F1"/>
    <w:rsid w:val="00D23303"/>
    <w:rsid w:val="00D24D56"/>
    <w:rsid w:val="00D26184"/>
    <w:rsid w:val="00D30696"/>
    <w:rsid w:val="00D32FED"/>
    <w:rsid w:val="00D338B9"/>
    <w:rsid w:val="00D34632"/>
    <w:rsid w:val="00D403C5"/>
    <w:rsid w:val="00D411AA"/>
    <w:rsid w:val="00D414A0"/>
    <w:rsid w:val="00D43DDA"/>
    <w:rsid w:val="00D44B13"/>
    <w:rsid w:val="00D46A78"/>
    <w:rsid w:val="00D51338"/>
    <w:rsid w:val="00D5230E"/>
    <w:rsid w:val="00D535B1"/>
    <w:rsid w:val="00D569BA"/>
    <w:rsid w:val="00D61693"/>
    <w:rsid w:val="00D649A6"/>
    <w:rsid w:val="00D659DB"/>
    <w:rsid w:val="00D666E4"/>
    <w:rsid w:val="00D66B06"/>
    <w:rsid w:val="00D67E77"/>
    <w:rsid w:val="00D67E7E"/>
    <w:rsid w:val="00D67F1A"/>
    <w:rsid w:val="00D71B8C"/>
    <w:rsid w:val="00D72015"/>
    <w:rsid w:val="00D73562"/>
    <w:rsid w:val="00D74844"/>
    <w:rsid w:val="00D74A0B"/>
    <w:rsid w:val="00D7615C"/>
    <w:rsid w:val="00D76E39"/>
    <w:rsid w:val="00D801A4"/>
    <w:rsid w:val="00D80C5F"/>
    <w:rsid w:val="00D81D63"/>
    <w:rsid w:val="00D8396E"/>
    <w:rsid w:val="00D83AFC"/>
    <w:rsid w:val="00D848CE"/>
    <w:rsid w:val="00D85989"/>
    <w:rsid w:val="00D86703"/>
    <w:rsid w:val="00D91274"/>
    <w:rsid w:val="00D9309D"/>
    <w:rsid w:val="00D94023"/>
    <w:rsid w:val="00D9429F"/>
    <w:rsid w:val="00D952BC"/>
    <w:rsid w:val="00DA1188"/>
    <w:rsid w:val="00DA459D"/>
    <w:rsid w:val="00DA46C3"/>
    <w:rsid w:val="00DA4A78"/>
    <w:rsid w:val="00DA5E86"/>
    <w:rsid w:val="00DA751A"/>
    <w:rsid w:val="00DA7895"/>
    <w:rsid w:val="00DB0029"/>
    <w:rsid w:val="00DB0958"/>
    <w:rsid w:val="00DB0F79"/>
    <w:rsid w:val="00DB25FC"/>
    <w:rsid w:val="00DB444A"/>
    <w:rsid w:val="00DB4E4C"/>
    <w:rsid w:val="00DB5AE7"/>
    <w:rsid w:val="00DB6325"/>
    <w:rsid w:val="00DB69A9"/>
    <w:rsid w:val="00DC081C"/>
    <w:rsid w:val="00DC284A"/>
    <w:rsid w:val="00DC470C"/>
    <w:rsid w:val="00DC5E89"/>
    <w:rsid w:val="00DC6148"/>
    <w:rsid w:val="00DC6B29"/>
    <w:rsid w:val="00DD2432"/>
    <w:rsid w:val="00DD3ACF"/>
    <w:rsid w:val="00DD43C2"/>
    <w:rsid w:val="00DD4641"/>
    <w:rsid w:val="00DD60EB"/>
    <w:rsid w:val="00DD6347"/>
    <w:rsid w:val="00DD74C1"/>
    <w:rsid w:val="00DD769C"/>
    <w:rsid w:val="00DE02B2"/>
    <w:rsid w:val="00DE0DB4"/>
    <w:rsid w:val="00DE19A3"/>
    <w:rsid w:val="00DE4B12"/>
    <w:rsid w:val="00DE5BB7"/>
    <w:rsid w:val="00DE7D67"/>
    <w:rsid w:val="00DF1B97"/>
    <w:rsid w:val="00DF1C12"/>
    <w:rsid w:val="00DF3C4D"/>
    <w:rsid w:val="00DF40EF"/>
    <w:rsid w:val="00DF4F7F"/>
    <w:rsid w:val="00E0005F"/>
    <w:rsid w:val="00E02902"/>
    <w:rsid w:val="00E057CF"/>
    <w:rsid w:val="00E05CF5"/>
    <w:rsid w:val="00E07D88"/>
    <w:rsid w:val="00E111D5"/>
    <w:rsid w:val="00E11576"/>
    <w:rsid w:val="00E11CBE"/>
    <w:rsid w:val="00E1533A"/>
    <w:rsid w:val="00E173FF"/>
    <w:rsid w:val="00E17C1F"/>
    <w:rsid w:val="00E2084E"/>
    <w:rsid w:val="00E21C08"/>
    <w:rsid w:val="00E234DF"/>
    <w:rsid w:val="00E257CE"/>
    <w:rsid w:val="00E2792A"/>
    <w:rsid w:val="00E31C86"/>
    <w:rsid w:val="00E3486D"/>
    <w:rsid w:val="00E3499A"/>
    <w:rsid w:val="00E353F9"/>
    <w:rsid w:val="00E37C8E"/>
    <w:rsid w:val="00E41362"/>
    <w:rsid w:val="00E415DE"/>
    <w:rsid w:val="00E41615"/>
    <w:rsid w:val="00E44908"/>
    <w:rsid w:val="00E44A67"/>
    <w:rsid w:val="00E50666"/>
    <w:rsid w:val="00E51684"/>
    <w:rsid w:val="00E52B00"/>
    <w:rsid w:val="00E53BDE"/>
    <w:rsid w:val="00E54A00"/>
    <w:rsid w:val="00E56D43"/>
    <w:rsid w:val="00E578E5"/>
    <w:rsid w:val="00E57FE9"/>
    <w:rsid w:val="00E639CB"/>
    <w:rsid w:val="00E66990"/>
    <w:rsid w:val="00E700AC"/>
    <w:rsid w:val="00E70271"/>
    <w:rsid w:val="00E7052A"/>
    <w:rsid w:val="00E71A7A"/>
    <w:rsid w:val="00E7263B"/>
    <w:rsid w:val="00E73992"/>
    <w:rsid w:val="00E74175"/>
    <w:rsid w:val="00E76937"/>
    <w:rsid w:val="00E76A60"/>
    <w:rsid w:val="00E77359"/>
    <w:rsid w:val="00E81667"/>
    <w:rsid w:val="00E84677"/>
    <w:rsid w:val="00E84CA3"/>
    <w:rsid w:val="00E867A4"/>
    <w:rsid w:val="00E868E4"/>
    <w:rsid w:val="00E91628"/>
    <w:rsid w:val="00E92126"/>
    <w:rsid w:val="00E92345"/>
    <w:rsid w:val="00E927ED"/>
    <w:rsid w:val="00E95B3D"/>
    <w:rsid w:val="00E96544"/>
    <w:rsid w:val="00E96BCF"/>
    <w:rsid w:val="00E97D0E"/>
    <w:rsid w:val="00EA5949"/>
    <w:rsid w:val="00EA66C8"/>
    <w:rsid w:val="00EB01DA"/>
    <w:rsid w:val="00EB0DDC"/>
    <w:rsid w:val="00EB1E62"/>
    <w:rsid w:val="00EB2361"/>
    <w:rsid w:val="00EB4B2C"/>
    <w:rsid w:val="00EB5094"/>
    <w:rsid w:val="00EB55AD"/>
    <w:rsid w:val="00EB6A25"/>
    <w:rsid w:val="00EB6C4F"/>
    <w:rsid w:val="00EB7294"/>
    <w:rsid w:val="00EB79D4"/>
    <w:rsid w:val="00EC008F"/>
    <w:rsid w:val="00EC03BC"/>
    <w:rsid w:val="00EC084D"/>
    <w:rsid w:val="00EC1F6E"/>
    <w:rsid w:val="00EC2EA9"/>
    <w:rsid w:val="00EC30BE"/>
    <w:rsid w:val="00EC4020"/>
    <w:rsid w:val="00EC505A"/>
    <w:rsid w:val="00EC7FB9"/>
    <w:rsid w:val="00ED1F98"/>
    <w:rsid w:val="00EE19BB"/>
    <w:rsid w:val="00EE22F2"/>
    <w:rsid w:val="00EE616B"/>
    <w:rsid w:val="00EE6406"/>
    <w:rsid w:val="00EE6808"/>
    <w:rsid w:val="00EF064F"/>
    <w:rsid w:val="00EF146B"/>
    <w:rsid w:val="00EF1833"/>
    <w:rsid w:val="00EF2FCD"/>
    <w:rsid w:val="00EF64AA"/>
    <w:rsid w:val="00EF736D"/>
    <w:rsid w:val="00F0098F"/>
    <w:rsid w:val="00F05A31"/>
    <w:rsid w:val="00F05C8E"/>
    <w:rsid w:val="00F06D6D"/>
    <w:rsid w:val="00F1049D"/>
    <w:rsid w:val="00F1323B"/>
    <w:rsid w:val="00F14984"/>
    <w:rsid w:val="00F14CE5"/>
    <w:rsid w:val="00F1716F"/>
    <w:rsid w:val="00F17480"/>
    <w:rsid w:val="00F202B6"/>
    <w:rsid w:val="00F20346"/>
    <w:rsid w:val="00F20B74"/>
    <w:rsid w:val="00F20C28"/>
    <w:rsid w:val="00F20D6F"/>
    <w:rsid w:val="00F21B88"/>
    <w:rsid w:val="00F22FBD"/>
    <w:rsid w:val="00F23AD9"/>
    <w:rsid w:val="00F24576"/>
    <w:rsid w:val="00F24F7F"/>
    <w:rsid w:val="00F258BE"/>
    <w:rsid w:val="00F31767"/>
    <w:rsid w:val="00F318EA"/>
    <w:rsid w:val="00F343F7"/>
    <w:rsid w:val="00F346BE"/>
    <w:rsid w:val="00F42911"/>
    <w:rsid w:val="00F4437D"/>
    <w:rsid w:val="00F44840"/>
    <w:rsid w:val="00F463D2"/>
    <w:rsid w:val="00F50313"/>
    <w:rsid w:val="00F51DA1"/>
    <w:rsid w:val="00F51E4E"/>
    <w:rsid w:val="00F54D79"/>
    <w:rsid w:val="00F56EBC"/>
    <w:rsid w:val="00F61692"/>
    <w:rsid w:val="00F6270C"/>
    <w:rsid w:val="00F7212C"/>
    <w:rsid w:val="00F72FC7"/>
    <w:rsid w:val="00F75CF7"/>
    <w:rsid w:val="00F76A09"/>
    <w:rsid w:val="00F7782F"/>
    <w:rsid w:val="00F80B86"/>
    <w:rsid w:val="00F811B1"/>
    <w:rsid w:val="00F8243A"/>
    <w:rsid w:val="00F82970"/>
    <w:rsid w:val="00F82F8F"/>
    <w:rsid w:val="00F83291"/>
    <w:rsid w:val="00F842C9"/>
    <w:rsid w:val="00F90BA7"/>
    <w:rsid w:val="00F90CD7"/>
    <w:rsid w:val="00F94C11"/>
    <w:rsid w:val="00F95709"/>
    <w:rsid w:val="00F96347"/>
    <w:rsid w:val="00F966D4"/>
    <w:rsid w:val="00F978FC"/>
    <w:rsid w:val="00FA015F"/>
    <w:rsid w:val="00FA4FDE"/>
    <w:rsid w:val="00FB0B3D"/>
    <w:rsid w:val="00FB2E1B"/>
    <w:rsid w:val="00FB3A05"/>
    <w:rsid w:val="00FB5653"/>
    <w:rsid w:val="00FB734B"/>
    <w:rsid w:val="00FB73BA"/>
    <w:rsid w:val="00FB7BA5"/>
    <w:rsid w:val="00FC2C27"/>
    <w:rsid w:val="00FC4282"/>
    <w:rsid w:val="00FC4D59"/>
    <w:rsid w:val="00FC6D2B"/>
    <w:rsid w:val="00FD152B"/>
    <w:rsid w:val="00FD2AEE"/>
    <w:rsid w:val="00FD49EB"/>
    <w:rsid w:val="00FD4E62"/>
    <w:rsid w:val="00FD54FC"/>
    <w:rsid w:val="00FD644E"/>
    <w:rsid w:val="00FD6B8F"/>
    <w:rsid w:val="00FE0A03"/>
    <w:rsid w:val="00FE1EE6"/>
    <w:rsid w:val="00FE3026"/>
    <w:rsid w:val="00FE4645"/>
    <w:rsid w:val="00FE4B3E"/>
    <w:rsid w:val="00FF09BE"/>
    <w:rsid w:val="00FF51E4"/>
    <w:rsid w:val="00FF556C"/>
    <w:rsid w:val="00FF7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64B21"/>
  <w15:chartTrackingRefBased/>
  <w15:docId w15:val="{066555E7-BD28-4824-A49E-4E5CF5EF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794DCB"/>
    <w:pPr>
      <w:spacing w:after="240" w:line="360" w:lineRule="auto"/>
      <w:ind w:left="567"/>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customStyle="1" w:styleId="JUDGMENTNUMBERED">
    <w:name w:val="JUDGMENT NUMBERED"/>
    <w:basedOn w:val="Normal"/>
    <w:next w:val="JUDGMENTCONTINUED"/>
    <w:link w:val="JUDGMENTNUMBEREDChar0"/>
    <w:qFormat/>
    <w:rsid w:val="00A9018F"/>
    <w:pPr>
      <w:numPr>
        <w:numId w:val="6"/>
      </w:numPr>
      <w:spacing w:after="0"/>
      <w:ind w:left="709" w:hanging="709"/>
    </w:pPr>
    <w:rPr>
      <w:rFonts w:eastAsia="Times New Roman" w:cs="Calibri"/>
      <w:szCs w:val="24"/>
      <w:lang w:val="en-US"/>
    </w:rPr>
  </w:style>
  <w:style w:type="paragraph" w:customStyle="1" w:styleId="JUDGMENTCONTINUED">
    <w:name w:val="JUDGMENT CONTINUED"/>
    <w:basedOn w:val="JUDGMENTNUMBERED"/>
    <w:next w:val="JUDGMENTNUMBERED"/>
    <w:qFormat/>
    <w:rsid w:val="00A9018F"/>
    <w:pPr>
      <w:numPr>
        <w:numId w:val="0"/>
      </w:numPr>
    </w:pPr>
  </w:style>
  <w:style w:type="character" w:customStyle="1" w:styleId="JUDGMENTNUMBEREDChar0">
    <w:name w:val="JUDGMENT NUMBERED Char"/>
    <w:basedOn w:val="DefaultParagraphFont"/>
    <w:link w:val="JUDGMENTNUMBERED"/>
    <w:locked/>
    <w:rsid w:val="00A9018F"/>
    <w:rPr>
      <w:rFonts w:ascii="Arial" w:eastAsia="Times New Roman" w:hAnsi="Arial" w:cs="Calibri"/>
      <w:sz w:val="24"/>
      <w:szCs w:val="24"/>
      <w:lang w:val="en-US"/>
    </w:rPr>
  </w:style>
  <w:style w:type="paragraph" w:customStyle="1" w:styleId="HEADING">
    <w:name w:val="HEADING"/>
    <w:basedOn w:val="Normal"/>
    <w:next w:val="JUDGMENTNUMBERED"/>
    <w:link w:val="HEADINGChar"/>
    <w:qFormat/>
    <w:rsid w:val="00A9018F"/>
    <w:pPr>
      <w:spacing w:after="0" w:line="480" w:lineRule="auto"/>
      <w:ind w:left="0"/>
    </w:pPr>
    <w:rPr>
      <w:rFonts w:eastAsia="Times New Roman" w:cs="Arial"/>
      <w:bCs/>
      <w:sz w:val="25"/>
      <w:szCs w:val="20"/>
      <w:u w:val="single"/>
      <w:lang w:val="en-US"/>
    </w:rPr>
  </w:style>
  <w:style w:type="character" w:customStyle="1" w:styleId="HEADINGChar">
    <w:name w:val="HEADING Char"/>
    <w:basedOn w:val="JUDGMENTNUMBEREDChar0"/>
    <w:link w:val="HEADING"/>
    <w:locked/>
    <w:rsid w:val="00A9018F"/>
    <w:rPr>
      <w:rFonts w:ascii="Arial" w:eastAsia="Times New Roman" w:hAnsi="Arial" w:cs="Arial"/>
      <w:bCs/>
      <w:sz w:val="25"/>
      <w:szCs w:val="20"/>
      <w:u w:val="single"/>
      <w:lang w:val="en-US"/>
    </w:rPr>
  </w:style>
  <w:style w:type="character" w:styleId="FootnoteReference">
    <w:name w:val="footnote reference"/>
    <w:basedOn w:val="DefaultParagraphFont"/>
    <w:uiPriority w:val="99"/>
    <w:semiHidden/>
    <w:rsid w:val="00523CFC"/>
  </w:style>
  <w:style w:type="paragraph" w:customStyle="1" w:styleId="Level1">
    <w:name w:val="Level 1"/>
    <w:basedOn w:val="Normal"/>
    <w:uiPriority w:val="99"/>
    <w:rsid w:val="00647C92"/>
    <w:pPr>
      <w:widowControl w:val="0"/>
      <w:autoSpaceDE w:val="0"/>
      <w:autoSpaceDN w:val="0"/>
      <w:adjustRightInd w:val="0"/>
      <w:spacing w:after="0" w:line="240" w:lineRule="auto"/>
      <w:ind w:left="0" w:hanging="567"/>
      <w:jc w:val="left"/>
      <w:outlineLvl w:val="0"/>
    </w:pPr>
    <w:rPr>
      <w:rFonts w:eastAsia="Times New Roman" w:cs="Arial"/>
      <w:szCs w:val="24"/>
      <w:lang w:val="en-US"/>
      <w14:ligatures w14:val="standardContextual"/>
    </w:rPr>
  </w:style>
  <w:style w:type="paragraph" w:customStyle="1" w:styleId="i">
    <w:name w:val="i"/>
    <w:aliases w:val="ii,iii"/>
    <w:basedOn w:val="Normal"/>
    <w:uiPriority w:val="99"/>
    <w:rsid w:val="00647C92"/>
    <w:pPr>
      <w:widowControl w:val="0"/>
      <w:numPr>
        <w:numId w:val="8"/>
      </w:numPr>
      <w:autoSpaceDE w:val="0"/>
      <w:autoSpaceDN w:val="0"/>
      <w:adjustRightInd w:val="0"/>
      <w:spacing w:after="0" w:line="240" w:lineRule="auto"/>
      <w:ind w:left="720" w:hanging="720"/>
      <w:jc w:val="left"/>
    </w:pPr>
    <w:rPr>
      <w:rFonts w:eastAsia="Times New Roman" w:cs="Arial"/>
      <w:szCs w:val="24"/>
      <w:lang w:val="en-US"/>
      <w14:ligatures w14:val="standardContextual"/>
    </w:rPr>
  </w:style>
  <w:style w:type="paragraph" w:styleId="FootnoteText">
    <w:name w:val="footnote text"/>
    <w:basedOn w:val="Normal"/>
    <w:link w:val="FootnoteTextChar"/>
    <w:uiPriority w:val="99"/>
    <w:unhideWhenUsed/>
    <w:rsid w:val="006F677A"/>
    <w:pPr>
      <w:spacing w:after="0" w:line="240" w:lineRule="auto"/>
    </w:pPr>
    <w:rPr>
      <w:sz w:val="20"/>
      <w:szCs w:val="20"/>
    </w:rPr>
  </w:style>
  <w:style w:type="character" w:customStyle="1" w:styleId="FootnoteTextChar">
    <w:name w:val="Footnote Text Char"/>
    <w:basedOn w:val="DefaultParagraphFont"/>
    <w:link w:val="FootnoteText"/>
    <w:uiPriority w:val="99"/>
    <w:rsid w:val="006F677A"/>
    <w:rPr>
      <w:rFonts w:ascii="Arial" w:hAnsi="Arial"/>
      <w:sz w:val="20"/>
      <w:szCs w:val="20"/>
      <w:lang w:val="en-GB"/>
    </w:rPr>
  </w:style>
  <w:style w:type="character" w:styleId="Hyperlink">
    <w:name w:val="Hyperlink"/>
    <w:basedOn w:val="DefaultParagraphFont"/>
    <w:uiPriority w:val="99"/>
    <w:unhideWhenUsed/>
    <w:rsid w:val="00593D1B"/>
    <w:rPr>
      <w:color w:val="0563C1" w:themeColor="hyperlink"/>
      <w:u w:val="single"/>
    </w:rPr>
  </w:style>
  <w:style w:type="character" w:customStyle="1" w:styleId="UnresolvedMention1">
    <w:name w:val="Unresolved Mention1"/>
    <w:basedOn w:val="DefaultParagraphFont"/>
    <w:uiPriority w:val="99"/>
    <w:semiHidden/>
    <w:unhideWhenUsed/>
    <w:rsid w:val="00593D1B"/>
    <w:rPr>
      <w:color w:val="605E5C"/>
      <w:shd w:val="clear" w:color="auto" w:fill="E1DFDD"/>
    </w:rPr>
  </w:style>
  <w:style w:type="paragraph" w:customStyle="1" w:styleId="MainParagraphNumber">
    <w:name w:val="Main Paragraph Number"/>
    <w:basedOn w:val="Normal"/>
    <w:link w:val="MainParagraphNumberChar"/>
    <w:qFormat/>
    <w:rsid w:val="00236F78"/>
    <w:pPr>
      <w:numPr>
        <w:numId w:val="9"/>
      </w:numPr>
      <w:spacing w:after="160" w:line="276" w:lineRule="auto"/>
      <w:ind w:left="0" w:firstLine="0"/>
    </w:pPr>
    <w:rPr>
      <w:szCs w:val="24"/>
    </w:rPr>
  </w:style>
  <w:style w:type="character" w:customStyle="1" w:styleId="MainParagraphNumberChar">
    <w:name w:val="Main Paragraph Number Char"/>
    <w:basedOn w:val="DefaultParagraphFont"/>
    <w:link w:val="MainParagraphNumber"/>
    <w:rsid w:val="00236F78"/>
    <w:rPr>
      <w:rFonts w:ascii="Arial" w:hAnsi="Arial"/>
      <w:sz w:val="24"/>
      <w:szCs w:val="24"/>
    </w:rPr>
  </w:style>
  <w:style w:type="paragraph" w:styleId="Header">
    <w:name w:val="header"/>
    <w:basedOn w:val="Normal"/>
    <w:link w:val="HeaderChar"/>
    <w:uiPriority w:val="99"/>
    <w:unhideWhenUsed/>
    <w:rsid w:val="0023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144"/>
    <w:rPr>
      <w:rFonts w:ascii="Arial" w:hAnsi="Arial"/>
      <w:sz w:val="24"/>
    </w:rPr>
  </w:style>
  <w:style w:type="paragraph" w:styleId="Footer">
    <w:name w:val="footer"/>
    <w:basedOn w:val="Normal"/>
    <w:link w:val="FooterChar"/>
    <w:uiPriority w:val="99"/>
    <w:unhideWhenUsed/>
    <w:rsid w:val="0023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14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Local\Microsoft\Windows\INetCache\Content.Outlook\E8JWXGMU\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75EC-6255-4EC2-B6A6-031A8A30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1</TotalTime>
  <Pages>18</Pages>
  <Words>4691</Words>
  <Characters>26743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Krisjan Korf</dc:creator>
  <cp:keywords/>
  <dc:description/>
  <cp:lastModifiedBy>sathish sarshan  mohan</cp:lastModifiedBy>
  <cp:revision>3</cp:revision>
  <cp:lastPrinted>2024-03-01T13:27:00Z</cp:lastPrinted>
  <dcterms:created xsi:type="dcterms:W3CDTF">2024-03-05T13:41:00Z</dcterms:created>
  <dcterms:modified xsi:type="dcterms:W3CDTF">2024-03-06T11:23:00Z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9fea7fb9deab40bde72af2a7d746fefe1c4c64cef2ec10fc9363121bbbb07cce</vt:lpwstr>
  </property>
</Properties>
</file>