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1421" w14:textId="1F039A82" w:rsidR="006C43D7" w:rsidRPr="007811C6" w:rsidRDefault="00AD3D5D" w:rsidP="006F0330">
      <w:pPr>
        <w:spacing w:after="120" w:line="360" w:lineRule="auto"/>
        <w:jc w:val="center"/>
        <w:rPr>
          <w:rFonts w:cs="Arial"/>
          <w:b/>
          <w:bCs/>
          <w:szCs w:val="22"/>
        </w:rPr>
      </w:pPr>
      <w:r w:rsidRPr="007811C6">
        <w:rPr>
          <w:rFonts w:cs="Arial"/>
          <w:b/>
          <w:bCs/>
          <w:szCs w:val="22"/>
        </w:rPr>
        <w:t xml:space="preserve"> </w:t>
      </w:r>
      <w:r w:rsidR="006C43D7" w:rsidRPr="007811C6">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7811C6" w:rsidRDefault="006C43D7" w:rsidP="00C74E97">
      <w:pPr>
        <w:spacing w:line="360" w:lineRule="auto"/>
        <w:jc w:val="center"/>
        <w:rPr>
          <w:rFonts w:cs="Arial"/>
          <w:b/>
          <w:szCs w:val="22"/>
        </w:rPr>
      </w:pPr>
      <w:r w:rsidRPr="007811C6">
        <w:rPr>
          <w:rFonts w:cs="Arial"/>
          <w:b/>
          <w:szCs w:val="22"/>
        </w:rPr>
        <w:t xml:space="preserve">IN THE HIGH COURT OF SOUTH AFRICA, </w:t>
      </w:r>
    </w:p>
    <w:p w14:paraId="566C4D1B" w14:textId="77777777" w:rsidR="006C43D7" w:rsidRPr="007811C6" w:rsidRDefault="006C43D7" w:rsidP="00C74E97">
      <w:pPr>
        <w:spacing w:line="360" w:lineRule="auto"/>
        <w:jc w:val="center"/>
        <w:rPr>
          <w:rFonts w:cs="Arial"/>
          <w:b/>
          <w:szCs w:val="22"/>
        </w:rPr>
      </w:pPr>
      <w:r w:rsidRPr="007811C6">
        <w:rPr>
          <w:rFonts w:cs="Arial"/>
          <w:b/>
          <w:szCs w:val="22"/>
        </w:rPr>
        <w:t>GAUTENG DIVISION, JOHANNESBURG</w:t>
      </w:r>
    </w:p>
    <w:p w14:paraId="13D6E83E" w14:textId="77777777" w:rsidR="006C43D7" w:rsidRPr="007811C6" w:rsidRDefault="006C43D7" w:rsidP="00C74E97">
      <w:pPr>
        <w:spacing w:line="360" w:lineRule="auto"/>
        <w:jc w:val="both"/>
        <w:rPr>
          <w:rFonts w:cs="Arial"/>
          <w:b/>
          <w:szCs w:val="22"/>
        </w:rPr>
      </w:pPr>
    </w:p>
    <w:p w14:paraId="0AF8DD38" w14:textId="76A852D7" w:rsidR="006C43D7" w:rsidRPr="007811C6" w:rsidRDefault="00F913C7" w:rsidP="00C74E97">
      <w:pPr>
        <w:spacing w:line="360" w:lineRule="auto"/>
        <w:jc w:val="right"/>
        <w:rPr>
          <w:rFonts w:cs="Arial"/>
          <w:b/>
          <w:szCs w:val="22"/>
        </w:rPr>
      </w:pPr>
      <w:r w:rsidRPr="007811C6">
        <w:rPr>
          <w:rFonts w:cs="Arial"/>
          <w:b/>
          <w:szCs w:val="22"/>
        </w:rPr>
        <w:t xml:space="preserve">CASE NO: </w:t>
      </w:r>
      <w:r w:rsidR="00545A4F">
        <w:rPr>
          <w:noProof/>
          <w:lang w:eastAsia="en-ZA"/>
        </w:rPr>
        <mc:AlternateContent>
          <mc:Choice Requires="wps">
            <w:drawing>
              <wp:anchor distT="0" distB="0" distL="114300" distR="114300" simplePos="0" relativeHeight="251659264" behindDoc="0" locked="0" layoutInCell="1" allowOverlap="1" wp14:anchorId="563837DC" wp14:editId="634C06A8">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298DB8E3" w:rsidR="00893C08" w:rsidRPr="008E2A22" w:rsidRDefault="00893C08" w:rsidP="00FC42BD">
                            <w:pPr>
                              <w:numPr>
                                <w:ilvl w:val="0"/>
                                <w:numId w:val="2"/>
                              </w:numPr>
                              <w:rPr>
                                <w:rFonts w:ascii="Century Gothic" w:hAnsi="Century Gothic"/>
                                <w:sz w:val="19"/>
                                <w:szCs w:val="19"/>
                              </w:rPr>
                            </w:pPr>
                            <w:r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20C60BA6" w:rsidR="00893C08" w:rsidRPr="008E2A22" w:rsidRDefault="00893C08" w:rsidP="00FC42BD">
                            <w:pPr>
                              <w:numPr>
                                <w:ilvl w:val="0"/>
                                <w:numId w:val="2"/>
                              </w:numPr>
                              <w:rPr>
                                <w:rFonts w:ascii="Century Gothic" w:hAnsi="Century Gothic"/>
                                <w:sz w:val="19"/>
                                <w:szCs w:val="19"/>
                              </w:rPr>
                            </w:pPr>
                            <w:r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837D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298DB8E3" w:rsidR="00893C08" w:rsidRPr="008E2A22" w:rsidRDefault="00893C08" w:rsidP="00FC42BD">
                      <w:pPr>
                        <w:numPr>
                          <w:ilvl w:val="0"/>
                          <w:numId w:val="2"/>
                        </w:numPr>
                        <w:rPr>
                          <w:rFonts w:ascii="Century Gothic" w:hAnsi="Century Gothic"/>
                          <w:sz w:val="19"/>
                          <w:szCs w:val="19"/>
                        </w:rPr>
                      </w:pPr>
                      <w:r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20C60BA6" w:rsidR="00893C08" w:rsidRPr="008E2A22" w:rsidRDefault="00893C08" w:rsidP="00FC42BD">
                      <w:pPr>
                        <w:numPr>
                          <w:ilvl w:val="0"/>
                          <w:numId w:val="2"/>
                        </w:numPr>
                        <w:rPr>
                          <w:rFonts w:ascii="Century Gothic" w:hAnsi="Century Gothic"/>
                          <w:sz w:val="19"/>
                          <w:szCs w:val="19"/>
                        </w:rPr>
                      </w:pPr>
                      <w:r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236E47" w:rsidRPr="007811C6">
        <w:rPr>
          <w:rFonts w:cs="Arial"/>
          <w:b/>
          <w:szCs w:val="22"/>
        </w:rPr>
        <w:t>202</w:t>
      </w:r>
      <w:r w:rsidR="008A32BD" w:rsidRPr="007811C6">
        <w:rPr>
          <w:rFonts w:cs="Arial"/>
          <w:b/>
          <w:szCs w:val="22"/>
        </w:rPr>
        <w:t>2</w:t>
      </w:r>
      <w:r w:rsidR="00515FD8" w:rsidRPr="007811C6">
        <w:rPr>
          <w:rFonts w:cs="Arial"/>
          <w:b/>
          <w:szCs w:val="22"/>
        </w:rPr>
        <w:t xml:space="preserve"> - </w:t>
      </w:r>
      <w:r w:rsidR="004D692E" w:rsidRPr="007811C6">
        <w:rPr>
          <w:rFonts w:cs="Arial"/>
          <w:b/>
          <w:szCs w:val="22"/>
        </w:rPr>
        <w:t>05</w:t>
      </w:r>
      <w:r w:rsidR="00D622E5" w:rsidRPr="007811C6">
        <w:rPr>
          <w:rFonts w:cs="Arial"/>
          <w:b/>
          <w:szCs w:val="22"/>
        </w:rPr>
        <w:t>6297</w:t>
      </w:r>
    </w:p>
    <w:p w14:paraId="084B5ECD" w14:textId="77777777" w:rsidR="006C43D7" w:rsidRPr="007811C6" w:rsidRDefault="006C43D7" w:rsidP="00C74E97">
      <w:pPr>
        <w:spacing w:line="360" w:lineRule="auto"/>
        <w:jc w:val="both"/>
        <w:rPr>
          <w:rFonts w:cs="Arial"/>
          <w:szCs w:val="22"/>
        </w:rPr>
      </w:pPr>
    </w:p>
    <w:p w14:paraId="4E808D74" w14:textId="77777777" w:rsidR="006C43D7" w:rsidRPr="007811C6" w:rsidRDefault="006C43D7" w:rsidP="00C74E97">
      <w:pPr>
        <w:spacing w:line="360" w:lineRule="auto"/>
        <w:jc w:val="both"/>
        <w:rPr>
          <w:rFonts w:cs="Arial"/>
          <w:szCs w:val="22"/>
        </w:rPr>
      </w:pPr>
    </w:p>
    <w:p w14:paraId="34BF70B6" w14:textId="77777777" w:rsidR="006C43D7" w:rsidRPr="007811C6" w:rsidRDefault="006C43D7" w:rsidP="00C74E97">
      <w:pPr>
        <w:spacing w:line="360" w:lineRule="auto"/>
        <w:jc w:val="both"/>
        <w:rPr>
          <w:rFonts w:cs="Arial"/>
          <w:szCs w:val="22"/>
        </w:rPr>
      </w:pPr>
    </w:p>
    <w:p w14:paraId="2F53BA3A" w14:textId="7CE26CA8" w:rsidR="006C43D7" w:rsidRPr="007811C6" w:rsidRDefault="00C56E55" w:rsidP="00C74E97">
      <w:pPr>
        <w:spacing w:line="360" w:lineRule="auto"/>
        <w:jc w:val="both"/>
        <w:rPr>
          <w:rFonts w:cs="Arial"/>
          <w:szCs w:val="22"/>
        </w:rPr>
      </w:pPr>
      <w:r w:rsidRPr="007811C6">
        <w:rPr>
          <w:rFonts w:cs="Arial"/>
          <w:szCs w:val="22"/>
        </w:rPr>
        <w:t xml:space="preserve">                        </w:t>
      </w:r>
      <w:bookmarkStart w:id="0" w:name="_GoBack"/>
      <w:bookmarkEnd w:id="0"/>
    </w:p>
    <w:p w14:paraId="3A1C212E" w14:textId="77777777" w:rsidR="006C43D7" w:rsidRPr="007811C6" w:rsidRDefault="006C43D7" w:rsidP="00C74E97">
      <w:pPr>
        <w:spacing w:line="360" w:lineRule="auto"/>
        <w:jc w:val="both"/>
        <w:rPr>
          <w:rFonts w:cs="Arial"/>
          <w:szCs w:val="22"/>
        </w:rPr>
      </w:pPr>
    </w:p>
    <w:p w14:paraId="04919B1B" w14:textId="77777777" w:rsidR="001D3CC2" w:rsidRPr="007811C6" w:rsidRDefault="001D3CC2" w:rsidP="00C74E97">
      <w:pPr>
        <w:spacing w:line="360" w:lineRule="auto"/>
        <w:jc w:val="both"/>
        <w:rPr>
          <w:rFonts w:cs="Arial"/>
          <w:szCs w:val="22"/>
        </w:rPr>
      </w:pPr>
    </w:p>
    <w:p w14:paraId="045D3852" w14:textId="77777777" w:rsidR="00E57446" w:rsidRPr="007811C6" w:rsidRDefault="00E57446" w:rsidP="00C74E97">
      <w:pPr>
        <w:spacing w:line="360" w:lineRule="auto"/>
        <w:jc w:val="both"/>
        <w:rPr>
          <w:rFonts w:cs="Arial"/>
          <w:szCs w:val="22"/>
        </w:rPr>
      </w:pPr>
    </w:p>
    <w:p w14:paraId="2804C32A" w14:textId="6C8D50AF" w:rsidR="00E57446" w:rsidRPr="007811C6" w:rsidRDefault="00E57446" w:rsidP="00C74E97">
      <w:pPr>
        <w:spacing w:line="360" w:lineRule="auto"/>
        <w:jc w:val="both"/>
        <w:rPr>
          <w:rFonts w:cs="Arial"/>
          <w:szCs w:val="22"/>
        </w:rPr>
      </w:pPr>
      <w:r w:rsidRPr="007811C6">
        <w:rPr>
          <w:rFonts w:cs="Arial"/>
          <w:szCs w:val="22"/>
        </w:rPr>
        <w:t>In the application by</w:t>
      </w:r>
    </w:p>
    <w:p w14:paraId="4521E045" w14:textId="77777777" w:rsidR="00D33A54" w:rsidRPr="007811C6" w:rsidRDefault="00D33A54"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6D2C78" w:rsidRPr="007811C6" w14:paraId="45DDD515" w14:textId="77777777" w:rsidTr="00430142">
        <w:tc>
          <w:tcPr>
            <w:tcW w:w="6223" w:type="dxa"/>
          </w:tcPr>
          <w:p w14:paraId="1D80B320" w14:textId="4DB43BE1" w:rsidR="006D2C78" w:rsidRPr="007811C6" w:rsidRDefault="006D2C78" w:rsidP="004D692E">
            <w:pPr>
              <w:tabs>
                <w:tab w:val="right" w:pos="9070"/>
              </w:tabs>
              <w:spacing w:before="120" w:after="120"/>
              <w:rPr>
                <w:rFonts w:cs="Arial"/>
                <w:b/>
                <w:szCs w:val="22"/>
              </w:rPr>
            </w:pPr>
            <w:r w:rsidRPr="007811C6">
              <w:rPr>
                <w:rFonts w:cs="Arial"/>
                <w:b/>
                <w:bCs/>
                <w:szCs w:val="22"/>
              </w:rPr>
              <w:t>NEDBANK LTD</w:t>
            </w:r>
          </w:p>
        </w:tc>
        <w:tc>
          <w:tcPr>
            <w:tcW w:w="2318" w:type="dxa"/>
          </w:tcPr>
          <w:p w14:paraId="6D648F64" w14:textId="093566C0" w:rsidR="006D2C78" w:rsidRPr="007811C6" w:rsidRDefault="006D2C78" w:rsidP="004D692E">
            <w:pPr>
              <w:spacing w:before="120" w:after="120"/>
              <w:rPr>
                <w:rFonts w:cs="Arial"/>
                <w:szCs w:val="22"/>
              </w:rPr>
            </w:pPr>
            <w:r w:rsidRPr="007811C6">
              <w:rPr>
                <w:rFonts w:cs="Arial"/>
                <w:szCs w:val="22"/>
              </w:rPr>
              <w:t>Excipient</w:t>
            </w:r>
          </w:p>
        </w:tc>
      </w:tr>
      <w:tr w:rsidR="006D2C78" w:rsidRPr="007811C6" w14:paraId="24559D6E" w14:textId="77777777" w:rsidTr="00430142">
        <w:tc>
          <w:tcPr>
            <w:tcW w:w="6223" w:type="dxa"/>
          </w:tcPr>
          <w:p w14:paraId="72B12A05" w14:textId="6F56FC50" w:rsidR="006D2C78" w:rsidRPr="007811C6" w:rsidRDefault="0015748A" w:rsidP="004D692E">
            <w:pPr>
              <w:tabs>
                <w:tab w:val="right" w:pos="9070"/>
              </w:tabs>
              <w:spacing w:before="120" w:after="120"/>
              <w:rPr>
                <w:rFonts w:cs="Arial"/>
                <w:b/>
                <w:szCs w:val="22"/>
              </w:rPr>
            </w:pPr>
            <w:r w:rsidRPr="007811C6">
              <w:rPr>
                <w:rFonts w:cs="Arial"/>
                <w:b/>
                <w:szCs w:val="22"/>
              </w:rPr>
              <w:t>A</w:t>
            </w:r>
            <w:r w:rsidR="006D2C78" w:rsidRPr="007811C6">
              <w:rPr>
                <w:rFonts w:cs="Arial"/>
                <w:b/>
                <w:szCs w:val="22"/>
              </w:rPr>
              <w:t>nd</w:t>
            </w:r>
          </w:p>
        </w:tc>
        <w:tc>
          <w:tcPr>
            <w:tcW w:w="2318" w:type="dxa"/>
          </w:tcPr>
          <w:p w14:paraId="11A5E52D" w14:textId="77777777" w:rsidR="006D2C78" w:rsidRPr="007811C6" w:rsidRDefault="006D2C78" w:rsidP="004D692E">
            <w:pPr>
              <w:spacing w:before="120" w:after="120"/>
              <w:rPr>
                <w:rFonts w:cs="Arial"/>
                <w:szCs w:val="22"/>
              </w:rPr>
            </w:pPr>
          </w:p>
        </w:tc>
      </w:tr>
      <w:tr w:rsidR="006D2C78" w:rsidRPr="007811C6" w14:paraId="30F9C0CD" w14:textId="77777777" w:rsidTr="00430142">
        <w:tc>
          <w:tcPr>
            <w:tcW w:w="6223" w:type="dxa"/>
          </w:tcPr>
          <w:p w14:paraId="3CDB657A" w14:textId="0AD8C610" w:rsidR="006D2C78" w:rsidRPr="007811C6" w:rsidRDefault="006D2C78" w:rsidP="004D692E">
            <w:pPr>
              <w:tabs>
                <w:tab w:val="right" w:pos="9070"/>
              </w:tabs>
              <w:spacing w:before="120" w:after="120"/>
              <w:rPr>
                <w:rFonts w:cs="Arial"/>
                <w:b/>
                <w:szCs w:val="22"/>
              </w:rPr>
            </w:pPr>
            <w:r w:rsidRPr="007811C6">
              <w:rPr>
                <w:rFonts w:cs="Arial"/>
                <w:b/>
                <w:szCs w:val="22"/>
              </w:rPr>
              <w:t>CHLORCAPE (PTY) LTD</w:t>
            </w:r>
          </w:p>
        </w:tc>
        <w:tc>
          <w:tcPr>
            <w:tcW w:w="2318" w:type="dxa"/>
          </w:tcPr>
          <w:p w14:paraId="47D0D149" w14:textId="5815B864" w:rsidR="006D2C78" w:rsidRPr="007811C6" w:rsidRDefault="006D2C78" w:rsidP="004D692E">
            <w:pPr>
              <w:spacing w:before="120" w:after="120"/>
              <w:rPr>
                <w:rFonts w:cs="Arial"/>
                <w:szCs w:val="22"/>
              </w:rPr>
            </w:pPr>
            <w:r w:rsidRPr="007811C6">
              <w:rPr>
                <w:rFonts w:cs="Arial"/>
                <w:szCs w:val="22"/>
              </w:rPr>
              <w:t>Respondent</w:t>
            </w:r>
          </w:p>
        </w:tc>
      </w:tr>
      <w:tr w:rsidR="006D2C78" w:rsidRPr="007811C6" w14:paraId="33D4E7E4" w14:textId="77777777" w:rsidTr="00430142">
        <w:tc>
          <w:tcPr>
            <w:tcW w:w="6223" w:type="dxa"/>
          </w:tcPr>
          <w:p w14:paraId="10D0AE2D" w14:textId="77777777" w:rsidR="006D2C78" w:rsidRPr="007811C6" w:rsidRDefault="006D2C78" w:rsidP="004D692E">
            <w:pPr>
              <w:tabs>
                <w:tab w:val="right" w:pos="9070"/>
              </w:tabs>
              <w:spacing w:before="120" w:after="120"/>
              <w:rPr>
                <w:rFonts w:cs="Arial"/>
                <w:bCs/>
                <w:i/>
                <w:iCs/>
                <w:szCs w:val="22"/>
              </w:rPr>
            </w:pPr>
          </w:p>
          <w:p w14:paraId="3CC124BC" w14:textId="544FB49C" w:rsidR="006D2C78" w:rsidRPr="007811C6" w:rsidRDefault="006D2C78" w:rsidP="004D692E">
            <w:pPr>
              <w:tabs>
                <w:tab w:val="right" w:pos="9070"/>
              </w:tabs>
              <w:spacing w:before="120" w:after="120"/>
              <w:rPr>
                <w:rFonts w:cs="Arial"/>
                <w:bCs/>
                <w:i/>
                <w:iCs/>
                <w:szCs w:val="22"/>
              </w:rPr>
            </w:pPr>
            <w:r w:rsidRPr="007811C6">
              <w:rPr>
                <w:rFonts w:cs="Arial"/>
                <w:bCs/>
                <w:i/>
                <w:iCs/>
                <w:szCs w:val="22"/>
              </w:rPr>
              <w:t>In re</w:t>
            </w:r>
          </w:p>
        </w:tc>
        <w:tc>
          <w:tcPr>
            <w:tcW w:w="2318" w:type="dxa"/>
          </w:tcPr>
          <w:p w14:paraId="58AB0468" w14:textId="77777777" w:rsidR="006D2C78" w:rsidRPr="007811C6" w:rsidRDefault="006D2C78" w:rsidP="004D692E">
            <w:pPr>
              <w:spacing w:before="120" w:after="120"/>
              <w:rPr>
                <w:rFonts w:cs="Arial"/>
                <w:szCs w:val="22"/>
              </w:rPr>
            </w:pPr>
          </w:p>
        </w:tc>
      </w:tr>
      <w:tr w:rsidR="00E57446" w:rsidRPr="007811C6" w14:paraId="4CBFF906" w14:textId="77777777" w:rsidTr="00430142">
        <w:tc>
          <w:tcPr>
            <w:tcW w:w="6223" w:type="dxa"/>
          </w:tcPr>
          <w:p w14:paraId="07466740" w14:textId="30B69E3C" w:rsidR="004D692E" w:rsidRPr="007811C6" w:rsidRDefault="006D2C78" w:rsidP="004D692E">
            <w:pPr>
              <w:tabs>
                <w:tab w:val="right" w:pos="9070"/>
              </w:tabs>
              <w:spacing w:before="120" w:after="120"/>
              <w:rPr>
                <w:rFonts w:cs="Arial"/>
                <w:b/>
                <w:szCs w:val="22"/>
              </w:rPr>
            </w:pPr>
            <w:r w:rsidRPr="007811C6">
              <w:rPr>
                <w:rFonts w:cs="Arial"/>
                <w:b/>
                <w:szCs w:val="22"/>
              </w:rPr>
              <w:t>CHLORCAPE (PTY) LTD</w:t>
            </w:r>
          </w:p>
        </w:tc>
        <w:tc>
          <w:tcPr>
            <w:tcW w:w="2318" w:type="dxa"/>
          </w:tcPr>
          <w:p w14:paraId="32F3C456" w14:textId="136C40FD" w:rsidR="00E57446" w:rsidRPr="007811C6" w:rsidRDefault="006D2C78" w:rsidP="004D692E">
            <w:pPr>
              <w:spacing w:before="120" w:after="120"/>
              <w:rPr>
                <w:rFonts w:cs="Arial"/>
                <w:szCs w:val="22"/>
              </w:rPr>
            </w:pPr>
            <w:r w:rsidRPr="007811C6">
              <w:rPr>
                <w:rFonts w:cs="Arial"/>
                <w:szCs w:val="22"/>
              </w:rPr>
              <w:t>Plaintiff</w:t>
            </w:r>
          </w:p>
        </w:tc>
      </w:tr>
      <w:tr w:rsidR="004D692E" w:rsidRPr="007811C6" w14:paraId="5A40BF28" w14:textId="77777777" w:rsidTr="00430142">
        <w:tc>
          <w:tcPr>
            <w:tcW w:w="6223" w:type="dxa"/>
          </w:tcPr>
          <w:p w14:paraId="59227E71" w14:textId="4C287474" w:rsidR="004D692E" w:rsidRPr="007811C6" w:rsidRDefault="0015748A" w:rsidP="004D692E">
            <w:pPr>
              <w:tabs>
                <w:tab w:val="right" w:pos="9026"/>
              </w:tabs>
              <w:spacing w:before="120" w:after="120"/>
              <w:rPr>
                <w:rFonts w:cs="Arial"/>
                <w:b/>
                <w:bCs/>
                <w:szCs w:val="22"/>
              </w:rPr>
            </w:pPr>
            <w:r w:rsidRPr="007811C6">
              <w:rPr>
                <w:rFonts w:cs="Arial"/>
                <w:b/>
                <w:bCs/>
                <w:szCs w:val="22"/>
              </w:rPr>
              <w:t>A</w:t>
            </w:r>
            <w:r w:rsidR="006D2C78" w:rsidRPr="007811C6">
              <w:rPr>
                <w:rFonts w:cs="Arial"/>
                <w:b/>
                <w:bCs/>
                <w:szCs w:val="22"/>
              </w:rPr>
              <w:t>nd</w:t>
            </w:r>
          </w:p>
        </w:tc>
        <w:tc>
          <w:tcPr>
            <w:tcW w:w="2318" w:type="dxa"/>
          </w:tcPr>
          <w:p w14:paraId="1B59ACA4" w14:textId="50380A74" w:rsidR="004D692E" w:rsidRPr="007811C6" w:rsidRDefault="004D692E" w:rsidP="004D692E">
            <w:pPr>
              <w:spacing w:before="120" w:after="120"/>
              <w:rPr>
                <w:rFonts w:cs="Arial"/>
                <w:szCs w:val="22"/>
              </w:rPr>
            </w:pPr>
          </w:p>
        </w:tc>
      </w:tr>
      <w:tr w:rsidR="00E57446" w:rsidRPr="007811C6" w14:paraId="582D8E94" w14:textId="77777777" w:rsidTr="00430142">
        <w:tc>
          <w:tcPr>
            <w:tcW w:w="6223" w:type="dxa"/>
          </w:tcPr>
          <w:p w14:paraId="7BC13697" w14:textId="535F1EA7" w:rsidR="00E37B97" w:rsidRPr="007811C6" w:rsidRDefault="006D2C78" w:rsidP="004D692E">
            <w:pPr>
              <w:tabs>
                <w:tab w:val="right" w:pos="9026"/>
              </w:tabs>
              <w:spacing w:before="120" w:after="120"/>
              <w:rPr>
                <w:rFonts w:cs="Arial"/>
                <w:b/>
                <w:bCs/>
                <w:szCs w:val="22"/>
              </w:rPr>
            </w:pPr>
            <w:r w:rsidRPr="007811C6">
              <w:rPr>
                <w:rFonts w:cs="Arial"/>
                <w:b/>
                <w:bCs/>
                <w:szCs w:val="22"/>
              </w:rPr>
              <w:t>NEDBANK LTD</w:t>
            </w:r>
          </w:p>
        </w:tc>
        <w:tc>
          <w:tcPr>
            <w:tcW w:w="2318" w:type="dxa"/>
          </w:tcPr>
          <w:p w14:paraId="3E582FC6" w14:textId="0F3CC888" w:rsidR="00E57446" w:rsidRPr="007811C6" w:rsidRDefault="006D2C78" w:rsidP="004D692E">
            <w:pPr>
              <w:spacing w:before="120" w:after="120"/>
              <w:rPr>
                <w:rFonts w:cs="Arial"/>
                <w:szCs w:val="22"/>
              </w:rPr>
            </w:pPr>
            <w:r w:rsidRPr="007811C6">
              <w:rPr>
                <w:rFonts w:cs="Arial"/>
                <w:szCs w:val="22"/>
              </w:rPr>
              <w:t>First Defendant</w:t>
            </w:r>
          </w:p>
        </w:tc>
      </w:tr>
      <w:tr w:rsidR="000F00EF" w:rsidRPr="007811C6" w14:paraId="72126C43" w14:textId="77777777" w:rsidTr="00430142">
        <w:tc>
          <w:tcPr>
            <w:tcW w:w="6223" w:type="dxa"/>
          </w:tcPr>
          <w:p w14:paraId="35C8FDE9" w14:textId="721714A6" w:rsidR="00E37B97" w:rsidRPr="007811C6" w:rsidRDefault="006D2C78" w:rsidP="004D692E">
            <w:pPr>
              <w:tabs>
                <w:tab w:val="right" w:pos="9070"/>
              </w:tabs>
              <w:spacing w:before="120" w:after="120"/>
              <w:rPr>
                <w:rFonts w:cs="Arial"/>
                <w:b/>
                <w:bCs/>
                <w:szCs w:val="22"/>
              </w:rPr>
            </w:pPr>
            <w:r w:rsidRPr="007811C6">
              <w:rPr>
                <w:rFonts w:cs="Arial"/>
                <w:b/>
                <w:bCs/>
                <w:szCs w:val="22"/>
              </w:rPr>
              <w:t>QUENTAIVER MEI TRADING (PTY) LTD</w:t>
            </w:r>
          </w:p>
        </w:tc>
        <w:tc>
          <w:tcPr>
            <w:tcW w:w="2318" w:type="dxa"/>
          </w:tcPr>
          <w:p w14:paraId="7AC1A636" w14:textId="2C1AE71F" w:rsidR="000F00EF" w:rsidRPr="007811C6" w:rsidRDefault="006D2C78" w:rsidP="004D692E">
            <w:pPr>
              <w:spacing w:before="120" w:after="120"/>
              <w:rPr>
                <w:rFonts w:cs="Arial"/>
                <w:szCs w:val="22"/>
              </w:rPr>
            </w:pPr>
            <w:r w:rsidRPr="007811C6">
              <w:rPr>
                <w:rFonts w:cs="Arial"/>
                <w:szCs w:val="22"/>
              </w:rPr>
              <w:t>Second Defendant</w:t>
            </w:r>
          </w:p>
        </w:tc>
      </w:tr>
      <w:tr w:rsidR="000F00EF" w:rsidRPr="007811C6" w14:paraId="5E2E11F1" w14:textId="77777777" w:rsidTr="00430142">
        <w:tc>
          <w:tcPr>
            <w:tcW w:w="6223" w:type="dxa"/>
          </w:tcPr>
          <w:p w14:paraId="3E1783E7" w14:textId="17E7819D" w:rsidR="008A32BD" w:rsidRPr="007811C6" w:rsidRDefault="006D2C78" w:rsidP="004D692E">
            <w:pPr>
              <w:tabs>
                <w:tab w:val="right" w:pos="9070"/>
              </w:tabs>
              <w:spacing w:before="120" w:after="120"/>
              <w:rPr>
                <w:rFonts w:cs="Arial"/>
                <w:b/>
                <w:bCs/>
                <w:szCs w:val="22"/>
              </w:rPr>
            </w:pPr>
            <w:r w:rsidRPr="007811C6">
              <w:rPr>
                <w:rFonts w:cs="Arial"/>
                <w:b/>
                <w:bCs/>
                <w:szCs w:val="22"/>
              </w:rPr>
              <w:t>PILLAY, TAREN</w:t>
            </w:r>
          </w:p>
        </w:tc>
        <w:tc>
          <w:tcPr>
            <w:tcW w:w="2318" w:type="dxa"/>
          </w:tcPr>
          <w:p w14:paraId="272C00F9" w14:textId="21C27D23" w:rsidR="00430142" w:rsidRPr="007811C6" w:rsidRDefault="006D2C78" w:rsidP="004D692E">
            <w:pPr>
              <w:spacing w:before="120" w:after="120"/>
              <w:rPr>
                <w:rFonts w:cs="Arial"/>
                <w:szCs w:val="22"/>
              </w:rPr>
            </w:pPr>
            <w:r w:rsidRPr="007811C6">
              <w:rPr>
                <w:rFonts w:cs="Arial"/>
                <w:szCs w:val="22"/>
              </w:rPr>
              <w:t>Third Defendant</w:t>
            </w:r>
          </w:p>
        </w:tc>
      </w:tr>
    </w:tbl>
    <w:p w14:paraId="67781CE9" w14:textId="77777777" w:rsidR="0023405C" w:rsidRPr="007811C6" w:rsidRDefault="0023405C" w:rsidP="00C74E97">
      <w:pPr>
        <w:pBdr>
          <w:bottom w:val="single" w:sz="4" w:space="1" w:color="auto"/>
        </w:pBdr>
        <w:spacing w:line="360" w:lineRule="auto"/>
        <w:jc w:val="both"/>
        <w:rPr>
          <w:rFonts w:cs="Arial"/>
          <w:szCs w:val="22"/>
        </w:rPr>
      </w:pPr>
    </w:p>
    <w:p w14:paraId="58DE5549" w14:textId="77777777" w:rsidR="006C43D7" w:rsidRPr="007811C6" w:rsidRDefault="006C43D7" w:rsidP="00C74E97">
      <w:pPr>
        <w:spacing w:line="360" w:lineRule="auto"/>
        <w:jc w:val="both"/>
        <w:rPr>
          <w:rFonts w:cs="Arial"/>
          <w:szCs w:val="22"/>
        </w:rPr>
      </w:pPr>
    </w:p>
    <w:p w14:paraId="647AB70C" w14:textId="77777777" w:rsidR="006C43D7" w:rsidRPr="007811C6" w:rsidRDefault="006C43D7" w:rsidP="00C74E97">
      <w:pPr>
        <w:keepNext/>
        <w:spacing w:line="360" w:lineRule="auto"/>
        <w:jc w:val="center"/>
        <w:outlineLvl w:val="1"/>
        <w:rPr>
          <w:rFonts w:cs="Arial"/>
          <w:b/>
          <w:bCs/>
          <w:szCs w:val="22"/>
        </w:rPr>
      </w:pPr>
      <w:r w:rsidRPr="007811C6">
        <w:rPr>
          <w:rFonts w:cs="Arial"/>
          <w:b/>
          <w:bCs/>
          <w:szCs w:val="22"/>
        </w:rPr>
        <w:t>JUDGMENT</w:t>
      </w:r>
    </w:p>
    <w:p w14:paraId="52CD25EB" w14:textId="77777777" w:rsidR="006C43D7" w:rsidRPr="007811C6" w:rsidRDefault="006C43D7" w:rsidP="00C74E97">
      <w:pPr>
        <w:pBdr>
          <w:bottom w:val="single" w:sz="4" w:space="1" w:color="auto"/>
        </w:pBdr>
        <w:spacing w:line="360" w:lineRule="auto"/>
        <w:jc w:val="both"/>
        <w:rPr>
          <w:rFonts w:cs="Arial"/>
          <w:szCs w:val="22"/>
        </w:rPr>
      </w:pPr>
    </w:p>
    <w:p w14:paraId="5BD82EFE" w14:textId="147D8FBC" w:rsidR="00BE6AB8" w:rsidRPr="007811C6" w:rsidRDefault="00C676F3" w:rsidP="00C74E97">
      <w:pPr>
        <w:spacing w:after="480" w:line="360" w:lineRule="auto"/>
        <w:jc w:val="both"/>
        <w:rPr>
          <w:rFonts w:cs="Arial"/>
          <w:b/>
          <w:szCs w:val="22"/>
        </w:rPr>
      </w:pPr>
      <w:r w:rsidRPr="007811C6">
        <w:rPr>
          <w:rFonts w:cs="Arial"/>
          <w:b/>
          <w:szCs w:val="22"/>
        </w:rPr>
        <w:lastRenderedPageBreak/>
        <w:t>MOORCROFT</w:t>
      </w:r>
      <w:r w:rsidR="006C43D7" w:rsidRPr="007811C6">
        <w:rPr>
          <w:rFonts w:cs="Arial"/>
          <w:b/>
          <w:szCs w:val="22"/>
        </w:rPr>
        <w:t xml:space="preserve"> AJ:</w:t>
      </w:r>
    </w:p>
    <w:p w14:paraId="5B9302F1" w14:textId="4DE0F352" w:rsidR="001F361F" w:rsidRPr="007811C6" w:rsidRDefault="00C460A0" w:rsidP="00C74E97">
      <w:pPr>
        <w:keepNext/>
        <w:spacing w:after="480" w:line="360" w:lineRule="auto"/>
        <w:jc w:val="both"/>
        <w:rPr>
          <w:rFonts w:cs="Arial"/>
          <w:bCs/>
          <w:i/>
          <w:iCs/>
          <w:szCs w:val="22"/>
          <w:u w:val="single"/>
        </w:rPr>
      </w:pPr>
      <w:r w:rsidRPr="007811C6">
        <w:rPr>
          <w:rFonts w:cs="Arial"/>
          <w:bCs/>
          <w:i/>
          <w:iCs/>
          <w:szCs w:val="22"/>
          <w:u w:val="single"/>
        </w:rPr>
        <w:t>Summar</w:t>
      </w:r>
      <w:r w:rsidR="00026A26" w:rsidRPr="007811C6">
        <w:rPr>
          <w:rFonts w:cs="Arial"/>
          <w:bCs/>
          <w:i/>
          <w:iCs/>
          <w:szCs w:val="22"/>
          <w:u w:val="single"/>
        </w:rPr>
        <w:t>y</w:t>
      </w:r>
    </w:p>
    <w:p w14:paraId="5ABA4249" w14:textId="2EFC4EE5" w:rsidR="00D33A54" w:rsidRDefault="006545D0" w:rsidP="00C74E97">
      <w:pPr>
        <w:keepNext/>
        <w:spacing w:after="480" w:line="360" w:lineRule="auto"/>
        <w:jc w:val="both"/>
        <w:rPr>
          <w:rFonts w:cs="Arial"/>
          <w:bCs/>
          <w:i/>
          <w:iCs/>
          <w:szCs w:val="22"/>
        </w:rPr>
      </w:pPr>
      <w:r>
        <w:rPr>
          <w:rFonts w:cs="Arial"/>
          <w:bCs/>
          <w:i/>
          <w:iCs/>
          <w:szCs w:val="22"/>
        </w:rPr>
        <w:t>Exception to particulars of claim – rule 23 – two basis in the alternative – that particulars do not disclose a cause of action, alternatively that particulars are vague and embarrassing</w:t>
      </w:r>
    </w:p>
    <w:p w14:paraId="57B7BC46" w14:textId="46114996" w:rsidR="006545D0" w:rsidRDefault="006545D0" w:rsidP="00C74E97">
      <w:pPr>
        <w:keepNext/>
        <w:spacing w:after="480" w:line="360" w:lineRule="auto"/>
        <w:jc w:val="both"/>
        <w:rPr>
          <w:rFonts w:cs="Arial"/>
          <w:bCs/>
          <w:i/>
          <w:iCs/>
          <w:szCs w:val="22"/>
        </w:rPr>
      </w:pPr>
      <w:r>
        <w:rPr>
          <w:rFonts w:cs="Arial"/>
          <w:bCs/>
          <w:i/>
          <w:iCs/>
          <w:szCs w:val="22"/>
        </w:rPr>
        <w:t>Three grounds of exception upheld – particulars do not disclose a cause of action – plaintiff granted leave to amend</w:t>
      </w:r>
    </w:p>
    <w:p w14:paraId="4EFFDE6B" w14:textId="6C1CA0DF" w:rsidR="006545D0" w:rsidRPr="007811C6" w:rsidRDefault="006545D0" w:rsidP="00C74E97">
      <w:pPr>
        <w:keepNext/>
        <w:spacing w:after="480" w:line="360" w:lineRule="auto"/>
        <w:jc w:val="both"/>
        <w:rPr>
          <w:rFonts w:cs="Arial"/>
          <w:bCs/>
          <w:i/>
          <w:iCs/>
          <w:szCs w:val="22"/>
        </w:rPr>
      </w:pPr>
      <w:r>
        <w:rPr>
          <w:rFonts w:cs="Arial"/>
          <w:bCs/>
          <w:i/>
          <w:iCs/>
          <w:szCs w:val="22"/>
        </w:rPr>
        <w:t xml:space="preserve">Three grounds dismissed – excipient not allowed to introduce evidence in exception </w:t>
      </w:r>
    </w:p>
    <w:p w14:paraId="18AFD427" w14:textId="7B3D0B7D" w:rsidR="00BE6AB8" w:rsidRPr="007811C6" w:rsidRDefault="00BE6AB8" w:rsidP="00C74E97">
      <w:pPr>
        <w:keepNext/>
        <w:spacing w:after="480" w:line="360" w:lineRule="auto"/>
        <w:jc w:val="both"/>
        <w:rPr>
          <w:rFonts w:cs="Arial"/>
          <w:bCs/>
          <w:szCs w:val="22"/>
          <w:u w:val="single"/>
        </w:rPr>
      </w:pPr>
      <w:r w:rsidRPr="007811C6">
        <w:rPr>
          <w:rFonts w:cs="Arial"/>
          <w:bCs/>
          <w:szCs w:val="22"/>
          <w:u w:val="single"/>
        </w:rPr>
        <w:t>Order</w:t>
      </w:r>
    </w:p>
    <w:p w14:paraId="63515C87" w14:textId="790715B4" w:rsidR="004E3D0E" w:rsidRPr="007811C6" w:rsidRDefault="003B4100" w:rsidP="00AD4080">
      <w:pPr>
        <w:numPr>
          <w:ilvl w:val="0"/>
          <w:numId w:val="1"/>
        </w:numPr>
        <w:spacing w:after="480" w:line="360" w:lineRule="auto"/>
        <w:jc w:val="both"/>
        <w:rPr>
          <w:rFonts w:cs="Arial"/>
          <w:i/>
          <w:iCs/>
          <w:szCs w:val="22"/>
        </w:rPr>
      </w:pPr>
      <w:r w:rsidRPr="007811C6">
        <w:rPr>
          <w:rFonts w:cs="Arial"/>
          <w:bCs/>
          <w:szCs w:val="22"/>
        </w:rPr>
        <w:t xml:space="preserve">In this </w:t>
      </w:r>
      <w:r w:rsidR="00B56906" w:rsidRPr="007811C6">
        <w:rPr>
          <w:rFonts w:cs="Arial"/>
          <w:bCs/>
          <w:szCs w:val="22"/>
        </w:rPr>
        <w:t xml:space="preserve">matter </w:t>
      </w:r>
      <w:r w:rsidR="00C460A0" w:rsidRPr="007811C6">
        <w:rPr>
          <w:rFonts w:cs="Arial"/>
          <w:bCs/>
          <w:szCs w:val="22"/>
        </w:rPr>
        <w:t>I ma</w:t>
      </w:r>
      <w:r w:rsidR="000976D2" w:rsidRPr="007811C6">
        <w:rPr>
          <w:rFonts w:cs="Arial"/>
          <w:bCs/>
          <w:szCs w:val="22"/>
        </w:rPr>
        <w:t>k</w:t>
      </w:r>
      <w:r w:rsidR="00DC6EF8" w:rsidRPr="007811C6">
        <w:rPr>
          <w:rFonts w:cs="Arial"/>
          <w:bCs/>
          <w:szCs w:val="22"/>
        </w:rPr>
        <w:t>e</w:t>
      </w:r>
      <w:r w:rsidR="00C460A0" w:rsidRPr="007811C6">
        <w:rPr>
          <w:rFonts w:cs="Arial"/>
          <w:bCs/>
          <w:szCs w:val="22"/>
        </w:rPr>
        <w:t xml:space="preserve"> the following order</w:t>
      </w:r>
      <w:r w:rsidR="000976D2" w:rsidRPr="007811C6">
        <w:rPr>
          <w:rFonts w:cs="Arial"/>
          <w:bCs/>
          <w:szCs w:val="22"/>
        </w:rPr>
        <w:t>:</w:t>
      </w:r>
    </w:p>
    <w:p w14:paraId="763B6041" w14:textId="4BBDF43C" w:rsidR="004D692E" w:rsidRPr="007811C6" w:rsidRDefault="006D2C78" w:rsidP="00E37B97">
      <w:pPr>
        <w:pStyle w:val="ListParagraph"/>
        <w:numPr>
          <w:ilvl w:val="0"/>
          <w:numId w:val="18"/>
        </w:numPr>
        <w:spacing w:after="480" w:line="360" w:lineRule="auto"/>
        <w:jc w:val="both"/>
        <w:rPr>
          <w:rFonts w:cs="Arial"/>
          <w:i/>
          <w:iCs/>
          <w:szCs w:val="22"/>
        </w:rPr>
      </w:pPr>
      <w:r w:rsidRPr="007811C6">
        <w:rPr>
          <w:rFonts w:cs="Arial"/>
          <w:i/>
          <w:iCs/>
          <w:szCs w:val="22"/>
        </w:rPr>
        <w:t xml:space="preserve">The </w:t>
      </w:r>
      <w:r w:rsidR="0015748A" w:rsidRPr="007811C6">
        <w:rPr>
          <w:rFonts w:cs="Arial"/>
          <w:i/>
          <w:iCs/>
          <w:szCs w:val="22"/>
        </w:rPr>
        <w:t>first</w:t>
      </w:r>
      <w:r w:rsidR="00304705" w:rsidRPr="007811C6">
        <w:rPr>
          <w:rFonts w:cs="Arial"/>
          <w:i/>
          <w:iCs/>
          <w:szCs w:val="22"/>
        </w:rPr>
        <w:t xml:space="preserve">, </w:t>
      </w:r>
      <w:r w:rsidR="00C75D70" w:rsidRPr="007811C6">
        <w:rPr>
          <w:rFonts w:cs="Arial"/>
          <w:i/>
          <w:iCs/>
          <w:szCs w:val="22"/>
        </w:rPr>
        <w:t xml:space="preserve">second and sixth </w:t>
      </w:r>
      <w:r w:rsidRPr="007811C6">
        <w:rPr>
          <w:rFonts w:cs="Arial"/>
          <w:i/>
          <w:iCs/>
          <w:szCs w:val="22"/>
        </w:rPr>
        <w:t>exception</w:t>
      </w:r>
      <w:r w:rsidR="00304705" w:rsidRPr="007811C6">
        <w:rPr>
          <w:rFonts w:cs="Arial"/>
          <w:i/>
          <w:iCs/>
          <w:szCs w:val="22"/>
        </w:rPr>
        <w:t>s</w:t>
      </w:r>
      <w:r w:rsidRPr="007811C6">
        <w:rPr>
          <w:rFonts w:cs="Arial"/>
          <w:i/>
          <w:iCs/>
          <w:szCs w:val="22"/>
        </w:rPr>
        <w:t xml:space="preserve"> </w:t>
      </w:r>
      <w:r w:rsidR="00304705" w:rsidRPr="007811C6">
        <w:rPr>
          <w:rFonts w:cs="Arial"/>
          <w:i/>
          <w:iCs/>
          <w:szCs w:val="22"/>
        </w:rPr>
        <w:t>are</w:t>
      </w:r>
      <w:r w:rsidRPr="007811C6">
        <w:rPr>
          <w:rFonts w:cs="Arial"/>
          <w:i/>
          <w:iCs/>
          <w:szCs w:val="22"/>
        </w:rPr>
        <w:t xml:space="preserve"> </w:t>
      </w:r>
      <w:r w:rsidR="00F82613" w:rsidRPr="007811C6">
        <w:rPr>
          <w:rFonts w:cs="Arial"/>
          <w:i/>
          <w:iCs/>
          <w:szCs w:val="22"/>
        </w:rPr>
        <w:t>upheld</w:t>
      </w:r>
      <w:r w:rsidRPr="007811C6">
        <w:rPr>
          <w:rFonts w:cs="Arial"/>
          <w:i/>
          <w:iCs/>
          <w:szCs w:val="22"/>
        </w:rPr>
        <w:t>;</w:t>
      </w:r>
    </w:p>
    <w:p w14:paraId="7ABABAF6" w14:textId="4151F71B" w:rsidR="0015748A" w:rsidRPr="007811C6" w:rsidRDefault="0015748A" w:rsidP="00E37B97">
      <w:pPr>
        <w:pStyle w:val="ListParagraph"/>
        <w:numPr>
          <w:ilvl w:val="0"/>
          <w:numId w:val="18"/>
        </w:numPr>
        <w:spacing w:after="480" w:line="360" w:lineRule="auto"/>
        <w:jc w:val="both"/>
        <w:rPr>
          <w:rFonts w:cs="Arial"/>
          <w:i/>
          <w:iCs/>
          <w:szCs w:val="22"/>
        </w:rPr>
      </w:pPr>
      <w:r w:rsidRPr="007811C6">
        <w:rPr>
          <w:rFonts w:cs="Arial"/>
          <w:i/>
          <w:iCs/>
          <w:szCs w:val="22"/>
        </w:rPr>
        <w:t>The</w:t>
      </w:r>
      <w:r w:rsidR="00366937" w:rsidRPr="007811C6">
        <w:rPr>
          <w:rFonts w:cs="Arial"/>
          <w:i/>
          <w:iCs/>
          <w:szCs w:val="22"/>
        </w:rPr>
        <w:t xml:space="preserve"> </w:t>
      </w:r>
      <w:r w:rsidR="00304705" w:rsidRPr="007811C6">
        <w:rPr>
          <w:rFonts w:cs="Arial"/>
          <w:i/>
          <w:iCs/>
          <w:szCs w:val="22"/>
        </w:rPr>
        <w:t>third</w:t>
      </w:r>
      <w:r w:rsidR="00C75D70" w:rsidRPr="007811C6">
        <w:rPr>
          <w:rFonts w:cs="Arial"/>
          <w:i/>
          <w:iCs/>
          <w:szCs w:val="22"/>
        </w:rPr>
        <w:t>, fourth and fifth</w:t>
      </w:r>
      <w:r w:rsidR="00304705" w:rsidRPr="007811C6">
        <w:rPr>
          <w:rFonts w:cs="Arial"/>
          <w:i/>
          <w:iCs/>
          <w:szCs w:val="22"/>
        </w:rPr>
        <w:t xml:space="preserve"> exceptions are </w:t>
      </w:r>
      <w:r w:rsidR="00F82613" w:rsidRPr="007811C6">
        <w:rPr>
          <w:rFonts w:cs="Arial"/>
          <w:i/>
          <w:iCs/>
          <w:szCs w:val="22"/>
        </w:rPr>
        <w:t>dismissed</w:t>
      </w:r>
      <w:r w:rsidR="00304705" w:rsidRPr="007811C6">
        <w:rPr>
          <w:rFonts w:cs="Arial"/>
          <w:i/>
          <w:iCs/>
          <w:szCs w:val="22"/>
        </w:rPr>
        <w:t>;</w:t>
      </w:r>
    </w:p>
    <w:p w14:paraId="15EE181E" w14:textId="559F8B95" w:rsidR="001C0C80" w:rsidRPr="007811C6" w:rsidRDefault="001C0C80" w:rsidP="00E37B97">
      <w:pPr>
        <w:pStyle w:val="ListParagraph"/>
        <w:numPr>
          <w:ilvl w:val="0"/>
          <w:numId w:val="18"/>
        </w:numPr>
        <w:spacing w:after="480" w:line="360" w:lineRule="auto"/>
        <w:jc w:val="both"/>
        <w:rPr>
          <w:rFonts w:cs="Arial"/>
          <w:i/>
          <w:iCs/>
          <w:szCs w:val="22"/>
        </w:rPr>
      </w:pPr>
      <w:r w:rsidRPr="007811C6">
        <w:rPr>
          <w:rFonts w:cs="Arial"/>
          <w:i/>
          <w:iCs/>
          <w:szCs w:val="22"/>
        </w:rPr>
        <w:t xml:space="preserve">The plaintiff’s claim as against the first defendant as contained in paragraphs 18 to 25, 31 to 34, </w:t>
      </w:r>
      <w:r w:rsidR="002549D2" w:rsidRPr="007811C6">
        <w:rPr>
          <w:rFonts w:cs="Arial"/>
          <w:i/>
          <w:iCs/>
          <w:szCs w:val="22"/>
        </w:rPr>
        <w:t>and 40 to 44</w:t>
      </w:r>
      <w:r w:rsidR="007671E0" w:rsidRPr="007811C6">
        <w:rPr>
          <w:rFonts w:cs="Arial"/>
          <w:i/>
          <w:iCs/>
          <w:szCs w:val="22"/>
        </w:rPr>
        <w:t>, and the prayers</w:t>
      </w:r>
      <w:r w:rsidR="00A5183D" w:rsidRPr="007811C6">
        <w:rPr>
          <w:rFonts w:cs="Arial"/>
          <w:i/>
          <w:iCs/>
          <w:szCs w:val="22"/>
        </w:rPr>
        <w:t xml:space="preserve"> as against the first defendant</w:t>
      </w:r>
      <w:r w:rsidR="002549D2" w:rsidRPr="007811C6">
        <w:rPr>
          <w:rFonts w:cs="Arial"/>
          <w:i/>
          <w:iCs/>
          <w:szCs w:val="22"/>
        </w:rPr>
        <w:t xml:space="preserve"> are struck out;</w:t>
      </w:r>
    </w:p>
    <w:p w14:paraId="761AB9F5" w14:textId="4D1718E0" w:rsidR="001C0C80" w:rsidRPr="007811C6" w:rsidRDefault="001C0C80" w:rsidP="00E37B97">
      <w:pPr>
        <w:pStyle w:val="ListParagraph"/>
        <w:numPr>
          <w:ilvl w:val="0"/>
          <w:numId w:val="18"/>
        </w:numPr>
        <w:spacing w:after="480" w:line="360" w:lineRule="auto"/>
        <w:jc w:val="both"/>
        <w:rPr>
          <w:rFonts w:cs="Arial"/>
          <w:i/>
          <w:iCs/>
          <w:szCs w:val="22"/>
        </w:rPr>
      </w:pPr>
      <w:r w:rsidRPr="007811C6">
        <w:rPr>
          <w:rFonts w:cs="Arial"/>
          <w:i/>
          <w:iCs/>
          <w:szCs w:val="22"/>
        </w:rPr>
        <w:t xml:space="preserve">The plaintiff is granted leave to file amended </w:t>
      </w:r>
      <w:r w:rsidR="007811C6">
        <w:rPr>
          <w:rFonts w:cs="Arial"/>
          <w:i/>
          <w:iCs/>
          <w:szCs w:val="22"/>
        </w:rPr>
        <w:t>particulars of claim</w:t>
      </w:r>
      <w:r w:rsidRPr="007811C6">
        <w:rPr>
          <w:rFonts w:cs="Arial"/>
          <w:i/>
          <w:iCs/>
          <w:szCs w:val="22"/>
        </w:rPr>
        <w:t xml:space="preserve"> within fourteen days of the date of this order;</w:t>
      </w:r>
    </w:p>
    <w:p w14:paraId="63C2BE22" w14:textId="13FD21AD" w:rsidR="001C0C80" w:rsidRPr="007811C6" w:rsidRDefault="001C0C80" w:rsidP="00E37B97">
      <w:pPr>
        <w:pStyle w:val="ListParagraph"/>
        <w:numPr>
          <w:ilvl w:val="0"/>
          <w:numId w:val="18"/>
        </w:numPr>
        <w:spacing w:after="480" w:line="360" w:lineRule="auto"/>
        <w:jc w:val="both"/>
        <w:rPr>
          <w:rFonts w:cs="Arial"/>
          <w:i/>
          <w:iCs/>
          <w:szCs w:val="22"/>
        </w:rPr>
      </w:pPr>
      <w:r w:rsidRPr="007811C6">
        <w:rPr>
          <w:rFonts w:cs="Arial"/>
          <w:i/>
          <w:iCs/>
          <w:szCs w:val="22"/>
        </w:rPr>
        <w:t>The parties shall each pay their own costs.</w:t>
      </w:r>
    </w:p>
    <w:p w14:paraId="115774C9" w14:textId="77777777" w:rsidR="0040197A" w:rsidRPr="007811C6" w:rsidRDefault="0040197A" w:rsidP="0040197A">
      <w:pPr>
        <w:widowControl w:val="0"/>
        <w:spacing w:before="480" w:after="480" w:line="360" w:lineRule="auto"/>
        <w:jc w:val="both"/>
        <w:rPr>
          <w:rFonts w:cs="Arial"/>
          <w:bCs/>
          <w:szCs w:val="22"/>
          <w:u w:val="single"/>
        </w:rPr>
      </w:pPr>
    </w:p>
    <w:p w14:paraId="08540072" w14:textId="071A2704" w:rsidR="00C9310B" w:rsidRPr="007811C6" w:rsidRDefault="004A5AF5" w:rsidP="00C74E97">
      <w:pPr>
        <w:pStyle w:val="ListParagraph"/>
        <w:widowControl w:val="0"/>
        <w:numPr>
          <w:ilvl w:val="0"/>
          <w:numId w:val="1"/>
        </w:numPr>
        <w:spacing w:before="480" w:after="480" w:line="360" w:lineRule="auto"/>
        <w:contextualSpacing w:val="0"/>
        <w:jc w:val="both"/>
        <w:rPr>
          <w:rFonts w:cs="Arial"/>
          <w:bCs/>
          <w:szCs w:val="22"/>
          <w:u w:val="single"/>
        </w:rPr>
      </w:pPr>
      <w:r w:rsidRPr="007811C6">
        <w:rPr>
          <w:rFonts w:cs="Arial"/>
          <w:bCs/>
          <w:szCs w:val="22"/>
        </w:rPr>
        <w:t xml:space="preserve">The </w:t>
      </w:r>
      <w:r w:rsidR="00573FF9" w:rsidRPr="007811C6">
        <w:rPr>
          <w:rFonts w:cs="Arial"/>
          <w:bCs/>
          <w:szCs w:val="22"/>
        </w:rPr>
        <w:t xml:space="preserve">reasons for the order </w:t>
      </w:r>
      <w:r w:rsidR="00A63709" w:rsidRPr="007811C6">
        <w:rPr>
          <w:rFonts w:cs="Arial"/>
          <w:bCs/>
          <w:szCs w:val="22"/>
        </w:rPr>
        <w:t>follow</w:t>
      </w:r>
      <w:r w:rsidR="00573FF9" w:rsidRPr="007811C6">
        <w:rPr>
          <w:rFonts w:cs="Arial"/>
          <w:bCs/>
          <w:szCs w:val="22"/>
        </w:rPr>
        <w:t xml:space="preserve"> below.</w:t>
      </w:r>
    </w:p>
    <w:p w14:paraId="037F1A01" w14:textId="77777777" w:rsidR="00A444DD" w:rsidRPr="007811C6" w:rsidRDefault="00A444DD" w:rsidP="00C74E97">
      <w:pPr>
        <w:keepNext/>
        <w:widowControl w:val="0"/>
        <w:spacing w:before="480" w:after="480" w:line="360" w:lineRule="auto"/>
        <w:jc w:val="both"/>
        <w:rPr>
          <w:rFonts w:cs="Arial"/>
          <w:bCs/>
          <w:szCs w:val="22"/>
          <w:u w:val="single"/>
        </w:rPr>
      </w:pPr>
    </w:p>
    <w:p w14:paraId="3658C913" w14:textId="6056F843" w:rsidR="00573FF9" w:rsidRPr="007811C6" w:rsidRDefault="00D9086C" w:rsidP="00C74E97">
      <w:pPr>
        <w:keepNext/>
        <w:widowControl w:val="0"/>
        <w:spacing w:before="480" w:after="480" w:line="360" w:lineRule="auto"/>
        <w:jc w:val="both"/>
        <w:rPr>
          <w:rFonts w:cs="Arial"/>
          <w:bCs/>
          <w:szCs w:val="22"/>
          <w:u w:val="single"/>
        </w:rPr>
      </w:pPr>
      <w:r w:rsidRPr="007811C6">
        <w:rPr>
          <w:rFonts w:cs="Arial"/>
          <w:bCs/>
          <w:szCs w:val="22"/>
          <w:u w:val="single"/>
        </w:rPr>
        <w:t>Introduction</w:t>
      </w:r>
    </w:p>
    <w:p w14:paraId="596A57E2" w14:textId="7E2C2E30" w:rsidR="00F82613" w:rsidRPr="007811C6" w:rsidRDefault="00A94A43" w:rsidP="00A85664">
      <w:pPr>
        <w:widowControl w:val="0"/>
        <w:numPr>
          <w:ilvl w:val="0"/>
          <w:numId w:val="1"/>
        </w:numPr>
        <w:spacing w:before="480" w:after="480" w:line="360" w:lineRule="auto"/>
        <w:jc w:val="both"/>
        <w:rPr>
          <w:rFonts w:cs="Arial"/>
          <w:bCs/>
          <w:szCs w:val="22"/>
        </w:rPr>
      </w:pPr>
      <w:r w:rsidRPr="007811C6">
        <w:rPr>
          <w:rFonts w:cs="Arial"/>
          <w:bCs/>
          <w:szCs w:val="22"/>
        </w:rPr>
        <w:t xml:space="preserve">The </w:t>
      </w:r>
      <w:r w:rsidR="0061036C" w:rsidRPr="007811C6">
        <w:rPr>
          <w:rFonts w:cs="Arial"/>
          <w:bCs/>
          <w:szCs w:val="22"/>
        </w:rPr>
        <w:t xml:space="preserve">excipient </w:t>
      </w:r>
      <w:r w:rsidR="004C1D86" w:rsidRPr="007811C6">
        <w:rPr>
          <w:rFonts w:cs="Arial"/>
          <w:bCs/>
          <w:szCs w:val="22"/>
        </w:rPr>
        <w:t>(referred to as “the bank”)</w:t>
      </w:r>
      <w:r w:rsidR="00C64A7F" w:rsidRPr="007811C6">
        <w:rPr>
          <w:rFonts w:cs="Arial"/>
          <w:bCs/>
          <w:szCs w:val="22"/>
        </w:rPr>
        <w:t xml:space="preserve"> </w:t>
      </w:r>
      <w:r w:rsidR="0061036C" w:rsidRPr="007811C6">
        <w:rPr>
          <w:rFonts w:cs="Arial"/>
          <w:bCs/>
          <w:szCs w:val="22"/>
        </w:rPr>
        <w:t>takes an exception</w:t>
      </w:r>
      <w:r w:rsidR="006545D0">
        <w:rPr>
          <w:rStyle w:val="FootnoteReference"/>
          <w:rFonts w:cs="Arial"/>
          <w:bCs/>
          <w:szCs w:val="22"/>
        </w:rPr>
        <w:footnoteReference w:id="1"/>
      </w:r>
      <w:r w:rsidR="0061036C" w:rsidRPr="007811C6">
        <w:rPr>
          <w:rFonts w:cs="Arial"/>
          <w:bCs/>
          <w:szCs w:val="22"/>
        </w:rPr>
        <w:t xml:space="preserve"> to the respondent’s particulars of claim in the pending action between the respondent</w:t>
      </w:r>
      <w:r w:rsidR="004C1D86" w:rsidRPr="007811C6">
        <w:rPr>
          <w:rFonts w:cs="Arial"/>
          <w:bCs/>
          <w:szCs w:val="22"/>
        </w:rPr>
        <w:t xml:space="preserve"> (referred to</w:t>
      </w:r>
      <w:r w:rsidR="0061036C" w:rsidRPr="007811C6">
        <w:rPr>
          <w:rFonts w:cs="Arial"/>
          <w:bCs/>
          <w:szCs w:val="22"/>
        </w:rPr>
        <w:t xml:space="preserve"> as </w:t>
      </w:r>
      <w:r w:rsidR="004C1D86" w:rsidRPr="007811C6">
        <w:rPr>
          <w:rFonts w:cs="Arial"/>
          <w:bCs/>
          <w:szCs w:val="22"/>
        </w:rPr>
        <w:t xml:space="preserve">“the </w:t>
      </w:r>
      <w:r w:rsidR="0061036C" w:rsidRPr="007811C6">
        <w:rPr>
          <w:rFonts w:cs="Arial"/>
          <w:bCs/>
          <w:szCs w:val="22"/>
        </w:rPr>
        <w:t>plaintiff</w:t>
      </w:r>
      <w:r w:rsidR="004C1D86" w:rsidRPr="007811C6">
        <w:rPr>
          <w:rFonts w:cs="Arial"/>
          <w:bCs/>
          <w:szCs w:val="22"/>
        </w:rPr>
        <w:t>”)</w:t>
      </w:r>
      <w:r w:rsidR="0061036C" w:rsidRPr="007811C6">
        <w:rPr>
          <w:rFonts w:cs="Arial"/>
          <w:bCs/>
          <w:szCs w:val="22"/>
        </w:rPr>
        <w:t xml:space="preserve"> and the </w:t>
      </w:r>
      <w:r w:rsidR="004C1D86" w:rsidRPr="007811C6">
        <w:rPr>
          <w:rFonts w:cs="Arial"/>
          <w:bCs/>
          <w:szCs w:val="22"/>
        </w:rPr>
        <w:t>bank</w:t>
      </w:r>
      <w:r w:rsidR="0061036C" w:rsidRPr="007811C6">
        <w:rPr>
          <w:rFonts w:cs="Arial"/>
          <w:bCs/>
          <w:szCs w:val="22"/>
        </w:rPr>
        <w:t xml:space="preserve"> as first defendant. The </w:t>
      </w:r>
      <w:r w:rsidR="004C1D86" w:rsidRPr="007811C6">
        <w:rPr>
          <w:rFonts w:cs="Arial"/>
          <w:bCs/>
          <w:szCs w:val="22"/>
        </w:rPr>
        <w:t>plaintiff</w:t>
      </w:r>
      <w:r w:rsidR="0061036C" w:rsidRPr="007811C6">
        <w:rPr>
          <w:rFonts w:cs="Arial"/>
          <w:bCs/>
          <w:szCs w:val="22"/>
        </w:rPr>
        <w:t xml:space="preserve"> is a </w:t>
      </w:r>
      <w:r w:rsidR="00F82613" w:rsidRPr="007811C6">
        <w:rPr>
          <w:rFonts w:cs="Arial"/>
          <w:bCs/>
          <w:szCs w:val="22"/>
        </w:rPr>
        <w:t xml:space="preserve">private </w:t>
      </w:r>
      <w:r w:rsidR="0061036C" w:rsidRPr="007811C6">
        <w:rPr>
          <w:rFonts w:cs="Arial"/>
          <w:bCs/>
          <w:szCs w:val="22"/>
        </w:rPr>
        <w:t xml:space="preserve">company and the </w:t>
      </w:r>
      <w:r w:rsidR="004C1D86" w:rsidRPr="007811C6">
        <w:rPr>
          <w:rFonts w:cs="Arial"/>
          <w:bCs/>
          <w:szCs w:val="22"/>
        </w:rPr>
        <w:t>bank</w:t>
      </w:r>
      <w:r w:rsidR="0061036C" w:rsidRPr="007811C6">
        <w:rPr>
          <w:rFonts w:cs="Arial"/>
          <w:bCs/>
          <w:szCs w:val="22"/>
        </w:rPr>
        <w:t xml:space="preserve"> is a South African bank trading as such. The second and third defendants in the action play no role in th</w:t>
      </w:r>
      <w:r w:rsidR="005A3B73" w:rsidRPr="007811C6">
        <w:rPr>
          <w:rFonts w:cs="Arial"/>
          <w:bCs/>
          <w:szCs w:val="22"/>
        </w:rPr>
        <w:t>e</w:t>
      </w:r>
      <w:r w:rsidR="00C24A82">
        <w:rPr>
          <w:rFonts w:cs="Arial"/>
          <w:bCs/>
          <w:szCs w:val="22"/>
        </w:rPr>
        <w:t>se interlocutory proceedings</w:t>
      </w:r>
      <w:r w:rsidR="0061036C" w:rsidRPr="007811C6">
        <w:rPr>
          <w:rFonts w:cs="Arial"/>
          <w:bCs/>
          <w:szCs w:val="22"/>
        </w:rPr>
        <w:t>.</w:t>
      </w:r>
      <w:r w:rsidR="005A3B73" w:rsidRPr="007811C6">
        <w:rPr>
          <w:rFonts w:cs="Arial"/>
          <w:bCs/>
          <w:szCs w:val="22"/>
        </w:rPr>
        <w:t xml:space="preserve"> </w:t>
      </w:r>
    </w:p>
    <w:p w14:paraId="1E0F75A2" w14:textId="37036E9D" w:rsidR="0061036C" w:rsidRPr="007811C6" w:rsidRDefault="005A3B73" w:rsidP="00A85664">
      <w:pPr>
        <w:widowControl w:val="0"/>
        <w:numPr>
          <w:ilvl w:val="0"/>
          <w:numId w:val="1"/>
        </w:numPr>
        <w:spacing w:before="480" w:after="480" w:line="360" w:lineRule="auto"/>
        <w:jc w:val="both"/>
        <w:rPr>
          <w:rFonts w:cs="Arial"/>
          <w:bCs/>
          <w:szCs w:val="22"/>
        </w:rPr>
      </w:pPr>
      <w:r w:rsidRPr="007811C6">
        <w:rPr>
          <w:rFonts w:cs="Arial"/>
          <w:bCs/>
          <w:szCs w:val="22"/>
        </w:rPr>
        <w:t xml:space="preserve">Notice of the intention to </w:t>
      </w:r>
      <w:r w:rsidR="00F82613" w:rsidRPr="007811C6">
        <w:rPr>
          <w:rFonts w:cs="Arial"/>
          <w:bCs/>
          <w:szCs w:val="22"/>
        </w:rPr>
        <w:t>ex</w:t>
      </w:r>
      <w:r w:rsidRPr="007811C6">
        <w:rPr>
          <w:rFonts w:cs="Arial"/>
          <w:bCs/>
          <w:szCs w:val="22"/>
        </w:rPr>
        <w:t xml:space="preserve">cept was initially given on the basis that the particulars of claim lack averments necessary to sustain a course of action, alternatively that the particulars are vague and embarrassing. The notice of exception itself does not state on which of these two grounds the exception is being brought </w:t>
      </w:r>
      <w:r w:rsidR="00F82613" w:rsidRPr="007811C6">
        <w:rPr>
          <w:rFonts w:cs="Arial"/>
          <w:bCs/>
          <w:szCs w:val="22"/>
        </w:rPr>
        <w:t>but</w:t>
      </w:r>
      <w:r w:rsidRPr="007811C6">
        <w:rPr>
          <w:rFonts w:cs="Arial"/>
          <w:bCs/>
          <w:szCs w:val="22"/>
        </w:rPr>
        <w:t xml:space="preserve"> the parties argue</w:t>
      </w:r>
      <w:r w:rsidR="00F82613" w:rsidRPr="007811C6">
        <w:rPr>
          <w:rFonts w:cs="Arial"/>
          <w:bCs/>
          <w:szCs w:val="22"/>
        </w:rPr>
        <w:t>d</w:t>
      </w:r>
      <w:r w:rsidRPr="007811C6">
        <w:rPr>
          <w:rFonts w:cs="Arial"/>
          <w:bCs/>
          <w:szCs w:val="22"/>
        </w:rPr>
        <w:t xml:space="preserve"> the matter on the basis that the bank was relying on both grounds in the alternative.</w:t>
      </w:r>
    </w:p>
    <w:p w14:paraId="5DA6D543" w14:textId="62AEE60E" w:rsidR="00F82613" w:rsidRPr="007811C6" w:rsidRDefault="00E67F32" w:rsidP="00E67F32">
      <w:pPr>
        <w:widowControl w:val="0"/>
        <w:numPr>
          <w:ilvl w:val="0"/>
          <w:numId w:val="1"/>
        </w:numPr>
        <w:spacing w:before="480" w:after="480" w:line="360" w:lineRule="auto"/>
        <w:jc w:val="both"/>
        <w:rPr>
          <w:rFonts w:cs="Arial"/>
          <w:bCs/>
          <w:szCs w:val="22"/>
        </w:rPr>
      </w:pPr>
      <w:proofErr w:type="spellStart"/>
      <w:r w:rsidRPr="007811C6">
        <w:rPr>
          <w:rFonts w:cs="Arial"/>
          <w:bCs/>
          <w:szCs w:val="22"/>
        </w:rPr>
        <w:t>Makgoka</w:t>
      </w:r>
      <w:proofErr w:type="spellEnd"/>
      <w:r w:rsidRPr="007811C6">
        <w:rPr>
          <w:rFonts w:cs="Arial"/>
          <w:bCs/>
          <w:szCs w:val="22"/>
        </w:rPr>
        <w:t xml:space="preserve"> J in </w:t>
      </w:r>
      <w:r w:rsidR="002E6CCA" w:rsidRPr="007811C6">
        <w:rPr>
          <w:i/>
          <w:iCs/>
          <w:szCs w:val="22"/>
        </w:rPr>
        <w:t>Living Hands (Pty) Ltd and Another v Ditz and Others</w:t>
      </w:r>
      <w:r w:rsidR="002E6CCA" w:rsidRPr="007811C6">
        <w:rPr>
          <w:rStyle w:val="FootnoteReference"/>
          <w:rFonts w:cs="Arial"/>
          <w:bCs/>
          <w:szCs w:val="22"/>
        </w:rPr>
        <w:t xml:space="preserve"> </w:t>
      </w:r>
      <w:r w:rsidRPr="007811C6">
        <w:rPr>
          <w:rStyle w:val="FootnoteReference"/>
          <w:rFonts w:cs="Arial"/>
          <w:bCs/>
          <w:szCs w:val="22"/>
        </w:rPr>
        <w:footnoteReference w:id="2"/>
      </w:r>
      <w:r w:rsidRPr="007811C6">
        <w:rPr>
          <w:rFonts w:cs="Arial"/>
          <w:bCs/>
          <w:szCs w:val="22"/>
        </w:rPr>
        <w:t xml:space="preserve"> and Maier-Frawley J in </w:t>
      </w:r>
      <w:proofErr w:type="spellStart"/>
      <w:r w:rsidR="002E6CCA" w:rsidRPr="007811C6">
        <w:rPr>
          <w:i/>
          <w:iCs/>
          <w:szCs w:val="22"/>
        </w:rPr>
        <w:t>Merb</w:t>
      </w:r>
      <w:proofErr w:type="spellEnd"/>
      <w:r w:rsidR="002E6CCA" w:rsidRPr="007811C6">
        <w:rPr>
          <w:i/>
          <w:iCs/>
          <w:szCs w:val="22"/>
        </w:rPr>
        <w:t> (Pty) Ltd v Matthews</w:t>
      </w:r>
      <w:r w:rsidR="002E6CCA" w:rsidRPr="007811C6">
        <w:rPr>
          <w:rStyle w:val="FootnoteReference"/>
          <w:rFonts w:cs="Arial"/>
          <w:bCs/>
          <w:szCs w:val="22"/>
        </w:rPr>
        <w:t xml:space="preserve"> </w:t>
      </w:r>
      <w:r w:rsidRPr="007811C6">
        <w:rPr>
          <w:rStyle w:val="FootnoteReference"/>
          <w:rFonts w:cs="Arial"/>
          <w:bCs/>
          <w:szCs w:val="22"/>
        </w:rPr>
        <w:footnoteReference w:id="3"/>
      </w:r>
      <w:r w:rsidRPr="007811C6">
        <w:rPr>
          <w:rFonts w:cs="Arial"/>
          <w:bCs/>
          <w:szCs w:val="22"/>
        </w:rPr>
        <w:t xml:space="preserve"> summarised the principles applicable to exceptions. An overly technical approach must be avoided but at the same time a case must be pleaded in such a way that the opponent can react thereto. The exception is therefore a legal objection to the pleading and it complains of a defect inherent in the pleading </w:t>
      </w:r>
      <w:r w:rsidR="002E6CCA" w:rsidRPr="007811C6">
        <w:rPr>
          <w:rFonts w:cs="Arial"/>
          <w:bCs/>
          <w:szCs w:val="22"/>
        </w:rPr>
        <w:t xml:space="preserve">in </w:t>
      </w:r>
      <w:r w:rsidR="00F82613" w:rsidRPr="007811C6">
        <w:rPr>
          <w:rFonts w:cs="Arial"/>
          <w:bCs/>
          <w:szCs w:val="22"/>
        </w:rPr>
        <w:t xml:space="preserve">the sense </w:t>
      </w:r>
      <w:r w:rsidRPr="007811C6">
        <w:rPr>
          <w:rFonts w:cs="Arial"/>
          <w:bCs/>
          <w:szCs w:val="22"/>
        </w:rPr>
        <w:t xml:space="preserve">that even if all the allegations in the pleading were </w:t>
      </w:r>
      <w:r w:rsidR="007811C6">
        <w:rPr>
          <w:rFonts w:cs="Arial"/>
          <w:bCs/>
          <w:szCs w:val="22"/>
        </w:rPr>
        <w:t>proven</w:t>
      </w:r>
      <w:r w:rsidRPr="007811C6">
        <w:rPr>
          <w:rFonts w:cs="Arial"/>
          <w:bCs/>
          <w:szCs w:val="22"/>
        </w:rPr>
        <w:t>, the pleading does not disclose a c</w:t>
      </w:r>
      <w:r w:rsidR="00F82613" w:rsidRPr="007811C6">
        <w:rPr>
          <w:rFonts w:cs="Arial"/>
          <w:bCs/>
          <w:szCs w:val="22"/>
        </w:rPr>
        <w:t>ause</w:t>
      </w:r>
      <w:r w:rsidRPr="007811C6">
        <w:rPr>
          <w:rFonts w:cs="Arial"/>
          <w:bCs/>
          <w:szCs w:val="22"/>
        </w:rPr>
        <w:t xml:space="preserve"> of action or a defence</w:t>
      </w:r>
      <w:r w:rsidR="00CE1989">
        <w:rPr>
          <w:rFonts w:cs="Arial"/>
          <w:bCs/>
          <w:szCs w:val="22"/>
        </w:rPr>
        <w:t>, or that it is so vague and embarrassing that it cannot be responded to meaningfully.</w:t>
      </w:r>
    </w:p>
    <w:p w14:paraId="12E35C14" w14:textId="5470F9B8" w:rsidR="00E67F32" w:rsidRPr="007811C6" w:rsidRDefault="00E67F32" w:rsidP="00E67F32">
      <w:pPr>
        <w:widowControl w:val="0"/>
        <w:numPr>
          <w:ilvl w:val="0"/>
          <w:numId w:val="1"/>
        </w:numPr>
        <w:spacing w:before="480" w:after="480" w:line="360" w:lineRule="auto"/>
        <w:jc w:val="both"/>
        <w:rPr>
          <w:rFonts w:cs="Arial"/>
          <w:bCs/>
          <w:szCs w:val="22"/>
        </w:rPr>
      </w:pPr>
      <w:r w:rsidRPr="007811C6">
        <w:rPr>
          <w:rFonts w:cs="Arial"/>
          <w:bCs/>
          <w:szCs w:val="22"/>
        </w:rPr>
        <w:t>The court will look only at the pleading concerned and will not take into account extraneous evidence or allegations of fact relied upon by the excipient.</w:t>
      </w:r>
      <w:r w:rsidR="002E6CCA" w:rsidRPr="007811C6">
        <w:rPr>
          <w:rFonts w:cs="Arial"/>
          <w:bCs/>
          <w:szCs w:val="22"/>
        </w:rPr>
        <w:t xml:space="preserve"> It is therefore </w:t>
      </w:r>
      <w:r w:rsidR="007811C6">
        <w:rPr>
          <w:rFonts w:cs="Arial"/>
          <w:bCs/>
          <w:szCs w:val="22"/>
        </w:rPr>
        <w:t>impermissible</w:t>
      </w:r>
      <w:r w:rsidR="002E6CCA" w:rsidRPr="007811C6">
        <w:rPr>
          <w:rFonts w:cs="Arial"/>
          <w:bCs/>
          <w:szCs w:val="22"/>
        </w:rPr>
        <w:t xml:space="preserve"> to plead facts in a notice of exception, as the bank attempts to do.</w:t>
      </w:r>
    </w:p>
    <w:p w14:paraId="37502376" w14:textId="0D28F0AC" w:rsidR="00E67F32" w:rsidRPr="007811C6" w:rsidRDefault="00E67F32" w:rsidP="00E67F32">
      <w:pPr>
        <w:widowControl w:val="0"/>
        <w:numPr>
          <w:ilvl w:val="0"/>
          <w:numId w:val="1"/>
        </w:numPr>
        <w:spacing w:before="480" w:after="480" w:line="360" w:lineRule="auto"/>
        <w:jc w:val="both"/>
        <w:rPr>
          <w:rFonts w:cs="Arial"/>
          <w:bCs/>
          <w:szCs w:val="22"/>
        </w:rPr>
      </w:pPr>
      <w:r w:rsidRPr="007811C6">
        <w:rPr>
          <w:rFonts w:cs="Arial"/>
          <w:bCs/>
          <w:szCs w:val="22"/>
        </w:rPr>
        <w:t xml:space="preserve">The objective is to dispose of a case or a portion of the case, or to protect </w:t>
      </w:r>
      <w:r w:rsidR="002E6CCA" w:rsidRPr="007811C6">
        <w:rPr>
          <w:rFonts w:cs="Arial"/>
          <w:bCs/>
          <w:szCs w:val="22"/>
        </w:rPr>
        <w:t>a</w:t>
      </w:r>
      <w:r w:rsidRPr="007811C6">
        <w:rPr>
          <w:rFonts w:cs="Arial"/>
          <w:bCs/>
          <w:szCs w:val="22"/>
        </w:rPr>
        <w:t xml:space="preserve"> party against embarrassment in presenting its own case. It provides a useful mechanism for </w:t>
      </w:r>
      <w:r w:rsidRPr="007811C6">
        <w:rPr>
          <w:rFonts w:cs="Arial"/>
          <w:bCs/>
          <w:szCs w:val="22"/>
        </w:rPr>
        <w:lastRenderedPageBreak/>
        <w:t>weeding out cases without legal merit</w:t>
      </w:r>
      <w:r w:rsidR="007811C6">
        <w:rPr>
          <w:rFonts w:cs="Arial"/>
          <w:bCs/>
          <w:szCs w:val="22"/>
        </w:rPr>
        <w:t>.</w:t>
      </w:r>
    </w:p>
    <w:p w14:paraId="24DFCFC0" w14:textId="4CFBDF02" w:rsidR="00D4178A" w:rsidRPr="007811C6" w:rsidRDefault="00D4178A" w:rsidP="00A85664">
      <w:pPr>
        <w:widowControl w:val="0"/>
        <w:numPr>
          <w:ilvl w:val="0"/>
          <w:numId w:val="1"/>
        </w:numPr>
        <w:spacing w:before="480" w:after="480" w:line="360" w:lineRule="auto"/>
        <w:jc w:val="both"/>
        <w:rPr>
          <w:rFonts w:cs="Arial"/>
          <w:bCs/>
          <w:szCs w:val="22"/>
        </w:rPr>
      </w:pPr>
      <w:r w:rsidRPr="007811C6">
        <w:rPr>
          <w:rFonts w:cs="Arial"/>
          <w:bCs/>
          <w:szCs w:val="22"/>
        </w:rPr>
        <w:t>The plaintiff sets out three claims in the particulars of claim. All three claims relate to payments made by the plaintiff into the</w:t>
      </w:r>
      <w:r w:rsidR="00271246" w:rsidRPr="007811C6">
        <w:rPr>
          <w:rFonts w:cs="Arial"/>
          <w:bCs/>
          <w:szCs w:val="22"/>
        </w:rPr>
        <w:t xml:space="preserve"> account</w:t>
      </w:r>
      <w:r w:rsidRPr="007811C6">
        <w:rPr>
          <w:rFonts w:cs="Arial"/>
          <w:bCs/>
          <w:szCs w:val="22"/>
        </w:rPr>
        <w:t xml:space="preserve"> of the second defendant </w:t>
      </w:r>
      <w:r w:rsidR="00271246" w:rsidRPr="007811C6">
        <w:rPr>
          <w:rFonts w:cs="Arial"/>
          <w:bCs/>
          <w:szCs w:val="22"/>
        </w:rPr>
        <w:t xml:space="preserve">with the bank </w:t>
      </w:r>
      <w:r w:rsidRPr="007811C6">
        <w:rPr>
          <w:rFonts w:cs="Arial"/>
          <w:bCs/>
          <w:szCs w:val="22"/>
        </w:rPr>
        <w:t>and the same allegations are made in respect of the conduct of the bank</w:t>
      </w:r>
      <w:r w:rsidR="00F82613" w:rsidRPr="007811C6">
        <w:rPr>
          <w:rFonts w:cs="Arial"/>
          <w:bCs/>
          <w:szCs w:val="22"/>
        </w:rPr>
        <w:t xml:space="preserve"> in respect of all three claims</w:t>
      </w:r>
      <w:r w:rsidRPr="007811C6">
        <w:rPr>
          <w:rFonts w:cs="Arial"/>
          <w:bCs/>
          <w:szCs w:val="22"/>
        </w:rPr>
        <w:t xml:space="preserve">. </w:t>
      </w:r>
    </w:p>
    <w:p w14:paraId="07D22411" w14:textId="1DF14BC0" w:rsidR="00D2345D" w:rsidRPr="007811C6" w:rsidRDefault="004C1D86" w:rsidP="00A85664">
      <w:pPr>
        <w:widowControl w:val="0"/>
        <w:numPr>
          <w:ilvl w:val="0"/>
          <w:numId w:val="1"/>
        </w:numPr>
        <w:spacing w:before="480" w:after="480" w:line="360" w:lineRule="auto"/>
        <w:jc w:val="both"/>
        <w:rPr>
          <w:rFonts w:cs="Arial"/>
          <w:bCs/>
          <w:szCs w:val="22"/>
        </w:rPr>
      </w:pPr>
      <w:r w:rsidRPr="007811C6">
        <w:rPr>
          <w:rFonts w:cs="Arial"/>
          <w:bCs/>
          <w:szCs w:val="22"/>
        </w:rPr>
        <w:t xml:space="preserve">The plaintiff’s claim against the bank is based </w:t>
      </w:r>
      <w:r w:rsidR="00DC61D2" w:rsidRPr="007811C6">
        <w:rPr>
          <w:rFonts w:cs="Arial"/>
          <w:bCs/>
          <w:i/>
          <w:iCs/>
          <w:szCs w:val="22"/>
        </w:rPr>
        <w:t>inter alia</w:t>
      </w:r>
      <w:r w:rsidR="00DC61D2" w:rsidRPr="007811C6">
        <w:rPr>
          <w:rFonts w:cs="Arial"/>
          <w:bCs/>
          <w:szCs w:val="22"/>
        </w:rPr>
        <w:t xml:space="preserve"> </w:t>
      </w:r>
      <w:r w:rsidRPr="007811C6">
        <w:rPr>
          <w:rFonts w:cs="Arial"/>
          <w:bCs/>
          <w:szCs w:val="22"/>
        </w:rPr>
        <w:t xml:space="preserve">on an alleged failure to comply with the provisions of the Financial Intelligence Centre Act 38 of 2001 as well as the regulations made under the </w:t>
      </w:r>
      <w:r w:rsidR="00F82613" w:rsidRPr="007811C6">
        <w:rPr>
          <w:rFonts w:cs="Arial"/>
          <w:bCs/>
          <w:szCs w:val="22"/>
        </w:rPr>
        <w:t xml:space="preserve">Act </w:t>
      </w:r>
      <w:r w:rsidRPr="007811C6">
        <w:rPr>
          <w:rFonts w:cs="Arial"/>
          <w:bCs/>
          <w:szCs w:val="22"/>
        </w:rPr>
        <w:t xml:space="preserve">when it opened a bank account for the second defendant. It is alleged that </w:t>
      </w:r>
      <w:r w:rsidR="00F82613" w:rsidRPr="007811C6">
        <w:rPr>
          <w:rFonts w:cs="Arial"/>
          <w:bCs/>
          <w:szCs w:val="22"/>
        </w:rPr>
        <w:t>-</w:t>
      </w:r>
    </w:p>
    <w:p w14:paraId="10A3D9D9" w14:textId="77777777" w:rsidR="00DC61D2" w:rsidRPr="007811C6" w:rsidRDefault="004C1D86" w:rsidP="00DC61D2">
      <w:pPr>
        <w:widowControl w:val="0"/>
        <w:numPr>
          <w:ilvl w:val="1"/>
          <w:numId w:val="1"/>
        </w:numPr>
        <w:spacing w:before="480" w:after="480" w:line="360" w:lineRule="auto"/>
        <w:jc w:val="both"/>
        <w:rPr>
          <w:rFonts w:cs="Arial"/>
          <w:bCs/>
          <w:szCs w:val="22"/>
        </w:rPr>
      </w:pPr>
      <w:r w:rsidRPr="007811C6">
        <w:rPr>
          <w:rFonts w:cs="Arial"/>
          <w:bCs/>
          <w:szCs w:val="22"/>
        </w:rPr>
        <w:t>the</w:t>
      </w:r>
      <w:r w:rsidR="00D2345D" w:rsidRPr="007811C6">
        <w:rPr>
          <w:rFonts w:cs="Arial"/>
          <w:bCs/>
          <w:szCs w:val="22"/>
        </w:rPr>
        <w:t xml:space="preserve"> application by the second defendant to open its account with the bank was not accompanied by the documents required in terms of the Financial Intelligence Centre Act 38 of 2001,</w:t>
      </w:r>
      <w:r w:rsidRPr="007811C6">
        <w:rPr>
          <w:rFonts w:cs="Arial"/>
          <w:bCs/>
          <w:szCs w:val="22"/>
        </w:rPr>
        <w:t xml:space="preserve"> </w:t>
      </w:r>
    </w:p>
    <w:p w14:paraId="4F7C9F09" w14:textId="4FE3ED99" w:rsidR="00DC61D2" w:rsidRPr="007811C6" w:rsidRDefault="00DC61D2" w:rsidP="00DC61D2">
      <w:pPr>
        <w:widowControl w:val="0"/>
        <w:numPr>
          <w:ilvl w:val="1"/>
          <w:numId w:val="1"/>
        </w:numPr>
        <w:spacing w:before="480" w:after="480" w:line="360" w:lineRule="auto"/>
        <w:jc w:val="both"/>
        <w:rPr>
          <w:rFonts w:cs="Arial"/>
          <w:bCs/>
          <w:szCs w:val="22"/>
        </w:rPr>
      </w:pPr>
      <w:r w:rsidRPr="007811C6">
        <w:rPr>
          <w:rFonts w:cs="Arial"/>
          <w:bCs/>
          <w:szCs w:val="22"/>
        </w:rPr>
        <w:t xml:space="preserve">the </w:t>
      </w:r>
      <w:r w:rsidR="004C1D86" w:rsidRPr="007811C6">
        <w:rPr>
          <w:rFonts w:cs="Arial"/>
          <w:bCs/>
          <w:szCs w:val="22"/>
        </w:rPr>
        <w:t xml:space="preserve">bank failed to confirm and verify the details and correctness of the bank account into which </w:t>
      </w:r>
      <w:r w:rsidR="00117679" w:rsidRPr="007811C6">
        <w:rPr>
          <w:rFonts w:cs="Arial"/>
          <w:bCs/>
          <w:szCs w:val="22"/>
        </w:rPr>
        <w:t>the</w:t>
      </w:r>
      <w:r w:rsidR="004C1D86" w:rsidRPr="007811C6">
        <w:rPr>
          <w:rFonts w:cs="Arial"/>
          <w:bCs/>
          <w:szCs w:val="22"/>
        </w:rPr>
        <w:t xml:space="preserve"> amount</w:t>
      </w:r>
      <w:r w:rsidR="00F82613" w:rsidRPr="007811C6">
        <w:rPr>
          <w:rFonts w:cs="Arial"/>
          <w:bCs/>
          <w:szCs w:val="22"/>
        </w:rPr>
        <w:t>s totalling R600,000</w:t>
      </w:r>
      <w:r w:rsidR="004C1D86" w:rsidRPr="007811C6">
        <w:rPr>
          <w:rFonts w:cs="Arial"/>
          <w:bCs/>
          <w:szCs w:val="22"/>
        </w:rPr>
        <w:t xml:space="preserve"> </w:t>
      </w:r>
      <w:r w:rsidR="00F82613" w:rsidRPr="007811C6">
        <w:rPr>
          <w:rFonts w:cs="Arial"/>
          <w:bCs/>
          <w:szCs w:val="22"/>
        </w:rPr>
        <w:t>were</w:t>
      </w:r>
      <w:r w:rsidR="004C1D86" w:rsidRPr="007811C6">
        <w:rPr>
          <w:rFonts w:cs="Arial"/>
          <w:bCs/>
          <w:szCs w:val="22"/>
        </w:rPr>
        <w:t xml:space="preserve"> paid,</w:t>
      </w:r>
      <w:r w:rsidRPr="007811C6">
        <w:rPr>
          <w:rFonts w:cs="Arial"/>
          <w:bCs/>
          <w:szCs w:val="22"/>
        </w:rPr>
        <w:t xml:space="preserve"> </w:t>
      </w:r>
    </w:p>
    <w:p w14:paraId="7FD91EED" w14:textId="77777777" w:rsidR="00DC61D2" w:rsidRPr="007811C6" w:rsidRDefault="00DC61D2" w:rsidP="00DC61D2">
      <w:pPr>
        <w:widowControl w:val="0"/>
        <w:numPr>
          <w:ilvl w:val="1"/>
          <w:numId w:val="1"/>
        </w:numPr>
        <w:spacing w:before="480" w:after="480" w:line="360" w:lineRule="auto"/>
        <w:jc w:val="both"/>
        <w:rPr>
          <w:rFonts w:cs="Arial"/>
          <w:bCs/>
          <w:szCs w:val="22"/>
        </w:rPr>
      </w:pPr>
      <w:r w:rsidRPr="007811C6">
        <w:rPr>
          <w:rFonts w:cs="Arial"/>
          <w:bCs/>
          <w:szCs w:val="22"/>
        </w:rPr>
        <w:t>the bank</w:t>
      </w:r>
      <w:r w:rsidR="004C1D86" w:rsidRPr="007811C6">
        <w:rPr>
          <w:rFonts w:cs="Arial"/>
          <w:bCs/>
          <w:szCs w:val="22"/>
        </w:rPr>
        <w:t xml:space="preserve"> failed to adhere to general banking practice by crediting the bank account,</w:t>
      </w:r>
    </w:p>
    <w:p w14:paraId="32DD825F" w14:textId="19438FD9" w:rsidR="00DC61D2" w:rsidRPr="007811C6" w:rsidRDefault="00DC61D2" w:rsidP="00DC61D2">
      <w:pPr>
        <w:widowControl w:val="0"/>
        <w:numPr>
          <w:ilvl w:val="1"/>
          <w:numId w:val="1"/>
        </w:numPr>
        <w:spacing w:before="480" w:after="480" w:line="360" w:lineRule="auto"/>
        <w:jc w:val="both"/>
        <w:rPr>
          <w:rFonts w:cs="Arial"/>
          <w:bCs/>
          <w:szCs w:val="22"/>
        </w:rPr>
      </w:pPr>
      <w:r w:rsidRPr="007811C6">
        <w:rPr>
          <w:rFonts w:cs="Arial"/>
          <w:bCs/>
          <w:szCs w:val="22"/>
        </w:rPr>
        <w:t>the bank</w:t>
      </w:r>
      <w:r w:rsidR="004C1D86" w:rsidRPr="007811C6">
        <w:rPr>
          <w:rFonts w:cs="Arial"/>
          <w:bCs/>
          <w:szCs w:val="22"/>
        </w:rPr>
        <w:t xml:space="preserve"> failed to freeze the second defendant’s bank account and </w:t>
      </w:r>
      <w:r w:rsidR="007811C6">
        <w:rPr>
          <w:rFonts w:cs="Arial"/>
          <w:bCs/>
          <w:szCs w:val="22"/>
        </w:rPr>
        <w:t>conduct</w:t>
      </w:r>
      <w:r w:rsidR="004C1D86" w:rsidRPr="007811C6">
        <w:rPr>
          <w:rFonts w:cs="Arial"/>
          <w:bCs/>
          <w:szCs w:val="22"/>
        </w:rPr>
        <w:t xml:space="preserve"> a due diligence investigation into the receipt of the money,</w:t>
      </w:r>
      <w:r w:rsidRPr="007811C6">
        <w:rPr>
          <w:rFonts w:cs="Arial"/>
          <w:bCs/>
          <w:szCs w:val="22"/>
        </w:rPr>
        <w:t xml:space="preserve"> </w:t>
      </w:r>
    </w:p>
    <w:p w14:paraId="6EF8A8CC" w14:textId="77777777" w:rsidR="00DC61D2" w:rsidRPr="007811C6" w:rsidRDefault="00DC61D2" w:rsidP="00DC61D2">
      <w:pPr>
        <w:widowControl w:val="0"/>
        <w:numPr>
          <w:ilvl w:val="1"/>
          <w:numId w:val="1"/>
        </w:numPr>
        <w:spacing w:before="480" w:after="480" w:line="360" w:lineRule="auto"/>
        <w:jc w:val="both"/>
        <w:rPr>
          <w:rFonts w:cs="Arial"/>
          <w:bCs/>
          <w:szCs w:val="22"/>
        </w:rPr>
      </w:pPr>
      <w:r w:rsidRPr="007811C6">
        <w:rPr>
          <w:rFonts w:cs="Arial"/>
          <w:bCs/>
          <w:szCs w:val="22"/>
        </w:rPr>
        <w:t>the bank</w:t>
      </w:r>
      <w:r w:rsidR="004C1D86" w:rsidRPr="007811C6">
        <w:rPr>
          <w:rFonts w:cs="Arial"/>
          <w:bCs/>
          <w:szCs w:val="22"/>
        </w:rPr>
        <w:t xml:space="preserve"> failed to report the transaction when there were reasonable grounds to suspect that the transaction was unlawful or related to an offence, </w:t>
      </w:r>
    </w:p>
    <w:p w14:paraId="4B5215CF" w14:textId="74932ECC" w:rsidR="00DC61D2" w:rsidRPr="007811C6" w:rsidRDefault="00DC61D2" w:rsidP="00DC61D2">
      <w:pPr>
        <w:widowControl w:val="0"/>
        <w:numPr>
          <w:ilvl w:val="1"/>
          <w:numId w:val="1"/>
        </w:numPr>
        <w:spacing w:before="480" w:after="480" w:line="360" w:lineRule="auto"/>
        <w:jc w:val="both"/>
        <w:rPr>
          <w:rFonts w:cs="Arial"/>
          <w:bCs/>
          <w:szCs w:val="22"/>
        </w:rPr>
      </w:pPr>
      <w:r w:rsidRPr="007811C6">
        <w:rPr>
          <w:rFonts w:cs="Arial"/>
          <w:bCs/>
          <w:szCs w:val="22"/>
        </w:rPr>
        <w:t xml:space="preserve">the bank </w:t>
      </w:r>
      <w:r w:rsidR="004C1D86" w:rsidRPr="007811C6">
        <w:rPr>
          <w:rFonts w:cs="Arial"/>
          <w:bCs/>
          <w:szCs w:val="22"/>
        </w:rPr>
        <w:t xml:space="preserve">failed to perform its obligations in accordance with the South African </w:t>
      </w:r>
      <w:r w:rsidR="002E6CCA" w:rsidRPr="007811C6">
        <w:rPr>
          <w:rFonts w:cs="Arial"/>
          <w:bCs/>
          <w:szCs w:val="22"/>
        </w:rPr>
        <w:t xml:space="preserve">Reserve </w:t>
      </w:r>
      <w:r w:rsidR="004C1D86" w:rsidRPr="007811C6">
        <w:rPr>
          <w:rFonts w:cs="Arial"/>
          <w:bCs/>
          <w:szCs w:val="22"/>
        </w:rPr>
        <w:t xml:space="preserve">Bank directions regarding suspicious transactions </w:t>
      </w:r>
      <w:r w:rsidR="007811C6">
        <w:rPr>
          <w:rFonts w:cs="Arial"/>
          <w:bCs/>
          <w:szCs w:val="22"/>
        </w:rPr>
        <w:t>or</w:t>
      </w:r>
      <w:r w:rsidR="004C1D86" w:rsidRPr="007811C6">
        <w:rPr>
          <w:rFonts w:cs="Arial"/>
          <w:bCs/>
          <w:szCs w:val="22"/>
        </w:rPr>
        <w:t xml:space="preserve"> unusual transactions, </w:t>
      </w:r>
    </w:p>
    <w:p w14:paraId="767C7231" w14:textId="101A73F9" w:rsidR="0061036C" w:rsidRPr="007811C6" w:rsidRDefault="00DC61D2" w:rsidP="00DC61D2">
      <w:pPr>
        <w:widowControl w:val="0"/>
        <w:numPr>
          <w:ilvl w:val="1"/>
          <w:numId w:val="1"/>
        </w:numPr>
        <w:spacing w:before="480" w:after="480" w:line="360" w:lineRule="auto"/>
        <w:jc w:val="both"/>
        <w:rPr>
          <w:rFonts w:cs="Arial"/>
          <w:bCs/>
          <w:szCs w:val="22"/>
        </w:rPr>
      </w:pPr>
      <w:r w:rsidRPr="007811C6">
        <w:rPr>
          <w:rFonts w:cs="Arial"/>
          <w:bCs/>
          <w:szCs w:val="22"/>
        </w:rPr>
        <w:t xml:space="preserve">the bank </w:t>
      </w:r>
      <w:r w:rsidR="004C1D86" w:rsidRPr="007811C6">
        <w:rPr>
          <w:rFonts w:cs="Arial"/>
          <w:bCs/>
          <w:szCs w:val="22"/>
        </w:rPr>
        <w:t xml:space="preserve">failed to perform its obligations without negligence and in a professional manner in accordance with the prescribed functions, </w:t>
      </w:r>
      <w:r w:rsidR="004C1D86" w:rsidRPr="007811C6">
        <w:rPr>
          <w:rFonts w:cs="Arial"/>
          <w:bCs/>
          <w:szCs w:val="22"/>
        </w:rPr>
        <w:lastRenderedPageBreak/>
        <w:t xml:space="preserve">processes and safeguards in according with the South African </w:t>
      </w:r>
      <w:r w:rsidRPr="007811C6">
        <w:rPr>
          <w:rFonts w:cs="Arial"/>
          <w:bCs/>
          <w:szCs w:val="22"/>
        </w:rPr>
        <w:t xml:space="preserve">Reserve </w:t>
      </w:r>
      <w:r w:rsidR="004C1D86" w:rsidRPr="007811C6">
        <w:rPr>
          <w:rFonts w:cs="Arial"/>
          <w:bCs/>
          <w:szCs w:val="22"/>
        </w:rPr>
        <w:t xml:space="preserve">Bank rules and procedures, the code of banking practice, general banking practice and procedure, and </w:t>
      </w:r>
      <w:r w:rsidR="00CE1989">
        <w:rPr>
          <w:rFonts w:cs="Arial"/>
          <w:bCs/>
          <w:szCs w:val="22"/>
        </w:rPr>
        <w:t>failed</w:t>
      </w:r>
      <w:r w:rsidR="004C1D86" w:rsidRPr="007811C6">
        <w:rPr>
          <w:rFonts w:cs="Arial"/>
          <w:bCs/>
          <w:szCs w:val="22"/>
        </w:rPr>
        <w:t xml:space="preserve"> to comply with its own internal rules and procedures.</w:t>
      </w:r>
    </w:p>
    <w:p w14:paraId="5E603797" w14:textId="0B86F5EB" w:rsidR="00DC61D2" w:rsidRPr="007811C6" w:rsidRDefault="00DC61D2" w:rsidP="00F50BE9">
      <w:pPr>
        <w:widowControl w:val="0"/>
        <w:numPr>
          <w:ilvl w:val="0"/>
          <w:numId w:val="1"/>
        </w:numPr>
        <w:spacing w:before="480" w:after="480" w:line="360" w:lineRule="auto"/>
        <w:jc w:val="both"/>
        <w:rPr>
          <w:rFonts w:cs="Arial"/>
          <w:bCs/>
          <w:szCs w:val="22"/>
        </w:rPr>
      </w:pPr>
      <w:r w:rsidRPr="007811C6">
        <w:rPr>
          <w:rFonts w:cs="Arial"/>
          <w:bCs/>
          <w:szCs w:val="22"/>
        </w:rPr>
        <w:t xml:space="preserve">The general banking practice, the provisions of the code of banking practice, and </w:t>
      </w:r>
      <w:r w:rsidR="00117679" w:rsidRPr="007811C6">
        <w:rPr>
          <w:rFonts w:cs="Arial"/>
          <w:bCs/>
          <w:szCs w:val="22"/>
        </w:rPr>
        <w:t>the rules and procedures of the Reserve Bank</w:t>
      </w:r>
      <w:r w:rsidR="00E67F32" w:rsidRPr="007811C6">
        <w:rPr>
          <w:rFonts w:cs="Arial"/>
          <w:bCs/>
          <w:szCs w:val="22"/>
        </w:rPr>
        <w:t xml:space="preserve"> relied upon</w:t>
      </w:r>
      <w:r w:rsidR="00117679" w:rsidRPr="007811C6">
        <w:rPr>
          <w:rFonts w:cs="Arial"/>
          <w:bCs/>
          <w:szCs w:val="22"/>
        </w:rPr>
        <w:t xml:space="preserve"> are not identified</w:t>
      </w:r>
      <w:r w:rsidR="00271246" w:rsidRPr="007811C6">
        <w:rPr>
          <w:rFonts w:cs="Arial"/>
          <w:bCs/>
          <w:szCs w:val="22"/>
        </w:rPr>
        <w:t xml:space="preserve">. </w:t>
      </w:r>
      <w:r w:rsidR="00F82613" w:rsidRPr="007811C6">
        <w:rPr>
          <w:rFonts w:cs="Arial"/>
          <w:bCs/>
          <w:szCs w:val="22"/>
        </w:rPr>
        <w:t>The reasonable grounds that should have alerted the bank that fraud was being committed are also not identified.</w:t>
      </w:r>
      <w:r w:rsidR="007811C6" w:rsidRPr="007811C6">
        <w:rPr>
          <w:rFonts w:cs="Arial"/>
          <w:bCs/>
          <w:szCs w:val="22"/>
        </w:rPr>
        <w:t xml:space="preserve"> </w:t>
      </w:r>
      <w:r w:rsidR="00271246" w:rsidRPr="007811C6">
        <w:rPr>
          <w:rFonts w:cs="Arial"/>
          <w:bCs/>
          <w:szCs w:val="22"/>
        </w:rPr>
        <w:t xml:space="preserve">No facts are pleaded justifying the </w:t>
      </w:r>
      <w:r w:rsidR="007811C6">
        <w:rPr>
          <w:rFonts w:cs="Arial"/>
          <w:bCs/>
          <w:szCs w:val="22"/>
        </w:rPr>
        <w:t>averment</w:t>
      </w:r>
      <w:r w:rsidR="00271246" w:rsidRPr="007811C6">
        <w:rPr>
          <w:rFonts w:cs="Arial"/>
          <w:bCs/>
          <w:szCs w:val="22"/>
        </w:rPr>
        <w:t xml:space="preserve"> that the code of banking practice is applicable to the matter</w:t>
      </w:r>
      <w:r w:rsidR="00156C9E">
        <w:rPr>
          <w:rFonts w:cs="Arial"/>
          <w:bCs/>
          <w:szCs w:val="22"/>
        </w:rPr>
        <w:t>, this being a claim in delict.</w:t>
      </w:r>
    </w:p>
    <w:p w14:paraId="1608467A" w14:textId="7F14445C" w:rsidR="00F82613" w:rsidRPr="007811C6" w:rsidRDefault="00E67F32" w:rsidP="00A85664">
      <w:pPr>
        <w:widowControl w:val="0"/>
        <w:numPr>
          <w:ilvl w:val="0"/>
          <w:numId w:val="1"/>
        </w:numPr>
        <w:spacing w:before="480" w:after="480" w:line="360" w:lineRule="auto"/>
        <w:jc w:val="both"/>
        <w:rPr>
          <w:rFonts w:cs="Arial"/>
          <w:bCs/>
          <w:szCs w:val="22"/>
        </w:rPr>
      </w:pPr>
      <w:r w:rsidRPr="007811C6">
        <w:rPr>
          <w:rFonts w:cs="Arial"/>
          <w:bCs/>
          <w:szCs w:val="22"/>
        </w:rPr>
        <w:t xml:space="preserve">The question whether the failure of the bank to comply with the provisions of the Financial Centre Intelligence Act gives rise to </w:t>
      </w:r>
      <w:proofErr w:type="spellStart"/>
      <w:r w:rsidR="00F82613" w:rsidRPr="007811C6">
        <w:rPr>
          <w:rFonts w:cs="Arial"/>
          <w:bCs/>
          <w:szCs w:val="22"/>
        </w:rPr>
        <w:t>delictual</w:t>
      </w:r>
      <w:proofErr w:type="spellEnd"/>
      <w:r w:rsidRPr="007811C6">
        <w:rPr>
          <w:rFonts w:cs="Arial"/>
          <w:bCs/>
          <w:szCs w:val="22"/>
        </w:rPr>
        <w:t xml:space="preserve"> liability on the part of the bank need not and indeed should not be decided </w:t>
      </w:r>
      <w:r w:rsidR="00F82613" w:rsidRPr="007811C6">
        <w:rPr>
          <w:rFonts w:cs="Arial"/>
          <w:bCs/>
          <w:szCs w:val="22"/>
        </w:rPr>
        <w:t>in this</w:t>
      </w:r>
      <w:r w:rsidRPr="007811C6">
        <w:rPr>
          <w:rFonts w:cs="Arial"/>
          <w:bCs/>
          <w:szCs w:val="22"/>
        </w:rPr>
        <w:t xml:space="preserve"> exception. </w:t>
      </w:r>
      <w:r w:rsidR="00F82613" w:rsidRPr="007811C6">
        <w:rPr>
          <w:rFonts w:cs="Arial"/>
          <w:bCs/>
          <w:szCs w:val="22"/>
        </w:rPr>
        <w:t>The question was not argued and not specifically dealt with by the</w:t>
      </w:r>
      <w:r w:rsidR="007811C6">
        <w:rPr>
          <w:rFonts w:cs="Arial"/>
          <w:bCs/>
          <w:szCs w:val="22"/>
        </w:rPr>
        <w:t xml:space="preserve"> legal teams</w:t>
      </w:r>
      <w:r w:rsidR="00F82613" w:rsidRPr="007811C6">
        <w:rPr>
          <w:rFonts w:cs="Arial"/>
          <w:bCs/>
          <w:szCs w:val="22"/>
        </w:rPr>
        <w:t>. It may very well be that it is question not suitable to be finally disposed of on exception</w:t>
      </w:r>
      <w:r w:rsidR="007811C6">
        <w:rPr>
          <w:rFonts w:cs="Arial"/>
          <w:bCs/>
          <w:szCs w:val="22"/>
        </w:rPr>
        <w:t xml:space="preserve"> at all.</w:t>
      </w:r>
    </w:p>
    <w:p w14:paraId="213ACDC9" w14:textId="1E515023" w:rsidR="00E67F32" w:rsidRPr="007811C6" w:rsidRDefault="00E67F32" w:rsidP="006545D0">
      <w:pPr>
        <w:widowControl w:val="0"/>
        <w:spacing w:before="480" w:after="480" w:line="360" w:lineRule="auto"/>
        <w:jc w:val="both"/>
        <w:rPr>
          <w:rFonts w:cs="Arial"/>
          <w:bCs/>
          <w:szCs w:val="22"/>
        </w:rPr>
      </w:pPr>
      <w:r w:rsidRPr="007811C6">
        <w:rPr>
          <w:rFonts w:cs="Arial"/>
          <w:bCs/>
          <w:szCs w:val="22"/>
        </w:rPr>
        <w:t>It has been held that a failure to comply with statutory duties imposed by</w:t>
      </w:r>
      <w:r w:rsidR="007811C6">
        <w:rPr>
          <w:rFonts w:cs="Arial"/>
          <w:bCs/>
          <w:szCs w:val="22"/>
        </w:rPr>
        <w:t xml:space="preserve"> related legislation, </w:t>
      </w:r>
      <w:proofErr w:type="gramStart"/>
      <w:r w:rsidR="007811C6">
        <w:rPr>
          <w:rFonts w:cs="Arial"/>
          <w:bCs/>
          <w:szCs w:val="22"/>
        </w:rPr>
        <w:t xml:space="preserve">namely </w:t>
      </w:r>
      <w:r w:rsidRPr="007811C6">
        <w:rPr>
          <w:rFonts w:cs="Arial"/>
          <w:bCs/>
          <w:szCs w:val="22"/>
        </w:rPr>
        <w:t xml:space="preserve"> the</w:t>
      </w:r>
      <w:proofErr w:type="gramEnd"/>
      <w:r w:rsidRPr="007811C6">
        <w:rPr>
          <w:rFonts w:cs="Arial"/>
          <w:bCs/>
          <w:szCs w:val="22"/>
        </w:rPr>
        <w:t xml:space="preserve"> Proceeds of Crime Act 76 of 1996 did not</w:t>
      </w:r>
      <w:r w:rsidR="00452B52" w:rsidRPr="007811C6">
        <w:rPr>
          <w:rFonts w:cs="Arial"/>
          <w:bCs/>
          <w:szCs w:val="22"/>
        </w:rPr>
        <w:t xml:space="preserve"> clothe </w:t>
      </w:r>
      <w:r w:rsidRPr="007811C6">
        <w:rPr>
          <w:rFonts w:cs="Arial"/>
          <w:bCs/>
          <w:szCs w:val="22"/>
        </w:rPr>
        <w:t xml:space="preserve">the plaintiff with any rights and that consequently any breach of the statutory duty did not amount to a wrongfulness. A failure to comply with </w:t>
      </w:r>
      <w:r w:rsidR="00C86F14" w:rsidRPr="007811C6">
        <w:rPr>
          <w:rFonts w:cs="Arial"/>
          <w:bCs/>
          <w:szCs w:val="22"/>
        </w:rPr>
        <w:t xml:space="preserve">a </w:t>
      </w:r>
      <w:r w:rsidRPr="007811C6">
        <w:rPr>
          <w:rFonts w:cs="Arial"/>
          <w:bCs/>
          <w:szCs w:val="22"/>
        </w:rPr>
        <w:t xml:space="preserve">statutory duty may be relevant in </w:t>
      </w:r>
      <w:r w:rsidRPr="0092546C">
        <w:rPr>
          <w:rFonts w:cs="Arial"/>
          <w:bCs/>
          <w:i/>
          <w:iCs/>
          <w:szCs w:val="22"/>
        </w:rPr>
        <w:t>determining</w:t>
      </w:r>
      <w:r w:rsidRPr="007811C6">
        <w:rPr>
          <w:rFonts w:cs="Arial"/>
          <w:bCs/>
          <w:szCs w:val="22"/>
        </w:rPr>
        <w:t xml:space="preserve"> </w:t>
      </w:r>
      <w:r w:rsidR="00452B52" w:rsidRPr="007811C6">
        <w:rPr>
          <w:rFonts w:cs="Arial"/>
          <w:bCs/>
          <w:szCs w:val="22"/>
        </w:rPr>
        <w:t>wrongfulness but</w:t>
      </w:r>
      <w:r w:rsidRPr="007811C6">
        <w:rPr>
          <w:rFonts w:cs="Arial"/>
          <w:bCs/>
          <w:szCs w:val="22"/>
        </w:rPr>
        <w:t xml:space="preserve"> does not provide a basis for civil </w:t>
      </w:r>
      <w:proofErr w:type="spellStart"/>
      <w:r w:rsidRPr="007811C6">
        <w:rPr>
          <w:rFonts w:cs="Arial"/>
          <w:bCs/>
          <w:szCs w:val="22"/>
        </w:rPr>
        <w:t>delictual</w:t>
      </w:r>
      <w:proofErr w:type="spellEnd"/>
      <w:r w:rsidRPr="007811C6">
        <w:rPr>
          <w:rFonts w:cs="Arial"/>
          <w:bCs/>
          <w:szCs w:val="22"/>
        </w:rPr>
        <w:t xml:space="preserve"> liability.</w:t>
      </w:r>
      <w:r w:rsidRPr="007811C6">
        <w:rPr>
          <w:rStyle w:val="FootnoteReference"/>
          <w:rFonts w:cs="Arial"/>
          <w:bCs/>
          <w:szCs w:val="22"/>
        </w:rPr>
        <w:footnoteReference w:id="4"/>
      </w:r>
      <w:r w:rsidR="00452B52" w:rsidRPr="007811C6">
        <w:rPr>
          <w:rFonts w:cs="Arial"/>
          <w:bCs/>
          <w:szCs w:val="22"/>
        </w:rPr>
        <w:t xml:space="preserve"> </w:t>
      </w:r>
      <w:r w:rsidR="00C86F14" w:rsidRPr="007811C6">
        <w:rPr>
          <w:rFonts w:cs="Arial"/>
          <w:bCs/>
          <w:szCs w:val="22"/>
        </w:rPr>
        <w:t>It may be</w:t>
      </w:r>
      <w:r w:rsidR="00452B52" w:rsidRPr="007811C6">
        <w:rPr>
          <w:rFonts w:cs="Arial"/>
          <w:bCs/>
          <w:szCs w:val="22"/>
        </w:rPr>
        <w:t xml:space="preserve"> therefore that a failure to comply with the Financial Centre Intelligence Act does not give rise to </w:t>
      </w:r>
      <w:proofErr w:type="spellStart"/>
      <w:r w:rsidR="00452B52" w:rsidRPr="007811C6">
        <w:rPr>
          <w:rFonts w:cs="Arial"/>
          <w:bCs/>
          <w:szCs w:val="22"/>
        </w:rPr>
        <w:t>delictual</w:t>
      </w:r>
      <w:proofErr w:type="spellEnd"/>
      <w:r w:rsidR="00452B52" w:rsidRPr="007811C6">
        <w:rPr>
          <w:rFonts w:cs="Arial"/>
          <w:bCs/>
          <w:szCs w:val="22"/>
        </w:rPr>
        <w:t xml:space="preserve"> liability on the part of the bank </w:t>
      </w:r>
      <w:r w:rsidR="0092546C">
        <w:rPr>
          <w:rFonts w:cs="Arial"/>
          <w:bCs/>
          <w:szCs w:val="22"/>
        </w:rPr>
        <w:t>but</w:t>
      </w:r>
      <w:r w:rsidR="00452B52" w:rsidRPr="007811C6">
        <w:rPr>
          <w:rFonts w:cs="Arial"/>
          <w:bCs/>
          <w:szCs w:val="22"/>
        </w:rPr>
        <w:t xml:space="preserve"> may be taken into account by a court in determining wrongfulness</w:t>
      </w:r>
      <w:r w:rsidR="00C86F14" w:rsidRPr="007811C6">
        <w:rPr>
          <w:rFonts w:cs="Arial"/>
          <w:bCs/>
          <w:szCs w:val="22"/>
        </w:rPr>
        <w:t xml:space="preserve">, but I expressly refrain from </w:t>
      </w:r>
      <w:r w:rsidR="007811C6">
        <w:rPr>
          <w:rFonts w:cs="Arial"/>
          <w:bCs/>
          <w:szCs w:val="22"/>
        </w:rPr>
        <w:t>expressing a view on this issue.</w:t>
      </w:r>
    </w:p>
    <w:p w14:paraId="217DF730" w14:textId="77777777" w:rsidR="0092546C" w:rsidRDefault="004C1D86" w:rsidP="00A85664">
      <w:pPr>
        <w:widowControl w:val="0"/>
        <w:numPr>
          <w:ilvl w:val="0"/>
          <w:numId w:val="1"/>
        </w:numPr>
        <w:spacing w:before="480" w:after="480" w:line="360" w:lineRule="auto"/>
        <w:jc w:val="both"/>
        <w:rPr>
          <w:rFonts w:cs="Arial"/>
          <w:bCs/>
          <w:szCs w:val="22"/>
        </w:rPr>
      </w:pPr>
      <w:r w:rsidRPr="007811C6">
        <w:rPr>
          <w:rFonts w:cs="Arial"/>
          <w:bCs/>
          <w:szCs w:val="22"/>
        </w:rPr>
        <w:t>It is alleged</w:t>
      </w:r>
      <w:r w:rsidR="00271246" w:rsidRPr="007811C6">
        <w:rPr>
          <w:rStyle w:val="FootnoteReference"/>
          <w:rFonts w:cs="Arial"/>
          <w:bCs/>
          <w:szCs w:val="22"/>
        </w:rPr>
        <w:footnoteReference w:id="5"/>
      </w:r>
      <w:r w:rsidR="00277B78" w:rsidRPr="007811C6">
        <w:rPr>
          <w:rFonts w:cs="Arial"/>
          <w:bCs/>
          <w:szCs w:val="22"/>
        </w:rPr>
        <w:t xml:space="preserve"> </w:t>
      </w:r>
    </w:p>
    <w:p w14:paraId="412961DB" w14:textId="253C8036" w:rsidR="0092546C" w:rsidRDefault="004C1D86" w:rsidP="0092546C">
      <w:pPr>
        <w:widowControl w:val="0"/>
        <w:numPr>
          <w:ilvl w:val="1"/>
          <w:numId w:val="1"/>
        </w:numPr>
        <w:spacing w:before="480" w:after="480" w:line="360" w:lineRule="auto"/>
        <w:jc w:val="both"/>
        <w:rPr>
          <w:rFonts w:cs="Arial"/>
          <w:bCs/>
          <w:szCs w:val="22"/>
        </w:rPr>
      </w:pPr>
      <w:r w:rsidRPr="007811C6">
        <w:rPr>
          <w:rFonts w:cs="Arial"/>
          <w:bCs/>
          <w:szCs w:val="22"/>
        </w:rPr>
        <w:t xml:space="preserve">that the bank as the collecting banker was aware or should have been aware that the second defendant was not entitled to payment of the </w:t>
      </w:r>
      <w:r w:rsidRPr="007811C6">
        <w:rPr>
          <w:rFonts w:cs="Arial"/>
          <w:bCs/>
          <w:szCs w:val="22"/>
        </w:rPr>
        <w:lastRenderedPageBreak/>
        <w:t xml:space="preserve">proceeds of a transaction that gave rise to the </w:t>
      </w:r>
      <w:r w:rsidR="001053D6">
        <w:rPr>
          <w:rFonts w:cs="Arial"/>
          <w:bCs/>
          <w:szCs w:val="22"/>
        </w:rPr>
        <w:t xml:space="preserve">plaintiff’s </w:t>
      </w:r>
      <w:r w:rsidRPr="007811C6">
        <w:rPr>
          <w:rFonts w:cs="Arial"/>
          <w:bCs/>
          <w:szCs w:val="22"/>
        </w:rPr>
        <w:t>claim</w:t>
      </w:r>
      <w:r w:rsidR="0092546C">
        <w:rPr>
          <w:rFonts w:cs="Arial"/>
          <w:bCs/>
          <w:szCs w:val="22"/>
        </w:rPr>
        <w:t>, and</w:t>
      </w:r>
    </w:p>
    <w:p w14:paraId="554744C8" w14:textId="660E42BB" w:rsidR="004C1D86" w:rsidRPr="007811C6" w:rsidRDefault="0092546C" w:rsidP="0092546C">
      <w:pPr>
        <w:widowControl w:val="0"/>
        <w:numPr>
          <w:ilvl w:val="1"/>
          <w:numId w:val="1"/>
        </w:numPr>
        <w:spacing w:before="480" w:after="480" w:line="360" w:lineRule="auto"/>
        <w:jc w:val="both"/>
        <w:rPr>
          <w:rFonts w:cs="Arial"/>
          <w:bCs/>
          <w:szCs w:val="22"/>
        </w:rPr>
      </w:pPr>
      <w:proofErr w:type="gramStart"/>
      <w:r>
        <w:rPr>
          <w:rFonts w:cs="Arial"/>
          <w:bCs/>
          <w:szCs w:val="22"/>
        </w:rPr>
        <w:t>t</w:t>
      </w:r>
      <w:r w:rsidR="004C1D86" w:rsidRPr="007811C6">
        <w:rPr>
          <w:rFonts w:cs="Arial"/>
          <w:bCs/>
          <w:szCs w:val="22"/>
        </w:rPr>
        <w:t>he</w:t>
      </w:r>
      <w:proofErr w:type="gramEnd"/>
      <w:r w:rsidR="004C1D86" w:rsidRPr="007811C6">
        <w:rPr>
          <w:rFonts w:cs="Arial"/>
          <w:bCs/>
          <w:szCs w:val="22"/>
        </w:rPr>
        <w:t xml:space="preserve"> bank as collecting banker owed </w:t>
      </w:r>
      <w:r w:rsidR="00271246" w:rsidRPr="007811C6">
        <w:rPr>
          <w:rFonts w:cs="Arial"/>
          <w:bCs/>
          <w:szCs w:val="22"/>
        </w:rPr>
        <w:t>a</w:t>
      </w:r>
      <w:r w:rsidR="004C1D86" w:rsidRPr="007811C6">
        <w:rPr>
          <w:rFonts w:cs="Arial"/>
          <w:bCs/>
          <w:szCs w:val="22"/>
        </w:rPr>
        <w:t xml:space="preserve"> legal duty to the plaintiff</w:t>
      </w:r>
      <w:r w:rsidR="0018483D" w:rsidRPr="007811C6">
        <w:rPr>
          <w:rFonts w:cs="Arial"/>
          <w:bCs/>
          <w:szCs w:val="22"/>
        </w:rPr>
        <w:t xml:space="preserve"> to avoid causing a loss to the plaintiff by dealing negligently with the payment. It is then alleged that the plaintiff suffered damages in the amount of R</w:t>
      </w:r>
      <w:r w:rsidR="00C86F14" w:rsidRPr="007811C6">
        <w:rPr>
          <w:rFonts w:cs="Arial"/>
          <w:bCs/>
          <w:szCs w:val="22"/>
        </w:rPr>
        <w:t>600</w:t>
      </w:r>
      <w:proofErr w:type="gramStart"/>
      <w:r w:rsidR="00C86F14" w:rsidRPr="007811C6">
        <w:rPr>
          <w:rFonts w:cs="Arial"/>
          <w:bCs/>
          <w:szCs w:val="22"/>
        </w:rPr>
        <w:t>,000</w:t>
      </w:r>
      <w:proofErr w:type="gramEnd"/>
      <w:r w:rsidR="0018483D" w:rsidRPr="007811C6">
        <w:rPr>
          <w:rFonts w:cs="Arial"/>
          <w:bCs/>
          <w:szCs w:val="22"/>
        </w:rPr>
        <w:t>.</w:t>
      </w:r>
    </w:p>
    <w:p w14:paraId="41576A11" w14:textId="77777777" w:rsidR="001053D6" w:rsidRDefault="00A5183D" w:rsidP="001053D6">
      <w:pPr>
        <w:widowControl w:val="0"/>
        <w:numPr>
          <w:ilvl w:val="0"/>
          <w:numId w:val="1"/>
        </w:numPr>
        <w:spacing w:before="480" w:after="480" w:line="360" w:lineRule="auto"/>
        <w:jc w:val="both"/>
        <w:rPr>
          <w:rFonts w:cs="Arial"/>
          <w:bCs/>
          <w:szCs w:val="22"/>
        </w:rPr>
      </w:pPr>
      <w:r w:rsidRPr="001053D6">
        <w:rPr>
          <w:rFonts w:cs="Arial"/>
          <w:bCs/>
          <w:szCs w:val="22"/>
        </w:rPr>
        <w:t>There are a number of problems with these allegations.</w:t>
      </w:r>
    </w:p>
    <w:p w14:paraId="42848665" w14:textId="5F6BB700" w:rsidR="006545D0" w:rsidRDefault="0018483D" w:rsidP="001053D6">
      <w:pPr>
        <w:widowControl w:val="0"/>
        <w:spacing w:before="480" w:after="480" w:line="360" w:lineRule="auto"/>
        <w:jc w:val="both"/>
        <w:rPr>
          <w:rFonts w:cs="Arial"/>
          <w:bCs/>
          <w:szCs w:val="22"/>
        </w:rPr>
      </w:pPr>
      <w:r w:rsidRPr="001053D6">
        <w:rPr>
          <w:rFonts w:cs="Arial"/>
          <w:bCs/>
          <w:szCs w:val="22"/>
        </w:rPr>
        <w:t xml:space="preserve">The allegation that the bank acted as a collecting bank make no sense in the context of the whole of the claim against the bank. It is common cause on the pleadings </w:t>
      </w:r>
      <w:r w:rsidR="00A5183D" w:rsidRPr="001053D6">
        <w:rPr>
          <w:rFonts w:cs="Arial"/>
          <w:bCs/>
          <w:szCs w:val="22"/>
        </w:rPr>
        <w:t xml:space="preserve">and between </w:t>
      </w:r>
      <w:proofErr w:type="gramStart"/>
      <w:r w:rsidR="00A5183D" w:rsidRPr="001053D6">
        <w:rPr>
          <w:rFonts w:cs="Arial"/>
          <w:bCs/>
          <w:szCs w:val="22"/>
        </w:rPr>
        <w:t>counsel</w:t>
      </w:r>
      <w:proofErr w:type="gramEnd"/>
      <w:r w:rsidR="00A5183D" w:rsidRPr="001053D6">
        <w:rPr>
          <w:rFonts w:cs="Arial"/>
          <w:bCs/>
          <w:szCs w:val="22"/>
        </w:rPr>
        <w:t xml:space="preserve"> in court that </w:t>
      </w:r>
      <w:r w:rsidRPr="001053D6">
        <w:rPr>
          <w:rFonts w:cs="Arial"/>
          <w:bCs/>
          <w:szCs w:val="22"/>
        </w:rPr>
        <w:t>no cheque was ever deposited that gave rise</w:t>
      </w:r>
      <w:r w:rsidR="00A5183D" w:rsidRPr="001053D6">
        <w:rPr>
          <w:rFonts w:cs="Arial"/>
          <w:bCs/>
          <w:szCs w:val="22"/>
        </w:rPr>
        <w:t xml:space="preserve"> to duties</w:t>
      </w:r>
      <w:r w:rsidR="007671E0" w:rsidRPr="001053D6">
        <w:rPr>
          <w:rFonts w:cs="Arial"/>
          <w:bCs/>
          <w:szCs w:val="22"/>
        </w:rPr>
        <w:t xml:space="preserve"> </w:t>
      </w:r>
      <w:r w:rsidRPr="001053D6">
        <w:rPr>
          <w:rFonts w:cs="Arial"/>
          <w:bCs/>
          <w:szCs w:val="22"/>
        </w:rPr>
        <w:t>as a collecting bank on the part of the bank.</w:t>
      </w:r>
      <w:r w:rsidR="00C91925">
        <w:rPr>
          <w:rStyle w:val="FootnoteReference"/>
          <w:rFonts w:cs="Arial"/>
          <w:bCs/>
          <w:szCs w:val="22"/>
        </w:rPr>
        <w:footnoteReference w:id="6"/>
      </w:r>
    </w:p>
    <w:p w14:paraId="0742E64B" w14:textId="0609D6DD" w:rsidR="00C711C8" w:rsidRPr="001053D6" w:rsidRDefault="0018483D" w:rsidP="001053D6">
      <w:pPr>
        <w:widowControl w:val="0"/>
        <w:spacing w:before="480" w:after="480" w:line="360" w:lineRule="auto"/>
        <w:jc w:val="both"/>
        <w:rPr>
          <w:rFonts w:cs="Arial"/>
          <w:bCs/>
          <w:szCs w:val="22"/>
        </w:rPr>
      </w:pPr>
      <w:r w:rsidRPr="001053D6">
        <w:rPr>
          <w:rFonts w:cs="Arial"/>
          <w:bCs/>
          <w:szCs w:val="22"/>
        </w:rPr>
        <w:t xml:space="preserve">The function of a collecting bank is to act on behalf of </w:t>
      </w:r>
      <w:r w:rsidR="00534C3B" w:rsidRPr="001053D6">
        <w:rPr>
          <w:rFonts w:cs="Arial"/>
          <w:bCs/>
          <w:szCs w:val="22"/>
        </w:rPr>
        <w:t>its</w:t>
      </w:r>
      <w:r w:rsidRPr="001053D6">
        <w:rPr>
          <w:rFonts w:cs="Arial"/>
          <w:bCs/>
          <w:szCs w:val="22"/>
        </w:rPr>
        <w:t xml:space="preserve"> client </w:t>
      </w:r>
      <w:r w:rsidR="00C711C8" w:rsidRPr="001053D6">
        <w:rPr>
          <w:rFonts w:cs="Arial"/>
          <w:bCs/>
          <w:szCs w:val="22"/>
        </w:rPr>
        <w:t>by collecting</w:t>
      </w:r>
      <w:r w:rsidR="00E84575" w:rsidRPr="001053D6">
        <w:rPr>
          <w:rFonts w:cs="Arial"/>
          <w:bCs/>
          <w:szCs w:val="22"/>
        </w:rPr>
        <w:t xml:space="preserve"> </w:t>
      </w:r>
      <w:r w:rsidRPr="001053D6">
        <w:rPr>
          <w:rFonts w:cs="Arial"/>
          <w:bCs/>
          <w:szCs w:val="22"/>
        </w:rPr>
        <w:t xml:space="preserve">the proceeds of a cheque from the </w:t>
      </w:r>
      <w:r w:rsidR="00C24A82">
        <w:rPr>
          <w:rFonts w:cs="Arial"/>
          <w:bCs/>
          <w:szCs w:val="22"/>
        </w:rPr>
        <w:t>drawee</w:t>
      </w:r>
      <w:r w:rsidRPr="001053D6">
        <w:rPr>
          <w:rFonts w:cs="Arial"/>
          <w:bCs/>
          <w:szCs w:val="22"/>
        </w:rPr>
        <w:t xml:space="preserve"> bank. </w:t>
      </w:r>
      <w:r w:rsidR="007671E0" w:rsidRPr="001053D6">
        <w:rPr>
          <w:rFonts w:cs="Arial"/>
          <w:bCs/>
          <w:szCs w:val="22"/>
        </w:rPr>
        <w:t>The collecting bank might then</w:t>
      </w:r>
      <w:r w:rsidR="00C24A82">
        <w:rPr>
          <w:rFonts w:cs="Arial"/>
          <w:bCs/>
          <w:szCs w:val="22"/>
        </w:rPr>
        <w:t xml:space="preserve"> upon proof of wrongful and negligent conduct,</w:t>
      </w:r>
      <w:r w:rsidR="007671E0" w:rsidRPr="001053D6">
        <w:rPr>
          <w:rFonts w:cs="Arial"/>
          <w:bCs/>
          <w:szCs w:val="22"/>
        </w:rPr>
        <w:t xml:space="preserve"> incur </w:t>
      </w:r>
      <w:proofErr w:type="spellStart"/>
      <w:r w:rsidR="007671E0" w:rsidRPr="001053D6">
        <w:rPr>
          <w:rFonts w:cs="Arial"/>
          <w:bCs/>
          <w:szCs w:val="22"/>
        </w:rPr>
        <w:t>delictual</w:t>
      </w:r>
      <w:proofErr w:type="spellEnd"/>
      <w:r w:rsidR="007671E0" w:rsidRPr="001053D6">
        <w:rPr>
          <w:rFonts w:cs="Arial"/>
          <w:bCs/>
          <w:szCs w:val="22"/>
        </w:rPr>
        <w:t xml:space="preserve"> liability to the owner of the cheque.</w:t>
      </w:r>
      <w:r w:rsidRPr="007811C6">
        <w:rPr>
          <w:rStyle w:val="FootnoteReference"/>
          <w:rFonts w:cs="Arial"/>
          <w:bCs/>
          <w:i/>
          <w:iCs/>
          <w:szCs w:val="22"/>
        </w:rPr>
        <w:footnoteReference w:id="7"/>
      </w:r>
      <w:r w:rsidR="00277B78" w:rsidRPr="001053D6">
        <w:rPr>
          <w:rFonts w:cs="Arial"/>
          <w:bCs/>
          <w:szCs w:val="22"/>
        </w:rPr>
        <w:t xml:space="preserve"> </w:t>
      </w:r>
    </w:p>
    <w:p w14:paraId="6C9F4D21" w14:textId="22DF939A" w:rsidR="000809A3" w:rsidRDefault="00C86F14" w:rsidP="001053D6">
      <w:pPr>
        <w:widowControl w:val="0"/>
        <w:spacing w:before="480" w:after="480" w:line="360" w:lineRule="auto"/>
        <w:jc w:val="both"/>
        <w:rPr>
          <w:rFonts w:cs="Arial"/>
          <w:bCs/>
          <w:szCs w:val="22"/>
        </w:rPr>
      </w:pPr>
      <w:r w:rsidRPr="007811C6">
        <w:rPr>
          <w:rFonts w:cs="Arial"/>
          <w:bCs/>
          <w:szCs w:val="22"/>
        </w:rPr>
        <w:t xml:space="preserve">A bank receiving payment into a client’s cheque account is not in the same position as a bank collecting on a cheque. </w:t>
      </w:r>
      <w:r w:rsidR="0092546C">
        <w:rPr>
          <w:rFonts w:cs="Arial"/>
          <w:bCs/>
          <w:szCs w:val="22"/>
        </w:rPr>
        <w:t xml:space="preserve">The distinction is not merely a semantic one. </w:t>
      </w:r>
      <w:r w:rsidRPr="007811C6">
        <w:rPr>
          <w:rFonts w:cs="Arial"/>
          <w:bCs/>
          <w:szCs w:val="22"/>
        </w:rPr>
        <w:t xml:space="preserve">The collecting bank takes positive steps to </w:t>
      </w:r>
      <w:r w:rsidR="000809A3">
        <w:rPr>
          <w:rFonts w:cs="Arial"/>
          <w:bCs/>
          <w:szCs w:val="22"/>
        </w:rPr>
        <w:t xml:space="preserve">present the cheque and </w:t>
      </w:r>
      <w:r w:rsidRPr="007811C6">
        <w:rPr>
          <w:rFonts w:cs="Arial"/>
          <w:bCs/>
          <w:szCs w:val="22"/>
        </w:rPr>
        <w:t xml:space="preserve">collect </w:t>
      </w:r>
      <w:r w:rsidR="000809A3">
        <w:rPr>
          <w:rFonts w:cs="Arial"/>
          <w:bCs/>
          <w:szCs w:val="22"/>
        </w:rPr>
        <w:t>payment on behalf of its client</w:t>
      </w:r>
      <w:r w:rsidRPr="007811C6">
        <w:rPr>
          <w:rFonts w:cs="Arial"/>
          <w:bCs/>
          <w:szCs w:val="22"/>
        </w:rPr>
        <w:t xml:space="preserve">; a bank receiving payment (for instance by way of electronic fund transfer that have largely replaced the use of cheques) </w:t>
      </w:r>
      <w:r w:rsidR="00684E71">
        <w:rPr>
          <w:rFonts w:cs="Arial"/>
          <w:bCs/>
          <w:szCs w:val="22"/>
        </w:rPr>
        <w:t>plays</w:t>
      </w:r>
      <w:r w:rsidRPr="007811C6">
        <w:rPr>
          <w:rFonts w:cs="Arial"/>
          <w:bCs/>
          <w:szCs w:val="22"/>
        </w:rPr>
        <w:t xml:space="preserve"> a more passive </w:t>
      </w:r>
      <w:r w:rsidR="00684E71">
        <w:rPr>
          <w:rFonts w:cs="Arial"/>
          <w:bCs/>
          <w:szCs w:val="22"/>
        </w:rPr>
        <w:t>role</w:t>
      </w:r>
      <w:r w:rsidRPr="007811C6">
        <w:rPr>
          <w:rFonts w:cs="Arial"/>
          <w:bCs/>
          <w:szCs w:val="22"/>
        </w:rPr>
        <w:t>.</w:t>
      </w:r>
      <w:r w:rsidR="00C711C8">
        <w:rPr>
          <w:rFonts w:cs="Arial"/>
          <w:bCs/>
          <w:szCs w:val="22"/>
        </w:rPr>
        <w:t xml:space="preserve"> It merely provides the receptacle into which the money is placed by the pay</w:t>
      </w:r>
      <w:r w:rsidR="000809A3">
        <w:rPr>
          <w:rFonts w:cs="Arial"/>
          <w:bCs/>
          <w:szCs w:val="22"/>
        </w:rPr>
        <w:t>e</w:t>
      </w:r>
      <w:r w:rsidR="00C711C8">
        <w:rPr>
          <w:rFonts w:cs="Arial"/>
          <w:bCs/>
          <w:szCs w:val="22"/>
        </w:rPr>
        <w:t>r.</w:t>
      </w:r>
    </w:p>
    <w:p w14:paraId="4CD75394" w14:textId="58D99966" w:rsidR="001053D6" w:rsidRDefault="002E6CCA" w:rsidP="001053D6">
      <w:pPr>
        <w:widowControl w:val="0"/>
        <w:spacing w:before="480" w:after="480" w:line="360" w:lineRule="auto"/>
        <w:jc w:val="both"/>
        <w:rPr>
          <w:rFonts w:cs="Arial"/>
          <w:bCs/>
          <w:szCs w:val="22"/>
        </w:rPr>
      </w:pPr>
      <w:r w:rsidRPr="007811C6">
        <w:rPr>
          <w:rFonts w:cs="Arial"/>
          <w:bCs/>
          <w:szCs w:val="22"/>
        </w:rPr>
        <w:t xml:space="preserve">The allegation that the bank as a collecting bank owed a legal duty to the plaintiff is </w:t>
      </w:r>
      <w:r w:rsidR="00C86F14" w:rsidRPr="007811C6">
        <w:rPr>
          <w:rFonts w:cs="Arial"/>
          <w:bCs/>
          <w:szCs w:val="22"/>
        </w:rPr>
        <w:t xml:space="preserve">therefore </w:t>
      </w:r>
      <w:r w:rsidRPr="007811C6">
        <w:rPr>
          <w:rFonts w:cs="Arial"/>
          <w:bCs/>
          <w:szCs w:val="22"/>
        </w:rPr>
        <w:t>devoid of substance.</w:t>
      </w:r>
      <w:r w:rsidR="00C711C8">
        <w:rPr>
          <w:rFonts w:cs="Arial"/>
          <w:bCs/>
          <w:szCs w:val="22"/>
        </w:rPr>
        <w:t xml:space="preserve"> It is not alleged that it ever acted as a collecting bank.</w:t>
      </w:r>
      <w:r w:rsidR="000809A3">
        <w:rPr>
          <w:rFonts w:cs="Arial"/>
          <w:bCs/>
          <w:szCs w:val="22"/>
        </w:rPr>
        <w:t xml:space="preserve"> The plaintiff paid money into the second defendant’s account with the bank.</w:t>
      </w:r>
    </w:p>
    <w:p w14:paraId="2F82BC69" w14:textId="77777777" w:rsidR="001053D6" w:rsidRDefault="002E6CCA" w:rsidP="001053D6">
      <w:pPr>
        <w:widowControl w:val="0"/>
        <w:spacing w:before="480" w:after="480" w:line="360" w:lineRule="auto"/>
        <w:jc w:val="both"/>
        <w:rPr>
          <w:rFonts w:cs="Arial"/>
          <w:bCs/>
          <w:szCs w:val="22"/>
        </w:rPr>
      </w:pPr>
      <w:r w:rsidRPr="007811C6">
        <w:rPr>
          <w:rFonts w:cs="Arial"/>
          <w:bCs/>
          <w:szCs w:val="22"/>
        </w:rPr>
        <w:t xml:space="preserve">No facts are pleaded in support of the contention that the bank was aware or ought to </w:t>
      </w:r>
      <w:r w:rsidRPr="007811C6">
        <w:rPr>
          <w:rFonts w:cs="Arial"/>
          <w:bCs/>
          <w:szCs w:val="22"/>
        </w:rPr>
        <w:lastRenderedPageBreak/>
        <w:t>have been aware of fraud</w:t>
      </w:r>
      <w:r w:rsidR="00C711C8">
        <w:rPr>
          <w:rFonts w:cs="Arial"/>
          <w:bCs/>
          <w:szCs w:val="22"/>
        </w:rPr>
        <w:t xml:space="preserve"> committed by the second defendant</w:t>
      </w:r>
      <w:r w:rsidRPr="007811C6">
        <w:rPr>
          <w:rFonts w:cs="Arial"/>
          <w:bCs/>
          <w:szCs w:val="22"/>
        </w:rPr>
        <w:t>.</w:t>
      </w:r>
    </w:p>
    <w:p w14:paraId="721F0297" w14:textId="10F2B714" w:rsidR="001053D6" w:rsidRPr="007811C6" w:rsidRDefault="001053D6" w:rsidP="001053D6">
      <w:pPr>
        <w:widowControl w:val="0"/>
        <w:spacing w:before="480" w:after="480" w:line="360" w:lineRule="auto"/>
        <w:jc w:val="both"/>
        <w:rPr>
          <w:rFonts w:cs="Arial"/>
          <w:bCs/>
          <w:szCs w:val="22"/>
        </w:rPr>
      </w:pPr>
      <w:r>
        <w:rPr>
          <w:rFonts w:cs="Arial"/>
          <w:bCs/>
          <w:szCs w:val="22"/>
        </w:rPr>
        <w:t>It is not clear how the bank ‘dealt negligently’ with the payment after receiving it.</w:t>
      </w:r>
    </w:p>
    <w:p w14:paraId="3D066205" w14:textId="34ADEE6D" w:rsidR="00511BB6" w:rsidRPr="007811C6" w:rsidRDefault="00534C3B" w:rsidP="00277B78">
      <w:pPr>
        <w:widowControl w:val="0"/>
        <w:numPr>
          <w:ilvl w:val="0"/>
          <w:numId w:val="1"/>
        </w:numPr>
        <w:spacing w:before="480" w:after="480" w:line="360" w:lineRule="auto"/>
        <w:jc w:val="both"/>
        <w:rPr>
          <w:rFonts w:cs="Arial"/>
          <w:bCs/>
          <w:szCs w:val="22"/>
        </w:rPr>
      </w:pPr>
      <w:r w:rsidRPr="007811C6">
        <w:rPr>
          <w:rFonts w:cs="Arial"/>
          <w:bCs/>
          <w:szCs w:val="22"/>
        </w:rPr>
        <w:t>What the plaintiff seems to rely on but does not plead is that the bank owed a duty of care to the public who interact with</w:t>
      </w:r>
      <w:r w:rsidR="00E67F32" w:rsidRPr="007811C6">
        <w:rPr>
          <w:rFonts w:cs="Arial"/>
          <w:bCs/>
          <w:szCs w:val="22"/>
        </w:rPr>
        <w:t xml:space="preserve"> the</w:t>
      </w:r>
      <w:r w:rsidRPr="007811C6">
        <w:rPr>
          <w:rFonts w:cs="Arial"/>
          <w:bCs/>
          <w:szCs w:val="22"/>
        </w:rPr>
        <w:t xml:space="preserve"> bank</w:t>
      </w:r>
      <w:r w:rsidR="00E67F32" w:rsidRPr="007811C6">
        <w:rPr>
          <w:rFonts w:cs="Arial"/>
          <w:bCs/>
          <w:szCs w:val="22"/>
        </w:rPr>
        <w:t>’s</w:t>
      </w:r>
      <w:r w:rsidRPr="007811C6">
        <w:rPr>
          <w:rFonts w:cs="Arial"/>
          <w:bCs/>
          <w:szCs w:val="22"/>
        </w:rPr>
        <w:t xml:space="preserve"> clients and that because of the alleged </w:t>
      </w:r>
      <w:r w:rsidR="00E86A0D">
        <w:rPr>
          <w:rFonts w:cs="Arial"/>
          <w:bCs/>
          <w:szCs w:val="22"/>
        </w:rPr>
        <w:t xml:space="preserve">negligent and wrongful </w:t>
      </w:r>
      <w:r w:rsidRPr="007811C6">
        <w:rPr>
          <w:rFonts w:cs="Arial"/>
          <w:bCs/>
          <w:szCs w:val="22"/>
        </w:rPr>
        <w:t xml:space="preserve">failure of the bank to verify the identity of its client the plaintiff suffered a loss by paying money into a bank account at the bank held by a client of the bank </w:t>
      </w:r>
      <w:r w:rsidR="00E67F32" w:rsidRPr="007811C6">
        <w:rPr>
          <w:rFonts w:cs="Arial"/>
          <w:bCs/>
          <w:szCs w:val="22"/>
        </w:rPr>
        <w:t xml:space="preserve">who or </w:t>
      </w:r>
      <w:r w:rsidRPr="007811C6">
        <w:rPr>
          <w:rFonts w:cs="Arial"/>
          <w:bCs/>
          <w:szCs w:val="22"/>
        </w:rPr>
        <w:t>that was acting fraudulently.</w:t>
      </w:r>
    </w:p>
    <w:p w14:paraId="53A58750" w14:textId="7563B331" w:rsidR="00366937" w:rsidRPr="007811C6" w:rsidRDefault="00366937" w:rsidP="00277B78">
      <w:pPr>
        <w:widowControl w:val="0"/>
        <w:numPr>
          <w:ilvl w:val="0"/>
          <w:numId w:val="1"/>
        </w:numPr>
        <w:spacing w:before="480" w:after="480" w:line="360" w:lineRule="auto"/>
        <w:jc w:val="both"/>
        <w:rPr>
          <w:rFonts w:cs="Arial"/>
          <w:bCs/>
          <w:szCs w:val="22"/>
        </w:rPr>
      </w:pPr>
      <w:r w:rsidRPr="007811C6">
        <w:rPr>
          <w:rFonts w:cs="Arial"/>
          <w:bCs/>
          <w:szCs w:val="22"/>
        </w:rPr>
        <w:t>The bank raises six exceptions and I deal with them individually below.</w:t>
      </w:r>
    </w:p>
    <w:p w14:paraId="3F27DABE" w14:textId="35579A8C" w:rsidR="00366937" w:rsidRPr="007811C6" w:rsidRDefault="00366937" w:rsidP="00366937">
      <w:pPr>
        <w:widowControl w:val="0"/>
        <w:spacing w:before="480" w:after="480" w:line="360" w:lineRule="auto"/>
        <w:jc w:val="both"/>
        <w:rPr>
          <w:rFonts w:cs="Arial"/>
          <w:bCs/>
          <w:szCs w:val="22"/>
          <w:u w:val="single"/>
        </w:rPr>
      </w:pPr>
      <w:r w:rsidRPr="007811C6">
        <w:rPr>
          <w:rFonts w:cs="Arial"/>
          <w:bCs/>
          <w:szCs w:val="22"/>
          <w:u w:val="single"/>
        </w:rPr>
        <w:t xml:space="preserve">First exception: </w:t>
      </w:r>
      <w:r w:rsidR="00E86A0D">
        <w:rPr>
          <w:rFonts w:cs="Arial"/>
          <w:bCs/>
          <w:szCs w:val="22"/>
          <w:u w:val="single"/>
        </w:rPr>
        <w:t>T</w:t>
      </w:r>
      <w:r w:rsidRPr="007811C6">
        <w:rPr>
          <w:rFonts w:cs="Arial"/>
          <w:bCs/>
          <w:szCs w:val="22"/>
          <w:u w:val="single"/>
        </w:rPr>
        <w:t>he material facts relating to the banks alleged knowledge of fraud are not pleaded</w:t>
      </w:r>
    </w:p>
    <w:p w14:paraId="7C8D02B5" w14:textId="77777777" w:rsidR="004B6022" w:rsidRDefault="00366937" w:rsidP="00277B78">
      <w:pPr>
        <w:widowControl w:val="0"/>
        <w:numPr>
          <w:ilvl w:val="0"/>
          <w:numId w:val="1"/>
        </w:numPr>
        <w:spacing w:before="480" w:after="480" w:line="360" w:lineRule="auto"/>
        <w:jc w:val="both"/>
        <w:rPr>
          <w:rFonts w:cs="Arial"/>
          <w:bCs/>
          <w:szCs w:val="22"/>
        </w:rPr>
      </w:pPr>
      <w:r w:rsidRPr="007811C6">
        <w:rPr>
          <w:rFonts w:cs="Arial"/>
          <w:bCs/>
          <w:szCs w:val="22"/>
        </w:rPr>
        <w:t xml:space="preserve">The plaintiff pleads that the bank was aware or should have been aware that the second defendant was not entitled to payment of </w:t>
      </w:r>
      <w:r w:rsidR="00C86F14" w:rsidRPr="007811C6">
        <w:rPr>
          <w:rFonts w:cs="Arial"/>
          <w:bCs/>
          <w:szCs w:val="22"/>
        </w:rPr>
        <w:t>money deposited into the second defendant’s account</w:t>
      </w:r>
      <w:r w:rsidRPr="007811C6">
        <w:rPr>
          <w:rFonts w:cs="Arial"/>
          <w:bCs/>
          <w:szCs w:val="22"/>
        </w:rPr>
        <w:t xml:space="preserve">. No facts are pleaded in substantiation of this </w:t>
      </w:r>
      <w:r w:rsidR="008657EE" w:rsidRPr="007811C6">
        <w:rPr>
          <w:rFonts w:cs="Arial"/>
          <w:bCs/>
          <w:szCs w:val="22"/>
        </w:rPr>
        <w:t>averment</w:t>
      </w:r>
      <w:r w:rsidRPr="007811C6">
        <w:rPr>
          <w:rFonts w:cs="Arial"/>
          <w:bCs/>
          <w:szCs w:val="22"/>
        </w:rPr>
        <w:t xml:space="preserve"> and the exception must be upheld.</w:t>
      </w:r>
      <w:r w:rsidR="00C86F14" w:rsidRPr="007811C6">
        <w:rPr>
          <w:rFonts w:cs="Arial"/>
          <w:bCs/>
          <w:szCs w:val="22"/>
        </w:rPr>
        <w:t xml:space="preserve"> It must be noted that the</w:t>
      </w:r>
      <w:r w:rsidR="00DB72F1" w:rsidRPr="007811C6">
        <w:rPr>
          <w:rFonts w:cs="Arial"/>
          <w:bCs/>
          <w:szCs w:val="22"/>
        </w:rPr>
        <w:t xml:space="preserve"> three</w:t>
      </w:r>
      <w:r w:rsidR="00C86F14" w:rsidRPr="007811C6">
        <w:rPr>
          <w:rFonts w:cs="Arial"/>
          <w:bCs/>
          <w:szCs w:val="22"/>
        </w:rPr>
        <w:t xml:space="preserve"> deposit</w:t>
      </w:r>
      <w:r w:rsidR="00DB72F1" w:rsidRPr="007811C6">
        <w:rPr>
          <w:rFonts w:cs="Arial"/>
          <w:bCs/>
          <w:szCs w:val="22"/>
        </w:rPr>
        <w:t>s were</w:t>
      </w:r>
      <w:r w:rsidR="00C86F14" w:rsidRPr="007811C6">
        <w:rPr>
          <w:rFonts w:cs="Arial"/>
          <w:bCs/>
          <w:szCs w:val="22"/>
        </w:rPr>
        <w:t xml:space="preserve"> made by or on behalf of the plaintiff, and</w:t>
      </w:r>
      <w:r w:rsidR="00E86A0D">
        <w:rPr>
          <w:rFonts w:cs="Arial"/>
          <w:bCs/>
          <w:szCs w:val="22"/>
        </w:rPr>
        <w:t xml:space="preserve"> it must be inferred that when making the three payments the </w:t>
      </w:r>
      <w:r w:rsidR="00C86F14" w:rsidRPr="007811C6">
        <w:rPr>
          <w:rFonts w:cs="Arial"/>
          <w:bCs/>
          <w:szCs w:val="22"/>
        </w:rPr>
        <w:t xml:space="preserve"> plaintiff was not aware of any</w:t>
      </w:r>
      <w:r w:rsidR="00DB72F1" w:rsidRPr="007811C6">
        <w:rPr>
          <w:rFonts w:cs="Arial"/>
          <w:bCs/>
          <w:szCs w:val="22"/>
        </w:rPr>
        <w:t>thing untoward</w:t>
      </w:r>
      <w:r w:rsidR="004B6022">
        <w:rPr>
          <w:rFonts w:cs="Arial"/>
          <w:bCs/>
          <w:szCs w:val="22"/>
        </w:rPr>
        <w:t xml:space="preserve"> and that the plaintiff intended to pay money into the bank account. </w:t>
      </w:r>
    </w:p>
    <w:p w14:paraId="30AE28BD" w14:textId="1AAC7DB0" w:rsidR="00366937" w:rsidRPr="007811C6" w:rsidRDefault="004B6022" w:rsidP="004B6022">
      <w:pPr>
        <w:widowControl w:val="0"/>
        <w:spacing w:before="480" w:after="480" w:line="360" w:lineRule="auto"/>
        <w:jc w:val="both"/>
        <w:rPr>
          <w:rFonts w:cs="Arial"/>
          <w:bCs/>
          <w:szCs w:val="22"/>
        </w:rPr>
      </w:pPr>
      <w:r>
        <w:rPr>
          <w:rFonts w:cs="Arial"/>
          <w:bCs/>
          <w:szCs w:val="22"/>
        </w:rPr>
        <w:t xml:space="preserve">The plaintiff nevertheless </w:t>
      </w:r>
      <w:r w:rsidR="00C86F14" w:rsidRPr="007811C6">
        <w:rPr>
          <w:rFonts w:cs="Arial"/>
          <w:bCs/>
          <w:szCs w:val="22"/>
        </w:rPr>
        <w:t xml:space="preserve">expects the bank to have been aware of </w:t>
      </w:r>
      <w:r>
        <w:rPr>
          <w:rFonts w:cs="Arial"/>
          <w:bCs/>
          <w:szCs w:val="22"/>
        </w:rPr>
        <w:t>shortcomings that the plaintiff itself was unaware of,</w:t>
      </w:r>
      <w:r w:rsidR="00C86F14" w:rsidRPr="007811C6">
        <w:rPr>
          <w:rFonts w:cs="Arial"/>
          <w:bCs/>
          <w:szCs w:val="22"/>
        </w:rPr>
        <w:t xml:space="preserve"> without saying</w:t>
      </w:r>
      <w:r w:rsidR="00DB72F1" w:rsidRPr="007811C6">
        <w:rPr>
          <w:rFonts w:cs="Arial"/>
          <w:bCs/>
          <w:szCs w:val="22"/>
        </w:rPr>
        <w:t xml:space="preserve"> why</w:t>
      </w:r>
      <w:r w:rsidR="00C86F14" w:rsidRPr="007811C6">
        <w:rPr>
          <w:rFonts w:cs="Arial"/>
          <w:bCs/>
          <w:szCs w:val="22"/>
        </w:rPr>
        <w:t xml:space="preserve"> the bank should have been so aware.</w:t>
      </w:r>
    </w:p>
    <w:p w14:paraId="2791EECF" w14:textId="0D22FF60" w:rsidR="00366937" w:rsidRPr="007811C6" w:rsidRDefault="00366937" w:rsidP="00C711C8">
      <w:pPr>
        <w:keepNext/>
        <w:widowControl w:val="0"/>
        <w:spacing w:before="480" w:after="480" w:line="360" w:lineRule="auto"/>
        <w:jc w:val="both"/>
        <w:rPr>
          <w:rFonts w:cs="Arial"/>
          <w:bCs/>
          <w:szCs w:val="22"/>
          <w:u w:val="single"/>
        </w:rPr>
      </w:pPr>
      <w:r w:rsidRPr="007811C6">
        <w:rPr>
          <w:rFonts w:cs="Arial"/>
          <w:bCs/>
          <w:szCs w:val="22"/>
          <w:u w:val="single"/>
        </w:rPr>
        <w:t>Second exception: the basis of the legal duty allegedly owed to the plaintiff is not pleaded</w:t>
      </w:r>
    </w:p>
    <w:p w14:paraId="3B97C3B5" w14:textId="77777777" w:rsidR="00BD6E92" w:rsidRPr="007811C6" w:rsidRDefault="00366937" w:rsidP="00C711C8">
      <w:pPr>
        <w:keepNext/>
        <w:widowControl w:val="0"/>
        <w:numPr>
          <w:ilvl w:val="0"/>
          <w:numId w:val="1"/>
        </w:numPr>
        <w:spacing w:before="480" w:after="480" w:line="360" w:lineRule="auto"/>
        <w:jc w:val="both"/>
        <w:rPr>
          <w:rFonts w:cs="Arial"/>
          <w:bCs/>
          <w:szCs w:val="22"/>
        </w:rPr>
      </w:pPr>
      <w:r w:rsidRPr="007811C6">
        <w:rPr>
          <w:rFonts w:cs="Arial"/>
          <w:bCs/>
          <w:szCs w:val="22"/>
        </w:rPr>
        <w:t xml:space="preserve">I have dealt with the basis of the legal duty above. The plaintiff cannot rely on the collecting bank line of cases and no allegations are made to the effect that the bank owed a duty of care to the plaintiff as a member of the public who </w:t>
      </w:r>
      <w:r w:rsidR="00DB72F1" w:rsidRPr="007811C6">
        <w:rPr>
          <w:rFonts w:cs="Arial"/>
          <w:bCs/>
          <w:szCs w:val="22"/>
        </w:rPr>
        <w:t>wa</w:t>
      </w:r>
      <w:r w:rsidRPr="007811C6">
        <w:rPr>
          <w:rFonts w:cs="Arial"/>
          <w:bCs/>
          <w:szCs w:val="22"/>
        </w:rPr>
        <w:t xml:space="preserve">s not a client of the bank. </w:t>
      </w:r>
    </w:p>
    <w:p w14:paraId="39BD05DB" w14:textId="3BDCF80B" w:rsidR="00366937" w:rsidRPr="007811C6" w:rsidRDefault="00366937" w:rsidP="00BD6E92">
      <w:pPr>
        <w:widowControl w:val="0"/>
        <w:spacing w:before="480" w:after="480" w:line="360" w:lineRule="auto"/>
        <w:jc w:val="both"/>
        <w:rPr>
          <w:rFonts w:cs="Arial"/>
          <w:bCs/>
          <w:szCs w:val="22"/>
        </w:rPr>
      </w:pPr>
      <w:r w:rsidRPr="007811C6">
        <w:rPr>
          <w:rFonts w:cs="Arial"/>
          <w:bCs/>
          <w:szCs w:val="22"/>
        </w:rPr>
        <w:t xml:space="preserve">This does not mean that such a duty </w:t>
      </w:r>
      <w:r w:rsidR="004B6022">
        <w:rPr>
          <w:rFonts w:cs="Arial"/>
          <w:bCs/>
          <w:szCs w:val="22"/>
        </w:rPr>
        <w:t>may</w:t>
      </w:r>
      <w:r w:rsidRPr="007811C6">
        <w:rPr>
          <w:rFonts w:cs="Arial"/>
          <w:bCs/>
          <w:szCs w:val="22"/>
        </w:rPr>
        <w:t xml:space="preserve"> not exist, only that it was not pleaded.</w:t>
      </w:r>
    </w:p>
    <w:p w14:paraId="6C28A1CA" w14:textId="475B8EC9" w:rsidR="00366937" w:rsidRPr="007811C6" w:rsidRDefault="00366937" w:rsidP="00277B78">
      <w:pPr>
        <w:widowControl w:val="0"/>
        <w:numPr>
          <w:ilvl w:val="0"/>
          <w:numId w:val="1"/>
        </w:numPr>
        <w:spacing w:before="480" w:after="480" w:line="360" w:lineRule="auto"/>
        <w:jc w:val="both"/>
        <w:rPr>
          <w:rFonts w:cs="Arial"/>
          <w:bCs/>
          <w:szCs w:val="22"/>
        </w:rPr>
      </w:pPr>
      <w:r w:rsidRPr="007811C6">
        <w:rPr>
          <w:rFonts w:cs="Arial"/>
          <w:bCs/>
          <w:szCs w:val="22"/>
        </w:rPr>
        <w:lastRenderedPageBreak/>
        <w:t>The second exception must be upheld</w:t>
      </w:r>
      <w:r w:rsidR="00E86A0D">
        <w:rPr>
          <w:rFonts w:cs="Arial"/>
          <w:bCs/>
          <w:szCs w:val="22"/>
        </w:rPr>
        <w:t>.</w:t>
      </w:r>
    </w:p>
    <w:p w14:paraId="07AD6803" w14:textId="7F6C71E0" w:rsidR="00366937" w:rsidRPr="007811C6" w:rsidRDefault="00366937" w:rsidP="00366937">
      <w:pPr>
        <w:widowControl w:val="0"/>
        <w:spacing w:before="480" w:after="480" w:line="360" w:lineRule="auto"/>
        <w:jc w:val="both"/>
        <w:rPr>
          <w:rFonts w:cs="Arial"/>
          <w:bCs/>
          <w:szCs w:val="22"/>
          <w:u w:val="single"/>
        </w:rPr>
      </w:pPr>
      <w:r w:rsidRPr="007811C6">
        <w:rPr>
          <w:rFonts w:cs="Arial"/>
          <w:bCs/>
          <w:szCs w:val="22"/>
          <w:u w:val="single"/>
        </w:rPr>
        <w:t>Third exception: the second defendant has no account with the bank</w:t>
      </w:r>
    </w:p>
    <w:p w14:paraId="6BC0B592" w14:textId="034133E7" w:rsidR="00366937" w:rsidRDefault="00366937" w:rsidP="00277B78">
      <w:pPr>
        <w:widowControl w:val="0"/>
        <w:numPr>
          <w:ilvl w:val="0"/>
          <w:numId w:val="1"/>
        </w:numPr>
        <w:spacing w:before="480" w:after="480" w:line="360" w:lineRule="auto"/>
        <w:jc w:val="both"/>
        <w:rPr>
          <w:rFonts w:cs="Arial"/>
          <w:bCs/>
          <w:szCs w:val="22"/>
        </w:rPr>
      </w:pPr>
      <w:r w:rsidRPr="007811C6">
        <w:rPr>
          <w:rFonts w:cs="Arial"/>
          <w:bCs/>
          <w:szCs w:val="22"/>
        </w:rPr>
        <w:t>The bank impermissibly pleads facts in support of this exception and the exception must be dismissed. If the second defendant is not the holder of the account into which the plaintiff paid money the necessary facts will have to be pleaded by the bank in a plea.</w:t>
      </w:r>
    </w:p>
    <w:p w14:paraId="5BA5AF76" w14:textId="3949688F" w:rsidR="00366937" w:rsidRPr="007811C6" w:rsidRDefault="00753B4D" w:rsidP="00753B4D">
      <w:pPr>
        <w:widowControl w:val="0"/>
        <w:spacing w:before="480" w:after="480" w:line="360" w:lineRule="auto"/>
        <w:jc w:val="both"/>
        <w:rPr>
          <w:rFonts w:cs="Arial"/>
          <w:bCs/>
          <w:szCs w:val="22"/>
          <w:u w:val="single"/>
        </w:rPr>
      </w:pPr>
      <w:r w:rsidRPr="007811C6">
        <w:rPr>
          <w:rFonts w:cs="Arial"/>
          <w:bCs/>
          <w:szCs w:val="22"/>
          <w:u w:val="single"/>
        </w:rPr>
        <w:t>Fourth exception:</w:t>
      </w:r>
      <w:r w:rsidR="002C4EF0" w:rsidRPr="007811C6">
        <w:rPr>
          <w:rFonts w:cs="Arial"/>
          <w:bCs/>
          <w:szCs w:val="22"/>
          <w:u w:val="single"/>
        </w:rPr>
        <w:t xml:space="preserve"> Vicarious </w:t>
      </w:r>
      <w:r w:rsidRPr="007811C6">
        <w:rPr>
          <w:rFonts w:cs="Arial"/>
          <w:bCs/>
          <w:szCs w:val="22"/>
          <w:u w:val="single"/>
        </w:rPr>
        <w:t>and direct liability conflated</w:t>
      </w:r>
    </w:p>
    <w:p w14:paraId="3B1BA1FF" w14:textId="5E4DB026" w:rsidR="00BD6E92" w:rsidRPr="007811C6" w:rsidRDefault="00BD6E92" w:rsidP="00277B78">
      <w:pPr>
        <w:widowControl w:val="0"/>
        <w:numPr>
          <w:ilvl w:val="0"/>
          <w:numId w:val="1"/>
        </w:numPr>
        <w:spacing w:before="480" w:after="480" w:line="360" w:lineRule="auto"/>
        <w:jc w:val="both"/>
        <w:rPr>
          <w:rFonts w:cs="Arial"/>
          <w:bCs/>
          <w:szCs w:val="22"/>
        </w:rPr>
      </w:pPr>
      <w:r w:rsidRPr="007811C6">
        <w:rPr>
          <w:rFonts w:cs="Arial"/>
          <w:bCs/>
          <w:szCs w:val="22"/>
        </w:rPr>
        <w:t>T</w:t>
      </w:r>
      <w:r w:rsidR="002C4EF0" w:rsidRPr="007811C6">
        <w:rPr>
          <w:rFonts w:cs="Arial"/>
          <w:bCs/>
          <w:szCs w:val="22"/>
        </w:rPr>
        <w:t xml:space="preserve">he bank is a company. It can only act through the agency of people. It is </w:t>
      </w:r>
      <w:r w:rsidR="00E86A0D">
        <w:rPr>
          <w:rFonts w:cs="Arial"/>
          <w:bCs/>
          <w:szCs w:val="22"/>
        </w:rPr>
        <w:t>re</w:t>
      </w:r>
      <w:r w:rsidR="002C4EF0" w:rsidRPr="007811C6">
        <w:rPr>
          <w:rFonts w:cs="Arial"/>
          <w:bCs/>
          <w:szCs w:val="22"/>
        </w:rPr>
        <w:t>presented at all times and at all levels by its officers</w:t>
      </w:r>
      <w:r w:rsidR="00C711C8">
        <w:rPr>
          <w:rFonts w:cs="Arial"/>
          <w:bCs/>
          <w:szCs w:val="22"/>
        </w:rPr>
        <w:t>,</w:t>
      </w:r>
      <w:r w:rsidR="002C4EF0" w:rsidRPr="007811C6">
        <w:rPr>
          <w:rFonts w:cs="Arial"/>
          <w:bCs/>
          <w:szCs w:val="22"/>
        </w:rPr>
        <w:t xml:space="preserve"> employees</w:t>
      </w:r>
      <w:r w:rsidR="00C711C8">
        <w:rPr>
          <w:rFonts w:cs="Arial"/>
          <w:bCs/>
          <w:szCs w:val="22"/>
        </w:rPr>
        <w:t>, and agents</w:t>
      </w:r>
      <w:r w:rsidR="002C4EF0" w:rsidRPr="007811C6">
        <w:rPr>
          <w:rFonts w:cs="Arial"/>
          <w:bCs/>
          <w:szCs w:val="22"/>
        </w:rPr>
        <w:t>. These range from the chief executive officer, the board of directors, senior staff, junior staff</w:t>
      </w:r>
      <w:r w:rsidR="00E86A0D">
        <w:rPr>
          <w:rFonts w:cs="Arial"/>
          <w:bCs/>
          <w:szCs w:val="22"/>
        </w:rPr>
        <w:t xml:space="preserve">, and </w:t>
      </w:r>
      <w:r w:rsidR="004B6022">
        <w:rPr>
          <w:rFonts w:cs="Arial"/>
          <w:bCs/>
          <w:szCs w:val="22"/>
        </w:rPr>
        <w:t>others</w:t>
      </w:r>
      <w:r w:rsidR="002C4EF0" w:rsidRPr="007811C6">
        <w:rPr>
          <w:rFonts w:cs="Arial"/>
          <w:bCs/>
          <w:szCs w:val="22"/>
        </w:rPr>
        <w:t>.</w:t>
      </w:r>
    </w:p>
    <w:p w14:paraId="5C5D6362" w14:textId="2E2299EA" w:rsidR="00E84575" w:rsidRPr="007811C6" w:rsidRDefault="002C4EF0" w:rsidP="00277B78">
      <w:pPr>
        <w:widowControl w:val="0"/>
        <w:numPr>
          <w:ilvl w:val="0"/>
          <w:numId w:val="1"/>
        </w:numPr>
        <w:spacing w:before="480" w:after="480" w:line="360" w:lineRule="auto"/>
        <w:jc w:val="both"/>
        <w:rPr>
          <w:rFonts w:cs="Arial"/>
          <w:bCs/>
          <w:szCs w:val="22"/>
        </w:rPr>
      </w:pPr>
      <w:r w:rsidRPr="007811C6">
        <w:rPr>
          <w:rFonts w:cs="Arial"/>
          <w:bCs/>
          <w:szCs w:val="22"/>
        </w:rPr>
        <w:t>The plaintiff alleges in the particulars of claim that persons to the plaintiff unknown but acting within the course and scope of their employment took the actions for which the bank is now sought to be held liable.</w:t>
      </w:r>
    </w:p>
    <w:p w14:paraId="335D3592" w14:textId="77777777" w:rsidR="002C4EF0" w:rsidRPr="007811C6" w:rsidRDefault="002C4EF0" w:rsidP="004B6022">
      <w:pPr>
        <w:widowControl w:val="0"/>
        <w:spacing w:before="480" w:after="480" w:line="360" w:lineRule="auto"/>
        <w:jc w:val="both"/>
        <w:rPr>
          <w:rFonts w:cs="Arial"/>
          <w:bCs/>
          <w:szCs w:val="22"/>
        </w:rPr>
      </w:pPr>
      <w:r w:rsidRPr="007811C6">
        <w:rPr>
          <w:rFonts w:cs="Arial"/>
          <w:bCs/>
          <w:szCs w:val="22"/>
        </w:rPr>
        <w:t>The question of conflation of vicarious and direct liability does not arise and the exception is dismissed.</w:t>
      </w:r>
    </w:p>
    <w:p w14:paraId="5C720B74" w14:textId="05B4BA82" w:rsidR="002C4EF0" w:rsidRPr="007811C6" w:rsidRDefault="002C4EF0" w:rsidP="002C4EF0">
      <w:pPr>
        <w:widowControl w:val="0"/>
        <w:spacing w:before="480" w:after="480" w:line="360" w:lineRule="auto"/>
        <w:jc w:val="both"/>
        <w:rPr>
          <w:rFonts w:cs="Arial"/>
          <w:bCs/>
          <w:szCs w:val="22"/>
          <w:u w:val="single"/>
        </w:rPr>
      </w:pPr>
      <w:r w:rsidRPr="007811C6">
        <w:rPr>
          <w:rFonts w:cs="Arial"/>
          <w:bCs/>
          <w:szCs w:val="22"/>
          <w:u w:val="single"/>
        </w:rPr>
        <w:t>Fifth exception: it is not clear how the alleged fraudulent tender relate to the holder of the Nedbank account and the second defendant</w:t>
      </w:r>
    </w:p>
    <w:p w14:paraId="678E31DC" w14:textId="0484494E" w:rsidR="002C4EF0" w:rsidRPr="007811C6" w:rsidRDefault="002C4EF0" w:rsidP="00277B78">
      <w:pPr>
        <w:widowControl w:val="0"/>
        <w:numPr>
          <w:ilvl w:val="0"/>
          <w:numId w:val="1"/>
        </w:numPr>
        <w:spacing w:before="480" w:after="480" w:line="360" w:lineRule="auto"/>
        <w:jc w:val="both"/>
        <w:rPr>
          <w:rFonts w:cs="Arial"/>
          <w:bCs/>
          <w:szCs w:val="22"/>
        </w:rPr>
      </w:pPr>
      <w:r w:rsidRPr="007811C6">
        <w:rPr>
          <w:rFonts w:cs="Arial"/>
          <w:bCs/>
          <w:szCs w:val="22"/>
        </w:rPr>
        <w:t xml:space="preserve">Reading the particulars of claim as a whole and with the intention to understand </w:t>
      </w:r>
      <w:r w:rsidR="00C711C8">
        <w:rPr>
          <w:rFonts w:cs="Arial"/>
          <w:bCs/>
          <w:szCs w:val="22"/>
        </w:rPr>
        <w:t xml:space="preserve">the pleading </w:t>
      </w:r>
      <w:r w:rsidRPr="007811C6">
        <w:rPr>
          <w:rFonts w:cs="Arial"/>
          <w:bCs/>
          <w:szCs w:val="22"/>
        </w:rPr>
        <w:t xml:space="preserve">it would appear that the plaintiff’s claim against the bank is not based on </w:t>
      </w:r>
      <w:r w:rsidR="00BD6E92" w:rsidRPr="007811C6">
        <w:rPr>
          <w:rFonts w:cs="Arial"/>
          <w:bCs/>
          <w:szCs w:val="22"/>
        </w:rPr>
        <w:t xml:space="preserve">a </w:t>
      </w:r>
      <w:r w:rsidRPr="007811C6">
        <w:rPr>
          <w:rFonts w:cs="Arial"/>
          <w:bCs/>
          <w:szCs w:val="22"/>
        </w:rPr>
        <w:t xml:space="preserve">fraudulent tender but based on the fact that the bank permitted an alleged fraudster to open and operate an account with the bank. The plaintiff then to its detriment paid money into the bank account in the mistaken belief that the second defendant was a </w:t>
      </w:r>
      <w:r w:rsidRPr="007811C6">
        <w:rPr>
          <w:rFonts w:cs="Arial"/>
          <w:bCs/>
          <w:i/>
          <w:iCs/>
          <w:szCs w:val="22"/>
        </w:rPr>
        <w:t>bon</w:t>
      </w:r>
      <w:r w:rsidR="00C711C8">
        <w:rPr>
          <w:rFonts w:cs="Arial"/>
          <w:bCs/>
          <w:i/>
          <w:iCs/>
          <w:szCs w:val="22"/>
        </w:rPr>
        <w:t>a</w:t>
      </w:r>
      <w:r w:rsidRPr="007811C6">
        <w:rPr>
          <w:rFonts w:cs="Arial"/>
          <w:bCs/>
          <w:i/>
          <w:iCs/>
          <w:szCs w:val="22"/>
        </w:rPr>
        <w:t xml:space="preserve"> fide</w:t>
      </w:r>
      <w:r w:rsidRPr="007811C6">
        <w:rPr>
          <w:rFonts w:cs="Arial"/>
          <w:bCs/>
          <w:szCs w:val="22"/>
        </w:rPr>
        <w:t xml:space="preserve"> business.</w:t>
      </w:r>
    </w:p>
    <w:p w14:paraId="67C5114C" w14:textId="6C474300" w:rsidR="008657EE" w:rsidRPr="007811C6" w:rsidRDefault="008657EE" w:rsidP="00277B78">
      <w:pPr>
        <w:widowControl w:val="0"/>
        <w:numPr>
          <w:ilvl w:val="0"/>
          <w:numId w:val="1"/>
        </w:numPr>
        <w:spacing w:before="480" w:after="480" w:line="360" w:lineRule="auto"/>
        <w:jc w:val="both"/>
        <w:rPr>
          <w:rFonts w:cs="Arial"/>
          <w:bCs/>
          <w:szCs w:val="22"/>
        </w:rPr>
      </w:pPr>
      <w:r w:rsidRPr="007811C6">
        <w:rPr>
          <w:rFonts w:cs="Arial"/>
          <w:bCs/>
          <w:szCs w:val="22"/>
        </w:rPr>
        <w:t xml:space="preserve">The </w:t>
      </w:r>
      <w:r w:rsidR="00BD6E92" w:rsidRPr="007811C6">
        <w:rPr>
          <w:rFonts w:cs="Arial"/>
          <w:bCs/>
          <w:szCs w:val="22"/>
        </w:rPr>
        <w:t xml:space="preserve">crucial </w:t>
      </w:r>
      <w:r w:rsidRPr="007811C6">
        <w:rPr>
          <w:rFonts w:cs="Arial"/>
          <w:bCs/>
          <w:szCs w:val="22"/>
        </w:rPr>
        <w:t xml:space="preserve">causal link between the plaintiff’s loss and the bank’s actions is not </w:t>
      </w:r>
      <w:r w:rsidR="004B6022">
        <w:rPr>
          <w:rFonts w:cs="Arial"/>
          <w:bCs/>
          <w:szCs w:val="22"/>
        </w:rPr>
        <w:t>a</w:t>
      </w:r>
      <w:r w:rsidRPr="007811C6">
        <w:rPr>
          <w:rFonts w:cs="Arial"/>
          <w:bCs/>
          <w:szCs w:val="22"/>
        </w:rPr>
        <w:t xml:space="preserve"> fraudulent tender but the alleged </w:t>
      </w:r>
      <w:r w:rsidR="00C711C8">
        <w:rPr>
          <w:rFonts w:cs="Arial"/>
          <w:bCs/>
          <w:szCs w:val="22"/>
        </w:rPr>
        <w:t>failures</w:t>
      </w:r>
      <w:r w:rsidRPr="007811C6">
        <w:rPr>
          <w:rFonts w:cs="Arial"/>
          <w:bCs/>
          <w:szCs w:val="22"/>
        </w:rPr>
        <w:t xml:space="preserve"> in opening the account.</w:t>
      </w:r>
    </w:p>
    <w:p w14:paraId="6F711727" w14:textId="56A7AAC9" w:rsidR="002C4EF0" w:rsidRPr="007811C6" w:rsidRDefault="002C4EF0" w:rsidP="00277B78">
      <w:pPr>
        <w:widowControl w:val="0"/>
        <w:numPr>
          <w:ilvl w:val="0"/>
          <w:numId w:val="1"/>
        </w:numPr>
        <w:spacing w:before="480" w:after="480" w:line="360" w:lineRule="auto"/>
        <w:jc w:val="both"/>
        <w:rPr>
          <w:rFonts w:cs="Arial"/>
          <w:bCs/>
          <w:szCs w:val="22"/>
        </w:rPr>
      </w:pPr>
      <w:r w:rsidRPr="007811C6">
        <w:rPr>
          <w:rFonts w:cs="Arial"/>
          <w:bCs/>
          <w:szCs w:val="22"/>
        </w:rPr>
        <w:lastRenderedPageBreak/>
        <w:t>The</w:t>
      </w:r>
      <w:r w:rsidR="00BD6E92" w:rsidRPr="007811C6">
        <w:rPr>
          <w:rFonts w:cs="Arial"/>
          <w:bCs/>
          <w:szCs w:val="22"/>
        </w:rPr>
        <w:t xml:space="preserve"> plaintiff’s averments are not </w:t>
      </w:r>
      <w:r w:rsidRPr="007811C6">
        <w:rPr>
          <w:rFonts w:cs="Arial"/>
          <w:bCs/>
          <w:szCs w:val="22"/>
        </w:rPr>
        <w:t xml:space="preserve">elegantly pleaded </w:t>
      </w:r>
      <w:r w:rsidR="00BD6E92" w:rsidRPr="007811C6">
        <w:rPr>
          <w:rFonts w:cs="Arial"/>
          <w:bCs/>
          <w:szCs w:val="22"/>
        </w:rPr>
        <w:t>and</w:t>
      </w:r>
      <w:r w:rsidRPr="007811C6">
        <w:rPr>
          <w:rFonts w:cs="Arial"/>
          <w:bCs/>
          <w:szCs w:val="22"/>
        </w:rPr>
        <w:t xml:space="preserve"> the fi</w:t>
      </w:r>
      <w:r w:rsidR="00BD6E92" w:rsidRPr="007811C6">
        <w:rPr>
          <w:rFonts w:cs="Arial"/>
          <w:bCs/>
          <w:szCs w:val="22"/>
        </w:rPr>
        <w:t xml:space="preserve">fth </w:t>
      </w:r>
      <w:r w:rsidRPr="007811C6">
        <w:rPr>
          <w:rFonts w:cs="Arial"/>
          <w:bCs/>
          <w:szCs w:val="22"/>
        </w:rPr>
        <w:t>exception</w:t>
      </w:r>
      <w:r w:rsidR="00BD6E92" w:rsidRPr="007811C6">
        <w:rPr>
          <w:rFonts w:cs="Arial"/>
          <w:bCs/>
          <w:szCs w:val="22"/>
        </w:rPr>
        <w:t xml:space="preserve"> </w:t>
      </w:r>
      <w:r w:rsidRPr="007811C6">
        <w:rPr>
          <w:rFonts w:cs="Arial"/>
          <w:bCs/>
          <w:szCs w:val="22"/>
        </w:rPr>
        <w:t xml:space="preserve">would </w:t>
      </w:r>
      <w:r w:rsidR="00BD6E92" w:rsidRPr="007811C6">
        <w:rPr>
          <w:rFonts w:cs="Arial"/>
          <w:bCs/>
          <w:szCs w:val="22"/>
        </w:rPr>
        <w:t xml:space="preserve">become academic if averments relating to </w:t>
      </w:r>
      <w:r w:rsidRPr="007811C6">
        <w:rPr>
          <w:rFonts w:cs="Arial"/>
          <w:bCs/>
          <w:szCs w:val="22"/>
        </w:rPr>
        <w:t xml:space="preserve">a duty of care involving both the elements of negligence and wrongfulness </w:t>
      </w:r>
      <w:r w:rsidR="00BD6E92" w:rsidRPr="007811C6">
        <w:rPr>
          <w:rFonts w:cs="Arial"/>
          <w:bCs/>
          <w:szCs w:val="22"/>
        </w:rPr>
        <w:t>were</w:t>
      </w:r>
      <w:r w:rsidRPr="007811C6">
        <w:rPr>
          <w:rFonts w:cs="Arial"/>
          <w:bCs/>
          <w:szCs w:val="22"/>
        </w:rPr>
        <w:t xml:space="preserve"> properly pleaded</w:t>
      </w:r>
      <w:r w:rsidR="008657EE" w:rsidRPr="007811C6">
        <w:rPr>
          <w:rFonts w:cs="Arial"/>
          <w:bCs/>
          <w:szCs w:val="22"/>
        </w:rPr>
        <w:t xml:space="preserve"> together with facts to establish the causal connection between the loss and the bank’s conduct</w:t>
      </w:r>
      <w:r w:rsidR="00BD6E92" w:rsidRPr="007811C6">
        <w:rPr>
          <w:rFonts w:cs="Arial"/>
          <w:bCs/>
          <w:szCs w:val="22"/>
        </w:rPr>
        <w:t>.</w:t>
      </w:r>
    </w:p>
    <w:p w14:paraId="1A95305E" w14:textId="49AB28DC" w:rsidR="008657EE" w:rsidRPr="007811C6" w:rsidRDefault="002C4EF0" w:rsidP="004B6022">
      <w:pPr>
        <w:widowControl w:val="0"/>
        <w:spacing w:before="480" w:after="480" w:line="360" w:lineRule="auto"/>
        <w:jc w:val="both"/>
        <w:rPr>
          <w:rFonts w:cs="Arial"/>
          <w:bCs/>
          <w:szCs w:val="22"/>
        </w:rPr>
      </w:pPr>
      <w:r w:rsidRPr="007811C6">
        <w:rPr>
          <w:rFonts w:cs="Arial"/>
          <w:bCs/>
          <w:szCs w:val="22"/>
        </w:rPr>
        <w:t xml:space="preserve">The exception is </w:t>
      </w:r>
      <w:r w:rsidR="000809A3">
        <w:rPr>
          <w:rFonts w:cs="Arial"/>
          <w:bCs/>
          <w:szCs w:val="22"/>
        </w:rPr>
        <w:t>dismissed</w:t>
      </w:r>
      <w:r w:rsidR="008657EE" w:rsidRPr="007811C6">
        <w:rPr>
          <w:rFonts w:cs="Arial"/>
          <w:bCs/>
          <w:szCs w:val="22"/>
        </w:rPr>
        <w:t>.</w:t>
      </w:r>
    </w:p>
    <w:p w14:paraId="602CAB9E" w14:textId="0DC1278B" w:rsidR="002C4EF0" w:rsidRPr="007811C6" w:rsidRDefault="008657EE" w:rsidP="008657EE">
      <w:pPr>
        <w:widowControl w:val="0"/>
        <w:spacing w:before="480" w:after="480" w:line="360" w:lineRule="auto"/>
        <w:jc w:val="both"/>
        <w:rPr>
          <w:rFonts w:cs="Arial"/>
          <w:bCs/>
          <w:szCs w:val="22"/>
          <w:u w:val="single"/>
        </w:rPr>
      </w:pPr>
      <w:r w:rsidRPr="007811C6">
        <w:rPr>
          <w:rFonts w:cs="Arial"/>
          <w:bCs/>
          <w:szCs w:val="22"/>
          <w:u w:val="single"/>
        </w:rPr>
        <w:t xml:space="preserve">Sixth exception: the relief </w:t>
      </w:r>
      <w:r w:rsidR="004B6022">
        <w:rPr>
          <w:rFonts w:cs="Arial"/>
          <w:bCs/>
          <w:szCs w:val="22"/>
          <w:u w:val="single"/>
        </w:rPr>
        <w:t>claimed</w:t>
      </w:r>
      <w:r w:rsidR="00BD6E92" w:rsidRPr="007811C6">
        <w:rPr>
          <w:rFonts w:cs="Arial"/>
          <w:bCs/>
          <w:szCs w:val="22"/>
          <w:u w:val="single"/>
        </w:rPr>
        <w:t xml:space="preserve"> is </w:t>
      </w:r>
      <w:r w:rsidRPr="007811C6">
        <w:rPr>
          <w:rFonts w:cs="Arial"/>
          <w:bCs/>
          <w:szCs w:val="22"/>
          <w:u w:val="single"/>
        </w:rPr>
        <w:t>incompetent as the plaintiff claims the same amount twice</w:t>
      </w:r>
    </w:p>
    <w:p w14:paraId="220FCF10" w14:textId="7FC20E2F" w:rsidR="00753B4D" w:rsidRPr="007811C6" w:rsidRDefault="008657EE" w:rsidP="00277B78">
      <w:pPr>
        <w:widowControl w:val="0"/>
        <w:numPr>
          <w:ilvl w:val="0"/>
          <w:numId w:val="1"/>
        </w:numPr>
        <w:spacing w:before="480" w:after="480" w:line="360" w:lineRule="auto"/>
        <w:jc w:val="both"/>
        <w:rPr>
          <w:rFonts w:cs="Arial"/>
          <w:bCs/>
          <w:szCs w:val="22"/>
        </w:rPr>
      </w:pPr>
      <w:r w:rsidRPr="007811C6">
        <w:rPr>
          <w:rFonts w:cs="Arial"/>
          <w:bCs/>
          <w:szCs w:val="22"/>
        </w:rPr>
        <w:t>The plaintiff alleges that it suffered a loss of R600</w:t>
      </w:r>
      <w:proofErr w:type="gramStart"/>
      <w:r w:rsidRPr="007811C6">
        <w:rPr>
          <w:rFonts w:cs="Arial"/>
          <w:bCs/>
          <w:szCs w:val="22"/>
        </w:rPr>
        <w:t>,000</w:t>
      </w:r>
      <w:proofErr w:type="gramEnd"/>
      <w:r w:rsidRPr="007811C6">
        <w:rPr>
          <w:rFonts w:cs="Arial"/>
          <w:bCs/>
          <w:szCs w:val="22"/>
        </w:rPr>
        <w:t xml:space="preserve"> and claims this amount from the bank. It claims the same amount from the 2</w:t>
      </w:r>
      <w:r w:rsidRPr="007811C6">
        <w:rPr>
          <w:rFonts w:cs="Arial"/>
          <w:bCs/>
          <w:szCs w:val="22"/>
          <w:vertAlign w:val="superscript"/>
        </w:rPr>
        <w:t>nd</w:t>
      </w:r>
      <w:r w:rsidRPr="007811C6">
        <w:rPr>
          <w:rFonts w:cs="Arial"/>
          <w:bCs/>
          <w:szCs w:val="22"/>
        </w:rPr>
        <w:t xml:space="preserve"> to 4</w:t>
      </w:r>
      <w:r w:rsidRPr="007811C6">
        <w:rPr>
          <w:rFonts w:cs="Arial"/>
          <w:bCs/>
          <w:szCs w:val="22"/>
          <w:vertAlign w:val="superscript"/>
        </w:rPr>
        <w:t>th</w:t>
      </w:r>
      <w:r w:rsidRPr="007811C6">
        <w:rPr>
          <w:rFonts w:cs="Arial"/>
          <w:bCs/>
          <w:szCs w:val="22"/>
        </w:rPr>
        <w:t xml:space="preserve"> defendants, jointly and severally the one paying the other to be absolved. If all these parties pay the amounts claimed then R1</w:t>
      </w:r>
      <w:proofErr w:type="gramStart"/>
      <w:r w:rsidRPr="007811C6">
        <w:rPr>
          <w:rFonts w:cs="Arial"/>
          <w:bCs/>
          <w:szCs w:val="22"/>
        </w:rPr>
        <w:t>,200,000</w:t>
      </w:r>
      <w:proofErr w:type="gramEnd"/>
      <w:r w:rsidRPr="007811C6">
        <w:rPr>
          <w:rFonts w:cs="Arial"/>
          <w:bCs/>
          <w:szCs w:val="22"/>
        </w:rPr>
        <w:t xml:space="preserve"> will be paid</w:t>
      </w:r>
      <w:r w:rsidR="00E86A0D">
        <w:rPr>
          <w:rFonts w:cs="Arial"/>
          <w:bCs/>
          <w:szCs w:val="22"/>
        </w:rPr>
        <w:t xml:space="preserve"> to the plaintiff in terms of a R600,000 claim.</w:t>
      </w:r>
    </w:p>
    <w:p w14:paraId="3FE99C96" w14:textId="0471AE3B" w:rsidR="008657EE" w:rsidRPr="007811C6" w:rsidRDefault="008657EE" w:rsidP="00277B78">
      <w:pPr>
        <w:widowControl w:val="0"/>
        <w:numPr>
          <w:ilvl w:val="0"/>
          <w:numId w:val="1"/>
        </w:numPr>
        <w:spacing w:before="480" w:after="480" w:line="360" w:lineRule="auto"/>
        <w:jc w:val="both"/>
        <w:rPr>
          <w:rFonts w:cs="Arial"/>
          <w:bCs/>
          <w:szCs w:val="22"/>
        </w:rPr>
      </w:pPr>
      <w:r w:rsidRPr="007811C6">
        <w:rPr>
          <w:rFonts w:cs="Arial"/>
          <w:bCs/>
          <w:szCs w:val="22"/>
        </w:rPr>
        <w:t>The exception is upheld.</w:t>
      </w:r>
    </w:p>
    <w:p w14:paraId="245266A2" w14:textId="790556F5" w:rsidR="00BD6E92" w:rsidRPr="007811C6" w:rsidRDefault="00BD6E92" w:rsidP="00BD6E92">
      <w:pPr>
        <w:widowControl w:val="0"/>
        <w:spacing w:before="480" w:after="480" w:line="360" w:lineRule="auto"/>
        <w:jc w:val="both"/>
        <w:rPr>
          <w:rFonts w:cs="Arial"/>
          <w:bCs/>
          <w:szCs w:val="22"/>
          <w:u w:val="single"/>
        </w:rPr>
      </w:pPr>
      <w:r w:rsidRPr="007811C6">
        <w:rPr>
          <w:rFonts w:cs="Arial"/>
          <w:bCs/>
          <w:szCs w:val="22"/>
          <w:u w:val="single"/>
        </w:rPr>
        <w:t>Costs</w:t>
      </w:r>
    </w:p>
    <w:p w14:paraId="537FB47A" w14:textId="43110534" w:rsidR="00BD6E92" w:rsidRPr="007811C6" w:rsidRDefault="00BD6E92" w:rsidP="00B15D12">
      <w:pPr>
        <w:widowControl w:val="0"/>
        <w:numPr>
          <w:ilvl w:val="0"/>
          <w:numId w:val="1"/>
        </w:numPr>
        <w:spacing w:before="480" w:after="480" w:line="360" w:lineRule="auto"/>
        <w:jc w:val="both"/>
        <w:rPr>
          <w:rFonts w:cs="Arial"/>
          <w:bCs/>
          <w:szCs w:val="22"/>
        </w:rPr>
      </w:pPr>
      <w:r w:rsidRPr="007811C6">
        <w:rPr>
          <w:rFonts w:cs="Arial"/>
          <w:bCs/>
          <w:szCs w:val="22"/>
        </w:rPr>
        <w:t>The bank achieved substantial success in that three of the six exceptions are being upheld. I am nevertheless of the view that each party should bear its own costs in this matter. The three exceptions that are being dismissed have no merit whatsoever and can be described as frivolous.</w:t>
      </w:r>
    </w:p>
    <w:p w14:paraId="6F19707F" w14:textId="77777777" w:rsidR="00E86A0D" w:rsidRDefault="00E86A0D" w:rsidP="00C711C8">
      <w:pPr>
        <w:keepNext/>
        <w:widowControl w:val="0"/>
        <w:spacing w:before="480" w:after="480" w:line="360" w:lineRule="auto"/>
        <w:jc w:val="both"/>
        <w:rPr>
          <w:rFonts w:cs="Arial"/>
          <w:bCs/>
          <w:szCs w:val="22"/>
          <w:u w:val="single"/>
        </w:rPr>
      </w:pPr>
    </w:p>
    <w:p w14:paraId="154C20F6" w14:textId="52A71690" w:rsidR="00BD6E92" w:rsidRPr="007811C6" w:rsidRDefault="00BD6E92" w:rsidP="00C711C8">
      <w:pPr>
        <w:keepNext/>
        <w:widowControl w:val="0"/>
        <w:spacing w:before="480" w:after="480" w:line="360" w:lineRule="auto"/>
        <w:jc w:val="both"/>
        <w:rPr>
          <w:rFonts w:cs="Arial"/>
          <w:bCs/>
          <w:szCs w:val="22"/>
          <w:u w:val="single"/>
        </w:rPr>
      </w:pPr>
      <w:r w:rsidRPr="007811C6">
        <w:rPr>
          <w:rFonts w:cs="Arial"/>
          <w:bCs/>
          <w:szCs w:val="22"/>
          <w:u w:val="single"/>
        </w:rPr>
        <w:t>Conclusion</w:t>
      </w:r>
    </w:p>
    <w:p w14:paraId="5AA88EA9" w14:textId="328AE3A6" w:rsidR="004D692E" w:rsidRPr="007811C6" w:rsidRDefault="00B15D12" w:rsidP="00C711C8">
      <w:pPr>
        <w:keepNext/>
        <w:widowControl w:val="0"/>
        <w:numPr>
          <w:ilvl w:val="0"/>
          <w:numId w:val="1"/>
        </w:numPr>
        <w:spacing w:before="480" w:after="480" w:line="360" w:lineRule="auto"/>
        <w:jc w:val="both"/>
        <w:rPr>
          <w:rFonts w:cs="Arial"/>
          <w:bCs/>
          <w:szCs w:val="22"/>
        </w:rPr>
      </w:pPr>
      <w:r w:rsidRPr="007811C6">
        <w:rPr>
          <w:rFonts w:cs="Arial"/>
          <w:bCs/>
          <w:szCs w:val="22"/>
        </w:rPr>
        <w:t xml:space="preserve">For all the reasons as set out above I make the </w:t>
      </w:r>
      <w:r w:rsidR="00366937" w:rsidRPr="007811C6">
        <w:rPr>
          <w:rFonts w:cs="Arial"/>
          <w:bCs/>
          <w:szCs w:val="22"/>
        </w:rPr>
        <w:t>o</w:t>
      </w:r>
      <w:r w:rsidRPr="007811C6">
        <w:rPr>
          <w:rFonts w:cs="Arial"/>
          <w:bCs/>
          <w:szCs w:val="22"/>
        </w:rPr>
        <w:t>rder in paragraph 1.</w:t>
      </w:r>
    </w:p>
    <w:p w14:paraId="5B7FD0E4" w14:textId="77777777" w:rsidR="00B15D12" w:rsidRPr="007811C6" w:rsidRDefault="00B15D12" w:rsidP="003A1D18">
      <w:pPr>
        <w:widowControl w:val="0"/>
        <w:tabs>
          <w:tab w:val="right" w:pos="0"/>
        </w:tabs>
        <w:spacing w:line="360" w:lineRule="auto"/>
        <w:contextualSpacing/>
        <w:jc w:val="right"/>
        <w:rPr>
          <w:rFonts w:cs="Arial"/>
          <w:b/>
          <w:szCs w:val="22"/>
        </w:rPr>
      </w:pPr>
    </w:p>
    <w:p w14:paraId="58DFDFC0" w14:textId="77777777" w:rsidR="00B15D12" w:rsidRPr="007811C6" w:rsidRDefault="00B15D12" w:rsidP="003A1D18">
      <w:pPr>
        <w:widowControl w:val="0"/>
        <w:tabs>
          <w:tab w:val="right" w:pos="0"/>
        </w:tabs>
        <w:spacing w:line="360" w:lineRule="auto"/>
        <w:contextualSpacing/>
        <w:jc w:val="right"/>
        <w:rPr>
          <w:rFonts w:cs="Arial"/>
          <w:b/>
          <w:szCs w:val="22"/>
        </w:rPr>
      </w:pPr>
    </w:p>
    <w:p w14:paraId="53CD27EE" w14:textId="517D8EE6" w:rsidR="00AE287F" w:rsidRPr="007811C6" w:rsidRDefault="00A649E6" w:rsidP="003A1D18">
      <w:pPr>
        <w:widowControl w:val="0"/>
        <w:tabs>
          <w:tab w:val="right" w:pos="0"/>
        </w:tabs>
        <w:spacing w:line="360" w:lineRule="auto"/>
        <w:contextualSpacing/>
        <w:jc w:val="right"/>
        <w:rPr>
          <w:rFonts w:cs="Arial"/>
          <w:b/>
          <w:szCs w:val="22"/>
        </w:rPr>
      </w:pPr>
      <w:r w:rsidRPr="007811C6">
        <w:rPr>
          <w:rFonts w:cs="Arial"/>
          <w:b/>
          <w:szCs w:val="22"/>
        </w:rPr>
        <w:t>______________</w:t>
      </w:r>
    </w:p>
    <w:p w14:paraId="0CCB9BFE" w14:textId="7ABE564D" w:rsidR="006C43D7" w:rsidRPr="007811C6" w:rsidRDefault="00C676F3" w:rsidP="003A1D18">
      <w:pPr>
        <w:widowControl w:val="0"/>
        <w:tabs>
          <w:tab w:val="right" w:pos="0"/>
        </w:tabs>
        <w:spacing w:line="360" w:lineRule="auto"/>
        <w:contextualSpacing/>
        <w:jc w:val="right"/>
        <w:rPr>
          <w:rFonts w:cs="Arial"/>
          <w:b/>
          <w:szCs w:val="22"/>
        </w:rPr>
      </w:pPr>
      <w:r w:rsidRPr="007811C6">
        <w:rPr>
          <w:rFonts w:cs="Arial"/>
          <w:b/>
          <w:szCs w:val="22"/>
        </w:rPr>
        <w:t>J MOORCROFT</w:t>
      </w:r>
    </w:p>
    <w:p w14:paraId="7A2C1059" w14:textId="77777777" w:rsidR="006C43D7" w:rsidRPr="007811C6" w:rsidRDefault="006C43D7" w:rsidP="003A1D18">
      <w:pPr>
        <w:widowControl w:val="0"/>
        <w:tabs>
          <w:tab w:val="right" w:pos="0"/>
        </w:tabs>
        <w:spacing w:line="360" w:lineRule="auto"/>
        <w:contextualSpacing/>
        <w:jc w:val="right"/>
        <w:rPr>
          <w:rFonts w:cs="Arial"/>
          <w:b/>
          <w:szCs w:val="22"/>
        </w:rPr>
      </w:pPr>
      <w:r w:rsidRPr="007811C6">
        <w:rPr>
          <w:rFonts w:cs="Arial"/>
          <w:b/>
          <w:szCs w:val="22"/>
        </w:rPr>
        <w:lastRenderedPageBreak/>
        <w:t>ACTING JUDGE OF THE HIGH COURT OF SOUTH AFRICA</w:t>
      </w:r>
    </w:p>
    <w:p w14:paraId="077C2590" w14:textId="7452355B" w:rsidR="006C43D7" w:rsidRPr="007811C6" w:rsidRDefault="006C43D7" w:rsidP="003A1D18">
      <w:pPr>
        <w:widowControl w:val="0"/>
        <w:tabs>
          <w:tab w:val="right" w:pos="0"/>
          <w:tab w:val="left" w:pos="4253"/>
        </w:tabs>
        <w:spacing w:line="360" w:lineRule="auto"/>
        <w:contextualSpacing/>
        <w:jc w:val="right"/>
        <w:rPr>
          <w:rFonts w:cs="Arial"/>
          <w:b/>
          <w:szCs w:val="22"/>
        </w:rPr>
      </w:pPr>
      <w:r w:rsidRPr="007811C6">
        <w:rPr>
          <w:rFonts w:cs="Arial"/>
          <w:b/>
          <w:szCs w:val="22"/>
        </w:rPr>
        <w:t>GAUTENG DIVISION</w:t>
      </w:r>
    </w:p>
    <w:p w14:paraId="40B9C946" w14:textId="77777777" w:rsidR="006C43D7" w:rsidRPr="007811C6" w:rsidRDefault="006C43D7" w:rsidP="0005282E">
      <w:pPr>
        <w:widowControl w:val="0"/>
        <w:tabs>
          <w:tab w:val="right" w:pos="0"/>
          <w:tab w:val="left" w:pos="4253"/>
        </w:tabs>
        <w:spacing w:line="360" w:lineRule="auto"/>
        <w:contextualSpacing/>
        <w:jc w:val="right"/>
        <w:rPr>
          <w:rFonts w:cs="Arial"/>
          <w:b/>
          <w:szCs w:val="22"/>
        </w:rPr>
      </w:pPr>
      <w:r w:rsidRPr="007811C6">
        <w:rPr>
          <w:rFonts w:cs="Arial"/>
          <w:b/>
          <w:szCs w:val="22"/>
        </w:rPr>
        <w:t>JOHANNESBURG</w:t>
      </w:r>
    </w:p>
    <w:p w14:paraId="326B529B" w14:textId="77777777" w:rsidR="006C43D7" w:rsidRPr="007811C6"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7811C6" w:rsidRDefault="006C43D7" w:rsidP="003A1D18">
      <w:pPr>
        <w:widowControl w:val="0"/>
        <w:spacing w:after="200" w:line="480" w:lineRule="auto"/>
        <w:contextualSpacing/>
        <w:jc w:val="right"/>
        <w:rPr>
          <w:rFonts w:cs="Arial"/>
          <w:b/>
          <w:i/>
          <w:iCs/>
          <w:szCs w:val="22"/>
        </w:rPr>
      </w:pPr>
      <w:r w:rsidRPr="007811C6">
        <w:rPr>
          <w:rFonts w:cs="Arial"/>
          <w:b/>
          <w:i/>
          <w:iCs/>
          <w:szCs w:val="22"/>
        </w:rPr>
        <w:t>Electronically submitted</w:t>
      </w:r>
    </w:p>
    <w:p w14:paraId="482DDF6E" w14:textId="46973679" w:rsidR="006C43D7" w:rsidRPr="007811C6" w:rsidRDefault="006C43D7" w:rsidP="00A84915">
      <w:pPr>
        <w:widowControl w:val="0"/>
        <w:spacing w:after="200" w:line="360" w:lineRule="auto"/>
        <w:contextualSpacing/>
        <w:jc w:val="both"/>
        <w:rPr>
          <w:rFonts w:eastAsia="Arial Unicode MS" w:cs="Arial"/>
          <w:b/>
          <w:szCs w:val="22"/>
        </w:rPr>
      </w:pPr>
      <w:r w:rsidRPr="007811C6">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7811C6">
        <w:rPr>
          <w:rFonts w:eastAsia="Arial Unicode MS" w:cs="Arial"/>
          <w:bCs/>
          <w:szCs w:val="22"/>
        </w:rPr>
        <w:t>CaseLines</w:t>
      </w:r>
      <w:proofErr w:type="spellEnd"/>
      <w:r w:rsidRPr="007811C6">
        <w:rPr>
          <w:rFonts w:eastAsia="Arial Unicode MS" w:cs="Arial"/>
          <w:bCs/>
          <w:szCs w:val="22"/>
        </w:rPr>
        <w:t xml:space="preserve">. The date of the judgment is deemed to </w:t>
      </w:r>
      <w:proofErr w:type="gramStart"/>
      <w:r w:rsidRPr="007811C6">
        <w:rPr>
          <w:rFonts w:eastAsia="Arial Unicode MS" w:cs="Arial"/>
          <w:bCs/>
          <w:szCs w:val="22"/>
        </w:rPr>
        <w:t>be</w:t>
      </w:r>
      <w:r w:rsidR="00C460A0" w:rsidRPr="007811C6">
        <w:rPr>
          <w:rFonts w:eastAsia="Arial Unicode MS" w:cs="Arial"/>
          <w:b/>
          <w:szCs w:val="22"/>
        </w:rPr>
        <w:t xml:space="preserve"> </w:t>
      </w:r>
      <w:r w:rsidR="0005282E" w:rsidRPr="007811C6">
        <w:rPr>
          <w:rFonts w:eastAsia="Arial Unicode MS" w:cs="Arial"/>
          <w:b/>
          <w:szCs w:val="22"/>
        </w:rPr>
        <w:t xml:space="preserve"> </w:t>
      </w:r>
      <w:r w:rsidR="0061036C" w:rsidRPr="007811C6">
        <w:rPr>
          <w:rFonts w:eastAsia="Arial Unicode MS" w:cs="Arial"/>
          <w:b/>
          <w:szCs w:val="22"/>
        </w:rPr>
        <w:t>4</w:t>
      </w:r>
      <w:proofErr w:type="gramEnd"/>
      <w:r w:rsidR="009111C8" w:rsidRPr="007811C6">
        <w:rPr>
          <w:rFonts w:eastAsia="Arial Unicode MS" w:cs="Arial"/>
          <w:b/>
          <w:szCs w:val="22"/>
        </w:rPr>
        <w:t xml:space="preserve"> MARCH</w:t>
      </w:r>
      <w:r w:rsidR="000976D2" w:rsidRPr="007811C6">
        <w:rPr>
          <w:rFonts w:eastAsia="Arial Unicode MS" w:cs="Arial"/>
          <w:b/>
          <w:szCs w:val="22"/>
        </w:rPr>
        <w:t xml:space="preserve"> </w:t>
      </w:r>
      <w:r w:rsidR="00D33A54" w:rsidRPr="007811C6">
        <w:rPr>
          <w:rFonts w:eastAsia="Arial Unicode MS" w:cs="Arial"/>
          <w:b/>
          <w:szCs w:val="22"/>
        </w:rPr>
        <w:t>2024</w:t>
      </w:r>
    </w:p>
    <w:p w14:paraId="74CD3952" w14:textId="77777777" w:rsidR="00A84915" w:rsidRPr="007811C6" w:rsidRDefault="00A84915" w:rsidP="00A84915">
      <w:pPr>
        <w:widowControl w:val="0"/>
        <w:spacing w:after="200" w:line="360" w:lineRule="auto"/>
        <w:contextualSpacing/>
        <w:jc w:val="both"/>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7811C6" w14:paraId="493AF0D7" w14:textId="77777777" w:rsidTr="00615F6B">
        <w:tc>
          <w:tcPr>
            <w:tcW w:w="4678" w:type="dxa"/>
          </w:tcPr>
          <w:p w14:paraId="6A05541A" w14:textId="5EE10EB4"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COUNSEL FOR </w:t>
            </w:r>
            <w:r w:rsidR="00404A52" w:rsidRPr="007811C6">
              <w:rPr>
                <w:rFonts w:cs="Arial"/>
                <w:szCs w:val="22"/>
              </w:rPr>
              <w:t>THE</w:t>
            </w:r>
            <w:r w:rsidR="000976D2" w:rsidRPr="007811C6">
              <w:rPr>
                <w:rFonts w:cs="Arial"/>
                <w:szCs w:val="22"/>
              </w:rPr>
              <w:t xml:space="preserve"> </w:t>
            </w:r>
            <w:r w:rsidR="0061036C" w:rsidRPr="007811C6">
              <w:rPr>
                <w:rFonts w:cs="Arial"/>
                <w:szCs w:val="22"/>
              </w:rPr>
              <w:t>EXCIPIENT</w:t>
            </w:r>
            <w:r w:rsidRPr="007811C6">
              <w:rPr>
                <w:rFonts w:cs="Arial"/>
                <w:szCs w:val="22"/>
              </w:rPr>
              <w:t>:</w:t>
            </w:r>
          </w:p>
        </w:tc>
        <w:tc>
          <w:tcPr>
            <w:tcW w:w="3935" w:type="dxa"/>
          </w:tcPr>
          <w:p w14:paraId="69785AA9" w14:textId="4CD84DF3" w:rsidR="009111C8" w:rsidRPr="007811C6" w:rsidRDefault="00ED602B" w:rsidP="00D65571">
            <w:pPr>
              <w:tabs>
                <w:tab w:val="right" w:pos="0"/>
                <w:tab w:val="left" w:pos="567"/>
                <w:tab w:val="right" w:pos="2727"/>
                <w:tab w:val="left" w:pos="4253"/>
              </w:tabs>
              <w:spacing w:before="120" w:after="120"/>
              <w:jc w:val="right"/>
              <w:rPr>
                <w:rFonts w:cs="Arial"/>
                <w:szCs w:val="22"/>
              </w:rPr>
            </w:pPr>
            <w:r w:rsidRPr="007811C6">
              <w:rPr>
                <w:rFonts w:cs="Arial"/>
                <w:szCs w:val="22"/>
              </w:rPr>
              <w:t xml:space="preserve">M Z GWALA </w:t>
            </w:r>
          </w:p>
        </w:tc>
      </w:tr>
      <w:tr w:rsidR="009D35B5" w:rsidRPr="007811C6" w14:paraId="183C176D" w14:textId="77777777" w:rsidTr="00615F6B">
        <w:tc>
          <w:tcPr>
            <w:tcW w:w="4678" w:type="dxa"/>
          </w:tcPr>
          <w:p w14:paraId="75365413" w14:textId="481747BC" w:rsidR="009D35B5" w:rsidRPr="007811C6" w:rsidRDefault="009D35B5" w:rsidP="00A25AB4">
            <w:pPr>
              <w:tabs>
                <w:tab w:val="right" w:pos="0"/>
                <w:tab w:val="left" w:pos="4253"/>
              </w:tabs>
              <w:spacing w:before="120" w:after="120"/>
              <w:rPr>
                <w:rFonts w:cs="Arial"/>
                <w:szCs w:val="22"/>
              </w:rPr>
            </w:pPr>
            <w:r w:rsidRPr="007811C6">
              <w:rPr>
                <w:rFonts w:cs="Arial"/>
                <w:szCs w:val="22"/>
              </w:rPr>
              <w:t>INSTRUCTED BY:</w:t>
            </w:r>
          </w:p>
        </w:tc>
        <w:tc>
          <w:tcPr>
            <w:tcW w:w="3935" w:type="dxa"/>
          </w:tcPr>
          <w:p w14:paraId="4044534A" w14:textId="6AA7B9AC" w:rsidR="00E10D04" w:rsidRPr="007811C6" w:rsidRDefault="00ED602B" w:rsidP="00A25AB4">
            <w:pPr>
              <w:tabs>
                <w:tab w:val="right" w:pos="0"/>
                <w:tab w:val="left" w:pos="4253"/>
              </w:tabs>
              <w:spacing w:before="120" w:after="120"/>
              <w:jc w:val="right"/>
              <w:rPr>
                <w:rFonts w:cs="Arial"/>
                <w:szCs w:val="22"/>
              </w:rPr>
            </w:pPr>
            <w:r w:rsidRPr="007811C6">
              <w:rPr>
                <w:rFonts w:cs="Arial"/>
                <w:szCs w:val="22"/>
              </w:rPr>
              <w:t>LOWNDES DLAMINI INC</w:t>
            </w:r>
          </w:p>
        </w:tc>
      </w:tr>
      <w:tr w:rsidR="009D35B5" w:rsidRPr="007811C6" w14:paraId="6E2BF966" w14:textId="77777777" w:rsidTr="00615F6B">
        <w:tc>
          <w:tcPr>
            <w:tcW w:w="4678" w:type="dxa"/>
          </w:tcPr>
          <w:p w14:paraId="545B6665" w14:textId="7BB70EBA"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COUNSEL FOR </w:t>
            </w:r>
            <w:r w:rsidR="0061036C" w:rsidRPr="007811C6">
              <w:rPr>
                <w:rFonts w:cs="Arial"/>
                <w:szCs w:val="22"/>
              </w:rPr>
              <w:t xml:space="preserve">THE </w:t>
            </w:r>
            <w:r w:rsidR="00027D19" w:rsidRPr="007811C6">
              <w:rPr>
                <w:rFonts w:cs="Arial"/>
                <w:szCs w:val="22"/>
              </w:rPr>
              <w:t>RESPONDENT</w:t>
            </w:r>
            <w:r w:rsidRPr="007811C6">
              <w:rPr>
                <w:rFonts w:cs="Arial"/>
                <w:szCs w:val="22"/>
              </w:rPr>
              <w:t>:</w:t>
            </w:r>
          </w:p>
        </w:tc>
        <w:tc>
          <w:tcPr>
            <w:tcW w:w="3935" w:type="dxa"/>
          </w:tcPr>
          <w:p w14:paraId="51741A90" w14:textId="2133468F" w:rsidR="004D692E" w:rsidRPr="007811C6" w:rsidRDefault="00ED602B" w:rsidP="00D65571">
            <w:pPr>
              <w:tabs>
                <w:tab w:val="right" w:pos="0"/>
                <w:tab w:val="left" w:pos="4253"/>
              </w:tabs>
              <w:spacing w:before="120" w:after="120"/>
              <w:jc w:val="right"/>
              <w:rPr>
                <w:rFonts w:cs="Arial"/>
                <w:szCs w:val="22"/>
              </w:rPr>
            </w:pPr>
            <w:r w:rsidRPr="007811C6">
              <w:rPr>
                <w:rFonts w:cs="Arial"/>
                <w:szCs w:val="22"/>
              </w:rPr>
              <w:t>F A FERREIRA</w:t>
            </w:r>
          </w:p>
        </w:tc>
      </w:tr>
      <w:tr w:rsidR="009D35B5" w:rsidRPr="007811C6" w14:paraId="1EC4105A" w14:textId="77777777" w:rsidTr="00615F6B">
        <w:tc>
          <w:tcPr>
            <w:tcW w:w="4678" w:type="dxa"/>
          </w:tcPr>
          <w:p w14:paraId="184EC2ED" w14:textId="1E42F28A" w:rsidR="009D35B5" w:rsidRPr="007811C6" w:rsidRDefault="009D35B5" w:rsidP="00A25AB4">
            <w:pPr>
              <w:tabs>
                <w:tab w:val="right" w:pos="0"/>
                <w:tab w:val="left" w:pos="4253"/>
              </w:tabs>
              <w:spacing w:before="120" w:after="120"/>
              <w:rPr>
                <w:rFonts w:cs="Arial"/>
                <w:szCs w:val="22"/>
              </w:rPr>
            </w:pPr>
            <w:r w:rsidRPr="007811C6">
              <w:rPr>
                <w:rFonts w:cs="Arial"/>
                <w:szCs w:val="22"/>
              </w:rPr>
              <w:t>INSTRUCTED BY:</w:t>
            </w:r>
          </w:p>
        </w:tc>
        <w:tc>
          <w:tcPr>
            <w:tcW w:w="3935" w:type="dxa"/>
          </w:tcPr>
          <w:p w14:paraId="2098BE2A" w14:textId="3F8AF82A" w:rsidR="009D35B5" w:rsidRPr="007811C6" w:rsidRDefault="00ED602B" w:rsidP="00A25AB4">
            <w:pPr>
              <w:tabs>
                <w:tab w:val="right" w:pos="0"/>
                <w:tab w:val="left" w:pos="4253"/>
              </w:tabs>
              <w:spacing w:before="120" w:after="120"/>
              <w:jc w:val="right"/>
              <w:rPr>
                <w:rFonts w:cs="Arial"/>
                <w:szCs w:val="22"/>
              </w:rPr>
            </w:pPr>
            <w:r w:rsidRPr="007811C6">
              <w:rPr>
                <w:rFonts w:cs="Arial"/>
                <w:szCs w:val="22"/>
              </w:rPr>
              <w:t>BOUCHER ATTORNEYS</w:t>
            </w:r>
          </w:p>
        </w:tc>
      </w:tr>
      <w:tr w:rsidR="009D35B5" w:rsidRPr="007811C6" w14:paraId="2A3FE2B1" w14:textId="77777777" w:rsidTr="00615F6B">
        <w:tc>
          <w:tcPr>
            <w:tcW w:w="4678" w:type="dxa"/>
          </w:tcPr>
          <w:p w14:paraId="0767D0FE" w14:textId="61925A22"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DATE </w:t>
            </w:r>
            <w:r w:rsidR="00E57446" w:rsidRPr="007811C6">
              <w:rPr>
                <w:rFonts w:cs="Arial"/>
                <w:szCs w:val="22"/>
              </w:rPr>
              <w:t>OF ARGUMENT</w:t>
            </w:r>
            <w:r w:rsidRPr="007811C6">
              <w:rPr>
                <w:rFonts w:cs="Arial"/>
                <w:szCs w:val="22"/>
              </w:rPr>
              <w:t>:</w:t>
            </w:r>
          </w:p>
        </w:tc>
        <w:tc>
          <w:tcPr>
            <w:tcW w:w="3935" w:type="dxa"/>
          </w:tcPr>
          <w:p w14:paraId="34C95147" w14:textId="58239B4B" w:rsidR="009D35B5" w:rsidRPr="007811C6" w:rsidRDefault="00D33A54" w:rsidP="00A25AB4">
            <w:pPr>
              <w:tabs>
                <w:tab w:val="right" w:pos="0"/>
                <w:tab w:val="left" w:pos="4253"/>
              </w:tabs>
              <w:spacing w:before="120" w:after="120"/>
              <w:jc w:val="right"/>
              <w:rPr>
                <w:rFonts w:cs="Arial"/>
                <w:szCs w:val="22"/>
              </w:rPr>
            </w:pPr>
            <w:r w:rsidRPr="007811C6">
              <w:rPr>
                <w:rFonts w:cs="Arial"/>
                <w:szCs w:val="22"/>
              </w:rPr>
              <w:t>2</w:t>
            </w:r>
            <w:r w:rsidR="0061036C" w:rsidRPr="007811C6">
              <w:rPr>
                <w:rFonts w:cs="Arial"/>
                <w:szCs w:val="22"/>
              </w:rPr>
              <w:t xml:space="preserve">0 </w:t>
            </w:r>
            <w:r w:rsidRPr="007811C6">
              <w:rPr>
                <w:rFonts w:cs="Arial"/>
                <w:szCs w:val="22"/>
              </w:rPr>
              <w:t>FEBRUARY 2024</w:t>
            </w:r>
          </w:p>
        </w:tc>
      </w:tr>
      <w:tr w:rsidR="00A25AB4" w:rsidRPr="007811C6" w14:paraId="5ECDFF3A" w14:textId="77777777" w:rsidTr="00615F6B">
        <w:tc>
          <w:tcPr>
            <w:tcW w:w="4678" w:type="dxa"/>
          </w:tcPr>
          <w:p w14:paraId="1DF2AE9E" w14:textId="1FC539A4" w:rsidR="00A25AB4" w:rsidRPr="007811C6" w:rsidRDefault="00A25AB4" w:rsidP="00A25AB4">
            <w:pPr>
              <w:tabs>
                <w:tab w:val="right" w:pos="0"/>
                <w:tab w:val="left" w:pos="4253"/>
              </w:tabs>
              <w:spacing w:before="120" w:after="120"/>
              <w:rPr>
                <w:rFonts w:cs="Arial"/>
                <w:szCs w:val="22"/>
              </w:rPr>
            </w:pPr>
            <w:r w:rsidRPr="007811C6">
              <w:rPr>
                <w:rFonts w:cs="Arial"/>
                <w:szCs w:val="22"/>
              </w:rPr>
              <w:t>DATE OF JUDGMENT:</w:t>
            </w:r>
          </w:p>
        </w:tc>
        <w:tc>
          <w:tcPr>
            <w:tcW w:w="3935" w:type="dxa"/>
          </w:tcPr>
          <w:p w14:paraId="02219E99" w14:textId="6A3FE205" w:rsidR="00A25AB4" w:rsidRPr="007811C6" w:rsidRDefault="0061036C" w:rsidP="00A25AB4">
            <w:pPr>
              <w:tabs>
                <w:tab w:val="right" w:pos="0"/>
                <w:tab w:val="left" w:pos="4253"/>
              </w:tabs>
              <w:spacing w:before="120" w:after="120"/>
              <w:jc w:val="right"/>
              <w:rPr>
                <w:rFonts w:cs="Arial"/>
                <w:szCs w:val="22"/>
              </w:rPr>
            </w:pPr>
            <w:r w:rsidRPr="007811C6">
              <w:rPr>
                <w:rFonts w:cs="Arial"/>
                <w:szCs w:val="22"/>
              </w:rPr>
              <w:t>4</w:t>
            </w:r>
            <w:r w:rsidR="009111C8" w:rsidRPr="007811C6">
              <w:rPr>
                <w:rFonts w:cs="Arial"/>
                <w:szCs w:val="22"/>
              </w:rPr>
              <w:t xml:space="preserve"> MARCH</w:t>
            </w:r>
            <w:r w:rsidR="00B664E5" w:rsidRPr="007811C6">
              <w:rPr>
                <w:rFonts w:cs="Arial"/>
                <w:szCs w:val="22"/>
              </w:rPr>
              <w:t xml:space="preserve"> </w:t>
            </w:r>
            <w:r w:rsidR="00D33A54" w:rsidRPr="007811C6">
              <w:rPr>
                <w:rFonts w:cs="Arial"/>
                <w:szCs w:val="22"/>
              </w:rPr>
              <w:t>2024</w:t>
            </w:r>
          </w:p>
        </w:tc>
      </w:tr>
    </w:tbl>
    <w:p w14:paraId="1BD8F4EB" w14:textId="491B3C8F" w:rsidR="00A402F6" w:rsidRPr="007811C6" w:rsidRDefault="00A402F6" w:rsidP="008E2A22">
      <w:pPr>
        <w:widowControl w:val="0"/>
        <w:spacing w:before="480" w:after="480" w:line="360" w:lineRule="auto"/>
        <w:jc w:val="both"/>
        <w:rPr>
          <w:rFonts w:cs="Arial"/>
          <w:szCs w:val="22"/>
        </w:rPr>
      </w:pPr>
    </w:p>
    <w:sectPr w:rsidR="00A402F6" w:rsidRPr="007811C6" w:rsidSect="00B21EC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9DCDD" w14:textId="77777777" w:rsidR="002C242A" w:rsidRPr="008E2A22" w:rsidRDefault="002C242A">
      <w:pPr>
        <w:rPr>
          <w:sz w:val="21"/>
          <w:szCs w:val="21"/>
        </w:rPr>
      </w:pPr>
      <w:r w:rsidRPr="008E2A22">
        <w:rPr>
          <w:sz w:val="21"/>
          <w:szCs w:val="21"/>
        </w:rPr>
        <w:separator/>
      </w:r>
    </w:p>
  </w:endnote>
  <w:endnote w:type="continuationSeparator" w:id="0">
    <w:p w14:paraId="29D5B094" w14:textId="77777777" w:rsidR="002C242A" w:rsidRPr="008E2A22" w:rsidRDefault="002C242A">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4B46" w14:textId="77777777" w:rsidR="002C242A" w:rsidRPr="008E2A22" w:rsidRDefault="002C242A">
      <w:pPr>
        <w:rPr>
          <w:sz w:val="21"/>
          <w:szCs w:val="21"/>
        </w:rPr>
      </w:pPr>
      <w:r w:rsidRPr="008E2A22">
        <w:rPr>
          <w:sz w:val="21"/>
          <w:szCs w:val="21"/>
        </w:rPr>
        <w:separator/>
      </w:r>
    </w:p>
  </w:footnote>
  <w:footnote w:type="continuationSeparator" w:id="0">
    <w:p w14:paraId="010BF35C" w14:textId="77777777" w:rsidR="002C242A" w:rsidRPr="008E2A22" w:rsidRDefault="002C242A">
      <w:pPr>
        <w:rPr>
          <w:sz w:val="21"/>
          <w:szCs w:val="21"/>
        </w:rPr>
      </w:pPr>
      <w:r w:rsidRPr="008E2A22">
        <w:rPr>
          <w:sz w:val="21"/>
          <w:szCs w:val="21"/>
        </w:rPr>
        <w:continuationSeparator/>
      </w:r>
    </w:p>
  </w:footnote>
  <w:footnote w:id="1">
    <w:p w14:paraId="7FF4E324" w14:textId="34A224B2" w:rsidR="006545D0" w:rsidRPr="006545D0" w:rsidRDefault="006545D0">
      <w:pPr>
        <w:pStyle w:val="FootnoteText"/>
        <w:rPr>
          <w:lang w:val="en-GB"/>
        </w:rPr>
      </w:pPr>
      <w:r>
        <w:rPr>
          <w:rStyle w:val="FootnoteReference"/>
        </w:rPr>
        <w:footnoteRef/>
      </w:r>
      <w:r>
        <w:t xml:space="preserve"> </w:t>
      </w:r>
      <w:r>
        <w:rPr>
          <w:lang w:val="en-GB"/>
        </w:rPr>
        <w:tab/>
        <w:t>In terms of rule 23 of the uniform rules of court.</w:t>
      </w:r>
    </w:p>
  </w:footnote>
  <w:footnote w:id="2">
    <w:p w14:paraId="186D488D" w14:textId="03193B2C" w:rsidR="00E67F32" w:rsidRDefault="00E67F32" w:rsidP="00E67F32">
      <w:pPr>
        <w:pStyle w:val="FootnoteText"/>
      </w:pPr>
      <w:r>
        <w:rPr>
          <w:rStyle w:val="FootnoteReference"/>
        </w:rPr>
        <w:footnoteRef/>
      </w:r>
      <w:r>
        <w:t xml:space="preserve"> </w:t>
      </w:r>
      <w:r>
        <w:tab/>
      </w:r>
      <w:r w:rsidR="002E6CCA" w:rsidRPr="00CF32AA">
        <w:rPr>
          <w:i/>
          <w:iCs/>
        </w:rPr>
        <w:t>Living Hands (Pty) Ltd and Another v Ditz and Others</w:t>
      </w:r>
      <w:r w:rsidR="002E6CCA" w:rsidRPr="00CF32AA">
        <w:t xml:space="preserve"> 2013 (2) SA 368 (GSJ) para 15</w:t>
      </w:r>
      <w:r w:rsidR="002E6CCA">
        <w:t>.</w:t>
      </w:r>
    </w:p>
  </w:footnote>
  <w:footnote w:id="3">
    <w:p w14:paraId="3385052B" w14:textId="29239064" w:rsidR="00E67F32" w:rsidRDefault="00E67F32" w:rsidP="00E67F32">
      <w:pPr>
        <w:pStyle w:val="FootnoteText"/>
      </w:pPr>
      <w:r>
        <w:rPr>
          <w:rStyle w:val="FootnoteReference"/>
        </w:rPr>
        <w:footnoteRef/>
      </w:r>
      <w:r>
        <w:t xml:space="preserve"> </w:t>
      </w:r>
      <w:r w:rsidR="002E6CCA">
        <w:tab/>
      </w:r>
      <w:proofErr w:type="spellStart"/>
      <w:r w:rsidR="002E6CCA" w:rsidRPr="00CF32AA">
        <w:rPr>
          <w:i/>
          <w:iCs/>
        </w:rPr>
        <w:t>Merb</w:t>
      </w:r>
      <w:proofErr w:type="spellEnd"/>
      <w:r w:rsidR="002E6CCA" w:rsidRPr="00CF32AA">
        <w:rPr>
          <w:i/>
          <w:iCs/>
        </w:rPr>
        <w:t> (Pty) Ltd v Matthews</w:t>
      </w:r>
      <w:r w:rsidR="002E6CCA" w:rsidRPr="00CF32AA">
        <w:t xml:space="preserve"> 2021 JDR 2889 (GJ), [2021] JOL 51706 (GJ)</w:t>
      </w:r>
      <w:r w:rsidR="002E6CCA">
        <w:t>.</w:t>
      </w:r>
    </w:p>
  </w:footnote>
  <w:footnote w:id="4">
    <w:p w14:paraId="4C77FE86" w14:textId="3335CE41" w:rsidR="00E67F32" w:rsidRDefault="00E67F32">
      <w:pPr>
        <w:pStyle w:val="FootnoteText"/>
      </w:pPr>
      <w:r>
        <w:rPr>
          <w:rStyle w:val="FootnoteReference"/>
        </w:rPr>
        <w:footnoteRef/>
      </w:r>
      <w:r>
        <w:t xml:space="preserve"> </w:t>
      </w:r>
      <w:r>
        <w:tab/>
      </w:r>
      <w:r w:rsidRPr="00452B52">
        <w:rPr>
          <w:i/>
          <w:iCs/>
        </w:rPr>
        <w:t>Commissioner, South African Revenue Service and Another v ABSA Bank Ltd and Another</w:t>
      </w:r>
      <w:r>
        <w:t xml:space="preserve"> 2003 (2) SA 96 (W) paras </w:t>
      </w:r>
      <w:r w:rsidR="00452B52">
        <w:t>21 and 53 to 64.</w:t>
      </w:r>
    </w:p>
  </w:footnote>
  <w:footnote w:id="5">
    <w:p w14:paraId="2A98DE3B" w14:textId="117FEC37" w:rsidR="00271246" w:rsidRDefault="00271246">
      <w:pPr>
        <w:pStyle w:val="FootnoteText"/>
      </w:pPr>
      <w:r>
        <w:rPr>
          <w:rStyle w:val="FootnoteReference"/>
        </w:rPr>
        <w:footnoteRef/>
      </w:r>
      <w:r>
        <w:t xml:space="preserve"> </w:t>
      </w:r>
      <w:r>
        <w:tab/>
        <w:t>Paragraph 24.2 to 25 of the particulars of claim. Similar allegations are made in respect of the second and third claim in paragraphs 33</w:t>
      </w:r>
      <w:r w:rsidR="007671E0">
        <w:t>.2, 33.3, 33.4, 34, 42.2, 42.3, 43, and 44 of the particulars of claim.</w:t>
      </w:r>
    </w:p>
  </w:footnote>
  <w:footnote w:id="6">
    <w:p w14:paraId="616850A0" w14:textId="135D9A27" w:rsidR="00C91925" w:rsidRPr="00C91925" w:rsidRDefault="00C91925">
      <w:pPr>
        <w:pStyle w:val="FootnoteText"/>
        <w:rPr>
          <w:lang w:val="en-GB"/>
        </w:rPr>
      </w:pPr>
      <w:r>
        <w:rPr>
          <w:rStyle w:val="FootnoteReference"/>
        </w:rPr>
        <w:footnoteRef/>
      </w:r>
      <w:r>
        <w:t xml:space="preserve"> </w:t>
      </w:r>
      <w:r>
        <w:rPr>
          <w:lang w:val="en-GB"/>
        </w:rPr>
        <w:tab/>
      </w:r>
      <w:r>
        <w:rPr>
          <w:rFonts w:cs="Arial"/>
          <w:bCs/>
          <w:szCs w:val="22"/>
        </w:rPr>
        <w:t>It is alleged in respect of the first claim that the plaintiff paid over a total amount of R240</w:t>
      </w:r>
      <w:proofErr w:type="gramStart"/>
      <w:r>
        <w:rPr>
          <w:rFonts w:cs="Arial"/>
          <w:bCs/>
          <w:szCs w:val="22"/>
        </w:rPr>
        <w:t>,000</w:t>
      </w:r>
      <w:proofErr w:type="gramEnd"/>
      <w:r>
        <w:rPr>
          <w:rFonts w:cs="Arial"/>
          <w:bCs/>
          <w:szCs w:val="22"/>
        </w:rPr>
        <w:t xml:space="preserve"> to the account of the second defendant held with the bank. In respect of the second and third claims the plaintiff alleges that it paid the second defendant’s invoices and it attaches notifications of payments by the plaintiff’s banker. (Paras 16, 30, and 39 of the particulars of claim.)</w:t>
      </w:r>
    </w:p>
  </w:footnote>
  <w:footnote w:id="7">
    <w:p w14:paraId="3ABAD01F" w14:textId="4FF4188E" w:rsidR="0018483D" w:rsidRPr="0018483D" w:rsidRDefault="0018483D">
      <w:pPr>
        <w:pStyle w:val="FootnoteText"/>
      </w:pPr>
      <w:r>
        <w:rPr>
          <w:rStyle w:val="FootnoteReference"/>
        </w:rPr>
        <w:footnoteRef/>
      </w:r>
      <w:r>
        <w:t xml:space="preserve"> </w:t>
      </w:r>
      <w:r>
        <w:tab/>
      </w:r>
      <w:proofErr w:type="spellStart"/>
      <w:r w:rsidRPr="0018483D">
        <w:rPr>
          <w:rFonts w:cs="Arial"/>
          <w:bCs/>
          <w:i/>
          <w:iCs/>
          <w:szCs w:val="22"/>
        </w:rPr>
        <w:t>Rhostar</w:t>
      </w:r>
      <w:proofErr w:type="spellEnd"/>
      <w:r w:rsidRPr="0018483D">
        <w:rPr>
          <w:rFonts w:cs="Arial"/>
          <w:bCs/>
          <w:i/>
          <w:iCs/>
          <w:szCs w:val="22"/>
        </w:rPr>
        <w:t xml:space="preserve"> (Pvt) Ltd v Netherlands bank of Rhodesia Ltd</w:t>
      </w:r>
      <w:r w:rsidRPr="0018483D">
        <w:rPr>
          <w:rFonts w:cs="Arial"/>
          <w:bCs/>
          <w:szCs w:val="22"/>
        </w:rPr>
        <w:t xml:space="preserve"> 1972 (2) SA 703 (R) 715B</w:t>
      </w:r>
      <w:r w:rsidR="007671E0">
        <w:rPr>
          <w:rFonts w:cs="Arial"/>
          <w:bCs/>
          <w:i/>
          <w:iCs/>
          <w:szCs w:val="22"/>
        </w:rPr>
        <w:t>;</w:t>
      </w:r>
      <w:r w:rsidR="00A5183D" w:rsidRPr="00A5183D">
        <w:rPr>
          <w:i/>
          <w:iCs/>
        </w:rPr>
        <w:t xml:space="preserve"> </w:t>
      </w:r>
      <w:proofErr w:type="spellStart"/>
      <w:r w:rsidR="00A5183D" w:rsidRPr="00A5183D">
        <w:rPr>
          <w:i/>
          <w:iCs/>
        </w:rPr>
        <w:t>Indac</w:t>
      </w:r>
      <w:proofErr w:type="spellEnd"/>
      <w:r w:rsidR="00A5183D" w:rsidRPr="00A5183D">
        <w:rPr>
          <w:i/>
          <w:iCs/>
        </w:rPr>
        <w:t xml:space="preserve"> Electronics (Pty) Ltd v </w:t>
      </w:r>
      <w:proofErr w:type="spellStart"/>
      <w:r w:rsidR="00A5183D" w:rsidRPr="00A5183D">
        <w:rPr>
          <w:i/>
          <w:iCs/>
        </w:rPr>
        <w:t>Volkskas</w:t>
      </w:r>
      <w:proofErr w:type="spellEnd"/>
      <w:r w:rsidR="00A5183D" w:rsidRPr="00A5183D">
        <w:rPr>
          <w:i/>
          <w:iCs/>
        </w:rPr>
        <w:t xml:space="preserve"> Bank Ltd </w:t>
      </w:r>
      <w:r w:rsidR="00A5183D">
        <w:t>1992 (1) SA 783 (A)</w:t>
      </w:r>
      <w:r w:rsidR="00C711C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8A9B" w14:textId="3166F208" w:rsidR="00893C08" w:rsidRPr="008E2A22" w:rsidRDefault="00893C08" w:rsidP="004B21D9">
    <w:pPr>
      <w:tabs>
        <w:tab w:val="center" w:pos="4153"/>
        <w:tab w:val="right" w:pos="8306"/>
      </w:tabs>
      <w:spacing w:line="276" w:lineRule="auto"/>
      <w:rPr>
        <w:rFonts w:cs="Arial"/>
        <w:sz w:val="19"/>
        <w:szCs w:val="19"/>
        <w:lang w:val="en-GB"/>
      </w:rPr>
    </w:pPr>
    <w:r w:rsidRPr="008E2A22">
      <w:rPr>
        <w:rFonts w:cs="Arial"/>
        <w:sz w:val="19"/>
        <w:szCs w:val="19"/>
        <w:lang w:val="en-GB"/>
      </w:rPr>
      <w:fldChar w:fldCharType="begin"/>
    </w:r>
    <w:r w:rsidRPr="008E2A22">
      <w:rPr>
        <w:rFonts w:cs="Arial"/>
        <w:sz w:val="19"/>
        <w:szCs w:val="19"/>
        <w:lang w:val="en-GB"/>
      </w:rPr>
      <w:instrText xml:space="preserve"> PAGE </w:instrText>
    </w:r>
    <w:r w:rsidRPr="008E2A22">
      <w:rPr>
        <w:rFonts w:cs="Arial"/>
        <w:sz w:val="19"/>
        <w:szCs w:val="19"/>
        <w:lang w:val="en-GB"/>
      </w:rPr>
      <w:fldChar w:fldCharType="separate"/>
    </w:r>
    <w:r w:rsidR="00F04330">
      <w:rPr>
        <w:rFonts w:cs="Arial"/>
        <w:noProof/>
        <w:sz w:val="19"/>
        <w:szCs w:val="19"/>
        <w:lang w:val="en-GB"/>
      </w:rPr>
      <w:t>10</w:t>
    </w:r>
    <w:r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2"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6"/>
  </w:num>
  <w:num w:numId="4">
    <w:abstractNumId w:val="9"/>
  </w:num>
  <w:num w:numId="5">
    <w:abstractNumId w:val="15"/>
  </w:num>
  <w:num w:numId="6">
    <w:abstractNumId w:val="13"/>
  </w:num>
  <w:num w:numId="7">
    <w:abstractNumId w:val="0"/>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7"/>
  </w:num>
  <w:num w:numId="12">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4"/>
  </w:num>
  <w:num w:numId="14">
    <w:abstractNumId w:val="12"/>
  </w:num>
  <w:num w:numId="15">
    <w:abstractNumId w:val="5"/>
  </w:num>
  <w:num w:numId="16">
    <w:abstractNumId w:val="8"/>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0tLQwMzO3NDE2NDFT0lEKTi0uzszPAykwrAUAkHLtoCwAAAA="/>
  </w:docVars>
  <w:rsids>
    <w:rsidRoot w:val="00C676F3"/>
    <w:rsid w:val="000004A3"/>
    <w:rsid w:val="00000AFE"/>
    <w:rsid w:val="00001138"/>
    <w:rsid w:val="000019D2"/>
    <w:rsid w:val="000045DF"/>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A26"/>
    <w:rsid w:val="00026D9A"/>
    <w:rsid w:val="00027D19"/>
    <w:rsid w:val="00030A89"/>
    <w:rsid w:val="000319AA"/>
    <w:rsid w:val="000325E2"/>
    <w:rsid w:val="00036508"/>
    <w:rsid w:val="00040CD3"/>
    <w:rsid w:val="000426C0"/>
    <w:rsid w:val="00042D0E"/>
    <w:rsid w:val="0004506F"/>
    <w:rsid w:val="0004508D"/>
    <w:rsid w:val="00045D03"/>
    <w:rsid w:val="00047F26"/>
    <w:rsid w:val="00050086"/>
    <w:rsid w:val="000504F1"/>
    <w:rsid w:val="00051A2B"/>
    <w:rsid w:val="0005282E"/>
    <w:rsid w:val="000528B3"/>
    <w:rsid w:val="000550EB"/>
    <w:rsid w:val="000554B8"/>
    <w:rsid w:val="0005636C"/>
    <w:rsid w:val="00060AF8"/>
    <w:rsid w:val="00063F7B"/>
    <w:rsid w:val="00066915"/>
    <w:rsid w:val="00066971"/>
    <w:rsid w:val="00072105"/>
    <w:rsid w:val="000737E1"/>
    <w:rsid w:val="00073E30"/>
    <w:rsid w:val="00077D11"/>
    <w:rsid w:val="000809A3"/>
    <w:rsid w:val="00081716"/>
    <w:rsid w:val="00082EDC"/>
    <w:rsid w:val="000833BB"/>
    <w:rsid w:val="000835BE"/>
    <w:rsid w:val="00085288"/>
    <w:rsid w:val="00087AE6"/>
    <w:rsid w:val="000906B5"/>
    <w:rsid w:val="00090FFC"/>
    <w:rsid w:val="00092591"/>
    <w:rsid w:val="00093237"/>
    <w:rsid w:val="0009429D"/>
    <w:rsid w:val="0009488C"/>
    <w:rsid w:val="0009540B"/>
    <w:rsid w:val="000956E5"/>
    <w:rsid w:val="00096A67"/>
    <w:rsid w:val="000976D2"/>
    <w:rsid w:val="00097968"/>
    <w:rsid w:val="000A0D65"/>
    <w:rsid w:val="000A6AD8"/>
    <w:rsid w:val="000B0116"/>
    <w:rsid w:val="000B0A70"/>
    <w:rsid w:val="000B21DA"/>
    <w:rsid w:val="000B39D7"/>
    <w:rsid w:val="000C7A3D"/>
    <w:rsid w:val="000C7E41"/>
    <w:rsid w:val="000D01E0"/>
    <w:rsid w:val="000D21E7"/>
    <w:rsid w:val="000D2265"/>
    <w:rsid w:val="000D415C"/>
    <w:rsid w:val="000D4E84"/>
    <w:rsid w:val="000D53F5"/>
    <w:rsid w:val="000D5760"/>
    <w:rsid w:val="000D71C5"/>
    <w:rsid w:val="000D7D6A"/>
    <w:rsid w:val="000E1EC8"/>
    <w:rsid w:val="000E3EE8"/>
    <w:rsid w:val="000E4985"/>
    <w:rsid w:val="000E5343"/>
    <w:rsid w:val="000F00EF"/>
    <w:rsid w:val="000F3298"/>
    <w:rsid w:val="000F430D"/>
    <w:rsid w:val="000F59F8"/>
    <w:rsid w:val="000F7813"/>
    <w:rsid w:val="00101890"/>
    <w:rsid w:val="001025B5"/>
    <w:rsid w:val="00104142"/>
    <w:rsid w:val="001053D6"/>
    <w:rsid w:val="00105F97"/>
    <w:rsid w:val="00107D26"/>
    <w:rsid w:val="00107D90"/>
    <w:rsid w:val="001114D8"/>
    <w:rsid w:val="001142D1"/>
    <w:rsid w:val="00117679"/>
    <w:rsid w:val="00120C79"/>
    <w:rsid w:val="00120FB1"/>
    <w:rsid w:val="00130253"/>
    <w:rsid w:val="001305E0"/>
    <w:rsid w:val="00130C4A"/>
    <w:rsid w:val="00133E81"/>
    <w:rsid w:val="001342B3"/>
    <w:rsid w:val="00140454"/>
    <w:rsid w:val="00140CED"/>
    <w:rsid w:val="00141AD1"/>
    <w:rsid w:val="0014628D"/>
    <w:rsid w:val="00147FF5"/>
    <w:rsid w:val="00151DA9"/>
    <w:rsid w:val="0015238F"/>
    <w:rsid w:val="00152899"/>
    <w:rsid w:val="00154961"/>
    <w:rsid w:val="00155A21"/>
    <w:rsid w:val="00156C9E"/>
    <w:rsid w:val="0015748A"/>
    <w:rsid w:val="00161057"/>
    <w:rsid w:val="00161392"/>
    <w:rsid w:val="0016589D"/>
    <w:rsid w:val="001671C1"/>
    <w:rsid w:val="00171182"/>
    <w:rsid w:val="0017124B"/>
    <w:rsid w:val="00171D7F"/>
    <w:rsid w:val="00172763"/>
    <w:rsid w:val="00172DDF"/>
    <w:rsid w:val="00173B8E"/>
    <w:rsid w:val="00175DDD"/>
    <w:rsid w:val="001802F8"/>
    <w:rsid w:val="00180CB6"/>
    <w:rsid w:val="001838CC"/>
    <w:rsid w:val="00183EB6"/>
    <w:rsid w:val="0018483D"/>
    <w:rsid w:val="00185ACF"/>
    <w:rsid w:val="00190579"/>
    <w:rsid w:val="00190F4E"/>
    <w:rsid w:val="001916C4"/>
    <w:rsid w:val="00191D41"/>
    <w:rsid w:val="0019236B"/>
    <w:rsid w:val="001923E3"/>
    <w:rsid w:val="00192613"/>
    <w:rsid w:val="00192F78"/>
    <w:rsid w:val="00193DDD"/>
    <w:rsid w:val="00195810"/>
    <w:rsid w:val="001966E8"/>
    <w:rsid w:val="00196E14"/>
    <w:rsid w:val="001A2608"/>
    <w:rsid w:val="001A5145"/>
    <w:rsid w:val="001A522A"/>
    <w:rsid w:val="001A7904"/>
    <w:rsid w:val="001B1550"/>
    <w:rsid w:val="001B1D39"/>
    <w:rsid w:val="001B35C2"/>
    <w:rsid w:val="001B4217"/>
    <w:rsid w:val="001B47D8"/>
    <w:rsid w:val="001B4812"/>
    <w:rsid w:val="001B4893"/>
    <w:rsid w:val="001B5D3E"/>
    <w:rsid w:val="001B5E58"/>
    <w:rsid w:val="001B606B"/>
    <w:rsid w:val="001B7889"/>
    <w:rsid w:val="001C0755"/>
    <w:rsid w:val="001C0C80"/>
    <w:rsid w:val="001C2371"/>
    <w:rsid w:val="001C33E6"/>
    <w:rsid w:val="001C608F"/>
    <w:rsid w:val="001C7048"/>
    <w:rsid w:val="001D3CC2"/>
    <w:rsid w:val="001D46A3"/>
    <w:rsid w:val="001E0529"/>
    <w:rsid w:val="001E2EED"/>
    <w:rsid w:val="001E44D1"/>
    <w:rsid w:val="001E4691"/>
    <w:rsid w:val="001E518E"/>
    <w:rsid w:val="001F014C"/>
    <w:rsid w:val="001F09D1"/>
    <w:rsid w:val="001F0A29"/>
    <w:rsid w:val="001F0CE5"/>
    <w:rsid w:val="001F361F"/>
    <w:rsid w:val="001F3DBD"/>
    <w:rsid w:val="001F648A"/>
    <w:rsid w:val="001F6F43"/>
    <w:rsid w:val="00200B96"/>
    <w:rsid w:val="00201620"/>
    <w:rsid w:val="00203DA2"/>
    <w:rsid w:val="0020474A"/>
    <w:rsid w:val="00205392"/>
    <w:rsid w:val="00205E72"/>
    <w:rsid w:val="00206919"/>
    <w:rsid w:val="002104BF"/>
    <w:rsid w:val="002108B6"/>
    <w:rsid w:val="00211F49"/>
    <w:rsid w:val="00213738"/>
    <w:rsid w:val="00214877"/>
    <w:rsid w:val="00215824"/>
    <w:rsid w:val="00216BC8"/>
    <w:rsid w:val="002175BA"/>
    <w:rsid w:val="002200DC"/>
    <w:rsid w:val="0022218D"/>
    <w:rsid w:val="00226926"/>
    <w:rsid w:val="002302E3"/>
    <w:rsid w:val="00232528"/>
    <w:rsid w:val="0023405C"/>
    <w:rsid w:val="00235D20"/>
    <w:rsid w:val="00236E47"/>
    <w:rsid w:val="0023711D"/>
    <w:rsid w:val="00237806"/>
    <w:rsid w:val="00237FF9"/>
    <w:rsid w:val="0024012B"/>
    <w:rsid w:val="00243D2F"/>
    <w:rsid w:val="00244FB9"/>
    <w:rsid w:val="00250164"/>
    <w:rsid w:val="00251668"/>
    <w:rsid w:val="002535F0"/>
    <w:rsid w:val="00253F38"/>
    <w:rsid w:val="00253F72"/>
    <w:rsid w:val="002549D2"/>
    <w:rsid w:val="00260B0A"/>
    <w:rsid w:val="002625C5"/>
    <w:rsid w:val="00262819"/>
    <w:rsid w:val="00263A96"/>
    <w:rsid w:val="00270557"/>
    <w:rsid w:val="002709AE"/>
    <w:rsid w:val="00271246"/>
    <w:rsid w:val="00272B77"/>
    <w:rsid w:val="0027600C"/>
    <w:rsid w:val="00277491"/>
    <w:rsid w:val="00277B78"/>
    <w:rsid w:val="00285040"/>
    <w:rsid w:val="00285062"/>
    <w:rsid w:val="0029196F"/>
    <w:rsid w:val="00292E3E"/>
    <w:rsid w:val="0029369B"/>
    <w:rsid w:val="00293C02"/>
    <w:rsid w:val="0029605B"/>
    <w:rsid w:val="00296DAF"/>
    <w:rsid w:val="002976B8"/>
    <w:rsid w:val="002A030C"/>
    <w:rsid w:val="002A4B7B"/>
    <w:rsid w:val="002B0355"/>
    <w:rsid w:val="002B05EA"/>
    <w:rsid w:val="002B12D6"/>
    <w:rsid w:val="002B528D"/>
    <w:rsid w:val="002B782F"/>
    <w:rsid w:val="002C15AC"/>
    <w:rsid w:val="002C242A"/>
    <w:rsid w:val="002C2E80"/>
    <w:rsid w:val="002C4687"/>
    <w:rsid w:val="002C48E7"/>
    <w:rsid w:val="002C4B84"/>
    <w:rsid w:val="002C4EF0"/>
    <w:rsid w:val="002D1EC7"/>
    <w:rsid w:val="002D2842"/>
    <w:rsid w:val="002D47B3"/>
    <w:rsid w:val="002E0E37"/>
    <w:rsid w:val="002E2648"/>
    <w:rsid w:val="002E2901"/>
    <w:rsid w:val="002E3586"/>
    <w:rsid w:val="002E5B57"/>
    <w:rsid w:val="002E612C"/>
    <w:rsid w:val="002E6CCA"/>
    <w:rsid w:val="002E6CD7"/>
    <w:rsid w:val="002E704D"/>
    <w:rsid w:val="002F1C4D"/>
    <w:rsid w:val="002F2881"/>
    <w:rsid w:val="002F41F8"/>
    <w:rsid w:val="002F4A5D"/>
    <w:rsid w:val="002F508A"/>
    <w:rsid w:val="002F72D3"/>
    <w:rsid w:val="002F774A"/>
    <w:rsid w:val="00302290"/>
    <w:rsid w:val="003023F9"/>
    <w:rsid w:val="00302C31"/>
    <w:rsid w:val="003031A1"/>
    <w:rsid w:val="00303919"/>
    <w:rsid w:val="00304705"/>
    <w:rsid w:val="003047C2"/>
    <w:rsid w:val="0030653F"/>
    <w:rsid w:val="00306B41"/>
    <w:rsid w:val="003102C8"/>
    <w:rsid w:val="0031117B"/>
    <w:rsid w:val="00312EBC"/>
    <w:rsid w:val="00313056"/>
    <w:rsid w:val="00321DF8"/>
    <w:rsid w:val="00323058"/>
    <w:rsid w:val="00324EDF"/>
    <w:rsid w:val="003312BF"/>
    <w:rsid w:val="003313A2"/>
    <w:rsid w:val="00335170"/>
    <w:rsid w:val="00337135"/>
    <w:rsid w:val="0034147B"/>
    <w:rsid w:val="00342E02"/>
    <w:rsid w:val="003448B1"/>
    <w:rsid w:val="003463D6"/>
    <w:rsid w:val="00346D31"/>
    <w:rsid w:val="00346DE6"/>
    <w:rsid w:val="00347E19"/>
    <w:rsid w:val="0035170A"/>
    <w:rsid w:val="003541F6"/>
    <w:rsid w:val="00354395"/>
    <w:rsid w:val="003543C5"/>
    <w:rsid w:val="00354EF2"/>
    <w:rsid w:val="00355BEB"/>
    <w:rsid w:val="00357081"/>
    <w:rsid w:val="00357D35"/>
    <w:rsid w:val="00360253"/>
    <w:rsid w:val="0036253D"/>
    <w:rsid w:val="00363FCD"/>
    <w:rsid w:val="00364C43"/>
    <w:rsid w:val="00364E6A"/>
    <w:rsid w:val="00364E80"/>
    <w:rsid w:val="003653FF"/>
    <w:rsid w:val="00365FEF"/>
    <w:rsid w:val="00366937"/>
    <w:rsid w:val="00366E5C"/>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3EAF"/>
    <w:rsid w:val="003840EC"/>
    <w:rsid w:val="00384770"/>
    <w:rsid w:val="00385DBA"/>
    <w:rsid w:val="00386938"/>
    <w:rsid w:val="0038715A"/>
    <w:rsid w:val="00390C3F"/>
    <w:rsid w:val="00393127"/>
    <w:rsid w:val="003940DD"/>
    <w:rsid w:val="00394A1A"/>
    <w:rsid w:val="00395873"/>
    <w:rsid w:val="003959D1"/>
    <w:rsid w:val="003A1D18"/>
    <w:rsid w:val="003A62CC"/>
    <w:rsid w:val="003A649B"/>
    <w:rsid w:val="003A7864"/>
    <w:rsid w:val="003A7CA2"/>
    <w:rsid w:val="003B0559"/>
    <w:rsid w:val="003B0845"/>
    <w:rsid w:val="003B0C56"/>
    <w:rsid w:val="003B11F4"/>
    <w:rsid w:val="003B1882"/>
    <w:rsid w:val="003B4100"/>
    <w:rsid w:val="003B6C02"/>
    <w:rsid w:val="003B75AD"/>
    <w:rsid w:val="003C067B"/>
    <w:rsid w:val="003C0ED8"/>
    <w:rsid w:val="003C1488"/>
    <w:rsid w:val="003C1A16"/>
    <w:rsid w:val="003C1E91"/>
    <w:rsid w:val="003C5536"/>
    <w:rsid w:val="003C7FCC"/>
    <w:rsid w:val="003D1202"/>
    <w:rsid w:val="003D19C3"/>
    <w:rsid w:val="003D36F9"/>
    <w:rsid w:val="003D77F1"/>
    <w:rsid w:val="003D7970"/>
    <w:rsid w:val="003E0159"/>
    <w:rsid w:val="003E449A"/>
    <w:rsid w:val="003E4A33"/>
    <w:rsid w:val="003E54E1"/>
    <w:rsid w:val="003E724B"/>
    <w:rsid w:val="003E7A60"/>
    <w:rsid w:val="003F1F49"/>
    <w:rsid w:val="003F23F0"/>
    <w:rsid w:val="003F44F4"/>
    <w:rsid w:val="003F4801"/>
    <w:rsid w:val="003F7448"/>
    <w:rsid w:val="0040197A"/>
    <w:rsid w:val="00404A52"/>
    <w:rsid w:val="00407B85"/>
    <w:rsid w:val="00407F28"/>
    <w:rsid w:val="00410BA9"/>
    <w:rsid w:val="0041100A"/>
    <w:rsid w:val="0041262D"/>
    <w:rsid w:val="004131C5"/>
    <w:rsid w:val="0041363D"/>
    <w:rsid w:val="00413D9B"/>
    <w:rsid w:val="00415439"/>
    <w:rsid w:val="0042161A"/>
    <w:rsid w:val="0042423E"/>
    <w:rsid w:val="00424BA6"/>
    <w:rsid w:val="004274E7"/>
    <w:rsid w:val="00430142"/>
    <w:rsid w:val="00430B04"/>
    <w:rsid w:val="00431ABD"/>
    <w:rsid w:val="004339E6"/>
    <w:rsid w:val="00434796"/>
    <w:rsid w:val="0043683A"/>
    <w:rsid w:val="00437EB1"/>
    <w:rsid w:val="00441422"/>
    <w:rsid w:val="00444ED6"/>
    <w:rsid w:val="00445DCB"/>
    <w:rsid w:val="00447235"/>
    <w:rsid w:val="004479C3"/>
    <w:rsid w:val="0045044C"/>
    <w:rsid w:val="00452B52"/>
    <w:rsid w:val="00460495"/>
    <w:rsid w:val="00460EEA"/>
    <w:rsid w:val="004630B6"/>
    <w:rsid w:val="00463106"/>
    <w:rsid w:val="00466A30"/>
    <w:rsid w:val="00467F5B"/>
    <w:rsid w:val="00472F97"/>
    <w:rsid w:val="00474607"/>
    <w:rsid w:val="00474910"/>
    <w:rsid w:val="004749AF"/>
    <w:rsid w:val="00475410"/>
    <w:rsid w:val="00475E80"/>
    <w:rsid w:val="004774FF"/>
    <w:rsid w:val="0048285C"/>
    <w:rsid w:val="00483F21"/>
    <w:rsid w:val="00484116"/>
    <w:rsid w:val="00484163"/>
    <w:rsid w:val="004841A8"/>
    <w:rsid w:val="0048424E"/>
    <w:rsid w:val="00484F8A"/>
    <w:rsid w:val="00486F42"/>
    <w:rsid w:val="00487D14"/>
    <w:rsid w:val="0049165E"/>
    <w:rsid w:val="004923A9"/>
    <w:rsid w:val="00494337"/>
    <w:rsid w:val="00495F7C"/>
    <w:rsid w:val="004976D5"/>
    <w:rsid w:val="004A10CD"/>
    <w:rsid w:val="004A11D9"/>
    <w:rsid w:val="004A1E3F"/>
    <w:rsid w:val="004A2C7E"/>
    <w:rsid w:val="004A5056"/>
    <w:rsid w:val="004A5AF5"/>
    <w:rsid w:val="004A6625"/>
    <w:rsid w:val="004A69D6"/>
    <w:rsid w:val="004A70AB"/>
    <w:rsid w:val="004A7DFE"/>
    <w:rsid w:val="004B085D"/>
    <w:rsid w:val="004B0DBA"/>
    <w:rsid w:val="004B21D9"/>
    <w:rsid w:val="004B255A"/>
    <w:rsid w:val="004B3A47"/>
    <w:rsid w:val="004B3CA9"/>
    <w:rsid w:val="004B6022"/>
    <w:rsid w:val="004C0CE3"/>
    <w:rsid w:val="004C1D86"/>
    <w:rsid w:val="004C368B"/>
    <w:rsid w:val="004D1A31"/>
    <w:rsid w:val="004D1A91"/>
    <w:rsid w:val="004D2123"/>
    <w:rsid w:val="004D262A"/>
    <w:rsid w:val="004D2C6F"/>
    <w:rsid w:val="004D2E01"/>
    <w:rsid w:val="004D3237"/>
    <w:rsid w:val="004D3FD6"/>
    <w:rsid w:val="004D4E89"/>
    <w:rsid w:val="004D635C"/>
    <w:rsid w:val="004D692E"/>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D23"/>
    <w:rsid w:val="005037B3"/>
    <w:rsid w:val="00504B53"/>
    <w:rsid w:val="00505FF7"/>
    <w:rsid w:val="0051015D"/>
    <w:rsid w:val="00511BB6"/>
    <w:rsid w:val="0051292D"/>
    <w:rsid w:val="00514426"/>
    <w:rsid w:val="0051442D"/>
    <w:rsid w:val="00515FD8"/>
    <w:rsid w:val="0051622D"/>
    <w:rsid w:val="00517A09"/>
    <w:rsid w:val="005207B2"/>
    <w:rsid w:val="005219EB"/>
    <w:rsid w:val="005262C2"/>
    <w:rsid w:val="005263F0"/>
    <w:rsid w:val="0052705A"/>
    <w:rsid w:val="005272E3"/>
    <w:rsid w:val="00532E26"/>
    <w:rsid w:val="00533CD6"/>
    <w:rsid w:val="00534C3B"/>
    <w:rsid w:val="00537126"/>
    <w:rsid w:val="00537A72"/>
    <w:rsid w:val="005405F8"/>
    <w:rsid w:val="00542EAE"/>
    <w:rsid w:val="00545A4F"/>
    <w:rsid w:val="00546878"/>
    <w:rsid w:val="005509BE"/>
    <w:rsid w:val="00554ED3"/>
    <w:rsid w:val="0055674D"/>
    <w:rsid w:val="00560E18"/>
    <w:rsid w:val="005615BB"/>
    <w:rsid w:val="005621E7"/>
    <w:rsid w:val="00562B7E"/>
    <w:rsid w:val="00562CA5"/>
    <w:rsid w:val="00563355"/>
    <w:rsid w:val="00571E81"/>
    <w:rsid w:val="00573FF9"/>
    <w:rsid w:val="005743CA"/>
    <w:rsid w:val="005755B7"/>
    <w:rsid w:val="00576B16"/>
    <w:rsid w:val="00577427"/>
    <w:rsid w:val="005808E5"/>
    <w:rsid w:val="005875A9"/>
    <w:rsid w:val="00593C34"/>
    <w:rsid w:val="005949BC"/>
    <w:rsid w:val="005971D5"/>
    <w:rsid w:val="005A0847"/>
    <w:rsid w:val="005A313A"/>
    <w:rsid w:val="005A35EB"/>
    <w:rsid w:val="005A3B73"/>
    <w:rsid w:val="005A3C69"/>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7FC2"/>
    <w:rsid w:val="005D1F92"/>
    <w:rsid w:val="005D2137"/>
    <w:rsid w:val="005D2408"/>
    <w:rsid w:val="005D32A9"/>
    <w:rsid w:val="005D6122"/>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61B"/>
    <w:rsid w:val="005F7E15"/>
    <w:rsid w:val="00601270"/>
    <w:rsid w:val="00602403"/>
    <w:rsid w:val="00602FA4"/>
    <w:rsid w:val="006041A4"/>
    <w:rsid w:val="0061036C"/>
    <w:rsid w:val="00610873"/>
    <w:rsid w:val="006109EC"/>
    <w:rsid w:val="00610F53"/>
    <w:rsid w:val="00611D8A"/>
    <w:rsid w:val="006122AB"/>
    <w:rsid w:val="0061430D"/>
    <w:rsid w:val="006150CE"/>
    <w:rsid w:val="00615ED4"/>
    <w:rsid w:val="00615F6B"/>
    <w:rsid w:val="006165F4"/>
    <w:rsid w:val="006245EC"/>
    <w:rsid w:val="00626ABB"/>
    <w:rsid w:val="006309D5"/>
    <w:rsid w:val="006376C5"/>
    <w:rsid w:val="006407E9"/>
    <w:rsid w:val="00641F4F"/>
    <w:rsid w:val="00642664"/>
    <w:rsid w:val="00644BBE"/>
    <w:rsid w:val="006466DA"/>
    <w:rsid w:val="00646711"/>
    <w:rsid w:val="00646777"/>
    <w:rsid w:val="006479F9"/>
    <w:rsid w:val="00647DDD"/>
    <w:rsid w:val="00653BA4"/>
    <w:rsid w:val="006545D0"/>
    <w:rsid w:val="00656E2E"/>
    <w:rsid w:val="00657478"/>
    <w:rsid w:val="00657EDA"/>
    <w:rsid w:val="00657F9A"/>
    <w:rsid w:val="006609A2"/>
    <w:rsid w:val="00660C84"/>
    <w:rsid w:val="0066132D"/>
    <w:rsid w:val="0066194B"/>
    <w:rsid w:val="00661FC4"/>
    <w:rsid w:val="006630E1"/>
    <w:rsid w:val="00663229"/>
    <w:rsid w:val="00666D4D"/>
    <w:rsid w:val="00672205"/>
    <w:rsid w:val="00672E95"/>
    <w:rsid w:val="0067508C"/>
    <w:rsid w:val="006762B3"/>
    <w:rsid w:val="00677059"/>
    <w:rsid w:val="00680072"/>
    <w:rsid w:val="00680421"/>
    <w:rsid w:val="00681B06"/>
    <w:rsid w:val="00684E71"/>
    <w:rsid w:val="006858DA"/>
    <w:rsid w:val="00686C3F"/>
    <w:rsid w:val="00687C4C"/>
    <w:rsid w:val="006902F1"/>
    <w:rsid w:val="006918E9"/>
    <w:rsid w:val="00692A13"/>
    <w:rsid w:val="006951CE"/>
    <w:rsid w:val="00695B2C"/>
    <w:rsid w:val="006A1F2C"/>
    <w:rsid w:val="006A3B6B"/>
    <w:rsid w:val="006A438B"/>
    <w:rsid w:val="006A4F20"/>
    <w:rsid w:val="006A5A46"/>
    <w:rsid w:val="006A6039"/>
    <w:rsid w:val="006B1E87"/>
    <w:rsid w:val="006B514A"/>
    <w:rsid w:val="006C1EA3"/>
    <w:rsid w:val="006C1EDF"/>
    <w:rsid w:val="006C2AB0"/>
    <w:rsid w:val="006C2B5F"/>
    <w:rsid w:val="006C31B7"/>
    <w:rsid w:val="006C3CE1"/>
    <w:rsid w:val="006C4213"/>
    <w:rsid w:val="006C43D7"/>
    <w:rsid w:val="006C49F6"/>
    <w:rsid w:val="006C53ED"/>
    <w:rsid w:val="006C5694"/>
    <w:rsid w:val="006D11AD"/>
    <w:rsid w:val="006D193A"/>
    <w:rsid w:val="006D23FB"/>
    <w:rsid w:val="006D25DD"/>
    <w:rsid w:val="006D27E2"/>
    <w:rsid w:val="006D29AA"/>
    <w:rsid w:val="006D2C78"/>
    <w:rsid w:val="006D3D1D"/>
    <w:rsid w:val="006D4128"/>
    <w:rsid w:val="006D4C1B"/>
    <w:rsid w:val="006D5E45"/>
    <w:rsid w:val="006D5E57"/>
    <w:rsid w:val="006E0B4D"/>
    <w:rsid w:val="006E2083"/>
    <w:rsid w:val="006E2725"/>
    <w:rsid w:val="006E3064"/>
    <w:rsid w:val="006E405E"/>
    <w:rsid w:val="006E68E6"/>
    <w:rsid w:val="006E73D0"/>
    <w:rsid w:val="006F0330"/>
    <w:rsid w:val="006F042A"/>
    <w:rsid w:val="006F0C74"/>
    <w:rsid w:val="006F1875"/>
    <w:rsid w:val="006F2187"/>
    <w:rsid w:val="006F25E5"/>
    <w:rsid w:val="006F2FCE"/>
    <w:rsid w:val="006F36B9"/>
    <w:rsid w:val="006F415C"/>
    <w:rsid w:val="006F489F"/>
    <w:rsid w:val="00700C86"/>
    <w:rsid w:val="00703C49"/>
    <w:rsid w:val="0070560F"/>
    <w:rsid w:val="007112CA"/>
    <w:rsid w:val="00714728"/>
    <w:rsid w:val="007202BD"/>
    <w:rsid w:val="007205BF"/>
    <w:rsid w:val="00721AE9"/>
    <w:rsid w:val="007237D1"/>
    <w:rsid w:val="007241D4"/>
    <w:rsid w:val="00724D82"/>
    <w:rsid w:val="00730BF2"/>
    <w:rsid w:val="00732A6F"/>
    <w:rsid w:val="007351A5"/>
    <w:rsid w:val="0074214D"/>
    <w:rsid w:val="00742764"/>
    <w:rsid w:val="00745456"/>
    <w:rsid w:val="00746E92"/>
    <w:rsid w:val="00750950"/>
    <w:rsid w:val="00751452"/>
    <w:rsid w:val="0075156A"/>
    <w:rsid w:val="00751D8C"/>
    <w:rsid w:val="00751F90"/>
    <w:rsid w:val="0075204D"/>
    <w:rsid w:val="00752EF6"/>
    <w:rsid w:val="00753B4D"/>
    <w:rsid w:val="00754BDD"/>
    <w:rsid w:val="00757143"/>
    <w:rsid w:val="007619C5"/>
    <w:rsid w:val="00761B26"/>
    <w:rsid w:val="00761C35"/>
    <w:rsid w:val="00762178"/>
    <w:rsid w:val="00765F62"/>
    <w:rsid w:val="00766026"/>
    <w:rsid w:val="007671E0"/>
    <w:rsid w:val="00772025"/>
    <w:rsid w:val="007726C0"/>
    <w:rsid w:val="007744FD"/>
    <w:rsid w:val="00775AB7"/>
    <w:rsid w:val="00776B34"/>
    <w:rsid w:val="00781088"/>
    <w:rsid w:val="007811C6"/>
    <w:rsid w:val="00781AA0"/>
    <w:rsid w:val="00781CF7"/>
    <w:rsid w:val="00781D24"/>
    <w:rsid w:val="00782DE8"/>
    <w:rsid w:val="00786D45"/>
    <w:rsid w:val="00787202"/>
    <w:rsid w:val="00792E10"/>
    <w:rsid w:val="0079383D"/>
    <w:rsid w:val="007966EF"/>
    <w:rsid w:val="007A006B"/>
    <w:rsid w:val="007A1D60"/>
    <w:rsid w:val="007A34D1"/>
    <w:rsid w:val="007A5BDB"/>
    <w:rsid w:val="007A7102"/>
    <w:rsid w:val="007B165A"/>
    <w:rsid w:val="007B275E"/>
    <w:rsid w:val="007B2DAD"/>
    <w:rsid w:val="007B2DF7"/>
    <w:rsid w:val="007B7246"/>
    <w:rsid w:val="007B78C2"/>
    <w:rsid w:val="007C23FF"/>
    <w:rsid w:val="007C25B0"/>
    <w:rsid w:val="007C416B"/>
    <w:rsid w:val="007C4CB7"/>
    <w:rsid w:val="007C5008"/>
    <w:rsid w:val="007C6046"/>
    <w:rsid w:val="007C658B"/>
    <w:rsid w:val="007D1E79"/>
    <w:rsid w:val="007D27CF"/>
    <w:rsid w:val="007D4DAF"/>
    <w:rsid w:val="007E1175"/>
    <w:rsid w:val="007E1BA6"/>
    <w:rsid w:val="007E220A"/>
    <w:rsid w:val="007E468A"/>
    <w:rsid w:val="007E54E5"/>
    <w:rsid w:val="007E58FC"/>
    <w:rsid w:val="007E7463"/>
    <w:rsid w:val="007F07D4"/>
    <w:rsid w:val="007F1517"/>
    <w:rsid w:val="007F207F"/>
    <w:rsid w:val="007F5B91"/>
    <w:rsid w:val="007F7DAA"/>
    <w:rsid w:val="00800BE5"/>
    <w:rsid w:val="008019A7"/>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32522"/>
    <w:rsid w:val="00833453"/>
    <w:rsid w:val="0084184E"/>
    <w:rsid w:val="00841B33"/>
    <w:rsid w:val="00841C01"/>
    <w:rsid w:val="00843EFD"/>
    <w:rsid w:val="008442F2"/>
    <w:rsid w:val="008443A9"/>
    <w:rsid w:val="0084599C"/>
    <w:rsid w:val="008469B3"/>
    <w:rsid w:val="00847539"/>
    <w:rsid w:val="008535CA"/>
    <w:rsid w:val="00856FA8"/>
    <w:rsid w:val="00856FF2"/>
    <w:rsid w:val="008578F4"/>
    <w:rsid w:val="00860576"/>
    <w:rsid w:val="00861120"/>
    <w:rsid w:val="008657EE"/>
    <w:rsid w:val="0086688C"/>
    <w:rsid w:val="008674AA"/>
    <w:rsid w:val="008675CC"/>
    <w:rsid w:val="0087609B"/>
    <w:rsid w:val="00880850"/>
    <w:rsid w:val="0088094C"/>
    <w:rsid w:val="00881004"/>
    <w:rsid w:val="00882C40"/>
    <w:rsid w:val="00885973"/>
    <w:rsid w:val="0089145D"/>
    <w:rsid w:val="008919D3"/>
    <w:rsid w:val="00891DC8"/>
    <w:rsid w:val="00891F55"/>
    <w:rsid w:val="00892908"/>
    <w:rsid w:val="00893C08"/>
    <w:rsid w:val="008942FC"/>
    <w:rsid w:val="0089562F"/>
    <w:rsid w:val="008957BF"/>
    <w:rsid w:val="00895BE0"/>
    <w:rsid w:val="0089629F"/>
    <w:rsid w:val="008A082A"/>
    <w:rsid w:val="008A32BD"/>
    <w:rsid w:val="008A389B"/>
    <w:rsid w:val="008A4DF4"/>
    <w:rsid w:val="008A7448"/>
    <w:rsid w:val="008B0950"/>
    <w:rsid w:val="008B1DA9"/>
    <w:rsid w:val="008B23D4"/>
    <w:rsid w:val="008B2C7C"/>
    <w:rsid w:val="008B571D"/>
    <w:rsid w:val="008B6162"/>
    <w:rsid w:val="008C3710"/>
    <w:rsid w:val="008C3EBC"/>
    <w:rsid w:val="008C4AE0"/>
    <w:rsid w:val="008C57F6"/>
    <w:rsid w:val="008C68A7"/>
    <w:rsid w:val="008C7019"/>
    <w:rsid w:val="008D2A7F"/>
    <w:rsid w:val="008D33A3"/>
    <w:rsid w:val="008D4715"/>
    <w:rsid w:val="008D5B23"/>
    <w:rsid w:val="008D6F1D"/>
    <w:rsid w:val="008E03A3"/>
    <w:rsid w:val="008E1B11"/>
    <w:rsid w:val="008E2A22"/>
    <w:rsid w:val="008E2ACD"/>
    <w:rsid w:val="008E2D8C"/>
    <w:rsid w:val="008E53BA"/>
    <w:rsid w:val="008E7E5E"/>
    <w:rsid w:val="008E7F87"/>
    <w:rsid w:val="008E7FB3"/>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11C8"/>
    <w:rsid w:val="00913A4A"/>
    <w:rsid w:val="00914A6E"/>
    <w:rsid w:val="0091544C"/>
    <w:rsid w:val="00921D03"/>
    <w:rsid w:val="00921DE6"/>
    <w:rsid w:val="0092546C"/>
    <w:rsid w:val="00925CD2"/>
    <w:rsid w:val="00932559"/>
    <w:rsid w:val="00933065"/>
    <w:rsid w:val="00933569"/>
    <w:rsid w:val="00934918"/>
    <w:rsid w:val="009365B1"/>
    <w:rsid w:val="0093799C"/>
    <w:rsid w:val="009422A1"/>
    <w:rsid w:val="00943484"/>
    <w:rsid w:val="00944804"/>
    <w:rsid w:val="009449FB"/>
    <w:rsid w:val="0094634F"/>
    <w:rsid w:val="009473D8"/>
    <w:rsid w:val="00947F51"/>
    <w:rsid w:val="00954386"/>
    <w:rsid w:val="009564B5"/>
    <w:rsid w:val="00957513"/>
    <w:rsid w:val="00960ADF"/>
    <w:rsid w:val="009623DA"/>
    <w:rsid w:val="00963A0C"/>
    <w:rsid w:val="009661A4"/>
    <w:rsid w:val="009661B5"/>
    <w:rsid w:val="009725C0"/>
    <w:rsid w:val="009727D8"/>
    <w:rsid w:val="009729BD"/>
    <w:rsid w:val="009729D5"/>
    <w:rsid w:val="00974A92"/>
    <w:rsid w:val="00974C91"/>
    <w:rsid w:val="00975270"/>
    <w:rsid w:val="00975BA1"/>
    <w:rsid w:val="00976F39"/>
    <w:rsid w:val="009809DD"/>
    <w:rsid w:val="009835E3"/>
    <w:rsid w:val="009837A6"/>
    <w:rsid w:val="009839B9"/>
    <w:rsid w:val="00983C64"/>
    <w:rsid w:val="009869F2"/>
    <w:rsid w:val="00987CDB"/>
    <w:rsid w:val="009A087C"/>
    <w:rsid w:val="009A2613"/>
    <w:rsid w:val="009A2726"/>
    <w:rsid w:val="009A30E0"/>
    <w:rsid w:val="009A3619"/>
    <w:rsid w:val="009A57B9"/>
    <w:rsid w:val="009A66D0"/>
    <w:rsid w:val="009A739F"/>
    <w:rsid w:val="009B08AF"/>
    <w:rsid w:val="009B0AC9"/>
    <w:rsid w:val="009B10F4"/>
    <w:rsid w:val="009B3DFC"/>
    <w:rsid w:val="009B53BC"/>
    <w:rsid w:val="009B793E"/>
    <w:rsid w:val="009C1EA6"/>
    <w:rsid w:val="009C37B9"/>
    <w:rsid w:val="009C38E7"/>
    <w:rsid w:val="009D31FA"/>
    <w:rsid w:val="009D32BD"/>
    <w:rsid w:val="009D33F1"/>
    <w:rsid w:val="009D35B5"/>
    <w:rsid w:val="009D3771"/>
    <w:rsid w:val="009D37BD"/>
    <w:rsid w:val="009D4486"/>
    <w:rsid w:val="009D7128"/>
    <w:rsid w:val="009D7613"/>
    <w:rsid w:val="009E21DE"/>
    <w:rsid w:val="009E6174"/>
    <w:rsid w:val="009F1DC7"/>
    <w:rsid w:val="009F211E"/>
    <w:rsid w:val="009F2572"/>
    <w:rsid w:val="009F294E"/>
    <w:rsid w:val="009F30F1"/>
    <w:rsid w:val="009F37C7"/>
    <w:rsid w:val="009F50AB"/>
    <w:rsid w:val="00A005F6"/>
    <w:rsid w:val="00A03986"/>
    <w:rsid w:val="00A040E3"/>
    <w:rsid w:val="00A0424F"/>
    <w:rsid w:val="00A051FB"/>
    <w:rsid w:val="00A0659C"/>
    <w:rsid w:val="00A07164"/>
    <w:rsid w:val="00A10039"/>
    <w:rsid w:val="00A100BA"/>
    <w:rsid w:val="00A103FF"/>
    <w:rsid w:val="00A121B5"/>
    <w:rsid w:val="00A16C6E"/>
    <w:rsid w:val="00A17DB2"/>
    <w:rsid w:val="00A2023B"/>
    <w:rsid w:val="00A21DEA"/>
    <w:rsid w:val="00A22A14"/>
    <w:rsid w:val="00A23A49"/>
    <w:rsid w:val="00A25AB4"/>
    <w:rsid w:val="00A26214"/>
    <w:rsid w:val="00A26566"/>
    <w:rsid w:val="00A27A51"/>
    <w:rsid w:val="00A31837"/>
    <w:rsid w:val="00A31D70"/>
    <w:rsid w:val="00A33018"/>
    <w:rsid w:val="00A3310D"/>
    <w:rsid w:val="00A3484C"/>
    <w:rsid w:val="00A351B3"/>
    <w:rsid w:val="00A35CE6"/>
    <w:rsid w:val="00A37BA4"/>
    <w:rsid w:val="00A402F6"/>
    <w:rsid w:val="00A406B4"/>
    <w:rsid w:val="00A42167"/>
    <w:rsid w:val="00A429D5"/>
    <w:rsid w:val="00A434B9"/>
    <w:rsid w:val="00A43739"/>
    <w:rsid w:val="00A444DD"/>
    <w:rsid w:val="00A47150"/>
    <w:rsid w:val="00A471EF"/>
    <w:rsid w:val="00A47466"/>
    <w:rsid w:val="00A47815"/>
    <w:rsid w:val="00A47A18"/>
    <w:rsid w:val="00A47A3D"/>
    <w:rsid w:val="00A47CD6"/>
    <w:rsid w:val="00A5183D"/>
    <w:rsid w:val="00A5359C"/>
    <w:rsid w:val="00A539CB"/>
    <w:rsid w:val="00A57DA7"/>
    <w:rsid w:val="00A60542"/>
    <w:rsid w:val="00A60635"/>
    <w:rsid w:val="00A63709"/>
    <w:rsid w:val="00A643AB"/>
    <w:rsid w:val="00A649E6"/>
    <w:rsid w:val="00A660AF"/>
    <w:rsid w:val="00A7021C"/>
    <w:rsid w:val="00A70814"/>
    <w:rsid w:val="00A70A95"/>
    <w:rsid w:val="00A70BDA"/>
    <w:rsid w:val="00A712D3"/>
    <w:rsid w:val="00A73E2C"/>
    <w:rsid w:val="00A740B6"/>
    <w:rsid w:val="00A7621E"/>
    <w:rsid w:val="00A76BE4"/>
    <w:rsid w:val="00A817D5"/>
    <w:rsid w:val="00A841B2"/>
    <w:rsid w:val="00A84915"/>
    <w:rsid w:val="00A84F01"/>
    <w:rsid w:val="00A85664"/>
    <w:rsid w:val="00A9029A"/>
    <w:rsid w:val="00A91332"/>
    <w:rsid w:val="00A93351"/>
    <w:rsid w:val="00A94A43"/>
    <w:rsid w:val="00A95538"/>
    <w:rsid w:val="00AA0013"/>
    <w:rsid w:val="00AA26FF"/>
    <w:rsid w:val="00AA43EC"/>
    <w:rsid w:val="00AA4C92"/>
    <w:rsid w:val="00AA4E77"/>
    <w:rsid w:val="00AA6E8C"/>
    <w:rsid w:val="00AA6F1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0007"/>
    <w:rsid w:val="00AD12F6"/>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20DB"/>
    <w:rsid w:val="00AF2914"/>
    <w:rsid w:val="00AF345A"/>
    <w:rsid w:val="00AF363F"/>
    <w:rsid w:val="00AF3E4F"/>
    <w:rsid w:val="00AF71E5"/>
    <w:rsid w:val="00B00DA5"/>
    <w:rsid w:val="00B0321E"/>
    <w:rsid w:val="00B0366D"/>
    <w:rsid w:val="00B071FF"/>
    <w:rsid w:val="00B110BC"/>
    <w:rsid w:val="00B11505"/>
    <w:rsid w:val="00B1182B"/>
    <w:rsid w:val="00B11DC2"/>
    <w:rsid w:val="00B15142"/>
    <w:rsid w:val="00B15D12"/>
    <w:rsid w:val="00B16F69"/>
    <w:rsid w:val="00B1789D"/>
    <w:rsid w:val="00B207DD"/>
    <w:rsid w:val="00B20DD8"/>
    <w:rsid w:val="00B21CA9"/>
    <w:rsid w:val="00B21ECE"/>
    <w:rsid w:val="00B223FE"/>
    <w:rsid w:val="00B30FE0"/>
    <w:rsid w:val="00B3161A"/>
    <w:rsid w:val="00B3208F"/>
    <w:rsid w:val="00B3260E"/>
    <w:rsid w:val="00B36F2F"/>
    <w:rsid w:val="00B413BD"/>
    <w:rsid w:val="00B42807"/>
    <w:rsid w:val="00B428A6"/>
    <w:rsid w:val="00B43340"/>
    <w:rsid w:val="00B4461C"/>
    <w:rsid w:val="00B46D68"/>
    <w:rsid w:val="00B53913"/>
    <w:rsid w:val="00B554D4"/>
    <w:rsid w:val="00B5572D"/>
    <w:rsid w:val="00B55F3A"/>
    <w:rsid w:val="00B56906"/>
    <w:rsid w:val="00B569F1"/>
    <w:rsid w:val="00B6007E"/>
    <w:rsid w:val="00B61484"/>
    <w:rsid w:val="00B6179E"/>
    <w:rsid w:val="00B62B08"/>
    <w:rsid w:val="00B664E5"/>
    <w:rsid w:val="00B71CB5"/>
    <w:rsid w:val="00B71F16"/>
    <w:rsid w:val="00B72922"/>
    <w:rsid w:val="00B72A13"/>
    <w:rsid w:val="00B72ADA"/>
    <w:rsid w:val="00B7473A"/>
    <w:rsid w:val="00B74A39"/>
    <w:rsid w:val="00B75819"/>
    <w:rsid w:val="00B75CDA"/>
    <w:rsid w:val="00B76FD7"/>
    <w:rsid w:val="00B81526"/>
    <w:rsid w:val="00B819E4"/>
    <w:rsid w:val="00B84042"/>
    <w:rsid w:val="00B84DD5"/>
    <w:rsid w:val="00B903CC"/>
    <w:rsid w:val="00B9165A"/>
    <w:rsid w:val="00B91F7E"/>
    <w:rsid w:val="00B924B4"/>
    <w:rsid w:val="00B9487E"/>
    <w:rsid w:val="00B95910"/>
    <w:rsid w:val="00B9692A"/>
    <w:rsid w:val="00BA0848"/>
    <w:rsid w:val="00BA29E7"/>
    <w:rsid w:val="00BA304F"/>
    <w:rsid w:val="00BA33AF"/>
    <w:rsid w:val="00BA3A4C"/>
    <w:rsid w:val="00BA61FA"/>
    <w:rsid w:val="00BA67FC"/>
    <w:rsid w:val="00BB0F20"/>
    <w:rsid w:val="00BB17D2"/>
    <w:rsid w:val="00BB1DC5"/>
    <w:rsid w:val="00BB2328"/>
    <w:rsid w:val="00BB3264"/>
    <w:rsid w:val="00BB50D7"/>
    <w:rsid w:val="00BB7F08"/>
    <w:rsid w:val="00BC0623"/>
    <w:rsid w:val="00BC35CD"/>
    <w:rsid w:val="00BC3C54"/>
    <w:rsid w:val="00BC415B"/>
    <w:rsid w:val="00BC5B96"/>
    <w:rsid w:val="00BD2C66"/>
    <w:rsid w:val="00BD2CDE"/>
    <w:rsid w:val="00BD3D16"/>
    <w:rsid w:val="00BD41CF"/>
    <w:rsid w:val="00BD6E92"/>
    <w:rsid w:val="00BD75F3"/>
    <w:rsid w:val="00BE0164"/>
    <w:rsid w:val="00BE12BD"/>
    <w:rsid w:val="00BE2ED7"/>
    <w:rsid w:val="00BE3498"/>
    <w:rsid w:val="00BE5A3E"/>
    <w:rsid w:val="00BE6AB8"/>
    <w:rsid w:val="00BF040B"/>
    <w:rsid w:val="00BF086D"/>
    <w:rsid w:val="00BF1C99"/>
    <w:rsid w:val="00BF2167"/>
    <w:rsid w:val="00BF43BC"/>
    <w:rsid w:val="00BF4DDA"/>
    <w:rsid w:val="00BF55C7"/>
    <w:rsid w:val="00BF7ED8"/>
    <w:rsid w:val="00C00A14"/>
    <w:rsid w:val="00C0222C"/>
    <w:rsid w:val="00C0236E"/>
    <w:rsid w:val="00C04139"/>
    <w:rsid w:val="00C0476F"/>
    <w:rsid w:val="00C0572E"/>
    <w:rsid w:val="00C1095B"/>
    <w:rsid w:val="00C1108E"/>
    <w:rsid w:val="00C120AB"/>
    <w:rsid w:val="00C14A51"/>
    <w:rsid w:val="00C14B1A"/>
    <w:rsid w:val="00C15C65"/>
    <w:rsid w:val="00C163C1"/>
    <w:rsid w:val="00C16519"/>
    <w:rsid w:val="00C16C1D"/>
    <w:rsid w:val="00C17853"/>
    <w:rsid w:val="00C17EE4"/>
    <w:rsid w:val="00C21656"/>
    <w:rsid w:val="00C21B3D"/>
    <w:rsid w:val="00C24267"/>
    <w:rsid w:val="00C243E6"/>
    <w:rsid w:val="00C24A82"/>
    <w:rsid w:val="00C26FA6"/>
    <w:rsid w:val="00C2788D"/>
    <w:rsid w:val="00C31D37"/>
    <w:rsid w:val="00C33398"/>
    <w:rsid w:val="00C34388"/>
    <w:rsid w:val="00C34C5B"/>
    <w:rsid w:val="00C361F6"/>
    <w:rsid w:val="00C3669A"/>
    <w:rsid w:val="00C371D5"/>
    <w:rsid w:val="00C423E3"/>
    <w:rsid w:val="00C428AB"/>
    <w:rsid w:val="00C42D18"/>
    <w:rsid w:val="00C44BAC"/>
    <w:rsid w:val="00C45626"/>
    <w:rsid w:val="00C458AF"/>
    <w:rsid w:val="00C46041"/>
    <w:rsid w:val="00C460A0"/>
    <w:rsid w:val="00C46244"/>
    <w:rsid w:val="00C4720D"/>
    <w:rsid w:val="00C47768"/>
    <w:rsid w:val="00C50068"/>
    <w:rsid w:val="00C50180"/>
    <w:rsid w:val="00C51C4B"/>
    <w:rsid w:val="00C51EE9"/>
    <w:rsid w:val="00C52108"/>
    <w:rsid w:val="00C539A5"/>
    <w:rsid w:val="00C53DFA"/>
    <w:rsid w:val="00C549F4"/>
    <w:rsid w:val="00C555FE"/>
    <w:rsid w:val="00C56E55"/>
    <w:rsid w:val="00C60DD4"/>
    <w:rsid w:val="00C60F27"/>
    <w:rsid w:val="00C610F2"/>
    <w:rsid w:val="00C61B5E"/>
    <w:rsid w:val="00C64A7F"/>
    <w:rsid w:val="00C676F3"/>
    <w:rsid w:val="00C711C8"/>
    <w:rsid w:val="00C71AB8"/>
    <w:rsid w:val="00C73E8B"/>
    <w:rsid w:val="00C74E97"/>
    <w:rsid w:val="00C75909"/>
    <w:rsid w:val="00C75D70"/>
    <w:rsid w:val="00C767D5"/>
    <w:rsid w:val="00C76EB2"/>
    <w:rsid w:val="00C77219"/>
    <w:rsid w:val="00C77EFD"/>
    <w:rsid w:val="00C809AF"/>
    <w:rsid w:val="00C81A10"/>
    <w:rsid w:val="00C81F39"/>
    <w:rsid w:val="00C829DF"/>
    <w:rsid w:val="00C82F5A"/>
    <w:rsid w:val="00C84021"/>
    <w:rsid w:val="00C85B7F"/>
    <w:rsid w:val="00C86AEA"/>
    <w:rsid w:val="00C86F14"/>
    <w:rsid w:val="00C875AE"/>
    <w:rsid w:val="00C90B1C"/>
    <w:rsid w:val="00C90CE6"/>
    <w:rsid w:val="00C91925"/>
    <w:rsid w:val="00C93030"/>
    <w:rsid w:val="00C9310B"/>
    <w:rsid w:val="00C937FB"/>
    <w:rsid w:val="00CA0F98"/>
    <w:rsid w:val="00CA2964"/>
    <w:rsid w:val="00CA696D"/>
    <w:rsid w:val="00CA6B5A"/>
    <w:rsid w:val="00CB1536"/>
    <w:rsid w:val="00CB3907"/>
    <w:rsid w:val="00CB3B51"/>
    <w:rsid w:val="00CB46F0"/>
    <w:rsid w:val="00CB5B24"/>
    <w:rsid w:val="00CB6167"/>
    <w:rsid w:val="00CC0C54"/>
    <w:rsid w:val="00CC1016"/>
    <w:rsid w:val="00CC32A0"/>
    <w:rsid w:val="00CC3829"/>
    <w:rsid w:val="00CC585C"/>
    <w:rsid w:val="00CD0D1D"/>
    <w:rsid w:val="00CD1673"/>
    <w:rsid w:val="00CD1721"/>
    <w:rsid w:val="00CD25F1"/>
    <w:rsid w:val="00CD4DDC"/>
    <w:rsid w:val="00CD6592"/>
    <w:rsid w:val="00CE0808"/>
    <w:rsid w:val="00CE1989"/>
    <w:rsid w:val="00CE2E22"/>
    <w:rsid w:val="00CE35B4"/>
    <w:rsid w:val="00CE6301"/>
    <w:rsid w:val="00CF06D4"/>
    <w:rsid w:val="00CF1D94"/>
    <w:rsid w:val="00CF2008"/>
    <w:rsid w:val="00CF2496"/>
    <w:rsid w:val="00CF3649"/>
    <w:rsid w:val="00CF4188"/>
    <w:rsid w:val="00CF4E9E"/>
    <w:rsid w:val="00CF52CE"/>
    <w:rsid w:val="00CF7848"/>
    <w:rsid w:val="00D00B84"/>
    <w:rsid w:val="00D058FC"/>
    <w:rsid w:val="00D05AC1"/>
    <w:rsid w:val="00D06213"/>
    <w:rsid w:val="00D073D1"/>
    <w:rsid w:val="00D10010"/>
    <w:rsid w:val="00D11510"/>
    <w:rsid w:val="00D116EE"/>
    <w:rsid w:val="00D12BB7"/>
    <w:rsid w:val="00D12E8D"/>
    <w:rsid w:val="00D159D4"/>
    <w:rsid w:val="00D15C79"/>
    <w:rsid w:val="00D1641A"/>
    <w:rsid w:val="00D20E16"/>
    <w:rsid w:val="00D21601"/>
    <w:rsid w:val="00D2164A"/>
    <w:rsid w:val="00D21AA7"/>
    <w:rsid w:val="00D22F1C"/>
    <w:rsid w:val="00D2345D"/>
    <w:rsid w:val="00D23D75"/>
    <w:rsid w:val="00D256F0"/>
    <w:rsid w:val="00D26D4B"/>
    <w:rsid w:val="00D31882"/>
    <w:rsid w:val="00D31BAB"/>
    <w:rsid w:val="00D31D27"/>
    <w:rsid w:val="00D32109"/>
    <w:rsid w:val="00D330B3"/>
    <w:rsid w:val="00D336A4"/>
    <w:rsid w:val="00D33A54"/>
    <w:rsid w:val="00D34AFB"/>
    <w:rsid w:val="00D352EE"/>
    <w:rsid w:val="00D35A03"/>
    <w:rsid w:val="00D3725D"/>
    <w:rsid w:val="00D37377"/>
    <w:rsid w:val="00D4178A"/>
    <w:rsid w:val="00D41830"/>
    <w:rsid w:val="00D45B8C"/>
    <w:rsid w:val="00D56058"/>
    <w:rsid w:val="00D567E0"/>
    <w:rsid w:val="00D56A09"/>
    <w:rsid w:val="00D57976"/>
    <w:rsid w:val="00D61F2D"/>
    <w:rsid w:val="00D622E5"/>
    <w:rsid w:val="00D630DE"/>
    <w:rsid w:val="00D63DBC"/>
    <w:rsid w:val="00D645C6"/>
    <w:rsid w:val="00D6548A"/>
    <w:rsid w:val="00D65571"/>
    <w:rsid w:val="00D65905"/>
    <w:rsid w:val="00D65A71"/>
    <w:rsid w:val="00D66C66"/>
    <w:rsid w:val="00D67355"/>
    <w:rsid w:val="00D712C3"/>
    <w:rsid w:val="00D71B03"/>
    <w:rsid w:val="00D7327A"/>
    <w:rsid w:val="00D74EC8"/>
    <w:rsid w:val="00D76F23"/>
    <w:rsid w:val="00D81AC9"/>
    <w:rsid w:val="00D858CC"/>
    <w:rsid w:val="00D9086C"/>
    <w:rsid w:val="00D91172"/>
    <w:rsid w:val="00D922E1"/>
    <w:rsid w:val="00D92C84"/>
    <w:rsid w:val="00D93AAA"/>
    <w:rsid w:val="00D93ECC"/>
    <w:rsid w:val="00D94745"/>
    <w:rsid w:val="00D94921"/>
    <w:rsid w:val="00D95DFF"/>
    <w:rsid w:val="00D963D5"/>
    <w:rsid w:val="00D96C96"/>
    <w:rsid w:val="00DA2201"/>
    <w:rsid w:val="00DA41B2"/>
    <w:rsid w:val="00DA5D06"/>
    <w:rsid w:val="00DA62C4"/>
    <w:rsid w:val="00DA7B20"/>
    <w:rsid w:val="00DB049D"/>
    <w:rsid w:val="00DB473D"/>
    <w:rsid w:val="00DB5727"/>
    <w:rsid w:val="00DB68CC"/>
    <w:rsid w:val="00DB72F1"/>
    <w:rsid w:val="00DC2E38"/>
    <w:rsid w:val="00DC2FBF"/>
    <w:rsid w:val="00DC52BC"/>
    <w:rsid w:val="00DC60C2"/>
    <w:rsid w:val="00DC61D2"/>
    <w:rsid w:val="00DC621D"/>
    <w:rsid w:val="00DC6A98"/>
    <w:rsid w:val="00DC6EF8"/>
    <w:rsid w:val="00DC7245"/>
    <w:rsid w:val="00DC730A"/>
    <w:rsid w:val="00DC7A0C"/>
    <w:rsid w:val="00DD12FC"/>
    <w:rsid w:val="00DD1ED6"/>
    <w:rsid w:val="00DD2B0D"/>
    <w:rsid w:val="00DE130A"/>
    <w:rsid w:val="00DE1F21"/>
    <w:rsid w:val="00DE2E1C"/>
    <w:rsid w:val="00DE3369"/>
    <w:rsid w:val="00DE33DB"/>
    <w:rsid w:val="00DE38B2"/>
    <w:rsid w:val="00DF2C9A"/>
    <w:rsid w:val="00DF32E5"/>
    <w:rsid w:val="00DF5291"/>
    <w:rsid w:val="00DF6AC1"/>
    <w:rsid w:val="00E010C4"/>
    <w:rsid w:val="00E03EBC"/>
    <w:rsid w:val="00E05572"/>
    <w:rsid w:val="00E06927"/>
    <w:rsid w:val="00E06AB6"/>
    <w:rsid w:val="00E10D04"/>
    <w:rsid w:val="00E1217F"/>
    <w:rsid w:val="00E16292"/>
    <w:rsid w:val="00E166FD"/>
    <w:rsid w:val="00E17143"/>
    <w:rsid w:val="00E20294"/>
    <w:rsid w:val="00E221E9"/>
    <w:rsid w:val="00E25706"/>
    <w:rsid w:val="00E25F47"/>
    <w:rsid w:val="00E264BB"/>
    <w:rsid w:val="00E267F5"/>
    <w:rsid w:val="00E276DF"/>
    <w:rsid w:val="00E27A89"/>
    <w:rsid w:val="00E30596"/>
    <w:rsid w:val="00E31FF9"/>
    <w:rsid w:val="00E33434"/>
    <w:rsid w:val="00E33B23"/>
    <w:rsid w:val="00E37B1B"/>
    <w:rsid w:val="00E37B97"/>
    <w:rsid w:val="00E417B9"/>
    <w:rsid w:val="00E41B67"/>
    <w:rsid w:val="00E43C23"/>
    <w:rsid w:val="00E4477A"/>
    <w:rsid w:val="00E45160"/>
    <w:rsid w:val="00E45E6A"/>
    <w:rsid w:val="00E50A42"/>
    <w:rsid w:val="00E52F6E"/>
    <w:rsid w:val="00E53930"/>
    <w:rsid w:val="00E54FA5"/>
    <w:rsid w:val="00E56D64"/>
    <w:rsid w:val="00E57446"/>
    <w:rsid w:val="00E61081"/>
    <w:rsid w:val="00E61788"/>
    <w:rsid w:val="00E65B18"/>
    <w:rsid w:val="00E65B9D"/>
    <w:rsid w:val="00E67F32"/>
    <w:rsid w:val="00E704E0"/>
    <w:rsid w:val="00E71CE6"/>
    <w:rsid w:val="00E71E16"/>
    <w:rsid w:val="00E728C6"/>
    <w:rsid w:val="00E73E65"/>
    <w:rsid w:val="00E75732"/>
    <w:rsid w:val="00E76641"/>
    <w:rsid w:val="00E77AC7"/>
    <w:rsid w:val="00E83DA2"/>
    <w:rsid w:val="00E84575"/>
    <w:rsid w:val="00E851E8"/>
    <w:rsid w:val="00E856E9"/>
    <w:rsid w:val="00E862E7"/>
    <w:rsid w:val="00E86395"/>
    <w:rsid w:val="00E86A0D"/>
    <w:rsid w:val="00E86DF2"/>
    <w:rsid w:val="00E879EC"/>
    <w:rsid w:val="00E949F8"/>
    <w:rsid w:val="00E94A64"/>
    <w:rsid w:val="00E9538B"/>
    <w:rsid w:val="00E95703"/>
    <w:rsid w:val="00E95707"/>
    <w:rsid w:val="00E95C5F"/>
    <w:rsid w:val="00E964C2"/>
    <w:rsid w:val="00EA0297"/>
    <w:rsid w:val="00EA116B"/>
    <w:rsid w:val="00EA2C29"/>
    <w:rsid w:val="00EA2CB8"/>
    <w:rsid w:val="00EA3F05"/>
    <w:rsid w:val="00EA5E85"/>
    <w:rsid w:val="00EB0B07"/>
    <w:rsid w:val="00EB0C6A"/>
    <w:rsid w:val="00EB144E"/>
    <w:rsid w:val="00EB1B82"/>
    <w:rsid w:val="00EB2F49"/>
    <w:rsid w:val="00EB3E4C"/>
    <w:rsid w:val="00EB462A"/>
    <w:rsid w:val="00EB545A"/>
    <w:rsid w:val="00EB635D"/>
    <w:rsid w:val="00EB6554"/>
    <w:rsid w:val="00EB6AA6"/>
    <w:rsid w:val="00EC00AF"/>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D46B4"/>
    <w:rsid w:val="00ED602B"/>
    <w:rsid w:val="00EE21F2"/>
    <w:rsid w:val="00EE50EE"/>
    <w:rsid w:val="00EE55F9"/>
    <w:rsid w:val="00EE62A5"/>
    <w:rsid w:val="00EE63DE"/>
    <w:rsid w:val="00EE64F9"/>
    <w:rsid w:val="00EE7598"/>
    <w:rsid w:val="00EF00EA"/>
    <w:rsid w:val="00EF0CBA"/>
    <w:rsid w:val="00EF34E1"/>
    <w:rsid w:val="00EF3688"/>
    <w:rsid w:val="00EF36A0"/>
    <w:rsid w:val="00EF524C"/>
    <w:rsid w:val="00EF6CC3"/>
    <w:rsid w:val="00F00D0F"/>
    <w:rsid w:val="00F0109E"/>
    <w:rsid w:val="00F03A0B"/>
    <w:rsid w:val="00F04330"/>
    <w:rsid w:val="00F11454"/>
    <w:rsid w:val="00F12E5A"/>
    <w:rsid w:val="00F2125A"/>
    <w:rsid w:val="00F221FC"/>
    <w:rsid w:val="00F23C89"/>
    <w:rsid w:val="00F24025"/>
    <w:rsid w:val="00F322F5"/>
    <w:rsid w:val="00F35033"/>
    <w:rsid w:val="00F35CAE"/>
    <w:rsid w:val="00F36EE7"/>
    <w:rsid w:val="00F4192F"/>
    <w:rsid w:val="00F41B64"/>
    <w:rsid w:val="00F41D9D"/>
    <w:rsid w:val="00F44250"/>
    <w:rsid w:val="00F4468A"/>
    <w:rsid w:val="00F47653"/>
    <w:rsid w:val="00F47EFB"/>
    <w:rsid w:val="00F505CE"/>
    <w:rsid w:val="00F50BE9"/>
    <w:rsid w:val="00F5169E"/>
    <w:rsid w:val="00F51C0B"/>
    <w:rsid w:val="00F57AFC"/>
    <w:rsid w:val="00F627E4"/>
    <w:rsid w:val="00F6494D"/>
    <w:rsid w:val="00F65A5D"/>
    <w:rsid w:val="00F65DBD"/>
    <w:rsid w:val="00F669B9"/>
    <w:rsid w:val="00F67D80"/>
    <w:rsid w:val="00F773E6"/>
    <w:rsid w:val="00F7797F"/>
    <w:rsid w:val="00F77DEE"/>
    <w:rsid w:val="00F80A07"/>
    <w:rsid w:val="00F80C1E"/>
    <w:rsid w:val="00F80CEE"/>
    <w:rsid w:val="00F81639"/>
    <w:rsid w:val="00F81C18"/>
    <w:rsid w:val="00F81F36"/>
    <w:rsid w:val="00F82613"/>
    <w:rsid w:val="00F83E85"/>
    <w:rsid w:val="00F8493C"/>
    <w:rsid w:val="00F85468"/>
    <w:rsid w:val="00F86A45"/>
    <w:rsid w:val="00F86BC7"/>
    <w:rsid w:val="00F907D4"/>
    <w:rsid w:val="00F913C7"/>
    <w:rsid w:val="00F9202F"/>
    <w:rsid w:val="00F92AA4"/>
    <w:rsid w:val="00F967E1"/>
    <w:rsid w:val="00FA2519"/>
    <w:rsid w:val="00FA625E"/>
    <w:rsid w:val="00FA6B1E"/>
    <w:rsid w:val="00FB4165"/>
    <w:rsid w:val="00FB48E1"/>
    <w:rsid w:val="00FB59A0"/>
    <w:rsid w:val="00FC1484"/>
    <w:rsid w:val="00FC1792"/>
    <w:rsid w:val="00FC1944"/>
    <w:rsid w:val="00FC42BD"/>
    <w:rsid w:val="00FD2E9B"/>
    <w:rsid w:val="00FD378D"/>
    <w:rsid w:val="00FD41A2"/>
    <w:rsid w:val="00FE065B"/>
    <w:rsid w:val="00FE06D8"/>
    <w:rsid w:val="00FE17D2"/>
    <w:rsid w:val="00FE2BF0"/>
    <w:rsid w:val="00FE43C6"/>
    <w:rsid w:val="00FE7835"/>
    <w:rsid w:val="00FF4148"/>
    <w:rsid w:val="00FF5A86"/>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7696"/>
  <w15:docId w15:val="{7F2D50F6-D21A-41BE-8E97-1907F438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05014019">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ABDF-F536-4878-BE66-F529F318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TotalTime>
  <Pages>10</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Tshwarelo Mabina</cp:lastModifiedBy>
  <cp:revision>2</cp:revision>
  <cp:lastPrinted>2023-08-22T07:45:00Z</cp:lastPrinted>
  <dcterms:created xsi:type="dcterms:W3CDTF">2024-03-05T13:48:00Z</dcterms:created>
  <dcterms:modified xsi:type="dcterms:W3CDTF">2024-03-05T13:48:00Z</dcterms:modified>
</cp:coreProperties>
</file>