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DE7C" w14:textId="77777777" w:rsidR="001D4F75" w:rsidRPr="001D4F75" w:rsidRDefault="001D4F75" w:rsidP="001D4F75">
      <w:pPr>
        <w:spacing w:line="480" w:lineRule="auto"/>
        <w:ind w:left="720" w:hanging="720"/>
        <w:jc w:val="center"/>
        <w:rPr>
          <w:rFonts w:eastAsia="Calibri"/>
          <w:b/>
          <w:kern w:val="0"/>
          <w:szCs w:val="22"/>
          <w14:ligatures w14:val="none"/>
        </w:rPr>
      </w:pPr>
      <w:r w:rsidRPr="001D4F75">
        <w:rPr>
          <w:rFonts w:eastAsia="Calibri"/>
          <w:b/>
          <w:kern w:val="0"/>
          <w:szCs w:val="22"/>
          <w14:ligatures w14:val="none"/>
        </w:rPr>
        <w:t>REPUBLIC OF SOUTH AFRICA</w:t>
      </w:r>
    </w:p>
    <w:p w14:paraId="43804763" w14:textId="77777777" w:rsidR="001D4F75" w:rsidRPr="001D4F75" w:rsidRDefault="001D4F75" w:rsidP="001D4F75">
      <w:pPr>
        <w:spacing w:line="480" w:lineRule="auto"/>
        <w:ind w:left="720" w:hanging="720"/>
        <w:jc w:val="center"/>
        <w:rPr>
          <w:rFonts w:eastAsia="Calibri"/>
          <w:b/>
          <w:kern w:val="0"/>
          <w:szCs w:val="22"/>
          <w14:ligatures w14:val="none"/>
        </w:rPr>
      </w:pPr>
      <w:r w:rsidRPr="001D4F75">
        <w:rPr>
          <w:rFonts w:eastAsia="Calibri"/>
          <w:b/>
          <w:noProof/>
          <w:kern w:val="0"/>
          <w:szCs w:val="22"/>
          <w:lang w:eastAsia="en-ZA"/>
          <w14:ligatures w14:val="none"/>
        </w:rPr>
        <w:drawing>
          <wp:inline distT="0" distB="0" distL="0" distR="0" wp14:anchorId="50BDF75A" wp14:editId="22C71FD9">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2B3F830C" w14:textId="77777777" w:rsidR="001D4F75" w:rsidRPr="001D4F75" w:rsidRDefault="001D4F75" w:rsidP="001D4F75">
      <w:pPr>
        <w:spacing w:after="0" w:line="240" w:lineRule="auto"/>
        <w:ind w:left="720" w:hanging="720"/>
        <w:jc w:val="center"/>
        <w:rPr>
          <w:rFonts w:eastAsia="Calibri"/>
          <w:b/>
          <w:kern w:val="0"/>
          <w:szCs w:val="22"/>
          <w14:ligatures w14:val="none"/>
        </w:rPr>
      </w:pPr>
      <w:r w:rsidRPr="001D4F75">
        <w:rPr>
          <w:rFonts w:eastAsia="Calibri"/>
          <w:b/>
          <w:kern w:val="0"/>
          <w:szCs w:val="22"/>
          <w14:ligatures w14:val="none"/>
        </w:rPr>
        <w:t>IN THE HIGH COURT OF SOUTH AFRICA</w:t>
      </w:r>
    </w:p>
    <w:p w14:paraId="3E933448" w14:textId="77777777" w:rsidR="001D4F75" w:rsidRPr="001D4F75" w:rsidRDefault="001D4F75" w:rsidP="001D4F75">
      <w:pPr>
        <w:spacing w:line="480" w:lineRule="auto"/>
        <w:ind w:left="720" w:hanging="720"/>
        <w:jc w:val="center"/>
        <w:rPr>
          <w:rFonts w:eastAsia="Calibri"/>
          <w:b/>
          <w:kern w:val="0"/>
          <w:szCs w:val="22"/>
          <w14:ligatures w14:val="none"/>
        </w:rPr>
      </w:pPr>
      <w:r w:rsidRPr="001D4F75">
        <w:rPr>
          <w:rFonts w:eastAsia="Calibri"/>
          <w:b/>
          <w:kern w:val="0"/>
          <w:szCs w:val="22"/>
          <w14:ligatures w14:val="none"/>
        </w:rPr>
        <w:t>GAUTENG LOCAL DIVISION, JOHANNESBURG</w:t>
      </w:r>
    </w:p>
    <w:p w14:paraId="30498E97" w14:textId="3A0319AE" w:rsidR="001D4F75" w:rsidRPr="001D4F75" w:rsidRDefault="001D4F75" w:rsidP="001D4F75">
      <w:pPr>
        <w:spacing w:line="720" w:lineRule="auto"/>
        <w:ind w:left="720" w:hanging="720"/>
        <w:jc w:val="right"/>
        <w:rPr>
          <w:rFonts w:eastAsia="Calibri"/>
          <w:b/>
          <w:kern w:val="0"/>
          <w:szCs w:val="22"/>
          <w:lang w:val="en-GB"/>
          <w14:ligatures w14:val="none"/>
        </w:rPr>
      </w:pPr>
      <w:r w:rsidRPr="001D4F75">
        <w:rPr>
          <w:rFonts w:eastAsia="Calibri"/>
          <w:b/>
          <w:noProof/>
          <w:kern w:val="0"/>
          <w:szCs w:val="22"/>
          <w:lang w:eastAsia="en-ZA"/>
          <w14:ligatures w14:val="none"/>
        </w:rPr>
        <mc:AlternateContent>
          <mc:Choice Requires="wps">
            <w:drawing>
              <wp:anchor distT="0" distB="0" distL="114300" distR="114300" simplePos="0" relativeHeight="251659264" behindDoc="0" locked="0" layoutInCell="1" allowOverlap="1" wp14:anchorId="4C1D8DBD" wp14:editId="24D3778F">
                <wp:simplePos x="0" y="0"/>
                <wp:positionH relativeFrom="margin">
                  <wp:align>left</wp:align>
                </wp:positionH>
                <wp:positionV relativeFrom="paragraph">
                  <wp:posOffset>225425</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6E3E613B" w14:textId="77777777" w:rsidR="001D4F75" w:rsidRPr="004120A8" w:rsidRDefault="001D4F75" w:rsidP="001D4F75">
                            <w:pPr>
                              <w:jc w:val="center"/>
                              <w:rPr>
                                <w:rFonts w:ascii="Century Gothic" w:hAnsi="Century Gothic"/>
                                <w:b/>
                                <w:sz w:val="2"/>
                                <w:szCs w:val="18"/>
                              </w:rPr>
                            </w:pPr>
                          </w:p>
                          <w:p w14:paraId="6A24FE01" w14:textId="051AB70F" w:rsidR="001D4F75" w:rsidRPr="004120A8" w:rsidRDefault="00A8157D" w:rsidP="00A8157D">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D4F75">
                              <w:rPr>
                                <w:rFonts w:ascii="Century Gothic" w:hAnsi="Century Gothic"/>
                                <w:sz w:val="18"/>
                                <w:szCs w:val="18"/>
                              </w:rPr>
                              <w:t>REPORTABLE: YES/</w:t>
                            </w:r>
                            <w:r w:rsidR="001D4F75" w:rsidRPr="004120A8">
                              <w:rPr>
                                <w:rFonts w:ascii="Century Gothic" w:hAnsi="Century Gothic"/>
                                <w:sz w:val="18"/>
                                <w:szCs w:val="18"/>
                              </w:rPr>
                              <w:t>NO</w:t>
                            </w:r>
                          </w:p>
                          <w:p w14:paraId="28316A05" w14:textId="03E1B649" w:rsidR="001D4F75" w:rsidRPr="004120A8" w:rsidRDefault="00A8157D" w:rsidP="00A8157D">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D4F75" w:rsidRPr="004120A8">
                              <w:rPr>
                                <w:rFonts w:ascii="Century Gothic" w:hAnsi="Century Gothic"/>
                                <w:sz w:val="18"/>
                                <w:szCs w:val="18"/>
                              </w:rPr>
                              <w:t>O</w:t>
                            </w:r>
                            <w:r w:rsidR="001D4F75">
                              <w:rPr>
                                <w:rFonts w:ascii="Century Gothic" w:hAnsi="Century Gothic"/>
                                <w:sz w:val="18"/>
                                <w:szCs w:val="18"/>
                              </w:rPr>
                              <w:t>F INTEREST TO OTHER JUDGES: YES/</w:t>
                            </w:r>
                            <w:r w:rsidR="001D4F75" w:rsidRPr="004120A8">
                              <w:rPr>
                                <w:rFonts w:ascii="Century Gothic" w:hAnsi="Century Gothic"/>
                                <w:sz w:val="18"/>
                                <w:szCs w:val="18"/>
                              </w:rPr>
                              <w:t>NO</w:t>
                            </w:r>
                          </w:p>
                          <w:p w14:paraId="0ABD0CC0" w14:textId="6345B29A" w:rsidR="001D4F75" w:rsidRDefault="00A8157D" w:rsidP="00A8157D">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1D4F75">
                              <w:rPr>
                                <w:rFonts w:ascii="Century Gothic" w:hAnsi="Century Gothic"/>
                                <w:sz w:val="18"/>
                                <w:szCs w:val="18"/>
                              </w:rPr>
                              <w:t>REVISED: YES/NO</w:t>
                            </w:r>
                          </w:p>
                          <w:p w14:paraId="119EC771" w14:textId="77777777" w:rsidR="001D4F75" w:rsidRDefault="001D4F75" w:rsidP="001D4F75">
                            <w:pPr>
                              <w:spacing w:after="0"/>
                              <w:ind w:left="900"/>
                              <w:rPr>
                                <w:rFonts w:ascii="Century Gothic" w:hAnsi="Century Gothic"/>
                                <w:sz w:val="18"/>
                                <w:szCs w:val="18"/>
                              </w:rPr>
                            </w:pPr>
                          </w:p>
                          <w:p w14:paraId="1355FB8B" w14:textId="77777777" w:rsidR="001D4F75" w:rsidRPr="00CE3BCB" w:rsidRDefault="001D4F75" w:rsidP="001D4F75">
                            <w:pPr>
                              <w:spacing w:after="0"/>
                              <w:ind w:left="900"/>
                              <w:rPr>
                                <w:rFonts w:ascii="Century Gothic" w:hAnsi="Century Gothic"/>
                                <w:sz w:val="18"/>
                                <w:szCs w:val="18"/>
                              </w:rPr>
                            </w:pPr>
                          </w:p>
                          <w:p w14:paraId="649FAD87" w14:textId="10CC39FD" w:rsidR="001D4F75" w:rsidRPr="004120A8" w:rsidRDefault="001D4F75" w:rsidP="001D4F7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sidR="00DC3453">
                              <w:rPr>
                                <w:rFonts w:ascii="Century Gothic" w:hAnsi="Century Gothic"/>
                                <w:b/>
                                <w:sz w:val="18"/>
                                <w:szCs w:val="18"/>
                              </w:rPr>
                              <w:t>21/02/2024</w:t>
                            </w:r>
                            <w:r>
                              <w:rPr>
                                <w:rFonts w:ascii="Century Gothic" w:hAnsi="Century Gothic"/>
                                <w:b/>
                                <w:sz w:val="18"/>
                                <w:szCs w:val="18"/>
                              </w:rPr>
                              <w:t>….</w:t>
                            </w:r>
                            <w:r w:rsidRPr="004120A8">
                              <w:rPr>
                                <w:rFonts w:ascii="Century Gothic" w:hAnsi="Century Gothic"/>
                                <w:b/>
                                <w:sz w:val="18"/>
                                <w:szCs w:val="18"/>
                              </w:rPr>
                              <w:t>…</w:t>
                            </w:r>
                          </w:p>
                          <w:p w14:paraId="5CD1106C" w14:textId="77777777" w:rsidR="001D4F75" w:rsidRPr="004120A8" w:rsidRDefault="001D4F75" w:rsidP="001D4F7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5B6FED27" w14:textId="77777777" w:rsidR="001D4F75" w:rsidRPr="004120A8" w:rsidRDefault="001D4F75" w:rsidP="001D4F7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8DBD" id="_x0000_t202" coordsize="21600,21600" o:spt="202" path="m,l,21600r21600,l21600,xe">
                <v:stroke joinstyle="miter"/>
                <v:path gradientshapeok="t" o:connecttype="rect"/>
              </v:shapetype>
              <v:shape id="Text Box 9" o:spid="_x0000_s1026" type="#_x0000_t202" style="position:absolute;left:0;text-align:left;margin-left:0;margin-top:17.75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">
                <v:textbox>
                  <w:txbxContent>
                    <w:p w14:paraId="6E3E613B" w14:textId="77777777" w:rsidR="001D4F75" w:rsidRPr="004120A8" w:rsidRDefault="001D4F75" w:rsidP="001D4F75">
                      <w:pPr>
                        <w:jc w:val="center"/>
                        <w:rPr>
                          <w:rFonts w:ascii="Century Gothic" w:hAnsi="Century Gothic"/>
                          <w:b/>
                          <w:sz w:val="2"/>
                          <w:szCs w:val="18"/>
                        </w:rPr>
                      </w:pPr>
                    </w:p>
                    <w:p w14:paraId="6A24FE01" w14:textId="051AB70F" w:rsidR="001D4F75" w:rsidRPr="004120A8" w:rsidRDefault="00A8157D" w:rsidP="00A8157D">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D4F75">
                        <w:rPr>
                          <w:rFonts w:ascii="Century Gothic" w:hAnsi="Century Gothic"/>
                          <w:sz w:val="18"/>
                          <w:szCs w:val="18"/>
                        </w:rPr>
                        <w:t>REPORTABLE: YES/</w:t>
                      </w:r>
                      <w:r w:rsidR="001D4F75" w:rsidRPr="004120A8">
                        <w:rPr>
                          <w:rFonts w:ascii="Century Gothic" w:hAnsi="Century Gothic"/>
                          <w:sz w:val="18"/>
                          <w:szCs w:val="18"/>
                        </w:rPr>
                        <w:t>NO</w:t>
                      </w:r>
                    </w:p>
                    <w:p w14:paraId="28316A05" w14:textId="03E1B649" w:rsidR="001D4F75" w:rsidRPr="004120A8" w:rsidRDefault="00A8157D" w:rsidP="00A8157D">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D4F75" w:rsidRPr="004120A8">
                        <w:rPr>
                          <w:rFonts w:ascii="Century Gothic" w:hAnsi="Century Gothic"/>
                          <w:sz w:val="18"/>
                          <w:szCs w:val="18"/>
                        </w:rPr>
                        <w:t>O</w:t>
                      </w:r>
                      <w:r w:rsidR="001D4F75">
                        <w:rPr>
                          <w:rFonts w:ascii="Century Gothic" w:hAnsi="Century Gothic"/>
                          <w:sz w:val="18"/>
                          <w:szCs w:val="18"/>
                        </w:rPr>
                        <w:t>F INTEREST TO OTHER JUDGES: YES/</w:t>
                      </w:r>
                      <w:r w:rsidR="001D4F75" w:rsidRPr="004120A8">
                        <w:rPr>
                          <w:rFonts w:ascii="Century Gothic" w:hAnsi="Century Gothic"/>
                          <w:sz w:val="18"/>
                          <w:szCs w:val="18"/>
                        </w:rPr>
                        <w:t>NO</w:t>
                      </w:r>
                    </w:p>
                    <w:p w14:paraId="0ABD0CC0" w14:textId="6345B29A" w:rsidR="001D4F75" w:rsidRDefault="00A8157D" w:rsidP="00A8157D">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1D4F75">
                        <w:rPr>
                          <w:rFonts w:ascii="Century Gothic" w:hAnsi="Century Gothic"/>
                          <w:sz w:val="18"/>
                          <w:szCs w:val="18"/>
                        </w:rPr>
                        <w:t>REVISED: YES/NO</w:t>
                      </w:r>
                    </w:p>
                    <w:p w14:paraId="119EC771" w14:textId="77777777" w:rsidR="001D4F75" w:rsidRDefault="001D4F75" w:rsidP="001D4F75">
                      <w:pPr>
                        <w:spacing w:after="0"/>
                        <w:ind w:left="900"/>
                        <w:rPr>
                          <w:rFonts w:ascii="Century Gothic" w:hAnsi="Century Gothic"/>
                          <w:sz w:val="18"/>
                          <w:szCs w:val="18"/>
                        </w:rPr>
                      </w:pPr>
                    </w:p>
                    <w:p w14:paraId="1355FB8B" w14:textId="77777777" w:rsidR="001D4F75" w:rsidRPr="00CE3BCB" w:rsidRDefault="001D4F75" w:rsidP="001D4F75">
                      <w:pPr>
                        <w:spacing w:after="0"/>
                        <w:ind w:left="900"/>
                        <w:rPr>
                          <w:rFonts w:ascii="Century Gothic" w:hAnsi="Century Gothic"/>
                          <w:sz w:val="18"/>
                          <w:szCs w:val="18"/>
                        </w:rPr>
                      </w:pPr>
                    </w:p>
                    <w:p w14:paraId="649FAD87" w14:textId="10CC39FD" w:rsidR="001D4F75" w:rsidRPr="004120A8" w:rsidRDefault="001D4F75" w:rsidP="001D4F7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sidR="00DC3453">
                        <w:rPr>
                          <w:rFonts w:ascii="Century Gothic" w:hAnsi="Century Gothic"/>
                          <w:b/>
                          <w:sz w:val="18"/>
                          <w:szCs w:val="18"/>
                        </w:rPr>
                        <w:t>21/02/2024</w:t>
                      </w:r>
                      <w:r>
                        <w:rPr>
                          <w:rFonts w:ascii="Century Gothic" w:hAnsi="Century Gothic"/>
                          <w:b/>
                          <w:sz w:val="18"/>
                          <w:szCs w:val="18"/>
                        </w:rPr>
                        <w:t>….</w:t>
                      </w:r>
                      <w:r w:rsidRPr="004120A8">
                        <w:rPr>
                          <w:rFonts w:ascii="Century Gothic" w:hAnsi="Century Gothic"/>
                          <w:b/>
                          <w:sz w:val="18"/>
                          <w:szCs w:val="18"/>
                        </w:rPr>
                        <w:t>…</w:t>
                      </w:r>
                    </w:p>
                    <w:p w14:paraId="5CD1106C" w14:textId="77777777" w:rsidR="001D4F75" w:rsidRPr="004120A8" w:rsidRDefault="001D4F75" w:rsidP="001D4F7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5B6FED27" w14:textId="77777777" w:rsidR="001D4F75" w:rsidRPr="004120A8" w:rsidRDefault="001D4F75" w:rsidP="001D4F75">
                      <w:pPr>
                        <w:rPr>
                          <w:rFonts w:ascii="Century Gothic" w:hAnsi="Century Gothic"/>
                          <w:b/>
                          <w:sz w:val="2"/>
                          <w:szCs w:val="18"/>
                        </w:rPr>
                      </w:pPr>
                    </w:p>
                  </w:txbxContent>
                </v:textbox>
                <w10:wrap anchorx="margin"/>
              </v:shape>
            </w:pict>
          </mc:Fallback>
        </mc:AlternateContent>
      </w:r>
      <w:r w:rsidRPr="001D4F75">
        <w:rPr>
          <w:rFonts w:eastAsia="Calibri"/>
          <w:b/>
          <w:kern w:val="0"/>
          <w:szCs w:val="22"/>
          <w14:ligatures w14:val="none"/>
        </w:rPr>
        <w:t>CASE NO:</w:t>
      </w:r>
      <w:r w:rsidRPr="001D4F75">
        <w:rPr>
          <w:rFonts w:eastAsia="Calibri"/>
          <w:b/>
          <w:kern w:val="0"/>
          <w:szCs w:val="22"/>
          <w:lang w:val="en-GB"/>
          <w14:ligatures w14:val="none"/>
        </w:rPr>
        <w:t xml:space="preserve"> </w:t>
      </w:r>
      <w:r w:rsidR="00496DAA" w:rsidRPr="00496DAA">
        <w:rPr>
          <w:rFonts w:eastAsia="Calibri"/>
          <w:b/>
          <w:kern w:val="0"/>
          <w:szCs w:val="22"/>
          <w:lang w:val="en-GB"/>
          <w14:ligatures w14:val="none"/>
        </w:rPr>
        <w:t>2020/22061</w:t>
      </w:r>
    </w:p>
    <w:p w14:paraId="10F007EE" w14:textId="77777777" w:rsidR="001D4F75" w:rsidRPr="001D4F75" w:rsidRDefault="001D4F75" w:rsidP="001D4F75">
      <w:pPr>
        <w:spacing w:line="480" w:lineRule="auto"/>
        <w:ind w:left="720" w:hanging="720"/>
        <w:jc w:val="both"/>
        <w:rPr>
          <w:rFonts w:eastAsia="Calibri"/>
          <w:b/>
          <w:kern w:val="0"/>
          <w:szCs w:val="22"/>
          <w:u w:val="single"/>
          <w:lang w:val="en-GB"/>
          <w14:ligatures w14:val="none"/>
        </w:rPr>
      </w:pPr>
    </w:p>
    <w:p w14:paraId="636CFD77" w14:textId="77777777" w:rsidR="001D4F75" w:rsidRPr="001D4F75" w:rsidRDefault="001D4F75" w:rsidP="001D4F75">
      <w:pPr>
        <w:spacing w:line="720" w:lineRule="auto"/>
        <w:jc w:val="both"/>
        <w:rPr>
          <w:rFonts w:eastAsia="Calibri"/>
          <w:b/>
          <w:kern w:val="0"/>
          <w:szCs w:val="22"/>
          <w:u w:val="single"/>
          <w:lang w:val="en-GB"/>
          <w14:ligatures w14:val="none"/>
        </w:rPr>
      </w:pPr>
    </w:p>
    <w:p w14:paraId="7C4CD4A3" w14:textId="6C895BE5" w:rsidR="00E56596" w:rsidRPr="00154800" w:rsidRDefault="001D4F75" w:rsidP="00154800">
      <w:pPr>
        <w:spacing w:line="480" w:lineRule="auto"/>
        <w:jc w:val="both"/>
        <w:rPr>
          <w:rFonts w:eastAsia="Calibri"/>
          <w:kern w:val="0"/>
          <w:szCs w:val="22"/>
          <w:lang w:val="en-GB"/>
          <w14:ligatures w14:val="none"/>
        </w:rPr>
      </w:pPr>
      <w:r w:rsidRPr="001D4F75">
        <w:rPr>
          <w:rFonts w:eastAsia="Calibri"/>
          <w:kern w:val="0"/>
          <w:szCs w:val="22"/>
          <w:lang w:val="en-GB"/>
          <w14:ligatures w14:val="none"/>
        </w:rPr>
        <w:t xml:space="preserve">In the matter between: </w:t>
      </w:r>
    </w:p>
    <w:p w14:paraId="0A6F14C8" w14:textId="6C975886" w:rsidR="00E56596" w:rsidRDefault="00E56596" w:rsidP="00154800">
      <w:pPr>
        <w:spacing w:line="480" w:lineRule="auto"/>
      </w:pPr>
      <w:r w:rsidRPr="00E56596">
        <w:rPr>
          <w:b/>
          <w:bCs/>
        </w:rPr>
        <w:t xml:space="preserve">BLISS BRANDS (PTY) </w:t>
      </w:r>
      <w:r w:rsidRPr="00EA0355">
        <w:rPr>
          <w:b/>
          <w:bCs/>
        </w:rPr>
        <w:t>LTD                                                                   Applicant</w:t>
      </w:r>
      <w:r w:rsidR="00154800">
        <w:t xml:space="preserve"> </w:t>
      </w:r>
    </w:p>
    <w:p w14:paraId="627CF7EC" w14:textId="1D203E57" w:rsidR="00E56596" w:rsidRDefault="00154800" w:rsidP="00154800">
      <w:pPr>
        <w:spacing w:line="480" w:lineRule="auto"/>
      </w:pPr>
      <w:r>
        <w:t>a</w:t>
      </w:r>
      <w:r w:rsidR="00E56596">
        <w:t>nd</w:t>
      </w:r>
      <w:r>
        <w:t xml:space="preserve"> </w:t>
      </w:r>
    </w:p>
    <w:p w14:paraId="14D5A4EA" w14:textId="6180050C" w:rsidR="00E56596" w:rsidRPr="00154800" w:rsidRDefault="00E56596" w:rsidP="00154800">
      <w:pPr>
        <w:spacing w:line="600" w:lineRule="auto"/>
      </w:pPr>
      <w:r w:rsidRPr="00E56596">
        <w:rPr>
          <w:b/>
          <w:bCs/>
        </w:rPr>
        <w:t>ADVERTISING REGULATORY BOARD NPC</w:t>
      </w:r>
      <w:r>
        <w:t xml:space="preserve">                            </w:t>
      </w:r>
      <w:r w:rsidRPr="00EA0355">
        <w:rPr>
          <w:b/>
          <w:bCs/>
        </w:rPr>
        <w:t>First Respondent</w:t>
      </w:r>
    </w:p>
    <w:p w14:paraId="04B0FB3B" w14:textId="20DE8269" w:rsidR="00E56596" w:rsidRDefault="00E56596" w:rsidP="00154800">
      <w:pPr>
        <w:spacing w:line="600" w:lineRule="auto"/>
        <w:rPr>
          <w:b/>
          <w:bCs/>
        </w:rPr>
      </w:pPr>
      <w:r w:rsidRPr="00E56596">
        <w:rPr>
          <w:b/>
          <w:bCs/>
        </w:rPr>
        <w:t xml:space="preserve">COLGATE-PALMOLIVE (PTY) LTD </w:t>
      </w:r>
      <w:r>
        <w:rPr>
          <w:b/>
          <w:bCs/>
        </w:rPr>
        <w:t xml:space="preserve">                                      </w:t>
      </w:r>
      <w:r w:rsidRPr="00EA0355">
        <w:rPr>
          <w:b/>
          <w:bCs/>
        </w:rPr>
        <w:t>Second Respondent</w:t>
      </w:r>
      <w:r w:rsidR="00EA0355">
        <w:rPr>
          <w:b/>
          <w:bCs/>
        </w:rPr>
        <w:t xml:space="preserve"> </w:t>
      </w:r>
    </w:p>
    <w:p w14:paraId="40B21E26" w14:textId="03562252" w:rsidR="00EA0355" w:rsidRDefault="00B07D97" w:rsidP="00154800">
      <w:pPr>
        <w:spacing w:line="600" w:lineRule="auto"/>
        <w:rPr>
          <w:b/>
          <w:bCs/>
        </w:rPr>
      </w:pPr>
      <w:r w:rsidRPr="00B07D97">
        <w:rPr>
          <w:b/>
          <w:bCs/>
        </w:rPr>
        <w:t>COLGATE-PALMOLIVE COMPANY</w:t>
      </w:r>
      <w:r w:rsidRPr="00B07D97">
        <w:t xml:space="preserve">                                       </w:t>
      </w:r>
      <w:r w:rsidRPr="00B07D97">
        <w:rPr>
          <w:b/>
          <w:bCs/>
        </w:rPr>
        <w:t>Third Respondent</w:t>
      </w:r>
    </w:p>
    <w:p w14:paraId="205A3355" w14:textId="77777777" w:rsidR="003438C9" w:rsidRPr="003438C9" w:rsidRDefault="003438C9" w:rsidP="003438C9">
      <w:pPr>
        <w:spacing w:after="0" w:line="360" w:lineRule="auto"/>
        <w:ind w:left="720" w:hanging="720"/>
        <w:jc w:val="both"/>
        <w:rPr>
          <w:rFonts w:eastAsia="Calibri"/>
          <w:b/>
          <w:kern w:val="0"/>
          <w:szCs w:val="22"/>
          <w:u w:val="single"/>
          <w14:ligatures w14:val="none"/>
        </w:rPr>
      </w:pP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p>
    <w:p w14:paraId="3F700C1C" w14:textId="77777777" w:rsidR="003438C9" w:rsidRPr="003438C9" w:rsidRDefault="003438C9" w:rsidP="003438C9">
      <w:pPr>
        <w:spacing w:before="240" w:after="0" w:line="360" w:lineRule="auto"/>
        <w:ind w:left="720" w:hanging="720"/>
        <w:jc w:val="center"/>
        <w:rPr>
          <w:rFonts w:eastAsia="Calibri"/>
          <w:b/>
          <w:kern w:val="0"/>
          <w:szCs w:val="22"/>
          <w14:ligatures w14:val="none"/>
        </w:rPr>
      </w:pPr>
      <w:r w:rsidRPr="003438C9">
        <w:rPr>
          <w:rFonts w:eastAsia="Calibri"/>
          <w:b/>
          <w:kern w:val="0"/>
          <w:szCs w:val="22"/>
          <w14:ligatures w14:val="none"/>
        </w:rPr>
        <w:t>JUDGMENT</w:t>
      </w:r>
    </w:p>
    <w:p w14:paraId="488D6BE8" w14:textId="77777777" w:rsidR="003438C9" w:rsidRPr="003438C9" w:rsidRDefault="003438C9" w:rsidP="003438C9">
      <w:pPr>
        <w:spacing w:after="0" w:line="360" w:lineRule="auto"/>
        <w:ind w:left="720" w:hanging="720"/>
        <w:jc w:val="both"/>
        <w:rPr>
          <w:rFonts w:eastAsia="Calibri"/>
          <w:b/>
          <w:kern w:val="0"/>
          <w:szCs w:val="22"/>
          <w:u w:val="single"/>
          <w14:ligatures w14:val="none"/>
        </w:rPr>
      </w:pP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r w:rsidRPr="003438C9">
        <w:rPr>
          <w:rFonts w:eastAsia="Calibri"/>
          <w:b/>
          <w:kern w:val="0"/>
          <w:szCs w:val="22"/>
          <w:u w:val="single"/>
          <w14:ligatures w14:val="none"/>
        </w:rPr>
        <w:tab/>
      </w:r>
    </w:p>
    <w:p w14:paraId="5EDBAA6C" w14:textId="04F0928B" w:rsidR="00CE3967" w:rsidRPr="003438C9" w:rsidRDefault="00D02A6D" w:rsidP="003438C9">
      <w:pPr>
        <w:spacing w:before="240" w:line="480" w:lineRule="auto"/>
        <w:jc w:val="both"/>
        <w:rPr>
          <w:rFonts w:eastAsia="Calibri"/>
          <w:kern w:val="0"/>
          <w:szCs w:val="22"/>
          <w14:ligatures w14:val="none"/>
        </w:rPr>
      </w:pPr>
      <w:r w:rsidRPr="00D02A6D">
        <w:rPr>
          <w:rFonts w:eastAsia="Calibri"/>
          <w:b/>
          <w:kern w:val="0"/>
          <w:szCs w:val="22"/>
          <w:lang w:val="en-GB"/>
          <w14:ligatures w14:val="none"/>
        </w:rPr>
        <w:t>MANOIM J:</w:t>
      </w:r>
    </w:p>
    <w:p w14:paraId="2719D013" w14:textId="1F2ECC02" w:rsidR="00006A6C" w:rsidRPr="009B3A5F" w:rsidRDefault="00557AB3" w:rsidP="00557AB3">
      <w:pPr>
        <w:spacing w:line="480" w:lineRule="auto"/>
        <w:ind w:left="720" w:hanging="720"/>
        <w:jc w:val="both"/>
      </w:pPr>
      <w:r>
        <w:lastRenderedPageBreak/>
        <w:t>[1]</w:t>
      </w:r>
      <w:r>
        <w:tab/>
      </w:r>
      <w:r w:rsidR="00CE3967" w:rsidRPr="009B3A5F">
        <w:t xml:space="preserve">This case has its origins in an advertising dispute between two rival manufacturers of soap products. </w:t>
      </w:r>
      <w:r w:rsidR="009D17D8" w:rsidRPr="009B3A5F">
        <w:t>It is now before this court because the applicant (</w:t>
      </w:r>
      <w:r>
        <w:t>“</w:t>
      </w:r>
      <w:r w:rsidR="009D17D8" w:rsidRPr="009B3A5F">
        <w:t>Bliss</w:t>
      </w:r>
      <w:r>
        <w:t>”</w:t>
      </w:r>
      <w:r w:rsidR="009D17D8" w:rsidRPr="009B3A5F">
        <w:t>) seeks to review and set aside a decision made by</w:t>
      </w:r>
      <w:r w:rsidR="00F63DDA" w:rsidRPr="009B3A5F">
        <w:t xml:space="preserve"> a committee of</w:t>
      </w:r>
      <w:r w:rsidR="009D17D8" w:rsidRPr="009B3A5F">
        <w:t xml:space="preserve"> the first respondent</w:t>
      </w:r>
      <w:r w:rsidR="00F63DDA" w:rsidRPr="009B3A5F">
        <w:t>,</w:t>
      </w:r>
      <w:r w:rsidR="00581A6A" w:rsidRPr="009B3A5F">
        <w:t xml:space="preserve"> the Advertising Regulatory Board </w:t>
      </w:r>
      <w:r w:rsidR="0073418E" w:rsidRPr="009B3A5F">
        <w:t>N</w:t>
      </w:r>
      <w:r w:rsidR="00581A6A" w:rsidRPr="009B3A5F">
        <w:t>PC</w:t>
      </w:r>
      <w:r w:rsidR="009D17D8" w:rsidRPr="009B3A5F">
        <w:t xml:space="preserve"> (</w:t>
      </w:r>
      <w:r>
        <w:t>“</w:t>
      </w:r>
      <w:r w:rsidR="009D17D8" w:rsidRPr="009B3A5F">
        <w:t>the ARB</w:t>
      </w:r>
      <w:r>
        <w:t>”</w:t>
      </w:r>
      <w:r w:rsidR="009D17D8" w:rsidRPr="009B3A5F">
        <w:t>)</w:t>
      </w:r>
      <w:r w:rsidR="00F63DDA" w:rsidRPr="009B3A5F">
        <w:t>,</w:t>
      </w:r>
      <w:r w:rsidR="009D17D8" w:rsidRPr="009B3A5F">
        <w:t xml:space="preserve"> in favour of the second and third respondent</w:t>
      </w:r>
      <w:r w:rsidR="0073418E" w:rsidRPr="009B3A5F">
        <w:t>s</w:t>
      </w:r>
      <w:r w:rsidR="009D17D8" w:rsidRPr="009B3A5F">
        <w:t xml:space="preserve"> (</w:t>
      </w:r>
      <w:r>
        <w:t>“</w:t>
      </w:r>
      <w:r w:rsidR="009D17D8" w:rsidRPr="009B3A5F">
        <w:t>Colgate</w:t>
      </w:r>
      <w:r>
        <w:t>”</w:t>
      </w:r>
      <w:r w:rsidR="009D17D8" w:rsidRPr="009B3A5F">
        <w:t>)</w:t>
      </w:r>
      <w:r w:rsidR="00D85E60" w:rsidRPr="009B3A5F">
        <w:t>.</w:t>
      </w:r>
      <w:r w:rsidR="00D85E60" w:rsidRPr="009B3A5F">
        <w:rPr>
          <w:rStyle w:val="FootnoteReference"/>
        </w:rPr>
        <w:footnoteReference w:id="1"/>
      </w:r>
      <w:r w:rsidR="00D85E60" w:rsidRPr="009B3A5F">
        <w:t xml:space="preserve"> In proceedings before the ARB</w:t>
      </w:r>
      <w:r w:rsidR="0073418E" w:rsidRPr="009B3A5F">
        <w:t>,</w:t>
      </w:r>
      <w:r w:rsidR="00D85E60" w:rsidRPr="009B3A5F">
        <w:t xml:space="preserve"> Colgate had complained that Bliss had violated two provisions </w:t>
      </w:r>
      <w:r w:rsidR="003B2BD8" w:rsidRPr="009B3A5F">
        <w:t>of</w:t>
      </w:r>
      <w:r w:rsidR="00D85E60" w:rsidRPr="009B3A5F">
        <w:t xml:space="preserve"> the ARB’s advertising </w:t>
      </w:r>
      <w:r w:rsidR="006808CA" w:rsidRPr="009B3A5F">
        <w:t>C</w:t>
      </w:r>
      <w:r w:rsidR="00D85E60" w:rsidRPr="009B3A5F">
        <w:t>ode</w:t>
      </w:r>
      <w:r w:rsidR="003B2BD8" w:rsidRPr="009B3A5F">
        <w:t>.</w:t>
      </w:r>
      <w:r w:rsidR="002F39C8" w:rsidRPr="009B3A5F">
        <w:t xml:space="preserve"> One provision relates to exploiting the advertising goodwill of Colgate the other</w:t>
      </w:r>
      <w:r w:rsidR="00842A72" w:rsidRPr="009B3A5F">
        <w:t>,</w:t>
      </w:r>
      <w:r w:rsidR="002F39C8" w:rsidRPr="009B3A5F">
        <w:t xml:space="preserve"> imitation of its advertising packaging.</w:t>
      </w:r>
      <w:r w:rsidR="006808CA" w:rsidRPr="009B3A5F">
        <w:rPr>
          <w:rStyle w:val="FootnoteReference"/>
        </w:rPr>
        <w:footnoteReference w:id="2"/>
      </w:r>
    </w:p>
    <w:p w14:paraId="3021322B" w14:textId="6F3C8B7E" w:rsidR="00CE3967" w:rsidRPr="009B3A5F" w:rsidRDefault="00557AB3" w:rsidP="00557AB3">
      <w:pPr>
        <w:spacing w:line="480" w:lineRule="auto"/>
        <w:ind w:left="720" w:hanging="720"/>
        <w:jc w:val="both"/>
      </w:pPr>
      <w:r>
        <w:t>[2]</w:t>
      </w:r>
      <w:r>
        <w:tab/>
      </w:r>
      <w:r w:rsidR="00F7047C" w:rsidRPr="009B3A5F">
        <w:t>This case has already been before this court on three separate occasions</w:t>
      </w:r>
      <w:r w:rsidR="00303EE0" w:rsidRPr="009B3A5F">
        <w:t>,</w:t>
      </w:r>
      <w:r w:rsidR="00F7047C" w:rsidRPr="009B3A5F">
        <w:t xml:space="preserve"> as well as going once on appeal to the Supreme Court of Appeal (</w:t>
      </w:r>
      <w:r>
        <w:t>“</w:t>
      </w:r>
      <w:r w:rsidR="00F7047C" w:rsidRPr="009B3A5F">
        <w:t>SCA</w:t>
      </w:r>
      <w:r>
        <w:t>”</w:t>
      </w:r>
      <w:r w:rsidR="00F7047C" w:rsidRPr="009B3A5F">
        <w:t>)</w:t>
      </w:r>
      <w:r w:rsidR="002F39C8" w:rsidRPr="009B3A5F">
        <w:t xml:space="preserve"> and then to the Constitutional Court</w:t>
      </w:r>
      <w:r w:rsidR="00F7047C" w:rsidRPr="009B3A5F">
        <w:t>.</w:t>
      </w:r>
      <w:r w:rsidR="00AF0B2C" w:rsidRPr="009B3A5F">
        <w:rPr>
          <w:rStyle w:val="FootnoteReference"/>
        </w:rPr>
        <w:footnoteReference w:id="3"/>
      </w:r>
      <w:r w:rsidR="00F7047C" w:rsidRPr="009B3A5F">
        <w:t xml:space="preserve"> As the litigation has unfolded so have new legal issues. To unpack these </w:t>
      </w:r>
      <w:r w:rsidR="008D3FB8" w:rsidRPr="009B3A5F">
        <w:t>issues,</w:t>
      </w:r>
      <w:r w:rsidR="00F7047C" w:rsidRPr="009B3A5F">
        <w:t xml:space="preserve"> it is necessary for me to start with the origin of the dispute.</w:t>
      </w:r>
    </w:p>
    <w:p w14:paraId="50DA9BF8" w14:textId="5659D2E6" w:rsidR="00F7047C" w:rsidRPr="009B3A5F" w:rsidRDefault="00F7047C" w:rsidP="00557AB3">
      <w:pPr>
        <w:pStyle w:val="ListParagraph"/>
        <w:spacing w:line="480" w:lineRule="auto"/>
        <w:ind w:left="360" w:firstLine="360"/>
        <w:jc w:val="both"/>
        <w:rPr>
          <w:b/>
          <w:bCs/>
        </w:rPr>
      </w:pPr>
      <w:r w:rsidRPr="009B3A5F">
        <w:rPr>
          <w:b/>
          <w:bCs/>
        </w:rPr>
        <w:t>O</w:t>
      </w:r>
      <w:r w:rsidR="008D3FB8" w:rsidRPr="009B3A5F">
        <w:rPr>
          <w:b/>
          <w:bCs/>
        </w:rPr>
        <w:t>rigin</w:t>
      </w:r>
    </w:p>
    <w:p w14:paraId="4A92CA39" w14:textId="5BA977C6" w:rsidR="00D21F62" w:rsidRPr="009B3A5F" w:rsidRDefault="00557AB3" w:rsidP="00557AB3">
      <w:pPr>
        <w:spacing w:line="480" w:lineRule="auto"/>
        <w:ind w:left="720" w:hanging="720"/>
        <w:jc w:val="both"/>
      </w:pPr>
      <w:r>
        <w:t>[3]</w:t>
      </w:r>
      <w:r>
        <w:tab/>
      </w:r>
      <w:r w:rsidR="005C237B" w:rsidRPr="009B3A5F">
        <w:t xml:space="preserve">Colgate is a </w:t>
      </w:r>
      <w:r w:rsidR="007E38A0" w:rsidRPr="009B3A5F">
        <w:t>large international manufacturer</w:t>
      </w:r>
      <w:r w:rsidR="005C237B" w:rsidRPr="009B3A5F">
        <w:t xml:space="preserve"> of consumer goods. One of its brands is a soap called </w:t>
      </w:r>
      <w:proofErr w:type="spellStart"/>
      <w:r w:rsidR="005C237B" w:rsidRPr="009B3A5F">
        <w:t>Protex</w:t>
      </w:r>
      <w:proofErr w:type="spellEnd"/>
      <w:r w:rsidR="005C237B" w:rsidRPr="009B3A5F">
        <w:t xml:space="preserve">. It is branded as a hygiene soap. Hygiene soap is seen by both firms as a separate category of soap. </w:t>
      </w:r>
      <w:proofErr w:type="spellStart"/>
      <w:r w:rsidR="005C237B" w:rsidRPr="009B3A5F">
        <w:t>Protex</w:t>
      </w:r>
      <w:proofErr w:type="spellEnd"/>
      <w:r w:rsidR="005C237B" w:rsidRPr="009B3A5F">
        <w:t xml:space="preserve"> is the leading brand with 32% of the market in the category. It is common cause that it is the pioneer of this category</w:t>
      </w:r>
      <w:r w:rsidR="002C002A" w:rsidRPr="009B3A5F">
        <w:t xml:space="preserve">. </w:t>
      </w:r>
      <w:proofErr w:type="spellStart"/>
      <w:r w:rsidR="002F4284" w:rsidRPr="009B3A5F">
        <w:t>Protex</w:t>
      </w:r>
      <w:proofErr w:type="spellEnd"/>
      <w:r w:rsidR="002F4284" w:rsidRPr="009B3A5F">
        <w:t xml:space="preserve"> has been in the market </w:t>
      </w:r>
      <w:r w:rsidR="00DB3EC4" w:rsidRPr="009B3A5F">
        <w:t>since around</w:t>
      </w:r>
      <w:r w:rsidR="00CC67D9" w:rsidRPr="009B3A5F">
        <w:t xml:space="preserve"> </w:t>
      </w:r>
      <w:r w:rsidR="002F4284" w:rsidRPr="009B3A5F">
        <w:t>2000.</w:t>
      </w:r>
      <w:r w:rsidR="002F4284" w:rsidRPr="009B3A5F">
        <w:rPr>
          <w:rStyle w:val="FootnoteReference"/>
        </w:rPr>
        <w:footnoteReference w:id="4"/>
      </w:r>
      <w:r w:rsidR="00CC67D9" w:rsidRPr="009B3A5F">
        <w:t xml:space="preserve"> </w:t>
      </w:r>
      <w:proofErr w:type="spellStart"/>
      <w:r w:rsidR="00063057" w:rsidRPr="009B3A5F">
        <w:lastRenderedPageBreak/>
        <w:t>Protex</w:t>
      </w:r>
      <w:proofErr w:type="spellEnd"/>
      <w:r w:rsidR="00063057" w:rsidRPr="009B3A5F">
        <w:t xml:space="preserve"> brands are also divided into sub-brands each with a distinctive name that is included in the packaging along with the main brand name.</w:t>
      </w:r>
    </w:p>
    <w:p w14:paraId="08004B4F" w14:textId="64538FE5" w:rsidR="00F7047C" w:rsidRPr="009B3A5F" w:rsidRDefault="00557AB3" w:rsidP="00557AB3">
      <w:pPr>
        <w:spacing w:line="480" w:lineRule="auto"/>
        <w:ind w:left="720" w:hanging="720"/>
        <w:jc w:val="both"/>
      </w:pPr>
      <w:r>
        <w:t>[4]</w:t>
      </w:r>
      <w:r>
        <w:tab/>
      </w:r>
      <w:r w:rsidR="005C237B" w:rsidRPr="009B3A5F">
        <w:t>Bliss</w:t>
      </w:r>
      <w:r w:rsidR="00B40B29" w:rsidRPr="009B3A5F">
        <w:t>,</w:t>
      </w:r>
      <w:r w:rsidR="005C237B" w:rsidRPr="009B3A5F">
        <w:t xml:space="preserve"> which also </w:t>
      </w:r>
      <w:r w:rsidR="00234328" w:rsidRPr="009B3A5F">
        <w:t>manufactures</w:t>
      </w:r>
      <w:r w:rsidR="005C237B" w:rsidRPr="009B3A5F">
        <w:t xml:space="preserve"> other consumer goods, </w:t>
      </w:r>
      <w:r w:rsidR="00436F71" w:rsidRPr="009B3A5F">
        <w:t>entered</w:t>
      </w:r>
      <w:r w:rsidR="005C237B" w:rsidRPr="009B3A5F">
        <w:t xml:space="preserve"> the market in </w:t>
      </w:r>
      <w:r w:rsidR="007D4E0F" w:rsidRPr="009B3A5F">
        <w:t>2011</w:t>
      </w:r>
      <w:r w:rsidR="0066600B" w:rsidRPr="009B3A5F">
        <w:t>,</w:t>
      </w:r>
      <w:r w:rsidR="005C237B" w:rsidRPr="009B3A5F">
        <w:t xml:space="preserve"> with its own hygiene soap brand called </w:t>
      </w:r>
      <w:proofErr w:type="spellStart"/>
      <w:r w:rsidR="00FE5D0A">
        <w:t>Secur</w:t>
      </w:r>
      <w:r w:rsidR="005C237B" w:rsidRPr="009B3A5F">
        <w:t>ex</w:t>
      </w:r>
      <w:proofErr w:type="spellEnd"/>
      <w:r w:rsidR="005C237B" w:rsidRPr="009B3A5F">
        <w:t xml:space="preserve">. It has registered a </w:t>
      </w:r>
      <w:r w:rsidR="008F4B32" w:rsidRPr="009B3A5F">
        <w:t>trademark</w:t>
      </w:r>
      <w:r w:rsidR="005C237B" w:rsidRPr="009B3A5F">
        <w:t xml:space="preserve"> for that name and this application was not challenged by Colgate.</w:t>
      </w:r>
      <w:r w:rsidR="00AB6701" w:rsidRPr="009B3A5F">
        <w:t xml:space="preserve"> As with </w:t>
      </w:r>
      <w:proofErr w:type="spellStart"/>
      <w:r w:rsidR="00AB6701" w:rsidRPr="009B3A5F">
        <w:t>Protex</w:t>
      </w:r>
      <w:proofErr w:type="spellEnd"/>
      <w:r w:rsidR="0066600B" w:rsidRPr="009B3A5F">
        <w:t>,</w:t>
      </w:r>
      <w:r w:rsidR="00AB6701" w:rsidRPr="009B3A5F">
        <w:t xml:space="preserve"> it has four variants </w:t>
      </w:r>
      <w:r w:rsidR="003B2878" w:rsidRPr="009B3A5F">
        <w:t xml:space="preserve">with these names included on the packaging in smaller type. </w:t>
      </w:r>
      <w:r w:rsidR="008218DF" w:rsidRPr="009B3A5F">
        <w:t xml:space="preserve">Although Colgate contended that </w:t>
      </w:r>
      <w:r w:rsidR="001D3DDC" w:rsidRPr="009B3A5F">
        <w:t xml:space="preserve">the Bliss </w:t>
      </w:r>
      <w:r w:rsidR="00CE066A" w:rsidRPr="009B3A5F">
        <w:t>packaging at</w:t>
      </w:r>
      <w:r w:rsidR="001D3DDC" w:rsidRPr="009B3A5F">
        <w:t xml:space="preserve"> that time </w:t>
      </w:r>
      <w:r w:rsidR="00657976" w:rsidRPr="009B3A5F">
        <w:t>“</w:t>
      </w:r>
      <w:r w:rsidR="00657976" w:rsidRPr="00557AB3">
        <w:rPr>
          <w:i/>
          <w:iCs/>
        </w:rPr>
        <w:t>made</w:t>
      </w:r>
      <w:r w:rsidR="001D3DDC" w:rsidRPr="00557AB3">
        <w:rPr>
          <w:i/>
          <w:iCs/>
        </w:rPr>
        <w:t xml:space="preserve"> use of a combination of </w:t>
      </w:r>
      <w:r w:rsidR="001230BD" w:rsidRPr="00557AB3">
        <w:rPr>
          <w:i/>
          <w:iCs/>
        </w:rPr>
        <w:t xml:space="preserve">certain </w:t>
      </w:r>
      <w:r w:rsidR="001D3DDC" w:rsidRPr="00557AB3">
        <w:rPr>
          <w:i/>
          <w:iCs/>
        </w:rPr>
        <w:t xml:space="preserve">elements </w:t>
      </w:r>
      <w:r w:rsidR="001230BD" w:rsidRPr="00557AB3">
        <w:rPr>
          <w:i/>
          <w:iCs/>
        </w:rPr>
        <w:t xml:space="preserve">identical </w:t>
      </w:r>
      <w:r w:rsidR="00BA18B2" w:rsidRPr="00557AB3">
        <w:rPr>
          <w:i/>
          <w:iCs/>
        </w:rPr>
        <w:t>(or</w:t>
      </w:r>
      <w:r w:rsidR="001230BD" w:rsidRPr="00557AB3">
        <w:rPr>
          <w:i/>
          <w:iCs/>
        </w:rPr>
        <w:t xml:space="preserve"> substantially similar) to that of Colgate</w:t>
      </w:r>
      <w:r w:rsidR="006808CA" w:rsidRPr="00557AB3">
        <w:rPr>
          <w:i/>
          <w:iCs/>
        </w:rPr>
        <w:t>’</w:t>
      </w:r>
      <w:r w:rsidR="001230BD" w:rsidRPr="00557AB3">
        <w:rPr>
          <w:i/>
          <w:iCs/>
        </w:rPr>
        <w:t xml:space="preserve">s old </w:t>
      </w:r>
      <w:proofErr w:type="spellStart"/>
      <w:r w:rsidR="001230BD" w:rsidRPr="00557AB3">
        <w:rPr>
          <w:i/>
          <w:iCs/>
        </w:rPr>
        <w:t>Protex</w:t>
      </w:r>
      <w:proofErr w:type="spellEnd"/>
      <w:r w:rsidR="001230BD" w:rsidRPr="00557AB3">
        <w:rPr>
          <w:i/>
          <w:iCs/>
        </w:rPr>
        <w:t xml:space="preserve"> packaging </w:t>
      </w:r>
      <w:r w:rsidR="00FD1324" w:rsidRPr="00557AB3">
        <w:rPr>
          <w:i/>
          <w:iCs/>
        </w:rPr>
        <w:t xml:space="preserve">(i.e. pre </w:t>
      </w:r>
      <w:proofErr w:type="gramStart"/>
      <w:r w:rsidR="00FD1324" w:rsidRPr="00557AB3">
        <w:rPr>
          <w:i/>
          <w:iCs/>
        </w:rPr>
        <w:t>2015 )</w:t>
      </w:r>
      <w:proofErr w:type="gramEnd"/>
      <w:r w:rsidR="00FD1324" w:rsidRPr="00557AB3">
        <w:rPr>
          <w:i/>
          <w:iCs/>
        </w:rPr>
        <w:t>”</w:t>
      </w:r>
      <w:r w:rsidR="00FD1324" w:rsidRPr="009B3A5F">
        <w:t xml:space="preserve"> it did not lodge a complaint at that time. </w:t>
      </w:r>
      <w:r w:rsidR="00CE066A" w:rsidRPr="009B3A5F">
        <w:rPr>
          <w:rStyle w:val="FootnoteReference"/>
        </w:rPr>
        <w:footnoteReference w:id="5"/>
      </w:r>
    </w:p>
    <w:p w14:paraId="1A843D1D" w14:textId="07BEE022" w:rsidR="00331E7F" w:rsidRPr="009B3A5F" w:rsidRDefault="00557AB3" w:rsidP="00557AB3">
      <w:pPr>
        <w:spacing w:line="480" w:lineRule="auto"/>
        <w:ind w:left="720" w:hanging="720"/>
        <w:jc w:val="both"/>
      </w:pPr>
      <w:r>
        <w:t>[5]</w:t>
      </w:r>
      <w:r>
        <w:tab/>
      </w:r>
      <w:r w:rsidR="005C237B" w:rsidRPr="009B3A5F">
        <w:t>In 20</w:t>
      </w:r>
      <w:r w:rsidR="00673314" w:rsidRPr="009B3A5F">
        <w:t>15 C</w:t>
      </w:r>
      <w:r w:rsidR="005C237B" w:rsidRPr="009B3A5F">
        <w:t xml:space="preserve">olgate changed the look of its </w:t>
      </w:r>
      <w:proofErr w:type="spellStart"/>
      <w:r w:rsidR="005C237B" w:rsidRPr="009B3A5F">
        <w:t>Protex</w:t>
      </w:r>
      <w:proofErr w:type="spellEnd"/>
      <w:r w:rsidR="005C237B" w:rsidRPr="009B3A5F">
        <w:t xml:space="preserve"> brand</w:t>
      </w:r>
      <w:r w:rsidR="0022673D" w:rsidRPr="009B3A5F">
        <w:t xml:space="preserve"> to what it is currently now</w:t>
      </w:r>
      <w:r w:rsidR="00A633B6" w:rsidRPr="009B3A5F">
        <w:t>,</w:t>
      </w:r>
      <w:r w:rsidR="0022673D" w:rsidRPr="009B3A5F">
        <w:t xml:space="preserve"> although minor changes were made in 2016</w:t>
      </w:r>
      <w:r w:rsidR="005C237B" w:rsidRPr="009B3A5F">
        <w:t xml:space="preserve">. In 2018 Bliss changed the packaging of its </w:t>
      </w:r>
      <w:proofErr w:type="spellStart"/>
      <w:r w:rsidR="005C237B" w:rsidRPr="009B3A5F">
        <w:t>Securex</w:t>
      </w:r>
      <w:proofErr w:type="spellEnd"/>
      <w:r w:rsidR="005C237B" w:rsidRPr="009B3A5F">
        <w:t xml:space="preserve"> brand. </w:t>
      </w:r>
      <w:r w:rsidR="000D091D" w:rsidRPr="009B3A5F">
        <w:t>Colgate contends that this made</w:t>
      </w:r>
      <w:r w:rsidR="005C237B" w:rsidRPr="009B3A5F">
        <w:t xml:space="preserve"> </w:t>
      </w:r>
      <w:r w:rsidR="002038EE" w:rsidRPr="009B3A5F">
        <w:t xml:space="preserve">the look of </w:t>
      </w:r>
      <w:proofErr w:type="spellStart"/>
      <w:r w:rsidR="002038EE" w:rsidRPr="009B3A5F">
        <w:t>Securex</w:t>
      </w:r>
      <w:proofErr w:type="spellEnd"/>
      <w:r w:rsidR="002038EE" w:rsidRPr="009B3A5F">
        <w:t xml:space="preserve"> </w:t>
      </w:r>
      <w:r w:rsidR="00FC3E97" w:rsidRPr="009B3A5F">
        <w:t xml:space="preserve">more closely resemble that of its </w:t>
      </w:r>
      <w:proofErr w:type="spellStart"/>
      <w:r w:rsidR="00FC3E97" w:rsidRPr="009B3A5F">
        <w:t>Protex</w:t>
      </w:r>
      <w:proofErr w:type="spellEnd"/>
      <w:r w:rsidR="00FC3E97" w:rsidRPr="009B3A5F">
        <w:t xml:space="preserve"> brand</w:t>
      </w:r>
      <w:r w:rsidR="00AB1CD1" w:rsidRPr="009B3A5F">
        <w:t>. This galvanised Colgate</w:t>
      </w:r>
      <w:r w:rsidR="008879AE" w:rsidRPr="009B3A5F">
        <w:t>,</w:t>
      </w:r>
      <w:r w:rsidR="00AB1CD1" w:rsidRPr="009B3A5F">
        <w:t xml:space="preserve"> which had thus far not objected to the presence of </w:t>
      </w:r>
      <w:proofErr w:type="spellStart"/>
      <w:r w:rsidR="00AB1CD1" w:rsidRPr="009B3A5F">
        <w:t>Protex</w:t>
      </w:r>
      <w:proofErr w:type="spellEnd"/>
      <w:r w:rsidR="00AB1CD1" w:rsidRPr="009B3A5F">
        <w:t xml:space="preserve"> in the market</w:t>
      </w:r>
      <w:r w:rsidR="00331E7F" w:rsidRPr="009B3A5F">
        <w:t>,</w:t>
      </w:r>
      <w:r w:rsidR="00AB1CD1" w:rsidRPr="009B3A5F">
        <w:t xml:space="preserve"> to lodging a complaint with the </w:t>
      </w:r>
      <w:r w:rsidR="0014351F" w:rsidRPr="009B3A5F">
        <w:t xml:space="preserve">first respondent, the </w:t>
      </w:r>
      <w:r w:rsidR="0003217C" w:rsidRPr="009B3A5F">
        <w:t>Advertising Regulatory Board NPC (</w:t>
      </w:r>
      <w:r>
        <w:t>“</w:t>
      </w:r>
      <w:r w:rsidR="00AB1CD1" w:rsidRPr="009B3A5F">
        <w:t>ARB</w:t>
      </w:r>
      <w:r>
        <w:t>”</w:t>
      </w:r>
      <w:r w:rsidR="0003217C" w:rsidRPr="009B3A5F">
        <w:t>)</w:t>
      </w:r>
      <w:r w:rsidR="000733DB" w:rsidRPr="009B3A5F">
        <w:t xml:space="preserve"> </w:t>
      </w:r>
      <w:r w:rsidR="001D6DBE" w:rsidRPr="009B3A5F">
        <w:t>on 9 December 2019</w:t>
      </w:r>
      <w:r w:rsidR="00AB1CD1" w:rsidRPr="009B3A5F">
        <w:t>.</w:t>
      </w:r>
      <w:r w:rsidR="00B90AB3" w:rsidRPr="009B3A5F">
        <w:t xml:space="preserve"> </w:t>
      </w:r>
      <w:r w:rsidR="003704DF" w:rsidRPr="009B3A5F">
        <w:t>What appears to have animated Colgate into action</w:t>
      </w:r>
      <w:r w:rsidR="00331E7F" w:rsidRPr="009B3A5F">
        <w:t xml:space="preserve"> was that Bliss was gaining market share after the change and Colgate believed this was attributable to consumers confusing the two brands.</w:t>
      </w:r>
    </w:p>
    <w:p w14:paraId="15F7034A" w14:textId="5C72AB49" w:rsidR="005C237B" w:rsidRPr="009B3A5F" w:rsidRDefault="00557AB3" w:rsidP="00557AB3">
      <w:pPr>
        <w:spacing w:line="480" w:lineRule="auto"/>
        <w:ind w:left="720" w:hanging="720"/>
        <w:jc w:val="both"/>
      </w:pPr>
      <w:r>
        <w:t>[6]</w:t>
      </w:r>
      <w:r>
        <w:tab/>
      </w:r>
      <w:r w:rsidR="00E74A47" w:rsidRPr="009B3A5F">
        <w:t xml:space="preserve">In the complaint </w:t>
      </w:r>
      <w:r w:rsidR="000D091D" w:rsidRPr="009B3A5F">
        <w:t xml:space="preserve">Colgate alleged that what is referred to as the </w:t>
      </w:r>
      <w:r w:rsidR="00D81B5E" w:rsidRPr="009B3A5F">
        <w:t>‘</w:t>
      </w:r>
      <w:proofErr w:type="spellStart"/>
      <w:r w:rsidR="00F35A42" w:rsidRPr="009B3A5F">
        <w:t>Secure</w:t>
      </w:r>
      <w:r w:rsidR="000D091D" w:rsidRPr="009B3A5F">
        <w:t>x</w:t>
      </w:r>
      <w:proofErr w:type="spellEnd"/>
      <w:r w:rsidR="000D091D" w:rsidRPr="009B3A5F">
        <w:t xml:space="preserve"> design concept</w:t>
      </w:r>
      <w:r w:rsidR="002C002A" w:rsidRPr="009B3A5F">
        <w:t>,’</w:t>
      </w:r>
      <w:r w:rsidR="000D091D" w:rsidRPr="009B3A5F">
        <w:t xml:space="preserve"> breached two provisions of the ARB’s </w:t>
      </w:r>
      <w:r w:rsidR="00B378E7" w:rsidRPr="009B3A5F">
        <w:t>C</w:t>
      </w:r>
      <w:r w:rsidR="000D091D" w:rsidRPr="009B3A5F">
        <w:t>ode</w:t>
      </w:r>
      <w:r w:rsidR="00E57095" w:rsidRPr="009B3A5F">
        <w:t xml:space="preserve"> of Advertising Practice </w:t>
      </w:r>
      <w:r w:rsidR="00E57095" w:rsidRPr="009B3A5F">
        <w:lastRenderedPageBreak/>
        <w:t>(</w:t>
      </w:r>
      <w:r>
        <w:t>“</w:t>
      </w:r>
      <w:r w:rsidR="00E57095" w:rsidRPr="009B3A5F">
        <w:t>the Code</w:t>
      </w:r>
      <w:r>
        <w:t>”</w:t>
      </w:r>
      <w:r w:rsidR="00E57095" w:rsidRPr="009B3A5F">
        <w:t>)</w:t>
      </w:r>
      <w:r w:rsidR="00B378E7" w:rsidRPr="009B3A5F">
        <w:t>.</w:t>
      </w:r>
      <w:r w:rsidR="00AB1CD1" w:rsidRPr="009B3A5F">
        <w:t xml:space="preserve"> It is necessary to pause the narration here to </w:t>
      </w:r>
      <w:r w:rsidR="000C7ACC" w:rsidRPr="009B3A5F">
        <w:t xml:space="preserve">discuss the nature of the ARB as </w:t>
      </w:r>
      <w:r w:rsidR="001E5A58" w:rsidRPr="009B3A5F">
        <w:t>this is central to certain of the issues in the litigation.</w:t>
      </w:r>
    </w:p>
    <w:p w14:paraId="23C90BC2" w14:textId="7D80555A" w:rsidR="001E5A58" w:rsidRPr="009B3A5F" w:rsidRDefault="00557AB3" w:rsidP="00557AB3">
      <w:pPr>
        <w:spacing w:line="480" w:lineRule="auto"/>
        <w:ind w:left="720" w:hanging="720"/>
        <w:jc w:val="both"/>
      </w:pPr>
      <w:r>
        <w:t>[7]</w:t>
      </w:r>
      <w:r>
        <w:tab/>
      </w:r>
      <w:r w:rsidR="001E5A58" w:rsidRPr="009B3A5F">
        <w:t>The ARB is a private company not an organ of state.</w:t>
      </w:r>
      <w:r w:rsidR="005276CA" w:rsidRPr="009B3A5F">
        <w:t xml:space="preserve"> It serves as a </w:t>
      </w:r>
      <w:r w:rsidR="00982FAD" w:rsidRPr="009B3A5F">
        <w:t>voluntary regulator of the industry</w:t>
      </w:r>
      <w:r w:rsidR="007E38A0" w:rsidRPr="009B3A5F">
        <w:t xml:space="preserve">. It counts amongst its members a significant number of manufacturers, </w:t>
      </w:r>
      <w:r w:rsidR="00AB196C" w:rsidRPr="009B3A5F">
        <w:t>retailers,</w:t>
      </w:r>
      <w:r w:rsidR="007E38A0" w:rsidRPr="009B3A5F">
        <w:t xml:space="preserve"> and advertising agencies. Colgate is a </w:t>
      </w:r>
      <w:r w:rsidR="007C0D0E" w:rsidRPr="009B3A5F">
        <w:t>member,</w:t>
      </w:r>
      <w:r w:rsidR="007E38A0" w:rsidRPr="009B3A5F">
        <w:t xml:space="preserve"> but Bliss is not. Despite its private status it </w:t>
      </w:r>
      <w:proofErr w:type="gramStart"/>
      <w:r w:rsidR="007E38A0" w:rsidRPr="009B3A5F">
        <w:t>is able to</w:t>
      </w:r>
      <w:proofErr w:type="gramEnd"/>
      <w:r w:rsidR="007E38A0" w:rsidRPr="009B3A5F">
        <w:t xml:space="preserve"> wield sufficient influence in the </w:t>
      </w:r>
      <w:r w:rsidR="00AB196C" w:rsidRPr="009B3A5F">
        <w:t>marketplace</w:t>
      </w:r>
      <w:r w:rsidR="007E38A0" w:rsidRPr="009B3A5F">
        <w:t xml:space="preserve"> because its members must respect its rulings or face expulsion</w:t>
      </w:r>
      <w:r w:rsidR="00EC459C" w:rsidRPr="009B3A5F">
        <w:t xml:space="preserve">. For this </w:t>
      </w:r>
      <w:r w:rsidR="00AB196C" w:rsidRPr="009B3A5F">
        <w:t>reason,</w:t>
      </w:r>
      <w:r w:rsidR="007E38A0" w:rsidRPr="009B3A5F">
        <w:t xml:space="preserve"> it would not be inaccurate to observe that its private power is akin to that of a body vested with public power.</w:t>
      </w:r>
    </w:p>
    <w:p w14:paraId="5EF6A67A" w14:textId="1ED9825F" w:rsidR="00854071" w:rsidRPr="009B3A5F" w:rsidRDefault="00557AB3" w:rsidP="00557AB3">
      <w:pPr>
        <w:spacing w:line="480" w:lineRule="auto"/>
        <w:ind w:left="720" w:hanging="720"/>
        <w:jc w:val="both"/>
      </w:pPr>
      <w:r>
        <w:t>[8]</w:t>
      </w:r>
      <w:r>
        <w:tab/>
      </w:r>
      <w:r w:rsidR="00BB67DC" w:rsidRPr="009B3A5F">
        <w:t>When a complaint is brought to the ARB, as in this case by Colgate</w:t>
      </w:r>
      <w:r w:rsidR="003D7C73" w:rsidRPr="009B3A5F">
        <w:t>,</w:t>
      </w:r>
      <w:r w:rsidR="00BB67DC" w:rsidRPr="009B3A5F">
        <w:t xml:space="preserve"> the matter is first dealt with by the Directorate. Since Bliss was a </w:t>
      </w:r>
      <w:r w:rsidR="00CD69A0" w:rsidRPr="009B3A5F">
        <w:t>non-member,</w:t>
      </w:r>
      <w:r w:rsidR="00BB67DC" w:rsidRPr="009B3A5F">
        <w:t xml:space="preserve"> the ARB has no authority over it. The Directorate </w:t>
      </w:r>
      <w:r w:rsidR="005A5AA2" w:rsidRPr="009B3A5F">
        <w:t>enquired if Bliss would consent to jurisdiction. Bliss agreed to</w:t>
      </w:r>
      <w:r w:rsidR="00CD69A0" w:rsidRPr="009B3A5F">
        <w:t>,</w:t>
      </w:r>
      <w:r w:rsidR="005A5AA2" w:rsidRPr="009B3A5F">
        <w:t xml:space="preserve"> a fact that is significant for later litigation. The Directorate dismissed the complaint</w:t>
      </w:r>
      <w:r w:rsidR="002C002A" w:rsidRPr="009B3A5F">
        <w:t xml:space="preserve">. </w:t>
      </w:r>
      <w:r w:rsidR="005A5AA2" w:rsidRPr="009B3A5F">
        <w:t>Colgate the</w:t>
      </w:r>
      <w:r w:rsidR="00CD69A0" w:rsidRPr="009B3A5F">
        <w:t>n</w:t>
      </w:r>
      <w:r w:rsidR="005A5AA2" w:rsidRPr="009B3A5F">
        <w:t xml:space="preserve"> appealed the decision to the next structure in the ARB hierarchy</w:t>
      </w:r>
      <w:r w:rsidR="00854071" w:rsidRPr="009B3A5F">
        <w:t>,</w:t>
      </w:r>
      <w:r w:rsidR="005A5AA2" w:rsidRPr="009B3A5F">
        <w:t xml:space="preserve"> the </w:t>
      </w:r>
      <w:r w:rsidR="0058766A" w:rsidRPr="009B3A5F">
        <w:t>Advertising</w:t>
      </w:r>
      <w:r w:rsidR="005A5AA2" w:rsidRPr="009B3A5F">
        <w:t xml:space="preserve"> Appeals Committee</w:t>
      </w:r>
      <w:r w:rsidR="00854071" w:rsidRPr="009B3A5F">
        <w:t xml:space="preserve"> (</w:t>
      </w:r>
      <w:r>
        <w:t>“</w:t>
      </w:r>
      <w:r w:rsidR="00854071" w:rsidRPr="009B3A5F">
        <w:t>AAC</w:t>
      </w:r>
      <w:r>
        <w:t>”</w:t>
      </w:r>
      <w:r w:rsidR="00854071" w:rsidRPr="009B3A5F">
        <w:t>)</w:t>
      </w:r>
      <w:r w:rsidR="005A5AA2" w:rsidRPr="009B3A5F">
        <w:t>.</w:t>
      </w:r>
    </w:p>
    <w:p w14:paraId="1DD1CF31" w14:textId="1AD8F48C" w:rsidR="000635F5" w:rsidRPr="009B3A5F" w:rsidRDefault="00557AB3" w:rsidP="00557AB3">
      <w:pPr>
        <w:spacing w:line="480" w:lineRule="auto"/>
        <w:ind w:left="720" w:hanging="720"/>
        <w:jc w:val="both"/>
      </w:pPr>
      <w:r>
        <w:t>[9]</w:t>
      </w:r>
      <w:r>
        <w:tab/>
      </w:r>
      <w:r w:rsidR="0013571B" w:rsidRPr="009B3A5F">
        <w:t>Four</w:t>
      </w:r>
      <w:r w:rsidR="005A5AA2" w:rsidRPr="009B3A5F">
        <w:t xml:space="preserve"> members </w:t>
      </w:r>
      <w:r w:rsidR="002C2DE1" w:rsidRPr="009B3A5F">
        <w:t xml:space="preserve">of the AAC </w:t>
      </w:r>
      <w:r w:rsidR="005A5AA2" w:rsidRPr="009B3A5F">
        <w:t>decided the matter</w:t>
      </w:r>
      <w:r w:rsidR="002C2DE1" w:rsidRPr="009B3A5F">
        <w:t>;</w:t>
      </w:r>
      <w:r w:rsidR="005A5AA2" w:rsidRPr="009B3A5F">
        <w:t xml:space="preserve"> </w:t>
      </w:r>
      <w:r w:rsidR="002C2DE1" w:rsidRPr="009B3A5F">
        <w:t>t</w:t>
      </w:r>
      <w:r w:rsidR="00C034E4" w:rsidRPr="009B3A5F">
        <w:t>hree</w:t>
      </w:r>
      <w:r w:rsidR="005A5AA2" w:rsidRPr="009B3A5F">
        <w:t xml:space="preserve"> persons from industry and </w:t>
      </w:r>
      <w:r w:rsidR="0013571B" w:rsidRPr="009B3A5F">
        <w:t xml:space="preserve">a </w:t>
      </w:r>
      <w:r w:rsidR="005A5AA2" w:rsidRPr="009B3A5F">
        <w:t xml:space="preserve">senior counsel who </w:t>
      </w:r>
      <w:r w:rsidR="00814E68" w:rsidRPr="009B3A5F">
        <w:t>served as chair</w:t>
      </w:r>
      <w:r w:rsidR="005A5AA2" w:rsidRPr="009B3A5F">
        <w:t xml:space="preserve">. </w:t>
      </w:r>
      <w:r w:rsidR="000635F5" w:rsidRPr="009B3A5F">
        <w:t xml:space="preserve">The panel wrote a single decision in which all the members concurred. The AAC </w:t>
      </w:r>
      <w:r w:rsidR="006B57CE" w:rsidRPr="009B3A5F">
        <w:t>concluded that the Bliss</w:t>
      </w:r>
      <w:r w:rsidR="004820CA" w:rsidRPr="009B3A5F">
        <w:t>’</w:t>
      </w:r>
      <w:r w:rsidR="006B57CE" w:rsidRPr="009B3A5F">
        <w:t xml:space="preserve"> </w:t>
      </w:r>
      <w:proofErr w:type="spellStart"/>
      <w:r w:rsidR="006B57CE" w:rsidRPr="009B3A5F">
        <w:t>Securex</w:t>
      </w:r>
      <w:proofErr w:type="spellEnd"/>
      <w:r w:rsidR="006B57CE" w:rsidRPr="009B3A5F">
        <w:t xml:space="preserve"> packaging </w:t>
      </w:r>
      <w:r w:rsidR="007A34B3" w:rsidRPr="009B3A5F">
        <w:t xml:space="preserve">breached clauses 8 and 9 of the Code. Bliss was ordered to withdraw the </w:t>
      </w:r>
      <w:proofErr w:type="spellStart"/>
      <w:r w:rsidR="007A34B3" w:rsidRPr="009B3A5F">
        <w:t>Securex</w:t>
      </w:r>
      <w:proofErr w:type="spellEnd"/>
      <w:r w:rsidR="007A34B3" w:rsidRPr="009B3A5F">
        <w:t xml:space="preserve"> packaging </w:t>
      </w:r>
      <w:r w:rsidR="00CE1758" w:rsidRPr="009B3A5F">
        <w:t>in accordance with the provisions of the ARB’s Procedural Guide. This</w:t>
      </w:r>
      <w:r w:rsidR="00897E87" w:rsidRPr="009B3A5F">
        <w:t xml:space="preserve"> </w:t>
      </w:r>
      <w:r w:rsidR="009346E0" w:rsidRPr="009B3A5F">
        <w:t xml:space="preserve">provision requires an advertiser to </w:t>
      </w:r>
      <w:r w:rsidR="00B42F55" w:rsidRPr="009B3A5F">
        <w:t>withdraw</w:t>
      </w:r>
      <w:r w:rsidR="009346E0" w:rsidRPr="009B3A5F">
        <w:t xml:space="preserve"> its packaging within </w:t>
      </w:r>
      <w:r w:rsidR="00CA2A3B" w:rsidRPr="009B3A5F">
        <w:t>3 months of the order</w:t>
      </w:r>
      <w:r w:rsidR="00BB4555" w:rsidRPr="009B3A5F">
        <w:t>,</w:t>
      </w:r>
      <w:r w:rsidR="00CA2A3B" w:rsidRPr="009B3A5F">
        <w:t xml:space="preserve"> save that products on the shelves may remain.</w:t>
      </w:r>
    </w:p>
    <w:p w14:paraId="192D449F" w14:textId="1F2FDD8D" w:rsidR="00BB1812" w:rsidRPr="009B3A5F" w:rsidRDefault="00557AB3" w:rsidP="00557AB3">
      <w:pPr>
        <w:spacing w:line="480" w:lineRule="auto"/>
        <w:ind w:left="720" w:hanging="720"/>
        <w:jc w:val="both"/>
      </w:pPr>
      <w:r>
        <w:lastRenderedPageBreak/>
        <w:t>[10]</w:t>
      </w:r>
      <w:r>
        <w:tab/>
      </w:r>
      <w:r w:rsidR="005A5AA2" w:rsidRPr="009B3A5F">
        <w:t>Bliss then appealed that decision to the ARB’s Final Appeal Committee (</w:t>
      </w:r>
      <w:r>
        <w:t>“</w:t>
      </w:r>
      <w:r w:rsidR="005A5AA2" w:rsidRPr="009B3A5F">
        <w:t>FAC</w:t>
      </w:r>
      <w:r>
        <w:t>”</w:t>
      </w:r>
      <w:r w:rsidR="005A5AA2" w:rsidRPr="009B3A5F">
        <w:t xml:space="preserve">). That body </w:t>
      </w:r>
      <w:r w:rsidR="00531816" w:rsidRPr="009B3A5F">
        <w:t xml:space="preserve">also </w:t>
      </w:r>
      <w:r w:rsidR="005A5AA2" w:rsidRPr="009B3A5F">
        <w:t xml:space="preserve">comprised four members. Three were industry </w:t>
      </w:r>
      <w:r w:rsidR="00854071" w:rsidRPr="009B3A5F">
        <w:t>participants</w:t>
      </w:r>
      <w:r w:rsidR="001537AF" w:rsidRPr="009B3A5F">
        <w:t>,</w:t>
      </w:r>
      <w:r w:rsidR="005A5AA2" w:rsidRPr="009B3A5F">
        <w:t xml:space="preserve"> whilst the fourth, the chair, was retired </w:t>
      </w:r>
      <w:r w:rsidR="003C7FB9" w:rsidRPr="009B3A5F">
        <w:t>J</w:t>
      </w:r>
      <w:r w:rsidR="005A5AA2" w:rsidRPr="009B3A5F">
        <w:t>udge Ngoepe. The panel split 2-2 on the issue</w:t>
      </w:r>
      <w:r w:rsidR="00004F1D" w:rsidRPr="009B3A5F">
        <w:t>.</w:t>
      </w:r>
      <w:r w:rsidR="005A5AA2" w:rsidRPr="009B3A5F">
        <w:t xml:space="preserve"> </w:t>
      </w:r>
      <w:r w:rsidR="00004F1D" w:rsidRPr="009B3A5F">
        <w:t>T</w:t>
      </w:r>
      <w:r w:rsidR="005A5AA2" w:rsidRPr="009B3A5F">
        <w:t xml:space="preserve">wo </w:t>
      </w:r>
      <w:r w:rsidR="00004F1D" w:rsidRPr="009B3A5F">
        <w:t xml:space="preserve">of the </w:t>
      </w:r>
      <w:r w:rsidR="001537AF" w:rsidRPr="009B3A5F">
        <w:t xml:space="preserve">members </w:t>
      </w:r>
      <w:r w:rsidR="005A5AA2" w:rsidRPr="009B3A5F">
        <w:t xml:space="preserve">favoured dismissing the appeal </w:t>
      </w:r>
      <w:r w:rsidR="00206658" w:rsidRPr="009B3A5F">
        <w:t>while</w:t>
      </w:r>
      <w:r w:rsidR="005A5AA2" w:rsidRPr="009B3A5F">
        <w:t xml:space="preserve"> two favoured upholding it. </w:t>
      </w:r>
      <w:r w:rsidR="00C454E6" w:rsidRPr="009B3A5F">
        <w:t>I</w:t>
      </w:r>
      <w:r w:rsidR="005A5AA2" w:rsidRPr="009B3A5F">
        <w:t xml:space="preserve">n </w:t>
      </w:r>
      <w:r w:rsidR="009C0174" w:rsidRPr="009B3A5F">
        <w:t>terms</w:t>
      </w:r>
      <w:r w:rsidR="005A5AA2" w:rsidRPr="009B3A5F">
        <w:t xml:space="preserve"> of the ARB constitution</w:t>
      </w:r>
      <w:r w:rsidR="00C454E6" w:rsidRPr="009B3A5F">
        <w:t xml:space="preserve"> the Chairperson is given a casting vote</w:t>
      </w:r>
      <w:r w:rsidR="005A5AA2" w:rsidRPr="009B3A5F">
        <w:t>. Since Ngoepe J was of the view that the appeal should be dismissed</w:t>
      </w:r>
      <w:r w:rsidR="004D1190" w:rsidRPr="009B3A5F">
        <w:t>,</w:t>
      </w:r>
      <w:r w:rsidR="005A5AA2" w:rsidRPr="009B3A5F">
        <w:t xml:space="preserve"> his </w:t>
      </w:r>
      <w:r w:rsidR="004D1190" w:rsidRPr="009B3A5F">
        <w:t>view</w:t>
      </w:r>
      <w:r w:rsidR="00206658" w:rsidRPr="009B3A5F">
        <w:t>,</w:t>
      </w:r>
      <w:r w:rsidR="004D1190" w:rsidRPr="009B3A5F">
        <w:t xml:space="preserve"> and that of his colleague Mr Mokoena</w:t>
      </w:r>
      <w:r w:rsidR="002A3066" w:rsidRPr="009B3A5F">
        <w:t>,</w:t>
      </w:r>
      <w:r w:rsidR="005A5AA2" w:rsidRPr="009B3A5F">
        <w:t xml:space="preserve"> then became the majority view of the FAC. The FAC’s order </w:t>
      </w:r>
      <w:r w:rsidR="007A35F9" w:rsidRPr="009B3A5F">
        <w:t>reiterate</w:t>
      </w:r>
      <w:r w:rsidR="0086212E" w:rsidRPr="009B3A5F">
        <w:t>d</w:t>
      </w:r>
      <w:r w:rsidR="005A5AA2" w:rsidRPr="009B3A5F">
        <w:t xml:space="preserve"> that </w:t>
      </w:r>
      <w:r w:rsidR="00BB1812" w:rsidRPr="009B3A5F">
        <w:t xml:space="preserve">Bliss Brands must stop using the </w:t>
      </w:r>
      <w:proofErr w:type="spellStart"/>
      <w:r w:rsidR="00BB1812" w:rsidRPr="009B3A5F">
        <w:t>Securex</w:t>
      </w:r>
      <w:proofErr w:type="spellEnd"/>
      <w:r w:rsidR="00BB1812" w:rsidRPr="009B3A5F">
        <w:t xml:space="preserve"> packaging</w:t>
      </w:r>
      <w:r w:rsidR="007A35F9" w:rsidRPr="009B3A5F">
        <w:t xml:space="preserve"> although the date for compliance was extended</w:t>
      </w:r>
      <w:r w:rsidR="00BB1812" w:rsidRPr="009B3A5F">
        <w:t>.</w:t>
      </w:r>
    </w:p>
    <w:p w14:paraId="6EED49B6" w14:textId="5235F07D" w:rsidR="00820D47" w:rsidRPr="009B3A5F" w:rsidRDefault="00557AB3" w:rsidP="00557AB3">
      <w:pPr>
        <w:spacing w:line="480" w:lineRule="auto"/>
        <w:ind w:left="720" w:hanging="720"/>
        <w:jc w:val="both"/>
      </w:pPr>
      <w:r>
        <w:t>[11]</w:t>
      </w:r>
      <w:r>
        <w:tab/>
      </w:r>
      <w:r w:rsidR="00A906D9" w:rsidRPr="009B3A5F">
        <w:t>Bliss then brought an urgent application to suspend the FAC decision</w:t>
      </w:r>
      <w:r w:rsidR="00FF1FE7" w:rsidRPr="009B3A5F">
        <w:t xml:space="preserve"> pending the launch of a review. This was heard by Yacoob </w:t>
      </w:r>
      <w:r w:rsidR="00FA114C" w:rsidRPr="009B3A5F">
        <w:t>J.</w:t>
      </w:r>
      <w:r w:rsidR="00820D47" w:rsidRPr="009B3A5F">
        <w:t xml:space="preserve"> Bliss argued that it was not necessary for the court to decide wheth</w:t>
      </w:r>
      <w:r w:rsidR="00542631" w:rsidRPr="009B3A5F">
        <w:t>er the review had prospects of success as that was not the basis for the application</w:t>
      </w:r>
      <w:r w:rsidR="00435128" w:rsidRPr="009B3A5F">
        <w:t>. At th</w:t>
      </w:r>
      <w:r w:rsidR="001176E3" w:rsidRPr="009B3A5F">
        <w:t>at</w:t>
      </w:r>
      <w:r w:rsidR="00435128" w:rsidRPr="009B3A5F">
        <w:t xml:space="preserve"> </w:t>
      </w:r>
      <w:r w:rsidR="002C002A" w:rsidRPr="009B3A5F">
        <w:t>stage,</w:t>
      </w:r>
      <w:r w:rsidR="00435128" w:rsidRPr="009B3A5F">
        <w:t xml:space="preserve"> the review had not yet been launched.</w:t>
      </w:r>
      <w:r w:rsidR="00500894" w:rsidRPr="009B3A5F">
        <w:t xml:space="preserve"> Nevertheless</w:t>
      </w:r>
      <w:r w:rsidR="00AD4BAB" w:rsidRPr="009B3A5F">
        <w:t>,</w:t>
      </w:r>
      <w:r w:rsidR="00500894" w:rsidRPr="009B3A5F">
        <w:t xml:space="preserve"> certain of the review grounds were indicated and they are the same as advanced before me now. </w:t>
      </w:r>
      <w:proofErr w:type="spellStart"/>
      <w:r w:rsidR="00500894" w:rsidRPr="009B3A5F">
        <w:t>Yaccob</w:t>
      </w:r>
      <w:proofErr w:type="spellEnd"/>
      <w:r w:rsidR="00500894" w:rsidRPr="009B3A5F">
        <w:t xml:space="preserve"> J did not consider that these </w:t>
      </w:r>
      <w:r w:rsidR="002D36EE" w:rsidRPr="009B3A5F">
        <w:t xml:space="preserve">grounds sufficed to </w:t>
      </w:r>
      <w:r w:rsidR="00500894" w:rsidRPr="009B3A5F">
        <w:t xml:space="preserve">establish </w:t>
      </w:r>
      <w:proofErr w:type="gramStart"/>
      <w:r w:rsidR="00500894" w:rsidRPr="009B3A5F">
        <w:t xml:space="preserve">a </w:t>
      </w:r>
      <w:r w:rsidR="00500894" w:rsidRPr="00557AB3">
        <w:rPr>
          <w:i/>
          <w:iCs/>
        </w:rPr>
        <w:t>prima facie</w:t>
      </w:r>
      <w:proofErr w:type="gramEnd"/>
      <w:r w:rsidR="00500894" w:rsidRPr="009B3A5F">
        <w:t xml:space="preserve"> right and she dismissed the application.</w:t>
      </w:r>
    </w:p>
    <w:p w14:paraId="291485B7" w14:textId="2CC753BC" w:rsidR="00371C21" w:rsidRPr="009B3A5F" w:rsidRDefault="00557AB3" w:rsidP="00557AB3">
      <w:pPr>
        <w:spacing w:line="480" w:lineRule="auto"/>
        <w:ind w:left="720" w:hanging="720"/>
        <w:jc w:val="both"/>
      </w:pPr>
      <w:r>
        <w:t>[12]</w:t>
      </w:r>
      <w:r>
        <w:tab/>
      </w:r>
      <w:r w:rsidR="00BB1812" w:rsidRPr="009B3A5F">
        <w:t xml:space="preserve">Bliss then brought </w:t>
      </w:r>
      <w:r w:rsidR="001B05C7" w:rsidRPr="009B3A5F">
        <w:t xml:space="preserve">another application </w:t>
      </w:r>
      <w:r w:rsidR="00BB1812" w:rsidRPr="009B3A5F">
        <w:t>to the High Court in Gauteng</w:t>
      </w:r>
      <w:r w:rsidR="00400993" w:rsidRPr="009B3A5F">
        <w:t xml:space="preserve"> </w:t>
      </w:r>
      <w:r w:rsidR="00137CC2" w:rsidRPr="009B3A5F">
        <w:t xml:space="preserve">for an </w:t>
      </w:r>
      <w:r w:rsidR="001F4257" w:rsidRPr="009B3A5F">
        <w:t xml:space="preserve">urgent </w:t>
      </w:r>
      <w:r w:rsidR="00400993" w:rsidRPr="009B3A5F">
        <w:t xml:space="preserve">review </w:t>
      </w:r>
      <w:r w:rsidR="001F4257" w:rsidRPr="009B3A5F">
        <w:t xml:space="preserve">of </w:t>
      </w:r>
      <w:r w:rsidR="00400993" w:rsidRPr="009B3A5F">
        <w:t xml:space="preserve">the FAC </w:t>
      </w:r>
      <w:r w:rsidR="004426C8" w:rsidRPr="009B3A5F">
        <w:t>decision.</w:t>
      </w:r>
      <w:r w:rsidR="00BB1812" w:rsidRPr="009B3A5F">
        <w:t xml:space="preserve"> The review was based on the provisions of Promotion of </w:t>
      </w:r>
      <w:r w:rsidR="007A35F9" w:rsidRPr="009B3A5F">
        <w:t>Administrative</w:t>
      </w:r>
      <w:r w:rsidR="00BB1812" w:rsidRPr="009B3A5F">
        <w:t xml:space="preserve"> Justice Act, 3 of 2000. </w:t>
      </w:r>
      <w:r w:rsidR="008547C2" w:rsidRPr="009B3A5F">
        <w:t>I</w:t>
      </w:r>
      <w:r w:rsidR="001F4257" w:rsidRPr="009B3A5F">
        <w:t>n alternative</w:t>
      </w:r>
      <w:r w:rsidR="00D42D9D" w:rsidRPr="009B3A5F">
        <w:t>,</w:t>
      </w:r>
      <w:r w:rsidR="008547C2" w:rsidRPr="009B3A5F">
        <w:t xml:space="preserve"> Bliss sought an interdict </w:t>
      </w:r>
      <w:r w:rsidR="00895F93" w:rsidRPr="009B3A5F">
        <w:t>pending the determination of the review.</w:t>
      </w:r>
      <w:r w:rsidR="001F4257" w:rsidRPr="009B3A5F">
        <w:t xml:space="preserve"> </w:t>
      </w:r>
      <w:r w:rsidR="00BB1812" w:rsidRPr="009B3A5F">
        <w:t>The matter served before Fisher J</w:t>
      </w:r>
      <w:r w:rsidR="00895F93" w:rsidRPr="009B3A5F">
        <w:t>. Fisher J decided</w:t>
      </w:r>
      <w:r w:rsidR="00A1789D" w:rsidRPr="009B3A5F">
        <w:t xml:space="preserve"> that there was not enough time to determine the review urgently. However</w:t>
      </w:r>
      <w:r w:rsidR="00A902B0" w:rsidRPr="009B3A5F">
        <w:t>,</w:t>
      </w:r>
      <w:r w:rsidR="00A1789D" w:rsidRPr="009B3A5F">
        <w:t xml:space="preserve"> she </w:t>
      </w:r>
      <w:proofErr w:type="spellStart"/>
      <w:r w:rsidR="00BB1812" w:rsidRPr="00557AB3">
        <w:rPr>
          <w:i/>
          <w:iCs/>
        </w:rPr>
        <w:t>mero</w:t>
      </w:r>
      <w:proofErr w:type="spellEnd"/>
      <w:r w:rsidR="00BB1812" w:rsidRPr="00557AB3">
        <w:rPr>
          <w:i/>
          <w:iCs/>
        </w:rPr>
        <w:t xml:space="preserve"> moto</w:t>
      </w:r>
      <w:r w:rsidR="00BB1812" w:rsidRPr="009B3A5F">
        <w:t xml:space="preserve"> raised a constitutional issue with the parties. Bliss pursuant to this and with the agreement of the other </w:t>
      </w:r>
      <w:r w:rsidR="004426C8" w:rsidRPr="009B3A5F">
        <w:t>two</w:t>
      </w:r>
      <w:r w:rsidR="00BB1812" w:rsidRPr="009B3A5F">
        <w:t xml:space="preserve"> </w:t>
      </w:r>
      <w:r w:rsidR="00BB1812" w:rsidRPr="009B3A5F">
        <w:lastRenderedPageBreak/>
        <w:t xml:space="preserve">respondents </w:t>
      </w:r>
      <w:r w:rsidR="000B0FE8" w:rsidRPr="009B3A5F">
        <w:t>(then</w:t>
      </w:r>
      <w:r w:rsidR="00BB1812" w:rsidRPr="009B3A5F">
        <w:t xml:space="preserve"> </w:t>
      </w:r>
      <w:r w:rsidR="000B0FE8" w:rsidRPr="009B3A5F">
        <w:t>both</w:t>
      </w:r>
      <w:r w:rsidR="00BB1812" w:rsidRPr="009B3A5F">
        <w:t xml:space="preserve"> the ARB and Colgate) amended its notice of </w:t>
      </w:r>
      <w:r w:rsidR="00371C21" w:rsidRPr="009B3A5F">
        <w:t>motion</w:t>
      </w:r>
      <w:r w:rsidR="00BB1812" w:rsidRPr="009B3A5F">
        <w:t xml:space="preserve"> and founding papers to reflect the constitutional issues. </w:t>
      </w:r>
      <w:r w:rsidR="002566B0" w:rsidRPr="009B3A5F">
        <w:t>In the meantime</w:t>
      </w:r>
      <w:r w:rsidR="00D42D9D" w:rsidRPr="009B3A5F">
        <w:t>,</w:t>
      </w:r>
      <w:r w:rsidR="002566B0" w:rsidRPr="009B3A5F">
        <w:t xml:space="preserve"> Fisher J interdicted the </w:t>
      </w:r>
      <w:r w:rsidR="00EE5A1B" w:rsidRPr="009B3A5F">
        <w:t xml:space="preserve">ARB from </w:t>
      </w:r>
      <w:r w:rsidR="002566B0" w:rsidRPr="009B3A5F">
        <w:t>implement</w:t>
      </w:r>
      <w:r w:rsidR="00EE5A1B" w:rsidRPr="009B3A5F">
        <w:t>ing</w:t>
      </w:r>
      <w:r w:rsidR="002566B0" w:rsidRPr="009B3A5F">
        <w:t xml:space="preserve"> the FAC order. I return to the consequences of this later in this decision.</w:t>
      </w:r>
    </w:p>
    <w:p w14:paraId="2A3C0D48" w14:textId="03BC7140" w:rsidR="00BB67DC" w:rsidRPr="009B3A5F" w:rsidRDefault="00557AB3" w:rsidP="00557AB3">
      <w:pPr>
        <w:spacing w:line="480" w:lineRule="auto"/>
        <w:ind w:left="720" w:hanging="720"/>
        <w:jc w:val="both"/>
      </w:pPr>
      <w:r>
        <w:t>[13]</w:t>
      </w:r>
      <w:r>
        <w:tab/>
      </w:r>
      <w:r w:rsidR="003F1229" w:rsidRPr="009B3A5F">
        <w:t xml:space="preserve">The parties then amended their papers to deal with the constitutional issues Fisher J had identified and the parties appeared before her again. In terms of its now amended </w:t>
      </w:r>
      <w:r w:rsidR="0070634E" w:rsidRPr="009B3A5F">
        <w:t>N</w:t>
      </w:r>
      <w:r w:rsidR="003F1229" w:rsidRPr="009B3A5F">
        <w:t xml:space="preserve">otice of Motion Bliss now </w:t>
      </w:r>
      <w:r w:rsidR="00BB1812" w:rsidRPr="009B3A5F">
        <w:t xml:space="preserve">sought </w:t>
      </w:r>
      <w:r w:rsidR="00CB409E" w:rsidRPr="009B3A5F">
        <w:t xml:space="preserve">in addition to its review relief, </w:t>
      </w:r>
      <w:r w:rsidR="00BB1812" w:rsidRPr="009B3A5F">
        <w:t xml:space="preserve">an order declaring the ARB’s MOI </w:t>
      </w:r>
      <w:r w:rsidR="00A7681C" w:rsidRPr="009B3A5F">
        <w:t>unconstitutional,</w:t>
      </w:r>
      <w:r w:rsidR="00BB1812" w:rsidRPr="009B3A5F">
        <w:t xml:space="preserve"> alternatively its exercise of </w:t>
      </w:r>
      <w:r w:rsidR="00371C21" w:rsidRPr="009B3A5F">
        <w:t>jurisdiction</w:t>
      </w:r>
      <w:r w:rsidR="00BB1812" w:rsidRPr="009B3A5F">
        <w:t xml:space="preserve"> over non-members unconstitutional. Fisher J upheld them</w:t>
      </w:r>
      <w:r w:rsidR="00FD29E0" w:rsidRPr="009B3A5F">
        <w:t xml:space="preserve">. </w:t>
      </w:r>
      <w:r w:rsidR="005F75EE" w:rsidRPr="009B3A5F">
        <w:t xml:space="preserve">The ARB and </w:t>
      </w:r>
      <w:r w:rsidR="00BB1812" w:rsidRPr="009B3A5F">
        <w:t xml:space="preserve">Colgate then appealed to the SCA which overturned the order of Fisher J. </w:t>
      </w:r>
      <w:r w:rsidR="005F75EE" w:rsidRPr="009B3A5F">
        <w:t xml:space="preserve">The SCA decided the </w:t>
      </w:r>
      <w:r w:rsidR="00877FD3" w:rsidRPr="009B3A5F">
        <w:t>constitutional</w:t>
      </w:r>
      <w:r w:rsidR="005F75EE" w:rsidRPr="009B3A5F">
        <w:t xml:space="preserve"> issues in favour of the ARB and Colgate. It also</w:t>
      </w:r>
      <w:r w:rsidR="00DE4844" w:rsidRPr="009B3A5F">
        <w:t>,</w:t>
      </w:r>
      <w:r w:rsidR="005F75EE" w:rsidRPr="009B3A5F">
        <w:t xml:space="preserve"> at behest of the ARB which was concerned with its ongoing vulnerability of constitutional challenges</w:t>
      </w:r>
      <w:r w:rsidR="00DE4844" w:rsidRPr="009B3A5F">
        <w:t>,</w:t>
      </w:r>
      <w:r w:rsidR="005F75EE" w:rsidRPr="009B3A5F">
        <w:t xml:space="preserve"> decided</w:t>
      </w:r>
      <w:r w:rsidR="00FD7C05" w:rsidRPr="009B3A5F">
        <w:t xml:space="preserve"> further</w:t>
      </w:r>
      <w:r w:rsidR="005F75EE" w:rsidRPr="009B3A5F">
        <w:t xml:space="preserve"> constitutional issues</w:t>
      </w:r>
      <w:r w:rsidR="00FD7C05" w:rsidRPr="009B3A5F">
        <w:t xml:space="preserve"> than had been raised before the High Court. But this was not the end of the matter. </w:t>
      </w:r>
      <w:r w:rsidR="00BB1812" w:rsidRPr="009B3A5F">
        <w:t xml:space="preserve">Bliss then </w:t>
      </w:r>
      <w:r w:rsidR="001053C5" w:rsidRPr="009B3A5F">
        <w:t xml:space="preserve">sought leave to appeal </w:t>
      </w:r>
      <w:r w:rsidR="00BB1812" w:rsidRPr="009B3A5F">
        <w:t xml:space="preserve">to the </w:t>
      </w:r>
      <w:r w:rsidR="00877FD3" w:rsidRPr="009B3A5F">
        <w:t>Constitutional</w:t>
      </w:r>
      <w:r w:rsidR="00BB1812" w:rsidRPr="009B3A5F">
        <w:t xml:space="preserve"> Court. </w:t>
      </w:r>
      <w:r w:rsidR="00FD29E0" w:rsidRPr="009B3A5F">
        <w:t>Whilst</w:t>
      </w:r>
      <w:r w:rsidR="00BB1812" w:rsidRPr="009B3A5F">
        <w:t xml:space="preserve"> the </w:t>
      </w:r>
      <w:r w:rsidR="00FD29E0" w:rsidRPr="009B3A5F">
        <w:t>Constitutional</w:t>
      </w:r>
      <w:r w:rsidR="00BB1812" w:rsidRPr="009B3A5F">
        <w:t xml:space="preserve"> court decided the matter more narrowly than did the SCA </w:t>
      </w:r>
      <w:r w:rsidR="00134A88" w:rsidRPr="009B3A5F">
        <w:t>it refused</w:t>
      </w:r>
      <w:r w:rsidR="00F0495A" w:rsidRPr="009B3A5F">
        <w:t xml:space="preserve"> leave to appeal holding that:</w:t>
      </w:r>
      <w:r>
        <w:t xml:space="preserve"> </w:t>
      </w:r>
      <w:r w:rsidR="00F0495A" w:rsidRPr="009B3A5F">
        <w:br/>
      </w:r>
      <w:r w:rsidR="00F0495A" w:rsidRPr="00557AB3">
        <w:rPr>
          <w:i/>
        </w:rPr>
        <w:t>“To conclude because Bliss Brands consented to the jurisdiction of the ARB, it is not in the interests of justice to entertain any other issue in the matter”</w:t>
      </w:r>
      <w:r w:rsidR="005A5AA2" w:rsidRPr="009B3A5F">
        <w:t xml:space="preserve"> </w:t>
      </w:r>
      <w:r w:rsidR="00F0495A" w:rsidRPr="009B3A5F">
        <w:rPr>
          <w:rStyle w:val="FootnoteReference"/>
        </w:rPr>
        <w:footnoteReference w:id="6"/>
      </w:r>
    </w:p>
    <w:p w14:paraId="16374DC6" w14:textId="3D66AFA6" w:rsidR="00F0495A" w:rsidRPr="009B3A5F" w:rsidRDefault="00557AB3" w:rsidP="00557AB3">
      <w:pPr>
        <w:spacing w:line="480" w:lineRule="auto"/>
        <w:ind w:left="720" w:hanging="720"/>
        <w:jc w:val="both"/>
      </w:pPr>
      <w:r>
        <w:t>[14]</w:t>
      </w:r>
      <w:r>
        <w:tab/>
      </w:r>
      <w:r w:rsidR="00F0495A" w:rsidRPr="009B3A5F">
        <w:t xml:space="preserve">The order of the SCA was left undisturbed. In its order the SCA replaced </w:t>
      </w:r>
      <w:r w:rsidR="003057F1" w:rsidRPr="009B3A5F">
        <w:t>the order of Fisher J and remitted the matter back to this court which has been allocated to me to hear</w:t>
      </w:r>
      <w:r w:rsidR="005F75EE" w:rsidRPr="009B3A5F">
        <w:t>.</w:t>
      </w:r>
      <w:r w:rsidR="003057F1" w:rsidRPr="009B3A5F">
        <w:t xml:space="preserve"> This relief</w:t>
      </w:r>
      <w:r w:rsidR="005F75EE" w:rsidRPr="009B3A5F">
        <w:t xml:space="preserve"> as per the SCA order,</w:t>
      </w:r>
      <w:r w:rsidR="003057F1" w:rsidRPr="009B3A5F">
        <w:t xml:space="preserve"> is now confined to </w:t>
      </w:r>
      <w:r w:rsidR="003057F1" w:rsidRPr="009B3A5F">
        <w:lastRenderedPageBreak/>
        <w:t xml:space="preserve">paragraphs 2, 3 and 7 of the amended </w:t>
      </w:r>
      <w:r w:rsidR="00AD143E" w:rsidRPr="009B3A5F">
        <w:t>N</w:t>
      </w:r>
      <w:r w:rsidR="003057F1" w:rsidRPr="009B3A5F">
        <w:t xml:space="preserve">otice of </w:t>
      </w:r>
      <w:r w:rsidR="00AD143E" w:rsidRPr="009B3A5F">
        <w:t>M</w:t>
      </w:r>
      <w:r w:rsidR="003057F1" w:rsidRPr="009B3A5F">
        <w:t>otion</w:t>
      </w:r>
      <w:r w:rsidR="005F75EE" w:rsidRPr="009B3A5F">
        <w:t xml:space="preserve"> that served before </w:t>
      </w:r>
      <w:proofErr w:type="spellStart"/>
      <w:r w:rsidR="005F75EE" w:rsidRPr="009B3A5F">
        <w:t>FisherJ</w:t>
      </w:r>
      <w:proofErr w:type="spellEnd"/>
      <w:r w:rsidR="003057F1" w:rsidRPr="009B3A5F">
        <w:t xml:space="preserve">. </w:t>
      </w:r>
      <w:r w:rsidR="005F75EE" w:rsidRPr="009B3A5F">
        <w:rPr>
          <w:rStyle w:val="FootnoteReference"/>
        </w:rPr>
        <w:footnoteReference w:id="7"/>
      </w:r>
    </w:p>
    <w:p w14:paraId="0799EAE5" w14:textId="51228836" w:rsidR="003057F1" w:rsidRPr="009B3A5F" w:rsidRDefault="00557AB3" w:rsidP="00557AB3">
      <w:pPr>
        <w:spacing w:line="480" w:lineRule="auto"/>
        <w:jc w:val="both"/>
      </w:pPr>
      <w:r>
        <w:t>[15]</w:t>
      </w:r>
      <w:r>
        <w:tab/>
      </w:r>
      <w:r w:rsidR="003057F1" w:rsidRPr="009B3A5F">
        <w:t>These are:</w:t>
      </w:r>
    </w:p>
    <w:p w14:paraId="0E1E614C" w14:textId="72F493A6" w:rsidR="003057F1" w:rsidRPr="009B3A5F" w:rsidRDefault="003057F1" w:rsidP="00557AB3">
      <w:pPr>
        <w:pStyle w:val="ListParagraph"/>
        <w:spacing w:line="480" w:lineRule="auto"/>
        <w:ind w:left="1440"/>
        <w:jc w:val="both"/>
        <w:rPr>
          <w:i/>
        </w:rPr>
      </w:pPr>
      <w:r w:rsidRPr="009B3A5F">
        <w:rPr>
          <w:i/>
        </w:rPr>
        <w:t>2.Declaring that the rulings of the Final Appeals Committee ('FAC') of the first respondent, dated 3 August 2020 ('the FAC Ruling') and 17 August 2020 (titled 'Clarification of the Cost Orders') ('the Costs Decision', respectively, (collectively 'the Rulings') are unlawful and are set aside.</w:t>
      </w:r>
    </w:p>
    <w:p w14:paraId="2BD13813" w14:textId="5B9CE195" w:rsidR="005F75EE" w:rsidRPr="009B3A5F" w:rsidRDefault="005F75EE" w:rsidP="00557AB3">
      <w:pPr>
        <w:pStyle w:val="ListParagraph"/>
        <w:spacing w:line="480" w:lineRule="auto"/>
        <w:ind w:left="1440"/>
        <w:jc w:val="both"/>
        <w:rPr>
          <w:i/>
        </w:rPr>
      </w:pPr>
      <w:r w:rsidRPr="009B3A5F">
        <w:rPr>
          <w:i/>
        </w:rPr>
        <w:t>3</w:t>
      </w:r>
      <w:r w:rsidRPr="009B3A5F">
        <w:rPr>
          <w:b/>
          <w:i/>
        </w:rPr>
        <w:t>. (This deals with a costs issue that the parties have agreed to resolve among themselves and I need not decide.)</w:t>
      </w:r>
    </w:p>
    <w:p w14:paraId="51D61865" w14:textId="77777777" w:rsidR="003057F1" w:rsidRPr="009B3A5F" w:rsidRDefault="003057F1" w:rsidP="00557AB3">
      <w:pPr>
        <w:pStyle w:val="ListParagraph"/>
        <w:spacing w:line="480" w:lineRule="auto"/>
        <w:ind w:left="1080" w:firstLine="360"/>
        <w:jc w:val="both"/>
        <w:rPr>
          <w:i/>
        </w:rPr>
      </w:pPr>
      <w:r w:rsidRPr="009B3A5F">
        <w:rPr>
          <w:i/>
        </w:rPr>
        <w:t>7.</w:t>
      </w:r>
      <w:r w:rsidRPr="009B3A5F">
        <w:t xml:space="preserve"> </w:t>
      </w:r>
      <w:r w:rsidRPr="009B3A5F">
        <w:rPr>
          <w:i/>
        </w:rPr>
        <w:t xml:space="preserve">Substituting the FAC Ruling and the Costs Decision with the following: </w:t>
      </w:r>
    </w:p>
    <w:p w14:paraId="54B29502" w14:textId="77777777" w:rsidR="003057F1" w:rsidRPr="009B3A5F" w:rsidRDefault="003057F1" w:rsidP="00557AB3">
      <w:pPr>
        <w:pStyle w:val="ListParagraph"/>
        <w:spacing w:line="480" w:lineRule="auto"/>
        <w:ind w:left="1800"/>
        <w:jc w:val="both"/>
        <w:rPr>
          <w:i/>
        </w:rPr>
      </w:pPr>
      <w:r w:rsidRPr="009B3A5F">
        <w:rPr>
          <w:i/>
        </w:rPr>
        <w:t xml:space="preserve">7.1.1. Declaring that the SECUREX packaging does not breach clauses 8 or 9 of Section II of the Code of Advertising Practice of the first </w:t>
      </w:r>
      <w:proofErr w:type="gramStart"/>
      <w:r w:rsidRPr="009B3A5F">
        <w:rPr>
          <w:i/>
        </w:rPr>
        <w:t>respondent;</w:t>
      </w:r>
      <w:proofErr w:type="gramEnd"/>
      <w:r w:rsidRPr="009B3A5F">
        <w:rPr>
          <w:i/>
        </w:rPr>
        <w:t xml:space="preserve"> </w:t>
      </w:r>
    </w:p>
    <w:p w14:paraId="67520580" w14:textId="77777777" w:rsidR="003057F1" w:rsidRPr="009B3A5F" w:rsidRDefault="003057F1" w:rsidP="00557AB3">
      <w:pPr>
        <w:pStyle w:val="ListParagraph"/>
        <w:spacing w:line="480" w:lineRule="auto"/>
        <w:ind w:left="1080" w:firstLine="720"/>
        <w:jc w:val="both"/>
        <w:rPr>
          <w:i/>
        </w:rPr>
      </w:pPr>
      <w:r w:rsidRPr="009B3A5F">
        <w:rPr>
          <w:i/>
        </w:rPr>
        <w:t xml:space="preserve">7.1.2. Declaring that the applicant's appeal to the FAC </w:t>
      </w:r>
      <w:proofErr w:type="gramStart"/>
      <w:r w:rsidRPr="009B3A5F">
        <w:rPr>
          <w:i/>
        </w:rPr>
        <w:t>succeeds;</w:t>
      </w:r>
      <w:proofErr w:type="gramEnd"/>
      <w:r w:rsidRPr="009B3A5F">
        <w:rPr>
          <w:i/>
        </w:rPr>
        <w:t xml:space="preserve"> </w:t>
      </w:r>
    </w:p>
    <w:p w14:paraId="1FF5256B" w14:textId="77777777" w:rsidR="003057F1" w:rsidRPr="009B3A5F" w:rsidRDefault="003057F1" w:rsidP="00557AB3">
      <w:pPr>
        <w:pStyle w:val="ListParagraph"/>
        <w:spacing w:line="480" w:lineRule="auto"/>
        <w:ind w:left="1800"/>
        <w:jc w:val="both"/>
        <w:rPr>
          <w:i/>
        </w:rPr>
      </w:pPr>
      <w:r w:rsidRPr="009B3A5F">
        <w:rPr>
          <w:i/>
        </w:rPr>
        <w:t xml:space="preserve">7.1.3. Directing that the first respondent is to pay to the applicant the sums of money lodged by the parties with the first respondent to cover the costs of the appeal, in terms of clause 12.6 of the Procedural </w:t>
      </w:r>
      <w:proofErr w:type="gramStart"/>
      <w:r w:rsidRPr="009B3A5F">
        <w:rPr>
          <w:i/>
        </w:rPr>
        <w:t>Guide;</w:t>
      </w:r>
      <w:proofErr w:type="gramEnd"/>
      <w:r w:rsidRPr="009B3A5F">
        <w:rPr>
          <w:i/>
        </w:rPr>
        <w:t xml:space="preserve"> </w:t>
      </w:r>
    </w:p>
    <w:p w14:paraId="6709C354" w14:textId="5E854BEB" w:rsidR="003057F1" w:rsidRPr="00726735" w:rsidRDefault="003057F1" w:rsidP="00726735">
      <w:pPr>
        <w:spacing w:line="480" w:lineRule="auto"/>
        <w:ind w:left="1800"/>
        <w:jc w:val="both"/>
        <w:rPr>
          <w:i/>
        </w:rPr>
      </w:pPr>
      <w:r w:rsidRPr="00726735">
        <w:rPr>
          <w:i/>
        </w:rPr>
        <w:t>7.1.4. Declaring that the Ruling of the Advertising Appeal Committee ("AAC") of the first respondent, dated 27 April 2020, ("the AAC Ruling</w:t>
      </w:r>
      <w:r w:rsidR="00134A88" w:rsidRPr="00726735">
        <w:rPr>
          <w:i/>
        </w:rPr>
        <w:t>”)</w:t>
      </w:r>
      <w:r w:rsidRPr="00726735">
        <w:rPr>
          <w:i/>
        </w:rPr>
        <w:t xml:space="preserve"> is substituted with the following: </w:t>
      </w:r>
    </w:p>
    <w:p w14:paraId="57E602B0" w14:textId="77777777" w:rsidR="003057F1" w:rsidRPr="009B3A5F" w:rsidRDefault="003057F1" w:rsidP="00726735">
      <w:pPr>
        <w:pStyle w:val="ListParagraph"/>
        <w:spacing w:line="480" w:lineRule="auto"/>
        <w:ind w:left="1440" w:firstLine="720"/>
        <w:jc w:val="both"/>
        <w:rPr>
          <w:i/>
        </w:rPr>
      </w:pPr>
      <w:r w:rsidRPr="009B3A5F">
        <w:rPr>
          <w:i/>
        </w:rPr>
        <w:t xml:space="preserve">7.1.4.1. The appeal is </w:t>
      </w:r>
      <w:proofErr w:type="gramStart"/>
      <w:r w:rsidRPr="009B3A5F">
        <w:rPr>
          <w:i/>
        </w:rPr>
        <w:t>dismissed;</w:t>
      </w:r>
      <w:proofErr w:type="gramEnd"/>
    </w:p>
    <w:p w14:paraId="1D9B57D4" w14:textId="5E7C8D3A" w:rsidR="003057F1" w:rsidRPr="009B3A5F" w:rsidRDefault="003057F1" w:rsidP="00726735">
      <w:pPr>
        <w:pStyle w:val="ListParagraph"/>
        <w:spacing w:line="480" w:lineRule="auto"/>
        <w:ind w:left="2160"/>
        <w:jc w:val="both"/>
        <w:rPr>
          <w:i/>
        </w:rPr>
      </w:pPr>
      <w:r w:rsidRPr="009B3A5F">
        <w:rPr>
          <w:i/>
        </w:rPr>
        <w:lastRenderedPageBreak/>
        <w:t xml:space="preserve">7.1.4.2. The first respondent is to pay to the applicant the sums of money lodged by the parties with the first respondent to cover the costs of the appeal, in terms of clause 9.2 of the Procedural Guide. </w:t>
      </w:r>
    </w:p>
    <w:p w14:paraId="55CEA2C0" w14:textId="29011295" w:rsidR="003057F1" w:rsidRPr="009B3A5F" w:rsidRDefault="003057F1" w:rsidP="00726735">
      <w:pPr>
        <w:pStyle w:val="ListParagraph"/>
        <w:spacing w:line="480" w:lineRule="auto"/>
        <w:ind w:left="1440"/>
        <w:jc w:val="both"/>
        <w:rPr>
          <w:i/>
        </w:rPr>
      </w:pPr>
      <w:r w:rsidRPr="009B3A5F">
        <w:rPr>
          <w:i/>
        </w:rPr>
        <w:t xml:space="preserve">7.2. </w:t>
      </w:r>
      <w:r w:rsidR="00134A88" w:rsidRPr="009B3A5F">
        <w:rPr>
          <w:i/>
        </w:rPr>
        <w:t>Alternatively,</w:t>
      </w:r>
      <w:r w:rsidRPr="009B3A5F">
        <w:rPr>
          <w:i/>
        </w:rPr>
        <w:t xml:space="preserve"> to prayer 7.1, referring the matter back to the FAC for a re- hearing, and suspending the AAC Ruling, pending the outcome of that hearing.</w:t>
      </w:r>
    </w:p>
    <w:p w14:paraId="4EE747FD" w14:textId="124F80F3" w:rsidR="00834BCE" w:rsidRPr="00557AB3" w:rsidRDefault="00557AB3" w:rsidP="00557AB3">
      <w:pPr>
        <w:spacing w:line="480" w:lineRule="auto"/>
        <w:ind w:left="720" w:hanging="720"/>
        <w:jc w:val="both"/>
        <w:rPr>
          <w:i/>
        </w:rPr>
      </w:pPr>
      <w:r>
        <w:t>[16]</w:t>
      </w:r>
      <w:r>
        <w:tab/>
      </w:r>
      <w:r w:rsidR="00B54659" w:rsidRPr="009B3A5F">
        <w:t xml:space="preserve">At my first case management meeting with the </w:t>
      </w:r>
      <w:r w:rsidR="00047783" w:rsidRPr="009B3A5F">
        <w:t>parties,</w:t>
      </w:r>
      <w:r w:rsidR="00B54659" w:rsidRPr="009B3A5F">
        <w:t xml:space="preserve"> I requested they set out concisely the issues that I needed to determine</w:t>
      </w:r>
      <w:r w:rsidR="004F07F7" w:rsidRPr="009B3A5F">
        <w:t xml:space="preserve"> given the lengthy litigation that had ensued</w:t>
      </w:r>
      <w:r w:rsidR="00B54659" w:rsidRPr="009B3A5F">
        <w:t>. In a joint practice note they have usefully done so.</w:t>
      </w:r>
      <w:r w:rsidR="009862EB" w:rsidRPr="009B3A5F">
        <w:t xml:space="preserve"> </w:t>
      </w:r>
      <w:r w:rsidR="009A2AC1" w:rsidRPr="009B3A5F">
        <w:t>However,</w:t>
      </w:r>
      <w:r w:rsidR="009862EB" w:rsidRPr="009B3A5F">
        <w:t xml:space="preserve"> that effort became unstuck soon. Prior to the hearing of the matter Bliss gave notice that it would add a rationality point to it</w:t>
      </w:r>
      <w:r w:rsidR="00C26CDE" w:rsidRPr="009B3A5F">
        <w:t xml:space="preserve">s other </w:t>
      </w:r>
      <w:r w:rsidR="009862EB" w:rsidRPr="009B3A5F">
        <w:t xml:space="preserve">review points. This </w:t>
      </w:r>
      <w:r w:rsidR="00C26CDE" w:rsidRPr="009B3A5F">
        <w:t xml:space="preserve">was done a few </w:t>
      </w:r>
      <w:r w:rsidR="009862EB" w:rsidRPr="009B3A5F">
        <w:t>day</w:t>
      </w:r>
      <w:r w:rsidR="00C26CDE" w:rsidRPr="009B3A5F">
        <w:t>s</w:t>
      </w:r>
      <w:r w:rsidR="009862EB" w:rsidRPr="009B3A5F">
        <w:t xml:space="preserve"> before the hearing to </w:t>
      </w:r>
      <w:r w:rsidR="001953B5" w:rsidRPr="009B3A5F">
        <w:t>Colgate’s</w:t>
      </w:r>
      <w:r w:rsidR="009862EB" w:rsidRPr="009B3A5F">
        <w:t xml:space="preserve">’ umbrage. </w:t>
      </w:r>
      <w:r w:rsidR="001953B5" w:rsidRPr="009B3A5F">
        <w:t>Nevertheless</w:t>
      </w:r>
      <w:r w:rsidR="00973E50" w:rsidRPr="009B3A5F">
        <w:t>,</w:t>
      </w:r>
      <w:r w:rsidR="001953B5" w:rsidRPr="009B3A5F">
        <w:t xml:space="preserve"> </w:t>
      </w:r>
      <w:r w:rsidR="009862EB" w:rsidRPr="009B3A5F">
        <w:t xml:space="preserve">Colgate replied in the </w:t>
      </w:r>
      <w:r w:rsidR="00461080" w:rsidRPr="009B3A5F">
        <w:t>brief time</w:t>
      </w:r>
      <w:r w:rsidR="009862EB" w:rsidRPr="009B3A5F">
        <w:t xml:space="preserve"> it had to the new argument</w:t>
      </w:r>
      <w:r w:rsidR="00973E50" w:rsidRPr="009B3A5F">
        <w:t>,</w:t>
      </w:r>
      <w:r w:rsidR="00834BCE" w:rsidRPr="009B3A5F">
        <w:t xml:space="preserve"> so I do not consider that it has been prejudiced by this. This is because the reliance on rationality is based on the same facts as in the other review points.</w:t>
      </w:r>
    </w:p>
    <w:p w14:paraId="768811CC" w14:textId="0F6C8FEB" w:rsidR="00B54659" w:rsidRPr="00726735" w:rsidRDefault="00726735" w:rsidP="00726735">
      <w:pPr>
        <w:spacing w:line="480" w:lineRule="auto"/>
        <w:ind w:left="720" w:hanging="720"/>
        <w:jc w:val="both"/>
        <w:rPr>
          <w:i/>
        </w:rPr>
      </w:pPr>
      <w:r>
        <w:t>[17]</w:t>
      </w:r>
      <w:r>
        <w:tab/>
      </w:r>
      <w:r w:rsidR="00834BCE" w:rsidRPr="009B3A5F">
        <w:t xml:space="preserve">Colgate also in the same note brought to the fore a point that was not included in the joint practice note. I accept that this point was raised in </w:t>
      </w:r>
      <w:r w:rsidR="008C0B2A" w:rsidRPr="009B3A5F">
        <w:t>Colgate</w:t>
      </w:r>
      <w:r w:rsidR="00806563" w:rsidRPr="009B3A5F">
        <w:t>’s</w:t>
      </w:r>
      <w:r w:rsidR="00834BCE" w:rsidRPr="009B3A5F">
        <w:t xml:space="preserve"> answering affidavit but somehow it fell on to the cutting floor when the practice note was drawn up. </w:t>
      </w:r>
      <w:r w:rsidR="00FF67DC" w:rsidRPr="009B3A5F">
        <w:t>Nevertheless,</w:t>
      </w:r>
      <w:r w:rsidR="00834BCE" w:rsidRPr="009B3A5F">
        <w:t xml:space="preserve"> given its nature let me deal with </w:t>
      </w:r>
      <w:r w:rsidR="00DE58D3" w:rsidRPr="009B3A5F">
        <w:t>this point</w:t>
      </w:r>
      <w:r w:rsidR="00834BCE" w:rsidRPr="009B3A5F">
        <w:t xml:space="preserve"> first</w:t>
      </w:r>
      <w:r w:rsidR="001B39AA" w:rsidRPr="009B3A5F">
        <w:t xml:space="preserve">. </w:t>
      </w:r>
    </w:p>
    <w:p w14:paraId="62E24CDF" w14:textId="077579DD" w:rsidR="00834BCE" w:rsidRPr="00726735" w:rsidRDefault="00726735" w:rsidP="00726735">
      <w:pPr>
        <w:spacing w:line="480" w:lineRule="auto"/>
        <w:ind w:left="720" w:hanging="720"/>
        <w:jc w:val="both"/>
        <w:rPr>
          <w:i/>
        </w:rPr>
      </w:pPr>
      <w:r>
        <w:t>[18]</w:t>
      </w:r>
      <w:r>
        <w:tab/>
      </w:r>
      <w:r w:rsidR="000A1A1A" w:rsidRPr="009B3A5F">
        <w:t xml:space="preserve">Bliss as can be seen from its Notice of Motion </w:t>
      </w:r>
      <w:r w:rsidR="00834BCE" w:rsidRPr="009B3A5F">
        <w:t>seeks to set aside the FAC ruling</w:t>
      </w:r>
      <w:r w:rsidR="00A7261F" w:rsidRPr="009B3A5F">
        <w:t>,</w:t>
      </w:r>
      <w:r w:rsidR="00834BCE" w:rsidRPr="009B3A5F">
        <w:t xml:space="preserve"> bu</w:t>
      </w:r>
      <w:r w:rsidR="006360F2" w:rsidRPr="009B3A5F">
        <w:t xml:space="preserve">t not the AAC ruling. Colgate argues that this is a fatal flaw. The finding </w:t>
      </w:r>
      <w:r w:rsidR="00261325" w:rsidRPr="009B3A5F">
        <w:t>of</w:t>
      </w:r>
      <w:r w:rsidR="006360F2" w:rsidRPr="009B3A5F">
        <w:t xml:space="preserve"> the </w:t>
      </w:r>
      <w:r w:rsidR="006360F2" w:rsidRPr="009B3A5F">
        <w:lastRenderedPageBreak/>
        <w:t xml:space="preserve">AAC ruling is consistent with that of the FAC. </w:t>
      </w:r>
      <w:r w:rsidR="00FF67DC" w:rsidRPr="009B3A5F">
        <w:t>Therefore,</w:t>
      </w:r>
      <w:r w:rsidR="00A045B7" w:rsidRPr="009B3A5F">
        <w:t xml:space="preserve"> argues Colgate even if the FAC ruling is set aside this ruling would still hold. </w:t>
      </w:r>
    </w:p>
    <w:p w14:paraId="7D0CE316" w14:textId="5A13885E" w:rsidR="009F6A85" w:rsidRPr="00726735" w:rsidRDefault="00726735" w:rsidP="00726735">
      <w:pPr>
        <w:spacing w:line="480" w:lineRule="auto"/>
        <w:ind w:left="720" w:hanging="720"/>
        <w:jc w:val="both"/>
        <w:rPr>
          <w:i/>
        </w:rPr>
      </w:pPr>
      <w:r>
        <w:t>[19]</w:t>
      </w:r>
      <w:r>
        <w:tab/>
      </w:r>
      <w:r w:rsidR="00A045B7" w:rsidRPr="009B3A5F">
        <w:t xml:space="preserve">There are two cases on this point leading to opposite outcomes. In </w:t>
      </w:r>
      <w:r w:rsidR="00A045B7" w:rsidRPr="00726735">
        <w:rPr>
          <w:i/>
        </w:rPr>
        <w:t xml:space="preserve">Black Eagle Project </w:t>
      </w:r>
      <w:proofErr w:type="spellStart"/>
      <w:r w:rsidR="00A045B7" w:rsidRPr="00726735">
        <w:rPr>
          <w:i/>
        </w:rPr>
        <w:t>Roodekrans</w:t>
      </w:r>
      <w:proofErr w:type="spellEnd"/>
      <w:r w:rsidR="00A045B7" w:rsidRPr="00726735">
        <w:rPr>
          <w:i/>
        </w:rPr>
        <w:t xml:space="preserve"> v MEC</w:t>
      </w:r>
      <w:r w:rsidR="00F47741" w:rsidRPr="00726735">
        <w:rPr>
          <w:i/>
        </w:rPr>
        <w:t xml:space="preserve"> of </w:t>
      </w:r>
      <w:r w:rsidR="00134A88" w:rsidRPr="00726735">
        <w:rPr>
          <w:i/>
        </w:rPr>
        <w:t>the Department</w:t>
      </w:r>
      <w:r w:rsidR="00A045B7" w:rsidRPr="00726735">
        <w:rPr>
          <w:i/>
        </w:rPr>
        <w:t xml:space="preserve"> of Agriculture, Conservation and Environment, Gauteng Provincial </w:t>
      </w:r>
      <w:r w:rsidR="002C002A" w:rsidRPr="00726735">
        <w:rPr>
          <w:i/>
        </w:rPr>
        <w:t>Government,</w:t>
      </w:r>
      <w:r w:rsidR="00A045B7" w:rsidRPr="00726735">
        <w:rPr>
          <w:i/>
        </w:rPr>
        <w:t xml:space="preserve"> and others</w:t>
      </w:r>
      <w:r w:rsidR="00F47741" w:rsidRPr="00726735">
        <w:rPr>
          <w:i/>
        </w:rPr>
        <w:t>,</w:t>
      </w:r>
      <w:r w:rsidR="009F6A85" w:rsidRPr="00726735">
        <w:rPr>
          <w:i/>
        </w:rPr>
        <w:t xml:space="preserve"> </w:t>
      </w:r>
      <w:r w:rsidR="009F6A85" w:rsidRPr="009B3A5F">
        <w:t xml:space="preserve">the SCA had to deal with a review of a </w:t>
      </w:r>
      <w:r w:rsidR="00283E20" w:rsidRPr="009B3A5F">
        <w:t>Minister’s</w:t>
      </w:r>
      <w:r w:rsidR="009F6A85" w:rsidRPr="009B3A5F">
        <w:t xml:space="preserve"> decision which decided an appeal from a decision of a head of that </w:t>
      </w:r>
      <w:r w:rsidR="00283E20" w:rsidRPr="009B3A5F">
        <w:t>Minister’s</w:t>
      </w:r>
      <w:r w:rsidR="009F6A85" w:rsidRPr="009B3A5F">
        <w:t xml:space="preserve"> department</w:t>
      </w:r>
      <w:r w:rsidR="00283E20" w:rsidRPr="009B3A5F">
        <w:t xml:space="preserve"> (HOD)</w:t>
      </w:r>
      <w:r w:rsidR="009F6A85" w:rsidRPr="009B3A5F">
        <w:t>. The applicant had reviewed the Minister’s decision but not that of the HOD</w:t>
      </w:r>
      <w:r w:rsidR="00FC266D" w:rsidRPr="009B3A5F">
        <w:t>,</w:t>
      </w:r>
      <w:r w:rsidR="009F6A85" w:rsidRPr="009B3A5F">
        <w:t xml:space="preserve"> whose decision the </w:t>
      </w:r>
      <w:r w:rsidR="00283E20" w:rsidRPr="009B3A5F">
        <w:t>Minister</w:t>
      </w:r>
      <w:r w:rsidR="009F6A85" w:rsidRPr="009B3A5F">
        <w:t xml:space="preserve"> had upheld. The court </w:t>
      </w:r>
      <w:r w:rsidR="00134A88" w:rsidRPr="009B3A5F">
        <w:t>explained:</w:t>
      </w:r>
    </w:p>
    <w:p w14:paraId="4F26ABB4" w14:textId="0C24D1B7" w:rsidR="009F6A85" w:rsidRPr="009B3A5F" w:rsidRDefault="00134A88" w:rsidP="00726735">
      <w:pPr>
        <w:pStyle w:val="ListParagraph"/>
        <w:spacing w:line="480" w:lineRule="auto"/>
        <w:ind w:left="2160"/>
        <w:jc w:val="both"/>
        <w:rPr>
          <w:i/>
        </w:rPr>
      </w:pPr>
      <w:r w:rsidRPr="009B3A5F">
        <w:rPr>
          <w:i/>
        </w:rPr>
        <w:t>“It</w:t>
      </w:r>
      <w:r w:rsidR="009F6A85" w:rsidRPr="009B3A5F">
        <w:rPr>
          <w:i/>
        </w:rPr>
        <w:t xml:space="preserve"> is clear from the decision in </w:t>
      </w:r>
      <w:proofErr w:type="spellStart"/>
      <w:r w:rsidR="009F6A85" w:rsidRPr="009B3A5F">
        <w:rPr>
          <w:i/>
        </w:rPr>
        <w:t>Oudekraal</w:t>
      </w:r>
      <w:proofErr w:type="spellEnd"/>
      <w:r w:rsidR="009F6A85" w:rsidRPr="009B3A5F">
        <w:rPr>
          <w:i/>
        </w:rPr>
        <w:t xml:space="preserve"> that a successful review of the MEC's decision would not affect the validity of the HOD's decision, which would remain intact. What was required of Black Eagle and what it failed to do was to advance a proper challenge to the HOD's decision.” </w:t>
      </w:r>
      <w:r w:rsidR="009F6A85" w:rsidRPr="009B3A5F">
        <w:rPr>
          <w:rStyle w:val="FootnoteReference"/>
          <w:i/>
        </w:rPr>
        <w:footnoteReference w:id="8"/>
      </w:r>
    </w:p>
    <w:p w14:paraId="394A6181" w14:textId="183305FF" w:rsidR="009F6A85" w:rsidRPr="00726735" w:rsidRDefault="00726735" w:rsidP="00726735">
      <w:pPr>
        <w:spacing w:line="480" w:lineRule="auto"/>
        <w:ind w:left="720" w:hanging="720"/>
        <w:jc w:val="both"/>
        <w:rPr>
          <w:i/>
        </w:rPr>
      </w:pPr>
      <w:r>
        <w:t>[20]</w:t>
      </w:r>
      <w:r>
        <w:tab/>
      </w:r>
      <w:r w:rsidR="009F6A85" w:rsidRPr="009B3A5F">
        <w:t xml:space="preserve">But in the same decision the court refers to another SCA decision in </w:t>
      </w:r>
      <w:r w:rsidR="009F6A85" w:rsidRPr="00726735">
        <w:rPr>
          <w:i/>
          <w:iCs/>
        </w:rPr>
        <w:t xml:space="preserve">Sewpersadh v The Minister of Finance and </w:t>
      </w:r>
      <w:r w:rsidR="003B2F94" w:rsidRPr="00726735">
        <w:rPr>
          <w:i/>
          <w:iCs/>
        </w:rPr>
        <w:t>Another.</w:t>
      </w:r>
      <w:r w:rsidR="009F6A85" w:rsidRPr="009B3A5F">
        <w:rPr>
          <w:rStyle w:val="FootnoteReference"/>
        </w:rPr>
        <w:footnoteReference w:id="9"/>
      </w:r>
      <w:r w:rsidR="00DF0BFB" w:rsidRPr="009B3A5F">
        <w:t xml:space="preserve">  Here the issue was</w:t>
      </w:r>
      <w:r w:rsidR="004C205B" w:rsidRPr="009B3A5F">
        <w:t xml:space="preserve"> that the applicant</w:t>
      </w:r>
      <w:r w:rsidR="0058574F" w:rsidRPr="009B3A5F">
        <w:t>,</w:t>
      </w:r>
      <w:r w:rsidR="00897CBC" w:rsidRPr="009B3A5F">
        <w:t xml:space="preserve"> who was</w:t>
      </w:r>
      <w:r w:rsidR="004C205B" w:rsidRPr="009B3A5F">
        <w:t xml:space="preserve"> seeking a special type of pension</w:t>
      </w:r>
      <w:r w:rsidR="004429A5" w:rsidRPr="009B3A5F">
        <w:t>,</w:t>
      </w:r>
      <w:r w:rsidR="004C205B" w:rsidRPr="009B3A5F">
        <w:t xml:space="preserve"> </w:t>
      </w:r>
      <w:r w:rsidR="00897CBC" w:rsidRPr="009B3A5F">
        <w:t xml:space="preserve">had been </w:t>
      </w:r>
      <w:r w:rsidR="004C205B" w:rsidRPr="009B3A5F">
        <w:t>turned down by both the Treasury</w:t>
      </w:r>
      <w:r w:rsidR="00A86096" w:rsidRPr="009B3A5F">
        <w:t>,</w:t>
      </w:r>
      <w:r w:rsidR="00125438" w:rsidRPr="009B3A5F">
        <w:t xml:space="preserve"> and then on appeal by an </w:t>
      </w:r>
      <w:r w:rsidR="004C205B" w:rsidRPr="009B3A5F">
        <w:t>Appeal Board</w:t>
      </w:r>
      <w:r w:rsidR="0039452A" w:rsidRPr="009B3A5F">
        <w:t>. The applicant had then approached the courts but</w:t>
      </w:r>
      <w:r w:rsidR="004C205B" w:rsidRPr="009B3A5F">
        <w:t xml:space="preserve"> had only reviewed the decision of the </w:t>
      </w:r>
      <w:proofErr w:type="gramStart"/>
      <w:r w:rsidR="0012775E" w:rsidRPr="009B3A5F">
        <w:t xml:space="preserve">Treasury </w:t>
      </w:r>
      <w:r w:rsidR="00455E4A" w:rsidRPr="009B3A5F">
        <w:t>,</w:t>
      </w:r>
      <w:proofErr w:type="gramEnd"/>
      <w:r w:rsidR="004C205B" w:rsidRPr="009B3A5F">
        <w:t xml:space="preserve"> not the </w:t>
      </w:r>
      <w:r w:rsidR="0012775E" w:rsidRPr="009B3A5F">
        <w:t>Appeal Board</w:t>
      </w:r>
      <w:r w:rsidR="004C205B" w:rsidRPr="009B3A5F">
        <w:t xml:space="preserve">. This </w:t>
      </w:r>
      <w:r w:rsidR="002A0C7B" w:rsidRPr="009B3A5F">
        <w:t>point was addressed by the SCA which observed</w:t>
      </w:r>
      <w:r w:rsidR="00CA5596" w:rsidRPr="009B3A5F">
        <w:t xml:space="preserve"> of the applicant </w:t>
      </w:r>
      <w:r w:rsidR="002A0C7B" w:rsidRPr="009B3A5F">
        <w:t>that:</w:t>
      </w:r>
    </w:p>
    <w:p w14:paraId="6FCEDF9C" w14:textId="07DBABA0" w:rsidR="002A0C7B" w:rsidRPr="009B3A5F" w:rsidRDefault="00134A88" w:rsidP="00726735">
      <w:pPr>
        <w:pStyle w:val="ListParagraph"/>
        <w:spacing w:before="120" w:after="0" w:line="480" w:lineRule="auto"/>
        <w:ind w:left="2160"/>
        <w:jc w:val="both"/>
        <w:rPr>
          <w:rFonts w:eastAsia="Times New Roman"/>
          <w:i/>
          <w:iCs/>
          <w:color w:val="000000"/>
          <w:kern w:val="0"/>
          <w:lang w:eastAsia="en-ZA"/>
          <w14:ligatures w14:val="none"/>
        </w:rPr>
      </w:pPr>
      <w:r w:rsidRPr="009B3A5F">
        <w:rPr>
          <w:rFonts w:eastAsia="Times New Roman"/>
          <w:i/>
          <w:iCs/>
          <w:color w:val="000000"/>
          <w:kern w:val="0"/>
          <w:lang w:eastAsia="en-ZA"/>
          <w14:ligatures w14:val="none"/>
        </w:rPr>
        <w:lastRenderedPageBreak/>
        <w:t>“For</w:t>
      </w:r>
      <w:r w:rsidR="002A0C7B" w:rsidRPr="009B3A5F">
        <w:rPr>
          <w:rFonts w:eastAsia="Times New Roman"/>
          <w:i/>
          <w:iCs/>
          <w:color w:val="000000"/>
          <w:kern w:val="0"/>
          <w:lang w:eastAsia="en-ZA"/>
          <w14:ligatures w14:val="none"/>
        </w:rPr>
        <w:t xml:space="preserve"> some reason he did not challenge the initial decision of the Treasury. It </w:t>
      </w:r>
      <w:r w:rsidRPr="009B3A5F">
        <w:rPr>
          <w:rFonts w:eastAsia="Times New Roman"/>
          <w:i/>
          <w:iCs/>
          <w:color w:val="000000"/>
          <w:kern w:val="0"/>
          <w:lang w:eastAsia="en-ZA"/>
          <w14:ligatures w14:val="none"/>
        </w:rPr>
        <w:t>would probably</w:t>
      </w:r>
      <w:r w:rsidR="002A0C7B" w:rsidRPr="009B3A5F">
        <w:rPr>
          <w:rFonts w:eastAsia="Times New Roman"/>
          <w:i/>
          <w:iCs/>
          <w:color w:val="000000"/>
          <w:kern w:val="0"/>
          <w:lang w:eastAsia="en-ZA"/>
          <w14:ligatures w14:val="none"/>
        </w:rPr>
        <w:t xml:space="preserve"> have been better had he done so. It was pointed out in Wings Park</w:t>
      </w:r>
      <w:bookmarkStart w:id="0" w:name="0-0-0-680593"/>
      <w:bookmarkEnd w:id="0"/>
      <w:r w:rsidR="002A0C7B" w:rsidRPr="009B3A5F">
        <w:rPr>
          <w:rFonts w:eastAsia="Times New Roman"/>
          <w:i/>
          <w:iCs/>
          <w:color w:val="000000"/>
          <w:kern w:val="0"/>
          <w:lang w:eastAsia="en-ZA"/>
          <w14:ligatures w14:val="none"/>
        </w:rPr>
        <w:t xml:space="preserve"> that when an applicant has suffered an unfavourable decision at first instance which is confirmed on an internal appeal, both decisions must usually be taken on review </w:t>
      </w:r>
      <w:proofErr w:type="gramStart"/>
      <w:r w:rsidR="002A0C7B" w:rsidRPr="009B3A5F">
        <w:rPr>
          <w:rFonts w:eastAsia="Times New Roman"/>
          <w:i/>
          <w:iCs/>
          <w:color w:val="000000"/>
          <w:kern w:val="0"/>
          <w:lang w:eastAsia="en-ZA"/>
          <w14:ligatures w14:val="none"/>
        </w:rPr>
        <w:t>in order to</w:t>
      </w:r>
      <w:proofErr w:type="gramEnd"/>
      <w:r w:rsidR="002A0C7B" w:rsidRPr="009B3A5F">
        <w:rPr>
          <w:rFonts w:eastAsia="Times New Roman"/>
          <w:i/>
          <w:iCs/>
          <w:color w:val="000000"/>
          <w:kern w:val="0"/>
          <w:lang w:eastAsia="en-ZA"/>
          <w14:ligatures w14:val="none"/>
        </w:rPr>
        <w:t xml:space="preserve"> have the decision set aside. This is because if just the appeal decision is set aside, the first decision that was the subject of the internal appeal will continue to stand should it, too, not be set aside on review. The failure to target the original decision is, however, not necessarily fatal to a review in such circumstances, and much depends upon the nature of the decision at first instance and the remedy sought on review. </w:t>
      </w:r>
      <w:bookmarkStart w:id="1" w:name="0-0-0-680597"/>
      <w:bookmarkEnd w:id="1"/>
      <w:r w:rsidR="002A0C7B" w:rsidRPr="009B3A5F">
        <w:rPr>
          <w:rFonts w:eastAsia="Times New Roman"/>
          <w:i/>
          <w:iCs/>
          <w:color w:val="000000"/>
          <w:kern w:val="0"/>
          <w:lang w:eastAsia="en-ZA"/>
          <w14:ligatures w14:val="none"/>
        </w:rPr>
        <w:t>Here the proceedings before Appeal Board do not amount to a simple rehearing as in the case of a true appeal but, rather, are akin to proceedings de novo in as much as the Appeal Board can receive further evidence and make further enquiries.</w:t>
      </w:r>
      <w:bookmarkStart w:id="2" w:name="0-0-0-680601"/>
      <w:bookmarkEnd w:id="2"/>
      <w:r w:rsidR="002A0C7B" w:rsidRPr="009B3A5F">
        <w:rPr>
          <w:rFonts w:eastAsia="Times New Roman"/>
          <w:i/>
          <w:iCs/>
          <w:color w:val="000000"/>
          <w:kern w:val="0"/>
          <w:lang w:eastAsia="en-ZA"/>
          <w14:ligatures w14:val="none"/>
        </w:rPr>
        <w:t xml:space="preserve"> In my view, this is a case where a failure to target the original decision does not preclude relief. </w:t>
      </w:r>
      <w:r w:rsidRPr="009B3A5F">
        <w:rPr>
          <w:rFonts w:eastAsia="Times New Roman"/>
          <w:i/>
          <w:iCs/>
          <w:color w:val="000000"/>
          <w:kern w:val="0"/>
          <w:lang w:eastAsia="en-ZA"/>
          <w14:ligatures w14:val="none"/>
        </w:rPr>
        <w:t>Certainly,</w:t>
      </w:r>
      <w:r w:rsidR="002A0C7B" w:rsidRPr="009B3A5F">
        <w:rPr>
          <w:rFonts w:eastAsia="Times New Roman"/>
          <w:i/>
          <w:iCs/>
          <w:color w:val="000000"/>
          <w:kern w:val="0"/>
          <w:lang w:eastAsia="en-ZA"/>
          <w14:ligatures w14:val="none"/>
        </w:rPr>
        <w:t xml:space="preserve"> if the Appeal Board's decision is substituted on review with an order which overturns the Treasury's initial decision, no harm can be done.</w:t>
      </w:r>
      <w:r w:rsidR="00507963" w:rsidRPr="009B3A5F">
        <w:rPr>
          <w:rFonts w:eastAsia="Times New Roman"/>
          <w:i/>
          <w:iCs/>
          <w:color w:val="000000"/>
          <w:kern w:val="0"/>
          <w:lang w:eastAsia="en-ZA"/>
          <w14:ligatures w14:val="none"/>
        </w:rPr>
        <w:t>”</w:t>
      </w:r>
      <w:r w:rsidR="00B31B2A" w:rsidRPr="009B3A5F">
        <w:rPr>
          <w:rStyle w:val="FootnoteReference"/>
          <w:rFonts w:eastAsia="Times New Roman"/>
          <w:i/>
          <w:iCs/>
          <w:color w:val="000000"/>
          <w:kern w:val="0"/>
          <w:lang w:eastAsia="en-ZA"/>
          <w14:ligatures w14:val="none"/>
        </w:rPr>
        <w:footnoteReference w:id="10"/>
      </w:r>
    </w:p>
    <w:p w14:paraId="24F148F5" w14:textId="562E2F11" w:rsidR="00AB490B" w:rsidRPr="00726735" w:rsidRDefault="00726735" w:rsidP="00726735">
      <w:pPr>
        <w:spacing w:line="480" w:lineRule="auto"/>
        <w:ind w:left="720" w:hanging="720"/>
        <w:jc w:val="both"/>
        <w:rPr>
          <w:i/>
        </w:rPr>
      </w:pPr>
      <w:r>
        <w:rPr>
          <w:iCs/>
        </w:rPr>
        <w:t>[21]</w:t>
      </w:r>
      <w:r>
        <w:rPr>
          <w:iCs/>
        </w:rPr>
        <w:tab/>
      </w:r>
      <w:r w:rsidR="00DD1614" w:rsidRPr="00726735">
        <w:rPr>
          <w:iCs/>
        </w:rPr>
        <w:t xml:space="preserve">In the present case the FAC did have the power to consider new evidence and in fact did so. </w:t>
      </w:r>
      <w:proofErr w:type="gramStart"/>
      <w:r w:rsidR="00DD1614" w:rsidRPr="00726735">
        <w:rPr>
          <w:iCs/>
        </w:rPr>
        <w:t>This places</w:t>
      </w:r>
      <w:proofErr w:type="gramEnd"/>
      <w:r w:rsidR="00DD1614" w:rsidRPr="00726735">
        <w:rPr>
          <w:iCs/>
        </w:rPr>
        <w:t xml:space="preserve"> the facts of this case closer on the spectrum to </w:t>
      </w:r>
      <w:r w:rsidR="00DD1614" w:rsidRPr="00726735">
        <w:rPr>
          <w:i/>
        </w:rPr>
        <w:t>Sewpersadh</w:t>
      </w:r>
      <w:r w:rsidR="00DD1614" w:rsidRPr="00726735">
        <w:rPr>
          <w:iCs/>
        </w:rPr>
        <w:t xml:space="preserve"> than to </w:t>
      </w:r>
      <w:r w:rsidR="00DB0B93" w:rsidRPr="00726735">
        <w:rPr>
          <w:i/>
        </w:rPr>
        <w:t xml:space="preserve">Black </w:t>
      </w:r>
      <w:r w:rsidR="00DD1614" w:rsidRPr="00726735">
        <w:rPr>
          <w:i/>
        </w:rPr>
        <w:t>Eag</w:t>
      </w:r>
      <w:r w:rsidR="00DB58B6" w:rsidRPr="00726735">
        <w:rPr>
          <w:i/>
        </w:rPr>
        <w:t>le</w:t>
      </w:r>
      <w:r w:rsidR="00440C41" w:rsidRPr="00726735">
        <w:rPr>
          <w:iCs/>
        </w:rPr>
        <w:t xml:space="preserve">. But even if I am wrong on this point l consider that it would not be in the interests of justice to dismiss this point on so narrow </w:t>
      </w:r>
      <w:r w:rsidR="00440C41" w:rsidRPr="00726735">
        <w:rPr>
          <w:iCs/>
        </w:rPr>
        <w:lastRenderedPageBreak/>
        <w:t>a ground. Acting more cautiously B</w:t>
      </w:r>
      <w:r w:rsidR="00145969">
        <w:rPr>
          <w:iCs/>
        </w:rPr>
        <w:t>l</w:t>
      </w:r>
      <w:r w:rsidR="00440C41" w:rsidRPr="00726735">
        <w:rPr>
          <w:iCs/>
        </w:rPr>
        <w:t>iss should have reviewed both decisions</w:t>
      </w:r>
      <w:r w:rsidR="0087280C" w:rsidRPr="00726735">
        <w:rPr>
          <w:iCs/>
        </w:rPr>
        <w:t>,</w:t>
      </w:r>
      <w:r w:rsidR="00440C41" w:rsidRPr="00726735">
        <w:rPr>
          <w:iCs/>
        </w:rPr>
        <w:t xml:space="preserve"> </w:t>
      </w:r>
      <w:r w:rsidR="00C825D2" w:rsidRPr="00726735">
        <w:rPr>
          <w:iCs/>
        </w:rPr>
        <w:t>but perhaps distracted by the many other considerations this case has raised</w:t>
      </w:r>
      <w:r w:rsidR="0087280C" w:rsidRPr="00726735">
        <w:rPr>
          <w:iCs/>
        </w:rPr>
        <w:t>,</w:t>
      </w:r>
      <w:r w:rsidR="00C825D2" w:rsidRPr="00726735">
        <w:rPr>
          <w:iCs/>
        </w:rPr>
        <w:t xml:space="preserve"> this was not considered at the time. </w:t>
      </w:r>
    </w:p>
    <w:p w14:paraId="68BC7ADE" w14:textId="5783DD0D" w:rsidR="00C32F69" w:rsidRPr="00726735" w:rsidRDefault="00726735" w:rsidP="00726735">
      <w:pPr>
        <w:spacing w:line="480" w:lineRule="auto"/>
        <w:ind w:left="720" w:hanging="720"/>
        <w:jc w:val="both"/>
        <w:rPr>
          <w:i/>
        </w:rPr>
      </w:pPr>
      <w:r>
        <w:rPr>
          <w:iCs/>
        </w:rPr>
        <w:t>[22]</w:t>
      </w:r>
      <w:r>
        <w:rPr>
          <w:iCs/>
        </w:rPr>
        <w:tab/>
      </w:r>
      <w:r w:rsidR="006F3174" w:rsidRPr="00726735">
        <w:rPr>
          <w:iCs/>
        </w:rPr>
        <w:t>The reason I consider that it is in the interests of justice to decide this matter</w:t>
      </w:r>
      <w:r w:rsidR="00434756" w:rsidRPr="00726735">
        <w:rPr>
          <w:iCs/>
        </w:rPr>
        <w:t>,</w:t>
      </w:r>
      <w:r w:rsidR="006F3174" w:rsidRPr="00726735">
        <w:rPr>
          <w:iCs/>
        </w:rPr>
        <w:t xml:space="preserve"> is </w:t>
      </w:r>
      <w:r w:rsidR="0001660B" w:rsidRPr="00726735">
        <w:rPr>
          <w:iCs/>
        </w:rPr>
        <w:t xml:space="preserve">that I cannot ignore the fact that </w:t>
      </w:r>
      <w:r w:rsidR="00F2280D" w:rsidRPr="00726735">
        <w:rPr>
          <w:iCs/>
        </w:rPr>
        <w:t>this litigation has</w:t>
      </w:r>
      <w:r w:rsidR="00434756" w:rsidRPr="00726735">
        <w:rPr>
          <w:iCs/>
        </w:rPr>
        <w:t xml:space="preserve"> already</w:t>
      </w:r>
      <w:r w:rsidR="00F2280D" w:rsidRPr="00726735">
        <w:rPr>
          <w:iCs/>
        </w:rPr>
        <w:t xml:space="preserve"> been before several courts</w:t>
      </w:r>
      <w:r w:rsidR="00434756" w:rsidRPr="00726735">
        <w:rPr>
          <w:iCs/>
        </w:rPr>
        <w:t>,</w:t>
      </w:r>
      <w:r w:rsidR="00F2280D" w:rsidRPr="00726735">
        <w:rPr>
          <w:iCs/>
        </w:rPr>
        <w:t xml:space="preserve"> including the apex court</w:t>
      </w:r>
      <w:r w:rsidR="002276B1" w:rsidRPr="00726735">
        <w:rPr>
          <w:iCs/>
        </w:rPr>
        <w:t>, but a</w:t>
      </w:r>
      <w:r w:rsidR="00957DCA" w:rsidRPr="00726735">
        <w:rPr>
          <w:iCs/>
        </w:rPr>
        <w:t>t no stage have the merits of the review been considered</w:t>
      </w:r>
      <w:r w:rsidR="0072412A" w:rsidRPr="00726735">
        <w:rPr>
          <w:iCs/>
        </w:rPr>
        <w:t>. Both parties are exposed to considerable commercial risk de</w:t>
      </w:r>
      <w:r w:rsidR="00413DCD" w:rsidRPr="00726735">
        <w:rPr>
          <w:iCs/>
        </w:rPr>
        <w:t xml:space="preserve">pending on the outcome. The matter has been ongoing since </w:t>
      </w:r>
      <w:r w:rsidR="00E16DEC" w:rsidRPr="00726735">
        <w:rPr>
          <w:iCs/>
        </w:rPr>
        <w:t>t</w:t>
      </w:r>
      <w:r w:rsidR="00136F5C" w:rsidRPr="00726735">
        <w:rPr>
          <w:iCs/>
        </w:rPr>
        <w:t>he complaint was lodged in December 2019</w:t>
      </w:r>
      <w:r w:rsidR="00413DCD" w:rsidRPr="00726735">
        <w:rPr>
          <w:iCs/>
        </w:rPr>
        <w:t xml:space="preserve">. It is time the merits </w:t>
      </w:r>
      <w:r w:rsidR="00C32F69" w:rsidRPr="00726735">
        <w:rPr>
          <w:iCs/>
        </w:rPr>
        <w:t xml:space="preserve">of the review </w:t>
      </w:r>
      <w:r w:rsidR="00413DCD" w:rsidRPr="00726735">
        <w:rPr>
          <w:iCs/>
        </w:rPr>
        <w:t xml:space="preserve">were </w:t>
      </w:r>
      <w:r w:rsidR="00805777" w:rsidRPr="00726735">
        <w:rPr>
          <w:iCs/>
        </w:rPr>
        <w:t>considered,</w:t>
      </w:r>
      <w:r w:rsidR="00C32F69" w:rsidRPr="00726735">
        <w:rPr>
          <w:iCs/>
        </w:rPr>
        <w:t xml:space="preserve"> and I will proceed to do so.</w:t>
      </w:r>
    </w:p>
    <w:p w14:paraId="04985246" w14:textId="19A67702" w:rsidR="00C97C3F" w:rsidRPr="00726735" w:rsidRDefault="00C97C3F" w:rsidP="00726735">
      <w:pPr>
        <w:spacing w:line="480" w:lineRule="auto"/>
        <w:ind w:firstLine="720"/>
        <w:jc w:val="both"/>
        <w:rPr>
          <w:b/>
          <w:bCs/>
          <w:i/>
        </w:rPr>
      </w:pPr>
      <w:r w:rsidRPr="00726735">
        <w:rPr>
          <w:b/>
          <w:bCs/>
          <w:iCs/>
        </w:rPr>
        <w:t xml:space="preserve">Review </w:t>
      </w:r>
      <w:proofErr w:type="gramStart"/>
      <w:r w:rsidRPr="00726735">
        <w:rPr>
          <w:b/>
          <w:bCs/>
          <w:iCs/>
        </w:rPr>
        <w:t>points</w:t>
      </w:r>
      <w:proofErr w:type="gramEnd"/>
    </w:p>
    <w:p w14:paraId="6B9E6664" w14:textId="4E746B50" w:rsidR="002A0C7B" w:rsidRPr="00A8157D" w:rsidRDefault="00A8157D" w:rsidP="00A8157D">
      <w:pPr>
        <w:spacing w:line="480" w:lineRule="auto"/>
        <w:ind w:left="1440" w:hanging="720"/>
        <w:jc w:val="both"/>
        <w:rPr>
          <w:i/>
        </w:rPr>
      </w:pPr>
      <w:r w:rsidRPr="009B3A5F">
        <w:rPr>
          <w:b/>
        </w:rPr>
        <w:t>(</w:t>
      </w:r>
      <w:proofErr w:type="spellStart"/>
      <w:r w:rsidRPr="009B3A5F">
        <w:rPr>
          <w:b/>
        </w:rPr>
        <w:t>i</w:t>
      </w:r>
      <w:proofErr w:type="spellEnd"/>
      <w:r w:rsidRPr="009B3A5F">
        <w:rPr>
          <w:b/>
        </w:rPr>
        <w:t>)</w:t>
      </w:r>
      <w:r w:rsidRPr="009B3A5F">
        <w:rPr>
          <w:b/>
        </w:rPr>
        <w:tab/>
      </w:r>
      <w:r w:rsidR="00E20066" w:rsidRPr="00A8157D">
        <w:rPr>
          <w:b/>
          <w:bCs/>
          <w:iCs/>
        </w:rPr>
        <w:t>First ground of review</w:t>
      </w:r>
      <w:r w:rsidR="007240D8" w:rsidRPr="00A8157D">
        <w:rPr>
          <w:b/>
          <w:bCs/>
          <w:iCs/>
        </w:rPr>
        <w:t>:</w:t>
      </w:r>
      <w:r w:rsidR="00E20066" w:rsidRPr="00A8157D">
        <w:rPr>
          <w:b/>
          <w:bCs/>
          <w:iCs/>
        </w:rPr>
        <w:t xml:space="preserve"> </w:t>
      </w:r>
      <w:r w:rsidR="007240D8" w:rsidRPr="00A8157D">
        <w:rPr>
          <w:b/>
          <w:bCs/>
          <w:iCs/>
        </w:rPr>
        <w:t>C</w:t>
      </w:r>
      <w:r w:rsidR="00C32F69" w:rsidRPr="00A8157D">
        <w:rPr>
          <w:b/>
          <w:bCs/>
          <w:iCs/>
        </w:rPr>
        <w:t>asting vote exercised by the Chairperson</w:t>
      </w:r>
    </w:p>
    <w:p w14:paraId="0135AE76" w14:textId="47FD74E1" w:rsidR="00171DC6" w:rsidRPr="00726735" w:rsidRDefault="00726735" w:rsidP="00726735">
      <w:pPr>
        <w:spacing w:line="480" w:lineRule="auto"/>
        <w:ind w:left="720" w:hanging="720"/>
        <w:jc w:val="both"/>
        <w:rPr>
          <w:i/>
        </w:rPr>
      </w:pPr>
      <w:r>
        <w:rPr>
          <w:iCs/>
        </w:rPr>
        <w:t>[23]</w:t>
      </w:r>
      <w:r>
        <w:rPr>
          <w:iCs/>
        </w:rPr>
        <w:tab/>
      </w:r>
      <w:r w:rsidR="00CB6DCB" w:rsidRPr="00726735">
        <w:rPr>
          <w:iCs/>
        </w:rPr>
        <w:t xml:space="preserve">When the matter came before the FAC the panel comprised four members. Ngoepe J who was chairing the panel </w:t>
      </w:r>
      <w:r w:rsidR="00BC467B" w:rsidRPr="00726735">
        <w:rPr>
          <w:iCs/>
        </w:rPr>
        <w:t xml:space="preserve">queried why there was an even number but was advised by the Directorate of the ARB that due to logistical problems </w:t>
      </w:r>
      <w:r w:rsidR="00DD1744" w:rsidRPr="00726735">
        <w:rPr>
          <w:iCs/>
        </w:rPr>
        <w:t>they were not able to get a further member. At the end of the hearing the panel split evenly. Ngoepe J who along with another member Mr Mok</w:t>
      </w:r>
      <w:r w:rsidR="00465634" w:rsidRPr="00726735">
        <w:rPr>
          <w:iCs/>
        </w:rPr>
        <w:t>oe</w:t>
      </w:r>
      <w:r w:rsidR="00455FE3" w:rsidRPr="00726735">
        <w:rPr>
          <w:iCs/>
        </w:rPr>
        <w:t>na held that the appeal should be dismissed</w:t>
      </w:r>
      <w:r w:rsidR="00465634" w:rsidRPr="00726735">
        <w:rPr>
          <w:iCs/>
        </w:rPr>
        <w:t>,</w:t>
      </w:r>
      <w:r w:rsidR="00455FE3" w:rsidRPr="00726735">
        <w:rPr>
          <w:iCs/>
        </w:rPr>
        <w:t xml:space="preserve"> then exercised a casting vote which led to the result that the FAC had dismissed the appeal. </w:t>
      </w:r>
    </w:p>
    <w:p w14:paraId="4EBCC697" w14:textId="4E278468" w:rsidR="00C32F69" w:rsidRPr="00726735" w:rsidRDefault="00726735" w:rsidP="00726735">
      <w:pPr>
        <w:spacing w:line="480" w:lineRule="auto"/>
        <w:ind w:left="720" w:hanging="720"/>
        <w:jc w:val="both"/>
        <w:rPr>
          <w:i/>
        </w:rPr>
      </w:pPr>
      <w:r>
        <w:rPr>
          <w:iCs/>
        </w:rPr>
        <w:t>[24]</w:t>
      </w:r>
      <w:r>
        <w:rPr>
          <w:iCs/>
        </w:rPr>
        <w:tab/>
      </w:r>
      <w:r w:rsidR="00455FE3" w:rsidRPr="00726735">
        <w:rPr>
          <w:iCs/>
        </w:rPr>
        <w:t xml:space="preserve">There is no challenge that this was </w:t>
      </w:r>
      <w:r w:rsidR="00A7302F" w:rsidRPr="00726735">
        <w:rPr>
          <w:iCs/>
        </w:rPr>
        <w:t>not in terms of the ARB constitution or that the panel was in view of its even number inquorate. Rather</w:t>
      </w:r>
      <w:r w:rsidR="00876643" w:rsidRPr="00726735">
        <w:rPr>
          <w:iCs/>
        </w:rPr>
        <w:t>,</w:t>
      </w:r>
      <w:r w:rsidR="00A7302F" w:rsidRPr="00726735">
        <w:rPr>
          <w:iCs/>
        </w:rPr>
        <w:t xml:space="preserve"> the </w:t>
      </w:r>
      <w:r w:rsidR="003B10A0" w:rsidRPr="00726735">
        <w:rPr>
          <w:iCs/>
        </w:rPr>
        <w:t xml:space="preserve">first </w:t>
      </w:r>
      <w:r w:rsidR="00A7302F" w:rsidRPr="00726735">
        <w:rPr>
          <w:iCs/>
        </w:rPr>
        <w:t xml:space="preserve">challenge is that </w:t>
      </w:r>
      <w:r w:rsidR="003B10A0" w:rsidRPr="00726735">
        <w:rPr>
          <w:iCs/>
        </w:rPr>
        <w:t xml:space="preserve">in his decision Ngoepe J sourced this power in clause 14.3 of the Code where there is no such power. This </w:t>
      </w:r>
      <w:r w:rsidR="00D55F6A" w:rsidRPr="00726735">
        <w:rPr>
          <w:iCs/>
        </w:rPr>
        <w:t xml:space="preserve">was doubtless an error as </w:t>
      </w:r>
      <w:r w:rsidR="00A66C08" w:rsidRPr="00726735">
        <w:rPr>
          <w:iCs/>
        </w:rPr>
        <w:t xml:space="preserve">the relevant </w:t>
      </w:r>
      <w:r w:rsidR="00A66C08" w:rsidRPr="00726735">
        <w:rPr>
          <w:iCs/>
        </w:rPr>
        <w:lastRenderedPageBreak/>
        <w:t>clause is 14.</w:t>
      </w:r>
      <w:r w:rsidR="00236634" w:rsidRPr="00726735">
        <w:rPr>
          <w:iCs/>
        </w:rPr>
        <w:t>1</w:t>
      </w:r>
      <w:r w:rsidR="00A66C08" w:rsidRPr="00726735">
        <w:rPr>
          <w:iCs/>
        </w:rPr>
        <w:t>3 of the MOI</w:t>
      </w:r>
      <w:r w:rsidR="0097484E" w:rsidRPr="00726735">
        <w:rPr>
          <w:iCs/>
        </w:rPr>
        <w:t>,</w:t>
      </w:r>
      <w:r w:rsidR="00A66C08" w:rsidRPr="00726735">
        <w:rPr>
          <w:iCs/>
        </w:rPr>
        <w:t xml:space="preserve"> which provides for this power.</w:t>
      </w:r>
      <w:r w:rsidR="00236634" w:rsidRPr="009B3A5F">
        <w:rPr>
          <w:rStyle w:val="FootnoteReference"/>
          <w:iCs/>
        </w:rPr>
        <w:footnoteReference w:id="11"/>
      </w:r>
      <w:r w:rsidR="00A66C08" w:rsidRPr="00726735">
        <w:rPr>
          <w:iCs/>
        </w:rPr>
        <w:t xml:space="preserve"> I do not consider this point has any substance and the error is obvious.</w:t>
      </w:r>
    </w:p>
    <w:p w14:paraId="23DC32B7" w14:textId="665131C9" w:rsidR="00FA220F" w:rsidRPr="00726735" w:rsidRDefault="00726735" w:rsidP="00726735">
      <w:pPr>
        <w:spacing w:line="480" w:lineRule="auto"/>
        <w:ind w:left="720" w:hanging="720"/>
        <w:jc w:val="both"/>
        <w:rPr>
          <w:i/>
        </w:rPr>
      </w:pPr>
      <w:r>
        <w:rPr>
          <w:iCs/>
        </w:rPr>
        <w:t>[25]</w:t>
      </w:r>
      <w:r>
        <w:rPr>
          <w:iCs/>
        </w:rPr>
        <w:tab/>
      </w:r>
      <w:r w:rsidR="00236634" w:rsidRPr="00726735">
        <w:rPr>
          <w:iCs/>
        </w:rPr>
        <w:t>The next criticism is hard to follow. The point now taken is that this source</w:t>
      </w:r>
      <w:r w:rsidR="00FA1F01" w:rsidRPr="00726735">
        <w:rPr>
          <w:iCs/>
        </w:rPr>
        <w:t>,</w:t>
      </w:r>
      <w:r w:rsidR="00236634" w:rsidRPr="00726735">
        <w:rPr>
          <w:iCs/>
        </w:rPr>
        <w:t xml:space="preserve"> f</w:t>
      </w:r>
      <w:r w:rsidR="00FA1F01" w:rsidRPr="00726735">
        <w:rPr>
          <w:iCs/>
        </w:rPr>
        <w:t>or</w:t>
      </w:r>
      <w:r w:rsidR="00236634" w:rsidRPr="00726735">
        <w:rPr>
          <w:iCs/>
        </w:rPr>
        <w:t xml:space="preserve"> the casting vote</w:t>
      </w:r>
      <w:r w:rsidR="00FA1F01" w:rsidRPr="00726735">
        <w:rPr>
          <w:iCs/>
        </w:rPr>
        <w:t>,</w:t>
      </w:r>
      <w:r w:rsidR="00236634" w:rsidRPr="00726735">
        <w:rPr>
          <w:iCs/>
        </w:rPr>
        <w:t xml:space="preserve"> should have </w:t>
      </w:r>
      <w:proofErr w:type="gramStart"/>
      <w:r w:rsidR="00236634" w:rsidRPr="00726735">
        <w:rPr>
          <w:iCs/>
        </w:rPr>
        <w:t>been located in</w:t>
      </w:r>
      <w:proofErr w:type="gramEnd"/>
      <w:r w:rsidR="00236634" w:rsidRPr="00726735">
        <w:rPr>
          <w:iCs/>
        </w:rPr>
        <w:t xml:space="preserve"> the Code of Conduct not the MOI. No argument in principle is made for why this should be the case. If </w:t>
      </w:r>
      <w:r w:rsidR="00BC788C" w:rsidRPr="00726735">
        <w:rPr>
          <w:iCs/>
        </w:rPr>
        <w:t>anything,</w:t>
      </w:r>
      <w:r w:rsidR="00236634" w:rsidRPr="00726735">
        <w:rPr>
          <w:iCs/>
        </w:rPr>
        <w:t xml:space="preserve"> the power is properly located in the MOI which is the constitution of the ARB</w:t>
      </w:r>
      <w:r w:rsidR="002C002A" w:rsidRPr="00726735">
        <w:rPr>
          <w:iCs/>
        </w:rPr>
        <w:t xml:space="preserve">. </w:t>
      </w:r>
      <w:r w:rsidR="003574D3" w:rsidRPr="00726735">
        <w:rPr>
          <w:iCs/>
        </w:rPr>
        <w:t xml:space="preserve">If this is an argument based on company </w:t>
      </w:r>
      <w:r w:rsidR="002A5A1D" w:rsidRPr="00726735">
        <w:rPr>
          <w:iCs/>
        </w:rPr>
        <w:t>law,</w:t>
      </w:r>
      <w:r w:rsidR="003574D3" w:rsidRPr="00726735">
        <w:rPr>
          <w:iCs/>
        </w:rPr>
        <w:t xml:space="preserve"> it has no basis</w:t>
      </w:r>
      <w:r w:rsidR="002C002A" w:rsidRPr="00726735">
        <w:rPr>
          <w:iCs/>
        </w:rPr>
        <w:t xml:space="preserve">. </w:t>
      </w:r>
      <w:r w:rsidR="004F014B" w:rsidRPr="00726735">
        <w:rPr>
          <w:iCs/>
        </w:rPr>
        <w:t xml:space="preserve">Section 15(2) of the Companies Act, 71, of 2008, regulates the provisions of an MOI. It states that a provision that is inconsistent with the Act is void. But no argument is made that the </w:t>
      </w:r>
      <w:r w:rsidR="00B2353F" w:rsidRPr="00726735">
        <w:rPr>
          <w:iCs/>
        </w:rPr>
        <w:t>inclusion</w:t>
      </w:r>
      <w:r w:rsidR="004F014B" w:rsidRPr="00726735">
        <w:rPr>
          <w:iCs/>
        </w:rPr>
        <w:t xml:space="preserve"> of a casting vote power given to an organ of the company like the FAC is contrary to the Act. </w:t>
      </w:r>
      <w:r w:rsidR="00B2353F" w:rsidRPr="00726735">
        <w:rPr>
          <w:iCs/>
        </w:rPr>
        <w:t>Moreover,</w:t>
      </w:r>
      <w:r w:rsidR="004F014B" w:rsidRPr="00726735">
        <w:rPr>
          <w:iCs/>
        </w:rPr>
        <w:t xml:space="preserve"> in its MOI the ARB makes it clear that the standard form MOI prescribed by the Act does not apply to it. </w:t>
      </w:r>
      <w:r w:rsidR="00FA220F" w:rsidRPr="009B3A5F">
        <w:rPr>
          <w:rStyle w:val="FootnoteReference"/>
          <w:iCs/>
        </w:rPr>
        <w:footnoteReference w:id="12"/>
      </w:r>
      <w:r w:rsidR="00D460E7" w:rsidRPr="00726735">
        <w:rPr>
          <w:iCs/>
        </w:rPr>
        <w:t xml:space="preserve"> </w:t>
      </w:r>
      <w:r w:rsidR="00FA220F" w:rsidRPr="00726735">
        <w:rPr>
          <w:iCs/>
        </w:rPr>
        <w:t>There is no legal bar to the inclusion of this legal provision in the MOI and it is the logical place for it to be inserted</w:t>
      </w:r>
      <w:r w:rsidR="00271575" w:rsidRPr="00726735">
        <w:rPr>
          <w:iCs/>
        </w:rPr>
        <w:t>,</w:t>
      </w:r>
      <w:r w:rsidR="00FA220F" w:rsidRPr="00726735">
        <w:rPr>
          <w:iCs/>
        </w:rPr>
        <w:t xml:space="preserve"> given that the MOI sets out the various organs of the ARB and included their voting procedures.</w:t>
      </w:r>
    </w:p>
    <w:p w14:paraId="14D2D47B" w14:textId="6B63B12C" w:rsidR="008C41D3" w:rsidRPr="00726735" w:rsidRDefault="00726735" w:rsidP="00726735">
      <w:pPr>
        <w:spacing w:line="480" w:lineRule="auto"/>
        <w:ind w:left="720" w:hanging="720"/>
        <w:jc w:val="both"/>
        <w:rPr>
          <w:i/>
        </w:rPr>
      </w:pPr>
      <w:r>
        <w:rPr>
          <w:iCs/>
        </w:rPr>
        <w:t>[26]</w:t>
      </w:r>
      <w:r>
        <w:rPr>
          <w:iCs/>
        </w:rPr>
        <w:tab/>
      </w:r>
      <w:r w:rsidR="008C41D3" w:rsidRPr="00726735">
        <w:rPr>
          <w:iCs/>
        </w:rPr>
        <w:t>Then the argument was that bec</w:t>
      </w:r>
      <w:r w:rsidR="00020B6A" w:rsidRPr="00726735">
        <w:rPr>
          <w:iCs/>
        </w:rPr>
        <w:t xml:space="preserve">ause in terms of section </w:t>
      </w:r>
      <w:r w:rsidR="007B6CFF" w:rsidRPr="00726735">
        <w:rPr>
          <w:iCs/>
        </w:rPr>
        <w:t>15</w:t>
      </w:r>
      <w:r w:rsidR="00E062BC" w:rsidRPr="00726735">
        <w:rPr>
          <w:iCs/>
        </w:rPr>
        <w:t>(6</w:t>
      </w:r>
      <w:r w:rsidR="002A5A1D" w:rsidRPr="00726735">
        <w:rPr>
          <w:iCs/>
        </w:rPr>
        <w:t>) of</w:t>
      </w:r>
      <w:r w:rsidR="007B6CFF" w:rsidRPr="00726735">
        <w:rPr>
          <w:iCs/>
        </w:rPr>
        <w:t xml:space="preserve"> the Companies Act, the </w:t>
      </w:r>
      <w:r w:rsidR="00E062BC" w:rsidRPr="00726735">
        <w:rPr>
          <w:iCs/>
        </w:rPr>
        <w:t>MOI is a contract</w:t>
      </w:r>
      <w:r w:rsidR="0062077F" w:rsidRPr="00726735">
        <w:rPr>
          <w:iCs/>
        </w:rPr>
        <w:t>,</w:t>
      </w:r>
      <w:r w:rsidR="00E062BC" w:rsidRPr="00726735">
        <w:rPr>
          <w:iCs/>
        </w:rPr>
        <w:t xml:space="preserve"> binding as between its members</w:t>
      </w:r>
      <w:r w:rsidR="00447495" w:rsidRPr="00726735">
        <w:rPr>
          <w:iCs/>
        </w:rPr>
        <w:t xml:space="preserve"> and the company</w:t>
      </w:r>
      <w:r w:rsidR="0062077F" w:rsidRPr="00726735">
        <w:rPr>
          <w:iCs/>
        </w:rPr>
        <w:t>,</w:t>
      </w:r>
      <w:r w:rsidR="00447495" w:rsidRPr="00726735">
        <w:rPr>
          <w:iCs/>
        </w:rPr>
        <w:t xml:space="preserve"> this could not bind a non-member</w:t>
      </w:r>
      <w:r w:rsidR="00433FE1" w:rsidRPr="00726735">
        <w:rPr>
          <w:iCs/>
        </w:rPr>
        <w:t xml:space="preserve">. But Bliss participated in the proceedings of the ARB and chose to exercise its rights of appeal provided by the same </w:t>
      </w:r>
      <w:r w:rsidR="0068375E" w:rsidRPr="00726735">
        <w:rPr>
          <w:iCs/>
        </w:rPr>
        <w:t xml:space="preserve">MOI. It can hardly object to this now. Moreover section 15(6) </w:t>
      </w:r>
      <w:r w:rsidR="00781466" w:rsidRPr="00726735">
        <w:rPr>
          <w:iCs/>
        </w:rPr>
        <w:t xml:space="preserve">applies to both the MOI and any rules of the company. </w:t>
      </w:r>
      <w:r w:rsidR="00B63130" w:rsidRPr="00726735">
        <w:rPr>
          <w:iCs/>
        </w:rPr>
        <w:t xml:space="preserve">The Code constitutes the Rules </w:t>
      </w:r>
      <w:r w:rsidR="00B63130" w:rsidRPr="00726735">
        <w:rPr>
          <w:iCs/>
        </w:rPr>
        <w:lastRenderedPageBreak/>
        <w:t xml:space="preserve">of the company thus the attempt to make </w:t>
      </w:r>
      <w:r w:rsidR="002A5A1D" w:rsidRPr="00726735">
        <w:rPr>
          <w:iCs/>
        </w:rPr>
        <w:t>a</w:t>
      </w:r>
      <w:r w:rsidR="00B63130" w:rsidRPr="00726735">
        <w:rPr>
          <w:iCs/>
        </w:rPr>
        <w:t xml:space="preserve"> distinction between the two has no merit.</w:t>
      </w:r>
    </w:p>
    <w:p w14:paraId="06DB2F11" w14:textId="4895049F" w:rsidR="00A66C08" w:rsidRPr="00726735" w:rsidRDefault="00726735" w:rsidP="00726735">
      <w:pPr>
        <w:spacing w:line="480" w:lineRule="auto"/>
        <w:ind w:left="720" w:hanging="720"/>
        <w:jc w:val="both"/>
        <w:rPr>
          <w:i/>
        </w:rPr>
      </w:pPr>
      <w:r>
        <w:t>[27]</w:t>
      </w:r>
      <w:r>
        <w:tab/>
      </w:r>
      <w:r w:rsidR="00FA220F" w:rsidRPr="009B3A5F">
        <w:t>I do not know if Bliss was aware of the provisions of the MOI when it appealed to the FAC</w:t>
      </w:r>
      <w:r w:rsidR="0022147C" w:rsidRPr="009B3A5F">
        <w:t>.</w:t>
      </w:r>
      <w:r w:rsidR="00221ACB" w:rsidRPr="009B3A5F">
        <w:t xml:space="preserve"> </w:t>
      </w:r>
      <w:r w:rsidR="0022147C" w:rsidRPr="009B3A5F">
        <w:t>I</w:t>
      </w:r>
      <w:r w:rsidR="00221ACB" w:rsidRPr="009B3A5F">
        <w:t>t seems from some correspondence in the record that it did not</w:t>
      </w:r>
      <w:r w:rsidR="00FA220F" w:rsidRPr="009B3A5F">
        <w:t>.</w:t>
      </w:r>
      <w:r w:rsidR="000A1292" w:rsidRPr="009B3A5F">
        <w:t xml:space="preserve"> But it was </w:t>
      </w:r>
      <w:r w:rsidR="00690D25" w:rsidRPr="009B3A5F">
        <w:t>inc</w:t>
      </w:r>
      <w:r w:rsidR="002F0C89" w:rsidRPr="009B3A5F">
        <w:t>umbent on</w:t>
      </w:r>
      <w:r w:rsidR="00690D25" w:rsidRPr="009B3A5F">
        <w:t xml:space="preserve"> Bliss having instituted an appeal</w:t>
      </w:r>
      <w:r w:rsidR="002F0C89" w:rsidRPr="009B3A5F">
        <w:t xml:space="preserve">, to </w:t>
      </w:r>
      <w:r w:rsidR="006F73F6" w:rsidRPr="009B3A5F">
        <w:t>familiarise</w:t>
      </w:r>
      <w:r w:rsidR="002F0C89" w:rsidRPr="009B3A5F">
        <w:t xml:space="preserve"> itself with the </w:t>
      </w:r>
      <w:r w:rsidR="006F73F6" w:rsidRPr="009B3A5F">
        <w:t>voting procedures</w:t>
      </w:r>
      <w:r w:rsidR="00FA220F" w:rsidRPr="009B3A5F">
        <w:t xml:space="preserve">. If it did </w:t>
      </w:r>
      <w:r w:rsidR="00B2353F" w:rsidRPr="009B3A5F">
        <w:t>not,</w:t>
      </w:r>
      <w:r w:rsidR="00FA220F" w:rsidRPr="009B3A5F">
        <w:t xml:space="preserve"> it has only itself to blame. </w:t>
      </w:r>
    </w:p>
    <w:p w14:paraId="327F4246" w14:textId="5D6288CC" w:rsidR="00155D8B" w:rsidRPr="00726735" w:rsidRDefault="00726735" w:rsidP="00726735">
      <w:pPr>
        <w:spacing w:line="480" w:lineRule="auto"/>
        <w:ind w:left="720" w:hanging="720"/>
        <w:jc w:val="both"/>
        <w:rPr>
          <w:i/>
        </w:rPr>
      </w:pPr>
      <w:r>
        <w:rPr>
          <w:iCs/>
        </w:rPr>
        <w:t>[28]</w:t>
      </w:r>
      <w:r>
        <w:rPr>
          <w:iCs/>
        </w:rPr>
        <w:tab/>
      </w:r>
      <w:r w:rsidR="00155D8B" w:rsidRPr="00726735">
        <w:rPr>
          <w:iCs/>
        </w:rPr>
        <w:t>Finally</w:t>
      </w:r>
      <w:r w:rsidR="00A83992" w:rsidRPr="00726735">
        <w:rPr>
          <w:iCs/>
        </w:rPr>
        <w:t>,</w:t>
      </w:r>
      <w:r w:rsidR="00155D8B" w:rsidRPr="00726735">
        <w:rPr>
          <w:iCs/>
        </w:rPr>
        <w:t xml:space="preserve"> the argument is made that a casting vote</w:t>
      </w:r>
      <w:r w:rsidR="00FA220F" w:rsidRPr="00726735">
        <w:rPr>
          <w:iCs/>
        </w:rPr>
        <w:t xml:space="preserve"> is an exercise of discretion. On this basis the </w:t>
      </w:r>
      <w:r w:rsidR="00B2353F" w:rsidRPr="00726735">
        <w:rPr>
          <w:iCs/>
        </w:rPr>
        <w:t>Chairperson’s</w:t>
      </w:r>
      <w:r w:rsidR="00FA220F" w:rsidRPr="00726735">
        <w:rPr>
          <w:iCs/>
        </w:rPr>
        <w:t xml:space="preserve"> choice to exercise a casting vote is attacked for being irrational and unfair. But as Colgate has argued</w:t>
      </w:r>
      <w:r w:rsidR="00B2353F" w:rsidRPr="00726735">
        <w:rPr>
          <w:iCs/>
        </w:rPr>
        <w:t>,</w:t>
      </w:r>
      <w:r w:rsidR="00FA220F" w:rsidRPr="00726735">
        <w:rPr>
          <w:iCs/>
        </w:rPr>
        <w:t xml:space="preserve"> one needs to distinguish between functions that entail the exercise of a dis</w:t>
      </w:r>
      <w:r w:rsidR="00B2353F" w:rsidRPr="00726735">
        <w:rPr>
          <w:iCs/>
        </w:rPr>
        <w:t>c</w:t>
      </w:r>
      <w:r w:rsidR="00FA220F" w:rsidRPr="00726735">
        <w:rPr>
          <w:iCs/>
        </w:rPr>
        <w:t>reti</w:t>
      </w:r>
      <w:r w:rsidR="00B2353F" w:rsidRPr="00726735">
        <w:rPr>
          <w:iCs/>
        </w:rPr>
        <w:t>o</w:t>
      </w:r>
      <w:r w:rsidR="00FA220F" w:rsidRPr="00726735">
        <w:rPr>
          <w:iCs/>
        </w:rPr>
        <w:t xml:space="preserve">n and those that are mechanical. </w:t>
      </w:r>
      <w:r w:rsidR="00B2353F" w:rsidRPr="00726735">
        <w:rPr>
          <w:iCs/>
        </w:rPr>
        <w:t>As Hoexter and Penfold explain, unlike discretionary powers</w:t>
      </w:r>
      <w:r w:rsidR="00E62804" w:rsidRPr="00726735">
        <w:rPr>
          <w:iCs/>
        </w:rPr>
        <w:t>,</w:t>
      </w:r>
      <w:r w:rsidR="00B2353F" w:rsidRPr="00726735">
        <w:rPr>
          <w:iCs/>
        </w:rPr>
        <w:t xml:space="preserve"> mechanical powers </w:t>
      </w:r>
      <w:r w:rsidR="00B2353F" w:rsidRPr="00726735">
        <w:rPr>
          <w:i/>
          <w:iCs/>
        </w:rPr>
        <w:t>“…involve little or no choice on the part of their holder.</w:t>
      </w:r>
      <w:r w:rsidR="00B2353F" w:rsidRPr="009B3A5F">
        <w:rPr>
          <w:rStyle w:val="FootnoteReference"/>
          <w:i/>
          <w:iCs/>
        </w:rPr>
        <w:footnoteReference w:id="13"/>
      </w:r>
      <w:r w:rsidR="00B2353F" w:rsidRPr="00726735">
        <w:rPr>
          <w:i/>
          <w:iCs/>
        </w:rPr>
        <w:t xml:space="preserve"> </w:t>
      </w:r>
      <w:r w:rsidR="00FA220F" w:rsidRPr="00726735">
        <w:rPr>
          <w:iCs/>
        </w:rPr>
        <w:t xml:space="preserve">The Bliss critique presupposes that the </w:t>
      </w:r>
      <w:r w:rsidR="00B2353F" w:rsidRPr="00726735">
        <w:rPr>
          <w:iCs/>
        </w:rPr>
        <w:t>Chairperson</w:t>
      </w:r>
      <w:r w:rsidR="00FA220F" w:rsidRPr="00726735">
        <w:rPr>
          <w:iCs/>
        </w:rPr>
        <w:t xml:space="preserve"> exercises a discretion when voting a casting vote. But that is not the case. </w:t>
      </w:r>
      <w:r w:rsidR="00B2353F" w:rsidRPr="00726735">
        <w:rPr>
          <w:iCs/>
        </w:rPr>
        <w:t>The language of the MOI makes this clear – there is no discretion - t</w:t>
      </w:r>
      <w:r w:rsidR="00FA220F" w:rsidRPr="00726735">
        <w:rPr>
          <w:iCs/>
        </w:rPr>
        <w:t xml:space="preserve">his is a mechanical power. </w:t>
      </w:r>
    </w:p>
    <w:p w14:paraId="4DADECDF" w14:textId="2A9340A8" w:rsidR="00B2353F" w:rsidRPr="00726735" w:rsidRDefault="00726735" w:rsidP="00726735">
      <w:pPr>
        <w:spacing w:line="480" w:lineRule="auto"/>
        <w:jc w:val="both"/>
        <w:rPr>
          <w:i/>
        </w:rPr>
      </w:pPr>
      <w:r>
        <w:rPr>
          <w:iCs/>
        </w:rPr>
        <w:t>[29]</w:t>
      </w:r>
      <w:r>
        <w:rPr>
          <w:iCs/>
        </w:rPr>
        <w:tab/>
      </w:r>
      <w:r w:rsidR="00B2353F" w:rsidRPr="00726735">
        <w:rPr>
          <w:iCs/>
        </w:rPr>
        <w:t>This review point must fail.</w:t>
      </w:r>
    </w:p>
    <w:p w14:paraId="534C54A4" w14:textId="02F6E208" w:rsidR="009F6A85" w:rsidRPr="009B3A5F" w:rsidRDefault="00B2353F" w:rsidP="00726735">
      <w:pPr>
        <w:spacing w:line="480" w:lineRule="auto"/>
        <w:ind w:firstLine="720"/>
        <w:jc w:val="both"/>
        <w:rPr>
          <w:b/>
        </w:rPr>
      </w:pPr>
      <w:r w:rsidRPr="009B3A5F">
        <w:rPr>
          <w:b/>
        </w:rPr>
        <w:t>Approach to the remaining review points.</w:t>
      </w:r>
    </w:p>
    <w:p w14:paraId="27BE0719" w14:textId="05D69D7D" w:rsidR="00B2353F" w:rsidRPr="009B3A5F" w:rsidRDefault="00726735" w:rsidP="00726735">
      <w:pPr>
        <w:spacing w:line="480" w:lineRule="auto"/>
        <w:ind w:left="720" w:hanging="720"/>
        <w:jc w:val="both"/>
      </w:pPr>
      <w:r>
        <w:t>[30]</w:t>
      </w:r>
      <w:r>
        <w:tab/>
      </w:r>
      <w:r w:rsidR="00B2353F" w:rsidRPr="009B3A5F">
        <w:t xml:space="preserve">The </w:t>
      </w:r>
      <w:r w:rsidR="00D21C4D" w:rsidRPr="009B3A5F">
        <w:t>next two</w:t>
      </w:r>
      <w:r w:rsidR="00B2353F" w:rsidRPr="009B3A5F">
        <w:t xml:space="preserve"> review points deal with the merits of the FAC decision. </w:t>
      </w:r>
      <w:r w:rsidR="00D21C4D" w:rsidRPr="009B3A5F">
        <w:t xml:space="preserve">Each involves a consideration of whether the FAC took the correct approach to the application of the Code. </w:t>
      </w:r>
      <w:r w:rsidR="00B2353F" w:rsidRPr="009B3A5F">
        <w:t xml:space="preserve">Colgate argues that the approach taken by Bliss is to </w:t>
      </w:r>
      <w:r w:rsidR="00A478DF" w:rsidRPr="009B3A5F">
        <w:t xml:space="preserve">elevate its review points </w:t>
      </w:r>
      <w:r w:rsidR="00D21C4D" w:rsidRPr="009B3A5F">
        <w:t>impermissibly</w:t>
      </w:r>
      <w:r w:rsidR="00A478DF" w:rsidRPr="009B3A5F">
        <w:t xml:space="preserve"> into what are appeal points. Whilst both parties agree that the </w:t>
      </w:r>
      <w:r w:rsidR="00D21C4D" w:rsidRPr="009B3A5F">
        <w:t>distinction</w:t>
      </w:r>
      <w:r w:rsidR="00A478DF" w:rsidRPr="009B3A5F">
        <w:t xml:space="preserve"> between the two has elided</w:t>
      </w:r>
      <w:r w:rsidR="00736813" w:rsidRPr="009B3A5F">
        <w:t>,</w:t>
      </w:r>
      <w:r w:rsidR="00A478DF" w:rsidRPr="009B3A5F">
        <w:t xml:space="preserve"> Colgate argues </w:t>
      </w:r>
      <w:r w:rsidR="00A478DF" w:rsidRPr="009B3A5F">
        <w:lastRenderedPageBreak/>
        <w:t>that nevertheless the distinction must still be retained.</w:t>
      </w:r>
      <w:r w:rsidR="003160EA" w:rsidRPr="009B3A5F">
        <w:rPr>
          <w:rStyle w:val="FootnoteReference"/>
        </w:rPr>
        <w:footnoteReference w:id="14"/>
      </w:r>
      <w:r w:rsidR="00A478DF" w:rsidRPr="009B3A5F">
        <w:t xml:space="preserve"> It says much of Bliss argument falls on the wrong side of the divide.</w:t>
      </w:r>
      <w:r w:rsidR="00FB2581" w:rsidRPr="009B3A5F">
        <w:t xml:space="preserve"> </w:t>
      </w:r>
      <w:r w:rsidR="00A478DF" w:rsidRPr="009B3A5F">
        <w:t xml:space="preserve">Even with an expanded notion of what constitutes a </w:t>
      </w:r>
      <w:r w:rsidR="00D21C4D" w:rsidRPr="009B3A5F">
        <w:t>review</w:t>
      </w:r>
      <w:r w:rsidR="004639DA" w:rsidRPr="009B3A5F">
        <w:t>,</w:t>
      </w:r>
      <w:r w:rsidR="00A478DF" w:rsidRPr="009B3A5F">
        <w:t xml:space="preserve"> </w:t>
      </w:r>
      <w:r w:rsidR="00736813" w:rsidRPr="009B3A5F">
        <w:t>Bliss’ review</w:t>
      </w:r>
      <w:r w:rsidR="00A478DF" w:rsidRPr="009B3A5F">
        <w:t xml:space="preserve"> points</w:t>
      </w:r>
      <w:r w:rsidR="00F725E1" w:rsidRPr="009B3A5F">
        <w:t>,</w:t>
      </w:r>
      <w:r w:rsidR="00A478DF" w:rsidRPr="009B3A5F">
        <w:t xml:space="preserve"> it argues</w:t>
      </w:r>
      <w:r w:rsidR="00F725E1" w:rsidRPr="009B3A5F">
        <w:t>,</w:t>
      </w:r>
      <w:r w:rsidR="00A478DF" w:rsidRPr="009B3A5F">
        <w:t xml:space="preserve"> remain appeal points.</w:t>
      </w:r>
      <w:r w:rsidR="00FB2581" w:rsidRPr="009B3A5F">
        <w:t xml:space="preserve"> Bliss relying on the SCA in </w:t>
      </w:r>
      <w:proofErr w:type="spellStart"/>
      <w:r w:rsidR="00FB2581" w:rsidRPr="00726735">
        <w:rPr>
          <w:i/>
          <w:iCs/>
        </w:rPr>
        <w:t>Te</w:t>
      </w:r>
      <w:r w:rsidR="00B03456" w:rsidRPr="00726735">
        <w:rPr>
          <w:i/>
          <w:iCs/>
        </w:rPr>
        <w:t>l</w:t>
      </w:r>
      <w:r w:rsidR="00FB2581" w:rsidRPr="00726735">
        <w:rPr>
          <w:i/>
          <w:iCs/>
        </w:rPr>
        <w:t>lumat</w:t>
      </w:r>
      <w:proofErr w:type="spellEnd"/>
      <w:r w:rsidR="00FB2581" w:rsidRPr="009B3A5F">
        <w:t xml:space="preserve"> contends that once the reviewing court is satisfied that:</w:t>
      </w:r>
    </w:p>
    <w:p w14:paraId="2F086C07" w14:textId="0E7D3FF9" w:rsidR="00FB2581" w:rsidRPr="009B3A5F" w:rsidRDefault="00FB2581" w:rsidP="00726735">
      <w:pPr>
        <w:pStyle w:val="ListParagraph"/>
        <w:spacing w:line="480" w:lineRule="auto"/>
        <w:ind w:left="2160"/>
        <w:jc w:val="both"/>
        <w:rPr>
          <w:i/>
          <w:color w:val="000000"/>
        </w:rPr>
      </w:pPr>
      <w:r w:rsidRPr="009B3A5F">
        <w:rPr>
          <w:color w:val="000000"/>
        </w:rPr>
        <w:t>“…</w:t>
      </w:r>
      <w:r w:rsidRPr="009B3A5F">
        <w:rPr>
          <w:i/>
          <w:color w:val="000000"/>
        </w:rPr>
        <w:t xml:space="preserve">the decision could only properly be taken if certain facts, overlooked by the decision maker, were </w:t>
      </w:r>
      <w:proofErr w:type="gramStart"/>
      <w:r w:rsidRPr="009B3A5F">
        <w:rPr>
          <w:i/>
          <w:color w:val="000000"/>
        </w:rPr>
        <w:t>taken into account</w:t>
      </w:r>
      <w:proofErr w:type="gramEnd"/>
      <w:r w:rsidRPr="009B3A5F">
        <w:rPr>
          <w:i/>
          <w:color w:val="000000"/>
        </w:rPr>
        <w:t>, it is en</w:t>
      </w:r>
      <w:r w:rsidR="00B006C9" w:rsidRPr="009B3A5F">
        <w:rPr>
          <w:i/>
          <w:color w:val="000000"/>
        </w:rPr>
        <w:t>ti</w:t>
      </w:r>
      <w:r w:rsidRPr="009B3A5F">
        <w:rPr>
          <w:i/>
          <w:color w:val="000000"/>
        </w:rPr>
        <w:t>tled to interfere. Similarly, once it is sa</w:t>
      </w:r>
      <w:r w:rsidR="00B006C9" w:rsidRPr="009B3A5F">
        <w:rPr>
          <w:i/>
          <w:color w:val="000000"/>
        </w:rPr>
        <w:t>tisfied</w:t>
      </w:r>
      <w:r w:rsidRPr="009B3A5F">
        <w:rPr>
          <w:i/>
          <w:color w:val="000000"/>
        </w:rPr>
        <w:t xml:space="preserve"> that in taki</w:t>
      </w:r>
      <w:r w:rsidR="00B006C9" w:rsidRPr="009B3A5F">
        <w:rPr>
          <w:i/>
          <w:color w:val="000000"/>
        </w:rPr>
        <w:t>n</w:t>
      </w:r>
      <w:r w:rsidRPr="009B3A5F">
        <w:rPr>
          <w:i/>
          <w:color w:val="000000"/>
        </w:rPr>
        <w:t>g the d</w:t>
      </w:r>
      <w:r w:rsidR="00B006C9" w:rsidRPr="009B3A5F">
        <w:rPr>
          <w:i/>
          <w:color w:val="000000"/>
        </w:rPr>
        <w:t>ecision certain facts that were</w:t>
      </w:r>
      <w:r w:rsidRPr="009B3A5F">
        <w:rPr>
          <w:i/>
          <w:color w:val="000000"/>
        </w:rPr>
        <w:t xml:space="preserve"> </w:t>
      </w:r>
      <w:proofErr w:type="gramStart"/>
      <w:r w:rsidRPr="009B3A5F">
        <w:rPr>
          <w:i/>
          <w:color w:val="000000"/>
        </w:rPr>
        <w:t>taken into account</w:t>
      </w:r>
      <w:proofErr w:type="gramEnd"/>
      <w:r w:rsidRPr="009B3A5F">
        <w:rPr>
          <w:i/>
          <w:color w:val="000000"/>
        </w:rPr>
        <w:t xml:space="preserve"> should not have been, it may interfere. </w:t>
      </w:r>
      <w:r w:rsidR="00B006C9" w:rsidRPr="009B3A5F">
        <w:rPr>
          <w:i/>
          <w:color w:val="000000"/>
        </w:rPr>
        <w:t>E</w:t>
      </w:r>
      <w:r w:rsidRPr="009B3A5F">
        <w:rPr>
          <w:i/>
          <w:color w:val="000000"/>
        </w:rPr>
        <w:t>ven when all relevant facts were considered, the court will have to consider the weight attached to the facts. The precise point at which a court is ent</w:t>
      </w:r>
      <w:r w:rsidR="00B006C9" w:rsidRPr="009B3A5F">
        <w:rPr>
          <w:i/>
          <w:color w:val="000000"/>
        </w:rPr>
        <w:t>it</w:t>
      </w:r>
      <w:r w:rsidRPr="009B3A5F">
        <w:rPr>
          <w:i/>
          <w:color w:val="000000"/>
        </w:rPr>
        <w:t>led to interfere may not be en</w:t>
      </w:r>
      <w:r w:rsidR="00B006C9" w:rsidRPr="009B3A5F">
        <w:rPr>
          <w:i/>
          <w:color w:val="000000"/>
        </w:rPr>
        <w:t>ti</w:t>
      </w:r>
      <w:r w:rsidRPr="009B3A5F">
        <w:rPr>
          <w:i/>
          <w:color w:val="000000"/>
        </w:rPr>
        <w:t>rely clear, but as Henning J s</w:t>
      </w:r>
      <w:r w:rsidR="00B006C9" w:rsidRPr="009B3A5F">
        <w:rPr>
          <w:i/>
          <w:color w:val="000000"/>
        </w:rPr>
        <w:t>ai</w:t>
      </w:r>
      <w:r w:rsidRPr="009B3A5F">
        <w:rPr>
          <w:i/>
          <w:color w:val="000000"/>
        </w:rPr>
        <w:t>d many years ago, "where a factor which is obviously of paramount importance is relegated to on</w:t>
      </w:r>
      <w:r w:rsidR="00B006C9" w:rsidRPr="009B3A5F">
        <w:rPr>
          <w:i/>
          <w:color w:val="000000"/>
        </w:rPr>
        <w:t>e</w:t>
      </w:r>
      <w:r w:rsidRPr="009B3A5F">
        <w:rPr>
          <w:i/>
          <w:color w:val="000000"/>
        </w:rPr>
        <w:t xml:space="preserve"> of insignificance, and another factor, though relevant is given weight far in excess of its true value" interference is warranted. I would suggest that it is essential.</w:t>
      </w:r>
      <w:r w:rsidR="00B006C9" w:rsidRPr="009B3A5F">
        <w:rPr>
          <w:i/>
          <w:color w:val="000000"/>
        </w:rPr>
        <w:t>”</w:t>
      </w:r>
      <w:r w:rsidR="00B006C9" w:rsidRPr="009B3A5F">
        <w:rPr>
          <w:rStyle w:val="FootnoteReference"/>
          <w:i/>
          <w:color w:val="000000"/>
        </w:rPr>
        <w:footnoteReference w:id="15"/>
      </w:r>
    </w:p>
    <w:p w14:paraId="0AEDB315" w14:textId="00C70767" w:rsidR="009F6A85" w:rsidRPr="00726735" w:rsidRDefault="00726735" w:rsidP="00726735">
      <w:pPr>
        <w:spacing w:line="480" w:lineRule="auto"/>
        <w:ind w:left="720" w:hanging="720"/>
        <w:jc w:val="both"/>
        <w:rPr>
          <w:i/>
        </w:rPr>
      </w:pPr>
      <w:r>
        <w:t>[31]</w:t>
      </w:r>
      <w:r>
        <w:tab/>
      </w:r>
      <w:r w:rsidR="00FD7B2C" w:rsidRPr="009B3A5F">
        <w:t xml:space="preserve">Since most of the argument advanced by Bliss falls into this category referred </w:t>
      </w:r>
      <w:r w:rsidR="00FC4DEA" w:rsidRPr="009B3A5F">
        <w:t xml:space="preserve">in </w:t>
      </w:r>
      <w:proofErr w:type="spellStart"/>
      <w:r w:rsidR="001261C8" w:rsidRPr="00726735">
        <w:rPr>
          <w:i/>
          <w:iCs/>
        </w:rPr>
        <w:t>Tellumat</w:t>
      </w:r>
      <w:proofErr w:type="spellEnd"/>
      <w:r w:rsidR="00FC4DEA" w:rsidRPr="00726735">
        <w:rPr>
          <w:i/>
          <w:iCs/>
        </w:rPr>
        <w:t>,</w:t>
      </w:r>
      <w:r w:rsidR="00FC4DEA" w:rsidRPr="009B3A5F">
        <w:t xml:space="preserve"> </w:t>
      </w:r>
      <w:r w:rsidR="00FD7B2C" w:rsidRPr="009B3A5F">
        <w:t>this will be the approach I will follow.</w:t>
      </w:r>
      <w:r w:rsidR="005A79CD" w:rsidRPr="009B3A5F">
        <w:t xml:space="preserve"> But there is also another principle to be observed. Colgate argues that admin</w:t>
      </w:r>
      <w:r w:rsidR="00D21C4D" w:rsidRPr="009B3A5F">
        <w:t>is</w:t>
      </w:r>
      <w:r w:rsidR="005A79CD" w:rsidRPr="009B3A5F">
        <w:t>trative decision makers are entitled to deference. This is particularly so when the issues involve ‘</w:t>
      </w:r>
      <w:r w:rsidR="00A52A46" w:rsidRPr="009B3A5F">
        <w:t>…</w:t>
      </w:r>
      <w:r w:rsidR="005A79CD" w:rsidRPr="009B3A5F">
        <w:t xml:space="preserve"> </w:t>
      </w:r>
      <w:r w:rsidR="005A79CD" w:rsidRPr="00726735">
        <w:rPr>
          <w:i/>
        </w:rPr>
        <w:lastRenderedPageBreak/>
        <w:t>polycentric or policy issues</w:t>
      </w:r>
      <w:r w:rsidR="002C002A" w:rsidRPr="00726735">
        <w:rPr>
          <w:i/>
        </w:rPr>
        <w:t>.”</w:t>
      </w:r>
      <w:r w:rsidR="005A79CD" w:rsidRPr="009B3A5F">
        <w:rPr>
          <w:rStyle w:val="FootnoteReference"/>
        </w:rPr>
        <w:footnoteReference w:id="16"/>
      </w:r>
      <w:r w:rsidR="00F50956" w:rsidRPr="00726735">
        <w:rPr>
          <w:iCs/>
        </w:rPr>
        <w:t xml:space="preserve"> I now go on with these principles in mind to consider the remaining review points.</w:t>
      </w:r>
    </w:p>
    <w:p w14:paraId="127C9CE0" w14:textId="77687EE0" w:rsidR="00AD14AF" w:rsidRPr="00A8157D" w:rsidRDefault="00A8157D" w:rsidP="00A8157D">
      <w:pPr>
        <w:spacing w:line="480" w:lineRule="auto"/>
        <w:ind w:left="1440" w:hanging="720"/>
        <w:jc w:val="both"/>
        <w:rPr>
          <w:b/>
        </w:rPr>
      </w:pPr>
      <w:r w:rsidRPr="009B3A5F">
        <w:rPr>
          <w:b/>
        </w:rPr>
        <w:t>(ii)</w:t>
      </w:r>
      <w:r w:rsidRPr="009B3A5F">
        <w:rPr>
          <w:b/>
        </w:rPr>
        <w:tab/>
      </w:r>
      <w:r w:rsidR="00D21C4D" w:rsidRPr="00A8157D">
        <w:rPr>
          <w:b/>
        </w:rPr>
        <w:t xml:space="preserve">Second ground of review. </w:t>
      </w:r>
    </w:p>
    <w:p w14:paraId="02CB6AD1" w14:textId="0B9646DB" w:rsidR="00DD265A" w:rsidRPr="00A8157D" w:rsidRDefault="00A8157D" w:rsidP="00A8157D">
      <w:pPr>
        <w:spacing w:line="480" w:lineRule="auto"/>
        <w:ind w:left="1069" w:hanging="360"/>
        <w:jc w:val="both"/>
        <w:rPr>
          <w:b/>
        </w:rPr>
      </w:pPr>
      <w:r>
        <w:rPr>
          <w:b/>
          <w:bCs/>
        </w:rPr>
        <w:t>a.</w:t>
      </w:r>
      <w:r>
        <w:rPr>
          <w:b/>
          <w:bCs/>
        </w:rPr>
        <w:tab/>
      </w:r>
      <w:r w:rsidR="00D21C4D" w:rsidRPr="00A8157D">
        <w:rPr>
          <w:b/>
        </w:rPr>
        <w:t>Clause 8 of the Code.</w:t>
      </w:r>
    </w:p>
    <w:p w14:paraId="5558BE8A" w14:textId="00D9CFD9" w:rsidR="00D21C4D" w:rsidRPr="00DD265A" w:rsidRDefault="00DD265A" w:rsidP="00DD265A">
      <w:pPr>
        <w:spacing w:line="480" w:lineRule="auto"/>
        <w:jc w:val="both"/>
        <w:rPr>
          <w:b/>
        </w:rPr>
      </w:pPr>
      <w:r>
        <w:t>[32]</w:t>
      </w:r>
      <w:r>
        <w:tab/>
      </w:r>
      <w:r w:rsidR="00D21C4D" w:rsidRPr="009B3A5F">
        <w:t>Clause 8 of the Code states:</w:t>
      </w:r>
    </w:p>
    <w:p w14:paraId="3BF3E657" w14:textId="400A1620" w:rsidR="00D21C4D" w:rsidRPr="00DD265A" w:rsidRDefault="00D21C4D" w:rsidP="00DD265A">
      <w:pPr>
        <w:pStyle w:val="ListParagraph"/>
        <w:spacing w:line="480" w:lineRule="auto"/>
        <w:jc w:val="both"/>
        <w:rPr>
          <w:b/>
        </w:rPr>
      </w:pPr>
      <w:r w:rsidRPr="009B3A5F">
        <w:rPr>
          <w:b/>
        </w:rPr>
        <w:t>“Exploitation of advertising goodwill</w:t>
      </w:r>
    </w:p>
    <w:p w14:paraId="51FAF8D2" w14:textId="6B8BC954" w:rsidR="00D21C4D" w:rsidRPr="009B3A5F" w:rsidRDefault="00D21C4D" w:rsidP="009B3A5F">
      <w:pPr>
        <w:pStyle w:val="ListParagraph"/>
        <w:spacing w:line="480" w:lineRule="auto"/>
        <w:jc w:val="both"/>
        <w:rPr>
          <w:i/>
        </w:rPr>
      </w:pPr>
      <w:r w:rsidRPr="009B3A5F">
        <w:rPr>
          <w:i/>
        </w:rPr>
        <w:t xml:space="preserve">8.1 Advertisements may not take advantage of the advertising goodwill relating to the trade name or symbol of the product or service of another, or advertising goodwill relating to another party's advertising campaign or advertising property, unless the prior written permission of the proprietor of the advertising goodwill has been obtained. Such permission shall not </w:t>
      </w:r>
      <w:proofErr w:type="gramStart"/>
      <w:r w:rsidRPr="009B3A5F">
        <w:rPr>
          <w:i/>
        </w:rPr>
        <w:t>be considered to be</w:t>
      </w:r>
      <w:proofErr w:type="gramEnd"/>
      <w:r w:rsidRPr="009B3A5F">
        <w:rPr>
          <w:i/>
        </w:rPr>
        <w:t xml:space="preserve"> a waiver of </w:t>
      </w:r>
    </w:p>
    <w:p w14:paraId="57604E72" w14:textId="1B91E31C" w:rsidR="00D21C4D" w:rsidRPr="00DD265A" w:rsidRDefault="00D21C4D" w:rsidP="00DD265A">
      <w:pPr>
        <w:pStyle w:val="ListParagraph"/>
        <w:spacing w:line="480" w:lineRule="auto"/>
        <w:jc w:val="both"/>
        <w:rPr>
          <w:i/>
        </w:rPr>
      </w:pPr>
      <w:r w:rsidRPr="009B3A5F">
        <w:rPr>
          <w:i/>
        </w:rPr>
        <w:t>the provisions of other clauses of the Code.</w:t>
      </w:r>
    </w:p>
    <w:p w14:paraId="4F38C28A" w14:textId="7ECC400A" w:rsidR="00D21C4D" w:rsidRPr="00DD265A" w:rsidRDefault="00D21C4D" w:rsidP="00DD265A">
      <w:pPr>
        <w:pStyle w:val="ListParagraph"/>
        <w:spacing w:line="480" w:lineRule="auto"/>
        <w:jc w:val="both"/>
        <w:rPr>
          <w:i/>
        </w:rPr>
      </w:pPr>
      <w:r w:rsidRPr="009B3A5F">
        <w:rPr>
          <w:i/>
        </w:rPr>
        <w:t xml:space="preserve">8.2 Parodies, the intention of which is primarily to </w:t>
      </w:r>
      <w:proofErr w:type="gramStart"/>
      <w:r w:rsidRPr="009B3A5F">
        <w:rPr>
          <w:i/>
        </w:rPr>
        <w:t>amuse</w:t>
      </w:r>
      <w:proofErr w:type="gramEnd"/>
      <w:r w:rsidRPr="009B3A5F">
        <w:rPr>
          <w:i/>
        </w:rPr>
        <w:t xml:space="preserve"> and which are not likely to affect adversely the advertising goodwill of another advertiser to a material extent, will not be regarded as falling within the prohibition of paragraph 8.1 above.</w:t>
      </w:r>
    </w:p>
    <w:p w14:paraId="6CB78DA1" w14:textId="08FE158D" w:rsidR="00D21C4D" w:rsidRPr="009B3A5F" w:rsidRDefault="00D21C4D" w:rsidP="009B3A5F">
      <w:pPr>
        <w:pStyle w:val="ListParagraph"/>
        <w:spacing w:line="480" w:lineRule="auto"/>
        <w:jc w:val="both"/>
        <w:rPr>
          <w:i/>
        </w:rPr>
      </w:pPr>
      <w:r w:rsidRPr="009B3A5F">
        <w:rPr>
          <w:i/>
        </w:rPr>
        <w:t xml:space="preserve">In considering matters raised under this clause consideration will be given to, inter alia, the likelihood of confusion, </w:t>
      </w:r>
      <w:proofErr w:type="gramStart"/>
      <w:r w:rsidRPr="009B3A5F">
        <w:rPr>
          <w:i/>
        </w:rPr>
        <w:t>deception</w:t>
      </w:r>
      <w:proofErr w:type="gramEnd"/>
      <w:r w:rsidRPr="009B3A5F">
        <w:rPr>
          <w:i/>
        </w:rPr>
        <w:t xml:space="preserve"> and the diminution of advertising goodwill. Furthermore, whether the device or concept constitutes the "signature" of the product or service, is consistently used, expended throughout media and is prominent in the mind of the consumer.</w:t>
      </w:r>
    </w:p>
    <w:p w14:paraId="1D3353F3" w14:textId="77777777" w:rsidR="00E27F35" w:rsidRPr="009B3A5F" w:rsidRDefault="00E27F35" w:rsidP="009B3A5F">
      <w:pPr>
        <w:pStyle w:val="ListParagraph"/>
        <w:spacing w:line="480" w:lineRule="auto"/>
        <w:ind w:left="360"/>
        <w:jc w:val="both"/>
        <w:rPr>
          <w:i/>
        </w:rPr>
      </w:pPr>
    </w:p>
    <w:p w14:paraId="168D6930" w14:textId="512577BC" w:rsidR="00D21C4D" w:rsidRPr="00DD265A" w:rsidRDefault="00DD265A" w:rsidP="00DD265A">
      <w:pPr>
        <w:spacing w:line="480" w:lineRule="auto"/>
        <w:ind w:left="720" w:hanging="720"/>
        <w:jc w:val="both"/>
        <w:rPr>
          <w:i/>
        </w:rPr>
      </w:pPr>
      <w:r>
        <w:t>[33]</w:t>
      </w:r>
      <w:r>
        <w:tab/>
      </w:r>
      <w:r w:rsidR="00E27F35" w:rsidRPr="009B3A5F">
        <w:t>To bring its case into the realm of review</w:t>
      </w:r>
      <w:r w:rsidR="0037496E" w:rsidRPr="009B3A5F">
        <w:t>,</w:t>
      </w:r>
      <w:r w:rsidR="00E27F35" w:rsidRPr="009B3A5F">
        <w:t xml:space="preserve"> Bliss argues that it is necessary as a jurisdictional fact for there to be a finding that Colgate had established it </w:t>
      </w:r>
      <w:r w:rsidR="00DE1B3E" w:rsidRPr="009B3A5F">
        <w:t>acquired goodwill</w:t>
      </w:r>
      <w:r w:rsidR="00E27F35" w:rsidRPr="009B3A5F">
        <w:t xml:space="preserve"> in the </w:t>
      </w:r>
      <w:proofErr w:type="spellStart"/>
      <w:r w:rsidR="00E27F35" w:rsidRPr="009B3A5F">
        <w:t>Protex</w:t>
      </w:r>
      <w:proofErr w:type="spellEnd"/>
      <w:r w:rsidR="00E27F35" w:rsidRPr="009B3A5F">
        <w:t xml:space="preserve"> packaging architecture and that Bliss had taken advantage of that in its </w:t>
      </w:r>
      <w:proofErr w:type="spellStart"/>
      <w:r w:rsidR="00E27F35" w:rsidRPr="009B3A5F">
        <w:t>Securex</w:t>
      </w:r>
      <w:proofErr w:type="spellEnd"/>
      <w:r w:rsidR="00E27F35" w:rsidRPr="009B3A5F">
        <w:t xml:space="preserve"> packaging. In the FAC decision Ngoepe J found that Colgate had established this goodwill because it en</w:t>
      </w:r>
      <w:r w:rsidR="00023EDE" w:rsidRPr="009B3A5F">
        <w:t>joyed 32% of the market and established itself over many years.</w:t>
      </w:r>
    </w:p>
    <w:p w14:paraId="1DDB4DB3" w14:textId="5A9EBF33" w:rsidR="00017260" w:rsidRPr="00214370" w:rsidRDefault="00214370" w:rsidP="00214370">
      <w:pPr>
        <w:spacing w:line="480" w:lineRule="auto"/>
        <w:ind w:left="720" w:hanging="720"/>
        <w:jc w:val="both"/>
        <w:rPr>
          <w:i/>
        </w:rPr>
      </w:pPr>
      <w:r>
        <w:t>[34]</w:t>
      </w:r>
      <w:r>
        <w:tab/>
      </w:r>
      <w:r w:rsidR="00023EDE" w:rsidRPr="009B3A5F">
        <w:t xml:space="preserve">Bliss argues this does not suffice to a finding that advertising goodwill subsists in the </w:t>
      </w:r>
      <w:proofErr w:type="spellStart"/>
      <w:r w:rsidR="00023EDE" w:rsidRPr="009B3A5F">
        <w:t>Protex</w:t>
      </w:r>
      <w:proofErr w:type="spellEnd"/>
      <w:r w:rsidR="00023EDE" w:rsidRPr="009B3A5F">
        <w:t xml:space="preserve"> packaging.</w:t>
      </w:r>
      <w:r w:rsidR="00FB4BE8" w:rsidRPr="009B3A5F">
        <w:t xml:space="preserve"> </w:t>
      </w:r>
      <w:r w:rsidR="00DF578C" w:rsidRPr="009B3A5F">
        <w:t>B</w:t>
      </w:r>
      <w:r w:rsidR="00FB4BE8" w:rsidRPr="009B3A5F">
        <w:t>l</w:t>
      </w:r>
      <w:r w:rsidR="00DF578C" w:rsidRPr="009B3A5F">
        <w:t>i</w:t>
      </w:r>
      <w:r w:rsidR="00FB4BE8" w:rsidRPr="009B3A5F">
        <w:t xml:space="preserve">ss </w:t>
      </w:r>
      <w:r w:rsidR="003E18E2" w:rsidRPr="009B3A5F">
        <w:t>argues</w:t>
      </w:r>
      <w:r w:rsidR="00FB4BE8" w:rsidRPr="009B3A5F">
        <w:t xml:space="preserve"> that proof of market share and longevity should not </w:t>
      </w:r>
      <w:r w:rsidR="00F549F9" w:rsidRPr="009B3A5F">
        <w:t>constitute</w:t>
      </w:r>
      <w:r w:rsidR="00FB4BE8" w:rsidRPr="009B3A5F">
        <w:t xml:space="preserve"> proxies for advertising goo</w:t>
      </w:r>
      <w:r w:rsidR="00F549F9" w:rsidRPr="009B3A5F">
        <w:t>d</w:t>
      </w:r>
      <w:r w:rsidR="00FB4BE8" w:rsidRPr="009B3A5F">
        <w:t xml:space="preserve">will. </w:t>
      </w:r>
      <w:r w:rsidR="00911A02" w:rsidRPr="009B3A5F">
        <w:t>This is proof of the value of the goodwill of the trademark</w:t>
      </w:r>
      <w:r w:rsidR="00774BB3" w:rsidRPr="009B3A5F">
        <w:t>,</w:t>
      </w:r>
      <w:r w:rsidR="00911A02" w:rsidRPr="009B3A5F">
        <w:t xml:space="preserve"> but it does not necessarily follow that it constitutes proof of the goodwill in the advertising </w:t>
      </w:r>
      <w:r w:rsidR="00774BB3" w:rsidRPr="009B3A5F">
        <w:t>architecture.</w:t>
      </w:r>
      <w:r w:rsidR="00911A02" w:rsidRPr="009B3A5F">
        <w:t xml:space="preserve"> </w:t>
      </w:r>
      <w:r w:rsidR="00FB4BE8" w:rsidRPr="009B3A5F">
        <w:t xml:space="preserve">But </w:t>
      </w:r>
      <w:r w:rsidR="00DF578C" w:rsidRPr="009B3A5F">
        <w:t xml:space="preserve">this </w:t>
      </w:r>
      <w:r w:rsidR="00F94A7B" w:rsidRPr="009B3A5F">
        <w:t xml:space="preserve">is not a fair reading of the reasons. Ngoepe J goes on to state: </w:t>
      </w:r>
      <w:r w:rsidR="00F94A7B" w:rsidRPr="00214370">
        <w:rPr>
          <w:i/>
        </w:rPr>
        <w:t xml:space="preserve">“The appellant has exploited respondent’s goodwill relating to </w:t>
      </w:r>
      <w:proofErr w:type="spellStart"/>
      <w:r w:rsidR="00F94A7B" w:rsidRPr="00214370">
        <w:rPr>
          <w:i/>
        </w:rPr>
        <w:t>Protex</w:t>
      </w:r>
      <w:proofErr w:type="spellEnd"/>
      <w:r w:rsidR="00F94A7B" w:rsidRPr="00214370">
        <w:rPr>
          <w:i/>
        </w:rPr>
        <w:t>. Given the overall similarity between the two, we are of the view that there is a likelihood of confusion.”</w:t>
      </w:r>
      <w:r w:rsidR="00F94A7B" w:rsidRPr="009B3A5F">
        <w:t xml:space="preserve"> In prior paragraphs this exploitation </w:t>
      </w:r>
      <w:r w:rsidR="0035537D" w:rsidRPr="009B3A5F">
        <w:t xml:space="preserve">is detailed. </w:t>
      </w:r>
    </w:p>
    <w:p w14:paraId="7D62924E" w14:textId="6183B4B9" w:rsidR="00023EDE" w:rsidRPr="00214370" w:rsidRDefault="00214370" w:rsidP="00214370">
      <w:pPr>
        <w:spacing w:line="480" w:lineRule="auto"/>
        <w:ind w:left="720" w:hanging="720"/>
        <w:jc w:val="both"/>
        <w:rPr>
          <w:i/>
        </w:rPr>
      </w:pPr>
      <w:r>
        <w:t>[35]</w:t>
      </w:r>
      <w:r>
        <w:tab/>
      </w:r>
      <w:r w:rsidR="0035537D" w:rsidRPr="009B3A5F">
        <w:t xml:space="preserve">The fact that it is set out in an earlier portion of the reasons and not under the heading dealing with clause 8 of the Code does not detract from the fact that this reasoning was advanced and considered. It is not necessary for review purposes for me to regurgitate what was said. But in brief </w:t>
      </w:r>
      <w:r w:rsidR="008A6558" w:rsidRPr="009B3A5F">
        <w:t xml:space="preserve">the approach of the AAC was to detail the history of the respective brands packaging and to reach a conclusion that </w:t>
      </w:r>
      <w:r w:rsidR="001261C8" w:rsidRPr="009B3A5F">
        <w:t>Colgate’s</w:t>
      </w:r>
      <w:r w:rsidR="008A6558" w:rsidRPr="009B3A5F">
        <w:t xml:space="preserve">’ brand packaging architecture was unique </w:t>
      </w:r>
      <w:r w:rsidR="00F94A7B" w:rsidRPr="009B3A5F">
        <w:t xml:space="preserve"> </w:t>
      </w:r>
      <w:r w:rsidR="008A6558" w:rsidRPr="009B3A5F">
        <w:t>and that historically Bliss</w:t>
      </w:r>
      <w:r w:rsidR="00E9317E" w:rsidRPr="009B3A5F">
        <w:t>,</w:t>
      </w:r>
      <w:r w:rsidR="008A6558" w:rsidRPr="009B3A5F">
        <w:t xml:space="preserve"> which was the latecomer</w:t>
      </w:r>
      <w:r w:rsidR="00E9317E" w:rsidRPr="009B3A5F">
        <w:t>,</w:t>
      </w:r>
      <w:r w:rsidR="008A6558" w:rsidRPr="009B3A5F">
        <w:t xml:space="preserve"> had adopted similar packaging and </w:t>
      </w:r>
      <w:r w:rsidR="008A6558" w:rsidRPr="009B3A5F">
        <w:lastRenderedPageBreak/>
        <w:t xml:space="preserve">then in 2018 (the event that led to the present complaint) had in the words of the </w:t>
      </w:r>
      <w:r w:rsidR="008A6558" w:rsidRPr="00214370">
        <w:rPr>
          <w:i/>
        </w:rPr>
        <w:t xml:space="preserve">ACC “ moved the packaging even closer to </w:t>
      </w:r>
      <w:proofErr w:type="spellStart"/>
      <w:r w:rsidR="008A6558" w:rsidRPr="00214370">
        <w:rPr>
          <w:i/>
        </w:rPr>
        <w:t>Protex</w:t>
      </w:r>
      <w:proofErr w:type="spellEnd"/>
      <w:r w:rsidR="008A6558" w:rsidRPr="00214370">
        <w:rPr>
          <w:i/>
        </w:rPr>
        <w:t xml:space="preserve"> packaging than before.”</w:t>
      </w:r>
      <w:r w:rsidR="008A6558" w:rsidRPr="009B3A5F">
        <w:t xml:space="preserve"> </w:t>
      </w:r>
    </w:p>
    <w:p w14:paraId="6B1160A2" w14:textId="4AFFCAA8" w:rsidR="00D21C4D" w:rsidRPr="0015165F" w:rsidRDefault="0015165F" w:rsidP="0015165F">
      <w:pPr>
        <w:spacing w:line="480" w:lineRule="auto"/>
        <w:ind w:left="720" w:hanging="720"/>
        <w:jc w:val="both"/>
        <w:rPr>
          <w:i/>
        </w:rPr>
      </w:pPr>
      <w:r>
        <w:t>[36]</w:t>
      </w:r>
      <w:r>
        <w:tab/>
      </w:r>
      <w:r w:rsidR="008A6558" w:rsidRPr="009B3A5F">
        <w:t>Ngoepe</w:t>
      </w:r>
      <w:r w:rsidR="00B67035" w:rsidRPr="009B3A5F">
        <w:t xml:space="preserve"> J</w:t>
      </w:r>
      <w:r w:rsidR="008A6558" w:rsidRPr="009B3A5F">
        <w:t xml:space="preserve"> quote</w:t>
      </w:r>
      <w:r w:rsidR="00280DB4" w:rsidRPr="009B3A5F">
        <w:t>d</w:t>
      </w:r>
      <w:r w:rsidR="008A6558" w:rsidRPr="009B3A5F">
        <w:t xml:space="preserve"> this reasoning in his decision with approval. He repeats the statement that the 2018 </w:t>
      </w:r>
      <w:proofErr w:type="spellStart"/>
      <w:r w:rsidR="008A6558" w:rsidRPr="009B3A5F">
        <w:t>Securex</w:t>
      </w:r>
      <w:proofErr w:type="spellEnd"/>
      <w:r w:rsidR="008A6558" w:rsidRPr="009B3A5F">
        <w:t xml:space="preserve"> packa</w:t>
      </w:r>
      <w:r w:rsidR="00280DB4" w:rsidRPr="009B3A5F">
        <w:t>g</w:t>
      </w:r>
      <w:r w:rsidR="008A6558" w:rsidRPr="009B3A5F">
        <w:t xml:space="preserve">ing had moved closer to that of </w:t>
      </w:r>
      <w:proofErr w:type="spellStart"/>
      <w:r w:rsidR="008A6558" w:rsidRPr="009B3A5F">
        <w:t>Protex</w:t>
      </w:r>
      <w:proofErr w:type="spellEnd"/>
      <w:r w:rsidR="008A6558" w:rsidRPr="009B3A5F">
        <w:t xml:space="preserve"> as being correct. </w:t>
      </w:r>
      <w:r w:rsidR="00280DB4" w:rsidRPr="009B3A5F">
        <w:t xml:space="preserve">Mr Mokoena who wrote the other decision dismissing the appeal concurred with the reasons given by Ngoepe J and added some more remarks of his own. He notes that even the </w:t>
      </w:r>
      <w:r w:rsidR="000506FB" w:rsidRPr="009B3A5F">
        <w:t>Directorate</w:t>
      </w:r>
      <w:r w:rsidR="00280DB4" w:rsidRPr="009B3A5F">
        <w:t xml:space="preserve"> which had decided in favour of Bliss had nevertheless </w:t>
      </w:r>
      <w:proofErr w:type="gramStart"/>
      <w:r w:rsidR="00280DB4" w:rsidRPr="009B3A5F">
        <w:t>come to the conclusion</w:t>
      </w:r>
      <w:proofErr w:type="gramEnd"/>
      <w:r w:rsidR="00280DB4" w:rsidRPr="009B3A5F">
        <w:t xml:space="preserve"> that that the combination effect can become protectable advertising concepts</w:t>
      </w:r>
      <w:r w:rsidR="00A53E9A" w:rsidRPr="009B3A5F">
        <w:t>,</w:t>
      </w:r>
      <w:r w:rsidR="00280DB4" w:rsidRPr="009B3A5F">
        <w:t xml:space="preserve"> noting that if this was not the case </w:t>
      </w:r>
      <w:r w:rsidR="00A03AC8" w:rsidRPr="0015165F">
        <w:rPr>
          <w:i/>
        </w:rPr>
        <w:t>“</w:t>
      </w:r>
      <w:r w:rsidR="00AA2C6D" w:rsidRPr="0015165F">
        <w:rPr>
          <w:i/>
        </w:rPr>
        <w:t>…</w:t>
      </w:r>
      <w:r w:rsidR="00A03AC8" w:rsidRPr="0015165F">
        <w:rPr>
          <w:i/>
        </w:rPr>
        <w:t xml:space="preserve"> then distinctive packaging, which is almost always made up of separate non-distinctive elements, would never be protectable as advertising.</w:t>
      </w:r>
      <w:r w:rsidR="00A03AC8" w:rsidRPr="009B3A5F">
        <w:t xml:space="preserve"> </w:t>
      </w:r>
      <w:r w:rsidR="00A03AC8" w:rsidRPr="009B3A5F">
        <w:rPr>
          <w:rStyle w:val="FootnoteReference"/>
        </w:rPr>
        <w:footnoteReference w:id="17"/>
      </w:r>
    </w:p>
    <w:p w14:paraId="13BE0943" w14:textId="4D09FCE0" w:rsidR="00A03AC8" w:rsidRPr="0015165F" w:rsidRDefault="0015165F" w:rsidP="0015165F">
      <w:pPr>
        <w:spacing w:line="480" w:lineRule="auto"/>
        <w:ind w:left="720" w:hanging="720"/>
        <w:jc w:val="both"/>
        <w:rPr>
          <w:i/>
          <w:iCs/>
        </w:rPr>
      </w:pPr>
      <w:r>
        <w:t>[37]</w:t>
      </w:r>
      <w:r>
        <w:tab/>
      </w:r>
      <w:r w:rsidR="00A03AC8" w:rsidRPr="009B3A5F">
        <w:t xml:space="preserve">Mokoena being a marketing practitioner uses the evocative language of those in the </w:t>
      </w:r>
      <w:r w:rsidR="00A03AEC" w:rsidRPr="009B3A5F">
        <w:t>industry</w:t>
      </w:r>
      <w:r w:rsidR="00A03AC8" w:rsidRPr="009B3A5F">
        <w:t>. Thus</w:t>
      </w:r>
      <w:r w:rsidR="00AA2C6D" w:rsidRPr="009B3A5F">
        <w:t>,</w:t>
      </w:r>
      <w:r w:rsidR="00A03AC8" w:rsidRPr="009B3A5F">
        <w:t xml:space="preserve"> while he ack</w:t>
      </w:r>
      <w:r w:rsidR="004B4321" w:rsidRPr="009B3A5F">
        <w:t xml:space="preserve">nowledges that an entrant into a new market competing with an </w:t>
      </w:r>
      <w:r w:rsidR="00A84FEB" w:rsidRPr="009B3A5F">
        <w:t xml:space="preserve">incumbent </w:t>
      </w:r>
      <w:r w:rsidR="00AA2C6D" w:rsidRPr="009B3A5F">
        <w:t>“</w:t>
      </w:r>
      <w:r w:rsidR="00AA2C6D" w:rsidRPr="0015165F">
        <w:rPr>
          <w:i/>
          <w:iCs/>
        </w:rPr>
        <w:t>might</w:t>
      </w:r>
      <w:r w:rsidR="004B4321" w:rsidRPr="0015165F">
        <w:rPr>
          <w:i/>
          <w:iCs/>
        </w:rPr>
        <w:t xml:space="preserve"> subscribe to the category norms provided</w:t>
      </w:r>
      <w:r w:rsidR="004B4321" w:rsidRPr="009B3A5F">
        <w:t xml:space="preserve">” this does not justify exploiting their </w:t>
      </w:r>
      <w:r w:rsidR="00A84FEB" w:rsidRPr="009B3A5F">
        <w:t>advertising</w:t>
      </w:r>
      <w:r w:rsidR="004B4321" w:rsidRPr="009B3A5F">
        <w:t xml:space="preserve"> goodwill. As he put it</w:t>
      </w:r>
      <w:r w:rsidR="00A84FEB" w:rsidRPr="009B3A5F">
        <w:t>,</w:t>
      </w:r>
      <w:r w:rsidR="004B4321" w:rsidRPr="009B3A5F">
        <w:t xml:space="preserve"> it is one thing to take a </w:t>
      </w:r>
      <w:r w:rsidR="00B47F8B" w:rsidRPr="009B3A5F">
        <w:t>“</w:t>
      </w:r>
      <w:r w:rsidR="004B4321" w:rsidRPr="0015165F">
        <w:rPr>
          <w:i/>
          <w:iCs/>
        </w:rPr>
        <w:t>spoonful of inspiration but not a spade full</w:t>
      </w:r>
      <w:r w:rsidR="002C002A" w:rsidRPr="0015165F">
        <w:rPr>
          <w:i/>
          <w:iCs/>
        </w:rPr>
        <w:t>.”</w:t>
      </w:r>
      <w:r w:rsidR="004B4321" w:rsidRPr="009B3A5F">
        <w:t xml:space="preserve"> There was he concluded a </w:t>
      </w:r>
      <w:r w:rsidR="004B4321" w:rsidRPr="0015165F">
        <w:rPr>
          <w:i/>
          <w:iCs/>
        </w:rPr>
        <w:t>“</w:t>
      </w:r>
      <w:r w:rsidR="00AA2C6D" w:rsidRPr="0015165F">
        <w:rPr>
          <w:i/>
          <w:iCs/>
        </w:rPr>
        <w:t>..</w:t>
      </w:r>
      <w:r w:rsidR="00B47F8B" w:rsidRPr="0015165F">
        <w:rPr>
          <w:i/>
          <w:iCs/>
        </w:rPr>
        <w:t>.</w:t>
      </w:r>
      <w:r w:rsidR="004B4321" w:rsidRPr="0015165F">
        <w:rPr>
          <w:i/>
          <w:iCs/>
        </w:rPr>
        <w:t xml:space="preserve"> significant reduction of the </w:t>
      </w:r>
      <w:r w:rsidR="00A84FEB" w:rsidRPr="0015165F">
        <w:rPr>
          <w:i/>
          <w:iCs/>
        </w:rPr>
        <w:t>perceptual</w:t>
      </w:r>
      <w:r w:rsidR="004B4321" w:rsidRPr="0015165F">
        <w:rPr>
          <w:i/>
          <w:iCs/>
        </w:rPr>
        <w:t xml:space="preserve"> distance between the two brands.</w:t>
      </w:r>
      <w:r w:rsidR="00E406E4" w:rsidRPr="0015165F">
        <w:rPr>
          <w:i/>
          <w:iCs/>
        </w:rPr>
        <w:t>”</w:t>
      </w:r>
    </w:p>
    <w:p w14:paraId="29204CED" w14:textId="0ECE5066" w:rsidR="005C237B" w:rsidRPr="009B3A5F" w:rsidRDefault="0015165F" w:rsidP="0015165F">
      <w:pPr>
        <w:spacing w:line="480" w:lineRule="auto"/>
        <w:ind w:left="720" w:hanging="720"/>
        <w:jc w:val="both"/>
      </w:pPr>
      <w:r>
        <w:t>[38]</w:t>
      </w:r>
      <w:r>
        <w:tab/>
      </w:r>
      <w:r w:rsidR="004B4321" w:rsidRPr="009B3A5F">
        <w:t xml:space="preserve">Put simply Bliss had entered the market in 2011 copying </w:t>
      </w:r>
      <w:r w:rsidR="00205E2D" w:rsidRPr="009B3A5F">
        <w:t>significant</w:t>
      </w:r>
      <w:r w:rsidR="004B4321" w:rsidRPr="009B3A5F">
        <w:t xml:space="preserve"> </w:t>
      </w:r>
      <w:r w:rsidR="00205E2D" w:rsidRPr="009B3A5F">
        <w:t>aspects</w:t>
      </w:r>
      <w:r w:rsidR="004B4321" w:rsidRPr="009B3A5F">
        <w:t xml:space="preserve"> of Colgate’s brand </w:t>
      </w:r>
      <w:r w:rsidR="00A033D8" w:rsidRPr="009B3A5F">
        <w:t>architecture</w:t>
      </w:r>
      <w:r w:rsidR="00345717" w:rsidRPr="009B3A5F">
        <w:t>,</w:t>
      </w:r>
      <w:r w:rsidR="004B4321" w:rsidRPr="009B3A5F">
        <w:t xml:space="preserve"> and when the latter changed some aspe</w:t>
      </w:r>
      <w:r w:rsidR="0079264C" w:rsidRPr="009B3A5F">
        <w:t>ct</w:t>
      </w:r>
      <w:r w:rsidR="004B4321" w:rsidRPr="009B3A5F">
        <w:t xml:space="preserve"> in 201</w:t>
      </w:r>
      <w:r w:rsidR="0079264C" w:rsidRPr="009B3A5F">
        <w:t>6</w:t>
      </w:r>
      <w:r w:rsidR="00345717" w:rsidRPr="009B3A5F">
        <w:t>,</w:t>
      </w:r>
      <w:r w:rsidR="004B4321" w:rsidRPr="009B3A5F">
        <w:t xml:space="preserve"> Bliss had followed it </w:t>
      </w:r>
      <w:r w:rsidR="00A033D8" w:rsidRPr="009B3A5F">
        <w:t>in</w:t>
      </w:r>
      <w:r w:rsidR="0079264C" w:rsidRPr="009B3A5F">
        <w:t xml:space="preserve"> 2018, bringing</w:t>
      </w:r>
      <w:r w:rsidR="004B4321" w:rsidRPr="009B3A5F">
        <w:t xml:space="preserve"> the </w:t>
      </w:r>
      <w:r w:rsidR="0079264C" w:rsidRPr="009B3A5F">
        <w:t>products</w:t>
      </w:r>
      <w:r w:rsidR="004B4321" w:rsidRPr="009B3A5F">
        <w:t xml:space="preserve"> visually even </w:t>
      </w:r>
      <w:r w:rsidR="0079264C" w:rsidRPr="009B3A5F">
        <w:t>closer</w:t>
      </w:r>
      <w:r w:rsidR="004B4321" w:rsidRPr="009B3A5F">
        <w:t xml:space="preserve">. </w:t>
      </w:r>
      <w:r w:rsidR="005155A1" w:rsidRPr="009B3A5F">
        <w:lastRenderedPageBreak/>
        <w:t>Thus,</w:t>
      </w:r>
      <w:r w:rsidR="004B4321" w:rsidRPr="009B3A5F">
        <w:t xml:space="preserve"> both members who made up the majority decision on the </w:t>
      </w:r>
      <w:r w:rsidR="00DE1B3E" w:rsidRPr="009B3A5F">
        <w:t xml:space="preserve">FAC, </w:t>
      </w:r>
      <w:proofErr w:type="gramStart"/>
      <w:r w:rsidR="00DE1B3E" w:rsidRPr="009B3A5F">
        <w:t>came</w:t>
      </w:r>
      <w:r w:rsidR="004B4321" w:rsidRPr="009B3A5F">
        <w:t xml:space="preserve"> </w:t>
      </w:r>
      <w:r w:rsidR="00FD5A46" w:rsidRPr="009B3A5F">
        <w:t xml:space="preserve">to the </w:t>
      </w:r>
      <w:r w:rsidR="004B4321" w:rsidRPr="009B3A5F">
        <w:t>conclusion</w:t>
      </w:r>
      <w:proofErr w:type="gramEnd"/>
      <w:r w:rsidR="004B4321" w:rsidRPr="009B3A5F">
        <w:t xml:space="preserve"> that the case for a breach of clause 8 of the Code rested on </w:t>
      </w:r>
      <w:r w:rsidR="008F59FE" w:rsidRPr="009B3A5F">
        <w:t>what is termed ‘</w:t>
      </w:r>
      <w:r w:rsidR="004B4321" w:rsidRPr="009B3A5F">
        <w:t>visual proximity</w:t>
      </w:r>
      <w:r w:rsidR="00AC21B1" w:rsidRPr="009B3A5F">
        <w:t>’</w:t>
      </w:r>
      <w:r w:rsidR="004B4321" w:rsidRPr="009B3A5F">
        <w:t>.</w:t>
      </w:r>
      <w:r w:rsidR="00AC21B1" w:rsidRPr="009B3A5F">
        <w:t xml:space="preserve"> This conclusion of visual proximity was also the conclusion of the four members of the AAC and on this aspect even the view of the Directorate.</w:t>
      </w:r>
      <w:r w:rsidR="004B4321" w:rsidRPr="009B3A5F">
        <w:t xml:space="preserve"> That each added other issues as well takes the matter </w:t>
      </w:r>
      <w:r w:rsidR="00F95990" w:rsidRPr="009B3A5F">
        <w:t xml:space="preserve">no </w:t>
      </w:r>
      <w:r w:rsidR="004B4321" w:rsidRPr="009B3A5F">
        <w:t xml:space="preserve">further. The core finding does not amount to an error of fact, nor </w:t>
      </w:r>
      <w:r w:rsidR="00F95990" w:rsidRPr="009B3A5F">
        <w:t xml:space="preserve">is </w:t>
      </w:r>
      <w:r w:rsidR="004B4321" w:rsidRPr="009B3A5F">
        <w:t xml:space="preserve">it </w:t>
      </w:r>
      <w:r w:rsidR="00F95990" w:rsidRPr="009B3A5F">
        <w:t>irrational</w:t>
      </w:r>
      <w:r w:rsidR="004B4321" w:rsidRPr="009B3A5F">
        <w:t xml:space="preserve"> and</w:t>
      </w:r>
      <w:r w:rsidR="001F6DFD" w:rsidRPr="009B3A5F">
        <w:t xml:space="preserve"> constitutes</w:t>
      </w:r>
      <w:r w:rsidR="004B4321" w:rsidRPr="009B3A5F">
        <w:t xml:space="preserve"> a determination of a matter </w:t>
      </w:r>
      <w:r w:rsidR="00446FC4" w:rsidRPr="009B3A5F">
        <w:t>of</w:t>
      </w:r>
      <w:r w:rsidR="004B4321" w:rsidRPr="009B3A5F">
        <w:t xml:space="preserve"> policy which the FAC was entitled to exercise. </w:t>
      </w:r>
    </w:p>
    <w:p w14:paraId="32C451FA" w14:textId="645EA4AD" w:rsidR="004B4321" w:rsidRPr="009B3A5F" w:rsidRDefault="0015165F" w:rsidP="0015165F">
      <w:pPr>
        <w:spacing w:line="480" w:lineRule="auto"/>
        <w:ind w:left="720" w:hanging="720"/>
        <w:jc w:val="both"/>
      </w:pPr>
      <w:r>
        <w:t>[39]</w:t>
      </w:r>
      <w:r>
        <w:tab/>
      </w:r>
      <w:r w:rsidR="004B4321" w:rsidRPr="009B3A5F">
        <w:t>Th</w:t>
      </w:r>
      <w:r w:rsidR="00BA4AE2" w:rsidRPr="009B3A5F">
        <w:t>e minority decision was written by a Mr Neethling. Mr Gendel</w:t>
      </w:r>
      <w:r w:rsidR="000C68B0" w:rsidRPr="009B3A5F">
        <w:t>,</w:t>
      </w:r>
      <w:r w:rsidR="00BA4AE2" w:rsidRPr="009B3A5F">
        <w:t xml:space="preserve"> the fourth member</w:t>
      </w:r>
      <w:r w:rsidR="000C68B0" w:rsidRPr="009B3A5F">
        <w:t>,</w:t>
      </w:r>
      <w:r w:rsidR="00BA4AE2" w:rsidRPr="009B3A5F">
        <w:t xml:space="preserve"> concurred with Neethling</w:t>
      </w:r>
      <w:r w:rsidR="000C68B0" w:rsidRPr="009B3A5F">
        <w:t>’</w:t>
      </w:r>
      <w:r w:rsidR="00BA4AE2" w:rsidRPr="009B3A5F">
        <w:t>s decision but did not write his own.</w:t>
      </w:r>
      <w:r w:rsidR="00AE3AE6" w:rsidRPr="009B3A5F">
        <w:t xml:space="preserve"> </w:t>
      </w:r>
      <w:r w:rsidR="006C5C73" w:rsidRPr="009B3A5F">
        <w:t xml:space="preserve">I accept that </w:t>
      </w:r>
      <w:r w:rsidR="00AE3AE6" w:rsidRPr="009B3A5F">
        <w:t xml:space="preserve">Mr Neethling does make some valid points about irrelevant features </w:t>
      </w:r>
      <w:r w:rsidR="00424F86" w:rsidRPr="009B3A5F">
        <w:t xml:space="preserve">that the AAC had relied on. </w:t>
      </w:r>
      <w:r w:rsidR="00A32BA6" w:rsidRPr="009B3A5F">
        <w:t xml:space="preserve">He gave two examples. </w:t>
      </w:r>
      <w:r w:rsidR="00424F86" w:rsidRPr="009B3A5F">
        <w:t xml:space="preserve">For </w:t>
      </w:r>
      <w:r w:rsidR="0046739A" w:rsidRPr="009B3A5F">
        <w:t>instance,</w:t>
      </w:r>
      <w:r w:rsidR="00424F86" w:rsidRPr="009B3A5F">
        <w:t xml:space="preserve"> there </w:t>
      </w:r>
      <w:r w:rsidR="009B6850" w:rsidRPr="009B3A5F">
        <w:t>wa</w:t>
      </w:r>
      <w:r w:rsidR="00424F86" w:rsidRPr="009B3A5F">
        <w:t>s some</w:t>
      </w:r>
      <w:r w:rsidR="00417614" w:rsidRPr="009B3A5F">
        <w:t xml:space="preserve"> reliance on </w:t>
      </w:r>
      <w:r w:rsidR="00424F86" w:rsidRPr="009B3A5F">
        <w:t xml:space="preserve">evidence </w:t>
      </w:r>
      <w:r w:rsidR="00C1652B" w:rsidRPr="009B3A5F">
        <w:t>of consumer</w:t>
      </w:r>
      <w:r w:rsidR="009B6850" w:rsidRPr="009B3A5F">
        <w:t xml:space="preserve"> </w:t>
      </w:r>
      <w:r w:rsidR="00424F86" w:rsidRPr="009B3A5F">
        <w:t>confusion</w:t>
      </w:r>
      <w:r w:rsidR="00850502" w:rsidRPr="009B3A5F">
        <w:t xml:space="preserve"> about the two brands</w:t>
      </w:r>
      <w:r w:rsidR="00424F86" w:rsidRPr="009B3A5F">
        <w:t xml:space="preserve">. </w:t>
      </w:r>
      <w:r w:rsidR="002A0CAA" w:rsidRPr="009B3A5F">
        <w:t xml:space="preserve">But the evidence for this was </w:t>
      </w:r>
      <w:r w:rsidR="008B6700" w:rsidRPr="009B3A5F">
        <w:t xml:space="preserve">hardly </w:t>
      </w:r>
      <w:r w:rsidR="00DE1B7B" w:rsidRPr="009B3A5F">
        <w:t>conclusi</w:t>
      </w:r>
      <w:r w:rsidR="008B6700" w:rsidRPr="009B3A5F">
        <w:t xml:space="preserve">ve. It amounted to </w:t>
      </w:r>
      <w:r w:rsidR="002A0CAA" w:rsidRPr="009B3A5F">
        <w:t>two posts</w:t>
      </w:r>
      <w:r w:rsidR="008B6700" w:rsidRPr="009B3A5F">
        <w:t xml:space="preserve"> that had been made</w:t>
      </w:r>
      <w:r w:rsidR="002A0CAA" w:rsidRPr="009B3A5F">
        <w:t xml:space="preserve"> on </w:t>
      </w:r>
      <w:r w:rsidR="00056E25" w:rsidRPr="009B3A5F">
        <w:t>Colgate’s</w:t>
      </w:r>
      <w:r w:rsidR="002A0CAA" w:rsidRPr="009B3A5F">
        <w:t>’ social media platform</w:t>
      </w:r>
      <w:r w:rsidR="00F6757D" w:rsidRPr="009B3A5F">
        <w:t>.</w:t>
      </w:r>
      <w:r w:rsidR="00424F86" w:rsidRPr="009B3A5F">
        <w:t xml:space="preserve"> Then allegations had been made about a past campaign in which the two firm were involved</w:t>
      </w:r>
      <w:r w:rsidR="00E33A2A" w:rsidRPr="009B3A5F">
        <w:t xml:space="preserve">. Colgate had accused Bliss of violating </w:t>
      </w:r>
      <w:r w:rsidR="0077330C" w:rsidRPr="009B3A5F">
        <w:t xml:space="preserve">both clauses 8 and 9 of the </w:t>
      </w:r>
      <w:r w:rsidR="0056370A" w:rsidRPr="009B3A5F">
        <w:t>C</w:t>
      </w:r>
      <w:r w:rsidR="0077330C" w:rsidRPr="009B3A5F">
        <w:t xml:space="preserve">ode </w:t>
      </w:r>
      <w:r w:rsidR="007E20FF" w:rsidRPr="009B3A5F">
        <w:t xml:space="preserve">when </w:t>
      </w:r>
      <w:r w:rsidR="0056370A" w:rsidRPr="009B3A5F">
        <w:t>the latter</w:t>
      </w:r>
      <w:r w:rsidR="007E20FF" w:rsidRPr="009B3A5F">
        <w:t xml:space="preserve"> marke</w:t>
      </w:r>
      <w:r w:rsidR="0056370A" w:rsidRPr="009B3A5F">
        <w:t>te</w:t>
      </w:r>
      <w:r w:rsidR="007E20FF" w:rsidRPr="009B3A5F">
        <w:t xml:space="preserve">d a fabric conditioner called </w:t>
      </w:r>
      <w:proofErr w:type="spellStart"/>
      <w:r w:rsidR="00047670" w:rsidRPr="009B3A5F">
        <w:t>Maq</w:t>
      </w:r>
      <w:proofErr w:type="spellEnd"/>
      <w:r w:rsidR="00047670" w:rsidRPr="009B3A5F">
        <w:t xml:space="preserve"> </w:t>
      </w:r>
      <w:r w:rsidR="00D95E56" w:rsidRPr="009B3A5F">
        <w:t>Soft which competes with the former</w:t>
      </w:r>
      <w:r w:rsidR="00F35FA7" w:rsidRPr="009B3A5F">
        <w:t>’</w:t>
      </w:r>
      <w:r w:rsidR="00D95E56" w:rsidRPr="009B3A5F">
        <w:t>s brand Sta Soft</w:t>
      </w:r>
      <w:r w:rsidR="00F35FA7" w:rsidRPr="009B3A5F">
        <w:t>,</w:t>
      </w:r>
      <w:r w:rsidR="00424F86" w:rsidRPr="009B3A5F">
        <w:t xml:space="preserve"> leading to </w:t>
      </w:r>
      <w:r w:rsidR="00D95E56" w:rsidRPr="009B3A5F">
        <w:t>accusations</w:t>
      </w:r>
      <w:r w:rsidR="00424F86" w:rsidRPr="009B3A5F">
        <w:t xml:space="preserve"> that Bliss was a serial imitator. Neethling </w:t>
      </w:r>
      <w:r w:rsidR="00E47372" w:rsidRPr="009B3A5F">
        <w:t>was</w:t>
      </w:r>
      <w:r w:rsidR="00424F86" w:rsidRPr="009B3A5F">
        <w:t xml:space="preserve"> correct in rejectin</w:t>
      </w:r>
      <w:r w:rsidR="00F35FA7" w:rsidRPr="009B3A5F">
        <w:t>g</w:t>
      </w:r>
      <w:r w:rsidR="00424F86" w:rsidRPr="009B3A5F">
        <w:t xml:space="preserve"> the </w:t>
      </w:r>
      <w:r w:rsidR="00BC613C" w:rsidRPr="009B3A5F">
        <w:t xml:space="preserve">weight and </w:t>
      </w:r>
      <w:r w:rsidR="00424F86" w:rsidRPr="009B3A5F">
        <w:t>relevance of these facts</w:t>
      </w:r>
      <w:r w:rsidR="00F35FA7" w:rsidRPr="009B3A5F">
        <w:t>.</w:t>
      </w:r>
      <w:r w:rsidR="00424F86" w:rsidRPr="009B3A5F">
        <w:t xml:space="preserve"> But these facts are not central to the core conclusion of the FAC majority </w:t>
      </w:r>
      <w:r w:rsidR="00301742" w:rsidRPr="009B3A5F">
        <w:t>which is premised on the degree of</w:t>
      </w:r>
      <w:r w:rsidR="00424F86" w:rsidRPr="009B3A5F">
        <w:t xml:space="preserve"> </w:t>
      </w:r>
      <w:r w:rsidR="00C56805" w:rsidRPr="009B3A5F">
        <w:t>‘</w:t>
      </w:r>
      <w:r w:rsidR="00424F86" w:rsidRPr="009B3A5F">
        <w:t>sameness</w:t>
      </w:r>
      <w:r w:rsidR="00C56805" w:rsidRPr="009B3A5F">
        <w:t>’</w:t>
      </w:r>
      <w:r w:rsidR="00424F86" w:rsidRPr="009B3A5F">
        <w:t>.</w:t>
      </w:r>
      <w:r w:rsidR="00471BA9" w:rsidRPr="009B3A5F">
        <w:t xml:space="preserve"> Nor indeed does </w:t>
      </w:r>
      <w:r w:rsidR="00424F86" w:rsidRPr="009B3A5F">
        <w:t>Neethling dispute the sameness</w:t>
      </w:r>
      <w:r w:rsidR="00147707" w:rsidRPr="009B3A5F">
        <w:t xml:space="preserve"> description</w:t>
      </w:r>
      <w:r w:rsidR="001770C6" w:rsidRPr="009B3A5F">
        <w:t xml:space="preserve">. </w:t>
      </w:r>
      <w:r w:rsidR="00424F86" w:rsidRPr="009B3A5F">
        <w:t xml:space="preserve">As he puts it: </w:t>
      </w:r>
      <w:r w:rsidR="00147707" w:rsidRPr="0015165F">
        <w:rPr>
          <w:i/>
        </w:rPr>
        <w:t>“There</w:t>
      </w:r>
      <w:r w:rsidR="00424F86" w:rsidRPr="0015165F">
        <w:rPr>
          <w:i/>
        </w:rPr>
        <w:t xml:space="preserve"> is a high degree of sameness in the packaging designs within the category</w:t>
      </w:r>
      <w:r w:rsidR="00632BF0" w:rsidRPr="0015165F">
        <w:rPr>
          <w:i/>
        </w:rPr>
        <w:t>.</w:t>
      </w:r>
      <w:r w:rsidR="00424F86" w:rsidRPr="009B3A5F">
        <w:t xml:space="preserve"> </w:t>
      </w:r>
      <w:r w:rsidR="00632BF0" w:rsidRPr="009B3A5F">
        <w:t>“</w:t>
      </w:r>
    </w:p>
    <w:p w14:paraId="2D80DBFC" w14:textId="5B33F63B" w:rsidR="00B67F7D" w:rsidRPr="009B3A5F" w:rsidRDefault="007972F5" w:rsidP="007972F5">
      <w:pPr>
        <w:spacing w:line="480" w:lineRule="auto"/>
        <w:ind w:left="720" w:hanging="720"/>
        <w:jc w:val="both"/>
      </w:pPr>
      <w:r>
        <w:lastRenderedPageBreak/>
        <w:t>[40]</w:t>
      </w:r>
      <w:r>
        <w:tab/>
      </w:r>
      <w:r w:rsidR="00632BF0" w:rsidRPr="009B3A5F">
        <w:t xml:space="preserve">Neethling is </w:t>
      </w:r>
      <w:r w:rsidR="00A45343" w:rsidRPr="009B3A5F">
        <w:t xml:space="preserve">thus </w:t>
      </w:r>
      <w:r w:rsidR="00632BF0" w:rsidRPr="009B3A5F">
        <w:t>not disputing the core factual conclusion of the majority.</w:t>
      </w:r>
      <w:r w:rsidR="001770C6" w:rsidRPr="009B3A5F">
        <w:t xml:space="preserve"> He just does not consider </w:t>
      </w:r>
      <w:r w:rsidR="002B17BD" w:rsidRPr="009B3A5F">
        <w:t>sameness</w:t>
      </w:r>
      <w:r w:rsidR="001770C6" w:rsidRPr="009B3A5F">
        <w:t xml:space="preserve"> an issue of significance</w:t>
      </w:r>
      <w:r w:rsidR="00632BF0" w:rsidRPr="009B3A5F">
        <w:t xml:space="preserve">. </w:t>
      </w:r>
      <w:r w:rsidR="0046739A" w:rsidRPr="009B3A5F">
        <w:t xml:space="preserve">It seems </w:t>
      </w:r>
      <w:r w:rsidR="003A7788" w:rsidRPr="009B3A5F">
        <w:t>f</w:t>
      </w:r>
      <w:r w:rsidR="00632BF0" w:rsidRPr="009B3A5F">
        <w:t xml:space="preserve">or him that originality is overrated. Advertisers will tend to come up with similar offerings. This means that the difference between the minority and </w:t>
      </w:r>
      <w:r w:rsidR="00A45343" w:rsidRPr="009B3A5F">
        <w:t>majority</w:t>
      </w:r>
      <w:r w:rsidR="00632BF0" w:rsidRPr="009B3A5F">
        <w:t xml:space="preserve"> on this point </w:t>
      </w:r>
      <w:r w:rsidR="0067076D" w:rsidRPr="009B3A5F">
        <w:t>(and</w:t>
      </w:r>
      <w:r w:rsidR="00632BF0" w:rsidRPr="009B3A5F">
        <w:t xml:space="preserve"> prev</w:t>
      </w:r>
      <w:r w:rsidR="00A45343" w:rsidRPr="009B3A5F">
        <w:t>iously</w:t>
      </w:r>
      <w:r w:rsidR="00632BF0" w:rsidRPr="009B3A5F">
        <w:t xml:space="preserve"> the AAC) is a policy one. How much sameness is tolerable before the ARB invokes clause 8 against an advertiser. </w:t>
      </w:r>
    </w:p>
    <w:p w14:paraId="48736AE8" w14:textId="1B92C14C" w:rsidR="00424F86" w:rsidRPr="009B3A5F" w:rsidRDefault="007972F5" w:rsidP="007972F5">
      <w:pPr>
        <w:spacing w:line="480" w:lineRule="auto"/>
        <w:ind w:left="720" w:hanging="720"/>
        <w:jc w:val="both"/>
      </w:pPr>
      <w:r>
        <w:t>[41]</w:t>
      </w:r>
      <w:r>
        <w:tab/>
      </w:r>
      <w:r w:rsidR="00632BF0" w:rsidRPr="009B3A5F">
        <w:t>It is not for a court to second guess either approach</w:t>
      </w:r>
      <w:r w:rsidR="00B67F7D" w:rsidRPr="009B3A5F">
        <w:t>;</w:t>
      </w:r>
      <w:r w:rsidR="00632BF0" w:rsidRPr="009B3A5F">
        <w:t xml:space="preserve"> that of </w:t>
      </w:r>
      <w:r w:rsidR="0067076D" w:rsidRPr="009B3A5F">
        <w:t>Neethling</w:t>
      </w:r>
      <w:r w:rsidR="00632BF0" w:rsidRPr="009B3A5F">
        <w:t xml:space="preserve"> or the </w:t>
      </w:r>
      <w:r w:rsidR="0067076D" w:rsidRPr="009B3A5F">
        <w:t>majority</w:t>
      </w:r>
      <w:r w:rsidR="002C002A" w:rsidRPr="009B3A5F">
        <w:t xml:space="preserve">. </w:t>
      </w:r>
      <w:r w:rsidR="00632BF0" w:rsidRPr="009B3A5F">
        <w:t xml:space="preserve">What is clear is that on the core issue there is no factual error that would justify a review court interfering with it. </w:t>
      </w:r>
      <w:r w:rsidR="00AA47F8" w:rsidRPr="009B3A5F">
        <w:t>T</w:t>
      </w:r>
      <w:r w:rsidR="00632BF0" w:rsidRPr="009B3A5F">
        <w:t>his issue is one of policy which is for the ARB</w:t>
      </w:r>
      <w:r w:rsidR="00473A6D" w:rsidRPr="009B3A5F">
        <w:t>,</w:t>
      </w:r>
      <w:r w:rsidR="00632BF0" w:rsidRPr="009B3A5F">
        <w:t xml:space="preserve"> as the guardian of the industry norms and standards</w:t>
      </w:r>
      <w:r w:rsidR="00473A6D" w:rsidRPr="009B3A5F">
        <w:t>,</w:t>
      </w:r>
      <w:r w:rsidR="00632BF0" w:rsidRPr="009B3A5F">
        <w:t xml:space="preserve"> to take </w:t>
      </w:r>
      <w:r w:rsidR="00473A6D" w:rsidRPr="009B3A5F">
        <w:t>its</w:t>
      </w:r>
      <w:r w:rsidR="00632BF0" w:rsidRPr="009B3A5F">
        <w:t xml:space="preserve"> own view. Nor does the fact that some other evidence on which the majority sort to bolster its conclusion is irrelevant </w:t>
      </w:r>
      <w:r w:rsidR="00B95757" w:rsidRPr="009B3A5F">
        <w:t>(the</w:t>
      </w:r>
      <w:r w:rsidR="00632BF0" w:rsidRPr="009B3A5F">
        <w:t xml:space="preserve"> prior dispute between the parties for another product) or is based on slim pickings </w:t>
      </w:r>
      <w:r w:rsidR="00D93CB5" w:rsidRPr="009B3A5F">
        <w:t>(the</w:t>
      </w:r>
      <w:r w:rsidR="00632BF0" w:rsidRPr="009B3A5F">
        <w:t xml:space="preserve"> Facebook confusion posts</w:t>
      </w:r>
      <w:r w:rsidR="00446FC4" w:rsidRPr="009B3A5F">
        <w:t>).</w:t>
      </w:r>
      <w:r w:rsidR="0030502B" w:rsidRPr="009B3A5F">
        <w:t xml:space="preserve"> </w:t>
      </w:r>
      <w:r w:rsidR="00B03DAF" w:rsidRPr="009B3A5F">
        <w:t xml:space="preserve">The core issue on which the FAC majority based its decision was based on the “sameness” between the respective brands brand architecture. As </w:t>
      </w:r>
      <w:r w:rsidR="00540BF0" w:rsidRPr="009B3A5F">
        <w:t>an issue of fact this was consistent with the view taken by the fou</w:t>
      </w:r>
      <w:r w:rsidR="009C0B85" w:rsidRPr="009B3A5F">
        <w:t xml:space="preserve">r members of the </w:t>
      </w:r>
      <w:r w:rsidR="00446FC4" w:rsidRPr="009B3A5F">
        <w:t>AAC. Even</w:t>
      </w:r>
      <w:r w:rsidR="009C0B85" w:rsidRPr="009B3A5F">
        <w:t xml:space="preserve"> those who took a contrary view as to whether </w:t>
      </w:r>
      <w:r w:rsidR="001D0FA8" w:rsidRPr="009B3A5F">
        <w:t xml:space="preserve">there had been a contravention of Clause 8 </w:t>
      </w:r>
      <w:r w:rsidR="005155A1" w:rsidRPr="009B3A5F">
        <w:t>(the</w:t>
      </w:r>
      <w:r w:rsidR="001D0FA8" w:rsidRPr="009B3A5F">
        <w:t xml:space="preserve"> Directorate and the FAC minority</w:t>
      </w:r>
      <w:r w:rsidR="00992BF2" w:rsidRPr="009B3A5F">
        <w:t xml:space="preserve"> (Neethling and </w:t>
      </w:r>
      <w:r w:rsidR="00D9689C" w:rsidRPr="009B3A5F">
        <w:t>Gendel) did</w:t>
      </w:r>
      <w:r w:rsidR="00C51674" w:rsidRPr="009B3A5F">
        <w:t xml:space="preserve"> not disagree on the factual conclusion of sameness. </w:t>
      </w:r>
    </w:p>
    <w:p w14:paraId="161C224F" w14:textId="0775004E" w:rsidR="007E64DE" w:rsidRPr="009B3A5F" w:rsidRDefault="0065017F" w:rsidP="0065017F">
      <w:pPr>
        <w:spacing w:line="480" w:lineRule="auto"/>
        <w:ind w:left="720" w:hanging="720"/>
        <w:jc w:val="both"/>
      </w:pPr>
      <w:r>
        <w:t>[42]</w:t>
      </w:r>
      <w:r>
        <w:tab/>
      </w:r>
      <w:r w:rsidR="007E64DE" w:rsidRPr="009B3A5F">
        <w:t xml:space="preserve">The FAC majority in concluding on the issue of sameness </w:t>
      </w:r>
      <w:r w:rsidR="00D14743" w:rsidRPr="009B3A5F">
        <w:t xml:space="preserve">complied with the interpretive guidance the Code lays down. </w:t>
      </w:r>
      <w:r w:rsidR="00446FC4" w:rsidRPr="009B3A5F">
        <w:t>Thus,</w:t>
      </w:r>
      <w:r w:rsidR="00D14743" w:rsidRPr="009B3A5F">
        <w:t xml:space="preserve"> the Code states:</w:t>
      </w:r>
    </w:p>
    <w:p w14:paraId="0F692888" w14:textId="7C65791C" w:rsidR="00640AE5" w:rsidRPr="009B3A5F" w:rsidRDefault="00640AE5" w:rsidP="0065017F">
      <w:pPr>
        <w:pStyle w:val="ListParagraph"/>
        <w:spacing w:line="480" w:lineRule="auto"/>
        <w:ind w:left="1080"/>
        <w:jc w:val="both"/>
      </w:pPr>
      <w:r w:rsidRPr="009B3A5F">
        <w:rPr>
          <w:i/>
          <w:iCs/>
        </w:rPr>
        <w:t xml:space="preserve">3.2 In assessing an advertisement's conformity to the terms of this Code, the </w:t>
      </w:r>
      <w:r w:rsidRPr="009B3A5F">
        <w:rPr>
          <w:i/>
          <w:iCs/>
          <w:u w:val="single"/>
        </w:rPr>
        <w:t>primary test</w:t>
      </w:r>
      <w:r w:rsidRPr="009B3A5F">
        <w:rPr>
          <w:i/>
          <w:iCs/>
        </w:rPr>
        <w:t xml:space="preserve"> applied will be that of the probable impact of the advertisement </w:t>
      </w:r>
      <w:proofErr w:type="gramStart"/>
      <w:r w:rsidRPr="009B3A5F">
        <w:rPr>
          <w:i/>
          <w:iCs/>
        </w:rPr>
        <w:t>as a whole upon</w:t>
      </w:r>
      <w:proofErr w:type="gramEnd"/>
      <w:r w:rsidRPr="009B3A5F">
        <w:rPr>
          <w:i/>
          <w:iCs/>
        </w:rPr>
        <w:t xml:space="preserve"> those who are likely to see or hear it. Due </w:t>
      </w:r>
      <w:r w:rsidRPr="009B3A5F">
        <w:rPr>
          <w:i/>
          <w:iCs/>
        </w:rPr>
        <w:lastRenderedPageBreak/>
        <w:t xml:space="preserve">regard will be paid to each part of its contents, visual and aural, and to the nature of the medium through which it is conveyed. </w:t>
      </w:r>
      <w:r w:rsidR="001E0591" w:rsidRPr="009B3A5F">
        <w:t>(</w:t>
      </w:r>
      <w:r w:rsidR="008975A4" w:rsidRPr="009B3A5F">
        <w:t>E</w:t>
      </w:r>
      <w:r w:rsidR="001E0591" w:rsidRPr="009B3A5F">
        <w:t>mphasis provided)</w:t>
      </w:r>
    </w:p>
    <w:p w14:paraId="628119F6" w14:textId="7D8B9323" w:rsidR="00334E85" w:rsidRPr="0065017F" w:rsidRDefault="0065017F" w:rsidP="0065017F">
      <w:pPr>
        <w:spacing w:line="480" w:lineRule="auto"/>
        <w:ind w:left="720" w:hanging="720"/>
        <w:jc w:val="both"/>
        <w:rPr>
          <w:i/>
          <w:iCs/>
        </w:rPr>
      </w:pPr>
      <w:r>
        <w:t>[43]</w:t>
      </w:r>
      <w:r>
        <w:tab/>
      </w:r>
      <w:r w:rsidR="001E0591" w:rsidRPr="009B3A5F">
        <w:t xml:space="preserve">The FAC majority </w:t>
      </w:r>
      <w:r w:rsidR="005D6203" w:rsidRPr="009B3A5F">
        <w:t xml:space="preserve">applied the primary test when they concluded that Bliss had contravened Clause 8 of the Code. This </w:t>
      </w:r>
      <w:r w:rsidR="00B11021" w:rsidRPr="009B3A5F">
        <w:t>r</w:t>
      </w:r>
      <w:r w:rsidR="005D6203" w:rsidRPr="009B3A5F">
        <w:t xml:space="preserve">uling does not amount to a reviewable irregularity. Nor for that matter was it irrational. </w:t>
      </w:r>
    </w:p>
    <w:p w14:paraId="0C45BCE9" w14:textId="7A9A1A46" w:rsidR="00640AE5" w:rsidRPr="00A8157D" w:rsidRDefault="00A8157D" w:rsidP="00A8157D">
      <w:pPr>
        <w:spacing w:line="480" w:lineRule="auto"/>
        <w:ind w:left="1069" w:hanging="360"/>
        <w:jc w:val="both"/>
        <w:rPr>
          <w:i/>
          <w:iCs/>
        </w:rPr>
      </w:pPr>
      <w:r w:rsidRPr="0065017F">
        <w:rPr>
          <w:b/>
          <w:bCs/>
        </w:rPr>
        <w:t>b.</w:t>
      </w:r>
      <w:r w:rsidRPr="0065017F">
        <w:rPr>
          <w:b/>
          <w:bCs/>
        </w:rPr>
        <w:tab/>
      </w:r>
      <w:r w:rsidR="0030502B" w:rsidRPr="00A8157D">
        <w:rPr>
          <w:b/>
        </w:rPr>
        <w:t xml:space="preserve">Clause 9 </w:t>
      </w:r>
      <w:r w:rsidR="009F59F6" w:rsidRPr="00A8157D">
        <w:rPr>
          <w:b/>
        </w:rPr>
        <w:t>of the Code</w:t>
      </w:r>
    </w:p>
    <w:p w14:paraId="6FA93592" w14:textId="4F7953FD" w:rsidR="00640AE5" w:rsidRPr="0065017F" w:rsidRDefault="0065017F" w:rsidP="0065017F">
      <w:pPr>
        <w:spacing w:line="480" w:lineRule="auto"/>
        <w:ind w:left="709" w:hanging="709"/>
        <w:jc w:val="both"/>
        <w:rPr>
          <w:bCs/>
        </w:rPr>
      </w:pPr>
      <w:r>
        <w:rPr>
          <w:bCs/>
        </w:rPr>
        <w:t>[44]</w:t>
      </w:r>
      <w:r>
        <w:rPr>
          <w:bCs/>
        </w:rPr>
        <w:tab/>
      </w:r>
      <w:r w:rsidR="00640AE5" w:rsidRPr="0065017F">
        <w:rPr>
          <w:bCs/>
        </w:rPr>
        <w:t xml:space="preserve">The FAC also found that the Bliss advert for </w:t>
      </w:r>
      <w:proofErr w:type="spellStart"/>
      <w:r w:rsidR="00640AE5" w:rsidRPr="0065017F">
        <w:rPr>
          <w:bCs/>
        </w:rPr>
        <w:t>Securex</w:t>
      </w:r>
      <w:proofErr w:type="spellEnd"/>
      <w:r w:rsidR="00640AE5" w:rsidRPr="0065017F">
        <w:rPr>
          <w:bCs/>
        </w:rPr>
        <w:t xml:space="preserve"> contravened clause 9 of the Code.</w:t>
      </w:r>
    </w:p>
    <w:p w14:paraId="5687D285" w14:textId="5A89DE3E" w:rsidR="0030502B" w:rsidRPr="002F19ED" w:rsidRDefault="0046703F" w:rsidP="002F19ED">
      <w:pPr>
        <w:spacing w:line="480" w:lineRule="auto"/>
        <w:jc w:val="both"/>
        <w:rPr>
          <w:bCs/>
        </w:rPr>
      </w:pPr>
      <w:r>
        <w:rPr>
          <w:bCs/>
        </w:rPr>
        <w:t>[45]</w:t>
      </w:r>
      <w:r>
        <w:rPr>
          <w:bCs/>
        </w:rPr>
        <w:tab/>
      </w:r>
      <w:r w:rsidR="00935457" w:rsidRPr="002F19ED">
        <w:rPr>
          <w:bCs/>
        </w:rPr>
        <w:t xml:space="preserve">This clause </w:t>
      </w:r>
      <w:r w:rsidR="00E8006E" w:rsidRPr="002F19ED">
        <w:rPr>
          <w:bCs/>
        </w:rPr>
        <w:t>states:</w:t>
      </w:r>
    </w:p>
    <w:p w14:paraId="31665965" w14:textId="3D62E172" w:rsidR="00640AE5" w:rsidRPr="009B3A5F" w:rsidRDefault="00640AE5" w:rsidP="0046703F">
      <w:pPr>
        <w:pStyle w:val="ListParagraph"/>
        <w:spacing w:line="480" w:lineRule="auto"/>
        <w:ind w:left="1440"/>
        <w:jc w:val="both"/>
        <w:rPr>
          <w:bCs/>
          <w:i/>
          <w:iCs/>
        </w:rPr>
      </w:pPr>
      <w:r w:rsidRPr="009B3A5F">
        <w:rPr>
          <w:bCs/>
          <w:i/>
          <w:iCs/>
        </w:rPr>
        <w:t xml:space="preserve">9.1 An advertiser should not copy an existing advertisement, local or international, or any part thereof in a manner that is </w:t>
      </w:r>
      <w:r w:rsidR="00E8006E" w:rsidRPr="009B3A5F">
        <w:rPr>
          <w:bCs/>
          <w:i/>
          <w:iCs/>
        </w:rPr>
        <w:t>recognisable</w:t>
      </w:r>
      <w:r w:rsidRPr="009B3A5F">
        <w:rPr>
          <w:bCs/>
          <w:i/>
          <w:iCs/>
        </w:rPr>
        <w:t xml:space="preserve"> or clearly evokes the existing concept and which may result in the likely loss of potential advertising value. This will apply notwithstanding the fact that there is no likelihood of confusion or deception or that the existing concept has not been generally exposed.</w:t>
      </w:r>
    </w:p>
    <w:p w14:paraId="7FFC4D05" w14:textId="621D4D5C" w:rsidR="00640AE5" w:rsidRPr="0046703F" w:rsidRDefault="0046703F" w:rsidP="0046703F">
      <w:pPr>
        <w:spacing w:line="480" w:lineRule="auto"/>
        <w:ind w:left="720" w:hanging="720"/>
        <w:jc w:val="both"/>
        <w:rPr>
          <w:bCs/>
          <w:i/>
          <w:iCs/>
        </w:rPr>
      </w:pPr>
      <w:r>
        <w:rPr>
          <w:bCs/>
        </w:rPr>
        <w:t>[46]</w:t>
      </w:r>
      <w:r>
        <w:rPr>
          <w:bCs/>
        </w:rPr>
        <w:tab/>
      </w:r>
      <w:r w:rsidR="00640AE5" w:rsidRPr="0046703F">
        <w:rPr>
          <w:bCs/>
        </w:rPr>
        <w:t>A reading of both clauses 8 and 9 suggests that the</w:t>
      </w:r>
      <w:r w:rsidR="00ED03C7" w:rsidRPr="0046703F">
        <w:rPr>
          <w:bCs/>
        </w:rPr>
        <w:t>y</w:t>
      </w:r>
      <w:r w:rsidR="00640AE5" w:rsidRPr="0046703F">
        <w:rPr>
          <w:bCs/>
        </w:rPr>
        <w:t xml:space="preserve"> deal with the same transgression. However</w:t>
      </w:r>
      <w:r w:rsidR="000F6B15" w:rsidRPr="0046703F">
        <w:rPr>
          <w:bCs/>
        </w:rPr>
        <w:t xml:space="preserve">, the SCA has held </w:t>
      </w:r>
      <w:r w:rsidR="00640AE5" w:rsidRPr="0046703F">
        <w:rPr>
          <w:bCs/>
        </w:rPr>
        <w:t xml:space="preserve">this is not so. </w:t>
      </w:r>
      <w:r w:rsidR="000F6B15" w:rsidRPr="0046703F">
        <w:rPr>
          <w:bCs/>
        </w:rPr>
        <w:t>I</w:t>
      </w:r>
      <w:r w:rsidR="00640AE5" w:rsidRPr="0046703F">
        <w:rPr>
          <w:bCs/>
        </w:rPr>
        <w:t xml:space="preserve">n </w:t>
      </w:r>
      <w:r w:rsidR="00F81B52" w:rsidRPr="0046703F">
        <w:rPr>
          <w:bCs/>
          <w:i/>
          <w:iCs/>
        </w:rPr>
        <w:t>South African Airways (Pty) Ltd [Appellant] and Comair Ltd t/a Kulula.co</w:t>
      </w:r>
      <w:r w:rsidR="000F6B15" w:rsidRPr="0046703F">
        <w:rPr>
          <w:bCs/>
          <w:i/>
          <w:iCs/>
        </w:rPr>
        <w:t>m</w:t>
      </w:r>
      <w:r w:rsidR="000F6B15" w:rsidRPr="0046703F">
        <w:rPr>
          <w:bCs/>
        </w:rPr>
        <w:t xml:space="preserve"> Lewis JA considered the issue of the similarity:</w:t>
      </w:r>
    </w:p>
    <w:p w14:paraId="35D9EA78" w14:textId="2CB56F98" w:rsidR="000F6B15" w:rsidRPr="009B3A5F" w:rsidRDefault="00B11021" w:rsidP="00526D84">
      <w:pPr>
        <w:pStyle w:val="ListParagraph"/>
        <w:spacing w:line="480" w:lineRule="auto"/>
        <w:ind w:left="2160"/>
        <w:jc w:val="both"/>
        <w:rPr>
          <w:bCs/>
          <w:i/>
          <w:iCs/>
        </w:rPr>
      </w:pPr>
      <w:r w:rsidRPr="009B3A5F">
        <w:rPr>
          <w:bCs/>
          <w:i/>
          <w:iCs/>
        </w:rPr>
        <w:t>“Although</w:t>
      </w:r>
      <w:r w:rsidR="00F81B52" w:rsidRPr="009B3A5F">
        <w:rPr>
          <w:bCs/>
          <w:i/>
          <w:iCs/>
        </w:rPr>
        <w:t xml:space="preserve"> at times this Committee has considered that Clauses 8 and 9 provide related protections, it is clear from the language of the two provisions </w:t>
      </w:r>
      <w:r w:rsidR="000F6B15" w:rsidRPr="009B3A5F">
        <w:rPr>
          <w:bCs/>
          <w:i/>
          <w:iCs/>
        </w:rPr>
        <w:t xml:space="preserve">… </w:t>
      </w:r>
      <w:r w:rsidR="00F81B52" w:rsidRPr="009B3A5F">
        <w:rPr>
          <w:bCs/>
          <w:i/>
          <w:iCs/>
        </w:rPr>
        <w:t xml:space="preserve">that their purpose and reach is different. Clause 9 emphasises that it is protecting "advertisements" that </w:t>
      </w:r>
      <w:r w:rsidR="00F81B52" w:rsidRPr="009B3A5F">
        <w:rPr>
          <w:bCs/>
          <w:i/>
          <w:iCs/>
        </w:rPr>
        <w:lastRenderedPageBreak/>
        <w:t xml:space="preserve">have an "existing concept", not "the goodwill" arising from trade names, </w:t>
      </w:r>
      <w:proofErr w:type="gramStart"/>
      <w:r w:rsidR="00F81B52" w:rsidRPr="009B3A5F">
        <w:rPr>
          <w:bCs/>
          <w:i/>
          <w:iCs/>
        </w:rPr>
        <w:t>symbols</w:t>
      </w:r>
      <w:proofErr w:type="gramEnd"/>
      <w:r w:rsidR="00F81B52" w:rsidRPr="009B3A5F">
        <w:rPr>
          <w:bCs/>
          <w:i/>
          <w:iCs/>
        </w:rPr>
        <w:t xml:space="preserve"> or advertising which Clause 8 explicitly protects.</w:t>
      </w:r>
      <w:r w:rsidR="000F6B15" w:rsidRPr="009B3A5F">
        <w:rPr>
          <w:bCs/>
          <w:i/>
          <w:iCs/>
        </w:rPr>
        <w:t>”</w:t>
      </w:r>
    </w:p>
    <w:p w14:paraId="460F0E6C" w14:textId="2A0776B8" w:rsidR="000F6B15" w:rsidRPr="00526D84" w:rsidRDefault="00526D84" w:rsidP="00526D84">
      <w:pPr>
        <w:spacing w:line="480" w:lineRule="auto"/>
        <w:jc w:val="both"/>
        <w:rPr>
          <w:bCs/>
          <w:i/>
          <w:iCs/>
        </w:rPr>
      </w:pPr>
      <w:r>
        <w:rPr>
          <w:bCs/>
        </w:rPr>
        <w:t>[47]</w:t>
      </w:r>
      <w:r>
        <w:rPr>
          <w:bCs/>
        </w:rPr>
        <w:tab/>
      </w:r>
      <w:r w:rsidR="000F6B15" w:rsidRPr="00526D84">
        <w:rPr>
          <w:bCs/>
        </w:rPr>
        <w:t>Lewis JA went on to consider that Clause 9 was meant to do</w:t>
      </w:r>
      <w:r w:rsidR="0077562F" w:rsidRPr="00526D84">
        <w:rPr>
          <w:bCs/>
        </w:rPr>
        <w:t>:</w:t>
      </w:r>
    </w:p>
    <w:p w14:paraId="0427EE07" w14:textId="0B3CC549" w:rsidR="00F81B52" w:rsidRPr="009B3A5F" w:rsidRDefault="00FF5473" w:rsidP="00526D84">
      <w:pPr>
        <w:pStyle w:val="ListParagraph"/>
        <w:spacing w:line="480" w:lineRule="auto"/>
        <w:ind w:left="2160"/>
        <w:jc w:val="both"/>
        <w:rPr>
          <w:bCs/>
          <w:i/>
          <w:iCs/>
        </w:rPr>
      </w:pPr>
      <w:r w:rsidRPr="009B3A5F">
        <w:rPr>
          <w:bCs/>
          <w:i/>
          <w:iCs/>
        </w:rPr>
        <w:t>“</w:t>
      </w:r>
      <w:r w:rsidR="00F81B52" w:rsidRPr="009B3A5F">
        <w:rPr>
          <w:bCs/>
          <w:i/>
          <w:iCs/>
        </w:rPr>
        <w:t xml:space="preserve">The primary purpose of Clause 9 thus appears to be the protection of the intellectual and creative idea that is given form in a particular advertisement. As the Committee has held </w:t>
      </w:r>
      <w:proofErr w:type="gramStart"/>
      <w:r w:rsidR="00F81B52" w:rsidRPr="009B3A5F">
        <w:rPr>
          <w:bCs/>
          <w:i/>
          <w:iCs/>
        </w:rPr>
        <w:t>on</w:t>
      </w:r>
      <w:proofErr w:type="gramEnd"/>
      <w:r w:rsidR="00F81B52" w:rsidRPr="009B3A5F">
        <w:rPr>
          <w:bCs/>
          <w:i/>
          <w:iCs/>
        </w:rPr>
        <w:t xml:space="preserve"> previous occasions, what is protected is the element of original or intellectual thought behind the advertisement itself. Even though Clause 9 protects not only the whole advertisement, but also parts of it, in each case it will be necessary to establish that what has been imitated or copied is an existing advertising concept which is the product of intellectual and creative thought. Clause 9 can thus best be construed as providing protection to the intellectual creativity that informs the development of advertisements. Although it is true that the Code defines "advertisement" broadly to include any "visual or aural communication. intended to promote" the sale or lease of goods or services, this broad definition should not detract from recognising that the purpose of Clause 9 is to prevent the copying or imitating of advertising concepts.</w:t>
      </w:r>
    </w:p>
    <w:p w14:paraId="1E8BAFC4" w14:textId="59CDB2F5" w:rsidR="000F6B15" w:rsidRPr="00526D84" w:rsidRDefault="00526D84" w:rsidP="00526D84">
      <w:pPr>
        <w:spacing w:line="480" w:lineRule="auto"/>
        <w:ind w:left="720" w:hanging="720"/>
        <w:jc w:val="both"/>
        <w:rPr>
          <w:bCs/>
          <w:i/>
          <w:iCs/>
        </w:rPr>
      </w:pPr>
      <w:r>
        <w:rPr>
          <w:bCs/>
        </w:rPr>
        <w:t>[48]</w:t>
      </w:r>
      <w:r>
        <w:rPr>
          <w:bCs/>
        </w:rPr>
        <w:tab/>
      </w:r>
      <w:r w:rsidR="000F6B15" w:rsidRPr="00526D84">
        <w:rPr>
          <w:bCs/>
        </w:rPr>
        <w:t xml:space="preserve">Bliss argues that the FAC has not met this test. It has not explained why Bliss has imitated or copied an existing advertising concept. This same argument had found traction in the minority decision of Neethling whose view was that there was nothing particularly original about the Colgate add. It was what one </w:t>
      </w:r>
      <w:r w:rsidR="000F6B15" w:rsidRPr="00526D84">
        <w:rPr>
          <w:bCs/>
        </w:rPr>
        <w:lastRenderedPageBreak/>
        <w:t xml:space="preserve">might expect in the category for this type </w:t>
      </w:r>
      <w:r w:rsidR="00944FE7" w:rsidRPr="00526D84">
        <w:rPr>
          <w:bCs/>
        </w:rPr>
        <w:t xml:space="preserve">of </w:t>
      </w:r>
      <w:r w:rsidR="000F6B15" w:rsidRPr="00526D84">
        <w:rPr>
          <w:bCs/>
        </w:rPr>
        <w:t xml:space="preserve">product. </w:t>
      </w:r>
      <w:r w:rsidR="00B16434" w:rsidRPr="00526D84">
        <w:rPr>
          <w:bCs/>
        </w:rPr>
        <w:t>In his response</w:t>
      </w:r>
      <w:r w:rsidR="00A010CE" w:rsidRPr="00526D84">
        <w:rPr>
          <w:bCs/>
        </w:rPr>
        <w:t>,</w:t>
      </w:r>
      <w:r w:rsidR="00B16434" w:rsidRPr="00526D84">
        <w:rPr>
          <w:bCs/>
        </w:rPr>
        <w:t xml:space="preserve"> Mokoena</w:t>
      </w:r>
      <w:r w:rsidR="00C734A3" w:rsidRPr="00526D84">
        <w:rPr>
          <w:bCs/>
        </w:rPr>
        <w:t>,</w:t>
      </w:r>
      <w:r w:rsidR="00B16434" w:rsidRPr="00526D84">
        <w:rPr>
          <w:bCs/>
        </w:rPr>
        <w:t xml:space="preserve"> who was part of the majority</w:t>
      </w:r>
      <w:r w:rsidR="00A010CE" w:rsidRPr="00526D84">
        <w:rPr>
          <w:bCs/>
        </w:rPr>
        <w:t>,</w:t>
      </w:r>
      <w:r w:rsidR="00B16434" w:rsidRPr="00526D84">
        <w:rPr>
          <w:bCs/>
        </w:rPr>
        <w:t xml:space="preserve"> wrote that Bliss had not taken a </w:t>
      </w:r>
      <w:r w:rsidR="00B11021" w:rsidRPr="00526D84">
        <w:rPr>
          <w:bCs/>
        </w:rPr>
        <w:t>“spoonful</w:t>
      </w:r>
      <w:r w:rsidR="00B16434" w:rsidRPr="00526D84">
        <w:rPr>
          <w:bCs/>
          <w:i/>
          <w:iCs/>
        </w:rPr>
        <w:t xml:space="preserve"> of inspiration but a </w:t>
      </w:r>
      <w:proofErr w:type="spellStart"/>
      <w:r w:rsidR="00946A48" w:rsidRPr="00526D84">
        <w:rPr>
          <w:bCs/>
          <w:i/>
          <w:iCs/>
        </w:rPr>
        <w:t>spadeful</w:t>
      </w:r>
      <w:proofErr w:type="spellEnd"/>
      <w:r w:rsidR="001B39AA" w:rsidRPr="00526D84">
        <w:rPr>
          <w:bCs/>
          <w:i/>
          <w:iCs/>
        </w:rPr>
        <w:t>.”</w:t>
      </w:r>
      <w:r w:rsidR="00B16434" w:rsidRPr="00526D84">
        <w:rPr>
          <w:bCs/>
        </w:rPr>
        <w:t xml:space="preserve"> Albeit phrased as a metaphor what Mokoena is saying is that Bliss had gone beyond what might be considered a permissible boundary of emulation and had copied or imitated Colgate’s product   </w:t>
      </w:r>
    </w:p>
    <w:p w14:paraId="31D05F65" w14:textId="4EA78CE4" w:rsidR="00AB0BE3" w:rsidRPr="00526D84" w:rsidRDefault="00526D84" w:rsidP="00526D84">
      <w:pPr>
        <w:spacing w:line="480" w:lineRule="auto"/>
        <w:ind w:left="720" w:hanging="720"/>
        <w:jc w:val="both"/>
        <w:rPr>
          <w:bCs/>
          <w:i/>
          <w:iCs/>
        </w:rPr>
      </w:pPr>
      <w:r>
        <w:rPr>
          <w:bCs/>
        </w:rPr>
        <w:t>[49]</w:t>
      </w:r>
      <w:r>
        <w:rPr>
          <w:bCs/>
        </w:rPr>
        <w:tab/>
      </w:r>
      <w:r w:rsidR="000F6B15" w:rsidRPr="00526D84">
        <w:rPr>
          <w:bCs/>
        </w:rPr>
        <w:t>In his decision Ngoep</w:t>
      </w:r>
      <w:r w:rsidR="00B16434" w:rsidRPr="00526D84">
        <w:rPr>
          <w:bCs/>
        </w:rPr>
        <w:t>e</w:t>
      </w:r>
      <w:r w:rsidR="000F6B15" w:rsidRPr="00526D84">
        <w:rPr>
          <w:bCs/>
        </w:rPr>
        <w:t xml:space="preserve"> J writes that he accepts the analysis of the AAC in this respect without elaborating on it much further. </w:t>
      </w:r>
      <w:r w:rsidR="009F00E2" w:rsidRPr="00526D84">
        <w:rPr>
          <w:bCs/>
        </w:rPr>
        <w:t xml:space="preserve">The AAC described Bliss as a serial imitator </w:t>
      </w:r>
      <w:r w:rsidR="00761DA5" w:rsidRPr="00526D84">
        <w:rPr>
          <w:bCs/>
        </w:rPr>
        <w:t>because of the Sta</w:t>
      </w:r>
      <w:r w:rsidR="00736807" w:rsidRPr="00526D84">
        <w:rPr>
          <w:bCs/>
        </w:rPr>
        <w:t>-</w:t>
      </w:r>
      <w:r w:rsidR="00761DA5" w:rsidRPr="00526D84">
        <w:rPr>
          <w:bCs/>
        </w:rPr>
        <w:t>So</w:t>
      </w:r>
      <w:r w:rsidR="00AD033D" w:rsidRPr="00526D84">
        <w:rPr>
          <w:bCs/>
        </w:rPr>
        <w:t>f</w:t>
      </w:r>
      <w:r w:rsidR="00761DA5" w:rsidRPr="00526D84">
        <w:rPr>
          <w:bCs/>
        </w:rPr>
        <w:t xml:space="preserve">t </w:t>
      </w:r>
      <w:r w:rsidR="00AD033D" w:rsidRPr="00526D84">
        <w:rPr>
          <w:bCs/>
        </w:rPr>
        <w:t>/</w:t>
      </w:r>
      <w:proofErr w:type="spellStart"/>
      <w:r w:rsidR="00761DA5" w:rsidRPr="00526D84">
        <w:rPr>
          <w:bCs/>
        </w:rPr>
        <w:t>Ma</w:t>
      </w:r>
      <w:r w:rsidR="00FC18BF" w:rsidRPr="00526D84">
        <w:rPr>
          <w:bCs/>
        </w:rPr>
        <w:t>q</w:t>
      </w:r>
      <w:proofErr w:type="spellEnd"/>
      <w:r w:rsidR="00BB5A2C" w:rsidRPr="00526D84">
        <w:rPr>
          <w:bCs/>
        </w:rPr>
        <w:t xml:space="preserve"> Soft dispute </w:t>
      </w:r>
      <w:r w:rsidR="005A5D4B" w:rsidRPr="00526D84">
        <w:rPr>
          <w:bCs/>
        </w:rPr>
        <w:t xml:space="preserve">between the same two firms that </w:t>
      </w:r>
      <w:r w:rsidR="00BB5A2C" w:rsidRPr="00526D84">
        <w:rPr>
          <w:bCs/>
        </w:rPr>
        <w:t xml:space="preserve">I referred to </w:t>
      </w:r>
      <w:r w:rsidR="00B11021" w:rsidRPr="00526D84">
        <w:rPr>
          <w:bCs/>
        </w:rPr>
        <w:t>earlier.</w:t>
      </w:r>
      <w:r w:rsidR="00AB0BE3" w:rsidRPr="009B3A5F">
        <w:rPr>
          <w:rStyle w:val="FootnoteReference"/>
          <w:bCs/>
        </w:rPr>
        <w:footnoteReference w:id="18"/>
      </w:r>
      <w:r w:rsidR="009F00E2" w:rsidRPr="00526D84">
        <w:rPr>
          <w:bCs/>
        </w:rPr>
        <w:t xml:space="preserve"> Bliss correctly argues that the whatever the merits of the Sta</w:t>
      </w:r>
      <w:r w:rsidR="00736807" w:rsidRPr="00526D84">
        <w:rPr>
          <w:bCs/>
        </w:rPr>
        <w:t>-</w:t>
      </w:r>
      <w:r w:rsidR="009F00E2" w:rsidRPr="00526D84">
        <w:rPr>
          <w:bCs/>
        </w:rPr>
        <w:t>Soft</w:t>
      </w:r>
      <w:r w:rsidR="005A5D4B" w:rsidRPr="00526D84">
        <w:rPr>
          <w:bCs/>
        </w:rPr>
        <w:t xml:space="preserve">/ </w:t>
      </w:r>
      <w:proofErr w:type="spellStart"/>
      <w:r w:rsidR="005A5D4B" w:rsidRPr="00526D84">
        <w:rPr>
          <w:bCs/>
        </w:rPr>
        <w:t>Maq</w:t>
      </w:r>
      <w:proofErr w:type="spellEnd"/>
      <w:r w:rsidR="005A5D4B" w:rsidRPr="00526D84">
        <w:rPr>
          <w:bCs/>
        </w:rPr>
        <w:t xml:space="preserve"> Soft</w:t>
      </w:r>
      <w:r w:rsidR="009F00E2" w:rsidRPr="00526D84">
        <w:rPr>
          <w:bCs/>
        </w:rPr>
        <w:t xml:space="preserve"> dispute it was irrelevant to any finding in respect of </w:t>
      </w:r>
      <w:proofErr w:type="spellStart"/>
      <w:r w:rsidR="009F00E2" w:rsidRPr="00526D84">
        <w:rPr>
          <w:bCs/>
        </w:rPr>
        <w:t>Protex</w:t>
      </w:r>
      <w:proofErr w:type="spellEnd"/>
      <w:r w:rsidR="009F00E2" w:rsidRPr="00526D84">
        <w:rPr>
          <w:bCs/>
        </w:rPr>
        <w:t xml:space="preserve"> and </w:t>
      </w:r>
      <w:proofErr w:type="spellStart"/>
      <w:r w:rsidR="009F00E2" w:rsidRPr="00526D84">
        <w:rPr>
          <w:bCs/>
        </w:rPr>
        <w:t>Securex</w:t>
      </w:r>
      <w:proofErr w:type="spellEnd"/>
      <w:r w:rsidR="009F00E2" w:rsidRPr="00526D84">
        <w:rPr>
          <w:bCs/>
        </w:rPr>
        <w:t xml:space="preserve">. </w:t>
      </w:r>
    </w:p>
    <w:p w14:paraId="714E4889" w14:textId="453A19F6" w:rsidR="00F13BC1" w:rsidRPr="009A1D79" w:rsidRDefault="009A1D79" w:rsidP="009A1D79">
      <w:pPr>
        <w:spacing w:line="480" w:lineRule="auto"/>
        <w:ind w:left="720" w:hanging="720"/>
        <w:jc w:val="both"/>
        <w:rPr>
          <w:bCs/>
          <w:i/>
          <w:iCs/>
        </w:rPr>
      </w:pPr>
      <w:r>
        <w:rPr>
          <w:bCs/>
        </w:rPr>
        <w:t>[50]</w:t>
      </w:r>
      <w:r>
        <w:rPr>
          <w:bCs/>
        </w:rPr>
        <w:tab/>
      </w:r>
      <w:r w:rsidR="009F00E2" w:rsidRPr="009A1D79">
        <w:rPr>
          <w:bCs/>
        </w:rPr>
        <w:t>However</w:t>
      </w:r>
      <w:r w:rsidR="00AB0BE3" w:rsidRPr="009A1D79">
        <w:rPr>
          <w:bCs/>
        </w:rPr>
        <w:t>,</w:t>
      </w:r>
      <w:r w:rsidR="009F00E2" w:rsidRPr="009A1D79">
        <w:rPr>
          <w:bCs/>
        </w:rPr>
        <w:t xml:space="preserve"> despite this</w:t>
      </w:r>
      <w:r w:rsidR="00736807" w:rsidRPr="009A1D79">
        <w:rPr>
          <w:bCs/>
        </w:rPr>
        <w:t>,</w:t>
      </w:r>
      <w:r w:rsidR="009F00E2" w:rsidRPr="009A1D79">
        <w:rPr>
          <w:bCs/>
        </w:rPr>
        <w:t xml:space="preserve"> </w:t>
      </w:r>
      <w:r w:rsidR="004730AF" w:rsidRPr="009A1D79">
        <w:rPr>
          <w:bCs/>
        </w:rPr>
        <w:t xml:space="preserve">the AAC </w:t>
      </w:r>
      <w:r w:rsidR="009F00E2" w:rsidRPr="009A1D79">
        <w:rPr>
          <w:bCs/>
        </w:rPr>
        <w:t>had embarked on a detailed comparison of the advertising architecture of the products and noted their similarity and that most significantly for it</w:t>
      </w:r>
      <w:r w:rsidR="00736807" w:rsidRPr="009A1D79">
        <w:rPr>
          <w:bCs/>
        </w:rPr>
        <w:t>,</w:t>
      </w:r>
      <w:r w:rsidR="009F00E2" w:rsidRPr="009A1D79">
        <w:rPr>
          <w:bCs/>
        </w:rPr>
        <w:t xml:space="preserve"> that </w:t>
      </w:r>
      <w:r w:rsidR="00AB0BE3" w:rsidRPr="009A1D79">
        <w:rPr>
          <w:bCs/>
        </w:rPr>
        <w:t>Bliss</w:t>
      </w:r>
      <w:r w:rsidR="009F00E2" w:rsidRPr="009A1D79">
        <w:rPr>
          <w:bCs/>
        </w:rPr>
        <w:t xml:space="preserve">’ design change </w:t>
      </w:r>
      <w:r w:rsidR="00AB0BE3" w:rsidRPr="009A1D79">
        <w:rPr>
          <w:bCs/>
        </w:rPr>
        <w:t xml:space="preserve">to </w:t>
      </w:r>
      <w:proofErr w:type="spellStart"/>
      <w:r w:rsidR="00AB0BE3" w:rsidRPr="009A1D79">
        <w:rPr>
          <w:bCs/>
        </w:rPr>
        <w:t>Securex</w:t>
      </w:r>
      <w:proofErr w:type="spellEnd"/>
      <w:r w:rsidR="00AB0BE3" w:rsidRPr="009A1D79">
        <w:rPr>
          <w:bCs/>
        </w:rPr>
        <w:t xml:space="preserve"> </w:t>
      </w:r>
      <w:r w:rsidR="009F00E2" w:rsidRPr="009A1D79">
        <w:rPr>
          <w:bCs/>
        </w:rPr>
        <w:t xml:space="preserve">in 2018 had let to Bliss to make a design change that despite some differences, in the panel’s view moved the two products closer to one another. </w:t>
      </w:r>
      <w:r w:rsidR="004730AF" w:rsidRPr="009A1D79">
        <w:rPr>
          <w:bCs/>
        </w:rPr>
        <w:t xml:space="preserve"> </w:t>
      </w:r>
    </w:p>
    <w:p w14:paraId="2B37EFF5" w14:textId="075C9270" w:rsidR="000F6B15" w:rsidRPr="008D2CD9" w:rsidRDefault="008D2CD9" w:rsidP="008D2CD9">
      <w:pPr>
        <w:spacing w:line="480" w:lineRule="auto"/>
        <w:ind w:left="720" w:hanging="720"/>
        <w:jc w:val="both"/>
        <w:rPr>
          <w:bCs/>
          <w:i/>
          <w:iCs/>
        </w:rPr>
      </w:pPr>
      <w:r>
        <w:rPr>
          <w:bCs/>
        </w:rPr>
        <w:t>[51]</w:t>
      </w:r>
      <w:r>
        <w:rPr>
          <w:bCs/>
        </w:rPr>
        <w:tab/>
      </w:r>
      <w:r w:rsidR="00F13BC1" w:rsidRPr="008D2CD9">
        <w:rPr>
          <w:bCs/>
        </w:rPr>
        <w:t>Unlike the Directorate</w:t>
      </w:r>
      <w:r w:rsidR="00ED050D" w:rsidRPr="008D2CD9">
        <w:rPr>
          <w:bCs/>
        </w:rPr>
        <w:t>,</w:t>
      </w:r>
      <w:r w:rsidR="00F13BC1" w:rsidRPr="008D2CD9">
        <w:rPr>
          <w:bCs/>
        </w:rPr>
        <w:t xml:space="preserve"> the AAC went back into the history of the similarities because it regarded this as relevant to an assessment of a breach of the </w:t>
      </w:r>
      <w:r w:rsidR="00ED050D" w:rsidRPr="008D2CD9">
        <w:rPr>
          <w:bCs/>
        </w:rPr>
        <w:t>C</w:t>
      </w:r>
      <w:r w:rsidR="00F13BC1" w:rsidRPr="008D2CD9">
        <w:rPr>
          <w:bCs/>
        </w:rPr>
        <w:t xml:space="preserve">ode. It noted that since </w:t>
      </w:r>
      <w:proofErr w:type="spellStart"/>
      <w:r w:rsidR="00B035B9" w:rsidRPr="008D2CD9">
        <w:rPr>
          <w:bCs/>
        </w:rPr>
        <w:t>Secur</w:t>
      </w:r>
      <w:r w:rsidR="00F13BC1" w:rsidRPr="008D2CD9">
        <w:rPr>
          <w:bCs/>
        </w:rPr>
        <w:t>ex’s</w:t>
      </w:r>
      <w:proofErr w:type="spellEnd"/>
      <w:r w:rsidR="00F13BC1" w:rsidRPr="008D2CD9">
        <w:rPr>
          <w:bCs/>
        </w:rPr>
        <w:t xml:space="preserve"> launch in </w:t>
      </w:r>
      <w:r w:rsidR="00A767C0" w:rsidRPr="008D2CD9">
        <w:rPr>
          <w:bCs/>
        </w:rPr>
        <w:t>2011, these</w:t>
      </w:r>
      <w:r w:rsidR="004730AF" w:rsidRPr="008D2CD9">
        <w:rPr>
          <w:bCs/>
        </w:rPr>
        <w:t xml:space="preserve"> </w:t>
      </w:r>
      <w:r w:rsidR="00F13BC1" w:rsidRPr="008D2CD9">
        <w:rPr>
          <w:bCs/>
        </w:rPr>
        <w:t>similarities</w:t>
      </w:r>
      <w:r w:rsidR="004730AF" w:rsidRPr="008D2CD9">
        <w:rPr>
          <w:bCs/>
        </w:rPr>
        <w:t xml:space="preserve"> were not only visual but also aural, and conceptual</w:t>
      </w:r>
      <w:r w:rsidR="00F13BC1" w:rsidRPr="008D2CD9">
        <w:rPr>
          <w:bCs/>
        </w:rPr>
        <w:t>,</w:t>
      </w:r>
      <w:r w:rsidR="004730AF" w:rsidRPr="008D2CD9">
        <w:rPr>
          <w:bCs/>
        </w:rPr>
        <w:t xml:space="preserve"> because the name chosen was similar </w:t>
      </w:r>
      <w:r w:rsidR="005155A1" w:rsidRPr="008D2CD9">
        <w:rPr>
          <w:bCs/>
        </w:rPr>
        <w:t>“both</w:t>
      </w:r>
      <w:r w:rsidR="004730AF" w:rsidRPr="008D2CD9">
        <w:rPr>
          <w:bCs/>
        </w:rPr>
        <w:t xml:space="preserve"> in aural </w:t>
      </w:r>
      <w:r w:rsidR="00D12DE4" w:rsidRPr="008D2CD9">
        <w:rPr>
          <w:bCs/>
        </w:rPr>
        <w:t>pronunciation</w:t>
      </w:r>
      <w:r w:rsidR="004730AF" w:rsidRPr="008D2CD9">
        <w:rPr>
          <w:bCs/>
        </w:rPr>
        <w:t xml:space="preserve"> and conceptual meaning</w:t>
      </w:r>
      <w:r w:rsidR="00B035B9" w:rsidRPr="008D2CD9">
        <w:rPr>
          <w:bCs/>
        </w:rPr>
        <w:t>”</w:t>
      </w:r>
      <w:r w:rsidR="00F13BC1" w:rsidRPr="008D2CD9">
        <w:rPr>
          <w:bCs/>
        </w:rPr>
        <w:t xml:space="preserve">. </w:t>
      </w:r>
      <w:proofErr w:type="spellStart"/>
      <w:r w:rsidR="00F13BC1" w:rsidRPr="008D2CD9">
        <w:rPr>
          <w:bCs/>
        </w:rPr>
        <w:t>Securex</w:t>
      </w:r>
      <w:proofErr w:type="spellEnd"/>
      <w:r w:rsidR="00F13BC1" w:rsidRPr="008D2CD9">
        <w:rPr>
          <w:bCs/>
        </w:rPr>
        <w:t xml:space="preserve"> also </w:t>
      </w:r>
      <w:r w:rsidR="004730AF" w:rsidRPr="008D2CD9">
        <w:rPr>
          <w:bCs/>
        </w:rPr>
        <w:t xml:space="preserve">had four variants </w:t>
      </w:r>
      <w:r w:rsidR="00B035B9" w:rsidRPr="008D2CD9">
        <w:rPr>
          <w:bCs/>
        </w:rPr>
        <w:t>(the</w:t>
      </w:r>
      <w:r w:rsidR="00F13BC1" w:rsidRPr="008D2CD9">
        <w:rPr>
          <w:bCs/>
        </w:rPr>
        <w:t xml:space="preserve"> same as </w:t>
      </w:r>
      <w:proofErr w:type="spellStart"/>
      <w:r w:rsidR="00F13BC1" w:rsidRPr="008D2CD9">
        <w:rPr>
          <w:bCs/>
        </w:rPr>
        <w:t>Protex</w:t>
      </w:r>
      <w:proofErr w:type="spellEnd"/>
      <w:r w:rsidR="00F13BC1" w:rsidRPr="008D2CD9">
        <w:rPr>
          <w:bCs/>
        </w:rPr>
        <w:t xml:space="preserve">) three of which had the same colour as the </w:t>
      </w:r>
      <w:proofErr w:type="spellStart"/>
      <w:r w:rsidR="00F13BC1" w:rsidRPr="008D2CD9">
        <w:rPr>
          <w:bCs/>
        </w:rPr>
        <w:t>Protex</w:t>
      </w:r>
      <w:proofErr w:type="spellEnd"/>
      <w:r w:rsidR="001B39AA" w:rsidRPr="008D2CD9">
        <w:rPr>
          <w:bCs/>
        </w:rPr>
        <w:t xml:space="preserve">. </w:t>
      </w:r>
      <w:r w:rsidR="009F00E2" w:rsidRPr="008D2CD9">
        <w:rPr>
          <w:bCs/>
        </w:rPr>
        <w:lastRenderedPageBreak/>
        <w:t xml:space="preserve">It also </w:t>
      </w:r>
      <w:r w:rsidR="00AB0BE3" w:rsidRPr="008D2CD9">
        <w:rPr>
          <w:bCs/>
        </w:rPr>
        <w:t xml:space="preserve">accepted </w:t>
      </w:r>
      <w:r w:rsidR="001261C8" w:rsidRPr="008D2CD9">
        <w:rPr>
          <w:bCs/>
        </w:rPr>
        <w:t>Colgate’s</w:t>
      </w:r>
      <w:r w:rsidR="00AB0BE3" w:rsidRPr="008D2CD9">
        <w:rPr>
          <w:bCs/>
        </w:rPr>
        <w:t xml:space="preserve">’ submission </w:t>
      </w:r>
      <w:r w:rsidR="009F00E2" w:rsidRPr="008D2CD9">
        <w:rPr>
          <w:bCs/>
        </w:rPr>
        <w:t xml:space="preserve">that </w:t>
      </w:r>
      <w:r w:rsidR="00AB0BE3" w:rsidRPr="008D2CD9">
        <w:rPr>
          <w:bCs/>
        </w:rPr>
        <w:t xml:space="preserve">none of the </w:t>
      </w:r>
      <w:r w:rsidR="009F00E2" w:rsidRPr="008D2CD9">
        <w:rPr>
          <w:bCs/>
        </w:rPr>
        <w:t>other soaps in the same</w:t>
      </w:r>
      <w:r w:rsidR="00AB0BE3" w:rsidRPr="008D2CD9">
        <w:rPr>
          <w:bCs/>
        </w:rPr>
        <w:t xml:space="preserve"> germ </w:t>
      </w:r>
      <w:r w:rsidR="000026DB" w:rsidRPr="008D2CD9">
        <w:rPr>
          <w:bCs/>
        </w:rPr>
        <w:t>protection were</w:t>
      </w:r>
      <w:r w:rsidR="00AB0BE3" w:rsidRPr="008D2CD9">
        <w:rPr>
          <w:bCs/>
        </w:rPr>
        <w:t xml:space="preserve"> packaged in a manner that resembled that of </w:t>
      </w:r>
      <w:proofErr w:type="spellStart"/>
      <w:r w:rsidR="00AB0BE3" w:rsidRPr="008D2CD9">
        <w:rPr>
          <w:bCs/>
        </w:rPr>
        <w:t>Protex</w:t>
      </w:r>
      <w:proofErr w:type="spellEnd"/>
      <w:r w:rsidR="00AB0BE3" w:rsidRPr="008D2CD9">
        <w:rPr>
          <w:bCs/>
        </w:rPr>
        <w:t>.</w:t>
      </w:r>
      <w:r w:rsidR="00F13BC1" w:rsidRPr="008D2CD9">
        <w:rPr>
          <w:bCs/>
        </w:rPr>
        <w:t xml:space="preserve"> The AAC’s conclusion was that </w:t>
      </w:r>
      <w:r w:rsidR="005155A1" w:rsidRPr="008D2CD9">
        <w:rPr>
          <w:bCs/>
          <w:i/>
          <w:iCs/>
        </w:rPr>
        <w:t>“...</w:t>
      </w:r>
      <w:r w:rsidR="00F13BC1" w:rsidRPr="008D2CD9">
        <w:rPr>
          <w:bCs/>
          <w:i/>
          <w:iCs/>
        </w:rPr>
        <w:t xml:space="preserve"> we find that Bliss has copied </w:t>
      </w:r>
      <w:r w:rsidR="00746ECD" w:rsidRPr="008D2CD9">
        <w:rPr>
          <w:bCs/>
          <w:i/>
          <w:iCs/>
        </w:rPr>
        <w:t xml:space="preserve">the </w:t>
      </w:r>
      <w:proofErr w:type="spellStart"/>
      <w:r w:rsidR="00746ECD" w:rsidRPr="008D2CD9">
        <w:rPr>
          <w:bCs/>
          <w:i/>
          <w:iCs/>
        </w:rPr>
        <w:t>Protex</w:t>
      </w:r>
      <w:proofErr w:type="spellEnd"/>
      <w:r w:rsidR="00746ECD" w:rsidRPr="008D2CD9">
        <w:rPr>
          <w:bCs/>
          <w:i/>
          <w:iCs/>
        </w:rPr>
        <w:t xml:space="preserve"> packaging in a manner that is recognisable and that clearly evokes the existing </w:t>
      </w:r>
      <w:proofErr w:type="spellStart"/>
      <w:r w:rsidR="00746ECD" w:rsidRPr="008D2CD9">
        <w:rPr>
          <w:bCs/>
          <w:i/>
          <w:iCs/>
        </w:rPr>
        <w:t>Protex</w:t>
      </w:r>
      <w:proofErr w:type="spellEnd"/>
      <w:r w:rsidR="00746ECD" w:rsidRPr="008D2CD9">
        <w:rPr>
          <w:bCs/>
          <w:i/>
          <w:iCs/>
        </w:rPr>
        <w:t xml:space="preserve"> concept.:</w:t>
      </w:r>
    </w:p>
    <w:p w14:paraId="6337B201" w14:textId="20A03B60" w:rsidR="00746ECD" w:rsidRPr="008D2CD9" w:rsidRDefault="008D2CD9" w:rsidP="008D2CD9">
      <w:pPr>
        <w:spacing w:line="480" w:lineRule="auto"/>
        <w:ind w:left="720" w:hanging="720"/>
        <w:jc w:val="both"/>
        <w:rPr>
          <w:bCs/>
          <w:i/>
          <w:iCs/>
        </w:rPr>
      </w:pPr>
      <w:r>
        <w:rPr>
          <w:bCs/>
        </w:rPr>
        <w:t>[52]</w:t>
      </w:r>
      <w:r>
        <w:rPr>
          <w:bCs/>
        </w:rPr>
        <w:tab/>
      </w:r>
      <w:r w:rsidR="00746ECD" w:rsidRPr="008D2CD9">
        <w:rPr>
          <w:bCs/>
        </w:rPr>
        <w:t>This a self-standing conclusion separate from the reliance on the Sta</w:t>
      </w:r>
      <w:r w:rsidR="00655598" w:rsidRPr="008D2CD9">
        <w:rPr>
          <w:bCs/>
        </w:rPr>
        <w:t>-</w:t>
      </w:r>
      <w:r w:rsidR="00746ECD" w:rsidRPr="008D2CD9">
        <w:rPr>
          <w:bCs/>
        </w:rPr>
        <w:t xml:space="preserve">Soft case, which is supported by the analysis of the two products. This reasoning of the AAC was approved by Ngoepe J in his consideration of whether Bliss had contravened Clause 9. </w:t>
      </w:r>
    </w:p>
    <w:p w14:paraId="282952E3" w14:textId="063F35AC" w:rsidR="002328FD" w:rsidRPr="00B04CC4" w:rsidRDefault="00B04CC4" w:rsidP="00B04CC4">
      <w:pPr>
        <w:spacing w:line="480" w:lineRule="auto"/>
        <w:ind w:left="720" w:hanging="720"/>
        <w:jc w:val="both"/>
        <w:rPr>
          <w:bCs/>
          <w:i/>
          <w:iCs/>
        </w:rPr>
      </w:pPr>
      <w:r>
        <w:rPr>
          <w:bCs/>
        </w:rPr>
        <w:t>[53]</w:t>
      </w:r>
      <w:r>
        <w:rPr>
          <w:bCs/>
        </w:rPr>
        <w:tab/>
      </w:r>
      <w:r w:rsidR="00746ECD" w:rsidRPr="00B04CC4">
        <w:rPr>
          <w:bCs/>
        </w:rPr>
        <w:t xml:space="preserve">Bliss also argued that the FAC had ignored </w:t>
      </w:r>
      <w:r w:rsidR="002328FD" w:rsidRPr="00B04CC4">
        <w:rPr>
          <w:bCs/>
        </w:rPr>
        <w:t xml:space="preserve">the design brief which Bliss had furnished </w:t>
      </w:r>
      <w:r w:rsidR="00DD23BF" w:rsidRPr="00B04CC4">
        <w:rPr>
          <w:bCs/>
        </w:rPr>
        <w:t xml:space="preserve">which </w:t>
      </w:r>
      <w:r w:rsidR="00A767C0" w:rsidRPr="00B04CC4">
        <w:rPr>
          <w:bCs/>
        </w:rPr>
        <w:t>“contained</w:t>
      </w:r>
      <w:r w:rsidR="00DD23BF" w:rsidRPr="00B04CC4">
        <w:rPr>
          <w:bCs/>
          <w:i/>
          <w:iCs/>
        </w:rPr>
        <w:t xml:space="preserve"> no instruction to copy the PROTEX packaging</w:t>
      </w:r>
      <w:r w:rsidR="00093BB5" w:rsidRPr="00B04CC4">
        <w:rPr>
          <w:bCs/>
          <w:i/>
          <w:iCs/>
        </w:rPr>
        <w:t>; and the advertisers’ [ Bliss</w:t>
      </w:r>
      <w:r w:rsidR="00B512F7" w:rsidRPr="00B04CC4">
        <w:rPr>
          <w:bCs/>
          <w:i/>
          <w:iCs/>
        </w:rPr>
        <w:t>] disavowal that the PROTEC packaging had been copied.”</w:t>
      </w:r>
    </w:p>
    <w:p w14:paraId="28815006" w14:textId="295D1FD8" w:rsidR="00931908" w:rsidRPr="00B04CC4" w:rsidRDefault="00B04CC4" w:rsidP="00B04CC4">
      <w:pPr>
        <w:spacing w:line="480" w:lineRule="auto"/>
        <w:ind w:left="720" w:hanging="720"/>
        <w:jc w:val="both"/>
        <w:rPr>
          <w:bCs/>
          <w:i/>
          <w:iCs/>
        </w:rPr>
      </w:pPr>
      <w:r>
        <w:rPr>
          <w:bCs/>
        </w:rPr>
        <w:t>[54]</w:t>
      </w:r>
      <w:r>
        <w:rPr>
          <w:bCs/>
        </w:rPr>
        <w:tab/>
      </w:r>
      <w:r w:rsidR="00931908" w:rsidRPr="00B04CC4">
        <w:rPr>
          <w:bCs/>
        </w:rPr>
        <w:t>Then Bliss seeks to rely on</w:t>
      </w:r>
      <w:r w:rsidR="003E23FA" w:rsidRPr="00B04CC4">
        <w:rPr>
          <w:bCs/>
        </w:rPr>
        <w:t xml:space="preserve"> two letters from its advertising agency Fountain</w:t>
      </w:r>
      <w:r w:rsidR="00E01BB6" w:rsidRPr="00B04CC4">
        <w:rPr>
          <w:bCs/>
        </w:rPr>
        <w:t xml:space="preserve">head which had refreshed </w:t>
      </w:r>
      <w:r w:rsidR="00A767C0" w:rsidRPr="00B04CC4">
        <w:rPr>
          <w:bCs/>
        </w:rPr>
        <w:t>the Bliss</w:t>
      </w:r>
      <w:r w:rsidR="00E01BB6" w:rsidRPr="00B04CC4">
        <w:rPr>
          <w:bCs/>
        </w:rPr>
        <w:t xml:space="preserve"> packaging in 2018,</w:t>
      </w:r>
      <w:r w:rsidR="000E693E" w:rsidRPr="00B04CC4">
        <w:rPr>
          <w:bCs/>
        </w:rPr>
        <w:t xml:space="preserve"> and in which the agency claimed </w:t>
      </w:r>
      <w:r w:rsidR="00E01BB6" w:rsidRPr="00B04CC4">
        <w:rPr>
          <w:bCs/>
        </w:rPr>
        <w:t xml:space="preserve">that it </w:t>
      </w:r>
      <w:r w:rsidR="00D56393" w:rsidRPr="00B04CC4">
        <w:rPr>
          <w:bCs/>
        </w:rPr>
        <w:t xml:space="preserve">was not instructed </w:t>
      </w:r>
      <w:r w:rsidR="00D9689C" w:rsidRPr="00B04CC4">
        <w:rPr>
          <w:bCs/>
        </w:rPr>
        <w:t>to,</w:t>
      </w:r>
      <w:r w:rsidR="00D56393" w:rsidRPr="00B04CC4">
        <w:rPr>
          <w:bCs/>
        </w:rPr>
        <w:t xml:space="preserve"> nor did it imitate the </w:t>
      </w:r>
      <w:proofErr w:type="spellStart"/>
      <w:r w:rsidR="00D56393" w:rsidRPr="00B04CC4">
        <w:rPr>
          <w:bCs/>
        </w:rPr>
        <w:t>Protex</w:t>
      </w:r>
      <w:proofErr w:type="spellEnd"/>
      <w:r w:rsidR="00D56393" w:rsidRPr="00B04CC4">
        <w:rPr>
          <w:bCs/>
        </w:rPr>
        <w:t xml:space="preserve"> packaging.</w:t>
      </w:r>
    </w:p>
    <w:p w14:paraId="3E6BACB4" w14:textId="1F971A9F" w:rsidR="00F70D32" w:rsidRPr="00B04CC4" w:rsidRDefault="00B04CC4" w:rsidP="00B04CC4">
      <w:pPr>
        <w:spacing w:line="480" w:lineRule="auto"/>
        <w:ind w:left="720" w:hanging="720"/>
        <w:jc w:val="both"/>
        <w:rPr>
          <w:bCs/>
          <w:i/>
          <w:iCs/>
        </w:rPr>
      </w:pPr>
      <w:r>
        <w:rPr>
          <w:bCs/>
        </w:rPr>
        <w:t>[55]</w:t>
      </w:r>
      <w:r>
        <w:rPr>
          <w:bCs/>
        </w:rPr>
        <w:tab/>
      </w:r>
      <w:r w:rsidR="00D56393" w:rsidRPr="00B04CC4">
        <w:rPr>
          <w:bCs/>
        </w:rPr>
        <w:t xml:space="preserve">The FAC majority does not refer to </w:t>
      </w:r>
      <w:r w:rsidR="00B740AE" w:rsidRPr="00B04CC4">
        <w:rPr>
          <w:bCs/>
        </w:rPr>
        <w:t xml:space="preserve">either of these </w:t>
      </w:r>
      <w:r w:rsidR="00247E72" w:rsidRPr="00B04CC4">
        <w:rPr>
          <w:bCs/>
        </w:rPr>
        <w:t>assertions</w:t>
      </w:r>
      <w:r w:rsidR="00B740AE" w:rsidRPr="00B04CC4">
        <w:rPr>
          <w:bCs/>
        </w:rPr>
        <w:t xml:space="preserve">. The question is whether this amounts to ignoring </w:t>
      </w:r>
      <w:r w:rsidR="004D6F89" w:rsidRPr="00B04CC4">
        <w:rPr>
          <w:bCs/>
        </w:rPr>
        <w:t xml:space="preserve">material </w:t>
      </w:r>
      <w:r w:rsidR="00276376" w:rsidRPr="00B04CC4">
        <w:rPr>
          <w:bCs/>
        </w:rPr>
        <w:t xml:space="preserve">relevant evidence. I will accept that </w:t>
      </w:r>
      <w:r w:rsidR="00A23D2B" w:rsidRPr="00B04CC4">
        <w:rPr>
          <w:bCs/>
        </w:rPr>
        <w:t xml:space="preserve">evidence that the designers of the </w:t>
      </w:r>
      <w:proofErr w:type="spellStart"/>
      <w:r w:rsidR="00A23D2B" w:rsidRPr="00B04CC4">
        <w:rPr>
          <w:bCs/>
        </w:rPr>
        <w:t>Securex</w:t>
      </w:r>
      <w:proofErr w:type="spellEnd"/>
      <w:r w:rsidR="00A23D2B" w:rsidRPr="00B04CC4">
        <w:rPr>
          <w:bCs/>
        </w:rPr>
        <w:t xml:space="preserve"> packaging were not instructed to imitate the </w:t>
      </w:r>
      <w:proofErr w:type="spellStart"/>
      <w:r w:rsidR="00A23D2B" w:rsidRPr="00B04CC4">
        <w:rPr>
          <w:bCs/>
        </w:rPr>
        <w:t>Protex</w:t>
      </w:r>
      <w:proofErr w:type="spellEnd"/>
      <w:r w:rsidR="00A23D2B" w:rsidRPr="00B04CC4">
        <w:rPr>
          <w:bCs/>
        </w:rPr>
        <w:t xml:space="preserve"> brand is relevant.</w:t>
      </w:r>
    </w:p>
    <w:p w14:paraId="03300D69" w14:textId="18A987DA" w:rsidR="00746ECD" w:rsidRPr="00B04CC4" w:rsidRDefault="005F1C20" w:rsidP="005F1C20">
      <w:pPr>
        <w:spacing w:line="480" w:lineRule="auto"/>
        <w:ind w:left="720" w:hanging="720"/>
        <w:jc w:val="both"/>
        <w:rPr>
          <w:bCs/>
          <w:i/>
          <w:iCs/>
        </w:rPr>
      </w:pPr>
      <w:r>
        <w:rPr>
          <w:bCs/>
        </w:rPr>
        <w:t>[56]</w:t>
      </w:r>
      <w:r>
        <w:rPr>
          <w:bCs/>
        </w:rPr>
        <w:tab/>
      </w:r>
      <w:r w:rsidR="00746ECD" w:rsidRPr="00B04CC4">
        <w:rPr>
          <w:bCs/>
        </w:rPr>
        <w:t xml:space="preserve">But </w:t>
      </w:r>
      <w:r w:rsidR="00A767C0" w:rsidRPr="00B04CC4">
        <w:rPr>
          <w:bCs/>
        </w:rPr>
        <w:t>the real</w:t>
      </w:r>
      <w:r w:rsidR="00A53051" w:rsidRPr="00B04CC4">
        <w:rPr>
          <w:bCs/>
        </w:rPr>
        <w:t xml:space="preserve"> question is of its </w:t>
      </w:r>
      <w:r w:rsidR="00247E72" w:rsidRPr="00B04CC4">
        <w:rPr>
          <w:bCs/>
        </w:rPr>
        <w:t>probative</w:t>
      </w:r>
      <w:r w:rsidR="00A53051" w:rsidRPr="00B04CC4">
        <w:rPr>
          <w:bCs/>
        </w:rPr>
        <w:t xml:space="preserve"> weight. The mere assertion </w:t>
      </w:r>
      <w:r w:rsidR="00F63961" w:rsidRPr="00B04CC4">
        <w:rPr>
          <w:bCs/>
        </w:rPr>
        <w:t>about the instruction</w:t>
      </w:r>
      <w:r w:rsidR="00E60A45" w:rsidRPr="00B04CC4">
        <w:rPr>
          <w:bCs/>
        </w:rPr>
        <w:t xml:space="preserve"> in their brief</w:t>
      </w:r>
      <w:r w:rsidR="00F63961" w:rsidRPr="00B04CC4">
        <w:rPr>
          <w:bCs/>
        </w:rPr>
        <w:t xml:space="preserve"> is hardly decisive. </w:t>
      </w:r>
      <w:r w:rsidR="00EB2B58" w:rsidRPr="00B04CC4">
        <w:rPr>
          <w:bCs/>
        </w:rPr>
        <w:t xml:space="preserve">Given that the Bliss </w:t>
      </w:r>
      <w:r w:rsidR="004D6F89" w:rsidRPr="00B04CC4">
        <w:rPr>
          <w:bCs/>
        </w:rPr>
        <w:t xml:space="preserve">brand </w:t>
      </w:r>
      <w:r w:rsidR="00EB2B58" w:rsidRPr="00B04CC4">
        <w:rPr>
          <w:bCs/>
        </w:rPr>
        <w:t>was always the follower</w:t>
      </w:r>
      <w:r w:rsidR="004D6F89" w:rsidRPr="00B04CC4">
        <w:rPr>
          <w:bCs/>
        </w:rPr>
        <w:t xml:space="preserve">, </w:t>
      </w:r>
      <w:r w:rsidR="00EB2B58" w:rsidRPr="00B04CC4">
        <w:rPr>
          <w:bCs/>
        </w:rPr>
        <w:t>and not the leader</w:t>
      </w:r>
      <w:r w:rsidR="004D6F89" w:rsidRPr="00B04CC4">
        <w:rPr>
          <w:bCs/>
        </w:rPr>
        <w:t>,</w:t>
      </w:r>
      <w:r w:rsidR="00EB2B58" w:rsidRPr="00B04CC4">
        <w:rPr>
          <w:bCs/>
        </w:rPr>
        <w:t xml:space="preserve"> in this instance this assertion could rightly be treated with some scepticism</w:t>
      </w:r>
      <w:r w:rsidR="004D6F89" w:rsidRPr="00B04CC4">
        <w:rPr>
          <w:bCs/>
        </w:rPr>
        <w:t>,</w:t>
      </w:r>
      <w:r w:rsidR="00EB2B58" w:rsidRPr="00B04CC4">
        <w:rPr>
          <w:bCs/>
        </w:rPr>
        <w:t xml:space="preserve"> particularly in an </w:t>
      </w:r>
      <w:r w:rsidR="00E60A45" w:rsidRPr="00B04CC4">
        <w:rPr>
          <w:bCs/>
        </w:rPr>
        <w:t>industry</w:t>
      </w:r>
      <w:r w:rsidR="00EB2B58" w:rsidRPr="00B04CC4">
        <w:rPr>
          <w:bCs/>
        </w:rPr>
        <w:t xml:space="preserve"> like </w:t>
      </w:r>
      <w:r w:rsidR="00A767C0" w:rsidRPr="00B04CC4">
        <w:rPr>
          <w:bCs/>
        </w:rPr>
        <w:t>advertising where</w:t>
      </w:r>
      <w:r w:rsidR="00EB2B58" w:rsidRPr="00B04CC4">
        <w:rPr>
          <w:bCs/>
        </w:rPr>
        <w:t xml:space="preserve"> </w:t>
      </w:r>
      <w:r w:rsidR="00EB2B58" w:rsidRPr="00B04CC4">
        <w:rPr>
          <w:bCs/>
        </w:rPr>
        <w:lastRenderedPageBreak/>
        <w:t xml:space="preserve">practitioners are unlikely to concede that they are not </w:t>
      </w:r>
      <w:r w:rsidR="00D9689C" w:rsidRPr="00B04CC4">
        <w:rPr>
          <w:bCs/>
        </w:rPr>
        <w:t>innovators.</w:t>
      </w:r>
      <w:r w:rsidR="00EB2B58" w:rsidRPr="00B04CC4">
        <w:rPr>
          <w:bCs/>
        </w:rPr>
        <w:t xml:space="preserve"> I consider this evidence carried little weight against the</w:t>
      </w:r>
      <w:r w:rsidR="00760410" w:rsidRPr="00B04CC4">
        <w:rPr>
          <w:bCs/>
        </w:rPr>
        <w:t xml:space="preserve"> weight of the</w:t>
      </w:r>
      <w:r w:rsidR="00EB2B58" w:rsidRPr="00B04CC4">
        <w:rPr>
          <w:bCs/>
        </w:rPr>
        <w:t xml:space="preserve"> other </w:t>
      </w:r>
      <w:r w:rsidR="008D53E1" w:rsidRPr="00B04CC4">
        <w:rPr>
          <w:bCs/>
        </w:rPr>
        <w:t>inferences</w:t>
      </w:r>
      <w:r w:rsidR="00EB2B58" w:rsidRPr="00B04CC4">
        <w:rPr>
          <w:bCs/>
        </w:rPr>
        <w:t xml:space="preserve"> that were drawn</w:t>
      </w:r>
      <w:r w:rsidR="00760410" w:rsidRPr="00B04CC4">
        <w:rPr>
          <w:bCs/>
        </w:rPr>
        <w:t>,</w:t>
      </w:r>
      <w:r w:rsidR="00EB2B58" w:rsidRPr="00B04CC4">
        <w:rPr>
          <w:bCs/>
        </w:rPr>
        <w:t xml:space="preserve"> and the failure </w:t>
      </w:r>
      <w:r w:rsidR="00A767C0" w:rsidRPr="00B04CC4">
        <w:rPr>
          <w:bCs/>
        </w:rPr>
        <w:t>to mention</w:t>
      </w:r>
      <w:r w:rsidR="00EB2B58" w:rsidRPr="00B04CC4">
        <w:rPr>
          <w:bCs/>
        </w:rPr>
        <w:t xml:space="preserve"> it</w:t>
      </w:r>
      <w:r w:rsidR="0091667D" w:rsidRPr="00B04CC4">
        <w:rPr>
          <w:bCs/>
        </w:rPr>
        <w:t>,</w:t>
      </w:r>
      <w:r w:rsidR="00EB2B58" w:rsidRPr="00B04CC4">
        <w:rPr>
          <w:bCs/>
        </w:rPr>
        <w:t xml:space="preserve"> in either of the FAC </w:t>
      </w:r>
      <w:r w:rsidR="0091667D" w:rsidRPr="00B04CC4">
        <w:rPr>
          <w:bCs/>
        </w:rPr>
        <w:t xml:space="preserve">majority </w:t>
      </w:r>
      <w:r w:rsidR="00EB2B58" w:rsidRPr="00B04CC4">
        <w:rPr>
          <w:bCs/>
        </w:rPr>
        <w:t>decisions</w:t>
      </w:r>
      <w:r w:rsidR="0091667D" w:rsidRPr="00B04CC4">
        <w:rPr>
          <w:bCs/>
        </w:rPr>
        <w:t>,</w:t>
      </w:r>
      <w:r w:rsidR="00EB2B58" w:rsidRPr="00B04CC4">
        <w:rPr>
          <w:bCs/>
        </w:rPr>
        <w:t xml:space="preserve"> does not </w:t>
      </w:r>
      <w:r w:rsidR="008D53E1" w:rsidRPr="00B04CC4">
        <w:rPr>
          <w:bCs/>
        </w:rPr>
        <w:t>constitute</w:t>
      </w:r>
      <w:r w:rsidR="00EB2B58" w:rsidRPr="00B04CC4">
        <w:rPr>
          <w:bCs/>
        </w:rPr>
        <w:t xml:space="preserve"> a review point.</w:t>
      </w:r>
      <w:r w:rsidR="001A4F16" w:rsidRPr="00B04CC4">
        <w:rPr>
          <w:bCs/>
        </w:rPr>
        <w:t xml:space="preserve"> As the full bench in </w:t>
      </w:r>
      <w:r w:rsidR="00C4249C" w:rsidRPr="00B04CC4">
        <w:rPr>
          <w:bCs/>
        </w:rPr>
        <w:t xml:space="preserve">the Western Cape in </w:t>
      </w:r>
      <w:r w:rsidR="001A4F16" w:rsidRPr="00B04CC4">
        <w:rPr>
          <w:bCs/>
          <w:i/>
          <w:iCs/>
        </w:rPr>
        <w:t xml:space="preserve">Hamata </w:t>
      </w:r>
      <w:r w:rsidR="001A4F16" w:rsidRPr="00B04CC4">
        <w:rPr>
          <w:bCs/>
        </w:rPr>
        <w:t>pointed out:</w:t>
      </w:r>
    </w:p>
    <w:p w14:paraId="0C7D6783" w14:textId="12A4EA7D" w:rsidR="001A4F16" w:rsidRPr="009B3A5F" w:rsidRDefault="00441970" w:rsidP="005F1C20">
      <w:pPr>
        <w:pStyle w:val="ListParagraph"/>
        <w:spacing w:line="480" w:lineRule="auto"/>
        <w:ind w:left="2160"/>
        <w:jc w:val="both"/>
        <w:rPr>
          <w:bCs/>
          <w:i/>
          <w:iCs/>
        </w:rPr>
      </w:pPr>
      <w:r w:rsidRPr="009B3A5F">
        <w:rPr>
          <w:bCs/>
          <w:i/>
          <w:iCs/>
        </w:rPr>
        <w:t>“</w:t>
      </w:r>
      <w:r w:rsidR="00F64344" w:rsidRPr="009B3A5F">
        <w:rPr>
          <w:bCs/>
          <w:i/>
          <w:iCs/>
        </w:rPr>
        <w:t>E</w:t>
      </w:r>
      <w:r w:rsidRPr="009B3A5F">
        <w:rPr>
          <w:bCs/>
          <w:i/>
          <w:iCs/>
        </w:rPr>
        <w:t xml:space="preserve">ven a court of law is not required to show that it took every </w:t>
      </w:r>
      <w:r w:rsidR="00674810" w:rsidRPr="009B3A5F">
        <w:rPr>
          <w:bCs/>
          <w:i/>
          <w:iCs/>
        </w:rPr>
        <w:t>relevant consideration into account or that it went through every relevant process.”</w:t>
      </w:r>
      <w:r w:rsidR="00CC6B5B" w:rsidRPr="009B3A5F">
        <w:rPr>
          <w:rStyle w:val="FootnoteReference"/>
          <w:bCs/>
          <w:i/>
          <w:iCs/>
        </w:rPr>
        <w:footnoteReference w:id="19"/>
      </w:r>
    </w:p>
    <w:p w14:paraId="752B26C9" w14:textId="43BC57B3" w:rsidR="00EB2B58" w:rsidRPr="005F1C20" w:rsidRDefault="00A677F5" w:rsidP="00A677F5">
      <w:pPr>
        <w:spacing w:line="480" w:lineRule="auto"/>
        <w:ind w:left="720" w:hanging="720"/>
        <w:jc w:val="both"/>
        <w:rPr>
          <w:bCs/>
          <w:i/>
          <w:iCs/>
        </w:rPr>
      </w:pPr>
      <w:r>
        <w:rPr>
          <w:bCs/>
        </w:rPr>
        <w:t>[57]</w:t>
      </w:r>
      <w:r>
        <w:rPr>
          <w:bCs/>
        </w:rPr>
        <w:tab/>
      </w:r>
      <w:r w:rsidR="00EB2B58" w:rsidRPr="005F1C20">
        <w:rPr>
          <w:bCs/>
        </w:rPr>
        <w:t xml:space="preserve">Finally, in relation to the contravention of </w:t>
      </w:r>
      <w:r w:rsidR="005079C9" w:rsidRPr="005F1C20">
        <w:rPr>
          <w:bCs/>
        </w:rPr>
        <w:t xml:space="preserve">either clause of </w:t>
      </w:r>
      <w:r w:rsidR="00EB2B58" w:rsidRPr="005F1C20">
        <w:rPr>
          <w:bCs/>
        </w:rPr>
        <w:t xml:space="preserve">the </w:t>
      </w:r>
      <w:r w:rsidR="003353F4" w:rsidRPr="005F1C20">
        <w:rPr>
          <w:bCs/>
        </w:rPr>
        <w:t>Code, I</w:t>
      </w:r>
      <w:r w:rsidR="00EB2B58" w:rsidRPr="005F1C20">
        <w:rPr>
          <w:bCs/>
        </w:rPr>
        <w:t xml:space="preserve"> consider whether the FAC judgment was irrational. </w:t>
      </w:r>
      <w:r w:rsidR="00A02FB9" w:rsidRPr="005F1C20">
        <w:rPr>
          <w:bCs/>
        </w:rPr>
        <w:t>Bliss</w:t>
      </w:r>
      <w:r w:rsidR="00DB4D33" w:rsidRPr="005F1C20">
        <w:rPr>
          <w:bCs/>
        </w:rPr>
        <w:t>,</w:t>
      </w:r>
      <w:r w:rsidR="005079C9" w:rsidRPr="005F1C20">
        <w:rPr>
          <w:bCs/>
        </w:rPr>
        <w:t xml:space="preserve"> as I mentioned </w:t>
      </w:r>
      <w:r w:rsidR="00DB4D33" w:rsidRPr="005F1C20">
        <w:rPr>
          <w:bCs/>
        </w:rPr>
        <w:t>earlier, belatedly</w:t>
      </w:r>
      <w:r w:rsidR="00A02FB9" w:rsidRPr="005F1C20">
        <w:rPr>
          <w:bCs/>
        </w:rPr>
        <w:t xml:space="preserve"> </w:t>
      </w:r>
      <w:r w:rsidR="007B03C8" w:rsidRPr="005F1C20">
        <w:rPr>
          <w:bCs/>
        </w:rPr>
        <w:t xml:space="preserve">raised this further </w:t>
      </w:r>
      <w:r w:rsidR="00A02FB9" w:rsidRPr="005F1C20">
        <w:rPr>
          <w:bCs/>
        </w:rPr>
        <w:t>ground of review</w:t>
      </w:r>
      <w:r w:rsidR="00EB2B58" w:rsidRPr="005F1C20">
        <w:rPr>
          <w:bCs/>
        </w:rPr>
        <w:t>. In brief it argues</w:t>
      </w:r>
      <w:r w:rsidR="009711CB" w:rsidRPr="005F1C20">
        <w:rPr>
          <w:bCs/>
        </w:rPr>
        <w:t>,</w:t>
      </w:r>
      <w:r w:rsidR="00EB2B58" w:rsidRPr="005F1C20">
        <w:rPr>
          <w:bCs/>
        </w:rPr>
        <w:t xml:space="preserve"> </w:t>
      </w:r>
      <w:r w:rsidR="00D20FC6" w:rsidRPr="005F1C20">
        <w:rPr>
          <w:bCs/>
        </w:rPr>
        <w:t>based on the same facts</w:t>
      </w:r>
      <w:r w:rsidR="009711CB" w:rsidRPr="005F1C20">
        <w:rPr>
          <w:bCs/>
        </w:rPr>
        <w:t>,</w:t>
      </w:r>
      <w:r w:rsidR="00D20FC6" w:rsidRPr="005F1C20">
        <w:rPr>
          <w:bCs/>
        </w:rPr>
        <w:t xml:space="preserve"> that FAC could not rationally have </w:t>
      </w:r>
      <w:r w:rsidR="00CF5792" w:rsidRPr="005F1C20">
        <w:rPr>
          <w:bCs/>
        </w:rPr>
        <w:t>made</w:t>
      </w:r>
      <w:r w:rsidR="00D20FC6" w:rsidRPr="005F1C20">
        <w:rPr>
          <w:bCs/>
        </w:rPr>
        <w:t xml:space="preserve"> the decision it did in respect of Clauses 8 and 9 of the Code. </w:t>
      </w:r>
    </w:p>
    <w:p w14:paraId="1767F5A4" w14:textId="12A6B0B0" w:rsidR="00D20FC6" w:rsidRPr="00A677F5" w:rsidRDefault="00A677F5" w:rsidP="00A677F5">
      <w:pPr>
        <w:spacing w:line="480" w:lineRule="auto"/>
        <w:ind w:left="720" w:hanging="720"/>
        <w:jc w:val="both"/>
        <w:rPr>
          <w:bCs/>
          <w:i/>
          <w:iCs/>
        </w:rPr>
      </w:pPr>
      <w:r>
        <w:rPr>
          <w:bCs/>
        </w:rPr>
        <w:t>[58]</w:t>
      </w:r>
      <w:r>
        <w:rPr>
          <w:bCs/>
        </w:rPr>
        <w:tab/>
      </w:r>
      <w:r w:rsidR="003F455F" w:rsidRPr="00A677F5">
        <w:rPr>
          <w:bCs/>
        </w:rPr>
        <w:t xml:space="preserve">But at best for this argument is the possibility </w:t>
      </w:r>
      <w:r w:rsidR="00D20FC6" w:rsidRPr="00A677F5">
        <w:rPr>
          <w:bCs/>
        </w:rPr>
        <w:t>that the Panel could have on the same facts come to a different conclusion. I accept this as a possibility. I do not for instance consider Mr Neethling’s reason</w:t>
      </w:r>
      <w:r w:rsidR="006A2253" w:rsidRPr="00A677F5">
        <w:rPr>
          <w:bCs/>
        </w:rPr>
        <w:t>in</w:t>
      </w:r>
      <w:r w:rsidR="00D20FC6" w:rsidRPr="00A677F5">
        <w:rPr>
          <w:bCs/>
        </w:rPr>
        <w:t xml:space="preserve">g for the minority to be irrational – only a different approach to the issues. But as the Constitutional Court has pointed out in </w:t>
      </w:r>
      <w:r w:rsidR="00D20FC6" w:rsidRPr="00A677F5">
        <w:rPr>
          <w:bCs/>
          <w:i/>
          <w:iCs/>
        </w:rPr>
        <w:t>Nu Africa Duty Free Shops (Pty) Ltd v Minister of Finance and others</w:t>
      </w:r>
      <w:r w:rsidR="00D20FC6" w:rsidRPr="00A677F5">
        <w:rPr>
          <w:bCs/>
        </w:rPr>
        <w:t xml:space="preserve"> </w:t>
      </w:r>
      <w:r w:rsidR="00084BAF" w:rsidRPr="00A677F5">
        <w:rPr>
          <w:bCs/>
        </w:rPr>
        <w:t xml:space="preserve">where it cited the </w:t>
      </w:r>
      <w:r w:rsidR="00A22701" w:rsidRPr="00A677F5">
        <w:rPr>
          <w:bCs/>
        </w:rPr>
        <w:t>view of the same court in</w:t>
      </w:r>
      <w:r w:rsidR="00A22701" w:rsidRPr="00A677F5">
        <w:rPr>
          <w:bCs/>
          <w:i/>
          <w:iCs/>
        </w:rPr>
        <w:t xml:space="preserve"> Electronic Media </w:t>
      </w:r>
      <w:r w:rsidR="00A767C0" w:rsidRPr="00A677F5">
        <w:rPr>
          <w:bCs/>
          <w:i/>
          <w:iCs/>
        </w:rPr>
        <w:t>Network:</w:t>
      </w:r>
    </w:p>
    <w:p w14:paraId="6963BC88" w14:textId="7E454931" w:rsidR="00D20FC6" w:rsidRPr="009B3A5F" w:rsidRDefault="007645FE" w:rsidP="00A677F5">
      <w:pPr>
        <w:pStyle w:val="ListParagraph"/>
        <w:spacing w:line="480" w:lineRule="auto"/>
        <w:ind w:left="2160"/>
        <w:jc w:val="both"/>
        <w:rPr>
          <w:bCs/>
          <w:i/>
          <w:iCs/>
        </w:rPr>
      </w:pPr>
      <w:r w:rsidRPr="009B3A5F">
        <w:rPr>
          <w:bCs/>
          <w:i/>
          <w:iCs/>
        </w:rPr>
        <w:t>“</w:t>
      </w:r>
      <w:r w:rsidR="000A7BE6" w:rsidRPr="009B3A5F">
        <w:rPr>
          <w:bCs/>
          <w:i/>
          <w:iCs/>
        </w:rPr>
        <w:t xml:space="preserve">It needs to be said </w:t>
      </w:r>
      <w:r w:rsidR="00141F2B" w:rsidRPr="009B3A5F">
        <w:rPr>
          <w:bCs/>
          <w:i/>
          <w:iCs/>
        </w:rPr>
        <w:t>that r</w:t>
      </w:r>
      <w:r w:rsidR="00D20FC6" w:rsidRPr="009B3A5F">
        <w:rPr>
          <w:bCs/>
          <w:i/>
          <w:iCs/>
        </w:rPr>
        <w:t>ationality</w:t>
      </w:r>
      <w:r w:rsidR="00141F2B" w:rsidRPr="009B3A5F">
        <w:rPr>
          <w:bCs/>
          <w:i/>
          <w:iCs/>
        </w:rPr>
        <w:t xml:space="preserve"> </w:t>
      </w:r>
      <w:r w:rsidR="00D20FC6" w:rsidRPr="009B3A5F">
        <w:rPr>
          <w:bCs/>
          <w:i/>
          <w:iCs/>
        </w:rPr>
        <w:t>is not some supra-constitutional entity or principle that is uncontrollable and that respects or knows no constitutional bounds. It</w:t>
      </w:r>
      <w:r w:rsidR="00141F2B" w:rsidRPr="009B3A5F">
        <w:rPr>
          <w:bCs/>
          <w:i/>
          <w:iCs/>
        </w:rPr>
        <w:t xml:space="preserve"> </w:t>
      </w:r>
      <w:r w:rsidR="00D20FC6" w:rsidRPr="009B3A5F">
        <w:rPr>
          <w:bCs/>
          <w:i/>
          <w:iCs/>
        </w:rPr>
        <w:t xml:space="preserve">is not a uniquely </w:t>
      </w:r>
      <w:r w:rsidR="00D20FC6" w:rsidRPr="009B3A5F">
        <w:rPr>
          <w:bCs/>
          <w:i/>
          <w:iCs/>
        </w:rPr>
        <w:lastRenderedPageBreak/>
        <w:t xml:space="preserve">designed master key that </w:t>
      </w:r>
      <w:proofErr w:type="gramStart"/>
      <w:r w:rsidR="00D20FC6" w:rsidRPr="009B3A5F">
        <w:rPr>
          <w:bCs/>
          <w:i/>
          <w:iCs/>
        </w:rPr>
        <w:t>opens up</w:t>
      </w:r>
      <w:proofErr w:type="gramEnd"/>
      <w:r w:rsidR="00D20FC6" w:rsidRPr="009B3A5F">
        <w:rPr>
          <w:bCs/>
          <w:i/>
          <w:iCs/>
        </w:rPr>
        <w:t xml:space="preserve"> any and every door, any time, </w:t>
      </w:r>
      <w:r w:rsidRPr="009B3A5F">
        <w:rPr>
          <w:bCs/>
          <w:i/>
          <w:iCs/>
        </w:rPr>
        <w:t>anyhow</w:t>
      </w:r>
      <w:r w:rsidR="00503468" w:rsidRPr="009B3A5F">
        <w:rPr>
          <w:bCs/>
          <w:i/>
          <w:iCs/>
        </w:rPr>
        <w:t>.</w:t>
      </w:r>
      <w:r w:rsidR="00D20FC6" w:rsidRPr="009B3A5F">
        <w:rPr>
          <w:bCs/>
          <w:i/>
          <w:iCs/>
        </w:rPr>
        <w:t>"</w:t>
      </w:r>
      <w:r w:rsidR="00E1504A" w:rsidRPr="009B3A5F">
        <w:rPr>
          <w:rStyle w:val="FootnoteReference"/>
          <w:bCs/>
          <w:i/>
          <w:iCs/>
        </w:rPr>
        <w:footnoteReference w:id="20"/>
      </w:r>
      <w:r w:rsidR="00D20FC6" w:rsidRPr="009B3A5F">
        <w:rPr>
          <w:bCs/>
          <w:i/>
          <w:iCs/>
        </w:rPr>
        <w:t xml:space="preserve"> </w:t>
      </w:r>
    </w:p>
    <w:p w14:paraId="76D38504" w14:textId="1116E82E" w:rsidR="00D20FC6" w:rsidRPr="00A677F5" w:rsidRDefault="00A677F5" w:rsidP="00A677F5">
      <w:pPr>
        <w:spacing w:line="480" w:lineRule="auto"/>
        <w:ind w:left="720" w:hanging="720"/>
        <w:jc w:val="both"/>
        <w:rPr>
          <w:bCs/>
          <w:i/>
          <w:iCs/>
        </w:rPr>
      </w:pPr>
      <w:r>
        <w:rPr>
          <w:bCs/>
        </w:rPr>
        <w:t>[59]</w:t>
      </w:r>
      <w:r>
        <w:rPr>
          <w:bCs/>
        </w:rPr>
        <w:tab/>
      </w:r>
      <w:r w:rsidR="00D20FC6" w:rsidRPr="00A677F5">
        <w:rPr>
          <w:bCs/>
        </w:rPr>
        <w:t>But it does not matter for a rationality review that the panel could have equally come to another decision. Rather</w:t>
      </w:r>
      <w:r w:rsidR="00520E76" w:rsidRPr="00A677F5">
        <w:rPr>
          <w:bCs/>
        </w:rPr>
        <w:t>,</w:t>
      </w:r>
      <w:r w:rsidR="00D20FC6" w:rsidRPr="00A677F5">
        <w:rPr>
          <w:bCs/>
        </w:rPr>
        <w:t xml:space="preserve"> as the court held</w:t>
      </w:r>
      <w:r w:rsidR="00253DB7" w:rsidRPr="00A677F5">
        <w:rPr>
          <w:bCs/>
        </w:rPr>
        <w:t xml:space="preserve"> in </w:t>
      </w:r>
      <w:r w:rsidR="00253DB7" w:rsidRPr="00A677F5">
        <w:rPr>
          <w:bCs/>
          <w:i/>
          <w:iCs/>
        </w:rPr>
        <w:t>Nu Africa</w:t>
      </w:r>
      <w:r w:rsidR="00D20FC6" w:rsidRPr="00A677F5">
        <w:rPr>
          <w:bCs/>
        </w:rPr>
        <w:t>:</w:t>
      </w:r>
    </w:p>
    <w:p w14:paraId="63F05F2D" w14:textId="258BF078" w:rsidR="00376BE5" w:rsidRPr="00A677F5" w:rsidRDefault="008142C4" w:rsidP="00A677F5">
      <w:pPr>
        <w:pStyle w:val="ListParagraph"/>
        <w:spacing w:line="480" w:lineRule="auto"/>
        <w:ind w:left="2160"/>
        <w:jc w:val="both"/>
        <w:rPr>
          <w:bCs/>
          <w:i/>
          <w:iCs/>
        </w:rPr>
      </w:pPr>
      <w:r w:rsidRPr="009B3A5F">
        <w:rPr>
          <w:bCs/>
          <w:i/>
          <w:iCs/>
        </w:rPr>
        <w:t>“</w:t>
      </w:r>
      <w:r w:rsidR="004E153B" w:rsidRPr="009B3A5F">
        <w:rPr>
          <w:bCs/>
          <w:i/>
          <w:iCs/>
        </w:rPr>
        <w:t>Rationality is also not about justification. Nor is it about the cogency of reasons furnished for a particular decision. It concerns the question whether there exists a rational connection between the exercise of power, and the purpose sought to be achieved through the exercise of that power.</w:t>
      </w:r>
      <w:r w:rsidRPr="009B3A5F">
        <w:rPr>
          <w:bCs/>
          <w:i/>
          <w:iCs/>
        </w:rPr>
        <w:t>”</w:t>
      </w:r>
      <w:r w:rsidRPr="009B3A5F">
        <w:rPr>
          <w:rStyle w:val="FootnoteReference"/>
          <w:bCs/>
          <w:i/>
          <w:iCs/>
        </w:rPr>
        <w:footnoteReference w:id="21"/>
      </w:r>
    </w:p>
    <w:p w14:paraId="78C13D90" w14:textId="706EF368" w:rsidR="00376BE5" w:rsidRPr="00A677F5" w:rsidRDefault="00A677F5" w:rsidP="00A677F5">
      <w:pPr>
        <w:spacing w:line="480" w:lineRule="auto"/>
        <w:ind w:left="720" w:hanging="720"/>
        <w:jc w:val="both"/>
        <w:rPr>
          <w:bCs/>
          <w:i/>
          <w:iCs/>
        </w:rPr>
      </w:pPr>
      <w:r>
        <w:rPr>
          <w:bCs/>
        </w:rPr>
        <w:t>[60]</w:t>
      </w:r>
      <w:r>
        <w:rPr>
          <w:bCs/>
        </w:rPr>
        <w:tab/>
      </w:r>
      <w:r w:rsidR="00FE3231" w:rsidRPr="00A677F5">
        <w:rPr>
          <w:bCs/>
        </w:rPr>
        <w:t xml:space="preserve">The FAC majority decision links the power they </w:t>
      </w:r>
      <w:r w:rsidR="00110FED" w:rsidRPr="00A677F5">
        <w:rPr>
          <w:bCs/>
        </w:rPr>
        <w:t>exercised</w:t>
      </w:r>
      <w:r w:rsidR="00FE3231" w:rsidRPr="00A677F5">
        <w:rPr>
          <w:bCs/>
        </w:rPr>
        <w:t xml:space="preserve"> with the purpose for the power – to protect the interests sought to be protected by the Code. The decision is therefor</w:t>
      </w:r>
      <w:r w:rsidR="00110FED" w:rsidRPr="00A677F5">
        <w:rPr>
          <w:bCs/>
        </w:rPr>
        <w:t>e</w:t>
      </w:r>
      <w:r w:rsidR="00FE3231" w:rsidRPr="00A677F5">
        <w:rPr>
          <w:bCs/>
        </w:rPr>
        <w:t xml:space="preserve"> a rational one</w:t>
      </w:r>
      <w:r w:rsidR="00FE3231" w:rsidRPr="00A677F5">
        <w:rPr>
          <w:bCs/>
          <w:i/>
          <w:iCs/>
        </w:rPr>
        <w:t>.</w:t>
      </w:r>
    </w:p>
    <w:p w14:paraId="1F642633" w14:textId="719A85B9" w:rsidR="00D20FC6" w:rsidRPr="00A677F5" w:rsidRDefault="00A677F5" w:rsidP="00A677F5">
      <w:pPr>
        <w:spacing w:line="480" w:lineRule="auto"/>
        <w:jc w:val="both"/>
        <w:rPr>
          <w:bCs/>
          <w:i/>
          <w:iCs/>
        </w:rPr>
      </w:pPr>
      <w:r>
        <w:rPr>
          <w:bCs/>
        </w:rPr>
        <w:t>[61]</w:t>
      </w:r>
      <w:r>
        <w:rPr>
          <w:bCs/>
        </w:rPr>
        <w:tab/>
      </w:r>
      <w:r w:rsidR="00EF33DE" w:rsidRPr="00A677F5">
        <w:rPr>
          <w:bCs/>
        </w:rPr>
        <w:t xml:space="preserve">In Nu Africa, </w:t>
      </w:r>
      <w:r w:rsidR="002C0D0D" w:rsidRPr="00A677F5">
        <w:rPr>
          <w:bCs/>
        </w:rPr>
        <w:t>the same court also referred to the issue of deference</w:t>
      </w:r>
      <w:r w:rsidR="0044113A" w:rsidRPr="00A677F5">
        <w:rPr>
          <w:bCs/>
        </w:rPr>
        <w:t>:</w:t>
      </w:r>
    </w:p>
    <w:p w14:paraId="67A20E25" w14:textId="2B86E9C2" w:rsidR="0044113A" w:rsidRPr="009B3A5F" w:rsidRDefault="00A677F5" w:rsidP="00A677F5">
      <w:pPr>
        <w:pStyle w:val="ListParagraph"/>
        <w:spacing w:line="480" w:lineRule="auto"/>
        <w:ind w:left="1800" w:firstLine="360"/>
        <w:jc w:val="both"/>
        <w:rPr>
          <w:bCs/>
          <w:i/>
          <w:iCs/>
        </w:rPr>
      </w:pPr>
      <w:r>
        <w:rPr>
          <w:i/>
          <w:iCs/>
          <w:color w:val="000000"/>
        </w:rPr>
        <w:t>“</w:t>
      </w:r>
      <w:r w:rsidR="0044113A" w:rsidRPr="009B3A5F">
        <w:rPr>
          <w:i/>
          <w:iCs/>
          <w:color w:val="000000"/>
        </w:rPr>
        <w:t>a high degree of deference is accorded to the decision-maker</w:t>
      </w:r>
      <w:r>
        <w:rPr>
          <w:i/>
          <w:iCs/>
          <w:color w:val="000000"/>
        </w:rPr>
        <w:t>”</w:t>
      </w:r>
      <w:r w:rsidR="0044113A" w:rsidRPr="009B3A5F">
        <w:rPr>
          <w:i/>
          <w:iCs/>
          <w:color w:val="000000"/>
        </w:rPr>
        <w:t xml:space="preserve"> </w:t>
      </w:r>
      <w:r w:rsidR="002C0D0D" w:rsidRPr="009B3A5F">
        <w:rPr>
          <w:rStyle w:val="FootnoteReference"/>
          <w:i/>
          <w:iCs/>
          <w:color w:val="000000"/>
        </w:rPr>
        <w:footnoteReference w:id="22"/>
      </w:r>
    </w:p>
    <w:p w14:paraId="700B1B9D" w14:textId="726FB8DF" w:rsidR="0044113A" w:rsidRPr="00A677F5" w:rsidRDefault="00A677F5" w:rsidP="00A677F5">
      <w:pPr>
        <w:spacing w:line="480" w:lineRule="auto"/>
        <w:ind w:left="720" w:hanging="720"/>
        <w:jc w:val="both"/>
        <w:rPr>
          <w:bCs/>
          <w:i/>
          <w:iCs/>
        </w:rPr>
      </w:pPr>
      <w:r>
        <w:rPr>
          <w:color w:val="000000"/>
        </w:rPr>
        <w:t>[62]</w:t>
      </w:r>
      <w:r>
        <w:rPr>
          <w:color w:val="000000"/>
        </w:rPr>
        <w:tab/>
      </w:r>
      <w:r w:rsidR="0044113A" w:rsidRPr="00A677F5">
        <w:rPr>
          <w:color w:val="000000"/>
        </w:rPr>
        <w:t xml:space="preserve">When I heard the matter counsel for Bliss argued that deference to the </w:t>
      </w:r>
      <w:r w:rsidR="0039503E" w:rsidRPr="00A677F5">
        <w:rPr>
          <w:color w:val="000000"/>
        </w:rPr>
        <w:t>decision</w:t>
      </w:r>
      <w:r w:rsidR="0044113A" w:rsidRPr="00A677F5">
        <w:rPr>
          <w:color w:val="000000"/>
        </w:rPr>
        <w:t xml:space="preserve"> maker is not appropriate in this case as the FAC is not an expert body. Those chosen to hear the case</w:t>
      </w:r>
      <w:r w:rsidR="009F6027" w:rsidRPr="00A677F5">
        <w:rPr>
          <w:color w:val="000000"/>
        </w:rPr>
        <w:t>,</w:t>
      </w:r>
      <w:r w:rsidR="0044113A" w:rsidRPr="00A677F5">
        <w:rPr>
          <w:color w:val="000000"/>
        </w:rPr>
        <w:t xml:space="preserve"> </w:t>
      </w:r>
      <w:r w:rsidR="000A707E" w:rsidRPr="00A677F5">
        <w:rPr>
          <w:color w:val="000000"/>
        </w:rPr>
        <w:t>it was argued</w:t>
      </w:r>
      <w:r w:rsidR="009F6027" w:rsidRPr="00A677F5">
        <w:rPr>
          <w:color w:val="000000"/>
        </w:rPr>
        <w:t>,</w:t>
      </w:r>
      <w:r w:rsidR="000A707E" w:rsidRPr="00A677F5">
        <w:rPr>
          <w:color w:val="000000"/>
        </w:rPr>
        <w:t xml:space="preserve"> </w:t>
      </w:r>
      <w:r w:rsidR="0044113A" w:rsidRPr="00A677F5">
        <w:rPr>
          <w:color w:val="000000"/>
        </w:rPr>
        <w:t>are not chosen for their expertise in this area. First</w:t>
      </w:r>
      <w:r w:rsidR="000A707E" w:rsidRPr="00A677F5">
        <w:rPr>
          <w:color w:val="000000"/>
        </w:rPr>
        <w:t>,</w:t>
      </w:r>
      <w:r w:rsidR="0044113A" w:rsidRPr="00A677F5">
        <w:rPr>
          <w:color w:val="000000"/>
        </w:rPr>
        <w:t xml:space="preserve"> I do not know if this proposition is correct. Although Ngoepe J is a retired judge</w:t>
      </w:r>
      <w:r w:rsidR="00B61D55" w:rsidRPr="00A677F5">
        <w:rPr>
          <w:color w:val="000000"/>
        </w:rPr>
        <w:t>,</w:t>
      </w:r>
      <w:r w:rsidR="0044113A" w:rsidRPr="00A677F5">
        <w:rPr>
          <w:color w:val="000000"/>
        </w:rPr>
        <w:t xml:space="preserve"> not an industry practi</w:t>
      </w:r>
      <w:r w:rsidR="00B61D55" w:rsidRPr="00A677F5">
        <w:rPr>
          <w:color w:val="000000"/>
        </w:rPr>
        <w:t>tioner</w:t>
      </w:r>
      <w:r w:rsidR="001C309A" w:rsidRPr="00A677F5">
        <w:rPr>
          <w:color w:val="000000"/>
        </w:rPr>
        <w:t>,</w:t>
      </w:r>
      <w:r w:rsidR="0044113A" w:rsidRPr="00A677F5">
        <w:rPr>
          <w:color w:val="000000"/>
        </w:rPr>
        <w:t xml:space="preserve"> the other three members were. But the fact that the ARB may not set out some threshold for who may be appointed to panels does not detract from the need for deference. This is deference to </w:t>
      </w:r>
      <w:r w:rsidR="0044113A" w:rsidRPr="00A677F5">
        <w:rPr>
          <w:color w:val="000000"/>
        </w:rPr>
        <w:lastRenderedPageBreak/>
        <w:t xml:space="preserve">respect a body that has been established by players in the industry to regulate their own conduct. They have chosen a Code of Conduct for their members to adhere to and trust their members to adjudicate on its terms. </w:t>
      </w:r>
    </w:p>
    <w:p w14:paraId="3553DBCF" w14:textId="25F63C98" w:rsidR="006C20FE" w:rsidRPr="00A677F5" w:rsidRDefault="00A677F5" w:rsidP="00A677F5">
      <w:pPr>
        <w:spacing w:line="480" w:lineRule="auto"/>
        <w:ind w:left="720" w:hanging="720"/>
        <w:jc w:val="both"/>
        <w:rPr>
          <w:bCs/>
          <w:i/>
          <w:iCs/>
        </w:rPr>
      </w:pPr>
      <w:r>
        <w:rPr>
          <w:color w:val="000000"/>
        </w:rPr>
        <w:t>[63]</w:t>
      </w:r>
      <w:r>
        <w:rPr>
          <w:color w:val="000000"/>
        </w:rPr>
        <w:tab/>
      </w:r>
      <w:r w:rsidR="006C20FE" w:rsidRPr="00A677F5">
        <w:rPr>
          <w:color w:val="000000"/>
        </w:rPr>
        <w:t>Where</w:t>
      </w:r>
      <w:r w:rsidR="00A76119" w:rsidRPr="00A677F5">
        <w:rPr>
          <w:color w:val="000000"/>
        </w:rPr>
        <w:t>,</w:t>
      </w:r>
      <w:r w:rsidR="006C20FE" w:rsidRPr="00A677F5">
        <w:rPr>
          <w:color w:val="000000"/>
        </w:rPr>
        <w:t xml:space="preserve"> as in a case such as this</w:t>
      </w:r>
      <w:r w:rsidR="00A76119" w:rsidRPr="00A677F5">
        <w:rPr>
          <w:color w:val="000000"/>
        </w:rPr>
        <w:t>,</w:t>
      </w:r>
      <w:r w:rsidR="006C20FE" w:rsidRPr="00A677F5">
        <w:rPr>
          <w:color w:val="000000"/>
        </w:rPr>
        <w:t xml:space="preserve"> issues are </w:t>
      </w:r>
      <w:r w:rsidR="00514AF0" w:rsidRPr="00A677F5">
        <w:rPr>
          <w:color w:val="000000"/>
        </w:rPr>
        <w:t>ones</w:t>
      </w:r>
      <w:r w:rsidR="006C20FE" w:rsidRPr="00A677F5">
        <w:rPr>
          <w:color w:val="000000"/>
        </w:rPr>
        <w:t xml:space="preserve"> of policy</w:t>
      </w:r>
      <w:r w:rsidR="00B4309F" w:rsidRPr="00A677F5">
        <w:rPr>
          <w:color w:val="000000"/>
        </w:rPr>
        <w:t>,</w:t>
      </w:r>
      <w:r w:rsidR="006C20FE" w:rsidRPr="00A677F5">
        <w:rPr>
          <w:color w:val="000000"/>
        </w:rPr>
        <w:t xml:space="preserve"> courts of law should be wary to step in to review decisions simply because the body might</w:t>
      </w:r>
      <w:r w:rsidR="003E22EF" w:rsidRPr="00A677F5">
        <w:rPr>
          <w:color w:val="000000"/>
        </w:rPr>
        <w:t>,</w:t>
      </w:r>
      <w:r w:rsidR="006C20FE" w:rsidRPr="00A677F5">
        <w:rPr>
          <w:color w:val="000000"/>
        </w:rPr>
        <w:t xml:space="preserve"> on the same facts</w:t>
      </w:r>
      <w:r w:rsidR="003E22EF" w:rsidRPr="00A677F5">
        <w:rPr>
          <w:color w:val="000000"/>
        </w:rPr>
        <w:t>,</w:t>
      </w:r>
      <w:r w:rsidR="006C20FE" w:rsidRPr="00A677F5">
        <w:rPr>
          <w:color w:val="000000"/>
        </w:rPr>
        <w:t xml:space="preserve"> have come to a different conclusion. It must be borne in mind the industry has chosen to self-regulate. It has drawn up the </w:t>
      </w:r>
      <w:r w:rsidR="003E22EF" w:rsidRPr="00A677F5">
        <w:rPr>
          <w:color w:val="000000"/>
        </w:rPr>
        <w:t>C</w:t>
      </w:r>
      <w:r w:rsidR="006C20FE" w:rsidRPr="00A677F5">
        <w:rPr>
          <w:color w:val="000000"/>
        </w:rPr>
        <w:t xml:space="preserve">ode. It has chosen who should sit on the panels that determine disputes. </w:t>
      </w:r>
      <w:r w:rsidR="000053E3" w:rsidRPr="00A677F5">
        <w:rPr>
          <w:color w:val="000000"/>
        </w:rPr>
        <w:t>The decisions made in terms of both clauses in the Code have involved an interpretation of not only the clauses in question but in doing so an application of the “</w:t>
      </w:r>
      <w:r w:rsidR="00DB3376" w:rsidRPr="00A677F5">
        <w:rPr>
          <w:color w:val="000000"/>
        </w:rPr>
        <w:t>…</w:t>
      </w:r>
      <w:r w:rsidR="000053E3" w:rsidRPr="00A677F5">
        <w:rPr>
          <w:i/>
          <w:iCs/>
          <w:color w:val="000000"/>
        </w:rPr>
        <w:t xml:space="preserve"> spirit </w:t>
      </w:r>
      <w:r w:rsidR="00DB3376" w:rsidRPr="00A677F5">
        <w:rPr>
          <w:i/>
          <w:iCs/>
          <w:color w:val="000000"/>
        </w:rPr>
        <w:t xml:space="preserve">as well as the letter </w:t>
      </w:r>
      <w:r w:rsidR="000053E3" w:rsidRPr="00A677F5">
        <w:rPr>
          <w:i/>
          <w:iCs/>
          <w:color w:val="000000"/>
        </w:rPr>
        <w:t>of the Code</w:t>
      </w:r>
      <w:r w:rsidR="001B39AA" w:rsidRPr="00A677F5">
        <w:rPr>
          <w:i/>
          <w:iCs/>
          <w:color w:val="000000"/>
        </w:rPr>
        <w:t>.”</w:t>
      </w:r>
      <w:r w:rsidR="000053E3" w:rsidRPr="00A677F5">
        <w:rPr>
          <w:color w:val="000000"/>
        </w:rPr>
        <w:t xml:space="preserve"> That is what Clause </w:t>
      </w:r>
      <w:r w:rsidR="00DB3376" w:rsidRPr="00A677F5">
        <w:rPr>
          <w:color w:val="000000"/>
        </w:rPr>
        <w:t>3.1</w:t>
      </w:r>
      <w:r w:rsidR="000053E3" w:rsidRPr="00A677F5">
        <w:rPr>
          <w:color w:val="000000"/>
        </w:rPr>
        <w:t xml:space="preserve"> of the Code requires them to do.</w:t>
      </w:r>
    </w:p>
    <w:p w14:paraId="01432F53" w14:textId="62AD54B7" w:rsidR="00775A49" w:rsidRPr="00A677F5" w:rsidRDefault="00A677F5" w:rsidP="00A677F5">
      <w:pPr>
        <w:spacing w:line="480" w:lineRule="auto"/>
        <w:ind w:left="720" w:hanging="720"/>
        <w:jc w:val="both"/>
        <w:rPr>
          <w:bCs/>
          <w:i/>
          <w:iCs/>
        </w:rPr>
      </w:pPr>
      <w:r>
        <w:rPr>
          <w:color w:val="000000"/>
        </w:rPr>
        <w:t>[64]</w:t>
      </w:r>
      <w:r>
        <w:rPr>
          <w:color w:val="000000"/>
        </w:rPr>
        <w:tab/>
      </w:r>
      <w:r w:rsidR="00A767C0" w:rsidRPr="00A677F5">
        <w:rPr>
          <w:color w:val="000000"/>
        </w:rPr>
        <w:t>Furthermore,</w:t>
      </w:r>
      <w:r w:rsidR="00DB3376" w:rsidRPr="00A677F5">
        <w:rPr>
          <w:color w:val="000000"/>
        </w:rPr>
        <w:t xml:space="preserve"> c</w:t>
      </w:r>
      <w:r w:rsidR="00775A49" w:rsidRPr="00A677F5">
        <w:rPr>
          <w:color w:val="000000"/>
        </w:rPr>
        <w:t xml:space="preserve">ase law has </w:t>
      </w:r>
      <w:r w:rsidR="00DB3376" w:rsidRPr="00A677F5">
        <w:rPr>
          <w:color w:val="000000"/>
        </w:rPr>
        <w:t xml:space="preserve">long </w:t>
      </w:r>
      <w:r w:rsidR="00775A49" w:rsidRPr="00A677F5">
        <w:rPr>
          <w:color w:val="000000"/>
        </w:rPr>
        <w:t>recognised the principle of deference being shown to administrative bodies.</w:t>
      </w:r>
      <w:r w:rsidR="00775A49" w:rsidRPr="009B3A5F">
        <w:rPr>
          <w:rStyle w:val="FootnoteReference"/>
          <w:color w:val="000000"/>
        </w:rPr>
        <w:footnoteReference w:id="23"/>
      </w:r>
      <w:r w:rsidR="00775A49" w:rsidRPr="00A677F5">
        <w:rPr>
          <w:color w:val="000000"/>
        </w:rPr>
        <w:t xml:space="preserve"> Whilst admittedly these cases these have</w:t>
      </w:r>
      <w:r w:rsidR="00DB3376" w:rsidRPr="00A677F5">
        <w:rPr>
          <w:color w:val="000000"/>
        </w:rPr>
        <w:t xml:space="preserve"> </w:t>
      </w:r>
      <w:r w:rsidR="006A2B7C" w:rsidRPr="00A677F5">
        <w:rPr>
          <w:color w:val="000000"/>
        </w:rPr>
        <w:t>dealt</w:t>
      </w:r>
      <w:r w:rsidR="00DB3376" w:rsidRPr="00A677F5">
        <w:rPr>
          <w:color w:val="000000"/>
        </w:rPr>
        <w:t xml:space="preserve"> with the question of deference owed to decisions </w:t>
      </w:r>
      <w:r w:rsidR="001D37A4" w:rsidRPr="00A677F5">
        <w:rPr>
          <w:color w:val="000000"/>
        </w:rPr>
        <w:t>of organs</w:t>
      </w:r>
      <w:r w:rsidR="00775A49" w:rsidRPr="00A677F5">
        <w:rPr>
          <w:color w:val="000000"/>
        </w:rPr>
        <w:t xml:space="preserve"> of state</w:t>
      </w:r>
      <w:r w:rsidR="0036669E" w:rsidRPr="00A677F5">
        <w:rPr>
          <w:color w:val="000000"/>
        </w:rPr>
        <w:t>,</w:t>
      </w:r>
      <w:r w:rsidR="00775A49" w:rsidRPr="00A677F5">
        <w:rPr>
          <w:color w:val="000000"/>
        </w:rPr>
        <w:t xml:space="preserve"> not </w:t>
      </w:r>
      <w:r w:rsidR="00DB3376" w:rsidRPr="00A677F5">
        <w:rPr>
          <w:color w:val="000000"/>
        </w:rPr>
        <w:t>non-governmental organisations like the ARB</w:t>
      </w:r>
      <w:r w:rsidR="00A17022" w:rsidRPr="00A677F5">
        <w:rPr>
          <w:color w:val="000000"/>
        </w:rPr>
        <w:t>,</w:t>
      </w:r>
      <w:r w:rsidR="00DB3376" w:rsidRPr="00A677F5">
        <w:rPr>
          <w:color w:val="000000"/>
        </w:rPr>
        <w:t xml:space="preserve"> there is no reason why this </w:t>
      </w:r>
      <w:r w:rsidR="00EF4342" w:rsidRPr="00A677F5">
        <w:rPr>
          <w:color w:val="000000"/>
        </w:rPr>
        <w:t xml:space="preserve">principle </w:t>
      </w:r>
      <w:r w:rsidR="00DB3376" w:rsidRPr="00A677F5">
        <w:rPr>
          <w:color w:val="000000"/>
        </w:rPr>
        <w:t xml:space="preserve">should not be extended to the </w:t>
      </w:r>
      <w:r w:rsidR="000C140C" w:rsidRPr="00A677F5">
        <w:rPr>
          <w:color w:val="000000"/>
        </w:rPr>
        <w:t>latter.</w:t>
      </w:r>
      <w:r w:rsidR="00DB3376" w:rsidRPr="00A677F5">
        <w:rPr>
          <w:color w:val="000000"/>
        </w:rPr>
        <w:t xml:space="preserve"> </w:t>
      </w:r>
    </w:p>
    <w:p w14:paraId="1EE0E447" w14:textId="55D07EDB" w:rsidR="004C325E" w:rsidRPr="00A677F5" w:rsidRDefault="00A677F5" w:rsidP="00A677F5">
      <w:pPr>
        <w:spacing w:line="480" w:lineRule="auto"/>
        <w:ind w:left="720" w:hanging="720"/>
        <w:jc w:val="both"/>
        <w:rPr>
          <w:bCs/>
          <w:i/>
          <w:iCs/>
        </w:rPr>
      </w:pPr>
      <w:r>
        <w:rPr>
          <w:color w:val="000000"/>
        </w:rPr>
        <w:t>[65]</w:t>
      </w:r>
      <w:r>
        <w:rPr>
          <w:color w:val="000000"/>
        </w:rPr>
        <w:tab/>
      </w:r>
      <w:r w:rsidR="004C325E" w:rsidRPr="00A677F5">
        <w:rPr>
          <w:color w:val="000000"/>
        </w:rPr>
        <w:t xml:space="preserve">The questions the </w:t>
      </w:r>
      <w:r w:rsidR="00E71A81" w:rsidRPr="00A677F5">
        <w:rPr>
          <w:color w:val="000000"/>
        </w:rPr>
        <w:t xml:space="preserve">AAC and </w:t>
      </w:r>
      <w:r w:rsidR="004C325E" w:rsidRPr="00A677F5">
        <w:rPr>
          <w:color w:val="000000"/>
        </w:rPr>
        <w:t>FAC had to deal with involved their interpretation of the spirit</w:t>
      </w:r>
      <w:r w:rsidR="0036669E" w:rsidRPr="00A677F5">
        <w:rPr>
          <w:color w:val="000000"/>
        </w:rPr>
        <w:t xml:space="preserve"> of the Code</w:t>
      </w:r>
      <w:r w:rsidR="004C325E" w:rsidRPr="00A677F5">
        <w:rPr>
          <w:color w:val="000000"/>
        </w:rPr>
        <w:t>. The SCA</w:t>
      </w:r>
      <w:r w:rsidR="00A02ECD" w:rsidRPr="00A677F5">
        <w:rPr>
          <w:color w:val="000000"/>
        </w:rPr>
        <w:t>,</w:t>
      </w:r>
      <w:r w:rsidR="004C325E" w:rsidRPr="00A677F5">
        <w:rPr>
          <w:color w:val="000000"/>
        </w:rPr>
        <w:t xml:space="preserve"> who earlier on had to decide the constitutional issues in this matter quoted from the English case of </w:t>
      </w:r>
      <w:proofErr w:type="spellStart"/>
      <w:r w:rsidR="004C325E" w:rsidRPr="00A677F5">
        <w:rPr>
          <w:i/>
          <w:iCs/>
          <w:color w:val="000000"/>
        </w:rPr>
        <w:t>Datafin</w:t>
      </w:r>
      <w:proofErr w:type="spellEnd"/>
      <w:r w:rsidR="004C325E" w:rsidRPr="00A677F5">
        <w:rPr>
          <w:color w:val="000000"/>
        </w:rPr>
        <w:t xml:space="preserve"> where Sir John Donaldson MR had considered the </w:t>
      </w:r>
      <w:r w:rsidR="00EA618C" w:rsidRPr="00A677F5">
        <w:rPr>
          <w:color w:val="000000"/>
        </w:rPr>
        <w:t>desirability</w:t>
      </w:r>
      <w:r w:rsidR="004C325E" w:rsidRPr="00A677F5">
        <w:rPr>
          <w:color w:val="000000"/>
        </w:rPr>
        <w:t xml:space="preserve"> of self-regulation:</w:t>
      </w:r>
    </w:p>
    <w:p w14:paraId="1BE8A920" w14:textId="77777777" w:rsidR="0045156F" w:rsidRDefault="00775A49" w:rsidP="00C27D86">
      <w:pPr>
        <w:pStyle w:val="ListParagraph"/>
        <w:spacing w:line="480" w:lineRule="auto"/>
        <w:ind w:left="2160"/>
        <w:jc w:val="both"/>
        <w:rPr>
          <w:bCs/>
          <w:i/>
          <w:iCs/>
        </w:rPr>
      </w:pPr>
      <w:r w:rsidRPr="009B3A5F">
        <w:rPr>
          <w:bCs/>
          <w:i/>
          <w:iCs/>
        </w:rPr>
        <w:lastRenderedPageBreak/>
        <w:t>“Self-regulation . . . can connote a system whereby a group of people, acting in concert, use their collective power to force themselves and others to comply with a code of conduct of their own devising. This is not necessarily morally wrong or contrary to the public interest, unlawful or even undesirable.</w:t>
      </w:r>
      <w:r w:rsidR="0045156F">
        <w:rPr>
          <w:bCs/>
          <w:i/>
          <w:iCs/>
        </w:rPr>
        <w:t>”</w:t>
      </w:r>
      <w:r w:rsidRPr="009B3A5F">
        <w:rPr>
          <w:rStyle w:val="FootnoteReference"/>
          <w:bCs/>
          <w:i/>
          <w:iCs/>
        </w:rPr>
        <w:footnoteReference w:id="24"/>
      </w:r>
    </w:p>
    <w:p w14:paraId="5DA5A4B5" w14:textId="1B130D4C" w:rsidR="005E4BE7" w:rsidRPr="0045156F" w:rsidRDefault="0045156F" w:rsidP="0045156F">
      <w:pPr>
        <w:spacing w:line="480" w:lineRule="auto"/>
        <w:jc w:val="both"/>
        <w:rPr>
          <w:bCs/>
          <w:i/>
          <w:iCs/>
        </w:rPr>
      </w:pPr>
      <w:r>
        <w:rPr>
          <w:bCs/>
        </w:rPr>
        <w:t>[66]</w:t>
      </w:r>
      <w:r>
        <w:rPr>
          <w:bCs/>
        </w:rPr>
        <w:tab/>
      </w:r>
      <w:r w:rsidR="002E2F0C" w:rsidRPr="0045156F">
        <w:rPr>
          <w:bCs/>
        </w:rPr>
        <w:t>This sentiment is entirely apposite to th</w:t>
      </w:r>
      <w:r w:rsidR="00251885" w:rsidRPr="0045156F">
        <w:rPr>
          <w:bCs/>
        </w:rPr>
        <w:t>is matter</w:t>
      </w:r>
      <w:r w:rsidR="001B39AA" w:rsidRPr="0045156F">
        <w:rPr>
          <w:bCs/>
        </w:rPr>
        <w:t xml:space="preserve">. </w:t>
      </w:r>
    </w:p>
    <w:p w14:paraId="414F5B88" w14:textId="1A26FE2F" w:rsidR="00863D1E" w:rsidRPr="000C140C" w:rsidRDefault="00863D1E" w:rsidP="0045156F">
      <w:pPr>
        <w:pStyle w:val="ListParagraph"/>
        <w:spacing w:line="480" w:lineRule="auto"/>
        <w:ind w:left="360" w:firstLine="360"/>
        <w:jc w:val="both"/>
        <w:rPr>
          <w:bCs/>
          <w:i/>
          <w:iCs/>
        </w:rPr>
      </w:pPr>
      <w:r w:rsidRPr="000C140C">
        <w:rPr>
          <w:b/>
          <w:i/>
          <w:iCs/>
        </w:rPr>
        <w:t>Conclusion on the review</w:t>
      </w:r>
      <w:r w:rsidRPr="000C140C">
        <w:rPr>
          <w:bCs/>
          <w:i/>
          <w:iCs/>
        </w:rPr>
        <w:t xml:space="preserve"> </w:t>
      </w:r>
    </w:p>
    <w:p w14:paraId="6A303298" w14:textId="7A3AAA1A" w:rsidR="00EA618C" w:rsidRPr="00F639A1" w:rsidRDefault="00F639A1" w:rsidP="00F639A1">
      <w:pPr>
        <w:spacing w:line="480" w:lineRule="auto"/>
        <w:ind w:left="720" w:hanging="720"/>
        <w:jc w:val="both"/>
        <w:rPr>
          <w:bCs/>
          <w:i/>
          <w:iCs/>
        </w:rPr>
      </w:pPr>
      <w:r>
        <w:rPr>
          <w:bCs/>
        </w:rPr>
        <w:t>[67]</w:t>
      </w:r>
      <w:r>
        <w:rPr>
          <w:bCs/>
        </w:rPr>
        <w:tab/>
      </w:r>
      <w:r w:rsidR="00251885" w:rsidRPr="00F639A1">
        <w:rPr>
          <w:bCs/>
        </w:rPr>
        <w:t xml:space="preserve">There is no basis to set aside the ruling in terms of Clause </w:t>
      </w:r>
      <w:r w:rsidR="00CF4892" w:rsidRPr="00F639A1">
        <w:rPr>
          <w:bCs/>
        </w:rPr>
        <w:t>8 or 9</w:t>
      </w:r>
      <w:r w:rsidR="00863D1E" w:rsidRPr="00F639A1">
        <w:rPr>
          <w:bCs/>
        </w:rPr>
        <w:t>,</w:t>
      </w:r>
      <w:r w:rsidR="00CF4892" w:rsidRPr="00F639A1">
        <w:rPr>
          <w:bCs/>
        </w:rPr>
        <w:t xml:space="preserve"> as being irrational</w:t>
      </w:r>
      <w:r w:rsidR="00863D1E" w:rsidRPr="00F639A1">
        <w:rPr>
          <w:bCs/>
        </w:rPr>
        <w:t>,</w:t>
      </w:r>
      <w:r w:rsidR="00CF4892" w:rsidRPr="00F639A1">
        <w:rPr>
          <w:bCs/>
        </w:rPr>
        <w:t xml:space="preserve"> </w:t>
      </w:r>
      <w:r w:rsidR="000C0D50" w:rsidRPr="00F639A1">
        <w:rPr>
          <w:bCs/>
        </w:rPr>
        <w:t>moreover even if another body of decision makers may have decided the questions differently</w:t>
      </w:r>
      <w:r w:rsidR="00863D1E" w:rsidRPr="00F639A1">
        <w:rPr>
          <w:bCs/>
        </w:rPr>
        <w:t>,</w:t>
      </w:r>
      <w:r w:rsidR="000C0D50" w:rsidRPr="00F639A1">
        <w:rPr>
          <w:bCs/>
        </w:rPr>
        <w:t xml:space="preserve"> </w:t>
      </w:r>
      <w:r w:rsidR="007F53AD" w:rsidRPr="00F639A1">
        <w:rPr>
          <w:bCs/>
        </w:rPr>
        <w:t xml:space="preserve">the decision of the </w:t>
      </w:r>
      <w:r w:rsidR="00863D1E" w:rsidRPr="00F639A1">
        <w:rPr>
          <w:bCs/>
        </w:rPr>
        <w:t xml:space="preserve">FAC </w:t>
      </w:r>
      <w:r w:rsidR="007F53AD" w:rsidRPr="00F639A1">
        <w:rPr>
          <w:bCs/>
        </w:rPr>
        <w:t>majority</w:t>
      </w:r>
      <w:r w:rsidR="00863D1E" w:rsidRPr="00F639A1">
        <w:rPr>
          <w:bCs/>
        </w:rPr>
        <w:t>,</w:t>
      </w:r>
      <w:r w:rsidR="007F53AD" w:rsidRPr="00F639A1">
        <w:rPr>
          <w:bCs/>
        </w:rPr>
        <w:t xml:space="preserve"> was one based on applying the ‘spirit’ of the Code to the facts</w:t>
      </w:r>
      <w:r w:rsidR="00DE0022" w:rsidRPr="00F639A1">
        <w:rPr>
          <w:bCs/>
        </w:rPr>
        <w:t xml:space="preserve">. </w:t>
      </w:r>
      <w:r w:rsidR="00FF59ED" w:rsidRPr="00F639A1">
        <w:rPr>
          <w:bCs/>
        </w:rPr>
        <w:t xml:space="preserve">Those facts are </w:t>
      </w:r>
      <w:r w:rsidR="008A2CF2" w:rsidRPr="00F639A1">
        <w:rPr>
          <w:bCs/>
        </w:rPr>
        <w:t xml:space="preserve">solidly </w:t>
      </w:r>
      <w:r w:rsidR="00FF59ED" w:rsidRPr="00F639A1">
        <w:rPr>
          <w:bCs/>
        </w:rPr>
        <w:t>based on the record before them</w:t>
      </w:r>
      <w:r w:rsidR="00535A94" w:rsidRPr="00F639A1">
        <w:rPr>
          <w:bCs/>
        </w:rPr>
        <w:t xml:space="preserve">. They drew inferences from those facts about transgressions of the Code </w:t>
      </w:r>
      <w:r w:rsidR="00490BA3" w:rsidRPr="00F639A1">
        <w:rPr>
          <w:bCs/>
        </w:rPr>
        <w:t xml:space="preserve">based on solid reasoning. That other inferences could also be drawn is </w:t>
      </w:r>
      <w:r w:rsidR="0049788D" w:rsidRPr="00F639A1">
        <w:rPr>
          <w:bCs/>
        </w:rPr>
        <w:t>unimportant</w:t>
      </w:r>
      <w:r w:rsidR="0082474B" w:rsidRPr="00F639A1">
        <w:rPr>
          <w:bCs/>
        </w:rPr>
        <w:t>,</w:t>
      </w:r>
      <w:r w:rsidR="00490BA3" w:rsidRPr="00F639A1">
        <w:rPr>
          <w:bCs/>
        </w:rPr>
        <w:t xml:space="preserve"> given this is a review not </w:t>
      </w:r>
      <w:r w:rsidR="0082474B" w:rsidRPr="00F639A1">
        <w:rPr>
          <w:bCs/>
        </w:rPr>
        <w:t xml:space="preserve">an </w:t>
      </w:r>
      <w:r w:rsidR="00490BA3" w:rsidRPr="00F639A1">
        <w:rPr>
          <w:bCs/>
        </w:rPr>
        <w:t>appeal.</w:t>
      </w:r>
      <w:r w:rsidR="00FF59ED" w:rsidRPr="00F639A1">
        <w:rPr>
          <w:bCs/>
        </w:rPr>
        <w:t xml:space="preserve"> Moreover</w:t>
      </w:r>
      <w:r w:rsidR="0082474B" w:rsidRPr="00F639A1">
        <w:rPr>
          <w:bCs/>
        </w:rPr>
        <w:t>,</w:t>
      </w:r>
      <w:r w:rsidR="009D4296" w:rsidRPr="00F639A1">
        <w:rPr>
          <w:bCs/>
        </w:rPr>
        <w:t xml:space="preserve"> in coming to their decision </w:t>
      </w:r>
      <w:r w:rsidR="00A53EDA" w:rsidRPr="00F639A1">
        <w:rPr>
          <w:bCs/>
        </w:rPr>
        <w:t>o</w:t>
      </w:r>
      <w:r w:rsidR="009D4296" w:rsidRPr="00F639A1">
        <w:rPr>
          <w:bCs/>
        </w:rPr>
        <w:t xml:space="preserve">n how to interpret the spirit of the Code, </w:t>
      </w:r>
      <w:r w:rsidR="00FF59ED" w:rsidRPr="00F639A1">
        <w:rPr>
          <w:bCs/>
        </w:rPr>
        <w:t>t</w:t>
      </w:r>
      <w:r w:rsidR="00C66889" w:rsidRPr="00F639A1">
        <w:rPr>
          <w:bCs/>
        </w:rPr>
        <w:t xml:space="preserve">he decision makers are entitled to deference from the Courts. </w:t>
      </w:r>
    </w:p>
    <w:p w14:paraId="72483546" w14:textId="3AB4ED78" w:rsidR="00EA618C" w:rsidRPr="00F639A1" w:rsidRDefault="00F639A1" w:rsidP="00F639A1">
      <w:pPr>
        <w:spacing w:line="480" w:lineRule="auto"/>
        <w:ind w:left="720" w:hanging="720"/>
        <w:jc w:val="both"/>
        <w:rPr>
          <w:bCs/>
          <w:i/>
          <w:iCs/>
        </w:rPr>
      </w:pPr>
      <w:r>
        <w:rPr>
          <w:bCs/>
        </w:rPr>
        <w:t>[68]</w:t>
      </w:r>
      <w:r>
        <w:rPr>
          <w:bCs/>
        </w:rPr>
        <w:tab/>
      </w:r>
      <w:r w:rsidR="00EA618C" w:rsidRPr="00F639A1">
        <w:rPr>
          <w:bCs/>
        </w:rPr>
        <w:t>I conclude that none of the grounds for review of the findings either under Clause</w:t>
      </w:r>
      <w:r w:rsidR="006E47D5" w:rsidRPr="00F639A1">
        <w:rPr>
          <w:bCs/>
        </w:rPr>
        <w:t>s</w:t>
      </w:r>
      <w:r w:rsidR="00EA618C" w:rsidRPr="00F639A1">
        <w:rPr>
          <w:bCs/>
        </w:rPr>
        <w:t xml:space="preserve"> 8 or 9 </w:t>
      </w:r>
      <w:r w:rsidR="00332BDC" w:rsidRPr="00F639A1">
        <w:rPr>
          <w:bCs/>
        </w:rPr>
        <w:t>succeed.</w:t>
      </w:r>
    </w:p>
    <w:p w14:paraId="7E8A4FC3" w14:textId="0649B3FF" w:rsidR="00EA618C" w:rsidRPr="00A8157D" w:rsidRDefault="00A8157D" w:rsidP="00A8157D">
      <w:pPr>
        <w:spacing w:line="480" w:lineRule="auto"/>
        <w:ind w:left="1440" w:hanging="720"/>
        <w:jc w:val="both"/>
        <w:rPr>
          <w:b/>
          <w:i/>
          <w:iCs/>
        </w:rPr>
      </w:pPr>
      <w:r w:rsidRPr="009B3A5F">
        <w:rPr>
          <w:b/>
          <w:iCs/>
        </w:rPr>
        <w:t>(iii)</w:t>
      </w:r>
      <w:r w:rsidRPr="009B3A5F">
        <w:rPr>
          <w:b/>
          <w:iCs/>
        </w:rPr>
        <w:tab/>
      </w:r>
      <w:r w:rsidR="00EA618C" w:rsidRPr="00A8157D">
        <w:rPr>
          <w:b/>
        </w:rPr>
        <w:t>Final ground of review</w:t>
      </w:r>
      <w:r w:rsidR="00EA01D8" w:rsidRPr="00A8157D">
        <w:rPr>
          <w:b/>
        </w:rPr>
        <w:t>:</w:t>
      </w:r>
      <w:r w:rsidR="00332BDC" w:rsidRPr="00A8157D">
        <w:rPr>
          <w:b/>
        </w:rPr>
        <w:t xml:space="preserve"> the sanction </w:t>
      </w:r>
    </w:p>
    <w:p w14:paraId="2EF30802" w14:textId="46C4F426" w:rsidR="00EA618C" w:rsidRPr="00F639A1" w:rsidRDefault="00F639A1" w:rsidP="00F639A1">
      <w:pPr>
        <w:spacing w:line="480" w:lineRule="auto"/>
        <w:ind w:left="720" w:hanging="720"/>
        <w:jc w:val="both"/>
        <w:rPr>
          <w:bCs/>
          <w:i/>
          <w:iCs/>
        </w:rPr>
      </w:pPr>
      <w:r>
        <w:rPr>
          <w:bCs/>
        </w:rPr>
        <w:t>[69]</w:t>
      </w:r>
      <w:r>
        <w:rPr>
          <w:bCs/>
        </w:rPr>
        <w:tab/>
      </w:r>
      <w:r w:rsidR="00332BDC" w:rsidRPr="00F639A1">
        <w:rPr>
          <w:bCs/>
        </w:rPr>
        <w:t xml:space="preserve">The final ground of review was whether the sanction was materially influenced by errors of law and/or failure to take relevant circumstances into account. The </w:t>
      </w:r>
      <w:r w:rsidR="00213B18" w:rsidRPr="00F639A1">
        <w:rPr>
          <w:bCs/>
        </w:rPr>
        <w:lastRenderedPageBreak/>
        <w:t xml:space="preserve">FAC order required Bliss to </w:t>
      </w:r>
      <w:r w:rsidR="00AA2195" w:rsidRPr="00F639A1">
        <w:rPr>
          <w:bCs/>
        </w:rPr>
        <w:t>“remove</w:t>
      </w:r>
      <w:r w:rsidR="00213B18" w:rsidRPr="00F639A1">
        <w:rPr>
          <w:bCs/>
        </w:rPr>
        <w:t xml:space="preserve"> the offending packaging</w:t>
      </w:r>
      <w:r w:rsidR="001B39AA" w:rsidRPr="00F639A1">
        <w:rPr>
          <w:bCs/>
        </w:rPr>
        <w:t>.”</w:t>
      </w:r>
      <w:r w:rsidR="00213B18" w:rsidRPr="00F639A1">
        <w:rPr>
          <w:bCs/>
        </w:rPr>
        <w:t xml:space="preserve"> This was a repeat of the order granted by the AAC. Where the orders differed was in relation to the </w:t>
      </w:r>
      <w:r w:rsidR="00FB7B7B" w:rsidRPr="00F639A1">
        <w:rPr>
          <w:bCs/>
        </w:rPr>
        <w:t>period</w:t>
      </w:r>
      <w:r w:rsidR="00213B18" w:rsidRPr="00F639A1">
        <w:rPr>
          <w:bCs/>
        </w:rPr>
        <w:t xml:space="preserve"> for compliance. The AAC gave Bliss three months to comply. </w:t>
      </w:r>
      <w:r w:rsidR="00C6338C" w:rsidRPr="00F639A1">
        <w:rPr>
          <w:bCs/>
        </w:rPr>
        <w:t xml:space="preserve">This was consistent with the </w:t>
      </w:r>
      <w:r w:rsidR="00213B18" w:rsidRPr="00F639A1">
        <w:rPr>
          <w:bCs/>
        </w:rPr>
        <w:t xml:space="preserve">terms of Clause </w:t>
      </w:r>
      <w:r w:rsidR="00C6338C" w:rsidRPr="00F639A1">
        <w:rPr>
          <w:bCs/>
        </w:rPr>
        <w:t>15.3. of the ARB’s Procedural Guide which has a clause that deals specifically with packaging:</w:t>
      </w:r>
    </w:p>
    <w:p w14:paraId="3E9586C4" w14:textId="77777777" w:rsidR="00C6338C" w:rsidRPr="009B3A5F" w:rsidRDefault="00C6338C" w:rsidP="00B65EFF">
      <w:pPr>
        <w:pStyle w:val="ListParagraph"/>
        <w:spacing w:line="480" w:lineRule="auto"/>
        <w:ind w:left="1440"/>
        <w:jc w:val="both"/>
        <w:rPr>
          <w:bCs/>
          <w:i/>
          <w:iCs/>
        </w:rPr>
      </w:pPr>
      <w:r w:rsidRPr="009B3A5F">
        <w:rPr>
          <w:bCs/>
          <w:i/>
          <w:iCs/>
        </w:rPr>
        <w:t>15.3 Where an advertisement is to be withdrawn in terms of a ruling, the advertisement shall be withdrawn as soon as possible, but no later than as set out below:</w:t>
      </w:r>
    </w:p>
    <w:p w14:paraId="7F33393E" w14:textId="3D18BAB9" w:rsidR="00C6338C" w:rsidRPr="009B3A5F" w:rsidRDefault="00C6338C" w:rsidP="00B65EFF">
      <w:pPr>
        <w:pStyle w:val="ListParagraph"/>
        <w:spacing w:line="480" w:lineRule="auto"/>
        <w:ind w:left="1080" w:firstLine="360"/>
        <w:jc w:val="both"/>
        <w:rPr>
          <w:bCs/>
          <w:i/>
          <w:iCs/>
        </w:rPr>
      </w:pPr>
      <w:r w:rsidRPr="009B3A5F">
        <w:rPr>
          <w:bCs/>
          <w:i/>
          <w:iCs/>
        </w:rPr>
        <w:t>....</w:t>
      </w:r>
    </w:p>
    <w:p w14:paraId="12F8CA9D" w14:textId="648AA2FC" w:rsidR="00C6338C" w:rsidRPr="009B3A5F" w:rsidRDefault="00C6338C" w:rsidP="00B65EFF">
      <w:pPr>
        <w:pStyle w:val="ListParagraph"/>
        <w:spacing w:line="480" w:lineRule="auto"/>
        <w:ind w:left="1440"/>
        <w:jc w:val="both"/>
        <w:rPr>
          <w:bCs/>
          <w:i/>
          <w:iCs/>
        </w:rPr>
      </w:pPr>
      <w:r w:rsidRPr="009B3A5F">
        <w:rPr>
          <w:bCs/>
          <w:i/>
          <w:iCs/>
        </w:rPr>
        <w:t xml:space="preserve">15.3.7Packaging — three months or as determined otherwise by the ARB. This applies to dissemination of new packaging, and does not require on-shelf </w:t>
      </w:r>
      <w:proofErr w:type="gramStart"/>
      <w:r w:rsidRPr="009B3A5F">
        <w:rPr>
          <w:bCs/>
          <w:i/>
          <w:iCs/>
        </w:rPr>
        <w:t>removal”</w:t>
      </w:r>
      <w:proofErr w:type="gramEnd"/>
    </w:p>
    <w:p w14:paraId="46884F39" w14:textId="7DFE8C32" w:rsidR="00C6338C" w:rsidRPr="00B65EFF" w:rsidRDefault="00B65EFF" w:rsidP="00AF581B">
      <w:pPr>
        <w:spacing w:line="480" w:lineRule="auto"/>
        <w:ind w:left="720" w:hanging="720"/>
        <w:jc w:val="both"/>
        <w:rPr>
          <w:bCs/>
          <w:i/>
          <w:iCs/>
        </w:rPr>
      </w:pPr>
      <w:r>
        <w:rPr>
          <w:bCs/>
        </w:rPr>
        <w:t>[70]</w:t>
      </w:r>
      <w:r>
        <w:rPr>
          <w:bCs/>
        </w:rPr>
        <w:tab/>
      </w:r>
      <w:r w:rsidR="00C6338C" w:rsidRPr="00B65EFF">
        <w:rPr>
          <w:bCs/>
        </w:rPr>
        <w:t xml:space="preserve">The AAC’s order would have expired on 27 July 2020. The FAC </w:t>
      </w:r>
      <w:r w:rsidR="00B61E22" w:rsidRPr="00B65EFF">
        <w:rPr>
          <w:bCs/>
        </w:rPr>
        <w:t xml:space="preserve">gave its order on 3 August 2020 and ordered that the period for compliance would be extended to 27 August 2020 in effect a </w:t>
      </w:r>
      <w:r w:rsidR="0086435C" w:rsidRPr="00B65EFF">
        <w:rPr>
          <w:bCs/>
        </w:rPr>
        <w:t>one-month</w:t>
      </w:r>
      <w:r w:rsidR="00B61E22" w:rsidRPr="00B65EFF">
        <w:rPr>
          <w:bCs/>
        </w:rPr>
        <w:t xml:space="preserve"> extension of the period given in the AAC order. Later this period was extended by the FAC to 30 September 2020. </w:t>
      </w:r>
    </w:p>
    <w:p w14:paraId="3D6E3172" w14:textId="4C55E97E" w:rsidR="00B61E22" w:rsidRPr="00AF581B" w:rsidRDefault="00AF581B" w:rsidP="00AF581B">
      <w:pPr>
        <w:spacing w:line="480" w:lineRule="auto"/>
        <w:ind w:left="720" w:hanging="720"/>
        <w:jc w:val="both"/>
        <w:rPr>
          <w:bCs/>
          <w:i/>
          <w:iCs/>
        </w:rPr>
      </w:pPr>
      <w:r>
        <w:rPr>
          <w:bCs/>
        </w:rPr>
        <w:t>[71]</w:t>
      </w:r>
      <w:r>
        <w:rPr>
          <w:bCs/>
        </w:rPr>
        <w:tab/>
      </w:r>
      <w:r w:rsidR="00B61E22" w:rsidRPr="00AF581B">
        <w:rPr>
          <w:bCs/>
        </w:rPr>
        <w:t>Bliss</w:t>
      </w:r>
      <w:r w:rsidR="009030BB" w:rsidRPr="00AF581B">
        <w:rPr>
          <w:bCs/>
        </w:rPr>
        <w:t>’</w:t>
      </w:r>
      <w:r w:rsidR="00B61E22" w:rsidRPr="00AF581B">
        <w:rPr>
          <w:bCs/>
        </w:rPr>
        <w:t xml:space="preserve"> complaint is that it was only afforded one month to comply</w:t>
      </w:r>
      <w:r w:rsidR="008821E3" w:rsidRPr="00AF581B">
        <w:rPr>
          <w:bCs/>
        </w:rPr>
        <w:t xml:space="preserve"> in terms of the FAC order</w:t>
      </w:r>
      <w:r w:rsidR="00B61E22" w:rsidRPr="00AF581B">
        <w:rPr>
          <w:bCs/>
        </w:rPr>
        <w:t>.</w:t>
      </w:r>
      <w:r w:rsidR="00A06067" w:rsidRPr="00AF581B">
        <w:rPr>
          <w:bCs/>
        </w:rPr>
        <w:t xml:space="preserve"> But this is only if the </w:t>
      </w:r>
      <w:proofErr w:type="gramStart"/>
      <w:r w:rsidR="00A06067" w:rsidRPr="00AF581B">
        <w:rPr>
          <w:bCs/>
        </w:rPr>
        <w:t>time period</w:t>
      </w:r>
      <w:proofErr w:type="gramEnd"/>
      <w:r w:rsidR="00A06067" w:rsidRPr="00AF581B">
        <w:rPr>
          <w:bCs/>
        </w:rPr>
        <w:t xml:space="preserve"> runs from the date of the FAC order</w:t>
      </w:r>
      <w:r w:rsidR="00B61E22" w:rsidRPr="00AF581B">
        <w:rPr>
          <w:bCs/>
        </w:rPr>
        <w:t xml:space="preserve">. It was effectively given 5 months if one includes the </w:t>
      </w:r>
      <w:r w:rsidR="00FB7B7B" w:rsidRPr="00AF581B">
        <w:rPr>
          <w:bCs/>
        </w:rPr>
        <w:t>period</w:t>
      </w:r>
      <w:r w:rsidR="00B61E22" w:rsidRPr="00AF581B">
        <w:rPr>
          <w:bCs/>
        </w:rPr>
        <w:t xml:space="preserve"> afforded </w:t>
      </w:r>
      <w:r w:rsidR="00F93691" w:rsidRPr="00AF581B">
        <w:rPr>
          <w:bCs/>
        </w:rPr>
        <w:t xml:space="preserve">to it </w:t>
      </w:r>
      <w:r w:rsidR="00B61E22" w:rsidRPr="00AF581B">
        <w:rPr>
          <w:bCs/>
        </w:rPr>
        <w:t xml:space="preserve">by the AAC </w:t>
      </w:r>
      <w:r w:rsidR="009030BB" w:rsidRPr="00AF581B">
        <w:rPr>
          <w:bCs/>
        </w:rPr>
        <w:t>(three</w:t>
      </w:r>
      <w:r w:rsidR="00B61E22" w:rsidRPr="00AF581B">
        <w:rPr>
          <w:bCs/>
        </w:rPr>
        <w:t xml:space="preserve"> months) and then thereafter two months by the FAC. </w:t>
      </w:r>
    </w:p>
    <w:p w14:paraId="1DB1A23E" w14:textId="3E9CE989" w:rsidR="00B61E22" w:rsidRPr="00AF581B" w:rsidRDefault="00AF581B" w:rsidP="00AF581B">
      <w:pPr>
        <w:spacing w:line="480" w:lineRule="auto"/>
        <w:ind w:left="720" w:hanging="720"/>
        <w:jc w:val="both"/>
        <w:rPr>
          <w:bCs/>
          <w:i/>
          <w:iCs/>
        </w:rPr>
      </w:pPr>
      <w:r>
        <w:rPr>
          <w:bCs/>
        </w:rPr>
        <w:t>[72]</w:t>
      </w:r>
      <w:r>
        <w:rPr>
          <w:bCs/>
        </w:rPr>
        <w:tab/>
      </w:r>
      <w:r w:rsidR="00B61E22" w:rsidRPr="00AF581B">
        <w:rPr>
          <w:bCs/>
        </w:rPr>
        <w:t>Whilst I accept as set out at great length in Bliss</w:t>
      </w:r>
      <w:r w:rsidR="009030BB" w:rsidRPr="00AF581B">
        <w:rPr>
          <w:bCs/>
        </w:rPr>
        <w:t>’</w:t>
      </w:r>
      <w:r w:rsidR="00B61E22" w:rsidRPr="00AF581B">
        <w:rPr>
          <w:bCs/>
        </w:rPr>
        <w:t xml:space="preserve"> papers that changing packaging involves a major commercial outlay it has only itself to blame if it has incurred further expenditure in anticipation that it might succeed on appeal. </w:t>
      </w:r>
      <w:r w:rsidR="00B61E22" w:rsidRPr="00AF581B">
        <w:rPr>
          <w:bCs/>
        </w:rPr>
        <w:lastRenderedPageBreak/>
        <w:t xml:space="preserve">After </w:t>
      </w:r>
      <w:r w:rsidR="002D442A" w:rsidRPr="00AF581B">
        <w:rPr>
          <w:bCs/>
        </w:rPr>
        <w:t>all,</w:t>
      </w:r>
      <w:r w:rsidR="00B61E22" w:rsidRPr="00AF581B">
        <w:rPr>
          <w:bCs/>
        </w:rPr>
        <w:t xml:space="preserve"> why should the complainant be prejudiced by a further period of extension when there is an appeal. In any event much of this debate has become academic It is now February 2024. There is no basis for the decision to have been reviewed on this ground either.</w:t>
      </w:r>
    </w:p>
    <w:p w14:paraId="1A799BE3" w14:textId="24DBE58E" w:rsidR="00B61E22" w:rsidRPr="009B3A5F" w:rsidRDefault="00B61E22" w:rsidP="00AF581B">
      <w:pPr>
        <w:pStyle w:val="ListParagraph"/>
        <w:spacing w:line="480" w:lineRule="auto"/>
        <w:ind w:left="360" w:firstLine="360"/>
        <w:jc w:val="both"/>
        <w:rPr>
          <w:b/>
          <w:i/>
          <w:iCs/>
        </w:rPr>
      </w:pPr>
      <w:r w:rsidRPr="009B3A5F">
        <w:rPr>
          <w:b/>
        </w:rPr>
        <w:t xml:space="preserve">Discharge </w:t>
      </w:r>
      <w:proofErr w:type="gramStart"/>
      <w:r w:rsidRPr="009B3A5F">
        <w:rPr>
          <w:b/>
        </w:rPr>
        <w:t>application</w:t>
      </w:r>
      <w:proofErr w:type="gramEnd"/>
      <w:r w:rsidRPr="009B3A5F">
        <w:rPr>
          <w:b/>
        </w:rPr>
        <w:t xml:space="preserve"> </w:t>
      </w:r>
    </w:p>
    <w:p w14:paraId="26416966" w14:textId="030CE1C1" w:rsidR="00B61E22" w:rsidRPr="00AF581B" w:rsidRDefault="00AF581B" w:rsidP="00265DF0">
      <w:pPr>
        <w:spacing w:line="480" w:lineRule="auto"/>
        <w:ind w:left="720" w:hanging="720"/>
        <w:jc w:val="both"/>
        <w:rPr>
          <w:bCs/>
          <w:i/>
          <w:iCs/>
        </w:rPr>
      </w:pPr>
      <w:r>
        <w:rPr>
          <w:bCs/>
        </w:rPr>
        <w:t>[</w:t>
      </w:r>
      <w:r w:rsidR="00265DF0">
        <w:rPr>
          <w:bCs/>
        </w:rPr>
        <w:t>73]</w:t>
      </w:r>
      <w:r w:rsidR="00265DF0">
        <w:rPr>
          <w:bCs/>
        </w:rPr>
        <w:tab/>
      </w:r>
      <w:r w:rsidR="00B61E22" w:rsidRPr="00AF581B">
        <w:rPr>
          <w:bCs/>
        </w:rPr>
        <w:t>The parties</w:t>
      </w:r>
      <w:r w:rsidR="00960936" w:rsidRPr="00AF581B">
        <w:rPr>
          <w:bCs/>
        </w:rPr>
        <w:t>’</w:t>
      </w:r>
      <w:r w:rsidR="00B61E22" w:rsidRPr="00AF581B">
        <w:rPr>
          <w:bCs/>
        </w:rPr>
        <w:t xml:space="preserve"> dispute does not end with </w:t>
      </w:r>
      <w:r w:rsidR="00960936" w:rsidRPr="00AF581B">
        <w:rPr>
          <w:bCs/>
        </w:rPr>
        <w:t xml:space="preserve">my dismissal of the </w:t>
      </w:r>
      <w:r w:rsidR="00B61E22" w:rsidRPr="00AF581B">
        <w:rPr>
          <w:bCs/>
        </w:rPr>
        <w:t xml:space="preserve">review. During the case management meeting counsel for Colgate asked </w:t>
      </w:r>
      <w:r w:rsidR="006E4183" w:rsidRPr="00AF581B">
        <w:rPr>
          <w:bCs/>
        </w:rPr>
        <w:t>whether Bliss accepted that part of the order made by Fisher J when she heard the earlier application was still applicable if the review was unsuccessful before me</w:t>
      </w:r>
      <w:r w:rsidR="005375D6" w:rsidRPr="00AF581B">
        <w:rPr>
          <w:bCs/>
        </w:rPr>
        <w:t>,</w:t>
      </w:r>
      <w:r w:rsidR="006E4183" w:rsidRPr="00AF581B">
        <w:rPr>
          <w:bCs/>
        </w:rPr>
        <w:t xml:space="preserve"> which it has proved to be. Counsel for Bliss indicated that </w:t>
      </w:r>
      <w:r w:rsidR="00247E72" w:rsidRPr="00AF581B">
        <w:rPr>
          <w:bCs/>
        </w:rPr>
        <w:t>Bliss view</w:t>
      </w:r>
      <w:r w:rsidR="006E4183" w:rsidRPr="00AF581B">
        <w:rPr>
          <w:bCs/>
        </w:rPr>
        <w:t xml:space="preserve"> </w:t>
      </w:r>
      <w:r w:rsidR="007A7092" w:rsidRPr="00AF581B">
        <w:rPr>
          <w:bCs/>
        </w:rPr>
        <w:t>wa</w:t>
      </w:r>
      <w:r w:rsidR="006E4183" w:rsidRPr="00AF581B">
        <w:rPr>
          <w:bCs/>
        </w:rPr>
        <w:t>s that even in those circumstances the order was still in force.</w:t>
      </w:r>
      <w:r w:rsidR="007A7092" w:rsidRPr="00AF581B">
        <w:rPr>
          <w:bCs/>
        </w:rPr>
        <w:t xml:space="preserve"> I directed then</w:t>
      </w:r>
      <w:r w:rsidR="006E4183" w:rsidRPr="00AF581B">
        <w:rPr>
          <w:bCs/>
        </w:rPr>
        <w:t xml:space="preserve"> that Colgate </w:t>
      </w:r>
      <w:r w:rsidR="00882646" w:rsidRPr="00AF581B">
        <w:rPr>
          <w:bCs/>
        </w:rPr>
        <w:t>must</w:t>
      </w:r>
      <w:r w:rsidR="006E4183" w:rsidRPr="00AF581B">
        <w:rPr>
          <w:bCs/>
        </w:rPr>
        <w:t xml:space="preserve"> bring a separate </w:t>
      </w:r>
      <w:r w:rsidR="008A6C53" w:rsidRPr="00AF581B">
        <w:rPr>
          <w:bCs/>
        </w:rPr>
        <w:t xml:space="preserve">discharge </w:t>
      </w:r>
      <w:r w:rsidR="006E4183" w:rsidRPr="00AF581B">
        <w:rPr>
          <w:bCs/>
        </w:rPr>
        <w:t>application and</w:t>
      </w:r>
      <w:r w:rsidR="008A6C53" w:rsidRPr="00AF581B">
        <w:rPr>
          <w:bCs/>
        </w:rPr>
        <w:t xml:space="preserve"> that</w:t>
      </w:r>
      <w:r w:rsidR="006E4183" w:rsidRPr="00AF581B">
        <w:rPr>
          <w:bCs/>
        </w:rPr>
        <w:t xml:space="preserve"> it would be heard at the same time as the review. </w:t>
      </w:r>
      <w:r w:rsidR="007354D3" w:rsidRPr="00AF581B">
        <w:rPr>
          <w:bCs/>
        </w:rPr>
        <w:t>Both parties then filed</w:t>
      </w:r>
      <w:r w:rsidR="00601B05" w:rsidRPr="00AF581B">
        <w:rPr>
          <w:bCs/>
        </w:rPr>
        <w:t xml:space="preserve"> further</w:t>
      </w:r>
      <w:r w:rsidR="007354D3" w:rsidRPr="00AF581B">
        <w:rPr>
          <w:bCs/>
        </w:rPr>
        <w:t xml:space="preserve"> </w:t>
      </w:r>
      <w:r w:rsidR="00601B05" w:rsidRPr="00AF581B">
        <w:rPr>
          <w:bCs/>
        </w:rPr>
        <w:t>affidavits</w:t>
      </w:r>
      <w:r w:rsidR="006E4183" w:rsidRPr="00AF581B">
        <w:rPr>
          <w:bCs/>
        </w:rPr>
        <w:t xml:space="preserve"> and heads of argument to address this point.</w:t>
      </w:r>
    </w:p>
    <w:p w14:paraId="567B2CC4" w14:textId="45027EF7" w:rsidR="006E4183" w:rsidRPr="00265DF0" w:rsidRDefault="00265DF0" w:rsidP="00265DF0">
      <w:pPr>
        <w:spacing w:line="480" w:lineRule="auto"/>
        <w:ind w:left="720" w:hanging="720"/>
        <w:jc w:val="both"/>
        <w:rPr>
          <w:bCs/>
          <w:i/>
          <w:iCs/>
        </w:rPr>
      </w:pPr>
      <w:r>
        <w:rPr>
          <w:bCs/>
        </w:rPr>
        <w:t>[74]</w:t>
      </w:r>
      <w:r>
        <w:rPr>
          <w:bCs/>
        </w:rPr>
        <w:tab/>
      </w:r>
      <w:r w:rsidR="006E4183" w:rsidRPr="00265DF0">
        <w:rPr>
          <w:bCs/>
        </w:rPr>
        <w:t xml:space="preserve">First some history </w:t>
      </w:r>
      <w:r w:rsidR="00960936" w:rsidRPr="00265DF0">
        <w:rPr>
          <w:bCs/>
        </w:rPr>
        <w:t xml:space="preserve">is necessary </w:t>
      </w:r>
      <w:r w:rsidR="006E4183" w:rsidRPr="00265DF0">
        <w:rPr>
          <w:bCs/>
        </w:rPr>
        <w:t xml:space="preserve">to </w:t>
      </w:r>
      <w:r w:rsidR="00960936" w:rsidRPr="00265DF0">
        <w:rPr>
          <w:bCs/>
        </w:rPr>
        <w:t xml:space="preserve">see </w:t>
      </w:r>
      <w:r w:rsidR="006E4183" w:rsidRPr="00265DF0">
        <w:rPr>
          <w:bCs/>
        </w:rPr>
        <w:t xml:space="preserve">how this order came about. Bliss first brought this review as an urgent application which was heard by Yacoob J. </w:t>
      </w:r>
      <w:r w:rsidR="00653423" w:rsidRPr="00265DF0">
        <w:rPr>
          <w:bCs/>
        </w:rPr>
        <w:t xml:space="preserve">on </w:t>
      </w:r>
      <w:r w:rsidR="00CE24DB" w:rsidRPr="00265DF0">
        <w:rPr>
          <w:bCs/>
        </w:rPr>
        <w:t>28</w:t>
      </w:r>
      <w:r w:rsidR="00653423" w:rsidRPr="00265DF0">
        <w:rPr>
          <w:bCs/>
        </w:rPr>
        <w:t xml:space="preserve"> September 2020</w:t>
      </w:r>
      <w:r w:rsidR="00241D50" w:rsidRPr="00265DF0">
        <w:rPr>
          <w:bCs/>
        </w:rPr>
        <w:t>.S</w:t>
      </w:r>
      <w:r w:rsidR="00863E64" w:rsidRPr="00265DF0">
        <w:rPr>
          <w:bCs/>
        </w:rPr>
        <w:t>h</w:t>
      </w:r>
      <w:r w:rsidR="006E4183" w:rsidRPr="00265DF0">
        <w:rPr>
          <w:bCs/>
        </w:rPr>
        <w:t xml:space="preserve">e dismissed the application on the basis that Bliss had failed to demonstrate </w:t>
      </w:r>
      <w:proofErr w:type="gramStart"/>
      <w:r w:rsidR="006E4183" w:rsidRPr="00265DF0">
        <w:rPr>
          <w:bCs/>
        </w:rPr>
        <w:t xml:space="preserve">a </w:t>
      </w:r>
      <w:r w:rsidR="006E4183" w:rsidRPr="00265DF0">
        <w:rPr>
          <w:bCs/>
          <w:i/>
          <w:iCs/>
        </w:rPr>
        <w:t>prima facie</w:t>
      </w:r>
      <w:proofErr w:type="gramEnd"/>
      <w:r w:rsidR="006E4183" w:rsidRPr="00265DF0">
        <w:rPr>
          <w:bCs/>
        </w:rPr>
        <w:t xml:space="preserve"> right.</w:t>
      </w:r>
    </w:p>
    <w:p w14:paraId="0B6754C7" w14:textId="0EEB4692" w:rsidR="006E4183" w:rsidRPr="00265DF0" w:rsidRDefault="00265DF0" w:rsidP="00265DF0">
      <w:pPr>
        <w:spacing w:line="480" w:lineRule="auto"/>
        <w:ind w:left="720" w:hanging="720"/>
        <w:jc w:val="both"/>
        <w:rPr>
          <w:bCs/>
          <w:i/>
          <w:iCs/>
        </w:rPr>
      </w:pPr>
      <w:r>
        <w:rPr>
          <w:bCs/>
        </w:rPr>
        <w:t>[75]</w:t>
      </w:r>
      <w:r>
        <w:rPr>
          <w:bCs/>
        </w:rPr>
        <w:tab/>
      </w:r>
      <w:r w:rsidR="006E4183" w:rsidRPr="00265DF0">
        <w:rPr>
          <w:bCs/>
        </w:rPr>
        <w:t xml:space="preserve">Bliss then brought a second urgent application which was heard by Fisher J. I will refer to this as Fisher 1. This was when </w:t>
      </w:r>
      <w:proofErr w:type="spellStart"/>
      <w:r w:rsidR="006E4183" w:rsidRPr="00265DF0">
        <w:rPr>
          <w:bCs/>
          <w:i/>
          <w:iCs/>
        </w:rPr>
        <w:t>mero</w:t>
      </w:r>
      <w:proofErr w:type="spellEnd"/>
      <w:r w:rsidR="006E4183" w:rsidRPr="00265DF0">
        <w:rPr>
          <w:bCs/>
          <w:i/>
          <w:iCs/>
        </w:rPr>
        <w:t xml:space="preserve"> motu</w:t>
      </w:r>
      <w:r w:rsidR="006E4183" w:rsidRPr="00265DF0">
        <w:rPr>
          <w:bCs/>
        </w:rPr>
        <w:t xml:space="preserve"> Fisher J raised the constitutional issue. That is the same issue that then went to the SCA and ultimately to the </w:t>
      </w:r>
      <w:r w:rsidR="009B5C21" w:rsidRPr="00265DF0">
        <w:rPr>
          <w:bCs/>
        </w:rPr>
        <w:t>Constitutional</w:t>
      </w:r>
      <w:r w:rsidR="006E4183" w:rsidRPr="00265DF0">
        <w:rPr>
          <w:bCs/>
        </w:rPr>
        <w:t xml:space="preserve"> Court. It failed before both.</w:t>
      </w:r>
    </w:p>
    <w:p w14:paraId="6FC02E76" w14:textId="61AF79F3" w:rsidR="006E4183" w:rsidRPr="00265DF0" w:rsidRDefault="00265DF0" w:rsidP="00265DF0">
      <w:pPr>
        <w:spacing w:line="480" w:lineRule="auto"/>
        <w:ind w:left="720" w:hanging="720"/>
        <w:jc w:val="both"/>
        <w:rPr>
          <w:bCs/>
          <w:i/>
          <w:iCs/>
        </w:rPr>
      </w:pPr>
      <w:r>
        <w:rPr>
          <w:bCs/>
        </w:rPr>
        <w:lastRenderedPageBreak/>
        <w:t>[76]</w:t>
      </w:r>
      <w:r>
        <w:rPr>
          <w:bCs/>
        </w:rPr>
        <w:tab/>
      </w:r>
      <w:r w:rsidR="009B5C21" w:rsidRPr="00265DF0">
        <w:rPr>
          <w:bCs/>
        </w:rPr>
        <w:t>However,</w:t>
      </w:r>
      <w:r w:rsidR="006E4183" w:rsidRPr="00265DF0">
        <w:rPr>
          <w:bCs/>
        </w:rPr>
        <w:t xml:space="preserve"> what had happened was that </w:t>
      </w:r>
      <w:r w:rsidR="005343AD" w:rsidRPr="00265DF0">
        <w:rPr>
          <w:bCs/>
        </w:rPr>
        <w:t xml:space="preserve">in Fisher 1, </w:t>
      </w:r>
      <w:r w:rsidR="001C3CC5" w:rsidRPr="00265DF0">
        <w:rPr>
          <w:bCs/>
        </w:rPr>
        <w:t>o</w:t>
      </w:r>
      <w:r w:rsidR="009210DA" w:rsidRPr="00265DF0">
        <w:rPr>
          <w:bCs/>
        </w:rPr>
        <w:t>n</w:t>
      </w:r>
      <w:r w:rsidR="001C3CC5" w:rsidRPr="00265DF0">
        <w:rPr>
          <w:bCs/>
        </w:rPr>
        <w:t xml:space="preserve"> 30 November 2020,</w:t>
      </w:r>
      <w:r w:rsidR="00F575C1" w:rsidRPr="00265DF0">
        <w:rPr>
          <w:bCs/>
        </w:rPr>
        <w:t xml:space="preserve"> </w:t>
      </w:r>
      <w:r w:rsidR="006E4183" w:rsidRPr="00265DF0">
        <w:rPr>
          <w:bCs/>
        </w:rPr>
        <w:t xml:space="preserve">Fisher J had granted an order </w:t>
      </w:r>
      <w:r w:rsidR="00E34348" w:rsidRPr="00265DF0">
        <w:rPr>
          <w:bCs/>
        </w:rPr>
        <w:t>when she heard the urgent application in the following terms:</w:t>
      </w:r>
    </w:p>
    <w:p w14:paraId="41F07735" w14:textId="3CDF7BF1" w:rsidR="00E34348" w:rsidRPr="009B3A5F" w:rsidRDefault="00265DF0" w:rsidP="00265DF0">
      <w:pPr>
        <w:pStyle w:val="ListParagraph"/>
        <w:spacing w:line="480" w:lineRule="auto"/>
        <w:ind w:left="2160"/>
        <w:jc w:val="both"/>
        <w:rPr>
          <w:bCs/>
        </w:rPr>
      </w:pPr>
      <w:r>
        <w:rPr>
          <w:bCs/>
          <w:i/>
          <w:iCs/>
        </w:rPr>
        <w:t>“</w:t>
      </w:r>
      <w:r w:rsidR="00E34348" w:rsidRPr="009B3A5F">
        <w:rPr>
          <w:bCs/>
          <w:i/>
          <w:iCs/>
        </w:rPr>
        <w:t xml:space="preserve">2. The question of whether the ARB process in issue is constitutional </w:t>
      </w:r>
      <w:r w:rsidR="00E34348" w:rsidRPr="009B3A5F">
        <w:rPr>
          <w:bCs/>
          <w:i/>
          <w:iCs/>
          <w:u w:val="single"/>
        </w:rPr>
        <w:t xml:space="preserve">and the further questions which arise in terms of the impugned rulings under judicial review </w:t>
      </w:r>
      <w:r w:rsidR="00E34348" w:rsidRPr="009B3A5F">
        <w:rPr>
          <w:bCs/>
          <w:i/>
          <w:iCs/>
        </w:rPr>
        <w:t>by this Court are postponed to a date to be arranged between all parties.</w:t>
      </w:r>
      <w:r>
        <w:rPr>
          <w:bCs/>
          <w:i/>
          <w:iCs/>
        </w:rPr>
        <w:t xml:space="preserve"> </w:t>
      </w:r>
      <w:r>
        <w:rPr>
          <w:bCs/>
        </w:rPr>
        <w:t>(</w:t>
      </w:r>
      <w:r w:rsidR="00875CFD" w:rsidRPr="009B3A5F">
        <w:rPr>
          <w:bCs/>
        </w:rPr>
        <w:t>E</w:t>
      </w:r>
      <w:r w:rsidR="0092340A" w:rsidRPr="009B3A5F">
        <w:rPr>
          <w:bCs/>
        </w:rPr>
        <w:t>mphasis provided)</w:t>
      </w:r>
    </w:p>
    <w:p w14:paraId="411A11EF" w14:textId="77777777" w:rsidR="00E34348" w:rsidRPr="009B3A5F" w:rsidRDefault="00E34348" w:rsidP="009B3A5F">
      <w:pPr>
        <w:pStyle w:val="ListParagraph"/>
        <w:spacing w:line="480" w:lineRule="auto"/>
        <w:ind w:left="360"/>
        <w:jc w:val="both"/>
        <w:rPr>
          <w:bCs/>
          <w:i/>
          <w:iCs/>
        </w:rPr>
      </w:pPr>
    </w:p>
    <w:p w14:paraId="5F4C1303" w14:textId="6A5479BA" w:rsidR="00E34348" w:rsidRPr="009B3A5F" w:rsidRDefault="00E34348" w:rsidP="00265DF0">
      <w:pPr>
        <w:pStyle w:val="ListParagraph"/>
        <w:spacing w:line="480" w:lineRule="auto"/>
        <w:ind w:left="2160"/>
        <w:jc w:val="both"/>
        <w:rPr>
          <w:bCs/>
        </w:rPr>
      </w:pPr>
      <w:r w:rsidRPr="009B3A5F">
        <w:rPr>
          <w:bCs/>
          <w:i/>
          <w:iCs/>
        </w:rPr>
        <w:t>3. The ARB is interdicted from enforcing the impugned rulings of the ARB pending the final determination of these questions."</w:t>
      </w:r>
    </w:p>
    <w:p w14:paraId="1A4DDB9A" w14:textId="7144A7F1" w:rsidR="004B1E0B" w:rsidRPr="00265DF0" w:rsidRDefault="00265DF0" w:rsidP="00265DF0">
      <w:pPr>
        <w:spacing w:line="480" w:lineRule="auto"/>
        <w:ind w:left="720" w:hanging="720"/>
        <w:jc w:val="both"/>
        <w:rPr>
          <w:bCs/>
          <w:i/>
          <w:iCs/>
        </w:rPr>
      </w:pPr>
      <w:r>
        <w:rPr>
          <w:bCs/>
        </w:rPr>
        <w:t>[77]</w:t>
      </w:r>
      <w:r>
        <w:rPr>
          <w:bCs/>
        </w:rPr>
        <w:tab/>
      </w:r>
      <w:r w:rsidR="00512FA2" w:rsidRPr="00265DF0">
        <w:rPr>
          <w:bCs/>
        </w:rPr>
        <w:t xml:space="preserve">After Fisher 1 had been delivered both parties filed fresh papers to deal with the constitutional </w:t>
      </w:r>
      <w:r w:rsidR="004A1397" w:rsidRPr="00265DF0">
        <w:rPr>
          <w:bCs/>
        </w:rPr>
        <w:t>issue,</w:t>
      </w:r>
      <w:r w:rsidR="00512FA2" w:rsidRPr="00265DF0">
        <w:rPr>
          <w:bCs/>
        </w:rPr>
        <w:t xml:space="preserve"> she had </w:t>
      </w:r>
      <w:proofErr w:type="spellStart"/>
      <w:r w:rsidR="00512FA2" w:rsidRPr="00265DF0">
        <w:rPr>
          <w:bCs/>
          <w:i/>
          <w:iCs/>
        </w:rPr>
        <w:t>mero</w:t>
      </w:r>
      <w:proofErr w:type="spellEnd"/>
      <w:r w:rsidR="00512FA2" w:rsidRPr="00265DF0">
        <w:rPr>
          <w:bCs/>
          <w:i/>
          <w:iCs/>
        </w:rPr>
        <w:t xml:space="preserve"> motu</w:t>
      </w:r>
      <w:r w:rsidR="00512FA2" w:rsidRPr="00265DF0">
        <w:rPr>
          <w:bCs/>
        </w:rPr>
        <w:t xml:space="preserve"> raised. She heard the matter again </w:t>
      </w:r>
      <w:r w:rsidR="00AE7123" w:rsidRPr="00265DF0">
        <w:rPr>
          <w:bCs/>
        </w:rPr>
        <w:t xml:space="preserve">the following year and decided the matter on 21 May 2021. This was when Fisher J decided the constitutional issue in favour of </w:t>
      </w:r>
      <w:r w:rsidR="004A1397" w:rsidRPr="00265DF0">
        <w:rPr>
          <w:bCs/>
        </w:rPr>
        <w:t>Bliss,</w:t>
      </w:r>
      <w:r w:rsidR="00AE7123" w:rsidRPr="00265DF0">
        <w:rPr>
          <w:bCs/>
        </w:rPr>
        <w:t xml:space="preserve"> and she therefore did not consider the review points I have had to consider in this case. </w:t>
      </w:r>
      <w:r w:rsidR="0007574B" w:rsidRPr="00265DF0">
        <w:rPr>
          <w:bCs/>
        </w:rPr>
        <w:t>I will refer to this second decision as Fisher2.</w:t>
      </w:r>
    </w:p>
    <w:p w14:paraId="75A2877D" w14:textId="13AEB849" w:rsidR="00AE7123" w:rsidRPr="00265DF0" w:rsidRDefault="00265DF0" w:rsidP="00265DF0">
      <w:pPr>
        <w:spacing w:line="480" w:lineRule="auto"/>
        <w:ind w:left="720" w:hanging="720"/>
        <w:jc w:val="both"/>
        <w:rPr>
          <w:bCs/>
          <w:i/>
          <w:iCs/>
        </w:rPr>
      </w:pPr>
      <w:r>
        <w:rPr>
          <w:bCs/>
        </w:rPr>
        <w:t>[78]</w:t>
      </w:r>
      <w:r>
        <w:rPr>
          <w:bCs/>
        </w:rPr>
        <w:tab/>
      </w:r>
      <w:r w:rsidR="0007574B" w:rsidRPr="00265DF0">
        <w:rPr>
          <w:bCs/>
        </w:rPr>
        <w:t xml:space="preserve">In Fisher 2, </w:t>
      </w:r>
      <w:r w:rsidR="00AE7123" w:rsidRPr="00265DF0">
        <w:rPr>
          <w:bCs/>
        </w:rPr>
        <w:t xml:space="preserve">Fisher J did however opine on the interim order she had granted as Fisher </w:t>
      </w:r>
      <w:r w:rsidR="004A1397" w:rsidRPr="00265DF0">
        <w:rPr>
          <w:bCs/>
        </w:rPr>
        <w:t>1. She</w:t>
      </w:r>
      <w:r w:rsidR="00E449B9" w:rsidRPr="00265DF0">
        <w:rPr>
          <w:bCs/>
        </w:rPr>
        <w:t xml:space="preserve"> considered</w:t>
      </w:r>
      <w:r w:rsidR="00A45C67" w:rsidRPr="00265DF0">
        <w:rPr>
          <w:bCs/>
        </w:rPr>
        <w:t xml:space="preserve"> inter alia,</w:t>
      </w:r>
      <w:r w:rsidR="00E449B9" w:rsidRPr="00265DF0">
        <w:rPr>
          <w:bCs/>
        </w:rPr>
        <w:t xml:space="preserve"> that </w:t>
      </w:r>
      <w:r w:rsidR="000D67E9" w:rsidRPr="00265DF0">
        <w:rPr>
          <w:bCs/>
        </w:rPr>
        <w:t xml:space="preserve">since Colgate had not brought a reconsideration application </w:t>
      </w:r>
      <w:r w:rsidR="00190B87" w:rsidRPr="00265DF0">
        <w:rPr>
          <w:bCs/>
        </w:rPr>
        <w:t xml:space="preserve">the interim order stood. </w:t>
      </w:r>
    </w:p>
    <w:p w14:paraId="4D43C82D" w14:textId="06D71BAD" w:rsidR="00190B87" w:rsidRPr="00265DF0" w:rsidRDefault="00265DF0" w:rsidP="00265DF0">
      <w:pPr>
        <w:spacing w:line="480" w:lineRule="auto"/>
        <w:ind w:left="720" w:hanging="720"/>
        <w:jc w:val="both"/>
        <w:rPr>
          <w:bCs/>
          <w:i/>
          <w:iCs/>
        </w:rPr>
      </w:pPr>
      <w:r>
        <w:rPr>
          <w:bCs/>
        </w:rPr>
        <w:t>[79]</w:t>
      </w:r>
      <w:r>
        <w:rPr>
          <w:bCs/>
        </w:rPr>
        <w:tab/>
      </w:r>
      <w:r w:rsidR="00190B87" w:rsidRPr="00265DF0">
        <w:rPr>
          <w:bCs/>
        </w:rPr>
        <w:t>This means I must now consider what the terms of the order meant</w:t>
      </w:r>
      <w:r w:rsidR="009D6D69" w:rsidRPr="00265DF0">
        <w:rPr>
          <w:bCs/>
        </w:rPr>
        <w:t xml:space="preserve"> in Fisher1,</w:t>
      </w:r>
      <w:r w:rsidR="00190B87" w:rsidRPr="00265DF0">
        <w:rPr>
          <w:bCs/>
        </w:rPr>
        <w:t xml:space="preserve"> since the decision of Fisher 2 has been overturned.</w:t>
      </w:r>
    </w:p>
    <w:p w14:paraId="75DDC799" w14:textId="2F900A03" w:rsidR="009C3901" w:rsidRPr="00265DF0" w:rsidRDefault="00265DF0" w:rsidP="00265DF0">
      <w:pPr>
        <w:spacing w:line="480" w:lineRule="auto"/>
        <w:jc w:val="both"/>
        <w:rPr>
          <w:bCs/>
          <w:i/>
          <w:iCs/>
        </w:rPr>
      </w:pPr>
      <w:r>
        <w:rPr>
          <w:bCs/>
        </w:rPr>
        <w:t>[80]</w:t>
      </w:r>
      <w:r>
        <w:rPr>
          <w:bCs/>
        </w:rPr>
        <w:tab/>
      </w:r>
      <w:r w:rsidR="009C3901" w:rsidRPr="00265DF0">
        <w:rPr>
          <w:bCs/>
        </w:rPr>
        <w:t>I turn again to paragraph 3 of that order which I repeat for convenience.</w:t>
      </w:r>
    </w:p>
    <w:p w14:paraId="24EB9B7E" w14:textId="36318901" w:rsidR="009C3901" w:rsidRPr="009B3A5F" w:rsidRDefault="00731FFC" w:rsidP="00A845C0">
      <w:pPr>
        <w:pStyle w:val="ListParagraph"/>
        <w:spacing w:line="480" w:lineRule="auto"/>
        <w:ind w:left="2160"/>
        <w:jc w:val="both"/>
        <w:rPr>
          <w:bCs/>
          <w:i/>
          <w:iCs/>
        </w:rPr>
      </w:pPr>
      <w:r w:rsidRPr="009B3A5F">
        <w:rPr>
          <w:bCs/>
          <w:i/>
          <w:iCs/>
        </w:rPr>
        <w:lastRenderedPageBreak/>
        <w:t>“</w:t>
      </w:r>
      <w:r w:rsidR="009C3901" w:rsidRPr="009B3A5F">
        <w:rPr>
          <w:bCs/>
          <w:i/>
          <w:iCs/>
        </w:rPr>
        <w:t xml:space="preserve">The ARB is interdicted from enforcing the impugned rulings of the ARB pending </w:t>
      </w:r>
      <w:r w:rsidR="009C3901" w:rsidRPr="009B3A5F">
        <w:rPr>
          <w:bCs/>
          <w:i/>
          <w:iCs/>
          <w:u w:val="single"/>
        </w:rPr>
        <w:t>the final determination of these questions</w:t>
      </w:r>
      <w:r w:rsidR="009C3901" w:rsidRPr="009B3A5F">
        <w:rPr>
          <w:bCs/>
          <w:i/>
          <w:iCs/>
        </w:rPr>
        <w:t>."</w:t>
      </w:r>
      <w:r w:rsidR="009C3901" w:rsidRPr="009B3A5F">
        <w:rPr>
          <w:bCs/>
        </w:rPr>
        <w:t xml:space="preserve"> (</w:t>
      </w:r>
      <w:r w:rsidR="004A1397" w:rsidRPr="009B3A5F">
        <w:rPr>
          <w:bCs/>
        </w:rPr>
        <w:t>Emphasis</w:t>
      </w:r>
      <w:r w:rsidR="009C3901" w:rsidRPr="009B3A5F">
        <w:rPr>
          <w:bCs/>
        </w:rPr>
        <w:t xml:space="preserve"> provided</w:t>
      </w:r>
      <w:r w:rsidR="00A45C67" w:rsidRPr="009B3A5F">
        <w:rPr>
          <w:bCs/>
        </w:rPr>
        <w:t>)</w:t>
      </w:r>
    </w:p>
    <w:p w14:paraId="7B3C2A6E" w14:textId="0A83FAC9" w:rsidR="00E34348" w:rsidRPr="00A845C0" w:rsidRDefault="00A845C0" w:rsidP="00A845C0">
      <w:pPr>
        <w:spacing w:line="480" w:lineRule="auto"/>
        <w:ind w:left="720" w:hanging="720"/>
        <w:jc w:val="both"/>
        <w:rPr>
          <w:bCs/>
          <w:i/>
          <w:iCs/>
        </w:rPr>
      </w:pPr>
      <w:r>
        <w:rPr>
          <w:bCs/>
        </w:rPr>
        <w:t>[</w:t>
      </w:r>
      <w:r w:rsidR="006E1825">
        <w:rPr>
          <w:bCs/>
        </w:rPr>
        <w:t>81</w:t>
      </w:r>
      <w:r>
        <w:rPr>
          <w:bCs/>
        </w:rPr>
        <w:t>]</w:t>
      </w:r>
      <w:r>
        <w:rPr>
          <w:bCs/>
        </w:rPr>
        <w:tab/>
      </w:r>
      <w:r w:rsidR="00D90D5D" w:rsidRPr="00A845C0">
        <w:rPr>
          <w:bCs/>
        </w:rPr>
        <w:t xml:space="preserve">The </w:t>
      </w:r>
      <w:r w:rsidR="00444C0C" w:rsidRPr="00A845C0">
        <w:rPr>
          <w:bCs/>
        </w:rPr>
        <w:t>‘</w:t>
      </w:r>
      <w:r w:rsidR="00D90D5D" w:rsidRPr="00A845C0">
        <w:rPr>
          <w:bCs/>
          <w:i/>
          <w:iCs/>
        </w:rPr>
        <w:t>final determination</w:t>
      </w:r>
      <w:r w:rsidR="00444C0C" w:rsidRPr="00A845C0">
        <w:rPr>
          <w:bCs/>
          <w:i/>
          <w:iCs/>
        </w:rPr>
        <w:t>’</w:t>
      </w:r>
      <w:r w:rsidR="00D90D5D" w:rsidRPr="00A845C0">
        <w:rPr>
          <w:bCs/>
        </w:rPr>
        <w:t xml:space="preserve"> means that the losing party</w:t>
      </w:r>
      <w:r w:rsidR="00451CF9" w:rsidRPr="00A845C0">
        <w:rPr>
          <w:bCs/>
        </w:rPr>
        <w:t xml:space="preserve"> is entitled </w:t>
      </w:r>
      <w:r w:rsidR="00444C0C" w:rsidRPr="00A845C0">
        <w:rPr>
          <w:bCs/>
        </w:rPr>
        <w:t>to exhaust</w:t>
      </w:r>
      <w:r w:rsidR="00D90D5D" w:rsidRPr="00A845C0">
        <w:rPr>
          <w:bCs/>
        </w:rPr>
        <w:t xml:space="preserve"> all avenues of appeal. That </w:t>
      </w:r>
      <w:r w:rsidR="00451CF9" w:rsidRPr="00A845C0">
        <w:rPr>
          <w:bCs/>
        </w:rPr>
        <w:t xml:space="preserve">interpretation is </w:t>
      </w:r>
      <w:r w:rsidR="00D90D5D" w:rsidRPr="00A845C0">
        <w:rPr>
          <w:bCs/>
        </w:rPr>
        <w:t xml:space="preserve">common cause. The controversy turns on the phrase </w:t>
      </w:r>
      <w:r w:rsidR="00D90D5D" w:rsidRPr="00A845C0">
        <w:rPr>
          <w:bCs/>
          <w:i/>
          <w:iCs/>
        </w:rPr>
        <w:t>“</w:t>
      </w:r>
      <w:r w:rsidR="00451CF9" w:rsidRPr="00A845C0">
        <w:rPr>
          <w:bCs/>
          <w:i/>
          <w:iCs/>
        </w:rPr>
        <w:t>…</w:t>
      </w:r>
      <w:r w:rsidR="00D90D5D" w:rsidRPr="00A845C0">
        <w:rPr>
          <w:bCs/>
          <w:i/>
          <w:iCs/>
        </w:rPr>
        <w:t xml:space="preserve"> these questions</w:t>
      </w:r>
      <w:r w:rsidR="00D90D5D" w:rsidRPr="00A845C0">
        <w:rPr>
          <w:bCs/>
        </w:rPr>
        <w:t>” Does it mean</w:t>
      </w:r>
      <w:r w:rsidR="00451CF9" w:rsidRPr="00A845C0">
        <w:rPr>
          <w:bCs/>
        </w:rPr>
        <w:t>,</w:t>
      </w:r>
      <w:r w:rsidR="00D90D5D" w:rsidRPr="00A845C0">
        <w:rPr>
          <w:bCs/>
        </w:rPr>
        <w:t xml:space="preserve"> expressed as it is in the plural</w:t>
      </w:r>
      <w:r w:rsidR="00451CF9" w:rsidRPr="00A845C0">
        <w:rPr>
          <w:bCs/>
        </w:rPr>
        <w:t>,</w:t>
      </w:r>
      <w:r w:rsidR="00D90D5D" w:rsidRPr="00A845C0">
        <w:rPr>
          <w:bCs/>
        </w:rPr>
        <w:t xml:space="preserve"> both the constitutional </w:t>
      </w:r>
      <w:r w:rsidR="00451CF9" w:rsidRPr="00A845C0">
        <w:rPr>
          <w:bCs/>
        </w:rPr>
        <w:t>issues (now</w:t>
      </w:r>
      <w:r w:rsidR="00D90D5D" w:rsidRPr="00A845C0">
        <w:rPr>
          <w:bCs/>
        </w:rPr>
        <w:t xml:space="preserve"> finally </w:t>
      </w:r>
      <w:r w:rsidR="00337C25" w:rsidRPr="00A845C0">
        <w:rPr>
          <w:bCs/>
        </w:rPr>
        <w:t>determined</w:t>
      </w:r>
      <w:r w:rsidR="00D90D5D" w:rsidRPr="00A845C0">
        <w:rPr>
          <w:bCs/>
        </w:rPr>
        <w:t xml:space="preserve">) as well as the review points (not finally determined.) Bliss finds the answer is clear from the way clause 2 of the order is framed. It is disjunctive. It refers to the constitutional </w:t>
      </w:r>
      <w:r w:rsidR="00451CF9" w:rsidRPr="00A845C0">
        <w:rPr>
          <w:bCs/>
        </w:rPr>
        <w:t>issue “…</w:t>
      </w:r>
      <w:r w:rsidR="00451CF9" w:rsidRPr="00A845C0">
        <w:rPr>
          <w:bCs/>
          <w:i/>
          <w:iCs/>
        </w:rPr>
        <w:t>and the further questions which arise in terms of the impugned rulings under judicial review</w:t>
      </w:r>
      <w:r w:rsidR="001B39AA" w:rsidRPr="00A845C0">
        <w:rPr>
          <w:bCs/>
          <w:i/>
          <w:iCs/>
        </w:rPr>
        <w:t>.”</w:t>
      </w:r>
    </w:p>
    <w:p w14:paraId="2448A790" w14:textId="0EAC0F8D" w:rsidR="00444C0C" w:rsidRPr="00A845C0" w:rsidRDefault="00A845C0" w:rsidP="00A845C0">
      <w:pPr>
        <w:spacing w:line="480" w:lineRule="auto"/>
        <w:ind w:left="720" w:hanging="720"/>
        <w:jc w:val="both"/>
        <w:rPr>
          <w:bCs/>
          <w:i/>
          <w:iCs/>
        </w:rPr>
      </w:pPr>
      <w:r>
        <w:rPr>
          <w:bCs/>
        </w:rPr>
        <w:t>[8</w:t>
      </w:r>
      <w:r w:rsidR="006E1825">
        <w:rPr>
          <w:bCs/>
        </w:rPr>
        <w:t>2</w:t>
      </w:r>
      <w:r>
        <w:rPr>
          <w:bCs/>
        </w:rPr>
        <w:t>]</w:t>
      </w:r>
      <w:r>
        <w:rPr>
          <w:bCs/>
        </w:rPr>
        <w:tab/>
      </w:r>
      <w:r w:rsidR="00960936" w:rsidRPr="00A845C0">
        <w:rPr>
          <w:bCs/>
        </w:rPr>
        <w:t xml:space="preserve">But </w:t>
      </w:r>
      <w:r w:rsidR="00444C0C" w:rsidRPr="00A845C0">
        <w:rPr>
          <w:bCs/>
        </w:rPr>
        <w:t xml:space="preserve">Colgate argues that one </w:t>
      </w:r>
      <w:r w:rsidR="000401B4" w:rsidRPr="00A845C0">
        <w:rPr>
          <w:bCs/>
        </w:rPr>
        <w:t>must</w:t>
      </w:r>
      <w:r w:rsidR="00444C0C" w:rsidRPr="00A845C0">
        <w:rPr>
          <w:bCs/>
        </w:rPr>
        <w:t xml:space="preserve"> have regard to what Fisher J stated in her judgment</w:t>
      </w:r>
      <w:r w:rsidR="000401B4" w:rsidRPr="00A845C0">
        <w:rPr>
          <w:bCs/>
        </w:rPr>
        <w:t xml:space="preserve"> in Fisher 1</w:t>
      </w:r>
      <w:r w:rsidR="00444C0C" w:rsidRPr="00A845C0">
        <w:rPr>
          <w:bCs/>
        </w:rPr>
        <w:t xml:space="preserve">. Here she says two things. That the application before her did not raise any new issues not before Yacoob J other than the constitutional issues. </w:t>
      </w:r>
      <w:r w:rsidR="00D4121B" w:rsidRPr="00A845C0">
        <w:rPr>
          <w:bCs/>
        </w:rPr>
        <w:t>(which</w:t>
      </w:r>
      <w:r w:rsidR="00444C0C" w:rsidRPr="00A845C0">
        <w:rPr>
          <w:bCs/>
        </w:rPr>
        <w:t xml:space="preserve"> in any event Fisher J had</w:t>
      </w:r>
      <w:r w:rsidR="00D4121B" w:rsidRPr="00A845C0">
        <w:rPr>
          <w:bCs/>
        </w:rPr>
        <w:t>,</w:t>
      </w:r>
      <w:r w:rsidR="00444C0C" w:rsidRPr="00A845C0">
        <w:rPr>
          <w:bCs/>
        </w:rPr>
        <w:t xml:space="preserve"> </w:t>
      </w:r>
      <w:proofErr w:type="spellStart"/>
      <w:r w:rsidR="00444C0C" w:rsidRPr="00A845C0">
        <w:rPr>
          <w:bCs/>
          <w:i/>
          <w:iCs/>
        </w:rPr>
        <w:t>mero</w:t>
      </w:r>
      <w:proofErr w:type="spellEnd"/>
      <w:r w:rsidR="00444C0C" w:rsidRPr="00A845C0">
        <w:rPr>
          <w:bCs/>
          <w:i/>
          <w:iCs/>
        </w:rPr>
        <w:t xml:space="preserve"> motu</w:t>
      </w:r>
      <w:r w:rsidR="00D4121B" w:rsidRPr="00A845C0">
        <w:rPr>
          <w:bCs/>
        </w:rPr>
        <w:t>,</w:t>
      </w:r>
      <w:r w:rsidR="00444C0C" w:rsidRPr="00A845C0">
        <w:rPr>
          <w:bCs/>
        </w:rPr>
        <w:t xml:space="preserve"> raised). </w:t>
      </w:r>
      <w:r w:rsidR="00B40FA2" w:rsidRPr="00A845C0">
        <w:rPr>
          <w:bCs/>
        </w:rPr>
        <w:t xml:space="preserve">Fisher J had also stated that if the constitutional challenge was unsuccessful </w:t>
      </w:r>
      <w:r w:rsidR="00F73604" w:rsidRPr="00A845C0">
        <w:rPr>
          <w:bCs/>
        </w:rPr>
        <w:t>Colgate’s</w:t>
      </w:r>
      <w:r w:rsidR="00B40FA2" w:rsidRPr="00A845C0">
        <w:rPr>
          <w:bCs/>
        </w:rPr>
        <w:t xml:space="preserve">’ rights would be restored </w:t>
      </w:r>
      <w:r w:rsidR="004A1397" w:rsidRPr="00A845C0">
        <w:rPr>
          <w:bCs/>
        </w:rPr>
        <w:t>“ex</w:t>
      </w:r>
      <w:r w:rsidR="00B40FA2" w:rsidRPr="00A845C0">
        <w:rPr>
          <w:bCs/>
          <w:i/>
          <w:iCs/>
        </w:rPr>
        <w:t xml:space="preserve"> </w:t>
      </w:r>
      <w:proofErr w:type="spellStart"/>
      <w:r w:rsidR="00B40FA2" w:rsidRPr="00A845C0">
        <w:rPr>
          <w:bCs/>
          <w:i/>
          <w:iCs/>
        </w:rPr>
        <w:t>tunc</w:t>
      </w:r>
      <w:proofErr w:type="spellEnd"/>
      <w:r w:rsidR="00B74A50" w:rsidRPr="00A845C0">
        <w:rPr>
          <w:bCs/>
        </w:rPr>
        <w:t>.”</w:t>
      </w:r>
      <w:r w:rsidR="00B40FA2" w:rsidRPr="00A845C0">
        <w:rPr>
          <w:bCs/>
        </w:rPr>
        <w:t xml:space="preserve"> </w:t>
      </w:r>
      <w:r w:rsidR="00960936" w:rsidRPr="00A845C0">
        <w:rPr>
          <w:bCs/>
        </w:rPr>
        <w:t xml:space="preserve"> Why would she have made this remark if the administrative review was being given further life. </w:t>
      </w:r>
      <w:r w:rsidR="00B40FA2" w:rsidRPr="00A845C0">
        <w:rPr>
          <w:bCs/>
        </w:rPr>
        <w:t>Thus</w:t>
      </w:r>
      <w:r w:rsidR="00FB773E" w:rsidRPr="00A845C0">
        <w:rPr>
          <w:bCs/>
        </w:rPr>
        <w:t>,</w:t>
      </w:r>
      <w:r w:rsidR="00B40FA2" w:rsidRPr="00A845C0">
        <w:rPr>
          <w:bCs/>
        </w:rPr>
        <w:t xml:space="preserve"> it appears that the reasoning is at variance with language of the order. Nevertheless</w:t>
      </w:r>
      <w:r w:rsidR="0068736B" w:rsidRPr="00A845C0">
        <w:rPr>
          <w:bCs/>
        </w:rPr>
        <w:t>,</w:t>
      </w:r>
      <w:r w:rsidR="00B40FA2" w:rsidRPr="00A845C0">
        <w:rPr>
          <w:bCs/>
        </w:rPr>
        <w:t xml:space="preserve"> because the order is stated in such clear terms</w:t>
      </w:r>
      <w:r w:rsidR="00960936" w:rsidRPr="00A845C0">
        <w:rPr>
          <w:bCs/>
        </w:rPr>
        <w:t>,</w:t>
      </w:r>
      <w:r w:rsidR="00B40FA2" w:rsidRPr="00A845C0">
        <w:rPr>
          <w:bCs/>
        </w:rPr>
        <w:t xml:space="preserve"> I cannot find that it has been discharged by attempting to reinterpret its terms through the lens of certain paragraphs in the judgement.</w:t>
      </w:r>
    </w:p>
    <w:p w14:paraId="5382FFD5" w14:textId="3839F987" w:rsidR="00A845C0" w:rsidRDefault="00A845C0" w:rsidP="00A845C0">
      <w:pPr>
        <w:spacing w:line="480" w:lineRule="auto"/>
        <w:ind w:left="720" w:hanging="720"/>
        <w:jc w:val="both"/>
        <w:rPr>
          <w:bCs/>
          <w:i/>
          <w:iCs/>
        </w:rPr>
      </w:pPr>
      <w:r>
        <w:rPr>
          <w:bCs/>
        </w:rPr>
        <w:t>[8</w:t>
      </w:r>
      <w:r w:rsidR="006E1825">
        <w:rPr>
          <w:bCs/>
        </w:rPr>
        <w:t>3</w:t>
      </w:r>
      <w:r>
        <w:rPr>
          <w:bCs/>
        </w:rPr>
        <w:t>]</w:t>
      </w:r>
      <w:r>
        <w:rPr>
          <w:bCs/>
        </w:rPr>
        <w:tab/>
      </w:r>
      <w:r w:rsidR="00FB773E" w:rsidRPr="00A845C0">
        <w:rPr>
          <w:bCs/>
        </w:rPr>
        <w:t>But Colgate makes a more persuasive argument that even if the interim interdict still survived until the present matter was heard</w:t>
      </w:r>
      <w:r w:rsidR="00C91850" w:rsidRPr="00A845C0">
        <w:rPr>
          <w:bCs/>
        </w:rPr>
        <w:t>,</w:t>
      </w:r>
      <w:r w:rsidR="00FB773E" w:rsidRPr="00A845C0">
        <w:rPr>
          <w:bCs/>
        </w:rPr>
        <w:t xml:space="preserve"> it cannot survive the decision </w:t>
      </w:r>
      <w:r w:rsidR="00FB773E" w:rsidRPr="00A845C0">
        <w:rPr>
          <w:bCs/>
        </w:rPr>
        <w:lastRenderedPageBreak/>
        <w:t xml:space="preserve">of a court to dismiss the review. Given that this is my finding it would be anomalous to keep on life support an interdict </w:t>
      </w:r>
      <w:r w:rsidR="00960936" w:rsidRPr="00A845C0">
        <w:rPr>
          <w:bCs/>
        </w:rPr>
        <w:t xml:space="preserve">whose rationale for continuing no longer exists. Nor would it be in the interests of justice to do so. </w:t>
      </w:r>
      <w:r w:rsidR="00D4121B" w:rsidRPr="00A845C0">
        <w:rPr>
          <w:bCs/>
        </w:rPr>
        <w:t xml:space="preserve">Fisher J </w:t>
      </w:r>
      <w:r w:rsidR="00960936" w:rsidRPr="00A845C0">
        <w:rPr>
          <w:bCs/>
        </w:rPr>
        <w:t>who granted it</w:t>
      </w:r>
      <w:r w:rsidR="00D4121B" w:rsidRPr="00A845C0">
        <w:rPr>
          <w:bCs/>
        </w:rPr>
        <w:t>,</w:t>
      </w:r>
      <w:r w:rsidR="00960936" w:rsidRPr="00A845C0">
        <w:rPr>
          <w:bCs/>
        </w:rPr>
        <w:t xml:space="preserve"> does not explain in her reasons why it was necessary to survive the challenge and if anything seemed to suggest from certain passages that it would not. Yacoob J who heard the matter first as an urgent application dismissed it on the basis that no </w:t>
      </w:r>
      <w:r w:rsidR="00960936" w:rsidRPr="00A845C0">
        <w:rPr>
          <w:bCs/>
          <w:i/>
          <w:iCs/>
        </w:rPr>
        <w:t>prima facie</w:t>
      </w:r>
      <w:r w:rsidR="00960936" w:rsidRPr="00A845C0">
        <w:rPr>
          <w:bCs/>
        </w:rPr>
        <w:t xml:space="preserve"> right had been established. </w:t>
      </w:r>
    </w:p>
    <w:p w14:paraId="0D29BAD7" w14:textId="196A6A6E" w:rsidR="00FA61AB" w:rsidRPr="00A845C0" w:rsidRDefault="00A845C0" w:rsidP="00A845C0">
      <w:pPr>
        <w:spacing w:line="480" w:lineRule="auto"/>
        <w:ind w:left="720" w:hanging="720"/>
        <w:jc w:val="both"/>
        <w:rPr>
          <w:bCs/>
          <w:i/>
          <w:iCs/>
        </w:rPr>
      </w:pPr>
      <w:r w:rsidRPr="006E1825">
        <w:rPr>
          <w:bCs/>
        </w:rPr>
        <w:t>[8</w:t>
      </w:r>
      <w:r w:rsidR="006E1825">
        <w:rPr>
          <w:bCs/>
        </w:rPr>
        <w:t>4</w:t>
      </w:r>
      <w:r w:rsidRPr="006E1825">
        <w:rPr>
          <w:bCs/>
        </w:rPr>
        <w:t>]</w:t>
      </w:r>
      <w:r>
        <w:rPr>
          <w:bCs/>
          <w:i/>
          <w:iCs/>
        </w:rPr>
        <w:tab/>
      </w:r>
      <w:r w:rsidR="00FF4029" w:rsidRPr="00A845C0">
        <w:rPr>
          <w:bCs/>
        </w:rPr>
        <w:t xml:space="preserve">What then is the status of an interim order once another court has considered the very issue it </w:t>
      </w:r>
      <w:r w:rsidR="00060EE9" w:rsidRPr="00A845C0">
        <w:rPr>
          <w:bCs/>
        </w:rPr>
        <w:t xml:space="preserve">had pended. In </w:t>
      </w:r>
      <w:r w:rsidR="00960936" w:rsidRPr="00A845C0">
        <w:rPr>
          <w:bCs/>
          <w:i/>
          <w:iCs/>
        </w:rPr>
        <w:t xml:space="preserve">Cipla </w:t>
      </w:r>
      <w:proofErr w:type="spellStart"/>
      <w:r w:rsidR="00960936" w:rsidRPr="00A845C0">
        <w:rPr>
          <w:bCs/>
          <w:i/>
          <w:iCs/>
        </w:rPr>
        <w:t>Agrimed</w:t>
      </w:r>
      <w:proofErr w:type="spellEnd"/>
      <w:r w:rsidR="00060EE9" w:rsidRPr="00A845C0">
        <w:rPr>
          <w:bCs/>
          <w:i/>
          <w:iCs/>
        </w:rPr>
        <w:t xml:space="preserve"> </w:t>
      </w:r>
      <w:r w:rsidR="00060EE9" w:rsidRPr="00A845C0">
        <w:rPr>
          <w:bCs/>
        </w:rPr>
        <w:t>the SCA held</w:t>
      </w:r>
      <w:r w:rsidR="00060EE9" w:rsidRPr="00A845C0">
        <w:rPr>
          <w:bCs/>
          <w:i/>
          <w:iCs/>
        </w:rPr>
        <w:t>:</w:t>
      </w:r>
      <w:r w:rsidR="00960936" w:rsidRPr="00A845C0">
        <w:rPr>
          <w:bCs/>
          <w:i/>
          <w:iCs/>
        </w:rPr>
        <w:t xml:space="preserve"> </w:t>
      </w:r>
    </w:p>
    <w:p w14:paraId="0D6BE5D3" w14:textId="75DDEAD6" w:rsidR="00FA61AB" w:rsidRPr="009B3A5F" w:rsidRDefault="00DB3F5B" w:rsidP="00A845C0">
      <w:pPr>
        <w:pStyle w:val="ListParagraph"/>
        <w:spacing w:line="480" w:lineRule="auto"/>
        <w:ind w:left="2160"/>
        <w:jc w:val="both"/>
        <w:rPr>
          <w:bCs/>
          <w:i/>
          <w:iCs/>
          <w:highlight w:val="yellow"/>
        </w:rPr>
      </w:pPr>
      <w:r w:rsidRPr="009B3A5F">
        <w:rPr>
          <w:i/>
          <w:iCs/>
          <w:color w:val="000000"/>
        </w:rPr>
        <w:t>“</w:t>
      </w:r>
      <w:r w:rsidR="00FA61AB" w:rsidRPr="009B3A5F">
        <w:rPr>
          <w:i/>
          <w:iCs/>
          <w:color w:val="000000"/>
        </w:rPr>
        <w:t xml:space="preserve">As soon as the court makes a final determination, the interim interdict is discharged. This is also why a fresh application for an interim interdict pending an appeal can ordinarily be </w:t>
      </w:r>
      <w:r w:rsidR="00676A04" w:rsidRPr="009B3A5F">
        <w:rPr>
          <w:i/>
          <w:iCs/>
          <w:color w:val="000000"/>
        </w:rPr>
        <w:t>brought.</w:t>
      </w:r>
      <w:r w:rsidRPr="009B3A5F">
        <w:rPr>
          <w:i/>
          <w:iCs/>
          <w:color w:val="000000"/>
        </w:rPr>
        <w:t>”</w:t>
      </w:r>
      <w:r w:rsidR="00676A04" w:rsidRPr="009B3A5F">
        <w:rPr>
          <w:i/>
          <w:iCs/>
          <w:color w:val="000000"/>
        </w:rPr>
        <w:t xml:space="preserve"> </w:t>
      </w:r>
      <w:r w:rsidRPr="009B3A5F">
        <w:rPr>
          <w:rStyle w:val="FootnoteReference"/>
          <w:i/>
          <w:iCs/>
          <w:color w:val="000000"/>
        </w:rPr>
        <w:footnoteReference w:id="25"/>
      </w:r>
    </w:p>
    <w:p w14:paraId="6ACB1EC6" w14:textId="2EF349D0" w:rsidR="00720BBB" w:rsidRPr="006E1825" w:rsidRDefault="006E1825" w:rsidP="006E1825">
      <w:pPr>
        <w:spacing w:line="480" w:lineRule="auto"/>
        <w:ind w:left="720" w:hanging="720"/>
        <w:jc w:val="both"/>
        <w:rPr>
          <w:bCs/>
          <w:i/>
          <w:iCs/>
        </w:rPr>
      </w:pPr>
      <w:r>
        <w:rPr>
          <w:bCs/>
        </w:rPr>
        <w:t>[85]</w:t>
      </w:r>
      <w:r>
        <w:rPr>
          <w:bCs/>
        </w:rPr>
        <w:tab/>
      </w:r>
      <w:r w:rsidR="00EC3BF0" w:rsidRPr="006E1825">
        <w:rPr>
          <w:bCs/>
        </w:rPr>
        <w:t xml:space="preserve">Half the rationale for the interim order fell away when the </w:t>
      </w:r>
      <w:r w:rsidR="00FB5A4E" w:rsidRPr="006E1825">
        <w:rPr>
          <w:bCs/>
        </w:rPr>
        <w:t>Constitutional</w:t>
      </w:r>
      <w:r w:rsidR="00EC3BF0" w:rsidRPr="006E1825">
        <w:rPr>
          <w:bCs/>
        </w:rPr>
        <w:t xml:space="preserve"> Court finally ended the basis of the constitutional challenge. I have now decided the remaining review points against Bliss. </w:t>
      </w:r>
      <w:r w:rsidR="00A5058B" w:rsidRPr="006E1825">
        <w:rPr>
          <w:bCs/>
        </w:rPr>
        <w:t xml:space="preserve">That takes care of the </w:t>
      </w:r>
      <w:r w:rsidR="00322981" w:rsidRPr="006E1825">
        <w:rPr>
          <w:bCs/>
        </w:rPr>
        <w:t>‘</w:t>
      </w:r>
      <w:r w:rsidR="00A5058B" w:rsidRPr="006E1825">
        <w:rPr>
          <w:bCs/>
        </w:rPr>
        <w:t xml:space="preserve">remaining </w:t>
      </w:r>
      <w:r w:rsidR="00322981" w:rsidRPr="006E1825">
        <w:rPr>
          <w:bCs/>
        </w:rPr>
        <w:t>further questions’ contemplated in the Fisher 1 order.</w:t>
      </w:r>
      <w:r w:rsidR="00A5058B" w:rsidRPr="006E1825">
        <w:rPr>
          <w:bCs/>
        </w:rPr>
        <w:t xml:space="preserve"> This cannot mean that the </w:t>
      </w:r>
      <w:r w:rsidR="00663804" w:rsidRPr="006E1825">
        <w:rPr>
          <w:bCs/>
        </w:rPr>
        <w:t>review relief must survive independently of how this case has now been decided</w:t>
      </w:r>
      <w:r w:rsidR="00FB5A4E" w:rsidRPr="006E1825">
        <w:rPr>
          <w:bCs/>
        </w:rPr>
        <w:t>.</w:t>
      </w:r>
    </w:p>
    <w:p w14:paraId="2641D58F" w14:textId="26EADF46" w:rsidR="00960936" w:rsidRPr="006E1825" w:rsidRDefault="006E1825" w:rsidP="006E1825">
      <w:pPr>
        <w:spacing w:line="480" w:lineRule="auto"/>
        <w:ind w:left="720" w:hanging="720"/>
        <w:jc w:val="both"/>
        <w:rPr>
          <w:bCs/>
          <w:i/>
          <w:iCs/>
        </w:rPr>
      </w:pPr>
      <w:r>
        <w:rPr>
          <w:bCs/>
        </w:rPr>
        <w:t>[86]</w:t>
      </w:r>
      <w:r>
        <w:rPr>
          <w:bCs/>
        </w:rPr>
        <w:tab/>
      </w:r>
      <w:r w:rsidR="00720BBB" w:rsidRPr="006E1825">
        <w:rPr>
          <w:bCs/>
        </w:rPr>
        <w:t xml:space="preserve">As the SCA </w:t>
      </w:r>
      <w:r w:rsidR="00960936" w:rsidRPr="006E1825">
        <w:rPr>
          <w:bCs/>
        </w:rPr>
        <w:t>explained in MV Snow Delta</w:t>
      </w:r>
      <w:r w:rsidR="00960936" w:rsidRPr="006E1825">
        <w:rPr>
          <w:bCs/>
          <w:i/>
          <w:iCs/>
        </w:rPr>
        <w:t>, "(a]n interim order has no independent existence but is conditional upon confirmation by the same Court (albeit not the same Judge) in the same proceedings".</w:t>
      </w:r>
      <w:r w:rsidR="00D40310" w:rsidRPr="009B3A5F">
        <w:rPr>
          <w:rStyle w:val="FootnoteReference"/>
          <w:bCs/>
          <w:i/>
          <w:iCs/>
        </w:rPr>
        <w:footnoteReference w:id="26"/>
      </w:r>
    </w:p>
    <w:p w14:paraId="01D23D6F" w14:textId="38AA838F" w:rsidR="00960936" w:rsidRPr="006E1825" w:rsidRDefault="006E1825" w:rsidP="006E1825">
      <w:pPr>
        <w:spacing w:line="480" w:lineRule="auto"/>
        <w:ind w:left="720" w:hanging="720"/>
        <w:jc w:val="both"/>
        <w:rPr>
          <w:bCs/>
          <w:i/>
          <w:iCs/>
        </w:rPr>
      </w:pPr>
      <w:r>
        <w:rPr>
          <w:bCs/>
        </w:rPr>
        <w:t>[87]</w:t>
      </w:r>
      <w:r>
        <w:rPr>
          <w:bCs/>
        </w:rPr>
        <w:tab/>
      </w:r>
      <w:r w:rsidR="00960936" w:rsidRPr="006E1825">
        <w:rPr>
          <w:bCs/>
        </w:rPr>
        <w:t xml:space="preserve">Bliss has also argued that Colgate lacks </w:t>
      </w:r>
      <w:r w:rsidR="00960936" w:rsidRPr="006E1825">
        <w:rPr>
          <w:bCs/>
          <w:i/>
          <w:iCs/>
        </w:rPr>
        <w:t>locus standi</w:t>
      </w:r>
      <w:r w:rsidR="00960936" w:rsidRPr="006E1825">
        <w:rPr>
          <w:bCs/>
        </w:rPr>
        <w:t xml:space="preserve"> to bring the discharge application because the suspension relates to the </w:t>
      </w:r>
      <w:r w:rsidR="00052FBA" w:rsidRPr="006E1825">
        <w:rPr>
          <w:bCs/>
        </w:rPr>
        <w:t>enforcement</w:t>
      </w:r>
      <w:r w:rsidR="00960936" w:rsidRPr="006E1825">
        <w:rPr>
          <w:bCs/>
        </w:rPr>
        <w:t xml:space="preserve"> of the ARB </w:t>
      </w:r>
      <w:r w:rsidR="00960936" w:rsidRPr="006E1825">
        <w:rPr>
          <w:bCs/>
        </w:rPr>
        <w:lastRenderedPageBreak/>
        <w:t xml:space="preserve">order </w:t>
      </w:r>
      <w:r w:rsidR="00BB08CC" w:rsidRPr="006E1825">
        <w:rPr>
          <w:bCs/>
        </w:rPr>
        <w:t xml:space="preserve">by the ARB </w:t>
      </w:r>
      <w:r w:rsidR="00960936" w:rsidRPr="006E1825">
        <w:rPr>
          <w:bCs/>
        </w:rPr>
        <w:t xml:space="preserve">and only the latter has standing in respect of its suspension. </w:t>
      </w:r>
      <w:r w:rsidR="002E227F" w:rsidRPr="006E1825">
        <w:rPr>
          <w:bCs/>
        </w:rPr>
        <w:t>However,</w:t>
      </w:r>
      <w:r w:rsidR="00960936" w:rsidRPr="006E1825">
        <w:rPr>
          <w:bCs/>
        </w:rPr>
        <w:t xml:space="preserve"> this is highly formalistic approach to standing. </w:t>
      </w:r>
      <w:r w:rsidR="00D4121B" w:rsidRPr="006E1825">
        <w:rPr>
          <w:bCs/>
        </w:rPr>
        <w:t xml:space="preserve">The </w:t>
      </w:r>
      <w:r w:rsidR="002E227F" w:rsidRPr="006E1825">
        <w:rPr>
          <w:bCs/>
        </w:rPr>
        <w:t>jurisdiction</w:t>
      </w:r>
      <w:r w:rsidR="00D4121B" w:rsidRPr="006E1825">
        <w:rPr>
          <w:bCs/>
        </w:rPr>
        <w:t xml:space="preserve"> of the ARB was invoked by Colgate as the complainant concerning what it considered to be infringements of the Code as they effected its rights as a member of the ARB. Bliss a non-member nevertheless consented to the ARB</w:t>
      </w:r>
      <w:r w:rsidR="00090EDE" w:rsidRPr="006E1825">
        <w:rPr>
          <w:bCs/>
        </w:rPr>
        <w:t>’s</w:t>
      </w:r>
      <w:r w:rsidR="00D4121B" w:rsidRPr="006E1825">
        <w:rPr>
          <w:bCs/>
        </w:rPr>
        <w:t xml:space="preserve"> juri</w:t>
      </w:r>
      <w:r w:rsidR="00090EDE" w:rsidRPr="006E1825">
        <w:rPr>
          <w:bCs/>
        </w:rPr>
        <w:t>sdiction.</w:t>
      </w:r>
    </w:p>
    <w:p w14:paraId="334575B8" w14:textId="7A94DC0F" w:rsidR="00D4121B" w:rsidRPr="006E1825" w:rsidRDefault="006E1825" w:rsidP="00871E2A">
      <w:pPr>
        <w:spacing w:line="480" w:lineRule="auto"/>
        <w:ind w:left="720" w:hanging="720"/>
        <w:jc w:val="both"/>
        <w:rPr>
          <w:bCs/>
          <w:i/>
          <w:iCs/>
        </w:rPr>
      </w:pPr>
      <w:r>
        <w:rPr>
          <w:bCs/>
        </w:rPr>
        <w:t>[</w:t>
      </w:r>
      <w:r w:rsidR="00871E2A">
        <w:rPr>
          <w:bCs/>
        </w:rPr>
        <w:t>88]</w:t>
      </w:r>
      <w:r w:rsidR="00871E2A">
        <w:rPr>
          <w:bCs/>
        </w:rPr>
        <w:tab/>
      </w:r>
      <w:r w:rsidR="0082144F" w:rsidRPr="006E1825">
        <w:rPr>
          <w:bCs/>
        </w:rPr>
        <w:t>Bliss</w:t>
      </w:r>
      <w:r w:rsidR="00D4121B" w:rsidRPr="006E1825">
        <w:rPr>
          <w:bCs/>
        </w:rPr>
        <w:t xml:space="preserve"> participated in all three proceedings of the ARB with Colgate as the counterparty – it is cited </w:t>
      </w:r>
      <w:r w:rsidR="00AE22B6" w:rsidRPr="006E1825">
        <w:rPr>
          <w:bCs/>
        </w:rPr>
        <w:t>throughout</w:t>
      </w:r>
      <w:r w:rsidR="00D4121B" w:rsidRPr="006E1825">
        <w:rPr>
          <w:bCs/>
        </w:rPr>
        <w:t xml:space="preserve"> as the complainant. When litigation in the </w:t>
      </w:r>
      <w:r w:rsidR="003A2BF7" w:rsidRPr="006E1825">
        <w:rPr>
          <w:bCs/>
        </w:rPr>
        <w:t>c</w:t>
      </w:r>
      <w:r w:rsidR="00D4121B" w:rsidRPr="006E1825">
        <w:rPr>
          <w:bCs/>
        </w:rPr>
        <w:t xml:space="preserve">ourts </w:t>
      </w:r>
      <w:r w:rsidR="00090EDE" w:rsidRPr="006E1825">
        <w:rPr>
          <w:bCs/>
        </w:rPr>
        <w:t>ensued,</w:t>
      </w:r>
      <w:r w:rsidR="00D4121B" w:rsidRPr="006E1825">
        <w:rPr>
          <w:bCs/>
        </w:rPr>
        <w:t xml:space="preserve"> Colgate </w:t>
      </w:r>
      <w:r w:rsidR="00AE22B6" w:rsidRPr="006E1825">
        <w:rPr>
          <w:bCs/>
        </w:rPr>
        <w:t>was respondent</w:t>
      </w:r>
      <w:r w:rsidR="00D4121B" w:rsidRPr="006E1825">
        <w:rPr>
          <w:bCs/>
        </w:rPr>
        <w:t xml:space="preserve"> throughout proceedings before Yacoob</w:t>
      </w:r>
      <w:r w:rsidR="00247E72" w:rsidRPr="006E1825">
        <w:rPr>
          <w:bCs/>
        </w:rPr>
        <w:t xml:space="preserve"> </w:t>
      </w:r>
      <w:r w:rsidR="00D4121B" w:rsidRPr="006E1825">
        <w:rPr>
          <w:bCs/>
        </w:rPr>
        <w:t>J and Fisher J, the SCA and the Constitutional Court</w:t>
      </w:r>
      <w:r w:rsidR="002F6BBC" w:rsidRPr="006E1825">
        <w:rPr>
          <w:bCs/>
        </w:rPr>
        <w:t xml:space="preserve">. </w:t>
      </w:r>
      <w:r w:rsidR="00D4121B" w:rsidRPr="006E1825">
        <w:rPr>
          <w:bCs/>
        </w:rPr>
        <w:t>If the interim order remains suspended</w:t>
      </w:r>
      <w:r w:rsidR="002F6BBC" w:rsidRPr="006E1825">
        <w:rPr>
          <w:bCs/>
        </w:rPr>
        <w:t>,</w:t>
      </w:r>
      <w:r w:rsidR="00D4121B" w:rsidRPr="006E1825">
        <w:rPr>
          <w:bCs/>
        </w:rPr>
        <w:t xml:space="preserve"> it delays the relief that Colgate has sought since day one when it </w:t>
      </w:r>
      <w:r w:rsidR="00747F60" w:rsidRPr="006E1825">
        <w:rPr>
          <w:bCs/>
        </w:rPr>
        <w:t>brought</w:t>
      </w:r>
      <w:r w:rsidR="00D4121B" w:rsidRPr="006E1825">
        <w:rPr>
          <w:bCs/>
        </w:rPr>
        <w:t xml:space="preserve"> the complaint to the ARB</w:t>
      </w:r>
      <w:r w:rsidR="002F6BBC" w:rsidRPr="006E1825">
        <w:rPr>
          <w:bCs/>
        </w:rPr>
        <w:t xml:space="preserve"> in December </w:t>
      </w:r>
      <w:r w:rsidR="0077701D" w:rsidRPr="006E1825">
        <w:rPr>
          <w:bCs/>
        </w:rPr>
        <w:t>2019.</w:t>
      </w:r>
      <w:r w:rsidR="005C273E" w:rsidRPr="006E1825">
        <w:rPr>
          <w:bCs/>
        </w:rPr>
        <w:t xml:space="preserve"> The purpose of the relief that the FAC majority provided was to secure rights that Colgate as an advertiser enjoyed under the Code to protect its</w:t>
      </w:r>
      <w:r w:rsidR="000A7882" w:rsidRPr="006E1825">
        <w:rPr>
          <w:bCs/>
        </w:rPr>
        <w:t xml:space="preserve"> rights</w:t>
      </w:r>
      <w:r w:rsidR="005C273E" w:rsidRPr="006E1825">
        <w:rPr>
          <w:bCs/>
        </w:rPr>
        <w:t>.</w:t>
      </w:r>
      <w:r w:rsidR="00201072" w:rsidRPr="006E1825">
        <w:rPr>
          <w:bCs/>
        </w:rPr>
        <w:t xml:space="preserve"> It was Colgate not the ARB that initiated the complaint</w:t>
      </w:r>
      <w:r w:rsidR="003605F8" w:rsidRPr="006E1825">
        <w:rPr>
          <w:bCs/>
        </w:rPr>
        <w:t>. That complaint was the genesis of the current review.</w:t>
      </w:r>
      <w:r w:rsidR="00D4121B" w:rsidRPr="006E1825">
        <w:rPr>
          <w:bCs/>
        </w:rPr>
        <w:t xml:space="preserve"> Denying it </w:t>
      </w:r>
      <w:r w:rsidR="00D4121B" w:rsidRPr="006E1825">
        <w:rPr>
          <w:bCs/>
          <w:i/>
          <w:iCs/>
        </w:rPr>
        <w:t>locus standi</w:t>
      </w:r>
      <w:r w:rsidR="00D4121B" w:rsidRPr="006E1825">
        <w:rPr>
          <w:bCs/>
        </w:rPr>
        <w:t xml:space="preserve"> and saying it vests only in the ARB</w:t>
      </w:r>
      <w:r w:rsidR="00342976" w:rsidRPr="006E1825">
        <w:rPr>
          <w:bCs/>
        </w:rPr>
        <w:t>,</w:t>
      </w:r>
      <w:r w:rsidR="00D4121B" w:rsidRPr="006E1825">
        <w:rPr>
          <w:bCs/>
        </w:rPr>
        <w:t xml:space="preserve"> seems to me the highpoint of formalism and to perpetuate an injustice to Colgate. </w:t>
      </w:r>
    </w:p>
    <w:p w14:paraId="33D310AF" w14:textId="2BBAE4CA" w:rsidR="00D4121B" w:rsidRPr="00871E2A" w:rsidRDefault="00871E2A" w:rsidP="00871E2A">
      <w:pPr>
        <w:spacing w:line="480" w:lineRule="auto"/>
        <w:ind w:left="720" w:hanging="720"/>
        <w:jc w:val="both"/>
        <w:rPr>
          <w:bCs/>
          <w:i/>
          <w:iCs/>
        </w:rPr>
      </w:pPr>
      <w:r>
        <w:rPr>
          <w:bCs/>
        </w:rPr>
        <w:t>[89]</w:t>
      </w:r>
      <w:r>
        <w:rPr>
          <w:bCs/>
        </w:rPr>
        <w:tab/>
      </w:r>
      <w:r w:rsidR="00D4121B" w:rsidRPr="00871E2A">
        <w:rPr>
          <w:bCs/>
        </w:rPr>
        <w:t xml:space="preserve">I find that the interim order by Fisher J </w:t>
      </w:r>
      <w:r w:rsidR="00B303F1" w:rsidRPr="00871E2A">
        <w:rPr>
          <w:bCs/>
        </w:rPr>
        <w:t>in paragraph 3 of Fisher</w:t>
      </w:r>
      <w:r w:rsidR="00736C26" w:rsidRPr="00871E2A">
        <w:rPr>
          <w:bCs/>
        </w:rPr>
        <w:t>1,</w:t>
      </w:r>
      <w:r w:rsidR="00B303F1" w:rsidRPr="00871E2A">
        <w:rPr>
          <w:bCs/>
        </w:rPr>
        <w:t xml:space="preserve"> </w:t>
      </w:r>
      <w:r w:rsidR="00D4121B" w:rsidRPr="00871E2A">
        <w:rPr>
          <w:bCs/>
        </w:rPr>
        <w:t xml:space="preserve">has been discharged. </w:t>
      </w:r>
    </w:p>
    <w:p w14:paraId="5B638673" w14:textId="5BBCBBB7" w:rsidR="00F170A3" w:rsidRPr="009B3A5F" w:rsidRDefault="00F170A3" w:rsidP="00871E2A">
      <w:pPr>
        <w:pStyle w:val="ListParagraph"/>
        <w:spacing w:line="480" w:lineRule="auto"/>
        <w:ind w:left="360" w:firstLine="360"/>
        <w:jc w:val="both"/>
        <w:rPr>
          <w:b/>
          <w:i/>
          <w:iCs/>
        </w:rPr>
      </w:pPr>
      <w:r w:rsidRPr="009B3A5F">
        <w:rPr>
          <w:b/>
        </w:rPr>
        <w:t xml:space="preserve">Conclusion </w:t>
      </w:r>
    </w:p>
    <w:p w14:paraId="56CF2BC7" w14:textId="0DDC9DCD" w:rsidR="00F170A3" w:rsidRPr="00871E2A" w:rsidRDefault="007C665C" w:rsidP="007C665C">
      <w:pPr>
        <w:spacing w:line="480" w:lineRule="auto"/>
        <w:ind w:left="720" w:hanging="720"/>
        <w:jc w:val="both"/>
        <w:rPr>
          <w:bCs/>
          <w:i/>
          <w:iCs/>
        </w:rPr>
      </w:pPr>
      <w:r>
        <w:rPr>
          <w:bCs/>
        </w:rPr>
        <w:t>[89]</w:t>
      </w:r>
      <w:r>
        <w:rPr>
          <w:bCs/>
        </w:rPr>
        <w:tab/>
      </w:r>
      <w:r w:rsidR="00F170A3" w:rsidRPr="00871E2A">
        <w:rPr>
          <w:bCs/>
        </w:rPr>
        <w:t>I am mindful that my decision on both the main application and the discharge application</w:t>
      </w:r>
      <w:r w:rsidR="00736C26" w:rsidRPr="00871E2A">
        <w:rPr>
          <w:bCs/>
        </w:rPr>
        <w:t>,</w:t>
      </w:r>
      <w:r w:rsidR="00F170A3" w:rsidRPr="00871E2A">
        <w:rPr>
          <w:bCs/>
        </w:rPr>
        <w:t xml:space="preserve"> will mean</w:t>
      </w:r>
      <w:r w:rsidR="00736C26" w:rsidRPr="00871E2A">
        <w:rPr>
          <w:bCs/>
        </w:rPr>
        <w:t>,</w:t>
      </w:r>
      <w:r w:rsidR="00F170A3" w:rsidRPr="00871E2A">
        <w:rPr>
          <w:bCs/>
        </w:rPr>
        <w:t xml:space="preserve"> absent any other order</w:t>
      </w:r>
      <w:r w:rsidR="00736C26" w:rsidRPr="00871E2A">
        <w:rPr>
          <w:bCs/>
        </w:rPr>
        <w:t>,</w:t>
      </w:r>
      <w:r w:rsidR="00F170A3" w:rsidRPr="00871E2A">
        <w:rPr>
          <w:bCs/>
        </w:rPr>
        <w:t xml:space="preserve"> that Bliss will be required forthwith to withdraw</w:t>
      </w:r>
      <w:r w:rsidR="004F7C0E" w:rsidRPr="00871E2A">
        <w:rPr>
          <w:bCs/>
        </w:rPr>
        <w:t xml:space="preserve"> its </w:t>
      </w:r>
      <w:proofErr w:type="spellStart"/>
      <w:r w:rsidR="004F7C0E" w:rsidRPr="00871E2A">
        <w:rPr>
          <w:bCs/>
        </w:rPr>
        <w:t>Securex</w:t>
      </w:r>
      <w:proofErr w:type="spellEnd"/>
      <w:r w:rsidR="004F7C0E" w:rsidRPr="00871E2A">
        <w:rPr>
          <w:bCs/>
        </w:rPr>
        <w:t xml:space="preserve"> packaging from distribution with ARB members</w:t>
      </w:r>
      <w:r w:rsidR="00F170A3" w:rsidRPr="00871E2A">
        <w:rPr>
          <w:bCs/>
        </w:rPr>
        <w:t xml:space="preserve"> to comply with the FAC order. Given that this litigation has </w:t>
      </w:r>
      <w:r w:rsidR="00DE5405" w:rsidRPr="00871E2A">
        <w:rPr>
          <w:bCs/>
        </w:rPr>
        <w:t xml:space="preserve">taken some </w:t>
      </w:r>
      <w:r w:rsidR="00DE5405" w:rsidRPr="00871E2A">
        <w:rPr>
          <w:bCs/>
        </w:rPr>
        <w:lastRenderedPageBreak/>
        <w:t xml:space="preserve">years to get to this point it would be unfair to </w:t>
      </w:r>
      <w:r w:rsidR="0051329D" w:rsidRPr="00871E2A">
        <w:rPr>
          <w:bCs/>
        </w:rPr>
        <w:t xml:space="preserve">grant </w:t>
      </w:r>
      <w:r w:rsidR="00DE5405" w:rsidRPr="00871E2A">
        <w:rPr>
          <w:bCs/>
        </w:rPr>
        <w:t>such a remedy</w:t>
      </w:r>
      <w:r w:rsidR="0051329D" w:rsidRPr="00871E2A">
        <w:rPr>
          <w:bCs/>
        </w:rPr>
        <w:t xml:space="preserve"> with immediate effect</w:t>
      </w:r>
      <w:r w:rsidR="00DE5405" w:rsidRPr="00871E2A">
        <w:rPr>
          <w:bCs/>
        </w:rPr>
        <w:t xml:space="preserve">. I am satisfied that complying with </w:t>
      </w:r>
      <w:r w:rsidR="0077701D" w:rsidRPr="00871E2A">
        <w:rPr>
          <w:bCs/>
        </w:rPr>
        <w:t xml:space="preserve">the </w:t>
      </w:r>
      <w:r w:rsidR="005155A1" w:rsidRPr="00871E2A">
        <w:rPr>
          <w:bCs/>
        </w:rPr>
        <w:t>three-month</w:t>
      </w:r>
      <w:r w:rsidR="00560C1F" w:rsidRPr="00871E2A">
        <w:rPr>
          <w:bCs/>
        </w:rPr>
        <w:t xml:space="preserve"> </w:t>
      </w:r>
      <w:r w:rsidR="00AA00BA" w:rsidRPr="00871E2A">
        <w:rPr>
          <w:bCs/>
        </w:rPr>
        <w:t>period</w:t>
      </w:r>
      <w:r w:rsidR="00DE5405" w:rsidRPr="00871E2A">
        <w:rPr>
          <w:bCs/>
        </w:rPr>
        <w:t xml:space="preserve"> set out in Clause </w:t>
      </w:r>
      <w:r w:rsidR="000E5749" w:rsidRPr="00871E2A">
        <w:rPr>
          <w:bCs/>
        </w:rPr>
        <w:t>15 of the Code will be more than fair to Bliss</w:t>
      </w:r>
      <w:r w:rsidR="00560C1F" w:rsidRPr="00871E2A">
        <w:rPr>
          <w:bCs/>
        </w:rPr>
        <w:t xml:space="preserve">. </w:t>
      </w:r>
    </w:p>
    <w:p w14:paraId="353E8329" w14:textId="60178EEF" w:rsidR="002D3642" w:rsidRPr="009B3A5F" w:rsidRDefault="002D3642" w:rsidP="007C665C">
      <w:pPr>
        <w:pStyle w:val="ListParagraph"/>
        <w:spacing w:line="480" w:lineRule="auto"/>
        <w:ind w:left="360" w:firstLine="360"/>
        <w:jc w:val="both"/>
        <w:rPr>
          <w:b/>
          <w:i/>
          <w:iCs/>
        </w:rPr>
      </w:pPr>
      <w:r w:rsidRPr="009B3A5F">
        <w:rPr>
          <w:b/>
        </w:rPr>
        <w:t>Costs</w:t>
      </w:r>
    </w:p>
    <w:p w14:paraId="7F643468" w14:textId="5CD27C7E" w:rsidR="002D3642" w:rsidRDefault="007C665C" w:rsidP="007C665C">
      <w:pPr>
        <w:spacing w:line="480" w:lineRule="auto"/>
        <w:ind w:left="720" w:hanging="720"/>
        <w:jc w:val="both"/>
        <w:rPr>
          <w:bCs/>
        </w:rPr>
      </w:pPr>
      <w:r>
        <w:rPr>
          <w:bCs/>
        </w:rPr>
        <w:t>[90]</w:t>
      </w:r>
      <w:r>
        <w:rPr>
          <w:bCs/>
        </w:rPr>
        <w:tab/>
      </w:r>
      <w:r w:rsidR="002D3642" w:rsidRPr="007C665C">
        <w:rPr>
          <w:bCs/>
        </w:rPr>
        <w:t xml:space="preserve">Both sides employed the services of two counsel and so a costs award of two counsel is appropriate given the complexity of the </w:t>
      </w:r>
      <w:r w:rsidR="00A85454" w:rsidRPr="007C665C">
        <w:rPr>
          <w:bCs/>
        </w:rPr>
        <w:t>case, the</w:t>
      </w:r>
      <w:r w:rsidR="002D3642" w:rsidRPr="007C665C">
        <w:rPr>
          <w:bCs/>
        </w:rPr>
        <w:t xml:space="preserve"> number of issues it raised and the lengthy factual record.</w:t>
      </w:r>
      <w:r w:rsidR="007D27C4" w:rsidRPr="007C665C">
        <w:rPr>
          <w:bCs/>
        </w:rPr>
        <w:t xml:space="preserve"> Although Colgate is cited in two capacities</w:t>
      </w:r>
      <w:r w:rsidR="00254825" w:rsidRPr="007C665C">
        <w:rPr>
          <w:bCs/>
        </w:rPr>
        <w:t>,</w:t>
      </w:r>
      <w:r w:rsidR="007D27C4" w:rsidRPr="007C665C">
        <w:rPr>
          <w:bCs/>
        </w:rPr>
        <w:t xml:space="preserve"> as the second and third respondents</w:t>
      </w:r>
      <w:r w:rsidR="00254825" w:rsidRPr="007C665C">
        <w:rPr>
          <w:bCs/>
        </w:rPr>
        <w:t xml:space="preserve"> in the review,</w:t>
      </w:r>
      <w:r w:rsidR="007D27C4" w:rsidRPr="007C665C">
        <w:rPr>
          <w:bCs/>
        </w:rPr>
        <w:t xml:space="preserve"> </w:t>
      </w:r>
      <w:r w:rsidR="00254FA0" w:rsidRPr="007C665C">
        <w:rPr>
          <w:bCs/>
        </w:rPr>
        <w:t>and second and third applicants in the discharge application</w:t>
      </w:r>
      <w:r w:rsidR="00254825" w:rsidRPr="007C665C">
        <w:rPr>
          <w:bCs/>
        </w:rPr>
        <w:t>,</w:t>
      </w:r>
      <w:r w:rsidR="00254FA0" w:rsidRPr="007C665C">
        <w:rPr>
          <w:bCs/>
        </w:rPr>
        <w:t xml:space="preserve"> they should be treated as one party for the purpose of the costs aw</w:t>
      </w:r>
      <w:r w:rsidR="00A85454" w:rsidRPr="007C665C">
        <w:rPr>
          <w:bCs/>
        </w:rPr>
        <w:t>a</w:t>
      </w:r>
      <w:r w:rsidR="00254FA0" w:rsidRPr="007C665C">
        <w:rPr>
          <w:bCs/>
        </w:rPr>
        <w:t>rd.</w:t>
      </w:r>
    </w:p>
    <w:p w14:paraId="472EFD4B" w14:textId="77777777" w:rsidR="00370B70" w:rsidRPr="00370B70" w:rsidRDefault="00370B70" w:rsidP="00370B70">
      <w:pPr>
        <w:spacing w:line="480" w:lineRule="auto"/>
        <w:ind w:firstLine="720"/>
        <w:jc w:val="both"/>
        <w:rPr>
          <w:rFonts w:eastAsia="Calibri"/>
          <w:b/>
          <w:iCs/>
          <w:kern w:val="0"/>
          <w:szCs w:val="22"/>
          <w:u w:val="single"/>
          <w:lang w:val="en-GB"/>
          <w14:ligatures w14:val="none"/>
        </w:rPr>
      </w:pPr>
      <w:proofErr w:type="gramStart"/>
      <w:r w:rsidRPr="00370B70">
        <w:rPr>
          <w:rFonts w:eastAsia="Calibri"/>
          <w:b/>
          <w:iCs/>
          <w:kern w:val="0"/>
          <w:szCs w:val="22"/>
          <w:u w:val="single"/>
          <w:lang w:val="en-GB"/>
          <w14:ligatures w14:val="none"/>
        </w:rPr>
        <w:t>ORDER:-</w:t>
      </w:r>
      <w:proofErr w:type="gramEnd"/>
    </w:p>
    <w:p w14:paraId="36D0A2BF" w14:textId="2B2F60A0" w:rsidR="002D3642" w:rsidRPr="00C3473A" w:rsidRDefault="00370B70" w:rsidP="00C3473A">
      <w:pPr>
        <w:spacing w:line="480" w:lineRule="auto"/>
        <w:jc w:val="both"/>
        <w:rPr>
          <w:rFonts w:eastAsia="Calibri"/>
          <w:iCs/>
          <w:kern w:val="0"/>
          <w:szCs w:val="22"/>
          <w:lang w:val="en-GB"/>
          <w14:ligatures w14:val="none"/>
        </w:rPr>
      </w:pPr>
      <w:r w:rsidRPr="00370B70">
        <w:rPr>
          <w:rFonts w:eastAsia="Calibri"/>
          <w:iCs/>
          <w:kern w:val="0"/>
          <w:szCs w:val="22"/>
          <w:lang w:val="en-GB"/>
          <w14:ligatures w14:val="none"/>
        </w:rPr>
        <w:t>[</w:t>
      </w:r>
      <w:r>
        <w:rPr>
          <w:rFonts w:eastAsia="Calibri"/>
          <w:iCs/>
          <w:kern w:val="0"/>
          <w:szCs w:val="22"/>
          <w:lang w:val="en-GB"/>
          <w14:ligatures w14:val="none"/>
        </w:rPr>
        <w:t>91</w:t>
      </w:r>
      <w:r w:rsidRPr="00370B70">
        <w:rPr>
          <w:rFonts w:eastAsia="Calibri"/>
          <w:iCs/>
          <w:kern w:val="0"/>
          <w:szCs w:val="22"/>
          <w:lang w:val="en-GB"/>
          <w14:ligatures w14:val="none"/>
        </w:rPr>
        <w:t xml:space="preserve">] </w:t>
      </w:r>
      <w:r w:rsidRPr="00370B70">
        <w:rPr>
          <w:rFonts w:eastAsia="Calibri"/>
          <w:iCs/>
          <w:kern w:val="0"/>
          <w:szCs w:val="22"/>
          <w:lang w:val="en-GB"/>
          <w14:ligatures w14:val="none"/>
        </w:rPr>
        <w:tab/>
        <w:t>In the result the following order is made:</w:t>
      </w:r>
    </w:p>
    <w:p w14:paraId="2811CE21" w14:textId="071CAD78" w:rsidR="00EB2ED2" w:rsidRPr="009B3A5F" w:rsidRDefault="00EB2ED2" w:rsidP="009B3A5F">
      <w:pPr>
        <w:pStyle w:val="ListParagraph"/>
        <w:spacing w:line="480" w:lineRule="auto"/>
        <w:jc w:val="both"/>
        <w:rPr>
          <w:b/>
          <w:i/>
          <w:iCs/>
        </w:rPr>
      </w:pPr>
      <w:r w:rsidRPr="009B3A5F">
        <w:rPr>
          <w:b/>
        </w:rPr>
        <w:t xml:space="preserve">Review </w:t>
      </w:r>
      <w:proofErr w:type="gramStart"/>
      <w:r w:rsidRPr="009B3A5F">
        <w:rPr>
          <w:b/>
        </w:rPr>
        <w:t>application</w:t>
      </w:r>
      <w:proofErr w:type="gramEnd"/>
      <w:r w:rsidRPr="009B3A5F">
        <w:rPr>
          <w:b/>
        </w:rPr>
        <w:t xml:space="preserve"> </w:t>
      </w:r>
    </w:p>
    <w:p w14:paraId="3B10FAEA" w14:textId="2B74C14C" w:rsidR="002D3642" w:rsidRPr="00A8157D" w:rsidRDefault="00A8157D" w:rsidP="00A8157D">
      <w:pPr>
        <w:spacing w:line="480" w:lineRule="auto"/>
        <w:ind w:left="1069" w:hanging="360"/>
        <w:jc w:val="both"/>
        <w:rPr>
          <w:bCs/>
          <w:i/>
          <w:iCs/>
        </w:rPr>
      </w:pPr>
      <w:r w:rsidRPr="009B3A5F">
        <w:rPr>
          <w:bCs/>
        </w:rPr>
        <w:t>[1]</w:t>
      </w:r>
      <w:r w:rsidRPr="009B3A5F">
        <w:rPr>
          <w:bCs/>
        </w:rPr>
        <w:tab/>
      </w:r>
      <w:r w:rsidR="00AB3079" w:rsidRPr="00A8157D">
        <w:rPr>
          <w:bCs/>
        </w:rPr>
        <w:t>The applicant (</w:t>
      </w:r>
      <w:r w:rsidR="0019529E" w:rsidRPr="00A8157D">
        <w:rPr>
          <w:bCs/>
        </w:rPr>
        <w:t>Bliss’</w:t>
      </w:r>
      <w:r w:rsidR="00AB3079" w:rsidRPr="00A8157D">
        <w:rPr>
          <w:bCs/>
        </w:rPr>
        <w:t>)</w:t>
      </w:r>
      <w:r w:rsidR="0019529E" w:rsidRPr="00A8157D">
        <w:rPr>
          <w:bCs/>
        </w:rPr>
        <w:t xml:space="preserve"> </w:t>
      </w:r>
      <w:r w:rsidR="002D3642" w:rsidRPr="00A8157D">
        <w:rPr>
          <w:bCs/>
        </w:rPr>
        <w:t xml:space="preserve">application for review </w:t>
      </w:r>
      <w:r w:rsidR="00F56DC5" w:rsidRPr="00A8157D">
        <w:rPr>
          <w:bCs/>
        </w:rPr>
        <w:t xml:space="preserve">of the </w:t>
      </w:r>
      <w:r w:rsidR="00F30014" w:rsidRPr="00A8157D">
        <w:rPr>
          <w:bCs/>
        </w:rPr>
        <w:t>decision of the Final Appeals Committee</w:t>
      </w:r>
      <w:r w:rsidR="00D82C30" w:rsidRPr="00A8157D">
        <w:rPr>
          <w:bCs/>
        </w:rPr>
        <w:t xml:space="preserve"> (FAC decision) </w:t>
      </w:r>
      <w:r w:rsidR="00F30014" w:rsidRPr="00A8157D">
        <w:rPr>
          <w:bCs/>
        </w:rPr>
        <w:t xml:space="preserve">of the first respondent </w:t>
      </w:r>
      <w:r w:rsidR="002D3642" w:rsidRPr="00A8157D">
        <w:rPr>
          <w:bCs/>
        </w:rPr>
        <w:t>is dismissed</w:t>
      </w:r>
      <w:r w:rsidR="009E6516" w:rsidRPr="00A8157D">
        <w:rPr>
          <w:bCs/>
        </w:rPr>
        <w:t>.</w:t>
      </w:r>
    </w:p>
    <w:p w14:paraId="6437249E" w14:textId="3AA622BD" w:rsidR="004658D7" w:rsidRPr="00A8157D" w:rsidRDefault="00A8157D" w:rsidP="00A8157D">
      <w:pPr>
        <w:spacing w:line="480" w:lineRule="auto"/>
        <w:ind w:left="1069" w:hanging="360"/>
        <w:jc w:val="both"/>
        <w:rPr>
          <w:bCs/>
          <w:i/>
          <w:iCs/>
        </w:rPr>
      </w:pPr>
      <w:r w:rsidRPr="009B3A5F">
        <w:rPr>
          <w:bCs/>
        </w:rPr>
        <w:t>[2]</w:t>
      </w:r>
      <w:r w:rsidRPr="009B3A5F">
        <w:rPr>
          <w:bCs/>
        </w:rPr>
        <w:tab/>
      </w:r>
      <w:r w:rsidR="0019529E" w:rsidRPr="00A8157D">
        <w:rPr>
          <w:color w:val="000000"/>
        </w:rPr>
        <w:t xml:space="preserve">Bliss is liable for </w:t>
      </w:r>
      <w:r w:rsidR="00AB3079" w:rsidRPr="00A8157D">
        <w:rPr>
          <w:color w:val="000000"/>
        </w:rPr>
        <w:t xml:space="preserve">the </w:t>
      </w:r>
      <w:r w:rsidR="009F6F0F" w:rsidRPr="00A8157D">
        <w:rPr>
          <w:color w:val="000000"/>
        </w:rPr>
        <w:t>s</w:t>
      </w:r>
      <w:r w:rsidR="00AB3079" w:rsidRPr="00A8157D">
        <w:rPr>
          <w:color w:val="000000"/>
        </w:rPr>
        <w:t>econd</w:t>
      </w:r>
      <w:r w:rsidR="00713B8E" w:rsidRPr="00A8157D">
        <w:rPr>
          <w:color w:val="000000"/>
        </w:rPr>
        <w:t xml:space="preserve"> and third</w:t>
      </w:r>
      <w:r w:rsidR="00AB3079" w:rsidRPr="00A8157D">
        <w:rPr>
          <w:color w:val="000000"/>
        </w:rPr>
        <w:t xml:space="preserve"> respondent</w:t>
      </w:r>
      <w:r w:rsidR="00713B8E" w:rsidRPr="00A8157D">
        <w:rPr>
          <w:color w:val="000000"/>
        </w:rPr>
        <w:t>s</w:t>
      </w:r>
      <w:r w:rsidR="00AB3079" w:rsidRPr="00A8157D">
        <w:rPr>
          <w:color w:val="000000"/>
        </w:rPr>
        <w:t xml:space="preserve"> (</w:t>
      </w:r>
      <w:r w:rsidR="0019529E" w:rsidRPr="00A8157D">
        <w:rPr>
          <w:color w:val="000000"/>
        </w:rPr>
        <w:t>Colgate</w:t>
      </w:r>
      <w:r w:rsidR="007D27C4" w:rsidRPr="00A8157D">
        <w:rPr>
          <w:color w:val="000000"/>
        </w:rPr>
        <w:t>’</w:t>
      </w:r>
      <w:r w:rsidR="0019529E" w:rsidRPr="00A8157D">
        <w:rPr>
          <w:color w:val="000000"/>
        </w:rPr>
        <w:t>s</w:t>
      </w:r>
      <w:r w:rsidR="00AF5B2B" w:rsidRPr="00A8157D">
        <w:rPr>
          <w:color w:val="000000"/>
        </w:rPr>
        <w:t>)</w:t>
      </w:r>
      <w:r w:rsidR="0019529E" w:rsidRPr="00A8157D">
        <w:rPr>
          <w:color w:val="000000"/>
        </w:rPr>
        <w:t xml:space="preserve"> </w:t>
      </w:r>
      <w:r w:rsidR="009F6F0F" w:rsidRPr="00A8157D">
        <w:rPr>
          <w:color w:val="000000"/>
        </w:rPr>
        <w:t xml:space="preserve">costs </w:t>
      </w:r>
      <w:r w:rsidR="004658D7" w:rsidRPr="00A8157D">
        <w:rPr>
          <w:color w:val="000000"/>
        </w:rPr>
        <w:t>of the review application</w:t>
      </w:r>
      <w:r w:rsidR="00444381" w:rsidRPr="00A8157D">
        <w:rPr>
          <w:color w:val="000000"/>
        </w:rPr>
        <w:t>,</w:t>
      </w:r>
      <w:r w:rsidR="00BB0FF5" w:rsidRPr="00A8157D">
        <w:rPr>
          <w:color w:val="000000"/>
        </w:rPr>
        <w:t xml:space="preserve"> including the costs of two counsel</w:t>
      </w:r>
      <w:r w:rsidR="00C27CD6" w:rsidRPr="00A8157D">
        <w:rPr>
          <w:color w:val="000000"/>
        </w:rPr>
        <w:t>.</w:t>
      </w:r>
    </w:p>
    <w:p w14:paraId="7E2B6AE2" w14:textId="6EDFFB22" w:rsidR="003A4BA2" w:rsidRPr="00A8157D" w:rsidRDefault="00A8157D" w:rsidP="00A8157D">
      <w:pPr>
        <w:spacing w:line="480" w:lineRule="auto"/>
        <w:ind w:left="1069" w:hanging="360"/>
        <w:jc w:val="both"/>
        <w:rPr>
          <w:bCs/>
          <w:i/>
          <w:iCs/>
        </w:rPr>
      </w:pPr>
      <w:r w:rsidRPr="009B3A5F">
        <w:rPr>
          <w:bCs/>
        </w:rPr>
        <w:t>[3]</w:t>
      </w:r>
      <w:r w:rsidRPr="009B3A5F">
        <w:rPr>
          <w:bCs/>
        </w:rPr>
        <w:tab/>
      </w:r>
      <w:r w:rsidR="003A4BA2" w:rsidRPr="00A8157D">
        <w:rPr>
          <w:color w:val="000000"/>
        </w:rPr>
        <w:t xml:space="preserve">Bliss must </w:t>
      </w:r>
      <w:r w:rsidR="00D82C30" w:rsidRPr="00A8157D">
        <w:rPr>
          <w:color w:val="000000"/>
        </w:rPr>
        <w:t xml:space="preserve">comply with the FAC decision within three months of date of this order. </w:t>
      </w:r>
      <w:r w:rsidR="00CE662B" w:rsidRPr="00A8157D">
        <w:rPr>
          <w:color w:val="000000"/>
        </w:rPr>
        <w:t xml:space="preserve">This applies to dissemination of new </w:t>
      </w:r>
      <w:proofErr w:type="gramStart"/>
      <w:r w:rsidR="00CE662B" w:rsidRPr="00A8157D">
        <w:rPr>
          <w:color w:val="000000"/>
        </w:rPr>
        <w:t>packaging, and</w:t>
      </w:r>
      <w:proofErr w:type="gramEnd"/>
      <w:r w:rsidR="00CE662B" w:rsidRPr="00A8157D">
        <w:rPr>
          <w:color w:val="000000"/>
        </w:rPr>
        <w:t xml:space="preserve"> does not require on-shelf removal</w:t>
      </w:r>
      <w:r w:rsidR="00AC69BF" w:rsidRPr="00A8157D">
        <w:rPr>
          <w:color w:val="000000"/>
        </w:rPr>
        <w:t>.</w:t>
      </w:r>
      <w:r w:rsidR="00D82C30" w:rsidRPr="00A8157D">
        <w:rPr>
          <w:color w:val="000000"/>
        </w:rPr>
        <w:t xml:space="preserve"> </w:t>
      </w:r>
    </w:p>
    <w:p w14:paraId="55A5C0A5" w14:textId="745D45BB" w:rsidR="00EB2ED2" w:rsidRPr="009B3A5F" w:rsidRDefault="00EB2ED2" w:rsidP="00EF43E8">
      <w:pPr>
        <w:pStyle w:val="ListParagraph"/>
        <w:spacing w:line="480" w:lineRule="auto"/>
        <w:ind w:firstLine="349"/>
        <w:jc w:val="both"/>
        <w:rPr>
          <w:b/>
          <w:bCs/>
          <w:i/>
          <w:iCs/>
        </w:rPr>
      </w:pPr>
      <w:r w:rsidRPr="009B3A5F">
        <w:rPr>
          <w:b/>
          <w:bCs/>
          <w:color w:val="000000"/>
        </w:rPr>
        <w:t xml:space="preserve">Discharge </w:t>
      </w:r>
      <w:proofErr w:type="gramStart"/>
      <w:r w:rsidRPr="009B3A5F">
        <w:rPr>
          <w:b/>
          <w:bCs/>
          <w:color w:val="000000"/>
        </w:rPr>
        <w:t>application</w:t>
      </w:r>
      <w:proofErr w:type="gramEnd"/>
      <w:r w:rsidRPr="009B3A5F">
        <w:rPr>
          <w:b/>
          <w:bCs/>
          <w:color w:val="000000"/>
        </w:rPr>
        <w:t xml:space="preserve"> </w:t>
      </w:r>
    </w:p>
    <w:p w14:paraId="75EBB866" w14:textId="30C1BFB3" w:rsidR="00C27CD6" w:rsidRPr="00A8157D" w:rsidRDefault="00A8157D" w:rsidP="00A8157D">
      <w:pPr>
        <w:spacing w:line="480" w:lineRule="auto"/>
        <w:ind w:left="1069" w:hanging="360"/>
        <w:jc w:val="both"/>
        <w:rPr>
          <w:bCs/>
          <w:i/>
          <w:iCs/>
        </w:rPr>
      </w:pPr>
      <w:r w:rsidRPr="009B3A5F">
        <w:rPr>
          <w:bCs/>
        </w:rPr>
        <w:lastRenderedPageBreak/>
        <w:t>[4]</w:t>
      </w:r>
      <w:r w:rsidRPr="009B3A5F">
        <w:rPr>
          <w:bCs/>
        </w:rPr>
        <w:tab/>
      </w:r>
      <w:r w:rsidR="00C27CD6" w:rsidRPr="00A8157D">
        <w:rPr>
          <w:color w:val="000000"/>
        </w:rPr>
        <w:t>The interim interdict granted on 30 November 2022, under case number 2020/22061, is reconsidered and discharged.</w:t>
      </w:r>
    </w:p>
    <w:p w14:paraId="43F37B6C" w14:textId="3D67F4A5" w:rsidR="007D1340" w:rsidRPr="00A8157D" w:rsidRDefault="00A8157D" w:rsidP="00A8157D">
      <w:pPr>
        <w:spacing w:line="480" w:lineRule="auto"/>
        <w:ind w:left="1069" w:hanging="360"/>
        <w:jc w:val="both"/>
        <w:rPr>
          <w:bCs/>
          <w:i/>
          <w:iCs/>
        </w:rPr>
      </w:pPr>
      <w:r w:rsidRPr="00A16924">
        <w:rPr>
          <w:bCs/>
        </w:rPr>
        <w:t>[5]</w:t>
      </w:r>
      <w:r w:rsidRPr="00A16924">
        <w:rPr>
          <w:bCs/>
        </w:rPr>
        <w:tab/>
      </w:r>
      <w:r w:rsidR="00BB0FF5" w:rsidRPr="00A8157D">
        <w:rPr>
          <w:bCs/>
        </w:rPr>
        <w:t>Bliss</w:t>
      </w:r>
      <w:r w:rsidR="00624E26" w:rsidRPr="00A8157D">
        <w:rPr>
          <w:bCs/>
        </w:rPr>
        <w:t>,</w:t>
      </w:r>
      <w:r w:rsidR="00BB0FF5" w:rsidRPr="00A8157D">
        <w:rPr>
          <w:bCs/>
        </w:rPr>
        <w:t xml:space="preserve"> as the first respondent in the discharge application</w:t>
      </w:r>
      <w:r w:rsidR="00624E26" w:rsidRPr="00A8157D">
        <w:rPr>
          <w:bCs/>
        </w:rPr>
        <w:t>,</w:t>
      </w:r>
      <w:r w:rsidR="00BB0FF5" w:rsidRPr="00A8157D">
        <w:rPr>
          <w:bCs/>
        </w:rPr>
        <w:t xml:space="preserve"> is liable for the costs of the applicants</w:t>
      </w:r>
      <w:r w:rsidR="007E5D74" w:rsidRPr="00A8157D">
        <w:rPr>
          <w:bCs/>
        </w:rPr>
        <w:t xml:space="preserve"> (Colgate)</w:t>
      </w:r>
      <w:r w:rsidR="00BB0FF5" w:rsidRPr="00A8157D">
        <w:rPr>
          <w:bCs/>
        </w:rPr>
        <w:t xml:space="preserve"> in the discharge application</w:t>
      </w:r>
      <w:r w:rsidR="00444381" w:rsidRPr="00A8157D">
        <w:rPr>
          <w:bCs/>
        </w:rPr>
        <w:t>,</w:t>
      </w:r>
      <w:r w:rsidR="00BB0FF5" w:rsidRPr="00A8157D">
        <w:rPr>
          <w:bCs/>
        </w:rPr>
        <w:t xml:space="preserve"> including the costs of two counsel.</w:t>
      </w:r>
    </w:p>
    <w:p w14:paraId="267370FD" w14:textId="77777777" w:rsidR="007D1340" w:rsidRDefault="007D1340" w:rsidP="009B3A5F">
      <w:pPr>
        <w:spacing w:line="480" w:lineRule="auto"/>
        <w:jc w:val="both"/>
        <w:rPr>
          <w:bCs/>
          <w:i/>
          <w:iCs/>
        </w:rPr>
      </w:pPr>
    </w:p>
    <w:p w14:paraId="6E3F3BB2" w14:textId="77777777" w:rsidR="00C3473A" w:rsidRDefault="00C3473A" w:rsidP="009B3A5F">
      <w:pPr>
        <w:spacing w:line="480" w:lineRule="auto"/>
        <w:jc w:val="both"/>
        <w:rPr>
          <w:bCs/>
          <w:i/>
          <w:iCs/>
        </w:rPr>
      </w:pPr>
    </w:p>
    <w:p w14:paraId="0C56F836" w14:textId="77777777" w:rsidR="007D1340" w:rsidRPr="007D1340" w:rsidRDefault="007D1340" w:rsidP="007D1340">
      <w:pPr>
        <w:spacing w:after="0" w:line="276" w:lineRule="auto"/>
        <w:jc w:val="right"/>
        <w:rPr>
          <w:rFonts w:eastAsia="Calibri"/>
          <w:b/>
          <w:kern w:val="0"/>
          <w:szCs w:val="22"/>
          <w:lang w:val="en-GB"/>
          <w14:ligatures w14:val="none"/>
        </w:rPr>
      </w:pPr>
      <w:r w:rsidRPr="007D1340">
        <w:rPr>
          <w:rFonts w:eastAsia="Calibri"/>
          <w:b/>
          <w:kern w:val="0"/>
          <w:szCs w:val="22"/>
          <w:lang w:val="en-GB"/>
          <w14:ligatures w14:val="none"/>
        </w:rPr>
        <w:t>_____________________________</w:t>
      </w:r>
    </w:p>
    <w:p w14:paraId="7F7CE2A4" w14:textId="77777777" w:rsidR="007D1340" w:rsidRPr="007D1340" w:rsidRDefault="007D1340" w:rsidP="007D1340">
      <w:pPr>
        <w:spacing w:line="276" w:lineRule="auto"/>
        <w:jc w:val="right"/>
        <w:rPr>
          <w:rFonts w:eastAsia="Calibri"/>
          <w:b/>
          <w:kern w:val="0"/>
          <w:szCs w:val="22"/>
          <w:lang w:val="en-GB"/>
          <w14:ligatures w14:val="none"/>
        </w:rPr>
      </w:pPr>
      <w:r w:rsidRPr="007D1340">
        <w:rPr>
          <w:rFonts w:eastAsia="Calibri"/>
          <w:b/>
          <w:kern w:val="0"/>
          <w:szCs w:val="22"/>
          <w:lang w:val="en-GB"/>
          <w14:ligatures w14:val="none"/>
        </w:rPr>
        <w:t>N.  MANOIM</w:t>
      </w:r>
    </w:p>
    <w:p w14:paraId="750FA22A" w14:textId="77777777" w:rsidR="007D1340" w:rsidRPr="007D1340" w:rsidRDefault="007D1340" w:rsidP="007D1340">
      <w:pPr>
        <w:spacing w:line="276" w:lineRule="auto"/>
        <w:jc w:val="right"/>
        <w:rPr>
          <w:rFonts w:eastAsia="Calibri"/>
          <w:b/>
          <w:kern w:val="0"/>
          <w:szCs w:val="22"/>
          <w:lang w:val="en-GB"/>
          <w14:ligatures w14:val="none"/>
        </w:rPr>
      </w:pPr>
      <w:r w:rsidRPr="007D1340">
        <w:rPr>
          <w:rFonts w:eastAsia="Calibri"/>
          <w:b/>
          <w:kern w:val="0"/>
          <w:szCs w:val="22"/>
          <w:lang w:val="en-GB"/>
          <w14:ligatures w14:val="none"/>
        </w:rPr>
        <w:t>JUDGE OF THE HIGH COURT</w:t>
      </w:r>
    </w:p>
    <w:p w14:paraId="73CD175F" w14:textId="77777777" w:rsidR="007D1340" w:rsidRPr="007D1340" w:rsidRDefault="007D1340" w:rsidP="007D1340">
      <w:pPr>
        <w:spacing w:line="276" w:lineRule="auto"/>
        <w:jc w:val="right"/>
        <w:rPr>
          <w:rFonts w:eastAsia="Calibri"/>
          <w:b/>
          <w:kern w:val="0"/>
          <w:szCs w:val="22"/>
          <w:lang w:val="en-GB"/>
          <w14:ligatures w14:val="none"/>
        </w:rPr>
      </w:pPr>
      <w:r w:rsidRPr="007D1340">
        <w:rPr>
          <w:rFonts w:eastAsia="Calibri"/>
          <w:b/>
          <w:kern w:val="0"/>
          <w:szCs w:val="22"/>
          <w:lang w:val="en-GB"/>
          <w14:ligatures w14:val="none"/>
        </w:rPr>
        <w:t xml:space="preserve">GAUTENG DIVISION </w:t>
      </w:r>
    </w:p>
    <w:p w14:paraId="1E0689EE" w14:textId="77777777" w:rsidR="007D1340" w:rsidRPr="007D1340" w:rsidRDefault="007D1340" w:rsidP="007D1340">
      <w:pPr>
        <w:spacing w:line="480" w:lineRule="auto"/>
        <w:jc w:val="right"/>
        <w:rPr>
          <w:rFonts w:eastAsia="Calibri"/>
          <w:b/>
          <w:kern w:val="0"/>
          <w:szCs w:val="22"/>
          <w:lang w:val="en-GB"/>
          <w14:ligatures w14:val="none"/>
        </w:rPr>
      </w:pPr>
      <w:r w:rsidRPr="007D1340">
        <w:rPr>
          <w:rFonts w:eastAsia="Calibri"/>
          <w:b/>
          <w:kern w:val="0"/>
          <w:szCs w:val="22"/>
          <w:lang w:val="en-GB"/>
          <w14:ligatures w14:val="none"/>
        </w:rPr>
        <w:t>JOHNANNESBURG</w:t>
      </w:r>
    </w:p>
    <w:p w14:paraId="7BE63105" w14:textId="4C0A6F88" w:rsidR="007D1340" w:rsidRPr="007D1340" w:rsidRDefault="007D1340" w:rsidP="007D1340">
      <w:pPr>
        <w:spacing w:after="0" w:line="480" w:lineRule="auto"/>
        <w:jc w:val="both"/>
        <w:rPr>
          <w:rFonts w:eastAsia="Calibri"/>
          <w:kern w:val="0"/>
          <w:szCs w:val="22"/>
          <w:lang w:val="en-GB"/>
          <w14:ligatures w14:val="none"/>
        </w:rPr>
      </w:pPr>
      <w:r w:rsidRPr="007D1340">
        <w:rPr>
          <w:rFonts w:eastAsia="Calibri"/>
          <w:kern w:val="0"/>
          <w:szCs w:val="22"/>
          <w:lang w:val="en-GB"/>
          <w14:ligatures w14:val="none"/>
        </w:rPr>
        <w:t xml:space="preserve">Date of hearing: </w:t>
      </w:r>
      <w:r w:rsidR="002600C9">
        <w:rPr>
          <w:rFonts w:eastAsia="Calibri"/>
          <w:kern w:val="0"/>
          <w:szCs w:val="22"/>
          <w:lang w:val="en-GB"/>
          <w14:ligatures w14:val="none"/>
        </w:rPr>
        <w:t>18</w:t>
      </w:r>
      <w:r w:rsidRPr="007D1340">
        <w:rPr>
          <w:rFonts w:eastAsia="Calibri"/>
          <w:kern w:val="0"/>
          <w:szCs w:val="22"/>
          <w:lang w:val="en-GB"/>
          <w14:ligatures w14:val="none"/>
        </w:rPr>
        <w:t xml:space="preserve"> </w:t>
      </w:r>
      <w:r w:rsidR="002600C9">
        <w:rPr>
          <w:rFonts w:eastAsia="Calibri"/>
          <w:kern w:val="0"/>
          <w:szCs w:val="22"/>
          <w:lang w:val="en-GB"/>
          <w14:ligatures w14:val="none"/>
        </w:rPr>
        <w:t>Octobe</w:t>
      </w:r>
      <w:r w:rsidR="002E22D5">
        <w:rPr>
          <w:rFonts w:eastAsia="Calibri"/>
          <w:kern w:val="0"/>
          <w:szCs w:val="22"/>
          <w:lang w:val="en-GB"/>
          <w14:ligatures w14:val="none"/>
        </w:rPr>
        <w:t xml:space="preserve">r </w:t>
      </w:r>
      <w:r w:rsidRPr="007D1340">
        <w:rPr>
          <w:rFonts w:eastAsia="Calibri"/>
          <w:kern w:val="0"/>
          <w:szCs w:val="22"/>
          <w:lang w:val="en-GB"/>
          <w14:ligatures w14:val="none"/>
        </w:rPr>
        <w:t>2023</w:t>
      </w:r>
    </w:p>
    <w:p w14:paraId="48F38A8C" w14:textId="77278B12" w:rsidR="007D1340" w:rsidRPr="007D1340" w:rsidRDefault="007D1340" w:rsidP="007D1340">
      <w:pPr>
        <w:spacing w:line="480" w:lineRule="auto"/>
        <w:jc w:val="both"/>
        <w:rPr>
          <w:rFonts w:eastAsia="Calibri"/>
          <w:kern w:val="0"/>
          <w:szCs w:val="22"/>
          <w:lang w:val="en-GB"/>
          <w14:ligatures w14:val="none"/>
        </w:rPr>
      </w:pPr>
      <w:r w:rsidRPr="007D1340">
        <w:rPr>
          <w:rFonts w:eastAsia="Calibri"/>
          <w:kern w:val="0"/>
          <w:szCs w:val="22"/>
          <w:lang w:val="en-GB"/>
          <w14:ligatures w14:val="none"/>
        </w:rPr>
        <w:t xml:space="preserve">Date of Judgment: </w:t>
      </w:r>
      <w:r w:rsidR="00E2027F">
        <w:rPr>
          <w:rFonts w:eastAsia="Calibri"/>
          <w:kern w:val="0"/>
          <w:szCs w:val="22"/>
          <w:lang w:val="en-GB"/>
          <w14:ligatures w14:val="none"/>
        </w:rPr>
        <w:t>21</w:t>
      </w:r>
      <w:r w:rsidRPr="007D1340">
        <w:rPr>
          <w:rFonts w:eastAsia="Calibri"/>
          <w:kern w:val="0"/>
          <w:szCs w:val="22"/>
          <w:lang w:val="en-GB"/>
          <w14:ligatures w14:val="none"/>
        </w:rPr>
        <w:t xml:space="preserve"> </w:t>
      </w:r>
      <w:r w:rsidR="00E2027F">
        <w:rPr>
          <w:rFonts w:eastAsia="Calibri"/>
          <w:kern w:val="0"/>
          <w:szCs w:val="22"/>
          <w:lang w:val="en-GB"/>
          <w14:ligatures w14:val="none"/>
        </w:rPr>
        <w:t>February</w:t>
      </w:r>
      <w:r w:rsidRPr="007D1340">
        <w:rPr>
          <w:rFonts w:eastAsia="Calibri"/>
          <w:kern w:val="0"/>
          <w:szCs w:val="22"/>
          <w:lang w:val="en-GB"/>
          <w14:ligatures w14:val="none"/>
        </w:rPr>
        <w:t xml:space="preserve"> 2024</w:t>
      </w:r>
    </w:p>
    <w:p w14:paraId="4216EEE8" w14:textId="77777777" w:rsidR="007D1340" w:rsidRPr="007D1340" w:rsidRDefault="007D1340" w:rsidP="007D1340">
      <w:pPr>
        <w:spacing w:line="480" w:lineRule="auto"/>
        <w:jc w:val="both"/>
        <w:rPr>
          <w:rFonts w:eastAsia="Calibri"/>
          <w:kern w:val="0"/>
          <w:szCs w:val="22"/>
          <w:lang w:val="en-GB"/>
          <w14:ligatures w14:val="none"/>
        </w:rPr>
      </w:pPr>
      <w:r w:rsidRPr="007D1340">
        <w:rPr>
          <w:rFonts w:eastAsia="Calibri"/>
          <w:kern w:val="0"/>
          <w:szCs w:val="22"/>
          <w:lang w:val="en-GB"/>
          <w14:ligatures w14:val="none"/>
        </w:rPr>
        <w:t>Appearances:</w:t>
      </w:r>
    </w:p>
    <w:p w14:paraId="04D81027" w14:textId="6B8A3DEE" w:rsidR="007D1340" w:rsidRDefault="007D1340" w:rsidP="007D1340">
      <w:pPr>
        <w:spacing w:line="480" w:lineRule="auto"/>
        <w:jc w:val="both"/>
        <w:rPr>
          <w:rFonts w:eastAsia="Calibri"/>
          <w:kern w:val="0"/>
          <w:szCs w:val="22"/>
          <w:lang w:val="en-GB"/>
          <w14:ligatures w14:val="none"/>
        </w:rPr>
      </w:pPr>
      <w:r w:rsidRPr="007D1340">
        <w:rPr>
          <w:rFonts w:eastAsia="Calibri"/>
          <w:kern w:val="0"/>
          <w:szCs w:val="22"/>
          <w:lang w:val="en-GB"/>
          <w14:ligatures w14:val="none"/>
        </w:rPr>
        <w:t xml:space="preserve">Counsel for the Applicant:                 </w:t>
      </w:r>
      <w:r w:rsidRPr="007D1340">
        <w:rPr>
          <w:rFonts w:eastAsia="Calibri"/>
          <w:kern w:val="0"/>
          <w:szCs w:val="22"/>
          <w:lang w:val="en-GB"/>
          <w14:ligatures w14:val="none"/>
        </w:rPr>
        <w:tab/>
        <w:t xml:space="preserve"> </w:t>
      </w:r>
      <w:r w:rsidRPr="007D1340">
        <w:rPr>
          <w:rFonts w:eastAsia="Calibri"/>
          <w:kern w:val="0"/>
          <w:szCs w:val="22"/>
          <w:lang w:val="en-GB"/>
          <w14:ligatures w14:val="none"/>
        </w:rPr>
        <w:tab/>
      </w:r>
      <w:r w:rsidR="0008194D">
        <w:rPr>
          <w:rFonts w:eastAsia="Calibri"/>
          <w:kern w:val="0"/>
          <w:szCs w:val="22"/>
          <w:lang w:val="en-GB"/>
          <w14:ligatures w14:val="none"/>
        </w:rPr>
        <w:tab/>
      </w:r>
      <w:r w:rsidR="00EE7A96">
        <w:rPr>
          <w:rFonts w:eastAsia="Calibri"/>
          <w:kern w:val="0"/>
          <w:szCs w:val="22"/>
          <w:lang w:val="en-GB"/>
          <w14:ligatures w14:val="none"/>
        </w:rPr>
        <w:t>CDA Loxton SC</w:t>
      </w:r>
    </w:p>
    <w:p w14:paraId="76F2CCC4" w14:textId="193A4588" w:rsidR="00EE7A96" w:rsidRDefault="00EE7A96" w:rsidP="007D1340">
      <w:pPr>
        <w:spacing w:line="480" w:lineRule="auto"/>
        <w:jc w:val="both"/>
        <w:rPr>
          <w:rFonts w:eastAsia="Calibri"/>
          <w:kern w:val="0"/>
          <w:szCs w:val="22"/>
          <w:lang w:val="en-GB"/>
          <w14:ligatures w14:val="none"/>
        </w:rPr>
      </w:pP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sidR="0008194D">
        <w:rPr>
          <w:rFonts w:eastAsia="Calibri"/>
          <w:kern w:val="0"/>
          <w:szCs w:val="22"/>
          <w:lang w:val="en-GB"/>
          <w14:ligatures w14:val="none"/>
        </w:rPr>
        <w:tab/>
      </w:r>
      <w:r>
        <w:rPr>
          <w:rFonts w:eastAsia="Calibri"/>
          <w:kern w:val="0"/>
          <w:szCs w:val="22"/>
          <w:lang w:val="en-GB"/>
          <w14:ligatures w14:val="none"/>
        </w:rPr>
        <w:t>F Southwood SC</w:t>
      </w:r>
    </w:p>
    <w:p w14:paraId="755C652D" w14:textId="421A62C6" w:rsidR="006B0DC1" w:rsidRPr="007D1340" w:rsidRDefault="006B0DC1" w:rsidP="007D1340">
      <w:pPr>
        <w:spacing w:line="480" w:lineRule="auto"/>
        <w:jc w:val="both"/>
        <w:rPr>
          <w:rFonts w:eastAsia="Calibri"/>
          <w:kern w:val="0"/>
          <w:szCs w:val="22"/>
          <w:lang w:val="en-GB"/>
          <w14:ligatures w14:val="none"/>
        </w:rPr>
      </w:pP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sidR="007F605A">
        <w:rPr>
          <w:rFonts w:eastAsia="Calibri"/>
          <w:kern w:val="0"/>
          <w:szCs w:val="22"/>
          <w:lang w:val="en-GB"/>
          <w14:ligatures w14:val="none"/>
        </w:rPr>
        <w:t xml:space="preserve">NS </w:t>
      </w:r>
      <w:proofErr w:type="spellStart"/>
      <w:r w:rsidR="007F605A">
        <w:rPr>
          <w:rFonts w:eastAsia="Calibri"/>
          <w:kern w:val="0"/>
          <w:szCs w:val="22"/>
          <w:lang w:val="en-GB"/>
          <w14:ligatures w14:val="none"/>
        </w:rPr>
        <w:t>Ruhinda</w:t>
      </w:r>
      <w:proofErr w:type="spellEnd"/>
      <w:r w:rsidR="007F605A">
        <w:rPr>
          <w:rFonts w:eastAsia="Calibri"/>
          <w:kern w:val="0"/>
          <w:szCs w:val="22"/>
          <w:lang w:val="en-GB"/>
          <w14:ligatures w14:val="none"/>
        </w:rPr>
        <w:t xml:space="preserve"> </w:t>
      </w:r>
    </w:p>
    <w:p w14:paraId="6FF061C9" w14:textId="46A6248A" w:rsidR="007D1340" w:rsidRPr="007D1340" w:rsidRDefault="007D1340" w:rsidP="007D1340">
      <w:pPr>
        <w:spacing w:line="480" w:lineRule="auto"/>
        <w:jc w:val="both"/>
        <w:rPr>
          <w:rFonts w:eastAsia="Calibri"/>
          <w:kern w:val="0"/>
          <w:szCs w:val="22"/>
          <w:lang w:val="en-GB"/>
          <w14:ligatures w14:val="none"/>
        </w:rPr>
      </w:pPr>
      <w:r w:rsidRPr="007D1340">
        <w:rPr>
          <w:rFonts w:eastAsia="Calibri"/>
          <w:kern w:val="0"/>
          <w:szCs w:val="22"/>
          <w:lang w:val="en-GB"/>
          <w14:ligatures w14:val="none"/>
        </w:rPr>
        <w:t xml:space="preserve">Instructed by.                                      </w:t>
      </w:r>
      <w:r w:rsidRPr="007D1340">
        <w:rPr>
          <w:rFonts w:eastAsia="Calibri"/>
          <w:kern w:val="0"/>
          <w:szCs w:val="22"/>
          <w:lang w:val="en-GB"/>
          <w14:ligatures w14:val="none"/>
        </w:rPr>
        <w:tab/>
      </w:r>
      <w:r w:rsidRPr="007D1340">
        <w:rPr>
          <w:rFonts w:eastAsia="Calibri"/>
          <w:kern w:val="0"/>
          <w:szCs w:val="22"/>
          <w:lang w:val="en-GB"/>
          <w14:ligatures w14:val="none"/>
        </w:rPr>
        <w:tab/>
      </w:r>
      <w:r w:rsidR="0008194D">
        <w:rPr>
          <w:rFonts w:eastAsia="Calibri"/>
          <w:kern w:val="0"/>
          <w:szCs w:val="22"/>
          <w:lang w:val="en-GB"/>
          <w14:ligatures w14:val="none"/>
        </w:rPr>
        <w:tab/>
      </w:r>
      <w:r w:rsidR="00E71056">
        <w:rPr>
          <w:rFonts w:eastAsia="Calibri"/>
          <w:kern w:val="0"/>
          <w:szCs w:val="22"/>
          <w:lang w:val="en-GB"/>
          <w14:ligatures w14:val="none"/>
        </w:rPr>
        <w:t xml:space="preserve">Eversheds </w:t>
      </w:r>
      <w:r w:rsidR="00161503">
        <w:rPr>
          <w:rFonts w:eastAsia="Calibri"/>
          <w:kern w:val="0"/>
          <w:szCs w:val="22"/>
          <w:lang w:val="en-GB"/>
          <w14:ligatures w14:val="none"/>
        </w:rPr>
        <w:t>Sutherland SA (Inc)</w:t>
      </w:r>
      <w:r w:rsidRPr="007D1340">
        <w:rPr>
          <w:rFonts w:eastAsia="Calibri"/>
          <w:kern w:val="0"/>
          <w:szCs w:val="22"/>
          <w:lang w:val="en-GB"/>
          <w14:ligatures w14:val="none"/>
        </w:rPr>
        <w:t xml:space="preserve"> </w:t>
      </w:r>
    </w:p>
    <w:p w14:paraId="73E45001" w14:textId="77777777" w:rsidR="007D1340" w:rsidRPr="007D1340" w:rsidRDefault="007D1340" w:rsidP="007D1340">
      <w:pPr>
        <w:spacing w:line="480" w:lineRule="auto"/>
        <w:jc w:val="both"/>
        <w:rPr>
          <w:rFonts w:eastAsia="Calibri"/>
          <w:kern w:val="0"/>
          <w:szCs w:val="22"/>
          <w:lang w:val="en-GB"/>
          <w14:ligatures w14:val="none"/>
        </w:rPr>
      </w:pPr>
      <w:r w:rsidRPr="007D1340">
        <w:rPr>
          <w:rFonts w:eastAsia="Calibri"/>
          <w:kern w:val="0"/>
          <w:szCs w:val="22"/>
          <w:lang w:val="en-GB"/>
          <w14:ligatures w14:val="none"/>
        </w:rPr>
        <w:t xml:space="preserve"> </w:t>
      </w:r>
    </w:p>
    <w:p w14:paraId="18DE3D76" w14:textId="3BE9DBDB" w:rsidR="007D1340" w:rsidRDefault="007D1340" w:rsidP="007D1340">
      <w:pPr>
        <w:spacing w:line="480" w:lineRule="auto"/>
        <w:jc w:val="both"/>
        <w:rPr>
          <w:rFonts w:eastAsia="Calibri"/>
          <w:kern w:val="0"/>
          <w:szCs w:val="22"/>
          <w:lang w:val="en-GB"/>
          <w14:ligatures w14:val="none"/>
        </w:rPr>
      </w:pPr>
      <w:r w:rsidRPr="007D1340">
        <w:rPr>
          <w:rFonts w:eastAsia="Calibri"/>
          <w:kern w:val="0"/>
          <w:szCs w:val="22"/>
          <w:lang w:val="en-GB"/>
          <w14:ligatures w14:val="none"/>
        </w:rPr>
        <w:t>Counsel for</w:t>
      </w:r>
      <w:r w:rsidR="000554F1">
        <w:rPr>
          <w:rFonts w:eastAsia="Calibri"/>
          <w:kern w:val="0"/>
          <w:szCs w:val="22"/>
          <w:lang w:val="en-GB"/>
          <w14:ligatures w14:val="none"/>
        </w:rPr>
        <w:t xml:space="preserve"> </w:t>
      </w:r>
      <w:r w:rsidR="0008194D">
        <w:rPr>
          <w:rFonts w:eastAsia="Calibri"/>
          <w:kern w:val="0"/>
          <w:szCs w:val="22"/>
          <w:lang w:val="en-GB"/>
          <w14:ligatures w14:val="none"/>
        </w:rPr>
        <w:t xml:space="preserve">Second and Third </w:t>
      </w:r>
      <w:r w:rsidRPr="007D1340">
        <w:rPr>
          <w:rFonts w:eastAsia="Calibri"/>
          <w:kern w:val="0"/>
          <w:szCs w:val="22"/>
          <w:lang w:val="en-GB"/>
          <w14:ligatures w14:val="none"/>
        </w:rPr>
        <w:t>Respondent:</w:t>
      </w:r>
      <w:r w:rsidR="0008194D">
        <w:rPr>
          <w:rFonts w:eastAsia="Calibri"/>
          <w:kern w:val="0"/>
          <w:szCs w:val="22"/>
          <w:lang w:val="en-GB"/>
          <w14:ligatures w14:val="none"/>
        </w:rPr>
        <w:tab/>
      </w:r>
      <w:r w:rsidR="0008194D">
        <w:rPr>
          <w:rFonts w:eastAsia="Calibri"/>
          <w:kern w:val="0"/>
          <w:szCs w:val="22"/>
          <w:lang w:val="en-GB"/>
          <w14:ligatures w14:val="none"/>
        </w:rPr>
        <w:tab/>
      </w:r>
      <w:r w:rsidR="00631BE5">
        <w:rPr>
          <w:rFonts w:eastAsia="Calibri"/>
          <w:kern w:val="0"/>
          <w:szCs w:val="22"/>
          <w:lang w:val="en-GB"/>
          <w14:ligatures w14:val="none"/>
        </w:rPr>
        <w:t xml:space="preserve">G Marcus SC  </w:t>
      </w:r>
    </w:p>
    <w:p w14:paraId="2A675E5F" w14:textId="0C5F42C8" w:rsidR="00A32EB3" w:rsidRPr="007D1340" w:rsidRDefault="00A32EB3" w:rsidP="007D1340">
      <w:pPr>
        <w:spacing w:line="480" w:lineRule="auto"/>
        <w:jc w:val="both"/>
        <w:rPr>
          <w:rFonts w:eastAsia="Calibri"/>
          <w:kern w:val="0"/>
          <w:szCs w:val="22"/>
          <w:lang w:val="en-GB"/>
          <w14:ligatures w14:val="none"/>
        </w:rPr>
      </w:pP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Pr>
          <w:rFonts w:eastAsia="Calibri"/>
          <w:kern w:val="0"/>
          <w:szCs w:val="22"/>
          <w:lang w:val="en-GB"/>
          <w14:ligatures w14:val="none"/>
        </w:rPr>
        <w:tab/>
      </w:r>
      <w:r w:rsidR="0008194D">
        <w:rPr>
          <w:rFonts w:eastAsia="Calibri"/>
          <w:kern w:val="0"/>
          <w:szCs w:val="22"/>
          <w:lang w:val="en-GB"/>
          <w14:ligatures w14:val="none"/>
        </w:rPr>
        <w:tab/>
      </w:r>
      <w:r>
        <w:rPr>
          <w:rFonts w:eastAsia="Calibri"/>
          <w:kern w:val="0"/>
          <w:szCs w:val="22"/>
          <w:lang w:val="en-GB"/>
          <w14:ligatures w14:val="none"/>
        </w:rPr>
        <w:t>C McCo</w:t>
      </w:r>
      <w:r w:rsidR="0008194D">
        <w:rPr>
          <w:rFonts w:eastAsia="Calibri"/>
          <w:kern w:val="0"/>
          <w:szCs w:val="22"/>
          <w:lang w:val="en-GB"/>
          <w14:ligatures w14:val="none"/>
        </w:rPr>
        <w:t>nnachie</w:t>
      </w:r>
    </w:p>
    <w:p w14:paraId="1F3CE66F" w14:textId="3D91B0D9" w:rsidR="00C3473A" w:rsidRPr="00C3473A" w:rsidRDefault="007D1340" w:rsidP="007D1340">
      <w:pPr>
        <w:spacing w:line="480" w:lineRule="auto"/>
        <w:jc w:val="both"/>
        <w:rPr>
          <w:bCs/>
        </w:rPr>
      </w:pPr>
      <w:r w:rsidRPr="007D1340">
        <w:rPr>
          <w:rFonts w:eastAsia="Calibri"/>
          <w:kern w:val="0"/>
          <w:szCs w:val="22"/>
          <w:lang w:val="en-GB"/>
          <w14:ligatures w14:val="none"/>
        </w:rPr>
        <w:lastRenderedPageBreak/>
        <w:t xml:space="preserve">Instructed by:                                  </w:t>
      </w:r>
      <w:r w:rsidRPr="007D1340">
        <w:rPr>
          <w:rFonts w:eastAsia="Calibri"/>
          <w:kern w:val="0"/>
          <w:szCs w:val="22"/>
          <w:lang w:val="en-GB"/>
          <w14:ligatures w14:val="none"/>
        </w:rPr>
        <w:tab/>
      </w:r>
      <w:r w:rsidRPr="007D1340">
        <w:rPr>
          <w:rFonts w:eastAsia="Calibri"/>
          <w:kern w:val="0"/>
          <w:szCs w:val="22"/>
          <w:lang w:val="en-GB"/>
          <w14:ligatures w14:val="none"/>
        </w:rPr>
        <w:tab/>
      </w:r>
      <w:r w:rsidR="0008194D">
        <w:rPr>
          <w:rFonts w:eastAsia="Calibri"/>
          <w:kern w:val="0"/>
          <w:szCs w:val="22"/>
          <w:lang w:val="en-GB"/>
          <w14:ligatures w14:val="none"/>
        </w:rPr>
        <w:tab/>
      </w:r>
      <w:r w:rsidR="00A32EB3">
        <w:rPr>
          <w:rFonts w:eastAsia="Calibri"/>
          <w:kern w:val="0"/>
          <w:szCs w:val="22"/>
          <w:lang w:val="en-GB"/>
          <w14:ligatures w14:val="none"/>
        </w:rPr>
        <w:t>Kisch IP</w:t>
      </w:r>
    </w:p>
    <w:sectPr w:rsidR="00C3473A" w:rsidRPr="00C3473A" w:rsidSect="004445A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1781" w14:textId="77777777" w:rsidR="004445A6" w:rsidRDefault="004445A6" w:rsidP="00D85E60">
      <w:pPr>
        <w:spacing w:after="0" w:line="240" w:lineRule="auto"/>
      </w:pPr>
      <w:r>
        <w:separator/>
      </w:r>
    </w:p>
  </w:endnote>
  <w:endnote w:type="continuationSeparator" w:id="0">
    <w:p w14:paraId="307FBDC6" w14:textId="77777777" w:rsidR="004445A6" w:rsidRDefault="004445A6" w:rsidP="00D8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BA20" w14:textId="77777777" w:rsidR="004445A6" w:rsidRDefault="004445A6" w:rsidP="00D85E60">
      <w:pPr>
        <w:spacing w:after="0" w:line="240" w:lineRule="auto"/>
      </w:pPr>
      <w:r>
        <w:separator/>
      </w:r>
    </w:p>
  </w:footnote>
  <w:footnote w:type="continuationSeparator" w:id="0">
    <w:p w14:paraId="4FA482CF" w14:textId="77777777" w:rsidR="004445A6" w:rsidRDefault="004445A6" w:rsidP="00D85E60">
      <w:pPr>
        <w:spacing w:after="0" w:line="240" w:lineRule="auto"/>
      </w:pPr>
      <w:r>
        <w:continuationSeparator/>
      </w:r>
    </w:p>
  </w:footnote>
  <w:footnote w:id="1">
    <w:p w14:paraId="240777BC" w14:textId="6E95CB78" w:rsidR="00576986" w:rsidRPr="00D85E60" w:rsidRDefault="00576986" w:rsidP="00557AB3">
      <w:pPr>
        <w:pStyle w:val="FootnoteText"/>
        <w:jc w:val="both"/>
        <w:rPr>
          <w:lang w:val="en-US"/>
        </w:rPr>
      </w:pPr>
      <w:r>
        <w:rPr>
          <w:rStyle w:val="FootnoteReference"/>
        </w:rPr>
        <w:footnoteRef/>
      </w:r>
      <w:r>
        <w:t xml:space="preserve"> </w:t>
      </w:r>
      <w:r>
        <w:rPr>
          <w:lang w:val="en-US"/>
        </w:rPr>
        <w:t>Nothing in this case turns on the distinction and both parties have conveniently referred to Colgate in these proceedings.</w:t>
      </w:r>
    </w:p>
  </w:footnote>
  <w:footnote w:id="2">
    <w:p w14:paraId="6AB6F9DB" w14:textId="5F0E5FF7" w:rsidR="006808CA" w:rsidRDefault="006808CA" w:rsidP="00557AB3">
      <w:pPr>
        <w:pStyle w:val="FootnoteText"/>
        <w:jc w:val="both"/>
      </w:pPr>
      <w:r>
        <w:rPr>
          <w:rStyle w:val="FootnoteReference"/>
        </w:rPr>
        <w:footnoteRef/>
      </w:r>
      <w:r>
        <w:t xml:space="preserve"> Clauses 8 and 9, respectively. I deal with their contents later.</w:t>
      </w:r>
    </w:p>
  </w:footnote>
  <w:footnote w:id="3">
    <w:p w14:paraId="3E3E0606" w14:textId="7F729B2E" w:rsidR="00AF0B2C" w:rsidRDefault="00AF0B2C" w:rsidP="00557AB3">
      <w:pPr>
        <w:pStyle w:val="FootnoteText"/>
        <w:jc w:val="both"/>
      </w:pPr>
      <w:r>
        <w:rPr>
          <w:rStyle w:val="FootnoteReference"/>
        </w:rPr>
        <w:footnoteRef/>
      </w:r>
      <w:r>
        <w:t xml:space="preserve"> </w:t>
      </w:r>
      <w:r w:rsidR="006B20C4">
        <w:t xml:space="preserve"> Reported as </w:t>
      </w:r>
      <w:r w:rsidR="00D93C02" w:rsidRPr="00D93C02">
        <w:rPr>
          <w:i/>
          <w:iCs/>
        </w:rPr>
        <w:t>Advertising Regulatory Board NPC and Others v Bliss Brands (Pty) Ltd</w:t>
      </w:r>
      <w:r w:rsidR="00D93C02" w:rsidRPr="00D93C02">
        <w:t xml:space="preserve"> 2022 (4) SA 57 (SCA)</w:t>
      </w:r>
      <w:r w:rsidR="006B20C4">
        <w:t xml:space="preserve"> and</w:t>
      </w:r>
      <w:r w:rsidR="00D93C02" w:rsidRPr="00D93C02">
        <w:t xml:space="preserve"> </w:t>
      </w:r>
      <w:r w:rsidRPr="00AF0B2C">
        <w:rPr>
          <w:i/>
          <w:iCs/>
        </w:rPr>
        <w:t>Bliss Brands (Pty) Ltd v Advertising Regulatory Board NPC and others</w:t>
      </w:r>
      <w:r w:rsidRPr="00AF0B2C">
        <w:t xml:space="preserve"> [2023]</w:t>
      </w:r>
      <w:r w:rsidR="00FE69F1">
        <w:t xml:space="preserve"> </w:t>
      </w:r>
      <w:r w:rsidRPr="00AF0B2C">
        <w:t>ZACC I9</w:t>
      </w:r>
      <w:r w:rsidR="00FE69F1">
        <w:t>.</w:t>
      </w:r>
    </w:p>
  </w:footnote>
  <w:footnote w:id="4">
    <w:p w14:paraId="0A4B465D" w14:textId="76CB3A70" w:rsidR="002F4284" w:rsidRDefault="002F4284" w:rsidP="00557AB3">
      <w:pPr>
        <w:pStyle w:val="FootnoteText"/>
        <w:jc w:val="both"/>
      </w:pPr>
      <w:r>
        <w:rPr>
          <w:rStyle w:val="FootnoteReference"/>
        </w:rPr>
        <w:footnoteRef/>
      </w:r>
      <w:r>
        <w:t xml:space="preserve"> I derive this from the complain</w:t>
      </w:r>
      <w:r w:rsidR="005F237D">
        <w:t xml:space="preserve">t filed with the ARB. The complaint was filed in 2019 and refers to </w:t>
      </w:r>
      <w:proofErr w:type="spellStart"/>
      <w:r w:rsidR="005F237D">
        <w:t>Protex</w:t>
      </w:r>
      <w:proofErr w:type="spellEnd"/>
      <w:r w:rsidR="005F237D">
        <w:t xml:space="preserve"> </w:t>
      </w:r>
      <w:r w:rsidR="00CC67D9">
        <w:t xml:space="preserve">having been in the market for “over 19 </w:t>
      </w:r>
      <w:r w:rsidR="00E538B3">
        <w:t>years”.</w:t>
      </w:r>
    </w:p>
  </w:footnote>
  <w:footnote w:id="5">
    <w:p w14:paraId="1EC4349F" w14:textId="6399E907" w:rsidR="00CE066A" w:rsidRDefault="00CE066A" w:rsidP="00557AB3">
      <w:pPr>
        <w:pStyle w:val="FootnoteText"/>
        <w:jc w:val="both"/>
      </w:pPr>
      <w:r>
        <w:rPr>
          <w:rStyle w:val="FootnoteReference"/>
        </w:rPr>
        <w:footnoteRef/>
      </w:r>
      <w:r>
        <w:t xml:space="preserve"> </w:t>
      </w:r>
      <w:r w:rsidR="001E067A">
        <w:t xml:space="preserve">This is the claim Colgate made in its appeal to the </w:t>
      </w:r>
      <w:r w:rsidR="00FC1CE3">
        <w:t>AAC. See record Case Lines 026-118.</w:t>
      </w:r>
    </w:p>
  </w:footnote>
  <w:footnote w:id="6">
    <w:p w14:paraId="003C179A" w14:textId="2F24567A" w:rsidR="00576986" w:rsidRDefault="00576986">
      <w:pPr>
        <w:pStyle w:val="FootnoteText"/>
      </w:pPr>
      <w:r>
        <w:rPr>
          <w:rStyle w:val="FootnoteReference"/>
        </w:rPr>
        <w:footnoteRef/>
      </w:r>
      <w:r>
        <w:t xml:space="preserve"> CCT 132/22 paragraph 22.</w:t>
      </w:r>
    </w:p>
  </w:footnote>
  <w:footnote w:id="7">
    <w:p w14:paraId="55DAC0FB" w14:textId="27B08E5E" w:rsidR="00576986" w:rsidRDefault="00576986">
      <w:pPr>
        <w:pStyle w:val="FootnoteText"/>
      </w:pPr>
      <w:r>
        <w:rPr>
          <w:rStyle w:val="FootnoteReference"/>
        </w:rPr>
        <w:footnoteRef/>
      </w:r>
      <w:r>
        <w:t xml:space="preserve"> What the SCA did was to excise those prayers that raised the constitutional issues</w:t>
      </w:r>
      <w:r w:rsidR="00557AB3">
        <w:t>.</w:t>
      </w:r>
      <w:r>
        <w:t xml:space="preserve"> </w:t>
      </w:r>
    </w:p>
  </w:footnote>
  <w:footnote w:id="8">
    <w:p w14:paraId="5CFA74D0" w14:textId="77777777" w:rsidR="00576986" w:rsidRDefault="00576986" w:rsidP="00726735">
      <w:pPr>
        <w:pStyle w:val="FootnoteText"/>
        <w:jc w:val="both"/>
      </w:pPr>
      <w:r>
        <w:rPr>
          <w:rStyle w:val="FootnoteReference"/>
        </w:rPr>
        <w:footnoteRef/>
      </w:r>
      <w:r>
        <w:t xml:space="preserve"> </w:t>
      </w:r>
      <w:r w:rsidRPr="00A045B7">
        <w:t>[2021] ZASCA 84 (17 June 2021) at paras 12 — 13</w:t>
      </w:r>
    </w:p>
  </w:footnote>
  <w:footnote w:id="9">
    <w:p w14:paraId="44FA81E8" w14:textId="3448F57C" w:rsidR="00576986" w:rsidRDefault="00576986" w:rsidP="00726735">
      <w:pPr>
        <w:pStyle w:val="FootnoteText"/>
        <w:jc w:val="both"/>
      </w:pPr>
      <w:r>
        <w:rPr>
          <w:rStyle w:val="FootnoteReference"/>
        </w:rPr>
        <w:footnoteRef/>
      </w:r>
      <w:r>
        <w:t xml:space="preserve"> </w:t>
      </w:r>
      <w:r w:rsidRPr="009F6A85">
        <w:t>[</w:t>
      </w:r>
      <w:r w:rsidR="00EB1449" w:rsidRPr="009F6A85">
        <w:t>2019] ZASCA</w:t>
      </w:r>
      <w:r w:rsidRPr="009F6A85">
        <w:t xml:space="preserve"> 117; [2019]4 All SA 668 (SCA).</w:t>
      </w:r>
    </w:p>
  </w:footnote>
  <w:footnote w:id="10">
    <w:p w14:paraId="7CFA3F8B" w14:textId="72FAE4C6" w:rsidR="00576986" w:rsidRDefault="00576986">
      <w:pPr>
        <w:pStyle w:val="FootnoteText"/>
      </w:pPr>
      <w:r>
        <w:rPr>
          <w:rStyle w:val="FootnoteReference"/>
        </w:rPr>
        <w:footnoteRef/>
      </w:r>
      <w:r>
        <w:t xml:space="preserve"> Supra, paragraph 20.</w:t>
      </w:r>
    </w:p>
  </w:footnote>
  <w:footnote w:id="11">
    <w:p w14:paraId="5FD4D05D" w14:textId="3269E243" w:rsidR="00576986" w:rsidRDefault="00576986" w:rsidP="00726735">
      <w:pPr>
        <w:pStyle w:val="FootnoteText"/>
        <w:jc w:val="both"/>
      </w:pPr>
      <w:r>
        <w:rPr>
          <w:rStyle w:val="FootnoteReference"/>
        </w:rPr>
        <w:footnoteRef/>
      </w:r>
      <w:r>
        <w:t xml:space="preserve"> The provision states</w:t>
      </w:r>
      <w:r w:rsidR="00EB1449">
        <w:t>:” Where</w:t>
      </w:r>
      <w:r w:rsidRPr="00236634">
        <w:rPr>
          <w:i/>
        </w:rPr>
        <w:t xml:space="preserve"> an equality of voting occurs the Chairman of the Final Appeal Committee will have a casting vote in addition to his/</w:t>
      </w:r>
      <w:r w:rsidR="00DE1B3E" w:rsidRPr="00236634">
        <w:rPr>
          <w:i/>
        </w:rPr>
        <w:t>her</w:t>
      </w:r>
      <w:r w:rsidRPr="00236634">
        <w:rPr>
          <w:i/>
        </w:rPr>
        <w:t xml:space="preserve"> deliberative vote.”</w:t>
      </w:r>
    </w:p>
  </w:footnote>
  <w:footnote w:id="12">
    <w:p w14:paraId="48B413A0" w14:textId="77777777" w:rsidR="00FA220F" w:rsidRDefault="00FA220F" w:rsidP="00726735">
      <w:pPr>
        <w:pStyle w:val="FootnoteText"/>
        <w:jc w:val="both"/>
      </w:pPr>
      <w:r>
        <w:rPr>
          <w:rStyle w:val="FootnoteReference"/>
        </w:rPr>
        <w:footnoteRef/>
      </w:r>
      <w:r>
        <w:t xml:space="preserve"> MOI section 1,1. </w:t>
      </w:r>
    </w:p>
  </w:footnote>
  <w:footnote w:id="13">
    <w:p w14:paraId="2972B4A3" w14:textId="584E7ECA" w:rsidR="00B2353F" w:rsidRDefault="00B2353F" w:rsidP="00726735">
      <w:pPr>
        <w:pStyle w:val="FootnoteText"/>
        <w:jc w:val="both"/>
      </w:pPr>
      <w:r>
        <w:rPr>
          <w:rStyle w:val="FootnoteReference"/>
        </w:rPr>
        <w:footnoteRef/>
      </w:r>
      <w:r>
        <w:t xml:space="preserve"> Hoexter and Penfold</w:t>
      </w:r>
      <w:r w:rsidRPr="00B2353F">
        <w:rPr>
          <w:i/>
        </w:rPr>
        <w:t>, “Administrative Law in South Africa</w:t>
      </w:r>
      <w:r w:rsidR="0049788D">
        <w:rPr>
          <w:i/>
        </w:rPr>
        <w:t>,”</w:t>
      </w:r>
      <w:r>
        <w:t xml:space="preserve"> Third edition page 65.</w:t>
      </w:r>
    </w:p>
  </w:footnote>
  <w:footnote w:id="14">
    <w:p w14:paraId="710ADFDE" w14:textId="2EC661ED" w:rsidR="003160EA" w:rsidRDefault="003160EA" w:rsidP="00726735">
      <w:pPr>
        <w:pStyle w:val="FootnoteText"/>
        <w:jc w:val="both"/>
      </w:pPr>
      <w:r>
        <w:rPr>
          <w:rStyle w:val="FootnoteReference"/>
        </w:rPr>
        <w:footnoteRef/>
      </w:r>
      <w:r>
        <w:t xml:space="preserve"> See </w:t>
      </w:r>
      <w:r w:rsidR="000748FB" w:rsidRPr="002A7612">
        <w:t>Hoexter</w:t>
      </w:r>
      <w:r w:rsidR="000748FB">
        <w:t xml:space="preserve"> </w:t>
      </w:r>
      <w:r w:rsidR="001B15C8">
        <w:t xml:space="preserve">and Penfold </w:t>
      </w:r>
      <w:r w:rsidR="000748FB">
        <w:t>op cit</w:t>
      </w:r>
      <w:r w:rsidR="006A0D09">
        <w:t>.</w:t>
      </w:r>
      <w:r w:rsidR="000748FB">
        <w:t xml:space="preserve"> who cite</w:t>
      </w:r>
      <w:r w:rsidR="004E2E80">
        <w:t xml:space="preserve"> Cameron JA in</w:t>
      </w:r>
      <w:r w:rsidR="000748FB">
        <w:t xml:space="preserve"> </w:t>
      </w:r>
      <w:r w:rsidR="0006308B" w:rsidRPr="00524CC5">
        <w:rPr>
          <w:i/>
          <w:iCs/>
        </w:rPr>
        <w:t>Rustenburg Platinum Mines Ltd v Commission for Conciliation, Mediation and Arbitration</w:t>
      </w:r>
      <w:r w:rsidR="0006308B" w:rsidRPr="0006308B">
        <w:t xml:space="preserve"> 2007 (1) SA 576 (SCA)</w:t>
      </w:r>
      <w:r w:rsidR="000748FB">
        <w:t xml:space="preserve"> </w:t>
      </w:r>
      <w:r w:rsidR="004E2E80">
        <w:t xml:space="preserve">who states in a review the focus </w:t>
      </w:r>
      <w:r w:rsidR="002548EE">
        <w:t>is on the way in which the decision maker came to the challenged conclusion</w:t>
      </w:r>
      <w:r w:rsidR="00494745">
        <w:t>.</w:t>
      </w:r>
      <w:r w:rsidR="00524CC5">
        <w:t xml:space="preserve"> (</w:t>
      </w:r>
      <w:r w:rsidR="00EB1449">
        <w:t>Paragraph</w:t>
      </w:r>
      <w:r w:rsidR="00524CC5">
        <w:t xml:space="preserve"> 310</w:t>
      </w:r>
      <w:r w:rsidR="0049788D">
        <w:t xml:space="preserve">. </w:t>
      </w:r>
      <w:r w:rsidR="00494745">
        <w:t xml:space="preserve">But the authors also state that in practice the distinction between a review and appeal </w:t>
      </w:r>
      <w:r w:rsidR="00615772" w:rsidRPr="00FA2B4F">
        <w:rPr>
          <w:i/>
          <w:iCs/>
        </w:rPr>
        <w:t>“… is not nearly as clear as it is made to seem.”</w:t>
      </w:r>
      <w:r w:rsidR="00615772">
        <w:t xml:space="preserve"> </w:t>
      </w:r>
      <w:r w:rsidR="002A7612">
        <w:t>(P</w:t>
      </w:r>
      <w:r w:rsidR="00615772">
        <w:t xml:space="preserve">ages </w:t>
      </w:r>
      <w:r w:rsidR="006A0D09">
        <w:t>137 to 139</w:t>
      </w:r>
      <w:r w:rsidR="002A7612">
        <w:t>)</w:t>
      </w:r>
      <w:r w:rsidR="006A0D09">
        <w:t xml:space="preserve"> </w:t>
      </w:r>
    </w:p>
  </w:footnote>
  <w:footnote w:id="15">
    <w:p w14:paraId="4B26D177" w14:textId="6560C2E1" w:rsidR="00B006C9" w:rsidRDefault="00B006C9" w:rsidP="00726735">
      <w:pPr>
        <w:pStyle w:val="FootnoteText"/>
        <w:jc w:val="both"/>
      </w:pPr>
      <w:r>
        <w:rPr>
          <w:rStyle w:val="FootnoteReference"/>
        </w:rPr>
        <w:footnoteRef/>
      </w:r>
      <w:r>
        <w:t xml:space="preserve"> </w:t>
      </w:r>
      <w:proofErr w:type="spellStart"/>
      <w:r w:rsidRPr="00B006C9">
        <w:rPr>
          <w:i/>
        </w:rPr>
        <w:t>Tellumat</w:t>
      </w:r>
      <w:proofErr w:type="spellEnd"/>
      <w:r w:rsidRPr="00B006C9">
        <w:rPr>
          <w:i/>
        </w:rPr>
        <w:t xml:space="preserve"> v Appeal Board, Financial Services Board </w:t>
      </w:r>
      <w:r w:rsidRPr="00B006C9">
        <w:t>[2016] 1 All SA 704 (SCA)</w:t>
      </w:r>
      <w:r>
        <w:t xml:space="preserve"> at paragraph 42.</w:t>
      </w:r>
    </w:p>
  </w:footnote>
  <w:footnote w:id="16">
    <w:p w14:paraId="2A84BF67" w14:textId="0CE60A14" w:rsidR="005A79CD" w:rsidRDefault="005A79CD" w:rsidP="00DD265A">
      <w:pPr>
        <w:pStyle w:val="FootnoteText"/>
        <w:jc w:val="both"/>
      </w:pPr>
      <w:r>
        <w:rPr>
          <w:rStyle w:val="FootnoteReference"/>
        </w:rPr>
        <w:footnoteRef/>
      </w:r>
      <w:r>
        <w:t xml:space="preserve"> See </w:t>
      </w:r>
      <w:r w:rsidRPr="00BD1604">
        <w:rPr>
          <w:i/>
        </w:rPr>
        <w:t xml:space="preserve">Batho Star </w:t>
      </w:r>
      <w:r w:rsidR="00BD1604" w:rsidRPr="00BD1604">
        <w:rPr>
          <w:i/>
        </w:rPr>
        <w:t>Fishing (Pty) Ltd v Minister of Environmental Affairs and Tourism and others</w:t>
      </w:r>
      <w:r w:rsidR="00BD1604" w:rsidRPr="00BD1604">
        <w:t xml:space="preserve"> 2004 (4) SA 490 (CC)</w:t>
      </w:r>
      <w:r w:rsidR="00BD1604">
        <w:t xml:space="preserve"> </w:t>
      </w:r>
      <w:r w:rsidR="00A52A46">
        <w:t xml:space="preserve">at </w:t>
      </w:r>
      <w:r w:rsidR="00BD1604">
        <w:t xml:space="preserve">paragraph </w:t>
      </w:r>
      <w:r w:rsidR="00A52A46">
        <w:t>46.</w:t>
      </w:r>
    </w:p>
  </w:footnote>
  <w:footnote w:id="17">
    <w:p w14:paraId="5DA07F92" w14:textId="375481D8" w:rsidR="00A03AC8" w:rsidRDefault="00A03AC8" w:rsidP="0015165F">
      <w:pPr>
        <w:pStyle w:val="FootnoteText"/>
        <w:jc w:val="both"/>
      </w:pPr>
      <w:r>
        <w:rPr>
          <w:rStyle w:val="FootnoteReference"/>
        </w:rPr>
        <w:footnoteRef/>
      </w:r>
      <w:r>
        <w:t xml:space="preserve"> </w:t>
      </w:r>
      <w:r w:rsidRPr="00A03AC8">
        <w:t xml:space="preserve"> He notes as</w:t>
      </w:r>
      <w:r>
        <w:t xml:space="preserve"> well as</w:t>
      </w:r>
      <w:r w:rsidRPr="00A03AC8">
        <w:t xml:space="preserve"> does Ngoepe</w:t>
      </w:r>
      <w:r>
        <w:t xml:space="preserve"> J,</w:t>
      </w:r>
      <w:r w:rsidRPr="00A03AC8">
        <w:t xml:space="preserve"> that the reason the Directorate did not find an infringement of the Code was that Co</w:t>
      </w:r>
      <w:r>
        <w:t>lgate</w:t>
      </w:r>
      <w:r w:rsidRPr="00A03AC8">
        <w:t xml:space="preserve"> had not pursued its case in 2011 when Bliss commenced with </w:t>
      </w:r>
      <w:proofErr w:type="spellStart"/>
      <w:r w:rsidRPr="00A03AC8">
        <w:t>Securex</w:t>
      </w:r>
      <w:proofErr w:type="spellEnd"/>
      <w:r w:rsidRPr="00A03AC8">
        <w:t xml:space="preserve">. </w:t>
      </w:r>
      <w:proofErr w:type="gramStart"/>
      <w:r w:rsidRPr="00A03AC8">
        <w:t>Since</w:t>
      </w:r>
      <w:proofErr w:type="gramEnd"/>
      <w:r w:rsidRPr="00A03AC8">
        <w:t xml:space="preserve"> nine years had elapsed since the</w:t>
      </w:r>
      <w:r>
        <w:t xml:space="preserve"> Bliss</w:t>
      </w:r>
      <w:r w:rsidRPr="00A03AC8">
        <w:t xml:space="preserve"> brand had entered the </w:t>
      </w:r>
      <w:r>
        <w:t xml:space="preserve">market the Directorate reasoned the </w:t>
      </w:r>
      <w:r w:rsidRPr="00A03AC8">
        <w:t>Code should not be used to protect Colgate</w:t>
      </w:r>
      <w:r w:rsidR="0049788D" w:rsidRPr="00A03AC8">
        <w:t xml:space="preserve">. </w:t>
      </w:r>
    </w:p>
  </w:footnote>
  <w:footnote w:id="18">
    <w:p w14:paraId="662D86BE" w14:textId="7CFFEAA3" w:rsidR="00AB0BE3" w:rsidRDefault="00AB0BE3" w:rsidP="008D2CD9">
      <w:pPr>
        <w:pStyle w:val="FootnoteText"/>
        <w:jc w:val="both"/>
      </w:pPr>
      <w:r>
        <w:rPr>
          <w:rStyle w:val="FootnoteReference"/>
        </w:rPr>
        <w:footnoteRef/>
      </w:r>
      <w:r>
        <w:t xml:space="preserve"> The Directorate had found according to the AAC decision that Colgate’s packaging was protectable and had been imitated by Bliss although it dismissed the complaint on the grounds that the likely confusion and actual confusion had not been shown.</w:t>
      </w:r>
    </w:p>
  </w:footnote>
  <w:footnote w:id="19">
    <w:p w14:paraId="22C1BA5D" w14:textId="5E5A919A" w:rsidR="00CC6B5B" w:rsidRDefault="00CC6B5B" w:rsidP="00A677F5">
      <w:pPr>
        <w:pStyle w:val="FootnoteText"/>
        <w:jc w:val="both"/>
      </w:pPr>
      <w:r>
        <w:rPr>
          <w:rStyle w:val="FootnoteReference"/>
        </w:rPr>
        <w:footnoteRef/>
      </w:r>
      <w:r>
        <w:t xml:space="preserve"> </w:t>
      </w:r>
      <w:r w:rsidRPr="00360A6F">
        <w:rPr>
          <w:i/>
          <w:iCs/>
        </w:rPr>
        <w:t>Hamata</w:t>
      </w:r>
      <w:r w:rsidR="001B3129" w:rsidRPr="00360A6F">
        <w:rPr>
          <w:i/>
          <w:iCs/>
        </w:rPr>
        <w:t xml:space="preserve"> and Another</w:t>
      </w:r>
      <w:r w:rsidRPr="00360A6F">
        <w:rPr>
          <w:i/>
          <w:iCs/>
        </w:rPr>
        <w:t xml:space="preserve"> v Chairperson</w:t>
      </w:r>
      <w:r w:rsidR="00B63AAD" w:rsidRPr="00360A6F">
        <w:rPr>
          <w:i/>
          <w:iCs/>
        </w:rPr>
        <w:t>, Peninsula Technikon Internal Disciplinary Committee</w:t>
      </w:r>
      <w:r w:rsidR="00B63AAD">
        <w:t xml:space="preserve"> </w:t>
      </w:r>
      <w:r w:rsidR="009E0819">
        <w:t xml:space="preserve">2000(4) SA 621 (C) at </w:t>
      </w:r>
      <w:r w:rsidR="00DA659D">
        <w:t>paragraph 39</w:t>
      </w:r>
      <w:r w:rsidR="00593258">
        <w:t>.</w:t>
      </w:r>
    </w:p>
  </w:footnote>
  <w:footnote w:id="20">
    <w:p w14:paraId="7DEE47B7" w14:textId="1B685410" w:rsidR="00E1504A" w:rsidRPr="00DC09B2" w:rsidRDefault="00E1504A" w:rsidP="00A677F5">
      <w:pPr>
        <w:pStyle w:val="FootnoteText"/>
        <w:jc w:val="both"/>
        <w:rPr>
          <w:i/>
          <w:iCs/>
        </w:rPr>
      </w:pPr>
      <w:r>
        <w:rPr>
          <w:rStyle w:val="FootnoteReference"/>
        </w:rPr>
        <w:footnoteRef/>
      </w:r>
      <w:r>
        <w:t xml:space="preserve"> </w:t>
      </w:r>
      <w:r w:rsidRPr="00D20FC6">
        <w:rPr>
          <w:bCs/>
        </w:rPr>
        <w:t>202</w:t>
      </w:r>
      <w:r w:rsidR="007645FE">
        <w:rPr>
          <w:bCs/>
        </w:rPr>
        <w:t>4</w:t>
      </w:r>
      <w:r w:rsidRPr="00D20FC6">
        <w:rPr>
          <w:bCs/>
        </w:rPr>
        <w:t xml:space="preserve"> </w:t>
      </w:r>
      <w:r w:rsidR="0048055D">
        <w:rPr>
          <w:bCs/>
        </w:rPr>
        <w:t xml:space="preserve">(1) SA  567 </w:t>
      </w:r>
      <w:r w:rsidR="00094930">
        <w:rPr>
          <w:bCs/>
        </w:rPr>
        <w:t xml:space="preserve">(CC) </w:t>
      </w:r>
      <w:r w:rsidRPr="00E1504A">
        <w:rPr>
          <w:bCs/>
        </w:rPr>
        <w:t xml:space="preserve">at para 113, citing </w:t>
      </w:r>
      <w:r w:rsidRPr="00DC09B2">
        <w:rPr>
          <w:bCs/>
          <w:i/>
          <w:iCs/>
        </w:rPr>
        <w:t>Electronic Media Network Ltd v e.tv (Pty) Ltd 2017 (9) BCLR 1108 (CC</w:t>
      </w:r>
      <w:r w:rsidRPr="00DC09B2">
        <w:rPr>
          <w:bCs/>
        </w:rPr>
        <w:t>) at para 6</w:t>
      </w:r>
      <w:r w:rsidRPr="00DC09B2">
        <w:rPr>
          <w:bCs/>
          <w:i/>
          <w:iCs/>
        </w:rPr>
        <w:t>.</w:t>
      </w:r>
    </w:p>
  </w:footnote>
  <w:footnote w:id="21">
    <w:p w14:paraId="38BF8664" w14:textId="6F520123" w:rsidR="008142C4" w:rsidRDefault="008142C4" w:rsidP="00A677F5">
      <w:pPr>
        <w:pStyle w:val="FootnoteText"/>
        <w:jc w:val="both"/>
      </w:pPr>
      <w:r>
        <w:rPr>
          <w:rStyle w:val="FootnoteReference"/>
        </w:rPr>
        <w:footnoteRef/>
      </w:r>
      <w:r>
        <w:t xml:space="preserve"> </w:t>
      </w:r>
      <w:r w:rsidRPr="008142C4">
        <w:rPr>
          <w:i/>
          <w:iCs/>
        </w:rPr>
        <w:t>Nu Africa</w:t>
      </w:r>
      <w:r>
        <w:t>, supra, paragraph 114.</w:t>
      </w:r>
    </w:p>
  </w:footnote>
  <w:footnote w:id="22">
    <w:p w14:paraId="58A329D9" w14:textId="23FD9469" w:rsidR="002C0D0D" w:rsidRDefault="002C0D0D" w:rsidP="00A677F5">
      <w:pPr>
        <w:pStyle w:val="FootnoteText"/>
        <w:jc w:val="both"/>
      </w:pPr>
      <w:r>
        <w:rPr>
          <w:rStyle w:val="FootnoteReference"/>
        </w:rPr>
        <w:footnoteRef/>
      </w:r>
      <w:r>
        <w:t xml:space="preserve"> </w:t>
      </w:r>
      <w:r w:rsidR="00E55C16">
        <w:t>Supra, paragraph 18.</w:t>
      </w:r>
    </w:p>
  </w:footnote>
  <w:footnote w:id="23">
    <w:p w14:paraId="152DC897" w14:textId="07C6B5FF" w:rsidR="00775A49" w:rsidRDefault="00775A49" w:rsidP="00A677F5">
      <w:pPr>
        <w:pStyle w:val="FootnoteText"/>
        <w:jc w:val="both"/>
      </w:pPr>
      <w:r>
        <w:rPr>
          <w:rStyle w:val="FootnoteReference"/>
        </w:rPr>
        <w:footnoteRef/>
      </w:r>
      <w:r>
        <w:t xml:space="preserve"> </w:t>
      </w:r>
      <w:r w:rsidRPr="00A17022">
        <w:rPr>
          <w:i/>
          <w:iCs/>
        </w:rPr>
        <w:t>Bato Star Fishing (Pty) Ltd v Minister of Environmental Affairs and Tourism and others</w:t>
      </w:r>
      <w:r w:rsidRPr="00775A49">
        <w:t xml:space="preserve"> 2004 (4) SA 490 (CC) at para 46</w:t>
      </w:r>
      <w:r w:rsidR="00A17022">
        <w:t>;</w:t>
      </w:r>
      <w:r w:rsidRPr="00775A49">
        <w:t xml:space="preserve"> </w:t>
      </w:r>
      <w:proofErr w:type="spellStart"/>
      <w:r w:rsidRPr="00A17022">
        <w:rPr>
          <w:i/>
          <w:iCs/>
        </w:rPr>
        <w:t>Tellumat</w:t>
      </w:r>
      <w:proofErr w:type="spellEnd"/>
      <w:r w:rsidRPr="00A17022">
        <w:rPr>
          <w:i/>
          <w:iCs/>
        </w:rPr>
        <w:t xml:space="preserve"> (Pty) Ltd v Appeal Board of the Financial Services Board and others</w:t>
      </w:r>
      <w:r w:rsidRPr="00775A49">
        <w:t xml:space="preserve"> [2016] 1 All SA 704 (SCA) at para 42</w:t>
      </w:r>
    </w:p>
  </w:footnote>
  <w:footnote w:id="24">
    <w:p w14:paraId="4E9AA190" w14:textId="79761854" w:rsidR="00775A49" w:rsidRDefault="00775A49" w:rsidP="00F639A1">
      <w:pPr>
        <w:pStyle w:val="FootnoteText"/>
        <w:jc w:val="both"/>
      </w:pPr>
      <w:r w:rsidRPr="00775A49">
        <w:rPr>
          <w:rStyle w:val="FootnoteReference"/>
          <w:i/>
          <w:iCs/>
        </w:rPr>
        <w:footnoteRef/>
      </w:r>
      <w:r w:rsidRPr="00775A49">
        <w:rPr>
          <w:i/>
          <w:iCs/>
        </w:rPr>
        <w:t xml:space="preserve"> R v Panel on Takeovers and Mergers, Ex </w:t>
      </w:r>
      <w:proofErr w:type="spellStart"/>
      <w:r w:rsidRPr="00775A49">
        <w:rPr>
          <w:i/>
          <w:iCs/>
        </w:rPr>
        <w:t>parte</w:t>
      </w:r>
      <w:proofErr w:type="spellEnd"/>
      <w:r w:rsidRPr="00775A49">
        <w:rPr>
          <w:i/>
          <w:iCs/>
        </w:rPr>
        <w:t xml:space="preserve"> </w:t>
      </w:r>
      <w:proofErr w:type="spellStart"/>
      <w:r w:rsidRPr="00775A49">
        <w:rPr>
          <w:i/>
          <w:iCs/>
        </w:rPr>
        <w:t>Datafin</w:t>
      </w:r>
      <w:proofErr w:type="spellEnd"/>
      <w:r w:rsidRPr="00775A49">
        <w:rPr>
          <w:i/>
          <w:iCs/>
        </w:rPr>
        <w:t xml:space="preserve"> plc and another (Norton </w:t>
      </w:r>
      <w:proofErr w:type="spellStart"/>
      <w:r w:rsidRPr="00775A49">
        <w:rPr>
          <w:i/>
          <w:iCs/>
        </w:rPr>
        <w:t>Opax</w:t>
      </w:r>
      <w:proofErr w:type="spellEnd"/>
      <w:r w:rsidRPr="00775A49">
        <w:rPr>
          <w:i/>
          <w:iCs/>
        </w:rPr>
        <w:t xml:space="preserve"> plc and another intervening) </w:t>
      </w:r>
      <w:r w:rsidRPr="00775A49">
        <w:t>[1987] 1 All ER 564 at 567</w:t>
      </w:r>
      <w:r>
        <w:t xml:space="preserve"> quoted by the SCA in </w:t>
      </w:r>
      <w:r w:rsidRPr="00775A49">
        <w:rPr>
          <w:i/>
          <w:iCs/>
        </w:rPr>
        <w:t xml:space="preserve">Advertising Regulatory Board NPC and others v Bliss Brands (Pty) Ltd </w:t>
      </w:r>
      <w:r>
        <w:t>[2022] JOL 52815 (SCA) paragraph 43. The SCA held that</w:t>
      </w:r>
      <w:r w:rsidR="00DB3376">
        <w:t>:</w:t>
      </w:r>
      <w:r>
        <w:t xml:space="preserve"> “</w:t>
      </w:r>
      <w:r w:rsidRPr="00775A49">
        <w:rPr>
          <w:rFonts w:ascii="Verdana" w:hAnsi="Verdana"/>
          <w:i/>
          <w:iCs/>
          <w:color w:val="000000"/>
          <w:sz w:val="18"/>
          <w:szCs w:val="18"/>
        </w:rPr>
        <w:t>The right to self-regulation includes the right of associations to adopt rules and standards to regulate their conduct in their dealings with the outside world.”</w:t>
      </w:r>
    </w:p>
  </w:footnote>
  <w:footnote w:id="25">
    <w:p w14:paraId="5895F33B" w14:textId="30BF102B" w:rsidR="00DB3F5B" w:rsidRDefault="00DB3F5B" w:rsidP="006E1825">
      <w:pPr>
        <w:pStyle w:val="FootnoteText"/>
        <w:jc w:val="both"/>
      </w:pPr>
      <w:r>
        <w:rPr>
          <w:rStyle w:val="FootnoteReference"/>
        </w:rPr>
        <w:footnoteRef/>
      </w:r>
      <w:r>
        <w:t xml:space="preserve"> </w:t>
      </w:r>
      <w:r w:rsidR="00C763DF" w:rsidRPr="00C763DF">
        <w:rPr>
          <w:i/>
          <w:iCs/>
        </w:rPr>
        <w:t xml:space="preserve">Cipla </w:t>
      </w:r>
      <w:proofErr w:type="spellStart"/>
      <w:r w:rsidR="00C763DF" w:rsidRPr="00C763DF">
        <w:rPr>
          <w:i/>
          <w:iCs/>
        </w:rPr>
        <w:t>Agrimed</w:t>
      </w:r>
      <w:proofErr w:type="spellEnd"/>
      <w:r w:rsidR="00C763DF" w:rsidRPr="00C763DF">
        <w:rPr>
          <w:i/>
          <w:iCs/>
        </w:rPr>
        <w:t xml:space="preserve"> (Pty) Ltd v Merck Sharp Dohme Corporation and Others</w:t>
      </w:r>
      <w:r w:rsidR="00C763DF" w:rsidRPr="00C763DF">
        <w:t xml:space="preserve"> 2018 (6) SA 440 (SCA)</w:t>
      </w:r>
      <w:r w:rsidR="001C5137">
        <w:t>,</w:t>
      </w:r>
      <w:r w:rsidR="00C763DF" w:rsidRPr="00C763DF">
        <w:t xml:space="preserve"> at para</w:t>
      </w:r>
      <w:r w:rsidR="00C763DF">
        <w:t>graph</w:t>
      </w:r>
      <w:r w:rsidR="00C763DF" w:rsidRPr="00C763DF">
        <w:t xml:space="preserve"> 45.</w:t>
      </w:r>
    </w:p>
  </w:footnote>
  <w:footnote w:id="26">
    <w:p w14:paraId="3FDB770C" w14:textId="1F41865F" w:rsidR="00D40310" w:rsidRDefault="00D40310">
      <w:pPr>
        <w:pStyle w:val="FootnoteText"/>
      </w:pPr>
      <w:r>
        <w:rPr>
          <w:rStyle w:val="FootnoteReference"/>
        </w:rPr>
        <w:footnoteRef/>
      </w:r>
      <w:r>
        <w:t xml:space="preserve"> </w:t>
      </w:r>
      <w:r w:rsidR="00A0705C" w:rsidRPr="001C5137">
        <w:rPr>
          <w:i/>
          <w:iCs/>
        </w:rPr>
        <w:t>MV Snow Delta Serve Ship Ltd v Discount Tonnage Ltd</w:t>
      </w:r>
      <w:r w:rsidR="00A0705C" w:rsidRPr="00A0705C">
        <w:t xml:space="preserve"> 2000 (4) SA 746 (SCA)</w:t>
      </w:r>
      <w:r w:rsidR="001C5137">
        <w:t>,</w:t>
      </w:r>
      <w:r w:rsidR="00A0705C" w:rsidRPr="00A0705C">
        <w:t xml:space="preserve"> at para</w:t>
      </w:r>
      <w:r w:rsidR="001C5137">
        <w:t>graph</w:t>
      </w:r>
      <w:r w:rsidR="00A0705C" w:rsidRPr="00A0705C">
        <w:t xml:space="preserv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937447"/>
      <w:docPartObj>
        <w:docPartGallery w:val="Page Numbers (Top of Page)"/>
        <w:docPartUnique/>
      </w:docPartObj>
    </w:sdtPr>
    <w:sdtEndPr>
      <w:rPr>
        <w:noProof/>
      </w:rPr>
    </w:sdtEndPr>
    <w:sdtContent>
      <w:p w14:paraId="3B3010C1" w14:textId="32E2818D" w:rsidR="0044113A" w:rsidRDefault="0044113A">
        <w:pPr>
          <w:pStyle w:val="Header"/>
          <w:jc w:val="right"/>
        </w:pPr>
        <w:r>
          <w:fldChar w:fldCharType="begin"/>
        </w:r>
        <w:r>
          <w:instrText xml:space="preserve"> PAGE   \* MERGEFORMAT </w:instrText>
        </w:r>
        <w:r>
          <w:fldChar w:fldCharType="separate"/>
        </w:r>
        <w:r w:rsidR="00EB0FB1">
          <w:rPr>
            <w:noProof/>
          </w:rPr>
          <w:t>35</w:t>
        </w:r>
        <w:r>
          <w:rPr>
            <w:noProof/>
          </w:rPr>
          <w:fldChar w:fldCharType="end"/>
        </w:r>
      </w:p>
    </w:sdtContent>
  </w:sdt>
  <w:p w14:paraId="54C29582" w14:textId="77777777" w:rsidR="0044113A" w:rsidRDefault="00441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4B6"/>
    <w:multiLevelType w:val="hybridMultilevel"/>
    <w:tmpl w:val="DE4CB868"/>
    <w:lvl w:ilvl="0" w:tplc="E932C9B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4B3552"/>
    <w:multiLevelType w:val="hybridMultilevel"/>
    <w:tmpl w:val="88849EDC"/>
    <w:lvl w:ilvl="0" w:tplc="E932C9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24642FE"/>
    <w:multiLevelType w:val="hybridMultilevel"/>
    <w:tmpl w:val="164A55E2"/>
    <w:lvl w:ilvl="0" w:tplc="A7084782">
      <w:start w:val="1"/>
      <w:numFmt w:val="lowerRoman"/>
      <w:lvlText w:val="(%1)"/>
      <w:lvlJc w:val="left"/>
      <w:pPr>
        <w:ind w:left="1440" w:hanging="720"/>
      </w:pPr>
      <w:rPr>
        <w:rFonts w:hint="default"/>
        <w:b/>
        <w:i w:val="0"/>
      </w:rPr>
    </w:lvl>
    <w:lvl w:ilvl="1" w:tplc="1790480C">
      <w:start w:val="1"/>
      <w:numFmt w:val="lowerLetter"/>
      <w:lvlText w:val="%2."/>
      <w:lvlJc w:val="left"/>
      <w:pPr>
        <w:ind w:left="1069" w:hanging="360"/>
      </w:pPr>
      <w:rPr>
        <w:b/>
        <w:bCs/>
        <w:i w:val="0"/>
        <w:iCs w:val="0"/>
      </w:rPr>
    </w:lvl>
    <w:lvl w:ilvl="2" w:tplc="5CE66A00">
      <w:start w:val="2"/>
      <w:numFmt w:val="lowerLetter"/>
      <w:lvlText w:val="(%3)"/>
      <w:lvlJc w:val="left"/>
      <w:pPr>
        <w:ind w:left="2700" w:hanging="360"/>
      </w:pPr>
      <w:rPr>
        <w:rFonts w:hint="default"/>
        <w:b/>
        <w:i w:val="0"/>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9240337"/>
    <w:multiLevelType w:val="hybridMultilevel"/>
    <w:tmpl w:val="252EA156"/>
    <w:lvl w:ilvl="0" w:tplc="B8A4DAD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9E0D32"/>
    <w:multiLevelType w:val="hybridMultilevel"/>
    <w:tmpl w:val="CCA8DDBE"/>
    <w:lvl w:ilvl="0" w:tplc="E932C9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5C20594"/>
    <w:multiLevelType w:val="hybridMultilevel"/>
    <w:tmpl w:val="5FFA838C"/>
    <w:lvl w:ilvl="0" w:tplc="E932C9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8251A38"/>
    <w:multiLevelType w:val="hybridMultilevel"/>
    <w:tmpl w:val="FBDA5D94"/>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AD82DDF"/>
    <w:multiLevelType w:val="hybridMultilevel"/>
    <w:tmpl w:val="DF601B56"/>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C473C0C"/>
    <w:multiLevelType w:val="hybridMultilevel"/>
    <w:tmpl w:val="8E8AEC90"/>
    <w:lvl w:ilvl="0" w:tplc="FED848E8">
      <w:start w:val="1"/>
      <w:numFmt w:val="decimal"/>
      <w:lvlText w:val="[%1]"/>
      <w:lvlJc w:val="left"/>
      <w:pPr>
        <w:ind w:left="1069" w:hanging="360"/>
      </w:pPr>
      <w:rPr>
        <w:rFonts w:hint="default"/>
        <w:i w:val="0"/>
        <w:iCs w:val="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536775608">
    <w:abstractNumId w:val="4"/>
  </w:num>
  <w:num w:numId="2" w16cid:durableId="740173779">
    <w:abstractNumId w:val="8"/>
  </w:num>
  <w:num w:numId="3" w16cid:durableId="1715615833">
    <w:abstractNumId w:val="0"/>
  </w:num>
  <w:num w:numId="4" w16cid:durableId="1678381543">
    <w:abstractNumId w:val="6"/>
  </w:num>
  <w:num w:numId="5" w16cid:durableId="769664784">
    <w:abstractNumId w:val="7"/>
  </w:num>
  <w:num w:numId="6" w16cid:durableId="1196112173">
    <w:abstractNumId w:val="2"/>
  </w:num>
  <w:num w:numId="7" w16cid:durableId="1803881555">
    <w:abstractNumId w:val="3"/>
  </w:num>
  <w:num w:numId="8" w16cid:durableId="2001883812">
    <w:abstractNumId w:val="5"/>
  </w:num>
  <w:num w:numId="9" w16cid:durableId="1352296773">
    <w:abstractNumId w:val="9"/>
  </w:num>
  <w:num w:numId="10" w16cid:durableId="83561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tzAxNrIwsDA1MzNT0lEKTi0uzszPAykwrAUAz3H5pywAAAA="/>
  </w:docVars>
  <w:rsids>
    <w:rsidRoot w:val="00257830"/>
    <w:rsid w:val="000013DF"/>
    <w:rsid w:val="000026DB"/>
    <w:rsid w:val="00004072"/>
    <w:rsid w:val="00004F1D"/>
    <w:rsid w:val="000053E3"/>
    <w:rsid w:val="00006A6C"/>
    <w:rsid w:val="0001660B"/>
    <w:rsid w:val="00017260"/>
    <w:rsid w:val="00020B6A"/>
    <w:rsid w:val="00023EDE"/>
    <w:rsid w:val="0003217C"/>
    <w:rsid w:val="000401B4"/>
    <w:rsid w:val="00047670"/>
    <w:rsid w:val="00047783"/>
    <w:rsid w:val="000506FB"/>
    <w:rsid w:val="00052FBA"/>
    <w:rsid w:val="000554F1"/>
    <w:rsid w:val="00056E25"/>
    <w:rsid w:val="00060EE9"/>
    <w:rsid w:val="00063057"/>
    <w:rsid w:val="0006308B"/>
    <w:rsid w:val="000635F5"/>
    <w:rsid w:val="000733DB"/>
    <w:rsid w:val="000748FB"/>
    <w:rsid w:val="0007574B"/>
    <w:rsid w:val="0008194D"/>
    <w:rsid w:val="00084BAF"/>
    <w:rsid w:val="00090EDE"/>
    <w:rsid w:val="00093336"/>
    <w:rsid w:val="00093BB5"/>
    <w:rsid w:val="00094930"/>
    <w:rsid w:val="00094BFA"/>
    <w:rsid w:val="000A1292"/>
    <w:rsid w:val="000A1A1A"/>
    <w:rsid w:val="000A707E"/>
    <w:rsid w:val="000A7882"/>
    <w:rsid w:val="000A7BE6"/>
    <w:rsid w:val="000B020E"/>
    <w:rsid w:val="000B0FE8"/>
    <w:rsid w:val="000C0D50"/>
    <w:rsid w:val="000C140C"/>
    <w:rsid w:val="000C68B0"/>
    <w:rsid w:val="000C6C4E"/>
    <w:rsid w:val="000C7ACC"/>
    <w:rsid w:val="000D091D"/>
    <w:rsid w:val="000D67E9"/>
    <w:rsid w:val="000E46AA"/>
    <w:rsid w:val="000E5749"/>
    <w:rsid w:val="000E693E"/>
    <w:rsid w:val="000F6B15"/>
    <w:rsid w:val="001053C5"/>
    <w:rsid w:val="00110FED"/>
    <w:rsid w:val="001176E3"/>
    <w:rsid w:val="001230BD"/>
    <w:rsid w:val="00125438"/>
    <w:rsid w:val="001261C8"/>
    <w:rsid w:val="0012775E"/>
    <w:rsid w:val="00134A88"/>
    <w:rsid w:val="0013571B"/>
    <w:rsid w:val="00136F5C"/>
    <w:rsid w:val="00137CC2"/>
    <w:rsid w:val="00141F2B"/>
    <w:rsid w:val="0014351F"/>
    <w:rsid w:val="00145969"/>
    <w:rsid w:val="00147707"/>
    <w:rsid w:val="0015165F"/>
    <w:rsid w:val="001537AF"/>
    <w:rsid w:val="00154800"/>
    <w:rsid w:val="00155D8B"/>
    <w:rsid w:val="00161503"/>
    <w:rsid w:val="00171DC6"/>
    <w:rsid w:val="001770C6"/>
    <w:rsid w:val="00190B87"/>
    <w:rsid w:val="001911B5"/>
    <w:rsid w:val="0019529E"/>
    <w:rsid w:val="001953B5"/>
    <w:rsid w:val="001A0E35"/>
    <w:rsid w:val="001A4F16"/>
    <w:rsid w:val="001B05C7"/>
    <w:rsid w:val="001B15C8"/>
    <w:rsid w:val="001B3129"/>
    <w:rsid w:val="001B39AA"/>
    <w:rsid w:val="001C309A"/>
    <w:rsid w:val="001C3CC5"/>
    <w:rsid w:val="001C5137"/>
    <w:rsid w:val="001D0FA8"/>
    <w:rsid w:val="001D28EB"/>
    <w:rsid w:val="001D37A4"/>
    <w:rsid w:val="001D3DDC"/>
    <w:rsid w:val="001D4F75"/>
    <w:rsid w:val="001D6DBE"/>
    <w:rsid w:val="001E0591"/>
    <w:rsid w:val="001E067A"/>
    <w:rsid w:val="001E1EE8"/>
    <w:rsid w:val="001E5A58"/>
    <w:rsid w:val="001F4257"/>
    <w:rsid w:val="001F6DFD"/>
    <w:rsid w:val="00201072"/>
    <w:rsid w:val="00203390"/>
    <w:rsid w:val="002038EE"/>
    <w:rsid w:val="00205E2D"/>
    <w:rsid w:val="00206658"/>
    <w:rsid w:val="00213B18"/>
    <w:rsid w:val="00214370"/>
    <w:rsid w:val="0022147C"/>
    <w:rsid w:val="00221ACB"/>
    <w:rsid w:val="0022673D"/>
    <w:rsid w:val="002276B1"/>
    <w:rsid w:val="00231CE6"/>
    <w:rsid w:val="002328FD"/>
    <w:rsid w:val="00234328"/>
    <w:rsid w:val="00236634"/>
    <w:rsid w:val="00241D50"/>
    <w:rsid w:val="00243AC3"/>
    <w:rsid w:val="00247E72"/>
    <w:rsid w:val="00251885"/>
    <w:rsid w:val="00253DB7"/>
    <w:rsid w:val="00254825"/>
    <w:rsid w:val="002548EE"/>
    <w:rsid w:val="00254FA0"/>
    <w:rsid w:val="002566B0"/>
    <w:rsid w:val="00257830"/>
    <w:rsid w:val="002600C9"/>
    <w:rsid w:val="00261325"/>
    <w:rsid w:val="00265DF0"/>
    <w:rsid w:val="002676C7"/>
    <w:rsid w:val="00271575"/>
    <w:rsid w:val="00276376"/>
    <w:rsid w:val="00280DB4"/>
    <w:rsid w:val="00283E20"/>
    <w:rsid w:val="002A0C7B"/>
    <w:rsid w:val="002A0CAA"/>
    <w:rsid w:val="002A3066"/>
    <w:rsid w:val="002A5A1D"/>
    <w:rsid w:val="002A7612"/>
    <w:rsid w:val="002B14C3"/>
    <w:rsid w:val="002B17BD"/>
    <w:rsid w:val="002B653A"/>
    <w:rsid w:val="002C002A"/>
    <w:rsid w:val="002C0D0D"/>
    <w:rsid w:val="002C2DE1"/>
    <w:rsid w:val="002C3BE9"/>
    <w:rsid w:val="002D3642"/>
    <w:rsid w:val="002D36EE"/>
    <w:rsid w:val="002D442A"/>
    <w:rsid w:val="002E227F"/>
    <w:rsid w:val="002E22D5"/>
    <w:rsid w:val="002E2F0C"/>
    <w:rsid w:val="002F0C89"/>
    <w:rsid w:val="002F19ED"/>
    <w:rsid w:val="002F39C8"/>
    <w:rsid w:val="002F4284"/>
    <w:rsid w:val="002F6BBC"/>
    <w:rsid w:val="0030044D"/>
    <w:rsid w:val="00301742"/>
    <w:rsid w:val="00303EE0"/>
    <w:rsid w:val="0030502B"/>
    <w:rsid w:val="003057F1"/>
    <w:rsid w:val="003160EA"/>
    <w:rsid w:val="00322981"/>
    <w:rsid w:val="00324009"/>
    <w:rsid w:val="00331E7F"/>
    <w:rsid w:val="00332BDC"/>
    <w:rsid w:val="0033409E"/>
    <w:rsid w:val="00334E85"/>
    <w:rsid w:val="003353F4"/>
    <w:rsid w:val="00337C25"/>
    <w:rsid w:val="00342976"/>
    <w:rsid w:val="003438C9"/>
    <w:rsid w:val="003443AA"/>
    <w:rsid w:val="00345717"/>
    <w:rsid w:val="0035537D"/>
    <w:rsid w:val="00355B11"/>
    <w:rsid w:val="003574D3"/>
    <w:rsid w:val="003605F8"/>
    <w:rsid w:val="00360A6F"/>
    <w:rsid w:val="00361863"/>
    <w:rsid w:val="003635CA"/>
    <w:rsid w:val="0036669E"/>
    <w:rsid w:val="003704DF"/>
    <w:rsid w:val="00370B70"/>
    <w:rsid w:val="00371C21"/>
    <w:rsid w:val="0037496E"/>
    <w:rsid w:val="00376BE5"/>
    <w:rsid w:val="0039452A"/>
    <w:rsid w:val="0039503E"/>
    <w:rsid w:val="003A05FF"/>
    <w:rsid w:val="003A2BF7"/>
    <w:rsid w:val="003A4BA2"/>
    <w:rsid w:val="003A7788"/>
    <w:rsid w:val="003B10A0"/>
    <w:rsid w:val="003B2878"/>
    <w:rsid w:val="003B2BD8"/>
    <w:rsid w:val="003B2F94"/>
    <w:rsid w:val="003C09C9"/>
    <w:rsid w:val="003C7FB9"/>
    <w:rsid w:val="003D7C73"/>
    <w:rsid w:val="003E18E2"/>
    <w:rsid w:val="003E22EF"/>
    <w:rsid w:val="003E23FA"/>
    <w:rsid w:val="003F1229"/>
    <w:rsid w:val="003F455F"/>
    <w:rsid w:val="003F6976"/>
    <w:rsid w:val="00400993"/>
    <w:rsid w:val="00400DF0"/>
    <w:rsid w:val="00413DCD"/>
    <w:rsid w:val="00417614"/>
    <w:rsid w:val="00424F86"/>
    <w:rsid w:val="00433FE1"/>
    <w:rsid w:val="00434756"/>
    <w:rsid w:val="00435128"/>
    <w:rsid w:val="00436F71"/>
    <w:rsid w:val="004407E5"/>
    <w:rsid w:val="00440C41"/>
    <w:rsid w:val="0044113A"/>
    <w:rsid w:val="00441970"/>
    <w:rsid w:val="004426C8"/>
    <w:rsid w:val="004429A5"/>
    <w:rsid w:val="00444381"/>
    <w:rsid w:val="004445A6"/>
    <w:rsid w:val="00444C0C"/>
    <w:rsid w:val="00446A18"/>
    <w:rsid w:val="00446FC4"/>
    <w:rsid w:val="00447495"/>
    <w:rsid w:val="00450553"/>
    <w:rsid w:val="0045156F"/>
    <w:rsid w:val="00451CF9"/>
    <w:rsid w:val="00455E4A"/>
    <w:rsid w:val="00455FE3"/>
    <w:rsid w:val="00461080"/>
    <w:rsid w:val="004618D8"/>
    <w:rsid w:val="004639DA"/>
    <w:rsid w:val="00465634"/>
    <w:rsid w:val="004658D7"/>
    <w:rsid w:val="0046703F"/>
    <w:rsid w:val="0046739A"/>
    <w:rsid w:val="004714E9"/>
    <w:rsid w:val="00471BA9"/>
    <w:rsid w:val="004730AF"/>
    <w:rsid w:val="00473A6D"/>
    <w:rsid w:val="0048055D"/>
    <w:rsid w:val="004820CA"/>
    <w:rsid w:val="00490BA3"/>
    <w:rsid w:val="00491883"/>
    <w:rsid w:val="00492B2D"/>
    <w:rsid w:val="00494745"/>
    <w:rsid w:val="00496DAA"/>
    <w:rsid w:val="0049788D"/>
    <w:rsid w:val="004A1397"/>
    <w:rsid w:val="004B1E0B"/>
    <w:rsid w:val="004B4321"/>
    <w:rsid w:val="004B74E7"/>
    <w:rsid w:val="004C205B"/>
    <w:rsid w:val="004C325E"/>
    <w:rsid w:val="004D1190"/>
    <w:rsid w:val="004D4B30"/>
    <w:rsid w:val="004D6F89"/>
    <w:rsid w:val="004E153B"/>
    <w:rsid w:val="004E2E80"/>
    <w:rsid w:val="004F014B"/>
    <w:rsid w:val="004F07F7"/>
    <w:rsid w:val="004F21F5"/>
    <w:rsid w:val="004F7C0E"/>
    <w:rsid w:val="00500894"/>
    <w:rsid w:val="00503468"/>
    <w:rsid w:val="00503501"/>
    <w:rsid w:val="00504A7F"/>
    <w:rsid w:val="00507963"/>
    <w:rsid w:val="005079C9"/>
    <w:rsid w:val="00512FA2"/>
    <w:rsid w:val="0051329D"/>
    <w:rsid w:val="00514AF0"/>
    <w:rsid w:val="005155A1"/>
    <w:rsid w:val="00520E76"/>
    <w:rsid w:val="00524CC5"/>
    <w:rsid w:val="00526D84"/>
    <w:rsid w:val="005276CA"/>
    <w:rsid w:val="00531816"/>
    <w:rsid w:val="00533B39"/>
    <w:rsid w:val="005343AD"/>
    <w:rsid w:val="00535A94"/>
    <w:rsid w:val="005375D6"/>
    <w:rsid w:val="00540BF0"/>
    <w:rsid w:val="00542631"/>
    <w:rsid w:val="00557AB3"/>
    <w:rsid w:val="00560C1F"/>
    <w:rsid w:val="0056370A"/>
    <w:rsid w:val="00576986"/>
    <w:rsid w:val="00581107"/>
    <w:rsid w:val="00581A6A"/>
    <w:rsid w:val="0058574F"/>
    <w:rsid w:val="0058766A"/>
    <w:rsid w:val="00593258"/>
    <w:rsid w:val="00594E64"/>
    <w:rsid w:val="005A1C2E"/>
    <w:rsid w:val="005A4A24"/>
    <w:rsid w:val="005A514E"/>
    <w:rsid w:val="005A5AA2"/>
    <w:rsid w:val="005A5D4B"/>
    <w:rsid w:val="005A79CD"/>
    <w:rsid w:val="005C237B"/>
    <w:rsid w:val="005C273E"/>
    <w:rsid w:val="005D6203"/>
    <w:rsid w:val="005E4BE7"/>
    <w:rsid w:val="005F1C20"/>
    <w:rsid w:val="005F237D"/>
    <w:rsid w:val="005F75EE"/>
    <w:rsid w:val="00601B05"/>
    <w:rsid w:val="00615772"/>
    <w:rsid w:val="00617F20"/>
    <w:rsid w:val="0062077F"/>
    <w:rsid w:val="00624E26"/>
    <w:rsid w:val="00631BE5"/>
    <w:rsid w:val="00632BF0"/>
    <w:rsid w:val="006360F2"/>
    <w:rsid w:val="00640AE5"/>
    <w:rsid w:val="0065017F"/>
    <w:rsid w:val="0065257E"/>
    <w:rsid w:val="00653423"/>
    <w:rsid w:val="00655598"/>
    <w:rsid w:val="00657976"/>
    <w:rsid w:val="00663804"/>
    <w:rsid w:val="0066600B"/>
    <w:rsid w:val="0066654A"/>
    <w:rsid w:val="0067076D"/>
    <w:rsid w:val="00673314"/>
    <w:rsid w:val="00674810"/>
    <w:rsid w:val="00676A04"/>
    <w:rsid w:val="006808CA"/>
    <w:rsid w:val="0068375E"/>
    <w:rsid w:val="00684898"/>
    <w:rsid w:val="0068736B"/>
    <w:rsid w:val="00690D25"/>
    <w:rsid w:val="00691130"/>
    <w:rsid w:val="006A0D09"/>
    <w:rsid w:val="006A2253"/>
    <w:rsid w:val="006A2B7C"/>
    <w:rsid w:val="006B0DC1"/>
    <w:rsid w:val="006B20C4"/>
    <w:rsid w:val="006B57CE"/>
    <w:rsid w:val="006C20FE"/>
    <w:rsid w:val="006C5C73"/>
    <w:rsid w:val="006E11D5"/>
    <w:rsid w:val="006E1825"/>
    <w:rsid w:val="006E4183"/>
    <w:rsid w:val="006E47D5"/>
    <w:rsid w:val="006F3174"/>
    <w:rsid w:val="006F73F6"/>
    <w:rsid w:val="0070634E"/>
    <w:rsid w:val="00713B8E"/>
    <w:rsid w:val="00720BBB"/>
    <w:rsid w:val="007240D8"/>
    <w:rsid w:val="0072412A"/>
    <w:rsid w:val="00726735"/>
    <w:rsid w:val="00731FFC"/>
    <w:rsid w:val="00733F63"/>
    <w:rsid w:val="0073418E"/>
    <w:rsid w:val="007354D3"/>
    <w:rsid w:val="00736807"/>
    <w:rsid w:val="00736813"/>
    <w:rsid w:val="00736C26"/>
    <w:rsid w:val="00746ECD"/>
    <w:rsid w:val="00747F60"/>
    <w:rsid w:val="00760410"/>
    <w:rsid w:val="00760609"/>
    <w:rsid w:val="00761DA5"/>
    <w:rsid w:val="007645FE"/>
    <w:rsid w:val="0077330C"/>
    <w:rsid w:val="00774BB3"/>
    <w:rsid w:val="0077562F"/>
    <w:rsid w:val="00775A49"/>
    <w:rsid w:val="0077701D"/>
    <w:rsid w:val="00781466"/>
    <w:rsid w:val="0079264C"/>
    <w:rsid w:val="007972F5"/>
    <w:rsid w:val="007A34B3"/>
    <w:rsid w:val="007A35F9"/>
    <w:rsid w:val="007A7092"/>
    <w:rsid w:val="007B03C8"/>
    <w:rsid w:val="007B6CFF"/>
    <w:rsid w:val="007C0D0E"/>
    <w:rsid w:val="007C665C"/>
    <w:rsid w:val="007D1340"/>
    <w:rsid w:val="007D27C4"/>
    <w:rsid w:val="007D4E0F"/>
    <w:rsid w:val="007E20FF"/>
    <w:rsid w:val="007E38A0"/>
    <w:rsid w:val="007E5D74"/>
    <w:rsid w:val="007E64DE"/>
    <w:rsid w:val="007F07B3"/>
    <w:rsid w:val="007F53AD"/>
    <w:rsid w:val="007F605A"/>
    <w:rsid w:val="00805777"/>
    <w:rsid w:val="00806563"/>
    <w:rsid w:val="008142C4"/>
    <w:rsid w:val="00814E68"/>
    <w:rsid w:val="00815217"/>
    <w:rsid w:val="00820D47"/>
    <w:rsid w:val="0082144F"/>
    <w:rsid w:val="008218DF"/>
    <w:rsid w:val="0082474B"/>
    <w:rsid w:val="00834BCE"/>
    <w:rsid w:val="008426CA"/>
    <w:rsid w:val="00842A72"/>
    <w:rsid w:val="00850502"/>
    <w:rsid w:val="00854071"/>
    <w:rsid w:val="008547C2"/>
    <w:rsid w:val="0086212E"/>
    <w:rsid w:val="00863D1E"/>
    <w:rsid w:val="00863E64"/>
    <w:rsid w:val="0086435C"/>
    <w:rsid w:val="00871E2A"/>
    <w:rsid w:val="0087280C"/>
    <w:rsid w:val="00875CFD"/>
    <w:rsid w:val="00876643"/>
    <w:rsid w:val="00877FD3"/>
    <w:rsid w:val="008821E3"/>
    <w:rsid w:val="00882646"/>
    <w:rsid w:val="008879AE"/>
    <w:rsid w:val="00895F93"/>
    <w:rsid w:val="008975A4"/>
    <w:rsid w:val="00897CBC"/>
    <w:rsid w:val="00897E87"/>
    <w:rsid w:val="008A2CF2"/>
    <w:rsid w:val="008A6558"/>
    <w:rsid w:val="008A6C53"/>
    <w:rsid w:val="008B6700"/>
    <w:rsid w:val="008C0B2A"/>
    <w:rsid w:val="008C41D3"/>
    <w:rsid w:val="008D2CD9"/>
    <w:rsid w:val="008D3FB8"/>
    <w:rsid w:val="008D53E1"/>
    <w:rsid w:val="008D7DB3"/>
    <w:rsid w:val="008F4B32"/>
    <w:rsid w:val="008F59FE"/>
    <w:rsid w:val="009030BB"/>
    <w:rsid w:val="00911A02"/>
    <w:rsid w:val="0091667D"/>
    <w:rsid w:val="009210DA"/>
    <w:rsid w:val="0092340A"/>
    <w:rsid w:val="00931908"/>
    <w:rsid w:val="0093443F"/>
    <w:rsid w:val="009346E0"/>
    <w:rsid w:val="00935457"/>
    <w:rsid w:val="00937DCD"/>
    <w:rsid w:val="00944FE7"/>
    <w:rsid w:val="00946A48"/>
    <w:rsid w:val="00957DCA"/>
    <w:rsid w:val="00960936"/>
    <w:rsid w:val="009711CB"/>
    <w:rsid w:val="00973AF7"/>
    <w:rsid w:val="00973E50"/>
    <w:rsid w:val="0097484E"/>
    <w:rsid w:val="00982FAD"/>
    <w:rsid w:val="009843E6"/>
    <w:rsid w:val="009862EB"/>
    <w:rsid w:val="00987753"/>
    <w:rsid w:val="00992BF2"/>
    <w:rsid w:val="009A1D79"/>
    <w:rsid w:val="009A2AC1"/>
    <w:rsid w:val="009A7FAC"/>
    <w:rsid w:val="009B3A5F"/>
    <w:rsid w:val="009B5C21"/>
    <w:rsid w:val="009B6850"/>
    <w:rsid w:val="009C0174"/>
    <w:rsid w:val="009C0B85"/>
    <w:rsid w:val="009C3901"/>
    <w:rsid w:val="009D17D8"/>
    <w:rsid w:val="009D4296"/>
    <w:rsid w:val="009D6D69"/>
    <w:rsid w:val="009E0819"/>
    <w:rsid w:val="009E6516"/>
    <w:rsid w:val="009F00E2"/>
    <w:rsid w:val="009F59F6"/>
    <w:rsid w:val="009F6027"/>
    <w:rsid w:val="009F6A85"/>
    <w:rsid w:val="009F6F0F"/>
    <w:rsid w:val="00A010CE"/>
    <w:rsid w:val="00A02ECD"/>
    <w:rsid w:val="00A02FB9"/>
    <w:rsid w:val="00A033D8"/>
    <w:rsid w:val="00A03AC8"/>
    <w:rsid w:val="00A03AEC"/>
    <w:rsid w:val="00A045B7"/>
    <w:rsid w:val="00A06067"/>
    <w:rsid w:val="00A0705C"/>
    <w:rsid w:val="00A16924"/>
    <w:rsid w:val="00A17022"/>
    <w:rsid w:val="00A1789D"/>
    <w:rsid w:val="00A22701"/>
    <w:rsid w:val="00A23D2B"/>
    <w:rsid w:val="00A26E13"/>
    <w:rsid w:val="00A32BA6"/>
    <w:rsid w:val="00A32EB3"/>
    <w:rsid w:val="00A45343"/>
    <w:rsid w:val="00A45C67"/>
    <w:rsid w:val="00A478DF"/>
    <w:rsid w:val="00A5058B"/>
    <w:rsid w:val="00A52A46"/>
    <w:rsid w:val="00A53051"/>
    <w:rsid w:val="00A53E9A"/>
    <w:rsid w:val="00A53EDA"/>
    <w:rsid w:val="00A555A3"/>
    <w:rsid w:val="00A633B6"/>
    <w:rsid w:val="00A66C08"/>
    <w:rsid w:val="00A677F5"/>
    <w:rsid w:val="00A71481"/>
    <w:rsid w:val="00A7261F"/>
    <w:rsid w:val="00A72703"/>
    <w:rsid w:val="00A7302F"/>
    <w:rsid w:val="00A74FD7"/>
    <w:rsid w:val="00A76119"/>
    <w:rsid w:val="00A767C0"/>
    <w:rsid w:val="00A7681C"/>
    <w:rsid w:val="00A8157D"/>
    <w:rsid w:val="00A83992"/>
    <w:rsid w:val="00A845C0"/>
    <w:rsid w:val="00A84FEB"/>
    <w:rsid w:val="00A85454"/>
    <w:rsid w:val="00A86096"/>
    <w:rsid w:val="00A86670"/>
    <w:rsid w:val="00A902B0"/>
    <w:rsid w:val="00A906D9"/>
    <w:rsid w:val="00AA00BA"/>
    <w:rsid w:val="00AA2195"/>
    <w:rsid w:val="00AA2C6D"/>
    <w:rsid w:val="00AA47F8"/>
    <w:rsid w:val="00AA59A0"/>
    <w:rsid w:val="00AB0BE3"/>
    <w:rsid w:val="00AB196C"/>
    <w:rsid w:val="00AB1CD1"/>
    <w:rsid w:val="00AB3079"/>
    <w:rsid w:val="00AB490B"/>
    <w:rsid w:val="00AB6701"/>
    <w:rsid w:val="00AC21B1"/>
    <w:rsid w:val="00AC69BF"/>
    <w:rsid w:val="00AC711C"/>
    <w:rsid w:val="00AD033D"/>
    <w:rsid w:val="00AD143E"/>
    <w:rsid w:val="00AD14AF"/>
    <w:rsid w:val="00AD4BAB"/>
    <w:rsid w:val="00AE22B6"/>
    <w:rsid w:val="00AE3AE6"/>
    <w:rsid w:val="00AE7123"/>
    <w:rsid w:val="00AF0B2C"/>
    <w:rsid w:val="00AF581B"/>
    <w:rsid w:val="00AF5B2B"/>
    <w:rsid w:val="00AF76FA"/>
    <w:rsid w:val="00B006C9"/>
    <w:rsid w:val="00B03456"/>
    <w:rsid w:val="00B035B9"/>
    <w:rsid w:val="00B03DAF"/>
    <w:rsid w:val="00B04CC4"/>
    <w:rsid w:val="00B05468"/>
    <w:rsid w:val="00B07D97"/>
    <w:rsid w:val="00B11021"/>
    <w:rsid w:val="00B12036"/>
    <w:rsid w:val="00B16434"/>
    <w:rsid w:val="00B21005"/>
    <w:rsid w:val="00B2353F"/>
    <w:rsid w:val="00B303F1"/>
    <w:rsid w:val="00B31B2A"/>
    <w:rsid w:val="00B328D9"/>
    <w:rsid w:val="00B36204"/>
    <w:rsid w:val="00B378E7"/>
    <w:rsid w:val="00B40B29"/>
    <w:rsid w:val="00B40FA2"/>
    <w:rsid w:val="00B42F55"/>
    <w:rsid w:val="00B4309F"/>
    <w:rsid w:val="00B47F8B"/>
    <w:rsid w:val="00B50735"/>
    <w:rsid w:val="00B512F7"/>
    <w:rsid w:val="00B53FEB"/>
    <w:rsid w:val="00B54659"/>
    <w:rsid w:val="00B54F45"/>
    <w:rsid w:val="00B61D55"/>
    <w:rsid w:val="00B61E22"/>
    <w:rsid w:val="00B63130"/>
    <w:rsid w:val="00B634DA"/>
    <w:rsid w:val="00B63AAD"/>
    <w:rsid w:val="00B65EFF"/>
    <w:rsid w:val="00B67035"/>
    <w:rsid w:val="00B67F7D"/>
    <w:rsid w:val="00B740AE"/>
    <w:rsid w:val="00B74A50"/>
    <w:rsid w:val="00B87C56"/>
    <w:rsid w:val="00B90AB3"/>
    <w:rsid w:val="00B95757"/>
    <w:rsid w:val="00B95EC1"/>
    <w:rsid w:val="00BA18B2"/>
    <w:rsid w:val="00BA4AE2"/>
    <w:rsid w:val="00BB08CC"/>
    <w:rsid w:val="00BB0FF5"/>
    <w:rsid w:val="00BB1812"/>
    <w:rsid w:val="00BB2D01"/>
    <w:rsid w:val="00BB3234"/>
    <w:rsid w:val="00BB4555"/>
    <w:rsid w:val="00BB5A2C"/>
    <w:rsid w:val="00BB67DC"/>
    <w:rsid w:val="00BC1BD0"/>
    <w:rsid w:val="00BC467B"/>
    <w:rsid w:val="00BC613C"/>
    <w:rsid w:val="00BC788C"/>
    <w:rsid w:val="00BD1604"/>
    <w:rsid w:val="00BD6B8C"/>
    <w:rsid w:val="00BE4A6A"/>
    <w:rsid w:val="00BF21BA"/>
    <w:rsid w:val="00C034E4"/>
    <w:rsid w:val="00C15AA8"/>
    <w:rsid w:val="00C1652B"/>
    <w:rsid w:val="00C26CDE"/>
    <w:rsid w:val="00C27CD6"/>
    <w:rsid w:val="00C27D86"/>
    <w:rsid w:val="00C32F69"/>
    <w:rsid w:val="00C3473A"/>
    <w:rsid w:val="00C4249C"/>
    <w:rsid w:val="00C454E6"/>
    <w:rsid w:val="00C51674"/>
    <w:rsid w:val="00C56805"/>
    <w:rsid w:val="00C6338C"/>
    <w:rsid w:val="00C66889"/>
    <w:rsid w:val="00C734A3"/>
    <w:rsid w:val="00C763DF"/>
    <w:rsid w:val="00C8153C"/>
    <w:rsid w:val="00C825D2"/>
    <w:rsid w:val="00C91850"/>
    <w:rsid w:val="00C97C3F"/>
    <w:rsid w:val="00CA2A3B"/>
    <w:rsid w:val="00CA5596"/>
    <w:rsid w:val="00CA5858"/>
    <w:rsid w:val="00CB3843"/>
    <w:rsid w:val="00CB409E"/>
    <w:rsid w:val="00CB6DCB"/>
    <w:rsid w:val="00CC22F2"/>
    <w:rsid w:val="00CC67D9"/>
    <w:rsid w:val="00CC6B5B"/>
    <w:rsid w:val="00CD307E"/>
    <w:rsid w:val="00CD69A0"/>
    <w:rsid w:val="00CE066A"/>
    <w:rsid w:val="00CE1758"/>
    <w:rsid w:val="00CE24DB"/>
    <w:rsid w:val="00CE3967"/>
    <w:rsid w:val="00CE662B"/>
    <w:rsid w:val="00CE6B4F"/>
    <w:rsid w:val="00CE78DC"/>
    <w:rsid w:val="00CF083A"/>
    <w:rsid w:val="00CF4892"/>
    <w:rsid w:val="00CF5792"/>
    <w:rsid w:val="00D01064"/>
    <w:rsid w:val="00D02A6D"/>
    <w:rsid w:val="00D12DE4"/>
    <w:rsid w:val="00D134D3"/>
    <w:rsid w:val="00D14743"/>
    <w:rsid w:val="00D20FC6"/>
    <w:rsid w:val="00D21C4D"/>
    <w:rsid w:val="00D21F62"/>
    <w:rsid w:val="00D40310"/>
    <w:rsid w:val="00D4121B"/>
    <w:rsid w:val="00D42D9D"/>
    <w:rsid w:val="00D460E7"/>
    <w:rsid w:val="00D55F6A"/>
    <w:rsid w:val="00D56393"/>
    <w:rsid w:val="00D650A1"/>
    <w:rsid w:val="00D70B8E"/>
    <w:rsid w:val="00D81B5E"/>
    <w:rsid w:val="00D82C30"/>
    <w:rsid w:val="00D85E60"/>
    <w:rsid w:val="00D90D5D"/>
    <w:rsid w:val="00D93C02"/>
    <w:rsid w:val="00D93CB5"/>
    <w:rsid w:val="00D95E56"/>
    <w:rsid w:val="00D9689C"/>
    <w:rsid w:val="00DA4E4B"/>
    <w:rsid w:val="00DA659D"/>
    <w:rsid w:val="00DB0B93"/>
    <w:rsid w:val="00DB3376"/>
    <w:rsid w:val="00DB3EC4"/>
    <w:rsid w:val="00DB3F5B"/>
    <w:rsid w:val="00DB4D33"/>
    <w:rsid w:val="00DB58B6"/>
    <w:rsid w:val="00DC09B2"/>
    <w:rsid w:val="00DC3453"/>
    <w:rsid w:val="00DD1614"/>
    <w:rsid w:val="00DD1744"/>
    <w:rsid w:val="00DD23BF"/>
    <w:rsid w:val="00DD265A"/>
    <w:rsid w:val="00DE0022"/>
    <w:rsid w:val="00DE165B"/>
    <w:rsid w:val="00DE1B3E"/>
    <w:rsid w:val="00DE1B7B"/>
    <w:rsid w:val="00DE4844"/>
    <w:rsid w:val="00DE5405"/>
    <w:rsid w:val="00DE58D3"/>
    <w:rsid w:val="00DF0BFB"/>
    <w:rsid w:val="00DF2B8B"/>
    <w:rsid w:val="00DF2C99"/>
    <w:rsid w:val="00DF578C"/>
    <w:rsid w:val="00E01BB6"/>
    <w:rsid w:val="00E062BC"/>
    <w:rsid w:val="00E1504A"/>
    <w:rsid w:val="00E16DEC"/>
    <w:rsid w:val="00E20066"/>
    <w:rsid w:val="00E2027F"/>
    <w:rsid w:val="00E222D0"/>
    <w:rsid w:val="00E27F35"/>
    <w:rsid w:val="00E33A2A"/>
    <w:rsid w:val="00E34348"/>
    <w:rsid w:val="00E406E4"/>
    <w:rsid w:val="00E424CA"/>
    <w:rsid w:val="00E449B9"/>
    <w:rsid w:val="00E47372"/>
    <w:rsid w:val="00E538B3"/>
    <w:rsid w:val="00E55C16"/>
    <w:rsid w:val="00E56596"/>
    <w:rsid w:val="00E57095"/>
    <w:rsid w:val="00E572B6"/>
    <w:rsid w:val="00E60A45"/>
    <w:rsid w:val="00E62804"/>
    <w:rsid w:val="00E71056"/>
    <w:rsid w:val="00E71A81"/>
    <w:rsid w:val="00E74A47"/>
    <w:rsid w:val="00E8006E"/>
    <w:rsid w:val="00E8669B"/>
    <w:rsid w:val="00E9317E"/>
    <w:rsid w:val="00E97BB9"/>
    <w:rsid w:val="00EA01D8"/>
    <w:rsid w:val="00EA0355"/>
    <w:rsid w:val="00EA1493"/>
    <w:rsid w:val="00EA618C"/>
    <w:rsid w:val="00EA6A9E"/>
    <w:rsid w:val="00EA7346"/>
    <w:rsid w:val="00EA7FD0"/>
    <w:rsid w:val="00EB0FB1"/>
    <w:rsid w:val="00EB1449"/>
    <w:rsid w:val="00EB2B58"/>
    <w:rsid w:val="00EB2ED2"/>
    <w:rsid w:val="00EC3BF0"/>
    <w:rsid w:val="00EC459C"/>
    <w:rsid w:val="00ED03C7"/>
    <w:rsid w:val="00ED050D"/>
    <w:rsid w:val="00EE4FE6"/>
    <w:rsid w:val="00EE5A1B"/>
    <w:rsid w:val="00EE7A96"/>
    <w:rsid w:val="00EF33DE"/>
    <w:rsid w:val="00EF4342"/>
    <w:rsid w:val="00EF43E8"/>
    <w:rsid w:val="00F01811"/>
    <w:rsid w:val="00F0495A"/>
    <w:rsid w:val="00F13035"/>
    <w:rsid w:val="00F13BC1"/>
    <w:rsid w:val="00F170A3"/>
    <w:rsid w:val="00F2280D"/>
    <w:rsid w:val="00F30014"/>
    <w:rsid w:val="00F35A42"/>
    <w:rsid w:val="00F35FA7"/>
    <w:rsid w:val="00F47741"/>
    <w:rsid w:val="00F50956"/>
    <w:rsid w:val="00F549F9"/>
    <w:rsid w:val="00F55E5A"/>
    <w:rsid w:val="00F56DC5"/>
    <w:rsid w:val="00F575C1"/>
    <w:rsid w:val="00F63961"/>
    <w:rsid w:val="00F639A1"/>
    <w:rsid w:val="00F63DDA"/>
    <w:rsid w:val="00F64344"/>
    <w:rsid w:val="00F6757D"/>
    <w:rsid w:val="00F7047C"/>
    <w:rsid w:val="00F70D32"/>
    <w:rsid w:val="00F725E1"/>
    <w:rsid w:val="00F73604"/>
    <w:rsid w:val="00F81B52"/>
    <w:rsid w:val="00F87314"/>
    <w:rsid w:val="00F93691"/>
    <w:rsid w:val="00F94A7B"/>
    <w:rsid w:val="00F95990"/>
    <w:rsid w:val="00FA114C"/>
    <w:rsid w:val="00FA1F01"/>
    <w:rsid w:val="00FA220F"/>
    <w:rsid w:val="00FA2B4F"/>
    <w:rsid w:val="00FA61AB"/>
    <w:rsid w:val="00FA7273"/>
    <w:rsid w:val="00FB2581"/>
    <w:rsid w:val="00FB4BE8"/>
    <w:rsid w:val="00FB5A4E"/>
    <w:rsid w:val="00FB773E"/>
    <w:rsid w:val="00FB7B7B"/>
    <w:rsid w:val="00FC18BF"/>
    <w:rsid w:val="00FC1CE3"/>
    <w:rsid w:val="00FC266D"/>
    <w:rsid w:val="00FC3E97"/>
    <w:rsid w:val="00FC4DEA"/>
    <w:rsid w:val="00FD00C3"/>
    <w:rsid w:val="00FD1324"/>
    <w:rsid w:val="00FD29E0"/>
    <w:rsid w:val="00FD5A46"/>
    <w:rsid w:val="00FD7B2C"/>
    <w:rsid w:val="00FD7C05"/>
    <w:rsid w:val="00FE3231"/>
    <w:rsid w:val="00FE5D0A"/>
    <w:rsid w:val="00FE69F1"/>
    <w:rsid w:val="00FF1FE7"/>
    <w:rsid w:val="00FF4029"/>
    <w:rsid w:val="00FF5473"/>
    <w:rsid w:val="00FF59ED"/>
    <w:rsid w:val="00FF67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F06A"/>
  <w15:chartTrackingRefBased/>
  <w15:docId w15:val="{7749D6D9-5C11-4810-9676-2847A645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67"/>
    <w:pPr>
      <w:ind w:left="720"/>
      <w:contextualSpacing/>
    </w:pPr>
  </w:style>
  <w:style w:type="paragraph" w:styleId="FootnoteText">
    <w:name w:val="footnote text"/>
    <w:basedOn w:val="Normal"/>
    <w:link w:val="FootnoteTextChar"/>
    <w:uiPriority w:val="99"/>
    <w:semiHidden/>
    <w:unhideWhenUsed/>
    <w:rsid w:val="00D85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60"/>
    <w:rPr>
      <w:sz w:val="20"/>
      <w:szCs w:val="20"/>
    </w:rPr>
  </w:style>
  <w:style w:type="character" w:styleId="FootnoteReference">
    <w:name w:val="footnote reference"/>
    <w:basedOn w:val="DefaultParagraphFont"/>
    <w:uiPriority w:val="99"/>
    <w:semiHidden/>
    <w:unhideWhenUsed/>
    <w:rsid w:val="00D85E60"/>
    <w:rPr>
      <w:vertAlign w:val="superscript"/>
    </w:rPr>
  </w:style>
  <w:style w:type="character" w:customStyle="1" w:styleId="g1">
    <w:name w:val="g1"/>
    <w:basedOn w:val="DefaultParagraphFont"/>
    <w:rsid w:val="002A0C7B"/>
  </w:style>
  <w:style w:type="character" w:styleId="Hyperlink">
    <w:name w:val="Hyperlink"/>
    <w:basedOn w:val="DefaultParagraphFont"/>
    <w:uiPriority w:val="99"/>
    <w:semiHidden/>
    <w:unhideWhenUsed/>
    <w:rsid w:val="002A0C7B"/>
    <w:rPr>
      <w:color w:val="0000FF"/>
      <w:u w:val="single"/>
    </w:rPr>
  </w:style>
  <w:style w:type="paragraph" w:styleId="Header">
    <w:name w:val="header"/>
    <w:basedOn w:val="Normal"/>
    <w:link w:val="HeaderChar"/>
    <w:uiPriority w:val="99"/>
    <w:unhideWhenUsed/>
    <w:rsid w:val="00441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3A"/>
  </w:style>
  <w:style w:type="paragraph" w:styleId="Footer">
    <w:name w:val="footer"/>
    <w:basedOn w:val="Normal"/>
    <w:link w:val="FooterChar"/>
    <w:uiPriority w:val="99"/>
    <w:unhideWhenUsed/>
    <w:rsid w:val="0044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82">
      <w:bodyDiv w:val="1"/>
      <w:marLeft w:val="0"/>
      <w:marRight w:val="0"/>
      <w:marTop w:val="0"/>
      <w:marBottom w:val="0"/>
      <w:divBdr>
        <w:top w:val="none" w:sz="0" w:space="0" w:color="auto"/>
        <w:left w:val="none" w:sz="0" w:space="0" w:color="auto"/>
        <w:bottom w:val="none" w:sz="0" w:space="0" w:color="auto"/>
        <w:right w:val="none" w:sz="0" w:space="0" w:color="auto"/>
      </w:divBdr>
    </w:div>
    <w:div w:id="57900663">
      <w:bodyDiv w:val="1"/>
      <w:marLeft w:val="0"/>
      <w:marRight w:val="0"/>
      <w:marTop w:val="0"/>
      <w:marBottom w:val="0"/>
      <w:divBdr>
        <w:top w:val="none" w:sz="0" w:space="0" w:color="auto"/>
        <w:left w:val="none" w:sz="0" w:space="0" w:color="auto"/>
        <w:bottom w:val="none" w:sz="0" w:space="0" w:color="auto"/>
        <w:right w:val="none" w:sz="0" w:space="0" w:color="auto"/>
      </w:divBdr>
      <w:divsChild>
        <w:div w:id="1796367510">
          <w:marLeft w:val="0"/>
          <w:marRight w:val="0"/>
          <w:marTop w:val="0"/>
          <w:marBottom w:val="0"/>
          <w:divBdr>
            <w:top w:val="none" w:sz="0" w:space="0" w:color="auto"/>
            <w:left w:val="none" w:sz="0" w:space="0" w:color="auto"/>
            <w:bottom w:val="single" w:sz="6" w:space="0" w:color="808080"/>
            <w:right w:val="none" w:sz="0" w:space="0" w:color="auto"/>
          </w:divBdr>
          <w:divsChild>
            <w:div w:id="1077478445">
              <w:marLeft w:val="0"/>
              <w:marRight w:val="0"/>
              <w:marTop w:val="0"/>
              <w:marBottom w:val="30"/>
              <w:divBdr>
                <w:top w:val="none" w:sz="0" w:space="0" w:color="auto"/>
                <w:left w:val="none" w:sz="0" w:space="0" w:color="auto"/>
                <w:bottom w:val="none" w:sz="0" w:space="0" w:color="auto"/>
                <w:right w:val="none" w:sz="0" w:space="0" w:color="auto"/>
              </w:divBdr>
            </w:div>
            <w:div w:id="1197624478">
              <w:marLeft w:val="0"/>
              <w:marRight w:val="0"/>
              <w:marTop w:val="0"/>
              <w:marBottom w:val="30"/>
              <w:divBdr>
                <w:top w:val="none" w:sz="0" w:space="0" w:color="auto"/>
                <w:left w:val="none" w:sz="0" w:space="0" w:color="auto"/>
                <w:bottom w:val="none" w:sz="0" w:space="0" w:color="auto"/>
                <w:right w:val="none" w:sz="0" w:space="0" w:color="auto"/>
              </w:divBdr>
            </w:div>
          </w:divsChild>
        </w:div>
        <w:div w:id="2062510397">
          <w:marLeft w:val="0"/>
          <w:marRight w:val="0"/>
          <w:marTop w:val="0"/>
          <w:marBottom w:val="0"/>
          <w:divBdr>
            <w:top w:val="none" w:sz="0" w:space="0" w:color="auto"/>
            <w:left w:val="none" w:sz="0" w:space="0" w:color="auto"/>
            <w:bottom w:val="none" w:sz="0" w:space="0" w:color="auto"/>
            <w:right w:val="none" w:sz="0" w:space="0" w:color="auto"/>
          </w:divBdr>
          <w:divsChild>
            <w:div w:id="1165435685">
              <w:marLeft w:val="0"/>
              <w:marRight w:val="0"/>
              <w:marTop w:val="0"/>
              <w:marBottom w:val="75"/>
              <w:divBdr>
                <w:top w:val="single" w:sz="6" w:space="4" w:color="808080"/>
                <w:left w:val="single" w:sz="6" w:space="4" w:color="808080"/>
                <w:bottom w:val="single" w:sz="6" w:space="4" w:color="808080"/>
                <w:right w:val="single" w:sz="6" w:space="4" w:color="808080"/>
              </w:divBdr>
              <w:divsChild>
                <w:div w:id="1951815280">
                  <w:marLeft w:val="0"/>
                  <w:marRight w:val="0"/>
                  <w:marTop w:val="75"/>
                  <w:marBottom w:val="0"/>
                  <w:divBdr>
                    <w:top w:val="none" w:sz="0" w:space="0" w:color="auto"/>
                    <w:left w:val="none" w:sz="0" w:space="0" w:color="auto"/>
                    <w:bottom w:val="none" w:sz="0" w:space="0" w:color="auto"/>
                    <w:right w:val="none" w:sz="0" w:space="0" w:color="auto"/>
                  </w:divBdr>
                </w:div>
                <w:div w:id="116605911">
                  <w:marLeft w:val="0"/>
                  <w:marRight w:val="0"/>
                  <w:marTop w:val="0"/>
                  <w:marBottom w:val="0"/>
                  <w:divBdr>
                    <w:top w:val="none" w:sz="0" w:space="0" w:color="auto"/>
                    <w:left w:val="none" w:sz="0" w:space="0" w:color="auto"/>
                    <w:bottom w:val="none" w:sz="0" w:space="0" w:color="auto"/>
                    <w:right w:val="none" w:sz="0" w:space="0" w:color="auto"/>
                  </w:divBdr>
                  <w:divsChild>
                    <w:div w:id="464200967">
                      <w:marLeft w:val="0"/>
                      <w:marRight w:val="0"/>
                      <w:marTop w:val="0"/>
                      <w:marBottom w:val="0"/>
                      <w:divBdr>
                        <w:top w:val="none" w:sz="0" w:space="0" w:color="auto"/>
                        <w:left w:val="none" w:sz="0" w:space="0" w:color="auto"/>
                        <w:bottom w:val="none" w:sz="0" w:space="0" w:color="auto"/>
                        <w:right w:val="none" w:sz="0" w:space="0" w:color="auto"/>
                      </w:divBdr>
                    </w:div>
                    <w:div w:id="156042544">
                      <w:marLeft w:val="0"/>
                      <w:marRight w:val="0"/>
                      <w:marTop w:val="75"/>
                      <w:marBottom w:val="0"/>
                      <w:divBdr>
                        <w:top w:val="none" w:sz="0" w:space="0" w:color="auto"/>
                        <w:left w:val="none" w:sz="0" w:space="0" w:color="auto"/>
                        <w:bottom w:val="none" w:sz="0" w:space="0" w:color="auto"/>
                        <w:right w:val="none" w:sz="0" w:space="0" w:color="auto"/>
                      </w:divBdr>
                    </w:div>
                  </w:divsChild>
                </w:div>
                <w:div w:id="940801778">
                  <w:marLeft w:val="0"/>
                  <w:marRight w:val="0"/>
                  <w:marTop w:val="0"/>
                  <w:marBottom w:val="0"/>
                  <w:divBdr>
                    <w:top w:val="dashed" w:sz="6" w:space="4" w:color="808080"/>
                    <w:left w:val="none" w:sz="0" w:space="0" w:color="auto"/>
                    <w:bottom w:val="none" w:sz="0" w:space="0" w:color="auto"/>
                    <w:right w:val="none" w:sz="0" w:space="0" w:color="auto"/>
                  </w:divBdr>
                </w:div>
              </w:divsChild>
            </w:div>
            <w:div w:id="335881523">
              <w:marLeft w:val="0"/>
              <w:marRight w:val="0"/>
              <w:marTop w:val="0"/>
              <w:marBottom w:val="75"/>
              <w:divBdr>
                <w:top w:val="single" w:sz="6" w:space="4" w:color="808080"/>
                <w:left w:val="single" w:sz="6" w:space="4" w:color="808080"/>
                <w:bottom w:val="single" w:sz="6" w:space="4" w:color="808080"/>
                <w:right w:val="single" w:sz="6" w:space="4" w:color="808080"/>
              </w:divBdr>
              <w:divsChild>
                <w:div w:id="1445341479">
                  <w:marLeft w:val="0"/>
                  <w:marRight w:val="0"/>
                  <w:marTop w:val="75"/>
                  <w:marBottom w:val="0"/>
                  <w:divBdr>
                    <w:top w:val="none" w:sz="0" w:space="0" w:color="auto"/>
                    <w:left w:val="none" w:sz="0" w:space="0" w:color="auto"/>
                    <w:bottom w:val="none" w:sz="0" w:space="0" w:color="auto"/>
                    <w:right w:val="none" w:sz="0" w:space="0" w:color="auto"/>
                  </w:divBdr>
                </w:div>
                <w:div w:id="1904562126">
                  <w:marLeft w:val="0"/>
                  <w:marRight w:val="0"/>
                  <w:marTop w:val="0"/>
                  <w:marBottom w:val="0"/>
                  <w:divBdr>
                    <w:top w:val="none" w:sz="0" w:space="0" w:color="auto"/>
                    <w:left w:val="none" w:sz="0" w:space="0" w:color="auto"/>
                    <w:bottom w:val="none" w:sz="0" w:space="0" w:color="auto"/>
                    <w:right w:val="none" w:sz="0" w:space="0" w:color="auto"/>
                  </w:divBdr>
                  <w:divsChild>
                    <w:div w:id="1638299252">
                      <w:marLeft w:val="0"/>
                      <w:marRight w:val="0"/>
                      <w:marTop w:val="0"/>
                      <w:marBottom w:val="0"/>
                      <w:divBdr>
                        <w:top w:val="none" w:sz="0" w:space="0" w:color="auto"/>
                        <w:left w:val="none" w:sz="0" w:space="0" w:color="auto"/>
                        <w:bottom w:val="none" w:sz="0" w:space="0" w:color="auto"/>
                        <w:right w:val="none" w:sz="0" w:space="0" w:color="auto"/>
                      </w:divBdr>
                    </w:div>
                    <w:div w:id="1620839061">
                      <w:marLeft w:val="0"/>
                      <w:marRight w:val="0"/>
                      <w:marTop w:val="75"/>
                      <w:marBottom w:val="0"/>
                      <w:divBdr>
                        <w:top w:val="none" w:sz="0" w:space="0" w:color="auto"/>
                        <w:left w:val="none" w:sz="0" w:space="0" w:color="auto"/>
                        <w:bottom w:val="none" w:sz="0" w:space="0" w:color="auto"/>
                        <w:right w:val="none" w:sz="0" w:space="0" w:color="auto"/>
                      </w:divBdr>
                    </w:div>
                  </w:divsChild>
                </w:div>
                <w:div w:id="975529915">
                  <w:marLeft w:val="0"/>
                  <w:marRight w:val="0"/>
                  <w:marTop w:val="0"/>
                  <w:marBottom w:val="0"/>
                  <w:divBdr>
                    <w:top w:val="dashed" w:sz="6" w:space="4" w:color="808080"/>
                    <w:left w:val="none" w:sz="0" w:space="0" w:color="auto"/>
                    <w:bottom w:val="none" w:sz="0" w:space="0" w:color="auto"/>
                    <w:right w:val="none" w:sz="0" w:space="0" w:color="auto"/>
                  </w:divBdr>
                </w:div>
              </w:divsChild>
            </w:div>
            <w:div w:id="1715304193">
              <w:marLeft w:val="0"/>
              <w:marRight w:val="0"/>
              <w:marTop w:val="0"/>
              <w:marBottom w:val="75"/>
              <w:divBdr>
                <w:top w:val="single" w:sz="6" w:space="4" w:color="808080"/>
                <w:left w:val="single" w:sz="6" w:space="4" w:color="808080"/>
                <w:bottom w:val="single" w:sz="6" w:space="4" w:color="808080"/>
                <w:right w:val="single" w:sz="6" w:space="4" w:color="808080"/>
              </w:divBdr>
              <w:divsChild>
                <w:div w:id="464664294">
                  <w:marLeft w:val="0"/>
                  <w:marRight w:val="0"/>
                  <w:marTop w:val="75"/>
                  <w:marBottom w:val="0"/>
                  <w:divBdr>
                    <w:top w:val="none" w:sz="0" w:space="0" w:color="auto"/>
                    <w:left w:val="none" w:sz="0" w:space="0" w:color="auto"/>
                    <w:bottom w:val="none" w:sz="0" w:space="0" w:color="auto"/>
                    <w:right w:val="none" w:sz="0" w:space="0" w:color="auto"/>
                  </w:divBdr>
                </w:div>
                <w:div w:id="148594624">
                  <w:marLeft w:val="0"/>
                  <w:marRight w:val="0"/>
                  <w:marTop w:val="0"/>
                  <w:marBottom w:val="0"/>
                  <w:divBdr>
                    <w:top w:val="none" w:sz="0" w:space="0" w:color="auto"/>
                    <w:left w:val="none" w:sz="0" w:space="0" w:color="auto"/>
                    <w:bottom w:val="none" w:sz="0" w:space="0" w:color="auto"/>
                    <w:right w:val="none" w:sz="0" w:space="0" w:color="auto"/>
                  </w:divBdr>
                  <w:divsChild>
                    <w:div w:id="548956618">
                      <w:marLeft w:val="0"/>
                      <w:marRight w:val="0"/>
                      <w:marTop w:val="0"/>
                      <w:marBottom w:val="0"/>
                      <w:divBdr>
                        <w:top w:val="none" w:sz="0" w:space="0" w:color="auto"/>
                        <w:left w:val="none" w:sz="0" w:space="0" w:color="auto"/>
                        <w:bottom w:val="none" w:sz="0" w:space="0" w:color="auto"/>
                        <w:right w:val="none" w:sz="0" w:space="0" w:color="auto"/>
                      </w:divBdr>
                    </w:div>
                    <w:div w:id="78798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6644356">
      <w:bodyDiv w:val="1"/>
      <w:marLeft w:val="0"/>
      <w:marRight w:val="0"/>
      <w:marTop w:val="0"/>
      <w:marBottom w:val="0"/>
      <w:divBdr>
        <w:top w:val="none" w:sz="0" w:space="0" w:color="auto"/>
        <w:left w:val="none" w:sz="0" w:space="0" w:color="auto"/>
        <w:bottom w:val="none" w:sz="0" w:space="0" w:color="auto"/>
        <w:right w:val="none" w:sz="0" w:space="0" w:color="auto"/>
      </w:divBdr>
    </w:div>
    <w:div w:id="557205106">
      <w:bodyDiv w:val="1"/>
      <w:marLeft w:val="0"/>
      <w:marRight w:val="0"/>
      <w:marTop w:val="0"/>
      <w:marBottom w:val="0"/>
      <w:divBdr>
        <w:top w:val="none" w:sz="0" w:space="0" w:color="auto"/>
        <w:left w:val="none" w:sz="0" w:space="0" w:color="auto"/>
        <w:bottom w:val="none" w:sz="0" w:space="0" w:color="auto"/>
        <w:right w:val="none" w:sz="0" w:space="0" w:color="auto"/>
      </w:divBdr>
    </w:div>
    <w:div w:id="695889929">
      <w:bodyDiv w:val="1"/>
      <w:marLeft w:val="0"/>
      <w:marRight w:val="0"/>
      <w:marTop w:val="0"/>
      <w:marBottom w:val="0"/>
      <w:divBdr>
        <w:top w:val="none" w:sz="0" w:space="0" w:color="auto"/>
        <w:left w:val="none" w:sz="0" w:space="0" w:color="auto"/>
        <w:bottom w:val="none" w:sz="0" w:space="0" w:color="auto"/>
        <w:right w:val="none" w:sz="0" w:space="0" w:color="auto"/>
      </w:divBdr>
    </w:div>
    <w:div w:id="1599368636">
      <w:bodyDiv w:val="1"/>
      <w:marLeft w:val="0"/>
      <w:marRight w:val="0"/>
      <w:marTop w:val="0"/>
      <w:marBottom w:val="0"/>
      <w:divBdr>
        <w:top w:val="none" w:sz="0" w:space="0" w:color="auto"/>
        <w:left w:val="none" w:sz="0" w:space="0" w:color="auto"/>
        <w:bottom w:val="none" w:sz="0" w:space="0" w:color="auto"/>
        <w:right w:val="none" w:sz="0" w:space="0" w:color="auto"/>
      </w:divBdr>
      <w:divsChild>
        <w:div w:id="1467747074">
          <w:marLeft w:val="567"/>
          <w:marRight w:val="0"/>
          <w:marTop w:val="120"/>
          <w:marBottom w:val="0"/>
          <w:divBdr>
            <w:top w:val="none" w:sz="0" w:space="0" w:color="auto"/>
            <w:left w:val="none" w:sz="0" w:space="0" w:color="auto"/>
            <w:bottom w:val="none" w:sz="0" w:space="0" w:color="auto"/>
            <w:right w:val="none" w:sz="0" w:space="0" w:color="auto"/>
          </w:divBdr>
        </w:div>
        <w:div w:id="1375428678">
          <w:marLeft w:val="0"/>
          <w:marRight w:val="0"/>
          <w:marTop w:val="240"/>
          <w:marBottom w:val="60"/>
          <w:divBdr>
            <w:top w:val="single" w:sz="8" w:space="2" w:color="808080"/>
            <w:left w:val="none" w:sz="0" w:space="0" w:color="auto"/>
            <w:bottom w:val="none" w:sz="0" w:space="0" w:color="auto"/>
            <w:right w:val="none" w:sz="0" w:space="0" w:color="auto"/>
          </w:divBdr>
        </w:div>
        <w:div w:id="1880194926">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D392-E2C6-4A9A-918D-97B070A7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7835</Words>
  <Characters>44665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sathish sarshan  mohan</cp:lastModifiedBy>
  <cp:revision>3</cp:revision>
  <dcterms:created xsi:type="dcterms:W3CDTF">2024-03-06T06:05:00Z</dcterms:created>
  <dcterms:modified xsi:type="dcterms:W3CDTF">2024-03-06T12:39:00Z</dcterms:modified>
</cp:coreProperties>
</file>