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81421" w14:textId="1F039A82" w:rsidR="006C43D7" w:rsidRPr="008E2A22" w:rsidRDefault="00AD3D5D" w:rsidP="006F0330">
      <w:pPr>
        <w:spacing w:after="120" w:line="360" w:lineRule="auto"/>
        <w:jc w:val="center"/>
        <w:rPr>
          <w:rFonts w:cs="Arial"/>
          <w:b/>
          <w:bCs/>
          <w:sz w:val="21"/>
          <w:szCs w:val="21"/>
        </w:rPr>
      </w:pPr>
      <w:r w:rsidRPr="008E2A22">
        <w:rPr>
          <w:rFonts w:cs="Arial"/>
          <w:b/>
          <w:bCs/>
          <w:sz w:val="21"/>
          <w:szCs w:val="21"/>
        </w:rPr>
        <w:t xml:space="preserve"> </w:t>
      </w:r>
      <w:r w:rsidR="006C43D7" w:rsidRPr="008E2A22">
        <w:rPr>
          <w:rFonts w:cs="Arial"/>
          <w:b/>
          <w:bCs/>
          <w:noProof/>
          <w:sz w:val="21"/>
          <w:szCs w:val="21"/>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8E2A22" w:rsidRDefault="006C43D7" w:rsidP="00C74E97">
      <w:pPr>
        <w:spacing w:line="360" w:lineRule="auto"/>
        <w:jc w:val="center"/>
        <w:rPr>
          <w:rFonts w:cs="Arial"/>
          <w:b/>
          <w:sz w:val="21"/>
          <w:szCs w:val="21"/>
        </w:rPr>
      </w:pPr>
      <w:r w:rsidRPr="008E2A22">
        <w:rPr>
          <w:rFonts w:cs="Arial"/>
          <w:b/>
          <w:sz w:val="21"/>
          <w:szCs w:val="21"/>
        </w:rPr>
        <w:t xml:space="preserve">IN THE HIGH COURT OF SOUTH AFRICA, </w:t>
      </w:r>
    </w:p>
    <w:p w14:paraId="566C4D1B" w14:textId="77777777" w:rsidR="006C43D7" w:rsidRPr="008E2A22" w:rsidRDefault="006C43D7" w:rsidP="00C74E97">
      <w:pPr>
        <w:spacing w:line="360" w:lineRule="auto"/>
        <w:jc w:val="center"/>
        <w:rPr>
          <w:rFonts w:cs="Arial"/>
          <w:b/>
          <w:sz w:val="21"/>
          <w:szCs w:val="21"/>
        </w:rPr>
      </w:pPr>
      <w:r w:rsidRPr="008E2A22">
        <w:rPr>
          <w:rFonts w:cs="Arial"/>
          <w:b/>
          <w:sz w:val="21"/>
          <w:szCs w:val="21"/>
        </w:rPr>
        <w:t>GAUTENG DIVISION, JOHANNESBURG</w:t>
      </w:r>
    </w:p>
    <w:p w14:paraId="13D6E83E" w14:textId="77777777" w:rsidR="006C43D7" w:rsidRPr="008E2A22" w:rsidRDefault="006C43D7" w:rsidP="00C74E97">
      <w:pPr>
        <w:spacing w:line="360" w:lineRule="auto"/>
        <w:jc w:val="both"/>
        <w:rPr>
          <w:rFonts w:cs="Arial"/>
          <w:b/>
          <w:sz w:val="21"/>
          <w:szCs w:val="21"/>
        </w:rPr>
      </w:pPr>
    </w:p>
    <w:p w14:paraId="0AF8DD38" w14:textId="12F2D791" w:rsidR="006C43D7" w:rsidRPr="008E2A22" w:rsidRDefault="00F913C7" w:rsidP="00C74E97">
      <w:pPr>
        <w:spacing w:line="360" w:lineRule="auto"/>
        <w:jc w:val="right"/>
        <w:rPr>
          <w:rFonts w:cs="Arial"/>
          <w:b/>
          <w:sz w:val="21"/>
          <w:szCs w:val="21"/>
        </w:rPr>
      </w:pPr>
      <w:r w:rsidRPr="008E2A22">
        <w:rPr>
          <w:rFonts w:cs="Arial"/>
          <w:b/>
          <w:sz w:val="21"/>
          <w:szCs w:val="21"/>
        </w:rPr>
        <w:t xml:space="preserve">CASE NO: </w:t>
      </w:r>
      <w:r w:rsidR="00AF3E40">
        <w:rPr>
          <w:noProof/>
          <w:sz w:val="21"/>
          <w:szCs w:val="21"/>
          <w:lang w:eastAsia="en-ZA"/>
        </w:rPr>
        <mc:AlternateContent>
          <mc:Choice Requires="wps">
            <w:drawing>
              <wp:anchor distT="0" distB="0" distL="114300" distR="114300" simplePos="0" relativeHeight="251659264" behindDoc="0" locked="0" layoutInCell="1" allowOverlap="1" wp14:anchorId="2491E7FC" wp14:editId="117D675B">
                <wp:simplePos x="0" y="0"/>
                <wp:positionH relativeFrom="margin">
                  <wp:align>left</wp:align>
                </wp:positionH>
                <wp:positionV relativeFrom="paragraph">
                  <wp:posOffset>49530</wp:posOffset>
                </wp:positionV>
                <wp:extent cx="3314700" cy="1592580"/>
                <wp:effectExtent l="0" t="0" r="0" b="7620"/>
                <wp:wrapNone/>
                <wp:docPr id="93978004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54A90A53" w:rsidR="00893C08" w:rsidRPr="008E2A22" w:rsidRDefault="0037071D" w:rsidP="0037071D">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511BDBE" w:rsidR="00893C08" w:rsidRPr="008E2A22" w:rsidRDefault="0037071D" w:rsidP="0037071D">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54A90A53" w:rsidR="00893C08" w:rsidRPr="008E2A22" w:rsidRDefault="0037071D" w:rsidP="0037071D">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511BDBE" w:rsidR="00893C08" w:rsidRPr="008E2A22" w:rsidRDefault="0037071D" w:rsidP="0037071D">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8E2A22">
        <w:rPr>
          <w:rFonts w:cs="Arial"/>
          <w:b/>
          <w:sz w:val="21"/>
          <w:szCs w:val="21"/>
        </w:rPr>
        <w:t>202</w:t>
      </w:r>
      <w:r w:rsidR="008A32BD" w:rsidRPr="008E2A22">
        <w:rPr>
          <w:rFonts w:cs="Arial"/>
          <w:b/>
          <w:sz w:val="21"/>
          <w:szCs w:val="21"/>
        </w:rPr>
        <w:t>2</w:t>
      </w:r>
      <w:r w:rsidR="00515FD8" w:rsidRPr="008E2A22">
        <w:rPr>
          <w:rFonts w:cs="Arial"/>
          <w:b/>
          <w:sz w:val="21"/>
          <w:szCs w:val="21"/>
        </w:rPr>
        <w:t xml:space="preserve"> - </w:t>
      </w:r>
      <w:r w:rsidR="00D743C0">
        <w:rPr>
          <w:rFonts w:cs="Arial"/>
          <w:b/>
          <w:sz w:val="21"/>
          <w:szCs w:val="21"/>
        </w:rPr>
        <w:t>049732</w:t>
      </w:r>
    </w:p>
    <w:p w14:paraId="084B5ECD" w14:textId="77777777" w:rsidR="006C43D7" w:rsidRPr="008E2A22" w:rsidRDefault="006C43D7" w:rsidP="00C74E97">
      <w:pPr>
        <w:spacing w:line="360" w:lineRule="auto"/>
        <w:jc w:val="both"/>
        <w:rPr>
          <w:rFonts w:cs="Arial"/>
          <w:sz w:val="21"/>
          <w:szCs w:val="21"/>
        </w:rPr>
      </w:pPr>
    </w:p>
    <w:p w14:paraId="4E808D74" w14:textId="77777777" w:rsidR="006C43D7" w:rsidRPr="008E2A22" w:rsidRDefault="006C43D7" w:rsidP="00C74E97">
      <w:pPr>
        <w:spacing w:line="360" w:lineRule="auto"/>
        <w:jc w:val="both"/>
        <w:rPr>
          <w:rFonts w:cs="Arial"/>
          <w:sz w:val="21"/>
          <w:szCs w:val="21"/>
        </w:rPr>
      </w:pPr>
    </w:p>
    <w:p w14:paraId="34BF70B6" w14:textId="77777777" w:rsidR="006C43D7" w:rsidRPr="008E2A22" w:rsidRDefault="006C43D7" w:rsidP="00C74E97">
      <w:pPr>
        <w:spacing w:line="360" w:lineRule="auto"/>
        <w:jc w:val="both"/>
        <w:rPr>
          <w:rFonts w:cs="Arial"/>
          <w:sz w:val="21"/>
          <w:szCs w:val="21"/>
        </w:rPr>
      </w:pPr>
    </w:p>
    <w:p w14:paraId="2F53BA3A" w14:textId="7CE26CA8" w:rsidR="006C43D7" w:rsidRPr="008E2A22" w:rsidRDefault="00C56E55" w:rsidP="00C74E97">
      <w:pPr>
        <w:spacing w:line="360" w:lineRule="auto"/>
        <w:jc w:val="both"/>
        <w:rPr>
          <w:rFonts w:cs="Arial"/>
          <w:sz w:val="21"/>
          <w:szCs w:val="21"/>
        </w:rPr>
      </w:pPr>
      <w:r w:rsidRPr="008E2A22">
        <w:rPr>
          <w:rFonts w:cs="Arial"/>
          <w:sz w:val="21"/>
          <w:szCs w:val="21"/>
        </w:rPr>
        <w:t xml:space="preserve">                        </w:t>
      </w:r>
    </w:p>
    <w:p w14:paraId="3A1C212E" w14:textId="77777777" w:rsidR="006C43D7" w:rsidRPr="008E2A22" w:rsidRDefault="006C43D7" w:rsidP="00C74E97">
      <w:pPr>
        <w:spacing w:line="360" w:lineRule="auto"/>
        <w:jc w:val="both"/>
        <w:rPr>
          <w:rFonts w:cs="Arial"/>
          <w:sz w:val="21"/>
          <w:szCs w:val="21"/>
        </w:rPr>
      </w:pPr>
    </w:p>
    <w:p w14:paraId="04919B1B" w14:textId="77777777" w:rsidR="001D3CC2" w:rsidRPr="008E2A22" w:rsidRDefault="001D3CC2" w:rsidP="00C74E97">
      <w:pPr>
        <w:spacing w:line="360" w:lineRule="auto"/>
        <w:jc w:val="both"/>
        <w:rPr>
          <w:rFonts w:cs="Arial"/>
          <w:sz w:val="21"/>
          <w:szCs w:val="21"/>
        </w:rPr>
      </w:pPr>
    </w:p>
    <w:p w14:paraId="045D3852" w14:textId="77777777" w:rsidR="00E57446" w:rsidRPr="008E2A22" w:rsidRDefault="00E57446" w:rsidP="00C74E97">
      <w:pPr>
        <w:spacing w:line="360" w:lineRule="auto"/>
        <w:jc w:val="both"/>
        <w:rPr>
          <w:rFonts w:cs="Arial"/>
          <w:sz w:val="21"/>
          <w:szCs w:val="21"/>
        </w:rPr>
      </w:pPr>
    </w:p>
    <w:p w14:paraId="2804C32A" w14:textId="6C8D50AF" w:rsidR="00E57446" w:rsidRPr="008E2A22" w:rsidRDefault="00E57446" w:rsidP="00C74E97">
      <w:pPr>
        <w:spacing w:line="360" w:lineRule="auto"/>
        <w:jc w:val="both"/>
        <w:rPr>
          <w:rFonts w:cs="Arial"/>
          <w:sz w:val="21"/>
          <w:szCs w:val="21"/>
        </w:rPr>
      </w:pPr>
      <w:r w:rsidRPr="008E2A22">
        <w:rPr>
          <w:rFonts w:cs="Arial"/>
          <w:sz w:val="21"/>
          <w:szCs w:val="21"/>
        </w:rPr>
        <w:t>In the application by</w:t>
      </w:r>
    </w:p>
    <w:p w14:paraId="4521E045" w14:textId="77777777" w:rsidR="00D33A54" w:rsidRPr="008E2A22" w:rsidRDefault="00D33A54" w:rsidP="00C74E97">
      <w:pPr>
        <w:spacing w:line="360" w:lineRule="auto"/>
        <w:jc w:val="both"/>
        <w:rPr>
          <w:rFonts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8E2A22" w14:paraId="4CBFF906" w14:textId="77777777" w:rsidTr="00430142">
        <w:tc>
          <w:tcPr>
            <w:tcW w:w="6223" w:type="dxa"/>
          </w:tcPr>
          <w:p w14:paraId="07466740" w14:textId="407A6771" w:rsidR="00E57446" w:rsidRPr="008E2A22" w:rsidRDefault="00D743C0" w:rsidP="00E37B97">
            <w:pPr>
              <w:tabs>
                <w:tab w:val="right" w:pos="9070"/>
              </w:tabs>
              <w:rPr>
                <w:rFonts w:cs="Arial"/>
                <w:b/>
                <w:sz w:val="21"/>
                <w:szCs w:val="21"/>
              </w:rPr>
            </w:pPr>
            <w:r>
              <w:rPr>
                <w:rFonts w:cs="Arial"/>
                <w:b/>
                <w:sz w:val="21"/>
                <w:szCs w:val="21"/>
              </w:rPr>
              <w:t>SATIN ROCK (PTY) LTD</w:t>
            </w:r>
          </w:p>
        </w:tc>
        <w:tc>
          <w:tcPr>
            <w:tcW w:w="2318" w:type="dxa"/>
          </w:tcPr>
          <w:p w14:paraId="32F3C456" w14:textId="6F4933AD" w:rsidR="00E57446" w:rsidRPr="008E2A22" w:rsidRDefault="00D743C0" w:rsidP="00E37B97">
            <w:pPr>
              <w:rPr>
                <w:rFonts w:cs="Arial"/>
                <w:sz w:val="21"/>
                <w:szCs w:val="21"/>
              </w:rPr>
            </w:pPr>
            <w:r>
              <w:rPr>
                <w:rFonts w:cs="Arial"/>
                <w:sz w:val="21"/>
                <w:szCs w:val="21"/>
              </w:rPr>
              <w:t xml:space="preserve">First </w:t>
            </w:r>
            <w:r w:rsidR="003031A1" w:rsidRPr="008E2A22">
              <w:rPr>
                <w:rFonts w:cs="Arial"/>
                <w:sz w:val="21"/>
                <w:szCs w:val="21"/>
              </w:rPr>
              <w:t>Applicant</w:t>
            </w:r>
          </w:p>
        </w:tc>
      </w:tr>
      <w:tr w:rsidR="00E57446" w:rsidRPr="008E2A22" w14:paraId="582D8E94" w14:textId="77777777" w:rsidTr="00430142">
        <w:tc>
          <w:tcPr>
            <w:tcW w:w="6223" w:type="dxa"/>
          </w:tcPr>
          <w:p w14:paraId="02EB2173" w14:textId="10DF7F9E" w:rsidR="00E57446" w:rsidRPr="008E2A22" w:rsidRDefault="00D743C0" w:rsidP="00E37B97">
            <w:pPr>
              <w:tabs>
                <w:tab w:val="right" w:pos="9026"/>
              </w:tabs>
              <w:rPr>
                <w:rFonts w:cs="Arial"/>
                <w:b/>
                <w:bCs/>
                <w:sz w:val="21"/>
                <w:szCs w:val="21"/>
              </w:rPr>
            </w:pPr>
            <w:r>
              <w:rPr>
                <w:rFonts w:cs="Arial"/>
                <w:b/>
                <w:bCs/>
                <w:sz w:val="21"/>
                <w:szCs w:val="21"/>
              </w:rPr>
              <w:t>R</w:t>
            </w:r>
            <w:r w:rsidR="00FC6D12">
              <w:rPr>
                <w:rFonts w:cs="Arial"/>
                <w:b/>
                <w:bCs/>
                <w:sz w:val="21"/>
                <w:szCs w:val="21"/>
              </w:rPr>
              <w:t>.</w:t>
            </w:r>
            <w:r>
              <w:rPr>
                <w:rFonts w:cs="Arial"/>
                <w:b/>
                <w:bCs/>
                <w:sz w:val="21"/>
                <w:szCs w:val="21"/>
              </w:rPr>
              <w:t>L</w:t>
            </w:r>
            <w:r w:rsidR="00FC6D12">
              <w:rPr>
                <w:rFonts w:cs="Arial"/>
                <w:b/>
                <w:bCs/>
                <w:sz w:val="21"/>
                <w:szCs w:val="21"/>
              </w:rPr>
              <w:t>.</w:t>
            </w:r>
            <w:r>
              <w:rPr>
                <w:rFonts w:cs="Arial"/>
                <w:b/>
                <w:bCs/>
                <w:sz w:val="21"/>
                <w:szCs w:val="21"/>
              </w:rPr>
              <w:t xml:space="preserve"> DEVELOPMENT &amp; CONSTRUCTION</w:t>
            </w:r>
          </w:p>
          <w:p w14:paraId="7BC13697" w14:textId="13F5AAC0" w:rsidR="00E37B97" w:rsidRPr="008E2A22" w:rsidRDefault="00E37B97" w:rsidP="00E37B97">
            <w:pPr>
              <w:tabs>
                <w:tab w:val="right" w:pos="9026"/>
              </w:tabs>
              <w:rPr>
                <w:rFonts w:cs="Arial"/>
                <w:b/>
                <w:bCs/>
                <w:sz w:val="21"/>
                <w:szCs w:val="21"/>
              </w:rPr>
            </w:pPr>
          </w:p>
        </w:tc>
        <w:tc>
          <w:tcPr>
            <w:tcW w:w="2318" w:type="dxa"/>
          </w:tcPr>
          <w:p w14:paraId="3E582FC6" w14:textId="0B38FB08" w:rsidR="00E57446" w:rsidRPr="008E2A22" w:rsidRDefault="00D743C0" w:rsidP="00E37B97">
            <w:pPr>
              <w:rPr>
                <w:rFonts w:cs="Arial"/>
                <w:sz w:val="21"/>
                <w:szCs w:val="21"/>
              </w:rPr>
            </w:pPr>
            <w:r>
              <w:rPr>
                <w:rFonts w:cs="Arial"/>
                <w:sz w:val="21"/>
                <w:szCs w:val="21"/>
              </w:rPr>
              <w:t>Second Applicant</w:t>
            </w:r>
          </w:p>
        </w:tc>
      </w:tr>
      <w:tr w:rsidR="000F00EF" w:rsidRPr="008E2A22" w14:paraId="72126C43" w14:textId="77777777" w:rsidTr="00430142">
        <w:tc>
          <w:tcPr>
            <w:tcW w:w="6223" w:type="dxa"/>
          </w:tcPr>
          <w:p w14:paraId="6AB7A96B" w14:textId="5C78C00E" w:rsidR="00E37B97" w:rsidRDefault="00E676E7" w:rsidP="00E37B97">
            <w:pPr>
              <w:tabs>
                <w:tab w:val="right" w:pos="9070"/>
              </w:tabs>
              <w:rPr>
                <w:rFonts w:cs="Arial"/>
                <w:b/>
                <w:bCs/>
                <w:sz w:val="21"/>
                <w:szCs w:val="21"/>
              </w:rPr>
            </w:pPr>
            <w:r>
              <w:rPr>
                <w:rFonts w:cs="Arial"/>
                <w:b/>
                <w:bCs/>
                <w:sz w:val="21"/>
                <w:szCs w:val="21"/>
              </w:rPr>
              <w:t>and</w:t>
            </w:r>
          </w:p>
          <w:p w14:paraId="35C8FDE9" w14:textId="1B512C1D" w:rsidR="00D743C0" w:rsidRPr="008E2A22" w:rsidRDefault="00D743C0" w:rsidP="00E37B97">
            <w:pPr>
              <w:tabs>
                <w:tab w:val="right" w:pos="9070"/>
              </w:tabs>
              <w:rPr>
                <w:rFonts w:cs="Arial"/>
                <w:b/>
                <w:bCs/>
                <w:sz w:val="21"/>
                <w:szCs w:val="21"/>
              </w:rPr>
            </w:pPr>
          </w:p>
        </w:tc>
        <w:tc>
          <w:tcPr>
            <w:tcW w:w="2318" w:type="dxa"/>
          </w:tcPr>
          <w:p w14:paraId="7AC1A636" w14:textId="14160458" w:rsidR="000F00EF" w:rsidRPr="008E2A22" w:rsidRDefault="000F00EF" w:rsidP="00E37B97">
            <w:pPr>
              <w:rPr>
                <w:rFonts w:cs="Arial"/>
                <w:sz w:val="21"/>
                <w:szCs w:val="21"/>
              </w:rPr>
            </w:pPr>
          </w:p>
        </w:tc>
      </w:tr>
      <w:tr w:rsidR="00D743C0" w:rsidRPr="008E2A22" w14:paraId="7D1AC55D" w14:textId="77777777" w:rsidTr="00430142">
        <w:tc>
          <w:tcPr>
            <w:tcW w:w="6223" w:type="dxa"/>
          </w:tcPr>
          <w:p w14:paraId="0DBB61BA" w14:textId="78BA4DE6" w:rsidR="00D743C0" w:rsidRPr="008E2A22" w:rsidRDefault="00E676E7" w:rsidP="00E37B97">
            <w:pPr>
              <w:tabs>
                <w:tab w:val="right" w:pos="9070"/>
              </w:tabs>
              <w:rPr>
                <w:rFonts w:cs="Arial"/>
                <w:b/>
                <w:bCs/>
                <w:sz w:val="21"/>
                <w:szCs w:val="21"/>
              </w:rPr>
            </w:pPr>
            <w:r>
              <w:rPr>
                <w:rFonts w:cs="Arial"/>
                <w:b/>
                <w:bCs/>
                <w:sz w:val="21"/>
                <w:szCs w:val="21"/>
              </w:rPr>
              <w:t>TEICHMAN, MARK HERBERT</w:t>
            </w:r>
          </w:p>
        </w:tc>
        <w:tc>
          <w:tcPr>
            <w:tcW w:w="2318" w:type="dxa"/>
          </w:tcPr>
          <w:p w14:paraId="68A0D510" w14:textId="616922B2" w:rsidR="00D743C0" w:rsidRPr="008E2A22" w:rsidRDefault="00E676E7" w:rsidP="00E37B97">
            <w:pPr>
              <w:rPr>
                <w:rFonts w:cs="Arial"/>
                <w:sz w:val="21"/>
                <w:szCs w:val="21"/>
              </w:rPr>
            </w:pPr>
            <w:r>
              <w:rPr>
                <w:rFonts w:cs="Arial"/>
                <w:sz w:val="21"/>
                <w:szCs w:val="21"/>
              </w:rPr>
              <w:t>Respondent</w:t>
            </w:r>
          </w:p>
        </w:tc>
      </w:tr>
      <w:tr w:rsidR="000F00EF" w:rsidRPr="008E2A22" w14:paraId="5E2E11F1" w14:textId="77777777" w:rsidTr="00430142">
        <w:tc>
          <w:tcPr>
            <w:tcW w:w="6223" w:type="dxa"/>
          </w:tcPr>
          <w:p w14:paraId="5911C2F7" w14:textId="77777777" w:rsidR="00E37B97" w:rsidRPr="008E2A22" w:rsidRDefault="00E37B97" w:rsidP="00E37B97">
            <w:pPr>
              <w:tabs>
                <w:tab w:val="right" w:pos="9070"/>
              </w:tabs>
              <w:rPr>
                <w:rFonts w:cs="Arial"/>
                <w:b/>
                <w:bCs/>
                <w:sz w:val="21"/>
                <w:szCs w:val="21"/>
              </w:rPr>
            </w:pPr>
          </w:p>
          <w:p w14:paraId="3F07C8A3" w14:textId="77777777" w:rsidR="008A32BD" w:rsidRPr="008E2A22" w:rsidRDefault="008A32BD" w:rsidP="00E37B97">
            <w:pPr>
              <w:tabs>
                <w:tab w:val="right" w:pos="9070"/>
              </w:tabs>
              <w:rPr>
                <w:rFonts w:cs="Arial"/>
                <w:i/>
                <w:iCs/>
                <w:sz w:val="21"/>
                <w:szCs w:val="21"/>
              </w:rPr>
            </w:pPr>
            <w:r w:rsidRPr="008E2A22">
              <w:rPr>
                <w:rFonts w:cs="Arial"/>
                <w:i/>
                <w:iCs/>
                <w:sz w:val="21"/>
                <w:szCs w:val="21"/>
              </w:rPr>
              <w:t>In re</w:t>
            </w:r>
          </w:p>
          <w:p w14:paraId="3E1783E7" w14:textId="02B975B6" w:rsidR="008A32BD" w:rsidRPr="008E2A22" w:rsidRDefault="008A32BD" w:rsidP="00E37B97">
            <w:pPr>
              <w:tabs>
                <w:tab w:val="right" w:pos="9070"/>
              </w:tabs>
              <w:rPr>
                <w:rFonts w:cs="Arial"/>
                <w:b/>
                <w:bCs/>
                <w:sz w:val="21"/>
                <w:szCs w:val="21"/>
              </w:rPr>
            </w:pPr>
          </w:p>
        </w:tc>
        <w:tc>
          <w:tcPr>
            <w:tcW w:w="2318" w:type="dxa"/>
          </w:tcPr>
          <w:p w14:paraId="272C00F9" w14:textId="569B34C1" w:rsidR="00430142" w:rsidRPr="008E2A22" w:rsidRDefault="00430142" w:rsidP="00E37B97">
            <w:pPr>
              <w:rPr>
                <w:rFonts w:cs="Arial"/>
                <w:sz w:val="21"/>
                <w:szCs w:val="21"/>
              </w:rPr>
            </w:pPr>
          </w:p>
        </w:tc>
      </w:tr>
      <w:tr w:rsidR="00430142" w:rsidRPr="008E2A22" w14:paraId="3EB57834" w14:textId="77777777" w:rsidTr="00430142">
        <w:tc>
          <w:tcPr>
            <w:tcW w:w="6223" w:type="dxa"/>
          </w:tcPr>
          <w:p w14:paraId="12D66C38" w14:textId="57FE8038" w:rsidR="00E37B97" w:rsidRPr="008E2A22" w:rsidRDefault="00E676E7" w:rsidP="00415439">
            <w:pPr>
              <w:tabs>
                <w:tab w:val="center" w:pos="3003"/>
              </w:tabs>
              <w:rPr>
                <w:rFonts w:cs="Arial"/>
                <w:b/>
                <w:snapToGrid w:val="0"/>
                <w:spacing w:val="-3"/>
                <w:sz w:val="21"/>
                <w:szCs w:val="21"/>
              </w:rPr>
            </w:pPr>
            <w:r>
              <w:rPr>
                <w:rFonts w:cs="Arial"/>
                <w:b/>
                <w:bCs/>
                <w:sz w:val="21"/>
                <w:szCs w:val="21"/>
              </w:rPr>
              <w:t>TEICHMAN, MARK HERBERT</w:t>
            </w:r>
          </w:p>
        </w:tc>
        <w:tc>
          <w:tcPr>
            <w:tcW w:w="2318" w:type="dxa"/>
          </w:tcPr>
          <w:p w14:paraId="47024FA0" w14:textId="67D8BD5B" w:rsidR="00E37B97" w:rsidRPr="008E2A22" w:rsidRDefault="00E676E7" w:rsidP="002709AE">
            <w:pPr>
              <w:rPr>
                <w:rFonts w:cs="Arial"/>
                <w:sz w:val="21"/>
                <w:szCs w:val="21"/>
              </w:rPr>
            </w:pPr>
            <w:r>
              <w:rPr>
                <w:rFonts w:cs="Arial"/>
                <w:sz w:val="21"/>
                <w:szCs w:val="21"/>
              </w:rPr>
              <w:t>Applicant</w:t>
            </w:r>
          </w:p>
        </w:tc>
      </w:tr>
      <w:tr w:rsidR="00430142" w:rsidRPr="008E2A22" w14:paraId="2EAC63E5" w14:textId="77777777" w:rsidTr="00430142">
        <w:tc>
          <w:tcPr>
            <w:tcW w:w="6223" w:type="dxa"/>
          </w:tcPr>
          <w:p w14:paraId="7066D08D" w14:textId="77777777" w:rsidR="00430142" w:rsidRPr="008E2A22" w:rsidRDefault="00430142" w:rsidP="00E37B97">
            <w:pPr>
              <w:tabs>
                <w:tab w:val="right" w:pos="9070"/>
              </w:tabs>
              <w:rPr>
                <w:rFonts w:cs="Arial"/>
                <w:b/>
                <w:snapToGrid w:val="0"/>
                <w:spacing w:val="-3"/>
                <w:sz w:val="21"/>
                <w:szCs w:val="21"/>
                <w:lang w:val="en-GB"/>
              </w:rPr>
            </w:pPr>
          </w:p>
          <w:p w14:paraId="33E12A85" w14:textId="58854931" w:rsidR="00D33A54" w:rsidRPr="008E2A22" w:rsidRDefault="00D33A54" w:rsidP="00E37B97">
            <w:pPr>
              <w:tabs>
                <w:tab w:val="right" w:pos="9070"/>
              </w:tabs>
              <w:rPr>
                <w:rFonts w:cs="Arial"/>
                <w:b/>
                <w:snapToGrid w:val="0"/>
                <w:spacing w:val="-3"/>
                <w:sz w:val="21"/>
                <w:szCs w:val="21"/>
                <w:lang w:val="en-GB"/>
              </w:rPr>
            </w:pPr>
            <w:r w:rsidRPr="008E2A22">
              <w:rPr>
                <w:rFonts w:cs="Arial"/>
                <w:b/>
                <w:snapToGrid w:val="0"/>
                <w:spacing w:val="-3"/>
                <w:sz w:val="21"/>
                <w:szCs w:val="21"/>
                <w:lang w:val="en-GB"/>
              </w:rPr>
              <w:t>and</w:t>
            </w:r>
          </w:p>
          <w:p w14:paraId="63062862" w14:textId="607070E1" w:rsidR="00D33A54" w:rsidRPr="008E2A22" w:rsidRDefault="00D33A54" w:rsidP="00E37B97">
            <w:pPr>
              <w:tabs>
                <w:tab w:val="right" w:pos="9070"/>
              </w:tabs>
              <w:rPr>
                <w:rFonts w:cs="Arial"/>
                <w:b/>
                <w:snapToGrid w:val="0"/>
                <w:spacing w:val="-3"/>
                <w:sz w:val="21"/>
                <w:szCs w:val="21"/>
                <w:lang w:val="en-GB"/>
              </w:rPr>
            </w:pPr>
          </w:p>
        </w:tc>
        <w:tc>
          <w:tcPr>
            <w:tcW w:w="2318" w:type="dxa"/>
          </w:tcPr>
          <w:p w14:paraId="7E481722" w14:textId="790058BA" w:rsidR="00430142" w:rsidRPr="008E2A22" w:rsidRDefault="00430142" w:rsidP="00E37B97">
            <w:pPr>
              <w:rPr>
                <w:rFonts w:cs="Arial"/>
                <w:sz w:val="21"/>
                <w:szCs w:val="21"/>
              </w:rPr>
            </w:pPr>
          </w:p>
        </w:tc>
      </w:tr>
      <w:tr w:rsidR="00415439" w:rsidRPr="008E2A22" w14:paraId="2567635F" w14:textId="77777777" w:rsidTr="00430142">
        <w:tc>
          <w:tcPr>
            <w:tcW w:w="6223" w:type="dxa"/>
          </w:tcPr>
          <w:p w14:paraId="154308FD" w14:textId="4C9AB1AE" w:rsidR="00415439"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SATIN ROCK (PTY) LTD</w:t>
            </w:r>
          </w:p>
        </w:tc>
        <w:tc>
          <w:tcPr>
            <w:tcW w:w="2318" w:type="dxa"/>
          </w:tcPr>
          <w:p w14:paraId="47BC7F2B" w14:textId="5DE7616F" w:rsidR="00415439" w:rsidRPr="008E2A22" w:rsidRDefault="00E676E7" w:rsidP="00E37B97">
            <w:pPr>
              <w:rPr>
                <w:rFonts w:cs="Arial"/>
                <w:sz w:val="21"/>
                <w:szCs w:val="21"/>
              </w:rPr>
            </w:pPr>
            <w:r>
              <w:rPr>
                <w:rFonts w:cs="Arial"/>
                <w:sz w:val="21"/>
                <w:szCs w:val="21"/>
              </w:rPr>
              <w:t>First Respondent</w:t>
            </w:r>
          </w:p>
        </w:tc>
      </w:tr>
      <w:tr w:rsidR="00E676E7" w:rsidRPr="008E2A22" w14:paraId="3BA8CAAA" w14:textId="77777777" w:rsidTr="00430142">
        <w:tc>
          <w:tcPr>
            <w:tcW w:w="6223" w:type="dxa"/>
          </w:tcPr>
          <w:p w14:paraId="42595034" w14:textId="19F23F49"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LEISHER, LORNA MARY</w:t>
            </w:r>
          </w:p>
        </w:tc>
        <w:tc>
          <w:tcPr>
            <w:tcW w:w="2318" w:type="dxa"/>
          </w:tcPr>
          <w:p w14:paraId="7766BE8B" w14:textId="51DF4614" w:rsidR="00E676E7" w:rsidRDefault="00E676E7" w:rsidP="00E37B97">
            <w:pPr>
              <w:rPr>
                <w:rFonts w:cs="Arial"/>
                <w:sz w:val="21"/>
                <w:szCs w:val="21"/>
              </w:rPr>
            </w:pPr>
            <w:r>
              <w:rPr>
                <w:rFonts w:cs="Arial"/>
                <w:sz w:val="21"/>
                <w:szCs w:val="21"/>
              </w:rPr>
              <w:t>Second Respondent</w:t>
            </w:r>
          </w:p>
        </w:tc>
      </w:tr>
      <w:tr w:rsidR="00E676E7" w:rsidRPr="008E2A22" w14:paraId="77749261" w14:textId="77777777" w:rsidTr="00430142">
        <w:tc>
          <w:tcPr>
            <w:tcW w:w="6223" w:type="dxa"/>
          </w:tcPr>
          <w:p w14:paraId="2C3F7EC9" w14:textId="5CC859BB"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LEISHER, ANTHONY RAYMOND</w:t>
            </w:r>
          </w:p>
        </w:tc>
        <w:tc>
          <w:tcPr>
            <w:tcW w:w="2318" w:type="dxa"/>
          </w:tcPr>
          <w:p w14:paraId="1AEFAAB5" w14:textId="528E12EE" w:rsidR="00E676E7" w:rsidRDefault="00E676E7" w:rsidP="00E37B97">
            <w:pPr>
              <w:rPr>
                <w:rFonts w:cs="Arial"/>
                <w:sz w:val="21"/>
                <w:szCs w:val="21"/>
              </w:rPr>
            </w:pPr>
            <w:r>
              <w:rPr>
                <w:rFonts w:cs="Arial"/>
                <w:sz w:val="21"/>
                <w:szCs w:val="21"/>
              </w:rPr>
              <w:t>Third Respondent</w:t>
            </w:r>
          </w:p>
        </w:tc>
      </w:tr>
      <w:tr w:rsidR="00E676E7" w:rsidRPr="008E2A22" w14:paraId="39978C61" w14:textId="77777777" w:rsidTr="00430142">
        <w:tc>
          <w:tcPr>
            <w:tcW w:w="6223" w:type="dxa"/>
          </w:tcPr>
          <w:p w14:paraId="127A5F34" w14:textId="5FE2CE89" w:rsidR="00E676E7" w:rsidRPr="008E2A22" w:rsidRDefault="00E676E7" w:rsidP="00E37B97">
            <w:pPr>
              <w:tabs>
                <w:tab w:val="right" w:pos="9070"/>
              </w:tabs>
              <w:rPr>
                <w:rFonts w:cs="Arial"/>
                <w:b/>
                <w:snapToGrid w:val="0"/>
                <w:spacing w:val="-3"/>
                <w:sz w:val="21"/>
                <w:szCs w:val="21"/>
                <w:lang w:val="en-GB"/>
              </w:rPr>
            </w:pPr>
            <w:r>
              <w:rPr>
                <w:rFonts w:cs="Arial"/>
                <w:b/>
                <w:snapToGrid w:val="0"/>
                <w:spacing w:val="-3"/>
                <w:sz w:val="21"/>
                <w:szCs w:val="21"/>
                <w:lang w:val="en-GB"/>
              </w:rPr>
              <w:t>R</w:t>
            </w:r>
            <w:r w:rsidR="00FC6D12">
              <w:rPr>
                <w:rFonts w:cs="Arial"/>
                <w:b/>
                <w:snapToGrid w:val="0"/>
                <w:spacing w:val="-3"/>
                <w:sz w:val="21"/>
                <w:szCs w:val="21"/>
                <w:lang w:val="en-GB"/>
              </w:rPr>
              <w:t>.</w:t>
            </w:r>
            <w:r>
              <w:rPr>
                <w:rFonts w:cs="Arial"/>
                <w:b/>
                <w:snapToGrid w:val="0"/>
                <w:spacing w:val="-3"/>
                <w:sz w:val="21"/>
                <w:szCs w:val="21"/>
                <w:lang w:val="en-GB"/>
              </w:rPr>
              <w:t>L</w:t>
            </w:r>
            <w:r w:rsidR="00FC6D12">
              <w:rPr>
                <w:rFonts w:cs="Arial"/>
                <w:b/>
                <w:snapToGrid w:val="0"/>
                <w:spacing w:val="-3"/>
                <w:sz w:val="21"/>
                <w:szCs w:val="21"/>
                <w:lang w:val="en-GB"/>
              </w:rPr>
              <w:t>.</w:t>
            </w:r>
            <w:r>
              <w:rPr>
                <w:rFonts w:cs="Arial"/>
                <w:b/>
                <w:snapToGrid w:val="0"/>
                <w:spacing w:val="-3"/>
                <w:sz w:val="21"/>
                <w:szCs w:val="21"/>
                <w:lang w:val="en-GB"/>
              </w:rPr>
              <w:t xml:space="preserve"> DEVELOPMENT &amp; CONSTRUCTION</w:t>
            </w:r>
          </w:p>
        </w:tc>
        <w:tc>
          <w:tcPr>
            <w:tcW w:w="2318" w:type="dxa"/>
          </w:tcPr>
          <w:p w14:paraId="7BA30F86" w14:textId="5062DE75" w:rsidR="00E676E7" w:rsidRDefault="00E676E7" w:rsidP="00E37B97">
            <w:pPr>
              <w:rPr>
                <w:rFonts w:cs="Arial"/>
                <w:sz w:val="21"/>
                <w:szCs w:val="21"/>
              </w:rPr>
            </w:pPr>
            <w:r>
              <w:rPr>
                <w:rFonts w:cs="Arial"/>
                <w:sz w:val="21"/>
                <w:szCs w:val="21"/>
              </w:rPr>
              <w:t>Fourth Respondent</w:t>
            </w:r>
          </w:p>
        </w:tc>
      </w:tr>
    </w:tbl>
    <w:p w14:paraId="2E9E9900" w14:textId="77777777" w:rsidR="0023405C" w:rsidRPr="008E2A22" w:rsidRDefault="0023405C" w:rsidP="00C74E97">
      <w:pPr>
        <w:pBdr>
          <w:bottom w:val="single" w:sz="4" w:space="1" w:color="auto"/>
        </w:pBdr>
        <w:spacing w:line="360" w:lineRule="auto"/>
        <w:jc w:val="both"/>
        <w:rPr>
          <w:rFonts w:cs="Arial"/>
          <w:sz w:val="21"/>
          <w:szCs w:val="21"/>
        </w:rPr>
      </w:pPr>
    </w:p>
    <w:p w14:paraId="67781CE9" w14:textId="77777777" w:rsidR="0023405C" w:rsidRPr="008E2A22" w:rsidRDefault="0023405C" w:rsidP="00C74E97">
      <w:pPr>
        <w:pBdr>
          <w:bottom w:val="single" w:sz="4" w:space="1" w:color="auto"/>
        </w:pBdr>
        <w:spacing w:line="360" w:lineRule="auto"/>
        <w:jc w:val="both"/>
        <w:rPr>
          <w:rFonts w:cs="Arial"/>
          <w:sz w:val="21"/>
          <w:szCs w:val="21"/>
        </w:rPr>
      </w:pPr>
    </w:p>
    <w:p w14:paraId="58DE5549" w14:textId="77777777" w:rsidR="006C43D7" w:rsidRPr="008E2A22" w:rsidRDefault="006C43D7" w:rsidP="00C74E97">
      <w:pPr>
        <w:spacing w:line="360" w:lineRule="auto"/>
        <w:jc w:val="both"/>
        <w:rPr>
          <w:rFonts w:cs="Arial"/>
          <w:sz w:val="21"/>
          <w:szCs w:val="21"/>
        </w:rPr>
      </w:pPr>
    </w:p>
    <w:p w14:paraId="647AB70C" w14:textId="77777777" w:rsidR="006C43D7" w:rsidRPr="008E2A22" w:rsidRDefault="006C43D7" w:rsidP="00C74E97">
      <w:pPr>
        <w:keepNext/>
        <w:spacing w:line="360" w:lineRule="auto"/>
        <w:jc w:val="center"/>
        <w:outlineLvl w:val="1"/>
        <w:rPr>
          <w:rFonts w:cs="Arial"/>
          <w:b/>
          <w:bCs/>
          <w:sz w:val="21"/>
          <w:szCs w:val="21"/>
        </w:rPr>
      </w:pPr>
      <w:r w:rsidRPr="008E2A22">
        <w:rPr>
          <w:rFonts w:cs="Arial"/>
          <w:b/>
          <w:bCs/>
          <w:sz w:val="21"/>
          <w:szCs w:val="21"/>
        </w:rPr>
        <w:t>JUDGMENT</w:t>
      </w:r>
    </w:p>
    <w:p w14:paraId="52CD25EB" w14:textId="77777777" w:rsidR="006C43D7" w:rsidRPr="008E2A22" w:rsidRDefault="006C43D7" w:rsidP="00C74E97">
      <w:pPr>
        <w:pBdr>
          <w:bottom w:val="single" w:sz="4" w:space="1" w:color="auto"/>
        </w:pBdr>
        <w:spacing w:line="360" w:lineRule="auto"/>
        <w:jc w:val="both"/>
        <w:rPr>
          <w:rFonts w:cs="Arial"/>
          <w:sz w:val="21"/>
          <w:szCs w:val="21"/>
        </w:rPr>
      </w:pPr>
    </w:p>
    <w:p w14:paraId="2FFFE5A8" w14:textId="77777777" w:rsidR="0040197A" w:rsidRPr="008E2A22" w:rsidRDefault="0040197A" w:rsidP="00C74E97">
      <w:pPr>
        <w:spacing w:after="480" w:line="360" w:lineRule="auto"/>
        <w:jc w:val="both"/>
        <w:rPr>
          <w:rFonts w:cs="Arial"/>
          <w:b/>
          <w:sz w:val="21"/>
          <w:szCs w:val="21"/>
        </w:rPr>
      </w:pPr>
    </w:p>
    <w:p w14:paraId="5BD82EFE" w14:textId="147D8FBC" w:rsidR="00BE6AB8" w:rsidRPr="008E2A22" w:rsidRDefault="00C676F3" w:rsidP="00C74E97">
      <w:pPr>
        <w:spacing w:after="480" w:line="360" w:lineRule="auto"/>
        <w:jc w:val="both"/>
        <w:rPr>
          <w:rFonts w:cs="Arial"/>
          <w:b/>
          <w:sz w:val="21"/>
          <w:szCs w:val="21"/>
        </w:rPr>
      </w:pPr>
      <w:r w:rsidRPr="008E2A22">
        <w:rPr>
          <w:rFonts w:cs="Arial"/>
          <w:b/>
          <w:sz w:val="21"/>
          <w:szCs w:val="21"/>
        </w:rPr>
        <w:lastRenderedPageBreak/>
        <w:t>MOORCROFT</w:t>
      </w:r>
      <w:r w:rsidR="006C43D7" w:rsidRPr="008E2A22">
        <w:rPr>
          <w:rFonts w:cs="Arial"/>
          <w:b/>
          <w:sz w:val="21"/>
          <w:szCs w:val="21"/>
        </w:rPr>
        <w:t xml:space="preserve"> AJ:</w:t>
      </w:r>
    </w:p>
    <w:p w14:paraId="5B9302F1" w14:textId="576D4E4A" w:rsidR="001F361F" w:rsidRPr="008E2A22" w:rsidRDefault="00C460A0" w:rsidP="00FE60F7">
      <w:pPr>
        <w:keepNext/>
        <w:spacing w:after="480" w:line="360" w:lineRule="auto"/>
        <w:jc w:val="both"/>
        <w:rPr>
          <w:rFonts w:cs="Arial"/>
          <w:bCs/>
          <w:i/>
          <w:iCs/>
          <w:sz w:val="21"/>
          <w:szCs w:val="21"/>
          <w:u w:val="single"/>
        </w:rPr>
      </w:pPr>
      <w:r w:rsidRPr="008E2A22">
        <w:rPr>
          <w:rFonts w:cs="Arial"/>
          <w:bCs/>
          <w:i/>
          <w:iCs/>
          <w:sz w:val="21"/>
          <w:szCs w:val="21"/>
          <w:u w:val="single"/>
        </w:rPr>
        <w:t>Summary</w:t>
      </w:r>
    </w:p>
    <w:p w14:paraId="5ABA4249" w14:textId="41B09A43" w:rsidR="00D33A54" w:rsidRDefault="00E676E7" w:rsidP="00FE60F7">
      <w:pPr>
        <w:keepNext/>
        <w:spacing w:after="480" w:line="360" w:lineRule="auto"/>
        <w:jc w:val="both"/>
        <w:rPr>
          <w:rFonts w:cs="Arial"/>
          <w:bCs/>
          <w:i/>
          <w:iCs/>
          <w:sz w:val="21"/>
          <w:szCs w:val="21"/>
        </w:rPr>
      </w:pPr>
      <w:r>
        <w:rPr>
          <w:rFonts w:cs="Arial"/>
          <w:bCs/>
          <w:i/>
          <w:iCs/>
          <w:sz w:val="21"/>
          <w:szCs w:val="21"/>
        </w:rPr>
        <w:t xml:space="preserve">Rescission of judgment </w:t>
      </w:r>
      <w:r w:rsidR="00FE60F7">
        <w:rPr>
          <w:rFonts w:cs="Arial"/>
          <w:bCs/>
          <w:i/>
          <w:iCs/>
          <w:sz w:val="21"/>
          <w:szCs w:val="21"/>
        </w:rPr>
        <w:t>–</w:t>
      </w:r>
      <w:r>
        <w:rPr>
          <w:rFonts w:cs="Arial"/>
          <w:bCs/>
          <w:i/>
          <w:iCs/>
          <w:sz w:val="21"/>
          <w:szCs w:val="21"/>
        </w:rPr>
        <w:t xml:space="preserve"> </w:t>
      </w:r>
      <w:r w:rsidR="00FE60F7">
        <w:rPr>
          <w:rFonts w:cs="Arial"/>
          <w:bCs/>
          <w:i/>
          <w:iCs/>
          <w:sz w:val="21"/>
          <w:szCs w:val="21"/>
        </w:rPr>
        <w:t>common law and rule 31(2)(b) - good cause – requirements of a reasonable explanation and a bona fide defence</w:t>
      </w:r>
    </w:p>
    <w:p w14:paraId="34E7C541" w14:textId="2FADDB6F" w:rsidR="00FE60F7" w:rsidRPr="008E2A22" w:rsidRDefault="00FE60F7" w:rsidP="00FE60F7">
      <w:pPr>
        <w:keepNext/>
        <w:spacing w:after="480" w:line="360" w:lineRule="auto"/>
        <w:jc w:val="both"/>
        <w:rPr>
          <w:rFonts w:cs="Arial"/>
          <w:bCs/>
          <w:i/>
          <w:iCs/>
          <w:sz w:val="21"/>
          <w:szCs w:val="21"/>
        </w:rPr>
      </w:pPr>
      <w:r>
        <w:rPr>
          <w:rFonts w:cs="Arial"/>
          <w:bCs/>
          <w:i/>
          <w:iCs/>
          <w:sz w:val="21"/>
          <w:szCs w:val="21"/>
        </w:rPr>
        <w:t>Rule 42(1)(a) – failure to comply with procedural requirements</w:t>
      </w:r>
    </w:p>
    <w:p w14:paraId="18AFD427" w14:textId="7B3D0B7D" w:rsidR="00BE6AB8" w:rsidRPr="008E2A22" w:rsidRDefault="00BE6AB8" w:rsidP="00FE60F7">
      <w:pPr>
        <w:keepNext/>
        <w:spacing w:after="480" w:line="360" w:lineRule="auto"/>
        <w:jc w:val="both"/>
        <w:rPr>
          <w:rFonts w:cs="Arial"/>
          <w:bCs/>
          <w:sz w:val="21"/>
          <w:szCs w:val="21"/>
          <w:u w:val="single"/>
        </w:rPr>
      </w:pPr>
      <w:r w:rsidRPr="008E2A22">
        <w:rPr>
          <w:rFonts w:cs="Arial"/>
          <w:bCs/>
          <w:sz w:val="21"/>
          <w:szCs w:val="21"/>
          <w:u w:val="single"/>
        </w:rPr>
        <w:t>Order</w:t>
      </w:r>
    </w:p>
    <w:p w14:paraId="63515C87" w14:textId="1DEDC0FF" w:rsidR="004E3D0E" w:rsidRPr="008E2A22" w:rsidRDefault="0037071D" w:rsidP="0037071D">
      <w:pPr>
        <w:tabs>
          <w:tab w:val="left" w:pos="567"/>
        </w:tabs>
        <w:spacing w:after="480" w:line="360" w:lineRule="auto"/>
        <w:jc w:val="both"/>
        <w:rPr>
          <w:rFonts w:cs="Arial"/>
          <w:i/>
          <w:iCs/>
          <w:sz w:val="21"/>
          <w:szCs w:val="21"/>
        </w:rPr>
      </w:pPr>
      <w:r w:rsidRPr="008E2A22">
        <w:rPr>
          <w:rFonts w:cs="Arial"/>
          <w:iCs/>
          <w:sz w:val="21"/>
          <w:szCs w:val="21"/>
        </w:rPr>
        <w:t>[1]</w:t>
      </w:r>
      <w:r w:rsidRPr="008E2A22">
        <w:rPr>
          <w:rFonts w:cs="Arial"/>
          <w:iCs/>
          <w:sz w:val="21"/>
          <w:szCs w:val="21"/>
        </w:rPr>
        <w:tab/>
      </w:r>
      <w:r w:rsidR="003B4100" w:rsidRPr="008E2A22">
        <w:rPr>
          <w:rFonts w:cs="Arial"/>
          <w:bCs/>
          <w:sz w:val="21"/>
          <w:szCs w:val="21"/>
        </w:rPr>
        <w:t xml:space="preserve">In this </w:t>
      </w:r>
      <w:r w:rsidR="00B56906" w:rsidRPr="008E2A22">
        <w:rPr>
          <w:rFonts w:cs="Arial"/>
          <w:bCs/>
          <w:sz w:val="21"/>
          <w:szCs w:val="21"/>
        </w:rPr>
        <w:t xml:space="preserve">matter </w:t>
      </w:r>
      <w:r w:rsidR="00C460A0" w:rsidRPr="008E2A22">
        <w:rPr>
          <w:rFonts w:cs="Arial"/>
          <w:bCs/>
          <w:sz w:val="21"/>
          <w:szCs w:val="21"/>
        </w:rPr>
        <w:t>I ma</w:t>
      </w:r>
      <w:r w:rsidR="000976D2" w:rsidRPr="008E2A22">
        <w:rPr>
          <w:rFonts w:cs="Arial"/>
          <w:bCs/>
          <w:sz w:val="21"/>
          <w:szCs w:val="21"/>
        </w:rPr>
        <w:t>k</w:t>
      </w:r>
      <w:r w:rsidR="00DC6EF8" w:rsidRPr="008E2A22">
        <w:rPr>
          <w:rFonts w:cs="Arial"/>
          <w:bCs/>
          <w:sz w:val="21"/>
          <w:szCs w:val="21"/>
        </w:rPr>
        <w:t>e</w:t>
      </w:r>
      <w:r w:rsidR="00C460A0" w:rsidRPr="008E2A22">
        <w:rPr>
          <w:rFonts w:cs="Arial"/>
          <w:bCs/>
          <w:sz w:val="21"/>
          <w:szCs w:val="21"/>
        </w:rPr>
        <w:t xml:space="preserve"> the following order</w:t>
      </w:r>
      <w:r w:rsidR="000976D2" w:rsidRPr="008E2A22">
        <w:rPr>
          <w:rFonts w:cs="Arial"/>
          <w:bCs/>
          <w:sz w:val="21"/>
          <w:szCs w:val="21"/>
        </w:rPr>
        <w:t>:</w:t>
      </w:r>
    </w:p>
    <w:p w14:paraId="3762B1F0" w14:textId="2CD90DA8" w:rsidR="00E676E7" w:rsidRPr="0037071D" w:rsidRDefault="0037071D" w:rsidP="0037071D">
      <w:pPr>
        <w:spacing w:after="480" w:line="360" w:lineRule="auto"/>
        <w:ind w:left="720" w:hanging="360"/>
        <w:jc w:val="both"/>
        <w:rPr>
          <w:rFonts w:cs="Arial"/>
          <w:i/>
          <w:iCs/>
          <w:sz w:val="21"/>
          <w:szCs w:val="21"/>
        </w:rPr>
      </w:pPr>
      <w:r>
        <w:rPr>
          <w:rFonts w:cs="Arial"/>
          <w:i/>
          <w:iCs/>
          <w:sz w:val="21"/>
          <w:szCs w:val="21"/>
        </w:rPr>
        <w:t>1.</w:t>
      </w:r>
      <w:r>
        <w:rPr>
          <w:rFonts w:cs="Arial"/>
          <w:i/>
          <w:iCs/>
          <w:sz w:val="21"/>
          <w:szCs w:val="21"/>
        </w:rPr>
        <w:tab/>
      </w:r>
      <w:r w:rsidR="00B71116" w:rsidRPr="0037071D">
        <w:rPr>
          <w:rFonts w:cs="Arial"/>
          <w:i/>
          <w:iCs/>
          <w:sz w:val="21"/>
          <w:szCs w:val="21"/>
        </w:rPr>
        <w:t>The application is dismissed;</w:t>
      </w:r>
    </w:p>
    <w:p w14:paraId="740EF241" w14:textId="654B2924" w:rsidR="002B1F55" w:rsidRPr="0037071D" w:rsidRDefault="0037071D" w:rsidP="0037071D">
      <w:pPr>
        <w:spacing w:after="480" w:line="360" w:lineRule="auto"/>
        <w:ind w:left="720" w:hanging="360"/>
        <w:jc w:val="both"/>
        <w:rPr>
          <w:rFonts w:cs="Arial"/>
          <w:i/>
          <w:iCs/>
          <w:sz w:val="21"/>
          <w:szCs w:val="21"/>
        </w:rPr>
      </w:pPr>
      <w:r>
        <w:rPr>
          <w:rFonts w:cs="Arial"/>
          <w:i/>
          <w:iCs/>
          <w:sz w:val="21"/>
          <w:szCs w:val="21"/>
        </w:rPr>
        <w:t>2.</w:t>
      </w:r>
      <w:r>
        <w:rPr>
          <w:rFonts w:cs="Arial"/>
          <w:i/>
          <w:iCs/>
          <w:sz w:val="21"/>
          <w:szCs w:val="21"/>
        </w:rPr>
        <w:tab/>
      </w:r>
      <w:r w:rsidR="002B1F55" w:rsidRPr="0037071D">
        <w:rPr>
          <w:rFonts w:cs="Arial"/>
          <w:i/>
          <w:iCs/>
          <w:sz w:val="21"/>
          <w:szCs w:val="21"/>
        </w:rPr>
        <w:t xml:space="preserve">The conditional counter- application is </w:t>
      </w:r>
      <w:r w:rsidR="00FC6D12" w:rsidRPr="0037071D">
        <w:rPr>
          <w:rFonts w:cs="Arial"/>
          <w:i/>
          <w:iCs/>
          <w:sz w:val="21"/>
          <w:szCs w:val="21"/>
        </w:rPr>
        <w:t>removed</w:t>
      </w:r>
      <w:r w:rsidR="002B1F55" w:rsidRPr="0037071D">
        <w:rPr>
          <w:rFonts w:cs="Arial"/>
          <w:i/>
          <w:iCs/>
          <w:sz w:val="21"/>
          <w:szCs w:val="21"/>
        </w:rPr>
        <w:t xml:space="preserve"> from the roll, with no order as to costs;</w:t>
      </w:r>
    </w:p>
    <w:p w14:paraId="115774C9" w14:textId="42BA823A" w:rsidR="0040197A" w:rsidRPr="0037071D" w:rsidRDefault="0037071D" w:rsidP="0037071D">
      <w:pPr>
        <w:spacing w:after="480" w:line="360" w:lineRule="auto"/>
        <w:ind w:left="720" w:hanging="360"/>
        <w:jc w:val="both"/>
        <w:rPr>
          <w:rFonts w:cs="Arial"/>
          <w:i/>
          <w:iCs/>
          <w:sz w:val="21"/>
          <w:szCs w:val="21"/>
        </w:rPr>
      </w:pPr>
      <w:r>
        <w:rPr>
          <w:rFonts w:cs="Arial"/>
          <w:i/>
          <w:iCs/>
          <w:sz w:val="21"/>
          <w:szCs w:val="21"/>
        </w:rPr>
        <w:t>3.</w:t>
      </w:r>
      <w:r>
        <w:rPr>
          <w:rFonts w:cs="Arial"/>
          <w:i/>
          <w:iCs/>
          <w:sz w:val="21"/>
          <w:szCs w:val="21"/>
        </w:rPr>
        <w:tab/>
      </w:r>
      <w:r w:rsidR="00B71116" w:rsidRPr="0037071D">
        <w:rPr>
          <w:rFonts w:cs="Arial"/>
          <w:i/>
          <w:iCs/>
          <w:sz w:val="21"/>
          <w:szCs w:val="21"/>
        </w:rPr>
        <w:t>The applicants are ordered to pay the costs of the application.</w:t>
      </w:r>
    </w:p>
    <w:p w14:paraId="076ED0B9" w14:textId="77777777" w:rsidR="00B71116" w:rsidRPr="00B71116" w:rsidRDefault="00B71116" w:rsidP="00FE60F7">
      <w:pPr>
        <w:spacing w:after="480" w:line="360" w:lineRule="auto"/>
        <w:ind w:left="360"/>
        <w:jc w:val="both"/>
        <w:rPr>
          <w:rFonts w:cs="Arial"/>
          <w:i/>
          <w:iCs/>
          <w:sz w:val="21"/>
          <w:szCs w:val="21"/>
        </w:rPr>
      </w:pPr>
    </w:p>
    <w:p w14:paraId="08540072" w14:textId="3352D42C" w:rsidR="00C9310B" w:rsidRPr="0037071D" w:rsidRDefault="0037071D" w:rsidP="0037071D">
      <w:pPr>
        <w:widowControl w:val="0"/>
        <w:tabs>
          <w:tab w:val="left" w:pos="567"/>
        </w:tabs>
        <w:spacing w:before="480" w:after="480" w:line="360" w:lineRule="auto"/>
        <w:jc w:val="both"/>
        <w:rPr>
          <w:rFonts w:cs="Arial"/>
          <w:bCs/>
          <w:sz w:val="21"/>
          <w:szCs w:val="21"/>
          <w:u w:val="single"/>
        </w:rPr>
      </w:pPr>
      <w:r w:rsidRPr="008E2A22">
        <w:rPr>
          <w:rFonts w:cs="Arial"/>
          <w:bCs/>
          <w:sz w:val="21"/>
          <w:szCs w:val="21"/>
        </w:rPr>
        <w:t>[2]</w:t>
      </w:r>
      <w:r w:rsidRPr="008E2A22">
        <w:rPr>
          <w:rFonts w:cs="Arial"/>
          <w:bCs/>
          <w:sz w:val="21"/>
          <w:szCs w:val="21"/>
        </w:rPr>
        <w:tab/>
      </w:r>
      <w:r w:rsidR="004A5AF5" w:rsidRPr="0037071D">
        <w:rPr>
          <w:rFonts w:cs="Arial"/>
          <w:bCs/>
          <w:sz w:val="21"/>
          <w:szCs w:val="21"/>
        </w:rPr>
        <w:t xml:space="preserve">The </w:t>
      </w:r>
      <w:r w:rsidR="00573FF9" w:rsidRPr="0037071D">
        <w:rPr>
          <w:rFonts w:cs="Arial"/>
          <w:bCs/>
          <w:sz w:val="21"/>
          <w:szCs w:val="21"/>
        </w:rPr>
        <w:t xml:space="preserve">reasons for the order </w:t>
      </w:r>
      <w:r w:rsidR="00A63709" w:rsidRPr="0037071D">
        <w:rPr>
          <w:rFonts w:cs="Arial"/>
          <w:bCs/>
          <w:sz w:val="21"/>
          <w:szCs w:val="21"/>
        </w:rPr>
        <w:t>follow</w:t>
      </w:r>
      <w:r w:rsidR="00573FF9" w:rsidRPr="0037071D">
        <w:rPr>
          <w:rFonts w:cs="Arial"/>
          <w:bCs/>
          <w:sz w:val="21"/>
          <w:szCs w:val="21"/>
        </w:rPr>
        <w:t xml:space="preserve"> below.</w:t>
      </w:r>
    </w:p>
    <w:p w14:paraId="037F1A01" w14:textId="77777777" w:rsidR="00A444DD" w:rsidRPr="008E2A22" w:rsidRDefault="00A444DD" w:rsidP="00FE60F7">
      <w:pPr>
        <w:keepNext/>
        <w:widowControl w:val="0"/>
        <w:spacing w:before="480" w:after="480" w:line="360" w:lineRule="auto"/>
        <w:jc w:val="both"/>
        <w:rPr>
          <w:rFonts w:cs="Arial"/>
          <w:bCs/>
          <w:sz w:val="21"/>
          <w:szCs w:val="21"/>
          <w:u w:val="single"/>
        </w:rPr>
      </w:pPr>
    </w:p>
    <w:p w14:paraId="3658C913" w14:textId="6056F843" w:rsidR="00573FF9" w:rsidRPr="008E2A22" w:rsidRDefault="00D9086C" w:rsidP="00FE60F7">
      <w:pPr>
        <w:keepNext/>
        <w:widowControl w:val="0"/>
        <w:spacing w:before="480" w:after="480" w:line="360" w:lineRule="auto"/>
        <w:jc w:val="both"/>
        <w:rPr>
          <w:rFonts w:cs="Arial"/>
          <w:bCs/>
          <w:sz w:val="21"/>
          <w:szCs w:val="21"/>
          <w:u w:val="single"/>
        </w:rPr>
      </w:pPr>
      <w:r w:rsidRPr="008E2A22">
        <w:rPr>
          <w:rFonts w:cs="Arial"/>
          <w:bCs/>
          <w:sz w:val="21"/>
          <w:szCs w:val="21"/>
          <w:u w:val="single"/>
        </w:rPr>
        <w:t>Introduction</w:t>
      </w:r>
    </w:p>
    <w:p w14:paraId="20B5FB0C" w14:textId="0F1370DD" w:rsidR="00E676E7" w:rsidRPr="008E2A22" w:rsidRDefault="0037071D" w:rsidP="0037071D">
      <w:pPr>
        <w:widowControl w:val="0"/>
        <w:tabs>
          <w:tab w:val="left" w:pos="567"/>
        </w:tabs>
        <w:spacing w:before="480" w:after="480" w:line="360" w:lineRule="auto"/>
        <w:jc w:val="both"/>
        <w:rPr>
          <w:rFonts w:cs="Arial"/>
          <w:bCs/>
          <w:sz w:val="21"/>
          <w:szCs w:val="21"/>
        </w:rPr>
      </w:pPr>
      <w:r w:rsidRPr="008E2A22">
        <w:rPr>
          <w:rFonts w:cs="Arial"/>
          <w:bCs/>
          <w:sz w:val="21"/>
          <w:szCs w:val="21"/>
        </w:rPr>
        <w:t>[3]</w:t>
      </w:r>
      <w:r w:rsidRPr="008E2A22">
        <w:rPr>
          <w:rFonts w:cs="Arial"/>
          <w:bCs/>
          <w:sz w:val="21"/>
          <w:szCs w:val="21"/>
        </w:rPr>
        <w:tab/>
      </w:r>
      <w:r w:rsidR="00E676E7" w:rsidRPr="008E2A22">
        <w:rPr>
          <w:rFonts w:cs="Arial"/>
          <w:bCs/>
          <w:sz w:val="21"/>
          <w:szCs w:val="21"/>
        </w:rPr>
        <w:t xml:space="preserve">This is an application for the rescission of a judgement granted by the </w:t>
      </w:r>
      <w:r w:rsidR="00E676E7">
        <w:rPr>
          <w:rFonts w:cs="Arial"/>
          <w:bCs/>
          <w:sz w:val="21"/>
          <w:szCs w:val="21"/>
        </w:rPr>
        <w:t>Court</w:t>
      </w:r>
      <w:r w:rsidR="00E676E7" w:rsidRPr="008E2A22">
        <w:rPr>
          <w:rFonts w:cs="Arial"/>
          <w:bCs/>
          <w:sz w:val="21"/>
          <w:szCs w:val="21"/>
        </w:rPr>
        <w:t xml:space="preserve"> on </w:t>
      </w:r>
      <w:r w:rsidR="00E676E7">
        <w:rPr>
          <w:rFonts w:cs="Arial"/>
          <w:bCs/>
          <w:sz w:val="21"/>
          <w:szCs w:val="21"/>
        </w:rPr>
        <w:t xml:space="preserve">10 May </w:t>
      </w:r>
      <w:r w:rsidR="00E676E7" w:rsidRPr="008E2A22">
        <w:rPr>
          <w:rFonts w:cs="Arial"/>
          <w:bCs/>
          <w:sz w:val="21"/>
          <w:szCs w:val="21"/>
        </w:rPr>
        <w:t>202</w:t>
      </w:r>
      <w:r w:rsidR="00E676E7">
        <w:rPr>
          <w:rFonts w:cs="Arial"/>
          <w:bCs/>
          <w:sz w:val="21"/>
          <w:szCs w:val="21"/>
        </w:rPr>
        <w:t>3</w:t>
      </w:r>
      <w:r w:rsidR="009E3DBC">
        <w:rPr>
          <w:rFonts w:cs="Arial"/>
          <w:bCs/>
          <w:sz w:val="21"/>
          <w:szCs w:val="21"/>
        </w:rPr>
        <w:t xml:space="preserve"> against the two applicants</w:t>
      </w:r>
      <w:r w:rsidR="00E676E7" w:rsidRPr="008E2A22">
        <w:rPr>
          <w:rFonts w:cs="Arial"/>
          <w:bCs/>
          <w:sz w:val="21"/>
          <w:szCs w:val="21"/>
        </w:rPr>
        <w:t>. The applicant</w:t>
      </w:r>
      <w:r w:rsidR="009E3DBC">
        <w:rPr>
          <w:rFonts w:cs="Arial"/>
          <w:bCs/>
          <w:sz w:val="21"/>
          <w:szCs w:val="21"/>
        </w:rPr>
        <w:t>s</w:t>
      </w:r>
      <w:r w:rsidR="00E676E7" w:rsidRPr="008E2A22">
        <w:rPr>
          <w:rFonts w:cs="Arial"/>
          <w:bCs/>
          <w:sz w:val="21"/>
          <w:szCs w:val="21"/>
        </w:rPr>
        <w:t xml:space="preserve"> rel</w:t>
      </w:r>
      <w:r w:rsidR="0020575F">
        <w:rPr>
          <w:rFonts w:cs="Arial"/>
          <w:bCs/>
          <w:sz w:val="21"/>
          <w:szCs w:val="21"/>
        </w:rPr>
        <w:t>y</w:t>
      </w:r>
      <w:r w:rsidR="00E676E7" w:rsidRPr="008E2A22">
        <w:rPr>
          <w:rFonts w:cs="Arial"/>
          <w:bCs/>
          <w:sz w:val="21"/>
          <w:szCs w:val="21"/>
        </w:rPr>
        <w:t xml:space="preserve"> on uniform rule 31(2)(b), alternatively on rule 42</w:t>
      </w:r>
      <w:r w:rsidR="008318FA">
        <w:rPr>
          <w:rFonts w:cs="Arial"/>
          <w:bCs/>
          <w:sz w:val="21"/>
          <w:szCs w:val="21"/>
        </w:rPr>
        <w:t>(1)(a)</w:t>
      </w:r>
      <w:r w:rsidR="00E676E7" w:rsidRPr="008E2A22">
        <w:rPr>
          <w:rFonts w:cs="Arial"/>
          <w:bCs/>
          <w:sz w:val="21"/>
          <w:szCs w:val="21"/>
        </w:rPr>
        <w:t xml:space="preserve">, and further alternatively on the common law. </w:t>
      </w:r>
      <w:r w:rsidR="00F21B1A">
        <w:rPr>
          <w:rFonts w:cs="Arial"/>
          <w:bCs/>
          <w:sz w:val="21"/>
          <w:szCs w:val="21"/>
        </w:rPr>
        <w:t>I refer to the applicants and the respondent in this rescission application as such and to the other parties in the main application who are not parties to the rescission application by their surname, Leisher.</w:t>
      </w:r>
    </w:p>
    <w:p w14:paraId="12CC8C1A" w14:textId="77777777" w:rsidR="00C2742C" w:rsidRDefault="00C2742C" w:rsidP="00FE60F7">
      <w:pPr>
        <w:widowControl w:val="0"/>
        <w:spacing w:before="480" w:after="480" w:line="360" w:lineRule="auto"/>
        <w:jc w:val="both"/>
        <w:rPr>
          <w:rFonts w:cs="Arial"/>
          <w:bCs/>
          <w:sz w:val="21"/>
          <w:szCs w:val="21"/>
          <w:u w:val="single"/>
        </w:rPr>
      </w:pPr>
    </w:p>
    <w:p w14:paraId="0462922C" w14:textId="15A5C03C" w:rsidR="00C2742C" w:rsidRPr="00C2742C" w:rsidRDefault="00C2742C" w:rsidP="00F619FE">
      <w:pPr>
        <w:keepNext/>
        <w:widowControl w:val="0"/>
        <w:spacing w:before="480" w:after="480" w:line="360" w:lineRule="auto"/>
        <w:jc w:val="both"/>
        <w:rPr>
          <w:rFonts w:cs="Arial"/>
          <w:bCs/>
          <w:sz w:val="21"/>
          <w:szCs w:val="21"/>
          <w:u w:val="single"/>
        </w:rPr>
      </w:pPr>
      <w:r w:rsidRPr="00C2742C">
        <w:rPr>
          <w:rFonts w:cs="Arial"/>
          <w:bCs/>
          <w:sz w:val="21"/>
          <w:szCs w:val="21"/>
          <w:u w:val="single"/>
        </w:rPr>
        <w:lastRenderedPageBreak/>
        <w:t>Good cause</w:t>
      </w:r>
    </w:p>
    <w:p w14:paraId="3C39B641" w14:textId="7F8E3EFD" w:rsidR="009E3DBC" w:rsidRDefault="0037071D" w:rsidP="0037071D">
      <w:pPr>
        <w:keepNext/>
        <w:widowControl w:val="0"/>
        <w:tabs>
          <w:tab w:val="left" w:pos="567"/>
        </w:tabs>
        <w:spacing w:before="480" w:after="480" w:line="360" w:lineRule="auto"/>
        <w:jc w:val="both"/>
        <w:rPr>
          <w:rFonts w:cs="Arial"/>
          <w:bCs/>
          <w:sz w:val="21"/>
          <w:szCs w:val="21"/>
        </w:rPr>
      </w:pPr>
      <w:r>
        <w:rPr>
          <w:rFonts w:cs="Arial"/>
          <w:bCs/>
          <w:sz w:val="21"/>
          <w:szCs w:val="21"/>
        </w:rPr>
        <w:t>[4]</w:t>
      </w:r>
      <w:r>
        <w:rPr>
          <w:rFonts w:cs="Arial"/>
          <w:bCs/>
          <w:sz w:val="21"/>
          <w:szCs w:val="21"/>
        </w:rPr>
        <w:tab/>
      </w:r>
      <w:r w:rsidR="008318FA">
        <w:rPr>
          <w:rFonts w:cs="Arial"/>
          <w:bCs/>
          <w:sz w:val="21"/>
          <w:szCs w:val="21"/>
        </w:rPr>
        <w:t xml:space="preserve">An applicant seeking the </w:t>
      </w:r>
      <w:r w:rsidR="00ED281C">
        <w:rPr>
          <w:rFonts w:cs="Arial"/>
          <w:bCs/>
          <w:sz w:val="21"/>
          <w:szCs w:val="21"/>
        </w:rPr>
        <w:t>rescission</w:t>
      </w:r>
      <w:r w:rsidR="008318FA">
        <w:rPr>
          <w:rFonts w:cs="Arial"/>
          <w:bCs/>
          <w:sz w:val="21"/>
          <w:szCs w:val="21"/>
        </w:rPr>
        <w:t xml:space="preserve"> of a default judgement at common law or in terms of rule 31 is required to show good cause. This requirement encompasses two </w:t>
      </w:r>
      <w:r w:rsidR="00B13CEE">
        <w:rPr>
          <w:rFonts w:cs="Arial"/>
          <w:bCs/>
          <w:sz w:val="21"/>
          <w:szCs w:val="21"/>
        </w:rPr>
        <w:t xml:space="preserve">discreet </w:t>
      </w:r>
      <w:r w:rsidR="00AF2CD5">
        <w:rPr>
          <w:rFonts w:cs="Arial"/>
          <w:bCs/>
          <w:sz w:val="21"/>
          <w:szCs w:val="21"/>
        </w:rPr>
        <w:t>enquiries</w:t>
      </w:r>
      <w:r w:rsidR="008318FA">
        <w:rPr>
          <w:rFonts w:cs="Arial"/>
          <w:bCs/>
          <w:sz w:val="21"/>
          <w:szCs w:val="21"/>
        </w:rPr>
        <w:t xml:space="preserve">, namely a reasonable explanation for the applicant’s default and a </w:t>
      </w:r>
      <w:r w:rsidR="008318FA" w:rsidRPr="00AF2CD5">
        <w:rPr>
          <w:rFonts w:cs="Arial"/>
          <w:bCs/>
          <w:i/>
          <w:iCs/>
          <w:sz w:val="21"/>
          <w:szCs w:val="21"/>
        </w:rPr>
        <w:t>bon</w:t>
      </w:r>
      <w:r w:rsidR="00E559AB">
        <w:rPr>
          <w:rFonts w:cs="Arial"/>
          <w:bCs/>
          <w:i/>
          <w:iCs/>
          <w:sz w:val="21"/>
          <w:szCs w:val="21"/>
        </w:rPr>
        <w:t>a</w:t>
      </w:r>
      <w:r w:rsidR="008318FA" w:rsidRPr="00AF2CD5">
        <w:rPr>
          <w:rFonts w:cs="Arial"/>
          <w:bCs/>
          <w:i/>
          <w:iCs/>
          <w:sz w:val="21"/>
          <w:szCs w:val="21"/>
        </w:rPr>
        <w:t xml:space="preserve"> fide</w:t>
      </w:r>
      <w:r w:rsidR="008318FA">
        <w:rPr>
          <w:rFonts w:cs="Arial"/>
          <w:bCs/>
          <w:sz w:val="21"/>
          <w:szCs w:val="21"/>
        </w:rPr>
        <w:t xml:space="preserve"> defence to the claim on the merits. </w:t>
      </w:r>
      <w:r w:rsidR="008318FA" w:rsidRPr="008E2A22">
        <w:rPr>
          <w:rFonts w:cs="Arial"/>
          <w:bCs/>
          <w:sz w:val="21"/>
          <w:szCs w:val="21"/>
        </w:rPr>
        <w:t>Granting a rescission when the applicant has no defence to the plaintiff’s claim would be an exercise in futility and would merely delay the claim of the plaintiff and the application would not be</w:t>
      </w:r>
      <w:r w:rsidR="008318FA" w:rsidRPr="008E2A22">
        <w:rPr>
          <w:rFonts w:cs="Arial"/>
          <w:bCs/>
          <w:i/>
          <w:iCs/>
          <w:sz w:val="21"/>
          <w:szCs w:val="21"/>
        </w:rPr>
        <w:t xml:space="preserve"> bona fide</w:t>
      </w:r>
      <w:r w:rsidR="008318FA" w:rsidRPr="008E2A22">
        <w:rPr>
          <w:rFonts w:cs="Arial"/>
          <w:bCs/>
          <w:sz w:val="21"/>
          <w:szCs w:val="21"/>
        </w:rPr>
        <w:t>.</w:t>
      </w:r>
      <w:r w:rsidR="008318FA">
        <w:rPr>
          <w:rFonts w:cs="Arial"/>
          <w:bCs/>
          <w:sz w:val="21"/>
          <w:szCs w:val="21"/>
        </w:rPr>
        <w:t xml:space="preserve"> </w:t>
      </w:r>
    </w:p>
    <w:p w14:paraId="35D44CF9" w14:textId="48EE7869" w:rsidR="008318FA"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[5]</w:t>
      </w:r>
      <w:r>
        <w:rPr>
          <w:rFonts w:cs="Arial"/>
          <w:bCs/>
          <w:sz w:val="21"/>
          <w:szCs w:val="21"/>
        </w:rPr>
        <w:tab/>
      </w:r>
      <w:r w:rsidR="008318FA" w:rsidRPr="008E2A22">
        <w:rPr>
          <w:rFonts w:cs="Arial"/>
          <w:bCs/>
          <w:sz w:val="21"/>
          <w:szCs w:val="21"/>
        </w:rPr>
        <w:t>The courts have refrained from</w:t>
      </w:r>
      <w:r w:rsidR="001F14E4">
        <w:rPr>
          <w:rFonts w:cs="Arial"/>
          <w:bCs/>
          <w:sz w:val="21"/>
          <w:szCs w:val="21"/>
        </w:rPr>
        <w:t xml:space="preserve"> giving</w:t>
      </w:r>
      <w:r w:rsidR="008318FA" w:rsidRPr="008E2A22">
        <w:rPr>
          <w:rFonts w:cs="Arial"/>
          <w:bCs/>
          <w:sz w:val="21"/>
          <w:szCs w:val="21"/>
        </w:rPr>
        <w:t xml:space="preserve"> an exhaustive definition of good cause as any such definition might hamper the discretion of the court.</w:t>
      </w:r>
      <w:r w:rsidR="008318FA" w:rsidRPr="008E2A22">
        <w:rPr>
          <w:rStyle w:val="FootnoteReference"/>
          <w:rFonts w:cs="Arial"/>
          <w:bCs/>
          <w:sz w:val="21"/>
          <w:szCs w:val="21"/>
        </w:rPr>
        <w:footnoteReference w:id="1"/>
      </w:r>
      <w:r w:rsidR="008318FA" w:rsidRPr="008E2A22">
        <w:rPr>
          <w:rFonts w:cs="Arial"/>
          <w:bCs/>
          <w:sz w:val="21"/>
          <w:szCs w:val="21"/>
        </w:rPr>
        <w:t xml:space="preserve"> The court will however not come to the assistance of an applicant who was in wilful default or was grossly negligent: The applicant must not merely seek to delay the claim of the plaintiff but must be acting in good faith.  </w:t>
      </w:r>
    </w:p>
    <w:p w14:paraId="49F94231" w14:textId="0A2F0564" w:rsidR="0020575F"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[6]</w:t>
      </w:r>
      <w:r>
        <w:rPr>
          <w:rFonts w:cs="Arial"/>
          <w:bCs/>
          <w:sz w:val="21"/>
          <w:szCs w:val="21"/>
        </w:rPr>
        <w:tab/>
      </w:r>
      <w:r w:rsidR="0020575F">
        <w:rPr>
          <w:rFonts w:cs="Arial"/>
          <w:bCs/>
          <w:sz w:val="21"/>
          <w:szCs w:val="21"/>
        </w:rPr>
        <w:t xml:space="preserve">In </w:t>
      </w:r>
      <w:r w:rsidR="0020575F" w:rsidRPr="00A55B55">
        <w:rPr>
          <w:i/>
          <w:iCs/>
          <w:color w:val="000000" w:themeColor="text1"/>
        </w:rPr>
        <w:t>Grant v Plumbers (Pty) Ltd</w:t>
      </w:r>
      <w:r w:rsidR="0020575F">
        <w:rPr>
          <w:rFonts w:cs="Arial"/>
          <w:bCs/>
          <w:sz w:val="21"/>
          <w:szCs w:val="21"/>
        </w:rPr>
        <w:t>,</w:t>
      </w:r>
      <w:r w:rsidR="0020575F">
        <w:rPr>
          <w:rStyle w:val="FootnoteReference"/>
          <w:rFonts w:cs="Arial"/>
          <w:bCs/>
          <w:sz w:val="21"/>
          <w:szCs w:val="21"/>
        </w:rPr>
        <w:footnoteReference w:id="2"/>
      </w:r>
      <w:r w:rsidR="0020575F">
        <w:rPr>
          <w:rFonts w:cs="Arial"/>
          <w:bCs/>
          <w:sz w:val="21"/>
          <w:szCs w:val="21"/>
        </w:rPr>
        <w:t xml:space="preserve"> </w:t>
      </w:r>
      <w:r w:rsidR="00090F50">
        <w:rPr>
          <w:rFonts w:cs="Arial"/>
          <w:bCs/>
          <w:sz w:val="21"/>
          <w:szCs w:val="21"/>
        </w:rPr>
        <w:t xml:space="preserve">Brink J </w:t>
      </w:r>
      <w:r w:rsidR="0020575F">
        <w:rPr>
          <w:rFonts w:cs="Arial"/>
          <w:bCs/>
          <w:sz w:val="21"/>
          <w:szCs w:val="21"/>
        </w:rPr>
        <w:t>said:</w:t>
      </w:r>
    </w:p>
    <w:p w14:paraId="6C01CE33" w14:textId="77777777" w:rsidR="00090F50" w:rsidRDefault="00090F50" w:rsidP="00FE60F7">
      <w:pPr>
        <w:spacing w:before="120" w:after="120" w:line="360" w:lineRule="auto"/>
        <w:ind w:left="714" w:hanging="357"/>
        <w:jc w:val="both"/>
        <w:rPr>
          <w:i/>
          <w:iCs/>
          <w:lang w:eastAsia="en-ZA"/>
        </w:rPr>
      </w:pPr>
      <w:r w:rsidRPr="00A55B55">
        <w:rPr>
          <w:i/>
          <w:iCs/>
          <w:lang w:eastAsia="en-ZA"/>
        </w:rPr>
        <w:t xml:space="preserve">“(a) He </w:t>
      </w:r>
      <w:r w:rsidRPr="00A55B55">
        <w:rPr>
          <w:lang w:eastAsia="en-ZA"/>
        </w:rPr>
        <w:t xml:space="preserve">[the applicant] </w:t>
      </w:r>
      <w:r w:rsidRPr="00A55B55">
        <w:rPr>
          <w:i/>
          <w:iCs/>
          <w:lang w:eastAsia="en-ZA"/>
        </w:rPr>
        <w:t>must give a reasonable explanation of his default. If it appears that his default was wilful or that it was due to gross negligence the Court should not come to his assistance.</w:t>
      </w:r>
    </w:p>
    <w:p w14:paraId="57C5B37E" w14:textId="77777777" w:rsidR="00090F50" w:rsidRDefault="00090F50" w:rsidP="00FE60F7">
      <w:pPr>
        <w:spacing w:before="120" w:after="120" w:line="360" w:lineRule="auto"/>
        <w:ind w:left="714" w:hanging="357"/>
        <w:jc w:val="both"/>
        <w:rPr>
          <w:i/>
          <w:iCs/>
          <w:lang w:eastAsia="en-ZA"/>
        </w:rPr>
      </w:pPr>
      <w:r>
        <w:rPr>
          <w:i/>
          <w:iCs/>
          <w:lang w:eastAsia="en-ZA"/>
        </w:rPr>
        <w:t>(b)</w:t>
      </w:r>
      <w:r>
        <w:rPr>
          <w:i/>
          <w:iCs/>
          <w:lang w:eastAsia="en-ZA"/>
        </w:rPr>
        <w:tab/>
      </w:r>
      <w:r w:rsidRPr="00090F50">
        <w:rPr>
          <w:i/>
          <w:iCs/>
          <w:lang w:eastAsia="en-ZA"/>
        </w:rPr>
        <w:t>His application must be bona fide and not made with the intention of merely delaying plaintiff's claim.</w:t>
      </w:r>
    </w:p>
    <w:p w14:paraId="7D690E4A" w14:textId="4D0F6E42" w:rsidR="00090F50" w:rsidRPr="00090F50" w:rsidRDefault="00090F50" w:rsidP="00FE60F7">
      <w:pPr>
        <w:spacing w:before="120" w:after="120" w:line="360" w:lineRule="auto"/>
        <w:ind w:left="714" w:hanging="357"/>
        <w:jc w:val="both"/>
        <w:rPr>
          <w:i/>
          <w:iCs/>
          <w:lang w:eastAsia="en-ZA"/>
        </w:rPr>
      </w:pPr>
      <w:r>
        <w:rPr>
          <w:i/>
          <w:iCs/>
          <w:lang w:eastAsia="en-ZA"/>
        </w:rPr>
        <w:t>(c)</w:t>
      </w:r>
      <w:r>
        <w:rPr>
          <w:i/>
          <w:iCs/>
          <w:lang w:eastAsia="en-ZA"/>
        </w:rPr>
        <w:tab/>
      </w:r>
      <w:r w:rsidRPr="00090F50">
        <w:rPr>
          <w:i/>
          <w:iCs/>
          <w:lang w:eastAsia="en-ZA"/>
        </w:rPr>
        <w:t>He must show that he has a bona fide defence to plaintiff's claim. It is sufficient if he makes out a prima facie defence in the sense of setting out averments which, if established at the trial, would entitle him to the relief asked for. He need not deal fully with the merits of the case and produce evidence that the probabilities are actually in his favour. (Brown v Chapman (1938 TPD 320 at p. 325).)”</w:t>
      </w:r>
    </w:p>
    <w:p w14:paraId="1A7BE664" w14:textId="77777777" w:rsidR="00C2742C" w:rsidRDefault="00C2742C" w:rsidP="00FE60F7">
      <w:pPr>
        <w:widowControl w:val="0"/>
        <w:spacing w:before="480" w:after="480" w:line="360" w:lineRule="auto"/>
        <w:jc w:val="both"/>
        <w:rPr>
          <w:rFonts w:cs="Arial"/>
          <w:bCs/>
          <w:sz w:val="21"/>
          <w:szCs w:val="21"/>
          <w:u w:val="single"/>
        </w:rPr>
      </w:pPr>
    </w:p>
    <w:p w14:paraId="1FAC3FB2" w14:textId="668F1740" w:rsidR="00C2742C" w:rsidRPr="00C2742C" w:rsidRDefault="00C2742C" w:rsidP="00FE60F7">
      <w:pPr>
        <w:widowControl w:val="0"/>
        <w:spacing w:before="480" w:after="480" w:line="360" w:lineRule="auto"/>
        <w:jc w:val="both"/>
        <w:rPr>
          <w:rFonts w:cs="Arial"/>
          <w:bCs/>
          <w:sz w:val="21"/>
          <w:szCs w:val="21"/>
          <w:u w:val="single"/>
        </w:rPr>
      </w:pPr>
      <w:r w:rsidRPr="00C2742C">
        <w:rPr>
          <w:rFonts w:cs="Arial"/>
          <w:bCs/>
          <w:sz w:val="21"/>
          <w:szCs w:val="21"/>
          <w:u w:val="single"/>
        </w:rPr>
        <w:t>A reasonable explanation</w:t>
      </w:r>
    </w:p>
    <w:p w14:paraId="3982E92B" w14:textId="78AFC53F" w:rsidR="0068069C"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[7]</w:t>
      </w:r>
      <w:r>
        <w:rPr>
          <w:rFonts w:cs="Arial"/>
          <w:bCs/>
          <w:sz w:val="21"/>
          <w:szCs w:val="21"/>
        </w:rPr>
        <w:tab/>
      </w:r>
      <w:r w:rsidR="00F21B1A">
        <w:rPr>
          <w:rFonts w:cs="Arial"/>
          <w:bCs/>
          <w:sz w:val="21"/>
          <w:szCs w:val="21"/>
        </w:rPr>
        <w:t xml:space="preserve">The main application was served on the applicants and the Leishers in November 2022. </w:t>
      </w:r>
      <w:r w:rsidR="00F21B1A">
        <w:rPr>
          <w:rFonts w:cs="Arial"/>
          <w:bCs/>
          <w:sz w:val="21"/>
          <w:szCs w:val="21"/>
        </w:rPr>
        <w:lastRenderedPageBreak/>
        <w:t xml:space="preserve">The Leishers instructed an attorney to represent them and a notice of intention to oppose the application was given. </w:t>
      </w:r>
    </w:p>
    <w:p w14:paraId="52C5D547" w14:textId="6E37E020" w:rsidR="004C52BD" w:rsidRPr="004C52BD" w:rsidRDefault="00F21B1A" w:rsidP="0068069C">
      <w:pPr>
        <w:widowControl w:val="0"/>
        <w:spacing w:before="480" w:after="480" w:line="360" w:lineRule="auto"/>
        <w:jc w:val="both"/>
        <w:rPr>
          <w:rFonts w:cs="Arial"/>
          <w:bCs/>
          <w:sz w:val="21"/>
          <w:szCs w:val="21"/>
        </w:rPr>
      </w:pPr>
      <w:r>
        <w:rPr>
          <w:rFonts w:cs="Arial"/>
          <w:bCs/>
          <w:sz w:val="21"/>
          <w:szCs w:val="21"/>
        </w:rPr>
        <w:t>There is a family relationship between the parties</w:t>
      </w:r>
      <w:r w:rsidR="00FE60F7">
        <w:rPr>
          <w:rFonts w:cs="Arial"/>
          <w:bCs/>
          <w:sz w:val="21"/>
          <w:szCs w:val="21"/>
        </w:rPr>
        <w:t xml:space="preserve">. </w:t>
      </w:r>
      <w:r w:rsidR="008D25BA">
        <w:rPr>
          <w:rFonts w:cs="Arial"/>
          <w:bCs/>
          <w:sz w:val="21"/>
          <w:szCs w:val="21"/>
        </w:rPr>
        <w:t>The applicants and the Leishers i</w:t>
      </w:r>
      <w:r w:rsidR="004C52BD">
        <w:rPr>
          <w:rFonts w:cs="Arial"/>
          <w:bCs/>
          <w:sz w:val="21"/>
          <w:szCs w:val="21"/>
        </w:rPr>
        <w:t>n</w:t>
      </w:r>
      <w:r w:rsidR="008D25BA">
        <w:rPr>
          <w:rFonts w:cs="Arial"/>
          <w:bCs/>
          <w:sz w:val="21"/>
          <w:szCs w:val="21"/>
        </w:rPr>
        <w:t>tended to resolve the dispute and they did not file answering affidavits. There were without prejudice settlement negotiations between the parties but by February 2023 there was no resolution to the matter. The applicant then set the matter down on the unopposed role for 22 February 2023 but the matter was removed from the role to enable settlement discussions to continue.</w:t>
      </w:r>
      <w:r w:rsidR="004C52BD">
        <w:rPr>
          <w:rFonts w:cs="Arial"/>
          <w:bCs/>
          <w:sz w:val="21"/>
          <w:szCs w:val="21"/>
        </w:rPr>
        <w:t xml:space="preserve"> The respondent’s attorneys advised on 21 February 2023 that </w:t>
      </w:r>
      <w:r w:rsidR="004C52BD" w:rsidRPr="004C52BD">
        <w:rPr>
          <w:rFonts w:cs="Arial"/>
          <w:bCs/>
          <w:i/>
          <w:iCs/>
          <w:sz w:val="21"/>
          <w:szCs w:val="21"/>
        </w:rPr>
        <w:t>“our client will not tolerate any further delay and has instructed our offices to apply for a new date for the matter to be heard. This matter will not be removed again.”</w:t>
      </w:r>
    </w:p>
    <w:p w14:paraId="2977BF92" w14:textId="387EEF51" w:rsidR="004C52BD"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[8]</w:t>
      </w:r>
      <w:r>
        <w:rPr>
          <w:rFonts w:cs="Arial"/>
          <w:bCs/>
          <w:sz w:val="21"/>
          <w:szCs w:val="21"/>
        </w:rPr>
        <w:tab/>
      </w:r>
      <w:r w:rsidR="004C52BD">
        <w:rPr>
          <w:rFonts w:cs="Arial"/>
          <w:bCs/>
          <w:sz w:val="21"/>
          <w:szCs w:val="21"/>
        </w:rPr>
        <w:t xml:space="preserve">On 2 March 2023 the attorneys acting for the applicants advised that unless confidential proposals made by them were accepted </w:t>
      </w:r>
      <w:r w:rsidR="004C52BD" w:rsidRPr="004C52BD">
        <w:rPr>
          <w:rFonts w:cs="Arial"/>
          <w:bCs/>
          <w:i/>
          <w:iCs/>
          <w:sz w:val="21"/>
          <w:szCs w:val="21"/>
        </w:rPr>
        <w:t>“we will proceed in court. Our client will file their opposing papers and will challenge your Clients righ</w:t>
      </w:r>
      <w:r w:rsidR="00F619FE">
        <w:rPr>
          <w:rFonts w:cs="Arial"/>
          <w:bCs/>
          <w:i/>
          <w:iCs/>
          <w:sz w:val="21"/>
          <w:szCs w:val="21"/>
        </w:rPr>
        <w:t xml:space="preserve">t </w:t>
      </w:r>
      <w:r w:rsidR="004C52BD" w:rsidRPr="004C52BD">
        <w:rPr>
          <w:rFonts w:cs="Arial"/>
          <w:bCs/>
          <w:i/>
          <w:iCs/>
          <w:sz w:val="21"/>
          <w:szCs w:val="21"/>
        </w:rPr>
        <w:t>to charge interest on all the monies he loans to various people</w:t>
      </w:r>
      <w:r w:rsidR="004C52BD">
        <w:rPr>
          <w:rFonts w:cs="Arial"/>
          <w:bCs/>
          <w:i/>
          <w:iCs/>
          <w:sz w:val="21"/>
          <w:szCs w:val="21"/>
        </w:rPr>
        <w:t>,</w:t>
      </w:r>
      <w:r w:rsidR="004C52BD" w:rsidRPr="004C52BD">
        <w:rPr>
          <w:rFonts w:cs="Arial"/>
          <w:bCs/>
          <w:i/>
          <w:iCs/>
          <w:sz w:val="21"/>
          <w:szCs w:val="21"/>
        </w:rPr>
        <w:t xml:space="preserve"> despite not being registered to do so in terms of the National Credit Act.”</w:t>
      </w:r>
    </w:p>
    <w:p w14:paraId="4A99D0E4" w14:textId="60B91C48" w:rsidR="00C128C6"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[9]</w:t>
      </w:r>
      <w:r>
        <w:rPr>
          <w:rFonts w:cs="Arial"/>
          <w:bCs/>
          <w:sz w:val="21"/>
          <w:szCs w:val="21"/>
        </w:rPr>
        <w:tab/>
      </w:r>
      <w:r w:rsidR="004C52BD" w:rsidRPr="00C128C6">
        <w:rPr>
          <w:rFonts w:cs="Arial"/>
          <w:bCs/>
          <w:sz w:val="21"/>
          <w:szCs w:val="21"/>
        </w:rPr>
        <w:t>These settlement negotiations did not bear fruit.</w:t>
      </w:r>
      <w:r w:rsidR="00C128C6" w:rsidRPr="00C128C6">
        <w:rPr>
          <w:rFonts w:cs="Arial"/>
          <w:bCs/>
          <w:sz w:val="21"/>
          <w:szCs w:val="21"/>
        </w:rPr>
        <w:t xml:space="preserve"> </w:t>
      </w:r>
      <w:r w:rsidR="00C128C6">
        <w:rPr>
          <w:rFonts w:cs="Arial"/>
          <w:bCs/>
          <w:sz w:val="21"/>
          <w:szCs w:val="21"/>
        </w:rPr>
        <w:t>The applicants however did not file opposing affidavit</w:t>
      </w:r>
      <w:r w:rsidR="00F619FE">
        <w:rPr>
          <w:rFonts w:cs="Arial"/>
          <w:bCs/>
          <w:sz w:val="21"/>
          <w:szCs w:val="21"/>
        </w:rPr>
        <w:t>s</w:t>
      </w:r>
      <w:r w:rsidR="00C128C6">
        <w:rPr>
          <w:rFonts w:cs="Arial"/>
          <w:bCs/>
          <w:sz w:val="21"/>
          <w:szCs w:val="21"/>
        </w:rPr>
        <w:t xml:space="preserve"> as </w:t>
      </w:r>
      <w:r w:rsidR="00090F50">
        <w:rPr>
          <w:rFonts w:cs="Arial"/>
          <w:bCs/>
          <w:sz w:val="21"/>
          <w:szCs w:val="21"/>
        </w:rPr>
        <w:t xml:space="preserve">they </w:t>
      </w:r>
      <w:r w:rsidR="00C128C6">
        <w:rPr>
          <w:rFonts w:cs="Arial"/>
          <w:bCs/>
          <w:sz w:val="21"/>
          <w:szCs w:val="21"/>
        </w:rPr>
        <w:t xml:space="preserve">intimated </w:t>
      </w:r>
      <w:r w:rsidR="00090F50">
        <w:rPr>
          <w:rFonts w:cs="Arial"/>
          <w:bCs/>
          <w:sz w:val="21"/>
          <w:szCs w:val="21"/>
        </w:rPr>
        <w:t xml:space="preserve">they would do in the letter of </w:t>
      </w:r>
      <w:r w:rsidR="00C128C6">
        <w:rPr>
          <w:rFonts w:cs="Arial"/>
          <w:bCs/>
          <w:sz w:val="21"/>
          <w:szCs w:val="21"/>
        </w:rPr>
        <w:t>on 2 March 2023.</w:t>
      </w:r>
    </w:p>
    <w:p w14:paraId="2BB60D1D" w14:textId="4EDF1F1B" w:rsidR="00E15106"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[10]</w:t>
      </w:r>
      <w:r>
        <w:rPr>
          <w:rFonts w:cs="Arial"/>
          <w:bCs/>
          <w:sz w:val="21"/>
          <w:szCs w:val="21"/>
        </w:rPr>
        <w:tab/>
      </w:r>
      <w:r w:rsidR="00E15106">
        <w:rPr>
          <w:rFonts w:cs="Arial"/>
          <w:bCs/>
          <w:sz w:val="21"/>
          <w:szCs w:val="21"/>
        </w:rPr>
        <w:t xml:space="preserve">A court file was created on the Caselines system and the documents were uploaded. The attorney acting for the applicants were invited on the Caselines system.. </w:t>
      </w:r>
    </w:p>
    <w:p w14:paraId="1EECA93A" w14:textId="599F49CD" w:rsidR="00090F50"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[11]</w:t>
      </w:r>
      <w:r>
        <w:rPr>
          <w:rFonts w:cs="Arial"/>
          <w:bCs/>
          <w:sz w:val="21"/>
          <w:szCs w:val="21"/>
        </w:rPr>
        <w:tab/>
      </w:r>
      <w:r w:rsidR="00E15106">
        <w:rPr>
          <w:rFonts w:cs="Arial"/>
          <w:bCs/>
          <w:sz w:val="21"/>
          <w:szCs w:val="21"/>
        </w:rPr>
        <w:t>In April 2023 t</w:t>
      </w:r>
      <w:r w:rsidR="00C128C6" w:rsidRPr="00C128C6">
        <w:rPr>
          <w:rFonts w:cs="Arial"/>
          <w:bCs/>
          <w:sz w:val="21"/>
          <w:szCs w:val="21"/>
        </w:rPr>
        <w:t>he attorney for the respondent set the matter down for 10 May 2023 and served a notice of</w:t>
      </w:r>
      <w:r w:rsidR="00C128C6">
        <w:rPr>
          <w:rFonts w:cs="Arial"/>
          <w:bCs/>
          <w:sz w:val="21"/>
          <w:szCs w:val="21"/>
        </w:rPr>
        <w:t xml:space="preserve"> set down </w:t>
      </w:r>
      <w:r w:rsidR="00C128C6" w:rsidRPr="00C128C6">
        <w:rPr>
          <w:rFonts w:cs="Arial"/>
          <w:bCs/>
          <w:sz w:val="21"/>
          <w:szCs w:val="21"/>
        </w:rPr>
        <w:t>per email</w:t>
      </w:r>
      <w:r w:rsidR="007D50AA">
        <w:rPr>
          <w:rFonts w:cs="Arial"/>
          <w:bCs/>
          <w:sz w:val="21"/>
          <w:szCs w:val="21"/>
        </w:rPr>
        <w:t xml:space="preserve"> in accordance with rule 4A(1)(c)</w:t>
      </w:r>
      <w:r w:rsidR="00C128C6">
        <w:rPr>
          <w:rFonts w:cs="Arial"/>
          <w:bCs/>
          <w:sz w:val="21"/>
          <w:szCs w:val="21"/>
        </w:rPr>
        <w:t>.</w:t>
      </w:r>
      <w:r w:rsidR="00E15106">
        <w:rPr>
          <w:rFonts w:cs="Arial"/>
          <w:bCs/>
          <w:sz w:val="21"/>
          <w:szCs w:val="21"/>
        </w:rPr>
        <w:t xml:space="preserve"> The set-down was itself uploaded to Caselines.</w:t>
      </w:r>
      <w:r w:rsidR="00C128C6">
        <w:rPr>
          <w:rFonts w:cs="Arial"/>
          <w:bCs/>
          <w:sz w:val="21"/>
          <w:szCs w:val="21"/>
        </w:rPr>
        <w:t xml:space="preserve"> </w:t>
      </w:r>
      <w:r w:rsidR="008D25BA" w:rsidRPr="00C128C6">
        <w:rPr>
          <w:rFonts w:cs="Arial"/>
          <w:bCs/>
          <w:sz w:val="21"/>
          <w:szCs w:val="21"/>
        </w:rPr>
        <w:t xml:space="preserve">The applicants’ attorney received </w:t>
      </w:r>
      <w:r w:rsidR="00C128C6">
        <w:rPr>
          <w:rFonts w:cs="Arial"/>
          <w:bCs/>
          <w:sz w:val="21"/>
          <w:szCs w:val="21"/>
        </w:rPr>
        <w:t>the</w:t>
      </w:r>
      <w:r w:rsidR="008D25BA" w:rsidRPr="00C128C6">
        <w:rPr>
          <w:rFonts w:cs="Arial"/>
          <w:bCs/>
          <w:sz w:val="21"/>
          <w:szCs w:val="21"/>
        </w:rPr>
        <w:t xml:space="preserve"> notification that the application had been set down for 10 May 2023 and this was confirmed in an email message on 27 April 2023. The email message</w:t>
      </w:r>
      <w:r w:rsidR="00C128C6">
        <w:rPr>
          <w:rFonts w:cs="Arial"/>
          <w:bCs/>
          <w:sz w:val="21"/>
          <w:szCs w:val="21"/>
        </w:rPr>
        <w:t xml:space="preserve"> apparently </w:t>
      </w:r>
      <w:r w:rsidR="008D25BA" w:rsidRPr="00C128C6">
        <w:rPr>
          <w:rFonts w:cs="Arial"/>
          <w:bCs/>
          <w:sz w:val="21"/>
          <w:szCs w:val="21"/>
        </w:rPr>
        <w:t xml:space="preserve"> found its way into the attorneys</w:t>
      </w:r>
      <w:r w:rsidR="00C128C6">
        <w:rPr>
          <w:rFonts w:cs="Arial"/>
          <w:bCs/>
          <w:sz w:val="21"/>
          <w:szCs w:val="21"/>
        </w:rPr>
        <w:t>’</w:t>
      </w:r>
      <w:r w:rsidR="008D25BA" w:rsidRPr="00C128C6">
        <w:rPr>
          <w:rFonts w:cs="Arial"/>
          <w:bCs/>
          <w:sz w:val="21"/>
          <w:szCs w:val="21"/>
        </w:rPr>
        <w:t xml:space="preserve"> junk mail folder and did not come to her knowledge. On 28 April 2023 the attorney was admitted to hospital and she only </w:t>
      </w:r>
      <w:r w:rsidR="00C128C6" w:rsidRPr="00C128C6">
        <w:rPr>
          <w:rFonts w:cs="Arial"/>
          <w:bCs/>
          <w:sz w:val="21"/>
          <w:szCs w:val="21"/>
        </w:rPr>
        <w:t xml:space="preserve">returned to the office some two weeks later. </w:t>
      </w:r>
      <w:r w:rsidR="00090F50">
        <w:rPr>
          <w:rFonts w:cs="Arial"/>
          <w:bCs/>
          <w:sz w:val="21"/>
          <w:szCs w:val="21"/>
        </w:rPr>
        <w:t>H</w:t>
      </w:r>
      <w:r w:rsidR="00C128C6">
        <w:rPr>
          <w:rFonts w:cs="Arial"/>
          <w:bCs/>
          <w:sz w:val="21"/>
          <w:szCs w:val="21"/>
        </w:rPr>
        <w:t xml:space="preserve">owever, during the period of hospitalisation </w:t>
      </w:r>
      <w:r w:rsidR="007D50AA">
        <w:rPr>
          <w:rFonts w:cs="Arial"/>
          <w:bCs/>
          <w:sz w:val="21"/>
          <w:szCs w:val="21"/>
        </w:rPr>
        <w:t xml:space="preserve">the Caselines </w:t>
      </w:r>
      <w:r w:rsidR="00C128C6">
        <w:rPr>
          <w:rFonts w:cs="Arial"/>
          <w:bCs/>
          <w:sz w:val="21"/>
          <w:szCs w:val="21"/>
        </w:rPr>
        <w:t xml:space="preserve">system was accessed by the applicants’ attorneys. </w:t>
      </w:r>
      <w:r w:rsidR="00090F50">
        <w:rPr>
          <w:rFonts w:cs="Arial"/>
          <w:bCs/>
          <w:sz w:val="21"/>
          <w:szCs w:val="21"/>
        </w:rPr>
        <w:t>It need hardly be stated that when an attorney is on sick leave, the firm should take steps to have someone else monitor ongoing litigation</w:t>
      </w:r>
      <w:r w:rsidR="00F619FE">
        <w:rPr>
          <w:rFonts w:cs="Arial"/>
          <w:bCs/>
          <w:sz w:val="21"/>
          <w:szCs w:val="21"/>
        </w:rPr>
        <w:t>, and this is obviously what happened.</w:t>
      </w:r>
    </w:p>
    <w:p w14:paraId="5BABAE55" w14:textId="37E7FB45" w:rsidR="00C128C6"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[12]</w:t>
      </w:r>
      <w:r>
        <w:rPr>
          <w:rFonts w:cs="Arial"/>
          <w:bCs/>
          <w:sz w:val="21"/>
          <w:szCs w:val="21"/>
        </w:rPr>
        <w:tab/>
      </w:r>
      <w:r w:rsidR="00C128C6">
        <w:rPr>
          <w:rFonts w:cs="Arial"/>
          <w:bCs/>
          <w:sz w:val="21"/>
          <w:szCs w:val="21"/>
        </w:rPr>
        <w:t>In response to this evidence the applicants</w:t>
      </w:r>
      <w:r w:rsidR="00E15106">
        <w:rPr>
          <w:rFonts w:cs="Arial"/>
          <w:bCs/>
          <w:sz w:val="21"/>
          <w:szCs w:val="21"/>
        </w:rPr>
        <w:t>’</w:t>
      </w:r>
      <w:r w:rsidR="00C128C6">
        <w:rPr>
          <w:rFonts w:cs="Arial"/>
          <w:bCs/>
          <w:sz w:val="21"/>
          <w:szCs w:val="21"/>
        </w:rPr>
        <w:t xml:space="preserve"> attorneys filed only a terse affidavit under circumstances where they ought to have explained what had happened in more detail.</w:t>
      </w:r>
    </w:p>
    <w:p w14:paraId="0F9102F8" w14:textId="48C7E6A4" w:rsidR="008D25BA"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lastRenderedPageBreak/>
        <w:t>[13]</w:t>
      </w:r>
      <w:r>
        <w:rPr>
          <w:rFonts w:cs="Arial"/>
          <w:bCs/>
          <w:sz w:val="21"/>
          <w:szCs w:val="21"/>
        </w:rPr>
        <w:tab/>
      </w:r>
      <w:r w:rsidR="008D25BA" w:rsidRPr="00C128C6">
        <w:rPr>
          <w:rFonts w:cs="Arial"/>
          <w:bCs/>
          <w:sz w:val="21"/>
          <w:szCs w:val="21"/>
        </w:rPr>
        <w:t xml:space="preserve">An order was taken on 10 May 2023 </w:t>
      </w:r>
      <w:r w:rsidR="00892941" w:rsidRPr="00C128C6">
        <w:rPr>
          <w:rFonts w:cs="Arial"/>
          <w:bCs/>
          <w:sz w:val="21"/>
          <w:szCs w:val="21"/>
        </w:rPr>
        <w:t xml:space="preserve">against the two applicants (but not against the Leishers) and </w:t>
      </w:r>
      <w:r w:rsidR="008D25BA" w:rsidRPr="00C128C6">
        <w:rPr>
          <w:rFonts w:cs="Arial"/>
          <w:bCs/>
          <w:sz w:val="21"/>
          <w:szCs w:val="21"/>
        </w:rPr>
        <w:t>Mr Leisher was informed of the order on 12 May 2023.</w:t>
      </w:r>
      <w:r w:rsidR="00AE1A6C" w:rsidRPr="00C128C6">
        <w:rPr>
          <w:rFonts w:cs="Arial"/>
          <w:bCs/>
          <w:sz w:val="21"/>
          <w:szCs w:val="21"/>
        </w:rPr>
        <w:t xml:space="preserve"> </w:t>
      </w:r>
      <w:r w:rsidR="008D25BA" w:rsidRPr="00C128C6">
        <w:rPr>
          <w:rFonts w:cs="Arial"/>
          <w:bCs/>
          <w:sz w:val="21"/>
          <w:szCs w:val="21"/>
        </w:rPr>
        <w:t xml:space="preserve">Only then did the applicant’s attorney find the notification of the set down in her email junk folder. Mr Leisher then instructed the attorneys to proceed with a </w:t>
      </w:r>
      <w:r w:rsidR="00E15106">
        <w:rPr>
          <w:rFonts w:cs="Arial"/>
          <w:bCs/>
          <w:sz w:val="21"/>
          <w:szCs w:val="21"/>
        </w:rPr>
        <w:t>rescission</w:t>
      </w:r>
      <w:r w:rsidR="008D25BA" w:rsidRPr="00C128C6">
        <w:rPr>
          <w:rFonts w:cs="Arial"/>
          <w:bCs/>
          <w:sz w:val="21"/>
          <w:szCs w:val="21"/>
        </w:rPr>
        <w:t xml:space="preserve"> application.</w:t>
      </w:r>
    </w:p>
    <w:p w14:paraId="56E3C2F1" w14:textId="27C4ED14" w:rsidR="00C128C6" w:rsidRPr="00E15106" w:rsidRDefault="0037071D" w:rsidP="0037071D">
      <w:pPr>
        <w:widowControl w:val="0"/>
        <w:tabs>
          <w:tab w:val="left" w:pos="567"/>
        </w:tabs>
        <w:spacing w:before="480" w:after="480" w:line="360" w:lineRule="auto"/>
        <w:jc w:val="both"/>
        <w:rPr>
          <w:rFonts w:cs="Arial"/>
          <w:bCs/>
          <w:sz w:val="21"/>
          <w:szCs w:val="21"/>
        </w:rPr>
      </w:pPr>
      <w:r w:rsidRPr="00E15106">
        <w:rPr>
          <w:rFonts w:cs="Arial"/>
          <w:bCs/>
          <w:sz w:val="21"/>
          <w:szCs w:val="21"/>
        </w:rPr>
        <w:t>[14]</w:t>
      </w:r>
      <w:r w:rsidRPr="00E15106">
        <w:rPr>
          <w:rFonts w:cs="Arial"/>
          <w:bCs/>
          <w:sz w:val="21"/>
          <w:szCs w:val="21"/>
        </w:rPr>
        <w:tab/>
      </w:r>
      <w:r w:rsidR="00E15106" w:rsidRPr="00E15106">
        <w:rPr>
          <w:rFonts w:cs="Arial"/>
          <w:bCs/>
          <w:sz w:val="21"/>
          <w:szCs w:val="21"/>
        </w:rPr>
        <w:t xml:space="preserve">The applicants failed to file an answering affidavit during the period </w:t>
      </w:r>
      <w:r w:rsidR="00C128C6" w:rsidRPr="00E15106">
        <w:rPr>
          <w:rFonts w:cs="Arial"/>
          <w:bCs/>
          <w:sz w:val="21"/>
          <w:szCs w:val="21"/>
        </w:rPr>
        <w:t xml:space="preserve">February </w:t>
      </w:r>
      <w:r w:rsidR="00E15106" w:rsidRPr="00E15106">
        <w:rPr>
          <w:rFonts w:cs="Arial"/>
          <w:bCs/>
          <w:sz w:val="21"/>
          <w:szCs w:val="21"/>
        </w:rPr>
        <w:t>to</w:t>
      </w:r>
      <w:r w:rsidR="00C128C6" w:rsidRPr="00E15106">
        <w:rPr>
          <w:rFonts w:cs="Arial"/>
          <w:bCs/>
          <w:sz w:val="21"/>
          <w:szCs w:val="21"/>
        </w:rPr>
        <w:t xml:space="preserve"> May </w:t>
      </w:r>
      <w:r w:rsidR="00E15106" w:rsidRPr="00E15106">
        <w:rPr>
          <w:rFonts w:cs="Arial"/>
          <w:bCs/>
          <w:sz w:val="21"/>
          <w:szCs w:val="21"/>
        </w:rPr>
        <w:t xml:space="preserve">2023. The notice of set down was served and was uploaded to Caselines and Caselines was accessed by the applicant’s attorneys. A </w:t>
      </w:r>
      <w:r w:rsidR="000872F2" w:rsidRPr="00E15106">
        <w:rPr>
          <w:rFonts w:cs="Arial"/>
          <w:bCs/>
          <w:sz w:val="21"/>
          <w:szCs w:val="21"/>
        </w:rPr>
        <w:t>party seeking condonation for a delay or default is required to give a full explanation covering the whole period in issue.</w:t>
      </w:r>
      <w:r w:rsidR="000872F2" w:rsidRPr="008E2A22">
        <w:rPr>
          <w:rStyle w:val="FootnoteReference"/>
          <w:rFonts w:cs="Arial"/>
          <w:bCs/>
          <w:sz w:val="21"/>
          <w:szCs w:val="21"/>
        </w:rPr>
        <w:footnoteReference w:id="3"/>
      </w:r>
      <w:r w:rsidR="000872F2" w:rsidRPr="00E15106">
        <w:rPr>
          <w:rFonts w:cs="Arial"/>
          <w:bCs/>
          <w:sz w:val="21"/>
          <w:szCs w:val="21"/>
        </w:rPr>
        <w:t xml:space="preserve"> They have not satisfactorily explained their default</w:t>
      </w:r>
      <w:r w:rsidR="00E15106">
        <w:rPr>
          <w:rFonts w:cs="Arial"/>
          <w:bCs/>
          <w:sz w:val="21"/>
          <w:szCs w:val="21"/>
        </w:rPr>
        <w:t xml:space="preserve"> and the explanation that they did give is not a reasonable one.</w:t>
      </w:r>
      <w:r w:rsidR="00D42B27">
        <w:rPr>
          <w:rFonts w:cs="Arial"/>
          <w:bCs/>
          <w:sz w:val="21"/>
          <w:szCs w:val="21"/>
        </w:rPr>
        <w:t xml:space="preserve"> The application is dismissed for this reason alone but I also deal below with the requirement of a </w:t>
      </w:r>
      <w:r w:rsidR="00D42B27" w:rsidRPr="00D42B27">
        <w:rPr>
          <w:rFonts w:cs="Arial"/>
          <w:bCs/>
          <w:i/>
          <w:iCs/>
          <w:sz w:val="21"/>
          <w:szCs w:val="21"/>
        </w:rPr>
        <w:t>bona fide</w:t>
      </w:r>
      <w:r w:rsidR="00D42B27">
        <w:rPr>
          <w:rFonts w:cs="Arial"/>
          <w:bCs/>
          <w:sz w:val="21"/>
          <w:szCs w:val="21"/>
        </w:rPr>
        <w:t xml:space="preserve"> defence.</w:t>
      </w:r>
    </w:p>
    <w:p w14:paraId="591CB319" w14:textId="77777777" w:rsidR="000872F2" w:rsidRDefault="000872F2" w:rsidP="00FE60F7">
      <w:pPr>
        <w:widowControl w:val="0"/>
        <w:spacing w:before="480" w:after="480" w:line="360" w:lineRule="auto"/>
        <w:jc w:val="both"/>
        <w:rPr>
          <w:rFonts w:cs="Arial"/>
          <w:bCs/>
          <w:sz w:val="21"/>
          <w:szCs w:val="21"/>
        </w:rPr>
      </w:pPr>
    </w:p>
    <w:p w14:paraId="2008DDC6" w14:textId="5436CABD" w:rsidR="000872F2" w:rsidRPr="00C2742C" w:rsidRDefault="00C2742C" w:rsidP="00FE60F7">
      <w:pPr>
        <w:widowControl w:val="0"/>
        <w:spacing w:before="480" w:after="480" w:line="360" w:lineRule="auto"/>
        <w:jc w:val="both"/>
        <w:rPr>
          <w:rFonts w:cs="Arial"/>
          <w:bCs/>
          <w:sz w:val="21"/>
          <w:szCs w:val="21"/>
          <w:u w:val="single"/>
        </w:rPr>
      </w:pPr>
      <w:r w:rsidRPr="003A76B5">
        <w:rPr>
          <w:rFonts w:cs="Arial"/>
          <w:bCs/>
          <w:i/>
          <w:iCs/>
          <w:sz w:val="21"/>
          <w:szCs w:val="21"/>
          <w:u w:val="single"/>
        </w:rPr>
        <w:t>Bona fide</w:t>
      </w:r>
      <w:r w:rsidRPr="00C2742C">
        <w:rPr>
          <w:rFonts w:cs="Arial"/>
          <w:bCs/>
          <w:sz w:val="21"/>
          <w:szCs w:val="21"/>
          <w:u w:val="single"/>
        </w:rPr>
        <w:t xml:space="preserve"> defence</w:t>
      </w:r>
    </w:p>
    <w:p w14:paraId="7C64E6D9" w14:textId="392DA94E" w:rsidR="000872F2" w:rsidRPr="008E2A22" w:rsidRDefault="0037071D" w:rsidP="0037071D">
      <w:pPr>
        <w:widowControl w:val="0"/>
        <w:tabs>
          <w:tab w:val="left" w:pos="567"/>
        </w:tabs>
        <w:spacing w:before="480" w:after="480" w:line="360" w:lineRule="auto"/>
        <w:jc w:val="both"/>
        <w:rPr>
          <w:rFonts w:cs="Arial"/>
          <w:bCs/>
          <w:sz w:val="21"/>
          <w:szCs w:val="21"/>
        </w:rPr>
      </w:pPr>
      <w:r w:rsidRPr="008E2A22">
        <w:rPr>
          <w:rFonts w:cs="Arial"/>
          <w:bCs/>
          <w:sz w:val="21"/>
          <w:szCs w:val="21"/>
        </w:rPr>
        <w:t>[15]</w:t>
      </w:r>
      <w:r w:rsidRPr="008E2A22">
        <w:rPr>
          <w:rFonts w:cs="Arial"/>
          <w:bCs/>
          <w:sz w:val="21"/>
          <w:szCs w:val="21"/>
        </w:rPr>
        <w:tab/>
      </w:r>
      <w:r w:rsidR="000872F2">
        <w:rPr>
          <w:rFonts w:cs="Arial"/>
          <w:bCs/>
          <w:sz w:val="21"/>
          <w:szCs w:val="21"/>
        </w:rPr>
        <w:t>I</w:t>
      </w:r>
      <w:r w:rsidR="000872F2" w:rsidRPr="004A081A">
        <w:rPr>
          <w:rFonts w:cs="Arial"/>
          <w:bCs/>
          <w:sz w:val="21"/>
          <w:szCs w:val="21"/>
        </w:rPr>
        <w:t xml:space="preserve"> turn to the defence raised by the applicants. </w:t>
      </w:r>
      <w:r w:rsidR="000872F2" w:rsidRPr="008E2A22">
        <w:rPr>
          <w:rFonts w:cs="Arial"/>
          <w:bCs/>
          <w:sz w:val="21"/>
          <w:szCs w:val="21"/>
        </w:rPr>
        <w:t>The applicant</w:t>
      </w:r>
      <w:r w:rsidR="000872F2">
        <w:rPr>
          <w:rFonts w:cs="Arial"/>
          <w:bCs/>
          <w:sz w:val="21"/>
          <w:szCs w:val="21"/>
        </w:rPr>
        <w:t>s</w:t>
      </w:r>
      <w:r w:rsidR="000872F2" w:rsidRPr="008E2A22">
        <w:rPr>
          <w:rFonts w:cs="Arial"/>
          <w:bCs/>
          <w:sz w:val="21"/>
          <w:szCs w:val="21"/>
        </w:rPr>
        <w:t xml:space="preserve"> </w:t>
      </w:r>
      <w:r w:rsidR="002963B9">
        <w:rPr>
          <w:rFonts w:cs="Arial"/>
          <w:bCs/>
          <w:sz w:val="21"/>
          <w:szCs w:val="21"/>
        </w:rPr>
        <w:t xml:space="preserve">(assuming for these purposes that a reasonable explanation was given for the default) </w:t>
      </w:r>
      <w:r w:rsidR="000872F2">
        <w:rPr>
          <w:rFonts w:cs="Arial"/>
          <w:bCs/>
          <w:sz w:val="21"/>
          <w:szCs w:val="21"/>
        </w:rPr>
        <w:t xml:space="preserve">are </w:t>
      </w:r>
      <w:r w:rsidR="000872F2" w:rsidRPr="008E2A22">
        <w:rPr>
          <w:rFonts w:cs="Arial"/>
          <w:bCs/>
          <w:sz w:val="21"/>
          <w:szCs w:val="21"/>
        </w:rPr>
        <w:t xml:space="preserve">not required to prove </w:t>
      </w:r>
      <w:r w:rsidR="000872F2">
        <w:rPr>
          <w:rFonts w:cs="Arial"/>
          <w:bCs/>
          <w:sz w:val="21"/>
          <w:szCs w:val="21"/>
        </w:rPr>
        <w:t>their</w:t>
      </w:r>
      <w:r w:rsidR="000872F2" w:rsidRPr="008E2A22">
        <w:rPr>
          <w:rFonts w:cs="Arial"/>
          <w:bCs/>
          <w:sz w:val="21"/>
          <w:szCs w:val="21"/>
        </w:rPr>
        <w:t xml:space="preserve"> defence (either in the sense of a full onus or an onus of rebuttal) but </w:t>
      </w:r>
      <w:r w:rsidR="00A60EED">
        <w:rPr>
          <w:rFonts w:cs="Arial"/>
          <w:bCs/>
          <w:sz w:val="21"/>
          <w:szCs w:val="21"/>
        </w:rPr>
        <w:t>must</w:t>
      </w:r>
      <w:r w:rsidR="000872F2" w:rsidRPr="008E2A22">
        <w:rPr>
          <w:rFonts w:cs="Arial"/>
          <w:bCs/>
          <w:sz w:val="21"/>
          <w:szCs w:val="21"/>
        </w:rPr>
        <w:t xml:space="preserve"> make averments that if established at trial would constitute a defence. The applicant’s averments are however not to be read in isolation but with the averments made by the respondent.</w:t>
      </w:r>
    </w:p>
    <w:p w14:paraId="0B904082" w14:textId="6F08A1A2" w:rsidR="000872F2" w:rsidRPr="004A081A" w:rsidRDefault="0037071D" w:rsidP="0037071D">
      <w:pPr>
        <w:widowControl w:val="0"/>
        <w:tabs>
          <w:tab w:val="left" w:pos="567"/>
        </w:tabs>
        <w:spacing w:before="480" w:after="480" w:line="360" w:lineRule="auto"/>
        <w:jc w:val="both"/>
        <w:rPr>
          <w:rFonts w:cs="Arial"/>
          <w:bCs/>
          <w:sz w:val="21"/>
          <w:szCs w:val="21"/>
        </w:rPr>
      </w:pPr>
      <w:r w:rsidRPr="004A081A">
        <w:rPr>
          <w:rFonts w:cs="Arial"/>
          <w:bCs/>
          <w:sz w:val="21"/>
          <w:szCs w:val="21"/>
        </w:rPr>
        <w:t>[16]</w:t>
      </w:r>
      <w:r w:rsidRPr="004A081A">
        <w:rPr>
          <w:rFonts w:cs="Arial"/>
          <w:bCs/>
          <w:sz w:val="21"/>
          <w:szCs w:val="21"/>
        </w:rPr>
        <w:tab/>
      </w:r>
      <w:r w:rsidR="000872F2" w:rsidRPr="004A081A">
        <w:rPr>
          <w:rFonts w:cs="Arial"/>
          <w:bCs/>
          <w:sz w:val="21"/>
          <w:szCs w:val="21"/>
        </w:rPr>
        <w:t>The</w:t>
      </w:r>
      <w:r w:rsidR="00001BAE">
        <w:rPr>
          <w:rFonts w:cs="Arial"/>
          <w:bCs/>
          <w:sz w:val="21"/>
          <w:szCs w:val="21"/>
        </w:rPr>
        <w:t xml:space="preserve"> applicants</w:t>
      </w:r>
      <w:r w:rsidR="000872F2" w:rsidRPr="004A081A">
        <w:rPr>
          <w:rFonts w:cs="Arial"/>
          <w:bCs/>
          <w:sz w:val="21"/>
          <w:szCs w:val="21"/>
        </w:rPr>
        <w:t xml:space="preserve"> say that the Leishers had in their personal capacity borrowed</w:t>
      </w:r>
      <w:r w:rsidR="000872F2">
        <w:rPr>
          <w:rFonts w:cs="Arial"/>
          <w:bCs/>
          <w:sz w:val="21"/>
          <w:szCs w:val="21"/>
        </w:rPr>
        <w:t xml:space="preserve"> R3,500,000 from the respondent in December 2019 and repaid this loan in April or May 2020. Then in October 2020 Mr Leisher again approached the respondent for a loan and it was agreed that an amount of R4,000,000 be advanced to the Leishers. On 8 October 2020 the Leishers and the respondent appended their signatures to an acknowledgement of indebtedness.</w:t>
      </w:r>
    </w:p>
    <w:p w14:paraId="3E0D3A15" w14:textId="691BEAB9"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[17]</w:t>
      </w:r>
      <w:r>
        <w:rPr>
          <w:rFonts w:cs="Arial"/>
          <w:bCs/>
          <w:sz w:val="21"/>
          <w:szCs w:val="21"/>
        </w:rPr>
        <w:tab/>
      </w:r>
      <w:r w:rsidR="000872F2">
        <w:rPr>
          <w:rFonts w:cs="Arial"/>
          <w:bCs/>
          <w:sz w:val="21"/>
          <w:szCs w:val="21"/>
        </w:rPr>
        <w:t xml:space="preserve">The acknowledgement of debt was signed by the Leishers </w:t>
      </w:r>
      <w:r w:rsidR="000872F2" w:rsidRPr="00C24875">
        <w:rPr>
          <w:rFonts w:cs="Arial"/>
          <w:bCs/>
          <w:i/>
          <w:iCs/>
          <w:sz w:val="21"/>
          <w:szCs w:val="21"/>
        </w:rPr>
        <w:t>“collectively of R.L. Development &amp; Construction”</w:t>
      </w:r>
      <w:r w:rsidR="000872F2">
        <w:rPr>
          <w:rFonts w:cs="Arial"/>
          <w:bCs/>
          <w:sz w:val="21"/>
          <w:szCs w:val="21"/>
        </w:rPr>
        <w:t xml:space="preserve"> and </w:t>
      </w:r>
      <w:r w:rsidR="000872F2" w:rsidRPr="00DA6C28">
        <w:rPr>
          <w:rFonts w:cs="Arial"/>
          <w:bCs/>
          <w:i/>
          <w:iCs/>
          <w:sz w:val="21"/>
          <w:szCs w:val="21"/>
        </w:rPr>
        <w:t>“on behalf of R.L. Development &amp; Construction.”</w:t>
      </w:r>
      <w:r w:rsidR="000872F2">
        <w:rPr>
          <w:rFonts w:cs="Arial"/>
          <w:bCs/>
          <w:sz w:val="21"/>
          <w:szCs w:val="21"/>
        </w:rPr>
        <w:t xml:space="preserve"> It is common cause that the first applicant is not referred to in the acknowledgement of debt and the applicants say that this is so because the first applicant never entered into an agreement with the respondent, and that the respondent merely sought to rely on an agreement with the </w:t>
      </w:r>
      <w:r w:rsidR="000872F2">
        <w:rPr>
          <w:rFonts w:cs="Arial"/>
          <w:bCs/>
          <w:sz w:val="21"/>
          <w:szCs w:val="21"/>
        </w:rPr>
        <w:lastRenderedPageBreak/>
        <w:t>first applicant as principal debtor in order to avoid the registration requirements</w:t>
      </w:r>
      <w:r w:rsidR="00001BAE">
        <w:rPr>
          <w:rStyle w:val="FootnoteReference"/>
          <w:rFonts w:cs="Arial"/>
          <w:bCs/>
          <w:sz w:val="21"/>
          <w:szCs w:val="21"/>
        </w:rPr>
        <w:footnoteReference w:id="4"/>
      </w:r>
      <w:r w:rsidR="000872F2">
        <w:rPr>
          <w:rFonts w:cs="Arial"/>
          <w:bCs/>
          <w:sz w:val="21"/>
          <w:szCs w:val="21"/>
        </w:rPr>
        <w:t xml:space="preserve"> in the National Credit Act.</w:t>
      </w:r>
    </w:p>
    <w:p w14:paraId="62E81FDA" w14:textId="5F01F4DF"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[18]</w:t>
      </w:r>
      <w:r>
        <w:rPr>
          <w:rFonts w:cs="Arial"/>
          <w:bCs/>
          <w:sz w:val="21"/>
          <w:szCs w:val="21"/>
        </w:rPr>
        <w:tab/>
      </w:r>
      <w:r w:rsidR="000872F2">
        <w:rPr>
          <w:rFonts w:cs="Arial"/>
          <w:bCs/>
          <w:sz w:val="21"/>
          <w:szCs w:val="21"/>
        </w:rPr>
        <w:t>The respondent explains in the answering affidavit that the monies were lent and advanced to the first applicant and that he required additional security</w:t>
      </w:r>
      <w:r w:rsidR="00E92E60">
        <w:rPr>
          <w:rFonts w:cs="Arial"/>
          <w:bCs/>
          <w:sz w:val="21"/>
          <w:szCs w:val="21"/>
        </w:rPr>
        <w:t xml:space="preserve"> in the form of the acknowledgement of debt by the signatories thereto. The payment of the R4,000,000 was made into the bank account of the first applicant and the bank account details of the first applicant was provided to the respondent by an employee of R.L. Development &amp; Construction. When the debtors were unable to repay the loan the funds to settle the loan were to be raised from realising assets of the first applicant. The shareholder of the first applicant is a trust and the Leishers are directors. There would be no commercial reason for the company to repay a loan deal by the Leishers unless of course the company was obliged to repay the loan as the debtor.</w:t>
      </w:r>
    </w:p>
    <w:p w14:paraId="38076364" w14:textId="63E4E3BF" w:rsidR="000872F2" w:rsidRPr="00C2742C" w:rsidRDefault="0037071D" w:rsidP="0037071D">
      <w:pPr>
        <w:widowControl w:val="0"/>
        <w:tabs>
          <w:tab w:val="left" w:pos="567"/>
        </w:tabs>
        <w:spacing w:before="480" w:after="480" w:line="360" w:lineRule="auto"/>
        <w:jc w:val="both"/>
        <w:rPr>
          <w:rFonts w:cs="Arial"/>
          <w:bCs/>
          <w:sz w:val="21"/>
          <w:szCs w:val="21"/>
        </w:rPr>
      </w:pPr>
      <w:r w:rsidRPr="00C2742C">
        <w:rPr>
          <w:rFonts w:cs="Arial"/>
          <w:bCs/>
          <w:sz w:val="21"/>
          <w:szCs w:val="21"/>
        </w:rPr>
        <w:t>[19]</w:t>
      </w:r>
      <w:r w:rsidRPr="00C2742C">
        <w:rPr>
          <w:rFonts w:cs="Arial"/>
          <w:bCs/>
          <w:sz w:val="21"/>
          <w:szCs w:val="21"/>
        </w:rPr>
        <w:tab/>
      </w:r>
      <w:r w:rsidR="000872F2" w:rsidRPr="00C2742C">
        <w:rPr>
          <w:rFonts w:cs="Arial"/>
          <w:bCs/>
          <w:sz w:val="21"/>
          <w:szCs w:val="21"/>
        </w:rPr>
        <w:t>The applicants now adopt the view that the second applicant does not exist</w:t>
      </w:r>
      <w:r w:rsidR="00283664" w:rsidRPr="00C2742C">
        <w:rPr>
          <w:rFonts w:cs="Arial"/>
          <w:bCs/>
          <w:sz w:val="21"/>
          <w:szCs w:val="21"/>
        </w:rPr>
        <w:t>. This is a surprising allegation and is refu</w:t>
      </w:r>
      <w:r w:rsidR="00082115">
        <w:rPr>
          <w:rFonts w:cs="Arial"/>
          <w:bCs/>
          <w:sz w:val="21"/>
          <w:szCs w:val="21"/>
        </w:rPr>
        <w:t>t</w:t>
      </w:r>
      <w:r w:rsidR="00283664" w:rsidRPr="00C2742C">
        <w:rPr>
          <w:rFonts w:cs="Arial"/>
          <w:bCs/>
          <w:sz w:val="21"/>
          <w:szCs w:val="21"/>
        </w:rPr>
        <w:t>ed by the papers emanating from the Leishers. The second applicant</w:t>
      </w:r>
      <w:r w:rsidR="000872F2" w:rsidRPr="00C2742C">
        <w:rPr>
          <w:rFonts w:cs="Arial"/>
          <w:bCs/>
          <w:sz w:val="21"/>
          <w:szCs w:val="21"/>
        </w:rPr>
        <w:t xml:space="preserve"> is referred to </w:t>
      </w:r>
      <w:r w:rsidR="00001BAE">
        <w:rPr>
          <w:rFonts w:cs="Arial"/>
          <w:bCs/>
          <w:sz w:val="21"/>
          <w:szCs w:val="21"/>
        </w:rPr>
        <w:t xml:space="preserve">in the acknowledgement of debt </w:t>
      </w:r>
      <w:r w:rsidR="000872F2" w:rsidRPr="00C2742C">
        <w:rPr>
          <w:rFonts w:cs="Arial"/>
          <w:bCs/>
          <w:sz w:val="21"/>
          <w:szCs w:val="21"/>
        </w:rPr>
        <w:t xml:space="preserve">as a firm represented by the Leishers and with an address in Glenvista. The second applicant is also referred to in an electronic mail message by Mr Leisher on 5 December 2019 where he describes himself as follows: </w:t>
      </w:r>
      <w:r w:rsidR="000872F2" w:rsidRPr="00C2742C">
        <w:rPr>
          <w:rFonts w:cs="Arial"/>
          <w:bCs/>
          <w:i/>
          <w:iCs/>
          <w:sz w:val="21"/>
          <w:szCs w:val="21"/>
        </w:rPr>
        <w:t>“Director, R.L. Development &amp; Construction</w:t>
      </w:r>
      <w:r w:rsidR="00283664" w:rsidRPr="00C2742C">
        <w:rPr>
          <w:rFonts w:cs="Arial"/>
          <w:bCs/>
          <w:i/>
          <w:iCs/>
          <w:sz w:val="21"/>
          <w:szCs w:val="21"/>
        </w:rPr>
        <w:t>.</w:t>
      </w:r>
      <w:r w:rsidR="000872F2" w:rsidRPr="00C2742C">
        <w:rPr>
          <w:rFonts w:cs="Arial"/>
          <w:bCs/>
          <w:i/>
          <w:iCs/>
          <w:sz w:val="21"/>
          <w:szCs w:val="21"/>
        </w:rPr>
        <w:t>”</w:t>
      </w:r>
      <w:r w:rsidR="000872F2" w:rsidRPr="00C2742C">
        <w:rPr>
          <w:rFonts w:cs="Arial"/>
          <w:bCs/>
          <w:sz w:val="21"/>
          <w:szCs w:val="21"/>
        </w:rPr>
        <w:t xml:space="preserve"> </w:t>
      </w:r>
      <w:r w:rsidR="00283664" w:rsidRPr="00C2742C">
        <w:rPr>
          <w:rFonts w:cs="Arial"/>
          <w:bCs/>
          <w:sz w:val="21"/>
          <w:szCs w:val="21"/>
        </w:rPr>
        <w:t xml:space="preserve"> The acknowledgement of debt was sent to the respondent from Mr Leisher’s electronic mail address on 8 October 2000 by one Sasha David of R.L. Development &amp; Construction.</w:t>
      </w:r>
    </w:p>
    <w:p w14:paraId="0E7CB498" w14:textId="213AB2AA"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[20]</w:t>
      </w:r>
      <w:r>
        <w:rPr>
          <w:rFonts w:cs="Arial"/>
          <w:bCs/>
          <w:sz w:val="21"/>
          <w:szCs w:val="21"/>
        </w:rPr>
        <w:tab/>
      </w:r>
      <w:r w:rsidR="000872F2">
        <w:rPr>
          <w:rFonts w:cs="Arial"/>
          <w:bCs/>
          <w:sz w:val="21"/>
          <w:szCs w:val="21"/>
        </w:rPr>
        <w:t xml:space="preserve">The existence of the second applicant is not in doubt despite the denial of its existence by the first applicant. </w:t>
      </w:r>
      <w:r w:rsidR="00001BAE">
        <w:rPr>
          <w:rFonts w:cs="Arial"/>
          <w:bCs/>
          <w:sz w:val="21"/>
          <w:szCs w:val="21"/>
        </w:rPr>
        <w:t xml:space="preserve">The denial is </w:t>
      </w:r>
      <w:r w:rsidR="00ED281C">
        <w:rPr>
          <w:rFonts w:cs="Arial"/>
          <w:bCs/>
          <w:sz w:val="21"/>
          <w:szCs w:val="21"/>
        </w:rPr>
        <w:t>disingenuous</w:t>
      </w:r>
      <w:r w:rsidR="00001BAE">
        <w:rPr>
          <w:rFonts w:cs="Arial"/>
          <w:bCs/>
          <w:sz w:val="21"/>
          <w:szCs w:val="21"/>
        </w:rPr>
        <w:t>. The second applicant</w:t>
      </w:r>
      <w:r w:rsidR="000872F2">
        <w:rPr>
          <w:rFonts w:cs="Arial"/>
          <w:bCs/>
          <w:sz w:val="21"/>
          <w:szCs w:val="21"/>
        </w:rPr>
        <w:t xml:space="preserve"> is neither a company nor a close corporation </w:t>
      </w:r>
      <w:r w:rsidR="00001BAE">
        <w:rPr>
          <w:rFonts w:cs="Arial"/>
          <w:bCs/>
          <w:sz w:val="21"/>
          <w:szCs w:val="21"/>
        </w:rPr>
        <w:t>but</w:t>
      </w:r>
      <w:r w:rsidR="000872F2">
        <w:rPr>
          <w:rFonts w:cs="Arial"/>
          <w:bCs/>
          <w:sz w:val="21"/>
          <w:szCs w:val="21"/>
        </w:rPr>
        <w:t xml:space="preserve"> it falls within the extended definition of a juristic person in section 1 of the National Credit Act. For the purposes of the Act the definition of a juristic person includes a partnership, association or other body of persons, corporate or unincorporated, or a trust if there are three or more individual trustees or the trustee itself is a juristic person. The usual definition of what a juristic person is does not apply. </w:t>
      </w:r>
    </w:p>
    <w:p w14:paraId="6128E6B6" w14:textId="0DD78CA1"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[21]</w:t>
      </w:r>
      <w:r>
        <w:rPr>
          <w:rFonts w:cs="Arial"/>
          <w:bCs/>
          <w:sz w:val="21"/>
          <w:szCs w:val="21"/>
        </w:rPr>
        <w:tab/>
      </w:r>
      <w:r w:rsidR="000872F2">
        <w:rPr>
          <w:rFonts w:cs="Arial"/>
          <w:bCs/>
          <w:sz w:val="21"/>
          <w:szCs w:val="21"/>
        </w:rPr>
        <w:t xml:space="preserve">The Act does not apply to a credit agreement in terms of which the consumer is a juristic person with an </w:t>
      </w:r>
      <w:r w:rsidR="003A76B5">
        <w:rPr>
          <w:rFonts w:cs="Arial"/>
          <w:bCs/>
          <w:sz w:val="21"/>
          <w:szCs w:val="21"/>
        </w:rPr>
        <w:t>asset</w:t>
      </w:r>
      <w:r w:rsidR="000872F2">
        <w:rPr>
          <w:rFonts w:cs="Arial"/>
          <w:bCs/>
          <w:sz w:val="21"/>
          <w:szCs w:val="21"/>
        </w:rPr>
        <w:t xml:space="preserve"> value or annual turnover together with the combined asset value or annual turnover of all related juristic persons at the time of the agreement is made, equal</w:t>
      </w:r>
      <w:r w:rsidR="003A76B5">
        <w:rPr>
          <w:rFonts w:cs="Arial"/>
          <w:bCs/>
          <w:sz w:val="21"/>
          <w:szCs w:val="21"/>
        </w:rPr>
        <w:t>ling</w:t>
      </w:r>
      <w:r w:rsidR="000872F2">
        <w:rPr>
          <w:rFonts w:cs="Arial"/>
          <w:bCs/>
          <w:sz w:val="21"/>
          <w:szCs w:val="21"/>
        </w:rPr>
        <w:t xml:space="preserve"> or exceed</w:t>
      </w:r>
      <w:r w:rsidR="003A76B5">
        <w:rPr>
          <w:rFonts w:cs="Arial"/>
          <w:bCs/>
          <w:sz w:val="21"/>
          <w:szCs w:val="21"/>
        </w:rPr>
        <w:t>ing</w:t>
      </w:r>
      <w:r w:rsidR="000872F2">
        <w:rPr>
          <w:rFonts w:cs="Arial"/>
          <w:bCs/>
          <w:sz w:val="21"/>
          <w:szCs w:val="21"/>
        </w:rPr>
        <w:t xml:space="preserve"> the threshold value determined by the Minister. The threshold determined by </w:t>
      </w:r>
      <w:r w:rsidR="000872F2">
        <w:rPr>
          <w:rFonts w:cs="Arial"/>
          <w:bCs/>
          <w:sz w:val="21"/>
          <w:szCs w:val="21"/>
        </w:rPr>
        <w:lastRenderedPageBreak/>
        <w:t>the Minister</w:t>
      </w:r>
      <w:r w:rsidR="003A76B5">
        <w:rPr>
          <w:rStyle w:val="FootnoteReference"/>
          <w:rFonts w:cs="Arial"/>
          <w:bCs/>
          <w:sz w:val="21"/>
          <w:szCs w:val="21"/>
        </w:rPr>
        <w:footnoteReference w:id="5"/>
      </w:r>
      <w:r w:rsidR="000872F2">
        <w:rPr>
          <w:rFonts w:cs="Arial"/>
          <w:bCs/>
          <w:sz w:val="21"/>
          <w:szCs w:val="21"/>
        </w:rPr>
        <w:t xml:space="preserve"> is R1,000,000 and was published by the Minister in government notice 713 in government Gazette 28893 of 1 June 2006.</w:t>
      </w:r>
      <w:r w:rsidR="000872F2">
        <w:rPr>
          <w:rStyle w:val="FootnoteReference"/>
          <w:rFonts w:cs="Arial"/>
          <w:bCs/>
          <w:sz w:val="21"/>
          <w:szCs w:val="21"/>
        </w:rPr>
        <w:footnoteReference w:id="6"/>
      </w:r>
    </w:p>
    <w:p w14:paraId="7927B67F" w14:textId="10BF16BA"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[22]</w:t>
      </w:r>
      <w:r>
        <w:rPr>
          <w:rFonts w:cs="Arial"/>
          <w:bCs/>
          <w:sz w:val="21"/>
          <w:szCs w:val="21"/>
        </w:rPr>
        <w:tab/>
      </w:r>
      <w:r w:rsidR="000872F2">
        <w:rPr>
          <w:rFonts w:cs="Arial"/>
          <w:bCs/>
          <w:sz w:val="21"/>
          <w:szCs w:val="21"/>
        </w:rPr>
        <w:t>The Act also does not apply to a large agreement as defined in section 9 (4) of the Act when the consumer is a juristic person whether or not its asset value or turnover is above or below the threshold.</w:t>
      </w:r>
      <w:r w:rsidR="000872F2">
        <w:rPr>
          <w:rStyle w:val="FootnoteReference"/>
          <w:rFonts w:cs="Arial"/>
          <w:bCs/>
          <w:sz w:val="21"/>
          <w:szCs w:val="21"/>
        </w:rPr>
        <w:footnoteReference w:id="7"/>
      </w:r>
      <w:r w:rsidR="000872F2">
        <w:rPr>
          <w:rFonts w:cs="Arial"/>
          <w:bCs/>
          <w:sz w:val="21"/>
          <w:szCs w:val="21"/>
        </w:rPr>
        <w:t xml:space="preserve"> A large agreement is defined in section 9 (4) as a mortgage agreement or any other credit transaction except a pawn transaction or a credit guarantee and the principal debt falls at or above the higher of the thresholds established in terms of section 7</w:t>
      </w:r>
      <w:r w:rsidR="003A76B5">
        <w:rPr>
          <w:rFonts w:cs="Arial"/>
          <w:bCs/>
          <w:sz w:val="21"/>
          <w:szCs w:val="21"/>
        </w:rPr>
        <w:t> </w:t>
      </w:r>
      <w:r w:rsidR="000872F2">
        <w:rPr>
          <w:rFonts w:cs="Arial"/>
          <w:bCs/>
          <w:sz w:val="21"/>
          <w:szCs w:val="21"/>
        </w:rPr>
        <w:t>(1)</w:t>
      </w:r>
      <w:r w:rsidR="003A76B5">
        <w:rPr>
          <w:rFonts w:cs="Arial"/>
          <w:bCs/>
          <w:sz w:val="21"/>
          <w:szCs w:val="21"/>
        </w:rPr>
        <w:t> </w:t>
      </w:r>
      <w:r w:rsidR="000872F2">
        <w:rPr>
          <w:rFonts w:cs="Arial"/>
          <w:bCs/>
          <w:sz w:val="21"/>
          <w:szCs w:val="21"/>
        </w:rPr>
        <w:t>(b) of the Act. A large agreement is a credit agreement relating to a principal debt of R250,000 or more.</w:t>
      </w:r>
      <w:r w:rsidR="00DD43F6">
        <w:rPr>
          <w:rStyle w:val="FootnoteReference"/>
          <w:rFonts w:cs="Arial"/>
          <w:bCs/>
          <w:sz w:val="21"/>
          <w:szCs w:val="21"/>
        </w:rPr>
        <w:footnoteReference w:id="8"/>
      </w:r>
    </w:p>
    <w:p w14:paraId="1E1BE59F" w14:textId="28F66CF7" w:rsidR="001E4701"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[23]</w:t>
      </w:r>
      <w:r>
        <w:rPr>
          <w:rFonts w:cs="Arial"/>
          <w:bCs/>
          <w:sz w:val="21"/>
          <w:szCs w:val="21"/>
        </w:rPr>
        <w:tab/>
      </w:r>
      <w:r w:rsidR="00E66F5D" w:rsidRPr="00E66F5D">
        <w:rPr>
          <w:rFonts w:cs="Arial"/>
          <w:bCs/>
          <w:sz w:val="21"/>
          <w:szCs w:val="21"/>
        </w:rPr>
        <w:t xml:space="preserve">The National Credit Act does not apply to the acknowledgement of debt </w:t>
      </w:r>
      <w:r w:rsidR="001E4701">
        <w:rPr>
          <w:rFonts w:cs="Arial"/>
          <w:bCs/>
          <w:sz w:val="21"/>
          <w:szCs w:val="21"/>
        </w:rPr>
        <w:t xml:space="preserve">by the second applicant </w:t>
      </w:r>
      <w:r w:rsidR="00E66F5D" w:rsidRPr="00E66F5D">
        <w:rPr>
          <w:rFonts w:cs="Arial"/>
          <w:bCs/>
          <w:sz w:val="21"/>
          <w:szCs w:val="21"/>
        </w:rPr>
        <w:t xml:space="preserve">for </w:t>
      </w:r>
      <w:r w:rsidR="003A76B5">
        <w:rPr>
          <w:rFonts w:cs="Arial"/>
          <w:bCs/>
          <w:sz w:val="21"/>
          <w:szCs w:val="21"/>
        </w:rPr>
        <w:t>the</w:t>
      </w:r>
      <w:r w:rsidR="00E66F5D" w:rsidRPr="00E66F5D">
        <w:rPr>
          <w:rFonts w:cs="Arial"/>
          <w:bCs/>
          <w:sz w:val="21"/>
          <w:szCs w:val="21"/>
        </w:rPr>
        <w:t xml:space="preserve"> reasons outlined above</w:t>
      </w:r>
      <w:r w:rsidR="003A76B5">
        <w:rPr>
          <w:rFonts w:cs="Arial"/>
          <w:bCs/>
          <w:sz w:val="21"/>
          <w:szCs w:val="21"/>
        </w:rPr>
        <w:t>.</w:t>
      </w:r>
      <w:r w:rsidR="00E66F5D">
        <w:rPr>
          <w:rFonts w:cs="Arial"/>
          <w:bCs/>
          <w:sz w:val="21"/>
          <w:szCs w:val="21"/>
        </w:rPr>
        <w:t xml:space="preserve"> </w:t>
      </w:r>
      <w:r w:rsidR="000872F2" w:rsidRPr="00E66F5D">
        <w:rPr>
          <w:rFonts w:cs="Arial"/>
          <w:bCs/>
          <w:sz w:val="21"/>
          <w:szCs w:val="21"/>
        </w:rPr>
        <w:t xml:space="preserve">The acknowledgement of debt provides for a debt of R4,000,000 clearly in excess of the prescribed minimum and R. L. Development &amp; Construction together with the Leishers declared themselves bound to pay this amount to the respondent together with interest. The firm together with the two individuals declared themselves bound jointly and severally as co-principal debtors. </w:t>
      </w:r>
    </w:p>
    <w:p w14:paraId="039112F0" w14:textId="644E3FE7" w:rsidR="000872F2" w:rsidRPr="00E66F5D" w:rsidRDefault="0037071D" w:rsidP="0037071D">
      <w:pPr>
        <w:widowControl w:val="0"/>
        <w:tabs>
          <w:tab w:val="left" w:pos="567"/>
        </w:tabs>
        <w:spacing w:before="480" w:after="480" w:line="360" w:lineRule="auto"/>
        <w:jc w:val="both"/>
        <w:rPr>
          <w:rFonts w:cs="Arial"/>
          <w:bCs/>
          <w:sz w:val="21"/>
          <w:szCs w:val="21"/>
        </w:rPr>
      </w:pPr>
      <w:r w:rsidRPr="00E66F5D">
        <w:rPr>
          <w:rFonts w:cs="Arial"/>
          <w:bCs/>
          <w:sz w:val="21"/>
          <w:szCs w:val="21"/>
        </w:rPr>
        <w:t>[24]</w:t>
      </w:r>
      <w:r w:rsidRPr="00E66F5D">
        <w:rPr>
          <w:rFonts w:cs="Arial"/>
          <w:bCs/>
          <w:sz w:val="21"/>
          <w:szCs w:val="21"/>
        </w:rPr>
        <w:tab/>
      </w:r>
      <w:r w:rsidR="000872F2" w:rsidRPr="00E66F5D">
        <w:rPr>
          <w:rFonts w:cs="Arial"/>
          <w:bCs/>
          <w:sz w:val="21"/>
          <w:szCs w:val="21"/>
        </w:rPr>
        <w:t>The Act applies to a credit guarantee only to the extent that it applies to a credit facility or credit transaction in respect of which the credit guarantee is granted.</w:t>
      </w:r>
      <w:r w:rsidR="000872F2">
        <w:rPr>
          <w:rStyle w:val="FootnoteReference"/>
          <w:rFonts w:cs="Arial"/>
          <w:bCs/>
          <w:sz w:val="21"/>
          <w:szCs w:val="21"/>
        </w:rPr>
        <w:footnoteReference w:id="9"/>
      </w:r>
      <w:r w:rsidR="000872F2" w:rsidRPr="00E66F5D">
        <w:rPr>
          <w:rFonts w:cs="Arial"/>
          <w:bCs/>
          <w:sz w:val="21"/>
          <w:szCs w:val="21"/>
        </w:rPr>
        <w:t xml:space="preserve"> </w:t>
      </w:r>
      <w:r w:rsidR="00FC6D12" w:rsidRPr="00E66F5D">
        <w:rPr>
          <w:rFonts w:cs="Arial"/>
          <w:bCs/>
          <w:sz w:val="21"/>
          <w:szCs w:val="21"/>
        </w:rPr>
        <w:t xml:space="preserve">The </w:t>
      </w:r>
      <w:r w:rsidR="000872F2" w:rsidRPr="00E66F5D">
        <w:rPr>
          <w:rFonts w:cs="Arial"/>
          <w:bCs/>
          <w:sz w:val="21"/>
          <w:szCs w:val="21"/>
        </w:rPr>
        <w:t>acknowledgement of debt is binding on R. L. Development &amp; Construction</w:t>
      </w:r>
      <w:r w:rsidR="001E4701">
        <w:rPr>
          <w:rFonts w:cs="Arial"/>
          <w:bCs/>
          <w:sz w:val="21"/>
          <w:szCs w:val="21"/>
        </w:rPr>
        <w:t xml:space="preserve"> insofar as the acknowledgement of debt is a credit guarantee,</w:t>
      </w:r>
      <w:r w:rsidR="000872F2" w:rsidRPr="00E66F5D">
        <w:rPr>
          <w:rFonts w:cs="Arial"/>
          <w:bCs/>
          <w:sz w:val="21"/>
          <w:szCs w:val="21"/>
        </w:rPr>
        <w:t xml:space="preserve"> and the Leishers are not parties to this application</w:t>
      </w:r>
      <w:r w:rsidR="001E4701">
        <w:rPr>
          <w:rFonts w:cs="Arial"/>
          <w:bCs/>
          <w:sz w:val="21"/>
          <w:szCs w:val="21"/>
        </w:rPr>
        <w:t xml:space="preserve">. </w:t>
      </w:r>
    </w:p>
    <w:p w14:paraId="6F902AC5" w14:textId="3CD8CD71" w:rsidR="000872F2"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[25]</w:t>
      </w:r>
      <w:r>
        <w:rPr>
          <w:rFonts w:cs="Arial"/>
          <w:bCs/>
          <w:sz w:val="21"/>
          <w:szCs w:val="21"/>
        </w:rPr>
        <w:tab/>
      </w:r>
      <w:r w:rsidR="000872F2">
        <w:rPr>
          <w:rFonts w:cs="Arial"/>
          <w:bCs/>
          <w:sz w:val="21"/>
          <w:szCs w:val="21"/>
        </w:rPr>
        <w:t xml:space="preserve">The acknowledgement of debt provides for interest at the rate of 24% </w:t>
      </w:r>
      <w:r w:rsidR="000872F2" w:rsidRPr="00FC6D12">
        <w:rPr>
          <w:rFonts w:cs="Arial"/>
          <w:bCs/>
          <w:i/>
          <w:iCs/>
          <w:sz w:val="21"/>
          <w:szCs w:val="21"/>
        </w:rPr>
        <w:t>per annum</w:t>
      </w:r>
      <w:r w:rsidR="000872F2">
        <w:rPr>
          <w:rFonts w:cs="Arial"/>
          <w:bCs/>
          <w:sz w:val="21"/>
          <w:szCs w:val="21"/>
        </w:rPr>
        <w:t xml:space="preserve"> calculated monthly in advance on the outstanding balance due on the first day of each calendar month and calculated and capitalised on the same day each and every month until the total amount due in terms of the acknowledgement have been paid. The document provided that the capital shall be repayable by 8 February 2021.</w:t>
      </w:r>
    </w:p>
    <w:p w14:paraId="6006CFE3" w14:textId="3134421B" w:rsidR="00C2742C"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[26]</w:t>
      </w:r>
      <w:r>
        <w:rPr>
          <w:rFonts w:cs="Arial"/>
          <w:bCs/>
          <w:sz w:val="21"/>
          <w:szCs w:val="21"/>
        </w:rPr>
        <w:tab/>
      </w:r>
      <w:r w:rsidR="00E92E60" w:rsidRPr="00E92E60">
        <w:rPr>
          <w:rFonts w:cs="Arial"/>
          <w:bCs/>
          <w:sz w:val="21"/>
          <w:szCs w:val="21"/>
        </w:rPr>
        <w:t xml:space="preserve"> </w:t>
      </w:r>
      <w:r w:rsidR="00C2742C" w:rsidRPr="00E92E60">
        <w:rPr>
          <w:rFonts w:cs="Arial"/>
          <w:bCs/>
          <w:sz w:val="21"/>
          <w:szCs w:val="21"/>
        </w:rPr>
        <w:t xml:space="preserve">The </w:t>
      </w:r>
      <w:r w:rsidR="00E92E60" w:rsidRPr="00E92E60">
        <w:rPr>
          <w:rFonts w:cs="Arial"/>
          <w:bCs/>
          <w:sz w:val="21"/>
          <w:szCs w:val="21"/>
        </w:rPr>
        <w:t>applicant</w:t>
      </w:r>
      <w:r w:rsidR="00E66F5D">
        <w:rPr>
          <w:rFonts w:cs="Arial"/>
          <w:bCs/>
          <w:sz w:val="21"/>
          <w:szCs w:val="21"/>
        </w:rPr>
        <w:t xml:space="preserve">s </w:t>
      </w:r>
      <w:r w:rsidR="00E92E60" w:rsidRPr="00E92E60">
        <w:rPr>
          <w:rFonts w:cs="Arial"/>
          <w:bCs/>
          <w:sz w:val="21"/>
          <w:szCs w:val="21"/>
        </w:rPr>
        <w:t xml:space="preserve">claim that interest was only payable  from  8 February 2021,  the date on which  the loan was to be repaid in full. </w:t>
      </w:r>
      <w:r w:rsidR="00E92E60">
        <w:rPr>
          <w:rFonts w:cs="Arial"/>
          <w:bCs/>
          <w:sz w:val="21"/>
          <w:szCs w:val="21"/>
        </w:rPr>
        <w:t xml:space="preserve"> The loan would then be an interest</w:t>
      </w:r>
      <w:r w:rsidR="00FA72B9">
        <w:rPr>
          <w:rFonts w:cs="Arial"/>
          <w:bCs/>
          <w:sz w:val="21"/>
          <w:szCs w:val="21"/>
        </w:rPr>
        <w:t>-</w:t>
      </w:r>
      <w:r w:rsidR="00E92E60">
        <w:rPr>
          <w:rFonts w:cs="Arial"/>
          <w:bCs/>
          <w:sz w:val="21"/>
          <w:szCs w:val="21"/>
        </w:rPr>
        <w:t xml:space="preserve">free loan </w:t>
      </w:r>
      <w:r w:rsidR="00E92E60">
        <w:rPr>
          <w:rFonts w:cs="Arial"/>
          <w:bCs/>
          <w:sz w:val="21"/>
          <w:szCs w:val="21"/>
        </w:rPr>
        <w:lastRenderedPageBreak/>
        <w:t>provided of course it was paid on due dat</w:t>
      </w:r>
      <w:r w:rsidR="00FA72B9">
        <w:rPr>
          <w:rFonts w:cs="Arial"/>
          <w:bCs/>
          <w:sz w:val="21"/>
          <w:szCs w:val="21"/>
        </w:rPr>
        <w:t>e; if not interest would begin to run</w:t>
      </w:r>
      <w:r w:rsidR="00E92E60">
        <w:rPr>
          <w:rFonts w:cs="Arial"/>
          <w:bCs/>
          <w:sz w:val="21"/>
          <w:szCs w:val="21"/>
        </w:rPr>
        <w:t>.</w:t>
      </w:r>
      <w:r w:rsidR="00FA72B9">
        <w:rPr>
          <w:rStyle w:val="FootnoteReference"/>
          <w:rFonts w:cs="Arial"/>
          <w:bCs/>
          <w:sz w:val="21"/>
          <w:szCs w:val="21"/>
        </w:rPr>
        <w:footnoteReference w:id="10"/>
      </w:r>
      <w:r w:rsidR="00E92E60">
        <w:rPr>
          <w:rFonts w:cs="Arial"/>
          <w:bCs/>
          <w:sz w:val="21"/>
          <w:szCs w:val="21"/>
        </w:rPr>
        <w:t xml:space="preserve"> The applicants however made payments of R80,000 from the first month after the conclusion of the acknowledgement of debt. The amount of R80,000 represents the amount of </w:t>
      </w:r>
      <w:r w:rsidR="00CE2A6C">
        <w:rPr>
          <w:rFonts w:cs="Arial"/>
          <w:bCs/>
          <w:sz w:val="21"/>
          <w:szCs w:val="21"/>
        </w:rPr>
        <w:t xml:space="preserve">monthly </w:t>
      </w:r>
      <w:r w:rsidR="00E92E60">
        <w:rPr>
          <w:rFonts w:cs="Arial"/>
          <w:bCs/>
          <w:sz w:val="21"/>
          <w:szCs w:val="21"/>
        </w:rPr>
        <w:t xml:space="preserve">interest that would be payable at the rate of 24% </w:t>
      </w:r>
      <w:r w:rsidR="00E92E60" w:rsidRPr="00CE2A6C">
        <w:rPr>
          <w:rFonts w:cs="Arial"/>
          <w:bCs/>
          <w:i/>
          <w:iCs/>
          <w:sz w:val="21"/>
          <w:szCs w:val="21"/>
        </w:rPr>
        <w:t>per annum</w:t>
      </w:r>
      <w:r w:rsidR="00E92E60">
        <w:rPr>
          <w:rFonts w:cs="Arial"/>
          <w:bCs/>
          <w:sz w:val="21"/>
          <w:szCs w:val="21"/>
        </w:rPr>
        <w:t xml:space="preserve"> on the debt of R4,000,000.</w:t>
      </w:r>
      <w:r w:rsidR="00E92E60">
        <w:rPr>
          <w:rStyle w:val="FootnoteReference"/>
          <w:rFonts w:cs="Arial"/>
          <w:bCs/>
          <w:sz w:val="21"/>
          <w:szCs w:val="21"/>
        </w:rPr>
        <w:footnoteReference w:id="11"/>
      </w:r>
      <w:r w:rsidR="00C2742C" w:rsidRPr="00C2742C">
        <w:rPr>
          <w:rFonts w:cs="Arial"/>
          <w:bCs/>
          <w:sz w:val="21"/>
          <w:szCs w:val="21"/>
        </w:rPr>
        <w:t xml:space="preserve"> </w:t>
      </w:r>
      <w:r w:rsidR="00C2742C">
        <w:rPr>
          <w:rFonts w:cs="Arial"/>
          <w:bCs/>
          <w:sz w:val="21"/>
          <w:szCs w:val="21"/>
        </w:rPr>
        <w:t>The inference must be that these were interest payments but the applicants now deny that these were interest payments and alleged that these payments were made towards the capital debt.</w:t>
      </w:r>
    </w:p>
    <w:p w14:paraId="0ADDEBED" w14:textId="00895FFE" w:rsidR="00CE2A6C" w:rsidRPr="00E92E60" w:rsidRDefault="0037071D" w:rsidP="0037071D">
      <w:pPr>
        <w:widowControl w:val="0"/>
        <w:tabs>
          <w:tab w:val="left" w:pos="567"/>
        </w:tabs>
        <w:spacing w:before="480" w:after="480" w:line="360" w:lineRule="auto"/>
        <w:jc w:val="both"/>
        <w:rPr>
          <w:rFonts w:cs="Arial"/>
          <w:bCs/>
          <w:sz w:val="21"/>
          <w:szCs w:val="21"/>
        </w:rPr>
      </w:pPr>
      <w:r w:rsidRPr="00E92E60">
        <w:rPr>
          <w:rFonts w:cs="Arial"/>
          <w:bCs/>
          <w:sz w:val="21"/>
          <w:szCs w:val="21"/>
        </w:rPr>
        <w:t>[27]</w:t>
      </w:r>
      <w:r w:rsidRPr="00E92E60">
        <w:rPr>
          <w:rFonts w:cs="Arial"/>
          <w:bCs/>
          <w:sz w:val="21"/>
          <w:szCs w:val="21"/>
        </w:rPr>
        <w:tab/>
      </w:r>
      <w:r w:rsidR="00CE2A6C">
        <w:rPr>
          <w:rFonts w:cs="Arial"/>
          <w:bCs/>
          <w:sz w:val="21"/>
          <w:szCs w:val="21"/>
        </w:rPr>
        <w:t xml:space="preserve">The interpretation placed on the interest provisions in the acknowledgement of debt are not borne out by the document itself. </w:t>
      </w:r>
      <w:r w:rsidR="00CD7F5E">
        <w:rPr>
          <w:rFonts w:cs="Arial"/>
          <w:bCs/>
          <w:sz w:val="21"/>
          <w:szCs w:val="21"/>
        </w:rPr>
        <w:t>The payment of interest is not deferred and the loan was not an interest-free loan until due date.</w:t>
      </w:r>
    </w:p>
    <w:p w14:paraId="56BD5B05" w14:textId="77777777" w:rsidR="00C2742C" w:rsidRDefault="00C2742C" w:rsidP="00FE60F7">
      <w:pPr>
        <w:widowControl w:val="0"/>
        <w:spacing w:before="480" w:after="480" w:line="360" w:lineRule="auto"/>
        <w:jc w:val="both"/>
        <w:rPr>
          <w:rFonts w:cs="Arial"/>
          <w:bCs/>
          <w:sz w:val="21"/>
          <w:szCs w:val="21"/>
          <w:u w:val="single"/>
        </w:rPr>
      </w:pPr>
    </w:p>
    <w:p w14:paraId="73E13EB1" w14:textId="0AA428C9" w:rsidR="00E92E60" w:rsidRPr="00C2742C" w:rsidRDefault="00C2742C" w:rsidP="00FE60F7">
      <w:pPr>
        <w:widowControl w:val="0"/>
        <w:spacing w:before="480" w:after="480" w:line="360" w:lineRule="auto"/>
        <w:jc w:val="both"/>
        <w:rPr>
          <w:rFonts w:cs="Arial"/>
          <w:bCs/>
          <w:sz w:val="21"/>
          <w:szCs w:val="21"/>
          <w:u w:val="single"/>
        </w:rPr>
      </w:pPr>
      <w:r w:rsidRPr="00C2742C">
        <w:rPr>
          <w:rFonts w:cs="Arial"/>
          <w:bCs/>
          <w:sz w:val="21"/>
          <w:szCs w:val="21"/>
          <w:u w:val="single"/>
        </w:rPr>
        <w:t>Rule 42 (1) (a)</w:t>
      </w:r>
    </w:p>
    <w:p w14:paraId="4EA9188F" w14:textId="4E146C3E" w:rsidR="00FE60F7"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[28]</w:t>
      </w:r>
      <w:r>
        <w:rPr>
          <w:rFonts w:cs="Arial"/>
          <w:bCs/>
          <w:sz w:val="21"/>
          <w:szCs w:val="21"/>
        </w:rPr>
        <w:tab/>
      </w:r>
      <w:r w:rsidR="000872F2" w:rsidRPr="00C2742C">
        <w:rPr>
          <w:rFonts w:cs="Arial"/>
          <w:bCs/>
          <w:sz w:val="21"/>
          <w:szCs w:val="21"/>
        </w:rPr>
        <w:t>The applicants argue that rule 42 (1) (a) is applicable because not all the information were placed before the court hearing the matter. There is no merit in these contentions and the application falls to be determined in terms of rule 31 (2) (b) and the common law.</w:t>
      </w:r>
    </w:p>
    <w:p w14:paraId="2372AC69" w14:textId="32A3BD7C" w:rsidR="000872F2" w:rsidRPr="00C2742C" w:rsidRDefault="00FE60F7" w:rsidP="00FE60F7">
      <w:pPr>
        <w:widowControl w:val="0"/>
        <w:spacing w:before="480" w:after="480" w:line="360" w:lineRule="auto"/>
        <w:jc w:val="both"/>
        <w:rPr>
          <w:rFonts w:cs="Arial"/>
          <w:bCs/>
          <w:sz w:val="21"/>
          <w:szCs w:val="21"/>
        </w:rPr>
      </w:pPr>
      <w:r>
        <w:rPr>
          <w:rFonts w:cs="Arial"/>
          <w:bCs/>
          <w:sz w:val="21"/>
          <w:szCs w:val="21"/>
        </w:rPr>
        <w:t>A</w:t>
      </w:r>
      <w:r w:rsidR="000872F2" w:rsidRPr="00C2742C">
        <w:rPr>
          <w:rFonts w:cs="Arial"/>
          <w:bCs/>
          <w:sz w:val="21"/>
          <w:szCs w:val="21"/>
        </w:rPr>
        <w:t xml:space="preserve"> defence on the merits that are unknown to the court hearing the matter cannot sustain relief under rule 42. The rule pertains to a failure to comply with procedural requirements.</w:t>
      </w:r>
      <w:r w:rsidR="00C2742C">
        <w:rPr>
          <w:rStyle w:val="FootnoteReference"/>
          <w:rFonts w:cs="Arial"/>
          <w:bCs/>
          <w:sz w:val="21"/>
          <w:szCs w:val="21"/>
        </w:rPr>
        <w:footnoteReference w:id="12"/>
      </w:r>
      <w:r w:rsidR="00283664" w:rsidRPr="00C2742C">
        <w:rPr>
          <w:rFonts w:cs="Arial"/>
          <w:bCs/>
          <w:sz w:val="21"/>
          <w:szCs w:val="21"/>
        </w:rPr>
        <w:t xml:space="preserve"> </w:t>
      </w:r>
    </w:p>
    <w:p w14:paraId="7BE323F7" w14:textId="77777777" w:rsidR="00C2742C" w:rsidRDefault="00C2742C" w:rsidP="00FE60F7">
      <w:pPr>
        <w:widowControl w:val="0"/>
        <w:spacing w:before="480" w:after="480" w:line="360" w:lineRule="auto"/>
        <w:jc w:val="both"/>
        <w:rPr>
          <w:rFonts w:cs="Arial"/>
          <w:bCs/>
          <w:sz w:val="21"/>
          <w:szCs w:val="21"/>
          <w:u w:val="single"/>
        </w:rPr>
      </w:pPr>
    </w:p>
    <w:p w14:paraId="04C127AC" w14:textId="033B761D" w:rsidR="002B1F55" w:rsidRPr="00C2742C" w:rsidRDefault="002B1F55" w:rsidP="002B1F55">
      <w:pPr>
        <w:widowControl w:val="0"/>
        <w:spacing w:before="480" w:after="480" w:line="360" w:lineRule="auto"/>
        <w:jc w:val="both"/>
        <w:rPr>
          <w:rFonts w:cs="Arial"/>
          <w:bCs/>
          <w:sz w:val="21"/>
          <w:szCs w:val="21"/>
          <w:u w:val="single"/>
        </w:rPr>
      </w:pPr>
      <w:r w:rsidRPr="00C2742C">
        <w:rPr>
          <w:rFonts w:cs="Arial"/>
          <w:bCs/>
          <w:sz w:val="21"/>
          <w:szCs w:val="21"/>
          <w:u w:val="single"/>
        </w:rPr>
        <w:t>Co</w:t>
      </w:r>
      <w:r>
        <w:rPr>
          <w:rFonts w:cs="Arial"/>
          <w:bCs/>
          <w:sz w:val="21"/>
          <w:szCs w:val="21"/>
          <w:u w:val="single"/>
        </w:rPr>
        <w:t>unter-application</w:t>
      </w:r>
    </w:p>
    <w:p w14:paraId="011B96E1" w14:textId="27CA4E7C" w:rsidR="002B1F55"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[29]</w:t>
      </w:r>
      <w:r>
        <w:rPr>
          <w:rFonts w:cs="Arial"/>
          <w:bCs/>
          <w:sz w:val="21"/>
          <w:szCs w:val="21"/>
        </w:rPr>
        <w:tab/>
      </w:r>
      <w:r w:rsidR="002B1F55">
        <w:rPr>
          <w:rFonts w:cs="Arial"/>
          <w:bCs/>
          <w:sz w:val="21"/>
          <w:szCs w:val="21"/>
        </w:rPr>
        <w:t xml:space="preserve">The respondent brought a conditional counter-application on the basis that if the judgment were rescinded, it should be granted relief in the counter-application. The counter-application is superfluous. If the rescission application were granted the main application would have proceeded; if only a part of the order granted in the main application were rescinded there would have been a judgment for the remaining part. No case is made out for </w:t>
      </w:r>
      <w:r w:rsidR="002B1F55">
        <w:rPr>
          <w:rFonts w:cs="Arial"/>
          <w:bCs/>
          <w:sz w:val="21"/>
          <w:szCs w:val="21"/>
        </w:rPr>
        <w:lastRenderedPageBreak/>
        <w:t>the relief in the counter-application but the question is an academic one and the counter-application is removed from the roll with no order as to costs.</w:t>
      </w:r>
    </w:p>
    <w:p w14:paraId="75F0DCB7" w14:textId="77777777" w:rsidR="002B1F55" w:rsidRDefault="002B1F55" w:rsidP="00FE60F7">
      <w:pPr>
        <w:widowControl w:val="0"/>
        <w:spacing w:before="480" w:after="480" w:line="360" w:lineRule="auto"/>
        <w:jc w:val="both"/>
        <w:rPr>
          <w:rFonts w:cs="Arial"/>
          <w:bCs/>
          <w:sz w:val="21"/>
          <w:szCs w:val="21"/>
          <w:u w:val="single"/>
        </w:rPr>
      </w:pPr>
    </w:p>
    <w:p w14:paraId="43ED8704" w14:textId="4C9499F5" w:rsidR="00E676E7" w:rsidRPr="00C2742C" w:rsidRDefault="00C2742C" w:rsidP="00FE60F7">
      <w:pPr>
        <w:widowControl w:val="0"/>
        <w:spacing w:before="480" w:after="480" w:line="360" w:lineRule="auto"/>
        <w:jc w:val="both"/>
        <w:rPr>
          <w:rFonts w:cs="Arial"/>
          <w:bCs/>
          <w:sz w:val="21"/>
          <w:szCs w:val="21"/>
          <w:u w:val="single"/>
        </w:rPr>
      </w:pPr>
      <w:r w:rsidRPr="00C2742C">
        <w:rPr>
          <w:rFonts w:cs="Arial"/>
          <w:bCs/>
          <w:sz w:val="21"/>
          <w:szCs w:val="21"/>
          <w:u w:val="single"/>
        </w:rPr>
        <w:t>Conclusion</w:t>
      </w:r>
    </w:p>
    <w:p w14:paraId="1CDEE7CC" w14:textId="6D6DC924" w:rsidR="00E66F5D" w:rsidRDefault="0037071D" w:rsidP="0037071D">
      <w:pPr>
        <w:widowControl w:val="0"/>
        <w:tabs>
          <w:tab w:val="left" w:pos="567"/>
        </w:tabs>
        <w:spacing w:before="480" w:after="480" w:line="360" w:lineRule="auto"/>
        <w:jc w:val="both"/>
        <w:rPr>
          <w:rFonts w:cs="Arial"/>
          <w:bCs/>
          <w:sz w:val="21"/>
          <w:szCs w:val="21"/>
        </w:rPr>
      </w:pPr>
      <w:r>
        <w:rPr>
          <w:rFonts w:cs="Arial"/>
          <w:bCs/>
          <w:sz w:val="21"/>
          <w:szCs w:val="21"/>
        </w:rPr>
        <w:t>[30]</w:t>
      </w:r>
      <w:r>
        <w:rPr>
          <w:rFonts w:cs="Arial"/>
          <w:bCs/>
          <w:sz w:val="21"/>
          <w:szCs w:val="21"/>
        </w:rPr>
        <w:tab/>
      </w:r>
      <w:r w:rsidR="00E66F5D">
        <w:rPr>
          <w:rFonts w:cs="Arial"/>
          <w:bCs/>
          <w:sz w:val="21"/>
          <w:szCs w:val="21"/>
        </w:rPr>
        <w:t>I find that:</w:t>
      </w:r>
    </w:p>
    <w:p w14:paraId="2E5F2B00" w14:textId="25FCC712" w:rsidR="00E66F5D" w:rsidRDefault="0037071D" w:rsidP="0037071D">
      <w:pPr>
        <w:widowControl w:val="0"/>
        <w:tabs>
          <w:tab w:val="left" w:pos="1418"/>
        </w:tabs>
        <w:spacing w:before="480" w:after="480" w:line="360" w:lineRule="auto"/>
        <w:ind w:left="1418" w:hanging="851"/>
        <w:jc w:val="both"/>
        <w:rPr>
          <w:rFonts w:cs="Arial"/>
          <w:bCs/>
          <w:sz w:val="21"/>
          <w:szCs w:val="21"/>
        </w:rPr>
      </w:pPr>
      <w:r>
        <w:rPr>
          <w:rFonts w:cs="Arial"/>
          <w:bCs/>
          <w:sz w:val="21"/>
          <w:szCs w:val="21"/>
        </w:rPr>
        <w:t>30.1</w:t>
      </w:r>
      <w:r>
        <w:rPr>
          <w:rFonts w:cs="Arial"/>
          <w:bCs/>
          <w:sz w:val="21"/>
          <w:szCs w:val="21"/>
        </w:rPr>
        <w:tab/>
      </w:r>
      <w:r w:rsidR="00E66F5D">
        <w:rPr>
          <w:rFonts w:cs="Arial"/>
          <w:bCs/>
          <w:sz w:val="21"/>
          <w:szCs w:val="21"/>
        </w:rPr>
        <w:t>the applicants have not furnished a reasonable explanation for their default;</w:t>
      </w:r>
    </w:p>
    <w:p w14:paraId="5E580475" w14:textId="18FFBCDA" w:rsidR="00E66F5D" w:rsidRDefault="0037071D" w:rsidP="0037071D">
      <w:pPr>
        <w:widowControl w:val="0"/>
        <w:tabs>
          <w:tab w:val="left" w:pos="1418"/>
        </w:tabs>
        <w:spacing w:before="480" w:after="480" w:line="360" w:lineRule="auto"/>
        <w:ind w:left="1418" w:hanging="851"/>
        <w:jc w:val="both"/>
        <w:rPr>
          <w:rFonts w:cs="Arial"/>
          <w:bCs/>
          <w:sz w:val="21"/>
          <w:szCs w:val="21"/>
        </w:rPr>
      </w:pPr>
      <w:r>
        <w:rPr>
          <w:rFonts w:cs="Arial"/>
          <w:bCs/>
          <w:sz w:val="21"/>
          <w:szCs w:val="21"/>
        </w:rPr>
        <w:t>30.2</w:t>
      </w:r>
      <w:r>
        <w:rPr>
          <w:rFonts w:cs="Arial"/>
          <w:bCs/>
          <w:sz w:val="21"/>
          <w:szCs w:val="21"/>
        </w:rPr>
        <w:tab/>
      </w:r>
      <w:r w:rsidR="00E66F5D">
        <w:rPr>
          <w:rFonts w:cs="Arial"/>
          <w:bCs/>
          <w:sz w:val="21"/>
          <w:szCs w:val="21"/>
        </w:rPr>
        <w:t>the denial of the very existence of the second applicant is palpably false and is rejected on the documents emanating from the applicants and the Leishers;</w:t>
      </w:r>
    </w:p>
    <w:p w14:paraId="307C4C38" w14:textId="6A214277" w:rsidR="00E66F5D" w:rsidRDefault="0037071D" w:rsidP="0037071D">
      <w:pPr>
        <w:widowControl w:val="0"/>
        <w:tabs>
          <w:tab w:val="left" w:pos="1418"/>
        </w:tabs>
        <w:spacing w:before="480" w:after="480" w:line="360" w:lineRule="auto"/>
        <w:ind w:left="1418" w:hanging="851"/>
        <w:jc w:val="both"/>
        <w:rPr>
          <w:rFonts w:cs="Arial"/>
          <w:bCs/>
          <w:sz w:val="21"/>
          <w:szCs w:val="21"/>
        </w:rPr>
      </w:pPr>
      <w:r>
        <w:rPr>
          <w:rFonts w:cs="Arial"/>
          <w:bCs/>
          <w:sz w:val="21"/>
          <w:szCs w:val="21"/>
        </w:rPr>
        <w:t>30.3</w:t>
      </w:r>
      <w:r>
        <w:rPr>
          <w:rFonts w:cs="Arial"/>
          <w:bCs/>
          <w:sz w:val="21"/>
          <w:szCs w:val="21"/>
        </w:rPr>
        <w:tab/>
      </w:r>
      <w:r w:rsidR="00E66F5D">
        <w:rPr>
          <w:rFonts w:cs="Arial"/>
          <w:bCs/>
          <w:sz w:val="21"/>
          <w:szCs w:val="21"/>
        </w:rPr>
        <w:t xml:space="preserve">the defence raised is not a </w:t>
      </w:r>
      <w:r w:rsidR="00E66F5D" w:rsidRPr="00E66F5D">
        <w:rPr>
          <w:rFonts w:cs="Arial"/>
          <w:bCs/>
          <w:i/>
          <w:iCs/>
          <w:sz w:val="21"/>
          <w:szCs w:val="21"/>
        </w:rPr>
        <w:t>bona fide</w:t>
      </w:r>
      <w:r w:rsidR="00E66F5D">
        <w:rPr>
          <w:rFonts w:cs="Arial"/>
          <w:bCs/>
          <w:sz w:val="21"/>
          <w:szCs w:val="21"/>
        </w:rPr>
        <w:t xml:space="preserve"> defence;</w:t>
      </w:r>
    </w:p>
    <w:p w14:paraId="7C2273DA" w14:textId="5D964D53" w:rsidR="00E676E7" w:rsidRPr="00E676E7" w:rsidRDefault="0037071D" w:rsidP="0037071D">
      <w:pPr>
        <w:widowControl w:val="0"/>
        <w:tabs>
          <w:tab w:val="left" w:pos="1418"/>
        </w:tabs>
        <w:spacing w:before="480" w:after="480" w:line="360" w:lineRule="auto"/>
        <w:ind w:left="1418" w:hanging="851"/>
        <w:jc w:val="both"/>
        <w:rPr>
          <w:rFonts w:cs="Arial"/>
          <w:bCs/>
          <w:sz w:val="21"/>
          <w:szCs w:val="21"/>
        </w:rPr>
      </w:pPr>
      <w:r w:rsidRPr="00E676E7">
        <w:rPr>
          <w:rFonts w:cs="Arial"/>
          <w:bCs/>
          <w:sz w:val="21"/>
          <w:szCs w:val="21"/>
        </w:rPr>
        <w:t>30.4</w:t>
      </w:r>
      <w:r w:rsidRPr="00E676E7">
        <w:rPr>
          <w:rFonts w:cs="Arial"/>
          <w:bCs/>
          <w:sz w:val="21"/>
          <w:szCs w:val="21"/>
        </w:rPr>
        <w:tab/>
      </w:r>
      <w:r w:rsidR="00E66F5D">
        <w:rPr>
          <w:rFonts w:cs="Arial"/>
          <w:bCs/>
          <w:sz w:val="21"/>
          <w:szCs w:val="21"/>
        </w:rPr>
        <w:t xml:space="preserve">the applicant have not shown good cause for the </w:t>
      </w:r>
      <w:r w:rsidR="00ED281C">
        <w:rPr>
          <w:rFonts w:cs="Arial"/>
          <w:bCs/>
          <w:sz w:val="21"/>
          <w:szCs w:val="21"/>
        </w:rPr>
        <w:t>rescission</w:t>
      </w:r>
      <w:r w:rsidR="00E66F5D">
        <w:rPr>
          <w:rFonts w:cs="Arial"/>
          <w:bCs/>
          <w:sz w:val="21"/>
          <w:szCs w:val="21"/>
        </w:rPr>
        <w:t xml:space="preserve"> of the default judgement</w:t>
      </w:r>
      <w:r w:rsidR="00E676E7">
        <w:rPr>
          <w:rFonts w:cs="Arial"/>
          <w:bCs/>
          <w:sz w:val="21"/>
          <w:szCs w:val="21"/>
        </w:rPr>
        <w:t>.</w:t>
      </w:r>
    </w:p>
    <w:p w14:paraId="6F591508" w14:textId="0CEF90E5" w:rsidR="00615ED4" w:rsidRPr="008E2A22" w:rsidRDefault="0037071D" w:rsidP="0037071D">
      <w:pPr>
        <w:keepNext/>
        <w:widowControl w:val="0"/>
        <w:tabs>
          <w:tab w:val="left" w:pos="567"/>
        </w:tabs>
        <w:spacing w:before="480" w:after="480" w:line="360" w:lineRule="auto"/>
        <w:jc w:val="both"/>
        <w:rPr>
          <w:rFonts w:cs="Arial"/>
          <w:bCs/>
          <w:sz w:val="21"/>
          <w:szCs w:val="21"/>
        </w:rPr>
      </w:pPr>
      <w:r w:rsidRPr="008E2A22">
        <w:rPr>
          <w:rFonts w:cs="Arial"/>
          <w:bCs/>
          <w:sz w:val="21"/>
          <w:szCs w:val="21"/>
        </w:rPr>
        <w:t>[31]</w:t>
      </w:r>
      <w:r w:rsidRPr="008E2A22">
        <w:rPr>
          <w:rFonts w:cs="Arial"/>
          <w:bCs/>
          <w:sz w:val="21"/>
          <w:szCs w:val="21"/>
        </w:rPr>
        <w:tab/>
      </w:r>
      <w:r w:rsidR="00B664E5" w:rsidRPr="008E2A22">
        <w:rPr>
          <w:rFonts w:cs="Arial"/>
          <w:bCs/>
          <w:sz w:val="21"/>
          <w:szCs w:val="21"/>
        </w:rPr>
        <w:t>I therefore make the order in paragraph 1 above.</w:t>
      </w:r>
    </w:p>
    <w:p w14:paraId="53CD27EE" w14:textId="0B3A7FA3" w:rsidR="00AE287F" w:rsidRPr="008E2A22" w:rsidRDefault="00A649E6" w:rsidP="003A1D18">
      <w:pPr>
        <w:widowControl w:val="0"/>
        <w:tabs>
          <w:tab w:val="right" w:pos="0"/>
        </w:tabs>
        <w:spacing w:line="360" w:lineRule="auto"/>
        <w:contextualSpacing/>
        <w:jc w:val="right"/>
        <w:rPr>
          <w:rFonts w:cs="Arial"/>
          <w:b/>
          <w:sz w:val="21"/>
          <w:szCs w:val="21"/>
        </w:rPr>
      </w:pPr>
      <w:r w:rsidRPr="008E2A22">
        <w:rPr>
          <w:rFonts w:cs="Arial"/>
          <w:b/>
          <w:sz w:val="21"/>
          <w:szCs w:val="21"/>
        </w:rPr>
        <w:t>______________</w:t>
      </w:r>
    </w:p>
    <w:p w14:paraId="0CCB9BFE" w14:textId="7ABE564D" w:rsidR="006C43D7" w:rsidRPr="008E2A22" w:rsidRDefault="00C676F3" w:rsidP="003A1D18">
      <w:pPr>
        <w:widowControl w:val="0"/>
        <w:tabs>
          <w:tab w:val="right" w:pos="0"/>
        </w:tabs>
        <w:spacing w:line="360" w:lineRule="auto"/>
        <w:contextualSpacing/>
        <w:jc w:val="right"/>
        <w:rPr>
          <w:rFonts w:cs="Arial"/>
          <w:b/>
          <w:sz w:val="21"/>
          <w:szCs w:val="21"/>
        </w:rPr>
      </w:pPr>
      <w:r w:rsidRPr="008E2A22">
        <w:rPr>
          <w:rFonts w:cs="Arial"/>
          <w:b/>
          <w:sz w:val="21"/>
          <w:szCs w:val="21"/>
        </w:rPr>
        <w:t>J MOORCROFT</w:t>
      </w:r>
    </w:p>
    <w:p w14:paraId="7A2C1059" w14:textId="77777777" w:rsidR="006C43D7" w:rsidRPr="008E2A22" w:rsidRDefault="006C43D7" w:rsidP="003A1D18">
      <w:pPr>
        <w:widowControl w:val="0"/>
        <w:tabs>
          <w:tab w:val="right" w:pos="0"/>
        </w:tabs>
        <w:spacing w:line="360" w:lineRule="auto"/>
        <w:contextualSpacing/>
        <w:jc w:val="right"/>
        <w:rPr>
          <w:rFonts w:cs="Arial"/>
          <w:b/>
          <w:sz w:val="21"/>
          <w:szCs w:val="21"/>
        </w:rPr>
      </w:pPr>
      <w:r w:rsidRPr="008E2A22">
        <w:rPr>
          <w:rFonts w:cs="Arial"/>
          <w:b/>
          <w:sz w:val="21"/>
          <w:szCs w:val="21"/>
        </w:rPr>
        <w:t>ACTING JUDGE OF THE HIGH COURT OF SOUTH AFRICA</w:t>
      </w:r>
    </w:p>
    <w:p w14:paraId="077C2590" w14:textId="7452355B" w:rsidR="006C43D7" w:rsidRPr="008E2A22" w:rsidRDefault="006C43D7" w:rsidP="003A1D18">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GAUTENG DIVISION</w:t>
      </w:r>
    </w:p>
    <w:p w14:paraId="40B9C946" w14:textId="77777777" w:rsidR="006C43D7" w:rsidRPr="008E2A22" w:rsidRDefault="006C43D7" w:rsidP="0005282E">
      <w:pPr>
        <w:widowControl w:val="0"/>
        <w:tabs>
          <w:tab w:val="right" w:pos="0"/>
          <w:tab w:val="left" w:pos="4253"/>
        </w:tabs>
        <w:spacing w:line="360" w:lineRule="auto"/>
        <w:contextualSpacing/>
        <w:jc w:val="right"/>
        <w:rPr>
          <w:rFonts w:cs="Arial"/>
          <w:b/>
          <w:sz w:val="21"/>
          <w:szCs w:val="21"/>
        </w:rPr>
      </w:pPr>
      <w:r w:rsidRPr="008E2A22">
        <w:rPr>
          <w:rFonts w:cs="Arial"/>
          <w:b/>
          <w:sz w:val="21"/>
          <w:szCs w:val="21"/>
        </w:rPr>
        <w:t>JOHANNESBURG</w:t>
      </w:r>
    </w:p>
    <w:p w14:paraId="326B529B" w14:textId="77777777" w:rsidR="006C43D7" w:rsidRPr="008E2A22" w:rsidRDefault="006C43D7" w:rsidP="003A1D18">
      <w:pPr>
        <w:widowControl w:val="0"/>
        <w:tabs>
          <w:tab w:val="right" w:pos="0"/>
          <w:tab w:val="left" w:pos="4253"/>
        </w:tabs>
        <w:spacing w:line="360" w:lineRule="auto"/>
        <w:contextualSpacing/>
        <w:jc w:val="center"/>
        <w:rPr>
          <w:rFonts w:cs="Arial"/>
          <w:b/>
          <w:sz w:val="21"/>
          <w:szCs w:val="21"/>
        </w:rPr>
      </w:pPr>
    </w:p>
    <w:p w14:paraId="5A4CC56C" w14:textId="051C4E22" w:rsidR="006C43D7" w:rsidRPr="008E2A22" w:rsidRDefault="006C43D7" w:rsidP="003A1D18">
      <w:pPr>
        <w:widowControl w:val="0"/>
        <w:spacing w:after="200" w:line="480" w:lineRule="auto"/>
        <w:contextualSpacing/>
        <w:jc w:val="right"/>
        <w:rPr>
          <w:rFonts w:cs="Arial"/>
          <w:b/>
          <w:i/>
          <w:iCs/>
          <w:sz w:val="21"/>
          <w:szCs w:val="21"/>
        </w:rPr>
      </w:pPr>
      <w:r w:rsidRPr="008E2A22">
        <w:rPr>
          <w:rFonts w:cs="Arial"/>
          <w:b/>
          <w:i/>
          <w:iCs/>
          <w:sz w:val="21"/>
          <w:szCs w:val="21"/>
        </w:rPr>
        <w:t>Electronically submitted</w:t>
      </w:r>
    </w:p>
    <w:p w14:paraId="482DDF6E" w14:textId="4C7C9B1B" w:rsidR="006C43D7" w:rsidRPr="008E2A22" w:rsidRDefault="006C43D7" w:rsidP="00A84915">
      <w:pPr>
        <w:widowControl w:val="0"/>
        <w:spacing w:after="200" w:line="360" w:lineRule="auto"/>
        <w:contextualSpacing/>
        <w:jc w:val="both"/>
        <w:rPr>
          <w:rFonts w:eastAsia="Arial Unicode MS" w:cs="Arial"/>
          <w:b/>
          <w:sz w:val="21"/>
          <w:szCs w:val="21"/>
        </w:rPr>
      </w:pPr>
      <w:r w:rsidRPr="008E2A22">
        <w:rPr>
          <w:rFonts w:eastAsia="Arial Unicode MS" w:cs="Arial"/>
          <w:bCs/>
          <w:sz w:val="21"/>
          <w:szCs w:val="21"/>
        </w:rPr>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8E2A22">
        <w:rPr>
          <w:rFonts w:eastAsia="Arial Unicode MS" w:cs="Arial"/>
          <w:b/>
          <w:sz w:val="21"/>
          <w:szCs w:val="21"/>
        </w:rPr>
        <w:t xml:space="preserve"> </w:t>
      </w:r>
      <w:r w:rsidR="0005282E" w:rsidRPr="008E2A22">
        <w:rPr>
          <w:rFonts w:eastAsia="Arial Unicode MS" w:cs="Arial"/>
          <w:b/>
          <w:sz w:val="21"/>
          <w:szCs w:val="21"/>
        </w:rPr>
        <w:t xml:space="preserve"> </w:t>
      </w:r>
      <w:r w:rsidR="001F14E4">
        <w:rPr>
          <w:rFonts w:eastAsia="Arial Unicode MS" w:cs="Arial"/>
          <w:b/>
          <w:sz w:val="21"/>
          <w:szCs w:val="21"/>
        </w:rPr>
        <w:t>5</w:t>
      </w:r>
      <w:r w:rsidR="00D743C0">
        <w:rPr>
          <w:rFonts w:eastAsia="Arial Unicode MS" w:cs="Arial"/>
          <w:b/>
          <w:sz w:val="21"/>
          <w:szCs w:val="21"/>
        </w:rPr>
        <w:t xml:space="preserve"> MARCH 2024</w:t>
      </w:r>
    </w:p>
    <w:p w14:paraId="74CD3952" w14:textId="77777777" w:rsidR="00A84915" w:rsidRDefault="00A84915" w:rsidP="00A84915">
      <w:pPr>
        <w:widowControl w:val="0"/>
        <w:spacing w:after="200" w:line="360" w:lineRule="auto"/>
        <w:contextualSpacing/>
        <w:jc w:val="both"/>
        <w:rPr>
          <w:rFonts w:cs="Arial"/>
          <w:b/>
          <w:sz w:val="21"/>
          <w:szCs w:val="21"/>
        </w:rPr>
      </w:pPr>
    </w:p>
    <w:p w14:paraId="7C27E047" w14:textId="77777777" w:rsidR="001F14E4" w:rsidRDefault="001F14E4" w:rsidP="00A84915">
      <w:pPr>
        <w:widowControl w:val="0"/>
        <w:spacing w:after="200" w:line="360" w:lineRule="auto"/>
        <w:contextualSpacing/>
        <w:jc w:val="both"/>
        <w:rPr>
          <w:rFonts w:cs="Arial"/>
          <w:b/>
          <w:sz w:val="21"/>
          <w:szCs w:val="21"/>
        </w:rPr>
      </w:pPr>
    </w:p>
    <w:p w14:paraId="7F9ECB7B" w14:textId="77777777" w:rsidR="001F14E4" w:rsidRPr="008E2A22" w:rsidRDefault="001F14E4" w:rsidP="00A84915">
      <w:pPr>
        <w:widowControl w:val="0"/>
        <w:spacing w:after="200" w:line="360" w:lineRule="auto"/>
        <w:contextualSpacing/>
        <w:jc w:val="both"/>
        <w:rPr>
          <w:rFonts w:cs="Arial"/>
          <w:b/>
          <w:sz w:val="21"/>
          <w:szCs w:val="21"/>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8E2A22" w14:paraId="493AF0D7" w14:textId="77777777" w:rsidTr="00615F6B">
        <w:tc>
          <w:tcPr>
            <w:tcW w:w="4678" w:type="dxa"/>
          </w:tcPr>
          <w:p w14:paraId="6A05541A" w14:textId="0945A8D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lastRenderedPageBreak/>
              <w:t xml:space="preserve">COUNSEL FOR </w:t>
            </w:r>
            <w:r w:rsidR="00404A52" w:rsidRPr="008E2A22">
              <w:rPr>
                <w:rFonts w:cs="Arial"/>
                <w:sz w:val="21"/>
                <w:szCs w:val="21"/>
              </w:rPr>
              <w:t xml:space="preserve">THE </w:t>
            </w:r>
            <w:r w:rsidR="000976D2" w:rsidRPr="008E2A22">
              <w:rPr>
                <w:rFonts w:cs="Arial"/>
                <w:sz w:val="21"/>
                <w:szCs w:val="21"/>
              </w:rPr>
              <w:t xml:space="preserve"> </w:t>
            </w:r>
            <w:r w:rsidR="00404A52" w:rsidRPr="008E2A22">
              <w:rPr>
                <w:rFonts w:cs="Arial"/>
                <w:sz w:val="21"/>
                <w:szCs w:val="21"/>
              </w:rPr>
              <w:t>APPLICANT</w:t>
            </w:r>
            <w:r w:rsidR="00AF2CD5">
              <w:rPr>
                <w:rFonts w:cs="Arial"/>
                <w:sz w:val="21"/>
                <w:szCs w:val="21"/>
              </w:rPr>
              <w:t>S</w:t>
            </w:r>
          </w:p>
        </w:tc>
        <w:tc>
          <w:tcPr>
            <w:tcW w:w="3935" w:type="dxa"/>
          </w:tcPr>
          <w:p w14:paraId="69785AA9" w14:textId="261A8C59" w:rsidR="000976D2" w:rsidRPr="008E2A22" w:rsidRDefault="00AF2CD5" w:rsidP="00D65571">
            <w:pPr>
              <w:tabs>
                <w:tab w:val="right" w:pos="0"/>
                <w:tab w:val="left" w:pos="567"/>
                <w:tab w:val="right" w:pos="2727"/>
                <w:tab w:val="left" w:pos="4253"/>
              </w:tabs>
              <w:spacing w:before="120" w:after="120"/>
              <w:jc w:val="right"/>
              <w:rPr>
                <w:rFonts w:cs="Arial"/>
                <w:sz w:val="21"/>
                <w:szCs w:val="21"/>
              </w:rPr>
            </w:pPr>
            <w:r>
              <w:rPr>
                <w:rFonts w:cs="Arial"/>
                <w:sz w:val="21"/>
                <w:szCs w:val="21"/>
              </w:rPr>
              <w:t>D POOL</w:t>
            </w:r>
          </w:p>
        </w:tc>
      </w:tr>
      <w:tr w:rsidR="009D35B5" w:rsidRPr="008E2A22" w14:paraId="183C176D" w14:textId="77777777" w:rsidTr="00615F6B">
        <w:tc>
          <w:tcPr>
            <w:tcW w:w="4678" w:type="dxa"/>
          </w:tcPr>
          <w:p w14:paraId="75365413" w14:textId="481747BC"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BY:</w:t>
            </w:r>
          </w:p>
        </w:tc>
        <w:tc>
          <w:tcPr>
            <w:tcW w:w="3935" w:type="dxa"/>
          </w:tcPr>
          <w:p w14:paraId="4044534A" w14:textId="3607DBA9" w:rsidR="00E10D04" w:rsidRPr="008E2A22" w:rsidRDefault="00AF2CD5" w:rsidP="00A25AB4">
            <w:pPr>
              <w:tabs>
                <w:tab w:val="right" w:pos="0"/>
                <w:tab w:val="left" w:pos="4253"/>
              </w:tabs>
              <w:spacing w:before="120" w:after="120"/>
              <w:jc w:val="right"/>
              <w:rPr>
                <w:rFonts w:cs="Arial"/>
                <w:sz w:val="21"/>
                <w:szCs w:val="21"/>
              </w:rPr>
            </w:pPr>
            <w:r>
              <w:rPr>
                <w:rFonts w:cs="Arial"/>
                <w:sz w:val="21"/>
                <w:szCs w:val="21"/>
              </w:rPr>
              <w:t>HOWARD S WOOLF</w:t>
            </w:r>
          </w:p>
        </w:tc>
      </w:tr>
      <w:tr w:rsidR="009D35B5" w:rsidRPr="008E2A22" w14:paraId="6E2BF966" w14:textId="77777777" w:rsidTr="00615F6B">
        <w:tc>
          <w:tcPr>
            <w:tcW w:w="4678" w:type="dxa"/>
          </w:tcPr>
          <w:p w14:paraId="545B6665" w14:textId="0296EFA1"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COUNSEL FOR </w:t>
            </w:r>
            <w:r w:rsidR="00027D19" w:rsidRPr="008E2A22">
              <w:rPr>
                <w:rFonts w:cs="Arial"/>
                <w:sz w:val="21"/>
                <w:szCs w:val="21"/>
              </w:rPr>
              <w:t>RESPONDENT</w:t>
            </w:r>
          </w:p>
        </w:tc>
        <w:tc>
          <w:tcPr>
            <w:tcW w:w="3935" w:type="dxa"/>
          </w:tcPr>
          <w:p w14:paraId="51741A90" w14:textId="524FC4FD" w:rsidR="001966E8" w:rsidRPr="008E2A22" w:rsidRDefault="00AF2CD5" w:rsidP="00D65571">
            <w:pPr>
              <w:tabs>
                <w:tab w:val="right" w:pos="0"/>
                <w:tab w:val="left" w:pos="4253"/>
              </w:tabs>
              <w:spacing w:before="120" w:after="120"/>
              <w:jc w:val="right"/>
              <w:rPr>
                <w:rFonts w:cs="Arial"/>
                <w:sz w:val="21"/>
                <w:szCs w:val="21"/>
              </w:rPr>
            </w:pPr>
            <w:r>
              <w:rPr>
                <w:rFonts w:cs="Arial"/>
                <w:sz w:val="21"/>
                <w:szCs w:val="21"/>
              </w:rPr>
              <w:t>C VAN DER MERWE</w:t>
            </w:r>
          </w:p>
        </w:tc>
      </w:tr>
      <w:tr w:rsidR="009D35B5" w:rsidRPr="008E2A22" w14:paraId="1EC4105A" w14:textId="77777777" w:rsidTr="00615F6B">
        <w:tc>
          <w:tcPr>
            <w:tcW w:w="4678" w:type="dxa"/>
          </w:tcPr>
          <w:p w14:paraId="184EC2ED" w14:textId="2882CB8E"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INSTRUCTED B</w:t>
            </w:r>
            <w:r w:rsidR="008B0321">
              <w:rPr>
                <w:rFonts w:cs="Arial"/>
                <w:sz w:val="21"/>
                <w:szCs w:val="21"/>
              </w:rPr>
              <w:t>Y</w:t>
            </w:r>
          </w:p>
        </w:tc>
        <w:tc>
          <w:tcPr>
            <w:tcW w:w="3935" w:type="dxa"/>
          </w:tcPr>
          <w:p w14:paraId="2098BE2A" w14:textId="15FE8C92" w:rsidR="009D35B5" w:rsidRPr="008E2A22" w:rsidRDefault="00AF2CD5" w:rsidP="00A25AB4">
            <w:pPr>
              <w:tabs>
                <w:tab w:val="right" w:pos="0"/>
                <w:tab w:val="left" w:pos="4253"/>
              </w:tabs>
              <w:spacing w:before="120" w:after="120"/>
              <w:jc w:val="right"/>
              <w:rPr>
                <w:rFonts w:cs="Arial"/>
                <w:sz w:val="21"/>
                <w:szCs w:val="21"/>
              </w:rPr>
            </w:pPr>
            <w:r>
              <w:rPr>
                <w:rFonts w:cs="Arial"/>
                <w:sz w:val="21"/>
                <w:szCs w:val="21"/>
              </w:rPr>
              <w:t>KAVEER GUINESS INC</w:t>
            </w:r>
          </w:p>
        </w:tc>
      </w:tr>
      <w:tr w:rsidR="009D35B5" w:rsidRPr="008E2A22" w14:paraId="2A3FE2B1" w14:textId="77777777" w:rsidTr="00615F6B">
        <w:tc>
          <w:tcPr>
            <w:tcW w:w="4678" w:type="dxa"/>
          </w:tcPr>
          <w:p w14:paraId="0767D0FE" w14:textId="61925A22" w:rsidR="009D35B5" w:rsidRPr="008E2A22" w:rsidRDefault="009D35B5" w:rsidP="00A25AB4">
            <w:pPr>
              <w:tabs>
                <w:tab w:val="right" w:pos="0"/>
                <w:tab w:val="left" w:pos="4253"/>
              </w:tabs>
              <w:spacing w:before="120" w:after="120"/>
              <w:rPr>
                <w:rFonts w:cs="Arial"/>
                <w:sz w:val="21"/>
                <w:szCs w:val="21"/>
              </w:rPr>
            </w:pPr>
            <w:r w:rsidRPr="008E2A22">
              <w:rPr>
                <w:rFonts w:cs="Arial"/>
                <w:sz w:val="21"/>
                <w:szCs w:val="21"/>
              </w:rPr>
              <w:t xml:space="preserve">DATE </w:t>
            </w:r>
            <w:r w:rsidR="00E57446" w:rsidRPr="008E2A22">
              <w:rPr>
                <w:rFonts w:cs="Arial"/>
                <w:sz w:val="21"/>
                <w:szCs w:val="21"/>
              </w:rPr>
              <w:t>OF ARGUMENT</w:t>
            </w:r>
            <w:r w:rsidRPr="008E2A22">
              <w:rPr>
                <w:rFonts w:cs="Arial"/>
                <w:sz w:val="21"/>
                <w:szCs w:val="21"/>
              </w:rPr>
              <w:t>:</w:t>
            </w:r>
          </w:p>
        </w:tc>
        <w:tc>
          <w:tcPr>
            <w:tcW w:w="3935" w:type="dxa"/>
          </w:tcPr>
          <w:p w14:paraId="34C95147" w14:textId="5B2E6F9A" w:rsidR="009D35B5" w:rsidRPr="008E2A22" w:rsidRDefault="00D743C0" w:rsidP="00A25AB4">
            <w:pPr>
              <w:tabs>
                <w:tab w:val="right" w:pos="0"/>
                <w:tab w:val="left" w:pos="4253"/>
              </w:tabs>
              <w:spacing w:before="120" w:after="120"/>
              <w:jc w:val="right"/>
              <w:rPr>
                <w:rFonts w:cs="Arial"/>
                <w:sz w:val="21"/>
                <w:szCs w:val="21"/>
              </w:rPr>
            </w:pPr>
            <w:r>
              <w:rPr>
                <w:rFonts w:cs="Arial"/>
                <w:sz w:val="21"/>
                <w:szCs w:val="21"/>
              </w:rPr>
              <w:t>19</w:t>
            </w:r>
            <w:r w:rsidR="00D33A54" w:rsidRPr="008E2A22">
              <w:rPr>
                <w:rFonts w:cs="Arial"/>
                <w:sz w:val="21"/>
                <w:szCs w:val="21"/>
              </w:rPr>
              <w:t xml:space="preserve"> FEBRUARY 2024</w:t>
            </w:r>
          </w:p>
        </w:tc>
      </w:tr>
      <w:tr w:rsidR="00A25AB4" w:rsidRPr="008E2A22" w14:paraId="5ECDFF3A" w14:textId="77777777" w:rsidTr="00615F6B">
        <w:tc>
          <w:tcPr>
            <w:tcW w:w="4678" w:type="dxa"/>
          </w:tcPr>
          <w:p w14:paraId="1DF2AE9E" w14:textId="1FC539A4" w:rsidR="00A25AB4" w:rsidRPr="008E2A22" w:rsidRDefault="00A25AB4" w:rsidP="00A25AB4">
            <w:pPr>
              <w:tabs>
                <w:tab w:val="right" w:pos="0"/>
                <w:tab w:val="left" w:pos="4253"/>
              </w:tabs>
              <w:spacing w:before="120" w:after="120"/>
              <w:rPr>
                <w:rFonts w:cs="Arial"/>
                <w:sz w:val="21"/>
                <w:szCs w:val="21"/>
              </w:rPr>
            </w:pPr>
            <w:r w:rsidRPr="008E2A22">
              <w:rPr>
                <w:rFonts w:cs="Arial"/>
                <w:sz w:val="21"/>
                <w:szCs w:val="21"/>
              </w:rPr>
              <w:t>DATE OF JUDGMENT:</w:t>
            </w:r>
          </w:p>
        </w:tc>
        <w:tc>
          <w:tcPr>
            <w:tcW w:w="3935" w:type="dxa"/>
          </w:tcPr>
          <w:p w14:paraId="02219E99" w14:textId="26F28ECB" w:rsidR="00A25AB4" w:rsidRPr="008E2A22" w:rsidRDefault="001F14E4" w:rsidP="00A25AB4">
            <w:pPr>
              <w:tabs>
                <w:tab w:val="right" w:pos="0"/>
                <w:tab w:val="left" w:pos="4253"/>
              </w:tabs>
              <w:spacing w:before="120" w:after="120"/>
              <w:jc w:val="right"/>
              <w:rPr>
                <w:rFonts w:cs="Arial"/>
                <w:sz w:val="21"/>
                <w:szCs w:val="21"/>
              </w:rPr>
            </w:pPr>
            <w:r>
              <w:rPr>
                <w:rFonts w:cs="Arial"/>
                <w:sz w:val="21"/>
                <w:szCs w:val="21"/>
              </w:rPr>
              <w:t>5</w:t>
            </w:r>
            <w:r w:rsidR="00D743C0">
              <w:rPr>
                <w:rFonts w:cs="Arial"/>
                <w:sz w:val="21"/>
                <w:szCs w:val="21"/>
              </w:rPr>
              <w:t xml:space="preserve"> MARCH</w:t>
            </w:r>
            <w:r w:rsidR="00B664E5" w:rsidRPr="008E2A22">
              <w:rPr>
                <w:rFonts w:cs="Arial"/>
                <w:sz w:val="21"/>
                <w:szCs w:val="21"/>
              </w:rPr>
              <w:t xml:space="preserve"> </w:t>
            </w:r>
            <w:r w:rsidR="00D33A54" w:rsidRPr="008E2A22">
              <w:rPr>
                <w:rFonts w:cs="Arial"/>
                <w:sz w:val="21"/>
                <w:szCs w:val="21"/>
              </w:rPr>
              <w:t>2024</w:t>
            </w:r>
          </w:p>
        </w:tc>
      </w:tr>
    </w:tbl>
    <w:p w14:paraId="1BD8F4EB" w14:textId="491B3C8F" w:rsidR="00A402F6" w:rsidRPr="008E2A22" w:rsidRDefault="00A402F6" w:rsidP="008E2A22">
      <w:pPr>
        <w:widowControl w:val="0"/>
        <w:spacing w:before="480" w:after="480" w:line="360" w:lineRule="auto"/>
        <w:jc w:val="both"/>
        <w:rPr>
          <w:rFonts w:cs="Arial"/>
          <w:sz w:val="21"/>
          <w:szCs w:val="21"/>
        </w:rPr>
      </w:pPr>
    </w:p>
    <w:sectPr w:rsidR="00A402F6" w:rsidRPr="008E2A22" w:rsidSect="005A07CF">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CF806" w14:textId="77777777" w:rsidR="005A07CF" w:rsidRPr="008E2A22" w:rsidRDefault="005A07CF">
      <w:pPr>
        <w:rPr>
          <w:sz w:val="21"/>
          <w:szCs w:val="21"/>
        </w:rPr>
      </w:pPr>
      <w:r w:rsidRPr="008E2A22">
        <w:rPr>
          <w:sz w:val="21"/>
          <w:szCs w:val="21"/>
        </w:rPr>
        <w:separator/>
      </w:r>
    </w:p>
  </w:endnote>
  <w:endnote w:type="continuationSeparator" w:id="0">
    <w:p w14:paraId="366DDD4E" w14:textId="77777777" w:rsidR="005A07CF" w:rsidRPr="008E2A22" w:rsidRDefault="005A07CF">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85459" w14:textId="77777777" w:rsidR="005A07CF" w:rsidRPr="008E2A22" w:rsidRDefault="005A07CF">
      <w:pPr>
        <w:rPr>
          <w:sz w:val="21"/>
          <w:szCs w:val="21"/>
        </w:rPr>
      </w:pPr>
      <w:r w:rsidRPr="008E2A22">
        <w:rPr>
          <w:sz w:val="21"/>
          <w:szCs w:val="21"/>
        </w:rPr>
        <w:separator/>
      </w:r>
    </w:p>
  </w:footnote>
  <w:footnote w:type="continuationSeparator" w:id="0">
    <w:p w14:paraId="00386A3A" w14:textId="77777777" w:rsidR="005A07CF" w:rsidRPr="008E2A22" w:rsidRDefault="005A07CF">
      <w:pPr>
        <w:rPr>
          <w:sz w:val="21"/>
          <w:szCs w:val="21"/>
        </w:rPr>
      </w:pPr>
      <w:r w:rsidRPr="008E2A22">
        <w:rPr>
          <w:sz w:val="21"/>
          <w:szCs w:val="21"/>
        </w:rPr>
        <w:continuationSeparator/>
      </w:r>
    </w:p>
  </w:footnote>
  <w:footnote w:id="1">
    <w:p w14:paraId="2C99BCDB" w14:textId="6FF9F202" w:rsidR="008318FA" w:rsidRPr="008E2A22" w:rsidRDefault="008318FA" w:rsidP="008318FA">
      <w:pPr>
        <w:pStyle w:val="FootnoteText"/>
        <w:rPr>
          <w:sz w:val="19"/>
          <w:szCs w:val="19"/>
          <w:lang w:val="en-GB"/>
        </w:rPr>
      </w:pPr>
      <w:r w:rsidRPr="008E2A22">
        <w:rPr>
          <w:rStyle w:val="FootnoteReference"/>
          <w:sz w:val="19"/>
          <w:szCs w:val="19"/>
        </w:rPr>
        <w:footnoteRef/>
      </w:r>
      <w:r w:rsidRPr="008E2A22">
        <w:rPr>
          <w:sz w:val="19"/>
          <w:szCs w:val="19"/>
        </w:rPr>
        <w:t xml:space="preserve"> </w:t>
      </w:r>
      <w:r w:rsidRPr="008E2A22">
        <w:rPr>
          <w:sz w:val="19"/>
          <w:szCs w:val="19"/>
        </w:rPr>
        <w:tab/>
        <w:t xml:space="preserve">See </w:t>
      </w:r>
      <w:r w:rsidRPr="008E2A22">
        <w:rPr>
          <w:i/>
          <w:iCs/>
          <w:sz w:val="19"/>
          <w:szCs w:val="19"/>
        </w:rPr>
        <w:t>Silber v Ozen Wholesalers (Pty) Ltd</w:t>
      </w:r>
      <w:r w:rsidRPr="008E2A22">
        <w:rPr>
          <w:sz w:val="19"/>
          <w:szCs w:val="19"/>
        </w:rPr>
        <w:t xml:space="preserve"> 1954 (2) SA 345 (A) 353A and the various cases referred to by Van Loggerenberg </w:t>
      </w:r>
      <w:r w:rsidRPr="008E2A22">
        <w:rPr>
          <w:i/>
          <w:iCs/>
          <w:sz w:val="19"/>
          <w:szCs w:val="19"/>
        </w:rPr>
        <w:t xml:space="preserve">Erasmus: Superior Court Practice </w:t>
      </w:r>
      <w:r w:rsidRPr="008E2A22">
        <w:rPr>
          <w:sz w:val="19"/>
          <w:szCs w:val="19"/>
        </w:rPr>
        <w:t>D1-365</w:t>
      </w:r>
      <w:r w:rsidR="0020575F">
        <w:rPr>
          <w:sz w:val="19"/>
          <w:szCs w:val="19"/>
        </w:rPr>
        <w:t xml:space="preserve"> </w:t>
      </w:r>
      <w:r w:rsidR="0020575F" w:rsidRPr="0020575F">
        <w:rPr>
          <w:i/>
          <w:iCs/>
          <w:sz w:val="19"/>
          <w:szCs w:val="19"/>
        </w:rPr>
        <w:t>et seq</w:t>
      </w:r>
      <w:r w:rsidR="0020575F">
        <w:rPr>
          <w:sz w:val="19"/>
          <w:szCs w:val="19"/>
        </w:rPr>
        <w:t xml:space="preserve"> footnotes 66 to 68 and D1-564</w:t>
      </w:r>
      <w:r w:rsidRPr="008E2A22">
        <w:rPr>
          <w:i/>
          <w:iCs/>
          <w:sz w:val="19"/>
          <w:szCs w:val="19"/>
        </w:rPr>
        <w:t xml:space="preserve"> et seq</w:t>
      </w:r>
      <w:r w:rsidR="0020575F">
        <w:rPr>
          <w:i/>
          <w:iCs/>
          <w:sz w:val="19"/>
          <w:szCs w:val="19"/>
        </w:rPr>
        <w:t xml:space="preserve"> footnotes 49 to 51</w:t>
      </w:r>
      <w:r w:rsidRPr="008E2A22">
        <w:rPr>
          <w:i/>
          <w:iCs/>
          <w:sz w:val="19"/>
          <w:szCs w:val="19"/>
        </w:rPr>
        <w:t>.</w:t>
      </w:r>
    </w:p>
  </w:footnote>
  <w:footnote w:id="2">
    <w:p w14:paraId="4BE8071B" w14:textId="485221EB" w:rsidR="0020575F" w:rsidRDefault="0020575F">
      <w:pPr>
        <w:pStyle w:val="FootnoteText"/>
      </w:pPr>
      <w:r>
        <w:rPr>
          <w:rStyle w:val="FootnoteReference"/>
        </w:rPr>
        <w:footnoteRef/>
      </w:r>
      <w:r>
        <w:t xml:space="preserve"> </w:t>
      </w:r>
      <w:r>
        <w:tab/>
      </w:r>
      <w:r w:rsidRPr="00A55B55">
        <w:rPr>
          <w:i/>
          <w:iCs/>
          <w:color w:val="000000" w:themeColor="text1"/>
        </w:rPr>
        <w:t>Grant v Plumbers (Pty) Ltd</w:t>
      </w:r>
      <w:r w:rsidRPr="00A55B55">
        <w:rPr>
          <w:color w:val="000000" w:themeColor="text1"/>
        </w:rPr>
        <w:t> </w:t>
      </w:r>
      <w:hyperlink r:id="rId1" w:anchor="y1949v2SApg470" w:history="1">
        <w:r w:rsidRPr="00A55B55">
          <w:rPr>
            <w:rStyle w:val="Hyperlink"/>
            <w:color w:val="000000" w:themeColor="text1"/>
            <w:u w:val="none"/>
          </w:rPr>
          <w:t>1949 (2) SA 470 (O)</w:t>
        </w:r>
      </w:hyperlink>
      <w:r w:rsidRPr="00A55B55">
        <w:rPr>
          <w:color w:val="000000" w:themeColor="text1"/>
        </w:rPr>
        <w:t xml:space="preserve"> 476–7</w:t>
      </w:r>
      <w:r>
        <w:rPr>
          <w:color w:val="000000" w:themeColor="text1"/>
        </w:rPr>
        <w:t>.</w:t>
      </w:r>
    </w:p>
  </w:footnote>
  <w:footnote w:id="3">
    <w:p w14:paraId="39C6BBFE" w14:textId="77777777" w:rsidR="000872F2" w:rsidRPr="008E2A22" w:rsidRDefault="000872F2" w:rsidP="000872F2">
      <w:pPr>
        <w:pStyle w:val="FootnoteText"/>
        <w:rPr>
          <w:sz w:val="19"/>
          <w:szCs w:val="19"/>
          <w:lang w:val="en-GB"/>
        </w:rPr>
      </w:pPr>
      <w:r w:rsidRPr="008E2A22">
        <w:rPr>
          <w:rStyle w:val="FootnoteReference"/>
          <w:sz w:val="19"/>
          <w:szCs w:val="19"/>
        </w:rPr>
        <w:footnoteRef/>
      </w:r>
      <w:r w:rsidRPr="008E2A22">
        <w:rPr>
          <w:sz w:val="19"/>
          <w:szCs w:val="19"/>
        </w:rPr>
        <w:t xml:space="preserve"> </w:t>
      </w:r>
      <w:r w:rsidRPr="008E2A22">
        <w:rPr>
          <w:sz w:val="19"/>
          <w:szCs w:val="19"/>
        </w:rPr>
        <w:tab/>
      </w:r>
      <w:r w:rsidRPr="008E2A22">
        <w:rPr>
          <w:i/>
          <w:iCs/>
          <w:sz w:val="19"/>
          <w:szCs w:val="19"/>
        </w:rPr>
        <w:t>Van Wyk v Unitas Hospital and Another (Open Democratic Advice Centre as Amicus Curiae)</w:t>
      </w:r>
      <w:r w:rsidRPr="008E2A22">
        <w:rPr>
          <w:sz w:val="19"/>
          <w:szCs w:val="19"/>
        </w:rPr>
        <w:t xml:space="preserve"> 2008 (2) SA 472 (CC) paras 20 to 22.</w:t>
      </w:r>
    </w:p>
  </w:footnote>
  <w:footnote w:id="4">
    <w:p w14:paraId="69422654" w14:textId="0BC04963" w:rsidR="00001BAE" w:rsidRDefault="00001BAE">
      <w:pPr>
        <w:pStyle w:val="FootnoteText"/>
      </w:pPr>
      <w:r>
        <w:rPr>
          <w:rStyle w:val="FootnoteReference"/>
        </w:rPr>
        <w:footnoteRef/>
      </w:r>
      <w:r>
        <w:t xml:space="preserve"> </w:t>
      </w:r>
      <w:r>
        <w:tab/>
        <w:t>See sections 45(1) and 51(1)(a) of the National Credit Act 34 of 2005.</w:t>
      </w:r>
    </w:p>
  </w:footnote>
  <w:footnote w:id="5">
    <w:p w14:paraId="61CC856A" w14:textId="56AE2660" w:rsidR="003A76B5" w:rsidRDefault="003A76B5">
      <w:pPr>
        <w:pStyle w:val="FootnoteText"/>
      </w:pPr>
      <w:r>
        <w:rPr>
          <w:rStyle w:val="FootnoteReference"/>
        </w:rPr>
        <w:footnoteRef/>
      </w:r>
      <w:r>
        <w:t xml:space="preserve"> </w:t>
      </w:r>
      <w:r>
        <w:tab/>
        <w:t>The reference is to the Minister of the Cabinet responsible for consumer credit matters.</w:t>
      </w:r>
    </w:p>
  </w:footnote>
  <w:footnote w:id="6">
    <w:p w14:paraId="08C5C081" w14:textId="08D1937A" w:rsidR="000872F2" w:rsidRDefault="000872F2" w:rsidP="000872F2">
      <w:pPr>
        <w:pStyle w:val="FootnoteText"/>
      </w:pPr>
      <w:r>
        <w:rPr>
          <w:rStyle w:val="FootnoteReference"/>
        </w:rPr>
        <w:footnoteRef/>
      </w:r>
      <w:r>
        <w:t xml:space="preserve"> </w:t>
      </w:r>
      <w:r>
        <w:tab/>
        <w:t>Section 4(1)(a) of the National Credit Act read with section 7 (1).</w:t>
      </w:r>
    </w:p>
  </w:footnote>
  <w:footnote w:id="7">
    <w:p w14:paraId="2576CEEF" w14:textId="77777777" w:rsidR="000872F2" w:rsidRDefault="000872F2" w:rsidP="000872F2">
      <w:pPr>
        <w:pStyle w:val="FootnoteText"/>
      </w:pPr>
      <w:r>
        <w:rPr>
          <w:rStyle w:val="FootnoteReference"/>
        </w:rPr>
        <w:footnoteRef/>
      </w:r>
      <w:r>
        <w:t xml:space="preserve"> </w:t>
      </w:r>
      <w:r>
        <w:tab/>
        <w:t>Section 4(1)(b).</w:t>
      </w:r>
    </w:p>
  </w:footnote>
  <w:footnote w:id="8">
    <w:p w14:paraId="1BEE7F10" w14:textId="20DBFA06" w:rsidR="00DD43F6" w:rsidRDefault="00DD43F6">
      <w:pPr>
        <w:pStyle w:val="FootnoteText"/>
      </w:pPr>
      <w:r>
        <w:rPr>
          <w:rStyle w:val="FootnoteReference"/>
        </w:rPr>
        <w:footnoteRef/>
      </w:r>
      <w:r>
        <w:t xml:space="preserve"> </w:t>
      </w:r>
      <w:r>
        <w:tab/>
        <w:t xml:space="preserve">See also Scholtz </w:t>
      </w:r>
      <w:r w:rsidRPr="00DD43F6">
        <w:rPr>
          <w:i/>
          <w:iCs/>
        </w:rPr>
        <w:t>Guide to the National Credit Act</w:t>
      </w:r>
      <w:r>
        <w:t xml:space="preserve"> </w:t>
      </w:r>
      <w:r w:rsidR="00CE2A6C">
        <w:t xml:space="preserve">4.2, </w:t>
      </w:r>
      <w:r w:rsidR="00FA72B9">
        <w:t xml:space="preserve">4.4.1, </w:t>
      </w:r>
      <w:r>
        <w:t>4.5</w:t>
      </w:r>
    </w:p>
  </w:footnote>
  <w:footnote w:id="9">
    <w:p w14:paraId="59ED77E5" w14:textId="77777777" w:rsidR="000872F2" w:rsidRDefault="000872F2" w:rsidP="000872F2">
      <w:pPr>
        <w:pStyle w:val="FootnoteText"/>
      </w:pPr>
      <w:r>
        <w:rPr>
          <w:rStyle w:val="FootnoteReference"/>
        </w:rPr>
        <w:footnoteRef/>
      </w:r>
      <w:r>
        <w:t xml:space="preserve"> </w:t>
      </w:r>
      <w:r>
        <w:tab/>
        <w:t>Section 4(2) of the National Credit Act.</w:t>
      </w:r>
    </w:p>
  </w:footnote>
  <w:footnote w:id="10">
    <w:p w14:paraId="1527D1F4" w14:textId="0B7533A6" w:rsidR="00FA72B9" w:rsidRDefault="00FA72B9">
      <w:pPr>
        <w:pStyle w:val="FootnoteText"/>
      </w:pPr>
      <w:r>
        <w:rPr>
          <w:rStyle w:val="FootnoteReference"/>
        </w:rPr>
        <w:footnoteRef/>
      </w:r>
      <w:r>
        <w:t xml:space="preserve"> </w:t>
      </w:r>
      <w:r>
        <w:tab/>
        <w:t xml:space="preserve">The effect of this argument on the applicants’ argument that the National Credit Act applies need not be decided. See Scholtz </w:t>
      </w:r>
      <w:r w:rsidRPr="00FA72B9">
        <w:rPr>
          <w:i/>
          <w:iCs/>
        </w:rPr>
        <w:t>Guide to the National Credit Act</w:t>
      </w:r>
      <w:r>
        <w:t xml:space="preserve"> 4.2</w:t>
      </w:r>
      <w:r w:rsidR="00E559AB">
        <w:t>.</w:t>
      </w:r>
    </w:p>
  </w:footnote>
  <w:footnote w:id="11">
    <w:p w14:paraId="607CC1D6" w14:textId="0D48C47E" w:rsidR="00E92E60" w:rsidRDefault="00E92E60">
      <w:pPr>
        <w:pStyle w:val="FootnoteText"/>
      </w:pPr>
      <w:r>
        <w:rPr>
          <w:rStyle w:val="FootnoteReference"/>
        </w:rPr>
        <w:footnoteRef/>
      </w:r>
      <w:r>
        <w:t xml:space="preserve"> </w:t>
      </w:r>
      <w:r>
        <w:tab/>
        <w:t>24% of R4,000,000 equals R</w:t>
      </w:r>
      <w:r w:rsidR="00283664">
        <w:t>960,000, or twelve payments of R80,000.</w:t>
      </w:r>
    </w:p>
  </w:footnote>
  <w:footnote w:id="12">
    <w:p w14:paraId="12982213" w14:textId="0D2A2DE9" w:rsidR="00C2742C" w:rsidRDefault="00C2742C">
      <w:pPr>
        <w:pStyle w:val="FootnoteText"/>
      </w:pPr>
      <w:r>
        <w:rPr>
          <w:rStyle w:val="FootnoteReference"/>
        </w:rPr>
        <w:footnoteRef/>
      </w:r>
      <w:r>
        <w:t xml:space="preserve"> </w:t>
      </w:r>
      <w:r>
        <w:tab/>
      </w:r>
      <w:r w:rsidRPr="00B71116">
        <w:rPr>
          <w:i/>
          <w:iCs/>
        </w:rPr>
        <w:t>Lodhi 2 Properties Investments CC and Another v Bondev Developments (Pty) Ltd</w:t>
      </w:r>
      <w:r>
        <w:t xml:space="preserve"> 2007 (6) SA 87 (SCA) para 25</w:t>
      </w:r>
      <w:r w:rsidR="00CD7F5E">
        <w:t xml:space="preserve">, </w:t>
      </w:r>
      <w:r w:rsidR="00CD7F5E" w:rsidRPr="00A10A47">
        <w:rPr>
          <w:i/>
          <w:iCs/>
          <w:color w:val="000000" w:themeColor="text1"/>
        </w:rPr>
        <w:t>Colyn v Tiger Food Industries Ltd t/a Meadow Feed Mills (Cape)</w:t>
      </w:r>
      <w:r w:rsidR="00CD7F5E" w:rsidRPr="00A10A47">
        <w:rPr>
          <w:color w:val="000000" w:themeColor="text1"/>
        </w:rPr>
        <w:t> </w:t>
      </w:r>
      <w:hyperlink r:id="rId2" w:history="1">
        <w:r w:rsidR="00CD7F5E" w:rsidRPr="00A10A47">
          <w:rPr>
            <w:rStyle w:val="Hyperlink"/>
            <w:color w:val="000000" w:themeColor="text1"/>
            <w:u w:val="none"/>
          </w:rPr>
          <w:t>2003 (6) SA 1 (SCA)</w:t>
        </w:r>
      </w:hyperlink>
      <w:r w:rsidR="00CD7F5E">
        <w:rPr>
          <w:color w:val="000000" w:themeColor="text1"/>
        </w:rPr>
        <w:t xml:space="preserve">, </w:t>
      </w:r>
      <w:r w:rsidR="00CD7F5E" w:rsidRPr="00A10A47">
        <w:rPr>
          <w:color w:val="000000" w:themeColor="text1"/>
        </w:rPr>
        <w:t>([2003] 2 All SA 113</w:t>
      </w:r>
      <w:r w:rsidR="00CD7F5E">
        <w:rPr>
          <w:color w:val="000000" w:themeColor="text1"/>
        </w:rPr>
        <w:t xml:space="preserve"> (SCA)</w:t>
      </w:r>
      <w:r w:rsidR="00CD7F5E" w:rsidRPr="00A10A47">
        <w:rPr>
          <w:color w:val="000000" w:themeColor="text1"/>
        </w:rPr>
        <w:t xml:space="preserve"> paras 9 - 10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A9B" w14:textId="64CD13A2"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DF7A1E">
      <w:rPr>
        <w:rFonts w:cs="Arial"/>
        <w:noProof/>
        <w:sz w:val="19"/>
        <w:szCs w:val="19"/>
        <w:lang w:val="en-GB"/>
      </w:rPr>
      <w:t>2</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2E953CA"/>
    <w:multiLevelType w:val="hybridMultilevel"/>
    <w:tmpl w:val="DA80D96A"/>
    <w:lvl w:ilvl="0" w:tplc="57BA0A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2"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3"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6C248F"/>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72453670">
    <w:abstractNumId w:val="7"/>
  </w:num>
  <w:num w:numId="2" w16cid:durableId="848955128">
    <w:abstractNumId w:val="2"/>
  </w:num>
  <w:num w:numId="3" w16cid:durableId="17128219">
    <w:abstractNumId w:val="18"/>
  </w:num>
  <w:num w:numId="4" w16cid:durableId="1844543201">
    <w:abstractNumId w:val="9"/>
  </w:num>
  <w:num w:numId="5" w16cid:durableId="87628270">
    <w:abstractNumId w:val="17"/>
  </w:num>
  <w:num w:numId="6" w16cid:durableId="800073721">
    <w:abstractNumId w:val="14"/>
  </w:num>
  <w:num w:numId="7" w16cid:durableId="1672681384">
    <w:abstractNumId w:val="0"/>
  </w:num>
  <w:num w:numId="8" w16cid:durableId="1237518521">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42512210">
    <w:abstractNumId w:val="12"/>
  </w:num>
  <w:num w:numId="10" w16cid:durableId="1596983302">
    <w:abstractNumId w:val="3"/>
  </w:num>
  <w:num w:numId="11" w16cid:durableId="710224084">
    <w:abstractNumId w:val="19"/>
  </w:num>
  <w:num w:numId="12" w16cid:durableId="786044440">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927883386">
    <w:abstractNumId w:val="15"/>
  </w:num>
  <w:num w:numId="14" w16cid:durableId="224461751">
    <w:abstractNumId w:val="13"/>
  </w:num>
  <w:num w:numId="15" w16cid:durableId="1379432123">
    <w:abstractNumId w:val="5"/>
  </w:num>
  <w:num w:numId="16" w16cid:durableId="1585648124">
    <w:abstractNumId w:val="8"/>
  </w:num>
  <w:num w:numId="17" w16cid:durableId="82069519">
    <w:abstractNumId w:val="4"/>
  </w:num>
  <w:num w:numId="18" w16cid:durableId="1334069606">
    <w:abstractNumId w:val="1"/>
  </w:num>
  <w:num w:numId="19" w16cid:durableId="579489383">
    <w:abstractNumId w:val="10"/>
  </w:num>
  <w:num w:numId="20" w16cid:durableId="3922398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G0MDS2MDC1MDOxNLBU0lEKTi0uzszPAykwrAUAezVTBSwAAAA="/>
    <w:docVar w:name="dgnword-docGUID" w:val="{DD146A82-D615-49F5-B805-C9B32D424A76}"/>
    <w:docVar w:name="dgnword-eventsink" w:val="1968448639696"/>
  </w:docVars>
  <w:rsids>
    <w:rsidRoot w:val="00C676F3"/>
    <w:rsid w:val="000004A3"/>
    <w:rsid w:val="00000AFE"/>
    <w:rsid w:val="00001138"/>
    <w:rsid w:val="000019D2"/>
    <w:rsid w:val="00001BAE"/>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71"/>
    <w:rsid w:val="00072105"/>
    <w:rsid w:val="000737E1"/>
    <w:rsid w:val="00073E30"/>
    <w:rsid w:val="00077D11"/>
    <w:rsid w:val="00081716"/>
    <w:rsid w:val="00082115"/>
    <w:rsid w:val="00082EDC"/>
    <w:rsid w:val="000833BB"/>
    <w:rsid w:val="000835BE"/>
    <w:rsid w:val="00085288"/>
    <w:rsid w:val="000872F2"/>
    <w:rsid w:val="00087AE6"/>
    <w:rsid w:val="000906B5"/>
    <w:rsid w:val="00090F50"/>
    <w:rsid w:val="00090FFC"/>
    <w:rsid w:val="00092591"/>
    <w:rsid w:val="00093237"/>
    <w:rsid w:val="0009429D"/>
    <w:rsid w:val="0009488C"/>
    <w:rsid w:val="0009540B"/>
    <w:rsid w:val="000956E5"/>
    <w:rsid w:val="00096A67"/>
    <w:rsid w:val="000976D2"/>
    <w:rsid w:val="00097968"/>
    <w:rsid w:val="000A6AD8"/>
    <w:rsid w:val="000B0116"/>
    <w:rsid w:val="000B0A70"/>
    <w:rsid w:val="000B21DA"/>
    <w:rsid w:val="000B39D7"/>
    <w:rsid w:val="000C7A3D"/>
    <w:rsid w:val="000C7E41"/>
    <w:rsid w:val="000D01E0"/>
    <w:rsid w:val="000D03E3"/>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C4A"/>
    <w:rsid w:val="00133E81"/>
    <w:rsid w:val="001342B3"/>
    <w:rsid w:val="00135D9E"/>
    <w:rsid w:val="00140454"/>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763"/>
    <w:rsid w:val="00172DDF"/>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2371"/>
    <w:rsid w:val="001C33E6"/>
    <w:rsid w:val="001C608F"/>
    <w:rsid w:val="001C7048"/>
    <w:rsid w:val="001D3CC2"/>
    <w:rsid w:val="001E0529"/>
    <w:rsid w:val="001E2EED"/>
    <w:rsid w:val="001E44D1"/>
    <w:rsid w:val="001E4691"/>
    <w:rsid w:val="001E4701"/>
    <w:rsid w:val="001E518E"/>
    <w:rsid w:val="001F09D1"/>
    <w:rsid w:val="001F0A29"/>
    <w:rsid w:val="001F0CE5"/>
    <w:rsid w:val="001F14E4"/>
    <w:rsid w:val="001F361F"/>
    <w:rsid w:val="001F3DBD"/>
    <w:rsid w:val="001F648A"/>
    <w:rsid w:val="001F6F43"/>
    <w:rsid w:val="00200B96"/>
    <w:rsid w:val="00201620"/>
    <w:rsid w:val="00203DA2"/>
    <w:rsid w:val="0020474A"/>
    <w:rsid w:val="00205392"/>
    <w:rsid w:val="0020575F"/>
    <w:rsid w:val="00205E72"/>
    <w:rsid w:val="00206919"/>
    <w:rsid w:val="002104BF"/>
    <w:rsid w:val="002108B6"/>
    <w:rsid w:val="00211F49"/>
    <w:rsid w:val="00213738"/>
    <w:rsid w:val="002139A7"/>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3664"/>
    <w:rsid w:val="00285040"/>
    <w:rsid w:val="00285062"/>
    <w:rsid w:val="0029196F"/>
    <w:rsid w:val="00292E3E"/>
    <w:rsid w:val="0029369B"/>
    <w:rsid w:val="00293C02"/>
    <w:rsid w:val="0029605B"/>
    <w:rsid w:val="002963B9"/>
    <w:rsid w:val="00296DAF"/>
    <w:rsid w:val="002976B8"/>
    <w:rsid w:val="002A030C"/>
    <w:rsid w:val="002A4B7B"/>
    <w:rsid w:val="002B0355"/>
    <w:rsid w:val="002B05EA"/>
    <w:rsid w:val="002B12D6"/>
    <w:rsid w:val="002B1F55"/>
    <w:rsid w:val="002B528D"/>
    <w:rsid w:val="002C15AC"/>
    <w:rsid w:val="002C2E80"/>
    <w:rsid w:val="002C4687"/>
    <w:rsid w:val="002C48E7"/>
    <w:rsid w:val="002D2842"/>
    <w:rsid w:val="002D47B3"/>
    <w:rsid w:val="002E0E37"/>
    <w:rsid w:val="002E2648"/>
    <w:rsid w:val="002E3586"/>
    <w:rsid w:val="002E5B57"/>
    <w:rsid w:val="002E612C"/>
    <w:rsid w:val="002E6CD7"/>
    <w:rsid w:val="002F1C4D"/>
    <w:rsid w:val="002F2881"/>
    <w:rsid w:val="002F41F8"/>
    <w:rsid w:val="002F4A5D"/>
    <w:rsid w:val="002F508A"/>
    <w:rsid w:val="002F72D3"/>
    <w:rsid w:val="002F774A"/>
    <w:rsid w:val="00302290"/>
    <w:rsid w:val="003023F9"/>
    <w:rsid w:val="00302C31"/>
    <w:rsid w:val="003031A1"/>
    <w:rsid w:val="00303919"/>
    <w:rsid w:val="003047C2"/>
    <w:rsid w:val="0030653F"/>
    <w:rsid w:val="00306B41"/>
    <w:rsid w:val="003102C8"/>
    <w:rsid w:val="0031117B"/>
    <w:rsid w:val="00312EBC"/>
    <w:rsid w:val="00313056"/>
    <w:rsid w:val="00316740"/>
    <w:rsid w:val="00321DF8"/>
    <w:rsid w:val="00323058"/>
    <w:rsid w:val="00324EDF"/>
    <w:rsid w:val="003312BF"/>
    <w:rsid w:val="003313A2"/>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253D"/>
    <w:rsid w:val="00363FCD"/>
    <w:rsid w:val="00364C43"/>
    <w:rsid w:val="00364E6A"/>
    <w:rsid w:val="00364E80"/>
    <w:rsid w:val="00366E5C"/>
    <w:rsid w:val="003676CF"/>
    <w:rsid w:val="00367720"/>
    <w:rsid w:val="00367778"/>
    <w:rsid w:val="0037029D"/>
    <w:rsid w:val="0037071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6B5"/>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31C5"/>
    <w:rsid w:val="0041363D"/>
    <w:rsid w:val="00413D9B"/>
    <w:rsid w:val="00415439"/>
    <w:rsid w:val="00416332"/>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60495"/>
    <w:rsid w:val="00460EEA"/>
    <w:rsid w:val="004630B6"/>
    <w:rsid w:val="00463106"/>
    <w:rsid w:val="004642E4"/>
    <w:rsid w:val="00466A30"/>
    <w:rsid w:val="00467F5B"/>
    <w:rsid w:val="00472F97"/>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021A"/>
    <w:rsid w:val="0049165E"/>
    <w:rsid w:val="004923A9"/>
    <w:rsid w:val="00494337"/>
    <w:rsid w:val="00495F7C"/>
    <w:rsid w:val="004976D5"/>
    <w:rsid w:val="004A081A"/>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C52BD"/>
    <w:rsid w:val="004D1A31"/>
    <w:rsid w:val="004D1A91"/>
    <w:rsid w:val="004D2123"/>
    <w:rsid w:val="004D262A"/>
    <w:rsid w:val="004D2C6F"/>
    <w:rsid w:val="004D2E01"/>
    <w:rsid w:val="004D3237"/>
    <w:rsid w:val="004D3FD6"/>
    <w:rsid w:val="004D4E89"/>
    <w:rsid w:val="004D635C"/>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7126"/>
    <w:rsid w:val="00537A72"/>
    <w:rsid w:val="005405F8"/>
    <w:rsid w:val="00542EAE"/>
    <w:rsid w:val="00546878"/>
    <w:rsid w:val="005509BE"/>
    <w:rsid w:val="00560E18"/>
    <w:rsid w:val="005615BB"/>
    <w:rsid w:val="005621E7"/>
    <w:rsid w:val="00562B7E"/>
    <w:rsid w:val="00563355"/>
    <w:rsid w:val="00571E81"/>
    <w:rsid w:val="00573FF9"/>
    <w:rsid w:val="005743CA"/>
    <w:rsid w:val="005755B7"/>
    <w:rsid w:val="00576B16"/>
    <w:rsid w:val="00577427"/>
    <w:rsid w:val="005808E5"/>
    <w:rsid w:val="005875A9"/>
    <w:rsid w:val="00593C34"/>
    <w:rsid w:val="005949BC"/>
    <w:rsid w:val="005971D5"/>
    <w:rsid w:val="005A07CF"/>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403"/>
    <w:rsid w:val="006041A4"/>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1BE"/>
    <w:rsid w:val="00680421"/>
    <w:rsid w:val="0068069C"/>
    <w:rsid w:val="00681B06"/>
    <w:rsid w:val="006858DA"/>
    <w:rsid w:val="00686C3F"/>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1AE9"/>
    <w:rsid w:val="007237D1"/>
    <w:rsid w:val="007241D4"/>
    <w:rsid w:val="00724D82"/>
    <w:rsid w:val="00730BF2"/>
    <w:rsid w:val="00732A6F"/>
    <w:rsid w:val="007351A5"/>
    <w:rsid w:val="0074214D"/>
    <w:rsid w:val="00742764"/>
    <w:rsid w:val="00745456"/>
    <w:rsid w:val="00746E92"/>
    <w:rsid w:val="00750950"/>
    <w:rsid w:val="00751452"/>
    <w:rsid w:val="0075156A"/>
    <w:rsid w:val="00751D8C"/>
    <w:rsid w:val="00751F90"/>
    <w:rsid w:val="00752EF6"/>
    <w:rsid w:val="00754BDD"/>
    <w:rsid w:val="007619C5"/>
    <w:rsid w:val="00761B26"/>
    <w:rsid w:val="00761C35"/>
    <w:rsid w:val="00762178"/>
    <w:rsid w:val="00765F62"/>
    <w:rsid w:val="00766026"/>
    <w:rsid w:val="00772025"/>
    <w:rsid w:val="007726C0"/>
    <w:rsid w:val="007744FD"/>
    <w:rsid w:val="00775AB7"/>
    <w:rsid w:val="00776B34"/>
    <w:rsid w:val="00781088"/>
    <w:rsid w:val="00781AA0"/>
    <w:rsid w:val="00781CF7"/>
    <w:rsid w:val="00781D24"/>
    <w:rsid w:val="00782DE8"/>
    <w:rsid w:val="00786D45"/>
    <w:rsid w:val="00787202"/>
    <w:rsid w:val="00792E10"/>
    <w:rsid w:val="0079383D"/>
    <w:rsid w:val="007A006B"/>
    <w:rsid w:val="007A1D60"/>
    <w:rsid w:val="007A34D1"/>
    <w:rsid w:val="007A5BDB"/>
    <w:rsid w:val="007A7102"/>
    <w:rsid w:val="007B165A"/>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D50AA"/>
    <w:rsid w:val="007E1175"/>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18FA"/>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5C8D"/>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2941"/>
    <w:rsid w:val="00893C08"/>
    <w:rsid w:val="008942FC"/>
    <w:rsid w:val="0089562F"/>
    <w:rsid w:val="008957BF"/>
    <w:rsid w:val="00895BE0"/>
    <w:rsid w:val="0089629F"/>
    <w:rsid w:val="008A082A"/>
    <w:rsid w:val="008A32BD"/>
    <w:rsid w:val="008A389B"/>
    <w:rsid w:val="008A4DF4"/>
    <w:rsid w:val="008B0321"/>
    <w:rsid w:val="008B0950"/>
    <w:rsid w:val="008B1DA9"/>
    <w:rsid w:val="008B23D4"/>
    <w:rsid w:val="008B2EE6"/>
    <w:rsid w:val="008B571D"/>
    <w:rsid w:val="008B6162"/>
    <w:rsid w:val="008C3710"/>
    <w:rsid w:val="008C3EBC"/>
    <w:rsid w:val="008C4AE0"/>
    <w:rsid w:val="008C57F6"/>
    <w:rsid w:val="008C68A7"/>
    <w:rsid w:val="008C7019"/>
    <w:rsid w:val="008D25BA"/>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3A4A"/>
    <w:rsid w:val="00914A6E"/>
    <w:rsid w:val="0091544C"/>
    <w:rsid w:val="00921D03"/>
    <w:rsid w:val="00921DE6"/>
    <w:rsid w:val="00925CD2"/>
    <w:rsid w:val="00932559"/>
    <w:rsid w:val="00933065"/>
    <w:rsid w:val="00933569"/>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915BE"/>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3DBC"/>
    <w:rsid w:val="009E6174"/>
    <w:rsid w:val="009F1DC7"/>
    <w:rsid w:val="009F211E"/>
    <w:rsid w:val="009F2572"/>
    <w:rsid w:val="009F294E"/>
    <w:rsid w:val="009F30F1"/>
    <w:rsid w:val="009F37C7"/>
    <w:rsid w:val="009F50AB"/>
    <w:rsid w:val="00A005F6"/>
    <w:rsid w:val="00A03986"/>
    <w:rsid w:val="00A0424F"/>
    <w:rsid w:val="00A051FB"/>
    <w:rsid w:val="00A0659C"/>
    <w:rsid w:val="00A07164"/>
    <w:rsid w:val="00A10039"/>
    <w:rsid w:val="00A100BA"/>
    <w:rsid w:val="00A103FF"/>
    <w:rsid w:val="00A121B5"/>
    <w:rsid w:val="00A16C6E"/>
    <w:rsid w:val="00A17DB2"/>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0EED"/>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1A6C"/>
    <w:rsid w:val="00AE287F"/>
    <w:rsid w:val="00AE39F3"/>
    <w:rsid w:val="00AE4006"/>
    <w:rsid w:val="00AE4875"/>
    <w:rsid w:val="00AE5118"/>
    <w:rsid w:val="00AE63BD"/>
    <w:rsid w:val="00AF0B2B"/>
    <w:rsid w:val="00AF20DB"/>
    <w:rsid w:val="00AF2914"/>
    <w:rsid w:val="00AF2CD5"/>
    <w:rsid w:val="00AF345A"/>
    <w:rsid w:val="00AF363F"/>
    <w:rsid w:val="00AF3E40"/>
    <w:rsid w:val="00AF3E4F"/>
    <w:rsid w:val="00AF71E5"/>
    <w:rsid w:val="00B00DA5"/>
    <w:rsid w:val="00B0321E"/>
    <w:rsid w:val="00B0366D"/>
    <w:rsid w:val="00B071FF"/>
    <w:rsid w:val="00B110BC"/>
    <w:rsid w:val="00B11505"/>
    <w:rsid w:val="00B1182B"/>
    <w:rsid w:val="00B11DC2"/>
    <w:rsid w:val="00B13CEE"/>
    <w:rsid w:val="00B15142"/>
    <w:rsid w:val="00B16F69"/>
    <w:rsid w:val="00B1789D"/>
    <w:rsid w:val="00B207DD"/>
    <w:rsid w:val="00B20DD8"/>
    <w:rsid w:val="00B21CA9"/>
    <w:rsid w:val="00B223FE"/>
    <w:rsid w:val="00B3161A"/>
    <w:rsid w:val="00B3208F"/>
    <w:rsid w:val="00B3260E"/>
    <w:rsid w:val="00B36F2F"/>
    <w:rsid w:val="00B413BD"/>
    <w:rsid w:val="00B42807"/>
    <w:rsid w:val="00B428A6"/>
    <w:rsid w:val="00B43340"/>
    <w:rsid w:val="00B4461C"/>
    <w:rsid w:val="00B46D68"/>
    <w:rsid w:val="00B53913"/>
    <w:rsid w:val="00B53F29"/>
    <w:rsid w:val="00B554D4"/>
    <w:rsid w:val="00B5572D"/>
    <w:rsid w:val="00B55F3A"/>
    <w:rsid w:val="00B56906"/>
    <w:rsid w:val="00B569F1"/>
    <w:rsid w:val="00B6007E"/>
    <w:rsid w:val="00B61484"/>
    <w:rsid w:val="00B6179E"/>
    <w:rsid w:val="00B62B08"/>
    <w:rsid w:val="00B664E5"/>
    <w:rsid w:val="00B71116"/>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4139"/>
    <w:rsid w:val="00C0476F"/>
    <w:rsid w:val="00C0572E"/>
    <w:rsid w:val="00C1108E"/>
    <w:rsid w:val="00C128C6"/>
    <w:rsid w:val="00C14A51"/>
    <w:rsid w:val="00C14B1A"/>
    <w:rsid w:val="00C15C65"/>
    <w:rsid w:val="00C163C1"/>
    <w:rsid w:val="00C16519"/>
    <w:rsid w:val="00C16C1D"/>
    <w:rsid w:val="00C17853"/>
    <w:rsid w:val="00C17EE4"/>
    <w:rsid w:val="00C21656"/>
    <w:rsid w:val="00C21B3D"/>
    <w:rsid w:val="00C24267"/>
    <w:rsid w:val="00C243E6"/>
    <w:rsid w:val="00C24875"/>
    <w:rsid w:val="00C26FA6"/>
    <w:rsid w:val="00C2742C"/>
    <w:rsid w:val="00C2788D"/>
    <w:rsid w:val="00C31D37"/>
    <w:rsid w:val="00C33398"/>
    <w:rsid w:val="00C34388"/>
    <w:rsid w:val="00C34C5B"/>
    <w:rsid w:val="00C361F6"/>
    <w:rsid w:val="00C3669A"/>
    <w:rsid w:val="00C371D5"/>
    <w:rsid w:val="00C423E3"/>
    <w:rsid w:val="00C428AB"/>
    <w:rsid w:val="00C44BAC"/>
    <w:rsid w:val="00C45626"/>
    <w:rsid w:val="00C458AF"/>
    <w:rsid w:val="00C460A0"/>
    <w:rsid w:val="00C46244"/>
    <w:rsid w:val="00C4720D"/>
    <w:rsid w:val="00C47768"/>
    <w:rsid w:val="00C50068"/>
    <w:rsid w:val="00C50180"/>
    <w:rsid w:val="00C50F69"/>
    <w:rsid w:val="00C51C4B"/>
    <w:rsid w:val="00C51EE9"/>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64C"/>
    <w:rsid w:val="00CC585C"/>
    <w:rsid w:val="00CD0D1D"/>
    <w:rsid w:val="00CD1673"/>
    <w:rsid w:val="00CD1721"/>
    <w:rsid w:val="00CD25F1"/>
    <w:rsid w:val="00CD4DDC"/>
    <w:rsid w:val="00CD6106"/>
    <w:rsid w:val="00CD6592"/>
    <w:rsid w:val="00CD7F5E"/>
    <w:rsid w:val="00CE0808"/>
    <w:rsid w:val="00CE2A6C"/>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3D0"/>
    <w:rsid w:val="00D336A4"/>
    <w:rsid w:val="00D33A54"/>
    <w:rsid w:val="00D34AFB"/>
    <w:rsid w:val="00D352EE"/>
    <w:rsid w:val="00D35A03"/>
    <w:rsid w:val="00D3725D"/>
    <w:rsid w:val="00D37377"/>
    <w:rsid w:val="00D41830"/>
    <w:rsid w:val="00D42B27"/>
    <w:rsid w:val="00D45B8C"/>
    <w:rsid w:val="00D56058"/>
    <w:rsid w:val="00D567E0"/>
    <w:rsid w:val="00D56A09"/>
    <w:rsid w:val="00D57976"/>
    <w:rsid w:val="00D61F2D"/>
    <w:rsid w:val="00D630DE"/>
    <w:rsid w:val="00D6371A"/>
    <w:rsid w:val="00D63DBC"/>
    <w:rsid w:val="00D645C6"/>
    <w:rsid w:val="00D6548A"/>
    <w:rsid w:val="00D65571"/>
    <w:rsid w:val="00D65905"/>
    <w:rsid w:val="00D65A71"/>
    <w:rsid w:val="00D66C66"/>
    <w:rsid w:val="00D67355"/>
    <w:rsid w:val="00D712C3"/>
    <w:rsid w:val="00D71B03"/>
    <w:rsid w:val="00D7327A"/>
    <w:rsid w:val="00D743C0"/>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6C28"/>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D43F6"/>
    <w:rsid w:val="00DE130A"/>
    <w:rsid w:val="00DE1F21"/>
    <w:rsid w:val="00DE3369"/>
    <w:rsid w:val="00DE33DB"/>
    <w:rsid w:val="00DE38B2"/>
    <w:rsid w:val="00DF2C9A"/>
    <w:rsid w:val="00DF32E5"/>
    <w:rsid w:val="00DF5291"/>
    <w:rsid w:val="00DF6AC1"/>
    <w:rsid w:val="00DF7A1E"/>
    <w:rsid w:val="00E010C4"/>
    <w:rsid w:val="00E03EBC"/>
    <w:rsid w:val="00E05572"/>
    <w:rsid w:val="00E06927"/>
    <w:rsid w:val="00E06AB6"/>
    <w:rsid w:val="00E10D04"/>
    <w:rsid w:val="00E1217F"/>
    <w:rsid w:val="00E15106"/>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59AB"/>
    <w:rsid w:val="00E56D64"/>
    <w:rsid w:val="00E57446"/>
    <w:rsid w:val="00E61081"/>
    <w:rsid w:val="00E61788"/>
    <w:rsid w:val="00E65B18"/>
    <w:rsid w:val="00E65B9D"/>
    <w:rsid w:val="00E66F5D"/>
    <w:rsid w:val="00E676E7"/>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2E60"/>
    <w:rsid w:val="00E949F8"/>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81C"/>
    <w:rsid w:val="00ED2A04"/>
    <w:rsid w:val="00ED370F"/>
    <w:rsid w:val="00ED3804"/>
    <w:rsid w:val="00ED39D5"/>
    <w:rsid w:val="00ED3B36"/>
    <w:rsid w:val="00ED46B4"/>
    <w:rsid w:val="00EE21F2"/>
    <w:rsid w:val="00EE50EE"/>
    <w:rsid w:val="00EE55F9"/>
    <w:rsid w:val="00EE62A5"/>
    <w:rsid w:val="00EE63DE"/>
    <w:rsid w:val="00EE64F9"/>
    <w:rsid w:val="00EF00EA"/>
    <w:rsid w:val="00EF0CBA"/>
    <w:rsid w:val="00EF34E1"/>
    <w:rsid w:val="00EF3688"/>
    <w:rsid w:val="00EF36A0"/>
    <w:rsid w:val="00EF524C"/>
    <w:rsid w:val="00EF6CC3"/>
    <w:rsid w:val="00F00D0F"/>
    <w:rsid w:val="00F0109E"/>
    <w:rsid w:val="00F03A0B"/>
    <w:rsid w:val="00F11454"/>
    <w:rsid w:val="00F12E5A"/>
    <w:rsid w:val="00F2125A"/>
    <w:rsid w:val="00F21B1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2115"/>
    <w:rsid w:val="00F57AFC"/>
    <w:rsid w:val="00F619FE"/>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625E"/>
    <w:rsid w:val="00FA6B1E"/>
    <w:rsid w:val="00FA72B9"/>
    <w:rsid w:val="00FB4165"/>
    <w:rsid w:val="00FB48E1"/>
    <w:rsid w:val="00FB59A0"/>
    <w:rsid w:val="00FC1484"/>
    <w:rsid w:val="00FC1792"/>
    <w:rsid w:val="00FC1944"/>
    <w:rsid w:val="00FC42BD"/>
    <w:rsid w:val="00FC6D12"/>
    <w:rsid w:val="00FD2E9B"/>
    <w:rsid w:val="00FD378D"/>
    <w:rsid w:val="00FD41A2"/>
    <w:rsid w:val="00FE065B"/>
    <w:rsid w:val="00FE06D8"/>
    <w:rsid w:val="00FE17D2"/>
    <w:rsid w:val="00FE2BF0"/>
    <w:rsid w:val="00FE43C6"/>
    <w:rsid w:val="00FE60F7"/>
    <w:rsid w:val="00FE78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2003v6SApg1" TargetMode="External"/><Relationship Id="rId1" Type="http://schemas.openxmlformats.org/officeDocument/2006/relationships/hyperlink" Target="https://app.jutastatevolve.co.za/y1949v2SApg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293F5-7B63-4E4A-BA20-F2A163F7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2</TotalTime>
  <Pages>10</Pages>
  <Words>2379</Words>
  <Characters>13565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 sarshan  mohan</cp:lastModifiedBy>
  <cp:revision>3</cp:revision>
  <cp:lastPrinted>2023-08-22T07:45:00Z</cp:lastPrinted>
  <dcterms:created xsi:type="dcterms:W3CDTF">2024-03-06T06:53:00Z</dcterms:created>
  <dcterms:modified xsi:type="dcterms:W3CDTF">2024-03-06T13:03:00Z</dcterms:modified>
</cp:coreProperties>
</file>