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1421" w14:textId="1F039A82" w:rsidR="006C43D7" w:rsidRPr="00033E38" w:rsidRDefault="00AD3D5D" w:rsidP="006F0330">
      <w:pPr>
        <w:spacing w:after="120" w:line="360" w:lineRule="auto"/>
        <w:jc w:val="center"/>
        <w:rPr>
          <w:rFonts w:cs="Arial"/>
          <w:b/>
          <w:bCs/>
          <w:szCs w:val="22"/>
        </w:rPr>
      </w:pPr>
      <w:r w:rsidRPr="00033E38">
        <w:rPr>
          <w:rFonts w:cs="Arial"/>
          <w:b/>
          <w:bCs/>
          <w:szCs w:val="22"/>
        </w:rPr>
        <w:t xml:space="preserve"> </w:t>
      </w:r>
      <w:r w:rsidR="006C43D7" w:rsidRPr="00033E38">
        <w:rPr>
          <w:rFonts w:cs="Arial"/>
          <w:b/>
          <w:bCs/>
          <w:noProof/>
          <w:szCs w:val="22"/>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033E38" w:rsidRDefault="006C43D7" w:rsidP="00C74E97">
      <w:pPr>
        <w:spacing w:line="360" w:lineRule="auto"/>
        <w:jc w:val="center"/>
        <w:rPr>
          <w:rFonts w:cs="Arial"/>
          <w:b/>
          <w:szCs w:val="22"/>
        </w:rPr>
      </w:pPr>
      <w:r w:rsidRPr="00033E38">
        <w:rPr>
          <w:rFonts w:cs="Arial"/>
          <w:b/>
          <w:szCs w:val="22"/>
        </w:rPr>
        <w:t xml:space="preserve">IN THE HIGH COURT OF SOUTH AFRICA, </w:t>
      </w:r>
    </w:p>
    <w:p w14:paraId="566C4D1B" w14:textId="77777777" w:rsidR="006C43D7" w:rsidRPr="00033E38" w:rsidRDefault="006C43D7" w:rsidP="00C74E97">
      <w:pPr>
        <w:spacing w:line="360" w:lineRule="auto"/>
        <w:jc w:val="center"/>
        <w:rPr>
          <w:rFonts w:cs="Arial"/>
          <w:b/>
          <w:szCs w:val="22"/>
        </w:rPr>
      </w:pPr>
      <w:r w:rsidRPr="00033E38">
        <w:rPr>
          <w:rFonts w:cs="Arial"/>
          <w:b/>
          <w:szCs w:val="22"/>
        </w:rPr>
        <w:t>GAUTENG DIVISION, JOHANNESBURG</w:t>
      </w:r>
    </w:p>
    <w:p w14:paraId="13D6E83E" w14:textId="77777777" w:rsidR="006C43D7" w:rsidRPr="00033E38" w:rsidRDefault="006C43D7" w:rsidP="00C74E97">
      <w:pPr>
        <w:spacing w:line="360" w:lineRule="auto"/>
        <w:jc w:val="both"/>
        <w:rPr>
          <w:rFonts w:cs="Arial"/>
          <w:b/>
          <w:szCs w:val="22"/>
        </w:rPr>
      </w:pPr>
    </w:p>
    <w:p w14:paraId="0AF8DD38" w14:textId="44F85251" w:rsidR="006C43D7" w:rsidRPr="00033E38" w:rsidRDefault="00F913C7" w:rsidP="00C74E97">
      <w:pPr>
        <w:spacing w:line="360" w:lineRule="auto"/>
        <w:jc w:val="right"/>
        <w:rPr>
          <w:rFonts w:cs="Arial"/>
          <w:b/>
          <w:szCs w:val="22"/>
        </w:rPr>
      </w:pPr>
      <w:r w:rsidRPr="00033E38">
        <w:rPr>
          <w:rFonts w:cs="Arial"/>
          <w:b/>
          <w:szCs w:val="22"/>
        </w:rPr>
        <w:t xml:space="preserve">CASE NO: </w:t>
      </w:r>
      <w:r w:rsidR="00AF3E40" w:rsidRPr="00033E38">
        <w:rPr>
          <w:rFonts w:cs="Arial"/>
          <w:noProof/>
          <w:szCs w:val="22"/>
          <w:lang w:eastAsia="en-ZA"/>
        </w:rPr>
        <mc:AlternateContent>
          <mc:Choice Requires="wps">
            <w:drawing>
              <wp:anchor distT="0" distB="0" distL="114300" distR="114300" simplePos="0" relativeHeight="251659264" behindDoc="0" locked="0" layoutInCell="1" allowOverlap="1" wp14:anchorId="2491E7FC" wp14:editId="117D675B">
                <wp:simplePos x="0" y="0"/>
                <wp:positionH relativeFrom="margin">
                  <wp:align>left</wp:align>
                </wp:positionH>
                <wp:positionV relativeFrom="paragraph">
                  <wp:posOffset>49530</wp:posOffset>
                </wp:positionV>
                <wp:extent cx="3314700" cy="1592580"/>
                <wp:effectExtent l="0" t="0" r="0" b="7620"/>
                <wp:wrapNone/>
                <wp:docPr id="9397800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8E2A22" w:rsidRDefault="00893C08" w:rsidP="006C43D7">
                            <w:pPr>
                              <w:jc w:val="center"/>
                              <w:rPr>
                                <w:rFonts w:ascii="Century Gothic" w:hAnsi="Century Gothic"/>
                                <w:b/>
                                <w:sz w:val="19"/>
                                <w:szCs w:val="19"/>
                              </w:rPr>
                            </w:pPr>
                          </w:p>
                          <w:p w14:paraId="01FDAE28" w14:textId="4AFCCE15" w:rsidR="00893C08" w:rsidRPr="008E2A22" w:rsidRDefault="009B44D1" w:rsidP="009B44D1">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62F0CD31" w:rsidR="00893C08" w:rsidRPr="008E2A22" w:rsidRDefault="009B44D1" w:rsidP="009B44D1">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1E7FC"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8EGAIAACwEAAAOAAAAZHJzL2Uyb0RvYy54bWysU9tu2zAMfR+wfxD0vthJkzUx4hRdugwD&#10;ugvQ7QMUWY6FyaJGKbGzry8lp2nQbS/D9CCIInVEHh4ub/rWsINCr8GWfDzKOVNWQqXtruTfv23e&#10;zDn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">
                <v:textbox>
                  <w:txbxContent>
                    <w:p w14:paraId="0EA4B470" w14:textId="77777777" w:rsidR="00893C08" w:rsidRPr="008E2A22" w:rsidRDefault="00893C08" w:rsidP="006C43D7">
                      <w:pPr>
                        <w:jc w:val="center"/>
                        <w:rPr>
                          <w:rFonts w:ascii="Century Gothic" w:hAnsi="Century Gothic"/>
                          <w:b/>
                          <w:sz w:val="19"/>
                          <w:szCs w:val="19"/>
                        </w:rPr>
                      </w:pPr>
                    </w:p>
                    <w:p w14:paraId="01FDAE28" w14:textId="4AFCCE15" w:rsidR="00893C08" w:rsidRPr="008E2A22" w:rsidRDefault="009B44D1" w:rsidP="009B44D1">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62F0CD31" w:rsidR="00893C08" w:rsidRPr="008E2A22" w:rsidRDefault="009B44D1" w:rsidP="009B44D1">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v:textbox>
                <w10:wrap anchorx="margin"/>
              </v:shape>
            </w:pict>
          </mc:Fallback>
        </mc:AlternateContent>
      </w:r>
      <w:r w:rsidR="00236E47" w:rsidRPr="00033E38">
        <w:rPr>
          <w:rFonts w:cs="Arial"/>
          <w:b/>
          <w:szCs w:val="22"/>
        </w:rPr>
        <w:t>202</w:t>
      </w:r>
      <w:r w:rsidR="00A90D0A" w:rsidRPr="00033E38">
        <w:rPr>
          <w:rFonts w:cs="Arial"/>
          <w:b/>
          <w:szCs w:val="22"/>
        </w:rPr>
        <w:t>2</w:t>
      </w:r>
      <w:r w:rsidR="00515FD8" w:rsidRPr="00033E38">
        <w:rPr>
          <w:rFonts w:cs="Arial"/>
          <w:b/>
          <w:szCs w:val="22"/>
        </w:rPr>
        <w:t xml:space="preserve"> - </w:t>
      </w:r>
      <w:r w:rsidR="00A90D0A" w:rsidRPr="00033E38">
        <w:rPr>
          <w:rFonts w:cs="Arial"/>
          <w:b/>
          <w:szCs w:val="22"/>
        </w:rPr>
        <w:t>033617</w:t>
      </w:r>
    </w:p>
    <w:p w14:paraId="084B5ECD" w14:textId="77777777" w:rsidR="006C43D7" w:rsidRPr="00033E38" w:rsidRDefault="006C43D7" w:rsidP="00C74E97">
      <w:pPr>
        <w:spacing w:line="360" w:lineRule="auto"/>
        <w:jc w:val="both"/>
        <w:rPr>
          <w:rFonts w:cs="Arial"/>
          <w:szCs w:val="22"/>
        </w:rPr>
      </w:pPr>
    </w:p>
    <w:p w14:paraId="4E808D74" w14:textId="77777777" w:rsidR="006C43D7" w:rsidRPr="00033E38" w:rsidRDefault="006C43D7" w:rsidP="00C74E97">
      <w:pPr>
        <w:spacing w:line="360" w:lineRule="auto"/>
        <w:jc w:val="both"/>
        <w:rPr>
          <w:rFonts w:cs="Arial"/>
          <w:szCs w:val="22"/>
        </w:rPr>
      </w:pPr>
    </w:p>
    <w:p w14:paraId="34BF70B6" w14:textId="77777777" w:rsidR="006C43D7" w:rsidRPr="00033E38" w:rsidRDefault="006C43D7" w:rsidP="00C74E97">
      <w:pPr>
        <w:spacing w:line="360" w:lineRule="auto"/>
        <w:jc w:val="both"/>
        <w:rPr>
          <w:rFonts w:cs="Arial"/>
          <w:szCs w:val="22"/>
        </w:rPr>
      </w:pPr>
    </w:p>
    <w:p w14:paraId="2F53BA3A" w14:textId="7CE26CA8" w:rsidR="006C43D7" w:rsidRPr="00033E38" w:rsidRDefault="00C56E55" w:rsidP="00C74E97">
      <w:pPr>
        <w:spacing w:line="360" w:lineRule="auto"/>
        <w:jc w:val="both"/>
        <w:rPr>
          <w:rFonts w:cs="Arial"/>
          <w:szCs w:val="22"/>
        </w:rPr>
      </w:pPr>
      <w:r w:rsidRPr="00033E38">
        <w:rPr>
          <w:rFonts w:cs="Arial"/>
          <w:szCs w:val="22"/>
        </w:rPr>
        <w:t xml:space="preserve">                        </w:t>
      </w:r>
    </w:p>
    <w:p w14:paraId="3A1C212E" w14:textId="77777777" w:rsidR="006C43D7" w:rsidRPr="00033E38" w:rsidRDefault="006C43D7" w:rsidP="00C74E97">
      <w:pPr>
        <w:spacing w:line="360" w:lineRule="auto"/>
        <w:jc w:val="both"/>
        <w:rPr>
          <w:rFonts w:cs="Arial"/>
          <w:szCs w:val="22"/>
        </w:rPr>
      </w:pPr>
    </w:p>
    <w:p w14:paraId="04919B1B" w14:textId="77777777" w:rsidR="001D3CC2" w:rsidRPr="00033E38" w:rsidRDefault="001D3CC2" w:rsidP="00C74E97">
      <w:pPr>
        <w:spacing w:line="360" w:lineRule="auto"/>
        <w:jc w:val="both"/>
        <w:rPr>
          <w:rFonts w:cs="Arial"/>
          <w:szCs w:val="22"/>
        </w:rPr>
      </w:pPr>
    </w:p>
    <w:p w14:paraId="045D3852" w14:textId="77777777" w:rsidR="00E57446" w:rsidRPr="00033E38" w:rsidRDefault="00E57446" w:rsidP="00C74E97">
      <w:pPr>
        <w:spacing w:line="360" w:lineRule="auto"/>
        <w:jc w:val="both"/>
        <w:rPr>
          <w:rFonts w:cs="Arial"/>
          <w:szCs w:val="22"/>
        </w:rPr>
      </w:pPr>
    </w:p>
    <w:p w14:paraId="2804C32A" w14:textId="6C8D50AF" w:rsidR="00E57446" w:rsidRPr="00033E38" w:rsidRDefault="00E57446" w:rsidP="00C74E97">
      <w:pPr>
        <w:spacing w:line="360" w:lineRule="auto"/>
        <w:jc w:val="both"/>
        <w:rPr>
          <w:rFonts w:cs="Arial"/>
          <w:szCs w:val="22"/>
        </w:rPr>
      </w:pPr>
      <w:r w:rsidRPr="00033E38">
        <w:rPr>
          <w:rFonts w:cs="Arial"/>
          <w:szCs w:val="22"/>
        </w:rPr>
        <w:t>In the application by</w:t>
      </w:r>
    </w:p>
    <w:p w14:paraId="4521E045" w14:textId="77777777" w:rsidR="00D33A54" w:rsidRPr="00033E38" w:rsidRDefault="00D33A54" w:rsidP="00C74E97">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3"/>
        <w:gridCol w:w="2318"/>
      </w:tblGrid>
      <w:tr w:rsidR="00E57446" w:rsidRPr="00033E38" w14:paraId="4CBFF906" w14:textId="77777777" w:rsidTr="00675FE2">
        <w:tc>
          <w:tcPr>
            <w:tcW w:w="6223" w:type="dxa"/>
          </w:tcPr>
          <w:p w14:paraId="07466740" w14:textId="3E4329A2" w:rsidR="00303DD4" w:rsidRPr="00033E38" w:rsidRDefault="00A90D0A" w:rsidP="00675FE2">
            <w:pPr>
              <w:tabs>
                <w:tab w:val="right" w:pos="9070"/>
              </w:tabs>
              <w:spacing w:before="120"/>
              <w:rPr>
                <w:rFonts w:cs="Arial"/>
                <w:b/>
                <w:szCs w:val="22"/>
              </w:rPr>
            </w:pPr>
            <w:r w:rsidRPr="00033E38">
              <w:rPr>
                <w:rFonts w:cs="Arial"/>
                <w:b/>
                <w:szCs w:val="22"/>
              </w:rPr>
              <w:t>VUKILE PROPERTY FUND L</w:t>
            </w:r>
            <w:r w:rsidR="0073142E">
              <w:rPr>
                <w:rFonts w:cs="Arial"/>
                <w:b/>
                <w:szCs w:val="22"/>
              </w:rPr>
              <w:t xml:space="preserve"> </w:t>
            </w:r>
            <w:r w:rsidRPr="00033E38">
              <w:rPr>
                <w:rFonts w:cs="Arial"/>
                <w:b/>
                <w:szCs w:val="22"/>
              </w:rPr>
              <w:t>TD</w:t>
            </w:r>
          </w:p>
        </w:tc>
        <w:tc>
          <w:tcPr>
            <w:tcW w:w="2318" w:type="dxa"/>
          </w:tcPr>
          <w:p w14:paraId="32F3C456" w14:textId="203400FC" w:rsidR="00E57446" w:rsidRPr="00033E38" w:rsidRDefault="00303DD4" w:rsidP="00675FE2">
            <w:pPr>
              <w:spacing w:before="120"/>
              <w:rPr>
                <w:rFonts w:cs="Arial"/>
                <w:szCs w:val="22"/>
              </w:rPr>
            </w:pPr>
            <w:r w:rsidRPr="00033E38">
              <w:rPr>
                <w:rFonts w:cs="Arial"/>
                <w:szCs w:val="22"/>
              </w:rPr>
              <w:t>Plaintiff</w:t>
            </w:r>
          </w:p>
        </w:tc>
      </w:tr>
      <w:tr w:rsidR="000F00EF" w:rsidRPr="00033E38" w14:paraId="5E2E11F1" w14:textId="77777777" w:rsidTr="00675FE2">
        <w:tc>
          <w:tcPr>
            <w:tcW w:w="6223" w:type="dxa"/>
          </w:tcPr>
          <w:p w14:paraId="78871FDE" w14:textId="77777777" w:rsidR="00A90D0A" w:rsidRPr="00033E38" w:rsidRDefault="00A90D0A" w:rsidP="00675FE2">
            <w:pPr>
              <w:tabs>
                <w:tab w:val="right" w:pos="9070"/>
              </w:tabs>
              <w:spacing w:before="120"/>
              <w:rPr>
                <w:rFonts w:cs="Arial"/>
                <w:i/>
                <w:iCs/>
                <w:szCs w:val="22"/>
              </w:rPr>
            </w:pPr>
          </w:p>
          <w:p w14:paraId="3F07C8A3" w14:textId="675665AA" w:rsidR="008A32BD" w:rsidRPr="00033E38" w:rsidRDefault="00675FE2" w:rsidP="00675FE2">
            <w:pPr>
              <w:tabs>
                <w:tab w:val="right" w:pos="9070"/>
              </w:tabs>
              <w:spacing w:before="120"/>
              <w:rPr>
                <w:rFonts w:cs="Arial"/>
                <w:i/>
                <w:iCs/>
                <w:szCs w:val="22"/>
              </w:rPr>
            </w:pPr>
            <w:r w:rsidRPr="00033E38">
              <w:rPr>
                <w:rFonts w:cs="Arial"/>
                <w:i/>
                <w:iCs/>
                <w:szCs w:val="22"/>
              </w:rPr>
              <w:t>and</w:t>
            </w:r>
          </w:p>
          <w:p w14:paraId="3E1783E7" w14:textId="02B975B6" w:rsidR="008A32BD" w:rsidRPr="00033E38" w:rsidRDefault="008A32BD" w:rsidP="00675FE2">
            <w:pPr>
              <w:tabs>
                <w:tab w:val="right" w:pos="9070"/>
              </w:tabs>
              <w:spacing w:before="120"/>
              <w:rPr>
                <w:rFonts w:cs="Arial"/>
                <w:b/>
                <w:bCs/>
                <w:szCs w:val="22"/>
              </w:rPr>
            </w:pPr>
          </w:p>
        </w:tc>
        <w:tc>
          <w:tcPr>
            <w:tcW w:w="2318" w:type="dxa"/>
          </w:tcPr>
          <w:p w14:paraId="272C00F9" w14:textId="569B34C1" w:rsidR="00430142" w:rsidRPr="00033E38" w:rsidRDefault="00430142" w:rsidP="00675FE2">
            <w:pPr>
              <w:spacing w:before="120"/>
              <w:rPr>
                <w:rFonts w:cs="Arial"/>
                <w:szCs w:val="22"/>
              </w:rPr>
            </w:pPr>
          </w:p>
        </w:tc>
      </w:tr>
      <w:tr w:rsidR="00430142" w:rsidRPr="00033E38" w14:paraId="3EB57834" w14:textId="77777777" w:rsidTr="00675FE2">
        <w:tc>
          <w:tcPr>
            <w:tcW w:w="6223" w:type="dxa"/>
          </w:tcPr>
          <w:p w14:paraId="12D66C38" w14:textId="3591FEDF" w:rsidR="00E37B97" w:rsidRPr="00033E38" w:rsidRDefault="00A90D0A" w:rsidP="00675FE2">
            <w:pPr>
              <w:tabs>
                <w:tab w:val="center" w:pos="3003"/>
              </w:tabs>
              <w:spacing w:before="120"/>
              <w:rPr>
                <w:rFonts w:cs="Arial"/>
                <w:b/>
                <w:snapToGrid w:val="0"/>
                <w:spacing w:val="-3"/>
                <w:szCs w:val="22"/>
              </w:rPr>
            </w:pPr>
            <w:r w:rsidRPr="00033E38">
              <w:rPr>
                <w:rFonts w:cs="Arial"/>
                <w:b/>
                <w:snapToGrid w:val="0"/>
                <w:spacing w:val="-3"/>
                <w:szCs w:val="22"/>
              </w:rPr>
              <w:t>NALEDI BAKERIES CC (2000/008994/23)</w:t>
            </w:r>
          </w:p>
        </w:tc>
        <w:tc>
          <w:tcPr>
            <w:tcW w:w="2318" w:type="dxa"/>
          </w:tcPr>
          <w:p w14:paraId="47024FA0" w14:textId="66528EAB" w:rsidR="00E37B97" w:rsidRPr="00033E38" w:rsidRDefault="00675FE2" w:rsidP="00675FE2">
            <w:pPr>
              <w:spacing w:before="120"/>
              <w:rPr>
                <w:rFonts w:cs="Arial"/>
                <w:szCs w:val="22"/>
              </w:rPr>
            </w:pPr>
            <w:r w:rsidRPr="00033E38">
              <w:rPr>
                <w:rFonts w:cs="Arial"/>
                <w:szCs w:val="22"/>
              </w:rPr>
              <w:t>First Defendant</w:t>
            </w:r>
          </w:p>
        </w:tc>
      </w:tr>
      <w:tr w:rsidR="00430142" w:rsidRPr="00033E38" w14:paraId="2EAC63E5" w14:textId="77777777" w:rsidTr="00675FE2">
        <w:tc>
          <w:tcPr>
            <w:tcW w:w="6223" w:type="dxa"/>
          </w:tcPr>
          <w:p w14:paraId="63062862" w14:textId="2EF00C00" w:rsidR="00D33A54" w:rsidRPr="00033E38" w:rsidRDefault="00A90D0A" w:rsidP="00675FE2">
            <w:pPr>
              <w:tabs>
                <w:tab w:val="right" w:pos="9070"/>
              </w:tabs>
              <w:spacing w:before="120"/>
              <w:rPr>
                <w:rFonts w:cs="Arial"/>
                <w:b/>
                <w:snapToGrid w:val="0"/>
                <w:spacing w:val="-3"/>
                <w:szCs w:val="22"/>
                <w:lang w:val="en-GB"/>
              </w:rPr>
            </w:pPr>
            <w:r w:rsidRPr="00033E38">
              <w:rPr>
                <w:rFonts w:cs="Arial"/>
                <w:b/>
                <w:snapToGrid w:val="0"/>
                <w:spacing w:val="-3"/>
                <w:szCs w:val="22"/>
                <w:lang w:val="en-GB"/>
              </w:rPr>
              <w:t>KHUMALO, KABELO ERIC</w:t>
            </w:r>
          </w:p>
        </w:tc>
        <w:tc>
          <w:tcPr>
            <w:tcW w:w="2318" w:type="dxa"/>
          </w:tcPr>
          <w:p w14:paraId="7E481722" w14:textId="5730A81B" w:rsidR="00430142" w:rsidRPr="00033E38" w:rsidRDefault="00675FE2" w:rsidP="00675FE2">
            <w:pPr>
              <w:spacing w:before="120"/>
              <w:rPr>
                <w:rFonts w:cs="Arial"/>
                <w:szCs w:val="22"/>
              </w:rPr>
            </w:pPr>
            <w:r w:rsidRPr="00033E38">
              <w:rPr>
                <w:rFonts w:cs="Arial"/>
                <w:szCs w:val="22"/>
              </w:rPr>
              <w:t>Second Defendant</w:t>
            </w:r>
          </w:p>
        </w:tc>
      </w:tr>
      <w:tr w:rsidR="00415439" w:rsidRPr="00033E38" w14:paraId="2567635F" w14:textId="77777777" w:rsidTr="00675FE2">
        <w:tc>
          <w:tcPr>
            <w:tcW w:w="6223" w:type="dxa"/>
          </w:tcPr>
          <w:p w14:paraId="154308FD" w14:textId="1E88469F" w:rsidR="00415439" w:rsidRPr="00033E38" w:rsidRDefault="00A90D0A" w:rsidP="00675FE2">
            <w:pPr>
              <w:tabs>
                <w:tab w:val="right" w:pos="9070"/>
              </w:tabs>
              <w:spacing w:before="120"/>
              <w:rPr>
                <w:rFonts w:cs="Arial"/>
                <w:b/>
                <w:snapToGrid w:val="0"/>
                <w:spacing w:val="-3"/>
                <w:szCs w:val="22"/>
                <w:lang w:val="en-GB"/>
              </w:rPr>
            </w:pPr>
            <w:r w:rsidRPr="00033E38">
              <w:rPr>
                <w:rFonts w:cs="Arial"/>
                <w:b/>
                <w:snapToGrid w:val="0"/>
                <w:spacing w:val="-3"/>
                <w:szCs w:val="22"/>
                <w:lang w:val="en-GB"/>
              </w:rPr>
              <w:t>KHUMALO, GOLDIE WILHELMINA ZONDIWE</w:t>
            </w:r>
          </w:p>
        </w:tc>
        <w:tc>
          <w:tcPr>
            <w:tcW w:w="2318" w:type="dxa"/>
          </w:tcPr>
          <w:p w14:paraId="47BC7F2B" w14:textId="0D0E26F0" w:rsidR="00415439" w:rsidRPr="00033E38" w:rsidRDefault="00675FE2" w:rsidP="00675FE2">
            <w:pPr>
              <w:spacing w:before="120"/>
              <w:rPr>
                <w:rFonts w:cs="Arial"/>
                <w:szCs w:val="22"/>
              </w:rPr>
            </w:pPr>
            <w:r w:rsidRPr="00033E38">
              <w:rPr>
                <w:rFonts w:cs="Arial"/>
                <w:szCs w:val="22"/>
              </w:rPr>
              <w:t>Third Defendant</w:t>
            </w:r>
          </w:p>
        </w:tc>
      </w:tr>
    </w:tbl>
    <w:p w14:paraId="2E9E9900" w14:textId="77777777" w:rsidR="0023405C" w:rsidRPr="00033E38" w:rsidRDefault="0023405C" w:rsidP="00C74E97">
      <w:pPr>
        <w:pBdr>
          <w:bottom w:val="single" w:sz="4" w:space="1" w:color="auto"/>
        </w:pBdr>
        <w:spacing w:line="360" w:lineRule="auto"/>
        <w:jc w:val="both"/>
        <w:rPr>
          <w:rFonts w:cs="Arial"/>
          <w:szCs w:val="22"/>
        </w:rPr>
      </w:pPr>
    </w:p>
    <w:p w14:paraId="67781CE9" w14:textId="77777777" w:rsidR="0023405C" w:rsidRPr="00033E38" w:rsidRDefault="0023405C" w:rsidP="00C74E97">
      <w:pPr>
        <w:pBdr>
          <w:bottom w:val="single" w:sz="4" w:space="1" w:color="auto"/>
        </w:pBdr>
        <w:spacing w:line="360" w:lineRule="auto"/>
        <w:jc w:val="both"/>
        <w:rPr>
          <w:rFonts w:cs="Arial"/>
          <w:szCs w:val="22"/>
        </w:rPr>
      </w:pPr>
    </w:p>
    <w:p w14:paraId="65E98E87" w14:textId="77777777" w:rsidR="00675FE2" w:rsidRPr="00033E38" w:rsidRDefault="00675FE2" w:rsidP="00C74E97">
      <w:pPr>
        <w:pBdr>
          <w:bottom w:val="single" w:sz="4" w:space="1" w:color="auto"/>
        </w:pBdr>
        <w:spacing w:line="360" w:lineRule="auto"/>
        <w:jc w:val="both"/>
        <w:rPr>
          <w:rFonts w:cs="Arial"/>
          <w:szCs w:val="22"/>
        </w:rPr>
      </w:pPr>
    </w:p>
    <w:p w14:paraId="58DE5549" w14:textId="77777777" w:rsidR="006C43D7" w:rsidRPr="00033E38" w:rsidRDefault="006C43D7" w:rsidP="00C74E97">
      <w:pPr>
        <w:spacing w:line="360" w:lineRule="auto"/>
        <w:jc w:val="both"/>
        <w:rPr>
          <w:rFonts w:cs="Arial"/>
          <w:szCs w:val="22"/>
        </w:rPr>
      </w:pPr>
    </w:p>
    <w:p w14:paraId="647AB70C" w14:textId="77777777" w:rsidR="006C43D7" w:rsidRPr="00033E38" w:rsidRDefault="006C43D7" w:rsidP="00C74E97">
      <w:pPr>
        <w:keepNext/>
        <w:spacing w:line="360" w:lineRule="auto"/>
        <w:jc w:val="center"/>
        <w:outlineLvl w:val="1"/>
        <w:rPr>
          <w:rFonts w:cs="Arial"/>
          <w:b/>
          <w:bCs/>
          <w:szCs w:val="22"/>
        </w:rPr>
      </w:pPr>
      <w:r w:rsidRPr="00033E38">
        <w:rPr>
          <w:rFonts w:cs="Arial"/>
          <w:b/>
          <w:bCs/>
          <w:szCs w:val="22"/>
        </w:rPr>
        <w:t>JUDGMENT</w:t>
      </w:r>
    </w:p>
    <w:p w14:paraId="52CD25EB" w14:textId="77777777" w:rsidR="006C43D7" w:rsidRPr="00033E38" w:rsidRDefault="006C43D7" w:rsidP="00C74E97">
      <w:pPr>
        <w:pBdr>
          <w:bottom w:val="single" w:sz="4" w:space="1" w:color="auto"/>
        </w:pBdr>
        <w:spacing w:line="360" w:lineRule="auto"/>
        <w:jc w:val="both"/>
        <w:rPr>
          <w:rFonts w:cs="Arial"/>
          <w:szCs w:val="22"/>
        </w:rPr>
      </w:pPr>
    </w:p>
    <w:p w14:paraId="2FFFE5A8" w14:textId="77777777" w:rsidR="0040197A" w:rsidRPr="00033E38" w:rsidRDefault="0040197A" w:rsidP="00C74E97">
      <w:pPr>
        <w:spacing w:after="480" w:line="360" w:lineRule="auto"/>
        <w:jc w:val="both"/>
        <w:rPr>
          <w:rFonts w:cs="Arial"/>
          <w:b/>
          <w:szCs w:val="22"/>
        </w:rPr>
      </w:pPr>
    </w:p>
    <w:p w14:paraId="5BD82EFE" w14:textId="147D8FBC" w:rsidR="00BE6AB8" w:rsidRPr="00033E38" w:rsidRDefault="00C676F3" w:rsidP="00C74E97">
      <w:pPr>
        <w:spacing w:after="480" w:line="360" w:lineRule="auto"/>
        <w:jc w:val="both"/>
        <w:rPr>
          <w:rFonts w:cs="Arial"/>
          <w:b/>
          <w:szCs w:val="22"/>
        </w:rPr>
      </w:pPr>
      <w:r w:rsidRPr="00033E38">
        <w:rPr>
          <w:rFonts w:cs="Arial"/>
          <w:b/>
          <w:szCs w:val="22"/>
        </w:rPr>
        <w:t>MOORCROFT</w:t>
      </w:r>
      <w:r w:rsidR="006C43D7" w:rsidRPr="00033E38">
        <w:rPr>
          <w:rFonts w:cs="Arial"/>
          <w:b/>
          <w:szCs w:val="22"/>
        </w:rPr>
        <w:t xml:space="preserve"> AJ:</w:t>
      </w:r>
    </w:p>
    <w:p w14:paraId="5B9302F1" w14:textId="576D4E4A" w:rsidR="001F361F" w:rsidRPr="00033E38" w:rsidRDefault="00C460A0" w:rsidP="00FE60F7">
      <w:pPr>
        <w:keepNext/>
        <w:spacing w:after="480" w:line="360" w:lineRule="auto"/>
        <w:jc w:val="both"/>
        <w:rPr>
          <w:rFonts w:cs="Arial"/>
          <w:bCs/>
          <w:i/>
          <w:iCs/>
          <w:szCs w:val="22"/>
          <w:u w:val="single"/>
        </w:rPr>
      </w:pPr>
      <w:r w:rsidRPr="00033E38">
        <w:rPr>
          <w:rFonts w:cs="Arial"/>
          <w:bCs/>
          <w:i/>
          <w:iCs/>
          <w:szCs w:val="22"/>
          <w:u w:val="single"/>
        </w:rPr>
        <w:lastRenderedPageBreak/>
        <w:t>Summary</w:t>
      </w:r>
    </w:p>
    <w:p w14:paraId="26877733" w14:textId="0AE8976D" w:rsidR="00303DD4" w:rsidRPr="00033E38" w:rsidRDefault="00303DD4" w:rsidP="00FE60F7">
      <w:pPr>
        <w:keepNext/>
        <w:spacing w:after="480" w:line="360" w:lineRule="auto"/>
        <w:jc w:val="both"/>
        <w:rPr>
          <w:rFonts w:cs="Arial"/>
          <w:bCs/>
          <w:i/>
          <w:iCs/>
          <w:szCs w:val="22"/>
        </w:rPr>
      </w:pPr>
      <w:r w:rsidRPr="00033E38">
        <w:rPr>
          <w:rFonts w:cs="Arial"/>
          <w:bCs/>
          <w:i/>
          <w:iCs/>
          <w:szCs w:val="22"/>
        </w:rPr>
        <w:t xml:space="preserve">Summary judgement – </w:t>
      </w:r>
      <w:r w:rsidR="00CC66A6">
        <w:rPr>
          <w:rFonts w:cs="Arial"/>
          <w:bCs/>
          <w:i/>
          <w:iCs/>
          <w:szCs w:val="22"/>
        </w:rPr>
        <w:t xml:space="preserve">bona fide defence </w:t>
      </w:r>
    </w:p>
    <w:p w14:paraId="18AFD427" w14:textId="7B3D0B7D" w:rsidR="00BE6AB8" w:rsidRPr="00033E38" w:rsidRDefault="00BE6AB8" w:rsidP="00FE60F7">
      <w:pPr>
        <w:keepNext/>
        <w:spacing w:after="480" w:line="360" w:lineRule="auto"/>
        <w:jc w:val="both"/>
        <w:rPr>
          <w:rFonts w:cs="Arial"/>
          <w:bCs/>
          <w:szCs w:val="22"/>
          <w:u w:val="single"/>
        </w:rPr>
      </w:pPr>
      <w:r w:rsidRPr="00033E38">
        <w:rPr>
          <w:rFonts w:cs="Arial"/>
          <w:bCs/>
          <w:szCs w:val="22"/>
          <w:u w:val="single"/>
        </w:rPr>
        <w:t>Order</w:t>
      </w:r>
    </w:p>
    <w:p w14:paraId="63515C87" w14:textId="17B05670" w:rsidR="004E3D0E" w:rsidRPr="00033E38" w:rsidRDefault="009B44D1" w:rsidP="009B44D1">
      <w:pPr>
        <w:tabs>
          <w:tab w:val="left" w:pos="567"/>
        </w:tabs>
        <w:spacing w:after="480" w:line="360" w:lineRule="auto"/>
        <w:jc w:val="both"/>
        <w:rPr>
          <w:rFonts w:cs="Arial"/>
          <w:i/>
          <w:iCs/>
          <w:szCs w:val="22"/>
        </w:rPr>
      </w:pPr>
      <w:r w:rsidRPr="00033E38">
        <w:rPr>
          <w:rFonts w:cs="Arial"/>
          <w:iCs/>
          <w:szCs w:val="22"/>
        </w:rPr>
        <w:t>[1]</w:t>
      </w:r>
      <w:r w:rsidRPr="00033E38">
        <w:rPr>
          <w:rFonts w:cs="Arial"/>
          <w:iCs/>
          <w:szCs w:val="22"/>
        </w:rPr>
        <w:tab/>
      </w:r>
      <w:r w:rsidR="003B4100" w:rsidRPr="00033E38">
        <w:rPr>
          <w:rFonts w:cs="Arial"/>
          <w:bCs/>
          <w:szCs w:val="22"/>
        </w:rPr>
        <w:t xml:space="preserve">In this </w:t>
      </w:r>
      <w:r w:rsidR="00B56906" w:rsidRPr="00033E38">
        <w:rPr>
          <w:rFonts w:cs="Arial"/>
          <w:bCs/>
          <w:szCs w:val="22"/>
        </w:rPr>
        <w:t xml:space="preserve">matter </w:t>
      </w:r>
      <w:r w:rsidR="00C460A0" w:rsidRPr="00033E38">
        <w:rPr>
          <w:rFonts w:cs="Arial"/>
          <w:bCs/>
          <w:szCs w:val="22"/>
        </w:rPr>
        <w:t>I ma</w:t>
      </w:r>
      <w:r w:rsidR="000976D2" w:rsidRPr="00033E38">
        <w:rPr>
          <w:rFonts w:cs="Arial"/>
          <w:bCs/>
          <w:szCs w:val="22"/>
        </w:rPr>
        <w:t>k</w:t>
      </w:r>
      <w:r w:rsidR="00DC6EF8" w:rsidRPr="00033E38">
        <w:rPr>
          <w:rFonts w:cs="Arial"/>
          <w:bCs/>
          <w:szCs w:val="22"/>
        </w:rPr>
        <w:t>e</w:t>
      </w:r>
      <w:r w:rsidR="00C460A0" w:rsidRPr="00033E38">
        <w:rPr>
          <w:rFonts w:cs="Arial"/>
          <w:bCs/>
          <w:szCs w:val="22"/>
        </w:rPr>
        <w:t xml:space="preserve"> the following order</w:t>
      </w:r>
      <w:r w:rsidR="000976D2" w:rsidRPr="00033E38">
        <w:rPr>
          <w:rFonts w:cs="Arial"/>
          <w:bCs/>
          <w:szCs w:val="22"/>
        </w:rPr>
        <w:t>:</w:t>
      </w:r>
    </w:p>
    <w:p w14:paraId="17F6CA8F" w14:textId="11161856" w:rsidR="005E592D" w:rsidRPr="009B44D1" w:rsidRDefault="009B44D1" w:rsidP="009B44D1">
      <w:pPr>
        <w:spacing w:line="360" w:lineRule="auto"/>
        <w:ind w:left="714" w:hanging="357"/>
        <w:jc w:val="both"/>
        <w:rPr>
          <w:rFonts w:cs="Arial"/>
          <w:i/>
          <w:iCs/>
          <w:szCs w:val="22"/>
        </w:rPr>
      </w:pPr>
      <w:r w:rsidRPr="00033E38">
        <w:rPr>
          <w:rFonts w:cs="Arial"/>
          <w:i/>
          <w:iCs/>
          <w:szCs w:val="22"/>
        </w:rPr>
        <w:t>1.</w:t>
      </w:r>
      <w:r w:rsidRPr="00033E38">
        <w:rPr>
          <w:rFonts w:cs="Arial"/>
          <w:i/>
          <w:iCs/>
          <w:szCs w:val="22"/>
        </w:rPr>
        <w:tab/>
      </w:r>
      <w:r w:rsidR="009C712B" w:rsidRPr="009B44D1">
        <w:rPr>
          <w:rFonts w:cs="Arial"/>
          <w:i/>
          <w:iCs/>
          <w:szCs w:val="22"/>
        </w:rPr>
        <w:t xml:space="preserve">Summary judgment is granted in favour of the plaintiff in the amount of </w:t>
      </w:r>
      <w:r w:rsidR="005E592D" w:rsidRPr="009B44D1">
        <w:rPr>
          <w:rFonts w:cs="Arial"/>
          <w:i/>
          <w:iCs/>
          <w:szCs w:val="22"/>
        </w:rPr>
        <w:t>R189 854,97;</w:t>
      </w:r>
    </w:p>
    <w:p w14:paraId="71C5A105" w14:textId="29680481" w:rsidR="005E592D" w:rsidRPr="009B44D1" w:rsidRDefault="009B44D1" w:rsidP="009B44D1">
      <w:pPr>
        <w:spacing w:line="360" w:lineRule="auto"/>
        <w:ind w:left="714" w:hanging="357"/>
        <w:jc w:val="both"/>
        <w:rPr>
          <w:rFonts w:cs="Arial"/>
          <w:i/>
          <w:iCs/>
          <w:szCs w:val="22"/>
        </w:rPr>
      </w:pPr>
      <w:r w:rsidRPr="00033E38">
        <w:rPr>
          <w:rFonts w:cs="Arial"/>
          <w:i/>
          <w:iCs/>
          <w:szCs w:val="22"/>
        </w:rPr>
        <w:t>2.</w:t>
      </w:r>
      <w:r w:rsidRPr="00033E38">
        <w:rPr>
          <w:rFonts w:cs="Arial"/>
          <w:i/>
          <w:iCs/>
          <w:szCs w:val="22"/>
        </w:rPr>
        <w:tab/>
      </w:r>
      <w:r w:rsidR="005E592D" w:rsidRPr="009B44D1">
        <w:rPr>
          <w:rFonts w:cs="Arial"/>
          <w:i/>
          <w:iCs/>
          <w:szCs w:val="22"/>
        </w:rPr>
        <w:t>Interest thereon at the rate of 7.25% per annum compounded monthly from 1 December 2022 to date of payment;</w:t>
      </w:r>
    </w:p>
    <w:p w14:paraId="45BF2B30" w14:textId="3EB23181" w:rsidR="005E592D" w:rsidRPr="009B44D1" w:rsidRDefault="009B44D1" w:rsidP="009B44D1">
      <w:pPr>
        <w:spacing w:line="360" w:lineRule="auto"/>
        <w:ind w:left="714" w:hanging="357"/>
        <w:jc w:val="both"/>
        <w:rPr>
          <w:rFonts w:cs="Arial"/>
          <w:i/>
          <w:iCs/>
          <w:szCs w:val="22"/>
        </w:rPr>
      </w:pPr>
      <w:r w:rsidRPr="00033E38">
        <w:rPr>
          <w:rFonts w:cs="Arial"/>
          <w:i/>
          <w:iCs/>
          <w:szCs w:val="22"/>
        </w:rPr>
        <w:t>3.</w:t>
      </w:r>
      <w:r w:rsidRPr="00033E38">
        <w:rPr>
          <w:rFonts w:cs="Arial"/>
          <w:i/>
          <w:iCs/>
          <w:szCs w:val="22"/>
        </w:rPr>
        <w:tab/>
      </w:r>
      <w:r w:rsidR="005E592D" w:rsidRPr="009B44D1">
        <w:rPr>
          <w:rFonts w:cs="Arial"/>
          <w:i/>
          <w:iCs/>
          <w:szCs w:val="22"/>
        </w:rPr>
        <w:t>Ejectment forthwith of the First Defendant and anyone claiming occupation through the First Defendant from the commercial leased premises described as Shop No. 55 (measuring approximately 160.39 square metres), Daveyton Shopping Centre, Eiselen Street, Daveyton, Gauteng;</w:t>
      </w:r>
    </w:p>
    <w:p w14:paraId="51E89958" w14:textId="6FB2843C" w:rsidR="005E592D" w:rsidRPr="009B44D1" w:rsidRDefault="009B44D1" w:rsidP="009B44D1">
      <w:pPr>
        <w:spacing w:line="360" w:lineRule="auto"/>
        <w:ind w:left="714" w:hanging="357"/>
        <w:jc w:val="both"/>
        <w:rPr>
          <w:rFonts w:cs="Arial"/>
          <w:i/>
          <w:iCs/>
          <w:szCs w:val="22"/>
        </w:rPr>
      </w:pPr>
      <w:r w:rsidRPr="00033E38">
        <w:rPr>
          <w:rFonts w:cs="Arial"/>
          <w:i/>
          <w:iCs/>
          <w:szCs w:val="22"/>
        </w:rPr>
        <w:t>4.</w:t>
      </w:r>
      <w:r w:rsidRPr="00033E38">
        <w:rPr>
          <w:rFonts w:cs="Arial"/>
          <w:i/>
          <w:iCs/>
          <w:szCs w:val="22"/>
        </w:rPr>
        <w:tab/>
      </w:r>
      <w:r w:rsidR="005E592D" w:rsidRPr="009B44D1">
        <w:rPr>
          <w:rFonts w:cs="Arial"/>
          <w:i/>
          <w:iCs/>
          <w:szCs w:val="22"/>
        </w:rPr>
        <w:t>Costs of the suit</w:t>
      </w:r>
      <w:r w:rsidR="00FC6F63" w:rsidRPr="009B44D1">
        <w:rPr>
          <w:rFonts w:cs="Arial"/>
          <w:i/>
          <w:iCs/>
          <w:szCs w:val="22"/>
        </w:rPr>
        <w:t>.</w:t>
      </w:r>
    </w:p>
    <w:p w14:paraId="076ED0B9" w14:textId="77777777" w:rsidR="00B71116" w:rsidRPr="00033E38" w:rsidRDefault="00B71116" w:rsidP="00FE60F7">
      <w:pPr>
        <w:spacing w:after="480" w:line="360" w:lineRule="auto"/>
        <w:ind w:left="360"/>
        <w:jc w:val="both"/>
        <w:rPr>
          <w:rFonts w:cs="Arial"/>
          <w:i/>
          <w:iCs/>
          <w:szCs w:val="22"/>
        </w:rPr>
      </w:pPr>
    </w:p>
    <w:p w14:paraId="08540072" w14:textId="7369F313" w:rsidR="00C9310B" w:rsidRPr="009B44D1" w:rsidRDefault="009B44D1" w:rsidP="009B44D1">
      <w:pPr>
        <w:widowControl w:val="0"/>
        <w:tabs>
          <w:tab w:val="left" w:pos="567"/>
        </w:tabs>
        <w:spacing w:before="480" w:after="480" w:line="360" w:lineRule="auto"/>
        <w:jc w:val="both"/>
        <w:rPr>
          <w:rFonts w:cs="Arial"/>
          <w:bCs/>
          <w:szCs w:val="22"/>
          <w:u w:val="single"/>
        </w:rPr>
      </w:pPr>
      <w:r w:rsidRPr="00033E38">
        <w:rPr>
          <w:rFonts w:cs="Arial"/>
          <w:bCs/>
          <w:szCs w:val="22"/>
        </w:rPr>
        <w:t>[2]</w:t>
      </w:r>
      <w:r w:rsidRPr="00033E38">
        <w:rPr>
          <w:rFonts w:cs="Arial"/>
          <w:bCs/>
          <w:szCs w:val="22"/>
        </w:rPr>
        <w:tab/>
      </w:r>
      <w:r w:rsidR="004A5AF5" w:rsidRPr="009B44D1">
        <w:rPr>
          <w:rFonts w:cs="Arial"/>
          <w:bCs/>
          <w:szCs w:val="22"/>
        </w:rPr>
        <w:t xml:space="preserve">The </w:t>
      </w:r>
      <w:r w:rsidR="00573FF9" w:rsidRPr="009B44D1">
        <w:rPr>
          <w:rFonts w:cs="Arial"/>
          <w:bCs/>
          <w:szCs w:val="22"/>
        </w:rPr>
        <w:t xml:space="preserve">reasons for the order </w:t>
      </w:r>
      <w:r w:rsidR="00A63709" w:rsidRPr="009B44D1">
        <w:rPr>
          <w:rFonts w:cs="Arial"/>
          <w:bCs/>
          <w:szCs w:val="22"/>
        </w:rPr>
        <w:t>follow</w:t>
      </w:r>
      <w:r w:rsidR="00573FF9" w:rsidRPr="009B44D1">
        <w:rPr>
          <w:rFonts w:cs="Arial"/>
          <w:bCs/>
          <w:szCs w:val="22"/>
        </w:rPr>
        <w:t xml:space="preserve"> below.</w:t>
      </w:r>
    </w:p>
    <w:p w14:paraId="037F1A01" w14:textId="77777777" w:rsidR="00A444DD" w:rsidRPr="00033E38" w:rsidRDefault="00A444DD" w:rsidP="00FE60F7">
      <w:pPr>
        <w:keepNext/>
        <w:widowControl w:val="0"/>
        <w:spacing w:before="480" w:after="480" w:line="360" w:lineRule="auto"/>
        <w:jc w:val="both"/>
        <w:rPr>
          <w:rFonts w:cs="Arial"/>
          <w:bCs/>
          <w:szCs w:val="22"/>
          <w:u w:val="single"/>
        </w:rPr>
      </w:pPr>
    </w:p>
    <w:p w14:paraId="3658C913" w14:textId="6056F843" w:rsidR="00573FF9" w:rsidRPr="00033E38" w:rsidRDefault="00D9086C" w:rsidP="00FE60F7">
      <w:pPr>
        <w:keepNext/>
        <w:widowControl w:val="0"/>
        <w:spacing w:before="480" w:after="480" w:line="360" w:lineRule="auto"/>
        <w:jc w:val="both"/>
        <w:rPr>
          <w:rFonts w:cs="Arial"/>
          <w:bCs/>
          <w:szCs w:val="22"/>
          <w:u w:val="single"/>
        </w:rPr>
      </w:pPr>
      <w:r w:rsidRPr="00033E38">
        <w:rPr>
          <w:rFonts w:cs="Arial"/>
          <w:bCs/>
          <w:szCs w:val="22"/>
          <w:u w:val="single"/>
        </w:rPr>
        <w:t>Introduction</w:t>
      </w:r>
    </w:p>
    <w:p w14:paraId="17A7AC74" w14:textId="5C8E6DAB" w:rsidR="002127C9" w:rsidRDefault="009B44D1" w:rsidP="009B44D1">
      <w:pPr>
        <w:widowControl w:val="0"/>
        <w:tabs>
          <w:tab w:val="left" w:pos="567"/>
        </w:tabs>
        <w:spacing w:before="480" w:after="480" w:line="360" w:lineRule="auto"/>
        <w:jc w:val="both"/>
        <w:rPr>
          <w:rFonts w:cs="Arial"/>
          <w:bCs/>
          <w:szCs w:val="22"/>
        </w:rPr>
      </w:pPr>
      <w:r>
        <w:rPr>
          <w:rFonts w:cs="Arial"/>
          <w:bCs/>
          <w:szCs w:val="22"/>
        </w:rPr>
        <w:t>[3]</w:t>
      </w:r>
      <w:r>
        <w:rPr>
          <w:rFonts w:cs="Arial"/>
          <w:bCs/>
          <w:szCs w:val="22"/>
        </w:rPr>
        <w:tab/>
      </w:r>
      <w:r w:rsidR="00A90D0A" w:rsidRPr="00033E38">
        <w:rPr>
          <w:rFonts w:cs="Arial"/>
          <w:bCs/>
          <w:szCs w:val="22"/>
        </w:rPr>
        <w:t xml:space="preserve">This is an application for summary judgement in terms of rule 32 of the uniform rules. </w:t>
      </w:r>
      <w:r w:rsidR="004516DA" w:rsidRPr="00033E38">
        <w:rPr>
          <w:rFonts w:cs="Arial"/>
          <w:bCs/>
          <w:szCs w:val="22"/>
        </w:rPr>
        <w:t xml:space="preserve">The rule was amended by government notice (GN)  R842 of 31 May 2019 </w:t>
      </w:r>
      <w:r w:rsidR="0096632C" w:rsidRPr="00033E38">
        <w:rPr>
          <w:rFonts w:cs="Arial"/>
          <w:bCs/>
          <w:szCs w:val="22"/>
        </w:rPr>
        <w:t xml:space="preserve">when </w:t>
      </w:r>
      <w:r w:rsidR="004516DA" w:rsidRPr="00033E38">
        <w:rPr>
          <w:rFonts w:cs="Arial"/>
          <w:bCs/>
          <w:szCs w:val="22"/>
        </w:rPr>
        <w:t>a substantially revised summary judgement procedure was introduced.</w:t>
      </w:r>
      <w:r w:rsidR="0096632C" w:rsidRPr="00033E38">
        <w:rPr>
          <w:rStyle w:val="FootnoteReference"/>
          <w:rFonts w:cs="Arial"/>
          <w:bCs/>
          <w:szCs w:val="22"/>
        </w:rPr>
        <w:footnoteReference w:id="1"/>
      </w:r>
      <w:r w:rsidR="004516DA" w:rsidRPr="00033E38">
        <w:rPr>
          <w:rFonts w:cs="Arial"/>
          <w:bCs/>
          <w:szCs w:val="22"/>
        </w:rPr>
        <w:t xml:space="preserve"> Summary judg</w:t>
      </w:r>
      <w:r w:rsidR="00BC4EB5">
        <w:rPr>
          <w:rFonts w:cs="Arial"/>
          <w:bCs/>
          <w:szCs w:val="22"/>
        </w:rPr>
        <w:t>e</w:t>
      </w:r>
      <w:r w:rsidR="004516DA" w:rsidRPr="00033E38">
        <w:rPr>
          <w:rFonts w:cs="Arial"/>
          <w:bCs/>
          <w:szCs w:val="22"/>
        </w:rPr>
        <w:t xml:space="preserve">ment is now applied for not after the entry of appearance to defend </w:t>
      </w:r>
      <w:r w:rsidR="009C712B" w:rsidRPr="00033E38">
        <w:rPr>
          <w:rFonts w:cs="Arial"/>
          <w:bCs/>
          <w:szCs w:val="22"/>
        </w:rPr>
        <w:t>but</w:t>
      </w:r>
      <w:r w:rsidR="004516DA" w:rsidRPr="00033E38">
        <w:rPr>
          <w:rFonts w:cs="Arial"/>
          <w:bCs/>
          <w:szCs w:val="22"/>
        </w:rPr>
        <w:t xml:space="preserve"> after the filing of a plea. The plaintiff is then required to file an affidavit in support of the application for summary judgement to explain why the defences as pleaded do not raise triable issues and cannot be regarded as </w:t>
      </w:r>
      <w:r w:rsidR="004516DA" w:rsidRPr="00033E38">
        <w:rPr>
          <w:rFonts w:cs="Arial"/>
          <w:bCs/>
          <w:i/>
          <w:iCs/>
          <w:szCs w:val="22"/>
        </w:rPr>
        <w:t>bona fide</w:t>
      </w:r>
      <w:r w:rsidR="004516DA" w:rsidRPr="00033E38">
        <w:rPr>
          <w:rFonts w:cs="Arial"/>
          <w:bCs/>
          <w:szCs w:val="22"/>
        </w:rPr>
        <w:t xml:space="preserve">. This the plaintiff can only do when it knows </w:t>
      </w:r>
      <w:r w:rsidR="004516DA" w:rsidRPr="00033E38">
        <w:rPr>
          <w:rFonts w:cs="Arial"/>
          <w:bCs/>
          <w:szCs w:val="22"/>
        </w:rPr>
        <w:lastRenderedPageBreak/>
        <w:t xml:space="preserve">what the defences relied upon by the defendant are. </w:t>
      </w:r>
      <w:r w:rsidR="009C712B" w:rsidRPr="00033E38">
        <w:rPr>
          <w:rFonts w:cs="Arial"/>
          <w:bCs/>
          <w:szCs w:val="22"/>
        </w:rPr>
        <w:t>The defendant is therefore required to set out its defences in the plea and to raise triable issues</w:t>
      </w:r>
      <w:r w:rsidR="009C712B" w:rsidRPr="00033E38">
        <w:rPr>
          <w:rStyle w:val="FootnoteReference"/>
          <w:rFonts w:cs="Arial"/>
          <w:bCs/>
          <w:szCs w:val="22"/>
        </w:rPr>
        <w:footnoteReference w:id="2"/>
      </w:r>
      <w:r w:rsidR="009C712B" w:rsidRPr="00033E38">
        <w:rPr>
          <w:rFonts w:cs="Arial"/>
          <w:bCs/>
          <w:szCs w:val="22"/>
        </w:rPr>
        <w:t xml:space="preserve"> which may be further elaborated upon </w:t>
      </w:r>
      <w:r w:rsidR="002127C9">
        <w:rPr>
          <w:rFonts w:cs="Arial"/>
          <w:bCs/>
          <w:szCs w:val="22"/>
        </w:rPr>
        <w:t xml:space="preserve">in </w:t>
      </w:r>
      <w:r w:rsidR="009C712B" w:rsidRPr="00033E38">
        <w:rPr>
          <w:rFonts w:cs="Arial"/>
          <w:bCs/>
          <w:szCs w:val="22"/>
        </w:rPr>
        <w:t xml:space="preserve">the defendant’s affidavit resisting summary judgment. </w:t>
      </w:r>
      <w:r w:rsidR="002127C9">
        <w:rPr>
          <w:rFonts w:cs="Arial"/>
          <w:bCs/>
          <w:szCs w:val="22"/>
        </w:rPr>
        <w:t xml:space="preserve">The plea contains </w:t>
      </w:r>
      <w:r w:rsidR="002127C9" w:rsidRPr="002127C9">
        <w:rPr>
          <w:rFonts w:cs="Arial"/>
          <w:bCs/>
          <w:i/>
          <w:iCs/>
          <w:szCs w:val="22"/>
        </w:rPr>
        <w:t>facta probanda</w:t>
      </w:r>
      <w:r w:rsidR="002127C9">
        <w:rPr>
          <w:rFonts w:cs="Arial"/>
          <w:bCs/>
          <w:szCs w:val="22"/>
        </w:rPr>
        <w:t xml:space="preserve">; the affidavit also contains </w:t>
      </w:r>
      <w:r w:rsidR="002127C9" w:rsidRPr="002127C9">
        <w:rPr>
          <w:rFonts w:cs="Arial"/>
          <w:bCs/>
          <w:i/>
          <w:iCs/>
          <w:szCs w:val="22"/>
        </w:rPr>
        <w:t>facta probantia</w:t>
      </w:r>
      <w:r w:rsidR="002127C9">
        <w:rPr>
          <w:rFonts w:cs="Arial"/>
          <w:bCs/>
          <w:szCs w:val="22"/>
        </w:rPr>
        <w:t xml:space="preserve">. </w:t>
      </w:r>
    </w:p>
    <w:p w14:paraId="0A069F1C" w14:textId="17957AA3" w:rsidR="00FC6F63" w:rsidRPr="00033E38" w:rsidRDefault="009B44D1" w:rsidP="009B44D1">
      <w:pPr>
        <w:widowControl w:val="0"/>
        <w:tabs>
          <w:tab w:val="left" w:pos="567"/>
        </w:tabs>
        <w:spacing w:before="480" w:after="480" w:line="360" w:lineRule="auto"/>
        <w:jc w:val="both"/>
        <w:rPr>
          <w:rFonts w:cs="Arial"/>
          <w:bCs/>
          <w:szCs w:val="22"/>
        </w:rPr>
      </w:pPr>
      <w:r w:rsidRPr="00033E38">
        <w:rPr>
          <w:rFonts w:cs="Arial"/>
          <w:bCs/>
          <w:szCs w:val="22"/>
        </w:rPr>
        <w:t>[4]</w:t>
      </w:r>
      <w:r w:rsidRPr="00033E38">
        <w:rPr>
          <w:rFonts w:cs="Arial"/>
          <w:bCs/>
          <w:szCs w:val="22"/>
        </w:rPr>
        <w:tab/>
      </w:r>
      <w:r w:rsidR="009C712B" w:rsidRPr="00033E38">
        <w:rPr>
          <w:rFonts w:cs="Arial"/>
          <w:bCs/>
          <w:szCs w:val="22"/>
        </w:rPr>
        <w:t xml:space="preserve">Rule 32 (3) requires a defendant to give security to the plaintiff to the satisfaction of the court for any judgement which may be given, or to satisfy the court by affidavit or with the leave of the court by oral evidence that the defendant has a </w:t>
      </w:r>
      <w:r w:rsidR="009C712B" w:rsidRPr="00BC4EB5">
        <w:rPr>
          <w:rFonts w:cs="Arial"/>
          <w:bCs/>
          <w:i/>
          <w:iCs/>
          <w:szCs w:val="22"/>
        </w:rPr>
        <w:t>bona fide</w:t>
      </w:r>
      <w:r w:rsidR="009C712B" w:rsidRPr="00033E38">
        <w:rPr>
          <w:rFonts w:cs="Arial"/>
          <w:bCs/>
          <w:szCs w:val="22"/>
        </w:rPr>
        <w:t xml:space="preserve"> defence.</w:t>
      </w:r>
      <w:r w:rsidR="00BC4EB5">
        <w:rPr>
          <w:rStyle w:val="FootnoteReference"/>
          <w:rFonts w:cs="Arial"/>
          <w:bCs/>
          <w:szCs w:val="22"/>
        </w:rPr>
        <w:footnoteReference w:id="3"/>
      </w:r>
      <w:r w:rsidR="009C712B" w:rsidRPr="00033E38">
        <w:rPr>
          <w:rFonts w:cs="Arial"/>
          <w:bCs/>
          <w:szCs w:val="22"/>
        </w:rPr>
        <w:t xml:space="preserve"> The defendant’s evidence </w:t>
      </w:r>
      <w:r w:rsidR="009C712B" w:rsidRPr="00033E38">
        <w:rPr>
          <w:rFonts w:cs="Arial"/>
          <w:bCs/>
          <w:i/>
          <w:iCs/>
          <w:szCs w:val="22"/>
        </w:rPr>
        <w:t xml:space="preserve">“shall disclose fully the nature and grounds of the defence and the material facts relied upon therefor.” </w:t>
      </w:r>
    </w:p>
    <w:p w14:paraId="3A87A177" w14:textId="09DDA87D" w:rsidR="00CE1FF4" w:rsidRPr="00033E38" w:rsidRDefault="009B44D1" w:rsidP="009B44D1">
      <w:pPr>
        <w:widowControl w:val="0"/>
        <w:tabs>
          <w:tab w:val="left" w:pos="567"/>
        </w:tabs>
        <w:spacing w:before="480" w:after="480" w:line="360" w:lineRule="auto"/>
        <w:jc w:val="both"/>
        <w:rPr>
          <w:rFonts w:cs="Arial"/>
          <w:bCs/>
          <w:szCs w:val="22"/>
        </w:rPr>
      </w:pPr>
      <w:r w:rsidRPr="00033E38">
        <w:rPr>
          <w:rFonts w:cs="Arial"/>
          <w:bCs/>
          <w:szCs w:val="22"/>
        </w:rPr>
        <w:t>[5]</w:t>
      </w:r>
      <w:r w:rsidRPr="00033E38">
        <w:rPr>
          <w:rFonts w:cs="Arial"/>
          <w:bCs/>
          <w:szCs w:val="22"/>
        </w:rPr>
        <w:tab/>
      </w:r>
      <w:r w:rsidR="00A90D0A" w:rsidRPr="00033E38">
        <w:rPr>
          <w:rFonts w:cs="Arial"/>
          <w:bCs/>
          <w:szCs w:val="22"/>
        </w:rPr>
        <w:t xml:space="preserve">The plaintiff’s claim arises from the alleged breach of a written lease agreement </w:t>
      </w:r>
      <w:r w:rsidR="008E27C3" w:rsidRPr="00033E38">
        <w:rPr>
          <w:rFonts w:cs="Arial"/>
          <w:bCs/>
          <w:szCs w:val="22"/>
        </w:rPr>
        <w:t xml:space="preserve">between the plaintiff and the first defendant </w:t>
      </w:r>
      <w:r w:rsidR="00A90D0A" w:rsidRPr="00033E38">
        <w:rPr>
          <w:rFonts w:cs="Arial"/>
          <w:bCs/>
          <w:szCs w:val="22"/>
        </w:rPr>
        <w:t xml:space="preserve">relating to commercial premises. </w:t>
      </w:r>
      <w:r w:rsidR="00201BDF" w:rsidRPr="00033E38">
        <w:rPr>
          <w:rFonts w:cs="Arial"/>
          <w:bCs/>
          <w:szCs w:val="22"/>
        </w:rPr>
        <w:t xml:space="preserve">The </w:t>
      </w:r>
      <w:r w:rsidR="00033E38" w:rsidRPr="00033E38">
        <w:rPr>
          <w:rFonts w:cs="Arial"/>
          <w:bCs/>
          <w:szCs w:val="22"/>
        </w:rPr>
        <w:t xml:space="preserve">initial </w:t>
      </w:r>
      <w:r w:rsidR="00201BDF" w:rsidRPr="00033E38">
        <w:rPr>
          <w:rFonts w:cs="Arial"/>
          <w:bCs/>
          <w:szCs w:val="22"/>
        </w:rPr>
        <w:t xml:space="preserve">lease commenced on </w:t>
      </w:r>
      <w:r w:rsidR="0010798D" w:rsidRPr="00033E38">
        <w:rPr>
          <w:rFonts w:cs="Arial"/>
          <w:bCs/>
          <w:szCs w:val="22"/>
        </w:rPr>
        <w:t xml:space="preserve">1 December 2014 and terminated on 30 November 2019. </w:t>
      </w:r>
      <w:r w:rsidR="00CE1FF4" w:rsidRPr="00033E38">
        <w:rPr>
          <w:rFonts w:cs="Arial"/>
          <w:bCs/>
          <w:szCs w:val="22"/>
        </w:rPr>
        <w:t>After November 2019 the lease was relocated and continued as a monthly lease in terms of clause 10.4 of the lease.</w:t>
      </w:r>
      <w:r w:rsidR="0096632C" w:rsidRPr="00033E38">
        <w:rPr>
          <w:rFonts w:cs="Arial"/>
          <w:bCs/>
          <w:szCs w:val="22"/>
        </w:rPr>
        <w:t xml:space="preserve"> The lease continue</w:t>
      </w:r>
      <w:r w:rsidR="00033E38" w:rsidRPr="00033E38">
        <w:rPr>
          <w:rFonts w:cs="Arial"/>
          <w:bCs/>
          <w:szCs w:val="22"/>
        </w:rPr>
        <w:t>d</w:t>
      </w:r>
      <w:r w:rsidR="0096632C" w:rsidRPr="00033E38">
        <w:rPr>
          <w:rFonts w:cs="Arial"/>
          <w:bCs/>
          <w:szCs w:val="22"/>
        </w:rPr>
        <w:t xml:space="preserve"> on a monthly basis </w:t>
      </w:r>
      <w:r w:rsidR="0096632C" w:rsidRPr="00033E38">
        <w:rPr>
          <w:rFonts w:cs="Arial"/>
          <w:bCs/>
          <w:i/>
          <w:iCs/>
          <w:szCs w:val="22"/>
        </w:rPr>
        <w:t>“as recorded herein.”</w:t>
      </w:r>
    </w:p>
    <w:p w14:paraId="6F6E8ABF" w14:textId="454BD957" w:rsidR="008E27C3" w:rsidRPr="00033E38" w:rsidRDefault="009B44D1" w:rsidP="009B44D1">
      <w:pPr>
        <w:widowControl w:val="0"/>
        <w:tabs>
          <w:tab w:val="left" w:pos="567"/>
        </w:tabs>
        <w:spacing w:before="480" w:after="480" w:line="360" w:lineRule="auto"/>
        <w:jc w:val="both"/>
        <w:rPr>
          <w:rFonts w:cs="Arial"/>
          <w:bCs/>
          <w:szCs w:val="22"/>
        </w:rPr>
      </w:pPr>
      <w:r w:rsidRPr="00033E38">
        <w:rPr>
          <w:rFonts w:cs="Arial"/>
          <w:bCs/>
          <w:szCs w:val="22"/>
        </w:rPr>
        <w:t>[6]</w:t>
      </w:r>
      <w:r w:rsidRPr="00033E38">
        <w:rPr>
          <w:rFonts w:cs="Arial"/>
          <w:bCs/>
          <w:szCs w:val="22"/>
        </w:rPr>
        <w:tab/>
      </w:r>
      <w:r w:rsidR="008E27C3" w:rsidRPr="00033E38">
        <w:rPr>
          <w:rFonts w:cs="Arial"/>
          <w:bCs/>
          <w:szCs w:val="22"/>
        </w:rPr>
        <w:t>The lease provided for the payment of a monthly rental together with rates and taxes, a contribution to a marketing fund, charges for the supply of electricity and water and other municipal expenses,</w:t>
      </w:r>
      <w:r w:rsidR="00804744" w:rsidRPr="00033E38">
        <w:rPr>
          <w:rFonts w:cs="Arial"/>
          <w:bCs/>
          <w:szCs w:val="22"/>
        </w:rPr>
        <w:t xml:space="preserve"> as well as </w:t>
      </w:r>
      <w:r w:rsidR="008E27C3" w:rsidRPr="00033E38">
        <w:rPr>
          <w:rFonts w:cs="Arial"/>
          <w:bCs/>
          <w:szCs w:val="22"/>
        </w:rPr>
        <w:t xml:space="preserve">other associated charges and costs. Interest was to be calculated at the rate of 7.25% </w:t>
      </w:r>
      <w:r w:rsidR="008E27C3" w:rsidRPr="00033E38">
        <w:rPr>
          <w:rFonts w:cs="Arial"/>
          <w:bCs/>
          <w:i/>
          <w:iCs/>
          <w:szCs w:val="22"/>
        </w:rPr>
        <w:t>per annum</w:t>
      </w:r>
      <w:r w:rsidR="008E27C3" w:rsidRPr="00033E38">
        <w:rPr>
          <w:rFonts w:cs="Arial"/>
          <w:bCs/>
          <w:szCs w:val="22"/>
        </w:rPr>
        <w:t xml:space="preserve"> compounded monthly in terms of clause 4.4 of the lease.</w:t>
      </w:r>
      <w:r w:rsidR="00576147" w:rsidRPr="00033E38">
        <w:rPr>
          <w:rFonts w:cs="Arial"/>
          <w:bCs/>
          <w:szCs w:val="22"/>
        </w:rPr>
        <w:t xml:space="preserve"> The lease provided in clause 18.13 that a certificate signed by a director, manager, or internal accountant of the plaintiff whose authority need not be proved</w:t>
      </w:r>
      <w:r w:rsidR="00804744" w:rsidRPr="00033E38">
        <w:rPr>
          <w:rFonts w:cs="Arial"/>
          <w:bCs/>
          <w:szCs w:val="22"/>
        </w:rPr>
        <w:t xml:space="preserve"> shall </w:t>
      </w:r>
      <w:r w:rsidR="00576147" w:rsidRPr="00033E38">
        <w:rPr>
          <w:rFonts w:cs="Arial"/>
          <w:bCs/>
          <w:szCs w:val="22"/>
        </w:rPr>
        <w:t xml:space="preserve">for all purposes </w:t>
      </w:r>
      <w:r w:rsidR="00804744" w:rsidRPr="00033E38">
        <w:rPr>
          <w:rFonts w:cs="Arial"/>
          <w:bCs/>
          <w:szCs w:val="22"/>
        </w:rPr>
        <w:t xml:space="preserve">be </w:t>
      </w:r>
      <w:r w:rsidR="00804744" w:rsidRPr="00033E38">
        <w:rPr>
          <w:rFonts w:cs="Arial"/>
          <w:bCs/>
          <w:i/>
          <w:iCs/>
          <w:szCs w:val="22"/>
        </w:rPr>
        <w:t>prima facie</w:t>
      </w:r>
      <w:r w:rsidR="00804744" w:rsidRPr="00033E38">
        <w:rPr>
          <w:rFonts w:cs="Arial"/>
          <w:bCs/>
          <w:szCs w:val="22"/>
        </w:rPr>
        <w:t xml:space="preserve"> proof </w:t>
      </w:r>
      <w:r w:rsidR="00576147" w:rsidRPr="00033E38">
        <w:rPr>
          <w:rFonts w:cs="Arial"/>
          <w:bCs/>
          <w:szCs w:val="22"/>
        </w:rPr>
        <w:t>of the matters stated therein.</w:t>
      </w:r>
    </w:p>
    <w:p w14:paraId="43F9E049" w14:textId="77777777" w:rsidR="00033E38" w:rsidRPr="00033E38" w:rsidRDefault="00033E38" w:rsidP="00033E38">
      <w:pPr>
        <w:widowControl w:val="0"/>
        <w:spacing w:before="480" w:after="480" w:line="360" w:lineRule="auto"/>
        <w:jc w:val="both"/>
        <w:rPr>
          <w:rFonts w:cs="Arial"/>
          <w:bCs/>
          <w:szCs w:val="22"/>
          <w:u w:val="single"/>
        </w:rPr>
      </w:pPr>
    </w:p>
    <w:p w14:paraId="417A23A6" w14:textId="05B676D8" w:rsidR="00033E38" w:rsidRPr="00033E38" w:rsidRDefault="00033E38" w:rsidP="00033E38">
      <w:pPr>
        <w:widowControl w:val="0"/>
        <w:spacing w:before="480" w:after="480" w:line="360" w:lineRule="auto"/>
        <w:jc w:val="both"/>
        <w:rPr>
          <w:rFonts w:cs="Arial"/>
          <w:bCs/>
          <w:szCs w:val="22"/>
          <w:u w:val="single"/>
        </w:rPr>
      </w:pPr>
      <w:r w:rsidRPr="00033E38">
        <w:rPr>
          <w:rFonts w:cs="Arial"/>
          <w:bCs/>
          <w:szCs w:val="22"/>
          <w:u w:val="single"/>
        </w:rPr>
        <w:t>The breach</w:t>
      </w:r>
    </w:p>
    <w:p w14:paraId="52DE886C" w14:textId="1752246B" w:rsidR="00303DD4" w:rsidRPr="00033E38" w:rsidRDefault="009B44D1" w:rsidP="009B44D1">
      <w:pPr>
        <w:widowControl w:val="0"/>
        <w:tabs>
          <w:tab w:val="left" w:pos="567"/>
        </w:tabs>
        <w:spacing w:before="480" w:after="480" w:line="360" w:lineRule="auto"/>
        <w:jc w:val="both"/>
        <w:rPr>
          <w:rFonts w:cs="Arial"/>
          <w:bCs/>
          <w:szCs w:val="22"/>
        </w:rPr>
      </w:pPr>
      <w:r w:rsidRPr="00033E38">
        <w:rPr>
          <w:rFonts w:cs="Arial"/>
          <w:bCs/>
          <w:szCs w:val="22"/>
        </w:rPr>
        <w:t>[7]</w:t>
      </w:r>
      <w:r w:rsidRPr="00033E38">
        <w:rPr>
          <w:rFonts w:cs="Arial"/>
          <w:bCs/>
          <w:szCs w:val="22"/>
        </w:rPr>
        <w:tab/>
      </w:r>
      <w:r w:rsidR="00A90D0A" w:rsidRPr="00033E38">
        <w:rPr>
          <w:rFonts w:cs="Arial"/>
          <w:bCs/>
          <w:szCs w:val="22"/>
        </w:rPr>
        <w:t>The plaintiff alleges a breach and subsequent cancellation of the lease agreement. The lease was terminated in a letter</w:t>
      </w:r>
      <w:r w:rsidR="00201BDF" w:rsidRPr="00033E38">
        <w:rPr>
          <w:rFonts w:cs="Arial"/>
          <w:bCs/>
          <w:szCs w:val="22"/>
        </w:rPr>
        <w:t xml:space="preserve"> dated 3 October 2022</w:t>
      </w:r>
      <w:r w:rsidR="00201BDF" w:rsidRPr="00033E38">
        <w:rPr>
          <w:rStyle w:val="FootnoteReference"/>
          <w:rFonts w:cs="Arial"/>
          <w:bCs/>
          <w:szCs w:val="22"/>
        </w:rPr>
        <w:footnoteReference w:id="4"/>
      </w:r>
      <w:r w:rsidR="00201BDF" w:rsidRPr="00033E38">
        <w:rPr>
          <w:rFonts w:cs="Arial"/>
          <w:bCs/>
          <w:szCs w:val="22"/>
        </w:rPr>
        <w:t xml:space="preserve"> which purported to be </w:t>
      </w:r>
      <w:r w:rsidR="00201BDF" w:rsidRPr="00033E38">
        <w:rPr>
          <w:rFonts w:cs="Arial"/>
          <w:bCs/>
          <w:szCs w:val="22"/>
        </w:rPr>
        <w:lastRenderedPageBreak/>
        <w:t>cancellation upon one month’s notice terminating the lease at the end of October 2022.</w:t>
      </w:r>
      <w:r w:rsidR="00CE1FF4" w:rsidRPr="00033E38">
        <w:rPr>
          <w:rFonts w:cs="Arial"/>
          <w:bCs/>
          <w:szCs w:val="22"/>
        </w:rPr>
        <w:t xml:space="preserve"> If the intention was to cancel the lease on one months</w:t>
      </w:r>
      <w:r w:rsidR="00804744" w:rsidRPr="00033E38">
        <w:rPr>
          <w:rFonts w:cs="Arial"/>
          <w:bCs/>
          <w:szCs w:val="22"/>
        </w:rPr>
        <w:t>’</w:t>
      </w:r>
      <w:r w:rsidR="00CE1FF4" w:rsidRPr="00033E38">
        <w:rPr>
          <w:rFonts w:cs="Arial"/>
          <w:bCs/>
          <w:szCs w:val="22"/>
        </w:rPr>
        <w:t xml:space="preserve"> notice the cancellation was not effectual as less than one month</w:t>
      </w:r>
      <w:r w:rsidR="008E27C3" w:rsidRPr="00033E38">
        <w:rPr>
          <w:rFonts w:cs="Arial"/>
          <w:bCs/>
          <w:szCs w:val="22"/>
        </w:rPr>
        <w:t>’</w:t>
      </w:r>
      <w:r w:rsidR="00CE1FF4" w:rsidRPr="00033E38">
        <w:rPr>
          <w:rFonts w:cs="Arial"/>
          <w:bCs/>
          <w:szCs w:val="22"/>
        </w:rPr>
        <w:t>s notice was given. However, the plaintiff was also entitled to cancel on seven days</w:t>
      </w:r>
      <w:r w:rsidR="00576147" w:rsidRPr="00033E38">
        <w:rPr>
          <w:rFonts w:cs="Arial"/>
          <w:bCs/>
          <w:szCs w:val="22"/>
        </w:rPr>
        <w:t>’</w:t>
      </w:r>
      <w:r w:rsidR="00CE1FF4" w:rsidRPr="00033E38">
        <w:rPr>
          <w:rFonts w:cs="Arial"/>
          <w:bCs/>
          <w:szCs w:val="22"/>
        </w:rPr>
        <w:t xml:space="preserve"> notice in the event of non-payment of any amount due and payable and if an amount was indeed outstanding and not paid then the letter served as termination of the lease at the end of October 2022.</w:t>
      </w:r>
      <w:r w:rsidR="00804744" w:rsidRPr="00033E38">
        <w:rPr>
          <w:rFonts w:cs="Arial"/>
          <w:bCs/>
          <w:szCs w:val="22"/>
        </w:rPr>
        <w:t xml:space="preserve"> All it means is that the plaintiff gave more than seven days’ notice.</w:t>
      </w:r>
    </w:p>
    <w:p w14:paraId="19713C4A" w14:textId="6868CB75" w:rsidR="00303DD4" w:rsidRPr="00033E38" w:rsidRDefault="009B44D1" w:rsidP="009B44D1">
      <w:pPr>
        <w:widowControl w:val="0"/>
        <w:tabs>
          <w:tab w:val="left" w:pos="567"/>
        </w:tabs>
        <w:spacing w:before="480" w:after="480" w:line="360" w:lineRule="auto"/>
        <w:jc w:val="both"/>
        <w:rPr>
          <w:rFonts w:cs="Arial"/>
          <w:bCs/>
          <w:szCs w:val="22"/>
        </w:rPr>
      </w:pPr>
      <w:r w:rsidRPr="00033E38">
        <w:rPr>
          <w:rFonts w:cs="Arial"/>
          <w:bCs/>
          <w:szCs w:val="22"/>
        </w:rPr>
        <w:t>[8]</w:t>
      </w:r>
      <w:r w:rsidRPr="00033E38">
        <w:rPr>
          <w:rFonts w:cs="Arial"/>
          <w:bCs/>
          <w:szCs w:val="22"/>
        </w:rPr>
        <w:tab/>
      </w:r>
      <w:r w:rsidR="00201BDF" w:rsidRPr="00033E38">
        <w:rPr>
          <w:rFonts w:cs="Arial"/>
          <w:bCs/>
          <w:szCs w:val="22"/>
        </w:rPr>
        <w:t>In the letter the plaintiff claimed pa</w:t>
      </w:r>
      <w:r w:rsidR="008A6F34" w:rsidRPr="00033E38">
        <w:rPr>
          <w:rFonts w:cs="Arial"/>
          <w:bCs/>
          <w:szCs w:val="22"/>
        </w:rPr>
        <w:t>y</w:t>
      </w:r>
      <w:r w:rsidR="00201BDF" w:rsidRPr="00033E38">
        <w:rPr>
          <w:rFonts w:cs="Arial"/>
          <w:bCs/>
          <w:szCs w:val="22"/>
        </w:rPr>
        <w:t>ment of R247</w:t>
      </w:r>
      <w:r w:rsidR="00033E38" w:rsidRPr="00033E38">
        <w:rPr>
          <w:rFonts w:cs="Arial"/>
          <w:bCs/>
          <w:szCs w:val="22"/>
        </w:rPr>
        <w:t>,</w:t>
      </w:r>
      <w:r w:rsidR="00201BDF" w:rsidRPr="00033E38">
        <w:rPr>
          <w:rFonts w:cs="Arial"/>
          <w:bCs/>
          <w:szCs w:val="22"/>
        </w:rPr>
        <w:t>167.90 in respect of arrear rental</w:t>
      </w:r>
      <w:r w:rsidR="00804744" w:rsidRPr="00033E38">
        <w:rPr>
          <w:rFonts w:cs="Arial"/>
          <w:bCs/>
          <w:szCs w:val="22"/>
        </w:rPr>
        <w:t xml:space="preserve"> alleged to be outstanding at the time</w:t>
      </w:r>
      <w:r w:rsidR="0010798D" w:rsidRPr="00033E38">
        <w:rPr>
          <w:rFonts w:cs="Arial"/>
          <w:bCs/>
          <w:szCs w:val="22"/>
        </w:rPr>
        <w:t>.</w:t>
      </w:r>
    </w:p>
    <w:p w14:paraId="734928BB" w14:textId="77777777" w:rsidR="00033E38" w:rsidRPr="00033E38" w:rsidRDefault="00033E38" w:rsidP="007078A5">
      <w:pPr>
        <w:widowControl w:val="0"/>
        <w:spacing w:before="480" w:after="480" w:line="360" w:lineRule="auto"/>
        <w:jc w:val="both"/>
        <w:rPr>
          <w:rFonts w:cs="Arial"/>
          <w:bCs/>
          <w:szCs w:val="22"/>
          <w:u w:val="single"/>
        </w:rPr>
      </w:pPr>
    </w:p>
    <w:p w14:paraId="691579C0" w14:textId="641E239D" w:rsidR="007078A5" w:rsidRPr="00033E38" w:rsidRDefault="007078A5" w:rsidP="007078A5">
      <w:pPr>
        <w:widowControl w:val="0"/>
        <w:spacing w:before="480" w:after="480" w:line="360" w:lineRule="auto"/>
        <w:jc w:val="both"/>
        <w:rPr>
          <w:rFonts w:cs="Arial"/>
          <w:bCs/>
          <w:szCs w:val="22"/>
          <w:u w:val="single"/>
        </w:rPr>
      </w:pPr>
      <w:r w:rsidRPr="00033E38">
        <w:rPr>
          <w:rFonts w:cs="Arial"/>
          <w:bCs/>
          <w:szCs w:val="22"/>
          <w:u w:val="single"/>
        </w:rPr>
        <w:t>The disputed amount</w:t>
      </w:r>
    </w:p>
    <w:p w14:paraId="49C659CA" w14:textId="1904CE3D" w:rsidR="00260189" w:rsidRPr="00033E38" w:rsidRDefault="009B44D1" w:rsidP="009B44D1">
      <w:pPr>
        <w:widowControl w:val="0"/>
        <w:tabs>
          <w:tab w:val="left" w:pos="567"/>
        </w:tabs>
        <w:spacing w:before="480" w:after="480" w:line="360" w:lineRule="auto"/>
        <w:jc w:val="both"/>
        <w:rPr>
          <w:rFonts w:cs="Arial"/>
          <w:bCs/>
          <w:szCs w:val="22"/>
        </w:rPr>
      </w:pPr>
      <w:r w:rsidRPr="00033E38">
        <w:rPr>
          <w:rFonts w:cs="Arial"/>
          <w:bCs/>
          <w:szCs w:val="22"/>
        </w:rPr>
        <w:t>[9]</w:t>
      </w:r>
      <w:r w:rsidRPr="00033E38">
        <w:rPr>
          <w:rFonts w:cs="Arial"/>
          <w:bCs/>
          <w:szCs w:val="22"/>
        </w:rPr>
        <w:tab/>
      </w:r>
      <w:r w:rsidR="0010798D" w:rsidRPr="00033E38">
        <w:rPr>
          <w:rFonts w:cs="Arial"/>
          <w:bCs/>
          <w:szCs w:val="22"/>
        </w:rPr>
        <w:t>In their plea the defendants dispute</w:t>
      </w:r>
      <w:r w:rsidR="0096632C" w:rsidRPr="00033E38">
        <w:rPr>
          <w:rFonts w:cs="Arial"/>
          <w:bCs/>
          <w:szCs w:val="22"/>
        </w:rPr>
        <w:t>d</w:t>
      </w:r>
      <w:r w:rsidR="0010798D" w:rsidRPr="00033E38">
        <w:rPr>
          <w:rFonts w:cs="Arial"/>
          <w:bCs/>
          <w:szCs w:val="22"/>
        </w:rPr>
        <w:t xml:space="preserve"> the amount claimed and stated that the amount </w:t>
      </w:r>
      <w:r w:rsidR="0069322F">
        <w:rPr>
          <w:rFonts w:cs="Arial"/>
          <w:bCs/>
          <w:szCs w:val="22"/>
        </w:rPr>
        <w:t>wa</w:t>
      </w:r>
      <w:r w:rsidR="0010798D" w:rsidRPr="00033E38">
        <w:rPr>
          <w:rFonts w:cs="Arial"/>
          <w:bCs/>
          <w:szCs w:val="22"/>
        </w:rPr>
        <w:t>s in dispute because of inaccuracies in the account relating to the billing of the supply of electricity to the premises.</w:t>
      </w:r>
      <w:r w:rsidR="000D6DB5" w:rsidRPr="00033E38">
        <w:rPr>
          <w:rFonts w:cs="Arial"/>
          <w:bCs/>
          <w:szCs w:val="22"/>
        </w:rPr>
        <w:t xml:space="preserve"> The defendants also pleaded that it would be unreasonable to evict them from the premises. The dispute raised by the defendants in respect of the consumption of electricity is based on the fact that while the bakery at the premises continued to operate during the lockdown there were fewer customers and therefore the consumption of electricity should have been lower.</w:t>
      </w:r>
      <w:r w:rsidR="00CE1FF4" w:rsidRPr="00033E38">
        <w:rPr>
          <w:rFonts w:cs="Arial"/>
          <w:bCs/>
          <w:szCs w:val="22"/>
        </w:rPr>
        <w:t xml:space="preserve"> </w:t>
      </w:r>
      <w:r w:rsidR="002127C9">
        <w:rPr>
          <w:rFonts w:cs="Arial"/>
          <w:bCs/>
          <w:szCs w:val="22"/>
        </w:rPr>
        <w:t xml:space="preserve">The ability of the plaintiff to accurately record the consumption </w:t>
      </w:r>
      <w:r w:rsidR="00BC4EB5">
        <w:rPr>
          <w:rFonts w:cs="Arial"/>
          <w:bCs/>
          <w:szCs w:val="22"/>
        </w:rPr>
        <w:t xml:space="preserve">during the lockdown period </w:t>
      </w:r>
      <w:r w:rsidR="002127C9">
        <w:rPr>
          <w:rFonts w:cs="Arial"/>
          <w:bCs/>
          <w:szCs w:val="22"/>
        </w:rPr>
        <w:t>was also questioned by the defendants.</w:t>
      </w:r>
    </w:p>
    <w:p w14:paraId="6403C467" w14:textId="480C401F" w:rsidR="00260189" w:rsidRPr="00033E38" w:rsidRDefault="009B44D1" w:rsidP="009B44D1">
      <w:pPr>
        <w:widowControl w:val="0"/>
        <w:tabs>
          <w:tab w:val="left" w:pos="567"/>
        </w:tabs>
        <w:spacing w:before="480" w:after="480" w:line="360" w:lineRule="auto"/>
        <w:jc w:val="both"/>
        <w:rPr>
          <w:rFonts w:cs="Arial"/>
          <w:bCs/>
          <w:szCs w:val="22"/>
        </w:rPr>
      </w:pPr>
      <w:r w:rsidRPr="00033E38">
        <w:rPr>
          <w:rFonts w:cs="Arial"/>
          <w:bCs/>
          <w:szCs w:val="22"/>
        </w:rPr>
        <w:t>[10]</w:t>
      </w:r>
      <w:r w:rsidRPr="00033E38">
        <w:rPr>
          <w:rFonts w:cs="Arial"/>
          <w:bCs/>
          <w:szCs w:val="22"/>
        </w:rPr>
        <w:tab/>
      </w:r>
      <w:r w:rsidR="00260189" w:rsidRPr="00033E38">
        <w:rPr>
          <w:rFonts w:cs="Arial"/>
          <w:bCs/>
          <w:szCs w:val="22"/>
        </w:rPr>
        <w:t>The defendants</w:t>
      </w:r>
      <w:r w:rsidR="002127C9">
        <w:rPr>
          <w:rFonts w:cs="Arial"/>
          <w:bCs/>
          <w:szCs w:val="22"/>
        </w:rPr>
        <w:t>’</w:t>
      </w:r>
      <w:r w:rsidR="00260189" w:rsidRPr="00033E38">
        <w:rPr>
          <w:rFonts w:cs="Arial"/>
          <w:bCs/>
          <w:szCs w:val="22"/>
        </w:rPr>
        <w:t xml:space="preserve"> defences are based on conjecture in that it is stated that the bakery did not operate </w:t>
      </w:r>
      <w:r w:rsidR="00260189" w:rsidRPr="00033E38">
        <w:rPr>
          <w:rFonts w:cs="Arial"/>
          <w:bCs/>
          <w:i/>
          <w:iCs/>
          <w:szCs w:val="22"/>
        </w:rPr>
        <w:t>“at its optimum”</w:t>
      </w:r>
      <w:r w:rsidR="00260189" w:rsidRPr="00033E38">
        <w:rPr>
          <w:rFonts w:cs="Arial"/>
          <w:bCs/>
          <w:szCs w:val="22"/>
        </w:rPr>
        <w:t xml:space="preserve"> during the covid lockdown period. The defendants are however unable to present any evidence in this regard and in the absence of evidence the </w:t>
      </w:r>
      <w:r w:rsidR="00260189" w:rsidRPr="00033E38">
        <w:rPr>
          <w:rFonts w:cs="Arial"/>
          <w:bCs/>
          <w:i/>
          <w:iCs/>
          <w:szCs w:val="22"/>
        </w:rPr>
        <w:t>prima facie</w:t>
      </w:r>
      <w:r w:rsidR="00260189" w:rsidRPr="00033E38">
        <w:rPr>
          <w:rFonts w:cs="Arial"/>
          <w:bCs/>
          <w:szCs w:val="22"/>
        </w:rPr>
        <w:t xml:space="preserve"> case made out by the certificates relied upon by the plaintiff must be accepted.</w:t>
      </w:r>
    </w:p>
    <w:p w14:paraId="53C963C1" w14:textId="00F4BD3B" w:rsidR="00303DD4" w:rsidRPr="00033E38" w:rsidRDefault="009B44D1" w:rsidP="009B44D1">
      <w:pPr>
        <w:widowControl w:val="0"/>
        <w:tabs>
          <w:tab w:val="left" w:pos="567"/>
        </w:tabs>
        <w:spacing w:before="480" w:after="480" w:line="360" w:lineRule="auto"/>
        <w:jc w:val="both"/>
        <w:rPr>
          <w:rFonts w:cs="Arial"/>
          <w:bCs/>
          <w:szCs w:val="22"/>
        </w:rPr>
      </w:pPr>
      <w:r w:rsidRPr="00033E38">
        <w:rPr>
          <w:rFonts w:cs="Arial"/>
          <w:bCs/>
          <w:szCs w:val="22"/>
        </w:rPr>
        <w:t>[11]</w:t>
      </w:r>
      <w:r w:rsidRPr="00033E38">
        <w:rPr>
          <w:rFonts w:cs="Arial"/>
          <w:bCs/>
          <w:szCs w:val="22"/>
        </w:rPr>
        <w:tab/>
      </w:r>
      <w:r w:rsidR="00CE1FF4" w:rsidRPr="00033E38">
        <w:rPr>
          <w:rFonts w:cs="Arial"/>
          <w:bCs/>
          <w:szCs w:val="22"/>
        </w:rPr>
        <w:t xml:space="preserve">The plaintiff point out however that the </w:t>
      </w:r>
      <w:r w:rsidR="007F47EA" w:rsidRPr="00033E38">
        <w:rPr>
          <w:rFonts w:cs="Arial"/>
          <w:bCs/>
          <w:szCs w:val="22"/>
        </w:rPr>
        <w:t xml:space="preserve">calculation complained of </w:t>
      </w:r>
      <w:r w:rsidR="00CE1FF4" w:rsidRPr="00033E38">
        <w:rPr>
          <w:rFonts w:cs="Arial"/>
          <w:bCs/>
          <w:szCs w:val="22"/>
        </w:rPr>
        <w:t xml:space="preserve">did not relate to the period March to July 2022 as alleged by the defendants, but related instead to the period 15 July to 17 August 2022. The readings were based on actual readings taken and not on estimates. </w:t>
      </w:r>
    </w:p>
    <w:p w14:paraId="348B1FBE" w14:textId="05CC12AA" w:rsidR="00260189" w:rsidRPr="00033E38" w:rsidRDefault="009B44D1" w:rsidP="009B44D1">
      <w:pPr>
        <w:widowControl w:val="0"/>
        <w:tabs>
          <w:tab w:val="left" w:pos="567"/>
        </w:tabs>
        <w:spacing w:before="480" w:after="480" w:line="360" w:lineRule="auto"/>
        <w:jc w:val="both"/>
        <w:rPr>
          <w:rFonts w:cs="Arial"/>
          <w:bCs/>
          <w:szCs w:val="22"/>
        </w:rPr>
      </w:pPr>
      <w:r w:rsidRPr="00033E38">
        <w:rPr>
          <w:rFonts w:cs="Arial"/>
          <w:bCs/>
          <w:szCs w:val="22"/>
        </w:rPr>
        <w:lastRenderedPageBreak/>
        <w:t>[12]</w:t>
      </w:r>
      <w:r w:rsidRPr="00033E38">
        <w:rPr>
          <w:rFonts w:cs="Arial"/>
          <w:bCs/>
          <w:szCs w:val="22"/>
        </w:rPr>
        <w:tab/>
      </w:r>
      <w:r w:rsidR="00260189" w:rsidRPr="00033E38">
        <w:rPr>
          <w:rFonts w:cs="Arial"/>
          <w:bCs/>
          <w:szCs w:val="22"/>
        </w:rPr>
        <w:t xml:space="preserve">The defendants do not dispute the correctness of the payments made and also do not dispute </w:t>
      </w:r>
      <w:r w:rsidR="007F47EA" w:rsidRPr="00033E38">
        <w:rPr>
          <w:rFonts w:cs="Arial"/>
          <w:bCs/>
          <w:szCs w:val="22"/>
        </w:rPr>
        <w:t>receipt</w:t>
      </w:r>
      <w:r w:rsidR="00260189" w:rsidRPr="00033E38">
        <w:rPr>
          <w:rFonts w:cs="Arial"/>
          <w:bCs/>
          <w:szCs w:val="22"/>
        </w:rPr>
        <w:t xml:space="preserve"> of the letter of demand of 3 October 2022.</w:t>
      </w:r>
      <w:r w:rsidR="0041632B" w:rsidRPr="00033E38">
        <w:rPr>
          <w:rFonts w:cs="Arial"/>
          <w:bCs/>
          <w:szCs w:val="22"/>
        </w:rPr>
        <w:t xml:space="preserve"> </w:t>
      </w:r>
    </w:p>
    <w:p w14:paraId="1AD5167D" w14:textId="39978B69" w:rsidR="00CC66A6" w:rsidRDefault="009B44D1" w:rsidP="009B44D1">
      <w:pPr>
        <w:widowControl w:val="0"/>
        <w:tabs>
          <w:tab w:val="left" w:pos="567"/>
        </w:tabs>
        <w:spacing w:before="480" w:after="480" w:line="360" w:lineRule="auto"/>
        <w:jc w:val="both"/>
        <w:rPr>
          <w:rFonts w:cs="Arial"/>
          <w:bCs/>
          <w:szCs w:val="22"/>
        </w:rPr>
      </w:pPr>
      <w:r>
        <w:rPr>
          <w:rFonts w:cs="Arial"/>
          <w:bCs/>
          <w:szCs w:val="22"/>
        </w:rPr>
        <w:t>[13]</w:t>
      </w:r>
      <w:r>
        <w:rPr>
          <w:rFonts w:cs="Arial"/>
          <w:bCs/>
          <w:szCs w:val="22"/>
        </w:rPr>
        <w:tab/>
      </w:r>
      <w:r w:rsidR="0010798D" w:rsidRPr="00033E38">
        <w:rPr>
          <w:rFonts w:cs="Arial"/>
          <w:bCs/>
          <w:szCs w:val="22"/>
        </w:rPr>
        <w:t xml:space="preserve">The defendants made certain payments during the period since summons was issued and the plaintiff </w:t>
      </w:r>
      <w:r w:rsidR="00656DB1" w:rsidRPr="00033E38">
        <w:rPr>
          <w:rFonts w:cs="Arial"/>
          <w:bCs/>
          <w:szCs w:val="22"/>
        </w:rPr>
        <w:t xml:space="preserve">now </w:t>
      </w:r>
      <w:r w:rsidR="0010798D" w:rsidRPr="00033E38">
        <w:rPr>
          <w:rFonts w:cs="Arial"/>
          <w:bCs/>
          <w:szCs w:val="22"/>
        </w:rPr>
        <w:t>claims R189,854.97</w:t>
      </w:r>
      <w:r w:rsidR="000D6DB5" w:rsidRPr="00033E38">
        <w:rPr>
          <w:rFonts w:cs="Arial"/>
          <w:bCs/>
          <w:szCs w:val="22"/>
        </w:rPr>
        <w:t xml:space="preserve"> together with interest at the rate of 7.25% </w:t>
      </w:r>
      <w:r w:rsidR="000D6DB5" w:rsidRPr="00CC66A6">
        <w:rPr>
          <w:rFonts w:cs="Arial"/>
          <w:bCs/>
          <w:i/>
          <w:iCs/>
          <w:szCs w:val="22"/>
        </w:rPr>
        <w:t>per annum</w:t>
      </w:r>
      <w:r w:rsidR="000D6DB5" w:rsidRPr="00033E38">
        <w:rPr>
          <w:rFonts w:cs="Arial"/>
          <w:bCs/>
          <w:szCs w:val="22"/>
        </w:rPr>
        <w:t xml:space="preserve"> from 1 December 2022 to date of payment.</w:t>
      </w:r>
      <w:r w:rsidR="00656DB1" w:rsidRPr="00033E38">
        <w:rPr>
          <w:rFonts w:cs="Arial"/>
          <w:bCs/>
          <w:szCs w:val="22"/>
        </w:rPr>
        <w:t xml:space="preserve"> </w:t>
      </w:r>
      <w:r w:rsidR="00033E38" w:rsidRPr="00033E38">
        <w:rPr>
          <w:rFonts w:cs="Arial"/>
          <w:bCs/>
          <w:szCs w:val="22"/>
        </w:rPr>
        <w:t xml:space="preserve">The </w:t>
      </w:r>
      <w:r w:rsidR="00656DB1" w:rsidRPr="00033E38">
        <w:rPr>
          <w:rFonts w:cs="Arial"/>
          <w:bCs/>
          <w:szCs w:val="22"/>
        </w:rPr>
        <w:t xml:space="preserve">plaintiff attached a  certificate of balance  as well as a new statement of account to the  affidavit in support of the application </w:t>
      </w:r>
      <w:r w:rsidR="007F47EA" w:rsidRPr="00033E38">
        <w:rPr>
          <w:rFonts w:cs="Arial"/>
          <w:bCs/>
          <w:szCs w:val="22"/>
        </w:rPr>
        <w:t>f</w:t>
      </w:r>
      <w:r w:rsidR="00656DB1" w:rsidRPr="00033E38">
        <w:rPr>
          <w:rFonts w:cs="Arial"/>
          <w:bCs/>
          <w:szCs w:val="22"/>
        </w:rPr>
        <w:t>or summary judgement  and reflecting  payments made after the summons</w:t>
      </w:r>
      <w:r w:rsidR="007078A5" w:rsidRPr="00033E38">
        <w:rPr>
          <w:rFonts w:cs="Arial"/>
          <w:bCs/>
          <w:szCs w:val="22"/>
        </w:rPr>
        <w:t xml:space="preserve"> was prepared.</w:t>
      </w:r>
      <w:r w:rsidR="00033E38" w:rsidRPr="00033E38">
        <w:rPr>
          <w:rFonts w:cs="Arial"/>
          <w:bCs/>
          <w:szCs w:val="22"/>
        </w:rPr>
        <w:t xml:space="preserve"> Certificates that provide </w:t>
      </w:r>
      <w:r w:rsidR="00033E38" w:rsidRPr="00033E38">
        <w:rPr>
          <w:rFonts w:cs="Arial"/>
          <w:bCs/>
          <w:i/>
          <w:iCs/>
          <w:szCs w:val="22"/>
        </w:rPr>
        <w:t>prima facie</w:t>
      </w:r>
      <w:r w:rsidR="00033E38" w:rsidRPr="00033E38">
        <w:rPr>
          <w:rFonts w:cs="Arial"/>
          <w:bCs/>
          <w:szCs w:val="22"/>
        </w:rPr>
        <w:t xml:space="preserve"> </w:t>
      </w:r>
      <w:r w:rsidR="00CC66A6">
        <w:rPr>
          <w:rFonts w:cs="Arial"/>
          <w:bCs/>
          <w:szCs w:val="22"/>
        </w:rPr>
        <w:t>proof of calculations are acce</w:t>
      </w:r>
      <w:r w:rsidR="00033E38" w:rsidRPr="00033E38">
        <w:rPr>
          <w:rFonts w:cs="Arial"/>
          <w:bCs/>
          <w:szCs w:val="22"/>
        </w:rPr>
        <w:t>ptable</w:t>
      </w:r>
      <w:r w:rsidR="00033E38" w:rsidRPr="00033E38">
        <w:rPr>
          <w:rStyle w:val="FootnoteReference"/>
          <w:rFonts w:cs="Arial"/>
          <w:bCs/>
          <w:szCs w:val="22"/>
        </w:rPr>
        <w:footnoteReference w:id="5"/>
      </w:r>
      <w:r w:rsidR="00033E38" w:rsidRPr="00033E38">
        <w:rPr>
          <w:rFonts w:cs="Arial"/>
          <w:bCs/>
          <w:szCs w:val="22"/>
        </w:rPr>
        <w:t xml:space="preserve"> in our law. </w:t>
      </w:r>
    </w:p>
    <w:p w14:paraId="77964B2E" w14:textId="3B348B76" w:rsidR="00033E38" w:rsidRPr="00033E38" w:rsidRDefault="00033E38" w:rsidP="00CC66A6">
      <w:pPr>
        <w:widowControl w:val="0"/>
        <w:spacing w:before="480" w:after="480" w:line="360" w:lineRule="auto"/>
        <w:jc w:val="both"/>
        <w:rPr>
          <w:rFonts w:cs="Arial"/>
          <w:bCs/>
          <w:szCs w:val="22"/>
        </w:rPr>
      </w:pPr>
      <w:r w:rsidRPr="00033E38">
        <w:rPr>
          <w:rFonts w:cs="Arial"/>
          <w:bCs/>
          <w:szCs w:val="22"/>
        </w:rPr>
        <w:t>Rule 32 (4) provides that no evidence may be adduced by the plaintiff otherwise than by the affidavit referred to in rule 32 (2) that this does not mean that a revised certificate reflecting the latest balances may not be presented in a summary judgement application. To hold otherwise would deprive a defendant who paid part of the debt of a defence in respect of part of the claim,</w:t>
      </w:r>
      <w:r w:rsidRPr="00033E38">
        <w:rPr>
          <w:rStyle w:val="FootnoteReference"/>
          <w:rFonts w:cs="Arial"/>
          <w:bCs/>
          <w:szCs w:val="22"/>
        </w:rPr>
        <w:footnoteReference w:id="6"/>
      </w:r>
      <w:r w:rsidRPr="00033E38">
        <w:rPr>
          <w:rFonts w:cs="Arial"/>
          <w:bCs/>
          <w:szCs w:val="22"/>
        </w:rPr>
        <w:t xml:space="preserve"> and would deprive the court and all the parties of the opportunity to conside</w:t>
      </w:r>
      <w:r w:rsidR="00CC66A6">
        <w:rPr>
          <w:rFonts w:cs="Arial"/>
          <w:bCs/>
          <w:szCs w:val="22"/>
        </w:rPr>
        <w:t xml:space="preserve">r </w:t>
      </w:r>
      <w:r w:rsidRPr="00033E38">
        <w:rPr>
          <w:rFonts w:cs="Arial"/>
          <w:bCs/>
          <w:szCs w:val="22"/>
        </w:rPr>
        <w:t>the latest financial details that are relevant to the litigation.</w:t>
      </w:r>
    </w:p>
    <w:p w14:paraId="0427564C" w14:textId="77777777" w:rsidR="00033E38" w:rsidRPr="00033E38" w:rsidRDefault="00033E38" w:rsidP="007078A5">
      <w:pPr>
        <w:widowControl w:val="0"/>
        <w:spacing w:before="480" w:after="480" w:line="360" w:lineRule="auto"/>
        <w:jc w:val="both"/>
        <w:rPr>
          <w:rFonts w:cs="Arial"/>
          <w:bCs/>
          <w:szCs w:val="22"/>
          <w:u w:val="single"/>
        </w:rPr>
      </w:pPr>
    </w:p>
    <w:p w14:paraId="668C7CFD" w14:textId="28B35DEF" w:rsidR="007078A5" w:rsidRPr="00033E38" w:rsidRDefault="007078A5" w:rsidP="007078A5">
      <w:pPr>
        <w:widowControl w:val="0"/>
        <w:spacing w:before="480" w:after="480" w:line="360" w:lineRule="auto"/>
        <w:jc w:val="both"/>
        <w:rPr>
          <w:rFonts w:cs="Arial"/>
          <w:bCs/>
          <w:szCs w:val="22"/>
          <w:u w:val="single"/>
        </w:rPr>
      </w:pPr>
      <w:bookmarkStart w:id="0" w:name="_Hlk160608504"/>
      <w:r w:rsidRPr="00033E38">
        <w:rPr>
          <w:rFonts w:cs="Arial"/>
          <w:bCs/>
          <w:szCs w:val="22"/>
          <w:u w:val="single"/>
        </w:rPr>
        <w:t xml:space="preserve">Supervening impossibility of performance and </w:t>
      </w:r>
      <w:r w:rsidRPr="00033E38">
        <w:rPr>
          <w:rFonts w:cs="Arial"/>
          <w:bCs/>
          <w:i/>
          <w:iCs/>
          <w:szCs w:val="22"/>
          <w:u w:val="single"/>
        </w:rPr>
        <w:t>vis maior</w:t>
      </w:r>
    </w:p>
    <w:p w14:paraId="5F508D28" w14:textId="2A130012" w:rsidR="00BC4EB5" w:rsidRDefault="009B44D1" w:rsidP="009B44D1">
      <w:pPr>
        <w:widowControl w:val="0"/>
        <w:tabs>
          <w:tab w:val="left" w:pos="567"/>
        </w:tabs>
        <w:spacing w:before="480" w:after="480" w:line="360" w:lineRule="auto"/>
        <w:jc w:val="both"/>
        <w:rPr>
          <w:rFonts w:cs="Arial"/>
          <w:bCs/>
          <w:szCs w:val="22"/>
        </w:rPr>
      </w:pPr>
      <w:r>
        <w:rPr>
          <w:rFonts w:cs="Arial"/>
          <w:bCs/>
          <w:szCs w:val="22"/>
        </w:rPr>
        <w:t>[14]</w:t>
      </w:r>
      <w:r>
        <w:rPr>
          <w:rFonts w:cs="Arial"/>
          <w:bCs/>
          <w:szCs w:val="22"/>
        </w:rPr>
        <w:tab/>
      </w:r>
      <w:r w:rsidR="007078A5" w:rsidRPr="00033E38">
        <w:rPr>
          <w:rFonts w:cs="Arial"/>
          <w:bCs/>
          <w:szCs w:val="22"/>
        </w:rPr>
        <w:t xml:space="preserve">It is common cause that the bakery continue to operate during the lockdown period and it is commonly accepted in business that trade was </w:t>
      </w:r>
      <w:r w:rsidR="00033E38" w:rsidRPr="00033E38">
        <w:rPr>
          <w:rFonts w:cs="Arial"/>
          <w:bCs/>
          <w:szCs w:val="22"/>
        </w:rPr>
        <w:t>slow</w:t>
      </w:r>
      <w:r w:rsidR="007078A5" w:rsidRPr="00033E38">
        <w:rPr>
          <w:rFonts w:cs="Arial"/>
          <w:bCs/>
          <w:szCs w:val="22"/>
        </w:rPr>
        <w:t xml:space="preserve"> during the</w:t>
      </w:r>
      <w:r w:rsidR="00033E38" w:rsidRPr="00033E38">
        <w:rPr>
          <w:rFonts w:cs="Arial"/>
          <w:bCs/>
          <w:szCs w:val="22"/>
        </w:rPr>
        <w:t xml:space="preserve"> lockdown</w:t>
      </w:r>
      <w:r w:rsidR="007078A5" w:rsidRPr="00033E38">
        <w:rPr>
          <w:rFonts w:cs="Arial"/>
          <w:bCs/>
          <w:szCs w:val="22"/>
        </w:rPr>
        <w:t xml:space="preserve"> period. </w:t>
      </w:r>
      <w:r w:rsidR="00BC4EB5">
        <w:rPr>
          <w:rFonts w:cs="Arial"/>
          <w:bCs/>
          <w:szCs w:val="22"/>
        </w:rPr>
        <w:t>The risk of a business downturn was a risk undertaken by the defendants’ business and not a risk that can be allocated to the plaintiff.</w:t>
      </w:r>
    </w:p>
    <w:p w14:paraId="24D939CE" w14:textId="67F12B32" w:rsidR="007078A5" w:rsidRPr="00033E38" w:rsidRDefault="009B44D1" w:rsidP="009B44D1">
      <w:pPr>
        <w:widowControl w:val="0"/>
        <w:tabs>
          <w:tab w:val="left" w:pos="567"/>
        </w:tabs>
        <w:spacing w:before="480" w:after="480" w:line="360" w:lineRule="auto"/>
        <w:jc w:val="both"/>
        <w:rPr>
          <w:rFonts w:cs="Arial"/>
          <w:bCs/>
          <w:szCs w:val="22"/>
        </w:rPr>
      </w:pPr>
      <w:r w:rsidRPr="00033E38">
        <w:rPr>
          <w:rFonts w:cs="Arial"/>
          <w:bCs/>
          <w:szCs w:val="22"/>
        </w:rPr>
        <w:t>[15]</w:t>
      </w:r>
      <w:r w:rsidRPr="00033E38">
        <w:rPr>
          <w:rFonts w:cs="Arial"/>
          <w:bCs/>
          <w:szCs w:val="22"/>
        </w:rPr>
        <w:tab/>
      </w:r>
      <w:r w:rsidR="007078A5" w:rsidRPr="00033E38">
        <w:rPr>
          <w:rFonts w:cs="Arial"/>
          <w:bCs/>
          <w:szCs w:val="22"/>
        </w:rPr>
        <w:t>The bakery operated by the first defendant remained open during the lockdown period and the first defendant was able to use the premises for its intended purpose. Supervening impossibility does not arise from a difficulty in performing under a contract</w:t>
      </w:r>
      <w:r w:rsidR="001B1B6F" w:rsidRPr="00033E38">
        <w:rPr>
          <w:rFonts w:cs="Arial"/>
          <w:bCs/>
          <w:szCs w:val="22"/>
        </w:rPr>
        <w:t>;</w:t>
      </w:r>
      <w:r w:rsidR="007078A5" w:rsidRPr="00033E38">
        <w:rPr>
          <w:rStyle w:val="FootnoteReference"/>
          <w:rFonts w:cs="Arial"/>
          <w:bCs/>
          <w:szCs w:val="22"/>
        </w:rPr>
        <w:footnoteReference w:id="7"/>
      </w:r>
      <w:r w:rsidR="007078A5" w:rsidRPr="00033E38">
        <w:rPr>
          <w:rFonts w:cs="Arial"/>
          <w:bCs/>
          <w:szCs w:val="22"/>
        </w:rPr>
        <w:t xml:space="preserve"> </w:t>
      </w:r>
      <w:r w:rsidR="001B1B6F" w:rsidRPr="00033E38">
        <w:rPr>
          <w:rFonts w:cs="Arial"/>
          <w:bCs/>
          <w:szCs w:val="22"/>
        </w:rPr>
        <w:t>it arises from an absolute impossibility.</w:t>
      </w:r>
      <w:r w:rsidR="001B1B6F" w:rsidRPr="00033E38">
        <w:rPr>
          <w:rStyle w:val="FootnoteReference"/>
          <w:rFonts w:cs="Arial"/>
          <w:bCs/>
          <w:szCs w:val="22"/>
        </w:rPr>
        <w:footnoteReference w:id="8"/>
      </w:r>
      <w:r w:rsidR="001B1B6F" w:rsidRPr="00033E38">
        <w:rPr>
          <w:rFonts w:cs="Arial"/>
          <w:bCs/>
          <w:szCs w:val="22"/>
        </w:rPr>
        <w:t xml:space="preserve"> </w:t>
      </w:r>
      <w:r w:rsidR="007078A5" w:rsidRPr="00033E38">
        <w:rPr>
          <w:rFonts w:cs="Arial"/>
          <w:bCs/>
          <w:szCs w:val="22"/>
        </w:rPr>
        <w:t xml:space="preserve">Commercial impossibility or undesirability does </w:t>
      </w:r>
      <w:r w:rsidR="007078A5" w:rsidRPr="00033E38">
        <w:rPr>
          <w:rFonts w:cs="Arial"/>
          <w:bCs/>
          <w:szCs w:val="22"/>
        </w:rPr>
        <w:lastRenderedPageBreak/>
        <w:t>not give rise to supervening impossibility.</w:t>
      </w:r>
      <w:r w:rsidR="007078A5" w:rsidRPr="00033E38">
        <w:rPr>
          <w:rStyle w:val="FootnoteReference"/>
          <w:rFonts w:cs="Arial"/>
          <w:bCs/>
          <w:szCs w:val="22"/>
        </w:rPr>
        <w:footnoteReference w:id="9"/>
      </w:r>
      <w:r w:rsidR="007078A5" w:rsidRPr="00033E38">
        <w:rPr>
          <w:rFonts w:cs="Arial"/>
          <w:bCs/>
          <w:szCs w:val="22"/>
        </w:rPr>
        <w:t xml:space="preserve"> </w:t>
      </w:r>
    </w:p>
    <w:p w14:paraId="3C8B64E9" w14:textId="4A66E1CC" w:rsidR="007078A5" w:rsidRDefault="009B44D1" w:rsidP="009B44D1">
      <w:pPr>
        <w:widowControl w:val="0"/>
        <w:tabs>
          <w:tab w:val="left" w:pos="567"/>
        </w:tabs>
        <w:spacing w:before="480" w:after="480" w:line="360" w:lineRule="auto"/>
        <w:jc w:val="both"/>
        <w:rPr>
          <w:rFonts w:cs="Arial"/>
          <w:bCs/>
          <w:szCs w:val="22"/>
        </w:rPr>
      </w:pPr>
      <w:r>
        <w:rPr>
          <w:rFonts w:cs="Arial"/>
          <w:bCs/>
          <w:szCs w:val="22"/>
        </w:rPr>
        <w:t>[16]</w:t>
      </w:r>
      <w:r>
        <w:rPr>
          <w:rFonts w:cs="Arial"/>
          <w:bCs/>
          <w:szCs w:val="22"/>
        </w:rPr>
        <w:tab/>
      </w:r>
      <w:r w:rsidR="007078A5" w:rsidRPr="00033E38">
        <w:rPr>
          <w:rFonts w:cs="Arial"/>
          <w:bCs/>
          <w:szCs w:val="22"/>
        </w:rPr>
        <w:t xml:space="preserve">The defendant cannot rely on </w:t>
      </w:r>
      <w:r w:rsidR="007078A5" w:rsidRPr="00033E38">
        <w:rPr>
          <w:rFonts w:cs="Arial"/>
          <w:bCs/>
          <w:i/>
          <w:iCs/>
          <w:szCs w:val="22"/>
        </w:rPr>
        <w:t>vis maior</w:t>
      </w:r>
      <w:r w:rsidR="007078A5" w:rsidRPr="00033E38">
        <w:rPr>
          <w:rFonts w:cs="Arial"/>
          <w:bCs/>
          <w:szCs w:val="22"/>
        </w:rPr>
        <w:t xml:space="preserve"> and </w:t>
      </w:r>
      <w:r w:rsidR="00CC66A6">
        <w:rPr>
          <w:rFonts w:cs="Arial"/>
          <w:bCs/>
          <w:szCs w:val="22"/>
        </w:rPr>
        <w:t xml:space="preserve">the </w:t>
      </w:r>
      <w:r w:rsidR="007078A5" w:rsidRPr="00033E38">
        <w:rPr>
          <w:rFonts w:cs="Arial"/>
          <w:bCs/>
          <w:szCs w:val="22"/>
        </w:rPr>
        <w:t xml:space="preserve">performance of either parties’ obligations never became impossible or prohibited by legislation. </w:t>
      </w:r>
    </w:p>
    <w:bookmarkEnd w:id="0"/>
    <w:p w14:paraId="78479E96" w14:textId="77777777" w:rsidR="00033E38" w:rsidRPr="00033E38" w:rsidRDefault="00033E38" w:rsidP="007078A5">
      <w:pPr>
        <w:widowControl w:val="0"/>
        <w:spacing w:before="480" w:after="480" w:line="360" w:lineRule="auto"/>
        <w:jc w:val="both"/>
        <w:rPr>
          <w:rFonts w:cs="Arial"/>
          <w:bCs/>
          <w:szCs w:val="22"/>
          <w:u w:val="single"/>
        </w:rPr>
      </w:pPr>
    </w:p>
    <w:p w14:paraId="06DD12D4" w14:textId="165C9187" w:rsidR="007078A5" w:rsidRPr="00033E38" w:rsidRDefault="007078A5" w:rsidP="007078A5">
      <w:pPr>
        <w:widowControl w:val="0"/>
        <w:spacing w:before="480" w:after="480" w:line="360" w:lineRule="auto"/>
        <w:jc w:val="both"/>
        <w:rPr>
          <w:rFonts w:cs="Arial"/>
          <w:bCs/>
          <w:szCs w:val="22"/>
          <w:u w:val="single"/>
        </w:rPr>
      </w:pPr>
      <w:r w:rsidRPr="00033E38">
        <w:rPr>
          <w:rFonts w:cs="Arial"/>
          <w:bCs/>
          <w:szCs w:val="22"/>
          <w:u w:val="single"/>
        </w:rPr>
        <w:t>The suretyship</w:t>
      </w:r>
    </w:p>
    <w:p w14:paraId="4F292B30" w14:textId="0CBC5719" w:rsidR="000D6DB5" w:rsidRDefault="009B44D1" w:rsidP="009B44D1">
      <w:pPr>
        <w:widowControl w:val="0"/>
        <w:tabs>
          <w:tab w:val="left" w:pos="567"/>
        </w:tabs>
        <w:spacing w:before="480" w:after="480" w:line="360" w:lineRule="auto"/>
        <w:jc w:val="both"/>
        <w:rPr>
          <w:rFonts w:cs="Arial"/>
          <w:bCs/>
          <w:szCs w:val="22"/>
        </w:rPr>
      </w:pPr>
      <w:r>
        <w:rPr>
          <w:rFonts w:cs="Arial"/>
          <w:bCs/>
          <w:szCs w:val="22"/>
        </w:rPr>
        <w:t>[17]</w:t>
      </w:r>
      <w:r>
        <w:rPr>
          <w:rFonts w:cs="Arial"/>
          <w:bCs/>
          <w:szCs w:val="22"/>
        </w:rPr>
        <w:tab/>
      </w:r>
      <w:r w:rsidR="00576147" w:rsidRPr="00033E38">
        <w:rPr>
          <w:rFonts w:cs="Arial"/>
          <w:bCs/>
          <w:szCs w:val="22"/>
        </w:rPr>
        <w:t xml:space="preserve">The second and third defendants bound themselves to the plaintiff jointly and severally with the first defendant as surety and co-principal debtor in April 2015. They stood surety for the due and punctual payment of all amounts due by the first defendant to the plaintiff </w:t>
      </w:r>
      <w:r w:rsidR="0096632C" w:rsidRPr="00033E38">
        <w:rPr>
          <w:rFonts w:cs="Arial"/>
          <w:bCs/>
          <w:i/>
          <w:iCs/>
          <w:szCs w:val="22"/>
        </w:rPr>
        <w:t>“</w:t>
      </w:r>
      <w:r w:rsidR="00576147" w:rsidRPr="00033E38">
        <w:rPr>
          <w:rFonts w:cs="Arial"/>
          <w:bCs/>
          <w:i/>
          <w:iCs/>
          <w:szCs w:val="22"/>
        </w:rPr>
        <w:t>arising out of</w:t>
      </w:r>
      <w:r w:rsidR="0096632C" w:rsidRPr="00033E38">
        <w:rPr>
          <w:rFonts w:cs="Arial"/>
          <w:bCs/>
          <w:i/>
          <w:iCs/>
          <w:szCs w:val="22"/>
        </w:rPr>
        <w:t>”</w:t>
      </w:r>
      <w:r w:rsidR="00576147" w:rsidRPr="00033E38">
        <w:rPr>
          <w:rFonts w:cs="Arial"/>
          <w:bCs/>
          <w:szCs w:val="22"/>
        </w:rPr>
        <w:t xml:space="preserve"> the lease. It was also agreed that a certificate under the hand of a financial manager of the plaintiff or its agent certifying the indebtedness of the first defendant to the plaintiff will be </w:t>
      </w:r>
      <w:r w:rsidR="00576147" w:rsidRPr="00033E38">
        <w:rPr>
          <w:rFonts w:cs="Arial"/>
          <w:bCs/>
          <w:i/>
          <w:iCs/>
          <w:szCs w:val="22"/>
        </w:rPr>
        <w:t>prima facie</w:t>
      </w:r>
      <w:r w:rsidR="00576147" w:rsidRPr="00033E38">
        <w:rPr>
          <w:rFonts w:cs="Arial"/>
          <w:bCs/>
          <w:szCs w:val="22"/>
        </w:rPr>
        <w:t xml:space="preserve"> evidence of the amount stated therein.</w:t>
      </w:r>
    </w:p>
    <w:p w14:paraId="6C9F6D18" w14:textId="69A226EE" w:rsidR="0069322F" w:rsidRPr="00033E38" w:rsidRDefault="009B44D1" w:rsidP="009B44D1">
      <w:pPr>
        <w:widowControl w:val="0"/>
        <w:tabs>
          <w:tab w:val="left" w:pos="567"/>
        </w:tabs>
        <w:spacing w:before="480" w:after="480" w:line="360" w:lineRule="auto"/>
        <w:jc w:val="both"/>
        <w:rPr>
          <w:rFonts w:cs="Arial"/>
          <w:bCs/>
          <w:szCs w:val="22"/>
        </w:rPr>
      </w:pPr>
      <w:r w:rsidRPr="00033E38">
        <w:rPr>
          <w:rFonts w:cs="Arial"/>
          <w:bCs/>
          <w:szCs w:val="22"/>
        </w:rPr>
        <w:t>[18]</w:t>
      </w:r>
      <w:r w:rsidRPr="00033E38">
        <w:rPr>
          <w:rFonts w:cs="Arial"/>
          <w:bCs/>
          <w:szCs w:val="22"/>
        </w:rPr>
        <w:tab/>
      </w:r>
      <w:r w:rsidR="0069322F">
        <w:rPr>
          <w:rFonts w:cs="Arial"/>
          <w:bCs/>
          <w:szCs w:val="22"/>
        </w:rPr>
        <w:t>The plaintiff’s claim is one arising out of the lease and the second and third defendants are liable jointly and severally together with the first defendant for the outstanding debt.</w:t>
      </w:r>
    </w:p>
    <w:p w14:paraId="6F591508" w14:textId="6ED48293" w:rsidR="00615ED4" w:rsidRPr="00033E38" w:rsidRDefault="009B44D1" w:rsidP="009B44D1">
      <w:pPr>
        <w:keepNext/>
        <w:widowControl w:val="0"/>
        <w:tabs>
          <w:tab w:val="left" w:pos="567"/>
        </w:tabs>
        <w:spacing w:before="480" w:after="480" w:line="360" w:lineRule="auto"/>
        <w:jc w:val="both"/>
        <w:rPr>
          <w:rFonts w:cs="Arial"/>
          <w:bCs/>
          <w:szCs w:val="22"/>
        </w:rPr>
      </w:pPr>
      <w:r w:rsidRPr="00033E38">
        <w:rPr>
          <w:rFonts w:cs="Arial"/>
          <w:bCs/>
          <w:szCs w:val="22"/>
        </w:rPr>
        <w:t>[19]</w:t>
      </w:r>
      <w:r w:rsidRPr="00033E38">
        <w:rPr>
          <w:rFonts w:cs="Arial"/>
          <w:bCs/>
          <w:szCs w:val="22"/>
        </w:rPr>
        <w:tab/>
      </w:r>
      <w:r w:rsidR="00B664E5" w:rsidRPr="00033E38">
        <w:rPr>
          <w:rFonts w:cs="Arial"/>
          <w:bCs/>
          <w:szCs w:val="22"/>
        </w:rPr>
        <w:t>I therefore make the order in paragraph 1 above.</w:t>
      </w:r>
    </w:p>
    <w:p w14:paraId="53CD27EE" w14:textId="0B3A7FA3" w:rsidR="00AE287F" w:rsidRPr="00033E38" w:rsidRDefault="00A649E6" w:rsidP="003A1D18">
      <w:pPr>
        <w:widowControl w:val="0"/>
        <w:tabs>
          <w:tab w:val="right" w:pos="0"/>
        </w:tabs>
        <w:spacing w:line="360" w:lineRule="auto"/>
        <w:contextualSpacing/>
        <w:jc w:val="right"/>
        <w:rPr>
          <w:rFonts w:cs="Arial"/>
          <w:b/>
          <w:szCs w:val="22"/>
        </w:rPr>
      </w:pPr>
      <w:r w:rsidRPr="00033E38">
        <w:rPr>
          <w:rFonts w:cs="Arial"/>
          <w:b/>
          <w:szCs w:val="22"/>
        </w:rPr>
        <w:t>______________</w:t>
      </w:r>
    </w:p>
    <w:p w14:paraId="0CCB9BFE" w14:textId="7ABE564D" w:rsidR="006C43D7" w:rsidRPr="00033E38" w:rsidRDefault="00C676F3" w:rsidP="003A1D18">
      <w:pPr>
        <w:widowControl w:val="0"/>
        <w:tabs>
          <w:tab w:val="right" w:pos="0"/>
        </w:tabs>
        <w:spacing w:line="360" w:lineRule="auto"/>
        <w:contextualSpacing/>
        <w:jc w:val="right"/>
        <w:rPr>
          <w:rFonts w:cs="Arial"/>
          <w:b/>
          <w:szCs w:val="22"/>
        </w:rPr>
      </w:pPr>
      <w:r w:rsidRPr="00033E38">
        <w:rPr>
          <w:rFonts w:cs="Arial"/>
          <w:b/>
          <w:szCs w:val="22"/>
        </w:rPr>
        <w:t>J MOORCROFT</w:t>
      </w:r>
    </w:p>
    <w:p w14:paraId="7A2C1059" w14:textId="77777777" w:rsidR="006C43D7" w:rsidRPr="00033E38" w:rsidRDefault="006C43D7" w:rsidP="003A1D18">
      <w:pPr>
        <w:widowControl w:val="0"/>
        <w:tabs>
          <w:tab w:val="right" w:pos="0"/>
        </w:tabs>
        <w:spacing w:line="360" w:lineRule="auto"/>
        <w:contextualSpacing/>
        <w:jc w:val="right"/>
        <w:rPr>
          <w:rFonts w:cs="Arial"/>
          <w:b/>
          <w:szCs w:val="22"/>
        </w:rPr>
      </w:pPr>
      <w:r w:rsidRPr="00033E38">
        <w:rPr>
          <w:rFonts w:cs="Arial"/>
          <w:b/>
          <w:szCs w:val="22"/>
        </w:rPr>
        <w:t>ACTING JUDGE OF THE HIGH COURT OF SOUTH AFRICA</w:t>
      </w:r>
    </w:p>
    <w:p w14:paraId="077C2590" w14:textId="7452355B" w:rsidR="006C43D7" w:rsidRPr="00033E38" w:rsidRDefault="006C43D7" w:rsidP="003A1D18">
      <w:pPr>
        <w:widowControl w:val="0"/>
        <w:tabs>
          <w:tab w:val="right" w:pos="0"/>
          <w:tab w:val="left" w:pos="4253"/>
        </w:tabs>
        <w:spacing w:line="360" w:lineRule="auto"/>
        <w:contextualSpacing/>
        <w:jc w:val="right"/>
        <w:rPr>
          <w:rFonts w:cs="Arial"/>
          <w:b/>
          <w:szCs w:val="22"/>
        </w:rPr>
      </w:pPr>
      <w:r w:rsidRPr="00033E38">
        <w:rPr>
          <w:rFonts w:cs="Arial"/>
          <w:b/>
          <w:szCs w:val="22"/>
        </w:rPr>
        <w:t>GAUTENG DIVISION</w:t>
      </w:r>
    </w:p>
    <w:p w14:paraId="40B9C946" w14:textId="77777777" w:rsidR="006C43D7" w:rsidRPr="00033E38" w:rsidRDefault="006C43D7" w:rsidP="0005282E">
      <w:pPr>
        <w:widowControl w:val="0"/>
        <w:tabs>
          <w:tab w:val="right" w:pos="0"/>
          <w:tab w:val="left" w:pos="4253"/>
        </w:tabs>
        <w:spacing w:line="360" w:lineRule="auto"/>
        <w:contextualSpacing/>
        <w:jc w:val="right"/>
        <w:rPr>
          <w:rFonts w:cs="Arial"/>
          <w:b/>
          <w:szCs w:val="22"/>
        </w:rPr>
      </w:pPr>
      <w:r w:rsidRPr="00033E38">
        <w:rPr>
          <w:rFonts w:cs="Arial"/>
          <w:b/>
          <w:szCs w:val="22"/>
        </w:rPr>
        <w:t>JOHANNESBURG</w:t>
      </w:r>
    </w:p>
    <w:p w14:paraId="326B529B" w14:textId="77777777" w:rsidR="006C43D7" w:rsidRPr="00033E38" w:rsidRDefault="006C43D7" w:rsidP="003A1D18">
      <w:pPr>
        <w:widowControl w:val="0"/>
        <w:tabs>
          <w:tab w:val="right" w:pos="0"/>
          <w:tab w:val="left" w:pos="4253"/>
        </w:tabs>
        <w:spacing w:line="360" w:lineRule="auto"/>
        <w:contextualSpacing/>
        <w:jc w:val="center"/>
        <w:rPr>
          <w:rFonts w:cs="Arial"/>
          <w:b/>
          <w:szCs w:val="22"/>
        </w:rPr>
      </w:pPr>
    </w:p>
    <w:p w14:paraId="5A4CC56C" w14:textId="051C4E22" w:rsidR="006C43D7" w:rsidRPr="00033E38" w:rsidRDefault="006C43D7" w:rsidP="003A1D18">
      <w:pPr>
        <w:widowControl w:val="0"/>
        <w:spacing w:after="200" w:line="480" w:lineRule="auto"/>
        <w:contextualSpacing/>
        <w:jc w:val="right"/>
        <w:rPr>
          <w:rFonts w:cs="Arial"/>
          <w:b/>
          <w:i/>
          <w:iCs/>
          <w:szCs w:val="22"/>
        </w:rPr>
      </w:pPr>
      <w:r w:rsidRPr="00033E38">
        <w:rPr>
          <w:rFonts w:cs="Arial"/>
          <w:b/>
          <w:i/>
          <w:iCs/>
          <w:szCs w:val="22"/>
        </w:rPr>
        <w:t>Electronically submitted</w:t>
      </w:r>
    </w:p>
    <w:p w14:paraId="482DDF6E" w14:textId="2BAF65F0" w:rsidR="006C43D7" w:rsidRPr="00033E38" w:rsidRDefault="006C43D7" w:rsidP="00A84915">
      <w:pPr>
        <w:widowControl w:val="0"/>
        <w:spacing w:after="200" w:line="360" w:lineRule="auto"/>
        <w:contextualSpacing/>
        <w:jc w:val="both"/>
        <w:rPr>
          <w:rFonts w:eastAsia="Arial Unicode MS" w:cs="Arial"/>
          <w:b/>
          <w:szCs w:val="22"/>
        </w:rPr>
      </w:pPr>
      <w:r w:rsidRPr="00033E38">
        <w:rPr>
          <w:rFonts w:eastAsia="Arial Unicode MS" w:cs="Arial"/>
          <w:bCs/>
          <w:szCs w:val="22"/>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r w:rsidRPr="00033E38">
        <w:rPr>
          <w:rFonts w:eastAsia="Arial Unicode MS" w:cs="Arial"/>
          <w:bCs/>
          <w:szCs w:val="22"/>
        </w:rPr>
        <w:lastRenderedPageBreak/>
        <w:t>CaseLines. The date of the judgment is deemed to be</w:t>
      </w:r>
      <w:r w:rsidR="00C460A0" w:rsidRPr="00033E38">
        <w:rPr>
          <w:rFonts w:eastAsia="Arial Unicode MS" w:cs="Arial"/>
          <w:b/>
          <w:szCs w:val="22"/>
        </w:rPr>
        <w:t xml:space="preserve"> </w:t>
      </w:r>
      <w:r w:rsidR="003F0145">
        <w:rPr>
          <w:rFonts w:eastAsia="Arial Unicode MS" w:cs="Arial"/>
          <w:b/>
          <w:szCs w:val="22"/>
        </w:rPr>
        <w:t>7</w:t>
      </w:r>
      <w:r w:rsidR="00303DD4" w:rsidRPr="00033E38">
        <w:rPr>
          <w:rFonts w:eastAsia="Arial Unicode MS" w:cs="Arial"/>
          <w:b/>
          <w:szCs w:val="22"/>
        </w:rPr>
        <w:t xml:space="preserve"> </w:t>
      </w:r>
      <w:r w:rsidR="00D743C0" w:rsidRPr="00033E38">
        <w:rPr>
          <w:rFonts w:eastAsia="Arial Unicode MS" w:cs="Arial"/>
          <w:b/>
          <w:szCs w:val="22"/>
        </w:rPr>
        <w:t>MARCH 2024</w:t>
      </w:r>
    </w:p>
    <w:p w14:paraId="74CD3952" w14:textId="77777777" w:rsidR="00A84915" w:rsidRPr="00033E38" w:rsidRDefault="00A84915" w:rsidP="00A84915">
      <w:pPr>
        <w:widowControl w:val="0"/>
        <w:spacing w:after="200" w:line="360" w:lineRule="auto"/>
        <w:contextualSpacing/>
        <w:jc w:val="both"/>
        <w:rPr>
          <w:rFonts w:cs="Arial"/>
          <w:b/>
          <w:szCs w:val="22"/>
        </w:rPr>
      </w:pPr>
    </w:p>
    <w:p w14:paraId="7C27E047" w14:textId="77777777" w:rsidR="001F14E4" w:rsidRPr="00033E38" w:rsidRDefault="001F14E4" w:rsidP="00A84915">
      <w:pPr>
        <w:widowControl w:val="0"/>
        <w:spacing w:after="200" w:line="360" w:lineRule="auto"/>
        <w:contextualSpacing/>
        <w:jc w:val="both"/>
        <w:rPr>
          <w:rFonts w:cs="Arial"/>
          <w:b/>
          <w:szCs w:val="22"/>
        </w:rPr>
      </w:pPr>
    </w:p>
    <w:p w14:paraId="7F9ECB7B" w14:textId="77777777" w:rsidR="001F14E4" w:rsidRPr="00033E38" w:rsidRDefault="001F14E4" w:rsidP="00A84915">
      <w:pPr>
        <w:widowControl w:val="0"/>
        <w:spacing w:after="200" w:line="360" w:lineRule="auto"/>
        <w:contextualSpacing/>
        <w:jc w:val="both"/>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033E38" w14:paraId="493AF0D7" w14:textId="77777777" w:rsidTr="00615F6B">
        <w:tc>
          <w:tcPr>
            <w:tcW w:w="4678" w:type="dxa"/>
          </w:tcPr>
          <w:p w14:paraId="6A05541A" w14:textId="5E578574" w:rsidR="009D35B5" w:rsidRPr="00033E38" w:rsidRDefault="009D35B5" w:rsidP="00A25AB4">
            <w:pPr>
              <w:tabs>
                <w:tab w:val="right" w:pos="0"/>
                <w:tab w:val="left" w:pos="4253"/>
              </w:tabs>
              <w:spacing w:before="120" w:after="120"/>
              <w:rPr>
                <w:rFonts w:cs="Arial"/>
                <w:szCs w:val="22"/>
              </w:rPr>
            </w:pPr>
            <w:r w:rsidRPr="00033E38">
              <w:rPr>
                <w:rFonts w:cs="Arial"/>
                <w:szCs w:val="22"/>
              </w:rPr>
              <w:t xml:space="preserve">COUNSEL FOR </w:t>
            </w:r>
            <w:r w:rsidR="00404A52" w:rsidRPr="00033E38">
              <w:rPr>
                <w:rFonts w:cs="Arial"/>
                <w:szCs w:val="22"/>
              </w:rPr>
              <w:t xml:space="preserve">THE </w:t>
            </w:r>
            <w:r w:rsidR="000976D2" w:rsidRPr="00033E38">
              <w:rPr>
                <w:rFonts w:cs="Arial"/>
                <w:szCs w:val="22"/>
              </w:rPr>
              <w:t xml:space="preserve"> </w:t>
            </w:r>
            <w:r w:rsidR="00303DD4" w:rsidRPr="00033E38">
              <w:rPr>
                <w:rFonts w:cs="Arial"/>
                <w:szCs w:val="22"/>
              </w:rPr>
              <w:t>PLAINTIFF</w:t>
            </w:r>
            <w:r w:rsidR="00AF2CD5" w:rsidRPr="00033E38">
              <w:rPr>
                <w:rFonts w:cs="Arial"/>
                <w:szCs w:val="22"/>
              </w:rPr>
              <w:t>S</w:t>
            </w:r>
          </w:p>
        </w:tc>
        <w:tc>
          <w:tcPr>
            <w:tcW w:w="3935" w:type="dxa"/>
          </w:tcPr>
          <w:p w14:paraId="69785AA9" w14:textId="2205D32F" w:rsidR="000976D2" w:rsidRPr="00033E38" w:rsidRDefault="00D11E65" w:rsidP="00D65571">
            <w:pPr>
              <w:tabs>
                <w:tab w:val="right" w:pos="0"/>
                <w:tab w:val="left" w:pos="567"/>
                <w:tab w:val="right" w:pos="2727"/>
                <w:tab w:val="left" w:pos="4253"/>
              </w:tabs>
              <w:spacing w:before="120" w:after="120"/>
              <w:jc w:val="right"/>
              <w:rPr>
                <w:rFonts w:cs="Arial"/>
                <w:szCs w:val="22"/>
              </w:rPr>
            </w:pPr>
            <w:r>
              <w:rPr>
                <w:rFonts w:cs="Arial"/>
                <w:szCs w:val="22"/>
              </w:rPr>
              <w:t>G DOBIE</w:t>
            </w:r>
          </w:p>
        </w:tc>
      </w:tr>
      <w:tr w:rsidR="009D35B5" w:rsidRPr="00033E38" w14:paraId="183C176D" w14:textId="77777777" w:rsidTr="00615F6B">
        <w:tc>
          <w:tcPr>
            <w:tcW w:w="4678" w:type="dxa"/>
          </w:tcPr>
          <w:p w14:paraId="75365413" w14:textId="00BD8265" w:rsidR="009D35B5" w:rsidRPr="00033E38" w:rsidRDefault="009D35B5" w:rsidP="00A25AB4">
            <w:pPr>
              <w:tabs>
                <w:tab w:val="right" w:pos="0"/>
                <w:tab w:val="left" w:pos="4253"/>
              </w:tabs>
              <w:spacing w:before="120" w:after="120"/>
              <w:rPr>
                <w:rFonts w:cs="Arial"/>
                <w:szCs w:val="22"/>
              </w:rPr>
            </w:pPr>
            <w:r w:rsidRPr="00033E38">
              <w:rPr>
                <w:rFonts w:cs="Arial"/>
                <w:szCs w:val="22"/>
              </w:rPr>
              <w:t>INSTRUCTED BY:</w:t>
            </w:r>
          </w:p>
        </w:tc>
        <w:tc>
          <w:tcPr>
            <w:tcW w:w="3935" w:type="dxa"/>
          </w:tcPr>
          <w:p w14:paraId="4044534A" w14:textId="7E5FB78C" w:rsidR="00E10D04" w:rsidRPr="00033E38" w:rsidRDefault="00D11E65" w:rsidP="00A25AB4">
            <w:pPr>
              <w:tabs>
                <w:tab w:val="right" w:pos="0"/>
                <w:tab w:val="left" w:pos="4253"/>
              </w:tabs>
              <w:spacing w:before="120" w:after="120"/>
              <w:jc w:val="right"/>
              <w:rPr>
                <w:rFonts w:cs="Arial"/>
                <w:szCs w:val="22"/>
              </w:rPr>
            </w:pPr>
            <w:r>
              <w:rPr>
                <w:rFonts w:cs="Arial"/>
                <w:szCs w:val="22"/>
              </w:rPr>
              <w:t>REAAN SWANEPOEL INC</w:t>
            </w:r>
          </w:p>
        </w:tc>
      </w:tr>
      <w:tr w:rsidR="009D35B5" w:rsidRPr="00033E38" w14:paraId="6E2BF966" w14:textId="77777777" w:rsidTr="00615F6B">
        <w:tc>
          <w:tcPr>
            <w:tcW w:w="4678" w:type="dxa"/>
          </w:tcPr>
          <w:p w14:paraId="545B6665" w14:textId="4F844429" w:rsidR="009D35B5" w:rsidRPr="00033E38" w:rsidRDefault="009D35B5" w:rsidP="00A25AB4">
            <w:pPr>
              <w:tabs>
                <w:tab w:val="right" w:pos="0"/>
                <w:tab w:val="left" w:pos="4253"/>
              </w:tabs>
              <w:spacing w:before="120" w:after="120"/>
              <w:rPr>
                <w:rFonts w:cs="Arial"/>
                <w:szCs w:val="22"/>
              </w:rPr>
            </w:pPr>
            <w:r w:rsidRPr="00033E38">
              <w:rPr>
                <w:rFonts w:cs="Arial"/>
                <w:szCs w:val="22"/>
              </w:rPr>
              <w:t xml:space="preserve">COUNSEL FOR </w:t>
            </w:r>
            <w:r w:rsidR="00303DD4" w:rsidRPr="00033E38">
              <w:rPr>
                <w:rFonts w:cs="Arial"/>
                <w:szCs w:val="22"/>
              </w:rPr>
              <w:t>DEFENDANT</w:t>
            </w:r>
          </w:p>
        </w:tc>
        <w:tc>
          <w:tcPr>
            <w:tcW w:w="3935" w:type="dxa"/>
          </w:tcPr>
          <w:p w14:paraId="51741A90" w14:textId="6F0A75E9" w:rsidR="001966E8" w:rsidRPr="00033E38" w:rsidRDefault="008B7E8A" w:rsidP="00D65571">
            <w:pPr>
              <w:tabs>
                <w:tab w:val="right" w:pos="0"/>
                <w:tab w:val="left" w:pos="4253"/>
              </w:tabs>
              <w:spacing w:before="120" w:after="120"/>
              <w:jc w:val="right"/>
              <w:rPr>
                <w:rFonts w:cs="Arial"/>
                <w:szCs w:val="22"/>
              </w:rPr>
            </w:pPr>
            <w:r>
              <w:rPr>
                <w:rFonts w:cs="Arial"/>
                <w:szCs w:val="22"/>
              </w:rPr>
              <w:t>N T MABALA</w:t>
            </w:r>
          </w:p>
        </w:tc>
      </w:tr>
      <w:tr w:rsidR="009D35B5" w:rsidRPr="00033E38" w14:paraId="1EC4105A" w14:textId="77777777" w:rsidTr="00615F6B">
        <w:tc>
          <w:tcPr>
            <w:tcW w:w="4678" w:type="dxa"/>
          </w:tcPr>
          <w:p w14:paraId="184EC2ED" w14:textId="2882CB8E" w:rsidR="009D35B5" w:rsidRPr="00033E38" w:rsidRDefault="009D35B5" w:rsidP="00A25AB4">
            <w:pPr>
              <w:tabs>
                <w:tab w:val="right" w:pos="0"/>
                <w:tab w:val="left" w:pos="4253"/>
              </w:tabs>
              <w:spacing w:before="120" w:after="120"/>
              <w:rPr>
                <w:rFonts w:cs="Arial"/>
                <w:szCs w:val="22"/>
              </w:rPr>
            </w:pPr>
            <w:r w:rsidRPr="00033E38">
              <w:rPr>
                <w:rFonts w:cs="Arial"/>
                <w:szCs w:val="22"/>
              </w:rPr>
              <w:t>INSTRUCTED B</w:t>
            </w:r>
            <w:r w:rsidR="008B0321" w:rsidRPr="00033E38">
              <w:rPr>
                <w:rFonts w:cs="Arial"/>
                <w:szCs w:val="22"/>
              </w:rPr>
              <w:t>Y</w:t>
            </w:r>
          </w:p>
        </w:tc>
        <w:tc>
          <w:tcPr>
            <w:tcW w:w="3935" w:type="dxa"/>
          </w:tcPr>
          <w:p w14:paraId="2098BE2A" w14:textId="5AF1EEFC" w:rsidR="009D35B5" w:rsidRPr="00033E38" w:rsidRDefault="008B7E8A" w:rsidP="00A25AB4">
            <w:pPr>
              <w:tabs>
                <w:tab w:val="right" w:pos="0"/>
                <w:tab w:val="left" w:pos="4253"/>
              </w:tabs>
              <w:spacing w:before="120" w:after="120"/>
              <w:jc w:val="right"/>
              <w:rPr>
                <w:rFonts w:cs="Arial"/>
                <w:szCs w:val="22"/>
              </w:rPr>
            </w:pPr>
            <w:r>
              <w:rPr>
                <w:rFonts w:cs="Arial"/>
                <w:szCs w:val="22"/>
              </w:rPr>
              <w:t xml:space="preserve">MABOTHE &amp; GQWEDE ATTORNEYS; </w:t>
            </w:r>
            <w:r w:rsidR="003F0145">
              <w:rPr>
                <w:rFonts w:cs="Arial"/>
                <w:szCs w:val="22"/>
              </w:rPr>
              <w:t>previously</w:t>
            </w:r>
            <w:r>
              <w:rPr>
                <w:rFonts w:cs="Arial"/>
                <w:szCs w:val="22"/>
              </w:rPr>
              <w:t xml:space="preserve"> </w:t>
            </w:r>
            <w:r w:rsidR="00D11E65">
              <w:rPr>
                <w:rFonts w:cs="Arial"/>
                <w:szCs w:val="22"/>
              </w:rPr>
              <w:t>MATSEMELA AND BEZUIDENHOUT ATTORNEYS</w:t>
            </w:r>
          </w:p>
        </w:tc>
      </w:tr>
      <w:tr w:rsidR="009D35B5" w:rsidRPr="00033E38" w14:paraId="2A3FE2B1" w14:textId="77777777" w:rsidTr="00615F6B">
        <w:tc>
          <w:tcPr>
            <w:tcW w:w="4678" w:type="dxa"/>
          </w:tcPr>
          <w:p w14:paraId="0767D0FE" w14:textId="61925A22" w:rsidR="009D35B5" w:rsidRPr="00033E38" w:rsidRDefault="009D35B5" w:rsidP="00A25AB4">
            <w:pPr>
              <w:tabs>
                <w:tab w:val="right" w:pos="0"/>
                <w:tab w:val="left" w:pos="4253"/>
              </w:tabs>
              <w:spacing w:before="120" w:after="120"/>
              <w:rPr>
                <w:rFonts w:cs="Arial"/>
                <w:szCs w:val="22"/>
              </w:rPr>
            </w:pPr>
            <w:r w:rsidRPr="00033E38">
              <w:rPr>
                <w:rFonts w:cs="Arial"/>
                <w:szCs w:val="22"/>
              </w:rPr>
              <w:t xml:space="preserve">DATE </w:t>
            </w:r>
            <w:r w:rsidR="00E57446" w:rsidRPr="00033E38">
              <w:rPr>
                <w:rFonts w:cs="Arial"/>
                <w:szCs w:val="22"/>
              </w:rPr>
              <w:t>OF ARGUMENT</w:t>
            </w:r>
            <w:r w:rsidRPr="00033E38">
              <w:rPr>
                <w:rFonts w:cs="Arial"/>
                <w:szCs w:val="22"/>
              </w:rPr>
              <w:t>:</w:t>
            </w:r>
          </w:p>
        </w:tc>
        <w:tc>
          <w:tcPr>
            <w:tcW w:w="3935" w:type="dxa"/>
          </w:tcPr>
          <w:p w14:paraId="34C95147" w14:textId="679AB971" w:rsidR="009D35B5" w:rsidRPr="00033E38" w:rsidRDefault="0073142E" w:rsidP="00A25AB4">
            <w:pPr>
              <w:tabs>
                <w:tab w:val="right" w:pos="0"/>
                <w:tab w:val="left" w:pos="4253"/>
              </w:tabs>
              <w:spacing w:before="120" w:after="120"/>
              <w:jc w:val="right"/>
              <w:rPr>
                <w:rFonts w:cs="Arial"/>
                <w:szCs w:val="22"/>
              </w:rPr>
            </w:pPr>
            <w:r>
              <w:rPr>
                <w:rFonts w:cs="Arial"/>
                <w:szCs w:val="22"/>
              </w:rPr>
              <w:t>2</w:t>
            </w:r>
            <w:r w:rsidR="008829DA">
              <w:rPr>
                <w:rFonts w:cs="Arial"/>
                <w:szCs w:val="22"/>
              </w:rPr>
              <w:t>1</w:t>
            </w:r>
            <w:r w:rsidR="00D33A54" w:rsidRPr="00033E38">
              <w:rPr>
                <w:rFonts w:cs="Arial"/>
                <w:szCs w:val="22"/>
              </w:rPr>
              <w:t xml:space="preserve"> FEBRUARY 2024</w:t>
            </w:r>
          </w:p>
        </w:tc>
      </w:tr>
      <w:tr w:rsidR="00A25AB4" w:rsidRPr="00033E38" w14:paraId="5ECDFF3A" w14:textId="77777777" w:rsidTr="00615F6B">
        <w:tc>
          <w:tcPr>
            <w:tcW w:w="4678" w:type="dxa"/>
          </w:tcPr>
          <w:p w14:paraId="1DF2AE9E" w14:textId="1FC539A4" w:rsidR="00A25AB4" w:rsidRPr="00033E38" w:rsidRDefault="00A25AB4" w:rsidP="00A25AB4">
            <w:pPr>
              <w:tabs>
                <w:tab w:val="right" w:pos="0"/>
                <w:tab w:val="left" w:pos="4253"/>
              </w:tabs>
              <w:spacing w:before="120" w:after="120"/>
              <w:rPr>
                <w:rFonts w:cs="Arial"/>
                <w:szCs w:val="22"/>
              </w:rPr>
            </w:pPr>
            <w:r w:rsidRPr="00033E38">
              <w:rPr>
                <w:rFonts w:cs="Arial"/>
                <w:szCs w:val="22"/>
              </w:rPr>
              <w:t>DATE OF JUDGMENT:</w:t>
            </w:r>
          </w:p>
        </w:tc>
        <w:tc>
          <w:tcPr>
            <w:tcW w:w="3935" w:type="dxa"/>
          </w:tcPr>
          <w:p w14:paraId="02219E99" w14:textId="173725FA" w:rsidR="00A25AB4" w:rsidRPr="00033E38" w:rsidRDefault="00303DD4" w:rsidP="00A25AB4">
            <w:pPr>
              <w:tabs>
                <w:tab w:val="right" w:pos="0"/>
                <w:tab w:val="left" w:pos="4253"/>
              </w:tabs>
              <w:spacing w:before="120" w:after="120"/>
              <w:jc w:val="right"/>
              <w:rPr>
                <w:rFonts w:cs="Arial"/>
                <w:szCs w:val="22"/>
              </w:rPr>
            </w:pPr>
            <w:r w:rsidRPr="00033E38">
              <w:rPr>
                <w:rFonts w:cs="Arial"/>
                <w:szCs w:val="22"/>
              </w:rPr>
              <w:softHyphen/>
            </w:r>
            <w:r w:rsidRPr="00033E38">
              <w:rPr>
                <w:rFonts w:cs="Arial"/>
                <w:szCs w:val="22"/>
              </w:rPr>
              <w:softHyphen/>
            </w:r>
            <w:r w:rsidRPr="00033E38">
              <w:rPr>
                <w:rFonts w:cs="Arial"/>
                <w:szCs w:val="22"/>
              </w:rPr>
              <w:softHyphen/>
            </w:r>
            <w:r w:rsidR="003F0145">
              <w:rPr>
                <w:rFonts w:cs="Arial"/>
                <w:szCs w:val="22"/>
              </w:rPr>
              <w:t>7</w:t>
            </w:r>
            <w:r w:rsidR="00D743C0" w:rsidRPr="00033E38">
              <w:rPr>
                <w:rFonts w:cs="Arial"/>
                <w:szCs w:val="22"/>
              </w:rPr>
              <w:t xml:space="preserve"> MARCH</w:t>
            </w:r>
            <w:r w:rsidR="00B664E5" w:rsidRPr="00033E38">
              <w:rPr>
                <w:rFonts w:cs="Arial"/>
                <w:szCs w:val="22"/>
              </w:rPr>
              <w:t xml:space="preserve"> </w:t>
            </w:r>
            <w:r w:rsidR="00D33A54" w:rsidRPr="00033E38">
              <w:rPr>
                <w:rFonts w:cs="Arial"/>
                <w:szCs w:val="22"/>
              </w:rPr>
              <w:t>2024</w:t>
            </w:r>
          </w:p>
        </w:tc>
      </w:tr>
    </w:tbl>
    <w:p w14:paraId="1BD8F4EB" w14:textId="491B3C8F" w:rsidR="00A402F6" w:rsidRPr="00033E38" w:rsidRDefault="00A402F6" w:rsidP="00033E38">
      <w:pPr>
        <w:widowControl w:val="0"/>
        <w:spacing w:before="480" w:after="480" w:line="360" w:lineRule="auto"/>
        <w:jc w:val="both"/>
        <w:rPr>
          <w:rFonts w:cs="Arial"/>
          <w:szCs w:val="22"/>
        </w:rPr>
      </w:pPr>
    </w:p>
    <w:sectPr w:rsidR="00A402F6" w:rsidRPr="00033E38" w:rsidSect="004837A6">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D5BA" w14:textId="77777777" w:rsidR="004837A6" w:rsidRPr="008E2A22" w:rsidRDefault="004837A6">
      <w:pPr>
        <w:rPr>
          <w:sz w:val="21"/>
          <w:szCs w:val="21"/>
        </w:rPr>
      </w:pPr>
      <w:r w:rsidRPr="008E2A22">
        <w:rPr>
          <w:sz w:val="21"/>
          <w:szCs w:val="21"/>
        </w:rPr>
        <w:separator/>
      </w:r>
    </w:p>
  </w:endnote>
  <w:endnote w:type="continuationSeparator" w:id="0">
    <w:p w14:paraId="55A8FCA8" w14:textId="77777777" w:rsidR="004837A6" w:rsidRPr="008E2A22" w:rsidRDefault="004837A6">
      <w:pPr>
        <w:rPr>
          <w:sz w:val="21"/>
          <w:szCs w:val="21"/>
        </w:rPr>
      </w:pPr>
      <w:r w:rsidRPr="008E2A2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AF6E" w14:textId="77777777" w:rsidR="004837A6" w:rsidRPr="008E2A22" w:rsidRDefault="004837A6">
      <w:pPr>
        <w:rPr>
          <w:sz w:val="21"/>
          <w:szCs w:val="21"/>
        </w:rPr>
      </w:pPr>
      <w:r w:rsidRPr="008E2A22">
        <w:rPr>
          <w:sz w:val="21"/>
          <w:szCs w:val="21"/>
        </w:rPr>
        <w:separator/>
      </w:r>
    </w:p>
  </w:footnote>
  <w:footnote w:type="continuationSeparator" w:id="0">
    <w:p w14:paraId="7A43E2B2" w14:textId="77777777" w:rsidR="004837A6" w:rsidRPr="008E2A22" w:rsidRDefault="004837A6">
      <w:pPr>
        <w:rPr>
          <w:sz w:val="21"/>
          <w:szCs w:val="21"/>
        </w:rPr>
      </w:pPr>
      <w:r w:rsidRPr="008E2A22">
        <w:rPr>
          <w:sz w:val="21"/>
          <w:szCs w:val="21"/>
        </w:rPr>
        <w:continuationSeparator/>
      </w:r>
    </w:p>
  </w:footnote>
  <w:footnote w:id="1">
    <w:p w14:paraId="0E0DCD6A" w14:textId="77777777" w:rsidR="0096632C" w:rsidRPr="004516DA" w:rsidRDefault="0096632C" w:rsidP="0096632C">
      <w:pPr>
        <w:pStyle w:val="FootnoteText"/>
        <w:rPr>
          <w:lang w:val="en-GB"/>
        </w:rPr>
      </w:pPr>
      <w:r>
        <w:rPr>
          <w:rStyle w:val="FootnoteReference"/>
        </w:rPr>
        <w:footnoteRef/>
      </w:r>
      <w:r>
        <w:t xml:space="preserve"> </w:t>
      </w:r>
      <w:r>
        <w:rPr>
          <w:lang w:val="en-GB"/>
        </w:rPr>
        <w:tab/>
      </w:r>
      <w:r w:rsidRPr="004516DA">
        <w:rPr>
          <w:i/>
          <w:iCs/>
          <w:lang w:val="en-GB"/>
        </w:rPr>
        <w:t xml:space="preserve">Tumileng Trading CC v National Security and Fire (Pty) Ltd </w:t>
      </w:r>
      <w:r>
        <w:rPr>
          <w:lang w:val="en-GB"/>
        </w:rPr>
        <w:t xml:space="preserve">2020 (6) SA 624 (WCC) para 22, Nedbank v Weideman 2020 JDR 2746 (FB) para 5, </w:t>
      </w:r>
      <w:r w:rsidRPr="00804744">
        <w:rPr>
          <w:i/>
          <w:iCs/>
          <w:lang w:val="en-GB"/>
        </w:rPr>
        <w:t>Marsh and Another v Standard Bank of SA Ltd</w:t>
      </w:r>
      <w:r>
        <w:rPr>
          <w:lang w:val="en-GB"/>
        </w:rPr>
        <w:t xml:space="preserve"> 2000 (4) SA 947 (A) 949.</w:t>
      </w:r>
    </w:p>
  </w:footnote>
  <w:footnote w:id="2">
    <w:p w14:paraId="145676DA" w14:textId="77777777" w:rsidR="009C712B" w:rsidRDefault="009C712B" w:rsidP="009C712B">
      <w:pPr>
        <w:pStyle w:val="FootnoteText"/>
      </w:pPr>
      <w:r>
        <w:rPr>
          <w:rStyle w:val="FootnoteReference"/>
        </w:rPr>
        <w:footnoteRef/>
      </w:r>
      <w:r>
        <w:t xml:space="preserve"> </w:t>
      </w:r>
      <w:r>
        <w:rPr>
          <w:lang w:val="en-GB"/>
        </w:rPr>
        <w:tab/>
      </w:r>
      <w:r w:rsidRPr="00804744">
        <w:rPr>
          <w:i/>
          <w:iCs/>
          <w:lang w:val="en-GB"/>
        </w:rPr>
        <w:t>PCL Consulting (Pty) Ltd trading as Phillips Consulting SA v Tresso Trading 119 (Pty) Ltd</w:t>
      </w:r>
      <w:r>
        <w:rPr>
          <w:lang w:val="en-GB"/>
        </w:rPr>
        <w:t xml:space="preserve"> 2009 (4) SA 68 (SCA) para 8.</w:t>
      </w:r>
    </w:p>
  </w:footnote>
  <w:footnote w:id="3">
    <w:p w14:paraId="30CFB81B" w14:textId="09EE5F1C" w:rsidR="00BC4EB5" w:rsidRDefault="00BC4EB5">
      <w:pPr>
        <w:pStyle w:val="FootnoteText"/>
      </w:pPr>
      <w:r>
        <w:rPr>
          <w:rStyle w:val="FootnoteReference"/>
        </w:rPr>
        <w:footnoteRef/>
      </w:r>
      <w:r>
        <w:t xml:space="preserve"> </w:t>
      </w:r>
      <w:r>
        <w:tab/>
        <w:t xml:space="preserve">See </w:t>
      </w:r>
      <w:r w:rsidRPr="009F5460">
        <w:rPr>
          <w:i/>
          <w:iCs/>
        </w:rPr>
        <w:t>Joob Joob Investments (Pty) Ltd v Stocks Mavundla Zek Joint Venture</w:t>
      </w:r>
      <w:r>
        <w:t xml:space="preserve"> </w:t>
      </w:r>
      <w:r w:rsidRPr="009F5460">
        <w:t>2009 (5) SA 1 (SCA)</w:t>
      </w:r>
      <w:r>
        <w:t xml:space="preserve"> and the authorities referred to.</w:t>
      </w:r>
    </w:p>
  </w:footnote>
  <w:footnote w:id="4">
    <w:p w14:paraId="0248F127" w14:textId="5EDC3BF7" w:rsidR="00201BDF" w:rsidRDefault="00201BDF">
      <w:pPr>
        <w:pStyle w:val="FootnoteText"/>
      </w:pPr>
      <w:r>
        <w:rPr>
          <w:rStyle w:val="FootnoteReference"/>
        </w:rPr>
        <w:footnoteRef/>
      </w:r>
      <w:r>
        <w:t xml:space="preserve"> </w:t>
      </w:r>
      <w:r>
        <w:rPr>
          <w:lang w:val="en-GB"/>
        </w:rPr>
        <w:tab/>
        <w:t>The date at the top of the letter refers to 2021 which is an obvious typographical error.</w:t>
      </w:r>
    </w:p>
  </w:footnote>
  <w:footnote w:id="5">
    <w:p w14:paraId="31855DA7" w14:textId="77777777" w:rsidR="00033E38" w:rsidRDefault="00033E38" w:rsidP="00033E38">
      <w:pPr>
        <w:pStyle w:val="FootnoteText"/>
      </w:pPr>
      <w:r>
        <w:rPr>
          <w:rStyle w:val="FootnoteReference"/>
        </w:rPr>
        <w:footnoteRef/>
      </w:r>
      <w:r>
        <w:t xml:space="preserve"> </w:t>
      </w:r>
      <w:r>
        <w:tab/>
      </w:r>
      <w:r w:rsidRPr="007F47EA">
        <w:rPr>
          <w:i/>
          <w:iCs/>
        </w:rPr>
        <w:t>Berlesell (edms) bpk v Lehae Development Corporation BK en Andere</w:t>
      </w:r>
      <w:r>
        <w:t xml:space="preserve"> 1998 (3) SA 220 (O).</w:t>
      </w:r>
    </w:p>
  </w:footnote>
  <w:footnote w:id="6">
    <w:p w14:paraId="6466ADA0" w14:textId="77777777" w:rsidR="00033E38" w:rsidRDefault="00033E38" w:rsidP="00033E38">
      <w:pPr>
        <w:pStyle w:val="FootnoteText"/>
      </w:pPr>
      <w:r>
        <w:rPr>
          <w:rStyle w:val="FootnoteReference"/>
        </w:rPr>
        <w:footnoteRef/>
      </w:r>
      <w:r>
        <w:t xml:space="preserve"> </w:t>
      </w:r>
      <w:r>
        <w:tab/>
        <w:t xml:space="preserve">See </w:t>
      </w:r>
      <w:r w:rsidRPr="0065598C">
        <w:rPr>
          <w:i/>
          <w:iCs/>
        </w:rPr>
        <w:t>Rossouw v FirstRand Bank Ltd</w:t>
      </w:r>
      <w:r>
        <w:t xml:space="preserve"> 2010 (6) SA 439 (SCA) 454.</w:t>
      </w:r>
    </w:p>
  </w:footnote>
  <w:footnote w:id="7">
    <w:p w14:paraId="4AAB06A6" w14:textId="52C66728" w:rsidR="007078A5" w:rsidRDefault="007078A5" w:rsidP="007078A5">
      <w:pPr>
        <w:pStyle w:val="FootnoteText"/>
      </w:pPr>
      <w:r>
        <w:rPr>
          <w:rStyle w:val="FootnoteReference"/>
        </w:rPr>
        <w:footnoteRef/>
      </w:r>
      <w:r>
        <w:t xml:space="preserve"> </w:t>
      </w:r>
      <w:r>
        <w:tab/>
        <w:t xml:space="preserve">See </w:t>
      </w:r>
      <w:r w:rsidRPr="009F4B6B">
        <w:rPr>
          <w:i/>
          <w:iCs/>
        </w:rPr>
        <w:t>Nogoduka-Ngumbela Consortium (Pty) Ltd v Rage Distribution (Pty) Ltd</w:t>
      </w:r>
      <w:r>
        <w:t xml:space="preserve"> </w:t>
      </w:r>
      <w:r w:rsidRPr="009F4B6B">
        <w:t>2021 JDR</w:t>
      </w:r>
      <w:r w:rsidR="003F0145">
        <w:t>2</w:t>
      </w:r>
      <w:r w:rsidRPr="009F4B6B">
        <w:t> 2622 (GJ)</w:t>
      </w:r>
    </w:p>
  </w:footnote>
  <w:footnote w:id="8">
    <w:p w14:paraId="4FE5F63C" w14:textId="7563CEF6" w:rsidR="001B1B6F" w:rsidRDefault="001B1B6F">
      <w:pPr>
        <w:pStyle w:val="FootnoteText"/>
      </w:pPr>
      <w:r>
        <w:rPr>
          <w:rStyle w:val="FootnoteReference"/>
        </w:rPr>
        <w:footnoteRef/>
      </w:r>
      <w:r>
        <w:t xml:space="preserve"> </w:t>
      </w:r>
      <w:r>
        <w:tab/>
        <w:t xml:space="preserve">Compare </w:t>
      </w:r>
      <w:r w:rsidRPr="00300133">
        <w:rPr>
          <w:i/>
          <w:iCs/>
        </w:rPr>
        <w:t>Heyneke v Abercrombie</w:t>
      </w:r>
      <w:r w:rsidRPr="00300133">
        <w:t xml:space="preserve"> 1974 (3) SA 338 (T) 34</w:t>
      </w:r>
      <w:r w:rsidR="00676455">
        <w:t>4H to 34</w:t>
      </w:r>
      <w:r w:rsidRPr="00300133">
        <w:t>5</w:t>
      </w:r>
      <w:r w:rsidR="00676455">
        <w:t>F</w:t>
      </w:r>
      <w:r>
        <w:t>.</w:t>
      </w:r>
    </w:p>
  </w:footnote>
  <w:footnote w:id="9">
    <w:p w14:paraId="1E2AFD80" w14:textId="77777777" w:rsidR="007078A5" w:rsidRDefault="007078A5" w:rsidP="007078A5">
      <w:pPr>
        <w:pStyle w:val="FootnoteText"/>
      </w:pPr>
      <w:r>
        <w:rPr>
          <w:rStyle w:val="FootnoteReference"/>
        </w:rPr>
        <w:footnoteRef/>
      </w:r>
      <w:r>
        <w:t xml:space="preserve"> </w:t>
      </w:r>
      <w:r>
        <w:tab/>
        <w:t xml:space="preserve">Compare </w:t>
      </w:r>
      <w:r w:rsidRPr="009F4B6B">
        <w:rPr>
          <w:i/>
          <w:iCs/>
        </w:rPr>
        <w:t>Hennops Sports (Pty) Ltd v Luhan Auto (Pty) Ltd</w:t>
      </w:r>
      <w:r>
        <w:t xml:space="preserve"> </w:t>
      </w:r>
      <w:r w:rsidRPr="009F4B6B">
        <w:t>2022 JDR 3763 (GP)</w:t>
      </w:r>
      <w:r>
        <w:t xml:space="preserve"> para 22. </w:t>
      </w:r>
      <w:r w:rsidRPr="00200F2F">
        <w:rPr>
          <w:rFonts w:cs="Arial"/>
          <w:bCs/>
          <w:sz w:val="21"/>
          <w:szCs w:val="21"/>
        </w:rPr>
        <w:t xml:space="preserve">The question whether the covid-19 pandemic and the resultant lockdown resulted in </w:t>
      </w:r>
      <w:r w:rsidRPr="00200F2F">
        <w:rPr>
          <w:rFonts w:cs="Arial"/>
          <w:bCs/>
          <w:i/>
          <w:iCs/>
          <w:sz w:val="21"/>
          <w:szCs w:val="21"/>
        </w:rPr>
        <w:t xml:space="preserve">vis </w:t>
      </w:r>
      <w:r w:rsidRPr="00200F2F">
        <w:rPr>
          <w:rFonts w:cs="Arial"/>
          <w:bCs/>
          <w:i/>
          <w:iCs/>
          <w:color w:val="000000" w:themeColor="text1"/>
          <w:sz w:val="21"/>
          <w:szCs w:val="21"/>
        </w:rPr>
        <w:t>maior</w:t>
      </w:r>
      <w:r w:rsidRPr="00200F2F">
        <w:rPr>
          <w:rFonts w:cs="Arial"/>
          <w:bCs/>
          <w:color w:val="000000" w:themeColor="text1"/>
          <w:sz w:val="21"/>
          <w:szCs w:val="21"/>
        </w:rPr>
        <w:t xml:space="preserve"> was discussed in some detail by </w:t>
      </w:r>
      <w:r w:rsidRPr="00200F2F">
        <w:rPr>
          <w:rFonts w:cs="Arial"/>
          <w:color w:val="000000" w:themeColor="text1"/>
          <w:sz w:val="21"/>
          <w:szCs w:val="21"/>
          <w:shd w:val="clear" w:color="auto" w:fill="FFFFFF"/>
        </w:rPr>
        <w:t>Moshoana J and Cajee AJ</w:t>
      </w:r>
      <w:r>
        <w:rPr>
          <w:rFonts w:cs="Arial"/>
          <w:color w:val="000000" w:themeColor="text1"/>
          <w:sz w:val="21"/>
          <w:szCs w:val="21"/>
          <w:shd w:val="clear" w:color="auto" w:fill="FFFFFF"/>
        </w:rPr>
        <w:t xml:space="preserve"> in this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8A9B" w14:textId="5F068D2E" w:rsidR="00893C08" w:rsidRPr="008E2A22" w:rsidRDefault="00893C08" w:rsidP="004B21D9">
    <w:pPr>
      <w:tabs>
        <w:tab w:val="center" w:pos="4153"/>
        <w:tab w:val="right" w:pos="8306"/>
      </w:tabs>
      <w:spacing w:line="276" w:lineRule="auto"/>
      <w:rPr>
        <w:rFonts w:cs="Arial"/>
        <w:sz w:val="19"/>
        <w:szCs w:val="19"/>
        <w:lang w:val="en-GB"/>
      </w:rPr>
    </w:pPr>
    <w:r w:rsidRPr="008E2A22">
      <w:rPr>
        <w:rFonts w:cs="Arial"/>
        <w:sz w:val="19"/>
        <w:szCs w:val="19"/>
        <w:lang w:val="en-GB"/>
      </w:rPr>
      <w:fldChar w:fldCharType="begin"/>
    </w:r>
    <w:r w:rsidRPr="008E2A22">
      <w:rPr>
        <w:rFonts w:cs="Arial"/>
        <w:sz w:val="19"/>
        <w:szCs w:val="19"/>
        <w:lang w:val="en-GB"/>
      </w:rPr>
      <w:instrText xml:space="preserve"> PAGE </w:instrText>
    </w:r>
    <w:r w:rsidRPr="008E2A22">
      <w:rPr>
        <w:rFonts w:cs="Arial"/>
        <w:sz w:val="19"/>
        <w:szCs w:val="19"/>
        <w:lang w:val="en-GB"/>
      </w:rPr>
      <w:fldChar w:fldCharType="separate"/>
    </w:r>
    <w:r w:rsidR="00BA5414">
      <w:rPr>
        <w:rFonts w:cs="Arial"/>
        <w:noProof/>
        <w:sz w:val="19"/>
        <w:szCs w:val="19"/>
        <w:lang w:val="en-GB"/>
      </w:rPr>
      <w:t>2</w:t>
    </w:r>
    <w:r w:rsidRPr="008E2A22">
      <w:rPr>
        <w:rFonts w:cs="Arial"/>
        <w:sz w:val="19"/>
        <w:szCs w:val="19"/>
        <w:lang w:val="en-GB"/>
      </w:rPr>
      <w:fldChar w:fldCharType="end"/>
    </w:r>
  </w:p>
  <w:p w14:paraId="08C008E5" w14:textId="77777777" w:rsidR="00893C08" w:rsidRPr="008E2A22" w:rsidRDefault="00893C08" w:rsidP="006C43D7">
    <w:pPr>
      <w:tabs>
        <w:tab w:val="center" w:pos="4153"/>
        <w:tab w:val="right" w:pos="8306"/>
      </w:tabs>
      <w:spacing w:line="276" w:lineRule="auto"/>
      <w:jc w:val="right"/>
      <w:rPr>
        <w:rFonts w:cs="Arial"/>
        <w:sz w:val="21"/>
        <w:szCs w:val="21"/>
        <w:lang w:val="en-US"/>
      </w:rPr>
    </w:pPr>
  </w:p>
  <w:p w14:paraId="4A21EF97" w14:textId="77777777" w:rsidR="00893C08" w:rsidRPr="008E2A22" w:rsidRDefault="00893C08" w:rsidP="006C43D7">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16878BA"/>
    <w:multiLevelType w:val="hybridMultilevel"/>
    <w:tmpl w:val="A69E691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32E953CA"/>
    <w:multiLevelType w:val="hybridMultilevel"/>
    <w:tmpl w:val="DA80D96A"/>
    <w:lvl w:ilvl="0" w:tplc="57BA0A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3"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4"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6C248F"/>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8027705">
    <w:abstractNumId w:val="8"/>
  </w:num>
  <w:num w:numId="2" w16cid:durableId="787817649">
    <w:abstractNumId w:val="2"/>
  </w:num>
  <w:num w:numId="3" w16cid:durableId="676659560">
    <w:abstractNumId w:val="19"/>
  </w:num>
  <w:num w:numId="4" w16cid:durableId="561066702">
    <w:abstractNumId w:val="10"/>
  </w:num>
  <w:num w:numId="5" w16cid:durableId="1298878843">
    <w:abstractNumId w:val="18"/>
  </w:num>
  <w:num w:numId="6" w16cid:durableId="740449836">
    <w:abstractNumId w:val="15"/>
  </w:num>
  <w:num w:numId="7" w16cid:durableId="763111425">
    <w:abstractNumId w:val="0"/>
  </w:num>
  <w:num w:numId="8" w16cid:durableId="61278257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6566802">
    <w:abstractNumId w:val="13"/>
  </w:num>
  <w:num w:numId="10" w16cid:durableId="1793132921">
    <w:abstractNumId w:val="4"/>
  </w:num>
  <w:num w:numId="11" w16cid:durableId="526719401">
    <w:abstractNumId w:val="20"/>
  </w:num>
  <w:num w:numId="12" w16cid:durableId="1154561756">
    <w:abstractNumId w:val="7"/>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16cid:durableId="264382644">
    <w:abstractNumId w:val="16"/>
  </w:num>
  <w:num w:numId="14" w16cid:durableId="762726604">
    <w:abstractNumId w:val="14"/>
  </w:num>
  <w:num w:numId="15" w16cid:durableId="506486751">
    <w:abstractNumId w:val="6"/>
  </w:num>
  <w:num w:numId="16" w16cid:durableId="474879092">
    <w:abstractNumId w:val="9"/>
  </w:num>
  <w:num w:numId="17" w16cid:durableId="1349408522">
    <w:abstractNumId w:val="5"/>
  </w:num>
  <w:num w:numId="18" w16cid:durableId="2109427738">
    <w:abstractNumId w:val="1"/>
  </w:num>
  <w:num w:numId="19" w16cid:durableId="1284656910">
    <w:abstractNumId w:val="11"/>
  </w:num>
  <w:num w:numId="20" w16cid:durableId="1054815707">
    <w:abstractNumId w:val="17"/>
  </w:num>
  <w:num w:numId="21" w16cid:durableId="1274937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3A278B0-7AE6-477A-A1A8-CA30B9B5F675}"/>
    <w:docVar w:name="dgnword-eventsink" w:val="2807889938848"/>
  </w:docVars>
  <w:rsids>
    <w:rsidRoot w:val="00C676F3"/>
    <w:rsid w:val="000004A3"/>
    <w:rsid w:val="00000AFE"/>
    <w:rsid w:val="00001138"/>
    <w:rsid w:val="000019D2"/>
    <w:rsid w:val="00001BAE"/>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D9A"/>
    <w:rsid w:val="00027D19"/>
    <w:rsid w:val="00030A89"/>
    <w:rsid w:val="000319AA"/>
    <w:rsid w:val="000325E2"/>
    <w:rsid w:val="00033E38"/>
    <w:rsid w:val="00036508"/>
    <w:rsid w:val="00040CD3"/>
    <w:rsid w:val="000426C0"/>
    <w:rsid w:val="00042D0E"/>
    <w:rsid w:val="0004506F"/>
    <w:rsid w:val="0004508D"/>
    <w:rsid w:val="00047F26"/>
    <w:rsid w:val="00050086"/>
    <w:rsid w:val="000504F1"/>
    <w:rsid w:val="00051A2B"/>
    <w:rsid w:val="0005282E"/>
    <w:rsid w:val="000528B3"/>
    <w:rsid w:val="000550EB"/>
    <w:rsid w:val="000554B8"/>
    <w:rsid w:val="0005636C"/>
    <w:rsid w:val="00060AF8"/>
    <w:rsid w:val="00063F7B"/>
    <w:rsid w:val="00066971"/>
    <w:rsid w:val="00072105"/>
    <w:rsid w:val="000737E1"/>
    <w:rsid w:val="00073E30"/>
    <w:rsid w:val="00077D11"/>
    <w:rsid w:val="00081716"/>
    <w:rsid w:val="00082115"/>
    <w:rsid w:val="00082EDC"/>
    <w:rsid w:val="000833BB"/>
    <w:rsid w:val="000835BE"/>
    <w:rsid w:val="00085288"/>
    <w:rsid w:val="000872F2"/>
    <w:rsid w:val="00087AE6"/>
    <w:rsid w:val="000906B5"/>
    <w:rsid w:val="00090F50"/>
    <w:rsid w:val="00090FFC"/>
    <w:rsid w:val="00092591"/>
    <w:rsid w:val="00093237"/>
    <w:rsid w:val="0009429D"/>
    <w:rsid w:val="0009488C"/>
    <w:rsid w:val="0009540B"/>
    <w:rsid w:val="000956E5"/>
    <w:rsid w:val="00096A67"/>
    <w:rsid w:val="000976D2"/>
    <w:rsid w:val="00097968"/>
    <w:rsid w:val="000A5A59"/>
    <w:rsid w:val="000A6AD8"/>
    <w:rsid w:val="000B0116"/>
    <w:rsid w:val="000B0A70"/>
    <w:rsid w:val="000B21DA"/>
    <w:rsid w:val="000B39D7"/>
    <w:rsid w:val="000C7A3D"/>
    <w:rsid w:val="000C7E41"/>
    <w:rsid w:val="000D01E0"/>
    <w:rsid w:val="000D21E7"/>
    <w:rsid w:val="000D2265"/>
    <w:rsid w:val="000D415C"/>
    <w:rsid w:val="000D4E84"/>
    <w:rsid w:val="000D53F5"/>
    <w:rsid w:val="000D5760"/>
    <w:rsid w:val="000D6DB5"/>
    <w:rsid w:val="000D71C5"/>
    <w:rsid w:val="000D7D6A"/>
    <w:rsid w:val="000E1EC8"/>
    <w:rsid w:val="000E3EE8"/>
    <w:rsid w:val="000E4985"/>
    <w:rsid w:val="000E5343"/>
    <w:rsid w:val="000F00EF"/>
    <w:rsid w:val="000F430D"/>
    <w:rsid w:val="000F59F8"/>
    <w:rsid w:val="000F7813"/>
    <w:rsid w:val="00101890"/>
    <w:rsid w:val="001025B5"/>
    <w:rsid w:val="00104142"/>
    <w:rsid w:val="00105F97"/>
    <w:rsid w:val="0010798D"/>
    <w:rsid w:val="00107D26"/>
    <w:rsid w:val="00107D90"/>
    <w:rsid w:val="001114D8"/>
    <w:rsid w:val="001142D1"/>
    <w:rsid w:val="00120C79"/>
    <w:rsid w:val="00120FB1"/>
    <w:rsid w:val="00130253"/>
    <w:rsid w:val="00130C4A"/>
    <w:rsid w:val="00133E81"/>
    <w:rsid w:val="001342B3"/>
    <w:rsid w:val="00135D9E"/>
    <w:rsid w:val="00140454"/>
    <w:rsid w:val="00140CED"/>
    <w:rsid w:val="00141AD1"/>
    <w:rsid w:val="00143A33"/>
    <w:rsid w:val="0014628D"/>
    <w:rsid w:val="00147FF5"/>
    <w:rsid w:val="00151DA9"/>
    <w:rsid w:val="00152261"/>
    <w:rsid w:val="00152899"/>
    <w:rsid w:val="00154961"/>
    <w:rsid w:val="00155A21"/>
    <w:rsid w:val="00161057"/>
    <w:rsid w:val="0016589D"/>
    <w:rsid w:val="001671C1"/>
    <w:rsid w:val="00171182"/>
    <w:rsid w:val="0017124B"/>
    <w:rsid w:val="00171D7F"/>
    <w:rsid w:val="00172763"/>
    <w:rsid w:val="00172DDF"/>
    <w:rsid w:val="00175DDD"/>
    <w:rsid w:val="001802F8"/>
    <w:rsid w:val="00180CB6"/>
    <w:rsid w:val="001838CC"/>
    <w:rsid w:val="00183EB6"/>
    <w:rsid w:val="00185ACF"/>
    <w:rsid w:val="00190579"/>
    <w:rsid w:val="00190F4E"/>
    <w:rsid w:val="001916C4"/>
    <w:rsid w:val="0019236B"/>
    <w:rsid w:val="001923E3"/>
    <w:rsid w:val="00192613"/>
    <w:rsid w:val="00192F78"/>
    <w:rsid w:val="00193DDD"/>
    <w:rsid w:val="00195810"/>
    <w:rsid w:val="001966E8"/>
    <w:rsid w:val="00196E14"/>
    <w:rsid w:val="001A2608"/>
    <w:rsid w:val="001A5145"/>
    <w:rsid w:val="001A522A"/>
    <w:rsid w:val="001A7904"/>
    <w:rsid w:val="001B1550"/>
    <w:rsid w:val="001B1B6F"/>
    <w:rsid w:val="001B1D39"/>
    <w:rsid w:val="001B35C2"/>
    <w:rsid w:val="001B4217"/>
    <w:rsid w:val="001B47D8"/>
    <w:rsid w:val="001B4812"/>
    <w:rsid w:val="001B4893"/>
    <w:rsid w:val="001B5D3E"/>
    <w:rsid w:val="001B5E58"/>
    <w:rsid w:val="001B606B"/>
    <w:rsid w:val="001B7889"/>
    <w:rsid w:val="001C0755"/>
    <w:rsid w:val="001C2371"/>
    <w:rsid w:val="001C33E6"/>
    <w:rsid w:val="001C608F"/>
    <w:rsid w:val="001C7048"/>
    <w:rsid w:val="001D3CC2"/>
    <w:rsid w:val="001E0529"/>
    <w:rsid w:val="001E2EED"/>
    <w:rsid w:val="001E44D1"/>
    <w:rsid w:val="001E4691"/>
    <w:rsid w:val="001E4701"/>
    <w:rsid w:val="001E518E"/>
    <w:rsid w:val="001F09D1"/>
    <w:rsid w:val="001F0A29"/>
    <w:rsid w:val="001F0CE5"/>
    <w:rsid w:val="001F14E4"/>
    <w:rsid w:val="001F361F"/>
    <w:rsid w:val="001F3DBD"/>
    <w:rsid w:val="001F648A"/>
    <w:rsid w:val="001F6F43"/>
    <w:rsid w:val="00200B96"/>
    <w:rsid w:val="00200F2F"/>
    <w:rsid w:val="00201620"/>
    <w:rsid w:val="00201BDF"/>
    <w:rsid w:val="00203DA2"/>
    <w:rsid w:val="0020474A"/>
    <w:rsid w:val="00205392"/>
    <w:rsid w:val="0020575F"/>
    <w:rsid w:val="00205E72"/>
    <w:rsid w:val="00206919"/>
    <w:rsid w:val="002104BF"/>
    <w:rsid w:val="002108B6"/>
    <w:rsid w:val="00211F49"/>
    <w:rsid w:val="002127C9"/>
    <w:rsid w:val="00213738"/>
    <w:rsid w:val="002139A7"/>
    <w:rsid w:val="00214877"/>
    <w:rsid w:val="00215824"/>
    <w:rsid w:val="00216BC8"/>
    <w:rsid w:val="002175BA"/>
    <w:rsid w:val="002200DC"/>
    <w:rsid w:val="0022218D"/>
    <w:rsid w:val="00226926"/>
    <w:rsid w:val="002302E3"/>
    <w:rsid w:val="00232528"/>
    <w:rsid w:val="0023405C"/>
    <w:rsid w:val="002349CF"/>
    <w:rsid w:val="00235D20"/>
    <w:rsid w:val="00236E47"/>
    <w:rsid w:val="0023711D"/>
    <w:rsid w:val="00237806"/>
    <w:rsid w:val="00237FF9"/>
    <w:rsid w:val="0024012B"/>
    <w:rsid w:val="00243D2F"/>
    <w:rsid w:val="00244FB9"/>
    <w:rsid w:val="00250164"/>
    <w:rsid w:val="00251668"/>
    <w:rsid w:val="002535F0"/>
    <w:rsid w:val="00253F38"/>
    <w:rsid w:val="00253F72"/>
    <w:rsid w:val="00260189"/>
    <w:rsid w:val="00260B0A"/>
    <w:rsid w:val="002625C5"/>
    <w:rsid w:val="00262819"/>
    <w:rsid w:val="00263A96"/>
    <w:rsid w:val="00270557"/>
    <w:rsid w:val="002709AE"/>
    <w:rsid w:val="00272B77"/>
    <w:rsid w:val="0027600C"/>
    <w:rsid w:val="00277491"/>
    <w:rsid w:val="00283664"/>
    <w:rsid w:val="00285040"/>
    <w:rsid w:val="00285062"/>
    <w:rsid w:val="0029196F"/>
    <w:rsid w:val="00292E3E"/>
    <w:rsid w:val="0029369B"/>
    <w:rsid w:val="00293C02"/>
    <w:rsid w:val="0029605B"/>
    <w:rsid w:val="002963B9"/>
    <w:rsid w:val="00296DAF"/>
    <w:rsid w:val="002976B8"/>
    <w:rsid w:val="002A030C"/>
    <w:rsid w:val="002A4B7B"/>
    <w:rsid w:val="002B0355"/>
    <w:rsid w:val="002B05EA"/>
    <w:rsid w:val="002B12D6"/>
    <w:rsid w:val="002B1F55"/>
    <w:rsid w:val="002B528D"/>
    <w:rsid w:val="002C15AC"/>
    <w:rsid w:val="002C2E80"/>
    <w:rsid w:val="002C4687"/>
    <w:rsid w:val="002C48E7"/>
    <w:rsid w:val="002D2842"/>
    <w:rsid w:val="002D47B3"/>
    <w:rsid w:val="002E0E37"/>
    <w:rsid w:val="002E2648"/>
    <w:rsid w:val="002E3586"/>
    <w:rsid w:val="002E3DC5"/>
    <w:rsid w:val="002E5B57"/>
    <w:rsid w:val="002E612C"/>
    <w:rsid w:val="002E6CD7"/>
    <w:rsid w:val="002F1C4D"/>
    <w:rsid w:val="002F2881"/>
    <w:rsid w:val="002F41F8"/>
    <w:rsid w:val="002F4A5D"/>
    <w:rsid w:val="002F508A"/>
    <w:rsid w:val="002F72D3"/>
    <w:rsid w:val="002F774A"/>
    <w:rsid w:val="00302290"/>
    <w:rsid w:val="003023F9"/>
    <w:rsid w:val="00302C31"/>
    <w:rsid w:val="003031A1"/>
    <w:rsid w:val="00303919"/>
    <w:rsid w:val="00303DD4"/>
    <w:rsid w:val="003047C2"/>
    <w:rsid w:val="0030653F"/>
    <w:rsid w:val="00306B41"/>
    <w:rsid w:val="003102C8"/>
    <w:rsid w:val="0031117B"/>
    <w:rsid w:val="00312EBC"/>
    <w:rsid w:val="00313056"/>
    <w:rsid w:val="00316740"/>
    <w:rsid w:val="00321DF8"/>
    <w:rsid w:val="00323058"/>
    <w:rsid w:val="00324EDF"/>
    <w:rsid w:val="003312BF"/>
    <w:rsid w:val="003313A2"/>
    <w:rsid w:val="00333974"/>
    <w:rsid w:val="00337135"/>
    <w:rsid w:val="0034147B"/>
    <w:rsid w:val="00342E02"/>
    <w:rsid w:val="003448B1"/>
    <w:rsid w:val="003463D6"/>
    <w:rsid w:val="00346D31"/>
    <w:rsid w:val="00346DE6"/>
    <w:rsid w:val="00347E19"/>
    <w:rsid w:val="0035170A"/>
    <w:rsid w:val="003541F6"/>
    <w:rsid w:val="00354395"/>
    <w:rsid w:val="003543C5"/>
    <w:rsid w:val="00354EF2"/>
    <w:rsid w:val="00355BEB"/>
    <w:rsid w:val="00357081"/>
    <w:rsid w:val="00357D35"/>
    <w:rsid w:val="0036253D"/>
    <w:rsid w:val="00363FCD"/>
    <w:rsid w:val="00364C43"/>
    <w:rsid w:val="00364E6A"/>
    <w:rsid w:val="00364E80"/>
    <w:rsid w:val="00366E5C"/>
    <w:rsid w:val="003676CF"/>
    <w:rsid w:val="00367720"/>
    <w:rsid w:val="00367778"/>
    <w:rsid w:val="0037029D"/>
    <w:rsid w:val="00371332"/>
    <w:rsid w:val="00372A48"/>
    <w:rsid w:val="00373181"/>
    <w:rsid w:val="00375E93"/>
    <w:rsid w:val="003761BD"/>
    <w:rsid w:val="00377123"/>
    <w:rsid w:val="00377CD6"/>
    <w:rsid w:val="00380919"/>
    <w:rsid w:val="00381213"/>
    <w:rsid w:val="003832F7"/>
    <w:rsid w:val="00383EAF"/>
    <w:rsid w:val="003840EC"/>
    <w:rsid w:val="00385DBA"/>
    <w:rsid w:val="00386938"/>
    <w:rsid w:val="0038715A"/>
    <w:rsid w:val="00390C3F"/>
    <w:rsid w:val="00393127"/>
    <w:rsid w:val="003940DD"/>
    <w:rsid w:val="00394A1A"/>
    <w:rsid w:val="00395873"/>
    <w:rsid w:val="003959D1"/>
    <w:rsid w:val="003A1D18"/>
    <w:rsid w:val="003A62CC"/>
    <w:rsid w:val="003A649B"/>
    <w:rsid w:val="003A76B5"/>
    <w:rsid w:val="003A7864"/>
    <w:rsid w:val="003A7CA2"/>
    <w:rsid w:val="003B0559"/>
    <w:rsid w:val="003B0845"/>
    <w:rsid w:val="003B0C56"/>
    <w:rsid w:val="003B11F4"/>
    <w:rsid w:val="003B1882"/>
    <w:rsid w:val="003B4100"/>
    <w:rsid w:val="003B6C02"/>
    <w:rsid w:val="003B75AD"/>
    <w:rsid w:val="003C067B"/>
    <w:rsid w:val="003C0ED8"/>
    <w:rsid w:val="003C1488"/>
    <w:rsid w:val="003C1A16"/>
    <w:rsid w:val="003C1E91"/>
    <w:rsid w:val="003C5536"/>
    <w:rsid w:val="003C7FCC"/>
    <w:rsid w:val="003D1202"/>
    <w:rsid w:val="003D19C3"/>
    <w:rsid w:val="003D36F9"/>
    <w:rsid w:val="003D77F1"/>
    <w:rsid w:val="003D7970"/>
    <w:rsid w:val="003E0159"/>
    <w:rsid w:val="003E449A"/>
    <w:rsid w:val="003E4A33"/>
    <w:rsid w:val="003E54E1"/>
    <w:rsid w:val="003E724B"/>
    <w:rsid w:val="003E7A60"/>
    <w:rsid w:val="003F0145"/>
    <w:rsid w:val="003F1F49"/>
    <w:rsid w:val="003F23F0"/>
    <w:rsid w:val="003F44F4"/>
    <w:rsid w:val="003F4801"/>
    <w:rsid w:val="003F7448"/>
    <w:rsid w:val="0040197A"/>
    <w:rsid w:val="00404A52"/>
    <w:rsid w:val="00407B85"/>
    <w:rsid w:val="00407F28"/>
    <w:rsid w:val="00410BA9"/>
    <w:rsid w:val="0041100A"/>
    <w:rsid w:val="004131C5"/>
    <w:rsid w:val="0041363D"/>
    <w:rsid w:val="00413D9B"/>
    <w:rsid w:val="00415439"/>
    <w:rsid w:val="0041632B"/>
    <w:rsid w:val="00416332"/>
    <w:rsid w:val="0042161A"/>
    <w:rsid w:val="0042423E"/>
    <w:rsid w:val="00424BA6"/>
    <w:rsid w:val="004274E7"/>
    <w:rsid w:val="00430142"/>
    <w:rsid w:val="00430B04"/>
    <w:rsid w:val="00431ABD"/>
    <w:rsid w:val="004339E6"/>
    <w:rsid w:val="00434796"/>
    <w:rsid w:val="0043683A"/>
    <w:rsid w:val="00437EB1"/>
    <w:rsid w:val="00441422"/>
    <w:rsid w:val="00444ED6"/>
    <w:rsid w:val="00445DCB"/>
    <w:rsid w:val="00447235"/>
    <w:rsid w:val="004479C3"/>
    <w:rsid w:val="0045044C"/>
    <w:rsid w:val="004516DA"/>
    <w:rsid w:val="00460495"/>
    <w:rsid w:val="00460EEA"/>
    <w:rsid w:val="004630B6"/>
    <w:rsid w:val="00463106"/>
    <w:rsid w:val="004642E4"/>
    <w:rsid w:val="00466A30"/>
    <w:rsid w:val="00467F5B"/>
    <w:rsid w:val="00472F97"/>
    <w:rsid w:val="00474607"/>
    <w:rsid w:val="00474910"/>
    <w:rsid w:val="004749AF"/>
    <w:rsid w:val="00475410"/>
    <w:rsid w:val="00475E80"/>
    <w:rsid w:val="004774FF"/>
    <w:rsid w:val="0048285C"/>
    <w:rsid w:val="004837A6"/>
    <w:rsid w:val="00483F21"/>
    <w:rsid w:val="00484116"/>
    <w:rsid w:val="00484163"/>
    <w:rsid w:val="004841A8"/>
    <w:rsid w:val="0048424E"/>
    <w:rsid w:val="00484F8A"/>
    <w:rsid w:val="00486F42"/>
    <w:rsid w:val="00487D14"/>
    <w:rsid w:val="0049021A"/>
    <w:rsid w:val="0049165E"/>
    <w:rsid w:val="004923A9"/>
    <w:rsid w:val="00494337"/>
    <w:rsid w:val="00495F7C"/>
    <w:rsid w:val="004976D5"/>
    <w:rsid w:val="004A081A"/>
    <w:rsid w:val="004A10CD"/>
    <w:rsid w:val="004A11D9"/>
    <w:rsid w:val="004A1E3F"/>
    <w:rsid w:val="004A2C7E"/>
    <w:rsid w:val="004A5056"/>
    <w:rsid w:val="004A5AF5"/>
    <w:rsid w:val="004A6625"/>
    <w:rsid w:val="004A69D6"/>
    <w:rsid w:val="004A70AB"/>
    <w:rsid w:val="004A7DFE"/>
    <w:rsid w:val="004B085D"/>
    <w:rsid w:val="004B0DBA"/>
    <w:rsid w:val="004B21D9"/>
    <w:rsid w:val="004B255A"/>
    <w:rsid w:val="004B3A47"/>
    <w:rsid w:val="004B3CA9"/>
    <w:rsid w:val="004C0CE3"/>
    <w:rsid w:val="004C368B"/>
    <w:rsid w:val="004C52BD"/>
    <w:rsid w:val="004D1A31"/>
    <w:rsid w:val="004D1A91"/>
    <w:rsid w:val="004D2123"/>
    <w:rsid w:val="004D262A"/>
    <w:rsid w:val="004D2C6F"/>
    <w:rsid w:val="004D2E01"/>
    <w:rsid w:val="004D3237"/>
    <w:rsid w:val="004D3FD6"/>
    <w:rsid w:val="004D4E89"/>
    <w:rsid w:val="004D635C"/>
    <w:rsid w:val="004E0F3F"/>
    <w:rsid w:val="004E1191"/>
    <w:rsid w:val="004E1349"/>
    <w:rsid w:val="004E1AF1"/>
    <w:rsid w:val="004E3305"/>
    <w:rsid w:val="004E3D0E"/>
    <w:rsid w:val="004E568C"/>
    <w:rsid w:val="004E5AD8"/>
    <w:rsid w:val="004E61DE"/>
    <w:rsid w:val="004F0806"/>
    <w:rsid w:val="004F12D8"/>
    <w:rsid w:val="004F2189"/>
    <w:rsid w:val="004F22A6"/>
    <w:rsid w:val="004F4A37"/>
    <w:rsid w:val="004F5D23"/>
    <w:rsid w:val="00504B53"/>
    <w:rsid w:val="00505FF7"/>
    <w:rsid w:val="0051015D"/>
    <w:rsid w:val="0051292D"/>
    <w:rsid w:val="00514426"/>
    <w:rsid w:val="0051442D"/>
    <w:rsid w:val="00515FD8"/>
    <w:rsid w:val="0051622D"/>
    <w:rsid w:val="00517A09"/>
    <w:rsid w:val="005207B2"/>
    <w:rsid w:val="005219EB"/>
    <w:rsid w:val="005262C2"/>
    <w:rsid w:val="005263F0"/>
    <w:rsid w:val="0052705A"/>
    <w:rsid w:val="005272E3"/>
    <w:rsid w:val="00532E26"/>
    <w:rsid w:val="00533CD6"/>
    <w:rsid w:val="00537126"/>
    <w:rsid w:val="00537A72"/>
    <w:rsid w:val="005405F8"/>
    <w:rsid w:val="00542EAE"/>
    <w:rsid w:val="00546878"/>
    <w:rsid w:val="00550751"/>
    <w:rsid w:val="005509BE"/>
    <w:rsid w:val="00560E18"/>
    <w:rsid w:val="005615BB"/>
    <w:rsid w:val="005621E7"/>
    <w:rsid w:val="00562B7E"/>
    <w:rsid w:val="00563355"/>
    <w:rsid w:val="00571E81"/>
    <w:rsid w:val="00573FF9"/>
    <w:rsid w:val="005743CA"/>
    <w:rsid w:val="005755B7"/>
    <w:rsid w:val="00576147"/>
    <w:rsid w:val="00576B16"/>
    <w:rsid w:val="00577427"/>
    <w:rsid w:val="005808E5"/>
    <w:rsid w:val="005875A9"/>
    <w:rsid w:val="00593C34"/>
    <w:rsid w:val="005949BC"/>
    <w:rsid w:val="005971D5"/>
    <w:rsid w:val="005A0847"/>
    <w:rsid w:val="005A313A"/>
    <w:rsid w:val="005A35EB"/>
    <w:rsid w:val="005A5582"/>
    <w:rsid w:val="005A680F"/>
    <w:rsid w:val="005A70F0"/>
    <w:rsid w:val="005A747A"/>
    <w:rsid w:val="005B07CB"/>
    <w:rsid w:val="005B2B27"/>
    <w:rsid w:val="005B2FF9"/>
    <w:rsid w:val="005B380D"/>
    <w:rsid w:val="005B3F1C"/>
    <w:rsid w:val="005B696E"/>
    <w:rsid w:val="005B6D81"/>
    <w:rsid w:val="005B7767"/>
    <w:rsid w:val="005B7DD3"/>
    <w:rsid w:val="005C11DA"/>
    <w:rsid w:val="005C1E41"/>
    <w:rsid w:val="005C7FC2"/>
    <w:rsid w:val="005D1F92"/>
    <w:rsid w:val="005D2137"/>
    <w:rsid w:val="005D2408"/>
    <w:rsid w:val="005D32A9"/>
    <w:rsid w:val="005D6122"/>
    <w:rsid w:val="005D6E80"/>
    <w:rsid w:val="005E02FB"/>
    <w:rsid w:val="005E03B3"/>
    <w:rsid w:val="005E0B20"/>
    <w:rsid w:val="005E2936"/>
    <w:rsid w:val="005E2F7B"/>
    <w:rsid w:val="005E3C94"/>
    <w:rsid w:val="005E592D"/>
    <w:rsid w:val="005E5C01"/>
    <w:rsid w:val="005E6A9D"/>
    <w:rsid w:val="005E7118"/>
    <w:rsid w:val="005E7B14"/>
    <w:rsid w:val="005E7E9F"/>
    <w:rsid w:val="005F1CDA"/>
    <w:rsid w:val="005F35C5"/>
    <w:rsid w:val="005F37A4"/>
    <w:rsid w:val="005F561B"/>
    <w:rsid w:val="005F7E15"/>
    <w:rsid w:val="00601270"/>
    <w:rsid w:val="00602403"/>
    <w:rsid w:val="006041A4"/>
    <w:rsid w:val="00610873"/>
    <w:rsid w:val="006109EC"/>
    <w:rsid w:val="00610F53"/>
    <w:rsid w:val="00611D8A"/>
    <w:rsid w:val="006122AB"/>
    <w:rsid w:val="0061430D"/>
    <w:rsid w:val="006150CE"/>
    <w:rsid w:val="00615ED4"/>
    <w:rsid w:val="00615F6B"/>
    <w:rsid w:val="006165F4"/>
    <w:rsid w:val="006245EC"/>
    <w:rsid w:val="00626ABB"/>
    <w:rsid w:val="006309D5"/>
    <w:rsid w:val="006376C5"/>
    <w:rsid w:val="006407E9"/>
    <w:rsid w:val="00641F4F"/>
    <w:rsid w:val="00642664"/>
    <w:rsid w:val="00644BBE"/>
    <w:rsid w:val="006466DA"/>
    <w:rsid w:val="00646711"/>
    <w:rsid w:val="006479F9"/>
    <w:rsid w:val="00647DDD"/>
    <w:rsid w:val="00653BA4"/>
    <w:rsid w:val="0065598C"/>
    <w:rsid w:val="00656DB1"/>
    <w:rsid w:val="00656E2E"/>
    <w:rsid w:val="00657478"/>
    <w:rsid w:val="00657EDA"/>
    <w:rsid w:val="00657F9A"/>
    <w:rsid w:val="006609A2"/>
    <w:rsid w:val="00660C84"/>
    <w:rsid w:val="0066132D"/>
    <w:rsid w:val="0066194B"/>
    <w:rsid w:val="00661FC4"/>
    <w:rsid w:val="006630E1"/>
    <w:rsid w:val="00666D4D"/>
    <w:rsid w:val="00672205"/>
    <w:rsid w:val="00672E95"/>
    <w:rsid w:val="0067508C"/>
    <w:rsid w:val="00675FE2"/>
    <w:rsid w:val="006762B3"/>
    <w:rsid w:val="00676455"/>
    <w:rsid w:val="00677059"/>
    <w:rsid w:val="00680072"/>
    <w:rsid w:val="006801BE"/>
    <w:rsid w:val="00680421"/>
    <w:rsid w:val="0068069C"/>
    <w:rsid w:val="00681B06"/>
    <w:rsid w:val="006858DA"/>
    <w:rsid w:val="00686C3F"/>
    <w:rsid w:val="006902F1"/>
    <w:rsid w:val="006918E9"/>
    <w:rsid w:val="00692A13"/>
    <w:rsid w:val="0069322F"/>
    <w:rsid w:val="006951CE"/>
    <w:rsid w:val="00695B2C"/>
    <w:rsid w:val="006A1F2C"/>
    <w:rsid w:val="006A3B6B"/>
    <w:rsid w:val="006A438B"/>
    <w:rsid w:val="006A4F20"/>
    <w:rsid w:val="006A5A46"/>
    <w:rsid w:val="006A6039"/>
    <w:rsid w:val="006B1E87"/>
    <w:rsid w:val="006B514A"/>
    <w:rsid w:val="006C1EA3"/>
    <w:rsid w:val="006C1EDF"/>
    <w:rsid w:val="006C2AB0"/>
    <w:rsid w:val="006C2B5F"/>
    <w:rsid w:val="006C31B7"/>
    <w:rsid w:val="006C3CE1"/>
    <w:rsid w:val="006C4213"/>
    <w:rsid w:val="006C43D7"/>
    <w:rsid w:val="006C49F6"/>
    <w:rsid w:val="006C53ED"/>
    <w:rsid w:val="006C5694"/>
    <w:rsid w:val="006D11AD"/>
    <w:rsid w:val="006D193A"/>
    <w:rsid w:val="006D23FB"/>
    <w:rsid w:val="006D25DD"/>
    <w:rsid w:val="006D29AA"/>
    <w:rsid w:val="006D3D1D"/>
    <w:rsid w:val="006D4128"/>
    <w:rsid w:val="006D4C1B"/>
    <w:rsid w:val="006D5E45"/>
    <w:rsid w:val="006D5E57"/>
    <w:rsid w:val="006E0B4D"/>
    <w:rsid w:val="006E2083"/>
    <w:rsid w:val="006E2725"/>
    <w:rsid w:val="006E3064"/>
    <w:rsid w:val="006E405E"/>
    <w:rsid w:val="006E68E6"/>
    <w:rsid w:val="006E73D0"/>
    <w:rsid w:val="006F0330"/>
    <w:rsid w:val="006F042A"/>
    <w:rsid w:val="006F0C74"/>
    <w:rsid w:val="006F1875"/>
    <w:rsid w:val="006F2187"/>
    <w:rsid w:val="006F25E5"/>
    <w:rsid w:val="006F2FCE"/>
    <w:rsid w:val="006F36B9"/>
    <w:rsid w:val="006F415C"/>
    <w:rsid w:val="006F489F"/>
    <w:rsid w:val="00700C86"/>
    <w:rsid w:val="00703C49"/>
    <w:rsid w:val="0070560F"/>
    <w:rsid w:val="007078A5"/>
    <w:rsid w:val="007112CA"/>
    <w:rsid w:val="00714728"/>
    <w:rsid w:val="007202BD"/>
    <w:rsid w:val="007205BF"/>
    <w:rsid w:val="00721AE9"/>
    <w:rsid w:val="007237D1"/>
    <w:rsid w:val="007241D4"/>
    <w:rsid w:val="00724D82"/>
    <w:rsid w:val="00730BF2"/>
    <w:rsid w:val="0073142E"/>
    <w:rsid w:val="00732A6F"/>
    <w:rsid w:val="007351A5"/>
    <w:rsid w:val="0074214D"/>
    <w:rsid w:val="00742764"/>
    <w:rsid w:val="00745456"/>
    <w:rsid w:val="00746E92"/>
    <w:rsid w:val="00750950"/>
    <w:rsid w:val="00751452"/>
    <w:rsid w:val="0075156A"/>
    <w:rsid w:val="00751D8C"/>
    <w:rsid w:val="00751F90"/>
    <w:rsid w:val="00752EF6"/>
    <w:rsid w:val="00754BDD"/>
    <w:rsid w:val="007619C5"/>
    <w:rsid w:val="00761B26"/>
    <w:rsid w:val="00761C35"/>
    <w:rsid w:val="00762178"/>
    <w:rsid w:val="00763B95"/>
    <w:rsid w:val="00765F62"/>
    <w:rsid w:val="00766026"/>
    <w:rsid w:val="00772025"/>
    <w:rsid w:val="007726C0"/>
    <w:rsid w:val="007744FD"/>
    <w:rsid w:val="00775AB7"/>
    <w:rsid w:val="00776B34"/>
    <w:rsid w:val="00781088"/>
    <w:rsid w:val="00781AA0"/>
    <w:rsid w:val="00781CF7"/>
    <w:rsid w:val="00781D24"/>
    <w:rsid w:val="00782DE8"/>
    <w:rsid w:val="00786D45"/>
    <w:rsid w:val="00787202"/>
    <w:rsid w:val="00792E10"/>
    <w:rsid w:val="0079383D"/>
    <w:rsid w:val="007A006B"/>
    <w:rsid w:val="007A1D60"/>
    <w:rsid w:val="007A34D1"/>
    <w:rsid w:val="007A5BDB"/>
    <w:rsid w:val="007A7102"/>
    <w:rsid w:val="007B165A"/>
    <w:rsid w:val="007B2DAD"/>
    <w:rsid w:val="007B2DF7"/>
    <w:rsid w:val="007B7246"/>
    <w:rsid w:val="007B78C2"/>
    <w:rsid w:val="007C23FF"/>
    <w:rsid w:val="007C25B0"/>
    <w:rsid w:val="007C416B"/>
    <w:rsid w:val="007C4CB7"/>
    <w:rsid w:val="007C5008"/>
    <w:rsid w:val="007C6046"/>
    <w:rsid w:val="007C658B"/>
    <w:rsid w:val="007D1E79"/>
    <w:rsid w:val="007D27CF"/>
    <w:rsid w:val="007D4DAF"/>
    <w:rsid w:val="007D50AA"/>
    <w:rsid w:val="007E1175"/>
    <w:rsid w:val="007E220A"/>
    <w:rsid w:val="007E468A"/>
    <w:rsid w:val="007E54E5"/>
    <w:rsid w:val="007E58FC"/>
    <w:rsid w:val="007E7463"/>
    <w:rsid w:val="007F07D4"/>
    <w:rsid w:val="007F1517"/>
    <w:rsid w:val="007F207F"/>
    <w:rsid w:val="007F47EA"/>
    <w:rsid w:val="007F5B91"/>
    <w:rsid w:val="007F7DAA"/>
    <w:rsid w:val="00800BE5"/>
    <w:rsid w:val="008019A7"/>
    <w:rsid w:val="00803CEC"/>
    <w:rsid w:val="008040B5"/>
    <w:rsid w:val="00804744"/>
    <w:rsid w:val="00804B15"/>
    <w:rsid w:val="008076A4"/>
    <w:rsid w:val="00807DC2"/>
    <w:rsid w:val="0081003E"/>
    <w:rsid w:val="00810CA3"/>
    <w:rsid w:val="008112DE"/>
    <w:rsid w:val="00811776"/>
    <w:rsid w:val="008200A7"/>
    <w:rsid w:val="00822050"/>
    <w:rsid w:val="008304EC"/>
    <w:rsid w:val="00830952"/>
    <w:rsid w:val="00830F84"/>
    <w:rsid w:val="008318FA"/>
    <w:rsid w:val="00832522"/>
    <w:rsid w:val="00833453"/>
    <w:rsid w:val="0084184E"/>
    <w:rsid w:val="00841B33"/>
    <w:rsid w:val="00841C01"/>
    <w:rsid w:val="00843EFD"/>
    <w:rsid w:val="008442F2"/>
    <w:rsid w:val="008443A9"/>
    <w:rsid w:val="0084599C"/>
    <w:rsid w:val="008469B3"/>
    <w:rsid w:val="00847539"/>
    <w:rsid w:val="008535CA"/>
    <w:rsid w:val="00856FA8"/>
    <w:rsid w:val="00856FF2"/>
    <w:rsid w:val="008578F4"/>
    <w:rsid w:val="00860576"/>
    <w:rsid w:val="00861120"/>
    <w:rsid w:val="00865C8D"/>
    <w:rsid w:val="0086688C"/>
    <w:rsid w:val="008674AA"/>
    <w:rsid w:val="008675CC"/>
    <w:rsid w:val="0087609B"/>
    <w:rsid w:val="00880850"/>
    <w:rsid w:val="0088094C"/>
    <w:rsid w:val="00881004"/>
    <w:rsid w:val="008829DA"/>
    <w:rsid w:val="00882C40"/>
    <w:rsid w:val="00885973"/>
    <w:rsid w:val="0089145D"/>
    <w:rsid w:val="008919D3"/>
    <w:rsid w:val="00891DC8"/>
    <w:rsid w:val="00891F55"/>
    <w:rsid w:val="00892908"/>
    <w:rsid w:val="00892941"/>
    <w:rsid w:val="00893C08"/>
    <w:rsid w:val="008942FC"/>
    <w:rsid w:val="0089562F"/>
    <w:rsid w:val="008957BF"/>
    <w:rsid w:val="00895BE0"/>
    <w:rsid w:val="0089629F"/>
    <w:rsid w:val="008A082A"/>
    <w:rsid w:val="008A32BD"/>
    <w:rsid w:val="008A389B"/>
    <w:rsid w:val="008A4DF4"/>
    <w:rsid w:val="008A6F34"/>
    <w:rsid w:val="008B0321"/>
    <w:rsid w:val="008B0950"/>
    <w:rsid w:val="008B1DA9"/>
    <w:rsid w:val="008B23D4"/>
    <w:rsid w:val="008B2EE6"/>
    <w:rsid w:val="008B571D"/>
    <w:rsid w:val="008B6162"/>
    <w:rsid w:val="008B7E8A"/>
    <w:rsid w:val="008C3710"/>
    <w:rsid w:val="008C3EBC"/>
    <w:rsid w:val="008C4AE0"/>
    <w:rsid w:val="008C57F6"/>
    <w:rsid w:val="008C68A7"/>
    <w:rsid w:val="008C7019"/>
    <w:rsid w:val="008D25BA"/>
    <w:rsid w:val="008D2A7F"/>
    <w:rsid w:val="008D33A3"/>
    <w:rsid w:val="008D4715"/>
    <w:rsid w:val="008D59DD"/>
    <w:rsid w:val="008D5B23"/>
    <w:rsid w:val="008D6F1D"/>
    <w:rsid w:val="008E03A3"/>
    <w:rsid w:val="008E1B11"/>
    <w:rsid w:val="008E27C3"/>
    <w:rsid w:val="008E2A22"/>
    <w:rsid w:val="008E2ACD"/>
    <w:rsid w:val="008E2D8C"/>
    <w:rsid w:val="008E53BA"/>
    <w:rsid w:val="008E7E5E"/>
    <w:rsid w:val="008E7F87"/>
    <w:rsid w:val="008E7FB3"/>
    <w:rsid w:val="008F0CC7"/>
    <w:rsid w:val="008F11CF"/>
    <w:rsid w:val="008F1298"/>
    <w:rsid w:val="008F14EA"/>
    <w:rsid w:val="008F189C"/>
    <w:rsid w:val="008F1FE1"/>
    <w:rsid w:val="008F32FF"/>
    <w:rsid w:val="008F4486"/>
    <w:rsid w:val="008F4FC6"/>
    <w:rsid w:val="008F6436"/>
    <w:rsid w:val="008F72CD"/>
    <w:rsid w:val="009015D3"/>
    <w:rsid w:val="00902179"/>
    <w:rsid w:val="00903877"/>
    <w:rsid w:val="0090677E"/>
    <w:rsid w:val="00913A4A"/>
    <w:rsid w:val="00914A6E"/>
    <w:rsid w:val="0091544C"/>
    <w:rsid w:val="00921D03"/>
    <w:rsid w:val="00921DE6"/>
    <w:rsid w:val="00925CD2"/>
    <w:rsid w:val="00932559"/>
    <w:rsid w:val="00933065"/>
    <w:rsid w:val="00933569"/>
    <w:rsid w:val="009365B1"/>
    <w:rsid w:val="0093799C"/>
    <w:rsid w:val="009422A1"/>
    <w:rsid w:val="00943484"/>
    <w:rsid w:val="00944804"/>
    <w:rsid w:val="009449FB"/>
    <w:rsid w:val="0094634F"/>
    <w:rsid w:val="009473D8"/>
    <w:rsid w:val="00947F51"/>
    <w:rsid w:val="00952240"/>
    <w:rsid w:val="00954386"/>
    <w:rsid w:val="009564B5"/>
    <w:rsid w:val="00957513"/>
    <w:rsid w:val="00960ADF"/>
    <w:rsid w:val="009623DA"/>
    <w:rsid w:val="00963A0C"/>
    <w:rsid w:val="009661A4"/>
    <w:rsid w:val="009661B5"/>
    <w:rsid w:val="0096632C"/>
    <w:rsid w:val="009725C0"/>
    <w:rsid w:val="009727D8"/>
    <w:rsid w:val="009729BD"/>
    <w:rsid w:val="009729D5"/>
    <w:rsid w:val="00974A92"/>
    <w:rsid w:val="00974C91"/>
    <w:rsid w:val="00975270"/>
    <w:rsid w:val="00975BA1"/>
    <w:rsid w:val="00976F39"/>
    <w:rsid w:val="009809DD"/>
    <w:rsid w:val="009835E3"/>
    <w:rsid w:val="009837A6"/>
    <w:rsid w:val="009839B9"/>
    <w:rsid w:val="00983C64"/>
    <w:rsid w:val="009869F2"/>
    <w:rsid w:val="00987CDB"/>
    <w:rsid w:val="009915BE"/>
    <w:rsid w:val="009A087C"/>
    <w:rsid w:val="009A2613"/>
    <w:rsid w:val="009A2726"/>
    <w:rsid w:val="009A30E0"/>
    <w:rsid w:val="009A3619"/>
    <w:rsid w:val="009A57B9"/>
    <w:rsid w:val="009A66D0"/>
    <w:rsid w:val="009A739F"/>
    <w:rsid w:val="009B08AF"/>
    <w:rsid w:val="009B0AC9"/>
    <w:rsid w:val="009B10F4"/>
    <w:rsid w:val="009B3DFC"/>
    <w:rsid w:val="009B44D1"/>
    <w:rsid w:val="009B53BC"/>
    <w:rsid w:val="009B793E"/>
    <w:rsid w:val="009C1EA6"/>
    <w:rsid w:val="009C37B9"/>
    <w:rsid w:val="009C38E7"/>
    <w:rsid w:val="009C712B"/>
    <w:rsid w:val="009D31FA"/>
    <w:rsid w:val="009D32BD"/>
    <w:rsid w:val="009D33F1"/>
    <w:rsid w:val="009D35B5"/>
    <w:rsid w:val="009D3771"/>
    <w:rsid w:val="009D37BD"/>
    <w:rsid w:val="009D4486"/>
    <w:rsid w:val="009D7128"/>
    <w:rsid w:val="009D7613"/>
    <w:rsid w:val="009E21DE"/>
    <w:rsid w:val="009E3DBC"/>
    <w:rsid w:val="009E6174"/>
    <w:rsid w:val="009F1DC7"/>
    <w:rsid w:val="009F211E"/>
    <w:rsid w:val="009F2572"/>
    <w:rsid w:val="009F294E"/>
    <w:rsid w:val="009F30F1"/>
    <w:rsid w:val="009F37C7"/>
    <w:rsid w:val="009F50AB"/>
    <w:rsid w:val="00A005F6"/>
    <w:rsid w:val="00A03986"/>
    <w:rsid w:val="00A0424F"/>
    <w:rsid w:val="00A051FB"/>
    <w:rsid w:val="00A0659C"/>
    <w:rsid w:val="00A07164"/>
    <w:rsid w:val="00A10039"/>
    <w:rsid w:val="00A100BA"/>
    <w:rsid w:val="00A103FF"/>
    <w:rsid w:val="00A121B5"/>
    <w:rsid w:val="00A16C6E"/>
    <w:rsid w:val="00A17DB2"/>
    <w:rsid w:val="00A21DEA"/>
    <w:rsid w:val="00A22A14"/>
    <w:rsid w:val="00A23A49"/>
    <w:rsid w:val="00A25AB4"/>
    <w:rsid w:val="00A26214"/>
    <w:rsid w:val="00A26566"/>
    <w:rsid w:val="00A27A51"/>
    <w:rsid w:val="00A31837"/>
    <w:rsid w:val="00A31D70"/>
    <w:rsid w:val="00A33018"/>
    <w:rsid w:val="00A3310D"/>
    <w:rsid w:val="00A3484C"/>
    <w:rsid w:val="00A351B3"/>
    <w:rsid w:val="00A35CE6"/>
    <w:rsid w:val="00A37BA4"/>
    <w:rsid w:val="00A402F6"/>
    <w:rsid w:val="00A406B4"/>
    <w:rsid w:val="00A42167"/>
    <w:rsid w:val="00A429D5"/>
    <w:rsid w:val="00A434B9"/>
    <w:rsid w:val="00A43739"/>
    <w:rsid w:val="00A444DD"/>
    <w:rsid w:val="00A47150"/>
    <w:rsid w:val="00A471EF"/>
    <w:rsid w:val="00A47466"/>
    <w:rsid w:val="00A47815"/>
    <w:rsid w:val="00A47A18"/>
    <w:rsid w:val="00A47A3D"/>
    <w:rsid w:val="00A47CD6"/>
    <w:rsid w:val="00A5359C"/>
    <w:rsid w:val="00A539CB"/>
    <w:rsid w:val="00A57DA7"/>
    <w:rsid w:val="00A60542"/>
    <w:rsid w:val="00A60EED"/>
    <w:rsid w:val="00A63709"/>
    <w:rsid w:val="00A643AB"/>
    <w:rsid w:val="00A649E6"/>
    <w:rsid w:val="00A660AF"/>
    <w:rsid w:val="00A7021C"/>
    <w:rsid w:val="00A70814"/>
    <w:rsid w:val="00A70A95"/>
    <w:rsid w:val="00A70BDA"/>
    <w:rsid w:val="00A712D3"/>
    <w:rsid w:val="00A73E2C"/>
    <w:rsid w:val="00A740B6"/>
    <w:rsid w:val="00A7621E"/>
    <w:rsid w:val="00A76BE4"/>
    <w:rsid w:val="00A817D5"/>
    <w:rsid w:val="00A841B2"/>
    <w:rsid w:val="00A84915"/>
    <w:rsid w:val="00A84F01"/>
    <w:rsid w:val="00A9029A"/>
    <w:rsid w:val="00A90D0A"/>
    <w:rsid w:val="00A91332"/>
    <w:rsid w:val="00A93351"/>
    <w:rsid w:val="00A95538"/>
    <w:rsid w:val="00AA0013"/>
    <w:rsid w:val="00AA26FF"/>
    <w:rsid w:val="00AA43EC"/>
    <w:rsid w:val="00AA4C92"/>
    <w:rsid w:val="00AA4E77"/>
    <w:rsid w:val="00AA6E8C"/>
    <w:rsid w:val="00AA6F19"/>
    <w:rsid w:val="00AA75E6"/>
    <w:rsid w:val="00AA79A8"/>
    <w:rsid w:val="00AA7A76"/>
    <w:rsid w:val="00AA7C2E"/>
    <w:rsid w:val="00AB0286"/>
    <w:rsid w:val="00AB0DD9"/>
    <w:rsid w:val="00AB404E"/>
    <w:rsid w:val="00AB4C6D"/>
    <w:rsid w:val="00AB53F2"/>
    <w:rsid w:val="00AB55F7"/>
    <w:rsid w:val="00AB6E29"/>
    <w:rsid w:val="00AB7162"/>
    <w:rsid w:val="00AC022F"/>
    <w:rsid w:val="00AC114D"/>
    <w:rsid w:val="00AC2995"/>
    <w:rsid w:val="00AC2F6A"/>
    <w:rsid w:val="00AC38A4"/>
    <w:rsid w:val="00AC4165"/>
    <w:rsid w:val="00AC556A"/>
    <w:rsid w:val="00AC76EA"/>
    <w:rsid w:val="00AC7FB7"/>
    <w:rsid w:val="00AD0007"/>
    <w:rsid w:val="00AD12F6"/>
    <w:rsid w:val="00AD23B3"/>
    <w:rsid w:val="00AD23BF"/>
    <w:rsid w:val="00AD25B6"/>
    <w:rsid w:val="00AD2631"/>
    <w:rsid w:val="00AD2C31"/>
    <w:rsid w:val="00AD3D5D"/>
    <w:rsid w:val="00AD4080"/>
    <w:rsid w:val="00AD40E8"/>
    <w:rsid w:val="00AD5A05"/>
    <w:rsid w:val="00AD662C"/>
    <w:rsid w:val="00AE1220"/>
    <w:rsid w:val="00AE1A6C"/>
    <w:rsid w:val="00AE287F"/>
    <w:rsid w:val="00AE39F3"/>
    <w:rsid w:val="00AE4006"/>
    <w:rsid w:val="00AE4875"/>
    <w:rsid w:val="00AE5118"/>
    <w:rsid w:val="00AE63BD"/>
    <w:rsid w:val="00AF0B2B"/>
    <w:rsid w:val="00AF20DB"/>
    <w:rsid w:val="00AF2914"/>
    <w:rsid w:val="00AF2CD5"/>
    <w:rsid w:val="00AF345A"/>
    <w:rsid w:val="00AF363F"/>
    <w:rsid w:val="00AF3E40"/>
    <w:rsid w:val="00AF3E4F"/>
    <w:rsid w:val="00AF71E5"/>
    <w:rsid w:val="00B00DA5"/>
    <w:rsid w:val="00B0321E"/>
    <w:rsid w:val="00B0366D"/>
    <w:rsid w:val="00B071FF"/>
    <w:rsid w:val="00B110BC"/>
    <w:rsid w:val="00B11505"/>
    <w:rsid w:val="00B1182B"/>
    <w:rsid w:val="00B11DC2"/>
    <w:rsid w:val="00B13CEE"/>
    <w:rsid w:val="00B15142"/>
    <w:rsid w:val="00B16F69"/>
    <w:rsid w:val="00B1789D"/>
    <w:rsid w:val="00B207DD"/>
    <w:rsid w:val="00B20DD8"/>
    <w:rsid w:val="00B21CA9"/>
    <w:rsid w:val="00B223FE"/>
    <w:rsid w:val="00B3161A"/>
    <w:rsid w:val="00B3208F"/>
    <w:rsid w:val="00B3260E"/>
    <w:rsid w:val="00B36F2F"/>
    <w:rsid w:val="00B413BD"/>
    <w:rsid w:val="00B42807"/>
    <w:rsid w:val="00B428A6"/>
    <w:rsid w:val="00B43340"/>
    <w:rsid w:val="00B4461C"/>
    <w:rsid w:val="00B46D68"/>
    <w:rsid w:val="00B53913"/>
    <w:rsid w:val="00B53F29"/>
    <w:rsid w:val="00B554D4"/>
    <w:rsid w:val="00B5566A"/>
    <w:rsid w:val="00B5572D"/>
    <w:rsid w:val="00B55F3A"/>
    <w:rsid w:val="00B56906"/>
    <w:rsid w:val="00B569F1"/>
    <w:rsid w:val="00B6007E"/>
    <w:rsid w:val="00B61484"/>
    <w:rsid w:val="00B6179E"/>
    <w:rsid w:val="00B62B08"/>
    <w:rsid w:val="00B664E5"/>
    <w:rsid w:val="00B71116"/>
    <w:rsid w:val="00B71CB5"/>
    <w:rsid w:val="00B71F16"/>
    <w:rsid w:val="00B72922"/>
    <w:rsid w:val="00B72A13"/>
    <w:rsid w:val="00B72ADA"/>
    <w:rsid w:val="00B7473A"/>
    <w:rsid w:val="00B74A39"/>
    <w:rsid w:val="00B75819"/>
    <w:rsid w:val="00B75CDA"/>
    <w:rsid w:val="00B76FD7"/>
    <w:rsid w:val="00B81526"/>
    <w:rsid w:val="00B819E4"/>
    <w:rsid w:val="00B84042"/>
    <w:rsid w:val="00B84DD5"/>
    <w:rsid w:val="00B903CC"/>
    <w:rsid w:val="00B9165A"/>
    <w:rsid w:val="00B91F7E"/>
    <w:rsid w:val="00B924B4"/>
    <w:rsid w:val="00B9487E"/>
    <w:rsid w:val="00B95910"/>
    <w:rsid w:val="00B9692A"/>
    <w:rsid w:val="00BA0848"/>
    <w:rsid w:val="00BA29E7"/>
    <w:rsid w:val="00BA33AF"/>
    <w:rsid w:val="00BA3A4C"/>
    <w:rsid w:val="00BA5414"/>
    <w:rsid w:val="00BA61FA"/>
    <w:rsid w:val="00BA67FC"/>
    <w:rsid w:val="00BB0F20"/>
    <w:rsid w:val="00BB17D2"/>
    <w:rsid w:val="00BB1DC5"/>
    <w:rsid w:val="00BB2328"/>
    <w:rsid w:val="00BB3264"/>
    <w:rsid w:val="00BB50D7"/>
    <w:rsid w:val="00BB7F08"/>
    <w:rsid w:val="00BC0623"/>
    <w:rsid w:val="00BC35CD"/>
    <w:rsid w:val="00BC3C54"/>
    <w:rsid w:val="00BC415B"/>
    <w:rsid w:val="00BC4EB5"/>
    <w:rsid w:val="00BC5B96"/>
    <w:rsid w:val="00BD2C66"/>
    <w:rsid w:val="00BD2CDE"/>
    <w:rsid w:val="00BD3D16"/>
    <w:rsid w:val="00BD41CF"/>
    <w:rsid w:val="00BD75F3"/>
    <w:rsid w:val="00BE0164"/>
    <w:rsid w:val="00BE12BD"/>
    <w:rsid w:val="00BE2ED7"/>
    <w:rsid w:val="00BE3498"/>
    <w:rsid w:val="00BE5A3E"/>
    <w:rsid w:val="00BE6AB8"/>
    <w:rsid w:val="00BF040B"/>
    <w:rsid w:val="00BF086D"/>
    <w:rsid w:val="00BF1C99"/>
    <w:rsid w:val="00BF2167"/>
    <w:rsid w:val="00BF2B96"/>
    <w:rsid w:val="00BF43BC"/>
    <w:rsid w:val="00BF4DDA"/>
    <w:rsid w:val="00BF55C7"/>
    <w:rsid w:val="00BF7ED8"/>
    <w:rsid w:val="00C00A14"/>
    <w:rsid w:val="00C0222C"/>
    <w:rsid w:val="00C04139"/>
    <w:rsid w:val="00C0476F"/>
    <w:rsid w:val="00C0572E"/>
    <w:rsid w:val="00C1108E"/>
    <w:rsid w:val="00C128C6"/>
    <w:rsid w:val="00C14A51"/>
    <w:rsid w:val="00C14B1A"/>
    <w:rsid w:val="00C15C65"/>
    <w:rsid w:val="00C163C1"/>
    <w:rsid w:val="00C16519"/>
    <w:rsid w:val="00C16C1D"/>
    <w:rsid w:val="00C17853"/>
    <w:rsid w:val="00C17EE4"/>
    <w:rsid w:val="00C21656"/>
    <w:rsid w:val="00C21B3D"/>
    <w:rsid w:val="00C24267"/>
    <w:rsid w:val="00C243E6"/>
    <w:rsid w:val="00C24875"/>
    <w:rsid w:val="00C26FA6"/>
    <w:rsid w:val="00C2742C"/>
    <w:rsid w:val="00C2788D"/>
    <w:rsid w:val="00C31D37"/>
    <w:rsid w:val="00C33398"/>
    <w:rsid w:val="00C34388"/>
    <w:rsid w:val="00C34C5B"/>
    <w:rsid w:val="00C361F6"/>
    <w:rsid w:val="00C3669A"/>
    <w:rsid w:val="00C371D5"/>
    <w:rsid w:val="00C423E3"/>
    <w:rsid w:val="00C428AB"/>
    <w:rsid w:val="00C44BAC"/>
    <w:rsid w:val="00C45626"/>
    <w:rsid w:val="00C458AF"/>
    <w:rsid w:val="00C460A0"/>
    <w:rsid w:val="00C46244"/>
    <w:rsid w:val="00C4720D"/>
    <w:rsid w:val="00C47768"/>
    <w:rsid w:val="00C50068"/>
    <w:rsid w:val="00C50180"/>
    <w:rsid w:val="00C50F69"/>
    <w:rsid w:val="00C51C4B"/>
    <w:rsid w:val="00C51EE9"/>
    <w:rsid w:val="00C539A5"/>
    <w:rsid w:val="00C53DFA"/>
    <w:rsid w:val="00C549F4"/>
    <w:rsid w:val="00C555FE"/>
    <w:rsid w:val="00C56E55"/>
    <w:rsid w:val="00C60DD4"/>
    <w:rsid w:val="00C60F27"/>
    <w:rsid w:val="00C610F2"/>
    <w:rsid w:val="00C61B5E"/>
    <w:rsid w:val="00C676F3"/>
    <w:rsid w:val="00C71AB8"/>
    <w:rsid w:val="00C73E8B"/>
    <w:rsid w:val="00C74E97"/>
    <w:rsid w:val="00C75909"/>
    <w:rsid w:val="00C767D5"/>
    <w:rsid w:val="00C76EB2"/>
    <w:rsid w:val="00C77219"/>
    <w:rsid w:val="00C77EFD"/>
    <w:rsid w:val="00C809AF"/>
    <w:rsid w:val="00C81A10"/>
    <w:rsid w:val="00C81F39"/>
    <w:rsid w:val="00C829DF"/>
    <w:rsid w:val="00C82F5A"/>
    <w:rsid w:val="00C84021"/>
    <w:rsid w:val="00C85B7F"/>
    <w:rsid w:val="00C86AEA"/>
    <w:rsid w:val="00C875AE"/>
    <w:rsid w:val="00C90B1C"/>
    <w:rsid w:val="00C90CE6"/>
    <w:rsid w:val="00C93030"/>
    <w:rsid w:val="00C9310B"/>
    <w:rsid w:val="00C937FB"/>
    <w:rsid w:val="00CA0F98"/>
    <w:rsid w:val="00CA2964"/>
    <w:rsid w:val="00CA696D"/>
    <w:rsid w:val="00CA6B5A"/>
    <w:rsid w:val="00CB1536"/>
    <w:rsid w:val="00CB3907"/>
    <w:rsid w:val="00CB3B51"/>
    <w:rsid w:val="00CB46F0"/>
    <w:rsid w:val="00CB5B24"/>
    <w:rsid w:val="00CB6167"/>
    <w:rsid w:val="00CC0C54"/>
    <w:rsid w:val="00CC1016"/>
    <w:rsid w:val="00CC32A0"/>
    <w:rsid w:val="00CC3829"/>
    <w:rsid w:val="00CC564C"/>
    <w:rsid w:val="00CC585C"/>
    <w:rsid w:val="00CC66A6"/>
    <w:rsid w:val="00CD0D1D"/>
    <w:rsid w:val="00CD1673"/>
    <w:rsid w:val="00CD1721"/>
    <w:rsid w:val="00CD25F1"/>
    <w:rsid w:val="00CD4DDC"/>
    <w:rsid w:val="00CD6592"/>
    <w:rsid w:val="00CD7F5E"/>
    <w:rsid w:val="00CE0808"/>
    <w:rsid w:val="00CE1FF4"/>
    <w:rsid w:val="00CE2A6C"/>
    <w:rsid w:val="00CE2E22"/>
    <w:rsid w:val="00CE35B4"/>
    <w:rsid w:val="00CE6301"/>
    <w:rsid w:val="00CF06D4"/>
    <w:rsid w:val="00CF1D94"/>
    <w:rsid w:val="00CF2008"/>
    <w:rsid w:val="00CF2496"/>
    <w:rsid w:val="00CF2ABD"/>
    <w:rsid w:val="00CF3649"/>
    <w:rsid w:val="00CF4188"/>
    <w:rsid w:val="00CF4E9E"/>
    <w:rsid w:val="00CF52CE"/>
    <w:rsid w:val="00CF7848"/>
    <w:rsid w:val="00D00B84"/>
    <w:rsid w:val="00D058FC"/>
    <w:rsid w:val="00D06213"/>
    <w:rsid w:val="00D073D1"/>
    <w:rsid w:val="00D10010"/>
    <w:rsid w:val="00D11510"/>
    <w:rsid w:val="00D116EE"/>
    <w:rsid w:val="00D11E65"/>
    <w:rsid w:val="00D12BB7"/>
    <w:rsid w:val="00D159D4"/>
    <w:rsid w:val="00D15C79"/>
    <w:rsid w:val="00D1641A"/>
    <w:rsid w:val="00D20E16"/>
    <w:rsid w:val="00D21601"/>
    <w:rsid w:val="00D2164A"/>
    <w:rsid w:val="00D21AA7"/>
    <w:rsid w:val="00D22F1C"/>
    <w:rsid w:val="00D23D75"/>
    <w:rsid w:val="00D256F0"/>
    <w:rsid w:val="00D26D4B"/>
    <w:rsid w:val="00D31882"/>
    <w:rsid w:val="00D31BAB"/>
    <w:rsid w:val="00D31D27"/>
    <w:rsid w:val="00D32109"/>
    <w:rsid w:val="00D330B3"/>
    <w:rsid w:val="00D333D0"/>
    <w:rsid w:val="00D336A4"/>
    <w:rsid w:val="00D33A54"/>
    <w:rsid w:val="00D34AFB"/>
    <w:rsid w:val="00D352EE"/>
    <w:rsid w:val="00D35A03"/>
    <w:rsid w:val="00D3725D"/>
    <w:rsid w:val="00D37377"/>
    <w:rsid w:val="00D41830"/>
    <w:rsid w:val="00D42B27"/>
    <w:rsid w:val="00D45B8C"/>
    <w:rsid w:val="00D56058"/>
    <w:rsid w:val="00D567E0"/>
    <w:rsid w:val="00D56A09"/>
    <w:rsid w:val="00D57976"/>
    <w:rsid w:val="00D61F2D"/>
    <w:rsid w:val="00D630DE"/>
    <w:rsid w:val="00D6371A"/>
    <w:rsid w:val="00D63DBC"/>
    <w:rsid w:val="00D645C6"/>
    <w:rsid w:val="00D6548A"/>
    <w:rsid w:val="00D65571"/>
    <w:rsid w:val="00D65905"/>
    <w:rsid w:val="00D65A71"/>
    <w:rsid w:val="00D66C66"/>
    <w:rsid w:val="00D67355"/>
    <w:rsid w:val="00D712C3"/>
    <w:rsid w:val="00D71B03"/>
    <w:rsid w:val="00D7327A"/>
    <w:rsid w:val="00D743C0"/>
    <w:rsid w:val="00D74EC8"/>
    <w:rsid w:val="00D76F23"/>
    <w:rsid w:val="00D81AC9"/>
    <w:rsid w:val="00D858CC"/>
    <w:rsid w:val="00D9086C"/>
    <w:rsid w:val="00D91172"/>
    <w:rsid w:val="00D922E1"/>
    <w:rsid w:val="00D92C84"/>
    <w:rsid w:val="00D93AAA"/>
    <w:rsid w:val="00D93ECC"/>
    <w:rsid w:val="00D94745"/>
    <w:rsid w:val="00D94921"/>
    <w:rsid w:val="00D95DFF"/>
    <w:rsid w:val="00D963D5"/>
    <w:rsid w:val="00D96C96"/>
    <w:rsid w:val="00DA2201"/>
    <w:rsid w:val="00DA41B2"/>
    <w:rsid w:val="00DA5D06"/>
    <w:rsid w:val="00DA62C4"/>
    <w:rsid w:val="00DA6C28"/>
    <w:rsid w:val="00DA7B20"/>
    <w:rsid w:val="00DB049D"/>
    <w:rsid w:val="00DB473D"/>
    <w:rsid w:val="00DB5727"/>
    <w:rsid w:val="00DB68CC"/>
    <w:rsid w:val="00DC2E38"/>
    <w:rsid w:val="00DC2FBF"/>
    <w:rsid w:val="00DC52BC"/>
    <w:rsid w:val="00DC60C2"/>
    <w:rsid w:val="00DC621D"/>
    <w:rsid w:val="00DC6A98"/>
    <w:rsid w:val="00DC6EF8"/>
    <w:rsid w:val="00DC7245"/>
    <w:rsid w:val="00DC730A"/>
    <w:rsid w:val="00DC7A0C"/>
    <w:rsid w:val="00DD12FC"/>
    <w:rsid w:val="00DD1ED6"/>
    <w:rsid w:val="00DD2B0D"/>
    <w:rsid w:val="00DD43F6"/>
    <w:rsid w:val="00DE130A"/>
    <w:rsid w:val="00DE1F21"/>
    <w:rsid w:val="00DE3369"/>
    <w:rsid w:val="00DE33DB"/>
    <w:rsid w:val="00DE38B2"/>
    <w:rsid w:val="00DF2C9A"/>
    <w:rsid w:val="00DF32E5"/>
    <w:rsid w:val="00DF5291"/>
    <w:rsid w:val="00DF6AC1"/>
    <w:rsid w:val="00E010C4"/>
    <w:rsid w:val="00E03EBC"/>
    <w:rsid w:val="00E05572"/>
    <w:rsid w:val="00E06927"/>
    <w:rsid w:val="00E06AB6"/>
    <w:rsid w:val="00E10D04"/>
    <w:rsid w:val="00E1217F"/>
    <w:rsid w:val="00E15106"/>
    <w:rsid w:val="00E16292"/>
    <w:rsid w:val="00E166FD"/>
    <w:rsid w:val="00E17143"/>
    <w:rsid w:val="00E20294"/>
    <w:rsid w:val="00E221E9"/>
    <w:rsid w:val="00E25706"/>
    <w:rsid w:val="00E25F47"/>
    <w:rsid w:val="00E264BB"/>
    <w:rsid w:val="00E267F5"/>
    <w:rsid w:val="00E26AC6"/>
    <w:rsid w:val="00E276DF"/>
    <w:rsid w:val="00E27A89"/>
    <w:rsid w:val="00E30596"/>
    <w:rsid w:val="00E31FF9"/>
    <w:rsid w:val="00E33434"/>
    <w:rsid w:val="00E33B23"/>
    <w:rsid w:val="00E37B1B"/>
    <w:rsid w:val="00E37B97"/>
    <w:rsid w:val="00E417B9"/>
    <w:rsid w:val="00E41B67"/>
    <w:rsid w:val="00E43C23"/>
    <w:rsid w:val="00E4477A"/>
    <w:rsid w:val="00E45160"/>
    <w:rsid w:val="00E45E6A"/>
    <w:rsid w:val="00E50A42"/>
    <w:rsid w:val="00E52F6E"/>
    <w:rsid w:val="00E53930"/>
    <w:rsid w:val="00E54FA5"/>
    <w:rsid w:val="00E559AB"/>
    <w:rsid w:val="00E56D64"/>
    <w:rsid w:val="00E57446"/>
    <w:rsid w:val="00E61081"/>
    <w:rsid w:val="00E61788"/>
    <w:rsid w:val="00E65B18"/>
    <w:rsid w:val="00E65B9D"/>
    <w:rsid w:val="00E66F5D"/>
    <w:rsid w:val="00E676E7"/>
    <w:rsid w:val="00E704E0"/>
    <w:rsid w:val="00E71CE6"/>
    <w:rsid w:val="00E71E16"/>
    <w:rsid w:val="00E728C6"/>
    <w:rsid w:val="00E73E65"/>
    <w:rsid w:val="00E75732"/>
    <w:rsid w:val="00E76641"/>
    <w:rsid w:val="00E77AC7"/>
    <w:rsid w:val="00E83DA2"/>
    <w:rsid w:val="00E851E8"/>
    <w:rsid w:val="00E856E9"/>
    <w:rsid w:val="00E862E7"/>
    <w:rsid w:val="00E86395"/>
    <w:rsid w:val="00E86DF2"/>
    <w:rsid w:val="00E879EC"/>
    <w:rsid w:val="00E92E60"/>
    <w:rsid w:val="00E949F8"/>
    <w:rsid w:val="00E94A64"/>
    <w:rsid w:val="00E9538B"/>
    <w:rsid w:val="00E95703"/>
    <w:rsid w:val="00E95707"/>
    <w:rsid w:val="00E957EE"/>
    <w:rsid w:val="00E95C5F"/>
    <w:rsid w:val="00E964C2"/>
    <w:rsid w:val="00EA0297"/>
    <w:rsid w:val="00EA116B"/>
    <w:rsid w:val="00EA2C29"/>
    <w:rsid w:val="00EA3F05"/>
    <w:rsid w:val="00EA5E85"/>
    <w:rsid w:val="00EB0B07"/>
    <w:rsid w:val="00EB0C6A"/>
    <w:rsid w:val="00EB144E"/>
    <w:rsid w:val="00EB1B82"/>
    <w:rsid w:val="00EB2F49"/>
    <w:rsid w:val="00EB462A"/>
    <w:rsid w:val="00EB545A"/>
    <w:rsid w:val="00EB635D"/>
    <w:rsid w:val="00EB6554"/>
    <w:rsid w:val="00EB6AA6"/>
    <w:rsid w:val="00EC00AF"/>
    <w:rsid w:val="00EC0354"/>
    <w:rsid w:val="00EC5A70"/>
    <w:rsid w:val="00EC5B97"/>
    <w:rsid w:val="00EC692F"/>
    <w:rsid w:val="00EC6BED"/>
    <w:rsid w:val="00EC70BC"/>
    <w:rsid w:val="00ED018E"/>
    <w:rsid w:val="00ED044F"/>
    <w:rsid w:val="00ED07AD"/>
    <w:rsid w:val="00ED281C"/>
    <w:rsid w:val="00ED2A04"/>
    <w:rsid w:val="00ED370F"/>
    <w:rsid w:val="00ED3804"/>
    <w:rsid w:val="00ED39D5"/>
    <w:rsid w:val="00ED3B36"/>
    <w:rsid w:val="00ED46B4"/>
    <w:rsid w:val="00EE21F2"/>
    <w:rsid w:val="00EE50EE"/>
    <w:rsid w:val="00EE55F9"/>
    <w:rsid w:val="00EE62A5"/>
    <w:rsid w:val="00EE63DE"/>
    <w:rsid w:val="00EE64F9"/>
    <w:rsid w:val="00EF00EA"/>
    <w:rsid w:val="00EF0CBA"/>
    <w:rsid w:val="00EF34E1"/>
    <w:rsid w:val="00EF3688"/>
    <w:rsid w:val="00EF36A0"/>
    <w:rsid w:val="00EF524C"/>
    <w:rsid w:val="00EF6CC3"/>
    <w:rsid w:val="00F00D0F"/>
    <w:rsid w:val="00F0109E"/>
    <w:rsid w:val="00F03A0B"/>
    <w:rsid w:val="00F11454"/>
    <w:rsid w:val="00F12E5A"/>
    <w:rsid w:val="00F2125A"/>
    <w:rsid w:val="00F21B1A"/>
    <w:rsid w:val="00F221FC"/>
    <w:rsid w:val="00F23C89"/>
    <w:rsid w:val="00F24025"/>
    <w:rsid w:val="00F322F5"/>
    <w:rsid w:val="00F35033"/>
    <w:rsid w:val="00F35CAE"/>
    <w:rsid w:val="00F36EE7"/>
    <w:rsid w:val="00F4192F"/>
    <w:rsid w:val="00F41B64"/>
    <w:rsid w:val="00F41D9D"/>
    <w:rsid w:val="00F44250"/>
    <w:rsid w:val="00F4468A"/>
    <w:rsid w:val="00F47653"/>
    <w:rsid w:val="00F47EFB"/>
    <w:rsid w:val="00F505CE"/>
    <w:rsid w:val="00F5169E"/>
    <w:rsid w:val="00F51C0B"/>
    <w:rsid w:val="00F52115"/>
    <w:rsid w:val="00F57AFC"/>
    <w:rsid w:val="00F619FE"/>
    <w:rsid w:val="00F627E4"/>
    <w:rsid w:val="00F6494D"/>
    <w:rsid w:val="00F65A5D"/>
    <w:rsid w:val="00F65DBD"/>
    <w:rsid w:val="00F669B9"/>
    <w:rsid w:val="00F67D80"/>
    <w:rsid w:val="00F773E6"/>
    <w:rsid w:val="00F7797F"/>
    <w:rsid w:val="00F77DEE"/>
    <w:rsid w:val="00F80A07"/>
    <w:rsid w:val="00F80C1E"/>
    <w:rsid w:val="00F80CEE"/>
    <w:rsid w:val="00F81639"/>
    <w:rsid w:val="00F81C18"/>
    <w:rsid w:val="00F81F36"/>
    <w:rsid w:val="00F83E85"/>
    <w:rsid w:val="00F8493C"/>
    <w:rsid w:val="00F85468"/>
    <w:rsid w:val="00F86A45"/>
    <w:rsid w:val="00F86BC7"/>
    <w:rsid w:val="00F907D4"/>
    <w:rsid w:val="00F913C7"/>
    <w:rsid w:val="00F9202F"/>
    <w:rsid w:val="00F92AA4"/>
    <w:rsid w:val="00F967E1"/>
    <w:rsid w:val="00FA2519"/>
    <w:rsid w:val="00FA4015"/>
    <w:rsid w:val="00FA625E"/>
    <w:rsid w:val="00FA6B1E"/>
    <w:rsid w:val="00FA72B9"/>
    <w:rsid w:val="00FB4165"/>
    <w:rsid w:val="00FB48E1"/>
    <w:rsid w:val="00FB59A0"/>
    <w:rsid w:val="00FC1484"/>
    <w:rsid w:val="00FC1792"/>
    <w:rsid w:val="00FC1944"/>
    <w:rsid w:val="00FC42BD"/>
    <w:rsid w:val="00FC6D12"/>
    <w:rsid w:val="00FC6F63"/>
    <w:rsid w:val="00FD2E9B"/>
    <w:rsid w:val="00FD378D"/>
    <w:rsid w:val="00FD41A2"/>
    <w:rsid w:val="00FE065B"/>
    <w:rsid w:val="00FE06D8"/>
    <w:rsid w:val="00FE17D2"/>
    <w:rsid w:val="00FE2BF0"/>
    <w:rsid w:val="00FE43C6"/>
    <w:rsid w:val="00FE60F7"/>
    <w:rsid w:val="00FE7835"/>
    <w:rsid w:val="00FF5A86"/>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57696"/>
  <w15:docId w15:val="{54B553D7-EB98-4712-864F-7CF43B73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02393966">
      <w:bodyDiv w:val="1"/>
      <w:marLeft w:val="0"/>
      <w:marRight w:val="0"/>
      <w:marTop w:val="0"/>
      <w:marBottom w:val="0"/>
      <w:divBdr>
        <w:top w:val="none" w:sz="0" w:space="0" w:color="auto"/>
        <w:left w:val="none" w:sz="0" w:space="0" w:color="auto"/>
        <w:bottom w:val="none" w:sz="0" w:space="0" w:color="auto"/>
        <w:right w:val="none" w:sz="0" w:space="0" w:color="auto"/>
      </w:divBdr>
      <w:divsChild>
        <w:div w:id="315837348">
          <w:marLeft w:val="0"/>
          <w:marRight w:val="0"/>
          <w:marTop w:val="180"/>
          <w:marBottom w:val="60"/>
          <w:divBdr>
            <w:top w:val="single" w:sz="8" w:space="1" w:color="808080"/>
            <w:left w:val="none" w:sz="0" w:space="0" w:color="auto"/>
            <w:bottom w:val="none" w:sz="0" w:space="0" w:color="auto"/>
            <w:right w:val="none" w:sz="0" w:space="0" w:color="auto"/>
          </w:divBdr>
        </w:div>
        <w:div w:id="1121724181">
          <w:marLeft w:val="1134"/>
          <w:marRight w:val="0"/>
          <w:marTop w:val="60"/>
          <w:marBottom w:val="0"/>
          <w:divBdr>
            <w:top w:val="none" w:sz="0" w:space="0" w:color="auto"/>
            <w:left w:val="none" w:sz="0" w:space="0" w:color="auto"/>
            <w:bottom w:val="none" w:sz="0" w:space="0" w:color="auto"/>
            <w:right w:val="none" w:sz="0" w:space="0" w:color="auto"/>
          </w:divBdr>
        </w:div>
        <w:div w:id="1205827785">
          <w:marLeft w:val="0"/>
          <w:marRight w:val="0"/>
          <w:marTop w:val="120"/>
          <w:marBottom w:val="0"/>
          <w:divBdr>
            <w:top w:val="none" w:sz="0" w:space="0" w:color="auto"/>
            <w:left w:val="none" w:sz="0" w:space="0" w:color="auto"/>
            <w:bottom w:val="none" w:sz="0" w:space="0" w:color="auto"/>
            <w:right w:val="none" w:sz="0" w:space="0" w:color="auto"/>
          </w:divBdr>
        </w:div>
        <w:div w:id="1577285130">
          <w:marLeft w:val="0"/>
          <w:marRight w:val="0"/>
          <w:marTop w:val="120"/>
          <w:marBottom w:val="0"/>
          <w:divBdr>
            <w:top w:val="none" w:sz="0" w:space="0" w:color="auto"/>
            <w:left w:val="none" w:sz="0" w:space="0" w:color="auto"/>
            <w:bottom w:val="none" w:sz="0" w:space="0" w:color="auto"/>
            <w:right w:val="none" w:sz="0" w:space="0" w:color="auto"/>
          </w:divBdr>
        </w:div>
        <w:div w:id="1627590018">
          <w:marLeft w:val="0"/>
          <w:marRight w:val="0"/>
          <w:marTop w:val="120"/>
          <w:marBottom w:val="0"/>
          <w:divBdr>
            <w:top w:val="none" w:sz="0" w:space="0" w:color="auto"/>
            <w:left w:val="none" w:sz="0" w:space="0" w:color="auto"/>
            <w:bottom w:val="none" w:sz="0" w:space="0" w:color="auto"/>
            <w:right w:val="none" w:sz="0" w:space="0" w:color="auto"/>
          </w:divBdr>
        </w:div>
        <w:div w:id="1653682268">
          <w:marLeft w:val="1134"/>
          <w:marRight w:val="0"/>
          <w:marTop w:val="60"/>
          <w:marBottom w:val="0"/>
          <w:divBdr>
            <w:top w:val="none" w:sz="0" w:space="0" w:color="auto"/>
            <w:left w:val="none" w:sz="0" w:space="0" w:color="auto"/>
            <w:bottom w:val="none" w:sz="0" w:space="0" w:color="auto"/>
            <w:right w:val="none" w:sz="0" w:space="0" w:color="auto"/>
          </w:divBdr>
        </w:div>
        <w:div w:id="1819493354">
          <w:marLeft w:val="0"/>
          <w:marRight w:val="0"/>
          <w:marTop w:val="180"/>
          <w:marBottom w:val="60"/>
          <w:divBdr>
            <w:top w:val="single" w:sz="8" w:space="1" w:color="808080"/>
            <w:left w:val="none" w:sz="0" w:space="0" w:color="auto"/>
            <w:bottom w:val="none" w:sz="0" w:space="0" w:color="auto"/>
            <w:right w:val="none" w:sz="0" w:space="0" w:color="auto"/>
          </w:divBdr>
        </w:div>
        <w:div w:id="1977877299">
          <w:marLeft w:val="1134"/>
          <w:marRight w:val="0"/>
          <w:marTop w:val="60"/>
          <w:marBottom w:val="0"/>
          <w:divBdr>
            <w:top w:val="none" w:sz="0" w:space="0" w:color="auto"/>
            <w:left w:val="none" w:sz="0" w:space="0" w:color="auto"/>
            <w:bottom w:val="none" w:sz="0" w:space="0" w:color="auto"/>
            <w:right w:val="none" w:sz="0" w:space="0" w:color="auto"/>
          </w:divBdr>
        </w:div>
        <w:div w:id="2013219642">
          <w:marLeft w:val="0"/>
          <w:marRight w:val="0"/>
          <w:marTop w:val="120"/>
          <w:marBottom w:val="0"/>
          <w:divBdr>
            <w:top w:val="none" w:sz="0" w:space="0" w:color="auto"/>
            <w:left w:val="none" w:sz="0" w:space="0" w:color="auto"/>
            <w:bottom w:val="none" w:sz="0" w:space="0" w:color="auto"/>
            <w:right w:val="none" w:sz="0" w:space="0" w:color="auto"/>
          </w:divBdr>
        </w:div>
        <w:div w:id="2123844857">
          <w:marLeft w:val="0"/>
          <w:marRight w:val="0"/>
          <w:marTop w:val="120"/>
          <w:marBottom w:val="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B0CB-2658-4353-A135-B1E9F65A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Acting.dotx</Template>
  <TotalTime>6</TotalTime>
  <Pages>7</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sathish sarshan  mohan</cp:lastModifiedBy>
  <cp:revision>3</cp:revision>
  <cp:lastPrinted>2023-08-22T07:45:00Z</cp:lastPrinted>
  <dcterms:created xsi:type="dcterms:W3CDTF">2024-03-08T09:02:00Z</dcterms:created>
  <dcterms:modified xsi:type="dcterms:W3CDTF">2024-03-08T16:47:00Z</dcterms:modified>
</cp:coreProperties>
</file>