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1F039A82" w:rsidR="006C43D7" w:rsidRPr="008E2A22" w:rsidRDefault="00AD3D5D" w:rsidP="006F0330">
      <w:pPr>
        <w:spacing w:after="120" w:line="360" w:lineRule="auto"/>
        <w:jc w:val="center"/>
        <w:rPr>
          <w:rFonts w:cs="Arial"/>
          <w:b/>
          <w:bCs/>
          <w:sz w:val="21"/>
          <w:szCs w:val="21"/>
        </w:rPr>
      </w:pPr>
      <w:r w:rsidRPr="008E2A22">
        <w:rPr>
          <w:rFonts w:cs="Arial"/>
          <w:b/>
          <w:bCs/>
          <w:sz w:val="21"/>
          <w:szCs w:val="21"/>
        </w:rPr>
        <w:t xml:space="preserve"> </w:t>
      </w:r>
      <w:r w:rsidR="006C43D7" w:rsidRPr="008E2A22">
        <w:rPr>
          <w:rFonts w:cs="Arial"/>
          <w:b/>
          <w:bCs/>
          <w:noProof/>
          <w:sz w:val="21"/>
          <w:szCs w:val="21"/>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8E2A22" w:rsidRDefault="006C43D7" w:rsidP="00C74E97">
      <w:pPr>
        <w:spacing w:line="360" w:lineRule="auto"/>
        <w:jc w:val="center"/>
        <w:rPr>
          <w:rFonts w:cs="Arial"/>
          <w:b/>
          <w:sz w:val="21"/>
          <w:szCs w:val="21"/>
        </w:rPr>
      </w:pPr>
      <w:r w:rsidRPr="008E2A22">
        <w:rPr>
          <w:rFonts w:cs="Arial"/>
          <w:b/>
          <w:sz w:val="21"/>
          <w:szCs w:val="21"/>
        </w:rPr>
        <w:t xml:space="preserve">IN THE HIGH COURT OF SOUTH AFRICA, </w:t>
      </w:r>
    </w:p>
    <w:p w14:paraId="566C4D1B" w14:textId="77777777" w:rsidR="006C43D7" w:rsidRPr="008E2A22" w:rsidRDefault="006C43D7" w:rsidP="00C74E97">
      <w:pPr>
        <w:spacing w:line="360" w:lineRule="auto"/>
        <w:jc w:val="center"/>
        <w:rPr>
          <w:rFonts w:cs="Arial"/>
          <w:b/>
          <w:sz w:val="21"/>
          <w:szCs w:val="21"/>
        </w:rPr>
      </w:pPr>
      <w:r w:rsidRPr="008E2A22">
        <w:rPr>
          <w:rFonts w:cs="Arial"/>
          <w:b/>
          <w:sz w:val="21"/>
          <w:szCs w:val="21"/>
        </w:rPr>
        <w:t>GAUTENG DIVISION, JOHANNESBURG</w:t>
      </w:r>
    </w:p>
    <w:p w14:paraId="13D6E83E" w14:textId="77777777" w:rsidR="006C43D7" w:rsidRPr="008E2A22" w:rsidRDefault="006C43D7" w:rsidP="00C74E97">
      <w:pPr>
        <w:spacing w:line="360" w:lineRule="auto"/>
        <w:jc w:val="both"/>
        <w:rPr>
          <w:rFonts w:cs="Arial"/>
          <w:b/>
          <w:sz w:val="21"/>
          <w:szCs w:val="21"/>
        </w:rPr>
      </w:pPr>
    </w:p>
    <w:p w14:paraId="0AF8DD38" w14:textId="63B7F281" w:rsidR="006C43D7" w:rsidRPr="008E2A22" w:rsidRDefault="00F913C7" w:rsidP="00C74E97">
      <w:pPr>
        <w:spacing w:line="360" w:lineRule="auto"/>
        <w:jc w:val="right"/>
        <w:rPr>
          <w:rFonts w:cs="Arial"/>
          <w:b/>
          <w:sz w:val="21"/>
          <w:szCs w:val="21"/>
        </w:rPr>
      </w:pPr>
      <w:r w:rsidRPr="008E2A22">
        <w:rPr>
          <w:rFonts w:cs="Arial"/>
          <w:b/>
          <w:sz w:val="21"/>
          <w:szCs w:val="21"/>
        </w:rPr>
        <w:t xml:space="preserve">CASE NO: </w:t>
      </w:r>
      <w:r w:rsidR="00AF3E40">
        <w:rPr>
          <w:noProof/>
          <w:sz w:val="21"/>
          <w:szCs w:val="21"/>
          <w:lang w:eastAsia="en-ZA"/>
        </w:rPr>
        <mc:AlternateContent>
          <mc:Choice Requires="wps">
            <w:drawing>
              <wp:anchor distT="0" distB="0" distL="114300" distR="114300" simplePos="0" relativeHeight="251659264" behindDoc="0" locked="0" layoutInCell="1" allowOverlap="1" wp14:anchorId="2491E7FC" wp14:editId="117D675B">
                <wp:simplePos x="0" y="0"/>
                <wp:positionH relativeFrom="margin">
                  <wp:align>left</wp:align>
                </wp:positionH>
                <wp:positionV relativeFrom="paragraph">
                  <wp:posOffset>49530</wp:posOffset>
                </wp:positionV>
                <wp:extent cx="3314700" cy="1592580"/>
                <wp:effectExtent l="0" t="0" r="0" b="7620"/>
                <wp:wrapNone/>
                <wp:docPr id="939780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441E556A" w:rsidR="00893C08" w:rsidRPr="008E2A22" w:rsidRDefault="00695576" w:rsidP="00695576">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D3ACEDA" w:rsidR="00893C08" w:rsidRPr="008E2A22" w:rsidRDefault="00695576" w:rsidP="00695576">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441E556A" w:rsidR="00893C08" w:rsidRPr="008E2A22" w:rsidRDefault="00695576" w:rsidP="00695576">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2D3ACEDA" w:rsidR="00893C08" w:rsidRPr="008E2A22" w:rsidRDefault="00695576" w:rsidP="00695576">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695576">
        <w:rPr>
          <w:rFonts w:cs="Arial"/>
          <w:b/>
          <w:sz w:val="21"/>
          <w:szCs w:val="21"/>
        </w:rPr>
        <w:t>a</w:t>
      </w:r>
    </w:p>
    <w:p w14:paraId="084B5ECD" w14:textId="77777777" w:rsidR="006C43D7" w:rsidRPr="008E2A22" w:rsidRDefault="006C43D7" w:rsidP="00C74E97">
      <w:pPr>
        <w:spacing w:line="360" w:lineRule="auto"/>
        <w:jc w:val="both"/>
        <w:rPr>
          <w:rFonts w:cs="Arial"/>
          <w:sz w:val="21"/>
          <w:szCs w:val="21"/>
        </w:rPr>
      </w:pPr>
    </w:p>
    <w:p w14:paraId="4E808D74" w14:textId="77777777" w:rsidR="006C43D7" w:rsidRPr="008E2A22" w:rsidRDefault="006C43D7" w:rsidP="00C74E97">
      <w:pPr>
        <w:spacing w:line="360" w:lineRule="auto"/>
        <w:jc w:val="both"/>
        <w:rPr>
          <w:rFonts w:cs="Arial"/>
          <w:sz w:val="21"/>
          <w:szCs w:val="21"/>
        </w:rPr>
      </w:pPr>
    </w:p>
    <w:p w14:paraId="34BF70B6" w14:textId="77777777" w:rsidR="006C43D7" w:rsidRPr="008E2A22" w:rsidRDefault="006C43D7" w:rsidP="00C74E97">
      <w:pPr>
        <w:spacing w:line="360" w:lineRule="auto"/>
        <w:jc w:val="both"/>
        <w:rPr>
          <w:rFonts w:cs="Arial"/>
          <w:sz w:val="21"/>
          <w:szCs w:val="21"/>
        </w:rPr>
      </w:pPr>
    </w:p>
    <w:p w14:paraId="2F53BA3A" w14:textId="7CE26CA8" w:rsidR="006C43D7" w:rsidRPr="008E2A22" w:rsidRDefault="00C56E55" w:rsidP="00C74E97">
      <w:pPr>
        <w:spacing w:line="360" w:lineRule="auto"/>
        <w:jc w:val="both"/>
        <w:rPr>
          <w:rFonts w:cs="Arial"/>
          <w:sz w:val="21"/>
          <w:szCs w:val="21"/>
        </w:rPr>
      </w:pPr>
      <w:r w:rsidRPr="008E2A22">
        <w:rPr>
          <w:rFonts w:cs="Arial"/>
          <w:sz w:val="21"/>
          <w:szCs w:val="21"/>
        </w:rPr>
        <w:t xml:space="preserve">                        </w:t>
      </w:r>
    </w:p>
    <w:p w14:paraId="3A1C212E" w14:textId="77777777" w:rsidR="006C43D7" w:rsidRPr="008E2A22" w:rsidRDefault="006C43D7" w:rsidP="00C74E97">
      <w:pPr>
        <w:spacing w:line="360" w:lineRule="auto"/>
        <w:jc w:val="both"/>
        <w:rPr>
          <w:rFonts w:cs="Arial"/>
          <w:sz w:val="21"/>
          <w:szCs w:val="21"/>
        </w:rPr>
      </w:pPr>
    </w:p>
    <w:p w14:paraId="04919B1B" w14:textId="77777777" w:rsidR="001D3CC2" w:rsidRPr="008E2A22" w:rsidRDefault="001D3CC2" w:rsidP="00C74E97">
      <w:pPr>
        <w:spacing w:line="360" w:lineRule="auto"/>
        <w:jc w:val="both"/>
        <w:rPr>
          <w:rFonts w:cs="Arial"/>
          <w:sz w:val="21"/>
          <w:szCs w:val="21"/>
        </w:rPr>
      </w:pPr>
    </w:p>
    <w:p w14:paraId="045D3852" w14:textId="77777777" w:rsidR="00E57446" w:rsidRPr="008E2A22" w:rsidRDefault="00E57446" w:rsidP="00C74E97">
      <w:pPr>
        <w:spacing w:line="360" w:lineRule="auto"/>
        <w:jc w:val="both"/>
        <w:rPr>
          <w:rFonts w:cs="Arial"/>
          <w:sz w:val="21"/>
          <w:szCs w:val="21"/>
        </w:rPr>
      </w:pPr>
    </w:p>
    <w:p w14:paraId="2804C32A" w14:textId="6C8D50AF" w:rsidR="00E57446" w:rsidRPr="008E2A22" w:rsidRDefault="00E57446" w:rsidP="00C74E97">
      <w:pPr>
        <w:spacing w:line="360" w:lineRule="auto"/>
        <w:jc w:val="both"/>
        <w:rPr>
          <w:rFonts w:cs="Arial"/>
          <w:sz w:val="21"/>
          <w:szCs w:val="21"/>
        </w:rPr>
      </w:pPr>
      <w:r w:rsidRPr="008E2A22">
        <w:rPr>
          <w:rFonts w:cs="Arial"/>
          <w:sz w:val="21"/>
          <w:szCs w:val="21"/>
        </w:rPr>
        <w:t>In the application by</w:t>
      </w:r>
    </w:p>
    <w:p w14:paraId="4521E045" w14:textId="77777777" w:rsidR="00D33A54" w:rsidRPr="008E2A22" w:rsidRDefault="00D33A54" w:rsidP="00C74E97">
      <w:pPr>
        <w:spacing w:line="360" w:lineRule="auto"/>
        <w:jc w:val="both"/>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8E2A22" w14:paraId="4CBFF906" w14:textId="77777777" w:rsidTr="001C1B73">
        <w:tc>
          <w:tcPr>
            <w:tcW w:w="6223" w:type="dxa"/>
          </w:tcPr>
          <w:p w14:paraId="07466740" w14:textId="23976C76" w:rsidR="00E57446" w:rsidRPr="008E2A22" w:rsidRDefault="004439E0" w:rsidP="00E37B97">
            <w:pPr>
              <w:tabs>
                <w:tab w:val="right" w:pos="9070"/>
              </w:tabs>
              <w:rPr>
                <w:rFonts w:cs="Arial"/>
                <w:b/>
                <w:sz w:val="21"/>
                <w:szCs w:val="21"/>
              </w:rPr>
            </w:pPr>
            <w:r>
              <w:rPr>
                <w:rFonts w:cs="Arial"/>
                <w:b/>
                <w:sz w:val="21"/>
                <w:szCs w:val="21"/>
              </w:rPr>
              <w:t xml:space="preserve">PETERSEN, IZAK SMOLLY </w:t>
            </w:r>
            <w:r w:rsidRPr="004439E0">
              <w:rPr>
                <w:rFonts w:cs="Arial"/>
                <w:b/>
                <w:i/>
                <w:iCs/>
                <w:sz w:val="21"/>
                <w:szCs w:val="21"/>
              </w:rPr>
              <w:t>N O</w:t>
            </w:r>
          </w:p>
        </w:tc>
        <w:tc>
          <w:tcPr>
            <w:tcW w:w="2318" w:type="dxa"/>
          </w:tcPr>
          <w:p w14:paraId="32F3C456" w14:textId="3324E210" w:rsidR="00E57446" w:rsidRPr="008E2A22" w:rsidRDefault="004439E0" w:rsidP="00E37B97">
            <w:pPr>
              <w:rPr>
                <w:rFonts w:cs="Arial"/>
                <w:sz w:val="21"/>
                <w:szCs w:val="21"/>
              </w:rPr>
            </w:pPr>
            <w:r>
              <w:rPr>
                <w:rFonts w:cs="Arial"/>
                <w:sz w:val="21"/>
                <w:szCs w:val="21"/>
              </w:rPr>
              <w:t>First Plaintiff</w:t>
            </w:r>
          </w:p>
        </w:tc>
      </w:tr>
      <w:tr w:rsidR="00E57446" w:rsidRPr="008E2A22" w14:paraId="582D8E94" w14:textId="77777777" w:rsidTr="001C1B73">
        <w:tc>
          <w:tcPr>
            <w:tcW w:w="6223" w:type="dxa"/>
          </w:tcPr>
          <w:p w14:paraId="7BC13697" w14:textId="4F2E77F8" w:rsidR="00E37B97" w:rsidRPr="008E2A22" w:rsidRDefault="004439E0" w:rsidP="00E37B97">
            <w:pPr>
              <w:tabs>
                <w:tab w:val="right" w:pos="9026"/>
              </w:tabs>
              <w:rPr>
                <w:rFonts w:cs="Arial"/>
                <w:b/>
                <w:bCs/>
                <w:sz w:val="21"/>
                <w:szCs w:val="21"/>
              </w:rPr>
            </w:pPr>
            <w:r>
              <w:rPr>
                <w:rFonts w:cs="Arial"/>
                <w:b/>
                <w:bCs/>
                <w:sz w:val="21"/>
                <w:szCs w:val="21"/>
              </w:rPr>
              <w:t xml:space="preserve">ASMAL, RIDWAAN </w:t>
            </w:r>
            <w:r w:rsidRPr="004439E0">
              <w:rPr>
                <w:rFonts w:cs="Arial"/>
                <w:b/>
                <w:bCs/>
                <w:i/>
                <w:iCs/>
                <w:sz w:val="21"/>
                <w:szCs w:val="21"/>
              </w:rPr>
              <w:t xml:space="preserve">N </w:t>
            </w:r>
            <w:r>
              <w:rPr>
                <w:rFonts w:cs="Arial"/>
                <w:b/>
                <w:bCs/>
                <w:i/>
                <w:iCs/>
                <w:sz w:val="21"/>
                <w:szCs w:val="21"/>
              </w:rPr>
              <w:t>O</w:t>
            </w:r>
          </w:p>
        </w:tc>
        <w:tc>
          <w:tcPr>
            <w:tcW w:w="2318" w:type="dxa"/>
          </w:tcPr>
          <w:p w14:paraId="3E582FC6" w14:textId="6145CD73" w:rsidR="00E57446" w:rsidRPr="008E2A22" w:rsidRDefault="00D743C0" w:rsidP="00E37B97">
            <w:pPr>
              <w:rPr>
                <w:rFonts w:cs="Arial"/>
                <w:sz w:val="21"/>
                <w:szCs w:val="21"/>
              </w:rPr>
            </w:pPr>
            <w:r>
              <w:rPr>
                <w:rFonts w:cs="Arial"/>
                <w:sz w:val="21"/>
                <w:szCs w:val="21"/>
              </w:rPr>
              <w:t xml:space="preserve">Second </w:t>
            </w:r>
            <w:r w:rsidR="004439E0">
              <w:rPr>
                <w:rFonts w:cs="Arial"/>
                <w:sz w:val="21"/>
                <w:szCs w:val="21"/>
              </w:rPr>
              <w:t>Plaintiff</w:t>
            </w:r>
          </w:p>
        </w:tc>
      </w:tr>
      <w:tr w:rsidR="000F00EF" w:rsidRPr="008E2A22" w14:paraId="72126C43" w14:textId="77777777" w:rsidTr="001C1B73">
        <w:tc>
          <w:tcPr>
            <w:tcW w:w="6223" w:type="dxa"/>
          </w:tcPr>
          <w:p w14:paraId="35C8FDE9" w14:textId="6D189179" w:rsidR="00D743C0" w:rsidRPr="008E2A22" w:rsidRDefault="004439E0" w:rsidP="00E37B97">
            <w:pPr>
              <w:tabs>
                <w:tab w:val="right" w:pos="9070"/>
              </w:tabs>
              <w:rPr>
                <w:rFonts w:cs="Arial"/>
                <w:b/>
                <w:bCs/>
                <w:sz w:val="21"/>
                <w:szCs w:val="21"/>
              </w:rPr>
            </w:pPr>
            <w:r>
              <w:rPr>
                <w:rFonts w:cs="Arial"/>
                <w:b/>
                <w:bCs/>
                <w:sz w:val="21"/>
                <w:szCs w:val="21"/>
              </w:rPr>
              <w:t xml:space="preserve">AZIZOLLAHOFF, BRIAN HILTON </w:t>
            </w:r>
            <w:r w:rsidRPr="004439E0">
              <w:rPr>
                <w:rFonts w:cs="Arial"/>
                <w:b/>
                <w:bCs/>
                <w:i/>
                <w:iCs/>
                <w:sz w:val="21"/>
                <w:szCs w:val="21"/>
              </w:rPr>
              <w:t>N O</w:t>
            </w:r>
          </w:p>
        </w:tc>
        <w:tc>
          <w:tcPr>
            <w:tcW w:w="2318" w:type="dxa"/>
          </w:tcPr>
          <w:p w14:paraId="7AC1A636" w14:textId="4C787FA3" w:rsidR="000F00EF" w:rsidRPr="008E2A22" w:rsidRDefault="001C1B73" w:rsidP="00E37B97">
            <w:pPr>
              <w:rPr>
                <w:rFonts w:cs="Arial"/>
                <w:sz w:val="21"/>
                <w:szCs w:val="21"/>
              </w:rPr>
            </w:pPr>
            <w:r>
              <w:rPr>
                <w:rFonts w:cs="Arial"/>
                <w:sz w:val="21"/>
                <w:szCs w:val="21"/>
              </w:rPr>
              <w:t>Third Plaintiff</w:t>
            </w:r>
          </w:p>
        </w:tc>
      </w:tr>
      <w:tr w:rsidR="00D743C0" w:rsidRPr="008E2A22" w14:paraId="7D1AC55D" w14:textId="77777777" w:rsidTr="001C1B73">
        <w:tc>
          <w:tcPr>
            <w:tcW w:w="6223" w:type="dxa"/>
          </w:tcPr>
          <w:p w14:paraId="0DBB61BA" w14:textId="0308298A" w:rsidR="00D743C0" w:rsidRPr="008E2A22" w:rsidRDefault="004439E0" w:rsidP="00E37B97">
            <w:pPr>
              <w:tabs>
                <w:tab w:val="right" w:pos="9070"/>
              </w:tabs>
              <w:rPr>
                <w:rFonts w:cs="Arial"/>
                <w:b/>
                <w:bCs/>
                <w:sz w:val="21"/>
                <w:szCs w:val="21"/>
              </w:rPr>
            </w:pPr>
            <w:r>
              <w:rPr>
                <w:rFonts w:cs="Arial"/>
                <w:b/>
                <w:bCs/>
                <w:sz w:val="21"/>
                <w:szCs w:val="21"/>
              </w:rPr>
              <w:t xml:space="preserve">JUNKOON, JUJDEESHIN </w:t>
            </w:r>
            <w:r w:rsidRPr="004439E0">
              <w:rPr>
                <w:rFonts w:cs="Arial"/>
                <w:b/>
                <w:bCs/>
                <w:i/>
                <w:iCs/>
                <w:sz w:val="21"/>
                <w:szCs w:val="21"/>
              </w:rPr>
              <w:t>N O</w:t>
            </w:r>
            <w:r w:rsidR="001C1B73">
              <w:rPr>
                <w:rFonts w:cs="Arial"/>
                <w:b/>
                <w:bCs/>
                <w:i/>
                <w:iCs/>
                <w:sz w:val="21"/>
                <w:szCs w:val="21"/>
              </w:rPr>
              <w:t xml:space="preserve">, </w:t>
            </w:r>
            <w:r w:rsidR="001C1B73" w:rsidRPr="001C1B73">
              <w:rPr>
                <w:rFonts w:cs="Arial"/>
                <w:b/>
                <w:bCs/>
                <w:sz w:val="21"/>
                <w:szCs w:val="21"/>
              </w:rPr>
              <w:t>in their capacity of trustees of the MERGENCE AFRICA PROPERTY INVESTMENT TRUST (IT NO. 11263/2006)</w:t>
            </w:r>
          </w:p>
        </w:tc>
        <w:tc>
          <w:tcPr>
            <w:tcW w:w="2318" w:type="dxa"/>
          </w:tcPr>
          <w:p w14:paraId="68A0D510" w14:textId="5151628A" w:rsidR="00D743C0" w:rsidRPr="008E2A22" w:rsidRDefault="001C1B73" w:rsidP="00E37B97">
            <w:pPr>
              <w:rPr>
                <w:rFonts w:cs="Arial"/>
                <w:sz w:val="21"/>
                <w:szCs w:val="21"/>
              </w:rPr>
            </w:pPr>
            <w:r>
              <w:rPr>
                <w:rFonts w:cs="Arial"/>
                <w:sz w:val="21"/>
                <w:szCs w:val="21"/>
              </w:rPr>
              <w:t>Fourth Plaintiff</w:t>
            </w:r>
          </w:p>
        </w:tc>
      </w:tr>
      <w:tr w:rsidR="000F00EF" w:rsidRPr="008E2A22" w14:paraId="5E2E11F1" w14:textId="77777777" w:rsidTr="001C1B73">
        <w:tc>
          <w:tcPr>
            <w:tcW w:w="6223" w:type="dxa"/>
          </w:tcPr>
          <w:p w14:paraId="1B43D6E3" w14:textId="3850BE34" w:rsidR="001C1B73" w:rsidRDefault="001C1B73" w:rsidP="001C1B73">
            <w:pPr>
              <w:tabs>
                <w:tab w:val="right" w:pos="9070"/>
              </w:tabs>
              <w:rPr>
                <w:rFonts w:cs="Arial"/>
                <w:b/>
                <w:snapToGrid w:val="0"/>
                <w:spacing w:val="-3"/>
                <w:sz w:val="21"/>
                <w:szCs w:val="21"/>
                <w:lang w:val="en-GB"/>
              </w:rPr>
            </w:pPr>
          </w:p>
          <w:p w14:paraId="30A2D3F3" w14:textId="71A9D456" w:rsidR="001C1B73" w:rsidRPr="008E2A22" w:rsidRDefault="001C1B73" w:rsidP="001C1B73">
            <w:pPr>
              <w:tabs>
                <w:tab w:val="right" w:pos="9070"/>
              </w:tabs>
              <w:rPr>
                <w:rFonts w:cs="Arial"/>
                <w:b/>
                <w:snapToGrid w:val="0"/>
                <w:spacing w:val="-3"/>
                <w:sz w:val="21"/>
                <w:szCs w:val="21"/>
                <w:lang w:val="en-GB"/>
              </w:rPr>
            </w:pPr>
            <w:r w:rsidRPr="008E2A22">
              <w:rPr>
                <w:rFonts w:cs="Arial"/>
                <w:b/>
                <w:snapToGrid w:val="0"/>
                <w:spacing w:val="-3"/>
                <w:sz w:val="21"/>
                <w:szCs w:val="21"/>
                <w:lang w:val="en-GB"/>
              </w:rPr>
              <w:t>and</w:t>
            </w:r>
          </w:p>
          <w:p w14:paraId="3E1783E7" w14:textId="02B975B6" w:rsidR="008A32BD" w:rsidRPr="008E2A22" w:rsidRDefault="008A32BD" w:rsidP="00E37B97">
            <w:pPr>
              <w:tabs>
                <w:tab w:val="right" w:pos="9070"/>
              </w:tabs>
              <w:rPr>
                <w:rFonts w:cs="Arial"/>
                <w:b/>
                <w:bCs/>
                <w:sz w:val="21"/>
                <w:szCs w:val="21"/>
              </w:rPr>
            </w:pPr>
          </w:p>
        </w:tc>
        <w:tc>
          <w:tcPr>
            <w:tcW w:w="2318" w:type="dxa"/>
          </w:tcPr>
          <w:p w14:paraId="272C00F9" w14:textId="569B34C1" w:rsidR="00430142" w:rsidRPr="008E2A22" w:rsidRDefault="00430142" w:rsidP="00E37B97">
            <w:pPr>
              <w:rPr>
                <w:rFonts w:cs="Arial"/>
                <w:sz w:val="21"/>
                <w:szCs w:val="21"/>
              </w:rPr>
            </w:pPr>
          </w:p>
        </w:tc>
      </w:tr>
      <w:tr w:rsidR="00430142" w:rsidRPr="008E2A22" w14:paraId="3EB57834" w14:textId="77777777" w:rsidTr="001C1B73">
        <w:tc>
          <w:tcPr>
            <w:tcW w:w="6223" w:type="dxa"/>
          </w:tcPr>
          <w:p w14:paraId="12D66C38" w14:textId="4E908B73" w:rsidR="00E37B97" w:rsidRPr="008E2A22" w:rsidRDefault="001C1B73" w:rsidP="00415439">
            <w:pPr>
              <w:tabs>
                <w:tab w:val="center" w:pos="3003"/>
              </w:tabs>
              <w:rPr>
                <w:rFonts w:cs="Arial"/>
                <w:b/>
                <w:snapToGrid w:val="0"/>
                <w:spacing w:val="-3"/>
                <w:sz w:val="21"/>
                <w:szCs w:val="21"/>
              </w:rPr>
            </w:pPr>
            <w:r>
              <w:rPr>
                <w:rFonts w:cs="Arial"/>
                <w:b/>
                <w:bCs/>
                <w:sz w:val="21"/>
                <w:szCs w:val="21"/>
              </w:rPr>
              <w:t>T R FUNERAL SOLUTIONS CC trading as TIRO FUNERAL SOLUTIONS (REG NO. 2009/009227/23)</w:t>
            </w:r>
          </w:p>
        </w:tc>
        <w:tc>
          <w:tcPr>
            <w:tcW w:w="2318" w:type="dxa"/>
          </w:tcPr>
          <w:p w14:paraId="47024FA0" w14:textId="692438EC" w:rsidR="00E37B97" w:rsidRPr="008E2A22" w:rsidRDefault="001C1B73" w:rsidP="002709AE">
            <w:pPr>
              <w:rPr>
                <w:rFonts w:cs="Arial"/>
                <w:sz w:val="21"/>
                <w:szCs w:val="21"/>
              </w:rPr>
            </w:pPr>
            <w:r>
              <w:rPr>
                <w:rFonts w:cs="Arial"/>
                <w:sz w:val="21"/>
                <w:szCs w:val="21"/>
              </w:rPr>
              <w:t>First Defendant</w:t>
            </w:r>
          </w:p>
        </w:tc>
      </w:tr>
      <w:tr w:rsidR="00430142" w:rsidRPr="008E2A22" w14:paraId="2EAC63E5" w14:textId="77777777" w:rsidTr="001C1B73">
        <w:tc>
          <w:tcPr>
            <w:tcW w:w="6223" w:type="dxa"/>
          </w:tcPr>
          <w:p w14:paraId="63062862" w14:textId="3973D810" w:rsidR="00D33A54" w:rsidRPr="008E2A22" w:rsidRDefault="001C1B73" w:rsidP="001C1B73">
            <w:pPr>
              <w:tabs>
                <w:tab w:val="left" w:pos="2527"/>
              </w:tabs>
              <w:rPr>
                <w:rFonts w:cs="Arial"/>
                <w:b/>
                <w:snapToGrid w:val="0"/>
                <w:spacing w:val="-3"/>
                <w:sz w:val="21"/>
                <w:szCs w:val="21"/>
                <w:lang w:val="en-GB"/>
              </w:rPr>
            </w:pPr>
            <w:r>
              <w:rPr>
                <w:rFonts w:cs="Arial"/>
                <w:b/>
                <w:snapToGrid w:val="0"/>
                <w:spacing w:val="-3"/>
                <w:sz w:val="21"/>
                <w:szCs w:val="21"/>
                <w:lang w:val="en-GB"/>
              </w:rPr>
              <w:t>RATONE, MATSHIDISO</w:t>
            </w:r>
          </w:p>
        </w:tc>
        <w:tc>
          <w:tcPr>
            <w:tcW w:w="2318" w:type="dxa"/>
          </w:tcPr>
          <w:p w14:paraId="7E481722" w14:textId="12A5EC29" w:rsidR="00430142" w:rsidRPr="008E2A22" w:rsidRDefault="001C1B73" w:rsidP="00E37B97">
            <w:pPr>
              <w:rPr>
                <w:rFonts w:cs="Arial"/>
                <w:sz w:val="21"/>
                <w:szCs w:val="21"/>
              </w:rPr>
            </w:pPr>
            <w:r>
              <w:rPr>
                <w:rFonts w:cs="Arial"/>
                <w:sz w:val="21"/>
                <w:szCs w:val="21"/>
              </w:rPr>
              <w:t>Second Defendant</w:t>
            </w:r>
          </w:p>
        </w:tc>
      </w:tr>
      <w:tr w:rsidR="00415439" w:rsidRPr="008E2A22" w14:paraId="2567635F" w14:textId="77777777" w:rsidTr="001C1B73">
        <w:tc>
          <w:tcPr>
            <w:tcW w:w="6223" w:type="dxa"/>
          </w:tcPr>
          <w:p w14:paraId="154308FD" w14:textId="5C9ADE88" w:rsidR="00415439" w:rsidRPr="008E2A22" w:rsidRDefault="001C1B73" w:rsidP="00E37B97">
            <w:pPr>
              <w:tabs>
                <w:tab w:val="right" w:pos="9070"/>
              </w:tabs>
              <w:rPr>
                <w:rFonts w:cs="Arial"/>
                <w:b/>
                <w:snapToGrid w:val="0"/>
                <w:spacing w:val="-3"/>
                <w:sz w:val="21"/>
                <w:szCs w:val="21"/>
                <w:lang w:val="en-GB"/>
              </w:rPr>
            </w:pPr>
            <w:r>
              <w:rPr>
                <w:rFonts w:cs="Arial"/>
                <w:b/>
                <w:snapToGrid w:val="0"/>
                <w:spacing w:val="-3"/>
                <w:sz w:val="21"/>
                <w:szCs w:val="21"/>
                <w:lang w:val="en-GB"/>
              </w:rPr>
              <w:t>RATONE, TIRO STEPHEN</w:t>
            </w:r>
          </w:p>
        </w:tc>
        <w:tc>
          <w:tcPr>
            <w:tcW w:w="2318" w:type="dxa"/>
          </w:tcPr>
          <w:p w14:paraId="47BC7F2B" w14:textId="598583B9" w:rsidR="00415439" w:rsidRPr="008E2A22" w:rsidRDefault="001C1B73" w:rsidP="00E37B97">
            <w:pPr>
              <w:rPr>
                <w:rFonts w:cs="Arial"/>
                <w:sz w:val="21"/>
                <w:szCs w:val="21"/>
              </w:rPr>
            </w:pPr>
            <w:r>
              <w:rPr>
                <w:rFonts w:cs="Arial"/>
                <w:sz w:val="21"/>
                <w:szCs w:val="21"/>
              </w:rPr>
              <w:t>Third Defendant</w:t>
            </w:r>
          </w:p>
        </w:tc>
      </w:tr>
    </w:tbl>
    <w:p w14:paraId="2E9E9900" w14:textId="77777777" w:rsidR="0023405C" w:rsidRPr="008E2A22" w:rsidRDefault="0023405C" w:rsidP="00C74E97">
      <w:pPr>
        <w:pBdr>
          <w:bottom w:val="single" w:sz="4" w:space="1" w:color="auto"/>
        </w:pBdr>
        <w:spacing w:line="360" w:lineRule="auto"/>
        <w:jc w:val="both"/>
        <w:rPr>
          <w:rFonts w:cs="Arial"/>
          <w:sz w:val="21"/>
          <w:szCs w:val="21"/>
        </w:rPr>
      </w:pPr>
    </w:p>
    <w:p w14:paraId="67781CE9" w14:textId="77777777" w:rsidR="0023405C" w:rsidRPr="008E2A22" w:rsidRDefault="0023405C" w:rsidP="00C74E97">
      <w:pPr>
        <w:pBdr>
          <w:bottom w:val="single" w:sz="4" w:space="1" w:color="auto"/>
        </w:pBdr>
        <w:spacing w:line="360" w:lineRule="auto"/>
        <w:jc w:val="both"/>
        <w:rPr>
          <w:rFonts w:cs="Arial"/>
          <w:sz w:val="21"/>
          <w:szCs w:val="21"/>
        </w:rPr>
      </w:pPr>
    </w:p>
    <w:p w14:paraId="58DE5549" w14:textId="77777777" w:rsidR="006C43D7" w:rsidRPr="008E2A22" w:rsidRDefault="006C43D7" w:rsidP="00C74E97">
      <w:pPr>
        <w:spacing w:line="360" w:lineRule="auto"/>
        <w:jc w:val="both"/>
        <w:rPr>
          <w:rFonts w:cs="Arial"/>
          <w:sz w:val="21"/>
          <w:szCs w:val="21"/>
        </w:rPr>
      </w:pPr>
    </w:p>
    <w:p w14:paraId="647AB70C" w14:textId="77777777" w:rsidR="006C43D7" w:rsidRPr="008E2A22" w:rsidRDefault="006C43D7" w:rsidP="00C74E97">
      <w:pPr>
        <w:keepNext/>
        <w:spacing w:line="360" w:lineRule="auto"/>
        <w:jc w:val="center"/>
        <w:outlineLvl w:val="1"/>
        <w:rPr>
          <w:rFonts w:cs="Arial"/>
          <w:b/>
          <w:bCs/>
          <w:sz w:val="21"/>
          <w:szCs w:val="21"/>
        </w:rPr>
      </w:pPr>
      <w:r w:rsidRPr="008E2A22">
        <w:rPr>
          <w:rFonts w:cs="Arial"/>
          <w:b/>
          <w:bCs/>
          <w:sz w:val="21"/>
          <w:szCs w:val="21"/>
        </w:rPr>
        <w:t>JUDGMENT</w:t>
      </w:r>
    </w:p>
    <w:p w14:paraId="52CD25EB" w14:textId="77777777" w:rsidR="006C43D7" w:rsidRPr="008E2A22" w:rsidRDefault="006C43D7" w:rsidP="00C74E97">
      <w:pPr>
        <w:pBdr>
          <w:bottom w:val="single" w:sz="4" w:space="1" w:color="auto"/>
        </w:pBdr>
        <w:spacing w:line="360" w:lineRule="auto"/>
        <w:jc w:val="both"/>
        <w:rPr>
          <w:rFonts w:cs="Arial"/>
          <w:sz w:val="21"/>
          <w:szCs w:val="21"/>
        </w:rPr>
      </w:pPr>
    </w:p>
    <w:p w14:paraId="2FFFE5A8" w14:textId="77777777" w:rsidR="0040197A" w:rsidRPr="008E2A22" w:rsidRDefault="0040197A" w:rsidP="00C74E97">
      <w:pPr>
        <w:spacing w:after="480" w:line="360" w:lineRule="auto"/>
        <w:jc w:val="both"/>
        <w:rPr>
          <w:rFonts w:cs="Arial"/>
          <w:b/>
          <w:sz w:val="21"/>
          <w:szCs w:val="21"/>
        </w:rPr>
      </w:pPr>
    </w:p>
    <w:p w14:paraId="5BD82EFE" w14:textId="147D8FBC" w:rsidR="00BE6AB8" w:rsidRPr="008E2A22" w:rsidRDefault="00C676F3" w:rsidP="00C74E97">
      <w:pPr>
        <w:spacing w:after="480" w:line="360" w:lineRule="auto"/>
        <w:jc w:val="both"/>
        <w:rPr>
          <w:rFonts w:cs="Arial"/>
          <w:b/>
          <w:sz w:val="21"/>
          <w:szCs w:val="21"/>
        </w:rPr>
      </w:pPr>
      <w:r w:rsidRPr="008E2A22">
        <w:rPr>
          <w:rFonts w:cs="Arial"/>
          <w:b/>
          <w:sz w:val="21"/>
          <w:szCs w:val="21"/>
        </w:rPr>
        <w:t>MOORCROFT</w:t>
      </w:r>
      <w:r w:rsidR="006C43D7" w:rsidRPr="008E2A22">
        <w:rPr>
          <w:rFonts w:cs="Arial"/>
          <w:b/>
          <w:sz w:val="21"/>
          <w:szCs w:val="21"/>
        </w:rPr>
        <w:t xml:space="preserve"> AJ:</w:t>
      </w:r>
    </w:p>
    <w:p w14:paraId="5B9302F1" w14:textId="576D4E4A" w:rsidR="001F361F" w:rsidRDefault="00C460A0" w:rsidP="00FE60F7">
      <w:pPr>
        <w:keepNext/>
        <w:spacing w:after="480" w:line="360" w:lineRule="auto"/>
        <w:jc w:val="both"/>
        <w:rPr>
          <w:rFonts w:cs="Arial"/>
          <w:bCs/>
          <w:i/>
          <w:iCs/>
          <w:sz w:val="21"/>
          <w:szCs w:val="21"/>
          <w:u w:val="single"/>
        </w:rPr>
      </w:pPr>
      <w:r w:rsidRPr="008E2A22">
        <w:rPr>
          <w:rFonts w:cs="Arial"/>
          <w:bCs/>
          <w:i/>
          <w:iCs/>
          <w:sz w:val="21"/>
          <w:szCs w:val="21"/>
          <w:u w:val="single"/>
        </w:rPr>
        <w:lastRenderedPageBreak/>
        <w:t>Summary</w:t>
      </w:r>
    </w:p>
    <w:p w14:paraId="7BD80E16" w14:textId="797F4AD7" w:rsidR="00E063A0" w:rsidRDefault="00E063A0" w:rsidP="00FE60F7">
      <w:pPr>
        <w:keepNext/>
        <w:spacing w:after="480" w:line="360" w:lineRule="auto"/>
        <w:jc w:val="both"/>
        <w:rPr>
          <w:rFonts w:cs="Arial"/>
          <w:bCs/>
          <w:i/>
          <w:iCs/>
          <w:sz w:val="21"/>
          <w:szCs w:val="21"/>
        </w:rPr>
      </w:pPr>
      <w:r>
        <w:rPr>
          <w:rFonts w:cs="Arial"/>
          <w:bCs/>
          <w:i/>
          <w:iCs/>
          <w:sz w:val="21"/>
          <w:szCs w:val="21"/>
        </w:rPr>
        <w:t xml:space="preserve">Summary judgment – bona fide defence - electricity supply problems do not justify a defence of supervening </w:t>
      </w:r>
      <w:proofErr w:type="gramStart"/>
      <w:r w:rsidR="00282069">
        <w:rPr>
          <w:rFonts w:cs="Arial"/>
          <w:bCs/>
          <w:i/>
          <w:iCs/>
          <w:sz w:val="21"/>
          <w:szCs w:val="21"/>
        </w:rPr>
        <w:t>impossibility</w:t>
      </w:r>
      <w:proofErr w:type="gramEnd"/>
    </w:p>
    <w:p w14:paraId="18AFD427" w14:textId="28ECDE40" w:rsidR="00BE6AB8" w:rsidRPr="008E2A22" w:rsidRDefault="00E063A0" w:rsidP="00FE60F7">
      <w:pPr>
        <w:keepNext/>
        <w:spacing w:after="480" w:line="360" w:lineRule="auto"/>
        <w:jc w:val="both"/>
        <w:rPr>
          <w:rFonts w:cs="Arial"/>
          <w:bCs/>
          <w:sz w:val="21"/>
          <w:szCs w:val="21"/>
          <w:u w:val="single"/>
        </w:rPr>
      </w:pPr>
      <w:r>
        <w:rPr>
          <w:rFonts w:cs="Arial"/>
          <w:bCs/>
          <w:sz w:val="21"/>
          <w:szCs w:val="21"/>
          <w:u w:val="single"/>
        </w:rPr>
        <w:t>Order</w:t>
      </w:r>
    </w:p>
    <w:p w14:paraId="63515C87" w14:textId="0EB4129D" w:rsidR="004E3D0E" w:rsidRPr="008E2A22" w:rsidRDefault="00695576" w:rsidP="00695576">
      <w:pPr>
        <w:tabs>
          <w:tab w:val="left" w:pos="567"/>
        </w:tabs>
        <w:spacing w:after="480" w:line="360" w:lineRule="auto"/>
        <w:jc w:val="both"/>
        <w:rPr>
          <w:rFonts w:cs="Arial"/>
          <w:i/>
          <w:iCs/>
          <w:sz w:val="21"/>
          <w:szCs w:val="21"/>
        </w:rPr>
      </w:pPr>
      <w:r w:rsidRPr="008E2A22">
        <w:rPr>
          <w:rFonts w:cs="Arial"/>
          <w:iCs/>
          <w:sz w:val="21"/>
          <w:szCs w:val="21"/>
        </w:rPr>
        <w:t>[1]</w:t>
      </w:r>
      <w:r w:rsidRPr="008E2A22">
        <w:rPr>
          <w:rFonts w:cs="Arial"/>
          <w:iCs/>
          <w:sz w:val="21"/>
          <w:szCs w:val="21"/>
        </w:rPr>
        <w:tab/>
      </w:r>
      <w:r w:rsidR="003B4100" w:rsidRPr="008E2A22">
        <w:rPr>
          <w:rFonts w:cs="Arial"/>
          <w:bCs/>
          <w:sz w:val="21"/>
          <w:szCs w:val="21"/>
        </w:rPr>
        <w:t xml:space="preserve">In this </w:t>
      </w:r>
      <w:r w:rsidR="00B56906" w:rsidRPr="008E2A22">
        <w:rPr>
          <w:rFonts w:cs="Arial"/>
          <w:bCs/>
          <w:sz w:val="21"/>
          <w:szCs w:val="21"/>
        </w:rPr>
        <w:t xml:space="preserve">matter </w:t>
      </w:r>
      <w:r w:rsidR="00C460A0" w:rsidRPr="008E2A22">
        <w:rPr>
          <w:rFonts w:cs="Arial"/>
          <w:bCs/>
          <w:sz w:val="21"/>
          <w:szCs w:val="21"/>
        </w:rPr>
        <w:t>I ma</w:t>
      </w:r>
      <w:r w:rsidR="000976D2" w:rsidRPr="008E2A22">
        <w:rPr>
          <w:rFonts w:cs="Arial"/>
          <w:bCs/>
          <w:sz w:val="21"/>
          <w:szCs w:val="21"/>
        </w:rPr>
        <w:t>k</w:t>
      </w:r>
      <w:r w:rsidR="00DC6EF8" w:rsidRPr="008E2A22">
        <w:rPr>
          <w:rFonts w:cs="Arial"/>
          <w:bCs/>
          <w:sz w:val="21"/>
          <w:szCs w:val="21"/>
        </w:rPr>
        <w:t>e</w:t>
      </w:r>
      <w:r w:rsidR="00C460A0" w:rsidRPr="008E2A22">
        <w:rPr>
          <w:rFonts w:cs="Arial"/>
          <w:bCs/>
          <w:sz w:val="21"/>
          <w:szCs w:val="21"/>
        </w:rPr>
        <w:t xml:space="preserve"> the following order</w:t>
      </w:r>
      <w:r w:rsidR="000976D2" w:rsidRPr="008E2A22">
        <w:rPr>
          <w:rFonts w:cs="Arial"/>
          <w:bCs/>
          <w:sz w:val="21"/>
          <w:szCs w:val="21"/>
        </w:rPr>
        <w:t>:</w:t>
      </w:r>
    </w:p>
    <w:p w14:paraId="700C5C22" w14:textId="3896DD49" w:rsidR="00FF6BC7" w:rsidRPr="00695576" w:rsidRDefault="00695576" w:rsidP="00695576">
      <w:pPr>
        <w:spacing w:after="480" w:line="360" w:lineRule="auto"/>
        <w:ind w:left="720" w:hanging="360"/>
        <w:jc w:val="both"/>
        <w:rPr>
          <w:rFonts w:cs="Arial"/>
          <w:i/>
          <w:iCs/>
          <w:sz w:val="21"/>
          <w:szCs w:val="21"/>
        </w:rPr>
      </w:pPr>
      <w:r w:rsidRPr="00282069">
        <w:rPr>
          <w:rFonts w:cs="Arial"/>
          <w:i/>
          <w:iCs/>
          <w:sz w:val="21"/>
          <w:szCs w:val="21"/>
        </w:rPr>
        <w:t>1.</w:t>
      </w:r>
      <w:r w:rsidRPr="00282069">
        <w:rPr>
          <w:rFonts w:cs="Arial"/>
          <w:i/>
          <w:iCs/>
          <w:sz w:val="21"/>
          <w:szCs w:val="21"/>
        </w:rPr>
        <w:tab/>
      </w:r>
      <w:r w:rsidR="00DE4F92" w:rsidRPr="00695576">
        <w:rPr>
          <w:rFonts w:cs="Arial"/>
          <w:i/>
          <w:iCs/>
          <w:sz w:val="21"/>
          <w:szCs w:val="21"/>
        </w:rPr>
        <w:t>Summary judgment is granted in the amount of R114,</w:t>
      </w:r>
      <w:proofErr w:type="gramStart"/>
      <w:r w:rsidR="00DE4F92" w:rsidRPr="00695576">
        <w:rPr>
          <w:rFonts w:cs="Arial"/>
          <w:i/>
          <w:iCs/>
          <w:sz w:val="21"/>
          <w:szCs w:val="21"/>
        </w:rPr>
        <w:t>725.28;</w:t>
      </w:r>
      <w:proofErr w:type="gramEnd"/>
    </w:p>
    <w:p w14:paraId="2E4758D6" w14:textId="6AE46ADA" w:rsidR="00DE4F92" w:rsidRPr="00695576" w:rsidRDefault="00695576" w:rsidP="00695576">
      <w:pPr>
        <w:spacing w:after="480" w:line="360" w:lineRule="auto"/>
        <w:ind w:left="720" w:hanging="360"/>
        <w:jc w:val="both"/>
        <w:rPr>
          <w:rFonts w:cs="Arial"/>
          <w:i/>
          <w:iCs/>
          <w:sz w:val="21"/>
          <w:szCs w:val="21"/>
        </w:rPr>
      </w:pPr>
      <w:r w:rsidRPr="00282069">
        <w:rPr>
          <w:rFonts w:cs="Arial"/>
          <w:i/>
          <w:iCs/>
          <w:sz w:val="21"/>
          <w:szCs w:val="21"/>
        </w:rPr>
        <w:t>2.</w:t>
      </w:r>
      <w:r w:rsidRPr="00282069">
        <w:rPr>
          <w:rFonts w:cs="Arial"/>
          <w:i/>
          <w:iCs/>
          <w:sz w:val="21"/>
          <w:szCs w:val="21"/>
        </w:rPr>
        <w:tab/>
      </w:r>
      <w:r w:rsidR="00DE4F92" w:rsidRPr="00695576">
        <w:rPr>
          <w:i/>
          <w:iCs/>
        </w:rPr>
        <w:t xml:space="preserve">Interest thereon at the prevailing prime rate from time to time plus 2% per annum compounded monthly from 19 May 2023 to date of </w:t>
      </w:r>
      <w:proofErr w:type="gramStart"/>
      <w:r w:rsidR="00DE4F92" w:rsidRPr="00695576">
        <w:rPr>
          <w:i/>
          <w:iCs/>
        </w:rPr>
        <w:t>payment;</w:t>
      </w:r>
      <w:proofErr w:type="gramEnd"/>
    </w:p>
    <w:p w14:paraId="076ED0B9" w14:textId="19FDC885" w:rsidR="00B71116" w:rsidRPr="00695576" w:rsidRDefault="00695576" w:rsidP="00695576">
      <w:pPr>
        <w:spacing w:after="480" w:line="360" w:lineRule="auto"/>
        <w:ind w:left="720" w:hanging="360"/>
        <w:jc w:val="both"/>
        <w:rPr>
          <w:rFonts w:cs="Arial"/>
          <w:i/>
          <w:iCs/>
          <w:sz w:val="21"/>
          <w:szCs w:val="21"/>
        </w:rPr>
      </w:pPr>
      <w:r w:rsidRPr="00282069">
        <w:rPr>
          <w:rFonts w:cs="Arial"/>
          <w:i/>
          <w:iCs/>
          <w:sz w:val="21"/>
          <w:szCs w:val="21"/>
        </w:rPr>
        <w:t>3.</w:t>
      </w:r>
      <w:r w:rsidRPr="00282069">
        <w:rPr>
          <w:rFonts w:cs="Arial"/>
          <w:i/>
          <w:iCs/>
          <w:sz w:val="21"/>
          <w:szCs w:val="21"/>
        </w:rPr>
        <w:tab/>
      </w:r>
      <w:r w:rsidR="00DE4F92" w:rsidRPr="00695576">
        <w:rPr>
          <w:rFonts w:cs="Arial"/>
          <w:i/>
          <w:iCs/>
          <w:sz w:val="21"/>
          <w:szCs w:val="21"/>
        </w:rPr>
        <w:t>Costs on the scale as between attorney and client.</w:t>
      </w:r>
    </w:p>
    <w:p w14:paraId="35FC6611" w14:textId="77777777" w:rsidR="00DE4F92" w:rsidRPr="00DE4F92" w:rsidRDefault="00DE4F92" w:rsidP="00DE4F92">
      <w:pPr>
        <w:spacing w:after="480" w:line="360" w:lineRule="auto"/>
        <w:ind w:left="360"/>
        <w:jc w:val="both"/>
        <w:rPr>
          <w:rFonts w:cs="Arial"/>
          <w:i/>
          <w:iCs/>
          <w:sz w:val="21"/>
          <w:szCs w:val="21"/>
        </w:rPr>
      </w:pPr>
    </w:p>
    <w:p w14:paraId="08540072" w14:textId="54041702" w:rsidR="00C9310B" w:rsidRPr="00695576" w:rsidRDefault="00695576" w:rsidP="00695576">
      <w:pPr>
        <w:widowControl w:val="0"/>
        <w:tabs>
          <w:tab w:val="left" w:pos="567"/>
        </w:tabs>
        <w:spacing w:before="480" w:after="480" w:line="360" w:lineRule="auto"/>
        <w:jc w:val="both"/>
        <w:rPr>
          <w:rFonts w:cs="Arial"/>
          <w:bCs/>
          <w:sz w:val="21"/>
          <w:szCs w:val="21"/>
          <w:u w:val="single"/>
        </w:rPr>
      </w:pPr>
      <w:r w:rsidRPr="008E2A22">
        <w:rPr>
          <w:rFonts w:cs="Arial"/>
          <w:bCs/>
          <w:sz w:val="21"/>
          <w:szCs w:val="21"/>
        </w:rPr>
        <w:t>[2]</w:t>
      </w:r>
      <w:r w:rsidRPr="008E2A22">
        <w:rPr>
          <w:rFonts w:cs="Arial"/>
          <w:bCs/>
          <w:sz w:val="21"/>
          <w:szCs w:val="21"/>
        </w:rPr>
        <w:tab/>
      </w:r>
      <w:r w:rsidR="004A5AF5" w:rsidRPr="00695576">
        <w:rPr>
          <w:rFonts w:cs="Arial"/>
          <w:bCs/>
          <w:sz w:val="21"/>
          <w:szCs w:val="21"/>
        </w:rPr>
        <w:t xml:space="preserve">The </w:t>
      </w:r>
      <w:r w:rsidR="00573FF9" w:rsidRPr="00695576">
        <w:rPr>
          <w:rFonts w:cs="Arial"/>
          <w:bCs/>
          <w:sz w:val="21"/>
          <w:szCs w:val="21"/>
        </w:rPr>
        <w:t xml:space="preserve">reasons for the order </w:t>
      </w:r>
      <w:r w:rsidR="00A63709" w:rsidRPr="00695576">
        <w:rPr>
          <w:rFonts w:cs="Arial"/>
          <w:bCs/>
          <w:sz w:val="21"/>
          <w:szCs w:val="21"/>
        </w:rPr>
        <w:t>follow</w:t>
      </w:r>
      <w:r w:rsidR="00573FF9" w:rsidRPr="00695576">
        <w:rPr>
          <w:rFonts w:cs="Arial"/>
          <w:bCs/>
          <w:sz w:val="21"/>
          <w:szCs w:val="21"/>
        </w:rPr>
        <w:t xml:space="preserve"> below.</w:t>
      </w:r>
    </w:p>
    <w:p w14:paraId="037F1A01" w14:textId="77777777" w:rsidR="00A444DD" w:rsidRPr="008E2A22" w:rsidRDefault="00A444DD" w:rsidP="00FE60F7">
      <w:pPr>
        <w:keepNext/>
        <w:widowControl w:val="0"/>
        <w:spacing w:before="480" w:after="480" w:line="360" w:lineRule="auto"/>
        <w:jc w:val="both"/>
        <w:rPr>
          <w:rFonts w:cs="Arial"/>
          <w:bCs/>
          <w:sz w:val="21"/>
          <w:szCs w:val="21"/>
          <w:u w:val="single"/>
        </w:rPr>
      </w:pPr>
    </w:p>
    <w:p w14:paraId="3658C913" w14:textId="6056F843" w:rsidR="00573FF9" w:rsidRPr="008E2A22" w:rsidRDefault="00D9086C" w:rsidP="00FE60F7">
      <w:pPr>
        <w:keepNext/>
        <w:widowControl w:val="0"/>
        <w:spacing w:before="480" w:after="480" w:line="360" w:lineRule="auto"/>
        <w:jc w:val="both"/>
        <w:rPr>
          <w:rFonts w:cs="Arial"/>
          <w:bCs/>
          <w:sz w:val="21"/>
          <w:szCs w:val="21"/>
          <w:u w:val="single"/>
        </w:rPr>
      </w:pPr>
      <w:r w:rsidRPr="008E2A22">
        <w:rPr>
          <w:rFonts w:cs="Arial"/>
          <w:bCs/>
          <w:sz w:val="21"/>
          <w:szCs w:val="21"/>
          <w:u w:val="single"/>
        </w:rPr>
        <w:t>Introduction</w:t>
      </w:r>
    </w:p>
    <w:p w14:paraId="6EB5EEB2" w14:textId="28A55A2B" w:rsidR="00FF6BC7"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[3]</w:t>
      </w:r>
      <w:r>
        <w:rPr>
          <w:rFonts w:cs="Arial"/>
          <w:bCs/>
          <w:sz w:val="21"/>
          <w:szCs w:val="21"/>
        </w:rPr>
        <w:tab/>
      </w:r>
      <w:r w:rsidR="004439E0">
        <w:rPr>
          <w:rFonts w:cs="Arial"/>
          <w:bCs/>
          <w:sz w:val="21"/>
          <w:szCs w:val="21"/>
        </w:rPr>
        <w:t xml:space="preserve">This is an application for summary judgement as provided for in rule 32 of the uniform rules. </w:t>
      </w:r>
      <w:r w:rsidR="001C1B73">
        <w:rPr>
          <w:rFonts w:cs="Arial"/>
          <w:bCs/>
          <w:sz w:val="21"/>
          <w:szCs w:val="21"/>
        </w:rPr>
        <w:t>The application is based on the alleged breach of a written lease agreement in respect of commercial premises by the first defendant and on suretyship granted by the second and third defendants who bound themselves as sureties and co-principal debtors for the debts of the first defendant.</w:t>
      </w:r>
    </w:p>
    <w:p w14:paraId="6CD4FA3A" w14:textId="02E86633" w:rsidR="00594F11"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[4]</w:t>
      </w:r>
      <w:r>
        <w:rPr>
          <w:rFonts w:cs="Arial"/>
          <w:bCs/>
          <w:sz w:val="21"/>
          <w:szCs w:val="21"/>
        </w:rPr>
        <w:tab/>
      </w:r>
      <w:r w:rsidR="00594F11">
        <w:rPr>
          <w:rFonts w:cs="Arial"/>
          <w:bCs/>
          <w:sz w:val="21"/>
          <w:szCs w:val="21"/>
        </w:rPr>
        <w:t xml:space="preserve">The lease agreement was entered into on 12 June 2020 and an addendum was signed on 24 June 2020. The lease period commenced on 1 August 2020 with beneficial occupation from 1 July 2020 and was </w:t>
      </w:r>
      <w:r w:rsidR="00DE4F92">
        <w:rPr>
          <w:rFonts w:cs="Arial"/>
          <w:bCs/>
          <w:sz w:val="21"/>
          <w:szCs w:val="21"/>
        </w:rPr>
        <w:t xml:space="preserve">to terminate on </w:t>
      </w:r>
      <w:r w:rsidR="00594F11">
        <w:rPr>
          <w:rFonts w:cs="Arial"/>
          <w:bCs/>
          <w:sz w:val="21"/>
          <w:szCs w:val="21"/>
        </w:rPr>
        <w:t xml:space="preserve">31 July 2025. The agreement provided that in the event of the first defendant not meeting its obligations the plaintiff as landlord would have the right to recover interest from the first defendant on the amount outstanding at the rate equal </w:t>
      </w:r>
      <w:r w:rsidR="00594F11">
        <w:rPr>
          <w:rFonts w:cs="Arial"/>
          <w:bCs/>
          <w:sz w:val="21"/>
          <w:szCs w:val="21"/>
        </w:rPr>
        <w:lastRenderedPageBreak/>
        <w:t xml:space="preserve">to the prime overdraft rate charged from time to time </w:t>
      </w:r>
      <w:r w:rsidR="00DE4F92">
        <w:rPr>
          <w:rFonts w:cs="Arial"/>
          <w:bCs/>
          <w:sz w:val="21"/>
          <w:szCs w:val="21"/>
        </w:rPr>
        <w:t xml:space="preserve">plus </w:t>
      </w:r>
      <w:r w:rsidR="00594F11">
        <w:rPr>
          <w:rFonts w:cs="Arial"/>
          <w:bCs/>
          <w:sz w:val="21"/>
          <w:szCs w:val="21"/>
        </w:rPr>
        <w:t>2 percentage points compounded monthly in arrears. The agreement also provided for cost on the scal</w:t>
      </w:r>
      <w:r w:rsidR="00D161AA">
        <w:rPr>
          <w:rFonts w:cs="Arial"/>
          <w:bCs/>
          <w:sz w:val="21"/>
          <w:szCs w:val="21"/>
        </w:rPr>
        <w:t xml:space="preserve">e </w:t>
      </w:r>
      <w:r w:rsidR="00594F11">
        <w:rPr>
          <w:rFonts w:cs="Arial"/>
          <w:bCs/>
          <w:sz w:val="21"/>
          <w:szCs w:val="21"/>
        </w:rPr>
        <w:t>as between attorney and client the event of litigation between the parties.</w:t>
      </w:r>
    </w:p>
    <w:p w14:paraId="6ABC77CD" w14:textId="6C11D369" w:rsidR="00D161AA"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[5]</w:t>
      </w:r>
      <w:r>
        <w:rPr>
          <w:rFonts w:cs="Arial"/>
          <w:bCs/>
          <w:sz w:val="21"/>
          <w:szCs w:val="21"/>
        </w:rPr>
        <w:tab/>
      </w:r>
      <w:r w:rsidR="00D161AA">
        <w:rPr>
          <w:rFonts w:cs="Arial"/>
          <w:bCs/>
          <w:sz w:val="21"/>
          <w:szCs w:val="21"/>
        </w:rPr>
        <w:t>The National</w:t>
      </w:r>
      <w:r w:rsidR="00DE4F92">
        <w:rPr>
          <w:rFonts w:cs="Arial"/>
          <w:bCs/>
          <w:sz w:val="21"/>
          <w:szCs w:val="21"/>
        </w:rPr>
        <w:t xml:space="preserve"> Credit Act</w:t>
      </w:r>
      <w:r w:rsidR="00D161AA">
        <w:rPr>
          <w:rFonts w:cs="Arial"/>
          <w:bCs/>
          <w:sz w:val="21"/>
          <w:szCs w:val="21"/>
        </w:rPr>
        <w:t xml:space="preserve"> does not apply to the transaction as</w:t>
      </w:r>
      <w:r w:rsidR="002F3497">
        <w:rPr>
          <w:rFonts w:cs="Arial"/>
          <w:bCs/>
          <w:sz w:val="21"/>
          <w:szCs w:val="21"/>
        </w:rPr>
        <w:t xml:space="preserve"> leases of immovable property are exempted.</w:t>
      </w:r>
      <w:r w:rsidR="002F3497">
        <w:rPr>
          <w:rStyle w:val="FootnoteReference"/>
          <w:rFonts w:cs="Arial"/>
          <w:bCs/>
          <w:sz w:val="21"/>
          <w:szCs w:val="21"/>
        </w:rPr>
        <w:footnoteReference w:id="1"/>
      </w:r>
    </w:p>
    <w:p w14:paraId="29469F6C" w14:textId="097F19EA" w:rsidR="00594F11"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[6]</w:t>
      </w:r>
      <w:r>
        <w:rPr>
          <w:rFonts w:cs="Arial"/>
          <w:bCs/>
          <w:sz w:val="21"/>
          <w:szCs w:val="21"/>
        </w:rPr>
        <w:tab/>
      </w:r>
      <w:r w:rsidR="002F3497">
        <w:rPr>
          <w:rFonts w:cs="Arial"/>
          <w:bCs/>
          <w:sz w:val="21"/>
          <w:szCs w:val="21"/>
        </w:rPr>
        <w:t xml:space="preserve"> </w:t>
      </w:r>
      <w:r w:rsidR="00594F11">
        <w:rPr>
          <w:rFonts w:cs="Arial"/>
          <w:bCs/>
          <w:sz w:val="21"/>
          <w:szCs w:val="21"/>
        </w:rPr>
        <w:t xml:space="preserve">The first defendant unilaterally </w:t>
      </w:r>
      <w:r w:rsidR="00136B3E">
        <w:rPr>
          <w:rFonts w:cs="Arial"/>
          <w:bCs/>
          <w:sz w:val="21"/>
          <w:szCs w:val="21"/>
        </w:rPr>
        <w:t xml:space="preserve">cancelled and then </w:t>
      </w:r>
      <w:r w:rsidR="00594F11">
        <w:rPr>
          <w:rFonts w:cs="Arial"/>
          <w:bCs/>
          <w:sz w:val="21"/>
          <w:szCs w:val="21"/>
        </w:rPr>
        <w:t xml:space="preserve">vacated the premises prior to the expiration of the lease period and owed an amount of R114,725.28 in respect of </w:t>
      </w:r>
      <w:r w:rsidR="00DE4F92">
        <w:rPr>
          <w:rFonts w:cs="Arial"/>
          <w:bCs/>
          <w:sz w:val="21"/>
          <w:szCs w:val="21"/>
        </w:rPr>
        <w:t>ar</w:t>
      </w:r>
      <w:r w:rsidR="00594F11">
        <w:rPr>
          <w:rFonts w:cs="Arial"/>
          <w:bCs/>
          <w:sz w:val="21"/>
          <w:szCs w:val="21"/>
        </w:rPr>
        <w:t xml:space="preserve">rear rental and other charges for the period December </w:t>
      </w:r>
      <w:r w:rsidR="00DE4F92">
        <w:rPr>
          <w:rFonts w:cs="Arial"/>
          <w:bCs/>
          <w:sz w:val="21"/>
          <w:szCs w:val="21"/>
        </w:rPr>
        <w:t>20</w:t>
      </w:r>
      <w:r w:rsidR="00594F11">
        <w:rPr>
          <w:rFonts w:cs="Arial"/>
          <w:bCs/>
          <w:sz w:val="21"/>
          <w:szCs w:val="21"/>
        </w:rPr>
        <w:t>22 to May 2023.</w:t>
      </w:r>
      <w:r w:rsidR="00136B3E">
        <w:rPr>
          <w:rFonts w:cs="Arial"/>
          <w:bCs/>
          <w:sz w:val="21"/>
          <w:szCs w:val="21"/>
        </w:rPr>
        <w:t xml:space="preserve"> The plaintiff </w:t>
      </w:r>
      <w:r w:rsidR="00DE4F92">
        <w:rPr>
          <w:rFonts w:cs="Arial"/>
          <w:bCs/>
          <w:sz w:val="21"/>
          <w:szCs w:val="21"/>
        </w:rPr>
        <w:t>interpreted</w:t>
      </w:r>
      <w:r w:rsidR="00136B3E">
        <w:rPr>
          <w:rFonts w:cs="Arial"/>
          <w:bCs/>
          <w:sz w:val="21"/>
          <w:szCs w:val="21"/>
        </w:rPr>
        <w:t xml:space="preserve"> the unilateral cancellation as a repudiation</w:t>
      </w:r>
      <w:r w:rsidR="00DE4F92">
        <w:rPr>
          <w:rFonts w:cs="Arial"/>
          <w:bCs/>
          <w:sz w:val="21"/>
          <w:szCs w:val="21"/>
        </w:rPr>
        <w:t xml:space="preserve"> and claimed the amount owed together with contractual damages in the amount of </w:t>
      </w:r>
      <w:r w:rsidR="00136B3E">
        <w:rPr>
          <w:rFonts w:cs="Arial"/>
          <w:bCs/>
          <w:sz w:val="21"/>
          <w:szCs w:val="21"/>
        </w:rPr>
        <w:t xml:space="preserve">R253,328.40 </w:t>
      </w:r>
      <w:r w:rsidR="00DE4F92">
        <w:rPr>
          <w:rFonts w:cs="Arial"/>
          <w:bCs/>
          <w:sz w:val="21"/>
          <w:szCs w:val="21"/>
        </w:rPr>
        <w:t xml:space="preserve">in respect of </w:t>
      </w:r>
      <w:r w:rsidR="00136B3E">
        <w:rPr>
          <w:rFonts w:cs="Arial"/>
          <w:bCs/>
          <w:sz w:val="21"/>
          <w:szCs w:val="21"/>
        </w:rPr>
        <w:t xml:space="preserve">the period 1 June 2023 to 31 May 2024. </w:t>
      </w:r>
      <w:r w:rsidR="00DE4F92">
        <w:rPr>
          <w:rFonts w:cs="Arial"/>
          <w:bCs/>
          <w:sz w:val="21"/>
          <w:szCs w:val="21"/>
        </w:rPr>
        <w:t>It did not persist with this claim when the summary judgment application was argued.</w:t>
      </w:r>
      <w:r w:rsidR="00136B3E">
        <w:rPr>
          <w:rFonts w:cs="Arial"/>
          <w:bCs/>
          <w:sz w:val="21"/>
          <w:szCs w:val="21"/>
        </w:rPr>
        <w:t xml:space="preserve"> </w:t>
      </w:r>
    </w:p>
    <w:p w14:paraId="2909EEB7" w14:textId="530F355D" w:rsidR="00FF6BC7"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[7]</w:t>
      </w:r>
      <w:r>
        <w:rPr>
          <w:rFonts w:cs="Arial"/>
          <w:bCs/>
          <w:sz w:val="21"/>
          <w:szCs w:val="21"/>
        </w:rPr>
        <w:tab/>
      </w:r>
      <w:r w:rsidR="001C1B73">
        <w:rPr>
          <w:rFonts w:cs="Arial"/>
          <w:bCs/>
          <w:sz w:val="21"/>
          <w:szCs w:val="21"/>
        </w:rPr>
        <w:t xml:space="preserve">The amount of the claim is not in </w:t>
      </w:r>
      <w:proofErr w:type="gramStart"/>
      <w:r w:rsidR="001C1B73">
        <w:rPr>
          <w:rFonts w:cs="Arial"/>
          <w:bCs/>
          <w:sz w:val="21"/>
          <w:szCs w:val="21"/>
        </w:rPr>
        <w:t>dispute</w:t>
      </w:r>
      <w:proofErr w:type="gramEnd"/>
      <w:r w:rsidR="001C1B73">
        <w:rPr>
          <w:rFonts w:cs="Arial"/>
          <w:bCs/>
          <w:sz w:val="21"/>
          <w:szCs w:val="21"/>
        </w:rPr>
        <w:t xml:space="preserve"> but the defendants allege that the first defendant had cancelled the lease because of a failure by the plaintiff as landlord to provide the first defendant with electricity.</w:t>
      </w:r>
      <w:r w:rsidR="00FF0C06">
        <w:rPr>
          <w:rFonts w:cs="Arial"/>
          <w:bCs/>
          <w:sz w:val="21"/>
          <w:szCs w:val="21"/>
        </w:rPr>
        <w:t xml:space="preserve"> The first defendant carries on business as a funeral parlour and electricity is of course essential for its business.</w:t>
      </w:r>
    </w:p>
    <w:p w14:paraId="763C2878" w14:textId="0451D96F" w:rsidR="00594F11"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[8]</w:t>
      </w:r>
      <w:r>
        <w:rPr>
          <w:rFonts w:cs="Arial"/>
          <w:bCs/>
          <w:sz w:val="21"/>
          <w:szCs w:val="21"/>
        </w:rPr>
        <w:tab/>
      </w:r>
      <w:r w:rsidR="00FF0C06">
        <w:rPr>
          <w:rFonts w:cs="Arial"/>
          <w:bCs/>
          <w:sz w:val="21"/>
          <w:szCs w:val="21"/>
        </w:rPr>
        <w:t xml:space="preserve">Even though the amount of the claim is not in dispute the defendants nevertheless argue that the summary judgement procedure is not at the disposal of the plaintiff as the claim is not based on a liquid document or a liquidated amount. </w:t>
      </w:r>
      <w:r w:rsidR="00594F11">
        <w:rPr>
          <w:rFonts w:cs="Arial"/>
          <w:bCs/>
          <w:sz w:val="21"/>
          <w:szCs w:val="21"/>
        </w:rPr>
        <w:t>The first defendant argues that the amount of the claim is not liquid as the first defendant did not derive any benefit from the agreement.</w:t>
      </w:r>
    </w:p>
    <w:p w14:paraId="0EF4AA89" w14:textId="3F5A3FE4" w:rsidR="00FF0C06"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[9]</w:t>
      </w:r>
      <w:r>
        <w:rPr>
          <w:rFonts w:cs="Arial"/>
          <w:bCs/>
          <w:sz w:val="21"/>
          <w:szCs w:val="21"/>
        </w:rPr>
        <w:tab/>
      </w:r>
      <w:r w:rsidR="00FF0C06">
        <w:rPr>
          <w:rFonts w:cs="Arial"/>
          <w:bCs/>
          <w:sz w:val="21"/>
          <w:szCs w:val="21"/>
        </w:rPr>
        <w:t>The defendant</w:t>
      </w:r>
      <w:r w:rsidR="00DE4F92">
        <w:rPr>
          <w:rFonts w:cs="Arial"/>
          <w:bCs/>
          <w:sz w:val="21"/>
          <w:szCs w:val="21"/>
        </w:rPr>
        <w:t>s</w:t>
      </w:r>
      <w:r w:rsidR="00FF0C06">
        <w:rPr>
          <w:rFonts w:cs="Arial"/>
          <w:bCs/>
          <w:sz w:val="21"/>
          <w:szCs w:val="21"/>
        </w:rPr>
        <w:t xml:space="preserve"> also refer</w:t>
      </w:r>
      <w:r w:rsidR="00DE4F92">
        <w:rPr>
          <w:rFonts w:cs="Arial"/>
          <w:bCs/>
          <w:sz w:val="21"/>
          <w:szCs w:val="21"/>
        </w:rPr>
        <w:t>red the court</w:t>
      </w:r>
      <w:r w:rsidR="00FF0C06">
        <w:rPr>
          <w:rFonts w:cs="Arial"/>
          <w:bCs/>
          <w:sz w:val="21"/>
          <w:szCs w:val="21"/>
        </w:rPr>
        <w:t xml:space="preserve"> to a payment made to the plaintiff in respect of the lease of other premises.</w:t>
      </w:r>
      <w:r w:rsidR="002F3497">
        <w:rPr>
          <w:rFonts w:cs="Arial"/>
          <w:bCs/>
          <w:sz w:val="21"/>
          <w:szCs w:val="21"/>
        </w:rPr>
        <w:t xml:space="preserve"> This payment is not relevant to the present application.</w:t>
      </w:r>
    </w:p>
    <w:p w14:paraId="3D6B1E38" w14:textId="5753A7D3" w:rsidR="00FF0C06" w:rsidRDefault="00695576" w:rsidP="00695576">
      <w:pPr>
        <w:widowControl w:val="0"/>
        <w:tabs>
          <w:tab w:val="left" w:pos="567"/>
        </w:tabs>
        <w:spacing w:before="480" w:after="480" w:line="360" w:lineRule="auto"/>
        <w:jc w:val="both"/>
        <w:rPr>
          <w:rFonts w:cs="Arial"/>
          <w:bCs/>
          <w:sz w:val="21"/>
          <w:szCs w:val="21"/>
        </w:rPr>
      </w:pPr>
      <w:r>
        <w:rPr>
          <w:rFonts w:cs="Arial"/>
          <w:bCs/>
          <w:sz w:val="21"/>
          <w:szCs w:val="21"/>
        </w:rPr>
        <w:t>[10]</w:t>
      </w:r>
      <w:r>
        <w:rPr>
          <w:rFonts w:cs="Arial"/>
          <w:bCs/>
          <w:sz w:val="21"/>
          <w:szCs w:val="21"/>
        </w:rPr>
        <w:tab/>
      </w:r>
      <w:r w:rsidR="008654F2">
        <w:rPr>
          <w:rFonts w:cs="Arial"/>
          <w:bCs/>
          <w:sz w:val="21"/>
          <w:szCs w:val="21"/>
        </w:rPr>
        <w:t>The defendants also alleged that the first defendant’s obligations were terminated when it caused a mandate to relet the property to be signed.</w:t>
      </w:r>
      <w:r w:rsidR="00423CB0">
        <w:rPr>
          <w:rFonts w:cs="Arial"/>
          <w:bCs/>
          <w:sz w:val="21"/>
          <w:szCs w:val="21"/>
        </w:rPr>
        <w:t xml:space="preserve"> The document relied upon is </w:t>
      </w:r>
      <w:r w:rsidR="005878ED">
        <w:rPr>
          <w:rFonts w:cs="Arial"/>
          <w:bCs/>
          <w:sz w:val="21"/>
          <w:szCs w:val="21"/>
        </w:rPr>
        <w:t>annexed</w:t>
      </w:r>
      <w:r w:rsidR="00423CB0">
        <w:rPr>
          <w:rFonts w:cs="Arial"/>
          <w:bCs/>
          <w:sz w:val="21"/>
          <w:szCs w:val="21"/>
        </w:rPr>
        <w:t xml:space="preserve"> to the defendants’ plea. The document is not signed by or </w:t>
      </w:r>
      <w:r w:rsidR="00E063A0">
        <w:rPr>
          <w:rFonts w:cs="Arial"/>
          <w:bCs/>
          <w:sz w:val="21"/>
          <w:szCs w:val="21"/>
        </w:rPr>
        <w:t>o</w:t>
      </w:r>
      <w:r w:rsidR="00423CB0">
        <w:rPr>
          <w:rFonts w:cs="Arial"/>
          <w:bCs/>
          <w:sz w:val="21"/>
          <w:szCs w:val="21"/>
        </w:rPr>
        <w:t xml:space="preserve">n behalf of the plaintiff and it consists of a request by the first defendant to be released from the obligations of the lease subject to a lease being finally concluded with a new tenant. The document indicates that the plaintiff was prepared to substitute the first defendant with a new tenant provided a new tenant </w:t>
      </w:r>
      <w:r w:rsidR="00423CB0">
        <w:rPr>
          <w:rFonts w:cs="Arial"/>
          <w:bCs/>
          <w:sz w:val="21"/>
          <w:szCs w:val="21"/>
        </w:rPr>
        <w:lastRenderedPageBreak/>
        <w:t>could be found. The mandate document therefor</w:t>
      </w:r>
      <w:r w:rsidR="005C706A">
        <w:rPr>
          <w:rFonts w:cs="Arial"/>
          <w:bCs/>
          <w:sz w:val="21"/>
          <w:szCs w:val="21"/>
        </w:rPr>
        <w:t>e</w:t>
      </w:r>
      <w:r w:rsidR="00423CB0">
        <w:rPr>
          <w:rFonts w:cs="Arial"/>
          <w:bCs/>
          <w:sz w:val="21"/>
          <w:szCs w:val="21"/>
        </w:rPr>
        <w:t xml:space="preserve"> </w:t>
      </w:r>
      <w:r w:rsidR="00E063A0">
        <w:rPr>
          <w:rFonts w:cs="Arial"/>
          <w:bCs/>
          <w:sz w:val="21"/>
          <w:szCs w:val="21"/>
        </w:rPr>
        <w:t>did</w:t>
      </w:r>
      <w:r w:rsidR="00423CB0">
        <w:rPr>
          <w:rFonts w:cs="Arial"/>
          <w:bCs/>
          <w:sz w:val="21"/>
          <w:szCs w:val="21"/>
        </w:rPr>
        <w:t xml:space="preserve"> not release the first defendant from any of its obligations in terms of the lease and it is common cause on the papers that no such new lease was ever entered into with third party.</w:t>
      </w:r>
    </w:p>
    <w:p w14:paraId="5173260E" w14:textId="77777777" w:rsidR="00FF0C06" w:rsidRPr="00033E38" w:rsidRDefault="00FF0C06" w:rsidP="00FF0C06">
      <w:pPr>
        <w:widowControl w:val="0"/>
        <w:spacing w:before="480" w:after="480" w:line="360" w:lineRule="auto"/>
        <w:jc w:val="both"/>
        <w:rPr>
          <w:rFonts w:cs="Arial"/>
          <w:bCs/>
          <w:szCs w:val="22"/>
          <w:u w:val="single"/>
        </w:rPr>
      </w:pPr>
      <w:r w:rsidRPr="00033E38">
        <w:rPr>
          <w:rFonts w:cs="Arial"/>
          <w:bCs/>
          <w:szCs w:val="22"/>
          <w:u w:val="single"/>
        </w:rPr>
        <w:t xml:space="preserve">Supervening impossibility of performance and </w:t>
      </w:r>
      <w:r w:rsidRPr="00033E38">
        <w:rPr>
          <w:rFonts w:cs="Arial"/>
          <w:bCs/>
          <w:i/>
          <w:iCs/>
          <w:szCs w:val="22"/>
          <w:u w:val="single"/>
        </w:rPr>
        <w:t xml:space="preserve">vis </w:t>
      </w:r>
      <w:proofErr w:type="spellStart"/>
      <w:r w:rsidRPr="00033E38">
        <w:rPr>
          <w:rFonts w:cs="Arial"/>
          <w:bCs/>
          <w:i/>
          <w:iCs/>
          <w:szCs w:val="22"/>
          <w:u w:val="single"/>
        </w:rPr>
        <w:t>maior</w:t>
      </w:r>
      <w:proofErr w:type="spellEnd"/>
    </w:p>
    <w:p w14:paraId="72485676" w14:textId="1604F5BA" w:rsidR="00CF10EB" w:rsidRDefault="00695576" w:rsidP="00695576">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FF0C06" w:rsidRPr="00033E38">
        <w:rPr>
          <w:rFonts w:cs="Arial"/>
          <w:bCs/>
          <w:szCs w:val="22"/>
        </w:rPr>
        <w:t>This is not a matter where it was impossible for the first defendant to use the premises.</w:t>
      </w:r>
      <w:r w:rsidR="00FF0C06">
        <w:rPr>
          <w:rFonts w:cs="Arial"/>
          <w:bCs/>
          <w:szCs w:val="22"/>
        </w:rPr>
        <w:t xml:space="preserve"> The electricity crisis in South Africa is of course a disruptive influence on commerce and no doubt the crisis affected the plaintiff and the first defendant. The impact of the crisis was however limited in that the plaintiff installed a generator in the centre where the funeral parlour </w:t>
      </w:r>
      <w:proofErr w:type="gramStart"/>
      <w:r w:rsidR="00FF0C06">
        <w:rPr>
          <w:rFonts w:cs="Arial"/>
          <w:bCs/>
          <w:szCs w:val="22"/>
        </w:rPr>
        <w:t>situated</w:t>
      </w:r>
      <w:proofErr w:type="gramEnd"/>
      <w:r w:rsidR="00FF0C06">
        <w:rPr>
          <w:rFonts w:cs="Arial"/>
          <w:bCs/>
          <w:szCs w:val="22"/>
        </w:rPr>
        <w:t xml:space="preserve"> and this alleviated the hardship experienced by the funeral parlour and no doubt by other businesses. </w:t>
      </w:r>
      <w:r w:rsidR="00CF10EB">
        <w:rPr>
          <w:rFonts w:cs="Arial"/>
          <w:bCs/>
          <w:szCs w:val="22"/>
        </w:rPr>
        <w:t>It is so that the tenant</w:t>
      </w:r>
      <w:r w:rsidR="00E063A0">
        <w:rPr>
          <w:rFonts w:cs="Arial"/>
          <w:bCs/>
          <w:szCs w:val="22"/>
        </w:rPr>
        <w:t>s</w:t>
      </w:r>
      <w:r w:rsidR="00CF10EB">
        <w:rPr>
          <w:rFonts w:cs="Arial"/>
          <w:bCs/>
          <w:szCs w:val="22"/>
        </w:rPr>
        <w:t xml:space="preserve"> in the centre </w:t>
      </w:r>
      <w:proofErr w:type="gramStart"/>
      <w:r w:rsidR="00CF10EB">
        <w:rPr>
          <w:rFonts w:cs="Arial"/>
          <w:bCs/>
          <w:szCs w:val="22"/>
        </w:rPr>
        <w:t>have to</w:t>
      </w:r>
      <w:proofErr w:type="gramEnd"/>
      <w:r w:rsidR="00CF10EB">
        <w:rPr>
          <w:rFonts w:cs="Arial"/>
          <w:bCs/>
          <w:szCs w:val="22"/>
        </w:rPr>
        <w:t xml:space="preserve"> pay for diesel and diesel is quite expensive, but under prevailing circumstances the expense of electricity generation is unavoidable and not something that the plaintiff is responsible for.</w:t>
      </w:r>
      <w:r w:rsidR="008654F2">
        <w:rPr>
          <w:rFonts w:cs="Arial"/>
          <w:bCs/>
          <w:szCs w:val="22"/>
        </w:rPr>
        <w:t xml:space="preserve"> Tenants are liable for such running costs</w:t>
      </w:r>
      <w:r w:rsidR="00E063A0">
        <w:rPr>
          <w:rFonts w:cs="Arial"/>
          <w:bCs/>
          <w:szCs w:val="22"/>
        </w:rPr>
        <w:t xml:space="preserve"> including the costs of diesel </w:t>
      </w:r>
      <w:r w:rsidR="008654F2">
        <w:rPr>
          <w:rFonts w:cs="Arial"/>
          <w:bCs/>
          <w:szCs w:val="22"/>
        </w:rPr>
        <w:t xml:space="preserve">and the lease agreement provides </w:t>
      </w:r>
      <w:r w:rsidR="00E063A0">
        <w:rPr>
          <w:rFonts w:cs="Arial"/>
          <w:bCs/>
          <w:szCs w:val="22"/>
        </w:rPr>
        <w:t>for the payment of these costs</w:t>
      </w:r>
      <w:r w:rsidR="008654F2">
        <w:rPr>
          <w:rFonts w:cs="Arial"/>
          <w:bCs/>
          <w:szCs w:val="22"/>
        </w:rPr>
        <w:t xml:space="preserve"> </w:t>
      </w:r>
      <w:r w:rsidR="00282069">
        <w:rPr>
          <w:rFonts w:cs="Arial"/>
          <w:bCs/>
          <w:szCs w:val="22"/>
        </w:rPr>
        <w:t>in</w:t>
      </w:r>
      <w:r w:rsidR="008654F2">
        <w:rPr>
          <w:rFonts w:cs="Arial"/>
          <w:bCs/>
          <w:szCs w:val="22"/>
        </w:rPr>
        <w:t xml:space="preserve"> clauses 11.2 and 11.4.</w:t>
      </w:r>
    </w:p>
    <w:p w14:paraId="4987CD83" w14:textId="6342D57D" w:rsidR="00FF0C06" w:rsidRDefault="00695576" w:rsidP="00695576">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FF0C06" w:rsidRPr="00033E38">
        <w:rPr>
          <w:rFonts w:cs="Arial"/>
          <w:bCs/>
          <w:szCs w:val="22"/>
        </w:rPr>
        <w:t>Supervening impossibility does not arise from a difficulty in performing under a contract;</w:t>
      </w:r>
      <w:r w:rsidR="00FF0C06" w:rsidRPr="00033E38">
        <w:rPr>
          <w:rStyle w:val="FootnoteReference"/>
          <w:rFonts w:cs="Arial"/>
          <w:bCs/>
          <w:szCs w:val="22"/>
        </w:rPr>
        <w:footnoteReference w:id="2"/>
      </w:r>
      <w:r w:rsidR="00FF0C06" w:rsidRPr="00033E38">
        <w:rPr>
          <w:rFonts w:cs="Arial"/>
          <w:bCs/>
          <w:szCs w:val="22"/>
        </w:rPr>
        <w:t xml:space="preserve"> it arises from an absolute impossibility.</w:t>
      </w:r>
      <w:r w:rsidR="00FF0C06" w:rsidRPr="00033E38">
        <w:rPr>
          <w:rStyle w:val="FootnoteReference"/>
          <w:rFonts w:cs="Arial"/>
          <w:bCs/>
          <w:szCs w:val="22"/>
        </w:rPr>
        <w:footnoteReference w:id="3"/>
      </w:r>
      <w:r w:rsidR="00FF0C06" w:rsidRPr="00033E38">
        <w:rPr>
          <w:rFonts w:cs="Arial"/>
          <w:bCs/>
          <w:szCs w:val="22"/>
        </w:rPr>
        <w:t xml:space="preserve"> Commercial impossibility or undesirability does not give rise to supervening impossibility.</w:t>
      </w:r>
      <w:r w:rsidR="00FF0C06" w:rsidRPr="00033E38">
        <w:rPr>
          <w:rStyle w:val="FootnoteReference"/>
          <w:rFonts w:cs="Arial"/>
          <w:bCs/>
          <w:szCs w:val="22"/>
        </w:rPr>
        <w:footnoteReference w:id="4"/>
      </w:r>
      <w:r w:rsidR="00FF0C06" w:rsidRPr="00033E38">
        <w:rPr>
          <w:rFonts w:cs="Arial"/>
          <w:bCs/>
          <w:szCs w:val="22"/>
        </w:rPr>
        <w:t xml:space="preserve"> </w:t>
      </w:r>
    </w:p>
    <w:p w14:paraId="3415229E" w14:textId="46DB59B0" w:rsidR="00FF0C06" w:rsidRPr="00033E38" w:rsidRDefault="00695576" w:rsidP="00695576">
      <w:pPr>
        <w:widowControl w:val="0"/>
        <w:tabs>
          <w:tab w:val="left" w:pos="567"/>
        </w:tabs>
        <w:spacing w:before="480" w:after="480" w:line="360" w:lineRule="auto"/>
        <w:jc w:val="both"/>
        <w:rPr>
          <w:rFonts w:cs="Arial"/>
          <w:bCs/>
          <w:szCs w:val="22"/>
        </w:rPr>
      </w:pPr>
      <w:r w:rsidRPr="00033E38">
        <w:rPr>
          <w:rFonts w:cs="Arial"/>
          <w:bCs/>
          <w:szCs w:val="22"/>
        </w:rPr>
        <w:t>[13]</w:t>
      </w:r>
      <w:r w:rsidRPr="00033E38">
        <w:rPr>
          <w:rFonts w:cs="Arial"/>
          <w:bCs/>
          <w:szCs w:val="22"/>
        </w:rPr>
        <w:tab/>
      </w:r>
      <w:r w:rsidR="00CF10EB">
        <w:rPr>
          <w:rFonts w:cs="Arial"/>
          <w:bCs/>
          <w:szCs w:val="22"/>
        </w:rPr>
        <w:t xml:space="preserve">The </w:t>
      </w:r>
      <w:r w:rsidR="00FF0C06">
        <w:rPr>
          <w:rFonts w:cs="Arial"/>
          <w:bCs/>
          <w:szCs w:val="22"/>
        </w:rPr>
        <w:t>possibility of interruptions in the supply of electricity is specifically dealt with in clause 23</w:t>
      </w:r>
      <w:r w:rsidR="00CF10EB">
        <w:rPr>
          <w:rFonts w:cs="Arial"/>
          <w:bCs/>
          <w:szCs w:val="22"/>
        </w:rPr>
        <w:t>.1.2</w:t>
      </w:r>
      <w:r w:rsidR="00FF0C06">
        <w:rPr>
          <w:rFonts w:cs="Arial"/>
          <w:bCs/>
          <w:szCs w:val="22"/>
        </w:rPr>
        <w:t xml:space="preserve"> of the lease agreement.</w:t>
      </w:r>
      <w:r w:rsidR="00CF10EB">
        <w:rPr>
          <w:rFonts w:cs="Arial"/>
          <w:bCs/>
          <w:szCs w:val="22"/>
        </w:rPr>
        <w:t xml:space="preserve"> In terms of the agreement and the plaintiff as landlord is exempted from liability for losses or damages arising out of interruptions in the supply of amenities and services for any reason whatsoever.</w:t>
      </w:r>
    </w:p>
    <w:p w14:paraId="79E4000A" w14:textId="6405A016" w:rsidR="00FF0C06" w:rsidRPr="00033E38" w:rsidRDefault="00695576" w:rsidP="00695576">
      <w:pPr>
        <w:widowControl w:val="0"/>
        <w:tabs>
          <w:tab w:val="left" w:pos="567"/>
        </w:tabs>
        <w:spacing w:before="480" w:after="480" w:line="360" w:lineRule="auto"/>
        <w:jc w:val="both"/>
        <w:rPr>
          <w:rFonts w:cs="Arial"/>
          <w:bCs/>
          <w:szCs w:val="22"/>
        </w:rPr>
      </w:pPr>
      <w:r w:rsidRPr="00033E38">
        <w:rPr>
          <w:rFonts w:cs="Arial"/>
          <w:bCs/>
          <w:szCs w:val="22"/>
        </w:rPr>
        <w:t>[14]</w:t>
      </w:r>
      <w:r w:rsidRPr="00033E38">
        <w:rPr>
          <w:rFonts w:cs="Arial"/>
          <w:bCs/>
          <w:szCs w:val="22"/>
        </w:rPr>
        <w:tab/>
      </w:r>
      <w:r w:rsidR="00FF0C06" w:rsidRPr="00033E38">
        <w:rPr>
          <w:rFonts w:cs="Arial"/>
          <w:bCs/>
          <w:szCs w:val="22"/>
        </w:rPr>
        <w:t xml:space="preserve">The defendant cannot rely on </w:t>
      </w:r>
      <w:r w:rsidR="00FF0C06" w:rsidRPr="00033E38">
        <w:rPr>
          <w:rFonts w:cs="Arial"/>
          <w:bCs/>
          <w:i/>
          <w:iCs/>
          <w:szCs w:val="22"/>
        </w:rPr>
        <w:t xml:space="preserve">vis </w:t>
      </w:r>
      <w:proofErr w:type="spellStart"/>
      <w:r w:rsidR="00FF0C06" w:rsidRPr="00033E38">
        <w:rPr>
          <w:rFonts w:cs="Arial"/>
          <w:bCs/>
          <w:i/>
          <w:iCs/>
          <w:szCs w:val="22"/>
        </w:rPr>
        <w:t>maior</w:t>
      </w:r>
      <w:proofErr w:type="spellEnd"/>
      <w:r w:rsidR="00FF0C06" w:rsidRPr="00033E38">
        <w:rPr>
          <w:rFonts w:cs="Arial"/>
          <w:bCs/>
          <w:szCs w:val="22"/>
        </w:rPr>
        <w:t xml:space="preserve"> and performance of either parties’ obligations never became impossible or prohibited by legislation. </w:t>
      </w:r>
    </w:p>
    <w:p w14:paraId="230B981F" w14:textId="22DF1A6E" w:rsidR="00D769EF" w:rsidRDefault="00695576" w:rsidP="00695576">
      <w:pPr>
        <w:keepNext/>
        <w:widowControl w:val="0"/>
        <w:tabs>
          <w:tab w:val="left" w:pos="567"/>
        </w:tabs>
        <w:spacing w:before="480" w:after="480" w:line="360" w:lineRule="auto"/>
        <w:jc w:val="both"/>
        <w:rPr>
          <w:rFonts w:cs="Arial"/>
          <w:bCs/>
          <w:sz w:val="21"/>
          <w:szCs w:val="21"/>
        </w:rPr>
      </w:pPr>
      <w:r>
        <w:rPr>
          <w:rFonts w:cs="Arial"/>
          <w:bCs/>
          <w:sz w:val="21"/>
          <w:szCs w:val="21"/>
        </w:rPr>
        <w:t>[15]</w:t>
      </w:r>
      <w:r>
        <w:rPr>
          <w:rFonts w:cs="Arial"/>
          <w:bCs/>
          <w:sz w:val="21"/>
          <w:szCs w:val="21"/>
        </w:rPr>
        <w:tab/>
      </w:r>
      <w:r w:rsidR="00D769EF">
        <w:rPr>
          <w:rFonts w:cs="Arial"/>
          <w:bCs/>
          <w:sz w:val="21"/>
          <w:szCs w:val="21"/>
        </w:rPr>
        <w:t xml:space="preserve">The applicant is entitled to the order it seeks, including an order for attorney and client </w:t>
      </w:r>
      <w:r w:rsidR="00D769EF">
        <w:rPr>
          <w:rFonts w:cs="Arial"/>
          <w:bCs/>
          <w:sz w:val="21"/>
          <w:szCs w:val="21"/>
        </w:rPr>
        <w:lastRenderedPageBreak/>
        <w:t xml:space="preserve">costs. The attention of the taxing master is directed to the amount of the judgment. </w:t>
      </w:r>
    </w:p>
    <w:p w14:paraId="6F591508" w14:textId="19C7DA3A" w:rsidR="00615ED4" w:rsidRPr="008E2A22" w:rsidRDefault="00B664E5" w:rsidP="00D769EF">
      <w:pPr>
        <w:keepNext/>
        <w:widowControl w:val="0"/>
        <w:spacing w:before="480" w:after="480" w:line="360" w:lineRule="auto"/>
        <w:jc w:val="both"/>
        <w:rPr>
          <w:rFonts w:cs="Arial"/>
          <w:bCs/>
          <w:sz w:val="21"/>
          <w:szCs w:val="21"/>
        </w:rPr>
      </w:pPr>
      <w:r w:rsidRPr="008E2A22">
        <w:rPr>
          <w:rFonts w:cs="Arial"/>
          <w:bCs/>
          <w:sz w:val="21"/>
          <w:szCs w:val="21"/>
        </w:rPr>
        <w:t>I therefore make the order in paragraph 1 above.</w:t>
      </w:r>
    </w:p>
    <w:p w14:paraId="2D35681D" w14:textId="77777777" w:rsidR="005275EF" w:rsidRDefault="005275EF" w:rsidP="003A1D18">
      <w:pPr>
        <w:widowControl w:val="0"/>
        <w:tabs>
          <w:tab w:val="right" w:pos="0"/>
        </w:tabs>
        <w:spacing w:line="360" w:lineRule="auto"/>
        <w:contextualSpacing/>
        <w:jc w:val="right"/>
        <w:rPr>
          <w:rFonts w:cs="Arial"/>
          <w:b/>
          <w:sz w:val="21"/>
          <w:szCs w:val="21"/>
        </w:rPr>
      </w:pPr>
    </w:p>
    <w:p w14:paraId="021E2AD2" w14:textId="77777777" w:rsidR="005275EF" w:rsidRDefault="005275EF" w:rsidP="003A1D18">
      <w:pPr>
        <w:widowControl w:val="0"/>
        <w:tabs>
          <w:tab w:val="right" w:pos="0"/>
        </w:tabs>
        <w:spacing w:line="360" w:lineRule="auto"/>
        <w:contextualSpacing/>
        <w:jc w:val="right"/>
        <w:rPr>
          <w:rFonts w:cs="Arial"/>
          <w:b/>
          <w:sz w:val="21"/>
          <w:szCs w:val="21"/>
        </w:rPr>
      </w:pPr>
    </w:p>
    <w:p w14:paraId="53CD27EE" w14:textId="74E7F7E6" w:rsidR="00AE287F" w:rsidRPr="008E2A22" w:rsidRDefault="00A649E6" w:rsidP="003A1D18">
      <w:pPr>
        <w:widowControl w:val="0"/>
        <w:tabs>
          <w:tab w:val="right" w:pos="0"/>
        </w:tabs>
        <w:spacing w:line="360" w:lineRule="auto"/>
        <w:contextualSpacing/>
        <w:jc w:val="right"/>
        <w:rPr>
          <w:rFonts w:cs="Arial"/>
          <w:b/>
          <w:sz w:val="21"/>
          <w:szCs w:val="21"/>
        </w:rPr>
      </w:pPr>
      <w:r w:rsidRPr="008E2A22">
        <w:rPr>
          <w:rFonts w:cs="Arial"/>
          <w:b/>
          <w:sz w:val="21"/>
          <w:szCs w:val="21"/>
        </w:rPr>
        <w:t>______________</w:t>
      </w:r>
    </w:p>
    <w:p w14:paraId="0CCB9BFE" w14:textId="7ABE564D" w:rsidR="006C43D7" w:rsidRPr="008E2A22" w:rsidRDefault="00C676F3" w:rsidP="003A1D18">
      <w:pPr>
        <w:widowControl w:val="0"/>
        <w:tabs>
          <w:tab w:val="right" w:pos="0"/>
        </w:tabs>
        <w:spacing w:line="360" w:lineRule="auto"/>
        <w:contextualSpacing/>
        <w:jc w:val="right"/>
        <w:rPr>
          <w:rFonts w:cs="Arial"/>
          <w:b/>
          <w:sz w:val="21"/>
          <w:szCs w:val="21"/>
        </w:rPr>
      </w:pPr>
      <w:r w:rsidRPr="008E2A22">
        <w:rPr>
          <w:rFonts w:cs="Arial"/>
          <w:b/>
          <w:sz w:val="21"/>
          <w:szCs w:val="21"/>
        </w:rPr>
        <w:t>J MOORCROFT</w:t>
      </w:r>
    </w:p>
    <w:p w14:paraId="7A2C1059" w14:textId="77777777" w:rsidR="006C43D7" w:rsidRPr="008E2A22" w:rsidRDefault="006C43D7" w:rsidP="003A1D18">
      <w:pPr>
        <w:widowControl w:val="0"/>
        <w:tabs>
          <w:tab w:val="right" w:pos="0"/>
        </w:tabs>
        <w:spacing w:line="360" w:lineRule="auto"/>
        <w:contextualSpacing/>
        <w:jc w:val="right"/>
        <w:rPr>
          <w:rFonts w:cs="Arial"/>
          <w:b/>
          <w:sz w:val="21"/>
          <w:szCs w:val="21"/>
        </w:rPr>
      </w:pPr>
      <w:r w:rsidRPr="008E2A22">
        <w:rPr>
          <w:rFonts w:cs="Arial"/>
          <w:b/>
          <w:sz w:val="21"/>
          <w:szCs w:val="21"/>
        </w:rPr>
        <w:t>ACTING JUDGE OF THE HIGH COURT OF SOUTH AFRICA</w:t>
      </w:r>
    </w:p>
    <w:p w14:paraId="077C2590" w14:textId="7452355B" w:rsidR="006C43D7" w:rsidRPr="008E2A22" w:rsidRDefault="006C43D7" w:rsidP="003A1D18">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GAUTENG DIVISION</w:t>
      </w:r>
    </w:p>
    <w:p w14:paraId="40B9C946" w14:textId="77777777" w:rsidR="006C43D7" w:rsidRPr="008E2A22" w:rsidRDefault="006C43D7" w:rsidP="0005282E">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JOHANNESBURG</w:t>
      </w:r>
    </w:p>
    <w:p w14:paraId="326B529B" w14:textId="77777777" w:rsidR="006C43D7" w:rsidRPr="008E2A22" w:rsidRDefault="006C43D7" w:rsidP="003A1D18">
      <w:pPr>
        <w:widowControl w:val="0"/>
        <w:tabs>
          <w:tab w:val="right" w:pos="0"/>
          <w:tab w:val="left" w:pos="4253"/>
        </w:tabs>
        <w:spacing w:line="360" w:lineRule="auto"/>
        <w:contextualSpacing/>
        <w:jc w:val="center"/>
        <w:rPr>
          <w:rFonts w:cs="Arial"/>
          <w:b/>
          <w:sz w:val="21"/>
          <w:szCs w:val="21"/>
        </w:rPr>
      </w:pPr>
    </w:p>
    <w:p w14:paraId="5A4CC56C" w14:textId="051C4E22" w:rsidR="006C43D7" w:rsidRPr="008E2A22" w:rsidRDefault="006C43D7" w:rsidP="003A1D18">
      <w:pPr>
        <w:widowControl w:val="0"/>
        <w:spacing w:after="200" w:line="480" w:lineRule="auto"/>
        <w:contextualSpacing/>
        <w:jc w:val="right"/>
        <w:rPr>
          <w:rFonts w:cs="Arial"/>
          <w:b/>
          <w:i/>
          <w:iCs/>
          <w:sz w:val="21"/>
          <w:szCs w:val="21"/>
        </w:rPr>
      </w:pPr>
      <w:r w:rsidRPr="008E2A22">
        <w:rPr>
          <w:rFonts w:cs="Arial"/>
          <w:b/>
          <w:i/>
          <w:iCs/>
          <w:sz w:val="21"/>
          <w:szCs w:val="21"/>
        </w:rPr>
        <w:t xml:space="preserve">Electronically </w:t>
      </w:r>
      <w:proofErr w:type="gramStart"/>
      <w:r w:rsidRPr="008E2A22">
        <w:rPr>
          <w:rFonts w:cs="Arial"/>
          <w:b/>
          <w:i/>
          <w:iCs/>
          <w:sz w:val="21"/>
          <w:szCs w:val="21"/>
        </w:rPr>
        <w:t>submitted</w:t>
      </w:r>
      <w:proofErr w:type="gramEnd"/>
    </w:p>
    <w:p w14:paraId="482DDF6E" w14:textId="549695D7" w:rsidR="006C43D7" w:rsidRPr="008E2A22" w:rsidRDefault="006C43D7" w:rsidP="00A84915">
      <w:pPr>
        <w:widowControl w:val="0"/>
        <w:spacing w:after="200" w:line="360" w:lineRule="auto"/>
        <w:contextualSpacing/>
        <w:jc w:val="both"/>
        <w:rPr>
          <w:rFonts w:eastAsia="Arial Unicode MS" w:cs="Arial"/>
          <w:b/>
          <w:sz w:val="21"/>
          <w:szCs w:val="21"/>
        </w:rPr>
      </w:pPr>
      <w:r w:rsidRPr="008E2A22">
        <w:rPr>
          <w:rFonts w:eastAsia="Arial Unicode MS" w:cs="Arial"/>
          <w:bCs/>
          <w:sz w:val="21"/>
          <w:szCs w:val="21"/>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8E2A22">
        <w:rPr>
          <w:rFonts w:eastAsia="Arial Unicode MS" w:cs="Arial"/>
          <w:bCs/>
          <w:sz w:val="21"/>
          <w:szCs w:val="21"/>
        </w:rPr>
        <w:t>CaseLines</w:t>
      </w:r>
      <w:proofErr w:type="spellEnd"/>
      <w:r w:rsidRPr="008E2A22">
        <w:rPr>
          <w:rFonts w:eastAsia="Arial Unicode MS" w:cs="Arial"/>
          <w:bCs/>
          <w:sz w:val="21"/>
          <w:szCs w:val="21"/>
        </w:rPr>
        <w:t xml:space="preserve">. The date of the judgment is deemed to </w:t>
      </w:r>
      <w:proofErr w:type="gramStart"/>
      <w:r w:rsidRPr="008E2A22">
        <w:rPr>
          <w:rFonts w:eastAsia="Arial Unicode MS" w:cs="Arial"/>
          <w:bCs/>
          <w:sz w:val="21"/>
          <w:szCs w:val="21"/>
        </w:rPr>
        <w:t>be</w:t>
      </w:r>
      <w:r w:rsidR="00C460A0" w:rsidRPr="008E2A22">
        <w:rPr>
          <w:rFonts w:eastAsia="Arial Unicode MS" w:cs="Arial"/>
          <w:b/>
          <w:sz w:val="21"/>
          <w:szCs w:val="21"/>
        </w:rPr>
        <w:t xml:space="preserve"> </w:t>
      </w:r>
      <w:r w:rsidR="0005282E" w:rsidRPr="008E2A22">
        <w:rPr>
          <w:rFonts w:eastAsia="Arial Unicode MS" w:cs="Arial"/>
          <w:b/>
          <w:sz w:val="21"/>
          <w:szCs w:val="21"/>
        </w:rPr>
        <w:t xml:space="preserve"> </w:t>
      </w:r>
      <w:r w:rsidR="0003730D">
        <w:rPr>
          <w:rFonts w:eastAsia="Arial Unicode MS" w:cs="Arial"/>
          <w:b/>
          <w:sz w:val="21"/>
          <w:szCs w:val="21"/>
        </w:rPr>
        <w:t>8</w:t>
      </w:r>
      <w:proofErr w:type="gramEnd"/>
      <w:r w:rsidR="00D743C0">
        <w:rPr>
          <w:rFonts w:eastAsia="Arial Unicode MS" w:cs="Arial"/>
          <w:b/>
          <w:sz w:val="21"/>
          <w:szCs w:val="21"/>
        </w:rPr>
        <w:t xml:space="preserve"> MARCH 2024</w:t>
      </w:r>
    </w:p>
    <w:p w14:paraId="74CD3952" w14:textId="77777777" w:rsidR="00A84915" w:rsidRDefault="00A84915" w:rsidP="00A84915">
      <w:pPr>
        <w:widowControl w:val="0"/>
        <w:spacing w:after="200" w:line="360" w:lineRule="auto"/>
        <w:contextualSpacing/>
        <w:jc w:val="both"/>
        <w:rPr>
          <w:rFonts w:cs="Arial"/>
          <w:b/>
          <w:sz w:val="21"/>
          <w:szCs w:val="21"/>
        </w:rPr>
      </w:pPr>
    </w:p>
    <w:p w14:paraId="7C27E047" w14:textId="77777777" w:rsidR="001F14E4" w:rsidRDefault="001F14E4" w:rsidP="00A84915">
      <w:pPr>
        <w:widowControl w:val="0"/>
        <w:spacing w:after="200" w:line="360" w:lineRule="auto"/>
        <w:contextualSpacing/>
        <w:jc w:val="both"/>
        <w:rPr>
          <w:rFonts w:cs="Arial"/>
          <w:b/>
          <w:sz w:val="21"/>
          <w:szCs w:val="21"/>
        </w:rPr>
      </w:pPr>
    </w:p>
    <w:p w14:paraId="7F9ECB7B" w14:textId="77777777" w:rsidR="001F14E4" w:rsidRPr="008E2A22" w:rsidRDefault="001F14E4" w:rsidP="00A84915">
      <w:pPr>
        <w:widowControl w:val="0"/>
        <w:spacing w:after="200" w:line="360" w:lineRule="auto"/>
        <w:contextualSpacing/>
        <w:jc w:val="both"/>
        <w:rPr>
          <w:rFonts w:cs="Arial"/>
          <w:b/>
          <w:sz w:val="21"/>
          <w:szCs w:val="21"/>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8E2A22" w14:paraId="493AF0D7" w14:textId="77777777" w:rsidTr="00615F6B">
        <w:tc>
          <w:tcPr>
            <w:tcW w:w="4678" w:type="dxa"/>
          </w:tcPr>
          <w:p w14:paraId="6A05541A" w14:textId="0945A8D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proofErr w:type="gramStart"/>
            <w:r w:rsidR="00404A52" w:rsidRPr="008E2A22">
              <w:rPr>
                <w:rFonts w:cs="Arial"/>
                <w:sz w:val="21"/>
                <w:szCs w:val="21"/>
              </w:rPr>
              <w:t xml:space="preserve">THE </w:t>
            </w:r>
            <w:r w:rsidR="000976D2" w:rsidRPr="008E2A22">
              <w:rPr>
                <w:rFonts w:cs="Arial"/>
                <w:sz w:val="21"/>
                <w:szCs w:val="21"/>
              </w:rPr>
              <w:t xml:space="preserve"> </w:t>
            </w:r>
            <w:r w:rsidR="00404A52" w:rsidRPr="008E2A22">
              <w:rPr>
                <w:rFonts w:cs="Arial"/>
                <w:sz w:val="21"/>
                <w:szCs w:val="21"/>
              </w:rPr>
              <w:t>APPLICANT</w:t>
            </w:r>
            <w:r w:rsidR="00AF2CD5">
              <w:rPr>
                <w:rFonts w:cs="Arial"/>
                <w:sz w:val="21"/>
                <w:szCs w:val="21"/>
              </w:rPr>
              <w:t>S</w:t>
            </w:r>
            <w:proofErr w:type="gramEnd"/>
          </w:p>
        </w:tc>
        <w:tc>
          <w:tcPr>
            <w:tcW w:w="3935" w:type="dxa"/>
          </w:tcPr>
          <w:p w14:paraId="69785AA9" w14:textId="3A4420DB" w:rsidR="000976D2" w:rsidRPr="008E2A22" w:rsidRDefault="005275EF" w:rsidP="00D65571">
            <w:pPr>
              <w:tabs>
                <w:tab w:val="right" w:pos="0"/>
                <w:tab w:val="left" w:pos="567"/>
                <w:tab w:val="right" w:pos="2727"/>
                <w:tab w:val="left" w:pos="4253"/>
              </w:tabs>
              <w:spacing w:before="120" w:after="120"/>
              <w:jc w:val="right"/>
              <w:rPr>
                <w:rFonts w:cs="Arial"/>
                <w:sz w:val="21"/>
                <w:szCs w:val="21"/>
              </w:rPr>
            </w:pPr>
            <w:r>
              <w:rPr>
                <w:rFonts w:cs="Arial"/>
                <w:sz w:val="21"/>
                <w:szCs w:val="21"/>
              </w:rPr>
              <w:t>G DOBIE</w:t>
            </w:r>
          </w:p>
        </w:tc>
      </w:tr>
      <w:tr w:rsidR="009D35B5" w:rsidRPr="008E2A22" w14:paraId="183C176D" w14:textId="77777777" w:rsidTr="00615F6B">
        <w:tc>
          <w:tcPr>
            <w:tcW w:w="4678" w:type="dxa"/>
          </w:tcPr>
          <w:p w14:paraId="75365413" w14:textId="481747BC"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BY:</w:t>
            </w:r>
          </w:p>
        </w:tc>
        <w:tc>
          <w:tcPr>
            <w:tcW w:w="3935" w:type="dxa"/>
          </w:tcPr>
          <w:p w14:paraId="4044534A" w14:textId="10626BAD" w:rsidR="00E10D04" w:rsidRPr="008E2A22" w:rsidRDefault="005275EF" w:rsidP="00A25AB4">
            <w:pPr>
              <w:tabs>
                <w:tab w:val="right" w:pos="0"/>
                <w:tab w:val="left" w:pos="4253"/>
              </w:tabs>
              <w:spacing w:before="120" w:after="120"/>
              <w:jc w:val="right"/>
              <w:rPr>
                <w:rFonts w:cs="Arial"/>
                <w:sz w:val="21"/>
                <w:szCs w:val="21"/>
              </w:rPr>
            </w:pPr>
            <w:r>
              <w:rPr>
                <w:rFonts w:cs="Arial"/>
                <w:sz w:val="21"/>
                <w:szCs w:val="21"/>
              </w:rPr>
              <w:t>ROOSEBOOM ATTORNEYS</w:t>
            </w:r>
          </w:p>
        </w:tc>
      </w:tr>
      <w:tr w:rsidR="009D35B5" w:rsidRPr="008E2A22" w14:paraId="6E2BF966" w14:textId="77777777" w:rsidTr="00615F6B">
        <w:tc>
          <w:tcPr>
            <w:tcW w:w="4678" w:type="dxa"/>
          </w:tcPr>
          <w:p w14:paraId="545B6665" w14:textId="47E4B1CF"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03730D">
              <w:rPr>
                <w:rFonts w:cs="Arial"/>
                <w:sz w:val="21"/>
                <w:szCs w:val="21"/>
              </w:rPr>
              <w:t xml:space="preserve">THE </w:t>
            </w:r>
            <w:r w:rsidR="00027D19" w:rsidRPr="008E2A22">
              <w:rPr>
                <w:rFonts w:cs="Arial"/>
                <w:sz w:val="21"/>
                <w:szCs w:val="21"/>
              </w:rPr>
              <w:t>RESPONDENT</w:t>
            </w:r>
          </w:p>
        </w:tc>
        <w:tc>
          <w:tcPr>
            <w:tcW w:w="3935" w:type="dxa"/>
          </w:tcPr>
          <w:p w14:paraId="51741A90" w14:textId="37776E1F" w:rsidR="001966E8" w:rsidRPr="008E2A22" w:rsidRDefault="005275EF" w:rsidP="00D65571">
            <w:pPr>
              <w:tabs>
                <w:tab w:val="right" w:pos="0"/>
                <w:tab w:val="left" w:pos="4253"/>
              </w:tabs>
              <w:spacing w:before="120" w:after="120"/>
              <w:jc w:val="right"/>
              <w:rPr>
                <w:rFonts w:cs="Arial"/>
                <w:sz w:val="21"/>
                <w:szCs w:val="21"/>
              </w:rPr>
            </w:pPr>
            <w:r>
              <w:rPr>
                <w:rFonts w:cs="Arial"/>
                <w:sz w:val="21"/>
                <w:szCs w:val="21"/>
              </w:rPr>
              <w:t>B TEMBA</w:t>
            </w:r>
          </w:p>
        </w:tc>
      </w:tr>
      <w:tr w:rsidR="009D35B5" w:rsidRPr="008E2A22" w14:paraId="1EC4105A" w14:textId="77777777" w:rsidTr="00615F6B">
        <w:tc>
          <w:tcPr>
            <w:tcW w:w="4678" w:type="dxa"/>
          </w:tcPr>
          <w:p w14:paraId="184EC2ED" w14:textId="2882CB8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w:t>
            </w:r>
            <w:r w:rsidR="008B0321">
              <w:rPr>
                <w:rFonts w:cs="Arial"/>
                <w:sz w:val="21"/>
                <w:szCs w:val="21"/>
              </w:rPr>
              <w:t>Y</w:t>
            </w:r>
          </w:p>
        </w:tc>
        <w:tc>
          <w:tcPr>
            <w:tcW w:w="3935" w:type="dxa"/>
          </w:tcPr>
          <w:p w14:paraId="2098BE2A" w14:textId="31C2D7DF" w:rsidR="009D35B5" w:rsidRPr="008E2A22" w:rsidRDefault="005275EF" w:rsidP="00A25AB4">
            <w:pPr>
              <w:tabs>
                <w:tab w:val="right" w:pos="0"/>
                <w:tab w:val="left" w:pos="4253"/>
              </w:tabs>
              <w:spacing w:before="120" w:after="120"/>
              <w:jc w:val="right"/>
              <w:rPr>
                <w:rFonts w:cs="Arial"/>
                <w:sz w:val="21"/>
                <w:szCs w:val="21"/>
              </w:rPr>
            </w:pPr>
            <w:r>
              <w:rPr>
                <w:rFonts w:cs="Arial"/>
                <w:sz w:val="21"/>
                <w:szCs w:val="21"/>
              </w:rPr>
              <w:t>B TEMBA ATTORNEYS</w:t>
            </w:r>
          </w:p>
        </w:tc>
      </w:tr>
      <w:tr w:rsidR="009D35B5" w:rsidRPr="008E2A22" w14:paraId="2A3FE2B1" w14:textId="77777777" w:rsidTr="00615F6B">
        <w:tc>
          <w:tcPr>
            <w:tcW w:w="4678" w:type="dxa"/>
          </w:tcPr>
          <w:p w14:paraId="0767D0FE" w14:textId="61925A2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DATE </w:t>
            </w:r>
            <w:r w:rsidR="00E57446" w:rsidRPr="008E2A22">
              <w:rPr>
                <w:rFonts w:cs="Arial"/>
                <w:sz w:val="21"/>
                <w:szCs w:val="21"/>
              </w:rPr>
              <w:t>OF ARGUMENT</w:t>
            </w:r>
            <w:r w:rsidRPr="008E2A22">
              <w:rPr>
                <w:rFonts w:cs="Arial"/>
                <w:sz w:val="21"/>
                <w:szCs w:val="21"/>
              </w:rPr>
              <w:t>:</w:t>
            </w:r>
          </w:p>
        </w:tc>
        <w:tc>
          <w:tcPr>
            <w:tcW w:w="3935" w:type="dxa"/>
          </w:tcPr>
          <w:p w14:paraId="34C95147" w14:textId="6B1BC843" w:rsidR="009D35B5" w:rsidRPr="008E2A22" w:rsidRDefault="00CF10EB" w:rsidP="00A25AB4">
            <w:pPr>
              <w:tabs>
                <w:tab w:val="right" w:pos="0"/>
                <w:tab w:val="left" w:pos="4253"/>
              </w:tabs>
              <w:spacing w:before="120" w:after="120"/>
              <w:jc w:val="right"/>
              <w:rPr>
                <w:rFonts w:cs="Arial"/>
                <w:sz w:val="21"/>
                <w:szCs w:val="21"/>
              </w:rPr>
            </w:pPr>
            <w:r>
              <w:rPr>
                <w:rFonts w:cs="Arial"/>
                <w:sz w:val="21"/>
                <w:szCs w:val="21"/>
              </w:rPr>
              <w:t>22</w:t>
            </w:r>
            <w:r w:rsidR="00D33A54" w:rsidRPr="008E2A22">
              <w:rPr>
                <w:rFonts w:cs="Arial"/>
                <w:sz w:val="21"/>
                <w:szCs w:val="21"/>
              </w:rPr>
              <w:t xml:space="preserve"> FEBRUARY 2024</w:t>
            </w:r>
          </w:p>
        </w:tc>
      </w:tr>
      <w:tr w:rsidR="00A25AB4" w:rsidRPr="008E2A22" w14:paraId="5ECDFF3A" w14:textId="77777777" w:rsidTr="00615F6B">
        <w:tc>
          <w:tcPr>
            <w:tcW w:w="4678" w:type="dxa"/>
          </w:tcPr>
          <w:p w14:paraId="1DF2AE9E" w14:textId="1FC539A4" w:rsidR="00A25AB4" w:rsidRPr="008E2A22" w:rsidRDefault="00A25AB4" w:rsidP="00A25AB4">
            <w:pPr>
              <w:tabs>
                <w:tab w:val="right" w:pos="0"/>
                <w:tab w:val="left" w:pos="4253"/>
              </w:tabs>
              <w:spacing w:before="120" w:after="120"/>
              <w:rPr>
                <w:rFonts w:cs="Arial"/>
                <w:sz w:val="21"/>
                <w:szCs w:val="21"/>
              </w:rPr>
            </w:pPr>
            <w:r w:rsidRPr="008E2A22">
              <w:rPr>
                <w:rFonts w:cs="Arial"/>
                <w:sz w:val="21"/>
                <w:szCs w:val="21"/>
              </w:rPr>
              <w:t>DATE OF JUDGMENT:</w:t>
            </w:r>
          </w:p>
        </w:tc>
        <w:tc>
          <w:tcPr>
            <w:tcW w:w="3935" w:type="dxa"/>
          </w:tcPr>
          <w:p w14:paraId="02219E99" w14:textId="6893B6F9" w:rsidR="00A25AB4" w:rsidRPr="008E2A22" w:rsidRDefault="0003730D" w:rsidP="00A25AB4">
            <w:pPr>
              <w:tabs>
                <w:tab w:val="right" w:pos="0"/>
                <w:tab w:val="left" w:pos="4253"/>
              </w:tabs>
              <w:spacing w:before="120" w:after="120"/>
              <w:jc w:val="right"/>
              <w:rPr>
                <w:rFonts w:cs="Arial"/>
                <w:sz w:val="21"/>
                <w:szCs w:val="21"/>
              </w:rPr>
            </w:pPr>
            <w:r>
              <w:rPr>
                <w:rFonts w:cs="Arial"/>
                <w:sz w:val="21"/>
                <w:szCs w:val="21"/>
              </w:rPr>
              <w:t>8</w:t>
            </w:r>
            <w:r w:rsidR="00D743C0">
              <w:rPr>
                <w:rFonts w:cs="Arial"/>
                <w:sz w:val="21"/>
                <w:szCs w:val="21"/>
              </w:rPr>
              <w:t xml:space="preserve"> MARCH</w:t>
            </w:r>
            <w:r w:rsidR="00B664E5" w:rsidRPr="008E2A22">
              <w:rPr>
                <w:rFonts w:cs="Arial"/>
                <w:sz w:val="21"/>
                <w:szCs w:val="21"/>
              </w:rPr>
              <w:t xml:space="preserve"> </w:t>
            </w:r>
            <w:r w:rsidR="00D33A54" w:rsidRPr="008E2A22">
              <w:rPr>
                <w:rFonts w:cs="Arial"/>
                <w:sz w:val="21"/>
                <w:szCs w:val="21"/>
              </w:rPr>
              <w:t>2024</w:t>
            </w:r>
          </w:p>
        </w:tc>
      </w:tr>
    </w:tbl>
    <w:p w14:paraId="1BD8F4EB" w14:textId="491B3C8F" w:rsidR="00A402F6" w:rsidRPr="008E2A22" w:rsidRDefault="00A402F6" w:rsidP="008E2A22">
      <w:pPr>
        <w:widowControl w:val="0"/>
        <w:spacing w:before="480" w:after="480" w:line="360" w:lineRule="auto"/>
        <w:jc w:val="both"/>
        <w:rPr>
          <w:rFonts w:cs="Arial"/>
          <w:sz w:val="21"/>
          <w:szCs w:val="21"/>
        </w:rPr>
      </w:pPr>
    </w:p>
    <w:sectPr w:rsidR="00A402F6" w:rsidRPr="008E2A22" w:rsidSect="008A3ECB">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1A60" w14:textId="77777777" w:rsidR="008A3ECB" w:rsidRPr="008E2A22" w:rsidRDefault="008A3ECB">
      <w:pPr>
        <w:rPr>
          <w:sz w:val="21"/>
          <w:szCs w:val="21"/>
        </w:rPr>
      </w:pPr>
      <w:r w:rsidRPr="008E2A22">
        <w:rPr>
          <w:sz w:val="21"/>
          <w:szCs w:val="21"/>
        </w:rPr>
        <w:separator/>
      </w:r>
    </w:p>
  </w:endnote>
  <w:endnote w:type="continuationSeparator" w:id="0">
    <w:p w14:paraId="737B0430" w14:textId="77777777" w:rsidR="008A3ECB" w:rsidRPr="008E2A22" w:rsidRDefault="008A3ECB">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9E49" w14:textId="77777777" w:rsidR="008A3ECB" w:rsidRPr="008E2A22" w:rsidRDefault="008A3ECB">
      <w:pPr>
        <w:rPr>
          <w:sz w:val="21"/>
          <w:szCs w:val="21"/>
        </w:rPr>
      </w:pPr>
      <w:r w:rsidRPr="008E2A22">
        <w:rPr>
          <w:sz w:val="21"/>
          <w:szCs w:val="21"/>
        </w:rPr>
        <w:separator/>
      </w:r>
    </w:p>
  </w:footnote>
  <w:footnote w:type="continuationSeparator" w:id="0">
    <w:p w14:paraId="277A02D2" w14:textId="77777777" w:rsidR="008A3ECB" w:rsidRPr="008E2A22" w:rsidRDefault="008A3ECB">
      <w:pPr>
        <w:rPr>
          <w:sz w:val="21"/>
          <w:szCs w:val="21"/>
        </w:rPr>
      </w:pPr>
      <w:r w:rsidRPr="008E2A22">
        <w:rPr>
          <w:sz w:val="21"/>
          <w:szCs w:val="21"/>
        </w:rPr>
        <w:continuationSeparator/>
      </w:r>
    </w:p>
  </w:footnote>
  <w:footnote w:id="1">
    <w:p w14:paraId="1B5E4D9E" w14:textId="4DE3EB13" w:rsidR="002F3497" w:rsidRDefault="002F3497">
      <w:pPr>
        <w:pStyle w:val="FootnoteText"/>
      </w:pPr>
      <w:r>
        <w:rPr>
          <w:rStyle w:val="FootnoteReference"/>
        </w:rPr>
        <w:footnoteRef/>
      </w:r>
      <w:r>
        <w:t xml:space="preserve"> </w:t>
      </w:r>
      <w:r>
        <w:tab/>
      </w:r>
      <w:r>
        <w:rPr>
          <w:rFonts w:cs="Arial"/>
          <w:bCs/>
          <w:sz w:val="21"/>
          <w:szCs w:val="21"/>
        </w:rPr>
        <w:t>Section 8 (2) (b) of the National Credit Act 34 of 2005.-</w:t>
      </w:r>
    </w:p>
  </w:footnote>
  <w:footnote w:id="2">
    <w:p w14:paraId="3AE27D97" w14:textId="77777777" w:rsidR="00FF0C06" w:rsidRDefault="00FF0C06" w:rsidP="00FF0C06">
      <w:pPr>
        <w:pStyle w:val="FootnoteText"/>
      </w:pPr>
      <w:r>
        <w:rPr>
          <w:rStyle w:val="FootnoteReference"/>
        </w:rPr>
        <w:footnoteRef/>
      </w:r>
      <w:r>
        <w:t xml:space="preserve"> </w:t>
      </w:r>
      <w:r>
        <w:tab/>
        <w:t xml:space="preserve">See </w:t>
      </w:r>
      <w:proofErr w:type="spellStart"/>
      <w:r w:rsidRPr="009F4B6B">
        <w:rPr>
          <w:i/>
          <w:iCs/>
        </w:rPr>
        <w:t>Nogoduka-Ngumbela</w:t>
      </w:r>
      <w:proofErr w:type="spellEnd"/>
      <w:r w:rsidRPr="009F4B6B">
        <w:rPr>
          <w:i/>
          <w:iCs/>
        </w:rPr>
        <w:t xml:space="preserve"> Consortium (Pty) Ltd v Rage Distribution (Pty) Ltd</w:t>
      </w:r>
      <w:r>
        <w:t xml:space="preserve"> </w:t>
      </w:r>
      <w:r w:rsidRPr="009F4B6B">
        <w:t>2021 JDR 2622 (GJ)</w:t>
      </w:r>
    </w:p>
  </w:footnote>
  <w:footnote w:id="3">
    <w:p w14:paraId="1DF8CA5F" w14:textId="77777777" w:rsidR="00FF0C06" w:rsidRDefault="00FF0C06" w:rsidP="00FF0C06">
      <w:pPr>
        <w:pStyle w:val="FootnoteText"/>
      </w:pPr>
      <w:r>
        <w:rPr>
          <w:rStyle w:val="FootnoteReference"/>
        </w:rPr>
        <w:footnoteRef/>
      </w:r>
      <w:r>
        <w:t xml:space="preserve"> </w:t>
      </w:r>
      <w:r>
        <w:tab/>
        <w:t xml:space="preserve">Compare </w:t>
      </w:r>
      <w:r w:rsidRPr="00300133">
        <w:rPr>
          <w:i/>
          <w:iCs/>
        </w:rPr>
        <w:t>Heyneke v Abercrombie</w:t>
      </w:r>
      <w:r w:rsidRPr="00300133">
        <w:t xml:space="preserve"> 1974 (3) SA 338 (T) 34</w:t>
      </w:r>
      <w:r>
        <w:t>4H to 34</w:t>
      </w:r>
      <w:r w:rsidRPr="00300133">
        <w:t>5</w:t>
      </w:r>
      <w:r>
        <w:t>F.</w:t>
      </w:r>
    </w:p>
  </w:footnote>
  <w:footnote w:id="4">
    <w:p w14:paraId="6C78610C" w14:textId="72C39640" w:rsidR="00FF0C06" w:rsidRDefault="00FF0C06" w:rsidP="00FF0C06">
      <w:pPr>
        <w:pStyle w:val="FootnoteText"/>
      </w:pPr>
      <w:r>
        <w:rPr>
          <w:rStyle w:val="FootnoteReference"/>
        </w:rPr>
        <w:footnoteRef/>
      </w:r>
      <w:r>
        <w:t xml:space="preserve"> </w:t>
      </w:r>
      <w:r>
        <w:tab/>
        <w:t xml:space="preserve">Compare </w:t>
      </w:r>
      <w:proofErr w:type="spellStart"/>
      <w:r w:rsidRPr="009F4B6B">
        <w:rPr>
          <w:i/>
          <w:iCs/>
        </w:rPr>
        <w:t>Hennops</w:t>
      </w:r>
      <w:proofErr w:type="spellEnd"/>
      <w:r w:rsidRPr="009F4B6B">
        <w:rPr>
          <w:i/>
          <w:iCs/>
        </w:rPr>
        <w:t xml:space="preserve"> Sports (Pty) Ltd v Luhan Auto (Pty) Ltd</w:t>
      </w:r>
      <w:r>
        <w:t xml:space="preserve"> </w:t>
      </w:r>
      <w:r w:rsidRPr="009F4B6B">
        <w:t>2022 JDR 3763 (GP)</w:t>
      </w:r>
      <w:r>
        <w:t xml:space="preserve">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4E3F6E2C"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B82199">
      <w:rPr>
        <w:rFonts w:cs="Arial"/>
        <w:noProof/>
        <w:sz w:val="19"/>
        <w:szCs w:val="19"/>
        <w:lang w:val="en-GB"/>
      </w:rPr>
      <w:t>5</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2E953CA"/>
    <w:multiLevelType w:val="hybridMultilevel"/>
    <w:tmpl w:val="DA80D96A"/>
    <w:lvl w:ilvl="0" w:tplc="57BA0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C248F"/>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8"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8269446">
    <w:abstractNumId w:val="7"/>
  </w:num>
  <w:num w:numId="2" w16cid:durableId="1293558070">
    <w:abstractNumId w:val="2"/>
  </w:num>
  <w:num w:numId="3" w16cid:durableId="2140682322">
    <w:abstractNumId w:val="19"/>
  </w:num>
  <w:num w:numId="4" w16cid:durableId="67191902">
    <w:abstractNumId w:val="9"/>
  </w:num>
  <w:num w:numId="5" w16cid:durableId="1706903369">
    <w:abstractNumId w:val="18"/>
  </w:num>
  <w:num w:numId="6" w16cid:durableId="2054574858">
    <w:abstractNumId w:val="14"/>
  </w:num>
  <w:num w:numId="7" w16cid:durableId="786193245">
    <w:abstractNumId w:val="0"/>
  </w:num>
  <w:num w:numId="8" w16cid:durableId="190317800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9364745">
    <w:abstractNumId w:val="12"/>
  </w:num>
  <w:num w:numId="10" w16cid:durableId="2008553933">
    <w:abstractNumId w:val="3"/>
  </w:num>
  <w:num w:numId="11" w16cid:durableId="931208481">
    <w:abstractNumId w:val="20"/>
  </w:num>
  <w:num w:numId="12" w16cid:durableId="814906596">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1511408880">
    <w:abstractNumId w:val="15"/>
  </w:num>
  <w:num w:numId="14" w16cid:durableId="1877086468">
    <w:abstractNumId w:val="13"/>
  </w:num>
  <w:num w:numId="15" w16cid:durableId="2054454699">
    <w:abstractNumId w:val="5"/>
  </w:num>
  <w:num w:numId="16" w16cid:durableId="1887326202">
    <w:abstractNumId w:val="8"/>
  </w:num>
  <w:num w:numId="17" w16cid:durableId="413867386">
    <w:abstractNumId w:val="4"/>
  </w:num>
  <w:num w:numId="18" w16cid:durableId="1450124231">
    <w:abstractNumId w:val="1"/>
  </w:num>
  <w:num w:numId="19" w16cid:durableId="1927110499">
    <w:abstractNumId w:val="10"/>
  </w:num>
  <w:num w:numId="20" w16cid:durableId="1760560915">
    <w:abstractNumId w:val="16"/>
  </w:num>
  <w:num w:numId="21" w16cid:durableId="990319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BE3E25-E239-4E42-9B76-F342242ECEB8}"/>
    <w:docVar w:name="dgnword-eventsink" w:val="2807902458784"/>
  </w:docVars>
  <w:rsids>
    <w:rsidRoot w:val="00C676F3"/>
    <w:rsid w:val="000004A3"/>
    <w:rsid w:val="00000AFE"/>
    <w:rsid w:val="00001138"/>
    <w:rsid w:val="000019D2"/>
    <w:rsid w:val="00001BAE"/>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3730D"/>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115"/>
    <w:rsid w:val="00082EDC"/>
    <w:rsid w:val="000833BB"/>
    <w:rsid w:val="000835BE"/>
    <w:rsid w:val="00085288"/>
    <w:rsid w:val="000872F2"/>
    <w:rsid w:val="00087AE6"/>
    <w:rsid w:val="000906B5"/>
    <w:rsid w:val="00090F50"/>
    <w:rsid w:val="00090FFC"/>
    <w:rsid w:val="00092591"/>
    <w:rsid w:val="00093237"/>
    <w:rsid w:val="0009429D"/>
    <w:rsid w:val="0009488C"/>
    <w:rsid w:val="0009540B"/>
    <w:rsid w:val="000956E5"/>
    <w:rsid w:val="00096A67"/>
    <w:rsid w:val="000976D2"/>
    <w:rsid w:val="00097968"/>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35D9E"/>
    <w:rsid w:val="00136B3E"/>
    <w:rsid w:val="00140454"/>
    <w:rsid w:val="00140CED"/>
    <w:rsid w:val="00141AD1"/>
    <w:rsid w:val="0014628D"/>
    <w:rsid w:val="00147FF5"/>
    <w:rsid w:val="00151DA9"/>
    <w:rsid w:val="00152899"/>
    <w:rsid w:val="00154961"/>
    <w:rsid w:val="00155A21"/>
    <w:rsid w:val="0016056B"/>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1B73"/>
    <w:rsid w:val="001C2371"/>
    <w:rsid w:val="001C33E6"/>
    <w:rsid w:val="001C608F"/>
    <w:rsid w:val="001C7048"/>
    <w:rsid w:val="001D3CC2"/>
    <w:rsid w:val="001E0529"/>
    <w:rsid w:val="001E2EED"/>
    <w:rsid w:val="001E44D1"/>
    <w:rsid w:val="001E4691"/>
    <w:rsid w:val="001E4701"/>
    <w:rsid w:val="001E518E"/>
    <w:rsid w:val="001F09D1"/>
    <w:rsid w:val="001F0A29"/>
    <w:rsid w:val="001F0CE5"/>
    <w:rsid w:val="001F14E4"/>
    <w:rsid w:val="001F361F"/>
    <w:rsid w:val="001F3DBD"/>
    <w:rsid w:val="001F648A"/>
    <w:rsid w:val="001F6F43"/>
    <w:rsid w:val="00200B96"/>
    <w:rsid w:val="00201620"/>
    <w:rsid w:val="00203DA2"/>
    <w:rsid w:val="0020474A"/>
    <w:rsid w:val="00205392"/>
    <w:rsid w:val="0020575F"/>
    <w:rsid w:val="00205E72"/>
    <w:rsid w:val="00206919"/>
    <w:rsid w:val="002104BF"/>
    <w:rsid w:val="002108B6"/>
    <w:rsid w:val="00211F49"/>
    <w:rsid w:val="00213738"/>
    <w:rsid w:val="002139A7"/>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2069"/>
    <w:rsid w:val="00283664"/>
    <w:rsid w:val="00285040"/>
    <w:rsid w:val="00285062"/>
    <w:rsid w:val="0029196F"/>
    <w:rsid w:val="00292E3E"/>
    <w:rsid w:val="0029369B"/>
    <w:rsid w:val="00293C02"/>
    <w:rsid w:val="0029605B"/>
    <w:rsid w:val="002963B9"/>
    <w:rsid w:val="00296DAF"/>
    <w:rsid w:val="002976B8"/>
    <w:rsid w:val="002A030C"/>
    <w:rsid w:val="002A4B7B"/>
    <w:rsid w:val="002B0355"/>
    <w:rsid w:val="002B05EA"/>
    <w:rsid w:val="002B12D6"/>
    <w:rsid w:val="002B1F55"/>
    <w:rsid w:val="002B528D"/>
    <w:rsid w:val="002C15AC"/>
    <w:rsid w:val="002C2E80"/>
    <w:rsid w:val="002C4687"/>
    <w:rsid w:val="002C48E7"/>
    <w:rsid w:val="002D2842"/>
    <w:rsid w:val="002D47B3"/>
    <w:rsid w:val="002E0E37"/>
    <w:rsid w:val="002E2648"/>
    <w:rsid w:val="002E3586"/>
    <w:rsid w:val="002E5B57"/>
    <w:rsid w:val="002E612C"/>
    <w:rsid w:val="002E6CD7"/>
    <w:rsid w:val="002F1C4D"/>
    <w:rsid w:val="002F2881"/>
    <w:rsid w:val="002F3497"/>
    <w:rsid w:val="002F41F8"/>
    <w:rsid w:val="002F4A5D"/>
    <w:rsid w:val="002F508A"/>
    <w:rsid w:val="002F72D3"/>
    <w:rsid w:val="002F774A"/>
    <w:rsid w:val="00302290"/>
    <w:rsid w:val="003023F9"/>
    <w:rsid w:val="00302C31"/>
    <w:rsid w:val="003031A1"/>
    <w:rsid w:val="00303919"/>
    <w:rsid w:val="003047C2"/>
    <w:rsid w:val="0030653F"/>
    <w:rsid w:val="00306B41"/>
    <w:rsid w:val="003102C8"/>
    <w:rsid w:val="0031117B"/>
    <w:rsid w:val="00312EBC"/>
    <w:rsid w:val="00313056"/>
    <w:rsid w:val="00316740"/>
    <w:rsid w:val="00321DF8"/>
    <w:rsid w:val="00323058"/>
    <w:rsid w:val="00324EDF"/>
    <w:rsid w:val="003312BF"/>
    <w:rsid w:val="003313A2"/>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6B5"/>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31C5"/>
    <w:rsid w:val="0041363D"/>
    <w:rsid w:val="00413D9B"/>
    <w:rsid w:val="00415439"/>
    <w:rsid w:val="00416332"/>
    <w:rsid w:val="0042161A"/>
    <w:rsid w:val="00423CB0"/>
    <w:rsid w:val="0042423E"/>
    <w:rsid w:val="00424BA6"/>
    <w:rsid w:val="004274E7"/>
    <w:rsid w:val="00427751"/>
    <w:rsid w:val="00430142"/>
    <w:rsid w:val="00430B04"/>
    <w:rsid w:val="00431ABD"/>
    <w:rsid w:val="004339E6"/>
    <w:rsid w:val="00434796"/>
    <w:rsid w:val="0043683A"/>
    <w:rsid w:val="00437EB1"/>
    <w:rsid w:val="00441422"/>
    <w:rsid w:val="004439E0"/>
    <w:rsid w:val="00444ED6"/>
    <w:rsid w:val="00445DCB"/>
    <w:rsid w:val="004466EA"/>
    <w:rsid w:val="00447235"/>
    <w:rsid w:val="004479C3"/>
    <w:rsid w:val="0045044C"/>
    <w:rsid w:val="00460495"/>
    <w:rsid w:val="00460EEA"/>
    <w:rsid w:val="004630B6"/>
    <w:rsid w:val="00463106"/>
    <w:rsid w:val="004642E4"/>
    <w:rsid w:val="00466A30"/>
    <w:rsid w:val="00467F5B"/>
    <w:rsid w:val="00472F97"/>
    <w:rsid w:val="0047425C"/>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021A"/>
    <w:rsid w:val="0049165E"/>
    <w:rsid w:val="004923A9"/>
    <w:rsid w:val="00494337"/>
    <w:rsid w:val="00495F7C"/>
    <w:rsid w:val="004976D5"/>
    <w:rsid w:val="004A081A"/>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C52BD"/>
    <w:rsid w:val="004D1A31"/>
    <w:rsid w:val="004D1A91"/>
    <w:rsid w:val="004D2123"/>
    <w:rsid w:val="004D262A"/>
    <w:rsid w:val="004D2C6F"/>
    <w:rsid w:val="004D2E01"/>
    <w:rsid w:val="004D3237"/>
    <w:rsid w:val="004D3FD6"/>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275EF"/>
    <w:rsid w:val="00532E26"/>
    <w:rsid w:val="00533CD6"/>
    <w:rsid w:val="00537126"/>
    <w:rsid w:val="00537A72"/>
    <w:rsid w:val="005405F8"/>
    <w:rsid w:val="00542EAE"/>
    <w:rsid w:val="00546878"/>
    <w:rsid w:val="005509BE"/>
    <w:rsid w:val="00560E18"/>
    <w:rsid w:val="005615BB"/>
    <w:rsid w:val="005621E7"/>
    <w:rsid w:val="00562B7E"/>
    <w:rsid w:val="00563355"/>
    <w:rsid w:val="00571E81"/>
    <w:rsid w:val="00573FF9"/>
    <w:rsid w:val="005743CA"/>
    <w:rsid w:val="005755B7"/>
    <w:rsid w:val="00576B16"/>
    <w:rsid w:val="00577427"/>
    <w:rsid w:val="005808E5"/>
    <w:rsid w:val="005875A9"/>
    <w:rsid w:val="005878ED"/>
    <w:rsid w:val="00593C34"/>
    <w:rsid w:val="005949BC"/>
    <w:rsid w:val="00594F11"/>
    <w:rsid w:val="005971D5"/>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06A"/>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41A4"/>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1BE"/>
    <w:rsid w:val="00680421"/>
    <w:rsid w:val="0068069C"/>
    <w:rsid w:val="00681B06"/>
    <w:rsid w:val="006858DA"/>
    <w:rsid w:val="00686C3F"/>
    <w:rsid w:val="006902F1"/>
    <w:rsid w:val="006918E9"/>
    <w:rsid w:val="00692A13"/>
    <w:rsid w:val="006951CE"/>
    <w:rsid w:val="00695576"/>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44FD"/>
    <w:rsid w:val="00775AB7"/>
    <w:rsid w:val="00776B34"/>
    <w:rsid w:val="00777B98"/>
    <w:rsid w:val="00781088"/>
    <w:rsid w:val="00781AA0"/>
    <w:rsid w:val="00781CF7"/>
    <w:rsid w:val="00781D24"/>
    <w:rsid w:val="00782DE8"/>
    <w:rsid w:val="00786D45"/>
    <w:rsid w:val="00787202"/>
    <w:rsid w:val="00792E10"/>
    <w:rsid w:val="0079383D"/>
    <w:rsid w:val="007A006B"/>
    <w:rsid w:val="007A1D60"/>
    <w:rsid w:val="007A34D1"/>
    <w:rsid w:val="007A479E"/>
    <w:rsid w:val="007A5BDB"/>
    <w:rsid w:val="007A7102"/>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D50AA"/>
    <w:rsid w:val="007E1175"/>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18FA"/>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54F2"/>
    <w:rsid w:val="00865C8D"/>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2941"/>
    <w:rsid w:val="00893C08"/>
    <w:rsid w:val="008942FC"/>
    <w:rsid w:val="0089562F"/>
    <w:rsid w:val="008957BF"/>
    <w:rsid w:val="00895BE0"/>
    <w:rsid w:val="0089629F"/>
    <w:rsid w:val="008A082A"/>
    <w:rsid w:val="008A32BD"/>
    <w:rsid w:val="008A389B"/>
    <w:rsid w:val="008A3ECB"/>
    <w:rsid w:val="008A4DF4"/>
    <w:rsid w:val="008B0321"/>
    <w:rsid w:val="008B0950"/>
    <w:rsid w:val="008B1DA9"/>
    <w:rsid w:val="008B23D4"/>
    <w:rsid w:val="008B2EE6"/>
    <w:rsid w:val="008B571D"/>
    <w:rsid w:val="008B6162"/>
    <w:rsid w:val="008C3710"/>
    <w:rsid w:val="008C3EBC"/>
    <w:rsid w:val="008C4AE0"/>
    <w:rsid w:val="008C57F6"/>
    <w:rsid w:val="008C68A7"/>
    <w:rsid w:val="008C7019"/>
    <w:rsid w:val="008D25BA"/>
    <w:rsid w:val="008D2A7F"/>
    <w:rsid w:val="008D33A3"/>
    <w:rsid w:val="008D4715"/>
    <w:rsid w:val="008D59DD"/>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915BE"/>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3DBC"/>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0EED"/>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1A6C"/>
    <w:rsid w:val="00AE287F"/>
    <w:rsid w:val="00AE39F3"/>
    <w:rsid w:val="00AE4006"/>
    <w:rsid w:val="00AE4875"/>
    <w:rsid w:val="00AE5118"/>
    <w:rsid w:val="00AE63BD"/>
    <w:rsid w:val="00AF0B2B"/>
    <w:rsid w:val="00AF20DB"/>
    <w:rsid w:val="00AF2914"/>
    <w:rsid w:val="00AF2CD5"/>
    <w:rsid w:val="00AF345A"/>
    <w:rsid w:val="00AF363F"/>
    <w:rsid w:val="00AF3E40"/>
    <w:rsid w:val="00AF3E4F"/>
    <w:rsid w:val="00AF71E5"/>
    <w:rsid w:val="00B00DA5"/>
    <w:rsid w:val="00B0321E"/>
    <w:rsid w:val="00B0366D"/>
    <w:rsid w:val="00B071FF"/>
    <w:rsid w:val="00B110BC"/>
    <w:rsid w:val="00B11505"/>
    <w:rsid w:val="00B1182B"/>
    <w:rsid w:val="00B11DC2"/>
    <w:rsid w:val="00B13CEE"/>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28D2"/>
    <w:rsid w:val="00B43340"/>
    <w:rsid w:val="00B4461C"/>
    <w:rsid w:val="00B46D68"/>
    <w:rsid w:val="00B53913"/>
    <w:rsid w:val="00B53F29"/>
    <w:rsid w:val="00B554D4"/>
    <w:rsid w:val="00B5572D"/>
    <w:rsid w:val="00B55F3A"/>
    <w:rsid w:val="00B56906"/>
    <w:rsid w:val="00B569F1"/>
    <w:rsid w:val="00B6007E"/>
    <w:rsid w:val="00B61484"/>
    <w:rsid w:val="00B6179E"/>
    <w:rsid w:val="00B62B08"/>
    <w:rsid w:val="00B664E5"/>
    <w:rsid w:val="00B71116"/>
    <w:rsid w:val="00B71CB5"/>
    <w:rsid w:val="00B71F16"/>
    <w:rsid w:val="00B72922"/>
    <w:rsid w:val="00B72A13"/>
    <w:rsid w:val="00B72ADA"/>
    <w:rsid w:val="00B7473A"/>
    <w:rsid w:val="00B74A39"/>
    <w:rsid w:val="00B75819"/>
    <w:rsid w:val="00B75CDA"/>
    <w:rsid w:val="00B76FD7"/>
    <w:rsid w:val="00B81526"/>
    <w:rsid w:val="00B819E4"/>
    <w:rsid w:val="00B82199"/>
    <w:rsid w:val="00B84042"/>
    <w:rsid w:val="00B84DD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17"/>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4139"/>
    <w:rsid w:val="00C0476F"/>
    <w:rsid w:val="00C0572E"/>
    <w:rsid w:val="00C1108E"/>
    <w:rsid w:val="00C128C6"/>
    <w:rsid w:val="00C14A51"/>
    <w:rsid w:val="00C14B1A"/>
    <w:rsid w:val="00C15C65"/>
    <w:rsid w:val="00C163C1"/>
    <w:rsid w:val="00C16519"/>
    <w:rsid w:val="00C16C1D"/>
    <w:rsid w:val="00C17853"/>
    <w:rsid w:val="00C17EE4"/>
    <w:rsid w:val="00C21656"/>
    <w:rsid w:val="00C21B3D"/>
    <w:rsid w:val="00C24267"/>
    <w:rsid w:val="00C243E6"/>
    <w:rsid w:val="00C24875"/>
    <w:rsid w:val="00C26FA6"/>
    <w:rsid w:val="00C2742C"/>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0F69"/>
    <w:rsid w:val="00C51C4B"/>
    <w:rsid w:val="00C51EE9"/>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64C"/>
    <w:rsid w:val="00CC585C"/>
    <w:rsid w:val="00CD0D1D"/>
    <w:rsid w:val="00CD1673"/>
    <w:rsid w:val="00CD1721"/>
    <w:rsid w:val="00CD25F1"/>
    <w:rsid w:val="00CD4DDC"/>
    <w:rsid w:val="00CD6592"/>
    <w:rsid w:val="00CD7F5E"/>
    <w:rsid w:val="00CE0808"/>
    <w:rsid w:val="00CE2A6C"/>
    <w:rsid w:val="00CE2E22"/>
    <w:rsid w:val="00CE35B4"/>
    <w:rsid w:val="00CE6301"/>
    <w:rsid w:val="00CF06D4"/>
    <w:rsid w:val="00CF10EB"/>
    <w:rsid w:val="00CF1D9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1AA"/>
    <w:rsid w:val="00D1641A"/>
    <w:rsid w:val="00D20E16"/>
    <w:rsid w:val="00D21601"/>
    <w:rsid w:val="00D2164A"/>
    <w:rsid w:val="00D21AA7"/>
    <w:rsid w:val="00D22F1C"/>
    <w:rsid w:val="00D23D75"/>
    <w:rsid w:val="00D256F0"/>
    <w:rsid w:val="00D26D4B"/>
    <w:rsid w:val="00D310E1"/>
    <w:rsid w:val="00D31882"/>
    <w:rsid w:val="00D31BAB"/>
    <w:rsid w:val="00D31D27"/>
    <w:rsid w:val="00D32109"/>
    <w:rsid w:val="00D330B3"/>
    <w:rsid w:val="00D333D0"/>
    <w:rsid w:val="00D336A4"/>
    <w:rsid w:val="00D33A54"/>
    <w:rsid w:val="00D34AFB"/>
    <w:rsid w:val="00D352EE"/>
    <w:rsid w:val="00D35A03"/>
    <w:rsid w:val="00D3725D"/>
    <w:rsid w:val="00D37377"/>
    <w:rsid w:val="00D41830"/>
    <w:rsid w:val="00D42B27"/>
    <w:rsid w:val="00D45B8C"/>
    <w:rsid w:val="00D56058"/>
    <w:rsid w:val="00D567E0"/>
    <w:rsid w:val="00D56A09"/>
    <w:rsid w:val="00D57976"/>
    <w:rsid w:val="00D61F2D"/>
    <w:rsid w:val="00D630DE"/>
    <w:rsid w:val="00D6371A"/>
    <w:rsid w:val="00D63DBC"/>
    <w:rsid w:val="00D645C6"/>
    <w:rsid w:val="00D6548A"/>
    <w:rsid w:val="00D65571"/>
    <w:rsid w:val="00D65905"/>
    <w:rsid w:val="00D65A71"/>
    <w:rsid w:val="00D66C66"/>
    <w:rsid w:val="00D67355"/>
    <w:rsid w:val="00D712C3"/>
    <w:rsid w:val="00D71B03"/>
    <w:rsid w:val="00D7327A"/>
    <w:rsid w:val="00D743C0"/>
    <w:rsid w:val="00D74EC8"/>
    <w:rsid w:val="00D769EF"/>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6C28"/>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D43F6"/>
    <w:rsid w:val="00DE130A"/>
    <w:rsid w:val="00DE1F21"/>
    <w:rsid w:val="00DE3369"/>
    <w:rsid w:val="00DE33DB"/>
    <w:rsid w:val="00DE38B2"/>
    <w:rsid w:val="00DE4F92"/>
    <w:rsid w:val="00DF2C9A"/>
    <w:rsid w:val="00DF32E5"/>
    <w:rsid w:val="00DF5291"/>
    <w:rsid w:val="00DF6AC1"/>
    <w:rsid w:val="00E010C4"/>
    <w:rsid w:val="00E03EBC"/>
    <w:rsid w:val="00E05572"/>
    <w:rsid w:val="00E063A0"/>
    <w:rsid w:val="00E06927"/>
    <w:rsid w:val="00E06AB6"/>
    <w:rsid w:val="00E10D04"/>
    <w:rsid w:val="00E1217F"/>
    <w:rsid w:val="00E15106"/>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8A9"/>
    <w:rsid w:val="00E33B23"/>
    <w:rsid w:val="00E37B1B"/>
    <w:rsid w:val="00E37B97"/>
    <w:rsid w:val="00E417B9"/>
    <w:rsid w:val="00E41B67"/>
    <w:rsid w:val="00E43C23"/>
    <w:rsid w:val="00E4477A"/>
    <w:rsid w:val="00E45160"/>
    <w:rsid w:val="00E45E6A"/>
    <w:rsid w:val="00E50A42"/>
    <w:rsid w:val="00E52F6E"/>
    <w:rsid w:val="00E53930"/>
    <w:rsid w:val="00E54FA5"/>
    <w:rsid w:val="00E559AB"/>
    <w:rsid w:val="00E56D64"/>
    <w:rsid w:val="00E57446"/>
    <w:rsid w:val="00E61081"/>
    <w:rsid w:val="00E61788"/>
    <w:rsid w:val="00E65B18"/>
    <w:rsid w:val="00E65B9D"/>
    <w:rsid w:val="00E66F5D"/>
    <w:rsid w:val="00E676E7"/>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2E60"/>
    <w:rsid w:val="00E949F8"/>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81C"/>
    <w:rsid w:val="00ED2A04"/>
    <w:rsid w:val="00ED370F"/>
    <w:rsid w:val="00ED3804"/>
    <w:rsid w:val="00ED39D5"/>
    <w:rsid w:val="00ED3B36"/>
    <w:rsid w:val="00ED46B4"/>
    <w:rsid w:val="00EE21F2"/>
    <w:rsid w:val="00EE50EE"/>
    <w:rsid w:val="00EE55F9"/>
    <w:rsid w:val="00EE62A5"/>
    <w:rsid w:val="00EE63DE"/>
    <w:rsid w:val="00EE64F9"/>
    <w:rsid w:val="00EF00EA"/>
    <w:rsid w:val="00EF0CBA"/>
    <w:rsid w:val="00EF0E7A"/>
    <w:rsid w:val="00EF34E1"/>
    <w:rsid w:val="00EF3688"/>
    <w:rsid w:val="00EF36A0"/>
    <w:rsid w:val="00EF524C"/>
    <w:rsid w:val="00EF6CC3"/>
    <w:rsid w:val="00F00D0F"/>
    <w:rsid w:val="00F0109E"/>
    <w:rsid w:val="00F03A0B"/>
    <w:rsid w:val="00F11454"/>
    <w:rsid w:val="00F12E5A"/>
    <w:rsid w:val="00F2125A"/>
    <w:rsid w:val="00F21B1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2115"/>
    <w:rsid w:val="00F57AFC"/>
    <w:rsid w:val="00F619FE"/>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625E"/>
    <w:rsid w:val="00FA6B1E"/>
    <w:rsid w:val="00FA72B9"/>
    <w:rsid w:val="00FB4165"/>
    <w:rsid w:val="00FB48E1"/>
    <w:rsid w:val="00FB59A0"/>
    <w:rsid w:val="00FC1484"/>
    <w:rsid w:val="00FC1792"/>
    <w:rsid w:val="00FC1944"/>
    <w:rsid w:val="00FC42BD"/>
    <w:rsid w:val="00FC6D12"/>
    <w:rsid w:val="00FD2E9B"/>
    <w:rsid w:val="00FD378D"/>
    <w:rsid w:val="00FD41A2"/>
    <w:rsid w:val="00FE065B"/>
    <w:rsid w:val="00FE06D8"/>
    <w:rsid w:val="00FE17D2"/>
    <w:rsid w:val="00FE2BF0"/>
    <w:rsid w:val="00FE43C6"/>
    <w:rsid w:val="00FE60F7"/>
    <w:rsid w:val="00FE7835"/>
    <w:rsid w:val="00FF0C06"/>
    <w:rsid w:val="00FF5A86"/>
    <w:rsid w:val="00FF6BC7"/>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paragraph" w:customStyle="1" w:styleId="Indent">
    <w:name w:val="Indent"/>
    <w:basedOn w:val="Normal"/>
    <w:rsid w:val="00DE4F92"/>
    <w:pPr>
      <w:widowControl w:val="0"/>
      <w:numPr>
        <w:numId w:val="21"/>
      </w:numPr>
      <w:spacing w:after="480" w:line="480" w:lineRule="auto"/>
      <w:jc w:val="both"/>
    </w:pPr>
    <w:rPr>
      <w:kern w:val="25"/>
      <w:sz w:val="2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A969E-90A0-4247-9BBD-E2E4CBB1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28</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2024-03-06T13:57:00Z</cp:lastPrinted>
  <dcterms:created xsi:type="dcterms:W3CDTF">2024-03-08T09:13:00Z</dcterms:created>
  <dcterms:modified xsi:type="dcterms:W3CDTF">2024-03-08T17:22:00Z</dcterms:modified>
</cp:coreProperties>
</file>