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7792"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60B31E1D"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529724F6"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5DBD5977" wp14:editId="441E0797">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0B71D6D3" w14:textId="77777777" w:rsidR="007B7F59" w:rsidRPr="007B7F59" w:rsidRDefault="007B7F59" w:rsidP="007B7F59">
      <w:pPr>
        <w:spacing w:after="0" w:line="240" w:lineRule="auto"/>
        <w:ind w:left="0"/>
        <w:jc w:val="center"/>
        <w:outlineLvl w:val="0"/>
        <w:rPr>
          <w:rFonts w:eastAsia="Times New Roman" w:cs="Arial"/>
          <w:b/>
          <w:szCs w:val="24"/>
          <w:lang w:val="en-ZA"/>
        </w:rPr>
      </w:pPr>
    </w:p>
    <w:p w14:paraId="294B0DE2"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3F60578A"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6E0B2B10" w14:textId="77777777" w:rsidR="007B7F59" w:rsidRPr="007B7F59" w:rsidRDefault="007B7F59" w:rsidP="007B7F59">
      <w:pPr>
        <w:spacing w:after="0" w:line="240" w:lineRule="auto"/>
        <w:ind w:left="0"/>
        <w:rPr>
          <w:rFonts w:eastAsia="Times New Roman" w:cs="Arial"/>
          <w:szCs w:val="24"/>
          <w:lang w:val="en-ZA"/>
        </w:rPr>
      </w:pPr>
    </w:p>
    <w:p w14:paraId="3D7FEE2A" w14:textId="77777777" w:rsidR="007B7F59" w:rsidRPr="007B7F59" w:rsidRDefault="007B7F59" w:rsidP="007B7F59">
      <w:pPr>
        <w:spacing w:after="0" w:line="240" w:lineRule="auto"/>
        <w:ind w:left="0"/>
        <w:rPr>
          <w:rFonts w:eastAsia="Times New Roman" w:cs="Arial"/>
          <w:szCs w:val="24"/>
          <w:lang w:val="en-ZA"/>
        </w:rPr>
      </w:pPr>
    </w:p>
    <w:p w14:paraId="6FE083B7" w14:textId="77777777" w:rsidR="007B7F59" w:rsidRPr="007B7F59" w:rsidRDefault="007B7F59" w:rsidP="007B7F59">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00C1556E">
        <w:rPr>
          <w:rFonts w:eastAsia="Times New Roman" w:cs="Arial"/>
          <w:bCs/>
          <w:szCs w:val="24"/>
          <w:lang w:val="en-ZA"/>
        </w:rPr>
        <w:t>006468-2023</w:t>
      </w:r>
    </w:p>
    <w:p w14:paraId="132A081B" w14:textId="77777777"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ZA" w:eastAsia="en-ZA"/>
        </w:rPr>
        <mc:AlternateContent>
          <mc:Choice Requires="wps">
            <w:drawing>
              <wp:anchor distT="0" distB="0" distL="114300" distR="114300" simplePos="0" relativeHeight="251659264" behindDoc="0" locked="0" layoutInCell="1" allowOverlap="1" wp14:anchorId="4F161222" wp14:editId="1CC279DF">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5C2E8BB3" w14:textId="7A4E17DE" w:rsidR="007B7F59" w:rsidRPr="00C1556E" w:rsidRDefault="001D1774" w:rsidP="001D1774">
                            <w:pPr>
                              <w:tabs>
                                <w:tab w:val="left" w:pos="900"/>
                              </w:tabs>
                              <w:spacing w:after="0" w:line="240" w:lineRule="auto"/>
                              <w:ind w:left="900" w:hanging="720"/>
                              <w:jc w:val="left"/>
                              <w:rPr>
                                <w:rFonts w:cs="Arial"/>
                                <w:sz w:val="18"/>
                                <w:szCs w:val="20"/>
                              </w:rPr>
                            </w:pPr>
                            <w:r w:rsidRPr="00C1556E">
                              <w:rPr>
                                <w:rFonts w:cs="Arial"/>
                                <w:sz w:val="18"/>
                                <w:szCs w:val="20"/>
                              </w:rPr>
                              <w:t>(1)</w:t>
                            </w:r>
                            <w:r w:rsidRPr="00C1556E">
                              <w:rPr>
                                <w:rFonts w:cs="Arial"/>
                                <w:sz w:val="18"/>
                                <w:szCs w:val="20"/>
                              </w:rPr>
                              <w:tab/>
                            </w:r>
                            <w:r w:rsidR="007B7F59" w:rsidRPr="003B746C">
                              <w:rPr>
                                <w:rFonts w:cs="Arial"/>
                                <w:sz w:val="18"/>
                                <w:szCs w:val="20"/>
                              </w:rPr>
                              <w:t xml:space="preserve">REPORTABLE: </w:t>
                            </w:r>
                            <w:r w:rsidR="007B7F59" w:rsidRPr="00C1556E">
                              <w:rPr>
                                <w:rFonts w:cs="Arial"/>
                                <w:sz w:val="18"/>
                                <w:szCs w:val="20"/>
                              </w:rPr>
                              <w:t>YES / NO</w:t>
                            </w:r>
                          </w:p>
                          <w:p w14:paraId="00B232B0" w14:textId="67EFEC6E" w:rsidR="007B7F59" w:rsidRPr="00C1556E" w:rsidRDefault="001D1774" w:rsidP="001D1774">
                            <w:pPr>
                              <w:tabs>
                                <w:tab w:val="left" w:pos="900"/>
                              </w:tabs>
                              <w:spacing w:after="0" w:line="240" w:lineRule="auto"/>
                              <w:ind w:left="900" w:hanging="720"/>
                              <w:jc w:val="left"/>
                              <w:rPr>
                                <w:rFonts w:cs="Arial"/>
                                <w:sz w:val="18"/>
                                <w:szCs w:val="20"/>
                              </w:rPr>
                            </w:pPr>
                            <w:r w:rsidRPr="00C1556E">
                              <w:rPr>
                                <w:rFonts w:cs="Arial"/>
                                <w:sz w:val="18"/>
                                <w:szCs w:val="20"/>
                              </w:rPr>
                              <w:t>(2)</w:t>
                            </w:r>
                            <w:r w:rsidRPr="00C1556E">
                              <w:rPr>
                                <w:rFonts w:cs="Arial"/>
                                <w:sz w:val="18"/>
                                <w:szCs w:val="20"/>
                              </w:rPr>
                              <w:tab/>
                            </w:r>
                            <w:r w:rsidR="007B7F59" w:rsidRPr="00C1556E">
                              <w:rPr>
                                <w:rFonts w:cs="Arial"/>
                                <w:sz w:val="18"/>
                                <w:szCs w:val="20"/>
                              </w:rPr>
                              <w:t>OF INTEREST TO OTHER JUDGES: YES/NO</w:t>
                            </w:r>
                          </w:p>
                          <w:p w14:paraId="4F4F498D" w14:textId="0134F6E2" w:rsidR="007B7F59" w:rsidRPr="00C1556E" w:rsidRDefault="001D1774" w:rsidP="001D1774">
                            <w:pPr>
                              <w:tabs>
                                <w:tab w:val="left" w:pos="900"/>
                              </w:tabs>
                              <w:spacing w:after="0" w:line="240" w:lineRule="auto"/>
                              <w:ind w:left="900" w:hanging="720"/>
                              <w:jc w:val="left"/>
                              <w:rPr>
                                <w:rFonts w:cs="Arial"/>
                                <w:sz w:val="18"/>
                                <w:szCs w:val="20"/>
                              </w:rPr>
                            </w:pPr>
                            <w:r w:rsidRPr="00C1556E">
                              <w:rPr>
                                <w:rFonts w:cs="Arial"/>
                                <w:sz w:val="18"/>
                                <w:szCs w:val="20"/>
                              </w:rPr>
                              <w:t>(3)</w:t>
                            </w:r>
                            <w:r w:rsidRPr="00C1556E">
                              <w:rPr>
                                <w:rFonts w:cs="Arial"/>
                                <w:sz w:val="18"/>
                                <w:szCs w:val="20"/>
                              </w:rPr>
                              <w:tab/>
                            </w:r>
                            <w:r w:rsidR="007B7F59" w:rsidRPr="00C1556E">
                              <w:rPr>
                                <w:rFonts w:cs="Arial"/>
                                <w:sz w:val="18"/>
                                <w:szCs w:val="20"/>
                              </w:rPr>
                              <w:t>REVISED: YES/NO</w:t>
                            </w:r>
                          </w:p>
                          <w:p w14:paraId="2FC5883B"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480814DA"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61222"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5C2E8BB3" w14:textId="7A4E17DE" w:rsidR="007B7F59" w:rsidRPr="00C1556E" w:rsidRDefault="001D1774" w:rsidP="001D1774">
                      <w:pPr>
                        <w:tabs>
                          <w:tab w:val="left" w:pos="900"/>
                        </w:tabs>
                        <w:spacing w:after="0" w:line="240" w:lineRule="auto"/>
                        <w:ind w:left="900" w:hanging="720"/>
                        <w:jc w:val="left"/>
                        <w:rPr>
                          <w:rFonts w:cs="Arial"/>
                          <w:sz w:val="18"/>
                          <w:szCs w:val="20"/>
                        </w:rPr>
                      </w:pPr>
                      <w:r w:rsidRPr="00C1556E">
                        <w:rPr>
                          <w:rFonts w:cs="Arial"/>
                          <w:sz w:val="18"/>
                          <w:szCs w:val="20"/>
                        </w:rPr>
                        <w:t>(1)</w:t>
                      </w:r>
                      <w:r w:rsidRPr="00C1556E">
                        <w:rPr>
                          <w:rFonts w:cs="Arial"/>
                          <w:sz w:val="18"/>
                          <w:szCs w:val="20"/>
                        </w:rPr>
                        <w:tab/>
                      </w:r>
                      <w:r w:rsidR="007B7F59" w:rsidRPr="003B746C">
                        <w:rPr>
                          <w:rFonts w:cs="Arial"/>
                          <w:sz w:val="18"/>
                          <w:szCs w:val="20"/>
                        </w:rPr>
                        <w:t xml:space="preserve">REPORTABLE: </w:t>
                      </w:r>
                      <w:r w:rsidR="007B7F59" w:rsidRPr="00C1556E">
                        <w:rPr>
                          <w:rFonts w:cs="Arial"/>
                          <w:sz w:val="18"/>
                          <w:szCs w:val="20"/>
                        </w:rPr>
                        <w:t>YES / NO</w:t>
                      </w:r>
                    </w:p>
                    <w:p w14:paraId="00B232B0" w14:textId="67EFEC6E" w:rsidR="007B7F59" w:rsidRPr="00C1556E" w:rsidRDefault="001D1774" w:rsidP="001D1774">
                      <w:pPr>
                        <w:tabs>
                          <w:tab w:val="left" w:pos="900"/>
                        </w:tabs>
                        <w:spacing w:after="0" w:line="240" w:lineRule="auto"/>
                        <w:ind w:left="900" w:hanging="720"/>
                        <w:jc w:val="left"/>
                        <w:rPr>
                          <w:rFonts w:cs="Arial"/>
                          <w:sz w:val="18"/>
                          <w:szCs w:val="20"/>
                        </w:rPr>
                      </w:pPr>
                      <w:r w:rsidRPr="00C1556E">
                        <w:rPr>
                          <w:rFonts w:cs="Arial"/>
                          <w:sz w:val="18"/>
                          <w:szCs w:val="20"/>
                        </w:rPr>
                        <w:t>(2)</w:t>
                      </w:r>
                      <w:r w:rsidRPr="00C1556E">
                        <w:rPr>
                          <w:rFonts w:cs="Arial"/>
                          <w:sz w:val="18"/>
                          <w:szCs w:val="20"/>
                        </w:rPr>
                        <w:tab/>
                      </w:r>
                      <w:r w:rsidR="007B7F59" w:rsidRPr="00C1556E">
                        <w:rPr>
                          <w:rFonts w:cs="Arial"/>
                          <w:sz w:val="18"/>
                          <w:szCs w:val="20"/>
                        </w:rPr>
                        <w:t>OF INTEREST TO OTHER JUDGES: YES/NO</w:t>
                      </w:r>
                    </w:p>
                    <w:p w14:paraId="4F4F498D" w14:textId="0134F6E2" w:rsidR="007B7F59" w:rsidRPr="00C1556E" w:rsidRDefault="001D1774" w:rsidP="001D1774">
                      <w:pPr>
                        <w:tabs>
                          <w:tab w:val="left" w:pos="900"/>
                        </w:tabs>
                        <w:spacing w:after="0" w:line="240" w:lineRule="auto"/>
                        <w:ind w:left="900" w:hanging="720"/>
                        <w:jc w:val="left"/>
                        <w:rPr>
                          <w:rFonts w:cs="Arial"/>
                          <w:sz w:val="18"/>
                          <w:szCs w:val="20"/>
                        </w:rPr>
                      </w:pPr>
                      <w:r w:rsidRPr="00C1556E">
                        <w:rPr>
                          <w:rFonts w:cs="Arial"/>
                          <w:sz w:val="18"/>
                          <w:szCs w:val="20"/>
                        </w:rPr>
                        <w:t>(3)</w:t>
                      </w:r>
                      <w:r w:rsidRPr="00C1556E">
                        <w:rPr>
                          <w:rFonts w:cs="Arial"/>
                          <w:sz w:val="18"/>
                          <w:szCs w:val="20"/>
                        </w:rPr>
                        <w:tab/>
                      </w:r>
                      <w:r w:rsidR="007B7F59" w:rsidRPr="00C1556E">
                        <w:rPr>
                          <w:rFonts w:cs="Arial"/>
                          <w:sz w:val="18"/>
                          <w:szCs w:val="20"/>
                        </w:rPr>
                        <w:t>REVISED: YES/NO</w:t>
                      </w:r>
                    </w:p>
                    <w:p w14:paraId="2FC5883B"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480814DA"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4E85BAC4"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7B5ACB90"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654055C3" w14:textId="77777777"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7026FCD1"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22BDDC1B"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68B1CD26"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081826BD"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2192E4C6"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1B5F37AE"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2EE7C715"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0CCD454D" w14:textId="77777777" w:rsidR="007B7F59" w:rsidRPr="00C1556E" w:rsidRDefault="00C1556E" w:rsidP="007B7F59">
      <w:pPr>
        <w:tabs>
          <w:tab w:val="right" w:pos="9029"/>
        </w:tabs>
        <w:spacing w:after="0" w:line="240" w:lineRule="auto"/>
        <w:ind w:left="0"/>
        <w:contextualSpacing/>
        <w:rPr>
          <w:rFonts w:eastAsia="Times New Roman" w:cs="Arial"/>
          <w:szCs w:val="24"/>
          <w:lang w:val="en-ZA"/>
        </w:rPr>
      </w:pPr>
      <w:r>
        <w:rPr>
          <w:rFonts w:eastAsia="Times New Roman" w:cs="Times New Roman"/>
          <w:b/>
          <w:kern w:val="28"/>
          <w:szCs w:val="24"/>
          <w:lang w:eastAsia="en-GB"/>
        </w:rPr>
        <w:t>BC FUNDING SOLUTION (PTY) LIMITED</w:t>
      </w:r>
      <w:r w:rsidR="007B7F59" w:rsidRPr="00C1556E">
        <w:rPr>
          <w:rFonts w:eastAsia="Times New Roman" w:cs="Arial"/>
          <w:b/>
          <w:szCs w:val="24"/>
          <w:lang w:val="en-ZA"/>
        </w:rPr>
        <w:tab/>
      </w:r>
      <w:r w:rsidR="007B7F59" w:rsidRPr="00C1556E">
        <w:rPr>
          <w:rFonts w:eastAsia="Times New Roman" w:cs="Arial"/>
          <w:szCs w:val="24"/>
          <w:lang w:val="en-ZA"/>
        </w:rPr>
        <w:t>Applicant</w:t>
      </w:r>
    </w:p>
    <w:p w14:paraId="39E85831" w14:textId="77777777" w:rsidR="007B7F59" w:rsidRPr="00C1556E" w:rsidRDefault="007B7F59" w:rsidP="007B7F59">
      <w:pPr>
        <w:tabs>
          <w:tab w:val="right" w:pos="9029"/>
        </w:tabs>
        <w:spacing w:after="0" w:line="240" w:lineRule="auto"/>
        <w:ind w:left="0"/>
        <w:contextualSpacing/>
        <w:rPr>
          <w:rFonts w:eastAsia="Times New Roman" w:cs="Arial"/>
          <w:szCs w:val="24"/>
          <w:lang w:val="en-ZA"/>
        </w:rPr>
      </w:pPr>
    </w:p>
    <w:p w14:paraId="218C12A4" w14:textId="77777777" w:rsidR="007B7F59" w:rsidRPr="00C1556E" w:rsidRDefault="007B7F59" w:rsidP="007B7F59">
      <w:pPr>
        <w:tabs>
          <w:tab w:val="right" w:pos="9029"/>
        </w:tabs>
        <w:spacing w:after="0" w:line="240" w:lineRule="auto"/>
        <w:ind w:left="0"/>
        <w:contextualSpacing/>
        <w:rPr>
          <w:rFonts w:eastAsia="Times New Roman" w:cs="Arial"/>
          <w:b/>
          <w:szCs w:val="24"/>
          <w:lang w:val="en-ZA"/>
        </w:rPr>
      </w:pPr>
      <w:r w:rsidRPr="00C1556E">
        <w:rPr>
          <w:rFonts w:eastAsia="Times New Roman" w:cs="Arial"/>
          <w:b/>
          <w:szCs w:val="24"/>
          <w:lang w:val="en-ZA"/>
        </w:rPr>
        <w:tab/>
      </w:r>
    </w:p>
    <w:p w14:paraId="15B3D1F5" w14:textId="77777777" w:rsidR="007B7F59" w:rsidRPr="00C1556E" w:rsidRDefault="007B7F59" w:rsidP="007B7F59">
      <w:pPr>
        <w:tabs>
          <w:tab w:val="right" w:pos="9029"/>
        </w:tabs>
        <w:spacing w:after="0" w:line="240" w:lineRule="auto"/>
        <w:ind w:left="0"/>
        <w:contextualSpacing/>
        <w:rPr>
          <w:rFonts w:eastAsia="Times New Roman" w:cs="Arial"/>
          <w:szCs w:val="24"/>
          <w:lang w:val="en-ZA"/>
        </w:rPr>
      </w:pPr>
      <w:r w:rsidRPr="00C1556E">
        <w:rPr>
          <w:rFonts w:eastAsia="Times New Roman" w:cs="Arial"/>
          <w:szCs w:val="24"/>
          <w:lang w:val="en-ZA"/>
        </w:rPr>
        <w:t>and</w:t>
      </w:r>
    </w:p>
    <w:p w14:paraId="2E8A5635" w14:textId="77777777" w:rsidR="007B7F59" w:rsidRPr="00C1556E" w:rsidRDefault="007B7F59" w:rsidP="007B7F59">
      <w:pPr>
        <w:tabs>
          <w:tab w:val="right" w:pos="9029"/>
        </w:tabs>
        <w:spacing w:after="0" w:line="240" w:lineRule="auto"/>
        <w:ind w:left="0"/>
        <w:contextualSpacing/>
        <w:rPr>
          <w:rFonts w:eastAsia="Times New Roman" w:cs="Arial"/>
          <w:szCs w:val="24"/>
          <w:lang w:val="en-ZA"/>
        </w:rPr>
      </w:pPr>
    </w:p>
    <w:p w14:paraId="0C19FD8F" w14:textId="77777777" w:rsidR="007B7F59" w:rsidRPr="00C1556E" w:rsidRDefault="00C1556E" w:rsidP="007B7F59">
      <w:pPr>
        <w:tabs>
          <w:tab w:val="right" w:pos="9029"/>
        </w:tabs>
        <w:spacing w:after="0" w:line="240" w:lineRule="auto"/>
        <w:ind w:left="0"/>
        <w:contextualSpacing/>
        <w:rPr>
          <w:rFonts w:eastAsia="Times New Roman" w:cs="Arial"/>
          <w:szCs w:val="24"/>
          <w:lang w:val="en-ZA"/>
        </w:rPr>
      </w:pPr>
      <w:r>
        <w:rPr>
          <w:rFonts w:cs="Arial"/>
          <w:b/>
          <w:szCs w:val="24"/>
        </w:rPr>
        <w:t>ESTATE AGENCY AFFAIRS BOARD</w:t>
      </w:r>
      <w:r w:rsidR="007B7F59" w:rsidRPr="00C1556E">
        <w:rPr>
          <w:rFonts w:cs="Arial"/>
          <w:b/>
          <w:szCs w:val="24"/>
          <w:lang w:val="en-ZA"/>
        </w:rPr>
        <w:tab/>
      </w:r>
      <w:r w:rsidR="007B7F59" w:rsidRPr="00C1556E">
        <w:rPr>
          <w:rFonts w:eastAsia="Times New Roman" w:cs="Arial"/>
          <w:szCs w:val="24"/>
          <w:lang w:val="en-ZA"/>
        </w:rPr>
        <w:t>Respondent</w:t>
      </w:r>
    </w:p>
    <w:p w14:paraId="3401B3F4" w14:textId="77777777" w:rsidR="00BB740A" w:rsidRDefault="00BB740A" w:rsidP="007B7F59">
      <w:pPr>
        <w:tabs>
          <w:tab w:val="right" w:pos="9029"/>
        </w:tabs>
        <w:spacing w:after="0" w:line="240" w:lineRule="auto"/>
        <w:ind w:left="0"/>
        <w:contextualSpacing/>
        <w:rPr>
          <w:rFonts w:eastAsia="Times New Roman" w:cs="Arial"/>
          <w:szCs w:val="24"/>
          <w:lang w:val="en-ZA"/>
        </w:rPr>
      </w:pPr>
    </w:p>
    <w:p w14:paraId="5C21034E" w14:textId="01B9125A"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b/>
      </w:r>
    </w:p>
    <w:p w14:paraId="7988B58D" w14:textId="521EC6AF" w:rsidR="007B7F59" w:rsidRPr="007B7F59" w:rsidRDefault="00604CB8" w:rsidP="00604CB8">
      <w:pPr>
        <w:ind w:left="0"/>
        <w:rPr>
          <w:rFonts w:cs="Arial"/>
          <w:b/>
          <w:szCs w:val="24"/>
        </w:rPr>
      </w:pPr>
      <w:r w:rsidRPr="00604CB8">
        <w:rPr>
          <w:rFonts w:cs="Arial"/>
          <w:b/>
          <w:szCs w:val="24"/>
        </w:rPr>
        <w:t xml:space="preserve">Delivered: This judgment was prepared and authored by the Judge whose name is reflected and is handed down electronically by circulation to the Parties/their legal representatives by email and by uploading it to the electronic file of this matter on CaseLines. The date for hand down is deemed to be </w:t>
      </w:r>
      <w:r w:rsidR="00BB740A">
        <w:rPr>
          <w:rFonts w:cs="Arial"/>
          <w:b/>
          <w:szCs w:val="24"/>
        </w:rPr>
        <w:t>07 March</w:t>
      </w:r>
      <w:r w:rsidRPr="00604CB8">
        <w:rPr>
          <w:rFonts w:cs="Arial"/>
          <w:b/>
          <w:szCs w:val="24"/>
        </w:rPr>
        <w:t xml:space="preserve">                                  2024.</w:t>
      </w:r>
    </w:p>
    <w:p w14:paraId="0CA9E9D9" w14:textId="77777777" w:rsidR="007B7F59" w:rsidRPr="007B7F59" w:rsidRDefault="007B7F59" w:rsidP="007B7F59">
      <w:pPr>
        <w:pBdr>
          <w:bottom w:val="single" w:sz="12" w:space="1" w:color="auto"/>
        </w:pBdr>
        <w:spacing w:after="0" w:line="240" w:lineRule="auto"/>
        <w:ind w:left="0"/>
        <w:jc w:val="left"/>
        <w:rPr>
          <w:rFonts w:cs="Arial"/>
          <w:b/>
          <w:szCs w:val="24"/>
          <w:lang w:val="en-ZA"/>
        </w:rPr>
      </w:pPr>
    </w:p>
    <w:p w14:paraId="6D7CD49D" w14:textId="77777777" w:rsidR="007B7F59" w:rsidRPr="007B7F59" w:rsidRDefault="007B7F59" w:rsidP="007B7F59">
      <w:pPr>
        <w:spacing w:after="0" w:line="240" w:lineRule="auto"/>
        <w:ind w:left="1440" w:hanging="1440"/>
        <w:jc w:val="left"/>
        <w:rPr>
          <w:rFonts w:cs="Arial"/>
          <w:b/>
          <w:szCs w:val="24"/>
        </w:rPr>
      </w:pPr>
    </w:p>
    <w:p w14:paraId="68F5805F"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2D4AA7BC" w14:textId="2AF14A28" w:rsidR="007B7F59" w:rsidRPr="00464EEF" w:rsidRDefault="00C1556E" w:rsidP="007B7F59">
      <w:pPr>
        <w:spacing w:after="0" w:line="240" w:lineRule="auto"/>
        <w:ind w:left="0"/>
        <w:jc w:val="left"/>
        <w:rPr>
          <w:rFonts w:cs="Arial"/>
          <w:b/>
          <w:bCs/>
          <w:szCs w:val="24"/>
          <w:u w:val="single"/>
        </w:rPr>
      </w:pPr>
      <w:r w:rsidRPr="00464EEF">
        <w:rPr>
          <w:rFonts w:cs="Arial"/>
          <w:b/>
          <w:bCs/>
          <w:szCs w:val="24"/>
          <w:u w:val="single"/>
        </w:rPr>
        <w:t>CARRIM AJ</w:t>
      </w:r>
    </w:p>
    <w:p w14:paraId="555B022C" w14:textId="77777777" w:rsidR="007B7F59" w:rsidRPr="007B7F59" w:rsidRDefault="007B7F59" w:rsidP="007B7F59">
      <w:pPr>
        <w:spacing w:after="0" w:line="240" w:lineRule="auto"/>
        <w:ind w:left="0"/>
        <w:jc w:val="left"/>
        <w:rPr>
          <w:rFonts w:cs="Arial"/>
          <w:szCs w:val="24"/>
        </w:rPr>
      </w:pPr>
    </w:p>
    <w:p w14:paraId="1F6F2A67" w14:textId="77777777" w:rsidR="00794DCB" w:rsidRPr="00FA5B39" w:rsidRDefault="00C1556E" w:rsidP="007B7F59">
      <w:pPr>
        <w:pStyle w:val="JudgmentHeading"/>
      </w:pPr>
      <w:r w:rsidRPr="00FA5B39">
        <w:lastRenderedPageBreak/>
        <w:t>Introduction</w:t>
      </w:r>
    </w:p>
    <w:p w14:paraId="06BA71C9" w14:textId="5D397B1D" w:rsidR="00C1556E" w:rsidRPr="001422BA" w:rsidRDefault="001D1774" w:rsidP="001D1774">
      <w:pPr>
        <w:pStyle w:val="JudgmentNumbered"/>
        <w:numPr>
          <w:ilvl w:val="0"/>
          <w:numId w:val="0"/>
        </w:numPr>
        <w:ind w:left="567" w:hanging="567"/>
        <w:rPr>
          <w:szCs w:val="24"/>
        </w:rPr>
      </w:pPr>
      <w:r w:rsidRPr="001422BA">
        <w:rPr>
          <w:szCs w:val="24"/>
        </w:rPr>
        <w:t>[1]</w:t>
      </w:r>
      <w:r w:rsidRPr="001422BA">
        <w:rPr>
          <w:szCs w:val="24"/>
        </w:rPr>
        <w:tab/>
      </w:r>
      <w:r w:rsidR="00C1556E" w:rsidRPr="001422BA">
        <w:rPr>
          <w:szCs w:val="24"/>
        </w:rPr>
        <w:t>This is an application for summary judgment. The parties will be referred to as they are in the main action proceedings for ease of reference.</w:t>
      </w:r>
    </w:p>
    <w:p w14:paraId="39ABE09F" w14:textId="315677AA" w:rsidR="00C1556E" w:rsidRPr="00734D0B" w:rsidRDefault="001D1774" w:rsidP="001D1774">
      <w:pPr>
        <w:pStyle w:val="JudgmentNumbered"/>
        <w:numPr>
          <w:ilvl w:val="0"/>
          <w:numId w:val="0"/>
        </w:numPr>
        <w:ind w:left="567" w:hanging="567"/>
      </w:pPr>
      <w:r w:rsidRPr="00734D0B">
        <w:t>[2]</w:t>
      </w:r>
      <w:r w:rsidRPr="00734D0B">
        <w:tab/>
      </w:r>
      <w:r w:rsidR="00C1556E" w:rsidRPr="00734D0B">
        <w:t xml:space="preserve">The </w:t>
      </w:r>
      <w:r w:rsidR="00C5268B">
        <w:t>p</w:t>
      </w:r>
      <w:r w:rsidR="00C1556E" w:rsidRPr="00734D0B">
        <w:t xml:space="preserve">laintiff has instituted an application for summary judgment in terms of which the </w:t>
      </w:r>
      <w:r w:rsidR="00C5268B">
        <w:t>p</w:t>
      </w:r>
      <w:r w:rsidR="00C1556E" w:rsidRPr="00734D0B">
        <w:t>laintiff seeks payment in the amount of R938</w:t>
      </w:r>
      <w:r w:rsidR="00C1556E">
        <w:t xml:space="preserve"> </w:t>
      </w:r>
      <w:r w:rsidR="00C1556E" w:rsidRPr="00734D0B">
        <w:t xml:space="preserve">051.96. The </w:t>
      </w:r>
      <w:r w:rsidR="00C5268B">
        <w:t>p</w:t>
      </w:r>
      <w:r w:rsidR="00C1556E" w:rsidRPr="00734D0B">
        <w:t xml:space="preserve">laintiff claims that it has suffered the aforesaid monetary loss as a result of theft by an estate agent in 2019. </w:t>
      </w:r>
    </w:p>
    <w:p w14:paraId="6BA97634" w14:textId="436914F9" w:rsidR="00FC1B37" w:rsidRPr="00734D0B" w:rsidRDefault="001D1774" w:rsidP="001D1774">
      <w:pPr>
        <w:pStyle w:val="JudgmentNumbered"/>
        <w:numPr>
          <w:ilvl w:val="0"/>
          <w:numId w:val="0"/>
        </w:numPr>
        <w:ind w:left="567" w:hanging="567"/>
      </w:pPr>
      <w:r w:rsidRPr="00734D0B">
        <w:t>[3]</w:t>
      </w:r>
      <w:r w:rsidRPr="00734D0B">
        <w:tab/>
      </w:r>
      <w:r w:rsidR="00FC1B37" w:rsidRPr="00734D0B">
        <w:t>The claim is brought in terms of section 18 of the Estate Agency Affairs Act</w:t>
      </w:r>
      <w:r w:rsidR="008C1744">
        <w:rPr>
          <w:rStyle w:val="FootnoteReference"/>
        </w:rPr>
        <w:footnoteReference w:id="1"/>
      </w:r>
      <w:r w:rsidR="00FC1B37" w:rsidRPr="00734D0B">
        <w:t xml:space="preserve"> (</w:t>
      </w:r>
      <w:r w:rsidR="008C1744">
        <w:t>“</w:t>
      </w:r>
      <w:r w:rsidR="00FC1B37" w:rsidRPr="00734D0B">
        <w:t>the Act</w:t>
      </w:r>
      <w:r w:rsidR="008C1744">
        <w:t>”</w:t>
      </w:r>
      <w:r w:rsidR="00FC1B37" w:rsidRPr="00734D0B">
        <w:t xml:space="preserve">), in circumstances where the </w:t>
      </w:r>
      <w:r w:rsidR="0003384A">
        <w:t>d</w:t>
      </w:r>
      <w:r w:rsidR="00FC1B37" w:rsidRPr="00734D0B">
        <w:t>efendant</w:t>
      </w:r>
      <w:r w:rsidR="00FC1B37">
        <w:t xml:space="preserve"> </w:t>
      </w:r>
      <w:r w:rsidR="00FC1B37" w:rsidRPr="00734D0B">
        <w:t xml:space="preserve">has a legal obligation to reimburse the </w:t>
      </w:r>
      <w:r w:rsidR="00C5268B">
        <w:t>p</w:t>
      </w:r>
      <w:r w:rsidR="00FC1B37" w:rsidRPr="00734D0B">
        <w:t xml:space="preserve">laintiff, given that the </w:t>
      </w:r>
      <w:r w:rsidR="00C5268B">
        <w:t>p</w:t>
      </w:r>
      <w:r w:rsidR="00FC1B37" w:rsidRPr="00734D0B">
        <w:t>laintiff suffered pecuniary loss by reason of the theft of trust money by person/s holding fidelity fund certificates and practising as estate agents under the Act.</w:t>
      </w:r>
    </w:p>
    <w:p w14:paraId="7B8BA814" w14:textId="62892BFB" w:rsidR="00A35A9E" w:rsidRDefault="001D1774" w:rsidP="001D1774">
      <w:pPr>
        <w:pStyle w:val="JudgmentNumbered"/>
        <w:numPr>
          <w:ilvl w:val="0"/>
          <w:numId w:val="0"/>
        </w:numPr>
        <w:ind w:left="567" w:hanging="567"/>
      </w:pPr>
      <w:r>
        <w:t>[4]</w:t>
      </w:r>
      <w:r>
        <w:tab/>
      </w:r>
      <w:r w:rsidR="00FC1B37" w:rsidRPr="00734D0B">
        <w:t xml:space="preserve">The </w:t>
      </w:r>
      <w:r w:rsidR="009651CD">
        <w:t>d</w:t>
      </w:r>
      <w:r w:rsidR="00FC1B37" w:rsidRPr="00734D0B">
        <w:t xml:space="preserve">efendant denies indebtedness to the </w:t>
      </w:r>
      <w:r w:rsidR="00C5268B">
        <w:t>p</w:t>
      </w:r>
      <w:r w:rsidR="00FC1B37" w:rsidRPr="00734D0B">
        <w:t xml:space="preserve">laintiff and that it is liable for the monies appropriated by the estate agent in question, and thus has </w:t>
      </w:r>
      <w:r w:rsidR="00FC1B37" w:rsidRPr="00734D0B">
        <w:rPr>
          <w:i/>
          <w:iCs/>
        </w:rPr>
        <w:t>a bona fide</w:t>
      </w:r>
      <w:r w:rsidR="00FC1B37" w:rsidRPr="00734D0B">
        <w:t xml:space="preserve"> defence to the </w:t>
      </w:r>
      <w:r w:rsidR="00BF1474">
        <w:t>p</w:t>
      </w:r>
      <w:r w:rsidR="00FC1B37" w:rsidRPr="00734D0B">
        <w:t xml:space="preserve">laintiff’s claim. </w:t>
      </w:r>
    </w:p>
    <w:p w14:paraId="4899C76C" w14:textId="4B6EBD5C" w:rsidR="00FC1B37" w:rsidRPr="00FA5B39" w:rsidRDefault="00FC1B37" w:rsidP="00FC1B37">
      <w:pPr>
        <w:pStyle w:val="JudgmentHeading"/>
      </w:pPr>
      <w:r w:rsidRPr="00FA5B39">
        <w:t>Background</w:t>
      </w:r>
    </w:p>
    <w:p w14:paraId="46924E04" w14:textId="27181923" w:rsidR="00FC1B37" w:rsidRPr="00FC1B37" w:rsidRDefault="001D1774" w:rsidP="001D1774">
      <w:pPr>
        <w:pStyle w:val="JudgmentNumbered"/>
        <w:numPr>
          <w:ilvl w:val="0"/>
          <w:numId w:val="0"/>
        </w:numPr>
        <w:ind w:left="567" w:hanging="567"/>
      </w:pPr>
      <w:r w:rsidRPr="00FC1B37">
        <w:t>[5]</w:t>
      </w:r>
      <w:r w:rsidRPr="00FC1B37">
        <w:tab/>
      </w:r>
      <w:r w:rsidR="00FC1B37" w:rsidRPr="00FC1B37">
        <w:rPr>
          <w:kern w:val="2"/>
          <w:szCs w:val="24"/>
          <w:lang w:val="en-ZA"/>
          <w14:ligatures w14:val="standardContextual"/>
        </w:rPr>
        <w:t>Fortress and Liebenberg were in possession of valid fidelity fund certificates issued by the defendant.</w:t>
      </w:r>
    </w:p>
    <w:p w14:paraId="60D5CA0B" w14:textId="189F01E3" w:rsidR="00AD29B9" w:rsidRPr="00734D0B" w:rsidRDefault="001D1774" w:rsidP="001D1774">
      <w:pPr>
        <w:pStyle w:val="JudgmentNumbered"/>
        <w:numPr>
          <w:ilvl w:val="0"/>
          <w:numId w:val="0"/>
        </w:numPr>
        <w:ind w:left="567" w:hanging="567"/>
      </w:pPr>
      <w:r w:rsidRPr="00734D0B">
        <w:t>[6]</w:t>
      </w:r>
      <w:r w:rsidRPr="00734D0B">
        <w:tab/>
      </w:r>
      <w:r w:rsidR="00AD29B9" w:rsidRPr="00734D0B">
        <w:t xml:space="preserve">Liebenberg provided the </w:t>
      </w:r>
      <w:r w:rsidR="004B0EE6">
        <w:t>p</w:t>
      </w:r>
      <w:r w:rsidR="00AD29B9" w:rsidRPr="00734D0B">
        <w:t xml:space="preserve">laintiff with minutes of general meetings, special resolutions purportedly pertaining to Drimar BC, a signed loan agreement bearing the signatures of Johanna Zeitsman (“Zeitsman”) and Elizabeth Nel (“Nel”), a document instructing the </w:t>
      </w:r>
      <w:r w:rsidR="00BF1474">
        <w:t>p</w:t>
      </w:r>
      <w:r w:rsidR="00AD29B9" w:rsidRPr="00734D0B">
        <w:t xml:space="preserve">laintiff to release the funds and a debit order instruction bearing the names and apparent signatures of Zeitsman and Nel.  The </w:t>
      </w:r>
      <w:r w:rsidR="00BF1474">
        <w:t>p</w:t>
      </w:r>
      <w:r w:rsidR="00AD29B9" w:rsidRPr="00734D0B">
        <w:t>laintiff released the funds and paid the first tranche of the loan being R1</w:t>
      </w:r>
      <w:r w:rsidR="00AD29B9">
        <w:t xml:space="preserve"> </w:t>
      </w:r>
      <w:r w:rsidR="00AD29B9" w:rsidRPr="00734D0B">
        <w:t>mil</w:t>
      </w:r>
      <w:r w:rsidR="00AD29B9">
        <w:t>l</w:t>
      </w:r>
      <w:r w:rsidR="00AD29B9" w:rsidRPr="00734D0B">
        <w:t xml:space="preserve">ion into the trust account of Fortress allegedly for the benefit of Drimar BC. </w:t>
      </w:r>
    </w:p>
    <w:p w14:paraId="2919457E" w14:textId="46251B8E" w:rsidR="00D475F2" w:rsidRPr="00734D0B" w:rsidRDefault="001D1774" w:rsidP="001D1774">
      <w:pPr>
        <w:pStyle w:val="JudgmentNumbered"/>
        <w:numPr>
          <w:ilvl w:val="0"/>
          <w:numId w:val="0"/>
        </w:numPr>
        <w:ind w:left="567" w:hanging="567"/>
      </w:pPr>
      <w:r w:rsidRPr="00734D0B">
        <w:lastRenderedPageBreak/>
        <w:t>[7]</w:t>
      </w:r>
      <w:r w:rsidRPr="00734D0B">
        <w:tab/>
      </w:r>
      <w:r w:rsidR="00D475F2" w:rsidRPr="00734D0B">
        <w:t xml:space="preserve">Only two monthly repayments were made to the </w:t>
      </w:r>
      <w:r w:rsidR="00BF1474">
        <w:t>p</w:t>
      </w:r>
      <w:r w:rsidR="00D475F2" w:rsidRPr="00734D0B">
        <w:t xml:space="preserve">laintiff by Liebenberg, whereafter no further payments were made and Liebenberg could not be located. </w:t>
      </w:r>
    </w:p>
    <w:p w14:paraId="0658CA3C" w14:textId="3FD0BE66" w:rsidR="00D475F2" w:rsidRPr="00734D0B" w:rsidRDefault="001D1774" w:rsidP="001D1774">
      <w:pPr>
        <w:pStyle w:val="JudgmentNumbered"/>
        <w:numPr>
          <w:ilvl w:val="0"/>
          <w:numId w:val="0"/>
        </w:numPr>
        <w:ind w:left="567" w:hanging="567"/>
      </w:pPr>
      <w:r w:rsidRPr="00734D0B">
        <w:t>[8]</w:t>
      </w:r>
      <w:r w:rsidRPr="00734D0B">
        <w:tab/>
      </w:r>
      <w:r w:rsidR="00D475F2" w:rsidRPr="00734D0B">
        <w:t xml:space="preserve">During October 2020 the </w:t>
      </w:r>
      <w:r w:rsidR="00BF1474">
        <w:t>p</w:t>
      </w:r>
      <w:r w:rsidR="00D475F2" w:rsidRPr="00734D0B">
        <w:t xml:space="preserve">laintiff approached Zeitsman and Nel and discovered that neither had signed any of the documents presented to it by Liebenberg.  </w:t>
      </w:r>
    </w:p>
    <w:p w14:paraId="56AA8D53" w14:textId="102A3F72" w:rsidR="00D475F2" w:rsidRPr="00734D0B" w:rsidRDefault="001D1774" w:rsidP="001D1774">
      <w:pPr>
        <w:pStyle w:val="JudgmentNumbered"/>
        <w:numPr>
          <w:ilvl w:val="0"/>
          <w:numId w:val="0"/>
        </w:numPr>
        <w:ind w:left="567" w:hanging="567"/>
      </w:pPr>
      <w:r w:rsidRPr="00734D0B">
        <w:t>[9]</w:t>
      </w:r>
      <w:r w:rsidRPr="00734D0B">
        <w:tab/>
      </w:r>
      <w:r w:rsidR="00D475F2" w:rsidRPr="00734D0B">
        <w:t xml:space="preserve">On 20 November 2020 the </w:t>
      </w:r>
      <w:r w:rsidR="00BF1474">
        <w:t>p</w:t>
      </w:r>
      <w:r w:rsidR="00D475F2" w:rsidRPr="00734D0B">
        <w:t xml:space="preserve">laintiff received a letter from Drimar’s attorney informing it that the signatures on all the documents supplied to the </w:t>
      </w:r>
      <w:r w:rsidR="00BF1474">
        <w:t>p</w:t>
      </w:r>
      <w:r w:rsidR="00D475F2" w:rsidRPr="00734D0B">
        <w:t>laintiff by Liebenberg had been forged and that Drimar BC had no knowledge of the purported loan and that no funds were ever received by it in respect of the forged loan agreement. A copy of this letter has not been attached to the pleadings or to the application for summary judgment.</w:t>
      </w:r>
    </w:p>
    <w:p w14:paraId="4E1D0044" w14:textId="16853AB7" w:rsidR="00D475F2" w:rsidRPr="00734D0B" w:rsidRDefault="001D1774" w:rsidP="001D1774">
      <w:pPr>
        <w:pStyle w:val="JudgmentNumbered"/>
        <w:numPr>
          <w:ilvl w:val="0"/>
          <w:numId w:val="0"/>
        </w:numPr>
        <w:ind w:left="567" w:hanging="567"/>
      </w:pPr>
      <w:r w:rsidRPr="00734D0B">
        <w:t>[10]</w:t>
      </w:r>
      <w:r w:rsidRPr="00734D0B">
        <w:tab/>
      </w:r>
      <w:r w:rsidR="00D475F2" w:rsidRPr="00734D0B">
        <w:t xml:space="preserve">The </w:t>
      </w:r>
      <w:r w:rsidR="00BF1474">
        <w:t>p</w:t>
      </w:r>
      <w:r w:rsidR="00D475F2" w:rsidRPr="00734D0B">
        <w:t xml:space="preserve">laintiff alleges that it has exhausted all rights of action and legal remedies against Liebenberg and Fortress, and accordingly seeks to recover its pecuniary losses of R938 051.96 from the </w:t>
      </w:r>
      <w:r w:rsidR="00BF1474">
        <w:t>d</w:t>
      </w:r>
      <w:r w:rsidR="00D475F2" w:rsidRPr="00734D0B">
        <w:t>efendant.</w:t>
      </w:r>
    </w:p>
    <w:p w14:paraId="32A8FEF3" w14:textId="392D3634" w:rsidR="007B7F59" w:rsidRPr="00477929" w:rsidRDefault="001D1774" w:rsidP="001D1774">
      <w:pPr>
        <w:pStyle w:val="JudgmentNumbered"/>
        <w:numPr>
          <w:ilvl w:val="0"/>
          <w:numId w:val="0"/>
        </w:numPr>
        <w:ind w:left="567" w:hanging="567"/>
        <w:rPr>
          <w:szCs w:val="24"/>
        </w:rPr>
      </w:pPr>
      <w:r w:rsidRPr="00477929">
        <w:rPr>
          <w:szCs w:val="24"/>
        </w:rPr>
        <w:t>[11]</w:t>
      </w:r>
      <w:r w:rsidRPr="00477929">
        <w:rPr>
          <w:szCs w:val="24"/>
        </w:rPr>
        <w:tab/>
      </w:r>
      <w:r w:rsidR="00D475F2" w:rsidRPr="00734D0B">
        <w:t>In its plea</w:t>
      </w:r>
      <w:r w:rsidR="00D475F2">
        <w:t>,</w:t>
      </w:r>
      <w:r w:rsidR="00D475F2" w:rsidRPr="00734D0B">
        <w:t xml:space="preserve"> the </w:t>
      </w:r>
      <w:r w:rsidR="00BF1474">
        <w:t>d</w:t>
      </w:r>
      <w:r w:rsidR="00D475F2" w:rsidRPr="00734D0B">
        <w:t>efendant admits that Liebenberg and Fortress had been issued with Fidelity Fund Certificates on 11 February and 11 March 2019 respectively but</w:t>
      </w:r>
      <w:r w:rsidR="00D475F2" w:rsidRPr="00D475F2">
        <w:t xml:space="preserve"> </w:t>
      </w:r>
      <w:r w:rsidR="00D475F2" w:rsidRPr="00D475F2">
        <w:rPr>
          <w:szCs w:val="24"/>
        </w:rPr>
        <w:t xml:space="preserve">denies knowledge of the loan and the embezzlement and puts the </w:t>
      </w:r>
      <w:r w:rsidR="00D969DF">
        <w:rPr>
          <w:szCs w:val="24"/>
        </w:rPr>
        <w:t>p</w:t>
      </w:r>
      <w:r w:rsidR="00D475F2" w:rsidRPr="00D475F2">
        <w:rPr>
          <w:szCs w:val="24"/>
        </w:rPr>
        <w:t>laintiff to the proof of its claim.  In addition, it raises two special pleas:</w:t>
      </w:r>
    </w:p>
    <w:p w14:paraId="19319FDE" w14:textId="5FC58FDF" w:rsidR="009E0F4E" w:rsidRPr="001D1774" w:rsidRDefault="001D1774" w:rsidP="001D1774">
      <w:pPr>
        <w:ind w:left="1134" w:hanging="567"/>
        <w:rPr>
          <w:rFonts w:cs="Arial"/>
          <w:szCs w:val="24"/>
        </w:rPr>
      </w:pPr>
      <w:r w:rsidRPr="00734D0B">
        <w:rPr>
          <w:rFonts w:cs="Arial"/>
          <w:kern w:val="2"/>
          <w:szCs w:val="24"/>
          <w:lang w:val="en-ZA"/>
          <w14:ligatures w14:val="standardContextual"/>
        </w:rPr>
        <w:t>a.</w:t>
      </w:r>
      <w:r w:rsidRPr="00734D0B">
        <w:rPr>
          <w:rFonts w:cs="Arial"/>
          <w:kern w:val="2"/>
          <w:szCs w:val="24"/>
          <w:lang w:val="en-ZA"/>
          <w14:ligatures w14:val="standardContextual"/>
        </w:rPr>
        <w:tab/>
      </w:r>
      <w:r w:rsidR="009E0F4E" w:rsidRPr="001D1774">
        <w:rPr>
          <w:rFonts w:cs="Arial"/>
          <w:szCs w:val="24"/>
        </w:rPr>
        <w:t>Special Plea 1: Failure to exhaust all remedies; and</w:t>
      </w:r>
    </w:p>
    <w:p w14:paraId="5EEB0D2D" w14:textId="21DBB7B1" w:rsidR="007B7F59" w:rsidRPr="001D1774" w:rsidRDefault="001D1774" w:rsidP="001D1774">
      <w:pPr>
        <w:ind w:left="1134" w:hanging="567"/>
        <w:rPr>
          <w:rFonts w:cs="Arial"/>
          <w:szCs w:val="24"/>
        </w:rPr>
      </w:pPr>
      <w:r>
        <w:rPr>
          <w:rFonts w:cs="Arial"/>
          <w:kern w:val="2"/>
          <w:szCs w:val="24"/>
          <w:lang w:val="en-ZA"/>
          <w14:ligatures w14:val="standardContextual"/>
        </w:rPr>
        <w:t>b.</w:t>
      </w:r>
      <w:r>
        <w:rPr>
          <w:rFonts w:cs="Arial"/>
          <w:kern w:val="2"/>
          <w:szCs w:val="24"/>
          <w:lang w:val="en-ZA"/>
          <w14:ligatures w14:val="standardContextual"/>
        </w:rPr>
        <w:tab/>
      </w:r>
      <w:r w:rsidR="009E0F4E" w:rsidRPr="001D1774">
        <w:rPr>
          <w:rFonts w:cs="Arial"/>
          <w:szCs w:val="24"/>
        </w:rPr>
        <w:t>Special Plea 2: Entrustment</w:t>
      </w:r>
    </w:p>
    <w:p w14:paraId="4BFAF8D5" w14:textId="77777777" w:rsidR="00477929" w:rsidRPr="00477929" w:rsidRDefault="00477929" w:rsidP="00477929">
      <w:pPr>
        <w:pStyle w:val="ListParagraph"/>
        <w:spacing w:line="360" w:lineRule="auto"/>
        <w:ind w:left="1134"/>
        <w:jc w:val="both"/>
        <w:rPr>
          <w:rFonts w:ascii="Arial" w:hAnsi="Arial" w:cs="Arial"/>
          <w:sz w:val="24"/>
          <w:szCs w:val="24"/>
        </w:rPr>
      </w:pPr>
    </w:p>
    <w:p w14:paraId="126A5ECB" w14:textId="3303D49E" w:rsidR="00477929" w:rsidRPr="00734D0B" w:rsidRDefault="001D1774" w:rsidP="001D1774">
      <w:pPr>
        <w:pStyle w:val="JudgmentNumbered"/>
        <w:numPr>
          <w:ilvl w:val="0"/>
          <w:numId w:val="0"/>
        </w:numPr>
        <w:ind w:left="567" w:hanging="567"/>
      </w:pPr>
      <w:r w:rsidRPr="00734D0B">
        <w:t>[12]</w:t>
      </w:r>
      <w:r w:rsidRPr="00734D0B">
        <w:tab/>
      </w:r>
      <w:r w:rsidR="00477929" w:rsidRPr="00734D0B">
        <w:t xml:space="preserve">The </w:t>
      </w:r>
      <w:r w:rsidR="00BF1474">
        <w:t>p</w:t>
      </w:r>
      <w:r w:rsidR="00477929" w:rsidRPr="00734D0B">
        <w:t>laintiff has now brought this summary judgment application (“the application”) on the basis that the defences raised by the</w:t>
      </w:r>
      <w:r w:rsidR="00850D1D">
        <w:t xml:space="preserve"> defendant</w:t>
      </w:r>
      <w:r w:rsidR="00477929" w:rsidRPr="00734D0B">
        <w:t xml:space="preserve"> are not </w:t>
      </w:r>
      <w:r w:rsidR="00477929" w:rsidRPr="00734D0B">
        <w:rPr>
          <w:i/>
          <w:iCs/>
        </w:rPr>
        <w:t xml:space="preserve">bona fide </w:t>
      </w:r>
      <w:r w:rsidR="00477929" w:rsidRPr="00734D0B">
        <w:t xml:space="preserve">and have been raised merely to cause delay. </w:t>
      </w:r>
    </w:p>
    <w:p w14:paraId="46E86329" w14:textId="51C5F98F" w:rsidR="00477929" w:rsidRPr="00734D0B" w:rsidRDefault="001D1774" w:rsidP="001D1774">
      <w:pPr>
        <w:pStyle w:val="JudgmentNumbered"/>
        <w:numPr>
          <w:ilvl w:val="0"/>
          <w:numId w:val="0"/>
        </w:numPr>
        <w:ind w:left="567" w:hanging="567"/>
      </w:pPr>
      <w:r w:rsidRPr="00734D0B">
        <w:t>[13]</w:t>
      </w:r>
      <w:r w:rsidRPr="00734D0B">
        <w:tab/>
      </w:r>
      <w:r w:rsidR="00477929" w:rsidRPr="00734D0B">
        <w:t xml:space="preserve">The </w:t>
      </w:r>
      <w:r w:rsidR="00BF1474">
        <w:t>d</w:t>
      </w:r>
      <w:r w:rsidR="00477929" w:rsidRPr="00734D0B">
        <w:t>efendant opposes the application and relies in the main on the two special pleas raised in its plea.</w:t>
      </w:r>
    </w:p>
    <w:p w14:paraId="18FFA8EA" w14:textId="5F3A11B3" w:rsidR="00850D1D" w:rsidRPr="00850D1D" w:rsidRDefault="001D1774" w:rsidP="001D1774">
      <w:pPr>
        <w:pStyle w:val="JudgmentNumbered"/>
        <w:numPr>
          <w:ilvl w:val="0"/>
          <w:numId w:val="0"/>
        </w:numPr>
        <w:ind w:left="567" w:hanging="567"/>
        <w:rPr>
          <w:lang w:val="en-ZA"/>
        </w:rPr>
      </w:pPr>
      <w:r w:rsidRPr="00850D1D">
        <w:rPr>
          <w:lang w:val="en-ZA"/>
        </w:rPr>
        <w:t>[14]</w:t>
      </w:r>
      <w:r w:rsidRPr="00850D1D">
        <w:rPr>
          <w:lang w:val="en-ZA"/>
        </w:rPr>
        <w:tab/>
      </w:r>
      <w:r w:rsidR="00477929" w:rsidRPr="00734D0B">
        <w:t>Before turning to consider the provisions of the Act, it is important to set out the approach of our courts to Uniform Rule 32.</w:t>
      </w:r>
      <w:r w:rsidR="00850D1D">
        <w:t xml:space="preserve"> </w:t>
      </w:r>
    </w:p>
    <w:p w14:paraId="4845A6AE" w14:textId="491D6F21" w:rsidR="00850D1D" w:rsidRPr="00850D1D" w:rsidRDefault="00850D1D" w:rsidP="00850D1D">
      <w:pPr>
        <w:pStyle w:val="JudgmentNumbered"/>
        <w:numPr>
          <w:ilvl w:val="0"/>
          <w:numId w:val="0"/>
        </w:numPr>
        <w:rPr>
          <w:i/>
          <w:lang w:val="en-ZA"/>
        </w:rPr>
      </w:pPr>
      <w:r w:rsidRPr="00850D1D">
        <w:rPr>
          <w:i/>
          <w:lang w:val="en-ZA"/>
        </w:rPr>
        <w:lastRenderedPageBreak/>
        <w:t>Uniform Rule 32</w:t>
      </w:r>
    </w:p>
    <w:p w14:paraId="50E2B474" w14:textId="4804122D" w:rsidR="00477929" w:rsidRPr="00850D1D" w:rsidRDefault="001D1774" w:rsidP="001D1774">
      <w:pPr>
        <w:pStyle w:val="JudgmentNumbered"/>
        <w:numPr>
          <w:ilvl w:val="0"/>
          <w:numId w:val="0"/>
        </w:numPr>
        <w:ind w:left="567" w:hanging="567"/>
        <w:rPr>
          <w:lang w:val="en-ZA"/>
        </w:rPr>
      </w:pPr>
      <w:r w:rsidRPr="00850D1D">
        <w:rPr>
          <w:lang w:val="en-ZA"/>
        </w:rPr>
        <w:t>[15]</w:t>
      </w:r>
      <w:r w:rsidRPr="00850D1D">
        <w:rPr>
          <w:lang w:val="en-ZA"/>
        </w:rPr>
        <w:tab/>
      </w:r>
      <w:r w:rsidR="00850D1D">
        <w:t xml:space="preserve">Rule 32 was amended </w:t>
      </w:r>
      <w:r w:rsidR="00850D1D" w:rsidRPr="00850D1D">
        <w:rPr>
          <w:lang w:val="en-ZA"/>
        </w:rPr>
        <w:t xml:space="preserve">with effect from 1 July 2019 by Government Notice R842 of 31 May 2019. Rule 32(1) to (4) now reads as follows: </w:t>
      </w:r>
    </w:p>
    <w:p w14:paraId="0D6A74BC" w14:textId="0405C5B7" w:rsidR="00477929" w:rsidRPr="00CC7614" w:rsidRDefault="00CC7614" w:rsidP="00CC7614">
      <w:pPr>
        <w:pStyle w:val="NormalWeb"/>
        <w:shd w:val="clear" w:color="auto" w:fill="FFFFFF"/>
        <w:spacing w:line="360" w:lineRule="auto"/>
        <w:ind w:left="1440"/>
        <w:jc w:val="both"/>
        <w:rPr>
          <w:rFonts w:ascii="Arial" w:hAnsi="Arial" w:cs="Arial"/>
          <w:sz w:val="22"/>
          <w:szCs w:val="22"/>
        </w:rPr>
      </w:pPr>
      <w:r w:rsidRPr="00CC7614">
        <w:rPr>
          <w:sz w:val="22"/>
        </w:rPr>
        <w:t>“</w:t>
      </w:r>
      <w:bookmarkStart w:id="0" w:name="_Hlk160150273"/>
      <w:r w:rsidR="00477929" w:rsidRPr="00CC7614">
        <w:rPr>
          <w:rStyle w:val="Emphasis"/>
          <w:rFonts w:ascii="Arial" w:eastAsiaTheme="majorEastAsia" w:hAnsi="Arial" w:cs="Arial"/>
          <w:i w:val="0"/>
          <w:sz w:val="22"/>
          <w:szCs w:val="22"/>
        </w:rPr>
        <w:t xml:space="preserve">(1) The </w:t>
      </w:r>
      <w:r w:rsidR="004E7255">
        <w:rPr>
          <w:rStyle w:val="Emphasis"/>
          <w:rFonts w:ascii="Arial" w:eastAsiaTheme="majorEastAsia" w:hAnsi="Arial" w:cs="Arial"/>
          <w:i w:val="0"/>
          <w:sz w:val="22"/>
          <w:szCs w:val="22"/>
        </w:rPr>
        <w:t>p</w:t>
      </w:r>
      <w:r w:rsidR="00477929" w:rsidRPr="00CC7614">
        <w:rPr>
          <w:rStyle w:val="Emphasis"/>
          <w:rFonts w:ascii="Arial" w:eastAsiaTheme="majorEastAsia" w:hAnsi="Arial" w:cs="Arial"/>
          <w:i w:val="0"/>
          <w:sz w:val="22"/>
          <w:szCs w:val="22"/>
        </w:rPr>
        <w:t xml:space="preserve">laintiff may, after the </w:t>
      </w:r>
      <w:r w:rsidR="004E7255">
        <w:rPr>
          <w:rStyle w:val="Emphasis"/>
          <w:rFonts w:ascii="Arial" w:eastAsiaTheme="majorEastAsia" w:hAnsi="Arial" w:cs="Arial"/>
          <w:i w:val="0"/>
          <w:sz w:val="22"/>
          <w:szCs w:val="22"/>
        </w:rPr>
        <w:t>d</w:t>
      </w:r>
      <w:r w:rsidR="00477929" w:rsidRPr="00CC7614">
        <w:rPr>
          <w:rStyle w:val="Emphasis"/>
          <w:rFonts w:ascii="Arial" w:eastAsiaTheme="majorEastAsia" w:hAnsi="Arial" w:cs="Arial"/>
          <w:i w:val="0"/>
          <w:sz w:val="22"/>
          <w:szCs w:val="22"/>
        </w:rPr>
        <w:t>efendant has delivered a plea, apply to court for summary judgment on each of such claims in the summons as is only-</w:t>
      </w:r>
    </w:p>
    <w:p w14:paraId="480D17A1" w14:textId="77777777" w:rsidR="00477929" w:rsidRPr="00CC7614" w:rsidRDefault="00477929" w:rsidP="00CC7614">
      <w:pPr>
        <w:pStyle w:val="NormalWeb"/>
        <w:shd w:val="clear" w:color="auto" w:fill="FFFFFF"/>
        <w:spacing w:line="360" w:lineRule="auto"/>
        <w:ind w:left="1440"/>
        <w:jc w:val="both"/>
        <w:rPr>
          <w:rFonts w:ascii="Arial" w:hAnsi="Arial" w:cs="Arial"/>
          <w:sz w:val="22"/>
          <w:szCs w:val="22"/>
        </w:rPr>
      </w:pPr>
      <w:r w:rsidRPr="00CC7614">
        <w:rPr>
          <w:rStyle w:val="Emphasis"/>
          <w:rFonts w:ascii="Arial" w:eastAsiaTheme="majorEastAsia" w:hAnsi="Arial" w:cs="Arial"/>
          <w:i w:val="0"/>
          <w:sz w:val="22"/>
          <w:szCs w:val="22"/>
        </w:rPr>
        <w:t> (a)    on a liquid document;</w:t>
      </w:r>
    </w:p>
    <w:p w14:paraId="39505255" w14:textId="77777777" w:rsidR="00477929" w:rsidRPr="00CC7614" w:rsidRDefault="00477929" w:rsidP="00CC7614">
      <w:pPr>
        <w:pStyle w:val="NormalWeb"/>
        <w:shd w:val="clear" w:color="auto" w:fill="FFFFFF"/>
        <w:spacing w:line="360" w:lineRule="auto"/>
        <w:ind w:left="1440"/>
        <w:jc w:val="both"/>
        <w:rPr>
          <w:rFonts w:ascii="Arial" w:hAnsi="Arial" w:cs="Arial"/>
          <w:sz w:val="22"/>
          <w:szCs w:val="22"/>
        </w:rPr>
      </w:pPr>
      <w:r w:rsidRPr="00CC7614">
        <w:rPr>
          <w:rStyle w:val="Emphasis"/>
          <w:rFonts w:ascii="Arial" w:eastAsiaTheme="majorEastAsia" w:hAnsi="Arial" w:cs="Arial"/>
          <w:i w:val="0"/>
          <w:sz w:val="22"/>
          <w:szCs w:val="22"/>
        </w:rPr>
        <w:t> (b)    for a liquidated amount in money;</w:t>
      </w:r>
    </w:p>
    <w:p w14:paraId="59734E5C" w14:textId="77777777" w:rsidR="00477929" w:rsidRPr="00CC7614" w:rsidRDefault="00477929" w:rsidP="00CC7614">
      <w:pPr>
        <w:pStyle w:val="NormalWeb"/>
        <w:shd w:val="clear" w:color="auto" w:fill="FFFFFF"/>
        <w:spacing w:line="360" w:lineRule="auto"/>
        <w:ind w:left="1440"/>
        <w:jc w:val="both"/>
        <w:rPr>
          <w:rFonts w:ascii="Arial" w:hAnsi="Arial" w:cs="Arial"/>
          <w:sz w:val="22"/>
          <w:szCs w:val="22"/>
        </w:rPr>
      </w:pPr>
      <w:r w:rsidRPr="00CC7614">
        <w:rPr>
          <w:rStyle w:val="Emphasis"/>
          <w:rFonts w:ascii="Arial" w:eastAsiaTheme="majorEastAsia" w:hAnsi="Arial" w:cs="Arial"/>
          <w:i w:val="0"/>
          <w:sz w:val="22"/>
          <w:szCs w:val="22"/>
        </w:rPr>
        <w:t> (c)    for delivery of specified movable property; or</w:t>
      </w:r>
    </w:p>
    <w:p w14:paraId="37920434" w14:textId="77777777" w:rsidR="00477929" w:rsidRPr="00CC7614" w:rsidRDefault="00477929" w:rsidP="00CC7614">
      <w:pPr>
        <w:pStyle w:val="NormalWeb"/>
        <w:shd w:val="clear" w:color="auto" w:fill="FFFFFF"/>
        <w:spacing w:line="360" w:lineRule="auto"/>
        <w:ind w:left="1440"/>
        <w:jc w:val="both"/>
        <w:rPr>
          <w:rFonts w:ascii="Arial" w:hAnsi="Arial" w:cs="Arial"/>
          <w:sz w:val="22"/>
          <w:szCs w:val="22"/>
        </w:rPr>
      </w:pPr>
      <w:r w:rsidRPr="00CC7614">
        <w:rPr>
          <w:rStyle w:val="Emphasis"/>
          <w:rFonts w:ascii="Arial" w:eastAsiaTheme="majorEastAsia" w:hAnsi="Arial" w:cs="Arial"/>
          <w:i w:val="0"/>
          <w:sz w:val="22"/>
          <w:szCs w:val="22"/>
        </w:rPr>
        <w:t> (d)    for ejectment;</w:t>
      </w:r>
    </w:p>
    <w:p w14:paraId="77B7FE21" w14:textId="77777777" w:rsidR="00477929" w:rsidRPr="00CC7614" w:rsidRDefault="00477929" w:rsidP="00CC7614">
      <w:pPr>
        <w:pStyle w:val="NormalWeb"/>
        <w:shd w:val="clear" w:color="auto" w:fill="FFFFFF"/>
        <w:spacing w:line="360" w:lineRule="auto"/>
        <w:ind w:left="1440"/>
        <w:jc w:val="both"/>
        <w:rPr>
          <w:rFonts w:ascii="Arial" w:hAnsi="Arial" w:cs="Arial"/>
          <w:sz w:val="22"/>
          <w:szCs w:val="22"/>
        </w:rPr>
      </w:pPr>
      <w:r w:rsidRPr="00CC7614">
        <w:rPr>
          <w:rStyle w:val="Emphasis"/>
          <w:rFonts w:ascii="Arial" w:eastAsiaTheme="majorEastAsia" w:hAnsi="Arial" w:cs="Arial"/>
          <w:i w:val="0"/>
          <w:sz w:val="22"/>
          <w:szCs w:val="22"/>
        </w:rPr>
        <w:t>together with any claim for interest and costs.</w:t>
      </w:r>
    </w:p>
    <w:p w14:paraId="689D1D84" w14:textId="54153024" w:rsidR="00477929" w:rsidRPr="00CC7614" w:rsidRDefault="00477929" w:rsidP="00CC7614">
      <w:pPr>
        <w:pStyle w:val="NormalWeb"/>
        <w:shd w:val="clear" w:color="auto" w:fill="FFFFFF"/>
        <w:spacing w:line="360" w:lineRule="auto"/>
        <w:ind w:left="1440"/>
        <w:jc w:val="both"/>
        <w:rPr>
          <w:rFonts w:ascii="Arial" w:hAnsi="Arial" w:cs="Arial"/>
          <w:sz w:val="22"/>
          <w:szCs w:val="22"/>
        </w:rPr>
      </w:pPr>
      <w:r w:rsidRPr="00CC7614">
        <w:rPr>
          <w:rStyle w:val="Emphasis"/>
          <w:rFonts w:ascii="Arial" w:eastAsiaTheme="majorEastAsia" w:hAnsi="Arial" w:cs="Arial"/>
          <w:i w:val="0"/>
          <w:sz w:val="22"/>
          <w:szCs w:val="22"/>
        </w:rPr>
        <w:t>(2)(a) Within 15 days after the date of delivery of the plea, the </w:t>
      </w:r>
      <w:r w:rsidR="00D33F5D">
        <w:rPr>
          <w:rStyle w:val="Emphasis"/>
          <w:rFonts w:ascii="Arial" w:eastAsiaTheme="majorEastAsia" w:hAnsi="Arial" w:cs="Arial"/>
          <w:i w:val="0"/>
          <w:sz w:val="22"/>
          <w:szCs w:val="22"/>
        </w:rPr>
        <w:t>p</w:t>
      </w:r>
      <w:r w:rsidRPr="00CC7614">
        <w:rPr>
          <w:rStyle w:val="Emphasis"/>
          <w:rFonts w:ascii="Arial" w:eastAsiaTheme="majorEastAsia" w:hAnsi="Arial" w:cs="Arial"/>
          <w:i w:val="0"/>
          <w:sz w:val="22"/>
          <w:szCs w:val="22"/>
        </w:rPr>
        <w:t xml:space="preserve">laintiff shall deliver a notice of application for summary judgment, together with an affidavit made by the </w:t>
      </w:r>
      <w:r w:rsidR="00D33F5D">
        <w:rPr>
          <w:rStyle w:val="Emphasis"/>
          <w:rFonts w:ascii="Arial" w:eastAsiaTheme="majorEastAsia" w:hAnsi="Arial" w:cs="Arial"/>
          <w:i w:val="0"/>
          <w:sz w:val="22"/>
          <w:szCs w:val="22"/>
        </w:rPr>
        <w:t>p</w:t>
      </w:r>
      <w:r w:rsidRPr="00CC7614">
        <w:rPr>
          <w:rStyle w:val="Emphasis"/>
          <w:rFonts w:ascii="Arial" w:eastAsiaTheme="majorEastAsia" w:hAnsi="Arial" w:cs="Arial"/>
          <w:i w:val="0"/>
          <w:sz w:val="22"/>
          <w:szCs w:val="22"/>
        </w:rPr>
        <w:t>laintiff or by any other person who can swear positively to the facts.</w:t>
      </w:r>
    </w:p>
    <w:p w14:paraId="6E822F96" w14:textId="738CE011" w:rsidR="00477929" w:rsidRPr="00CC7614" w:rsidRDefault="00477929" w:rsidP="00CC7614">
      <w:pPr>
        <w:pStyle w:val="NormalWeb"/>
        <w:shd w:val="clear" w:color="auto" w:fill="FFFFFF"/>
        <w:spacing w:line="360" w:lineRule="auto"/>
        <w:ind w:left="1440"/>
        <w:jc w:val="both"/>
        <w:rPr>
          <w:rFonts w:ascii="Arial" w:hAnsi="Arial" w:cs="Arial"/>
          <w:sz w:val="22"/>
          <w:szCs w:val="22"/>
        </w:rPr>
      </w:pPr>
      <w:r w:rsidRPr="00CC7614">
        <w:rPr>
          <w:rStyle w:val="Emphasis"/>
          <w:rFonts w:ascii="Arial" w:eastAsiaTheme="majorEastAsia" w:hAnsi="Arial" w:cs="Arial"/>
          <w:i w:val="0"/>
          <w:sz w:val="22"/>
          <w:szCs w:val="22"/>
        </w:rPr>
        <w:t xml:space="preserve">(b) The </w:t>
      </w:r>
      <w:r w:rsidR="00D33F5D">
        <w:rPr>
          <w:rStyle w:val="Emphasis"/>
          <w:rFonts w:ascii="Arial" w:eastAsiaTheme="majorEastAsia" w:hAnsi="Arial" w:cs="Arial"/>
          <w:i w:val="0"/>
          <w:sz w:val="22"/>
          <w:szCs w:val="22"/>
        </w:rPr>
        <w:t>p</w:t>
      </w:r>
      <w:r w:rsidRPr="00CC7614">
        <w:rPr>
          <w:rStyle w:val="Emphasis"/>
          <w:rFonts w:ascii="Arial" w:eastAsiaTheme="majorEastAsia" w:hAnsi="Arial" w:cs="Arial"/>
          <w:i w:val="0"/>
          <w:sz w:val="22"/>
          <w:szCs w:val="22"/>
        </w:rPr>
        <w:t xml:space="preserve">laintiff shall, in the affidavit referred to in subrule (2)(a) verify the cause of action and the amount, if any, claimed, and identify any point of law relied upon and the facts upon which the </w:t>
      </w:r>
      <w:r w:rsidR="00D33F5D">
        <w:rPr>
          <w:rStyle w:val="Emphasis"/>
          <w:rFonts w:ascii="Arial" w:eastAsiaTheme="majorEastAsia" w:hAnsi="Arial" w:cs="Arial"/>
          <w:i w:val="0"/>
          <w:sz w:val="22"/>
          <w:szCs w:val="22"/>
        </w:rPr>
        <w:t>p</w:t>
      </w:r>
      <w:r w:rsidRPr="00CC7614">
        <w:rPr>
          <w:rStyle w:val="Emphasis"/>
          <w:rFonts w:ascii="Arial" w:eastAsiaTheme="majorEastAsia" w:hAnsi="Arial" w:cs="Arial"/>
          <w:i w:val="0"/>
          <w:sz w:val="22"/>
          <w:szCs w:val="22"/>
        </w:rPr>
        <w:t xml:space="preserve">laintiff's claim is based, and </w:t>
      </w:r>
      <w:r w:rsidRPr="00CC7614">
        <w:rPr>
          <w:rStyle w:val="Emphasis"/>
          <w:rFonts w:ascii="Arial" w:eastAsiaTheme="majorEastAsia" w:hAnsi="Arial" w:cs="Arial"/>
          <w:i w:val="0"/>
          <w:sz w:val="22"/>
          <w:szCs w:val="22"/>
          <w:u w:val="single"/>
        </w:rPr>
        <w:t>explain briefly why the defence as pleaded does not raise any issue for trial</w:t>
      </w:r>
      <w:r w:rsidRPr="00CC7614">
        <w:rPr>
          <w:rStyle w:val="Emphasis"/>
          <w:rFonts w:ascii="Arial" w:eastAsiaTheme="majorEastAsia" w:hAnsi="Arial" w:cs="Arial"/>
          <w:i w:val="0"/>
          <w:sz w:val="22"/>
          <w:szCs w:val="22"/>
        </w:rPr>
        <w:t>.</w:t>
      </w:r>
    </w:p>
    <w:p w14:paraId="13687725" w14:textId="77777777" w:rsidR="00477929" w:rsidRPr="00CC7614" w:rsidRDefault="00477929" w:rsidP="00CC7614">
      <w:pPr>
        <w:pStyle w:val="NormalWeb"/>
        <w:shd w:val="clear" w:color="auto" w:fill="FFFFFF"/>
        <w:spacing w:line="360" w:lineRule="auto"/>
        <w:ind w:left="1440"/>
        <w:jc w:val="both"/>
        <w:rPr>
          <w:rFonts w:ascii="Arial" w:hAnsi="Arial" w:cs="Arial"/>
          <w:sz w:val="22"/>
          <w:szCs w:val="22"/>
        </w:rPr>
      </w:pPr>
      <w:r w:rsidRPr="00CC7614">
        <w:rPr>
          <w:rStyle w:val="Emphasis"/>
          <w:rFonts w:ascii="Arial" w:eastAsiaTheme="majorEastAsia" w:hAnsi="Arial" w:cs="Arial"/>
          <w:i w:val="0"/>
          <w:sz w:val="22"/>
          <w:szCs w:val="22"/>
        </w:rPr>
        <w:t>(c) If the claim is founded on a liquid document a copy of the document shall be annexed to such affidavit and the notice of application for summary judgment shall state that the application will be set down for hearing on a stated day not being less than 15 days from the date of the delivery thereof.</w:t>
      </w:r>
    </w:p>
    <w:p w14:paraId="29AF7E6A" w14:textId="7E7CF3A5" w:rsidR="00477929" w:rsidRPr="00CC7614" w:rsidRDefault="00477929" w:rsidP="00CC7614">
      <w:pPr>
        <w:pStyle w:val="NormalWeb"/>
        <w:shd w:val="clear" w:color="auto" w:fill="FFFFFF"/>
        <w:spacing w:line="360" w:lineRule="auto"/>
        <w:ind w:left="1440"/>
        <w:jc w:val="both"/>
        <w:rPr>
          <w:rFonts w:ascii="Arial" w:hAnsi="Arial" w:cs="Arial"/>
          <w:sz w:val="22"/>
          <w:szCs w:val="22"/>
        </w:rPr>
      </w:pPr>
      <w:r w:rsidRPr="00CC7614">
        <w:rPr>
          <w:rStyle w:val="Emphasis"/>
          <w:rFonts w:ascii="Arial" w:eastAsiaTheme="majorEastAsia" w:hAnsi="Arial" w:cs="Arial"/>
          <w:i w:val="0"/>
          <w:sz w:val="22"/>
          <w:szCs w:val="22"/>
        </w:rPr>
        <w:t>(3) The </w:t>
      </w:r>
      <w:r w:rsidR="00EE7F9E">
        <w:rPr>
          <w:rStyle w:val="Emphasis"/>
          <w:rFonts w:ascii="Arial" w:eastAsiaTheme="majorEastAsia" w:hAnsi="Arial" w:cs="Arial"/>
          <w:i w:val="0"/>
          <w:sz w:val="22"/>
          <w:szCs w:val="22"/>
        </w:rPr>
        <w:t>d</w:t>
      </w:r>
      <w:r w:rsidRPr="00CC7614">
        <w:rPr>
          <w:rStyle w:val="Emphasis"/>
          <w:rFonts w:ascii="Arial" w:eastAsiaTheme="majorEastAsia" w:hAnsi="Arial" w:cs="Arial"/>
          <w:i w:val="0"/>
          <w:sz w:val="22"/>
          <w:szCs w:val="22"/>
        </w:rPr>
        <w:t>efendant may-</w:t>
      </w:r>
    </w:p>
    <w:p w14:paraId="4C917648" w14:textId="1A9BEA5E" w:rsidR="00477929" w:rsidRPr="00CC7614" w:rsidRDefault="00477929" w:rsidP="00CC7614">
      <w:pPr>
        <w:pStyle w:val="NormalWeb"/>
        <w:shd w:val="clear" w:color="auto" w:fill="FFFFFF"/>
        <w:spacing w:line="360" w:lineRule="auto"/>
        <w:ind w:left="1440"/>
        <w:jc w:val="both"/>
        <w:rPr>
          <w:rFonts w:ascii="Arial" w:hAnsi="Arial" w:cs="Arial"/>
          <w:sz w:val="22"/>
          <w:szCs w:val="22"/>
        </w:rPr>
      </w:pPr>
      <w:r w:rsidRPr="00CC7614">
        <w:rPr>
          <w:rStyle w:val="Emphasis"/>
          <w:rFonts w:ascii="Arial" w:eastAsiaTheme="majorEastAsia" w:hAnsi="Arial" w:cs="Arial"/>
          <w:i w:val="0"/>
          <w:sz w:val="22"/>
          <w:szCs w:val="22"/>
        </w:rPr>
        <w:t xml:space="preserve"> (a)    give security to the </w:t>
      </w:r>
      <w:r w:rsidR="00EE7F9E">
        <w:rPr>
          <w:rStyle w:val="Emphasis"/>
          <w:rFonts w:ascii="Arial" w:eastAsiaTheme="majorEastAsia" w:hAnsi="Arial" w:cs="Arial"/>
          <w:i w:val="0"/>
          <w:sz w:val="22"/>
          <w:szCs w:val="22"/>
        </w:rPr>
        <w:t>p</w:t>
      </w:r>
      <w:r w:rsidRPr="00CC7614">
        <w:rPr>
          <w:rStyle w:val="Emphasis"/>
          <w:rFonts w:ascii="Arial" w:eastAsiaTheme="majorEastAsia" w:hAnsi="Arial" w:cs="Arial"/>
          <w:i w:val="0"/>
          <w:sz w:val="22"/>
          <w:szCs w:val="22"/>
        </w:rPr>
        <w:t>laintiff to the satisfaction of the court for any judgment including costs which may be given; or</w:t>
      </w:r>
    </w:p>
    <w:p w14:paraId="037396D4" w14:textId="0729E50A" w:rsidR="00477929" w:rsidRPr="00CC7614" w:rsidRDefault="00477929" w:rsidP="00CC7614">
      <w:pPr>
        <w:pStyle w:val="NormalWeb"/>
        <w:shd w:val="clear" w:color="auto" w:fill="FFFFFF"/>
        <w:spacing w:line="360" w:lineRule="auto"/>
        <w:ind w:left="1440"/>
        <w:jc w:val="both"/>
        <w:rPr>
          <w:rFonts w:ascii="Arial" w:hAnsi="Arial" w:cs="Arial"/>
          <w:sz w:val="22"/>
          <w:szCs w:val="22"/>
        </w:rPr>
      </w:pPr>
      <w:r w:rsidRPr="00CC7614">
        <w:rPr>
          <w:rStyle w:val="Emphasis"/>
          <w:rFonts w:ascii="Arial" w:eastAsiaTheme="majorEastAsia" w:hAnsi="Arial" w:cs="Arial"/>
          <w:i w:val="0"/>
          <w:sz w:val="22"/>
          <w:szCs w:val="22"/>
        </w:rPr>
        <w:t xml:space="preserve"> (b)    satisfy the court by affidavit (which shall be delivered five days before the day on which the application is to be heard), or with the leave of the court by </w:t>
      </w:r>
      <w:r w:rsidRPr="00CC7614">
        <w:rPr>
          <w:rStyle w:val="Emphasis"/>
          <w:rFonts w:ascii="Arial" w:eastAsiaTheme="majorEastAsia" w:hAnsi="Arial" w:cs="Arial"/>
          <w:i w:val="0"/>
          <w:sz w:val="22"/>
          <w:szCs w:val="22"/>
        </w:rPr>
        <w:lastRenderedPageBreak/>
        <w:t xml:space="preserve">oral evidence of such </w:t>
      </w:r>
      <w:r w:rsidR="00EE7F9E">
        <w:rPr>
          <w:rStyle w:val="Emphasis"/>
          <w:rFonts w:ascii="Arial" w:eastAsiaTheme="majorEastAsia" w:hAnsi="Arial" w:cs="Arial"/>
          <w:i w:val="0"/>
          <w:sz w:val="22"/>
          <w:szCs w:val="22"/>
        </w:rPr>
        <w:t>d</w:t>
      </w:r>
      <w:r w:rsidRPr="00CC7614">
        <w:rPr>
          <w:rStyle w:val="Emphasis"/>
          <w:rFonts w:ascii="Arial" w:eastAsiaTheme="majorEastAsia" w:hAnsi="Arial" w:cs="Arial"/>
          <w:i w:val="0"/>
          <w:sz w:val="22"/>
          <w:szCs w:val="22"/>
        </w:rPr>
        <w:t xml:space="preserve">efendant or of any other person who can swear positively to the fact that the </w:t>
      </w:r>
      <w:r w:rsidR="00EE7F9E">
        <w:rPr>
          <w:rStyle w:val="Emphasis"/>
          <w:rFonts w:ascii="Arial" w:eastAsiaTheme="majorEastAsia" w:hAnsi="Arial" w:cs="Arial"/>
          <w:i w:val="0"/>
          <w:sz w:val="22"/>
          <w:szCs w:val="22"/>
        </w:rPr>
        <w:t>d</w:t>
      </w:r>
      <w:r w:rsidRPr="00CC7614">
        <w:rPr>
          <w:rStyle w:val="Emphasis"/>
          <w:rFonts w:ascii="Arial" w:eastAsiaTheme="majorEastAsia" w:hAnsi="Arial" w:cs="Arial"/>
          <w:i w:val="0"/>
          <w:sz w:val="22"/>
          <w:szCs w:val="22"/>
        </w:rPr>
        <w:t xml:space="preserve">efendant has a </w:t>
      </w:r>
      <w:r w:rsidRPr="00FA5B39">
        <w:rPr>
          <w:rStyle w:val="Emphasis"/>
          <w:rFonts w:ascii="Arial" w:eastAsiaTheme="majorEastAsia" w:hAnsi="Arial" w:cs="Arial"/>
          <w:sz w:val="22"/>
          <w:szCs w:val="22"/>
        </w:rPr>
        <w:t>bona fide</w:t>
      </w:r>
      <w:r w:rsidRPr="00CC7614">
        <w:rPr>
          <w:rStyle w:val="Emphasis"/>
          <w:rFonts w:ascii="Arial" w:eastAsiaTheme="majorEastAsia" w:hAnsi="Arial" w:cs="Arial"/>
          <w:i w:val="0"/>
          <w:sz w:val="22"/>
          <w:szCs w:val="22"/>
        </w:rPr>
        <w:t xml:space="preserve"> defence to the action; such affidavit or evidence shall disclose fully the nature and grounds of the defence and the material facts relied upon therefor.</w:t>
      </w:r>
    </w:p>
    <w:p w14:paraId="046E015C" w14:textId="6D445592" w:rsidR="00477929" w:rsidRPr="00CC7614" w:rsidRDefault="00477929" w:rsidP="00CC7614">
      <w:pPr>
        <w:pStyle w:val="NormalWeb"/>
        <w:shd w:val="clear" w:color="auto" w:fill="FFFFFF"/>
        <w:spacing w:line="360" w:lineRule="auto"/>
        <w:ind w:left="1440"/>
        <w:jc w:val="both"/>
        <w:rPr>
          <w:rFonts w:ascii="Arial" w:hAnsi="Arial" w:cs="Arial"/>
          <w:sz w:val="22"/>
          <w:szCs w:val="22"/>
        </w:rPr>
      </w:pPr>
      <w:r w:rsidRPr="00CC7614">
        <w:rPr>
          <w:rStyle w:val="Emphasis"/>
          <w:rFonts w:ascii="Arial" w:eastAsiaTheme="majorEastAsia" w:hAnsi="Arial" w:cs="Arial"/>
          <w:i w:val="0"/>
          <w:sz w:val="22"/>
          <w:szCs w:val="22"/>
        </w:rPr>
        <w:t xml:space="preserve">(4) No evidence may be adduced by the </w:t>
      </w:r>
      <w:r w:rsidR="00EE7F9E">
        <w:rPr>
          <w:rStyle w:val="Emphasis"/>
          <w:rFonts w:ascii="Arial" w:eastAsiaTheme="majorEastAsia" w:hAnsi="Arial" w:cs="Arial"/>
          <w:i w:val="0"/>
          <w:sz w:val="22"/>
          <w:szCs w:val="22"/>
        </w:rPr>
        <w:t>p</w:t>
      </w:r>
      <w:r w:rsidRPr="00CC7614">
        <w:rPr>
          <w:rStyle w:val="Emphasis"/>
          <w:rFonts w:ascii="Arial" w:eastAsiaTheme="majorEastAsia" w:hAnsi="Arial" w:cs="Arial"/>
          <w:i w:val="0"/>
          <w:sz w:val="22"/>
          <w:szCs w:val="22"/>
        </w:rPr>
        <w:t>laintiff otherwise than by the affidavit referred to in subrule (2), nor may either party cross-examine any person who gives evidence orally or on affidavit: Provided that the court may put to any person who gives oral evidence such questions as it considers may elucidate the matter.</w:t>
      </w:r>
      <w:r w:rsidR="00CC7614" w:rsidRPr="00CC7614">
        <w:rPr>
          <w:rStyle w:val="Emphasis"/>
          <w:rFonts w:ascii="Arial" w:eastAsiaTheme="majorEastAsia" w:hAnsi="Arial" w:cs="Arial"/>
          <w:i w:val="0"/>
          <w:sz w:val="22"/>
          <w:szCs w:val="22"/>
        </w:rPr>
        <w:t>”</w:t>
      </w:r>
    </w:p>
    <w:bookmarkEnd w:id="0"/>
    <w:p w14:paraId="3F99425A" w14:textId="7777BFC0" w:rsidR="00477929" w:rsidRPr="00734D0B" w:rsidRDefault="001D1774" w:rsidP="001D1774">
      <w:pPr>
        <w:pStyle w:val="JudgmentNumbered"/>
        <w:numPr>
          <w:ilvl w:val="0"/>
          <w:numId w:val="0"/>
        </w:numPr>
        <w:ind w:left="567" w:hanging="567"/>
      </w:pPr>
      <w:r w:rsidRPr="00734D0B">
        <w:t>[16]</w:t>
      </w:r>
      <w:r w:rsidRPr="00734D0B">
        <w:tab/>
      </w:r>
      <w:r w:rsidR="00477929" w:rsidRPr="00734D0B">
        <w:t xml:space="preserve">Since 1 July 2019, summary judgment is now applied for after the delivery of a plea, and not after entry of appearance to defend as in the past.  </w:t>
      </w:r>
    </w:p>
    <w:p w14:paraId="394DF257" w14:textId="628084E9" w:rsidR="007B7F59" w:rsidRPr="00477929" w:rsidRDefault="001D1774" w:rsidP="001D1774">
      <w:pPr>
        <w:pStyle w:val="JudgmentNumbered"/>
        <w:numPr>
          <w:ilvl w:val="0"/>
          <w:numId w:val="0"/>
        </w:numPr>
        <w:ind w:left="567" w:hanging="567"/>
      </w:pPr>
      <w:r w:rsidRPr="00477929">
        <w:t>[17]</w:t>
      </w:r>
      <w:r w:rsidRPr="00477929">
        <w:tab/>
      </w:r>
      <w:r w:rsidR="00477929" w:rsidRPr="00734D0B">
        <w:rPr>
          <w:szCs w:val="24"/>
        </w:rPr>
        <w:t xml:space="preserve">Under the new </w:t>
      </w:r>
      <w:r w:rsidR="00477929">
        <w:rPr>
          <w:szCs w:val="24"/>
        </w:rPr>
        <w:t>r</w:t>
      </w:r>
      <w:r w:rsidR="00477929" w:rsidRPr="00734D0B">
        <w:rPr>
          <w:szCs w:val="24"/>
        </w:rPr>
        <w:t xml:space="preserve">ule the plea comes first, and the </w:t>
      </w:r>
      <w:r w:rsidR="00BF1474">
        <w:rPr>
          <w:szCs w:val="24"/>
        </w:rPr>
        <w:t>p</w:t>
      </w:r>
      <w:r w:rsidR="00477929" w:rsidRPr="00734D0B">
        <w:rPr>
          <w:szCs w:val="24"/>
        </w:rPr>
        <w:t>laintiff is required in its affidavit to explain briefly why the defence as pleaded does not raise any issue for trial.</w:t>
      </w:r>
    </w:p>
    <w:p w14:paraId="5C725119" w14:textId="38F32288" w:rsidR="00477929" w:rsidRPr="00DD2237" w:rsidRDefault="001D1774" w:rsidP="001D1774">
      <w:pPr>
        <w:pStyle w:val="JudgmentNumbered"/>
        <w:numPr>
          <w:ilvl w:val="0"/>
          <w:numId w:val="0"/>
        </w:numPr>
        <w:ind w:left="567" w:hanging="567"/>
      </w:pPr>
      <w:r w:rsidRPr="00DD2237">
        <w:t>[18]</w:t>
      </w:r>
      <w:r w:rsidRPr="00DD2237">
        <w:tab/>
      </w:r>
      <w:r w:rsidR="00DD2237" w:rsidRPr="00734D0B">
        <w:rPr>
          <w:szCs w:val="24"/>
        </w:rPr>
        <w:t xml:space="preserve">Under the old rule, the </w:t>
      </w:r>
      <w:r w:rsidR="00BF1474">
        <w:rPr>
          <w:szCs w:val="24"/>
        </w:rPr>
        <w:t>d</w:t>
      </w:r>
      <w:r w:rsidR="00DD2237" w:rsidRPr="00734D0B">
        <w:rPr>
          <w:szCs w:val="24"/>
        </w:rPr>
        <w:t>efendant</w:t>
      </w:r>
      <w:r w:rsidR="00DD2237">
        <w:rPr>
          <w:szCs w:val="24"/>
        </w:rPr>
        <w:t xml:space="preserve"> </w:t>
      </w:r>
      <w:r w:rsidR="00DD2237" w:rsidRPr="00734D0B">
        <w:rPr>
          <w:szCs w:val="24"/>
        </w:rPr>
        <w:t xml:space="preserve">was required to put its defence up in an affidavit while the </w:t>
      </w:r>
      <w:r w:rsidR="00BF1474">
        <w:rPr>
          <w:szCs w:val="24"/>
        </w:rPr>
        <w:t>p</w:t>
      </w:r>
      <w:r w:rsidR="00DD2237" w:rsidRPr="00734D0B">
        <w:rPr>
          <w:szCs w:val="24"/>
        </w:rPr>
        <w:t>laintiff was arguably not similarly burdened.</w:t>
      </w:r>
      <w:r w:rsidR="00DD2237" w:rsidRPr="00734D0B">
        <w:rPr>
          <w:rStyle w:val="FootnoteReference"/>
          <w:szCs w:val="24"/>
        </w:rPr>
        <w:footnoteReference w:id="2"/>
      </w:r>
      <w:r w:rsidR="00DD2237" w:rsidRPr="00734D0B">
        <w:rPr>
          <w:szCs w:val="24"/>
        </w:rPr>
        <w:t xml:space="preserve"> Under the old </w:t>
      </w:r>
      <w:r w:rsidR="004F3343">
        <w:rPr>
          <w:szCs w:val="24"/>
        </w:rPr>
        <w:t>r</w:t>
      </w:r>
      <w:r w:rsidR="00DD2237" w:rsidRPr="00734D0B">
        <w:rPr>
          <w:szCs w:val="24"/>
        </w:rPr>
        <w:t xml:space="preserve">ule all that the </w:t>
      </w:r>
      <w:r w:rsidR="00BF1474">
        <w:rPr>
          <w:szCs w:val="24"/>
        </w:rPr>
        <w:t>p</w:t>
      </w:r>
      <w:r w:rsidR="00DD2237" w:rsidRPr="00734D0B">
        <w:rPr>
          <w:szCs w:val="24"/>
        </w:rPr>
        <w:t>laintiff was required was to verify the cause of action</w:t>
      </w:r>
      <w:r w:rsidR="00DD2237">
        <w:rPr>
          <w:szCs w:val="24"/>
        </w:rPr>
        <w:t>.</w:t>
      </w:r>
    </w:p>
    <w:p w14:paraId="189F53B8" w14:textId="37D9C8A5" w:rsidR="006A55E5" w:rsidRDefault="001D1774" w:rsidP="001D1774">
      <w:pPr>
        <w:pStyle w:val="JudgmentNumbered"/>
        <w:numPr>
          <w:ilvl w:val="0"/>
          <w:numId w:val="0"/>
        </w:numPr>
        <w:ind w:left="567" w:hanging="567"/>
      </w:pPr>
      <w:r>
        <w:t>[19]</w:t>
      </w:r>
      <w:r>
        <w:tab/>
      </w:r>
      <w:r w:rsidR="00DD2237" w:rsidRPr="00734D0B">
        <w:t>The amended rule 32(2)(b) requires that</w:t>
      </w:r>
      <w:r w:rsidR="006A55E5">
        <w:t>:</w:t>
      </w:r>
    </w:p>
    <w:p w14:paraId="670893D0" w14:textId="30636E78" w:rsidR="00DD2237" w:rsidRPr="006A55E5" w:rsidRDefault="00DD2237" w:rsidP="006A55E5">
      <w:pPr>
        <w:pStyle w:val="JudgmentNumbered"/>
        <w:numPr>
          <w:ilvl w:val="0"/>
          <w:numId w:val="0"/>
        </w:numPr>
        <w:ind w:left="1287"/>
        <w:rPr>
          <w:sz w:val="22"/>
        </w:rPr>
      </w:pPr>
      <w:r w:rsidRPr="006A55E5">
        <w:rPr>
          <w:sz w:val="22"/>
        </w:rPr>
        <w:t xml:space="preserve">“The </w:t>
      </w:r>
      <w:r w:rsidR="0083112F">
        <w:rPr>
          <w:sz w:val="22"/>
        </w:rPr>
        <w:t>p</w:t>
      </w:r>
      <w:r w:rsidRPr="006A55E5">
        <w:rPr>
          <w:sz w:val="22"/>
        </w:rPr>
        <w:t xml:space="preserve">laintiff shall, in the affidavit referred to in subrule (2)(a) verify the cause of action and the amount, if any, claimed, and identify any point of law relied upon and the facts upon which the </w:t>
      </w:r>
      <w:r w:rsidR="0083112F">
        <w:rPr>
          <w:sz w:val="22"/>
        </w:rPr>
        <w:t>p</w:t>
      </w:r>
      <w:r w:rsidRPr="006A55E5">
        <w:rPr>
          <w:sz w:val="22"/>
        </w:rPr>
        <w:t xml:space="preserve">laintiff's claim is based, and </w:t>
      </w:r>
      <w:r w:rsidRPr="006A55E5">
        <w:rPr>
          <w:sz w:val="22"/>
          <w:u w:val="single"/>
        </w:rPr>
        <w:t>explain briefly</w:t>
      </w:r>
      <w:r w:rsidRPr="006A55E5">
        <w:rPr>
          <w:sz w:val="22"/>
        </w:rPr>
        <w:t xml:space="preserve"> why the defence as pleaded does not raise any issue for trial.”</w:t>
      </w:r>
    </w:p>
    <w:p w14:paraId="2BD8C2A6" w14:textId="55FBCC4F" w:rsidR="00DD2237" w:rsidRPr="00734D0B" w:rsidRDefault="001D1774" w:rsidP="001D1774">
      <w:pPr>
        <w:pStyle w:val="JudgmentNumbered"/>
        <w:numPr>
          <w:ilvl w:val="0"/>
          <w:numId w:val="0"/>
        </w:numPr>
        <w:ind w:left="567" w:hanging="567"/>
      </w:pPr>
      <w:r w:rsidRPr="00734D0B">
        <w:t>[20]</w:t>
      </w:r>
      <w:r w:rsidRPr="00734D0B">
        <w:tab/>
      </w:r>
      <w:r w:rsidR="00DD2237" w:rsidRPr="00734D0B">
        <w:t xml:space="preserve">Recent judgments have considered some of the implications of the amendments.   These debates have focused on the contents of the affidavits and what evidence or documents, if any, are required to be attached in the applicant’s affidavits under the heading “briefly explain”. </w:t>
      </w:r>
      <w:r w:rsidR="00DD2237" w:rsidRPr="00734D0B">
        <w:rPr>
          <w:rStyle w:val="FootnoteReference"/>
          <w:szCs w:val="24"/>
        </w:rPr>
        <w:footnoteReference w:id="3"/>
      </w:r>
      <w:r w:rsidR="00DD2237" w:rsidRPr="00734D0B">
        <w:t xml:space="preserve">  </w:t>
      </w:r>
    </w:p>
    <w:p w14:paraId="23944E17" w14:textId="05CE4A0F" w:rsidR="00DD2237" w:rsidRPr="00734D0B" w:rsidRDefault="001D1774" w:rsidP="001D1774">
      <w:pPr>
        <w:pStyle w:val="JudgmentNumbered"/>
        <w:numPr>
          <w:ilvl w:val="0"/>
          <w:numId w:val="0"/>
        </w:numPr>
        <w:ind w:left="567" w:hanging="567"/>
        <w:rPr>
          <w:rtl/>
        </w:rPr>
      </w:pPr>
      <w:r w:rsidRPr="00734D0B">
        <w:rPr>
          <w:rtl/>
        </w:rPr>
        <w:t>[21]</w:t>
      </w:r>
      <w:r w:rsidRPr="00734D0B">
        <w:rPr>
          <w:rtl/>
        </w:rPr>
        <w:tab/>
      </w:r>
      <w:r w:rsidR="00DD2237" w:rsidRPr="00734D0B">
        <w:t>I</w:t>
      </w:r>
      <w:r w:rsidR="00DD2237" w:rsidRPr="00734D0B">
        <w:rPr>
          <w:lang w:val="en-US"/>
        </w:rPr>
        <w:t>n</w:t>
      </w:r>
      <w:r w:rsidR="00DE0A5A">
        <w:rPr>
          <w:lang w:val="en-US"/>
        </w:rPr>
        <w:t xml:space="preserve"> </w:t>
      </w:r>
      <w:r w:rsidR="002E1840" w:rsidRPr="002E1840">
        <w:rPr>
          <w:bCs/>
          <w:i/>
          <w:iCs/>
        </w:rPr>
        <w:t>Absa Bank Limited v Mphahlele N</w:t>
      </w:r>
      <w:r w:rsidR="00C30A8A">
        <w:rPr>
          <w:bCs/>
          <w:i/>
          <w:iCs/>
        </w:rPr>
        <w:t>.</w:t>
      </w:r>
      <w:r w:rsidR="002E1840" w:rsidRPr="002E1840">
        <w:rPr>
          <w:bCs/>
          <w:i/>
          <w:iCs/>
        </w:rPr>
        <w:t>O</w:t>
      </w:r>
      <w:r w:rsidR="00DD2237" w:rsidRPr="00734D0B">
        <w:rPr>
          <w:i/>
          <w:iCs/>
          <w:lang w:val="en-US"/>
        </w:rPr>
        <w:t>, </w:t>
      </w:r>
      <w:r w:rsidR="00DD2237" w:rsidRPr="00734D0B">
        <w:rPr>
          <w:lang w:val="en-US"/>
        </w:rPr>
        <w:t>under the heading, “</w:t>
      </w:r>
      <w:r w:rsidR="00DD2237" w:rsidRPr="00734D0B">
        <w:rPr>
          <w:lang w:val="nl-NL"/>
        </w:rPr>
        <w:t>Is</w:t>
      </w:r>
      <w:r w:rsidR="00DD2237" w:rsidRPr="00734D0B">
        <w:t> </w:t>
      </w:r>
      <w:r w:rsidR="00DD2237" w:rsidRPr="00734D0B">
        <w:rPr>
          <w:lang w:val="en-US"/>
        </w:rPr>
        <w:t>a</w:t>
      </w:r>
      <w:r w:rsidR="00DD2237">
        <w:rPr>
          <w:lang w:val="en-US"/>
        </w:rPr>
        <w:t xml:space="preserve"> </w:t>
      </w:r>
      <w:r w:rsidR="00BF1474">
        <w:rPr>
          <w:lang w:val="en-US"/>
        </w:rPr>
        <w:t>p</w:t>
      </w:r>
      <w:r w:rsidR="00DD2237" w:rsidRPr="00734D0B">
        <w:rPr>
          <w:lang w:val="en-US"/>
        </w:rPr>
        <w:t>laintiff in a summary judgment application entitled to introduce evidence </w:t>
      </w:r>
      <w:r w:rsidR="00DD2237" w:rsidRPr="00734D0B">
        <w:t>in </w:t>
      </w:r>
      <w:r w:rsidR="00DD2237" w:rsidRPr="00734D0B">
        <w:rPr>
          <w:lang w:val="en-US"/>
        </w:rPr>
        <w:t xml:space="preserve">the affidavit in </w:t>
      </w:r>
      <w:r w:rsidR="00DD2237" w:rsidRPr="00734D0B">
        <w:rPr>
          <w:lang w:val="en-US"/>
        </w:rPr>
        <w:lastRenderedPageBreak/>
        <w:t>support of summary judgment in order to rebut a defence pleaded by a defendant?”, the court held that</w:t>
      </w:r>
      <w:r w:rsidR="00C30A8A">
        <w:rPr>
          <w:rStyle w:val="FootnoteReference"/>
          <w:lang w:val="en-US"/>
        </w:rPr>
        <w:footnoteReference w:id="4"/>
      </w:r>
      <w:r w:rsidR="00DD2237" w:rsidRPr="00734D0B">
        <w:rPr>
          <w:lang w:val="en-US"/>
        </w:rPr>
        <w:t>:</w:t>
      </w:r>
    </w:p>
    <w:p w14:paraId="0B848A98" w14:textId="1F5A741A" w:rsidR="00DD2237" w:rsidRDefault="00DD2237">
      <w:pPr>
        <w:spacing w:after="0"/>
        <w:ind w:left="1440" w:right="720"/>
        <w:rPr>
          <w:rFonts w:cs="Arial"/>
          <w:sz w:val="22"/>
          <w:lang w:val="en-ZA"/>
        </w:rPr>
      </w:pPr>
      <w:r w:rsidRPr="00145895">
        <w:rPr>
          <w:rFonts w:cs="Arial"/>
          <w:sz w:val="22"/>
          <w:lang w:val="en-ZA"/>
        </w:rPr>
        <w:t xml:space="preserve">“[A]s a general proposition, a </w:t>
      </w:r>
      <w:r w:rsidR="00C30A8A">
        <w:rPr>
          <w:rFonts w:cs="Arial"/>
          <w:sz w:val="22"/>
          <w:lang w:val="en-ZA"/>
        </w:rPr>
        <w:t>p</w:t>
      </w:r>
      <w:r w:rsidRPr="00145895">
        <w:rPr>
          <w:rFonts w:cs="Arial"/>
          <w:sz w:val="22"/>
          <w:lang w:val="en-ZA"/>
        </w:rPr>
        <w:t xml:space="preserve">laintiff should not be entitled to introduce evidence or facts which do not appear in a </w:t>
      </w:r>
      <w:r w:rsidR="00C30A8A">
        <w:rPr>
          <w:rFonts w:cs="Arial"/>
          <w:sz w:val="22"/>
          <w:lang w:val="en-ZA"/>
        </w:rPr>
        <w:t>p</w:t>
      </w:r>
      <w:r w:rsidRPr="00145895">
        <w:rPr>
          <w:rFonts w:cs="Arial"/>
          <w:sz w:val="22"/>
          <w:lang w:val="en-ZA"/>
        </w:rPr>
        <w:t>laintiff's particulars of claim or declaration.”</w:t>
      </w:r>
      <w:bookmarkStart w:id="4" w:name="_ftnref53"/>
      <w:r w:rsidR="00C30A8A" w:rsidRPr="00145895" w:rsidDel="00C30A8A">
        <w:rPr>
          <w:rFonts w:cs="Arial"/>
          <w:sz w:val="22"/>
          <w:lang w:val="en-ZA"/>
        </w:rPr>
        <w:t xml:space="preserve"> </w:t>
      </w:r>
      <w:bookmarkEnd w:id="4"/>
    </w:p>
    <w:p w14:paraId="686FCB5D" w14:textId="7DE2BD32" w:rsidR="00C30A8A" w:rsidRPr="00FA5B39" w:rsidRDefault="00C30A8A" w:rsidP="00FA5B39">
      <w:pPr>
        <w:pStyle w:val="JudgmentNumbered"/>
        <w:numPr>
          <w:ilvl w:val="0"/>
          <w:numId w:val="0"/>
        </w:numPr>
        <w:ind w:left="1440"/>
        <w:rPr>
          <w:lang w:val="en-ZA"/>
        </w:rPr>
      </w:pPr>
      <w:r>
        <w:rPr>
          <w:lang w:val="en-ZA"/>
        </w:rPr>
        <w:t>…</w:t>
      </w:r>
    </w:p>
    <w:p w14:paraId="6B6779DA" w14:textId="17C22F08" w:rsidR="00E61016" w:rsidRDefault="00DD2237" w:rsidP="00BD1D49">
      <w:pPr>
        <w:spacing w:after="0"/>
        <w:ind w:left="1440" w:right="720"/>
        <w:rPr>
          <w:rFonts w:cs="Arial"/>
          <w:sz w:val="22"/>
          <w:lang w:val="en-ZA"/>
        </w:rPr>
      </w:pPr>
      <w:r w:rsidRPr="00145895">
        <w:rPr>
          <w:rFonts w:cs="Arial"/>
          <w:sz w:val="22"/>
          <w:lang w:val="en-ZA"/>
        </w:rPr>
        <w:t xml:space="preserve">“As to the ‘brief explanation as to why the defence as pleaded does not raise any issue for trial’, this must be confined solely thereto. This brief explanation does not open the door to entitle a </w:t>
      </w:r>
      <w:r w:rsidR="002E1A28">
        <w:rPr>
          <w:rFonts w:cs="Arial"/>
          <w:sz w:val="22"/>
          <w:lang w:val="en-ZA"/>
        </w:rPr>
        <w:t>p</w:t>
      </w:r>
      <w:r w:rsidRPr="00145895">
        <w:rPr>
          <w:rFonts w:cs="Arial"/>
          <w:sz w:val="22"/>
          <w:lang w:val="en-ZA"/>
        </w:rPr>
        <w:t xml:space="preserve">laintiff to introduce new evidence as to why, at summary judgment stage, a </w:t>
      </w:r>
      <w:r w:rsidR="002E1A28">
        <w:rPr>
          <w:rFonts w:cs="Arial"/>
          <w:sz w:val="22"/>
          <w:lang w:val="en-ZA"/>
        </w:rPr>
        <w:t>d</w:t>
      </w:r>
      <w:r w:rsidRPr="00145895">
        <w:rPr>
          <w:rFonts w:cs="Arial"/>
          <w:sz w:val="22"/>
          <w:lang w:val="en-ZA"/>
        </w:rPr>
        <w:t xml:space="preserve">efendant should not be given leave to defend an action and to attempt to show that a </w:t>
      </w:r>
      <w:r w:rsidR="002E1A28">
        <w:rPr>
          <w:rFonts w:cs="Arial"/>
          <w:sz w:val="22"/>
          <w:lang w:val="en-ZA"/>
        </w:rPr>
        <w:t>p</w:t>
      </w:r>
      <w:r w:rsidRPr="00145895">
        <w:rPr>
          <w:rFonts w:cs="Arial"/>
          <w:sz w:val="22"/>
          <w:lang w:val="en-ZA"/>
        </w:rPr>
        <w:t>laintiff has an unanswerable case.”</w:t>
      </w:r>
      <w:bookmarkStart w:id="5" w:name="_ftnref54"/>
      <w:r w:rsidR="00C30A8A" w:rsidRPr="00145895" w:rsidDel="00C30A8A">
        <w:rPr>
          <w:rFonts w:cs="Arial"/>
          <w:sz w:val="22"/>
          <w:lang w:val="en-ZA"/>
        </w:rPr>
        <w:t xml:space="preserve"> </w:t>
      </w:r>
      <w:bookmarkEnd w:id="5"/>
    </w:p>
    <w:p w14:paraId="64A5B6DF" w14:textId="77777777" w:rsidR="00A66C31" w:rsidRPr="00FA5B39" w:rsidRDefault="00A66C31" w:rsidP="00FA5B39">
      <w:pPr>
        <w:spacing w:after="0"/>
        <w:ind w:left="1440" w:right="720"/>
        <w:rPr>
          <w:lang w:val="en-ZA"/>
        </w:rPr>
      </w:pPr>
    </w:p>
    <w:p w14:paraId="064D8589" w14:textId="4B5B3A09" w:rsidR="00DD2237" w:rsidRPr="00E61016" w:rsidRDefault="001D1774" w:rsidP="001D1774">
      <w:pPr>
        <w:pStyle w:val="JudgmentNumbered"/>
        <w:numPr>
          <w:ilvl w:val="0"/>
          <w:numId w:val="0"/>
        </w:numPr>
        <w:ind w:left="567" w:hanging="567"/>
      </w:pPr>
      <w:r w:rsidRPr="00E61016">
        <w:t>[22]</w:t>
      </w:r>
      <w:r w:rsidRPr="00E61016">
        <w:tab/>
      </w:r>
      <w:r w:rsidR="00A35A9E" w:rsidRPr="00734D0B">
        <w:rPr>
          <w:color w:val="000000"/>
          <w:szCs w:val="24"/>
        </w:rPr>
        <w:t>In other words, while the amended rule 32</w:t>
      </w:r>
      <w:r w:rsidR="00A35A9E" w:rsidRPr="00734D0B">
        <w:t>(2)(b)</w:t>
      </w:r>
      <w:r w:rsidR="00A35A9E" w:rsidRPr="00734D0B">
        <w:rPr>
          <w:color w:val="000000"/>
          <w:szCs w:val="24"/>
        </w:rPr>
        <w:t xml:space="preserve"> requires the </w:t>
      </w:r>
      <w:r w:rsidR="00BF1474">
        <w:rPr>
          <w:color w:val="000000"/>
          <w:szCs w:val="24"/>
        </w:rPr>
        <w:t>p</w:t>
      </w:r>
      <w:r w:rsidR="00A35A9E" w:rsidRPr="00734D0B">
        <w:rPr>
          <w:color w:val="000000"/>
          <w:szCs w:val="24"/>
        </w:rPr>
        <w:t xml:space="preserve">laintiff to explain briefly why the defence as pleaded does not raise any issue for trial, it does not entitle the </w:t>
      </w:r>
      <w:r w:rsidR="00BF1474">
        <w:rPr>
          <w:color w:val="000000"/>
          <w:szCs w:val="24"/>
        </w:rPr>
        <w:t>p</w:t>
      </w:r>
      <w:r w:rsidR="00A35A9E" w:rsidRPr="00734D0B">
        <w:rPr>
          <w:color w:val="000000"/>
          <w:szCs w:val="24"/>
        </w:rPr>
        <w:t>laintiff to raise new facts which do not appear in its particulars of claim.</w:t>
      </w:r>
    </w:p>
    <w:p w14:paraId="3233516B" w14:textId="2FAAED38" w:rsidR="00E61016" w:rsidRDefault="001D1774" w:rsidP="001D1774">
      <w:pPr>
        <w:pStyle w:val="JudgmentNumbered"/>
        <w:numPr>
          <w:ilvl w:val="0"/>
          <w:numId w:val="0"/>
        </w:numPr>
        <w:ind w:left="567" w:hanging="567"/>
      </w:pPr>
      <w:r>
        <w:t>[23]</w:t>
      </w:r>
      <w:r>
        <w:tab/>
      </w:r>
      <w:r w:rsidR="00E61016" w:rsidRPr="00734D0B">
        <w:t xml:space="preserve">In </w:t>
      </w:r>
      <w:r w:rsidR="00E61016" w:rsidRPr="00734D0B">
        <w:rPr>
          <w:i/>
          <w:iCs/>
        </w:rPr>
        <w:t xml:space="preserve">FirstRand Bank Limited v Badenhorst NO and Others </w:t>
      </w:r>
      <w:r w:rsidR="00E61016" w:rsidRPr="00734D0B">
        <w:t>the court</w:t>
      </w:r>
      <w:r w:rsidR="00E61016" w:rsidRPr="00734D0B">
        <w:rPr>
          <w:i/>
          <w:iCs/>
        </w:rPr>
        <w:t xml:space="preserve"> </w:t>
      </w:r>
      <w:r w:rsidR="00E61016" w:rsidRPr="00734D0B">
        <w:t xml:space="preserve">helpfully discusses the prevailing jurisprudence on what a </w:t>
      </w:r>
      <w:r w:rsidR="00BF1474">
        <w:t>p</w:t>
      </w:r>
      <w:r w:rsidR="00E61016" w:rsidRPr="00734D0B">
        <w:t>laintiff is required to set out in its supporting affidavit and what extra material might be permitted. There are conflicting judgments but the court after reviewing them found that:</w:t>
      </w:r>
    </w:p>
    <w:p w14:paraId="64F01D22" w14:textId="6EC9F1AC" w:rsidR="00E61016" w:rsidRPr="00FA5B39" w:rsidRDefault="00E61016" w:rsidP="00FA5B39">
      <w:pPr>
        <w:pStyle w:val="JudgmentNumbered"/>
        <w:numPr>
          <w:ilvl w:val="0"/>
          <w:numId w:val="0"/>
        </w:numPr>
        <w:ind w:left="1440"/>
        <w:rPr>
          <w:sz w:val="22"/>
          <w:szCs w:val="24"/>
          <w:lang w:val="en-ZA"/>
        </w:rPr>
      </w:pPr>
      <w:r w:rsidRPr="00FA5B39">
        <w:rPr>
          <w:sz w:val="22"/>
          <w:szCs w:val="24"/>
          <w:lang w:val="en-ZA"/>
        </w:rPr>
        <w:t xml:space="preserve">“Our courts have nevertheless accepted in a number of judgments that evidence is permissible under the requirement to explain briefly why the defence as pleaded does not raise any issues for trial. In </w:t>
      </w:r>
      <w:r w:rsidRPr="001422BA">
        <w:rPr>
          <w:i/>
          <w:sz w:val="22"/>
          <w:szCs w:val="24"/>
          <w:lang w:val="en-ZA"/>
        </w:rPr>
        <w:t>Trans-Drakensberg Bank Ltd</w:t>
      </w:r>
      <w:r w:rsidRPr="00FA5B39">
        <w:rPr>
          <w:sz w:val="22"/>
          <w:szCs w:val="24"/>
          <w:lang w:val="en-ZA"/>
        </w:rPr>
        <w:t xml:space="preserve"> </w:t>
      </w:r>
      <w:r w:rsidRPr="001422BA">
        <w:rPr>
          <w:i/>
          <w:sz w:val="22"/>
          <w:szCs w:val="24"/>
          <w:lang w:val="en-ZA"/>
        </w:rPr>
        <w:t>(under Judicial Management) v Combined Engineering (Pty) Ltd and Another</w:t>
      </w:r>
      <w:r w:rsidRPr="00FA5B39">
        <w:rPr>
          <w:sz w:val="22"/>
          <w:szCs w:val="24"/>
          <w:lang w:val="en-ZA"/>
        </w:rPr>
        <w:t xml:space="preserve">, in the context of an application for amendment, a triable issue was described as an issue that has a foundation. In other words, an issue for which there is supporting evidence, where evidence is required, and is not excipiable. In </w:t>
      </w:r>
      <w:r w:rsidRPr="001422BA">
        <w:rPr>
          <w:i/>
          <w:sz w:val="22"/>
          <w:szCs w:val="24"/>
          <w:lang w:val="en-ZA"/>
        </w:rPr>
        <w:t>Cohen supra</w:t>
      </w:r>
      <w:r w:rsidRPr="00FA5B39">
        <w:rPr>
          <w:sz w:val="22"/>
          <w:szCs w:val="24"/>
          <w:lang w:val="en-ZA"/>
        </w:rPr>
        <w:t xml:space="preserve">, the Supreme Court of Appeal held that defendants are required to disclose a defence that is </w:t>
      </w:r>
      <w:r w:rsidR="00C16241">
        <w:rPr>
          <w:sz w:val="22"/>
          <w:szCs w:val="24"/>
          <w:lang w:val="en-ZA"/>
        </w:rPr>
        <w:t>“</w:t>
      </w:r>
      <w:r w:rsidRPr="00FA5B39">
        <w:rPr>
          <w:sz w:val="22"/>
          <w:szCs w:val="24"/>
          <w:lang w:val="en-ZA"/>
        </w:rPr>
        <w:t>legally cognisable in the sense that it amounts to a valid defence if proven at trial</w:t>
      </w:r>
      <w:r w:rsidR="00C16241">
        <w:rPr>
          <w:sz w:val="22"/>
          <w:szCs w:val="24"/>
          <w:lang w:val="en-ZA"/>
        </w:rPr>
        <w:t>”</w:t>
      </w:r>
      <w:r w:rsidRPr="00FA5B39">
        <w:rPr>
          <w:sz w:val="22"/>
          <w:szCs w:val="24"/>
          <w:lang w:val="en-ZA"/>
        </w:rPr>
        <w:t xml:space="preserve">, and the test is “whether the facts </w:t>
      </w:r>
      <w:r w:rsidRPr="00FA5B39">
        <w:rPr>
          <w:sz w:val="22"/>
          <w:szCs w:val="24"/>
          <w:lang w:val="en-ZA"/>
        </w:rPr>
        <w:lastRenderedPageBreak/>
        <w:t>put up by the defendants raise a triable issue and a sustainable defence in the law, deserving of their day in court.”</w:t>
      </w:r>
      <w:r w:rsidR="00C303DF" w:rsidRPr="00FA5B39">
        <w:rPr>
          <w:sz w:val="22"/>
          <w:szCs w:val="24"/>
          <w:lang w:val="en-ZA"/>
        </w:rPr>
        <w:t xml:space="preserve"> </w:t>
      </w:r>
      <w:r w:rsidR="00C303DF" w:rsidRPr="00FA5B39">
        <w:rPr>
          <w:iCs/>
          <w:sz w:val="22"/>
          <w:szCs w:val="24"/>
          <w:lang w:val="en-ZA"/>
        </w:rPr>
        <w:t xml:space="preserve">(In </w:t>
      </w:r>
      <w:r w:rsidR="00C303DF" w:rsidRPr="001422BA">
        <w:rPr>
          <w:i/>
          <w:iCs/>
          <w:sz w:val="22"/>
          <w:szCs w:val="24"/>
          <w:lang w:val="en-ZA"/>
        </w:rPr>
        <w:t>Joob Joob Investments (Pty) Ltd v Stocks Mavundla Zek Joint Venture</w:t>
      </w:r>
      <w:r w:rsidR="00C303DF" w:rsidRPr="00FA5B39">
        <w:rPr>
          <w:iCs/>
          <w:sz w:val="22"/>
          <w:szCs w:val="24"/>
          <w:lang w:val="en-ZA"/>
        </w:rPr>
        <w:t xml:space="preserve">, “triable issue or a sustainable defence”, was used.) These authorities indicate that an issue for trial is an issue that entails the assessment of evidence. In my view, </w:t>
      </w:r>
      <w:r w:rsidR="004F194E">
        <w:rPr>
          <w:iCs/>
          <w:sz w:val="22"/>
          <w:szCs w:val="24"/>
          <w:lang w:val="en-ZA"/>
        </w:rPr>
        <w:t>p</w:t>
      </w:r>
      <w:r w:rsidR="00C303DF" w:rsidRPr="00FA5B39">
        <w:rPr>
          <w:iCs/>
          <w:sz w:val="22"/>
          <w:szCs w:val="24"/>
          <w:lang w:val="en-ZA"/>
        </w:rPr>
        <w:t xml:space="preserve">laintiffs cannot meaningfully explain the absence of a triable issue, in the sense that the defence is unsustainable on the evidence, by referring to the disputes of fact in the pleadings. </w:t>
      </w:r>
      <w:r w:rsidR="00C303DF" w:rsidRPr="00FA5B39">
        <w:rPr>
          <w:iCs/>
          <w:sz w:val="22"/>
          <w:szCs w:val="24"/>
          <w:u w:val="single"/>
          <w:lang w:val="en-ZA"/>
        </w:rPr>
        <w:t xml:space="preserve">A denial in a plea </w:t>
      </w:r>
      <w:r w:rsidR="00C303DF" w:rsidRPr="001422BA">
        <w:rPr>
          <w:i/>
          <w:iCs/>
          <w:sz w:val="22"/>
          <w:szCs w:val="24"/>
          <w:u w:val="single"/>
          <w:lang w:val="en-ZA"/>
        </w:rPr>
        <w:t>prima facie</w:t>
      </w:r>
      <w:r w:rsidR="00C303DF" w:rsidRPr="00FA5B39">
        <w:rPr>
          <w:iCs/>
          <w:sz w:val="22"/>
          <w:szCs w:val="24"/>
          <w:u w:val="single"/>
          <w:lang w:val="en-ZA"/>
        </w:rPr>
        <w:t xml:space="preserve"> raises an issue for trial which is </w:t>
      </w:r>
      <w:r w:rsidR="00C303DF" w:rsidRPr="001422BA">
        <w:rPr>
          <w:i/>
          <w:iCs/>
          <w:sz w:val="22"/>
          <w:szCs w:val="24"/>
          <w:u w:val="single"/>
          <w:lang w:val="en-ZA"/>
        </w:rPr>
        <w:t>bona fide</w:t>
      </w:r>
      <w:r w:rsidR="00C303DF" w:rsidRPr="00FA5B39">
        <w:rPr>
          <w:iCs/>
          <w:sz w:val="22"/>
          <w:szCs w:val="24"/>
          <w:u w:val="single"/>
          <w:lang w:val="en-ZA"/>
        </w:rPr>
        <w:t xml:space="preserve">. The very purpose of a denial is to signal that available evidence will be presented at trial to disprove the allegation. The </w:t>
      </w:r>
      <w:r w:rsidR="00A25EE5">
        <w:rPr>
          <w:iCs/>
          <w:sz w:val="22"/>
          <w:szCs w:val="24"/>
          <w:u w:val="single"/>
          <w:lang w:val="en-ZA"/>
        </w:rPr>
        <w:t>p</w:t>
      </w:r>
      <w:r w:rsidR="00C303DF" w:rsidRPr="00FA5B39">
        <w:rPr>
          <w:iCs/>
          <w:sz w:val="22"/>
          <w:szCs w:val="24"/>
          <w:u w:val="single"/>
          <w:lang w:val="en-ZA"/>
        </w:rPr>
        <w:t xml:space="preserve">laintiffs can only explain that the defence is not </w:t>
      </w:r>
      <w:r w:rsidR="00C303DF" w:rsidRPr="001422BA">
        <w:rPr>
          <w:i/>
          <w:iCs/>
          <w:sz w:val="22"/>
          <w:szCs w:val="24"/>
          <w:u w:val="single"/>
          <w:lang w:val="en-ZA"/>
        </w:rPr>
        <w:t>bona fide</w:t>
      </w:r>
      <w:r w:rsidR="00C303DF" w:rsidRPr="00FA5B39">
        <w:rPr>
          <w:iCs/>
          <w:sz w:val="22"/>
          <w:szCs w:val="24"/>
          <w:u w:val="single"/>
          <w:lang w:val="en-ZA"/>
        </w:rPr>
        <w:t xml:space="preserve"> by referencing evidence.</w:t>
      </w:r>
      <w:r w:rsidR="00C303DF" w:rsidRPr="00FA5B39">
        <w:rPr>
          <w:iCs/>
          <w:sz w:val="22"/>
          <w:szCs w:val="24"/>
          <w:lang w:val="en-ZA"/>
        </w:rPr>
        <w:t xml:space="preserve"> The dictionary meanings are capable of sustaining that interpretation. In the absence of evidence, the explanation will be nothing more than an unsubstantiated opinion.”</w:t>
      </w:r>
      <w:r w:rsidR="00C303DF" w:rsidRPr="00FA5B39">
        <w:rPr>
          <w:iCs/>
          <w:sz w:val="22"/>
          <w:szCs w:val="24"/>
          <w:vertAlign w:val="superscript"/>
          <w:lang w:val="en-ZA"/>
        </w:rPr>
        <w:footnoteReference w:id="5"/>
      </w:r>
    </w:p>
    <w:p w14:paraId="02F97357" w14:textId="3764C373" w:rsidR="00C303DF" w:rsidRDefault="001D1774" w:rsidP="001D1774">
      <w:pPr>
        <w:pStyle w:val="JudgmentNumbered"/>
        <w:numPr>
          <w:ilvl w:val="0"/>
          <w:numId w:val="0"/>
        </w:numPr>
        <w:ind w:left="567" w:hanging="567"/>
      </w:pPr>
      <w:r>
        <w:t>[24]</w:t>
      </w:r>
      <w:r>
        <w:tab/>
      </w:r>
      <w:r w:rsidR="00C303DF" w:rsidRPr="00734D0B">
        <w:t xml:space="preserve">Notwithstanding the amendments, it is trite that the remedy is extraordinary and stringent because it makes inroads on a defendant’s procedural right to have his case heard in the ordinary course of events. Courts are accordingly reluctant to grant summary judgment unless satisfied that the </w:t>
      </w:r>
      <w:r w:rsidR="0017186A">
        <w:t>p</w:t>
      </w:r>
      <w:r w:rsidR="00C303DF" w:rsidRPr="00734D0B">
        <w:t xml:space="preserve">laintiff has an unanswerable case; but even then, there is a discretion to refuse it.  </w:t>
      </w:r>
    </w:p>
    <w:p w14:paraId="526C3458" w14:textId="7D155B84" w:rsidR="00C303DF" w:rsidRDefault="001D1774" w:rsidP="001D1774">
      <w:pPr>
        <w:pStyle w:val="JudgmentNumbered"/>
        <w:numPr>
          <w:ilvl w:val="0"/>
          <w:numId w:val="0"/>
        </w:numPr>
        <w:ind w:left="567" w:hanging="567"/>
      </w:pPr>
      <w:r>
        <w:t>[25]</w:t>
      </w:r>
      <w:r>
        <w:tab/>
      </w:r>
      <w:r w:rsidR="00C303DF" w:rsidRPr="00734D0B">
        <w:t xml:space="preserve">In </w:t>
      </w:r>
      <w:r w:rsidR="00C303DF" w:rsidRPr="00FA5B39">
        <w:rPr>
          <w:i/>
        </w:rPr>
        <w:t>Joob Joob Investments (Pty) Ltd v Stocks Mavundla Zek Joint Venture</w:t>
      </w:r>
      <w:r w:rsidR="00C303DF" w:rsidRPr="00734D0B">
        <w:rPr>
          <w:rStyle w:val="FootnoteReference"/>
          <w:szCs w:val="24"/>
        </w:rPr>
        <w:footnoteReference w:id="6"/>
      </w:r>
      <w:r w:rsidR="00C303DF" w:rsidRPr="00734D0B">
        <w:t xml:space="preserve"> the court confirmed:</w:t>
      </w:r>
    </w:p>
    <w:p w14:paraId="677A5389" w14:textId="2E34D4D5" w:rsidR="00C303DF" w:rsidRPr="00FA5B39" w:rsidRDefault="00C303DF" w:rsidP="00FA5B39">
      <w:pPr>
        <w:pStyle w:val="JudgmentNumbered"/>
        <w:numPr>
          <w:ilvl w:val="0"/>
          <w:numId w:val="0"/>
        </w:numPr>
        <w:ind w:left="1440"/>
        <w:rPr>
          <w:sz w:val="22"/>
        </w:rPr>
      </w:pPr>
      <w:r w:rsidRPr="00FA5B39">
        <w:rPr>
          <w:sz w:val="22"/>
        </w:rPr>
        <w:t>“</w:t>
      </w:r>
      <w:r w:rsidR="00BF7DB1">
        <w:rPr>
          <w:sz w:val="22"/>
        </w:rPr>
        <w:t>[T]</w:t>
      </w:r>
      <w:r w:rsidRPr="00FA5B39">
        <w:rPr>
          <w:sz w:val="22"/>
        </w:rPr>
        <w:t xml:space="preserve">he summary judgment procedure was not intended to </w:t>
      </w:r>
      <w:r w:rsidR="000E1A09">
        <w:rPr>
          <w:sz w:val="22"/>
        </w:rPr>
        <w:t>‘</w:t>
      </w:r>
      <w:r w:rsidRPr="00FA5B39">
        <w:rPr>
          <w:sz w:val="22"/>
        </w:rPr>
        <w:t xml:space="preserve">shut </w:t>
      </w:r>
      <w:r w:rsidR="000E1A09">
        <w:rPr>
          <w:sz w:val="22"/>
        </w:rPr>
        <w:t>(</w:t>
      </w:r>
      <w:r w:rsidRPr="00FA5B39">
        <w:rPr>
          <w:sz w:val="22"/>
        </w:rPr>
        <w:t xml:space="preserve">a </w:t>
      </w:r>
      <w:r w:rsidR="000E1A09">
        <w:rPr>
          <w:sz w:val="22"/>
        </w:rPr>
        <w:t>d</w:t>
      </w:r>
      <w:r w:rsidRPr="00FA5B39">
        <w:rPr>
          <w:sz w:val="22"/>
        </w:rPr>
        <w:t>efendant</w:t>
      </w:r>
      <w:r w:rsidR="000E1A09">
        <w:rPr>
          <w:sz w:val="22"/>
        </w:rPr>
        <w:t>)</w:t>
      </w:r>
      <w:r w:rsidRPr="00FA5B39">
        <w:rPr>
          <w:sz w:val="22"/>
        </w:rPr>
        <w:t xml:space="preserve"> out from defending</w:t>
      </w:r>
      <w:r w:rsidR="000E1A09">
        <w:rPr>
          <w:sz w:val="22"/>
        </w:rPr>
        <w:t>’,</w:t>
      </w:r>
      <w:r w:rsidRPr="00FA5B39">
        <w:rPr>
          <w:sz w:val="22"/>
        </w:rPr>
        <w:t xml:space="preserve"> unless it was very clear indeed that he had no case in the action.”</w:t>
      </w:r>
    </w:p>
    <w:p w14:paraId="65DAA465" w14:textId="66CA61C3" w:rsidR="00C303DF" w:rsidRPr="00C87484" w:rsidRDefault="001D1774" w:rsidP="001D1774">
      <w:pPr>
        <w:pStyle w:val="JudgmentNumbered"/>
        <w:numPr>
          <w:ilvl w:val="0"/>
          <w:numId w:val="0"/>
        </w:numPr>
        <w:ind w:left="567" w:hanging="567"/>
      </w:pPr>
      <w:r w:rsidRPr="00C87484">
        <w:t>[26]</w:t>
      </w:r>
      <w:r w:rsidRPr="00C87484">
        <w:tab/>
      </w:r>
      <w:r w:rsidR="00C303DF" w:rsidRPr="00734D0B">
        <w:rPr>
          <w:szCs w:val="24"/>
        </w:rPr>
        <w:t xml:space="preserve">In </w:t>
      </w:r>
      <w:r w:rsidR="00C303DF" w:rsidRPr="00FA5B39">
        <w:rPr>
          <w:bCs/>
          <w:i/>
          <w:iCs/>
          <w:szCs w:val="24"/>
        </w:rPr>
        <w:t>Maharaj v Barclays National Bank Ltd</w:t>
      </w:r>
      <w:r w:rsidR="00C303DF" w:rsidRPr="00734D0B">
        <w:rPr>
          <w:rStyle w:val="FootnoteReference"/>
          <w:szCs w:val="24"/>
        </w:rPr>
        <w:footnoteReference w:id="7"/>
      </w:r>
      <w:r w:rsidR="00C303DF">
        <w:rPr>
          <w:szCs w:val="24"/>
        </w:rPr>
        <w:t xml:space="preserve"> </w:t>
      </w:r>
      <w:r w:rsidR="00C303DF" w:rsidRPr="00734D0B">
        <w:rPr>
          <w:szCs w:val="24"/>
        </w:rPr>
        <w:t xml:space="preserve">the court held that in determining whether the </w:t>
      </w:r>
      <w:r w:rsidR="00BF1474">
        <w:rPr>
          <w:szCs w:val="24"/>
        </w:rPr>
        <w:t>d</w:t>
      </w:r>
      <w:r w:rsidR="00C303DF" w:rsidRPr="00734D0B">
        <w:rPr>
          <w:szCs w:val="24"/>
        </w:rPr>
        <w:t xml:space="preserve">efendant has established a </w:t>
      </w:r>
      <w:r w:rsidR="00C303DF" w:rsidRPr="00734D0B">
        <w:rPr>
          <w:i/>
          <w:iCs/>
          <w:szCs w:val="24"/>
        </w:rPr>
        <w:t>bona fide</w:t>
      </w:r>
      <w:r w:rsidR="00C303DF" w:rsidRPr="00734D0B">
        <w:rPr>
          <w:szCs w:val="24"/>
        </w:rPr>
        <w:t xml:space="preserve"> defence to the </w:t>
      </w:r>
      <w:r w:rsidR="00BF1474">
        <w:rPr>
          <w:szCs w:val="24"/>
        </w:rPr>
        <w:t>p</w:t>
      </w:r>
      <w:r w:rsidR="00C303DF" w:rsidRPr="00734D0B">
        <w:rPr>
          <w:szCs w:val="24"/>
        </w:rPr>
        <w:t xml:space="preserve">laintiff's claim, the </w:t>
      </w:r>
      <w:r w:rsidR="00C303DF">
        <w:rPr>
          <w:szCs w:val="24"/>
        </w:rPr>
        <w:t>c</w:t>
      </w:r>
      <w:r w:rsidR="00C303DF" w:rsidRPr="00734D0B">
        <w:rPr>
          <w:szCs w:val="24"/>
        </w:rPr>
        <w:t xml:space="preserve">ourt has to enquire into whether or not the </w:t>
      </w:r>
      <w:r w:rsidR="002E09EA">
        <w:rPr>
          <w:szCs w:val="24"/>
        </w:rPr>
        <w:t>d</w:t>
      </w:r>
      <w:r w:rsidR="00C303DF" w:rsidRPr="00734D0B">
        <w:rPr>
          <w:szCs w:val="24"/>
        </w:rPr>
        <w:t>efendant has, with sufficient particularity, disclosed the nature and grounds of its defence, as well as the material facts upon which his defence is based.</w:t>
      </w:r>
      <w:r w:rsidR="00C303DF" w:rsidRPr="00734D0B">
        <w:rPr>
          <w:color w:val="000000"/>
          <w:sz w:val="16"/>
          <w:szCs w:val="16"/>
          <w:shd w:val="clear" w:color="auto" w:fill="FFFFFF"/>
        </w:rPr>
        <w:t xml:space="preserve"> </w:t>
      </w:r>
      <w:r w:rsidR="00C303DF" w:rsidRPr="00734D0B">
        <w:rPr>
          <w:szCs w:val="24"/>
        </w:rPr>
        <w:t>The second consideration is that the defence so disclosed must be both </w:t>
      </w:r>
      <w:r w:rsidR="00C303DF" w:rsidRPr="00734D0B">
        <w:rPr>
          <w:i/>
          <w:iCs/>
          <w:szCs w:val="24"/>
        </w:rPr>
        <w:t>bona fide </w:t>
      </w:r>
      <w:r w:rsidR="00C303DF" w:rsidRPr="00734D0B">
        <w:rPr>
          <w:szCs w:val="24"/>
        </w:rPr>
        <w:t xml:space="preserve">and good in law. A court which </w:t>
      </w:r>
      <w:r w:rsidR="00C303DF" w:rsidRPr="00734D0B">
        <w:rPr>
          <w:szCs w:val="24"/>
        </w:rPr>
        <w:lastRenderedPageBreak/>
        <w:t>is satisfied that this threshold has been crossed is then bound to refuse summary judgment.</w:t>
      </w:r>
      <w:r w:rsidR="00C303DF" w:rsidRPr="00734D0B">
        <w:rPr>
          <w:rStyle w:val="FootnoteReference"/>
          <w:szCs w:val="24"/>
        </w:rPr>
        <w:footnoteReference w:id="8"/>
      </w:r>
    </w:p>
    <w:p w14:paraId="0D989BDF" w14:textId="41E41A1B" w:rsidR="00C87484" w:rsidRPr="00734D0B" w:rsidRDefault="001D1774" w:rsidP="001D1774">
      <w:pPr>
        <w:pStyle w:val="JudgmentNumbered"/>
        <w:numPr>
          <w:ilvl w:val="0"/>
          <w:numId w:val="0"/>
        </w:numPr>
        <w:ind w:left="567" w:hanging="567"/>
      </w:pPr>
      <w:r w:rsidRPr="00734D0B">
        <w:t>[27]</w:t>
      </w:r>
      <w:r w:rsidRPr="00734D0B">
        <w:tab/>
      </w:r>
      <w:r w:rsidR="00C87484" w:rsidRPr="00734D0B">
        <w:t xml:space="preserve">In </w:t>
      </w:r>
      <w:r w:rsidR="00C87484" w:rsidRPr="00FA5B39">
        <w:rPr>
          <w:bCs/>
          <w:i/>
          <w:iCs/>
        </w:rPr>
        <w:t>Barclays National Bank Ltd v Smith</w:t>
      </w:r>
      <w:r w:rsidR="00C87484" w:rsidRPr="00FA5B39">
        <w:rPr>
          <w:rStyle w:val="FootnoteReference"/>
          <w:bCs/>
          <w:szCs w:val="24"/>
        </w:rPr>
        <w:footnoteReference w:id="9"/>
      </w:r>
      <w:r w:rsidR="00C87484" w:rsidRPr="00734D0B">
        <w:rPr>
          <w:b/>
          <w:bCs/>
        </w:rPr>
        <w:t xml:space="preserve"> </w:t>
      </w:r>
      <w:r w:rsidR="00C87484" w:rsidRPr="00734D0B">
        <w:t xml:space="preserve">the </w:t>
      </w:r>
      <w:r w:rsidR="00C87484">
        <w:t>c</w:t>
      </w:r>
      <w:r w:rsidR="00C87484" w:rsidRPr="00734D0B">
        <w:t xml:space="preserve">ourt stated that the </w:t>
      </w:r>
      <w:r w:rsidR="00BF1474">
        <w:t>r</w:t>
      </w:r>
      <w:r w:rsidR="00C87484" w:rsidRPr="00734D0B">
        <w:t xml:space="preserve">espondent has to satisfy the court that it has a </w:t>
      </w:r>
      <w:r w:rsidR="00C87484" w:rsidRPr="00734D0B">
        <w:rPr>
          <w:i/>
          <w:iCs/>
        </w:rPr>
        <w:t>bona fide</w:t>
      </w:r>
      <w:r w:rsidR="00C87484" w:rsidRPr="00734D0B">
        <w:t xml:space="preserve"> defence to the </w:t>
      </w:r>
      <w:r w:rsidR="00BF1474">
        <w:t>p</w:t>
      </w:r>
      <w:r w:rsidR="00C87484" w:rsidRPr="00734D0B">
        <w:t xml:space="preserve">laintiff's claim and that the </w:t>
      </w:r>
      <w:r w:rsidR="00BF1474">
        <w:t>r</w:t>
      </w:r>
      <w:r w:rsidR="00C87484" w:rsidRPr="00734D0B">
        <w:t>espondent need not prove its defence for purposes of the summary judgment application.</w:t>
      </w:r>
      <w:r w:rsidR="00C87484" w:rsidRPr="00734D0B">
        <w:rPr>
          <w:rStyle w:val="FootnoteReference"/>
          <w:szCs w:val="24"/>
        </w:rPr>
        <w:footnoteReference w:id="10"/>
      </w:r>
    </w:p>
    <w:p w14:paraId="2EEA7975" w14:textId="0A38D8DC" w:rsidR="00520B83" w:rsidRDefault="001D1774" w:rsidP="001D1774">
      <w:pPr>
        <w:pStyle w:val="JudgmentNumbered"/>
        <w:numPr>
          <w:ilvl w:val="0"/>
          <w:numId w:val="0"/>
        </w:numPr>
        <w:ind w:left="567" w:hanging="567"/>
      </w:pPr>
      <w:r>
        <w:t>[28]</w:t>
      </w:r>
      <w:r>
        <w:tab/>
      </w:r>
      <w:r w:rsidR="00520B83" w:rsidRPr="00734D0B">
        <w:t xml:space="preserve">Insofar as the court’s discretion regarding summary judgment is concerned, where there is no defence, the discretion should not be exercised against a </w:t>
      </w:r>
      <w:r w:rsidR="00BF1474">
        <w:t>p</w:t>
      </w:r>
      <w:r w:rsidR="00520B83" w:rsidRPr="00734D0B">
        <w:t xml:space="preserve">laintiff to deprive it of the relief to which it is entitled. However, the procedure is not designed to provide a </w:t>
      </w:r>
      <w:r w:rsidR="00BF1474">
        <w:t>p</w:t>
      </w:r>
      <w:r w:rsidR="00520B83" w:rsidRPr="00734D0B">
        <w:t xml:space="preserve">laintiff with a tactical advantage or to provide a preview of the </w:t>
      </w:r>
      <w:r w:rsidR="00BF1474">
        <w:t>d</w:t>
      </w:r>
      <w:r w:rsidR="00520B83" w:rsidRPr="00734D0B">
        <w:t>efendant’s evidence, and also not to limit his defences to those disclosed in the affidavit. It does not effect a shift in onus and does not replace the exception procedure as a test of legal contentions.</w:t>
      </w:r>
    </w:p>
    <w:p w14:paraId="52462255" w14:textId="00EF4643" w:rsidR="000141A0" w:rsidRPr="00FA5B39" w:rsidRDefault="000141A0" w:rsidP="000141A0">
      <w:pPr>
        <w:pStyle w:val="JudgmentHeading"/>
        <w:rPr>
          <w:bCs/>
          <w:lang w:val="en-ZA"/>
        </w:rPr>
      </w:pPr>
      <w:bookmarkStart w:id="6" w:name="_Hlk159338730"/>
      <w:r w:rsidRPr="00FA5B39">
        <w:rPr>
          <w:bCs/>
          <w:lang w:val="en-ZA"/>
        </w:rPr>
        <w:t>Defences:</w:t>
      </w:r>
      <w:r w:rsidRPr="00E8712F">
        <w:rPr>
          <w:lang w:val="en-ZA"/>
        </w:rPr>
        <w:t xml:space="preserve"> </w:t>
      </w:r>
      <w:r w:rsidRPr="00FA5B39">
        <w:rPr>
          <w:bCs/>
          <w:lang w:val="en-ZA"/>
        </w:rPr>
        <w:t>Special Plea 1 – Other remedies</w:t>
      </w:r>
      <w:bookmarkEnd w:id="6"/>
    </w:p>
    <w:p w14:paraId="7F4642AD" w14:textId="78FC82F5" w:rsidR="000141A0" w:rsidRPr="00734D0B" w:rsidRDefault="001D1774" w:rsidP="001D1774">
      <w:pPr>
        <w:pStyle w:val="JudgmentNumbered"/>
        <w:numPr>
          <w:ilvl w:val="0"/>
          <w:numId w:val="0"/>
        </w:numPr>
        <w:ind w:left="567" w:hanging="567"/>
      </w:pPr>
      <w:r w:rsidRPr="00734D0B">
        <w:t>[29]</w:t>
      </w:r>
      <w:r w:rsidRPr="00734D0B">
        <w:tab/>
      </w:r>
      <w:r w:rsidR="000141A0" w:rsidRPr="00734D0B">
        <w:t>In relation to Special Plea 1</w:t>
      </w:r>
      <w:r w:rsidR="000141A0">
        <w:t>,</w:t>
      </w:r>
      <w:r w:rsidR="000141A0" w:rsidRPr="00734D0B">
        <w:t xml:space="preserve"> the </w:t>
      </w:r>
      <w:r w:rsidR="00BF1474">
        <w:t>d</w:t>
      </w:r>
      <w:r w:rsidR="000141A0" w:rsidRPr="00734D0B">
        <w:t>efendant relies on section 19 of the Act.  Section 19 provides that, in order to succeed with a claim against the agency (a party must have satisfied all remedies available to such party, prior to lodging a claim with the agency</w:t>
      </w:r>
      <w:r w:rsidR="001740A9">
        <w:t>)</w:t>
      </w:r>
      <w:r w:rsidR="000141A0" w:rsidRPr="00734D0B">
        <w:t>.</w:t>
      </w:r>
      <w:r w:rsidR="000141A0" w:rsidRPr="00734D0B">
        <w:rPr>
          <w:sz w:val="27"/>
          <w:szCs w:val="27"/>
        </w:rPr>
        <w:t xml:space="preserve"> </w:t>
      </w:r>
    </w:p>
    <w:p w14:paraId="4C3100AF" w14:textId="51385407" w:rsidR="000141A0" w:rsidRPr="001422BA" w:rsidRDefault="001D1774" w:rsidP="001D1774">
      <w:pPr>
        <w:pStyle w:val="JudgmentNumbered"/>
        <w:numPr>
          <w:ilvl w:val="0"/>
          <w:numId w:val="0"/>
        </w:numPr>
        <w:ind w:left="567" w:hanging="567"/>
        <w:rPr>
          <w:szCs w:val="24"/>
        </w:rPr>
      </w:pPr>
      <w:r w:rsidRPr="001422BA">
        <w:rPr>
          <w:szCs w:val="24"/>
        </w:rPr>
        <w:t>[30]</w:t>
      </w:r>
      <w:r w:rsidRPr="001422BA">
        <w:rPr>
          <w:szCs w:val="24"/>
        </w:rPr>
        <w:tab/>
      </w:r>
      <w:r w:rsidR="000141A0" w:rsidRPr="001422BA">
        <w:rPr>
          <w:szCs w:val="24"/>
        </w:rPr>
        <w:t xml:space="preserve">The </w:t>
      </w:r>
      <w:r w:rsidR="00BF1474" w:rsidRPr="001422BA">
        <w:rPr>
          <w:szCs w:val="24"/>
        </w:rPr>
        <w:t>d</w:t>
      </w:r>
      <w:r w:rsidR="000141A0" w:rsidRPr="001422BA">
        <w:rPr>
          <w:szCs w:val="24"/>
        </w:rPr>
        <w:t xml:space="preserve">efendant alleges that the </w:t>
      </w:r>
      <w:r w:rsidR="00BF1474" w:rsidRPr="000232BE">
        <w:rPr>
          <w:szCs w:val="24"/>
        </w:rPr>
        <w:t>p</w:t>
      </w:r>
      <w:r w:rsidR="000141A0" w:rsidRPr="00B71FF5">
        <w:rPr>
          <w:szCs w:val="24"/>
        </w:rPr>
        <w:t>laintiff, has not instituted criminal proceedings against the</w:t>
      </w:r>
      <w:r w:rsidR="000141A0" w:rsidRPr="001422BA">
        <w:rPr>
          <w:szCs w:val="24"/>
        </w:rPr>
        <w:t xml:space="preserve"> alleged perpetrator, Liebenberg, for fraud and has accordingly, failed to exhaust all of the remedies available to it.  </w:t>
      </w:r>
    </w:p>
    <w:p w14:paraId="4ED781D3" w14:textId="5ADFA7E1" w:rsidR="000141A0" w:rsidRPr="00734D0B" w:rsidRDefault="001D1774" w:rsidP="001D1774">
      <w:pPr>
        <w:pStyle w:val="JudgmentNumbered"/>
        <w:numPr>
          <w:ilvl w:val="0"/>
          <w:numId w:val="0"/>
        </w:numPr>
        <w:ind w:left="567" w:hanging="567"/>
      </w:pPr>
      <w:r w:rsidRPr="00734D0B">
        <w:t>[31]</w:t>
      </w:r>
      <w:r w:rsidRPr="00734D0B">
        <w:tab/>
      </w:r>
      <w:r w:rsidR="000141A0" w:rsidRPr="00734D0B">
        <w:t xml:space="preserve">In paragraph 19 of the particulars of claim it is stated that “The </w:t>
      </w:r>
      <w:r w:rsidR="002B5BB5">
        <w:t>p</w:t>
      </w:r>
      <w:r w:rsidR="000141A0" w:rsidRPr="00734D0B">
        <w:t>laintiff has exhausted all rights of action and legal remedies against Liebenberg and Fortress Properties”.</w:t>
      </w:r>
    </w:p>
    <w:p w14:paraId="13C84E8B" w14:textId="5C8AFB83" w:rsidR="00C87484" w:rsidRPr="001740A9" w:rsidRDefault="001D1774" w:rsidP="001D1774">
      <w:pPr>
        <w:pStyle w:val="JudgmentNumbered"/>
        <w:numPr>
          <w:ilvl w:val="0"/>
          <w:numId w:val="0"/>
        </w:numPr>
        <w:ind w:left="567" w:hanging="567"/>
        <w:rPr>
          <w:szCs w:val="24"/>
        </w:rPr>
      </w:pPr>
      <w:r w:rsidRPr="001740A9">
        <w:rPr>
          <w:szCs w:val="24"/>
        </w:rPr>
        <w:t>[32]</w:t>
      </w:r>
      <w:r w:rsidRPr="001740A9">
        <w:rPr>
          <w:szCs w:val="24"/>
        </w:rPr>
        <w:tab/>
      </w:r>
      <w:r w:rsidR="00BD315E" w:rsidRPr="001422BA">
        <w:rPr>
          <w:color w:val="000000"/>
          <w:szCs w:val="24"/>
        </w:rPr>
        <w:t xml:space="preserve">In the supporting affidavit, </w:t>
      </w:r>
      <w:r w:rsidR="00FF707E">
        <w:rPr>
          <w:color w:val="000000"/>
          <w:szCs w:val="24"/>
        </w:rPr>
        <w:t xml:space="preserve">the plaintiff </w:t>
      </w:r>
      <w:r w:rsidR="00BD315E" w:rsidRPr="000232BE">
        <w:rPr>
          <w:color w:val="000000"/>
          <w:szCs w:val="24"/>
        </w:rPr>
        <w:t xml:space="preserve">states that </w:t>
      </w:r>
      <w:r w:rsidR="00CE37D3" w:rsidRPr="000232BE">
        <w:rPr>
          <w:color w:val="000000"/>
          <w:szCs w:val="24"/>
        </w:rPr>
        <w:t>it</w:t>
      </w:r>
      <w:r w:rsidR="00BD315E" w:rsidRPr="000232BE">
        <w:rPr>
          <w:color w:val="000000"/>
          <w:szCs w:val="24"/>
        </w:rPr>
        <w:t xml:space="preserve"> reported the criminal conduct in terms of s</w:t>
      </w:r>
      <w:r w:rsidR="00BD315E" w:rsidRPr="00B71FF5">
        <w:rPr>
          <w:color w:val="000000"/>
          <w:szCs w:val="24"/>
        </w:rPr>
        <w:t>ection 34 o</w:t>
      </w:r>
      <w:r w:rsidR="00BD315E" w:rsidRPr="00A55FB0">
        <w:rPr>
          <w:color w:val="000000"/>
          <w:szCs w:val="24"/>
        </w:rPr>
        <w:t>f the Prevention and Combating of Corrupt Activities Act</w:t>
      </w:r>
      <w:r w:rsidR="00054CE6" w:rsidRPr="001422BA">
        <w:rPr>
          <w:rStyle w:val="FootnoteReference"/>
          <w:color w:val="000000"/>
          <w:szCs w:val="24"/>
        </w:rPr>
        <w:footnoteReference w:id="11"/>
      </w:r>
      <w:r w:rsidR="00BD315E" w:rsidRPr="001422BA">
        <w:rPr>
          <w:color w:val="000000"/>
          <w:szCs w:val="24"/>
        </w:rPr>
        <w:t xml:space="preserve"> </w:t>
      </w:r>
      <w:r w:rsidR="00BD315E" w:rsidRPr="001422BA">
        <w:rPr>
          <w:color w:val="000000"/>
          <w:szCs w:val="24"/>
        </w:rPr>
        <w:lastRenderedPageBreak/>
        <w:t>(</w:t>
      </w:r>
      <w:r w:rsidR="00054CE6" w:rsidRPr="001422BA">
        <w:rPr>
          <w:color w:val="000000"/>
          <w:szCs w:val="24"/>
        </w:rPr>
        <w:t>“</w:t>
      </w:r>
      <w:r w:rsidR="00BD315E" w:rsidRPr="001422BA">
        <w:rPr>
          <w:color w:val="000000"/>
          <w:szCs w:val="24"/>
        </w:rPr>
        <w:t>PRECCA</w:t>
      </w:r>
      <w:r w:rsidR="00054CE6" w:rsidRPr="001422BA">
        <w:rPr>
          <w:color w:val="000000"/>
          <w:szCs w:val="24"/>
        </w:rPr>
        <w:t>”</w:t>
      </w:r>
      <w:r w:rsidR="00BD315E" w:rsidRPr="000232BE">
        <w:rPr>
          <w:color w:val="000000"/>
          <w:szCs w:val="24"/>
        </w:rPr>
        <w:t>) on 14 December 2020.  A copy of the PRECCA Report is attached as annexure FDP to the supporting affidavit.  This report was made available to the</w:t>
      </w:r>
      <w:r w:rsidR="00FF707E">
        <w:rPr>
          <w:color w:val="000000"/>
          <w:szCs w:val="24"/>
        </w:rPr>
        <w:t xml:space="preserve"> defendant</w:t>
      </w:r>
      <w:r w:rsidR="00BD315E" w:rsidRPr="000232BE">
        <w:rPr>
          <w:color w:val="000000"/>
          <w:szCs w:val="24"/>
        </w:rPr>
        <w:t xml:space="preserve"> in response to its rule 35(12) and (14) notices</w:t>
      </w:r>
      <w:r w:rsidR="00BD315E" w:rsidRPr="001422BA">
        <w:rPr>
          <w:color w:val="000000"/>
          <w:szCs w:val="24"/>
        </w:rPr>
        <w:t xml:space="preserve">.  In addition, </w:t>
      </w:r>
      <w:r w:rsidR="00CE37D3" w:rsidRPr="001422BA">
        <w:rPr>
          <w:color w:val="000000"/>
          <w:szCs w:val="24"/>
        </w:rPr>
        <w:t>it</w:t>
      </w:r>
      <w:r w:rsidR="00BD315E" w:rsidRPr="001422BA">
        <w:rPr>
          <w:color w:val="000000"/>
          <w:szCs w:val="24"/>
        </w:rPr>
        <w:t xml:space="preserve"> instituted action against Liebenberg and Fortress Properties and duly obtained default judgment against them on 11 June 2021.</w:t>
      </w:r>
      <w:r w:rsidR="00BD315E" w:rsidRPr="00B71FF5">
        <w:rPr>
          <w:color w:val="000000"/>
          <w:szCs w:val="24"/>
        </w:rPr>
        <w:t xml:space="preserve"> </w:t>
      </w:r>
      <w:r w:rsidR="00BD315E" w:rsidRPr="00A55FB0">
        <w:rPr>
          <w:color w:val="000000"/>
          <w:szCs w:val="24"/>
        </w:rPr>
        <w:t xml:space="preserve">The </w:t>
      </w:r>
      <w:r w:rsidR="00BF1474" w:rsidRPr="00A55FB0">
        <w:rPr>
          <w:color w:val="000000"/>
          <w:szCs w:val="24"/>
        </w:rPr>
        <w:t>p</w:t>
      </w:r>
      <w:r w:rsidR="00BD315E" w:rsidRPr="00A55FB0">
        <w:rPr>
          <w:color w:val="000000"/>
          <w:szCs w:val="24"/>
        </w:rPr>
        <w:t>laintiff proceeded to execute on this judgment by attaching the bank accounts of Liebenberg and Fortress and</w:t>
      </w:r>
      <w:r w:rsidR="0018414A" w:rsidRPr="00A55FB0">
        <w:rPr>
          <w:color w:val="000000"/>
          <w:szCs w:val="24"/>
        </w:rPr>
        <w:t xml:space="preserve"> managed to recover a mere R12</w:t>
      </w:r>
      <w:r w:rsidR="00696DFA">
        <w:rPr>
          <w:color w:val="000000"/>
          <w:szCs w:val="24"/>
        </w:rPr>
        <w:t> </w:t>
      </w:r>
      <w:r w:rsidR="0018414A" w:rsidRPr="00A55FB0">
        <w:rPr>
          <w:color w:val="000000"/>
          <w:szCs w:val="24"/>
        </w:rPr>
        <w:t>448</w:t>
      </w:r>
      <w:r w:rsidR="00696DFA">
        <w:rPr>
          <w:color w:val="000000"/>
          <w:szCs w:val="24"/>
        </w:rPr>
        <w:t>.</w:t>
      </w:r>
      <w:r w:rsidR="0018414A" w:rsidRPr="00A55FB0">
        <w:rPr>
          <w:color w:val="000000"/>
          <w:szCs w:val="24"/>
        </w:rPr>
        <w:t>04.</w:t>
      </w:r>
      <w:r w:rsidR="006477FC" w:rsidRPr="00A55FB0">
        <w:rPr>
          <w:color w:val="000000"/>
          <w:szCs w:val="24"/>
        </w:rPr>
        <w:t xml:space="preserve"> </w:t>
      </w:r>
      <w:r w:rsidR="0018414A" w:rsidRPr="00A55FB0">
        <w:rPr>
          <w:color w:val="000000"/>
          <w:szCs w:val="24"/>
        </w:rPr>
        <w:t xml:space="preserve">The documents confirming the above have been made available to the </w:t>
      </w:r>
      <w:r w:rsidR="00CE02F2" w:rsidRPr="00A55FB0">
        <w:rPr>
          <w:color w:val="000000"/>
          <w:szCs w:val="24"/>
        </w:rPr>
        <w:t>d</w:t>
      </w:r>
      <w:r w:rsidR="0018414A" w:rsidRPr="00A55FB0">
        <w:rPr>
          <w:color w:val="000000"/>
          <w:szCs w:val="24"/>
        </w:rPr>
        <w:t>efendant in terms of rule 35(12) and (14).</w:t>
      </w:r>
    </w:p>
    <w:p w14:paraId="339E6A3E" w14:textId="3A3D4BA0" w:rsidR="0018414A" w:rsidRDefault="001D1774" w:rsidP="001D1774">
      <w:pPr>
        <w:pStyle w:val="JudgmentNumbered"/>
        <w:numPr>
          <w:ilvl w:val="0"/>
          <w:numId w:val="0"/>
        </w:numPr>
        <w:ind w:left="567" w:hanging="567"/>
      </w:pPr>
      <w:r>
        <w:t>[33]</w:t>
      </w:r>
      <w:r>
        <w:tab/>
      </w:r>
      <w:r w:rsidR="0018414A" w:rsidRPr="00734D0B">
        <w:t xml:space="preserve">During argument, Ms Themane on behalf of the </w:t>
      </w:r>
      <w:r w:rsidR="00BF1474">
        <w:t>d</w:t>
      </w:r>
      <w:r w:rsidR="0018414A" w:rsidRPr="00734D0B">
        <w:t>efendant did not persist with this special plea. Accordingly, nothing more is said about this.</w:t>
      </w:r>
    </w:p>
    <w:p w14:paraId="080B7AFB" w14:textId="0308A430" w:rsidR="0018414A" w:rsidRPr="00FA5B39" w:rsidRDefault="0018414A" w:rsidP="00FA5B39">
      <w:pPr>
        <w:ind w:left="0"/>
        <w:rPr>
          <w:rFonts w:cs="Arial"/>
          <w:bCs/>
          <w:i/>
          <w:color w:val="000000"/>
          <w:szCs w:val="24"/>
        </w:rPr>
      </w:pPr>
      <w:r w:rsidRPr="00FA5B39">
        <w:rPr>
          <w:rFonts w:cs="Arial"/>
          <w:bCs/>
          <w:i/>
          <w:color w:val="000000"/>
          <w:szCs w:val="24"/>
        </w:rPr>
        <w:t>Defences:</w:t>
      </w:r>
      <w:r w:rsidRPr="00FA5B39">
        <w:rPr>
          <w:rFonts w:cs="Arial"/>
          <w:i/>
          <w:color w:val="000000"/>
          <w:szCs w:val="24"/>
        </w:rPr>
        <w:t xml:space="preserve"> </w:t>
      </w:r>
      <w:r w:rsidRPr="00FA5B39">
        <w:rPr>
          <w:rFonts w:cs="Arial"/>
          <w:bCs/>
          <w:i/>
          <w:color w:val="000000"/>
          <w:szCs w:val="24"/>
        </w:rPr>
        <w:t>Special Plea 1 – Entrustment</w:t>
      </w:r>
    </w:p>
    <w:p w14:paraId="59B922F2" w14:textId="52D46BED" w:rsidR="0018414A" w:rsidRPr="00734D0B" w:rsidRDefault="001D1774" w:rsidP="001D1774">
      <w:pPr>
        <w:pStyle w:val="JudgmentNumbered"/>
        <w:numPr>
          <w:ilvl w:val="0"/>
          <w:numId w:val="0"/>
        </w:numPr>
        <w:ind w:left="567" w:hanging="567"/>
      </w:pPr>
      <w:r w:rsidRPr="00734D0B">
        <w:t>[34]</w:t>
      </w:r>
      <w:r w:rsidRPr="00734D0B">
        <w:tab/>
      </w:r>
      <w:r w:rsidR="0018414A" w:rsidRPr="00734D0B">
        <w:t xml:space="preserve">In relation to the Special Plea 2 the </w:t>
      </w:r>
      <w:r w:rsidR="00BF1474">
        <w:t>d</w:t>
      </w:r>
      <w:r w:rsidR="0018414A" w:rsidRPr="00734D0B">
        <w:t xml:space="preserve">efendant pleads that the </w:t>
      </w:r>
      <w:r w:rsidR="00BF1474">
        <w:t>p</w:t>
      </w:r>
      <w:r w:rsidR="0018414A" w:rsidRPr="00734D0B">
        <w:t>laintiff is a money lender who lends money to schemes. Liebenberg (the purported agent) was in fact not acting on behalf of Drimar, nor did he possess any mandate and/or instruction from Drimar to apply for and/or secure any such loan. Drimar never received any money from the (</w:t>
      </w:r>
      <w:r w:rsidR="00BF1474">
        <w:t>p</w:t>
      </w:r>
      <w:r w:rsidR="0018414A" w:rsidRPr="00734D0B">
        <w:t xml:space="preserve">laintiff) nor did it commission the agent to act on its behalf in accepting any money. The loss incurred by the </w:t>
      </w:r>
      <w:r w:rsidR="00BF1474">
        <w:t>p</w:t>
      </w:r>
      <w:r w:rsidR="0018414A" w:rsidRPr="00734D0B">
        <w:t xml:space="preserve">laintiff as a result of the alleged fraudulent conduct of the agent, is a consequence of the </w:t>
      </w:r>
      <w:r w:rsidR="00BF1474">
        <w:t>p</w:t>
      </w:r>
      <w:r w:rsidR="0018414A" w:rsidRPr="00734D0B">
        <w:t xml:space="preserve">laintiff failing to conduct proper due diligence, prior to advancing any such monies to the agent. </w:t>
      </w:r>
    </w:p>
    <w:p w14:paraId="3285CE2D" w14:textId="743FE8D7" w:rsidR="0018414A" w:rsidRPr="00734D0B" w:rsidRDefault="001D1774" w:rsidP="001D1774">
      <w:pPr>
        <w:pStyle w:val="JudgmentNumbered"/>
        <w:numPr>
          <w:ilvl w:val="0"/>
          <w:numId w:val="0"/>
        </w:numPr>
        <w:ind w:left="567" w:hanging="567"/>
      </w:pPr>
      <w:r w:rsidRPr="00734D0B">
        <w:t>[35]</w:t>
      </w:r>
      <w:r w:rsidRPr="00734D0B">
        <w:tab/>
      </w:r>
      <w:r w:rsidR="0018414A" w:rsidRPr="00734D0B">
        <w:t xml:space="preserve">The </w:t>
      </w:r>
      <w:r w:rsidR="008B5136">
        <w:t>d</w:t>
      </w:r>
      <w:r w:rsidR="0018414A" w:rsidRPr="00734D0B">
        <w:t>efendant denies that Liebenberg at all material times was acting for a body corporate, or that he</w:t>
      </w:r>
      <w:r w:rsidR="00447AD4">
        <w:t xml:space="preserve"> was</w:t>
      </w:r>
      <w:r w:rsidR="0018414A" w:rsidRPr="00734D0B">
        <w:t xml:space="preserve"> instructed and/or mandated to do so. On this basis it argues that the moneys advanced by the </w:t>
      </w:r>
      <w:r w:rsidR="00BF1474">
        <w:t>p</w:t>
      </w:r>
      <w:r w:rsidR="0018414A" w:rsidRPr="00734D0B">
        <w:t xml:space="preserve">laintiff, to the agent are therefore not trust money, as envisaged by the Act, but rather a loan which was fraudulently sought and obtained by the agent. The funds in question which the agent received from the </w:t>
      </w:r>
      <w:r w:rsidR="00BF1474">
        <w:t>p</w:t>
      </w:r>
      <w:r w:rsidR="0018414A" w:rsidRPr="00734D0B">
        <w:t xml:space="preserve">laintiff thus could never have been trust money, even if the </w:t>
      </w:r>
      <w:r w:rsidR="00BF1474">
        <w:t>p</w:t>
      </w:r>
      <w:r w:rsidR="0018414A" w:rsidRPr="00734D0B">
        <w:t xml:space="preserve">laintiff </w:t>
      </w:r>
      <w:r w:rsidR="00D53F93">
        <w:t xml:space="preserve">was </w:t>
      </w:r>
      <w:r w:rsidR="0018414A" w:rsidRPr="00734D0B">
        <w:t xml:space="preserve">under the impression that such funds were held in trust. </w:t>
      </w:r>
    </w:p>
    <w:p w14:paraId="05611E7F" w14:textId="6DD3DFDC" w:rsidR="0018414A" w:rsidRPr="00734D0B" w:rsidRDefault="001D1774" w:rsidP="001D1774">
      <w:pPr>
        <w:pStyle w:val="JudgmentNumbered"/>
        <w:numPr>
          <w:ilvl w:val="0"/>
          <w:numId w:val="0"/>
        </w:numPr>
        <w:ind w:left="567" w:hanging="567"/>
      </w:pPr>
      <w:r w:rsidRPr="00734D0B">
        <w:t>[36]</w:t>
      </w:r>
      <w:r w:rsidRPr="00734D0B">
        <w:tab/>
      </w:r>
      <w:r w:rsidR="0018414A" w:rsidRPr="00734D0B">
        <w:t xml:space="preserve">The </w:t>
      </w:r>
      <w:r w:rsidR="00BF1474">
        <w:t>d</w:t>
      </w:r>
      <w:r w:rsidR="0018414A" w:rsidRPr="00734D0B">
        <w:t xml:space="preserve">efendant argues that the </w:t>
      </w:r>
      <w:r w:rsidR="00BF1474">
        <w:t>p</w:t>
      </w:r>
      <w:r w:rsidR="0018414A" w:rsidRPr="00734D0B">
        <w:t xml:space="preserve">laintiff is thus not a trust creditor as envisaged in the Act or otherwise is not empowered institute a claim against the as it does not enjoy the protection afforded to trust creditors as defined in the Act.  </w:t>
      </w:r>
    </w:p>
    <w:p w14:paraId="4496020E" w14:textId="748001D9" w:rsidR="00D53F93" w:rsidRPr="00FA5B39" w:rsidRDefault="001D1774" w:rsidP="001D1774">
      <w:pPr>
        <w:pStyle w:val="JudgmentNumbered"/>
        <w:numPr>
          <w:ilvl w:val="0"/>
          <w:numId w:val="0"/>
        </w:numPr>
        <w:ind w:left="567" w:hanging="567"/>
      </w:pPr>
      <w:r w:rsidRPr="00FA5B39">
        <w:lastRenderedPageBreak/>
        <w:t>[37]</w:t>
      </w:r>
      <w:r w:rsidRPr="00FA5B39">
        <w:tab/>
      </w:r>
      <w:r w:rsidR="0018414A" w:rsidRPr="00734D0B">
        <w:rPr>
          <w:color w:val="000000"/>
          <w:szCs w:val="24"/>
        </w:rPr>
        <w:t>In section</w:t>
      </w:r>
      <w:r w:rsidR="0018414A">
        <w:rPr>
          <w:color w:val="000000"/>
          <w:szCs w:val="24"/>
        </w:rPr>
        <w:t xml:space="preserve"> </w:t>
      </w:r>
      <w:r w:rsidR="0018414A" w:rsidRPr="00734D0B">
        <w:rPr>
          <w:color w:val="000000"/>
          <w:szCs w:val="24"/>
        </w:rPr>
        <w:t xml:space="preserve">1 of the Act </w:t>
      </w:r>
      <w:r w:rsidR="00D53F93">
        <w:rPr>
          <w:color w:val="000000"/>
          <w:szCs w:val="24"/>
        </w:rPr>
        <w:t>“</w:t>
      </w:r>
      <w:r w:rsidR="0018414A" w:rsidRPr="00734D0B">
        <w:rPr>
          <w:color w:val="000000"/>
          <w:szCs w:val="24"/>
        </w:rPr>
        <w:t>estate agent</w:t>
      </w:r>
      <w:r w:rsidR="00D53F93">
        <w:rPr>
          <w:color w:val="000000"/>
          <w:szCs w:val="24"/>
        </w:rPr>
        <w:t>”</w:t>
      </w:r>
      <w:r w:rsidR="0018414A" w:rsidRPr="00734D0B">
        <w:rPr>
          <w:color w:val="000000"/>
          <w:szCs w:val="24"/>
        </w:rPr>
        <w:t xml:space="preserve"> is defined: </w:t>
      </w:r>
    </w:p>
    <w:p w14:paraId="156080A1" w14:textId="1490A366" w:rsidR="00E61016" w:rsidRPr="00FA5B39" w:rsidRDefault="00D53F93" w:rsidP="00FA5B39">
      <w:pPr>
        <w:pStyle w:val="JudgmentNumbered"/>
        <w:numPr>
          <w:ilvl w:val="0"/>
          <w:numId w:val="0"/>
        </w:numPr>
        <w:ind w:left="1440"/>
        <w:rPr>
          <w:sz w:val="22"/>
        </w:rPr>
      </w:pPr>
      <w:r w:rsidRPr="00FA5B39">
        <w:rPr>
          <w:color w:val="000000"/>
          <w:sz w:val="22"/>
        </w:rPr>
        <w:t>“</w:t>
      </w:r>
      <w:r w:rsidR="0018414A" w:rsidRPr="00FA5B39">
        <w:rPr>
          <w:color w:val="000000"/>
          <w:sz w:val="22"/>
        </w:rPr>
        <w:t>(a) means any person who for the acquisition of gain on his own account or in partnership, in any manner holds himself out as a person who, or directly or indirectly advertises that he, on the instructions of or on behalf of any other person- (i) sells or purchases or publicly exhibits for sale immovable property or any business undertaking or negotiates in connection therewith or canvasses or undertakes or offers to canvas a seller or purchaser therefor; or (ii) lets or hires or publicly exhibits for hire immovable property or any business undertaking or negotiates in connection therewith or canvasses or undertakes or offers to canvass a lessee or lessor therefor; or (iii) collects or receives any moneys payable on account of a lease of immovable property or any business undertaking; or (iv) renders any such other service as the Minister on the recommendation of the board may specify from time to time by notice in the Gazette.</w:t>
      </w:r>
      <w:r w:rsidRPr="00FA5B39">
        <w:rPr>
          <w:color w:val="000000"/>
          <w:sz w:val="22"/>
        </w:rPr>
        <w:t>”</w:t>
      </w:r>
    </w:p>
    <w:p w14:paraId="02AB563B" w14:textId="257E2C8E" w:rsidR="00FB420D" w:rsidRDefault="001D1774" w:rsidP="001D1774">
      <w:pPr>
        <w:pStyle w:val="JudgmentNumbered"/>
        <w:numPr>
          <w:ilvl w:val="0"/>
          <w:numId w:val="0"/>
        </w:numPr>
        <w:ind w:left="567" w:hanging="567"/>
      </w:pPr>
      <w:r>
        <w:t>[38]</w:t>
      </w:r>
      <w:r>
        <w:tab/>
      </w:r>
      <w:r w:rsidR="000F1FE5">
        <w:t>“T</w:t>
      </w:r>
      <w:r w:rsidR="0018414A" w:rsidRPr="00734D0B">
        <w:t>rust money</w:t>
      </w:r>
      <w:r w:rsidR="00FB420D">
        <w:t>”</w:t>
      </w:r>
      <w:r w:rsidR="0018414A" w:rsidRPr="00734D0B">
        <w:t xml:space="preserve"> means</w:t>
      </w:r>
      <w:r w:rsidR="00FB420D">
        <w:t>:</w:t>
      </w:r>
      <w:r w:rsidR="0018414A" w:rsidRPr="00734D0B">
        <w:t xml:space="preserve"> </w:t>
      </w:r>
    </w:p>
    <w:p w14:paraId="39A782A6" w14:textId="732F8FC4" w:rsidR="0018414A" w:rsidRPr="00FA5B39" w:rsidRDefault="00FB420D" w:rsidP="00FA5B39">
      <w:pPr>
        <w:pStyle w:val="JudgmentNumbered"/>
        <w:numPr>
          <w:ilvl w:val="0"/>
          <w:numId w:val="0"/>
        </w:numPr>
        <w:ind w:left="1440"/>
        <w:rPr>
          <w:sz w:val="22"/>
        </w:rPr>
      </w:pPr>
      <w:r w:rsidRPr="00FA5B39">
        <w:rPr>
          <w:sz w:val="22"/>
        </w:rPr>
        <w:t>“</w:t>
      </w:r>
      <w:r w:rsidR="0018414A" w:rsidRPr="00FA5B39">
        <w:rPr>
          <w:sz w:val="22"/>
        </w:rPr>
        <w:t xml:space="preserve">a) </w:t>
      </w:r>
      <w:bookmarkStart w:id="7" w:name="_Hlk159339094"/>
      <w:r w:rsidR="0018414A" w:rsidRPr="00FA5B39">
        <w:rPr>
          <w:sz w:val="22"/>
        </w:rPr>
        <w:t>money or other property entrusted to an estate agent in his or her capacity as an estate agent</w:t>
      </w:r>
      <w:bookmarkEnd w:id="7"/>
      <w:r w:rsidR="0018414A" w:rsidRPr="00FA5B39">
        <w:rPr>
          <w:sz w:val="22"/>
        </w:rPr>
        <w:t>; b) money collected or received by an estate agent and payable in respect of or on account of any act referred to in subparagraph (i), (ii), (iii) or (iv) of paragraph (a) of the definition of 'estate agent'; c) any other monies, including insurance premiums, collected or received by an estate agent and payable in respect of any immovable property, business undertaking or contract for the building or erection of any improvements on immovable property.</w:t>
      </w:r>
      <w:r w:rsidRPr="00FA5B39">
        <w:rPr>
          <w:sz w:val="22"/>
        </w:rPr>
        <w:t>”</w:t>
      </w:r>
    </w:p>
    <w:p w14:paraId="5FF823E8" w14:textId="4744625C" w:rsidR="00A83A79" w:rsidRPr="001422BA" w:rsidRDefault="001D1774" w:rsidP="001D1774">
      <w:pPr>
        <w:pStyle w:val="JudgmentNumbered"/>
        <w:numPr>
          <w:ilvl w:val="0"/>
          <w:numId w:val="0"/>
        </w:numPr>
        <w:ind w:left="567" w:hanging="567"/>
        <w:rPr>
          <w:szCs w:val="24"/>
        </w:rPr>
      </w:pPr>
      <w:r w:rsidRPr="001422BA">
        <w:rPr>
          <w:szCs w:val="24"/>
        </w:rPr>
        <w:t>[39]</w:t>
      </w:r>
      <w:r w:rsidRPr="001422BA">
        <w:rPr>
          <w:szCs w:val="24"/>
        </w:rPr>
        <w:tab/>
      </w:r>
      <w:r w:rsidR="0018414A" w:rsidRPr="001422BA">
        <w:rPr>
          <w:color w:val="000000"/>
          <w:szCs w:val="24"/>
        </w:rPr>
        <w:t xml:space="preserve">Mr Mostert on behalf of the </w:t>
      </w:r>
      <w:r w:rsidR="00BF1474" w:rsidRPr="001422BA">
        <w:rPr>
          <w:color w:val="000000"/>
          <w:szCs w:val="24"/>
        </w:rPr>
        <w:t>p</w:t>
      </w:r>
      <w:r w:rsidR="0018414A" w:rsidRPr="000232BE">
        <w:rPr>
          <w:color w:val="000000"/>
          <w:szCs w:val="24"/>
        </w:rPr>
        <w:t xml:space="preserve">laintiff pointed out that </w:t>
      </w:r>
      <w:r w:rsidR="00FC5D76" w:rsidRPr="000232BE">
        <w:rPr>
          <w:color w:val="000000"/>
          <w:szCs w:val="24"/>
        </w:rPr>
        <w:t>“</w:t>
      </w:r>
      <w:r w:rsidR="0018414A" w:rsidRPr="00B71FF5">
        <w:rPr>
          <w:color w:val="000000"/>
          <w:szCs w:val="24"/>
        </w:rPr>
        <w:t>trust</w:t>
      </w:r>
      <w:r w:rsidR="0018414A" w:rsidRPr="002C4271">
        <w:rPr>
          <w:color w:val="000000"/>
          <w:szCs w:val="24"/>
        </w:rPr>
        <w:t xml:space="preserve"> creditor</w:t>
      </w:r>
      <w:r w:rsidR="00370B64" w:rsidRPr="002C4271">
        <w:rPr>
          <w:color w:val="000000"/>
          <w:szCs w:val="24"/>
        </w:rPr>
        <w:t>”</w:t>
      </w:r>
      <w:r w:rsidR="0018414A" w:rsidRPr="002C4271">
        <w:rPr>
          <w:color w:val="000000"/>
          <w:szCs w:val="24"/>
        </w:rPr>
        <w:t xml:space="preserve"> is not a defined term in the Act. The </w:t>
      </w:r>
      <w:r w:rsidR="00BF1474" w:rsidRPr="002C4271">
        <w:rPr>
          <w:color w:val="000000"/>
          <w:szCs w:val="24"/>
        </w:rPr>
        <w:t>p</w:t>
      </w:r>
      <w:r w:rsidR="0018414A" w:rsidRPr="002C4271">
        <w:rPr>
          <w:color w:val="000000"/>
          <w:szCs w:val="24"/>
        </w:rPr>
        <w:t xml:space="preserve">laintiff submits that managing agents as referred to in the Regulations to </w:t>
      </w:r>
      <w:r w:rsidR="0018414A" w:rsidRPr="00F601B0">
        <w:rPr>
          <w:color w:val="000000"/>
          <w:szCs w:val="24"/>
        </w:rPr>
        <w:t>Sectional Title Schemes Management Act</w:t>
      </w:r>
      <w:r w:rsidR="0018414A" w:rsidRPr="001422BA">
        <w:rPr>
          <w:rStyle w:val="FootnoteReference"/>
          <w:color w:val="000000"/>
          <w:szCs w:val="24"/>
        </w:rPr>
        <w:footnoteReference w:id="12"/>
      </w:r>
      <w:r w:rsidR="0018414A" w:rsidRPr="00FA5B39">
        <w:rPr>
          <w:color w:val="000000"/>
          <w:szCs w:val="24"/>
        </w:rPr>
        <w:t xml:space="preserve"> </w:t>
      </w:r>
      <w:r w:rsidR="002C4271" w:rsidRPr="001422BA">
        <w:rPr>
          <w:color w:val="000000"/>
          <w:szCs w:val="24"/>
        </w:rPr>
        <w:t>re</w:t>
      </w:r>
      <w:r w:rsidR="0018414A" w:rsidRPr="001422BA">
        <w:rPr>
          <w:color w:val="000000"/>
          <w:szCs w:val="24"/>
        </w:rPr>
        <w:t xml:space="preserve">ad with the </w:t>
      </w:r>
      <w:r w:rsidR="0018414A" w:rsidRPr="00F601B0">
        <w:rPr>
          <w:color w:val="000000"/>
          <w:szCs w:val="24"/>
        </w:rPr>
        <w:t>Community Schemes Ombud Service Act</w:t>
      </w:r>
      <w:r w:rsidR="0018414A" w:rsidRPr="001422BA">
        <w:rPr>
          <w:rStyle w:val="FootnoteReference"/>
          <w:color w:val="000000"/>
          <w:szCs w:val="24"/>
        </w:rPr>
        <w:footnoteReference w:id="13"/>
      </w:r>
      <w:r w:rsidR="0018414A" w:rsidRPr="001422BA">
        <w:rPr>
          <w:color w:val="000000"/>
          <w:szCs w:val="24"/>
        </w:rPr>
        <w:t xml:space="preserve"> were included in the definition of estate agent by virtue of section 2 of the Government Notice Regulation 1485/1981 published on 17 July 1981 in </w:t>
      </w:r>
      <w:r w:rsidR="0018414A" w:rsidRPr="00E074FA">
        <w:rPr>
          <w:color w:val="000000"/>
          <w:szCs w:val="24"/>
        </w:rPr>
        <w:t>Government Gazette 7663 RG 3233, which included the services of collecting and receiving m</w:t>
      </w:r>
      <w:r w:rsidR="0018414A" w:rsidRPr="001422BA">
        <w:rPr>
          <w:color w:val="000000"/>
          <w:szCs w:val="24"/>
        </w:rPr>
        <w:t xml:space="preserve">oney payable by any </w:t>
      </w:r>
      <w:r w:rsidR="0018414A" w:rsidRPr="001422BA">
        <w:rPr>
          <w:color w:val="000000"/>
          <w:szCs w:val="24"/>
        </w:rPr>
        <w:lastRenderedPageBreak/>
        <w:t xml:space="preserve">person to a body corporate in terms of the </w:t>
      </w:r>
      <w:r w:rsidR="0018414A" w:rsidRPr="00E074FA">
        <w:rPr>
          <w:color w:val="000000"/>
          <w:szCs w:val="24"/>
        </w:rPr>
        <w:t>Sectional Titles Act</w:t>
      </w:r>
      <w:r w:rsidR="00FC5D76" w:rsidRPr="001422BA">
        <w:rPr>
          <w:rStyle w:val="FootnoteReference"/>
          <w:color w:val="000000"/>
          <w:szCs w:val="24"/>
        </w:rPr>
        <w:footnoteReference w:id="14"/>
      </w:r>
      <w:r w:rsidR="0018414A" w:rsidRPr="001422BA">
        <w:rPr>
          <w:color w:val="000000"/>
          <w:szCs w:val="24"/>
        </w:rPr>
        <w:t>, in respect of a unit, as being those performed by an estate agent.</w:t>
      </w:r>
    </w:p>
    <w:p w14:paraId="73EC5D49" w14:textId="35382DDE" w:rsidR="0018414A" w:rsidRPr="0018414A" w:rsidRDefault="001D1774" w:rsidP="001D1774">
      <w:pPr>
        <w:pStyle w:val="JudgmentNumbered"/>
        <w:numPr>
          <w:ilvl w:val="0"/>
          <w:numId w:val="0"/>
        </w:numPr>
        <w:ind w:left="567" w:hanging="567"/>
      </w:pPr>
      <w:r w:rsidRPr="0018414A">
        <w:t>[40]</w:t>
      </w:r>
      <w:r w:rsidRPr="0018414A">
        <w:tab/>
      </w:r>
      <w:r w:rsidR="0018414A" w:rsidRPr="00734D0B">
        <w:rPr>
          <w:color w:val="000000"/>
          <w:szCs w:val="24"/>
        </w:rPr>
        <w:t xml:space="preserve">Hence Liebenberg by virtue of being a managing agent of Drimar was deemed </w:t>
      </w:r>
      <w:r w:rsidR="0018414A" w:rsidRPr="0046587B">
        <w:rPr>
          <w:color w:val="000000"/>
          <w:szCs w:val="24"/>
        </w:rPr>
        <w:t>to be an estate agent under the Act and money paid to his trust account was that</w:t>
      </w:r>
      <w:r w:rsidR="0018414A">
        <w:rPr>
          <w:color w:val="000000"/>
          <w:szCs w:val="24"/>
        </w:rPr>
        <w:t xml:space="preserve"> </w:t>
      </w:r>
      <w:r w:rsidR="0018414A" w:rsidRPr="00734D0B">
        <w:rPr>
          <w:color w:val="000000"/>
          <w:szCs w:val="24"/>
        </w:rPr>
        <w:t>contemplated in the definition being money or other property entrusted to an estate agent in his or her capacity as an estate agent.</w:t>
      </w:r>
    </w:p>
    <w:p w14:paraId="4D8671BE" w14:textId="4ED0A434" w:rsidR="00A83A79" w:rsidRPr="0018414A" w:rsidRDefault="001D1774" w:rsidP="001D1774">
      <w:pPr>
        <w:pStyle w:val="JudgmentNumbered"/>
        <w:numPr>
          <w:ilvl w:val="0"/>
          <w:numId w:val="0"/>
        </w:numPr>
        <w:ind w:left="567" w:hanging="567"/>
      </w:pPr>
      <w:r w:rsidRPr="0018414A">
        <w:t>[41]</w:t>
      </w:r>
      <w:r w:rsidRPr="0018414A">
        <w:tab/>
      </w:r>
      <w:r w:rsidR="0018414A" w:rsidRPr="00734D0B">
        <w:rPr>
          <w:color w:val="000000"/>
          <w:szCs w:val="24"/>
          <w:lang w:val="en-US"/>
        </w:rPr>
        <w:t>During argument Mr Mostert submitted that there was evidence before me to support this because in para</w:t>
      </w:r>
      <w:r w:rsidR="0018414A">
        <w:rPr>
          <w:color w:val="000000"/>
          <w:szCs w:val="24"/>
          <w:lang w:val="en-US"/>
        </w:rPr>
        <w:t>graph</w:t>
      </w:r>
      <w:r w:rsidR="0018414A" w:rsidRPr="00734D0B">
        <w:rPr>
          <w:color w:val="000000"/>
          <w:szCs w:val="24"/>
          <w:lang w:val="en-US"/>
        </w:rPr>
        <w:t xml:space="preserve"> 6 of the </w:t>
      </w:r>
      <w:r w:rsidR="00677C9B">
        <w:rPr>
          <w:color w:val="000000"/>
          <w:szCs w:val="24"/>
          <w:lang w:val="en-US"/>
        </w:rPr>
        <w:t>p</w:t>
      </w:r>
      <w:r w:rsidR="0018414A" w:rsidRPr="00734D0B">
        <w:rPr>
          <w:color w:val="000000"/>
          <w:szCs w:val="24"/>
          <w:lang w:val="en-US"/>
        </w:rPr>
        <w:t xml:space="preserve">articulars of </w:t>
      </w:r>
      <w:r w:rsidR="00677C9B">
        <w:rPr>
          <w:color w:val="000000"/>
          <w:szCs w:val="24"/>
          <w:lang w:val="en-US"/>
        </w:rPr>
        <w:t>c</w:t>
      </w:r>
      <w:r w:rsidR="0018414A" w:rsidRPr="00734D0B">
        <w:rPr>
          <w:color w:val="000000"/>
          <w:szCs w:val="24"/>
          <w:lang w:val="en-US"/>
        </w:rPr>
        <w:t xml:space="preserve">laim the </w:t>
      </w:r>
      <w:r w:rsidR="00BF1474">
        <w:rPr>
          <w:color w:val="000000"/>
          <w:szCs w:val="24"/>
          <w:lang w:val="en-US"/>
        </w:rPr>
        <w:t>p</w:t>
      </w:r>
      <w:r w:rsidR="0018414A" w:rsidRPr="00734D0B">
        <w:rPr>
          <w:color w:val="000000"/>
          <w:szCs w:val="24"/>
          <w:lang w:val="en-US"/>
        </w:rPr>
        <w:t>laintiff alleges that Liebenberg was the duly appointed managing agent for the Drimar</w:t>
      </w:r>
      <w:r w:rsidR="0018414A">
        <w:rPr>
          <w:color w:val="000000"/>
          <w:szCs w:val="24"/>
          <w:lang w:val="en-US"/>
        </w:rPr>
        <w:t xml:space="preserve"> </w:t>
      </w:r>
      <w:r w:rsidR="0018414A" w:rsidRPr="00734D0B">
        <w:rPr>
          <w:color w:val="000000"/>
          <w:szCs w:val="24"/>
          <w:lang w:val="en-US"/>
        </w:rPr>
        <w:t>Body Corporate.</w:t>
      </w:r>
      <w:r w:rsidR="0018414A" w:rsidRPr="00734D0B">
        <w:rPr>
          <w:rStyle w:val="FootnoteReference"/>
          <w:color w:val="000000"/>
          <w:szCs w:val="24"/>
          <w:lang w:val="en-US"/>
        </w:rPr>
        <w:footnoteReference w:id="15"/>
      </w:r>
      <w:r w:rsidR="0018414A" w:rsidRPr="00734D0B">
        <w:rPr>
          <w:color w:val="000000"/>
          <w:szCs w:val="24"/>
          <w:lang w:val="en-US"/>
        </w:rPr>
        <w:t xml:space="preserve"> Further </w:t>
      </w:r>
      <w:r w:rsidR="003361E4">
        <w:rPr>
          <w:color w:val="000000"/>
          <w:szCs w:val="24"/>
          <w:lang w:val="en-US"/>
        </w:rPr>
        <w:t>at</w:t>
      </w:r>
      <w:r w:rsidR="0018414A" w:rsidRPr="00734D0B">
        <w:rPr>
          <w:color w:val="000000"/>
          <w:szCs w:val="24"/>
          <w:lang w:val="en-US"/>
        </w:rPr>
        <w:t xml:space="preserve"> para</w:t>
      </w:r>
      <w:r w:rsidR="0018414A">
        <w:rPr>
          <w:color w:val="000000"/>
          <w:szCs w:val="24"/>
          <w:lang w:val="en-US"/>
        </w:rPr>
        <w:t>graph</w:t>
      </w:r>
      <w:r w:rsidR="0018414A" w:rsidRPr="00734D0B">
        <w:rPr>
          <w:color w:val="000000"/>
          <w:szCs w:val="24"/>
          <w:lang w:val="en-US"/>
        </w:rPr>
        <w:t xml:space="preserve"> 8 of the supporting affidavit in this application, it is alleged under oath that Liebenberg, alternatively Fortress Properties was the duly appointed managing agent for Drimar Court</w:t>
      </w:r>
      <w:r w:rsidR="0018414A">
        <w:rPr>
          <w:color w:val="000000"/>
          <w:szCs w:val="24"/>
          <w:lang w:val="en-US"/>
        </w:rPr>
        <w:t>.</w:t>
      </w:r>
    </w:p>
    <w:p w14:paraId="65258CC2" w14:textId="20EA1266" w:rsidR="0018414A" w:rsidRPr="00734D0B" w:rsidRDefault="001D1774" w:rsidP="001D1774">
      <w:pPr>
        <w:pStyle w:val="JudgmentNumbered"/>
        <w:numPr>
          <w:ilvl w:val="0"/>
          <w:numId w:val="0"/>
        </w:numPr>
        <w:ind w:left="567" w:hanging="567"/>
        <w:rPr>
          <w:lang w:val="en-US"/>
        </w:rPr>
      </w:pPr>
      <w:r w:rsidRPr="00734D0B">
        <w:rPr>
          <w:lang w:val="en-US"/>
        </w:rPr>
        <w:t>[42]</w:t>
      </w:r>
      <w:r w:rsidRPr="00734D0B">
        <w:rPr>
          <w:lang w:val="en-US"/>
        </w:rPr>
        <w:tab/>
      </w:r>
      <w:r w:rsidR="0018414A" w:rsidRPr="00734D0B">
        <w:rPr>
          <w:lang w:val="en-US"/>
        </w:rPr>
        <w:t xml:space="preserve">The </w:t>
      </w:r>
      <w:r w:rsidR="00BF1474">
        <w:rPr>
          <w:lang w:val="en-US"/>
        </w:rPr>
        <w:t>d</w:t>
      </w:r>
      <w:r w:rsidR="0018414A" w:rsidRPr="00734D0B">
        <w:rPr>
          <w:lang w:val="en-US"/>
        </w:rPr>
        <w:t>efendant</w:t>
      </w:r>
      <w:r w:rsidR="0018414A">
        <w:rPr>
          <w:lang w:val="en-US"/>
        </w:rPr>
        <w:t xml:space="preserve"> </w:t>
      </w:r>
      <w:r w:rsidR="0018414A" w:rsidRPr="00734D0B">
        <w:rPr>
          <w:lang w:val="en-US"/>
        </w:rPr>
        <w:t xml:space="preserve">on the other hand has placed this in dispute and puts the </w:t>
      </w:r>
      <w:r w:rsidR="006B1471">
        <w:rPr>
          <w:lang w:val="en-US"/>
        </w:rPr>
        <w:t>p</w:t>
      </w:r>
      <w:r w:rsidR="0018414A" w:rsidRPr="00734D0B">
        <w:rPr>
          <w:lang w:val="en-US"/>
        </w:rPr>
        <w:t>laintiff to the proof thereof</w:t>
      </w:r>
      <w:r w:rsidR="0018414A">
        <w:rPr>
          <w:lang w:val="en-US"/>
        </w:rPr>
        <w:t xml:space="preserve"> - s</w:t>
      </w:r>
      <w:r w:rsidR="0018414A" w:rsidRPr="00734D0B">
        <w:rPr>
          <w:lang w:val="en-US"/>
        </w:rPr>
        <w:t>ee para</w:t>
      </w:r>
      <w:r w:rsidR="0018414A">
        <w:rPr>
          <w:lang w:val="en-US"/>
        </w:rPr>
        <w:t>graph</w:t>
      </w:r>
      <w:r w:rsidR="0018414A" w:rsidRPr="00734D0B">
        <w:rPr>
          <w:lang w:val="en-US"/>
        </w:rPr>
        <w:t xml:space="preserve"> 6 of the defendant’s plea</w:t>
      </w:r>
      <w:r w:rsidR="0018414A" w:rsidRPr="00734D0B">
        <w:rPr>
          <w:rStyle w:val="FootnoteReference"/>
          <w:color w:val="000000"/>
          <w:szCs w:val="24"/>
          <w:lang w:val="en-US"/>
        </w:rPr>
        <w:footnoteReference w:id="16"/>
      </w:r>
      <w:r w:rsidR="0018414A" w:rsidRPr="00734D0B">
        <w:rPr>
          <w:lang w:val="en-US"/>
        </w:rPr>
        <w:t xml:space="preserve"> and para</w:t>
      </w:r>
      <w:r w:rsidR="0018414A">
        <w:rPr>
          <w:lang w:val="en-US"/>
        </w:rPr>
        <w:t>graph</w:t>
      </w:r>
      <w:r w:rsidR="0018414A" w:rsidRPr="00734D0B">
        <w:rPr>
          <w:lang w:val="en-US"/>
        </w:rPr>
        <w:t xml:space="preserve"> 6 of the opposing affidavit.</w:t>
      </w:r>
      <w:r w:rsidR="0018414A" w:rsidRPr="00734D0B">
        <w:rPr>
          <w:rStyle w:val="FootnoteReference"/>
          <w:color w:val="000000"/>
          <w:szCs w:val="24"/>
          <w:lang w:val="en-US"/>
        </w:rPr>
        <w:footnoteReference w:id="17"/>
      </w:r>
      <w:r w:rsidR="0018414A" w:rsidRPr="00734D0B">
        <w:rPr>
          <w:lang w:val="en-US"/>
        </w:rPr>
        <w:t xml:space="preserve"> </w:t>
      </w:r>
    </w:p>
    <w:p w14:paraId="0F7C4B69" w14:textId="3313FD52" w:rsidR="00517561" w:rsidRPr="00734D0B" w:rsidRDefault="001D1774" w:rsidP="001D1774">
      <w:pPr>
        <w:pStyle w:val="JudgmentNumbered"/>
        <w:numPr>
          <w:ilvl w:val="0"/>
          <w:numId w:val="0"/>
        </w:numPr>
        <w:ind w:left="567" w:hanging="567"/>
      </w:pPr>
      <w:r w:rsidRPr="00734D0B">
        <w:t>[43]</w:t>
      </w:r>
      <w:r w:rsidRPr="00734D0B">
        <w:tab/>
      </w:r>
      <w:r w:rsidR="00517561" w:rsidRPr="00734D0B">
        <w:t xml:space="preserve">In Mr Mostert’s view the SCA judgment </w:t>
      </w:r>
      <w:r w:rsidR="00517561" w:rsidRPr="00734D0B">
        <w:rPr>
          <w:i/>
          <w:iCs/>
        </w:rPr>
        <w:t xml:space="preserve">Industrial &amp; Commercial Factors (Pty) Limited v Attorneys Fidelity </w:t>
      </w:r>
      <w:r w:rsidR="00517561" w:rsidRPr="00734D0B">
        <w:t>Fund</w:t>
      </w:r>
      <w:r w:rsidR="00517561" w:rsidRPr="00734D0B">
        <w:rPr>
          <w:i/>
          <w:iCs/>
        </w:rPr>
        <w:t xml:space="preserve"> Board of Control</w:t>
      </w:r>
      <w:r w:rsidR="00517561" w:rsidRPr="00734D0B">
        <w:rPr>
          <w:rStyle w:val="FootnoteReference"/>
          <w:color w:val="000000"/>
          <w:szCs w:val="24"/>
        </w:rPr>
        <w:footnoteReference w:id="18"/>
      </w:r>
      <w:r w:rsidR="00517561" w:rsidRPr="00734D0B">
        <w:t xml:space="preserve"> is applicable to this matter on whether the monies paid to Liebenberg were trust money. In that case, the SCA held that on the facts of that case it was clear that the appellant’s intention was that the money should be entrusted i.e. paid into an attorney’s trust account (on the basis of fraud and later stolen by the attorney) on behalf of a third party.</w:t>
      </w:r>
    </w:p>
    <w:p w14:paraId="2D16CD77" w14:textId="450A3159" w:rsidR="0018414A" w:rsidRPr="00517561" w:rsidRDefault="001D1774" w:rsidP="001D1774">
      <w:pPr>
        <w:pStyle w:val="JudgmentNumbered"/>
        <w:numPr>
          <w:ilvl w:val="0"/>
          <w:numId w:val="0"/>
        </w:numPr>
        <w:ind w:left="567" w:hanging="567"/>
      </w:pPr>
      <w:r w:rsidRPr="00517561">
        <w:t>[44]</w:t>
      </w:r>
      <w:r w:rsidRPr="00517561">
        <w:tab/>
      </w:r>
      <w:r w:rsidR="00517561" w:rsidRPr="00734D0B">
        <w:rPr>
          <w:color w:val="000000"/>
          <w:szCs w:val="24"/>
        </w:rPr>
        <w:t xml:space="preserve">However, the court in </w:t>
      </w:r>
      <w:r w:rsidR="00517561" w:rsidRPr="00734D0B">
        <w:rPr>
          <w:i/>
          <w:iCs/>
          <w:color w:val="000000"/>
          <w:szCs w:val="24"/>
        </w:rPr>
        <w:t>Industrial &amp; Commercial</w:t>
      </w:r>
      <w:r w:rsidR="00E64E56">
        <w:rPr>
          <w:i/>
          <w:iCs/>
          <w:color w:val="000000"/>
          <w:szCs w:val="24"/>
        </w:rPr>
        <w:t xml:space="preserve"> Factors</w:t>
      </w:r>
      <w:r w:rsidR="00517561" w:rsidRPr="00734D0B">
        <w:rPr>
          <w:i/>
          <w:iCs/>
          <w:color w:val="000000"/>
          <w:szCs w:val="24"/>
        </w:rPr>
        <w:t xml:space="preserve"> </w:t>
      </w:r>
      <w:r w:rsidR="00517561" w:rsidRPr="00734D0B">
        <w:rPr>
          <w:color w:val="000000"/>
          <w:szCs w:val="24"/>
        </w:rPr>
        <w:t xml:space="preserve">relying on </w:t>
      </w:r>
      <w:r w:rsidR="003361E4" w:rsidRPr="00734D0B">
        <w:rPr>
          <w:i/>
          <w:iCs/>
          <w:color w:val="000000"/>
          <w:szCs w:val="24"/>
        </w:rPr>
        <w:t xml:space="preserve">Paramount Suppliers (Merchandise) (Pty) Ltd v Attorneys, Notaries and Conveyancers Fidelity Guarantee Fund Board of Control 1957(4) SA 618(W) at 625F-G </w:t>
      </w:r>
      <w:r w:rsidR="00517561" w:rsidRPr="00734D0B">
        <w:rPr>
          <w:color w:val="000000"/>
          <w:szCs w:val="24"/>
        </w:rPr>
        <w:t xml:space="preserve">noted that where money is paid into the trust account of an attorney it does not follow that such money is </w:t>
      </w:r>
      <w:r w:rsidR="00517561" w:rsidRPr="00734D0B">
        <w:rPr>
          <w:color w:val="000000"/>
          <w:szCs w:val="24"/>
          <w:u w:val="single"/>
        </w:rPr>
        <w:t>in fact</w:t>
      </w:r>
      <w:r w:rsidR="00517561" w:rsidRPr="00734D0B">
        <w:rPr>
          <w:color w:val="000000"/>
          <w:szCs w:val="24"/>
        </w:rPr>
        <w:t xml:space="preserve"> trust money</w:t>
      </w:r>
      <w:r w:rsidR="003361E4">
        <w:rPr>
          <w:color w:val="000000"/>
          <w:szCs w:val="24"/>
        </w:rPr>
        <w:t>.</w:t>
      </w:r>
    </w:p>
    <w:p w14:paraId="49F35302" w14:textId="32717109" w:rsidR="00517561" w:rsidRPr="001422BA" w:rsidRDefault="001D1774" w:rsidP="001D1774">
      <w:pPr>
        <w:pStyle w:val="JudgmentNumbered"/>
        <w:numPr>
          <w:ilvl w:val="0"/>
          <w:numId w:val="0"/>
        </w:numPr>
        <w:ind w:left="567" w:hanging="567"/>
        <w:rPr>
          <w:szCs w:val="24"/>
          <w:lang w:val="en-US"/>
        </w:rPr>
      </w:pPr>
      <w:r w:rsidRPr="001422BA">
        <w:rPr>
          <w:szCs w:val="24"/>
          <w:lang w:val="en-US"/>
        </w:rPr>
        <w:lastRenderedPageBreak/>
        <w:t>[45]</w:t>
      </w:r>
      <w:r w:rsidRPr="001422BA">
        <w:rPr>
          <w:szCs w:val="24"/>
          <w:lang w:val="en-US"/>
        </w:rPr>
        <w:tab/>
      </w:r>
      <w:r w:rsidR="00517561" w:rsidRPr="001422BA">
        <w:rPr>
          <w:szCs w:val="24"/>
        </w:rPr>
        <w:t>If money is simply handed over to an attorney by a debtor who thereby wishes to</w:t>
      </w:r>
      <w:r w:rsidR="00517561" w:rsidRPr="00FA5B39">
        <w:rPr>
          <w:rFonts w:eastAsia="Times New Roman"/>
          <w:spacing w:val="-17"/>
          <w:w w:val="85"/>
          <w:szCs w:val="24"/>
          <w:lang w:val="en-US"/>
        </w:rPr>
        <w:t xml:space="preserve"> </w:t>
      </w:r>
      <w:r w:rsidR="00517561" w:rsidRPr="001422BA">
        <w:rPr>
          <w:szCs w:val="24"/>
          <w:lang w:val="en-US"/>
        </w:rPr>
        <w:t>discharge a debt, and the attorney has a mandate to receive it on behalf of the creditor, it may be difficult to establish an entrustment.</w:t>
      </w:r>
      <w:r w:rsidR="00B71FF5">
        <w:rPr>
          <w:rStyle w:val="FootnoteReference"/>
          <w:szCs w:val="24"/>
          <w:lang w:val="en-US"/>
        </w:rPr>
        <w:footnoteReference w:id="19"/>
      </w:r>
    </w:p>
    <w:p w14:paraId="264C31A4" w14:textId="427217E6" w:rsidR="0073161D" w:rsidRPr="00734D0B" w:rsidRDefault="001D1774" w:rsidP="001D1774">
      <w:pPr>
        <w:pStyle w:val="JudgmentNumbered"/>
        <w:numPr>
          <w:ilvl w:val="0"/>
          <w:numId w:val="0"/>
        </w:numPr>
        <w:ind w:left="567" w:hanging="567"/>
        <w:rPr>
          <w:lang w:val="en-US"/>
        </w:rPr>
      </w:pPr>
      <w:r w:rsidRPr="00734D0B">
        <w:rPr>
          <w:lang w:val="en-US"/>
        </w:rPr>
        <w:t>[46]</w:t>
      </w:r>
      <w:r w:rsidRPr="00734D0B">
        <w:rPr>
          <w:lang w:val="en-US"/>
        </w:rPr>
        <w:tab/>
      </w:r>
      <w:r w:rsidR="00517561" w:rsidRPr="00734D0B">
        <w:rPr>
          <w:lang w:val="en-US"/>
        </w:rPr>
        <w:t xml:space="preserve">The enquiry is thus a factual one and it cannot be assumed that because the </w:t>
      </w:r>
      <w:r w:rsidR="00C92FEE">
        <w:rPr>
          <w:lang w:val="en-US"/>
        </w:rPr>
        <w:t>p</w:t>
      </w:r>
      <w:r w:rsidR="00517561" w:rsidRPr="00734D0B">
        <w:rPr>
          <w:lang w:val="en-US"/>
        </w:rPr>
        <w:t>laintiff alleges, without more, that it intended the money to be entrusted it is indeed so.</w:t>
      </w:r>
      <w:r w:rsidR="0073161D">
        <w:rPr>
          <w:lang w:val="en-US"/>
        </w:rPr>
        <w:t xml:space="preserve">  </w:t>
      </w:r>
      <w:r w:rsidR="0073161D" w:rsidRPr="00734D0B">
        <w:rPr>
          <w:lang w:val="en-US"/>
        </w:rPr>
        <w:t>Thus</w:t>
      </w:r>
      <w:r w:rsidR="0073161D">
        <w:rPr>
          <w:lang w:val="en-US"/>
        </w:rPr>
        <w:t>,</w:t>
      </w:r>
      <w:r w:rsidR="0073161D" w:rsidRPr="00734D0B">
        <w:rPr>
          <w:lang w:val="en-US"/>
        </w:rPr>
        <w:t xml:space="preserve"> this is a triable issue. There is no suggestion that the defence has been raised merely to cause delay. (</w:t>
      </w:r>
      <w:r w:rsidR="0073161D" w:rsidRPr="00734D0B">
        <w:rPr>
          <w:i/>
          <w:iCs/>
        </w:rPr>
        <w:t>FirstRand Bank Limited v Badenhorst NO and Others supra).</w:t>
      </w:r>
    </w:p>
    <w:p w14:paraId="39C66688" w14:textId="355CC158" w:rsidR="00A83A79" w:rsidRDefault="001D1774" w:rsidP="001D1774">
      <w:pPr>
        <w:pStyle w:val="JudgmentNumbered"/>
        <w:numPr>
          <w:ilvl w:val="0"/>
          <w:numId w:val="0"/>
        </w:numPr>
        <w:ind w:left="567" w:hanging="567"/>
      </w:pPr>
      <w:r>
        <w:t>[47]</w:t>
      </w:r>
      <w:r>
        <w:tab/>
      </w:r>
      <w:r w:rsidR="00517561" w:rsidRPr="00734D0B">
        <w:t>In the circumstances, I find that the defendant’s defence</w:t>
      </w:r>
      <w:r w:rsidR="007D3766">
        <w:t xml:space="preserve"> is</w:t>
      </w:r>
      <w:r w:rsidR="00517561" w:rsidRPr="00734D0B">
        <w:t xml:space="preserve"> both </w:t>
      </w:r>
      <w:r w:rsidR="00517561" w:rsidRPr="00734D0B">
        <w:rPr>
          <w:i/>
          <w:iCs/>
        </w:rPr>
        <w:t>bona fide</w:t>
      </w:r>
      <w:r w:rsidR="00517561" w:rsidRPr="00734D0B">
        <w:t xml:space="preserve"> and good in law.</w:t>
      </w:r>
    </w:p>
    <w:p w14:paraId="0B584773" w14:textId="2EE427B0" w:rsidR="00A83A79" w:rsidRPr="00FA5B39" w:rsidRDefault="00A83A79" w:rsidP="00A83A79">
      <w:pPr>
        <w:pStyle w:val="JudgmentHeading"/>
      </w:pPr>
      <w:r w:rsidRPr="00FA5B39">
        <w:t>Order</w:t>
      </w:r>
    </w:p>
    <w:p w14:paraId="01D34F20" w14:textId="0E7F0186" w:rsidR="00517561" w:rsidRPr="00517561" w:rsidRDefault="00517561" w:rsidP="00517561">
      <w:pPr>
        <w:pStyle w:val="JudgmentNumbered"/>
        <w:numPr>
          <w:ilvl w:val="0"/>
          <w:numId w:val="0"/>
        </w:numPr>
        <w:ind w:left="567" w:hanging="567"/>
      </w:pPr>
      <w:r w:rsidRPr="00517561">
        <w:t>Accordingly, I make the following order –</w:t>
      </w:r>
    </w:p>
    <w:p w14:paraId="0C7DA429" w14:textId="17F53772" w:rsidR="00517561" w:rsidRDefault="001D1774" w:rsidP="001D1774">
      <w:pPr>
        <w:pStyle w:val="JudgmentNumbered"/>
        <w:numPr>
          <w:ilvl w:val="0"/>
          <w:numId w:val="0"/>
        </w:numPr>
        <w:ind w:left="567" w:hanging="567"/>
      </w:pPr>
      <w:r>
        <w:t>[48]</w:t>
      </w:r>
      <w:r>
        <w:tab/>
      </w:r>
      <w:r w:rsidR="00517561">
        <w:t>The application for summary judgment is refused.</w:t>
      </w:r>
    </w:p>
    <w:p w14:paraId="4B0F5EF5" w14:textId="7FA92B76" w:rsidR="00517561" w:rsidRDefault="001D1774" w:rsidP="001D1774">
      <w:pPr>
        <w:pStyle w:val="JudgmentNumbered"/>
        <w:numPr>
          <w:ilvl w:val="0"/>
          <w:numId w:val="0"/>
        </w:numPr>
        <w:ind w:left="567" w:hanging="567"/>
      </w:pPr>
      <w:r>
        <w:t>[49]</w:t>
      </w:r>
      <w:r>
        <w:tab/>
      </w:r>
      <w:r w:rsidR="00517561">
        <w:t xml:space="preserve">The </w:t>
      </w:r>
      <w:r w:rsidR="00C92FEE">
        <w:t>d</w:t>
      </w:r>
      <w:r w:rsidR="00517561">
        <w:t>efendant</w:t>
      </w:r>
      <w:r w:rsidR="00C92FEE">
        <w:t xml:space="preserve"> </w:t>
      </w:r>
      <w:r w:rsidR="00517561">
        <w:t>is granted leave to defend.</w:t>
      </w:r>
    </w:p>
    <w:p w14:paraId="0BE55CF8" w14:textId="571299F5" w:rsidR="00A83A79" w:rsidRDefault="001D1774" w:rsidP="001D1774">
      <w:pPr>
        <w:pStyle w:val="JudgmentNumbered"/>
        <w:numPr>
          <w:ilvl w:val="0"/>
          <w:numId w:val="0"/>
        </w:numPr>
        <w:ind w:left="567" w:hanging="567"/>
      </w:pPr>
      <w:r>
        <w:t>[50]</w:t>
      </w:r>
      <w:r>
        <w:tab/>
      </w:r>
      <w:r w:rsidR="00517561">
        <w:t>The costs of the summary judgment application shall be costs in the action.</w:t>
      </w:r>
    </w:p>
    <w:p w14:paraId="62B43CE8" w14:textId="77777777" w:rsidR="00517561" w:rsidRDefault="00517561" w:rsidP="00517561">
      <w:pPr>
        <w:pStyle w:val="JudgmentNumbered"/>
        <w:numPr>
          <w:ilvl w:val="0"/>
          <w:numId w:val="0"/>
        </w:numPr>
        <w:ind w:left="567"/>
      </w:pPr>
    </w:p>
    <w:p w14:paraId="792C4346" w14:textId="77777777" w:rsidR="002B448C" w:rsidRDefault="002B448C" w:rsidP="00EB01DA">
      <w:pPr>
        <w:pStyle w:val="JudgmentNumbered"/>
        <w:numPr>
          <w:ilvl w:val="0"/>
          <w:numId w:val="0"/>
        </w:numPr>
        <w:spacing w:after="0"/>
        <w:ind w:left="567" w:hanging="567"/>
        <w:jc w:val="right"/>
      </w:pPr>
      <w:r>
        <w:t>___________</w:t>
      </w:r>
      <w:r w:rsidR="00EB01DA">
        <w:t>__</w:t>
      </w:r>
      <w:r>
        <w:t>______________</w:t>
      </w:r>
    </w:p>
    <w:p w14:paraId="321DC293" w14:textId="6A26F031" w:rsidR="002B448C" w:rsidRDefault="00517561" w:rsidP="00EB01DA">
      <w:pPr>
        <w:pStyle w:val="JudgmentNumbered"/>
        <w:numPr>
          <w:ilvl w:val="0"/>
          <w:numId w:val="0"/>
        </w:numPr>
        <w:spacing w:after="0"/>
        <w:ind w:left="567" w:hanging="567"/>
        <w:jc w:val="right"/>
        <w:rPr>
          <w:b/>
        </w:rPr>
      </w:pPr>
      <w:r w:rsidRPr="00517561">
        <w:rPr>
          <w:b/>
        </w:rPr>
        <w:t xml:space="preserve">Y. CARRIM </w:t>
      </w:r>
    </w:p>
    <w:p w14:paraId="3ABE5BD7" w14:textId="7A4938CA" w:rsidR="002B448C" w:rsidRDefault="00517561" w:rsidP="00EB01DA">
      <w:pPr>
        <w:pStyle w:val="JudgmentNumbered"/>
        <w:numPr>
          <w:ilvl w:val="0"/>
          <w:numId w:val="0"/>
        </w:numPr>
        <w:spacing w:after="0"/>
        <w:ind w:left="567" w:hanging="567"/>
        <w:jc w:val="right"/>
        <w:rPr>
          <w:b/>
        </w:rPr>
      </w:pPr>
      <w:r>
        <w:rPr>
          <w:b/>
        </w:rPr>
        <w:t xml:space="preserve">ACTING </w:t>
      </w:r>
      <w:r w:rsidR="002B448C">
        <w:rPr>
          <w:b/>
        </w:rPr>
        <w:t>JUDGE OF THE HIGH COURT</w:t>
      </w:r>
    </w:p>
    <w:p w14:paraId="33D62A29" w14:textId="11FF1A96" w:rsidR="00EB01DA" w:rsidRDefault="002B448C" w:rsidP="00EB01DA">
      <w:pPr>
        <w:pStyle w:val="JudgmentNumbered"/>
        <w:numPr>
          <w:ilvl w:val="0"/>
          <w:numId w:val="0"/>
        </w:numPr>
        <w:spacing w:after="0"/>
        <w:ind w:left="567" w:hanging="567"/>
        <w:jc w:val="right"/>
        <w:rPr>
          <w:b/>
        </w:rPr>
        <w:sectPr w:rsidR="00EB01DA" w:rsidSect="002E7BAE">
          <w:footerReference w:type="default" r:id="rId13"/>
          <w:pgSz w:w="11906" w:h="16838"/>
          <w:pgMar w:top="1440" w:right="1440" w:bottom="1440" w:left="1440" w:header="708" w:footer="708" w:gutter="0"/>
          <w:cols w:space="708"/>
          <w:docGrid w:linePitch="360"/>
        </w:sectPr>
      </w:pPr>
      <w:r>
        <w:rPr>
          <w:b/>
        </w:rPr>
        <w:t>JOHANNESBU</w:t>
      </w:r>
      <w:r w:rsidR="00F93553">
        <w:rPr>
          <w:b/>
        </w:rPr>
        <w:t>RG</w:t>
      </w:r>
    </w:p>
    <w:p w14:paraId="3A1C45AE" w14:textId="722E7FE6" w:rsidR="001340B0" w:rsidRDefault="001340B0" w:rsidP="00517561">
      <w:pPr>
        <w:pStyle w:val="JudgmentNumbered"/>
        <w:numPr>
          <w:ilvl w:val="0"/>
          <w:numId w:val="0"/>
        </w:numPr>
        <w:spacing w:after="0"/>
        <w:rPr>
          <w:b/>
        </w:rPr>
      </w:pPr>
    </w:p>
    <w:p w14:paraId="7CED7F54" w14:textId="77777777" w:rsidR="00BB740A" w:rsidRDefault="00BB740A" w:rsidP="00517561">
      <w:pPr>
        <w:pStyle w:val="JudgmentNumbered"/>
        <w:numPr>
          <w:ilvl w:val="0"/>
          <w:numId w:val="0"/>
        </w:numPr>
        <w:spacing w:after="0"/>
        <w:rPr>
          <w:b/>
        </w:rPr>
      </w:pPr>
    </w:p>
    <w:p w14:paraId="0B22BC2E" w14:textId="4D5470F3" w:rsidR="001340B0" w:rsidRDefault="00B4213A" w:rsidP="00B4213A">
      <w:pPr>
        <w:ind w:left="0"/>
      </w:pPr>
      <w:r>
        <w:t xml:space="preserve">Date of hearing: </w:t>
      </w:r>
      <w:r>
        <w:tab/>
      </w:r>
      <w:r>
        <w:tab/>
      </w:r>
      <w:r>
        <w:tab/>
      </w:r>
      <w:r>
        <w:tab/>
      </w:r>
      <w:r>
        <w:tab/>
        <w:t>08 February 2024</w:t>
      </w:r>
    </w:p>
    <w:p w14:paraId="2215C61D" w14:textId="7F84ED4E" w:rsidR="00B4213A" w:rsidRDefault="00B4213A" w:rsidP="00B4213A">
      <w:pPr>
        <w:pStyle w:val="JudgmentNumbered"/>
        <w:numPr>
          <w:ilvl w:val="0"/>
          <w:numId w:val="0"/>
        </w:numPr>
        <w:ind w:left="567" w:hanging="567"/>
      </w:pPr>
      <w:r>
        <w:t xml:space="preserve">Date of judgment: </w:t>
      </w:r>
      <w:r>
        <w:tab/>
      </w:r>
      <w:r>
        <w:tab/>
      </w:r>
      <w:r>
        <w:tab/>
      </w:r>
      <w:r>
        <w:tab/>
      </w:r>
      <w:r>
        <w:tab/>
        <w:t xml:space="preserve">07 </w:t>
      </w:r>
      <w:r w:rsidR="00704C6E">
        <w:t>March</w:t>
      </w:r>
      <w:r>
        <w:t xml:space="preserve"> 2024</w:t>
      </w:r>
    </w:p>
    <w:p w14:paraId="20D52AA3" w14:textId="77777777" w:rsidR="00B4213A" w:rsidRPr="00B4213A" w:rsidRDefault="00B4213A" w:rsidP="00B4213A">
      <w:pPr>
        <w:pStyle w:val="JudgmentNumbered"/>
        <w:numPr>
          <w:ilvl w:val="0"/>
          <w:numId w:val="0"/>
        </w:numPr>
      </w:pPr>
    </w:p>
    <w:p w14:paraId="7E9B8C9D" w14:textId="7AF04CA1" w:rsidR="0017438F" w:rsidRPr="0017438F" w:rsidRDefault="0017438F" w:rsidP="0017438F">
      <w:pPr>
        <w:pStyle w:val="COUNSELDETAILS"/>
        <w:ind w:left="5040" w:hanging="5040"/>
        <w:rPr>
          <w:rFonts w:ascii="Arial" w:hAnsi="Arial" w:cs="Arial"/>
          <w:sz w:val="24"/>
          <w:szCs w:val="24"/>
        </w:rPr>
      </w:pPr>
      <w:r w:rsidRPr="0017438F">
        <w:rPr>
          <w:rFonts w:ascii="Arial" w:hAnsi="Arial" w:cs="Arial"/>
          <w:sz w:val="24"/>
          <w:szCs w:val="24"/>
        </w:rPr>
        <w:lastRenderedPageBreak/>
        <w:t xml:space="preserve">For the </w:t>
      </w:r>
      <w:r w:rsidR="00421134">
        <w:rPr>
          <w:rFonts w:ascii="Arial" w:hAnsi="Arial" w:cs="Arial"/>
          <w:sz w:val="24"/>
          <w:szCs w:val="24"/>
        </w:rPr>
        <w:t>Plaintiff</w:t>
      </w:r>
      <w:r w:rsidRPr="0017438F">
        <w:rPr>
          <w:rFonts w:ascii="Arial" w:hAnsi="Arial" w:cs="Arial"/>
          <w:sz w:val="24"/>
          <w:szCs w:val="24"/>
        </w:rPr>
        <w:t>:</w:t>
      </w:r>
      <w:r w:rsidRPr="0017438F">
        <w:rPr>
          <w:rFonts w:ascii="Arial" w:hAnsi="Arial" w:cs="Arial"/>
          <w:sz w:val="24"/>
          <w:szCs w:val="24"/>
        </w:rPr>
        <w:tab/>
      </w:r>
      <w:r>
        <w:rPr>
          <w:rFonts w:ascii="Arial" w:hAnsi="Arial" w:cs="Arial"/>
          <w:sz w:val="24"/>
          <w:szCs w:val="24"/>
        </w:rPr>
        <w:t xml:space="preserve">Adv M Mostert </w:t>
      </w:r>
      <w:r w:rsidRPr="0017438F">
        <w:rPr>
          <w:rFonts w:ascii="Arial" w:hAnsi="Arial" w:cs="Arial"/>
          <w:sz w:val="24"/>
          <w:szCs w:val="24"/>
        </w:rPr>
        <w:t xml:space="preserve">instructed by </w:t>
      </w:r>
      <w:r>
        <w:rPr>
          <w:rFonts w:ascii="Arial" w:hAnsi="Arial" w:cs="Arial"/>
          <w:sz w:val="24"/>
          <w:szCs w:val="24"/>
        </w:rPr>
        <w:t>Sutherland Kruger Incorporated</w:t>
      </w:r>
    </w:p>
    <w:p w14:paraId="306E6D0E" w14:textId="77777777" w:rsidR="0017438F" w:rsidRPr="0017438F" w:rsidRDefault="0017438F" w:rsidP="0017438F">
      <w:pPr>
        <w:pStyle w:val="COUNSELDETAILS"/>
        <w:rPr>
          <w:rFonts w:ascii="Arial" w:hAnsi="Arial" w:cs="Arial"/>
          <w:sz w:val="24"/>
          <w:szCs w:val="24"/>
        </w:rPr>
      </w:pPr>
      <w:r w:rsidRPr="0017438F">
        <w:rPr>
          <w:rFonts w:ascii="Arial" w:hAnsi="Arial" w:cs="Arial"/>
          <w:sz w:val="24"/>
          <w:szCs w:val="24"/>
        </w:rPr>
        <w:tab/>
      </w:r>
    </w:p>
    <w:p w14:paraId="2B1380F9" w14:textId="46E25460" w:rsidR="00EB01DA" w:rsidRPr="00BB740A" w:rsidRDefault="0017438F" w:rsidP="00BB740A">
      <w:pPr>
        <w:pStyle w:val="COUNSELDETAILS"/>
        <w:ind w:left="5040" w:hanging="5040"/>
        <w:rPr>
          <w:color w:val="5B9BD5" w:themeColor="accent1"/>
          <w:sz w:val="24"/>
          <w:szCs w:val="24"/>
        </w:rPr>
        <w:sectPr w:rsidR="00EB01DA" w:rsidRPr="00BB740A" w:rsidSect="002E7BAE">
          <w:type w:val="continuous"/>
          <w:pgSz w:w="11906" w:h="16838"/>
          <w:pgMar w:top="1440" w:right="1440" w:bottom="1440" w:left="1440" w:header="708" w:footer="708" w:gutter="0"/>
          <w:cols w:space="708"/>
          <w:docGrid w:linePitch="360"/>
        </w:sectPr>
      </w:pPr>
      <w:r w:rsidRPr="0017438F">
        <w:rPr>
          <w:rFonts w:ascii="Arial" w:hAnsi="Arial" w:cs="Arial"/>
          <w:sz w:val="24"/>
          <w:szCs w:val="24"/>
        </w:rPr>
        <w:t xml:space="preserve">For the </w:t>
      </w:r>
      <w:r w:rsidR="00421134">
        <w:rPr>
          <w:rFonts w:ascii="Arial" w:hAnsi="Arial" w:cs="Arial"/>
          <w:sz w:val="24"/>
          <w:szCs w:val="24"/>
        </w:rPr>
        <w:t>Defen</w:t>
      </w:r>
      <w:r w:rsidRPr="0017438F">
        <w:rPr>
          <w:rFonts w:ascii="Arial" w:hAnsi="Arial" w:cs="Arial"/>
          <w:sz w:val="24"/>
          <w:szCs w:val="24"/>
        </w:rPr>
        <w:t>d</w:t>
      </w:r>
      <w:r w:rsidR="00421134">
        <w:rPr>
          <w:rFonts w:ascii="Arial" w:hAnsi="Arial" w:cs="Arial"/>
          <w:sz w:val="24"/>
          <w:szCs w:val="24"/>
        </w:rPr>
        <w:t>a</w:t>
      </w:r>
      <w:r w:rsidRPr="0017438F">
        <w:rPr>
          <w:rFonts w:ascii="Arial" w:hAnsi="Arial" w:cs="Arial"/>
          <w:sz w:val="24"/>
          <w:szCs w:val="24"/>
        </w:rPr>
        <w:t>nt:</w:t>
      </w:r>
      <w:r w:rsidRPr="0017438F">
        <w:rPr>
          <w:rFonts w:ascii="Arial" w:hAnsi="Arial" w:cs="Arial"/>
          <w:sz w:val="24"/>
          <w:szCs w:val="24"/>
        </w:rPr>
        <w:tab/>
      </w:r>
      <w:r>
        <w:rPr>
          <w:rFonts w:ascii="Arial" w:hAnsi="Arial" w:cs="Arial"/>
          <w:sz w:val="24"/>
          <w:szCs w:val="24"/>
        </w:rPr>
        <w:t xml:space="preserve">Adv J Themane </w:t>
      </w:r>
      <w:r w:rsidRPr="0017438F">
        <w:rPr>
          <w:rFonts w:ascii="Arial" w:hAnsi="Arial" w:cs="Arial"/>
          <w:sz w:val="24"/>
          <w:szCs w:val="24"/>
        </w:rPr>
        <w:t xml:space="preserve">instructed by </w:t>
      </w:r>
      <w:r>
        <w:rPr>
          <w:rFonts w:ascii="Arial" w:hAnsi="Arial" w:cs="Arial"/>
          <w:sz w:val="24"/>
          <w:szCs w:val="24"/>
        </w:rPr>
        <w:t>Sithole Mokomane Attorne</w:t>
      </w:r>
      <w:r w:rsidR="00BB740A">
        <w:rPr>
          <w:rFonts w:ascii="Arial" w:hAnsi="Arial" w:cs="Arial"/>
          <w:sz w:val="24"/>
          <w:szCs w:val="24"/>
        </w:rPr>
        <w:t>y</w:t>
      </w:r>
    </w:p>
    <w:p w14:paraId="73A4F1FC" w14:textId="442E4AAA" w:rsidR="00F93553" w:rsidRDefault="00F93553" w:rsidP="007D3766">
      <w:pPr>
        <w:pStyle w:val="JudgmentNumbered"/>
        <w:numPr>
          <w:ilvl w:val="0"/>
          <w:numId w:val="0"/>
        </w:numPr>
      </w:pPr>
    </w:p>
    <w:sectPr w:rsidR="00F93553" w:rsidSect="002E7BAE">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0741" w14:textId="77777777" w:rsidR="002E7BAE" w:rsidRDefault="002E7BAE" w:rsidP="00FC1B37">
      <w:pPr>
        <w:spacing w:after="0" w:line="240" w:lineRule="auto"/>
      </w:pPr>
      <w:r>
        <w:separator/>
      </w:r>
    </w:p>
  </w:endnote>
  <w:endnote w:type="continuationSeparator" w:id="0">
    <w:p w14:paraId="02FB421F" w14:textId="77777777" w:rsidR="002E7BAE" w:rsidRDefault="002E7BAE" w:rsidP="00FC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15828"/>
      <w:docPartObj>
        <w:docPartGallery w:val="Page Numbers (Bottom of Page)"/>
        <w:docPartUnique/>
      </w:docPartObj>
    </w:sdtPr>
    <w:sdtEndPr>
      <w:rPr>
        <w:noProof/>
      </w:rPr>
    </w:sdtEndPr>
    <w:sdtContent>
      <w:p w14:paraId="056AAFEB" w14:textId="1F00ACCD" w:rsidR="007D3766" w:rsidRDefault="007D3766">
        <w:pPr>
          <w:pStyle w:val="Footer"/>
          <w:jc w:val="right"/>
        </w:pPr>
        <w:r>
          <w:fldChar w:fldCharType="begin"/>
        </w:r>
        <w:r>
          <w:instrText xml:space="preserve"> PAGE   \* MERGEFORMAT </w:instrText>
        </w:r>
        <w:r>
          <w:fldChar w:fldCharType="separate"/>
        </w:r>
        <w:r w:rsidR="004A6BED">
          <w:rPr>
            <w:noProof/>
          </w:rPr>
          <w:t>2</w:t>
        </w:r>
        <w:r>
          <w:rPr>
            <w:noProof/>
          </w:rPr>
          <w:fldChar w:fldCharType="end"/>
        </w:r>
      </w:p>
    </w:sdtContent>
  </w:sdt>
  <w:p w14:paraId="49060099" w14:textId="77777777" w:rsidR="00FF707E" w:rsidRDefault="00FF7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64EBD" w14:textId="77777777" w:rsidR="002E7BAE" w:rsidRDefault="002E7BAE" w:rsidP="00FC1B37">
      <w:pPr>
        <w:spacing w:after="0" w:line="240" w:lineRule="auto"/>
      </w:pPr>
      <w:r>
        <w:separator/>
      </w:r>
    </w:p>
  </w:footnote>
  <w:footnote w:type="continuationSeparator" w:id="0">
    <w:p w14:paraId="764837FD" w14:textId="77777777" w:rsidR="002E7BAE" w:rsidRDefault="002E7BAE" w:rsidP="00FC1B37">
      <w:pPr>
        <w:spacing w:after="0" w:line="240" w:lineRule="auto"/>
      </w:pPr>
      <w:r>
        <w:continuationSeparator/>
      </w:r>
    </w:p>
  </w:footnote>
  <w:footnote w:id="1">
    <w:p w14:paraId="1CE95EAA" w14:textId="2344AF1D" w:rsidR="008C1744" w:rsidRPr="00FA5B39" w:rsidRDefault="008C1744">
      <w:pPr>
        <w:pStyle w:val="FootnoteText"/>
        <w:rPr>
          <w:rFonts w:ascii="Arial" w:hAnsi="Arial" w:cs="Arial"/>
          <w:sz w:val="18"/>
          <w:szCs w:val="18"/>
        </w:rPr>
      </w:pPr>
      <w:r w:rsidRPr="00FA5B39">
        <w:rPr>
          <w:rStyle w:val="FootnoteReference"/>
          <w:rFonts w:ascii="Arial" w:hAnsi="Arial" w:cs="Arial"/>
          <w:sz w:val="18"/>
          <w:szCs w:val="18"/>
        </w:rPr>
        <w:footnoteRef/>
      </w:r>
      <w:r w:rsidRPr="00FA5B39">
        <w:rPr>
          <w:rFonts w:ascii="Arial" w:hAnsi="Arial" w:cs="Arial"/>
          <w:sz w:val="18"/>
          <w:szCs w:val="18"/>
        </w:rPr>
        <w:t xml:space="preserve"> 112 of 1976. </w:t>
      </w:r>
      <w:r w:rsidRPr="001422BA">
        <w:rPr>
          <w:rFonts w:ascii="Arial" w:hAnsi="Arial" w:cs="Arial"/>
          <w:sz w:val="18"/>
          <w:szCs w:val="18"/>
        </w:rPr>
        <w:t>The Act was repealed in February 2022 and has been replaced by the Property Practitioners Act</w:t>
      </w:r>
      <w:r w:rsidR="00A136DA" w:rsidRPr="001422BA">
        <w:rPr>
          <w:rFonts w:ascii="Arial" w:hAnsi="Arial" w:cs="Arial"/>
          <w:sz w:val="18"/>
          <w:szCs w:val="18"/>
        </w:rPr>
        <w:t>,</w:t>
      </w:r>
      <w:r w:rsidRPr="00B71FF5">
        <w:rPr>
          <w:rFonts w:ascii="Arial" w:hAnsi="Arial" w:cs="Arial"/>
          <w:sz w:val="18"/>
          <w:szCs w:val="18"/>
        </w:rPr>
        <w:t xml:space="preserve"> 22 of 2019</w:t>
      </w:r>
      <w:r w:rsidR="00A136DA" w:rsidRPr="00B71FF5">
        <w:rPr>
          <w:rFonts w:ascii="Arial" w:hAnsi="Arial" w:cs="Arial"/>
          <w:sz w:val="18"/>
          <w:szCs w:val="18"/>
        </w:rPr>
        <w:t xml:space="preserve"> (</w:t>
      </w:r>
      <w:r w:rsidR="00A136DA" w:rsidRPr="00B25B4F">
        <w:rPr>
          <w:rFonts w:ascii="Arial" w:hAnsi="Arial" w:cs="Arial"/>
          <w:sz w:val="18"/>
          <w:szCs w:val="18"/>
        </w:rPr>
        <w:t>“PPA”)</w:t>
      </w:r>
      <w:r w:rsidRPr="00B25B4F">
        <w:rPr>
          <w:rFonts w:ascii="Arial" w:hAnsi="Arial" w:cs="Arial"/>
          <w:sz w:val="18"/>
          <w:szCs w:val="18"/>
        </w:rPr>
        <w:t>. The Plaintiff’s claim arose in terms of the Act prior to its repeal.  In accordance with section 75(</w:t>
      </w:r>
      <w:r w:rsidR="001E1814" w:rsidRPr="00B25B4F">
        <w:rPr>
          <w:rFonts w:ascii="Arial" w:hAnsi="Arial" w:cs="Arial"/>
          <w:sz w:val="18"/>
          <w:szCs w:val="18"/>
        </w:rPr>
        <w:t>1</w:t>
      </w:r>
      <w:r w:rsidRPr="00B25B4F">
        <w:rPr>
          <w:rFonts w:ascii="Arial" w:hAnsi="Arial" w:cs="Arial"/>
          <w:sz w:val="18"/>
          <w:szCs w:val="18"/>
        </w:rPr>
        <w:t>) of the PPA the claim is required to be determined in accordance with the Act.</w:t>
      </w:r>
    </w:p>
  </w:footnote>
  <w:footnote w:id="2">
    <w:p w14:paraId="5FFC87F7" w14:textId="60ED1C3E" w:rsidR="00DD2237" w:rsidRPr="00E218AD" w:rsidRDefault="00DD2237" w:rsidP="00DD2237">
      <w:pPr>
        <w:pStyle w:val="FootnoteText"/>
        <w:rPr>
          <w:rFonts w:ascii="Arial" w:hAnsi="Arial" w:cs="Arial"/>
          <w:sz w:val="18"/>
          <w:szCs w:val="18"/>
        </w:rPr>
      </w:pPr>
      <w:r w:rsidRPr="00E218AD">
        <w:rPr>
          <w:rStyle w:val="FootnoteReference"/>
          <w:rFonts w:ascii="Arial" w:hAnsi="Arial" w:cs="Arial"/>
          <w:sz w:val="18"/>
          <w:szCs w:val="18"/>
        </w:rPr>
        <w:footnoteRef/>
      </w:r>
      <w:r w:rsidRPr="00E218AD">
        <w:rPr>
          <w:rFonts w:ascii="Arial" w:hAnsi="Arial" w:cs="Arial"/>
          <w:sz w:val="18"/>
          <w:szCs w:val="18"/>
        </w:rPr>
        <w:t xml:space="preserve"> J Moorcroft </w:t>
      </w:r>
      <w:r w:rsidR="00FC557A" w:rsidRPr="00E218AD">
        <w:rPr>
          <w:rFonts w:ascii="Arial" w:hAnsi="Arial" w:cs="Arial"/>
          <w:sz w:val="18"/>
          <w:szCs w:val="18"/>
        </w:rPr>
        <w:t>“</w:t>
      </w:r>
      <w:r w:rsidRPr="00E218AD">
        <w:rPr>
          <w:rFonts w:ascii="Arial" w:hAnsi="Arial" w:cs="Arial"/>
          <w:sz w:val="18"/>
          <w:szCs w:val="18"/>
        </w:rPr>
        <w:t>The ‘New Look’ Summary Judgment Procedure in Rule 32</w:t>
      </w:r>
      <w:r w:rsidR="00FC557A" w:rsidRPr="00E218AD">
        <w:rPr>
          <w:rFonts w:ascii="Arial" w:hAnsi="Arial" w:cs="Arial"/>
          <w:sz w:val="18"/>
          <w:szCs w:val="18"/>
        </w:rPr>
        <w:t xml:space="preserve">” (3 June 2021) available at </w:t>
      </w:r>
      <w:hyperlink r:id="rId1" w:history="1">
        <w:r w:rsidR="00FF1849" w:rsidRPr="00E218AD">
          <w:rPr>
            <w:rStyle w:val="Hyperlink"/>
            <w:rFonts w:ascii="Arial" w:hAnsi="Arial" w:cs="Arial"/>
            <w:sz w:val="18"/>
            <w:szCs w:val="18"/>
          </w:rPr>
          <w:t>https://www.johanmoorcroft.co.za/the-new-look-summary-judgment-procedure-in-rule-32/</w:t>
        </w:r>
      </w:hyperlink>
      <w:r w:rsidR="00FF1849" w:rsidRPr="00E218AD">
        <w:rPr>
          <w:rFonts w:ascii="Arial" w:hAnsi="Arial" w:cs="Arial"/>
          <w:sz w:val="18"/>
          <w:szCs w:val="18"/>
        </w:rPr>
        <w:t>.</w:t>
      </w:r>
    </w:p>
  </w:footnote>
  <w:footnote w:id="3">
    <w:p w14:paraId="35B01739" w14:textId="26DFB4F6" w:rsidR="00DD2237" w:rsidRPr="00E218AD" w:rsidRDefault="00DD2237" w:rsidP="00DD2237">
      <w:pPr>
        <w:pStyle w:val="FootnoteText"/>
        <w:rPr>
          <w:rFonts w:ascii="Arial" w:hAnsi="Arial" w:cs="Arial"/>
          <w:sz w:val="18"/>
          <w:szCs w:val="18"/>
        </w:rPr>
      </w:pPr>
      <w:r w:rsidRPr="00E218AD">
        <w:rPr>
          <w:rStyle w:val="FootnoteReference"/>
          <w:rFonts w:ascii="Arial" w:hAnsi="Arial" w:cs="Arial"/>
          <w:sz w:val="18"/>
          <w:szCs w:val="18"/>
        </w:rPr>
        <w:footnoteRef/>
      </w:r>
      <w:r w:rsidRPr="00E218AD">
        <w:rPr>
          <w:rFonts w:ascii="Arial" w:hAnsi="Arial" w:cs="Arial"/>
          <w:sz w:val="18"/>
          <w:szCs w:val="18"/>
        </w:rPr>
        <w:t xml:space="preserve"> See </w:t>
      </w:r>
      <w:bookmarkStart w:id="1" w:name="_Hlk160531317"/>
      <w:r w:rsidRPr="00E218AD">
        <w:rPr>
          <w:rFonts w:ascii="Arial" w:hAnsi="Arial" w:cs="Arial"/>
          <w:i/>
          <w:iCs/>
          <w:sz w:val="18"/>
          <w:szCs w:val="18"/>
        </w:rPr>
        <w:t>Absa Bank Limited v Mphahlele N</w:t>
      </w:r>
      <w:r w:rsidR="00C30A8A" w:rsidRPr="00E218AD">
        <w:rPr>
          <w:rFonts w:ascii="Arial" w:hAnsi="Arial" w:cs="Arial"/>
          <w:sz w:val="18"/>
          <w:szCs w:val="18"/>
        </w:rPr>
        <w:t>.</w:t>
      </w:r>
      <w:r w:rsidR="00FF04E4" w:rsidRPr="00E218AD">
        <w:rPr>
          <w:rFonts w:ascii="Arial" w:hAnsi="Arial" w:cs="Arial"/>
          <w:i/>
          <w:sz w:val="18"/>
          <w:szCs w:val="18"/>
        </w:rPr>
        <w:t>O</w:t>
      </w:r>
      <w:r w:rsidR="00FF04E4" w:rsidRPr="00E218AD">
        <w:rPr>
          <w:rFonts w:ascii="Arial" w:hAnsi="Arial" w:cs="Arial"/>
          <w:sz w:val="18"/>
          <w:szCs w:val="18"/>
        </w:rPr>
        <w:t xml:space="preserve"> 2020 JDR 1180 (GP)</w:t>
      </w:r>
      <w:bookmarkEnd w:id="1"/>
      <w:r w:rsidRPr="00E218AD">
        <w:rPr>
          <w:rFonts w:ascii="Arial" w:hAnsi="Arial" w:cs="Arial"/>
          <w:sz w:val="18"/>
          <w:szCs w:val="18"/>
        </w:rPr>
        <w:t xml:space="preserve">; </w:t>
      </w:r>
      <w:bookmarkStart w:id="2" w:name="_Hlk159338058"/>
      <w:bookmarkStart w:id="3" w:name="_Hlk160610898"/>
      <w:r w:rsidRPr="00E218AD">
        <w:rPr>
          <w:rFonts w:ascii="Arial" w:hAnsi="Arial" w:cs="Arial"/>
          <w:i/>
          <w:iCs/>
          <w:sz w:val="18"/>
          <w:szCs w:val="18"/>
        </w:rPr>
        <w:t>FirstRand Bank Limited v Badenhorst NO and Others</w:t>
      </w:r>
      <w:bookmarkEnd w:id="2"/>
      <w:r w:rsidRPr="00E218AD">
        <w:rPr>
          <w:rFonts w:ascii="Arial" w:hAnsi="Arial" w:cs="Arial"/>
          <w:sz w:val="18"/>
          <w:szCs w:val="18"/>
        </w:rPr>
        <w:t xml:space="preserve"> </w:t>
      </w:r>
      <w:bookmarkEnd w:id="3"/>
      <w:r w:rsidRPr="00E218AD">
        <w:rPr>
          <w:rFonts w:ascii="Arial" w:hAnsi="Arial" w:cs="Arial"/>
          <w:sz w:val="18"/>
          <w:szCs w:val="18"/>
        </w:rPr>
        <w:t>(2022/5936) [2023] ZAGPJHC 779</w:t>
      </w:r>
      <w:r w:rsidR="006D0F95" w:rsidRPr="00E218AD">
        <w:rPr>
          <w:rFonts w:ascii="Arial" w:hAnsi="Arial" w:cs="Arial"/>
          <w:sz w:val="18"/>
          <w:szCs w:val="18"/>
        </w:rPr>
        <w:t xml:space="preserve"> </w:t>
      </w:r>
      <w:r w:rsidRPr="00E218AD">
        <w:rPr>
          <w:rFonts w:ascii="Arial" w:hAnsi="Arial" w:cs="Arial"/>
          <w:sz w:val="18"/>
          <w:szCs w:val="18"/>
        </w:rPr>
        <w:t>(10 July 2023)</w:t>
      </w:r>
      <w:r w:rsidR="006D0F95" w:rsidRPr="00E218AD">
        <w:rPr>
          <w:rFonts w:ascii="Arial" w:hAnsi="Arial" w:cs="Arial"/>
          <w:sz w:val="18"/>
          <w:szCs w:val="18"/>
        </w:rPr>
        <w:t xml:space="preserve"> at para 23</w:t>
      </w:r>
      <w:r w:rsidRPr="00E218AD">
        <w:rPr>
          <w:rFonts w:ascii="Arial" w:hAnsi="Arial" w:cs="Arial"/>
          <w:sz w:val="18"/>
          <w:szCs w:val="18"/>
        </w:rPr>
        <w:t xml:space="preserve">. </w:t>
      </w:r>
    </w:p>
  </w:footnote>
  <w:footnote w:id="4">
    <w:p w14:paraId="60077B03" w14:textId="52651668" w:rsidR="00C30A8A" w:rsidRDefault="00C30A8A">
      <w:pPr>
        <w:pStyle w:val="FootnoteText"/>
      </w:pPr>
      <w:r w:rsidRPr="00E218AD">
        <w:rPr>
          <w:rStyle w:val="FootnoteReference"/>
          <w:rFonts w:ascii="Arial" w:hAnsi="Arial" w:cs="Arial"/>
          <w:sz w:val="18"/>
          <w:szCs w:val="18"/>
        </w:rPr>
        <w:footnoteRef/>
      </w:r>
      <w:r w:rsidRPr="00E218AD">
        <w:rPr>
          <w:rFonts w:ascii="Arial" w:hAnsi="Arial" w:cs="Arial"/>
          <w:sz w:val="18"/>
          <w:szCs w:val="18"/>
        </w:rPr>
        <w:t xml:space="preserve"> </w:t>
      </w:r>
      <w:r w:rsidRPr="00E218AD">
        <w:rPr>
          <w:rFonts w:ascii="Arial" w:hAnsi="Arial" w:cs="Arial"/>
          <w:i/>
          <w:iCs/>
          <w:sz w:val="18"/>
          <w:szCs w:val="18"/>
        </w:rPr>
        <w:t>Absa Bank Limited v Mphahlele N</w:t>
      </w:r>
      <w:r w:rsidRPr="00E218AD">
        <w:rPr>
          <w:rFonts w:ascii="Arial" w:hAnsi="Arial" w:cs="Arial"/>
          <w:sz w:val="18"/>
          <w:szCs w:val="18"/>
        </w:rPr>
        <w:t>.</w:t>
      </w:r>
      <w:r w:rsidRPr="00E218AD">
        <w:rPr>
          <w:rFonts w:ascii="Arial" w:hAnsi="Arial" w:cs="Arial"/>
          <w:i/>
          <w:sz w:val="18"/>
          <w:szCs w:val="18"/>
        </w:rPr>
        <w:t xml:space="preserve">O </w:t>
      </w:r>
      <w:r w:rsidRPr="00E218AD">
        <w:rPr>
          <w:rFonts w:ascii="Arial" w:hAnsi="Arial" w:cs="Arial"/>
          <w:sz w:val="18"/>
          <w:szCs w:val="18"/>
        </w:rPr>
        <w:t>id at paras 32 – 33.</w:t>
      </w:r>
      <w:r>
        <w:rPr>
          <w:rFonts w:ascii="Arial" w:hAnsi="Arial" w:cs="Arial"/>
          <w:sz w:val="18"/>
          <w:szCs w:val="18"/>
        </w:rPr>
        <w:t xml:space="preserve"> </w:t>
      </w:r>
    </w:p>
  </w:footnote>
  <w:footnote w:id="5">
    <w:p w14:paraId="4C84F15A" w14:textId="6F2E0374" w:rsidR="00C303DF" w:rsidRPr="00F41961" w:rsidRDefault="00C303DF" w:rsidP="00C303DF">
      <w:pPr>
        <w:pStyle w:val="FootnoteText"/>
        <w:rPr>
          <w:rFonts w:ascii="Arial" w:hAnsi="Arial" w:cs="Arial"/>
          <w:sz w:val="18"/>
          <w:szCs w:val="18"/>
        </w:rPr>
      </w:pPr>
      <w:r w:rsidRPr="001422BA">
        <w:rPr>
          <w:rStyle w:val="FootnoteReference"/>
          <w:rFonts w:ascii="Arial" w:hAnsi="Arial" w:cs="Arial"/>
          <w:sz w:val="18"/>
          <w:szCs w:val="18"/>
        </w:rPr>
        <w:footnoteRef/>
      </w:r>
      <w:r w:rsidRPr="001422BA">
        <w:rPr>
          <w:rFonts w:ascii="Arial" w:hAnsi="Arial" w:cs="Arial"/>
          <w:sz w:val="18"/>
          <w:szCs w:val="18"/>
        </w:rPr>
        <w:t xml:space="preserve"> </w:t>
      </w:r>
      <w:r w:rsidR="003D0544" w:rsidRPr="001422BA">
        <w:rPr>
          <w:rFonts w:ascii="Arial" w:hAnsi="Arial" w:cs="Arial"/>
          <w:i/>
          <w:iCs/>
          <w:sz w:val="18"/>
          <w:szCs w:val="18"/>
        </w:rPr>
        <w:t>FirstRand Bank Limited v Badenhorst NO and Others</w:t>
      </w:r>
      <w:r w:rsidR="003D0544" w:rsidRPr="001422BA">
        <w:rPr>
          <w:rFonts w:ascii="Arial" w:hAnsi="Arial" w:cs="Arial"/>
          <w:sz w:val="18"/>
          <w:szCs w:val="18"/>
        </w:rPr>
        <w:t xml:space="preserve"> </w:t>
      </w:r>
      <w:r w:rsidR="003D0544" w:rsidRPr="00B71FF5">
        <w:rPr>
          <w:rFonts w:ascii="Arial" w:hAnsi="Arial" w:cs="Arial"/>
          <w:sz w:val="18"/>
          <w:szCs w:val="18"/>
        </w:rPr>
        <w:t>above n 4 at para</w:t>
      </w:r>
      <w:r w:rsidRPr="00F41961">
        <w:rPr>
          <w:rFonts w:ascii="Arial" w:hAnsi="Arial" w:cs="Arial"/>
          <w:sz w:val="18"/>
          <w:szCs w:val="18"/>
        </w:rPr>
        <w:t xml:space="preserve"> 15</w:t>
      </w:r>
      <w:r w:rsidR="003D0544" w:rsidRPr="00F41961">
        <w:rPr>
          <w:rFonts w:ascii="Arial" w:hAnsi="Arial" w:cs="Arial"/>
          <w:sz w:val="18"/>
          <w:szCs w:val="18"/>
        </w:rPr>
        <w:t>.</w:t>
      </w:r>
    </w:p>
  </w:footnote>
  <w:footnote w:id="6">
    <w:p w14:paraId="1C20FC7F" w14:textId="53475AEC" w:rsidR="00C303DF" w:rsidRPr="00F41961" w:rsidRDefault="00C303DF" w:rsidP="00C303DF">
      <w:pPr>
        <w:pStyle w:val="FootnoteText"/>
        <w:rPr>
          <w:rFonts w:ascii="Arial" w:hAnsi="Arial" w:cs="Arial"/>
          <w:sz w:val="18"/>
          <w:szCs w:val="18"/>
        </w:rPr>
      </w:pPr>
      <w:r w:rsidRPr="001422BA">
        <w:rPr>
          <w:rStyle w:val="FootnoteReference"/>
          <w:rFonts w:ascii="Arial" w:hAnsi="Arial" w:cs="Arial"/>
          <w:sz w:val="18"/>
          <w:szCs w:val="18"/>
        </w:rPr>
        <w:footnoteRef/>
      </w:r>
      <w:r w:rsidRPr="001422BA">
        <w:rPr>
          <w:rFonts w:ascii="Arial" w:hAnsi="Arial" w:cs="Arial"/>
          <w:sz w:val="18"/>
          <w:szCs w:val="18"/>
        </w:rPr>
        <w:t xml:space="preserve"> 2009 (5) SA 1 (SCA)</w:t>
      </w:r>
      <w:r w:rsidR="000E1A09" w:rsidRPr="00B71FF5">
        <w:rPr>
          <w:rFonts w:ascii="Arial" w:hAnsi="Arial" w:cs="Arial"/>
          <w:sz w:val="18"/>
          <w:szCs w:val="18"/>
        </w:rPr>
        <w:t xml:space="preserve"> at para 31. </w:t>
      </w:r>
    </w:p>
  </w:footnote>
  <w:footnote w:id="7">
    <w:p w14:paraId="59AE2FD6" w14:textId="25633B46" w:rsidR="00C303DF" w:rsidRPr="001422BA" w:rsidRDefault="00C303DF" w:rsidP="00C303DF">
      <w:pPr>
        <w:pStyle w:val="FootnoteText"/>
        <w:rPr>
          <w:rFonts w:ascii="Arial" w:hAnsi="Arial" w:cs="Arial"/>
          <w:sz w:val="18"/>
          <w:szCs w:val="18"/>
        </w:rPr>
      </w:pPr>
      <w:r w:rsidRPr="001422BA">
        <w:rPr>
          <w:rStyle w:val="FootnoteReference"/>
          <w:rFonts w:ascii="Arial" w:hAnsi="Arial" w:cs="Arial"/>
          <w:sz w:val="18"/>
          <w:szCs w:val="18"/>
        </w:rPr>
        <w:footnoteRef/>
      </w:r>
      <w:r w:rsidRPr="001422BA">
        <w:rPr>
          <w:rFonts w:ascii="Arial" w:hAnsi="Arial" w:cs="Arial"/>
          <w:sz w:val="18"/>
          <w:szCs w:val="18"/>
        </w:rPr>
        <w:t xml:space="preserve"> 1976 (1) SA 418 (A)</w:t>
      </w:r>
      <w:r w:rsidR="000E1A09" w:rsidRPr="001422BA">
        <w:rPr>
          <w:rFonts w:ascii="Arial" w:hAnsi="Arial" w:cs="Arial"/>
          <w:sz w:val="18"/>
          <w:szCs w:val="18"/>
        </w:rPr>
        <w:t>.</w:t>
      </w:r>
    </w:p>
  </w:footnote>
  <w:footnote w:id="8">
    <w:p w14:paraId="0A6E1DC1" w14:textId="7377EB38" w:rsidR="00C303DF" w:rsidRPr="00B71FF5" w:rsidRDefault="00C303DF" w:rsidP="00C303DF">
      <w:pPr>
        <w:pStyle w:val="FootnoteText"/>
        <w:rPr>
          <w:rFonts w:ascii="Arial" w:hAnsi="Arial" w:cs="Arial"/>
          <w:sz w:val="18"/>
          <w:szCs w:val="18"/>
        </w:rPr>
      </w:pPr>
      <w:r w:rsidRPr="001422BA">
        <w:rPr>
          <w:rStyle w:val="FootnoteReference"/>
          <w:rFonts w:ascii="Arial" w:hAnsi="Arial" w:cs="Arial"/>
          <w:sz w:val="18"/>
          <w:szCs w:val="18"/>
        </w:rPr>
        <w:footnoteRef/>
      </w:r>
      <w:r w:rsidRPr="001422BA">
        <w:rPr>
          <w:rFonts w:ascii="Arial" w:hAnsi="Arial" w:cs="Arial"/>
          <w:sz w:val="18"/>
          <w:szCs w:val="18"/>
        </w:rPr>
        <w:t xml:space="preserve"> </w:t>
      </w:r>
      <w:r w:rsidR="00802604" w:rsidRPr="001422BA">
        <w:rPr>
          <w:rFonts w:ascii="Arial" w:hAnsi="Arial" w:cs="Arial"/>
          <w:sz w:val="18"/>
          <w:szCs w:val="18"/>
        </w:rPr>
        <w:t xml:space="preserve">Id at </w:t>
      </w:r>
      <w:r w:rsidRPr="001422BA">
        <w:rPr>
          <w:rFonts w:ascii="Arial" w:hAnsi="Arial" w:cs="Arial"/>
          <w:sz w:val="18"/>
          <w:szCs w:val="18"/>
        </w:rPr>
        <w:t>426</w:t>
      </w:r>
      <w:r w:rsidR="00802604" w:rsidRPr="000232BE">
        <w:rPr>
          <w:rFonts w:ascii="Arial" w:hAnsi="Arial" w:cs="Arial"/>
          <w:sz w:val="18"/>
          <w:szCs w:val="18"/>
        </w:rPr>
        <w:t>A-</w:t>
      </w:r>
      <w:r w:rsidRPr="000232BE">
        <w:rPr>
          <w:rFonts w:ascii="Arial" w:hAnsi="Arial" w:cs="Arial"/>
          <w:sz w:val="18"/>
          <w:szCs w:val="18"/>
        </w:rPr>
        <w:t>E</w:t>
      </w:r>
      <w:r w:rsidR="00802604" w:rsidRPr="00B71FF5">
        <w:rPr>
          <w:rFonts w:ascii="Arial" w:hAnsi="Arial" w:cs="Arial"/>
          <w:sz w:val="18"/>
          <w:szCs w:val="18"/>
        </w:rPr>
        <w:t>.</w:t>
      </w:r>
    </w:p>
  </w:footnote>
  <w:footnote w:id="9">
    <w:p w14:paraId="51611164" w14:textId="08835688" w:rsidR="00C87484" w:rsidRPr="00FA5B39" w:rsidRDefault="00C87484" w:rsidP="00C87484">
      <w:pPr>
        <w:pStyle w:val="FootnoteText"/>
        <w:rPr>
          <w:rFonts w:ascii="Arial" w:hAnsi="Arial" w:cs="Arial"/>
          <w:sz w:val="18"/>
          <w:szCs w:val="18"/>
        </w:rPr>
      </w:pPr>
      <w:r w:rsidRPr="001422BA">
        <w:rPr>
          <w:rStyle w:val="FootnoteReference"/>
          <w:rFonts w:ascii="Arial" w:hAnsi="Arial" w:cs="Arial"/>
          <w:sz w:val="18"/>
          <w:szCs w:val="18"/>
        </w:rPr>
        <w:footnoteRef/>
      </w:r>
      <w:r w:rsidRPr="001422BA">
        <w:rPr>
          <w:rFonts w:ascii="Arial" w:hAnsi="Arial" w:cs="Arial"/>
          <w:sz w:val="18"/>
          <w:szCs w:val="18"/>
        </w:rPr>
        <w:t xml:space="preserve"> 1975 (4) SA 675 (D)</w:t>
      </w:r>
      <w:r w:rsidR="00275AEE" w:rsidRPr="001422BA">
        <w:rPr>
          <w:rFonts w:ascii="Arial" w:hAnsi="Arial" w:cs="Arial"/>
          <w:sz w:val="18"/>
          <w:szCs w:val="18"/>
        </w:rPr>
        <w:t>.</w:t>
      </w:r>
    </w:p>
  </w:footnote>
  <w:footnote w:id="10">
    <w:p w14:paraId="13E4FB87" w14:textId="5A87BB3A" w:rsidR="00C87484" w:rsidRPr="00FA5B39" w:rsidRDefault="00C87484" w:rsidP="00C87484">
      <w:pPr>
        <w:pStyle w:val="FootnoteText"/>
        <w:rPr>
          <w:rFonts w:ascii="Arial" w:hAnsi="Arial" w:cs="Arial"/>
          <w:sz w:val="18"/>
          <w:lang w:val="en-GB"/>
        </w:rPr>
      </w:pPr>
      <w:r w:rsidRPr="00FA5B39">
        <w:rPr>
          <w:rStyle w:val="FootnoteReference"/>
          <w:rFonts w:ascii="Arial" w:hAnsi="Arial" w:cs="Arial"/>
          <w:sz w:val="18"/>
          <w:szCs w:val="18"/>
        </w:rPr>
        <w:footnoteRef/>
      </w:r>
      <w:r w:rsidR="00275AEE" w:rsidRPr="001422BA">
        <w:rPr>
          <w:rFonts w:ascii="Arial" w:hAnsi="Arial" w:cs="Arial"/>
          <w:sz w:val="18"/>
          <w:szCs w:val="18"/>
        </w:rPr>
        <w:t xml:space="preserve"> Id at</w:t>
      </w:r>
      <w:r w:rsidRPr="00FA5B39">
        <w:rPr>
          <w:rFonts w:ascii="Arial" w:hAnsi="Arial" w:cs="Arial"/>
          <w:sz w:val="18"/>
          <w:szCs w:val="18"/>
        </w:rPr>
        <w:t xml:space="preserve"> 68</w:t>
      </w:r>
      <w:r w:rsidR="006C417C" w:rsidRPr="001422BA">
        <w:rPr>
          <w:rFonts w:ascii="Arial" w:hAnsi="Arial" w:cs="Arial"/>
          <w:sz w:val="18"/>
          <w:szCs w:val="18"/>
        </w:rPr>
        <w:t>3A and 684A.</w:t>
      </w:r>
      <w:r w:rsidR="006C417C">
        <w:rPr>
          <w:rFonts w:ascii="Arial" w:hAnsi="Arial" w:cs="Arial"/>
          <w:sz w:val="18"/>
        </w:rPr>
        <w:t xml:space="preserve"> </w:t>
      </w:r>
    </w:p>
  </w:footnote>
  <w:footnote w:id="11">
    <w:p w14:paraId="1B87E593" w14:textId="6BA7C7EE" w:rsidR="00054CE6" w:rsidRDefault="00054CE6">
      <w:pPr>
        <w:pStyle w:val="FootnoteText"/>
      </w:pPr>
      <w:r w:rsidRPr="00FA5B39">
        <w:rPr>
          <w:rStyle w:val="FootnoteReference"/>
          <w:rFonts w:ascii="Arial" w:hAnsi="Arial" w:cs="Arial"/>
          <w:sz w:val="18"/>
        </w:rPr>
        <w:footnoteRef/>
      </w:r>
      <w:r w:rsidRPr="00FA5B39">
        <w:rPr>
          <w:rFonts w:ascii="Arial" w:hAnsi="Arial" w:cs="Arial"/>
          <w:sz w:val="18"/>
        </w:rPr>
        <w:t xml:space="preserve"> 12 of 2004.</w:t>
      </w:r>
      <w:r w:rsidRPr="00FA5B39">
        <w:rPr>
          <w:sz w:val="18"/>
        </w:rPr>
        <w:t xml:space="preserve"> </w:t>
      </w:r>
    </w:p>
  </w:footnote>
  <w:footnote w:id="12">
    <w:p w14:paraId="2302717F" w14:textId="16B284B4" w:rsidR="0018414A" w:rsidRPr="00E8712F" w:rsidRDefault="0018414A" w:rsidP="0018414A">
      <w:pPr>
        <w:pStyle w:val="FootnoteText"/>
        <w:rPr>
          <w:rFonts w:ascii="Arial" w:hAnsi="Arial" w:cs="Arial"/>
          <w:sz w:val="18"/>
          <w:szCs w:val="18"/>
        </w:rPr>
      </w:pPr>
      <w:r w:rsidRPr="00E8712F">
        <w:rPr>
          <w:rStyle w:val="FootnoteReference"/>
          <w:rFonts w:ascii="Arial" w:hAnsi="Arial" w:cs="Arial"/>
          <w:sz w:val="18"/>
          <w:szCs w:val="18"/>
        </w:rPr>
        <w:footnoteRef/>
      </w:r>
      <w:r w:rsidRPr="00E8712F">
        <w:rPr>
          <w:rFonts w:ascii="Arial" w:hAnsi="Arial" w:cs="Arial"/>
          <w:sz w:val="18"/>
          <w:szCs w:val="18"/>
        </w:rPr>
        <w:t xml:space="preserve"> Act 8 of 2011</w:t>
      </w:r>
      <w:r w:rsidR="00B25B4F">
        <w:rPr>
          <w:rFonts w:ascii="Arial" w:hAnsi="Arial" w:cs="Arial"/>
          <w:sz w:val="18"/>
          <w:szCs w:val="18"/>
        </w:rPr>
        <w:t>.</w:t>
      </w:r>
    </w:p>
  </w:footnote>
  <w:footnote w:id="13">
    <w:p w14:paraId="2FC8E8E8" w14:textId="5999A908" w:rsidR="0018414A" w:rsidRPr="00FA5B39" w:rsidRDefault="0018414A" w:rsidP="0018414A">
      <w:pPr>
        <w:pStyle w:val="FootnoteText"/>
        <w:rPr>
          <w:rFonts w:ascii="Arial" w:hAnsi="Arial" w:cs="Arial"/>
          <w:sz w:val="18"/>
          <w:szCs w:val="18"/>
        </w:rPr>
      </w:pPr>
      <w:r w:rsidRPr="00E8712F">
        <w:rPr>
          <w:rStyle w:val="FootnoteReference"/>
          <w:rFonts w:ascii="Arial" w:hAnsi="Arial" w:cs="Arial"/>
          <w:sz w:val="18"/>
          <w:szCs w:val="18"/>
        </w:rPr>
        <w:footnoteRef/>
      </w:r>
      <w:r w:rsidRPr="00E8712F">
        <w:rPr>
          <w:rFonts w:ascii="Arial" w:hAnsi="Arial" w:cs="Arial"/>
          <w:sz w:val="18"/>
          <w:szCs w:val="18"/>
        </w:rPr>
        <w:t xml:space="preserve"> Act 9 of 2011</w:t>
      </w:r>
      <w:r w:rsidR="00B25B4F">
        <w:rPr>
          <w:rFonts w:ascii="Arial" w:hAnsi="Arial" w:cs="Arial"/>
          <w:sz w:val="18"/>
          <w:szCs w:val="18"/>
        </w:rPr>
        <w:t>.</w:t>
      </w:r>
    </w:p>
  </w:footnote>
  <w:footnote w:id="14">
    <w:p w14:paraId="4493D59E" w14:textId="39802CA5" w:rsidR="00FC5D76" w:rsidRDefault="00FC5D76">
      <w:pPr>
        <w:pStyle w:val="FootnoteText"/>
      </w:pPr>
      <w:r w:rsidRPr="00FA5B39">
        <w:rPr>
          <w:rStyle w:val="FootnoteReference"/>
          <w:rFonts w:ascii="Arial" w:hAnsi="Arial" w:cs="Arial"/>
          <w:sz w:val="18"/>
          <w:szCs w:val="18"/>
        </w:rPr>
        <w:footnoteRef/>
      </w:r>
      <w:r w:rsidRPr="00FA5B39">
        <w:rPr>
          <w:rFonts w:ascii="Arial" w:hAnsi="Arial" w:cs="Arial"/>
          <w:sz w:val="18"/>
          <w:szCs w:val="18"/>
        </w:rPr>
        <w:t xml:space="preserve"> 95 of 1986.</w:t>
      </w:r>
      <w:r>
        <w:t xml:space="preserve"> </w:t>
      </w:r>
    </w:p>
  </w:footnote>
  <w:footnote w:id="15">
    <w:p w14:paraId="73BA6741" w14:textId="05815DA7" w:rsidR="0018414A" w:rsidRPr="00145895" w:rsidRDefault="0018414A" w:rsidP="0018414A">
      <w:pPr>
        <w:pStyle w:val="FootnoteText"/>
        <w:rPr>
          <w:rFonts w:ascii="Arial" w:hAnsi="Arial" w:cs="Arial"/>
          <w:sz w:val="18"/>
        </w:rPr>
      </w:pPr>
      <w:r w:rsidRPr="00145895">
        <w:rPr>
          <w:rStyle w:val="FootnoteReference"/>
          <w:rFonts w:ascii="Arial" w:hAnsi="Arial" w:cs="Arial"/>
          <w:sz w:val="18"/>
        </w:rPr>
        <w:footnoteRef/>
      </w:r>
      <w:r w:rsidRPr="00145895">
        <w:rPr>
          <w:rFonts w:ascii="Arial" w:hAnsi="Arial" w:cs="Arial"/>
          <w:sz w:val="18"/>
        </w:rPr>
        <w:t xml:space="preserve"> 01-6</w:t>
      </w:r>
      <w:r w:rsidR="00E074FA">
        <w:rPr>
          <w:rFonts w:ascii="Arial" w:hAnsi="Arial" w:cs="Arial"/>
          <w:sz w:val="18"/>
        </w:rPr>
        <w:t>.</w:t>
      </w:r>
    </w:p>
  </w:footnote>
  <w:footnote w:id="16">
    <w:p w14:paraId="6C95C83E" w14:textId="207888AA" w:rsidR="0018414A" w:rsidRPr="00145895" w:rsidRDefault="0018414A" w:rsidP="0018414A">
      <w:pPr>
        <w:pStyle w:val="FootnoteText"/>
        <w:rPr>
          <w:rFonts w:ascii="Arial" w:hAnsi="Arial" w:cs="Arial"/>
          <w:sz w:val="18"/>
        </w:rPr>
      </w:pPr>
      <w:r w:rsidRPr="00145895">
        <w:rPr>
          <w:rStyle w:val="FootnoteReference"/>
          <w:rFonts w:ascii="Arial" w:hAnsi="Arial" w:cs="Arial"/>
          <w:sz w:val="18"/>
        </w:rPr>
        <w:footnoteRef/>
      </w:r>
      <w:r w:rsidRPr="00145895">
        <w:rPr>
          <w:rFonts w:ascii="Arial" w:hAnsi="Arial" w:cs="Arial"/>
          <w:sz w:val="18"/>
        </w:rPr>
        <w:t xml:space="preserve"> 08-10</w:t>
      </w:r>
      <w:r w:rsidR="00E074FA">
        <w:rPr>
          <w:rFonts w:ascii="Arial" w:hAnsi="Arial" w:cs="Arial"/>
          <w:sz w:val="18"/>
        </w:rPr>
        <w:t>.</w:t>
      </w:r>
    </w:p>
  </w:footnote>
  <w:footnote w:id="17">
    <w:p w14:paraId="492FD43B" w14:textId="4B1F9C0D" w:rsidR="0018414A" w:rsidRPr="00145895" w:rsidRDefault="0018414A" w:rsidP="0018414A">
      <w:pPr>
        <w:pStyle w:val="FootnoteText"/>
        <w:rPr>
          <w:rFonts w:ascii="Arial" w:hAnsi="Arial" w:cs="Arial"/>
          <w:sz w:val="18"/>
        </w:rPr>
      </w:pPr>
      <w:r w:rsidRPr="00145895">
        <w:rPr>
          <w:rStyle w:val="FootnoteReference"/>
          <w:rFonts w:ascii="Arial" w:hAnsi="Arial" w:cs="Arial"/>
          <w:sz w:val="18"/>
        </w:rPr>
        <w:footnoteRef/>
      </w:r>
      <w:r w:rsidRPr="00145895">
        <w:rPr>
          <w:rFonts w:ascii="Arial" w:hAnsi="Arial" w:cs="Arial"/>
          <w:sz w:val="18"/>
        </w:rPr>
        <w:t xml:space="preserve"> 10-19</w:t>
      </w:r>
      <w:r w:rsidR="00B25B4F">
        <w:rPr>
          <w:rFonts w:ascii="Arial" w:hAnsi="Arial" w:cs="Arial"/>
          <w:sz w:val="18"/>
        </w:rPr>
        <w:t>.</w:t>
      </w:r>
    </w:p>
  </w:footnote>
  <w:footnote w:id="18">
    <w:p w14:paraId="2E65B3B7" w14:textId="79E6A6D3" w:rsidR="00517561" w:rsidRDefault="00517561" w:rsidP="00517561">
      <w:pPr>
        <w:pStyle w:val="FootnoteText"/>
      </w:pPr>
      <w:r w:rsidRPr="00145895">
        <w:rPr>
          <w:rStyle w:val="FootnoteReference"/>
          <w:rFonts w:ascii="Arial" w:hAnsi="Arial" w:cs="Arial"/>
          <w:sz w:val="18"/>
        </w:rPr>
        <w:footnoteRef/>
      </w:r>
      <w:r w:rsidRPr="00145895">
        <w:rPr>
          <w:rFonts w:ascii="Arial" w:hAnsi="Arial" w:cs="Arial"/>
          <w:sz w:val="18"/>
        </w:rPr>
        <w:t xml:space="preserve"> 1997 (1) SA 136 (</w:t>
      </w:r>
      <w:r w:rsidR="00E074FA">
        <w:rPr>
          <w:rFonts w:ascii="Arial" w:hAnsi="Arial" w:cs="Arial"/>
          <w:sz w:val="18"/>
        </w:rPr>
        <w:t>A</w:t>
      </w:r>
      <w:r w:rsidRPr="00145895">
        <w:rPr>
          <w:rFonts w:ascii="Arial" w:hAnsi="Arial" w:cs="Arial"/>
          <w:sz w:val="18"/>
        </w:rPr>
        <w:t>)</w:t>
      </w:r>
      <w:r w:rsidR="00E074FA">
        <w:rPr>
          <w:rFonts w:ascii="Arial" w:hAnsi="Arial" w:cs="Arial"/>
          <w:sz w:val="18"/>
        </w:rPr>
        <w:t xml:space="preserve">. </w:t>
      </w:r>
    </w:p>
  </w:footnote>
  <w:footnote w:id="19">
    <w:p w14:paraId="747162CD" w14:textId="561C2669" w:rsidR="00B71FF5" w:rsidRPr="00FA5B39" w:rsidRDefault="00B71FF5">
      <w:pPr>
        <w:pStyle w:val="FootnoteText"/>
        <w:rPr>
          <w:rFonts w:ascii="Arial" w:hAnsi="Arial" w:cs="Arial"/>
          <w:sz w:val="18"/>
        </w:rPr>
      </w:pPr>
      <w:r w:rsidRPr="00FA5B39">
        <w:rPr>
          <w:rStyle w:val="FootnoteReference"/>
          <w:rFonts w:ascii="Arial" w:hAnsi="Arial" w:cs="Arial"/>
          <w:sz w:val="18"/>
        </w:rPr>
        <w:footnoteRef/>
      </w:r>
      <w:r w:rsidRPr="00FA5B39">
        <w:rPr>
          <w:rFonts w:ascii="Arial" w:hAnsi="Arial" w:cs="Arial"/>
          <w:sz w:val="18"/>
        </w:rPr>
        <w:t xml:space="preserve"> Id at 144A.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15:restartNumberingAfterBreak="0">
    <w:nsid w:val="27FA6CC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7BD73BD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51803702">
    <w:abstractNumId w:val="1"/>
  </w:num>
  <w:num w:numId="2" w16cid:durableId="92171227">
    <w:abstractNumId w:val="3"/>
  </w:num>
  <w:num w:numId="3" w16cid:durableId="1353067830">
    <w:abstractNumId w:val="0"/>
  </w:num>
  <w:num w:numId="4" w16cid:durableId="728841976">
    <w:abstractNumId w:val="1"/>
  </w:num>
  <w:num w:numId="5" w16cid:durableId="1007709739">
    <w:abstractNumId w:val="2"/>
  </w:num>
  <w:num w:numId="6" w16cid:durableId="1394965423">
    <w:abstractNumId w:val="4"/>
  </w:num>
  <w:num w:numId="7" w16cid:durableId="1733388660">
    <w:abstractNumId w:val="1"/>
  </w:num>
  <w:num w:numId="8" w16cid:durableId="526531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zNjE0MzW0MDI0NTdR0lEKTi0uzszPAykwrAUALSBGZywAAAA="/>
  </w:docVars>
  <w:rsids>
    <w:rsidRoot w:val="00C1556E"/>
    <w:rsid w:val="00007E18"/>
    <w:rsid w:val="000141A0"/>
    <w:rsid w:val="000232BE"/>
    <w:rsid w:val="0003384A"/>
    <w:rsid w:val="00054CE6"/>
    <w:rsid w:val="000B75F9"/>
    <w:rsid w:val="000C58A0"/>
    <w:rsid w:val="000E1A09"/>
    <w:rsid w:val="000E1A7B"/>
    <w:rsid w:val="000F1FE5"/>
    <w:rsid w:val="00115BF2"/>
    <w:rsid w:val="001266D9"/>
    <w:rsid w:val="001300B6"/>
    <w:rsid w:val="001340B0"/>
    <w:rsid w:val="001422BA"/>
    <w:rsid w:val="00145895"/>
    <w:rsid w:val="00165C56"/>
    <w:rsid w:val="0017186A"/>
    <w:rsid w:val="001740A9"/>
    <w:rsid w:val="0017438F"/>
    <w:rsid w:val="0018414A"/>
    <w:rsid w:val="001B723A"/>
    <w:rsid w:val="001C3576"/>
    <w:rsid w:val="001C5042"/>
    <w:rsid w:val="001D03CA"/>
    <w:rsid w:val="001D1774"/>
    <w:rsid w:val="001E1814"/>
    <w:rsid w:val="002573B0"/>
    <w:rsid w:val="00262C2F"/>
    <w:rsid w:val="00275AEE"/>
    <w:rsid w:val="002B448C"/>
    <w:rsid w:val="002B5BB5"/>
    <w:rsid w:val="002C4271"/>
    <w:rsid w:val="002E09EA"/>
    <w:rsid w:val="002E1840"/>
    <w:rsid w:val="002E1A28"/>
    <w:rsid w:val="002E7BAE"/>
    <w:rsid w:val="003361E4"/>
    <w:rsid w:val="0036383F"/>
    <w:rsid w:val="003673B7"/>
    <w:rsid w:val="00370B64"/>
    <w:rsid w:val="00374339"/>
    <w:rsid w:val="003B0BEA"/>
    <w:rsid w:val="003D0544"/>
    <w:rsid w:val="00415CD1"/>
    <w:rsid w:val="00421134"/>
    <w:rsid w:val="0044414E"/>
    <w:rsid w:val="00447AD4"/>
    <w:rsid w:val="00464EEF"/>
    <w:rsid w:val="0046587B"/>
    <w:rsid w:val="00477929"/>
    <w:rsid w:val="0048472E"/>
    <w:rsid w:val="004A6BED"/>
    <w:rsid w:val="004B0EE6"/>
    <w:rsid w:val="004C78B4"/>
    <w:rsid w:val="004D6758"/>
    <w:rsid w:val="004E7255"/>
    <w:rsid w:val="004F194E"/>
    <w:rsid w:val="004F3343"/>
    <w:rsid w:val="00517561"/>
    <w:rsid w:val="00520B83"/>
    <w:rsid w:val="005459C2"/>
    <w:rsid w:val="005876BB"/>
    <w:rsid w:val="00604CB8"/>
    <w:rsid w:val="00605CD6"/>
    <w:rsid w:val="006070EA"/>
    <w:rsid w:val="006477FC"/>
    <w:rsid w:val="00677C9B"/>
    <w:rsid w:val="00696DFA"/>
    <w:rsid w:val="006A5533"/>
    <w:rsid w:val="006A55E5"/>
    <w:rsid w:val="006B1471"/>
    <w:rsid w:val="006C417C"/>
    <w:rsid w:val="006D0F95"/>
    <w:rsid w:val="00704C6E"/>
    <w:rsid w:val="00710DF5"/>
    <w:rsid w:val="00713F60"/>
    <w:rsid w:val="0073161D"/>
    <w:rsid w:val="00734190"/>
    <w:rsid w:val="00761007"/>
    <w:rsid w:val="00794DCB"/>
    <w:rsid w:val="007B7F59"/>
    <w:rsid w:val="007D3766"/>
    <w:rsid w:val="007D49C6"/>
    <w:rsid w:val="00802604"/>
    <w:rsid w:val="00807613"/>
    <w:rsid w:val="00810176"/>
    <w:rsid w:val="0081310E"/>
    <w:rsid w:val="00820D07"/>
    <w:rsid w:val="0083112F"/>
    <w:rsid w:val="00846A6E"/>
    <w:rsid w:val="00850D1D"/>
    <w:rsid w:val="00851BF8"/>
    <w:rsid w:val="00855CD7"/>
    <w:rsid w:val="0085749B"/>
    <w:rsid w:val="0086222A"/>
    <w:rsid w:val="00876A93"/>
    <w:rsid w:val="00883309"/>
    <w:rsid w:val="008B5136"/>
    <w:rsid w:val="008C1744"/>
    <w:rsid w:val="00960C24"/>
    <w:rsid w:val="009651CD"/>
    <w:rsid w:val="009808BE"/>
    <w:rsid w:val="009C08C0"/>
    <w:rsid w:val="009C213A"/>
    <w:rsid w:val="009C5E9D"/>
    <w:rsid w:val="009E0F4E"/>
    <w:rsid w:val="00A04460"/>
    <w:rsid w:val="00A136DA"/>
    <w:rsid w:val="00A25EE5"/>
    <w:rsid w:val="00A35A9E"/>
    <w:rsid w:val="00A55FB0"/>
    <w:rsid w:val="00A66C31"/>
    <w:rsid w:val="00A83A79"/>
    <w:rsid w:val="00AA4980"/>
    <w:rsid w:val="00AD29B9"/>
    <w:rsid w:val="00B10EE9"/>
    <w:rsid w:val="00B25B4F"/>
    <w:rsid w:val="00B4213A"/>
    <w:rsid w:val="00B71FF5"/>
    <w:rsid w:val="00BB08C9"/>
    <w:rsid w:val="00BB740A"/>
    <w:rsid w:val="00BD1D49"/>
    <w:rsid w:val="00BD315E"/>
    <w:rsid w:val="00BF1474"/>
    <w:rsid w:val="00BF7336"/>
    <w:rsid w:val="00BF7DB1"/>
    <w:rsid w:val="00C01B9E"/>
    <w:rsid w:val="00C1556E"/>
    <w:rsid w:val="00C16241"/>
    <w:rsid w:val="00C303DF"/>
    <w:rsid w:val="00C30A8A"/>
    <w:rsid w:val="00C33144"/>
    <w:rsid w:val="00C5268B"/>
    <w:rsid w:val="00C87484"/>
    <w:rsid w:val="00C92FEE"/>
    <w:rsid w:val="00CC7614"/>
    <w:rsid w:val="00CE02F2"/>
    <w:rsid w:val="00CE37D3"/>
    <w:rsid w:val="00D33F5D"/>
    <w:rsid w:val="00D35698"/>
    <w:rsid w:val="00D41534"/>
    <w:rsid w:val="00D46495"/>
    <w:rsid w:val="00D475F2"/>
    <w:rsid w:val="00D53F93"/>
    <w:rsid w:val="00D673B1"/>
    <w:rsid w:val="00D738DC"/>
    <w:rsid w:val="00D969DF"/>
    <w:rsid w:val="00DD2237"/>
    <w:rsid w:val="00DD2ED1"/>
    <w:rsid w:val="00DE0A5A"/>
    <w:rsid w:val="00E074FA"/>
    <w:rsid w:val="00E1374B"/>
    <w:rsid w:val="00E17467"/>
    <w:rsid w:val="00E218AD"/>
    <w:rsid w:val="00E6083E"/>
    <w:rsid w:val="00E61016"/>
    <w:rsid w:val="00E64E56"/>
    <w:rsid w:val="00E8712F"/>
    <w:rsid w:val="00E87AC4"/>
    <w:rsid w:val="00EB01DA"/>
    <w:rsid w:val="00EE7F9E"/>
    <w:rsid w:val="00F013FE"/>
    <w:rsid w:val="00F33F7B"/>
    <w:rsid w:val="00F41961"/>
    <w:rsid w:val="00F601B0"/>
    <w:rsid w:val="00F676C9"/>
    <w:rsid w:val="00F93553"/>
    <w:rsid w:val="00FA5B39"/>
    <w:rsid w:val="00FB420D"/>
    <w:rsid w:val="00FC1B37"/>
    <w:rsid w:val="00FC557A"/>
    <w:rsid w:val="00FC5D76"/>
    <w:rsid w:val="00FF04E4"/>
    <w:rsid w:val="00FF1849"/>
    <w:rsid w:val="00FF70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771D"/>
  <w15:chartTrackingRefBased/>
  <w15:docId w15:val="{DD23FDE8-7D83-435A-A0DF-A90ACE26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ListParagraph">
    <w:name w:val="List Paragraph"/>
    <w:basedOn w:val="Normal"/>
    <w:uiPriority w:val="34"/>
    <w:qFormat/>
    <w:rsid w:val="00C1556E"/>
    <w:pPr>
      <w:spacing w:after="160" w:line="259" w:lineRule="auto"/>
      <w:ind w:left="720"/>
      <w:contextualSpacing/>
      <w:jc w:val="left"/>
    </w:pPr>
    <w:rPr>
      <w:rFonts w:asciiTheme="minorHAnsi" w:hAnsiTheme="minorHAnsi"/>
      <w:kern w:val="2"/>
      <w:sz w:val="22"/>
      <w:lang w:val="en-ZA"/>
      <w14:ligatures w14:val="standardContextual"/>
    </w:rPr>
  </w:style>
  <w:style w:type="character" w:styleId="CommentReference">
    <w:name w:val="annotation reference"/>
    <w:basedOn w:val="DefaultParagraphFont"/>
    <w:uiPriority w:val="99"/>
    <w:semiHidden/>
    <w:unhideWhenUsed/>
    <w:rsid w:val="00C1556E"/>
    <w:rPr>
      <w:sz w:val="16"/>
      <w:szCs w:val="16"/>
    </w:rPr>
  </w:style>
  <w:style w:type="paragraph" w:styleId="CommentText">
    <w:name w:val="annotation text"/>
    <w:basedOn w:val="Normal"/>
    <w:link w:val="CommentTextChar"/>
    <w:uiPriority w:val="99"/>
    <w:unhideWhenUsed/>
    <w:rsid w:val="00C1556E"/>
    <w:pPr>
      <w:spacing w:after="160" w:line="240" w:lineRule="auto"/>
      <w:ind w:left="0"/>
      <w:jc w:val="left"/>
    </w:pPr>
    <w:rPr>
      <w:rFonts w:asciiTheme="minorHAnsi" w:hAnsiTheme="minorHAnsi"/>
      <w:kern w:val="2"/>
      <w:sz w:val="20"/>
      <w:szCs w:val="20"/>
      <w:lang w:val="en-ZA"/>
      <w14:ligatures w14:val="standardContextual"/>
    </w:rPr>
  </w:style>
  <w:style w:type="character" w:customStyle="1" w:styleId="CommentTextChar">
    <w:name w:val="Comment Text Char"/>
    <w:basedOn w:val="DefaultParagraphFont"/>
    <w:link w:val="CommentText"/>
    <w:uiPriority w:val="99"/>
    <w:rsid w:val="00C1556E"/>
    <w:rPr>
      <w:kern w:val="2"/>
      <w:sz w:val="20"/>
      <w:szCs w:val="20"/>
      <w14:ligatures w14:val="standardContextual"/>
    </w:rPr>
  </w:style>
  <w:style w:type="paragraph" w:styleId="BalloonText">
    <w:name w:val="Balloon Text"/>
    <w:basedOn w:val="Normal"/>
    <w:link w:val="BalloonTextChar"/>
    <w:uiPriority w:val="99"/>
    <w:semiHidden/>
    <w:unhideWhenUsed/>
    <w:rsid w:val="00C15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56E"/>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FC1B37"/>
    <w:pPr>
      <w:spacing w:after="0" w:line="240" w:lineRule="auto"/>
      <w:ind w:left="0"/>
      <w:jc w:val="left"/>
    </w:pPr>
    <w:rPr>
      <w:rFonts w:asciiTheme="minorHAnsi" w:hAnsiTheme="minorHAnsi"/>
      <w:kern w:val="2"/>
      <w:sz w:val="20"/>
      <w:szCs w:val="20"/>
      <w:lang w:val="en-ZA"/>
      <w14:ligatures w14:val="standardContextual"/>
    </w:rPr>
  </w:style>
  <w:style w:type="character" w:customStyle="1" w:styleId="FootnoteTextChar">
    <w:name w:val="Footnote Text Char"/>
    <w:basedOn w:val="DefaultParagraphFont"/>
    <w:link w:val="FootnoteText"/>
    <w:uiPriority w:val="99"/>
    <w:semiHidden/>
    <w:rsid w:val="00FC1B37"/>
    <w:rPr>
      <w:kern w:val="2"/>
      <w:sz w:val="20"/>
      <w:szCs w:val="20"/>
      <w14:ligatures w14:val="standardContextual"/>
    </w:rPr>
  </w:style>
  <w:style w:type="character" w:styleId="FootnoteReference">
    <w:name w:val="footnote reference"/>
    <w:basedOn w:val="DefaultParagraphFont"/>
    <w:uiPriority w:val="99"/>
    <w:semiHidden/>
    <w:unhideWhenUsed/>
    <w:rsid w:val="00FC1B37"/>
    <w:rPr>
      <w:vertAlign w:val="superscript"/>
    </w:rPr>
  </w:style>
  <w:style w:type="paragraph" w:styleId="NormalWeb">
    <w:name w:val="Normal (Web)"/>
    <w:basedOn w:val="Normal"/>
    <w:uiPriority w:val="99"/>
    <w:semiHidden/>
    <w:unhideWhenUsed/>
    <w:rsid w:val="00477929"/>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character" w:styleId="Emphasis">
    <w:name w:val="Emphasis"/>
    <w:basedOn w:val="DefaultParagraphFont"/>
    <w:uiPriority w:val="20"/>
    <w:qFormat/>
    <w:rsid w:val="00477929"/>
    <w:rPr>
      <w:i/>
      <w:iCs/>
    </w:rPr>
  </w:style>
  <w:style w:type="character" w:styleId="Hyperlink">
    <w:name w:val="Hyperlink"/>
    <w:basedOn w:val="DefaultParagraphFont"/>
    <w:uiPriority w:val="99"/>
    <w:unhideWhenUsed/>
    <w:rsid w:val="00DD2237"/>
    <w:rPr>
      <w:color w:val="0563C1" w:themeColor="hyperlink"/>
      <w:u w:val="single"/>
    </w:rPr>
  </w:style>
  <w:style w:type="table" w:styleId="TableGrid">
    <w:name w:val="Table Grid"/>
    <w:basedOn w:val="TableNormal"/>
    <w:uiPriority w:val="39"/>
    <w:rsid w:val="00517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175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1756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517561"/>
    <w:pPr>
      <w:spacing w:after="0" w:line="240" w:lineRule="auto"/>
    </w:pPr>
    <w:rPr>
      <w:rFonts w:ascii="Arial" w:hAnsi="Arial"/>
      <w:sz w:val="24"/>
      <w:lang w:val="en-GB"/>
    </w:rPr>
  </w:style>
  <w:style w:type="paragraph" w:customStyle="1" w:styleId="COUNSELDETAILS">
    <w:name w:val="COUNSEL DETAILS"/>
    <w:basedOn w:val="Normal"/>
    <w:link w:val="COUNSELDETAILSChar"/>
    <w:rsid w:val="0017438F"/>
    <w:pPr>
      <w:spacing w:after="0" w:line="240" w:lineRule="auto"/>
      <w:ind w:left="0"/>
    </w:pPr>
    <w:rPr>
      <w:rFonts w:ascii="Times New Roman" w:eastAsia="Calibri" w:hAnsi="Times New Roman" w:cs="Times New Roman"/>
      <w:sz w:val="26"/>
      <w:szCs w:val="26"/>
      <w:lang w:val="en-ZA"/>
    </w:rPr>
  </w:style>
  <w:style w:type="character" w:customStyle="1" w:styleId="COUNSELDETAILSChar">
    <w:name w:val="COUNSEL DETAILS Char"/>
    <w:basedOn w:val="DefaultParagraphFont"/>
    <w:link w:val="COUNSELDETAILS"/>
    <w:rsid w:val="0017438F"/>
    <w:rPr>
      <w:rFonts w:ascii="Times New Roman" w:eastAsia="Calibri" w:hAnsi="Times New Roman" w:cs="Times New Roman"/>
      <w:sz w:val="26"/>
      <w:szCs w:val="26"/>
    </w:rPr>
  </w:style>
  <w:style w:type="paragraph" w:styleId="CommentSubject">
    <w:name w:val="annotation subject"/>
    <w:basedOn w:val="CommentText"/>
    <w:next w:val="CommentText"/>
    <w:link w:val="CommentSubjectChar"/>
    <w:uiPriority w:val="99"/>
    <w:semiHidden/>
    <w:unhideWhenUsed/>
    <w:rsid w:val="00E1374B"/>
    <w:pPr>
      <w:spacing w:after="240"/>
      <w:ind w:left="567"/>
      <w:jc w:val="both"/>
    </w:pPr>
    <w:rPr>
      <w:rFonts w:ascii="Arial" w:hAnsi="Arial"/>
      <w:b/>
      <w:bCs/>
      <w:kern w:val="0"/>
      <w:lang w:val="en-GB"/>
      <w14:ligatures w14:val="none"/>
    </w:rPr>
  </w:style>
  <w:style w:type="character" w:customStyle="1" w:styleId="CommentSubjectChar">
    <w:name w:val="Comment Subject Char"/>
    <w:basedOn w:val="CommentTextChar"/>
    <w:link w:val="CommentSubject"/>
    <w:uiPriority w:val="99"/>
    <w:semiHidden/>
    <w:rsid w:val="00E1374B"/>
    <w:rPr>
      <w:rFonts w:ascii="Arial" w:hAnsi="Arial"/>
      <w:b/>
      <w:bCs/>
      <w:kern w:val="2"/>
      <w:sz w:val="20"/>
      <w:szCs w:val="20"/>
      <w:lang w:val="en-GB"/>
      <w14:ligatures w14:val="standardContextual"/>
    </w:rPr>
  </w:style>
  <w:style w:type="paragraph" w:styleId="Header">
    <w:name w:val="header"/>
    <w:basedOn w:val="Normal"/>
    <w:link w:val="HeaderChar"/>
    <w:uiPriority w:val="99"/>
    <w:unhideWhenUsed/>
    <w:rsid w:val="008C1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744"/>
    <w:rPr>
      <w:rFonts w:ascii="Arial" w:hAnsi="Arial"/>
      <w:sz w:val="24"/>
      <w:lang w:val="en-GB"/>
    </w:rPr>
  </w:style>
  <w:style w:type="paragraph" w:styleId="Footer">
    <w:name w:val="footer"/>
    <w:basedOn w:val="Normal"/>
    <w:link w:val="FooterChar"/>
    <w:uiPriority w:val="99"/>
    <w:unhideWhenUsed/>
    <w:rsid w:val="008C1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744"/>
    <w:rPr>
      <w:rFonts w:ascii="Arial" w:hAnsi="Arial"/>
      <w:sz w:val="24"/>
      <w:lang w:val="en-GB"/>
    </w:rPr>
  </w:style>
  <w:style w:type="paragraph" w:styleId="NoSpacing">
    <w:name w:val="No Spacing"/>
    <w:uiPriority w:val="1"/>
    <w:qFormat/>
    <w:rsid w:val="00855CD7"/>
    <w:pPr>
      <w:spacing w:after="0" w:line="240" w:lineRule="auto"/>
      <w:ind w:left="567"/>
      <w:jc w:val="both"/>
    </w:pPr>
    <w:rPr>
      <w:rFonts w:ascii="Arial" w:hAnsi="Arial"/>
      <w:sz w:val="24"/>
      <w:lang w:val="en-GB"/>
    </w:rPr>
  </w:style>
  <w:style w:type="character" w:customStyle="1" w:styleId="UnresolvedMention1">
    <w:name w:val="Unresolved Mention1"/>
    <w:basedOn w:val="DefaultParagraphFont"/>
    <w:uiPriority w:val="99"/>
    <w:semiHidden/>
    <w:unhideWhenUsed/>
    <w:rsid w:val="00FF1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6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johanmoorcroft.co.za/the-new-look-summary-judgment-procedure-in-rule-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n%20Carrim\Downloads\High%20Court%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f16c8a8-44c6-47e7-a73c-eb4dbe60b4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468D14509E17C48B191FF7C3BED7F75" ma:contentTypeVersion="15" ma:contentTypeDescription="Create a new document." ma:contentTypeScope="" ma:versionID="168cdc3ec847cb88c1532c0b5fc189b2">
  <xsd:schema xmlns:xsd="http://www.w3.org/2001/XMLSchema" xmlns:xs="http://www.w3.org/2001/XMLSchema" xmlns:p="http://schemas.microsoft.com/office/2006/metadata/properties" xmlns:ns3="1f16c8a8-44c6-47e7-a73c-eb4dbe60b46d" xmlns:ns4="5da120b3-7f5e-4c33-adc5-0873038508ad" targetNamespace="http://schemas.microsoft.com/office/2006/metadata/properties" ma:root="true" ma:fieldsID="57ed11db38064dc06c83fa2378cf9c82" ns3:_="" ns4:_="">
    <xsd:import namespace="1f16c8a8-44c6-47e7-a73c-eb4dbe60b46d"/>
    <xsd:import namespace="5da120b3-7f5e-4c33-adc5-0873038508ad"/>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bjectDetectorVersions" minOccurs="0"/>
                <xsd:element ref="ns3:MediaServiceGenerationTime" minOccurs="0"/>
                <xsd:element ref="ns3:MediaServiceEventHashCode" minOccurs="0"/>
                <xsd:element ref="ns3:MediaServiceSystemTags" minOccurs="0"/>
                <xsd:element ref="ns3:MediaServiceSearchPropertie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6c8a8-44c6-47e7-a73c-eb4dbe60b46d"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a120b3-7f5e-4c33-adc5-0873038508ad"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F9459-2E1E-4BBA-8D11-6A62E24E3978}">
  <ds:schemaRefs>
    <ds:schemaRef ds:uri="http://schemas.microsoft.com/office/2006/metadata/properties"/>
    <ds:schemaRef ds:uri="http://schemas.microsoft.com/office/infopath/2007/PartnerControls"/>
    <ds:schemaRef ds:uri="1f16c8a8-44c6-47e7-a73c-eb4dbe60b46d"/>
  </ds:schemaRefs>
</ds:datastoreItem>
</file>

<file path=customXml/itemProps2.xml><?xml version="1.0" encoding="utf-8"?>
<ds:datastoreItem xmlns:ds="http://schemas.openxmlformats.org/officeDocument/2006/customXml" ds:itemID="{52746CC6-E5B0-4F2B-8C28-E05C47BEC612}">
  <ds:schemaRefs>
    <ds:schemaRef ds:uri="http://schemas.microsoft.com/sharepoint/v3/contenttype/forms"/>
  </ds:schemaRefs>
</ds:datastoreItem>
</file>

<file path=customXml/itemProps3.xml><?xml version="1.0" encoding="utf-8"?>
<ds:datastoreItem xmlns:ds="http://schemas.openxmlformats.org/officeDocument/2006/customXml" ds:itemID="{3A7B0B32-E0B2-46B4-81E7-3145A60523A7}">
  <ds:schemaRefs>
    <ds:schemaRef ds:uri="http://schemas.openxmlformats.org/officeDocument/2006/bibliography"/>
  </ds:schemaRefs>
</ds:datastoreItem>
</file>

<file path=customXml/itemProps4.xml><?xml version="1.0" encoding="utf-8"?>
<ds:datastoreItem xmlns:ds="http://schemas.openxmlformats.org/officeDocument/2006/customXml" ds:itemID="{847591FA-2626-42B3-AE26-3C0DED041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6c8a8-44c6-47e7-a73c-eb4dbe60b46d"/>
    <ds:schemaRef ds:uri="5da120b3-7f5e-4c33-adc5-087303850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High Court Judgment Template.dotx</Template>
  <TotalTime>3</TotalTime>
  <Pages>14</Pages>
  <Words>3168</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Biko Ramaube</dc:creator>
  <cp:keywords/>
  <dc:description/>
  <cp:lastModifiedBy>sathish sarshan  mohan</cp:lastModifiedBy>
  <cp:revision>3</cp:revision>
  <dcterms:created xsi:type="dcterms:W3CDTF">2024-03-11T12:52:00Z</dcterms:created>
  <dcterms:modified xsi:type="dcterms:W3CDTF">2024-03-11T13:19:00Z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0x0101004468D14509E17C48B191FF7C3BED7F75</vt:lpwstr>
  </property>
</Properties>
</file>