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D571" w14:textId="77777777" w:rsidR="001E2697" w:rsidRDefault="001E2697" w:rsidP="001E2697">
      <w:pPr>
        <w:spacing w:line="360" w:lineRule="auto"/>
        <w:ind w:leftChars="-38" w:left="-91"/>
        <w:jc w:val="center"/>
        <w:rPr>
          <w:rFonts w:cs="Arial"/>
          <w:b/>
        </w:rPr>
      </w:pPr>
    </w:p>
    <w:p w14:paraId="18EF350F" w14:textId="77777777" w:rsidR="001E2697" w:rsidRPr="008A3859" w:rsidRDefault="001E2697" w:rsidP="001E2697">
      <w:pPr>
        <w:spacing w:line="360" w:lineRule="auto"/>
        <w:ind w:leftChars="-38" w:left="-91"/>
        <w:jc w:val="center"/>
        <w:rPr>
          <w:rFonts w:cs="Arial"/>
          <w:b/>
        </w:rPr>
      </w:pPr>
      <w:r w:rsidRPr="008A3859">
        <w:rPr>
          <w:rFonts w:cs="Arial"/>
          <w:b/>
        </w:rPr>
        <w:t>REPUBLIC OF SOUTH AFRICA</w:t>
      </w:r>
    </w:p>
    <w:p w14:paraId="2BD32E3B" w14:textId="77777777" w:rsidR="001E2697" w:rsidRPr="008A3859" w:rsidRDefault="001E2697" w:rsidP="001E2697">
      <w:pPr>
        <w:spacing w:line="360" w:lineRule="auto"/>
        <w:ind w:leftChars="-38" w:left="-91"/>
        <w:jc w:val="center"/>
        <w:rPr>
          <w:rFonts w:cs="Arial"/>
          <w:b/>
        </w:rPr>
      </w:pPr>
      <w:r>
        <w:rPr>
          <w:rFonts w:cs="Arial"/>
          <w:b/>
          <w:noProof/>
          <w:lang w:eastAsia="en-ZA"/>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8A3859" w:rsidRDefault="001E2697" w:rsidP="001E2697">
      <w:pPr>
        <w:spacing w:line="360" w:lineRule="auto"/>
        <w:ind w:leftChars="-38" w:left="-91"/>
        <w:jc w:val="center"/>
        <w:rPr>
          <w:rFonts w:cs="Arial"/>
          <w:b/>
        </w:rPr>
      </w:pPr>
      <w:r w:rsidRPr="008A3859">
        <w:rPr>
          <w:rFonts w:cs="Arial"/>
          <w:b/>
        </w:rPr>
        <w:t>IN THE HIGH COURT OF SOUTH AFRICA</w:t>
      </w:r>
    </w:p>
    <w:p w14:paraId="4DE9DB44" w14:textId="0619354B" w:rsidR="001E2697" w:rsidRPr="008A3859" w:rsidRDefault="001E2697" w:rsidP="001E2697">
      <w:pPr>
        <w:spacing w:line="360" w:lineRule="auto"/>
        <w:ind w:leftChars="-38" w:left="-91"/>
        <w:jc w:val="center"/>
        <w:rPr>
          <w:rFonts w:cs="Arial"/>
          <w:b/>
        </w:rPr>
      </w:pPr>
      <w:r w:rsidRPr="008A3859">
        <w:rPr>
          <w:rFonts w:cs="Arial"/>
          <w:b/>
        </w:rPr>
        <w:t>GAUTENG DIVISION, JOHANNESBURG</w:t>
      </w:r>
    </w:p>
    <w:p w14:paraId="1F8D97D2" w14:textId="77777777" w:rsidR="001E2697" w:rsidRDefault="001E2697" w:rsidP="001E2697">
      <w:pPr>
        <w:widowControl w:val="0"/>
        <w:jc w:val="center"/>
        <w:rPr>
          <w:rFonts w:cs="Arial"/>
        </w:rPr>
      </w:pPr>
    </w:p>
    <w:p w14:paraId="16061E25" w14:textId="77777777" w:rsidR="001E2697" w:rsidRPr="00F04BA1" w:rsidRDefault="001E2697" w:rsidP="001E2697">
      <w:pPr>
        <w:widowControl w:val="0"/>
        <w:jc w:val="center"/>
        <w:rPr>
          <w:rFonts w:cs="Arial"/>
        </w:rPr>
      </w:pPr>
    </w:p>
    <w:p w14:paraId="03BF3688" w14:textId="7C24C860" w:rsidR="001E2697" w:rsidRPr="00840C12" w:rsidRDefault="001E2697" w:rsidP="00D51E11">
      <w:pPr>
        <w:tabs>
          <w:tab w:val="left" w:pos="-720"/>
        </w:tabs>
        <w:suppressAutoHyphens/>
        <w:jc w:val="right"/>
        <w:rPr>
          <w:rFonts w:cs="Arial"/>
          <w:b/>
          <w:bCs/>
          <w:spacing w:val="-3"/>
        </w:rPr>
      </w:pPr>
      <w:r>
        <w:rPr>
          <w:rFonts w:cs="Arial"/>
          <w:b/>
          <w:bCs/>
          <w:spacing w:val="-3"/>
        </w:rPr>
        <w:t>CASE NUMBER:</w:t>
      </w:r>
      <w:r w:rsidR="00B976D8">
        <w:rPr>
          <w:rFonts w:cs="Arial"/>
          <w:b/>
          <w:bCs/>
          <w:spacing w:val="-3"/>
        </w:rPr>
        <w:t xml:space="preserve">  </w:t>
      </w:r>
      <w:r w:rsidR="00A71A0F">
        <w:rPr>
          <w:rFonts w:cs="Arial"/>
        </w:rPr>
        <w:t>16373/2021</w:t>
      </w:r>
    </w:p>
    <w:p w14:paraId="599B9EA6" w14:textId="77777777" w:rsidR="001E2697" w:rsidRPr="001750A3"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F04BA1" w14:paraId="3ABF34AB" w14:textId="77777777" w:rsidTr="009B1DFC">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F04BA1" w:rsidRDefault="001E2697" w:rsidP="009B1DFC">
            <w:pPr>
              <w:jc w:val="both"/>
              <w:rPr>
                <w:rFonts w:cs="Arial"/>
                <w:sz w:val="16"/>
                <w:szCs w:val="16"/>
              </w:rPr>
            </w:pPr>
          </w:p>
          <w:p w14:paraId="367F2BD7" w14:textId="77777777" w:rsidR="001E2697" w:rsidRPr="008B170D" w:rsidRDefault="001E2697" w:rsidP="009B1DFC">
            <w:pPr>
              <w:ind w:left="180"/>
              <w:jc w:val="center"/>
              <w:rPr>
                <w:rFonts w:cs="Arial"/>
                <w:b/>
                <w:bCs/>
                <w:color w:val="FF0000"/>
                <w:sz w:val="18"/>
                <w:szCs w:val="18"/>
                <w:u w:val="single"/>
              </w:rPr>
            </w:pPr>
            <w:r w:rsidRPr="008B170D">
              <w:rPr>
                <w:rFonts w:cs="Arial"/>
                <w:b/>
                <w:bCs/>
                <w:color w:val="FF0000"/>
                <w:sz w:val="18"/>
                <w:szCs w:val="18"/>
                <w:u w:val="single"/>
              </w:rPr>
              <w:t>DELETE WHICHEVER IS NOT APPLICABLE</w:t>
            </w:r>
          </w:p>
          <w:p w14:paraId="47C1B344" w14:textId="77777777" w:rsidR="001E2697" w:rsidRPr="008B170D" w:rsidRDefault="001E2697" w:rsidP="009B1DFC">
            <w:pPr>
              <w:ind w:left="180"/>
              <w:jc w:val="center"/>
              <w:rPr>
                <w:rFonts w:cs="Arial"/>
                <w:b/>
                <w:bCs/>
                <w:color w:val="FF0000"/>
                <w:sz w:val="18"/>
                <w:szCs w:val="18"/>
                <w:u w:val="single"/>
              </w:rPr>
            </w:pPr>
          </w:p>
          <w:p w14:paraId="6D072193" w14:textId="671524F7" w:rsidR="001E2697" w:rsidRPr="008B170D" w:rsidRDefault="001E2697" w:rsidP="009B1DFC">
            <w:pPr>
              <w:spacing w:line="480" w:lineRule="auto"/>
              <w:ind w:left="180"/>
              <w:jc w:val="both"/>
              <w:rPr>
                <w:rFonts w:cs="Arial"/>
                <w:bCs/>
                <w:color w:val="FF0000"/>
                <w:sz w:val="18"/>
                <w:szCs w:val="18"/>
              </w:rPr>
            </w:pPr>
            <w:r w:rsidRPr="008B170D">
              <w:rPr>
                <w:rFonts w:cs="Arial"/>
                <w:bCs/>
                <w:color w:val="FF0000"/>
                <w:sz w:val="18"/>
                <w:szCs w:val="18"/>
              </w:rPr>
              <w:t xml:space="preserve">1.REPORTABLE:  </w:t>
            </w:r>
            <w:r w:rsidR="00B25B6F">
              <w:rPr>
                <w:rFonts w:cs="Arial"/>
                <w:bCs/>
                <w:color w:val="FF0000"/>
                <w:sz w:val="18"/>
                <w:szCs w:val="18"/>
              </w:rPr>
              <w:t>NO</w:t>
            </w:r>
            <w:r w:rsidRPr="008B170D">
              <w:rPr>
                <w:rFonts w:cs="Arial"/>
                <w:bCs/>
                <w:color w:val="FF0000"/>
                <w:sz w:val="18"/>
                <w:szCs w:val="18"/>
              </w:rPr>
              <w:t xml:space="preserve">                                                               </w:t>
            </w:r>
            <w:r>
              <w:rPr>
                <w:rFonts w:cs="Arial"/>
                <w:bCs/>
                <w:color w:val="FF0000"/>
                <w:sz w:val="18"/>
                <w:szCs w:val="18"/>
              </w:rPr>
              <w:t xml:space="preserve"> </w:t>
            </w:r>
            <w:r w:rsidRPr="008B170D">
              <w:rPr>
                <w:rFonts w:cs="Arial"/>
                <w:bCs/>
                <w:color w:val="FF0000"/>
                <w:sz w:val="18"/>
                <w:szCs w:val="18"/>
              </w:rPr>
              <w:t xml:space="preserve"> </w:t>
            </w:r>
          </w:p>
          <w:p w14:paraId="459FF77E" w14:textId="73DA75FD" w:rsidR="001E2697" w:rsidRPr="008B170D" w:rsidRDefault="001E2697" w:rsidP="009B1DFC">
            <w:pPr>
              <w:spacing w:line="480" w:lineRule="auto"/>
              <w:ind w:left="180"/>
              <w:jc w:val="both"/>
              <w:rPr>
                <w:rFonts w:cs="Arial"/>
                <w:bCs/>
                <w:color w:val="FF0000"/>
                <w:sz w:val="18"/>
                <w:szCs w:val="18"/>
              </w:rPr>
            </w:pPr>
            <w:r w:rsidRPr="008B170D">
              <w:rPr>
                <w:rFonts w:cs="Arial"/>
                <w:bCs/>
                <w:color w:val="FF0000"/>
                <w:sz w:val="18"/>
                <w:szCs w:val="18"/>
              </w:rPr>
              <w:t>2.OF INTEREST TO OTHER JUDGES:</w:t>
            </w:r>
            <w:r w:rsidR="00B25B6F">
              <w:rPr>
                <w:rFonts w:cs="Arial"/>
                <w:bCs/>
                <w:color w:val="FF0000"/>
                <w:sz w:val="18"/>
                <w:szCs w:val="18"/>
              </w:rPr>
              <w:t xml:space="preserve">  NO</w:t>
            </w:r>
            <w:r w:rsidRPr="008B170D">
              <w:rPr>
                <w:rFonts w:cs="Arial"/>
                <w:bCs/>
                <w:color w:val="FF0000"/>
                <w:sz w:val="18"/>
                <w:szCs w:val="18"/>
              </w:rPr>
              <w:t xml:space="preserve">                               </w:t>
            </w:r>
            <w:r>
              <w:rPr>
                <w:rFonts w:cs="Arial"/>
                <w:bCs/>
                <w:color w:val="FF0000"/>
                <w:sz w:val="18"/>
                <w:szCs w:val="18"/>
              </w:rPr>
              <w:t xml:space="preserve"> </w:t>
            </w:r>
          </w:p>
          <w:p w14:paraId="24E6769D" w14:textId="7659F644" w:rsidR="001E2697" w:rsidRPr="008B170D" w:rsidRDefault="001E2697" w:rsidP="009B1DFC">
            <w:pPr>
              <w:spacing w:line="480" w:lineRule="auto"/>
              <w:ind w:left="180"/>
              <w:jc w:val="both"/>
              <w:rPr>
                <w:rFonts w:cs="Arial"/>
                <w:bCs/>
                <w:color w:val="FF0000"/>
                <w:sz w:val="18"/>
                <w:szCs w:val="18"/>
              </w:rPr>
            </w:pPr>
            <w:r w:rsidRPr="008B170D">
              <w:rPr>
                <w:rFonts w:cs="Arial"/>
                <w:bCs/>
                <w:color w:val="FF0000"/>
                <w:sz w:val="18"/>
                <w:szCs w:val="18"/>
              </w:rPr>
              <w:t>3.REVISED</w:t>
            </w:r>
            <w:r w:rsidR="00B25B6F">
              <w:rPr>
                <w:rFonts w:cs="Arial"/>
                <w:bCs/>
                <w:color w:val="FF0000"/>
                <w:sz w:val="18"/>
                <w:szCs w:val="18"/>
              </w:rPr>
              <w:t>:  NO</w:t>
            </w:r>
            <w:r>
              <w:rPr>
                <w:rFonts w:cs="Arial"/>
                <w:bCs/>
                <w:color w:val="FF0000"/>
                <w:sz w:val="18"/>
                <w:szCs w:val="18"/>
              </w:rPr>
              <w:t xml:space="preserve">                                                                           </w:t>
            </w:r>
          </w:p>
          <w:p w14:paraId="386136B5" w14:textId="77777777" w:rsidR="001E2697" w:rsidRPr="008B170D" w:rsidRDefault="001E2697" w:rsidP="009B1DFC">
            <w:pPr>
              <w:spacing w:line="360" w:lineRule="auto"/>
              <w:ind w:left="180"/>
              <w:jc w:val="both"/>
              <w:rPr>
                <w:rFonts w:cs="Arial"/>
                <w:bCs/>
                <w:color w:val="FF0000"/>
                <w:sz w:val="18"/>
                <w:szCs w:val="18"/>
              </w:rPr>
            </w:pPr>
          </w:p>
          <w:p w14:paraId="047C9726" w14:textId="3DDCBA5C" w:rsidR="001E2697" w:rsidRPr="00F04BA1" w:rsidRDefault="00160E06" w:rsidP="009B1DFC">
            <w:pPr>
              <w:spacing w:line="360" w:lineRule="auto"/>
              <w:ind w:left="180"/>
              <w:jc w:val="both"/>
              <w:rPr>
                <w:rFonts w:cs="Arial"/>
                <w:sz w:val="16"/>
                <w:szCs w:val="16"/>
              </w:rPr>
            </w:pPr>
            <w:r>
              <w:rPr>
                <w:rFonts w:cs="Arial"/>
                <w:b/>
                <w:bCs/>
                <w:color w:val="FF0000"/>
                <w:sz w:val="18"/>
                <w:szCs w:val="18"/>
              </w:rPr>
              <w:t xml:space="preserve">    </w:t>
            </w:r>
            <w:r w:rsidR="001E2697" w:rsidRPr="008B170D">
              <w:rPr>
                <w:rFonts w:cs="Arial"/>
                <w:b/>
                <w:bCs/>
                <w:color w:val="FF0000"/>
                <w:sz w:val="18"/>
                <w:szCs w:val="18"/>
              </w:rPr>
              <w:t xml:space="preserve"> </w:t>
            </w:r>
            <w:r w:rsidR="00D87064">
              <w:rPr>
                <w:rFonts w:cs="Arial"/>
                <w:b/>
                <w:bCs/>
                <w:color w:val="FF0000"/>
                <w:sz w:val="18"/>
                <w:szCs w:val="18"/>
              </w:rPr>
              <w:t xml:space="preserve">21 February 2024 </w:t>
            </w:r>
            <w:r w:rsidR="001E2697" w:rsidRPr="008B170D">
              <w:rPr>
                <w:rFonts w:cs="Arial"/>
                <w:b/>
                <w:bCs/>
                <w:color w:val="FF0000"/>
                <w:sz w:val="18"/>
                <w:szCs w:val="18"/>
              </w:rPr>
              <w:t xml:space="preserve">   </w:t>
            </w:r>
            <w:r>
              <w:rPr>
                <w:rFonts w:cs="Arial"/>
                <w:b/>
                <w:bCs/>
                <w:color w:val="FF0000"/>
                <w:sz w:val="18"/>
                <w:szCs w:val="18"/>
              </w:rPr>
              <w:t xml:space="preserve">   </w:t>
            </w:r>
            <w:r w:rsidR="001E2697" w:rsidRPr="008B170D">
              <w:rPr>
                <w:rFonts w:cs="Arial"/>
                <w:b/>
                <w:bCs/>
                <w:color w:val="FF0000"/>
                <w:sz w:val="18"/>
                <w:szCs w:val="18"/>
              </w:rPr>
              <w:t xml:space="preserve">  </w:t>
            </w:r>
            <w:r w:rsidR="001E2697">
              <w:rPr>
                <w:rFonts w:cs="Arial"/>
                <w:b/>
                <w:bCs/>
                <w:color w:val="FF0000"/>
                <w:sz w:val="18"/>
                <w:szCs w:val="18"/>
              </w:rPr>
              <w:t xml:space="preserve">                         Judge Dippenaar</w:t>
            </w:r>
          </w:p>
        </w:tc>
      </w:tr>
    </w:tbl>
    <w:p w14:paraId="54544FDF" w14:textId="77777777" w:rsidR="001E2697" w:rsidRDefault="001E2697" w:rsidP="001E2697">
      <w:pPr>
        <w:tabs>
          <w:tab w:val="left" w:pos="-720"/>
        </w:tabs>
        <w:suppressAutoHyphens/>
        <w:rPr>
          <w:rFonts w:cs="Arial"/>
          <w:bCs/>
          <w:spacing w:val="-3"/>
        </w:rPr>
      </w:pPr>
    </w:p>
    <w:p w14:paraId="4189105A" w14:textId="77777777" w:rsidR="001E2697" w:rsidRDefault="001E2697" w:rsidP="001E2697">
      <w:pPr>
        <w:tabs>
          <w:tab w:val="left" w:pos="-720"/>
        </w:tabs>
        <w:suppressAutoHyphens/>
        <w:rPr>
          <w:rFonts w:cs="Arial"/>
          <w:bCs/>
          <w:spacing w:val="-3"/>
        </w:rPr>
      </w:pPr>
    </w:p>
    <w:p w14:paraId="42452D94" w14:textId="77777777" w:rsidR="001E2697" w:rsidRDefault="001E2697" w:rsidP="001E2697">
      <w:pPr>
        <w:tabs>
          <w:tab w:val="left" w:pos="-720"/>
        </w:tabs>
        <w:suppressAutoHyphens/>
        <w:rPr>
          <w:rFonts w:cs="Arial"/>
          <w:bCs/>
          <w:spacing w:val="-3"/>
        </w:rPr>
      </w:pPr>
    </w:p>
    <w:p w14:paraId="72F25B48" w14:textId="77777777" w:rsidR="001E2697" w:rsidRDefault="001E2697" w:rsidP="001E2697">
      <w:pPr>
        <w:tabs>
          <w:tab w:val="left" w:pos="-720"/>
        </w:tabs>
        <w:suppressAutoHyphens/>
        <w:rPr>
          <w:rFonts w:cs="Arial"/>
          <w:bCs/>
          <w:spacing w:val="-3"/>
        </w:rPr>
      </w:pPr>
      <w:r w:rsidRPr="00F04BA1">
        <w:rPr>
          <w:rFonts w:cs="Arial"/>
          <w:bCs/>
          <w:spacing w:val="-3"/>
        </w:rPr>
        <w:t>In the matter between:</w:t>
      </w:r>
    </w:p>
    <w:p w14:paraId="0C92776A" w14:textId="77777777" w:rsidR="001E2697" w:rsidRPr="000F64D9" w:rsidRDefault="001E2697" w:rsidP="001E2697">
      <w:pPr>
        <w:widowControl w:val="0"/>
        <w:tabs>
          <w:tab w:val="right" w:pos="9356"/>
        </w:tabs>
        <w:jc w:val="both"/>
        <w:rPr>
          <w:b/>
        </w:rPr>
      </w:pPr>
    </w:p>
    <w:p w14:paraId="00722367" w14:textId="1AF45E97" w:rsidR="00B976D8" w:rsidRDefault="00A71A0F" w:rsidP="00B976D8">
      <w:pPr>
        <w:tabs>
          <w:tab w:val="right" w:pos="9639"/>
        </w:tabs>
        <w:spacing w:line="360" w:lineRule="auto"/>
        <w:rPr>
          <w:rFonts w:cs="Arial"/>
          <w:szCs w:val="17"/>
          <w:lang w:eastAsia="en-US"/>
        </w:rPr>
      </w:pPr>
      <w:r>
        <w:rPr>
          <w:rFonts w:cs="Arial"/>
          <w:b/>
          <w:bCs/>
          <w:szCs w:val="17"/>
          <w:lang w:eastAsia="en-US"/>
        </w:rPr>
        <w:t xml:space="preserve">NEWTOWN MOTOR DEALERSHIP (PTY) LTD </w:t>
      </w:r>
      <w:r>
        <w:rPr>
          <w:rFonts w:cs="Arial"/>
          <w:szCs w:val="17"/>
          <w:lang w:eastAsia="en-US"/>
        </w:rPr>
        <w:tab/>
        <w:t>PLAINTIFF</w:t>
      </w:r>
    </w:p>
    <w:p w14:paraId="35C4E6DB" w14:textId="77777777" w:rsidR="00B976D8" w:rsidRPr="00B976D8" w:rsidRDefault="00B976D8" w:rsidP="00B976D8">
      <w:pPr>
        <w:tabs>
          <w:tab w:val="right" w:pos="9639"/>
        </w:tabs>
        <w:spacing w:line="360" w:lineRule="auto"/>
        <w:rPr>
          <w:rFonts w:cs="Arial"/>
          <w:b/>
          <w:szCs w:val="17"/>
          <w:lang w:eastAsia="en-US"/>
        </w:rPr>
      </w:pPr>
    </w:p>
    <w:p w14:paraId="72B24D38" w14:textId="77777777" w:rsidR="00B976D8" w:rsidRDefault="00B976D8" w:rsidP="00B976D8">
      <w:pPr>
        <w:tabs>
          <w:tab w:val="right" w:pos="9639"/>
        </w:tabs>
        <w:spacing w:line="360" w:lineRule="auto"/>
        <w:rPr>
          <w:rFonts w:cs="Arial"/>
          <w:szCs w:val="17"/>
          <w:lang w:eastAsia="en-US"/>
        </w:rPr>
      </w:pPr>
    </w:p>
    <w:p w14:paraId="3D49645D" w14:textId="77777777" w:rsidR="00B976D8" w:rsidRPr="00DC518B" w:rsidRDefault="00B976D8" w:rsidP="00B976D8">
      <w:pPr>
        <w:tabs>
          <w:tab w:val="right" w:pos="9639"/>
        </w:tabs>
        <w:spacing w:line="360" w:lineRule="auto"/>
        <w:rPr>
          <w:rFonts w:cs="Arial"/>
          <w:szCs w:val="17"/>
          <w:lang w:eastAsia="en-US"/>
        </w:rPr>
      </w:pPr>
      <w:r w:rsidRPr="00DC518B">
        <w:rPr>
          <w:rFonts w:cs="Arial"/>
          <w:szCs w:val="17"/>
          <w:lang w:eastAsia="en-US"/>
        </w:rPr>
        <w:t>and</w:t>
      </w:r>
    </w:p>
    <w:p w14:paraId="439C29EA" w14:textId="77777777" w:rsidR="00B976D8" w:rsidRDefault="00B976D8" w:rsidP="00B976D8">
      <w:pPr>
        <w:tabs>
          <w:tab w:val="right" w:pos="9639"/>
        </w:tabs>
        <w:spacing w:line="360" w:lineRule="auto"/>
        <w:rPr>
          <w:rFonts w:cs="Arial"/>
          <w:b/>
          <w:bCs/>
          <w:szCs w:val="17"/>
          <w:lang w:eastAsia="en-US"/>
        </w:rPr>
      </w:pPr>
    </w:p>
    <w:p w14:paraId="5900BF96" w14:textId="0BA72E02" w:rsidR="00B976D8" w:rsidRPr="00DC518B" w:rsidRDefault="00A71A0F" w:rsidP="00B976D8">
      <w:pPr>
        <w:tabs>
          <w:tab w:val="right" w:pos="9639"/>
        </w:tabs>
        <w:spacing w:line="360" w:lineRule="auto"/>
        <w:rPr>
          <w:rFonts w:cs="Arial"/>
          <w:szCs w:val="17"/>
          <w:lang w:eastAsia="en-US"/>
        </w:rPr>
      </w:pPr>
      <w:r>
        <w:rPr>
          <w:rFonts w:cs="Arial"/>
          <w:b/>
          <w:bCs/>
          <w:szCs w:val="17"/>
          <w:lang w:eastAsia="en-US"/>
        </w:rPr>
        <w:t xml:space="preserve">STEPHEN NALE </w:t>
      </w:r>
      <w:r>
        <w:rPr>
          <w:rFonts w:cs="Arial"/>
          <w:szCs w:val="17"/>
          <w:lang w:eastAsia="en-US"/>
        </w:rPr>
        <w:tab/>
        <w:t xml:space="preserve">DEFENDANT </w:t>
      </w:r>
    </w:p>
    <w:p w14:paraId="0CC2C592" w14:textId="77777777" w:rsidR="00B976D8" w:rsidRPr="00DC518B" w:rsidRDefault="00B976D8" w:rsidP="00B976D8">
      <w:pPr>
        <w:tabs>
          <w:tab w:val="right" w:pos="9639"/>
        </w:tabs>
        <w:spacing w:line="360" w:lineRule="auto"/>
        <w:rPr>
          <w:rFonts w:cs="Arial"/>
          <w:szCs w:val="17"/>
          <w:lang w:eastAsia="en-US"/>
        </w:rPr>
      </w:pPr>
    </w:p>
    <w:p w14:paraId="21CF8FA0" w14:textId="77777777" w:rsidR="001E2697" w:rsidRPr="00C4182B" w:rsidRDefault="001E2697" w:rsidP="001E2697">
      <w:pPr>
        <w:widowControl w:val="0"/>
        <w:tabs>
          <w:tab w:val="right" w:pos="9356"/>
        </w:tabs>
        <w:jc w:val="both"/>
        <w:rPr>
          <w:b/>
        </w:rPr>
      </w:pPr>
      <w:r w:rsidRPr="000F64D9">
        <w:rPr>
          <w:b/>
        </w:rPr>
        <w:tab/>
      </w:r>
      <w:r w:rsidRPr="000F64D9">
        <w:rPr>
          <w:b/>
        </w:rPr>
        <w:tab/>
        <w:t xml:space="preserve">   </w:t>
      </w:r>
    </w:p>
    <w:p w14:paraId="32C5C398" w14:textId="2052A283" w:rsidR="001E2697" w:rsidRPr="000F64D9" w:rsidRDefault="001E2697" w:rsidP="001E2697">
      <w:pPr>
        <w:pStyle w:val="Tramlines"/>
        <w:rPr>
          <w:rFonts w:cs="Arial"/>
          <w:lang w:val="en-US"/>
        </w:rPr>
      </w:pPr>
      <w:r>
        <w:rPr>
          <w:rFonts w:cs="Arial"/>
          <w:lang w:val="en-US"/>
        </w:rPr>
        <w:lastRenderedPageBreak/>
        <w:t>JUDG</w:t>
      </w:r>
      <w:r w:rsidRPr="00005B36">
        <w:rPr>
          <w:rFonts w:cs="Arial"/>
          <w:lang w:val="en-US"/>
        </w:rPr>
        <w:t>MENT</w:t>
      </w:r>
    </w:p>
    <w:p w14:paraId="67ED6938" w14:textId="77777777" w:rsidR="001E2697" w:rsidRDefault="001E2697" w:rsidP="001E2697">
      <w:pPr>
        <w:tabs>
          <w:tab w:val="left" w:pos="-720"/>
        </w:tabs>
        <w:suppressAutoHyphens/>
        <w:spacing w:line="360" w:lineRule="auto"/>
        <w:jc w:val="both"/>
        <w:rPr>
          <w:rFonts w:cs="Arial"/>
          <w:b/>
          <w:bCs/>
          <w:spacing w:val="-3"/>
        </w:rPr>
      </w:pPr>
    </w:p>
    <w:p w14:paraId="19EA82BB" w14:textId="254B522E" w:rsidR="001E2697" w:rsidRPr="003E152F" w:rsidRDefault="001E2697" w:rsidP="001E2697">
      <w:pPr>
        <w:ind w:left="1440" w:hanging="1440"/>
        <w:jc w:val="both"/>
        <w:rPr>
          <w:rFonts w:cs="Arial"/>
          <w:kern w:val="0"/>
          <w:lang w:eastAsia="en-US"/>
        </w:rPr>
      </w:pPr>
      <w:r w:rsidRPr="003E152F">
        <w:rPr>
          <w:rFonts w:cs="Arial"/>
          <w:b/>
        </w:rPr>
        <w:t>Delivered:</w:t>
      </w:r>
      <w:r w:rsidRPr="003E152F">
        <w:rPr>
          <w:rFonts w:cs="Arial"/>
          <w:b/>
        </w:rPr>
        <w:tab/>
      </w:r>
      <w:r w:rsidRPr="003E152F">
        <w:rPr>
          <w:rFonts w:cs="Arial"/>
        </w:rPr>
        <w:t>This judgment was handed down electronically by circulation to the parties’ legal representatives by e-mail</w:t>
      </w:r>
      <w:r w:rsidR="00D87064">
        <w:rPr>
          <w:rFonts w:cs="Arial"/>
        </w:rPr>
        <w:t xml:space="preserve"> and by uploading it to the electronic case file system</w:t>
      </w:r>
      <w:r w:rsidR="00D87064" w:rsidRPr="003E152F">
        <w:rPr>
          <w:rFonts w:cs="Arial"/>
        </w:rPr>
        <w:t>.</w:t>
      </w:r>
      <w:r w:rsidRPr="003E152F">
        <w:rPr>
          <w:rFonts w:cs="Arial"/>
        </w:rPr>
        <w:t xml:space="preserve"> The date and time for hand-down is deemed to be 10h00 on the </w:t>
      </w:r>
      <w:r w:rsidR="003C686A">
        <w:rPr>
          <w:rFonts w:cs="Arial"/>
        </w:rPr>
        <w:t>21st</w:t>
      </w:r>
      <w:r w:rsidR="00383D1C">
        <w:rPr>
          <w:rFonts w:cs="Arial"/>
        </w:rPr>
        <w:t xml:space="preserve"> </w:t>
      </w:r>
      <w:r w:rsidR="00B976D8">
        <w:rPr>
          <w:rFonts w:cs="Arial"/>
        </w:rPr>
        <w:t xml:space="preserve">of </w:t>
      </w:r>
      <w:r w:rsidR="00A56055">
        <w:rPr>
          <w:rFonts w:cs="Arial"/>
        </w:rPr>
        <w:t>FEBRUAR</w:t>
      </w:r>
      <w:r w:rsidR="00B976D8">
        <w:rPr>
          <w:rFonts w:cs="Arial"/>
        </w:rPr>
        <w:t>Y</w:t>
      </w:r>
      <w:r>
        <w:rPr>
          <w:rFonts w:cs="Arial"/>
        </w:rPr>
        <w:t xml:space="preserve"> </w:t>
      </w:r>
      <w:r w:rsidRPr="003E152F">
        <w:rPr>
          <w:rFonts w:cs="Arial"/>
        </w:rPr>
        <w:t>202</w:t>
      </w:r>
      <w:r w:rsidR="00B976D8">
        <w:rPr>
          <w:rFonts w:cs="Arial"/>
        </w:rPr>
        <w:t>4</w:t>
      </w:r>
      <w:r w:rsidRPr="003E152F">
        <w:rPr>
          <w:rFonts w:cs="Arial"/>
        </w:rPr>
        <w:t>.</w:t>
      </w:r>
    </w:p>
    <w:p w14:paraId="54A5FD4D" w14:textId="77777777" w:rsidR="001E2697" w:rsidRDefault="001E2697" w:rsidP="001E2697">
      <w:pPr>
        <w:tabs>
          <w:tab w:val="left" w:pos="-720"/>
        </w:tabs>
        <w:suppressAutoHyphens/>
        <w:spacing w:line="360" w:lineRule="auto"/>
        <w:jc w:val="both"/>
        <w:rPr>
          <w:rFonts w:cs="Arial"/>
          <w:b/>
          <w:bCs/>
          <w:spacing w:val="-3"/>
          <w:u w:val="single"/>
        </w:rPr>
      </w:pPr>
    </w:p>
    <w:p w14:paraId="7EF343BE" w14:textId="77777777" w:rsidR="001E2697" w:rsidRDefault="001E2697" w:rsidP="001E2697">
      <w:pPr>
        <w:tabs>
          <w:tab w:val="left" w:pos="-720"/>
        </w:tabs>
        <w:suppressAutoHyphens/>
        <w:spacing w:line="360" w:lineRule="auto"/>
        <w:jc w:val="both"/>
        <w:rPr>
          <w:rFonts w:cs="Arial"/>
          <w:b/>
          <w:bCs/>
          <w:spacing w:val="-3"/>
          <w:u w:val="single"/>
        </w:rPr>
      </w:pPr>
    </w:p>
    <w:p w14:paraId="557AC8E2" w14:textId="77777777" w:rsidR="001E2697" w:rsidRDefault="001E2697" w:rsidP="001E2697">
      <w:pPr>
        <w:tabs>
          <w:tab w:val="left" w:pos="-720"/>
        </w:tabs>
        <w:suppressAutoHyphens/>
        <w:spacing w:line="360" w:lineRule="auto"/>
        <w:jc w:val="both"/>
        <w:rPr>
          <w:rFonts w:cs="Arial"/>
          <w:b/>
          <w:bCs/>
          <w:spacing w:val="-3"/>
        </w:rPr>
      </w:pPr>
      <w:r>
        <w:rPr>
          <w:rFonts w:cs="Arial"/>
          <w:b/>
          <w:bCs/>
          <w:spacing w:val="-3"/>
          <w:u w:val="single"/>
        </w:rPr>
        <w:t xml:space="preserve">DIPPENAAR </w:t>
      </w:r>
      <w:r w:rsidRPr="00F4093B">
        <w:rPr>
          <w:rFonts w:cs="Arial"/>
          <w:b/>
          <w:bCs/>
          <w:spacing w:val="-3"/>
          <w:u w:val="single"/>
        </w:rPr>
        <w:t>J</w:t>
      </w:r>
      <w:r>
        <w:rPr>
          <w:rFonts w:cs="Arial"/>
          <w:b/>
          <w:bCs/>
          <w:spacing w:val="-3"/>
        </w:rPr>
        <w:t>:</w:t>
      </w:r>
    </w:p>
    <w:p w14:paraId="210BEE89" w14:textId="66DD6BC0" w:rsidR="0039420D" w:rsidRDefault="0039420D" w:rsidP="0039420D">
      <w:pPr>
        <w:pStyle w:val="level1"/>
        <w:numPr>
          <w:ilvl w:val="0"/>
          <w:numId w:val="0"/>
        </w:numPr>
        <w:spacing w:after="480" w:line="360" w:lineRule="auto"/>
        <w:ind w:left="720" w:hanging="360"/>
        <w:jc w:val="both"/>
        <w:rPr>
          <w:lang w:val="en-US"/>
        </w:rPr>
      </w:pPr>
    </w:p>
    <w:p w14:paraId="56159443" w14:textId="1CA2B39E" w:rsidR="006616E5" w:rsidRDefault="00CC1832" w:rsidP="00CC1832">
      <w:pPr>
        <w:pStyle w:val="level1"/>
        <w:numPr>
          <w:ilvl w:val="0"/>
          <w:numId w:val="0"/>
        </w:numPr>
        <w:spacing w:after="480" w:line="360" w:lineRule="auto"/>
        <w:jc w:val="both"/>
        <w:rPr>
          <w:lang w:val="en-US"/>
        </w:rPr>
      </w:pPr>
      <w:r>
        <w:rPr>
          <w:lang w:val="en-US"/>
        </w:rPr>
        <w:t>[1]</w:t>
      </w:r>
      <w:r>
        <w:rPr>
          <w:lang w:val="en-US"/>
        </w:rPr>
        <w:tab/>
      </w:r>
      <w:r w:rsidR="00833160">
        <w:rPr>
          <w:lang w:val="en-US"/>
        </w:rPr>
        <w:t xml:space="preserve">In this </w:t>
      </w:r>
      <w:r w:rsidR="00372EF8">
        <w:rPr>
          <w:lang w:val="en-US"/>
        </w:rPr>
        <w:t>action</w:t>
      </w:r>
      <w:r w:rsidR="00833160">
        <w:rPr>
          <w:lang w:val="en-US"/>
        </w:rPr>
        <w:t>, the plaintiff seeks a monetary judgment against the defendant. It is contractual</w:t>
      </w:r>
      <w:r w:rsidR="00372EF8">
        <w:rPr>
          <w:lang w:val="en-US"/>
        </w:rPr>
        <w:t xml:space="preserve"> </w:t>
      </w:r>
      <w:r w:rsidR="00833160">
        <w:rPr>
          <w:lang w:val="en-US"/>
        </w:rPr>
        <w:t xml:space="preserve">in nature and </w:t>
      </w:r>
      <w:r w:rsidR="00372EF8">
        <w:rPr>
          <w:lang w:val="en-US"/>
        </w:rPr>
        <w:t>pertains to the enforcement of two unlimited deeds of suretyship executed by the defendant in favour of the plaintiff on 13 November 2017</w:t>
      </w:r>
      <w:r w:rsidR="00791DF6">
        <w:rPr>
          <w:lang w:val="en-US"/>
        </w:rPr>
        <w:t xml:space="preserve">. Those deeds of suretyship were executed as security for two </w:t>
      </w:r>
      <w:r w:rsidR="008D0964">
        <w:rPr>
          <w:lang w:val="en-US"/>
        </w:rPr>
        <w:t xml:space="preserve">written </w:t>
      </w:r>
      <w:r w:rsidR="00791DF6">
        <w:rPr>
          <w:lang w:val="en-US"/>
        </w:rPr>
        <w:t xml:space="preserve">lease agreements. The first, concluded between the plaintiff and Sovereign Seeker investment 156 (Pty) Ltd t/a Joburg City Ford </w:t>
      </w:r>
      <w:r w:rsidR="007357E1">
        <w:rPr>
          <w:lang w:val="en-US"/>
        </w:rPr>
        <w:t>(“Sovereign”)</w:t>
      </w:r>
      <w:r w:rsidR="006A7A79">
        <w:rPr>
          <w:lang w:val="en-US"/>
        </w:rPr>
        <w:t>,</w:t>
      </w:r>
      <w:r w:rsidR="007357E1">
        <w:rPr>
          <w:lang w:val="en-US"/>
        </w:rPr>
        <w:t xml:space="preserve"> </w:t>
      </w:r>
      <w:r w:rsidR="00791DF6">
        <w:rPr>
          <w:lang w:val="en-US"/>
        </w:rPr>
        <w:t xml:space="preserve">(“the Ford lease agreement”) on 13 July 2016. The second, concluded between the plaintiff and Nungu Trading 711 (Pty) Ltd t/a Joburg City Auto- BMW </w:t>
      </w:r>
      <w:r w:rsidR="007357E1">
        <w:rPr>
          <w:lang w:val="en-US"/>
        </w:rPr>
        <w:t>(“Nungu”)</w:t>
      </w:r>
      <w:r w:rsidR="006A7A79">
        <w:rPr>
          <w:lang w:val="en-US"/>
        </w:rPr>
        <w:t>,</w:t>
      </w:r>
      <w:r w:rsidR="007357E1">
        <w:rPr>
          <w:lang w:val="en-US"/>
        </w:rPr>
        <w:t xml:space="preserve"> </w:t>
      </w:r>
      <w:r w:rsidR="00791DF6">
        <w:rPr>
          <w:lang w:val="en-US"/>
        </w:rPr>
        <w:t>(</w:t>
      </w:r>
      <w:r w:rsidR="007357E1">
        <w:rPr>
          <w:lang w:val="en-US"/>
        </w:rPr>
        <w:t>“</w:t>
      </w:r>
      <w:r w:rsidR="00791DF6">
        <w:rPr>
          <w:lang w:val="en-US"/>
        </w:rPr>
        <w:t>the BMW lease agreement</w:t>
      </w:r>
      <w:r w:rsidR="007357E1">
        <w:rPr>
          <w:lang w:val="en-US"/>
        </w:rPr>
        <w:t>”)</w:t>
      </w:r>
      <w:r w:rsidR="00791DF6">
        <w:rPr>
          <w:lang w:val="en-US"/>
        </w:rPr>
        <w:t xml:space="preserve"> on 13 July 2016. A first addendum to that lease agreement was concluded on 30 August 2018.</w:t>
      </w:r>
    </w:p>
    <w:p w14:paraId="1A81BA7B" w14:textId="0F67CFFC" w:rsidR="00557D37" w:rsidRDefault="00CC1832" w:rsidP="00CC1832">
      <w:pPr>
        <w:pStyle w:val="level1"/>
        <w:numPr>
          <w:ilvl w:val="0"/>
          <w:numId w:val="0"/>
        </w:numPr>
        <w:spacing w:after="480" w:line="360" w:lineRule="auto"/>
        <w:jc w:val="both"/>
        <w:rPr>
          <w:lang w:val="en-US"/>
        </w:rPr>
      </w:pPr>
      <w:r>
        <w:rPr>
          <w:lang w:val="en-US"/>
        </w:rPr>
        <w:t>[2]</w:t>
      </w:r>
      <w:r>
        <w:rPr>
          <w:lang w:val="en-US"/>
        </w:rPr>
        <w:tab/>
      </w:r>
      <w:r w:rsidR="00557D37">
        <w:rPr>
          <w:lang w:val="en-US"/>
        </w:rPr>
        <w:t>T</w:t>
      </w:r>
      <w:r w:rsidR="00372EF8">
        <w:rPr>
          <w:lang w:val="en-US"/>
        </w:rPr>
        <w:t>he defendant’s attorneys of record withdrew on 16 January 2023. On the morning of the hearing</w:t>
      </w:r>
      <w:r w:rsidR="008D0964">
        <w:rPr>
          <w:lang w:val="en-US"/>
        </w:rPr>
        <w:t xml:space="preserve"> on 22 January 2024</w:t>
      </w:r>
      <w:r w:rsidR="00372EF8">
        <w:rPr>
          <w:lang w:val="en-US"/>
        </w:rPr>
        <w:t xml:space="preserve">, the defendant appeared personally </w:t>
      </w:r>
      <w:r w:rsidR="00CE2D01">
        <w:rPr>
          <w:lang w:val="en-US"/>
        </w:rPr>
        <w:t xml:space="preserve">at 10h10 </w:t>
      </w:r>
      <w:r w:rsidR="00372EF8">
        <w:rPr>
          <w:lang w:val="en-US"/>
        </w:rPr>
        <w:t xml:space="preserve">whilst the plaintiff was moving an application for judgment by default. From the bar, the defendant sought a postponement </w:t>
      </w:r>
      <w:r w:rsidR="008D0964">
        <w:rPr>
          <w:lang w:val="en-US"/>
        </w:rPr>
        <w:t xml:space="preserve">of the trial, </w:t>
      </w:r>
      <w:r w:rsidR="00372EF8">
        <w:rPr>
          <w:lang w:val="en-US"/>
        </w:rPr>
        <w:t xml:space="preserve">alternatively for the matter to stand down to afford him some time to prepare. The plaintiff opposed both. After hearing argument, I allowed the matter to stand down until 23 </w:t>
      </w:r>
      <w:r w:rsidR="00191701">
        <w:rPr>
          <w:lang w:val="en-US"/>
        </w:rPr>
        <w:t>January</w:t>
      </w:r>
      <w:r w:rsidR="00372EF8">
        <w:rPr>
          <w:lang w:val="en-US"/>
        </w:rPr>
        <w:t xml:space="preserve"> 2024 </w:t>
      </w:r>
      <w:r w:rsidR="00CE2D01">
        <w:rPr>
          <w:lang w:val="en-US"/>
        </w:rPr>
        <w:t>in the interests of justice</w:t>
      </w:r>
      <w:r w:rsidR="008D0964">
        <w:rPr>
          <w:lang w:val="en-US"/>
        </w:rPr>
        <w:t>,</w:t>
      </w:r>
      <w:r w:rsidR="00CE2D01">
        <w:rPr>
          <w:lang w:val="en-US"/>
        </w:rPr>
        <w:t xml:space="preserve"> </w:t>
      </w:r>
      <w:r w:rsidR="00372EF8">
        <w:rPr>
          <w:lang w:val="en-US"/>
        </w:rPr>
        <w:t>to allow the defendant some time to prepare.</w:t>
      </w:r>
      <w:r w:rsidR="00CE2D01">
        <w:rPr>
          <w:lang w:val="en-US"/>
        </w:rPr>
        <w:t xml:space="preserve"> The trial proceeded on 23 January 2024. Once </w:t>
      </w:r>
      <w:r w:rsidR="008D0964">
        <w:rPr>
          <w:lang w:val="en-US"/>
        </w:rPr>
        <w:t xml:space="preserve">the trial </w:t>
      </w:r>
      <w:r w:rsidR="00CE2D01">
        <w:rPr>
          <w:lang w:val="en-US"/>
        </w:rPr>
        <w:t>concluded, the defendant was afforded time to consider and prepare on the plaintiff’s heads of argument and authorities</w:t>
      </w:r>
      <w:r w:rsidR="008D0964">
        <w:rPr>
          <w:lang w:val="en-US"/>
        </w:rPr>
        <w:t>, given that he was self-represented</w:t>
      </w:r>
      <w:r w:rsidR="00CE2D01">
        <w:rPr>
          <w:lang w:val="en-US"/>
        </w:rPr>
        <w:t>.</w:t>
      </w:r>
      <w:r w:rsidR="008D0964">
        <w:rPr>
          <w:lang w:val="en-US"/>
        </w:rPr>
        <w:t xml:space="preserve"> </w:t>
      </w:r>
      <w:r w:rsidR="00191701">
        <w:rPr>
          <w:lang w:val="en-US"/>
        </w:rPr>
        <w:t>As the defendant was self</w:t>
      </w:r>
      <w:r w:rsidR="000E36CB">
        <w:rPr>
          <w:lang w:val="en-US"/>
        </w:rPr>
        <w:t>-</w:t>
      </w:r>
      <w:r w:rsidR="00191701">
        <w:rPr>
          <w:lang w:val="en-US"/>
        </w:rPr>
        <w:t xml:space="preserve">represented at the trial and is not legally trained, consideration was given to the </w:t>
      </w:r>
      <w:r w:rsidR="00191701">
        <w:rPr>
          <w:lang w:val="en-US"/>
        </w:rPr>
        <w:lastRenderedPageBreak/>
        <w:t xml:space="preserve">heads of argument delivered on his behalf by counsel in the summary judgment proceedings. </w:t>
      </w:r>
      <w:r w:rsidR="006A7A79">
        <w:rPr>
          <w:lang w:val="en-US"/>
        </w:rPr>
        <w:t>The issues raised therein, insofar as they are presently relevant, were canvassed by plaintiff’s counsel during argument</w:t>
      </w:r>
      <w:r w:rsidR="00AB0707">
        <w:rPr>
          <w:lang w:val="en-US"/>
        </w:rPr>
        <w:t>.</w:t>
      </w:r>
    </w:p>
    <w:p w14:paraId="5F41665F" w14:textId="7102B1B1" w:rsidR="00797693" w:rsidRPr="006E7BD3" w:rsidRDefault="00CC1832" w:rsidP="00CC1832">
      <w:pPr>
        <w:pStyle w:val="level1"/>
        <w:numPr>
          <w:ilvl w:val="0"/>
          <w:numId w:val="0"/>
        </w:numPr>
        <w:spacing w:after="480" w:line="360" w:lineRule="auto"/>
        <w:jc w:val="both"/>
        <w:rPr>
          <w:lang w:val="en-US"/>
        </w:rPr>
      </w:pPr>
      <w:r w:rsidRPr="006E7BD3">
        <w:rPr>
          <w:lang w:val="en-US"/>
        </w:rPr>
        <w:t>[3]</w:t>
      </w:r>
      <w:r w:rsidRPr="006E7BD3">
        <w:rPr>
          <w:lang w:val="en-US"/>
        </w:rPr>
        <w:tab/>
      </w:r>
      <w:r w:rsidR="008D0964">
        <w:rPr>
          <w:lang w:val="en-US"/>
        </w:rPr>
        <w:t>Only two witnesses testified: Mr Hiemstra</w:t>
      </w:r>
      <w:r w:rsidR="009A00AE">
        <w:rPr>
          <w:lang w:val="en-US"/>
        </w:rPr>
        <w:t xml:space="preserve">, employed by the plaintiff as head of its legal department </w:t>
      </w:r>
      <w:r w:rsidR="008D0964">
        <w:rPr>
          <w:lang w:val="en-US"/>
        </w:rPr>
        <w:t>and the defendant. Both witnesses were forthright and there is no reason to citicise their evidence in any respect.</w:t>
      </w:r>
      <w:r w:rsidR="00797693" w:rsidRPr="00797693">
        <w:rPr>
          <w:lang w:val="en-US"/>
        </w:rPr>
        <w:t xml:space="preserve"> </w:t>
      </w:r>
      <w:r w:rsidR="00797693">
        <w:rPr>
          <w:lang w:val="en-US"/>
        </w:rPr>
        <w:t>The defendant</w:t>
      </w:r>
      <w:r w:rsidR="00797693" w:rsidRPr="006E7BD3">
        <w:rPr>
          <w:lang w:val="en-US"/>
        </w:rPr>
        <w:t xml:space="preserve"> did not challenge Mr Hiemstra’s evidence under cross examination and on a factual level, his evidence stands uncontested</w:t>
      </w:r>
      <w:r w:rsidR="00797693">
        <w:rPr>
          <w:rStyle w:val="FootnoteReference"/>
          <w:lang w:val="en-US"/>
        </w:rPr>
        <w:footnoteReference w:id="1"/>
      </w:r>
      <w:r w:rsidR="00797693" w:rsidRPr="006E7BD3">
        <w:rPr>
          <w:lang w:val="en-US"/>
        </w:rPr>
        <w:t xml:space="preserve">. </w:t>
      </w:r>
    </w:p>
    <w:p w14:paraId="65E69156" w14:textId="3C42FD78" w:rsidR="007357E1" w:rsidRDefault="00CC1832" w:rsidP="00CC1832">
      <w:pPr>
        <w:pStyle w:val="level1"/>
        <w:numPr>
          <w:ilvl w:val="0"/>
          <w:numId w:val="0"/>
        </w:numPr>
        <w:spacing w:after="480" w:line="360" w:lineRule="auto"/>
        <w:jc w:val="both"/>
        <w:rPr>
          <w:lang w:val="en-US"/>
        </w:rPr>
      </w:pPr>
      <w:r>
        <w:rPr>
          <w:lang w:val="en-US"/>
        </w:rPr>
        <w:t>[4]</w:t>
      </w:r>
      <w:r>
        <w:rPr>
          <w:lang w:val="en-US"/>
        </w:rPr>
        <w:tab/>
      </w:r>
      <w:r w:rsidR="008D0964" w:rsidRPr="007357E1">
        <w:rPr>
          <w:lang w:val="en-US"/>
        </w:rPr>
        <w:t>The plaintiff’s case was by and large common cause. The defendant admitted the conclusion of the various agreements in their terms</w:t>
      </w:r>
      <w:r w:rsidR="00191701" w:rsidRPr="007357E1">
        <w:rPr>
          <w:lang w:val="en-US"/>
        </w:rPr>
        <w:t xml:space="preserve">, including the </w:t>
      </w:r>
      <w:r w:rsidR="000E36CB" w:rsidRPr="007357E1">
        <w:rPr>
          <w:lang w:val="en-US"/>
        </w:rPr>
        <w:t xml:space="preserve">lease agreements and the </w:t>
      </w:r>
      <w:r w:rsidR="00191701" w:rsidRPr="007357E1">
        <w:rPr>
          <w:lang w:val="en-US"/>
        </w:rPr>
        <w:t>unlimited suretyship</w:t>
      </w:r>
      <w:r w:rsidR="006A7A79">
        <w:rPr>
          <w:lang w:val="en-US"/>
        </w:rPr>
        <w:t>s</w:t>
      </w:r>
      <w:r w:rsidR="00191701" w:rsidRPr="007357E1">
        <w:rPr>
          <w:lang w:val="en-US"/>
        </w:rPr>
        <w:t xml:space="preserve"> concluded by him. D</w:t>
      </w:r>
      <w:r w:rsidR="008D0964" w:rsidRPr="007357E1">
        <w:rPr>
          <w:lang w:val="en-US"/>
        </w:rPr>
        <w:t xml:space="preserve">uring evidence </w:t>
      </w:r>
      <w:r w:rsidR="00191701" w:rsidRPr="007357E1">
        <w:rPr>
          <w:lang w:val="en-US"/>
        </w:rPr>
        <w:t xml:space="preserve">the defendant </w:t>
      </w:r>
      <w:r w:rsidR="008D0964" w:rsidRPr="007357E1">
        <w:rPr>
          <w:lang w:val="en-US"/>
        </w:rPr>
        <w:t xml:space="preserve">did not dispute the debt asserted by the plaintiff </w:t>
      </w:r>
      <w:r w:rsidR="00BA0B33" w:rsidRPr="007357E1">
        <w:rPr>
          <w:lang w:val="en-US"/>
        </w:rPr>
        <w:t xml:space="preserve">against Nungu, Sovereign or himself </w:t>
      </w:r>
      <w:r w:rsidR="008D0964" w:rsidRPr="007357E1">
        <w:rPr>
          <w:lang w:val="en-US"/>
        </w:rPr>
        <w:t>in the amount claimed.</w:t>
      </w:r>
    </w:p>
    <w:p w14:paraId="5DB78DF5" w14:textId="2814AD24" w:rsidR="008D0964" w:rsidRPr="00146184" w:rsidRDefault="00CC1832" w:rsidP="00CC1832">
      <w:pPr>
        <w:pStyle w:val="level1"/>
        <w:numPr>
          <w:ilvl w:val="0"/>
          <w:numId w:val="0"/>
        </w:numPr>
        <w:spacing w:after="480" w:line="360" w:lineRule="auto"/>
        <w:jc w:val="both"/>
        <w:rPr>
          <w:lang w:val="en-US"/>
        </w:rPr>
      </w:pPr>
      <w:r w:rsidRPr="00146184">
        <w:rPr>
          <w:lang w:val="en-US"/>
        </w:rPr>
        <w:t>[5]</w:t>
      </w:r>
      <w:r w:rsidRPr="00146184">
        <w:rPr>
          <w:lang w:val="en-US"/>
        </w:rPr>
        <w:tab/>
      </w:r>
      <w:r w:rsidR="00146184" w:rsidRPr="00146184">
        <w:rPr>
          <w:lang w:val="en-US"/>
        </w:rPr>
        <w:t xml:space="preserve">The crisp issue which requires determination is whether the special defence raised by the defendant, exculpates him from liability for payment of the debt. </w:t>
      </w:r>
      <w:r w:rsidR="00191701" w:rsidRPr="00146184">
        <w:rPr>
          <w:lang w:val="en-US"/>
        </w:rPr>
        <w:t>The onus is on the defendant to prove this defence.</w:t>
      </w:r>
    </w:p>
    <w:p w14:paraId="76E3CCBA" w14:textId="639A0DEA" w:rsidR="000E36CB" w:rsidRDefault="00CC1832" w:rsidP="00CC1832">
      <w:pPr>
        <w:pStyle w:val="level1"/>
        <w:numPr>
          <w:ilvl w:val="0"/>
          <w:numId w:val="0"/>
        </w:numPr>
        <w:spacing w:after="480" w:line="360" w:lineRule="auto"/>
        <w:jc w:val="both"/>
        <w:rPr>
          <w:lang w:val="en-US"/>
        </w:rPr>
      </w:pPr>
      <w:r>
        <w:rPr>
          <w:lang w:val="en-US"/>
        </w:rPr>
        <w:t>[6]</w:t>
      </w:r>
      <w:r>
        <w:rPr>
          <w:lang w:val="en-US"/>
        </w:rPr>
        <w:tab/>
      </w:r>
      <w:r w:rsidR="00191701">
        <w:rPr>
          <w:lang w:val="en-US"/>
        </w:rPr>
        <w:t xml:space="preserve">The </w:t>
      </w:r>
      <w:r w:rsidR="00CE2D01">
        <w:rPr>
          <w:lang w:val="en-US"/>
        </w:rPr>
        <w:t xml:space="preserve">special defence raised in the defendant’s plea </w:t>
      </w:r>
      <w:r w:rsidR="00945C12">
        <w:rPr>
          <w:lang w:val="en-US"/>
        </w:rPr>
        <w:t>is that</w:t>
      </w:r>
      <w:r w:rsidR="00CE2D01">
        <w:rPr>
          <w:lang w:val="en-US"/>
        </w:rPr>
        <w:t xml:space="preserve"> reliance </w:t>
      </w:r>
      <w:r w:rsidR="00945C12">
        <w:rPr>
          <w:lang w:val="en-US"/>
        </w:rPr>
        <w:t>is</w:t>
      </w:r>
      <w:r w:rsidR="00CE2D01">
        <w:rPr>
          <w:lang w:val="en-US"/>
        </w:rPr>
        <w:t xml:space="preserve"> placed on a sale purchase agreement concluded between Atterbury Property Fund (Pty) Ltd</w:t>
      </w:r>
      <w:r w:rsidR="000E36CB">
        <w:rPr>
          <w:lang w:val="en-US"/>
        </w:rPr>
        <w:t xml:space="preserve"> (“APF”)</w:t>
      </w:r>
      <w:r w:rsidR="00CE2D01">
        <w:rPr>
          <w:lang w:val="en-US"/>
        </w:rPr>
        <w:t>, K202150042 (South Africa) (Pty) Ltd</w:t>
      </w:r>
      <w:r w:rsidR="000E36CB">
        <w:rPr>
          <w:lang w:val="en-US"/>
        </w:rPr>
        <w:t xml:space="preserve"> (“K2012”)</w:t>
      </w:r>
      <w:r w:rsidR="00945C12">
        <w:rPr>
          <w:lang w:val="en-US"/>
        </w:rPr>
        <w:t xml:space="preserve"> and </w:t>
      </w:r>
      <w:r w:rsidR="00CE2D01">
        <w:rPr>
          <w:lang w:val="en-US"/>
        </w:rPr>
        <w:t>Stephen Nale Properties (Pty) Ltd</w:t>
      </w:r>
      <w:r w:rsidR="000E36CB">
        <w:rPr>
          <w:lang w:val="en-US"/>
        </w:rPr>
        <w:t xml:space="preserve"> (“SNP”)</w:t>
      </w:r>
      <w:r w:rsidR="00CE2D01">
        <w:rPr>
          <w:lang w:val="en-US"/>
        </w:rPr>
        <w:t xml:space="preserve"> </w:t>
      </w:r>
      <w:r w:rsidR="001F336A">
        <w:rPr>
          <w:lang w:val="en-US"/>
        </w:rPr>
        <w:t xml:space="preserve">on </w:t>
      </w:r>
      <w:r w:rsidR="00791DF6">
        <w:rPr>
          <w:lang w:val="en-US"/>
        </w:rPr>
        <w:t>10 October 2019</w:t>
      </w:r>
      <w:r w:rsidR="00945C12">
        <w:rPr>
          <w:lang w:val="en-US"/>
        </w:rPr>
        <w:t xml:space="preserve"> (“the sale purchase agreement”).</w:t>
      </w:r>
      <w:r w:rsidR="00791DF6">
        <w:rPr>
          <w:lang w:val="en-US"/>
        </w:rPr>
        <w:t xml:space="preserve"> </w:t>
      </w:r>
      <w:r w:rsidR="00945C12">
        <w:rPr>
          <w:lang w:val="en-US"/>
        </w:rPr>
        <w:t xml:space="preserve">Those parties were all shareholders of the plaintiff. </w:t>
      </w:r>
      <w:r w:rsidR="00791DF6">
        <w:rPr>
          <w:lang w:val="en-US"/>
        </w:rPr>
        <w:t>The agreement relate</w:t>
      </w:r>
      <w:r w:rsidR="006A7A79">
        <w:rPr>
          <w:lang w:val="en-US"/>
        </w:rPr>
        <w:t>s</w:t>
      </w:r>
      <w:r w:rsidR="00791DF6">
        <w:rPr>
          <w:lang w:val="en-US"/>
        </w:rPr>
        <w:t xml:space="preserve"> to</w:t>
      </w:r>
      <w:r w:rsidR="00CE2D01">
        <w:rPr>
          <w:lang w:val="en-US"/>
        </w:rPr>
        <w:t xml:space="preserve"> the sale of the </w:t>
      </w:r>
      <w:r w:rsidR="00791DF6">
        <w:rPr>
          <w:lang w:val="en-US"/>
        </w:rPr>
        <w:t xml:space="preserve">20% </w:t>
      </w:r>
      <w:r w:rsidR="00CE2D01">
        <w:rPr>
          <w:lang w:val="en-US"/>
        </w:rPr>
        <w:t>shareholding held by S</w:t>
      </w:r>
      <w:r w:rsidR="00146184">
        <w:rPr>
          <w:lang w:val="en-US"/>
        </w:rPr>
        <w:t>N</w:t>
      </w:r>
      <w:r w:rsidR="00CE2D01">
        <w:rPr>
          <w:lang w:val="en-US"/>
        </w:rPr>
        <w:t>P in the plaintiff</w:t>
      </w:r>
      <w:r w:rsidR="00486ECB">
        <w:rPr>
          <w:lang w:val="en-US"/>
        </w:rPr>
        <w:t xml:space="preserve"> to AFP and K2012</w:t>
      </w:r>
      <w:r w:rsidR="00CE2D01">
        <w:rPr>
          <w:lang w:val="en-US"/>
        </w:rPr>
        <w:t xml:space="preserve">. The plaintiff was included as a party to the agreement. </w:t>
      </w:r>
    </w:p>
    <w:p w14:paraId="5B22B5B8" w14:textId="43F686B1" w:rsidR="00146184" w:rsidRDefault="00CC1832" w:rsidP="00CC1832">
      <w:pPr>
        <w:pStyle w:val="level1"/>
        <w:numPr>
          <w:ilvl w:val="0"/>
          <w:numId w:val="0"/>
        </w:numPr>
        <w:spacing w:after="480" w:line="360" w:lineRule="auto"/>
        <w:jc w:val="both"/>
        <w:rPr>
          <w:lang w:val="en-US"/>
        </w:rPr>
      </w:pPr>
      <w:r>
        <w:rPr>
          <w:lang w:val="en-US"/>
        </w:rPr>
        <w:lastRenderedPageBreak/>
        <w:t>[7]</w:t>
      </w:r>
      <w:r>
        <w:rPr>
          <w:lang w:val="en-US"/>
        </w:rPr>
        <w:tab/>
      </w:r>
      <w:r w:rsidR="00945C12">
        <w:rPr>
          <w:lang w:val="en-US"/>
        </w:rPr>
        <w:t>In terms of that agreement, t</w:t>
      </w:r>
      <w:r w:rsidR="00486ECB">
        <w:rPr>
          <w:lang w:val="en-US"/>
        </w:rPr>
        <w:t xml:space="preserve">he sale price </w:t>
      </w:r>
      <w:r w:rsidR="006A7A79">
        <w:rPr>
          <w:lang w:val="en-US"/>
        </w:rPr>
        <w:t xml:space="preserve">of the shares </w:t>
      </w:r>
      <w:r w:rsidR="00486ECB">
        <w:rPr>
          <w:lang w:val="en-US"/>
        </w:rPr>
        <w:t xml:space="preserve">would be R20 plus an agterskot amount, being 20% of the </w:t>
      </w:r>
      <w:r w:rsidR="00146184">
        <w:rPr>
          <w:lang w:val="en-US"/>
        </w:rPr>
        <w:t xml:space="preserve">plaintiff’s </w:t>
      </w:r>
      <w:r w:rsidR="00486ECB">
        <w:rPr>
          <w:lang w:val="en-US"/>
        </w:rPr>
        <w:t>Net Asset Value</w:t>
      </w:r>
      <w:r w:rsidR="00EA37AC">
        <w:rPr>
          <w:lang w:val="en-US"/>
        </w:rPr>
        <w:t xml:space="preserve"> (“NAV”)</w:t>
      </w:r>
      <w:r w:rsidR="00486ECB">
        <w:rPr>
          <w:lang w:val="en-US"/>
        </w:rPr>
        <w:t xml:space="preserve"> (as agreed or determined under clause 5.5 of the agreement)</w:t>
      </w:r>
      <w:r w:rsidR="00146184">
        <w:rPr>
          <w:lang w:val="en-US"/>
        </w:rPr>
        <w:t>,</w:t>
      </w:r>
      <w:r w:rsidR="00486ECB">
        <w:rPr>
          <w:lang w:val="en-US"/>
        </w:rPr>
        <w:t xml:space="preserve"> less any amount already paid to SNP in respect of the sale purchase price. The agreement place</w:t>
      </w:r>
      <w:r w:rsidR="00EA37AC">
        <w:rPr>
          <w:lang w:val="en-US"/>
        </w:rPr>
        <w:t>d</w:t>
      </w:r>
      <w:r w:rsidR="00486ECB">
        <w:rPr>
          <w:lang w:val="en-US"/>
        </w:rPr>
        <w:t xml:space="preserve"> an obligation on APF and K2012 to provide SNP with a calculation reflecting the plaintiff’s NAV. </w:t>
      </w:r>
      <w:r w:rsidR="00945C12">
        <w:rPr>
          <w:lang w:val="en-US"/>
        </w:rPr>
        <w:t xml:space="preserve">In terms of the agreement, </w:t>
      </w:r>
      <w:r w:rsidR="00486ECB">
        <w:rPr>
          <w:lang w:val="en-US"/>
        </w:rPr>
        <w:t>SNP c</w:t>
      </w:r>
      <w:r w:rsidR="00EA37AC">
        <w:rPr>
          <w:lang w:val="en-US"/>
        </w:rPr>
        <w:t>e</w:t>
      </w:r>
      <w:r w:rsidR="00486ECB">
        <w:rPr>
          <w:lang w:val="en-US"/>
        </w:rPr>
        <w:t xml:space="preserve">ded to plaintiff as an out and out cession all or such portion of the agterskot amount </w:t>
      </w:r>
      <w:r w:rsidR="00EA37AC">
        <w:rPr>
          <w:lang w:val="en-US"/>
        </w:rPr>
        <w:t>r</w:t>
      </w:r>
      <w:r w:rsidR="00486ECB">
        <w:rPr>
          <w:lang w:val="en-US"/>
        </w:rPr>
        <w:t>equired to settle the arrears, damages, legal costs and interest (the arrears due to plaintiff under the lease agreements</w:t>
      </w:r>
      <w:r w:rsidR="000E36CB">
        <w:rPr>
          <w:lang w:val="en-US"/>
        </w:rPr>
        <w:t>)</w:t>
      </w:r>
      <w:r w:rsidR="00486ECB">
        <w:rPr>
          <w:lang w:val="en-US"/>
        </w:rPr>
        <w:t xml:space="preserve">. </w:t>
      </w:r>
    </w:p>
    <w:p w14:paraId="083575CB" w14:textId="0AD26197" w:rsidR="00486ECB" w:rsidRDefault="00CC1832" w:rsidP="00CC1832">
      <w:pPr>
        <w:pStyle w:val="level1"/>
        <w:numPr>
          <w:ilvl w:val="0"/>
          <w:numId w:val="0"/>
        </w:numPr>
        <w:spacing w:after="480" w:line="360" w:lineRule="auto"/>
        <w:jc w:val="both"/>
        <w:rPr>
          <w:lang w:val="en-US"/>
        </w:rPr>
      </w:pPr>
      <w:r>
        <w:rPr>
          <w:lang w:val="en-US"/>
        </w:rPr>
        <w:t>[8]</w:t>
      </w:r>
      <w:r>
        <w:rPr>
          <w:lang w:val="en-US"/>
        </w:rPr>
        <w:tab/>
      </w:r>
      <w:r w:rsidR="00146184">
        <w:rPr>
          <w:lang w:val="en-US"/>
        </w:rPr>
        <w:t>I</w:t>
      </w:r>
      <w:r w:rsidR="00486ECB">
        <w:rPr>
          <w:lang w:val="en-US"/>
        </w:rPr>
        <w:t xml:space="preserve">t was further pleaded that </w:t>
      </w:r>
      <w:r w:rsidR="00486ECB" w:rsidRPr="000E36CB">
        <w:rPr>
          <w:i/>
          <w:lang w:val="en-US"/>
        </w:rPr>
        <w:t>“it was an express, alternatively tacit, alternatively implied terms of the cession between Plaintiff and SNP, that Plaintiff would take steps to ensure that AFP and K2012 calculated Plaintiff’s NAV and determined the agterskot amount as contemplated by clause 5.5</w:t>
      </w:r>
      <w:r w:rsidR="000E36CB">
        <w:rPr>
          <w:lang w:val="en-US"/>
        </w:rPr>
        <w:t>”</w:t>
      </w:r>
      <w:r w:rsidR="00486ECB">
        <w:rPr>
          <w:lang w:val="en-US"/>
        </w:rPr>
        <w:t xml:space="preserve">. </w:t>
      </w:r>
      <w:r w:rsidR="002B6B67">
        <w:rPr>
          <w:lang w:val="en-US"/>
        </w:rPr>
        <w:t>No evidence was led at the trial to substantiate such a term.</w:t>
      </w:r>
    </w:p>
    <w:p w14:paraId="1142B56C" w14:textId="31B1BDFD" w:rsidR="000E36CB" w:rsidRDefault="00CC1832" w:rsidP="00CC1832">
      <w:pPr>
        <w:pStyle w:val="level1"/>
        <w:numPr>
          <w:ilvl w:val="0"/>
          <w:numId w:val="0"/>
        </w:numPr>
        <w:spacing w:after="480" w:line="360" w:lineRule="auto"/>
        <w:jc w:val="both"/>
        <w:rPr>
          <w:lang w:val="en-US"/>
        </w:rPr>
      </w:pPr>
      <w:r>
        <w:rPr>
          <w:lang w:val="en-US"/>
        </w:rPr>
        <w:t>[9]</w:t>
      </w:r>
      <w:r>
        <w:rPr>
          <w:lang w:val="en-US"/>
        </w:rPr>
        <w:tab/>
      </w:r>
      <w:r w:rsidR="000E36CB">
        <w:rPr>
          <w:lang w:val="en-US"/>
        </w:rPr>
        <w:t xml:space="preserve">The defendant further pleaded that: </w:t>
      </w:r>
    </w:p>
    <w:p w14:paraId="40A97482" w14:textId="77777777" w:rsidR="000E36CB" w:rsidRDefault="000E36CB" w:rsidP="000E36CB">
      <w:pPr>
        <w:pStyle w:val="level1"/>
        <w:numPr>
          <w:ilvl w:val="0"/>
          <w:numId w:val="0"/>
        </w:numPr>
        <w:spacing w:after="480" w:line="360" w:lineRule="auto"/>
        <w:ind w:left="360"/>
        <w:jc w:val="both"/>
        <w:rPr>
          <w:i/>
          <w:sz w:val="20"/>
          <w:szCs w:val="20"/>
          <w:lang w:val="en-US"/>
        </w:rPr>
      </w:pPr>
      <w:r w:rsidRPr="000E36CB">
        <w:rPr>
          <w:i/>
          <w:sz w:val="20"/>
          <w:szCs w:val="20"/>
          <w:lang w:val="en-US"/>
        </w:rPr>
        <w:t>“</w:t>
      </w:r>
      <w:r>
        <w:rPr>
          <w:i/>
          <w:sz w:val="20"/>
          <w:szCs w:val="20"/>
          <w:lang w:val="en-US"/>
        </w:rPr>
        <w:t xml:space="preserve">18 </w:t>
      </w:r>
      <w:r w:rsidR="00486ECB" w:rsidRPr="000E36CB">
        <w:rPr>
          <w:i/>
          <w:sz w:val="20"/>
          <w:szCs w:val="20"/>
          <w:lang w:val="en-US"/>
        </w:rPr>
        <w:t>AFP and K2012 failed alternatively neglected to provide SNP with Plaintiff’s NAV calculation at either the date of signature or by 15 June 2020, and a determination on the agterskot amount has not been made.</w:t>
      </w:r>
    </w:p>
    <w:p w14:paraId="3E8341C9" w14:textId="77777777" w:rsidR="000E36CB" w:rsidRDefault="00486ECB" w:rsidP="000E36CB">
      <w:pPr>
        <w:pStyle w:val="level1"/>
        <w:numPr>
          <w:ilvl w:val="0"/>
          <w:numId w:val="0"/>
        </w:numPr>
        <w:spacing w:after="480" w:line="360" w:lineRule="auto"/>
        <w:ind w:left="360"/>
        <w:jc w:val="both"/>
        <w:rPr>
          <w:i/>
          <w:sz w:val="20"/>
          <w:szCs w:val="20"/>
          <w:lang w:val="en-US"/>
        </w:rPr>
      </w:pPr>
      <w:r w:rsidRPr="000E36CB">
        <w:rPr>
          <w:i/>
          <w:sz w:val="20"/>
          <w:szCs w:val="20"/>
          <w:lang w:val="en-US"/>
        </w:rPr>
        <w:t>1</w:t>
      </w:r>
      <w:r w:rsidR="003B5402" w:rsidRPr="000E36CB">
        <w:rPr>
          <w:i/>
          <w:sz w:val="20"/>
          <w:szCs w:val="20"/>
          <w:lang w:val="en-US"/>
        </w:rPr>
        <w:t>9</w:t>
      </w:r>
      <w:r w:rsidRPr="000E36CB">
        <w:rPr>
          <w:i/>
          <w:sz w:val="20"/>
          <w:szCs w:val="20"/>
          <w:lang w:val="en-US"/>
        </w:rPr>
        <w:t xml:space="preserve"> Notwithstanding the above, the agters</w:t>
      </w:r>
      <w:r w:rsidR="00EA37AC" w:rsidRPr="000E36CB">
        <w:rPr>
          <w:i/>
          <w:sz w:val="20"/>
          <w:szCs w:val="20"/>
          <w:lang w:val="en-US"/>
        </w:rPr>
        <w:t>k</w:t>
      </w:r>
      <w:r w:rsidRPr="000E36CB">
        <w:rPr>
          <w:i/>
          <w:sz w:val="20"/>
          <w:szCs w:val="20"/>
          <w:lang w:val="en-US"/>
        </w:rPr>
        <w:t>ot amount is sufficient and/or exceeds Plaintiff’s claims in respect of both the BMW and Ford lease agreement, including the arrears, as defined at clause 5.6 of the S</w:t>
      </w:r>
      <w:r w:rsidR="00EA37AC" w:rsidRPr="000E36CB">
        <w:rPr>
          <w:i/>
          <w:sz w:val="20"/>
          <w:szCs w:val="20"/>
          <w:lang w:val="en-US"/>
        </w:rPr>
        <w:t>P</w:t>
      </w:r>
      <w:r w:rsidRPr="000E36CB">
        <w:rPr>
          <w:i/>
          <w:sz w:val="20"/>
          <w:szCs w:val="20"/>
          <w:lang w:val="en-US"/>
        </w:rPr>
        <w:t xml:space="preserve"> agreement. </w:t>
      </w:r>
    </w:p>
    <w:p w14:paraId="77150455" w14:textId="77777777" w:rsidR="000E36CB" w:rsidRDefault="003B5402" w:rsidP="000E36CB">
      <w:pPr>
        <w:pStyle w:val="level1"/>
        <w:numPr>
          <w:ilvl w:val="0"/>
          <w:numId w:val="0"/>
        </w:numPr>
        <w:spacing w:after="480" w:line="360" w:lineRule="auto"/>
        <w:ind w:left="360"/>
        <w:jc w:val="both"/>
        <w:rPr>
          <w:i/>
          <w:sz w:val="20"/>
          <w:szCs w:val="20"/>
          <w:lang w:val="en-US"/>
        </w:rPr>
      </w:pPr>
      <w:r w:rsidRPr="000E36CB">
        <w:rPr>
          <w:i/>
          <w:sz w:val="20"/>
          <w:szCs w:val="20"/>
          <w:lang w:val="en-US"/>
        </w:rPr>
        <w:t>20</w:t>
      </w:r>
      <w:r w:rsidR="000E36CB">
        <w:rPr>
          <w:i/>
          <w:sz w:val="20"/>
          <w:szCs w:val="20"/>
          <w:lang w:val="en-US"/>
        </w:rPr>
        <w:t xml:space="preserve"> </w:t>
      </w:r>
      <w:r w:rsidR="00486ECB" w:rsidRPr="000E36CB">
        <w:rPr>
          <w:i/>
          <w:sz w:val="20"/>
          <w:szCs w:val="20"/>
          <w:lang w:val="en-US"/>
        </w:rPr>
        <w:t>In full com</w:t>
      </w:r>
      <w:r w:rsidR="00EA37AC" w:rsidRPr="000E36CB">
        <w:rPr>
          <w:i/>
          <w:sz w:val="20"/>
          <w:szCs w:val="20"/>
          <w:lang w:val="en-US"/>
        </w:rPr>
        <w:t>pl</w:t>
      </w:r>
      <w:r w:rsidR="00486ECB" w:rsidRPr="000E36CB">
        <w:rPr>
          <w:i/>
          <w:sz w:val="20"/>
          <w:szCs w:val="20"/>
          <w:lang w:val="en-US"/>
        </w:rPr>
        <w:t>iance with its contractual provisions under the SP agreement, SNP ceded to plaintiff all or such portion of the agters</w:t>
      </w:r>
      <w:r w:rsidR="00EA37AC" w:rsidRPr="000E36CB">
        <w:rPr>
          <w:i/>
          <w:sz w:val="20"/>
          <w:szCs w:val="20"/>
          <w:lang w:val="en-US"/>
        </w:rPr>
        <w:t>k</w:t>
      </w:r>
      <w:r w:rsidR="00486ECB" w:rsidRPr="000E36CB">
        <w:rPr>
          <w:i/>
          <w:sz w:val="20"/>
          <w:szCs w:val="20"/>
          <w:lang w:val="en-US"/>
        </w:rPr>
        <w:t xml:space="preserve">ot amount that is required to settle the arrears that may be due to it in terms of both the BMW and Ford lease agreements. </w:t>
      </w:r>
    </w:p>
    <w:p w14:paraId="3DF505C0" w14:textId="56B7843E" w:rsidR="000E36CB" w:rsidRDefault="00486ECB" w:rsidP="000E36CB">
      <w:pPr>
        <w:pStyle w:val="level1"/>
        <w:numPr>
          <w:ilvl w:val="0"/>
          <w:numId w:val="0"/>
        </w:numPr>
        <w:spacing w:after="480" w:line="360" w:lineRule="auto"/>
        <w:ind w:left="360"/>
        <w:jc w:val="both"/>
        <w:rPr>
          <w:i/>
          <w:sz w:val="20"/>
          <w:szCs w:val="20"/>
          <w:lang w:val="en-US"/>
        </w:rPr>
      </w:pPr>
      <w:r w:rsidRPr="000E36CB">
        <w:rPr>
          <w:i/>
          <w:sz w:val="20"/>
          <w:szCs w:val="20"/>
          <w:lang w:val="en-US"/>
        </w:rPr>
        <w:t>21</w:t>
      </w:r>
      <w:r w:rsidR="000E36CB">
        <w:rPr>
          <w:i/>
          <w:sz w:val="20"/>
          <w:szCs w:val="20"/>
          <w:lang w:val="en-US"/>
        </w:rPr>
        <w:t xml:space="preserve"> </w:t>
      </w:r>
      <w:r w:rsidRPr="000E36CB">
        <w:rPr>
          <w:i/>
          <w:sz w:val="20"/>
          <w:szCs w:val="20"/>
          <w:lang w:val="en-US"/>
        </w:rPr>
        <w:t>There is accordingly no amount due and payable to Plaintiff by Defendant, as alleged, or at al</w:t>
      </w:r>
      <w:r w:rsidR="00945C12">
        <w:rPr>
          <w:i/>
          <w:sz w:val="20"/>
          <w:szCs w:val="20"/>
          <w:lang w:val="en-US"/>
        </w:rPr>
        <w:t>l</w:t>
      </w:r>
      <w:r w:rsidR="00EA37AC" w:rsidRPr="000E36CB">
        <w:rPr>
          <w:i/>
          <w:sz w:val="20"/>
          <w:szCs w:val="20"/>
          <w:lang w:val="en-US"/>
        </w:rPr>
        <w:t xml:space="preserve">. </w:t>
      </w:r>
      <w:r w:rsidR="00CE2D01" w:rsidRPr="000E36CB">
        <w:rPr>
          <w:i/>
          <w:sz w:val="20"/>
          <w:szCs w:val="20"/>
          <w:lang w:val="en-US"/>
        </w:rPr>
        <w:t xml:space="preserve">  </w:t>
      </w:r>
    </w:p>
    <w:p w14:paraId="1E5FDAD8" w14:textId="77777777" w:rsidR="00945C12" w:rsidRDefault="00945C12" w:rsidP="000E36CB">
      <w:pPr>
        <w:pStyle w:val="level1"/>
        <w:numPr>
          <w:ilvl w:val="0"/>
          <w:numId w:val="0"/>
        </w:numPr>
        <w:spacing w:after="480" w:line="360" w:lineRule="auto"/>
        <w:ind w:left="360"/>
        <w:jc w:val="both"/>
        <w:rPr>
          <w:i/>
          <w:sz w:val="20"/>
          <w:szCs w:val="20"/>
          <w:lang w:val="en-US"/>
        </w:rPr>
      </w:pPr>
      <w:r>
        <w:rPr>
          <w:i/>
          <w:sz w:val="20"/>
          <w:szCs w:val="20"/>
          <w:lang w:val="en-US"/>
        </w:rPr>
        <w:lastRenderedPageBreak/>
        <w:t>22 Alternatively</w:t>
      </w:r>
      <w:r w:rsidR="000E36CB">
        <w:rPr>
          <w:i/>
          <w:sz w:val="20"/>
          <w:szCs w:val="20"/>
          <w:lang w:val="en-US"/>
        </w:rPr>
        <w:t xml:space="preserve">, </w:t>
      </w:r>
      <w:r>
        <w:rPr>
          <w:i/>
          <w:sz w:val="20"/>
          <w:szCs w:val="20"/>
          <w:lang w:val="en-US"/>
        </w:rPr>
        <w:t xml:space="preserve">in the event of it being determined that the agterskot amount has not been calculated, </w:t>
      </w:r>
      <w:r w:rsidR="003B5402" w:rsidRPr="000E36CB">
        <w:rPr>
          <w:i/>
          <w:sz w:val="20"/>
          <w:szCs w:val="20"/>
          <w:lang w:val="en-US"/>
        </w:rPr>
        <w:t>the plaintiff’s claim is premature</w:t>
      </w:r>
      <w:r>
        <w:rPr>
          <w:i/>
          <w:sz w:val="20"/>
          <w:szCs w:val="20"/>
          <w:lang w:val="en-US"/>
        </w:rPr>
        <w:t>, for the following reasons:</w:t>
      </w:r>
    </w:p>
    <w:p w14:paraId="01C01956" w14:textId="77777777" w:rsidR="00945C12" w:rsidRDefault="00945C12" w:rsidP="000E36CB">
      <w:pPr>
        <w:pStyle w:val="level1"/>
        <w:numPr>
          <w:ilvl w:val="0"/>
          <w:numId w:val="0"/>
        </w:numPr>
        <w:spacing w:after="480" w:line="360" w:lineRule="auto"/>
        <w:ind w:left="360"/>
        <w:jc w:val="both"/>
        <w:rPr>
          <w:i/>
          <w:sz w:val="20"/>
          <w:szCs w:val="20"/>
          <w:lang w:val="en-US"/>
        </w:rPr>
      </w:pPr>
      <w:r>
        <w:rPr>
          <w:i/>
          <w:sz w:val="20"/>
          <w:szCs w:val="20"/>
          <w:lang w:val="en-US"/>
        </w:rPr>
        <w:t>22.1.</w:t>
      </w:r>
      <w:r w:rsidR="003B5402" w:rsidRPr="000E36CB">
        <w:rPr>
          <w:i/>
          <w:sz w:val="20"/>
          <w:szCs w:val="20"/>
          <w:lang w:val="en-US"/>
        </w:rPr>
        <w:t xml:space="preserve"> </w:t>
      </w:r>
      <w:r>
        <w:rPr>
          <w:i/>
          <w:sz w:val="20"/>
          <w:szCs w:val="20"/>
          <w:lang w:val="en-US"/>
        </w:rPr>
        <w:t>P</w:t>
      </w:r>
      <w:r w:rsidR="003B5402" w:rsidRPr="000E36CB">
        <w:rPr>
          <w:i/>
          <w:sz w:val="20"/>
          <w:szCs w:val="20"/>
          <w:lang w:val="en-US"/>
        </w:rPr>
        <w:t xml:space="preserve">laintiff has a duty to </w:t>
      </w:r>
      <w:r w:rsidR="000E36CB">
        <w:rPr>
          <w:i/>
          <w:sz w:val="20"/>
          <w:szCs w:val="20"/>
          <w:lang w:val="en-US"/>
        </w:rPr>
        <w:t>t</w:t>
      </w:r>
      <w:r w:rsidR="003B5402" w:rsidRPr="000E36CB">
        <w:rPr>
          <w:i/>
          <w:sz w:val="20"/>
          <w:szCs w:val="20"/>
          <w:lang w:val="en-US"/>
        </w:rPr>
        <w:t>ake steps and ensure that AFP and K2012 calculates plaintiff’s NAV and determine the agterskot amount</w:t>
      </w:r>
      <w:r>
        <w:rPr>
          <w:i/>
          <w:sz w:val="20"/>
          <w:szCs w:val="20"/>
          <w:lang w:val="en-US"/>
        </w:rPr>
        <w:t>,</w:t>
      </w:r>
      <w:r w:rsidR="003B5402" w:rsidRPr="000E36CB">
        <w:rPr>
          <w:i/>
          <w:sz w:val="20"/>
          <w:szCs w:val="20"/>
          <w:lang w:val="en-US"/>
        </w:rPr>
        <w:t xml:space="preserve"> whereafter </w:t>
      </w:r>
      <w:r>
        <w:rPr>
          <w:i/>
          <w:sz w:val="20"/>
          <w:szCs w:val="20"/>
          <w:lang w:val="en-US"/>
        </w:rPr>
        <w:t>P</w:t>
      </w:r>
      <w:r w:rsidR="003B5402" w:rsidRPr="000E36CB">
        <w:rPr>
          <w:i/>
          <w:sz w:val="20"/>
          <w:szCs w:val="20"/>
          <w:lang w:val="en-US"/>
        </w:rPr>
        <w:t xml:space="preserve">laintiff is entitled to demand from them their respective portions of the agterskot amount in order to settle the arrears. </w:t>
      </w:r>
    </w:p>
    <w:p w14:paraId="3682B4AB" w14:textId="620D5679" w:rsidR="00557D37" w:rsidRPr="000E36CB" w:rsidRDefault="00945C12" w:rsidP="000E36CB">
      <w:pPr>
        <w:pStyle w:val="level1"/>
        <w:numPr>
          <w:ilvl w:val="0"/>
          <w:numId w:val="0"/>
        </w:numPr>
        <w:spacing w:after="480" w:line="360" w:lineRule="auto"/>
        <w:ind w:left="360"/>
        <w:jc w:val="both"/>
        <w:rPr>
          <w:i/>
          <w:sz w:val="20"/>
          <w:szCs w:val="20"/>
          <w:lang w:val="en-US"/>
        </w:rPr>
      </w:pPr>
      <w:r>
        <w:rPr>
          <w:i/>
          <w:sz w:val="20"/>
          <w:szCs w:val="20"/>
          <w:lang w:val="en-US"/>
        </w:rPr>
        <w:t xml:space="preserve">22.2 </w:t>
      </w:r>
      <w:r w:rsidR="003B5402" w:rsidRPr="000E36CB">
        <w:rPr>
          <w:i/>
          <w:sz w:val="20"/>
          <w:szCs w:val="20"/>
          <w:lang w:val="en-US"/>
        </w:rPr>
        <w:t>It is only in the event that the agterskot amount is not sufficient to settle the arrears</w:t>
      </w:r>
      <w:r>
        <w:rPr>
          <w:i/>
          <w:sz w:val="20"/>
          <w:szCs w:val="20"/>
          <w:lang w:val="en-US"/>
        </w:rPr>
        <w:t>,</w:t>
      </w:r>
      <w:r w:rsidR="003B5402" w:rsidRPr="000E36CB">
        <w:rPr>
          <w:i/>
          <w:sz w:val="20"/>
          <w:szCs w:val="20"/>
          <w:lang w:val="en-US"/>
        </w:rPr>
        <w:t xml:space="preserve"> that </w:t>
      </w:r>
      <w:r>
        <w:rPr>
          <w:i/>
          <w:sz w:val="20"/>
          <w:szCs w:val="20"/>
          <w:lang w:val="en-US"/>
        </w:rPr>
        <w:t>P</w:t>
      </w:r>
      <w:r w:rsidR="003B5402" w:rsidRPr="000E36CB">
        <w:rPr>
          <w:i/>
          <w:sz w:val="20"/>
          <w:szCs w:val="20"/>
          <w:lang w:val="en-US"/>
        </w:rPr>
        <w:t>laintiff is entitled</w:t>
      </w:r>
      <w:r>
        <w:rPr>
          <w:i/>
          <w:sz w:val="20"/>
          <w:szCs w:val="20"/>
          <w:lang w:val="en-US"/>
        </w:rPr>
        <w:t>,</w:t>
      </w:r>
      <w:r w:rsidR="003B5402" w:rsidRPr="000E36CB">
        <w:rPr>
          <w:i/>
          <w:sz w:val="20"/>
          <w:szCs w:val="20"/>
          <w:lang w:val="en-US"/>
        </w:rPr>
        <w:t xml:space="preserve"> </w:t>
      </w:r>
      <w:r w:rsidRPr="000E36CB">
        <w:rPr>
          <w:i/>
          <w:sz w:val="20"/>
          <w:szCs w:val="20"/>
          <w:lang w:val="en-US"/>
        </w:rPr>
        <w:t xml:space="preserve">in terms of clause 5.6 2 of the </w:t>
      </w:r>
      <w:r>
        <w:rPr>
          <w:i/>
          <w:sz w:val="20"/>
          <w:szCs w:val="20"/>
          <w:lang w:val="en-US"/>
        </w:rPr>
        <w:t xml:space="preserve">SP </w:t>
      </w:r>
      <w:r w:rsidRPr="000E36CB">
        <w:rPr>
          <w:i/>
          <w:sz w:val="20"/>
          <w:szCs w:val="20"/>
          <w:lang w:val="en-US"/>
        </w:rPr>
        <w:t>agreement</w:t>
      </w:r>
      <w:r>
        <w:rPr>
          <w:i/>
          <w:sz w:val="20"/>
          <w:szCs w:val="20"/>
          <w:lang w:val="en-US"/>
        </w:rPr>
        <w:t>,</w:t>
      </w:r>
      <w:r w:rsidRPr="000E36CB">
        <w:rPr>
          <w:i/>
          <w:sz w:val="20"/>
          <w:szCs w:val="20"/>
          <w:lang w:val="en-US"/>
        </w:rPr>
        <w:t xml:space="preserve"> </w:t>
      </w:r>
      <w:r w:rsidR="003B5402" w:rsidRPr="000E36CB">
        <w:rPr>
          <w:i/>
          <w:sz w:val="20"/>
          <w:szCs w:val="20"/>
          <w:lang w:val="en-US"/>
        </w:rPr>
        <w:t>to rec</w:t>
      </w:r>
      <w:r>
        <w:rPr>
          <w:i/>
          <w:sz w:val="20"/>
          <w:szCs w:val="20"/>
          <w:lang w:val="en-US"/>
        </w:rPr>
        <w:t>over</w:t>
      </w:r>
      <w:r w:rsidR="003B5402" w:rsidRPr="000E36CB">
        <w:rPr>
          <w:i/>
          <w:sz w:val="20"/>
          <w:szCs w:val="20"/>
          <w:lang w:val="en-US"/>
        </w:rPr>
        <w:t xml:space="preserve"> the </w:t>
      </w:r>
      <w:r>
        <w:rPr>
          <w:i/>
          <w:sz w:val="20"/>
          <w:szCs w:val="20"/>
          <w:lang w:val="en-US"/>
        </w:rPr>
        <w:t xml:space="preserve">balance of the </w:t>
      </w:r>
      <w:r w:rsidR="003B5402" w:rsidRPr="000E36CB">
        <w:rPr>
          <w:i/>
          <w:sz w:val="20"/>
          <w:szCs w:val="20"/>
          <w:lang w:val="en-US"/>
        </w:rPr>
        <w:t xml:space="preserve">arrears from BMW </w:t>
      </w:r>
      <w:r>
        <w:rPr>
          <w:i/>
          <w:sz w:val="20"/>
          <w:szCs w:val="20"/>
          <w:lang w:val="en-US"/>
        </w:rPr>
        <w:t xml:space="preserve">and Ford, </w:t>
      </w:r>
      <w:r w:rsidR="003B5402" w:rsidRPr="000E36CB">
        <w:rPr>
          <w:i/>
          <w:sz w:val="20"/>
          <w:szCs w:val="20"/>
          <w:lang w:val="en-US"/>
        </w:rPr>
        <w:t>or their sureties</w:t>
      </w:r>
      <w:r w:rsidR="00EA37AC" w:rsidRPr="000E36CB">
        <w:rPr>
          <w:i/>
          <w:sz w:val="20"/>
          <w:szCs w:val="20"/>
          <w:lang w:val="en-US"/>
        </w:rPr>
        <w:t>.</w:t>
      </w:r>
      <w:r>
        <w:rPr>
          <w:i/>
          <w:sz w:val="20"/>
          <w:szCs w:val="20"/>
          <w:lang w:val="en-US"/>
        </w:rPr>
        <w:t>”</w:t>
      </w:r>
    </w:p>
    <w:p w14:paraId="0273AFE1" w14:textId="5D9B8106" w:rsidR="007357E1" w:rsidRDefault="00CC1832" w:rsidP="00CC1832">
      <w:pPr>
        <w:pStyle w:val="level1"/>
        <w:numPr>
          <w:ilvl w:val="0"/>
          <w:numId w:val="0"/>
        </w:numPr>
        <w:spacing w:after="480" w:line="360" w:lineRule="auto"/>
        <w:jc w:val="both"/>
        <w:rPr>
          <w:lang w:val="en-US"/>
        </w:rPr>
      </w:pPr>
      <w:r>
        <w:rPr>
          <w:lang w:val="en-US"/>
        </w:rPr>
        <w:t>[10]</w:t>
      </w:r>
      <w:r>
        <w:rPr>
          <w:lang w:val="en-US"/>
        </w:rPr>
        <w:tab/>
      </w:r>
      <w:r w:rsidR="007357E1">
        <w:rPr>
          <w:lang w:val="en-US"/>
        </w:rPr>
        <w:t xml:space="preserve">The same defence was raised in a summary judgment application launched by the plaintiff. Leave to defend was granted, with costs to be in the cause. </w:t>
      </w:r>
    </w:p>
    <w:p w14:paraId="4A828EB6" w14:textId="6F1A437A" w:rsidR="002B6B67" w:rsidRDefault="00CC1832" w:rsidP="00CC1832">
      <w:pPr>
        <w:pStyle w:val="level1"/>
        <w:numPr>
          <w:ilvl w:val="0"/>
          <w:numId w:val="0"/>
        </w:numPr>
        <w:spacing w:after="480" w:line="360" w:lineRule="auto"/>
        <w:jc w:val="both"/>
        <w:rPr>
          <w:lang w:val="en-US"/>
        </w:rPr>
      </w:pPr>
      <w:r>
        <w:rPr>
          <w:lang w:val="en-US"/>
        </w:rPr>
        <w:t>[11]</w:t>
      </w:r>
      <w:r>
        <w:rPr>
          <w:lang w:val="en-US"/>
        </w:rPr>
        <w:tab/>
      </w:r>
      <w:r w:rsidR="007357E1">
        <w:rPr>
          <w:lang w:val="en-US"/>
        </w:rPr>
        <w:t xml:space="preserve">In his affidavit, the defendant made </w:t>
      </w:r>
      <w:r w:rsidR="006A7A79">
        <w:rPr>
          <w:lang w:val="en-US"/>
        </w:rPr>
        <w:t xml:space="preserve">it </w:t>
      </w:r>
      <w:r w:rsidR="007357E1">
        <w:rPr>
          <w:lang w:val="en-US"/>
        </w:rPr>
        <w:t xml:space="preserve">clear that at all times he was representing SNP in relation to the share purchase agreement. The defendant </w:t>
      </w:r>
      <w:r w:rsidR="006A7A79">
        <w:rPr>
          <w:lang w:val="en-US"/>
        </w:rPr>
        <w:t xml:space="preserve">further </w:t>
      </w:r>
      <w:r w:rsidR="002B6B67">
        <w:rPr>
          <w:lang w:val="en-US"/>
        </w:rPr>
        <w:t>articulated his position thus</w:t>
      </w:r>
      <w:r w:rsidR="007357E1">
        <w:rPr>
          <w:lang w:val="en-US"/>
        </w:rPr>
        <w:t>:</w:t>
      </w:r>
    </w:p>
    <w:p w14:paraId="080A1892" w14:textId="5F66D968" w:rsidR="007357E1" w:rsidRPr="002B6B67" w:rsidRDefault="007357E1" w:rsidP="002B6B67">
      <w:pPr>
        <w:pStyle w:val="level1"/>
        <w:numPr>
          <w:ilvl w:val="0"/>
          <w:numId w:val="0"/>
        </w:numPr>
        <w:spacing w:after="480" w:line="360" w:lineRule="auto"/>
        <w:ind w:left="360"/>
        <w:jc w:val="both"/>
        <w:rPr>
          <w:sz w:val="20"/>
          <w:szCs w:val="20"/>
          <w:lang w:val="en-US"/>
        </w:rPr>
      </w:pPr>
      <w:r w:rsidRPr="002B6B67">
        <w:rPr>
          <w:i/>
          <w:sz w:val="20"/>
          <w:szCs w:val="20"/>
          <w:lang w:val="en-US"/>
        </w:rPr>
        <w:t>“The primary objective of the SPA was to allow for the disposition and sale by SNP of its shares, title and interest in, and to, its 20% shareholding of the applicant to APF and K2012, with the proceeds of the sale being used settle (sic) the arrears of both BMW and Ford”.</w:t>
      </w:r>
      <w:r w:rsidRPr="002B6B67">
        <w:rPr>
          <w:rStyle w:val="FootnoteReference"/>
          <w:sz w:val="20"/>
          <w:szCs w:val="20"/>
          <w:lang w:val="en-US"/>
        </w:rPr>
        <w:t xml:space="preserve"> </w:t>
      </w:r>
      <w:r w:rsidRPr="002B6B67">
        <w:rPr>
          <w:rStyle w:val="FootnoteReference"/>
          <w:sz w:val="20"/>
          <w:szCs w:val="20"/>
          <w:lang w:val="en-US"/>
        </w:rPr>
        <w:footnoteReference w:id="2"/>
      </w:r>
    </w:p>
    <w:p w14:paraId="02F5F4D3" w14:textId="1B5A37C5" w:rsidR="00146184" w:rsidRDefault="00CC1832" w:rsidP="00CC1832">
      <w:pPr>
        <w:pStyle w:val="level1"/>
        <w:numPr>
          <w:ilvl w:val="0"/>
          <w:numId w:val="0"/>
        </w:numPr>
        <w:spacing w:after="480" w:line="360" w:lineRule="auto"/>
        <w:jc w:val="both"/>
        <w:rPr>
          <w:lang w:val="en-US"/>
        </w:rPr>
      </w:pPr>
      <w:r>
        <w:rPr>
          <w:lang w:val="en-US"/>
        </w:rPr>
        <w:t>[12]</w:t>
      </w:r>
      <w:r>
        <w:rPr>
          <w:lang w:val="en-US"/>
        </w:rPr>
        <w:tab/>
      </w:r>
      <w:r w:rsidR="006A7A79">
        <w:rPr>
          <w:lang w:val="en-US"/>
        </w:rPr>
        <w:t>T</w:t>
      </w:r>
      <w:r w:rsidR="00146184">
        <w:rPr>
          <w:lang w:val="en-US"/>
        </w:rPr>
        <w:t>he defendant did not institute any counterclaim for specific performance of any obligation emanating from the sale purchase agreement. The defendant further did not institute any claim for rectification of any of the agreements relevant to this action.</w:t>
      </w:r>
      <w:r w:rsidR="006A7A79">
        <w:rPr>
          <w:lang w:val="en-US"/>
        </w:rPr>
        <w:t xml:space="preserve"> Significantly, the defendant was not a party to the sale purchase agreement. </w:t>
      </w:r>
    </w:p>
    <w:p w14:paraId="35A4105B" w14:textId="3D08F2DF" w:rsidR="007357E1" w:rsidRDefault="00CC1832" w:rsidP="00CC1832">
      <w:pPr>
        <w:pStyle w:val="level1"/>
        <w:numPr>
          <w:ilvl w:val="0"/>
          <w:numId w:val="0"/>
        </w:numPr>
        <w:spacing w:after="480" w:line="360" w:lineRule="auto"/>
        <w:jc w:val="both"/>
        <w:rPr>
          <w:lang w:val="en-US"/>
        </w:rPr>
      </w:pPr>
      <w:r>
        <w:rPr>
          <w:lang w:val="en-US"/>
        </w:rPr>
        <w:t>[13]</w:t>
      </w:r>
      <w:r>
        <w:rPr>
          <w:lang w:val="en-US"/>
        </w:rPr>
        <w:tab/>
      </w:r>
      <w:r w:rsidR="00797693">
        <w:rPr>
          <w:lang w:val="en-US"/>
        </w:rPr>
        <w:t xml:space="preserve">For the sake of completeness, </w:t>
      </w:r>
      <w:r w:rsidR="006E7BD3">
        <w:rPr>
          <w:lang w:val="en-US"/>
        </w:rPr>
        <w:t>the defendant</w:t>
      </w:r>
      <w:r w:rsidR="00797693">
        <w:rPr>
          <w:lang w:val="en-US"/>
        </w:rPr>
        <w:t xml:space="preserve"> had further in his plea</w:t>
      </w:r>
      <w:r w:rsidR="006E7BD3">
        <w:rPr>
          <w:lang w:val="en-US"/>
        </w:rPr>
        <w:t xml:space="preserve"> disputed that the lease agreements were validly cancelled, placing reliance on clause 32 of the respective lease agreements. The </w:t>
      </w:r>
      <w:r w:rsidR="007357E1">
        <w:rPr>
          <w:lang w:val="en-US"/>
        </w:rPr>
        <w:t xml:space="preserve">validity of the </w:t>
      </w:r>
      <w:r w:rsidR="006E7BD3">
        <w:rPr>
          <w:lang w:val="en-US"/>
        </w:rPr>
        <w:t xml:space="preserve">cancellation was not however an issue </w:t>
      </w:r>
      <w:r w:rsidR="006E7BD3">
        <w:rPr>
          <w:lang w:val="en-US"/>
        </w:rPr>
        <w:lastRenderedPageBreak/>
        <w:t>which featured in the trial</w:t>
      </w:r>
      <w:r w:rsidR="007357E1" w:rsidRPr="007357E1">
        <w:rPr>
          <w:lang w:val="en-US"/>
        </w:rPr>
        <w:t xml:space="preserve"> </w:t>
      </w:r>
      <w:r w:rsidR="007357E1">
        <w:rPr>
          <w:lang w:val="en-US"/>
        </w:rPr>
        <w:t>and no evidence was led to place the validity of the cancellation of the lease agreements in dispute.</w:t>
      </w:r>
      <w:r w:rsidR="006E7BD3">
        <w:rPr>
          <w:lang w:val="en-US"/>
        </w:rPr>
        <w:t xml:space="preserve"> </w:t>
      </w:r>
    </w:p>
    <w:p w14:paraId="0EDA3B5A" w14:textId="11427180" w:rsidR="007357E1" w:rsidRDefault="00CC1832" w:rsidP="00CC1832">
      <w:pPr>
        <w:pStyle w:val="level1"/>
        <w:numPr>
          <w:ilvl w:val="0"/>
          <w:numId w:val="0"/>
        </w:numPr>
        <w:spacing w:after="480" w:line="360" w:lineRule="auto"/>
        <w:jc w:val="both"/>
        <w:rPr>
          <w:lang w:val="en-US"/>
        </w:rPr>
      </w:pPr>
      <w:r>
        <w:rPr>
          <w:lang w:val="en-US"/>
        </w:rPr>
        <w:t>[14]</w:t>
      </w:r>
      <w:r>
        <w:rPr>
          <w:lang w:val="en-US"/>
        </w:rPr>
        <w:tab/>
      </w:r>
      <w:r w:rsidR="007357E1" w:rsidRPr="007357E1">
        <w:rPr>
          <w:lang w:val="en-US"/>
        </w:rPr>
        <w:t>At the trial, i</w:t>
      </w:r>
      <w:r w:rsidR="006E7BD3" w:rsidRPr="007357E1">
        <w:rPr>
          <w:lang w:val="en-US"/>
        </w:rPr>
        <w:t xml:space="preserve">t was undisputed that the plaintiff’s claim was calculated with reference to the respective dates on which Sovereign and Nungu vacated the properties after cancellation of the respective lease agreements between the plaintiff and those entities.  </w:t>
      </w:r>
    </w:p>
    <w:p w14:paraId="343BA09D" w14:textId="7EEAD035" w:rsidR="00797693" w:rsidRDefault="00CC1832" w:rsidP="00CC1832">
      <w:pPr>
        <w:pStyle w:val="level1"/>
        <w:numPr>
          <w:ilvl w:val="0"/>
          <w:numId w:val="0"/>
        </w:numPr>
        <w:spacing w:after="480" w:line="360" w:lineRule="auto"/>
        <w:jc w:val="both"/>
        <w:rPr>
          <w:lang w:val="en-US"/>
        </w:rPr>
      </w:pPr>
      <w:r>
        <w:rPr>
          <w:lang w:val="en-US"/>
        </w:rPr>
        <w:t>[15]</w:t>
      </w:r>
      <w:r>
        <w:rPr>
          <w:lang w:val="en-US"/>
        </w:rPr>
        <w:tab/>
      </w:r>
      <w:r w:rsidR="006E7BD3" w:rsidRPr="006E7BD3">
        <w:rPr>
          <w:lang w:val="en-US"/>
        </w:rPr>
        <w:t xml:space="preserve">The nub of the defendant’s evidence </w:t>
      </w:r>
      <w:r w:rsidR="007357E1">
        <w:rPr>
          <w:lang w:val="en-US"/>
        </w:rPr>
        <w:t xml:space="preserve">at trial </w:t>
      </w:r>
      <w:r w:rsidR="006E7BD3" w:rsidRPr="006E7BD3">
        <w:rPr>
          <w:lang w:val="en-US"/>
        </w:rPr>
        <w:t xml:space="preserve">was that time should be afforded for the calculation of the NAV to take place in order to determine his liability </w:t>
      </w:r>
      <w:r w:rsidR="00797693">
        <w:rPr>
          <w:lang w:val="en-US"/>
        </w:rPr>
        <w:t xml:space="preserve">as no independent valuation was done in accordance with the sale purchase agreement </w:t>
      </w:r>
      <w:r w:rsidR="006E7BD3" w:rsidRPr="006E7BD3">
        <w:rPr>
          <w:lang w:val="en-US"/>
        </w:rPr>
        <w:t xml:space="preserve">and that the action should not be pursued until this occurs. </w:t>
      </w:r>
      <w:r w:rsidR="00797693">
        <w:rPr>
          <w:lang w:val="en-US"/>
        </w:rPr>
        <w:t>H</w:t>
      </w:r>
      <w:r w:rsidR="006A7A79">
        <w:rPr>
          <w:lang w:val="en-US"/>
        </w:rPr>
        <w:t>is primary</w:t>
      </w:r>
      <w:r w:rsidR="00797693">
        <w:rPr>
          <w:lang w:val="en-US"/>
        </w:rPr>
        <w:t xml:space="preserve"> conten</w:t>
      </w:r>
      <w:r w:rsidR="006A7A79">
        <w:rPr>
          <w:lang w:val="en-US"/>
        </w:rPr>
        <w:t>tion was</w:t>
      </w:r>
      <w:r w:rsidR="00797693">
        <w:rPr>
          <w:lang w:val="en-US"/>
        </w:rPr>
        <w:t xml:space="preserve"> that </w:t>
      </w:r>
      <w:r w:rsidR="006E7BD3" w:rsidRPr="006E7BD3">
        <w:rPr>
          <w:lang w:val="en-US"/>
        </w:rPr>
        <w:t xml:space="preserve">the plaintiff’s claim was </w:t>
      </w:r>
      <w:r w:rsidR="00797693">
        <w:rPr>
          <w:lang w:val="en-US"/>
        </w:rPr>
        <w:t xml:space="preserve">accordingly </w:t>
      </w:r>
      <w:r w:rsidR="006E7BD3" w:rsidRPr="006E7BD3">
        <w:rPr>
          <w:lang w:val="en-US"/>
        </w:rPr>
        <w:t xml:space="preserve">premature. </w:t>
      </w:r>
    </w:p>
    <w:p w14:paraId="6D192E71" w14:textId="3E91EAD5" w:rsidR="006E7BD3" w:rsidRDefault="00CC1832" w:rsidP="00CC1832">
      <w:pPr>
        <w:pStyle w:val="level1"/>
        <w:numPr>
          <w:ilvl w:val="0"/>
          <w:numId w:val="0"/>
        </w:numPr>
        <w:spacing w:after="480" w:line="360" w:lineRule="auto"/>
        <w:jc w:val="both"/>
        <w:rPr>
          <w:lang w:val="en-US"/>
        </w:rPr>
      </w:pPr>
      <w:r>
        <w:rPr>
          <w:lang w:val="en-US"/>
        </w:rPr>
        <w:t>[16]</w:t>
      </w:r>
      <w:r>
        <w:rPr>
          <w:lang w:val="en-US"/>
        </w:rPr>
        <w:tab/>
      </w:r>
      <w:r w:rsidR="00797693">
        <w:rPr>
          <w:lang w:val="en-US"/>
        </w:rPr>
        <w:t>The defendant under cross examination</w:t>
      </w:r>
      <w:r w:rsidR="006E7BD3" w:rsidRPr="006E7BD3">
        <w:rPr>
          <w:lang w:val="en-US"/>
        </w:rPr>
        <w:t xml:space="preserve"> conceded that</w:t>
      </w:r>
      <w:r w:rsidR="00797693">
        <w:rPr>
          <w:lang w:val="en-US"/>
        </w:rPr>
        <w:t>,</w:t>
      </w:r>
      <w:r w:rsidR="006E7BD3" w:rsidRPr="006E7BD3">
        <w:rPr>
          <w:lang w:val="en-US"/>
        </w:rPr>
        <w:t xml:space="preserve"> if after such valuation was done, there was a shortfall, he would be liable for payment of such amount.</w:t>
      </w:r>
      <w:r w:rsidR="006E7BD3">
        <w:rPr>
          <w:lang w:val="en-US"/>
        </w:rPr>
        <w:t xml:space="preserve"> </w:t>
      </w:r>
      <w:r w:rsidR="006E7BD3" w:rsidRPr="006E7BD3">
        <w:rPr>
          <w:lang w:val="en-US"/>
        </w:rPr>
        <w:t xml:space="preserve">He </w:t>
      </w:r>
      <w:r w:rsidR="006E7BD3">
        <w:rPr>
          <w:lang w:val="en-US"/>
        </w:rPr>
        <w:t xml:space="preserve">further </w:t>
      </w:r>
      <w:r w:rsidR="006E7BD3" w:rsidRPr="006E7BD3">
        <w:rPr>
          <w:lang w:val="en-US"/>
        </w:rPr>
        <w:t xml:space="preserve">conceded that he would be liable for payment of the debt </w:t>
      </w:r>
      <w:r w:rsidR="006E7BD3">
        <w:rPr>
          <w:lang w:val="en-US"/>
        </w:rPr>
        <w:t xml:space="preserve">and judgment should be granted against him </w:t>
      </w:r>
      <w:r w:rsidR="006E7BD3" w:rsidRPr="006E7BD3">
        <w:rPr>
          <w:lang w:val="en-US"/>
        </w:rPr>
        <w:t xml:space="preserve">if </w:t>
      </w:r>
      <w:r w:rsidR="006E7BD3">
        <w:rPr>
          <w:lang w:val="en-US"/>
        </w:rPr>
        <w:t>i</w:t>
      </w:r>
      <w:r w:rsidR="006E7BD3" w:rsidRPr="006E7BD3">
        <w:rPr>
          <w:lang w:val="en-US"/>
        </w:rPr>
        <w:t>t</w:t>
      </w:r>
      <w:r w:rsidR="006E7BD3">
        <w:rPr>
          <w:lang w:val="en-US"/>
        </w:rPr>
        <w:t xml:space="preserve"> was</w:t>
      </w:r>
      <w:r w:rsidR="006E7BD3" w:rsidRPr="006E7BD3">
        <w:rPr>
          <w:lang w:val="en-US"/>
        </w:rPr>
        <w:t xml:space="preserve"> f</w:t>
      </w:r>
      <w:r w:rsidR="006E7BD3">
        <w:rPr>
          <w:lang w:val="en-US"/>
        </w:rPr>
        <w:t>ou</w:t>
      </w:r>
      <w:r w:rsidR="006E7BD3" w:rsidRPr="006E7BD3">
        <w:rPr>
          <w:lang w:val="en-US"/>
        </w:rPr>
        <w:t xml:space="preserve">nd that the sale purchase contract does not constitute a defence to the plaintiff’s claim. </w:t>
      </w:r>
    </w:p>
    <w:p w14:paraId="53CEADDF" w14:textId="789D1DEC" w:rsidR="00E74AC0" w:rsidRDefault="00CC1832" w:rsidP="00CC1832">
      <w:pPr>
        <w:pStyle w:val="level1"/>
        <w:numPr>
          <w:ilvl w:val="0"/>
          <w:numId w:val="0"/>
        </w:numPr>
        <w:spacing w:after="480" w:line="360" w:lineRule="auto"/>
        <w:jc w:val="both"/>
        <w:rPr>
          <w:lang w:val="en-US"/>
        </w:rPr>
      </w:pPr>
      <w:r>
        <w:rPr>
          <w:lang w:val="en-US"/>
        </w:rPr>
        <w:t>[17]</w:t>
      </w:r>
      <w:r>
        <w:rPr>
          <w:lang w:val="en-US"/>
        </w:rPr>
        <w:tab/>
      </w:r>
      <w:r w:rsidR="00797693">
        <w:rPr>
          <w:lang w:val="en-US"/>
        </w:rPr>
        <w:t xml:space="preserve">It was undisputed that the defendant was not a party to </w:t>
      </w:r>
      <w:r w:rsidR="007357E1">
        <w:rPr>
          <w:lang w:val="en-US"/>
        </w:rPr>
        <w:t>the sale purchase contact and accrued no rights thereunder. From his evidence it was clear that the defendant did not draw any distinction between himself and SNP, of which he is the sole shareholder and director</w:t>
      </w:r>
      <w:r w:rsidR="00E74AC0" w:rsidRPr="00E74AC0">
        <w:rPr>
          <w:lang w:val="en-US"/>
        </w:rPr>
        <w:t xml:space="preserve"> </w:t>
      </w:r>
      <w:r w:rsidR="00E74AC0">
        <w:rPr>
          <w:lang w:val="en-US"/>
        </w:rPr>
        <w:t>and did not appreciate the separate legal personality of the company distinct from its shareholders.</w:t>
      </w:r>
      <w:r w:rsidR="00E74AC0">
        <w:rPr>
          <w:rStyle w:val="FootnoteReference"/>
          <w:lang w:val="en-US"/>
        </w:rPr>
        <w:footnoteReference w:id="3"/>
      </w:r>
      <w:r w:rsidR="00E74AC0">
        <w:rPr>
          <w:lang w:val="en-US"/>
        </w:rPr>
        <w:t xml:space="preserve"> </w:t>
      </w:r>
    </w:p>
    <w:p w14:paraId="49B0B665" w14:textId="2C8EAD5A" w:rsidR="0040703A" w:rsidRDefault="00CC1832" w:rsidP="00CC1832">
      <w:pPr>
        <w:pStyle w:val="level1"/>
        <w:numPr>
          <w:ilvl w:val="0"/>
          <w:numId w:val="0"/>
        </w:numPr>
        <w:spacing w:after="480" w:line="360" w:lineRule="auto"/>
        <w:jc w:val="both"/>
        <w:rPr>
          <w:lang w:val="en-US"/>
        </w:rPr>
      </w:pPr>
      <w:r>
        <w:rPr>
          <w:lang w:val="en-US"/>
        </w:rPr>
        <w:t>[18]</w:t>
      </w:r>
      <w:r>
        <w:rPr>
          <w:lang w:val="en-US"/>
        </w:rPr>
        <w:tab/>
      </w:r>
      <w:r w:rsidR="00333637">
        <w:rPr>
          <w:lang w:val="en-US"/>
        </w:rPr>
        <w:t>In terms of the deeds of suretyship</w:t>
      </w:r>
      <w:r w:rsidR="00D87064">
        <w:rPr>
          <w:lang w:val="en-US"/>
        </w:rPr>
        <w:t>,</w:t>
      </w:r>
      <w:r w:rsidR="00E74AC0">
        <w:rPr>
          <w:rStyle w:val="FootnoteReference"/>
          <w:lang w:val="en-US"/>
        </w:rPr>
        <w:footnoteReference w:id="4"/>
      </w:r>
      <w:r w:rsidR="00333637">
        <w:rPr>
          <w:lang w:val="en-US"/>
        </w:rPr>
        <w:t xml:space="preserve"> the defendant expressly interposed and bound himself to the plaintiff as surety and co- princip</w:t>
      </w:r>
      <w:r w:rsidR="00C70847">
        <w:rPr>
          <w:lang w:val="en-US"/>
        </w:rPr>
        <w:t>a</w:t>
      </w:r>
      <w:r w:rsidR="00333637">
        <w:rPr>
          <w:lang w:val="en-US"/>
        </w:rPr>
        <w:t>l debtor with Nungu and S</w:t>
      </w:r>
      <w:r w:rsidR="006E7BD3">
        <w:rPr>
          <w:lang w:val="en-US"/>
        </w:rPr>
        <w:t>overeign</w:t>
      </w:r>
      <w:r w:rsidR="00333637">
        <w:rPr>
          <w:lang w:val="en-US"/>
        </w:rPr>
        <w:t xml:space="preserve"> for the due, proper and timeous performance by the lessees of all their obligations to the </w:t>
      </w:r>
      <w:r w:rsidR="00333637">
        <w:rPr>
          <w:lang w:val="en-US"/>
        </w:rPr>
        <w:lastRenderedPageBreak/>
        <w:t xml:space="preserve">plaintiff, arising from any cause whatsoever, including the obligations emanating from the lease agreements and otherwise relating to the occupancy of the leased premises. The defendant further waived the benefits of excussion and division. </w:t>
      </w:r>
    </w:p>
    <w:p w14:paraId="2E3A51D4" w14:textId="6555EDBF" w:rsidR="003A4BC9" w:rsidRDefault="00CC1832" w:rsidP="00CC1832">
      <w:pPr>
        <w:pStyle w:val="level1"/>
        <w:numPr>
          <w:ilvl w:val="0"/>
          <w:numId w:val="0"/>
        </w:numPr>
        <w:spacing w:after="480" w:line="360" w:lineRule="auto"/>
        <w:jc w:val="both"/>
        <w:rPr>
          <w:lang w:val="en-US"/>
        </w:rPr>
      </w:pPr>
      <w:r>
        <w:rPr>
          <w:lang w:val="en-US"/>
        </w:rPr>
        <w:t>[19]</w:t>
      </w:r>
      <w:r>
        <w:rPr>
          <w:lang w:val="en-US"/>
        </w:rPr>
        <w:tab/>
      </w:r>
      <w:r w:rsidR="009D6E83">
        <w:rPr>
          <w:lang w:val="en-US"/>
        </w:rPr>
        <w:t xml:space="preserve">In relevant part, </w:t>
      </w:r>
      <w:r w:rsidR="003A4BC9">
        <w:rPr>
          <w:lang w:val="en-US"/>
        </w:rPr>
        <w:t>the suretyship agreements</w:t>
      </w:r>
      <w:r w:rsidR="003A4BC9">
        <w:rPr>
          <w:rStyle w:val="FootnoteReference"/>
          <w:lang w:val="en-US"/>
        </w:rPr>
        <w:footnoteReference w:id="5"/>
      </w:r>
      <w:r w:rsidR="003A4BC9">
        <w:rPr>
          <w:lang w:val="en-US"/>
        </w:rPr>
        <w:t xml:space="preserve"> </w:t>
      </w:r>
      <w:r w:rsidR="00C70847">
        <w:rPr>
          <w:lang w:val="en-US"/>
        </w:rPr>
        <w:t xml:space="preserve">further </w:t>
      </w:r>
      <w:r w:rsidR="003A4BC9">
        <w:rPr>
          <w:lang w:val="en-US"/>
        </w:rPr>
        <w:t>provide:</w:t>
      </w:r>
    </w:p>
    <w:p w14:paraId="2EAA41E0" w14:textId="77777777" w:rsidR="003C686A" w:rsidRDefault="003A4BC9" w:rsidP="003C686A">
      <w:pPr>
        <w:pStyle w:val="level1"/>
        <w:numPr>
          <w:ilvl w:val="0"/>
          <w:numId w:val="0"/>
        </w:numPr>
        <w:spacing w:after="480" w:line="360" w:lineRule="auto"/>
        <w:ind w:left="360"/>
        <w:jc w:val="both"/>
        <w:rPr>
          <w:i/>
          <w:sz w:val="20"/>
          <w:szCs w:val="20"/>
          <w:lang w:val="en-US"/>
        </w:rPr>
      </w:pPr>
      <w:r w:rsidRPr="003C686A">
        <w:rPr>
          <w:i/>
          <w:sz w:val="20"/>
          <w:szCs w:val="20"/>
          <w:lang w:val="en-US"/>
        </w:rPr>
        <w:t>“</w:t>
      </w:r>
      <w:r w:rsidR="00D3260A" w:rsidRPr="003C686A">
        <w:rPr>
          <w:i/>
          <w:sz w:val="20"/>
          <w:szCs w:val="20"/>
          <w:lang w:val="en-US"/>
        </w:rPr>
        <w:t xml:space="preserve">4 Any indulgence or latitude which the Landlord may grant to the Tenant in respect of any obligation in terms of or relating to the Lease or any amendment thereof, or the release of any surety or security which the Landlord may hold in respect of any obligation arising therefrom or related thereto, will not prejudice the rights of the Landlord against the Surety uner this Suretyship, or affect the validity or enforceability o this Suretyship. </w:t>
      </w:r>
    </w:p>
    <w:p w14:paraId="0DE69A5B" w14:textId="70FB4CAF" w:rsidR="003A4BC9" w:rsidRPr="003C686A" w:rsidRDefault="009D6E83" w:rsidP="003C686A">
      <w:pPr>
        <w:pStyle w:val="level1"/>
        <w:numPr>
          <w:ilvl w:val="0"/>
          <w:numId w:val="0"/>
        </w:numPr>
        <w:spacing w:after="480" w:line="360" w:lineRule="auto"/>
        <w:ind w:left="360"/>
        <w:jc w:val="both"/>
        <w:rPr>
          <w:i/>
          <w:sz w:val="20"/>
          <w:szCs w:val="20"/>
          <w:lang w:val="en-US"/>
        </w:rPr>
      </w:pPr>
      <w:r w:rsidRPr="003C686A">
        <w:rPr>
          <w:i/>
          <w:sz w:val="20"/>
          <w:szCs w:val="20"/>
          <w:lang w:val="en-US"/>
        </w:rPr>
        <w:t xml:space="preserve">10 </w:t>
      </w:r>
      <w:r w:rsidR="003A4BC9" w:rsidRPr="003C686A">
        <w:rPr>
          <w:i/>
          <w:sz w:val="20"/>
          <w:szCs w:val="20"/>
          <w:lang w:val="en-US"/>
        </w:rPr>
        <w:t>All the Landlord’s rights, without exception, applicable against the Tenant will be equally applicable against the Surety, the Surety being deemed to be the Tenant thereunder and the Landlord has against the Tenant as if the Surety had from the beginning of the Lease Agreement and at all times been liable jointly and severally with the Tenant in favour of the Landlord</w:t>
      </w:r>
      <w:r w:rsidR="003C686A">
        <w:rPr>
          <w:i/>
          <w:sz w:val="20"/>
          <w:szCs w:val="20"/>
          <w:lang w:val="en-US"/>
        </w:rPr>
        <w:t>”</w:t>
      </w:r>
    </w:p>
    <w:p w14:paraId="7D5CDF7B" w14:textId="17319CB8" w:rsidR="006E7BD3" w:rsidRDefault="00CC1832" w:rsidP="00CC1832">
      <w:pPr>
        <w:pStyle w:val="level1"/>
        <w:numPr>
          <w:ilvl w:val="0"/>
          <w:numId w:val="0"/>
        </w:numPr>
        <w:spacing w:after="480" w:line="360" w:lineRule="auto"/>
        <w:jc w:val="both"/>
        <w:rPr>
          <w:lang w:val="en-US"/>
        </w:rPr>
      </w:pPr>
      <w:r>
        <w:rPr>
          <w:lang w:val="en-US"/>
        </w:rPr>
        <w:t>[20]</w:t>
      </w:r>
      <w:r>
        <w:rPr>
          <w:lang w:val="en-US"/>
        </w:rPr>
        <w:tab/>
      </w:r>
      <w:r w:rsidR="006E7BD3">
        <w:rPr>
          <w:lang w:val="en-US"/>
        </w:rPr>
        <w:t xml:space="preserve">In terms of the express provisions of the suretyships the parties thus agreed that the defendant became a co-debtor with the lessees, rather than merely being a co-principal debtor </w:t>
      </w:r>
      <w:r w:rsidR="00E74AC0">
        <w:rPr>
          <w:lang w:val="en-US"/>
        </w:rPr>
        <w:t>with</w:t>
      </w:r>
      <w:r w:rsidR="006E7BD3">
        <w:rPr>
          <w:lang w:val="en-US"/>
        </w:rPr>
        <w:t xml:space="preserve">in the normal meaning of the </w:t>
      </w:r>
      <w:r w:rsidR="00E74AC0">
        <w:rPr>
          <w:lang w:val="en-US"/>
        </w:rPr>
        <w:t>term</w:t>
      </w:r>
      <w:r w:rsidR="007F0885">
        <w:rPr>
          <w:lang w:val="en-US"/>
        </w:rPr>
        <w:t>.</w:t>
      </w:r>
      <w:r w:rsidR="006E7BD3">
        <w:rPr>
          <w:rStyle w:val="FootnoteReference"/>
          <w:lang w:val="en-US"/>
        </w:rPr>
        <w:footnoteReference w:id="6"/>
      </w:r>
    </w:p>
    <w:p w14:paraId="2B7ED989" w14:textId="0A270D30" w:rsidR="00E74AC0" w:rsidRPr="00E74AC0" w:rsidRDefault="00CC1832" w:rsidP="00CC1832">
      <w:pPr>
        <w:pStyle w:val="level1"/>
        <w:numPr>
          <w:ilvl w:val="0"/>
          <w:numId w:val="0"/>
        </w:numPr>
        <w:spacing w:after="480" w:line="360" w:lineRule="auto"/>
        <w:jc w:val="both"/>
        <w:rPr>
          <w:i/>
          <w:lang w:val="en-US"/>
        </w:rPr>
      </w:pPr>
      <w:r w:rsidRPr="00E74AC0">
        <w:rPr>
          <w:lang w:val="en-US"/>
        </w:rPr>
        <w:t>[21]</w:t>
      </w:r>
      <w:r w:rsidRPr="00E74AC0">
        <w:rPr>
          <w:lang w:val="en-US"/>
        </w:rPr>
        <w:tab/>
      </w:r>
      <w:r w:rsidR="009D6E83">
        <w:rPr>
          <w:lang w:val="en-US"/>
        </w:rPr>
        <w:t xml:space="preserve">The relevant principles </w:t>
      </w:r>
      <w:r w:rsidR="00D3260A">
        <w:rPr>
          <w:lang w:val="en-US"/>
        </w:rPr>
        <w:t xml:space="preserve">pertaining to suretyships </w:t>
      </w:r>
      <w:r w:rsidR="009D6E83">
        <w:rPr>
          <w:lang w:val="en-US"/>
        </w:rPr>
        <w:t xml:space="preserve">are well established and do not require repetition. They are </w:t>
      </w:r>
      <w:r w:rsidR="00E74AC0">
        <w:rPr>
          <w:lang w:val="en-US"/>
        </w:rPr>
        <w:t>summarised</w:t>
      </w:r>
      <w:r w:rsidR="009D6E83">
        <w:rPr>
          <w:lang w:val="en-US"/>
        </w:rPr>
        <w:t xml:space="preserve"> by the Supreme Court of Appeal in </w:t>
      </w:r>
      <w:r w:rsidR="000A0E20" w:rsidRPr="000A0E20">
        <w:rPr>
          <w:i/>
          <w:lang w:val="en-US"/>
        </w:rPr>
        <w:t>Van Zyl</w:t>
      </w:r>
      <w:r w:rsidR="00D90976">
        <w:rPr>
          <w:lang w:val="en-US"/>
        </w:rPr>
        <w:t>.</w:t>
      </w:r>
      <w:r w:rsidR="00E30922">
        <w:rPr>
          <w:rStyle w:val="FootnoteReference"/>
          <w:lang w:val="en-US"/>
        </w:rPr>
        <w:footnoteReference w:id="7"/>
      </w:r>
      <w:r w:rsidR="009D6E83">
        <w:rPr>
          <w:lang w:val="en-US"/>
        </w:rPr>
        <w:t xml:space="preserve"> Relevant to the current context, </w:t>
      </w:r>
      <w:r w:rsidR="000A0E20">
        <w:rPr>
          <w:lang w:val="en-US"/>
        </w:rPr>
        <w:t>it was held</w:t>
      </w:r>
      <w:r w:rsidR="009D6E83">
        <w:rPr>
          <w:lang w:val="en-US"/>
        </w:rPr>
        <w:t xml:space="preserve"> that it follows from the accessory nature of the surety’s undertaking that the liability of the surety is dependent on the obligat</w:t>
      </w:r>
      <w:r w:rsidR="00CA210E">
        <w:rPr>
          <w:lang w:val="en-US"/>
        </w:rPr>
        <w:t>i</w:t>
      </w:r>
      <w:r w:rsidR="009D6E83">
        <w:rPr>
          <w:lang w:val="en-US"/>
        </w:rPr>
        <w:t xml:space="preserve">ons of the principal debtor. When the principal debtor’s debt is discharged or reduced by compromise, the surety’s obligation is likewise discharged or reduced. </w:t>
      </w:r>
      <w:r w:rsidR="00E74AC0">
        <w:rPr>
          <w:lang w:val="en-US"/>
        </w:rPr>
        <w:t>It was further held:</w:t>
      </w:r>
    </w:p>
    <w:p w14:paraId="69679C9E" w14:textId="49BB24C8" w:rsidR="00E30922" w:rsidRPr="00E74AC0" w:rsidRDefault="00CA210E" w:rsidP="00E74AC0">
      <w:pPr>
        <w:pStyle w:val="level1"/>
        <w:numPr>
          <w:ilvl w:val="0"/>
          <w:numId w:val="0"/>
        </w:numPr>
        <w:spacing w:after="480" w:line="360" w:lineRule="auto"/>
        <w:ind w:left="360"/>
        <w:jc w:val="both"/>
        <w:rPr>
          <w:i/>
          <w:sz w:val="20"/>
          <w:szCs w:val="20"/>
          <w:lang w:val="en-US"/>
        </w:rPr>
      </w:pPr>
      <w:r w:rsidRPr="00E74AC0">
        <w:rPr>
          <w:i/>
          <w:sz w:val="20"/>
          <w:szCs w:val="20"/>
          <w:lang w:val="en-US"/>
        </w:rPr>
        <w:lastRenderedPageBreak/>
        <w:t>“</w:t>
      </w:r>
      <w:r w:rsidR="009D6E83" w:rsidRPr="00E74AC0">
        <w:rPr>
          <w:i/>
          <w:sz w:val="20"/>
          <w:szCs w:val="20"/>
          <w:lang w:val="en-US"/>
        </w:rPr>
        <w:t>Th</w:t>
      </w:r>
      <w:r w:rsidRPr="00E74AC0">
        <w:rPr>
          <w:i/>
          <w:sz w:val="20"/>
          <w:szCs w:val="20"/>
          <w:lang w:val="en-US"/>
        </w:rPr>
        <w:t>i</w:t>
      </w:r>
      <w:r w:rsidR="009D6E83" w:rsidRPr="00E74AC0">
        <w:rPr>
          <w:i/>
          <w:sz w:val="20"/>
          <w:szCs w:val="20"/>
          <w:lang w:val="en-US"/>
        </w:rPr>
        <w:t>s will be subject to any terms of the deed of suretyship th</w:t>
      </w:r>
      <w:r w:rsidR="00E74AC0" w:rsidRPr="00E74AC0">
        <w:rPr>
          <w:i/>
          <w:sz w:val="20"/>
          <w:szCs w:val="20"/>
          <w:lang w:val="en-US"/>
        </w:rPr>
        <w:t>a</w:t>
      </w:r>
      <w:r w:rsidR="009D6E83" w:rsidRPr="00E74AC0">
        <w:rPr>
          <w:i/>
          <w:sz w:val="20"/>
          <w:szCs w:val="20"/>
          <w:lang w:val="en-US"/>
        </w:rPr>
        <w:t>t pr</w:t>
      </w:r>
      <w:r w:rsidR="0090595C" w:rsidRPr="00E74AC0">
        <w:rPr>
          <w:i/>
          <w:sz w:val="20"/>
          <w:szCs w:val="20"/>
          <w:lang w:val="en-US"/>
        </w:rPr>
        <w:t>e</w:t>
      </w:r>
      <w:r w:rsidR="009D6E83" w:rsidRPr="00E74AC0">
        <w:rPr>
          <w:i/>
          <w:sz w:val="20"/>
          <w:szCs w:val="20"/>
          <w:lang w:val="en-US"/>
        </w:rPr>
        <w:t>serve the surety’s liability notw</w:t>
      </w:r>
      <w:r w:rsidRPr="00E74AC0">
        <w:rPr>
          <w:i/>
          <w:sz w:val="20"/>
          <w:szCs w:val="20"/>
          <w:lang w:val="en-US"/>
        </w:rPr>
        <w:t>i</w:t>
      </w:r>
      <w:r w:rsidR="009D6E83" w:rsidRPr="00E74AC0">
        <w:rPr>
          <w:i/>
          <w:sz w:val="20"/>
          <w:szCs w:val="20"/>
          <w:lang w:val="en-US"/>
        </w:rPr>
        <w:t>t</w:t>
      </w:r>
      <w:r w:rsidRPr="00E74AC0">
        <w:rPr>
          <w:i/>
          <w:sz w:val="20"/>
          <w:szCs w:val="20"/>
          <w:lang w:val="en-US"/>
        </w:rPr>
        <w:t>h</w:t>
      </w:r>
      <w:r w:rsidR="009D6E83" w:rsidRPr="00E74AC0">
        <w:rPr>
          <w:i/>
          <w:sz w:val="20"/>
          <w:szCs w:val="20"/>
          <w:lang w:val="en-US"/>
        </w:rPr>
        <w:t>standing the release or discharge of, or any other benefit or remission afforded to, the principal debtor”</w:t>
      </w:r>
      <w:r w:rsidR="00107CA0" w:rsidRPr="00E74AC0">
        <w:rPr>
          <w:i/>
          <w:sz w:val="20"/>
          <w:szCs w:val="20"/>
          <w:lang w:val="en-US"/>
        </w:rPr>
        <w:t>.</w:t>
      </w:r>
    </w:p>
    <w:p w14:paraId="122E22C0" w14:textId="60FAA209" w:rsidR="00107CA0" w:rsidRDefault="00CC1832" w:rsidP="00CC1832">
      <w:pPr>
        <w:pStyle w:val="level1"/>
        <w:numPr>
          <w:ilvl w:val="0"/>
          <w:numId w:val="0"/>
        </w:numPr>
        <w:spacing w:after="480" w:line="360" w:lineRule="auto"/>
        <w:jc w:val="both"/>
        <w:rPr>
          <w:lang w:val="en-US"/>
        </w:rPr>
      </w:pPr>
      <w:r>
        <w:rPr>
          <w:lang w:val="en-US"/>
        </w:rPr>
        <w:t>[22]</w:t>
      </w:r>
      <w:r>
        <w:rPr>
          <w:lang w:val="en-US"/>
        </w:rPr>
        <w:tab/>
      </w:r>
      <w:r w:rsidR="00E74AC0">
        <w:rPr>
          <w:lang w:val="en-US"/>
        </w:rPr>
        <w:t>Considering the wording of the suretyships</w:t>
      </w:r>
      <w:r w:rsidR="00107CA0">
        <w:rPr>
          <w:lang w:val="en-US"/>
        </w:rPr>
        <w:t xml:space="preserve">, the rights of the plaintiff to proceed against the defendant in respect of any amount that </w:t>
      </w:r>
      <w:r w:rsidR="00C70847">
        <w:rPr>
          <w:lang w:val="en-US"/>
        </w:rPr>
        <w:t>he</w:t>
      </w:r>
      <w:r w:rsidR="00107CA0">
        <w:rPr>
          <w:lang w:val="en-US"/>
        </w:rPr>
        <w:t xml:space="preserve"> is obliged to pay the </w:t>
      </w:r>
      <w:r w:rsidR="00C70847">
        <w:rPr>
          <w:lang w:val="en-US"/>
        </w:rPr>
        <w:t>plaintiff</w:t>
      </w:r>
      <w:r w:rsidR="00107CA0">
        <w:rPr>
          <w:lang w:val="en-US"/>
        </w:rPr>
        <w:t xml:space="preserve"> were </w:t>
      </w:r>
      <w:r w:rsidR="00E74AC0">
        <w:rPr>
          <w:lang w:val="en-US"/>
        </w:rPr>
        <w:t xml:space="preserve">in the present instance </w:t>
      </w:r>
      <w:r w:rsidR="00107CA0">
        <w:rPr>
          <w:lang w:val="en-US"/>
        </w:rPr>
        <w:t>expressly preserved.</w:t>
      </w:r>
      <w:r w:rsidR="00107CA0">
        <w:rPr>
          <w:rStyle w:val="FootnoteReference"/>
          <w:lang w:val="en-US"/>
        </w:rPr>
        <w:footnoteReference w:id="8"/>
      </w:r>
      <w:r w:rsidR="00107CA0">
        <w:rPr>
          <w:lang w:val="en-US"/>
        </w:rPr>
        <w:t xml:space="preserve"> </w:t>
      </w:r>
    </w:p>
    <w:p w14:paraId="0327FCE3" w14:textId="4D0F59F3" w:rsidR="005479AC" w:rsidRDefault="00CC1832" w:rsidP="00CC1832">
      <w:pPr>
        <w:pStyle w:val="level1"/>
        <w:numPr>
          <w:ilvl w:val="0"/>
          <w:numId w:val="0"/>
        </w:numPr>
        <w:spacing w:after="480" w:line="360" w:lineRule="auto"/>
        <w:jc w:val="both"/>
        <w:rPr>
          <w:lang w:val="en-US"/>
        </w:rPr>
      </w:pPr>
      <w:r>
        <w:rPr>
          <w:lang w:val="en-US"/>
        </w:rPr>
        <w:t>[23]</w:t>
      </w:r>
      <w:r>
        <w:rPr>
          <w:lang w:val="en-US"/>
        </w:rPr>
        <w:tab/>
      </w:r>
      <w:r w:rsidR="003C686A">
        <w:rPr>
          <w:lang w:val="en-US"/>
        </w:rPr>
        <w:t>Moreover, c</w:t>
      </w:r>
      <w:r w:rsidR="005479AC">
        <w:rPr>
          <w:lang w:val="en-US"/>
        </w:rPr>
        <w:t xml:space="preserve">lause 5.6.2 of the sale purchase agreement, </w:t>
      </w:r>
      <w:r w:rsidR="003C686A">
        <w:rPr>
          <w:lang w:val="en-US"/>
        </w:rPr>
        <w:t xml:space="preserve">expressly </w:t>
      </w:r>
      <w:r w:rsidR="005479AC">
        <w:rPr>
          <w:lang w:val="en-US"/>
        </w:rPr>
        <w:t>provides as follows:</w:t>
      </w:r>
    </w:p>
    <w:p w14:paraId="296E32B4" w14:textId="55896144" w:rsidR="005479AC" w:rsidRPr="003C686A" w:rsidRDefault="005F7459" w:rsidP="003C686A">
      <w:pPr>
        <w:pStyle w:val="level1"/>
        <w:numPr>
          <w:ilvl w:val="0"/>
          <w:numId w:val="0"/>
        </w:numPr>
        <w:spacing w:after="480" w:line="360" w:lineRule="auto"/>
        <w:ind w:left="360"/>
        <w:jc w:val="both"/>
        <w:rPr>
          <w:i/>
          <w:sz w:val="20"/>
          <w:szCs w:val="20"/>
          <w:lang w:val="en-US"/>
        </w:rPr>
      </w:pPr>
      <w:r w:rsidRPr="003C686A">
        <w:rPr>
          <w:i/>
          <w:sz w:val="20"/>
          <w:szCs w:val="20"/>
          <w:lang w:val="en-US"/>
        </w:rPr>
        <w:t>“the</w:t>
      </w:r>
      <w:r w:rsidR="001B0AA5" w:rsidRPr="003C686A">
        <w:rPr>
          <w:i/>
          <w:sz w:val="20"/>
          <w:szCs w:val="20"/>
          <w:lang w:val="en-US"/>
        </w:rPr>
        <w:t xml:space="preserve"> cession of the Agterskot Amount is without prejudice to the rights of the Company’s to recover the balance of the Arrears for the tenants and sureties under the Lease Agreements”.</w:t>
      </w:r>
    </w:p>
    <w:p w14:paraId="2B07D974" w14:textId="02F35BA4" w:rsidR="00AC7E50" w:rsidRPr="003C686A" w:rsidRDefault="00CC1832" w:rsidP="00CC1832">
      <w:pPr>
        <w:pStyle w:val="level1"/>
        <w:numPr>
          <w:ilvl w:val="0"/>
          <w:numId w:val="0"/>
        </w:numPr>
        <w:spacing w:after="480" w:line="360" w:lineRule="auto"/>
        <w:jc w:val="both"/>
        <w:rPr>
          <w:lang w:val="en-US"/>
        </w:rPr>
      </w:pPr>
      <w:r w:rsidRPr="003C686A">
        <w:rPr>
          <w:lang w:val="en-US"/>
        </w:rPr>
        <w:t>[24]</w:t>
      </w:r>
      <w:r w:rsidRPr="003C686A">
        <w:rPr>
          <w:lang w:val="en-US"/>
        </w:rPr>
        <w:tab/>
      </w:r>
      <w:r w:rsidR="001B0AA5" w:rsidRPr="003C686A">
        <w:rPr>
          <w:lang w:val="en-US"/>
        </w:rPr>
        <w:t>Th</w:t>
      </w:r>
      <w:r w:rsidR="00C70847">
        <w:rPr>
          <w:lang w:val="en-US"/>
        </w:rPr>
        <w:t>is</w:t>
      </w:r>
      <w:r w:rsidR="001B0AA5" w:rsidRPr="003C686A">
        <w:rPr>
          <w:lang w:val="en-US"/>
        </w:rPr>
        <w:t xml:space="preserve"> clause makes it clear that the plaintiff retained the right to proceed against Sovereign and Nungu as well as the sureties</w:t>
      </w:r>
      <w:r w:rsidR="00CA3455">
        <w:rPr>
          <w:lang w:val="en-US"/>
        </w:rPr>
        <w:t>,</w:t>
      </w:r>
      <w:r w:rsidR="003C686A">
        <w:rPr>
          <w:rStyle w:val="FootnoteReference"/>
          <w:lang w:val="en-US"/>
        </w:rPr>
        <w:footnoteReference w:id="9"/>
      </w:r>
      <w:r w:rsidR="001B0AA5" w:rsidRPr="003C686A">
        <w:rPr>
          <w:lang w:val="en-US"/>
        </w:rPr>
        <w:t xml:space="preserve"> irrespective of SNP’s cession of the </w:t>
      </w:r>
      <w:r w:rsidR="002358D1">
        <w:rPr>
          <w:lang w:val="en-US"/>
        </w:rPr>
        <w:t>a</w:t>
      </w:r>
      <w:r w:rsidR="001B0AA5" w:rsidRPr="003C686A">
        <w:rPr>
          <w:lang w:val="en-US"/>
        </w:rPr>
        <w:t>gterskot amount</w:t>
      </w:r>
      <w:r w:rsidR="003C686A" w:rsidRPr="003C686A">
        <w:rPr>
          <w:lang w:val="en-US"/>
        </w:rPr>
        <w:t xml:space="preserve"> and the agreement reached in the share purchase agreement.</w:t>
      </w:r>
      <w:r w:rsidR="003C686A">
        <w:rPr>
          <w:lang w:val="en-US"/>
        </w:rPr>
        <w:t xml:space="preserve"> </w:t>
      </w:r>
      <w:r w:rsidR="00AC7E50" w:rsidRPr="003C686A">
        <w:rPr>
          <w:lang w:val="en-US"/>
        </w:rPr>
        <w:t xml:space="preserve">There </w:t>
      </w:r>
      <w:r w:rsidR="003C686A">
        <w:rPr>
          <w:lang w:val="en-US"/>
        </w:rPr>
        <w:t>i</w:t>
      </w:r>
      <w:r w:rsidR="00AC7E50" w:rsidRPr="003C686A">
        <w:rPr>
          <w:lang w:val="en-US"/>
        </w:rPr>
        <w:t xml:space="preserve">s no indication that the plaintiff, in concluding the </w:t>
      </w:r>
      <w:r w:rsidR="003C686A" w:rsidRPr="003C686A">
        <w:rPr>
          <w:lang w:val="en-US"/>
        </w:rPr>
        <w:t xml:space="preserve">share purchase </w:t>
      </w:r>
      <w:r w:rsidR="00AC7E50" w:rsidRPr="003C686A">
        <w:rPr>
          <w:lang w:val="en-US"/>
        </w:rPr>
        <w:t>agreement</w:t>
      </w:r>
      <w:r w:rsidR="00C70847">
        <w:rPr>
          <w:lang w:val="en-US"/>
        </w:rPr>
        <w:t>,</w:t>
      </w:r>
      <w:r w:rsidR="00AC7E50" w:rsidRPr="003C686A">
        <w:rPr>
          <w:lang w:val="en-US"/>
        </w:rPr>
        <w:t xml:space="preserve"> abandoned its other remedies. </w:t>
      </w:r>
    </w:p>
    <w:p w14:paraId="749D8519" w14:textId="7CFFF8A9" w:rsidR="00557D37" w:rsidRDefault="00CC1832" w:rsidP="00CC1832">
      <w:pPr>
        <w:pStyle w:val="level1"/>
        <w:numPr>
          <w:ilvl w:val="0"/>
          <w:numId w:val="0"/>
        </w:numPr>
        <w:spacing w:after="480" w:line="360" w:lineRule="auto"/>
        <w:jc w:val="both"/>
        <w:rPr>
          <w:lang w:val="en-US"/>
        </w:rPr>
      </w:pPr>
      <w:r>
        <w:rPr>
          <w:lang w:val="en-US"/>
        </w:rPr>
        <w:t>[25]</w:t>
      </w:r>
      <w:r>
        <w:rPr>
          <w:lang w:val="en-US"/>
        </w:rPr>
        <w:tab/>
      </w:r>
      <w:r w:rsidR="00E30922">
        <w:rPr>
          <w:lang w:val="en-US"/>
        </w:rPr>
        <w:t xml:space="preserve">The case advanced by the defendant further disregards the distinct rights of the various parties. Under the </w:t>
      </w:r>
      <w:r w:rsidR="00E74AC0">
        <w:rPr>
          <w:lang w:val="en-US"/>
        </w:rPr>
        <w:t>sale purchase agreement</w:t>
      </w:r>
      <w:r w:rsidR="00E30922">
        <w:rPr>
          <w:lang w:val="en-US"/>
        </w:rPr>
        <w:t xml:space="preserve">, only the rights and liabilities of Atterbury, K2012, </w:t>
      </w:r>
      <w:r w:rsidR="00C70847">
        <w:rPr>
          <w:lang w:val="en-US"/>
        </w:rPr>
        <w:t>the plaintiff</w:t>
      </w:r>
      <w:r w:rsidR="00E30922">
        <w:rPr>
          <w:lang w:val="en-US"/>
        </w:rPr>
        <w:t xml:space="preserve"> and SNP could be altered pursuant to th</w:t>
      </w:r>
      <w:r w:rsidR="00E74AC0">
        <w:rPr>
          <w:lang w:val="en-US"/>
        </w:rPr>
        <w:t>at</w:t>
      </w:r>
      <w:r w:rsidR="00E30922">
        <w:rPr>
          <w:lang w:val="en-US"/>
        </w:rPr>
        <w:t xml:space="preserve"> contract. Neither Sovereign nor Nungu obtained any rights or benefits pursuant to the </w:t>
      </w:r>
      <w:r w:rsidR="00E74AC0">
        <w:rPr>
          <w:lang w:val="en-US"/>
        </w:rPr>
        <w:t>sale purchase agreement</w:t>
      </w:r>
      <w:r w:rsidR="00E30922">
        <w:rPr>
          <w:lang w:val="en-US"/>
        </w:rPr>
        <w:t xml:space="preserve"> and are</w:t>
      </w:r>
      <w:r w:rsidR="00E74AC0">
        <w:rPr>
          <w:lang w:val="en-US"/>
        </w:rPr>
        <w:t>,</w:t>
      </w:r>
      <w:r w:rsidR="00E30922">
        <w:rPr>
          <w:lang w:val="en-US"/>
        </w:rPr>
        <w:t xml:space="preserve"> as distinct legal persons, not party to the </w:t>
      </w:r>
      <w:r w:rsidR="00E74AC0">
        <w:rPr>
          <w:lang w:val="en-US"/>
        </w:rPr>
        <w:t>sale purchase agreement</w:t>
      </w:r>
      <w:r w:rsidR="00E30922">
        <w:rPr>
          <w:lang w:val="en-US"/>
        </w:rPr>
        <w:t xml:space="preserve">. </w:t>
      </w:r>
      <w:r w:rsidR="00E74AC0">
        <w:rPr>
          <w:lang w:val="en-US"/>
        </w:rPr>
        <w:t>As</w:t>
      </w:r>
      <w:r w:rsidR="00E30922">
        <w:rPr>
          <w:lang w:val="en-US"/>
        </w:rPr>
        <w:t xml:space="preserve"> stated, </w:t>
      </w:r>
      <w:r w:rsidR="00E74AC0">
        <w:rPr>
          <w:lang w:val="en-US"/>
        </w:rPr>
        <w:t xml:space="preserve">neither is </w:t>
      </w:r>
      <w:r w:rsidR="00E30922">
        <w:rPr>
          <w:lang w:val="en-US"/>
        </w:rPr>
        <w:t>the defendant in his personal capacity</w:t>
      </w:r>
      <w:r w:rsidR="002358D1">
        <w:rPr>
          <w:lang w:val="en-US"/>
        </w:rPr>
        <w:t>. Neither the defendant nor the lessees</w:t>
      </w:r>
      <w:r w:rsidR="00E30922">
        <w:rPr>
          <w:lang w:val="en-US"/>
        </w:rPr>
        <w:t xml:space="preserve"> obtain</w:t>
      </w:r>
      <w:r w:rsidR="002358D1">
        <w:rPr>
          <w:lang w:val="en-US"/>
        </w:rPr>
        <w:t>ed</w:t>
      </w:r>
      <w:r w:rsidR="00E30922">
        <w:rPr>
          <w:lang w:val="en-US"/>
        </w:rPr>
        <w:t xml:space="preserve"> any rights or benefits pursuant thereto. Whatever rights and benefits </w:t>
      </w:r>
      <w:r w:rsidR="00E30922">
        <w:rPr>
          <w:lang w:val="en-US"/>
        </w:rPr>
        <w:lastRenderedPageBreak/>
        <w:t>that may have been conferred upon S</w:t>
      </w:r>
      <w:r w:rsidR="002358D1">
        <w:rPr>
          <w:lang w:val="en-US"/>
        </w:rPr>
        <w:t>N</w:t>
      </w:r>
      <w:r w:rsidR="00E30922">
        <w:rPr>
          <w:lang w:val="en-US"/>
        </w:rPr>
        <w:t xml:space="preserve">P do not accrue to the defendant in his personal capacity. </w:t>
      </w:r>
    </w:p>
    <w:p w14:paraId="6C10D82B" w14:textId="56B1C5D9" w:rsidR="002358D1" w:rsidRDefault="00CC1832" w:rsidP="00CC1832">
      <w:pPr>
        <w:pStyle w:val="level1"/>
        <w:numPr>
          <w:ilvl w:val="0"/>
          <w:numId w:val="0"/>
        </w:numPr>
        <w:spacing w:after="480" w:line="360" w:lineRule="auto"/>
        <w:jc w:val="both"/>
        <w:rPr>
          <w:lang w:val="en-US"/>
        </w:rPr>
      </w:pPr>
      <w:r>
        <w:rPr>
          <w:lang w:val="en-US"/>
        </w:rPr>
        <w:t>[26]</w:t>
      </w:r>
      <w:r>
        <w:rPr>
          <w:lang w:val="en-US"/>
        </w:rPr>
        <w:tab/>
      </w:r>
      <w:r w:rsidR="002358D1">
        <w:rPr>
          <w:lang w:val="en-US"/>
        </w:rPr>
        <w:t>The share purchase agreement is a distinct and separate agreement which is independent of the lease and suretyship agreements and is not a contractually compliant novation or variation of the lease agreements or the suretyships.</w:t>
      </w:r>
    </w:p>
    <w:p w14:paraId="704ED737" w14:textId="7CDA1DAF" w:rsidR="002358D1" w:rsidRDefault="00CC1832" w:rsidP="00CC1832">
      <w:pPr>
        <w:pStyle w:val="level1"/>
        <w:numPr>
          <w:ilvl w:val="0"/>
          <w:numId w:val="0"/>
        </w:numPr>
        <w:spacing w:after="480" w:line="360" w:lineRule="auto"/>
        <w:jc w:val="both"/>
        <w:rPr>
          <w:lang w:val="en-US"/>
        </w:rPr>
      </w:pPr>
      <w:r>
        <w:rPr>
          <w:lang w:val="en-US"/>
        </w:rPr>
        <w:t>[27]</w:t>
      </w:r>
      <w:r>
        <w:rPr>
          <w:lang w:val="en-US"/>
        </w:rPr>
        <w:tab/>
      </w:r>
      <w:r w:rsidR="002358D1">
        <w:rPr>
          <w:lang w:val="en-US"/>
        </w:rPr>
        <w:t xml:space="preserve">Moreover, the express terms of the sale purchase agreement provide that the very transaction relied on by the defendant and contemplated by the share purchase agreement is without prejudice to the plaintiff’s rights to recover the balance of the arrears from Nungu and Sovereign and from the sureties under the lease agreements. </w:t>
      </w:r>
    </w:p>
    <w:p w14:paraId="5EC09FBF" w14:textId="64506FB3" w:rsidR="00787EE9" w:rsidRDefault="00CC1832" w:rsidP="00CC1832">
      <w:pPr>
        <w:pStyle w:val="level1"/>
        <w:numPr>
          <w:ilvl w:val="0"/>
          <w:numId w:val="0"/>
        </w:numPr>
        <w:spacing w:after="480" w:line="360" w:lineRule="auto"/>
        <w:jc w:val="both"/>
        <w:rPr>
          <w:lang w:val="en-US"/>
        </w:rPr>
      </w:pPr>
      <w:r>
        <w:rPr>
          <w:lang w:val="en-US"/>
        </w:rPr>
        <w:t>[28]</w:t>
      </w:r>
      <w:r>
        <w:rPr>
          <w:lang w:val="en-US"/>
        </w:rPr>
        <w:tab/>
      </w:r>
      <w:r w:rsidR="002358D1">
        <w:rPr>
          <w:lang w:val="en-US"/>
        </w:rPr>
        <w:t>For these reasons, the defendant’s reliance on the sale purchase agreement is misconceived</w:t>
      </w:r>
      <w:r w:rsidR="00C70847">
        <w:rPr>
          <w:lang w:val="en-US"/>
        </w:rPr>
        <w:t>. Th</w:t>
      </w:r>
      <w:r w:rsidR="006A7A79">
        <w:rPr>
          <w:lang w:val="en-US"/>
        </w:rPr>
        <w:t>at agreement</w:t>
      </w:r>
      <w:r w:rsidR="00787EE9">
        <w:rPr>
          <w:lang w:val="en-US"/>
        </w:rPr>
        <w:t xml:space="preserve"> does not constitute a defence to the plaintiff’s claim</w:t>
      </w:r>
      <w:r w:rsidR="00C70847">
        <w:rPr>
          <w:lang w:val="en-US"/>
        </w:rPr>
        <w:t xml:space="preserve"> and</w:t>
      </w:r>
      <w:r w:rsidR="00787EE9">
        <w:rPr>
          <w:lang w:val="en-US"/>
        </w:rPr>
        <w:t xml:space="preserve"> is irrelevant to the present dispute. </w:t>
      </w:r>
    </w:p>
    <w:p w14:paraId="7AC846D0" w14:textId="247980D7" w:rsidR="002358D1" w:rsidRPr="00787EE9" w:rsidRDefault="00CC1832" w:rsidP="00CC1832">
      <w:pPr>
        <w:pStyle w:val="level1"/>
        <w:numPr>
          <w:ilvl w:val="0"/>
          <w:numId w:val="0"/>
        </w:numPr>
        <w:spacing w:after="480" w:line="360" w:lineRule="auto"/>
        <w:jc w:val="both"/>
        <w:rPr>
          <w:lang w:val="en-US"/>
        </w:rPr>
      </w:pPr>
      <w:r w:rsidRPr="00787EE9">
        <w:rPr>
          <w:lang w:val="en-US"/>
        </w:rPr>
        <w:t>[29]</w:t>
      </w:r>
      <w:r w:rsidRPr="00787EE9">
        <w:rPr>
          <w:lang w:val="en-US"/>
        </w:rPr>
        <w:tab/>
      </w:r>
      <w:r w:rsidR="002358D1" w:rsidRPr="00787EE9">
        <w:rPr>
          <w:lang w:val="en-US"/>
        </w:rPr>
        <w:t>There is a further reason.</w:t>
      </w:r>
      <w:r w:rsidR="00787EE9">
        <w:rPr>
          <w:lang w:val="en-US"/>
        </w:rPr>
        <w:t xml:space="preserve"> </w:t>
      </w:r>
      <w:r w:rsidR="002358D1" w:rsidRPr="00787EE9">
        <w:rPr>
          <w:lang w:val="en-US"/>
        </w:rPr>
        <w:t>The evidence established that n</w:t>
      </w:r>
      <w:r w:rsidR="00CC76D8" w:rsidRPr="00787EE9">
        <w:rPr>
          <w:lang w:val="en-US"/>
        </w:rPr>
        <w:t xml:space="preserve">o steps were taken to ensure compliance with clause 5 of the sale purchase agreement. </w:t>
      </w:r>
      <w:r w:rsidR="002358D1" w:rsidRPr="00787EE9">
        <w:rPr>
          <w:lang w:val="en-US"/>
        </w:rPr>
        <w:t>The defendant</w:t>
      </w:r>
      <w:r w:rsidR="00CC76D8" w:rsidRPr="00787EE9">
        <w:rPr>
          <w:lang w:val="en-US"/>
        </w:rPr>
        <w:t xml:space="preserve"> testified that he agreed to forego his own valuation but that </w:t>
      </w:r>
      <w:r w:rsidR="002358D1" w:rsidRPr="00787EE9">
        <w:rPr>
          <w:lang w:val="en-US"/>
        </w:rPr>
        <w:t>two</w:t>
      </w:r>
      <w:r w:rsidR="00CC76D8" w:rsidRPr="00787EE9">
        <w:rPr>
          <w:lang w:val="en-US"/>
        </w:rPr>
        <w:t xml:space="preserve"> valuations would be provided</w:t>
      </w:r>
      <w:r w:rsidR="00C70847">
        <w:rPr>
          <w:lang w:val="en-US"/>
        </w:rPr>
        <w:t>, which he contended were never provided, resulting in the NAV never being calculated</w:t>
      </w:r>
      <w:r w:rsidR="00CC76D8" w:rsidRPr="00787EE9">
        <w:rPr>
          <w:lang w:val="en-US"/>
        </w:rPr>
        <w:t xml:space="preserve">. </w:t>
      </w:r>
    </w:p>
    <w:p w14:paraId="30CAC207" w14:textId="4B234E23" w:rsidR="00CC76D8" w:rsidRDefault="00CC1832" w:rsidP="00CC1832">
      <w:pPr>
        <w:pStyle w:val="level1"/>
        <w:numPr>
          <w:ilvl w:val="0"/>
          <w:numId w:val="0"/>
        </w:numPr>
        <w:spacing w:after="480" w:line="360" w:lineRule="auto"/>
        <w:jc w:val="both"/>
        <w:rPr>
          <w:lang w:val="en-US"/>
        </w:rPr>
      </w:pPr>
      <w:r>
        <w:rPr>
          <w:lang w:val="en-US"/>
        </w:rPr>
        <w:t>[30]</w:t>
      </w:r>
      <w:r>
        <w:rPr>
          <w:lang w:val="en-US"/>
        </w:rPr>
        <w:tab/>
      </w:r>
      <w:r w:rsidR="00CC76D8">
        <w:rPr>
          <w:lang w:val="en-US"/>
        </w:rPr>
        <w:t>I</w:t>
      </w:r>
      <w:r w:rsidR="00FE5C99">
        <w:rPr>
          <w:lang w:val="en-US"/>
        </w:rPr>
        <w:t>n</w:t>
      </w:r>
      <w:r w:rsidR="00CC76D8">
        <w:rPr>
          <w:lang w:val="en-US"/>
        </w:rPr>
        <w:t xml:space="preserve"> evidence</w:t>
      </w:r>
      <w:r w:rsidR="002358D1">
        <w:rPr>
          <w:lang w:val="en-US"/>
        </w:rPr>
        <w:t>,</w:t>
      </w:r>
      <w:r w:rsidR="00CC76D8">
        <w:rPr>
          <w:lang w:val="en-US"/>
        </w:rPr>
        <w:t xml:space="preserve"> </w:t>
      </w:r>
      <w:r w:rsidR="00333637">
        <w:rPr>
          <w:lang w:val="en-US"/>
        </w:rPr>
        <w:t xml:space="preserve">the </w:t>
      </w:r>
      <w:r w:rsidR="00CC76D8">
        <w:rPr>
          <w:lang w:val="en-US"/>
        </w:rPr>
        <w:t xml:space="preserve">plaintiff produced an evaluation </w:t>
      </w:r>
      <w:r w:rsidR="00333637">
        <w:rPr>
          <w:lang w:val="en-US"/>
        </w:rPr>
        <w:t>i</w:t>
      </w:r>
      <w:r w:rsidR="00CC76D8">
        <w:rPr>
          <w:lang w:val="en-US"/>
        </w:rPr>
        <w:t xml:space="preserve">n the form of the signed annual financial statements of the plaintiff for the year ending 30 June 2020. </w:t>
      </w:r>
      <w:r w:rsidR="00557D37">
        <w:rPr>
          <w:lang w:val="en-US"/>
        </w:rPr>
        <w:t>T</w:t>
      </w:r>
      <w:r w:rsidR="00DD7B5C">
        <w:rPr>
          <w:lang w:val="en-US"/>
        </w:rPr>
        <w:t>h</w:t>
      </w:r>
      <w:r w:rsidR="00CC76D8">
        <w:rPr>
          <w:lang w:val="en-US"/>
        </w:rPr>
        <w:t xml:space="preserve">ose </w:t>
      </w:r>
      <w:r w:rsidR="00C70847">
        <w:rPr>
          <w:lang w:val="en-US"/>
        </w:rPr>
        <w:t>statements are for the relevant period</w:t>
      </w:r>
      <w:r w:rsidR="00CC76D8">
        <w:rPr>
          <w:lang w:val="en-US"/>
        </w:rPr>
        <w:t xml:space="preserve"> applicable to the calculation of the </w:t>
      </w:r>
      <w:r w:rsidR="00C70847">
        <w:rPr>
          <w:lang w:val="en-US"/>
        </w:rPr>
        <w:t xml:space="preserve">plaintiff’s </w:t>
      </w:r>
      <w:r w:rsidR="00CC76D8">
        <w:rPr>
          <w:lang w:val="en-US"/>
        </w:rPr>
        <w:t>NAV.</w:t>
      </w:r>
    </w:p>
    <w:p w14:paraId="06B626A5" w14:textId="79304065" w:rsidR="009B1DFC" w:rsidRDefault="00CC1832" w:rsidP="00CC1832">
      <w:pPr>
        <w:pStyle w:val="level1"/>
        <w:numPr>
          <w:ilvl w:val="0"/>
          <w:numId w:val="0"/>
        </w:numPr>
        <w:spacing w:after="480" w:line="360" w:lineRule="auto"/>
        <w:jc w:val="both"/>
        <w:rPr>
          <w:lang w:val="en-US"/>
        </w:rPr>
      </w:pPr>
      <w:r>
        <w:rPr>
          <w:lang w:val="en-US"/>
        </w:rPr>
        <w:t>[31]</w:t>
      </w:r>
      <w:r>
        <w:rPr>
          <w:lang w:val="en-US"/>
        </w:rPr>
        <w:tab/>
      </w:r>
      <w:r w:rsidR="009B1DFC">
        <w:rPr>
          <w:lang w:val="en-US"/>
        </w:rPr>
        <w:t xml:space="preserve">The defendant did not object to the production of the financial statements which were presented as part of the application for default judgment and the affidavits utilised therein. </w:t>
      </w:r>
      <w:r w:rsidR="00C70847">
        <w:rPr>
          <w:lang w:val="en-US"/>
        </w:rPr>
        <w:t>Mr Hiemstra testified to the contents of those statements in evidence.</w:t>
      </w:r>
    </w:p>
    <w:p w14:paraId="364A39E3" w14:textId="14937D07" w:rsidR="00557D37" w:rsidRDefault="00CC1832" w:rsidP="00CC1832">
      <w:pPr>
        <w:pStyle w:val="level1"/>
        <w:numPr>
          <w:ilvl w:val="0"/>
          <w:numId w:val="0"/>
        </w:numPr>
        <w:spacing w:after="480" w:line="360" w:lineRule="auto"/>
        <w:jc w:val="both"/>
        <w:rPr>
          <w:lang w:val="en-US"/>
        </w:rPr>
      </w:pPr>
      <w:r>
        <w:rPr>
          <w:lang w:val="en-US"/>
        </w:rPr>
        <w:lastRenderedPageBreak/>
        <w:t>[32]</w:t>
      </w:r>
      <w:r>
        <w:rPr>
          <w:lang w:val="en-US"/>
        </w:rPr>
        <w:tab/>
      </w:r>
      <w:r w:rsidR="00CC76D8">
        <w:rPr>
          <w:lang w:val="en-US"/>
        </w:rPr>
        <w:t>Although disputing that the financial st</w:t>
      </w:r>
      <w:r w:rsidR="00EA37AC">
        <w:rPr>
          <w:lang w:val="en-US"/>
        </w:rPr>
        <w:t>a</w:t>
      </w:r>
      <w:r w:rsidR="00CC76D8">
        <w:rPr>
          <w:lang w:val="en-US"/>
        </w:rPr>
        <w:t xml:space="preserve">tements were independent, it was conceded that Deloitte was an independent party. The </w:t>
      </w:r>
      <w:r w:rsidR="00C70847">
        <w:rPr>
          <w:lang w:val="en-US"/>
        </w:rPr>
        <w:t xml:space="preserve">defendant’s </w:t>
      </w:r>
      <w:r w:rsidR="00CC76D8">
        <w:rPr>
          <w:lang w:val="en-US"/>
        </w:rPr>
        <w:t xml:space="preserve">argument was that as they were </w:t>
      </w:r>
      <w:r w:rsidR="00C70847">
        <w:rPr>
          <w:lang w:val="en-US"/>
        </w:rPr>
        <w:t xml:space="preserve">produced by </w:t>
      </w:r>
      <w:r w:rsidR="00CC76D8">
        <w:rPr>
          <w:lang w:val="en-US"/>
        </w:rPr>
        <w:t>the plaintiff’s auditors, they were not independent. I am not persuaded that that argument bears scrutiny</w:t>
      </w:r>
      <w:r w:rsidR="00333637">
        <w:rPr>
          <w:lang w:val="en-US"/>
        </w:rPr>
        <w:t xml:space="preserve"> and am satisfied that the financial statements constitutes cogent and satisfactory evidence</w:t>
      </w:r>
      <w:r w:rsidR="00CC76D8">
        <w:rPr>
          <w:lang w:val="en-US"/>
        </w:rPr>
        <w:t>.</w:t>
      </w:r>
    </w:p>
    <w:p w14:paraId="283CE474" w14:textId="0601F7FE" w:rsidR="00CC76D8" w:rsidRDefault="00CC1832" w:rsidP="00CC1832">
      <w:pPr>
        <w:pStyle w:val="level1"/>
        <w:numPr>
          <w:ilvl w:val="0"/>
          <w:numId w:val="0"/>
        </w:numPr>
        <w:spacing w:after="480" w:line="360" w:lineRule="auto"/>
        <w:jc w:val="both"/>
        <w:rPr>
          <w:lang w:val="en-US"/>
        </w:rPr>
      </w:pPr>
      <w:r>
        <w:rPr>
          <w:lang w:val="en-US"/>
        </w:rPr>
        <w:t>[33]</w:t>
      </w:r>
      <w:r>
        <w:rPr>
          <w:lang w:val="en-US"/>
        </w:rPr>
        <w:tab/>
      </w:r>
      <w:r w:rsidR="00557D37">
        <w:rPr>
          <w:lang w:val="en-US"/>
        </w:rPr>
        <w:t>T</w:t>
      </w:r>
      <w:r w:rsidR="00CC76D8">
        <w:rPr>
          <w:lang w:val="en-US"/>
        </w:rPr>
        <w:t xml:space="preserve">he said financial statements reveal that the </w:t>
      </w:r>
      <w:r w:rsidR="00333637">
        <w:rPr>
          <w:lang w:val="en-US"/>
        </w:rPr>
        <w:t xml:space="preserve">plaintiff’s </w:t>
      </w:r>
      <w:r w:rsidR="00CC76D8">
        <w:rPr>
          <w:lang w:val="en-US"/>
        </w:rPr>
        <w:t xml:space="preserve">Net Asset Value </w:t>
      </w:r>
      <w:r w:rsidR="00333637">
        <w:rPr>
          <w:lang w:val="en-US"/>
        </w:rPr>
        <w:t xml:space="preserve">at the relevant time </w:t>
      </w:r>
      <w:r w:rsidR="00CC76D8">
        <w:rPr>
          <w:lang w:val="en-US"/>
        </w:rPr>
        <w:t xml:space="preserve">was some </w:t>
      </w:r>
      <w:r w:rsidR="00333637">
        <w:rPr>
          <w:lang w:val="en-US"/>
        </w:rPr>
        <w:t xml:space="preserve">minus </w:t>
      </w:r>
      <w:r w:rsidR="00CC76D8">
        <w:rPr>
          <w:lang w:val="en-US"/>
        </w:rPr>
        <w:t>R80 million, being the difference between the plaintiff’s total asset value of R106</w:t>
      </w:r>
      <w:r w:rsidR="009B1DFC">
        <w:rPr>
          <w:lang w:val="en-US"/>
        </w:rPr>
        <w:t> 902 345</w:t>
      </w:r>
      <w:r w:rsidR="00CC76D8">
        <w:rPr>
          <w:lang w:val="en-US"/>
        </w:rPr>
        <w:t xml:space="preserve"> less its total liabilities of R186</w:t>
      </w:r>
      <w:r w:rsidR="009B1DFC">
        <w:rPr>
          <w:lang w:val="en-US"/>
        </w:rPr>
        <w:t> 781 356</w:t>
      </w:r>
      <w:r w:rsidR="00CC76D8">
        <w:rPr>
          <w:lang w:val="en-US"/>
        </w:rPr>
        <w:t>.</w:t>
      </w:r>
      <w:r w:rsidR="00EA37AC">
        <w:rPr>
          <w:lang w:val="en-US"/>
        </w:rPr>
        <w:t xml:space="preserve"> Of relevance to the present proceedings is that this means that no agterskot amount would be payable, given that there was a negative asset value.</w:t>
      </w:r>
    </w:p>
    <w:p w14:paraId="2069FF66" w14:textId="191998A7" w:rsidR="007B2FC3" w:rsidRDefault="00CC1832" w:rsidP="00CC1832">
      <w:pPr>
        <w:pStyle w:val="level1"/>
        <w:numPr>
          <w:ilvl w:val="0"/>
          <w:numId w:val="0"/>
        </w:numPr>
        <w:spacing w:after="480" w:line="360" w:lineRule="auto"/>
        <w:jc w:val="both"/>
        <w:rPr>
          <w:lang w:val="en-US"/>
        </w:rPr>
      </w:pPr>
      <w:r>
        <w:rPr>
          <w:lang w:val="en-US"/>
        </w:rPr>
        <w:t>[34]</w:t>
      </w:r>
      <w:r>
        <w:rPr>
          <w:lang w:val="en-US"/>
        </w:rPr>
        <w:tab/>
      </w:r>
      <w:r w:rsidR="00CC76D8" w:rsidRPr="007B2FC3">
        <w:rPr>
          <w:lang w:val="en-US"/>
        </w:rPr>
        <w:t>In those circumstances, the defendant</w:t>
      </w:r>
      <w:r w:rsidR="00787EE9" w:rsidRPr="007B2FC3">
        <w:rPr>
          <w:lang w:val="en-US"/>
        </w:rPr>
        <w:t>’</w:t>
      </w:r>
      <w:r w:rsidR="00CC76D8" w:rsidRPr="007B2FC3">
        <w:rPr>
          <w:lang w:val="en-US"/>
        </w:rPr>
        <w:t xml:space="preserve"> c</w:t>
      </w:r>
      <w:r w:rsidR="00787EE9" w:rsidRPr="007B2FC3">
        <w:rPr>
          <w:lang w:val="en-US"/>
        </w:rPr>
        <w:t>ontention</w:t>
      </w:r>
      <w:r w:rsidR="00CC76D8" w:rsidRPr="007B2FC3">
        <w:rPr>
          <w:lang w:val="en-US"/>
        </w:rPr>
        <w:t xml:space="preserve"> that the plaintiffs clai</w:t>
      </w:r>
      <w:r w:rsidR="00EA37AC" w:rsidRPr="007B2FC3">
        <w:rPr>
          <w:lang w:val="en-US"/>
        </w:rPr>
        <w:t>m</w:t>
      </w:r>
      <w:r w:rsidR="00CC76D8" w:rsidRPr="007B2FC3">
        <w:rPr>
          <w:lang w:val="en-US"/>
        </w:rPr>
        <w:t xml:space="preserve"> is premature </w:t>
      </w:r>
      <w:r w:rsidR="00C70847" w:rsidRPr="007B2FC3">
        <w:rPr>
          <w:lang w:val="en-US"/>
        </w:rPr>
        <w:t xml:space="preserve">does </w:t>
      </w:r>
      <w:r w:rsidR="00CC76D8" w:rsidRPr="007B2FC3">
        <w:rPr>
          <w:lang w:val="en-US"/>
        </w:rPr>
        <w:t xml:space="preserve">not </w:t>
      </w:r>
      <w:r w:rsidR="00C70847" w:rsidRPr="007B2FC3">
        <w:rPr>
          <w:lang w:val="en-US"/>
        </w:rPr>
        <w:t>bear scrutiny</w:t>
      </w:r>
      <w:r w:rsidR="00CC76D8" w:rsidRPr="007B2FC3">
        <w:rPr>
          <w:lang w:val="en-US"/>
        </w:rPr>
        <w:t xml:space="preserve">. From the available </w:t>
      </w:r>
      <w:r w:rsidR="00C70847" w:rsidRPr="007B2FC3">
        <w:rPr>
          <w:lang w:val="en-US"/>
        </w:rPr>
        <w:t xml:space="preserve">undisputed </w:t>
      </w:r>
      <w:r w:rsidR="00CC76D8" w:rsidRPr="007B2FC3">
        <w:rPr>
          <w:lang w:val="en-US"/>
        </w:rPr>
        <w:t>evidence it is clear that the agterskot value was R</w:t>
      </w:r>
      <w:r w:rsidR="003F58E1">
        <w:rPr>
          <w:lang w:val="en-US"/>
        </w:rPr>
        <w:t xml:space="preserve"> </w:t>
      </w:r>
      <w:r w:rsidR="00CC76D8" w:rsidRPr="007B2FC3">
        <w:rPr>
          <w:lang w:val="en-US"/>
        </w:rPr>
        <w:t>nil.</w:t>
      </w:r>
      <w:r w:rsidR="007B2FC3">
        <w:rPr>
          <w:lang w:val="en-US"/>
        </w:rPr>
        <w:t xml:space="preserve"> </w:t>
      </w:r>
      <w:r w:rsidR="009B1DFC" w:rsidRPr="007B2FC3">
        <w:rPr>
          <w:lang w:val="en-US"/>
        </w:rPr>
        <w:t xml:space="preserve">The defendant’s contention as pleaded that the agterskot amount that was ceded to the applicant was sufficient and/or exceeded the arrears of both </w:t>
      </w:r>
      <w:r w:rsidR="007B2FC3">
        <w:rPr>
          <w:lang w:val="en-US"/>
        </w:rPr>
        <w:t>Sovereign</w:t>
      </w:r>
      <w:r w:rsidR="009B1DFC" w:rsidRPr="007B2FC3">
        <w:rPr>
          <w:lang w:val="en-US"/>
        </w:rPr>
        <w:t xml:space="preserve"> and </w:t>
      </w:r>
      <w:r w:rsidR="007B2FC3">
        <w:rPr>
          <w:lang w:val="en-US"/>
        </w:rPr>
        <w:t>Nungu</w:t>
      </w:r>
      <w:r w:rsidR="009B1DFC" w:rsidRPr="007B2FC3">
        <w:rPr>
          <w:lang w:val="en-US"/>
        </w:rPr>
        <w:t xml:space="preserve"> is thus not sustain</w:t>
      </w:r>
      <w:r w:rsidR="00C70847" w:rsidRPr="007B2FC3">
        <w:rPr>
          <w:lang w:val="en-US"/>
        </w:rPr>
        <w:t>ed by the evidence</w:t>
      </w:r>
      <w:r w:rsidR="007B2FC3">
        <w:rPr>
          <w:lang w:val="en-US"/>
        </w:rPr>
        <w:t xml:space="preserve"> and it is highly improbable, if not impossible, that</w:t>
      </w:r>
      <w:r w:rsidR="007B2FC3" w:rsidRPr="007B2FC3">
        <w:rPr>
          <w:lang w:val="en-US"/>
        </w:rPr>
        <w:t xml:space="preserve"> </w:t>
      </w:r>
      <w:r w:rsidR="007B2FC3">
        <w:rPr>
          <w:lang w:val="en-US"/>
        </w:rPr>
        <w:t xml:space="preserve">the agterskot amount would have been sufficient to extinguish or reduce the debts owed to the plaintiff. </w:t>
      </w:r>
    </w:p>
    <w:p w14:paraId="01C349E1" w14:textId="237D4DAD" w:rsidR="00CC76D8" w:rsidRPr="007B2FC3" w:rsidRDefault="00CC1832" w:rsidP="00CC1832">
      <w:pPr>
        <w:pStyle w:val="level1"/>
        <w:numPr>
          <w:ilvl w:val="0"/>
          <w:numId w:val="0"/>
        </w:numPr>
        <w:spacing w:after="480" w:line="360" w:lineRule="auto"/>
        <w:jc w:val="both"/>
        <w:rPr>
          <w:lang w:val="en-US"/>
        </w:rPr>
      </w:pPr>
      <w:r w:rsidRPr="007B2FC3">
        <w:rPr>
          <w:lang w:val="en-US"/>
        </w:rPr>
        <w:t>[35]</w:t>
      </w:r>
      <w:r w:rsidRPr="007B2FC3">
        <w:rPr>
          <w:lang w:val="en-US"/>
        </w:rPr>
        <w:tab/>
      </w:r>
      <w:r w:rsidR="007B2FC3">
        <w:rPr>
          <w:lang w:val="en-US"/>
        </w:rPr>
        <w:t>Any such payment would in any event have been a payment on behalf of SNP, and not the defendant in his personal capacity.</w:t>
      </w:r>
      <w:r w:rsidR="009B1DFC" w:rsidRPr="007B2FC3">
        <w:rPr>
          <w:lang w:val="en-US"/>
        </w:rPr>
        <w:t xml:space="preserve"> The defendant did not lead any evidence to controvert this case made out by the plaintiff. Thus even on the pleaded version of the defendant, the plaintiff would be entitled to recover the balance from either </w:t>
      </w:r>
      <w:r w:rsidR="007B2FC3">
        <w:rPr>
          <w:lang w:val="en-US"/>
        </w:rPr>
        <w:t>Sovereign, Nungu</w:t>
      </w:r>
      <w:r w:rsidR="009B1DFC" w:rsidRPr="007B2FC3">
        <w:rPr>
          <w:lang w:val="en-US"/>
        </w:rPr>
        <w:t xml:space="preserve"> or their sureties</w:t>
      </w:r>
      <w:r w:rsidR="007B2FC3">
        <w:rPr>
          <w:lang w:val="en-US"/>
        </w:rPr>
        <w:t>, including the defendant</w:t>
      </w:r>
      <w:r w:rsidR="009B1DFC" w:rsidRPr="007B2FC3">
        <w:rPr>
          <w:lang w:val="en-US"/>
        </w:rPr>
        <w:t>.</w:t>
      </w:r>
    </w:p>
    <w:p w14:paraId="7BD2144C" w14:textId="4134D933" w:rsidR="00557D37" w:rsidRPr="007B2FC3" w:rsidRDefault="00CC1832" w:rsidP="00CC1832">
      <w:pPr>
        <w:pStyle w:val="level1"/>
        <w:numPr>
          <w:ilvl w:val="0"/>
          <w:numId w:val="0"/>
        </w:numPr>
        <w:spacing w:after="480" w:line="360" w:lineRule="auto"/>
        <w:jc w:val="both"/>
        <w:rPr>
          <w:lang w:val="en-US"/>
        </w:rPr>
      </w:pPr>
      <w:r w:rsidRPr="007B2FC3">
        <w:rPr>
          <w:lang w:val="en-US"/>
        </w:rPr>
        <w:t>[36]</w:t>
      </w:r>
      <w:r w:rsidRPr="007B2FC3">
        <w:rPr>
          <w:lang w:val="en-US"/>
        </w:rPr>
        <w:tab/>
      </w:r>
      <w:r w:rsidR="00CC76D8" w:rsidRPr="007B2FC3">
        <w:rPr>
          <w:lang w:val="en-US"/>
        </w:rPr>
        <w:t xml:space="preserve">The undisputed evidence was further that no funds flowed to the plaintiff pursuant to the SNP cession in reduction of the debts of </w:t>
      </w:r>
      <w:r w:rsidR="007B2FC3" w:rsidRPr="007B2FC3">
        <w:rPr>
          <w:lang w:val="en-US"/>
        </w:rPr>
        <w:t xml:space="preserve">Sovereign </w:t>
      </w:r>
      <w:r w:rsidR="00CC76D8" w:rsidRPr="007B2FC3">
        <w:rPr>
          <w:lang w:val="en-US"/>
        </w:rPr>
        <w:t xml:space="preserve">and </w:t>
      </w:r>
      <w:r w:rsidR="007B2FC3" w:rsidRPr="007B2FC3">
        <w:rPr>
          <w:lang w:val="en-US"/>
        </w:rPr>
        <w:t>Nungu</w:t>
      </w:r>
      <w:r w:rsidR="00CC76D8" w:rsidRPr="007B2FC3">
        <w:rPr>
          <w:lang w:val="en-US"/>
        </w:rPr>
        <w:t xml:space="preserve"> and that the full amount remains owing. </w:t>
      </w:r>
      <w:r w:rsidR="007B2FC3" w:rsidRPr="007B2FC3">
        <w:rPr>
          <w:lang w:val="en-US"/>
        </w:rPr>
        <w:t xml:space="preserve">It was further undisputed that no payments were made to the plaintiff by either Atterbury, K2012 or SNP pursuant to the sale purchase agreement. </w:t>
      </w:r>
      <w:r w:rsidR="00772E4B">
        <w:rPr>
          <w:lang w:val="en-US"/>
        </w:rPr>
        <w:t>T</w:t>
      </w:r>
      <w:r w:rsidR="00CC76D8" w:rsidRPr="007B2FC3">
        <w:rPr>
          <w:lang w:val="en-US"/>
        </w:rPr>
        <w:t>he evidence of Mr Hiemstra on th</w:t>
      </w:r>
      <w:r w:rsidR="00AD6664" w:rsidRPr="007B2FC3">
        <w:rPr>
          <w:lang w:val="en-US"/>
        </w:rPr>
        <w:t>is</w:t>
      </w:r>
      <w:r w:rsidR="00CC76D8" w:rsidRPr="007B2FC3">
        <w:rPr>
          <w:lang w:val="en-US"/>
        </w:rPr>
        <w:t xml:space="preserve"> issue, was not challenged by Mr Nale.  </w:t>
      </w:r>
    </w:p>
    <w:p w14:paraId="20DCDE02" w14:textId="57FDDDDA" w:rsidR="009A00AE" w:rsidRPr="008667D0" w:rsidRDefault="00CC1832" w:rsidP="00CC1832">
      <w:pPr>
        <w:pStyle w:val="level1"/>
        <w:numPr>
          <w:ilvl w:val="0"/>
          <w:numId w:val="0"/>
        </w:numPr>
        <w:spacing w:after="480" w:line="360" w:lineRule="auto"/>
        <w:jc w:val="both"/>
        <w:rPr>
          <w:lang w:val="en-US"/>
        </w:rPr>
      </w:pPr>
      <w:r w:rsidRPr="008667D0">
        <w:rPr>
          <w:lang w:val="en-US"/>
        </w:rPr>
        <w:lastRenderedPageBreak/>
        <w:t>[37]</w:t>
      </w:r>
      <w:r w:rsidRPr="008667D0">
        <w:rPr>
          <w:lang w:val="en-US"/>
        </w:rPr>
        <w:tab/>
      </w:r>
      <w:r w:rsidR="00787EE9">
        <w:rPr>
          <w:lang w:val="en-US"/>
        </w:rPr>
        <w:t>Thus, n</w:t>
      </w:r>
      <w:r w:rsidR="008667D0" w:rsidRPr="008667D0">
        <w:rPr>
          <w:lang w:val="en-US"/>
        </w:rPr>
        <w:t xml:space="preserve">ot only the existence of the </w:t>
      </w:r>
      <w:r w:rsidR="00787EE9">
        <w:rPr>
          <w:lang w:val="en-US"/>
        </w:rPr>
        <w:t>sale purchase agreement</w:t>
      </w:r>
      <w:r w:rsidR="008667D0" w:rsidRPr="008667D0">
        <w:rPr>
          <w:lang w:val="en-US"/>
        </w:rPr>
        <w:t>, but also its effect and consequences do not avail the defendant and do not constitute a defence to the plaintiff’s claim.</w:t>
      </w:r>
      <w:r w:rsidR="008667D0">
        <w:rPr>
          <w:lang w:val="en-US"/>
        </w:rPr>
        <w:t xml:space="preserve"> </w:t>
      </w:r>
      <w:r w:rsidR="008667D0" w:rsidRPr="008667D0">
        <w:rPr>
          <w:lang w:val="en-US"/>
        </w:rPr>
        <w:t>Th</w:t>
      </w:r>
      <w:r w:rsidR="00AD6664" w:rsidRPr="008667D0">
        <w:rPr>
          <w:lang w:val="en-US"/>
        </w:rPr>
        <w:t>e defendant has thus not proved his defence</w:t>
      </w:r>
      <w:r w:rsidR="008667D0">
        <w:rPr>
          <w:lang w:val="en-US"/>
        </w:rPr>
        <w:t xml:space="preserve"> and has not discharged his onus on the issue</w:t>
      </w:r>
      <w:r w:rsidR="00AD6664" w:rsidRPr="008667D0">
        <w:rPr>
          <w:lang w:val="en-US"/>
        </w:rPr>
        <w:t xml:space="preserve">. </w:t>
      </w:r>
    </w:p>
    <w:p w14:paraId="7C4DA87F" w14:textId="53073EB7" w:rsidR="00797693" w:rsidRDefault="00CC1832" w:rsidP="00CC1832">
      <w:pPr>
        <w:pStyle w:val="level1"/>
        <w:numPr>
          <w:ilvl w:val="0"/>
          <w:numId w:val="0"/>
        </w:numPr>
        <w:spacing w:after="480" w:line="360" w:lineRule="auto"/>
        <w:jc w:val="both"/>
        <w:rPr>
          <w:lang w:val="en-US"/>
        </w:rPr>
      </w:pPr>
      <w:r>
        <w:rPr>
          <w:lang w:val="en-US"/>
        </w:rPr>
        <w:t>[38]</w:t>
      </w:r>
      <w:r>
        <w:rPr>
          <w:lang w:val="en-US"/>
        </w:rPr>
        <w:tab/>
      </w:r>
      <w:r w:rsidR="00797693">
        <w:rPr>
          <w:lang w:val="en-US"/>
        </w:rPr>
        <w:t>In evidence</w:t>
      </w:r>
      <w:r w:rsidR="007B2FC3">
        <w:rPr>
          <w:lang w:val="en-US"/>
        </w:rPr>
        <w:t>,</w:t>
      </w:r>
      <w:r w:rsidR="00797693">
        <w:rPr>
          <w:lang w:val="en-US"/>
        </w:rPr>
        <w:t xml:space="preserve"> the defendant further conceded that: (i) he is a surety contemplated by clause 5.6.2 of the sale purchase agreement; (ii) the arrears contemplated by clause 5.6.2 of the sale purchase agreement referred to</w:t>
      </w:r>
      <w:r w:rsidR="007B2FC3">
        <w:rPr>
          <w:lang w:val="en-US"/>
        </w:rPr>
        <w:t xml:space="preserve"> in</w:t>
      </w:r>
      <w:r w:rsidR="00797693">
        <w:rPr>
          <w:lang w:val="en-US"/>
        </w:rPr>
        <w:t xml:space="preserve"> the amount of R86 245 525.56 </w:t>
      </w:r>
      <w:r w:rsidR="007B2FC3">
        <w:rPr>
          <w:lang w:val="en-US"/>
        </w:rPr>
        <w:t xml:space="preserve">is </w:t>
      </w:r>
      <w:r w:rsidR="00797693">
        <w:rPr>
          <w:lang w:val="en-US"/>
        </w:rPr>
        <w:t>admittedly due, owing and payable to the plaintiff by him and the lessees; (iii) that the plaintiff seeks to recover the arrears from him which is expressly permitted and the entitlement to do so is expressly recognised and preserved for the plaintiff in terms of the sale purchase agreement.</w:t>
      </w:r>
    </w:p>
    <w:p w14:paraId="000CFB25" w14:textId="21C9BA92" w:rsidR="00557D37" w:rsidRPr="00AD6664" w:rsidRDefault="00CC1832" w:rsidP="00CC1832">
      <w:pPr>
        <w:pStyle w:val="level1"/>
        <w:numPr>
          <w:ilvl w:val="0"/>
          <w:numId w:val="0"/>
        </w:numPr>
        <w:spacing w:after="480" w:line="360" w:lineRule="auto"/>
        <w:jc w:val="both"/>
        <w:rPr>
          <w:lang w:val="en-US"/>
        </w:rPr>
      </w:pPr>
      <w:r w:rsidRPr="00AD6664">
        <w:rPr>
          <w:lang w:val="en-US"/>
        </w:rPr>
        <w:t>[39]</w:t>
      </w:r>
      <w:r w:rsidRPr="00AD6664">
        <w:rPr>
          <w:lang w:val="en-US"/>
        </w:rPr>
        <w:tab/>
      </w:r>
      <w:r w:rsidR="00797693">
        <w:rPr>
          <w:lang w:val="en-US"/>
        </w:rPr>
        <w:t>Considering all the facts, t</w:t>
      </w:r>
      <w:r w:rsidR="009A00AE">
        <w:rPr>
          <w:lang w:val="en-US"/>
        </w:rPr>
        <w:t>he plaintiff’s evidence established its entitlement to judgment in the amounts claimed</w:t>
      </w:r>
      <w:r w:rsidR="003F58E1">
        <w:rPr>
          <w:lang w:val="en-US"/>
        </w:rPr>
        <w:t>,</w:t>
      </w:r>
      <w:r w:rsidR="009A00AE">
        <w:rPr>
          <w:rStyle w:val="FootnoteReference"/>
          <w:lang w:val="en-US"/>
        </w:rPr>
        <w:footnoteReference w:id="10"/>
      </w:r>
      <w:r w:rsidR="009A00AE">
        <w:rPr>
          <w:lang w:val="en-US"/>
        </w:rPr>
        <w:t xml:space="preserve"> supported by the requisite certificate of balance which complies with clause 9 of the suretyships and clause 50 of the lease agreements. Ultimately, the defendant in evidence conceded that the amount due, owing payable and outstanding to the plaintiff by Nungu, Sovereign and himself is the amount of R86 245 525.56. </w:t>
      </w:r>
      <w:r w:rsidR="00EA37AC" w:rsidRPr="00AD6664">
        <w:rPr>
          <w:lang w:val="en-US"/>
        </w:rPr>
        <w:t>It follows that the plaintiff’s claim must succeed.</w:t>
      </w:r>
    </w:p>
    <w:p w14:paraId="1F8F4DCD" w14:textId="3EC5E1C1" w:rsidR="00557D37" w:rsidRDefault="00CC1832" w:rsidP="00CC1832">
      <w:pPr>
        <w:pStyle w:val="level1"/>
        <w:numPr>
          <w:ilvl w:val="0"/>
          <w:numId w:val="0"/>
        </w:numPr>
        <w:spacing w:after="480" w:line="360" w:lineRule="auto"/>
        <w:jc w:val="both"/>
        <w:rPr>
          <w:lang w:val="en-US"/>
        </w:rPr>
      </w:pPr>
      <w:r>
        <w:rPr>
          <w:lang w:val="en-US"/>
        </w:rPr>
        <w:t>[40]</w:t>
      </w:r>
      <w:r>
        <w:rPr>
          <w:lang w:val="en-US"/>
        </w:rPr>
        <w:tab/>
      </w:r>
      <w:r w:rsidR="00557D37">
        <w:rPr>
          <w:lang w:val="en-US"/>
        </w:rPr>
        <w:t>T</w:t>
      </w:r>
      <w:r w:rsidR="009E1AC2">
        <w:rPr>
          <w:lang w:val="en-US"/>
        </w:rPr>
        <w:t>here is no reason to deviate from the normal principle that costs follow the result. In terms of the deeds of suretyship, the plaintiff is entitled to costs on the scale as between attorney and client</w:t>
      </w:r>
      <w:r w:rsidR="00EA37AC">
        <w:rPr>
          <w:lang w:val="en-US"/>
        </w:rPr>
        <w:t>.</w:t>
      </w:r>
    </w:p>
    <w:p w14:paraId="0B208FB1" w14:textId="3A82961E" w:rsidR="009E1AC2" w:rsidRDefault="00CC1832" w:rsidP="00CC1832">
      <w:pPr>
        <w:pStyle w:val="level1"/>
        <w:numPr>
          <w:ilvl w:val="0"/>
          <w:numId w:val="0"/>
        </w:numPr>
        <w:spacing w:after="480" w:line="360" w:lineRule="auto"/>
        <w:jc w:val="both"/>
        <w:rPr>
          <w:lang w:val="en-US"/>
        </w:rPr>
      </w:pPr>
      <w:r>
        <w:rPr>
          <w:lang w:val="en-US"/>
        </w:rPr>
        <w:t>[41]</w:t>
      </w:r>
      <w:r>
        <w:rPr>
          <w:lang w:val="en-US"/>
        </w:rPr>
        <w:tab/>
      </w:r>
      <w:r w:rsidR="009E1AC2">
        <w:rPr>
          <w:lang w:val="en-US"/>
        </w:rPr>
        <w:t>In the result, I grant the following order:</w:t>
      </w:r>
    </w:p>
    <w:p w14:paraId="339B35D4" w14:textId="6176D2BF" w:rsidR="009E1AC2" w:rsidRDefault="009E1AC2" w:rsidP="00EA37AC">
      <w:pPr>
        <w:pStyle w:val="level1"/>
        <w:numPr>
          <w:ilvl w:val="0"/>
          <w:numId w:val="0"/>
        </w:numPr>
        <w:spacing w:after="480" w:line="360" w:lineRule="auto"/>
        <w:ind w:left="360"/>
        <w:jc w:val="both"/>
        <w:rPr>
          <w:lang w:val="en-US"/>
        </w:rPr>
      </w:pPr>
      <w:r>
        <w:rPr>
          <w:lang w:val="en-US"/>
        </w:rPr>
        <w:t>[1] Judgment is granted against the defendant for:</w:t>
      </w:r>
    </w:p>
    <w:p w14:paraId="3A2FF2B3" w14:textId="773BE868" w:rsidR="009E1AC2" w:rsidRDefault="00372EF8" w:rsidP="00372EF8">
      <w:pPr>
        <w:widowControl w:val="0"/>
        <w:autoSpaceDE w:val="0"/>
        <w:autoSpaceDN w:val="0"/>
        <w:adjustRightInd w:val="0"/>
        <w:spacing w:before="120" w:after="120" w:line="480" w:lineRule="auto"/>
        <w:ind w:firstLine="567"/>
        <w:jc w:val="both"/>
        <w:rPr>
          <w:rFonts w:eastAsiaTheme="minorEastAsia" w:cs="Arial"/>
        </w:rPr>
      </w:pPr>
      <w:r>
        <w:rPr>
          <w:rFonts w:cs="Arial"/>
          <w:lang w:val="en-GB"/>
        </w:rPr>
        <w:lastRenderedPageBreak/>
        <w:t>[</w:t>
      </w:r>
      <w:r w:rsidR="009E1AC2">
        <w:rPr>
          <w:rFonts w:cs="Arial"/>
          <w:lang w:val="en-GB"/>
        </w:rPr>
        <w:t xml:space="preserve">1.1] Payment of the amount of </w:t>
      </w:r>
      <w:r w:rsidR="009E1AC2" w:rsidRPr="00900C9B">
        <w:rPr>
          <w:rFonts w:cs="Arial"/>
          <w:lang w:val="en-GB"/>
        </w:rPr>
        <w:t>R86,245,525.56.</w:t>
      </w:r>
    </w:p>
    <w:p w14:paraId="5C7EA09B" w14:textId="5BC12700" w:rsidR="009E1AC2" w:rsidRDefault="00372EF8" w:rsidP="00372EF8">
      <w:pPr>
        <w:widowControl w:val="0"/>
        <w:autoSpaceDE w:val="0"/>
        <w:autoSpaceDN w:val="0"/>
        <w:adjustRightInd w:val="0"/>
        <w:spacing w:before="120" w:after="120" w:line="480" w:lineRule="auto"/>
        <w:ind w:left="567"/>
        <w:jc w:val="both"/>
        <w:rPr>
          <w:rFonts w:eastAsiaTheme="minorEastAsia" w:cs="Arial"/>
        </w:rPr>
      </w:pPr>
      <w:r>
        <w:rPr>
          <w:rFonts w:cs="Arial"/>
          <w:lang w:val="en-GB"/>
        </w:rPr>
        <w:t xml:space="preserve">[1. 2] Interest on the amount in [1.1] above </w:t>
      </w:r>
      <w:r w:rsidR="009E1AC2" w:rsidRPr="00900C9B">
        <w:rPr>
          <w:rFonts w:cs="Arial"/>
          <w:lang w:val="en-GB"/>
        </w:rPr>
        <w:t>at the prime rate quoted by Nedcor Bank Limited from time to time, plus 2% thereon</w:t>
      </w:r>
      <w:r w:rsidR="009E1AC2">
        <w:rPr>
          <w:rFonts w:cs="Arial"/>
          <w:lang w:val="en-GB"/>
        </w:rPr>
        <w:t xml:space="preserve">, from </w:t>
      </w:r>
      <w:r>
        <w:rPr>
          <w:rFonts w:cs="Arial"/>
          <w:lang w:val="en-GB"/>
        </w:rPr>
        <w:t xml:space="preserve">1 January 2024 </w:t>
      </w:r>
      <w:r w:rsidR="009E1AC2">
        <w:rPr>
          <w:rFonts w:cs="Arial"/>
          <w:lang w:val="en-GB"/>
        </w:rPr>
        <w:t>until date of final payment</w:t>
      </w:r>
      <w:r w:rsidR="009E1AC2" w:rsidRPr="00900C9B">
        <w:rPr>
          <w:rFonts w:cs="Arial"/>
          <w:lang w:val="en-GB"/>
        </w:rPr>
        <w:t>.</w:t>
      </w:r>
    </w:p>
    <w:p w14:paraId="00E44383" w14:textId="7F49EEDB" w:rsidR="009E1AC2" w:rsidRPr="00900C9B" w:rsidRDefault="00372EF8" w:rsidP="00372EF8">
      <w:pPr>
        <w:widowControl w:val="0"/>
        <w:autoSpaceDE w:val="0"/>
        <w:autoSpaceDN w:val="0"/>
        <w:adjustRightInd w:val="0"/>
        <w:spacing w:before="120" w:after="120" w:line="480" w:lineRule="auto"/>
        <w:ind w:left="567"/>
        <w:jc w:val="both"/>
        <w:rPr>
          <w:rFonts w:eastAsiaTheme="minorEastAsia" w:cs="Arial"/>
        </w:rPr>
      </w:pPr>
      <w:r>
        <w:rPr>
          <w:rFonts w:cs="Arial"/>
          <w:lang w:val="en-GB"/>
        </w:rPr>
        <w:t xml:space="preserve">[1.3] Costs of suit on the scale as between </w:t>
      </w:r>
      <w:r w:rsidR="009E1AC2" w:rsidRPr="00900C9B">
        <w:rPr>
          <w:rFonts w:cs="Arial"/>
          <w:lang w:val="en-GB"/>
        </w:rPr>
        <w:t>attorney and client.</w:t>
      </w:r>
    </w:p>
    <w:p w14:paraId="583ECDE3" w14:textId="77777777" w:rsidR="009E1AC2" w:rsidRDefault="009E1AC2" w:rsidP="00EA37AC">
      <w:pPr>
        <w:pStyle w:val="level1"/>
        <w:numPr>
          <w:ilvl w:val="0"/>
          <w:numId w:val="0"/>
        </w:numPr>
        <w:spacing w:after="480" w:line="360" w:lineRule="auto"/>
        <w:ind w:left="360"/>
        <w:jc w:val="both"/>
        <w:rPr>
          <w:lang w:val="en-US"/>
        </w:rPr>
      </w:pPr>
    </w:p>
    <w:p w14:paraId="45E689A3" w14:textId="3A518B51" w:rsidR="001E2697" w:rsidRPr="004A3B8E" w:rsidRDefault="001E2697" w:rsidP="00EA37AC">
      <w:pPr>
        <w:pStyle w:val="level1"/>
        <w:numPr>
          <w:ilvl w:val="0"/>
          <w:numId w:val="0"/>
        </w:numPr>
        <w:spacing w:after="480" w:line="360" w:lineRule="auto"/>
        <w:ind w:left="360"/>
        <w:jc w:val="both"/>
        <w:rPr>
          <w:lang w:val="en-US"/>
        </w:rPr>
      </w:pPr>
    </w:p>
    <w:p w14:paraId="383AFE0B" w14:textId="77777777" w:rsidR="001E2697" w:rsidRDefault="001E2697" w:rsidP="001E2697">
      <w:pPr>
        <w:spacing w:line="360" w:lineRule="auto"/>
        <w:ind w:left="2880" w:firstLine="720"/>
      </w:pPr>
      <w:r>
        <w:tab/>
        <w:t>_____________________________________</w:t>
      </w:r>
    </w:p>
    <w:p w14:paraId="4A30BEF1" w14:textId="77777777" w:rsidR="001E2697" w:rsidRDefault="001E2697" w:rsidP="001E2697">
      <w:pPr>
        <w:ind w:left="4395"/>
        <w:rPr>
          <w:b/>
        </w:rPr>
      </w:pPr>
      <w:r>
        <w:rPr>
          <w:b/>
        </w:rPr>
        <w:t>EF DIPPENAAR</w:t>
      </w:r>
      <w:r>
        <w:t xml:space="preserve">                        </w:t>
      </w:r>
    </w:p>
    <w:p w14:paraId="4B1A0050" w14:textId="77777777" w:rsidR="001E2697" w:rsidRPr="00FB1B0A" w:rsidRDefault="001E2697" w:rsidP="001E2697">
      <w:pPr>
        <w:ind w:left="4395"/>
        <w:rPr>
          <w:b/>
        </w:rPr>
      </w:pPr>
      <w:r>
        <w:rPr>
          <w:b/>
        </w:rPr>
        <w:t xml:space="preserve">JUDGE OF THE HIGH COURT </w:t>
      </w:r>
      <w:smartTag w:uri="urn:schemas-microsoft-com:office:smarttags" w:element="place">
        <w:smartTag w:uri="urn:schemas-microsoft-com:office:smarttags" w:element="City">
          <w:r>
            <w:rPr>
              <w:b/>
            </w:rPr>
            <w:t>JOHANNESBURG</w:t>
          </w:r>
        </w:smartTag>
      </w:smartTag>
    </w:p>
    <w:p w14:paraId="3F8AD1F5" w14:textId="77777777" w:rsidR="001E2697" w:rsidRDefault="001E2697" w:rsidP="001E2697">
      <w:pPr>
        <w:rPr>
          <w:b/>
          <w:u w:val="single"/>
        </w:rPr>
      </w:pPr>
    </w:p>
    <w:p w14:paraId="61375C0E" w14:textId="77777777" w:rsidR="00113EEB" w:rsidRDefault="00113EEB" w:rsidP="001E2697">
      <w:pPr>
        <w:rPr>
          <w:b/>
          <w:u w:val="single"/>
        </w:rPr>
      </w:pPr>
    </w:p>
    <w:p w14:paraId="25B18677" w14:textId="0DFDEB45" w:rsidR="001E2697" w:rsidRPr="008B170D" w:rsidRDefault="001E2697" w:rsidP="001E2697">
      <w:pPr>
        <w:rPr>
          <w:b/>
          <w:u w:val="single"/>
        </w:rPr>
      </w:pPr>
      <w:r w:rsidRPr="008B170D">
        <w:rPr>
          <w:b/>
          <w:u w:val="single"/>
        </w:rPr>
        <w:t xml:space="preserve">APPEARANCES </w:t>
      </w:r>
    </w:p>
    <w:p w14:paraId="268038BB" w14:textId="77777777" w:rsidR="001E2697" w:rsidRDefault="001E2697" w:rsidP="001E2697">
      <w:pPr>
        <w:pStyle w:val="ListParagraph"/>
        <w:spacing w:after="0" w:line="240" w:lineRule="auto"/>
        <w:ind w:left="0"/>
      </w:pPr>
    </w:p>
    <w:p w14:paraId="200D2BF0" w14:textId="22786837" w:rsidR="001E2697" w:rsidRDefault="001E2697" w:rsidP="001E2697">
      <w:r w:rsidRPr="008B170D">
        <w:rPr>
          <w:b/>
        </w:rPr>
        <w:t>DATE OF HEARING</w:t>
      </w:r>
      <w:r w:rsidRPr="008B170D">
        <w:rPr>
          <w:b/>
        </w:rPr>
        <w:tab/>
        <w:t xml:space="preserve"> </w:t>
      </w:r>
      <w:r w:rsidRPr="008B170D">
        <w:rPr>
          <w:b/>
        </w:rPr>
        <w:tab/>
      </w:r>
      <w:r w:rsidRPr="008B170D">
        <w:rPr>
          <w:b/>
        </w:rPr>
        <w:tab/>
        <w:t xml:space="preserve"> </w:t>
      </w:r>
      <w:r>
        <w:rPr>
          <w:b/>
        </w:rPr>
        <w:tab/>
      </w:r>
      <w:r w:rsidRPr="008B170D">
        <w:t>:</w:t>
      </w:r>
      <w:r w:rsidR="00A71A0F">
        <w:t xml:space="preserve"> </w:t>
      </w:r>
      <w:r w:rsidR="009325BE">
        <w:t xml:space="preserve">22, </w:t>
      </w:r>
      <w:r w:rsidR="00A71A0F">
        <w:t xml:space="preserve">23 </w:t>
      </w:r>
      <w:r w:rsidR="009325BE">
        <w:t xml:space="preserve">and 25 </w:t>
      </w:r>
      <w:r w:rsidR="00B976D8">
        <w:t>JANUARY 2024</w:t>
      </w:r>
    </w:p>
    <w:p w14:paraId="345B4D09" w14:textId="77777777" w:rsidR="001E2697" w:rsidRPr="008B170D" w:rsidRDefault="001E2697" w:rsidP="001E2697">
      <w:pPr>
        <w:rPr>
          <w:b/>
        </w:rPr>
      </w:pPr>
    </w:p>
    <w:p w14:paraId="2DA72A9D" w14:textId="6BB8A922" w:rsidR="001E2697" w:rsidRPr="008B170D" w:rsidRDefault="001E2697" w:rsidP="001E2697">
      <w:pPr>
        <w:rPr>
          <w:b/>
        </w:rPr>
      </w:pPr>
      <w:r w:rsidRPr="008B170D">
        <w:rPr>
          <w:b/>
        </w:rPr>
        <w:t xml:space="preserve">DATE OF JUDGMENT </w:t>
      </w:r>
      <w:r w:rsidRPr="008B170D">
        <w:rPr>
          <w:b/>
        </w:rPr>
        <w:tab/>
      </w:r>
      <w:r w:rsidRPr="008B170D">
        <w:rPr>
          <w:b/>
        </w:rPr>
        <w:tab/>
      </w:r>
      <w:r w:rsidRPr="008B170D">
        <w:rPr>
          <w:b/>
        </w:rPr>
        <w:tab/>
        <w:t xml:space="preserve"> </w:t>
      </w:r>
      <w:r>
        <w:rPr>
          <w:b/>
        </w:rPr>
        <w:tab/>
      </w:r>
      <w:r w:rsidRPr="008B170D">
        <w:t>:</w:t>
      </w:r>
      <w:r>
        <w:t xml:space="preserve"> </w:t>
      </w:r>
      <w:r w:rsidR="00787EE9">
        <w:t xml:space="preserve">21 </w:t>
      </w:r>
      <w:r w:rsidR="00EA37AC">
        <w:t>FEBRUA</w:t>
      </w:r>
      <w:r w:rsidR="00B976D8">
        <w:t>RY 2024</w:t>
      </w:r>
    </w:p>
    <w:p w14:paraId="011A826F" w14:textId="77777777" w:rsidR="001E2697" w:rsidRPr="008B170D" w:rsidRDefault="001E2697" w:rsidP="001E2697">
      <w:pPr>
        <w:rPr>
          <w:b/>
        </w:rPr>
      </w:pPr>
      <w:r w:rsidRPr="008B170D">
        <w:rPr>
          <w:b/>
        </w:rPr>
        <w:tab/>
      </w:r>
      <w:r w:rsidRPr="008B170D">
        <w:rPr>
          <w:b/>
        </w:rPr>
        <w:tab/>
      </w:r>
      <w:r w:rsidRPr="008B170D">
        <w:rPr>
          <w:b/>
        </w:rPr>
        <w:tab/>
      </w:r>
      <w:r w:rsidRPr="008B170D">
        <w:rPr>
          <w:b/>
        </w:rPr>
        <w:tab/>
      </w:r>
    </w:p>
    <w:p w14:paraId="0D42DA6F" w14:textId="0D69AFDB" w:rsidR="000604E8" w:rsidRDefault="009325BE" w:rsidP="00AC1337">
      <w:pPr>
        <w:pStyle w:val="ListParagraph"/>
        <w:spacing w:line="240" w:lineRule="auto"/>
        <w:ind w:left="0"/>
      </w:pPr>
      <w:r>
        <w:rPr>
          <w:b/>
        </w:rPr>
        <w:t>PLAINTIFF</w:t>
      </w:r>
      <w:r w:rsidR="001E2697">
        <w:rPr>
          <w:b/>
        </w:rPr>
        <w:t>’S COUNSEL</w:t>
      </w:r>
      <w:r w:rsidR="001E2697">
        <w:rPr>
          <w:b/>
        </w:rPr>
        <w:tab/>
      </w:r>
      <w:r w:rsidR="001E2697">
        <w:rPr>
          <w:b/>
        </w:rPr>
        <w:tab/>
      </w:r>
      <w:r w:rsidR="001E2697">
        <w:rPr>
          <w:b/>
        </w:rPr>
        <w:tab/>
      </w:r>
      <w:r w:rsidR="001E2697">
        <w:rPr>
          <w:b/>
        </w:rPr>
        <w:tab/>
      </w:r>
      <w:r w:rsidR="001E2697" w:rsidRPr="008B170D">
        <w:t>:</w:t>
      </w:r>
      <w:r w:rsidR="001E2697">
        <w:t xml:space="preserve">  </w:t>
      </w:r>
      <w:r w:rsidR="0039420D">
        <w:t>Adv</w:t>
      </w:r>
      <w:r w:rsidR="00A71A0F">
        <w:t xml:space="preserve">. P. Lourens </w:t>
      </w:r>
    </w:p>
    <w:p w14:paraId="3E04B418" w14:textId="77777777" w:rsidR="001E2697" w:rsidRDefault="001E2697" w:rsidP="001E2697">
      <w:pPr>
        <w:pStyle w:val="ListParagraph"/>
        <w:spacing w:line="240" w:lineRule="auto"/>
        <w:ind w:left="0"/>
        <w:rPr>
          <w:b/>
          <w:bCs/>
        </w:rPr>
      </w:pPr>
    </w:p>
    <w:p w14:paraId="2E72E660" w14:textId="201C5CEE" w:rsidR="0011321B" w:rsidRDefault="009325BE" w:rsidP="004A3B8E">
      <w:pPr>
        <w:pStyle w:val="ListParagraph"/>
        <w:spacing w:line="240" w:lineRule="auto"/>
        <w:ind w:left="0"/>
      </w:pPr>
      <w:r>
        <w:rPr>
          <w:b/>
          <w:bCs/>
        </w:rPr>
        <w:t>PLAINTIFF</w:t>
      </w:r>
      <w:r w:rsidR="000604E8">
        <w:rPr>
          <w:b/>
          <w:bCs/>
        </w:rPr>
        <w:t>’</w:t>
      </w:r>
      <w:r w:rsidR="001E2697" w:rsidRPr="000F64D9">
        <w:rPr>
          <w:b/>
          <w:bCs/>
        </w:rPr>
        <w:t>S ATTORNEYS</w:t>
      </w:r>
      <w:r w:rsidR="001E2697">
        <w:tab/>
      </w:r>
      <w:r w:rsidR="001E2697">
        <w:tab/>
      </w:r>
      <w:r w:rsidR="001E2697">
        <w:tab/>
        <w:t xml:space="preserve">:  </w:t>
      </w:r>
      <w:r w:rsidR="00A71A0F">
        <w:t>Strydom Rabie Inc.</w:t>
      </w:r>
    </w:p>
    <w:p w14:paraId="5BAE9D44" w14:textId="77777777" w:rsidR="00FE1115" w:rsidRDefault="001E2697" w:rsidP="005A0267">
      <w:pPr>
        <w:pStyle w:val="ListParagraph"/>
        <w:spacing w:line="240" w:lineRule="auto"/>
        <w:ind w:left="0"/>
      </w:pPr>
      <w:r>
        <w:tab/>
      </w:r>
      <w:r>
        <w:tab/>
      </w:r>
      <w:r>
        <w:tab/>
      </w:r>
      <w:r>
        <w:tab/>
      </w:r>
      <w:bookmarkStart w:id="0" w:name="_Hlk67555944"/>
    </w:p>
    <w:p w14:paraId="066F64E2" w14:textId="33ED6673" w:rsidR="0011321B" w:rsidRPr="00FE1115" w:rsidRDefault="009325BE" w:rsidP="00AC1337">
      <w:pPr>
        <w:pStyle w:val="ListParagraph"/>
        <w:spacing w:line="240" w:lineRule="auto"/>
        <w:ind w:left="0"/>
      </w:pPr>
      <w:r>
        <w:rPr>
          <w:b/>
        </w:rPr>
        <w:t>DEFENDANT</w:t>
      </w:r>
      <w:r>
        <w:rPr>
          <w:b/>
        </w:rPr>
        <w:tab/>
      </w:r>
      <w:r>
        <w:rPr>
          <w:b/>
        </w:rPr>
        <w:tab/>
      </w:r>
      <w:r w:rsidR="00FE1115">
        <w:rPr>
          <w:b/>
        </w:rPr>
        <w:tab/>
      </w:r>
      <w:r w:rsidR="001E2697">
        <w:rPr>
          <w:b/>
        </w:rPr>
        <w:tab/>
      </w:r>
      <w:r w:rsidR="004A3B8E">
        <w:rPr>
          <w:b/>
        </w:rPr>
        <w:tab/>
      </w:r>
      <w:r w:rsidR="001E2697" w:rsidRPr="00B27F3B">
        <w:t>:</w:t>
      </w:r>
      <w:r w:rsidR="001E2697">
        <w:t xml:space="preserve"> </w:t>
      </w:r>
      <w:r w:rsidR="0039420D">
        <w:t xml:space="preserve"> </w:t>
      </w:r>
      <w:r w:rsidR="00A71A0F">
        <w:t>Mr. Stephen Nale (</w:t>
      </w:r>
      <w:r>
        <w:t>In person</w:t>
      </w:r>
      <w:r w:rsidR="00A71A0F">
        <w:t>)</w:t>
      </w:r>
    </w:p>
    <w:p w14:paraId="742B99FC" w14:textId="0FF58298" w:rsidR="0039420D" w:rsidRPr="00FE1115" w:rsidRDefault="001E2697" w:rsidP="009325BE">
      <w:pPr>
        <w:pStyle w:val="ListParagraph"/>
        <w:spacing w:line="240" w:lineRule="auto"/>
        <w:ind w:left="0"/>
        <w:rPr>
          <w:b/>
        </w:rPr>
      </w:pPr>
      <w:r>
        <w:rPr>
          <w:bCs/>
        </w:rPr>
        <w:tab/>
      </w:r>
      <w:r>
        <w:rPr>
          <w:bCs/>
        </w:rPr>
        <w:tab/>
      </w:r>
      <w:r>
        <w:rPr>
          <w:bCs/>
        </w:rPr>
        <w:tab/>
      </w:r>
      <w:r>
        <w:rPr>
          <w:bCs/>
        </w:rPr>
        <w:tab/>
      </w:r>
      <w:r>
        <w:rPr>
          <w:bCs/>
        </w:rPr>
        <w:tab/>
      </w:r>
    </w:p>
    <w:p w14:paraId="3E765195" w14:textId="1A6E2DB1" w:rsidR="005A0267" w:rsidRDefault="00F44AF4" w:rsidP="005A0267">
      <w:pPr>
        <w:pStyle w:val="ListParagraph"/>
        <w:spacing w:line="240" w:lineRule="auto"/>
        <w:ind w:left="0"/>
      </w:pPr>
      <w:r>
        <w:tab/>
      </w:r>
      <w:bookmarkEnd w:id="0"/>
    </w:p>
    <w:sectPr w:rsidR="005A0267" w:rsidSect="006379ED">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2757" w14:textId="77777777" w:rsidR="006379ED" w:rsidRDefault="006379ED">
      <w:r>
        <w:separator/>
      </w:r>
    </w:p>
  </w:endnote>
  <w:endnote w:type="continuationSeparator" w:id="0">
    <w:p w14:paraId="451D1B25" w14:textId="77777777" w:rsidR="006379ED" w:rsidRDefault="0063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8638" w14:textId="77777777" w:rsidR="006379ED" w:rsidRDefault="006379ED">
      <w:r>
        <w:separator/>
      </w:r>
    </w:p>
  </w:footnote>
  <w:footnote w:type="continuationSeparator" w:id="0">
    <w:p w14:paraId="7D0AB5D3" w14:textId="77777777" w:rsidR="006379ED" w:rsidRDefault="006379ED">
      <w:r>
        <w:continuationSeparator/>
      </w:r>
    </w:p>
  </w:footnote>
  <w:footnote w:id="1">
    <w:p w14:paraId="6B014192" w14:textId="76F3A4BD" w:rsidR="00797693" w:rsidRDefault="00797693" w:rsidP="00797693">
      <w:pPr>
        <w:pStyle w:val="FootnoteText"/>
      </w:pPr>
      <w:r>
        <w:rPr>
          <w:rStyle w:val="FootnoteReference"/>
        </w:rPr>
        <w:footnoteRef/>
      </w:r>
      <w:r>
        <w:t xml:space="preserve"> President of the Republic of South Africa and Others v South African Rugby Football Union 1999 (4) SA 147 (CC) paras [61]–[64]  </w:t>
      </w:r>
    </w:p>
  </w:footnote>
  <w:footnote w:id="2">
    <w:p w14:paraId="05FBFC07" w14:textId="515CFC52" w:rsidR="007357E1" w:rsidRDefault="007357E1" w:rsidP="007357E1">
      <w:pPr>
        <w:pStyle w:val="FootnoteText"/>
      </w:pPr>
      <w:r>
        <w:rPr>
          <w:rStyle w:val="FootnoteReference"/>
        </w:rPr>
        <w:footnoteRef/>
      </w:r>
      <w:r>
        <w:t xml:space="preserve"> </w:t>
      </w:r>
      <w:r w:rsidR="00AB0707">
        <w:t>The nub of the defence is articulated in p</w:t>
      </w:r>
      <w:r>
        <w:t xml:space="preserve">aras 24-27 of </w:t>
      </w:r>
      <w:r w:rsidR="00AB0707">
        <w:t xml:space="preserve">the </w:t>
      </w:r>
      <w:r>
        <w:t>affidavit resisting summary judgment</w:t>
      </w:r>
    </w:p>
  </w:footnote>
  <w:footnote w:id="3">
    <w:p w14:paraId="3AF1245F" w14:textId="77777777" w:rsidR="00E74AC0" w:rsidRDefault="00E74AC0" w:rsidP="00E74AC0">
      <w:pPr>
        <w:pStyle w:val="FootnoteText"/>
      </w:pPr>
      <w:r>
        <w:rPr>
          <w:rStyle w:val="FootnoteReference"/>
        </w:rPr>
        <w:footnoteRef/>
      </w:r>
      <w:r>
        <w:t xml:space="preserve"> City Capital SA Property Holdings Limited v Chavonnes Badenhorst St Clair Cooper NO and Others 2018 (4) SA 71 (SCA) par [27]</w:t>
      </w:r>
    </w:p>
  </w:footnote>
  <w:footnote w:id="4">
    <w:p w14:paraId="5681B01C" w14:textId="22D01347" w:rsidR="00E74AC0" w:rsidRDefault="00E74AC0">
      <w:pPr>
        <w:pStyle w:val="FootnoteText"/>
      </w:pPr>
      <w:r>
        <w:rPr>
          <w:rStyle w:val="FootnoteReference"/>
        </w:rPr>
        <w:footnoteRef/>
      </w:r>
      <w:r>
        <w:t xml:space="preserve"> Which are in similar terms</w:t>
      </w:r>
    </w:p>
  </w:footnote>
  <w:footnote w:id="5">
    <w:p w14:paraId="274A51D9" w14:textId="2652C4FD" w:rsidR="003A4BC9" w:rsidRDefault="003A4BC9">
      <w:pPr>
        <w:pStyle w:val="FootnoteText"/>
      </w:pPr>
      <w:r>
        <w:rPr>
          <w:rStyle w:val="FootnoteReference"/>
        </w:rPr>
        <w:footnoteRef/>
      </w:r>
      <w:r>
        <w:t xml:space="preserve"> Which are both in similar terms</w:t>
      </w:r>
    </w:p>
  </w:footnote>
  <w:footnote w:id="6">
    <w:p w14:paraId="7E0913F7" w14:textId="0C3E5BF3" w:rsidR="006E7BD3" w:rsidRDefault="006E7BD3" w:rsidP="006E7BD3">
      <w:pPr>
        <w:pStyle w:val="FootnoteText"/>
      </w:pPr>
      <w:r>
        <w:rPr>
          <w:rStyle w:val="FootnoteReference"/>
        </w:rPr>
        <w:footnoteRef/>
      </w:r>
      <w:r>
        <w:t xml:space="preserve"> Liberty Group Limited v Illman (1334/2018) [2</w:t>
      </w:r>
      <w:r w:rsidR="00D90976">
        <w:t xml:space="preserve">020] ZASCA 38 (16 April 2020) </w:t>
      </w:r>
      <w:r>
        <w:t>par [20]</w:t>
      </w:r>
    </w:p>
  </w:footnote>
  <w:footnote w:id="7">
    <w:p w14:paraId="31E8FECB" w14:textId="46A97D8F" w:rsidR="002A48EE" w:rsidRDefault="002A48EE">
      <w:pPr>
        <w:pStyle w:val="FootnoteText"/>
      </w:pPr>
      <w:r>
        <w:rPr>
          <w:rStyle w:val="FootnoteReference"/>
        </w:rPr>
        <w:footnoteRef/>
      </w:r>
      <w:r>
        <w:t xml:space="preserve"> Van Zyl v Auto Commodities (Pty) Ltd (279/2020) [2021] ZASCA 67 (3 June 2021) paras </w:t>
      </w:r>
      <w:r w:rsidR="0090595C">
        <w:t>[</w:t>
      </w:r>
      <w:r>
        <w:t>11</w:t>
      </w:r>
      <w:r w:rsidR="0090595C">
        <w:t>]</w:t>
      </w:r>
      <w:r w:rsidR="00D3260A">
        <w:t xml:space="preserve"> </w:t>
      </w:r>
      <w:r>
        <w:t>-</w:t>
      </w:r>
      <w:r w:rsidR="00D3260A">
        <w:t xml:space="preserve"> </w:t>
      </w:r>
      <w:r w:rsidR="0090595C">
        <w:t>[</w:t>
      </w:r>
      <w:r>
        <w:t>12</w:t>
      </w:r>
      <w:r w:rsidR="0090595C">
        <w:t>]</w:t>
      </w:r>
      <w:r>
        <w:t xml:space="preserve"> </w:t>
      </w:r>
    </w:p>
  </w:footnote>
  <w:footnote w:id="8">
    <w:p w14:paraId="120E9463" w14:textId="1656EBFA" w:rsidR="00107CA0" w:rsidRDefault="00107CA0">
      <w:pPr>
        <w:pStyle w:val="FootnoteText"/>
      </w:pPr>
      <w:r>
        <w:rPr>
          <w:rStyle w:val="FootnoteReference"/>
        </w:rPr>
        <w:footnoteRef/>
      </w:r>
      <w:r>
        <w:t xml:space="preserve"> Van Zyl para [31]-[33]</w:t>
      </w:r>
      <w:r w:rsidR="00D3260A">
        <w:t>; New Port Finance Company (Pty) Ltd v Nedbank Ltd (30/2014) [2014] ZASCA 210</w:t>
      </w:r>
      <w:r w:rsidR="00477680">
        <w:t xml:space="preserve"> (1 December 2014) paras [10]-</w:t>
      </w:r>
      <w:r w:rsidR="00D3260A">
        <w:t>[11]</w:t>
      </w:r>
    </w:p>
  </w:footnote>
  <w:footnote w:id="9">
    <w:p w14:paraId="230D6775" w14:textId="6131D635" w:rsidR="003C686A" w:rsidRDefault="003C686A" w:rsidP="003C686A">
      <w:pPr>
        <w:pStyle w:val="FootnoteText"/>
      </w:pPr>
      <w:r>
        <w:rPr>
          <w:rStyle w:val="FootnoteReference"/>
        </w:rPr>
        <w:footnoteRef/>
      </w:r>
      <w:r>
        <w:t xml:space="preserve"> Wile NO &amp; Others v Griekwaland Wes Korporatief Ltd (1327/2019) [2020] ZASCA 182</w:t>
      </w:r>
      <w:r w:rsidR="00784DED">
        <w:t xml:space="preserve"> (23 December 2020) paras [11]</w:t>
      </w:r>
      <w:r>
        <w:t xml:space="preserve">-[12], </w:t>
      </w:r>
      <w:r w:rsidR="00784DED">
        <w:t>[</w:t>
      </w:r>
      <w:r>
        <w:t>20]-[21]</w:t>
      </w:r>
    </w:p>
  </w:footnote>
  <w:footnote w:id="10">
    <w:p w14:paraId="649E6481" w14:textId="579783F5" w:rsidR="002A48EE" w:rsidRDefault="002A48EE">
      <w:pPr>
        <w:pStyle w:val="FootnoteText"/>
      </w:pPr>
      <w:r>
        <w:rPr>
          <w:rStyle w:val="FootnoteReference"/>
        </w:rPr>
        <w:footnoteRef/>
      </w:r>
      <w:r>
        <w:t xml:space="preserve"> R42 501 293.44 + R43 744 232.12 = R86 245 525.56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959700"/>
      <w:docPartObj>
        <w:docPartGallery w:val="Page Numbers (Top of Page)"/>
        <w:docPartUnique/>
      </w:docPartObj>
    </w:sdtPr>
    <w:sdtEndPr>
      <w:rPr>
        <w:noProof/>
      </w:rPr>
    </w:sdtEndPr>
    <w:sdtContent>
      <w:p w14:paraId="2ADFF06D" w14:textId="0344A547" w:rsidR="002A48EE" w:rsidRDefault="002A48EE">
        <w:pPr>
          <w:pStyle w:val="Header"/>
          <w:jc w:val="right"/>
        </w:pPr>
        <w:r>
          <w:fldChar w:fldCharType="begin"/>
        </w:r>
        <w:r>
          <w:instrText xml:space="preserve"> PAGE   \* MERGEFORMAT </w:instrText>
        </w:r>
        <w:r>
          <w:fldChar w:fldCharType="separate"/>
        </w:r>
        <w:r w:rsidR="00941971">
          <w:rPr>
            <w:noProof/>
          </w:rPr>
          <w:t>12</w:t>
        </w:r>
        <w:r>
          <w:rPr>
            <w:noProof/>
          </w:rPr>
          <w:fldChar w:fldCharType="end"/>
        </w:r>
      </w:p>
    </w:sdtContent>
  </w:sdt>
  <w:p w14:paraId="0BA12F91" w14:textId="77777777" w:rsidR="002A48EE" w:rsidRDefault="002A4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23401D"/>
    <w:multiLevelType w:val="multilevel"/>
    <w:tmpl w:val="BBEE33C0"/>
    <w:lvl w:ilvl="0">
      <w:start w:val="1"/>
      <w:numFmt w:val="decimal"/>
      <w:lvlText w:val="%1."/>
      <w:lvlJc w:val="left"/>
      <w:pPr>
        <w:ind w:left="6314" w:hanging="360"/>
      </w:pPr>
      <w:rPr>
        <w:rFonts w:hint="default"/>
      </w:rPr>
    </w:lvl>
    <w:lvl w:ilvl="1">
      <w:start w:val="1"/>
      <w:numFmt w:val="decimal"/>
      <w:lvlText w:val="%2.1"/>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6" w15:restartNumberingAfterBreak="0">
    <w:nsid w:val="6BD17F80"/>
    <w:multiLevelType w:val="hybridMultilevel"/>
    <w:tmpl w:val="48A8BF86"/>
    <w:lvl w:ilvl="0" w:tplc="605ABA1C">
      <w:start w:val="1"/>
      <w:numFmt w:val="decimal"/>
      <w:pStyle w:val="level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668092050">
    <w:abstractNumId w:val="6"/>
  </w:num>
  <w:num w:numId="2" w16cid:durableId="1730416930">
    <w:abstractNumId w:val="3"/>
  </w:num>
  <w:num w:numId="3" w16cid:durableId="1617718547">
    <w:abstractNumId w:val="0"/>
  </w:num>
  <w:num w:numId="4" w16cid:durableId="787050005">
    <w:abstractNumId w:val="5"/>
  </w:num>
  <w:num w:numId="5" w16cid:durableId="2123455674">
    <w:abstractNumId w:val="8"/>
  </w:num>
  <w:num w:numId="6" w16cid:durableId="1509179476">
    <w:abstractNumId w:val="4"/>
  </w:num>
  <w:num w:numId="7" w16cid:durableId="280190330">
    <w:abstractNumId w:val="2"/>
  </w:num>
  <w:num w:numId="8" w16cid:durableId="121777002">
    <w:abstractNumId w:val="7"/>
  </w:num>
  <w:num w:numId="9" w16cid:durableId="1725907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97"/>
    <w:rsid w:val="00013BA6"/>
    <w:rsid w:val="00045763"/>
    <w:rsid w:val="000464BE"/>
    <w:rsid w:val="000519EF"/>
    <w:rsid w:val="000604E8"/>
    <w:rsid w:val="000A0E20"/>
    <w:rsid w:val="000B66AC"/>
    <w:rsid w:val="000C3E1F"/>
    <w:rsid w:val="000E36CB"/>
    <w:rsid w:val="00107CA0"/>
    <w:rsid w:val="0011321B"/>
    <w:rsid w:val="00113EEB"/>
    <w:rsid w:val="00137FA4"/>
    <w:rsid w:val="001455EE"/>
    <w:rsid w:val="0014571C"/>
    <w:rsid w:val="00146184"/>
    <w:rsid w:val="00160E06"/>
    <w:rsid w:val="00167A0B"/>
    <w:rsid w:val="00191701"/>
    <w:rsid w:val="001B0AA5"/>
    <w:rsid w:val="001E2697"/>
    <w:rsid w:val="001F336A"/>
    <w:rsid w:val="002101A8"/>
    <w:rsid w:val="002358D1"/>
    <w:rsid w:val="00237065"/>
    <w:rsid w:val="0024473A"/>
    <w:rsid w:val="00245037"/>
    <w:rsid w:val="00253471"/>
    <w:rsid w:val="002A48EE"/>
    <w:rsid w:val="002B6B67"/>
    <w:rsid w:val="002D00EB"/>
    <w:rsid w:val="00304AA7"/>
    <w:rsid w:val="00323F4C"/>
    <w:rsid w:val="00333637"/>
    <w:rsid w:val="00372EF8"/>
    <w:rsid w:val="00383D1C"/>
    <w:rsid w:val="0039420D"/>
    <w:rsid w:val="003A4BC9"/>
    <w:rsid w:val="003B5402"/>
    <w:rsid w:val="003C686A"/>
    <w:rsid w:val="003D2F27"/>
    <w:rsid w:val="003F58E1"/>
    <w:rsid w:val="0040703A"/>
    <w:rsid w:val="00420A73"/>
    <w:rsid w:val="0044622C"/>
    <w:rsid w:val="00456FA9"/>
    <w:rsid w:val="00477680"/>
    <w:rsid w:val="00486ECB"/>
    <w:rsid w:val="004A3B8E"/>
    <w:rsid w:val="004D55A8"/>
    <w:rsid w:val="004E41B6"/>
    <w:rsid w:val="004E44ED"/>
    <w:rsid w:val="004E634A"/>
    <w:rsid w:val="00503815"/>
    <w:rsid w:val="00504E22"/>
    <w:rsid w:val="00527DDC"/>
    <w:rsid w:val="00532EC5"/>
    <w:rsid w:val="005435BE"/>
    <w:rsid w:val="005479AC"/>
    <w:rsid w:val="00557D37"/>
    <w:rsid w:val="0056207D"/>
    <w:rsid w:val="00595286"/>
    <w:rsid w:val="005A0267"/>
    <w:rsid w:val="005B44AF"/>
    <w:rsid w:val="005B7A02"/>
    <w:rsid w:val="005F7459"/>
    <w:rsid w:val="006057B2"/>
    <w:rsid w:val="006224E5"/>
    <w:rsid w:val="006379ED"/>
    <w:rsid w:val="00637A37"/>
    <w:rsid w:val="006616E5"/>
    <w:rsid w:val="00693B91"/>
    <w:rsid w:val="006A7A79"/>
    <w:rsid w:val="006E7BD3"/>
    <w:rsid w:val="00732694"/>
    <w:rsid w:val="007357E1"/>
    <w:rsid w:val="007703BA"/>
    <w:rsid w:val="00772D6C"/>
    <w:rsid w:val="00772E4B"/>
    <w:rsid w:val="00784DED"/>
    <w:rsid w:val="00787EE9"/>
    <w:rsid w:val="00791DF6"/>
    <w:rsid w:val="00797693"/>
    <w:rsid w:val="007B2FC3"/>
    <w:rsid w:val="007C65AA"/>
    <w:rsid w:val="007F0885"/>
    <w:rsid w:val="00833160"/>
    <w:rsid w:val="00840C12"/>
    <w:rsid w:val="008667D0"/>
    <w:rsid w:val="00880CB2"/>
    <w:rsid w:val="008C2A94"/>
    <w:rsid w:val="008D0964"/>
    <w:rsid w:val="008E32F7"/>
    <w:rsid w:val="00900064"/>
    <w:rsid w:val="0090595C"/>
    <w:rsid w:val="009325BE"/>
    <w:rsid w:val="00941971"/>
    <w:rsid w:val="00945C12"/>
    <w:rsid w:val="00951327"/>
    <w:rsid w:val="00952B8D"/>
    <w:rsid w:val="009845B6"/>
    <w:rsid w:val="009A00AE"/>
    <w:rsid w:val="009B1DFC"/>
    <w:rsid w:val="009B4A5F"/>
    <w:rsid w:val="009D6E83"/>
    <w:rsid w:val="009E11DF"/>
    <w:rsid w:val="009E1AC2"/>
    <w:rsid w:val="009E5EA6"/>
    <w:rsid w:val="009F2E47"/>
    <w:rsid w:val="00A326BA"/>
    <w:rsid w:val="00A36E24"/>
    <w:rsid w:val="00A56055"/>
    <w:rsid w:val="00A71A0F"/>
    <w:rsid w:val="00A94CCE"/>
    <w:rsid w:val="00AB0707"/>
    <w:rsid w:val="00AC1337"/>
    <w:rsid w:val="00AC26CF"/>
    <w:rsid w:val="00AC7E50"/>
    <w:rsid w:val="00AD6664"/>
    <w:rsid w:val="00AF401B"/>
    <w:rsid w:val="00B138AB"/>
    <w:rsid w:val="00B25B6F"/>
    <w:rsid w:val="00B40203"/>
    <w:rsid w:val="00B56867"/>
    <w:rsid w:val="00B767A4"/>
    <w:rsid w:val="00B948AF"/>
    <w:rsid w:val="00B976D8"/>
    <w:rsid w:val="00BA0B33"/>
    <w:rsid w:val="00BA26F8"/>
    <w:rsid w:val="00BD17F1"/>
    <w:rsid w:val="00BE3AA8"/>
    <w:rsid w:val="00BF4AEE"/>
    <w:rsid w:val="00C03CD3"/>
    <w:rsid w:val="00C150C9"/>
    <w:rsid w:val="00C15987"/>
    <w:rsid w:val="00C26EF3"/>
    <w:rsid w:val="00C5521F"/>
    <w:rsid w:val="00C560C2"/>
    <w:rsid w:val="00C70847"/>
    <w:rsid w:val="00C83782"/>
    <w:rsid w:val="00C853FE"/>
    <w:rsid w:val="00C85AAC"/>
    <w:rsid w:val="00CA210E"/>
    <w:rsid w:val="00CA3455"/>
    <w:rsid w:val="00CC1832"/>
    <w:rsid w:val="00CC76D8"/>
    <w:rsid w:val="00CE2D01"/>
    <w:rsid w:val="00D06735"/>
    <w:rsid w:val="00D3260A"/>
    <w:rsid w:val="00D51E11"/>
    <w:rsid w:val="00D5427D"/>
    <w:rsid w:val="00D758B5"/>
    <w:rsid w:val="00D87064"/>
    <w:rsid w:val="00D90976"/>
    <w:rsid w:val="00DC4E32"/>
    <w:rsid w:val="00DD3104"/>
    <w:rsid w:val="00DD7B5C"/>
    <w:rsid w:val="00DE6841"/>
    <w:rsid w:val="00E0427C"/>
    <w:rsid w:val="00E30922"/>
    <w:rsid w:val="00E35A5B"/>
    <w:rsid w:val="00E36A52"/>
    <w:rsid w:val="00E74AC0"/>
    <w:rsid w:val="00EA37AC"/>
    <w:rsid w:val="00ED2AC9"/>
    <w:rsid w:val="00F37DB4"/>
    <w:rsid w:val="00F44AF4"/>
    <w:rsid w:val="00FE1115"/>
    <w:rsid w:val="00FE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697"/>
    <w:pPr>
      <w:tabs>
        <w:tab w:val="center" w:pos="4680"/>
        <w:tab w:val="right" w:pos="9360"/>
      </w:tabs>
    </w:pPr>
  </w:style>
  <w:style w:type="character" w:customStyle="1" w:styleId="HeaderChar">
    <w:name w:val="Header Char"/>
    <w:basedOn w:val="DefaultParagraphFont"/>
    <w:link w:val="Header"/>
    <w:uiPriority w:val="99"/>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
    <w:name w:val="level1"/>
    <w:basedOn w:val="Normal"/>
    <w:rsid w:val="001E2697"/>
    <w:pPr>
      <w:numPr>
        <w:numId w:val="1"/>
      </w:numPr>
    </w:pPr>
  </w:style>
  <w:style w:type="paragraph" w:styleId="FootnoteText">
    <w:name w:val="footnote text"/>
    <w:basedOn w:val="Normal"/>
    <w:link w:val="FootnoteTextChar"/>
    <w:uiPriority w:val="99"/>
    <w:unhideWhenUsed/>
    <w:rsid w:val="00383D1C"/>
    <w:rPr>
      <w:sz w:val="20"/>
      <w:szCs w:val="20"/>
    </w:rPr>
  </w:style>
  <w:style w:type="character" w:customStyle="1" w:styleId="FootnoteTextChar">
    <w:name w:val="Footnote Text Char"/>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basedOn w:val="DefaultParagraphFont"/>
    <w:uiPriority w:val="99"/>
    <w:unhideWhenUsed/>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paragraph" w:styleId="Footer">
    <w:name w:val="footer"/>
    <w:basedOn w:val="Normal"/>
    <w:link w:val="FooterChar"/>
    <w:uiPriority w:val="99"/>
    <w:unhideWhenUsed/>
    <w:rsid w:val="00CE2D01"/>
    <w:pPr>
      <w:tabs>
        <w:tab w:val="center" w:pos="4513"/>
        <w:tab w:val="right" w:pos="9026"/>
      </w:tabs>
    </w:pPr>
  </w:style>
  <w:style w:type="character" w:customStyle="1" w:styleId="FooterChar">
    <w:name w:val="Footer Char"/>
    <w:basedOn w:val="DefaultParagraphFont"/>
    <w:link w:val="Footer"/>
    <w:uiPriority w:val="99"/>
    <w:rsid w:val="00CE2D01"/>
    <w:rPr>
      <w:rFonts w:ascii="Arial" w:eastAsia="Times New Roman" w:hAnsi="Arial" w:cs="Times New Roman"/>
      <w:kern w:val="28"/>
      <w:sz w:val="24"/>
      <w:szCs w:val="24"/>
      <w:lang w:val="en-ZA" w:eastAsia="en-GB"/>
    </w:rPr>
  </w:style>
  <w:style w:type="character" w:styleId="Hyperlink">
    <w:name w:val="Hyperlink"/>
    <w:basedOn w:val="DefaultParagraphFont"/>
    <w:uiPriority w:val="99"/>
    <w:unhideWhenUsed/>
    <w:rsid w:val="00AC7E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2E7F-262A-4ADE-95A8-EDD15237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2911</Words>
  <Characters>16598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sathish sarshan  mohan</cp:lastModifiedBy>
  <cp:revision>3</cp:revision>
  <dcterms:created xsi:type="dcterms:W3CDTF">2024-03-14T09:27:00Z</dcterms:created>
  <dcterms:modified xsi:type="dcterms:W3CDTF">2024-03-14T19:16:00Z</dcterms:modified>
</cp:coreProperties>
</file>