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9A9DF" w14:textId="77777777" w:rsidR="00422DCC" w:rsidRPr="005D1EE6" w:rsidRDefault="00422DCC" w:rsidP="00361D1C">
      <w:pPr>
        <w:tabs>
          <w:tab w:val="left" w:pos="2342"/>
          <w:tab w:val="center" w:pos="4513"/>
        </w:tabs>
        <w:spacing w:after="0" w:line="240" w:lineRule="auto"/>
        <w:ind w:left="0"/>
        <w:jc w:val="center"/>
        <w:outlineLvl w:val="0"/>
        <w:rPr>
          <w:rFonts w:eastAsia="Times New Roman" w:cs="Arial"/>
          <w:b/>
          <w:noProof/>
          <w:color w:val="000000" w:themeColor="text1"/>
          <w:szCs w:val="24"/>
          <w:lang w:val="en-ZA" w:eastAsia="en-ZA"/>
        </w:rPr>
      </w:pPr>
      <w:r w:rsidRPr="005D1EE6">
        <w:rPr>
          <w:rFonts w:eastAsia="Times New Roman" w:cs="Arial"/>
          <w:b/>
          <w:noProof/>
          <w:color w:val="000000" w:themeColor="text1"/>
          <w:szCs w:val="24"/>
          <w:lang w:val="en-ZA" w:eastAsia="en-ZA"/>
        </w:rPr>
        <w:t>REPUBLIC OF SOUTH AFRICA</w:t>
      </w:r>
    </w:p>
    <w:p w14:paraId="0846ADFA" w14:textId="77777777" w:rsidR="00422DCC" w:rsidRPr="005D1EE6" w:rsidRDefault="00422DCC" w:rsidP="00361D1C">
      <w:pPr>
        <w:tabs>
          <w:tab w:val="left" w:pos="2342"/>
          <w:tab w:val="center" w:pos="4513"/>
        </w:tabs>
        <w:spacing w:after="0" w:line="240" w:lineRule="auto"/>
        <w:ind w:left="0"/>
        <w:jc w:val="center"/>
        <w:outlineLvl w:val="0"/>
        <w:rPr>
          <w:rFonts w:eastAsia="Times New Roman" w:cs="Arial"/>
          <w:b/>
          <w:noProof/>
          <w:color w:val="000000" w:themeColor="text1"/>
          <w:szCs w:val="24"/>
          <w:lang w:val="en-ZA" w:eastAsia="en-ZA"/>
        </w:rPr>
      </w:pPr>
    </w:p>
    <w:p w14:paraId="1A8CFAC2" w14:textId="77777777" w:rsidR="00422DCC" w:rsidRPr="005D1EE6" w:rsidRDefault="00422DCC" w:rsidP="00361D1C">
      <w:pPr>
        <w:tabs>
          <w:tab w:val="left" w:pos="2342"/>
          <w:tab w:val="center" w:pos="4513"/>
        </w:tabs>
        <w:spacing w:after="0" w:line="240" w:lineRule="auto"/>
        <w:ind w:left="0"/>
        <w:jc w:val="center"/>
        <w:outlineLvl w:val="0"/>
        <w:rPr>
          <w:rFonts w:eastAsia="Times New Roman" w:cs="Arial"/>
          <w:color w:val="000000" w:themeColor="text1"/>
          <w:szCs w:val="24"/>
          <w:lang w:val="en-ZA"/>
        </w:rPr>
      </w:pPr>
      <w:r w:rsidRPr="005D1EE6">
        <w:rPr>
          <w:rFonts w:eastAsia="Times New Roman" w:cs="Arial"/>
          <w:noProof/>
          <w:color w:val="000000" w:themeColor="text1"/>
          <w:szCs w:val="24"/>
          <w:lang w:val="en-ZA" w:eastAsia="en-ZA"/>
        </w:rPr>
        <w:drawing>
          <wp:inline distT="0" distB="0" distL="0" distR="0" wp14:anchorId="4DAFB8C6" wp14:editId="695066E8">
            <wp:extent cx="1350645" cy="1350645"/>
            <wp:effectExtent l="0" t="0" r="1905" b="1905"/>
            <wp:docPr id="3" name="Picture 3"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2D7C9B07" w14:textId="77777777" w:rsidR="00422DCC" w:rsidRPr="005D1EE6" w:rsidRDefault="00422DCC" w:rsidP="00361D1C">
      <w:pPr>
        <w:spacing w:after="0" w:line="240" w:lineRule="auto"/>
        <w:ind w:left="0"/>
        <w:jc w:val="center"/>
        <w:outlineLvl w:val="0"/>
        <w:rPr>
          <w:rFonts w:eastAsia="Times New Roman" w:cs="Arial"/>
          <w:b/>
          <w:color w:val="000000" w:themeColor="text1"/>
          <w:szCs w:val="24"/>
          <w:lang w:val="en-ZA"/>
        </w:rPr>
      </w:pPr>
    </w:p>
    <w:p w14:paraId="20541803" w14:textId="77777777" w:rsidR="00422DCC" w:rsidRPr="005D1EE6" w:rsidRDefault="00422DCC" w:rsidP="00361D1C">
      <w:pPr>
        <w:spacing w:after="0" w:line="240" w:lineRule="auto"/>
        <w:ind w:left="0"/>
        <w:jc w:val="center"/>
        <w:outlineLvl w:val="0"/>
        <w:rPr>
          <w:rFonts w:eastAsia="Times New Roman" w:cs="Arial"/>
          <w:b/>
          <w:color w:val="000000" w:themeColor="text1"/>
          <w:szCs w:val="24"/>
          <w:lang w:val="en-ZA"/>
        </w:rPr>
      </w:pPr>
      <w:r w:rsidRPr="005D1EE6">
        <w:rPr>
          <w:rFonts w:eastAsia="Times New Roman" w:cs="Arial"/>
          <w:b/>
          <w:color w:val="000000" w:themeColor="text1"/>
          <w:szCs w:val="24"/>
          <w:lang w:val="en-ZA"/>
        </w:rPr>
        <w:t>IN THE HIGH COURT OF SOUTH AFRICA</w:t>
      </w:r>
    </w:p>
    <w:p w14:paraId="5529F4F8" w14:textId="77777777" w:rsidR="00422DCC" w:rsidRPr="005D1EE6" w:rsidRDefault="00422DCC" w:rsidP="00361D1C">
      <w:pPr>
        <w:spacing w:after="0" w:line="240" w:lineRule="auto"/>
        <w:ind w:left="0"/>
        <w:jc w:val="center"/>
        <w:outlineLvl w:val="0"/>
        <w:rPr>
          <w:rFonts w:eastAsia="Times New Roman" w:cs="Arial"/>
          <w:b/>
          <w:color w:val="000000" w:themeColor="text1"/>
          <w:szCs w:val="24"/>
          <w:lang w:val="en-ZA"/>
        </w:rPr>
      </w:pPr>
      <w:r w:rsidRPr="005D1EE6">
        <w:rPr>
          <w:rFonts w:eastAsia="Times New Roman" w:cs="Arial"/>
          <w:b/>
          <w:color w:val="000000" w:themeColor="text1"/>
          <w:szCs w:val="24"/>
          <w:lang w:val="en-ZA"/>
        </w:rPr>
        <w:t>GAUTENG DIVISION, JOHANNESBURG</w:t>
      </w:r>
    </w:p>
    <w:p w14:paraId="45A7ABAE" w14:textId="77777777" w:rsidR="00422DCC" w:rsidRPr="005D1EE6" w:rsidRDefault="00422DCC" w:rsidP="00361D1C">
      <w:pPr>
        <w:spacing w:after="0" w:line="240" w:lineRule="auto"/>
        <w:ind w:left="0"/>
        <w:rPr>
          <w:rFonts w:eastAsia="Times New Roman" w:cs="Arial"/>
          <w:color w:val="000000" w:themeColor="text1"/>
          <w:szCs w:val="24"/>
          <w:lang w:val="en-ZA"/>
        </w:rPr>
      </w:pPr>
    </w:p>
    <w:p w14:paraId="1DFA32E3" w14:textId="2A3AC99B" w:rsidR="005A2A57" w:rsidRPr="005D1EE6" w:rsidRDefault="005A2A57" w:rsidP="00361D1C">
      <w:pPr>
        <w:tabs>
          <w:tab w:val="right" w:pos="9029"/>
        </w:tabs>
        <w:spacing w:after="0" w:line="240" w:lineRule="auto"/>
        <w:ind w:left="0"/>
        <w:rPr>
          <w:rFonts w:eastAsia="Times New Roman" w:cs="Arial"/>
          <w:b/>
          <w:bCs/>
          <w:color w:val="000000" w:themeColor="text1"/>
          <w:szCs w:val="24"/>
          <w:lang w:val="en-ZA"/>
        </w:rPr>
      </w:pPr>
      <w:r w:rsidRPr="005D1EE6">
        <w:rPr>
          <w:rFonts w:eastAsia="Times New Roman" w:cs="Arial"/>
          <w:color w:val="000000" w:themeColor="text1"/>
          <w:szCs w:val="24"/>
          <w:lang w:val="en-ZA"/>
        </w:rPr>
        <w:t xml:space="preserve"> </w:t>
      </w:r>
    </w:p>
    <w:p w14:paraId="783BBCE5" w14:textId="0F128925" w:rsidR="005A2A57" w:rsidRPr="005D1EE6" w:rsidRDefault="005A2A57" w:rsidP="00361D1C">
      <w:pPr>
        <w:pStyle w:val="JudgmentNumbered"/>
        <w:numPr>
          <w:ilvl w:val="0"/>
          <w:numId w:val="0"/>
        </w:numPr>
        <w:ind w:left="567" w:hanging="567"/>
        <w:jc w:val="right"/>
        <w:rPr>
          <w:b/>
          <w:bCs/>
          <w:color w:val="000000" w:themeColor="text1"/>
          <w:szCs w:val="24"/>
          <w:lang w:val="en-ZA"/>
        </w:rPr>
      </w:pPr>
      <w:r w:rsidRPr="005D1EE6">
        <w:rPr>
          <w:b/>
          <w:bCs/>
          <w:color w:val="000000" w:themeColor="text1"/>
          <w:szCs w:val="24"/>
          <w:lang w:val="en-ZA"/>
        </w:rPr>
        <w:t>C</w:t>
      </w:r>
      <w:r w:rsidR="00C71B06" w:rsidRPr="005D1EE6">
        <w:rPr>
          <w:b/>
          <w:bCs/>
          <w:color w:val="000000" w:themeColor="text1"/>
          <w:szCs w:val="24"/>
          <w:lang w:val="en-ZA"/>
        </w:rPr>
        <w:t>ASE NO</w:t>
      </w:r>
      <w:r w:rsidR="0051381B" w:rsidRPr="005D1EE6">
        <w:rPr>
          <w:b/>
          <w:bCs/>
          <w:color w:val="000000" w:themeColor="text1"/>
          <w:szCs w:val="24"/>
          <w:lang w:val="en-ZA"/>
        </w:rPr>
        <w:t>.</w:t>
      </w:r>
      <w:r w:rsidR="001D24FF" w:rsidRPr="005D1EE6">
        <w:rPr>
          <w:b/>
          <w:bCs/>
          <w:color w:val="000000" w:themeColor="text1"/>
          <w:szCs w:val="24"/>
          <w:lang w:val="en-ZA"/>
        </w:rPr>
        <w:t>:</w:t>
      </w:r>
      <w:r w:rsidR="004767AA" w:rsidRPr="005D1EE6">
        <w:rPr>
          <w:b/>
          <w:bCs/>
          <w:color w:val="000000" w:themeColor="text1"/>
          <w:szCs w:val="24"/>
          <w:lang w:val="en-ZA"/>
        </w:rPr>
        <w:t xml:space="preserve"> </w:t>
      </w:r>
      <w:r w:rsidR="00952669" w:rsidRPr="005D1EE6">
        <w:rPr>
          <w:b/>
          <w:bCs/>
          <w:color w:val="000000" w:themeColor="text1"/>
          <w:szCs w:val="24"/>
          <w:lang w:val="en-ZA"/>
        </w:rPr>
        <w:t>4337</w:t>
      </w:r>
      <w:r w:rsidR="001D24FF" w:rsidRPr="005D1EE6">
        <w:rPr>
          <w:b/>
          <w:bCs/>
          <w:color w:val="000000" w:themeColor="text1"/>
          <w:szCs w:val="24"/>
          <w:lang w:val="en-ZA"/>
        </w:rPr>
        <w:t>/2022</w:t>
      </w:r>
    </w:p>
    <w:p w14:paraId="708AE567" w14:textId="77777777" w:rsidR="00422DCC" w:rsidRPr="005D1EE6" w:rsidRDefault="00422DCC" w:rsidP="00361D1C">
      <w:pPr>
        <w:tabs>
          <w:tab w:val="right" w:pos="9029"/>
        </w:tabs>
        <w:spacing w:after="0" w:line="240" w:lineRule="auto"/>
        <w:ind w:left="0"/>
        <w:rPr>
          <w:rFonts w:eastAsia="Times New Roman" w:cs="Arial"/>
          <w:color w:val="000000" w:themeColor="text1"/>
          <w:szCs w:val="24"/>
          <w:lang w:val="en-ZA"/>
        </w:rPr>
      </w:pPr>
      <w:r w:rsidRPr="005D1EE6">
        <w:rPr>
          <w:rFonts w:cs="Arial"/>
          <w:noProof/>
          <w:color w:val="000000" w:themeColor="text1"/>
          <w:szCs w:val="24"/>
          <w:lang w:val="en-ZA" w:eastAsia="en-ZA"/>
        </w:rPr>
        <mc:AlternateContent>
          <mc:Choice Requires="wps">
            <w:drawing>
              <wp:anchor distT="0" distB="0" distL="114300" distR="114300" simplePos="0" relativeHeight="251659264" behindDoc="0" locked="0" layoutInCell="1" allowOverlap="1" wp14:anchorId="4C88D076" wp14:editId="26062E05">
                <wp:simplePos x="0" y="0"/>
                <wp:positionH relativeFrom="margin">
                  <wp:align>left</wp:align>
                </wp:positionH>
                <wp:positionV relativeFrom="paragraph">
                  <wp:posOffset>8255</wp:posOffset>
                </wp:positionV>
                <wp:extent cx="3528060" cy="1264920"/>
                <wp:effectExtent l="0" t="0" r="1524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1264920"/>
                        </a:xfrm>
                        <a:prstGeom prst="rect">
                          <a:avLst/>
                        </a:prstGeom>
                        <a:solidFill>
                          <a:srgbClr val="FFFFFF"/>
                        </a:solidFill>
                        <a:ln w="9525">
                          <a:solidFill>
                            <a:srgbClr val="000000"/>
                          </a:solidFill>
                          <a:miter lim="800000"/>
                          <a:headEnd/>
                          <a:tailEnd/>
                        </a:ln>
                      </wps:spPr>
                      <wps:txbx>
                        <w:txbxContent>
                          <w:p w14:paraId="4A662AFF" w14:textId="1277EF96" w:rsidR="00B95DE9" w:rsidRPr="008E6535" w:rsidRDefault="00FC396E" w:rsidP="00FC396E">
                            <w:pPr>
                              <w:tabs>
                                <w:tab w:val="left" w:pos="900"/>
                              </w:tabs>
                              <w:spacing w:after="0" w:line="240" w:lineRule="auto"/>
                              <w:ind w:left="900" w:hanging="720"/>
                              <w:jc w:val="left"/>
                              <w:rPr>
                                <w:rFonts w:cs="Arial"/>
                                <w:sz w:val="18"/>
                                <w:szCs w:val="18"/>
                              </w:rPr>
                            </w:pPr>
                            <w:r w:rsidRPr="008E6535">
                              <w:rPr>
                                <w:rFonts w:cs="Arial"/>
                                <w:sz w:val="18"/>
                                <w:szCs w:val="18"/>
                              </w:rPr>
                              <w:t>(1)</w:t>
                            </w:r>
                            <w:r w:rsidRPr="008E6535">
                              <w:rPr>
                                <w:rFonts w:cs="Arial"/>
                                <w:sz w:val="18"/>
                                <w:szCs w:val="18"/>
                              </w:rPr>
                              <w:tab/>
                            </w:r>
                            <w:r w:rsidR="00B95DE9" w:rsidRPr="008E6535">
                              <w:rPr>
                                <w:rFonts w:cs="Arial"/>
                                <w:sz w:val="18"/>
                                <w:szCs w:val="18"/>
                              </w:rPr>
                              <w:t>REPORTABLE:</w:t>
                            </w:r>
                            <w:r w:rsidR="0013335F">
                              <w:rPr>
                                <w:rFonts w:cs="Arial"/>
                                <w:sz w:val="18"/>
                                <w:szCs w:val="18"/>
                              </w:rPr>
                              <w:t xml:space="preserve"> </w:t>
                            </w:r>
                            <w:r w:rsidR="003233D7">
                              <w:rPr>
                                <w:rFonts w:cs="Arial"/>
                                <w:sz w:val="18"/>
                                <w:szCs w:val="18"/>
                              </w:rPr>
                              <w:t xml:space="preserve"> NO</w:t>
                            </w:r>
                          </w:p>
                          <w:p w14:paraId="4C8C5104" w14:textId="0A770142" w:rsidR="00B95DE9" w:rsidRPr="008E6535" w:rsidRDefault="00FC396E" w:rsidP="00FC396E">
                            <w:pPr>
                              <w:tabs>
                                <w:tab w:val="left" w:pos="900"/>
                              </w:tabs>
                              <w:spacing w:after="0" w:line="240" w:lineRule="auto"/>
                              <w:ind w:left="900" w:hanging="720"/>
                              <w:jc w:val="left"/>
                              <w:rPr>
                                <w:rFonts w:cs="Arial"/>
                                <w:sz w:val="18"/>
                                <w:szCs w:val="18"/>
                              </w:rPr>
                            </w:pPr>
                            <w:r w:rsidRPr="008E6535">
                              <w:rPr>
                                <w:rFonts w:cs="Arial"/>
                                <w:sz w:val="18"/>
                                <w:szCs w:val="18"/>
                              </w:rPr>
                              <w:t>(2)</w:t>
                            </w:r>
                            <w:r w:rsidRPr="008E6535">
                              <w:rPr>
                                <w:rFonts w:cs="Arial"/>
                                <w:sz w:val="18"/>
                                <w:szCs w:val="18"/>
                              </w:rPr>
                              <w:tab/>
                            </w:r>
                            <w:r w:rsidR="00B95DE9" w:rsidRPr="008E6535">
                              <w:rPr>
                                <w:rFonts w:cs="Arial"/>
                                <w:sz w:val="18"/>
                                <w:szCs w:val="18"/>
                              </w:rPr>
                              <w:t xml:space="preserve">OF INTEREST TO OTHER JUDGES: </w:t>
                            </w:r>
                            <w:r w:rsidR="003233D7">
                              <w:rPr>
                                <w:rFonts w:cs="Arial"/>
                                <w:sz w:val="18"/>
                                <w:szCs w:val="18"/>
                              </w:rPr>
                              <w:t>NO</w:t>
                            </w:r>
                          </w:p>
                          <w:p w14:paraId="48F85747" w14:textId="51FDA385" w:rsidR="00B95DE9" w:rsidRPr="008E6535" w:rsidRDefault="00FC396E" w:rsidP="00FC396E">
                            <w:pPr>
                              <w:tabs>
                                <w:tab w:val="left" w:pos="900"/>
                              </w:tabs>
                              <w:spacing w:after="0" w:line="240" w:lineRule="auto"/>
                              <w:ind w:left="900" w:hanging="720"/>
                              <w:jc w:val="left"/>
                              <w:rPr>
                                <w:rFonts w:cs="Arial"/>
                                <w:sz w:val="18"/>
                                <w:szCs w:val="18"/>
                              </w:rPr>
                            </w:pPr>
                            <w:r w:rsidRPr="008E6535">
                              <w:rPr>
                                <w:rFonts w:cs="Arial"/>
                                <w:sz w:val="18"/>
                                <w:szCs w:val="18"/>
                              </w:rPr>
                              <w:t>(3)</w:t>
                            </w:r>
                            <w:r w:rsidRPr="008E6535">
                              <w:rPr>
                                <w:rFonts w:cs="Arial"/>
                                <w:sz w:val="18"/>
                                <w:szCs w:val="18"/>
                              </w:rPr>
                              <w:tab/>
                            </w:r>
                            <w:r w:rsidR="00B95DE9" w:rsidRPr="008E6535">
                              <w:rPr>
                                <w:rFonts w:cs="Arial"/>
                                <w:sz w:val="18"/>
                                <w:szCs w:val="18"/>
                              </w:rPr>
                              <w:t xml:space="preserve">REVISED: </w:t>
                            </w:r>
                          </w:p>
                          <w:p w14:paraId="15B7AD43" w14:textId="77777777" w:rsidR="008E6535" w:rsidRPr="00422DCC" w:rsidRDefault="008E6535" w:rsidP="00422DCC">
                            <w:pPr>
                              <w:pStyle w:val="JudgmentNumbered"/>
                              <w:numPr>
                                <w:ilvl w:val="0"/>
                                <w:numId w:val="0"/>
                              </w:numPr>
                              <w:spacing w:after="0"/>
                              <w:ind w:left="567"/>
                            </w:pPr>
                          </w:p>
                          <w:p w14:paraId="2EE5D385" w14:textId="50223C7B" w:rsidR="00B95DE9" w:rsidRPr="00C344A5" w:rsidRDefault="003233D7" w:rsidP="008E6535">
                            <w:pPr>
                              <w:spacing w:after="0" w:line="240" w:lineRule="auto"/>
                              <w:rPr>
                                <w:rFonts w:cs="Arial"/>
                                <w:b/>
                                <w:sz w:val="18"/>
                                <w:szCs w:val="20"/>
                              </w:rPr>
                            </w:pPr>
                            <w:r w:rsidRPr="003E15C7">
                              <w:rPr>
                                <w:rFonts w:cs="Arial"/>
                                <w:b/>
                                <w:sz w:val="20"/>
                                <w:szCs w:val="20"/>
                              </w:rPr>
                              <w:t>15.03.202</w:t>
                            </w:r>
                            <w:r w:rsidR="00C846E1" w:rsidRPr="003E15C7">
                              <w:rPr>
                                <w:rFonts w:cs="Arial"/>
                                <w:b/>
                                <w:sz w:val="20"/>
                                <w:szCs w:val="20"/>
                              </w:rPr>
                              <w:t>4</w:t>
                            </w:r>
                            <w:r w:rsidR="00B95DE9" w:rsidRPr="00C344A5">
                              <w:rPr>
                                <w:rFonts w:cs="Arial"/>
                                <w:b/>
                                <w:sz w:val="18"/>
                                <w:szCs w:val="20"/>
                              </w:rPr>
                              <w:tab/>
                            </w:r>
                            <w:r w:rsidR="00B95DE9">
                              <w:rPr>
                                <w:rFonts w:cs="Arial"/>
                                <w:b/>
                                <w:sz w:val="18"/>
                                <w:szCs w:val="20"/>
                              </w:rPr>
                              <w:tab/>
                            </w:r>
                            <w:r w:rsidR="00B95DE9" w:rsidRPr="00C344A5">
                              <w:rPr>
                                <w:rFonts w:cs="Arial"/>
                                <w:b/>
                                <w:sz w:val="18"/>
                                <w:szCs w:val="20"/>
                              </w:rPr>
                              <w:t>__________________</w:t>
                            </w:r>
                          </w:p>
                          <w:p w14:paraId="41F058C1" w14:textId="6B561FAD" w:rsidR="00B95DE9" w:rsidRPr="00C344A5" w:rsidRDefault="00B95DE9" w:rsidP="008E6535">
                            <w:pPr>
                              <w:spacing w:before="240" w:after="0"/>
                              <w:rPr>
                                <w:rFonts w:cs="Arial"/>
                                <w:sz w:val="18"/>
                                <w:szCs w:val="20"/>
                              </w:rPr>
                            </w:pPr>
                            <w:r w:rsidRPr="00C344A5">
                              <w:rPr>
                                <w:rFonts w:cs="Arial"/>
                                <w:sz w:val="18"/>
                                <w:szCs w:val="20"/>
                              </w:rPr>
                              <w:t>DATE</w:t>
                            </w:r>
                            <w:r w:rsidR="00CE03A5">
                              <w:rPr>
                                <w:rFonts w:cs="Arial"/>
                                <w:sz w:val="18"/>
                                <w:szCs w:val="20"/>
                              </w:rPr>
                              <w:tab/>
                            </w:r>
                            <w:r w:rsidR="00CE03A5">
                              <w:rPr>
                                <w:rFonts w:cs="Arial"/>
                                <w:sz w:val="18"/>
                                <w:szCs w:val="20"/>
                              </w:rPr>
                              <w:tab/>
                            </w:r>
                            <w:r w:rsidR="00CE03A5">
                              <w:rPr>
                                <w:rFonts w:cs="Arial"/>
                                <w:sz w:val="18"/>
                                <w:szCs w:val="20"/>
                              </w:rPr>
                              <w:tab/>
                            </w:r>
                            <w:r w:rsidR="00F92417">
                              <w:rPr>
                                <w:rFonts w:cs="Arial"/>
                                <w:sz w:val="18"/>
                                <w:szCs w:val="20"/>
                              </w:rPr>
                              <w:t xml:space="preserve">  </w:t>
                            </w:r>
                            <w:r w:rsidR="00CE03A5">
                              <w:rPr>
                                <w:rFonts w:cs="Arial"/>
                                <w:sz w:val="18"/>
                                <w:szCs w:val="20"/>
                              </w:rPr>
                              <w:t xml:space="preserve"> </w:t>
                            </w:r>
                            <w:r w:rsidRPr="00C344A5">
                              <w:rPr>
                                <w:rFonts w:cs="Arial"/>
                                <w:sz w:val="18"/>
                                <w:szCs w:val="20"/>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88D076" id="_x0000_t202" coordsize="21600,21600" o:spt="202" path="m,l,21600r21600,l21600,xe">
                <v:stroke joinstyle="miter"/>
                <v:path gradientshapeok="t" o:connecttype="rect"/>
              </v:shapetype>
              <v:shape id="Text Box 2" o:spid="_x0000_s1026" type="#_x0000_t202" style="position:absolute;left:0;text-align:left;margin-left:0;margin-top:.65pt;width:277.8pt;height:99.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">
                <v:textbox>
                  <w:txbxContent>
                    <w:p w14:paraId="4A662AFF" w14:textId="1277EF96" w:rsidR="00B95DE9" w:rsidRPr="008E6535" w:rsidRDefault="00FC396E" w:rsidP="00FC396E">
                      <w:pPr>
                        <w:tabs>
                          <w:tab w:val="left" w:pos="900"/>
                        </w:tabs>
                        <w:spacing w:after="0" w:line="240" w:lineRule="auto"/>
                        <w:ind w:left="900" w:hanging="720"/>
                        <w:jc w:val="left"/>
                        <w:rPr>
                          <w:rFonts w:cs="Arial"/>
                          <w:sz w:val="18"/>
                          <w:szCs w:val="18"/>
                        </w:rPr>
                      </w:pPr>
                      <w:r w:rsidRPr="008E6535">
                        <w:rPr>
                          <w:rFonts w:cs="Arial"/>
                          <w:sz w:val="18"/>
                          <w:szCs w:val="18"/>
                        </w:rPr>
                        <w:t>(1)</w:t>
                      </w:r>
                      <w:r w:rsidRPr="008E6535">
                        <w:rPr>
                          <w:rFonts w:cs="Arial"/>
                          <w:sz w:val="18"/>
                          <w:szCs w:val="18"/>
                        </w:rPr>
                        <w:tab/>
                      </w:r>
                      <w:r w:rsidR="00B95DE9" w:rsidRPr="008E6535">
                        <w:rPr>
                          <w:rFonts w:cs="Arial"/>
                          <w:sz w:val="18"/>
                          <w:szCs w:val="18"/>
                        </w:rPr>
                        <w:t>REPORTABLE:</w:t>
                      </w:r>
                      <w:r w:rsidR="0013335F">
                        <w:rPr>
                          <w:rFonts w:cs="Arial"/>
                          <w:sz w:val="18"/>
                          <w:szCs w:val="18"/>
                        </w:rPr>
                        <w:t xml:space="preserve"> </w:t>
                      </w:r>
                      <w:r w:rsidR="003233D7">
                        <w:rPr>
                          <w:rFonts w:cs="Arial"/>
                          <w:sz w:val="18"/>
                          <w:szCs w:val="18"/>
                        </w:rPr>
                        <w:t xml:space="preserve"> NO</w:t>
                      </w:r>
                    </w:p>
                    <w:p w14:paraId="4C8C5104" w14:textId="0A770142" w:rsidR="00B95DE9" w:rsidRPr="008E6535" w:rsidRDefault="00FC396E" w:rsidP="00FC396E">
                      <w:pPr>
                        <w:tabs>
                          <w:tab w:val="left" w:pos="900"/>
                        </w:tabs>
                        <w:spacing w:after="0" w:line="240" w:lineRule="auto"/>
                        <w:ind w:left="900" w:hanging="720"/>
                        <w:jc w:val="left"/>
                        <w:rPr>
                          <w:rFonts w:cs="Arial"/>
                          <w:sz w:val="18"/>
                          <w:szCs w:val="18"/>
                        </w:rPr>
                      </w:pPr>
                      <w:r w:rsidRPr="008E6535">
                        <w:rPr>
                          <w:rFonts w:cs="Arial"/>
                          <w:sz w:val="18"/>
                          <w:szCs w:val="18"/>
                        </w:rPr>
                        <w:t>(2)</w:t>
                      </w:r>
                      <w:r w:rsidRPr="008E6535">
                        <w:rPr>
                          <w:rFonts w:cs="Arial"/>
                          <w:sz w:val="18"/>
                          <w:szCs w:val="18"/>
                        </w:rPr>
                        <w:tab/>
                      </w:r>
                      <w:r w:rsidR="00B95DE9" w:rsidRPr="008E6535">
                        <w:rPr>
                          <w:rFonts w:cs="Arial"/>
                          <w:sz w:val="18"/>
                          <w:szCs w:val="18"/>
                        </w:rPr>
                        <w:t xml:space="preserve">OF INTEREST TO OTHER JUDGES: </w:t>
                      </w:r>
                      <w:r w:rsidR="003233D7">
                        <w:rPr>
                          <w:rFonts w:cs="Arial"/>
                          <w:sz w:val="18"/>
                          <w:szCs w:val="18"/>
                        </w:rPr>
                        <w:t>NO</w:t>
                      </w:r>
                    </w:p>
                    <w:p w14:paraId="48F85747" w14:textId="51FDA385" w:rsidR="00B95DE9" w:rsidRPr="008E6535" w:rsidRDefault="00FC396E" w:rsidP="00FC396E">
                      <w:pPr>
                        <w:tabs>
                          <w:tab w:val="left" w:pos="900"/>
                        </w:tabs>
                        <w:spacing w:after="0" w:line="240" w:lineRule="auto"/>
                        <w:ind w:left="900" w:hanging="720"/>
                        <w:jc w:val="left"/>
                        <w:rPr>
                          <w:rFonts w:cs="Arial"/>
                          <w:sz w:val="18"/>
                          <w:szCs w:val="18"/>
                        </w:rPr>
                      </w:pPr>
                      <w:r w:rsidRPr="008E6535">
                        <w:rPr>
                          <w:rFonts w:cs="Arial"/>
                          <w:sz w:val="18"/>
                          <w:szCs w:val="18"/>
                        </w:rPr>
                        <w:t>(3)</w:t>
                      </w:r>
                      <w:r w:rsidRPr="008E6535">
                        <w:rPr>
                          <w:rFonts w:cs="Arial"/>
                          <w:sz w:val="18"/>
                          <w:szCs w:val="18"/>
                        </w:rPr>
                        <w:tab/>
                      </w:r>
                      <w:r w:rsidR="00B95DE9" w:rsidRPr="008E6535">
                        <w:rPr>
                          <w:rFonts w:cs="Arial"/>
                          <w:sz w:val="18"/>
                          <w:szCs w:val="18"/>
                        </w:rPr>
                        <w:t xml:space="preserve">REVISED: </w:t>
                      </w:r>
                    </w:p>
                    <w:p w14:paraId="15B7AD43" w14:textId="77777777" w:rsidR="008E6535" w:rsidRPr="00422DCC" w:rsidRDefault="008E6535" w:rsidP="00422DCC">
                      <w:pPr>
                        <w:pStyle w:val="JudgmentNumbered"/>
                        <w:numPr>
                          <w:ilvl w:val="0"/>
                          <w:numId w:val="0"/>
                        </w:numPr>
                        <w:spacing w:after="0"/>
                        <w:ind w:left="567"/>
                      </w:pPr>
                    </w:p>
                    <w:p w14:paraId="2EE5D385" w14:textId="50223C7B" w:rsidR="00B95DE9" w:rsidRPr="00C344A5" w:rsidRDefault="003233D7" w:rsidP="008E6535">
                      <w:pPr>
                        <w:spacing w:after="0" w:line="240" w:lineRule="auto"/>
                        <w:rPr>
                          <w:rFonts w:cs="Arial"/>
                          <w:b/>
                          <w:sz w:val="18"/>
                          <w:szCs w:val="20"/>
                        </w:rPr>
                      </w:pPr>
                      <w:r w:rsidRPr="003E15C7">
                        <w:rPr>
                          <w:rFonts w:cs="Arial"/>
                          <w:b/>
                          <w:sz w:val="20"/>
                          <w:szCs w:val="20"/>
                        </w:rPr>
                        <w:t>15.03.202</w:t>
                      </w:r>
                      <w:r w:rsidR="00C846E1" w:rsidRPr="003E15C7">
                        <w:rPr>
                          <w:rFonts w:cs="Arial"/>
                          <w:b/>
                          <w:sz w:val="20"/>
                          <w:szCs w:val="20"/>
                        </w:rPr>
                        <w:t>4</w:t>
                      </w:r>
                      <w:r w:rsidR="00B95DE9" w:rsidRPr="00C344A5">
                        <w:rPr>
                          <w:rFonts w:cs="Arial"/>
                          <w:b/>
                          <w:sz w:val="18"/>
                          <w:szCs w:val="20"/>
                        </w:rPr>
                        <w:tab/>
                      </w:r>
                      <w:r w:rsidR="00B95DE9">
                        <w:rPr>
                          <w:rFonts w:cs="Arial"/>
                          <w:b/>
                          <w:sz w:val="18"/>
                          <w:szCs w:val="20"/>
                        </w:rPr>
                        <w:tab/>
                      </w:r>
                      <w:r w:rsidR="00B95DE9" w:rsidRPr="00C344A5">
                        <w:rPr>
                          <w:rFonts w:cs="Arial"/>
                          <w:b/>
                          <w:sz w:val="18"/>
                          <w:szCs w:val="20"/>
                        </w:rPr>
                        <w:t>__________________</w:t>
                      </w:r>
                    </w:p>
                    <w:p w14:paraId="41F058C1" w14:textId="6B561FAD" w:rsidR="00B95DE9" w:rsidRPr="00C344A5" w:rsidRDefault="00B95DE9" w:rsidP="008E6535">
                      <w:pPr>
                        <w:spacing w:before="240" w:after="0"/>
                        <w:rPr>
                          <w:rFonts w:cs="Arial"/>
                          <w:sz w:val="18"/>
                          <w:szCs w:val="20"/>
                        </w:rPr>
                      </w:pPr>
                      <w:r w:rsidRPr="00C344A5">
                        <w:rPr>
                          <w:rFonts w:cs="Arial"/>
                          <w:sz w:val="18"/>
                          <w:szCs w:val="20"/>
                        </w:rPr>
                        <w:t>DATE</w:t>
                      </w:r>
                      <w:r w:rsidR="00CE03A5">
                        <w:rPr>
                          <w:rFonts w:cs="Arial"/>
                          <w:sz w:val="18"/>
                          <w:szCs w:val="20"/>
                        </w:rPr>
                        <w:tab/>
                      </w:r>
                      <w:r w:rsidR="00CE03A5">
                        <w:rPr>
                          <w:rFonts w:cs="Arial"/>
                          <w:sz w:val="18"/>
                          <w:szCs w:val="20"/>
                        </w:rPr>
                        <w:tab/>
                      </w:r>
                      <w:r w:rsidR="00CE03A5">
                        <w:rPr>
                          <w:rFonts w:cs="Arial"/>
                          <w:sz w:val="18"/>
                          <w:szCs w:val="20"/>
                        </w:rPr>
                        <w:tab/>
                      </w:r>
                      <w:r w:rsidR="00F92417">
                        <w:rPr>
                          <w:rFonts w:cs="Arial"/>
                          <w:sz w:val="18"/>
                          <w:szCs w:val="20"/>
                        </w:rPr>
                        <w:t xml:space="preserve">  </w:t>
                      </w:r>
                      <w:r w:rsidR="00CE03A5">
                        <w:rPr>
                          <w:rFonts w:cs="Arial"/>
                          <w:sz w:val="18"/>
                          <w:szCs w:val="20"/>
                        </w:rPr>
                        <w:t xml:space="preserve"> </w:t>
                      </w:r>
                      <w:r w:rsidRPr="00C344A5">
                        <w:rPr>
                          <w:rFonts w:cs="Arial"/>
                          <w:sz w:val="18"/>
                          <w:szCs w:val="20"/>
                        </w:rPr>
                        <w:t>SIGNATURE</w:t>
                      </w:r>
                    </w:p>
                  </w:txbxContent>
                </v:textbox>
                <w10:wrap anchorx="margin"/>
              </v:shape>
            </w:pict>
          </mc:Fallback>
        </mc:AlternateContent>
      </w:r>
    </w:p>
    <w:p w14:paraId="1B8FA245" w14:textId="77777777" w:rsidR="00422DCC" w:rsidRPr="005D1EE6" w:rsidRDefault="00422DCC" w:rsidP="00361D1C">
      <w:pPr>
        <w:tabs>
          <w:tab w:val="left" w:pos="8998"/>
        </w:tabs>
        <w:spacing w:after="0" w:line="240" w:lineRule="auto"/>
        <w:ind w:left="0"/>
        <w:rPr>
          <w:rFonts w:eastAsia="Times New Roman" w:cs="Arial"/>
          <w:color w:val="000000" w:themeColor="text1"/>
          <w:szCs w:val="24"/>
          <w:lang w:val="en-ZA"/>
        </w:rPr>
      </w:pPr>
    </w:p>
    <w:p w14:paraId="705102A9" w14:textId="77777777" w:rsidR="00422DCC" w:rsidRPr="005D1EE6" w:rsidRDefault="00422DCC" w:rsidP="00361D1C">
      <w:pPr>
        <w:tabs>
          <w:tab w:val="left" w:pos="8998"/>
        </w:tabs>
        <w:spacing w:after="0" w:line="240" w:lineRule="auto"/>
        <w:ind w:left="0"/>
        <w:rPr>
          <w:rFonts w:eastAsia="Times New Roman" w:cs="Arial"/>
          <w:color w:val="000000" w:themeColor="text1"/>
          <w:szCs w:val="24"/>
          <w:lang w:val="en-ZA"/>
        </w:rPr>
      </w:pPr>
    </w:p>
    <w:p w14:paraId="6EE0062D" w14:textId="77777777" w:rsidR="00422DCC" w:rsidRPr="005D1EE6" w:rsidRDefault="00422DCC" w:rsidP="00361D1C">
      <w:pPr>
        <w:tabs>
          <w:tab w:val="left" w:pos="8998"/>
        </w:tabs>
        <w:spacing w:after="0" w:line="240" w:lineRule="auto"/>
        <w:ind w:left="0"/>
        <w:rPr>
          <w:rFonts w:eastAsia="Times New Roman" w:cs="Arial"/>
          <w:color w:val="000000" w:themeColor="text1"/>
          <w:szCs w:val="24"/>
          <w:lang w:val="en-ZA"/>
        </w:rPr>
      </w:pPr>
      <w:r w:rsidRPr="005D1EE6">
        <w:rPr>
          <w:rFonts w:eastAsia="Times New Roman" w:cs="Arial"/>
          <w:color w:val="000000" w:themeColor="text1"/>
          <w:szCs w:val="24"/>
          <w:lang w:val="en-ZA"/>
        </w:rPr>
        <w:t>In the matter between:</w:t>
      </w:r>
    </w:p>
    <w:p w14:paraId="2359E50F" w14:textId="77777777" w:rsidR="00422DCC" w:rsidRPr="005D1EE6" w:rsidRDefault="00422DCC" w:rsidP="00361D1C">
      <w:pPr>
        <w:tabs>
          <w:tab w:val="right" w:pos="9029"/>
        </w:tabs>
        <w:spacing w:after="0" w:line="240" w:lineRule="auto"/>
        <w:ind w:left="0"/>
        <w:rPr>
          <w:rFonts w:eastAsia="Times New Roman" w:cs="Arial"/>
          <w:color w:val="000000" w:themeColor="text1"/>
          <w:szCs w:val="24"/>
          <w:lang w:val="en-ZA"/>
        </w:rPr>
      </w:pPr>
    </w:p>
    <w:p w14:paraId="4AB53BE7" w14:textId="77777777" w:rsidR="00422DCC" w:rsidRPr="005D1EE6" w:rsidRDefault="00422DCC" w:rsidP="00361D1C">
      <w:pPr>
        <w:tabs>
          <w:tab w:val="right" w:pos="9029"/>
        </w:tabs>
        <w:spacing w:after="0" w:line="240" w:lineRule="auto"/>
        <w:ind w:left="0"/>
        <w:rPr>
          <w:rFonts w:eastAsia="Times New Roman" w:cs="Arial"/>
          <w:color w:val="000000" w:themeColor="text1"/>
          <w:szCs w:val="24"/>
          <w:lang w:val="en-ZA"/>
        </w:rPr>
      </w:pPr>
    </w:p>
    <w:p w14:paraId="25C7E363" w14:textId="77777777" w:rsidR="00422DCC" w:rsidRPr="005D1EE6" w:rsidRDefault="00422DCC" w:rsidP="00361D1C">
      <w:pPr>
        <w:tabs>
          <w:tab w:val="right" w:pos="9029"/>
        </w:tabs>
        <w:spacing w:after="0" w:line="240" w:lineRule="auto"/>
        <w:ind w:left="0"/>
        <w:contextualSpacing/>
        <w:rPr>
          <w:rFonts w:eastAsia="Times New Roman" w:cs="Arial"/>
          <w:b/>
          <w:color w:val="000000" w:themeColor="text1"/>
          <w:szCs w:val="24"/>
          <w:lang w:val="en-ZA"/>
        </w:rPr>
      </w:pPr>
    </w:p>
    <w:p w14:paraId="2783581E" w14:textId="77777777" w:rsidR="00422DCC" w:rsidRPr="005D1EE6" w:rsidRDefault="00422DCC" w:rsidP="00361D1C">
      <w:pPr>
        <w:tabs>
          <w:tab w:val="right" w:pos="9029"/>
        </w:tabs>
        <w:spacing w:after="0" w:line="240" w:lineRule="auto"/>
        <w:ind w:left="0"/>
        <w:contextualSpacing/>
        <w:rPr>
          <w:rFonts w:eastAsia="Times New Roman" w:cs="Arial"/>
          <w:b/>
          <w:color w:val="000000" w:themeColor="text1"/>
          <w:szCs w:val="24"/>
          <w:lang w:val="en-ZA"/>
        </w:rPr>
      </w:pPr>
    </w:p>
    <w:p w14:paraId="4C32BEF5" w14:textId="20AE1185" w:rsidR="002D617F" w:rsidRPr="005D1EE6" w:rsidRDefault="00422DCC" w:rsidP="00361D1C">
      <w:pPr>
        <w:tabs>
          <w:tab w:val="right" w:pos="9029"/>
        </w:tabs>
        <w:spacing w:after="0" w:line="240" w:lineRule="auto"/>
        <w:ind w:left="0"/>
        <w:contextualSpacing/>
        <w:rPr>
          <w:rFonts w:eastAsia="Times New Roman" w:cs="Arial"/>
          <w:color w:val="000000" w:themeColor="text1"/>
          <w:szCs w:val="24"/>
          <w:lang w:val="en-ZA"/>
        </w:rPr>
      </w:pPr>
      <w:r w:rsidRPr="005D1EE6">
        <w:rPr>
          <w:rFonts w:eastAsia="Times New Roman" w:cs="Arial"/>
          <w:color w:val="000000" w:themeColor="text1"/>
          <w:szCs w:val="24"/>
          <w:lang w:val="en-ZA"/>
        </w:rPr>
        <w:t xml:space="preserve">In the </w:t>
      </w:r>
      <w:r w:rsidR="00C52E49" w:rsidRPr="005D1EE6">
        <w:rPr>
          <w:rFonts w:eastAsia="Times New Roman" w:cs="Arial"/>
          <w:color w:val="000000" w:themeColor="text1"/>
          <w:szCs w:val="24"/>
          <w:lang w:val="en-ZA"/>
        </w:rPr>
        <w:t xml:space="preserve">application </w:t>
      </w:r>
      <w:r w:rsidRPr="005D1EE6">
        <w:rPr>
          <w:rFonts w:eastAsia="Times New Roman" w:cs="Arial"/>
          <w:color w:val="000000" w:themeColor="text1"/>
          <w:szCs w:val="24"/>
          <w:lang w:val="en-ZA"/>
        </w:rPr>
        <w:t>between:</w:t>
      </w:r>
    </w:p>
    <w:p w14:paraId="7024411E" w14:textId="77777777" w:rsidR="002D617F" w:rsidRPr="005D1EE6" w:rsidRDefault="002D617F" w:rsidP="00361D1C">
      <w:pPr>
        <w:pStyle w:val="JudgmentNumbered"/>
        <w:numPr>
          <w:ilvl w:val="0"/>
          <w:numId w:val="0"/>
        </w:numPr>
        <w:rPr>
          <w:color w:val="000000" w:themeColor="text1"/>
          <w:szCs w:val="24"/>
          <w:lang w:val="en-ZA"/>
        </w:rPr>
      </w:pPr>
    </w:p>
    <w:p w14:paraId="2B9B28F3" w14:textId="744FE358" w:rsidR="00CD1454" w:rsidRPr="005D1EE6" w:rsidRDefault="00952669" w:rsidP="00361D1C">
      <w:pPr>
        <w:tabs>
          <w:tab w:val="right" w:pos="8931"/>
        </w:tabs>
        <w:spacing w:after="0" w:line="480" w:lineRule="auto"/>
        <w:ind w:left="0"/>
        <w:contextualSpacing/>
        <w:rPr>
          <w:rFonts w:cs="Arial"/>
          <w:color w:val="000000" w:themeColor="text1"/>
          <w:szCs w:val="24"/>
        </w:rPr>
      </w:pPr>
      <w:r w:rsidRPr="005D1EE6">
        <w:rPr>
          <w:rFonts w:cs="Arial"/>
          <w:b/>
          <w:color w:val="000000" w:themeColor="text1"/>
          <w:szCs w:val="24"/>
        </w:rPr>
        <w:t>MR ERNEST KETCHA NGASSAM</w:t>
      </w:r>
      <w:r w:rsidR="00F92417">
        <w:rPr>
          <w:rFonts w:cs="Arial"/>
          <w:color w:val="000000" w:themeColor="text1"/>
          <w:szCs w:val="24"/>
        </w:rPr>
        <w:t xml:space="preserve">   </w:t>
      </w:r>
      <w:r w:rsidR="00CD1454" w:rsidRPr="005D1EE6">
        <w:rPr>
          <w:rFonts w:cs="Arial"/>
          <w:color w:val="000000" w:themeColor="text1"/>
          <w:szCs w:val="24"/>
        </w:rPr>
        <w:t xml:space="preserve"> </w:t>
      </w:r>
      <w:r w:rsidR="00361D1C" w:rsidRPr="005D1EE6">
        <w:rPr>
          <w:rFonts w:cs="Arial"/>
          <w:color w:val="000000" w:themeColor="text1"/>
          <w:szCs w:val="24"/>
        </w:rPr>
        <w:tab/>
      </w:r>
      <w:r w:rsidR="002D2EF0" w:rsidRPr="005D1EE6">
        <w:rPr>
          <w:rFonts w:cs="Arial"/>
          <w:color w:val="000000" w:themeColor="text1"/>
          <w:szCs w:val="24"/>
        </w:rPr>
        <w:t>Plaintiff/respondent</w:t>
      </w:r>
    </w:p>
    <w:p w14:paraId="6B036A45" w14:textId="3EDCD10B" w:rsidR="00952669" w:rsidRPr="005D1EE6" w:rsidRDefault="00952669" w:rsidP="00361D1C">
      <w:pPr>
        <w:pStyle w:val="JudgmentNumbered"/>
        <w:numPr>
          <w:ilvl w:val="0"/>
          <w:numId w:val="0"/>
        </w:numPr>
        <w:ind w:left="567" w:hanging="567"/>
        <w:rPr>
          <w:color w:val="000000" w:themeColor="text1"/>
          <w:szCs w:val="24"/>
        </w:rPr>
      </w:pPr>
      <w:r w:rsidRPr="005D1EE6">
        <w:rPr>
          <w:color w:val="000000" w:themeColor="text1"/>
          <w:szCs w:val="24"/>
        </w:rPr>
        <w:t>and</w:t>
      </w:r>
    </w:p>
    <w:p w14:paraId="63CD83E2" w14:textId="303E59EA" w:rsidR="00952669" w:rsidRPr="005D1EE6" w:rsidRDefault="00952669" w:rsidP="00361D1C">
      <w:pPr>
        <w:pStyle w:val="JudgmentNumbered"/>
        <w:numPr>
          <w:ilvl w:val="0"/>
          <w:numId w:val="0"/>
        </w:numPr>
        <w:tabs>
          <w:tab w:val="right" w:pos="8931"/>
        </w:tabs>
        <w:ind w:left="567" w:hanging="567"/>
        <w:rPr>
          <w:color w:val="000000" w:themeColor="text1"/>
          <w:szCs w:val="24"/>
        </w:rPr>
      </w:pPr>
      <w:r w:rsidRPr="005D1EE6">
        <w:rPr>
          <w:b/>
          <w:color w:val="000000" w:themeColor="text1"/>
          <w:szCs w:val="24"/>
        </w:rPr>
        <w:t>MTN GROUP MANAGEMENT SERVICES (PTY) LTD</w:t>
      </w:r>
      <w:r w:rsidR="00F92417">
        <w:rPr>
          <w:color w:val="000000" w:themeColor="text1"/>
          <w:szCs w:val="24"/>
        </w:rPr>
        <w:t xml:space="preserve">  </w:t>
      </w:r>
      <w:r w:rsidR="00A66A4E" w:rsidRPr="005D1EE6">
        <w:rPr>
          <w:color w:val="000000" w:themeColor="text1"/>
          <w:szCs w:val="24"/>
        </w:rPr>
        <w:t xml:space="preserve"> </w:t>
      </w:r>
      <w:r w:rsidR="00A66A4E" w:rsidRPr="005D1EE6">
        <w:rPr>
          <w:color w:val="000000" w:themeColor="text1"/>
          <w:szCs w:val="24"/>
        </w:rPr>
        <w:tab/>
      </w:r>
      <w:r w:rsidR="000A5DE4" w:rsidRPr="005D1EE6">
        <w:rPr>
          <w:color w:val="000000" w:themeColor="text1"/>
          <w:szCs w:val="24"/>
        </w:rPr>
        <w:t>Defendant/applicant</w:t>
      </w:r>
    </w:p>
    <w:p w14:paraId="619451C8" w14:textId="2A851ADC" w:rsidR="0091178F" w:rsidRPr="005D1EE6" w:rsidRDefault="0091178F" w:rsidP="00361D1C">
      <w:pPr>
        <w:tabs>
          <w:tab w:val="right" w:pos="9027"/>
        </w:tabs>
        <w:spacing w:after="0" w:line="240" w:lineRule="auto"/>
        <w:ind w:left="0"/>
        <w:contextualSpacing/>
        <w:rPr>
          <w:rFonts w:cs="Arial"/>
          <w:color w:val="000000" w:themeColor="text1"/>
          <w:szCs w:val="24"/>
        </w:rPr>
      </w:pPr>
    </w:p>
    <w:p w14:paraId="4407300A" w14:textId="73BA302E" w:rsidR="0091178F" w:rsidRPr="005D1EE6" w:rsidRDefault="0091178F" w:rsidP="00361D1C">
      <w:pPr>
        <w:spacing w:after="200" w:line="276" w:lineRule="auto"/>
        <w:ind w:left="0"/>
        <w:contextualSpacing/>
        <w:rPr>
          <w:rFonts w:eastAsia="Calibri" w:cs="Arial"/>
          <w:bCs/>
          <w:i/>
          <w:color w:val="000000" w:themeColor="text1"/>
          <w:szCs w:val="24"/>
        </w:rPr>
      </w:pPr>
      <w:r w:rsidRPr="005D1EE6">
        <w:rPr>
          <w:rFonts w:eastAsia="Calibri" w:cs="Arial"/>
          <w:bCs/>
          <w:i/>
          <w:color w:val="000000" w:themeColor="text1"/>
          <w:szCs w:val="24"/>
        </w:rPr>
        <w:t>This judgment was handed down electronically by circulation to the parties’ representatives via e-mail, by being uploaded to CaseLines and by release to SAFLII. The date and time for hand-down is deemed to be 10</w:t>
      </w:r>
      <w:r w:rsidR="001D24FF" w:rsidRPr="005D1EE6">
        <w:rPr>
          <w:rFonts w:eastAsia="Calibri" w:cs="Arial"/>
          <w:bCs/>
          <w:i/>
          <w:color w:val="000000" w:themeColor="text1"/>
          <w:szCs w:val="24"/>
        </w:rPr>
        <w:t>:</w:t>
      </w:r>
      <w:r w:rsidRPr="005D1EE6">
        <w:rPr>
          <w:rFonts w:eastAsia="Calibri" w:cs="Arial"/>
          <w:bCs/>
          <w:i/>
          <w:color w:val="000000" w:themeColor="text1"/>
          <w:szCs w:val="24"/>
        </w:rPr>
        <w:t>00 on</w:t>
      </w:r>
      <w:r w:rsidR="00F92417">
        <w:rPr>
          <w:rFonts w:eastAsia="Calibri" w:cs="Arial"/>
          <w:bCs/>
          <w:i/>
          <w:color w:val="000000" w:themeColor="text1"/>
          <w:szCs w:val="24"/>
        </w:rPr>
        <w:t xml:space="preserve">  </w:t>
      </w:r>
      <w:r w:rsidRPr="005D1EE6">
        <w:rPr>
          <w:rFonts w:eastAsia="Calibri" w:cs="Arial"/>
          <w:bCs/>
          <w:i/>
          <w:color w:val="000000" w:themeColor="text1"/>
          <w:szCs w:val="24"/>
        </w:rPr>
        <w:t xml:space="preserve"> </w:t>
      </w:r>
    </w:p>
    <w:p w14:paraId="40169746" w14:textId="6DBE9B55" w:rsidR="00BE2FDA" w:rsidRPr="005D1EE6" w:rsidRDefault="00BE2FDA" w:rsidP="00361D1C">
      <w:pPr>
        <w:pBdr>
          <w:bottom w:val="single" w:sz="12" w:space="1" w:color="auto"/>
        </w:pBdr>
        <w:spacing w:after="0"/>
        <w:ind w:left="0"/>
        <w:jc w:val="left"/>
        <w:rPr>
          <w:rFonts w:cs="Arial"/>
          <w:color w:val="000000" w:themeColor="text1"/>
          <w:szCs w:val="24"/>
          <w:lang w:val="en-US"/>
        </w:rPr>
      </w:pPr>
    </w:p>
    <w:p w14:paraId="797CF5B1" w14:textId="77777777" w:rsidR="007B7F59" w:rsidRPr="005D1EE6" w:rsidRDefault="007B7F59" w:rsidP="00361D1C">
      <w:pPr>
        <w:spacing w:after="0" w:line="240" w:lineRule="auto"/>
        <w:ind w:left="1440" w:hanging="1440"/>
        <w:jc w:val="left"/>
        <w:rPr>
          <w:rFonts w:cs="Arial"/>
          <w:b/>
          <w:color w:val="000000" w:themeColor="text1"/>
          <w:szCs w:val="24"/>
        </w:rPr>
      </w:pPr>
    </w:p>
    <w:p w14:paraId="49EA7DB0" w14:textId="77777777" w:rsidR="007B7F59" w:rsidRPr="005D1EE6" w:rsidRDefault="007B7F59" w:rsidP="00361D1C">
      <w:pPr>
        <w:pBdr>
          <w:bottom w:val="single" w:sz="12" w:space="1" w:color="auto"/>
        </w:pBdr>
        <w:spacing w:line="480" w:lineRule="auto"/>
        <w:ind w:left="0"/>
        <w:jc w:val="center"/>
        <w:rPr>
          <w:rFonts w:cs="Arial"/>
          <w:b/>
          <w:color w:val="000000" w:themeColor="text1"/>
          <w:szCs w:val="24"/>
          <w:lang w:val="en-ZA"/>
        </w:rPr>
      </w:pPr>
      <w:r w:rsidRPr="005D1EE6">
        <w:rPr>
          <w:rFonts w:cs="Arial"/>
          <w:b/>
          <w:color w:val="000000" w:themeColor="text1"/>
          <w:szCs w:val="24"/>
          <w:lang w:val="en-ZA"/>
        </w:rPr>
        <w:t>JUDGMENT</w:t>
      </w:r>
    </w:p>
    <w:p w14:paraId="79D5F893" w14:textId="77777777" w:rsidR="007F7553" w:rsidRPr="005D1EE6" w:rsidRDefault="007F7553" w:rsidP="00361D1C">
      <w:pPr>
        <w:spacing w:after="0" w:line="240" w:lineRule="auto"/>
        <w:ind w:left="0"/>
        <w:jc w:val="left"/>
        <w:rPr>
          <w:rFonts w:cs="Arial"/>
          <w:b/>
          <w:bCs/>
          <w:color w:val="000000" w:themeColor="text1"/>
          <w:szCs w:val="24"/>
        </w:rPr>
      </w:pPr>
    </w:p>
    <w:p w14:paraId="5663E65F" w14:textId="472F3A22" w:rsidR="007E3224" w:rsidRPr="005D1EE6" w:rsidRDefault="0034305E" w:rsidP="00361D1C">
      <w:pPr>
        <w:spacing w:after="0" w:line="240" w:lineRule="auto"/>
        <w:ind w:left="0"/>
        <w:jc w:val="left"/>
        <w:rPr>
          <w:rFonts w:cs="Arial"/>
          <w:b/>
          <w:bCs/>
          <w:color w:val="000000" w:themeColor="text1"/>
          <w:szCs w:val="24"/>
        </w:rPr>
      </w:pPr>
      <w:r w:rsidRPr="005D1EE6">
        <w:rPr>
          <w:rFonts w:cs="Arial"/>
          <w:b/>
          <w:bCs/>
          <w:color w:val="000000" w:themeColor="text1"/>
          <w:szCs w:val="24"/>
        </w:rPr>
        <w:t>M</w:t>
      </w:r>
      <w:r w:rsidR="006667DA" w:rsidRPr="005D1EE6">
        <w:rPr>
          <w:rFonts w:cs="Arial"/>
          <w:b/>
          <w:bCs/>
          <w:color w:val="000000" w:themeColor="text1"/>
          <w:szCs w:val="24"/>
        </w:rPr>
        <w:t>EIRING</w:t>
      </w:r>
      <w:r w:rsidR="00642E81" w:rsidRPr="005D1EE6">
        <w:rPr>
          <w:rFonts w:cs="Arial"/>
          <w:b/>
          <w:bCs/>
          <w:color w:val="000000" w:themeColor="text1"/>
          <w:szCs w:val="24"/>
        </w:rPr>
        <w:t>,</w:t>
      </w:r>
      <w:r w:rsidR="00C01821" w:rsidRPr="005D1EE6">
        <w:rPr>
          <w:rFonts w:cs="Arial"/>
          <w:b/>
          <w:bCs/>
          <w:color w:val="000000" w:themeColor="text1"/>
          <w:szCs w:val="24"/>
        </w:rPr>
        <w:t xml:space="preserve"> </w:t>
      </w:r>
      <w:r w:rsidR="004767AA" w:rsidRPr="005D1EE6">
        <w:rPr>
          <w:rFonts w:cs="Arial"/>
          <w:b/>
          <w:bCs/>
          <w:color w:val="000000" w:themeColor="text1"/>
          <w:szCs w:val="24"/>
        </w:rPr>
        <w:t>A</w:t>
      </w:r>
      <w:r w:rsidR="00C01821" w:rsidRPr="005D1EE6">
        <w:rPr>
          <w:rFonts w:cs="Arial"/>
          <w:b/>
          <w:bCs/>
          <w:color w:val="000000" w:themeColor="text1"/>
          <w:szCs w:val="24"/>
        </w:rPr>
        <w:t>J</w:t>
      </w:r>
      <w:r w:rsidR="003660B3" w:rsidRPr="005D1EE6">
        <w:rPr>
          <w:rFonts w:cs="Arial"/>
          <w:b/>
          <w:bCs/>
          <w:color w:val="000000" w:themeColor="text1"/>
          <w:szCs w:val="24"/>
        </w:rPr>
        <w:t>:</w:t>
      </w:r>
    </w:p>
    <w:p w14:paraId="5EE237CD" w14:textId="3F2FC482" w:rsidR="00C80925" w:rsidRPr="005D1EE6" w:rsidRDefault="00C80925" w:rsidP="00361D1C">
      <w:pPr>
        <w:pStyle w:val="JudgmentNumbered"/>
        <w:numPr>
          <w:ilvl w:val="0"/>
          <w:numId w:val="0"/>
        </w:numPr>
        <w:spacing w:line="240" w:lineRule="auto"/>
        <w:rPr>
          <w:color w:val="000000" w:themeColor="text1"/>
          <w:szCs w:val="24"/>
        </w:rPr>
      </w:pPr>
    </w:p>
    <w:p w14:paraId="206CDA74" w14:textId="45173E07" w:rsidR="000D75DF" w:rsidRPr="005D1EE6" w:rsidRDefault="000D75DF" w:rsidP="00361D1C">
      <w:pPr>
        <w:pStyle w:val="JudgmentNumbered"/>
        <w:keepNext/>
        <w:numPr>
          <w:ilvl w:val="0"/>
          <w:numId w:val="0"/>
        </w:numPr>
        <w:ind w:left="567" w:hanging="567"/>
        <w:rPr>
          <w:b/>
          <w:bCs/>
          <w:color w:val="000000" w:themeColor="text1"/>
          <w:szCs w:val="24"/>
        </w:rPr>
      </w:pPr>
      <w:r w:rsidRPr="005D1EE6">
        <w:rPr>
          <w:b/>
          <w:bCs/>
          <w:color w:val="000000" w:themeColor="text1"/>
          <w:szCs w:val="24"/>
        </w:rPr>
        <w:lastRenderedPageBreak/>
        <w:t>INTRODUCTION</w:t>
      </w:r>
    </w:p>
    <w:p w14:paraId="4F3E3AC8" w14:textId="6FEC2969" w:rsidR="00464F73" w:rsidRPr="00291BC3" w:rsidRDefault="00FC396E" w:rsidP="00FC396E">
      <w:pPr>
        <w:pStyle w:val="JudgmentNumbered"/>
        <w:numPr>
          <w:ilvl w:val="0"/>
          <w:numId w:val="0"/>
        </w:numPr>
        <w:ind w:left="567" w:hanging="567"/>
        <w:rPr>
          <w:szCs w:val="24"/>
          <w:lang w:eastAsia="en-GB"/>
        </w:rPr>
      </w:pPr>
      <w:r w:rsidRPr="00291BC3">
        <w:rPr>
          <w:szCs w:val="24"/>
          <w:lang w:eastAsia="en-GB"/>
        </w:rPr>
        <w:t>[1]</w:t>
      </w:r>
      <w:r w:rsidRPr="00291BC3">
        <w:rPr>
          <w:szCs w:val="24"/>
          <w:lang w:eastAsia="en-GB"/>
        </w:rPr>
        <w:tab/>
      </w:r>
      <w:r w:rsidR="00464F73" w:rsidRPr="00291BC3">
        <w:rPr>
          <w:szCs w:val="24"/>
          <w:lang w:eastAsia="en-GB"/>
        </w:rPr>
        <w:t>This is an application under rule 30.</w:t>
      </w:r>
    </w:p>
    <w:p w14:paraId="1AC5A11B" w14:textId="0F37EF83" w:rsidR="00CE2304" w:rsidRPr="00291BC3" w:rsidRDefault="00FC396E" w:rsidP="00FC396E">
      <w:pPr>
        <w:pStyle w:val="JudgmentNumbered"/>
        <w:numPr>
          <w:ilvl w:val="0"/>
          <w:numId w:val="0"/>
        </w:numPr>
        <w:ind w:left="567" w:hanging="567"/>
        <w:rPr>
          <w:szCs w:val="24"/>
          <w:lang w:eastAsia="en-GB"/>
        </w:rPr>
      </w:pPr>
      <w:r w:rsidRPr="00291BC3">
        <w:rPr>
          <w:szCs w:val="24"/>
          <w:lang w:eastAsia="en-GB"/>
        </w:rPr>
        <w:t>[2]</w:t>
      </w:r>
      <w:r w:rsidRPr="00291BC3">
        <w:rPr>
          <w:szCs w:val="24"/>
          <w:lang w:eastAsia="en-GB"/>
        </w:rPr>
        <w:tab/>
      </w:r>
      <w:r w:rsidR="001672E7" w:rsidRPr="00291BC3">
        <w:rPr>
          <w:szCs w:val="24"/>
          <w:lang w:eastAsia="en-GB"/>
        </w:rPr>
        <w:t xml:space="preserve">MTN Group Management Services (Pty) Ltd, the defendant in the action under the above case number, to which I refer below as MTN, </w:t>
      </w:r>
      <w:r w:rsidR="00CE2304" w:rsidRPr="00291BC3">
        <w:rPr>
          <w:szCs w:val="24"/>
          <w:lang w:eastAsia="en-GB"/>
        </w:rPr>
        <w:t xml:space="preserve">seeks an order under rule 30(1) declaring the delivery on 25 April 2022 </w:t>
      </w:r>
      <w:r w:rsidR="00464F73" w:rsidRPr="00291BC3">
        <w:rPr>
          <w:szCs w:val="24"/>
          <w:lang w:eastAsia="en-GB"/>
        </w:rPr>
        <w:t xml:space="preserve">by </w:t>
      </w:r>
      <w:r w:rsidR="00305481" w:rsidRPr="00291BC3">
        <w:rPr>
          <w:szCs w:val="24"/>
          <w:lang w:eastAsia="en-GB"/>
        </w:rPr>
        <w:t xml:space="preserve">the plaintiff, </w:t>
      </w:r>
      <w:r w:rsidR="00464F73" w:rsidRPr="00291BC3">
        <w:rPr>
          <w:szCs w:val="24"/>
          <w:lang w:eastAsia="en-GB"/>
        </w:rPr>
        <w:t>Mr Ngassam</w:t>
      </w:r>
      <w:r w:rsidR="00305481" w:rsidRPr="00291BC3">
        <w:rPr>
          <w:szCs w:val="24"/>
          <w:lang w:eastAsia="en-GB"/>
        </w:rPr>
        <w:t>,</w:t>
      </w:r>
      <w:r w:rsidR="00464F73" w:rsidRPr="00291BC3">
        <w:rPr>
          <w:szCs w:val="24"/>
          <w:lang w:eastAsia="en-GB"/>
        </w:rPr>
        <w:t xml:space="preserve"> </w:t>
      </w:r>
      <w:r w:rsidR="00CE2304" w:rsidRPr="00291BC3">
        <w:rPr>
          <w:szCs w:val="24"/>
          <w:lang w:eastAsia="en-GB"/>
        </w:rPr>
        <w:t xml:space="preserve">of </w:t>
      </w:r>
      <w:r w:rsidR="00BF155D" w:rsidRPr="00291BC3">
        <w:rPr>
          <w:szCs w:val="24"/>
          <w:lang w:eastAsia="en-GB"/>
        </w:rPr>
        <w:t>the</w:t>
      </w:r>
      <w:r w:rsidR="00CE2304" w:rsidRPr="00291BC3">
        <w:rPr>
          <w:szCs w:val="24"/>
          <w:lang w:eastAsia="en-GB"/>
        </w:rPr>
        <w:t xml:space="preserve"> document </w:t>
      </w:r>
      <w:r w:rsidR="00BF155D" w:rsidRPr="00291BC3">
        <w:rPr>
          <w:szCs w:val="24"/>
          <w:lang w:eastAsia="en-GB"/>
        </w:rPr>
        <w:t xml:space="preserve">described below </w:t>
      </w:r>
      <w:r w:rsidR="00CE2304" w:rsidRPr="00291BC3">
        <w:rPr>
          <w:szCs w:val="24"/>
          <w:lang w:eastAsia="en-GB"/>
        </w:rPr>
        <w:t xml:space="preserve">an irregular step and directing that </w:t>
      </w:r>
      <w:r w:rsidR="0043777D" w:rsidRPr="00291BC3">
        <w:rPr>
          <w:szCs w:val="24"/>
          <w:lang w:eastAsia="en-GB"/>
        </w:rPr>
        <w:t xml:space="preserve">it </w:t>
      </w:r>
      <w:r w:rsidR="00CE2304" w:rsidRPr="00291BC3">
        <w:rPr>
          <w:szCs w:val="24"/>
          <w:lang w:eastAsia="en-GB"/>
        </w:rPr>
        <w:t>be set aside.</w:t>
      </w:r>
    </w:p>
    <w:p w14:paraId="0180AB82" w14:textId="4D09E235" w:rsidR="00464F73" w:rsidRPr="00291BC3" w:rsidRDefault="00FC396E" w:rsidP="00FC396E">
      <w:pPr>
        <w:pStyle w:val="JudgmentNumbered"/>
        <w:numPr>
          <w:ilvl w:val="0"/>
          <w:numId w:val="0"/>
        </w:numPr>
        <w:ind w:left="567" w:hanging="567"/>
        <w:rPr>
          <w:szCs w:val="24"/>
          <w:lang w:eastAsia="en-GB"/>
        </w:rPr>
      </w:pPr>
      <w:r w:rsidRPr="00291BC3">
        <w:rPr>
          <w:szCs w:val="24"/>
          <w:lang w:eastAsia="en-GB"/>
        </w:rPr>
        <w:t>[3]</w:t>
      </w:r>
      <w:r w:rsidRPr="00291BC3">
        <w:rPr>
          <w:szCs w:val="24"/>
          <w:lang w:eastAsia="en-GB"/>
        </w:rPr>
        <w:tab/>
      </w:r>
      <w:r w:rsidR="00CE2304" w:rsidRPr="00291BC3">
        <w:rPr>
          <w:szCs w:val="24"/>
          <w:lang w:eastAsia="en-GB"/>
        </w:rPr>
        <w:t xml:space="preserve">The document in question is headed “Plaintiff’s Notice of Replication to the Defendant’s Notice of Intention to File Exceptions to the Plaintiff’s Replication to the Defendant’s Special Pleas”. </w:t>
      </w:r>
      <w:r w:rsidR="00BF155D" w:rsidRPr="00291BC3">
        <w:rPr>
          <w:szCs w:val="24"/>
          <w:lang w:eastAsia="en-GB"/>
        </w:rPr>
        <w:t xml:space="preserve">Whether it is in fact a notice properly so-called </w:t>
      </w:r>
      <w:r w:rsidR="00C358EE" w:rsidRPr="00291BC3">
        <w:rPr>
          <w:szCs w:val="24"/>
          <w:lang w:eastAsia="en-GB"/>
        </w:rPr>
        <w:t>is doubtful</w:t>
      </w:r>
      <w:r w:rsidR="00BF155D" w:rsidRPr="00291BC3">
        <w:rPr>
          <w:szCs w:val="24"/>
          <w:lang w:eastAsia="en-GB"/>
        </w:rPr>
        <w:t xml:space="preserve">. </w:t>
      </w:r>
      <w:r w:rsidR="00464F73" w:rsidRPr="00291BC3">
        <w:rPr>
          <w:szCs w:val="24"/>
          <w:lang w:eastAsia="en-GB"/>
        </w:rPr>
        <w:t xml:space="preserve">For this reason, I call it </w:t>
      </w:r>
      <w:r w:rsidR="00BF155D" w:rsidRPr="00291BC3">
        <w:rPr>
          <w:szCs w:val="24"/>
          <w:lang w:eastAsia="en-GB"/>
        </w:rPr>
        <w:t xml:space="preserve">a document. </w:t>
      </w:r>
      <w:r w:rsidR="00CE2304" w:rsidRPr="00291BC3">
        <w:rPr>
          <w:szCs w:val="24"/>
          <w:lang w:eastAsia="en-GB"/>
        </w:rPr>
        <w:t>Discursively</w:t>
      </w:r>
      <w:r w:rsidR="00933C32" w:rsidRPr="00291BC3">
        <w:rPr>
          <w:szCs w:val="24"/>
          <w:lang w:eastAsia="en-GB"/>
        </w:rPr>
        <w:t xml:space="preserve"> and even argumentatively</w:t>
      </w:r>
      <w:r w:rsidR="00CE2304" w:rsidRPr="00291BC3">
        <w:rPr>
          <w:szCs w:val="24"/>
          <w:lang w:eastAsia="en-GB"/>
        </w:rPr>
        <w:t xml:space="preserve">, </w:t>
      </w:r>
      <w:r w:rsidR="00783E3E" w:rsidRPr="00291BC3">
        <w:rPr>
          <w:szCs w:val="24"/>
          <w:lang w:eastAsia="en-GB"/>
        </w:rPr>
        <w:t>i</w:t>
      </w:r>
      <w:r w:rsidR="00BF155D" w:rsidRPr="00291BC3">
        <w:rPr>
          <w:szCs w:val="24"/>
          <w:lang w:eastAsia="en-GB"/>
        </w:rPr>
        <w:t>t</w:t>
      </w:r>
      <w:r w:rsidR="00CE2304" w:rsidRPr="00291BC3">
        <w:rPr>
          <w:szCs w:val="24"/>
          <w:lang w:eastAsia="en-GB"/>
        </w:rPr>
        <w:t xml:space="preserve"> </w:t>
      </w:r>
      <w:r w:rsidR="00BF155D" w:rsidRPr="00291BC3">
        <w:rPr>
          <w:szCs w:val="24"/>
          <w:lang w:eastAsia="en-GB"/>
        </w:rPr>
        <w:t xml:space="preserve">seeks to </w:t>
      </w:r>
      <w:r w:rsidR="00933C32" w:rsidRPr="00291BC3">
        <w:rPr>
          <w:szCs w:val="24"/>
          <w:lang w:eastAsia="en-GB"/>
        </w:rPr>
        <w:t xml:space="preserve">engage with </w:t>
      </w:r>
      <w:r w:rsidR="00CE2304" w:rsidRPr="00291BC3">
        <w:rPr>
          <w:szCs w:val="24"/>
          <w:lang w:eastAsia="en-GB"/>
        </w:rPr>
        <w:t xml:space="preserve">the complaint </w:t>
      </w:r>
      <w:r w:rsidR="00933C32" w:rsidRPr="00291BC3">
        <w:rPr>
          <w:szCs w:val="24"/>
          <w:lang w:eastAsia="en-GB"/>
        </w:rPr>
        <w:t>that</w:t>
      </w:r>
      <w:r w:rsidR="00C358EE" w:rsidRPr="00291BC3">
        <w:rPr>
          <w:szCs w:val="24"/>
          <w:lang w:eastAsia="en-GB"/>
        </w:rPr>
        <w:t xml:space="preserve"> </w:t>
      </w:r>
      <w:r w:rsidR="00B10432" w:rsidRPr="00291BC3">
        <w:rPr>
          <w:szCs w:val="24"/>
          <w:lang w:eastAsia="en-GB"/>
        </w:rPr>
        <w:t xml:space="preserve">MTN raised </w:t>
      </w:r>
      <w:r w:rsidR="00C358EE" w:rsidRPr="00291BC3">
        <w:rPr>
          <w:szCs w:val="24"/>
          <w:lang w:eastAsia="en-GB"/>
        </w:rPr>
        <w:t>in a notice under rule 23(1)</w:t>
      </w:r>
      <w:r w:rsidR="002D2EF2" w:rsidRPr="00291BC3">
        <w:rPr>
          <w:szCs w:val="24"/>
          <w:lang w:eastAsia="en-GB"/>
        </w:rPr>
        <w:t>(a)</w:t>
      </w:r>
      <w:r w:rsidR="00933C32" w:rsidRPr="00291BC3">
        <w:rPr>
          <w:szCs w:val="24"/>
          <w:lang w:eastAsia="en-GB"/>
        </w:rPr>
        <w:t xml:space="preserve"> to </w:t>
      </w:r>
      <w:r w:rsidR="00361D1C" w:rsidRPr="00291BC3">
        <w:rPr>
          <w:szCs w:val="24"/>
          <w:lang w:eastAsia="en-GB"/>
        </w:rPr>
        <w:t>Mr </w:t>
      </w:r>
      <w:r w:rsidR="00464F73" w:rsidRPr="00291BC3">
        <w:rPr>
          <w:szCs w:val="24"/>
          <w:lang w:eastAsia="en-GB"/>
        </w:rPr>
        <w:t xml:space="preserve">Ngassam’s </w:t>
      </w:r>
      <w:r w:rsidR="00933C32" w:rsidRPr="00291BC3">
        <w:rPr>
          <w:szCs w:val="24"/>
          <w:lang w:eastAsia="en-GB"/>
        </w:rPr>
        <w:t>replication.</w:t>
      </w:r>
    </w:p>
    <w:p w14:paraId="0A28EFCA" w14:textId="2CA18F79" w:rsidR="00CE2304" w:rsidRPr="00291BC3" w:rsidRDefault="00FC396E" w:rsidP="00FC396E">
      <w:pPr>
        <w:pStyle w:val="JudgmentNumbered"/>
        <w:numPr>
          <w:ilvl w:val="0"/>
          <w:numId w:val="0"/>
        </w:numPr>
        <w:ind w:left="567" w:hanging="567"/>
        <w:rPr>
          <w:szCs w:val="24"/>
          <w:lang w:eastAsia="en-GB"/>
        </w:rPr>
      </w:pPr>
      <w:r w:rsidRPr="00291BC3">
        <w:rPr>
          <w:szCs w:val="24"/>
          <w:lang w:eastAsia="en-GB"/>
        </w:rPr>
        <w:t>[4]</w:t>
      </w:r>
      <w:r w:rsidRPr="00291BC3">
        <w:rPr>
          <w:szCs w:val="24"/>
          <w:lang w:eastAsia="en-GB"/>
        </w:rPr>
        <w:tab/>
      </w:r>
      <w:r w:rsidR="00464F73" w:rsidRPr="00291BC3">
        <w:rPr>
          <w:szCs w:val="24"/>
          <w:lang w:eastAsia="en-GB"/>
        </w:rPr>
        <w:t>Yet, as appears below, the document of 25 April 2022 ranges far beyond addressing only the complaint framed in the respondent’s notice under rule 23(1)</w:t>
      </w:r>
      <w:r w:rsidR="002D2EF2" w:rsidRPr="00291BC3">
        <w:rPr>
          <w:szCs w:val="24"/>
          <w:lang w:eastAsia="en-GB"/>
        </w:rPr>
        <w:t>(a)</w:t>
      </w:r>
      <w:r w:rsidR="00464F73" w:rsidRPr="00291BC3">
        <w:rPr>
          <w:szCs w:val="24"/>
          <w:lang w:eastAsia="en-GB"/>
        </w:rPr>
        <w:t>.</w:t>
      </w:r>
      <w:r w:rsidR="00174DA6" w:rsidRPr="00291BC3">
        <w:rPr>
          <w:szCs w:val="24"/>
          <w:lang w:eastAsia="en-GB"/>
        </w:rPr>
        <w:t xml:space="preserve"> It deals </w:t>
      </w:r>
      <w:r w:rsidR="00277F8B" w:rsidRPr="00291BC3">
        <w:rPr>
          <w:szCs w:val="24"/>
          <w:lang w:eastAsia="en-GB"/>
        </w:rPr>
        <w:t xml:space="preserve">also </w:t>
      </w:r>
      <w:r w:rsidR="00174DA6" w:rsidRPr="00291BC3">
        <w:rPr>
          <w:szCs w:val="24"/>
          <w:lang w:eastAsia="en-GB"/>
        </w:rPr>
        <w:t>with the issues up for determination in the action itself.</w:t>
      </w:r>
    </w:p>
    <w:p w14:paraId="6682C401" w14:textId="2F6A394C" w:rsidR="001D24FF" w:rsidRPr="00291BC3" w:rsidRDefault="004308EF" w:rsidP="00361D1C">
      <w:pPr>
        <w:pStyle w:val="JudgmentNumbered"/>
        <w:numPr>
          <w:ilvl w:val="0"/>
          <w:numId w:val="0"/>
        </w:numPr>
        <w:rPr>
          <w:b/>
          <w:bCs/>
          <w:szCs w:val="24"/>
          <w:lang w:eastAsia="en-GB"/>
        </w:rPr>
      </w:pPr>
      <w:r w:rsidRPr="00291BC3">
        <w:rPr>
          <w:b/>
          <w:bCs/>
          <w:szCs w:val="24"/>
          <w:lang w:eastAsia="en-GB"/>
        </w:rPr>
        <w:t xml:space="preserve">THE </w:t>
      </w:r>
      <w:r w:rsidR="001D24FF" w:rsidRPr="00291BC3">
        <w:rPr>
          <w:b/>
          <w:bCs/>
          <w:szCs w:val="24"/>
          <w:lang w:eastAsia="en-GB"/>
        </w:rPr>
        <w:t>FACTS</w:t>
      </w:r>
    </w:p>
    <w:p w14:paraId="7B2F8A32" w14:textId="7C824517" w:rsidR="0032728F" w:rsidRPr="00291BC3" w:rsidRDefault="00FC396E" w:rsidP="00FC396E">
      <w:pPr>
        <w:pStyle w:val="JudgmentNumbered"/>
        <w:numPr>
          <w:ilvl w:val="0"/>
          <w:numId w:val="0"/>
        </w:numPr>
        <w:ind w:left="567" w:hanging="567"/>
        <w:rPr>
          <w:szCs w:val="24"/>
          <w:lang w:eastAsia="en-GB"/>
        </w:rPr>
      </w:pPr>
      <w:r w:rsidRPr="00291BC3">
        <w:rPr>
          <w:szCs w:val="24"/>
          <w:lang w:eastAsia="en-GB"/>
        </w:rPr>
        <w:t>[5]</w:t>
      </w:r>
      <w:r w:rsidRPr="00291BC3">
        <w:rPr>
          <w:szCs w:val="24"/>
          <w:lang w:eastAsia="en-GB"/>
        </w:rPr>
        <w:tab/>
      </w:r>
      <w:r w:rsidR="001D24FF" w:rsidRPr="00291BC3">
        <w:rPr>
          <w:szCs w:val="24"/>
          <w:lang w:eastAsia="en-GB"/>
        </w:rPr>
        <w:t>On 4 February 2022, the plaintiff, Mr Ngassam, instituted action against MTN seeking damages of R541,192,544.98 for the latter’s termination of his employment under section 189 of the Labour Relations Act, 1995.</w:t>
      </w:r>
    </w:p>
    <w:p w14:paraId="42F48D5C" w14:textId="49FFFC63" w:rsidR="001D24FF" w:rsidRPr="00291BC3" w:rsidRDefault="00FC396E" w:rsidP="00FC396E">
      <w:pPr>
        <w:pStyle w:val="JudgmentNumbered"/>
        <w:numPr>
          <w:ilvl w:val="0"/>
          <w:numId w:val="0"/>
        </w:numPr>
        <w:ind w:left="567" w:hanging="567"/>
        <w:rPr>
          <w:szCs w:val="24"/>
          <w:lang w:eastAsia="en-GB"/>
        </w:rPr>
      </w:pPr>
      <w:r w:rsidRPr="00291BC3">
        <w:rPr>
          <w:szCs w:val="24"/>
          <w:lang w:eastAsia="en-GB"/>
        </w:rPr>
        <w:t>[6]</w:t>
      </w:r>
      <w:r w:rsidRPr="00291BC3">
        <w:rPr>
          <w:szCs w:val="24"/>
          <w:lang w:eastAsia="en-GB"/>
        </w:rPr>
        <w:tab/>
      </w:r>
      <w:r w:rsidR="001D24FF" w:rsidRPr="00291BC3">
        <w:rPr>
          <w:szCs w:val="24"/>
          <w:lang w:eastAsia="en-GB"/>
        </w:rPr>
        <w:t xml:space="preserve">On 10 February 2022, </w:t>
      </w:r>
      <w:r w:rsidR="003E62B0" w:rsidRPr="00291BC3">
        <w:rPr>
          <w:szCs w:val="24"/>
          <w:lang w:eastAsia="en-GB"/>
        </w:rPr>
        <w:t>MTN</w:t>
      </w:r>
      <w:r w:rsidR="001D24FF" w:rsidRPr="00291BC3">
        <w:rPr>
          <w:szCs w:val="24"/>
          <w:lang w:eastAsia="en-GB"/>
        </w:rPr>
        <w:t xml:space="preserve"> indicated its intention to defend the action. On 10 March 2022, it delivered a plea, in which, over and above pleading over, it raised two special pleas</w:t>
      </w:r>
      <w:r w:rsidR="000B0CC2" w:rsidRPr="00291BC3">
        <w:rPr>
          <w:szCs w:val="24"/>
          <w:lang w:eastAsia="en-GB"/>
        </w:rPr>
        <w:t xml:space="preserve">, namely one premised upon the plaintiff’s </w:t>
      </w:r>
      <w:r w:rsidR="00783E3E" w:rsidRPr="00291BC3">
        <w:rPr>
          <w:szCs w:val="24"/>
          <w:lang w:eastAsia="en-GB"/>
        </w:rPr>
        <w:t xml:space="preserve">alleged </w:t>
      </w:r>
      <w:r w:rsidR="000B0CC2" w:rsidRPr="00291BC3">
        <w:rPr>
          <w:szCs w:val="24"/>
          <w:lang w:eastAsia="en-GB"/>
        </w:rPr>
        <w:t>non-compliance with section 191 of the Labour Relations Act and the other challenging the jurisdiction of this court</w:t>
      </w:r>
      <w:r w:rsidR="001D24FF" w:rsidRPr="00291BC3">
        <w:rPr>
          <w:szCs w:val="24"/>
          <w:lang w:eastAsia="en-GB"/>
        </w:rPr>
        <w:t>.</w:t>
      </w:r>
    </w:p>
    <w:p w14:paraId="5D1E5D6D" w14:textId="7291448E" w:rsidR="001D24FF" w:rsidRPr="00291BC3" w:rsidRDefault="00FC396E" w:rsidP="00FC396E">
      <w:pPr>
        <w:pStyle w:val="JudgmentNumbered"/>
        <w:numPr>
          <w:ilvl w:val="0"/>
          <w:numId w:val="0"/>
        </w:numPr>
        <w:ind w:left="567" w:hanging="567"/>
        <w:rPr>
          <w:szCs w:val="24"/>
          <w:lang w:eastAsia="en-GB"/>
        </w:rPr>
      </w:pPr>
      <w:r w:rsidRPr="00291BC3">
        <w:rPr>
          <w:szCs w:val="24"/>
          <w:lang w:eastAsia="en-GB"/>
        </w:rPr>
        <w:t>[7]</w:t>
      </w:r>
      <w:r w:rsidRPr="00291BC3">
        <w:rPr>
          <w:szCs w:val="24"/>
          <w:lang w:eastAsia="en-GB"/>
        </w:rPr>
        <w:tab/>
      </w:r>
      <w:r w:rsidR="001D24FF" w:rsidRPr="00291BC3">
        <w:rPr>
          <w:szCs w:val="24"/>
          <w:lang w:eastAsia="en-GB"/>
        </w:rPr>
        <w:t xml:space="preserve">On 26 March 2022, </w:t>
      </w:r>
      <w:r w:rsidR="00387ECB" w:rsidRPr="00291BC3">
        <w:rPr>
          <w:szCs w:val="24"/>
          <w:lang w:eastAsia="en-GB"/>
        </w:rPr>
        <w:t xml:space="preserve">Mr Ngassam </w:t>
      </w:r>
      <w:r w:rsidR="001D24FF" w:rsidRPr="00291BC3">
        <w:rPr>
          <w:szCs w:val="24"/>
          <w:lang w:eastAsia="en-GB"/>
        </w:rPr>
        <w:t xml:space="preserve">replicated </w:t>
      </w:r>
      <w:r w:rsidR="00BF155D" w:rsidRPr="00291BC3">
        <w:rPr>
          <w:szCs w:val="24"/>
          <w:lang w:eastAsia="en-GB"/>
        </w:rPr>
        <w:t xml:space="preserve">both </w:t>
      </w:r>
      <w:r w:rsidR="001D24FF" w:rsidRPr="00291BC3">
        <w:rPr>
          <w:szCs w:val="24"/>
          <w:lang w:eastAsia="en-GB"/>
        </w:rPr>
        <w:t xml:space="preserve">to the special pleas and </w:t>
      </w:r>
      <w:r w:rsidR="00BF155D" w:rsidRPr="00291BC3">
        <w:rPr>
          <w:szCs w:val="24"/>
          <w:lang w:eastAsia="en-GB"/>
        </w:rPr>
        <w:t xml:space="preserve">to </w:t>
      </w:r>
      <w:r w:rsidR="001D24FF" w:rsidRPr="00291BC3">
        <w:rPr>
          <w:szCs w:val="24"/>
          <w:lang w:eastAsia="en-GB"/>
        </w:rPr>
        <w:t>the plea proper.</w:t>
      </w:r>
    </w:p>
    <w:p w14:paraId="20B0272C" w14:textId="74942661" w:rsidR="001D24FF" w:rsidRPr="00291BC3" w:rsidRDefault="00FC396E" w:rsidP="00FC396E">
      <w:pPr>
        <w:pStyle w:val="JudgmentNumbered"/>
        <w:numPr>
          <w:ilvl w:val="0"/>
          <w:numId w:val="0"/>
        </w:numPr>
        <w:ind w:left="567" w:hanging="567"/>
        <w:rPr>
          <w:szCs w:val="24"/>
          <w:lang w:eastAsia="en-GB"/>
        </w:rPr>
      </w:pPr>
      <w:r w:rsidRPr="00291BC3">
        <w:rPr>
          <w:szCs w:val="24"/>
          <w:lang w:eastAsia="en-GB"/>
        </w:rPr>
        <w:t>[8]</w:t>
      </w:r>
      <w:r w:rsidRPr="00291BC3">
        <w:rPr>
          <w:szCs w:val="24"/>
          <w:lang w:eastAsia="en-GB"/>
        </w:rPr>
        <w:tab/>
      </w:r>
      <w:r w:rsidR="001D24FF" w:rsidRPr="00291BC3">
        <w:rPr>
          <w:szCs w:val="24"/>
          <w:lang w:eastAsia="en-GB"/>
        </w:rPr>
        <w:t xml:space="preserve">On 8 April 2022, </w:t>
      </w:r>
      <w:r w:rsidR="00387ECB" w:rsidRPr="00291BC3">
        <w:rPr>
          <w:szCs w:val="24"/>
          <w:lang w:eastAsia="en-GB"/>
        </w:rPr>
        <w:t xml:space="preserve">MTN </w:t>
      </w:r>
      <w:r w:rsidR="001D24FF" w:rsidRPr="00291BC3">
        <w:rPr>
          <w:szCs w:val="24"/>
          <w:lang w:eastAsia="en-GB"/>
        </w:rPr>
        <w:t>delivered a notice under rule 23(1)</w:t>
      </w:r>
      <w:r w:rsidR="002D2EF2" w:rsidRPr="00291BC3">
        <w:rPr>
          <w:szCs w:val="24"/>
          <w:lang w:eastAsia="en-GB"/>
        </w:rPr>
        <w:t>(a)</w:t>
      </w:r>
      <w:r w:rsidR="001D24FF" w:rsidRPr="00291BC3">
        <w:rPr>
          <w:szCs w:val="24"/>
          <w:lang w:eastAsia="en-GB"/>
        </w:rPr>
        <w:t xml:space="preserve">, complaining that the plaintiff’s replication </w:t>
      </w:r>
      <w:r w:rsidR="00BF155D" w:rsidRPr="00291BC3">
        <w:rPr>
          <w:szCs w:val="24"/>
          <w:lang w:eastAsia="en-GB"/>
        </w:rPr>
        <w:t>wa</w:t>
      </w:r>
      <w:r w:rsidR="001D24FF" w:rsidRPr="00291BC3">
        <w:rPr>
          <w:szCs w:val="24"/>
          <w:lang w:eastAsia="en-GB"/>
        </w:rPr>
        <w:t>s vague and embarrassing.</w:t>
      </w:r>
    </w:p>
    <w:p w14:paraId="1BA6E63F" w14:textId="2E4DAA89" w:rsidR="004A4145" w:rsidRPr="00291BC3" w:rsidRDefault="00FC396E" w:rsidP="00FC396E">
      <w:pPr>
        <w:pStyle w:val="JudgmentNumbered"/>
        <w:numPr>
          <w:ilvl w:val="0"/>
          <w:numId w:val="0"/>
        </w:numPr>
        <w:ind w:left="567" w:hanging="567"/>
        <w:rPr>
          <w:szCs w:val="24"/>
          <w:lang w:eastAsia="en-GB"/>
        </w:rPr>
      </w:pPr>
      <w:r w:rsidRPr="00291BC3">
        <w:rPr>
          <w:szCs w:val="24"/>
          <w:lang w:eastAsia="en-GB"/>
        </w:rPr>
        <w:lastRenderedPageBreak/>
        <w:t>[9]</w:t>
      </w:r>
      <w:r w:rsidRPr="00291BC3">
        <w:rPr>
          <w:szCs w:val="24"/>
          <w:lang w:eastAsia="en-GB"/>
        </w:rPr>
        <w:tab/>
      </w:r>
      <w:r w:rsidR="001672E7" w:rsidRPr="00291BC3">
        <w:rPr>
          <w:szCs w:val="24"/>
          <w:lang w:eastAsia="en-GB"/>
        </w:rPr>
        <w:t xml:space="preserve">On 25 April 2022, the plaintiff delivered </w:t>
      </w:r>
      <w:r w:rsidR="000B0CC2" w:rsidRPr="00291BC3">
        <w:rPr>
          <w:szCs w:val="24"/>
          <w:lang w:eastAsia="en-GB"/>
        </w:rPr>
        <w:t>the document to which I refer above,</w:t>
      </w:r>
      <w:r w:rsidR="001672E7" w:rsidRPr="00291BC3">
        <w:rPr>
          <w:szCs w:val="24"/>
          <w:lang w:eastAsia="en-GB"/>
        </w:rPr>
        <w:t xml:space="preserve"> headed “Plaintiff’s Notice of Replication to the Defendant’s Notice of Intention to File Exceptions to the Plaintiff’s Replication to the Defendant’s Special Pleas”</w:t>
      </w:r>
      <w:r w:rsidR="00BF155D" w:rsidRPr="00291BC3">
        <w:rPr>
          <w:szCs w:val="24"/>
          <w:lang w:eastAsia="en-GB"/>
        </w:rPr>
        <w:t>.</w:t>
      </w:r>
      <w:r w:rsidR="00CE2304" w:rsidRPr="00291BC3">
        <w:rPr>
          <w:szCs w:val="24"/>
          <w:lang w:eastAsia="en-GB"/>
        </w:rPr>
        <w:t xml:space="preserve"> </w:t>
      </w:r>
      <w:r w:rsidR="00BF155D" w:rsidRPr="00291BC3">
        <w:rPr>
          <w:szCs w:val="24"/>
          <w:lang w:eastAsia="en-GB"/>
        </w:rPr>
        <w:t>T</w:t>
      </w:r>
      <w:r w:rsidR="004A4145" w:rsidRPr="00291BC3">
        <w:rPr>
          <w:szCs w:val="24"/>
          <w:lang w:eastAsia="en-GB"/>
        </w:rPr>
        <w:t xml:space="preserve">he first part of </w:t>
      </w:r>
      <w:r w:rsidR="00BF155D" w:rsidRPr="00291BC3">
        <w:rPr>
          <w:szCs w:val="24"/>
          <w:lang w:eastAsia="en-GB"/>
        </w:rPr>
        <w:t>it</w:t>
      </w:r>
      <w:r w:rsidR="004A4145" w:rsidRPr="00291BC3">
        <w:rPr>
          <w:szCs w:val="24"/>
          <w:lang w:eastAsia="en-GB"/>
        </w:rPr>
        <w:t xml:space="preserve"> </w:t>
      </w:r>
      <w:r w:rsidR="00B965CC" w:rsidRPr="00291BC3">
        <w:rPr>
          <w:szCs w:val="24"/>
          <w:lang w:eastAsia="en-GB"/>
        </w:rPr>
        <w:t xml:space="preserve">– which I quote </w:t>
      </w:r>
      <w:r w:rsidR="000943F7" w:rsidRPr="00291BC3">
        <w:rPr>
          <w:szCs w:val="24"/>
          <w:lang w:eastAsia="en-GB"/>
        </w:rPr>
        <w:t>to</w:t>
      </w:r>
      <w:r w:rsidR="00B965CC" w:rsidRPr="00291BC3">
        <w:rPr>
          <w:szCs w:val="24"/>
          <w:lang w:eastAsia="en-GB"/>
        </w:rPr>
        <w:t xml:space="preserve"> </w:t>
      </w:r>
      <w:r w:rsidR="000943F7" w:rsidRPr="00291BC3">
        <w:rPr>
          <w:szCs w:val="24"/>
          <w:lang w:eastAsia="en-GB"/>
        </w:rPr>
        <w:t>convey</w:t>
      </w:r>
      <w:r w:rsidR="00B965CC" w:rsidRPr="00291BC3">
        <w:rPr>
          <w:szCs w:val="24"/>
          <w:lang w:eastAsia="en-GB"/>
        </w:rPr>
        <w:t xml:space="preserve"> </w:t>
      </w:r>
      <w:r w:rsidR="0043777D" w:rsidRPr="00291BC3">
        <w:rPr>
          <w:szCs w:val="24"/>
          <w:lang w:eastAsia="en-GB"/>
        </w:rPr>
        <w:t>the tenor</w:t>
      </w:r>
      <w:r w:rsidR="00B965CC" w:rsidRPr="00291BC3">
        <w:rPr>
          <w:szCs w:val="24"/>
          <w:lang w:eastAsia="en-GB"/>
        </w:rPr>
        <w:t xml:space="preserve"> of the document – </w:t>
      </w:r>
      <w:r w:rsidR="00CE2304" w:rsidRPr="00291BC3">
        <w:rPr>
          <w:szCs w:val="24"/>
          <w:lang w:eastAsia="en-GB"/>
        </w:rPr>
        <w:t>reads:</w:t>
      </w:r>
    </w:p>
    <w:p w14:paraId="25C06603" w14:textId="53180763" w:rsidR="004A4145" w:rsidRPr="00291BC3" w:rsidRDefault="004A4145" w:rsidP="00361D1C">
      <w:pPr>
        <w:spacing w:after="0" w:line="240" w:lineRule="auto"/>
        <w:ind w:left="1418" w:right="851"/>
        <w:rPr>
          <w:rFonts w:cs="Arial"/>
          <w:i/>
          <w:iCs/>
          <w:szCs w:val="24"/>
        </w:rPr>
      </w:pPr>
      <w:r w:rsidRPr="00291BC3">
        <w:rPr>
          <w:rFonts w:cs="Arial"/>
          <w:bCs/>
          <w:szCs w:val="24"/>
        </w:rPr>
        <w:t>“</w:t>
      </w:r>
      <w:r w:rsidRPr="00291BC3">
        <w:rPr>
          <w:rFonts w:cs="Arial"/>
          <w:b/>
          <w:i/>
          <w:iCs/>
          <w:szCs w:val="24"/>
        </w:rPr>
        <w:t xml:space="preserve">BE PLEASED TO TAKE NOTICE THAT, </w:t>
      </w:r>
      <w:r w:rsidRPr="00291BC3">
        <w:rPr>
          <w:rFonts w:cs="Arial"/>
          <w:i/>
          <w:iCs/>
          <w:szCs w:val="24"/>
        </w:rPr>
        <w:t xml:space="preserve">Ernest Ketcha Ngassam (hereinafter called the Plaintiff) herewith intends raising some replication on the grounds set out hereunder as clarities and most certainties as to what is meant by ‘Right’, ‘inherent jurisdiction’ and </w:t>
      </w:r>
      <w:r w:rsidR="009D0AC2" w:rsidRPr="00291BC3">
        <w:rPr>
          <w:rFonts w:cs="Arial"/>
          <w:i/>
          <w:iCs/>
          <w:szCs w:val="24"/>
        </w:rPr>
        <w:t>‘</w:t>
      </w:r>
      <w:r w:rsidRPr="00291BC3">
        <w:rPr>
          <w:rFonts w:cs="Arial"/>
          <w:i/>
          <w:iCs/>
          <w:szCs w:val="24"/>
        </w:rPr>
        <w:t>general jurisdiction</w:t>
      </w:r>
      <w:r w:rsidR="009D0AC2" w:rsidRPr="00291BC3">
        <w:rPr>
          <w:rFonts w:cs="Arial"/>
          <w:i/>
          <w:iCs/>
          <w:szCs w:val="24"/>
        </w:rPr>
        <w:t>’</w:t>
      </w:r>
      <w:r w:rsidRPr="00291BC3">
        <w:rPr>
          <w:rFonts w:cs="Arial"/>
          <w:i/>
          <w:iCs/>
          <w:szCs w:val="24"/>
        </w:rPr>
        <w:t xml:space="preserve"> enjoyed by the High Courts and Labour Courts with regard to the Plaintiff’s decision to pursue this cause of action:</w:t>
      </w:r>
    </w:p>
    <w:p w14:paraId="6E24F11E" w14:textId="13926557" w:rsidR="004A4145" w:rsidRPr="00291BC3" w:rsidRDefault="004A4145" w:rsidP="00361D1C">
      <w:pPr>
        <w:pStyle w:val="Heading5"/>
        <w:spacing w:before="0" w:line="240" w:lineRule="auto"/>
        <w:ind w:left="1418" w:right="851"/>
        <w:rPr>
          <w:rFonts w:ascii="Arial" w:hAnsi="Arial" w:cs="Arial"/>
          <w:b/>
          <w:i/>
          <w:iCs/>
          <w:color w:val="auto"/>
          <w:szCs w:val="24"/>
        </w:rPr>
      </w:pPr>
      <w:r w:rsidRPr="00291BC3">
        <w:rPr>
          <w:rFonts w:ascii="Arial" w:hAnsi="Arial" w:cs="Arial"/>
          <w:i/>
          <w:iCs/>
          <w:color w:val="auto"/>
          <w:szCs w:val="24"/>
        </w:rPr>
        <w:t>A</w:t>
      </w:r>
      <w:r w:rsidR="009D0AC2" w:rsidRPr="00291BC3">
        <w:rPr>
          <w:rFonts w:ascii="Arial" w:hAnsi="Arial" w:cs="Arial"/>
          <w:i/>
          <w:iCs/>
          <w:color w:val="auto"/>
          <w:szCs w:val="24"/>
        </w:rPr>
        <w:t>.</w:t>
      </w:r>
      <w:r w:rsidRPr="00291BC3">
        <w:rPr>
          <w:rFonts w:ascii="Arial" w:hAnsi="Arial" w:cs="Arial"/>
          <w:i/>
          <w:iCs/>
          <w:color w:val="auto"/>
          <w:szCs w:val="24"/>
        </w:rPr>
        <w:t xml:space="preserve"> INTRODUCTION:-</w:t>
      </w:r>
    </w:p>
    <w:p w14:paraId="1898DA2E" w14:textId="118ECCA6" w:rsidR="004A4145" w:rsidRPr="00291BC3" w:rsidRDefault="00FC396E" w:rsidP="00FC396E">
      <w:pPr>
        <w:pStyle w:val="BodyText"/>
        <w:widowControl/>
        <w:tabs>
          <w:tab w:val="left" w:pos="0"/>
        </w:tabs>
        <w:ind w:left="2160" w:right="851" w:hanging="742"/>
        <w:rPr>
          <w:rFonts w:cs="Arial"/>
          <w:i/>
          <w:iCs/>
          <w:szCs w:val="24"/>
          <w:lang w:val="en-GB"/>
        </w:rPr>
      </w:pPr>
      <w:r w:rsidRPr="00291BC3">
        <w:rPr>
          <w:rFonts w:cs="Arial"/>
          <w:i/>
          <w:iCs/>
          <w:szCs w:val="24"/>
          <w:lang w:val="en-GB"/>
        </w:rPr>
        <w:t>1.1.</w:t>
      </w:r>
      <w:r w:rsidRPr="00291BC3">
        <w:rPr>
          <w:rFonts w:cs="Arial"/>
          <w:i/>
          <w:iCs/>
          <w:szCs w:val="24"/>
          <w:lang w:val="en-GB"/>
        </w:rPr>
        <w:tab/>
      </w:r>
      <w:r w:rsidR="004A4145" w:rsidRPr="00291BC3">
        <w:rPr>
          <w:rFonts w:cs="Arial"/>
          <w:i/>
          <w:iCs/>
          <w:szCs w:val="24"/>
          <w:lang w:val="en-GB"/>
        </w:rPr>
        <w:t>Plaintiff has, in the main cause of action, on the most recent Replication to the Defendant’s special pleas for both sections 191(1) and lack of jurisdiction by this Court, and now in this Replication, in a not so subtle manner, as it is always within the realm of plausibility, that by v</w:t>
      </w:r>
      <w:r w:rsidR="007F7553" w:rsidRPr="00291BC3">
        <w:rPr>
          <w:rFonts w:cs="Arial"/>
          <w:i/>
          <w:iCs/>
          <w:szCs w:val="24"/>
          <w:lang w:val="en-GB"/>
        </w:rPr>
        <w:t>i</w:t>
      </w:r>
      <w:r w:rsidR="004A4145" w:rsidRPr="00291BC3">
        <w:rPr>
          <w:rFonts w:cs="Arial"/>
          <w:i/>
          <w:iCs/>
          <w:szCs w:val="24"/>
          <w:lang w:val="en-GB"/>
        </w:rPr>
        <w:t>rtue of both sections 191(1), 191(2), 191(3), 191(4), 191(5), section 157(1) and 157(2) of the Labour Relations Act, 66 of 1995 as amended, that section 157(1) does not afford Labour Court general jurisdiction, in employment matters by virtue of section 157(2). High Court and Labour Court share concurrent jurisdiction in respect of employment related disputes, over which the Labour Court does not have exclusive jurisdiction. This means that High Court’s jurisdiction should not be ousted simply because a dispute falls within the overall sphere of employment disputes.</w:t>
      </w:r>
    </w:p>
    <w:p w14:paraId="288C470D" w14:textId="256AE98F" w:rsidR="004A4145" w:rsidRPr="00291BC3" w:rsidRDefault="00FC396E" w:rsidP="00FC396E">
      <w:pPr>
        <w:pStyle w:val="BodyText"/>
        <w:widowControl/>
        <w:tabs>
          <w:tab w:val="left" w:pos="0"/>
        </w:tabs>
        <w:ind w:left="2160" w:right="851" w:hanging="742"/>
        <w:rPr>
          <w:rFonts w:cs="Arial"/>
          <w:i/>
          <w:iCs/>
          <w:szCs w:val="24"/>
          <w:lang w:val="en-GB"/>
        </w:rPr>
      </w:pPr>
      <w:r w:rsidRPr="00291BC3">
        <w:rPr>
          <w:rFonts w:cs="Arial"/>
          <w:i/>
          <w:iCs/>
          <w:szCs w:val="24"/>
          <w:lang w:val="en-GB"/>
        </w:rPr>
        <w:t>1.2.</w:t>
      </w:r>
      <w:r w:rsidRPr="00291BC3">
        <w:rPr>
          <w:rFonts w:cs="Arial"/>
          <w:i/>
          <w:iCs/>
          <w:szCs w:val="24"/>
          <w:lang w:val="en-GB"/>
        </w:rPr>
        <w:tab/>
      </w:r>
      <w:r w:rsidR="004A4145" w:rsidRPr="00291BC3">
        <w:rPr>
          <w:rFonts w:cs="Arial"/>
          <w:i/>
          <w:iCs/>
          <w:szCs w:val="24"/>
          <w:lang w:val="en-GB"/>
        </w:rPr>
        <w:t>In an nutshell, Plaintiffs challenge of lawfulness of the termination of employment contract for more obvious reasons called into question the procedural and substantive aspects related to unlawful breach of contract. The procedural and substantive aspects of the challenge of the lawfulness are predicated on the interpretation of relevant statutes read together with the Constitution of the Republic of South Africa, Act I08 of 1996, as amended; and annodated.</w:t>
      </w:r>
    </w:p>
    <w:p w14:paraId="7F0BFB7E" w14:textId="23E1B85F" w:rsidR="004A4145" w:rsidRPr="00291BC3" w:rsidRDefault="00FC396E" w:rsidP="00FC396E">
      <w:pPr>
        <w:pStyle w:val="BodyText"/>
        <w:widowControl/>
        <w:tabs>
          <w:tab w:val="left" w:pos="0"/>
        </w:tabs>
        <w:ind w:left="2160" w:right="851" w:hanging="742"/>
        <w:rPr>
          <w:rFonts w:cs="Arial"/>
          <w:i/>
          <w:iCs/>
          <w:szCs w:val="24"/>
          <w:lang w:val="en-GB"/>
        </w:rPr>
      </w:pPr>
      <w:r w:rsidRPr="00291BC3">
        <w:rPr>
          <w:rFonts w:cs="Arial"/>
          <w:i/>
          <w:iCs/>
          <w:szCs w:val="24"/>
          <w:lang w:val="en-GB"/>
        </w:rPr>
        <w:t>1.3.</w:t>
      </w:r>
      <w:r w:rsidRPr="00291BC3">
        <w:rPr>
          <w:rFonts w:cs="Arial"/>
          <w:i/>
          <w:iCs/>
          <w:szCs w:val="24"/>
          <w:lang w:val="en-GB"/>
        </w:rPr>
        <w:tab/>
      </w:r>
      <w:r w:rsidR="004A4145" w:rsidRPr="00291BC3">
        <w:rPr>
          <w:rFonts w:cs="Arial"/>
          <w:i/>
          <w:iCs/>
          <w:szCs w:val="24"/>
          <w:lang w:val="en-GB"/>
        </w:rPr>
        <w:t>Plaintiffs challenge of lawfulness of termination of employment contract has the potential to found a claim for the relief for the infringement of the Labour Relations Act, 66 of 1995, and also a contractual claim for the enforcement of a right that does not emanate from the Labour Relations Act, 66 of 1995.</w:t>
      </w:r>
    </w:p>
    <w:p w14:paraId="0EF277D9" w14:textId="7091C93A" w:rsidR="004A4145" w:rsidRPr="00291BC3" w:rsidRDefault="00FC396E" w:rsidP="00FC396E">
      <w:pPr>
        <w:pStyle w:val="BodyText"/>
        <w:widowControl/>
        <w:tabs>
          <w:tab w:val="left" w:pos="0"/>
        </w:tabs>
        <w:ind w:left="2160" w:right="851" w:hanging="742"/>
        <w:rPr>
          <w:rFonts w:cs="Arial"/>
          <w:i/>
          <w:iCs/>
          <w:szCs w:val="24"/>
          <w:lang w:val="en-GB"/>
        </w:rPr>
      </w:pPr>
      <w:r w:rsidRPr="00291BC3">
        <w:rPr>
          <w:rFonts w:cs="Arial"/>
          <w:i/>
          <w:iCs/>
          <w:szCs w:val="24"/>
          <w:lang w:val="en-GB"/>
        </w:rPr>
        <w:t>1.4.</w:t>
      </w:r>
      <w:r w:rsidRPr="00291BC3">
        <w:rPr>
          <w:rFonts w:cs="Arial"/>
          <w:i/>
          <w:iCs/>
          <w:szCs w:val="24"/>
          <w:lang w:val="en-GB"/>
        </w:rPr>
        <w:tab/>
      </w:r>
      <w:r w:rsidR="004A4145" w:rsidRPr="00291BC3">
        <w:rPr>
          <w:rFonts w:cs="Arial"/>
          <w:i/>
          <w:iCs/>
          <w:szCs w:val="24"/>
          <w:lang w:val="en-GB"/>
        </w:rPr>
        <w:t xml:space="preserve">This is amplified in the fact that Plaintiff has in the main cause of action, made it clear that, the Defendant through its Board of Directors negligently failed to comply with the provision of section 76 of the Companies Act, 2008, which </w:t>
      </w:r>
      <w:r w:rsidR="004A4145" w:rsidRPr="00291BC3">
        <w:rPr>
          <w:rFonts w:cs="Arial"/>
          <w:i/>
          <w:iCs/>
          <w:szCs w:val="24"/>
          <w:lang w:val="en-GB"/>
        </w:rPr>
        <w:lastRenderedPageBreak/>
        <w:t>simply states that, Defendant should through its Board of Directors act in good faith and for proper purpose, in the interest of both the Plaintiff and the Defendant, with the degree of care, skill and diligence that may reasonably be expected of a person who ca</w:t>
      </w:r>
      <w:r w:rsidR="00A86DF8" w:rsidRPr="00291BC3">
        <w:rPr>
          <w:rFonts w:cs="Arial"/>
          <w:i/>
          <w:iCs/>
          <w:szCs w:val="24"/>
          <w:lang w:val="en-GB"/>
        </w:rPr>
        <w:t>r</w:t>
      </w:r>
      <w:r w:rsidR="004A4145" w:rsidRPr="00291BC3">
        <w:rPr>
          <w:rFonts w:cs="Arial"/>
          <w:i/>
          <w:iCs/>
          <w:szCs w:val="24"/>
          <w:lang w:val="en-GB"/>
        </w:rPr>
        <w:t>ries out the same functions as a Director in relation to the Defendant and Plaintiff and who has knowledge, skill and experience of that Director, and act with duty of utmost care to ensure the reasonable safeguards of the interests and fundamental rights of the Plaintiff during consultation process in terms of section 189(3) of the Labour Relations Act, 66 of 1995.</w:t>
      </w:r>
    </w:p>
    <w:p w14:paraId="6B16F5A4" w14:textId="78E47CB9" w:rsidR="004A4145" w:rsidRPr="00291BC3" w:rsidRDefault="00FC396E" w:rsidP="00FC396E">
      <w:pPr>
        <w:pStyle w:val="BodyText"/>
        <w:widowControl/>
        <w:tabs>
          <w:tab w:val="left" w:pos="0"/>
        </w:tabs>
        <w:ind w:left="2127" w:right="851" w:hanging="709"/>
        <w:rPr>
          <w:rFonts w:cs="Arial"/>
          <w:i/>
          <w:iCs/>
          <w:szCs w:val="24"/>
        </w:rPr>
      </w:pPr>
      <w:r w:rsidRPr="00291BC3">
        <w:rPr>
          <w:rFonts w:cs="Arial"/>
          <w:i/>
          <w:iCs/>
          <w:szCs w:val="24"/>
        </w:rPr>
        <w:t>1.5.</w:t>
      </w:r>
      <w:r w:rsidRPr="00291BC3">
        <w:rPr>
          <w:rFonts w:cs="Arial"/>
          <w:i/>
          <w:iCs/>
          <w:szCs w:val="24"/>
        </w:rPr>
        <w:tab/>
      </w:r>
      <w:r w:rsidR="004A4145" w:rsidRPr="00291BC3">
        <w:rPr>
          <w:rFonts w:cs="Arial"/>
          <w:i/>
          <w:iCs/>
          <w:szCs w:val="24"/>
          <w:lang w:val="en-GB"/>
        </w:rPr>
        <w:t>Section 76 of the Companies Act, 71 of 2008, helps outline in blunt terms the procedural and substantive aspects of termination of the Plaintiff’s employment contract, as to what the Defendant ought to do before in order to comply with the procedural requirements as enshrined in section 189(3) of the L</w:t>
      </w:r>
      <w:r w:rsidR="00A86DF8" w:rsidRPr="00291BC3">
        <w:rPr>
          <w:rFonts w:cs="Arial"/>
          <w:i/>
          <w:iCs/>
          <w:szCs w:val="24"/>
          <w:lang w:val="en-GB"/>
        </w:rPr>
        <w:t>a</w:t>
      </w:r>
      <w:r w:rsidR="004A4145" w:rsidRPr="00291BC3">
        <w:rPr>
          <w:rFonts w:cs="Arial"/>
          <w:i/>
          <w:iCs/>
          <w:szCs w:val="24"/>
          <w:lang w:val="en-GB"/>
        </w:rPr>
        <w:t>bour Relations Act,</w:t>
      </w:r>
      <w:r w:rsidR="007F7553" w:rsidRPr="00291BC3">
        <w:rPr>
          <w:rFonts w:cs="Arial"/>
          <w:i/>
          <w:iCs/>
          <w:szCs w:val="24"/>
          <w:lang w:val="en-GB"/>
        </w:rPr>
        <w:t xml:space="preserve"> </w:t>
      </w:r>
      <w:r w:rsidR="004A4145" w:rsidRPr="00291BC3">
        <w:rPr>
          <w:rFonts w:cs="Arial"/>
          <w:i/>
          <w:iCs/>
          <w:szCs w:val="24"/>
        </w:rPr>
        <w:t>66 of 1995.</w:t>
      </w:r>
    </w:p>
    <w:p w14:paraId="6ADA92FB" w14:textId="33B66F9C" w:rsidR="004A4145" w:rsidRPr="00291BC3" w:rsidRDefault="00FC396E" w:rsidP="00FC396E">
      <w:pPr>
        <w:pStyle w:val="BodyText"/>
        <w:widowControl/>
        <w:tabs>
          <w:tab w:val="left" w:pos="0"/>
        </w:tabs>
        <w:ind w:left="2160" w:right="851" w:hanging="742"/>
        <w:rPr>
          <w:rFonts w:cs="Arial"/>
          <w:i/>
          <w:iCs/>
          <w:szCs w:val="24"/>
          <w:lang w:val="en-GB"/>
        </w:rPr>
      </w:pPr>
      <w:r w:rsidRPr="00291BC3">
        <w:rPr>
          <w:rFonts w:cs="Arial"/>
          <w:i/>
          <w:iCs/>
          <w:szCs w:val="24"/>
          <w:lang w:val="en-GB"/>
        </w:rPr>
        <w:t>1.6.</w:t>
      </w:r>
      <w:r w:rsidRPr="00291BC3">
        <w:rPr>
          <w:rFonts w:cs="Arial"/>
          <w:i/>
          <w:iCs/>
          <w:szCs w:val="24"/>
          <w:lang w:val="en-GB"/>
        </w:rPr>
        <w:tab/>
      </w:r>
      <w:r w:rsidR="004A4145" w:rsidRPr="00291BC3">
        <w:rPr>
          <w:rFonts w:cs="Arial"/>
          <w:i/>
          <w:iCs/>
          <w:szCs w:val="24"/>
          <w:lang w:val="en-GB"/>
        </w:rPr>
        <w:t>It is clear that sections 189, and 189(3) for the purpose of proper and effective consultation for the employer’s operational requirements should not be read in isolation but must be read with sections 66 and 76 of the Companies Act, 71 of 2008.</w:t>
      </w:r>
    </w:p>
    <w:p w14:paraId="2DEBF87A" w14:textId="6F914950" w:rsidR="004A4145" w:rsidRPr="00291BC3" w:rsidRDefault="00FC396E" w:rsidP="00FC396E">
      <w:pPr>
        <w:pStyle w:val="BodyText"/>
        <w:widowControl/>
        <w:tabs>
          <w:tab w:val="left" w:pos="0"/>
        </w:tabs>
        <w:ind w:left="2160" w:right="851" w:hanging="742"/>
        <w:rPr>
          <w:rFonts w:cs="Arial"/>
          <w:i/>
          <w:iCs/>
          <w:szCs w:val="24"/>
          <w:lang w:val="en-GB"/>
        </w:rPr>
      </w:pPr>
      <w:r w:rsidRPr="00291BC3">
        <w:rPr>
          <w:rFonts w:cs="Arial"/>
          <w:i/>
          <w:iCs/>
          <w:szCs w:val="24"/>
          <w:lang w:val="en-GB"/>
        </w:rPr>
        <w:t>1.7.</w:t>
      </w:r>
      <w:r w:rsidRPr="00291BC3">
        <w:rPr>
          <w:rFonts w:cs="Arial"/>
          <w:i/>
          <w:iCs/>
          <w:szCs w:val="24"/>
          <w:lang w:val="en-GB"/>
        </w:rPr>
        <w:tab/>
      </w:r>
      <w:r w:rsidR="004A4145" w:rsidRPr="00291BC3">
        <w:rPr>
          <w:rFonts w:cs="Arial"/>
          <w:i/>
          <w:iCs/>
          <w:szCs w:val="24"/>
          <w:lang w:val="en-GB"/>
        </w:rPr>
        <w:t xml:space="preserve">Therefore, Plaintiff’s claim for procedural and substantive aspects of the unlawful termination of his employment contract, is a claim which is not predicated on the Labour Relations Act only, but it is also premised upon the provisions of Companies Act, 2008. This is in line with the legal principles as ventilated much more clearly in the </w:t>
      </w:r>
      <w:r w:rsidR="004A4145" w:rsidRPr="00291BC3">
        <w:rPr>
          <w:rFonts w:cs="Arial"/>
          <w:b/>
          <w:i/>
          <w:iCs/>
          <w:szCs w:val="24"/>
          <w:u w:val="single"/>
          <w:lang w:val="en-GB"/>
        </w:rPr>
        <w:t>LOUISAH BASANI BALOYI VERSUS PUBLIC PROTECTOR AND OIBERS CCT0l/20[20201 ZACC 27</w:t>
      </w:r>
      <w:r w:rsidR="004A4145" w:rsidRPr="00291BC3">
        <w:rPr>
          <w:rFonts w:cs="Arial"/>
          <w:i/>
          <w:iCs/>
          <w:szCs w:val="24"/>
          <w:lang w:val="en-GB"/>
        </w:rPr>
        <w:t>,</w:t>
      </w:r>
      <w:r w:rsidR="004A4145" w:rsidRPr="00291BC3">
        <w:rPr>
          <w:rFonts w:cs="Arial"/>
          <w:b/>
          <w:i/>
          <w:iCs/>
          <w:szCs w:val="24"/>
          <w:lang w:val="en-GB"/>
        </w:rPr>
        <w:t xml:space="preserve"> </w:t>
      </w:r>
      <w:r w:rsidR="004A4145" w:rsidRPr="00291BC3">
        <w:rPr>
          <w:rFonts w:cs="Arial"/>
          <w:i/>
          <w:iCs/>
          <w:szCs w:val="24"/>
          <w:lang w:val="en-GB"/>
        </w:rPr>
        <w:t>in which it was held that termination of contract of employment has the potential to found a claim for the relief for the infringement of the Labour Relations Act, 66 of 1995, and also a contractual claim for enforcement of a right that does not emanate from the Labour Relations Act, 66, of 1995, as amended.</w:t>
      </w:r>
    </w:p>
    <w:p w14:paraId="50A82867" w14:textId="04453F12" w:rsidR="004A4145" w:rsidRPr="00291BC3" w:rsidRDefault="00FC396E" w:rsidP="00FC396E">
      <w:pPr>
        <w:pStyle w:val="BodyText"/>
        <w:widowControl/>
        <w:tabs>
          <w:tab w:val="left" w:pos="0"/>
        </w:tabs>
        <w:ind w:left="2160" w:right="851" w:hanging="742"/>
        <w:rPr>
          <w:rFonts w:cs="Arial"/>
          <w:i/>
          <w:iCs/>
          <w:szCs w:val="24"/>
          <w:lang w:val="en-GB"/>
        </w:rPr>
      </w:pPr>
      <w:r w:rsidRPr="00291BC3">
        <w:rPr>
          <w:rFonts w:cs="Arial"/>
          <w:i/>
          <w:iCs/>
          <w:szCs w:val="24"/>
          <w:lang w:val="en-GB"/>
        </w:rPr>
        <w:t>1.8.</w:t>
      </w:r>
      <w:r w:rsidRPr="00291BC3">
        <w:rPr>
          <w:rFonts w:cs="Arial"/>
          <w:i/>
          <w:iCs/>
          <w:szCs w:val="24"/>
          <w:lang w:val="en-GB"/>
        </w:rPr>
        <w:tab/>
      </w:r>
      <w:r w:rsidR="004A4145" w:rsidRPr="00291BC3">
        <w:rPr>
          <w:rFonts w:cs="Arial"/>
          <w:b/>
          <w:i/>
          <w:iCs/>
          <w:szCs w:val="24"/>
          <w:lang w:val="en-GB"/>
        </w:rPr>
        <w:t xml:space="preserve">IT IS NOTEWORTHY THAT </w:t>
      </w:r>
      <w:r w:rsidR="004A4145" w:rsidRPr="00291BC3">
        <w:rPr>
          <w:rFonts w:cs="Arial"/>
          <w:i/>
          <w:iCs/>
          <w:szCs w:val="24"/>
          <w:lang w:val="en-GB"/>
        </w:rPr>
        <w:t xml:space="preserve">the Plaintiff’s contractual claim for enforcement of the Plaintiff’s employment contract, that got unlawfully terminated under the ruse of retrenchment, does not only emanate from the Labour Relations Act, 66 of 1995, but also from the operation of section 66 and 67 of the Companies Act, 71 of 2008, which were intended to create procedural legal obligations on the Defendant, to act both procedurally and substantively fair, observing the duties to act with honesty and utmost care when to disclose relevant information in the instances of consultation process as envisaged under version of section 189, not least to the </w:t>
      </w:r>
      <w:r w:rsidR="004A4145" w:rsidRPr="00291BC3">
        <w:rPr>
          <w:rFonts w:cs="Arial"/>
          <w:i/>
          <w:iCs/>
          <w:szCs w:val="24"/>
          <w:lang w:val="en-GB"/>
        </w:rPr>
        <w:lastRenderedPageBreak/>
        <w:t>provisions of section 189(3) of the Labour Relations Act 66 of 1995.</w:t>
      </w:r>
    </w:p>
    <w:p w14:paraId="45519D88" w14:textId="2DD94BFF" w:rsidR="00783E3E" w:rsidRPr="00291BC3" w:rsidRDefault="00FC396E" w:rsidP="00FC396E">
      <w:pPr>
        <w:pStyle w:val="BodyText"/>
        <w:widowControl/>
        <w:tabs>
          <w:tab w:val="left" w:pos="0"/>
        </w:tabs>
        <w:ind w:left="2161" w:right="851" w:hanging="743"/>
        <w:rPr>
          <w:rFonts w:cs="Arial"/>
          <w:szCs w:val="24"/>
          <w:lang w:val="en-GB"/>
        </w:rPr>
      </w:pPr>
      <w:r w:rsidRPr="00291BC3">
        <w:rPr>
          <w:rFonts w:cs="Arial"/>
          <w:i/>
          <w:iCs/>
          <w:szCs w:val="24"/>
          <w:lang w:val="en-GB"/>
        </w:rPr>
        <w:t>1.9.</w:t>
      </w:r>
      <w:r w:rsidRPr="00291BC3">
        <w:rPr>
          <w:rFonts w:cs="Arial"/>
          <w:i/>
          <w:iCs/>
          <w:szCs w:val="24"/>
          <w:lang w:val="en-GB"/>
        </w:rPr>
        <w:tab/>
      </w:r>
      <w:r w:rsidR="004A4145" w:rsidRPr="00291BC3">
        <w:rPr>
          <w:rFonts w:cs="Arial"/>
          <w:i/>
          <w:iCs/>
          <w:szCs w:val="24"/>
          <w:lang w:val="en-GB"/>
        </w:rPr>
        <w:t>Plaintiff challenges the lawfulness of the termination of his employment contract in that invoking the provisions of section 66 and 76 of the Companies Act,71 of 2008 read together with the provisions of section 191 and with relevant sections of the Labour Relations Act, 66 of 1995 giving effect to the provisions of section 23 of the Constitution of the Republic of South Africa, 108 of 1996.</w:t>
      </w:r>
      <w:r w:rsidR="009D0AC2" w:rsidRPr="00291BC3">
        <w:rPr>
          <w:rFonts w:cs="Arial"/>
          <w:szCs w:val="24"/>
          <w:lang w:val="en-GB"/>
        </w:rPr>
        <w:t>”</w:t>
      </w:r>
      <w:r w:rsidR="00783E3E" w:rsidRPr="00291BC3">
        <w:rPr>
          <w:rFonts w:cs="Arial"/>
          <w:szCs w:val="24"/>
          <w:lang w:val="en-GB"/>
        </w:rPr>
        <w:t xml:space="preserve"> </w:t>
      </w:r>
    </w:p>
    <w:p w14:paraId="774173FA" w14:textId="3BA96379" w:rsidR="004A4145" w:rsidRPr="00291BC3" w:rsidRDefault="00783E3E" w:rsidP="00361D1C">
      <w:pPr>
        <w:pStyle w:val="BodyText"/>
        <w:widowControl/>
        <w:ind w:left="2160" w:right="851"/>
        <w:jc w:val="right"/>
        <w:rPr>
          <w:rFonts w:cs="Arial"/>
          <w:szCs w:val="24"/>
          <w:lang w:val="en-GB"/>
        </w:rPr>
      </w:pPr>
      <w:r w:rsidRPr="00291BC3">
        <w:rPr>
          <w:rFonts w:cs="Arial"/>
          <w:szCs w:val="24"/>
          <w:lang w:val="en-GB"/>
        </w:rPr>
        <w:t>[</w:t>
      </w:r>
      <w:r w:rsidRPr="00291BC3">
        <w:rPr>
          <w:rFonts w:cs="Arial"/>
          <w:i/>
          <w:iCs/>
          <w:szCs w:val="24"/>
          <w:lang w:val="en-GB"/>
        </w:rPr>
        <w:t>sic</w:t>
      </w:r>
      <w:r w:rsidR="003E62B0" w:rsidRPr="00291BC3">
        <w:rPr>
          <w:rFonts w:cs="Arial"/>
          <w:i/>
          <w:iCs/>
          <w:szCs w:val="24"/>
          <w:lang w:val="en-GB"/>
        </w:rPr>
        <w:t xml:space="preserve"> passim</w:t>
      </w:r>
      <w:r w:rsidRPr="00291BC3">
        <w:rPr>
          <w:rFonts w:cs="Arial"/>
          <w:szCs w:val="24"/>
          <w:lang w:val="en-GB"/>
        </w:rPr>
        <w:t>]</w:t>
      </w:r>
    </w:p>
    <w:p w14:paraId="6EC20DA2" w14:textId="465F6E32" w:rsidR="00CE2304" w:rsidRPr="00291BC3" w:rsidRDefault="00CE2304" w:rsidP="00361D1C">
      <w:pPr>
        <w:pStyle w:val="JudgmentNumbered"/>
        <w:numPr>
          <w:ilvl w:val="0"/>
          <w:numId w:val="0"/>
        </w:numPr>
        <w:rPr>
          <w:szCs w:val="24"/>
          <w:lang w:eastAsia="en-GB"/>
        </w:rPr>
      </w:pPr>
    </w:p>
    <w:p w14:paraId="781FEF4D" w14:textId="2D584199" w:rsidR="00BF155D" w:rsidRPr="00291BC3" w:rsidRDefault="00FC396E" w:rsidP="00FC396E">
      <w:pPr>
        <w:pStyle w:val="JudgmentNumbered"/>
        <w:numPr>
          <w:ilvl w:val="0"/>
          <w:numId w:val="0"/>
        </w:numPr>
        <w:ind w:left="567" w:hanging="567"/>
        <w:rPr>
          <w:szCs w:val="24"/>
          <w:lang w:eastAsia="en-GB"/>
        </w:rPr>
      </w:pPr>
      <w:r w:rsidRPr="00291BC3">
        <w:rPr>
          <w:szCs w:val="24"/>
          <w:lang w:eastAsia="en-GB"/>
        </w:rPr>
        <w:t>[10]</w:t>
      </w:r>
      <w:r w:rsidRPr="00291BC3">
        <w:rPr>
          <w:szCs w:val="24"/>
          <w:lang w:eastAsia="en-GB"/>
        </w:rPr>
        <w:tab/>
      </w:r>
      <w:r w:rsidR="002E5A5B" w:rsidRPr="00291BC3">
        <w:rPr>
          <w:szCs w:val="24"/>
          <w:lang w:eastAsia="en-GB"/>
        </w:rPr>
        <w:t>Th</w:t>
      </w:r>
      <w:r w:rsidR="003E62B0" w:rsidRPr="00291BC3">
        <w:rPr>
          <w:szCs w:val="24"/>
          <w:lang w:eastAsia="en-GB"/>
        </w:rPr>
        <w:t>e</w:t>
      </w:r>
      <w:r w:rsidR="002E5A5B" w:rsidRPr="00291BC3">
        <w:rPr>
          <w:szCs w:val="24"/>
          <w:lang w:eastAsia="en-GB"/>
        </w:rPr>
        <w:t xml:space="preserve">se are the first </w:t>
      </w:r>
      <w:r w:rsidR="003E62B0" w:rsidRPr="00291BC3">
        <w:rPr>
          <w:szCs w:val="24"/>
          <w:lang w:eastAsia="en-GB"/>
        </w:rPr>
        <w:t>4.5</w:t>
      </w:r>
      <w:r w:rsidR="002E5A5B" w:rsidRPr="00291BC3">
        <w:rPr>
          <w:szCs w:val="24"/>
          <w:lang w:eastAsia="en-GB"/>
        </w:rPr>
        <w:t xml:space="preserve"> pages of a 15-page document</w:t>
      </w:r>
      <w:r w:rsidR="00FE5D55" w:rsidRPr="00291BC3">
        <w:rPr>
          <w:szCs w:val="24"/>
          <w:lang w:eastAsia="en-GB"/>
        </w:rPr>
        <w:t>. In</w:t>
      </w:r>
      <w:r w:rsidR="002E5A5B" w:rsidRPr="00291BC3">
        <w:rPr>
          <w:szCs w:val="24"/>
          <w:lang w:eastAsia="en-GB"/>
        </w:rPr>
        <w:t xml:space="preserve"> </w:t>
      </w:r>
      <w:r w:rsidR="00FE5D55" w:rsidRPr="00291BC3">
        <w:rPr>
          <w:szCs w:val="24"/>
          <w:lang w:eastAsia="en-GB"/>
        </w:rPr>
        <w:t xml:space="preserve">the next section of the document, the plaintiff responds </w:t>
      </w:r>
      <w:r w:rsidR="00FE5D55" w:rsidRPr="00291BC3">
        <w:rPr>
          <w:i/>
          <w:iCs/>
          <w:szCs w:val="24"/>
          <w:lang w:eastAsia="en-GB"/>
        </w:rPr>
        <w:t>seriatim</w:t>
      </w:r>
      <w:r w:rsidR="00FE5D55" w:rsidRPr="00291BC3">
        <w:rPr>
          <w:szCs w:val="24"/>
          <w:lang w:eastAsia="en-GB"/>
        </w:rPr>
        <w:t xml:space="preserve"> to the notice under rule 23(1)</w:t>
      </w:r>
      <w:r w:rsidR="002D2EF2" w:rsidRPr="00291BC3">
        <w:rPr>
          <w:szCs w:val="24"/>
          <w:lang w:eastAsia="en-GB"/>
        </w:rPr>
        <w:t>(a)</w:t>
      </w:r>
      <w:r w:rsidR="00FE5D55" w:rsidRPr="00291BC3">
        <w:rPr>
          <w:szCs w:val="24"/>
          <w:lang w:eastAsia="en-GB"/>
        </w:rPr>
        <w:t xml:space="preserve">. </w:t>
      </w:r>
      <w:r w:rsidR="00B72049" w:rsidRPr="00291BC3">
        <w:rPr>
          <w:szCs w:val="24"/>
          <w:lang w:eastAsia="en-GB"/>
        </w:rPr>
        <w:t xml:space="preserve">The document </w:t>
      </w:r>
      <w:r w:rsidR="00FE5D55" w:rsidRPr="00291BC3">
        <w:rPr>
          <w:szCs w:val="24"/>
          <w:lang w:eastAsia="en-GB"/>
        </w:rPr>
        <w:t xml:space="preserve">also revisits </w:t>
      </w:r>
      <w:r w:rsidR="00B72049" w:rsidRPr="00291BC3">
        <w:rPr>
          <w:szCs w:val="24"/>
          <w:lang w:eastAsia="en-GB"/>
        </w:rPr>
        <w:t>the plaintiff’s</w:t>
      </w:r>
      <w:r w:rsidR="00FE5D55" w:rsidRPr="00291BC3">
        <w:rPr>
          <w:szCs w:val="24"/>
          <w:lang w:eastAsia="en-GB"/>
        </w:rPr>
        <w:t xml:space="preserve"> claim as framed in the particulars of claim and replication</w:t>
      </w:r>
      <w:r w:rsidR="00B72049" w:rsidRPr="00291BC3">
        <w:rPr>
          <w:szCs w:val="24"/>
          <w:lang w:eastAsia="en-GB"/>
        </w:rPr>
        <w:t xml:space="preserve"> and </w:t>
      </w:r>
      <w:r w:rsidR="00842699" w:rsidRPr="00291BC3">
        <w:rPr>
          <w:szCs w:val="24"/>
          <w:lang w:eastAsia="en-GB"/>
        </w:rPr>
        <w:t>contain</w:t>
      </w:r>
      <w:r w:rsidR="00FE5D55" w:rsidRPr="00291BC3">
        <w:rPr>
          <w:szCs w:val="24"/>
          <w:lang w:eastAsia="en-GB"/>
        </w:rPr>
        <w:t>s</w:t>
      </w:r>
      <w:r w:rsidR="00842699" w:rsidRPr="00291BC3">
        <w:rPr>
          <w:szCs w:val="24"/>
          <w:lang w:eastAsia="en-GB"/>
        </w:rPr>
        <w:t xml:space="preserve"> </w:t>
      </w:r>
      <w:r w:rsidR="00783E3E" w:rsidRPr="00291BC3">
        <w:rPr>
          <w:szCs w:val="24"/>
          <w:lang w:eastAsia="en-GB"/>
        </w:rPr>
        <w:t xml:space="preserve">generous </w:t>
      </w:r>
      <w:r w:rsidR="00842699" w:rsidRPr="00291BC3">
        <w:rPr>
          <w:szCs w:val="24"/>
          <w:lang w:eastAsia="en-GB"/>
        </w:rPr>
        <w:t>references to statutes and case law.</w:t>
      </w:r>
      <w:r w:rsidR="00783E3E" w:rsidRPr="00291BC3">
        <w:rPr>
          <w:szCs w:val="24"/>
          <w:lang w:eastAsia="en-GB"/>
        </w:rPr>
        <w:t xml:space="preserve"> </w:t>
      </w:r>
      <w:r w:rsidR="002E5A5B" w:rsidRPr="00291BC3">
        <w:rPr>
          <w:szCs w:val="24"/>
          <w:lang w:eastAsia="en-GB"/>
        </w:rPr>
        <w:t>Perhaps n</w:t>
      </w:r>
      <w:r w:rsidR="001672E7" w:rsidRPr="00291BC3">
        <w:rPr>
          <w:szCs w:val="24"/>
          <w:lang w:eastAsia="en-GB"/>
        </w:rPr>
        <w:t>ot surprisingly, given its novelty, the defendant construed the delivery of th</w:t>
      </w:r>
      <w:r w:rsidR="00783E3E" w:rsidRPr="00291BC3">
        <w:rPr>
          <w:szCs w:val="24"/>
          <w:lang w:eastAsia="en-GB"/>
        </w:rPr>
        <w:t>at</w:t>
      </w:r>
      <w:r w:rsidR="001672E7" w:rsidRPr="00291BC3">
        <w:rPr>
          <w:szCs w:val="24"/>
          <w:lang w:eastAsia="en-GB"/>
        </w:rPr>
        <w:t xml:space="preserve"> document as an irregular step.</w:t>
      </w:r>
    </w:p>
    <w:p w14:paraId="236686D6" w14:textId="63B18C17" w:rsidR="001672E7" w:rsidRPr="00291BC3" w:rsidRDefault="00FC396E" w:rsidP="00FC396E">
      <w:pPr>
        <w:pStyle w:val="JudgmentNumbered"/>
        <w:numPr>
          <w:ilvl w:val="0"/>
          <w:numId w:val="0"/>
        </w:numPr>
        <w:ind w:left="567" w:hanging="567"/>
        <w:rPr>
          <w:szCs w:val="24"/>
          <w:lang w:eastAsia="en-GB"/>
        </w:rPr>
      </w:pPr>
      <w:r w:rsidRPr="00291BC3">
        <w:rPr>
          <w:szCs w:val="24"/>
          <w:lang w:eastAsia="en-GB"/>
        </w:rPr>
        <w:t>[11]</w:t>
      </w:r>
      <w:r w:rsidRPr="00291BC3">
        <w:rPr>
          <w:szCs w:val="24"/>
          <w:lang w:eastAsia="en-GB"/>
        </w:rPr>
        <w:tab/>
      </w:r>
      <w:r w:rsidR="001672E7" w:rsidRPr="00291BC3">
        <w:rPr>
          <w:szCs w:val="24"/>
          <w:lang w:eastAsia="en-GB"/>
        </w:rPr>
        <w:t xml:space="preserve">Accordingly, on 20 May 2022 </w:t>
      </w:r>
      <w:r w:rsidR="00B965CC" w:rsidRPr="00291BC3">
        <w:rPr>
          <w:szCs w:val="24"/>
          <w:lang w:eastAsia="en-GB"/>
        </w:rPr>
        <w:t xml:space="preserve">MTN </w:t>
      </w:r>
      <w:r w:rsidR="001672E7" w:rsidRPr="00291BC3">
        <w:rPr>
          <w:szCs w:val="24"/>
          <w:lang w:eastAsia="en-GB"/>
        </w:rPr>
        <w:t>delivered a notice under rule 30(2)(b), calling upon the plaintiff</w:t>
      </w:r>
      <w:r w:rsidR="008927FB" w:rsidRPr="00291BC3">
        <w:rPr>
          <w:szCs w:val="24"/>
          <w:lang w:eastAsia="en-GB"/>
        </w:rPr>
        <w:t>,</w:t>
      </w:r>
      <w:r w:rsidR="001672E7" w:rsidRPr="00291BC3">
        <w:rPr>
          <w:szCs w:val="24"/>
          <w:lang w:eastAsia="en-GB"/>
        </w:rPr>
        <w:t xml:space="preserve"> </w:t>
      </w:r>
      <w:r w:rsidR="008927FB" w:rsidRPr="00291BC3">
        <w:rPr>
          <w:szCs w:val="24"/>
          <w:lang w:eastAsia="en-GB"/>
        </w:rPr>
        <w:t xml:space="preserve">within 10 days, </w:t>
      </w:r>
      <w:r w:rsidR="001672E7" w:rsidRPr="00291BC3">
        <w:rPr>
          <w:szCs w:val="24"/>
          <w:lang w:eastAsia="en-GB"/>
        </w:rPr>
        <w:t>to withdraw the document of 25 April 2022.</w:t>
      </w:r>
      <w:r w:rsidR="00BF155D" w:rsidRPr="00291BC3">
        <w:rPr>
          <w:szCs w:val="24"/>
          <w:lang w:eastAsia="en-GB"/>
        </w:rPr>
        <w:t xml:space="preserve"> </w:t>
      </w:r>
      <w:r w:rsidR="00842699" w:rsidRPr="00291BC3">
        <w:rPr>
          <w:szCs w:val="24"/>
          <w:lang w:eastAsia="en-GB"/>
        </w:rPr>
        <w:t>What is not ventilated in the papers in this application is that th</w:t>
      </w:r>
      <w:r w:rsidR="00C358EE" w:rsidRPr="00291BC3">
        <w:rPr>
          <w:szCs w:val="24"/>
          <w:lang w:eastAsia="en-GB"/>
        </w:rPr>
        <w:t>at</w:t>
      </w:r>
      <w:r w:rsidR="00842699" w:rsidRPr="00291BC3">
        <w:rPr>
          <w:szCs w:val="24"/>
          <w:lang w:eastAsia="en-GB"/>
        </w:rPr>
        <w:t xml:space="preserve"> notice under rule 30(2)(b) </w:t>
      </w:r>
      <w:r w:rsidR="00AC4820" w:rsidRPr="00291BC3">
        <w:rPr>
          <w:szCs w:val="24"/>
          <w:lang w:eastAsia="en-GB"/>
        </w:rPr>
        <w:t xml:space="preserve">was </w:t>
      </w:r>
      <w:r w:rsidR="00842699" w:rsidRPr="00291BC3">
        <w:rPr>
          <w:szCs w:val="24"/>
          <w:lang w:eastAsia="en-GB"/>
        </w:rPr>
        <w:t xml:space="preserve">some days out of time. It ought to have been delivered within ten days of MTN having become aware of the delivery of the document of 25 April 2022. No condonation </w:t>
      </w:r>
      <w:r w:rsidR="005C7D8C" w:rsidRPr="00291BC3">
        <w:rPr>
          <w:szCs w:val="24"/>
          <w:lang w:eastAsia="en-GB"/>
        </w:rPr>
        <w:t>i</w:t>
      </w:r>
      <w:r w:rsidR="00842699" w:rsidRPr="00291BC3">
        <w:rPr>
          <w:szCs w:val="24"/>
          <w:lang w:eastAsia="en-GB"/>
        </w:rPr>
        <w:t>s sought for the lateness of that notice.</w:t>
      </w:r>
      <w:r w:rsidR="003E62B0" w:rsidRPr="00291BC3">
        <w:rPr>
          <w:szCs w:val="24"/>
          <w:lang w:eastAsia="en-GB"/>
        </w:rPr>
        <w:t xml:space="preserve"> I address this below.</w:t>
      </w:r>
    </w:p>
    <w:p w14:paraId="48FA590A" w14:textId="27257977" w:rsidR="001672E7" w:rsidRPr="00291BC3" w:rsidRDefault="00FC396E" w:rsidP="00FC396E">
      <w:pPr>
        <w:pStyle w:val="JudgmentNumbered"/>
        <w:numPr>
          <w:ilvl w:val="0"/>
          <w:numId w:val="0"/>
        </w:numPr>
        <w:ind w:left="567" w:hanging="567"/>
        <w:rPr>
          <w:szCs w:val="24"/>
          <w:lang w:eastAsia="en-GB"/>
        </w:rPr>
      </w:pPr>
      <w:r w:rsidRPr="00291BC3">
        <w:rPr>
          <w:szCs w:val="24"/>
          <w:lang w:eastAsia="en-GB"/>
        </w:rPr>
        <w:t>[12]</w:t>
      </w:r>
      <w:r w:rsidRPr="00291BC3">
        <w:rPr>
          <w:szCs w:val="24"/>
          <w:lang w:eastAsia="en-GB"/>
        </w:rPr>
        <w:tab/>
      </w:r>
      <w:r w:rsidR="008927FB" w:rsidRPr="00291BC3">
        <w:rPr>
          <w:szCs w:val="24"/>
          <w:lang w:eastAsia="en-GB"/>
        </w:rPr>
        <w:t xml:space="preserve">The ten days that </w:t>
      </w:r>
      <w:r w:rsidR="00387ECB" w:rsidRPr="00291BC3">
        <w:rPr>
          <w:szCs w:val="24"/>
          <w:lang w:eastAsia="en-GB"/>
        </w:rPr>
        <w:t xml:space="preserve">MTN </w:t>
      </w:r>
      <w:r w:rsidR="008927FB" w:rsidRPr="00291BC3">
        <w:rPr>
          <w:szCs w:val="24"/>
          <w:lang w:eastAsia="en-GB"/>
        </w:rPr>
        <w:t xml:space="preserve">thus granted the plaintiff to withdraw the document of 25 April 2022 </w:t>
      </w:r>
      <w:r w:rsidR="00FE5D55" w:rsidRPr="00291BC3">
        <w:rPr>
          <w:szCs w:val="24"/>
          <w:lang w:eastAsia="en-GB"/>
        </w:rPr>
        <w:t>ran out</w:t>
      </w:r>
      <w:r w:rsidR="008927FB" w:rsidRPr="00291BC3">
        <w:rPr>
          <w:szCs w:val="24"/>
          <w:lang w:eastAsia="en-GB"/>
        </w:rPr>
        <w:t xml:space="preserve"> on 3 June 2022. On that date, </w:t>
      </w:r>
      <w:r w:rsidR="001672E7" w:rsidRPr="00291BC3">
        <w:rPr>
          <w:szCs w:val="24"/>
          <w:lang w:eastAsia="en-GB"/>
        </w:rPr>
        <w:t>the plaintiff delivered another document, this time headed “Plaintiff’s Notice of Intention to Oppose Defendant’s Notice of Intention in Terms of Rule 30 of the Uniform Rules”.</w:t>
      </w:r>
    </w:p>
    <w:p w14:paraId="31557CC7" w14:textId="056C4F29" w:rsidR="001672E7" w:rsidRPr="00291BC3" w:rsidRDefault="00FC396E" w:rsidP="00FC396E">
      <w:pPr>
        <w:pStyle w:val="JudgmentNumbered"/>
        <w:numPr>
          <w:ilvl w:val="0"/>
          <w:numId w:val="0"/>
        </w:numPr>
        <w:ind w:left="567" w:hanging="567"/>
        <w:rPr>
          <w:szCs w:val="24"/>
          <w:lang w:eastAsia="en-GB"/>
        </w:rPr>
      </w:pPr>
      <w:r w:rsidRPr="00291BC3">
        <w:rPr>
          <w:szCs w:val="24"/>
          <w:lang w:eastAsia="en-GB"/>
        </w:rPr>
        <w:t>[13]</w:t>
      </w:r>
      <w:r w:rsidRPr="00291BC3">
        <w:rPr>
          <w:szCs w:val="24"/>
          <w:lang w:eastAsia="en-GB"/>
        </w:rPr>
        <w:tab/>
      </w:r>
      <w:r w:rsidR="001672E7" w:rsidRPr="00291BC3">
        <w:rPr>
          <w:szCs w:val="24"/>
          <w:lang w:eastAsia="en-GB"/>
        </w:rPr>
        <w:t xml:space="preserve">Thereupon, on 21 July 2022 </w:t>
      </w:r>
      <w:r w:rsidR="00387ECB" w:rsidRPr="00291BC3">
        <w:rPr>
          <w:szCs w:val="24"/>
          <w:lang w:eastAsia="en-GB"/>
        </w:rPr>
        <w:t xml:space="preserve">MTN </w:t>
      </w:r>
      <w:r w:rsidR="001672E7" w:rsidRPr="00291BC3">
        <w:rPr>
          <w:szCs w:val="24"/>
          <w:lang w:eastAsia="en-GB"/>
        </w:rPr>
        <w:t xml:space="preserve">brought this application under rule 30(1), seeking an order declaring the plaintiff’s document of 25 April 2022 an irregular step and directing that </w:t>
      </w:r>
      <w:r w:rsidR="009D0AC2" w:rsidRPr="00291BC3">
        <w:rPr>
          <w:szCs w:val="24"/>
          <w:lang w:eastAsia="en-GB"/>
        </w:rPr>
        <w:t>i</w:t>
      </w:r>
      <w:r w:rsidR="001672E7" w:rsidRPr="00291BC3">
        <w:rPr>
          <w:szCs w:val="24"/>
          <w:lang w:eastAsia="en-GB"/>
        </w:rPr>
        <w:t>t be set aside.</w:t>
      </w:r>
      <w:r w:rsidR="00842699" w:rsidRPr="00291BC3">
        <w:rPr>
          <w:szCs w:val="24"/>
          <w:lang w:eastAsia="en-GB"/>
        </w:rPr>
        <w:t xml:space="preserve"> This application was some seventeen days out of time.</w:t>
      </w:r>
      <w:r w:rsidR="00B965CC" w:rsidRPr="00291BC3">
        <w:rPr>
          <w:szCs w:val="24"/>
          <w:lang w:eastAsia="en-GB"/>
        </w:rPr>
        <w:t xml:space="preserve"> The applicant seek</w:t>
      </w:r>
      <w:r w:rsidR="0035662F" w:rsidRPr="00291BC3">
        <w:rPr>
          <w:szCs w:val="24"/>
          <w:lang w:eastAsia="en-GB"/>
        </w:rPr>
        <w:t>s</w:t>
      </w:r>
      <w:r w:rsidR="00B965CC" w:rsidRPr="00291BC3">
        <w:rPr>
          <w:szCs w:val="24"/>
          <w:lang w:eastAsia="en-GB"/>
        </w:rPr>
        <w:t xml:space="preserve"> condonation for its lateness.</w:t>
      </w:r>
    </w:p>
    <w:p w14:paraId="2F6E3DB4" w14:textId="3986DA2A" w:rsidR="009D0AC2" w:rsidRPr="00291BC3" w:rsidRDefault="00FC396E" w:rsidP="00FC396E">
      <w:pPr>
        <w:pStyle w:val="JudgmentNumbered"/>
        <w:numPr>
          <w:ilvl w:val="0"/>
          <w:numId w:val="0"/>
        </w:numPr>
        <w:ind w:left="567" w:hanging="567"/>
        <w:rPr>
          <w:szCs w:val="24"/>
          <w:lang w:eastAsia="en-GB"/>
        </w:rPr>
      </w:pPr>
      <w:r w:rsidRPr="00291BC3">
        <w:rPr>
          <w:szCs w:val="24"/>
          <w:lang w:eastAsia="en-GB"/>
        </w:rPr>
        <w:t>[14]</w:t>
      </w:r>
      <w:r w:rsidRPr="00291BC3">
        <w:rPr>
          <w:szCs w:val="24"/>
          <w:lang w:eastAsia="en-GB"/>
        </w:rPr>
        <w:tab/>
      </w:r>
      <w:r w:rsidR="00277F8B" w:rsidRPr="00291BC3">
        <w:rPr>
          <w:szCs w:val="24"/>
          <w:lang w:eastAsia="en-GB"/>
        </w:rPr>
        <w:t xml:space="preserve">At the hearing, the </w:t>
      </w:r>
      <w:r w:rsidR="00CE2304" w:rsidRPr="00291BC3">
        <w:rPr>
          <w:szCs w:val="24"/>
          <w:lang w:eastAsia="en-GB"/>
        </w:rPr>
        <w:t xml:space="preserve">plaintiff </w:t>
      </w:r>
      <w:r w:rsidR="00277F8B" w:rsidRPr="00291BC3">
        <w:rPr>
          <w:szCs w:val="24"/>
          <w:lang w:eastAsia="en-GB"/>
        </w:rPr>
        <w:t>appeared in person.</w:t>
      </w:r>
      <w:r w:rsidR="00CE2304" w:rsidRPr="00291BC3">
        <w:rPr>
          <w:szCs w:val="24"/>
          <w:lang w:eastAsia="en-GB"/>
        </w:rPr>
        <w:t xml:space="preserve"> </w:t>
      </w:r>
      <w:r w:rsidR="00277F8B" w:rsidRPr="00291BC3">
        <w:rPr>
          <w:szCs w:val="24"/>
          <w:lang w:eastAsia="en-GB"/>
        </w:rPr>
        <w:t>W</w:t>
      </w:r>
      <w:r w:rsidR="005C7D8C" w:rsidRPr="00291BC3">
        <w:rPr>
          <w:szCs w:val="24"/>
          <w:lang w:eastAsia="en-GB"/>
        </w:rPr>
        <w:t xml:space="preserve">hile </w:t>
      </w:r>
      <w:r w:rsidR="003E62B0" w:rsidRPr="00291BC3">
        <w:rPr>
          <w:szCs w:val="24"/>
          <w:lang w:eastAsia="en-GB"/>
        </w:rPr>
        <w:t xml:space="preserve">in various documents </w:t>
      </w:r>
      <w:r w:rsidR="005C7D8C" w:rsidRPr="00291BC3">
        <w:rPr>
          <w:szCs w:val="24"/>
          <w:lang w:eastAsia="en-GB"/>
        </w:rPr>
        <w:t xml:space="preserve">he </w:t>
      </w:r>
      <w:r w:rsidR="003E62B0" w:rsidRPr="00291BC3">
        <w:rPr>
          <w:szCs w:val="24"/>
          <w:lang w:eastAsia="en-GB"/>
        </w:rPr>
        <w:t>emphasises the fact that he is not represented</w:t>
      </w:r>
      <w:r w:rsidR="005C7D8C" w:rsidRPr="00291BC3">
        <w:rPr>
          <w:szCs w:val="24"/>
          <w:lang w:eastAsia="en-GB"/>
        </w:rPr>
        <w:t xml:space="preserve"> in these proceedings</w:t>
      </w:r>
      <w:r w:rsidR="003E62B0" w:rsidRPr="00291BC3">
        <w:rPr>
          <w:szCs w:val="24"/>
          <w:lang w:eastAsia="en-GB"/>
        </w:rPr>
        <w:t xml:space="preserve">, </w:t>
      </w:r>
      <w:r w:rsidR="00CE2304" w:rsidRPr="00291BC3">
        <w:rPr>
          <w:szCs w:val="24"/>
          <w:lang w:eastAsia="en-GB"/>
        </w:rPr>
        <w:t xml:space="preserve">at previous </w:t>
      </w:r>
      <w:r w:rsidR="00CE2304" w:rsidRPr="00291BC3">
        <w:rPr>
          <w:szCs w:val="24"/>
          <w:lang w:eastAsia="en-GB"/>
        </w:rPr>
        <w:lastRenderedPageBreak/>
        <w:t xml:space="preserve">junctures he has had the benefit of legal counsel. In fact, </w:t>
      </w:r>
      <w:r w:rsidR="002E5A5B" w:rsidRPr="00291BC3">
        <w:rPr>
          <w:szCs w:val="24"/>
          <w:lang w:eastAsia="en-GB"/>
        </w:rPr>
        <w:t xml:space="preserve">on the court file there </w:t>
      </w:r>
      <w:r w:rsidR="00783E3E" w:rsidRPr="00291BC3">
        <w:rPr>
          <w:szCs w:val="24"/>
          <w:lang w:eastAsia="en-GB"/>
        </w:rPr>
        <w:t>are</w:t>
      </w:r>
      <w:r w:rsidR="002E5A5B" w:rsidRPr="00291BC3">
        <w:rPr>
          <w:szCs w:val="24"/>
          <w:lang w:eastAsia="en-GB"/>
        </w:rPr>
        <w:t xml:space="preserve"> a practice note of the applicant dated 30 October 2023</w:t>
      </w:r>
      <w:r w:rsidR="003E62B0" w:rsidRPr="00291BC3">
        <w:rPr>
          <w:szCs w:val="24"/>
          <w:lang w:eastAsia="en-GB"/>
        </w:rPr>
        <w:t xml:space="preserve">, </w:t>
      </w:r>
      <w:r w:rsidR="0043777D" w:rsidRPr="00291BC3">
        <w:rPr>
          <w:szCs w:val="24"/>
          <w:lang w:eastAsia="en-GB"/>
        </w:rPr>
        <w:t xml:space="preserve">a fortnight </w:t>
      </w:r>
      <w:r w:rsidR="003E62B0" w:rsidRPr="00291BC3">
        <w:rPr>
          <w:szCs w:val="24"/>
          <w:lang w:eastAsia="en-GB"/>
        </w:rPr>
        <w:t>before th</w:t>
      </w:r>
      <w:r w:rsidR="000943F7" w:rsidRPr="00291BC3">
        <w:rPr>
          <w:szCs w:val="24"/>
          <w:lang w:eastAsia="en-GB"/>
        </w:rPr>
        <w:t>is</w:t>
      </w:r>
      <w:r w:rsidR="003E62B0" w:rsidRPr="00291BC3">
        <w:rPr>
          <w:szCs w:val="24"/>
          <w:lang w:eastAsia="en-GB"/>
        </w:rPr>
        <w:t xml:space="preserve"> hearing date,</w:t>
      </w:r>
      <w:r w:rsidR="002E5A5B" w:rsidRPr="00291BC3">
        <w:rPr>
          <w:szCs w:val="24"/>
          <w:lang w:eastAsia="en-GB"/>
        </w:rPr>
        <w:t xml:space="preserve"> and an undated set of heads of argument in this rule 30 application.</w:t>
      </w:r>
      <w:r w:rsidR="005C7D8C" w:rsidRPr="00291BC3">
        <w:rPr>
          <w:szCs w:val="24"/>
          <w:lang w:eastAsia="en-GB"/>
        </w:rPr>
        <w:t xml:space="preserve"> There is an unmistakable similarity in style</w:t>
      </w:r>
      <w:r w:rsidR="0043777D" w:rsidRPr="00291BC3">
        <w:rPr>
          <w:szCs w:val="24"/>
          <w:lang w:eastAsia="en-GB"/>
        </w:rPr>
        <w:t>, linguistically and typographically,</w:t>
      </w:r>
      <w:r w:rsidR="005C7D8C" w:rsidRPr="00291BC3">
        <w:rPr>
          <w:szCs w:val="24"/>
          <w:lang w:eastAsia="en-GB"/>
        </w:rPr>
        <w:t xml:space="preserve"> between the documents so delivered </w:t>
      </w:r>
      <w:r w:rsidR="00277F8B" w:rsidRPr="00291BC3">
        <w:rPr>
          <w:szCs w:val="24"/>
          <w:lang w:eastAsia="en-GB"/>
        </w:rPr>
        <w:t xml:space="preserve">under </w:t>
      </w:r>
      <w:r w:rsidR="00361D1C" w:rsidRPr="00291BC3">
        <w:rPr>
          <w:szCs w:val="24"/>
          <w:lang w:eastAsia="en-GB"/>
        </w:rPr>
        <w:t>Mr </w:t>
      </w:r>
      <w:r w:rsidR="0043777D" w:rsidRPr="00291BC3">
        <w:rPr>
          <w:szCs w:val="24"/>
          <w:lang w:eastAsia="en-GB"/>
        </w:rPr>
        <w:t>Ngassam’s</w:t>
      </w:r>
      <w:r w:rsidR="005C7D8C" w:rsidRPr="00291BC3">
        <w:rPr>
          <w:szCs w:val="24"/>
          <w:lang w:eastAsia="en-GB"/>
        </w:rPr>
        <w:t xml:space="preserve"> </w:t>
      </w:r>
      <w:r w:rsidR="00277F8B" w:rsidRPr="00291BC3">
        <w:rPr>
          <w:szCs w:val="24"/>
          <w:lang w:eastAsia="en-GB"/>
        </w:rPr>
        <w:t xml:space="preserve">name </w:t>
      </w:r>
      <w:r w:rsidR="005C7D8C" w:rsidRPr="00291BC3">
        <w:rPr>
          <w:szCs w:val="24"/>
          <w:lang w:eastAsia="en-GB"/>
        </w:rPr>
        <w:t xml:space="preserve">and those </w:t>
      </w:r>
      <w:r w:rsidR="00277F8B" w:rsidRPr="00291BC3">
        <w:rPr>
          <w:szCs w:val="24"/>
          <w:lang w:eastAsia="en-GB"/>
        </w:rPr>
        <w:t>authored by counsel</w:t>
      </w:r>
      <w:r w:rsidR="005C7D8C" w:rsidRPr="00291BC3">
        <w:rPr>
          <w:szCs w:val="24"/>
          <w:lang w:eastAsia="en-GB"/>
        </w:rPr>
        <w:t>.</w:t>
      </w:r>
    </w:p>
    <w:p w14:paraId="1DA12EC7" w14:textId="51541471" w:rsidR="00C822E8" w:rsidRPr="00291BC3" w:rsidRDefault="004308EF" w:rsidP="00361D1C">
      <w:pPr>
        <w:pStyle w:val="JudgmentNumbered"/>
        <w:keepNext/>
        <w:numPr>
          <w:ilvl w:val="0"/>
          <w:numId w:val="0"/>
        </w:numPr>
        <w:rPr>
          <w:b/>
          <w:bCs/>
          <w:szCs w:val="24"/>
          <w:lang w:eastAsia="en-GB"/>
        </w:rPr>
      </w:pPr>
      <w:r w:rsidRPr="00291BC3">
        <w:rPr>
          <w:b/>
          <w:bCs/>
          <w:szCs w:val="24"/>
          <w:lang w:eastAsia="en-GB"/>
        </w:rPr>
        <w:t xml:space="preserve">THE </w:t>
      </w:r>
      <w:r w:rsidR="009D0AC2" w:rsidRPr="00291BC3">
        <w:rPr>
          <w:b/>
          <w:bCs/>
          <w:szCs w:val="24"/>
          <w:lang w:eastAsia="en-GB"/>
        </w:rPr>
        <w:t>LAW</w:t>
      </w:r>
    </w:p>
    <w:p w14:paraId="544D9E6A" w14:textId="1CB10CDA" w:rsidR="004308EF" w:rsidRPr="00291BC3" w:rsidRDefault="004308EF" w:rsidP="00361D1C">
      <w:pPr>
        <w:pStyle w:val="JudgmentNumbered"/>
        <w:keepNext/>
        <w:numPr>
          <w:ilvl w:val="0"/>
          <w:numId w:val="0"/>
        </w:numPr>
        <w:rPr>
          <w:b/>
          <w:bCs/>
          <w:szCs w:val="24"/>
          <w:lang w:eastAsia="en-GB"/>
        </w:rPr>
      </w:pPr>
      <w:r w:rsidRPr="00291BC3">
        <w:rPr>
          <w:b/>
          <w:bCs/>
          <w:szCs w:val="24"/>
          <w:lang w:eastAsia="en-GB"/>
        </w:rPr>
        <w:t>The problem</w:t>
      </w:r>
    </w:p>
    <w:p w14:paraId="145DAE31" w14:textId="187AC93D" w:rsidR="003E62B0" w:rsidRPr="00291BC3" w:rsidRDefault="00FC396E" w:rsidP="00FC396E">
      <w:pPr>
        <w:pStyle w:val="JudgmentNumbered"/>
        <w:numPr>
          <w:ilvl w:val="0"/>
          <w:numId w:val="0"/>
        </w:numPr>
        <w:ind w:left="567" w:hanging="567"/>
        <w:rPr>
          <w:szCs w:val="24"/>
          <w:lang w:eastAsia="en-GB"/>
        </w:rPr>
      </w:pPr>
      <w:r w:rsidRPr="00291BC3">
        <w:rPr>
          <w:szCs w:val="24"/>
          <w:lang w:eastAsia="en-GB"/>
        </w:rPr>
        <w:t>[15]</w:t>
      </w:r>
      <w:r w:rsidRPr="00291BC3">
        <w:rPr>
          <w:szCs w:val="24"/>
          <w:lang w:eastAsia="en-GB"/>
        </w:rPr>
        <w:tab/>
      </w:r>
      <w:r w:rsidR="003E62B0" w:rsidRPr="00291BC3">
        <w:rPr>
          <w:szCs w:val="24"/>
          <w:shd w:val="clear" w:color="auto" w:fill="FFFFFF"/>
        </w:rPr>
        <w:t xml:space="preserve">As I say above, </w:t>
      </w:r>
      <w:r w:rsidR="00387ECB" w:rsidRPr="00291BC3">
        <w:rPr>
          <w:szCs w:val="24"/>
          <w:shd w:val="clear" w:color="auto" w:fill="FFFFFF"/>
        </w:rPr>
        <w:t xml:space="preserve">MTN </w:t>
      </w:r>
      <w:r w:rsidR="003E62B0" w:rsidRPr="00291BC3">
        <w:rPr>
          <w:szCs w:val="24"/>
          <w:shd w:val="clear" w:color="auto" w:fill="FFFFFF"/>
        </w:rPr>
        <w:t>seeks condonation for the late delivery of this application. Yet, it does not similarly seek condonation for the late delivery of its notice under rule 30(2)(b).</w:t>
      </w:r>
    </w:p>
    <w:p w14:paraId="03F97B40" w14:textId="0918D39C" w:rsidR="0043777D" w:rsidRPr="00291BC3" w:rsidRDefault="00FC396E" w:rsidP="00FC396E">
      <w:pPr>
        <w:pStyle w:val="JudgmentNumbered"/>
        <w:numPr>
          <w:ilvl w:val="0"/>
          <w:numId w:val="0"/>
        </w:numPr>
        <w:ind w:left="567" w:hanging="567"/>
        <w:rPr>
          <w:szCs w:val="24"/>
          <w:lang w:eastAsia="en-GB"/>
        </w:rPr>
      </w:pPr>
      <w:r w:rsidRPr="00291BC3">
        <w:rPr>
          <w:szCs w:val="24"/>
          <w:lang w:eastAsia="en-GB"/>
        </w:rPr>
        <w:t>[16]</w:t>
      </w:r>
      <w:r w:rsidRPr="00291BC3">
        <w:rPr>
          <w:szCs w:val="24"/>
          <w:lang w:eastAsia="en-GB"/>
        </w:rPr>
        <w:tab/>
      </w:r>
      <w:r w:rsidR="0043777D" w:rsidRPr="00291BC3">
        <w:rPr>
          <w:szCs w:val="24"/>
          <w:shd w:val="clear" w:color="auto" w:fill="FFFFFF"/>
        </w:rPr>
        <w:t xml:space="preserve">This creates the </w:t>
      </w:r>
      <w:r w:rsidR="00FE7C87" w:rsidRPr="00291BC3">
        <w:rPr>
          <w:szCs w:val="24"/>
          <w:shd w:val="clear" w:color="auto" w:fill="FFFFFF"/>
        </w:rPr>
        <w:t>paradoxical</w:t>
      </w:r>
      <w:r w:rsidR="0043777D" w:rsidRPr="00291BC3">
        <w:rPr>
          <w:szCs w:val="24"/>
          <w:shd w:val="clear" w:color="auto" w:fill="FFFFFF"/>
        </w:rPr>
        <w:t xml:space="preserve"> </w:t>
      </w:r>
      <w:r w:rsidR="002D2EF2" w:rsidRPr="00291BC3">
        <w:rPr>
          <w:szCs w:val="24"/>
          <w:shd w:val="clear" w:color="auto" w:fill="FFFFFF"/>
        </w:rPr>
        <w:t>situation</w:t>
      </w:r>
      <w:r w:rsidR="0043777D" w:rsidRPr="00291BC3">
        <w:rPr>
          <w:szCs w:val="24"/>
          <w:shd w:val="clear" w:color="auto" w:fill="FFFFFF"/>
        </w:rPr>
        <w:t xml:space="preserve"> that </w:t>
      </w:r>
      <w:r w:rsidR="00387ECB" w:rsidRPr="00291BC3">
        <w:rPr>
          <w:szCs w:val="24"/>
          <w:shd w:val="clear" w:color="auto" w:fill="FFFFFF"/>
        </w:rPr>
        <w:t>MTN</w:t>
      </w:r>
      <w:r w:rsidR="0043777D" w:rsidRPr="00291BC3">
        <w:rPr>
          <w:szCs w:val="24"/>
          <w:shd w:val="clear" w:color="auto" w:fill="FFFFFF"/>
        </w:rPr>
        <w:t xml:space="preserve"> complains of non-compliance with the Uniform Rules, while, in doing so under rule 30, itself breaching that very rule.</w:t>
      </w:r>
    </w:p>
    <w:p w14:paraId="0651DAF3" w14:textId="0500C1D6" w:rsidR="003E62B0" w:rsidRPr="00291BC3" w:rsidRDefault="00FC396E" w:rsidP="00FC396E">
      <w:pPr>
        <w:pStyle w:val="JudgmentNumbered"/>
        <w:numPr>
          <w:ilvl w:val="0"/>
          <w:numId w:val="0"/>
        </w:numPr>
        <w:ind w:left="567" w:hanging="567"/>
        <w:rPr>
          <w:szCs w:val="24"/>
          <w:lang w:eastAsia="en-GB"/>
        </w:rPr>
      </w:pPr>
      <w:r w:rsidRPr="00291BC3">
        <w:rPr>
          <w:szCs w:val="24"/>
          <w:lang w:eastAsia="en-GB"/>
        </w:rPr>
        <w:t>[17]</w:t>
      </w:r>
      <w:r w:rsidRPr="00291BC3">
        <w:rPr>
          <w:szCs w:val="24"/>
          <w:lang w:eastAsia="en-GB"/>
        </w:rPr>
        <w:tab/>
      </w:r>
      <w:r w:rsidR="0043777D" w:rsidRPr="00291BC3">
        <w:rPr>
          <w:szCs w:val="24"/>
          <w:shd w:val="clear" w:color="auto" w:fill="FFFFFF"/>
        </w:rPr>
        <w:t xml:space="preserve">The </w:t>
      </w:r>
      <w:r w:rsidR="003E62B0" w:rsidRPr="00291BC3">
        <w:rPr>
          <w:szCs w:val="24"/>
          <w:shd w:val="clear" w:color="auto" w:fill="FFFFFF"/>
        </w:rPr>
        <w:t xml:space="preserve">question, therefore, arises how a court is to respond, the more so in circumstances where the document of 25 April 2022 is </w:t>
      </w:r>
      <w:r w:rsidR="00C358EE" w:rsidRPr="00291BC3">
        <w:rPr>
          <w:szCs w:val="24"/>
          <w:shd w:val="clear" w:color="auto" w:fill="FFFFFF"/>
        </w:rPr>
        <w:t xml:space="preserve">obviously </w:t>
      </w:r>
      <w:r w:rsidR="003E62B0" w:rsidRPr="00291BC3">
        <w:rPr>
          <w:szCs w:val="24"/>
          <w:shd w:val="clear" w:color="auto" w:fill="FFFFFF"/>
        </w:rPr>
        <w:t>inapposite</w:t>
      </w:r>
      <w:r w:rsidR="00C358EE" w:rsidRPr="00291BC3">
        <w:rPr>
          <w:szCs w:val="24"/>
          <w:shd w:val="clear" w:color="auto" w:fill="FFFFFF"/>
        </w:rPr>
        <w:t>,</w:t>
      </w:r>
      <w:r w:rsidR="005C7D8C" w:rsidRPr="00291BC3">
        <w:rPr>
          <w:szCs w:val="24"/>
          <w:shd w:val="clear" w:color="auto" w:fill="FFFFFF"/>
        </w:rPr>
        <w:t xml:space="preserve"> eccentric</w:t>
      </w:r>
      <w:r w:rsidR="00C358EE" w:rsidRPr="00291BC3">
        <w:rPr>
          <w:szCs w:val="24"/>
          <w:shd w:val="clear" w:color="auto" w:fill="FFFFFF"/>
        </w:rPr>
        <w:t>, and unhelpful</w:t>
      </w:r>
      <w:r w:rsidR="003E62B0" w:rsidRPr="00291BC3">
        <w:rPr>
          <w:szCs w:val="24"/>
          <w:shd w:val="clear" w:color="auto" w:fill="FFFFFF"/>
        </w:rPr>
        <w:t xml:space="preserve">. Akin to heads of argument, it does the opposite of what pleadings are supposed to do: rather than narrow the issues, it </w:t>
      </w:r>
      <w:r w:rsidR="005C7D8C" w:rsidRPr="00291BC3">
        <w:rPr>
          <w:szCs w:val="24"/>
          <w:shd w:val="clear" w:color="auto" w:fill="FFFFFF"/>
        </w:rPr>
        <w:t>a</w:t>
      </w:r>
      <w:r w:rsidR="004457D5" w:rsidRPr="00291BC3">
        <w:rPr>
          <w:szCs w:val="24"/>
          <w:shd w:val="clear" w:color="auto" w:fill="FFFFFF"/>
        </w:rPr>
        <w:t>id</w:t>
      </w:r>
      <w:r w:rsidR="005C7D8C" w:rsidRPr="00291BC3">
        <w:rPr>
          <w:szCs w:val="24"/>
          <w:shd w:val="clear" w:color="auto" w:fill="FFFFFF"/>
        </w:rPr>
        <w:t xml:space="preserve">s in </w:t>
      </w:r>
      <w:r w:rsidR="003E62B0" w:rsidRPr="00291BC3">
        <w:rPr>
          <w:szCs w:val="24"/>
          <w:shd w:val="clear" w:color="auto" w:fill="FFFFFF"/>
        </w:rPr>
        <w:t>proliferat</w:t>
      </w:r>
      <w:r w:rsidR="005C7D8C" w:rsidRPr="00291BC3">
        <w:rPr>
          <w:szCs w:val="24"/>
          <w:shd w:val="clear" w:color="auto" w:fill="FFFFFF"/>
        </w:rPr>
        <w:t>ing</w:t>
      </w:r>
      <w:r w:rsidR="003E62B0" w:rsidRPr="00291BC3">
        <w:rPr>
          <w:szCs w:val="24"/>
          <w:shd w:val="clear" w:color="auto" w:fill="FFFFFF"/>
        </w:rPr>
        <w:t xml:space="preserve"> them. </w:t>
      </w:r>
      <w:r w:rsidR="00FE7C87" w:rsidRPr="00291BC3">
        <w:rPr>
          <w:szCs w:val="24"/>
          <w:shd w:val="clear" w:color="auto" w:fill="FFFFFF"/>
        </w:rPr>
        <w:t>Indeed, far from addressing the notice under rule 23(1)</w:t>
      </w:r>
      <w:r w:rsidR="002D2EF2" w:rsidRPr="00291BC3">
        <w:rPr>
          <w:szCs w:val="24"/>
          <w:shd w:val="clear" w:color="auto" w:fill="FFFFFF"/>
        </w:rPr>
        <w:t>(a)</w:t>
      </w:r>
      <w:r w:rsidR="00FE7C87" w:rsidRPr="00291BC3">
        <w:rPr>
          <w:szCs w:val="24"/>
          <w:shd w:val="clear" w:color="auto" w:fill="FFFFFF"/>
        </w:rPr>
        <w:t xml:space="preserve"> only, it ranges far and wide over the pleaded issues. </w:t>
      </w:r>
      <w:r w:rsidR="003E62B0" w:rsidRPr="00291BC3">
        <w:rPr>
          <w:szCs w:val="24"/>
          <w:shd w:val="clear" w:color="auto" w:fill="FFFFFF"/>
        </w:rPr>
        <w:t>One wonders what the court that in due course hear</w:t>
      </w:r>
      <w:r w:rsidR="00B10432" w:rsidRPr="00291BC3">
        <w:rPr>
          <w:szCs w:val="24"/>
          <w:shd w:val="clear" w:color="auto" w:fill="FFFFFF"/>
        </w:rPr>
        <w:t>s any exception that might be brought</w:t>
      </w:r>
      <w:r w:rsidR="003E62B0" w:rsidRPr="00291BC3">
        <w:rPr>
          <w:szCs w:val="24"/>
          <w:shd w:val="clear" w:color="auto" w:fill="FFFFFF"/>
        </w:rPr>
        <w:t xml:space="preserve"> is to do with this document, especially if the plaintiff insists on centring the conduct of his case upon it.</w:t>
      </w:r>
    </w:p>
    <w:p w14:paraId="3EC186B8" w14:textId="65DA5BCD" w:rsidR="0043777D" w:rsidRPr="00291BC3" w:rsidRDefault="00FC396E" w:rsidP="00FC396E">
      <w:pPr>
        <w:pStyle w:val="JudgmentNumbered"/>
        <w:numPr>
          <w:ilvl w:val="0"/>
          <w:numId w:val="0"/>
        </w:numPr>
        <w:ind w:left="567" w:hanging="567"/>
        <w:rPr>
          <w:szCs w:val="24"/>
          <w:lang w:eastAsia="en-GB"/>
        </w:rPr>
      </w:pPr>
      <w:r w:rsidRPr="00291BC3">
        <w:rPr>
          <w:szCs w:val="24"/>
          <w:lang w:eastAsia="en-GB"/>
        </w:rPr>
        <w:t>[18]</w:t>
      </w:r>
      <w:r w:rsidRPr="00291BC3">
        <w:rPr>
          <w:szCs w:val="24"/>
          <w:lang w:eastAsia="en-GB"/>
        </w:rPr>
        <w:tab/>
      </w:r>
      <w:r w:rsidR="0043777D" w:rsidRPr="00291BC3">
        <w:rPr>
          <w:szCs w:val="24"/>
          <w:shd w:val="clear" w:color="auto" w:fill="FFFFFF"/>
        </w:rPr>
        <w:t>Accordingly, this court must grapple with how to balance the two infractions</w:t>
      </w:r>
      <w:r w:rsidR="00F17323" w:rsidRPr="00291BC3">
        <w:rPr>
          <w:szCs w:val="24"/>
          <w:shd w:val="clear" w:color="auto" w:fill="FFFFFF"/>
        </w:rPr>
        <w:t xml:space="preserve"> of the Uniform Rules before it, namely the one complained of by </w:t>
      </w:r>
      <w:r w:rsidR="00387ECB" w:rsidRPr="00291BC3">
        <w:rPr>
          <w:szCs w:val="24"/>
          <w:shd w:val="clear" w:color="auto" w:fill="FFFFFF"/>
        </w:rPr>
        <w:t xml:space="preserve">MTN </w:t>
      </w:r>
      <w:r w:rsidR="00F17323" w:rsidRPr="00291BC3">
        <w:rPr>
          <w:szCs w:val="24"/>
          <w:shd w:val="clear" w:color="auto" w:fill="FFFFFF"/>
        </w:rPr>
        <w:t xml:space="preserve">and the one that </w:t>
      </w:r>
      <w:r w:rsidR="00387ECB" w:rsidRPr="00291BC3">
        <w:rPr>
          <w:szCs w:val="24"/>
          <w:shd w:val="clear" w:color="auto" w:fill="FFFFFF"/>
        </w:rPr>
        <w:t xml:space="preserve">MTN </w:t>
      </w:r>
      <w:r w:rsidR="0004387E" w:rsidRPr="00291BC3">
        <w:rPr>
          <w:szCs w:val="24"/>
          <w:shd w:val="clear" w:color="auto" w:fill="FFFFFF"/>
        </w:rPr>
        <w:t xml:space="preserve">itself </w:t>
      </w:r>
      <w:r w:rsidR="00F17323" w:rsidRPr="00291BC3">
        <w:rPr>
          <w:szCs w:val="24"/>
          <w:shd w:val="clear" w:color="auto" w:fill="FFFFFF"/>
        </w:rPr>
        <w:t xml:space="preserve">committed in mustering </w:t>
      </w:r>
      <w:r w:rsidR="000943F7" w:rsidRPr="00291BC3">
        <w:rPr>
          <w:szCs w:val="24"/>
          <w:shd w:val="clear" w:color="auto" w:fill="FFFFFF"/>
        </w:rPr>
        <w:t xml:space="preserve">and advancing </w:t>
      </w:r>
      <w:r w:rsidR="00F17323" w:rsidRPr="00291BC3">
        <w:rPr>
          <w:szCs w:val="24"/>
          <w:shd w:val="clear" w:color="auto" w:fill="FFFFFF"/>
        </w:rPr>
        <w:t>that very complaint.</w:t>
      </w:r>
    </w:p>
    <w:p w14:paraId="724893C4" w14:textId="488DFD39" w:rsidR="00B95E64" w:rsidRPr="00291BC3" w:rsidRDefault="00B95E64" w:rsidP="00F92417">
      <w:pPr>
        <w:pStyle w:val="JudgmentNumbered"/>
        <w:keepNext/>
        <w:numPr>
          <w:ilvl w:val="0"/>
          <w:numId w:val="0"/>
        </w:numPr>
        <w:rPr>
          <w:b/>
          <w:bCs/>
          <w:szCs w:val="24"/>
          <w:lang w:eastAsia="en-GB"/>
        </w:rPr>
      </w:pPr>
      <w:r w:rsidRPr="00291BC3">
        <w:rPr>
          <w:b/>
          <w:bCs/>
          <w:szCs w:val="24"/>
          <w:shd w:val="clear" w:color="auto" w:fill="FFFFFF"/>
        </w:rPr>
        <w:t>The role of the Uniform Rules</w:t>
      </w:r>
    </w:p>
    <w:p w14:paraId="00CA85ED" w14:textId="110AC954" w:rsidR="0035662F" w:rsidRPr="00291BC3" w:rsidRDefault="00FC396E" w:rsidP="00FC396E">
      <w:pPr>
        <w:pStyle w:val="JudgmentNumbered"/>
        <w:numPr>
          <w:ilvl w:val="0"/>
          <w:numId w:val="0"/>
        </w:numPr>
        <w:ind w:left="567" w:hanging="567"/>
        <w:rPr>
          <w:szCs w:val="24"/>
          <w:lang w:eastAsia="en-GB"/>
        </w:rPr>
      </w:pPr>
      <w:r w:rsidRPr="00291BC3">
        <w:rPr>
          <w:szCs w:val="24"/>
          <w:lang w:eastAsia="en-GB"/>
        </w:rPr>
        <w:t>[19]</w:t>
      </w:r>
      <w:r w:rsidRPr="00291BC3">
        <w:rPr>
          <w:szCs w:val="24"/>
          <w:lang w:eastAsia="en-GB"/>
        </w:rPr>
        <w:tab/>
      </w:r>
      <w:r w:rsidR="00F17323" w:rsidRPr="00291BC3">
        <w:rPr>
          <w:szCs w:val="24"/>
          <w:shd w:val="clear" w:color="auto" w:fill="FFFFFF"/>
        </w:rPr>
        <w:t>T</w:t>
      </w:r>
      <w:r w:rsidR="00842699" w:rsidRPr="00291BC3">
        <w:rPr>
          <w:szCs w:val="24"/>
          <w:shd w:val="clear" w:color="auto" w:fill="FFFFFF"/>
        </w:rPr>
        <w:t xml:space="preserve">his </w:t>
      </w:r>
      <w:r w:rsidR="003E62B0" w:rsidRPr="00291BC3">
        <w:rPr>
          <w:szCs w:val="24"/>
          <w:shd w:val="clear" w:color="auto" w:fill="FFFFFF"/>
        </w:rPr>
        <w:t xml:space="preserve">necessitates </w:t>
      </w:r>
      <w:r w:rsidR="00C05755" w:rsidRPr="00291BC3">
        <w:rPr>
          <w:szCs w:val="24"/>
          <w:shd w:val="clear" w:color="auto" w:fill="FFFFFF"/>
        </w:rPr>
        <w:t xml:space="preserve">a consideration of </w:t>
      </w:r>
      <w:r w:rsidR="00842699" w:rsidRPr="00291BC3">
        <w:rPr>
          <w:szCs w:val="24"/>
          <w:shd w:val="clear" w:color="auto" w:fill="FFFFFF"/>
        </w:rPr>
        <w:t xml:space="preserve">the object of the Uniform Rules of Court </w:t>
      </w:r>
      <w:r w:rsidR="00C05755" w:rsidRPr="00291BC3">
        <w:rPr>
          <w:szCs w:val="24"/>
          <w:shd w:val="clear" w:color="auto" w:fill="FFFFFF"/>
        </w:rPr>
        <w:t xml:space="preserve">and </w:t>
      </w:r>
      <w:r w:rsidR="005C7D8C" w:rsidRPr="00291BC3">
        <w:rPr>
          <w:szCs w:val="24"/>
          <w:shd w:val="clear" w:color="auto" w:fill="FFFFFF"/>
        </w:rPr>
        <w:t xml:space="preserve">how </w:t>
      </w:r>
      <w:r w:rsidR="00C05755" w:rsidRPr="00291BC3">
        <w:rPr>
          <w:szCs w:val="24"/>
          <w:shd w:val="clear" w:color="auto" w:fill="FFFFFF"/>
        </w:rPr>
        <w:t xml:space="preserve">they </w:t>
      </w:r>
      <w:r w:rsidR="005C7D8C" w:rsidRPr="00291BC3">
        <w:rPr>
          <w:szCs w:val="24"/>
          <w:shd w:val="clear" w:color="auto" w:fill="FFFFFF"/>
        </w:rPr>
        <w:t xml:space="preserve">should </w:t>
      </w:r>
      <w:r w:rsidR="00C05755" w:rsidRPr="00291BC3">
        <w:rPr>
          <w:szCs w:val="24"/>
          <w:shd w:val="clear" w:color="auto" w:fill="FFFFFF"/>
        </w:rPr>
        <w:t>be applied.</w:t>
      </w:r>
    </w:p>
    <w:p w14:paraId="4393E19E" w14:textId="499FC30E" w:rsidR="00F17323" w:rsidRPr="00291BC3" w:rsidRDefault="00FC396E" w:rsidP="00FC396E">
      <w:pPr>
        <w:pStyle w:val="JudgmentNumbered"/>
        <w:numPr>
          <w:ilvl w:val="0"/>
          <w:numId w:val="0"/>
        </w:numPr>
        <w:ind w:left="567" w:hanging="567"/>
        <w:rPr>
          <w:szCs w:val="24"/>
          <w:lang w:eastAsia="en-GB"/>
        </w:rPr>
      </w:pPr>
      <w:r w:rsidRPr="00291BC3">
        <w:rPr>
          <w:szCs w:val="24"/>
          <w:lang w:eastAsia="en-GB"/>
        </w:rPr>
        <w:lastRenderedPageBreak/>
        <w:t>[20]</w:t>
      </w:r>
      <w:r w:rsidRPr="00291BC3">
        <w:rPr>
          <w:szCs w:val="24"/>
          <w:lang w:eastAsia="en-GB"/>
        </w:rPr>
        <w:tab/>
      </w:r>
      <w:r w:rsidR="0035662F" w:rsidRPr="00291BC3">
        <w:rPr>
          <w:szCs w:val="24"/>
        </w:rPr>
        <w:t>The starting point of this enquiry is section 34 of the Constitution</w:t>
      </w:r>
      <w:r w:rsidR="00F17323" w:rsidRPr="00291BC3">
        <w:rPr>
          <w:szCs w:val="24"/>
        </w:rPr>
        <w:t>.</w:t>
      </w:r>
      <w:r w:rsidR="0035662F" w:rsidRPr="00291BC3">
        <w:rPr>
          <w:szCs w:val="24"/>
        </w:rPr>
        <w:t xml:space="preserve"> </w:t>
      </w:r>
      <w:r w:rsidR="00F17323" w:rsidRPr="00291BC3">
        <w:rPr>
          <w:szCs w:val="24"/>
        </w:rPr>
        <w:t xml:space="preserve">It </w:t>
      </w:r>
      <w:r w:rsidR="0035662F" w:rsidRPr="00291BC3">
        <w:rPr>
          <w:szCs w:val="24"/>
        </w:rPr>
        <w:t>confers upon everyone the right of access to the courts</w:t>
      </w:r>
      <w:r w:rsidR="00F17323" w:rsidRPr="00291BC3">
        <w:rPr>
          <w:szCs w:val="24"/>
        </w:rPr>
        <w:t>. That</w:t>
      </w:r>
      <w:r w:rsidR="0035662F" w:rsidRPr="00291BC3">
        <w:rPr>
          <w:szCs w:val="24"/>
        </w:rPr>
        <w:t xml:space="preserve"> includes the right to have any dispute that can be resolved by the application of law decided in a fair public hearing before a </w:t>
      </w:r>
      <w:r w:rsidR="004308EF" w:rsidRPr="00291BC3">
        <w:rPr>
          <w:szCs w:val="24"/>
        </w:rPr>
        <w:t>c</w:t>
      </w:r>
      <w:r w:rsidR="0035662F" w:rsidRPr="00291BC3">
        <w:rPr>
          <w:szCs w:val="24"/>
        </w:rPr>
        <w:t>ourt.</w:t>
      </w:r>
    </w:p>
    <w:p w14:paraId="529B7C49" w14:textId="13D0BAED" w:rsidR="00F92417" w:rsidRPr="00291BC3" w:rsidRDefault="00FC396E" w:rsidP="00FC396E">
      <w:pPr>
        <w:pStyle w:val="JudgmentNumbered"/>
        <w:keepNext/>
        <w:numPr>
          <w:ilvl w:val="0"/>
          <w:numId w:val="0"/>
        </w:numPr>
        <w:ind w:left="567" w:hanging="567"/>
        <w:rPr>
          <w:szCs w:val="24"/>
          <w:lang w:eastAsia="en-GB"/>
        </w:rPr>
      </w:pPr>
      <w:r w:rsidRPr="00291BC3">
        <w:rPr>
          <w:szCs w:val="24"/>
          <w:lang w:eastAsia="en-GB"/>
        </w:rPr>
        <w:t>[21]</w:t>
      </w:r>
      <w:r w:rsidRPr="00291BC3">
        <w:rPr>
          <w:szCs w:val="24"/>
          <w:lang w:eastAsia="en-GB"/>
        </w:rPr>
        <w:tab/>
      </w:r>
      <w:r w:rsidR="0035662F" w:rsidRPr="00291BC3">
        <w:rPr>
          <w:szCs w:val="24"/>
        </w:rPr>
        <w:t xml:space="preserve">In </w:t>
      </w:r>
      <w:r w:rsidR="0035662F" w:rsidRPr="00291BC3">
        <w:rPr>
          <w:bCs/>
          <w:i/>
          <w:szCs w:val="24"/>
        </w:rPr>
        <w:t>Mukaddam v Pioneer Foods (Pty) Ltd and Others</w:t>
      </w:r>
      <w:r w:rsidR="0035662F" w:rsidRPr="00291BC3">
        <w:rPr>
          <w:bCs/>
          <w:iCs/>
          <w:szCs w:val="24"/>
        </w:rPr>
        <w:t>,</w:t>
      </w:r>
      <w:r w:rsidR="00F92417" w:rsidRPr="00291BC3">
        <w:rPr>
          <w:rStyle w:val="EndnoteReference"/>
          <w:bCs/>
          <w:iCs/>
          <w:szCs w:val="24"/>
        </w:rPr>
        <w:endnoteReference w:id="1"/>
      </w:r>
      <w:r w:rsidR="00F92417" w:rsidRPr="00291BC3">
        <w:rPr>
          <w:szCs w:val="24"/>
        </w:rPr>
        <w:t xml:space="preserve"> the Constitutional Court observed:</w:t>
      </w:r>
      <w:r w:rsidR="00F92417" w:rsidRPr="00291BC3">
        <w:rPr>
          <w:rStyle w:val="EndnoteReference"/>
          <w:szCs w:val="24"/>
        </w:rPr>
        <w:endnoteReference w:id="2"/>
      </w:r>
    </w:p>
    <w:p w14:paraId="0C027168" w14:textId="128CAA4C" w:rsidR="00F92417" w:rsidRPr="00291BC3" w:rsidRDefault="00F92417" w:rsidP="00A86DF8">
      <w:pPr>
        <w:pStyle w:val="JudgmentNumbered"/>
        <w:numPr>
          <w:ilvl w:val="0"/>
          <w:numId w:val="0"/>
        </w:numPr>
        <w:spacing w:after="0" w:line="240" w:lineRule="auto"/>
        <w:ind w:left="1418" w:right="851"/>
        <w:rPr>
          <w:szCs w:val="24"/>
        </w:rPr>
      </w:pPr>
      <w:r w:rsidRPr="00291BC3">
        <w:rPr>
          <w:szCs w:val="24"/>
        </w:rPr>
        <w:t>“</w:t>
      </w:r>
      <w:r w:rsidRPr="00291BC3">
        <w:rPr>
          <w:i/>
          <w:iCs/>
          <w:szCs w:val="24"/>
        </w:rPr>
        <w:t>Access to courts is fundamentally important to our democratic order. It is not only a cornerstone of the democratic architecture but also a vehicle through which the protection of the Constitution itself may be achieved. It also facilitates an orderly resolution of disputes so as to do justice between individuals and between private parties and the State.</w:t>
      </w:r>
      <w:r w:rsidRPr="00291BC3">
        <w:rPr>
          <w:szCs w:val="24"/>
        </w:rPr>
        <w:t>”</w:t>
      </w:r>
    </w:p>
    <w:p w14:paraId="487E3AD6" w14:textId="77777777" w:rsidR="00F92417" w:rsidRPr="00291BC3" w:rsidRDefault="00F92417" w:rsidP="004457D5">
      <w:pPr>
        <w:pStyle w:val="JudgmentNumbered"/>
        <w:numPr>
          <w:ilvl w:val="0"/>
          <w:numId w:val="0"/>
        </w:numPr>
        <w:spacing w:after="0" w:line="240" w:lineRule="auto"/>
        <w:ind w:right="851"/>
        <w:rPr>
          <w:szCs w:val="24"/>
        </w:rPr>
      </w:pPr>
    </w:p>
    <w:p w14:paraId="455EFBFA" w14:textId="2989500D" w:rsidR="00F92417" w:rsidRPr="00291BC3" w:rsidRDefault="00FC396E" w:rsidP="00FC396E">
      <w:pPr>
        <w:pStyle w:val="JudgmentNumbered"/>
        <w:keepNext/>
        <w:numPr>
          <w:ilvl w:val="0"/>
          <w:numId w:val="0"/>
        </w:numPr>
        <w:ind w:left="567" w:hanging="567"/>
        <w:rPr>
          <w:szCs w:val="24"/>
          <w:lang w:eastAsia="en-GB"/>
        </w:rPr>
      </w:pPr>
      <w:r w:rsidRPr="00291BC3">
        <w:rPr>
          <w:szCs w:val="24"/>
          <w:lang w:eastAsia="en-GB"/>
        </w:rPr>
        <w:t>[22]</w:t>
      </w:r>
      <w:r w:rsidRPr="00291BC3">
        <w:rPr>
          <w:szCs w:val="24"/>
          <w:lang w:eastAsia="en-GB"/>
        </w:rPr>
        <w:tab/>
      </w:r>
      <w:r w:rsidR="00F92417" w:rsidRPr="00291BC3">
        <w:rPr>
          <w:szCs w:val="24"/>
          <w:lang w:eastAsia="en-GB"/>
        </w:rPr>
        <w:t xml:space="preserve">The </w:t>
      </w:r>
      <w:r w:rsidR="00F92417" w:rsidRPr="00291BC3">
        <w:rPr>
          <w:i/>
          <w:iCs/>
          <w:szCs w:val="24"/>
          <w:lang w:eastAsia="en-GB"/>
        </w:rPr>
        <w:t>Mukkadam</w:t>
      </w:r>
      <w:r w:rsidR="00F92417" w:rsidRPr="00291BC3">
        <w:rPr>
          <w:szCs w:val="24"/>
          <w:lang w:eastAsia="en-GB"/>
        </w:rPr>
        <w:t xml:space="preserve"> court went on to draw upon the reasoning of the Constitutional Court in </w:t>
      </w:r>
      <w:r w:rsidR="00F92417" w:rsidRPr="00291BC3">
        <w:rPr>
          <w:i/>
          <w:iCs/>
          <w:szCs w:val="24"/>
          <w:lang w:eastAsia="en-GB"/>
        </w:rPr>
        <w:t>Chief Lesapo v North West Agricultural Bank and Another</w:t>
      </w:r>
      <w:r w:rsidR="00F92417" w:rsidRPr="00291BC3">
        <w:rPr>
          <w:szCs w:val="24"/>
          <w:lang w:eastAsia="en-GB"/>
        </w:rPr>
        <w:t>:</w:t>
      </w:r>
      <w:r w:rsidR="00F92417" w:rsidRPr="00291BC3">
        <w:rPr>
          <w:rStyle w:val="EndnoteReference"/>
          <w:szCs w:val="24"/>
          <w:lang w:eastAsia="en-GB"/>
        </w:rPr>
        <w:endnoteReference w:id="3"/>
      </w:r>
    </w:p>
    <w:p w14:paraId="69B0F87F" w14:textId="1A2BCC90" w:rsidR="00F92417" w:rsidRPr="00291BC3" w:rsidRDefault="00F92417" w:rsidP="00A86DF8">
      <w:pPr>
        <w:pStyle w:val="JudgmentNumbered"/>
        <w:numPr>
          <w:ilvl w:val="0"/>
          <w:numId w:val="0"/>
        </w:numPr>
        <w:spacing w:after="0" w:line="240" w:lineRule="auto"/>
        <w:ind w:left="1418" w:right="851"/>
        <w:rPr>
          <w:szCs w:val="24"/>
        </w:rPr>
      </w:pPr>
      <w:r w:rsidRPr="00291BC3">
        <w:rPr>
          <w:szCs w:val="24"/>
          <w:shd w:val="clear" w:color="auto" w:fill="FFFFFF"/>
        </w:rPr>
        <w:t>“</w:t>
      </w:r>
      <w:r w:rsidRPr="00291BC3">
        <w:rPr>
          <w:i/>
          <w:iCs/>
          <w:szCs w:val="24"/>
        </w:rPr>
        <w:t>The right of access to court is indeed foundational to the stability of an orderly society. It ensures the peaceful, regulated and institutionalised mechanisms to resolve disputes, without resorting to self help. The right of access to court is a bulwark against vigilantism, and the chaos and anarchy which it causes. Construed in this context of the rule of law and the principle against self help in particular, access to court is indeed of cardinal importance. As a result, very powerful considerations would be required for its limitation to be reasonable and justifiable</w:t>
      </w:r>
      <w:r w:rsidRPr="00291BC3">
        <w:rPr>
          <w:szCs w:val="24"/>
        </w:rPr>
        <w:t>.”</w:t>
      </w:r>
    </w:p>
    <w:p w14:paraId="7BC1BB89" w14:textId="77777777" w:rsidR="00F92417" w:rsidRPr="00291BC3" w:rsidRDefault="00F92417" w:rsidP="004457D5">
      <w:pPr>
        <w:pStyle w:val="JudgmentNumbered"/>
        <w:numPr>
          <w:ilvl w:val="0"/>
          <w:numId w:val="0"/>
        </w:numPr>
        <w:spacing w:after="0" w:line="240" w:lineRule="auto"/>
        <w:ind w:right="851"/>
        <w:rPr>
          <w:szCs w:val="24"/>
          <w:lang w:eastAsia="en-GB"/>
        </w:rPr>
      </w:pPr>
    </w:p>
    <w:p w14:paraId="346E09BB" w14:textId="02EBC24A" w:rsidR="00F92417" w:rsidRPr="00291BC3" w:rsidRDefault="00FC396E" w:rsidP="00FC396E">
      <w:pPr>
        <w:pStyle w:val="JudgmentNumbered"/>
        <w:numPr>
          <w:ilvl w:val="0"/>
          <w:numId w:val="0"/>
        </w:numPr>
        <w:ind w:left="567" w:hanging="567"/>
        <w:rPr>
          <w:szCs w:val="24"/>
          <w:lang w:eastAsia="en-GB"/>
        </w:rPr>
      </w:pPr>
      <w:r w:rsidRPr="00291BC3">
        <w:rPr>
          <w:szCs w:val="24"/>
          <w:lang w:eastAsia="en-GB"/>
        </w:rPr>
        <w:t>[23]</w:t>
      </w:r>
      <w:r w:rsidRPr="00291BC3">
        <w:rPr>
          <w:szCs w:val="24"/>
          <w:lang w:eastAsia="en-GB"/>
        </w:rPr>
        <w:tab/>
      </w:r>
      <w:r w:rsidR="00F92417" w:rsidRPr="00291BC3">
        <w:rPr>
          <w:szCs w:val="24"/>
        </w:rPr>
        <w:t>To realise this right of access to the courts, empowered by section 173 of the Constitution, the High Court uses the Uniform Rules of Court to regulate its process and to determine how disputes that it hears are both to be readied for hearing and to be heard.</w:t>
      </w:r>
    </w:p>
    <w:p w14:paraId="26F4C571" w14:textId="7F9B467A" w:rsidR="00F92417" w:rsidRPr="00291BC3" w:rsidRDefault="00FC396E" w:rsidP="00FC396E">
      <w:pPr>
        <w:pStyle w:val="JudgmentNumbered"/>
        <w:keepNext/>
        <w:numPr>
          <w:ilvl w:val="0"/>
          <w:numId w:val="0"/>
        </w:numPr>
        <w:ind w:left="567" w:hanging="567"/>
        <w:rPr>
          <w:szCs w:val="24"/>
          <w:lang w:eastAsia="en-GB"/>
        </w:rPr>
      </w:pPr>
      <w:r w:rsidRPr="00291BC3">
        <w:rPr>
          <w:szCs w:val="24"/>
          <w:lang w:eastAsia="en-GB"/>
        </w:rPr>
        <w:t>[24]</w:t>
      </w:r>
      <w:r w:rsidRPr="00291BC3">
        <w:rPr>
          <w:szCs w:val="24"/>
          <w:lang w:eastAsia="en-GB"/>
        </w:rPr>
        <w:tab/>
      </w:r>
      <w:r w:rsidR="00F92417" w:rsidRPr="00291BC3">
        <w:rPr>
          <w:szCs w:val="24"/>
        </w:rPr>
        <w:t xml:space="preserve">In </w:t>
      </w:r>
      <w:r w:rsidR="00F92417" w:rsidRPr="00291BC3">
        <w:rPr>
          <w:i/>
          <w:iCs/>
          <w:szCs w:val="24"/>
        </w:rPr>
        <w:t>Mukaddam</w:t>
      </w:r>
      <w:r w:rsidR="00F92417" w:rsidRPr="00291BC3">
        <w:rPr>
          <w:szCs w:val="24"/>
        </w:rPr>
        <w:t>, after the above statements about the fundamental principle of access to the courts, the Constitutional Court said this:</w:t>
      </w:r>
      <w:r w:rsidR="00F92417" w:rsidRPr="00291BC3">
        <w:rPr>
          <w:rStyle w:val="EndnoteReference"/>
          <w:szCs w:val="24"/>
        </w:rPr>
        <w:endnoteReference w:id="4"/>
      </w:r>
    </w:p>
    <w:p w14:paraId="6E318AAE" w14:textId="77777777" w:rsidR="00F92417" w:rsidRPr="00291BC3" w:rsidRDefault="00F92417" w:rsidP="00DD1239">
      <w:pPr>
        <w:pStyle w:val="western"/>
        <w:spacing w:before="0" w:beforeAutospacing="0" w:after="0" w:afterAutospacing="0"/>
        <w:ind w:left="1418" w:right="851"/>
        <w:jc w:val="both"/>
        <w:rPr>
          <w:rFonts w:ascii="Arial" w:hAnsi="Arial" w:cs="Arial"/>
          <w:i/>
          <w:iCs/>
        </w:rPr>
      </w:pPr>
      <w:r w:rsidRPr="00291BC3">
        <w:rPr>
          <w:rFonts w:ascii="Arial" w:hAnsi="Arial" w:cs="Arial"/>
        </w:rPr>
        <w:t>“</w:t>
      </w:r>
      <w:r w:rsidRPr="00291BC3">
        <w:rPr>
          <w:rFonts w:ascii="Arial" w:hAnsi="Arial" w:cs="Arial"/>
          <w:i/>
          <w:iCs/>
        </w:rPr>
        <w:t xml:space="preserve">However, a litigant who wishes to exercise the right of access to courts is required to follow certain defined procedures to enable the court to adjudicate a dispute. In the main these procedures are contained in the rules of each court. The Uniform Rules regulate form and process of the High Courts. The Supreme Court of Appeal and this Court have their own rules. These rules confer procedural rights on litigants and also help in </w:t>
      </w:r>
      <w:r w:rsidRPr="00291BC3">
        <w:rPr>
          <w:rFonts w:ascii="Arial" w:hAnsi="Arial" w:cs="Arial"/>
          <w:i/>
          <w:iCs/>
        </w:rPr>
        <w:lastRenderedPageBreak/>
        <w:t>creating certainty in procedures to be followed if relief of a particular kind is sought.</w:t>
      </w:r>
    </w:p>
    <w:p w14:paraId="04A697E4" w14:textId="06866DDE" w:rsidR="00F92417" w:rsidRPr="00291BC3" w:rsidRDefault="00F92417" w:rsidP="0004387E">
      <w:pPr>
        <w:pStyle w:val="western"/>
        <w:spacing w:before="0" w:beforeAutospacing="0" w:after="0" w:afterAutospacing="0"/>
        <w:ind w:left="1440" w:right="851" w:firstLine="720"/>
        <w:jc w:val="both"/>
        <w:rPr>
          <w:rFonts w:ascii="Arial" w:hAnsi="Arial" w:cs="Arial"/>
        </w:rPr>
      </w:pPr>
      <w:r w:rsidRPr="00291BC3">
        <w:rPr>
          <w:rFonts w:ascii="Arial" w:hAnsi="Arial" w:cs="Arial"/>
          <w:i/>
          <w:iCs/>
          <w:u w:val="single"/>
        </w:rPr>
        <w:t>It is important that the rules of courts are used as tools to facilitate access to courts rather than hindering it. Hence rules are made for courts and not that the courts are established for rules. Therefore, the primary function of the rules of courts is the attainment of justice</w:t>
      </w:r>
      <w:r w:rsidRPr="00291BC3">
        <w:rPr>
          <w:rFonts w:ascii="Arial" w:hAnsi="Arial" w:cs="Arial"/>
          <w:i/>
          <w:iCs/>
        </w:rPr>
        <w:t xml:space="preserve">. But sometimes circumstances arise which are not provided for in the rules. The proper course in those circumstances is to approach the court itself for guidance. After all, </w:t>
      </w:r>
      <w:r w:rsidRPr="00291BC3">
        <w:rPr>
          <w:rFonts w:ascii="Arial" w:hAnsi="Arial" w:cs="Arial"/>
          <w:i/>
          <w:iCs/>
          <w:u w:val="single"/>
        </w:rPr>
        <w:t>in terms of section 173 each superior court is the master of its process</w:t>
      </w:r>
      <w:r w:rsidRPr="00291BC3">
        <w:rPr>
          <w:rFonts w:ascii="Arial" w:hAnsi="Arial" w:cs="Arial"/>
        </w:rPr>
        <w:t>.”</w:t>
      </w:r>
    </w:p>
    <w:p w14:paraId="16B7B072" w14:textId="7C91D0D9" w:rsidR="00F92417" w:rsidRPr="00291BC3" w:rsidRDefault="00F92417" w:rsidP="00C358EE">
      <w:pPr>
        <w:pStyle w:val="western"/>
        <w:spacing w:before="0" w:beforeAutospacing="0" w:after="0" w:afterAutospacing="0"/>
        <w:ind w:left="1440" w:right="851" w:firstLine="720"/>
        <w:jc w:val="right"/>
        <w:rPr>
          <w:rFonts w:ascii="Arial" w:hAnsi="Arial" w:cs="Arial"/>
        </w:rPr>
      </w:pPr>
      <w:r w:rsidRPr="00291BC3">
        <w:rPr>
          <w:rFonts w:ascii="Arial" w:hAnsi="Arial" w:cs="Arial"/>
          <w:u w:val="single"/>
        </w:rPr>
        <w:t>[emphasis added]</w:t>
      </w:r>
    </w:p>
    <w:p w14:paraId="40AFB8AF" w14:textId="77777777" w:rsidR="00861540" w:rsidRPr="00291BC3" w:rsidRDefault="00861540" w:rsidP="00861540">
      <w:pPr>
        <w:pStyle w:val="JudgmentNumbered"/>
        <w:numPr>
          <w:ilvl w:val="0"/>
          <w:numId w:val="0"/>
        </w:numPr>
        <w:ind w:left="567"/>
        <w:rPr>
          <w:lang w:eastAsia="en-GB"/>
        </w:rPr>
      </w:pPr>
    </w:p>
    <w:p w14:paraId="4636E1CC" w14:textId="61CFE544" w:rsidR="00136F73" w:rsidRPr="00291BC3" w:rsidRDefault="00FC396E" w:rsidP="00FC396E">
      <w:pPr>
        <w:pStyle w:val="JudgmentNumbered"/>
        <w:numPr>
          <w:ilvl w:val="0"/>
          <w:numId w:val="0"/>
        </w:numPr>
        <w:ind w:left="567" w:hanging="567"/>
        <w:rPr>
          <w:lang w:eastAsia="en-GB"/>
        </w:rPr>
      </w:pPr>
      <w:r w:rsidRPr="00291BC3">
        <w:rPr>
          <w:lang w:eastAsia="en-GB"/>
        </w:rPr>
        <w:t>[25]</w:t>
      </w:r>
      <w:r w:rsidRPr="00291BC3">
        <w:rPr>
          <w:lang w:eastAsia="en-GB"/>
        </w:rPr>
        <w:tab/>
      </w:r>
      <w:r w:rsidR="00861540" w:rsidRPr="00291BC3">
        <w:rPr>
          <w:shd w:val="clear" w:color="auto" w:fill="FFFFFF"/>
        </w:rPr>
        <w:t xml:space="preserve">The </w:t>
      </w:r>
      <w:r w:rsidR="00FE7C87" w:rsidRPr="00291BC3">
        <w:rPr>
          <w:shd w:val="clear" w:color="auto" w:fill="FFFFFF"/>
        </w:rPr>
        <w:t xml:space="preserve">Uniform Rules </w:t>
      </w:r>
      <w:r w:rsidR="00861540" w:rsidRPr="00291BC3">
        <w:rPr>
          <w:shd w:val="clear" w:color="auto" w:fill="FFFFFF"/>
        </w:rPr>
        <w:t xml:space="preserve">regulate the practice and procedure of the courts. </w:t>
      </w:r>
      <w:r w:rsidR="00861540" w:rsidRPr="00291BC3">
        <w:t>Their</w:t>
      </w:r>
      <w:r w:rsidR="00861540" w:rsidRPr="00291BC3">
        <w:rPr>
          <w:shd w:val="clear" w:color="auto" w:fill="FFFFFF"/>
        </w:rPr>
        <w:t xml:space="preserve"> object is to </w:t>
      </w:r>
      <w:r w:rsidR="00FE7C87" w:rsidRPr="00291BC3">
        <w:rPr>
          <w:shd w:val="clear" w:color="auto" w:fill="FFFFFF"/>
        </w:rPr>
        <w:t>ensure</w:t>
      </w:r>
      <w:r w:rsidR="00861540" w:rsidRPr="00291BC3">
        <w:rPr>
          <w:shd w:val="clear" w:color="auto" w:fill="FFFFFF"/>
        </w:rPr>
        <w:t xml:space="preserve"> the inexpensive and expeditious completion of litigation before the courts, </w:t>
      </w:r>
      <w:r w:rsidR="00FE7C87" w:rsidRPr="00291BC3">
        <w:rPr>
          <w:shd w:val="clear" w:color="auto" w:fill="FFFFFF"/>
        </w:rPr>
        <w:t xml:space="preserve">without their being </w:t>
      </w:r>
      <w:r w:rsidR="00861540" w:rsidRPr="00291BC3">
        <w:rPr>
          <w:shd w:val="clear" w:color="auto" w:fill="FFFFFF"/>
        </w:rPr>
        <w:t>an end in and of themselves.</w:t>
      </w:r>
      <w:r w:rsidR="00136F73" w:rsidRPr="00291BC3">
        <w:rPr>
          <w:rStyle w:val="EndnoteReference"/>
          <w:shd w:val="clear" w:color="auto" w:fill="FFFFFF"/>
        </w:rPr>
        <w:endnoteReference w:id="5"/>
      </w:r>
    </w:p>
    <w:p w14:paraId="2199B3EF" w14:textId="56CF17C6" w:rsidR="00136F73" w:rsidRPr="00291BC3" w:rsidRDefault="00FC396E" w:rsidP="00FC396E">
      <w:pPr>
        <w:pStyle w:val="JudgmentNumbered"/>
        <w:numPr>
          <w:ilvl w:val="0"/>
          <w:numId w:val="0"/>
        </w:numPr>
        <w:ind w:left="567" w:hanging="567"/>
        <w:rPr>
          <w:lang w:eastAsia="en-GB"/>
        </w:rPr>
      </w:pPr>
      <w:r w:rsidRPr="00291BC3">
        <w:rPr>
          <w:lang w:eastAsia="en-GB"/>
        </w:rPr>
        <w:t>[26]</w:t>
      </w:r>
      <w:r w:rsidRPr="00291BC3">
        <w:rPr>
          <w:lang w:eastAsia="en-GB"/>
        </w:rPr>
        <w:tab/>
      </w:r>
      <w:r w:rsidR="00136F73" w:rsidRPr="00291BC3">
        <w:rPr>
          <w:szCs w:val="24"/>
          <w:shd w:val="clear" w:color="auto" w:fill="FFFFFF"/>
        </w:rPr>
        <w:t xml:space="preserve">In </w:t>
      </w:r>
      <w:r w:rsidR="00136F73" w:rsidRPr="00291BC3">
        <w:rPr>
          <w:i/>
          <w:iCs/>
          <w:lang w:eastAsia="en-GB"/>
        </w:rPr>
        <w:t>Arendsnes Sweefspoor CC v Botha</w:t>
      </w:r>
      <w:r w:rsidR="00136F73" w:rsidRPr="00291BC3">
        <w:rPr>
          <w:lang w:eastAsia="en-GB"/>
        </w:rPr>
        <w:t>,</w:t>
      </w:r>
      <w:r w:rsidR="00136F73" w:rsidRPr="00291BC3">
        <w:rPr>
          <w:rStyle w:val="EndnoteReference"/>
          <w:lang w:eastAsia="en-GB"/>
        </w:rPr>
        <w:endnoteReference w:id="6"/>
      </w:r>
      <w:r w:rsidR="00136F73" w:rsidRPr="00291BC3">
        <w:rPr>
          <w:lang w:eastAsia="en-GB"/>
        </w:rPr>
        <w:t xml:space="preserve"> the SCA observed:</w:t>
      </w:r>
      <w:r w:rsidR="00136F73" w:rsidRPr="00291BC3">
        <w:rPr>
          <w:rStyle w:val="EndnoteReference"/>
          <w:lang w:eastAsia="en-GB"/>
        </w:rPr>
        <w:endnoteReference w:id="7"/>
      </w:r>
    </w:p>
    <w:p w14:paraId="686AEDBF" w14:textId="63C9A62B" w:rsidR="00136F73" w:rsidRPr="00291BC3" w:rsidRDefault="00136F73" w:rsidP="00F92417">
      <w:pPr>
        <w:pStyle w:val="western"/>
        <w:spacing w:before="0" w:beforeAutospacing="0" w:after="0" w:afterAutospacing="0"/>
        <w:ind w:left="1418" w:right="851"/>
        <w:jc w:val="both"/>
        <w:rPr>
          <w:rFonts w:ascii="Arial" w:hAnsi="Arial" w:cs="Arial"/>
          <w:lang w:val="en-GB"/>
        </w:rPr>
      </w:pPr>
      <w:r w:rsidRPr="00291BC3">
        <w:rPr>
          <w:rFonts w:ascii="Arial" w:hAnsi="Arial" w:cs="Arial"/>
          <w:lang w:val="en-GB"/>
        </w:rPr>
        <w:t>“</w:t>
      </w:r>
      <w:r w:rsidRPr="00291BC3">
        <w:rPr>
          <w:rFonts w:ascii="Arial" w:hAnsi="Arial" w:cs="Arial"/>
          <w:i/>
          <w:lang w:val="en-GB"/>
        </w:rPr>
        <w:t>It is trite that the rules exist for the courts, and not the courts for the rules (see</w:t>
      </w:r>
      <w:r w:rsidRPr="00291BC3">
        <w:rPr>
          <w:rStyle w:val="apple-converted-space"/>
          <w:rFonts w:ascii="Arial" w:hAnsi="Arial" w:cs="Arial"/>
          <w:i/>
        </w:rPr>
        <w:t xml:space="preserve"> </w:t>
      </w:r>
      <w:r w:rsidRPr="00291BC3">
        <w:rPr>
          <w:rFonts w:ascii="Arial" w:hAnsi="Arial" w:cs="Arial"/>
          <w:iCs/>
          <w:lang w:val="en-GB"/>
        </w:rPr>
        <w:t>Republikeinse Publikasie (Edms) Beperk v Afrikaanse Pers Publikasie (Edms) Bpk</w:t>
      </w:r>
      <w:r w:rsidRPr="00291BC3">
        <w:rPr>
          <w:rStyle w:val="apple-converted-space"/>
          <w:rFonts w:ascii="Arial" w:hAnsi="Arial" w:cs="Arial"/>
          <w:i/>
        </w:rPr>
        <w:t xml:space="preserve"> </w:t>
      </w:r>
      <w:hyperlink r:id="rId13" w:tooltip="View LawCiteRecord" w:history="1">
        <w:r w:rsidRPr="00291BC3">
          <w:rPr>
            <w:rStyle w:val="Hyperlink"/>
            <w:rFonts w:ascii="Arial" w:hAnsi="Arial" w:cs="Arial"/>
            <w:bCs/>
            <w:i/>
            <w:color w:val="auto"/>
            <w:u w:val="none"/>
            <w:lang w:val="en-GB"/>
          </w:rPr>
          <w:t>1972 (1) SA 773</w:t>
        </w:r>
      </w:hyperlink>
      <w:r w:rsidRPr="00291BC3">
        <w:rPr>
          <w:rStyle w:val="apple-converted-space"/>
          <w:rFonts w:ascii="Arial" w:hAnsi="Arial" w:cs="Arial"/>
          <w:i/>
        </w:rPr>
        <w:t xml:space="preserve"> </w:t>
      </w:r>
      <w:r w:rsidRPr="00291BC3">
        <w:rPr>
          <w:rFonts w:ascii="Arial" w:hAnsi="Arial" w:cs="Arial"/>
          <w:i/>
          <w:lang w:val="en-GB"/>
        </w:rPr>
        <w:t>(A) 783 A-B;</w:t>
      </w:r>
      <w:r w:rsidRPr="00291BC3">
        <w:rPr>
          <w:rStyle w:val="apple-converted-space"/>
          <w:rFonts w:ascii="Arial" w:hAnsi="Arial" w:cs="Arial"/>
          <w:i/>
        </w:rPr>
        <w:t xml:space="preserve"> </w:t>
      </w:r>
      <w:r w:rsidRPr="00291BC3">
        <w:rPr>
          <w:rFonts w:ascii="Arial" w:hAnsi="Arial" w:cs="Arial"/>
          <w:iCs/>
          <w:lang w:val="en-GB"/>
        </w:rPr>
        <w:t>Mynhardt v Mynhardt</w:t>
      </w:r>
      <w:r w:rsidRPr="00291BC3">
        <w:rPr>
          <w:rStyle w:val="apple-converted-space"/>
          <w:rFonts w:ascii="Arial" w:hAnsi="Arial" w:cs="Arial"/>
          <w:i/>
        </w:rPr>
        <w:t xml:space="preserve"> </w:t>
      </w:r>
      <w:hyperlink r:id="rId14" w:tooltip="View LawCiteRecord" w:history="1">
        <w:r w:rsidRPr="00291BC3">
          <w:rPr>
            <w:rStyle w:val="Hyperlink"/>
            <w:rFonts w:ascii="Arial" w:hAnsi="Arial" w:cs="Arial"/>
            <w:bCs/>
            <w:i/>
            <w:color w:val="auto"/>
            <w:u w:val="none"/>
            <w:lang w:val="en-GB"/>
          </w:rPr>
          <w:t>[1986] 3 All SA 197</w:t>
        </w:r>
      </w:hyperlink>
      <w:r w:rsidRPr="00291BC3">
        <w:rPr>
          <w:rFonts w:ascii="Arial" w:hAnsi="Arial" w:cs="Arial"/>
          <w:i/>
          <w:lang w:val="en-GB"/>
        </w:rPr>
        <w:t>; 1986 (1) 456 (T) also</w:t>
      </w:r>
      <w:r w:rsidRPr="00291BC3">
        <w:rPr>
          <w:rStyle w:val="apple-converted-space"/>
          <w:rFonts w:ascii="Arial" w:hAnsi="Arial" w:cs="Arial"/>
          <w:i/>
        </w:rPr>
        <w:t xml:space="preserve"> </w:t>
      </w:r>
      <w:r w:rsidRPr="00291BC3">
        <w:rPr>
          <w:rFonts w:ascii="Arial" w:hAnsi="Arial" w:cs="Arial"/>
          <w:iCs/>
          <w:lang w:val="en-GB"/>
        </w:rPr>
        <w:t>Ncoweni v Bezuidenhout</w:t>
      </w:r>
      <w:r w:rsidRPr="00291BC3">
        <w:rPr>
          <w:rFonts w:ascii="Arial" w:hAnsi="Arial" w:cs="Arial"/>
          <w:i/>
          <w:iCs/>
          <w:lang w:val="en-GB"/>
        </w:rPr>
        <w:t>,</w:t>
      </w:r>
      <w:r w:rsidRPr="00291BC3">
        <w:rPr>
          <w:rStyle w:val="apple-converted-space"/>
          <w:rFonts w:ascii="Arial" w:hAnsi="Arial" w:cs="Arial"/>
          <w:i/>
          <w:iCs/>
        </w:rPr>
        <w:t xml:space="preserve"> </w:t>
      </w:r>
      <w:hyperlink r:id="rId15" w:tooltip="View LawCiteRecord" w:history="1">
        <w:r w:rsidRPr="00291BC3">
          <w:rPr>
            <w:rStyle w:val="Hyperlink"/>
            <w:rFonts w:ascii="Arial" w:hAnsi="Arial" w:cs="Arial"/>
            <w:bCs/>
            <w:i/>
            <w:color w:val="auto"/>
            <w:u w:val="none"/>
            <w:lang w:val="en-GB"/>
          </w:rPr>
          <w:t>1927 CPD 130)</w:t>
        </w:r>
      </w:hyperlink>
      <w:r w:rsidRPr="00291BC3">
        <w:rPr>
          <w:rFonts w:ascii="Arial" w:hAnsi="Arial" w:cs="Arial"/>
          <w:i/>
          <w:lang w:val="en-GB"/>
        </w:rPr>
        <w:t>, where it was pertinently observed that:</w:t>
      </w:r>
    </w:p>
    <w:p w14:paraId="692F9CA3" w14:textId="60FB213C" w:rsidR="00136F73" w:rsidRPr="00291BC3" w:rsidRDefault="00136F73" w:rsidP="00F92417">
      <w:pPr>
        <w:pStyle w:val="western"/>
        <w:spacing w:before="0" w:beforeAutospacing="0" w:after="0" w:afterAutospacing="0"/>
        <w:ind w:left="1985" w:right="1418"/>
        <w:jc w:val="both"/>
        <w:rPr>
          <w:rFonts w:ascii="Arial" w:hAnsi="Arial" w:cs="Arial"/>
          <w:lang w:val="en-GB"/>
        </w:rPr>
      </w:pPr>
      <w:r w:rsidRPr="00291BC3">
        <w:rPr>
          <w:rFonts w:ascii="Arial" w:hAnsi="Arial" w:cs="Arial"/>
          <w:lang w:val="en-GB"/>
        </w:rPr>
        <w:t>‘the rules of procedure of this court are devised for the purpose of administering justice and not of hampering it, and where the Rules are deficient I shall go as far as I can in granting orders which would help to further the administration of justice. Of course if one is absolutely prohibited by the Rule one is bound to follow this Rule, but if there is a construction which can assist the administration of justice I shall be disposed to adopt that construction.’</w:t>
      </w:r>
    </w:p>
    <w:p w14:paraId="62991AC4" w14:textId="6990DFA2" w:rsidR="00136F73" w:rsidRPr="00291BC3" w:rsidRDefault="00136F73" w:rsidP="00F92417">
      <w:pPr>
        <w:pStyle w:val="western"/>
        <w:spacing w:before="0" w:beforeAutospacing="0" w:after="0" w:afterAutospacing="0"/>
        <w:ind w:left="1418" w:right="851"/>
        <w:jc w:val="both"/>
        <w:rPr>
          <w:rFonts w:ascii="Arial" w:hAnsi="Arial" w:cs="Arial"/>
          <w:i/>
          <w:lang w:val="en-GB"/>
        </w:rPr>
      </w:pPr>
      <w:r w:rsidRPr="00291BC3">
        <w:rPr>
          <w:rFonts w:ascii="Arial" w:hAnsi="Arial" w:cs="Arial"/>
          <w:i/>
          <w:lang w:val="en-GB"/>
        </w:rPr>
        <w:t xml:space="preserve">Courts should not be bound inflexibly by rules of procedure unless the language clearly necessitates this – see </w:t>
      </w:r>
      <w:r w:rsidRPr="00291BC3">
        <w:rPr>
          <w:rFonts w:ascii="Arial" w:hAnsi="Arial" w:cs="Arial"/>
          <w:lang w:val="en-GB"/>
        </w:rPr>
        <w:t>S</w:t>
      </w:r>
      <w:r w:rsidRPr="00291BC3">
        <w:rPr>
          <w:rFonts w:ascii="Arial" w:hAnsi="Arial" w:cs="Arial"/>
          <w:iCs/>
          <w:lang w:val="en-GB"/>
        </w:rPr>
        <w:t>imons</w:t>
      </w:r>
      <w:r w:rsidRPr="00291BC3">
        <w:rPr>
          <w:rStyle w:val="apple-converted-space"/>
          <w:rFonts w:ascii="Arial" w:hAnsi="Arial" w:cs="Arial"/>
        </w:rPr>
        <w:t xml:space="preserve"> </w:t>
      </w:r>
      <w:r w:rsidRPr="00291BC3">
        <w:rPr>
          <w:rFonts w:ascii="Arial" w:hAnsi="Arial" w:cs="Arial"/>
          <w:lang w:val="en-GB"/>
        </w:rPr>
        <w:t>v</w:t>
      </w:r>
      <w:r w:rsidRPr="00291BC3">
        <w:rPr>
          <w:rStyle w:val="apple-converted-space"/>
          <w:rFonts w:ascii="Arial" w:hAnsi="Arial" w:cs="Arial"/>
        </w:rPr>
        <w:t xml:space="preserve"> </w:t>
      </w:r>
      <w:r w:rsidRPr="00291BC3">
        <w:rPr>
          <w:rFonts w:ascii="Arial" w:hAnsi="Arial" w:cs="Arial"/>
          <w:iCs/>
          <w:lang w:val="en-GB"/>
        </w:rPr>
        <w:t>Gibert Harner &amp; Co Ltd</w:t>
      </w:r>
      <w:r w:rsidRPr="00291BC3">
        <w:rPr>
          <w:rStyle w:val="apple-converted-space"/>
          <w:rFonts w:ascii="Arial" w:hAnsi="Arial" w:cs="Arial"/>
        </w:rPr>
        <w:t xml:space="preserve"> </w:t>
      </w:r>
      <w:hyperlink r:id="rId16" w:tooltip="View LawCiteRecord" w:history="1">
        <w:r w:rsidRPr="00291BC3">
          <w:rPr>
            <w:rStyle w:val="Hyperlink"/>
            <w:rFonts w:ascii="Arial" w:hAnsi="Arial" w:cs="Arial"/>
            <w:bCs/>
            <w:i/>
            <w:color w:val="auto"/>
            <w:u w:val="none"/>
            <w:lang w:val="en-GB"/>
          </w:rPr>
          <w:t>1963 (1) SA 897</w:t>
        </w:r>
      </w:hyperlink>
      <w:r w:rsidRPr="00291BC3">
        <w:rPr>
          <w:rStyle w:val="apple-converted-space"/>
          <w:rFonts w:ascii="Arial" w:hAnsi="Arial" w:cs="Arial"/>
          <w:i/>
        </w:rPr>
        <w:t xml:space="preserve"> </w:t>
      </w:r>
      <w:r w:rsidRPr="00291BC3">
        <w:rPr>
          <w:rFonts w:ascii="Arial" w:hAnsi="Arial" w:cs="Arial"/>
          <w:i/>
          <w:lang w:val="en-GB"/>
        </w:rPr>
        <w:t>(N) at 906. Courts have a discretion, which must be exercised judicially on a consideration of the facts of each case, in essence it is a matter of fairness to both parties (see</w:t>
      </w:r>
      <w:r w:rsidRPr="00291BC3">
        <w:rPr>
          <w:rStyle w:val="apple-converted-space"/>
          <w:rFonts w:ascii="Arial" w:hAnsi="Arial" w:cs="Arial"/>
          <w:i/>
        </w:rPr>
        <w:t xml:space="preserve"> </w:t>
      </w:r>
      <w:r w:rsidRPr="00291BC3">
        <w:rPr>
          <w:rFonts w:ascii="Arial" w:hAnsi="Arial" w:cs="Arial"/>
          <w:iCs/>
          <w:lang w:val="en-GB"/>
        </w:rPr>
        <w:t>Federated Employers Fire &amp; General Insurance Co Ltd</w:t>
      </w:r>
      <w:r w:rsidRPr="00291BC3">
        <w:rPr>
          <w:rStyle w:val="apple-converted-space"/>
          <w:rFonts w:ascii="Arial" w:hAnsi="Arial" w:cs="Arial"/>
          <w:iCs/>
        </w:rPr>
        <w:t xml:space="preserve"> </w:t>
      </w:r>
      <w:r w:rsidRPr="00291BC3">
        <w:rPr>
          <w:rFonts w:ascii="Arial" w:hAnsi="Arial" w:cs="Arial"/>
          <w:lang w:val="en-GB"/>
        </w:rPr>
        <w:t>v</w:t>
      </w:r>
      <w:r w:rsidRPr="00291BC3">
        <w:rPr>
          <w:rStyle w:val="apple-converted-space"/>
          <w:rFonts w:ascii="Arial" w:hAnsi="Arial" w:cs="Arial"/>
        </w:rPr>
        <w:t xml:space="preserve"> </w:t>
      </w:r>
      <w:r w:rsidRPr="00291BC3">
        <w:rPr>
          <w:rFonts w:ascii="Arial" w:hAnsi="Arial" w:cs="Arial"/>
          <w:iCs/>
          <w:lang w:val="en-GB"/>
        </w:rPr>
        <w:t>Mckenzie</w:t>
      </w:r>
      <w:r w:rsidRPr="00291BC3">
        <w:rPr>
          <w:rStyle w:val="apple-converted-space"/>
          <w:rFonts w:ascii="Arial" w:hAnsi="Arial" w:cs="Arial"/>
          <w:i/>
          <w:iCs/>
        </w:rPr>
        <w:t xml:space="preserve"> </w:t>
      </w:r>
      <w:hyperlink r:id="rId17" w:tooltip="View LawCiteRecord" w:history="1">
        <w:r w:rsidRPr="00291BC3">
          <w:rPr>
            <w:rStyle w:val="Hyperlink"/>
            <w:rFonts w:ascii="Arial" w:hAnsi="Arial" w:cs="Arial"/>
            <w:bCs/>
            <w:i/>
            <w:color w:val="auto"/>
            <w:u w:val="none"/>
            <w:lang w:val="en-GB"/>
          </w:rPr>
          <w:t>[1969] 3 ALL SA 424</w:t>
        </w:r>
      </w:hyperlink>
      <w:r w:rsidRPr="00291BC3">
        <w:rPr>
          <w:rFonts w:ascii="Arial" w:hAnsi="Arial" w:cs="Arial"/>
          <w:i/>
          <w:lang w:val="en-GB"/>
        </w:rPr>
        <w:t>;</w:t>
      </w:r>
      <w:r w:rsidRPr="00291BC3">
        <w:rPr>
          <w:rStyle w:val="apple-converted-space"/>
          <w:rFonts w:ascii="Arial" w:hAnsi="Arial" w:cs="Arial"/>
          <w:i/>
        </w:rPr>
        <w:t xml:space="preserve"> </w:t>
      </w:r>
      <w:hyperlink r:id="rId18" w:tooltip="View LawCiteRecord" w:history="1">
        <w:r w:rsidRPr="00291BC3">
          <w:rPr>
            <w:rStyle w:val="Hyperlink"/>
            <w:rFonts w:ascii="Arial" w:hAnsi="Arial" w:cs="Arial"/>
            <w:bCs/>
            <w:i/>
            <w:color w:val="auto"/>
            <w:u w:val="none"/>
            <w:lang w:val="en-GB"/>
          </w:rPr>
          <w:t>1969 (3) SA 360</w:t>
        </w:r>
      </w:hyperlink>
      <w:r w:rsidRPr="00291BC3">
        <w:rPr>
          <w:rStyle w:val="apple-converted-space"/>
          <w:rFonts w:ascii="Arial" w:hAnsi="Arial" w:cs="Arial"/>
          <w:i/>
        </w:rPr>
        <w:t xml:space="preserve"> </w:t>
      </w:r>
      <w:r w:rsidRPr="00291BC3">
        <w:rPr>
          <w:rFonts w:ascii="Arial" w:hAnsi="Arial" w:cs="Arial"/>
          <w:i/>
          <w:lang w:val="en-GB"/>
        </w:rPr>
        <w:t>(A) at 363 G–H).</w:t>
      </w:r>
    </w:p>
    <w:p w14:paraId="1194F658" w14:textId="52D4BE2E" w:rsidR="00136F73" w:rsidRPr="00291BC3" w:rsidRDefault="00136F73" w:rsidP="00F92417">
      <w:pPr>
        <w:pStyle w:val="western"/>
        <w:spacing w:before="0" w:beforeAutospacing="0" w:after="0" w:afterAutospacing="0"/>
        <w:ind w:left="1418" w:right="851" w:firstLine="720"/>
        <w:jc w:val="both"/>
        <w:rPr>
          <w:rFonts w:ascii="Arial" w:hAnsi="Arial" w:cs="Arial"/>
          <w:i/>
          <w:lang w:val="en-GB"/>
        </w:rPr>
      </w:pPr>
      <w:r w:rsidRPr="00291BC3">
        <w:rPr>
          <w:rFonts w:ascii="Arial" w:hAnsi="Arial" w:cs="Arial"/>
          <w:i/>
          <w:lang w:val="en-GB"/>
        </w:rPr>
        <w:t>With the advent of the constitutional dispensation, it has become a constitutional imperative to view the object of the rule</w:t>
      </w:r>
      <w:r w:rsidRPr="002352B6">
        <w:rPr>
          <w:rFonts w:ascii="Arial" w:hAnsi="Arial" w:cs="Arial"/>
          <w:i/>
          <w:lang w:val="en-GB"/>
        </w:rPr>
        <w:t>s</w:t>
      </w:r>
      <w:r w:rsidRPr="00291BC3">
        <w:rPr>
          <w:rFonts w:ascii="Arial" w:hAnsi="Arial" w:cs="Arial"/>
          <w:i/>
          <w:lang w:val="en-GB"/>
        </w:rPr>
        <w:t xml:space="preserve"> as ensuring a fair trial or hearing. ‘rules of court are delegated legislation, having statutory force, and are binding on the court, subject to the court’s power to prevent abuse of its process.’</w:t>
      </w:r>
      <w:r w:rsidRPr="00291BC3">
        <w:rPr>
          <w:rStyle w:val="apple-converted-space"/>
          <w:rFonts w:ascii="Arial" w:hAnsi="Arial" w:cs="Arial"/>
          <w:i/>
        </w:rPr>
        <w:t xml:space="preserve"> </w:t>
      </w:r>
      <w:r w:rsidRPr="00291BC3">
        <w:rPr>
          <w:rFonts w:ascii="Arial" w:hAnsi="Arial" w:cs="Arial"/>
          <w:i/>
          <w:lang w:val="en-GB"/>
        </w:rPr>
        <w:t xml:space="preserve">And </w:t>
      </w:r>
      <w:r w:rsidRPr="00291BC3">
        <w:rPr>
          <w:rFonts w:ascii="Arial" w:hAnsi="Arial" w:cs="Arial"/>
          <w:i/>
          <w:lang w:val="en-GB"/>
        </w:rPr>
        <w:lastRenderedPageBreak/>
        <w:t xml:space="preserve">rules are provided to secure the inexpensive and expeditious completion of litigation and are devised to further the administration of justice (see </w:t>
      </w:r>
      <w:r w:rsidRPr="00291BC3">
        <w:rPr>
          <w:rFonts w:ascii="Arial" w:hAnsi="Arial" w:cs="Arial"/>
          <w:lang w:val="en-GB"/>
        </w:rPr>
        <w:t>LAWSA</w:t>
      </w:r>
      <w:r w:rsidRPr="00291BC3">
        <w:rPr>
          <w:rFonts w:ascii="Arial" w:hAnsi="Arial" w:cs="Arial"/>
          <w:i/>
          <w:lang w:val="en-GB"/>
        </w:rPr>
        <w:t xml:space="preserve">, third Edition Volume 4 – paragraph 8–10 page 10 </w:t>
      </w:r>
      <w:r w:rsidRPr="00291BC3">
        <w:rPr>
          <w:rFonts w:ascii="Arial" w:hAnsi="Arial" w:cs="Arial"/>
          <w:lang w:val="en-GB"/>
        </w:rPr>
        <w:t>et sec</w:t>
      </w:r>
      <w:r w:rsidRPr="00291BC3">
        <w:rPr>
          <w:rFonts w:ascii="Arial" w:hAnsi="Arial" w:cs="Arial"/>
          <w:i/>
          <w:lang w:val="en-GB"/>
        </w:rPr>
        <w:t>) (see also</w:t>
      </w:r>
      <w:r w:rsidRPr="00291BC3">
        <w:rPr>
          <w:rStyle w:val="apple-converted-space"/>
          <w:rFonts w:ascii="Arial" w:hAnsi="Arial" w:cs="Arial"/>
          <w:i/>
        </w:rPr>
        <w:t xml:space="preserve"> </w:t>
      </w:r>
      <w:r w:rsidRPr="00291BC3">
        <w:rPr>
          <w:rFonts w:ascii="Arial" w:hAnsi="Arial" w:cs="Arial"/>
          <w:iCs/>
          <w:lang w:val="en-GB"/>
        </w:rPr>
        <w:t>Kgobane &amp; another v Minister of Justice &amp; another</w:t>
      </w:r>
      <w:r w:rsidRPr="00291BC3">
        <w:rPr>
          <w:rStyle w:val="apple-converted-space"/>
          <w:rFonts w:ascii="Arial" w:hAnsi="Arial" w:cs="Arial"/>
          <w:i/>
        </w:rPr>
        <w:t xml:space="preserve"> </w:t>
      </w:r>
      <w:hyperlink r:id="rId19" w:tooltip="View LawCiteRecord" w:history="1">
        <w:r w:rsidRPr="00291BC3">
          <w:rPr>
            <w:rStyle w:val="Hyperlink"/>
            <w:rFonts w:ascii="Arial" w:hAnsi="Arial" w:cs="Arial"/>
            <w:bCs/>
            <w:i/>
            <w:color w:val="auto"/>
            <w:u w:val="none"/>
            <w:lang w:val="en-GB"/>
          </w:rPr>
          <w:t>[1969] 3 ALL SA 379</w:t>
        </w:r>
      </w:hyperlink>
      <w:r w:rsidRPr="00291BC3">
        <w:rPr>
          <w:rStyle w:val="apple-converted-space"/>
          <w:rFonts w:ascii="Arial" w:hAnsi="Arial" w:cs="Arial"/>
          <w:i/>
        </w:rPr>
        <w:t xml:space="preserve"> </w:t>
      </w:r>
      <w:r w:rsidRPr="00291BC3">
        <w:rPr>
          <w:rFonts w:ascii="Arial" w:hAnsi="Arial" w:cs="Arial"/>
          <w:i/>
          <w:lang w:val="en-GB"/>
        </w:rPr>
        <w:t>or</w:t>
      </w:r>
      <w:r w:rsidRPr="00291BC3">
        <w:rPr>
          <w:rStyle w:val="apple-converted-space"/>
          <w:rFonts w:ascii="Arial" w:hAnsi="Arial" w:cs="Arial"/>
          <w:i/>
        </w:rPr>
        <w:t xml:space="preserve"> </w:t>
      </w:r>
      <w:hyperlink r:id="rId20" w:tooltip="View LawCiteRecord" w:history="1">
        <w:r w:rsidRPr="00291BC3">
          <w:rPr>
            <w:rStyle w:val="Hyperlink"/>
            <w:rFonts w:ascii="Arial" w:hAnsi="Arial" w:cs="Arial"/>
            <w:bCs/>
            <w:i/>
            <w:color w:val="auto"/>
            <w:u w:val="none"/>
            <w:lang w:val="en-GB"/>
          </w:rPr>
          <w:t>1969 (3) SA 365</w:t>
        </w:r>
      </w:hyperlink>
      <w:r w:rsidRPr="00291BC3">
        <w:rPr>
          <w:rStyle w:val="apple-converted-space"/>
          <w:rFonts w:ascii="Arial" w:hAnsi="Arial" w:cs="Arial"/>
          <w:i/>
        </w:rPr>
        <w:t xml:space="preserve"> </w:t>
      </w:r>
      <w:r w:rsidRPr="00291BC3">
        <w:rPr>
          <w:rFonts w:ascii="Arial" w:hAnsi="Arial" w:cs="Arial"/>
          <w:i/>
          <w:lang w:val="en-GB"/>
        </w:rPr>
        <w:t>(A) at 369 F–H). Considerations of justice and fairness are of prime importance in the interpretation of procedural rules (see</w:t>
      </w:r>
      <w:r w:rsidRPr="00291BC3">
        <w:rPr>
          <w:rStyle w:val="apple-converted-space"/>
          <w:rFonts w:ascii="Arial" w:hAnsi="Arial" w:cs="Arial"/>
          <w:i/>
        </w:rPr>
        <w:t xml:space="preserve"> </w:t>
      </w:r>
      <w:r w:rsidRPr="00291BC3">
        <w:rPr>
          <w:rFonts w:ascii="Arial" w:hAnsi="Arial" w:cs="Arial"/>
          <w:iCs/>
          <w:lang w:val="en-GB"/>
        </w:rPr>
        <w:t>Highfield Milling Co (Pty) Ltd</w:t>
      </w:r>
      <w:r w:rsidRPr="00291BC3">
        <w:rPr>
          <w:rStyle w:val="apple-converted-space"/>
          <w:rFonts w:ascii="Arial" w:hAnsi="Arial" w:cs="Arial"/>
        </w:rPr>
        <w:t xml:space="preserve"> </w:t>
      </w:r>
      <w:r w:rsidRPr="00291BC3">
        <w:rPr>
          <w:rFonts w:ascii="Arial" w:hAnsi="Arial" w:cs="Arial"/>
          <w:lang w:val="en-GB"/>
        </w:rPr>
        <w:t>v</w:t>
      </w:r>
      <w:r w:rsidRPr="00291BC3">
        <w:rPr>
          <w:rStyle w:val="apple-converted-space"/>
          <w:rFonts w:ascii="Arial" w:hAnsi="Arial" w:cs="Arial"/>
        </w:rPr>
        <w:t xml:space="preserve"> </w:t>
      </w:r>
      <w:r w:rsidRPr="00291BC3">
        <w:rPr>
          <w:rFonts w:ascii="Arial" w:hAnsi="Arial" w:cs="Arial"/>
          <w:iCs/>
          <w:lang w:val="en-GB"/>
        </w:rPr>
        <w:t>A E Wormald &amp; Sons</w:t>
      </w:r>
      <w:r w:rsidRPr="00291BC3">
        <w:rPr>
          <w:rStyle w:val="apple-converted-space"/>
          <w:rFonts w:ascii="Arial" w:hAnsi="Arial" w:cs="Arial"/>
          <w:i/>
        </w:rPr>
        <w:t xml:space="preserve"> </w:t>
      </w:r>
      <w:hyperlink r:id="rId21" w:tooltip="View LawCiteRecord" w:history="1">
        <w:r w:rsidRPr="00291BC3">
          <w:rPr>
            <w:rStyle w:val="Hyperlink"/>
            <w:rFonts w:ascii="Arial" w:hAnsi="Arial" w:cs="Arial"/>
            <w:bCs/>
            <w:i/>
            <w:color w:val="auto"/>
            <w:u w:val="none"/>
            <w:lang w:val="en-GB"/>
          </w:rPr>
          <w:t>[1966] 3 ALL SA 27</w:t>
        </w:r>
      </w:hyperlink>
      <w:r w:rsidRPr="00291BC3">
        <w:rPr>
          <w:rFonts w:ascii="Arial" w:hAnsi="Arial" w:cs="Arial"/>
          <w:i/>
          <w:lang w:val="en-GB"/>
        </w:rPr>
        <w:t>;</w:t>
      </w:r>
      <w:r w:rsidRPr="00291BC3">
        <w:rPr>
          <w:rStyle w:val="apple-converted-space"/>
          <w:rFonts w:ascii="Arial" w:hAnsi="Arial" w:cs="Arial"/>
          <w:i/>
        </w:rPr>
        <w:t xml:space="preserve"> </w:t>
      </w:r>
      <w:hyperlink r:id="rId22" w:tooltip="View LawCiteRecord" w:history="1">
        <w:r w:rsidRPr="00291BC3">
          <w:rPr>
            <w:rStyle w:val="Hyperlink"/>
            <w:rFonts w:ascii="Arial" w:hAnsi="Arial" w:cs="Arial"/>
            <w:bCs/>
            <w:i/>
            <w:color w:val="auto"/>
            <w:u w:val="none"/>
            <w:lang w:val="en-GB"/>
          </w:rPr>
          <w:t>1966 (2) SA 463</w:t>
        </w:r>
      </w:hyperlink>
      <w:r w:rsidRPr="00291BC3">
        <w:rPr>
          <w:rStyle w:val="apple-converted-space"/>
          <w:rFonts w:ascii="Arial" w:hAnsi="Arial" w:cs="Arial"/>
          <w:i/>
        </w:rPr>
        <w:t xml:space="preserve"> </w:t>
      </w:r>
      <w:r w:rsidRPr="00291BC3">
        <w:rPr>
          <w:rFonts w:ascii="Arial" w:hAnsi="Arial" w:cs="Arial"/>
          <w:i/>
          <w:lang w:val="en-GB"/>
        </w:rPr>
        <w:t>(E) at 465 F–G).</w:t>
      </w:r>
      <w:r w:rsidRPr="00291BC3">
        <w:rPr>
          <w:rFonts w:ascii="Arial" w:hAnsi="Arial" w:cs="Arial"/>
          <w:iCs/>
          <w:lang w:val="en-GB"/>
        </w:rPr>
        <w:t>”</w:t>
      </w:r>
    </w:p>
    <w:p w14:paraId="7E01E09E" w14:textId="031BA67F" w:rsidR="00136F73" w:rsidRPr="00291BC3" w:rsidRDefault="00FC396E" w:rsidP="00FC396E">
      <w:pPr>
        <w:pStyle w:val="JudgmentNumbered"/>
        <w:numPr>
          <w:ilvl w:val="0"/>
          <w:numId w:val="0"/>
        </w:numPr>
        <w:spacing w:before="360"/>
        <w:ind w:left="567" w:hanging="567"/>
        <w:rPr>
          <w:szCs w:val="24"/>
          <w:shd w:val="clear" w:color="auto" w:fill="FFFFFF"/>
        </w:rPr>
      </w:pPr>
      <w:r w:rsidRPr="00291BC3">
        <w:rPr>
          <w:szCs w:val="24"/>
        </w:rPr>
        <w:t>[27]</w:t>
      </w:r>
      <w:r w:rsidRPr="00291BC3">
        <w:rPr>
          <w:szCs w:val="24"/>
        </w:rPr>
        <w:tab/>
      </w:r>
      <w:r w:rsidR="00136F73" w:rsidRPr="00291BC3">
        <w:rPr>
          <w:szCs w:val="24"/>
          <w:shd w:val="clear" w:color="auto" w:fill="FFFFFF"/>
        </w:rPr>
        <w:t xml:space="preserve">In sum, in the light of the excerpts from the </w:t>
      </w:r>
      <w:r w:rsidR="00136F73" w:rsidRPr="00291BC3">
        <w:rPr>
          <w:i/>
          <w:iCs/>
          <w:szCs w:val="24"/>
          <w:shd w:val="clear" w:color="auto" w:fill="FFFFFF"/>
        </w:rPr>
        <w:t>locus classici</w:t>
      </w:r>
      <w:r w:rsidR="00136F73" w:rsidRPr="00291BC3">
        <w:rPr>
          <w:szCs w:val="24"/>
          <w:shd w:val="clear" w:color="auto" w:fill="FFFFFF"/>
        </w:rPr>
        <w:t xml:space="preserve"> collected above, and the earlier authorities upon which they rest, it is fair to say that, while the Uniform Rules serve to impose a form of discipline on the steps that litigants take to have their disputes resolved, their ultimate object in our constitutional democracy is to promote access to the courts and to ensure that the right is realised to have disputes resolved by the application of the law in a fair public hearing before a court.</w:t>
      </w:r>
    </w:p>
    <w:p w14:paraId="674D5325" w14:textId="1E3C533E" w:rsidR="00136F73" w:rsidRPr="00291BC3" w:rsidRDefault="00136F73" w:rsidP="000364DD">
      <w:pPr>
        <w:pStyle w:val="JudgmentNumbered"/>
        <w:keepNext/>
        <w:numPr>
          <w:ilvl w:val="0"/>
          <w:numId w:val="0"/>
        </w:numPr>
        <w:rPr>
          <w:b/>
          <w:bCs/>
          <w:szCs w:val="24"/>
          <w:lang w:eastAsia="en-GB"/>
        </w:rPr>
      </w:pPr>
      <w:r w:rsidRPr="00291BC3">
        <w:rPr>
          <w:b/>
          <w:bCs/>
          <w:szCs w:val="24"/>
          <w:shd w:val="clear" w:color="auto" w:fill="FFFFFF"/>
        </w:rPr>
        <w:t>The Uniform Rules on pleadings</w:t>
      </w:r>
    </w:p>
    <w:p w14:paraId="7AE14E7F" w14:textId="4F6F7D02" w:rsidR="00136F73" w:rsidRPr="00291BC3" w:rsidRDefault="00FC396E" w:rsidP="00FC396E">
      <w:pPr>
        <w:pStyle w:val="JudgmentNumbered"/>
        <w:numPr>
          <w:ilvl w:val="0"/>
          <w:numId w:val="0"/>
        </w:numPr>
        <w:spacing w:before="360"/>
        <w:ind w:left="567" w:hanging="567"/>
        <w:rPr>
          <w:szCs w:val="24"/>
          <w:lang w:eastAsia="en-GB"/>
        </w:rPr>
      </w:pPr>
      <w:r w:rsidRPr="00291BC3">
        <w:rPr>
          <w:szCs w:val="24"/>
          <w:lang w:eastAsia="en-GB"/>
        </w:rPr>
        <w:t>[28]</w:t>
      </w:r>
      <w:r w:rsidRPr="00291BC3">
        <w:rPr>
          <w:szCs w:val="24"/>
          <w:lang w:eastAsia="en-GB"/>
        </w:rPr>
        <w:tab/>
      </w:r>
      <w:r w:rsidR="00B10432" w:rsidRPr="00291BC3">
        <w:rPr>
          <w:szCs w:val="24"/>
          <w:lang w:eastAsia="en-GB"/>
        </w:rPr>
        <w:t xml:space="preserve">Several </w:t>
      </w:r>
      <w:r w:rsidR="00136F73" w:rsidRPr="00291BC3">
        <w:rPr>
          <w:szCs w:val="24"/>
          <w:lang w:eastAsia="en-GB"/>
        </w:rPr>
        <w:t>of the Uniform Rules contain the principles governing the pleadings in an action.</w:t>
      </w:r>
    </w:p>
    <w:p w14:paraId="1C26858E" w14:textId="240ADA90" w:rsidR="00136F73" w:rsidRPr="00291BC3" w:rsidRDefault="00FC396E" w:rsidP="00FC396E">
      <w:pPr>
        <w:pStyle w:val="JudgmentNumbered"/>
        <w:numPr>
          <w:ilvl w:val="0"/>
          <w:numId w:val="0"/>
        </w:numPr>
        <w:ind w:left="567" w:hanging="567"/>
        <w:rPr>
          <w:szCs w:val="24"/>
          <w:lang w:eastAsia="en-GB"/>
        </w:rPr>
      </w:pPr>
      <w:r w:rsidRPr="00291BC3">
        <w:rPr>
          <w:szCs w:val="24"/>
          <w:lang w:eastAsia="en-GB"/>
        </w:rPr>
        <w:t>[29]</w:t>
      </w:r>
      <w:r w:rsidRPr="00291BC3">
        <w:rPr>
          <w:szCs w:val="24"/>
          <w:lang w:eastAsia="en-GB"/>
        </w:rPr>
        <w:tab/>
      </w:r>
      <w:r w:rsidR="00136F73" w:rsidRPr="00291BC3">
        <w:rPr>
          <w:szCs w:val="24"/>
          <w:lang w:eastAsia="en-GB"/>
        </w:rPr>
        <w:t xml:space="preserve">Upon a proper understanding of the Uniform Rules and their role, it seems the preferable position that they are definitive of litigants’ procedural rights. It is not for a litigant to create their own process, as it were to reinvent the wheel at every stage of the process.  </w:t>
      </w:r>
    </w:p>
    <w:p w14:paraId="0B3629C0" w14:textId="0C5495FE" w:rsidR="00110BD8" w:rsidRPr="00291BC3" w:rsidRDefault="00FC396E" w:rsidP="00FC396E">
      <w:pPr>
        <w:pStyle w:val="JudgmentNumbered"/>
        <w:numPr>
          <w:ilvl w:val="0"/>
          <w:numId w:val="0"/>
        </w:numPr>
        <w:ind w:left="567" w:hanging="567"/>
        <w:rPr>
          <w:iCs/>
        </w:rPr>
      </w:pPr>
      <w:r w:rsidRPr="00291BC3">
        <w:rPr>
          <w:iCs/>
        </w:rPr>
        <w:t>[30]</w:t>
      </w:r>
      <w:r w:rsidRPr="00291BC3">
        <w:rPr>
          <w:iCs/>
        </w:rPr>
        <w:tab/>
      </w:r>
      <w:r w:rsidR="00136F73" w:rsidRPr="00291BC3">
        <w:t xml:space="preserve">So, for instance, </w:t>
      </w:r>
      <w:r w:rsidR="00136F73" w:rsidRPr="00291BC3">
        <w:rPr>
          <w:lang w:eastAsia="en-GB"/>
        </w:rPr>
        <w:t xml:space="preserve">rule 23 provides what a litigant might do when it is minded that the other party’s pleadings is objectionable for being vague and inscrutable or not making out a case or defence. Accordingly, in </w:t>
      </w:r>
      <w:r w:rsidR="00136F73" w:rsidRPr="00291BC3">
        <w:t>appropriate circumstances, the delivery of a notice under rule 23(1)(a) or an exception are two cognisable responses to any of the series of pleadings listed above, also in response to a replication, like on these facts.</w:t>
      </w:r>
      <w:r w:rsidR="00110BD8" w:rsidRPr="00291BC3">
        <w:rPr>
          <w:rStyle w:val="EndnoteReference"/>
          <w:szCs w:val="24"/>
        </w:rPr>
        <w:endnoteReference w:id="8"/>
      </w:r>
    </w:p>
    <w:p w14:paraId="3D5F67DD" w14:textId="510D7529" w:rsidR="00136F73" w:rsidRPr="00291BC3" w:rsidRDefault="00FC396E" w:rsidP="00FC396E">
      <w:pPr>
        <w:pStyle w:val="JudgmentNumbered"/>
        <w:numPr>
          <w:ilvl w:val="0"/>
          <w:numId w:val="0"/>
        </w:numPr>
        <w:spacing w:before="360"/>
        <w:ind w:left="567" w:hanging="567"/>
        <w:rPr>
          <w:iCs/>
          <w:szCs w:val="24"/>
        </w:rPr>
      </w:pPr>
      <w:r w:rsidRPr="00291BC3">
        <w:rPr>
          <w:iCs/>
          <w:szCs w:val="24"/>
        </w:rPr>
        <w:t>[31]</w:t>
      </w:r>
      <w:r w:rsidRPr="00291BC3">
        <w:rPr>
          <w:iCs/>
          <w:szCs w:val="24"/>
        </w:rPr>
        <w:tab/>
      </w:r>
      <w:r w:rsidR="00136F73" w:rsidRPr="00291BC3">
        <w:rPr>
          <w:szCs w:val="24"/>
        </w:rPr>
        <w:t>Once a notice under rule 23(1)</w:t>
      </w:r>
      <w:r w:rsidR="006A41B6" w:rsidRPr="00291BC3">
        <w:rPr>
          <w:szCs w:val="24"/>
        </w:rPr>
        <w:t>(a)</w:t>
      </w:r>
      <w:r w:rsidR="00136F73" w:rsidRPr="00291BC3">
        <w:rPr>
          <w:szCs w:val="24"/>
        </w:rPr>
        <w:t xml:space="preserve"> is delivered, as occurred here, what one would expect of a litigant is one of two responses. Either they will respond to one or more of the complaints in the notice by seeking leave to amend the offending </w:t>
      </w:r>
      <w:r w:rsidR="00136F73" w:rsidRPr="00291BC3">
        <w:rPr>
          <w:szCs w:val="24"/>
        </w:rPr>
        <w:lastRenderedPageBreak/>
        <w:t>pleading, or they will stick to their proverbial guns and invite the complaining party to proceed to deliver the threatened exception (or effect the latter by doing nothing). As is by now plain, the plaintiff took neither of those steps. Rather, it delivered the document of 25 April 2022.</w:t>
      </w:r>
    </w:p>
    <w:p w14:paraId="4CE139A4" w14:textId="12408A7C" w:rsidR="00136F73" w:rsidRPr="00291BC3" w:rsidRDefault="00FC396E" w:rsidP="00FC396E">
      <w:pPr>
        <w:pStyle w:val="JudgmentNumbered"/>
        <w:numPr>
          <w:ilvl w:val="0"/>
          <w:numId w:val="0"/>
        </w:numPr>
        <w:spacing w:before="360"/>
        <w:ind w:left="567" w:hanging="567"/>
        <w:rPr>
          <w:iCs/>
          <w:szCs w:val="24"/>
        </w:rPr>
      </w:pPr>
      <w:r w:rsidRPr="00291BC3">
        <w:rPr>
          <w:iCs/>
          <w:szCs w:val="24"/>
        </w:rPr>
        <w:t>[32]</w:t>
      </w:r>
      <w:r w:rsidRPr="00291BC3">
        <w:rPr>
          <w:iCs/>
          <w:szCs w:val="24"/>
        </w:rPr>
        <w:tab/>
      </w:r>
      <w:r w:rsidR="00136F73" w:rsidRPr="00291BC3">
        <w:rPr>
          <w:szCs w:val="24"/>
        </w:rPr>
        <w:t>The Uniform Rules do not provide for a litigant to respond through the delivery of a notice</w:t>
      </w:r>
      <w:r w:rsidR="006A41B6" w:rsidRPr="00291BC3">
        <w:rPr>
          <w:szCs w:val="24"/>
        </w:rPr>
        <w:t xml:space="preserve"> or another document</w:t>
      </w:r>
      <w:r w:rsidR="00136F73" w:rsidRPr="00291BC3">
        <w:rPr>
          <w:szCs w:val="24"/>
        </w:rPr>
        <w:t xml:space="preserve">. Doing so, would be irregular: it would be a step not provided for in the Uniform Rules. </w:t>
      </w:r>
    </w:p>
    <w:p w14:paraId="6D0878A3" w14:textId="6BAE025A" w:rsidR="00136F73" w:rsidRPr="00291BC3" w:rsidRDefault="00136F73" w:rsidP="00F92417">
      <w:pPr>
        <w:pStyle w:val="JudgmentNumbered"/>
        <w:keepNext/>
        <w:numPr>
          <w:ilvl w:val="0"/>
          <w:numId w:val="0"/>
        </w:numPr>
        <w:spacing w:before="360"/>
        <w:rPr>
          <w:b/>
          <w:bCs/>
          <w:iCs/>
          <w:szCs w:val="24"/>
        </w:rPr>
      </w:pPr>
      <w:r w:rsidRPr="00291BC3">
        <w:rPr>
          <w:b/>
          <w:bCs/>
          <w:szCs w:val="24"/>
        </w:rPr>
        <w:t>Rule 30</w:t>
      </w:r>
    </w:p>
    <w:p w14:paraId="70967042" w14:textId="1A38DB44" w:rsidR="00136F73" w:rsidRPr="00291BC3" w:rsidRDefault="00FC396E" w:rsidP="00FC396E">
      <w:pPr>
        <w:pStyle w:val="JudgmentNumbered"/>
        <w:numPr>
          <w:ilvl w:val="0"/>
          <w:numId w:val="0"/>
        </w:numPr>
        <w:ind w:left="567" w:hanging="567"/>
        <w:rPr>
          <w:szCs w:val="24"/>
        </w:rPr>
      </w:pPr>
      <w:r w:rsidRPr="00291BC3">
        <w:rPr>
          <w:szCs w:val="24"/>
        </w:rPr>
        <w:t>[33]</w:t>
      </w:r>
      <w:r w:rsidRPr="00291BC3">
        <w:rPr>
          <w:szCs w:val="24"/>
        </w:rPr>
        <w:tab/>
      </w:r>
      <w:r w:rsidR="00136F73" w:rsidRPr="00291BC3">
        <w:rPr>
          <w:szCs w:val="24"/>
        </w:rPr>
        <w:t xml:space="preserve">In the Uniform Rules, too, there are provisions that might be called policing provisions. Central among those is rule 30, which is available where a party has irregularly taken a step that advances the proceedings one stage nearer to completion. In Latin, a </w:t>
      </w:r>
      <w:r w:rsidR="00136F73" w:rsidRPr="00291BC3">
        <w:rPr>
          <w:i/>
          <w:iCs/>
          <w:szCs w:val="24"/>
        </w:rPr>
        <w:t>regula</w:t>
      </w:r>
      <w:r w:rsidR="00136F73" w:rsidRPr="00291BC3">
        <w:rPr>
          <w:szCs w:val="24"/>
        </w:rPr>
        <w:t xml:space="preserve"> is a rule. An ir-regular [</w:t>
      </w:r>
      <w:r w:rsidR="00136F73" w:rsidRPr="00291BC3">
        <w:rPr>
          <w:i/>
          <w:iCs/>
          <w:szCs w:val="24"/>
        </w:rPr>
        <w:t>sic</w:t>
      </w:r>
      <w:r w:rsidR="00136F73" w:rsidRPr="00291BC3">
        <w:rPr>
          <w:szCs w:val="24"/>
        </w:rPr>
        <w:t>] step is one that is not in conformity with the Uniform Rules.</w:t>
      </w:r>
    </w:p>
    <w:p w14:paraId="565D886A" w14:textId="2712E06F" w:rsidR="00136F73" w:rsidRPr="00291BC3" w:rsidRDefault="00FC396E" w:rsidP="00FC396E">
      <w:pPr>
        <w:pStyle w:val="JudgmentNumbered"/>
        <w:numPr>
          <w:ilvl w:val="0"/>
          <w:numId w:val="0"/>
        </w:numPr>
        <w:ind w:left="567" w:hanging="567"/>
        <w:rPr>
          <w:szCs w:val="24"/>
        </w:rPr>
      </w:pPr>
      <w:r w:rsidRPr="00291BC3">
        <w:rPr>
          <w:szCs w:val="24"/>
        </w:rPr>
        <w:t>[34]</w:t>
      </w:r>
      <w:r w:rsidRPr="00291BC3">
        <w:rPr>
          <w:szCs w:val="24"/>
        </w:rPr>
        <w:tab/>
      </w:r>
      <w:r w:rsidR="00136F73" w:rsidRPr="00291BC3">
        <w:rPr>
          <w:szCs w:val="24"/>
        </w:rPr>
        <w:t>Rule 30 applies both to actions and applications. It does not apply to omissions, namely the failure to take steps. Under rule 30, the innocent party is entitled to apply to court to have the complained-of irregular step set aside. Naturally, the innocent party is not obliged to set in train the process envisaged in rule 30. I</w:t>
      </w:r>
      <w:r w:rsidR="006A41B6" w:rsidRPr="00291BC3">
        <w:rPr>
          <w:szCs w:val="24"/>
        </w:rPr>
        <w:t>t</w:t>
      </w:r>
      <w:r w:rsidR="00136F73" w:rsidRPr="00291BC3">
        <w:rPr>
          <w:szCs w:val="24"/>
        </w:rPr>
        <w:t xml:space="preserve"> might refrain if the irregular step in question did not occasion it any prejudice.</w:t>
      </w:r>
    </w:p>
    <w:p w14:paraId="5D472ED6" w14:textId="1BF1D206" w:rsidR="00136F73" w:rsidRPr="00291BC3" w:rsidRDefault="00FC396E" w:rsidP="00FC396E">
      <w:pPr>
        <w:pStyle w:val="JudgmentNumbered"/>
        <w:numPr>
          <w:ilvl w:val="0"/>
          <w:numId w:val="0"/>
        </w:numPr>
        <w:ind w:left="567" w:hanging="567"/>
        <w:rPr>
          <w:szCs w:val="24"/>
        </w:rPr>
      </w:pPr>
      <w:r w:rsidRPr="00291BC3">
        <w:rPr>
          <w:szCs w:val="24"/>
        </w:rPr>
        <w:t>[35]</w:t>
      </w:r>
      <w:r w:rsidRPr="00291BC3">
        <w:rPr>
          <w:szCs w:val="24"/>
        </w:rPr>
        <w:tab/>
      </w:r>
      <w:r w:rsidR="00136F73" w:rsidRPr="00291BC3">
        <w:rPr>
          <w:szCs w:val="24"/>
        </w:rPr>
        <w:t xml:space="preserve">Cheek by jowl with rule 30, rule 30A is another policing provision. It provides a general remedy for non-compliance with </w:t>
      </w:r>
      <w:r w:rsidR="00136F73" w:rsidRPr="00291BC3">
        <w:rPr>
          <w:i/>
          <w:iCs/>
          <w:szCs w:val="24"/>
        </w:rPr>
        <w:t>inter alia</w:t>
      </w:r>
      <w:r w:rsidR="00136F73" w:rsidRPr="00291BC3">
        <w:rPr>
          <w:szCs w:val="24"/>
        </w:rPr>
        <w:t xml:space="preserve"> the Uniform Rules. It empowers the innocent party to place the defaulting party on notice that, if the complaint is not rectified within </w:t>
      </w:r>
      <w:r w:rsidR="006A41B6" w:rsidRPr="00291BC3">
        <w:rPr>
          <w:szCs w:val="24"/>
        </w:rPr>
        <w:t>ten</w:t>
      </w:r>
      <w:r w:rsidR="00136F73" w:rsidRPr="00291BC3">
        <w:rPr>
          <w:szCs w:val="24"/>
        </w:rPr>
        <w:t xml:space="preserve"> days, an application will be made for an order from the Court for compliance or striking out of a claim or defence. Rule 30A expressly empowers the Court in such an application to “</w:t>
      </w:r>
      <w:r w:rsidR="00136F73" w:rsidRPr="00291BC3">
        <w:rPr>
          <w:i/>
          <w:iCs/>
          <w:szCs w:val="24"/>
        </w:rPr>
        <w:t>make such order thereon as it deems fit</w:t>
      </w:r>
      <w:r w:rsidR="00136F73" w:rsidRPr="00291BC3">
        <w:rPr>
          <w:szCs w:val="24"/>
        </w:rPr>
        <w:t>”. The interplay between rules 30 and 30A is not now in issue.</w:t>
      </w:r>
    </w:p>
    <w:p w14:paraId="543A627F" w14:textId="209F57A3" w:rsidR="00136F73" w:rsidRPr="00291BC3" w:rsidRDefault="00FC396E" w:rsidP="00FC396E">
      <w:pPr>
        <w:pStyle w:val="JudgmentNumbered"/>
        <w:numPr>
          <w:ilvl w:val="0"/>
          <w:numId w:val="0"/>
        </w:numPr>
        <w:ind w:left="567" w:hanging="567"/>
        <w:rPr>
          <w:szCs w:val="24"/>
        </w:rPr>
      </w:pPr>
      <w:r w:rsidRPr="00291BC3">
        <w:rPr>
          <w:szCs w:val="24"/>
        </w:rPr>
        <w:t>[36]</w:t>
      </w:r>
      <w:r w:rsidRPr="00291BC3">
        <w:rPr>
          <w:szCs w:val="24"/>
        </w:rPr>
        <w:tab/>
      </w:r>
      <w:r w:rsidR="00136F73" w:rsidRPr="00291BC3">
        <w:rPr>
          <w:szCs w:val="24"/>
        </w:rPr>
        <w:t>In an application under rule 30, a court will set aside the complained-of irregular step only if it would cause prejudice to the complaining party.</w:t>
      </w:r>
      <w:r w:rsidR="00136F73" w:rsidRPr="00291BC3">
        <w:rPr>
          <w:rStyle w:val="EndnoteReference"/>
          <w:szCs w:val="24"/>
        </w:rPr>
        <w:endnoteReference w:id="9"/>
      </w:r>
      <w:r w:rsidR="00136F73" w:rsidRPr="00291BC3">
        <w:rPr>
          <w:szCs w:val="24"/>
        </w:rPr>
        <w:t xml:space="preserve"> On the other hand, even if a case is made out for the relief sought, a court has a discretion not to yield to the aggrieved party’s request. In the exercise of that discretion, the court </w:t>
      </w:r>
      <w:r w:rsidR="00136F73" w:rsidRPr="00291BC3">
        <w:rPr>
          <w:szCs w:val="24"/>
        </w:rPr>
        <w:lastRenderedPageBreak/>
        <w:t>must give due regard to any possible prejudice to either party. It must do a balancing exercise.</w:t>
      </w:r>
    </w:p>
    <w:p w14:paraId="169E9205" w14:textId="2171B9F4" w:rsidR="00136F73" w:rsidRPr="00291BC3" w:rsidRDefault="00136F73" w:rsidP="00483C2F">
      <w:pPr>
        <w:pStyle w:val="JudgmentNumbered"/>
        <w:keepNext/>
        <w:numPr>
          <w:ilvl w:val="0"/>
          <w:numId w:val="0"/>
        </w:numPr>
        <w:rPr>
          <w:b/>
          <w:bCs/>
          <w:szCs w:val="24"/>
        </w:rPr>
      </w:pPr>
      <w:r w:rsidRPr="00291BC3">
        <w:rPr>
          <w:b/>
          <w:bCs/>
          <w:szCs w:val="24"/>
        </w:rPr>
        <w:t>Non-compliance with rule 30(2)(b) where no condonation is sought</w:t>
      </w:r>
    </w:p>
    <w:p w14:paraId="73BB10CC" w14:textId="13E3AE38" w:rsidR="00136F73" w:rsidRPr="00291BC3" w:rsidRDefault="00FC396E" w:rsidP="00FC396E">
      <w:pPr>
        <w:pStyle w:val="JudgmentNumbered"/>
        <w:numPr>
          <w:ilvl w:val="0"/>
          <w:numId w:val="0"/>
        </w:numPr>
        <w:ind w:left="567" w:hanging="567"/>
        <w:rPr>
          <w:szCs w:val="24"/>
        </w:rPr>
      </w:pPr>
      <w:r w:rsidRPr="00291BC3">
        <w:rPr>
          <w:szCs w:val="24"/>
        </w:rPr>
        <w:t>[37]</w:t>
      </w:r>
      <w:r w:rsidRPr="00291BC3">
        <w:rPr>
          <w:szCs w:val="24"/>
        </w:rPr>
        <w:tab/>
      </w:r>
      <w:r w:rsidR="00136F73" w:rsidRPr="00291BC3">
        <w:rPr>
          <w:szCs w:val="24"/>
        </w:rPr>
        <w:t>How, then, the question arises, is this problem to be resolved: MTN seeks to put in motion the policing powers in rule 30, while itself having fallen in breach of it.</w:t>
      </w:r>
    </w:p>
    <w:p w14:paraId="343E4B0C" w14:textId="5AA1FFEB" w:rsidR="00136F73" w:rsidRPr="00291BC3" w:rsidRDefault="00FC396E" w:rsidP="00FC396E">
      <w:pPr>
        <w:pStyle w:val="JudgmentNumbered"/>
        <w:numPr>
          <w:ilvl w:val="0"/>
          <w:numId w:val="0"/>
        </w:numPr>
        <w:ind w:left="567" w:hanging="567"/>
        <w:rPr>
          <w:szCs w:val="24"/>
        </w:rPr>
      </w:pPr>
      <w:r w:rsidRPr="00291BC3">
        <w:rPr>
          <w:szCs w:val="24"/>
        </w:rPr>
        <w:t>[38]</w:t>
      </w:r>
      <w:r w:rsidRPr="00291BC3">
        <w:rPr>
          <w:szCs w:val="24"/>
        </w:rPr>
        <w:tab/>
      </w:r>
      <w:r w:rsidR="00136F73" w:rsidRPr="00291BC3">
        <w:rPr>
          <w:szCs w:val="24"/>
        </w:rPr>
        <w:t>In section 173, the Constitution recognises that the High Court “</w:t>
      </w:r>
      <w:r w:rsidR="00136F73" w:rsidRPr="00291BC3">
        <w:rPr>
          <w:i/>
          <w:iCs/>
          <w:szCs w:val="24"/>
        </w:rPr>
        <w:t>has the inherent power to protect and regulate [its] own process</w:t>
      </w:r>
      <w:r w:rsidR="00136F73" w:rsidRPr="00291BC3">
        <w:rPr>
          <w:szCs w:val="24"/>
        </w:rPr>
        <w:t>”. Naturally, this does not give it free rein capriciously to disregard the Uniform Rules. Yet, it should also not get unnecessarily entangled in formalistic technicalities. On the one hand, a court must guard against abuse of the Uniform Rules through their disregard. On the other, it must guard against pedantry that does not serve a legitimate end like protecting litigants against prejudice.</w:t>
      </w:r>
    </w:p>
    <w:p w14:paraId="5B326417" w14:textId="0AF10037" w:rsidR="00136F73" w:rsidRPr="00291BC3" w:rsidRDefault="00FC396E" w:rsidP="00FC396E">
      <w:pPr>
        <w:pStyle w:val="JudgmentNumbered"/>
        <w:numPr>
          <w:ilvl w:val="0"/>
          <w:numId w:val="0"/>
        </w:numPr>
        <w:ind w:left="567" w:hanging="567"/>
        <w:rPr>
          <w:szCs w:val="24"/>
        </w:rPr>
      </w:pPr>
      <w:r w:rsidRPr="00291BC3">
        <w:rPr>
          <w:szCs w:val="24"/>
        </w:rPr>
        <w:t>[39]</w:t>
      </w:r>
      <w:r w:rsidRPr="00291BC3">
        <w:rPr>
          <w:szCs w:val="24"/>
        </w:rPr>
        <w:tab/>
      </w:r>
      <w:r w:rsidR="00136F73" w:rsidRPr="00291BC3">
        <w:rPr>
          <w:szCs w:val="24"/>
        </w:rPr>
        <w:t xml:space="preserve">It is helpful to consider the allied enquiry undertaken in </w:t>
      </w:r>
      <w:r w:rsidR="00136F73" w:rsidRPr="00291BC3">
        <w:rPr>
          <w:i/>
          <w:iCs/>
          <w:lang w:eastAsia="en-GB"/>
        </w:rPr>
        <w:t>Pangbourne Properties Ltd v Pulse Moving CC and another</w:t>
      </w:r>
      <w:r w:rsidR="00136F73" w:rsidRPr="00291BC3">
        <w:rPr>
          <w:lang w:eastAsia="en-GB"/>
        </w:rPr>
        <w:t>.</w:t>
      </w:r>
      <w:r w:rsidR="00136F73" w:rsidRPr="00291BC3">
        <w:rPr>
          <w:rStyle w:val="EndnoteReference"/>
          <w:lang w:eastAsia="en-GB"/>
        </w:rPr>
        <w:endnoteReference w:id="10"/>
      </w:r>
      <w:r w:rsidR="00136F73" w:rsidRPr="00291BC3">
        <w:rPr>
          <w:lang w:eastAsia="en-GB"/>
        </w:rPr>
        <w:t xml:space="preserve"> This division</w:t>
      </w:r>
      <w:r w:rsidR="00136F73" w:rsidRPr="00291BC3">
        <w:rPr>
          <w:szCs w:val="24"/>
        </w:rPr>
        <w:t xml:space="preserve"> considered whether affidavits delivered out of time were properly before the court even where there was no condonation application:</w:t>
      </w:r>
      <w:r w:rsidR="00136F73" w:rsidRPr="00291BC3">
        <w:rPr>
          <w:rStyle w:val="EndnoteReference"/>
          <w:szCs w:val="24"/>
        </w:rPr>
        <w:endnoteReference w:id="11"/>
      </w:r>
    </w:p>
    <w:p w14:paraId="3736BEC4" w14:textId="77777777" w:rsidR="00136F73" w:rsidRPr="00291BC3" w:rsidRDefault="00136F73" w:rsidP="0004387E">
      <w:pPr>
        <w:pStyle w:val="JudgmentNumbered"/>
        <w:numPr>
          <w:ilvl w:val="0"/>
          <w:numId w:val="0"/>
        </w:numPr>
        <w:spacing w:after="0" w:line="240" w:lineRule="auto"/>
        <w:ind w:left="1418" w:right="851"/>
        <w:rPr>
          <w:szCs w:val="24"/>
        </w:rPr>
      </w:pPr>
      <w:r w:rsidRPr="00291BC3">
        <w:rPr>
          <w:szCs w:val="24"/>
        </w:rPr>
        <w:t>“</w:t>
      </w:r>
      <w:r w:rsidRPr="00291BC3">
        <w:rPr>
          <w:i/>
          <w:iCs/>
          <w:szCs w:val="24"/>
        </w:rPr>
        <w:t>On the facts of the present matter I deem it unnecessary for either of the parties to have brought a substantive application for condonation</w:t>
      </w:r>
      <w:r w:rsidRPr="00291BC3">
        <w:rPr>
          <w:szCs w:val="24"/>
        </w:rPr>
        <w:t>.”</w:t>
      </w:r>
    </w:p>
    <w:p w14:paraId="4A413B12" w14:textId="77777777" w:rsidR="00136F73" w:rsidRPr="00291BC3" w:rsidRDefault="00136F73" w:rsidP="0004387E">
      <w:pPr>
        <w:pStyle w:val="JudgmentNumbered"/>
        <w:numPr>
          <w:ilvl w:val="0"/>
          <w:numId w:val="0"/>
        </w:numPr>
        <w:spacing w:after="0" w:line="240" w:lineRule="auto"/>
        <w:ind w:right="851"/>
        <w:rPr>
          <w:szCs w:val="24"/>
        </w:rPr>
      </w:pPr>
    </w:p>
    <w:p w14:paraId="43840186" w14:textId="0C71F5D7" w:rsidR="00136F73" w:rsidRPr="00291BC3" w:rsidRDefault="00FC396E" w:rsidP="00FC396E">
      <w:pPr>
        <w:pStyle w:val="JudgmentNumbered"/>
        <w:keepNext/>
        <w:numPr>
          <w:ilvl w:val="0"/>
          <w:numId w:val="0"/>
        </w:numPr>
        <w:ind w:left="567" w:hanging="567"/>
        <w:rPr>
          <w:szCs w:val="24"/>
        </w:rPr>
      </w:pPr>
      <w:r w:rsidRPr="00291BC3">
        <w:rPr>
          <w:szCs w:val="24"/>
        </w:rPr>
        <w:t>[40]</w:t>
      </w:r>
      <w:r w:rsidRPr="00291BC3">
        <w:rPr>
          <w:szCs w:val="24"/>
        </w:rPr>
        <w:tab/>
      </w:r>
      <w:r w:rsidR="00136F73" w:rsidRPr="00291BC3">
        <w:rPr>
          <w:szCs w:val="24"/>
        </w:rPr>
        <w:t>The papers were before the Court, the matter was ready to be adjudicated. No party alleged prejudice. On this, the court observed:</w:t>
      </w:r>
      <w:r w:rsidR="00136F73" w:rsidRPr="00291BC3">
        <w:rPr>
          <w:rStyle w:val="EndnoteReference"/>
          <w:szCs w:val="24"/>
        </w:rPr>
        <w:endnoteReference w:id="12"/>
      </w:r>
    </w:p>
    <w:p w14:paraId="3A3B3F4E" w14:textId="77777777" w:rsidR="00136F73" w:rsidRPr="00291BC3" w:rsidRDefault="00136F73" w:rsidP="0004387E">
      <w:pPr>
        <w:pStyle w:val="JudgmentNumbered"/>
        <w:numPr>
          <w:ilvl w:val="0"/>
          <w:numId w:val="0"/>
        </w:numPr>
        <w:spacing w:after="0" w:line="240" w:lineRule="auto"/>
        <w:ind w:left="1418" w:right="851"/>
        <w:rPr>
          <w:szCs w:val="24"/>
        </w:rPr>
      </w:pPr>
      <w:r w:rsidRPr="00291BC3">
        <w:rPr>
          <w:szCs w:val="24"/>
        </w:rPr>
        <w:t>“</w:t>
      </w:r>
      <w:r w:rsidRPr="00291BC3">
        <w:rPr>
          <w:i/>
          <w:iCs/>
          <w:szCs w:val="24"/>
        </w:rPr>
        <w:t>The failure of the respondents to utilise the provisions of rule 30 regarding the setting-aside of irregular proceedings strengthens my view that neither party was prejudiced by the late filing of the affidavits.</w:t>
      </w:r>
      <w:r w:rsidRPr="00291BC3">
        <w:rPr>
          <w:szCs w:val="24"/>
        </w:rPr>
        <w:t>”</w:t>
      </w:r>
    </w:p>
    <w:p w14:paraId="0DF87412" w14:textId="77777777" w:rsidR="00136F73" w:rsidRPr="00291BC3" w:rsidRDefault="00136F73" w:rsidP="0004387E">
      <w:pPr>
        <w:pStyle w:val="JudgmentNumbered"/>
        <w:numPr>
          <w:ilvl w:val="0"/>
          <w:numId w:val="0"/>
        </w:numPr>
        <w:spacing w:after="0" w:line="240" w:lineRule="auto"/>
        <w:ind w:right="851"/>
        <w:rPr>
          <w:szCs w:val="24"/>
        </w:rPr>
      </w:pPr>
    </w:p>
    <w:p w14:paraId="0F899D20" w14:textId="0CD61861" w:rsidR="00136F73" w:rsidRPr="00291BC3" w:rsidRDefault="00FC396E" w:rsidP="00FC396E">
      <w:pPr>
        <w:pStyle w:val="JudgmentNumbered"/>
        <w:keepNext/>
        <w:numPr>
          <w:ilvl w:val="0"/>
          <w:numId w:val="0"/>
        </w:numPr>
        <w:ind w:left="567" w:hanging="567"/>
        <w:rPr>
          <w:szCs w:val="24"/>
        </w:rPr>
      </w:pPr>
      <w:r w:rsidRPr="00291BC3">
        <w:rPr>
          <w:szCs w:val="24"/>
        </w:rPr>
        <w:t>[41]</w:t>
      </w:r>
      <w:r w:rsidRPr="00291BC3">
        <w:rPr>
          <w:szCs w:val="24"/>
        </w:rPr>
        <w:tab/>
      </w:r>
      <w:r w:rsidR="00136F73" w:rsidRPr="00291BC3">
        <w:rPr>
          <w:szCs w:val="24"/>
        </w:rPr>
        <w:t>The court went on to say:</w:t>
      </w:r>
      <w:r w:rsidR="00136F73" w:rsidRPr="00291BC3">
        <w:rPr>
          <w:rStyle w:val="EndnoteReference"/>
          <w:szCs w:val="24"/>
        </w:rPr>
        <w:endnoteReference w:id="13"/>
      </w:r>
    </w:p>
    <w:p w14:paraId="78D65821" w14:textId="77777777" w:rsidR="00136F73" w:rsidRPr="00291BC3" w:rsidRDefault="00136F73" w:rsidP="000364DD">
      <w:pPr>
        <w:pStyle w:val="JudgmentNumbered"/>
        <w:numPr>
          <w:ilvl w:val="0"/>
          <w:numId w:val="0"/>
        </w:numPr>
        <w:spacing w:after="0" w:line="240" w:lineRule="auto"/>
        <w:ind w:left="1418" w:right="851"/>
        <w:rPr>
          <w:szCs w:val="24"/>
        </w:rPr>
      </w:pPr>
      <w:r w:rsidRPr="00291BC3">
        <w:rPr>
          <w:szCs w:val="24"/>
        </w:rPr>
        <w:t>“</w:t>
      </w:r>
      <w:r w:rsidRPr="00291BC3">
        <w:rPr>
          <w:i/>
          <w:iCs/>
          <w:szCs w:val="24"/>
        </w:rPr>
        <w:t>It is in the interests of justice that the affidavits be taken into account and that this matter be finalised and unnecessary additional costs be avoided. Insofar as it may be necessary and within my discretion to allow the late filing of the answering affidavit and the late replying affidavit, I do so in order to decide the merits of the dispute between the parties unfettered by technicalities</w:t>
      </w:r>
      <w:r w:rsidRPr="00291BC3">
        <w:rPr>
          <w:szCs w:val="24"/>
        </w:rPr>
        <w:t>.”</w:t>
      </w:r>
    </w:p>
    <w:p w14:paraId="51FFF162" w14:textId="77777777" w:rsidR="00136F73" w:rsidRPr="00291BC3" w:rsidRDefault="00136F73" w:rsidP="0004387E">
      <w:pPr>
        <w:pStyle w:val="JudgmentNumbered"/>
        <w:numPr>
          <w:ilvl w:val="0"/>
          <w:numId w:val="0"/>
        </w:numPr>
        <w:spacing w:after="0" w:line="240" w:lineRule="auto"/>
        <w:ind w:right="851"/>
        <w:rPr>
          <w:szCs w:val="24"/>
        </w:rPr>
      </w:pPr>
    </w:p>
    <w:p w14:paraId="37EC74B4" w14:textId="0A4ED1DF" w:rsidR="00136F73" w:rsidRPr="00291BC3" w:rsidRDefault="00FC396E" w:rsidP="00FC396E">
      <w:pPr>
        <w:pStyle w:val="JudgmentNumbered"/>
        <w:numPr>
          <w:ilvl w:val="0"/>
          <w:numId w:val="0"/>
        </w:numPr>
        <w:ind w:left="567" w:hanging="567"/>
        <w:rPr>
          <w:szCs w:val="24"/>
        </w:rPr>
      </w:pPr>
      <w:r w:rsidRPr="00291BC3">
        <w:rPr>
          <w:szCs w:val="24"/>
        </w:rPr>
        <w:t>[42]</w:t>
      </w:r>
      <w:r w:rsidRPr="00291BC3">
        <w:rPr>
          <w:szCs w:val="24"/>
        </w:rPr>
        <w:tab/>
      </w:r>
      <w:r w:rsidR="00136F73" w:rsidRPr="00291BC3">
        <w:rPr>
          <w:szCs w:val="24"/>
        </w:rPr>
        <w:t>Contrariwise, if non-compliance with the Uniform Rules might adversely affect legal rights, a court should ensure compliance, not for its own sake, but to serve the object of the Uniform Rules: to facilitate access to the courts.</w:t>
      </w:r>
    </w:p>
    <w:p w14:paraId="1C6BCDB1" w14:textId="4970E004" w:rsidR="00136F73" w:rsidRPr="00291BC3" w:rsidRDefault="00FC396E" w:rsidP="00FC396E">
      <w:pPr>
        <w:pStyle w:val="JudgmentNumbered"/>
        <w:numPr>
          <w:ilvl w:val="0"/>
          <w:numId w:val="0"/>
        </w:numPr>
        <w:ind w:left="567" w:hanging="567"/>
        <w:rPr>
          <w:lang w:eastAsia="en-GB"/>
        </w:rPr>
      </w:pPr>
      <w:r w:rsidRPr="00291BC3">
        <w:rPr>
          <w:lang w:eastAsia="en-GB"/>
        </w:rPr>
        <w:t>[43]</w:t>
      </w:r>
      <w:r w:rsidRPr="00291BC3">
        <w:rPr>
          <w:lang w:eastAsia="en-GB"/>
        </w:rPr>
        <w:tab/>
      </w:r>
      <w:r w:rsidR="00136F73" w:rsidRPr="00291BC3">
        <w:rPr>
          <w:lang w:eastAsia="en-GB"/>
        </w:rPr>
        <w:t>The point of departure in respect of condonation in the High Court is rule 27(3), which provides:</w:t>
      </w:r>
    </w:p>
    <w:p w14:paraId="6EBEC1C2" w14:textId="77777777" w:rsidR="00136F73" w:rsidRPr="00291BC3" w:rsidRDefault="00136F73" w:rsidP="000364DD">
      <w:pPr>
        <w:pStyle w:val="JudgmentNumbered"/>
        <w:numPr>
          <w:ilvl w:val="0"/>
          <w:numId w:val="0"/>
        </w:numPr>
        <w:spacing w:after="0" w:line="240" w:lineRule="auto"/>
        <w:ind w:left="1418" w:right="851"/>
        <w:rPr>
          <w:szCs w:val="24"/>
        </w:rPr>
      </w:pPr>
      <w:r w:rsidRPr="00291BC3">
        <w:rPr>
          <w:szCs w:val="24"/>
        </w:rPr>
        <w:t>“</w:t>
      </w:r>
      <w:r w:rsidRPr="00291BC3">
        <w:rPr>
          <w:i/>
          <w:iCs/>
          <w:szCs w:val="24"/>
        </w:rPr>
        <w:t>The court may, on good cause shown, condone any non-compliance with these rules</w:t>
      </w:r>
      <w:r w:rsidRPr="00291BC3">
        <w:rPr>
          <w:szCs w:val="24"/>
        </w:rPr>
        <w:t>.”</w:t>
      </w:r>
    </w:p>
    <w:p w14:paraId="00079068" w14:textId="205A7616" w:rsidR="00136F73" w:rsidRPr="00291BC3" w:rsidRDefault="00FC396E" w:rsidP="00FC396E">
      <w:pPr>
        <w:pStyle w:val="JudgmentNumbered"/>
        <w:numPr>
          <w:ilvl w:val="0"/>
          <w:numId w:val="0"/>
        </w:numPr>
        <w:spacing w:before="240"/>
        <w:ind w:left="567" w:hanging="567"/>
        <w:rPr>
          <w:lang w:eastAsia="en-GB"/>
        </w:rPr>
      </w:pPr>
      <w:r w:rsidRPr="00291BC3">
        <w:rPr>
          <w:lang w:eastAsia="en-GB"/>
        </w:rPr>
        <w:t>[44]</w:t>
      </w:r>
      <w:r w:rsidRPr="00291BC3">
        <w:rPr>
          <w:lang w:eastAsia="en-GB"/>
        </w:rPr>
        <w:tab/>
      </w:r>
      <w:r w:rsidR="00136F73" w:rsidRPr="00291BC3">
        <w:rPr>
          <w:lang w:eastAsia="en-GB"/>
        </w:rPr>
        <w:t xml:space="preserve">The authors of </w:t>
      </w:r>
      <w:r w:rsidR="00136F73" w:rsidRPr="00291BC3">
        <w:rPr>
          <w:i/>
          <w:iCs/>
          <w:lang w:eastAsia="en-GB"/>
        </w:rPr>
        <w:t>Erasmus Superior Court Practice</w:t>
      </w:r>
      <w:r w:rsidR="00136F73" w:rsidRPr="00291BC3">
        <w:rPr>
          <w:lang w:eastAsia="en-GB"/>
        </w:rPr>
        <w:t xml:space="preserve"> point out that the courts have refrained from formulating an exhaustive definition of what constitutes “</w:t>
      </w:r>
      <w:r w:rsidR="00136F73" w:rsidRPr="00291BC3">
        <w:rPr>
          <w:i/>
          <w:iCs/>
          <w:lang w:eastAsia="en-GB"/>
        </w:rPr>
        <w:t>good cause</w:t>
      </w:r>
      <w:r w:rsidR="00136F73" w:rsidRPr="00291BC3">
        <w:rPr>
          <w:lang w:eastAsia="en-GB"/>
        </w:rPr>
        <w:t xml:space="preserve">” since that might hem in the exercise by the court of its discretion. They observe that two principal requirements have emerged from the cases. First, an applicant should deliver an affidavit satisfactorily explaining the delay in complying with the rules (or other non-compliance). Second, the applicant should satisfy the court on oath that they have a </w:t>
      </w:r>
      <w:r w:rsidR="00136F73" w:rsidRPr="00291BC3">
        <w:rPr>
          <w:i/>
          <w:iCs/>
          <w:lang w:eastAsia="en-GB"/>
        </w:rPr>
        <w:t>bona fide</w:t>
      </w:r>
      <w:r w:rsidR="00136F73" w:rsidRPr="00291BC3">
        <w:rPr>
          <w:lang w:eastAsia="en-GB"/>
        </w:rPr>
        <w:t xml:space="preserve"> claim or defence.</w:t>
      </w:r>
      <w:r w:rsidR="00136F73" w:rsidRPr="00291BC3">
        <w:rPr>
          <w:rStyle w:val="EndnoteReference"/>
          <w:lang w:eastAsia="en-GB"/>
        </w:rPr>
        <w:endnoteReference w:id="14"/>
      </w:r>
      <w:r w:rsidR="00136F73" w:rsidRPr="00291BC3">
        <w:rPr>
          <w:lang w:eastAsia="en-GB"/>
        </w:rPr>
        <w:t xml:space="preserve"> They go on to observe that certain authorities impose a third requirement, namely that the granting of the indulgence sought must not prejudice the opposing party in a way that cannot be compensated or cured by a suitable costs order.</w:t>
      </w:r>
      <w:r w:rsidR="00136F73" w:rsidRPr="00291BC3">
        <w:rPr>
          <w:rStyle w:val="EndnoteReference"/>
          <w:lang w:eastAsia="en-GB"/>
        </w:rPr>
        <w:endnoteReference w:id="15"/>
      </w:r>
    </w:p>
    <w:p w14:paraId="3D3B99C8" w14:textId="2413A2D4" w:rsidR="00136F73" w:rsidRPr="00291BC3" w:rsidRDefault="00FC396E" w:rsidP="00FC396E">
      <w:pPr>
        <w:pStyle w:val="JudgmentNumbered"/>
        <w:numPr>
          <w:ilvl w:val="0"/>
          <w:numId w:val="0"/>
        </w:numPr>
        <w:ind w:left="567" w:hanging="567"/>
        <w:rPr>
          <w:lang w:eastAsia="en-GB"/>
        </w:rPr>
      </w:pPr>
      <w:r w:rsidRPr="00291BC3">
        <w:rPr>
          <w:lang w:eastAsia="en-GB"/>
        </w:rPr>
        <w:t>[45]</w:t>
      </w:r>
      <w:r w:rsidRPr="00291BC3">
        <w:rPr>
          <w:lang w:eastAsia="en-GB"/>
        </w:rPr>
        <w:tab/>
      </w:r>
      <w:r w:rsidR="00136F73" w:rsidRPr="00291BC3">
        <w:rPr>
          <w:lang w:eastAsia="en-GB"/>
        </w:rPr>
        <w:t xml:space="preserve">Moreover, a </w:t>
      </w:r>
      <w:r w:rsidR="00136F73" w:rsidRPr="00291BC3">
        <w:t>litigant who asks for an indulgence should act with reasonable prompt</w:t>
      </w:r>
      <w:r w:rsidR="006A41B6" w:rsidRPr="00291BC3">
        <w:t>ness and</w:t>
      </w:r>
      <w:r w:rsidR="00136F73" w:rsidRPr="00291BC3">
        <w:t xml:space="preserve"> be scrupulously accurate in his statement to the court. Other neglectful acts in the history of the case are relevant to show that party’s attitude and motives</w:t>
      </w:r>
      <w:r w:rsidR="00136F73" w:rsidRPr="00291BC3">
        <w:rPr>
          <w:rFonts w:ascii="Verdana" w:hAnsi="Verdana" w:cs="Verdana"/>
          <w:sz w:val="15"/>
          <w:szCs w:val="15"/>
        </w:rPr>
        <w:t>.</w:t>
      </w:r>
      <w:r w:rsidR="00136F73" w:rsidRPr="00291BC3">
        <w:rPr>
          <w:rStyle w:val="EndnoteReference"/>
          <w:lang w:eastAsia="en-GB"/>
        </w:rPr>
        <w:endnoteReference w:id="16"/>
      </w:r>
    </w:p>
    <w:p w14:paraId="15CFA88A" w14:textId="10298658" w:rsidR="00136F73" w:rsidRPr="00291BC3" w:rsidRDefault="00FC396E" w:rsidP="00FC396E">
      <w:pPr>
        <w:pStyle w:val="JudgmentNumbered"/>
        <w:numPr>
          <w:ilvl w:val="0"/>
          <w:numId w:val="0"/>
        </w:numPr>
        <w:ind w:left="567" w:hanging="567"/>
        <w:rPr>
          <w:lang w:eastAsia="en-GB"/>
        </w:rPr>
      </w:pPr>
      <w:r w:rsidRPr="00291BC3">
        <w:rPr>
          <w:lang w:eastAsia="en-GB"/>
        </w:rPr>
        <w:t>[46]</w:t>
      </w:r>
      <w:r w:rsidRPr="00291BC3">
        <w:rPr>
          <w:lang w:eastAsia="en-GB"/>
        </w:rPr>
        <w:tab/>
      </w:r>
      <w:r w:rsidR="00136F73" w:rsidRPr="00291BC3">
        <w:rPr>
          <w:lang w:eastAsia="en-GB"/>
        </w:rPr>
        <w:t>The Constitutional Court has held that the test is fundamentally whether condonation is in the interests of justice.</w:t>
      </w:r>
      <w:r w:rsidR="00136F73" w:rsidRPr="00291BC3">
        <w:rPr>
          <w:rStyle w:val="EndnoteReference"/>
          <w:lang w:eastAsia="en-GB"/>
        </w:rPr>
        <w:endnoteReference w:id="17"/>
      </w:r>
    </w:p>
    <w:p w14:paraId="4AEB8255" w14:textId="48B984D4" w:rsidR="00136F73" w:rsidRPr="00291BC3" w:rsidRDefault="00FC396E" w:rsidP="00FC396E">
      <w:pPr>
        <w:pStyle w:val="JudgmentNumbered"/>
        <w:numPr>
          <w:ilvl w:val="0"/>
          <w:numId w:val="0"/>
        </w:numPr>
        <w:ind w:left="567" w:hanging="567"/>
        <w:rPr>
          <w:lang w:eastAsia="en-GB"/>
        </w:rPr>
      </w:pPr>
      <w:r w:rsidRPr="00291BC3">
        <w:rPr>
          <w:lang w:eastAsia="en-GB"/>
        </w:rPr>
        <w:t>[47]</w:t>
      </w:r>
      <w:r w:rsidRPr="00291BC3">
        <w:rPr>
          <w:lang w:eastAsia="en-GB"/>
        </w:rPr>
        <w:tab/>
      </w:r>
      <w:r w:rsidR="00136F73" w:rsidRPr="00291BC3">
        <w:rPr>
          <w:lang w:eastAsia="en-GB"/>
        </w:rPr>
        <w:t>This body of principles that has crystallised out on condonation presupposes that the offending party makes application for condonation. Yet</w:t>
      </w:r>
      <w:r w:rsidR="006A41B6" w:rsidRPr="00291BC3">
        <w:rPr>
          <w:lang w:eastAsia="en-GB"/>
        </w:rPr>
        <w:t>,</w:t>
      </w:r>
      <w:r w:rsidR="00136F73" w:rsidRPr="00291BC3">
        <w:rPr>
          <w:lang w:eastAsia="en-GB"/>
        </w:rPr>
        <w:t xml:space="preserve"> here no condonation is sought for the lateness of the applicant’s notice under rule 30(2)(b).</w:t>
      </w:r>
    </w:p>
    <w:p w14:paraId="47F3D969" w14:textId="1DB876FD" w:rsidR="00136F73" w:rsidRPr="00291BC3" w:rsidRDefault="00FC396E" w:rsidP="00FC396E">
      <w:pPr>
        <w:pStyle w:val="JudgmentNumbered"/>
        <w:numPr>
          <w:ilvl w:val="0"/>
          <w:numId w:val="0"/>
        </w:numPr>
        <w:ind w:left="567" w:hanging="567"/>
        <w:rPr>
          <w:lang w:eastAsia="en-GB"/>
        </w:rPr>
      </w:pPr>
      <w:r w:rsidRPr="00291BC3">
        <w:rPr>
          <w:lang w:eastAsia="en-GB"/>
        </w:rPr>
        <w:t>[48]</w:t>
      </w:r>
      <w:r w:rsidRPr="00291BC3">
        <w:rPr>
          <w:lang w:eastAsia="en-GB"/>
        </w:rPr>
        <w:tab/>
      </w:r>
      <w:r w:rsidR="00136F73" w:rsidRPr="00291BC3">
        <w:rPr>
          <w:lang w:eastAsia="en-GB"/>
        </w:rPr>
        <w:t xml:space="preserve">In </w:t>
      </w:r>
      <w:r w:rsidR="00136F73" w:rsidRPr="00291BC3">
        <w:rPr>
          <w:i/>
          <w:iCs/>
          <w:lang w:eastAsia="en-GB"/>
        </w:rPr>
        <w:t>Brumloop v Brumloop</w:t>
      </w:r>
      <w:r w:rsidR="00136F73" w:rsidRPr="00291BC3">
        <w:rPr>
          <w:lang w:eastAsia="en-GB"/>
        </w:rPr>
        <w:t>,</w:t>
      </w:r>
      <w:r w:rsidR="00136F73" w:rsidRPr="00291BC3">
        <w:rPr>
          <w:rStyle w:val="EndnoteReference"/>
          <w:lang w:eastAsia="en-GB"/>
        </w:rPr>
        <w:endnoteReference w:id="18"/>
      </w:r>
      <w:r w:rsidR="00136F73" w:rsidRPr="00291BC3">
        <w:rPr>
          <w:lang w:eastAsia="en-GB"/>
        </w:rPr>
        <w:t xml:space="preserve"> the former Orange Free State Provincial Division held in a passing </w:t>
      </w:r>
      <w:r w:rsidR="00136F73" w:rsidRPr="00291BC3">
        <w:rPr>
          <w:i/>
          <w:iCs/>
          <w:lang w:eastAsia="en-GB"/>
        </w:rPr>
        <w:t>obiter dictum</w:t>
      </w:r>
      <w:r w:rsidR="00136F73" w:rsidRPr="00291BC3">
        <w:rPr>
          <w:lang w:eastAsia="en-GB"/>
        </w:rPr>
        <w:t xml:space="preserve"> that the court is empowered not only to condone non-compliance with the Uniform Rules but is also empowered to waive compliance with them.</w:t>
      </w:r>
      <w:r w:rsidR="00136F73" w:rsidRPr="00291BC3">
        <w:rPr>
          <w:rStyle w:val="EndnoteReference"/>
          <w:lang w:eastAsia="en-GB"/>
        </w:rPr>
        <w:endnoteReference w:id="19"/>
      </w:r>
      <w:r w:rsidR="00136F73" w:rsidRPr="00291BC3">
        <w:rPr>
          <w:lang w:eastAsia="en-GB"/>
        </w:rPr>
        <w:t xml:space="preserve"> This position is also adopted in </w:t>
      </w:r>
      <w:r w:rsidR="00136F73" w:rsidRPr="00291BC3">
        <w:rPr>
          <w:i/>
          <w:iCs/>
          <w:shd w:val="clear" w:color="auto" w:fill="FFFFFF"/>
        </w:rPr>
        <w:t>Mawire NO and another v Somo</w:t>
      </w:r>
      <w:r w:rsidR="00136F73" w:rsidRPr="00291BC3">
        <w:rPr>
          <w:lang w:eastAsia="en-GB"/>
        </w:rPr>
        <w:t>,</w:t>
      </w:r>
      <w:r w:rsidR="00136F73" w:rsidRPr="00291BC3">
        <w:rPr>
          <w:rStyle w:val="EndnoteReference"/>
          <w:lang w:eastAsia="en-GB"/>
        </w:rPr>
        <w:endnoteReference w:id="20"/>
      </w:r>
      <w:r w:rsidR="00136F73" w:rsidRPr="00291BC3">
        <w:rPr>
          <w:lang w:eastAsia="en-GB"/>
        </w:rPr>
        <w:t xml:space="preserve"> </w:t>
      </w:r>
      <w:r w:rsidR="00136F73" w:rsidRPr="00291BC3">
        <w:rPr>
          <w:lang w:eastAsia="en-GB"/>
        </w:rPr>
        <w:lastRenderedPageBreak/>
        <w:t xml:space="preserve">where it was held that the court is empowered to raise condonation </w:t>
      </w:r>
      <w:r w:rsidR="00136F73" w:rsidRPr="00291BC3">
        <w:rPr>
          <w:i/>
          <w:iCs/>
          <w:lang w:eastAsia="en-GB"/>
        </w:rPr>
        <w:t>mero motu</w:t>
      </w:r>
      <w:r w:rsidR="00136F73" w:rsidRPr="00291BC3">
        <w:rPr>
          <w:lang w:eastAsia="en-GB"/>
        </w:rPr>
        <w:t>.</w:t>
      </w:r>
      <w:r w:rsidR="00136F73" w:rsidRPr="00291BC3">
        <w:rPr>
          <w:rStyle w:val="EndnoteReference"/>
          <w:lang w:eastAsia="en-GB"/>
        </w:rPr>
        <w:endnoteReference w:id="21"/>
      </w:r>
      <w:r w:rsidR="00136F73" w:rsidRPr="00291BC3">
        <w:rPr>
          <w:lang w:eastAsia="en-GB"/>
        </w:rPr>
        <w:t xml:space="preserve"> In my view, this position is consistent with the inherent power that the court has under section 173 of the Constitution to regulate its own process.</w:t>
      </w:r>
    </w:p>
    <w:p w14:paraId="7E5498D0" w14:textId="75C18FD9" w:rsidR="00136F73" w:rsidRPr="00291BC3" w:rsidRDefault="00FC396E" w:rsidP="00FC396E">
      <w:pPr>
        <w:pStyle w:val="JudgmentNumbered"/>
        <w:numPr>
          <w:ilvl w:val="0"/>
          <w:numId w:val="0"/>
        </w:numPr>
        <w:ind w:left="567" w:hanging="567"/>
        <w:rPr>
          <w:lang w:eastAsia="en-GB"/>
        </w:rPr>
      </w:pPr>
      <w:r w:rsidRPr="00291BC3">
        <w:rPr>
          <w:lang w:eastAsia="en-GB"/>
        </w:rPr>
        <w:t>[49]</w:t>
      </w:r>
      <w:r w:rsidRPr="00291BC3">
        <w:rPr>
          <w:lang w:eastAsia="en-GB"/>
        </w:rPr>
        <w:tab/>
      </w:r>
      <w:r w:rsidR="00136F73" w:rsidRPr="00291BC3">
        <w:rPr>
          <w:lang w:eastAsia="en-GB"/>
        </w:rPr>
        <w:t xml:space="preserve">Yet, at first blush, a contrary position appears to have been </w:t>
      </w:r>
      <w:r w:rsidR="006A41B6" w:rsidRPr="00291BC3">
        <w:rPr>
          <w:lang w:eastAsia="en-GB"/>
        </w:rPr>
        <w:t xml:space="preserve">adopted </w:t>
      </w:r>
      <w:r w:rsidR="00136F73" w:rsidRPr="00291BC3">
        <w:rPr>
          <w:lang w:eastAsia="en-GB"/>
        </w:rPr>
        <w:t xml:space="preserve">in </w:t>
      </w:r>
      <w:r w:rsidR="00136F73" w:rsidRPr="00291BC3">
        <w:rPr>
          <w:i/>
          <w:iCs/>
          <w:lang w:eastAsia="en-GB"/>
        </w:rPr>
        <w:t>Msimango v Peters</w:t>
      </w:r>
      <w:r w:rsidR="00136F73" w:rsidRPr="00291BC3">
        <w:rPr>
          <w:lang w:eastAsia="en-GB"/>
        </w:rPr>
        <w:t>.</w:t>
      </w:r>
      <w:r w:rsidR="00136F73" w:rsidRPr="00291BC3">
        <w:rPr>
          <w:rStyle w:val="EndnoteReference"/>
          <w:lang w:eastAsia="en-GB"/>
        </w:rPr>
        <w:endnoteReference w:id="22"/>
      </w:r>
      <w:r w:rsidR="00136F73" w:rsidRPr="00291BC3">
        <w:rPr>
          <w:lang w:eastAsia="en-GB"/>
        </w:rPr>
        <w:t xml:space="preserve"> It concerned an appeal from the Randburg Magistrates’ Court, where the magistrate had dismissed an application under Magistrates’ Court Rule 60A(1), the equivalent of Uniform Rule 30(1). The Court addressed a question similar to the instant one: </w:t>
      </w:r>
      <w:r w:rsidR="006A41B6" w:rsidRPr="00291BC3">
        <w:rPr>
          <w:lang w:eastAsia="en-GB"/>
        </w:rPr>
        <w:t xml:space="preserve">both </w:t>
      </w:r>
      <w:r w:rsidR="00136F73" w:rsidRPr="00291BC3">
        <w:rPr>
          <w:lang w:eastAsia="en-GB"/>
        </w:rPr>
        <w:t>the notice under Magistrates’ Court Rule 60A(2)(b), equivalent to the notice under rule 30(2)(b), and the application under Magistrates’ Court Rule 60A(1) had been delivered outside the prescribed periods.</w:t>
      </w:r>
    </w:p>
    <w:p w14:paraId="5F3C66CA" w14:textId="4E46308E" w:rsidR="00136F73" w:rsidRPr="00291BC3" w:rsidRDefault="00FC396E" w:rsidP="00FC396E">
      <w:pPr>
        <w:pStyle w:val="JudgmentNumbered"/>
        <w:numPr>
          <w:ilvl w:val="0"/>
          <w:numId w:val="0"/>
        </w:numPr>
        <w:ind w:left="567" w:hanging="567"/>
        <w:rPr>
          <w:lang w:eastAsia="en-GB"/>
        </w:rPr>
      </w:pPr>
      <w:r w:rsidRPr="00291BC3">
        <w:rPr>
          <w:lang w:eastAsia="en-GB"/>
        </w:rPr>
        <w:t>[50]</w:t>
      </w:r>
      <w:r w:rsidRPr="00291BC3">
        <w:rPr>
          <w:lang w:eastAsia="en-GB"/>
        </w:rPr>
        <w:tab/>
      </w:r>
      <w:r w:rsidR="00136F73" w:rsidRPr="00291BC3">
        <w:rPr>
          <w:lang w:eastAsia="en-GB"/>
        </w:rPr>
        <w:t xml:space="preserve">Ossin AJ (with Malindi J concurring) reasoned that compliance with Magistrates’ Court Rule 60A(2)(b) was necessary to render the application under Magistrates’ Court Rule 60A(1) procedurally competent. Since the notice had been delivered out of time, as had the application itself, without condonation being sought, the application fell to be dismissed. The appeal failed. However, </w:t>
      </w:r>
      <w:r w:rsidR="00136F73" w:rsidRPr="00291BC3">
        <w:rPr>
          <w:i/>
          <w:iCs/>
          <w:lang w:eastAsia="en-GB"/>
        </w:rPr>
        <w:t>Msimango</w:t>
      </w:r>
      <w:r w:rsidR="00136F73" w:rsidRPr="00291BC3">
        <w:rPr>
          <w:lang w:eastAsia="en-GB"/>
        </w:rPr>
        <w:t xml:space="preserve"> is distinguishable. It concerned an application in the Magistrate’s Court, which is a creature of statute</w:t>
      </w:r>
      <w:r w:rsidR="006A41B6" w:rsidRPr="00291BC3">
        <w:rPr>
          <w:lang w:eastAsia="en-GB"/>
        </w:rPr>
        <w:t xml:space="preserve"> and is not endowed with the powers endowed by section 173 of the Constitution.</w:t>
      </w:r>
    </w:p>
    <w:p w14:paraId="563EEA7F" w14:textId="27FDCA4A" w:rsidR="00136F73" w:rsidRPr="00291BC3" w:rsidRDefault="00FC396E" w:rsidP="00FC396E">
      <w:pPr>
        <w:pStyle w:val="JudgmentNumbered"/>
        <w:numPr>
          <w:ilvl w:val="0"/>
          <w:numId w:val="0"/>
        </w:numPr>
        <w:ind w:left="567" w:hanging="567"/>
        <w:rPr>
          <w:lang w:eastAsia="en-GB"/>
        </w:rPr>
      </w:pPr>
      <w:r w:rsidRPr="00291BC3">
        <w:rPr>
          <w:lang w:eastAsia="en-GB"/>
        </w:rPr>
        <w:t>[51]</w:t>
      </w:r>
      <w:r w:rsidRPr="00291BC3">
        <w:rPr>
          <w:lang w:eastAsia="en-GB"/>
        </w:rPr>
        <w:tab/>
      </w:r>
      <w:r w:rsidR="00136F73" w:rsidRPr="00291BC3">
        <w:rPr>
          <w:lang w:eastAsia="en-GB"/>
        </w:rPr>
        <w:t xml:space="preserve">Likewise, the contrary decision in </w:t>
      </w:r>
      <w:r w:rsidR="00136F73" w:rsidRPr="00291BC3">
        <w:rPr>
          <w:i/>
          <w:iCs/>
          <w:lang w:eastAsia="en-GB"/>
        </w:rPr>
        <w:t>Lekwa Local Municipality and another v Afra-Infra Group (Pty) Ltd</w:t>
      </w:r>
      <w:r w:rsidR="00136F73" w:rsidRPr="00291BC3">
        <w:rPr>
          <w:lang w:eastAsia="en-GB"/>
        </w:rPr>
        <w:t xml:space="preserve"> bears mention.</w:t>
      </w:r>
      <w:r w:rsidR="00136F73" w:rsidRPr="00291BC3">
        <w:rPr>
          <w:rStyle w:val="EndnoteReference"/>
          <w:lang w:eastAsia="en-GB"/>
        </w:rPr>
        <w:endnoteReference w:id="23"/>
      </w:r>
      <w:r w:rsidR="00136F73" w:rsidRPr="00291BC3">
        <w:rPr>
          <w:lang w:eastAsia="en-GB"/>
        </w:rPr>
        <w:t xml:space="preserve"> Having delivered their respective notices under rule 30(2)(b) outside the ten-day period, the two applicant municipalities both brought an application under rule 30(1) to set aside the amended particulars of claim of Afra-Infra Group (Pty) Ltd. In dismissing both applications, Mas</w:t>
      </w:r>
      <w:r w:rsidR="00845118" w:rsidRPr="00291BC3">
        <w:rPr>
          <w:lang w:eastAsia="en-GB"/>
        </w:rPr>
        <w:t>hile</w:t>
      </w:r>
      <w:r w:rsidR="00136F73" w:rsidRPr="00291BC3">
        <w:rPr>
          <w:lang w:eastAsia="en-GB"/>
        </w:rPr>
        <w:t xml:space="preserve"> J </w:t>
      </w:r>
      <w:r w:rsidR="006A41B6" w:rsidRPr="00291BC3">
        <w:rPr>
          <w:lang w:eastAsia="en-GB"/>
        </w:rPr>
        <w:t>held</w:t>
      </w:r>
      <w:r w:rsidR="00136F73" w:rsidRPr="00291BC3">
        <w:rPr>
          <w:lang w:eastAsia="en-GB"/>
        </w:rPr>
        <w:t>:</w:t>
      </w:r>
      <w:r w:rsidR="00136F73" w:rsidRPr="00291BC3">
        <w:rPr>
          <w:rStyle w:val="EndnoteReference"/>
          <w:lang w:eastAsia="en-GB"/>
        </w:rPr>
        <w:endnoteReference w:id="24"/>
      </w:r>
      <w:r w:rsidR="00136F73" w:rsidRPr="00291BC3">
        <w:rPr>
          <w:lang w:eastAsia="en-GB"/>
        </w:rPr>
        <w:t xml:space="preserve"> </w:t>
      </w:r>
    </w:p>
    <w:p w14:paraId="46B6E061" w14:textId="2D045C07" w:rsidR="00136F73" w:rsidRPr="00291BC3" w:rsidRDefault="00136F73" w:rsidP="00D84D65">
      <w:pPr>
        <w:autoSpaceDE w:val="0"/>
        <w:autoSpaceDN w:val="0"/>
        <w:adjustRightInd w:val="0"/>
        <w:spacing w:after="0" w:line="240" w:lineRule="auto"/>
        <w:ind w:left="1418" w:right="851"/>
        <w:rPr>
          <w:rFonts w:cs="Arial"/>
          <w:i/>
          <w:iCs/>
          <w:szCs w:val="24"/>
        </w:rPr>
      </w:pPr>
      <w:r w:rsidRPr="00291BC3">
        <w:rPr>
          <w:rFonts w:cs="Arial"/>
          <w:szCs w:val="24"/>
        </w:rPr>
        <w:t>“</w:t>
      </w:r>
      <w:r w:rsidRPr="00291BC3">
        <w:rPr>
          <w:rFonts w:cs="Arial"/>
          <w:i/>
          <w:iCs/>
          <w:szCs w:val="24"/>
        </w:rPr>
        <w:t>It was only twenty-five days after service of the particulars of claim that Gert Sibanda Served the Rule 30(2)(b) Notice alerting Afri-lnfra of the alleged irregular step. Quite evidently, the service of the notice was well out of time constituting an impermissible step especially in circumstances where it was not accompanied by an application seeking to condone the unpunctuality. As though that was not sufficient, the Rule 30(2)(c) Application was launched on 15 December 2021, almost 15 days out of time.</w:t>
      </w:r>
    </w:p>
    <w:p w14:paraId="181DF389" w14:textId="1B4B445F" w:rsidR="00136F73" w:rsidRPr="00291BC3" w:rsidRDefault="00136F73" w:rsidP="000364DD">
      <w:pPr>
        <w:keepNext/>
        <w:autoSpaceDE w:val="0"/>
        <w:autoSpaceDN w:val="0"/>
        <w:adjustRightInd w:val="0"/>
        <w:spacing w:after="0" w:line="240" w:lineRule="auto"/>
        <w:ind w:left="1440" w:right="851" w:firstLine="720"/>
        <w:rPr>
          <w:rFonts w:cs="Arial"/>
        </w:rPr>
      </w:pPr>
      <w:r w:rsidRPr="00291BC3">
        <w:rPr>
          <w:szCs w:val="24"/>
        </w:rPr>
        <w:lastRenderedPageBreak/>
        <w:t>…</w:t>
      </w:r>
    </w:p>
    <w:p w14:paraId="70CAC5B2" w14:textId="318AC375" w:rsidR="00136F73" w:rsidRPr="00291BC3" w:rsidRDefault="00136F73" w:rsidP="000364DD">
      <w:pPr>
        <w:keepNext/>
        <w:autoSpaceDE w:val="0"/>
        <w:autoSpaceDN w:val="0"/>
        <w:adjustRightInd w:val="0"/>
        <w:spacing w:after="0" w:line="240" w:lineRule="auto"/>
        <w:ind w:left="1440" w:right="851" w:firstLine="720"/>
        <w:rPr>
          <w:szCs w:val="24"/>
        </w:rPr>
      </w:pPr>
      <w:r w:rsidRPr="00291BC3">
        <w:rPr>
          <w:rFonts w:cs="Arial"/>
          <w:i/>
          <w:iCs/>
          <w:szCs w:val="24"/>
        </w:rPr>
        <w:t xml:space="preserve">Also before this Court is an application for condonation of the late filing of the Rule 30(2)(c) by Gert Sibanda. </w:t>
      </w:r>
      <w:r w:rsidRPr="00291BC3">
        <w:rPr>
          <w:rFonts w:cs="Arial"/>
          <w:i/>
          <w:iCs/>
          <w:szCs w:val="24"/>
          <w:u w:val="single"/>
        </w:rPr>
        <w:t>I find myself in agreement with Afri-lnfra that the condonation application is hollow if it, as it does, seeks to condone the Rule 30(2)(c) Application without a condonation of the first irregular step – service of the Rule 30(2)(b) Notice outside of the 10-day period. In this sense the Rule 30(2)(c) Application is unsustainable as it has no anchor. Thus, an order condoning its late service will be meaningless</w:t>
      </w:r>
      <w:r w:rsidRPr="00291BC3">
        <w:rPr>
          <w:rFonts w:cs="Arial"/>
          <w:szCs w:val="24"/>
        </w:rPr>
        <w:t>.</w:t>
      </w:r>
      <w:r w:rsidRPr="00291BC3">
        <w:rPr>
          <w:szCs w:val="24"/>
        </w:rPr>
        <w:t>”</w:t>
      </w:r>
    </w:p>
    <w:p w14:paraId="2E0F436A" w14:textId="77777777" w:rsidR="00136F73" w:rsidRPr="00291BC3" w:rsidRDefault="00136F73" w:rsidP="00B72049">
      <w:pPr>
        <w:keepNext/>
        <w:autoSpaceDE w:val="0"/>
        <w:autoSpaceDN w:val="0"/>
        <w:adjustRightInd w:val="0"/>
        <w:ind w:left="1440" w:right="851" w:firstLine="720"/>
        <w:jc w:val="right"/>
        <w:rPr>
          <w:rFonts w:cs="Arial"/>
          <w:szCs w:val="24"/>
        </w:rPr>
      </w:pPr>
      <w:r w:rsidRPr="00291BC3">
        <w:rPr>
          <w:rFonts w:cs="Arial"/>
          <w:szCs w:val="24"/>
        </w:rPr>
        <w:t>[emphasis added]</w:t>
      </w:r>
    </w:p>
    <w:p w14:paraId="58AD0040" w14:textId="3CA6522C" w:rsidR="00136F73" w:rsidRPr="00291BC3" w:rsidRDefault="00FC396E" w:rsidP="00FC396E">
      <w:pPr>
        <w:pStyle w:val="JudgmentNumbered"/>
        <w:numPr>
          <w:ilvl w:val="0"/>
          <w:numId w:val="0"/>
        </w:numPr>
        <w:ind w:left="567" w:hanging="567"/>
        <w:rPr>
          <w:lang w:eastAsia="en-GB"/>
        </w:rPr>
      </w:pPr>
      <w:r w:rsidRPr="00291BC3">
        <w:rPr>
          <w:lang w:eastAsia="en-GB"/>
        </w:rPr>
        <w:t>[52]</w:t>
      </w:r>
      <w:r w:rsidRPr="00291BC3">
        <w:rPr>
          <w:lang w:eastAsia="en-GB"/>
        </w:rPr>
        <w:tab/>
      </w:r>
      <w:r w:rsidR="00136F73" w:rsidRPr="00291BC3">
        <w:rPr>
          <w:lang w:eastAsia="en-GB"/>
        </w:rPr>
        <w:t>This court is not bound by that decision. To the extent that the above passages frame a statement of principle on rule 30(2)(b), I respectfully disagree with it.</w:t>
      </w:r>
    </w:p>
    <w:p w14:paraId="1A99F5D4" w14:textId="69A01083" w:rsidR="00136F73" w:rsidRPr="00291BC3" w:rsidRDefault="00FC396E" w:rsidP="00FC396E">
      <w:pPr>
        <w:pStyle w:val="JudgmentNumbered"/>
        <w:numPr>
          <w:ilvl w:val="0"/>
          <w:numId w:val="0"/>
        </w:numPr>
        <w:ind w:left="567" w:hanging="567"/>
        <w:rPr>
          <w:lang w:eastAsia="en-GB"/>
        </w:rPr>
      </w:pPr>
      <w:r w:rsidRPr="00291BC3">
        <w:rPr>
          <w:lang w:eastAsia="en-GB"/>
        </w:rPr>
        <w:t>[53]</w:t>
      </w:r>
      <w:r w:rsidRPr="00291BC3">
        <w:rPr>
          <w:lang w:eastAsia="en-GB"/>
        </w:rPr>
        <w:tab/>
      </w:r>
      <w:r w:rsidR="00136F73" w:rsidRPr="00291BC3">
        <w:rPr>
          <w:lang w:eastAsia="en-GB"/>
        </w:rPr>
        <w:t>The preferable position is that, in the light of the principles set out above, the court</w:t>
      </w:r>
      <w:r w:rsidR="00845118" w:rsidRPr="00291BC3">
        <w:rPr>
          <w:lang w:eastAsia="en-GB"/>
        </w:rPr>
        <w:t>, which</w:t>
      </w:r>
      <w:r w:rsidR="00136F73" w:rsidRPr="00291BC3">
        <w:rPr>
          <w:lang w:eastAsia="en-GB"/>
        </w:rPr>
        <w:t xml:space="preserve"> is not there for the rules</w:t>
      </w:r>
      <w:r w:rsidR="00845118" w:rsidRPr="00291BC3">
        <w:rPr>
          <w:lang w:eastAsia="en-GB"/>
        </w:rPr>
        <w:t xml:space="preserve"> and </w:t>
      </w:r>
      <w:r w:rsidR="00136F73" w:rsidRPr="00291BC3">
        <w:rPr>
          <w:lang w:eastAsia="en-GB"/>
        </w:rPr>
        <w:t>which has an inherent power under section 173 of the Constitution to regulate its own process</w:t>
      </w:r>
      <w:r w:rsidR="00845118" w:rsidRPr="00291BC3">
        <w:rPr>
          <w:lang w:eastAsia="en-GB"/>
        </w:rPr>
        <w:t>,</w:t>
      </w:r>
      <w:r w:rsidR="00136F73" w:rsidRPr="00291BC3">
        <w:rPr>
          <w:lang w:eastAsia="en-GB"/>
        </w:rPr>
        <w:t xml:space="preserve"> </w:t>
      </w:r>
      <w:r w:rsidR="00845118" w:rsidRPr="00291BC3">
        <w:rPr>
          <w:lang w:eastAsia="en-GB"/>
        </w:rPr>
        <w:t>has the power i</w:t>
      </w:r>
      <w:r w:rsidR="00136F73" w:rsidRPr="00291BC3">
        <w:rPr>
          <w:lang w:eastAsia="en-GB"/>
        </w:rPr>
        <w:t xml:space="preserve">n appropriate cases to waive compliance with the Uniform Rules or to raise the question of condonation </w:t>
      </w:r>
      <w:r w:rsidR="00136F73" w:rsidRPr="00291BC3">
        <w:rPr>
          <w:i/>
          <w:iCs/>
          <w:lang w:eastAsia="en-GB"/>
        </w:rPr>
        <w:t>mero motu</w:t>
      </w:r>
      <w:r w:rsidR="00136F73" w:rsidRPr="00291BC3">
        <w:rPr>
          <w:lang w:eastAsia="en-GB"/>
        </w:rPr>
        <w:t>.</w:t>
      </w:r>
    </w:p>
    <w:p w14:paraId="593BA25F" w14:textId="6D3D7435" w:rsidR="00B06275" w:rsidRPr="00291BC3" w:rsidRDefault="00FC396E" w:rsidP="00FC396E">
      <w:pPr>
        <w:pStyle w:val="JudgmentNumbered"/>
        <w:numPr>
          <w:ilvl w:val="0"/>
          <w:numId w:val="0"/>
        </w:numPr>
        <w:ind w:left="567" w:hanging="567"/>
        <w:rPr>
          <w:lang w:eastAsia="en-GB"/>
        </w:rPr>
      </w:pPr>
      <w:r w:rsidRPr="00291BC3">
        <w:rPr>
          <w:lang w:eastAsia="en-GB"/>
        </w:rPr>
        <w:t>[54]</w:t>
      </w:r>
      <w:r w:rsidRPr="00291BC3">
        <w:rPr>
          <w:lang w:eastAsia="en-GB"/>
        </w:rPr>
        <w:tab/>
      </w:r>
      <w:r w:rsidR="00136F73" w:rsidRPr="00291BC3">
        <w:rPr>
          <w:lang w:eastAsia="en-GB"/>
        </w:rPr>
        <w:t xml:space="preserve">Much will depend on the facts of a given case. The above statement should certainly not be construed as licence for litigants to overstep the Uniform Rules only in due course, condonation not having been sought on oath, to fall upon the mercy of the court in argument. Yet, in my view, the position adopted in </w:t>
      </w:r>
      <w:r w:rsidR="00136F73" w:rsidRPr="00291BC3">
        <w:rPr>
          <w:i/>
          <w:iCs/>
          <w:lang w:eastAsia="en-GB"/>
        </w:rPr>
        <w:t>Lekwa Local Municipality</w:t>
      </w:r>
      <w:r w:rsidR="00136F73" w:rsidRPr="00291BC3">
        <w:rPr>
          <w:lang w:eastAsia="en-GB"/>
        </w:rPr>
        <w:t xml:space="preserve"> goes too far in the other direction.</w:t>
      </w:r>
    </w:p>
    <w:p w14:paraId="054601F3" w14:textId="16A0D795" w:rsidR="00714341" w:rsidRPr="00291BC3" w:rsidRDefault="004A2BD8" w:rsidP="000364DD">
      <w:pPr>
        <w:pStyle w:val="JudgmentNumbered"/>
        <w:keepNext/>
        <w:numPr>
          <w:ilvl w:val="0"/>
          <w:numId w:val="0"/>
        </w:numPr>
        <w:rPr>
          <w:b/>
          <w:bCs/>
          <w:szCs w:val="24"/>
        </w:rPr>
      </w:pPr>
      <w:r w:rsidRPr="00291BC3">
        <w:rPr>
          <w:b/>
          <w:bCs/>
          <w:szCs w:val="24"/>
        </w:rPr>
        <w:t>ANALYSIS</w:t>
      </w:r>
    </w:p>
    <w:p w14:paraId="780C807F" w14:textId="00523810" w:rsidR="005F65CB" w:rsidRPr="00291BC3" w:rsidRDefault="00FC396E" w:rsidP="00FC396E">
      <w:pPr>
        <w:pStyle w:val="JudgmentNumbered"/>
        <w:numPr>
          <w:ilvl w:val="0"/>
          <w:numId w:val="0"/>
        </w:numPr>
        <w:ind w:left="567" w:hanging="567"/>
        <w:rPr>
          <w:szCs w:val="24"/>
        </w:rPr>
      </w:pPr>
      <w:r w:rsidRPr="00291BC3">
        <w:rPr>
          <w:szCs w:val="24"/>
        </w:rPr>
        <w:t>[55]</w:t>
      </w:r>
      <w:r w:rsidRPr="00291BC3">
        <w:rPr>
          <w:szCs w:val="24"/>
        </w:rPr>
        <w:tab/>
      </w:r>
      <w:r w:rsidR="005F65CB" w:rsidRPr="00291BC3">
        <w:rPr>
          <w:szCs w:val="24"/>
        </w:rPr>
        <w:t xml:space="preserve">Accordingly, I am first to decide whether this application is properly before me, despite condonation not having been sought for the late delivery of </w:t>
      </w:r>
      <w:r w:rsidR="005065FD" w:rsidRPr="00291BC3">
        <w:rPr>
          <w:szCs w:val="24"/>
        </w:rPr>
        <w:t xml:space="preserve">MTN’s </w:t>
      </w:r>
      <w:r w:rsidR="005F65CB" w:rsidRPr="00291BC3">
        <w:rPr>
          <w:szCs w:val="24"/>
        </w:rPr>
        <w:t>notice under rule 30(2)(b). Next, I am to decide whether a case has been made out for the relief the applicant seeks, namely the setting aside of the delivery of the document of 25 April 2022 as an irregular step. The latter includes whether a case has been made out for the condonation that is indeed explicitly sought, namely the late bringing of this application.</w:t>
      </w:r>
    </w:p>
    <w:p w14:paraId="7D02C29D" w14:textId="1930CDC2" w:rsidR="00BA17D5" w:rsidRPr="00291BC3" w:rsidRDefault="00FC396E" w:rsidP="00FC396E">
      <w:pPr>
        <w:pStyle w:val="JudgmentNumbered"/>
        <w:numPr>
          <w:ilvl w:val="0"/>
          <w:numId w:val="0"/>
        </w:numPr>
        <w:ind w:left="567" w:hanging="567"/>
        <w:rPr>
          <w:szCs w:val="24"/>
        </w:rPr>
      </w:pPr>
      <w:r w:rsidRPr="00291BC3">
        <w:rPr>
          <w:szCs w:val="24"/>
        </w:rPr>
        <w:t>[56]</w:t>
      </w:r>
      <w:r w:rsidRPr="00291BC3">
        <w:rPr>
          <w:szCs w:val="24"/>
        </w:rPr>
        <w:tab/>
      </w:r>
      <w:r w:rsidR="00BA17D5" w:rsidRPr="00291BC3">
        <w:rPr>
          <w:szCs w:val="24"/>
        </w:rPr>
        <w:t>As I say above, i</w:t>
      </w:r>
      <w:r w:rsidR="005F65CB" w:rsidRPr="00291BC3">
        <w:rPr>
          <w:szCs w:val="24"/>
        </w:rPr>
        <w:t xml:space="preserve">n my view, under the inherent power of this court to regulate its own process, it can indeed </w:t>
      </w:r>
      <w:r w:rsidR="00BA17D5" w:rsidRPr="00291BC3">
        <w:rPr>
          <w:szCs w:val="24"/>
        </w:rPr>
        <w:t xml:space="preserve">waive compliance with a rule or consider </w:t>
      </w:r>
      <w:r w:rsidR="00BA17D5" w:rsidRPr="00291BC3">
        <w:rPr>
          <w:i/>
          <w:iCs/>
          <w:szCs w:val="24"/>
        </w:rPr>
        <w:t>mero motu</w:t>
      </w:r>
      <w:r w:rsidR="00BA17D5" w:rsidRPr="00291BC3">
        <w:rPr>
          <w:szCs w:val="24"/>
        </w:rPr>
        <w:t xml:space="preserve"> </w:t>
      </w:r>
      <w:r w:rsidR="00BA17D5" w:rsidRPr="00291BC3">
        <w:rPr>
          <w:szCs w:val="24"/>
        </w:rPr>
        <w:lastRenderedPageBreak/>
        <w:t>whether condonation ought to be granted, which are different ways of saying essentially the same thing.</w:t>
      </w:r>
    </w:p>
    <w:p w14:paraId="3F24B34F" w14:textId="566C70D0" w:rsidR="00BA17D5" w:rsidRPr="00291BC3" w:rsidRDefault="00FC396E" w:rsidP="00FC396E">
      <w:pPr>
        <w:pStyle w:val="JudgmentNumbered"/>
        <w:numPr>
          <w:ilvl w:val="0"/>
          <w:numId w:val="0"/>
        </w:numPr>
        <w:ind w:left="567" w:hanging="567"/>
        <w:rPr>
          <w:szCs w:val="24"/>
        </w:rPr>
      </w:pPr>
      <w:r w:rsidRPr="00291BC3">
        <w:rPr>
          <w:szCs w:val="24"/>
        </w:rPr>
        <w:t>[57]</w:t>
      </w:r>
      <w:r w:rsidRPr="00291BC3">
        <w:rPr>
          <w:szCs w:val="24"/>
        </w:rPr>
        <w:tab/>
      </w:r>
      <w:r w:rsidR="00BA17D5" w:rsidRPr="00291BC3">
        <w:rPr>
          <w:szCs w:val="24"/>
        </w:rPr>
        <w:t xml:space="preserve">On these facts, I am inclined to exercise that power. </w:t>
      </w:r>
      <w:r w:rsidR="005065FD" w:rsidRPr="00291BC3">
        <w:rPr>
          <w:szCs w:val="24"/>
        </w:rPr>
        <w:t xml:space="preserve">MTN’s </w:t>
      </w:r>
      <w:r w:rsidR="00BA17D5" w:rsidRPr="00291BC3">
        <w:rPr>
          <w:szCs w:val="24"/>
        </w:rPr>
        <w:t xml:space="preserve">notice under rule 30(2)(b) was delivered only about nine days out of time. The plaintiff did not take issue with the late delivery of the notice (either </w:t>
      </w:r>
      <w:r w:rsidR="00845118" w:rsidRPr="00291BC3">
        <w:rPr>
          <w:szCs w:val="24"/>
        </w:rPr>
        <w:t>under</w:t>
      </w:r>
      <w:r w:rsidR="00BA17D5" w:rsidRPr="00291BC3">
        <w:rPr>
          <w:szCs w:val="24"/>
        </w:rPr>
        <w:t xml:space="preserve"> rule 30 or in his answering affidavit). Even if he had, it is hard to imagine any cognisable prejudice he might have raised.</w:t>
      </w:r>
    </w:p>
    <w:p w14:paraId="5A2D7B26" w14:textId="60C3E671" w:rsidR="005F65CB" w:rsidRPr="00291BC3" w:rsidRDefault="00FC396E" w:rsidP="00FC396E">
      <w:pPr>
        <w:pStyle w:val="JudgmentNumbered"/>
        <w:numPr>
          <w:ilvl w:val="0"/>
          <w:numId w:val="0"/>
        </w:numPr>
        <w:ind w:left="567" w:hanging="567"/>
        <w:rPr>
          <w:szCs w:val="24"/>
        </w:rPr>
      </w:pPr>
      <w:r w:rsidRPr="00291BC3">
        <w:rPr>
          <w:szCs w:val="24"/>
        </w:rPr>
        <w:t>[58]</w:t>
      </w:r>
      <w:r w:rsidRPr="00291BC3">
        <w:rPr>
          <w:szCs w:val="24"/>
        </w:rPr>
        <w:tab/>
      </w:r>
      <w:r w:rsidR="00BA17D5" w:rsidRPr="00291BC3">
        <w:rPr>
          <w:szCs w:val="24"/>
        </w:rPr>
        <w:t xml:space="preserve">What is more, the papers in this application were exchanged and all the other steps had been taken to obtain a hearing from this court, at the considerable expense of both parties and also to the public purse. In the words of Wepener J in </w:t>
      </w:r>
      <w:r w:rsidR="00BA17D5" w:rsidRPr="00291BC3">
        <w:rPr>
          <w:i/>
          <w:iCs/>
          <w:szCs w:val="24"/>
        </w:rPr>
        <w:t>Pangbourne Properties</w:t>
      </w:r>
      <w:r w:rsidR="00BA17D5" w:rsidRPr="00291BC3">
        <w:rPr>
          <w:szCs w:val="24"/>
        </w:rPr>
        <w:t xml:space="preserve">, I </w:t>
      </w:r>
      <w:r w:rsidR="00387ECB" w:rsidRPr="00291BC3">
        <w:rPr>
          <w:szCs w:val="24"/>
        </w:rPr>
        <w:t>am thus inclined “</w:t>
      </w:r>
      <w:r w:rsidR="00BA17D5" w:rsidRPr="00291BC3">
        <w:rPr>
          <w:i/>
          <w:iCs/>
          <w:szCs w:val="24"/>
        </w:rPr>
        <w:t>in order to decide the merits of the dispute between the parties unfettered by technicalities</w:t>
      </w:r>
      <w:r w:rsidR="00387ECB" w:rsidRPr="00291BC3">
        <w:rPr>
          <w:szCs w:val="24"/>
        </w:rPr>
        <w:t>”.</w:t>
      </w:r>
    </w:p>
    <w:p w14:paraId="39E2B292" w14:textId="3EF53A21" w:rsidR="00387ECB" w:rsidRPr="00291BC3" w:rsidRDefault="00FC396E" w:rsidP="00FC396E">
      <w:pPr>
        <w:pStyle w:val="JudgmentNumbered"/>
        <w:numPr>
          <w:ilvl w:val="0"/>
          <w:numId w:val="0"/>
        </w:numPr>
        <w:ind w:left="567" w:hanging="567"/>
        <w:rPr>
          <w:szCs w:val="24"/>
        </w:rPr>
      </w:pPr>
      <w:r w:rsidRPr="00291BC3">
        <w:rPr>
          <w:szCs w:val="24"/>
        </w:rPr>
        <w:t>[59]</w:t>
      </w:r>
      <w:r w:rsidRPr="00291BC3">
        <w:rPr>
          <w:szCs w:val="24"/>
        </w:rPr>
        <w:tab/>
      </w:r>
      <w:r w:rsidR="00387ECB" w:rsidRPr="00291BC3">
        <w:rPr>
          <w:szCs w:val="24"/>
        </w:rPr>
        <w:t xml:space="preserve">At this stage of my analysis, I also take account of the fact that, by any standard, the document of 25 April 2022 is of such a singular nature that it falls far outside anything the Uniform Rules might at this juncture countenance. Far from advancing the principle of access to the courts that the Uniform Rules serve, its delivery works against </w:t>
      </w:r>
      <w:r w:rsidR="00845118" w:rsidRPr="00291BC3">
        <w:rPr>
          <w:szCs w:val="24"/>
        </w:rPr>
        <w:t>it</w:t>
      </w:r>
      <w:r w:rsidR="00387ECB" w:rsidRPr="00291BC3">
        <w:rPr>
          <w:szCs w:val="24"/>
        </w:rPr>
        <w:t xml:space="preserve">, making it harder for the parties and for this court properly to adjudicate the very claim that the plaintiff as </w:t>
      </w:r>
      <w:r w:rsidR="00387ECB" w:rsidRPr="00291BC3">
        <w:rPr>
          <w:i/>
          <w:iCs/>
          <w:szCs w:val="24"/>
        </w:rPr>
        <w:t>dominus litis</w:t>
      </w:r>
      <w:r w:rsidR="00387ECB" w:rsidRPr="00291BC3">
        <w:rPr>
          <w:szCs w:val="24"/>
        </w:rPr>
        <w:t xml:space="preserve"> wants to see resolved.</w:t>
      </w:r>
    </w:p>
    <w:p w14:paraId="4C1E4F65" w14:textId="5C40D9ED" w:rsidR="00387ECB" w:rsidRPr="00291BC3" w:rsidRDefault="00FC396E" w:rsidP="00FC396E">
      <w:pPr>
        <w:pStyle w:val="JudgmentNumbered"/>
        <w:numPr>
          <w:ilvl w:val="0"/>
          <w:numId w:val="0"/>
        </w:numPr>
        <w:ind w:left="567" w:hanging="567"/>
        <w:rPr>
          <w:szCs w:val="24"/>
        </w:rPr>
      </w:pPr>
      <w:r w:rsidRPr="00291BC3">
        <w:rPr>
          <w:szCs w:val="24"/>
        </w:rPr>
        <w:t>[60]</w:t>
      </w:r>
      <w:r w:rsidRPr="00291BC3">
        <w:rPr>
          <w:szCs w:val="24"/>
        </w:rPr>
        <w:tab/>
      </w:r>
      <w:r w:rsidR="00387ECB" w:rsidRPr="00291BC3">
        <w:rPr>
          <w:szCs w:val="24"/>
        </w:rPr>
        <w:t xml:space="preserve">It is for these reasons that I consider it appropriate and necessary for this court to exercise its inherent power </w:t>
      </w:r>
      <w:r w:rsidR="00387ECB" w:rsidRPr="00291BC3">
        <w:rPr>
          <w:i/>
          <w:iCs/>
          <w:szCs w:val="24"/>
        </w:rPr>
        <w:t>mero motu</w:t>
      </w:r>
      <w:r w:rsidR="00387ECB" w:rsidRPr="00291BC3">
        <w:rPr>
          <w:szCs w:val="24"/>
        </w:rPr>
        <w:t xml:space="preserve"> to condone the lateness of the rule 30(2)(b) notice.</w:t>
      </w:r>
      <w:r w:rsidR="00A23692" w:rsidRPr="00291BC3">
        <w:rPr>
          <w:szCs w:val="24"/>
        </w:rPr>
        <w:t xml:space="preserve"> It is in the interests of justice to do so.</w:t>
      </w:r>
    </w:p>
    <w:p w14:paraId="6C75AD9B" w14:textId="28C3026D" w:rsidR="00387ECB" w:rsidRPr="00291BC3" w:rsidRDefault="00FC396E" w:rsidP="00FC396E">
      <w:pPr>
        <w:pStyle w:val="JudgmentNumbered"/>
        <w:numPr>
          <w:ilvl w:val="0"/>
          <w:numId w:val="0"/>
        </w:numPr>
        <w:ind w:left="567" w:hanging="567"/>
        <w:rPr>
          <w:szCs w:val="24"/>
        </w:rPr>
      </w:pPr>
      <w:r w:rsidRPr="00291BC3">
        <w:rPr>
          <w:szCs w:val="24"/>
        </w:rPr>
        <w:t>[61]</w:t>
      </w:r>
      <w:r w:rsidRPr="00291BC3">
        <w:rPr>
          <w:szCs w:val="24"/>
        </w:rPr>
        <w:tab/>
      </w:r>
      <w:r w:rsidR="00387ECB" w:rsidRPr="00291BC3">
        <w:rPr>
          <w:szCs w:val="24"/>
        </w:rPr>
        <w:t xml:space="preserve">I </w:t>
      </w:r>
      <w:r w:rsidR="005065FD" w:rsidRPr="00291BC3">
        <w:rPr>
          <w:szCs w:val="24"/>
        </w:rPr>
        <w:t>now</w:t>
      </w:r>
      <w:r w:rsidR="00387ECB" w:rsidRPr="00291BC3">
        <w:rPr>
          <w:szCs w:val="24"/>
        </w:rPr>
        <w:t xml:space="preserve"> </w:t>
      </w:r>
      <w:r w:rsidR="00845118" w:rsidRPr="00291BC3">
        <w:rPr>
          <w:szCs w:val="24"/>
        </w:rPr>
        <w:t>turn</w:t>
      </w:r>
      <w:r w:rsidR="00387ECB" w:rsidRPr="00291BC3">
        <w:rPr>
          <w:szCs w:val="24"/>
        </w:rPr>
        <w:t xml:space="preserve"> to the question of the condonation that is sought for the late delivery of the application. It was seventeen days out of time.</w:t>
      </w:r>
    </w:p>
    <w:p w14:paraId="5D2840E2" w14:textId="38261A12" w:rsidR="00714341" w:rsidRPr="00291BC3" w:rsidRDefault="00FC396E" w:rsidP="00FC396E">
      <w:pPr>
        <w:pStyle w:val="JudgmentNumbered"/>
        <w:numPr>
          <w:ilvl w:val="0"/>
          <w:numId w:val="0"/>
        </w:numPr>
        <w:ind w:left="567" w:hanging="567"/>
        <w:rPr>
          <w:szCs w:val="24"/>
        </w:rPr>
      </w:pPr>
      <w:r w:rsidRPr="00291BC3">
        <w:rPr>
          <w:szCs w:val="24"/>
        </w:rPr>
        <w:t>[62]</w:t>
      </w:r>
      <w:r w:rsidRPr="00291BC3">
        <w:rPr>
          <w:szCs w:val="24"/>
        </w:rPr>
        <w:tab/>
      </w:r>
      <w:r w:rsidR="005065FD" w:rsidRPr="00291BC3">
        <w:rPr>
          <w:szCs w:val="24"/>
        </w:rPr>
        <w:t xml:space="preserve">MTN </w:t>
      </w:r>
      <w:r w:rsidR="001D716E" w:rsidRPr="00291BC3">
        <w:rPr>
          <w:szCs w:val="24"/>
        </w:rPr>
        <w:t>explains that it required time to consider the voluminous documents delivered by the plaintiff on 25 April and 3 June 2022, which “</w:t>
      </w:r>
      <w:r w:rsidR="001D716E" w:rsidRPr="00291BC3">
        <w:rPr>
          <w:i/>
          <w:iCs/>
          <w:szCs w:val="24"/>
        </w:rPr>
        <w:t>contained voluminous annexures in which numerous judgments were referred to.</w:t>
      </w:r>
      <w:r w:rsidR="00974651" w:rsidRPr="00291BC3">
        <w:rPr>
          <w:szCs w:val="24"/>
        </w:rPr>
        <w:t>” And:</w:t>
      </w:r>
      <w:r w:rsidR="001D716E" w:rsidRPr="00291BC3">
        <w:rPr>
          <w:szCs w:val="24"/>
        </w:rPr>
        <w:t xml:space="preserve"> </w:t>
      </w:r>
      <w:r w:rsidR="00974651" w:rsidRPr="00291BC3">
        <w:rPr>
          <w:szCs w:val="24"/>
        </w:rPr>
        <w:t>“</w:t>
      </w:r>
      <w:r w:rsidR="001D716E" w:rsidRPr="00291BC3">
        <w:rPr>
          <w:i/>
          <w:iCs/>
          <w:szCs w:val="24"/>
        </w:rPr>
        <w:t>Upon their receipt, the Defendant had to carefully consider its response to these Notices</w:t>
      </w:r>
      <w:r w:rsidR="001D716E" w:rsidRPr="00291BC3">
        <w:rPr>
          <w:szCs w:val="24"/>
        </w:rPr>
        <w:t>.”</w:t>
      </w:r>
      <w:r w:rsidR="005065FD" w:rsidRPr="00291BC3">
        <w:rPr>
          <w:szCs w:val="24"/>
        </w:rPr>
        <w:t xml:space="preserve"> (While not directly relevant for present purposes, it is not clear to me </w:t>
      </w:r>
      <w:r w:rsidR="005065FD" w:rsidRPr="00291BC3">
        <w:rPr>
          <w:szCs w:val="24"/>
        </w:rPr>
        <w:lastRenderedPageBreak/>
        <w:t>whether any steps have been taken in respect of the plaintiff’s document of 3</w:t>
      </w:r>
      <w:r w:rsidR="00136F73" w:rsidRPr="00291BC3">
        <w:rPr>
          <w:szCs w:val="24"/>
        </w:rPr>
        <w:t> </w:t>
      </w:r>
      <w:r w:rsidR="005065FD" w:rsidRPr="00291BC3">
        <w:rPr>
          <w:szCs w:val="24"/>
        </w:rPr>
        <w:t>June 2022.)</w:t>
      </w:r>
    </w:p>
    <w:p w14:paraId="4E3A2AA1" w14:textId="7B02DEB1" w:rsidR="001D716E" w:rsidRPr="00291BC3" w:rsidRDefault="00FC396E" w:rsidP="00FC396E">
      <w:pPr>
        <w:pStyle w:val="JudgmentNumbered"/>
        <w:numPr>
          <w:ilvl w:val="0"/>
          <w:numId w:val="0"/>
        </w:numPr>
        <w:ind w:left="567" w:hanging="567"/>
        <w:rPr>
          <w:szCs w:val="24"/>
        </w:rPr>
      </w:pPr>
      <w:r w:rsidRPr="00291BC3">
        <w:rPr>
          <w:szCs w:val="24"/>
        </w:rPr>
        <w:t>[63]</w:t>
      </w:r>
      <w:r w:rsidRPr="00291BC3">
        <w:rPr>
          <w:szCs w:val="24"/>
        </w:rPr>
        <w:tab/>
      </w:r>
      <w:r w:rsidR="005065FD" w:rsidRPr="00291BC3">
        <w:rPr>
          <w:szCs w:val="24"/>
        </w:rPr>
        <w:t>MTN</w:t>
      </w:r>
      <w:r w:rsidR="001D716E" w:rsidRPr="00291BC3">
        <w:rPr>
          <w:szCs w:val="24"/>
        </w:rPr>
        <w:t xml:space="preserve"> goes on to say that </w:t>
      </w:r>
      <w:r w:rsidR="005065FD" w:rsidRPr="00291BC3">
        <w:rPr>
          <w:szCs w:val="24"/>
        </w:rPr>
        <w:t xml:space="preserve">it </w:t>
      </w:r>
      <w:r w:rsidR="001D716E" w:rsidRPr="00291BC3">
        <w:rPr>
          <w:szCs w:val="24"/>
        </w:rPr>
        <w:t>ha</w:t>
      </w:r>
      <w:r w:rsidR="005065FD" w:rsidRPr="00291BC3">
        <w:rPr>
          <w:szCs w:val="24"/>
        </w:rPr>
        <w:t>d</w:t>
      </w:r>
      <w:r w:rsidR="001D716E" w:rsidRPr="00291BC3">
        <w:rPr>
          <w:szCs w:val="24"/>
        </w:rPr>
        <w:t xml:space="preserve"> not objected previously to the lateness of the plaintiff’s replication to its special pleas and plea.</w:t>
      </w:r>
      <w:r w:rsidR="005541B5" w:rsidRPr="00291BC3">
        <w:rPr>
          <w:szCs w:val="24"/>
        </w:rPr>
        <w:t xml:space="preserve"> </w:t>
      </w:r>
      <w:r w:rsidR="005065FD" w:rsidRPr="00291BC3">
        <w:rPr>
          <w:szCs w:val="24"/>
        </w:rPr>
        <w:t>I</w:t>
      </w:r>
      <w:r w:rsidR="005541B5" w:rsidRPr="00291BC3">
        <w:rPr>
          <w:szCs w:val="24"/>
        </w:rPr>
        <w:t>t says</w:t>
      </w:r>
      <w:r w:rsidR="005065FD" w:rsidRPr="00291BC3">
        <w:rPr>
          <w:szCs w:val="24"/>
        </w:rPr>
        <w:t xml:space="preserve"> that</w:t>
      </w:r>
      <w:r w:rsidR="005541B5" w:rsidRPr="00291BC3">
        <w:rPr>
          <w:szCs w:val="24"/>
        </w:rPr>
        <w:t xml:space="preserve"> it chose </w:t>
      </w:r>
      <w:r w:rsidR="00845118" w:rsidRPr="00291BC3">
        <w:rPr>
          <w:szCs w:val="24"/>
        </w:rPr>
        <w:t xml:space="preserve">not </w:t>
      </w:r>
      <w:r w:rsidR="005541B5" w:rsidRPr="00291BC3">
        <w:rPr>
          <w:szCs w:val="24"/>
        </w:rPr>
        <w:t xml:space="preserve">to do </w:t>
      </w:r>
      <w:r w:rsidR="00845118" w:rsidRPr="00291BC3">
        <w:rPr>
          <w:szCs w:val="24"/>
        </w:rPr>
        <w:t xml:space="preserve">so </w:t>
      </w:r>
      <w:r w:rsidR="005541B5" w:rsidRPr="00291BC3">
        <w:rPr>
          <w:szCs w:val="24"/>
        </w:rPr>
        <w:t>since, after consideration, it “</w:t>
      </w:r>
      <w:r w:rsidR="005541B5" w:rsidRPr="00291BC3">
        <w:rPr>
          <w:i/>
          <w:iCs/>
          <w:szCs w:val="24"/>
        </w:rPr>
        <w:t>concluded that it would suffer no prejudice as a result of the late filing</w:t>
      </w:r>
      <w:r w:rsidR="005541B5" w:rsidRPr="00291BC3">
        <w:rPr>
          <w:szCs w:val="24"/>
        </w:rPr>
        <w:t>”.</w:t>
      </w:r>
    </w:p>
    <w:p w14:paraId="1A807960" w14:textId="2CACC4B3" w:rsidR="005541B5" w:rsidRPr="00291BC3" w:rsidRDefault="00FC396E" w:rsidP="00FC396E">
      <w:pPr>
        <w:pStyle w:val="JudgmentNumbered"/>
        <w:keepNext/>
        <w:numPr>
          <w:ilvl w:val="0"/>
          <w:numId w:val="0"/>
        </w:numPr>
        <w:ind w:left="567" w:hanging="567"/>
        <w:rPr>
          <w:szCs w:val="24"/>
        </w:rPr>
      </w:pPr>
      <w:r w:rsidRPr="00291BC3">
        <w:rPr>
          <w:szCs w:val="24"/>
        </w:rPr>
        <w:t>[64]</w:t>
      </w:r>
      <w:r w:rsidRPr="00291BC3">
        <w:rPr>
          <w:szCs w:val="24"/>
        </w:rPr>
        <w:tab/>
      </w:r>
      <w:r w:rsidR="005065FD" w:rsidRPr="00291BC3">
        <w:rPr>
          <w:szCs w:val="24"/>
        </w:rPr>
        <w:t>MTN</w:t>
      </w:r>
      <w:r w:rsidR="005541B5" w:rsidRPr="00291BC3">
        <w:rPr>
          <w:szCs w:val="24"/>
        </w:rPr>
        <w:t xml:space="preserve"> adds:</w:t>
      </w:r>
    </w:p>
    <w:p w14:paraId="6BB392CE" w14:textId="0429EEF9" w:rsidR="00974651" w:rsidRPr="00291BC3" w:rsidRDefault="005541B5" w:rsidP="000364DD">
      <w:pPr>
        <w:pStyle w:val="JudgmentNumbered"/>
        <w:numPr>
          <w:ilvl w:val="0"/>
          <w:numId w:val="0"/>
        </w:numPr>
        <w:spacing w:after="0" w:line="240" w:lineRule="auto"/>
        <w:ind w:left="1418" w:right="851"/>
        <w:rPr>
          <w:i/>
          <w:iCs/>
          <w:szCs w:val="24"/>
        </w:rPr>
      </w:pPr>
      <w:r w:rsidRPr="00291BC3">
        <w:rPr>
          <w:szCs w:val="24"/>
        </w:rPr>
        <w:t>“</w:t>
      </w:r>
      <w:r w:rsidRPr="00291BC3">
        <w:rPr>
          <w:i/>
          <w:iCs/>
          <w:szCs w:val="24"/>
        </w:rPr>
        <w:t>A similar approach and assessment preceded the final decision to proceed with this application. The Defendant had to consider, amongs</w:t>
      </w:r>
      <w:r w:rsidR="00387ECB" w:rsidRPr="00291BC3">
        <w:rPr>
          <w:i/>
          <w:iCs/>
          <w:szCs w:val="24"/>
        </w:rPr>
        <w:t>t</w:t>
      </w:r>
      <w:r w:rsidRPr="00291BC3">
        <w:rPr>
          <w:i/>
          <w:iCs/>
          <w:szCs w:val="24"/>
        </w:rPr>
        <w:t xml:space="preserve"> others, the various notices and processes that have been served on it by the Plaintiff to determine whether this application would still be proceeded with. The fact that the Plaintiff is not legally represented and that some erro</w:t>
      </w:r>
      <w:r w:rsidR="00387ECB" w:rsidRPr="00291BC3">
        <w:rPr>
          <w:i/>
          <w:iCs/>
          <w:szCs w:val="24"/>
        </w:rPr>
        <w:t>r</w:t>
      </w:r>
      <w:r w:rsidRPr="00291BC3">
        <w:rPr>
          <w:i/>
          <w:iCs/>
          <w:szCs w:val="24"/>
        </w:rPr>
        <w:t>s in processes filed by him may be explicable required the Defendant to carefully consider whether to proceed with this application.</w:t>
      </w:r>
    </w:p>
    <w:p w14:paraId="6C3ACA5A" w14:textId="5F11F2E9" w:rsidR="005541B5" w:rsidRPr="00291BC3" w:rsidRDefault="005541B5" w:rsidP="000364DD">
      <w:pPr>
        <w:pStyle w:val="JudgmentNumbered"/>
        <w:numPr>
          <w:ilvl w:val="0"/>
          <w:numId w:val="0"/>
        </w:numPr>
        <w:spacing w:after="0" w:line="240" w:lineRule="auto"/>
        <w:ind w:left="1418" w:right="851" w:firstLine="720"/>
        <w:rPr>
          <w:i/>
          <w:iCs/>
          <w:szCs w:val="24"/>
        </w:rPr>
      </w:pPr>
      <w:r w:rsidRPr="00291BC3">
        <w:rPr>
          <w:i/>
          <w:iCs/>
          <w:szCs w:val="24"/>
        </w:rPr>
        <w:t>The process included consultations between our office, client and Counsel. I asser</w:t>
      </w:r>
      <w:r w:rsidR="00387ECB" w:rsidRPr="00291BC3">
        <w:rPr>
          <w:i/>
          <w:iCs/>
          <w:szCs w:val="24"/>
        </w:rPr>
        <w:t>t</w:t>
      </w:r>
      <w:r w:rsidRPr="00291BC3">
        <w:rPr>
          <w:i/>
          <w:iCs/>
          <w:szCs w:val="24"/>
        </w:rPr>
        <w:t xml:space="preserve"> that the nature of the papers filed by the Plaintiff are not ordinarily filed in action proceedings and they are at times convoluted and indeed confusing. All processes required careful consideration before being actioned upon.</w:t>
      </w:r>
    </w:p>
    <w:p w14:paraId="489751E0" w14:textId="41133787" w:rsidR="001D716E" w:rsidRPr="00291BC3" w:rsidRDefault="005541B5" w:rsidP="000364DD">
      <w:pPr>
        <w:pStyle w:val="JudgmentNumbered"/>
        <w:numPr>
          <w:ilvl w:val="0"/>
          <w:numId w:val="0"/>
        </w:numPr>
        <w:spacing w:after="0" w:line="240" w:lineRule="auto"/>
        <w:ind w:left="1418" w:right="851" w:firstLine="720"/>
        <w:rPr>
          <w:szCs w:val="24"/>
        </w:rPr>
      </w:pPr>
      <w:r w:rsidRPr="00291BC3">
        <w:rPr>
          <w:i/>
          <w:iCs/>
          <w:szCs w:val="24"/>
        </w:rPr>
        <w:tab/>
        <w:t>In the end, a decision was taken to proceed with the application. The decision to ultimately proceed with the application was taken at a consultation held with Counsel on Thursday 14 July 2022. This affidavit was drafted by counsel and availed to me on the evening of 19 July 2022, and it would be commissioned on 20 July 2022</w:t>
      </w:r>
      <w:r w:rsidRPr="00291BC3">
        <w:rPr>
          <w:szCs w:val="24"/>
        </w:rPr>
        <w:t>.”</w:t>
      </w:r>
    </w:p>
    <w:p w14:paraId="702CD72A" w14:textId="2842FB3B" w:rsidR="001D716E" w:rsidRPr="00291BC3" w:rsidRDefault="00FC396E" w:rsidP="00FC396E">
      <w:pPr>
        <w:pStyle w:val="JudgmentNumbered"/>
        <w:numPr>
          <w:ilvl w:val="0"/>
          <w:numId w:val="0"/>
        </w:numPr>
        <w:spacing w:before="240"/>
        <w:ind w:left="567" w:hanging="567"/>
      </w:pPr>
      <w:r w:rsidRPr="00291BC3">
        <w:t>[65]</w:t>
      </w:r>
      <w:r w:rsidRPr="00291BC3">
        <w:tab/>
      </w:r>
      <w:r w:rsidR="00387ECB" w:rsidRPr="00291BC3">
        <w:t xml:space="preserve">As to prejudice, </w:t>
      </w:r>
      <w:r w:rsidR="005065FD" w:rsidRPr="00291BC3">
        <w:t>MTN</w:t>
      </w:r>
      <w:r w:rsidR="005541B5" w:rsidRPr="00291BC3">
        <w:t xml:space="preserve"> adds:</w:t>
      </w:r>
    </w:p>
    <w:p w14:paraId="5A62385C" w14:textId="5FC7F3E1" w:rsidR="005541B5" w:rsidRPr="00291BC3" w:rsidRDefault="005541B5" w:rsidP="000364DD">
      <w:pPr>
        <w:pStyle w:val="JudgmentNumbered"/>
        <w:numPr>
          <w:ilvl w:val="0"/>
          <w:numId w:val="0"/>
        </w:numPr>
        <w:spacing w:after="0" w:line="240" w:lineRule="auto"/>
        <w:ind w:left="1418" w:right="851"/>
      </w:pPr>
      <w:r w:rsidRPr="00291BC3">
        <w:t>“</w:t>
      </w:r>
      <w:r w:rsidRPr="00291BC3">
        <w:rPr>
          <w:i/>
          <w:iCs/>
        </w:rPr>
        <w:t xml:space="preserve">If the condonation application is not granted and the Rule 30 application is thereby not </w:t>
      </w:r>
      <w:r w:rsidRPr="00291BC3">
        <w:rPr>
          <w:i/>
          <w:iCs/>
          <w:szCs w:val="24"/>
        </w:rPr>
        <w:t>considered</w:t>
      </w:r>
      <w:r w:rsidRPr="00291BC3">
        <w:rPr>
          <w:i/>
          <w:iCs/>
        </w:rPr>
        <w:t>, the Defendant will have to conduct the trial in circumstances where the Plaintiff has filed two replications both of which deal with the merits of the case. The first Replication, save for the excipiable parts of it, is regular. The second one is not. Such an eventuality, where an irregular Replication is allowed to stan</w:t>
      </w:r>
      <w:r w:rsidR="00845118" w:rsidRPr="00291BC3">
        <w:rPr>
          <w:i/>
          <w:iCs/>
        </w:rPr>
        <w:t>d</w:t>
      </w:r>
      <w:r w:rsidRPr="00291BC3">
        <w:rPr>
          <w:i/>
          <w:iCs/>
        </w:rPr>
        <w:t>, will visit incurable prejudice on the Defendant</w:t>
      </w:r>
      <w:r w:rsidRPr="00291BC3">
        <w:t>.”</w:t>
      </w:r>
    </w:p>
    <w:p w14:paraId="03474978" w14:textId="6DEC95FD" w:rsidR="001D716E" w:rsidRPr="00291BC3" w:rsidRDefault="00FC396E" w:rsidP="00FC396E">
      <w:pPr>
        <w:pStyle w:val="JudgmentNumbered"/>
        <w:numPr>
          <w:ilvl w:val="0"/>
          <w:numId w:val="0"/>
        </w:numPr>
        <w:spacing w:before="240"/>
        <w:ind w:left="567" w:hanging="567"/>
      </w:pPr>
      <w:r w:rsidRPr="00291BC3">
        <w:t>[66]</w:t>
      </w:r>
      <w:r w:rsidRPr="00291BC3">
        <w:tab/>
      </w:r>
      <w:r w:rsidR="005541B5" w:rsidRPr="00291BC3">
        <w:t xml:space="preserve">Among </w:t>
      </w:r>
      <w:r w:rsidR="005065FD" w:rsidRPr="00291BC3">
        <w:t>much</w:t>
      </w:r>
      <w:r w:rsidR="00974651" w:rsidRPr="00291BC3">
        <w:t xml:space="preserve"> invective</w:t>
      </w:r>
      <w:r w:rsidR="005065FD" w:rsidRPr="00291BC3">
        <w:t>-laden language</w:t>
      </w:r>
      <w:r w:rsidR="00974651" w:rsidRPr="00291BC3">
        <w:t xml:space="preserve">, </w:t>
      </w:r>
      <w:r w:rsidR="005065FD" w:rsidRPr="00291BC3">
        <w:t xml:space="preserve">in answer </w:t>
      </w:r>
      <w:r w:rsidR="00974651" w:rsidRPr="00291BC3">
        <w:t xml:space="preserve">the plaintiff says this on the condonation </w:t>
      </w:r>
      <w:r w:rsidR="005065FD" w:rsidRPr="00291BC3">
        <w:t>that MTN seeks</w:t>
      </w:r>
      <w:r w:rsidR="00974651" w:rsidRPr="00291BC3">
        <w:t>:</w:t>
      </w:r>
    </w:p>
    <w:p w14:paraId="46DB8B19" w14:textId="425B2A98" w:rsidR="00974651" w:rsidRPr="00291BC3" w:rsidRDefault="00974651" w:rsidP="000364DD">
      <w:pPr>
        <w:pStyle w:val="JudgmentNumbered"/>
        <w:numPr>
          <w:ilvl w:val="0"/>
          <w:numId w:val="0"/>
        </w:numPr>
        <w:spacing w:after="0" w:line="240" w:lineRule="auto"/>
        <w:ind w:left="1418" w:right="851"/>
      </w:pPr>
      <w:r w:rsidRPr="00291BC3">
        <w:t>“</w:t>
      </w:r>
      <w:r w:rsidRPr="00291BC3">
        <w:rPr>
          <w:i/>
          <w:iCs/>
        </w:rPr>
        <w:t xml:space="preserve">I am opposed to the attempt by the Applicant to seek an order condoning the lateness or </w:t>
      </w:r>
      <w:r w:rsidRPr="00291BC3">
        <w:rPr>
          <w:i/>
          <w:iCs/>
          <w:szCs w:val="24"/>
        </w:rPr>
        <w:t>dilatoriness</w:t>
      </w:r>
      <w:r w:rsidRPr="00291BC3">
        <w:rPr>
          <w:i/>
          <w:iCs/>
        </w:rPr>
        <w:t xml:space="preserve"> which is so deliberate, </w:t>
      </w:r>
      <w:r w:rsidRPr="00291BC3">
        <w:rPr>
          <w:i/>
          <w:iCs/>
        </w:rPr>
        <w:lastRenderedPageBreak/>
        <w:t>inexcusable, most arguably, unbecoming of a practising attorney. Most troubling I am a lay litigant unemployed and under resourced as against the Applicant who has been well resourced in civil armory with all financial and operational capabilities and as a good measure, has been able to choose legal practitioners who rake in huge legal fees and otherwise.</w:t>
      </w:r>
      <w:r w:rsidRPr="00291BC3">
        <w:t>”</w:t>
      </w:r>
    </w:p>
    <w:p w14:paraId="5DDDA8D3" w14:textId="52F3CC2C" w:rsidR="00974651" w:rsidRPr="00291BC3" w:rsidRDefault="00FC396E" w:rsidP="00FC396E">
      <w:pPr>
        <w:pStyle w:val="JudgmentNumbered"/>
        <w:numPr>
          <w:ilvl w:val="0"/>
          <w:numId w:val="0"/>
        </w:numPr>
        <w:spacing w:before="240"/>
        <w:ind w:left="567" w:hanging="567"/>
      </w:pPr>
      <w:r w:rsidRPr="00291BC3">
        <w:t>[67]</w:t>
      </w:r>
      <w:r w:rsidRPr="00291BC3">
        <w:tab/>
      </w:r>
      <w:r w:rsidR="00974651" w:rsidRPr="00291BC3">
        <w:t>He also says:</w:t>
      </w:r>
    </w:p>
    <w:p w14:paraId="3AA8994B" w14:textId="62BCB60C" w:rsidR="00974651" w:rsidRPr="00291BC3" w:rsidRDefault="00974651" w:rsidP="000364DD">
      <w:pPr>
        <w:pStyle w:val="JudgmentNumbered"/>
        <w:numPr>
          <w:ilvl w:val="0"/>
          <w:numId w:val="0"/>
        </w:numPr>
        <w:spacing w:after="0" w:line="240" w:lineRule="auto"/>
        <w:ind w:left="1418" w:right="851"/>
      </w:pPr>
      <w:r w:rsidRPr="00291BC3">
        <w:t>“</w:t>
      </w:r>
      <w:r w:rsidRPr="00291BC3">
        <w:rPr>
          <w:i/>
          <w:iCs/>
        </w:rPr>
        <w:t>To all appearance, the application intended by the Applicant is way out of turn. It is about thirty-three (33) working days late. This is deliberate dilatoriness, and it is inexcusable. It is over four (4) weeks. A representation that is way prejudicial to my claim.</w:t>
      </w:r>
      <w:r w:rsidRPr="00291BC3">
        <w:t>”</w:t>
      </w:r>
    </w:p>
    <w:p w14:paraId="3678F7EB" w14:textId="5CA577DA" w:rsidR="00DD4822" w:rsidRPr="00291BC3" w:rsidRDefault="00FC396E" w:rsidP="00FC396E">
      <w:pPr>
        <w:pStyle w:val="JudgmentNumbered"/>
        <w:numPr>
          <w:ilvl w:val="0"/>
          <w:numId w:val="0"/>
        </w:numPr>
        <w:spacing w:before="240"/>
        <w:ind w:left="567" w:hanging="567"/>
      </w:pPr>
      <w:r w:rsidRPr="00291BC3">
        <w:t>[68]</w:t>
      </w:r>
      <w:r w:rsidRPr="00291BC3">
        <w:tab/>
      </w:r>
      <w:r w:rsidR="005065FD" w:rsidRPr="00291BC3">
        <w:t>Having considered carefully MTN’s case for condonation and the counter-position of the plaintiff, I make these observations</w:t>
      </w:r>
      <w:r w:rsidR="000A3A3F" w:rsidRPr="00291BC3">
        <w:t xml:space="preserve"> on whether MTN has satisfied the three tenets required of a litigant seeking condonation</w:t>
      </w:r>
      <w:r w:rsidR="005065FD" w:rsidRPr="00291BC3">
        <w:t>.</w:t>
      </w:r>
    </w:p>
    <w:p w14:paraId="6AFBBB87" w14:textId="7756EBEA" w:rsidR="00974651" w:rsidRPr="00291BC3" w:rsidRDefault="00FC396E" w:rsidP="00FC396E">
      <w:pPr>
        <w:pStyle w:val="JudgmentNumbered"/>
        <w:numPr>
          <w:ilvl w:val="0"/>
          <w:numId w:val="0"/>
        </w:numPr>
        <w:ind w:left="567" w:hanging="567"/>
      </w:pPr>
      <w:r w:rsidRPr="00291BC3">
        <w:t>[69]</w:t>
      </w:r>
      <w:r w:rsidRPr="00291BC3">
        <w:tab/>
      </w:r>
      <w:r w:rsidR="005065FD" w:rsidRPr="00291BC3">
        <w:t xml:space="preserve">While the explanation that MTN puts up for the delay is certainly not the most detailed one imaginable, </w:t>
      </w:r>
      <w:r w:rsidR="00DD4822" w:rsidRPr="00291BC3">
        <w:t xml:space="preserve">in my view </w:t>
      </w:r>
      <w:r w:rsidR="005065FD" w:rsidRPr="00291BC3">
        <w:t>it pass</w:t>
      </w:r>
      <w:r w:rsidR="00DD4822" w:rsidRPr="00291BC3">
        <w:t>es</w:t>
      </w:r>
      <w:r w:rsidR="005065FD" w:rsidRPr="00291BC3">
        <w:t xml:space="preserve"> muster. The delay, although longer than the delay in the delivery of the notice under rule 30(2)(b)</w:t>
      </w:r>
      <w:r w:rsidR="00DD4822" w:rsidRPr="00291BC3">
        <w:t>, is still within the bounds of reasonableness. It is fair to say that the two documents that the plaintiff delivered on 25 April and 3 June 2022 are indeed voluminous and confusing. It is hard to think that they did not cause some measure of consternation on the part of MTN and its legal team. Indeed, in a sense, they highlight neatly the very object of the Uniform Rules: to set in place standardised litigious steps that are the stock-in-trade of lawyers upon whose shoulders a large part of the functioning of the legal profession rests.</w:t>
      </w:r>
    </w:p>
    <w:p w14:paraId="0500B141" w14:textId="7C7A352D" w:rsidR="000A3A3F" w:rsidRPr="00291BC3" w:rsidRDefault="00FC396E" w:rsidP="00FC396E">
      <w:pPr>
        <w:pStyle w:val="JudgmentNumbered"/>
        <w:numPr>
          <w:ilvl w:val="0"/>
          <w:numId w:val="0"/>
        </w:numPr>
        <w:ind w:left="567" w:hanging="567"/>
      </w:pPr>
      <w:r w:rsidRPr="00291BC3">
        <w:t>[70]</w:t>
      </w:r>
      <w:r w:rsidRPr="00291BC3">
        <w:tab/>
      </w:r>
      <w:r w:rsidR="000A3A3F" w:rsidRPr="00291BC3">
        <w:t>Then, in the light of the extraordinary nature of the document of 25 April 2022, which I sketch in some detail above, in my view, MTN’s case on the merits is strong.</w:t>
      </w:r>
    </w:p>
    <w:p w14:paraId="45F60FB3" w14:textId="1DE88670" w:rsidR="00DD4822" w:rsidRPr="00291BC3" w:rsidRDefault="00FC396E" w:rsidP="00FC396E">
      <w:pPr>
        <w:pStyle w:val="JudgmentNumbered"/>
        <w:numPr>
          <w:ilvl w:val="0"/>
          <w:numId w:val="0"/>
        </w:numPr>
        <w:ind w:left="567" w:hanging="567"/>
      </w:pPr>
      <w:r w:rsidRPr="00291BC3">
        <w:t>[71]</w:t>
      </w:r>
      <w:r w:rsidRPr="00291BC3">
        <w:tab/>
      </w:r>
      <w:r w:rsidR="000A3A3F" w:rsidRPr="00291BC3">
        <w:t>As to prejudice, there is certainly no prejudice to the plaintiff in condoning the delay in the bringing of this application. Over and above his strongly worded critique of the motive he ascribes to MTN and its lawyers, the plaintiff has not pleaded any.</w:t>
      </w:r>
    </w:p>
    <w:p w14:paraId="0D82289B" w14:textId="03C45474" w:rsidR="00DD4822" w:rsidRPr="00291BC3" w:rsidRDefault="00FC396E" w:rsidP="00FC396E">
      <w:pPr>
        <w:pStyle w:val="JudgmentNumbered"/>
        <w:numPr>
          <w:ilvl w:val="0"/>
          <w:numId w:val="0"/>
        </w:numPr>
        <w:ind w:left="567" w:hanging="567"/>
      </w:pPr>
      <w:r w:rsidRPr="00291BC3">
        <w:lastRenderedPageBreak/>
        <w:t>[72]</w:t>
      </w:r>
      <w:r w:rsidRPr="00291BC3">
        <w:tab/>
      </w:r>
      <w:r w:rsidR="000A3A3F" w:rsidRPr="00291BC3">
        <w:t>In all the circumstances, it is in my view appropriate and necessary to condone the late delivery of this application.</w:t>
      </w:r>
      <w:r w:rsidR="00A23692" w:rsidRPr="00291BC3">
        <w:t xml:space="preserve"> This condonation would also be in the interests of justice.</w:t>
      </w:r>
    </w:p>
    <w:p w14:paraId="1BDAE01C" w14:textId="4277AA12" w:rsidR="000A3A3F" w:rsidRPr="00291BC3" w:rsidRDefault="00FC396E" w:rsidP="00FC396E">
      <w:pPr>
        <w:pStyle w:val="JudgmentNumbered"/>
        <w:numPr>
          <w:ilvl w:val="0"/>
          <w:numId w:val="0"/>
        </w:numPr>
        <w:ind w:left="567" w:hanging="567"/>
      </w:pPr>
      <w:r w:rsidRPr="00291BC3">
        <w:t>[73]</w:t>
      </w:r>
      <w:r w:rsidRPr="00291BC3">
        <w:tab/>
      </w:r>
      <w:r w:rsidR="000A3A3F" w:rsidRPr="00291BC3">
        <w:t xml:space="preserve">Lastly, I turn to the question of whether the </w:t>
      </w:r>
      <w:r w:rsidR="00884CCC" w:rsidRPr="00291BC3">
        <w:t xml:space="preserve">plaintiff’s </w:t>
      </w:r>
      <w:r w:rsidR="000A3A3F" w:rsidRPr="00291BC3">
        <w:t xml:space="preserve">delivery of </w:t>
      </w:r>
      <w:r w:rsidR="00884CCC" w:rsidRPr="00291BC3">
        <w:t>the document of 25 April 2022 is an irregular step that falls to be set aside.</w:t>
      </w:r>
    </w:p>
    <w:p w14:paraId="00B794D0" w14:textId="2CF808D5" w:rsidR="00884CCC" w:rsidRPr="00291BC3" w:rsidRDefault="00FC396E" w:rsidP="00FC396E">
      <w:pPr>
        <w:pStyle w:val="JudgmentNumbered"/>
        <w:numPr>
          <w:ilvl w:val="0"/>
          <w:numId w:val="0"/>
        </w:numPr>
        <w:ind w:left="567" w:hanging="567"/>
      </w:pPr>
      <w:r w:rsidRPr="00291BC3">
        <w:t>[74]</w:t>
      </w:r>
      <w:r w:rsidRPr="00291BC3">
        <w:tab/>
      </w:r>
      <w:r w:rsidR="00884CCC" w:rsidRPr="00291BC3">
        <w:t xml:space="preserve">As I say above, in my view the Uniform Rules provide the </w:t>
      </w:r>
      <w:r w:rsidR="00A23692" w:rsidRPr="00291BC3">
        <w:t xml:space="preserve">entire box of </w:t>
      </w:r>
      <w:r w:rsidR="00884CCC" w:rsidRPr="00291BC3">
        <w:t xml:space="preserve">tools that a litigant might use. Far from unduly curtailing a litigant, they have been carefully devised to facilitate access to the courts. What is more, as I demonstrate above, they are no straitjacket. In appropriate cases, the court has the power to condone non-compliance. In particular cases, like this one as far as the notice under rule 30(2)(b) is concerned, the court might even condone non-compliance </w:t>
      </w:r>
      <w:r w:rsidR="00884CCC" w:rsidRPr="00291BC3">
        <w:rPr>
          <w:i/>
          <w:iCs/>
        </w:rPr>
        <w:t>mero motu</w:t>
      </w:r>
      <w:r w:rsidR="00884CCC" w:rsidRPr="00291BC3">
        <w:t>.</w:t>
      </w:r>
    </w:p>
    <w:p w14:paraId="1BC1A462" w14:textId="08DD4DA3" w:rsidR="00884CCC" w:rsidRPr="00291BC3" w:rsidRDefault="00FC396E" w:rsidP="00FC396E">
      <w:pPr>
        <w:pStyle w:val="JudgmentNumbered"/>
        <w:numPr>
          <w:ilvl w:val="0"/>
          <w:numId w:val="0"/>
        </w:numPr>
        <w:ind w:left="567" w:hanging="567"/>
      </w:pPr>
      <w:r w:rsidRPr="00291BC3">
        <w:t>[75]</w:t>
      </w:r>
      <w:r w:rsidRPr="00291BC3">
        <w:tab/>
      </w:r>
      <w:r w:rsidR="00884CCC" w:rsidRPr="00291BC3">
        <w:t>Yet, in the ordinary course the Uniform Rules do not allow litigants to invent the wheel as they go along, by delivering all manner of documents, whether styled as notices or otherwise, that they think might advance their case. Were this to be countenanced, it would make litigation nothing short of chaotic.</w:t>
      </w:r>
    </w:p>
    <w:p w14:paraId="1A58FA66" w14:textId="33DEE3FE" w:rsidR="00884CCC" w:rsidRPr="00291BC3" w:rsidRDefault="00FC396E" w:rsidP="00FC396E">
      <w:pPr>
        <w:pStyle w:val="JudgmentNumbered"/>
        <w:numPr>
          <w:ilvl w:val="0"/>
          <w:numId w:val="0"/>
        </w:numPr>
        <w:ind w:left="567" w:hanging="567"/>
      </w:pPr>
      <w:r w:rsidRPr="00291BC3">
        <w:t>[76]</w:t>
      </w:r>
      <w:r w:rsidRPr="00291BC3">
        <w:tab/>
      </w:r>
      <w:r w:rsidR="00884CCC" w:rsidRPr="00291BC3">
        <w:t>For all these reasons, I find that the plaintiff’s delivery of the document of 25 April 2022 was indeed an irregular step.</w:t>
      </w:r>
    </w:p>
    <w:p w14:paraId="4F16BF6B" w14:textId="6751455D" w:rsidR="0041001C" w:rsidRPr="00291BC3" w:rsidRDefault="00FC396E" w:rsidP="00FC396E">
      <w:pPr>
        <w:pStyle w:val="JudgmentNumbered"/>
        <w:numPr>
          <w:ilvl w:val="0"/>
          <w:numId w:val="0"/>
        </w:numPr>
        <w:ind w:left="567" w:hanging="567"/>
      </w:pPr>
      <w:r w:rsidRPr="00291BC3">
        <w:t>[77]</w:t>
      </w:r>
      <w:r w:rsidRPr="00291BC3">
        <w:tab/>
      </w:r>
      <w:r w:rsidR="00884CCC" w:rsidRPr="00291BC3">
        <w:t xml:space="preserve">Yet, even if I am wrong and the Uniform Rules must be read to be flexible enough to allow a litigant on occasion to deliver, for example, a notice for which the Uniform Rules do not provide, the document of 25 April 2022 </w:t>
      </w:r>
      <w:r w:rsidR="00A23692" w:rsidRPr="00291BC3">
        <w:t>did not fall into that notional category</w:t>
      </w:r>
      <w:r w:rsidR="00884CCC" w:rsidRPr="00291BC3">
        <w:t>. It is possible to imagine a crisp and tightly framed notice that a litigant might deliver in response to a notice under rule 23(1)</w:t>
      </w:r>
      <w:r w:rsidR="0041001C" w:rsidRPr="00291BC3">
        <w:t>(a),</w:t>
      </w:r>
      <w:r w:rsidR="00884CCC" w:rsidRPr="00291BC3">
        <w:t xml:space="preserve"> for instance indicating to the other party that there is an authority that puts paid to the intended exception</w:t>
      </w:r>
      <w:r w:rsidR="0041001C" w:rsidRPr="00291BC3">
        <w:t>. While it is possible to imagine such a notice not being inherently offensive, this is more properly the stuff of an attorney’s letter.</w:t>
      </w:r>
    </w:p>
    <w:p w14:paraId="115505B8" w14:textId="2569CFAF" w:rsidR="009173DA" w:rsidRPr="00291BC3" w:rsidRDefault="00FC396E" w:rsidP="00FC396E">
      <w:pPr>
        <w:pStyle w:val="JudgmentNumbered"/>
        <w:numPr>
          <w:ilvl w:val="0"/>
          <w:numId w:val="0"/>
        </w:numPr>
        <w:ind w:left="567" w:hanging="567"/>
      </w:pPr>
      <w:r w:rsidRPr="00291BC3">
        <w:t>[78]</w:t>
      </w:r>
      <w:r w:rsidRPr="00291BC3">
        <w:tab/>
      </w:r>
      <w:r w:rsidR="0041001C" w:rsidRPr="00291BC3">
        <w:t>Be that as it may, even if my statement above is too wide and such a notice is cognisable, the document of 25 April 2022 is far removed from it. The document of 25 April 2022 is a long, complicated, discursive document that responds to the notice under rule 23(1)(a)</w:t>
      </w:r>
      <w:r w:rsidR="009173DA" w:rsidRPr="00291BC3">
        <w:t xml:space="preserve"> expansively. Yet, it goes much further, dealing in </w:t>
      </w:r>
      <w:r w:rsidR="009173DA" w:rsidRPr="00291BC3">
        <w:lastRenderedPageBreak/>
        <w:t>argumentative terms and with reference to statutes and case law with the issues in the action proper.</w:t>
      </w:r>
    </w:p>
    <w:p w14:paraId="10A7B043" w14:textId="529B2867" w:rsidR="009173DA" w:rsidRPr="00291BC3" w:rsidRDefault="00FC396E" w:rsidP="00FC396E">
      <w:pPr>
        <w:pStyle w:val="JudgmentNumbered"/>
        <w:numPr>
          <w:ilvl w:val="0"/>
          <w:numId w:val="0"/>
        </w:numPr>
        <w:ind w:left="567" w:hanging="567"/>
      </w:pPr>
      <w:r w:rsidRPr="00291BC3">
        <w:t>[79]</w:t>
      </w:r>
      <w:r w:rsidRPr="00291BC3">
        <w:tab/>
      </w:r>
      <w:r w:rsidR="009173DA" w:rsidRPr="00291BC3">
        <w:t>Furthermore, there can be no doubt that there would be prejudice were the document of 25 April 2022 to be allowed to stay. That prejudice would redound to MTN that would somehow have to deal with its contents, much of it irrelevant to the dispute created by the delivery of the notice under rule 23(1). What is more, it would redound to the prejudice of the court that would waste time and resources dealing with a document upon which the plaintiff will no doubt rely but that largely speaks to irrelevant matters.</w:t>
      </w:r>
    </w:p>
    <w:p w14:paraId="48786640" w14:textId="57FE51F6" w:rsidR="009173DA" w:rsidRPr="00291BC3" w:rsidRDefault="00FC396E" w:rsidP="00FC396E">
      <w:pPr>
        <w:pStyle w:val="JudgmentNumbered"/>
        <w:numPr>
          <w:ilvl w:val="0"/>
          <w:numId w:val="0"/>
        </w:numPr>
        <w:ind w:left="567" w:hanging="567"/>
      </w:pPr>
      <w:r w:rsidRPr="00291BC3">
        <w:t>[80]</w:t>
      </w:r>
      <w:r w:rsidRPr="00291BC3">
        <w:tab/>
      </w:r>
      <w:r w:rsidR="009173DA" w:rsidRPr="00291BC3">
        <w:t xml:space="preserve">Ironically, it is probably not unfair to say that it would </w:t>
      </w:r>
      <w:r w:rsidR="00A23692" w:rsidRPr="00291BC3">
        <w:t>also</w:t>
      </w:r>
      <w:r w:rsidR="009173DA" w:rsidRPr="00291BC3">
        <w:t xml:space="preserve"> prejudice the plaintiff in his attempt, as </w:t>
      </w:r>
      <w:r w:rsidR="00A23692" w:rsidRPr="00291BC3">
        <w:t xml:space="preserve">a </w:t>
      </w:r>
      <w:r w:rsidR="009173DA" w:rsidRPr="00291BC3">
        <w:t>litigant who is at times assisted and at other times not, to focus on what is expected of him in the hearing on the exception, were it to follow.</w:t>
      </w:r>
    </w:p>
    <w:p w14:paraId="526569F3" w14:textId="121202B3" w:rsidR="00884CCC" w:rsidRPr="00291BC3" w:rsidRDefault="00FC396E" w:rsidP="00FC396E">
      <w:pPr>
        <w:pStyle w:val="JudgmentNumbered"/>
        <w:numPr>
          <w:ilvl w:val="0"/>
          <w:numId w:val="0"/>
        </w:numPr>
        <w:ind w:left="567" w:hanging="567"/>
      </w:pPr>
      <w:r w:rsidRPr="00291BC3">
        <w:t>[81]</w:t>
      </w:r>
      <w:r w:rsidRPr="00291BC3">
        <w:tab/>
      </w:r>
      <w:r w:rsidR="009173DA" w:rsidRPr="00291BC3">
        <w:t>For all these reasons, I find that a proper case has been made out for the relief that MTN seeks.</w:t>
      </w:r>
    </w:p>
    <w:p w14:paraId="1E473457" w14:textId="338F84E7" w:rsidR="00A23692" w:rsidRPr="00291BC3" w:rsidRDefault="00A23692" w:rsidP="00A23692">
      <w:pPr>
        <w:pStyle w:val="JudgmentNumbered"/>
        <w:numPr>
          <w:ilvl w:val="0"/>
          <w:numId w:val="0"/>
        </w:numPr>
        <w:rPr>
          <w:b/>
          <w:bCs/>
        </w:rPr>
      </w:pPr>
      <w:r w:rsidRPr="00291BC3">
        <w:rPr>
          <w:b/>
          <w:bCs/>
        </w:rPr>
        <w:t>COSTS</w:t>
      </w:r>
    </w:p>
    <w:p w14:paraId="7D1BA970" w14:textId="3FB807DA" w:rsidR="00A23692" w:rsidRPr="00291BC3" w:rsidRDefault="00FC396E" w:rsidP="00FC396E">
      <w:pPr>
        <w:pStyle w:val="JudgmentNumbered"/>
        <w:numPr>
          <w:ilvl w:val="0"/>
          <w:numId w:val="0"/>
        </w:numPr>
        <w:ind w:left="567" w:hanging="567"/>
      </w:pPr>
      <w:r w:rsidRPr="00291BC3">
        <w:t>[82]</w:t>
      </w:r>
      <w:r w:rsidRPr="00291BC3">
        <w:tab/>
      </w:r>
      <w:r w:rsidR="00A23692" w:rsidRPr="00291BC3">
        <w:t>I see no reason why the costs should not follow the result.</w:t>
      </w:r>
    </w:p>
    <w:p w14:paraId="0E9773B3" w14:textId="7AB52602" w:rsidR="001D716E" w:rsidRPr="00291BC3" w:rsidRDefault="00897836" w:rsidP="000364DD">
      <w:pPr>
        <w:pStyle w:val="JudgmentNumbered"/>
        <w:keepNext/>
        <w:numPr>
          <w:ilvl w:val="0"/>
          <w:numId w:val="0"/>
        </w:numPr>
        <w:rPr>
          <w:b/>
          <w:bCs/>
          <w:szCs w:val="24"/>
        </w:rPr>
      </w:pPr>
      <w:r w:rsidRPr="00291BC3">
        <w:rPr>
          <w:b/>
          <w:bCs/>
          <w:szCs w:val="24"/>
        </w:rPr>
        <w:t>ORDER</w:t>
      </w:r>
    </w:p>
    <w:p w14:paraId="7193176A" w14:textId="4DE0AF75" w:rsidR="00972C4D" w:rsidRPr="00291BC3" w:rsidRDefault="00FC396E" w:rsidP="00FC396E">
      <w:pPr>
        <w:pStyle w:val="JudgmentNumbered"/>
        <w:numPr>
          <w:ilvl w:val="0"/>
          <w:numId w:val="0"/>
        </w:numPr>
        <w:ind w:left="1276" w:hanging="709"/>
        <w:rPr>
          <w:szCs w:val="24"/>
        </w:rPr>
      </w:pPr>
      <w:r w:rsidRPr="00291BC3">
        <w:rPr>
          <w:szCs w:val="24"/>
        </w:rPr>
        <w:t>1.</w:t>
      </w:r>
      <w:r w:rsidRPr="00291BC3">
        <w:rPr>
          <w:szCs w:val="24"/>
        </w:rPr>
        <w:tab/>
      </w:r>
      <w:r w:rsidR="00576752" w:rsidRPr="00291BC3">
        <w:rPr>
          <w:szCs w:val="24"/>
        </w:rPr>
        <w:t xml:space="preserve">The late </w:t>
      </w:r>
      <w:r w:rsidR="006D00E6" w:rsidRPr="00291BC3">
        <w:rPr>
          <w:szCs w:val="24"/>
        </w:rPr>
        <w:t>delivery of the defendant’s notice under</w:t>
      </w:r>
      <w:r w:rsidR="00576752" w:rsidRPr="00291BC3">
        <w:rPr>
          <w:szCs w:val="24"/>
        </w:rPr>
        <w:t xml:space="preserve"> </w:t>
      </w:r>
      <w:r w:rsidR="006D00E6" w:rsidRPr="00291BC3">
        <w:rPr>
          <w:szCs w:val="24"/>
        </w:rPr>
        <w:t xml:space="preserve">rule </w:t>
      </w:r>
      <w:r w:rsidR="00576752" w:rsidRPr="00291BC3">
        <w:rPr>
          <w:szCs w:val="24"/>
        </w:rPr>
        <w:t>3</w:t>
      </w:r>
      <w:r w:rsidR="003233D7" w:rsidRPr="00291BC3">
        <w:rPr>
          <w:szCs w:val="24"/>
        </w:rPr>
        <w:t>0 (2)</w:t>
      </w:r>
      <w:r w:rsidR="006D00E6" w:rsidRPr="00291BC3">
        <w:rPr>
          <w:szCs w:val="24"/>
        </w:rPr>
        <w:t>(b) and its late delivery of this application are</w:t>
      </w:r>
      <w:r w:rsidR="00576752" w:rsidRPr="00291BC3">
        <w:rPr>
          <w:szCs w:val="24"/>
        </w:rPr>
        <w:t xml:space="preserve"> condoned.</w:t>
      </w:r>
    </w:p>
    <w:p w14:paraId="59583268" w14:textId="6455E28A" w:rsidR="00972C4D" w:rsidRPr="00291BC3" w:rsidRDefault="00FC396E" w:rsidP="00FC396E">
      <w:pPr>
        <w:pStyle w:val="JudgmentNumbered"/>
        <w:numPr>
          <w:ilvl w:val="0"/>
          <w:numId w:val="0"/>
        </w:numPr>
        <w:ind w:left="1276" w:hanging="709"/>
        <w:rPr>
          <w:szCs w:val="24"/>
        </w:rPr>
      </w:pPr>
      <w:r w:rsidRPr="00291BC3">
        <w:rPr>
          <w:szCs w:val="24"/>
        </w:rPr>
        <w:t>2.</w:t>
      </w:r>
      <w:r w:rsidRPr="00291BC3">
        <w:rPr>
          <w:szCs w:val="24"/>
        </w:rPr>
        <w:tab/>
      </w:r>
      <w:r w:rsidR="00576752" w:rsidRPr="00291BC3">
        <w:rPr>
          <w:szCs w:val="24"/>
        </w:rPr>
        <w:t>The</w:t>
      </w:r>
      <w:r w:rsidR="006D00E6" w:rsidRPr="00291BC3">
        <w:rPr>
          <w:szCs w:val="24"/>
        </w:rPr>
        <w:t xml:space="preserve"> plaintiff’s document entitled</w:t>
      </w:r>
      <w:r w:rsidR="00576752" w:rsidRPr="00291BC3">
        <w:rPr>
          <w:szCs w:val="24"/>
        </w:rPr>
        <w:t xml:space="preserve"> “</w:t>
      </w:r>
      <w:r w:rsidR="00576752" w:rsidRPr="00291BC3">
        <w:rPr>
          <w:i/>
          <w:szCs w:val="24"/>
        </w:rPr>
        <w:t>Plaintiff’s Notice of Replication to the Defendant’s Notice of Intention to File Exceptions to the Plaintiff’s Replication to the Defendant’s Special Pleas</w:t>
      </w:r>
      <w:r w:rsidR="00576752" w:rsidRPr="00291BC3">
        <w:rPr>
          <w:szCs w:val="24"/>
        </w:rPr>
        <w:t xml:space="preserve">” </w:t>
      </w:r>
      <w:r w:rsidR="006D00E6" w:rsidRPr="00291BC3">
        <w:rPr>
          <w:szCs w:val="24"/>
        </w:rPr>
        <w:t xml:space="preserve">and </w:t>
      </w:r>
      <w:r w:rsidR="00576752" w:rsidRPr="00291BC3">
        <w:rPr>
          <w:szCs w:val="24"/>
        </w:rPr>
        <w:t xml:space="preserve">dated 25 April 2022 is declared an irregular step and </w:t>
      </w:r>
      <w:r w:rsidR="006D00E6" w:rsidRPr="00291BC3">
        <w:rPr>
          <w:szCs w:val="24"/>
        </w:rPr>
        <w:t xml:space="preserve">is </w:t>
      </w:r>
      <w:r w:rsidR="00576752" w:rsidRPr="00291BC3">
        <w:rPr>
          <w:szCs w:val="24"/>
        </w:rPr>
        <w:t>set aside</w:t>
      </w:r>
      <w:r w:rsidR="00972C4D" w:rsidRPr="00291BC3">
        <w:rPr>
          <w:szCs w:val="24"/>
        </w:rPr>
        <w:t>.</w:t>
      </w:r>
    </w:p>
    <w:p w14:paraId="1FFE5E5B" w14:textId="1013D819" w:rsidR="00B965CC" w:rsidRPr="00291BC3" w:rsidRDefault="00FC396E" w:rsidP="00FC396E">
      <w:pPr>
        <w:pStyle w:val="JudgmentNumbered"/>
        <w:numPr>
          <w:ilvl w:val="0"/>
          <w:numId w:val="0"/>
        </w:numPr>
        <w:ind w:left="1276" w:hanging="709"/>
        <w:rPr>
          <w:szCs w:val="24"/>
        </w:rPr>
      </w:pPr>
      <w:r w:rsidRPr="00291BC3">
        <w:rPr>
          <w:szCs w:val="24"/>
        </w:rPr>
        <w:t>3.</w:t>
      </w:r>
      <w:r w:rsidRPr="00291BC3">
        <w:rPr>
          <w:szCs w:val="24"/>
        </w:rPr>
        <w:tab/>
      </w:r>
      <w:r w:rsidR="006D00E6" w:rsidRPr="00291BC3">
        <w:rPr>
          <w:szCs w:val="24"/>
        </w:rPr>
        <w:t xml:space="preserve">The </w:t>
      </w:r>
      <w:r w:rsidR="00A23692" w:rsidRPr="00291BC3">
        <w:rPr>
          <w:szCs w:val="24"/>
        </w:rPr>
        <w:t xml:space="preserve">respondent </w:t>
      </w:r>
      <w:r w:rsidR="006D00E6" w:rsidRPr="00291BC3">
        <w:rPr>
          <w:szCs w:val="24"/>
        </w:rPr>
        <w:t xml:space="preserve">is to pay the </w:t>
      </w:r>
      <w:r w:rsidR="00A23692" w:rsidRPr="00291BC3">
        <w:rPr>
          <w:szCs w:val="24"/>
        </w:rPr>
        <w:t>applicant’s</w:t>
      </w:r>
      <w:r w:rsidR="006D00E6" w:rsidRPr="00291BC3">
        <w:rPr>
          <w:szCs w:val="24"/>
        </w:rPr>
        <w:t xml:space="preserve"> costs.</w:t>
      </w:r>
      <w:r w:rsidR="006D00E6" w:rsidRPr="00291BC3" w:rsidDel="006D00E6">
        <w:rPr>
          <w:szCs w:val="24"/>
        </w:rPr>
        <w:t xml:space="preserve"> </w:t>
      </w:r>
    </w:p>
    <w:p w14:paraId="0ED40CB2" w14:textId="77777777" w:rsidR="00A23692" w:rsidRPr="00291BC3" w:rsidRDefault="00A23692" w:rsidP="00361D1C">
      <w:pPr>
        <w:pStyle w:val="JudgmentNumbered"/>
        <w:numPr>
          <w:ilvl w:val="0"/>
          <w:numId w:val="0"/>
        </w:numPr>
        <w:rPr>
          <w:szCs w:val="24"/>
        </w:rPr>
      </w:pPr>
    </w:p>
    <w:p w14:paraId="3204D0D4" w14:textId="77777777" w:rsidR="00A23692" w:rsidRPr="00291BC3" w:rsidRDefault="00A23692" w:rsidP="00361D1C">
      <w:pPr>
        <w:pStyle w:val="JudgmentNumbered"/>
        <w:numPr>
          <w:ilvl w:val="0"/>
          <w:numId w:val="0"/>
        </w:numPr>
        <w:rPr>
          <w:szCs w:val="24"/>
        </w:rPr>
      </w:pPr>
    </w:p>
    <w:p w14:paraId="6979ABF9" w14:textId="77777777" w:rsidR="0032728F" w:rsidRPr="00291BC3" w:rsidRDefault="0032728F" w:rsidP="0096151A">
      <w:pPr>
        <w:pStyle w:val="JudgmentNumbered"/>
        <w:keepNext/>
        <w:numPr>
          <w:ilvl w:val="0"/>
          <w:numId w:val="0"/>
        </w:numPr>
        <w:spacing w:after="0"/>
        <w:ind w:left="567" w:hanging="567"/>
        <w:jc w:val="right"/>
        <w:rPr>
          <w:szCs w:val="24"/>
        </w:rPr>
      </w:pPr>
      <w:r w:rsidRPr="00291BC3">
        <w:rPr>
          <w:szCs w:val="24"/>
        </w:rPr>
        <w:lastRenderedPageBreak/>
        <w:t>___________________________</w:t>
      </w:r>
    </w:p>
    <w:p w14:paraId="7BC76371" w14:textId="692D8092" w:rsidR="0032728F" w:rsidRPr="00291BC3" w:rsidRDefault="007F7553" w:rsidP="0096151A">
      <w:pPr>
        <w:pStyle w:val="JudgmentNumbered"/>
        <w:keepNext/>
        <w:numPr>
          <w:ilvl w:val="0"/>
          <w:numId w:val="0"/>
        </w:numPr>
        <w:spacing w:after="0"/>
        <w:ind w:left="567" w:hanging="567"/>
        <w:jc w:val="right"/>
        <w:rPr>
          <w:b/>
          <w:szCs w:val="24"/>
        </w:rPr>
      </w:pPr>
      <w:r w:rsidRPr="00291BC3">
        <w:rPr>
          <w:b/>
          <w:szCs w:val="24"/>
        </w:rPr>
        <w:t>J</w:t>
      </w:r>
      <w:r w:rsidR="00897836" w:rsidRPr="00291BC3">
        <w:rPr>
          <w:b/>
          <w:szCs w:val="24"/>
        </w:rPr>
        <w:t xml:space="preserve"> </w:t>
      </w:r>
      <w:r w:rsidR="0032728F" w:rsidRPr="00291BC3">
        <w:rPr>
          <w:b/>
          <w:szCs w:val="24"/>
        </w:rPr>
        <w:t>J MEIRING</w:t>
      </w:r>
    </w:p>
    <w:p w14:paraId="2B3EED26" w14:textId="77777777" w:rsidR="0032728F" w:rsidRPr="00291BC3" w:rsidRDefault="0032728F" w:rsidP="0096151A">
      <w:pPr>
        <w:pStyle w:val="JudgmentNumbered"/>
        <w:keepNext/>
        <w:numPr>
          <w:ilvl w:val="0"/>
          <w:numId w:val="0"/>
        </w:numPr>
        <w:spacing w:after="0"/>
        <w:ind w:left="567" w:hanging="567"/>
        <w:jc w:val="right"/>
        <w:rPr>
          <w:b/>
          <w:szCs w:val="24"/>
        </w:rPr>
      </w:pPr>
      <w:r w:rsidRPr="00291BC3">
        <w:rPr>
          <w:b/>
          <w:szCs w:val="24"/>
        </w:rPr>
        <w:t>ACTING JUDGE OF THE HIGH COURT</w:t>
      </w:r>
    </w:p>
    <w:p w14:paraId="281C9177" w14:textId="77777777" w:rsidR="0032728F" w:rsidRPr="00291BC3" w:rsidRDefault="0032728F" w:rsidP="00361D1C">
      <w:pPr>
        <w:pStyle w:val="JudgmentNumbered"/>
        <w:numPr>
          <w:ilvl w:val="0"/>
          <w:numId w:val="0"/>
        </w:numPr>
        <w:spacing w:after="0"/>
        <w:ind w:left="567" w:hanging="567"/>
        <w:jc w:val="right"/>
        <w:rPr>
          <w:b/>
          <w:szCs w:val="24"/>
        </w:rPr>
      </w:pPr>
      <w:r w:rsidRPr="00291BC3">
        <w:rPr>
          <w:b/>
          <w:szCs w:val="24"/>
        </w:rPr>
        <w:t>JOHANNESBURG</w:t>
      </w:r>
    </w:p>
    <w:p w14:paraId="6B0540B8" w14:textId="77777777" w:rsidR="0032728F" w:rsidRPr="00291BC3" w:rsidRDefault="0032728F" w:rsidP="00361D1C">
      <w:pPr>
        <w:spacing w:after="0" w:line="240" w:lineRule="auto"/>
        <w:ind w:left="0"/>
        <w:rPr>
          <w:rFonts w:eastAsia="Times New Roman" w:cs="Arial"/>
          <w:szCs w:val="24"/>
          <w:lang w:eastAsia="en-GB"/>
        </w:rPr>
      </w:pPr>
    </w:p>
    <w:p w14:paraId="4390BF6A" w14:textId="77777777" w:rsidR="0032728F" w:rsidRPr="00291BC3" w:rsidRDefault="0032728F" w:rsidP="00361D1C">
      <w:pPr>
        <w:spacing w:after="0" w:line="240" w:lineRule="auto"/>
        <w:ind w:left="0"/>
        <w:rPr>
          <w:rFonts w:eastAsia="Times New Roman" w:cs="Arial"/>
          <w:szCs w:val="24"/>
          <w:lang w:eastAsia="en-GB"/>
        </w:rPr>
      </w:pPr>
    </w:p>
    <w:p w14:paraId="230C26FE" w14:textId="77777777" w:rsidR="0032728F" w:rsidRPr="00291BC3" w:rsidRDefault="0032728F" w:rsidP="00361D1C">
      <w:pPr>
        <w:spacing w:after="0" w:line="240" w:lineRule="auto"/>
        <w:ind w:left="0"/>
        <w:rPr>
          <w:rFonts w:eastAsia="Times New Roman" w:cs="Arial"/>
          <w:szCs w:val="24"/>
          <w:lang w:eastAsia="en-GB"/>
        </w:rPr>
      </w:pPr>
    </w:p>
    <w:p w14:paraId="5DF30F99" w14:textId="2B3F4948" w:rsidR="0032728F" w:rsidRPr="00291BC3" w:rsidRDefault="0032728F" w:rsidP="00361D1C">
      <w:pPr>
        <w:spacing w:after="160" w:line="259" w:lineRule="auto"/>
        <w:ind w:left="0"/>
        <w:jc w:val="left"/>
        <w:rPr>
          <w:rFonts w:eastAsia="Times New Roman" w:cs="Arial"/>
          <w:szCs w:val="24"/>
          <w:lang w:eastAsia="en-GB"/>
        </w:rPr>
      </w:pPr>
    </w:p>
    <w:p w14:paraId="2CD83EB1" w14:textId="5088BC7D" w:rsidR="00136F73" w:rsidRPr="00291BC3" w:rsidRDefault="00136F73">
      <w:pPr>
        <w:spacing w:after="160" w:line="259" w:lineRule="auto"/>
        <w:ind w:left="0"/>
        <w:jc w:val="left"/>
        <w:rPr>
          <w:rFonts w:eastAsia="Times New Roman" w:cs="Arial"/>
          <w:szCs w:val="24"/>
          <w:lang w:eastAsia="en-GB"/>
        </w:rPr>
      </w:pPr>
      <w:r w:rsidRPr="00291BC3">
        <w:rPr>
          <w:rFonts w:eastAsia="Times New Roman" w:cs="Arial"/>
          <w:szCs w:val="24"/>
          <w:lang w:eastAsia="en-GB"/>
        </w:rPr>
        <w:br w:type="page"/>
      </w:r>
    </w:p>
    <w:p w14:paraId="318C84FF" w14:textId="7E36420D" w:rsidR="0032728F" w:rsidRPr="00291BC3" w:rsidRDefault="0032728F" w:rsidP="00F92417">
      <w:pPr>
        <w:keepNext/>
        <w:tabs>
          <w:tab w:val="left" w:pos="3686"/>
        </w:tabs>
        <w:spacing w:after="0" w:line="240" w:lineRule="auto"/>
        <w:ind w:left="0"/>
        <w:rPr>
          <w:rFonts w:eastAsia="Times New Roman" w:cs="Arial"/>
          <w:szCs w:val="24"/>
          <w:lang w:eastAsia="en-GB"/>
        </w:rPr>
      </w:pPr>
      <w:r w:rsidRPr="00291BC3">
        <w:rPr>
          <w:rFonts w:eastAsia="Times New Roman" w:cs="Arial"/>
          <w:szCs w:val="24"/>
          <w:lang w:eastAsia="en-GB"/>
        </w:rPr>
        <w:lastRenderedPageBreak/>
        <w:t xml:space="preserve">Date of </w:t>
      </w:r>
      <w:r w:rsidR="0096151A" w:rsidRPr="00291BC3">
        <w:rPr>
          <w:rFonts w:eastAsia="Times New Roman" w:cs="Arial"/>
          <w:szCs w:val="24"/>
          <w:lang w:eastAsia="en-GB"/>
        </w:rPr>
        <w:t>hearing</w:t>
      </w:r>
      <w:r w:rsidRPr="00291BC3">
        <w:rPr>
          <w:rFonts w:eastAsia="Times New Roman" w:cs="Arial"/>
          <w:szCs w:val="24"/>
          <w:lang w:eastAsia="en-GB"/>
        </w:rPr>
        <w:t xml:space="preserve">: </w:t>
      </w:r>
      <w:r w:rsidRPr="00291BC3">
        <w:rPr>
          <w:rFonts w:eastAsia="Times New Roman" w:cs="Arial"/>
          <w:szCs w:val="24"/>
          <w:lang w:eastAsia="en-GB"/>
        </w:rPr>
        <w:tab/>
      </w:r>
      <w:r w:rsidR="004911B3" w:rsidRPr="00291BC3">
        <w:rPr>
          <w:rFonts w:eastAsia="Times New Roman" w:cs="Arial"/>
          <w:szCs w:val="24"/>
          <w:lang w:eastAsia="en-GB"/>
        </w:rPr>
        <w:t>1</w:t>
      </w:r>
      <w:r w:rsidR="002B65F1" w:rsidRPr="00291BC3">
        <w:rPr>
          <w:rFonts w:eastAsia="Times New Roman" w:cs="Arial"/>
          <w:szCs w:val="24"/>
          <w:lang w:eastAsia="en-GB"/>
        </w:rPr>
        <w:t>7</w:t>
      </w:r>
      <w:r w:rsidR="009D4739" w:rsidRPr="00291BC3">
        <w:rPr>
          <w:rFonts w:eastAsia="Times New Roman" w:cs="Arial"/>
          <w:szCs w:val="24"/>
          <w:lang w:eastAsia="en-GB"/>
        </w:rPr>
        <w:t xml:space="preserve"> November </w:t>
      </w:r>
      <w:r w:rsidRPr="00291BC3">
        <w:rPr>
          <w:rFonts w:eastAsia="Times New Roman" w:cs="Arial"/>
          <w:szCs w:val="24"/>
          <w:lang w:eastAsia="en-GB"/>
        </w:rPr>
        <w:t>2023</w:t>
      </w:r>
    </w:p>
    <w:p w14:paraId="76D6FEDA" w14:textId="77777777" w:rsidR="0032728F" w:rsidRPr="00291BC3" w:rsidRDefault="0032728F" w:rsidP="00F92417">
      <w:pPr>
        <w:keepNext/>
        <w:tabs>
          <w:tab w:val="left" w:pos="3686"/>
        </w:tabs>
        <w:spacing w:after="0" w:line="240" w:lineRule="auto"/>
        <w:ind w:left="0"/>
        <w:rPr>
          <w:rFonts w:eastAsia="Times New Roman" w:cs="Arial"/>
          <w:szCs w:val="24"/>
          <w:lang w:eastAsia="en-GB"/>
        </w:rPr>
      </w:pPr>
    </w:p>
    <w:p w14:paraId="30FBF7B1" w14:textId="48520EF1" w:rsidR="0032728F" w:rsidRPr="00291BC3" w:rsidRDefault="0032728F" w:rsidP="00F92417">
      <w:pPr>
        <w:keepNext/>
        <w:tabs>
          <w:tab w:val="left" w:pos="3686"/>
        </w:tabs>
        <w:spacing w:after="0" w:line="240" w:lineRule="auto"/>
        <w:ind w:left="0"/>
        <w:rPr>
          <w:rFonts w:eastAsia="Times New Roman" w:cs="Arial"/>
          <w:szCs w:val="24"/>
          <w:lang w:eastAsia="en-GB"/>
        </w:rPr>
      </w:pPr>
      <w:r w:rsidRPr="00291BC3">
        <w:rPr>
          <w:rFonts w:eastAsia="Times New Roman" w:cs="Arial"/>
          <w:szCs w:val="24"/>
          <w:lang w:eastAsia="en-GB"/>
        </w:rPr>
        <w:t xml:space="preserve">Date of </w:t>
      </w:r>
      <w:r w:rsidR="0096151A" w:rsidRPr="00291BC3">
        <w:rPr>
          <w:rFonts w:eastAsia="Times New Roman" w:cs="Arial"/>
          <w:szCs w:val="24"/>
          <w:lang w:eastAsia="en-GB"/>
        </w:rPr>
        <w:t>judgment</w:t>
      </w:r>
      <w:r w:rsidRPr="00291BC3">
        <w:rPr>
          <w:rFonts w:eastAsia="Times New Roman" w:cs="Arial"/>
          <w:szCs w:val="24"/>
          <w:lang w:eastAsia="en-GB"/>
        </w:rPr>
        <w:t>:</w:t>
      </w:r>
      <w:r w:rsidRPr="00291BC3">
        <w:rPr>
          <w:rFonts w:eastAsia="Times New Roman" w:cs="Arial"/>
          <w:szCs w:val="24"/>
          <w:lang w:eastAsia="en-GB"/>
        </w:rPr>
        <w:tab/>
      </w:r>
      <w:r w:rsidR="00A23692" w:rsidRPr="00291BC3">
        <w:rPr>
          <w:rFonts w:eastAsia="Times New Roman" w:cs="Arial"/>
          <w:szCs w:val="24"/>
          <w:lang w:eastAsia="en-GB"/>
        </w:rPr>
        <w:t>15 March 2024</w:t>
      </w:r>
    </w:p>
    <w:p w14:paraId="4D5A1CF0" w14:textId="77777777" w:rsidR="0032728F" w:rsidRPr="00291BC3" w:rsidRDefault="0032728F" w:rsidP="00F92417">
      <w:pPr>
        <w:keepNext/>
        <w:tabs>
          <w:tab w:val="left" w:pos="3686"/>
        </w:tabs>
        <w:spacing w:after="0" w:line="240" w:lineRule="auto"/>
        <w:ind w:left="0"/>
        <w:rPr>
          <w:rFonts w:eastAsia="Times New Roman" w:cs="Arial"/>
          <w:szCs w:val="24"/>
          <w:lang w:eastAsia="en-GB"/>
        </w:rPr>
      </w:pPr>
    </w:p>
    <w:p w14:paraId="151502A6" w14:textId="77777777" w:rsidR="0032728F" w:rsidRPr="00291BC3" w:rsidRDefault="0032728F" w:rsidP="00F92417">
      <w:pPr>
        <w:keepNext/>
        <w:tabs>
          <w:tab w:val="left" w:pos="3686"/>
        </w:tabs>
        <w:spacing w:after="0" w:line="240" w:lineRule="auto"/>
        <w:ind w:left="0"/>
        <w:rPr>
          <w:rFonts w:eastAsia="Times New Roman" w:cs="Arial"/>
          <w:b/>
          <w:bCs/>
          <w:szCs w:val="24"/>
          <w:lang w:eastAsia="en-GB"/>
        </w:rPr>
      </w:pPr>
      <w:r w:rsidRPr="00291BC3">
        <w:rPr>
          <w:rFonts w:eastAsia="Times New Roman" w:cs="Arial"/>
          <w:b/>
          <w:bCs/>
          <w:szCs w:val="24"/>
          <w:lang w:eastAsia="en-GB"/>
        </w:rPr>
        <w:t>APPEARANCES</w:t>
      </w:r>
    </w:p>
    <w:p w14:paraId="62135D83" w14:textId="77777777" w:rsidR="0032728F" w:rsidRPr="00291BC3" w:rsidRDefault="0032728F" w:rsidP="00F92417">
      <w:pPr>
        <w:keepNext/>
        <w:tabs>
          <w:tab w:val="left" w:pos="3686"/>
        </w:tabs>
        <w:spacing w:after="0" w:line="240" w:lineRule="auto"/>
        <w:ind w:left="0"/>
        <w:rPr>
          <w:rFonts w:eastAsia="Times New Roman" w:cs="Arial"/>
          <w:szCs w:val="24"/>
          <w:lang w:eastAsia="en-GB"/>
        </w:rPr>
      </w:pPr>
    </w:p>
    <w:p w14:paraId="6AED2A41" w14:textId="189DBDA5" w:rsidR="0032728F" w:rsidRPr="00291BC3" w:rsidRDefault="0032728F" w:rsidP="000364DD">
      <w:pPr>
        <w:keepNext/>
        <w:tabs>
          <w:tab w:val="left" w:pos="3686"/>
        </w:tabs>
        <w:spacing w:after="0"/>
        <w:ind w:left="0"/>
        <w:rPr>
          <w:rFonts w:eastAsia="Times New Roman" w:cs="Arial"/>
          <w:szCs w:val="24"/>
          <w:lang w:eastAsia="en-GB"/>
        </w:rPr>
      </w:pPr>
      <w:r w:rsidRPr="00291BC3">
        <w:rPr>
          <w:rFonts w:eastAsia="Times New Roman" w:cs="Arial"/>
          <w:szCs w:val="24"/>
          <w:lang w:eastAsia="en-GB"/>
        </w:rPr>
        <w:t xml:space="preserve">For the </w:t>
      </w:r>
      <w:r w:rsidR="00A66A4E" w:rsidRPr="00291BC3">
        <w:rPr>
          <w:rFonts w:eastAsia="Times New Roman" w:cs="Arial"/>
          <w:szCs w:val="24"/>
          <w:lang w:eastAsia="en-GB"/>
        </w:rPr>
        <w:t>plaintiff/respondent</w:t>
      </w:r>
      <w:r w:rsidRPr="00291BC3">
        <w:rPr>
          <w:rFonts w:eastAsia="Times New Roman" w:cs="Arial"/>
          <w:szCs w:val="24"/>
          <w:lang w:eastAsia="en-GB"/>
        </w:rPr>
        <w:t>:</w:t>
      </w:r>
      <w:r w:rsidRPr="00291BC3">
        <w:rPr>
          <w:rFonts w:eastAsia="Times New Roman" w:cs="Arial"/>
          <w:szCs w:val="24"/>
          <w:lang w:eastAsia="en-GB"/>
        </w:rPr>
        <w:tab/>
      </w:r>
      <w:r w:rsidR="00D50EE5" w:rsidRPr="00291BC3">
        <w:rPr>
          <w:rFonts w:eastAsia="Times New Roman" w:cs="Arial"/>
          <w:szCs w:val="24"/>
          <w:lang w:eastAsia="en-GB"/>
        </w:rPr>
        <w:t>Mr E K Ngassam</w:t>
      </w:r>
      <w:r w:rsidR="00897836" w:rsidRPr="00291BC3">
        <w:rPr>
          <w:rFonts w:eastAsia="Times New Roman" w:cs="Arial"/>
          <w:szCs w:val="24"/>
          <w:lang w:eastAsia="en-GB"/>
        </w:rPr>
        <w:t xml:space="preserve"> in person</w:t>
      </w:r>
    </w:p>
    <w:p w14:paraId="7D6423F1" w14:textId="27AF8B65" w:rsidR="0032728F" w:rsidRPr="00291BC3" w:rsidRDefault="0032728F" w:rsidP="0096151A">
      <w:pPr>
        <w:tabs>
          <w:tab w:val="left" w:pos="3686"/>
        </w:tabs>
        <w:spacing w:after="0"/>
        <w:ind w:left="0"/>
        <w:rPr>
          <w:rFonts w:eastAsia="Times New Roman" w:cs="Arial"/>
          <w:szCs w:val="24"/>
          <w:lang w:eastAsia="en-GB"/>
        </w:rPr>
      </w:pPr>
    </w:p>
    <w:p w14:paraId="398874A8" w14:textId="76812194" w:rsidR="00C96BAD" w:rsidRPr="00291BC3" w:rsidRDefault="0032728F" w:rsidP="0096151A">
      <w:pPr>
        <w:tabs>
          <w:tab w:val="left" w:pos="3686"/>
        </w:tabs>
        <w:spacing w:after="0"/>
        <w:ind w:left="0"/>
        <w:rPr>
          <w:rFonts w:eastAsia="Times New Roman" w:cs="Arial"/>
          <w:szCs w:val="24"/>
          <w:lang w:eastAsia="en-GB"/>
        </w:rPr>
      </w:pPr>
      <w:r w:rsidRPr="00291BC3">
        <w:rPr>
          <w:rFonts w:eastAsia="Times New Roman" w:cs="Arial"/>
          <w:szCs w:val="24"/>
          <w:lang w:eastAsia="en-GB"/>
        </w:rPr>
        <w:t>For the</w:t>
      </w:r>
      <w:r w:rsidR="00D50EE5" w:rsidRPr="00291BC3">
        <w:rPr>
          <w:rFonts w:eastAsia="Times New Roman" w:cs="Arial"/>
          <w:szCs w:val="24"/>
          <w:lang w:eastAsia="en-GB"/>
        </w:rPr>
        <w:t xml:space="preserve"> defendant/applicant</w:t>
      </w:r>
      <w:r w:rsidRPr="00291BC3">
        <w:rPr>
          <w:rFonts w:eastAsia="Times New Roman" w:cs="Arial"/>
          <w:szCs w:val="24"/>
          <w:lang w:eastAsia="en-GB"/>
        </w:rPr>
        <w:t>:</w:t>
      </w:r>
      <w:r w:rsidR="00D50EE5" w:rsidRPr="00291BC3">
        <w:rPr>
          <w:rFonts w:eastAsia="Times New Roman" w:cs="Arial"/>
          <w:szCs w:val="24"/>
          <w:lang w:eastAsia="en-GB"/>
        </w:rPr>
        <w:tab/>
        <w:t>Advocate M Khosana</w:t>
      </w:r>
    </w:p>
    <w:p w14:paraId="4352F29E" w14:textId="4D689C25" w:rsidR="0032728F" w:rsidRPr="00291BC3" w:rsidRDefault="0032728F" w:rsidP="0096151A">
      <w:pPr>
        <w:tabs>
          <w:tab w:val="left" w:pos="3686"/>
        </w:tabs>
        <w:spacing w:after="0" w:line="480" w:lineRule="auto"/>
        <w:ind w:left="0"/>
        <w:rPr>
          <w:rFonts w:cs="Arial"/>
          <w:szCs w:val="24"/>
          <w:lang w:eastAsia="en-GB"/>
        </w:rPr>
      </w:pPr>
      <w:r w:rsidRPr="00291BC3">
        <w:rPr>
          <w:rFonts w:cs="Arial"/>
          <w:szCs w:val="24"/>
          <w:lang w:eastAsia="en-GB"/>
        </w:rPr>
        <w:t>Instructed by:</w:t>
      </w:r>
      <w:r w:rsidR="00F92417" w:rsidRPr="00291BC3">
        <w:rPr>
          <w:rFonts w:cs="Arial"/>
          <w:szCs w:val="24"/>
          <w:lang w:eastAsia="en-GB"/>
        </w:rPr>
        <w:t xml:space="preserve">  </w:t>
      </w:r>
      <w:r w:rsidR="0096151A" w:rsidRPr="00291BC3">
        <w:rPr>
          <w:rFonts w:cs="Arial"/>
          <w:szCs w:val="24"/>
          <w:lang w:eastAsia="en-GB"/>
        </w:rPr>
        <w:tab/>
      </w:r>
      <w:r w:rsidR="00D04278" w:rsidRPr="00291BC3">
        <w:rPr>
          <w:rFonts w:cs="Arial"/>
          <w:szCs w:val="24"/>
          <w:lang w:eastAsia="en-GB"/>
        </w:rPr>
        <w:t>Mashiane Moodley Monama Attorneys</w:t>
      </w:r>
    </w:p>
    <w:p w14:paraId="0DE7BFBF" w14:textId="57E3CFAF" w:rsidR="001947E9" w:rsidRPr="00291BC3" w:rsidRDefault="001947E9" w:rsidP="00361D1C">
      <w:pPr>
        <w:spacing w:after="0" w:line="240" w:lineRule="auto"/>
        <w:ind w:left="0"/>
        <w:rPr>
          <w:rFonts w:eastAsia="Times New Roman" w:cs="Arial"/>
          <w:szCs w:val="24"/>
          <w:lang w:eastAsia="en-GB"/>
        </w:rPr>
      </w:pPr>
    </w:p>
    <w:p w14:paraId="59A34FA1" w14:textId="77777777" w:rsidR="00714341" w:rsidRPr="00291BC3" w:rsidRDefault="00714341" w:rsidP="00361D1C">
      <w:pPr>
        <w:pStyle w:val="JudgmentNumbered"/>
        <w:numPr>
          <w:ilvl w:val="0"/>
          <w:numId w:val="0"/>
        </w:numPr>
        <w:ind w:left="567" w:hanging="567"/>
        <w:rPr>
          <w:szCs w:val="24"/>
          <w:lang w:eastAsia="en-GB"/>
        </w:rPr>
      </w:pPr>
    </w:p>
    <w:sectPr w:rsidR="00714341" w:rsidRPr="00291BC3" w:rsidSect="00AE589D">
      <w:headerReference w:type="default" r:id="rId23"/>
      <w:endnotePr>
        <w:numFmt w:val="decimal"/>
      </w:endnotePr>
      <w:pgSz w:w="11907" w:h="16839" w:code="9"/>
      <w:pgMar w:top="1440"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BABC9" w14:textId="77777777" w:rsidR="00AE589D" w:rsidRDefault="00AE589D" w:rsidP="00940CD2">
      <w:pPr>
        <w:spacing w:after="0" w:line="240" w:lineRule="auto"/>
        <w:ind w:left="0"/>
      </w:pPr>
      <w:r>
        <w:separator/>
      </w:r>
    </w:p>
  </w:endnote>
  <w:endnote w:type="continuationSeparator" w:id="0">
    <w:p w14:paraId="32CEA73D" w14:textId="77777777" w:rsidR="00AE589D" w:rsidRDefault="00AE589D" w:rsidP="00E469E1">
      <w:pPr>
        <w:spacing w:after="0" w:line="240" w:lineRule="auto"/>
      </w:pPr>
      <w:r>
        <w:continuationSeparator/>
      </w:r>
    </w:p>
  </w:endnote>
  <w:endnote w:id="1">
    <w:p w14:paraId="63223EC7" w14:textId="4E018556" w:rsidR="00F92417" w:rsidRPr="008A4B8D" w:rsidRDefault="00F92417" w:rsidP="00136F73">
      <w:pPr>
        <w:pStyle w:val="Heading2"/>
        <w:shd w:val="clear" w:color="auto" w:fill="FFFFFF"/>
        <w:tabs>
          <w:tab w:val="left" w:pos="426"/>
        </w:tabs>
        <w:spacing w:before="0" w:beforeAutospacing="0" w:after="0" w:afterAutospacing="0"/>
        <w:ind w:left="426" w:hanging="426"/>
        <w:jc w:val="both"/>
        <w:rPr>
          <w:rFonts w:ascii="Arial" w:hAnsi="Arial" w:cs="Arial"/>
          <w:b w:val="0"/>
          <w:bCs w:val="0"/>
          <w:sz w:val="20"/>
          <w:szCs w:val="20"/>
          <w:lang w:val="en-US" w:eastAsia="en-US"/>
        </w:rPr>
      </w:pPr>
      <w:r w:rsidRPr="008A4B8D">
        <w:rPr>
          <w:rStyle w:val="EndnoteReference"/>
          <w:rFonts w:cs="Arial"/>
          <w:sz w:val="20"/>
          <w:szCs w:val="20"/>
        </w:rPr>
        <w:endnoteRef/>
      </w:r>
      <w:r w:rsidRPr="008A4B8D">
        <w:rPr>
          <w:rFonts w:ascii="Arial" w:hAnsi="Arial" w:cs="Arial"/>
          <w:sz w:val="20"/>
          <w:szCs w:val="20"/>
        </w:rPr>
        <w:t xml:space="preserve"> </w:t>
      </w:r>
      <w:r w:rsidRPr="008A4B8D">
        <w:rPr>
          <w:rFonts w:ascii="Arial" w:hAnsi="Arial" w:cs="Arial"/>
          <w:sz w:val="20"/>
          <w:szCs w:val="20"/>
        </w:rPr>
        <w:tab/>
      </w:r>
      <w:r w:rsidRPr="008A4B8D">
        <w:rPr>
          <w:rFonts w:ascii="Arial" w:hAnsi="Arial" w:cs="Arial"/>
          <w:b w:val="0"/>
          <w:bCs w:val="0"/>
          <w:sz w:val="20"/>
          <w:szCs w:val="20"/>
          <w:lang w:val="en-US" w:eastAsia="en-US"/>
        </w:rPr>
        <w:t>2013 (5) SA 89 (CC)</w:t>
      </w:r>
      <w:r w:rsidR="00861540" w:rsidRPr="008A4B8D">
        <w:rPr>
          <w:rFonts w:ascii="Arial" w:hAnsi="Arial" w:cs="Arial"/>
          <w:b w:val="0"/>
          <w:bCs w:val="0"/>
          <w:sz w:val="20"/>
          <w:szCs w:val="20"/>
          <w:lang w:val="en-US" w:eastAsia="en-US"/>
        </w:rPr>
        <w:t>.</w:t>
      </w:r>
    </w:p>
  </w:endnote>
  <w:endnote w:id="2">
    <w:p w14:paraId="54C731C5" w14:textId="2079811B" w:rsidR="00F92417" w:rsidRPr="008A4B8D" w:rsidRDefault="00F92417" w:rsidP="00136F73">
      <w:pPr>
        <w:pStyle w:val="EndnoteText"/>
        <w:tabs>
          <w:tab w:val="left" w:pos="426"/>
        </w:tabs>
        <w:ind w:left="426" w:hanging="426"/>
        <w:rPr>
          <w:lang w:val="en-US"/>
        </w:rPr>
      </w:pPr>
      <w:r w:rsidRPr="008A4B8D">
        <w:rPr>
          <w:rStyle w:val="EndnoteReference"/>
          <w:sz w:val="20"/>
        </w:rPr>
        <w:endnoteRef/>
      </w:r>
      <w:r w:rsidRPr="008A4B8D">
        <w:t xml:space="preserve"> </w:t>
      </w:r>
      <w:r w:rsidRPr="008A4B8D">
        <w:tab/>
      </w:r>
      <w:r w:rsidRPr="008A4B8D">
        <w:rPr>
          <w:lang w:val="en-US"/>
        </w:rPr>
        <w:t>See para 29.</w:t>
      </w:r>
    </w:p>
  </w:endnote>
  <w:endnote w:id="3">
    <w:p w14:paraId="56B462E7" w14:textId="4E873927" w:rsidR="00F92417" w:rsidRPr="008A4B8D" w:rsidRDefault="00F92417" w:rsidP="00136F73">
      <w:pPr>
        <w:pStyle w:val="EndnoteText"/>
        <w:tabs>
          <w:tab w:val="left" w:pos="426"/>
        </w:tabs>
        <w:ind w:left="426" w:hanging="426"/>
        <w:rPr>
          <w:lang w:val="en-US"/>
        </w:rPr>
      </w:pPr>
      <w:r w:rsidRPr="008A4B8D">
        <w:rPr>
          <w:rStyle w:val="EndnoteReference"/>
          <w:sz w:val="20"/>
        </w:rPr>
        <w:endnoteRef/>
      </w:r>
      <w:r w:rsidRPr="008A4B8D">
        <w:t xml:space="preserve"> </w:t>
      </w:r>
      <w:r w:rsidRPr="008A4B8D">
        <w:tab/>
      </w:r>
      <w:r w:rsidRPr="008A4B8D">
        <w:rPr>
          <w:lang w:val="en-US"/>
        </w:rPr>
        <w:t xml:space="preserve">2000 (1) SA 409 (CC). This quotation, which appears in para 30 of </w:t>
      </w:r>
      <w:r w:rsidRPr="008A4B8D">
        <w:rPr>
          <w:i/>
          <w:iCs/>
          <w:lang w:val="en-US"/>
        </w:rPr>
        <w:t>Mukkadam</w:t>
      </w:r>
      <w:r w:rsidRPr="008A4B8D">
        <w:rPr>
          <w:lang w:val="en-US"/>
        </w:rPr>
        <w:t xml:space="preserve">, is drawn from para 22 of </w:t>
      </w:r>
      <w:r w:rsidRPr="008A4B8D">
        <w:rPr>
          <w:i/>
          <w:iCs/>
          <w:lang w:val="en-US"/>
        </w:rPr>
        <w:t>Chief Lesapo</w:t>
      </w:r>
      <w:r w:rsidRPr="008A4B8D">
        <w:rPr>
          <w:lang w:val="en-US"/>
        </w:rPr>
        <w:t>.</w:t>
      </w:r>
    </w:p>
  </w:endnote>
  <w:endnote w:id="4">
    <w:p w14:paraId="3F0581CC" w14:textId="2AE62FA2" w:rsidR="00F92417" w:rsidRPr="008A4B8D" w:rsidRDefault="00F92417" w:rsidP="00136F73">
      <w:pPr>
        <w:pStyle w:val="EndnoteText"/>
        <w:tabs>
          <w:tab w:val="left" w:pos="426"/>
        </w:tabs>
        <w:ind w:left="426" w:hanging="426"/>
        <w:rPr>
          <w:lang w:val="en-US"/>
        </w:rPr>
      </w:pPr>
      <w:r w:rsidRPr="008A4B8D">
        <w:rPr>
          <w:rStyle w:val="EndnoteReference"/>
          <w:sz w:val="20"/>
        </w:rPr>
        <w:endnoteRef/>
      </w:r>
      <w:r w:rsidRPr="008A4B8D">
        <w:t xml:space="preserve"> </w:t>
      </w:r>
      <w:r w:rsidRPr="008A4B8D">
        <w:tab/>
      </w:r>
      <w:r w:rsidRPr="008A4B8D">
        <w:rPr>
          <w:lang w:val="en-US"/>
        </w:rPr>
        <w:t>See paras 31–32.</w:t>
      </w:r>
    </w:p>
  </w:endnote>
  <w:endnote w:id="5">
    <w:p w14:paraId="3FC51951" w14:textId="3940FBD9" w:rsidR="00136F73" w:rsidRPr="008A4B8D" w:rsidRDefault="00136F73" w:rsidP="00136F73">
      <w:pPr>
        <w:pStyle w:val="EndnoteText"/>
        <w:tabs>
          <w:tab w:val="left" w:pos="426"/>
        </w:tabs>
        <w:ind w:left="426" w:hanging="426"/>
        <w:rPr>
          <w:lang w:val="en-US"/>
        </w:rPr>
      </w:pPr>
      <w:r w:rsidRPr="008A4B8D">
        <w:rPr>
          <w:rStyle w:val="EndnoteReference"/>
          <w:sz w:val="20"/>
        </w:rPr>
        <w:endnoteRef/>
      </w:r>
      <w:r w:rsidRPr="008A4B8D">
        <w:t xml:space="preserve"> </w:t>
      </w:r>
      <w:r w:rsidRPr="008A4B8D">
        <w:tab/>
      </w:r>
      <w:r w:rsidRPr="008A4B8D">
        <w:rPr>
          <w:rStyle w:val="apple-converted-space"/>
          <w:i/>
          <w:iCs/>
        </w:rPr>
        <w:t>Centre for Child Law v Fochville</w:t>
      </w:r>
      <w:r w:rsidRPr="008A4B8D">
        <w:rPr>
          <w:rStyle w:val="apple-converted-space"/>
        </w:rPr>
        <w:t xml:space="preserve"> </w:t>
      </w:r>
      <w:r w:rsidRPr="008A4B8D">
        <w:rPr>
          <w:lang w:val="en-US"/>
        </w:rPr>
        <w:t>2016 (2) SA 121 (SCA), at para 17.</w:t>
      </w:r>
    </w:p>
  </w:endnote>
  <w:endnote w:id="6">
    <w:p w14:paraId="1B98E1D5" w14:textId="7276D658" w:rsidR="00136F73" w:rsidRPr="008A4B8D" w:rsidRDefault="00136F73" w:rsidP="00136F73">
      <w:pPr>
        <w:pStyle w:val="EndnoteText"/>
        <w:tabs>
          <w:tab w:val="left" w:pos="426"/>
        </w:tabs>
        <w:ind w:left="426" w:hanging="426"/>
        <w:rPr>
          <w:lang w:val="en-US"/>
        </w:rPr>
      </w:pPr>
      <w:r w:rsidRPr="008A4B8D">
        <w:rPr>
          <w:rStyle w:val="EndnoteReference"/>
          <w:sz w:val="20"/>
        </w:rPr>
        <w:endnoteRef/>
      </w:r>
      <w:r w:rsidRPr="008A4B8D">
        <w:t xml:space="preserve"> </w:t>
      </w:r>
      <w:r w:rsidRPr="008A4B8D">
        <w:tab/>
      </w:r>
      <w:r w:rsidRPr="008A4B8D">
        <w:rPr>
          <w:rFonts w:cs="Arial"/>
          <w:lang w:eastAsia="en-GB"/>
        </w:rPr>
        <w:t>2013 (5) SA 399 (SCA)</w:t>
      </w:r>
      <w:r w:rsidRPr="008A4B8D">
        <w:rPr>
          <w:lang w:eastAsia="en-GB"/>
        </w:rPr>
        <w:t>.</w:t>
      </w:r>
    </w:p>
  </w:endnote>
  <w:endnote w:id="7">
    <w:p w14:paraId="4EAA63E5" w14:textId="581B22A1" w:rsidR="00136F73" w:rsidRPr="008A4B8D" w:rsidRDefault="00136F73" w:rsidP="00136F73">
      <w:pPr>
        <w:pStyle w:val="EndnoteText"/>
        <w:tabs>
          <w:tab w:val="left" w:pos="426"/>
        </w:tabs>
        <w:ind w:left="426" w:hanging="426"/>
        <w:rPr>
          <w:lang w:val="en-US"/>
        </w:rPr>
      </w:pPr>
      <w:r w:rsidRPr="008A4B8D">
        <w:rPr>
          <w:rStyle w:val="EndnoteReference"/>
          <w:sz w:val="20"/>
        </w:rPr>
        <w:endnoteRef/>
      </w:r>
      <w:r w:rsidRPr="008A4B8D">
        <w:t xml:space="preserve"> </w:t>
      </w:r>
      <w:r w:rsidRPr="008A4B8D">
        <w:tab/>
      </w:r>
      <w:r w:rsidRPr="008A4B8D">
        <w:rPr>
          <w:lang w:val="en-US"/>
        </w:rPr>
        <w:t>See paras 18–19.</w:t>
      </w:r>
    </w:p>
  </w:endnote>
  <w:endnote w:id="8">
    <w:p w14:paraId="1A36AF1D" w14:textId="5DE46D0E" w:rsidR="00110BD8" w:rsidRPr="008A4B8D" w:rsidRDefault="00110BD8" w:rsidP="008A4B8D">
      <w:pPr>
        <w:pStyle w:val="EndnoteText"/>
        <w:tabs>
          <w:tab w:val="left" w:pos="426"/>
        </w:tabs>
        <w:ind w:left="426" w:hanging="426"/>
        <w:rPr>
          <w:lang w:val="en-US"/>
        </w:rPr>
      </w:pPr>
      <w:r w:rsidRPr="008A4B8D">
        <w:rPr>
          <w:rStyle w:val="EndnoteReference"/>
        </w:rPr>
        <w:endnoteRef/>
      </w:r>
      <w:r w:rsidRPr="008A4B8D">
        <w:t xml:space="preserve"> </w:t>
      </w:r>
      <w:r w:rsidR="008A4B8D" w:rsidRPr="008A4B8D">
        <w:tab/>
      </w:r>
      <w:r w:rsidRPr="008A4B8D">
        <w:rPr>
          <w:rFonts w:ascii="Calibri" w:hAnsi="Calibri" w:cs="Calibri"/>
          <w:i/>
          <w:iCs/>
          <w:sz w:val="22"/>
          <w:szCs w:val="22"/>
        </w:rPr>
        <w:t>Faischt v Colonial Government</w:t>
      </w:r>
      <w:r w:rsidRPr="008A4B8D">
        <w:rPr>
          <w:rFonts w:ascii="Calibri" w:hAnsi="Calibri" w:cs="Calibri"/>
          <w:sz w:val="22"/>
          <w:szCs w:val="22"/>
        </w:rPr>
        <w:t xml:space="preserve"> (1903) 20 SC 211; </w:t>
      </w:r>
      <w:r w:rsidRPr="008A4B8D">
        <w:rPr>
          <w:rFonts w:ascii="Calibri" w:hAnsi="Calibri" w:cs="Calibri"/>
          <w:i/>
          <w:iCs/>
          <w:sz w:val="22"/>
          <w:szCs w:val="22"/>
        </w:rPr>
        <w:t>De Beer v Minister of Posts and Telegraphs</w:t>
      </w:r>
      <w:r w:rsidRPr="008A4B8D">
        <w:rPr>
          <w:rFonts w:ascii="Calibri" w:hAnsi="Calibri" w:cs="Calibri"/>
          <w:sz w:val="22"/>
          <w:szCs w:val="22"/>
        </w:rPr>
        <w:t xml:space="preserve"> 1923 (AD) 653.</w:t>
      </w:r>
    </w:p>
  </w:endnote>
  <w:endnote w:id="9">
    <w:p w14:paraId="0E8E52C4" w14:textId="09D6AEAE" w:rsidR="00136F73" w:rsidRPr="008A4B8D" w:rsidRDefault="00136F73" w:rsidP="00136F73">
      <w:pPr>
        <w:pStyle w:val="EndnoteText"/>
        <w:tabs>
          <w:tab w:val="left" w:pos="426"/>
        </w:tabs>
        <w:ind w:left="426" w:hanging="426"/>
        <w:rPr>
          <w:lang w:val="en-US"/>
        </w:rPr>
      </w:pPr>
      <w:r w:rsidRPr="008A4B8D">
        <w:rPr>
          <w:rStyle w:val="EndnoteReference"/>
          <w:sz w:val="20"/>
        </w:rPr>
        <w:endnoteRef/>
      </w:r>
      <w:r w:rsidRPr="008A4B8D">
        <w:t xml:space="preserve"> </w:t>
      </w:r>
      <w:r w:rsidRPr="008A4B8D">
        <w:tab/>
        <w:t xml:space="preserve">In </w:t>
      </w:r>
      <w:r w:rsidRPr="008A4B8D">
        <w:rPr>
          <w:bCs/>
          <w:i/>
        </w:rPr>
        <w:t>Afrisun Mpumalanga (Pty) Ltd v Kunene NO and Others</w:t>
      </w:r>
      <w:r w:rsidRPr="008A4B8D">
        <w:t xml:space="preserve"> 1999 (2) SA 599 (TPD).</w:t>
      </w:r>
    </w:p>
  </w:endnote>
  <w:endnote w:id="10">
    <w:p w14:paraId="0C072DE2" w14:textId="2C2C49C8" w:rsidR="00136F73" w:rsidRPr="008A4B8D" w:rsidRDefault="00136F73" w:rsidP="00136F73">
      <w:pPr>
        <w:pStyle w:val="EndnoteText"/>
        <w:tabs>
          <w:tab w:val="left" w:pos="426"/>
        </w:tabs>
        <w:ind w:left="426" w:hanging="426"/>
        <w:rPr>
          <w:lang w:val="en-US"/>
        </w:rPr>
      </w:pPr>
      <w:r w:rsidRPr="008A4B8D">
        <w:rPr>
          <w:rStyle w:val="EndnoteReference"/>
          <w:sz w:val="20"/>
        </w:rPr>
        <w:endnoteRef/>
      </w:r>
      <w:r w:rsidRPr="008A4B8D">
        <w:t xml:space="preserve"> </w:t>
      </w:r>
      <w:r w:rsidRPr="008A4B8D">
        <w:tab/>
      </w:r>
      <w:r w:rsidRPr="008A4B8D">
        <w:rPr>
          <w:rFonts w:cs="Arial"/>
          <w:lang w:eastAsia="en-GB"/>
        </w:rPr>
        <w:t>2013 (3) SA 140 (GSJ).</w:t>
      </w:r>
    </w:p>
  </w:endnote>
  <w:endnote w:id="11">
    <w:p w14:paraId="5E161B76" w14:textId="297429E1" w:rsidR="00136F73" w:rsidRPr="008A4B8D" w:rsidRDefault="00136F73" w:rsidP="00136F73">
      <w:pPr>
        <w:pStyle w:val="EndnoteText"/>
        <w:tabs>
          <w:tab w:val="left" w:pos="426"/>
        </w:tabs>
        <w:ind w:left="426" w:hanging="426"/>
        <w:rPr>
          <w:lang w:val="en-US"/>
        </w:rPr>
      </w:pPr>
      <w:r w:rsidRPr="008A4B8D">
        <w:rPr>
          <w:rStyle w:val="EndnoteReference"/>
          <w:sz w:val="20"/>
        </w:rPr>
        <w:endnoteRef/>
      </w:r>
      <w:r w:rsidRPr="008A4B8D">
        <w:t xml:space="preserve"> </w:t>
      </w:r>
      <w:r w:rsidRPr="008A4B8D">
        <w:tab/>
        <w:t>See para 18.</w:t>
      </w:r>
    </w:p>
  </w:endnote>
  <w:endnote w:id="12">
    <w:p w14:paraId="7B7D8C21" w14:textId="16BCD409" w:rsidR="00136F73" w:rsidRPr="008A4B8D" w:rsidRDefault="00136F73" w:rsidP="00136F73">
      <w:pPr>
        <w:pStyle w:val="EndnoteText"/>
        <w:tabs>
          <w:tab w:val="left" w:pos="426"/>
        </w:tabs>
        <w:ind w:left="426" w:hanging="426"/>
        <w:rPr>
          <w:lang w:val="en-US"/>
        </w:rPr>
      </w:pPr>
      <w:r w:rsidRPr="008A4B8D">
        <w:rPr>
          <w:rStyle w:val="EndnoteReference"/>
          <w:sz w:val="20"/>
        </w:rPr>
        <w:endnoteRef/>
      </w:r>
      <w:r w:rsidRPr="008A4B8D">
        <w:t xml:space="preserve"> </w:t>
      </w:r>
      <w:r w:rsidRPr="008A4B8D">
        <w:tab/>
        <w:t>See para 19.</w:t>
      </w:r>
    </w:p>
  </w:endnote>
  <w:endnote w:id="13">
    <w:p w14:paraId="78FD36EF" w14:textId="17BD5417" w:rsidR="00136F73" w:rsidRPr="008A4B8D" w:rsidRDefault="00136F73" w:rsidP="00136F73">
      <w:pPr>
        <w:pStyle w:val="EndnoteText"/>
        <w:tabs>
          <w:tab w:val="left" w:pos="426"/>
        </w:tabs>
        <w:ind w:left="426" w:hanging="426"/>
        <w:rPr>
          <w:lang w:val="en-US"/>
        </w:rPr>
      </w:pPr>
      <w:r w:rsidRPr="008A4B8D">
        <w:rPr>
          <w:rStyle w:val="EndnoteReference"/>
          <w:sz w:val="20"/>
        </w:rPr>
        <w:endnoteRef/>
      </w:r>
      <w:r w:rsidRPr="008A4B8D">
        <w:t xml:space="preserve"> </w:t>
      </w:r>
      <w:r w:rsidRPr="008A4B8D">
        <w:tab/>
        <w:t>See para 19.</w:t>
      </w:r>
    </w:p>
  </w:endnote>
  <w:endnote w:id="14">
    <w:p w14:paraId="08B4E13D" w14:textId="13885AB8" w:rsidR="00136F73" w:rsidRPr="008A4B8D" w:rsidRDefault="00136F73" w:rsidP="00136F73">
      <w:pPr>
        <w:pStyle w:val="EndnoteText"/>
        <w:tabs>
          <w:tab w:val="left" w:pos="426"/>
        </w:tabs>
        <w:ind w:left="426" w:hanging="426"/>
        <w:rPr>
          <w:lang w:val="en-US"/>
        </w:rPr>
      </w:pPr>
      <w:r w:rsidRPr="008A4B8D">
        <w:rPr>
          <w:rStyle w:val="EndnoteReference"/>
          <w:sz w:val="20"/>
        </w:rPr>
        <w:endnoteRef/>
      </w:r>
      <w:r w:rsidRPr="008A4B8D">
        <w:t xml:space="preserve"> </w:t>
      </w:r>
      <w:r w:rsidRPr="008A4B8D">
        <w:rPr>
          <w:rFonts w:ascii="Verdana" w:hAnsi="Verdana"/>
          <w:shd w:val="clear" w:color="auto" w:fill="FFFFFF"/>
        </w:rPr>
        <w:t> </w:t>
      </w:r>
      <w:r w:rsidRPr="008A4B8D">
        <w:rPr>
          <w:rFonts w:ascii="Verdana" w:hAnsi="Verdana"/>
          <w:shd w:val="clear" w:color="auto" w:fill="FFFFFF"/>
        </w:rPr>
        <w:tab/>
      </w:r>
      <w:r w:rsidRPr="008A4B8D">
        <w:rPr>
          <w:rFonts w:cs="Arial"/>
          <w:i/>
          <w:iCs/>
          <w:shd w:val="clear" w:color="auto" w:fill="FFFFFF"/>
        </w:rPr>
        <w:t>Erasmus Superior Court Practice</w:t>
      </w:r>
      <w:r w:rsidRPr="008A4B8D">
        <w:rPr>
          <w:rFonts w:cs="Arial"/>
          <w:shd w:val="clear" w:color="auto" w:fill="FFFFFF"/>
        </w:rPr>
        <w:t>, RS 22, 2023, D1 Rule 27-4.</w:t>
      </w:r>
    </w:p>
  </w:endnote>
  <w:endnote w:id="15">
    <w:p w14:paraId="1E319B28" w14:textId="3BB81066" w:rsidR="00136F73" w:rsidRPr="008A4B8D" w:rsidRDefault="00136F73" w:rsidP="00136F73">
      <w:pPr>
        <w:pStyle w:val="EndnoteText"/>
        <w:tabs>
          <w:tab w:val="left" w:pos="426"/>
        </w:tabs>
        <w:ind w:left="426" w:hanging="426"/>
        <w:rPr>
          <w:lang w:val="en-US"/>
        </w:rPr>
      </w:pPr>
      <w:r w:rsidRPr="008A4B8D">
        <w:rPr>
          <w:rStyle w:val="EndnoteReference"/>
          <w:sz w:val="20"/>
        </w:rPr>
        <w:endnoteRef/>
      </w:r>
      <w:r w:rsidRPr="008A4B8D">
        <w:t xml:space="preserve"> </w:t>
      </w:r>
      <w:r w:rsidRPr="008A4B8D">
        <w:tab/>
      </w:r>
      <w:r w:rsidRPr="008A4B8D">
        <w:rPr>
          <w:rFonts w:cs="Arial"/>
          <w:i/>
          <w:iCs/>
          <w:shd w:val="clear" w:color="auto" w:fill="FFFFFF"/>
        </w:rPr>
        <w:t>Erasmus Superior Court Practice</w:t>
      </w:r>
      <w:r w:rsidRPr="008A4B8D">
        <w:rPr>
          <w:rFonts w:cs="Arial"/>
          <w:shd w:val="clear" w:color="auto" w:fill="FFFFFF"/>
        </w:rPr>
        <w:t>, RS 22, 2023, D1 Rule 27-5.</w:t>
      </w:r>
    </w:p>
  </w:endnote>
  <w:endnote w:id="16">
    <w:p w14:paraId="701A17A2" w14:textId="4BE83FD2" w:rsidR="00136F73" w:rsidRPr="008A4B8D" w:rsidRDefault="00136F73" w:rsidP="00136F73">
      <w:pPr>
        <w:pStyle w:val="EndnoteText"/>
        <w:tabs>
          <w:tab w:val="left" w:pos="426"/>
        </w:tabs>
        <w:ind w:left="426" w:hanging="426"/>
        <w:rPr>
          <w:lang w:val="en-US"/>
        </w:rPr>
      </w:pPr>
      <w:r w:rsidRPr="008A4B8D">
        <w:rPr>
          <w:rStyle w:val="EndnoteReference"/>
          <w:sz w:val="20"/>
        </w:rPr>
        <w:endnoteRef/>
      </w:r>
      <w:r w:rsidRPr="008A4B8D">
        <w:t xml:space="preserve"> </w:t>
      </w:r>
      <w:r w:rsidRPr="008A4B8D">
        <w:tab/>
      </w:r>
      <w:r w:rsidRPr="008A4B8D">
        <w:rPr>
          <w:rFonts w:cs="Arial"/>
          <w:i/>
          <w:iCs/>
        </w:rPr>
        <w:t xml:space="preserve">Duncan t/a San Sales v Herbor Investments (Pty) Ltd </w:t>
      </w:r>
      <w:r w:rsidRPr="008A4B8D">
        <w:rPr>
          <w:rFonts w:cs="Arial"/>
        </w:rPr>
        <w:t>1974 (2) SA 214 (T), at 216E–H.</w:t>
      </w:r>
    </w:p>
  </w:endnote>
  <w:endnote w:id="17">
    <w:p w14:paraId="34099458" w14:textId="75D036C4" w:rsidR="00136F73" w:rsidRPr="008A4B8D" w:rsidRDefault="00136F73" w:rsidP="00136F73">
      <w:pPr>
        <w:pStyle w:val="EndnoteText"/>
        <w:tabs>
          <w:tab w:val="left" w:pos="426"/>
        </w:tabs>
        <w:ind w:left="426" w:hanging="426"/>
        <w:rPr>
          <w:lang w:val="en-US"/>
        </w:rPr>
      </w:pPr>
      <w:r w:rsidRPr="008A4B8D">
        <w:rPr>
          <w:rStyle w:val="EndnoteReference"/>
          <w:sz w:val="20"/>
        </w:rPr>
        <w:endnoteRef/>
      </w:r>
      <w:r w:rsidRPr="008A4B8D">
        <w:t xml:space="preserve"> </w:t>
      </w:r>
      <w:r w:rsidRPr="008A4B8D">
        <w:tab/>
      </w:r>
      <w:r w:rsidRPr="008A4B8D">
        <w:rPr>
          <w:rFonts w:cs="Arial"/>
          <w:i/>
          <w:iCs/>
          <w:shd w:val="clear" w:color="auto" w:fill="FFFFFF"/>
        </w:rPr>
        <w:t xml:space="preserve">Ferris v FirstRand Bank Ltd </w:t>
      </w:r>
      <w:r w:rsidRPr="008A4B8D">
        <w:rPr>
          <w:rFonts w:cs="Arial"/>
          <w:shd w:val="clear" w:color="auto" w:fill="FFFFFF"/>
        </w:rPr>
        <w:t>2014 (3) SA 39 (CC), at 43G–44A.</w:t>
      </w:r>
    </w:p>
  </w:endnote>
  <w:endnote w:id="18">
    <w:p w14:paraId="59080A63" w14:textId="4F7CCB8D" w:rsidR="00136F73" w:rsidRPr="008A4B8D" w:rsidRDefault="00136F73" w:rsidP="00136F73">
      <w:pPr>
        <w:pStyle w:val="EndnoteText"/>
        <w:tabs>
          <w:tab w:val="left" w:pos="426"/>
        </w:tabs>
        <w:ind w:left="426" w:hanging="426"/>
        <w:rPr>
          <w:lang w:val="en-US"/>
        </w:rPr>
      </w:pPr>
      <w:r w:rsidRPr="008A4B8D">
        <w:rPr>
          <w:rStyle w:val="EndnoteReference"/>
          <w:sz w:val="20"/>
        </w:rPr>
        <w:endnoteRef/>
      </w:r>
      <w:r w:rsidRPr="008A4B8D">
        <w:t xml:space="preserve"> </w:t>
      </w:r>
      <w:r w:rsidRPr="008A4B8D">
        <w:tab/>
      </w:r>
      <w:r w:rsidRPr="008A4B8D">
        <w:rPr>
          <w:rFonts w:cs="Arial"/>
          <w:shd w:val="clear" w:color="auto" w:fill="FFFFFF"/>
        </w:rPr>
        <w:t>1972 (1) SA 503 (O).</w:t>
      </w:r>
    </w:p>
  </w:endnote>
  <w:endnote w:id="19">
    <w:p w14:paraId="24834C56" w14:textId="76DD632E" w:rsidR="00136F73" w:rsidRPr="008A4B8D" w:rsidRDefault="00136F73" w:rsidP="00136F73">
      <w:pPr>
        <w:pStyle w:val="EndnoteText"/>
        <w:tabs>
          <w:tab w:val="left" w:pos="426"/>
        </w:tabs>
        <w:ind w:left="426" w:hanging="426"/>
        <w:rPr>
          <w:lang w:val="en-US"/>
        </w:rPr>
      </w:pPr>
      <w:r w:rsidRPr="008A4B8D">
        <w:rPr>
          <w:rStyle w:val="EndnoteReference"/>
          <w:sz w:val="20"/>
        </w:rPr>
        <w:endnoteRef/>
      </w:r>
      <w:r w:rsidRPr="008A4B8D">
        <w:t xml:space="preserve"> </w:t>
      </w:r>
      <w:r w:rsidRPr="008A4B8D">
        <w:tab/>
      </w:r>
      <w:r w:rsidRPr="008A4B8D">
        <w:rPr>
          <w:rFonts w:cs="Arial"/>
          <w:shd w:val="clear" w:color="auto" w:fill="FFFFFF"/>
        </w:rPr>
        <w:t>At 504F.</w:t>
      </w:r>
    </w:p>
  </w:endnote>
  <w:endnote w:id="20">
    <w:p w14:paraId="0EC80212" w14:textId="5C6DEB3A" w:rsidR="00136F73" w:rsidRPr="008A4B8D" w:rsidRDefault="00136F73" w:rsidP="00136F73">
      <w:pPr>
        <w:pStyle w:val="EndnoteText"/>
        <w:tabs>
          <w:tab w:val="left" w:pos="426"/>
        </w:tabs>
        <w:ind w:left="426" w:hanging="426"/>
        <w:rPr>
          <w:lang w:val="en-US"/>
        </w:rPr>
      </w:pPr>
      <w:r w:rsidRPr="008A4B8D">
        <w:rPr>
          <w:rStyle w:val="EndnoteReference"/>
          <w:sz w:val="20"/>
        </w:rPr>
        <w:endnoteRef/>
      </w:r>
      <w:r w:rsidRPr="008A4B8D">
        <w:t xml:space="preserve"> </w:t>
      </w:r>
      <w:r w:rsidRPr="008A4B8D">
        <w:tab/>
      </w:r>
      <w:r w:rsidRPr="008A4B8D">
        <w:rPr>
          <w:rFonts w:cs="Arial"/>
          <w:shd w:val="clear" w:color="auto" w:fill="FFFFFF"/>
        </w:rPr>
        <w:t>2023 JDR 3053 (GP).</w:t>
      </w:r>
    </w:p>
  </w:endnote>
  <w:endnote w:id="21">
    <w:p w14:paraId="7448F550" w14:textId="717FEEC3" w:rsidR="00136F73" w:rsidRPr="008A4B8D" w:rsidRDefault="00136F73" w:rsidP="00136F73">
      <w:pPr>
        <w:pStyle w:val="EndnoteText"/>
        <w:tabs>
          <w:tab w:val="left" w:pos="426"/>
        </w:tabs>
        <w:ind w:left="426" w:hanging="426"/>
        <w:rPr>
          <w:rFonts w:cs="Arial"/>
          <w:lang w:val="en-US"/>
        </w:rPr>
      </w:pPr>
      <w:r w:rsidRPr="008A4B8D">
        <w:rPr>
          <w:rStyle w:val="EndnoteReference"/>
          <w:rFonts w:cs="Arial"/>
          <w:sz w:val="20"/>
        </w:rPr>
        <w:endnoteRef/>
      </w:r>
      <w:r w:rsidRPr="008A4B8D">
        <w:rPr>
          <w:rFonts w:cs="Arial"/>
        </w:rPr>
        <w:t xml:space="preserve"> </w:t>
      </w:r>
      <w:r w:rsidRPr="008A4B8D">
        <w:rPr>
          <w:rFonts w:cs="Arial"/>
        </w:rPr>
        <w:tab/>
      </w:r>
      <w:r w:rsidRPr="008A4B8D">
        <w:rPr>
          <w:rFonts w:cs="Arial"/>
          <w:shd w:val="clear" w:color="auto" w:fill="FFFFFF"/>
        </w:rPr>
        <w:t>See para 43.</w:t>
      </w:r>
    </w:p>
  </w:endnote>
  <w:endnote w:id="22">
    <w:p w14:paraId="5C1446F2" w14:textId="6FD69094" w:rsidR="00136F73" w:rsidRPr="008A4B8D" w:rsidRDefault="00136F73" w:rsidP="00136F73">
      <w:pPr>
        <w:pStyle w:val="EndnoteText"/>
        <w:tabs>
          <w:tab w:val="left" w:pos="426"/>
        </w:tabs>
        <w:ind w:left="426" w:hanging="426"/>
        <w:rPr>
          <w:lang w:val="en-US"/>
        </w:rPr>
      </w:pPr>
      <w:r w:rsidRPr="008A4B8D">
        <w:rPr>
          <w:rStyle w:val="EndnoteReference"/>
          <w:sz w:val="20"/>
        </w:rPr>
        <w:endnoteRef/>
      </w:r>
      <w:r w:rsidRPr="008A4B8D">
        <w:t xml:space="preserve"> </w:t>
      </w:r>
      <w:r w:rsidRPr="008A4B8D">
        <w:tab/>
      </w:r>
      <w:r w:rsidRPr="008A4B8D">
        <w:rPr>
          <w:rFonts w:cs="Arial"/>
          <w:shd w:val="clear" w:color="auto" w:fill="FFFFFF"/>
        </w:rPr>
        <w:t>[2022] ZAGPJHC 418 (21 June 2022).</w:t>
      </w:r>
    </w:p>
  </w:endnote>
  <w:endnote w:id="23">
    <w:p w14:paraId="11FB7220" w14:textId="42490444" w:rsidR="00136F73" w:rsidRPr="008A4B8D" w:rsidRDefault="00136F73" w:rsidP="00136F73">
      <w:pPr>
        <w:pStyle w:val="EndnoteText"/>
        <w:tabs>
          <w:tab w:val="left" w:pos="426"/>
        </w:tabs>
        <w:ind w:left="426" w:hanging="426"/>
        <w:rPr>
          <w:rFonts w:cs="Arial"/>
          <w:lang w:val="en-US"/>
        </w:rPr>
      </w:pPr>
      <w:r w:rsidRPr="008A4B8D">
        <w:rPr>
          <w:rStyle w:val="EndnoteReference"/>
          <w:rFonts w:cs="Arial"/>
          <w:sz w:val="20"/>
        </w:rPr>
        <w:endnoteRef/>
      </w:r>
      <w:r w:rsidRPr="008A4B8D">
        <w:rPr>
          <w:rFonts w:cs="Arial"/>
        </w:rPr>
        <w:t xml:space="preserve"> </w:t>
      </w:r>
      <w:r w:rsidRPr="008A4B8D">
        <w:rPr>
          <w:rFonts w:cs="Arial"/>
          <w:shd w:val="clear" w:color="auto" w:fill="FFFFFF"/>
        </w:rPr>
        <w:t> </w:t>
      </w:r>
      <w:r w:rsidRPr="008A4B8D">
        <w:rPr>
          <w:rFonts w:cs="Arial"/>
          <w:shd w:val="clear" w:color="auto" w:fill="FFFFFF"/>
        </w:rPr>
        <w:tab/>
        <w:t>[2022] ZAMPMBHC 65 (8 August 2022).</w:t>
      </w:r>
    </w:p>
  </w:endnote>
  <w:endnote w:id="24">
    <w:p w14:paraId="76560100" w14:textId="2F560923" w:rsidR="00136F73" w:rsidRPr="00291BC3" w:rsidRDefault="00136F73" w:rsidP="00136F73">
      <w:pPr>
        <w:pStyle w:val="EndnoteText"/>
        <w:tabs>
          <w:tab w:val="left" w:pos="426"/>
        </w:tabs>
        <w:ind w:left="426" w:hanging="426"/>
        <w:rPr>
          <w:rFonts w:cs="Arial"/>
          <w:lang w:val="en-US"/>
        </w:rPr>
      </w:pPr>
      <w:r w:rsidRPr="008A4B8D">
        <w:rPr>
          <w:rStyle w:val="EndnoteReference"/>
          <w:rFonts w:cs="Arial"/>
          <w:sz w:val="20"/>
        </w:rPr>
        <w:endnoteRef/>
      </w:r>
      <w:r w:rsidRPr="008A4B8D">
        <w:rPr>
          <w:rFonts w:cs="Arial"/>
        </w:rPr>
        <w:t xml:space="preserve"> </w:t>
      </w:r>
      <w:r w:rsidRPr="008A4B8D">
        <w:rPr>
          <w:rFonts w:cs="Arial"/>
          <w:shd w:val="clear" w:color="auto" w:fill="FFFFFF"/>
        </w:rPr>
        <w:t> </w:t>
      </w:r>
      <w:r w:rsidRPr="008A4B8D">
        <w:rPr>
          <w:rFonts w:cs="Arial"/>
          <w:shd w:val="clear" w:color="auto" w:fill="FFFFFF"/>
        </w:rPr>
        <w:tab/>
        <w:t>At paras 12–13.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F728B" w14:textId="77777777" w:rsidR="00AE589D" w:rsidRDefault="00AE589D" w:rsidP="00714341">
      <w:pPr>
        <w:spacing w:after="0" w:line="240" w:lineRule="auto"/>
        <w:ind w:left="0"/>
      </w:pPr>
      <w:r>
        <w:separator/>
      </w:r>
    </w:p>
  </w:footnote>
  <w:footnote w:type="continuationSeparator" w:id="0">
    <w:p w14:paraId="32037E8F" w14:textId="77777777" w:rsidR="00AE589D" w:rsidRDefault="00AE589D" w:rsidP="00E46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735319145"/>
      <w:docPartObj>
        <w:docPartGallery w:val="Page Numbers (Top of Page)"/>
        <w:docPartUnique/>
      </w:docPartObj>
    </w:sdtPr>
    <w:sdtEndPr>
      <w:rPr>
        <w:noProof/>
      </w:rPr>
    </w:sdtEndPr>
    <w:sdtContent>
      <w:p w14:paraId="4D2BB564" w14:textId="76ACFF2C" w:rsidR="00361D1C" w:rsidRPr="00361D1C" w:rsidRDefault="00361D1C">
        <w:pPr>
          <w:pStyle w:val="Header"/>
          <w:jc w:val="right"/>
          <w:rPr>
            <w:noProof/>
            <w:sz w:val="22"/>
          </w:rPr>
        </w:pPr>
        <w:r w:rsidRPr="00361D1C">
          <w:rPr>
            <w:sz w:val="22"/>
          </w:rPr>
          <w:fldChar w:fldCharType="begin"/>
        </w:r>
        <w:r w:rsidRPr="00361D1C">
          <w:rPr>
            <w:sz w:val="22"/>
          </w:rPr>
          <w:instrText xml:space="preserve"> PAGE   \* MERGEFORMAT </w:instrText>
        </w:r>
        <w:r w:rsidRPr="00361D1C">
          <w:rPr>
            <w:sz w:val="22"/>
          </w:rPr>
          <w:fldChar w:fldCharType="separate"/>
        </w:r>
        <w:r w:rsidR="00961D42">
          <w:rPr>
            <w:noProof/>
            <w:sz w:val="22"/>
          </w:rPr>
          <w:t>2</w:t>
        </w:r>
        <w:r w:rsidRPr="00361D1C">
          <w:rPr>
            <w:noProof/>
            <w:sz w:val="22"/>
          </w:rPr>
          <w:fldChar w:fldCharType="end"/>
        </w:r>
      </w:p>
      <w:p w14:paraId="2D285F25" w14:textId="77777777" w:rsidR="00361D1C" w:rsidRPr="00361D1C" w:rsidRDefault="00361D1C">
        <w:pPr>
          <w:pStyle w:val="Header"/>
          <w:jc w:val="right"/>
          <w:rPr>
            <w:noProof/>
            <w:sz w:val="22"/>
          </w:rPr>
        </w:pPr>
      </w:p>
      <w:p w14:paraId="316A0B9C" w14:textId="0190DAD9" w:rsidR="00361D1C" w:rsidRPr="00361D1C" w:rsidRDefault="00000000">
        <w:pPr>
          <w:pStyle w:val="Header"/>
          <w:jc w:val="right"/>
          <w:rPr>
            <w:sz w:val="22"/>
          </w:rPr>
        </w:pPr>
      </w:p>
    </w:sdtContent>
  </w:sdt>
  <w:p w14:paraId="05803038" w14:textId="77777777" w:rsidR="00361D1C" w:rsidRPr="00361D1C" w:rsidRDefault="00361D1C">
    <w:pPr>
      <w:pStyle w:val="Head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A7EA35A"/>
    <w:name w:val="AutoList4"/>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5BA58F8"/>
    <w:multiLevelType w:val="hybridMultilevel"/>
    <w:tmpl w:val="EA64938E"/>
    <w:lvl w:ilvl="0" w:tplc="1C090019">
      <w:start w:val="1"/>
      <w:numFmt w:val="lowerLetter"/>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 w15:restartNumberingAfterBreak="0">
    <w:nsid w:val="06477E20"/>
    <w:multiLevelType w:val="hybridMultilevel"/>
    <w:tmpl w:val="3BC692B2"/>
    <w:lvl w:ilvl="0" w:tplc="213684F2">
      <w:start w:val="1"/>
      <w:numFmt w:val="lowerLetter"/>
      <w:lvlText w:val="(%1)"/>
      <w:lvlJc w:val="left"/>
      <w:pPr>
        <w:ind w:left="1778"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3" w15:restartNumberingAfterBreak="0">
    <w:nsid w:val="0862377A"/>
    <w:multiLevelType w:val="hybridMultilevel"/>
    <w:tmpl w:val="226AB856"/>
    <w:lvl w:ilvl="0" w:tplc="23DE4DEE">
      <w:start w:val="2"/>
      <w:numFmt w:val="lowerLetter"/>
      <w:lvlText w:val="%1."/>
      <w:lvlJc w:val="left"/>
      <w:pPr>
        <w:ind w:left="1800" w:hanging="360"/>
      </w:pPr>
      <w:rPr>
        <w:rFonts w:hint="default"/>
      </w:rPr>
    </w:lvl>
    <w:lvl w:ilvl="1" w:tplc="1C090019" w:tentative="1">
      <w:start w:val="1"/>
      <w:numFmt w:val="lowerLetter"/>
      <w:lvlText w:val="%2."/>
      <w:lvlJc w:val="left"/>
      <w:pPr>
        <w:ind w:left="2313" w:hanging="360"/>
      </w:pPr>
    </w:lvl>
    <w:lvl w:ilvl="2" w:tplc="1C09001B" w:tentative="1">
      <w:start w:val="1"/>
      <w:numFmt w:val="lowerRoman"/>
      <w:lvlText w:val="%3."/>
      <w:lvlJc w:val="right"/>
      <w:pPr>
        <w:ind w:left="3033" w:hanging="180"/>
      </w:pPr>
    </w:lvl>
    <w:lvl w:ilvl="3" w:tplc="1C09000F" w:tentative="1">
      <w:start w:val="1"/>
      <w:numFmt w:val="decimal"/>
      <w:lvlText w:val="%4."/>
      <w:lvlJc w:val="left"/>
      <w:pPr>
        <w:ind w:left="3753" w:hanging="360"/>
      </w:pPr>
    </w:lvl>
    <w:lvl w:ilvl="4" w:tplc="1C090019" w:tentative="1">
      <w:start w:val="1"/>
      <w:numFmt w:val="lowerLetter"/>
      <w:lvlText w:val="%5."/>
      <w:lvlJc w:val="left"/>
      <w:pPr>
        <w:ind w:left="4473" w:hanging="360"/>
      </w:pPr>
    </w:lvl>
    <w:lvl w:ilvl="5" w:tplc="1C09001B" w:tentative="1">
      <w:start w:val="1"/>
      <w:numFmt w:val="lowerRoman"/>
      <w:lvlText w:val="%6."/>
      <w:lvlJc w:val="right"/>
      <w:pPr>
        <w:ind w:left="5193" w:hanging="180"/>
      </w:pPr>
    </w:lvl>
    <w:lvl w:ilvl="6" w:tplc="1C09000F" w:tentative="1">
      <w:start w:val="1"/>
      <w:numFmt w:val="decimal"/>
      <w:lvlText w:val="%7."/>
      <w:lvlJc w:val="left"/>
      <w:pPr>
        <w:ind w:left="5913" w:hanging="360"/>
      </w:pPr>
    </w:lvl>
    <w:lvl w:ilvl="7" w:tplc="1C090019" w:tentative="1">
      <w:start w:val="1"/>
      <w:numFmt w:val="lowerLetter"/>
      <w:lvlText w:val="%8."/>
      <w:lvlJc w:val="left"/>
      <w:pPr>
        <w:ind w:left="6633" w:hanging="360"/>
      </w:pPr>
    </w:lvl>
    <w:lvl w:ilvl="8" w:tplc="1C09001B" w:tentative="1">
      <w:start w:val="1"/>
      <w:numFmt w:val="lowerRoman"/>
      <w:lvlText w:val="%9."/>
      <w:lvlJc w:val="right"/>
      <w:pPr>
        <w:ind w:left="7353" w:hanging="180"/>
      </w:pPr>
    </w:lvl>
  </w:abstractNum>
  <w:abstractNum w:abstractNumId="4" w15:restartNumberingAfterBreak="0">
    <w:nsid w:val="08BA0A26"/>
    <w:multiLevelType w:val="hybridMultilevel"/>
    <w:tmpl w:val="11625750"/>
    <w:lvl w:ilvl="0" w:tplc="9D9CCFDE">
      <w:start w:val="21"/>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6" w15:restartNumberingAfterBreak="0">
    <w:nsid w:val="0B9C2237"/>
    <w:multiLevelType w:val="hybridMultilevel"/>
    <w:tmpl w:val="AA66B1E4"/>
    <w:lvl w:ilvl="0" w:tplc="4B5EAC90">
      <w:start w:val="1"/>
      <w:numFmt w:val="lowerLetter"/>
      <w:lvlText w:val="(%1)"/>
      <w:lvlJc w:val="left"/>
      <w:pPr>
        <w:ind w:left="1087" w:hanging="360"/>
      </w:pPr>
      <w:rPr>
        <w:rFonts w:hint="default"/>
      </w:rPr>
    </w:lvl>
    <w:lvl w:ilvl="1" w:tplc="08090019" w:tentative="1">
      <w:start w:val="1"/>
      <w:numFmt w:val="lowerLetter"/>
      <w:lvlText w:val="%2."/>
      <w:lvlJc w:val="left"/>
      <w:pPr>
        <w:ind w:left="1807" w:hanging="360"/>
      </w:pPr>
    </w:lvl>
    <w:lvl w:ilvl="2" w:tplc="0809001B" w:tentative="1">
      <w:start w:val="1"/>
      <w:numFmt w:val="lowerRoman"/>
      <w:lvlText w:val="%3."/>
      <w:lvlJc w:val="right"/>
      <w:pPr>
        <w:ind w:left="2527" w:hanging="180"/>
      </w:pPr>
    </w:lvl>
    <w:lvl w:ilvl="3" w:tplc="0809000F" w:tentative="1">
      <w:start w:val="1"/>
      <w:numFmt w:val="decimal"/>
      <w:lvlText w:val="%4."/>
      <w:lvlJc w:val="left"/>
      <w:pPr>
        <w:ind w:left="3247" w:hanging="360"/>
      </w:pPr>
    </w:lvl>
    <w:lvl w:ilvl="4" w:tplc="08090019" w:tentative="1">
      <w:start w:val="1"/>
      <w:numFmt w:val="lowerLetter"/>
      <w:lvlText w:val="%5."/>
      <w:lvlJc w:val="left"/>
      <w:pPr>
        <w:ind w:left="3967" w:hanging="360"/>
      </w:pPr>
    </w:lvl>
    <w:lvl w:ilvl="5" w:tplc="0809001B" w:tentative="1">
      <w:start w:val="1"/>
      <w:numFmt w:val="lowerRoman"/>
      <w:lvlText w:val="%6."/>
      <w:lvlJc w:val="right"/>
      <w:pPr>
        <w:ind w:left="4687" w:hanging="180"/>
      </w:pPr>
    </w:lvl>
    <w:lvl w:ilvl="6" w:tplc="0809000F" w:tentative="1">
      <w:start w:val="1"/>
      <w:numFmt w:val="decimal"/>
      <w:lvlText w:val="%7."/>
      <w:lvlJc w:val="left"/>
      <w:pPr>
        <w:ind w:left="5407" w:hanging="360"/>
      </w:pPr>
    </w:lvl>
    <w:lvl w:ilvl="7" w:tplc="08090019" w:tentative="1">
      <w:start w:val="1"/>
      <w:numFmt w:val="lowerLetter"/>
      <w:lvlText w:val="%8."/>
      <w:lvlJc w:val="left"/>
      <w:pPr>
        <w:ind w:left="6127" w:hanging="360"/>
      </w:pPr>
    </w:lvl>
    <w:lvl w:ilvl="8" w:tplc="0809001B" w:tentative="1">
      <w:start w:val="1"/>
      <w:numFmt w:val="lowerRoman"/>
      <w:lvlText w:val="%9."/>
      <w:lvlJc w:val="right"/>
      <w:pPr>
        <w:ind w:left="6847" w:hanging="180"/>
      </w:pPr>
    </w:lvl>
  </w:abstractNum>
  <w:abstractNum w:abstractNumId="7" w15:restartNumberingAfterBreak="0">
    <w:nsid w:val="0DFE72EB"/>
    <w:multiLevelType w:val="multilevel"/>
    <w:tmpl w:val="D5105EA2"/>
    <w:lvl w:ilvl="0">
      <w:start w:val="8"/>
      <w:numFmt w:val="decimal"/>
      <w:lvlText w:val="%1"/>
      <w:lvlJc w:val="left"/>
      <w:pPr>
        <w:ind w:left="1142" w:hanging="412"/>
      </w:pPr>
      <w:rPr>
        <w:rFonts w:hint="default"/>
        <w:lang w:val="en-US" w:eastAsia="en-US" w:bidi="ar-SA"/>
      </w:rPr>
    </w:lvl>
    <w:lvl w:ilvl="1">
      <w:start w:val="1"/>
      <w:numFmt w:val="decimal"/>
      <w:lvlText w:val="%1.%2"/>
      <w:lvlJc w:val="left"/>
      <w:pPr>
        <w:ind w:left="1142" w:hanging="412"/>
      </w:pPr>
      <w:rPr>
        <w:rFonts w:ascii="Times New Roman" w:eastAsia="Times New Roman" w:hAnsi="Times New Roman" w:cs="Times New Roman" w:hint="default"/>
        <w:b w:val="0"/>
        <w:bCs w:val="0"/>
        <w:i w:val="0"/>
        <w:iCs w:val="0"/>
        <w:color w:val="464646"/>
        <w:spacing w:val="0"/>
        <w:w w:val="103"/>
        <w:sz w:val="26"/>
        <w:szCs w:val="26"/>
        <w:lang w:val="en-US" w:eastAsia="en-US" w:bidi="ar-SA"/>
      </w:rPr>
    </w:lvl>
    <w:lvl w:ilvl="2">
      <w:numFmt w:val="bullet"/>
      <w:lvlText w:val="•"/>
      <w:lvlJc w:val="left"/>
      <w:pPr>
        <w:ind w:left="3216" w:hanging="412"/>
      </w:pPr>
      <w:rPr>
        <w:rFonts w:hint="default"/>
        <w:lang w:val="en-US" w:eastAsia="en-US" w:bidi="ar-SA"/>
      </w:rPr>
    </w:lvl>
    <w:lvl w:ilvl="3">
      <w:numFmt w:val="bullet"/>
      <w:lvlText w:val="•"/>
      <w:lvlJc w:val="left"/>
      <w:pPr>
        <w:ind w:left="4254" w:hanging="412"/>
      </w:pPr>
      <w:rPr>
        <w:rFonts w:hint="default"/>
        <w:lang w:val="en-US" w:eastAsia="en-US" w:bidi="ar-SA"/>
      </w:rPr>
    </w:lvl>
    <w:lvl w:ilvl="4">
      <w:numFmt w:val="bullet"/>
      <w:lvlText w:val="•"/>
      <w:lvlJc w:val="left"/>
      <w:pPr>
        <w:ind w:left="5292" w:hanging="412"/>
      </w:pPr>
      <w:rPr>
        <w:rFonts w:hint="default"/>
        <w:lang w:val="en-US" w:eastAsia="en-US" w:bidi="ar-SA"/>
      </w:rPr>
    </w:lvl>
    <w:lvl w:ilvl="5">
      <w:numFmt w:val="bullet"/>
      <w:lvlText w:val="•"/>
      <w:lvlJc w:val="left"/>
      <w:pPr>
        <w:ind w:left="6330" w:hanging="412"/>
      </w:pPr>
      <w:rPr>
        <w:rFonts w:hint="default"/>
        <w:lang w:val="en-US" w:eastAsia="en-US" w:bidi="ar-SA"/>
      </w:rPr>
    </w:lvl>
    <w:lvl w:ilvl="6">
      <w:numFmt w:val="bullet"/>
      <w:lvlText w:val="•"/>
      <w:lvlJc w:val="left"/>
      <w:pPr>
        <w:ind w:left="7368" w:hanging="412"/>
      </w:pPr>
      <w:rPr>
        <w:rFonts w:hint="default"/>
        <w:lang w:val="en-US" w:eastAsia="en-US" w:bidi="ar-SA"/>
      </w:rPr>
    </w:lvl>
    <w:lvl w:ilvl="7">
      <w:numFmt w:val="bullet"/>
      <w:lvlText w:val="•"/>
      <w:lvlJc w:val="left"/>
      <w:pPr>
        <w:ind w:left="8406" w:hanging="412"/>
      </w:pPr>
      <w:rPr>
        <w:rFonts w:hint="default"/>
        <w:lang w:val="en-US" w:eastAsia="en-US" w:bidi="ar-SA"/>
      </w:rPr>
    </w:lvl>
    <w:lvl w:ilvl="8">
      <w:numFmt w:val="bullet"/>
      <w:lvlText w:val="•"/>
      <w:lvlJc w:val="left"/>
      <w:pPr>
        <w:ind w:left="9444" w:hanging="412"/>
      </w:pPr>
      <w:rPr>
        <w:rFonts w:hint="default"/>
        <w:lang w:val="en-US" w:eastAsia="en-US" w:bidi="ar-SA"/>
      </w:rPr>
    </w:lvl>
  </w:abstractNum>
  <w:abstractNum w:abstractNumId="8" w15:restartNumberingAfterBreak="0">
    <w:nsid w:val="0EE648F6"/>
    <w:multiLevelType w:val="multilevel"/>
    <w:tmpl w:val="C78AA242"/>
    <w:lvl w:ilvl="0">
      <w:start w:val="1"/>
      <w:numFmt w:val="decimal"/>
      <w:lvlText w:val="(%1)"/>
      <w:lvlJc w:val="left"/>
      <w:pPr>
        <w:ind w:left="360" w:hanging="360"/>
      </w:pPr>
      <w:rPr>
        <w:rFonts w:hint="default"/>
      </w:rPr>
    </w:lvl>
    <w:lvl w:ilvl="1">
      <w:start w:val="1"/>
      <w:numFmt w:val="decimal"/>
      <w:lvlText w:val="%1.%2."/>
      <w:lvlJc w:val="left"/>
      <w:pPr>
        <w:tabs>
          <w:tab w:val="num" w:pos="0"/>
        </w:tabs>
        <w:ind w:left="0" w:firstLine="0"/>
      </w:pPr>
      <w:rPr>
        <w:rFonts w:ascii="Arial" w:hAnsi="Arial" w:hint="default"/>
        <w:i/>
        <w:iCs/>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6601645"/>
    <w:multiLevelType w:val="hybridMultilevel"/>
    <w:tmpl w:val="160AFBCE"/>
    <w:lvl w:ilvl="0" w:tplc="C7942934">
      <w:start w:val="2"/>
      <w:numFmt w:val="lowerLetter"/>
      <w:lvlText w:val="(%1)"/>
      <w:lvlJc w:val="left"/>
      <w:pPr>
        <w:ind w:left="1495" w:hanging="360"/>
      </w:pPr>
      <w:rPr>
        <w:rFonts w:hint="default"/>
        <w:i w:val="0"/>
        <w:iCs/>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10" w15:restartNumberingAfterBreak="0">
    <w:nsid w:val="1AEA364C"/>
    <w:multiLevelType w:val="hybridMultilevel"/>
    <w:tmpl w:val="B5D2A8B8"/>
    <w:lvl w:ilvl="0" w:tplc="213684F2">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1F45473B"/>
    <w:multiLevelType w:val="multilevel"/>
    <w:tmpl w:val="191A5ECE"/>
    <w:lvl w:ilvl="0">
      <w:start w:val="1"/>
      <w:numFmt w:val="decimal"/>
      <w:pStyle w:val="JudgmentNumbered"/>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2" w15:restartNumberingAfterBreak="0">
    <w:nsid w:val="25501463"/>
    <w:multiLevelType w:val="hybridMultilevel"/>
    <w:tmpl w:val="02827C8E"/>
    <w:lvl w:ilvl="0" w:tplc="2F64870A">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3" w15:restartNumberingAfterBreak="0">
    <w:nsid w:val="2CCD6F14"/>
    <w:multiLevelType w:val="hybridMultilevel"/>
    <w:tmpl w:val="7F54371A"/>
    <w:lvl w:ilvl="0" w:tplc="65CE2400">
      <w:start w:val="1"/>
      <w:numFmt w:val="lowerLetter"/>
      <w:lvlText w:val="(%1)"/>
      <w:lvlJc w:val="left"/>
      <w:pPr>
        <w:ind w:left="2487" w:hanging="360"/>
      </w:pPr>
      <w:rPr>
        <w:rFonts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14" w15:restartNumberingAfterBreak="0">
    <w:nsid w:val="2F877919"/>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062690F"/>
    <w:multiLevelType w:val="hybridMultilevel"/>
    <w:tmpl w:val="198C623E"/>
    <w:lvl w:ilvl="0" w:tplc="8FB22970">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335A441E"/>
    <w:multiLevelType w:val="hybridMultilevel"/>
    <w:tmpl w:val="43C6993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5B058B0"/>
    <w:multiLevelType w:val="multilevel"/>
    <w:tmpl w:val="CDC485AE"/>
    <w:lvl w:ilvl="0">
      <w:start w:val="1"/>
      <w:numFmt w:val="decimal"/>
      <w:lvlText w:val="[%1]"/>
      <w:lvlJc w:val="left"/>
      <w:pPr>
        <w:ind w:left="1287"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8" w15:restartNumberingAfterBreak="0">
    <w:nsid w:val="35C15F3D"/>
    <w:multiLevelType w:val="hybridMultilevel"/>
    <w:tmpl w:val="7256AEA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B20792F"/>
    <w:multiLevelType w:val="hybridMultilevel"/>
    <w:tmpl w:val="C3FAC904"/>
    <w:lvl w:ilvl="0" w:tplc="540EF58C">
      <w:start w:val="21"/>
      <w:numFmt w:val="bullet"/>
      <w:lvlText w:val=""/>
      <w:lvlJc w:val="left"/>
      <w:pPr>
        <w:ind w:left="720" w:hanging="360"/>
      </w:pPr>
      <w:rPr>
        <w:rFonts w:ascii="Wingdings" w:eastAsia="Times New Roman" w:hAnsi="Wingdings"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40CF77C8"/>
    <w:multiLevelType w:val="hybridMultilevel"/>
    <w:tmpl w:val="2462345A"/>
    <w:lvl w:ilvl="0" w:tplc="9DF2B28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 w15:restartNumberingAfterBreak="0">
    <w:nsid w:val="41046C6B"/>
    <w:multiLevelType w:val="multilevel"/>
    <w:tmpl w:val="20860DB4"/>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3060D9F"/>
    <w:multiLevelType w:val="hybridMultilevel"/>
    <w:tmpl w:val="CA50E7C8"/>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23" w15:restartNumberingAfterBreak="0">
    <w:nsid w:val="44A77C74"/>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C47526"/>
    <w:multiLevelType w:val="multilevel"/>
    <w:tmpl w:val="F9E2DAF6"/>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5B015C7"/>
    <w:multiLevelType w:val="hybridMultilevel"/>
    <w:tmpl w:val="033200D2"/>
    <w:lvl w:ilvl="0" w:tplc="60BA2A96">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6" w15:restartNumberingAfterBreak="0">
    <w:nsid w:val="697C1A36"/>
    <w:multiLevelType w:val="hybridMultilevel"/>
    <w:tmpl w:val="2F24F616"/>
    <w:lvl w:ilvl="0" w:tplc="4FD054D0">
      <w:start w:val="1"/>
      <w:numFmt w:val="lowerRoman"/>
      <w:lvlText w:val="(%1)"/>
      <w:lvlJc w:val="left"/>
      <w:pPr>
        <w:ind w:left="2847" w:hanging="720"/>
      </w:pPr>
      <w:rPr>
        <w:rFonts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27" w15:restartNumberingAfterBreak="0">
    <w:nsid w:val="697E51E1"/>
    <w:multiLevelType w:val="hybridMultilevel"/>
    <w:tmpl w:val="D916BF82"/>
    <w:lvl w:ilvl="0" w:tplc="213684F2">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8" w15:restartNumberingAfterBreak="0">
    <w:nsid w:val="6B707D92"/>
    <w:multiLevelType w:val="multilevel"/>
    <w:tmpl w:val="4FE6B814"/>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B8F2BF0"/>
    <w:multiLevelType w:val="hybridMultilevel"/>
    <w:tmpl w:val="8812A772"/>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30" w15:restartNumberingAfterBreak="0">
    <w:nsid w:val="6C0C6876"/>
    <w:multiLevelType w:val="hybridMultilevel"/>
    <w:tmpl w:val="FD88D452"/>
    <w:lvl w:ilvl="0" w:tplc="0DD4DD80">
      <w:start w:val="1"/>
      <w:numFmt w:val="lowerLetter"/>
      <w:lvlText w:val="(%1)"/>
      <w:lvlJc w:val="left"/>
      <w:pPr>
        <w:ind w:left="1647" w:hanging="360"/>
      </w:pPr>
      <w:rPr>
        <w:rFonts w:hint="default"/>
      </w:rPr>
    </w:lvl>
    <w:lvl w:ilvl="1" w:tplc="1C090019" w:tentative="1">
      <w:start w:val="1"/>
      <w:numFmt w:val="lowerLetter"/>
      <w:lvlText w:val="%2."/>
      <w:lvlJc w:val="left"/>
      <w:pPr>
        <w:ind w:left="2367" w:hanging="360"/>
      </w:pPr>
    </w:lvl>
    <w:lvl w:ilvl="2" w:tplc="1C09001B" w:tentative="1">
      <w:start w:val="1"/>
      <w:numFmt w:val="lowerRoman"/>
      <w:lvlText w:val="%3."/>
      <w:lvlJc w:val="right"/>
      <w:pPr>
        <w:ind w:left="3087" w:hanging="180"/>
      </w:pPr>
    </w:lvl>
    <w:lvl w:ilvl="3" w:tplc="1C09000F" w:tentative="1">
      <w:start w:val="1"/>
      <w:numFmt w:val="decimal"/>
      <w:lvlText w:val="%4."/>
      <w:lvlJc w:val="left"/>
      <w:pPr>
        <w:ind w:left="3807" w:hanging="360"/>
      </w:pPr>
    </w:lvl>
    <w:lvl w:ilvl="4" w:tplc="1C090019" w:tentative="1">
      <w:start w:val="1"/>
      <w:numFmt w:val="lowerLetter"/>
      <w:lvlText w:val="%5."/>
      <w:lvlJc w:val="left"/>
      <w:pPr>
        <w:ind w:left="4527" w:hanging="360"/>
      </w:pPr>
    </w:lvl>
    <w:lvl w:ilvl="5" w:tplc="1C09001B" w:tentative="1">
      <w:start w:val="1"/>
      <w:numFmt w:val="lowerRoman"/>
      <w:lvlText w:val="%6."/>
      <w:lvlJc w:val="right"/>
      <w:pPr>
        <w:ind w:left="5247" w:hanging="180"/>
      </w:pPr>
    </w:lvl>
    <w:lvl w:ilvl="6" w:tplc="1C09000F" w:tentative="1">
      <w:start w:val="1"/>
      <w:numFmt w:val="decimal"/>
      <w:lvlText w:val="%7."/>
      <w:lvlJc w:val="left"/>
      <w:pPr>
        <w:ind w:left="5967" w:hanging="360"/>
      </w:pPr>
    </w:lvl>
    <w:lvl w:ilvl="7" w:tplc="1C090019" w:tentative="1">
      <w:start w:val="1"/>
      <w:numFmt w:val="lowerLetter"/>
      <w:lvlText w:val="%8."/>
      <w:lvlJc w:val="left"/>
      <w:pPr>
        <w:ind w:left="6687" w:hanging="360"/>
      </w:pPr>
    </w:lvl>
    <w:lvl w:ilvl="8" w:tplc="1C09001B" w:tentative="1">
      <w:start w:val="1"/>
      <w:numFmt w:val="lowerRoman"/>
      <w:lvlText w:val="%9."/>
      <w:lvlJc w:val="right"/>
      <w:pPr>
        <w:ind w:left="7407" w:hanging="180"/>
      </w:pPr>
    </w:lvl>
  </w:abstractNum>
  <w:abstractNum w:abstractNumId="31" w15:restartNumberingAfterBreak="0">
    <w:nsid w:val="6E0325AD"/>
    <w:multiLevelType w:val="hybridMultilevel"/>
    <w:tmpl w:val="6BCE26AE"/>
    <w:lvl w:ilvl="0" w:tplc="CEFC1BDE">
      <w:start w:val="1"/>
      <w:numFmt w:val="lowerLetter"/>
      <w:lvlText w:val="(%1)"/>
      <w:lvlJc w:val="left"/>
      <w:pPr>
        <w:ind w:left="2877" w:hanging="870"/>
      </w:pPr>
      <w:rPr>
        <w:rFonts w:hint="default"/>
      </w:rPr>
    </w:lvl>
    <w:lvl w:ilvl="1" w:tplc="1C090019" w:tentative="1">
      <w:start w:val="1"/>
      <w:numFmt w:val="lowerLetter"/>
      <w:lvlText w:val="%2."/>
      <w:lvlJc w:val="left"/>
      <w:pPr>
        <w:ind w:left="3087" w:hanging="360"/>
      </w:pPr>
    </w:lvl>
    <w:lvl w:ilvl="2" w:tplc="1C09001B" w:tentative="1">
      <w:start w:val="1"/>
      <w:numFmt w:val="lowerRoman"/>
      <w:lvlText w:val="%3."/>
      <w:lvlJc w:val="right"/>
      <w:pPr>
        <w:ind w:left="3807" w:hanging="180"/>
      </w:pPr>
    </w:lvl>
    <w:lvl w:ilvl="3" w:tplc="1C09000F" w:tentative="1">
      <w:start w:val="1"/>
      <w:numFmt w:val="decimal"/>
      <w:lvlText w:val="%4."/>
      <w:lvlJc w:val="left"/>
      <w:pPr>
        <w:ind w:left="4527" w:hanging="360"/>
      </w:pPr>
    </w:lvl>
    <w:lvl w:ilvl="4" w:tplc="1C090019" w:tentative="1">
      <w:start w:val="1"/>
      <w:numFmt w:val="lowerLetter"/>
      <w:lvlText w:val="%5."/>
      <w:lvlJc w:val="left"/>
      <w:pPr>
        <w:ind w:left="5247" w:hanging="360"/>
      </w:pPr>
    </w:lvl>
    <w:lvl w:ilvl="5" w:tplc="1C09001B" w:tentative="1">
      <w:start w:val="1"/>
      <w:numFmt w:val="lowerRoman"/>
      <w:lvlText w:val="%6."/>
      <w:lvlJc w:val="right"/>
      <w:pPr>
        <w:ind w:left="5967" w:hanging="180"/>
      </w:pPr>
    </w:lvl>
    <w:lvl w:ilvl="6" w:tplc="1C09000F" w:tentative="1">
      <w:start w:val="1"/>
      <w:numFmt w:val="decimal"/>
      <w:lvlText w:val="%7."/>
      <w:lvlJc w:val="left"/>
      <w:pPr>
        <w:ind w:left="6687" w:hanging="360"/>
      </w:pPr>
    </w:lvl>
    <w:lvl w:ilvl="7" w:tplc="1C090019" w:tentative="1">
      <w:start w:val="1"/>
      <w:numFmt w:val="lowerLetter"/>
      <w:lvlText w:val="%8."/>
      <w:lvlJc w:val="left"/>
      <w:pPr>
        <w:ind w:left="7407" w:hanging="360"/>
      </w:pPr>
    </w:lvl>
    <w:lvl w:ilvl="8" w:tplc="1C09001B" w:tentative="1">
      <w:start w:val="1"/>
      <w:numFmt w:val="lowerRoman"/>
      <w:lvlText w:val="%9."/>
      <w:lvlJc w:val="right"/>
      <w:pPr>
        <w:ind w:left="8127" w:hanging="180"/>
      </w:pPr>
    </w:lvl>
  </w:abstractNum>
  <w:abstractNum w:abstractNumId="32" w15:restartNumberingAfterBreak="0">
    <w:nsid w:val="79161320"/>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94C2EA5"/>
    <w:multiLevelType w:val="hybridMultilevel"/>
    <w:tmpl w:val="3774ADF4"/>
    <w:lvl w:ilvl="0" w:tplc="F334C90C">
      <w:start w:val="1"/>
      <w:numFmt w:val="lowerLetter"/>
      <w:lvlText w:val="(%1)"/>
      <w:lvlJc w:val="left"/>
      <w:pPr>
        <w:ind w:left="1080" w:hanging="360"/>
      </w:pPr>
      <w:rPr>
        <w:rFonts w:ascii="Arial" w:eastAsiaTheme="minorHAnsi"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16cid:durableId="210922619">
    <w:abstractNumId w:val="11"/>
  </w:num>
  <w:num w:numId="2" w16cid:durableId="758328895">
    <w:abstractNumId w:val="17"/>
  </w:num>
  <w:num w:numId="3" w16cid:durableId="355086805">
    <w:abstractNumId w:val="5"/>
  </w:num>
  <w:num w:numId="4" w16cid:durableId="466514497">
    <w:abstractNumId w:val="11"/>
  </w:num>
  <w:num w:numId="5" w16cid:durableId="752245854">
    <w:abstractNumId w:val="9"/>
  </w:num>
  <w:num w:numId="6" w16cid:durableId="2636132">
    <w:abstractNumId w:val="27"/>
  </w:num>
  <w:num w:numId="7" w16cid:durableId="1621381568">
    <w:abstractNumId w:val="25"/>
  </w:num>
  <w:num w:numId="8" w16cid:durableId="2064400527">
    <w:abstractNumId w:val="26"/>
  </w:num>
  <w:num w:numId="9" w16cid:durableId="1913468260">
    <w:abstractNumId w:val="3"/>
  </w:num>
  <w:num w:numId="10" w16cid:durableId="1941061639">
    <w:abstractNumId w:val="20"/>
  </w:num>
  <w:num w:numId="11" w16cid:durableId="1514756901">
    <w:abstractNumId w:val="6"/>
  </w:num>
  <w:num w:numId="12" w16cid:durableId="1645312774">
    <w:abstractNumId w:val="10"/>
  </w:num>
  <w:num w:numId="13" w16cid:durableId="2105034416">
    <w:abstractNumId w:val="2"/>
  </w:num>
  <w:num w:numId="14" w16cid:durableId="692849148">
    <w:abstractNumId w:val="13"/>
  </w:num>
  <w:num w:numId="15" w16cid:durableId="1235361906">
    <w:abstractNumId w:val="15"/>
  </w:num>
  <w:num w:numId="16" w16cid:durableId="1174299124">
    <w:abstractNumId w:val="22"/>
  </w:num>
  <w:num w:numId="17" w16cid:durableId="1411272573">
    <w:abstractNumId w:val="29"/>
  </w:num>
  <w:num w:numId="18" w16cid:durableId="1134444137">
    <w:abstractNumId w:val="12"/>
  </w:num>
  <w:num w:numId="19" w16cid:durableId="1664117276">
    <w:abstractNumId w:val="30"/>
  </w:num>
  <w:num w:numId="20" w16cid:durableId="1689864644">
    <w:abstractNumId w:val="31"/>
  </w:num>
  <w:num w:numId="21" w16cid:durableId="808785763">
    <w:abstractNumId w:val="33"/>
  </w:num>
  <w:num w:numId="22" w16cid:durableId="864487539">
    <w:abstractNumId w:val="1"/>
  </w:num>
  <w:num w:numId="23" w16cid:durableId="754401643">
    <w:abstractNumId w:val="14"/>
  </w:num>
  <w:num w:numId="24" w16cid:durableId="218790524">
    <w:abstractNumId w:val="23"/>
  </w:num>
  <w:num w:numId="25" w16cid:durableId="1201287446">
    <w:abstractNumId w:val="32"/>
  </w:num>
  <w:num w:numId="26" w16cid:durableId="1145200093">
    <w:abstractNumId w:val="0"/>
    <w:lvlOverride w:ilvl="0">
      <w:lvl w:ilvl="0">
        <w:start w:val="1"/>
        <w:numFmt w:val="decimal"/>
        <w:lvlText w:val="%1."/>
        <w:lvlJc w:val="left"/>
        <w:pPr>
          <w:ind w:left="0" w:firstLine="0"/>
        </w:p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27" w16cid:durableId="544946966">
    <w:abstractNumId w:val="16"/>
  </w:num>
  <w:num w:numId="28" w16cid:durableId="1820918812">
    <w:abstractNumId w:val="19"/>
  </w:num>
  <w:num w:numId="29" w16cid:durableId="881093829">
    <w:abstractNumId w:val="4"/>
  </w:num>
  <w:num w:numId="30" w16cid:durableId="1548908638">
    <w:abstractNumId w:val="18"/>
  </w:num>
  <w:num w:numId="31" w16cid:durableId="610479410">
    <w:abstractNumId w:val="7"/>
  </w:num>
  <w:num w:numId="32" w16cid:durableId="638653182">
    <w:abstractNumId w:val="8"/>
  </w:num>
  <w:num w:numId="33" w16cid:durableId="2016028869">
    <w:abstractNumId w:val="21"/>
  </w:num>
  <w:num w:numId="34" w16cid:durableId="1924220266">
    <w:abstractNumId w:val="28"/>
  </w:num>
  <w:num w:numId="35" w16cid:durableId="98264112">
    <w:abstractNumId w:val="24"/>
  </w:num>
  <w:num w:numId="36" w16cid:durableId="594559804">
    <w:abstractNumId w:val="11"/>
  </w:num>
  <w:num w:numId="37" w16cid:durableId="1598296132">
    <w:abstractNumId w:val="11"/>
  </w:num>
  <w:num w:numId="38" w16cid:durableId="751126541">
    <w:abstractNumId w:val="11"/>
  </w:num>
  <w:num w:numId="39" w16cid:durableId="1027831430">
    <w:abstractNumId w:val="11"/>
  </w:num>
  <w:num w:numId="40" w16cid:durableId="1919363909">
    <w:abstractNumId w:val="11"/>
  </w:num>
  <w:num w:numId="41" w16cid:durableId="560093730">
    <w:abstractNumId w:val="11"/>
  </w:num>
  <w:num w:numId="42" w16cid:durableId="304235520">
    <w:abstractNumId w:val="11"/>
  </w:num>
  <w:num w:numId="43" w16cid:durableId="1509098404">
    <w:abstractNumId w:val="11"/>
  </w:num>
  <w:num w:numId="44" w16cid:durableId="1318263919">
    <w:abstractNumId w:val="11"/>
  </w:num>
  <w:num w:numId="45" w16cid:durableId="1539467350">
    <w:abstractNumId w:val="11"/>
  </w:num>
  <w:num w:numId="46" w16cid:durableId="460223419">
    <w:abstractNumId w:val="11"/>
  </w:num>
  <w:num w:numId="47" w16cid:durableId="1421949763">
    <w:abstractNumId w:val="11"/>
  </w:num>
  <w:num w:numId="48" w16cid:durableId="70467187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bG0MAJCMwtDMwsLCyUdpeDU4uLM/DyQAsNaAPS43EMsAAAA"/>
  </w:docVars>
  <w:rsids>
    <w:rsidRoot w:val="00A671BB"/>
    <w:rsid w:val="00000A69"/>
    <w:rsid w:val="00000B6A"/>
    <w:rsid w:val="000014C7"/>
    <w:rsid w:val="00001984"/>
    <w:rsid w:val="00003539"/>
    <w:rsid w:val="00005FB1"/>
    <w:rsid w:val="0000703B"/>
    <w:rsid w:val="0000712C"/>
    <w:rsid w:val="0001002E"/>
    <w:rsid w:val="00010381"/>
    <w:rsid w:val="00010FA4"/>
    <w:rsid w:val="000119FD"/>
    <w:rsid w:val="00011BB0"/>
    <w:rsid w:val="00014466"/>
    <w:rsid w:val="000145DF"/>
    <w:rsid w:val="00014920"/>
    <w:rsid w:val="000170D0"/>
    <w:rsid w:val="000174B2"/>
    <w:rsid w:val="00021CA6"/>
    <w:rsid w:val="00022F64"/>
    <w:rsid w:val="00023ABE"/>
    <w:rsid w:val="00023B94"/>
    <w:rsid w:val="00024FA2"/>
    <w:rsid w:val="00025337"/>
    <w:rsid w:val="000263EB"/>
    <w:rsid w:val="0002650C"/>
    <w:rsid w:val="00027370"/>
    <w:rsid w:val="00030122"/>
    <w:rsid w:val="0003082A"/>
    <w:rsid w:val="00031AE7"/>
    <w:rsid w:val="00031D50"/>
    <w:rsid w:val="00032888"/>
    <w:rsid w:val="00032F92"/>
    <w:rsid w:val="00033C9C"/>
    <w:rsid w:val="000364DD"/>
    <w:rsid w:val="00037519"/>
    <w:rsid w:val="0004013B"/>
    <w:rsid w:val="00040D10"/>
    <w:rsid w:val="00041062"/>
    <w:rsid w:val="0004147C"/>
    <w:rsid w:val="000419E9"/>
    <w:rsid w:val="00041CAC"/>
    <w:rsid w:val="00041E9D"/>
    <w:rsid w:val="00041FC7"/>
    <w:rsid w:val="00042584"/>
    <w:rsid w:val="000436B7"/>
    <w:rsid w:val="0004387E"/>
    <w:rsid w:val="00043CD0"/>
    <w:rsid w:val="00044122"/>
    <w:rsid w:val="00045102"/>
    <w:rsid w:val="00046021"/>
    <w:rsid w:val="000468D8"/>
    <w:rsid w:val="00050B0F"/>
    <w:rsid w:val="00053EC4"/>
    <w:rsid w:val="0005455D"/>
    <w:rsid w:val="000551EA"/>
    <w:rsid w:val="000558D3"/>
    <w:rsid w:val="00056789"/>
    <w:rsid w:val="00056C1E"/>
    <w:rsid w:val="00056F33"/>
    <w:rsid w:val="00057659"/>
    <w:rsid w:val="00057CCA"/>
    <w:rsid w:val="00061B2A"/>
    <w:rsid w:val="00061DFF"/>
    <w:rsid w:val="00062482"/>
    <w:rsid w:val="00062ABB"/>
    <w:rsid w:val="00062EC4"/>
    <w:rsid w:val="00063233"/>
    <w:rsid w:val="000649DF"/>
    <w:rsid w:val="00066348"/>
    <w:rsid w:val="00070D08"/>
    <w:rsid w:val="000724B6"/>
    <w:rsid w:val="00072A53"/>
    <w:rsid w:val="00073B2B"/>
    <w:rsid w:val="00073D81"/>
    <w:rsid w:val="0007543A"/>
    <w:rsid w:val="00076208"/>
    <w:rsid w:val="000762FC"/>
    <w:rsid w:val="00080783"/>
    <w:rsid w:val="00080B4F"/>
    <w:rsid w:val="000812A5"/>
    <w:rsid w:val="000824EE"/>
    <w:rsid w:val="00082C80"/>
    <w:rsid w:val="00084000"/>
    <w:rsid w:val="00085EF4"/>
    <w:rsid w:val="00085FFD"/>
    <w:rsid w:val="000877CC"/>
    <w:rsid w:val="000879CF"/>
    <w:rsid w:val="000903C9"/>
    <w:rsid w:val="00090B8C"/>
    <w:rsid w:val="00092271"/>
    <w:rsid w:val="00093331"/>
    <w:rsid w:val="000943F7"/>
    <w:rsid w:val="0009441B"/>
    <w:rsid w:val="00095057"/>
    <w:rsid w:val="000962DF"/>
    <w:rsid w:val="00096FD9"/>
    <w:rsid w:val="000A0DD8"/>
    <w:rsid w:val="000A0E3B"/>
    <w:rsid w:val="000A1489"/>
    <w:rsid w:val="000A3A3F"/>
    <w:rsid w:val="000A3E76"/>
    <w:rsid w:val="000A3F25"/>
    <w:rsid w:val="000A4EBA"/>
    <w:rsid w:val="000A5DE4"/>
    <w:rsid w:val="000A7C5D"/>
    <w:rsid w:val="000B08C4"/>
    <w:rsid w:val="000B0CC2"/>
    <w:rsid w:val="000B12C1"/>
    <w:rsid w:val="000B1394"/>
    <w:rsid w:val="000B140F"/>
    <w:rsid w:val="000B3169"/>
    <w:rsid w:val="000B34E8"/>
    <w:rsid w:val="000B37B8"/>
    <w:rsid w:val="000B4A7D"/>
    <w:rsid w:val="000B53C4"/>
    <w:rsid w:val="000B585F"/>
    <w:rsid w:val="000B5ADD"/>
    <w:rsid w:val="000B5B51"/>
    <w:rsid w:val="000B6413"/>
    <w:rsid w:val="000B75F9"/>
    <w:rsid w:val="000C07A6"/>
    <w:rsid w:val="000C0CCB"/>
    <w:rsid w:val="000C5766"/>
    <w:rsid w:val="000C5F3E"/>
    <w:rsid w:val="000C6EAA"/>
    <w:rsid w:val="000C70D8"/>
    <w:rsid w:val="000D043C"/>
    <w:rsid w:val="000D0AD1"/>
    <w:rsid w:val="000D1928"/>
    <w:rsid w:val="000D3B9B"/>
    <w:rsid w:val="000D4524"/>
    <w:rsid w:val="000D49C4"/>
    <w:rsid w:val="000D4C3B"/>
    <w:rsid w:val="000D5B56"/>
    <w:rsid w:val="000D5B61"/>
    <w:rsid w:val="000D6E5E"/>
    <w:rsid w:val="000D6FF7"/>
    <w:rsid w:val="000D75DF"/>
    <w:rsid w:val="000D7901"/>
    <w:rsid w:val="000E14BB"/>
    <w:rsid w:val="000E28CD"/>
    <w:rsid w:val="000E31E2"/>
    <w:rsid w:val="000E3A53"/>
    <w:rsid w:val="000E3D96"/>
    <w:rsid w:val="000E4E29"/>
    <w:rsid w:val="000E561E"/>
    <w:rsid w:val="000E5A5D"/>
    <w:rsid w:val="000E6167"/>
    <w:rsid w:val="000E6321"/>
    <w:rsid w:val="000E6ED6"/>
    <w:rsid w:val="000F1420"/>
    <w:rsid w:val="000F2A38"/>
    <w:rsid w:val="000F546E"/>
    <w:rsid w:val="000F7631"/>
    <w:rsid w:val="0010016D"/>
    <w:rsid w:val="001013DF"/>
    <w:rsid w:val="001018C5"/>
    <w:rsid w:val="00102509"/>
    <w:rsid w:val="00102A7B"/>
    <w:rsid w:val="00103361"/>
    <w:rsid w:val="001039F2"/>
    <w:rsid w:val="001044E2"/>
    <w:rsid w:val="001107DE"/>
    <w:rsid w:val="00110BD8"/>
    <w:rsid w:val="00111181"/>
    <w:rsid w:val="00111C63"/>
    <w:rsid w:val="00111E93"/>
    <w:rsid w:val="00112972"/>
    <w:rsid w:val="00112C9C"/>
    <w:rsid w:val="0011398A"/>
    <w:rsid w:val="00113CF9"/>
    <w:rsid w:val="00114873"/>
    <w:rsid w:val="00114C98"/>
    <w:rsid w:val="00115502"/>
    <w:rsid w:val="00121BC9"/>
    <w:rsid w:val="00122E44"/>
    <w:rsid w:val="0012592E"/>
    <w:rsid w:val="00125DEE"/>
    <w:rsid w:val="0012628F"/>
    <w:rsid w:val="001265FA"/>
    <w:rsid w:val="00127E2B"/>
    <w:rsid w:val="00127E87"/>
    <w:rsid w:val="001302B6"/>
    <w:rsid w:val="00130DC9"/>
    <w:rsid w:val="001312F2"/>
    <w:rsid w:val="001319A7"/>
    <w:rsid w:val="00131AD3"/>
    <w:rsid w:val="0013203A"/>
    <w:rsid w:val="00132BDF"/>
    <w:rsid w:val="0013335F"/>
    <w:rsid w:val="00134324"/>
    <w:rsid w:val="00134D05"/>
    <w:rsid w:val="0013552C"/>
    <w:rsid w:val="0013554F"/>
    <w:rsid w:val="00136F73"/>
    <w:rsid w:val="00140843"/>
    <w:rsid w:val="00140AB0"/>
    <w:rsid w:val="00141E64"/>
    <w:rsid w:val="00142114"/>
    <w:rsid w:val="00142559"/>
    <w:rsid w:val="00142573"/>
    <w:rsid w:val="00142B14"/>
    <w:rsid w:val="001438B7"/>
    <w:rsid w:val="001438BA"/>
    <w:rsid w:val="00144095"/>
    <w:rsid w:val="00144AA0"/>
    <w:rsid w:val="001451A8"/>
    <w:rsid w:val="001467BE"/>
    <w:rsid w:val="00146CA3"/>
    <w:rsid w:val="00150593"/>
    <w:rsid w:val="001527A9"/>
    <w:rsid w:val="001529D3"/>
    <w:rsid w:val="00152A6E"/>
    <w:rsid w:val="001539CC"/>
    <w:rsid w:val="001550E7"/>
    <w:rsid w:val="001552ED"/>
    <w:rsid w:val="001557F0"/>
    <w:rsid w:val="00156814"/>
    <w:rsid w:val="00160CAB"/>
    <w:rsid w:val="001623F8"/>
    <w:rsid w:val="00162E3D"/>
    <w:rsid w:val="00163FF6"/>
    <w:rsid w:val="001642BD"/>
    <w:rsid w:val="001642F5"/>
    <w:rsid w:val="00164325"/>
    <w:rsid w:val="00164E02"/>
    <w:rsid w:val="00164F6F"/>
    <w:rsid w:val="00165AF6"/>
    <w:rsid w:val="001661D2"/>
    <w:rsid w:val="0016682C"/>
    <w:rsid w:val="001672E7"/>
    <w:rsid w:val="00170324"/>
    <w:rsid w:val="001706F7"/>
    <w:rsid w:val="00171322"/>
    <w:rsid w:val="00171FD2"/>
    <w:rsid w:val="0017294C"/>
    <w:rsid w:val="001732F3"/>
    <w:rsid w:val="00173A17"/>
    <w:rsid w:val="00174DA6"/>
    <w:rsid w:val="0017525B"/>
    <w:rsid w:val="001762AF"/>
    <w:rsid w:val="00176E81"/>
    <w:rsid w:val="001777CF"/>
    <w:rsid w:val="00181267"/>
    <w:rsid w:val="0018183E"/>
    <w:rsid w:val="0018324B"/>
    <w:rsid w:val="001833F0"/>
    <w:rsid w:val="00183FEB"/>
    <w:rsid w:val="00184F7A"/>
    <w:rsid w:val="001861CA"/>
    <w:rsid w:val="00186FB4"/>
    <w:rsid w:val="001879FC"/>
    <w:rsid w:val="001915FB"/>
    <w:rsid w:val="00191B3E"/>
    <w:rsid w:val="00192D65"/>
    <w:rsid w:val="0019333F"/>
    <w:rsid w:val="00193EBB"/>
    <w:rsid w:val="00194173"/>
    <w:rsid w:val="001947E9"/>
    <w:rsid w:val="00195DC0"/>
    <w:rsid w:val="001968B7"/>
    <w:rsid w:val="001972F3"/>
    <w:rsid w:val="001A03DB"/>
    <w:rsid w:val="001A08DE"/>
    <w:rsid w:val="001A0A45"/>
    <w:rsid w:val="001A0BE6"/>
    <w:rsid w:val="001A361E"/>
    <w:rsid w:val="001A37DD"/>
    <w:rsid w:val="001A4629"/>
    <w:rsid w:val="001A4A7D"/>
    <w:rsid w:val="001A4F3D"/>
    <w:rsid w:val="001A5497"/>
    <w:rsid w:val="001A56D1"/>
    <w:rsid w:val="001A5D55"/>
    <w:rsid w:val="001B05CF"/>
    <w:rsid w:val="001B2358"/>
    <w:rsid w:val="001B2515"/>
    <w:rsid w:val="001B3E9C"/>
    <w:rsid w:val="001B4809"/>
    <w:rsid w:val="001B4891"/>
    <w:rsid w:val="001B5D30"/>
    <w:rsid w:val="001B78CF"/>
    <w:rsid w:val="001C0616"/>
    <w:rsid w:val="001C3576"/>
    <w:rsid w:val="001C3BDD"/>
    <w:rsid w:val="001C5042"/>
    <w:rsid w:val="001C54DD"/>
    <w:rsid w:val="001C681A"/>
    <w:rsid w:val="001C6D55"/>
    <w:rsid w:val="001C7C68"/>
    <w:rsid w:val="001D03CA"/>
    <w:rsid w:val="001D12EF"/>
    <w:rsid w:val="001D14E9"/>
    <w:rsid w:val="001D1AC5"/>
    <w:rsid w:val="001D1CAB"/>
    <w:rsid w:val="001D1CC3"/>
    <w:rsid w:val="001D24FF"/>
    <w:rsid w:val="001D3257"/>
    <w:rsid w:val="001D415E"/>
    <w:rsid w:val="001D44E4"/>
    <w:rsid w:val="001D4965"/>
    <w:rsid w:val="001D609B"/>
    <w:rsid w:val="001D63C3"/>
    <w:rsid w:val="001D664C"/>
    <w:rsid w:val="001D716E"/>
    <w:rsid w:val="001D780C"/>
    <w:rsid w:val="001E0B50"/>
    <w:rsid w:val="001E0F5B"/>
    <w:rsid w:val="001E3224"/>
    <w:rsid w:val="001E342D"/>
    <w:rsid w:val="001E4D97"/>
    <w:rsid w:val="001E5E63"/>
    <w:rsid w:val="001E6321"/>
    <w:rsid w:val="001E6F64"/>
    <w:rsid w:val="001F1E42"/>
    <w:rsid w:val="001F263C"/>
    <w:rsid w:val="001F27D5"/>
    <w:rsid w:val="001F485A"/>
    <w:rsid w:val="001F561A"/>
    <w:rsid w:val="001F6FE0"/>
    <w:rsid w:val="001F78EB"/>
    <w:rsid w:val="0020166F"/>
    <w:rsid w:val="00203181"/>
    <w:rsid w:val="00203202"/>
    <w:rsid w:val="00204244"/>
    <w:rsid w:val="002046AE"/>
    <w:rsid w:val="002048D3"/>
    <w:rsid w:val="00206790"/>
    <w:rsid w:val="0020746C"/>
    <w:rsid w:val="00207632"/>
    <w:rsid w:val="00207AF9"/>
    <w:rsid w:val="002106FB"/>
    <w:rsid w:val="0021172E"/>
    <w:rsid w:val="00211C28"/>
    <w:rsid w:val="002139FF"/>
    <w:rsid w:val="00214055"/>
    <w:rsid w:val="002149C5"/>
    <w:rsid w:val="0021593A"/>
    <w:rsid w:val="00215B0C"/>
    <w:rsid w:val="00215D72"/>
    <w:rsid w:val="00216260"/>
    <w:rsid w:val="002165F6"/>
    <w:rsid w:val="00217923"/>
    <w:rsid w:val="00217A4D"/>
    <w:rsid w:val="00220394"/>
    <w:rsid w:val="002222E9"/>
    <w:rsid w:val="002230AA"/>
    <w:rsid w:val="00223885"/>
    <w:rsid w:val="00224FF7"/>
    <w:rsid w:val="00225246"/>
    <w:rsid w:val="00225993"/>
    <w:rsid w:val="00227A05"/>
    <w:rsid w:val="00227C96"/>
    <w:rsid w:val="00230974"/>
    <w:rsid w:val="00230BD7"/>
    <w:rsid w:val="002318B6"/>
    <w:rsid w:val="00231DCE"/>
    <w:rsid w:val="0023295C"/>
    <w:rsid w:val="002352B6"/>
    <w:rsid w:val="0023589D"/>
    <w:rsid w:val="00235F5F"/>
    <w:rsid w:val="00236617"/>
    <w:rsid w:val="002372CB"/>
    <w:rsid w:val="00240AA0"/>
    <w:rsid w:val="002419FC"/>
    <w:rsid w:val="00242363"/>
    <w:rsid w:val="00243D40"/>
    <w:rsid w:val="00243F0C"/>
    <w:rsid w:val="00244246"/>
    <w:rsid w:val="0024601F"/>
    <w:rsid w:val="002464B3"/>
    <w:rsid w:val="00247599"/>
    <w:rsid w:val="00247A37"/>
    <w:rsid w:val="00247D67"/>
    <w:rsid w:val="00250410"/>
    <w:rsid w:val="002504F2"/>
    <w:rsid w:val="00250D83"/>
    <w:rsid w:val="00251249"/>
    <w:rsid w:val="0025285D"/>
    <w:rsid w:val="002534D0"/>
    <w:rsid w:val="002539B7"/>
    <w:rsid w:val="00254B43"/>
    <w:rsid w:val="00255032"/>
    <w:rsid w:val="0025586B"/>
    <w:rsid w:val="002602DD"/>
    <w:rsid w:val="00261F9A"/>
    <w:rsid w:val="002625BF"/>
    <w:rsid w:val="00263A7D"/>
    <w:rsid w:val="0026415A"/>
    <w:rsid w:val="002654CC"/>
    <w:rsid w:val="002677DC"/>
    <w:rsid w:val="00270117"/>
    <w:rsid w:val="002703CE"/>
    <w:rsid w:val="00273716"/>
    <w:rsid w:val="00273BAD"/>
    <w:rsid w:val="00273D5A"/>
    <w:rsid w:val="00273F3E"/>
    <w:rsid w:val="00275B72"/>
    <w:rsid w:val="00275C91"/>
    <w:rsid w:val="0027625A"/>
    <w:rsid w:val="0027659D"/>
    <w:rsid w:val="00276848"/>
    <w:rsid w:val="0027692B"/>
    <w:rsid w:val="00277F8B"/>
    <w:rsid w:val="00280214"/>
    <w:rsid w:val="0028042D"/>
    <w:rsid w:val="00280E50"/>
    <w:rsid w:val="00280EF0"/>
    <w:rsid w:val="00281A30"/>
    <w:rsid w:val="00281C6C"/>
    <w:rsid w:val="002824F5"/>
    <w:rsid w:val="002833C6"/>
    <w:rsid w:val="00283DDB"/>
    <w:rsid w:val="00283F39"/>
    <w:rsid w:val="00284D00"/>
    <w:rsid w:val="0028568F"/>
    <w:rsid w:val="0028622F"/>
    <w:rsid w:val="0028725B"/>
    <w:rsid w:val="002873D3"/>
    <w:rsid w:val="002876C7"/>
    <w:rsid w:val="0028793B"/>
    <w:rsid w:val="00287A0B"/>
    <w:rsid w:val="00287DF5"/>
    <w:rsid w:val="002903B8"/>
    <w:rsid w:val="00291484"/>
    <w:rsid w:val="00291BC3"/>
    <w:rsid w:val="002927D3"/>
    <w:rsid w:val="00293B38"/>
    <w:rsid w:val="002952C4"/>
    <w:rsid w:val="00295690"/>
    <w:rsid w:val="00295B87"/>
    <w:rsid w:val="00296153"/>
    <w:rsid w:val="00296C20"/>
    <w:rsid w:val="00296F81"/>
    <w:rsid w:val="002A0BB1"/>
    <w:rsid w:val="002A1BFD"/>
    <w:rsid w:val="002A1FCC"/>
    <w:rsid w:val="002A276A"/>
    <w:rsid w:val="002A3A5F"/>
    <w:rsid w:val="002A3C86"/>
    <w:rsid w:val="002A6DFD"/>
    <w:rsid w:val="002A7203"/>
    <w:rsid w:val="002A7204"/>
    <w:rsid w:val="002B0F14"/>
    <w:rsid w:val="002B17F6"/>
    <w:rsid w:val="002B1C50"/>
    <w:rsid w:val="002B2A9F"/>
    <w:rsid w:val="002B2B7E"/>
    <w:rsid w:val="002B34F6"/>
    <w:rsid w:val="002B3C46"/>
    <w:rsid w:val="002B41C4"/>
    <w:rsid w:val="002B448C"/>
    <w:rsid w:val="002B4EF2"/>
    <w:rsid w:val="002B5183"/>
    <w:rsid w:val="002B5F5C"/>
    <w:rsid w:val="002B6029"/>
    <w:rsid w:val="002B65F1"/>
    <w:rsid w:val="002B677D"/>
    <w:rsid w:val="002B6CD7"/>
    <w:rsid w:val="002B7302"/>
    <w:rsid w:val="002C0ABC"/>
    <w:rsid w:val="002C0B89"/>
    <w:rsid w:val="002C2644"/>
    <w:rsid w:val="002C27C2"/>
    <w:rsid w:val="002C34C4"/>
    <w:rsid w:val="002C4551"/>
    <w:rsid w:val="002C4FA8"/>
    <w:rsid w:val="002C6038"/>
    <w:rsid w:val="002C642F"/>
    <w:rsid w:val="002D0ACB"/>
    <w:rsid w:val="002D1765"/>
    <w:rsid w:val="002D1ACF"/>
    <w:rsid w:val="002D1BC8"/>
    <w:rsid w:val="002D2B76"/>
    <w:rsid w:val="002D2EF0"/>
    <w:rsid w:val="002D2EF2"/>
    <w:rsid w:val="002D4191"/>
    <w:rsid w:val="002D5B39"/>
    <w:rsid w:val="002D617F"/>
    <w:rsid w:val="002D7429"/>
    <w:rsid w:val="002D798E"/>
    <w:rsid w:val="002E11E7"/>
    <w:rsid w:val="002E1204"/>
    <w:rsid w:val="002E463C"/>
    <w:rsid w:val="002E5240"/>
    <w:rsid w:val="002E58E2"/>
    <w:rsid w:val="002E5A5B"/>
    <w:rsid w:val="002E5EDB"/>
    <w:rsid w:val="002E7BBB"/>
    <w:rsid w:val="002F0159"/>
    <w:rsid w:val="002F0583"/>
    <w:rsid w:val="002F1049"/>
    <w:rsid w:val="002F10BE"/>
    <w:rsid w:val="002F1DAD"/>
    <w:rsid w:val="002F257E"/>
    <w:rsid w:val="002F4746"/>
    <w:rsid w:val="002F4813"/>
    <w:rsid w:val="002F4935"/>
    <w:rsid w:val="002F5C7B"/>
    <w:rsid w:val="002F68F7"/>
    <w:rsid w:val="002F741E"/>
    <w:rsid w:val="003001A2"/>
    <w:rsid w:val="00300AC6"/>
    <w:rsid w:val="00303EF1"/>
    <w:rsid w:val="003043D1"/>
    <w:rsid w:val="00304C8E"/>
    <w:rsid w:val="00305481"/>
    <w:rsid w:val="0030581B"/>
    <w:rsid w:val="00305904"/>
    <w:rsid w:val="003063A0"/>
    <w:rsid w:val="0031153E"/>
    <w:rsid w:val="00312079"/>
    <w:rsid w:val="0031253B"/>
    <w:rsid w:val="00312ED9"/>
    <w:rsid w:val="00313CE9"/>
    <w:rsid w:val="003144FC"/>
    <w:rsid w:val="00314C15"/>
    <w:rsid w:val="00317D1C"/>
    <w:rsid w:val="00320030"/>
    <w:rsid w:val="003201B7"/>
    <w:rsid w:val="00320F12"/>
    <w:rsid w:val="0032237C"/>
    <w:rsid w:val="003224A3"/>
    <w:rsid w:val="003233D7"/>
    <w:rsid w:val="0032368A"/>
    <w:rsid w:val="00323A5B"/>
    <w:rsid w:val="00323DAA"/>
    <w:rsid w:val="0032473E"/>
    <w:rsid w:val="00326FD8"/>
    <w:rsid w:val="0032728F"/>
    <w:rsid w:val="00330856"/>
    <w:rsid w:val="003309B5"/>
    <w:rsid w:val="00330CC1"/>
    <w:rsid w:val="00331755"/>
    <w:rsid w:val="00332349"/>
    <w:rsid w:val="00334062"/>
    <w:rsid w:val="003359F2"/>
    <w:rsid w:val="003364F3"/>
    <w:rsid w:val="00336F4F"/>
    <w:rsid w:val="00337365"/>
    <w:rsid w:val="003374AE"/>
    <w:rsid w:val="003379C4"/>
    <w:rsid w:val="00341117"/>
    <w:rsid w:val="0034193C"/>
    <w:rsid w:val="00341AA0"/>
    <w:rsid w:val="00342379"/>
    <w:rsid w:val="00342B11"/>
    <w:rsid w:val="00342E4E"/>
    <w:rsid w:val="0034305E"/>
    <w:rsid w:val="00344625"/>
    <w:rsid w:val="00344F3B"/>
    <w:rsid w:val="0034585F"/>
    <w:rsid w:val="003463F0"/>
    <w:rsid w:val="00353AF7"/>
    <w:rsid w:val="003552C8"/>
    <w:rsid w:val="00355E18"/>
    <w:rsid w:val="0035662F"/>
    <w:rsid w:val="00357B7C"/>
    <w:rsid w:val="003601F6"/>
    <w:rsid w:val="00361A68"/>
    <w:rsid w:val="00361D1C"/>
    <w:rsid w:val="00362845"/>
    <w:rsid w:val="00362911"/>
    <w:rsid w:val="0036307D"/>
    <w:rsid w:val="00363295"/>
    <w:rsid w:val="003634FF"/>
    <w:rsid w:val="00364294"/>
    <w:rsid w:val="003642F9"/>
    <w:rsid w:val="00364F92"/>
    <w:rsid w:val="0036535F"/>
    <w:rsid w:val="003660B3"/>
    <w:rsid w:val="003665CF"/>
    <w:rsid w:val="003673B7"/>
    <w:rsid w:val="00367BE2"/>
    <w:rsid w:val="00367DCB"/>
    <w:rsid w:val="00370805"/>
    <w:rsid w:val="00370B9F"/>
    <w:rsid w:val="00371FE0"/>
    <w:rsid w:val="003725FF"/>
    <w:rsid w:val="00373F04"/>
    <w:rsid w:val="0037509D"/>
    <w:rsid w:val="00375663"/>
    <w:rsid w:val="0037675A"/>
    <w:rsid w:val="003807B7"/>
    <w:rsid w:val="0038279E"/>
    <w:rsid w:val="00382FE6"/>
    <w:rsid w:val="003843DF"/>
    <w:rsid w:val="003845BA"/>
    <w:rsid w:val="0038487F"/>
    <w:rsid w:val="0038586F"/>
    <w:rsid w:val="00387ECB"/>
    <w:rsid w:val="003907E6"/>
    <w:rsid w:val="0039494A"/>
    <w:rsid w:val="00395555"/>
    <w:rsid w:val="00397487"/>
    <w:rsid w:val="00397ED4"/>
    <w:rsid w:val="003A0975"/>
    <w:rsid w:val="003A1490"/>
    <w:rsid w:val="003A1A3A"/>
    <w:rsid w:val="003A20AC"/>
    <w:rsid w:val="003A3754"/>
    <w:rsid w:val="003A37BF"/>
    <w:rsid w:val="003A4E49"/>
    <w:rsid w:val="003A4EA7"/>
    <w:rsid w:val="003A6A62"/>
    <w:rsid w:val="003A6ABD"/>
    <w:rsid w:val="003A6CE1"/>
    <w:rsid w:val="003A6F56"/>
    <w:rsid w:val="003A7706"/>
    <w:rsid w:val="003B0BEA"/>
    <w:rsid w:val="003B2B78"/>
    <w:rsid w:val="003B32E7"/>
    <w:rsid w:val="003B44A4"/>
    <w:rsid w:val="003B5071"/>
    <w:rsid w:val="003B6D91"/>
    <w:rsid w:val="003B71B4"/>
    <w:rsid w:val="003B71CE"/>
    <w:rsid w:val="003B76C4"/>
    <w:rsid w:val="003B7A0C"/>
    <w:rsid w:val="003B7BB1"/>
    <w:rsid w:val="003B7CA3"/>
    <w:rsid w:val="003B7FAA"/>
    <w:rsid w:val="003C0380"/>
    <w:rsid w:val="003C0490"/>
    <w:rsid w:val="003C0D91"/>
    <w:rsid w:val="003C2FC7"/>
    <w:rsid w:val="003C31F0"/>
    <w:rsid w:val="003C365B"/>
    <w:rsid w:val="003C3821"/>
    <w:rsid w:val="003C38BD"/>
    <w:rsid w:val="003C3A33"/>
    <w:rsid w:val="003C3C9A"/>
    <w:rsid w:val="003C41F4"/>
    <w:rsid w:val="003C53FB"/>
    <w:rsid w:val="003C564C"/>
    <w:rsid w:val="003C628C"/>
    <w:rsid w:val="003D0322"/>
    <w:rsid w:val="003D0688"/>
    <w:rsid w:val="003D09C0"/>
    <w:rsid w:val="003D0B9D"/>
    <w:rsid w:val="003D19D8"/>
    <w:rsid w:val="003D2334"/>
    <w:rsid w:val="003D36E1"/>
    <w:rsid w:val="003D3A7F"/>
    <w:rsid w:val="003D47E2"/>
    <w:rsid w:val="003D5D1F"/>
    <w:rsid w:val="003D5E74"/>
    <w:rsid w:val="003D600C"/>
    <w:rsid w:val="003D7F93"/>
    <w:rsid w:val="003E03AF"/>
    <w:rsid w:val="003E0A7B"/>
    <w:rsid w:val="003E15C7"/>
    <w:rsid w:val="003E17CE"/>
    <w:rsid w:val="003E18C5"/>
    <w:rsid w:val="003E1EE2"/>
    <w:rsid w:val="003E2257"/>
    <w:rsid w:val="003E248C"/>
    <w:rsid w:val="003E3053"/>
    <w:rsid w:val="003E367B"/>
    <w:rsid w:val="003E393B"/>
    <w:rsid w:val="003E3DD9"/>
    <w:rsid w:val="003E3DF4"/>
    <w:rsid w:val="003E3F70"/>
    <w:rsid w:val="003E43B5"/>
    <w:rsid w:val="003E46BF"/>
    <w:rsid w:val="003E62B0"/>
    <w:rsid w:val="003E74AB"/>
    <w:rsid w:val="003F11DE"/>
    <w:rsid w:val="003F1AFF"/>
    <w:rsid w:val="003F24F9"/>
    <w:rsid w:val="003F3D08"/>
    <w:rsid w:val="003F5100"/>
    <w:rsid w:val="003F6289"/>
    <w:rsid w:val="003F66CD"/>
    <w:rsid w:val="003F7DE4"/>
    <w:rsid w:val="004006A6"/>
    <w:rsid w:val="00401549"/>
    <w:rsid w:val="004015E3"/>
    <w:rsid w:val="00401858"/>
    <w:rsid w:val="004020AC"/>
    <w:rsid w:val="00403701"/>
    <w:rsid w:val="0040407B"/>
    <w:rsid w:val="004042E5"/>
    <w:rsid w:val="00405230"/>
    <w:rsid w:val="00405436"/>
    <w:rsid w:val="004058C6"/>
    <w:rsid w:val="00405FA3"/>
    <w:rsid w:val="0040666E"/>
    <w:rsid w:val="00407C11"/>
    <w:rsid w:val="0041001C"/>
    <w:rsid w:val="00411444"/>
    <w:rsid w:val="0041184C"/>
    <w:rsid w:val="00411A44"/>
    <w:rsid w:val="00413EBA"/>
    <w:rsid w:val="0041483D"/>
    <w:rsid w:val="004154E3"/>
    <w:rsid w:val="0041556E"/>
    <w:rsid w:val="00417AC5"/>
    <w:rsid w:val="00420A45"/>
    <w:rsid w:val="00422DC0"/>
    <w:rsid w:val="00422DCC"/>
    <w:rsid w:val="00423925"/>
    <w:rsid w:val="00424803"/>
    <w:rsid w:val="00424991"/>
    <w:rsid w:val="00424BC5"/>
    <w:rsid w:val="0042667D"/>
    <w:rsid w:val="0042735D"/>
    <w:rsid w:val="00430570"/>
    <w:rsid w:val="004308EF"/>
    <w:rsid w:val="00431325"/>
    <w:rsid w:val="004339D5"/>
    <w:rsid w:val="00434A79"/>
    <w:rsid w:val="0043554D"/>
    <w:rsid w:val="0043570B"/>
    <w:rsid w:val="00435DBB"/>
    <w:rsid w:val="0043661F"/>
    <w:rsid w:val="00436B72"/>
    <w:rsid w:val="00436D84"/>
    <w:rsid w:val="0043777D"/>
    <w:rsid w:val="004400E1"/>
    <w:rsid w:val="00440445"/>
    <w:rsid w:val="004404FF"/>
    <w:rsid w:val="00442CCC"/>
    <w:rsid w:val="00442E72"/>
    <w:rsid w:val="00442ECA"/>
    <w:rsid w:val="0044427C"/>
    <w:rsid w:val="00444F17"/>
    <w:rsid w:val="004456A2"/>
    <w:rsid w:val="004457D5"/>
    <w:rsid w:val="004460AC"/>
    <w:rsid w:val="0044692D"/>
    <w:rsid w:val="00450AB9"/>
    <w:rsid w:val="00450F27"/>
    <w:rsid w:val="0045119F"/>
    <w:rsid w:val="00452109"/>
    <w:rsid w:val="00452C12"/>
    <w:rsid w:val="0045378E"/>
    <w:rsid w:val="00455426"/>
    <w:rsid w:val="00455E18"/>
    <w:rsid w:val="00456167"/>
    <w:rsid w:val="0045647A"/>
    <w:rsid w:val="00456956"/>
    <w:rsid w:val="00456F2B"/>
    <w:rsid w:val="00460022"/>
    <w:rsid w:val="00461171"/>
    <w:rsid w:val="0046398D"/>
    <w:rsid w:val="00464057"/>
    <w:rsid w:val="004640D4"/>
    <w:rsid w:val="0046421F"/>
    <w:rsid w:val="00464F73"/>
    <w:rsid w:val="00465363"/>
    <w:rsid w:val="004657C0"/>
    <w:rsid w:val="00467EDF"/>
    <w:rsid w:val="004719CA"/>
    <w:rsid w:val="00472726"/>
    <w:rsid w:val="004731CB"/>
    <w:rsid w:val="00474706"/>
    <w:rsid w:val="004749B0"/>
    <w:rsid w:val="00474A02"/>
    <w:rsid w:val="004750E4"/>
    <w:rsid w:val="00475524"/>
    <w:rsid w:val="00475F22"/>
    <w:rsid w:val="004764A6"/>
    <w:rsid w:val="0047655D"/>
    <w:rsid w:val="004767AA"/>
    <w:rsid w:val="004769EE"/>
    <w:rsid w:val="00476C98"/>
    <w:rsid w:val="004778FF"/>
    <w:rsid w:val="00477928"/>
    <w:rsid w:val="004805AF"/>
    <w:rsid w:val="00480A59"/>
    <w:rsid w:val="00480FF9"/>
    <w:rsid w:val="00481A51"/>
    <w:rsid w:val="00482CE1"/>
    <w:rsid w:val="00483810"/>
    <w:rsid w:val="00483C2F"/>
    <w:rsid w:val="00486A73"/>
    <w:rsid w:val="0048739E"/>
    <w:rsid w:val="00490984"/>
    <w:rsid w:val="00490DC7"/>
    <w:rsid w:val="004911B3"/>
    <w:rsid w:val="00491FC9"/>
    <w:rsid w:val="004930B4"/>
    <w:rsid w:val="00494F77"/>
    <w:rsid w:val="004951D1"/>
    <w:rsid w:val="004961F7"/>
    <w:rsid w:val="00497377"/>
    <w:rsid w:val="004A0170"/>
    <w:rsid w:val="004A2AE4"/>
    <w:rsid w:val="004A2BD8"/>
    <w:rsid w:val="004A312A"/>
    <w:rsid w:val="004A33F2"/>
    <w:rsid w:val="004A3B46"/>
    <w:rsid w:val="004A4145"/>
    <w:rsid w:val="004A5EED"/>
    <w:rsid w:val="004A60D1"/>
    <w:rsid w:val="004A6EDC"/>
    <w:rsid w:val="004A6FF5"/>
    <w:rsid w:val="004B230C"/>
    <w:rsid w:val="004B33DB"/>
    <w:rsid w:val="004B3907"/>
    <w:rsid w:val="004B3CCD"/>
    <w:rsid w:val="004B427D"/>
    <w:rsid w:val="004B467F"/>
    <w:rsid w:val="004B7F36"/>
    <w:rsid w:val="004C0074"/>
    <w:rsid w:val="004C03C6"/>
    <w:rsid w:val="004C171A"/>
    <w:rsid w:val="004C3457"/>
    <w:rsid w:val="004C34BF"/>
    <w:rsid w:val="004C3A69"/>
    <w:rsid w:val="004C50C0"/>
    <w:rsid w:val="004C5344"/>
    <w:rsid w:val="004C5BA0"/>
    <w:rsid w:val="004C6094"/>
    <w:rsid w:val="004C61EC"/>
    <w:rsid w:val="004C6350"/>
    <w:rsid w:val="004C673C"/>
    <w:rsid w:val="004D11A3"/>
    <w:rsid w:val="004D1239"/>
    <w:rsid w:val="004D126B"/>
    <w:rsid w:val="004D190B"/>
    <w:rsid w:val="004D2D56"/>
    <w:rsid w:val="004D2EFE"/>
    <w:rsid w:val="004D374C"/>
    <w:rsid w:val="004D406A"/>
    <w:rsid w:val="004D4157"/>
    <w:rsid w:val="004D493B"/>
    <w:rsid w:val="004D52C7"/>
    <w:rsid w:val="004D5B70"/>
    <w:rsid w:val="004E06FE"/>
    <w:rsid w:val="004E0EBE"/>
    <w:rsid w:val="004E11B0"/>
    <w:rsid w:val="004E2031"/>
    <w:rsid w:val="004E211E"/>
    <w:rsid w:val="004E425B"/>
    <w:rsid w:val="004E5E24"/>
    <w:rsid w:val="004E6C9A"/>
    <w:rsid w:val="004E6E36"/>
    <w:rsid w:val="004E7E75"/>
    <w:rsid w:val="004F01E4"/>
    <w:rsid w:val="004F03BB"/>
    <w:rsid w:val="004F0765"/>
    <w:rsid w:val="004F136B"/>
    <w:rsid w:val="004F378D"/>
    <w:rsid w:val="004F4C71"/>
    <w:rsid w:val="00500164"/>
    <w:rsid w:val="00500D27"/>
    <w:rsid w:val="005024D8"/>
    <w:rsid w:val="005039A2"/>
    <w:rsid w:val="0050409B"/>
    <w:rsid w:val="00505340"/>
    <w:rsid w:val="00505AFB"/>
    <w:rsid w:val="005065FD"/>
    <w:rsid w:val="00506C8E"/>
    <w:rsid w:val="00506E92"/>
    <w:rsid w:val="00506ECD"/>
    <w:rsid w:val="00507572"/>
    <w:rsid w:val="00510490"/>
    <w:rsid w:val="0051138E"/>
    <w:rsid w:val="00512360"/>
    <w:rsid w:val="005125C0"/>
    <w:rsid w:val="005130C0"/>
    <w:rsid w:val="005131E4"/>
    <w:rsid w:val="0051381B"/>
    <w:rsid w:val="005150B2"/>
    <w:rsid w:val="005154A3"/>
    <w:rsid w:val="00515A91"/>
    <w:rsid w:val="0051635A"/>
    <w:rsid w:val="005167EE"/>
    <w:rsid w:val="00522918"/>
    <w:rsid w:val="00522FAE"/>
    <w:rsid w:val="005230F8"/>
    <w:rsid w:val="00523403"/>
    <w:rsid w:val="00523FFC"/>
    <w:rsid w:val="00524B8C"/>
    <w:rsid w:val="00524BCB"/>
    <w:rsid w:val="00525A95"/>
    <w:rsid w:val="00526097"/>
    <w:rsid w:val="005262E3"/>
    <w:rsid w:val="0052649F"/>
    <w:rsid w:val="005264EC"/>
    <w:rsid w:val="005265F5"/>
    <w:rsid w:val="00527215"/>
    <w:rsid w:val="005274A1"/>
    <w:rsid w:val="0053048F"/>
    <w:rsid w:val="005306D2"/>
    <w:rsid w:val="00531138"/>
    <w:rsid w:val="00531ADB"/>
    <w:rsid w:val="00533088"/>
    <w:rsid w:val="00533D5A"/>
    <w:rsid w:val="00533FA8"/>
    <w:rsid w:val="00533FC2"/>
    <w:rsid w:val="00534B71"/>
    <w:rsid w:val="005357A7"/>
    <w:rsid w:val="00537AD3"/>
    <w:rsid w:val="0054052D"/>
    <w:rsid w:val="0054125D"/>
    <w:rsid w:val="00542C33"/>
    <w:rsid w:val="0054427C"/>
    <w:rsid w:val="00545409"/>
    <w:rsid w:val="00545572"/>
    <w:rsid w:val="0054729B"/>
    <w:rsid w:val="005503B7"/>
    <w:rsid w:val="00550FD7"/>
    <w:rsid w:val="005514BC"/>
    <w:rsid w:val="005517D2"/>
    <w:rsid w:val="00551938"/>
    <w:rsid w:val="005527DE"/>
    <w:rsid w:val="005541B5"/>
    <w:rsid w:val="005547E0"/>
    <w:rsid w:val="00554A56"/>
    <w:rsid w:val="005558FE"/>
    <w:rsid w:val="00557735"/>
    <w:rsid w:val="00560FD8"/>
    <w:rsid w:val="00563493"/>
    <w:rsid w:val="00563C07"/>
    <w:rsid w:val="0056620B"/>
    <w:rsid w:val="005667EF"/>
    <w:rsid w:val="00567120"/>
    <w:rsid w:val="005677E3"/>
    <w:rsid w:val="00570F7E"/>
    <w:rsid w:val="00572933"/>
    <w:rsid w:val="00572FC1"/>
    <w:rsid w:val="00574316"/>
    <w:rsid w:val="00575B93"/>
    <w:rsid w:val="00576752"/>
    <w:rsid w:val="00577B47"/>
    <w:rsid w:val="00582901"/>
    <w:rsid w:val="00583BB6"/>
    <w:rsid w:val="005854FC"/>
    <w:rsid w:val="00585694"/>
    <w:rsid w:val="0058634D"/>
    <w:rsid w:val="00586861"/>
    <w:rsid w:val="00586BE6"/>
    <w:rsid w:val="00587308"/>
    <w:rsid w:val="00587342"/>
    <w:rsid w:val="00587B4E"/>
    <w:rsid w:val="00587F8C"/>
    <w:rsid w:val="005903AC"/>
    <w:rsid w:val="00590AEB"/>
    <w:rsid w:val="00590B61"/>
    <w:rsid w:val="005915F9"/>
    <w:rsid w:val="005926CD"/>
    <w:rsid w:val="00592839"/>
    <w:rsid w:val="00592ED5"/>
    <w:rsid w:val="005933D5"/>
    <w:rsid w:val="005959FC"/>
    <w:rsid w:val="005963DE"/>
    <w:rsid w:val="00596BC8"/>
    <w:rsid w:val="00597996"/>
    <w:rsid w:val="005A15F7"/>
    <w:rsid w:val="005A22D7"/>
    <w:rsid w:val="005A2A57"/>
    <w:rsid w:val="005A2AEC"/>
    <w:rsid w:val="005A2CC6"/>
    <w:rsid w:val="005A3483"/>
    <w:rsid w:val="005A3A2C"/>
    <w:rsid w:val="005A419A"/>
    <w:rsid w:val="005A46D6"/>
    <w:rsid w:val="005A4B96"/>
    <w:rsid w:val="005A6DFD"/>
    <w:rsid w:val="005A740B"/>
    <w:rsid w:val="005A78F6"/>
    <w:rsid w:val="005A7DE3"/>
    <w:rsid w:val="005B0DE6"/>
    <w:rsid w:val="005B11D1"/>
    <w:rsid w:val="005B1760"/>
    <w:rsid w:val="005B27D5"/>
    <w:rsid w:val="005B298E"/>
    <w:rsid w:val="005B30A9"/>
    <w:rsid w:val="005B457E"/>
    <w:rsid w:val="005B52CB"/>
    <w:rsid w:val="005B7566"/>
    <w:rsid w:val="005B79B1"/>
    <w:rsid w:val="005B7AD2"/>
    <w:rsid w:val="005C1503"/>
    <w:rsid w:val="005C2026"/>
    <w:rsid w:val="005C434D"/>
    <w:rsid w:val="005C451C"/>
    <w:rsid w:val="005C520B"/>
    <w:rsid w:val="005C5FBA"/>
    <w:rsid w:val="005C6209"/>
    <w:rsid w:val="005C764B"/>
    <w:rsid w:val="005C791C"/>
    <w:rsid w:val="005C7D8C"/>
    <w:rsid w:val="005C7EFD"/>
    <w:rsid w:val="005D019B"/>
    <w:rsid w:val="005D1EDA"/>
    <w:rsid w:val="005D1EE6"/>
    <w:rsid w:val="005D200F"/>
    <w:rsid w:val="005D3ED8"/>
    <w:rsid w:val="005D486D"/>
    <w:rsid w:val="005D4ADA"/>
    <w:rsid w:val="005D5250"/>
    <w:rsid w:val="005D5B59"/>
    <w:rsid w:val="005D6A26"/>
    <w:rsid w:val="005D6BEE"/>
    <w:rsid w:val="005D7FD3"/>
    <w:rsid w:val="005E0F3F"/>
    <w:rsid w:val="005E106C"/>
    <w:rsid w:val="005E12A7"/>
    <w:rsid w:val="005E1D8B"/>
    <w:rsid w:val="005E224C"/>
    <w:rsid w:val="005E31BC"/>
    <w:rsid w:val="005E3406"/>
    <w:rsid w:val="005E370B"/>
    <w:rsid w:val="005E3FC0"/>
    <w:rsid w:val="005E495D"/>
    <w:rsid w:val="005E583C"/>
    <w:rsid w:val="005E60A6"/>
    <w:rsid w:val="005F0916"/>
    <w:rsid w:val="005F11D6"/>
    <w:rsid w:val="005F181D"/>
    <w:rsid w:val="005F1B23"/>
    <w:rsid w:val="005F2A9B"/>
    <w:rsid w:val="005F2B52"/>
    <w:rsid w:val="005F2C77"/>
    <w:rsid w:val="005F3A1A"/>
    <w:rsid w:val="005F3C55"/>
    <w:rsid w:val="005F547D"/>
    <w:rsid w:val="005F55BB"/>
    <w:rsid w:val="005F65CB"/>
    <w:rsid w:val="005F6B9D"/>
    <w:rsid w:val="006020C2"/>
    <w:rsid w:val="0060381C"/>
    <w:rsid w:val="0060438D"/>
    <w:rsid w:val="00604B7D"/>
    <w:rsid w:val="0060527C"/>
    <w:rsid w:val="00606A7E"/>
    <w:rsid w:val="0060771F"/>
    <w:rsid w:val="00610C3A"/>
    <w:rsid w:val="006125AC"/>
    <w:rsid w:val="0061449E"/>
    <w:rsid w:val="00615C19"/>
    <w:rsid w:val="00620177"/>
    <w:rsid w:val="0062162D"/>
    <w:rsid w:val="006226F2"/>
    <w:rsid w:val="00622FAE"/>
    <w:rsid w:val="0062317D"/>
    <w:rsid w:val="00623BB8"/>
    <w:rsid w:val="00624D47"/>
    <w:rsid w:val="0062545F"/>
    <w:rsid w:val="00625D20"/>
    <w:rsid w:val="00627D91"/>
    <w:rsid w:val="00627F62"/>
    <w:rsid w:val="00630BF7"/>
    <w:rsid w:val="0063102A"/>
    <w:rsid w:val="00632CE2"/>
    <w:rsid w:val="006332D4"/>
    <w:rsid w:val="00633468"/>
    <w:rsid w:val="0063392A"/>
    <w:rsid w:val="00633F77"/>
    <w:rsid w:val="00640C0F"/>
    <w:rsid w:val="00640E82"/>
    <w:rsid w:val="006422E2"/>
    <w:rsid w:val="0064241C"/>
    <w:rsid w:val="0064256E"/>
    <w:rsid w:val="00642E81"/>
    <w:rsid w:val="006431D6"/>
    <w:rsid w:val="00643C51"/>
    <w:rsid w:val="00644613"/>
    <w:rsid w:val="00645117"/>
    <w:rsid w:val="00645597"/>
    <w:rsid w:val="00645B6E"/>
    <w:rsid w:val="00646DC1"/>
    <w:rsid w:val="006470BF"/>
    <w:rsid w:val="00647B1D"/>
    <w:rsid w:val="00650B4E"/>
    <w:rsid w:val="0065184D"/>
    <w:rsid w:val="0065186D"/>
    <w:rsid w:val="0065264B"/>
    <w:rsid w:val="0065293C"/>
    <w:rsid w:val="00655261"/>
    <w:rsid w:val="006558E0"/>
    <w:rsid w:val="00655B25"/>
    <w:rsid w:val="006565E1"/>
    <w:rsid w:val="006570C0"/>
    <w:rsid w:val="00657FCD"/>
    <w:rsid w:val="00662397"/>
    <w:rsid w:val="00663021"/>
    <w:rsid w:val="006642BA"/>
    <w:rsid w:val="006642F0"/>
    <w:rsid w:val="006667DA"/>
    <w:rsid w:val="00666AA5"/>
    <w:rsid w:val="00666BA6"/>
    <w:rsid w:val="006704B5"/>
    <w:rsid w:val="00671FAD"/>
    <w:rsid w:val="00672696"/>
    <w:rsid w:val="00673757"/>
    <w:rsid w:val="0067398D"/>
    <w:rsid w:val="00674620"/>
    <w:rsid w:val="006767F1"/>
    <w:rsid w:val="00676850"/>
    <w:rsid w:val="0067706D"/>
    <w:rsid w:val="0067713A"/>
    <w:rsid w:val="00682D3B"/>
    <w:rsid w:val="006830AF"/>
    <w:rsid w:val="006838D6"/>
    <w:rsid w:val="00683DF1"/>
    <w:rsid w:val="006841F0"/>
    <w:rsid w:val="00684708"/>
    <w:rsid w:val="00684F8E"/>
    <w:rsid w:val="006860EB"/>
    <w:rsid w:val="00690330"/>
    <w:rsid w:val="006907B0"/>
    <w:rsid w:val="00690CA6"/>
    <w:rsid w:val="00690FE2"/>
    <w:rsid w:val="00693D07"/>
    <w:rsid w:val="00693D97"/>
    <w:rsid w:val="006940D3"/>
    <w:rsid w:val="00694A7A"/>
    <w:rsid w:val="00694C98"/>
    <w:rsid w:val="00696BA9"/>
    <w:rsid w:val="00696D2A"/>
    <w:rsid w:val="00696E7E"/>
    <w:rsid w:val="006A03BA"/>
    <w:rsid w:val="006A16E9"/>
    <w:rsid w:val="006A219D"/>
    <w:rsid w:val="006A23FD"/>
    <w:rsid w:val="006A24C8"/>
    <w:rsid w:val="006A2FBB"/>
    <w:rsid w:val="006A360F"/>
    <w:rsid w:val="006A3C45"/>
    <w:rsid w:val="006A405A"/>
    <w:rsid w:val="006A41B6"/>
    <w:rsid w:val="006A7B63"/>
    <w:rsid w:val="006A7D0D"/>
    <w:rsid w:val="006B0D2E"/>
    <w:rsid w:val="006B49D0"/>
    <w:rsid w:val="006B5706"/>
    <w:rsid w:val="006B6910"/>
    <w:rsid w:val="006C1435"/>
    <w:rsid w:val="006C178F"/>
    <w:rsid w:val="006C1A34"/>
    <w:rsid w:val="006C1B69"/>
    <w:rsid w:val="006C33E5"/>
    <w:rsid w:val="006C49EB"/>
    <w:rsid w:val="006C4A5F"/>
    <w:rsid w:val="006C5A6F"/>
    <w:rsid w:val="006C5B30"/>
    <w:rsid w:val="006C6503"/>
    <w:rsid w:val="006D00E6"/>
    <w:rsid w:val="006D0993"/>
    <w:rsid w:val="006D1ACF"/>
    <w:rsid w:val="006D253B"/>
    <w:rsid w:val="006D3F59"/>
    <w:rsid w:val="006D473C"/>
    <w:rsid w:val="006D55BA"/>
    <w:rsid w:val="006D566E"/>
    <w:rsid w:val="006D6B28"/>
    <w:rsid w:val="006D7410"/>
    <w:rsid w:val="006D7464"/>
    <w:rsid w:val="006D75AD"/>
    <w:rsid w:val="006E00FE"/>
    <w:rsid w:val="006E10F9"/>
    <w:rsid w:val="006E11C3"/>
    <w:rsid w:val="006E12BE"/>
    <w:rsid w:val="006E1B08"/>
    <w:rsid w:val="006E1C68"/>
    <w:rsid w:val="006E2013"/>
    <w:rsid w:val="006E2716"/>
    <w:rsid w:val="006E3BE1"/>
    <w:rsid w:val="006E5540"/>
    <w:rsid w:val="006E67BD"/>
    <w:rsid w:val="006E7C08"/>
    <w:rsid w:val="006E7C11"/>
    <w:rsid w:val="006F1696"/>
    <w:rsid w:val="006F1B65"/>
    <w:rsid w:val="006F2A33"/>
    <w:rsid w:val="006F2C77"/>
    <w:rsid w:val="006F2CA1"/>
    <w:rsid w:val="006F63BB"/>
    <w:rsid w:val="006F77E9"/>
    <w:rsid w:val="006F7D55"/>
    <w:rsid w:val="00700D42"/>
    <w:rsid w:val="00701894"/>
    <w:rsid w:val="007029A5"/>
    <w:rsid w:val="007032DC"/>
    <w:rsid w:val="00703FAD"/>
    <w:rsid w:val="00705397"/>
    <w:rsid w:val="00705ABA"/>
    <w:rsid w:val="007061C7"/>
    <w:rsid w:val="00706544"/>
    <w:rsid w:val="007079F1"/>
    <w:rsid w:val="00710EFE"/>
    <w:rsid w:val="00711A18"/>
    <w:rsid w:val="00712E37"/>
    <w:rsid w:val="00713978"/>
    <w:rsid w:val="00713B65"/>
    <w:rsid w:val="00714341"/>
    <w:rsid w:val="00714499"/>
    <w:rsid w:val="00714B71"/>
    <w:rsid w:val="0071615A"/>
    <w:rsid w:val="00716671"/>
    <w:rsid w:val="00716B0F"/>
    <w:rsid w:val="00716C6A"/>
    <w:rsid w:val="00720B6E"/>
    <w:rsid w:val="0072165F"/>
    <w:rsid w:val="0072296A"/>
    <w:rsid w:val="00723333"/>
    <w:rsid w:val="00723F13"/>
    <w:rsid w:val="00724418"/>
    <w:rsid w:val="00725291"/>
    <w:rsid w:val="0072589E"/>
    <w:rsid w:val="00726485"/>
    <w:rsid w:val="007267E2"/>
    <w:rsid w:val="00727D48"/>
    <w:rsid w:val="00730606"/>
    <w:rsid w:val="00731E92"/>
    <w:rsid w:val="00732DCF"/>
    <w:rsid w:val="00733D2B"/>
    <w:rsid w:val="00733FCC"/>
    <w:rsid w:val="00734152"/>
    <w:rsid w:val="007341F1"/>
    <w:rsid w:val="00735377"/>
    <w:rsid w:val="007355F6"/>
    <w:rsid w:val="00735931"/>
    <w:rsid w:val="00736744"/>
    <w:rsid w:val="00737052"/>
    <w:rsid w:val="007402D5"/>
    <w:rsid w:val="007406B9"/>
    <w:rsid w:val="00741411"/>
    <w:rsid w:val="007414E1"/>
    <w:rsid w:val="0074219B"/>
    <w:rsid w:val="00743445"/>
    <w:rsid w:val="00743DEB"/>
    <w:rsid w:val="00743F5F"/>
    <w:rsid w:val="00745DBD"/>
    <w:rsid w:val="00745E47"/>
    <w:rsid w:val="00746F96"/>
    <w:rsid w:val="00747FDF"/>
    <w:rsid w:val="007503B9"/>
    <w:rsid w:val="00750590"/>
    <w:rsid w:val="007510C8"/>
    <w:rsid w:val="007517A4"/>
    <w:rsid w:val="00751A29"/>
    <w:rsid w:val="00751BA5"/>
    <w:rsid w:val="00752E71"/>
    <w:rsid w:val="00753EDB"/>
    <w:rsid w:val="007542AF"/>
    <w:rsid w:val="00754693"/>
    <w:rsid w:val="007546C7"/>
    <w:rsid w:val="00754D63"/>
    <w:rsid w:val="007550E4"/>
    <w:rsid w:val="00755605"/>
    <w:rsid w:val="0075591D"/>
    <w:rsid w:val="007565D4"/>
    <w:rsid w:val="007577D0"/>
    <w:rsid w:val="00757CF5"/>
    <w:rsid w:val="00760C54"/>
    <w:rsid w:val="00762B89"/>
    <w:rsid w:val="00763937"/>
    <w:rsid w:val="007646FB"/>
    <w:rsid w:val="00764983"/>
    <w:rsid w:val="00764D52"/>
    <w:rsid w:val="0076537B"/>
    <w:rsid w:val="00765A4C"/>
    <w:rsid w:val="007705D8"/>
    <w:rsid w:val="00770E0B"/>
    <w:rsid w:val="00772538"/>
    <w:rsid w:val="0077473B"/>
    <w:rsid w:val="007755DC"/>
    <w:rsid w:val="0077768A"/>
    <w:rsid w:val="00780384"/>
    <w:rsid w:val="00780D8D"/>
    <w:rsid w:val="00783D72"/>
    <w:rsid w:val="00783E3E"/>
    <w:rsid w:val="00786500"/>
    <w:rsid w:val="00787711"/>
    <w:rsid w:val="00790D50"/>
    <w:rsid w:val="007911A1"/>
    <w:rsid w:val="0079294D"/>
    <w:rsid w:val="00792952"/>
    <w:rsid w:val="007931F9"/>
    <w:rsid w:val="00794A62"/>
    <w:rsid w:val="00794DCB"/>
    <w:rsid w:val="00796972"/>
    <w:rsid w:val="007969FF"/>
    <w:rsid w:val="007A0C9D"/>
    <w:rsid w:val="007A5BB5"/>
    <w:rsid w:val="007A6355"/>
    <w:rsid w:val="007A681C"/>
    <w:rsid w:val="007A7D4C"/>
    <w:rsid w:val="007A7D7A"/>
    <w:rsid w:val="007B04D3"/>
    <w:rsid w:val="007B17BB"/>
    <w:rsid w:val="007B1906"/>
    <w:rsid w:val="007B1BB2"/>
    <w:rsid w:val="007B1F1D"/>
    <w:rsid w:val="007B220D"/>
    <w:rsid w:val="007B2611"/>
    <w:rsid w:val="007B2D41"/>
    <w:rsid w:val="007B4C24"/>
    <w:rsid w:val="007B4D55"/>
    <w:rsid w:val="007B5175"/>
    <w:rsid w:val="007B5E16"/>
    <w:rsid w:val="007B5FFE"/>
    <w:rsid w:val="007B6BEB"/>
    <w:rsid w:val="007B7F59"/>
    <w:rsid w:val="007C1AB7"/>
    <w:rsid w:val="007C2C91"/>
    <w:rsid w:val="007C34DA"/>
    <w:rsid w:val="007C3EAD"/>
    <w:rsid w:val="007C4156"/>
    <w:rsid w:val="007C48F6"/>
    <w:rsid w:val="007C5161"/>
    <w:rsid w:val="007C7C01"/>
    <w:rsid w:val="007C7EC0"/>
    <w:rsid w:val="007D0068"/>
    <w:rsid w:val="007D06FF"/>
    <w:rsid w:val="007D14BE"/>
    <w:rsid w:val="007D194B"/>
    <w:rsid w:val="007D2067"/>
    <w:rsid w:val="007D232C"/>
    <w:rsid w:val="007D2C6D"/>
    <w:rsid w:val="007D2E79"/>
    <w:rsid w:val="007D36EF"/>
    <w:rsid w:val="007D3F30"/>
    <w:rsid w:val="007D4701"/>
    <w:rsid w:val="007D4F7F"/>
    <w:rsid w:val="007D512D"/>
    <w:rsid w:val="007D5AD3"/>
    <w:rsid w:val="007D647B"/>
    <w:rsid w:val="007D743F"/>
    <w:rsid w:val="007E0CC4"/>
    <w:rsid w:val="007E0E75"/>
    <w:rsid w:val="007E13BF"/>
    <w:rsid w:val="007E3224"/>
    <w:rsid w:val="007E3E92"/>
    <w:rsid w:val="007E4063"/>
    <w:rsid w:val="007E49D1"/>
    <w:rsid w:val="007E4CD9"/>
    <w:rsid w:val="007E5CFB"/>
    <w:rsid w:val="007E7349"/>
    <w:rsid w:val="007E75EC"/>
    <w:rsid w:val="007E7BE5"/>
    <w:rsid w:val="007F0E83"/>
    <w:rsid w:val="007F14D6"/>
    <w:rsid w:val="007F20D3"/>
    <w:rsid w:val="007F24AB"/>
    <w:rsid w:val="007F25C2"/>
    <w:rsid w:val="007F4C2A"/>
    <w:rsid w:val="007F5FC0"/>
    <w:rsid w:val="007F7553"/>
    <w:rsid w:val="007F78C9"/>
    <w:rsid w:val="007F7BA1"/>
    <w:rsid w:val="00800523"/>
    <w:rsid w:val="00802BDD"/>
    <w:rsid w:val="0080346C"/>
    <w:rsid w:val="00803612"/>
    <w:rsid w:val="0080573A"/>
    <w:rsid w:val="00805BDC"/>
    <w:rsid w:val="0080608A"/>
    <w:rsid w:val="00806314"/>
    <w:rsid w:val="00806751"/>
    <w:rsid w:val="008101EE"/>
    <w:rsid w:val="00810910"/>
    <w:rsid w:val="0081374B"/>
    <w:rsid w:val="008145FD"/>
    <w:rsid w:val="008168A2"/>
    <w:rsid w:val="00816AB3"/>
    <w:rsid w:val="008176B3"/>
    <w:rsid w:val="00817A41"/>
    <w:rsid w:val="00817EA4"/>
    <w:rsid w:val="00820038"/>
    <w:rsid w:val="00820393"/>
    <w:rsid w:val="0082289B"/>
    <w:rsid w:val="00824C2F"/>
    <w:rsid w:val="008250DD"/>
    <w:rsid w:val="008257D9"/>
    <w:rsid w:val="00825B41"/>
    <w:rsid w:val="00826573"/>
    <w:rsid w:val="00830714"/>
    <w:rsid w:val="008324FD"/>
    <w:rsid w:val="00833E5D"/>
    <w:rsid w:val="00835BF8"/>
    <w:rsid w:val="00837581"/>
    <w:rsid w:val="00840749"/>
    <w:rsid w:val="00840AD7"/>
    <w:rsid w:val="00841007"/>
    <w:rsid w:val="00841BA2"/>
    <w:rsid w:val="00842121"/>
    <w:rsid w:val="00842699"/>
    <w:rsid w:val="008431E2"/>
    <w:rsid w:val="00843BA0"/>
    <w:rsid w:val="00844674"/>
    <w:rsid w:val="00844727"/>
    <w:rsid w:val="00845118"/>
    <w:rsid w:val="00846F64"/>
    <w:rsid w:val="00847F32"/>
    <w:rsid w:val="00851AFA"/>
    <w:rsid w:val="00852A0C"/>
    <w:rsid w:val="00852B49"/>
    <w:rsid w:val="0085316D"/>
    <w:rsid w:val="00853334"/>
    <w:rsid w:val="008533ED"/>
    <w:rsid w:val="00853666"/>
    <w:rsid w:val="00853C53"/>
    <w:rsid w:val="00855584"/>
    <w:rsid w:val="00856ACF"/>
    <w:rsid w:val="008575AD"/>
    <w:rsid w:val="00857739"/>
    <w:rsid w:val="0086036F"/>
    <w:rsid w:val="00861540"/>
    <w:rsid w:val="008630E9"/>
    <w:rsid w:val="00864A00"/>
    <w:rsid w:val="00864A58"/>
    <w:rsid w:val="00864A90"/>
    <w:rsid w:val="008660A4"/>
    <w:rsid w:val="008713E9"/>
    <w:rsid w:val="008720E1"/>
    <w:rsid w:val="00872861"/>
    <w:rsid w:val="00872956"/>
    <w:rsid w:val="00872DE1"/>
    <w:rsid w:val="00873002"/>
    <w:rsid w:val="008735BD"/>
    <w:rsid w:val="0087383B"/>
    <w:rsid w:val="0087403A"/>
    <w:rsid w:val="0087403B"/>
    <w:rsid w:val="008746BF"/>
    <w:rsid w:val="00875ADD"/>
    <w:rsid w:val="00876C6F"/>
    <w:rsid w:val="008807A0"/>
    <w:rsid w:val="00880B7C"/>
    <w:rsid w:val="0088142D"/>
    <w:rsid w:val="00881448"/>
    <w:rsid w:val="0088184F"/>
    <w:rsid w:val="00881EAB"/>
    <w:rsid w:val="0088205E"/>
    <w:rsid w:val="00882419"/>
    <w:rsid w:val="00883078"/>
    <w:rsid w:val="00883486"/>
    <w:rsid w:val="00883C99"/>
    <w:rsid w:val="00884088"/>
    <w:rsid w:val="00884717"/>
    <w:rsid w:val="00884CCC"/>
    <w:rsid w:val="00885303"/>
    <w:rsid w:val="0088531B"/>
    <w:rsid w:val="00886039"/>
    <w:rsid w:val="008868AB"/>
    <w:rsid w:val="0088693C"/>
    <w:rsid w:val="00887C8F"/>
    <w:rsid w:val="00890136"/>
    <w:rsid w:val="00890F3D"/>
    <w:rsid w:val="008917CB"/>
    <w:rsid w:val="008927FB"/>
    <w:rsid w:val="0089302E"/>
    <w:rsid w:val="008930D1"/>
    <w:rsid w:val="008973B9"/>
    <w:rsid w:val="00897797"/>
    <w:rsid w:val="00897836"/>
    <w:rsid w:val="008A15CD"/>
    <w:rsid w:val="008A28FA"/>
    <w:rsid w:val="008A2B13"/>
    <w:rsid w:val="008A2F29"/>
    <w:rsid w:val="008A3EA2"/>
    <w:rsid w:val="008A4B8D"/>
    <w:rsid w:val="008A504A"/>
    <w:rsid w:val="008A52C5"/>
    <w:rsid w:val="008A5956"/>
    <w:rsid w:val="008A5C44"/>
    <w:rsid w:val="008A727B"/>
    <w:rsid w:val="008A7FD6"/>
    <w:rsid w:val="008B2F95"/>
    <w:rsid w:val="008B3FC5"/>
    <w:rsid w:val="008B4B83"/>
    <w:rsid w:val="008B590F"/>
    <w:rsid w:val="008B6A51"/>
    <w:rsid w:val="008B747F"/>
    <w:rsid w:val="008C06C2"/>
    <w:rsid w:val="008C2B02"/>
    <w:rsid w:val="008C2B4C"/>
    <w:rsid w:val="008C2C18"/>
    <w:rsid w:val="008C7DB7"/>
    <w:rsid w:val="008D0CF9"/>
    <w:rsid w:val="008D1DFB"/>
    <w:rsid w:val="008D20F2"/>
    <w:rsid w:val="008D25AD"/>
    <w:rsid w:val="008D2AB8"/>
    <w:rsid w:val="008D326D"/>
    <w:rsid w:val="008D339C"/>
    <w:rsid w:val="008D46EF"/>
    <w:rsid w:val="008D4DF8"/>
    <w:rsid w:val="008D541C"/>
    <w:rsid w:val="008D6006"/>
    <w:rsid w:val="008D72A7"/>
    <w:rsid w:val="008E1526"/>
    <w:rsid w:val="008E16E0"/>
    <w:rsid w:val="008E260E"/>
    <w:rsid w:val="008E385C"/>
    <w:rsid w:val="008E3E3E"/>
    <w:rsid w:val="008E3EBC"/>
    <w:rsid w:val="008E4214"/>
    <w:rsid w:val="008E43E2"/>
    <w:rsid w:val="008E4B4E"/>
    <w:rsid w:val="008E4F2B"/>
    <w:rsid w:val="008E5C17"/>
    <w:rsid w:val="008E5FB2"/>
    <w:rsid w:val="008E6535"/>
    <w:rsid w:val="008E6F71"/>
    <w:rsid w:val="008E7246"/>
    <w:rsid w:val="008F0AFE"/>
    <w:rsid w:val="008F22A4"/>
    <w:rsid w:val="008F3075"/>
    <w:rsid w:val="008F3EC0"/>
    <w:rsid w:val="008F5C28"/>
    <w:rsid w:val="008F63CE"/>
    <w:rsid w:val="008F6D33"/>
    <w:rsid w:val="008F7422"/>
    <w:rsid w:val="008F79D1"/>
    <w:rsid w:val="0090071C"/>
    <w:rsid w:val="00900F6A"/>
    <w:rsid w:val="009019E0"/>
    <w:rsid w:val="00901D4F"/>
    <w:rsid w:val="00903316"/>
    <w:rsid w:val="00903742"/>
    <w:rsid w:val="0090442F"/>
    <w:rsid w:val="00905876"/>
    <w:rsid w:val="00905F74"/>
    <w:rsid w:val="00906254"/>
    <w:rsid w:val="00906B67"/>
    <w:rsid w:val="00906BEC"/>
    <w:rsid w:val="00907298"/>
    <w:rsid w:val="00907F48"/>
    <w:rsid w:val="00910689"/>
    <w:rsid w:val="0091104D"/>
    <w:rsid w:val="009111D7"/>
    <w:rsid w:val="0091178F"/>
    <w:rsid w:val="00911B0B"/>
    <w:rsid w:val="00912BE8"/>
    <w:rsid w:val="00912D11"/>
    <w:rsid w:val="00912ECF"/>
    <w:rsid w:val="00913B58"/>
    <w:rsid w:val="0091412E"/>
    <w:rsid w:val="00914E34"/>
    <w:rsid w:val="009157D2"/>
    <w:rsid w:val="00915903"/>
    <w:rsid w:val="0091625A"/>
    <w:rsid w:val="00916D3F"/>
    <w:rsid w:val="009173DA"/>
    <w:rsid w:val="00922991"/>
    <w:rsid w:val="00923B50"/>
    <w:rsid w:val="00923D47"/>
    <w:rsid w:val="00923E03"/>
    <w:rsid w:val="00925303"/>
    <w:rsid w:val="00926312"/>
    <w:rsid w:val="009263FA"/>
    <w:rsid w:val="0092648D"/>
    <w:rsid w:val="0093015E"/>
    <w:rsid w:val="009301CA"/>
    <w:rsid w:val="0093119A"/>
    <w:rsid w:val="00931984"/>
    <w:rsid w:val="00932567"/>
    <w:rsid w:val="00933312"/>
    <w:rsid w:val="00933C32"/>
    <w:rsid w:val="009351B1"/>
    <w:rsid w:val="009357FD"/>
    <w:rsid w:val="00935B78"/>
    <w:rsid w:val="00940123"/>
    <w:rsid w:val="00940CD2"/>
    <w:rsid w:val="00942D2B"/>
    <w:rsid w:val="00943EB7"/>
    <w:rsid w:val="00943F93"/>
    <w:rsid w:val="00944543"/>
    <w:rsid w:val="00944C25"/>
    <w:rsid w:val="00944F3B"/>
    <w:rsid w:val="009459EA"/>
    <w:rsid w:val="00947B14"/>
    <w:rsid w:val="009506CF"/>
    <w:rsid w:val="00950D6A"/>
    <w:rsid w:val="00950F9D"/>
    <w:rsid w:val="00951C28"/>
    <w:rsid w:val="00952669"/>
    <w:rsid w:val="009527FD"/>
    <w:rsid w:val="00952DB3"/>
    <w:rsid w:val="00953D9C"/>
    <w:rsid w:val="009546FE"/>
    <w:rsid w:val="009548F1"/>
    <w:rsid w:val="00955AD8"/>
    <w:rsid w:val="009560AE"/>
    <w:rsid w:val="009603BC"/>
    <w:rsid w:val="00960B51"/>
    <w:rsid w:val="00960C24"/>
    <w:rsid w:val="009613C8"/>
    <w:rsid w:val="0096143B"/>
    <w:rsid w:val="0096151A"/>
    <w:rsid w:val="00961D42"/>
    <w:rsid w:val="00962E94"/>
    <w:rsid w:val="00962FC4"/>
    <w:rsid w:val="0096462A"/>
    <w:rsid w:val="009655D0"/>
    <w:rsid w:val="0096613C"/>
    <w:rsid w:val="009721E5"/>
    <w:rsid w:val="00972B15"/>
    <w:rsid w:val="00972C4D"/>
    <w:rsid w:val="0097309E"/>
    <w:rsid w:val="00974651"/>
    <w:rsid w:val="00974FCE"/>
    <w:rsid w:val="00976D9B"/>
    <w:rsid w:val="00977165"/>
    <w:rsid w:val="00980A19"/>
    <w:rsid w:val="0098250F"/>
    <w:rsid w:val="00982DEF"/>
    <w:rsid w:val="00983325"/>
    <w:rsid w:val="009834FA"/>
    <w:rsid w:val="00983538"/>
    <w:rsid w:val="00983960"/>
    <w:rsid w:val="0098467C"/>
    <w:rsid w:val="009865D5"/>
    <w:rsid w:val="00986FC8"/>
    <w:rsid w:val="009907F2"/>
    <w:rsid w:val="00990941"/>
    <w:rsid w:val="00991356"/>
    <w:rsid w:val="00991577"/>
    <w:rsid w:val="00991B6F"/>
    <w:rsid w:val="009920C3"/>
    <w:rsid w:val="00994B4F"/>
    <w:rsid w:val="00995049"/>
    <w:rsid w:val="0099555D"/>
    <w:rsid w:val="00996119"/>
    <w:rsid w:val="009963E2"/>
    <w:rsid w:val="009971B5"/>
    <w:rsid w:val="009A3367"/>
    <w:rsid w:val="009A48CF"/>
    <w:rsid w:val="009A4AC4"/>
    <w:rsid w:val="009A6EA0"/>
    <w:rsid w:val="009B424A"/>
    <w:rsid w:val="009B4E6E"/>
    <w:rsid w:val="009B60AD"/>
    <w:rsid w:val="009C08C0"/>
    <w:rsid w:val="009C1265"/>
    <w:rsid w:val="009C129E"/>
    <w:rsid w:val="009C1CF7"/>
    <w:rsid w:val="009C21C1"/>
    <w:rsid w:val="009C30EA"/>
    <w:rsid w:val="009C3D12"/>
    <w:rsid w:val="009C45B4"/>
    <w:rsid w:val="009C493D"/>
    <w:rsid w:val="009C601C"/>
    <w:rsid w:val="009C6404"/>
    <w:rsid w:val="009C66F7"/>
    <w:rsid w:val="009C6715"/>
    <w:rsid w:val="009D0AC2"/>
    <w:rsid w:val="009D153F"/>
    <w:rsid w:val="009D16D5"/>
    <w:rsid w:val="009D24A0"/>
    <w:rsid w:val="009D2CD0"/>
    <w:rsid w:val="009D35BB"/>
    <w:rsid w:val="009D39DF"/>
    <w:rsid w:val="009D3A2A"/>
    <w:rsid w:val="009D4739"/>
    <w:rsid w:val="009D4D62"/>
    <w:rsid w:val="009D598F"/>
    <w:rsid w:val="009D7076"/>
    <w:rsid w:val="009D7BD0"/>
    <w:rsid w:val="009D7D04"/>
    <w:rsid w:val="009E006D"/>
    <w:rsid w:val="009E22C6"/>
    <w:rsid w:val="009E2389"/>
    <w:rsid w:val="009E287A"/>
    <w:rsid w:val="009E3968"/>
    <w:rsid w:val="009E3A3A"/>
    <w:rsid w:val="009E3B90"/>
    <w:rsid w:val="009E4268"/>
    <w:rsid w:val="009E4AC4"/>
    <w:rsid w:val="009E5AAE"/>
    <w:rsid w:val="009E7F7A"/>
    <w:rsid w:val="009F0899"/>
    <w:rsid w:val="009F121A"/>
    <w:rsid w:val="009F32A0"/>
    <w:rsid w:val="009F3329"/>
    <w:rsid w:val="009F510D"/>
    <w:rsid w:val="009F551A"/>
    <w:rsid w:val="009F6B95"/>
    <w:rsid w:val="00A002E2"/>
    <w:rsid w:val="00A02D6D"/>
    <w:rsid w:val="00A03274"/>
    <w:rsid w:val="00A0448C"/>
    <w:rsid w:val="00A05501"/>
    <w:rsid w:val="00A05CF7"/>
    <w:rsid w:val="00A066FE"/>
    <w:rsid w:val="00A076E2"/>
    <w:rsid w:val="00A07FD5"/>
    <w:rsid w:val="00A11ABC"/>
    <w:rsid w:val="00A11CFB"/>
    <w:rsid w:val="00A12B2A"/>
    <w:rsid w:val="00A149AD"/>
    <w:rsid w:val="00A16016"/>
    <w:rsid w:val="00A164E0"/>
    <w:rsid w:val="00A16F6A"/>
    <w:rsid w:val="00A17002"/>
    <w:rsid w:val="00A20A3F"/>
    <w:rsid w:val="00A2185D"/>
    <w:rsid w:val="00A22ED6"/>
    <w:rsid w:val="00A23692"/>
    <w:rsid w:val="00A24B3F"/>
    <w:rsid w:val="00A24F63"/>
    <w:rsid w:val="00A25862"/>
    <w:rsid w:val="00A261E6"/>
    <w:rsid w:val="00A26595"/>
    <w:rsid w:val="00A305AB"/>
    <w:rsid w:val="00A30A34"/>
    <w:rsid w:val="00A30D96"/>
    <w:rsid w:val="00A31304"/>
    <w:rsid w:val="00A313D1"/>
    <w:rsid w:val="00A32357"/>
    <w:rsid w:val="00A32835"/>
    <w:rsid w:val="00A32DB9"/>
    <w:rsid w:val="00A3321D"/>
    <w:rsid w:val="00A3467B"/>
    <w:rsid w:val="00A34F0A"/>
    <w:rsid w:val="00A350F8"/>
    <w:rsid w:val="00A36E15"/>
    <w:rsid w:val="00A37ABE"/>
    <w:rsid w:val="00A37EA6"/>
    <w:rsid w:val="00A40E33"/>
    <w:rsid w:val="00A41702"/>
    <w:rsid w:val="00A42C91"/>
    <w:rsid w:val="00A42ED5"/>
    <w:rsid w:val="00A43665"/>
    <w:rsid w:val="00A44638"/>
    <w:rsid w:val="00A456A1"/>
    <w:rsid w:val="00A50B84"/>
    <w:rsid w:val="00A511F2"/>
    <w:rsid w:val="00A513FF"/>
    <w:rsid w:val="00A51708"/>
    <w:rsid w:val="00A5207B"/>
    <w:rsid w:val="00A52086"/>
    <w:rsid w:val="00A54446"/>
    <w:rsid w:val="00A546C5"/>
    <w:rsid w:val="00A55A4B"/>
    <w:rsid w:val="00A5647D"/>
    <w:rsid w:val="00A575FB"/>
    <w:rsid w:val="00A578E1"/>
    <w:rsid w:val="00A57C1A"/>
    <w:rsid w:val="00A61335"/>
    <w:rsid w:val="00A61B99"/>
    <w:rsid w:val="00A62CD5"/>
    <w:rsid w:val="00A6336B"/>
    <w:rsid w:val="00A633AA"/>
    <w:rsid w:val="00A63A59"/>
    <w:rsid w:val="00A63A8A"/>
    <w:rsid w:val="00A64749"/>
    <w:rsid w:val="00A664B9"/>
    <w:rsid w:val="00A66A4E"/>
    <w:rsid w:val="00A66E96"/>
    <w:rsid w:val="00A671BB"/>
    <w:rsid w:val="00A67932"/>
    <w:rsid w:val="00A701B1"/>
    <w:rsid w:val="00A70745"/>
    <w:rsid w:val="00A70B35"/>
    <w:rsid w:val="00A71F18"/>
    <w:rsid w:val="00A72D82"/>
    <w:rsid w:val="00A73309"/>
    <w:rsid w:val="00A7333B"/>
    <w:rsid w:val="00A75887"/>
    <w:rsid w:val="00A77A80"/>
    <w:rsid w:val="00A837CF"/>
    <w:rsid w:val="00A83A79"/>
    <w:rsid w:val="00A842A1"/>
    <w:rsid w:val="00A8500A"/>
    <w:rsid w:val="00A85777"/>
    <w:rsid w:val="00A85D7B"/>
    <w:rsid w:val="00A8612C"/>
    <w:rsid w:val="00A86DF8"/>
    <w:rsid w:val="00A87AFC"/>
    <w:rsid w:val="00A9100A"/>
    <w:rsid w:val="00A9176F"/>
    <w:rsid w:val="00A91B8A"/>
    <w:rsid w:val="00A93997"/>
    <w:rsid w:val="00A93EEE"/>
    <w:rsid w:val="00A95C10"/>
    <w:rsid w:val="00A96B42"/>
    <w:rsid w:val="00AA2641"/>
    <w:rsid w:val="00AA2712"/>
    <w:rsid w:val="00AA31AF"/>
    <w:rsid w:val="00AA33AA"/>
    <w:rsid w:val="00AA3436"/>
    <w:rsid w:val="00AA4DFE"/>
    <w:rsid w:val="00AA7700"/>
    <w:rsid w:val="00AA775A"/>
    <w:rsid w:val="00AA7963"/>
    <w:rsid w:val="00AB03AF"/>
    <w:rsid w:val="00AB0F64"/>
    <w:rsid w:val="00AB30A4"/>
    <w:rsid w:val="00AB33D6"/>
    <w:rsid w:val="00AB39A1"/>
    <w:rsid w:val="00AB4EBF"/>
    <w:rsid w:val="00AB50E7"/>
    <w:rsid w:val="00AB794F"/>
    <w:rsid w:val="00AB7CC6"/>
    <w:rsid w:val="00AB7F2E"/>
    <w:rsid w:val="00AC2355"/>
    <w:rsid w:val="00AC3BD0"/>
    <w:rsid w:val="00AC4207"/>
    <w:rsid w:val="00AC4757"/>
    <w:rsid w:val="00AC4820"/>
    <w:rsid w:val="00AC4987"/>
    <w:rsid w:val="00AC5441"/>
    <w:rsid w:val="00AC564A"/>
    <w:rsid w:val="00AC59AB"/>
    <w:rsid w:val="00AC5ED7"/>
    <w:rsid w:val="00AC6578"/>
    <w:rsid w:val="00AC7EC6"/>
    <w:rsid w:val="00AD0821"/>
    <w:rsid w:val="00AD103B"/>
    <w:rsid w:val="00AD433E"/>
    <w:rsid w:val="00AD5835"/>
    <w:rsid w:val="00AD6FD8"/>
    <w:rsid w:val="00AD7E0D"/>
    <w:rsid w:val="00AE16EE"/>
    <w:rsid w:val="00AE1A16"/>
    <w:rsid w:val="00AE1DE6"/>
    <w:rsid w:val="00AE244C"/>
    <w:rsid w:val="00AE3632"/>
    <w:rsid w:val="00AE4814"/>
    <w:rsid w:val="00AE5219"/>
    <w:rsid w:val="00AE573A"/>
    <w:rsid w:val="00AE589D"/>
    <w:rsid w:val="00AE62BE"/>
    <w:rsid w:val="00AE7890"/>
    <w:rsid w:val="00AF0060"/>
    <w:rsid w:val="00AF027E"/>
    <w:rsid w:val="00AF0628"/>
    <w:rsid w:val="00AF109C"/>
    <w:rsid w:val="00AF170D"/>
    <w:rsid w:val="00AF23C4"/>
    <w:rsid w:val="00AF3257"/>
    <w:rsid w:val="00AF3872"/>
    <w:rsid w:val="00AF489C"/>
    <w:rsid w:val="00AF4BF7"/>
    <w:rsid w:val="00AF522F"/>
    <w:rsid w:val="00AF53B6"/>
    <w:rsid w:val="00AF5443"/>
    <w:rsid w:val="00AF5BCE"/>
    <w:rsid w:val="00AF6E31"/>
    <w:rsid w:val="00AF7688"/>
    <w:rsid w:val="00AF79A3"/>
    <w:rsid w:val="00AF7AC6"/>
    <w:rsid w:val="00B004D6"/>
    <w:rsid w:val="00B00749"/>
    <w:rsid w:val="00B018C3"/>
    <w:rsid w:val="00B0275E"/>
    <w:rsid w:val="00B02E02"/>
    <w:rsid w:val="00B06275"/>
    <w:rsid w:val="00B0643C"/>
    <w:rsid w:val="00B06E70"/>
    <w:rsid w:val="00B10432"/>
    <w:rsid w:val="00B1081A"/>
    <w:rsid w:val="00B11BF2"/>
    <w:rsid w:val="00B11DAE"/>
    <w:rsid w:val="00B12620"/>
    <w:rsid w:val="00B12FE4"/>
    <w:rsid w:val="00B13A57"/>
    <w:rsid w:val="00B14DF4"/>
    <w:rsid w:val="00B17AB6"/>
    <w:rsid w:val="00B17BF4"/>
    <w:rsid w:val="00B208E9"/>
    <w:rsid w:val="00B21AE1"/>
    <w:rsid w:val="00B21D26"/>
    <w:rsid w:val="00B24008"/>
    <w:rsid w:val="00B24284"/>
    <w:rsid w:val="00B26A10"/>
    <w:rsid w:val="00B31070"/>
    <w:rsid w:val="00B322CB"/>
    <w:rsid w:val="00B330A7"/>
    <w:rsid w:val="00B33CBD"/>
    <w:rsid w:val="00B35249"/>
    <w:rsid w:val="00B35EE9"/>
    <w:rsid w:val="00B361B3"/>
    <w:rsid w:val="00B36366"/>
    <w:rsid w:val="00B365BA"/>
    <w:rsid w:val="00B3666F"/>
    <w:rsid w:val="00B36F19"/>
    <w:rsid w:val="00B370A0"/>
    <w:rsid w:val="00B376AA"/>
    <w:rsid w:val="00B40E94"/>
    <w:rsid w:val="00B41DF7"/>
    <w:rsid w:val="00B42449"/>
    <w:rsid w:val="00B42774"/>
    <w:rsid w:val="00B43668"/>
    <w:rsid w:val="00B43C8A"/>
    <w:rsid w:val="00B453BA"/>
    <w:rsid w:val="00B457C4"/>
    <w:rsid w:val="00B50F69"/>
    <w:rsid w:val="00B50FD5"/>
    <w:rsid w:val="00B519E7"/>
    <w:rsid w:val="00B524A5"/>
    <w:rsid w:val="00B530A6"/>
    <w:rsid w:val="00B53577"/>
    <w:rsid w:val="00B538E5"/>
    <w:rsid w:val="00B53932"/>
    <w:rsid w:val="00B540A7"/>
    <w:rsid w:val="00B54564"/>
    <w:rsid w:val="00B5480A"/>
    <w:rsid w:val="00B57A24"/>
    <w:rsid w:val="00B62DC2"/>
    <w:rsid w:val="00B635C7"/>
    <w:rsid w:val="00B6374C"/>
    <w:rsid w:val="00B63FB0"/>
    <w:rsid w:val="00B651A4"/>
    <w:rsid w:val="00B663BF"/>
    <w:rsid w:val="00B70335"/>
    <w:rsid w:val="00B71476"/>
    <w:rsid w:val="00B717CA"/>
    <w:rsid w:val="00B71D88"/>
    <w:rsid w:val="00B72049"/>
    <w:rsid w:val="00B72572"/>
    <w:rsid w:val="00B746AC"/>
    <w:rsid w:val="00B7595F"/>
    <w:rsid w:val="00B75FAB"/>
    <w:rsid w:val="00B765A4"/>
    <w:rsid w:val="00B774D2"/>
    <w:rsid w:val="00B82705"/>
    <w:rsid w:val="00B841BF"/>
    <w:rsid w:val="00B860FC"/>
    <w:rsid w:val="00B8759F"/>
    <w:rsid w:val="00B87BD4"/>
    <w:rsid w:val="00B902B8"/>
    <w:rsid w:val="00B91790"/>
    <w:rsid w:val="00B91D00"/>
    <w:rsid w:val="00B9491D"/>
    <w:rsid w:val="00B95DE9"/>
    <w:rsid w:val="00B95E64"/>
    <w:rsid w:val="00B965CC"/>
    <w:rsid w:val="00B97FCC"/>
    <w:rsid w:val="00BA16E8"/>
    <w:rsid w:val="00BA17D5"/>
    <w:rsid w:val="00BA3AA9"/>
    <w:rsid w:val="00BA3C92"/>
    <w:rsid w:val="00BA4EC0"/>
    <w:rsid w:val="00BA525E"/>
    <w:rsid w:val="00BA5F29"/>
    <w:rsid w:val="00BA631B"/>
    <w:rsid w:val="00BA66B0"/>
    <w:rsid w:val="00BA71AB"/>
    <w:rsid w:val="00BA7CC3"/>
    <w:rsid w:val="00BB00A3"/>
    <w:rsid w:val="00BB0C9B"/>
    <w:rsid w:val="00BB3A5A"/>
    <w:rsid w:val="00BB5055"/>
    <w:rsid w:val="00BB6841"/>
    <w:rsid w:val="00BB7682"/>
    <w:rsid w:val="00BC10D1"/>
    <w:rsid w:val="00BC1232"/>
    <w:rsid w:val="00BC2482"/>
    <w:rsid w:val="00BC32F5"/>
    <w:rsid w:val="00BC3881"/>
    <w:rsid w:val="00BC3F42"/>
    <w:rsid w:val="00BC4D00"/>
    <w:rsid w:val="00BC5E75"/>
    <w:rsid w:val="00BC6439"/>
    <w:rsid w:val="00BD013B"/>
    <w:rsid w:val="00BD0585"/>
    <w:rsid w:val="00BD0828"/>
    <w:rsid w:val="00BD08C0"/>
    <w:rsid w:val="00BD2FB9"/>
    <w:rsid w:val="00BD3383"/>
    <w:rsid w:val="00BD4240"/>
    <w:rsid w:val="00BD485F"/>
    <w:rsid w:val="00BD4B5A"/>
    <w:rsid w:val="00BD723C"/>
    <w:rsid w:val="00BD7265"/>
    <w:rsid w:val="00BD7C0E"/>
    <w:rsid w:val="00BD7EC1"/>
    <w:rsid w:val="00BE04A5"/>
    <w:rsid w:val="00BE074D"/>
    <w:rsid w:val="00BE09DC"/>
    <w:rsid w:val="00BE11BA"/>
    <w:rsid w:val="00BE127D"/>
    <w:rsid w:val="00BE18B0"/>
    <w:rsid w:val="00BE1D38"/>
    <w:rsid w:val="00BE2F56"/>
    <w:rsid w:val="00BE2FDA"/>
    <w:rsid w:val="00BE3DA8"/>
    <w:rsid w:val="00BE40D6"/>
    <w:rsid w:val="00BE40EB"/>
    <w:rsid w:val="00BE41FA"/>
    <w:rsid w:val="00BE4968"/>
    <w:rsid w:val="00BE5827"/>
    <w:rsid w:val="00BE6810"/>
    <w:rsid w:val="00BE7B32"/>
    <w:rsid w:val="00BE7BDC"/>
    <w:rsid w:val="00BF1216"/>
    <w:rsid w:val="00BF155D"/>
    <w:rsid w:val="00BF1ADC"/>
    <w:rsid w:val="00BF1BD2"/>
    <w:rsid w:val="00BF2EF4"/>
    <w:rsid w:val="00BF3706"/>
    <w:rsid w:val="00BF438B"/>
    <w:rsid w:val="00BF4BD1"/>
    <w:rsid w:val="00BF53C5"/>
    <w:rsid w:val="00BF5CED"/>
    <w:rsid w:val="00BF645A"/>
    <w:rsid w:val="00C00963"/>
    <w:rsid w:val="00C01821"/>
    <w:rsid w:val="00C01C06"/>
    <w:rsid w:val="00C02473"/>
    <w:rsid w:val="00C02F33"/>
    <w:rsid w:val="00C04091"/>
    <w:rsid w:val="00C04181"/>
    <w:rsid w:val="00C04372"/>
    <w:rsid w:val="00C04A5D"/>
    <w:rsid w:val="00C0554E"/>
    <w:rsid w:val="00C05755"/>
    <w:rsid w:val="00C05E4A"/>
    <w:rsid w:val="00C0612C"/>
    <w:rsid w:val="00C06705"/>
    <w:rsid w:val="00C06CA7"/>
    <w:rsid w:val="00C07798"/>
    <w:rsid w:val="00C078B0"/>
    <w:rsid w:val="00C07A9C"/>
    <w:rsid w:val="00C1078F"/>
    <w:rsid w:val="00C10C09"/>
    <w:rsid w:val="00C13F9D"/>
    <w:rsid w:val="00C14706"/>
    <w:rsid w:val="00C1507C"/>
    <w:rsid w:val="00C1525A"/>
    <w:rsid w:val="00C16938"/>
    <w:rsid w:val="00C178AE"/>
    <w:rsid w:val="00C21C67"/>
    <w:rsid w:val="00C22B43"/>
    <w:rsid w:val="00C22D0F"/>
    <w:rsid w:val="00C2481F"/>
    <w:rsid w:val="00C24B34"/>
    <w:rsid w:val="00C24FEB"/>
    <w:rsid w:val="00C2595D"/>
    <w:rsid w:val="00C25F8F"/>
    <w:rsid w:val="00C2666C"/>
    <w:rsid w:val="00C277D1"/>
    <w:rsid w:val="00C304DE"/>
    <w:rsid w:val="00C316DF"/>
    <w:rsid w:val="00C32626"/>
    <w:rsid w:val="00C33409"/>
    <w:rsid w:val="00C3416E"/>
    <w:rsid w:val="00C34695"/>
    <w:rsid w:val="00C34E45"/>
    <w:rsid w:val="00C353E2"/>
    <w:rsid w:val="00C358EE"/>
    <w:rsid w:val="00C36B9D"/>
    <w:rsid w:val="00C377E2"/>
    <w:rsid w:val="00C37897"/>
    <w:rsid w:val="00C4210A"/>
    <w:rsid w:val="00C42ACF"/>
    <w:rsid w:val="00C4430B"/>
    <w:rsid w:val="00C4686C"/>
    <w:rsid w:val="00C46FC4"/>
    <w:rsid w:val="00C5031F"/>
    <w:rsid w:val="00C503A1"/>
    <w:rsid w:val="00C52E49"/>
    <w:rsid w:val="00C54320"/>
    <w:rsid w:val="00C54436"/>
    <w:rsid w:val="00C54B32"/>
    <w:rsid w:val="00C552C0"/>
    <w:rsid w:val="00C55586"/>
    <w:rsid w:val="00C55A28"/>
    <w:rsid w:val="00C55BAB"/>
    <w:rsid w:val="00C560EA"/>
    <w:rsid w:val="00C56E66"/>
    <w:rsid w:val="00C6042E"/>
    <w:rsid w:val="00C624FA"/>
    <w:rsid w:val="00C62CDA"/>
    <w:rsid w:val="00C63F1B"/>
    <w:rsid w:val="00C6540D"/>
    <w:rsid w:val="00C66C31"/>
    <w:rsid w:val="00C66F30"/>
    <w:rsid w:val="00C67B4C"/>
    <w:rsid w:val="00C718D1"/>
    <w:rsid w:val="00C71B06"/>
    <w:rsid w:val="00C75513"/>
    <w:rsid w:val="00C75EC5"/>
    <w:rsid w:val="00C76400"/>
    <w:rsid w:val="00C7650C"/>
    <w:rsid w:val="00C7694C"/>
    <w:rsid w:val="00C77572"/>
    <w:rsid w:val="00C80514"/>
    <w:rsid w:val="00C80885"/>
    <w:rsid w:val="00C80925"/>
    <w:rsid w:val="00C80F2B"/>
    <w:rsid w:val="00C81DB9"/>
    <w:rsid w:val="00C822E8"/>
    <w:rsid w:val="00C823A1"/>
    <w:rsid w:val="00C82B0C"/>
    <w:rsid w:val="00C846E1"/>
    <w:rsid w:val="00C867DB"/>
    <w:rsid w:val="00C86C11"/>
    <w:rsid w:val="00C90296"/>
    <w:rsid w:val="00C9145A"/>
    <w:rsid w:val="00C925A4"/>
    <w:rsid w:val="00C931D2"/>
    <w:rsid w:val="00C93789"/>
    <w:rsid w:val="00C951C5"/>
    <w:rsid w:val="00C9558A"/>
    <w:rsid w:val="00C959E1"/>
    <w:rsid w:val="00C96B53"/>
    <w:rsid w:val="00C96BAD"/>
    <w:rsid w:val="00CA085E"/>
    <w:rsid w:val="00CA1198"/>
    <w:rsid w:val="00CA1B8A"/>
    <w:rsid w:val="00CA52DF"/>
    <w:rsid w:val="00CA6F37"/>
    <w:rsid w:val="00CA6FA7"/>
    <w:rsid w:val="00CA7472"/>
    <w:rsid w:val="00CB00CC"/>
    <w:rsid w:val="00CB0C3E"/>
    <w:rsid w:val="00CB1501"/>
    <w:rsid w:val="00CB15B5"/>
    <w:rsid w:val="00CB2523"/>
    <w:rsid w:val="00CB2B41"/>
    <w:rsid w:val="00CB2C52"/>
    <w:rsid w:val="00CB6F46"/>
    <w:rsid w:val="00CB7D7A"/>
    <w:rsid w:val="00CB7DD9"/>
    <w:rsid w:val="00CC0151"/>
    <w:rsid w:val="00CC5049"/>
    <w:rsid w:val="00CC58F2"/>
    <w:rsid w:val="00CC744D"/>
    <w:rsid w:val="00CC7583"/>
    <w:rsid w:val="00CD0B93"/>
    <w:rsid w:val="00CD1454"/>
    <w:rsid w:val="00CD1958"/>
    <w:rsid w:val="00CD265E"/>
    <w:rsid w:val="00CD3734"/>
    <w:rsid w:val="00CD3AB9"/>
    <w:rsid w:val="00CD439C"/>
    <w:rsid w:val="00CD4902"/>
    <w:rsid w:val="00CD5BF2"/>
    <w:rsid w:val="00CD7049"/>
    <w:rsid w:val="00CD709D"/>
    <w:rsid w:val="00CD750F"/>
    <w:rsid w:val="00CE03A5"/>
    <w:rsid w:val="00CE074B"/>
    <w:rsid w:val="00CE0BB6"/>
    <w:rsid w:val="00CE1D9D"/>
    <w:rsid w:val="00CE2304"/>
    <w:rsid w:val="00CE3EA6"/>
    <w:rsid w:val="00CE42FC"/>
    <w:rsid w:val="00CE619F"/>
    <w:rsid w:val="00CE670C"/>
    <w:rsid w:val="00CF10C7"/>
    <w:rsid w:val="00CF47EC"/>
    <w:rsid w:val="00CF5B37"/>
    <w:rsid w:val="00D00302"/>
    <w:rsid w:val="00D0060E"/>
    <w:rsid w:val="00D00CE5"/>
    <w:rsid w:val="00D0297D"/>
    <w:rsid w:val="00D03458"/>
    <w:rsid w:val="00D04278"/>
    <w:rsid w:val="00D050F8"/>
    <w:rsid w:val="00D0527C"/>
    <w:rsid w:val="00D052A4"/>
    <w:rsid w:val="00D05E35"/>
    <w:rsid w:val="00D0611E"/>
    <w:rsid w:val="00D078E4"/>
    <w:rsid w:val="00D113ED"/>
    <w:rsid w:val="00D12F8D"/>
    <w:rsid w:val="00D13B70"/>
    <w:rsid w:val="00D13D12"/>
    <w:rsid w:val="00D15311"/>
    <w:rsid w:val="00D16368"/>
    <w:rsid w:val="00D172E3"/>
    <w:rsid w:val="00D17AEB"/>
    <w:rsid w:val="00D17B0A"/>
    <w:rsid w:val="00D205E9"/>
    <w:rsid w:val="00D21754"/>
    <w:rsid w:val="00D22AC4"/>
    <w:rsid w:val="00D23F8A"/>
    <w:rsid w:val="00D24FA7"/>
    <w:rsid w:val="00D251BD"/>
    <w:rsid w:val="00D2710D"/>
    <w:rsid w:val="00D27289"/>
    <w:rsid w:val="00D30AEF"/>
    <w:rsid w:val="00D311B2"/>
    <w:rsid w:val="00D32173"/>
    <w:rsid w:val="00D33524"/>
    <w:rsid w:val="00D341F9"/>
    <w:rsid w:val="00D34CCE"/>
    <w:rsid w:val="00D37155"/>
    <w:rsid w:val="00D405AE"/>
    <w:rsid w:val="00D40633"/>
    <w:rsid w:val="00D408C7"/>
    <w:rsid w:val="00D418E1"/>
    <w:rsid w:val="00D438E7"/>
    <w:rsid w:val="00D43D67"/>
    <w:rsid w:val="00D45759"/>
    <w:rsid w:val="00D4694D"/>
    <w:rsid w:val="00D46AE8"/>
    <w:rsid w:val="00D4701F"/>
    <w:rsid w:val="00D47EF7"/>
    <w:rsid w:val="00D50EE5"/>
    <w:rsid w:val="00D51B23"/>
    <w:rsid w:val="00D51DF8"/>
    <w:rsid w:val="00D51E3A"/>
    <w:rsid w:val="00D525E4"/>
    <w:rsid w:val="00D52685"/>
    <w:rsid w:val="00D527AC"/>
    <w:rsid w:val="00D52860"/>
    <w:rsid w:val="00D53B09"/>
    <w:rsid w:val="00D553BE"/>
    <w:rsid w:val="00D55E9B"/>
    <w:rsid w:val="00D56A27"/>
    <w:rsid w:val="00D61AE6"/>
    <w:rsid w:val="00D63094"/>
    <w:rsid w:val="00D643E9"/>
    <w:rsid w:val="00D64413"/>
    <w:rsid w:val="00D64750"/>
    <w:rsid w:val="00D656CD"/>
    <w:rsid w:val="00D669E1"/>
    <w:rsid w:val="00D71373"/>
    <w:rsid w:val="00D7141E"/>
    <w:rsid w:val="00D7269E"/>
    <w:rsid w:val="00D72E60"/>
    <w:rsid w:val="00D734B1"/>
    <w:rsid w:val="00D738ED"/>
    <w:rsid w:val="00D73C59"/>
    <w:rsid w:val="00D74244"/>
    <w:rsid w:val="00D75306"/>
    <w:rsid w:val="00D75393"/>
    <w:rsid w:val="00D75880"/>
    <w:rsid w:val="00D8078F"/>
    <w:rsid w:val="00D81F7E"/>
    <w:rsid w:val="00D83652"/>
    <w:rsid w:val="00D841A1"/>
    <w:rsid w:val="00D84D65"/>
    <w:rsid w:val="00D84E5D"/>
    <w:rsid w:val="00D85900"/>
    <w:rsid w:val="00D86948"/>
    <w:rsid w:val="00D86FC2"/>
    <w:rsid w:val="00D87328"/>
    <w:rsid w:val="00D8746E"/>
    <w:rsid w:val="00D8757C"/>
    <w:rsid w:val="00D879EC"/>
    <w:rsid w:val="00D911FE"/>
    <w:rsid w:val="00D91A03"/>
    <w:rsid w:val="00D92AE4"/>
    <w:rsid w:val="00D92E19"/>
    <w:rsid w:val="00D9343A"/>
    <w:rsid w:val="00D93B4D"/>
    <w:rsid w:val="00D94658"/>
    <w:rsid w:val="00D94E03"/>
    <w:rsid w:val="00D95C15"/>
    <w:rsid w:val="00DA01B0"/>
    <w:rsid w:val="00DA1C34"/>
    <w:rsid w:val="00DA22B2"/>
    <w:rsid w:val="00DA282F"/>
    <w:rsid w:val="00DA35E3"/>
    <w:rsid w:val="00DA395E"/>
    <w:rsid w:val="00DA4702"/>
    <w:rsid w:val="00DA640C"/>
    <w:rsid w:val="00DA6694"/>
    <w:rsid w:val="00DB00D0"/>
    <w:rsid w:val="00DB0397"/>
    <w:rsid w:val="00DB0572"/>
    <w:rsid w:val="00DB0CC7"/>
    <w:rsid w:val="00DB231B"/>
    <w:rsid w:val="00DB2579"/>
    <w:rsid w:val="00DB2AA4"/>
    <w:rsid w:val="00DB3C1E"/>
    <w:rsid w:val="00DB5073"/>
    <w:rsid w:val="00DB623B"/>
    <w:rsid w:val="00DB68CB"/>
    <w:rsid w:val="00DB690B"/>
    <w:rsid w:val="00DB7E7E"/>
    <w:rsid w:val="00DC0852"/>
    <w:rsid w:val="00DC2381"/>
    <w:rsid w:val="00DC26C9"/>
    <w:rsid w:val="00DC2D20"/>
    <w:rsid w:val="00DC2E00"/>
    <w:rsid w:val="00DC3366"/>
    <w:rsid w:val="00DC40A8"/>
    <w:rsid w:val="00DC4296"/>
    <w:rsid w:val="00DC4BCB"/>
    <w:rsid w:val="00DC51AD"/>
    <w:rsid w:val="00DD1027"/>
    <w:rsid w:val="00DD1239"/>
    <w:rsid w:val="00DD207D"/>
    <w:rsid w:val="00DD385F"/>
    <w:rsid w:val="00DD3B43"/>
    <w:rsid w:val="00DD4550"/>
    <w:rsid w:val="00DD4822"/>
    <w:rsid w:val="00DD62C0"/>
    <w:rsid w:val="00DD7415"/>
    <w:rsid w:val="00DE082F"/>
    <w:rsid w:val="00DE1D40"/>
    <w:rsid w:val="00DE211C"/>
    <w:rsid w:val="00DE32FC"/>
    <w:rsid w:val="00DE3A46"/>
    <w:rsid w:val="00DE3D22"/>
    <w:rsid w:val="00DE3D2F"/>
    <w:rsid w:val="00DE6913"/>
    <w:rsid w:val="00DF01F8"/>
    <w:rsid w:val="00DF245C"/>
    <w:rsid w:val="00DF340D"/>
    <w:rsid w:val="00DF522F"/>
    <w:rsid w:val="00DF5389"/>
    <w:rsid w:val="00DF58B8"/>
    <w:rsid w:val="00DF5C22"/>
    <w:rsid w:val="00DF65C9"/>
    <w:rsid w:val="00DF68C4"/>
    <w:rsid w:val="00DF70EA"/>
    <w:rsid w:val="00E00D2C"/>
    <w:rsid w:val="00E020F2"/>
    <w:rsid w:val="00E022EA"/>
    <w:rsid w:val="00E0351A"/>
    <w:rsid w:val="00E037C2"/>
    <w:rsid w:val="00E05F66"/>
    <w:rsid w:val="00E07DDC"/>
    <w:rsid w:val="00E07EC8"/>
    <w:rsid w:val="00E105E0"/>
    <w:rsid w:val="00E10FD0"/>
    <w:rsid w:val="00E12F94"/>
    <w:rsid w:val="00E145AC"/>
    <w:rsid w:val="00E14A70"/>
    <w:rsid w:val="00E14DAD"/>
    <w:rsid w:val="00E14E6B"/>
    <w:rsid w:val="00E15996"/>
    <w:rsid w:val="00E16150"/>
    <w:rsid w:val="00E16299"/>
    <w:rsid w:val="00E17F9C"/>
    <w:rsid w:val="00E202BE"/>
    <w:rsid w:val="00E216A0"/>
    <w:rsid w:val="00E21876"/>
    <w:rsid w:val="00E21BE4"/>
    <w:rsid w:val="00E21CFE"/>
    <w:rsid w:val="00E224F1"/>
    <w:rsid w:val="00E23596"/>
    <w:rsid w:val="00E24117"/>
    <w:rsid w:val="00E260E8"/>
    <w:rsid w:val="00E26F7F"/>
    <w:rsid w:val="00E2702E"/>
    <w:rsid w:val="00E27E26"/>
    <w:rsid w:val="00E31DA2"/>
    <w:rsid w:val="00E31DF3"/>
    <w:rsid w:val="00E31E7B"/>
    <w:rsid w:val="00E3462C"/>
    <w:rsid w:val="00E34A22"/>
    <w:rsid w:val="00E34D3B"/>
    <w:rsid w:val="00E358E6"/>
    <w:rsid w:val="00E36323"/>
    <w:rsid w:val="00E40B32"/>
    <w:rsid w:val="00E43DFD"/>
    <w:rsid w:val="00E44AC7"/>
    <w:rsid w:val="00E44D58"/>
    <w:rsid w:val="00E44E36"/>
    <w:rsid w:val="00E453A9"/>
    <w:rsid w:val="00E46014"/>
    <w:rsid w:val="00E465DA"/>
    <w:rsid w:val="00E469E1"/>
    <w:rsid w:val="00E50809"/>
    <w:rsid w:val="00E55E7A"/>
    <w:rsid w:val="00E573F1"/>
    <w:rsid w:val="00E60352"/>
    <w:rsid w:val="00E605CA"/>
    <w:rsid w:val="00E607B6"/>
    <w:rsid w:val="00E61710"/>
    <w:rsid w:val="00E61A65"/>
    <w:rsid w:val="00E636AD"/>
    <w:rsid w:val="00E64352"/>
    <w:rsid w:val="00E65418"/>
    <w:rsid w:val="00E654BF"/>
    <w:rsid w:val="00E65DA1"/>
    <w:rsid w:val="00E65FBE"/>
    <w:rsid w:val="00E67241"/>
    <w:rsid w:val="00E67495"/>
    <w:rsid w:val="00E674AE"/>
    <w:rsid w:val="00E70248"/>
    <w:rsid w:val="00E70920"/>
    <w:rsid w:val="00E70979"/>
    <w:rsid w:val="00E70CAF"/>
    <w:rsid w:val="00E72565"/>
    <w:rsid w:val="00E737ED"/>
    <w:rsid w:val="00E75683"/>
    <w:rsid w:val="00E77100"/>
    <w:rsid w:val="00E7770F"/>
    <w:rsid w:val="00E80198"/>
    <w:rsid w:val="00E80D04"/>
    <w:rsid w:val="00E80FAA"/>
    <w:rsid w:val="00E83CBB"/>
    <w:rsid w:val="00E847B4"/>
    <w:rsid w:val="00E86310"/>
    <w:rsid w:val="00E876F2"/>
    <w:rsid w:val="00E87CDA"/>
    <w:rsid w:val="00E87E36"/>
    <w:rsid w:val="00E92B0E"/>
    <w:rsid w:val="00E9338E"/>
    <w:rsid w:val="00E9402A"/>
    <w:rsid w:val="00E95E6C"/>
    <w:rsid w:val="00E96A48"/>
    <w:rsid w:val="00EA068B"/>
    <w:rsid w:val="00EA2A86"/>
    <w:rsid w:val="00EA2C49"/>
    <w:rsid w:val="00EA3303"/>
    <w:rsid w:val="00EA4EC6"/>
    <w:rsid w:val="00EA6475"/>
    <w:rsid w:val="00EA71DF"/>
    <w:rsid w:val="00EA7CEF"/>
    <w:rsid w:val="00EB01DA"/>
    <w:rsid w:val="00EB0CA2"/>
    <w:rsid w:val="00EB13A5"/>
    <w:rsid w:val="00EB2685"/>
    <w:rsid w:val="00EB3704"/>
    <w:rsid w:val="00EB4CA8"/>
    <w:rsid w:val="00EB6B6C"/>
    <w:rsid w:val="00EB6D52"/>
    <w:rsid w:val="00EC2C97"/>
    <w:rsid w:val="00EC34EF"/>
    <w:rsid w:val="00EC4E59"/>
    <w:rsid w:val="00EC5169"/>
    <w:rsid w:val="00EC6707"/>
    <w:rsid w:val="00EC6B31"/>
    <w:rsid w:val="00EC7255"/>
    <w:rsid w:val="00EC73C0"/>
    <w:rsid w:val="00EC73D1"/>
    <w:rsid w:val="00EC76D2"/>
    <w:rsid w:val="00ED0399"/>
    <w:rsid w:val="00ED1F45"/>
    <w:rsid w:val="00ED31B3"/>
    <w:rsid w:val="00ED3C2D"/>
    <w:rsid w:val="00ED3C89"/>
    <w:rsid w:val="00ED4652"/>
    <w:rsid w:val="00ED521E"/>
    <w:rsid w:val="00ED60C7"/>
    <w:rsid w:val="00ED66D9"/>
    <w:rsid w:val="00EE25E4"/>
    <w:rsid w:val="00EE2A7F"/>
    <w:rsid w:val="00EE2FDA"/>
    <w:rsid w:val="00EE327C"/>
    <w:rsid w:val="00EE35D6"/>
    <w:rsid w:val="00EE3C8B"/>
    <w:rsid w:val="00EE3DC8"/>
    <w:rsid w:val="00EE40BC"/>
    <w:rsid w:val="00EE4559"/>
    <w:rsid w:val="00EE45B1"/>
    <w:rsid w:val="00EE6254"/>
    <w:rsid w:val="00EE71CC"/>
    <w:rsid w:val="00EF0920"/>
    <w:rsid w:val="00EF18D4"/>
    <w:rsid w:val="00EF2312"/>
    <w:rsid w:val="00EF2540"/>
    <w:rsid w:val="00EF2675"/>
    <w:rsid w:val="00EF3993"/>
    <w:rsid w:val="00EF4D4B"/>
    <w:rsid w:val="00EF4DDA"/>
    <w:rsid w:val="00EF7952"/>
    <w:rsid w:val="00EF7A5F"/>
    <w:rsid w:val="00EF7C16"/>
    <w:rsid w:val="00F01006"/>
    <w:rsid w:val="00F0272F"/>
    <w:rsid w:val="00F0644A"/>
    <w:rsid w:val="00F06C8B"/>
    <w:rsid w:val="00F07178"/>
    <w:rsid w:val="00F07D4A"/>
    <w:rsid w:val="00F10144"/>
    <w:rsid w:val="00F10B6F"/>
    <w:rsid w:val="00F1246B"/>
    <w:rsid w:val="00F1290E"/>
    <w:rsid w:val="00F14D46"/>
    <w:rsid w:val="00F155D3"/>
    <w:rsid w:val="00F15A8B"/>
    <w:rsid w:val="00F1729D"/>
    <w:rsid w:val="00F17323"/>
    <w:rsid w:val="00F20182"/>
    <w:rsid w:val="00F21EF0"/>
    <w:rsid w:val="00F224B8"/>
    <w:rsid w:val="00F2298B"/>
    <w:rsid w:val="00F239A9"/>
    <w:rsid w:val="00F24877"/>
    <w:rsid w:val="00F26014"/>
    <w:rsid w:val="00F26C6D"/>
    <w:rsid w:val="00F276AF"/>
    <w:rsid w:val="00F3056D"/>
    <w:rsid w:val="00F30630"/>
    <w:rsid w:val="00F30A50"/>
    <w:rsid w:val="00F30B88"/>
    <w:rsid w:val="00F31F8D"/>
    <w:rsid w:val="00F321A0"/>
    <w:rsid w:val="00F333E8"/>
    <w:rsid w:val="00F34727"/>
    <w:rsid w:val="00F358B6"/>
    <w:rsid w:val="00F36754"/>
    <w:rsid w:val="00F40258"/>
    <w:rsid w:val="00F4027E"/>
    <w:rsid w:val="00F409B9"/>
    <w:rsid w:val="00F41159"/>
    <w:rsid w:val="00F41A08"/>
    <w:rsid w:val="00F42910"/>
    <w:rsid w:val="00F43B28"/>
    <w:rsid w:val="00F4410D"/>
    <w:rsid w:val="00F46636"/>
    <w:rsid w:val="00F50CA7"/>
    <w:rsid w:val="00F5113A"/>
    <w:rsid w:val="00F51958"/>
    <w:rsid w:val="00F52E2C"/>
    <w:rsid w:val="00F53765"/>
    <w:rsid w:val="00F54AC5"/>
    <w:rsid w:val="00F562C6"/>
    <w:rsid w:val="00F570CB"/>
    <w:rsid w:val="00F60ED9"/>
    <w:rsid w:val="00F610C5"/>
    <w:rsid w:val="00F61638"/>
    <w:rsid w:val="00F61659"/>
    <w:rsid w:val="00F62073"/>
    <w:rsid w:val="00F644DA"/>
    <w:rsid w:val="00F66202"/>
    <w:rsid w:val="00F67CB9"/>
    <w:rsid w:val="00F74DB1"/>
    <w:rsid w:val="00F75D34"/>
    <w:rsid w:val="00F80545"/>
    <w:rsid w:val="00F843D0"/>
    <w:rsid w:val="00F8483E"/>
    <w:rsid w:val="00F85A31"/>
    <w:rsid w:val="00F86F3A"/>
    <w:rsid w:val="00F87B36"/>
    <w:rsid w:val="00F901FA"/>
    <w:rsid w:val="00F905A2"/>
    <w:rsid w:val="00F907DB"/>
    <w:rsid w:val="00F91C2E"/>
    <w:rsid w:val="00F92417"/>
    <w:rsid w:val="00F92AA5"/>
    <w:rsid w:val="00F92E39"/>
    <w:rsid w:val="00F93450"/>
    <w:rsid w:val="00F936A0"/>
    <w:rsid w:val="00F93726"/>
    <w:rsid w:val="00F93B51"/>
    <w:rsid w:val="00F93CCE"/>
    <w:rsid w:val="00F957D3"/>
    <w:rsid w:val="00F96437"/>
    <w:rsid w:val="00F9646F"/>
    <w:rsid w:val="00F9679A"/>
    <w:rsid w:val="00FA0A30"/>
    <w:rsid w:val="00FA1A88"/>
    <w:rsid w:val="00FA202A"/>
    <w:rsid w:val="00FA489E"/>
    <w:rsid w:val="00FA58C9"/>
    <w:rsid w:val="00FA6FDA"/>
    <w:rsid w:val="00FA7F81"/>
    <w:rsid w:val="00FB0E15"/>
    <w:rsid w:val="00FB2D2D"/>
    <w:rsid w:val="00FB2D7D"/>
    <w:rsid w:val="00FB2DA1"/>
    <w:rsid w:val="00FB45E5"/>
    <w:rsid w:val="00FB5EBE"/>
    <w:rsid w:val="00FB67A6"/>
    <w:rsid w:val="00FB6A2A"/>
    <w:rsid w:val="00FB72AD"/>
    <w:rsid w:val="00FB7514"/>
    <w:rsid w:val="00FC00C5"/>
    <w:rsid w:val="00FC0749"/>
    <w:rsid w:val="00FC1D43"/>
    <w:rsid w:val="00FC2277"/>
    <w:rsid w:val="00FC396E"/>
    <w:rsid w:val="00FC594F"/>
    <w:rsid w:val="00FC5E5F"/>
    <w:rsid w:val="00FD03A7"/>
    <w:rsid w:val="00FD0778"/>
    <w:rsid w:val="00FD0A3F"/>
    <w:rsid w:val="00FD3A99"/>
    <w:rsid w:val="00FD5A15"/>
    <w:rsid w:val="00FD5D63"/>
    <w:rsid w:val="00FD6316"/>
    <w:rsid w:val="00FD672B"/>
    <w:rsid w:val="00FD67B9"/>
    <w:rsid w:val="00FD69F7"/>
    <w:rsid w:val="00FE07EB"/>
    <w:rsid w:val="00FE0E85"/>
    <w:rsid w:val="00FE1235"/>
    <w:rsid w:val="00FE13EA"/>
    <w:rsid w:val="00FE2357"/>
    <w:rsid w:val="00FE28D5"/>
    <w:rsid w:val="00FE2B57"/>
    <w:rsid w:val="00FE2DD9"/>
    <w:rsid w:val="00FE4272"/>
    <w:rsid w:val="00FE44C3"/>
    <w:rsid w:val="00FE462D"/>
    <w:rsid w:val="00FE53B8"/>
    <w:rsid w:val="00FE55FE"/>
    <w:rsid w:val="00FE5D55"/>
    <w:rsid w:val="00FE603C"/>
    <w:rsid w:val="00FE649E"/>
    <w:rsid w:val="00FE68C9"/>
    <w:rsid w:val="00FE7C32"/>
    <w:rsid w:val="00FE7C87"/>
    <w:rsid w:val="00FF1419"/>
    <w:rsid w:val="00FF21E7"/>
    <w:rsid w:val="00FF293F"/>
    <w:rsid w:val="00FF29F4"/>
    <w:rsid w:val="00FF3134"/>
    <w:rsid w:val="00FF3A1F"/>
    <w:rsid w:val="00FF4223"/>
    <w:rsid w:val="00FF425C"/>
    <w:rsid w:val="00FF4BA3"/>
    <w:rsid w:val="00FF50D7"/>
    <w:rsid w:val="00FF5DBB"/>
    <w:rsid w:val="00FF66C1"/>
    <w:rsid w:val="00FF7731"/>
    <w:rsid w:val="00FF7B2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A85F6"/>
  <w15:chartTrackingRefBased/>
  <w15:docId w15:val="{E1B3FDE7-E9C2-4D66-BD50-02F77AF96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Judgment Continued"/>
    <w:next w:val="JudgmentNumbered"/>
    <w:qFormat/>
    <w:rsid w:val="0096151A"/>
    <w:pPr>
      <w:spacing w:after="240" w:line="360" w:lineRule="auto"/>
      <w:ind w:left="567"/>
      <w:jc w:val="both"/>
    </w:pPr>
    <w:rPr>
      <w:rFonts w:ascii="Arial" w:hAnsi="Arial"/>
      <w:sz w:val="24"/>
      <w:lang w:val="en-GB"/>
    </w:rPr>
  </w:style>
  <w:style w:type="paragraph" w:styleId="Heading1">
    <w:name w:val="heading 1"/>
    <w:basedOn w:val="Normal"/>
    <w:next w:val="Normal"/>
    <w:link w:val="Heading1Char"/>
    <w:uiPriority w:val="9"/>
    <w:qFormat/>
    <w:rsid w:val="008869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915FB"/>
    <w:pPr>
      <w:spacing w:before="100" w:beforeAutospacing="1" w:after="100" w:afterAutospacing="1" w:line="240" w:lineRule="auto"/>
      <w:ind w:left="0"/>
      <w:jc w:val="left"/>
      <w:outlineLvl w:val="1"/>
    </w:pPr>
    <w:rPr>
      <w:rFonts w:ascii="Times New Roman" w:eastAsia="Times New Roman" w:hAnsi="Times New Roman" w:cs="Times New Roman"/>
      <w:b/>
      <w:bCs/>
      <w:sz w:val="36"/>
      <w:szCs w:val="36"/>
      <w:lang w:val="en-ZA" w:eastAsia="en-ZA"/>
    </w:rPr>
  </w:style>
  <w:style w:type="paragraph" w:styleId="Heading5">
    <w:name w:val="heading 5"/>
    <w:basedOn w:val="Normal"/>
    <w:next w:val="Normal"/>
    <w:link w:val="Heading5Char"/>
    <w:uiPriority w:val="9"/>
    <w:semiHidden/>
    <w:unhideWhenUsed/>
    <w:qFormat/>
    <w:rsid w:val="004A414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Numbered">
    <w:name w:val="Judgment Numbered"/>
    <w:basedOn w:val="Normal"/>
    <w:link w:val="JudgmentNumberedChar"/>
    <w:qFormat/>
    <w:rsid w:val="009C08C0"/>
    <w:pPr>
      <w:numPr>
        <w:numId w:val="4"/>
      </w:numPr>
    </w:pPr>
    <w:rPr>
      <w:rFonts w:cs="Arial"/>
    </w:rPr>
  </w:style>
  <w:style w:type="paragraph" w:customStyle="1" w:styleId="JudgmentHeading">
    <w:name w:val="Judgment Heading"/>
    <w:basedOn w:val="JudgmentNumbered"/>
    <w:next w:val="JudgmentNumbered"/>
    <w:link w:val="JudgmentHeadingChar"/>
    <w:qFormat/>
    <w:rsid w:val="009C08C0"/>
    <w:pPr>
      <w:numPr>
        <w:numId w:val="0"/>
      </w:numPr>
    </w:pPr>
    <w:rPr>
      <w:i/>
    </w:rPr>
  </w:style>
  <w:style w:type="character" w:customStyle="1" w:styleId="JudgmentNumberedChar">
    <w:name w:val="Judgment Numbered Char"/>
    <w:basedOn w:val="DefaultParagraphFont"/>
    <w:link w:val="JudgmentNumbered"/>
    <w:rsid w:val="009C08C0"/>
    <w:rPr>
      <w:rFonts w:ascii="Arial" w:hAnsi="Arial" w:cs="Arial"/>
      <w:sz w:val="24"/>
      <w:lang w:val="en-GB"/>
    </w:rPr>
  </w:style>
  <w:style w:type="paragraph" w:customStyle="1" w:styleId="Normal1">
    <w:name w:val="Normal1"/>
    <w:basedOn w:val="Normal"/>
    <w:next w:val="JudgmentHeading"/>
    <w:link w:val="NORMALChar"/>
    <w:qFormat/>
    <w:rsid w:val="003B0BEA"/>
    <w:pPr>
      <w:spacing w:after="0" w:line="240" w:lineRule="auto"/>
      <w:ind w:left="0"/>
    </w:pPr>
  </w:style>
  <w:style w:type="character" w:customStyle="1" w:styleId="JudgmentHeadingChar">
    <w:name w:val="Judgment Heading Char"/>
    <w:basedOn w:val="JudgmentNumberedChar"/>
    <w:link w:val="JudgmentHeading"/>
    <w:rsid w:val="009C08C0"/>
    <w:rPr>
      <w:rFonts w:ascii="Arial" w:hAnsi="Arial" w:cs="Arial"/>
      <w:i/>
      <w:sz w:val="24"/>
      <w:lang w:val="en-GB"/>
    </w:rPr>
  </w:style>
  <w:style w:type="character" w:customStyle="1" w:styleId="NORMALChar">
    <w:name w:val="NORMAL Char"/>
    <w:basedOn w:val="DefaultParagraphFont"/>
    <w:link w:val="Normal1"/>
    <w:rsid w:val="003B0BEA"/>
    <w:rPr>
      <w:rFonts w:ascii="Arial" w:hAnsi="Arial"/>
      <w:sz w:val="24"/>
      <w:lang w:val="en-GB"/>
    </w:rPr>
  </w:style>
  <w:style w:type="paragraph" w:styleId="Header">
    <w:name w:val="header"/>
    <w:basedOn w:val="Normal"/>
    <w:link w:val="HeaderChar"/>
    <w:uiPriority w:val="99"/>
    <w:unhideWhenUsed/>
    <w:rsid w:val="00E469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9E1"/>
    <w:rPr>
      <w:rFonts w:ascii="Arial" w:hAnsi="Arial"/>
      <w:sz w:val="24"/>
      <w:lang w:val="en-GB"/>
    </w:rPr>
  </w:style>
  <w:style w:type="paragraph" w:styleId="Footer">
    <w:name w:val="footer"/>
    <w:basedOn w:val="Normal"/>
    <w:link w:val="FooterChar"/>
    <w:uiPriority w:val="99"/>
    <w:unhideWhenUsed/>
    <w:rsid w:val="00E469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9E1"/>
    <w:rPr>
      <w:rFonts w:ascii="Arial" w:hAnsi="Arial"/>
      <w:sz w:val="24"/>
      <w:lang w:val="en-GB"/>
    </w:rPr>
  </w:style>
  <w:style w:type="paragraph" w:styleId="FootnoteText">
    <w:name w:val="footnote text"/>
    <w:basedOn w:val="Normal"/>
    <w:link w:val="FootnoteTextChar"/>
    <w:uiPriority w:val="99"/>
    <w:unhideWhenUsed/>
    <w:rsid w:val="002B5183"/>
    <w:pPr>
      <w:spacing w:after="0" w:line="240" w:lineRule="auto"/>
    </w:pPr>
    <w:rPr>
      <w:sz w:val="20"/>
      <w:szCs w:val="20"/>
    </w:rPr>
  </w:style>
  <w:style w:type="character" w:customStyle="1" w:styleId="FootnoteTextChar">
    <w:name w:val="Footnote Text Char"/>
    <w:basedOn w:val="DefaultParagraphFont"/>
    <w:link w:val="FootnoteText"/>
    <w:uiPriority w:val="99"/>
    <w:rsid w:val="002B5183"/>
    <w:rPr>
      <w:rFonts w:ascii="Arial" w:hAnsi="Arial"/>
      <w:sz w:val="20"/>
      <w:szCs w:val="20"/>
      <w:lang w:val="en-GB"/>
    </w:rPr>
  </w:style>
  <w:style w:type="character" w:styleId="FootnoteReference">
    <w:name w:val="footnote reference"/>
    <w:basedOn w:val="DefaultParagraphFont"/>
    <w:uiPriority w:val="99"/>
    <w:semiHidden/>
    <w:unhideWhenUsed/>
    <w:rsid w:val="002B5183"/>
    <w:rPr>
      <w:vertAlign w:val="superscript"/>
    </w:rPr>
  </w:style>
  <w:style w:type="paragraph" w:styleId="ListParagraph">
    <w:name w:val="List Paragraph"/>
    <w:basedOn w:val="Normal"/>
    <w:link w:val="ListParagraphChar"/>
    <w:uiPriority w:val="1"/>
    <w:qFormat/>
    <w:rsid w:val="003A6CE1"/>
    <w:pPr>
      <w:ind w:left="720"/>
      <w:contextualSpacing/>
    </w:pPr>
  </w:style>
  <w:style w:type="paragraph" w:styleId="NormalWeb">
    <w:name w:val="Normal (Web)"/>
    <w:basedOn w:val="Normal"/>
    <w:uiPriority w:val="99"/>
    <w:unhideWhenUsed/>
    <w:rsid w:val="00477928"/>
    <w:pPr>
      <w:spacing w:before="100" w:beforeAutospacing="1" w:after="100" w:afterAutospacing="1" w:line="240" w:lineRule="auto"/>
      <w:ind w:left="0"/>
      <w:jc w:val="left"/>
    </w:pPr>
    <w:rPr>
      <w:rFonts w:ascii="Times New Roman" w:eastAsia="Times New Roman" w:hAnsi="Times New Roman" w:cs="Times New Roman"/>
      <w:szCs w:val="24"/>
      <w:lang w:eastAsia="en-GB"/>
    </w:rPr>
  </w:style>
  <w:style w:type="paragraph" w:styleId="BalloonText">
    <w:name w:val="Balloon Text"/>
    <w:basedOn w:val="Normal"/>
    <w:link w:val="BalloonTextChar"/>
    <w:uiPriority w:val="99"/>
    <w:semiHidden/>
    <w:unhideWhenUsed/>
    <w:rsid w:val="009C60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01C"/>
    <w:rPr>
      <w:rFonts w:ascii="Segoe UI" w:hAnsi="Segoe UI" w:cs="Segoe UI"/>
      <w:sz w:val="18"/>
      <w:szCs w:val="18"/>
      <w:lang w:val="en-GB"/>
    </w:rPr>
  </w:style>
  <w:style w:type="character" w:styleId="CommentReference">
    <w:name w:val="annotation reference"/>
    <w:basedOn w:val="DefaultParagraphFont"/>
    <w:uiPriority w:val="99"/>
    <w:semiHidden/>
    <w:unhideWhenUsed/>
    <w:rsid w:val="00EE25E4"/>
    <w:rPr>
      <w:sz w:val="16"/>
      <w:szCs w:val="16"/>
    </w:rPr>
  </w:style>
  <w:style w:type="paragraph" w:styleId="CommentText">
    <w:name w:val="annotation text"/>
    <w:basedOn w:val="Normal"/>
    <w:link w:val="CommentTextChar"/>
    <w:uiPriority w:val="99"/>
    <w:unhideWhenUsed/>
    <w:rsid w:val="00EE25E4"/>
    <w:pPr>
      <w:spacing w:line="240" w:lineRule="auto"/>
    </w:pPr>
    <w:rPr>
      <w:sz w:val="20"/>
      <w:szCs w:val="20"/>
    </w:rPr>
  </w:style>
  <w:style w:type="character" w:customStyle="1" w:styleId="CommentTextChar">
    <w:name w:val="Comment Text Char"/>
    <w:basedOn w:val="DefaultParagraphFont"/>
    <w:link w:val="CommentText"/>
    <w:uiPriority w:val="99"/>
    <w:rsid w:val="00EE25E4"/>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EE25E4"/>
    <w:rPr>
      <w:b/>
      <w:bCs/>
    </w:rPr>
  </w:style>
  <w:style w:type="character" w:customStyle="1" w:styleId="CommentSubjectChar">
    <w:name w:val="Comment Subject Char"/>
    <w:basedOn w:val="CommentTextChar"/>
    <w:link w:val="CommentSubject"/>
    <w:uiPriority w:val="99"/>
    <w:semiHidden/>
    <w:rsid w:val="00EE25E4"/>
    <w:rPr>
      <w:rFonts w:ascii="Arial" w:hAnsi="Arial"/>
      <w:b/>
      <w:bCs/>
      <w:sz w:val="20"/>
      <w:szCs w:val="20"/>
      <w:lang w:val="en-GB"/>
    </w:rPr>
  </w:style>
  <w:style w:type="character" w:styleId="Hyperlink">
    <w:name w:val="Hyperlink"/>
    <w:basedOn w:val="DefaultParagraphFont"/>
    <w:uiPriority w:val="99"/>
    <w:unhideWhenUsed/>
    <w:rsid w:val="00EB4CA8"/>
    <w:rPr>
      <w:color w:val="0000FF"/>
      <w:u w:val="single"/>
    </w:rPr>
  </w:style>
  <w:style w:type="character" w:customStyle="1" w:styleId="Heading2Char">
    <w:name w:val="Heading 2 Char"/>
    <w:basedOn w:val="DefaultParagraphFont"/>
    <w:link w:val="Heading2"/>
    <w:uiPriority w:val="9"/>
    <w:rsid w:val="001915FB"/>
    <w:rPr>
      <w:rFonts w:ascii="Times New Roman" w:eastAsia="Times New Roman" w:hAnsi="Times New Roman" w:cs="Times New Roman"/>
      <w:b/>
      <w:bCs/>
      <w:sz w:val="36"/>
      <w:szCs w:val="36"/>
      <w:lang w:eastAsia="en-ZA"/>
    </w:rPr>
  </w:style>
  <w:style w:type="character" w:styleId="FollowedHyperlink">
    <w:name w:val="FollowedHyperlink"/>
    <w:basedOn w:val="DefaultParagraphFont"/>
    <w:uiPriority w:val="99"/>
    <w:semiHidden/>
    <w:unhideWhenUsed/>
    <w:rsid w:val="001915FB"/>
    <w:rPr>
      <w:color w:val="954F72" w:themeColor="followedHyperlink"/>
      <w:u w:val="single"/>
    </w:rPr>
  </w:style>
  <w:style w:type="paragraph" w:customStyle="1" w:styleId="Default">
    <w:name w:val="Default"/>
    <w:rsid w:val="005262E3"/>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en-ZA"/>
      <w14:textOutline w14:w="0" w14:cap="flat" w14:cmpd="sng" w14:algn="ctr">
        <w14:noFill/>
        <w14:prstDash w14:val="solid"/>
        <w14:bevel/>
      </w14:textOutline>
    </w:rPr>
  </w:style>
  <w:style w:type="paragraph" w:customStyle="1" w:styleId="normaltext">
    <w:name w:val="normaltext"/>
    <w:basedOn w:val="Normal"/>
    <w:rsid w:val="00056789"/>
    <w:pPr>
      <w:spacing w:before="100" w:beforeAutospacing="1" w:after="100" w:afterAutospacing="1" w:line="240" w:lineRule="auto"/>
      <w:ind w:left="0"/>
      <w:jc w:val="left"/>
    </w:pPr>
    <w:rPr>
      <w:rFonts w:ascii="Times New Roman" w:eastAsia="Times New Roman" w:hAnsi="Times New Roman" w:cs="Times New Roman"/>
      <w:szCs w:val="24"/>
      <w:lang w:val="en-ZA" w:eastAsia="en-ZA"/>
    </w:rPr>
  </w:style>
  <w:style w:type="character" w:customStyle="1" w:styleId="footnote-link">
    <w:name w:val="footnote-link"/>
    <w:basedOn w:val="DefaultParagraphFont"/>
    <w:rsid w:val="00056789"/>
  </w:style>
  <w:style w:type="character" w:customStyle="1" w:styleId="lphit">
    <w:name w:val="lphit"/>
    <w:basedOn w:val="DefaultParagraphFont"/>
    <w:rsid w:val="00056789"/>
  </w:style>
  <w:style w:type="paragraph" w:customStyle="1" w:styleId="blockquote-x">
    <w:name w:val="blockquote-x"/>
    <w:basedOn w:val="Normal"/>
    <w:rsid w:val="00056789"/>
    <w:pPr>
      <w:spacing w:before="100" w:beforeAutospacing="1" w:after="100" w:afterAutospacing="1" w:line="240" w:lineRule="auto"/>
      <w:ind w:left="0"/>
      <w:jc w:val="left"/>
    </w:pPr>
    <w:rPr>
      <w:rFonts w:ascii="Times New Roman" w:eastAsia="Times New Roman" w:hAnsi="Times New Roman" w:cs="Times New Roman"/>
      <w:szCs w:val="24"/>
      <w:lang w:val="en-ZA" w:eastAsia="en-ZA"/>
    </w:rPr>
  </w:style>
  <w:style w:type="paragraph" w:styleId="Revision">
    <w:name w:val="Revision"/>
    <w:hidden/>
    <w:uiPriority w:val="99"/>
    <w:semiHidden/>
    <w:rsid w:val="00D643E9"/>
    <w:pPr>
      <w:spacing w:after="0" w:line="240" w:lineRule="auto"/>
    </w:pPr>
    <w:rPr>
      <w:rFonts w:ascii="Arial" w:hAnsi="Arial"/>
      <w:sz w:val="24"/>
      <w:lang w:val="en-GB"/>
    </w:rPr>
  </w:style>
  <w:style w:type="character" w:customStyle="1" w:styleId="Heading5Char">
    <w:name w:val="Heading 5 Char"/>
    <w:basedOn w:val="DefaultParagraphFont"/>
    <w:link w:val="Heading5"/>
    <w:uiPriority w:val="9"/>
    <w:semiHidden/>
    <w:rsid w:val="004A4145"/>
    <w:rPr>
      <w:rFonts w:asciiTheme="majorHAnsi" w:eastAsiaTheme="majorEastAsia" w:hAnsiTheme="majorHAnsi" w:cstheme="majorBidi"/>
      <w:color w:val="2E74B5" w:themeColor="accent1" w:themeShade="BF"/>
      <w:sz w:val="24"/>
      <w:lang w:val="en-GB"/>
    </w:rPr>
  </w:style>
  <w:style w:type="paragraph" w:styleId="BodyText">
    <w:name w:val="Body Text"/>
    <w:basedOn w:val="Normal"/>
    <w:link w:val="BodyTextChar"/>
    <w:uiPriority w:val="1"/>
    <w:qFormat/>
    <w:rsid w:val="004A4145"/>
    <w:pPr>
      <w:widowControl w:val="0"/>
      <w:autoSpaceDE w:val="0"/>
      <w:autoSpaceDN w:val="0"/>
      <w:spacing w:after="0" w:line="240" w:lineRule="auto"/>
      <w:ind w:left="0"/>
    </w:pPr>
    <w:rPr>
      <w:rFonts w:eastAsia="Times New Roman" w:cs="Times New Roman"/>
      <w:szCs w:val="26"/>
      <w:lang w:val="en-US"/>
    </w:rPr>
  </w:style>
  <w:style w:type="character" w:customStyle="1" w:styleId="BodyTextChar">
    <w:name w:val="Body Text Char"/>
    <w:basedOn w:val="DefaultParagraphFont"/>
    <w:link w:val="BodyText"/>
    <w:uiPriority w:val="1"/>
    <w:rsid w:val="004A4145"/>
    <w:rPr>
      <w:rFonts w:ascii="Arial" w:eastAsia="Times New Roman" w:hAnsi="Arial" w:cs="Times New Roman"/>
      <w:sz w:val="24"/>
      <w:szCs w:val="26"/>
      <w:lang w:val="en-US"/>
    </w:rPr>
  </w:style>
  <w:style w:type="paragraph" w:styleId="Quote">
    <w:name w:val="Quote"/>
    <w:basedOn w:val="Normal"/>
    <w:next w:val="Normal"/>
    <w:link w:val="QuoteChar"/>
    <w:uiPriority w:val="29"/>
    <w:qFormat/>
    <w:rsid w:val="008D0CF9"/>
    <w:pPr>
      <w:keepNext/>
      <w:keepLines/>
      <w:tabs>
        <w:tab w:val="left" w:pos="2410"/>
      </w:tabs>
      <w:autoSpaceDE w:val="0"/>
      <w:autoSpaceDN w:val="0"/>
      <w:spacing w:before="120" w:after="120"/>
      <w:ind w:left="862"/>
    </w:pPr>
    <w:rPr>
      <w:rFonts w:eastAsia="Arial" w:cs="Arial"/>
      <w:i/>
      <w:iCs/>
      <w:szCs w:val="24"/>
      <w:lang w:eastAsia="en-GB" w:bidi="en-GB"/>
    </w:rPr>
  </w:style>
  <w:style w:type="character" w:customStyle="1" w:styleId="QuoteChar">
    <w:name w:val="Quote Char"/>
    <w:basedOn w:val="DefaultParagraphFont"/>
    <w:link w:val="Quote"/>
    <w:uiPriority w:val="29"/>
    <w:rsid w:val="008D0CF9"/>
    <w:rPr>
      <w:rFonts w:ascii="Arial" w:eastAsia="Arial" w:hAnsi="Arial" w:cs="Arial"/>
      <w:i/>
      <w:iCs/>
      <w:sz w:val="24"/>
      <w:szCs w:val="24"/>
      <w:lang w:val="en-GB" w:eastAsia="en-GB" w:bidi="en-GB"/>
    </w:rPr>
  </w:style>
  <w:style w:type="paragraph" w:customStyle="1" w:styleId="Sublistparagraph">
    <w:name w:val="Sublist paragraph"/>
    <w:basedOn w:val="ListParagraph"/>
    <w:qFormat/>
    <w:rsid w:val="008D0CF9"/>
    <w:pPr>
      <w:autoSpaceDE w:val="0"/>
      <w:autoSpaceDN w:val="0"/>
      <w:spacing w:before="240" w:line="480" w:lineRule="auto"/>
      <w:ind w:left="1418" w:hanging="857"/>
      <w:contextualSpacing w:val="0"/>
    </w:pPr>
    <w:rPr>
      <w:rFonts w:eastAsia="Arial" w:cs="Arial"/>
      <w:szCs w:val="24"/>
      <w:lang w:val="en-ZA" w:eastAsia="en-GB" w:bidi="en-GB"/>
    </w:rPr>
  </w:style>
  <w:style w:type="paragraph" w:customStyle="1" w:styleId="SubSUBListparagraph">
    <w:name w:val="SubSUB List paragraph"/>
    <w:basedOn w:val="Sublistparagraph"/>
    <w:qFormat/>
    <w:rsid w:val="008D0CF9"/>
    <w:pPr>
      <w:tabs>
        <w:tab w:val="left" w:pos="2835"/>
      </w:tabs>
      <w:ind w:left="2835" w:hanging="1365"/>
    </w:pPr>
  </w:style>
  <w:style w:type="character" w:customStyle="1" w:styleId="ListParagraphChar">
    <w:name w:val="List Paragraph Char"/>
    <w:basedOn w:val="DefaultParagraphFont"/>
    <w:link w:val="ListParagraph"/>
    <w:uiPriority w:val="1"/>
    <w:rsid w:val="008D0CF9"/>
    <w:rPr>
      <w:rFonts w:ascii="Arial" w:hAnsi="Arial"/>
      <w:sz w:val="24"/>
      <w:lang w:val="en-GB"/>
    </w:rPr>
  </w:style>
  <w:style w:type="character" w:customStyle="1" w:styleId="apple-converted-space">
    <w:name w:val="apple-converted-space"/>
    <w:basedOn w:val="DefaultParagraphFont"/>
    <w:rsid w:val="0035662F"/>
  </w:style>
  <w:style w:type="paragraph" w:styleId="EndnoteText">
    <w:name w:val="endnote text"/>
    <w:basedOn w:val="Normal"/>
    <w:link w:val="EndnoteTextChar"/>
    <w:uiPriority w:val="99"/>
    <w:semiHidden/>
    <w:unhideWhenUsed/>
    <w:rsid w:val="0071434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14341"/>
    <w:rPr>
      <w:rFonts w:ascii="Arial" w:hAnsi="Arial"/>
      <w:sz w:val="20"/>
      <w:szCs w:val="20"/>
      <w:lang w:val="en-GB"/>
    </w:rPr>
  </w:style>
  <w:style w:type="character" w:styleId="EndnoteReference">
    <w:name w:val="endnote reference"/>
    <w:basedOn w:val="DefaultParagraphFont"/>
    <w:uiPriority w:val="99"/>
    <w:unhideWhenUsed/>
    <w:rsid w:val="0096151A"/>
    <w:rPr>
      <w:rFonts w:ascii="Arial" w:hAnsi="Arial"/>
      <w:sz w:val="18"/>
      <w:vertAlign w:val="superscript"/>
    </w:rPr>
  </w:style>
  <w:style w:type="paragraph" w:customStyle="1" w:styleId="western">
    <w:name w:val="western"/>
    <w:basedOn w:val="Normal"/>
    <w:rsid w:val="004308EF"/>
    <w:pPr>
      <w:spacing w:before="100" w:beforeAutospacing="1" w:after="100" w:afterAutospacing="1" w:line="240" w:lineRule="auto"/>
      <w:ind w:left="0"/>
      <w:jc w:val="left"/>
    </w:pPr>
    <w:rPr>
      <w:rFonts w:ascii="Times New Roman" w:eastAsia="Times New Roman" w:hAnsi="Times New Roman" w:cs="Times New Roman"/>
      <w:szCs w:val="24"/>
      <w:lang w:val="en-ZA" w:eastAsia="en-GB"/>
    </w:rPr>
  </w:style>
  <w:style w:type="character" w:customStyle="1" w:styleId="Heading1Char">
    <w:name w:val="Heading 1 Char"/>
    <w:basedOn w:val="DefaultParagraphFont"/>
    <w:link w:val="Heading1"/>
    <w:uiPriority w:val="9"/>
    <w:rsid w:val="0088693C"/>
    <w:rPr>
      <w:rFonts w:asciiTheme="majorHAnsi" w:eastAsiaTheme="majorEastAsia" w:hAnsiTheme="majorHAnsi" w:cstheme="majorBidi"/>
      <w:color w:val="2E74B5"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80924">
      <w:bodyDiv w:val="1"/>
      <w:marLeft w:val="0"/>
      <w:marRight w:val="0"/>
      <w:marTop w:val="0"/>
      <w:marBottom w:val="0"/>
      <w:divBdr>
        <w:top w:val="none" w:sz="0" w:space="0" w:color="auto"/>
        <w:left w:val="none" w:sz="0" w:space="0" w:color="auto"/>
        <w:bottom w:val="none" w:sz="0" w:space="0" w:color="auto"/>
        <w:right w:val="none" w:sz="0" w:space="0" w:color="auto"/>
      </w:divBdr>
    </w:div>
    <w:div w:id="105543228">
      <w:bodyDiv w:val="1"/>
      <w:marLeft w:val="0"/>
      <w:marRight w:val="0"/>
      <w:marTop w:val="0"/>
      <w:marBottom w:val="0"/>
      <w:divBdr>
        <w:top w:val="none" w:sz="0" w:space="0" w:color="auto"/>
        <w:left w:val="none" w:sz="0" w:space="0" w:color="auto"/>
        <w:bottom w:val="none" w:sz="0" w:space="0" w:color="auto"/>
        <w:right w:val="none" w:sz="0" w:space="0" w:color="auto"/>
      </w:divBdr>
    </w:div>
    <w:div w:id="206114633">
      <w:bodyDiv w:val="1"/>
      <w:marLeft w:val="0"/>
      <w:marRight w:val="0"/>
      <w:marTop w:val="0"/>
      <w:marBottom w:val="0"/>
      <w:divBdr>
        <w:top w:val="none" w:sz="0" w:space="0" w:color="auto"/>
        <w:left w:val="none" w:sz="0" w:space="0" w:color="auto"/>
        <w:bottom w:val="none" w:sz="0" w:space="0" w:color="auto"/>
        <w:right w:val="none" w:sz="0" w:space="0" w:color="auto"/>
      </w:divBdr>
    </w:div>
    <w:div w:id="240800111">
      <w:bodyDiv w:val="1"/>
      <w:marLeft w:val="0"/>
      <w:marRight w:val="0"/>
      <w:marTop w:val="0"/>
      <w:marBottom w:val="0"/>
      <w:divBdr>
        <w:top w:val="none" w:sz="0" w:space="0" w:color="auto"/>
        <w:left w:val="none" w:sz="0" w:space="0" w:color="auto"/>
        <w:bottom w:val="none" w:sz="0" w:space="0" w:color="auto"/>
        <w:right w:val="none" w:sz="0" w:space="0" w:color="auto"/>
      </w:divBdr>
    </w:div>
    <w:div w:id="308478107">
      <w:bodyDiv w:val="1"/>
      <w:marLeft w:val="0"/>
      <w:marRight w:val="0"/>
      <w:marTop w:val="0"/>
      <w:marBottom w:val="0"/>
      <w:divBdr>
        <w:top w:val="none" w:sz="0" w:space="0" w:color="auto"/>
        <w:left w:val="none" w:sz="0" w:space="0" w:color="auto"/>
        <w:bottom w:val="none" w:sz="0" w:space="0" w:color="auto"/>
        <w:right w:val="none" w:sz="0" w:space="0" w:color="auto"/>
      </w:divBdr>
      <w:divsChild>
        <w:div w:id="1736316143">
          <w:marLeft w:val="0"/>
          <w:marRight w:val="0"/>
          <w:marTop w:val="0"/>
          <w:marBottom w:val="0"/>
          <w:divBdr>
            <w:top w:val="none" w:sz="0" w:space="0" w:color="auto"/>
            <w:left w:val="none" w:sz="0" w:space="0" w:color="auto"/>
            <w:bottom w:val="none" w:sz="0" w:space="0" w:color="auto"/>
            <w:right w:val="none" w:sz="0" w:space="0" w:color="auto"/>
          </w:divBdr>
          <w:divsChild>
            <w:div w:id="945231986">
              <w:marLeft w:val="0"/>
              <w:marRight w:val="0"/>
              <w:marTop w:val="0"/>
              <w:marBottom w:val="0"/>
              <w:divBdr>
                <w:top w:val="none" w:sz="0" w:space="0" w:color="auto"/>
                <w:left w:val="none" w:sz="0" w:space="0" w:color="auto"/>
                <w:bottom w:val="none" w:sz="0" w:space="0" w:color="auto"/>
                <w:right w:val="none" w:sz="0" w:space="0" w:color="auto"/>
              </w:divBdr>
              <w:divsChild>
                <w:div w:id="16130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154778">
      <w:bodyDiv w:val="1"/>
      <w:marLeft w:val="0"/>
      <w:marRight w:val="0"/>
      <w:marTop w:val="0"/>
      <w:marBottom w:val="0"/>
      <w:divBdr>
        <w:top w:val="none" w:sz="0" w:space="0" w:color="auto"/>
        <w:left w:val="none" w:sz="0" w:space="0" w:color="auto"/>
        <w:bottom w:val="none" w:sz="0" w:space="0" w:color="auto"/>
        <w:right w:val="none" w:sz="0" w:space="0" w:color="auto"/>
      </w:divBdr>
    </w:div>
    <w:div w:id="413402007">
      <w:bodyDiv w:val="1"/>
      <w:marLeft w:val="0"/>
      <w:marRight w:val="0"/>
      <w:marTop w:val="0"/>
      <w:marBottom w:val="0"/>
      <w:divBdr>
        <w:top w:val="none" w:sz="0" w:space="0" w:color="auto"/>
        <w:left w:val="none" w:sz="0" w:space="0" w:color="auto"/>
        <w:bottom w:val="none" w:sz="0" w:space="0" w:color="auto"/>
        <w:right w:val="none" w:sz="0" w:space="0" w:color="auto"/>
      </w:divBdr>
      <w:divsChild>
        <w:div w:id="308486307">
          <w:marLeft w:val="0"/>
          <w:marRight w:val="0"/>
          <w:marTop w:val="0"/>
          <w:marBottom w:val="0"/>
          <w:divBdr>
            <w:top w:val="none" w:sz="0" w:space="0" w:color="auto"/>
            <w:left w:val="none" w:sz="0" w:space="0" w:color="auto"/>
            <w:bottom w:val="none" w:sz="0" w:space="0" w:color="auto"/>
            <w:right w:val="none" w:sz="0" w:space="0" w:color="auto"/>
          </w:divBdr>
          <w:divsChild>
            <w:div w:id="1255505916">
              <w:marLeft w:val="0"/>
              <w:marRight w:val="0"/>
              <w:marTop w:val="0"/>
              <w:marBottom w:val="0"/>
              <w:divBdr>
                <w:top w:val="none" w:sz="0" w:space="0" w:color="auto"/>
                <w:left w:val="none" w:sz="0" w:space="0" w:color="auto"/>
                <w:bottom w:val="none" w:sz="0" w:space="0" w:color="auto"/>
                <w:right w:val="none" w:sz="0" w:space="0" w:color="auto"/>
              </w:divBdr>
              <w:divsChild>
                <w:div w:id="4246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647058">
      <w:bodyDiv w:val="1"/>
      <w:marLeft w:val="0"/>
      <w:marRight w:val="0"/>
      <w:marTop w:val="0"/>
      <w:marBottom w:val="0"/>
      <w:divBdr>
        <w:top w:val="none" w:sz="0" w:space="0" w:color="auto"/>
        <w:left w:val="none" w:sz="0" w:space="0" w:color="auto"/>
        <w:bottom w:val="none" w:sz="0" w:space="0" w:color="auto"/>
        <w:right w:val="none" w:sz="0" w:space="0" w:color="auto"/>
      </w:divBdr>
    </w:div>
    <w:div w:id="558635356">
      <w:bodyDiv w:val="1"/>
      <w:marLeft w:val="0"/>
      <w:marRight w:val="0"/>
      <w:marTop w:val="0"/>
      <w:marBottom w:val="0"/>
      <w:divBdr>
        <w:top w:val="none" w:sz="0" w:space="0" w:color="auto"/>
        <w:left w:val="none" w:sz="0" w:space="0" w:color="auto"/>
        <w:bottom w:val="none" w:sz="0" w:space="0" w:color="auto"/>
        <w:right w:val="none" w:sz="0" w:space="0" w:color="auto"/>
      </w:divBdr>
    </w:div>
    <w:div w:id="651372864">
      <w:bodyDiv w:val="1"/>
      <w:marLeft w:val="0"/>
      <w:marRight w:val="0"/>
      <w:marTop w:val="0"/>
      <w:marBottom w:val="0"/>
      <w:divBdr>
        <w:top w:val="none" w:sz="0" w:space="0" w:color="auto"/>
        <w:left w:val="none" w:sz="0" w:space="0" w:color="auto"/>
        <w:bottom w:val="none" w:sz="0" w:space="0" w:color="auto"/>
        <w:right w:val="none" w:sz="0" w:space="0" w:color="auto"/>
      </w:divBdr>
      <w:divsChild>
        <w:div w:id="1028142438">
          <w:marLeft w:val="0"/>
          <w:marRight w:val="0"/>
          <w:marTop w:val="0"/>
          <w:marBottom w:val="0"/>
          <w:divBdr>
            <w:top w:val="none" w:sz="0" w:space="0" w:color="auto"/>
            <w:left w:val="none" w:sz="0" w:space="0" w:color="auto"/>
            <w:bottom w:val="none" w:sz="0" w:space="0" w:color="auto"/>
            <w:right w:val="none" w:sz="0" w:space="0" w:color="auto"/>
          </w:divBdr>
          <w:divsChild>
            <w:div w:id="1448506604">
              <w:marLeft w:val="0"/>
              <w:marRight w:val="0"/>
              <w:marTop w:val="0"/>
              <w:marBottom w:val="0"/>
              <w:divBdr>
                <w:top w:val="none" w:sz="0" w:space="0" w:color="auto"/>
                <w:left w:val="none" w:sz="0" w:space="0" w:color="auto"/>
                <w:bottom w:val="none" w:sz="0" w:space="0" w:color="auto"/>
                <w:right w:val="none" w:sz="0" w:space="0" w:color="auto"/>
              </w:divBdr>
              <w:divsChild>
                <w:div w:id="83094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143536">
      <w:bodyDiv w:val="1"/>
      <w:marLeft w:val="0"/>
      <w:marRight w:val="0"/>
      <w:marTop w:val="0"/>
      <w:marBottom w:val="0"/>
      <w:divBdr>
        <w:top w:val="none" w:sz="0" w:space="0" w:color="auto"/>
        <w:left w:val="none" w:sz="0" w:space="0" w:color="auto"/>
        <w:bottom w:val="none" w:sz="0" w:space="0" w:color="auto"/>
        <w:right w:val="none" w:sz="0" w:space="0" w:color="auto"/>
      </w:divBdr>
    </w:div>
    <w:div w:id="946232125">
      <w:bodyDiv w:val="1"/>
      <w:marLeft w:val="0"/>
      <w:marRight w:val="0"/>
      <w:marTop w:val="0"/>
      <w:marBottom w:val="0"/>
      <w:divBdr>
        <w:top w:val="none" w:sz="0" w:space="0" w:color="auto"/>
        <w:left w:val="none" w:sz="0" w:space="0" w:color="auto"/>
        <w:bottom w:val="none" w:sz="0" w:space="0" w:color="auto"/>
        <w:right w:val="none" w:sz="0" w:space="0" w:color="auto"/>
      </w:divBdr>
      <w:divsChild>
        <w:div w:id="1509906870">
          <w:marLeft w:val="0"/>
          <w:marRight w:val="0"/>
          <w:marTop w:val="0"/>
          <w:marBottom w:val="0"/>
          <w:divBdr>
            <w:top w:val="none" w:sz="0" w:space="0" w:color="auto"/>
            <w:left w:val="none" w:sz="0" w:space="0" w:color="auto"/>
            <w:bottom w:val="none" w:sz="0" w:space="0" w:color="auto"/>
            <w:right w:val="none" w:sz="0" w:space="0" w:color="auto"/>
          </w:divBdr>
          <w:divsChild>
            <w:div w:id="1131292159">
              <w:marLeft w:val="0"/>
              <w:marRight w:val="0"/>
              <w:marTop w:val="0"/>
              <w:marBottom w:val="0"/>
              <w:divBdr>
                <w:top w:val="none" w:sz="0" w:space="0" w:color="auto"/>
                <w:left w:val="none" w:sz="0" w:space="0" w:color="auto"/>
                <w:bottom w:val="none" w:sz="0" w:space="0" w:color="auto"/>
                <w:right w:val="none" w:sz="0" w:space="0" w:color="auto"/>
              </w:divBdr>
              <w:divsChild>
                <w:div w:id="1622766749">
                  <w:marLeft w:val="0"/>
                  <w:marRight w:val="0"/>
                  <w:marTop w:val="0"/>
                  <w:marBottom w:val="0"/>
                  <w:divBdr>
                    <w:top w:val="none" w:sz="0" w:space="0" w:color="auto"/>
                    <w:left w:val="none" w:sz="0" w:space="0" w:color="auto"/>
                    <w:bottom w:val="none" w:sz="0" w:space="0" w:color="auto"/>
                    <w:right w:val="none" w:sz="0" w:space="0" w:color="auto"/>
                  </w:divBdr>
                </w:div>
              </w:divsChild>
            </w:div>
            <w:div w:id="1131559769">
              <w:marLeft w:val="0"/>
              <w:marRight w:val="0"/>
              <w:marTop w:val="0"/>
              <w:marBottom w:val="0"/>
              <w:divBdr>
                <w:top w:val="none" w:sz="0" w:space="0" w:color="auto"/>
                <w:left w:val="none" w:sz="0" w:space="0" w:color="auto"/>
                <w:bottom w:val="none" w:sz="0" w:space="0" w:color="auto"/>
                <w:right w:val="none" w:sz="0" w:space="0" w:color="auto"/>
              </w:divBdr>
              <w:divsChild>
                <w:div w:id="1252861359">
                  <w:marLeft w:val="0"/>
                  <w:marRight w:val="0"/>
                  <w:marTop w:val="0"/>
                  <w:marBottom w:val="0"/>
                  <w:divBdr>
                    <w:top w:val="none" w:sz="0" w:space="0" w:color="auto"/>
                    <w:left w:val="none" w:sz="0" w:space="0" w:color="auto"/>
                    <w:bottom w:val="none" w:sz="0" w:space="0" w:color="auto"/>
                    <w:right w:val="none" w:sz="0" w:space="0" w:color="auto"/>
                  </w:divBdr>
                </w:div>
              </w:divsChild>
            </w:div>
            <w:div w:id="1145246220">
              <w:marLeft w:val="0"/>
              <w:marRight w:val="0"/>
              <w:marTop w:val="0"/>
              <w:marBottom w:val="0"/>
              <w:divBdr>
                <w:top w:val="none" w:sz="0" w:space="0" w:color="auto"/>
                <w:left w:val="none" w:sz="0" w:space="0" w:color="auto"/>
                <w:bottom w:val="none" w:sz="0" w:space="0" w:color="auto"/>
                <w:right w:val="none" w:sz="0" w:space="0" w:color="auto"/>
              </w:divBdr>
              <w:divsChild>
                <w:div w:id="105219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65388">
      <w:bodyDiv w:val="1"/>
      <w:marLeft w:val="0"/>
      <w:marRight w:val="0"/>
      <w:marTop w:val="0"/>
      <w:marBottom w:val="0"/>
      <w:divBdr>
        <w:top w:val="none" w:sz="0" w:space="0" w:color="auto"/>
        <w:left w:val="none" w:sz="0" w:space="0" w:color="auto"/>
        <w:bottom w:val="none" w:sz="0" w:space="0" w:color="auto"/>
        <w:right w:val="none" w:sz="0" w:space="0" w:color="auto"/>
      </w:divBdr>
    </w:div>
    <w:div w:id="1082874634">
      <w:bodyDiv w:val="1"/>
      <w:marLeft w:val="0"/>
      <w:marRight w:val="0"/>
      <w:marTop w:val="0"/>
      <w:marBottom w:val="0"/>
      <w:divBdr>
        <w:top w:val="none" w:sz="0" w:space="0" w:color="auto"/>
        <w:left w:val="none" w:sz="0" w:space="0" w:color="auto"/>
        <w:bottom w:val="none" w:sz="0" w:space="0" w:color="auto"/>
        <w:right w:val="none" w:sz="0" w:space="0" w:color="auto"/>
      </w:divBdr>
    </w:div>
    <w:div w:id="1143883886">
      <w:bodyDiv w:val="1"/>
      <w:marLeft w:val="0"/>
      <w:marRight w:val="0"/>
      <w:marTop w:val="0"/>
      <w:marBottom w:val="0"/>
      <w:divBdr>
        <w:top w:val="none" w:sz="0" w:space="0" w:color="auto"/>
        <w:left w:val="none" w:sz="0" w:space="0" w:color="auto"/>
        <w:bottom w:val="none" w:sz="0" w:space="0" w:color="auto"/>
        <w:right w:val="none" w:sz="0" w:space="0" w:color="auto"/>
      </w:divBdr>
    </w:div>
    <w:div w:id="1162695484">
      <w:bodyDiv w:val="1"/>
      <w:marLeft w:val="0"/>
      <w:marRight w:val="0"/>
      <w:marTop w:val="0"/>
      <w:marBottom w:val="0"/>
      <w:divBdr>
        <w:top w:val="none" w:sz="0" w:space="0" w:color="auto"/>
        <w:left w:val="none" w:sz="0" w:space="0" w:color="auto"/>
        <w:bottom w:val="none" w:sz="0" w:space="0" w:color="auto"/>
        <w:right w:val="none" w:sz="0" w:space="0" w:color="auto"/>
      </w:divBdr>
    </w:div>
    <w:div w:id="1169294955">
      <w:bodyDiv w:val="1"/>
      <w:marLeft w:val="0"/>
      <w:marRight w:val="0"/>
      <w:marTop w:val="0"/>
      <w:marBottom w:val="0"/>
      <w:divBdr>
        <w:top w:val="none" w:sz="0" w:space="0" w:color="auto"/>
        <w:left w:val="none" w:sz="0" w:space="0" w:color="auto"/>
        <w:bottom w:val="none" w:sz="0" w:space="0" w:color="auto"/>
        <w:right w:val="none" w:sz="0" w:space="0" w:color="auto"/>
      </w:divBdr>
    </w:div>
    <w:div w:id="1278290409">
      <w:bodyDiv w:val="1"/>
      <w:marLeft w:val="0"/>
      <w:marRight w:val="0"/>
      <w:marTop w:val="0"/>
      <w:marBottom w:val="0"/>
      <w:divBdr>
        <w:top w:val="none" w:sz="0" w:space="0" w:color="auto"/>
        <w:left w:val="none" w:sz="0" w:space="0" w:color="auto"/>
        <w:bottom w:val="none" w:sz="0" w:space="0" w:color="auto"/>
        <w:right w:val="none" w:sz="0" w:space="0" w:color="auto"/>
      </w:divBdr>
    </w:div>
    <w:div w:id="1322155446">
      <w:bodyDiv w:val="1"/>
      <w:marLeft w:val="0"/>
      <w:marRight w:val="0"/>
      <w:marTop w:val="0"/>
      <w:marBottom w:val="0"/>
      <w:divBdr>
        <w:top w:val="none" w:sz="0" w:space="0" w:color="auto"/>
        <w:left w:val="none" w:sz="0" w:space="0" w:color="auto"/>
        <w:bottom w:val="none" w:sz="0" w:space="0" w:color="auto"/>
        <w:right w:val="none" w:sz="0" w:space="0" w:color="auto"/>
      </w:divBdr>
    </w:div>
    <w:div w:id="1351761903">
      <w:bodyDiv w:val="1"/>
      <w:marLeft w:val="0"/>
      <w:marRight w:val="0"/>
      <w:marTop w:val="0"/>
      <w:marBottom w:val="0"/>
      <w:divBdr>
        <w:top w:val="none" w:sz="0" w:space="0" w:color="auto"/>
        <w:left w:val="none" w:sz="0" w:space="0" w:color="auto"/>
        <w:bottom w:val="none" w:sz="0" w:space="0" w:color="auto"/>
        <w:right w:val="none" w:sz="0" w:space="0" w:color="auto"/>
      </w:divBdr>
    </w:div>
    <w:div w:id="1386759161">
      <w:bodyDiv w:val="1"/>
      <w:marLeft w:val="0"/>
      <w:marRight w:val="0"/>
      <w:marTop w:val="0"/>
      <w:marBottom w:val="0"/>
      <w:divBdr>
        <w:top w:val="none" w:sz="0" w:space="0" w:color="auto"/>
        <w:left w:val="none" w:sz="0" w:space="0" w:color="auto"/>
        <w:bottom w:val="none" w:sz="0" w:space="0" w:color="auto"/>
        <w:right w:val="none" w:sz="0" w:space="0" w:color="auto"/>
      </w:divBdr>
    </w:div>
    <w:div w:id="1401296250">
      <w:bodyDiv w:val="1"/>
      <w:marLeft w:val="0"/>
      <w:marRight w:val="0"/>
      <w:marTop w:val="0"/>
      <w:marBottom w:val="0"/>
      <w:divBdr>
        <w:top w:val="none" w:sz="0" w:space="0" w:color="auto"/>
        <w:left w:val="none" w:sz="0" w:space="0" w:color="auto"/>
        <w:bottom w:val="none" w:sz="0" w:space="0" w:color="auto"/>
        <w:right w:val="none" w:sz="0" w:space="0" w:color="auto"/>
      </w:divBdr>
    </w:div>
    <w:div w:id="1422606728">
      <w:bodyDiv w:val="1"/>
      <w:marLeft w:val="0"/>
      <w:marRight w:val="0"/>
      <w:marTop w:val="0"/>
      <w:marBottom w:val="0"/>
      <w:divBdr>
        <w:top w:val="none" w:sz="0" w:space="0" w:color="auto"/>
        <w:left w:val="none" w:sz="0" w:space="0" w:color="auto"/>
        <w:bottom w:val="none" w:sz="0" w:space="0" w:color="auto"/>
        <w:right w:val="none" w:sz="0" w:space="0" w:color="auto"/>
      </w:divBdr>
    </w:div>
    <w:div w:id="1474255006">
      <w:bodyDiv w:val="1"/>
      <w:marLeft w:val="0"/>
      <w:marRight w:val="0"/>
      <w:marTop w:val="0"/>
      <w:marBottom w:val="0"/>
      <w:divBdr>
        <w:top w:val="none" w:sz="0" w:space="0" w:color="auto"/>
        <w:left w:val="none" w:sz="0" w:space="0" w:color="auto"/>
        <w:bottom w:val="none" w:sz="0" w:space="0" w:color="auto"/>
        <w:right w:val="none" w:sz="0" w:space="0" w:color="auto"/>
      </w:divBdr>
      <w:divsChild>
        <w:div w:id="26221615">
          <w:marLeft w:val="0"/>
          <w:marRight w:val="0"/>
          <w:marTop w:val="0"/>
          <w:marBottom w:val="0"/>
          <w:divBdr>
            <w:top w:val="none" w:sz="0" w:space="0" w:color="auto"/>
            <w:left w:val="none" w:sz="0" w:space="0" w:color="auto"/>
            <w:bottom w:val="none" w:sz="0" w:space="0" w:color="auto"/>
            <w:right w:val="none" w:sz="0" w:space="0" w:color="auto"/>
          </w:divBdr>
          <w:divsChild>
            <w:div w:id="227040606">
              <w:marLeft w:val="0"/>
              <w:marRight w:val="0"/>
              <w:marTop w:val="0"/>
              <w:marBottom w:val="0"/>
              <w:divBdr>
                <w:top w:val="none" w:sz="0" w:space="0" w:color="auto"/>
                <w:left w:val="none" w:sz="0" w:space="0" w:color="auto"/>
                <w:bottom w:val="none" w:sz="0" w:space="0" w:color="auto"/>
                <w:right w:val="none" w:sz="0" w:space="0" w:color="auto"/>
              </w:divBdr>
              <w:divsChild>
                <w:div w:id="232282309">
                  <w:marLeft w:val="0"/>
                  <w:marRight w:val="0"/>
                  <w:marTop w:val="0"/>
                  <w:marBottom w:val="0"/>
                  <w:divBdr>
                    <w:top w:val="none" w:sz="0" w:space="0" w:color="auto"/>
                    <w:left w:val="none" w:sz="0" w:space="0" w:color="auto"/>
                    <w:bottom w:val="none" w:sz="0" w:space="0" w:color="auto"/>
                    <w:right w:val="none" w:sz="0" w:space="0" w:color="auto"/>
                  </w:divBdr>
                  <w:divsChild>
                    <w:div w:id="9267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053291">
      <w:bodyDiv w:val="1"/>
      <w:marLeft w:val="0"/>
      <w:marRight w:val="0"/>
      <w:marTop w:val="0"/>
      <w:marBottom w:val="0"/>
      <w:divBdr>
        <w:top w:val="none" w:sz="0" w:space="0" w:color="auto"/>
        <w:left w:val="none" w:sz="0" w:space="0" w:color="auto"/>
        <w:bottom w:val="none" w:sz="0" w:space="0" w:color="auto"/>
        <w:right w:val="none" w:sz="0" w:space="0" w:color="auto"/>
      </w:divBdr>
      <w:divsChild>
        <w:div w:id="1425951418">
          <w:marLeft w:val="0"/>
          <w:marRight w:val="0"/>
          <w:marTop w:val="0"/>
          <w:marBottom w:val="0"/>
          <w:divBdr>
            <w:top w:val="none" w:sz="0" w:space="0" w:color="auto"/>
            <w:left w:val="none" w:sz="0" w:space="0" w:color="auto"/>
            <w:bottom w:val="none" w:sz="0" w:space="0" w:color="auto"/>
            <w:right w:val="none" w:sz="0" w:space="0" w:color="auto"/>
          </w:divBdr>
          <w:divsChild>
            <w:div w:id="1785539179">
              <w:marLeft w:val="0"/>
              <w:marRight w:val="0"/>
              <w:marTop w:val="0"/>
              <w:marBottom w:val="0"/>
              <w:divBdr>
                <w:top w:val="none" w:sz="0" w:space="0" w:color="auto"/>
                <w:left w:val="none" w:sz="0" w:space="0" w:color="auto"/>
                <w:bottom w:val="none" w:sz="0" w:space="0" w:color="auto"/>
                <w:right w:val="none" w:sz="0" w:space="0" w:color="auto"/>
              </w:divBdr>
              <w:divsChild>
                <w:div w:id="14792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852894">
      <w:bodyDiv w:val="1"/>
      <w:marLeft w:val="0"/>
      <w:marRight w:val="0"/>
      <w:marTop w:val="0"/>
      <w:marBottom w:val="0"/>
      <w:divBdr>
        <w:top w:val="none" w:sz="0" w:space="0" w:color="auto"/>
        <w:left w:val="none" w:sz="0" w:space="0" w:color="auto"/>
        <w:bottom w:val="none" w:sz="0" w:space="0" w:color="auto"/>
        <w:right w:val="none" w:sz="0" w:space="0" w:color="auto"/>
      </w:divBdr>
    </w:div>
    <w:div w:id="1860855563">
      <w:bodyDiv w:val="1"/>
      <w:marLeft w:val="0"/>
      <w:marRight w:val="0"/>
      <w:marTop w:val="0"/>
      <w:marBottom w:val="0"/>
      <w:divBdr>
        <w:top w:val="none" w:sz="0" w:space="0" w:color="auto"/>
        <w:left w:val="none" w:sz="0" w:space="0" w:color="auto"/>
        <w:bottom w:val="none" w:sz="0" w:space="0" w:color="auto"/>
        <w:right w:val="none" w:sz="0" w:space="0" w:color="auto"/>
      </w:divBdr>
    </w:div>
    <w:div w:id="1877351326">
      <w:bodyDiv w:val="1"/>
      <w:marLeft w:val="0"/>
      <w:marRight w:val="0"/>
      <w:marTop w:val="0"/>
      <w:marBottom w:val="0"/>
      <w:divBdr>
        <w:top w:val="none" w:sz="0" w:space="0" w:color="auto"/>
        <w:left w:val="none" w:sz="0" w:space="0" w:color="auto"/>
        <w:bottom w:val="none" w:sz="0" w:space="0" w:color="auto"/>
        <w:right w:val="none" w:sz="0" w:space="0" w:color="auto"/>
      </w:divBdr>
    </w:div>
    <w:div w:id="2057270527">
      <w:bodyDiv w:val="1"/>
      <w:marLeft w:val="0"/>
      <w:marRight w:val="0"/>
      <w:marTop w:val="0"/>
      <w:marBottom w:val="0"/>
      <w:divBdr>
        <w:top w:val="none" w:sz="0" w:space="0" w:color="auto"/>
        <w:left w:val="none" w:sz="0" w:space="0" w:color="auto"/>
        <w:bottom w:val="none" w:sz="0" w:space="0" w:color="auto"/>
        <w:right w:val="none" w:sz="0" w:space="0" w:color="auto"/>
      </w:divBdr>
    </w:div>
    <w:div w:id="2072581897">
      <w:bodyDiv w:val="1"/>
      <w:marLeft w:val="0"/>
      <w:marRight w:val="0"/>
      <w:marTop w:val="0"/>
      <w:marBottom w:val="0"/>
      <w:divBdr>
        <w:top w:val="none" w:sz="0" w:space="0" w:color="auto"/>
        <w:left w:val="none" w:sz="0" w:space="0" w:color="auto"/>
        <w:bottom w:val="none" w:sz="0" w:space="0" w:color="auto"/>
        <w:right w:val="none" w:sz="0" w:space="0" w:color="auto"/>
      </w:divBdr>
    </w:div>
    <w:div w:id="2091728496">
      <w:bodyDiv w:val="1"/>
      <w:marLeft w:val="0"/>
      <w:marRight w:val="0"/>
      <w:marTop w:val="0"/>
      <w:marBottom w:val="0"/>
      <w:divBdr>
        <w:top w:val="none" w:sz="0" w:space="0" w:color="auto"/>
        <w:left w:val="none" w:sz="0" w:space="0" w:color="auto"/>
        <w:bottom w:val="none" w:sz="0" w:space="0" w:color="auto"/>
        <w:right w:val="none" w:sz="0" w:space="0" w:color="auto"/>
      </w:divBdr>
    </w:div>
    <w:div w:id="210202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aflii.org/cgi-bin/LawCite?cit=1972%20%281%29%20SA%20773" TargetMode="External"/><Relationship Id="rId18" Type="http://schemas.openxmlformats.org/officeDocument/2006/relationships/hyperlink" Target="https://www.saflii.org/cgi-bin/LawCite?cit=1969%20%283%29%20SA%20360" TargetMode="External"/><Relationship Id="rId3" Type="http://schemas.openxmlformats.org/officeDocument/2006/relationships/customXml" Target="../customXml/item3.xml"/><Relationship Id="rId21" Type="http://schemas.openxmlformats.org/officeDocument/2006/relationships/hyperlink" Target="https://www.saflii.org/cgi-bin/LawCite?cit=%5b1966%5d%203%20ALL%20SA%2027" TargetMode="External"/><Relationship Id="rId7" Type="http://schemas.openxmlformats.org/officeDocument/2006/relationships/settings" Target="settings.xml"/><Relationship Id="rId12" Type="http://schemas.openxmlformats.org/officeDocument/2006/relationships/image" Target="cid:image001.png@01D102A3.6AE54470" TargetMode="External"/><Relationship Id="rId17" Type="http://schemas.openxmlformats.org/officeDocument/2006/relationships/hyperlink" Target="https://www.saflii.org/cgi-bin/LawCite?cit=%5b1969%5d%203%20ALL%20SA%20424"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aflii.org/cgi-bin/LawCite?cit=1963%20%281%29%20SA%20897" TargetMode="External"/><Relationship Id="rId20" Type="http://schemas.openxmlformats.org/officeDocument/2006/relationships/hyperlink" Target="https://www.saflii.org/cgi-bin/LawCite?cit=1969%20%283%29%20SA%2036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saflii.org/cgi-bin/LawCite?cit=1927%20CPD%20130"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saflii.org/cgi-bin/LawCite?cit=%5b1969%5d%203%20ALL%20SA%2037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aflii.org/cgi-bin/LawCite?cit=%5b1986%5d%203%20All%20SA%20197" TargetMode="External"/><Relationship Id="rId22" Type="http://schemas.openxmlformats.org/officeDocument/2006/relationships/hyperlink" Target="https://www.saflii.org/cgi-bin/LawCite?cit=1966%20%282%29%20SA%204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B2B2D569D2B240AEE7EB12A7C6C4EE" ma:contentTypeVersion="13" ma:contentTypeDescription="Create a new document." ma:contentTypeScope="" ma:versionID="34286bb63c35deb60dec4bb3f99ae2e0">
  <xsd:schema xmlns:xsd="http://www.w3.org/2001/XMLSchema" xmlns:xs="http://www.w3.org/2001/XMLSchema" xmlns:p="http://schemas.microsoft.com/office/2006/metadata/properties" xmlns:ns3="7803ae50-825d-4e06-9055-d98ed2079135" xmlns:ns4="3acb1509-cbd2-408a-830c-c119568ad540" targetNamespace="http://schemas.microsoft.com/office/2006/metadata/properties" ma:root="true" ma:fieldsID="395d1c3c1d117eb3456b7493db41c492" ns3:_="" ns4:_="">
    <xsd:import namespace="7803ae50-825d-4e06-9055-d98ed2079135"/>
    <xsd:import namespace="3acb1509-cbd2-408a-830c-c119568ad540"/>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03ae50-825d-4e06-9055-d98ed2079135"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cb1509-cbd2-408a-830c-c119568ad540"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7803ae50-825d-4e06-9055-d98ed207913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9882C-3287-494C-8962-0FE395F5994F}">
  <ds:schemaRefs>
    <ds:schemaRef ds:uri="http://schemas.microsoft.com/sharepoint/v3/contenttype/forms"/>
  </ds:schemaRefs>
</ds:datastoreItem>
</file>

<file path=customXml/itemProps2.xml><?xml version="1.0" encoding="utf-8"?>
<ds:datastoreItem xmlns:ds="http://schemas.openxmlformats.org/officeDocument/2006/customXml" ds:itemID="{699651ED-4836-4A2E-9F16-F4AF4E6DE1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03ae50-825d-4e06-9055-d98ed2079135"/>
    <ds:schemaRef ds:uri="3acb1509-cbd2-408a-830c-c119568ad5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0230C2-5138-45A7-ADBA-4FEA93D6858F}">
  <ds:schemaRefs>
    <ds:schemaRef ds:uri="http://schemas.microsoft.com/office/2006/metadata/properties"/>
    <ds:schemaRef ds:uri="http://schemas.microsoft.com/office/infopath/2007/PartnerControls"/>
    <ds:schemaRef ds:uri="7803ae50-825d-4e06-9055-d98ed2079135"/>
  </ds:schemaRefs>
</ds:datastoreItem>
</file>

<file path=customXml/itemProps4.xml><?xml version="1.0" encoding="utf-8"?>
<ds:datastoreItem xmlns:ds="http://schemas.openxmlformats.org/officeDocument/2006/customXml" ds:itemID="{323E85D8-1C48-41C7-AE6A-725BA283B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21</Pages>
  <Words>6137</Words>
  <Characters>34987</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sathish sarshan  mohan</cp:lastModifiedBy>
  <cp:revision>3</cp:revision>
  <cp:lastPrinted>2023-09-06T14:54:00Z</cp:lastPrinted>
  <dcterms:created xsi:type="dcterms:W3CDTF">2024-03-15T13:32:00Z</dcterms:created>
  <dcterms:modified xsi:type="dcterms:W3CDTF">2024-03-15T17:45:00Z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0x0101009BB2B2D569D2B240AEE7EB12A7C6C4EE</vt:lpwstr>
  </property>
</Properties>
</file>