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0FB4" w14:textId="77777777" w:rsidR="00EF07EE" w:rsidRPr="00370933" w:rsidRDefault="00EF07EE" w:rsidP="00EF07EE">
      <w:pPr>
        <w:pStyle w:val="NormalWeb"/>
        <w:shd w:val="clear" w:color="auto" w:fill="FFFFFF"/>
        <w:spacing w:before="144" w:beforeAutospacing="0" w:after="288" w:afterAutospacing="0" w:line="360" w:lineRule="atLeast"/>
        <w:jc w:val="center"/>
        <w:rPr>
          <w:rFonts w:ascii="Verdana" w:hAnsi="Verdana"/>
          <w:color w:val="242121"/>
          <w:sz w:val="27"/>
          <w:szCs w:val="27"/>
        </w:rPr>
      </w:pPr>
      <w:r w:rsidRPr="000F44F5">
        <w:rPr>
          <w:rFonts w:cs="Arial"/>
          <w:b/>
          <w:noProof/>
          <w:color w:val="000000" w:themeColor="text1"/>
          <w:sz w:val="28"/>
          <w:szCs w:val="28"/>
          <w:lang w:val="en-ZA" w:eastAsia="en-ZA"/>
        </w:rPr>
        <w:t>REPUBLIC OF SOUTH AFRICA</w:t>
      </w:r>
    </w:p>
    <w:p w14:paraId="4889209E" w14:textId="77777777" w:rsidR="00EF07EE" w:rsidRPr="000F44F5" w:rsidRDefault="00EF07EE" w:rsidP="00EF07EE">
      <w:pPr>
        <w:tabs>
          <w:tab w:val="left" w:pos="2342"/>
          <w:tab w:val="center" w:pos="4513"/>
        </w:tabs>
        <w:spacing w:line="240" w:lineRule="auto"/>
        <w:jc w:val="center"/>
        <w:outlineLvl w:val="0"/>
        <w:rPr>
          <w:rFonts w:cs="Arial"/>
          <w:b/>
          <w:noProof/>
          <w:color w:val="000000" w:themeColor="text1"/>
          <w:sz w:val="28"/>
          <w:szCs w:val="28"/>
          <w:lang w:val="en-ZA" w:eastAsia="en-ZA"/>
        </w:rPr>
      </w:pPr>
    </w:p>
    <w:p w14:paraId="4FB51807" w14:textId="77777777" w:rsidR="00EF07EE" w:rsidRPr="000F44F5" w:rsidRDefault="00EF07EE" w:rsidP="00EF07EE">
      <w:pPr>
        <w:tabs>
          <w:tab w:val="left" w:pos="2342"/>
          <w:tab w:val="center" w:pos="4513"/>
        </w:tabs>
        <w:spacing w:line="240" w:lineRule="auto"/>
        <w:jc w:val="center"/>
        <w:outlineLvl w:val="0"/>
        <w:rPr>
          <w:rFonts w:cs="Arial"/>
          <w:color w:val="000000" w:themeColor="text1"/>
          <w:sz w:val="28"/>
          <w:szCs w:val="28"/>
          <w:lang w:val="en-ZA"/>
        </w:rPr>
      </w:pPr>
      <w:r w:rsidRPr="000F44F5">
        <w:rPr>
          <w:rFonts w:cs="Arial"/>
          <w:noProof/>
          <w:color w:val="000000" w:themeColor="text1"/>
          <w:sz w:val="28"/>
          <w:szCs w:val="28"/>
          <w:lang w:val="en-ZA" w:eastAsia="en-ZA"/>
        </w:rPr>
        <w:drawing>
          <wp:inline distT="0" distB="0" distL="0" distR="0" wp14:anchorId="01B48821" wp14:editId="05D7133D">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1679B15" w14:textId="77777777" w:rsidR="00EF07EE" w:rsidRPr="000F44F5" w:rsidRDefault="00EF07EE" w:rsidP="00EF07EE">
      <w:pPr>
        <w:spacing w:line="240" w:lineRule="auto"/>
        <w:jc w:val="center"/>
        <w:outlineLvl w:val="0"/>
        <w:rPr>
          <w:rFonts w:cs="Arial"/>
          <w:b/>
          <w:color w:val="000000" w:themeColor="text1"/>
          <w:sz w:val="28"/>
          <w:szCs w:val="28"/>
          <w:lang w:val="en-ZA"/>
        </w:rPr>
      </w:pPr>
    </w:p>
    <w:p w14:paraId="2EB56CF7" w14:textId="77777777" w:rsidR="00EF07EE" w:rsidRPr="000F44F5" w:rsidRDefault="00EF07EE" w:rsidP="00EF07EE">
      <w:pPr>
        <w:spacing w:line="240" w:lineRule="auto"/>
        <w:jc w:val="center"/>
        <w:outlineLvl w:val="0"/>
        <w:rPr>
          <w:rFonts w:cs="Arial"/>
          <w:b/>
          <w:color w:val="000000" w:themeColor="text1"/>
          <w:sz w:val="28"/>
          <w:szCs w:val="28"/>
          <w:lang w:val="en-ZA"/>
        </w:rPr>
      </w:pPr>
      <w:r w:rsidRPr="000F44F5">
        <w:rPr>
          <w:rFonts w:cs="Arial"/>
          <w:b/>
          <w:color w:val="000000" w:themeColor="text1"/>
          <w:sz w:val="28"/>
          <w:szCs w:val="28"/>
          <w:lang w:val="en-ZA"/>
        </w:rPr>
        <w:t>IN THE HIGH COURT OF SOUTH AFRICA</w:t>
      </w:r>
    </w:p>
    <w:p w14:paraId="01220EC9" w14:textId="77777777" w:rsidR="00EF07EE" w:rsidRPr="000F44F5" w:rsidRDefault="00EF07EE" w:rsidP="00EF07EE">
      <w:pPr>
        <w:spacing w:line="240" w:lineRule="auto"/>
        <w:jc w:val="center"/>
        <w:outlineLvl w:val="0"/>
        <w:rPr>
          <w:rFonts w:cs="Arial"/>
          <w:b/>
          <w:color w:val="000000" w:themeColor="text1"/>
          <w:sz w:val="28"/>
          <w:szCs w:val="28"/>
          <w:lang w:val="en-ZA"/>
        </w:rPr>
      </w:pPr>
      <w:r w:rsidRPr="000F44F5">
        <w:rPr>
          <w:rFonts w:cs="Arial"/>
          <w:b/>
          <w:color w:val="000000" w:themeColor="text1"/>
          <w:sz w:val="28"/>
          <w:szCs w:val="28"/>
          <w:lang w:val="en-ZA"/>
        </w:rPr>
        <w:t>GAUTENG LOCAL DIVISION, JOHANNESBURG</w:t>
      </w:r>
    </w:p>
    <w:p w14:paraId="129DDA56" w14:textId="77777777" w:rsidR="00EF07EE" w:rsidRPr="000F44F5" w:rsidRDefault="00EF07EE" w:rsidP="00EF07EE">
      <w:pPr>
        <w:spacing w:line="240" w:lineRule="auto"/>
        <w:rPr>
          <w:rFonts w:cs="Arial"/>
          <w:color w:val="000000" w:themeColor="text1"/>
          <w:szCs w:val="24"/>
          <w:lang w:val="en-ZA"/>
        </w:rPr>
      </w:pPr>
    </w:p>
    <w:p w14:paraId="4CCDDA40" w14:textId="77777777" w:rsidR="00EF07EE" w:rsidRPr="000F44F5" w:rsidRDefault="00EF07EE" w:rsidP="00EF07EE">
      <w:pPr>
        <w:spacing w:line="240" w:lineRule="auto"/>
        <w:rPr>
          <w:rFonts w:cs="Arial"/>
          <w:color w:val="000000" w:themeColor="text1"/>
          <w:szCs w:val="24"/>
          <w:lang w:val="en-ZA"/>
        </w:rPr>
      </w:pPr>
    </w:p>
    <w:p w14:paraId="103AB9C2" w14:textId="1A3494E1" w:rsidR="00EF07EE" w:rsidRPr="000F44F5" w:rsidRDefault="00EF07EE" w:rsidP="00EF07EE">
      <w:pPr>
        <w:tabs>
          <w:tab w:val="right" w:pos="9029"/>
        </w:tabs>
        <w:spacing w:line="240" w:lineRule="auto"/>
        <w:rPr>
          <w:rFonts w:cs="Arial"/>
          <w:bCs/>
          <w:color w:val="000000" w:themeColor="text1"/>
          <w:szCs w:val="24"/>
          <w:lang w:val="en-ZA"/>
        </w:rPr>
      </w:pPr>
      <w:r w:rsidRPr="000F44F5">
        <w:rPr>
          <w:rFonts w:cs="Arial"/>
          <w:color w:val="000000" w:themeColor="text1"/>
          <w:szCs w:val="24"/>
          <w:lang w:val="en-ZA"/>
        </w:rPr>
        <w:tab/>
      </w:r>
      <w:r w:rsidRPr="000F44F5">
        <w:rPr>
          <w:rFonts w:cs="Arial"/>
          <w:bCs/>
          <w:color w:val="000000" w:themeColor="text1"/>
          <w:szCs w:val="24"/>
          <w:lang w:val="en-ZA"/>
        </w:rPr>
        <w:t xml:space="preserve">Case Number: </w:t>
      </w:r>
      <w:r w:rsidR="00D374EB">
        <w:rPr>
          <w:rFonts w:cs="Arial"/>
          <w:bCs/>
          <w:color w:val="000000" w:themeColor="text1"/>
          <w:szCs w:val="24"/>
          <w:lang w:val="en-ZA"/>
        </w:rPr>
        <w:t>4783/2020</w:t>
      </w:r>
    </w:p>
    <w:p w14:paraId="37F503DF" w14:textId="77777777" w:rsidR="00EF07EE" w:rsidRPr="000F44F5" w:rsidRDefault="00EF07EE" w:rsidP="00EF07EE">
      <w:pPr>
        <w:tabs>
          <w:tab w:val="right" w:pos="9029"/>
        </w:tabs>
        <w:spacing w:line="240" w:lineRule="auto"/>
        <w:rPr>
          <w:rFonts w:cs="Arial"/>
          <w:color w:val="000000" w:themeColor="text1"/>
          <w:szCs w:val="24"/>
          <w:lang w:val="en-ZA"/>
        </w:rPr>
      </w:pPr>
      <w:r w:rsidRPr="000F44F5">
        <w:rPr>
          <w:rFonts w:cs="Arial"/>
          <w:noProof/>
          <w:color w:val="000000" w:themeColor="text1"/>
          <w:szCs w:val="24"/>
          <w:lang w:val="en-ZA" w:eastAsia="en-ZA"/>
        </w:rPr>
        <mc:AlternateContent>
          <mc:Choice Requires="wps">
            <w:drawing>
              <wp:anchor distT="0" distB="0" distL="114300" distR="114300" simplePos="0" relativeHeight="251659264" behindDoc="0" locked="0" layoutInCell="1" allowOverlap="1" wp14:anchorId="2709B5F3" wp14:editId="3A95EAE2">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148B09C1" w14:textId="1FC41E1D" w:rsidR="00EF07EE" w:rsidRPr="003B746C" w:rsidRDefault="001164B4" w:rsidP="001164B4">
                            <w:pPr>
                              <w:tabs>
                                <w:tab w:val="left" w:pos="900"/>
                              </w:tabs>
                              <w:suppressAutoHyphens w:val="0"/>
                              <w:spacing w:line="240" w:lineRule="auto"/>
                              <w:ind w:left="900" w:hanging="720"/>
                              <w:jc w:val="left"/>
                              <w:rPr>
                                <w:rFonts w:cs="Arial"/>
                                <w:sz w:val="18"/>
                              </w:rPr>
                            </w:pPr>
                            <w:r w:rsidRPr="003B746C">
                              <w:rPr>
                                <w:rFonts w:cs="Arial"/>
                                <w:sz w:val="18"/>
                              </w:rPr>
                              <w:t>(1)</w:t>
                            </w:r>
                            <w:r w:rsidRPr="003B746C">
                              <w:rPr>
                                <w:rFonts w:cs="Arial"/>
                                <w:sz w:val="18"/>
                              </w:rPr>
                              <w:tab/>
                            </w:r>
                            <w:r w:rsidR="00EF07EE" w:rsidRPr="003B746C">
                              <w:rPr>
                                <w:rFonts w:cs="Arial"/>
                                <w:sz w:val="18"/>
                              </w:rPr>
                              <w:t xml:space="preserve">REPORTABLE: </w:t>
                            </w:r>
                            <w:r w:rsidR="00D374EB">
                              <w:rPr>
                                <w:rFonts w:cs="Arial"/>
                                <w:sz w:val="18"/>
                              </w:rPr>
                              <w:t>No</w:t>
                            </w:r>
                          </w:p>
                          <w:p w14:paraId="3501EF14" w14:textId="4E07E409" w:rsidR="00EF07EE" w:rsidRPr="003B746C" w:rsidRDefault="001164B4" w:rsidP="001164B4">
                            <w:pPr>
                              <w:tabs>
                                <w:tab w:val="left" w:pos="900"/>
                              </w:tabs>
                              <w:suppressAutoHyphens w:val="0"/>
                              <w:spacing w:line="240" w:lineRule="auto"/>
                              <w:ind w:left="900" w:hanging="720"/>
                              <w:jc w:val="left"/>
                              <w:rPr>
                                <w:rFonts w:cs="Arial"/>
                                <w:sz w:val="18"/>
                              </w:rPr>
                            </w:pPr>
                            <w:r w:rsidRPr="003B746C">
                              <w:rPr>
                                <w:rFonts w:cs="Arial"/>
                                <w:sz w:val="18"/>
                              </w:rPr>
                              <w:t>(2)</w:t>
                            </w:r>
                            <w:r w:rsidRPr="003B746C">
                              <w:rPr>
                                <w:rFonts w:cs="Arial"/>
                                <w:sz w:val="18"/>
                              </w:rPr>
                              <w:tab/>
                            </w:r>
                            <w:r w:rsidR="00EF07EE" w:rsidRPr="003B746C">
                              <w:rPr>
                                <w:rFonts w:cs="Arial"/>
                                <w:sz w:val="18"/>
                              </w:rPr>
                              <w:t xml:space="preserve">OF INTEREST TO OTHER JUDGES: </w:t>
                            </w:r>
                            <w:r w:rsidR="00D374EB">
                              <w:rPr>
                                <w:rFonts w:cs="Arial"/>
                                <w:sz w:val="18"/>
                              </w:rPr>
                              <w:t>No</w:t>
                            </w:r>
                          </w:p>
                          <w:p w14:paraId="263DB46C" w14:textId="52277031" w:rsidR="00EF07EE" w:rsidRDefault="001164B4" w:rsidP="001164B4">
                            <w:pPr>
                              <w:tabs>
                                <w:tab w:val="left" w:pos="900"/>
                              </w:tabs>
                              <w:suppressAutoHyphens w:val="0"/>
                              <w:spacing w:line="240" w:lineRule="auto"/>
                              <w:ind w:left="900" w:hanging="720"/>
                              <w:jc w:val="left"/>
                              <w:rPr>
                                <w:rFonts w:cs="Arial"/>
                                <w:sz w:val="18"/>
                              </w:rPr>
                            </w:pPr>
                            <w:r>
                              <w:rPr>
                                <w:rFonts w:cs="Arial"/>
                                <w:sz w:val="18"/>
                              </w:rPr>
                              <w:t>(3)</w:t>
                            </w:r>
                            <w:r>
                              <w:rPr>
                                <w:rFonts w:cs="Arial"/>
                                <w:sz w:val="18"/>
                              </w:rPr>
                              <w:tab/>
                            </w:r>
                            <w:r w:rsidR="00EF07EE" w:rsidRPr="003B746C">
                              <w:rPr>
                                <w:rFonts w:cs="Arial"/>
                                <w:sz w:val="18"/>
                              </w:rPr>
                              <w:t xml:space="preserve">REVISED: </w:t>
                            </w:r>
                            <w:r w:rsidR="0048064D">
                              <w:rPr>
                                <w:rFonts w:cs="Arial"/>
                                <w:sz w:val="18"/>
                              </w:rPr>
                              <w:t>Yes</w:t>
                            </w:r>
                          </w:p>
                          <w:p w14:paraId="283F6B21" w14:textId="77777777" w:rsidR="00EF07EE" w:rsidRPr="003B746C" w:rsidRDefault="00EF07EE" w:rsidP="00EF07EE">
                            <w:pPr>
                              <w:spacing w:before="240"/>
                              <w:rPr>
                                <w:rFonts w:cs="Arial"/>
                                <w:b/>
                                <w:sz w:val="18"/>
                              </w:rPr>
                            </w:pPr>
                            <w:r w:rsidRPr="003B746C">
                              <w:rPr>
                                <w:rFonts w:cs="Arial"/>
                                <w:b/>
                                <w:sz w:val="18"/>
                              </w:rPr>
                              <w:t>______________</w:t>
                            </w:r>
                            <w:r w:rsidRPr="003B746C">
                              <w:rPr>
                                <w:rFonts w:cs="Arial"/>
                                <w:b/>
                                <w:sz w:val="18"/>
                              </w:rPr>
                              <w:tab/>
                              <w:t>_________________________</w:t>
                            </w:r>
                          </w:p>
                          <w:p w14:paraId="23FD86F0" w14:textId="77777777" w:rsidR="00EF07EE" w:rsidRPr="003B746C" w:rsidRDefault="00EF07EE" w:rsidP="00EF07EE">
                            <w:pPr>
                              <w:rPr>
                                <w:rFonts w:cs="Arial"/>
                                <w:sz w:val="18"/>
                              </w:rPr>
                            </w:pPr>
                            <w:r w:rsidRPr="003B746C">
                              <w:rPr>
                                <w:rFonts w:cs="Arial"/>
                                <w:sz w:val="18"/>
                              </w:rPr>
                              <w:t>DATE</w:t>
                            </w:r>
                            <w:r w:rsidRPr="003B746C">
                              <w:rPr>
                                <w:rFonts w:cs="Arial"/>
                                <w:sz w:val="18"/>
                              </w:rPr>
                              <w:tab/>
                            </w:r>
                            <w:r w:rsidRPr="003B746C">
                              <w:rPr>
                                <w:rFonts w:cs="Arial"/>
                                <w:sz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9B5F3"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148B09C1" w14:textId="1FC41E1D" w:rsidR="00EF07EE" w:rsidRPr="003B746C" w:rsidRDefault="001164B4" w:rsidP="001164B4">
                      <w:pPr>
                        <w:tabs>
                          <w:tab w:val="left" w:pos="900"/>
                        </w:tabs>
                        <w:suppressAutoHyphens w:val="0"/>
                        <w:spacing w:line="240" w:lineRule="auto"/>
                        <w:ind w:left="900" w:hanging="720"/>
                        <w:jc w:val="left"/>
                        <w:rPr>
                          <w:rFonts w:cs="Arial"/>
                          <w:sz w:val="18"/>
                        </w:rPr>
                      </w:pPr>
                      <w:r w:rsidRPr="003B746C">
                        <w:rPr>
                          <w:rFonts w:cs="Arial"/>
                          <w:sz w:val="18"/>
                        </w:rPr>
                        <w:t>(1)</w:t>
                      </w:r>
                      <w:r w:rsidRPr="003B746C">
                        <w:rPr>
                          <w:rFonts w:cs="Arial"/>
                          <w:sz w:val="18"/>
                        </w:rPr>
                        <w:tab/>
                      </w:r>
                      <w:r w:rsidR="00EF07EE" w:rsidRPr="003B746C">
                        <w:rPr>
                          <w:rFonts w:cs="Arial"/>
                          <w:sz w:val="18"/>
                        </w:rPr>
                        <w:t xml:space="preserve">REPORTABLE: </w:t>
                      </w:r>
                      <w:r w:rsidR="00D374EB">
                        <w:rPr>
                          <w:rFonts w:cs="Arial"/>
                          <w:sz w:val="18"/>
                        </w:rPr>
                        <w:t>No</w:t>
                      </w:r>
                    </w:p>
                    <w:p w14:paraId="3501EF14" w14:textId="4E07E409" w:rsidR="00EF07EE" w:rsidRPr="003B746C" w:rsidRDefault="001164B4" w:rsidP="001164B4">
                      <w:pPr>
                        <w:tabs>
                          <w:tab w:val="left" w:pos="900"/>
                        </w:tabs>
                        <w:suppressAutoHyphens w:val="0"/>
                        <w:spacing w:line="240" w:lineRule="auto"/>
                        <w:ind w:left="900" w:hanging="720"/>
                        <w:jc w:val="left"/>
                        <w:rPr>
                          <w:rFonts w:cs="Arial"/>
                          <w:sz w:val="18"/>
                        </w:rPr>
                      </w:pPr>
                      <w:r w:rsidRPr="003B746C">
                        <w:rPr>
                          <w:rFonts w:cs="Arial"/>
                          <w:sz w:val="18"/>
                        </w:rPr>
                        <w:t>(2)</w:t>
                      </w:r>
                      <w:r w:rsidRPr="003B746C">
                        <w:rPr>
                          <w:rFonts w:cs="Arial"/>
                          <w:sz w:val="18"/>
                        </w:rPr>
                        <w:tab/>
                      </w:r>
                      <w:r w:rsidR="00EF07EE" w:rsidRPr="003B746C">
                        <w:rPr>
                          <w:rFonts w:cs="Arial"/>
                          <w:sz w:val="18"/>
                        </w:rPr>
                        <w:t xml:space="preserve">OF INTEREST TO OTHER JUDGES: </w:t>
                      </w:r>
                      <w:r w:rsidR="00D374EB">
                        <w:rPr>
                          <w:rFonts w:cs="Arial"/>
                          <w:sz w:val="18"/>
                        </w:rPr>
                        <w:t>No</w:t>
                      </w:r>
                    </w:p>
                    <w:p w14:paraId="263DB46C" w14:textId="52277031" w:rsidR="00EF07EE" w:rsidRDefault="001164B4" w:rsidP="001164B4">
                      <w:pPr>
                        <w:tabs>
                          <w:tab w:val="left" w:pos="900"/>
                        </w:tabs>
                        <w:suppressAutoHyphens w:val="0"/>
                        <w:spacing w:line="240" w:lineRule="auto"/>
                        <w:ind w:left="900" w:hanging="720"/>
                        <w:jc w:val="left"/>
                        <w:rPr>
                          <w:rFonts w:cs="Arial"/>
                          <w:sz w:val="18"/>
                        </w:rPr>
                      </w:pPr>
                      <w:r>
                        <w:rPr>
                          <w:rFonts w:cs="Arial"/>
                          <w:sz w:val="18"/>
                        </w:rPr>
                        <w:t>(3)</w:t>
                      </w:r>
                      <w:r>
                        <w:rPr>
                          <w:rFonts w:cs="Arial"/>
                          <w:sz w:val="18"/>
                        </w:rPr>
                        <w:tab/>
                      </w:r>
                      <w:r w:rsidR="00EF07EE" w:rsidRPr="003B746C">
                        <w:rPr>
                          <w:rFonts w:cs="Arial"/>
                          <w:sz w:val="18"/>
                        </w:rPr>
                        <w:t xml:space="preserve">REVISED: </w:t>
                      </w:r>
                      <w:r w:rsidR="0048064D">
                        <w:rPr>
                          <w:rFonts w:cs="Arial"/>
                          <w:sz w:val="18"/>
                        </w:rPr>
                        <w:t>Yes</w:t>
                      </w:r>
                    </w:p>
                    <w:p w14:paraId="283F6B21" w14:textId="77777777" w:rsidR="00EF07EE" w:rsidRPr="003B746C" w:rsidRDefault="00EF07EE" w:rsidP="00EF07EE">
                      <w:pPr>
                        <w:spacing w:before="240"/>
                        <w:rPr>
                          <w:rFonts w:cs="Arial"/>
                          <w:b/>
                          <w:sz w:val="18"/>
                        </w:rPr>
                      </w:pPr>
                      <w:r w:rsidRPr="003B746C">
                        <w:rPr>
                          <w:rFonts w:cs="Arial"/>
                          <w:b/>
                          <w:sz w:val="18"/>
                        </w:rPr>
                        <w:t>______________</w:t>
                      </w:r>
                      <w:r w:rsidRPr="003B746C">
                        <w:rPr>
                          <w:rFonts w:cs="Arial"/>
                          <w:b/>
                          <w:sz w:val="18"/>
                        </w:rPr>
                        <w:tab/>
                        <w:t>_________________________</w:t>
                      </w:r>
                    </w:p>
                    <w:p w14:paraId="23FD86F0" w14:textId="77777777" w:rsidR="00EF07EE" w:rsidRPr="003B746C" w:rsidRDefault="00EF07EE" w:rsidP="00EF07EE">
                      <w:pPr>
                        <w:rPr>
                          <w:rFonts w:cs="Arial"/>
                          <w:sz w:val="18"/>
                        </w:rPr>
                      </w:pPr>
                      <w:r w:rsidRPr="003B746C">
                        <w:rPr>
                          <w:rFonts w:cs="Arial"/>
                          <w:sz w:val="18"/>
                        </w:rPr>
                        <w:t>DATE</w:t>
                      </w:r>
                      <w:r w:rsidRPr="003B746C">
                        <w:rPr>
                          <w:rFonts w:cs="Arial"/>
                          <w:sz w:val="18"/>
                        </w:rPr>
                        <w:tab/>
                      </w:r>
                      <w:r w:rsidRPr="003B746C">
                        <w:rPr>
                          <w:rFonts w:cs="Arial"/>
                          <w:sz w:val="18"/>
                        </w:rPr>
                        <w:tab/>
                        <w:t xml:space="preserve"> SIGNATURE</w:t>
                      </w:r>
                    </w:p>
                  </w:txbxContent>
                </v:textbox>
                <w10:wrap anchorx="margin"/>
              </v:shape>
            </w:pict>
          </mc:Fallback>
        </mc:AlternateContent>
      </w:r>
    </w:p>
    <w:p w14:paraId="4DA244EC" w14:textId="77777777" w:rsidR="00EF07EE" w:rsidRPr="000F44F5" w:rsidRDefault="00EF07EE" w:rsidP="00EF07EE">
      <w:pPr>
        <w:tabs>
          <w:tab w:val="left" w:pos="8998"/>
        </w:tabs>
        <w:spacing w:line="240" w:lineRule="auto"/>
        <w:rPr>
          <w:rFonts w:cs="Arial"/>
          <w:color w:val="000000" w:themeColor="text1"/>
          <w:szCs w:val="24"/>
          <w:lang w:val="en-ZA"/>
        </w:rPr>
      </w:pPr>
    </w:p>
    <w:p w14:paraId="653AF370" w14:textId="77777777" w:rsidR="00EF07EE" w:rsidRPr="000F44F5" w:rsidRDefault="00EF07EE" w:rsidP="00EF07EE">
      <w:pPr>
        <w:tabs>
          <w:tab w:val="left" w:pos="8998"/>
        </w:tabs>
        <w:spacing w:line="240" w:lineRule="auto"/>
        <w:rPr>
          <w:rFonts w:cs="Arial"/>
          <w:color w:val="000000" w:themeColor="text1"/>
          <w:szCs w:val="24"/>
          <w:lang w:val="en-ZA"/>
        </w:rPr>
      </w:pPr>
    </w:p>
    <w:p w14:paraId="219A0A7F" w14:textId="77777777" w:rsidR="00EF07EE" w:rsidRPr="000F44F5" w:rsidRDefault="00EF07EE" w:rsidP="00EF07EE">
      <w:pPr>
        <w:tabs>
          <w:tab w:val="left" w:pos="8998"/>
        </w:tabs>
        <w:spacing w:line="240" w:lineRule="auto"/>
        <w:rPr>
          <w:rFonts w:cs="Arial"/>
          <w:color w:val="000000" w:themeColor="text1"/>
          <w:szCs w:val="24"/>
          <w:lang w:val="en-ZA"/>
        </w:rPr>
      </w:pPr>
      <w:r w:rsidRPr="000F44F5">
        <w:rPr>
          <w:rFonts w:cs="Arial"/>
          <w:color w:val="000000" w:themeColor="text1"/>
          <w:szCs w:val="24"/>
          <w:lang w:val="en-ZA"/>
        </w:rPr>
        <w:t>In the matter between:</w:t>
      </w:r>
    </w:p>
    <w:p w14:paraId="2D9178D0" w14:textId="77777777" w:rsidR="00EF07EE" w:rsidRPr="000F44F5" w:rsidRDefault="00EF07EE" w:rsidP="00EF07EE">
      <w:pPr>
        <w:tabs>
          <w:tab w:val="right" w:pos="9029"/>
        </w:tabs>
        <w:spacing w:line="240" w:lineRule="auto"/>
        <w:rPr>
          <w:rFonts w:cs="Arial"/>
          <w:color w:val="000000" w:themeColor="text1"/>
          <w:szCs w:val="24"/>
          <w:lang w:val="en-ZA"/>
        </w:rPr>
      </w:pPr>
    </w:p>
    <w:p w14:paraId="40D492C3" w14:textId="77777777" w:rsidR="00EF07EE" w:rsidRPr="000F44F5" w:rsidRDefault="00EF07EE" w:rsidP="00EF07EE">
      <w:pPr>
        <w:tabs>
          <w:tab w:val="right" w:pos="9029"/>
        </w:tabs>
        <w:spacing w:line="240" w:lineRule="auto"/>
        <w:rPr>
          <w:rFonts w:cs="Arial"/>
          <w:color w:val="000000" w:themeColor="text1"/>
          <w:szCs w:val="24"/>
          <w:lang w:val="en-ZA"/>
        </w:rPr>
      </w:pPr>
    </w:p>
    <w:p w14:paraId="360F1C74" w14:textId="77777777" w:rsidR="00EF07EE" w:rsidRPr="000F44F5" w:rsidRDefault="00EF07EE" w:rsidP="00EF07EE">
      <w:pPr>
        <w:spacing w:line="360" w:lineRule="auto"/>
        <w:jc w:val="center"/>
        <w:rPr>
          <w:b/>
          <w:bCs/>
          <w:color w:val="000000" w:themeColor="text1"/>
          <w:lang w:eastAsia="x-none"/>
        </w:rPr>
      </w:pPr>
    </w:p>
    <w:p w14:paraId="7CC37144" w14:textId="77777777" w:rsidR="00EF07EE" w:rsidRPr="000F44F5" w:rsidRDefault="00EF07EE" w:rsidP="00EF07EE">
      <w:pPr>
        <w:spacing w:line="360" w:lineRule="auto"/>
        <w:jc w:val="center"/>
        <w:rPr>
          <w:b/>
          <w:bCs/>
          <w:color w:val="000000" w:themeColor="text1"/>
          <w:lang w:eastAsia="x-none"/>
        </w:rPr>
      </w:pPr>
    </w:p>
    <w:p w14:paraId="70DD49D1" w14:textId="77777777" w:rsidR="00EF07EE" w:rsidRPr="000F44F5" w:rsidRDefault="00EF07EE" w:rsidP="00EF07EE">
      <w:pPr>
        <w:pStyle w:val="Parties"/>
        <w:rPr>
          <w:color w:val="000000" w:themeColor="text1"/>
        </w:rPr>
      </w:pPr>
      <w:r w:rsidRPr="000F44F5">
        <w:rPr>
          <w:color w:val="000000" w:themeColor="text1"/>
        </w:rPr>
        <w:t>In the matter between:</w:t>
      </w:r>
    </w:p>
    <w:p w14:paraId="7465CA8A" w14:textId="77777777" w:rsidR="00EF07EE" w:rsidRPr="000F44F5" w:rsidRDefault="00EF07EE" w:rsidP="00EF07EE">
      <w:pPr>
        <w:pStyle w:val="Parties"/>
        <w:rPr>
          <w:color w:val="000000" w:themeColor="text1"/>
        </w:rPr>
      </w:pPr>
    </w:p>
    <w:p w14:paraId="0017F477" w14:textId="732EC3E2" w:rsidR="00EF07EE" w:rsidRPr="000F44F5" w:rsidRDefault="00DF646A" w:rsidP="00EF07EE">
      <w:pPr>
        <w:pStyle w:val="Parties"/>
        <w:rPr>
          <w:color w:val="000000" w:themeColor="text1"/>
        </w:rPr>
      </w:pPr>
      <w:r>
        <w:rPr>
          <w:b/>
          <w:color w:val="000000" w:themeColor="text1"/>
        </w:rPr>
        <w:t>MODISAOTSILE EDZARD TSIE</w:t>
      </w:r>
      <w:r w:rsidR="00EF07EE" w:rsidRPr="000F44F5">
        <w:rPr>
          <w:b/>
          <w:color w:val="000000" w:themeColor="text1"/>
        </w:rPr>
        <w:tab/>
      </w:r>
      <w:r w:rsidR="00EF07EE" w:rsidRPr="000F44F5">
        <w:rPr>
          <w:color w:val="000000" w:themeColor="text1"/>
        </w:rPr>
        <w:t xml:space="preserve">   Applicant</w:t>
      </w:r>
    </w:p>
    <w:p w14:paraId="320A3519" w14:textId="77777777" w:rsidR="00EF07EE" w:rsidRPr="000F44F5" w:rsidRDefault="00EF07EE" w:rsidP="00EF07EE">
      <w:pPr>
        <w:pStyle w:val="Parties"/>
        <w:rPr>
          <w:color w:val="000000" w:themeColor="text1"/>
        </w:rPr>
      </w:pPr>
      <w:r w:rsidRPr="000F44F5">
        <w:rPr>
          <w:color w:val="000000" w:themeColor="text1"/>
        </w:rPr>
        <w:t>(Registration No. 1967-01032-07)</w:t>
      </w:r>
    </w:p>
    <w:p w14:paraId="4CA3DEF1" w14:textId="77777777" w:rsidR="00EF07EE" w:rsidRPr="000F44F5" w:rsidRDefault="00EF07EE" w:rsidP="00EF07EE">
      <w:pPr>
        <w:pStyle w:val="Parties"/>
        <w:rPr>
          <w:color w:val="000000" w:themeColor="text1"/>
        </w:rPr>
      </w:pPr>
    </w:p>
    <w:p w14:paraId="1B7BBFBA" w14:textId="77777777" w:rsidR="00EF07EE" w:rsidRPr="000F44F5" w:rsidRDefault="00EF07EE" w:rsidP="00EF07EE">
      <w:pPr>
        <w:pStyle w:val="Parties"/>
        <w:rPr>
          <w:color w:val="000000" w:themeColor="text1"/>
        </w:rPr>
      </w:pPr>
      <w:r w:rsidRPr="000F44F5">
        <w:rPr>
          <w:color w:val="000000" w:themeColor="text1"/>
        </w:rPr>
        <w:t>and</w:t>
      </w:r>
    </w:p>
    <w:p w14:paraId="7239BFF7" w14:textId="77777777" w:rsidR="00EF07EE" w:rsidRPr="000F44F5" w:rsidRDefault="00EF07EE" w:rsidP="00EF07EE">
      <w:pPr>
        <w:pStyle w:val="Parties"/>
        <w:rPr>
          <w:color w:val="000000" w:themeColor="text1"/>
        </w:rPr>
      </w:pPr>
    </w:p>
    <w:p w14:paraId="2C865AA5" w14:textId="0289EDA9" w:rsidR="00EF07EE" w:rsidRPr="000F44F5" w:rsidRDefault="00370CA9" w:rsidP="00EF07EE">
      <w:pPr>
        <w:pStyle w:val="Parties"/>
        <w:rPr>
          <w:b/>
          <w:color w:val="000000" w:themeColor="text1"/>
        </w:rPr>
      </w:pPr>
      <w:r>
        <w:rPr>
          <w:b/>
          <w:color w:val="000000" w:themeColor="text1"/>
        </w:rPr>
        <w:t xml:space="preserve">ELINOR BRENNER </w:t>
      </w:r>
      <w:r w:rsidR="00EF07EE" w:rsidRPr="000F44F5">
        <w:rPr>
          <w:b/>
          <w:color w:val="000000" w:themeColor="text1"/>
        </w:rPr>
        <w:tab/>
        <w:t xml:space="preserve">                   </w:t>
      </w:r>
      <w:r w:rsidR="00EF07EE" w:rsidRPr="000F44F5">
        <w:rPr>
          <w:color w:val="000000" w:themeColor="text1"/>
        </w:rPr>
        <w:t>First Respondent</w:t>
      </w:r>
    </w:p>
    <w:p w14:paraId="395045C8" w14:textId="77777777" w:rsidR="00EF07EE" w:rsidRPr="000F44F5" w:rsidRDefault="00EF07EE" w:rsidP="00EF07EE">
      <w:pPr>
        <w:pStyle w:val="Parties"/>
        <w:rPr>
          <w:b/>
          <w:color w:val="000000" w:themeColor="text1"/>
        </w:rPr>
      </w:pPr>
    </w:p>
    <w:p w14:paraId="5791DB54" w14:textId="232DC5A9" w:rsidR="00EF07EE" w:rsidRDefault="00370CA9" w:rsidP="00EF07EE">
      <w:pPr>
        <w:pStyle w:val="Parties"/>
        <w:rPr>
          <w:color w:val="000000" w:themeColor="text1"/>
        </w:rPr>
      </w:pPr>
      <w:r>
        <w:rPr>
          <w:b/>
          <w:color w:val="000000" w:themeColor="text1"/>
        </w:rPr>
        <w:t xml:space="preserve">LEWIS GOLDEN </w:t>
      </w:r>
      <w:r w:rsidR="00EF07EE" w:rsidRPr="000F44F5">
        <w:rPr>
          <w:b/>
          <w:color w:val="000000" w:themeColor="text1"/>
        </w:rPr>
        <w:tab/>
        <w:t xml:space="preserve">                      </w:t>
      </w:r>
      <w:r w:rsidR="00EF07EE" w:rsidRPr="000F44F5">
        <w:rPr>
          <w:color w:val="000000" w:themeColor="text1"/>
        </w:rPr>
        <w:t>Second Respondent</w:t>
      </w:r>
    </w:p>
    <w:p w14:paraId="5E4A6447" w14:textId="77777777" w:rsidR="00894E0F" w:rsidRDefault="00894E0F" w:rsidP="00EF07EE">
      <w:pPr>
        <w:pStyle w:val="Parties"/>
        <w:rPr>
          <w:color w:val="000000" w:themeColor="text1"/>
        </w:rPr>
      </w:pPr>
    </w:p>
    <w:p w14:paraId="02A580EE" w14:textId="7631A568" w:rsidR="00894E0F" w:rsidRDefault="00894E0F" w:rsidP="00EF07EE">
      <w:pPr>
        <w:pStyle w:val="Parties"/>
        <w:rPr>
          <w:color w:val="000000" w:themeColor="text1"/>
        </w:rPr>
      </w:pPr>
      <w:r w:rsidRPr="00894E0F">
        <w:rPr>
          <w:b/>
          <w:bCs/>
          <w:color w:val="000000" w:themeColor="text1"/>
        </w:rPr>
        <w:t>MASTER OF THE HIGH COURT, PRETORIA</w:t>
      </w:r>
      <w:r>
        <w:rPr>
          <w:color w:val="000000" w:themeColor="text1"/>
        </w:rPr>
        <w:t xml:space="preserve">                                  Third Respondent </w:t>
      </w:r>
    </w:p>
    <w:p w14:paraId="041B56D2" w14:textId="77777777" w:rsidR="008D0EEE" w:rsidRDefault="008D0EEE" w:rsidP="00EF07EE">
      <w:pPr>
        <w:pStyle w:val="Parties"/>
        <w:rPr>
          <w:color w:val="000000" w:themeColor="text1"/>
        </w:rPr>
      </w:pPr>
    </w:p>
    <w:p w14:paraId="409EF48A" w14:textId="6573AE86" w:rsidR="008D0EEE" w:rsidRPr="000F44F5" w:rsidRDefault="008D0EEE" w:rsidP="00EF07EE">
      <w:pPr>
        <w:pStyle w:val="Parties"/>
        <w:rPr>
          <w:color w:val="000000" w:themeColor="text1"/>
        </w:rPr>
      </w:pPr>
      <w:r w:rsidRPr="008D0EEE">
        <w:rPr>
          <w:b/>
          <w:bCs/>
          <w:color w:val="000000" w:themeColor="text1"/>
        </w:rPr>
        <w:t>CREST CAR HIRE CC</w:t>
      </w:r>
      <w:r>
        <w:rPr>
          <w:color w:val="000000" w:themeColor="text1"/>
        </w:rPr>
        <w:t xml:space="preserve">                                                                     Fourth Respondent </w:t>
      </w:r>
    </w:p>
    <w:p w14:paraId="1197FEE9" w14:textId="77777777" w:rsidR="00EF07EE" w:rsidRPr="000F44F5" w:rsidRDefault="00EF07EE" w:rsidP="00EF07EE">
      <w:pPr>
        <w:pStyle w:val="Parties"/>
        <w:rPr>
          <w:color w:val="000000" w:themeColor="text1"/>
        </w:rPr>
      </w:pPr>
    </w:p>
    <w:p w14:paraId="0F1AD882" w14:textId="77777777" w:rsidR="00EF07EE" w:rsidRPr="000F44F5" w:rsidRDefault="00EF07EE" w:rsidP="00EF07EE">
      <w:pPr>
        <w:pStyle w:val="Parties"/>
        <w:rPr>
          <w:color w:val="000000" w:themeColor="text1"/>
          <w:szCs w:val="24"/>
        </w:rPr>
      </w:pPr>
    </w:p>
    <w:p w14:paraId="13F0BEFB" w14:textId="77777777" w:rsidR="00EF07EE" w:rsidRPr="000F44F5" w:rsidRDefault="00EF07EE" w:rsidP="00EF07EE">
      <w:pPr>
        <w:pStyle w:val="Tramlinescentred"/>
        <w:rPr>
          <w:color w:val="000000" w:themeColor="text1"/>
          <w:szCs w:val="24"/>
        </w:rPr>
      </w:pPr>
      <w:r w:rsidRPr="000F44F5">
        <w:rPr>
          <w:color w:val="000000" w:themeColor="text1"/>
          <w:szCs w:val="24"/>
        </w:rPr>
        <w:t xml:space="preserve">JUDGMENT </w:t>
      </w:r>
    </w:p>
    <w:p w14:paraId="15DB6F2A" w14:textId="77777777" w:rsidR="00EF07EE" w:rsidRPr="000F44F5" w:rsidRDefault="00EF07EE" w:rsidP="00EF07EE">
      <w:pPr>
        <w:spacing w:line="240" w:lineRule="auto"/>
        <w:jc w:val="left"/>
        <w:rPr>
          <w:rFonts w:cs="Arial"/>
          <w:b/>
          <w:bCs/>
          <w:color w:val="000000" w:themeColor="text1"/>
          <w:szCs w:val="24"/>
        </w:rPr>
      </w:pPr>
    </w:p>
    <w:p w14:paraId="1E4458C7" w14:textId="77777777" w:rsidR="00EF07EE" w:rsidRDefault="00EF07EE" w:rsidP="00EF07EE">
      <w:pPr>
        <w:spacing w:line="240" w:lineRule="auto"/>
        <w:jc w:val="left"/>
        <w:rPr>
          <w:rFonts w:cs="Arial"/>
          <w:b/>
          <w:bCs/>
          <w:color w:val="000000" w:themeColor="text1"/>
          <w:szCs w:val="24"/>
        </w:rPr>
      </w:pPr>
      <w:r w:rsidRPr="000F44F5">
        <w:rPr>
          <w:rFonts w:cs="Arial"/>
          <w:b/>
          <w:bCs/>
          <w:color w:val="000000" w:themeColor="text1"/>
          <w:szCs w:val="24"/>
        </w:rPr>
        <w:t xml:space="preserve">C BESTER AJ: </w:t>
      </w:r>
    </w:p>
    <w:p w14:paraId="3F0E9ED0" w14:textId="77777777" w:rsidR="00EF07EE" w:rsidRDefault="00EF07EE" w:rsidP="00EF07EE">
      <w:pPr>
        <w:spacing w:line="240" w:lineRule="auto"/>
        <w:jc w:val="left"/>
        <w:rPr>
          <w:rFonts w:cs="Arial"/>
          <w:b/>
          <w:bCs/>
          <w:color w:val="000000" w:themeColor="text1"/>
          <w:szCs w:val="24"/>
        </w:rPr>
      </w:pPr>
    </w:p>
    <w:p w14:paraId="2EEF6735" w14:textId="77777777" w:rsidR="00EF07EE" w:rsidRPr="00370933" w:rsidRDefault="00EF07EE" w:rsidP="00EF07EE">
      <w:pPr>
        <w:spacing w:line="240" w:lineRule="auto"/>
        <w:jc w:val="left"/>
        <w:rPr>
          <w:rFonts w:cs="Arial"/>
          <w:b/>
          <w:bCs/>
          <w:i/>
          <w:iCs/>
          <w:color w:val="000000" w:themeColor="text1"/>
          <w:szCs w:val="24"/>
        </w:rPr>
      </w:pPr>
      <w:r w:rsidRPr="00370933">
        <w:rPr>
          <w:rFonts w:cs="Arial"/>
          <w:b/>
          <w:bCs/>
          <w:i/>
          <w:iCs/>
          <w:color w:val="000000" w:themeColor="text1"/>
          <w:szCs w:val="24"/>
        </w:rPr>
        <w:lastRenderedPageBreak/>
        <w:t xml:space="preserve">Summary: </w:t>
      </w:r>
    </w:p>
    <w:p w14:paraId="31572755" w14:textId="77777777" w:rsidR="00EF07EE" w:rsidRDefault="00EF07EE" w:rsidP="00EF07EE">
      <w:pPr>
        <w:spacing w:line="240" w:lineRule="auto"/>
        <w:jc w:val="left"/>
        <w:rPr>
          <w:rFonts w:cs="Arial"/>
          <w:color w:val="000000" w:themeColor="text1"/>
          <w:szCs w:val="24"/>
        </w:rPr>
      </w:pPr>
    </w:p>
    <w:p w14:paraId="7E4D36D0" w14:textId="25E6C7AF" w:rsidR="004A2BE1" w:rsidRPr="004A2BE1" w:rsidRDefault="005923CD" w:rsidP="008D0EEE">
      <w:pPr>
        <w:spacing w:line="360" w:lineRule="auto"/>
        <w:rPr>
          <w:i/>
          <w:iCs/>
        </w:rPr>
      </w:pPr>
      <w:r w:rsidRPr="004A2BE1">
        <w:rPr>
          <w:rFonts w:cs="Arial"/>
          <w:i/>
          <w:iCs/>
          <w:color w:val="000000" w:themeColor="text1"/>
          <w:szCs w:val="24"/>
        </w:rPr>
        <w:t xml:space="preserve">Extinctive Prescription – a </w:t>
      </w:r>
      <w:r w:rsidRPr="004A2BE1">
        <w:rPr>
          <w:i/>
          <w:iCs/>
        </w:rPr>
        <w:t>right to claim performance under a contract becomes due according to the terms or, if the contract is silent, within a reasonable time, which in appropriate circumstances, can be immediately</w:t>
      </w:r>
      <w:r w:rsidR="004A2BE1" w:rsidRPr="004A2BE1">
        <w:rPr>
          <w:i/>
          <w:iCs/>
        </w:rPr>
        <w:t>.  Wh</w:t>
      </w:r>
      <w:r w:rsidR="004A2BE1" w:rsidRPr="004A2BE1">
        <w:rPr>
          <w:i/>
          <w:iCs/>
          <w:color w:val="000000" w:themeColor="text1"/>
          <w:szCs w:val="24"/>
        </w:rPr>
        <w:t>ere a debtor refuses to perform after the debt becomes due according to the terms of the contract, the failure to perform does not constitute a new debt unless the creditor cancels the contract, in which event, a new debt is created comprising the right to claim restitution and/or damages which becomes due when the right of cancelation is exercised</w:t>
      </w:r>
      <w:r w:rsidR="004A2BE1">
        <w:rPr>
          <w:i/>
          <w:iCs/>
          <w:color w:val="000000" w:themeColor="text1"/>
          <w:szCs w:val="24"/>
        </w:rPr>
        <w:t>.</w:t>
      </w:r>
      <w:r w:rsidR="004A2BE1" w:rsidRPr="004A2BE1">
        <w:rPr>
          <w:i/>
          <w:iCs/>
          <w:color w:val="000000" w:themeColor="text1"/>
          <w:szCs w:val="24"/>
        </w:rPr>
        <w:t xml:space="preserve"> If the creditor does not exercise the election and the contractual relationship remains intact</w:t>
      </w:r>
      <w:r w:rsidR="00CC17EA">
        <w:rPr>
          <w:i/>
          <w:iCs/>
          <w:color w:val="000000" w:themeColor="text1"/>
          <w:szCs w:val="24"/>
        </w:rPr>
        <w:t>,</w:t>
      </w:r>
      <w:r w:rsidR="004A2BE1" w:rsidRPr="004A2BE1">
        <w:rPr>
          <w:i/>
          <w:iCs/>
          <w:color w:val="000000" w:themeColor="text1"/>
          <w:szCs w:val="24"/>
        </w:rPr>
        <w:t xml:space="preserve"> the </w:t>
      </w:r>
      <w:r w:rsidR="004A2BE1" w:rsidRPr="004A2BE1">
        <w:rPr>
          <w:i/>
          <w:iCs/>
        </w:rPr>
        <w:t>breach of contract does not</w:t>
      </w:r>
      <w:r w:rsidR="002F7BD2">
        <w:rPr>
          <w:i/>
          <w:iCs/>
        </w:rPr>
        <w:t xml:space="preserve"> </w:t>
      </w:r>
      <w:r w:rsidR="004A2BE1" w:rsidRPr="004A2BE1">
        <w:rPr>
          <w:i/>
          <w:iCs/>
        </w:rPr>
        <w:t xml:space="preserve">create a new cause of action for specific performance with a claim for specific performance remaining one </w:t>
      </w:r>
      <w:r w:rsidR="002F7BD2">
        <w:rPr>
          <w:i/>
          <w:iCs/>
        </w:rPr>
        <w:t xml:space="preserve">based on </w:t>
      </w:r>
      <w:r w:rsidR="004A2BE1" w:rsidRPr="004A2BE1">
        <w:rPr>
          <w:i/>
          <w:iCs/>
        </w:rPr>
        <w:t>the contents of the contract</w:t>
      </w:r>
      <w:r w:rsidR="002F7BD2">
        <w:rPr>
          <w:i/>
          <w:iCs/>
        </w:rPr>
        <w:t xml:space="preserve">.  Reliance on section 12(2) of the Prescription Act 68 of 1969 must be specifically pleaded. </w:t>
      </w:r>
    </w:p>
    <w:p w14:paraId="4B115C34" w14:textId="5F9C1FF8" w:rsidR="00EF07EE" w:rsidRPr="008D0EEE" w:rsidRDefault="00EF07EE" w:rsidP="008D0EEE">
      <w:pPr>
        <w:spacing w:line="360" w:lineRule="auto"/>
        <w:rPr>
          <w:bCs/>
          <w:i/>
          <w:iCs/>
          <w:color w:val="000000" w:themeColor="text1"/>
          <w:szCs w:val="24"/>
        </w:rPr>
      </w:pPr>
    </w:p>
    <w:p w14:paraId="740B0377" w14:textId="77777777" w:rsidR="00EF07EE" w:rsidRPr="000F44F5" w:rsidRDefault="00EF07EE" w:rsidP="00EF07EE">
      <w:pPr>
        <w:pStyle w:val="JudgmentHeading"/>
        <w:tabs>
          <w:tab w:val="left" w:pos="3744"/>
        </w:tabs>
        <w:rPr>
          <w:b/>
          <w:bCs/>
          <w:i w:val="0"/>
          <w:iCs/>
          <w:color w:val="000000" w:themeColor="text1"/>
          <w:szCs w:val="24"/>
        </w:rPr>
      </w:pPr>
      <w:bookmarkStart w:id="0" w:name="_Hlk155640771"/>
      <w:r w:rsidRPr="000F44F5">
        <w:rPr>
          <w:b/>
          <w:bCs/>
          <w:i w:val="0"/>
          <w:iCs/>
          <w:color w:val="000000" w:themeColor="text1"/>
          <w:szCs w:val="24"/>
        </w:rPr>
        <w:t>Introduction</w:t>
      </w:r>
    </w:p>
    <w:p w14:paraId="7C6C33DA" w14:textId="617149C2" w:rsidR="00AB01DB" w:rsidRPr="00AB01DB" w:rsidRDefault="001164B4" w:rsidP="001164B4">
      <w:pPr>
        <w:pStyle w:val="JudgmentNumbered"/>
        <w:numPr>
          <w:ilvl w:val="0"/>
          <w:numId w:val="0"/>
        </w:numPr>
        <w:ind w:left="567" w:hanging="567"/>
        <w:rPr>
          <w:b/>
          <w:color w:val="000000" w:themeColor="text1"/>
          <w:szCs w:val="24"/>
        </w:rPr>
      </w:pPr>
      <w:r w:rsidRPr="00AB01DB">
        <w:rPr>
          <w:bCs/>
          <w:color w:val="000000" w:themeColor="text1"/>
          <w:szCs w:val="24"/>
        </w:rPr>
        <w:t>[1]</w:t>
      </w:r>
      <w:r w:rsidRPr="00AB01DB">
        <w:rPr>
          <w:bCs/>
          <w:color w:val="000000" w:themeColor="text1"/>
          <w:szCs w:val="24"/>
        </w:rPr>
        <w:tab/>
      </w:r>
      <w:r w:rsidR="00EF07EE" w:rsidRPr="000F44F5">
        <w:rPr>
          <w:color w:val="000000" w:themeColor="text1"/>
          <w:szCs w:val="24"/>
        </w:rPr>
        <w:t xml:space="preserve">The </w:t>
      </w:r>
      <w:r w:rsidR="008D0EEE">
        <w:rPr>
          <w:color w:val="000000" w:themeColor="text1"/>
          <w:szCs w:val="24"/>
        </w:rPr>
        <w:t xml:space="preserve">applicant </w:t>
      </w:r>
      <w:r w:rsidR="00C61325">
        <w:rPr>
          <w:color w:val="000000" w:themeColor="text1"/>
          <w:szCs w:val="24"/>
        </w:rPr>
        <w:t xml:space="preserve">seeks </w:t>
      </w:r>
      <w:r w:rsidR="00317059" w:rsidRPr="00C61325">
        <w:rPr>
          <w:color w:val="000000" w:themeColor="text1"/>
          <w:szCs w:val="24"/>
        </w:rPr>
        <w:t xml:space="preserve">an order authorising him to </w:t>
      </w:r>
      <w:r w:rsidR="00605825" w:rsidRPr="00C61325">
        <w:rPr>
          <w:color w:val="000000" w:themeColor="text1"/>
          <w:szCs w:val="24"/>
        </w:rPr>
        <w:t xml:space="preserve">amend </w:t>
      </w:r>
      <w:r w:rsidR="00686789" w:rsidRPr="00C61325">
        <w:rPr>
          <w:color w:val="000000" w:themeColor="text1"/>
          <w:szCs w:val="24"/>
        </w:rPr>
        <w:t>“</w:t>
      </w:r>
      <w:r w:rsidR="00686789" w:rsidRPr="00C61325">
        <w:rPr>
          <w:i/>
          <w:iCs/>
          <w:color w:val="000000" w:themeColor="text1"/>
          <w:szCs w:val="24"/>
        </w:rPr>
        <w:t>the directorship of Crest Car Hire CC</w:t>
      </w:r>
      <w:r w:rsidR="00686789" w:rsidRPr="00C61325">
        <w:rPr>
          <w:color w:val="000000" w:themeColor="text1"/>
          <w:szCs w:val="24"/>
        </w:rPr>
        <w:t xml:space="preserve">” </w:t>
      </w:r>
      <w:r w:rsidR="00977852" w:rsidRPr="00C61325">
        <w:rPr>
          <w:color w:val="000000" w:themeColor="text1"/>
          <w:szCs w:val="24"/>
        </w:rPr>
        <w:t xml:space="preserve">to </w:t>
      </w:r>
      <w:r w:rsidR="00686789" w:rsidRPr="00C61325">
        <w:rPr>
          <w:color w:val="000000" w:themeColor="text1"/>
          <w:szCs w:val="24"/>
        </w:rPr>
        <w:t>reflect</w:t>
      </w:r>
      <w:r w:rsidR="00977852" w:rsidRPr="00C61325">
        <w:rPr>
          <w:color w:val="000000" w:themeColor="text1"/>
          <w:szCs w:val="24"/>
        </w:rPr>
        <w:t xml:space="preserve"> him a</w:t>
      </w:r>
      <w:r w:rsidR="00686789" w:rsidRPr="00C61325">
        <w:rPr>
          <w:color w:val="000000" w:themeColor="text1"/>
          <w:szCs w:val="24"/>
        </w:rPr>
        <w:t xml:space="preserve">s a </w:t>
      </w:r>
      <w:r w:rsidR="005070EC">
        <w:rPr>
          <w:color w:val="000000" w:themeColor="text1"/>
          <w:szCs w:val="24"/>
        </w:rPr>
        <w:t>“</w:t>
      </w:r>
      <w:r w:rsidR="00686789" w:rsidRPr="008128C2">
        <w:rPr>
          <w:i/>
          <w:iCs/>
          <w:color w:val="000000" w:themeColor="text1"/>
          <w:szCs w:val="24"/>
        </w:rPr>
        <w:t>director</w:t>
      </w:r>
      <w:r w:rsidR="005070EC">
        <w:rPr>
          <w:color w:val="000000" w:themeColor="text1"/>
          <w:szCs w:val="24"/>
        </w:rPr>
        <w:t>”</w:t>
      </w:r>
      <w:r w:rsidR="00686789" w:rsidRPr="00C61325">
        <w:rPr>
          <w:color w:val="000000" w:themeColor="text1"/>
          <w:szCs w:val="24"/>
        </w:rPr>
        <w:t xml:space="preserve"> of the c</w:t>
      </w:r>
      <w:r w:rsidR="007514BE" w:rsidRPr="00C61325">
        <w:rPr>
          <w:color w:val="000000" w:themeColor="text1"/>
          <w:szCs w:val="24"/>
        </w:rPr>
        <w:t>lose corporation</w:t>
      </w:r>
      <w:r w:rsidR="00686789" w:rsidRPr="00C61325">
        <w:rPr>
          <w:color w:val="000000" w:themeColor="text1"/>
          <w:szCs w:val="24"/>
        </w:rPr>
        <w:t xml:space="preserve"> </w:t>
      </w:r>
      <w:r w:rsidR="00980837" w:rsidRPr="00C61325">
        <w:rPr>
          <w:color w:val="000000" w:themeColor="text1"/>
          <w:szCs w:val="24"/>
        </w:rPr>
        <w:t xml:space="preserve">together with </w:t>
      </w:r>
      <w:r w:rsidR="007514BE" w:rsidRPr="00C61325">
        <w:rPr>
          <w:color w:val="000000" w:themeColor="text1"/>
          <w:szCs w:val="24"/>
        </w:rPr>
        <w:t xml:space="preserve">an </w:t>
      </w:r>
      <w:r w:rsidR="000C1E61" w:rsidRPr="00C61325">
        <w:rPr>
          <w:color w:val="000000" w:themeColor="text1"/>
          <w:szCs w:val="24"/>
        </w:rPr>
        <w:t xml:space="preserve">order directing the first respondent </w:t>
      </w:r>
      <w:r w:rsidR="005A75D2" w:rsidRPr="00C61325">
        <w:rPr>
          <w:color w:val="000000" w:themeColor="text1"/>
          <w:szCs w:val="24"/>
        </w:rPr>
        <w:t>“</w:t>
      </w:r>
      <w:r w:rsidR="005A75D2" w:rsidRPr="00C61325">
        <w:rPr>
          <w:i/>
          <w:iCs/>
          <w:color w:val="000000" w:themeColor="text1"/>
          <w:szCs w:val="24"/>
        </w:rPr>
        <w:t>to remove her name from the directorship of Crest Car Hire CC</w:t>
      </w:r>
      <w:r w:rsidR="005A75D2" w:rsidRPr="00C61325">
        <w:rPr>
          <w:color w:val="000000" w:themeColor="text1"/>
          <w:szCs w:val="24"/>
        </w:rPr>
        <w:t>”</w:t>
      </w:r>
      <w:r w:rsidR="007514BE" w:rsidRPr="00C61325">
        <w:rPr>
          <w:color w:val="000000" w:themeColor="text1"/>
          <w:szCs w:val="24"/>
        </w:rPr>
        <w:t>.</w:t>
      </w:r>
      <w:r w:rsidR="008802A3" w:rsidRPr="008802A3">
        <w:rPr>
          <w:color w:val="000000" w:themeColor="text1"/>
          <w:szCs w:val="24"/>
          <w:vertAlign w:val="superscript"/>
        </w:rPr>
        <w:t xml:space="preserve"> </w:t>
      </w:r>
      <w:r w:rsidR="008802A3" w:rsidRPr="000F44F5">
        <w:rPr>
          <w:color w:val="000000" w:themeColor="text1"/>
          <w:szCs w:val="24"/>
          <w:vertAlign w:val="superscript"/>
        </w:rPr>
        <w:footnoteReference w:id="1"/>
      </w:r>
      <w:r w:rsidR="007514BE" w:rsidRPr="00C61325">
        <w:rPr>
          <w:color w:val="000000" w:themeColor="text1"/>
          <w:szCs w:val="24"/>
        </w:rPr>
        <w:t xml:space="preserve">   </w:t>
      </w:r>
    </w:p>
    <w:p w14:paraId="0A8E1A12" w14:textId="0AAE72A8" w:rsidR="004D3F9C" w:rsidRPr="00C61325" w:rsidRDefault="001164B4" w:rsidP="001164B4">
      <w:pPr>
        <w:pStyle w:val="JudgmentNumbered"/>
        <w:numPr>
          <w:ilvl w:val="0"/>
          <w:numId w:val="0"/>
        </w:numPr>
        <w:ind w:left="567" w:hanging="567"/>
        <w:rPr>
          <w:b/>
          <w:color w:val="000000" w:themeColor="text1"/>
          <w:szCs w:val="24"/>
        </w:rPr>
      </w:pPr>
      <w:r w:rsidRPr="00C61325">
        <w:rPr>
          <w:bCs/>
          <w:color w:val="000000" w:themeColor="text1"/>
          <w:szCs w:val="24"/>
        </w:rPr>
        <w:t>[2]</w:t>
      </w:r>
      <w:r w:rsidRPr="00C61325">
        <w:rPr>
          <w:bCs/>
          <w:color w:val="000000" w:themeColor="text1"/>
          <w:szCs w:val="24"/>
        </w:rPr>
        <w:tab/>
      </w:r>
      <w:r w:rsidR="00DA6D8D">
        <w:rPr>
          <w:color w:val="000000" w:themeColor="text1"/>
          <w:szCs w:val="24"/>
        </w:rPr>
        <w:t xml:space="preserve">Although not pleaded with a modicum of clarity, </w:t>
      </w:r>
      <w:r w:rsidR="00DE1273">
        <w:rPr>
          <w:color w:val="000000" w:themeColor="text1"/>
          <w:szCs w:val="24"/>
        </w:rPr>
        <w:t xml:space="preserve">I </w:t>
      </w:r>
      <w:r w:rsidR="000A36AE">
        <w:rPr>
          <w:color w:val="000000" w:themeColor="text1"/>
          <w:szCs w:val="24"/>
        </w:rPr>
        <w:t xml:space="preserve">will </w:t>
      </w:r>
      <w:r w:rsidR="00DE1273">
        <w:rPr>
          <w:color w:val="000000" w:themeColor="text1"/>
          <w:szCs w:val="24"/>
        </w:rPr>
        <w:t xml:space="preserve">assume in favour of the applicant that this relief </w:t>
      </w:r>
      <w:r w:rsidR="001A4183">
        <w:rPr>
          <w:color w:val="000000" w:themeColor="text1"/>
          <w:szCs w:val="24"/>
        </w:rPr>
        <w:t xml:space="preserve">was intended to </w:t>
      </w:r>
      <w:r w:rsidR="00DE1273">
        <w:rPr>
          <w:color w:val="000000" w:themeColor="text1"/>
          <w:szCs w:val="24"/>
        </w:rPr>
        <w:t>refer to the members interest in Crest Car Hire</w:t>
      </w:r>
      <w:r w:rsidR="00D30A98">
        <w:rPr>
          <w:color w:val="000000" w:themeColor="text1"/>
          <w:szCs w:val="24"/>
        </w:rPr>
        <w:t xml:space="preserve">. </w:t>
      </w:r>
    </w:p>
    <w:bookmarkEnd w:id="0"/>
    <w:p w14:paraId="6590DE7F" w14:textId="5BCAB5D4" w:rsidR="00EF07EE" w:rsidRPr="000C2EFE" w:rsidRDefault="001164B4" w:rsidP="001164B4">
      <w:pPr>
        <w:pStyle w:val="JudgmentNumbered"/>
        <w:numPr>
          <w:ilvl w:val="0"/>
          <w:numId w:val="0"/>
        </w:numPr>
        <w:ind w:left="567" w:hanging="567"/>
        <w:rPr>
          <w:b/>
          <w:color w:val="000000" w:themeColor="text1"/>
          <w:szCs w:val="24"/>
        </w:rPr>
      </w:pPr>
      <w:r w:rsidRPr="000C2EFE">
        <w:rPr>
          <w:bCs/>
          <w:color w:val="000000" w:themeColor="text1"/>
          <w:szCs w:val="24"/>
        </w:rPr>
        <w:t>[3]</w:t>
      </w:r>
      <w:r w:rsidRPr="000C2EFE">
        <w:rPr>
          <w:bCs/>
          <w:color w:val="000000" w:themeColor="text1"/>
          <w:szCs w:val="24"/>
        </w:rPr>
        <w:tab/>
      </w:r>
      <w:r w:rsidR="007E0BEF">
        <w:rPr>
          <w:color w:val="000000" w:themeColor="text1"/>
          <w:szCs w:val="24"/>
        </w:rPr>
        <w:t xml:space="preserve">He </w:t>
      </w:r>
      <w:r w:rsidR="004E7805">
        <w:rPr>
          <w:color w:val="000000" w:themeColor="text1"/>
          <w:szCs w:val="24"/>
        </w:rPr>
        <w:t xml:space="preserve">further claims </w:t>
      </w:r>
      <w:r w:rsidR="0067747C">
        <w:rPr>
          <w:color w:val="000000" w:themeColor="text1"/>
          <w:szCs w:val="24"/>
        </w:rPr>
        <w:t xml:space="preserve">an </w:t>
      </w:r>
      <w:r w:rsidR="007E0BEF">
        <w:rPr>
          <w:color w:val="000000" w:themeColor="text1"/>
          <w:szCs w:val="24"/>
        </w:rPr>
        <w:t xml:space="preserve">order </w:t>
      </w:r>
      <w:r w:rsidR="006153D1">
        <w:rPr>
          <w:color w:val="000000" w:themeColor="text1"/>
          <w:szCs w:val="24"/>
        </w:rPr>
        <w:t xml:space="preserve">directing the third respondent not to accept the first and final </w:t>
      </w:r>
      <w:r w:rsidR="008072A8">
        <w:rPr>
          <w:color w:val="000000" w:themeColor="text1"/>
          <w:szCs w:val="24"/>
        </w:rPr>
        <w:t xml:space="preserve">liquidation and </w:t>
      </w:r>
      <w:r w:rsidR="006153D1">
        <w:rPr>
          <w:color w:val="000000" w:themeColor="text1"/>
          <w:szCs w:val="24"/>
        </w:rPr>
        <w:t xml:space="preserve">distribution account </w:t>
      </w:r>
      <w:r w:rsidR="00820695">
        <w:rPr>
          <w:color w:val="000000" w:themeColor="text1"/>
          <w:szCs w:val="24"/>
        </w:rPr>
        <w:t xml:space="preserve">prepared and submitted by the first and second respondents </w:t>
      </w:r>
      <w:r w:rsidR="005A1889">
        <w:rPr>
          <w:color w:val="000000" w:themeColor="text1"/>
          <w:szCs w:val="24"/>
        </w:rPr>
        <w:t xml:space="preserve">in their capacities as the duly appointed executors of the late </w:t>
      </w:r>
      <w:r w:rsidR="00A33F50">
        <w:rPr>
          <w:color w:val="000000" w:themeColor="text1"/>
          <w:szCs w:val="24"/>
        </w:rPr>
        <w:t xml:space="preserve">Ernst Leon Brenner who </w:t>
      </w:r>
      <w:r w:rsidR="00D12D1E">
        <w:rPr>
          <w:color w:val="000000" w:themeColor="text1"/>
          <w:szCs w:val="24"/>
        </w:rPr>
        <w:t xml:space="preserve">previously </w:t>
      </w:r>
      <w:r w:rsidR="00A33F50">
        <w:rPr>
          <w:color w:val="000000" w:themeColor="text1"/>
          <w:szCs w:val="24"/>
        </w:rPr>
        <w:t xml:space="preserve">held the members interest in </w:t>
      </w:r>
      <w:r w:rsidR="00827DCD">
        <w:rPr>
          <w:color w:val="000000" w:themeColor="text1"/>
          <w:szCs w:val="24"/>
        </w:rPr>
        <w:t xml:space="preserve">a </w:t>
      </w:r>
      <w:r w:rsidR="00A33F50">
        <w:rPr>
          <w:color w:val="000000" w:themeColor="text1"/>
          <w:szCs w:val="24"/>
        </w:rPr>
        <w:t>Crest Car Hire</w:t>
      </w:r>
      <w:r w:rsidR="00455883">
        <w:rPr>
          <w:color w:val="000000" w:themeColor="text1"/>
          <w:szCs w:val="24"/>
        </w:rPr>
        <w:t>.</w:t>
      </w:r>
      <w:r w:rsidR="006D7A9C" w:rsidRPr="000F44F5">
        <w:rPr>
          <w:color w:val="000000" w:themeColor="text1"/>
          <w:szCs w:val="24"/>
          <w:vertAlign w:val="superscript"/>
        </w:rPr>
        <w:footnoteReference w:id="2"/>
      </w:r>
      <w:r w:rsidR="006D7A9C" w:rsidRPr="00C61325">
        <w:rPr>
          <w:color w:val="000000" w:themeColor="text1"/>
          <w:szCs w:val="24"/>
        </w:rPr>
        <w:t xml:space="preserve">  </w:t>
      </w:r>
      <w:r w:rsidR="00455883" w:rsidRPr="00AB01DB">
        <w:rPr>
          <w:color w:val="000000" w:themeColor="text1"/>
          <w:szCs w:val="24"/>
        </w:rPr>
        <w:t xml:space="preserve">The applicant </w:t>
      </w:r>
      <w:r w:rsidR="004D2809" w:rsidRPr="00AB01DB">
        <w:rPr>
          <w:color w:val="000000" w:themeColor="text1"/>
          <w:szCs w:val="24"/>
        </w:rPr>
        <w:t xml:space="preserve">also </w:t>
      </w:r>
      <w:r w:rsidR="00455883" w:rsidRPr="00AB01DB">
        <w:rPr>
          <w:color w:val="000000" w:themeColor="text1"/>
          <w:szCs w:val="24"/>
        </w:rPr>
        <w:t xml:space="preserve">seeks an </w:t>
      </w:r>
      <w:r w:rsidR="00E7368B" w:rsidRPr="00AB01DB">
        <w:rPr>
          <w:color w:val="000000" w:themeColor="text1"/>
          <w:szCs w:val="24"/>
        </w:rPr>
        <w:t xml:space="preserve">order </w:t>
      </w:r>
      <w:r w:rsidR="001F684F" w:rsidRPr="00AB01DB">
        <w:rPr>
          <w:color w:val="000000" w:themeColor="text1"/>
          <w:szCs w:val="24"/>
        </w:rPr>
        <w:t>declaring that “</w:t>
      </w:r>
      <w:r w:rsidR="001F684F" w:rsidRPr="00AB01DB">
        <w:rPr>
          <w:i/>
          <w:iCs/>
          <w:color w:val="000000" w:themeColor="text1"/>
          <w:szCs w:val="24"/>
        </w:rPr>
        <w:t xml:space="preserve">the agreement entered into between the parties is a valid agreement </w:t>
      </w:r>
      <w:r w:rsidR="001958DC" w:rsidRPr="00AB01DB">
        <w:rPr>
          <w:i/>
          <w:iCs/>
          <w:color w:val="000000" w:themeColor="text1"/>
          <w:szCs w:val="24"/>
        </w:rPr>
        <w:t>in terms whereof the close corporation was purchase</w:t>
      </w:r>
      <w:r w:rsidR="000B26EE" w:rsidRPr="00AB01DB">
        <w:rPr>
          <w:i/>
          <w:iCs/>
          <w:color w:val="000000" w:themeColor="text1"/>
          <w:szCs w:val="24"/>
        </w:rPr>
        <w:t>d</w:t>
      </w:r>
      <w:r w:rsidR="001958DC" w:rsidRPr="00AB01DB">
        <w:rPr>
          <w:i/>
          <w:iCs/>
          <w:color w:val="000000" w:themeColor="text1"/>
          <w:szCs w:val="24"/>
        </w:rPr>
        <w:t xml:space="preserve"> by the Applicant</w:t>
      </w:r>
      <w:r w:rsidR="001958DC" w:rsidRPr="00AB01DB">
        <w:rPr>
          <w:color w:val="000000" w:themeColor="text1"/>
          <w:szCs w:val="24"/>
        </w:rPr>
        <w:t>”</w:t>
      </w:r>
      <w:r w:rsidR="004204B9" w:rsidRPr="00AB01DB">
        <w:rPr>
          <w:color w:val="000000" w:themeColor="text1"/>
          <w:szCs w:val="24"/>
        </w:rPr>
        <w:t>.</w:t>
      </w:r>
      <w:r w:rsidR="004E7805" w:rsidRPr="000F44F5">
        <w:rPr>
          <w:color w:val="000000" w:themeColor="text1"/>
          <w:szCs w:val="24"/>
          <w:vertAlign w:val="superscript"/>
        </w:rPr>
        <w:footnoteReference w:id="3"/>
      </w:r>
      <w:r w:rsidR="00AB01DB" w:rsidRPr="00AB01DB">
        <w:rPr>
          <w:b/>
          <w:color w:val="000000" w:themeColor="text1"/>
          <w:szCs w:val="24"/>
        </w:rPr>
        <w:t xml:space="preserve"> </w:t>
      </w:r>
      <w:r w:rsidR="00694ECC" w:rsidRPr="00664AC0">
        <w:rPr>
          <w:bCs/>
          <w:color w:val="000000" w:themeColor="text1"/>
          <w:szCs w:val="24"/>
        </w:rPr>
        <w:t>The applicant in the final</w:t>
      </w:r>
      <w:r w:rsidR="00694ECC" w:rsidRPr="00664AC0">
        <w:rPr>
          <w:color w:val="000000" w:themeColor="text1"/>
          <w:szCs w:val="24"/>
        </w:rPr>
        <w:t xml:space="preserve"> instance, </w:t>
      </w:r>
      <w:r w:rsidR="00694ECC" w:rsidRPr="00664AC0">
        <w:rPr>
          <w:color w:val="000000" w:themeColor="text1"/>
          <w:szCs w:val="24"/>
        </w:rPr>
        <w:lastRenderedPageBreak/>
        <w:t>seeks an order declaring that the sale of business agreement included as its subject matter the close corporation that is Crest Car Hire.</w:t>
      </w:r>
      <w:r w:rsidR="00694ECC" w:rsidRPr="00664AC0">
        <w:rPr>
          <w:color w:val="000000" w:themeColor="text1"/>
          <w:szCs w:val="24"/>
          <w:vertAlign w:val="superscript"/>
        </w:rPr>
        <w:t xml:space="preserve"> </w:t>
      </w:r>
      <w:r w:rsidR="00694ECC" w:rsidRPr="000F44F5">
        <w:rPr>
          <w:color w:val="000000" w:themeColor="text1"/>
          <w:szCs w:val="24"/>
          <w:vertAlign w:val="superscript"/>
        </w:rPr>
        <w:footnoteReference w:id="4"/>
      </w:r>
      <w:r w:rsidR="00694ECC" w:rsidRPr="00664AC0">
        <w:rPr>
          <w:b/>
          <w:color w:val="000000" w:themeColor="text1"/>
          <w:szCs w:val="24"/>
        </w:rPr>
        <w:t xml:space="preserve"> </w:t>
      </w:r>
      <w:r w:rsidR="005070EC" w:rsidRPr="000C2EFE">
        <w:rPr>
          <w:color w:val="000000" w:themeColor="text1"/>
          <w:szCs w:val="24"/>
        </w:rPr>
        <w:t>The agreement referred to is a sale of business agreement concluded between the applicant and Crest Car Hire in early 2013</w:t>
      </w:r>
      <w:r w:rsidR="00F851DE" w:rsidRPr="000C2EFE">
        <w:rPr>
          <w:color w:val="000000" w:themeColor="text1"/>
          <w:szCs w:val="24"/>
        </w:rPr>
        <w:t xml:space="preserve"> to which I </w:t>
      </w:r>
      <w:r w:rsidR="000C2EFE">
        <w:rPr>
          <w:color w:val="000000" w:themeColor="text1"/>
          <w:szCs w:val="24"/>
        </w:rPr>
        <w:t xml:space="preserve">shall </w:t>
      </w:r>
      <w:r w:rsidR="00F851DE" w:rsidRPr="000C2EFE">
        <w:rPr>
          <w:color w:val="000000" w:themeColor="text1"/>
          <w:szCs w:val="24"/>
        </w:rPr>
        <w:t xml:space="preserve">return below. </w:t>
      </w:r>
      <w:r w:rsidR="009333A4" w:rsidRPr="000C2EFE">
        <w:rPr>
          <w:color w:val="000000" w:themeColor="text1"/>
          <w:szCs w:val="24"/>
        </w:rPr>
        <w:t xml:space="preserve"> </w:t>
      </w:r>
    </w:p>
    <w:p w14:paraId="13DA2A6E" w14:textId="136E7659" w:rsidR="002638BE" w:rsidRPr="000F44F5" w:rsidRDefault="002638BE" w:rsidP="002638BE">
      <w:pPr>
        <w:pStyle w:val="JudgmentHeading"/>
        <w:tabs>
          <w:tab w:val="left" w:pos="3744"/>
        </w:tabs>
        <w:rPr>
          <w:b/>
          <w:bCs/>
          <w:i w:val="0"/>
          <w:iCs/>
          <w:color w:val="000000" w:themeColor="text1"/>
          <w:szCs w:val="24"/>
        </w:rPr>
      </w:pPr>
      <w:r>
        <w:rPr>
          <w:b/>
          <w:bCs/>
          <w:i w:val="0"/>
          <w:iCs/>
          <w:color w:val="000000" w:themeColor="text1"/>
          <w:szCs w:val="24"/>
        </w:rPr>
        <w:t xml:space="preserve">The Facts </w:t>
      </w:r>
    </w:p>
    <w:p w14:paraId="6B14278F" w14:textId="04A8D39C" w:rsidR="00EE76E6" w:rsidRPr="002638BE" w:rsidRDefault="001164B4" w:rsidP="001164B4">
      <w:pPr>
        <w:pStyle w:val="JudgmentNumbered"/>
        <w:numPr>
          <w:ilvl w:val="0"/>
          <w:numId w:val="0"/>
        </w:numPr>
        <w:ind w:left="567" w:hanging="567"/>
        <w:rPr>
          <w:b/>
        </w:rPr>
      </w:pPr>
      <w:r w:rsidRPr="002638BE">
        <w:rPr>
          <w:bCs/>
        </w:rPr>
        <w:t>[4]</w:t>
      </w:r>
      <w:r w:rsidRPr="002638BE">
        <w:rPr>
          <w:bCs/>
        </w:rPr>
        <w:tab/>
      </w:r>
      <w:r w:rsidR="00EE76E6">
        <w:t>To understand the context within which the relief is pursued</w:t>
      </w:r>
      <w:r w:rsidR="00A0554C">
        <w:t>,</w:t>
      </w:r>
      <w:r w:rsidR="00EE76E6">
        <w:t xml:space="preserve"> it is necessary to provide a brief overview of the salient facts. </w:t>
      </w:r>
    </w:p>
    <w:p w14:paraId="00E15A9A" w14:textId="0262000E" w:rsidR="00413D6C" w:rsidRPr="0006138D" w:rsidRDefault="001164B4" w:rsidP="001164B4">
      <w:pPr>
        <w:pStyle w:val="JudgmentNumbered"/>
        <w:numPr>
          <w:ilvl w:val="0"/>
          <w:numId w:val="0"/>
        </w:numPr>
        <w:ind w:left="567" w:hanging="567"/>
      </w:pPr>
      <w:r w:rsidRPr="0006138D">
        <w:rPr>
          <w:bCs/>
        </w:rPr>
        <w:t>[5]</w:t>
      </w:r>
      <w:r w:rsidRPr="0006138D">
        <w:rPr>
          <w:bCs/>
        </w:rPr>
        <w:tab/>
      </w:r>
      <w:r w:rsidR="00123D07" w:rsidRPr="00E62D8F">
        <w:rPr>
          <w:color w:val="000000" w:themeColor="text1"/>
          <w:szCs w:val="24"/>
        </w:rPr>
        <w:t xml:space="preserve">Crest Car Hire </w:t>
      </w:r>
      <w:r w:rsidR="00321267" w:rsidRPr="00E62D8F">
        <w:rPr>
          <w:color w:val="000000" w:themeColor="text1"/>
          <w:szCs w:val="24"/>
        </w:rPr>
        <w:t>owned and conducted a car rental business from certain premises situate</w:t>
      </w:r>
      <w:r w:rsidR="00E62D8F">
        <w:rPr>
          <w:color w:val="000000" w:themeColor="text1"/>
          <w:szCs w:val="24"/>
        </w:rPr>
        <w:t>d in Rockey Street</w:t>
      </w:r>
      <w:r w:rsidR="00B77A26">
        <w:rPr>
          <w:color w:val="000000" w:themeColor="text1"/>
          <w:szCs w:val="24"/>
        </w:rPr>
        <w:t xml:space="preserve">, </w:t>
      </w:r>
      <w:r w:rsidR="00E62D8F">
        <w:rPr>
          <w:color w:val="000000" w:themeColor="text1"/>
          <w:szCs w:val="24"/>
        </w:rPr>
        <w:t xml:space="preserve">Yeoville, Johannesburg. </w:t>
      </w:r>
      <w:r w:rsidR="002C3A40">
        <w:rPr>
          <w:color w:val="000000" w:themeColor="text1"/>
          <w:szCs w:val="24"/>
        </w:rPr>
        <w:t xml:space="preserve"> Brenner was the sole </w:t>
      </w:r>
      <w:r w:rsidR="008A6425">
        <w:rPr>
          <w:color w:val="000000" w:themeColor="text1"/>
          <w:szCs w:val="24"/>
        </w:rPr>
        <w:t xml:space="preserve">member </w:t>
      </w:r>
      <w:r w:rsidR="00CE0AE4">
        <w:rPr>
          <w:color w:val="000000" w:themeColor="text1"/>
          <w:szCs w:val="24"/>
        </w:rPr>
        <w:t xml:space="preserve">of Crest Car Hire </w:t>
      </w:r>
      <w:r w:rsidR="002C3A40">
        <w:rPr>
          <w:color w:val="000000" w:themeColor="text1"/>
          <w:szCs w:val="24"/>
        </w:rPr>
        <w:t xml:space="preserve">and </w:t>
      </w:r>
      <w:r w:rsidR="001007D2">
        <w:rPr>
          <w:color w:val="000000" w:themeColor="text1"/>
          <w:szCs w:val="24"/>
        </w:rPr>
        <w:t>owned the</w:t>
      </w:r>
      <w:r w:rsidR="00CE0AE4">
        <w:rPr>
          <w:color w:val="000000" w:themeColor="text1"/>
          <w:szCs w:val="24"/>
        </w:rPr>
        <w:t>se</w:t>
      </w:r>
      <w:r w:rsidR="001007D2">
        <w:rPr>
          <w:color w:val="000000" w:themeColor="text1"/>
          <w:szCs w:val="24"/>
        </w:rPr>
        <w:t xml:space="preserve"> premises in his personal capacity. </w:t>
      </w:r>
      <w:r w:rsidR="00972592">
        <w:rPr>
          <w:color w:val="000000" w:themeColor="text1"/>
          <w:szCs w:val="24"/>
        </w:rPr>
        <w:t xml:space="preserve"> The applicant was in the employ of Crest Car Hire for many years</w:t>
      </w:r>
      <w:r w:rsidR="00CE0AE4">
        <w:rPr>
          <w:color w:val="000000" w:themeColor="text1"/>
          <w:szCs w:val="24"/>
        </w:rPr>
        <w:t xml:space="preserve">. </w:t>
      </w:r>
      <w:r w:rsidR="002E28C5">
        <w:rPr>
          <w:color w:val="000000" w:themeColor="text1"/>
          <w:szCs w:val="24"/>
        </w:rPr>
        <w:t xml:space="preserve"> </w:t>
      </w:r>
      <w:r w:rsidR="00972592">
        <w:rPr>
          <w:color w:val="000000" w:themeColor="text1"/>
          <w:szCs w:val="24"/>
        </w:rPr>
        <w:t xml:space="preserve">Brenner </w:t>
      </w:r>
      <w:r w:rsidR="00F25651">
        <w:rPr>
          <w:color w:val="000000" w:themeColor="text1"/>
          <w:szCs w:val="24"/>
        </w:rPr>
        <w:t xml:space="preserve">who was already of advanced age, </w:t>
      </w:r>
      <w:r w:rsidR="00715F67">
        <w:rPr>
          <w:color w:val="000000" w:themeColor="text1"/>
          <w:szCs w:val="24"/>
        </w:rPr>
        <w:t xml:space="preserve">developed </w:t>
      </w:r>
      <w:r w:rsidR="005F61C8">
        <w:rPr>
          <w:color w:val="000000" w:themeColor="text1"/>
          <w:szCs w:val="24"/>
        </w:rPr>
        <w:t xml:space="preserve">a close relationship with him, </w:t>
      </w:r>
      <w:r w:rsidR="00B74E2B">
        <w:rPr>
          <w:color w:val="000000" w:themeColor="text1"/>
          <w:szCs w:val="24"/>
        </w:rPr>
        <w:t>and w</w:t>
      </w:r>
      <w:r w:rsidR="00715F67">
        <w:rPr>
          <w:color w:val="000000" w:themeColor="text1"/>
          <w:szCs w:val="24"/>
        </w:rPr>
        <w:t xml:space="preserve">hen </w:t>
      </w:r>
      <w:r w:rsidR="00D65263">
        <w:rPr>
          <w:color w:val="000000" w:themeColor="text1"/>
          <w:szCs w:val="24"/>
        </w:rPr>
        <w:t>Brenner’s</w:t>
      </w:r>
      <w:r w:rsidR="00715F67">
        <w:rPr>
          <w:color w:val="000000" w:themeColor="text1"/>
          <w:szCs w:val="24"/>
        </w:rPr>
        <w:t xml:space="preserve"> health began to deteriorate, </w:t>
      </w:r>
      <w:r w:rsidR="00F64522">
        <w:rPr>
          <w:color w:val="000000" w:themeColor="text1"/>
          <w:szCs w:val="24"/>
        </w:rPr>
        <w:t xml:space="preserve">the applicant expressed an interest to acquire the business of Crest Car Hire. </w:t>
      </w:r>
      <w:r w:rsidR="0006138D">
        <w:rPr>
          <w:color w:val="000000" w:themeColor="text1"/>
          <w:szCs w:val="24"/>
        </w:rPr>
        <w:t xml:space="preserve"> Brenner was prepared to sell the business at a discounted price</w:t>
      </w:r>
      <w:r w:rsidR="00797301">
        <w:rPr>
          <w:color w:val="000000" w:themeColor="text1"/>
          <w:szCs w:val="24"/>
        </w:rPr>
        <w:t xml:space="preserve"> to the applicant</w:t>
      </w:r>
      <w:r w:rsidR="005F7B2F">
        <w:rPr>
          <w:color w:val="000000" w:themeColor="text1"/>
          <w:szCs w:val="24"/>
        </w:rPr>
        <w:t xml:space="preserve">, presumably to reward a longstanding and loyal employee. </w:t>
      </w:r>
    </w:p>
    <w:p w14:paraId="03CFE437" w14:textId="60323D2E" w:rsidR="006F299B" w:rsidRDefault="001164B4" w:rsidP="001164B4">
      <w:pPr>
        <w:pStyle w:val="JudgmentNumbered"/>
        <w:numPr>
          <w:ilvl w:val="0"/>
          <w:numId w:val="0"/>
        </w:numPr>
        <w:ind w:left="567" w:hanging="567"/>
      </w:pPr>
      <w:r>
        <w:rPr>
          <w:bCs/>
        </w:rPr>
        <w:t>[6]</w:t>
      </w:r>
      <w:r>
        <w:rPr>
          <w:bCs/>
        </w:rPr>
        <w:tab/>
      </w:r>
      <w:r w:rsidR="0006138D">
        <w:rPr>
          <w:color w:val="000000" w:themeColor="text1"/>
          <w:szCs w:val="24"/>
        </w:rPr>
        <w:t xml:space="preserve">The </w:t>
      </w:r>
      <w:r w:rsidR="00B74E2B">
        <w:rPr>
          <w:color w:val="000000" w:themeColor="text1"/>
          <w:szCs w:val="24"/>
        </w:rPr>
        <w:t xml:space="preserve">upshot was the conclusion of a sale of </w:t>
      </w:r>
      <w:r w:rsidR="00F90EB3">
        <w:rPr>
          <w:color w:val="000000" w:themeColor="text1"/>
          <w:szCs w:val="24"/>
        </w:rPr>
        <w:t xml:space="preserve">business agreement on 24 January 2013 between the applicant and Crest Car Hire </w:t>
      </w:r>
      <w:r w:rsidR="000919E0">
        <w:rPr>
          <w:color w:val="000000" w:themeColor="text1"/>
          <w:szCs w:val="24"/>
        </w:rPr>
        <w:t xml:space="preserve">in terms of which the applicant acquired the business of </w:t>
      </w:r>
      <w:r w:rsidR="0023036D">
        <w:rPr>
          <w:color w:val="000000" w:themeColor="text1"/>
          <w:szCs w:val="24"/>
        </w:rPr>
        <w:t xml:space="preserve">Crest Car Hire as a going concern inclusive of all stock, assets and goodwill. </w:t>
      </w:r>
      <w:r w:rsidR="009A7F04">
        <w:rPr>
          <w:color w:val="000000" w:themeColor="text1"/>
          <w:szCs w:val="24"/>
        </w:rPr>
        <w:t xml:space="preserve"> </w:t>
      </w:r>
      <w:r w:rsidR="008D1C23">
        <w:rPr>
          <w:color w:val="000000" w:themeColor="text1"/>
          <w:szCs w:val="24"/>
        </w:rPr>
        <w:t xml:space="preserve">  The purchase consideration was R84 </w:t>
      </w:r>
      <w:r w:rsidR="00482FE4">
        <w:rPr>
          <w:color w:val="000000" w:themeColor="text1"/>
          <w:szCs w:val="24"/>
        </w:rPr>
        <w:t>000.00</w:t>
      </w:r>
      <w:r w:rsidR="000A5488">
        <w:rPr>
          <w:color w:val="000000" w:themeColor="text1"/>
          <w:szCs w:val="24"/>
        </w:rPr>
        <w:t xml:space="preserve"> </w:t>
      </w:r>
      <w:r w:rsidR="008D1C23">
        <w:rPr>
          <w:color w:val="000000" w:themeColor="text1"/>
          <w:szCs w:val="24"/>
        </w:rPr>
        <w:t xml:space="preserve">and </w:t>
      </w:r>
      <w:r w:rsidR="006F299B">
        <w:rPr>
          <w:color w:val="000000" w:themeColor="text1"/>
          <w:szCs w:val="24"/>
        </w:rPr>
        <w:t>the</w:t>
      </w:r>
      <w:r w:rsidR="000A5488">
        <w:rPr>
          <w:color w:val="000000" w:themeColor="text1"/>
          <w:szCs w:val="24"/>
        </w:rPr>
        <w:t>re is no dispute that the</w:t>
      </w:r>
      <w:r w:rsidR="006F299B">
        <w:rPr>
          <w:color w:val="000000" w:themeColor="text1"/>
          <w:szCs w:val="24"/>
        </w:rPr>
        <w:t xml:space="preserve"> applicant </w:t>
      </w:r>
      <w:r w:rsidR="00044B2C">
        <w:rPr>
          <w:color w:val="000000" w:themeColor="text1"/>
          <w:szCs w:val="24"/>
        </w:rPr>
        <w:t xml:space="preserve">had </w:t>
      </w:r>
      <w:r w:rsidR="006F299B">
        <w:rPr>
          <w:color w:val="000000" w:themeColor="text1"/>
          <w:szCs w:val="24"/>
        </w:rPr>
        <w:t>paid this sum</w:t>
      </w:r>
      <w:r w:rsidR="00044B2C">
        <w:rPr>
          <w:color w:val="000000" w:themeColor="text1"/>
          <w:szCs w:val="24"/>
        </w:rPr>
        <w:t xml:space="preserve"> in full</w:t>
      </w:r>
      <w:r w:rsidR="006F299B">
        <w:rPr>
          <w:color w:val="000000" w:themeColor="text1"/>
          <w:szCs w:val="24"/>
        </w:rPr>
        <w:t xml:space="preserve">. </w:t>
      </w:r>
    </w:p>
    <w:p w14:paraId="464E0801" w14:textId="5B6F8445" w:rsidR="00604300" w:rsidRPr="009A7F04" w:rsidRDefault="001164B4" w:rsidP="001164B4">
      <w:pPr>
        <w:pStyle w:val="JudgmentNumbered"/>
        <w:numPr>
          <w:ilvl w:val="0"/>
          <w:numId w:val="0"/>
        </w:numPr>
        <w:ind w:left="567" w:hanging="567"/>
      </w:pPr>
      <w:r w:rsidRPr="009A7F04">
        <w:rPr>
          <w:bCs/>
        </w:rPr>
        <w:t>[7]</w:t>
      </w:r>
      <w:r w:rsidRPr="009A7F04">
        <w:rPr>
          <w:bCs/>
        </w:rPr>
        <w:tab/>
      </w:r>
      <w:r w:rsidR="00D65263" w:rsidRPr="006F299B">
        <w:rPr>
          <w:color w:val="000000" w:themeColor="text1"/>
          <w:szCs w:val="24"/>
        </w:rPr>
        <w:t>Following the conclusion of the sale of business agreement, t</w:t>
      </w:r>
      <w:r w:rsidR="00604300" w:rsidRPr="006F299B">
        <w:rPr>
          <w:color w:val="000000" w:themeColor="text1"/>
          <w:szCs w:val="24"/>
        </w:rPr>
        <w:t>he applicant operated the business from the</w:t>
      </w:r>
      <w:r w:rsidR="00482FE4">
        <w:rPr>
          <w:color w:val="000000" w:themeColor="text1"/>
          <w:szCs w:val="24"/>
        </w:rPr>
        <w:t xml:space="preserve"> Rockey Street</w:t>
      </w:r>
      <w:r w:rsidR="00604300" w:rsidRPr="006F299B">
        <w:rPr>
          <w:color w:val="000000" w:themeColor="text1"/>
          <w:szCs w:val="24"/>
        </w:rPr>
        <w:t xml:space="preserve"> premises which he rented from Brenner</w:t>
      </w:r>
      <w:r w:rsidR="00AD6668" w:rsidRPr="006F299B">
        <w:rPr>
          <w:color w:val="000000" w:themeColor="text1"/>
          <w:szCs w:val="24"/>
        </w:rPr>
        <w:t xml:space="preserve"> </w:t>
      </w:r>
      <w:r w:rsidR="006F299B">
        <w:rPr>
          <w:color w:val="000000" w:themeColor="text1"/>
          <w:szCs w:val="24"/>
        </w:rPr>
        <w:t>without any obligation to pay rental</w:t>
      </w:r>
      <w:r w:rsidR="00460F69">
        <w:rPr>
          <w:color w:val="000000" w:themeColor="text1"/>
          <w:szCs w:val="24"/>
        </w:rPr>
        <w:t xml:space="preserve"> </w:t>
      </w:r>
      <w:r w:rsidR="00AD6668" w:rsidRPr="00460F69">
        <w:rPr>
          <w:color w:val="000000" w:themeColor="text1"/>
          <w:szCs w:val="24"/>
        </w:rPr>
        <w:t>in terms of an oral agreement concluded with Brenner</w:t>
      </w:r>
      <w:r w:rsidR="00112228">
        <w:rPr>
          <w:color w:val="000000" w:themeColor="text1"/>
          <w:szCs w:val="24"/>
        </w:rPr>
        <w:t xml:space="preserve"> that required </w:t>
      </w:r>
      <w:r w:rsidR="00186BCE" w:rsidRPr="00112228">
        <w:rPr>
          <w:color w:val="000000" w:themeColor="text1"/>
          <w:szCs w:val="24"/>
        </w:rPr>
        <w:t xml:space="preserve">the applicant to assume the role of caretaker </w:t>
      </w:r>
      <w:r w:rsidR="00395B1D" w:rsidRPr="00112228">
        <w:rPr>
          <w:color w:val="000000" w:themeColor="text1"/>
          <w:szCs w:val="24"/>
        </w:rPr>
        <w:t xml:space="preserve">and collect rental from other tenants situated on the premises. </w:t>
      </w:r>
      <w:r w:rsidR="00A41389" w:rsidRPr="00112228">
        <w:rPr>
          <w:color w:val="000000" w:themeColor="text1"/>
          <w:szCs w:val="24"/>
        </w:rPr>
        <w:t xml:space="preserve"> He was also required to collect rental and fulfil the role of caretake</w:t>
      </w:r>
      <w:r w:rsidR="003C3E70" w:rsidRPr="00112228">
        <w:rPr>
          <w:color w:val="000000" w:themeColor="text1"/>
          <w:szCs w:val="24"/>
        </w:rPr>
        <w:t>r</w:t>
      </w:r>
      <w:r w:rsidR="00A41389" w:rsidRPr="00112228">
        <w:rPr>
          <w:color w:val="000000" w:themeColor="text1"/>
          <w:szCs w:val="24"/>
        </w:rPr>
        <w:t xml:space="preserve"> in relation to the premises situated at no. 76, Webb Street, Yeovile</w:t>
      </w:r>
      <w:r w:rsidR="004676E7" w:rsidRPr="00112228">
        <w:rPr>
          <w:color w:val="000000" w:themeColor="text1"/>
          <w:szCs w:val="24"/>
        </w:rPr>
        <w:t xml:space="preserve"> that was registered in the name of Cre</w:t>
      </w:r>
      <w:r w:rsidR="003C3E70" w:rsidRPr="00112228">
        <w:rPr>
          <w:color w:val="000000" w:themeColor="text1"/>
          <w:szCs w:val="24"/>
        </w:rPr>
        <w:t>s</w:t>
      </w:r>
      <w:r w:rsidR="004676E7" w:rsidRPr="00112228">
        <w:rPr>
          <w:color w:val="000000" w:themeColor="text1"/>
          <w:szCs w:val="24"/>
        </w:rPr>
        <w:t xml:space="preserve">t Car Hire. </w:t>
      </w:r>
    </w:p>
    <w:p w14:paraId="251447F4" w14:textId="3A2C957C" w:rsidR="009A7F04" w:rsidRPr="00C912E7" w:rsidRDefault="001164B4" w:rsidP="001164B4">
      <w:pPr>
        <w:pStyle w:val="JudgmentNumbered"/>
        <w:numPr>
          <w:ilvl w:val="0"/>
          <w:numId w:val="0"/>
        </w:numPr>
        <w:ind w:left="567" w:hanging="567"/>
      </w:pPr>
      <w:r w:rsidRPr="00C912E7">
        <w:rPr>
          <w:bCs/>
        </w:rPr>
        <w:lastRenderedPageBreak/>
        <w:t>[8]</w:t>
      </w:r>
      <w:r w:rsidRPr="00C912E7">
        <w:rPr>
          <w:bCs/>
        </w:rPr>
        <w:tab/>
      </w:r>
      <w:r w:rsidR="009A7F04">
        <w:rPr>
          <w:color w:val="000000" w:themeColor="text1"/>
          <w:szCs w:val="24"/>
        </w:rPr>
        <w:t>Brenner passed away on 23 June 2015</w:t>
      </w:r>
      <w:r w:rsidR="001B1BB0">
        <w:rPr>
          <w:color w:val="000000" w:themeColor="text1"/>
          <w:szCs w:val="24"/>
        </w:rPr>
        <w:t>.  T</w:t>
      </w:r>
      <w:r w:rsidR="00EF0D0B">
        <w:rPr>
          <w:color w:val="000000" w:themeColor="text1"/>
          <w:szCs w:val="24"/>
        </w:rPr>
        <w:t xml:space="preserve">he </w:t>
      </w:r>
      <w:r w:rsidR="00B55AE4">
        <w:rPr>
          <w:color w:val="000000" w:themeColor="text1"/>
          <w:szCs w:val="24"/>
        </w:rPr>
        <w:t xml:space="preserve">first and second </w:t>
      </w:r>
      <w:r w:rsidR="00EF0D0B">
        <w:rPr>
          <w:color w:val="000000" w:themeColor="text1"/>
          <w:szCs w:val="24"/>
        </w:rPr>
        <w:t xml:space="preserve">respondents were appointed as the executors of his deceased estate. </w:t>
      </w:r>
      <w:r w:rsidR="00C015F7">
        <w:rPr>
          <w:color w:val="000000" w:themeColor="text1"/>
          <w:szCs w:val="24"/>
        </w:rPr>
        <w:t xml:space="preserve">  The </w:t>
      </w:r>
      <w:r w:rsidR="006164DC">
        <w:rPr>
          <w:color w:val="000000" w:themeColor="text1"/>
          <w:szCs w:val="24"/>
        </w:rPr>
        <w:t xml:space="preserve">first </w:t>
      </w:r>
      <w:r w:rsidR="00C015F7">
        <w:rPr>
          <w:color w:val="000000" w:themeColor="text1"/>
          <w:szCs w:val="24"/>
        </w:rPr>
        <w:t xml:space="preserve">respondent </w:t>
      </w:r>
      <w:r w:rsidR="00B92239">
        <w:rPr>
          <w:color w:val="000000" w:themeColor="text1"/>
          <w:szCs w:val="24"/>
        </w:rPr>
        <w:t xml:space="preserve">was </w:t>
      </w:r>
      <w:r w:rsidR="00E045F3">
        <w:rPr>
          <w:color w:val="000000" w:themeColor="text1"/>
          <w:szCs w:val="24"/>
        </w:rPr>
        <w:t>his wife and the</w:t>
      </w:r>
      <w:r w:rsidR="00B92239">
        <w:rPr>
          <w:color w:val="000000" w:themeColor="text1"/>
          <w:szCs w:val="24"/>
        </w:rPr>
        <w:t xml:space="preserve"> sole heir of his estate. </w:t>
      </w:r>
    </w:p>
    <w:p w14:paraId="4861C3D8" w14:textId="47D7BAF8" w:rsidR="007423A2" w:rsidRPr="007423A2" w:rsidRDefault="001164B4" w:rsidP="001164B4">
      <w:pPr>
        <w:pStyle w:val="JudgmentNumbered"/>
        <w:numPr>
          <w:ilvl w:val="0"/>
          <w:numId w:val="0"/>
        </w:numPr>
        <w:ind w:left="567" w:hanging="567"/>
      </w:pPr>
      <w:r w:rsidRPr="007423A2">
        <w:rPr>
          <w:bCs/>
        </w:rPr>
        <w:t>[9]</w:t>
      </w:r>
      <w:r w:rsidRPr="007423A2">
        <w:rPr>
          <w:bCs/>
        </w:rPr>
        <w:tab/>
      </w:r>
      <w:r w:rsidR="002C1B8E">
        <w:rPr>
          <w:color w:val="000000" w:themeColor="text1"/>
          <w:szCs w:val="24"/>
        </w:rPr>
        <w:t xml:space="preserve">The </w:t>
      </w:r>
      <w:r w:rsidR="0006285E">
        <w:rPr>
          <w:color w:val="000000" w:themeColor="text1"/>
          <w:szCs w:val="24"/>
        </w:rPr>
        <w:t>status</w:t>
      </w:r>
      <w:r w:rsidR="0006285E" w:rsidRPr="008E2FFB">
        <w:rPr>
          <w:i/>
          <w:iCs/>
          <w:color w:val="000000" w:themeColor="text1"/>
          <w:szCs w:val="24"/>
        </w:rPr>
        <w:t xml:space="preserve"> quo</w:t>
      </w:r>
      <w:r w:rsidR="0006285E">
        <w:rPr>
          <w:color w:val="000000" w:themeColor="text1"/>
          <w:szCs w:val="24"/>
        </w:rPr>
        <w:t xml:space="preserve"> of the contractual regime agreed </w:t>
      </w:r>
      <w:r w:rsidR="008E5B85">
        <w:rPr>
          <w:color w:val="000000" w:themeColor="text1"/>
          <w:szCs w:val="24"/>
        </w:rPr>
        <w:t xml:space="preserve">upon </w:t>
      </w:r>
      <w:r w:rsidR="0006285E">
        <w:rPr>
          <w:color w:val="000000" w:themeColor="text1"/>
          <w:szCs w:val="24"/>
        </w:rPr>
        <w:t xml:space="preserve">between the applicant and Brenner continued after his death </w:t>
      </w:r>
      <w:r w:rsidR="00FE2D43">
        <w:rPr>
          <w:color w:val="000000" w:themeColor="text1"/>
          <w:szCs w:val="24"/>
        </w:rPr>
        <w:t xml:space="preserve">with </w:t>
      </w:r>
      <w:r w:rsidR="00400DEC">
        <w:rPr>
          <w:color w:val="000000" w:themeColor="text1"/>
          <w:szCs w:val="24"/>
        </w:rPr>
        <w:t>the only difference that Brenner had been replaced by t</w:t>
      </w:r>
      <w:r w:rsidR="00FE2D43">
        <w:rPr>
          <w:color w:val="000000" w:themeColor="text1"/>
          <w:szCs w:val="24"/>
        </w:rPr>
        <w:t>he first and second respondents in their capacity as executors</w:t>
      </w:r>
      <w:r w:rsidR="00E96BDF">
        <w:rPr>
          <w:color w:val="000000" w:themeColor="text1"/>
          <w:szCs w:val="24"/>
        </w:rPr>
        <w:t xml:space="preserve">.  In July 2018, the </w:t>
      </w:r>
      <w:r w:rsidR="003451B2" w:rsidRPr="00E96BDF">
        <w:rPr>
          <w:color w:val="000000" w:themeColor="text1"/>
          <w:szCs w:val="24"/>
        </w:rPr>
        <w:t>first respondent and her son Jeffrey Brenner</w:t>
      </w:r>
      <w:r w:rsidR="006164DC" w:rsidRPr="00E96BDF">
        <w:rPr>
          <w:color w:val="000000" w:themeColor="text1"/>
          <w:szCs w:val="24"/>
        </w:rPr>
        <w:t>,</w:t>
      </w:r>
      <w:r w:rsidR="0019650C" w:rsidRPr="00E96BDF">
        <w:rPr>
          <w:color w:val="000000" w:themeColor="text1"/>
          <w:szCs w:val="24"/>
        </w:rPr>
        <w:t xml:space="preserve"> </w:t>
      </w:r>
      <w:r w:rsidR="003451B2" w:rsidRPr="00E96BDF">
        <w:rPr>
          <w:color w:val="000000" w:themeColor="text1"/>
          <w:szCs w:val="24"/>
        </w:rPr>
        <w:t>learnt</w:t>
      </w:r>
      <w:r w:rsidR="006164DC" w:rsidRPr="00E96BDF">
        <w:rPr>
          <w:color w:val="000000" w:themeColor="text1"/>
          <w:szCs w:val="24"/>
        </w:rPr>
        <w:t xml:space="preserve"> for the first time</w:t>
      </w:r>
      <w:r w:rsidR="003451B2" w:rsidRPr="00E96BDF">
        <w:rPr>
          <w:color w:val="000000" w:themeColor="text1"/>
          <w:szCs w:val="24"/>
        </w:rPr>
        <w:t xml:space="preserve"> that the </w:t>
      </w:r>
      <w:r w:rsidR="00C61563" w:rsidRPr="00E96BDF">
        <w:rPr>
          <w:color w:val="000000" w:themeColor="text1"/>
          <w:szCs w:val="24"/>
        </w:rPr>
        <w:t xml:space="preserve">applicant had been short paying the rental that he collected. </w:t>
      </w:r>
      <w:r w:rsidR="00141C7F" w:rsidRPr="00E96BDF">
        <w:rPr>
          <w:color w:val="000000" w:themeColor="text1"/>
          <w:szCs w:val="24"/>
        </w:rPr>
        <w:t xml:space="preserve"> </w:t>
      </w:r>
    </w:p>
    <w:p w14:paraId="37DCB362" w14:textId="3963E1BC" w:rsidR="003C3E70" w:rsidRPr="008A6365" w:rsidRDefault="001164B4" w:rsidP="001164B4">
      <w:pPr>
        <w:pStyle w:val="JudgmentNumbered"/>
        <w:numPr>
          <w:ilvl w:val="0"/>
          <w:numId w:val="0"/>
        </w:numPr>
        <w:ind w:left="567" w:hanging="567"/>
      </w:pPr>
      <w:r w:rsidRPr="008A6365">
        <w:rPr>
          <w:bCs/>
        </w:rPr>
        <w:t>[10]</w:t>
      </w:r>
      <w:r w:rsidRPr="008A6365">
        <w:rPr>
          <w:bCs/>
        </w:rPr>
        <w:tab/>
      </w:r>
      <w:r w:rsidR="00141C7F" w:rsidRPr="00E96BDF">
        <w:rPr>
          <w:color w:val="000000" w:themeColor="text1"/>
          <w:szCs w:val="24"/>
        </w:rPr>
        <w:t>This led to the termination of his mandate as caret</w:t>
      </w:r>
      <w:r w:rsidR="008D1C23" w:rsidRPr="00E96BDF">
        <w:rPr>
          <w:color w:val="000000" w:themeColor="text1"/>
          <w:szCs w:val="24"/>
        </w:rPr>
        <w:t xml:space="preserve">aker of the </w:t>
      </w:r>
      <w:r w:rsidR="00683AEB" w:rsidRPr="00E96BDF">
        <w:rPr>
          <w:color w:val="000000" w:themeColor="text1"/>
          <w:szCs w:val="24"/>
        </w:rPr>
        <w:t xml:space="preserve">Rockey Street </w:t>
      </w:r>
      <w:r w:rsidR="008D1C23" w:rsidRPr="00E96BDF">
        <w:rPr>
          <w:color w:val="000000" w:themeColor="text1"/>
          <w:szCs w:val="24"/>
        </w:rPr>
        <w:t xml:space="preserve">premises and no. 76, Webb Street </w:t>
      </w:r>
      <w:r w:rsidR="00194259" w:rsidRPr="00E96BDF">
        <w:rPr>
          <w:color w:val="000000" w:themeColor="text1"/>
          <w:szCs w:val="24"/>
        </w:rPr>
        <w:t>while his authority to collect rental was also revoked</w:t>
      </w:r>
      <w:r w:rsidR="00175C3E" w:rsidRPr="00E96BDF">
        <w:rPr>
          <w:color w:val="000000" w:themeColor="text1"/>
          <w:szCs w:val="24"/>
        </w:rPr>
        <w:t>.  H</w:t>
      </w:r>
      <w:r w:rsidR="00BC354B" w:rsidRPr="00E96BDF">
        <w:rPr>
          <w:color w:val="000000" w:themeColor="text1"/>
          <w:szCs w:val="24"/>
        </w:rPr>
        <w:t xml:space="preserve">e was </w:t>
      </w:r>
      <w:r w:rsidR="00175C3E" w:rsidRPr="00E96BDF">
        <w:rPr>
          <w:color w:val="000000" w:themeColor="text1"/>
          <w:szCs w:val="24"/>
        </w:rPr>
        <w:t xml:space="preserve">then </w:t>
      </w:r>
      <w:r w:rsidR="00BC354B" w:rsidRPr="00E96BDF">
        <w:rPr>
          <w:color w:val="000000" w:themeColor="text1"/>
          <w:szCs w:val="24"/>
        </w:rPr>
        <w:t xml:space="preserve">required to pay a R1000.00 a month </w:t>
      </w:r>
      <w:r w:rsidR="00C94595" w:rsidRPr="00E96BDF">
        <w:rPr>
          <w:color w:val="000000" w:themeColor="text1"/>
          <w:szCs w:val="24"/>
        </w:rPr>
        <w:t xml:space="preserve">for the use of the </w:t>
      </w:r>
      <w:r w:rsidR="00482FE4" w:rsidRPr="00E96BDF">
        <w:rPr>
          <w:color w:val="000000" w:themeColor="text1"/>
          <w:szCs w:val="24"/>
        </w:rPr>
        <w:t xml:space="preserve">Rockey Street </w:t>
      </w:r>
      <w:r w:rsidR="00C94595" w:rsidRPr="00E96BDF">
        <w:rPr>
          <w:color w:val="000000" w:themeColor="text1"/>
          <w:szCs w:val="24"/>
        </w:rPr>
        <w:t>premises</w:t>
      </w:r>
      <w:r w:rsidR="00175C3E" w:rsidRPr="00E96BDF">
        <w:rPr>
          <w:color w:val="000000" w:themeColor="text1"/>
          <w:szCs w:val="24"/>
        </w:rPr>
        <w:t xml:space="preserve"> and </w:t>
      </w:r>
      <w:r w:rsidR="00575221" w:rsidRPr="00E96BDF">
        <w:rPr>
          <w:color w:val="000000" w:themeColor="text1"/>
          <w:szCs w:val="24"/>
        </w:rPr>
        <w:t>except for</w:t>
      </w:r>
      <w:r w:rsidR="00175C3E" w:rsidRPr="00E96BDF">
        <w:rPr>
          <w:color w:val="000000" w:themeColor="text1"/>
          <w:szCs w:val="24"/>
        </w:rPr>
        <w:t xml:space="preserve"> September and October 2018, he made no further rental payments. </w:t>
      </w:r>
    </w:p>
    <w:p w14:paraId="5333B0BC" w14:textId="5A603F29" w:rsidR="008A6365" w:rsidRPr="00AF76B0" w:rsidRDefault="001164B4" w:rsidP="001164B4">
      <w:pPr>
        <w:pStyle w:val="JudgmentNumbered"/>
        <w:numPr>
          <w:ilvl w:val="0"/>
          <w:numId w:val="0"/>
        </w:numPr>
        <w:ind w:left="567" w:hanging="567"/>
      </w:pPr>
      <w:r w:rsidRPr="00AF76B0">
        <w:rPr>
          <w:bCs/>
        </w:rPr>
        <w:t>[11]</w:t>
      </w:r>
      <w:r w:rsidRPr="00AF76B0">
        <w:rPr>
          <w:bCs/>
        </w:rPr>
        <w:tab/>
      </w:r>
      <w:r w:rsidR="008A6365">
        <w:rPr>
          <w:color w:val="000000" w:themeColor="text1"/>
          <w:szCs w:val="24"/>
        </w:rPr>
        <w:t>As the sole heir to</w:t>
      </w:r>
      <w:r w:rsidR="008200C3">
        <w:rPr>
          <w:color w:val="000000" w:themeColor="text1"/>
          <w:szCs w:val="24"/>
        </w:rPr>
        <w:t xml:space="preserve"> Brenner’s </w:t>
      </w:r>
      <w:r w:rsidR="008A6365">
        <w:rPr>
          <w:color w:val="000000" w:themeColor="text1"/>
          <w:szCs w:val="24"/>
        </w:rPr>
        <w:t xml:space="preserve">estate, the first respondent was </w:t>
      </w:r>
      <w:r w:rsidR="008940A9">
        <w:rPr>
          <w:color w:val="000000" w:themeColor="text1"/>
          <w:szCs w:val="24"/>
        </w:rPr>
        <w:t xml:space="preserve">bequeathed the Rockey Street premises and his membership interest in </w:t>
      </w:r>
      <w:r w:rsidR="0056655F">
        <w:rPr>
          <w:color w:val="000000" w:themeColor="text1"/>
          <w:szCs w:val="24"/>
        </w:rPr>
        <w:t>Crest Car Hire which was transferred to the first respondent on 10 July 201</w:t>
      </w:r>
      <w:r w:rsidR="002C7F4E">
        <w:rPr>
          <w:color w:val="000000" w:themeColor="text1"/>
          <w:szCs w:val="24"/>
        </w:rPr>
        <w:t>8</w:t>
      </w:r>
      <w:r w:rsidR="000C3C41">
        <w:rPr>
          <w:color w:val="000000" w:themeColor="text1"/>
          <w:szCs w:val="24"/>
        </w:rPr>
        <w:t xml:space="preserve"> when the </w:t>
      </w:r>
      <w:r w:rsidR="00CC7CA6">
        <w:rPr>
          <w:color w:val="000000" w:themeColor="text1"/>
          <w:szCs w:val="24"/>
        </w:rPr>
        <w:t xml:space="preserve">change in membership of Crest Car Hire was officially </w:t>
      </w:r>
      <w:r w:rsidR="0041422A">
        <w:rPr>
          <w:color w:val="000000" w:themeColor="text1"/>
          <w:szCs w:val="24"/>
        </w:rPr>
        <w:t xml:space="preserve">reflected for the first time </w:t>
      </w:r>
      <w:r w:rsidR="00CC7CA6">
        <w:rPr>
          <w:color w:val="000000" w:themeColor="text1"/>
          <w:szCs w:val="24"/>
        </w:rPr>
        <w:t xml:space="preserve">in the records of the Companies and Intellectual Property Commission. </w:t>
      </w:r>
    </w:p>
    <w:p w14:paraId="73428852" w14:textId="6EE1755C" w:rsidR="00AF76B0" w:rsidRPr="002A291B" w:rsidRDefault="001164B4" w:rsidP="001164B4">
      <w:pPr>
        <w:pStyle w:val="JudgmentNumbered"/>
        <w:numPr>
          <w:ilvl w:val="0"/>
          <w:numId w:val="0"/>
        </w:numPr>
        <w:ind w:left="567" w:hanging="567"/>
      </w:pPr>
      <w:r w:rsidRPr="002A291B">
        <w:rPr>
          <w:bCs/>
        </w:rPr>
        <w:t>[12]</w:t>
      </w:r>
      <w:r w:rsidRPr="002A291B">
        <w:rPr>
          <w:bCs/>
        </w:rPr>
        <w:tab/>
      </w:r>
      <w:r w:rsidR="00AF76B0">
        <w:rPr>
          <w:color w:val="000000" w:themeColor="text1"/>
          <w:szCs w:val="24"/>
        </w:rPr>
        <w:t>Th</w:t>
      </w:r>
      <w:r w:rsidR="005A1D8A">
        <w:rPr>
          <w:color w:val="000000" w:themeColor="text1"/>
          <w:szCs w:val="24"/>
        </w:rPr>
        <w:t xml:space="preserve">e applicant considered this </w:t>
      </w:r>
      <w:r w:rsidR="00257369">
        <w:rPr>
          <w:color w:val="000000" w:themeColor="text1"/>
          <w:szCs w:val="24"/>
        </w:rPr>
        <w:t xml:space="preserve">to constitute an unlawful act.  He </w:t>
      </w:r>
      <w:r w:rsidR="00EC7E87">
        <w:rPr>
          <w:color w:val="000000" w:themeColor="text1"/>
          <w:szCs w:val="24"/>
        </w:rPr>
        <w:t xml:space="preserve">explains himself as follows in his founding affidavit: </w:t>
      </w:r>
    </w:p>
    <w:p w14:paraId="662EE683" w14:textId="5C4C1C2B" w:rsidR="002A291B" w:rsidRDefault="001164B4" w:rsidP="001164B4">
      <w:pPr>
        <w:pStyle w:val="JudgmentNumbered"/>
        <w:numPr>
          <w:ilvl w:val="0"/>
          <w:numId w:val="0"/>
        </w:numPr>
        <w:ind w:left="1134" w:hanging="567"/>
        <w:rPr>
          <w:bCs/>
          <w:color w:val="000000" w:themeColor="text1"/>
          <w:szCs w:val="24"/>
        </w:rPr>
      </w:pPr>
      <w:r>
        <w:rPr>
          <w:bCs/>
          <w:color w:val="000000" w:themeColor="text1"/>
          <w:szCs w:val="24"/>
        </w:rPr>
        <w:t>a.</w:t>
      </w:r>
      <w:r>
        <w:rPr>
          <w:bCs/>
          <w:color w:val="000000" w:themeColor="text1"/>
          <w:szCs w:val="24"/>
        </w:rPr>
        <w:tab/>
      </w:r>
      <w:r w:rsidR="002A291B">
        <w:rPr>
          <w:bCs/>
          <w:color w:val="000000" w:themeColor="text1"/>
          <w:szCs w:val="24"/>
        </w:rPr>
        <w:t>“</w:t>
      </w:r>
      <w:r w:rsidR="002A291B" w:rsidRPr="003A1E46">
        <w:rPr>
          <w:bCs/>
          <w:i/>
          <w:iCs/>
          <w:color w:val="000000" w:themeColor="text1"/>
          <w:szCs w:val="24"/>
        </w:rPr>
        <w:t>The First Respondent has unlawfully amended the Founding Statement of the close corporation and has now put her name as the sole member and/or directors of the said close corporation irrespective of the fact that she knows down [sic] well that that I have purchased the said close corporation as a going concern including all its assets therein</w:t>
      </w:r>
      <w:r w:rsidR="002A291B">
        <w:rPr>
          <w:bCs/>
          <w:color w:val="000000" w:themeColor="text1"/>
          <w:szCs w:val="24"/>
        </w:rPr>
        <w:t>”;</w:t>
      </w:r>
      <w:r w:rsidR="002A291B" w:rsidRPr="000F44F5">
        <w:rPr>
          <w:color w:val="000000" w:themeColor="text1"/>
          <w:szCs w:val="24"/>
          <w:vertAlign w:val="superscript"/>
        </w:rPr>
        <w:footnoteReference w:id="5"/>
      </w:r>
    </w:p>
    <w:p w14:paraId="14824F75" w14:textId="35E63A02" w:rsidR="002A291B" w:rsidRPr="002A291B" w:rsidRDefault="001164B4" w:rsidP="001164B4">
      <w:pPr>
        <w:pStyle w:val="JudgmentNumbered"/>
        <w:numPr>
          <w:ilvl w:val="0"/>
          <w:numId w:val="0"/>
        </w:numPr>
        <w:ind w:left="1134" w:hanging="567"/>
        <w:rPr>
          <w:bCs/>
          <w:color w:val="000000" w:themeColor="text1"/>
          <w:szCs w:val="24"/>
        </w:rPr>
      </w:pPr>
      <w:r w:rsidRPr="002A291B">
        <w:rPr>
          <w:bCs/>
          <w:color w:val="000000" w:themeColor="text1"/>
          <w:szCs w:val="24"/>
        </w:rPr>
        <w:t>b.</w:t>
      </w:r>
      <w:r w:rsidRPr="002A291B">
        <w:rPr>
          <w:bCs/>
          <w:color w:val="000000" w:themeColor="text1"/>
          <w:szCs w:val="24"/>
        </w:rPr>
        <w:tab/>
      </w:r>
      <w:r w:rsidR="002A291B">
        <w:rPr>
          <w:bCs/>
          <w:color w:val="000000" w:themeColor="text1"/>
          <w:szCs w:val="24"/>
        </w:rPr>
        <w:t>“</w:t>
      </w:r>
      <w:r w:rsidR="002A291B" w:rsidRPr="003A1E46">
        <w:rPr>
          <w:bCs/>
          <w:i/>
          <w:iCs/>
          <w:color w:val="000000" w:themeColor="text1"/>
          <w:szCs w:val="24"/>
        </w:rPr>
        <w:t xml:space="preserve">The Said First Respondent and the Second Respondent at the time they drew the First and Final Liquidation and Distribution Account in the estate of the Late Mr Brenner they </w:t>
      </w:r>
      <w:r w:rsidR="00217E36" w:rsidRPr="003A1E46">
        <w:rPr>
          <w:bCs/>
          <w:i/>
          <w:iCs/>
          <w:color w:val="000000" w:themeColor="text1"/>
          <w:szCs w:val="24"/>
        </w:rPr>
        <w:t xml:space="preserve">[sic] </w:t>
      </w:r>
      <w:r w:rsidR="002A291B" w:rsidRPr="003A1E46">
        <w:rPr>
          <w:bCs/>
          <w:i/>
          <w:iCs/>
          <w:color w:val="000000" w:themeColor="text1"/>
          <w:szCs w:val="24"/>
        </w:rPr>
        <w:t xml:space="preserve">knew for a fact that the close corporation was already purchased by me before the death of Mr Brenner and that the </w:t>
      </w:r>
      <w:r w:rsidR="002A291B" w:rsidRPr="003A1E46">
        <w:rPr>
          <w:bCs/>
          <w:i/>
          <w:iCs/>
          <w:color w:val="000000" w:themeColor="text1"/>
          <w:szCs w:val="24"/>
        </w:rPr>
        <w:lastRenderedPageBreak/>
        <w:t>said close corporation was not an asset in the estate of the late Mr Brenner</w:t>
      </w:r>
      <w:r w:rsidR="002A291B">
        <w:rPr>
          <w:bCs/>
          <w:color w:val="000000" w:themeColor="text1"/>
          <w:szCs w:val="24"/>
        </w:rPr>
        <w:t>.”</w:t>
      </w:r>
      <w:r w:rsidR="002A291B" w:rsidRPr="000F44F5">
        <w:rPr>
          <w:color w:val="000000" w:themeColor="text1"/>
          <w:szCs w:val="24"/>
          <w:vertAlign w:val="superscript"/>
        </w:rPr>
        <w:footnoteReference w:id="6"/>
      </w:r>
    </w:p>
    <w:p w14:paraId="21715A54" w14:textId="3A9D0C1B" w:rsidR="0046253D" w:rsidRPr="00E045F3" w:rsidRDefault="001164B4" w:rsidP="001164B4">
      <w:pPr>
        <w:pStyle w:val="JudgmentNumbered"/>
        <w:numPr>
          <w:ilvl w:val="0"/>
          <w:numId w:val="0"/>
        </w:numPr>
        <w:ind w:left="567" w:hanging="567"/>
      </w:pPr>
      <w:r w:rsidRPr="00E045F3">
        <w:rPr>
          <w:bCs/>
        </w:rPr>
        <w:t>[13]</w:t>
      </w:r>
      <w:r w:rsidRPr="00E045F3">
        <w:rPr>
          <w:bCs/>
        </w:rPr>
        <w:tab/>
      </w:r>
      <w:r w:rsidR="002A291B">
        <w:rPr>
          <w:color w:val="000000" w:themeColor="text1"/>
          <w:szCs w:val="24"/>
        </w:rPr>
        <w:t xml:space="preserve">The </w:t>
      </w:r>
      <w:r w:rsidR="00BF144B">
        <w:rPr>
          <w:color w:val="000000" w:themeColor="text1"/>
          <w:szCs w:val="24"/>
        </w:rPr>
        <w:t xml:space="preserve">crux of his case is </w:t>
      </w:r>
      <w:r w:rsidR="00364389">
        <w:rPr>
          <w:color w:val="000000" w:themeColor="text1"/>
          <w:szCs w:val="24"/>
        </w:rPr>
        <w:t>that the applicant</w:t>
      </w:r>
      <w:r w:rsidR="00AF0BD8">
        <w:rPr>
          <w:color w:val="000000" w:themeColor="text1"/>
          <w:szCs w:val="24"/>
        </w:rPr>
        <w:t xml:space="preserve"> believes that he is</w:t>
      </w:r>
      <w:r w:rsidR="00E045F3">
        <w:rPr>
          <w:color w:val="000000" w:themeColor="text1"/>
          <w:szCs w:val="24"/>
        </w:rPr>
        <w:t xml:space="preserve"> entitled to the benefit of the members interest in Crest Car Hire as part of the </w:t>
      </w:r>
      <w:r w:rsidR="0092215A">
        <w:rPr>
          <w:color w:val="000000" w:themeColor="text1"/>
          <w:szCs w:val="24"/>
        </w:rPr>
        <w:t xml:space="preserve">subject </w:t>
      </w:r>
      <w:r w:rsidR="00106179">
        <w:rPr>
          <w:color w:val="000000" w:themeColor="text1"/>
          <w:szCs w:val="24"/>
        </w:rPr>
        <w:t xml:space="preserve">under </w:t>
      </w:r>
      <w:r w:rsidR="00E045F3">
        <w:rPr>
          <w:color w:val="000000" w:themeColor="text1"/>
          <w:szCs w:val="24"/>
        </w:rPr>
        <w:t>the sale of business agreement</w:t>
      </w:r>
      <w:r w:rsidR="00642C23">
        <w:rPr>
          <w:color w:val="000000" w:themeColor="text1"/>
          <w:szCs w:val="24"/>
        </w:rPr>
        <w:t xml:space="preserve"> </w:t>
      </w:r>
      <w:r w:rsidR="009533FE">
        <w:rPr>
          <w:color w:val="000000" w:themeColor="text1"/>
          <w:szCs w:val="24"/>
        </w:rPr>
        <w:t>entered</w:t>
      </w:r>
      <w:r w:rsidR="00642C23">
        <w:rPr>
          <w:color w:val="000000" w:themeColor="text1"/>
          <w:szCs w:val="24"/>
        </w:rPr>
        <w:t xml:space="preserve"> with the close corporation in January 2013. </w:t>
      </w:r>
    </w:p>
    <w:p w14:paraId="19ACF8C2" w14:textId="604E659C" w:rsidR="00E045F3" w:rsidRPr="00062045" w:rsidRDefault="001164B4" w:rsidP="001164B4">
      <w:pPr>
        <w:pStyle w:val="JudgmentNumbered"/>
        <w:numPr>
          <w:ilvl w:val="0"/>
          <w:numId w:val="0"/>
        </w:numPr>
        <w:ind w:left="567" w:hanging="567"/>
      </w:pPr>
      <w:r w:rsidRPr="00062045">
        <w:rPr>
          <w:bCs/>
        </w:rPr>
        <w:t>[14]</w:t>
      </w:r>
      <w:r w:rsidRPr="00062045">
        <w:rPr>
          <w:bCs/>
        </w:rPr>
        <w:tab/>
      </w:r>
      <w:r w:rsidR="00E045F3">
        <w:rPr>
          <w:color w:val="000000" w:themeColor="text1"/>
          <w:szCs w:val="24"/>
        </w:rPr>
        <w:t xml:space="preserve">The </w:t>
      </w:r>
      <w:r w:rsidR="0092215A">
        <w:rPr>
          <w:color w:val="000000" w:themeColor="text1"/>
          <w:szCs w:val="24"/>
        </w:rPr>
        <w:t>first and second respondents opposed the application on various grounds including the non-joinder of Crest Car Hire</w:t>
      </w:r>
      <w:r w:rsidR="00642C23">
        <w:rPr>
          <w:color w:val="000000" w:themeColor="text1"/>
          <w:szCs w:val="24"/>
        </w:rPr>
        <w:t>, the prescription of the claim</w:t>
      </w:r>
      <w:r w:rsidR="007C3E7D">
        <w:rPr>
          <w:color w:val="000000" w:themeColor="text1"/>
          <w:szCs w:val="24"/>
        </w:rPr>
        <w:t xml:space="preserve">, raised by way of a point </w:t>
      </w:r>
      <w:r w:rsidR="007C3E7D" w:rsidRPr="007C3E7D">
        <w:rPr>
          <w:i/>
          <w:iCs/>
          <w:color w:val="000000" w:themeColor="text1"/>
          <w:szCs w:val="24"/>
        </w:rPr>
        <w:t>in limine</w:t>
      </w:r>
      <w:r w:rsidR="00C40CD7">
        <w:rPr>
          <w:i/>
          <w:iCs/>
          <w:color w:val="000000" w:themeColor="text1"/>
          <w:szCs w:val="24"/>
        </w:rPr>
        <w:t>,</w:t>
      </w:r>
      <w:r w:rsidR="007C3E7D">
        <w:rPr>
          <w:color w:val="000000" w:themeColor="text1"/>
          <w:szCs w:val="24"/>
        </w:rPr>
        <w:t xml:space="preserve"> </w:t>
      </w:r>
      <w:r w:rsidR="00642C23">
        <w:rPr>
          <w:color w:val="000000" w:themeColor="text1"/>
          <w:szCs w:val="24"/>
        </w:rPr>
        <w:t xml:space="preserve">and </w:t>
      </w:r>
      <w:r w:rsidR="00062045">
        <w:rPr>
          <w:color w:val="000000" w:themeColor="text1"/>
          <w:szCs w:val="24"/>
        </w:rPr>
        <w:t xml:space="preserve">on the basis that the interpretation of the sale of business agreement did not support the relief. </w:t>
      </w:r>
    </w:p>
    <w:p w14:paraId="3F01E36D" w14:textId="48072CA3" w:rsidR="00062045" w:rsidRPr="000F44F5" w:rsidRDefault="00062045" w:rsidP="00062045">
      <w:pPr>
        <w:pStyle w:val="JudgmentHeading"/>
        <w:tabs>
          <w:tab w:val="left" w:pos="3744"/>
        </w:tabs>
        <w:rPr>
          <w:b/>
          <w:bCs/>
          <w:i w:val="0"/>
          <w:iCs/>
          <w:color w:val="000000" w:themeColor="text1"/>
          <w:szCs w:val="24"/>
        </w:rPr>
      </w:pPr>
      <w:r>
        <w:rPr>
          <w:b/>
          <w:bCs/>
          <w:i w:val="0"/>
          <w:iCs/>
          <w:color w:val="000000" w:themeColor="text1"/>
          <w:szCs w:val="24"/>
        </w:rPr>
        <w:t xml:space="preserve">Procedural History </w:t>
      </w:r>
    </w:p>
    <w:p w14:paraId="467E98BA" w14:textId="4DA8D05D" w:rsidR="00062045" w:rsidRPr="000B528F" w:rsidRDefault="001164B4" w:rsidP="001164B4">
      <w:pPr>
        <w:pStyle w:val="JudgmentNumbered"/>
        <w:numPr>
          <w:ilvl w:val="0"/>
          <w:numId w:val="0"/>
        </w:numPr>
        <w:ind w:left="567" w:hanging="567"/>
        <w:rPr>
          <w:b/>
        </w:rPr>
      </w:pPr>
      <w:r w:rsidRPr="000B528F">
        <w:rPr>
          <w:bCs/>
        </w:rPr>
        <w:t>[15]</w:t>
      </w:r>
      <w:r w:rsidRPr="000B528F">
        <w:rPr>
          <w:bCs/>
        </w:rPr>
        <w:tab/>
      </w:r>
      <w:r w:rsidR="00062045" w:rsidRPr="000F44F5">
        <w:t xml:space="preserve">The </w:t>
      </w:r>
      <w:r w:rsidR="003B03B4">
        <w:t xml:space="preserve">applicant </w:t>
      </w:r>
      <w:r w:rsidR="00E36888">
        <w:t>did not actively prosecute the applica</w:t>
      </w:r>
      <w:r w:rsidR="00E60A32">
        <w:t>tion</w:t>
      </w:r>
      <w:r w:rsidR="00E36888">
        <w:t xml:space="preserve"> and failed to </w:t>
      </w:r>
      <w:r w:rsidR="004759B8">
        <w:t xml:space="preserve">deliver heads of argument </w:t>
      </w:r>
      <w:r w:rsidR="00DB178F">
        <w:t xml:space="preserve">in time. </w:t>
      </w:r>
      <w:r w:rsidR="00106179">
        <w:t xml:space="preserve"> </w:t>
      </w:r>
      <w:r w:rsidR="00DB178F">
        <w:t>O</w:t>
      </w:r>
      <w:r w:rsidR="004759B8">
        <w:t xml:space="preserve">n 8 March 2022, the matter came before Opperman J who ordered the applicant to </w:t>
      </w:r>
      <w:r w:rsidR="005D26B4">
        <w:t>deliver his heads of argument by no later than 10 May 2022.  He failed to do so</w:t>
      </w:r>
      <w:r w:rsidR="00106179">
        <w:t xml:space="preserve"> and took no further steps to prosecute the application. </w:t>
      </w:r>
      <w:r w:rsidR="009C67CA">
        <w:t xml:space="preserve">His attorneys withdrew on 14 April 2023 but </w:t>
      </w:r>
      <w:r w:rsidR="00214243">
        <w:t xml:space="preserve">came on record again on 7 November 2023, six days before the hearing was scheduled to proceed on the opposed motion roll.  </w:t>
      </w:r>
    </w:p>
    <w:p w14:paraId="6199D488" w14:textId="23ECC75C" w:rsidR="000F7AD7" w:rsidRPr="000F7AD7" w:rsidRDefault="001164B4" w:rsidP="001164B4">
      <w:pPr>
        <w:pStyle w:val="JudgmentNumbered"/>
        <w:numPr>
          <w:ilvl w:val="0"/>
          <w:numId w:val="0"/>
        </w:numPr>
        <w:ind w:left="567" w:hanging="567"/>
        <w:rPr>
          <w:b/>
        </w:rPr>
      </w:pPr>
      <w:r w:rsidRPr="000F7AD7">
        <w:rPr>
          <w:bCs/>
        </w:rPr>
        <w:t>[16]</w:t>
      </w:r>
      <w:r w:rsidRPr="000F7AD7">
        <w:rPr>
          <w:bCs/>
        </w:rPr>
        <w:tab/>
      </w:r>
      <w:r w:rsidR="0051325A">
        <w:t>I allocated the matter for hearing on Thursday 16</w:t>
      </w:r>
      <w:r w:rsidR="009319B6">
        <w:t xml:space="preserve"> November 2023 and on 14 November 2023, the applicant brought an application to join Crest Car Hire to the proceedings.  </w:t>
      </w:r>
      <w:r w:rsidR="006039A5">
        <w:t xml:space="preserve">When the matter was called, </w:t>
      </w:r>
      <w:r w:rsidR="004C791B">
        <w:t xml:space="preserve">Ms Matome, who appeared for </w:t>
      </w:r>
      <w:r w:rsidR="006039A5">
        <w:t>the applicant</w:t>
      </w:r>
      <w:r w:rsidR="00DB178F">
        <w:t xml:space="preserve">, </w:t>
      </w:r>
      <w:r w:rsidR="006039A5">
        <w:t xml:space="preserve">requested that the matter be postponed </w:t>
      </w:r>
      <w:r w:rsidR="00F651BA" w:rsidRPr="00A0796D">
        <w:rPr>
          <w:i/>
          <w:iCs/>
        </w:rPr>
        <w:t>sine die</w:t>
      </w:r>
      <w:r w:rsidR="00F651BA">
        <w:t xml:space="preserve"> to allow the first and second respondents to deal with the joinder application.   </w:t>
      </w:r>
    </w:p>
    <w:p w14:paraId="1FE2AD9E" w14:textId="59BC3291" w:rsidR="00E31B3A" w:rsidRDefault="001164B4" w:rsidP="001164B4">
      <w:pPr>
        <w:pStyle w:val="JudgmentNumbered"/>
        <w:numPr>
          <w:ilvl w:val="0"/>
          <w:numId w:val="0"/>
        </w:numPr>
        <w:ind w:left="567" w:hanging="567"/>
        <w:rPr>
          <w:b/>
        </w:rPr>
      </w:pPr>
      <w:r>
        <w:rPr>
          <w:bCs/>
        </w:rPr>
        <w:t>[17]</w:t>
      </w:r>
      <w:r>
        <w:rPr>
          <w:bCs/>
        </w:rPr>
        <w:tab/>
      </w:r>
      <w:r w:rsidR="004C791B">
        <w:t>Mr Hollander who appear</w:t>
      </w:r>
      <w:r w:rsidR="00BF6EC0">
        <w:t>ed</w:t>
      </w:r>
      <w:r w:rsidR="004C791B">
        <w:t xml:space="preserve"> for the first</w:t>
      </w:r>
      <w:r w:rsidR="004937DB">
        <w:t xml:space="preserve"> and second </w:t>
      </w:r>
      <w:r w:rsidR="004C791B">
        <w:t>respondents</w:t>
      </w:r>
      <w:r w:rsidR="00694E7A">
        <w:t xml:space="preserve"> as well as Crest Car Hire</w:t>
      </w:r>
      <w:r w:rsidR="000F7AD7">
        <w:t>,</w:t>
      </w:r>
      <w:r w:rsidR="004C791B">
        <w:t xml:space="preserve"> met th</w:t>
      </w:r>
      <w:r w:rsidR="009D3DAE">
        <w:t xml:space="preserve">e application for a postponement </w:t>
      </w:r>
      <w:r w:rsidR="00926E89">
        <w:t xml:space="preserve">by stating that </w:t>
      </w:r>
      <w:r w:rsidR="00427EF2">
        <w:t xml:space="preserve">his clients </w:t>
      </w:r>
      <w:r w:rsidR="00926E89">
        <w:t>consented to the joinder application and did not intend to file any further affidavits.  He recorded that his clients were ready to proceed with the application</w:t>
      </w:r>
      <w:r w:rsidR="009D3DAE">
        <w:t xml:space="preserve"> and anxious to finalise the proceedings</w:t>
      </w:r>
      <w:r w:rsidR="00D85BE9">
        <w:t xml:space="preserve"> which had been delayed since their institution in 2020.</w:t>
      </w:r>
      <w:r w:rsidR="00BD32E4">
        <w:t xml:space="preserve">  He </w:t>
      </w:r>
      <w:r w:rsidR="00E31B3A">
        <w:t xml:space="preserve">proposed that the applicant be afforded an opportunity to </w:t>
      </w:r>
      <w:r w:rsidR="00E31B3A">
        <w:lastRenderedPageBreak/>
        <w:t>deliver heads of argument which his clients would respond to whereafter judgment could b</w:t>
      </w:r>
      <w:r w:rsidR="00D85BE9">
        <w:t>e</w:t>
      </w:r>
      <w:r w:rsidR="00E31B3A">
        <w:t xml:space="preserve"> delivered without the need for further argument. </w:t>
      </w:r>
    </w:p>
    <w:p w14:paraId="63F4EEBC" w14:textId="55131FEA" w:rsidR="008F53E5" w:rsidRDefault="001164B4" w:rsidP="001164B4">
      <w:pPr>
        <w:pStyle w:val="JudgmentNumbered"/>
        <w:numPr>
          <w:ilvl w:val="0"/>
          <w:numId w:val="0"/>
        </w:numPr>
        <w:ind w:left="567" w:hanging="567"/>
        <w:rPr>
          <w:b/>
        </w:rPr>
      </w:pPr>
      <w:r>
        <w:rPr>
          <w:bCs/>
        </w:rPr>
        <w:t>[18]</w:t>
      </w:r>
      <w:r>
        <w:rPr>
          <w:bCs/>
        </w:rPr>
        <w:tab/>
      </w:r>
      <w:r w:rsidR="00E31B3A" w:rsidRPr="00E31B3A">
        <w:rPr>
          <w:bCs/>
        </w:rPr>
        <w:t xml:space="preserve">After I had made </w:t>
      </w:r>
      <w:r w:rsidR="00A87A4D">
        <w:t xml:space="preserve">an order </w:t>
      </w:r>
      <w:r w:rsidR="00A0796D">
        <w:t>joining Crest Car Hire as the fourth respondent</w:t>
      </w:r>
      <w:r w:rsidR="00E31B3A">
        <w:t xml:space="preserve">, </w:t>
      </w:r>
      <w:r w:rsidR="00C65E5F">
        <w:t>the applicant found himself somewhat o</w:t>
      </w:r>
      <w:r w:rsidR="009D3DAE">
        <w:t>f</w:t>
      </w:r>
      <w:r w:rsidR="00C65E5F">
        <w:t xml:space="preserve">f guard. </w:t>
      </w:r>
      <w:r w:rsidR="005D1B6F">
        <w:t xml:space="preserve">Ms Matome </w:t>
      </w:r>
      <w:r w:rsidR="00F13514">
        <w:t xml:space="preserve">argued that </w:t>
      </w:r>
      <w:r w:rsidR="00830A74">
        <w:t>a</w:t>
      </w:r>
      <w:r w:rsidR="00F13514">
        <w:t xml:space="preserve"> postponement was </w:t>
      </w:r>
      <w:r w:rsidR="00830A74">
        <w:t xml:space="preserve">still </w:t>
      </w:r>
      <w:r w:rsidR="00F13514">
        <w:t>necessary as the applicant had not pleaded the material facts of his cause of acti</w:t>
      </w:r>
      <w:r w:rsidR="00E530E4">
        <w:t>o</w:t>
      </w:r>
      <w:r w:rsidR="00F13514">
        <w:t>n against</w:t>
      </w:r>
      <w:r w:rsidR="002D3ADE">
        <w:t xml:space="preserve"> Crest Car Hire</w:t>
      </w:r>
      <w:r w:rsidR="00830A74">
        <w:t xml:space="preserve">. </w:t>
      </w:r>
      <w:r w:rsidR="0061471D">
        <w:t xml:space="preserve"> </w:t>
      </w:r>
    </w:p>
    <w:p w14:paraId="0F5F7D8E" w14:textId="526057BF" w:rsidR="00D01ABC" w:rsidRPr="008F53E5" w:rsidRDefault="001164B4" w:rsidP="001164B4">
      <w:pPr>
        <w:pStyle w:val="JudgmentNumbered"/>
        <w:numPr>
          <w:ilvl w:val="0"/>
          <w:numId w:val="0"/>
        </w:numPr>
        <w:ind w:left="567" w:hanging="567"/>
        <w:rPr>
          <w:b/>
        </w:rPr>
      </w:pPr>
      <w:r w:rsidRPr="008F53E5">
        <w:rPr>
          <w:bCs/>
        </w:rPr>
        <w:t>[19]</w:t>
      </w:r>
      <w:r w:rsidRPr="008F53E5">
        <w:rPr>
          <w:bCs/>
        </w:rPr>
        <w:tab/>
      </w:r>
      <w:r w:rsidR="00584BAD">
        <w:t>Mr Hollander opposed a</w:t>
      </w:r>
      <w:r w:rsidR="00CB12B8">
        <w:t xml:space="preserve"> </w:t>
      </w:r>
      <w:r w:rsidR="00584BAD">
        <w:t xml:space="preserve">further postponement of the matter </w:t>
      </w:r>
      <w:r w:rsidR="00860D68">
        <w:t xml:space="preserve">on behalf of the first, second and </w:t>
      </w:r>
      <w:r w:rsidR="0020423F">
        <w:t xml:space="preserve">Crest Car Hire </w:t>
      </w:r>
      <w:r w:rsidR="001A3765">
        <w:t xml:space="preserve">on the basis that </w:t>
      </w:r>
      <w:r w:rsidR="006D008F">
        <w:t xml:space="preserve">not only was there no basis </w:t>
      </w:r>
      <w:r w:rsidR="00DF7B09">
        <w:t>to delay the matter any longer,</w:t>
      </w:r>
      <w:r w:rsidR="006D008F">
        <w:t xml:space="preserve"> </w:t>
      </w:r>
      <w:r w:rsidR="00AC3F40">
        <w:t>but no postponement application had been brought</w:t>
      </w:r>
      <w:r w:rsidR="00415434">
        <w:t xml:space="preserve">.  It was </w:t>
      </w:r>
      <w:r w:rsidR="00AC3F40">
        <w:t xml:space="preserve">not clear </w:t>
      </w:r>
      <w:r w:rsidR="00D01ABC">
        <w:t xml:space="preserve">what further allegations the applicant wished to make against </w:t>
      </w:r>
      <w:r w:rsidR="002D3ADE">
        <w:t xml:space="preserve">Crest Car Hire </w:t>
      </w:r>
      <w:r w:rsidR="00D01ABC">
        <w:t>when the issues</w:t>
      </w:r>
      <w:r w:rsidR="0004186A">
        <w:t xml:space="preserve"> in dispute were </w:t>
      </w:r>
      <w:r w:rsidR="00843BFE">
        <w:t>clear from the papers</w:t>
      </w:r>
      <w:r w:rsidR="00A04832">
        <w:t xml:space="preserve">. </w:t>
      </w:r>
      <w:r w:rsidR="00843BFE">
        <w:t xml:space="preserve">Ms Matome was not clear on what further submissions the applicant wished to make. </w:t>
      </w:r>
    </w:p>
    <w:p w14:paraId="7F36942B" w14:textId="4DEB2E69" w:rsidR="00A04832" w:rsidRPr="00A04832" w:rsidRDefault="001164B4" w:rsidP="001164B4">
      <w:pPr>
        <w:pStyle w:val="JudgmentNumbered"/>
        <w:numPr>
          <w:ilvl w:val="0"/>
          <w:numId w:val="0"/>
        </w:numPr>
        <w:ind w:left="567" w:hanging="567"/>
        <w:rPr>
          <w:b/>
        </w:rPr>
      </w:pPr>
      <w:r w:rsidRPr="00A04832">
        <w:rPr>
          <w:bCs/>
        </w:rPr>
        <w:t>[20]</w:t>
      </w:r>
      <w:r w:rsidRPr="00A04832">
        <w:rPr>
          <w:bCs/>
        </w:rPr>
        <w:tab/>
      </w:r>
      <w:r w:rsidR="00D01ABC" w:rsidRPr="00D01ABC">
        <w:rPr>
          <w:bCs/>
        </w:rPr>
        <w:t xml:space="preserve">Following </w:t>
      </w:r>
      <w:r w:rsidR="00D63529" w:rsidRPr="00D01ABC">
        <w:rPr>
          <w:bCs/>
        </w:rPr>
        <w:t>further debate</w:t>
      </w:r>
      <w:r w:rsidR="00D63529">
        <w:t xml:space="preserve"> with counsel, </w:t>
      </w:r>
      <w:r w:rsidR="00B47D27">
        <w:t xml:space="preserve">Ms Matome </w:t>
      </w:r>
      <w:r w:rsidR="00D01ABC">
        <w:t xml:space="preserve">wisely </w:t>
      </w:r>
      <w:r w:rsidR="00822879">
        <w:t xml:space="preserve">elected not to </w:t>
      </w:r>
      <w:r w:rsidR="007C49DF">
        <w:t xml:space="preserve">seek </w:t>
      </w:r>
      <w:r w:rsidR="002755C8">
        <w:t xml:space="preserve">a </w:t>
      </w:r>
      <w:r w:rsidR="007C49DF">
        <w:t xml:space="preserve">further </w:t>
      </w:r>
      <w:r w:rsidR="001F1E16">
        <w:t>postponement of the matter</w:t>
      </w:r>
      <w:r w:rsidR="00925EF8">
        <w:t>,</w:t>
      </w:r>
      <w:r w:rsidR="00E530E4">
        <w:t xml:space="preserve"> which I was not inclined to entertain.</w:t>
      </w:r>
      <w:r w:rsidR="00F64ECF">
        <w:t xml:space="preserve">  </w:t>
      </w:r>
      <w:r w:rsidR="004937DB">
        <w:t>She advised that h</w:t>
      </w:r>
      <w:r w:rsidR="002B64C4">
        <w:t xml:space="preserve">er </w:t>
      </w:r>
      <w:r w:rsidR="001B4D48">
        <w:t>instructions w</w:t>
      </w:r>
      <w:r w:rsidR="00D63529">
        <w:t xml:space="preserve">ere </w:t>
      </w:r>
      <w:r w:rsidR="00C01CF4">
        <w:t>to instead allow the Court to decide the application on the merits</w:t>
      </w:r>
      <w:r w:rsidR="00BD32E4">
        <w:t xml:space="preserve">. </w:t>
      </w:r>
    </w:p>
    <w:p w14:paraId="2D859DC6" w14:textId="51AF520A" w:rsidR="00926E89" w:rsidRPr="007D4337" w:rsidRDefault="001164B4" w:rsidP="001164B4">
      <w:pPr>
        <w:pStyle w:val="JudgmentNumbered"/>
        <w:numPr>
          <w:ilvl w:val="0"/>
          <w:numId w:val="0"/>
        </w:numPr>
        <w:ind w:left="567" w:hanging="567"/>
        <w:rPr>
          <w:b/>
        </w:rPr>
      </w:pPr>
      <w:r w:rsidRPr="007D4337">
        <w:rPr>
          <w:bCs/>
        </w:rPr>
        <w:t>[21]</w:t>
      </w:r>
      <w:r w:rsidRPr="007D4337">
        <w:rPr>
          <w:bCs/>
        </w:rPr>
        <w:tab/>
      </w:r>
      <w:r w:rsidR="004F4E0F">
        <w:t>I directed the applicant to deliver his heads of argument by 1 December 2023.  The first</w:t>
      </w:r>
      <w:r w:rsidR="004937DB">
        <w:t xml:space="preserve">, </w:t>
      </w:r>
      <w:r w:rsidR="004F4E0F">
        <w:t xml:space="preserve">second </w:t>
      </w:r>
      <w:r w:rsidR="004937DB">
        <w:t xml:space="preserve">and </w:t>
      </w:r>
      <w:r w:rsidR="00995F00">
        <w:t xml:space="preserve">Crest Car Hire </w:t>
      </w:r>
      <w:r w:rsidR="004F4E0F">
        <w:t>were allowed to deliver supplementary heads of argument by no later than 15 December 2023</w:t>
      </w:r>
      <w:r w:rsidR="005921BD">
        <w:t xml:space="preserve"> which they</w:t>
      </w:r>
      <w:r w:rsidR="00A270B3">
        <w:t xml:space="preserve"> did</w:t>
      </w:r>
      <w:r w:rsidR="005921BD">
        <w:t xml:space="preserve">. </w:t>
      </w:r>
    </w:p>
    <w:p w14:paraId="38B9E5CC" w14:textId="0D092ECE" w:rsidR="007D4337" w:rsidRPr="000F44F5" w:rsidRDefault="007D4337" w:rsidP="007D4337">
      <w:pPr>
        <w:pStyle w:val="JudgmentHeading"/>
        <w:tabs>
          <w:tab w:val="left" w:pos="3744"/>
        </w:tabs>
        <w:rPr>
          <w:b/>
          <w:bCs/>
          <w:i w:val="0"/>
          <w:iCs/>
          <w:color w:val="000000" w:themeColor="text1"/>
          <w:szCs w:val="24"/>
        </w:rPr>
      </w:pPr>
      <w:r>
        <w:rPr>
          <w:b/>
          <w:bCs/>
          <w:i w:val="0"/>
          <w:iCs/>
          <w:color w:val="000000" w:themeColor="text1"/>
          <w:szCs w:val="24"/>
        </w:rPr>
        <w:t>Identification of the Issue</w:t>
      </w:r>
    </w:p>
    <w:p w14:paraId="4C21A7F0" w14:textId="3FDB0DDB" w:rsidR="00E12500" w:rsidRDefault="001164B4" w:rsidP="001164B4">
      <w:pPr>
        <w:pStyle w:val="JudgmentNumbered"/>
        <w:numPr>
          <w:ilvl w:val="0"/>
          <w:numId w:val="0"/>
        </w:numPr>
        <w:ind w:left="567" w:hanging="567"/>
        <w:rPr>
          <w:b/>
        </w:rPr>
      </w:pPr>
      <w:r>
        <w:rPr>
          <w:bCs/>
        </w:rPr>
        <w:t>[22]</w:t>
      </w:r>
      <w:r>
        <w:rPr>
          <w:bCs/>
        </w:rPr>
        <w:tab/>
      </w:r>
      <w:r w:rsidR="00CD7297">
        <w:t xml:space="preserve">In view of the </w:t>
      </w:r>
      <w:r w:rsidR="00C40CD7">
        <w:t>approach,</w:t>
      </w:r>
      <w:r w:rsidR="00CD7297">
        <w:t xml:space="preserve"> I </w:t>
      </w:r>
      <w:r w:rsidR="00963AB0">
        <w:t>adopt</w:t>
      </w:r>
      <w:r w:rsidR="00CD7297">
        <w:t xml:space="preserve"> to the matter, the </w:t>
      </w:r>
      <w:r w:rsidR="00422B58">
        <w:t xml:space="preserve">application turns on whether the applicant’s claims have prescribed </w:t>
      </w:r>
      <w:r w:rsidR="00626453">
        <w:t>which is dispositive of the relief</w:t>
      </w:r>
      <w:r w:rsidR="00E12500">
        <w:t>.</w:t>
      </w:r>
    </w:p>
    <w:p w14:paraId="717B963D" w14:textId="117B3CE0" w:rsidR="00E12500" w:rsidRDefault="001164B4" w:rsidP="001164B4">
      <w:pPr>
        <w:pStyle w:val="JudgmentNumbered"/>
        <w:numPr>
          <w:ilvl w:val="0"/>
          <w:numId w:val="0"/>
        </w:numPr>
        <w:ind w:left="567" w:hanging="567"/>
        <w:rPr>
          <w:b/>
        </w:rPr>
      </w:pPr>
      <w:r>
        <w:rPr>
          <w:bCs/>
        </w:rPr>
        <w:t>[23]</w:t>
      </w:r>
      <w:r>
        <w:rPr>
          <w:bCs/>
        </w:rPr>
        <w:tab/>
      </w:r>
      <w:r w:rsidR="00E12500">
        <w:t>It</w:t>
      </w:r>
      <w:r w:rsidR="004B4178">
        <w:t xml:space="preserve"> is unnecessary, given th</w:t>
      </w:r>
      <w:r w:rsidR="005C5DB8">
        <w:t>e</w:t>
      </w:r>
      <w:r w:rsidR="004B4178">
        <w:t xml:space="preserve"> conclusion</w:t>
      </w:r>
      <w:r w:rsidR="005C5DB8">
        <w:t xml:space="preserve"> I have come to </w:t>
      </w:r>
      <w:r w:rsidR="00C313D5">
        <w:t xml:space="preserve">concerning </w:t>
      </w:r>
      <w:r w:rsidR="00410F4E">
        <w:t xml:space="preserve">the issue of </w:t>
      </w:r>
      <w:r w:rsidR="00C313D5">
        <w:t>prescription</w:t>
      </w:r>
      <w:r w:rsidR="004B4178">
        <w:t xml:space="preserve">, to consider whether the applicant is entitled to the relief </w:t>
      </w:r>
      <w:r w:rsidR="00A4736D">
        <w:t xml:space="preserve">on a proper interpretation of the </w:t>
      </w:r>
      <w:r w:rsidR="00A270B3">
        <w:t xml:space="preserve">relevant provisions of the </w:t>
      </w:r>
      <w:r w:rsidR="00A4736D">
        <w:t>sale of business agreement</w:t>
      </w:r>
      <w:r w:rsidR="004B4178">
        <w:t>.</w:t>
      </w:r>
      <w:r w:rsidR="00974224">
        <w:t xml:space="preserve"> </w:t>
      </w:r>
      <w:r w:rsidR="007423A2" w:rsidRPr="00E12500">
        <w:rPr>
          <w:b/>
        </w:rPr>
        <w:t xml:space="preserve"> </w:t>
      </w:r>
      <w:r w:rsidR="008F53E5" w:rsidRPr="00E12500">
        <w:rPr>
          <w:b/>
        </w:rPr>
        <w:t xml:space="preserve"> </w:t>
      </w:r>
    </w:p>
    <w:p w14:paraId="27CA937B" w14:textId="7924BD33" w:rsidR="004B4178" w:rsidRPr="00E12500" w:rsidRDefault="001164B4" w:rsidP="001164B4">
      <w:pPr>
        <w:pStyle w:val="JudgmentNumbered"/>
        <w:numPr>
          <w:ilvl w:val="0"/>
          <w:numId w:val="0"/>
        </w:numPr>
        <w:ind w:left="567" w:hanging="567"/>
        <w:rPr>
          <w:b/>
        </w:rPr>
      </w:pPr>
      <w:r w:rsidRPr="00E12500">
        <w:rPr>
          <w:bCs/>
        </w:rPr>
        <w:t>[24]</w:t>
      </w:r>
      <w:r w:rsidRPr="00E12500">
        <w:rPr>
          <w:bCs/>
        </w:rPr>
        <w:tab/>
      </w:r>
      <w:r w:rsidR="004B4178" w:rsidRPr="00B87833">
        <w:t xml:space="preserve">I shall assume for purposes of </w:t>
      </w:r>
      <w:r w:rsidR="004B4178">
        <w:t xml:space="preserve">the </w:t>
      </w:r>
      <w:r w:rsidR="004B4178" w:rsidRPr="00B87833">
        <w:t>judgment, that his interpretation is the correct one</w:t>
      </w:r>
      <w:r w:rsidR="004B4178">
        <w:t xml:space="preserve"> and that the </w:t>
      </w:r>
      <w:r w:rsidR="004B4178" w:rsidRPr="00E12500">
        <w:rPr>
          <w:color w:val="000000" w:themeColor="text1"/>
          <w:szCs w:val="24"/>
        </w:rPr>
        <w:t>s</w:t>
      </w:r>
      <w:r w:rsidR="004B4178" w:rsidRPr="00017739">
        <w:t>ubject</w:t>
      </w:r>
      <w:r w:rsidR="004B4178">
        <w:t xml:space="preserve"> of the sale</w:t>
      </w:r>
      <w:r w:rsidR="004B4178" w:rsidRPr="00017739">
        <w:t xml:space="preserve"> includes the members interest of the close corporation</w:t>
      </w:r>
      <w:r w:rsidR="007423A2">
        <w:t xml:space="preserve"> but I stress that it is not necessary for me to decide the </w:t>
      </w:r>
      <w:r w:rsidR="008F53E5">
        <w:t xml:space="preserve">issue. </w:t>
      </w:r>
    </w:p>
    <w:p w14:paraId="01893A83" w14:textId="0A110BED" w:rsidR="00D86806" w:rsidRPr="00D86806" w:rsidRDefault="00EF5F76" w:rsidP="00D86806">
      <w:pPr>
        <w:pStyle w:val="JudgmentHeading"/>
        <w:tabs>
          <w:tab w:val="left" w:pos="3744"/>
        </w:tabs>
        <w:rPr>
          <w:b/>
          <w:bCs/>
          <w:i w:val="0"/>
          <w:iCs/>
          <w:color w:val="000000" w:themeColor="text1"/>
          <w:szCs w:val="24"/>
        </w:rPr>
      </w:pPr>
      <w:r>
        <w:rPr>
          <w:b/>
          <w:bCs/>
          <w:i w:val="0"/>
          <w:iCs/>
          <w:color w:val="000000" w:themeColor="text1"/>
          <w:szCs w:val="24"/>
        </w:rPr>
        <w:lastRenderedPageBreak/>
        <w:t xml:space="preserve">Prescription </w:t>
      </w:r>
    </w:p>
    <w:p w14:paraId="0CC62B2F" w14:textId="38DFB4B8" w:rsidR="006D2022" w:rsidRPr="00404457" w:rsidRDefault="001164B4" w:rsidP="001164B4">
      <w:pPr>
        <w:pStyle w:val="JudgmentNumbered"/>
        <w:numPr>
          <w:ilvl w:val="0"/>
          <w:numId w:val="0"/>
        </w:numPr>
        <w:ind w:left="567" w:hanging="567"/>
        <w:rPr>
          <w:b/>
        </w:rPr>
      </w:pPr>
      <w:r w:rsidRPr="00404457">
        <w:rPr>
          <w:bCs/>
        </w:rPr>
        <w:t>[25]</w:t>
      </w:r>
      <w:r w:rsidRPr="00404457">
        <w:rPr>
          <w:bCs/>
        </w:rPr>
        <w:tab/>
      </w:r>
      <w:r w:rsidR="00032875">
        <w:t xml:space="preserve">The applicant disputes that </w:t>
      </w:r>
      <w:r w:rsidR="007B1336">
        <w:t>any part of the</w:t>
      </w:r>
      <w:r w:rsidR="00032875">
        <w:t xml:space="preserve"> relief </w:t>
      </w:r>
      <w:r w:rsidR="00404457">
        <w:t xml:space="preserve">formulated in the notice of motion </w:t>
      </w:r>
      <w:r w:rsidR="0033288C">
        <w:t>constitutes a “</w:t>
      </w:r>
      <w:r w:rsidR="0033288C" w:rsidRPr="009B12D0">
        <w:rPr>
          <w:i/>
          <w:iCs/>
        </w:rPr>
        <w:t>debt</w:t>
      </w:r>
      <w:r w:rsidR="0033288C">
        <w:t>” for purposes of prescription</w:t>
      </w:r>
      <w:r w:rsidR="009A7E48">
        <w:t>.</w:t>
      </w:r>
      <w:r w:rsidR="009A7E48" w:rsidRPr="00404457">
        <w:rPr>
          <w:color w:val="000000" w:themeColor="text1"/>
          <w:szCs w:val="24"/>
          <w:vertAlign w:val="superscript"/>
        </w:rPr>
        <w:t xml:space="preserve"> </w:t>
      </w:r>
      <w:r w:rsidR="009A7E48" w:rsidRPr="004A2556">
        <w:rPr>
          <w:color w:val="000000" w:themeColor="text1"/>
          <w:szCs w:val="24"/>
          <w:vertAlign w:val="superscript"/>
        </w:rPr>
        <w:footnoteReference w:id="7"/>
      </w:r>
      <w:r w:rsidR="00EF25C2" w:rsidRPr="00404457">
        <w:rPr>
          <w:color w:val="000000" w:themeColor="text1"/>
          <w:szCs w:val="24"/>
          <w:vertAlign w:val="superscript"/>
        </w:rPr>
        <w:t xml:space="preserve"> </w:t>
      </w:r>
      <w:r w:rsidR="006D2022" w:rsidRPr="00404457">
        <w:rPr>
          <w:color w:val="000000" w:themeColor="text1"/>
          <w:szCs w:val="24"/>
          <w:vertAlign w:val="superscript"/>
        </w:rPr>
        <w:t xml:space="preserve">  </w:t>
      </w:r>
    </w:p>
    <w:p w14:paraId="39EE7EF7" w14:textId="26C39960" w:rsidR="0031528C" w:rsidRDefault="001164B4" w:rsidP="001164B4">
      <w:pPr>
        <w:pStyle w:val="JudgmentNumbered"/>
        <w:numPr>
          <w:ilvl w:val="0"/>
          <w:numId w:val="0"/>
        </w:numPr>
        <w:ind w:left="567" w:hanging="567"/>
        <w:rPr>
          <w:b/>
        </w:rPr>
      </w:pPr>
      <w:r>
        <w:rPr>
          <w:bCs/>
        </w:rPr>
        <w:t>[26]</w:t>
      </w:r>
      <w:r>
        <w:rPr>
          <w:bCs/>
        </w:rPr>
        <w:tab/>
      </w:r>
      <w:r w:rsidR="00EF25C2" w:rsidRPr="00A3009A">
        <w:rPr>
          <w:bCs/>
        </w:rPr>
        <w:t>It is for this reason nece</w:t>
      </w:r>
      <w:r w:rsidR="00A3009A" w:rsidRPr="00A3009A">
        <w:rPr>
          <w:bCs/>
        </w:rPr>
        <w:t xml:space="preserve">ssary to first determine if the claims </w:t>
      </w:r>
      <w:r w:rsidR="00C0703F">
        <w:rPr>
          <w:bCs/>
        </w:rPr>
        <w:t xml:space="preserve">set out in his notice of motion </w:t>
      </w:r>
      <w:r w:rsidR="00A3009A" w:rsidRPr="00A3009A">
        <w:rPr>
          <w:bCs/>
        </w:rPr>
        <w:t xml:space="preserve">fall within the purview of the Prescription Act 68 of 1969. </w:t>
      </w:r>
      <w:r w:rsidR="00CC7CA6">
        <w:rPr>
          <w:b/>
        </w:rPr>
        <w:t xml:space="preserve"> </w:t>
      </w:r>
    </w:p>
    <w:p w14:paraId="54B7C872" w14:textId="0C1BEF9A" w:rsidR="006A2ECF" w:rsidRDefault="001164B4" w:rsidP="001164B4">
      <w:pPr>
        <w:pStyle w:val="JudgmentNumbered"/>
        <w:numPr>
          <w:ilvl w:val="0"/>
          <w:numId w:val="0"/>
        </w:numPr>
        <w:ind w:left="567" w:hanging="567"/>
        <w:rPr>
          <w:b/>
        </w:rPr>
      </w:pPr>
      <w:r>
        <w:rPr>
          <w:bCs/>
        </w:rPr>
        <w:t>[27]</w:t>
      </w:r>
      <w:r>
        <w:rPr>
          <w:bCs/>
        </w:rPr>
        <w:tab/>
      </w:r>
      <w:r w:rsidR="00EF25C2" w:rsidRPr="00CC7CA6">
        <w:rPr>
          <w:bCs/>
        </w:rPr>
        <w:t>S</w:t>
      </w:r>
      <w:r w:rsidR="00FC7CFA" w:rsidRPr="00CC7CA6">
        <w:rPr>
          <w:bCs/>
          <w:color w:val="000000" w:themeColor="text1"/>
          <w:szCs w:val="24"/>
          <w:shd w:val="clear" w:color="auto" w:fill="FFFFFF"/>
        </w:rPr>
        <w:t>ection 1</w:t>
      </w:r>
      <w:r w:rsidR="00FC7CFA" w:rsidRPr="00CC7CA6">
        <w:rPr>
          <w:color w:val="000000" w:themeColor="text1"/>
          <w:szCs w:val="24"/>
          <w:shd w:val="clear" w:color="auto" w:fill="FFFFFF"/>
        </w:rPr>
        <w:t>0(1) of the Prescription Act provides that a “</w:t>
      </w:r>
      <w:r w:rsidR="00FC7CFA" w:rsidRPr="009B12D0">
        <w:rPr>
          <w:i/>
          <w:iCs/>
          <w:color w:val="000000" w:themeColor="text1"/>
          <w:szCs w:val="24"/>
          <w:shd w:val="clear" w:color="auto" w:fill="FFFFFF"/>
        </w:rPr>
        <w:t>debt</w:t>
      </w:r>
      <w:r w:rsidR="00FC7CFA" w:rsidRPr="00CC7CA6">
        <w:rPr>
          <w:color w:val="000000" w:themeColor="text1"/>
          <w:szCs w:val="24"/>
          <w:shd w:val="clear" w:color="auto" w:fill="FFFFFF"/>
        </w:rPr>
        <w:t xml:space="preserve">” shall be extinguished after the lapse of the relevant prescriptive period, which in the case of contractual debts </w:t>
      </w:r>
      <w:r w:rsidR="001B7E86" w:rsidRPr="00CC7CA6">
        <w:rPr>
          <w:color w:val="000000" w:themeColor="text1"/>
          <w:szCs w:val="24"/>
          <w:shd w:val="clear" w:color="auto" w:fill="FFFFFF"/>
        </w:rPr>
        <w:t>i</w:t>
      </w:r>
      <w:r w:rsidR="00FC7CFA" w:rsidRPr="00CC7CA6">
        <w:rPr>
          <w:color w:val="000000" w:themeColor="text1"/>
          <w:szCs w:val="24"/>
          <w:shd w:val="clear" w:color="auto" w:fill="FFFFFF"/>
        </w:rPr>
        <w:t>s three years (see section 11(d)</w:t>
      </w:r>
      <w:r w:rsidR="00D77211">
        <w:rPr>
          <w:color w:val="000000" w:themeColor="text1"/>
          <w:szCs w:val="24"/>
          <w:shd w:val="clear" w:color="auto" w:fill="FFFFFF"/>
        </w:rPr>
        <w:t>)</w:t>
      </w:r>
      <w:r w:rsidR="00FC7CFA" w:rsidRPr="00CC7CA6">
        <w:rPr>
          <w:color w:val="000000" w:themeColor="text1"/>
          <w:szCs w:val="24"/>
          <w:shd w:val="clear" w:color="auto" w:fill="FFFFFF"/>
        </w:rPr>
        <w:t xml:space="preserve">.  While </w:t>
      </w:r>
      <w:r w:rsidR="0031528C">
        <w:rPr>
          <w:color w:val="000000" w:themeColor="text1"/>
          <w:szCs w:val="24"/>
          <w:shd w:val="clear" w:color="auto" w:fill="FFFFFF"/>
        </w:rPr>
        <w:t>a “</w:t>
      </w:r>
      <w:r w:rsidR="0031528C" w:rsidRPr="009B12D0">
        <w:rPr>
          <w:i/>
          <w:iCs/>
          <w:color w:val="000000" w:themeColor="text1"/>
          <w:szCs w:val="24"/>
          <w:shd w:val="clear" w:color="auto" w:fill="FFFFFF"/>
        </w:rPr>
        <w:t>debt</w:t>
      </w:r>
      <w:r w:rsidR="0031528C">
        <w:rPr>
          <w:color w:val="000000" w:themeColor="text1"/>
          <w:szCs w:val="24"/>
          <w:shd w:val="clear" w:color="auto" w:fill="FFFFFF"/>
        </w:rPr>
        <w:t xml:space="preserve">” </w:t>
      </w:r>
      <w:r w:rsidR="00FC7CFA" w:rsidRPr="00CC7CA6">
        <w:rPr>
          <w:color w:val="000000" w:themeColor="text1"/>
          <w:szCs w:val="24"/>
          <w:shd w:val="clear" w:color="auto" w:fill="FFFFFF"/>
        </w:rPr>
        <w:t>is not defined in the statute, it traditionally carried a broad meaning to include any obligation to do something or refrain from doing something.</w:t>
      </w:r>
      <w:r w:rsidR="00FC7CFA" w:rsidRPr="004A2556">
        <w:rPr>
          <w:color w:val="000000" w:themeColor="text1"/>
          <w:szCs w:val="24"/>
          <w:vertAlign w:val="superscript"/>
        </w:rPr>
        <w:footnoteReference w:id="8"/>
      </w:r>
    </w:p>
    <w:p w14:paraId="6682FAC5" w14:textId="4B4AB559" w:rsidR="00F91972" w:rsidRPr="006A2ECF" w:rsidRDefault="001164B4" w:rsidP="001164B4">
      <w:pPr>
        <w:pStyle w:val="JudgmentNumbered"/>
        <w:numPr>
          <w:ilvl w:val="0"/>
          <w:numId w:val="0"/>
        </w:numPr>
        <w:ind w:left="567" w:hanging="567"/>
        <w:rPr>
          <w:b/>
        </w:rPr>
      </w:pPr>
      <w:r w:rsidRPr="006A2ECF">
        <w:rPr>
          <w:bCs/>
        </w:rPr>
        <w:t>[28]</w:t>
      </w:r>
      <w:r w:rsidRPr="006A2ECF">
        <w:rPr>
          <w:bCs/>
        </w:rPr>
        <w:tab/>
      </w:r>
      <w:r w:rsidR="00FC7CFA" w:rsidRPr="006A2ECF">
        <w:rPr>
          <w:color w:val="000000" w:themeColor="text1"/>
          <w:szCs w:val="24"/>
        </w:rPr>
        <w:t xml:space="preserve">The Constitutional Court in </w:t>
      </w:r>
      <w:r w:rsidR="00FC7CFA" w:rsidRPr="006A2ECF">
        <w:rPr>
          <w:b/>
          <w:bCs/>
          <w:color w:val="000000" w:themeColor="text1"/>
          <w:szCs w:val="24"/>
        </w:rPr>
        <w:t>Makate v Vodacom Limited</w:t>
      </w:r>
      <w:r w:rsidR="00FC7CFA" w:rsidRPr="006A2ECF">
        <w:rPr>
          <w:color w:val="000000" w:themeColor="text1"/>
          <w:szCs w:val="24"/>
        </w:rPr>
        <w:t xml:space="preserve"> 2016 4 SA 121 (CC) and </w:t>
      </w:r>
      <w:r w:rsidR="00FC7CFA" w:rsidRPr="006A2ECF">
        <w:rPr>
          <w:b/>
          <w:bCs/>
          <w:color w:val="000000" w:themeColor="text1"/>
          <w:szCs w:val="24"/>
        </w:rPr>
        <w:t xml:space="preserve">Off-Beat Holiday Club v Sanbonani Holiday Spa Shareblock Limited </w:t>
      </w:r>
      <w:r w:rsidR="00FC7CFA" w:rsidRPr="006A2ECF">
        <w:rPr>
          <w:color w:val="000000" w:themeColor="text1"/>
          <w:szCs w:val="24"/>
        </w:rPr>
        <w:t>2017 (5) SA 9 (CC)</w:t>
      </w:r>
      <w:r w:rsidR="00FC7CFA" w:rsidRPr="006A2ECF">
        <w:rPr>
          <w:b/>
          <w:bCs/>
          <w:color w:val="000000" w:themeColor="text1"/>
          <w:szCs w:val="24"/>
        </w:rPr>
        <w:t xml:space="preserve"> </w:t>
      </w:r>
      <w:r w:rsidR="00FC7CFA" w:rsidRPr="006A2ECF">
        <w:rPr>
          <w:color w:val="000000" w:themeColor="text1"/>
          <w:szCs w:val="24"/>
        </w:rPr>
        <w:t>curtailed the expansive meaning previously given to the term in judgments like</w:t>
      </w:r>
      <w:r w:rsidR="001B2961" w:rsidRPr="006A2ECF">
        <w:rPr>
          <w:b/>
          <w:bCs/>
          <w:color w:val="000000" w:themeColor="text1"/>
          <w:szCs w:val="24"/>
        </w:rPr>
        <w:t xml:space="preserve"> </w:t>
      </w:r>
      <w:r w:rsidR="00FC7CFA" w:rsidRPr="006A2ECF">
        <w:rPr>
          <w:b/>
          <w:bCs/>
          <w:color w:val="000000" w:themeColor="text1"/>
          <w:szCs w:val="24"/>
        </w:rPr>
        <w:t>Desai NO v Desai and Others</w:t>
      </w:r>
      <w:r w:rsidR="00FC7CFA" w:rsidRPr="006A2ECF">
        <w:rPr>
          <w:color w:val="000000" w:themeColor="text1"/>
          <w:szCs w:val="24"/>
        </w:rPr>
        <w:t xml:space="preserve"> 1996 1 SA 141 (A)</w:t>
      </w:r>
      <w:r w:rsidR="00FC7CFA" w:rsidRPr="006A2ECF">
        <w:rPr>
          <w:color w:val="000000" w:themeColor="text1"/>
          <w:szCs w:val="24"/>
          <w:vertAlign w:val="superscript"/>
        </w:rPr>
        <w:t xml:space="preserve"> </w:t>
      </w:r>
      <w:r w:rsidR="00FC7CFA" w:rsidRPr="001938E9">
        <w:rPr>
          <w:color w:val="000000" w:themeColor="text1"/>
          <w:szCs w:val="24"/>
          <w:vertAlign w:val="superscript"/>
        </w:rPr>
        <w:footnoteReference w:id="9"/>
      </w:r>
      <w:r w:rsidR="00FC7CFA" w:rsidRPr="006A2ECF">
        <w:rPr>
          <w:color w:val="000000" w:themeColor="text1"/>
          <w:szCs w:val="24"/>
        </w:rPr>
        <w:t xml:space="preserve"> </w:t>
      </w:r>
      <w:r w:rsidR="00FC7CFA" w:rsidRPr="006A2ECF">
        <w:rPr>
          <w:color w:val="000000" w:themeColor="text1"/>
        </w:rPr>
        <w:t xml:space="preserve">where </w:t>
      </w:r>
      <w:r w:rsidR="00205E56" w:rsidRPr="006A2ECF">
        <w:rPr>
          <w:color w:val="000000" w:themeColor="text1"/>
        </w:rPr>
        <w:t xml:space="preserve">the term was interpreted to </w:t>
      </w:r>
      <w:r w:rsidR="00D3530B" w:rsidRPr="0052742D">
        <w:t xml:space="preserve">convey a wide and general meaning </w:t>
      </w:r>
      <w:r w:rsidR="002D713E">
        <w:t xml:space="preserve">significantly </w:t>
      </w:r>
      <w:r w:rsidR="00D3530B" w:rsidRPr="0052742D">
        <w:t>broader than the payment of money and include</w:t>
      </w:r>
      <w:r w:rsidR="002D713E">
        <w:t>d</w:t>
      </w:r>
      <w:r w:rsidR="00D3530B" w:rsidRPr="0052742D">
        <w:t xml:space="preserve"> an obligation to do something or refrain from doing something</w:t>
      </w:r>
      <w:r w:rsidR="00E457D2">
        <w:t xml:space="preserve">. </w:t>
      </w:r>
      <w:r w:rsidR="00610D9A">
        <w:t xml:space="preserve"> Jaftha J, writing for the majority in </w:t>
      </w:r>
      <w:r w:rsidR="00610D9A" w:rsidRPr="006A2ECF">
        <w:rPr>
          <w:b/>
          <w:bCs/>
        </w:rPr>
        <w:t>Makate</w:t>
      </w:r>
      <w:r w:rsidR="00610D9A">
        <w:t xml:space="preserve">, </w:t>
      </w:r>
      <w:r w:rsidR="00095AFE">
        <w:t xml:space="preserve">criticised the broad </w:t>
      </w:r>
      <w:r w:rsidR="00A137A1">
        <w:t xml:space="preserve">interpretation adopted </w:t>
      </w:r>
      <w:r w:rsidR="00DC48BE">
        <w:t xml:space="preserve">by the </w:t>
      </w:r>
      <w:r w:rsidR="00E0657E">
        <w:t xml:space="preserve">Appellate Division </w:t>
      </w:r>
      <w:r w:rsidR="00DC48BE">
        <w:t>in</w:t>
      </w:r>
      <w:r w:rsidR="00A137A1">
        <w:t xml:space="preserve"> </w:t>
      </w:r>
      <w:r w:rsidR="00A137A1" w:rsidRPr="006A2ECF">
        <w:rPr>
          <w:b/>
          <w:bCs/>
        </w:rPr>
        <w:t>Desai</w:t>
      </w:r>
      <w:r w:rsidR="00A137A1">
        <w:t xml:space="preserve"> </w:t>
      </w:r>
      <w:r w:rsidR="001866CF">
        <w:t>on the basis that</w:t>
      </w:r>
      <w:r w:rsidR="00956591">
        <w:t>:</w:t>
      </w:r>
    </w:p>
    <w:p w14:paraId="5D30B33E" w14:textId="3B5F1F90" w:rsidR="00F91972" w:rsidRPr="00C9780E" w:rsidRDefault="001164B4" w:rsidP="001164B4">
      <w:pPr>
        <w:pStyle w:val="JudgmentNumbered"/>
        <w:numPr>
          <w:ilvl w:val="0"/>
          <w:numId w:val="0"/>
        </w:numPr>
        <w:ind w:left="1134" w:hanging="567"/>
        <w:rPr>
          <w:bCs/>
          <w:color w:val="000000" w:themeColor="text1"/>
          <w:szCs w:val="24"/>
        </w:rPr>
      </w:pPr>
      <w:r w:rsidRPr="00C9780E">
        <w:rPr>
          <w:bCs/>
          <w:color w:val="000000" w:themeColor="text1"/>
          <w:szCs w:val="24"/>
        </w:rPr>
        <w:t>a.</w:t>
      </w:r>
      <w:r w:rsidRPr="00C9780E">
        <w:rPr>
          <w:bCs/>
          <w:color w:val="000000" w:themeColor="text1"/>
          <w:szCs w:val="24"/>
        </w:rPr>
        <w:tab/>
      </w:r>
      <w:r w:rsidR="00F91972">
        <w:t xml:space="preserve">it had the consequence that any claim that required a person to either do or refrain from doing something irrespective of the nature of the obligation would fall within the net of section 10(1); </w:t>
      </w:r>
    </w:p>
    <w:p w14:paraId="7C1F70A0" w14:textId="618EB914" w:rsidR="00F91972" w:rsidRDefault="001164B4" w:rsidP="001164B4">
      <w:pPr>
        <w:pStyle w:val="JudgmentNumbered"/>
        <w:numPr>
          <w:ilvl w:val="0"/>
          <w:numId w:val="0"/>
        </w:numPr>
        <w:ind w:left="1134" w:hanging="567"/>
        <w:rPr>
          <w:bCs/>
          <w:color w:val="000000" w:themeColor="text1"/>
          <w:szCs w:val="24"/>
        </w:rPr>
      </w:pPr>
      <w:r>
        <w:rPr>
          <w:bCs/>
          <w:color w:val="000000" w:themeColor="text1"/>
          <w:szCs w:val="24"/>
        </w:rPr>
        <w:t>b.</w:t>
      </w:r>
      <w:r>
        <w:rPr>
          <w:bCs/>
          <w:color w:val="000000" w:themeColor="text1"/>
          <w:szCs w:val="24"/>
        </w:rPr>
        <w:tab/>
      </w:r>
      <w:r w:rsidR="00F91972">
        <w:rPr>
          <w:bCs/>
          <w:color w:val="000000" w:themeColor="text1"/>
          <w:szCs w:val="24"/>
        </w:rPr>
        <w:t>a constitutional approach that constructs section 10(1) read with section 11 and 12 in a manner consistent with section 39(2) of the Constitution required the adoption of an interpretation of a “</w:t>
      </w:r>
      <w:r w:rsidR="00F91972" w:rsidRPr="009B12D0">
        <w:rPr>
          <w:bCs/>
          <w:i/>
          <w:iCs/>
          <w:color w:val="000000" w:themeColor="text1"/>
          <w:szCs w:val="24"/>
        </w:rPr>
        <w:t>debt</w:t>
      </w:r>
      <w:r w:rsidR="00F91972">
        <w:rPr>
          <w:bCs/>
          <w:color w:val="000000" w:themeColor="text1"/>
          <w:szCs w:val="24"/>
        </w:rPr>
        <w:t>” that is the least likely to interfere with the right of access to Court enshrined by section 34 of the Constitution</w:t>
      </w:r>
      <w:r w:rsidR="000E7730">
        <w:rPr>
          <w:bCs/>
          <w:color w:val="000000" w:themeColor="text1"/>
          <w:szCs w:val="24"/>
        </w:rPr>
        <w:t>;</w:t>
      </w:r>
    </w:p>
    <w:p w14:paraId="0D9EF05F" w14:textId="0DA72DA5" w:rsidR="000E7730" w:rsidRPr="00FE21DA" w:rsidRDefault="001164B4" w:rsidP="001164B4">
      <w:pPr>
        <w:pStyle w:val="JudgmentNumbered"/>
        <w:numPr>
          <w:ilvl w:val="0"/>
          <w:numId w:val="0"/>
        </w:numPr>
        <w:ind w:left="1134" w:hanging="567"/>
        <w:rPr>
          <w:bCs/>
          <w:color w:val="000000" w:themeColor="text1"/>
          <w:szCs w:val="24"/>
        </w:rPr>
      </w:pPr>
      <w:r w:rsidRPr="00FE21DA">
        <w:rPr>
          <w:bCs/>
          <w:color w:val="000000" w:themeColor="text1"/>
          <w:szCs w:val="24"/>
        </w:rPr>
        <w:lastRenderedPageBreak/>
        <w:t>c.</w:t>
      </w:r>
      <w:r w:rsidRPr="00FE21DA">
        <w:rPr>
          <w:bCs/>
          <w:color w:val="000000" w:themeColor="text1"/>
          <w:szCs w:val="24"/>
        </w:rPr>
        <w:tab/>
      </w:r>
      <w:r w:rsidR="000E7730">
        <w:rPr>
          <w:bCs/>
          <w:color w:val="000000" w:themeColor="text1"/>
          <w:szCs w:val="24"/>
        </w:rPr>
        <w:t>the meaning given to “</w:t>
      </w:r>
      <w:r w:rsidR="000E7730" w:rsidRPr="00D5134D">
        <w:rPr>
          <w:bCs/>
          <w:i/>
          <w:iCs/>
          <w:color w:val="000000" w:themeColor="text1"/>
          <w:szCs w:val="24"/>
        </w:rPr>
        <w:t>debt</w:t>
      </w:r>
      <w:r w:rsidR="000E7730">
        <w:rPr>
          <w:bCs/>
          <w:color w:val="000000" w:themeColor="text1"/>
          <w:szCs w:val="24"/>
        </w:rPr>
        <w:t xml:space="preserve">” in </w:t>
      </w:r>
      <w:r w:rsidR="000E7730" w:rsidRPr="005345AB">
        <w:rPr>
          <w:b/>
          <w:color w:val="000000" w:themeColor="text1"/>
          <w:szCs w:val="24"/>
        </w:rPr>
        <w:t>Desai</w:t>
      </w:r>
      <w:r w:rsidR="000E7730">
        <w:rPr>
          <w:bCs/>
          <w:color w:val="000000" w:themeColor="text1"/>
          <w:szCs w:val="24"/>
        </w:rPr>
        <w:t xml:space="preserve"> was inconsistent with the </w:t>
      </w:r>
      <w:r w:rsidR="00E0657E">
        <w:rPr>
          <w:bCs/>
          <w:color w:val="000000" w:themeColor="text1"/>
          <w:szCs w:val="24"/>
        </w:rPr>
        <w:t xml:space="preserve">Appellate Division’s </w:t>
      </w:r>
      <w:r w:rsidR="000E7730">
        <w:rPr>
          <w:bCs/>
          <w:color w:val="000000" w:themeColor="text1"/>
          <w:szCs w:val="24"/>
        </w:rPr>
        <w:t xml:space="preserve">earlier judgment in </w:t>
      </w:r>
      <w:r w:rsidR="00E0657E" w:rsidRPr="00946207">
        <w:rPr>
          <w:b/>
          <w:color w:val="000000" w:themeColor="text1"/>
          <w:szCs w:val="24"/>
        </w:rPr>
        <w:t>Stewar</w:t>
      </w:r>
      <w:r w:rsidR="00881683">
        <w:rPr>
          <w:b/>
          <w:color w:val="000000" w:themeColor="text1"/>
          <w:szCs w:val="24"/>
        </w:rPr>
        <w:t>t</w:t>
      </w:r>
      <w:r w:rsidR="00E0657E" w:rsidRPr="00946207">
        <w:rPr>
          <w:b/>
          <w:color w:val="000000" w:themeColor="text1"/>
          <w:szCs w:val="24"/>
        </w:rPr>
        <w:t>s and Ll</w:t>
      </w:r>
      <w:r w:rsidR="00946207" w:rsidRPr="00946207">
        <w:rPr>
          <w:b/>
          <w:color w:val="000000" w:themeColor="text1"/>
          <w:szCs w:val="24"/>
        </w:rPr>
        <w:t>oyds</w:t>
      </w:r>
      <w:r w:rsidR="00FE21DA" w:rsidRPr="001938E9">
        <w:rPr>
          <w:color w:val="000000" w:themeColor="text1"/>
          <w:szCs w:val="24"/>
          <w:vertAlign w:val="superscript"/>
        </w:rPr>
        <w:footnoteReference w:id="10"/>
      </w:r>
      <w:r w:rsidR="00946207">
        <w:rPr>
          <w:bCs/>
          <w:color w:val="000000" w:themeColor="text1"/>
          <w:szCs w:val="24"/>
        </w:rPr>
        <w:t xml:space="preserve"> </w:t>
      </w:r>
      <w:r w:rsidR="00A20813">
        <w:rPr>
          <w:bCs/>
          <w:color w:val="000000" w:themeColor="text1"/>
          <w:szCs w:val="24"/>
        </w:rPr>
        <w:t xml:space="preserve">which was more circumscribed and </w:t>
      </w:r>
      <w:r w:rsidR="00840962">
        <w:rPr>
          <w:bCs/>
          <w:color w:val="000000" w:themeColor="text1"/>
          <w:szCs w:val="24"/>
        </w:rPr>
        <w:t>h</w:t>
      </w:r>
      <w:r w:rsidR="00A43E60">
        <w:rPr>
          <w:bCs/>
          <w:color w:val="000000" w:themeColor="text1"/>
          <w:szCs w:val="24"/>
        </w:rPr>
        <w:t>olds</w:t>
      </w:r>
      <w:r w:rsidR="00840962">
        <w:rPr>
          <w:bCs/>
          <w:color w:val="000000" w:themeColor="text1"/>
          <w:szCs w:val="24"/>
        </w:rPr>
        <w:t xml:space="preserve"> that a “</w:t>
      </w:r>
      <w:r w:rsidR="00840962" w:rsidRPr="00D5134D">
        <w:rPr>
          <w:bCs/>
          <w:i/>
          <w:iCs/>
          <w:color w:val="000000" w:themeColor="text1"/>
          <w:szCs w:val="24"/>
        </w:rPr>
        <w:t>debt</w:t>
      </w:r>
      <w:r w:rsidR="00840962">
        <w:rPr>
          <w:bCs/>
          <w:color w:val="000000" w:themeColor="text1"/>
          <w:szCs w:val="24"/>
        </w:rPr>
        <w:t xml:space="preserve">” </w:t>
      </w:r>
      <w:r w:rsidR="005A3225">
        <w:rPr>
          <w:bCs/>
          <w:color w:val="000000" w:themeColor="text1"/>
          <w:szCs w:val="24"/>
        </w:rPr>
        <w:t>means the</w:t>
      </w:r>
      <w:r w:rsidR="00840962">
        <w:rPr>
          <w:bCs/>
          <w:color w:val="000000" w:themeColor="text1"/>
          <w:szCs w:val="24"/>
        </w:rPr>
        <w:t xml:space="preserve"> </w:t>
      </w:r>
      <w:r w:rsidR="00EC1041">
        <w:rPr>
          <w:bCs/>
          <w:color w:val="000000" w:themeColor="text1"/>
          <w:szCs w:val="24"/>
        </w:rPr>
        <w:t>discharg</w:t>
      </w:r>
      <w:r w:rsidR="005A3225">
        <w:rPr>
          <w:bCs/>
          <w:color w:val="000000" w:themeColor="text1"/>
          <w:szCs w:val="24"/>
        </w:rPr>
        <w:t>e</w:t>
      </w:r>
      <w:r w:rsidR="00EC1041">
        <w:rPr>
          <w:bCs/>
          <w:color w:val="000000" w:themeColor="text1"/>
          <w:szCs w:val="24"/>
        </w:rPr>
        <w:t xml:space="preserve"> </w:t>
      </w:r>
      <w:r w:rsidR="00A43E60">
        <w:rPr>
          <w:bCs/>
          <w:color w:val="000000" w:themeColor="text1"/>
          <w:szCs w:val="24"/>
        </w:rPr>
        <w:t xml:space="preserve">of </w:t>
      </w:r>
      <w:r w:rsidR="00EC1041">
        <w:rPr>
          <w:bCs/>
          <w:color w:val="000000" w:themeColor="text1"/>
          <w:szCs w:val="24"/>
        </w:rPr>
        <w:t>that which is owed or due whether measured in terms of money, goods or services</w:t>
      </w:r>
      <w:r w:rsidR="00FE21DA">
        <w:rPr>
          <w:bCs/>
          <w:color w:val="000000" w:themeColor="text1"/>
          <w:szCs w:val="24"/>
        </w:rPr>
        <w:t xml:space="preserve"> </w:t>
      </w:r>
      <w:r w:rsidR="00A43E60">
        <w:rPr>
          <w:bCs/>
          <w:color w:val="000000" w:themeColor="text1"/>
          <w:szCs w:val="24"/>
        </w:rPr>
        <w:t xml:space="preserve">that </w:t>
      </w:r>
      <w:r w:rsidR="00FE21DA">
        <w:rPr>
          <w:bCs/>
          <w:color w:val="000000" w:themeColor="text1"/>
          <w:szCs w:val="24"/>
        </w:rPr>
        <w:t xml:space="preserve">one person is under an obligation to pay or render to another. </w:t>
      </w:r>
    </w:p>
    <w:p w14:paraId="6355E1DE" w14:textId="0BE93BC8" w:rsidR="00E95B4A" w:rsidRPr="00CE49FA" w:rsidRDefault="001164B4" w:rsidP="001164B4">
      <w:pPr>
        <w:pStyle w:val="JudgmentNumbered"/>
        <w:numPr>
          <w:ilvl w:val="0"/>
          <w:numId w:val="0"/>
        </w:numPr>
        <w:ind w:left="567" w:hanging="567"/>
        <w:rPr>
          <w:b/>
          <w:bCs/>
          <w:color w:val="000000" w:themeColor="text1"/>
          <w:szCs w:val="24"/>
        </w:rPr>
      </w:pPr>
      <w:r w:rsidRPr="00CE49FA">
        <w:rPr>
          <w:bCs/>
          <w:color w:val="000000" w:themeColor="text1"/>
          <w:szCs w:val="24"/>
        </w:rPr>
        <w:t>[29]</w:t>
      </w:r>
      <w:r w:rsidRPr="00CE49FA">
        <w:rPr>
          <w:bCs/>
          <w:color w:val="000000" w:themeColor="text1"/>
          <w:szCs w:val="24"/>
        </w:rPr>
        <w:tab/>
      </w:r>
      <w:r w:rsidR="00206619">
        <w:rPr>
          <w:bCs/>
          <w:color w:val="000000" w:themeColor="text1"/>
          <w:szCs w:val="24"/>
        </w:rPr>
        <w:t xml:space="preserve">While the majority judgment in </w:t>
      </w:r>
      <w:r w:rsidR="00206619" w:rsidRPr="007B1A82">
        <w:rPr>
          <w:b/>
          <w:color w:val="000000" w:themeColor="text1"/>
          <w:szCs w:val="24"/>
        </w:rPr>
        <w:t>Makate</w:t>
      </w:r>
      <w:r w:rsidR="00206619">
        <w:rPr>
          <w:bCs/>
          <w:color w:val="000000" w:themeColor="text1"/>
          <w:szCs w:val="24"/>
        </w:rPr>
        <w:t xml:space="preserve"> signalled a clear transformative intent to </w:t>
      </w:r>
      <w:r w:rsidR="00CE49FA">
        <w:rPr>
          <w:bCs/>
          <w:color w:val="000000" w:themeColor="text1"/>
          <w:szCs w:val="24"/>
        </w:rPr>
        <w:t xml:space="preserve">bring the law of extinctive prescription in line with constitutional values, the facts </w:t>
      </w:r>
      <w:r w:rsidR="00F91972" w:rsidRPr="00CE49FA">
        <w:rPr>
          <w:bCs/>
          <w:color w:val="000000" w:themeColor="text1"/>
          <w:szCs w:val="24"/>
        </w:rPr>
        <w:t xml:space="preserve">before the Court in </w:t>
      </w:r>
      <w:r w:rsidR="00F91972" w:rsidRPr="00CE49FA">
        <w:rPr>
          <w:b/>
          <w:color w:val="000000" w:themeColor="text1"/>
          <w:szCs w:val="24"/>
        </w:rPr>
        <w:t>Makate</w:t>
      </w:r>
      <w:r w:rsidR="00F91972" w:rsidRPr="00CE49FA">
        <w:rPr>
          <w:bCs/>
          <w:color w:val="000000" w:themeColor="text1"/>
          <w:szCs w:val="24"/>
        </w:rPr>
        <w:t xml:space="preserve"> </w:t>
      </w:r>
      <w:r w:rsidR="00CE49FA">
        <w:rPr>
          <w:bCs/>
          <w:color w:val="000000" w:themeColor="text1"/>
          <w:szCs w:val="24"/>
        </w:rPr>
        <w:t>ultimately d</w:t>
      </w:r>
      <w:r w:rsidR="00F91972" w:rsidRPr="00CE49FA">
        <w:rPr>
          <w:bCs/>
          <w:color w:val="000000" w:themeColor="text1"/>
          <w:szCs w:val="24"/>
        </w:rPr>
        <w:t xml:space="preserve">id not require </w:t>
      </w:r>
      <w:r w:rsidR="00132892" w:rsidRPr="00CE49FA">
        <w:rPr>
          <w:bCs/>
          <w:color w:val="000000" w:themeColor="text1"/>
          <w:szCs w:val="24"/>
        </w:rPr>
        <w:t xml:space="preserve">a </w:t>
      </w:r>
      <w:r w:rsidR="00C0703F" w:rsidRPr="00CE49FA">
        <w:rPr>
          <w:bCs/>
          <w:color w:val="000000" w:themeColor="text1"/>
          <w:szCs w:val="24"/>
        </w:rPr>
        <w:t xml:space="preserve">more </w:t>
      </w:r>
      <w:r w:rsidR="00132892" w:rsidRPr="00CE49FA">
        <w:rPr>
          <w:bCs/>
          <w:color w:val="000000" w:themeColor="text1"/>
          <w:szCs w:val="24"/>
        </w:rPr>
        <w:t xml:space="preserve">precise delineation of </w:t>
      </w:r>
      <w:r w:rsidR="003335EB" w:rsidRPr="00CE49FA">
        <w:rPr>
          <w:bCs/>
          <w:color w:val="000000" w:themeColor="text1"/>
          <w:szCs w:val="24"/>
        </w:rPr>
        <w:t xml:space="preserve">what constitutes </w:t>
      </w:r>
      <w:r w:rsidR="00132892" w:rsidRPr="00CE49FA">
        <w:rPr>
          <w:bCs/>
          <w:color w:val="000000" w:themeColor="text1"/>
          <w:szCs w:val="24"/>
        </w:rPr>
        <w:t>a “</w:t>
      </w:r>
      <w:r w:rsidR="00132892" w:rsidRPr="00D5134D">
        <w:rPr>
          <w:bCs/>
          <w:i/>
          <w:iCs/>
          <w:color w:val="000000" w:themeColor="text1"/>
          <w:szCs w:val="24"/>
        </w:rPr>
        <w:t>debt</w:t>
      </w:r>
      <w:r w:rsidR="00132892" w:rsidRPr="00CE49FA">
        <w:rPr>
          <w:bCs/>
          <w:color w:val="000000" w:themeColor="text1"/>
          <w:szCs w:val="24"/>
        </w:rPr>
        <w:t>” as envisaged in section 10</w:t>
      </w:r>
      <w:r w:rsidR="003335EB" w:rsidRPr="00CE49FA">
        <w:rPr>
          <w:bCs/>
          <w:color w:val="000000" w:themeColor="text1"/>
          <w:szCs w:val="24"/>
        </w:rPr>
        <w:t xml:space="preserve"> since</w:t>
      </w:r>
      <w:r w:rsidR="00890835" w:rsidRPr="00CE49FA">
        <w:rPr>
          <w:bCs/>
          <w:color w:val="000000" w:themeColor="text1"/>
          <w:szCs w:val="24"/>
        </w:rPr>
        <w:t xml:space="preserve"> the claim was one that lay </w:t>
      </w:r>
      <w:r w:rsidR="00B6704F" w:rsidRPr="00CE49FA">
        <w:rPr>
          <w:bCs/>
          <w:color w:val="000000" w:themeColor="text1"/>
          <w:szCs w:val="24"/>
        </w:rPr>
        <w:t xml:space="preserve">beyond </w:t>
      </w:r>
      <w:r w:rsidR="00890835" w:rsidRPr="00CE49FA">
        <w:rPr>
          <w:bCs/>
          <w:color w:val="000000" w:themeColor="text1"/>
          <w:szCs w:val="24"/>
        </w:rPr>
        <w:t xml:space="preserve">the scope of the term as used in </w:t>
      </w:r>
      <w:r w:rsidR="0010549E" w:rsidRPr="00CE49FA">
        <w:rPr>
          <w:b/>
          <w:bCs/>
          <w:snapToGrid w:val="0"/>
          <w:shd w:val="clear" w:color="auto" w:fill="FFFFFF"/>
        </w:rPr>
        <w:t>Stewarts and Lloyds</w:t>
      </w:r>
      <w:r w:rsidR="00FF0EE5" w:rsidRPr="00CE49FA">
        <w:rPr>
          <w:snapToGrid w:val="0"/>
          <w:shd w:val="clear" w:color="auto" w:fill="FFFFFF"/>
        </w:rPr>
        <w:t>.</w:t>
      </w:r>
      <w:r w:rsidR="00047B59" w:rsidRPr="001938E9">
        <w:rPr>
          <w:color w:val="000000" w:themeColor="text1"/>
          <w:szCs w:val="24"/>
          <w:vertAlign w:val="superscript"/>
        </w:rPr>
        <w:footnoteReference w:id="11"/>
      </w:r>
      <w:r w:rsidR="0036632D" w:rsidRPr="00CE49FA">
        <w:rPr>
          <w:b/>
          <w:bCs/>
          <w:color w:val="000000" w:themeColor="text1"/>
          <w:szCs w:val="24"/>
        </w:rPr>
        <w:t xml:space="preserve"> </w:t>
      </w:r>
      <w:r w:rsidR="00FF0EE5" w:rsidRPr="00CE49FA">
        <w:rPr>
          <w:color w:val="000000" w:themeColor="text1"/>
          <w:szCs w:val="24"/>
        </w:rPr>
        <w:t>T</w:t>
      </w:r>
      <w:r w:rsidR="00086A1E" w:rsidRPr="00CE49FA">
        <w:rPr>
          <w:color w:val="000000" w:themeColor="text1"/>
          <w:szCs w:val="24"/>
        </w:rPr>
        <w:t xml:space="preserve">he </w:t>
      </w:r>
      <w:r w:rsidR="003335EB" w:rsidRPr="00CE49FA">
        <w:rPr>
          <w:color w:val="000000" w:themeColor="text1"/>
          <w:szCs w:val="24"/>
        </w:rPr>
        <w:t xml:space="preserve">definition adopted in </w:t>
      </w:r>
      <w:r w:rsidR="00FF0EE5" w:rsidRPr="00CE49FA">
        <w:rPr>
          <w:b/>
          <w:bCs/>
          <w:color w:val="000000" w:themeColor="text1"/>
          <w:szCs w:val="24"/>
        </w:rPr>
        <w:t>Stewarts and Lloyds</w:t>
      </w:r>
      <w:r w:rsidR="00FF0EE5" w:rsidRPr="00CE49FA">
        <w:rPr>
          <w:color w:val="000000" w:themeColor="text1"/>
          <w:szCs w:val="24"/>
        </w:rPr>
        <w:t xml:space="preserve"> </w:t>
      </w:r>
      <w:r w:rsidR="00974224" w:rsidRPr="00CE49FA">
        <w:rPr>
          <w:color w:val="000000" w:themeColor="text1"/>
          <w:szCs w:val="24"/>
        </w:rPr>
        <w:t xml:space="preserve">has </w:t>
      </w:r>
      <w:r w:rsidR="00B0047C" w:rsidRPr="00CE49FA">
        <w:rPr>
          <w:color w:val="000000" w:themeColor="text1"/>
          <w:szCs w:val="24"/>
        </w:rPr>
        <w:t xml:space="preserve">however </w:t>
      </w:r>
      <w:r w:rsidR="00974224" w:rsidRPr="00CE49FA">
        <w:rPr>
          <w:color w:val="000000" w:themeColor="text1"/>
          <w:szCs w:val="24"/>
        </w:rPr>
        <w:t xml:space="preserve">withstood constitutional scrutiny </w:t>
      </w:r>
      <w:r w:rsidR="00D3711B" w:rsidRPr="00CE49FA">
        <w:rPr>
          <w:color w:val="000000" w:themeColor="text1"/>
          <w:szCs w:val="24"/>
        </w:rPr>
        <w:t xml:space="preserve">from the Courts </w:t>
      </w:r>
      <w:r w:rsidR="00F44581" w:rsidRPr="00CE49FA">
        <w:rPr>
          <w:color w:val="000000" w:themeColor="text1"/>
          <w:szCs w:val="24"/>
        </w:rPr>
        <w:t xml:space="preserve">in both </w:t>
      </w:r>
      <w:r w:rsidR="00DE7C96" w:rsidRPr="00CE49FA">
        <w:rPr>
          <w:b/>
          <w:bCs/>
          <w:color w:val="000000" w:themeColor="text1"/>
          <w:szCs w:val="24"/>
        </w:rPr>
        <w:t>Makate</w:t>
      </w:r>
      <w:r w:rsidR="00F44581" w:rsidRPr="001938E9">
        <w:rPr>
          <w:color w:val="000000" w:themeColor="text1"/>
          <w:szCs w:val="24"/>
          <w:vertAlign w:val="superscript"/>
        </w:rPr>
        <w:footnoteReference w:id="12"/>
      </w:r>
      <w:r w:rsidR="00F44581" w:rsidRPr="00CE49FA">
        <w:rPr>
          <w:b/>
          <w:bCs/>
          <w:color w:val="000000" w:themeColor="text1"/>
          <w:szCs w:val="24"/>
        </w:rPr>
        <w:t xml:space="preserve"> </w:t>
      </w:r>
      <w:r w:rsidR="00DE7C96" w:rsidRPr="00CE49FA">
        <w:rPr>
          <w:color w:val="000000" w:themeColor="text1"/>
          <w:szCs w:val="24"/>
        </w:rPr>
        <w:t xml:space="preserve">and </w:t>
      </w:r>
      <w:r w:rsidR="00DE7C96" w:rsidRPr="00CE49FA">
        <w:rPr>
          <w:b/>
          <w:bCs/>
          <w:color w:val="000000" w:themeColor="text1"/>
          <w:szCs w:val="24"/>
        </w:rPr>
        <w:t>Sanbonani</w:t>
      </w:r>
      <w:r w:rsidR="005D7A8C" w:rsidRPr="00CE49FA">
        <w:rPr>
          <w:color w:val="000000" w:themeColor="text1"/>
          <w:szCs w:val="24"/>
        </w:rPr>
        <w:t xml:space="preserve"> and remains good law today</w:t>
      </w:r>
      <w:r w:rsidR="00B0047C" w:rsidRPr="00CE49FA">
        <w:rPr>
          <w:color w:val="000000" w:themeColor="text1"/>
          <w:szCs w:val="24"/>
        </w:rPr>
        <w:t xml:space="preserve"> with the result that </w:t>
      </w:r>
      <w:r w:rsidR="00392F7B" w:rsidRPr="00CE49FA">
        <w:rPr>
          <w:color w:val="000000" w:themeColor="text1"/>
          <w:szCs w:val="24"/>
        </w:rPr>
        <w:t xml:space="preserve">the obligation that underpins a debt </w:t>
      </w:r>
      <w:r w:rsidR="00400005">
        <w:rPr>
          <w:color w:val="000000" w:themeColor="text1"/>
          <w:szCs w:val="24"/>
        </w:rPr>
        <w:t xml:space="preserve">represents </w:t>
      </w:r>
      <w:r w:rsidR="00392F7B" w:rsidRPr="00CE49FA">
        <w:rPr>
          <w:color w:val="000000" w:themeColor="text1"/>
          <w:szCs w:val="24"/>
        </w:rPr>
        <w:t>something more than an obligation</w:t>
      </w:r>
      <w:r w:rsidR="00D83B45">
        <w:rPr>
          <w:color w:val="000000" w:themeColor="text1"/>
          <w:szCs w:val="24"/>
        </w:rPr>
        <w:t xml:space="preserve"> to make payment of money</w:t>
      </w:r>
      <w:r w:rsidR="00392F7B" w:rsidRPr="00CE49FA">
        <w:rPr>
          <w:color w:val="000000" w:themeColor="text1"/>
          <w:szCs w:val="24"/>
        </w:rPr>
        <w:t>.</w:t>
      </w:r>
      <w:r w:rsidR="00DE7C96" w:rsidRPr="001938E9">
        <w:rPr>
          <w:color w:val="000000" w:themeColor="text1"/>
          <w:szCs w:val="24"/>
          <w:vertAlign w:val="superscript"/>
        </w:rPr>
        <w:footnoteReference w:id="13"/>
      </w:r>
      <w:r w:rsidR="00243A7F" w:rsidRPr="00CE49FA">
        <w:rPr>
          <w:b/>
          <w:bCs/>
          <w:color w:val="000000" w:themeColor="text1"/>
          <w:szCs w:val="24"/>
        </w:rPr>
        <w:t xml:space="preserve"> </w:t>
      </w:r>
      <w:r w:rsidR="006400B5">
        <w:rPr>
          <w:color w:val="000000" w:themeColor="text1"/>
          <w:szCs w:val="24"/>
        </w:rPr>
        <w:t xml:space="preserve">It includes an obligation arising in contract for specific performance. </w:t>
      </w:r>
    </w:p>
    <w:p w14:paraId="4FE7FF2F" w14:textId="626D086D" w:rsidR="00E95B4A" w:rsidRDefault="001164B4" w:rsidP="001164B4">
      <w:pPr>
        <w:pStyle w:val="JudgmentNumbered"/>
        <w:numPr>
          <w:ilvl w:val="0"/>
          <w:numId w:val="0"/>
        </w:numPr>
        <w:ind w:left="567" w:hanging="567"/>
        <w:rPr>
          <w:b/>
          <w:bCs/>
          <w:color w:val="000000" w:themeColor="text1"/>
          <w:szCs w:val="24"/>
        </w:rPr>
      </w:pPr>
      <w:r>
        <w:rPr>
          <w:bCs/>
          <w:color w:val="000000" w:themeColor="text1"/>
          <w:szCs w:val="24"/>
        </w:rPr>
        <w:t>[30]</w:t>
      </w:r>
      <w:r>
        <w:rPr>
          <w:bCs/>
          <w:color w:val="000000" w:themeColor="text1"/>
          <w:szCs w:val="24"/>
        </w:rPr>
        <w:tab/>
      </w:r>
      <w:r w:rsidR="00AB01DB" w:rsidRPr="00E95B4A">
        <w:rPr>
          <w:color w:val="000000" w:themeColor="text1"/>
          <w:szCs w:val="24"/>
        </w:rPr>
        <w:t xml:space="preserve">The </w:t>
      </w:r>
      <w:r w:rsidR="00517539" w:rsidRPr="00E95B4A">
        <w:rPr>
          <w:color w:val="000000" w:themeColor="text1"/>
          <w:szCs w:val="24"/>
        </w:rPr>
        <w:t xml:space="preserve">first </w:t>
      </w:r>
      <w:r w:rsidR="00D17BAC" w:rsidRPr="00E95B4A">
        <w:rPr>
          <w:color w:val="000000" w:themeColor="text1"/>
          <w:szCs w:val="24"/>
        </w:rPr>
        <w:t xml:space="preserve">three </w:t>
      </w:r>
      <w:r w:rsidR="00517539" w:rsidRPr="00E95B4A">
        <w:rPr>
          <w:color w:val="000000" w:themeColor="text1"/>
          <w:szCs w:val="24"/>
        </w:rPr>
        <w:t>prayer</w:t>
      </w:r>
      <w:r w:rsidR="00D17BAC" w:rsidRPr="00E95B4A">
        <w:rPr>
          <w:color w:val="000000" w:themeColor="text1"/>
          <w:szCs w:val="24"/>
        </w:rPr>
        <w:t>s</w:t>
      </w:r>
      <w:r w:rsidR="00517539" w:rsidRPr="00E95B4A">
        <w:rPr>
          <w:color w:val="000000" w:themeColor="text1"/>
          <w:szCs w:val="24"/>
        </w:rPr>
        <w:t xml:space="preserve"> </w:t>
      </w:r>
      <w:r w:rsidR="00AB01DB" w:rsidRPr="00E95B4A">
        <w:rPr>
          <w:color w:val="000000" w:themeColor="text1"/>
          <w:szCs w:val="24"/>
        </w:rPr>
        <w:t xml:space="preserve">of the notice of motion </w:t>
      </w:r>
      <w:r w:rsidR="00105A67" w:rsidRPr="00E95B4A">
        <w:rPr>
          <w:color w:val="000000" w:themeColor="text1"/>
          <w:szCs w:val="24"/>
        </w:rPr>
        <w:t xml:space="preserve">can loosely be described as orders that owe their genesis to the contractual rights the applicant </w:t>
      </w:r>
      <w:r w:rsidR="00F162E4" w:rsidRPr="00E95B4A">
        <w:rPr>
          <w:color w:val="000000" w:themeColor="text1"/>
          <w:szCs w:val="24"/>
        </w:rPr>
        <w:t xml:space="preserve">believes he enjoys under the sale of business agreement to </w:t>
      </w:r>
      <w:r w:rsidR="006A0B08" w:rsidRPr="00E95B4A">
        <w:rPr>
          <w:color w:val="000000" w:themeColor="text1"/>
          <w:szCs w:val="24"/>
        </w:rPr>
        <w:t xml:space="preserve">insist on </w:t>
      </w:r>
      <w:r w:rsidR="00DA145F" w:rsidRPr="00E95B4A">
        <w:rPr>
          <w:color w:val="000000" w:themeColor="text1"/>
          <w:szCs w:val="24"/>
        </w:rPr>
        <w:t xml:space="preserve">a </w:t>
      </w:r>
      <w:r w:rsidR="006A0B08" w:rsidRPr="00E95B4A">
        <w:rPr>
          <w:color w:val="000000" w:themeColor="text1"/>
          <w:szCs w:val="24"/>
        </w:rPr>
        <w:t>transfer of the members interest in Crest Car Hire</w:t>
      </w:r>
      <w:r w:rsidR="00E95B4A">
        <w:rPr>
          <w:color w:val="000000" w:themeColor="text1"/>
          <w:szCs w:val="24"/>
        </w:rPr>
        <w:t xml:space="preserve">.  </w:t>
      </w:r>
      <w:r w:rsidR="00967A19" w:rsidRPr="00E95B4A">
        <w:rPr>
          <w:color w:val="000000" w:themeColor="text1"/>
          <w:szCs w:val="24"/>
        </w:rPr>
        <w:t xml:space="preserve">They </w:t>
      </w:r>
      <w:r w:rsidR="00A64716" w:rsidRPr="00E95B4A">
        <w:rPr>
          <w:color w:val="000000" w:themeColor="text1"/>
          <w:szCs w:val="24"/>
        </w:rPr>
        <w:t xml:space="preserve">seek to give </w:t>
      </w:r>
      <w:r w:rsidR="00F23DA3" w:rsidRPr="00E95B4A">
        <w:rPr>
          <w:color w:val="000000" w:themeColor="text1"/>
          <w:szCs w:val="24"/>
        </w:rPr>
        <w:t xml:space="preserve">practical </w:t>
      </w:r>
      <w:r w:rsidR="00A64716" w:rsidRPr="00E95B4A">
        <w:rPr>
          <w:color w:val="000000" w:themeColor="text1"/>
          <w:szCs w:val="24"/>
        </w:rPr>
        <w:t>effect to this right</w:t>
      </w:r>
      <w:r w:rsidR="000B1E62" w:rsidRPr="00E95B4A">
        <w:rPr>
          <w:color w:val="000000" w:themeColor="text1"/>
          <w:szCs w:val="24"/>
        </w:rPr>
        <w:t>.</w:t>
      </w:r>
      <w:r w:rsidR="00575639" w:rsidRPr="00E95B4A">
        <w:rPr>
          <w:color w:val="000000" w:themeColor="text1"/>
          <w:szCs w:val="24"/>
        </w:rPr>
        <w:t xml:space="preserve"> </w:t>
      </w:r>
    </w:p>
    <w:p w14:paraId="1FCA7F39" w14:textId="026B1E10" w:rsidR="0082786C" w:rsidRPr="0082786C" w:rsidRDefault="001164B4" w:rsidP="001164B4">
      <w:pPr>
        <w:pStyle w:val="JudgmentNumbered"/>
        <w:numPr>
          <w:ilvl w:val="0"/>
          <w:numId w:val="0"/>
        </w:numPr>
        <w:ind w:left="567" w:hanging="567"/>
        <w:rPr>
          <w:b/>
          <w:bCs/>
          <w:color w:val="000000" w:themeColor="text1"/>
          <w:szCs w:val="24"/>
        </w:rPr>
      </w:pPr>
      <w:r w:rsidRPr="0082786C">
        <w:rPr>
          <w:bCs/>
          <w:color w:val="000000" w:themeColor="text1"/>
          <w:szCs w:val="24"/>
        </w:rPr>
        <w:t>[31]</w:t>
      </w:r>
      <w:r w:rsidRPr="0082786C">
        <w:rPr>
          <w:bCs/>
          <w:color w:val="000000" w:themeColor="text1"/>
          <w:szCs w:val="24"/>
        </w:rPr>
        <w:tab/>
      </w:r>
      <w:r w:rsidR="00225FFC" w:rsidRPr="00E95B4A">
        <w:rPr>
          <w:color w:val="000000" w:themeColor="text1"/>
          <w:szCs w:val="24"/>
        </w:rPr>
        <w:t xml:space="preserve">A proper characterisation of the </w:t>
      </w:r>
      <w:r w:rsidR="00F23DA3" w:rsidRPr="00E95B4A">
        <w:rPr>
          <w:color w:val="000000" w:themeColor="text1"/>
          <w:szCs w:val="24"/>
        </w:rPr>
        <w:t xml:space="preserve">relief </w:t>
      </w:r>
      <w:r w:rsidR="00F63BAA" w:rsidRPr="00E95B4A">
        <w:rPr>
          <w:color w:val="000000" w:themeColor="text1"/>
          <w:szCs w:val="24"/>
        </w:rPr>
        <w:t xml:space="preserve">leads to the conclusion that the claim is one for specific performance </w:t>
      </w:r>
      <w:r w:rsidR="00F23DA3" w:rsidRPr="00E95B4A">
        <w:rPr>
          <w:color w:val="000000" w:themeColor="text1"/>
          <w:szCs w:val="24"/>
        </w:rPr>
        <w:t xml:space="preserve">of a contractual obligation </w:t>
      </w:r>
      <w:r w:rsidR="00F672C9" w:rsidRPr="00E95B4A">
        <w:rPr>
          <w:color w:val="000000" w:themeColor="text1"/>
          <w:szCs w:val="24"/>
        </w:rPr>
        <w:t xml:space="preserve">that entitled the applicant </w:t>
      </w:r>
      <w:r w:rsidR="00F23DA3" w:rsidRPr="00E95B4A">
        <w:rPr>
          <w:color w:val="000000" w:themeColor="text1"/>
          <w:szCs w:val="24"/>
        </w:rPr>
        <w:t xml:space="preserve">to </w:t>
      </w:r>
      <w:r w:rsidR="00B8284C">
        <w:rPr>
          <w:color w:val="000000" w:themeColor="text1"/>
          <w:szCs w:val="24"/>
        </w:rPr>
        <w:t xml:space="preserve">demand </w:t>
      </w:r>
      <w:r w:rsidR="00856A47" w:rsidRPr="00E95B4A">
        <w:rPr>
          <w:color w:val="000000" w:themeColor="text1"/>
          <w:szCs w:val="24"/>
        </w:rPr>
        <w:t xml:space="preserve">the registration of the members interest </w:t>
      </w:r>
      <w:r w:rsidR="00F672C9" w:rsidRPr="00E95B4A">
        <w:rPr>
          <w:color w:val="000000" w:themeColor="text1"/>
          <w:szCs w:val="24"/>
        </w:rPr>
        <w:t>in his name</w:t>
      </w:r>
      <w:r w:rsidR="00BB345E">
        <w:rPr>
          <w:color w:val="000000" w:themeColor="text1"/>
          <w:szCs w:val="24"/>
        </w:rPr>
        <w:t xml:space="preserve"> on his interpretation of the agreement. </w:t>
      </w:r>
    </w:p>
    <w:p w14:paraId="79E13FE5" w14:textId="262C093D" w:rsidR="00AC77E3" w:rsidRPr="00E910CD" w:rsidRDefault="001164B4" w:rsidP="001164B4">
      <w:pPr>
        <w:pStyle w:val="JudgmentNumbered"/>
        <w:numPr>
          <w:ilvl w:val="0"/>
          <w:numId w:val="0"/>
        </w:numPr>
        <w:ind w:left="567" w:hanging="567"/>
        <w:rPr>
          <w:b/>
          <w:bCs/>
          <w:color w:val="000000" w:themeColor="text1"/>
          <w:szCs w:val="24"/>
        </w:rPr>
      </w:pPr>
      <w:r w:rsidRPr="00E910CD">
        <w:rPr>
          <w:bCs/>
          <w:color w:val="000000" w:themeColor="text1"/>
          <w:szCs w:val="24"/>
        </w:rPr>
        <w:t>[32]</w:t>
      </w:r>
      <w:r w:rsidRPr="00E910CD">
        <w:rPr>
          <w:bCs/>
          <w:color w:val="000000" w:themeColor="text1"/>
          <w:szCs w:val="24"/>
        </w:rPr>
        <w:tab/>
      </w:r>
      <w:r w:rsidR="00B0684B" w:rsidRPr="00E95B4A">
        <w:rPr>
          <w:color w:val="000000" w:themeColor="text1"/>
          <w:szCs w:val="24"/>
        </w:rPr>
        <w:t xml:space="preserve">The fact that the right concerns an incorporeal </w:t>
      </w:r>
      <w:r w:rsidR="004573A3">
        <w:rPr>
          <w:color w:val="000000" w:themeColor="text1"/>
          <w:szCs w:val="24"/>
        </w:rPr>
        <w:t>movable</w:t>
      </w:r>
      <w:r w:rsidR="008E7036" w:rsidRPr="004A2556">
        <w:rPr>
          <w:color w:val="000000" w:themeColor="text1"/>
          <w:szCs w:val="24"/>
          <w:vertAlign w:val="superscript"/>
        </w:rPr>
        <w:footnoteReference w:id="14"/>
      </w:r>
      <w:r w:rsidR="004573A3">
        <w:rPr>
          <w:color w:val="000000" w:themeColor="text1"/>
          <w:szCs w:val="24"/>
        </w:rPr>
        <w:t xml:space="preserve"> </w:t>
      </w:r>
      <w:r w:rsidR="00C056DF" w:rsidRPr="00E95B4A">
        <w:rPr>
          <w:color w:val="000000" w:themeColor="text1"/>
          <w:szCs w:val="24"/>
        </w:rPr>
        <w:t xml:space="preserve">that finds expression in the members interest of a close corporation does not alter the fact that </w:t>
      </w:r>
      <w:r w:rsidR="008D4AFC" w:rsidRPr="00E95B4A">
        <w:rPr>
          <w:color w:val="000000" w:themeColor="text1"/>
          <w:szCs w:val="24"/>
        </w:rPr>
        <w:t xml:space="preserve">the </w:t>
      </w:r>
      <w:r w:rsidR="008D4AFC" w:rsidRPr="00E95B4A">
        <w:rPr>
          <w:color w:val="000000" w:themeColor="text1"/>
          <w:szCs w:val="24"/>
        </w:rPr>
        <w:lastRenderedPageBreak/>
        <w:t xml:space="preserve">contractual obligation to </w:t>
      </w:r>
      <w:r w:rsidR="00F32B1F">
        <w:rPr>
          <w:color w:val="000000" w:themeColor="text1"/>
          <w:szCs w:val="24"/>
        </w:rPr>
        <w:t>effect transfer</w:t>
      </w:r>
      <w:r w:rsidR="008D4AFC" w:rsidRPr="00E95B4A">
        <w:rPr>
          <w:color w:val="000000" w:themeColor="text1"/>
          <w:szCs w:val="24"/>
        </w:rPr>
        <w:t xml:space="preserve">, assuming for a moment the applicant is correct in his interpretation, constitutes </w:t>
      </w:r>
      <w:r w:rsidR="004B63D6" w:rsidRPr="00E95B4A">
        <w:rPr>
          <w:color w:val="000000" w:themeColor="text1"/>
          <w:szCs w:val="24"/>
        </w:rPr>
        <w:t>a “</w:t>
      </w:r>
      <w:r w:rsidR="004B63D6" w:rsidRPr="00F70BC0">
        <w:rPr>
          <w:i/>
          <w:iCs/>
          <w:color w:val="000000" w:themeColor="text1"/>
          <w:szCs w:val="24"/>
        </w:rPr>
        <w:t>debt</w:t>
      </w:r>
      <w:r w:rsidR="004B63D6" w:rsidRPr="00E95B4A">
        <w:rPr>
          <w:color w:val="000000" w:themeColor="text1"/>
          <w:szCs w:val="24"/>
        </w:rPr>
        <w:t>” within the meaning of the Prescription Act.</w:t>
      </w:r>
      <w:r w:rsidR="00E910CD" w:rsidRPr="00E910CD">
        <w:rPr>
          <w:color w:val="000000" w:themeColor="text1"/>
          <w:szCs w:val="24"/>
          <w:vertAlign w:val="superscript"/>
        </w:rPr>
        <w:t xml:space="preserve"> </w:t>
      </w:r>
      <w:r w:rsidR="00E910CD" w:rsidRPr="004A2556">
        <w:rPr>
          <w:color w:val="000000" w:themeColor="text1"/>
          <w:szCs w:val="24"/>
          <w:vertAlign w:val="superscript"/>
        </w:rPr>
        <w:footnoteReference w:id="15"/>
      </w:r>
    </w:p>
    <w:p w14:paraId="789E5B72" w14:textId="0C800427" w:rsidR="00680C65" w:rsidRPr="0082786C" w:rsidRDefault="001164B4" w:rsidP="001164B4">
      <w:pPr>
        <w:pStyle w:val="JudgmentNumbered"/>
        <w:numPr>
          <w:ilvl w:val="0"/>
          <w:numId w:val="0"/>
        </w:numPr>
        <w:ind w:left="567" w:hanging="567"/>
        <w:rPr>
          <w:color w:val="000000" w:themeColor="text1"/>
          <w:szCs w:val="24"/>
        </w:rPr>
      </w:pPr>
      <w:r w:rsidRPr="0082786C">
        <w:rPr>
          <w:bCs/>
          <w:color w:val="000000" w:themeColor="text1"/>
          <w:szCs w:val="24"/>
        </w:rPr>
        <w:t>[33]</w:t>
      </w:r>
      <w:r w:rsidRPr="0082786C">
        <w:rPr>
          <w:bCs/>
          <w:color w:val="000000" w:themeColor="text1"/>
          <w:szCs w:val="24"/>
        </w:rPr>
        <w:tab/>
      </w:r>
      <w:r w:rsidR="00CE0D84" w:rsidRPr="0052742D">
        <w:t>Prescription begins to run as soon as the debt is due</w:t>
      </w:r>
      <w:r w:rsidR="005778D6">
        <w:t xml:space="preserve">, but as provided in section 12(3) of the Prescription Act, a debt does not become due </w:t>
      </w:r>
      <w:r w:rsidR="00680C65">
        <w:t>until the creditor has knowledge of the identity of the debtor and of the facts from which the debt arises</w:t>
      </w:r>
      <w:r w:rsidR="00C83091">
        <w:t>,</w:t>
      </w:r>
      <w:r w:rsidR="00680C65">
        <w:t xml:space="preserve"> </w:t>
      </w:r>
      <w:r w:rsidR="0082786C">
        <w:t>p</w:t>
      </w:r>
      <w:r w:rsidR="00680C65">
        <w:t>rovided that a creditor shall be deemed to have such knowledge if he could have acquired it by exercising reasonable care.</w:t>
      </w:r>
    </w:p>
    <w:p w14:paraId="0D2814A7" w14:textId="5900BDD9" w:rsidR="004A0B21" w:rsidRPr="004A0B21" w:rsidRDefault="001164B4" w:rsidP="001164B4">
      <w:pPr>
        <w:pStyle w:val="JudgmentNumbered"/>
        <w:numPr>
          <w:ilvl w:val="0"/>
          <w:numId w:val="0"/>
        </w:numPr>
        <w:ind w:left="567" w:hanging="567"/>
        <w:rPr>
          <w:color w:val="000000" w:themeColor="text1"/>
          <w:szCs w:val="24"/>
        </w:rPr>
      </w:pPr>
      <w:r w:rsidRPr="004A0B21">
        <w:rPr>
          <w:bCs/>
          <w:color w:val="000000" w:themeColor="text1"/>
          <w:szCs w:val="24"/>
        </w:rPr>
        <w:t>[34]</w:t>
      </w:r>
      <w:r w:rsidRPr="004A0B21">
        <w:rPr>
          <w:bCs/>
          <w:color w:val="000000" w:themeColor="text1"/>
          <w:szCs w:val="24"/>
        </w:rPr>
        <w:tab/>
      </w:r>
      <w:r w:rsidR="007C51B1">
        <w:t xml:space="preserve">When does a claim for specific performance fall due? </w:t>
      </w:r>
      <w:r w:rsidR="00812AF7">
        <w:t xml:space="preserve">Our law recognises a general principle that a </w:t>
      </w:r>
      <w:r w:rsidR="0082786C">
        <w:t xml:space="preserve">right to claim performance under a contract </w:t>
      </w:r>
      <w:r w:rsidR="00F70FA9">
        <w:t xml:space="preserve">becomes due according to the terms </w:t>
      </w:r>
      <w:r w:rsidR="00812AF7">
        <w:t xml:space="preserve">of the contract </w:t>
      </w:r>
      <w:r w:rsidR="00F70FA9">
        <w:t>or, if the contract is silent on this score, within a reasonable time, which in appropriate circumstances, can be immediately.</w:t>
      </w:r>
      <w:r w:rsidR="00F70FA9" w:rsidRPr="004A2556">
        <w:rPr>
          <w:color w:val="000000" w:themeColor="text1"/>
          <w:szCs w:val="24"/>
          <w:vertAlign w:val="superscript"/>
        </w:rPr>
        <w:footnoteReference w:id="16"/>
      </w:r>
      <w:r w:rsidR="00584AE8">
        <w:rPr>
          <w:color w:val="000000" w:themeColor="text1"/>
          <w:szCs w:val="24"/>
          <w:vertAlign w:val="superscript"/>
        </w:rPr>
        <w:t xml:space="preserve"> </w:t>
      </w:r>
      <w:r w:rsidR="00E35196">
        <w:rPr>
          <w:color w:val="000000" w:themeColor="text1"/>
          <w:szCs w:val="24"/>
          <w:vertAlign w:val="superscript"/>
        </w:rPr>
        <w:t xml:space="preserve"> </w:t>
      </w:r>
    </w:p>
    <w:p w14:paraId="7DC91B3F" w14:textId="662949CA" w:rsidR="002323C2" w:rsidRDefault="001164B4" w:rsidP="001164B4">
      <w:pPr>
        <w:pStyle w:val="JudgmentNumbered"/>
        <w:numPr>
          <w:ilvl w:val="0"/>
          <w:numId w:val="0"/>
        </w:numPr>
        <w:ind w:left="567" w:hanging="567"/>
        <w:rPr>
          <w:color w:val="000000" w:themeColor="text1"/>
          <w:szCs w:val="24"/>
        </w:rPr>
      </w:pPr>
      <w:r>
        <w:rPr>
          <w:bCs/>
          <w:color w:val="000000" w:themeColor="text1"/>
          <w:szCs w:val="24"/>
        </w:rPr>
        <w:t>[35]</w:t>
      </w:r>
      <w:r>
        <w:rPr>
          <w:bCs/>
          <w:color w:val="000000" w:themeColor="text1"/>
          <w:szCs w:val="24"/>
        </w:rPr>
        <w:tab/>
      </w:r>
      <w:r w:rsidR="002230F2">
        <w:rPr>
          <w:color w:val="000000" w:themeColor="text1"/>
          <w:szCs w:val="24"/>
        </w:rPr>
        <w:t xml:space="preserve">To the sale of business </w:t>
      </w:r>
      <w:r w:rsidR="002323C2">
        <w:rPr>
          <w:color w:val="000000" w:themeColor="text1"/>
          <w:szCs w:val="24"/>
        </w:rPr>
        <w:t>agreement,</w:t>
      </w:r>
      <w:r w:rsidR="002230F2">
        <w:rPr>
          <w:color w:val="000000" w:themeColor="text1"/>
          <w:szCs w:val="24"/>
        </w:rPr>
        <w:t xml:space="preserve"> I tur</w:t>
      </w:r>
      <w:r w:rsidR="001C099B">
        <w:rPr>
          <w:color w:val="000000" w:themeColor="text1"/>
          <w:szCs w:val="24"/>
        </w:rPr>
        <w:t>n</w:t>
      </w:r>
      <w:r w:rsidR="0013211B">
        <w:rPr>
          <w:color w:val="000000" w:themeColor="text1"/>
          <w:szCs w:val="24"/>
        </w:rPr>
        <w:t>.</w:t>
      </w:r>
    </w:p>
    <w:p w14:paraId="22918157" w14:textId="6C286EA3" w:rsidR="00675FE6" w:rsidRDefault="001164B4" w:rsidP="001164B4">
      <w:pPr>
        <w:pStyle w:val="JudgmentNumbered"/>
        <w:numPr>
          <w:ilvl w:val="0"/>
          <w:numId w:val="0"/>
        </w:numPr>
        <w:ind w:left="567" w:hanging="567"/>
        <w:rPr>
          <w:color w:val="000000" w:themeColor="text1"/>
          <w:szCs w:val="24"/>
        </w:rPr>
      </w:pPr>
      <w:r>
        <w:rPr>
          <w:bCs/>
          <w:color w:val="000000" w:themeColor="text1"/>
          <w:szCs w:val="24"/>
        </w:rPr>
        <w:t>[36]</w:t>
      </w:r>
      <w:r>
        <w:rPr>
          <w:bCs/>
          <w:color w:val="000000" w:themeColor="text1"/>
          <w:szCs w:val="24"/>
        </w:rPr>
        <w:tab/>
      </w:r>
      <w:r w:rsidR="002323C2">
        <w:rPr>
          <w:color w:val="000000" w:themeColor="text1"/>
          <w:szCs w:val="24"/>
        </w:rPr>
        <w:t>A</w:t>
      </w:r>
      <w:r w:rsidR="006273CA">
        <w:rPr>
          <w:color w:val="000000" w:themeColor="text1"/>
          <w:szCs w:val="24"/>
        </w:rPr>
        <w:t xml:space="preserve">s emerges from clause 4.1, </w:t>
      </w:r>
      <w:r w:rsidR="003315D7">
        <w:rPr>
          <w:color w:val="000000" w:themeColor="text1"/>
          <w:szCs w:val="24"/>
        </w:rPr>
        <w:t xml:space="preserve">Crest Car Hire sold to the applicant </w:t>
      </w:r>
      <w:r w:rsidR="00F430E4">
        <w:rPr>
          <w:color w:val="000000" w:themeColor="text1"/>
          <w:szCs w:val="24"/>
        </w:rPr>
        <w:t>who purchased the subject matter of the sale as a going concern under one indivisible transaction with effect from the “</w:t>
      </w:r>
      <w:r w:rsidR="00F430E4" w:rsidRPr="00F70BC0">
        <w:rPr>
          <w:i/>
          <w:iCs/>
          <w:color w:val="000000" w:themeColor="text1"/>
          <w:szCs w:val="24"/>
        </w:rPr>
        <w:t>Effective Date</w:t>
      </w:r>
      <w:r w:rsidR="00F430E4">
        <w:rPr>
          <w:color w:val="000000" w:themeColor="text1"/>
          <w:szCs w:val="24"/>
        </w:rPr>
        <w:t xml:space="preserve">” which was defined in clause </w:t>
      </w:r>
      <w:r w:rsidR="004A0B21">
        <w:rPr>
          <w:color w:val="000000" w:themeColor="text1"/>
          <w:szCs w:val="24"/>
        </w:rPr>
        <w:t>2.26 to mean 1 August 2012</w:t>
      </w:r>
      <w:r w:rsidR="003B4800">
        <w:rPr>
          <w:color w:val="000000" w:themeColor="text1"/>
          <w:szCs w:val="24"/>
        </w:rPr>
        <w:t xml:space="preserve">, from which date the risk and benefit attaching to the subject matter </w:t>
      </w:r>
      <w:r w:rsidR="002323C2">
        <w:rPr>
          <w:color w:val="000000" w:themeColor="text1"/>
          <w:szCs w:val="24"/>
        </w:rPr>
        <w:t>passed to the applicant.</w:t>
      </w:r>
      <w:r w:rsidR="002323C2" w:rsidRPr="004A2556">
        <w:rPr>
          <w:color w:val="000000" w:themeColor="text1"/>
          <w:szCs w:val="24"/>
          <w:vertAlign w:val="superscript"/>
        </w:rPr>
        <w:footnoteReference w:id="17"/>
      </w:r>
      <w:r w:rsidR="003D7963">
        <w:rPr>
          <w:color w:val="000000" w:themeColor="text1"/>
          <w:szCs w:val="24"/>
        </w:rPr>
        <w:t xml:space="preserve"> </w:t>
      </w:r>
    </w:p>
    <w:p w14:paraId="6F68B585" w14:textId="2CDB17AF" w:rsidR="00D46199" w:rsidRPr="00D46199" w:rsidRDefault="001164B4" w:rsidP="001164B4">
      <w:pPr>
        <w:pStyle w:val="JudgmentNumbered"/>
        <w:numPr>
          <w:ilvl w:val="0"/>
          <w:numId w:val="0"/>
        </w:numPr>
        <w:ind w:left="567" w:hanging="567"/>
        <w:rPr>
          <w:color w:val="000000" w:themeColor="text1"/>
          <w:szCs w:val="24"/>
        </w:rPr>
      </w:pPr>
      <w:r w:rsidRPr="00D46199">
        <w:rPr>
          <w:bCs/>
          <w:color w:val="000000" w:themeColor="text1"/>
          <w:szCs w:val="24"/>
        </w:rPr>
        <w:t>[37]</w:t>
      </w:r>
      <w:r w:rsidRPr="00D46199">
        <w:rPr>
          <w:bCs/>
          <w:color w:val="000000" w:themeColor="text1"/>
          <w:szCs w:val="24"/>
        </w:rPr>
        <w:tab/>
      </w:r>
      <w:r w:rsidR="003D7963">
        <w:rPr>
          <w:color w:val="000000" w:themeColor="text1"/>
          <w:szCs w:val="24"/>
        </w:rPr>
        <w:t xml:space="preserve">The purchase price of R84 000.00 was payable </w:t>
      </w:r>
      <w:r w:rsidR="0004396C">
        <w:rPr>
          <w:color w:val="000000" w:themeColor="text1"/>
          <w:szCs w:val="24"/>
        </w:rPr>
        <w:t xml:space="preserve">over a period of </w:t>
      </w:r>
      <w:r w:rsidR="00675FE6">
        <w:rPr>
          <w:color w:val="000000" w:themeColor="text1"/>
          <w:szCs w:val="24"/>
        </w:rPr>
        <w:t>twenty-four</w:t>
      </w:r>
      <w:r w:rsidR="0004396C">
        <w:rPr>
          <w:color w:val="000000" w:themeColor="text1"/>
          <w:szCs w:val="24"/>
        </w:rPr>
        <w:t xml:space="preserve"> months but this did not suspend the right of the applicant to insist on transfer of the </w:t>
      </w:r>
      <w:r w:rsidR="0004396C" w:rsidRPr="00246292">
        <w:rPr>
          <w:i/>
          <w:iCs/>
          <w:color w:val="000000" w:themeColor="text1"/>
          <w:szCs w:val="24"/>
        </w:rPr>
        <w:t>merx</w:t>
      </w:r>
      <w:r w:rsidR="000D5DC8">
        <w:rPr>
          <w:color w:val="000000" w:themeColor="text1"/>
          <w:szCs w:val="24"/>
        </w:rPr>
        <w:t xml:space="preserve">. </w:t>
      </w:r>
      <w:r w:rsidR="00997E7D">
        <w:rPr>
          <w:color w:val="000000" w:themeColor="text1"/>
          <w:szCs w:val="24"/>
        </w:rPr>
        <w:t xml:space="preserve"> Clause 9</w:t>
      </w:r>
      <w:r w:rsidR="00D46199">
        <w:rPr>
          <w:color w:val="000000" w:themeColor="text1"/>
          <w:szCs w:val="24"/>
        </w:rPr>
        <w:t xml:space="preserve"> </w:t>
      </w:r>
      <w:r w:rsidR="00613E01">
        <w:rPr>
          <w:color w:val="000000" w:themeColor="text1"/>
          <w:szCs w:val="24"/>
        </w:rPr>
        <w:t xml:space="preserve">bears repetition in full: </w:t>
      </w:r>
    </w:p>
    <w:p w14:paraId="1AD6AFD3" w14:textId="68C4B4E6" w:rsidR="006139D7" w:rsidRPr="00F70BC0" w:rsidRDefault="00D46199" w:rsidP="00E81BAE">
      <w:pPr>
        <w:spacing w:line="240" w:lineRule="auto"/>
        <w:ind w:left="1440" w:hanging="720"/>
        <w:rPr>
          <w:i/>
          <w:iCs/>
          <w:color w:val="000000" w:themeColor="text1"/>
          <w:szCs w:val="24"/>
        </w:rPr>
      </w:pPr>
      <w:r>
        <w:rPr>
          <w:rFonts w:cs="Arial"/>
          <w:szCs w:val="24"/>
        </w:rPr>
        <w:t>“</w:t>
      </w:r>
      <w:r w:rsidR="006139D7" w:rsidRPr="00F70BC0">
        <w:rPr>
          <w:rFonts w:cs="Arial"/>
          <w:i/>
          <w:iCs/>
          <w:szCs w:val="24"/>
        </w:rPr>
        <w:t>9</w:t>
      </w:r>
      <w:r w:rsidRPr="00F70BC0">
        <w:rPr>
          <w:rFonts w:cs="Arial"/>
          <w:i/>
          <w:iCs/>
          <w:szCs w:val="24"/>
        </w:rPr>
        <w:t xml:space="preserve">.1  </w:t>
      </w:r>
      <w:r w:rsidR="006139D7" w:rsidRPr="00F70BC0">
        <w:rPr>
          <w:rFonts w:cs="Arial"/>
          <w:i/>
          <w:iCs/>
          <w:szCs w:val="24"/>
        </w:rPr>
        <w:t xml:space="preserve">  </w:t>
      </w:r>
      <w:r w:rsidR="00613E01" w:rsidRPr="00F70BC0">
        <w:rPr>
          <w:i/>
          <w:iCs/>
          <w:color w:val="000000" w:themeColor="text1"/>
          <w:szCs w:val="24"/>
        </w:rPr>
        <w:t>On the Effective Date, the Seller shall:</w:t>
      </w:r>
    </w:p>
    <w:p w14:paraId="28AA8F64" w14:textId="52DED704" w:rsidR="00613E01" w:rsidRPr="00F70BC0" w:rsidRDefault="00B95872" w:rsidP="00E81BAE">
      <w:pPr>
        <w:spacing w:line="240" w:lineRule="auto"/>
        <w:ind w:left="1440" w:hanging="720"/>
        <w:rPr>
          <w:i/>
          <w:iCs/>
          <w:color w:val="000000" w:themeColor="text1"/>
          <w:szCs w:val="24"/>
        </w:rPr>
      </w:pPr>
      <w:r w:rsidRPr="00F70BC0">
        <w:rPr>
          <w:rFonts w:cs="Arial"/>
          <w:i/>
          <w:iCs/>
          <w:szCs w:val="24"/>
        </w:rPr>
        <w:t xml:space="preserve"> </w:t>
      </w:r>
      <w:r w:rsidR="006139D7" w:rsidRPr="00F70BC0">
        <w:rPr>
          <w:rFonts w:cs="Arial"/>
          <w:i/>
          <w:iCs/>
          <w:szCs w:val="24"/>
        </w:rPr>
        <w:t xml:space="preserve">9.1.1 </w:t>
      </w:r>
      <w:r w:rsidR="00E81BAE" w:rsidRPr="00F70BC0">
        <w:rPr>
          <w:rFonts w:cs="Arial"/>
          <w:i/>
          <w:iCs/>
          <w:szCs w:val="24"/>
        </w:rPr>
        <w:tab/>
      </w:r>
      <w:r w:rsidR="006139D7" w:rsidRPr="00F70BC0">
        <w:rPr>
          <w:rFonts w:cs="Arial"/>
          <w:i/>
          <w:iCs/>
          <w:szCs w:val="24"/>
        </w:rPr>
        <w:t>P</w:t>
      </w:r>
      <w:r w:rsidR="00613E01" w:rsidRPr="00F70BC0">
        <w:rPr>
          <w:i/>
          <w:iCs/>
          <w:color w:val="000000" w:themeColor="text1"/>
          <w:szCs w:val="24"/>
        </w:rPr>
        <w:t xml:space="preserve">lace the Purchaser in occupation, possession and effective and legal control of the Subject Matter; </w:t>
      </w:r>
    </w:p>
    <w:p w14:paraId="0E436931" w14:textId="49EB853A" w:rsidR="00613E01" w:rsidRPr="00F70BC0" w:rsidRDefault="00B95872" w:rsidP="00E81BAE">
      <w:pPr>
        <w:spacing w:line="240" w:lineRule="auto"/>
        <w:ind w:left="1440" w:hanging="720"/>
        <w:rPr>
          <w:i/>
          <w:iCs/>
          <w:color w:val="000000" w:themeColor="text1"/>
          <w:szCs w:val="24"/>
        </w:rPr>
      </w:pPr>
      <w:r w:rsidRPr="00F70BC0">
        <w:rPr>
          <w:rFonts w:cs="Arial"/>
          <w:i/>
          <w:iCs/>
          <w:szCs w:val="24"/>
        </w:rPr>
        <w:t xml:space="preserve"> </w:t>
      </w:r>
      <w:r w:rsidR="006139D7" w:rsidRPr="00F70BC0">
        <w:rPr>
          <w:rFonts w:cs="Arial"/>
          <w:i/>
          <w:iCs/>
          <w:szCs w:val="24"/>
        </w:rPr>
        <w:t xml:space="preserve">9.1.2 </w:t>
      </w:r>
      <w:r w:rsidR="006139D7" w:rsidRPr="00F70BC0">
        <w:rPr>
          <w:rFonts w:cs="Arial"/>
          <w:i/>
          <w:iCs/>
          <w:szCs w:val="24"/>
        </w:rPr>
        <w:tab/>
      </w:r>
      <w:r w:rsidR="00613E01" w:rsidRPr="00F70BC0">
        <w:rPr>
          <w:i/>
          <w:iCs/>
          <w:color w:val="000000" w:themeColor="text1"/>
          <w:szCs w:val="24"/>
        </w:rPr>
        <w:t xml:space="preserve">Deliver to the Purchaser all available documents constituting evidence of ownership of the assets by the Seller; </w:t>
      </w:r>
    </w:p>
    <w:p w14:paraId="009ADDF3" w14:textId="58485F83" w:rsidR="00613E01" w:rsidRDefault="006139D7" w:rsidP="00E81BAE">
      <w:pPr>
        <w:spacing w:line="240" w:lineRule="auto"/>
        <w:ind w:left="1440" w:hanging="720"/>
        <w:rPr>
          <w:color w:val="000000" w:themeColor="text1"/>
          <w:szCs w:val="24"/>
        </w:rPr>
      </w:pPr>
      <w:r w:rsidRPr="00F70BC0">
        <w:rPr>
          <w:rFonts w:cs="Arial"/>
          <w:i/>
          <w:iCs/>
          <w:szCs w:val="24"/>
        </w:rPr>
        <w:lastRenderedPageBreak/>
        <w:t xml:space="preserve">9.1.3 </w:t>
      </w:r>
      <w:r w:rsidRPr="00F70BC0">
        <w:rPr>
          <w:rFonts w:cs="Arial"/>
          <w:i/>
          <w:iCs/>
          <w:szCs w:val="24"/>
        </w:rPr>
        <w:tab/>
      </w:r>
      <w:r w:rsidR="00584BE2" w:rsidRPr="00F70BC0">
        <w:rPr>
          <w:i/>
          <w:iCs/>
          <w:color w:val="000000" w:themeColor="text1"/>
          <w:szCs w:val="24"/>
        </w:rPr>
        <w:t>The Seller and/or the Purchaser shall sign such documents and do all such steps that may be necessary or desirable generally to facilitate the implementation of this Agreement and all achievement of its intent and purpose</w:t>
      </w:r>
      <w:r w:rsidR="00584BE2">
        <w:rPr>
          <w:color w:val="000000" w:themeColor="text1"/>
          <w:szCs w:val="24"/>
        </w:rPr>
        <w:t xml:space="preserve">.” </w:t>
      </w:r>
    </w:p>
    <w:p w14:paraId="5DF95FD0" w14:textId="77777777" w:rsidR="00CC17EA" w:rsidRPr="006139D7" w:rsidRDefault="00CC17EA" w:rsidP="00E81BAE">
      <w:pPr>
        <w:spacing w:line="240" w:lineRule="auto"/>
        <w:ind w:left="1440" w:hanging="720"/>
        <w:rPr>
          <w:rFonts w:cs="Arial"/>
          <w:bCs/>
          <w:szCs w:val="24"/>
        </w:rPr>
      </w:pPr>
    </w:p>
    <w:p w14:paraId="6B328CFA" w14:textId="5AF61045" w:rsidR="00370635" w:rsidRDefault="001164B4" w:rsidP="001164B4">
      <w:pPr>
        <w:pStyle w:val="JudgmentNumbered"/>
        <w:numPr>
          <w:ilvl w:val="0"/>
          <w:numId w:val="0"/>
        </w:numPr>
        <w:ind w:left="567" w:hanging="567"/>
        <w:rPr>
          <w:color w:val="000000" w:themeColor="text1"/>
          <w:szCs w:val="24"/>
        </w:rPr>
      </w:pPr>
      <w:r>
        <w:rPr>
          <w:bCs/>
          <w:color w:val="000000" w:themeColor="text1"/>
          <w:szCs w:val="24"/>
        </w:rPr>
        <w:t>[38]</w:t>
      </w:r>
      <w:r>
        <w:rPr>
          <w:bCs/>
          <w:color w:val="000000" w:themeColor="text1"/>
          <w:szCs w:val="24"/>
        </w:rPr>
        <w:tab/>
      </w:r>
      <w:r w:rsidR="003E258D">
        <w:t xml:space="preserve">Mr </w:t>
      </w:r>
      <w:r w:rsidR="004448EC">
        <w:t>Hollander submitted that</w:t>
      </w:r>
      <w:r w:rsidR="00FD3D83">
        <w:t xml:space="preserve"> </w:t>
      </w:r>
      <w:r w:rsidR="003E258D">
        <w:t>performance was immediately due by</w:t>
      </w:r>
      <w:r w:rsidR="000D5DC8">
        <w:t xml:space="preserve"> Crest Car Hire</w:t>
      </w:r>
      <w:r w:rsidR="00E8313B">
        <w:t>, which in this case was the effective date of 1 August 2012</w:t>
      </w:r>
      <w:r w:rsidR="00051045">
        <w:t xml:space="preserve">.  </w:t>
      </w:r>
      <w:r w:rsidR="00CB416C">
        <w:t>There is merit in this submission</w:t>
      </w:r>
      <w:r w:rsidR="00D33FA4">
        <w:t xml:space="preserve">, particularly if regard is had to clause 9.1.3 which obliged Crest Car Hire to take all necessary steps to implement the sale of business agreement from 1 August 2012. </w:t>
      </w:r>
      <w:r w:rsidR="00D325DF">
        <w:rPr>
          <w:color w:val="000000" w:themeColor="text1"/>
          <w:szCs w:val="24"/>
        </w:rPr>
        <w:t xml:space="preserve"> </w:t>
      </w:r>
    </w:p>
    <w:p w14:paraId="35A82429" w14:textId="7331DCF1" w:rsidR="00072F62" w:rsidRPr="00D325DF" w:rsidRDefault="001164B4" w:rsidP="001164B4">
      <w:pPr>
        <w:pStyle w:val="JudgmentNumbered"/>
        <w:numPr>
          <w:ilvl w:val="0"/>
          <w:numId w:val="0"/>
        </w:numPr>
        <w:ind w:left="567" w:hanging="567"/>
        <w:rPr>
          <w:color w:val="000000" w:themeColor="text1"/>
          <w:szCs w:val="24"/>
        </w:rPr>
      </w:pPr>
      <w:r w:rsidRPr="00D325DF">
        <w:rPr>
          <w:bCs/>
          <w:color w:val="000000" w:themeColor="text1"/>
          <w:szCs w:val="24"/>
        </w:rPr>
        <w:t>[39]</w:t>
      </w:r>
      <w:r w:rsidRPr="00D325DF">
        <w:rPr>
          <w:bCs/>
          <w:color w:val="000000" w:themeColor="text1"/>
          <w:szCs w:val="24"/>
        </w:rPr>
        <w:tab/>
      </w:r>
      <w:r w:rsidR="00D325DF">
        <w:rPr>
          <w:color w:val="000000" w:themeColor="text1"/>
          <w:szCs w:val="24"/>
        </w:rPr>
        <w:t xml:space="preserve">It </w:t>
      </w:r>
      <w:r w:rsidR="00024F7E">
        <w:t xml:space="preserve">follows that </w:t>
      </w:r>
      <w:r w:rsidR="00294FBB">
        <w:t xml:space="preserve">delivery of the subject matter of the sale was not suspended </w:t>
      </w:r>
      <w:r w:rsidR="003609FE">
        <w:t xml:space="preserve">until a later date, </w:t>
      </w:r>
      <w:r w:rsidR="00294FBB">
        <w:t>but became immediately claimable at the instance of the applicant</w:t>
      </w:r>
      <w:r w:rsidR="00D325DF">
        <w:t xml:space="preserve"> from 1 August 2012</w:t>
      </w:r>
      <w:r w:rsidR="003609FE">
        <w:t>.</w:t>
      </w:r>
      <w:r w:rsidR="0048048E">
        <w:t xml:space="preserve">  </w:t>
      </w:r>
      <w:r w:rsidR="00072F62">
        <w:t>The fac</w:t>
      </w:r>
      <w:r w:rsidR="0086314E">
        <w:t xml:space="preserve">ts are therefore to be distinguished from those instances where the right to claim performance only arises upon the occurrence of some future event, such as the expiry of a maintenance contract as was the case in </w:t>
      </w:r>
      <w:r w:rsidR="0086314E" w:rsidRPr="00D325DF">
        <w:rPr>
          <w:b/>
          <w:bCs/>
        </w:rPr>
        <w:t>Stewarts and Lloyds</w:t>
      </w:r>
      <w:r w:rsidR="00975ECB">
        <w:t xml:space="preserve"> or the payment of the purchase price in full. </w:t>
      </w:r>
    </w:p>
    <w:p w14:paraId="5EFDA781" w14:textId="36F1BECF" w:rsidR="00827EEF" w:rsidRPr="001D62E9" w:rsidRDefault="001164B4" w:rsidP="001164B4">
      <w:pPr>
        <w:pStyle w:val="JudgmentNumbered"/>
        <w:numPr>
          <w:ilvl w:val="0"/>
          <w:numId w:val="0"/>
        </w:numPr>
        <w:ind w:left="567" w:hanging="567"/>
        <w:rPr>
          <w:color w:val="000000" w:themeColor="text1"/>
          <w:szCs w:val="24"/>
        </w:rPr>
      </w:pPr>
      <w:r w:rsidRPr="001D62E9">
        <w:rPr>
          <w:bCs/>
          <w:color w:val="000000" w:themeColor="text1"/>
          <w:szCs w:val="24"/>
        </w:rPr>
        <w:t>[40]</w:t>
      </w:r>
      <w:r w:rsidRPr="001D62E9">
        <w:rPr>
          <w:bCs/>
          <w:color w:val="000000" w:themeColor="text1"/>
          <w:szCs w:val="24"/>
        </w:rPr>
        <w:tab/>
      </w:r>
      <w:r w:rsidR="00E95F70">
        <w:rPr>
          <w:color w:val="000000" w:themeColor="text1"/>
          <w:szCs w:val="24"/>
        </w:rPr>
        <w:t xml:space="preserve">In her heads of argument, Ms Matome </w:t>
      </w:r>
      <w:r w:rsidR="00D330FB">
        <w:rPr>
          <w:color w:val="000000" w:themeColor="text1"/>
          <w:szCs w:val="24"/>
        </w:rPr>
        <w:t xml:space="preserve">submitted that </w:t>
      </w:r>
      <w:r w:rsidR="00A31575">
        <w:rPr>
          <w:color w:val="000000" w:themeColor="text1"/>
          <w:szCs w:val="24"/>
        </w:rPr>
        <w:t xml:space="preserve">the debt only became due on </w:t>
      </w:r>
      <w:r w:rsidR="006D7D48">
        <w:rPr>
          <w:color w:val="000000" w:themeColor="text1"/>
          <w:szCs w:val="24"/>
        </w:rPr>
        <w:t xml:space="preserve">10 July 2018 when </w:t>
      </w:r>
      <w:r w:rsidR="00326E00">
        <w:rPr>
          <w:color w:val="000000" w:themeColor="text1"/>
          <w:szCs w:val="24"/>
        </w:rPr>
        <w:t xml:space="preserve">the members interest in Crest Car Hire was </w:t>
      </w:r>
      <w:r w:rsidR="006D7D48">
        <w:t>transferred to the first respondent</w:t>
      </w:r>
      <w:r w:rsidR="00517FA6">
        <w:t xml:space="preserve"> with the result that the commencement of this application was within </w:t>
      </w:r>
      <w:r w:rsidR="002F4BBB">
        <w:t>three year</w:t>
      </w:r>
      <w:r w:rsidR="00125345">
        <w:t xml:space="preserve">s thereafter </w:t>
      </w:r>
      <w:r w:rsidR="002F4BBB">
        <w:t xml:space="preserve">and had the effect of interrupting the running of prescription. </w:t>
      </w:r>
      <w:r w:rsidR="00827EEF">
        <w:t xml:space="preserve">When distilled to its essence, the argument </w:t>
      </w:r>
      <w:r w:rsidR="00777D9D">
        <w:t xml:space="preserve">treats </w:t>
      </w:r>
      <w:r w:rsidR="00827EEF">
        <w:t xml:space="preserve">the </w:t>
      </w:r>
      <w:r w:rsidR="001D62E9">
        <w:t xml:space="preserve">transfer of the membership interest to the first respondent </w:t>
      </w:r>
      <w:r w:rsidR="005A160F">
        <w:t>as Brenner</w:t>
      </w:r>
      <w:r w:rsidR="00777A14">
        <w:t>’s heir</w:t>
      </w:r>
      <w:r w:rsidR="005A160F">
        <w:t xml:space="preserve"> a</w:t>
      </w:r>
      <w:r w:rsidR="001D62E9">
        <w:t xml:space="preserve">s having created a new debt. </w:t>
      </w:r>
    </w:p>
    <w:p w14:paraId="1C87C2DE" w14:textId="71B13957" w:rsidR="007B0E1B" w:rsidRPr="007B0E1B" w:rsidRDefault="001164B4" w:rsidP="001164B4">
      <w:pPr>
        <w:pStyle w:val="JudgmentNumbered"/>
        <w:numPr>
          <w:ilvl w:val="0"/>
          <w:numId w:val="0"/>
        </w:numPr>
        <w:ind w:left="567" w:hanging="567"/>
        <w:rPr>
          <w:color w:val="000000" w:themeColor="text1"/>
          <w:szCs w:val="24"/>
        </w:rPr>
      </w:pPr>
      <w:r w:rsidRPr="007B0E1B">
        <w:rPr>
          <w:bCs/>
          <w:color w:val="000000" w:themeColor="text1"/>
          <w:szCs w:val="24"/>
        </w:rPr>
        <w:t>[41]</w:t>
      </w:r>
      <w:r w:rsidRPr="007B0E1B">
        <w:rPr>
          <w:bCs/>
          <w:color w:val="000000" w:themeColor="text1"/>
          <w:szCs w:val="24"/>
        </w:rPr>
        <w:tab/>
      </w:r>
      <w:r w:rsidR="002F4BBB">
        <w:t xml:space="preserve">I </w:t>
      </w:r>
      <w:r w:rsidR="00C26B8B">
        <w:t xml:space="preserve">am not persuaded that </w:t>
      </w:r>
      <w:r w:rsidR="00B24F83">
        <w:t xml:space="preserve">these submissions </w:t>
      </w:r>
      <w:r w:rsidR="00C26B8B">
        <w:t xml:space="preserve">are </w:t>
      </w:r>
      <w:r w:rsidR="00F922BD">
        <w:t xml:space="preserve">correct. </w:t>
      </w:r>
    </w:p>
    <w:p w14:paraId="3B813E5C" w14:textId="6AD46846" w:rsidR="008A2795" w:rsidRDefault="001164B4" w:rsidP="001164B4">
      <w:pPr>
        <w:pStyle w:val="JudgmentNumbered"/>
        <w:numPr>
          <w:ilvl w:val="0"/>
          <w:numId w:val="0"/>
        </w:numPr>
        <w:ind w:left="567" w:hanging="567"/>
        <w:rPr>
          <w:color w:val="000000" w:themeColor="text1"/>
          <w:szCs w:val="24"/>
        </w:rPr>
      </w:pPr>
      <w:r>
        <w:rPr>
          <w:bCs/>
          <w:color w:val="000000" w:themeColor="text1"/>
          <w:szCs w:val="24"/>
        </w:rPr>
        <w:t>[42]</w:t>
      </w:r>
      <w:r>
        <w:rPr>
          <w:bCs/>
          <w:color w:val="000000" w:themeColor="text1"/>
          <w:szCs w:val="24"/>
        </w:rPr>
        <w:tab/>
      </w:r>
      <w:r w:rsidR="004C57CC">
        <w:t>W</w:t>
      </w:r>
      <w:r w:rsidR="00B24F83">
        <w:t>h</w:t>
      </w:r>
      <w:r w:rsidR="0025418B" w:rsidRPr="00B24F83">
        <w:rPr>
          <w:color w:val="000000" w:themeColor="text1"/>
          <w:szCs w:val="24"/>
        </w:rPr>
        <w:t>ere</w:t>
      </w:r>
      <w:r w:rsidR="00E35196" w:rsidRPr="00B24F83">
        <w:rPr>
          <w:color w:val="000000" w:themeColor="text1"/>
          <w:szCs w:val="24"/>
        </w:rPr>
        <w:t xml:space="preserve"> a debtor refuses to perform after the debt becomes due </w:t>
      </w:r>
      <w:r w:rsidR="004F562F" w:rsidRPr="00B24F83">
        <w:rPr>
          <w:color w:val="000000" w:themeColor="text1"/>
          <w:szCs w:val="24"/>
        </w:rPr>
        <w:t>according to the terms of the contract, the failure to perform does not constitute a new debt unless the creditor cancels the contract</w:t>
      </w:r>
      <w:r w:rsidR="0002592E" w:rsidRPr="00B24F83">
        <w:rPr>
          <w:color w:val="000000" w:themeColor="text1"/>
          <w:szCs w:val="24"/>
        </w:rPr>
        <w:t xml:space="preserve">, in which event, </w:t>
      </w:r>
      <w:r w:rsidR="00F062F9" w:rsidRPr="00B24F83">
        <w:rPr>
          <w:color w:val="000000" w:themeColor="text1"/>
          <w:szCs w:val="24"/>
        </w:rPr>
        <w:t xml:space="preserve">a new debt is created </w:t>
      </w:r>
      <w:r w:rsidR="00F90EC8" w:rsidRPr="00B24F83">
        <w:rPr>
          <w:color w:val="000000" w:themeColor="text1"/>
          <w:szCs w:val="24"/>
        </w:rPr>
        <w:t xml:space="preserve">comprising the right to claim restitution and/or damages which becomes due </w:t>
      </w:r>
      <w:r w:rsidR="004D1BBD" w:rsidRPr="00B24F83">
        <w:rPr>
          <w:color w:val="000000" w:themeColor="text1"/>
          <w:szCs w:val="24"/>
        </w:rPr>
        <w:t>when the right of cancelation is exercised</w:t>
      </w:r>
      <w:r w:rsidR="002D41DC">
        <w:rPr>
          <w:color w:val="000000" w:themeColor="text1"/>
          <w:szCs w:val="24"/>
        </w:rPr>
        <w:t xml:space="preserve"> – that is, when the election to cancel is communicated to the debtor.</w:t>
      </w:r>
      <w:r w:rsidR="004D1BBD" w:rsidRPr="004A2556">
        <w:rPr>
          <w:color w:val="000000" w:themeColor="text1"/>
          <w:szCs w:val="24"/>
          <w:vertAlign w:val="superscript"/>
        </w:rPr>
        <w:footnoteReference w:id="18"/>
      </w:r>
      <w:r w:rsidR="009B5254">
        <w:rPr>
          <w:color w:val="000000" w:themeColor="text1"/>
          <w:szCs w:val="24"/>
        </w:rPr>
        <w:t xml:space="preserve">  </w:t>
      </w:r>
      <w:r w:rsidR="009B5254" w:rsidRPr="00F05FF2">
        <w:rPr>
          <w:color w:val="000000" w:themeColor="text1"/>
          <w:szCs w:val="24"/>
        </w:rPr>
        <w:t xml:space="preserve">If the creditor does not exercise the election and the contractual relationship remains intact as was the case here, the </w:t>
      </w:r>
      <w:r w:rsidR="006A33D9">
        <w:t xml:space="preserve">breach </w:t>
      </w:r>
      <w:r w:rsidR="006A33D9">
        <w:lastRenderedPageBreak/>
        <w:t>of contract does not</w:t>
      </w:r>
      <w:r w:rsidR="007D3FF8">
        <w:t xml:space="preserve"> </w:t>
      </w:r>
      <w:r w:rsidR="006A33D9">
        <w:t>create a new cause of action for specific performance</w:t>
      </w:r>
      <w:r w:rsidR="00D87A4A">
        <w:t xml:space="preserve"> with a claim for </w:t>
      </w:r>
      <w:r w:rsidR="00620B78">
        <w:t>specific performance one rooted in the contents of the contract</w:t>
      </w:r>
      <w:r w:rsidR="001B4FE8">
        <w:t xml:space="preserve">, although instituted </w:t>
      </w:r>
      <w:r w:rsidR="00A92B11">
        <w:t>upon the counterparty’s failure to perform</w:t>
      </w:r>
      <w:r w:rsidR="00D21F97">
        <w:t>.</w:t>
      </w:r>
      <w:r w:rsidR="00D21F97" w:rsidRPr="00F05FF2">
        <w:rPr>
          <w:color w:val="000000" w:themeColor="text1"/>
          <w:szCs w:val="24"/>
          <w:vertAlign w:val="superscript"/>
        </w:rPr>
        <w:t xml:space="preserve"> </w:t>
      </w:r>
      <w:r w:rsidR="00D21F97" w:rsidRPr="004A2556">
        <w:rPr>
          <w:color w:val="000000" w:themeColor="text1"/>
          <w:szCs w:val="24"/>
          <w:vertAlign w:val="superscript"/>
        </w:rPr>
        <w:footnoteReference w:id="19"/>
      </w:r>
    </w:p>
    <w:p w14:paraId="4C34625A" w14:textId="125F3DD9" w:rsidR="009C412F" w:rsidRDefault="001164B4" w:rsidP="001164B4">
      <w:pPr>
        <w:pStyle w:val="JudgmentNumbered"/>
        <w:numPr>
          <w:ilvl w:val="0"/>
          <w:numId w:val="0"/>
        </w:numPr>
        <w:ind w:left="567" w:hanging="567"/>
        <w:rPr>
          <w:color w:val="000000" w:themeColor="text1"/>
          <w:szCs w:val="24"/>
        </w:rPr>
      </w:pPr>
      <w:r>
        <w:rPr>
          <w:bCs/>
          <w:color w:val="000000" w:themeColor="text1"/>
          <w:szCs w:val="24"/>
        </w:rPr>
        <w:t>[43]</w:t>
      </w:r>
      <w:r>
        <w:rPr>
          <w:bCs/>
          <w:color w:val="000000" w:themeColor="text1"/>
          <w:szCs w:val="24"/>
        </w:rPr>
        <w:tab/>
      </w:r>
      <w:r w:rsidR="00EF51A7">
        <w:t>As t</w:t>
      </w:r>
      <w:r w:rsidR="00447B71">
        <w:t xml:space="preserve">he contractual obligation </w:t>
      </w:r>
      <w:r w:rsidR="008A2795">
        <w:t xml:space="preserve">which the applicant considers to be due to him to give </w:t>
      </w:r>
      <w:r w:rsidR="00057E03">
        <w:t xml:space="preserve">effect to the </w:t>
      </w:r>
      <w:r w:rsidR="008A2795">
        <w:t>transfer of the members interest</w:t>
      </w:r>
      <w:r w:rsidR="0039263E">
        <w:t xml:space="preserve"> </w:t>
      </w:r>
      <w:r w:rsidR="008A2795">
        <w:t xml:space="preserve">in Crest Car Hire </w:t>
      </w:r>
      <w:r w:rsidR="0096602E">
        <w:t>at all times remained extant</w:t>
      </w:r>
      <w:r w:rsidR="0005143E">
        <w:t xml:space="preserve"> </w:t>
      </w:r>
      <w:r w:rsidR="00885D25">
        <w:t>since</w:t>
      </w:r>
      <w:r w:rsidR="00705E80">
        <w:t xml:space="preserve"> the applicant did not cancel the sale of business agreement</w:t>
      </w:r>
      <w:r w:rsidR="0096602E">
        <w:t xml:space="preserve">, </w:t>
      </w:r>
      <w:r w:rsidR="0096070C">
        <w:t xml:space="preserve">no new debt </w:t>
      </w:r>
      <w:r w:rsidR="00EF51A7">
        <w:t xml:space="preserve">was </w:t>
      </w:r>
      <w:r w:rsidR="0096070C">
        <w:t>created</w:t>
      </w:r>
      <w:r w:rsidR="00EF51A7">
        <w:rPr>
          <w:color w:val="000000" w:themeColor="text1"/>
          <w:szCs w:val="24"/>
        </w:rPr>
        <w:t xml:space="preserve"> on 10 July 2018</w:t>
      </w:r>
      <w:r w:rsidR="00885D25">
        <w:rPr>
          <w:color w:val="000000" w:themeColor="text1"/>
          <w:szCs w:val="24"/>
        </w:rPr>
        <w:t xml:space="preserve">.  This is even </w:t>
      </w:r>
      <w:r w:rsidR="00705E80">
        <w:t>in the face of</w:t>
      </w:r>
      <w:r w:rsidR="0005143E">
        <w:t xml:space="preserve"> what the applicant considers to have been a breach of contract </w:t>
      </w:r>
      <w:r w:rsidR="00B77D76">
        <w:t xml:space="preserve">on this date </w:t>
      </w:r>
      <w:r w:rsidR="0005143E">
        <w:t xml:space="preserve">when the </w:t>
      </w:r>
      <w:r w:rsidR="003915EE">
        <w:t>members register of the c</w:t>
      </w:r>
      <w:r w:rsidR="00BA7564">
        <w:t xml:space="preserve">lose corporation was </w:t>
      </w:r>
      <w:r w:rsidR="00A418F3">
        <w:t xml:space="preserve">impermissibly </w:t>
      </w:r>
      <w:r w:rsidR="00BA7564">
        <w:t xml:space="preserve">amended </w:t>
      </w:r>
      <w:r w:rsidR="00A418F3">
        <w:t xml:space="preserve">according to him </w:t>
      </w:r>
      <w:r w:rsidR="00BA7564">
        <w:t>to reflect the first respondent as the member.</w:t>
      </w:r>
      <w:r w:rsidR="00BA7564" w:rsidRPr="004A2556">
        <w:rPr>
          <w:color w:val="000000" w:themeColor="text1"/>
          <w:szCs w:val="24"/>
          <w:vertAlign w:val="superscript"/>
        </w:rPr>
        <w:footnoteReference w:id="20"/>
      </w:r>
    </w:p>
    <w:p w14:paraId="17C47C63" w14:textId="4927AE87" w:rsidR="008B743D" w:rsidRPr="009C412F" w:rsidRDefault="001164B4" w:rsidP="001164B4">
      <w:pPr>
        <w:pStyle w:val="JudgmentNumbered"/>
        <w:numPr>
          <w:ilvl w:val="0"/>
          <w:numId w:val="0"/>
        </w:numPr>
        <w:ind w:left="567" w:hanging="567"/>
        <w:rPr>
          <w:color w:val="000000" w:themeColor="text1"/>
          <w:szCs w:val="24"/>
        </w:rPr>
      </w:pPr>
      <w:r w:rsidRPr="009C412F">
        <w:rPr>
          <w:bCs/>
          <w:color w:val="000000" w:themeColor="text1"/>
          <w:szCs w:val="24"/>
        </w:rPr>
        <w:t>[44]</w:t>
      </w:r>
      <w:r w:rsidRPr="009C412F">
        <w:rPr>
          <w:bCs/>
          <w:color w:val="000000" w:themeColor="text1"/>
          <w:szCs w:val="24"/>
        </w:rPr>
        <w:tab/>
      </w:r>
      <w:r w:rsidR="006D5C2B">
        <w:t xml:space="preserve">The debt </w:t>
      </w:r>
      <w:r w:rsidR="00725AA7" w:rsidRPr="00061F06">
        <w:t>that forms the subject of th</w:t>
      </w:r>
      <w:r w:rsidR="00E65A9D">
        <w:t xml:space="preserve">e </w:t>
      </w:r>
      <w:r w:rsidR="00725AA7" w:rsidRPr="00061F06">
        <w:t>application was immediately claimable</w:t>
      </w:r>
      <w:r w:rsidR="008C744F">
        <w:t xml:space="preserve"> on </w:t>
      </w:r>
      <w:r w:rsidR="00D325DF">
        <w:t xml:space="preserve">1 August 2012 </w:t>
      </w:r>
      <w:r w:rsidR="00A76810">
        <w:t>and it was incumbent on the applicant</w:t>
      </w:r>
      <w:r w:rsidR="00D1039A">
        <w:t xml:space="preserve"> t</w:t>
      </w:r>
      <w:r w:rsidR="00600D54">
        <w:t xml:space="preserve">o take steps to interrupt the running of prescription through the service of a legal process </w:t>
      </w:r>
      <w:r w:rsidR="00A418F3">
        <w:t xml:space="preserve">on Crest Car Hire </w:t>
      </w:r>
      <w:r w:rsidR="00254A80">
        <w:t>within three years from this date</w:t>
      </w:r>
      <w:r w:rsidR="00FC5A63">
        <w:t xml:space="preserve"> </w:t>
      </w:r>
      <w:r w:rsidR="001C4071">
        <w:t xml:space="preserve">to </w:t>
      </w:r>
      <w:r w:rsidR="00FC5A63">
        <w:t>demand transfer of the members interest into his name</w:t>
      </w:r>
      <w:r w:rsidR="008740C9">
        <w:t xml:space="preserve"> </w:t>
      </w:r>
      <w:r w:rsidR="001C4071">
        <w:t>when he had knowledge of the identity of his true debtor and the facts from which the debt arose.</w:t>
      </w:r>
      <w:r w:rsidR="00254A80">
        <w:t xml:space="preserve">  He could not defer the running of prescription by refraining from making demand for specific performance.</w:t>
      </w:r>
      <w:r w:rsidR="00254A80" w:rsidRPr="009C412F">
        <w:rPr>
          <w:color w:val="000000" w:themeColor="text1"/>
          <w:szCs w:val="24"/>
          <w:vertAlign w:val="superscript"/>
        </w:rPr>
        <w:t xml:space="preserve"> </w:t>
      </w:r>
      <w:r w:rsidR="00254A80" w:rsidRPr="004A2556">
        <w:rPr>
          <w:color w:val="000000" w:themeColor="text1"/>
          <w:szCs w:val="24"/>
          <w:vertAlign w:val="superscript"/>
        </w:rPr>
        <w:footnoteReference w:id="21"/>
      </w:r>
      <w:r w:rsidR="002673F7" w:rsidRPr="009C412F">
        <w:rPr>
          <w:color w:val="000000" w:themeColor="text1"/>
          <w:szCs w:val="24"/>
        </w:rPr>
        <w:t xml:space="preserve">  </w:t>
      </w:r>
      <w:r w:rsidR="00CB3259" w:rsidRPr="009C412F">
        <w:rPr>
          <w:color w:val="000000" w:themeColor="text1"/>
          <w:szCs w:val="24"/>
        </w:rPr>
        <w:t xml:space="preserve"> </w:t>
      </w:r>
    </w:p>
    <w:p w14:paraId="2F4DF4C9" w14:textId="5A534FC2" w:rsidR="0004701D" w:rsidRDefault="001164B4" w:rsidP="001164B4">
      <w:pPr>
        <w:pStyle w:val="JudgmentNumbered"/>
        <w:numPr>
          <w:ilvl w:val="0"/>
          <w:numId w:val="0"/>
        </w:numPr>
        <w:ind w:left="567" w:hanging="567"/>
        <w:rPr>
          <w:color w:val="000000" w:themeColor="text1"/>
          <w:szCs w:val="24"/>
        </w:rPr>
      </w:pPr>
      <w:r>
        <w:rPr>
          <w:bCs/>
          <w:color w:val="000000" w:themeColor="text1"/>
          <w:szCs w:val="24"/>
        </w:rPr>
        <w:t>[45]</w:t>
      </w:r>
      <w:r>
        <w:rPr>
          <w:bCs/>
          <w:color w:val="000000" w:themeColor="text1"/>
          <w:szCs w:val="24"/>
        </w:rPr>
        <w:tab/>
      </w:r>
      <w:r w:rsidR="00D1039A">
        <w:rPr>
          <w:color w:val="000000" w:themeColor="text1"/>
          <w:szCs w:val="24"/>
        </w:rPr>
        <w:t>Neither does it assist the applicant to argue that proceedings were commenced in 2020</w:t>
      </w:r>
      <w:r w:rsidR="001F3BA0">
        <w:rPr>
          <w:color w:val="000000" w:themeColor="text1"/>
          <w:szCs w:val="24"/>
        </w:rPr>
        <w:t xml:space="preserve"> which had the effect of interrupting the running of prescription</w:t>
      </w:r>
      <w:r w:rsidR="00D1039A">
        <w:rPr>
          <w:color w:val="000000" w:themeColor="text1"/>
          <w:szCs w:val="24"/>
        </w:rPr>
        <w:t>.</w:t>
      </w:r>
      <w:r w:rsidR="001C4071">
        <w:rPr>
          <w:color w:val="000000" w:themeColor="text1"/>
          <w:szCs w:val="24"/>
        </w:rPr>
        <w:t xml:space="preserve"> </w:t>
      </w:r>
      <w:r w:rsidR="008740C9">
        <w:rPr>
          <w:color w:val="000000" w:themeColor="text1"/>
          <w:szCs w:val="24"/>
        </w:rPr>
        <w:t>It will be recalled that t</w:t>
      </w:r>
      <w:r w:rsidR="00D1039A">
        <w:rPr>
          <w:color w:val="000000" w:themeColor="text1"/>
          <w:szCs w:val="24"/>
        </w:rPr>
        <w:t>he</w:t>
      </w:r>
      <w:r w:rsidR="001F3BA0">
        <w:rPr>
          <w:color w:val="000000" w:themeColor="text1"/>
          <w:szCs w:val="24"/>
        </w:rPr>
        <w:t xml:space="preserve"> proceedings brought in 2020</w:t>
      </w:r>
      <w:r w:rsidR="00D1039A">
        <w:rPr>
          <w:color w:val="000000" w:themeColor="text1"/>
          <w:szCs w:val="24"/>
        </w:rPr>
        <w:t xml:space="preserve"> were only instituted against the </w:t>
      </w:r>
      <w:r w:rsidR="00A4019C">
        <w:rPr>
          <w:color w:val="000000" w:themeColor="text1"/>
          <w:szCs w:val="24"/>
        </w:rPr>
        <w:t>first and second respondents and the Master</w:t>
      </w:r>
      <w:r w:rsidR="002C2EF1">
        <w:rPr>
          <w:color w:val="000000" w:themeColor="text1"/>
          <w:szCs w:val="24"/>
        </w:rPr>
        <w:t>.  S</w:t>
      </w:r>
      <w:r w:rsidR="00800D90">
        <w:rPr>
          <w:color w:val="000000" w:themeColor="text1"/>
          <w:szCs w:val="24"/>
        </w:rPr>
        <w:t xml:space="preserve">ervice of the application on the </w:t>
      </w:r>
      <w:r w:rsidR="00A4019C">
        <w:rPr>
          <w:color w:val="000000" w:themeColor="text1"/>
          <w:szCs w:val="24"/>
        </w:rPr>
        <w:t>first and second respondent acting in their capacities as executors of Brenner’s estate</w:t>
      </w:r>
      <w:r w:rsidR="00800D90">
        <w:rPr>
          <w:color w:val="000000" w:themeColor="text1"/>
          <w:szCs w:val="24"/>
        </w:rPr>
        <w:t xml:space="preserve"> </w:t>
      </w:r>
      <w:r w:rsidR="00A4019C">
        <w:rPr>
          <w:color w:val="000000" w:themeColor="text1"/>
          <w:szCs w:val="24"/>
        </w:rPr>
        <w:t xml:space="preserve">did not have the effect of interrupting the running of prescription against Crest Car Hire. </w:t>
      </w:r>
      <w:r w:rsidR="00925EF8">
        <w:rPr>
          <w:color w:val="000000" w:themeColor="text1"/>
          <w:szCs w:val="24"/>
        </w:rPr>
        <w:t xml:space="preserve"> </w:t>
      </w:r>
    </w:p>
    <w:p w14:paraId="2332359C" w14:textId="11E35C29" w:rsidR="009C7386" w:rsidRDefault="001164B4" w:rsidP="001164B4">
      <w:pPr>
        <w:pStyle w:val="JudgmentNumbered"/>
        <w:numPr>
          <w:ilvl w:val="0"/>
          <w:numId w:val="0"/>
        </w:numPr>
        <w:ind w:left="567" w:hanging="567"/>
        <w:rPr>
          <w:color w:val="000000" w:themeColor="text1"/>
          <w:szCs w:val="24"/>
        </w:rPr>
      </w:pPr>
      <w:r>
        <w:rPr>
          <w:bCs/>
          <w:color w:val="000000" w:themeColor="text1"/>
          <w:szCs w:val="24"/>
        </w:rPr>
        <w:t>[46]</w:t>
      </w:r>
      <w:r>
        <w:rPr>
          <w:bCs/>
          <w:color w:val="000000" w:themeColor="text1"/>
          <w:szCs w:val="24"/>
        </w:rPr>
        <w:tab/>
      </w:r>
      <w:r w:rsidR="008B743D">
        <w:rPr>
          <w:color w:val="000000" w:themeColor="text1"/>
          <w:szCs w:val="24"/>
        </w:rPr>
        <w:t xml:space="preserve">Service of process on a member of a close corporation does not interrupt </w:t>
      </w:r>
      <w:r w:rsidR="009C412F">
        <w:rPr>
          <w:color w:val="000000" w:themeColor="text1"/>
          <w:szCs w:val="24"/>
        </w:rPr>
        <w:t xml:space="preserve">the running of </w:t>
      </w:r>
      <w:r w:rsidR="008B743D">
        <w:rPr>
          <w:color w:val="000000" w:themeColor="text1"/>
          <w:szCs w:val="24"/>
        </w:rPr>
        <w:t xml:space="preserve">prescription where the debtor is the corporation </w:t>
      </w:r>
      <w:r w:rsidR="00991060">
        <w:rPr>
          <w:color w:val="000000" w:themeColor="text1"/>
          <w:szCs w:val="24"/>
        </w:rPr>
        <w:t xml:space="preserve">and the argument to the contrary which the applicant appears to advance, ignores the separate juristic </w:t>
      </w:r>
      <w:r w:rsidR="00991060">
        <w:rPr>
          <w:color w:val="000000" w:themeColor="text1"/>
          <w:szCs w:val="24"/>
        </w:rPr>
        <w:lastRenderedPageBreak/>
        <w:t xml:space="preserve">personality of a close corporation </w:t>
      </w:r>
      <w:r w:rsidR="009D1C20">
        <w:rPr>
          <w:color w:val="000000" w:themeColor="text1"/>
          <w:szCs w:val="24"/>
        </w:rPr>
        <w:t xml:space="preserve">which </w:t>
      </w:r>
      <w:r w:rsidR="00A31205">
        <w:rPr>
          <w:color w:val="000000" w:themeColor="text1"/>
          <w:szCs w:val="24"/>
        </w:rPr>
        <w:t xml:space="preserve">enjoys statutory </w:t>
      </w:r>
      <w:r w:rsidR="00E54D9C">
        <w:rPr>
          <w:color w:val="000000" w:themeColor="text1"/>
          <w:szCs w:val="24"/>
        </w:rPr>
        <w:t xml:space="preserve">in </w:t>
      </w:r>
      <w:r w:rsidR="00A31205">
        <w:rPr>
          <w:color w:val="000000" w:themeColor="text1"/>
          <w:szCs w:val="24"/>
        </w:rPr>
        <w:t>section 2 of the Close Corporations Act</w:t>
      </w:r>
      <w:r w:rsidR="00FA2AD4">
        <w:rPr>
          <w:color w:val="000000" w:themeColor="text1"/>
          <w:szCs w:val="24"/>
        </w:rPr>
        <w:t xml:space="preserve">.  The section </w:t>
      </w:r>
      <w:r w:rsidR="00A31205">
        <w:rPr>
          <w:color w:val="000000" w:themeColor="text1"/>
          <w:szCs w:val="24"/>
        </w:rPr>
        <w:t xml:space="preserve">holds that </w:t>
      </w:r>
      <w:r w:rsidR="003F1CA5">
        <w:rPr>
          <w:color w:val="000000" w:themeColor="text1"/>
          <w:szCs w:val="24"/>
        </w:rPr>
        <w:t xml:space="preserve">a close corporation formed in accordance with the statute </w:t>
      </w:r>
      <w:r w:rsidR="008B743D">
        <w:t>is on registration a juristic person and continues</w:t>
      </w:r>
      <w:r w:rsidR="00A84E32">
        <w:t xml:space="preserve"> </w:t>
      </w:r>
      <w:r w:rsidR="008B743D">
        <w:t>to exist as a juristic person</w:t>
      </w:r>
      <w:r w:rsidR="00D75716">
        <w:t>,</w:t>
      </w:r>
      <w:r w:rsidR="008B743D">
        <w:t xml:space="preserve"> notwithstanding changes in its membership</w:t>
      </w:r>
      <w:r w:rsidR="00A84E32">
        <w:t xml:space="preserve">. </w:t>
      </w:r>
      <w:r w:rsidR="0004701D">
        <w:rPr>
          <w:color w:val="000000" w:themeColor="text1"/>
          <w:szCs w:val="24"/>
        </w:rPr>
        <w:t xml:space="preserve"> </w:t>
      </w:r>
    </w:p>
    <w:p w14:paraId="4FD06AEB" w14:textId="6C94573B" w:rsidR="00176F22" w:rsidRPr="003F1A96" w:rsidRDefault="001164B4" w:rsidP="001164B4">
      <w:pPr>
        <w:pStyle w:val="JudgmentNumbered"/>
        <w:numPr>
          <w:ilvl w:val="0"/>
          <w:numId w:val="0"/>
        </w:numPr>
        <w:ind w:left="567" w:hanging="567"/>
        <w:rPr>
          <w:color w:val="000000" w:themeColor="text1"/>
          <w:szCs w:val="24"/>
        </w:rPr>
      </w:pPr>
      <w:r w:rsidRPr="003F1A96">
        <w:rPr>
          <w:bCs/>
          <w:color w:val="000000" w:themeColor="text1"/>
          <w:szCs w:val="24"/>
        </w:rPr>
        <w:t>[47]</w:t>
      </w:r>
      <w:r w:rsidRPr="003F1A96">
        <w:rPr>
          <w:bCs/>
          <w:color w:val="000000" w:themeColor="text1"/>
          <w:szCs w:val="24"/>
        </w:rPr>
        <w:tab/>
      </w:r>
      <w:r w:rsidR="00176F22">
        <w:t>For this reason</w:t>
      </w:r>
      <w:r w:rsidR="00FC5A63">
        <w:t>,</w:t>
      </w:r>
      <w:r w:rsidR="00176F22">
        <w:t xml:space="preserve"> the</w:t>
      </w:r>
      <w:r w:rsidR="00FC5A63">
        <w:t xml:space="preserve">re is no merit in Ms Matome’s alternative argument that the death of Brenner on 23 June 2015 </w:t>
      </w:r>
      <w:r w:rsidR="00AD4CD4">
        <w:t xml:space="preserve">delayed the running of prescription. </w:t>
      </w:r>
      <w:r w:rsidR="00B06C1F">
        <w:t xml:space="preserve"> Section 13(1)(h) deals with the delay in the running of prescription </w:t>
      </w:r>
      <w:r w:rsidR="008650D0">
        <w:t xml:space="preserve">where the creditor or the debtor is deceased and an executor of the estate has not yet been appointed </w:t>
      </w:r>
      <w:r w:rsidR="00613468">
        <w:t xml:space="preserve">but </w:t>
      </w:r>
      <w:r w:rsidR="00941121">
        <w:t xml:space="preserve">is </w:t>
      </w:r>
      <w:r w:rsidR="005929A3">
        <w:t>of no application here</w:t>
      </w:r>
      <w:r w:rsidR="00EF6B44">
        <w:t>.  N</w:t>
      </w:r>
      <w:r w:rsidR="008650D0">
        <w:t xml:space="preserve">either Brenner nor his executors </w:t>
      </w:r>
      <w:r w:rsidR="009646F1">
        <w:t xml:space="preserve">are </w:t>
      </w:r>
      <w:r w:rsidR="005C4304">
        <w:t xml:space="preserve">debtors of the applicant </w:t>
      </w:r>
      <w:r w:rsidR="00EF6B44">
        <w:t xml:space="preserve">since </w:t>
      </w:r>
      <w:r w:rsidR="005C4304">
        <w:t>the only parties to the sale of business agreement were the applicant and Crest Car Hire</w:t>
      </w:r>
      <w:r w:rsidR="00613468">
        <w:t>.</w:t>
      </w:r>
      <w:r w:rsidR="001F2C7F">
        <w:t xml:space="preserve"> </w:t>
      </w:r>
    </w:p>
    <w:p w14:paraId="42DCDBB2" w14:textId="3665705C" w:rsidR="008B2969" w:rsidRPr="008B2969" w:rsidRDefault="001164B4" w:rsidP="001164B4">
      <w:pPr>
        <w:pStyle w:val="JudgmentNumbered"/>
        <w:numPr>
          <w:ilvl w:val="0"/>
          <w:numId w:val="0"/>
        </w:numPr>
        <w:ind w:left="567" w:hanging="567"/>
        <w:rPr>
          <w:color w:val="000000" w:themeColor="text1"/>
          <w:szCs w:val="24"/>
        </w:rPr>
      </w:pPr>
      <w:r w:rsidRPr="008B2969">
        <w:rPr>
          <w:bCs/>
          <w:color w:val="000000" w:themeColor="text1"/>
          <w:szCs w:val="24"/>
        </w:rPr>
        <w:t>[48]</w:t>
      </w:r>
      <w:r w:rsidRPr="008B2969">
        <w:rPr>
          <w:bCs/>
          <w:color w:val="000000" w:themeColor="text1"/>
          <w:szCs w:val="24"/>
        </w:rPr>
        <w:tab/>
      </w:r>
      <w:r w:rsidR="003F1A96">
        <w:t xml:space="preserve">Ms Matome finally </w:t>
      </w:r>
      <w:r w:rsidR="003A38EB">
        <w:t>made what can only be described as a courageous argument in h</w:t>
      </w:r>
      <w:r w:rsidR="002039C1">
        <w:t xml:space="preserve">er </w:t>
      </w:r>
      <w:r w:rsidR="003A38EB">
        <w:t xml:space="preserve">heads of argument </w:t>
      </w:r>
      <w:r w:rsidR="005F1270">
        <w:t xml:space="preserve">to bring her client within the ambit of section 12(2) of the Prescription Act which </w:t>
      </w:r>
      <w:r w:rsidR="009C5D49">
        <w:t xml:space="preserve">delays the running of prescription if the debtor wilfully </w:t>
      </w:r>
      <w:r w:rsidR="000A1A15">
        <w:t>prevents the creditor from coming to know of the existence of the deb</w:t>
      </w:r>
      <w:r w:rsidR="00562CD2">
        <w:t xml:space="preserve">t until such time as the creditor </w:t>
      </w:r>
      <w:r w:rsidR="000A1A15">
        <w:t>becomes aware of the existence of the debt.</w:t>
      </w:r>
      <w:r w:rsidR="00562CD2">
        <w:t xml:space="preserve"> </w:t>
      </w:r>
      <w:r w:rsidR="00CE24FA">
        <w:t xml:space="preserve">  </w:t>
      </w:r>
    </w:p>
    <w:p w14:paraId="5BB989E3" w14:textId="50285583" w:rsidR="000A1A15" w:rsidRPr="004C2EBF" w:rsidRDefault="001164B4" w:rsidP="001164B4">
      <w:pPr>
        <w:pStyle w:val="JudgmentNumbered"/>
        <w:numPr>
          <w:ilvl w:val="0"/>
          <w:numId w:val="0"/>
        </w:numPr>
        <w:ind w:left="567" w:hanging="567"/>
        <w:rPr>
          <w:color w:val="000000" w:themeColor="text1"/>
          <w:szCs w:val="24"/>
        </w:rPr>
      </w:pPr>
      <w:r w:rsidRPr="004C2EBF">
        <w:rPr>
          <w:bCs/>
          <w:color w:val="000000" w:themeColor="text1"/>
          <w:szCs w:val="24"/>
        </w:rPr>
        <w:t>[49]</w:t>
      </w:r>
      <w:r w:rsidRPr="004C2EBF">
        <w:rPr>
          <w:bCs/>
          <w:color w:val="000000" w:themeColor="text1"/>
          <w:szCs w:val="24"/>
        </w:rPr>
        <w:tab/>
      </w:r>
      <w:r w:rsidR="00CE24FA">
        <w:t>The</w:t>
      </w:r>
      <w:r w:rsidR="008A360C">
        <w:t xml:space="preserve">re is no evidence that Crest Car Hire wilfully prevented the </w:t>
      </w:r>
      <w:r w:rsidR="00AF1DC5">
        <w:t xml:space="preserve">applicant from </w:t>
      </w:r>
      <w:r w:rsidR="00087441">
        <w:t xml:space="preserve">learning of the existence of the debt.   Indeed, the viability of such a construct appears </w:t>
      </w:r>
      <w:r w:rsidR="008B2969">
        <w:t xml:space="preserve">implausible </w:t>
      </w:r>
      <w:r w:rsidR="006F0C65">
        <w:t>because</w:t>
      </w:r>
      <w:r w:rsidR="00AF5A50">
        <w:t xml:space="preserve"> the claim is one for specific performance with the </w:t>
      </w:r>
      <w:r w:rsidR="00293BC6">
        <w:t xml:space="preserve">facts surrounding the transfer of Brenner’s members interest to the first respondent on 10 July 2018 not an element of the claim for specific </w:t>
      </w:r>
      <w:r w:rsidR="008B2969">
        <w:t>performance that arose on 1 August 2012</w:t>
      </w:r>
      <w:r w:rsidR="00776B93">
        <w:t xml:space="preserve">.  Whether the events of 10 July 2018 were </w:t>
      </w:r>
      <w:r w:rsidR="004C2EBF">
        <w:t xml:space="preserve">wilfully </w:t>
      </w:r>
      <w:r w:rsidR="00164A77">
        <w:t>concealed</w:t>
      </w:r>
      <w:r w:rsidR="004C2EBF">
        <w:t xml:space="preserve"> </w:t>
      </w:r>
      <w:r w:rsidR="00776B93">
        <w:t>or not</w:t>
      </w:r>
      <w:r w:rsidR="00B52775">
        <w:t>,</w:t>
      </w:r>
      <w:r w:rsidR="00776B93">
        <w:t xml:space="preserve"> even on a most benevolent construction </w:t>
      </w:r>
      <w:r w:rsidR="00BA1F51">
        <w:t>and when these facts came to the attention of the applicant</w:t>
      </w:r>
      <w:r w:rsidR="00B52775">
        <w:t>,</w:t>
      </w:r>
      <w:r w:rsidR="00BA1F51">
        <w:t xml:space="preserve"> </w:t>
      </w:r>
      <w:r w:rsidR="00776B93">
        <w:t>is irrelevant</w:t>
      </w:r>
      <w:r w:rsidR="004C2EBF">
        <w:t xml:space="preserve">. </w:t>
      </w:r>
    </w:p>
    <w:p w14:paraId="31FF11DD" w14:textId="05ACC5AE" w:rsidR="00FE3867" w:rsidRDefault="001164B4" w:rsidP="001164B4">
      <w:pPr>
        <w:pStyle w:val="JudgmentNumbered"/>
        <w:numPr>
          <w:ilvl w:val="0"/>
          <w:numId w:val="0"/>
        </w:numPr>
        <w:ind w:left="567" w:hanging="567"/>
        <w:rPr>
          <w:color w:val="000000" w:themeColor="text1"/>
          <w:szCs w:val="24"/>
        </w:rPr>
      </w:pPr>
      <w:r>
        <w:rPr>
          <w:bCs/>
          <w:color w:val="000000" w:themeColor="text1"/>
          <w:szCs w:val="24"/>
        </w:rPr>
        <w:t>[50]</w:t>
      </w:r>
      <w:r>
        <w:rPr>
          <w:bCs/>
          <w:color w:val="000000" w:themeColor="text1"/>
          <w:szCs w:val="24"/>
        </w:rPr>
        <w:tab/>
      </w:r>
      <w:r w:rsidR="004C2EBF">
        <w:t xml:space="preserve">The </w:t>
      </w:r>
      <w:r w:rsidR="00337E3E">
        <w:t xml:space="preserve">more fundamental difficulty facing the applicant is that </w:t>
      </w:r>
      <w:r w:rsidR="00445E0A">
        <w:t>the facts that underpin the applicant’s reliance on section 12(2) have not been pleaded</w:t>
      </w:r>
      <w:r w:rsidR="0008695A">
        <w:t xml:space="preserve"> in response to the defence of prescription</w:t>
      </w:r>
      <w:r w:rsidR="00445E0A">
        <w:t xml:space="preserve">. </w:t>
      </w:r>
      <w:r w:rsidR="00420E8A">
        <w:t xml:space="preserve"> </w:t>
      </w:r>
    </w:p>
    <w:p w14:paraId="67DDB084" w14:textId="3FD5BC7C" w:rsidR="001165A5" w:rsidRPr="00FE3867" w:rsidRDefault="001164B4" w:rsidP="001164B4">
      <w:pPr>
        <w:pStyle w:val="JudgmentNumbered"/>
        <w:numPr>
          <w:ilvl w:val="0"/>
          <w:numId w:val="0"/>
        </w:numPr>
        <w:ind w:left="567" w:hanging="567"/>
        <w:rPr>
          <w:color w:val="000000" w:themeColor="text1"/>
          <w:szCs w:val="24"/>
        </w:rPr>
      </w:pPr>
      <w:r w:rsidRPr="00FE3867">
        <w:rPr>
          <w:bCs/>
          <w:color w:val="000000" w:themeColor="text1"/>
          <w:szCs w:val="24"/>
        </w:rPr>
        <w:t>[51]</w:t>
      </w:r>
      <w:r w:rsidRPr="00FE3867">
        <w:rPr>
          <w:bCs/>
          <w:color w:val="000000" w:themeColor="text1"/>
          <w:szCs w:val="24"/>
        </w:rPr>
        <w:tab/>
      </w:r>
      <w:r w:rsidR="00420E8A">
        <w:t xml:space="preserve">Where an applicant wishes to mount </w:t>
      </w:r>
      <w:r w:rsidR="0096481B">
        <w:t xml:space="preserve">a cognisable response to a special plea or point </w:t>
      </w:r>
      <w:r w:rsidR="0096481B" w:rsidRPr="00FE3867">
        <w:rPr>
          <w:i/>
          <w:iCs/>
        </w:rPr>
        <w:t>in limine</w:t>
      </w:r>
      <w:r w:rsidR="0096481B">
        <w:t xml:space="preserve"> </w:t>
      </w:r>
      <w:r w:rsidR="00395F49">
        <w:t>that raises prescription</w:t>
      </w:r>
      <w:r w:rsidR="0064697A">
        <w:t xml:space="preserve"> as a defence</w:t>
      </w:r>
      <w:r w:rsidR="00395F49">
        <w:t xml:space="preserve">, </w:t>
      </w:r>
      <w:r w:rsidR="00BA1F51">
        <w:t xml:space="preserve">it is necessary </w:t>
      </w:r>
      <w:r w:rsidR="00FE3867">
        <w:t xml:space="preserve">if a </w:t>
      </w:r>
      <w:r w:rsidR="00A865F3">
        <w:t xml:space="preserve">finding of </w:t>
      </w:r>
      <w:r w:rsidR="007F0B28">
        <w:t>prescription</w:t>
      </w:r>
      <w:r w:rsidR="00FE3867">
        <w:t xml:space="preserve"> is to be avoided,</w:t>
      </w:r>
      <w:r w:rsidR="007F0B28">
        <w:t xml:space="preserve"> </w:t>
      </w:r>
      <w:r w:rsidR="00BA1F51">
        <w:t xml:space="preserve">that the </w:t>
      </w:r>
      <w:r w:rsidR="00395F49">
        <w:t>supporting facts intended to</w:t>
      </w:r>
      <w:r w:rsidR="00AC019E">
        <w:t xml:space="preserve"> meet the </w:t>
      </w:r>
      <w:r w:rsidR="002056E4">
        <w:t xml:space="preserve">prescription </w:t>
      </w:r>
      <w:r w:rsidR="00AC019E">
        <w:t xml:space="preserve">defence </w:t>
      </w:r>
      <w:r w:rsidR="00395F49">
        <w:t xml:space="preserve">be pleaded with </w:t>
      </w:r>
      <w:r w:rsidR="0046181F">
        <w:t>sufficient particularity</w:t>
      </w:r>
      <w:r w:rsidR="007F0B28">
        <w:t>.  This not only assist</w:t>
      </w:r>
      <w:r w:rsidR="002056E4">
        <w:t xml:space="preserve">s </w:t>
      </w:r>
      <w:r w:rsidR="007F0B28">
        <w:lastRenderedPageBreak/>
        <w:t xml:space="preserve">the Court </w:t>
      </w:r>
      <w:r w:rsidR="00FA2E87">
        <w:t>in understanding the precise outline of the issues in dispute</w:t>
      </w:r>
      <w:r w:rsidR="00AF4798">
        <w:t xml:space="preserve"> and that it is required to pronounce upon</w:t>
      </w:r>
      <w:r w:rsidR="00E612E7">
        <w:t>,</w:t>
      </w:r>
      <w:r w:rsidR="001D4AE7">
        <w:t xml:space="preserve"> </w:t>
      </w:r>
      <w:r w:rsidR="00FA2E87">
        <w:t xml:space="preserve">but speaks to the question of </w:t>
      </w:r>
      <w:r w:rsidR="00FA2E87" w:rsidRPr="00FE3867">
        <w:rPr>
          <w:i/>
          <w:iCs/>
        </w:rPr>
        <w:t>audi</w:t>
      </w:r>
      <w:r w:rsidR="00AC019E" w:rsidRPr="00FE3867">
        <w:rPr>
          <w:i/>
          <w:iCs/>
        </w:rPr>
        <w:t xml:space="preserve">.  </w:t>
      </w:r>
      <w:r w:rsidR="00AC019E" w:rsidRPr="00AC019E">
        <w:t>The p</w:t>
      </w:r>
      <w:r w:rsidR="001A6050" w:rsidRPr="00AC019E">
        <w:t>arty</w:t>
      </w:r>
      <w:r w:rsidR="001A6050">
        <w:t xml:space="preserve"> raising prescription may well want to </w:t>
      </w:r>
      <w:r w:rsidR="00E25B1C">
        <w:t xml:space="preserve">deal </w:t>
      </w:r>
      <w:r w:rsidR="001A6050">
        <w:t xml:space="preserve">with the facts pleaded in reply </w:t>
      </w:r>
      <w:r w:rsidR="00387834">
        <w:t>that respond to the defence of prescription</w:t>
      </w:r>
      <w:r w:rsidR="00E25B1C">
        <w:t>.</w:t>
      </w:r>
      <w:r w:rsidR="00F2450D">
        <w:t xml:space="preserve"> </w:t>
      </w:r>
      <w:r w:rsidR="001466D3">
        <w:t xml:space="preserve"> </w:t>
      </w:r>
    </w:p>
    <w:p w14:paraId="1C5D1B97" w14:textId="6F378427" w:rsidR="00020956" w:rsidRDefault="001164B4" w:rsidP="001164B4">
      <w:pPr>
        <w:pStyle w:val="JudgmentNumbered"/>
        <w:numPr>
          <w:ilvl w:val="0"/>
          <w:numId w:val="0"/>
        </w:numPr>
        <w:ind w:left="567" w:hanging="567"/>
        <w:rPr>
          <w:color w:val="000000" w:themeColor="text1"/>
          <w:szCs w:val="24"/>
        </w:rPr>
      </w:pPr>
      <w:r>
        <w:rPr>
          <w:bCs/>
          <w:color w:val="000000" w:themeColor="text1"/>
          <w:szCs w:val="24"/>
        </w:rPr>
        <w:t>[52]</w:t>
      </w:r>
      <w:r>
        <w:rPr>
          <w:bCs/>
          <w:color w:val="000000" w:themeColor="text1"/>
          <w:szCs w:val="24"/>
        </w:rPr>
        <w:tab/>
      </w:r>
      <w:r w:rsidR="00E25B1C">
        <w:t>O</w:t>
      </w:r>
      <w:r w:rsidR="00F2450D">
        <w:t xml:space="preserve">ne can envisage those instances where </w:t>
      </w:r>
      <w:r w:rsidR="00E612E7">
        <w:t xml:space="preserve">if </w:t>
      </w:r>
      <w:r w:rsidR="00DD0854">
        <w:t xml:space="preserve">reliance is squarely </w:t>
      </w:r>
      <w:r w:rsidR="00B52E2D">
        <w:t xml:space="preserve">placed </w:t>
      </w:r>
      <w:r w:rsidR="00DD0854">
        <w:t>on section 12(2)</w:t>
      </w:r>
      <w:r w:rsidR="007851E7">
        <w:t xml:space="preserve"> in a replying affidavit</w:t>
      </w:r>
      <w:r w:rsidR="00DD0854">
        <w:t xml:space="preserve">, </w:t>
      </w:r>
      <w:r w:rsidR="00024C92">
        <w:t>t</w:t>
      </w:r>
      <w:r w:rsidR="00F16217">
        <w:t xml:space="preserve">he </w:t>
      </w:r>
      <w:r w:rsidR="00EF603E">
        <w:t xml:space="preserve">debtor </w:t>
      </w:r>
      <w:r w:rsidR="00F16217">
        <w:t>accused of having wilfully prevented the creditor from coming to know of the existence of the debt</w:t>
      </w:r>
      <w:r w:rsidR="00FB14ED">
        <w:rPr>
          <w:color w:val="000000" w:themeColor="text1"/>
          <w:szCs w:val="24"/>
        </w:rPr>
        <w:t xml:space="preserve">, </w:t>
      </w:r>
      <w:r w:rsidR="00A77B36">
        <w:t>may want to traverse those allegations in an issuable manner</w:t>
      </w:r>
      <w:r w:rsidR="00320BF7">
        <w:t xml:space="preserve"> by way of a further affidavit</w:t>
      </w:r>
      <w:r w:rsidR="00AA0B72">
        <w:t xml:space="preserve">.  </w:t>
      </w:r>
      <w:r w:rsidR="003C4CF3">
        <w:t xml:space="preserve">It is difficult to see that this </w:t>
      </w:r>
      <w:r w:rsidR="00692B00">
        <w:t xml:space="preserve">would violate the ordinary </w:t>
      </w:r>
      <w:r w:rsidR="007C6386">
        <w:t xml:space="preserve">practice of three sets of affidavits in motion proceedings as something </w:t>
      </w:r>
      <w:r w:rsidR="00020956">
        <w:t xml:space="preserve">new </w:t>
      </w:r>
      <w:r w:rsidR="00C263E3">
        <w:t>e</w:t>
      </w:r>
      <w:r w:rsidR="007C6386">
        <w:t>merged in the replying affidavit</w:t>
      </w:r>
      <w:r w:rsidR="00810EF9">
        <w:t xml:space="preserve"> </w:t>
      </w:r>
      <w:r w:rsidR="00C263E3">
        <w:t xml:space="preserve">for the first time </w:t>
      </w:r>
      <w:r w:rsidR="00810EF9">
        <w:t xml:space="preserve">which excludes </w:t>
      </w:r>
      <w:r w:rsidR="00810EF9" w:rsidRPr="00C263E3">
        <w:rPr>
          <w:i/>
          <w:iCs/>
        </w:rPr>
        <w:t>mala fides</w:t>
      </w:r>
      <w:r w:rsidR="00810EF9">
        <w:t xml:space="preserve"> or the need to give an explanation for why this was not raised </w:t>
      </w:r>
      <w:r w:rsidR="00024542">
        <w:t>at an earlier stage.</w:t>
      </w:r>
      <w:r w:rsidR="00024542" w:rsidRPr="004A2556">
        <w:rPr>
          <w:color w:val="000000" w:themeColor="text1"/>
          <w:szCs w:val="24"/>
          <w:vertAlign w:val="superscript"/>
        </w:rPr>
        <w:footnoteReference w:id="22"/>
      </w:r>
    </w:p>
    <w:p w14:paraId="3AABCFD5" w14:textId="302DFC5F" w:rsidR="009A6013" w:rsidRPr="00020956" w:rsidRDefault="001164B4" w:rsidP="001164B4">
      <w:pPr>
        <w:pStyle w:val="JudgmentNumbered"/>
        <w:numPr>
          <w:ilvl w:val="0"/>
          <w:numId w:val="0"/>
        </w:numPr>
        <w:ind w:left="567" w:hanging="567"/>
        <w:rPr>
          <w:color w:val="000000" w:themeColor="text1"/>
          <w:szCs w:val="24"/>
        </w:rPr>
      </w:pPr>
      <w:r w:rsidRPr="00020956">
        <w:rPr>
          <w:bCs/>
          <w:color w:val="000000" w:themeColor="text1"/>
          <w:szCs w:val="24"/>
        </w:rPr>
        <w:t>[53]</w:t>
      </w:r>
      <w:r w:rsidRPr="00020956">
        <w:rPr>
          <w:bCs/>
          <w:color w:val="000000" w:themeColor="text1"/>
          <w:szCs w:val="24"/>
        </w:rPr>
        <w:tab/>
      </w:r>
      <w:r w:rsidR="00020956">
        <w:t xml:space="preserve">The debtor </w:t>
      </w:r>
      <w:r w:rsidR="00692B00">
        <w:t>is denied the opportunity of</w:t>
      </w:r>
      <w:r w:rsidR="00C263E3">
        <w:t xml:space="preserve"> dealing with these allegations </w:t>
      </w:r>
      <w:r w:rsidR="00024C92">
        <w:t xml:space="preserve">that </w:t>
      </w:r>
      <w:r w:rsidR="006A70B6">
        <w:t xml:space="preserve">rest on section 12(2) </w:t>
      </w:r>
      <w:r w:rsidR="00C263E3">
        <w:t xml:space="preserve">if they are not pleaded in the replying affidavit in </w:t>
      </w:r>
      <w:r w:rsidR="00FE2C50">
        <w:t xml:space="preserve">answer </w:t>
      </w:r>
      <w:r w:rsidR="00C263E3">
        <w:t>to the defence of prescriptio</w:t>
      </w:r>
      <w:r w:rsidR="00AD6D3D">
        <w:t>n</w:t>
      </w:r>
      <w:r w:rsidR="00C263E3">
        <w:t xml:space="preserve">. </w:t>
      </w:r>
    </w:p>
    <w:p w14:paraId="46249515" w14:textId="62E2C1B4" w:rsidR="005336FC" w:rsidRPr="005336FC" w:rsidRDefault="001164B4" w:rsidP="001164B4">
      <w:pPr>
        <w:pStyle w:val="JudgmentNumbered"/>
        <w:numPr>
          <w:ilvl w:val="0"/>
          <w:numId w:val="0"/>
        </w:numPr>
        <w:ind w:left="567" w:hanging="567"/>
        <w:rPr>
          <w:color w:val="000000" w:themeColor="text1"/>
          <w:szCs w:val="24"/>
        </w:rPr>
      </w:pPr>
      <w:r w:rsidRPr="005336FC">
        <w:rPr>
          <w:bCs/>
          <w:color w:val="000000" w:themeColor="text1"/>
          <w:szCs w:val="24"/>
        </w:rPr>
        <w:t>[54]</w:t>
      </w:r>
      <w:r w:rsidRPr="005336FC">
        <w:rPr>
          <w:bCs/>
          <w:color w:val="000000" w:themeColor="text1"/>
          <w:szCs w:val="24"/>
        </w:rPr>
        <w:tab/>
      </w:r>
      <w:r w:rsidR="00020956">
        <w:t xml:space="preserve">Not having raised these allegations </w:t>
      </w:r>
      <w:r w:rsidR="000034E1">
        <w:t>i</w:t>
      </w:r>
      <w:r w:rsidR="00020956">
        <w:t xml:space="preserve">n the papers before me, I am not prepared to consider a defence that seeks to overcome prescription based on </w:t>
      </w:r>
      <w:r w:rsidR="00AD6D3D">
        <w:t xml:space="preserve">allegations that speak to </w:t>
      </w:r>
      <w:r w:rsidR="006814B7">
        <w:t xml:space="preserve">the application of </w:t>
      </w:r>
      <w:r w:rsidR="00020956">
        <w:t>section 12(2) of the Prescription Act.</w:t>
      </w:r>
    </w:p>
    <w:p w14:paraId="3642A093" w14:textId="1283BC7D" w:rsidR="007B4220" w:rsidRPr="007B4220" w:rsidRDefault="001164B4" w:rsidP="001164B4">
      <w:pPr>
        <w:pStyle w:val="JudgmentNumbered"/>
        <w:numPr>
          <w:ilvl w:val="0"/>
          <w:numId w:val="0"/>
        </w:numPr>
        <w:ind w:left="567" w:hanging="567"/>
        <w:rPr>
          <w:color w:val="000000" w:themeColor="text1"/>
          <w:szCs w:val="24"/>
        </w:rPr>
      </w:pPr>
      <w:r w:rsidRPr="007B4220">
        <w:rPr>
          <w:bCs/>
          <w:color w:val="000000" w:themeColor="text1"/>
          <w:szCs w:val="24"/>
        </w:rPr>
        <w:t>[55]</w:t>
      </w:r>
      <w:r w:rsidRPr="007B4220">
        <w:rPr>
          <w:bCs/>
          <w:color w:val="000000" w:themeColor="text1"/>
          <w:szCs w:val="24"/>
        </w:rPr>
        <w:tab/>
      </w:r>
      <w:r w:rsidR="00B5371D" w:rsidRPr="00B869C4">
        <w:t xml:space="preserve">In view of the conclusion that I have come to, it is not necessary to consider the merits of the declaratory relief </w:t>
      </w:r>
      <w:r w:rsidR="00020956" w:rsidRPr="00B869C4">
        <w:t xml:space="preserve">claimed in prayers four and five </w:t>
      </w:r>
      <w:r w:rsidR="0077719E" w:rsidRPr="00B869C4">
        <w:t xml:space="preserve">which </w:t>
      </w:r>
      <w:r w:rsidR="002E17AC">
        <w:t>are</w:t>
      </w:r>
      <w:r w:rsidR="0077719E" w:rsidRPr="00B869C4">
        <w:t xml:space="preserve"> rendered academic by the finding of prescription. </w:t>
      </w:r>
      <w:r w:rsidR="009B18E4" w:rsidRPr="00B869C4">
        <w:t xml:space="preserve"> </w:t>
      </w:r>
    </w:p>
    <w:p w14:paraId="3E945DBE" w14:textId="2138939D" w:rsidR="00907D36" w:rsidRPr="007B4220" w:rsidRDefault="001164B4" w:rsidP="001164B4">
      <w:pPr>
        <w:pStyle w:val="JudgmentNumbered"/>
        <w:numPr>
          <w:ilvl w:val="0"/>
          <w:numId w:val="0"/>
        </w:numPr>
        <w:ind w:left="567" w:hanging="567"/>
        <w:rPr>
          <w:color w:val="000000" w:themeColor="text1"/>
          <w:szCs w:val="24"/>
        </w:rPr>
      </w:pPr>
      <w:r w:rsidRPr="007B4220">
        <w:rPr>
          <w:bCs/>
          <w:color w:val="000000" w:themeColor="text1"/>
          <w:szCs w:val="24"/>
        </w:rPr>
        <w:t>[56]</w:t>
      </w:r>
      <w:r w:rsidRPr="007B4220">
        <w:rPr>
          <w:bCs/>
          <w:color w:val="000000" w:themeColor="text1"/>
          <w:szCs w:val="24"/>
        </w:rPr>
        <w:tab/>
      </w:r>
      <w:r w:rsidR="007B4220" w:rsidRPr="00B869C4">
        <w:t>Declaratory orders are discretionary in nature and Courts do not issue them when deciding points that are merely abstract, academic or hypothetical.</w:t>
      </w:r>
      <w:r w:rsidR="007B4220" w:rsidRPr="00B869C4">
        <w:rPr>
          <w:rStyle w:val="FootnoteReference"/>
          <w:szCs w:val="24"/>
        </w:rPr>
        <w:footnoteReference w:id="23"/>
      </w:r>
      <w:r w:rsidR="007B4220">
        <w:t xml:space="preserve"> </w:t>
      </w:r>
      <w:r w:rsidR="009B18E4" w:rsidRPr="00B869C4">
        <w:t xml:space="preserve">The practical utility of </w:t>
      </w:r>
      <w:r w:rsidR="0043556B" w:rsidRPr="00B869C4">
        <w:t xml:space="preserve">interrogating </w:t>
      </w:r>
      <w:r w:rsidR="00191A34" w:rsidRPr="00B869C4">
        <w:t xml:space="preserve">whether the sale of business agreement is valid and </w:t>
      </w:r>
      <w:r w:rsidR="00C81FCB" w:rsidRPr="00B869C4">
        <w:t xml:space="preserve">included as its subject the members interest </w:t>
      </w:r>
      <w:r w:rsidR="00514FFC">
        <w:t xml:space="preserve">in Crest Car Hire </w:t>
      </w:r>
      <w:r w:rsidR="002B7626" w:rsidRPr="00B869C4">
        <w:t xml:space="preserve">is rendered </w:t>
      </w:r>
      <w:r w:rsidR="007B4220">
        <w:lastRenderedPageBreak/>
        <w:t xml:space="preserve">moot </w:t>
      </w:r>
      <w:r w:rsidR="00761254">
        <w:t xml:space="preserve">as </w:t>
      </w:r>
      <w:r w:rsidR="002B7626" w:rsidRPr="00B869C4">
        <w:t xml:space="preserve">the conclusion I have come to is that the claim </w:t>
      </w:r>
      <w:r w:rsidR="007B4220">
        <w:t xml:space="preserve">to demand transfer of the members interest </w:t>
      </w:r>
      <w:r w:rsidR="002B7626" w:rsidRPr="00B869C4">
        <w:t>prescribed</w:t>
      </w:r>
      <w:r w:rsidR="001507DD">
        <w:t xml:space="preserve"> three years </w:t>
      </w:r>
      <w:r w:rsidR="007B4220">
        <w:t xml:space="preserve">after </w:t>
      </w:r>
      <w:r w:rsidR="00687B1A">
        <w:t xml:space="preserve">1 August 2012. </w:t>
      </w:r>
    </w:p>
    <w:p w14:paraId="555BFBA2" w14:textId="5B25B1E8" w:rsidR="00761254" w:rsidRPr="00761254" w:rsidRDefault="001164B4" w:rsidP="001164B4">
      <w:pPr>
        <w:pStyle w:val="JudgmentNumbered"/>
        <w:numPr>
          <w:ilvl w:val="0"/>
          <w:numId w:val="0"/>
        </w:numPr>
        <w:ind w:left="567" w:hanging="567"/>
        <w:rPr>
          <w:color w:val="000000" w:themeColor="text1"/>
          <w:szCs w:val="24"/>
        </w:rPr>
      </w:pPr>
      <w:r w:rsidRPr="00761254">
        <w:rPr>
          <w:bCs/>
          <w:color w:val="000000" w:themeColor="text1"/>
          <w:szCs w:val="24"/>
        </w:rPr>
        <w:t>[57]</w:t>
      </w:r>
      <w:r w:rsidRPr="00761254">
        <w:rPr>
          <w:bCs/>
          <w:color w:val="000000" w:themeColor="text1"/>
          <w:szCs w:val="24"/>
        </w:rPr>
        <w:tab/>
      </w:r>
      <w:r w:rsidR="005336FC" w:rsidRPr="00907D36">
        <w:rPr>
          <w:lang w:val="en-US"/>
        </w:rPr>
        <w:t xml:space="preserve">As the claim against </w:t>
      </w:r>
      <w:r w:rsidR="00995F00">
        <w:rPr>
          <w:lang w:val="en-US"/>
        </w:rPr>
        <w:t xml:space="preserve">Crest Car Hire </w:t>
      </w:r>
      <w:r w:rsidR="005336FC" w:rsidRPr="00907D36">
        <w:rPr>
          <w:lang w:val="en-US"/>
        </w:rPr>
        <w:t>has prescribed</w:t>
      </w:r>
      <w:r w:rsidR="008F17FF" w:rsidRPr="00907D36">
        <w:rPr>
          <w:lang w:val="en-US"/>
        </w:rPr>
        <w:t xml:space="preserve"> with the </w:t>
      </w:r>
      <w:r w:rsidR="00166B55" w:rsidRPr="00907D36">
        <w:rPr>
          <w:lang w:val="en-US"/>
        </w:rPr>
        <w:t>consequence</w:t>
      </w:r>
      <w:r w:rsidR="008F17FF" w:rsidRPr="00907D36">
        <w:rPr>
          <w:lang w:val="en-US"/>
        </w:rPr>
        <w:t xml:space="preserve"> that any </w:t>
      </w:r>
      <w:r w:rsidR="00166B55" w:rsidRPr="00907D36">
        <w:rPr>
          <w:lang w:val="en-US"/>
        </w:rPr>
        <w:t>rights arising from the sale of business agreement capable of enforcement have been extinguished</w:t>
      </w:r>
      <w:r w:rsidR="005336FC" w:rsidRPr="00907D36">
        <w:rPr>
          <w:lang w:val="en-US"/>
        </w:rPr>
        <w:t>, t</w:t>
      </w:r>
      <w:r w:rsidR="008060A1" w:rsidRPr="00B869C4">
        <w:t xml:space="preserve">here </w:t>
      </w:r>
      <w:r w:rsidR="005336FC" w:rsidRPr="00B869C4">
        <w:t xml:space="preserve">is no need to </w:t>
      </w:r>
      <w:r w:rsidR="00B869C4">
        <w:t>say anything further about this part of the relief</w:t>
      </w:r>
      <w:r w:rsidR="00CC20B6">
        <w:t xml:space="preserve"> whether on the merits or for purposes of the declaratory relief</w:t>
      </w:r>
      <w:r w:rsidR="00B869C4">
        <w:t xml:space="preserve">. </w:t>
      </w:r>
      <w:r w:rsidR="00464375">
        <w:t xml:space="preserve"> It does not advance the rights of the parties any further. </w:t>
      </w:r>
    </w:p>
    <w:p w14:paraId="4646678E" w14:textId="0DD262D1" w:rsidR="005336FC" w:rsidRPr="00907D36" w:rsidRDefault="001164B4" w:rsidP="001164B4">
      <w:pPr>
        <w:pStyle w:val="JudgmentNumbered"/>
        <w:numPr>
          <w:ilvl w:val="0"/>
          <w:numId w:val="0"/>
        </w:numPr>
        <w:ind w:left="567" w:hanging="567"/>
        <w:rPr>
          <w:color w:val="000000" w:themeColor="text1"/>
          <w:szCs w:val="24"/>
        </w:rPr>
      </w:pPr>
      <w:r w:rsidRPr="00907D36">
        <w:rPr>
          <w:bCs/>
          <w:color w:val="000000" w:themeColor="text1"/>
          <w:szCs w:val="24"/>
        </w:rPr>
        <w:t>[58]</w:t>
      </w:r>
      <w:r w:rsidRPr="00907D36">
        <w:rPr>
          <w:bCs/>
          <w:color w:val="000000" w:themeColor="text1"/>
          <w:szCs w:val="24"/>
        </w:rPr>
        <w:tab/>
      </w:r>
      <w:r w:rsidR="00761254">
        <w:t>I</w:t>
      </w:r>
      <w:r w:rsidR="00437AB1">
        <w:t xml:space="preserve"> can but only add that as there is no privity of contract between the applicant and the first and second respondents, no </w:t>
      </w:r>
      <w:r w:rsidR="00FF720F">
        <w:t>grounds exist</w:t>
      </w:r>
      <w:r w:rsidR="00437AB1">
        <w:t xml:space="preserve"> to order </w:t>
      </w:r>
      <w:r w:rsidR="00511D67">
        <w:t>any</w:t>
      </w:r>
      <w:r w:rsidR="00437AB1">
        <w:t xml:space="preserve"> relief against them</w:t>
      </w:r>
      <w:r w:rsidR="00511D67">
        <w:t xml:space="preserve">.  </w:t>
      </w:r>
      <w:r w:rsidR="00437AB1">
        <w:t xml:space="preserve">I did not </w:t>
      </w:r>
      <w:r w:rsidR="00F0737C">
        <w:t>understand</w:t>
      </w:r>
      <w:r w:rsidR="00437AB1">
        <w:t xml:space="preserve"> the applicant’s case to be premised on any basis outside the confines of the sale of business agreement</w:t>
      </w:r>
      <w:r w:rsidR="00511D67">
        <w:t xml:space="preserve">. </w:t>
      </w:r>
    </w:p>
    <w:p w14:paraId="67C0935F" w14:textId="627717A1" w:rsidR="00E20909" w:rsidRPr="000B254D" w:rsidRDefault="001164B4" w:rsidP="001164B4">
      <w:pPr>
        <w:pStyle w:val="JudgmentNumbered"/>
        <w:numPr>
          <w:ilvl w:val="0"/>
          <w:numId w:val="0"/>
        </w:numPr>
        <w:ind w:left="567" w:hanging="567"/>
        <w:rPr>
          <w:color w:val="000000" w:themeColor="text1"/>
          <w:szCs w:val="24"/>
        </w:rPr>
      </w:pPr>
      <w:r w:rsidRPr="000B254D">
        <w:rPr>
          <w:bCs/>
          <w:color w:val="000000" w:themeColor="text1"/>
          <w:szCs w:val="24"/>
        </w:rPr>
        <w:t>[59]</w:t>
      </w:r>
      <w:r w:rsidRPr="000B254D">
        <w:rPr>
          <w:bCs/>
          <w:color w:val="000000" w:themeColor="text1"/>
          <w:szCs w:val="24"/>
        </w:rPr>
        <w:tab/>
      </w:r>
      <w:r w:rsidR="00E20909" w:rsidRPr="000B254D">
        <w:rPr>
          <w:lang w:val="en-US"/>
        </w:rPr>
        <w:t xml:space="preserve">I accordingly make an order in the following terms: </w:t>
      </w:r>
    </w:p>
    <w:p w14:paraId="02AF16C3" w14:textId="6BBD912B" w:rsidR="002823B0" w:rsidRDefault="001164B4" w:rsidP="001164B4">
      <w:pPr>
        <w:suppressAutoHyphens w:val="0"/>
        <w:spacing w:after="240" w:line="360" w:lineRule="auto"/>
        <w:ind w:left="567" w:hanging="567"/>
        <w:rPr>
          <w:rFonts w:eastAsiaTheme="minorHAnsi" w:cs="Arial"/>
          <w:snapToGrid/>
          <w:szCs w:val="22"/>
          <w:lang w:val="en-US"/>
        </w:rPr>
      </w:pPr>
      <w:r>
        <w:rPr>
          <w:rFonts w:eastAsiaTheme="minorHAnsi" w:cs="Arial"/>
          <w:bCs/>
          <w:snapToGrid/>
          <w:szCs w:val="22"/>
          <w:lang w:val="en-US"/>
        </w:rPr>
        <w:t>[1]</w:t>
      </w:r>
      <w:r>
        <w:rPr>
          <w:rFonts w:eastAsiaTheme="minorHAnsi" w:cs="Arial"/>
          <w:bCs/>
          <w:snapToGrid/>
          <w:szCs w:val="22"/>
          <w:lang w:val="en-US"/>
        </w:rPr>
        <w:tab/>
      </w:r>
      <w:r w:rsidR="00E20909" w:rsidRPr="00E20909">
        <w:rPr>
          <w:rFonts w:eastAsiaTheme="minorHAnsi" w:cs="Arial"/>
          <w:snapToGrid/>
          <w:szCs w:val="22"/>
          <w:lang w:val="en-US"/>
        </w:rPr>
        <w:t xml:space="preserve">The </w:t>
      </w:r>
      <w:r w:rsidR="002823B0">
        <w:rPr>
          <w:rFonts w:eastAsiaTheme="minorHAnsi" w:cs="Arial"/>
          <w:snapToGrid/>
          <w:szCs w:val="22"/>
          <w:lang w:val="en-US"/>
        </w:rPr>
        <w:t xml:space="preserve">point </w:t>
      </w:r>
      <w:r w:rsidR="002823B0" w:rsidRPr="00125EA5">
        <w:rPr>
          <w:rFonts w:eastAsiaTheme="minorHAnsi" w:cs="Arial"/>
          <w:i/>
          <w:iCs/>
          <w:snapToGrid/>
          <w:szCs w:val="22"/>
          <w:lang w:val="en-US"/>
        </w:rPr>
        <w:t>in limine</w:t>
      </w:r>
      <w:r w:rsidR="002823B0">
        <w:rPr>
          <w:rFonts w:eastAsiaTheme="minorHAnsi" w:cs="Arial"/>
          <w:snapToGrid/>
          <w:szCs w:val="22"/>
          <w:lang w:val="en-US"/>
        </w:rPr>
        <w:t xml:space="preserve"> is upheld</w:t>
      </w:r>
      <w:r w:rsidR="00125EA5">
        <w:rPr>
          <w:rFonts w:eastAsiaTheme="minorHAnsi" w:cs="Arial"/>
          <w:snapToGrid/>
          <w:szCs w:val="22"/>
          <w:lang w:val="en-US"/>
        </w:rPr>
        <w:t xml:space="preserve">. </w:t>
      </w:r>
    </w:p>
    <w:p w14:paraId="61E28EBB" w14:textId="7AE62F9D" w:rsidR="00E20909" w:rsidRPr="00E20909" w:rsidRDefault="001164B4" w:rsidP="001164B4">
      <w:pPr>
        <w:suppressAutoHyphens w:val="0"/>
        <w:spacing w:after="240" w:line="360" w:lineRule="auto"/>
        <w:ind w:left="567" w:hanging="567"/>
        <w:rPr>
          <w:rFonts w:eastAsiaTheme="minorHAnsi" w:cs="Arial"/>
          <w:snapToGrid/>
          <w:szCs w:val="22"/>
          <w:lang w:val="en-US"/>
        </w:rPr>
      </w:pPr>
      <w:r w:rsidRPr="00E20909">
        <w:rPr>
          <w:rFonts w:eastAsiaTheme="minorHAnsi" w:cs="Arial"/>
          <w:bCs/>
          <w:snapToGrid/>
          <w:szCs w:val="22"/>
          <w:lang w:val="en-US"/>
        </w:rPr>
        <w:t>[2]</w:t>
      </w:r>
      <w:r w:rsidRPr="00E20909">
        <w:rPr>
          <w:rFonts w:eastAsiaTheme="minorHAnsi" w:cs="Arial"/>
          <w:bCs/>
          <w:snapToGrid/>
          <w:szCs w:val="22"/>
          <w:lang w:val="en-US"/>
        </w:rPr>
        <w:tab/>
      </w:r>
      <w:r w:rsidR="00125EA5">
        <w:rPr>
          <w:rFonts w:eastAsiaTheme="minorHAnsi" w:cs="Arial"/>
          <w:snapToGrid/>
          <w:szCs w:val="22"/>
          <w:lang w:val="en-US"/>
        </w:rPr>
        <w:t xml:space="preserve">The </w:t>
      </w:r>
      <w:r w:rsidR="00E20909" w:rsidRPr="00E20909">
        <w:rPr>
          <w:rFonts w:eastAsiaTheme="minorHAnsi" w:cs="Arial"/>
          <w:snapToGrid/>
          <w:szCs w:val="22"/>
          <w:lang w:val="en-US"/>
        </w:rPr>
        <w:t xml:space="preserve">application </w:t>
      </w:r>
      <w:r w:rsidR="000B254D">
        <w:rPr>
          <w:rFonts w:eastAsiaTheme="minorHAnsi" w:cs="Arial"/>
          <w:snapToGrid/>
          <w:szCs w:val="22"/>
          <w:lang w:val="en-US"/>
        </w:rPr>
        <w:t xml:space="preserve">is dismissed with costs. </w:t>
      </w:r>
    </w:p>
    <w:p w14:paraId="1F2A612D" w14:textId="77777777" w:rsidR="00E20909" w:rsidRPr="00E20909" w:rsidRDefault="00E20909" w:rsidP="00E20909">
      <w:pPr>
        <w:suppressAutoHyphens w:val="0"/>
        <w:spacing w:after="240" w:line="360" w:lineRule="auto"/>
        <w:ind w:left="567"/>
        <w:rPr>
          <w:rFonts w:eastAsiaTheme="minorHAnsi" w:cs="Arial"/>
          <w:snapToGrid/>
          <w:szCs w:val="22"/>
          <w:lang w:val="en-US"/>
        </w:rPr>
      </w:pPr>
    </w:p>
    <w:p w14:paraId="37DEAD67" w14:textId="77777777" w:rsidR="00E20909" w:rsidRPr="00E20909" w:rsidRDefault="00E20909" w:rsidP="00E20909">
      <w:pPr>
        <w:suppressAutoHyphens w:val="0"/>
        <w:spacing w:line="360" w:lineRule="auto"/>
        <w:ind w:left="567" w:hanging="567"/>
        <w:jc w:val="right"/>
        <w:rPr>
          <w:rFonts w:eastAsiaTheme="minorHAnsi" w:cs="Arial"/>
          <w:snapToGrid/>
          <w:szCs w:val="22"/>
        </w:rPr>
      </w:pPr>
      <w:r w:rsidRPr="00E20909">
        <w:rPr>
          <w:rFonts w:eastAsiaTheme="minorHAnsi" w:cs="Arial"/>
          <w:snapToGrid/>
          <w:szCs w:val="22"/>
        </w:rPr>
        <w:t>___________________________</w:t>
      </w:r>
    </w:p>
    <w:p w14:paraId="74AF08C7" w14:textId="77777777" w:rsidR="00E20909" w:rsidRPr="00E20909" w:rsidRDefault="00E20909" w:rsidP="00E20909">
      <w:pPr>
        <w:suppressAutoHyphens w:val="0"/>
        <w:spacing w:line="360" w:lineRule="auto"/>
        <w:ind w:left="567" w:hanging="567"/>
        <w:jc w:val="right"/>
        <w:rPr>
          <w:rFonts w:eastAsiaTheme="minorHAnsi" w:cs="Arial"/>
          <w:b/>
          <w:snapToGrid/>
          <w:szCs w:val="22"/>
        </w:rPr>
      </w:pPr>
      <w:r w:rsidRPr="00E20909">
        <w:rPr>
          <w:rFonts w:eastAsiaTheme="minorHAnsi" w:cs="Arial"/>
          <w:b/>
          <w:snapToGrid/>
          <w:szCs w:val="22"/>
        </w:rPr>
        <w:t>C BESTER AJ</w:t>
      </w:r>
    </w:p>
    <w:p w14:paraId="79F0BB9E" w14:textId="77777777" w:rsidR="00E20909" w:rsidRPr="00E20909" w:rsidRDefault="00E20909" w:rsidP="00E20909">
      <w:pPr>
        <w:suppressAutoHyphens w:val="0"/>
        <w:spacing w:line="360" w:lineRule="auto"/>
        <w:ind w:left="567" w:hanging="567"/>
        <w:jc w:val="right"/>
        <w:rPr>
          <w:rFonts w:eastAsiaTheme="minorHAnsi" w:cs="Arial"/>
          <w:b/>
          <w:snapToGrid/>
          <w:szCs w:val="22"/>
        </w:rPr>
      </w:pPr>
      <w:r w:rsidRPr="00E20909">
        <w:rPr>
          <w:rFonts w:eastAsiaTheme="minorHAnsi" w:cs="Arial"/>
          <w:b/>
          <w:snapToGrid/>
          <w:szCs w:val="22"/>
        </w:rPr>
        <w:t>JUDGE OF THE HIGH COURT</w:t>
      </w:r>
    </w:p>
    <w:p w14:paraId="235A8A05" w14:textId="77777777" w:rsidR="00E20909" w:rsidRPr="00E20909" w:rsidRDefault="00E20909" w:rsidP="00E20909">
      <w:pPr>
        <w:suppressAutoHyphens w:val="0"/>
        <w:spacing w:line="360" w:lineRule="auto"/>
        <w:ind w:left="567" w:hanging="567"/>
        <w:jc w:val="right"/>
        <w:rPr>
          <w:rFonts w:eastAsiaTheme="minorHAnsi" w:cs="Arial"/>
          <w:b/>
          <w:snapToGrid/>
          <w:szCs w:val="22"/>
        </w:rPr>
        <w:sectPr w:rsidR="00E20909" w:rsidRPr="00E20909" w:rsidSect="002174CB">
          <w:headerReference w:type="default" r:id="rId12"/>
          <w:pgSz w:w="11906" w:h="16838"/>
          <w:pgMar w:top="1440" w:right="1440" w:bottom="1440" w:left="1440" w:header="708" w:footer="708" w:gutter="0"/>
          <w:cols w:space="708"/>
          <w:docGrid w:linePitch="360"/>
        </w:sectPr>
      </w:pPr>
      <w:r w:rsidRPr="00E20909">
        <w:rPr>
          <w:rFonts w:eastAsiaTheme="minorHAnsi" w:cs="Arial"/>
          <w:b/>
          <w:snapToGrid/>
          <w:szCs w:val="22"/>
        </w:rPr>
        <w:t>JOHANNESBURG</w:t>
      </w:r>
    </w:p>
    <w:p w14:paraId="636DB1C3" w14:textId="77777777" w:rsidR="00E20909" w:rsidRPr="00E20909" w:rsidRDefault="00E20909" w:rsidP="00E20909">
      <w:pPr>
        <w:suppressAutoHyphens w:val="0"/>
        <w:spacing w:line="360" w:lineRule="auto"/>
        <w:rPr>
          <w:rFonts w:eastAsiaTheme="minorHAnsi" w:cs="Arial"/>
          <w:b/>
          <w:snapToGrid/>
          <w:szCs w:val="22"/>
        </w:rPr>
        <w:sectPr w:rsidR="00E20909" w:rsidRPr="00E20909" w:rsidSect="002174CB">
          <w:type w:val="continuous"/>
          <w:pgSz w:w="11906" w:h="16838"/>
          <w:pgMar w:top="1440" w:right="1440" w:bottom="1440" w:left="1440" w:header="708" w:footer="708" w:gutter="0"/>
          <w:cols w:space="708"/>
          <w:docGrid w:linePitch="360"/>
        </w:sectPr>
      </w:pPr>
    </w:p>
    <w:p w14:paraId="02497EC7" w14:textId="4DA57B74" w:rsidR="00E20909" w:rsidRDefault="00E20909" w:rsidP="00E20909">
      <w:pPr>
        <w:spacing w:line="240" w:lineRule="auto"/>
      </w:pPr>
      <w:r w:rsidRPr="00E20909">
        <w:rPr>
          <w:rFonts w:cs="Arial"/>
          <w:szCs w:val="24"/>
          <w:lang w:val="en-ZA"/>
        </w:rPr>
        <w:lastRenderedPageBreak/>
        <w:t xml:space="preserve">Heard:  </w:t>
      </w:r>
      <w:r w:rsidR="006E13E8">
        <w:t>16 November 2023</w:t>
      </w:r>
    </w:p>
    <w:p w14:paraId="20B0F719" w14:textId="77777777" w:rsidR="00247848" w:rsidRPr="00E20909" w:rsidRDefault="00247848" w:rsidP="00E20909">
      <w:pPr>
        <w:spacing w:line="240" w:lineRule="auto"/>
        <w:rPr>
          <w:rFonts w:cs="Arial"/>
          <w:szCs w:val="24"/>
          <w:lang w:val="en-ZA"/>
        </w:rPr>
      </w:pPr>
    </w:p>
    <w:p w14:paraId="67112B3D" w14:textId="1F48D745" w:rsidR="006E13E8" w:rsidRPr="00E20909" w:rsidRDefault="006E13E8" w:rsidP="006E13E8">
      <w:pPr>
        <w:suppressAutoHyphens w:val="0"/>
        <w:spacing w:after="240" w:line="360" w:lineRule="auto"/>
        <w:rPr>
          <w:rFonts w:eastAsiaTheme="minorHAnsi" w:cs="Arial"/>
          <w:snapToGrid/>
          <w:szCs w:val="22"/>
          <w:lang w:val="en-ZA"/>
        </w:rPr>
      </w:pPr>
      <w:r>
        <w:rPr>
          <w:rFonts w:eastAsiaTheme="minorHAnsi" w:cs="Arial"/>
          <w:snapToGrid/>
          <w:szCs w:val="22"/>
          <w:lang w:val="en-ZA"/>
        </w:rPr>
        <w:t xml:space="preserve">Supplementary Heads of Argument: </w:t>
      </w:r>
      <w:r w:rsidR="00247848">
        <w:rPr>
          <w:rFonts w:eastAsiaTheme="minorHAnsi" w:cs="Arial"/>
          <w:snapToGrid/>
          <w:szCs w:val="22"/>
          <w:lang w:val="en-ZA"/>
        </w:rPr>
        <w:t xml:space="preserve">6 &amp; 11 December 2023 </w:t>
      </w:r>
    </w:p>
    <w:p w14:paraId="5A0BCB1E" w14:textId="083F6D51" w:rsidR="00E20909" w:rsidRDefault="00E20909" w:rsidP="00E20909">
      <w:pPr>
        <w:suppressAutoHyphens w:val="0"/>
        <w:spacing w:after="240" w:line="360" w:lineRule="auto"/>
        <w:ind w:left="567" w:hanging="567"/>
        <w:rPr>
          <w:rFonts w:eastAsiaTheme="minorHAnsi" w:cs="Arial"/>
          <w:snapToGrid/>
          <w:szCs w:val="22"/>
          <w:lang w:val="en-ZA"/>
        </w:rPr>
      </w:pPr>
      <w:r w:rsidRPr="00E20909">
        <w:rPr>
          <w:rFonts w:eastAsiaTheme="minorHAnsi" w:cs="Arial"/>
          <w:snapToGrid/>
          <w:szCs w:val="22"/>
          <w:lang w:val="en-ZA"/>
        </w:rPr>
        <w:t>Delivered:  1</w:t>
      </w:r>
      <w:r w:rsidR="0097642D">
        <w:rPr>
          <w:rFonts w:eastAsiaTheme="minorHAnsi" w:cs="Arial"/>
          <w:snapToGrid/>
          <w:szCs w:val="22"/>
          <w:lang w:val="en-ZA"/>
        </w:rPr>
        <w:t>8</w:t>
      </w:r>
      <w:r w:rsidRPr="00E20909">
        <w:rPr>
          <w:rFonts w:eastAsiaTheme="minorHAnsi" w:cs="Arial"/>
          <w:snapToGrid/>
          <w:szCs w:val="22"/>
          <w:lang w:val="en-ZA"/>
        </w:rPr>
        <w:t xml:space="preserve"> </w:t>
      </w:r>
      <w:r w:rsidR="006E13E8">
        <w:rPr>
          <w:rFonts w:eastAsiaTheme="minorHAnsi" w:cs="Arial"/>
          <w:snapToGrid/>
          <w:szCs w:val="22"/>
          <w:lang w:val="en-ZA"/>
        </w:rPr>
        <w:t xml:space="preserve">March </w:t>
      </w:r>
      <w:r w:rsidRPr="00E20909">
        <w:rPr>
          <w:rFonts w:eastAsiaTheme="minorHAnsi" w:cs="Arial"/>
          <w:snapToGrid/>
          <w:szCs w:val="22"/>
          <w:lang w:val="en-ZA"/>
        </w:rPr>
        <w:t>202</w:t>
      </w:r>
      <w:r w:rsidR="006E13E8">
        <w:rPr>
          <w:rFonts w:eastAsiaTheme="minorHAnsi" w:cs="Arial"/>
          <w:snapToGrid/>
          <w:szCs w:val="22"/>
          <w:lang w:val="en-ZA"/>
        </w:rPr>
        <w:t xml:space="preserve">4 </w:t>
      </w:r>
    </w:p>
    <w:p w14:paraId="62AA082E" w14:textId="77777777" w:rsidR="00E20909" w:rsidRDefault="00E20909" w:rsidP="00E20909">
      <w:pPr>
        <w:spacing w:line="240" w:lineRule="auto"/>
        <w:rPr>
          <w:rFonts w:eastAsiaTheme="minorHAnsi" w:cs="Arial"/>
          <w:snapToGrid/>
          <w:szCs w:val="22"/>
          <w:lang w:val="en-ZA"/>
        </w:rPr>
      </w:pPr>
    </w:p>
    <w:p w14:paraId="290460CC" w14:textId="77777777" w:rsidR="00C84F01" w:rsidRPr="00E20909" w:rsidRDefault="00C84F01" w:rsidP="00E20909">
      <w:pPr>
        <w:spacing w:line="240" w:lineRule="auto"/>
        <w:rPr>
          <w:rFonts w:cs="Arial"/>
          <w:szCs w:val="24"/>
          <w:lang w:val="en-ZA"/>
        </w:rPr>
      </w:pPr>
    </w:p>
    <w:p w14:paraId="3008C3B3" w14:textId="40043AE5" w:rsidR="00E20909" w:rsidRPr="00E20909" w:rsidRDefault="00E20909" w:rsidP="00E20909">
      <w:pPr>
        <w:spacing w:line="240" w:lineRule="auto"/>
        <w:rPr>
          <w:rFonts w:cs="Arial"/>
          <w:szCs w:val="24"/>
          <w:lang w:val="en-ZA"/>
        </w:rPr>
      </w:pPr>
      <w:r w:rsidRPr="00E20909">
        <w:rPr>
          <w:rFonts w:cs="Arial"/>
          <w:szCs w:val="24"/>
          <w:lang w:val="en-ZA"/>
        </w:rPr>
        <w:t>For the Applicant:</w:t>
      </w:r>
    </w:p>
    <w:p w14:paraId="5B486E96" w14:textId="77777777" w:rsidR="00E20909" w:rsidRPr="00E20909" w:rsidRDefault="00E20909" w:rsidP="00E20909">
      <w:pPr>
        <w:spacing w:line="240" w:lineRule="auto"/>
        <w:rPr>
          <w:rFonts w:cs="Arial"/>
          <w:szCs w:val="24"/>
          <w:lang w:val="en-ZA"/>
        </w:rPr>
      </w:pPr>
    </w:p>
    <w:p w14:paraId="04C7520E" w14:textId="1E4AC1AD" w:rsidR="00E20909" w:rsidRPr="00E20909" w:rsidRDefault="00CB7211" w:rsidP="00E20909">
      <w:pPr>
        <w:spacing w:line="240" w:lineRule="auto"/>
        <w:rPr>
          <w:rFonts w:cs="Arial"/>
          <w:szCs w:val="24"/>
          <w:lang w:val="en-ZA"/>
        </w:rPr>
      </w:pPr>
      <w:r>
        <w:rPr>
          <w:rFonts w:cs="Arial"/>
          <w:szCs w:val="24"/>
          <w:lang w:val="en-ZA"/>
        </w:rPr>
        <w:t>M Matome</w:t>
      </w:r>
    </w:p>
    <w:p w14:paraId="6DA3833A" w14:textId="77777777" w:rsidR="00E20909" w:rsidRPr="00E20909" w:rsidRDefault="00E20909" w:rsidP="00E20909">
      <w:pPr>
        <w:spacing w:line="240" w:lineRule="auto"/>
        <w:rPr>
          <w:rFonts w:cs="Arial"/>
          <w:szCs w:val="24"/>
          <w:lang w:val="en-ZA"/>
        </w:rPr>
      </w:pPr>
    </w:p>
    <w:p w14:paraId="34EE455A" w14:textId="7F00467B" w:rsidR="00E20909" w:rsidRPr="00E20909" w:rsidRDefault="00CB7211" w:rsidP="00E20909">
      <w:pPr>
        <w:spacing w:line="240" w:lineRule="auto"/>
        <w:rPr>
          <w:rFonts w:cs="Arial"/>
          <w:szCs w:val="24"/>
          <w:lang w:val="en-ZA"/>
        </w:rPr>
      </w:pPr>
      <w:r>
        <w:rPr>
          <w:rFonts w:cs="Arial"/>
          <w:szCs w:val="24"/>
          <w:lang w:val="en-ZA"/>
        </w:rPr>
        <w:t xml:space="preserve">Jurgens Bekker </w:t>
      </w:r>
      <w:r w:rsidR="00E20909" w:rsidRPr="00E20909">
        <w:rPr>
          <w:rFonts w:cs="Arial"/>
          <w:szCs w:val="24"/>
          <w:lang w:val="en-ZA"/>
        </w:rPr>
        <w:t xml:space="preserve">Attorneys </w:t>
      </w:r>
    </w:p>
    <w:p w14:paraId="33E75C25" w14:textId="77777777" w:rsidR="00E20909" w:rsidRPr="00E20909" w:rsidRDefault="00E20909" w:rsidP="00E20909">
      <w:pPr>
        <w:spacing w:line="240" w:lineRule="auto"/>
        <w:rPr>
          <w:rFonts w:cs="Arial"/>
          <w:szCs w:val="24"/>
          <w:lang w:val="en-ZA"/>
        </w:rPr>
      </w:pPr>
    </w:p>
    <w:p w14:paraId="4DC6D819" w14:textId="77777777" w:rsidR="00E20909" w:rsidRPr="00E20909" w:rsidRDefault="00E20909" w:rsidP="00E20909">
      <w:pPr>
        <w:spacing w:line="240" w:lineRule="auto"/>
        <w:rPr>
          <w:rFonts w:cs="Arial"/>
          <w:szCs w:val="24"/>
          <w:lang w:val="en-ZA"/>
        </w:rPr>
      </w:pPr>
    </w:p>
    <w:p w14:paraId="605D1D0F" w14:textId="77777777" w:rsidR="00E20909" w:rsidRPr="00E20909" w:rsidRDefault="00E20909" w:rsidP="00E20909">
      <w:pPr>
        <w:spacing w:line="240" w:lineRule="auto"/>
        <w:rPr>
          <w:rFonts w:cs="Arial"/>
          <w:szCs w:val="24"/>
          <w:lang w:val="en-ZA"/>
        </w:rPr>
      </w:pPr>
    </w:p>
    <w:p w14:paraId="6F30AA74" w14:textId="77777777" w:rsidR="00E20909" w:rsidRPr="00E20909" w:rsidRDefault="00E20909" w:rsidP="00E20909">
      <w:pPr>
        <w:spacing w:line="240" w:lineRule="auto"/>
        <w:rPr>
          <w:rFonts w:cs="Arial"/>
          <w:szCs w:val="24"/>
          <w:lang w:val="en-ZA"/>
        </w:rPr>
      </w:pPr>
    </w:p>
    <w:p w14:paraId="39081475" w14:textId="39CDCD97" w:rsidR="00E20909" w:rsidRPr="00E20909" w:rsidRDefault="00E20909" w:rsidP="00E20909">
      <w:pPr>
        <w:spacing w:line="240" w:lineRule="auto"/>
        <w:rPr>
          <w:rFonts w:cs="Arial"/>
          <w:szCs w:val="24"/>
          <w:lang w:val="en-ZA"/>
        </w:rPr>
      </w:pPr>
      <w:r w:rsidRPr="00E20909">
        <w:rPr>
          <w:rFonts w:cs="Arial"/>
          <w:szCs w:val="24"/>
          <w:lang w:val="en-ZA"/>
        </w:rPr>
        <w:t xml:space="preserve">For the </w:t>
      </w:r>
      <w:r w:rsidR="00CB7211">
        <w:rPr>
          <w:rFonts w:cs="Arial"/>
          <w:szCs w:val="24"/>
          <w:lang w:val="en-ZA"/>
        </w:rPr>
        <w:t xml:space="preserve">First, Second &amp; Fourth </w:t>
      </w:r>
      <w:r w:rsidRPr="00E20909">
        <w:rPr>
          <w:rFonts w:cs="Arial"/>
          <w:szCs w:val="24"/>
          <w:lang w:val="en-ZA"/>
        </w:rPr>
        <w:t>Respondents:</w:t>
      </w:r>
    </w:p>
    <w:p w14:paraId="0605B123" w14:textId="77777777" w:rsidR="00E20909" w:rsidRPr="00E20909" w:rsidRDefault="00E20909" w:rsidP="00E20909">
      <w:pPr>
        <w:spacing w:line="240" w:lineRule="auto"/>
        <w:rPr>
          <w:rFonts w:cs="Arial"/>
          <w:szCs w:val="24"/>
          <w:lang w:val="en-ZA"/>
        </w:rPr>
      </w:pPr>
    </w:p>
    <w:p w14:paraId="23693D05" w14:textId="5FB825B8" w:rsidR="00E20909" w:rsidRPr="00E20909" w:rsidRDefault="00CB7211" w:rsidP="00E20909">
      <w:pPr>
        <w:spacing w:line="240" w:lineRule="auto"/>
        <w:rPr>
          <w:rFonts w:cs="Arial"/>
          <w:szCs w:val="24"/>
          <w:lang w:val="en-ZA"/>
        </w:rPr>
      </w:pPr>
      <w:r>
        <w:rPr>
          <w:rFonts w:cs="Arial"/>
          <w:szCs w:val="24"/>
          <w:lang w:val="en-ZA"/>
        </w:rPr>
        <w:t xml:space="preserve">L Hollander </w:t>
      </w:r>
    </w:p>
    <w:p w14:paraId="1756B03A" w14:textId="77777777" w:rsidR="00E20909" w:rsidRPr="00E20909" w:rsidRDefault="00E20909" w:rsidP="00E20909">
      <w:pPr>
        <w:spacing w:line="240" w:lineRule="auto"/>
        <w:rPr>
          <w:rFonts w:cs="Arial"/>
          <w:szCs w:val="24"/>
          <w:lang w:val="en-ZA"/>
        </w:rPr>
      </w:pPr>
    </w:p>
    <w:p w14:paraId="761A1F40" w14:textId="79DED33A" w:rsidR="00E20909" w:rsidRPr="00B869C4" w:rsidRDefault="00AE1AA7" w:rsidP="00CB7211">
      <w:pPr>
        <w:spacing w:line="240" w:lineRule="auto"/>
        <w:rPr>
          <w:rFonts w:cs="Arial"/>
          <w:color w:val="000000" w:themeColor="text1"/>
          <w:szCs w:val="24"/>
        </w:rPr>
      </w:pPr>
      <w:r>
        <w:rPr>
          <w:rFonts w:cs="Arial"/>
          <w:szCs w:val="24"/>
          <w:lang w:val="en-ZA"/>
        </w:rPr>
        <w:t>Gjers</w:t>
      </w:r>
      <w:r w:rsidR="00C84F01">
        <w:rPr>
          <w:rFonts w:cs="Arial"/>
          <w:szCs w:val="24"/>
          <w:lang w:val="en-ZA"/>
        </w:rPr>
        <w:t>o</w:t>
      </w:r>
      <w:r>
        <w:rPr>
          <w:rFonts w:cs="Arial"/>
          <w:szCs w:val="24"/>
          <w:lang w:val="en-ZA"/>
        </w:rPr>
        <w:t xml:space="preserve">e </w:t>
      </w:r>
      <w:r w:rsidR="00C84F01">
        <w:rPr>
          <w:rFonts w:cs="Arial"/>
          <w:szCs w:val="24"/>
          <w:lang w:val="en-ZA"/>
        </w:rPr>
        <w:t xml:space="preserve">Attorneys </w:t>
      </w:r>
    </w:p>
    <w:p w14:paraId="55144D1E" w14:textId="77777777" w:rsidR="0098537A" w:rsidRDefault="0098537A" w:rsidP="0098537A">
      <w:pPr>
        <w:pStyle w:val="JudgmentNumbered"/>
        <w:numPr>
          <w:ilvl w:val="0"/>
          <w:numId w:val="0"/>
        </w:numPr>
        <w:ind w:left="567" w:hanging="567"/>
        <w:rPr>
          <w:color w:val="000000" w:themeColor="text1"/>
          <w:szCs w:val="24"/>
        </w:rPr>
      </w:pPr>
    </w:p>
    <w:p w14:paraId="17E14F49" w14:textId="77777777" w:rsidR="00845CA0" w:rsidRDefault="00845CA0" w:rsidP="00062045">
      <w:pPr>
        <w:pStyle w:val="JudgmentNumbered"/>
        <w:numPr>
          <w:ilvl w:val="0"/>
          <w:numId w:val="0"/>
        </w:numPr>
      </w:pPr>
    </w:p>
    <w:sectPr w:rsidR="00845CA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A1F8" w14:textId="77777777" w:rsidR="002174CB" w:rsidRDefault="002174CB" w:rsidP="00B74E2B">
      <w:pPr>
        <w:spacing w:line="240" w:lineRule="auto"/>
      </w:pPr>
      <w:r>
        <w:separator/>
      </w:r>
    </w:p>
  </w:endnote>
  <w:endnote w:type="continuationSeparator" w:id="0">
    <w:p w14:paraId="431ACC74" w14:textId="77777777" w:rsidR="002174CB" w:rsidRDefault="002174CB" w:rsidP="00B7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8765" w14:textId="77777777" w:rsidR="002174CB" w:rsidRDefault="002174CB" w:rsidP="00B74E2B">
      <w:pPr>
        <w:spacing w:line="240" w:lineRule="auto"/>
      </w:pPr>
      <w:r>
        <w:separator/>
      </w:r>
    </w:p>
  </w:footnote>
  <w:footnote w:type="continuationSeparator" w:id="0">
    <w:p w14:paraId="77AC325D" w14:textId="77777777" w:rsidR="002174CB" w:rsidRDefault="002174CB" w:rsidP="00B74E2B">
      <w:pPr>
        <w:spacing w:line="240" w:lineRule="auto"/>
      </w:pPr>
      <w:r>
        <w:continuationSeparator/>
      </w:r>
    </w:p>
  </w:footnote>
  <w:footnote w:id="1">
    <w:p w14:paraId="67B473FD" w14:textId="71B73DF4" w:rsidR="008802A3" w:rsidRPr="00DA6B60" w:rsidRDefault="008802A3" w:rsidP="008802A3">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Notice of Motion, prayer</w:t>
      </w:r>
      <w:r w:rsidR="006F2CAB">
        <w:rPr>
          <w:rFonts w:cs="Arial"/>
          <w:color w:val="000000" w:themeColor="text1"/>
        </w:rPr>
        <w:t>s 1 and 2</w:t>
      </w:r>
      <w:r>
        <w:rPr>
          <w:rFonts w:cs="Arial"/>
          <w:color w:val="000000" w:themeColor="text1"/>
        </w:rPr>
        <w:t xml:space="preserve">, </w:t>
      </w:r>
      <w:r w:rsidR="006D7A9C">
        <w:rPr>
          <w:rFonts w:cs="Arial"/>
          <w:color w:val="000000" w:themeColor="text1"/>
        </w:rPr>
        <w:t xml:space="preserve">001-5. </w:t>
      </w:r>
    </w:p>
  </w:footnote>
  <w:footnote w:id="2">
    <w:p w14:paraId="7B8FA4FB" w14:textId="224ADDEF" w:rsidR="006D7A9C" w:rsidRPr="00DA6B60" w:rsidRDefault="006D7A9C" w:rsidP="006D7A9C">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Notice of Motion, prayer </w:t>
      </w:r>
      <w:r w:rsidR="004E7805">
        <w:rPr>
          <w:rFonts w:cs="Arial"/>
          <w:color w:val="000000" w:themeColor="text1"/>
        </w:rPr>
        <w:t>3</w:t>
      </w:r>
      <w:r>
        <w:rPr>
          <w:rFonts w:cs="Arial"/>
          <w:color w:val="000000" w:themeColor="text1"/>
        </w:rPr>
        <w:t xml:space="preserve">, 001-5. </w:t>
      </w:r>
    </w:p>
  </w:footnote>
  <w:footnote w:id="3">
    <w:p w14:paraId="7F90F79D" w14:textId="33EC14B5" w:rsidR="004E7805" w:rsidRPr="00DA6B60" w:rsidRDefault="004E7805" w:rsidP="004E7805">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Notice of Motion, prayer 4, 001-6. </w:t>
      </w:r>
    </w:p>
  </w:footnote>
  <w:footnote w:id="4">
    <w:p w14:paraId="7A60F6A9" w14:textId="77777777" w:rsidR="00694ECC" w:rsidRPr="00DA6B60" w:rsidRDefault="00694ECC" w:rsidP="00694ECC">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Notice of Motion, prayer 5, 001-6. </w:t>
      </w:r>
    </w:p>
  </w:footnote>
  <w:footnote w:id="5">
    <w:p w14:paraId="3E4DC14E" w14:textId="77777777" w:rsidR="002A291B" w:rsidRPr="00DA6B60" w:rsidRDefault="002A291B" w:rsidP="002A291B">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FA, para 8.10, CaseLines 01-11 to 01-12. </w:t>
      </w:r>
    </w:p>
  </w:footnote>
  <w:footnote w:id="6">
    <w:p w14:paraId="47FD9797" w14:textId="77777777" w:rsidR="002A291B" w:rsidRPr="00DA6B60" w:rsidRDefault="002A291B" w:rsidP="002A291B">
      <w:pPr>
        <w:pStyle w:val="FootnoteText"/>
        <w:spacing w:line="240" w:lineRule="auto"/>
        <w:ind w:left="706" w:hanging="706"/>
        <w:rPr>
          <w:rFonts w:cs="Arial"/>
          <w:color w:val="000000" w:themeColor="text1"/>
        </w:rPr>
      </w:pPr>
      <w:r w:rsidRPr="00F46B18">
        <w:rPr>
          <w:rStyle w:val="FootnoteReference"/>
          <w:rFonts w:cs="Arial"/>
          <w:color w:val="000000" w:themeColor="text1"/>
        </w:rPr>
        <w:footnoteRef/>
      </w:r>
      <w:r w:rsidRPr="00F46B18">
        <w:rPr>
          <w:rFonts w:cs="Arial"/>
          <w:color w:val="000000" w:themeColor="text1"/>
        </w:rPr>
        <w:t xml:space="preserve"> </w:t>
      </w:r>
      <w:r>
        <w:rPr>
          <w:rFonts w:cs="Arial"/>
          <w:color w:val="000000" w:themeColor="text1"/>
        </w:rPr>
        <w:t xml:space="preserve">FA, para 8.11, CaseLines 01-12. </w:t>
      </w:r>
    </w:p>
  </w:footnote>
  <w:footnote w:id="7">
    <w:p w14:paraId="4B6DDC7B" w14:textId="32141067" w:rsidR="009A7E48" w:rsidRPr="006E747A" w:rsidRDefault="009A7E48" w:rsidP="00675FE6">
      <w:pPr>
        <w:pStyle w:val="FootnoteText"/>
        <w:spacing w:line="240" w:lineRule="auto"/>
        <w:ind w:left="706" w:hanging="706"/>
        <w:rPr>
          <w:rFonts w:cs="Arial"/>
          <w:color w:val="000000" w:themeColor="text1"/>
          <w:shd w:val="clear" w:color="auto" w:fill="FFFFFF"/>
        </w:rPr>
      </w:pPr>
      <w:r w:rsidRPr="006E747A">
        <w:rPr>
          <w:rStyle w:val="FootnoteReference"/>
          <w:rFonts w:cs="Arial"/>
          <w:color w:val="000000" w:themeColor="text1"/>
        </w:rPr>
        <w:footnoteRef/>
      </w:r>
      <w:r w:rsidRPr="006E747A">
        <w:rPr>
          <w:rFonts w:cs="Arial"/>
          <w:color w:val="000000" w:themeColor="text1"/>
        </w:rPr>
        <w:t xml:space="preserve"> </w:t>
      </w:r>
      <w:r>
        <w:rPr>
          <w:rFonts w:cs="Arial"/>
          <w:color w:val="000000" w:themeColor="text1"/>
          <w:shd w:val="clear" w:color="auto" w:fill="FFFFFF"/>
        </w:rPr>
        <w:t xml:space="preserve">CaseLines, RA, para 4.2, 001-117. </w:t>
      </w:r>
    </w:p>
  </w:footnote>
  <w:footnote w:id="8">
    <w:p w14:paraId="3AAA98FB" w14:textId="53620C46" w:rsidR="00675FE6" w:rsidRPr="004D2601" w:rsidRDefault="00FC7CFA" w:rsidP="004D2601">
      <w:pPr>
        <w:pStyle w:val="FootnoteText"/>
        <w:spacing w:line="240" w:lineRule="auto"/>
        <w:ind w:left="706" w:hanging="706"/>
        <w:rPr>
          <w:rFonts w:cs="Arial"/>
          <w:b/>
          <w:bCs/>
          <w:color w:val="000000" w:themeColor="text1"/>
          <w:shd w:val="clear" w:color="auto" w:fill="FFFFFF"/>
        </w:rPr>
      </w:pPr>
      <w:r w:rsidRPr="006E747A">
        <w:rPr>
          <w:rStyle w:val="FootnoteReference"/>
          <w:rFonts w:cs="Arial"/>
          <w:color w:val="000000" w:themeColor="text1"/>
        </w:rPr>
        <w:footnoteRef/>
      </w:r>
      <w:r w:rsidRPr="006E747A">
        <w:rPr>
          <w:rFonts w:cs="Arial"/>
          <w:color w:val="000000" w:themeColor="text1"/>
        </w:rPr>
        <w:t xml:space="preserve"> </w:t>
      </w:r>
      <w:r w:rsidRPr="006E747A">
        <w:rPr>
          <w:rFonts w:cs="Arial"/>
          <w:b/>
          <w:bCs/>
          <w:color w:val="000000" w:themeColor="text1"/>
          <w:shd w:val="clear" w:color="auto" w:fill="FFFFFF"/>
        </w:rPr>
        <w:t>Oertel en Andere NNO v Direkteur van Plaaslike Bestuur en Andere</w:t>
      </w:r>
      <w:r w:rsidRPr="006E747A">
        <w:rPr>
          <w:rFonts w:cs="Arial"/>
          <w:color w:val="000000" w:themeColor="text1"/>
          <w:shd w:val="clear" w:color="auto" w:fill="FFFFFF"/>
        </w:rPr>
        <w:t xml:space="preserve"> 1983 1 SA 354 (A) at </w:t>
      </w:r>
    </w:p>
    <w:p w14:paraId="59CE9FCE" w14:textId="7FB4DAF1" w:rsidR="00C313D5" w:rsidRPr="006E747A" w:rsidRDefault="00675FE6" w:rsidP="00C313D5">
      <w:pPr>
        <w:pStyle w:val="FootnoteText"/>
        <w:spacing w:line="240" w:lineRule="auto"/>
        <w:ind w:left="706" w:hanging="706"/>
        <w:rPr>
          <w:rFonts w:cs="Arial"/>
          <w:color w:val="000000" w:themeColor="text1"/>
          <w:shd w:val="clear" w:color="auto" w:fill="FFFFFF"/>
        </w:rPr>
      </w:pPr>
      <w:r>
        <w:rPr>
          <w:rFonts w:cs="Arial"/>
          <w:color w:val="000000" w:themeColor="text1"/>
          <w:shd w:val="clear" w:color="auto" w:fill="FFFFFF"/>
        </w:rPr>
        <w:t xml:space="preserve">   </w:t>
      </w:r>
      <w:r w:rsidR="00FC7CFA" w:rsidRPr="006E747A">
        <w:rPr>
          <w:rFonts w:cs="Arial"/>
          <w:color w:val="000000" w:themeColor="text1"/>
          <w:shd w:val="clear" w:color="auto" w:fill="FFFFFF"/>
        </w:rPr>
        <w:t>370B</w:t>
      </w:r>
      <w:r w:rsidR="00C313D5">
        <w:rPr>
          <w:rFonts w:cs="Arial"/>
          <w:color w:val="000000" w:themeColor="text1"/>
          <w:shd w:val="clear" w:color="auto" w:fill="FFFFFF"/>
        </w:rPr>
        <w:t xml:space="preserve">;  </w:t>
      </w:r>
      <w:r w:rsidR="00C313D5" w:rsidRPr="006A2ECF">
        <w:rPr>
          <w:b/>
          <w:bCs/>
          <w:color w:val="000000" w:themeColor="text1"/>
          <w:szCs w:val="24"/>
        </w:rPr>
        <w:t>Desai NO v Desai and Others</w:t>
      </w:r>
      <w:r w:rsidR="00C313D5" w:rsidRPr="006A2ECF">
        <w:rPr>
          <w:color w:val="000000" w:themeColor="text1"/>
          <w:szCs w:val="24"/>
        </w:rPr>
        <w:t xml:space="preserve"> 1996 1 SA 141 (A)</w:t>
      </w:r>
    </w:p>
  </w:footnote>
  <w:footnote w:id="9">
    <w:p w14:paraId="2C1E6EAE" w14:textId="77777777" w:rsidR="00FC7CFA" w:rsidRPr="00DA6B60" w:rsidRDefault="00FC7CFA" w:rsidP="00FC7CFA">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sidRPr="006E747A">
        <w:rPr>
          <w:rFonts w:cs="Arial"/>
          <w:color w:val="000000" w:themeColor="text1"/>
        </w:rPr>
        <w:t xml:space="preserve"> At 147H-I. </w:t>
      </w:r>
    </w:p>
  </w:footnote>
  <w:footnote w:id="10">
    <w:p w14:paraId="5BEAB304" w14:textId="77777777" w:rsidR="004D2601" w:rsidRDefault="00FE21DA" w:rsidP="004D2601">
      <w:pPr>
        <w:pStyle w:val="FootnoteText"/>
        <w:spacing w:line="240" w:lineRule="auto"/>
        <w:ind w:left="706" w:hanging="706"/>
        <w:rPr>
          <w:rFonts w:cs="Arial"/>
          <w:color w:val="000000" w:themeColor="text1"/>
          <w:shd w:val="clear" w:color="auto" w:fill="FFFFFF"/>
        </w:rPr>
      </w:pPr>
      <w:r w:rsidRPr="006E747A">
        <w:rPr>
          <w:rStyle w:val="FootnoteReference"/>
          <w:rFonts w:cs="Arial"/>
          <w:color w:val="000000" w:themeColor="text1"/>
        </w:rPr>
        <w:footnoteRef/>
      </w:r>
      <w:r w:rsidRPr="006E747A">
        <w:rPr>
          <w:rFonts w:cs="Arial"/>
          <w:color w:val="000000" w:themeColor="text1"/>
        </w:rPr>
        <w:t xml:space="preserve"> </w:t>
      </w:r>
      <w:r w:rsidR="004D2601" w:rsidRPr="006E747A">
        <w:rPr>
          <w:rFonts w:cs="Arial"/>
          <w:b/>
          <w:bCs/>
          <w:color w:val="000000" w:themeColor="text1"/>
          <w:shd w:val="clear" w:color="auto" w:fill="FFFFFF"/>
        </w:rPr>
        <w:t>Electricity Supply Commission v Stewarts and Lloyds of SA (Pty) Ltd</w:t>
      </w:r>
      <w:r w:rsidR="004D2601" w:rsidRPr="006E747A">
        <w:rPr>
          <w:rFonts w:cs="Arial"/>
          <w:color w:val="000000" w:themeColor="text1"/>
          <w:shd w:val="clear" w:color="auto" w:fill="FFFFFF"/>
        </w:rPr>
        <w:t xml:space="preserve"> 1981 3 SA 340 (A) at </w:t>
      </w:r>
    </w:p>
    <w:p w14:paraId="25276659" w14:textId="76ED7743" w:rsidR="00FE21DA" w:rsidRPr="004D2601" w:rsidRDefault="004D2601" w:rsidP="004D2601">
      <w:pPr>
        <w:pStyle w:val="FootnoteText"/>
        <w:spacing w:line="240" w:lineRule="auto"/>
        <w:ind w:left="706" w:hanging="706"/>
        <w:rPr>
          <w:rFonts w:cs="Arial"/>
          <w:color w:val="000000" w:themeColor="text1"/>
          <w:shd w:val="clear" w:color="auto" w:fill="FFFFFF"/>
        </w:rPr>
      </w:pPr>
      <w:r>
        <w:rPr>
          <w:rFonts w:cs="Arial"/>
          <w:color w:val="000000" w:themeColor="text1"/>
          <w:shd w:val="clear" w:color="auto" w:fill="FFFFFF"/>
        </w:rPr>
        <w:t xml:space="preserve">    </w:t>
      </w:r>
      <w:r w:rsidRPr="006E747A">
        <w:rPr>
          <w:rFonts w:cs="Arial"/>
          <w:color w:val="000000" w:themeColor="text1"/>
          <w:shd w:val="clear" w:color="auto" w:fill="FFFFFF"/>
        </w:rPr>
        <w:t>344F-G;</w:t>
      </w:r>
    </w:p>
  </w:footnote>
  <w:footnote w:id="11">
    <w:p w14:paraId="7EC731CD" w14:textId="77777777" w:rsidR="00675FE6" w:rsidRDefault="00047B59" w:rsidP="00047B59">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Pr>
          <w:rFonts w:cs="Arial"/>
          <w:color w:val="000000" w:themeColor="text1"/>
        </w:rPr>
        <w:t xml:space="preserve"> </w:t>
      </w:r>
      <w:r w:rsidR="009745A7">
        <w:rPr>
          <w:rFonts w:cs="Arial"/>
          <w:color w:val="000000" w:themeColor="text1"/>
        </w:rPr>
        <w:t xml:space="preserve"> </w:t>
      </w:r>
      <w:r>
        <w:rPr>
          <w:rFonts w:cs="Arial"/>
          <w:color w:val="000000" w:themeColor="text1"/>
        </w:rPr>
        <w:t xml:space="preserve">The majority in </w:t>
      </w:r>
      <w:r w:rsidRPr="00047B59">
        <w:rPr>
          <w:rFonts w:cs="Arial"/>
          <w:b/>
          <w:bCs/>
          <w:color w:val="000000" w:themeColor="text1"/>
        </w:rPr>
        <w:t>Makate</w:t>
      </w:r>
      <w:r>
        <w:rPr>
          <w:rFonts w:cs="Arial"/>
          <w:color w:val="000000" w:themeColor="text1"/>
        </w:rPr>
        <w:t xml:space="preserve"> </w:t>
      </w:r>
      <w:r w:rsidR="009745A7">
        <w:rPr>
          <w:rFonts w:cs="Arial"/>
          <w:color w:val="000000" w:themeColor="text1"/>
        </w:rPr>
        <w:t xml:space="preserve">at paragraph 92 </w:t>
      </w:r>
      <w:r>
        <w:rPr>
          <w:rFonts w:cs="Arial"/>
          <w:color w:val="000000" w:themeColor="text1"/>
        </w:rPr>
        <w:t xml:space="preserve">characterised the claim as one </w:t>
      </w:r>
      <w:r w:rsidR="000B0B66">
        <w:rPr>
          <w:rFonts w:cs="Arial"/>
          <w:color w:val="000000" w:themeColor="text1"/>
        </w:rPr>
        <w:t xml:space="preserve">for an order forcing Vodacom </w:t>
      </w:r>
    </w:p>
    <w:p w14:paraId="425E50C7" w14:textId="66F6CB77" w:rsidR="00675FE6" w:rsidRDefault="00675FE6" w:rsidP="00675FE6">
      <w:pPr>
        <w:pStyle w:val="FootnoteText"/>
        <w:spacing w:line="240" w:lineRule="auto"/>
        <w:ind w:left="706" w:hanging="706"/>
        <w:rPr>
          <w:rFonts w:cs="Arial"/>
          <w:color w:val="000000" w:themeColor="text1"/>
        </w:rPr>
      </w:pPr>
      <w:r>
        <w:rPr>
          <w:rFonts w:cs="Arial"/>
          <w:color w:val="000000" w:themeColor="text1"/>
        </w:rPr>
        <w:t xml:space="preserve">     </w:t>
      </w:r>
      <w:r w:rsidR="000B0B66">
        <w:rPr>
          <w:rFonts w:cs="Arial"/>
          <w:color w:val="000000" w:themeColor="text1"/>
        </w:rPr>
        <w:t>to commence</w:t>
      </w:r>
      <w:r w:rsidR="009745A7">
        <w:rPr>
          <w:rFonts w:cs="Arial"/>
          <w:color w:val="000000" w:themeColor="text1"/>
        </w:rPr>
        <w:t xml:space="preserve"> </w:t>
      </w:r>
      <w:r w:rsidR="000B0B66">
        <w:rPr>
          <w:rFonts w:cs="Arial"/>
          <w:color w:val="000000" w:themeColor="text1"/>
        </w:rPr>
        <w:t>negotiations with M</w:t>
      </w:r>
      <w:r w:rsidR="009745A7">
        <w:rPr>
          <w:rFonts w:cs="Arial"/>
          <w:color w:val="000000" w:themeColor="text1"/>
        </w:rPr>
        <w:t>a</w:t>
      </w:r>
      <w:r w:rsidR="000B0B66">
        <w:rPr>
          <w:rFonts w:cs="Arial"/>
          <w:color w:val="000000" w:themeColor="text1"/>
        </w:rPr>
        <w:t xml:space="preserve">kate to determine the amount of compensation due to him for </w:t>
      </w:r>
    </w:p>
    <w:p w14:paraId="745E0E16" w14:textId="24E885F9" w:rsidR="00047B59" w:rsidRPr="00DA6B60" w:rsidRDefault="00675FE6" w:rsidP="00675FE6">
      <w:pPr>
        <w:pStyle w:val="FootnoteText"/>
        <w:spacing w:line="240" w:lineRule="auto"/>
        <w:ind w:left="706" w:hanging="706"/>
        <w:rPr>
          <w:rFonts w:cs="Arial"/>
          <w:color w:val="000000" w:themeColor="text1"/>
        </w:rPr>
      </w:pPr>
      <w:r>
        <w:rPr>
          <w:rFonts w:cs="Arial"/>
          <w:color w:val="000000" w:themeColor="text1"/>
        </w:rPr>
        <w:t xml:space="preserve">     </w:t>
      </w:r>
      <w:r w:rsidR="000B0B66">
        <w:rPr>
          <w:rFonts w:cs="Arial"/>
          <w:color w:val="000000" w:themeColor="text1"/>
        </w:rPr>
        <w:t xml:space="preserve">the </w:t>
      </w:r>
      <w:r w:rsidR="00F8528F">
        <w:rPr>
          <w:rFonts w:cs="Arial"/>
          <w:color w:val="000000" w:themeColor="text1"/>
        </w:rPr>
        <w:t xml:space="preserve">use of his idea which turned out to be financially rewarding. </w:t>
      </w:r>
    </w:p>
  </w:footnote>
  <w:footnote w:id="12">
    <w:p w14:paraId="0A6267AB" w14:textId="380E2E39" w:rsidR="00F44581" w:rsidRPr="00DA6B60" w:rsidRDefault="00F44581" w:rsidP="008C73F0">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Pr>
          <w:rFonts w:cs="Arial"/>
          <w:color w:val="000000" w:themeColor="text1"/>
        </w:rPr>
        <w:t xml:space="preserve">  At </w:t>
      </w:r>
      <w:r w:rsidR="008C73F0">
        <w:rPr>
          <w:rFonts w:cs="Arial"/>
          <w:color w:val="000000" w:themeColor="text1"/>
        </w:rPr>
        <w:t xml:space="preserve">150B-H. </w:t>
      </w:r>
    </w:p>
  </w:footnote>
  <w:footnote w:id="13">
    <w:p w14:paraId="7D287C53" w14:textId="62DE08C4" w:rsidR="00DE7C96" w:rsidRPr="00DA6B60" w:rsidRDefault="00DE7C96" w:rsidP="0042708F">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Pr>
          <w:rFonts w:cs="Arial"/>
          <w:color w:val="000000" w:themeColor="text1"/>
        </w:rPr>
        <w:t xml:space="preserve">  </w:t>
      </w:r>
      <w:r w:rsidR="00D9012A">
        <w:rPr>
          <w:rFonts w:cs="Arial"/>
          <w:color w:val="000000" w:themeColor="text1"/>
        </w:rPr>
        <w:t xml:space="preserve">At 17G-H. </w:t>
      </w:r>
    </w:p>
  </w:footnote>
  <w:footnote w:id="14">
    <w:p w14:paraId="4AD81567" w14:textId="77777777" w:rsidR="00675FE6" w:rsidRDefault="008E7036" w:rsidP="008E7036">
      <w:pPr>
        <w:pStyle w:val="FootnoteText"/>
        <w:spacing w:line="240" w:lineRule="auto"/>
        <w:ind w:left="706" w:hanging="706"/>
        <w:rPr>
          <w:rFonts w:cs="Arial"/>
          <w:color w:val="000000" w:themeColor="text1"/>
          <w:shd w:val="clear" w:color="auto" w:fill="FFFFFF"/>
        </w:rPr>
      </w:pPr>
      <w:r w:rsidRPr="006E747A">
        <w:rPr>
          <w:rStyle w:val="FootnoteReference"/>
          <w:rFonts w:cs="Arial"/>
          <w:color w:val="000000" w:themeColor="text1"/>
        </w:rPr>
        <w:footnoteRef/>
      </w:r>
      <w:r w:rsidRPr="006E747A">
        <w:rPr>
          <w:rFonts w:cs="Arial"/>
          <w:color w:val="000000" w:themeColor="text1"/>
        </w:rPr>
        <w:t xml:space="preserve"> </w:t>
      </w:r>
      <w:r w:rsidR="004D16AD" w:rsidRPr="0042708F">
        <w:rPr>
          <w:rFonts w:cs="Arial"/>
          <w:color w:val="000000" w:themeColor="text1"/>
          <w:shd w:val="clear" w:color="auto" w:fill="FFFFFF"/>
        </w:rPr>
        <w:t xml:space="preserve">See section 30(1) of the Close Corporations Act which defines a members interest as movable </w:t>
      </w:r>
    </w:p>
    <w:p w14:paraId="321F6F2E" w14:textId="77777777" w:rsidR="00675FE6" w:rsidRDefault="00675FE6" w:rsidP="00675FE6">
      <w:pPr>
        <w:pStyle w:val="FootnoteText"/>
        <w:spacing w:line="240" w:lineRule="auto"/>
        <w:ind w:left="706" w:hanging="706"/>
        <w:rPr>
          <w:rFonts w:cs="Arial"/>
          <w:b/>
          <w:bCs/>
          <w:color w:val="000000" w:themeColor="text1"/>
          <w:shd w:val="clear" w:color="auto" w:fill="FFFFFF"/>
        </w:rPr>
      </w:pPr>
      <w:r>
        <w:rPr>
          <w:rFonts w:cs="Arial"/>
          <w:color w:val="000000" w:themeColor="text1"/>
          <w:shd w:val="clear" w:color="auto" w:fill="FFFFFF"/>
        </w:rPr>
        <w:t xml:space="preserve">    p</w:t>
      </w:r>
      <w:r w:rsidR="004D16AD" w:rsidRPr="0042708F">
        <w:rPr>
          <w:rFonts w:cs="Arial"/>
          <w:color w:val="000000" w:themeColor="text1"/>
          <w:shd w:val="clear" w:color="auto" w:fill="FFFFFF"/>
        </w:rPr>
        <w:t>roperty</w:t>
      </w:r>
      <w:r w:rsidR="0042708F">
        <w:rPr>
          <w:rFonts w:cs="Arial"/>
          <w:color w:val="000000" w:themeColor="text1"/>
          <w:shd w:val="clear" w:color="auto" w:fill="FFFFFF"/>
        </w:rPr>
        <w:t xml:space="preserve"> </w:t>
      </w:r>
      <w:r w:rsidR="0042708F" w:rsidRPr="0042708F">
        <w:rPr>
          <w:rFonts w:cs="Arial"/>
          <w:color w:val="000000" w:themeColor="text1"/>
          <w:shd w:val="clear" w:color="auto" w:fill="FFFFFF"/>
        </w:rPr>
        <w:t>comprising a single interest expressed as a percentage.</w:t>
      </w:r>
      <w:r w:rsidR="0042708F">
        <w:rPr>
          <w:rFonts w:cs="Arial"/>
          <w:b/>
          <w:bCs/>
          <w:color w:val="000000" w:themeColor="text1"/>
          <w:shd w:val="clear" w:color="auto" w:fill="FFFFFF"/>
        </w:rPr>
        <w:t xml:space="preserve"> </w:t>
      </w:r>
      <w:r w:rsidR="00F47589" w:rsidRPr="00F47589">
        <w:rPr>
          <w:rFonts w:cs="Arial"/>
          <w:color w:val="000000" w:themeColor="text1"/>
          <w:shd w:val="clear" w:color="auto" w:fill="FFFFFF"/>
        </w:rPr>
        <w:t xml:space="preserve">See also </w:t>
      </w:r>
      <w:r w:rsidR="00F47589" w:rsidRPr="00F47589">
        <w:rPr>
          <w:rFonts w:cs="Arial"/>
          <w:b/>
          <w:bCs/>
          <w:color w:val="000000" w:themeColor="text1"/>
          <w:shd w:val="clear" w:color="auto" w:fill="FFFFFF"/>
        </w:rPr>
        <w:t xml:space="preserve">Carlzeil Properties (Pty) </w:t>
      </w:r>
    </w:p>
    <w:p w14:paraId="25063D89" w14:textId="46C5FD15" w:rsidR="00C84484" w:rsidRPr="006E747A" w:rsidRDefault="00675FE6" w:rsidP="00675FE6">
      <w:pPr>
        <w:pStyle w:val="FootnoteText"/>
        <w:spacing w:line="240" w:lineRule="auto"/>
        <w:ind w:left="706" w:hanging="706"/>
        <w:rPr>
          <w:rFonts w:cs="Arial"/>
          <w:color w:val="000000" w:themeColor="text1"/>
          <w:shd w:val="clear" w:color="auto" w:fill="FFFFFF"/>
        </w:rPr>
      </w:pPr>
      <w:r>
        <w:rPr>
          <w:rFonts w:cs="Arial"/>
          <w:b/>
          <w:bCs/>
          <w:color w:val="000000" w:themeColor="text1"/>
          <w:shd w:val="clear" w:color="auto" w:fill="FFFFFF"/>
        </w:rPr>
        <w:t xml:space="preserve">    </w:t>
      </w:r>
      <w:r w:rsidR="00F47589" w:rsidRPr="00F47589">
        <w:rPr>
          <w:rFonts w:cs="Arial"/>
          <w:b/>
          <w:bCs/>
          <w:color w:val="000000" w:themeColor="text1"/>
          <w:shd w:val="clear" w:color="auto" w:fill="FFFFFF"/>
        </w:rPr>
        <w:t xml:space="preserve">Limited v Goncalves and Others </w:t>
      </w:r>
      <w:r w:rsidR="00F47589" w:rsidRPr="00F47589">
        <w:rPr>
          <w:rFonts w:cs="Arial"/>
          <w:color w:val="000000" w:themeColor="text1"/>
          <w:shd w:val="clear" w:color="auto" w:fill="FFFFFF"/>
        </w:rPr>
        <w:t xml:space="preserve">2000 (3) SA 739 </w:t>
      </w:r>
      <w:r>
        <w:rPr>
          <w:rFonts w:cs="Arial"/>
          <w:color w:val="000000" w:themeColor="text1"/>
          <w:shd w:val="clear" w:color="auto" w:fill="FFFFFF"/>
        </w:rPr>
        <w:t>(</w:t>
      </w:r>
      <w:r w:rsidR="00F47589" w:rsidRPr="00F47589">
        <w:rPr>
          <w:rFonts w:cs="Arial"/>
          <w:color w:val="000000" w:themeColor="text1"/>
          <w:shd w:val="clear" w:color="auto" w:fill="FFFFFF"/>
        </w:rPr>
        <w:t xml:space="preserve">T). </w:t>
      </w:r>
    </w:p>
  </w:footnote>
  <w:footnote w:id="15">
    <w:p w14:paraId="52D694CE" w14:textId="77777777" w:rsidR="00675FE6" w:rsidRDefault="00E910CD" w:rsidP="001547D7">
      <w:pPr>
        <w:pStyle w:val="FootnoteText"/>
        <w:spacing w:line="240" w:lineRule="auto"/>
        <w:ind w:left="706" w:hanging="706"/>
        <w:rPr>
          <w:rFonts w:cs="Arial"/>
          <w:b/>
          <w:bCs/>
          <w:color w:val="000000" w:themeColor="text1"/>
        </w:rPr>
      </w:pPr>
      <w:r w:rsidRPr="006E747A">
        <w:rPr>
          <w:rStyle w:val="FootnoteReference"/>
          <w:rFonts w:cs="Arial"/>
          <w:color w:val="000000" w:themeColor="text1"/>
        </w:rPr>
        <w:footnoteRef/>
      </w:r>
      <w:r w:rsidRPr="006E747A">
        <w:rPr>
          <w:rFonts w:cs="Arial"/>
          <w:color w:val="000000" w:themeColor="text1"/>
        </w:rPr>
        <w:t xml:space="preserve"> </w:t>
      </w:r>
      <w:r w:rsidR="00C84484">
        <w:rPr>
          <w:rFonts w:cs="Arial"/>
          <w:color w:val="000000" w:themeColor="text1"/>
        </w:rPr>
        <w:t xml:space="preserve">See also the later decision of the Constitutional Court in </w:t>
      </w:r>
      <w:r w:rsidR="00C84484" w:rsidRPr="00C84484">
        <w:rPr>
          <w:rFonts w:cs="Arial"/>
          <w:b/>
          <w:bCs/>
          <w:color w:val="000000" w:themeColor="text1"/>
        </w:rPr>
        <w:t xml:space="preserve">Ethekwini Municipality v Mounthaven </w:t>
      </w:r>
    </w:p>
    <w:p w14:paraId="70E7312C" w14:textId="07FC69C2" w:rsidR="00E910CD" w:rsidRPr="00675FE6" w:rsidRDefault="00675FE6" w:rsidP="00675FE6">
      <w:pPr>
        <w:pStyle w:val="FootnoteText"/>
        <w:spacing w:line="240" w:lineRule="auto"/>
        <w:ind w:left="706" w:hanging="706"/>
        <w:rPr>
          <w:rFonts w:cs="Arial"/>
          <w:b/>
          <w:bCs/>
          <w:color w:val="000000" w:themeColor="text1"/>
        </w:rPr>
      </w:pPr>
      <w:r>
        <w:rPr>
          <w:rFonts w:cs="Arial"/>
          <w:b/>
          <w:bCs/>
          <w:color w:val="000000" w:themeColor="text1"/>
        </w:rPr>
        <w:t xml:space="preserve">    </w:t>
      </w:r>
      <w:r w:rsidR="00C84484" w:rsidRPr="00C84484">
        <w:rPr>
          <w:rFonts w:cs="Arial"/>
          <w:b/>
          <w:bCs/>
          <w:color w:val="000000" w:themeColor="text1"/>
        </w:rPr>
        <w:t xml:space="preserve">(Pty) </w:t>
      </w:r>
      <w:r w:rsidR="00C84484">
        <w:rPr>
          <w:rFonts w:cs="Arial"/>
          <w:b/>
          <w:bCs/>
          <w:color w:val="000000" w:themeColor="text1"/>
        </w:rPr>
        <w:t xml:space="preserve"> </w:t>
      </w:r>
      <w:r w:rsidR="00C84484" w:rsidRPr="00C84484">
        <w:rPr>
          <w:rFonts w:cs="Arial"/>
          <w:b/>
          <w:bCs/>
          <w:color w:val="000000" w:themeColor="text1"/>
        </w:rPr>
        <w:t>Limited</w:t>
      </w:r>
      <w:r w:rsidR="00C84484">
        <w:rPr>
          <w:rFonts w:cs="Arial"/>
          <w:color w:val="000000" w:themeColor="text1"/>
        </w:rPr>
        <w:t xml:space="preserve"> 2019 (4) SA 394 (CC) </w:t>
      </w:r>
      <w:r w:rsidR="00C74F34">
        <w:rPr>
          <w:rFonts w:cs="Arial"/>
          <w:color w:val="000000" w:themeColor="text1"/>
        </w:rPr>
        <w:t xml:space="preserve">at 400A. </w:t>
      </w:r>
    </w:p>
  </w:footnote>
  <w:footnote w:id="16">
    <w:p w14:paraId="2225DB43" w14:textId="77777777" w:rsidR="0088745A" w:rsidRDefault="00F70FA9" w:rsidP="00037953">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sidRPr="006E747A">
        <w:rPr>
          <w:rFonts w:cs="Arial"/>
          <w:color w:val="000000" w:themeColor="text1"/>
        </w:rPr>
        <w:t xml:space="preserve"> </w:t>
      </w:r>
      <w:r w:rsidR="0088745A">
        <w:rPr>
          <w:rFonts w:cs="Arial"/>
          <w:color w:val="000000" w:themeColor="text1"/>
        </w:rPr>
        <w:t xml:space="preserve">See the decision of Wunsh J in </w:t>
      </w:r>
      <w:r w:rsidRPr="00F70FA9">
        <w:rPr>
          <w:rFonts w:cs="Arial"/>
          <w:b/>
          <w:bCs/>
          <w:color w:val="000000" w:themeColor="text1"/>
        </w:rPr>
        <w:t>Munnikhuis v Melamed NO</w:t>
      </w:r>
      <w:r>
        <w:rPr>
          <w:rFonts w:cs="Arial"/>
          <w:color w:val="000000" w:themeColor="text1"/>
        </w:rPr>
        <w:t xml:space="preserve"> 1998 (3) SA 873 (W) at 887E-F. </w:t>
      </w:r>
      <w:r w:rsidR="0088745A">
        <w:rPr>
          <w:rFonts w:cs="Arial"/>
          <w:color w:val="000000" w:themeColor="text1"/>
        </w:rPr>
        <w:t xml:space="preserve">  The </w:t>
      </w:r>
    </w:p>
    <w:p w14:paraId="6DB41522" w14:textId="57E73AD6" w:rsidR="00F70FA9" w:rsidRPr="00037953" w:rsidRDefault="0088745A" w:rsidP="00037953">
      <w:pPr>
        <w:pStyle w:val="FootnoteText"/>
        <w:spacing w:line="240" w:lineRule="auto"/>
        <w:ind w:left="706" w:hanging="706"/>
        <w:rPr>
          <w:rFonts w:cs="Arial"/>
          <w:color w:val="000000" w:themeColor="text1"/>
        </w:rPr>
      </w:pPr>
      <w:r>
        <w:rPr>
          <w:rFonts w:cs="Arial"/>
          <w:color w:val="000000" w:themeColor="text1"/>
        </w:rPr>
        <w:t xml:space="preserve">    full Court </w:t>
      </w:r>
      <w:r w:rsidR="00B062B2">
        <w:rPr>
          <w:rFonts w:cs="Arial"/>
          <w:color w:val="000000" w:themeColor="text1"/>
        </w:rPr>
        <w:t xml:space="preserve">also </w:t>
      </w:r>
      <w:r>
        <w:rPr>
          <w:rFonts w:cs="Arial"/>
          <w:color w:val="000000" w:themeColor="text1"/>
        </w:rPr>
        <w:t>comprised Cameron J (as he then was) and Fevrier AJ.</w:t>
      </w:r>
    </w:p>
  </w:footnote>
  <w:footnote w:id="17">
    <w:p w14:paraId="4F84A5F2" w14:textId="03407399" w:rsidR="002323C2" w:rsidRPr="00037953" w:rsidRDefault="002323C2" w:rsidP="002323C2">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sidRPr="006E747A">
        <w:rPr>
          <w:rFonts w:cs="Arial"/>
          <w:color w:val="000000" w:themeColor="text1"/>
        </w:rPr>
        <w:t xml:space="preserve"> </w:t>
      </w:r>
      <w:r w:rsidR="00037953">
        <w:rPr>
          <w:rFonts w:cs="Arial"/>
          <w:color w:val="000000" w:themeColor="text1"/>
        </w:rPr>
        <w:t xml:space="preserve">Clause 4.1.3, 001-19. </w:t>
      </w:r>
    </w:p>
    <w:p w14:paraId="2EDF0F81" w14:textId="77777777" w:rsidR="002323C2" w:rsidRPr="006E747A" w:rsidRDefault="002323C2" w:rsidP="002323C2">
      <w:pPr>
        <w:pStyle w:val="FootnoteText"/>
        <w:spacing w:line="240" w:lineRule="auto"/>
        <w:ind w:left="706" w:hanging="706"/>
        <w:rPr>
          <w:rFonts w:cs="Arial"/>
          <w:color w:val="000000" w:themeColor="text1"/>
          <w:shd w:val="clear" w:color="auto" w:fill="FFFFFF"/>
        </w:rPr>
      </w:pPr>
    </w:p>
    <w:p w14:paraId="3E62927E" w14:textId="77777777" w:rsidR="002323C2" w:rsidRPr="006E747A" w:rsidRDefault="002323C2" w:rsidP="002323C2">
      <w:pPr>
        <w:pStyle w:val="FootnoteText"/>
        <w:spacing w:line="240" w:lineRule="auto"/>
        <w:ind w:left="706" w:hanging="706"/>
        <w:rPr>
          <w:rFonts w:cs="Arial"/>
          <w:color w:val="000000" w:themeColor="text1"/>
          <w:shd w:val="clear" w:color="auto" w:fill="FFFFFF"/>
        </w:rPr>
      </w:pPr>
    </w:p>
  </w:footnote>
  <w:footnote w:id="18">
    <w:p w14:paraId="17D51383" w14:textId="20C11DCA" w:rsidR="008765F0" w:rsidRDefault="004D1BBD" w:rsidP="008765F0">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sidRPr="006E747A">
        <w:rPr>
          <w:rFonts w:cs="Arial"/>
          <w:color w:val="000000" w:themeColor="text1"/>
        </w:rPr>
        <w:t xml:space="preserve"> </w:t>
      </w:r>
      <w:r w:rsidRPr="00F70FA9">
        <w:rPr>
          <w:rFonts w:cs="Arial"/>
          <w:b/>
          <w:bCs/>
          <w:color w:val="000000" w:themeColor="text1"/>
        </w:rPr>
        <w:t xml:space="preserve">Munnikhuis </w:t>
      </w:r>
      <w:r>
        <w:rPr>
          <w:rFonts w:cs="Arial"/>
          <w:color w:val="000000" w:themeColor="text1"/>
        </w:rPr>
        <w:t>at 887</w:t>
      </w:r>
      <w:r w:rsidR="00556406">
        <w:rPr>
          <w:rFonts w:cs="Arial"/>
          <w:color w:val="000000" w:themeColor="text1"/>
        </w:rPr>
        <w:t xml:space="preserve">I to </w:t>
      </w:r>
      <w:r w:rsidR="008018B5">
        <w:rPr>
          <w:rFonts w:cs="Arial"/>
          <w:color w:val="000000" w:themeColor="text1"/>
        </w:rPr>
        <w:t>888A</w:t>
      </w:r>
      <w:r w:rsidR="008862A7">
        <w:rPr>
          <w:rFonts w:cs="Arial"/>
          <w:color w:val="000000" w:themeColor="text1"/>
        </w:rPr>
        <w:t xml:space="preserve">; </w:t>
      </w:r>
      <w:r w:rsidR="000E7C84" w:rsidRPr="008765F0">
        <w:rPr>
          <w:rFonts w:cs="Arial"/>
          <w:b/>
          <w:bCs/>
          <w:color w:val="000000" w:themeColor="text1"/>
        </w:rPr>
        <w:t>HM</w:t>
      </w:r>
      <w:r w:rsidR="008765F0" w:rsidRPr="008765F0">
        <w:rPr>
          <w:rFonts w:cs="Arial"/>
          <w:b/>
          <w:bCs/>
          <w:color w:val="000000" w:themeColor="text1"/>
        </w:rPr>
        <w:t>BMP Properties (Pty) Limited v King</w:t>
      </w:r>
      <w:r w:rsidR="008765F0">
        <w:rPr>
          <w:rFonts w:cs="Arial"/>
          <w:color w:val="000000" w:themeColor="text1"/>
        </w:rPr>
        <w:t xml:space="preserve"> 1981 (1) SA 906 (N) at 912H; </w:t>
      </w:r>
    </w:p>
    <w:p w14:paraId="7DF4EB7C" w14:textId="2997E70E" w:rsidR="004D1BBD" w:rsidRPr="00D21F97" w:rsidRDefault="008765F0" w:rsidP="00D21F97">
      <w:pPr>
        <w:pStyle w:val="FootnoteText"/>
        <w:spacing w:line="240" w:lineRule="auto"/>
        <w:ind w:left="706" w:hanging="706"/>
        <w:rPr>
          <w:rFonts w:cs="Arial"/>
          <w:color w:val="000000" w:themeColor="text1"/>
        </w:rPr>
      </w:pPr>
      <w:r>
        <w:rPr>
          <w:rFonts w:cs="Arial"/>
          <w:color w:val="000000" w:themeColor="text1"/>
        </w:rPr>
        <w:t xml:space="preserve">    see also </w:t>
      </w:r>
      <w:r w:rsidR="008862A7">
        <w:rPr>
          <w:rFonts w:cs="Arial"/>
          <w:color w:val="000000" w:themeColor="text1"/>
        </w:rPr>
        <w:t xml:space="preserve">Christie’s Law of Contract </w:t>
      </w:r>
      <w:r w:rsidR="0015037E">
        <w:rPr>
          <w:rFonts w:cs="Arial"/>
          <w:color w:val="000000" w:themeColor="text1"/>
        </w:rPr>
        <w:t xml:space="preserve">in South Africa, </w:t>
      </w:r>
      <w:r w:rsidR="00FF1D1B">
        <w:rPr>
          <w:rFonts w:cs="Arial"/>
          <w:color w:val="000000" w:themeColor="text1"/>
        </w:rPr>
        <w:t xml:space="preserve">Eighth Edition, page 600. </w:t>
      </w:r>
    </w:p>
  </w:footnote>
  <w:footnote w:id="19">
    <w:p w14:paraId="164C86EC" w14:textId="28B10C76" w:rsidR="00D21F97" w:rsidRPr="0046181F" w:rsidRDefault="00D21F97" w:rsidP="0046181F">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sidRPr="006E747A">
        <w:rPr>
          <w:rFonts w:cs="Arial"/>
          <w:color w:val="000000" w:themeColor="text1"/>
        </w:rPr>
        <w:t xml:space="preserve"> </w:t>
      </w:r>
      <w:r w:rsidRPr="00F70FA9">
        <w:rPr>
          <w:rFonts w:cs="Arial"/>
          <w:b/>
          <w:bCs/>
          <w:color w:val="000000" w:themeColor="text1"/>
        </w:rPr>
        <w:t xml:space="preserve">Munnikhuis </w:t>
      </w:r>
      <w:r>
        <w:rPr>
          <w:rFonts w:cs="Arial"/>
          <w:color w:val="000000" w:themeColor="text1"/>
        </w:rPr>
        <w:t xml:space="preserve">at </w:t>
      </w:r>
      <w:r w:rsidR="00B33C4F">
        <w:rPr>
          <w:rFonts w:cs="Arial"/>
          <w:color w:val="000000" w:themeColor="text1"/>
        </w:rPr>
        <w:t xml:space="preserve">887J. </w:t>
      </w:r>
    </w:p>
  </w:footnote>
  <w:footnote w:id="20">
    <w:p w14:paraId="51D170AE" w14:textId="286D7524" w:rsidR="00BA7564" w:rsidRPr="00254A80" w:rsidRDefault="00BA7564" w:rsidP="00254A80">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sidRPr="006E747A">
        <w:rPr>
          <w:rFonts w:cs="Arial"/>
          <w:color w:val="000000" w:themeColor="text1"/>
        </w:rPr>
        <w:t xml:space="preserve"> </w:t>
      </w:r>
      <w:r w:rsidR="008C744F">
        <w:rPr>
          <w:rFonts w:cs="Arial"/>
          <w:color w:val="000000" w:themeColor="text1"/>
        </w:rPr>
        <w:t xml:space="preserve">FA, para 8.12 and para 8.13, 00-12. </w:t>
      </w:r>
    </w:p>
  </w:footnote>
  <w:footnote w:id="21">
    <w:p w14:paraId="0445FC20" w14:textId="30B337FC" w:rsidR="00254A80" w:rsidRDefault="00254A80" w:rsidP="00254A80">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sidRPr="006E747A">
        <w:rPr>
          <w:rFonts w:cs="Arial"/>
          <w:color w:val="000000" w:themeColor="text1"/>
        </w:rPr>
        <w:t xml:space="preserve"> </w:t>
      </w:r>
      <w:r w:rsidRPr="00254A80">
        <w:rPr>
          <w:rFonts w:cs="Arial"/>
          <w:b/>
          <w:bCs/>
          <w:color w:val="000000" w:themeColor="text1"/>
        </w:rPr>
        <w:t>Mahomed v Yssel and Others</w:t>
      </w:r>
      <w:r>
        <w:rPr>
          <w:rFonts w:cs="Arial"/>
          <w:color w:val="000000" w:themeColor="text1"/>
        </w:rPr>
        <w:t xml:space="preserve"> 1963 (1) SA 866 (D) at 870G. </w:t>
      </w:r>
    </w:p>
    <w:p w14:paraId="46ED44B9" w14:textId="77777777" w:rsidR="00254A80" w:rsidRPr="008C744F" w:rsidRDefault="00254A80" w:rsidP="00254A80">
      <w:pPr>
        <w:pStyle w:val="FootnoteText"/>
        <w:spacing w:line="240" w:lineRule="auto"/>
        <w:ind w:left="706" w:hanging="706"/>
        <w:rPr>
          <w:rFonts w:cs="Arial"/>
          <w:color w:val="000000" w:themeColor="text1"/>
        </w:rPr>
      </w:pPr>
    </w:p>
    <w:p w14:paraId="0BE61167" w14:textId="77777777" w:rsidR="00254A80" w:rsidRPr="006E747A" w:rsidRDefault="00254A80" w:rsidP="00254A80">
      <w:pPr>
        <w:pStyle w:val="FootnoteText"/>
        <w:spacing w:line="240" w:lineRule="auto"/>
        <w:ind w:left="706" w:hanging="706"/>
        <w:rPr>
          <w:rFonts w:cs="Arial"/>
          <w:color w:val="000000" w:themeColor="text1"/>
          <w:shd w:val="clear" w:color="auto" w:fill="FFFFFF"/>
        </w:rPr>
      </w:pPr>
    </w:p>
    <w:p w14:paraId="14364240" w14:textId="77777777" w:rsidR="00254A80" w:rsidRPr="006E747A" w:rsidRDefault="00254A80" w:rsidP="00254A80">
      <w:pPr>
        <w:pStyle w:val="FootnoteText"/>
        <w:spacing w:line="240" w:lineRule="auto"/>
        <w:ind w:left="706" w:hanging="706"/>
        <w:rPr>
          <w:rFonts w:cs="Arial"/>
          <w:color w:val="000000" w:themeColor="text1"/>
          <w:shd w:val="clear" w:color="auto" w:fill="FFFFFF"/>
        </w:rPr>
      </w:pPr>
    </w:p>
  </w:footnote>
  <w:footnote w:id="22">
    <w:p w14:paraId="18053ACE" w14:textId="77777777" w:rsidR="001165A5" w:rsidRDefault="00024542" w:rsidP="001165A5">
      <w:pPr>
        <w:pStyle w:val="FootnoteText"/>
        <w:spacing w:line="240" w:lineRule="auto"/>
        <w:ind w:left="706" w:hanging="706"/>
        <w:rPr>
          <w:rFonts w:cs="Arial"/>
          <w:color w:val="000000" w:themeColor="text1"/>
        </w:rPr>
      </w:pPr>
      <w:r w:rsidRPr="006E747A">
        <w:rPr>
          <w:rStyle w:val="FootnoteReference"/>
          <w:rFonts w:cs="Arial"/>
          <w:color w:val="000000" w:themeColor="text1"/>
        </w:rPr>
        <w:footnoteRef/>
      </w:r>
      <w:r w:rsidR="00FC230A">
        <w:rPr>
          <w:rFonts w:cs="Arial"/>
          <w:color w:val="000000" w:themeColor="text1"/>
        </w:rPr>
        <w:t xml:space="preserve"> See </w:t>
      </w:r>
      <w:r w:rsidR="00FC230A" w:rsidRPr="00F46B18">
        <w:rPr>
          <w:rFonts w:cs="Arial"/>
          <w:color w:val="000000" w:themeColor="text1"/>
          <w:shd w:val="clear" w:color="auto" w:fill="FFFFFF"/>
        </w:rPr>
        <w:t xml:space="preserve">Erasmus </w:t>
      </w:r>
      <w:r w:rsidR="00FC230A" w:rsidRPr="006163CC">
        <w:rPr>
          <w:rFonts w:cs="Arial"/>
          <w:b/>
          <w:bCs/>
          <w:color w:val="000000" w:themeColor="text1"/>
          <w:shd w:val="clear" w:color="auto" w:fill="FFFFFF"/>
        </w:rPr>
        <w:t>Superior Court Practice</w:t>
      </w:r>
      <w:r w:rsidR="00FC230A" w:rsidRPr="00F46B18">
        <w:rPr>
          <w:rFonts w:cs="Arial"/>
          <w:color w:val="000000" w:themeColor="text1"/>
          <w:shd w:val="clear" w:color="auto" w:fill="FFFFFF"/>
        </w:rPr>
        <w:t xml:space="preserve"> </w:t>
      </w:r>
      <w:r w:rsidR="001165A5">
        <w:t>RS 22, 2023, D1 Rule 6-31</w:t>
      </w:r>
      <w:r w:rsidR="001165A5">
        <w:rPr>
          <w:rFonts w:cs="Arial"/>
          <w:color w:val="000000" w:themeColor="text1"/>
        </w:rPr>
        <w:t xml:space="preserve"> regarding the filing of further </w:t>
      </w:r>
    </w:p>
    <w:p w14:paraId="644A4DCF" w14:textId="217F2EE1" w:rsidR="00024542" w:rsidRPr="001165A5" w:rsidRDefault="001165A5" w:rsidP="001165A5">
      <w:pPr>
        <w:pStyle w:val="FootnoteText"/>
        <w:spacing w:line="240" w:lineRule="auto"/>
        <w:ind w:left="706" w:hanging="706"/>
        <w:rPr>
          <w:rFonts w:cs="Arial"/>
        </w:rPr>
      </w:pPr>
      <w:r>
        <w:rPr>
          <w:rFonts w:cs="Arial"/>
          <w:color w:val="000000" w:themeColor="text1"/>
        </w:rPr>
        <w:t xml:space="preserve">    affidavits. </w:t>
      </w:r>
    </w:p>
  </w:footnote>
  <w:footnote w:id="23">
    <w:p w14:paraId="2D90A002" w14:textId="77777777" w:rsidR="007B4220" w:rsidRDefault="007B4220" w:rsidP="007B4220">
      <w:pPr>
        <w:pStyle w:val="FootnoteText"/>
        <w:rPr>
          <w:rFonts w:cs="Arial"/>
          <w:b/>
          <w:bCs/>
          <w:color w:val="000000" w:themeColor="text1"/>
        </w:rPr>
      </w:pPr>
      <w:r w:rsidRPr="000A0FDB">
        <w:rPr>
          <w:rStyle w:val="FootnoteReference"/>
          <w:rFonts w:cs="Arial"/>
          <w:color w:val="000000" w:themeColor="text1"/>
        </w:rPr>
        <w:footnoteRef/>
      </w:r>
      <w:r w:rsidRPr="000A0FDB">
        <w:rPr>
          <w:rFonts w:cs="Arial"/>
          <w:color w:val="000000" w:themeColor="text1"/>
        </w:rPr>
        <w:t xml:space="preserve"> </w:t>
      </w:r>
      <w:r w:rsidRPr="000A0FDB">
        <w:rPr>
          <w:rFonts w:cs="Arial"/>
          <w:b/>
          <w:bCs/>
          <w:color w:val="000000" w:themeColor="text1"/>
        </w:rPr>
        <w:t xml:space="preserve">Minister of Finance v Oakbay Investments (Pty) Ltd and Others; Oakbay Investments (Pty) Ltd </w:t>
      </w:r>
    </w:p>
    <w:p w14:paraId="20572826" w14:textId="77777777" w:rsidR="007B4220" w:rsidRPr="00125EA5" w:rsidRDefault="007B4220" w:rsidP="007B4220">
      <w:pPr>
        <w:pStyle w:val="FootnoteText"/>
        <w:rPr>
          <w:rFonts w:cs="Arial"/>
          <w:b/>
          <w:bCs/>
          <w:color w:val="000000" w:themeColor="text1"/>
        </w:rPr>
      </w:pPr>
      <w:r>
        <w:rPr>
          <w:rFonts w:cs="Arial"/>
          <w:b/>
          <w:bCs/>
          <w:color w:val="000000" w:themeColor="text1"/>
        </w:rPr>
        <w:t xml:space="preserve">    </w:t>
      </w:r>
      <w:r w:rsidRPr="000A0FDB">
        <w:rPr>
          <w:rFonts w:cs="Arial"/>
          <w:b/>
          <w:bCs/>
          <w:color w:val="000000" w:themeColor="text1"/>
        </w:rPr>
        <w:t>and Others v Director of the Financial Intelligence Centre</w:t>
      </w:r>
      <w:r w:rsidRPr="000A0FDB">
        <w:rPr>
          <w:rFonts w:cs="Arial"/>
          <w:color w:val="000000" w:themeColor="text1"/>
        </w:rPr>
        <w:t xml:space="preserve"> 2018 (3) SA 515 (GP) </w:t>
      </w:r>
      <w:r>
        <w:rPr>
          <w:rFonts w:cs="Arial"/>
          <w:color w:val="000000" w:themeColor="text1"/>
        </w:rPr>
        <w:t xml:space="preserve">at para 78. </w:t>
      </w:r>
    </w:p>
    <w:p w14:paraId="4AABEEDB" w14:textId="77777777" w:rsidR="007B4220" w:rsidRPr="003B2280" w:rsidRDefault="007B4220" w:rsidP="007B4220">
      <w:pPr>
        <w:pStyle w:val="FootnoteText"/>
        <w:rPr>
          <w:rFonts w:cs="Arial"/>
        </w:rPr>
      </w:pPr>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46395"/>
      <w:docPartObj>
        <w:docPartGallery w:val="Page Numbers (Top of Page)"/>
        <w:docPartUnique/>
      </w:docPartObj>
    </w:sdtPr>
    <w:sdtEndPr>
      <w:rPr>
        <w:noProof/>
      </w:rPr>
    </w:sdtEndPr>
    <w:sdtContent>
      <w:p w14:paraId="4257A9AD" w14:textId="77777777" w:rsidR="00E20909" w:rsidRDefault="00E2090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8153714" w14:textId="77777777" w:rsidR="00E20909" w:rsidRDefault="00E20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28031"/>
      <w:docPartObj>
        <w:docPartGallery w:val="Page Numbers (Top of Page)"/>
        <w:docPartUnique/>
      </w:docPartObj>
    </w:sdtPr>
    <w:sdtEndPr>
      <w:rPr>
        <w:noProof/>
      </w:rPr>
    </w:sdtEndPr>
    <w:sdtContent>
      <w:p w14:paraId="27080C74" w14:textId="7B84D93E" w:rsidR="00B74E2B" w:rsidRDefault="00B74E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9DAA42" w14:textId="77777777" w:rsidR="00B74E2B" w:rsidRDefault="00B74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B058BDDC"/>
    <w:lvl w:ilvl="0">
      <w:start w:val="1"/>
      <w:numFmt w:val="decimal"/>
      <w:pStyle w:val="JudgmentNumbered"/>
      <w:lvlText w:val="[%1]"/>
      <w:lvlJc w:val="left"/>
      <w:pPr>
        <w:ind w:left="567" w:hanging="567"/>
      </w:pPr>
      <w:rPr>
        <w:rFonts w:hint="default"/>
        <w:b w:val="0"/>
        <w:bCs/>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496978D6"/>
    <w:multiLevelType w:val="hybridMultilevel"/>
    <w:tmpl w:val="C1A4245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5735A26"/>
    <w:multiLevelType w:val="multilevel"/>
    <w:tmpl w:val="E78A307A"/>
    <w:lvl w:ilvl="0">
      <w:start w:val="1"/>
      <w:numFmt w:val="decimal"/>
      <w:lvlText w:val="%1."/>
      <w:lvlJc w:val="left"/>
      <w:pPr>
        <w:tabs>
          <w:tab w:val="num" w:pos="1021"/>
        </w:tabs>
        <w:ind w:left="1021" w:hanging="1021"/>
      </w:pPr>
      <w:rPr>
        <w:rFonts w:ascii="Arial" w:hAnsi="Arial" w:hint="default"/>
        <w:b w:val="0"/>
        <w:i w:val="0"/>
        <w:sz w:val="26"/>
        <w:szCs w:val="26"/>
        <w:lang w:val="en-ZA"/>
      </w:rPr>
    </w:lvl>
    <w:lvl w:ilvl="1">
      <w:start w:val="1"/>
      <w:numFmt w:val="decimal"/>
      <w:lvlText w:val="%1.%2."/>
      <w:lvlJc w:val="left"/>
      <w:pPr>
        <w:tabs>
          <w:tab w:val="num" w:pos="1928"/>
        </w:tabs>
        <w:ind w:left="1928" w:hanging="907"/>
      </w:pPr>
      <w:rPr>
        <w:rFonts w:ascii="Arial" w:hAnsi="Arial" w:hint="default"/>
        <w:b w:val="0"/>
        <w:i w:val="0"/>
        <w:sz w:val="26"/>
        <w:szCs w:val="26"/>
      </w:rPr>
    </w:lvl>
    <w:lvl w:ilvl="2">
      <w:start w:val="1"/>
      <w:numFmt w:val="decimal"/>
      <w:lvlText w:val="%1.%2.%3."/>
      <w:lvlJc w:val="left"/>
      <w:pPr>
        <w:tabs>
          <w:tab w:val="num" w:pos="3402"/>
        </w:tabs>
        <w:ind w:left="3402" w:hanging="1474"/>
      </w:pPr>
      <w:rPr>
        <w:rFonts w:ascii="Arial" w:hAnsi="Arial" w:hint="default"/>
        <w:b w:val="0"/>
        <w:i w:val="0"/>
        <w:sz w:val="24"/>
        <w:szCs w:val="24"/>
      </w:rPr>
    </w:lvl>
    <w:lvl w:ilvl="3">
      <w:start w:val="1"/>
      <w:numFmt w:val="decimal"/>
      <w:lvlText w:val="%1.%2.%3.%4."/>
      <w:lvlJc w:val="left"/>
      <w:pPr>
        <w:tabs>
          <w:tab w:val="num" w:pos="4820"/>
        </w:tabs>
        <w:ind w:left="4820" w:hanging="1418"/>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CE45FF1"/>
    <w:multiLevelType w:val="multilevel"/>
    <w:tmpl w:val="A382239A"/>
    <w:lvl w:ilvl="0">
      <w:start w:val="1"/>
      <w:numFmt w:val="decimal"/>
      <w:lvlText w:val="%1."/>
      <w:lvlJc w:val="left"/>
      <w:pPr>
        <w:tabs>
          <w:tab w:val="num" w:pos="1021"/>
        </w:tabs>
        <w:ind w:left="1021" w:hanging="1021"/>
      </w:pPr>
      <w:rPr>
        <w:rFonts w:ascii="Arial" w:hAnsi="Arial" w:hint="default"/>
        <w:b w:val="0"/>
        <w:i w:val="0"/>
        <w:sz w:val="24"/>
        <w:szCs w:val="24"/>
        <w:lang w:val="en-ZA"/>
      </w:rPr>
    </w:lvl>
    <w:lvl w:ilvl="1">
      <w:start w:val="1"/>
      <w:numFmt w:val="decimal"/>
      <w:lvlText w:val="%1.%2."/>
      <w:lvlJc w:val="left"/>
      <w:pPr>
        <w:tabs>
          <w:tab w:val="num" w:pos="1928"/>
        </w:tabs>
        <w:ind w:left="1928" w:hanging="907"/>
      </w:pPr>
      <w:rPr>
        <w:rFonts w:ascii="Arial" w:hAnsi="Arial" w:hint="default"/>
        <w:b w:val="0"/>
        <w:i w:val="0"/>
        <w:sz w:val="22"/>
        <w:szCs w:val="22"/>
      </w:rPr>
    </w:lvl>
    <w:lvl w:ilvl="2">
      <w:start w:val="1"/>
      <w:numFmt w:val="decimal"/>
      <w:lvlText w:val="%1.%2.%3."/>
      <w:lvlJc w:val="left"/>
      <w:pPr>
        <w:tabs>
          <w:tab w:val="num" w:pos="3402"/>
        </w:tabs>
        <w:ind w:left="3402" w:hanging="1474"/>
      </w:pPr>
      <w:rPr>
        <w:rFonts w:ascii="Arial" w:hAnsi="Arial" w:hint="default"/>
        <w:b w:val="0"/>
        <w:i w:val="0"/>
        <w:sz w:val="24"/>
        <w:szCs w:val="24"/>
      </w:rPr>
    </w:lvl>
    <w:lvl w:ilvl="3">
      <w:start w:val="1"/>
      <w:numFmt w:val="decimal"/>
      <w:lvlText w:val="%1.%2.%3.%4."/>
      <w:lvlJc w:val="left"/>
      <w:pPr>
        <w:tabs>
          <w:tab w:val="num" w:pos="4820"/>
        </w:tabs>
        <w:ind w:left="4820" w:hanging="1418"/>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4A5616E"/>
    <w:multiLevelType w:val="hybridMultilevel"/>
    <w:tmpl w:val="76A298C2"/>
    <w:lvl w:ilvl="0" w:tplc="E362DC84">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10282682">
    <w:abstractNumId w:val="0"/>
  </w:num>
  <w:num w:numId="2" w16cid:durableId="165636718">
    <w:abstractNumId w:val="1"/>
  </w:num>
  <w:num w:numId="3" w16cid:durableId="482434778">
    <w:abstractNumId w:val="3"/>
  </w:num>
  <w:num w:numId="4" w16cid:durableId="1456293763">
    <w:abstractNumId w:val="5"/>
  </w:num>
  <w:num w:numId="5" w16cid:durableId="1147865071">
    <w:abstractNumId w:val="2"/>
  </w:num>
  <w:num w:numId="6" w16cid:durableId="254443234">
    <w:abstractNumId w:val="4"/>
  </w:num>
  <w:num w:numId="7" w16cid:durableId="680595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EE"/>
    <w:rsid w:val="000034E1"/>
    <w:rsid w:val="00016D4A"/>
    <w:rsid w:val="00017739"/>
    <w:rsid w:val="00020956"/>
    <w:rsid w:val="00022F5B"/>
    <w:rsid w:val="00024542"/>
    <w:rsid w:val="00024C92"/>
    <w:rsid w:val="00024F7E"/>
    <w:rsid w:val="0002592E"/>
    <w:rsid w:val="00030BF7"/>
    <w:rsid w:val="00032875"/>
    <w:rsid w:val="000328C4"/>
    <w:rsid w:val="0003324B"/>
    <w:rsid w:val="00033993"/>
    <w:rsid w:val="00037953"/>
    <w:rsid w:val="0004186A"/>
    <w:rsid w:val="0004396C"/>
    <w:rsid w:val="00044B2C"/>
    <w:rsid w:val="0004701D"/>
    <w:rsid w:val="00047B59"/>
    <w:rsid w:val="00051045"/>
    <w:rsid w:val="0005143E"/>
    <w:rsid w:val="00057E03"/>
    <w:rsid w:val="0006138D"/>
    <w:rsid w:val="00062045"/>
    <w:rsid w:val="0006285E"/>
    <w:rsid w:val="00072F62"/>
    <w:rsid w:val="00084F7D"/>
    <w:rsid w:val="0008695A"/>
    <w:rsid w:val="00086A1E"/>
    <w:rsid w:val="00087441"/>
    <w:rsid w:val="000919E0"/>
    <w:rsid w:val="000947CB"/>
    <w:rsid w:val="00095AFE"/>
    <w:rsid w:val="000A1A15"/>
    <w:rsid w:val="000A36AE"/>
    <w:rsid w:val="000A5488"/>
    <w:rsid w:val="000B0B66"/>
    <w:rsid w:val="000B14D7"/>
    <w:rsid w:val="000B1E62"/>
    <w:rsid w:val="000B254D"/>
    <w:rsid w:val="000B26EE"/>
    <w:rsid w:val="000B528F"/>
    <w:rsid w:val="000C1E61"/>
    <w:rsid w:val="000C2EFE"/>
    <w:rsid w:val="000C3C41"/>
    <w:rsid w:val="000C5678"/>
    <w:rsid w:val="000C6444"/>
    <w:rsid w:val="000D2E1F"/>
    <w:rsid w:val="000D5DC8"/>
    <w:rsid w:val="000D5E10"/>
    <w:rsid w:val="000E7730"/>
    <w:rsid w:val="000E7C84"/>
    <w:rsid w:val="000F0719"/>
    <w:rsid w:val="000F7AD7"/>
    <w:rsid w:val="001007D2"/>
    <w:rsid w:val="0010549E"/>
    <w:rsid w:val="00105A67"/>
    <w:rsid w:val="00106179"/>
    <w:rsid w:val="00112228"/>
    <w:rsid w:val="001131B2"/>
    <w:rsid w:val="001139B7"/>
    <w:rsid w:val="001164B4"/>
    <w:rsid w:val="001165A5"/>
    <w:rsid w:val="00123D07"/>
    <w:rsid w:val="00125345"/>
    <w:rsid w:val="00125EA5"/>
    <w:rsid w:val="0013211B"/>
    <w:rsid w:val="00132892"/>
    <w:rsid w:val="00136CB0"/>
    <w:rsid w:val="00141C7F"/>
    <w:rsid w:val="001466D3"/>
    <w:rsid w:val="00147B71"/>
    <w:rsid w:val="0015037E"/>
    <w:rsid w:val="001507DD"/>
    <w:rsid w:val="001547D7"/>
    <w:rsid w:val="00155FE6"/>
    <w:rsid w:val="00164A77"/>
    <w:rsid w:val="00166B55"/>
    <w:rsid w:val="00174186"/>
    <w:rsid w:val="00175C3E"/>
    <w:rsid w:val="00176F22"/>
    <w:rsid w:val="001866CF"/>
    <w:rsid w:val="00186BCE"/>
    <w:rsid w:val="00191A34"/>
    <w:rsid w:val="001938E9"/>
    <w:rsid w:val="00194259"/>
    <w:rsid w:val="001958DC"/>
    <w:rsid w:val="0019650C"/>
    <w:rsid w:val="001A3765"/>
    <w:rsid w:val="001A4183"/>
    <w:rsid w:val="001A57DF"/>
    <w:rsid w:val="001A6050"/>
    <w:rsid w:val="001B1BB0"/>
    <w:rsid w:val="001B2961"/>
    <w:rsid w:val="001B44B0"/>
    <w:rsid w:val="001B4D48"/>
    <w:rsid w:val="001B4FE8"/>
    <w:rsid w:val="001B7E86"/>
    <w:rsid w:val="001C099B"/>
    <w:rsid w:val="001C4071"/>
    <w:rsid w:val="001D243F"/>
    <w:rsid w:val="001D4AE7"/>
    <w:rsid w:val="001D62E9"/>
    <w:rsid w:val="001E2E3E"/>
    <w:rsid w:val="001E3616"/>
    <w:rsid w:val="001E5386"/>
    <w:rsid w:val="001F07C6"/>
    <w:rsid w:val="001F1E16"/>
    <w:rsid w:val="001F2C7F"/>
    <w:rsid w:val="001F356E"/>
    <w:rsid w:val="001F3BA0"/>
    <w:rsid w:val="001F41C7"/>
    <w:rsid w:val="001F51B0"/>
    <w:rsid w:val="001F684F"/>
    <w:rsid w:val="002039C1"/>
    <w:rsid w:val="0020423F"/>
    <w:rsid w:val="002056E4"/>
    <w:rsid w:val="00205E56"/>
    <w:rsid w:val="00206619"/>
    <w:rsid w:val="00211BAC"/>
    <w:rsid w:val="00213F8B"/>
    <w:rsid w:val="00214243"/>
    <w:rsid w:val="002174CB"/>
    <w:rsid w:val="00217E36"/>
    <w:rsid w:val="002200E2"/>
    <w:rsid w:val="002230F2"/>
    <w:rsid w:val="00225FFC"/>
    <w:rsid w:val="0023036D"/>
    <w:rsid w:val="00230961"/>
    <w:rsid w:val="00231654"/>
    <w:rsid w:val="002323C2"/>
    <w:rsid w:val="00232C86"/>
    <w:rsid w:val="002367BC"/>
    <w:rsid w:val="00241531"/>
    <w:rsid w:val="00243A7F"/>
    <w:rsid w:val="00246292"/>
    <w:rsid w:val="00247848"/>
    <w:rsid w:val="0025418B"/>
    <w:rsid w:val="00254A80"/>
    <w:rsid w:val="00257369"/>
    <w:rsid w:val="002624EF"/>
    <w:rsid w:val="002638BE"/>
    <w:rsid w:val="002647B4"/>
    <w:rsid w:val="002673F7"/>
    <w:rsid w:val="00271862"/>
    <w:rsid w:val="002740E9"/>
    <w:rsid w:val="00274DF3"/>
    <w:rsid w:val="002755C8"/>
    <w:rsid w:val="002823B0"/>
    <w:rsid w:val="00293BC6"/>
    <w:rsid w:val="00294FBB"/>
    <w:rsid w:val="002A291B"/>
    <w:rsid w:val="002B64C4"/>
    <w:rsid w:val="002B7626"/>
    <w:rsid w:val="002B7BE8"/>
    <w:rsid w:val="002C1B8E"/>
    <w:rsid w:val="002C2EF1"/>
    <w:rsid w:val="002C3A40"/>
    <w:rsid w:val="002C7F4E"/>
    <w:rsid w:val="002D2967"/>
    <w:rsid w:val="002D3ADE"/>
    <w:rsid w:val="002D41DC"/>
    <w:rsid w:val="002D713E"/>
    <w:rsid w:val="002E17AC"/>
    <w:rsid w:val="002E28C5"/>
    <w:rsid w:val="002F017F"/>
    <w:rsid w:val="002F4BBB"/>
    <w:rsid w:val="002F4E8C"/>
    <w:rsid w:val="002F7BD2"/>
    <w:rsid w:val="00300121"/>
    <w:rsid w:val="003009C8"/>
    <w:rsid w:val="00303A5E"/>
    <w:rsid w:val="0031528C"/>
    <w:rsid w:val="00317059"/>
    <w:rsid w:val="00320BF7"/>
    <w:rsid w:val="00321267"/>
    <w:rsid w:val="00326E00"/>
    <w:rsid w:val="003315D7"/>
    <w:rsid w:val="0033288C"/>
    <w:rsid w:val="003335EB"/>
    <w:rsid w:val="00333F73"/>
    <w:rsid w:val="00337B8A"/>
    <w:rsid w:val="00337E3E"/>
    <w:rsid w:val="003451B2"/>
    <w:rsid w:val="00347011"/>
    <w:rsid w:val="00356355"/>
    <w:rsid w:val="00356558"/>
    <w:rsid w:val="003565FF"/>
    <w:rsid w:val="003609FE"/>
    <w:rsid w:val="00364389"/>
    <w:rsid w:val="0036632D"/>
    <w:rsid w:val="00370635"/>
    <w:rsid w:val="00370CA9"/>
    <w:rsid w:val="00380E8B"/>
    <w:rsid w:val="00382E98"/>
    <w:rsid w:val="00384135"/>
    <w:rsid w:val="00387834"/>
    <w:rsid w:val="003915EE"/>
    <w:rsid w:val="0039263E"/>
    <w:rsid w:val="00392F7B"/>
    <w:rsid w:val="00393B2D"/>
    <w:rsid w:val="00395B1D"/>
    <w:rsid w:val="00395F49"/>
    <w:rsid w:val="0039648E"/>
    <w:rsid w:val="00397BB8"/>
    <w:rsid w:val="003A1E46"/>
    <w:rsid w:val="003A38EB"/>
    <w:rsid w:val="003B03B4"/>
    <w:rsid w:val="003B4800"/>
    <w:rsid w:val="003C3E70"/>
    <w:rsid w:val="003C4CF3"/>
    <w:rsid w:val="003C51C0"/>
    <w:rsid w:val="003D59EC"/>
    <w:rsid w:val="003D7963"/>
    <w:rsid w:val="003E258D"/>
    <w:rsid w:val="003F1A96"/>
    <w:rsid w:val="003F1CA5"/>
    <w:rsid w:val="003F2547"/>
    <w:rsid w:val="003F47B0"/>
    <w:rsid w:val="00400005"/>
    <w:rsid w:val="0040007C"/>
    <w:rsid w:val="00400DEC"/>
    <w:rsid w:val="00404457"/>
    <w:rsid w:val="00410F4E"/>
    <w:rsid w:val="00413D6C"/>
    <w:rsid w:val="0041422A"/>
    <w:rsid w:val="00415434"/>
    <w:rsid w:val="00416BE6"/>
    <w:rsid w:val="004204B9"/>
    <w:rsid w:val="00420E8A"/>
    <w:rsid w:val="00422B58"/>
    <w:rsid w:val="0042708F"/>
    <w:rsid w:val="00427EF2"/>
    <w:rsid w:val="0043556B"/>
    <w:rsid w:val="00437AB1"/>
    <w:rsid w:val="00437C3A"/>
    <w:rsid w:val="004448EC"/>
    <w:rsid w:val="00445E0A"/>
    <w:rsid w:val="00447B71"/>
    <w:rsid w:val="00454377"/>
    <w:rsid w:val="00455883"/>
    <w:rsid w:val="004573A3"/>
    <w:rsid w:val="00460259"/>
    <w:rsid w:val="00460F69"/>
    <w:rsid w:val="0046181F"/>
    <w:rsid w:val="0046253D"/>
    <w:rsid w:val="00464375"/>
    <w:rsid w:val="004676E7"/>
    <w:rsid w:val="004759B8"/>
    <w:rsid w:val="0048048E"/>
    <w:rsid w:val="0048064D"/>
    <w:rsid w:val="00481E6D"/>
    <w:rsid w:val="00482FE4"/>
    <w:rsid w:val="004872A6"/>
    <w:rsid w:val="00490FE5"/>
    <w:rsid w:val="004937DB"/>
    <w:rsid w:val="004A0B21"/>
    <w:rsid w:val="004A2556"/>
    <w:rsid w:val="004A2BE1"/>
    <w:rsid w:val="004A6087"/>
    <w:rsid w:val="004B07F3"/>
    <w:rsid w:val="004B4178"/>
    <w:rsid w:val="004B63D6"/>
    <w:rsid w:val="004C2454"/>
    <w:rsid w:val="004C2EBF"/>
    <w:rsid w:val="004C57CC"/>
    <w:rsid w:val="004C6998"/>
    <w:rsid w:val="004C791B"/>
    <w:rsid w:val="004D16AD"/>
    <w:rsid w:val="004D1BBD"/>
    <w:rsid w:val="004D2601"/>
    <w:rsid w:val="004D2809"/>
    <w:rsid w:val="004D3356"/>
    <w:rsid w:val="004D3F9C"/>
    <w:rsid w:val="004E7805"/>
    <w:rsid w:val="004F4AC3"/>
    <w:rsid w:val="004F4E0F"/>
    <w:rsid w:val="004F562F"/>
    <w:rsid w:val="004F7B89"/>
    <w:rsid w:val="005070EC"/>
    <w:rsid w:val="00511D67"/>
    <w:rsid w:val="0051325A"/>
    <w:rsid w:val="00514FFC"/>
    <w:rsid w:val="00517539"/>
    <w:rsid w:val="00517FA6"/>
    <w:rsid w:val="00523EBF"/>
    <w:rsid w:val="005336FC"/>
    <w:rsid w:val="005345AB"/>
    <w:rsid w:val="00536B60"/>
    <w:rsid w:val="00556406"/>
    <w:rsid w:val="00562CD2"/>
    <w:rsid w:val="0056655F"/>
    <w:rsid w:val="005700A5"/>
    <w:rsid w:val="00575221"/>
    <w:rsid w:val="00575639"/>
    <w:rsid w:val="00575C51"/>
    <w:rsid w:val="00576C47"/>
    <w:rsid w:val="005778D6"/>
    <w:rsid w:val="00584AE8"/>
    <w:rsid w:val="00584BAD"/>
    <w:rsid w:val="00584BE2"/>
    <w:rsid w:val="00590126"/>
    <w:rsid w:val="005921BD"/>
    <w:rsid w:val="005923CD"/>
    <w:rsid w:val="005929A3"/>
    <w:rsid w:val="005A160F"/>
    <w:rsid w:val="005A1889"/>
    <w:rsid w:val="005A1D8A"/>
    <w:rsid w:val="005A3225"/>
    <w:rsid w:val="005A5F53"/>
    <w:rsid w:val="005A75D2"/>
    <w:rsid w:val="005C4304"/>
    <w:rsid w:val="005C4FEF"/>
    <w:rsid w:val="005C5DB8"/>
    <w:rsid w:val="005D1B6F"/>
    <w:rsid w:val="005D26B4"/>
    <w:rsid w:val="005D7A8C"/>
    <w:rsid w:val="005E67EF"/>
    <w:rsid w:val="005F1270"/>
    <w:rsid w:val="005F4357"/>
    <w:rsid w:val="005F5885"/>
    <w:rsid w:val="005F61C8"/>
    <w:rsid w:val="005F7B2F"/>
    <w:rsid w:val="00600D54"/>
    <w:rsid w:val="006039A5"/>
    <w:rsid w:val="00604300"/>
    <w:rsid w:val="00605825"/>
    <w:rsid w:val="0060708B"/>
    <w:rsid w:val="00610D9A"/>
    <w:rsid w:val="00613468"/>
    <w:rsid w:val="006139D7"/>
    <w:rsid w:val="00613E01"/>
    <w:rsid w:val="0061471D"/>
    <w:rsid w:val="006153D1"/>
    <w:rsid w:val="006164DC"/>
    <w:rsid w:val="00620B78"/>
    <w:rsid w:val="00622BA9"/>
    <w:rsid w:val="00626453"/>
    <w:rsid w:val="006272BC"/>
    <w:rsid w:val="006273CA"/>
    <w:rsid w:val="006400B5"/>
    <w:rsid w:val="00642C23"/>
    <w:rsid w:val="0064697A"/>
    <w:rsid w:val="006610F0"/>
    <w:rsid w:val="00664AC0"/>
    <w:rsid w:val="00674712"/>
    <w:rsid w:val="00675FE6"/>
    <w:rsid w:val="0067747C"/>
    <w:rsid w:val="00680C65"/>
    <w:rsid w:val="006814B7"/>
    <w:rsid w:val="00683AEB"/>
    <w:rsid w:val="00686789"/>
    <w:rsid w:val="00687B1A"/>
    <w:rsid w:val="00692B00"/>
    <w:rsid w:val="00694836"/>
    <w:rsid w:val="00694E7A"/>
    <w:rsid w:val="00694ECC"/>
    <w:rsid w:val="00696E8E"/>
    <w:rsid w:val="006A08E6"/>
    <w:rsid w:val="006A0B08"/>
    <w:rsid w:val="006A2ECF"/>
    <w:rsid w:val="006A32A3"/>
    <w:rsid w:val="006A33D9"/>
    <w:rsid w:val="006A4199"/>
    <w:rsid w:val="006A70B6"/>
    <w:rsid w:val="006C1988"/>
    <w:rsid w:val="006D008F"/>
    <w:rsid w:val="006D1243"/>
    <w:rsid w:val="006D2022"/>
    <w:rsid w:val="006D5C2B"/>
    <w:rsid w:val="006D7A9C"/>
    <w:rsid w:val="006D7D48"/>
    <w:rsid w:val="006E13E8"/>
    <w:rsid w:val="006E747A"/>
    <w:rsid w:val="006F0C65"/>
    <w:rsid w:val="006F299B"/>
    <w:rsid w:val="006F2CAB"/>
    <w:rsid w:val="00705E80"/>
    <w:rsid w:val="00707EDA"/>
    <w:rsid w:val="00715F67"/>
    <w:rsid w:val="00725AA7"/>
    <w:rsid w:val="00727B7D"/>
    <w:rsid w:val="00734CBA"/>
    <w:rsid w:val="007423A2"/>
    <w:rsid w:val="00742767"/>
    <w:rsid w:val="007514BE"/>
    <w:rsid w:val="00761254"/>
    <w:rsid w:val="00764088"/>
    <w:rsid w:val="00772D6F"/>
    <w:rsid w:val="00776B93"/>
    <w:rsid w:val="0077719E"/>
    <w:rsid w:val="00777A14"/>
    <w:rsid w:val="00777D9D"/>
    <w:rsid w:val="007851E7"/>
    <w:rsid w:val="0079127F"/>
    <w:rsid w:val="00794E44"/>
    <w:rsid w:val="00796DD8"/>
    <w:rsid w:val="00797301"/>
    <w:rsid w:val="007B0E1B"/>
    <w:rsid w:val="007B1336"/>
    <w:rsid w:val="007B1A82"/>
    <w:rsid w:val="007B4220"/>
    <w:rsid w:val="007C0CDF"/>
    <w:rsid w:val="007C3E7D"/>
    <w:rsid w:val="007C49DF"/>
    <w:rsid w:val="007C51B1"/>
    <w:rsid w:val="007C6386"/>
    <w:rsid w:val="007D3FF8"/>
    <w:rsid w:val="007D4337"/>
    <w:rsid w:val="007D4432"/>
    <w:rsid w:val="007E0BEF"/>
    <w:rsid w:val="007F0B28"/>
    <w:rsid w:val="007F1449"/>
    <w:rsid w:val="007F1855"/>
    <w:rsid w:val="007F188D"/>
    <w:rsid w:val="00800D90"/>
    <w:rsid w:val="008018B5"/>
    <w:rsid w:val="008060A1"/>
    <w:rsid w:val="008072A8"/>
    <w:rsid w:val="00810EF9"/>
    <w:rsid w:val="008128C2"/>
    <w:rsid w:val="00812AF7"/>
    <w:rsid w:val="00817A85"/>
    <w:rsid w:val="008200C3"/>
    <w:rsid w:val="00820695"/>
    <w:rsid w:val="0082135A"/>
    <w:rsid w:val="00821EB0"/>
    <w:rsid w:val="00822879"/>
    <w:rsid w:val="0082786C"/>
    <w:rsid w:val="00827DCD"/>
    <w:rsid w:val="00827EEF"/>
    <w:rsid w:val="00830A74"/>
    <w:rsid w:val="0083492C"/>
    <w:rsid w:val="00840962"/>
    <w:rsid w:val="00843BFE"/>
    <w:rsid w:val="00845CA0"/>
    <w:rsid w:val="00856A47"/>
    <w:rsid w:val="00860D68"/>
    <w:rsid w:val="0086314E"/>
    <w:rsid w:val="008650D0"/>
    <w:rsid w:val="008740C9"/>
    <w:rsid w:val="008765F0"/>
    <w:rsid w:val="008802A3"/>
    <w:rsid w:val="0088096A"/>
    <w:rsid w:val="0088141D"/>
    <w:rsid w:val="00881683"/>
    <w:rsid w:val="00885D25"/>
    <w:rsid w:val="008862A7"/>
    <w:rsid w:val="0088745A"/>
    <w:rsid w:val="008903AE"/>
    <w:rsid w:val="00890835"/>
    <w:rsid w:val="008940A9"/>
    <w:rsid w:val="00894E0F"/>
    <w:rsid w:val="0089528A"/>
    <w:rsid w:val="008A2795"/>
    <w:rsid w:val="008A360C"/>
    <w:rsid w:val="008A6365"/>
    <w:rsid w:val="008A6425"/>
    <w:rsid w:val="008B2969"/>
    <w:rsid w:val="008B743D"/>
    <w:rsid w:val="008C14DC"/>
    <w:rsid w:val="008C1E76"/>
    <w:rsid w:val="008C73F0"/>
    <w:rsid w:val="008C744F"/>
    <w:rsid w:val="008D0EEE"/>
    <w:rsid w:val="008D1C23"/>
    <w:rsid w:val="008D4AFC"/>
    <w:rsid w:val="008E2FFB"/>
    <w:rsid w:val="008E5B85"/>
    <w:rsid w:val="008E7036"/>
    <w:rsid w:val="008F17FF"/>
    <w:rsid w:val="008F53E5"/>
    <w:rsid w:val="009002B9"/>
    <w:rsid w:val="00907D36"/>
    <w:rsid w:val="0092215A"/>
    <w:rsid w:val="00923568"/>
    <w:rsid w:val="00925EF8"/>
    <w:rsid w:val="00926E89"/>
    <w:rsid w:val="009319B6"/>
    <w:rsid w:val="009333A4"/>
    <w:rsid w:val="00941121"/>
    <w:rsid w:val="00946207"/>
    <w:rsid w:val="009533FE"/>
    <w:rsid w:val="00956591"/>
    <w:rsid w:val="0096070C"/>
    <w:rsid w:val="00963AB0"/>
    <w:rsid w:val="009646F1"/>
    <w:rsid w:val="0096481B"/>
    <w:rsid w:val="0096602E"/>
    <w:rsid w:val="00967A19"/>
    <w:rsid w:val="00972592"/>
    <w:rsid w:val="00974224"/>
    <w:rsid w:val="009745A7"/>
    <w:rsid w:val="0097512B"/>
    <w:rsid w:val="009752C1"/>
    <w:rsid w:val="00975ECB"/>
    <w:rsid w:val="0097642D"/>
    <w:rsid w:val="00977852"/>
    <w:rsid w:val="00980837"/>
    <w:rsid w:val="0098537A"/>
    <w:rsid w:val="00985E36"/>
    <w:rsid w:val="00991060"/>
    <w:rsid w:val="00994055"/>
    <w:rsid w:val="00995EC8"/>
    <w:rsid w:val="00995F00"/>
    <w:rsid w:val="00997E7D"/>
    <w:rsid w:val="009A0489"/>
    <w:rsid w:val="009A5A27"/>
    <w:rsid w:val="009A6013"/>
    <w:rsid w:val="009A7E48"/>
    <w:rsid w:val="009A7F04"/>
    <w:rsid w:val="009B12D0"/>
    <w:rsid w:val="009B18E4"/>
    <w:rsid w:val="009B3A8C"/>
    <w:rsid w:val="009B5254"/>
    <w:rsid w:val="009C1E4E"/>
    <w:rsid w:val="009C412F"/>
    <w:rsid w:val="009C5D49"/>
    <w:rsid w:val="009C67CA"/>
    <w:rsid w:val="009C7386"/>
    <w:rsid w:val="009D1C20"/>
    <w:rsid w:val="009D3DAE"/>
    <w:rsid w:val="009D5CDE"/>
    <w:rsid w:val="009D5DBA"/>
    <w:rsid w:val="009D68E2"/>
    <w:rsid w:val="009E2F26"/>
    <w:rsid w:val="009E3B42"/>
    <w:rsid w:val="009F535D"/>
    <w:rsid w:val="00A04832"/>
    <w:rsid w:val="00A0554C"/>
    <w:rsid w:val="00A0796D"/>
    <w:rsid w:val="00A137A1"/>
    <w:rsid w:val="00A200C9"/>
    <w:rsid w:val="00A20813"/>
    <w:rsid w:val="00A270B3"/>
    <w:rsid w:val="00A3009A"/>
    <w:rsid w:val="00A30110"/>
    <w:rsid w:val="00A31205"/>
    <w:rsid w:val="00A31575"/>
    <w:rsid w:val="00A33F50"/>
    <w:rsid w:val="00A37DEE"/>
    <w:rsid w:val="00A4019C"/>
    <w:rsid w:val="00A41389"/>
    <w:rsid w:val="00A418F3"/>
    <w:rsid w:val="00A43E60"/>
    <w:rsid w:val="00A4736D"/>
    <w:rsid w:val="00A513F2"/>
    <w:rsid w:val="00A51749"/>
    <w:rsid w:val="00A52825"/>
    <w:rsid w:val="00A64716"/>
    <w:rsid w:val="00A67938"/>
    <w:rsid w:val="00A76810"/>
    <w:rsid w:val="00A77B36"/>
    <w:rsid w:val="00A84E32"/>
    <w:rsid w:val="00A865F3"/>
    <w:rsid w:val="00A87A4D"/>
    <w:rsid w:val="00A92B11"/>
    <w:rsid w:val="00A93F77"/>
    <w:rsid w:val="00AA0B72"/>
    <w:rsid w:val="00AB01DB"/>
    <w:rsid w:val="00AB5174"/>
    <w:rsid w:val="00AC019E"/>
    <w:rsid w:val="00AC0939"/>
    <w:rsid w:val="00AC3F40"/>
    <w:rsid w:val="00AC469F"/>
    <w:rsid w:val="00AC77E3"/>
    <w:rsid w:val="00AD4CD4"/>
    <w:rsid w:val="00AD6668"/>
    <w:rsid w:val="00AD6D3D"/>
    <w:rsid w:val="00AE0BC9"/>
    <w:rsid w:val="00AE1AA7"/>
    <w:rsid w:val="00AE5869"/>
    <w:rsid w:val="00AF0BD8"/>
    <w:rsid w:val="00AF1DC5"/>
    <w:rsid w:val="00AF4798"/>
    <w:rsid w:val="00AF5A50"/>
    <w:rsid w:val="00AF5C91"/>
    <w:rsid w:val="00AF76B0"/>
    <w:rsid w:val="00B0047C"/>
    <w:rsid w:val="00B062B2"/>
    <w:rsid w:val="00B0684B"/>
    <w:rsid w:val="00B06C1F"/>
    <w:rsid w:val="00B212F2"/>
    <w:rsid w:val="00B24F83"/>
    <w:rsid w:val="00B33C4F"/>
    <w:rsid w:val="00B47D27"/>
    <w:rsid w:val="00B52775"/>
    <w:rsid w:val="00B52E2D"/>
    <w:rsid w:val="00B5371D"/>
    <w:rsid w:val="00B53C63"/>
    <w:rsid w:val="00B55AE4"/>
    <w:rsid w:val="00B6704F"/>
    <w:rsid w:val="00B74E2B"/>
    <w:rsid w:val="00B76630"/>
    <w:rsid w:val="00B77A26"/>
    <w:rsid w:val="00B77D76"/>
    <w:rsid w:val="00B81A69"/>
    <w:rsid w:val="00B82392"/>
    <w:rsid w:val="00B8284C"/>
    <w:rsid w:val="00B869C4"/>
    <w:rsid w:val="00B87833"/>
    <w:rsid w:val="00B92239"/>
    <w:rsid w:val="00B95872"/>
    <w:rsid w:val="00BA1104"/>
    <w:rsid w:val="00BA1F51"/>
    <w:rsid w:val="00BA7564"/>
    <w:rsid w:val="00BB345E"/>
    <w:rsid w:val="00BC07CD"/>
    <w:rsid w:val="00BC354B"/>
    <w:rsid w:val="00BD32E4"/>
    <w:rsid w:val="00BF144B"/>
    <w:rsid w:val="00BF6EC0"/>
    <w:rsid w:val="00C015F7"/>
    <w:rsid w:val="00C01CF4"/>
    <w:rsid w:val="00C056DF"/>
    <w:rsid w:val="00C0703F"/>
    <w:rsid w:val="00C14886"/>
    <w:rsid w:val="00C263E3"/>
    <w:rsid w:val="00C26B8B"/>
    <w:rsid w:val="00C313D5"/>
    <w:rsid w:val="00C342DA"/>
    <w:rsid w:val="00C40CD7"/>
    <w:rsid w:val="00C5130E"/>
    <w:rsid w:val="00C61325"/>
    <w:rsid w:val="00C61563"/>
    <w:rsid w:val="00C62E0A"/>
    <w:rsid w:val="00C65E5F"/>
    <w:rsid w:val="00C74F34"/>
    <w:rsid w:val="00C75D57"/>
    <w:rsid w:val="00C81FCB"/>
    <w:rsid w:val="00C83091"/>
    <w:rsid w:val="00C84484"/>
    <w:rsid w:val="00C84F01"/>
    <w:rsid w:val="00C862AD"/>
    <w:rsid w:val="00C912E7"/>
    <w:rsid w:val="00C94595"/>
    <w:rsid w:val="00C9780E"/>
    <w:rsid w:val="00CA0129"/>
    <w:rsid w:val="00CB12B8"/>
    <w:rsid w:val="00CB3259"/>
    <w:rsid w:val="00CB416C"/>
    <w:rsid w:val="00CB4514"/>
    <w:rsid w:val="00CB7211"/>
    <w:rsid w:val="00CC17EA"/>
    <w:rsid w:val="00CC20B6"/>
    <w:rsid w:val="00CC45EA"/>
    <w:rsid w:val="00CC7CA6"/>
    <w:rsid w:val="00CD7297"/>
    <w:rsid w:val="00CE0AE4"/>
    <w:rsid w:val="00CE0D84"/>
    <w:rsid w:val="00CE24FA"/>
    <w:rsid w:val="00CE49FA"/>
    <w:rsid w:val="00D01ABC"/>
    <w:rsid w:val="00D03346"/>
    <w:rsid w:val="00D1039A"/>
    <w:rsid w:val="00D11A67"/>
    <w:rsid w:val="00D12D1E"/>
    <w:rsid w:val="00D17BAC"/>
    <w:rsid w:val="00D17E52"/>
    <w:rsid w:val="00D21ACD"/>
    <w:rsid w:val="00D21F97"/>
    <w:rsid w:val="00D30A98"/>
    <w:rsid w:val="00D325DF"/>
    <w:rsid w:val="00D330FB"/>
    <w:rsid w:val="00D33FA4"/>
    <w:rsid w:val="00D3530B"/>
    <w:rsid w:val="00D3711B"/>
    <w:rsid w:val="00D374EB"/>
    <w:rsid w:val="00D46199"/>
    <w:rsid w:val="00D46478"/>
    <w:rsid w:val="00D5134D"/>
    <w:rsid w:val="00D55821"/>
    <w:rsid w:val="00D63529"/>
    <w:rsid w:val="00D65263"/>
    <w:rsid w:val="00D67782"/>
    <w:rsid w:val="00D75716"/>
    <w:rsid w:val="00D77211"/>
    <w:rsid w:val="00D83B45"/>
    <w:rsid w:val="00D85BE9"/>
    <w:rsid w:val="00D865F7"/>
    <w:rsid w:val="00D86806"/>
    <w:rsid w:val="00D87A4A"/>
    <w:rsid w:val="00D9012A"/>
    <w:rsid w:val="00DA031A"/>
    <w:rsid w:val="00DA145F"/>
    <w:rsid w:val="00DA2248"/>
    <w:rsid w:val="00DA6D8D"/>
    <w:rsid w:val="00DB178F"/>
    <w:rsid w:val="00DB5552"/>
    <w:rsid w:val="00DC222A"/>
    <w:rsid w:val="00DC394F"/>
    <w:rsid w:val="00DC48BE"/>
    <w:rsid w:val="00DD0854"/>
    <w:rsid w:val="00DE1273"/>
    <w:rsid w:val="00DE7C96"/>
    <w:rsid w:val="00DF009D"/>
    <w:rsid w:val="00DF646A"/>
    <w:rsid w:val="00DF7B09"/>
    <w:rsid w:val="00E02C60"/>
    <w:rsid w:val="00E045F3"/>
    <w:rsid w:val="00E0657E"/>
    <w:rsid w:val="00E12500"/>
    <w:rsid w:val="00E20909"/>
    <w:rsid w:val="00E25B1C"/>
    <w:rsid w:val="00E31B3A"/>
    <w:rsid w:val="00E35196"/>
    <w:rsid w:val="00E36888"/>
    <w:rsid w:val="00E457D2"/>
    <w:rsid w:val="00E530E4"/>
    <w:rsid w:val="00E54D9C"/>
    <w:rsid w:val="00E552E2"/>
    <w:rsid w:val="00E60A32"/>
    <w:rsid w:val="00E612E7"/>
    <w:rsid w:val="00E62D8F"/>
    <w:rsid w:val="00E651AD"/>
    <w:rsid w:val="00E65A9D"/>
    <w:rsid w:val="00E67919"/>
    <w:rsid w:val="00E7228E"/>
    <w:rsid w:val="00E7368B"/>
    <w:rsid w:val="00E81BAE"/>
    <w:rsid w:val="00E8312F"/>
    <w:rsid w:val="00E8313B"/>
    <w:rsid w:val="00E84400"/>
    <w:rsid w:val="00E8663C"/>
    <w:rsid w:val="00E910CD"/>
    <w:rsid w:val="00E95B4A"/>
    <w:rsid w:val="00E95F70"/>
    <w:rsid w:val="00E96BDF"/>
    <w:rsid w:val="00EC1041"/>
    <w:rsid w:val="00EC4FB5"/>
    <w:rsid w:val="00EC7E87"/>
    <w:rsid w:val="00ED6B51"/>
    <w:rsid w:val="00EE76E6"/>
    <w:rsid w:val="00EF068C"/>
    <w:rsid w:val="00EF07EE"/>
    <w:rsid w:val="00EF0D0B"/>
    <w:rsid w:val="00EF25C2"/>
    <w:rsid w:val="00EF2C03"/>
    <w:rsid w:val="00EF51A7"/>
    <w:rsid w:val="00EF5F76"/>
    <w:rsid w:val="00EF603E"/>
    <w:rsid w:val="00EF6B44"/>
    <w:rsid w:val="00F05FF2"/>
    <w:rsid w:val="00F062F9"/>
    <w:rsid w:val="00F0737C"/>
    <w:rsid w:val="00F13514"/>
    <w:rsid w:val="00F16217"/>
    <w:rsid w:val="00F162E4"/>
    <w:rsid w:val="00F23DA3"/>
    <w:rsid w:val="00F2402E"/>
    <w:rsid w:val="00F2450D"/>
    <w:rsid w:val="00F25651"/>
    <w:rsid w:val="00F32093"/>
    <w:rsid w:val="00F32AEA"/>
    <w:rsid w:val="00F32B1F"/>
    <w:rsid w:val="00F32EAB"/>
    <w:rsid w:val="00F36360"/>
    <w:rsid w:val="00F430E4"/>
    <w:rsid w:val="00F44581"/>
    <w:rsid w:val="00F47589"/>
    <w:rsid w:val="00F63BAA"/>
    <w:rsid w:val="00F64522"/>
    <w:rsid w:val="00F64ECF"/>
    <w:rsid w:val="00F651BA"/>
    <w:rsid w:val="00F672C9"/>
    <w:rsid w:val="00F70BC0"/>
    <w:rsid w:val="00F70FA9"/>
    <w:rsid w:val="00F81C8A"/>
    <w:rsid w:val="00F851DE"/>
    <w:rsid w:val="00F8528F"/>
    <w:rsid w:val="00F90B62"/>
    <w:rsid w:val="00F90EB3"/>
    <w:rsid w:val="00F90EC8"/>
    <w:rsid w:val="00F91972"/>
    <w:rsid w:val="00F922BD"/>
    <w:rsid w:val="00FA2AD4"/>
    <w:rsid w:val="00FA2E87"/>
    <w:rsid w:val="00FB0A45"/>
    <w:rsid w:val="00FB14ED"/>
    <w:rsid w:val="00FB525E"/>
    <w:rsid w:val="00FB6146"/>
    <w:rsid w:val="00FB671C"/>
    <w:rsid w:val="00FC02B9"/>
    <w:rsid w:val="00FC230A"/>
    <w:rsid w:val="00FC5A63"/>
    <w:rsid w:val="00FC7CFA"/>
    <w:rsid w:val="00FD3D83"/>
    <w:rsid w:val="00FD4F6C"/>
    <w:rsid w:val="00FE1A32"/>
    <w:rsid w:val="00FE21DA"/>
    <w:rsid w:val="00FE2C50"/>
    <w:rsid w:val="00FE2D43"/>
    <w:rsid w:val="00FE3867"/>
    <w:rsid w:val="00FF0EE5"/>
    <w:rsid w:val="00FF1D1B"/>
    <w:rsid w:val="00F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12EE"/>
  <w15:chartTrackingRefBased/>
  <w15:docId w15:val="{5C64D122-50C9-423D-BB82-4B0A1B10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7EE"/>
    <w:pPr>
      <w:suppressAutoHyphens/>
      <w:spacing w:after="0" w:line="480" w:lineRule="auto"/>
      <w:jc w:val="both"/>
    </w:pPr>
    <w:rPr>
      <w:rFonts w:ascii="Arial" w:eastAsia="Times New Roman" w:hAnsi="Arial" w:cs="Times New Roman"/>
      <w:snapToGrid w:val="0"/>
      <w:kern w:val="0"/>
      <w:sz w:val="24"/>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es">
    <w:name w:val="Parties"/>
    <w:basedOn w:val="Normal"/>
    <w:qFormat/>
    <w:rsid w:val="00EF07EE"/>
    <w:pPr>
      <w:tabs>
        <w:tab w:val="right" w:pos="9072"/>
      </w:tabs>
      <w:spacing w:line="240" w:lineRule="auto"/>
    </w:pPr>
  </w:style>
  <w:style w:type="paragraph" w:customStyle="1" w:styleId="Tramlinescentred">
    <w:name w:val="Tramlines centred"/>
    <w:basedOn w:val="Normal"/>
    <w:qFormat/>
    <w:rsid w:val="00EF07EE"/>
    <w:pPr>
      <w:pBdr>
        <w:top w:val="single" w:sz="8" w:space="12" w:color="auto"/>
        <w:bottom w:val="single" w:sz="8" w:space="12" w:color="auto"/>
      </w:pBdr>
      <w:spacing w:after="320" w:line="240" w:lineRule="auto"/>
      <w:jc w:val="center"/>
    </w:pPr>
    <w:rPr>
      <w:b/>
      <w:bCs/>
    </w:rPr>
  </w:style>
  <w:style w:type="paragraph" w:customStyle="1" w:styleId="JudgmentNumbered">
    <w:name w:val="Judgment Numbered"/>
    <w:basedOn w:val="Normal"/>
    <w:link w:val="JudgmentNumberedChar"/>
    <w:qFormat/>
    <w:rsid w:val="00EF07EE"/>
    <w:pPr>
      <w:numPr>
        <w:numId w:val="2"/>
      </w:numPr>
      <w:suppressAutoHyphens w:val="0"/>
      <w:spacing w:after="240" w:line="360" w:lineRule="auto"/>
    </w:pPr>
    <w:rPr>
      <w:rFonts w:eastAsiaTheme="minorHAnsi" w:cs="Arial"/>
      <w:snapToGrid/>
      <w:szCs w:val="22"/>
    </w:rPr>
  </w:style>
  <w:style w:type="paragraph" w:customStyle="1" w:styleId="JudgmentHeading">
    <w:name w:val="Judgment Heading"/>
    <w:basedOn w:val="JudgmentNumbered"/>
    <w:next w:val="JudgmentNumbered"/>
    <w:link w:val="JudgmentHeadingChar"/>
    <w:qFormat/>
    <w:rsid w:val="00EF07EE"/>
    <w:pPr>
      <w:numPr>
        <w:numId w:val="0"/>
      </w:numPr>
    </w:pPr>
    <w:rPr>
      <w:i/>
    </w:rPr>
  </w:style>
  <w:style w:type="character" w:customStyle="1" w:styleId="JudgmentNumberedChar">
    <w:name w:val="Judgment Numbered Char"/>
    <w:basedOn w:val="DefaultParagraphFont"/>
    <w:link w:val="JudgmentNumbered"/>
    <w:rsid w:val="00EF07EE"/>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EF07EE"/>
    <w:rPr>
      <w:rFonts w:ascii="Arial" w:hAnsi="Arial" w:cs="Arial"/>
      <w:i/>
      <w:kern w:val="0"/>
      <w:sz w:val="24"/>
      <w:lang w:val="en-GB"/>
      <w14:ligatures w14:val="none"/>
    </w:rPr>
  </w:style>
  <w:style w:type="paragraph" w:styleId="NormalWeb">
    <w:name w:val="Normal (Web)"/>
    <w:basedOn w:val="Normal"/>
    <w:uiPriority w:val="99"/>
    <w:unhideWhenUsed/>
    <w:rsid w:val="00EF07EE"/>
    <w:pPr>
      <w:suppressAutoHyphens w:val="0"/>
      <w:spacing w:before="100" w:beforeAutospacing="1" w:after="100" w:afterAutospacing="1" w:line="240" w:lineRule="auto"/>
      <w:jc w:val="left"/>
    </w:pPr>
    <w:rPr>
      <w:rFonts w:ascii="Times New Roman" w:hAnsi="Times New Roman"/>
      <w:snapToGrid/>
      <w:szCs w:val="24"/>
      <w:lang w:val="en-US"/>
    </w:rPr>
  </w:style>
  <w:style w:type="paragraph" w:styleId="Header">
    <w:name w:val="header"/>
    <w:basedOn w:val="Normal"/>
    <w:link w:val="HeaderChar"/>
    <w:uiPriority w:val="99"/>
    <w:unhideWhenUsed/>
    <w:rsid w:val="00B74E2B"/>
    <w:pPr>
      <w:tabs>
        <w:tab w:val="center" w:pos="4680"/>
        <w:tab w:val="right" w:pos="9360"/>
      </w:tabs>
      <w:spacing w:line="240" w:lineRule="auto"/>
    </w:pPr>
  </w:style>
  <w:style w:type="character" w:customStyle="1" w:styleId="HeaderChar">
    <w:name w:val="Header Char"/>
    <w:basedOn w:val="DefaultParagraphFont"/>
    <w:link w:val="Header"/>
    <w:uiPriority w:val="99"/>
    <w:rsid w:val="00B74E2B"/>
    <w:rPr>
      <w:rFonts w:ascii="Arial" w:eastAsia="Times New Roman" w:hAnsi="Arial" w:cs="Times New Roman"/>
      <w:snapToGrid w:val="0"/>
      <w:kern w:val="0"/>
      <w:sz w:val="24"/>
      <w:szCs w:val="20"/>
      <w:lang w:val="en-GB"/>
      <w14:ligatures w14:val="none"/>
    </w:rPr>
  </w:style>
  <w:style w:type="paragraph" w:styleId="Footer">
    <w:name w:val="footer"/>
    <w:basedOn w:val="Normal"/>
    <w:link w:val="FooterChar"/>
    <w:uiPriority w:val="99"/>
    <w:unhideWhenUsed/>
    <w:rsid w:val="00B74E2B"/>
    <w:pPr>
      <w:tabs>
        <w:tab w:val="center" w:pos="4680"/>
        <w:tab w:val="right" w:pos="9360"/>
      </w:tabs>
      <w:spacing w:line="240" w:lineRule="auto"/>
    </w:pPr>
  </w:style>
  <w:style w:type="character" w:customStyle="1" w:styleId="FooterChar">
    <w:name w:val="Footer Char"/>
    <w:basedOn w:val="DefaultParagraphFont"/>
    <w:link w:val="Footer"/>
    <w:uiPriority w:val="99"/>
    <w:rsid w:val="00B74E2B"/>
    <w:rPr>
      <w:rFonts w:ascii="Arial" w:eastAsia="Times New Roman" w:hAnsi="Arial" w:cs="Times New Roman"/>
      <w:snapToGrid w:val="0"/>
      <w:kern w:val="0"/>
      <w:sz w:val="24"/>
      <w:szCs w:val="20"/>
      <w:lang w:val="en-GB"/>
      <w14:ligatures w14:val="none"/>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sid w:val="0046253D"/>
    <w:pPr>
      <w:spacing w:line="360" w:lineRule="auto"/>
      <w:ind w:left="709" w:hanging="709"/>
    </w:pPr>
    <w:rPr>
      <w:sz w:val="20"/>
      <w:lang w:bidi="en-US"/>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basedOn w:val="DefaultParagraphFont"/>
    <w:link w:val="FootnoteText"/>
    <w:uiPriority w:val="99"/>
    <w:rsid w:val="0046253D"/>
    <w:rPr>
      <w:rFonts w:ascii="Arial" w:eastAsia="Times New Roman" w:hAnsi="Arial" w:cs="Times New Roman"/>
      <w:snapToGrid w:val="0"/>
      <w:kern w:val="0"/>
      <w:sz w:val="20"/>
      <w:szCs w:val="20"/>
      <w:lang w:val="en-GB" w:bidi="en-US"/>
      <w14:ligatures w14:val="none"/>
    </w:rPr>
  </w:style>
  <w:style w:type="character" w:styleId="FootnoteReference">
    <w:name w:val="footnote reference"/>
    <w:aliases w:val="(NECG) Footnote Reference,Footnote anchor,Footnotes refss,Ref,de nota al pie,註腳內容,Bow_Footnote Reference,BL_Footnote Reference"/>
    <w:basedOn w:val="DefaultParagraphFont"/>
    <w:uiPriority w:val="99"/>
    <w:unhideWhenUsed/>
    <w:rsid w:val="0046253D"/>
    <w:rPr>
      <w:vertAlign w:val="superscript"/>
    </w:rPr>
  </w:style>
  <w:style w:type="character" w:customStyle="1" w:styleId="mc">
    <w:name w:val="mc"/>
    <w:basedOn w:val="DefaultParagraphFont"/>
    <w:rsid w:val="009C1E4E"/>
  </w:style>
  <w:style w:type="character" w:styleId="Hyperlink">
    <w:name w:val="Hyperlink"/>
    <w:basedOn w:val="DefaultParagraphFont"/>
    <w:uiPriority w:val="99"/>
    <w:semiHidden/>
    <w:unhideWhenUsed/>
    <w:rsid w:val="009C1E4E"/>
    <w:rPr>
      <w:color w:val="0000FF"/>
      <w:u w:val="single"/>
    </w:rPr>
  </w:style>
  <w:style w:type="paragraph" w:customStyle="1" w:styleId="lrpara">
    <w:name w:val="lrpara"/>
    <w:basedOn w:val="Normal"/>
    <w:rsid w:val="00840962"/>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rquote">
    <w:name w:val="lrquote"/>
    <w:basedOn w:val="Normal"/>
    <w:rsid w:val="00840962"/>
    <w:pPr>
      <w:suppressAutoHyphens w:val="0"/>
      <w:spacing w:before="100" w:beforeAutospacing="1" w:after="100" w:afterAutospacing="1" w:line="240" w:lineRule="auto"/>
      <w:jc w:val="left"/>
    </w:pPr>
    <w:rPr>
      <w:rFonts w:ascii="Times New Roman" w:hAnsi="Times New Roman"/>
      <w:snapToGrid/>
      <w:szCs w:val="24"/>
      <w:lang w:val="en-US"/>
    </w:rPr>
  </w:style>
  <w:style w:type="paragraph" w:styleId="ListParagraph">
    <w:name w:val="List Paragraph"/>
    <w:basedOn w:val="Normal"/>
    <w:uiPriority w:val="34"/>
    <w:qFormat/>
    <w:rsid w:val="00B77A26"/>
    <w:pPr>
      <w:ind w:left="720"/>
      <w:contextualSpacing/>
    </w:pPr>
  </w:style>
  <w:style w:type="paragraph" w:customStyle="1" w:styleId="para1quadindent">
    <w:name w:val="para1quadindent"/>
    <w:basedOn w:val="Normal"/>
    <w:rsid w:val="00D330FB"/>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Quote1">
    <w:name w:val="Quote1"/>
    <w:basedOn w:val="Normal"/>
    <w:rsid w:val="00D330FB"/>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pageno">
    <w:name w:val="pageno"/>
    <w:basedOn w:val="Normal"/>
    <w:rsid w:val="006A33D9"/>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rjudgecont">
    <w:name w:val="lrjudgecont"/>
    <w:basedOn w:val="Normal"/>
    <w:rsid w:val="006A33D9"/>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g-para3">
    <w:name w:val="lg-para3"/>
    <w:basedOn w:val="Normal"/>
    <w:rsid w:val="008B743D"/>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lg-a-1">
    <w:name w:val="lg-a-1"/>
    <w:basedOn w:val="Normal"/>
    <w:rsid w:val="008B743D"/>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paraflindt">
    <w:name w:val="paraflindt"/>
    <w:basedOn w:val="Normal"/>
    <w:rsid w:val="00536B60"/>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quote10">
    <w:name w:val="quote1"/>
    <w:basedOn w:val="Normal"/>
    <w:rsid w:val="00536B60"/>
    <w:pPr>
      <w:suppressAutoHyphens w:val="0"/>
      <w:spacing w:before="100" w:beforeAutospacing="1" w:after="100" w:afterAutospacing="1" w:line="240" w:lineRule="auto"/>
      <w:jc w:val="left"/>
    </w:pPr>
    <w:rPr>
      <w:rFonts w:ascii="Times New Roman" w:hAnsi="Times New Roman"/>
      <w:snapToGrid/>
      <w:szCs w:val="24"/>
      <w:lang w:val="en-US"/>
    </w:rPr>
  </w:style>
  <w:style w:type="paragraph" w:customStyle="1" w:styleId="Myown">
    <w:name w:val="My own"/>
    <w:basedOn w:val="Normal"/>
    <w:rsid w:val="008060A1"/>
    <w:pPr>
      <w:tabs>
        <w:tab w:val="num" w:pos="0"/>
      </w:tabs>
      <w:suppressAutoHyphens w:val="0"/>
      <w:spacing w:before="360" w:after="360"/>
      <w:ind w:left="706" w:hanging="706"/>
    </w:pPr>
    <w:rPr>
      <w:rFonts w:ascii="Times New Roman" w:hAnsi="Times New Roman"/>
      <w:snapToGrid/>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996">
      <w:bodyDiv w:val="1"/>
      <w:marLeft w:val="0"/>
      <w:marRight w:val="0"/>
      <w:marTop w:val="0"/>
      <w:marBottom w:val="0"/>
      <w:divBdr>
        <w:top w:val="none" w:sz="0" w:space="0" w:color="auto"/>
        <w:left w:val="none" w:sz="0" w:space="0" w:color="auto"/>
        <w:bottom w:val="none" w:sz="0" w:space="0" w:color="auto"/>
        <w:right w:val="none" w:sz="0" w:space="0" w:color="auto"/>
      </w:divBdr>
    </w:div>
    <w:div w:id="115298408">
      <w:bodyDiv w:val="1"/>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240"/>
          <w:marBottom w:val="0"/>
          <w:divBdr>
            <w:top w:val="none" w:sz="0" w:space="0" w:color="auto"/>
            <w:left w:val="none" w:sz="0" w:space="0" w:color="auto"/>
            <w:bottom w:val="none" w:sz="0" w:space="0" w:color="auto"/>
            <w:right w:val="none" w:sz="0" w:space="0" w:color="auto"/>
          </w:divBdr>
        </w:div>
        <w:div w:id="2082632157">
          <w:marLeft w:val="0"/>
          <w:marRight w:val="0"/>
          <w:marTop w:val="120"/>
          <w:marBottom w:val="0"/>
          <w:divBdr>
            <w:top w:val="none" w:sz="0" w:space="0" w:color="auto"/>
            <w:left w:val="none" w:sz="0" w:space="0" w:color="auto"/>
            <w:bottom w:val="none" w:sz="0" w:space="0" w:color="auto"/>
            <w:right w:val="none" w:sz="0" w:space="0" w:color="auto"/>
          </w:divBdr>
        </w:div>
        <w:div w:id="1203980973">
          <w:marLeft w:val="567"/>
          <w:marRight w:val="567"/>
          <w:marTop w:val="20"/>
          <w:marBottom w:val="20"/>
          <w:divBdr>
            <w:top w:val="none" w:sz="0" w:space="0" w:color="auto"/>
            <w:left w:val="none" w:sz="0" w:space="0" w:color="auto"/>
            <w:bottom w:val="none" w:sz="0" w:space="0" w:color="auto"/>
            <w:right w:val="none" w:sz="0" w:space="0" w:color="auto"/>
          </w:divBdr>
        </w:div>
        <w:div w:id="1876311969">
          <w:marLeft w:val="0"/>
          <w:marRight w:val="0"/>
          <w:marTop w:val="120"/>
          <w:marBottom w:val="0"/>
          <w:divBdr>
            <w:top w:val="none" w:sz="0" w:space="0" w:color="auto"/>
            <w:left w:val="none" w:sz="0" w:space="0" w:color="auto"/>
            <w:bottom w:val="none" w:sz="0" w:space="0" w:color="auto"/>
            <w:right w:val="none" w:sz="0" w:space="0" w:color="auto"/>
          </w:divBdr>
        </w:div>
        <w:div w:id="417749505">
          <w:marLeft w:val="0"/>
          <w:marRight w:val="0"/>
          <w:marTop w:val="120"/>
          <w:marBottom w:val="0"/>
          <w:divBdr>
            <w:top w:val="none" w:sz="0" w:space="0" w:color="auto"/>
            <w:left w:val="none" w:sz="0" w:space="0" w:color="auto"/>
            <w:bottom w:val="none" w:sz="0" w:space="0" w:color="auto"/>
            <w:right w:val="none" w:sz="0" w:space="0" w:color="auto"/>
          </w:divBdr>
        </w:div>
      </w:divsChild>
    </w:div>
    <w:div w:id="132407838">
      <w:bodyDiv w:val="1"/>
      <w:marLeft w:val="0"/>
      <w:marRight w:val="0"/>
      <w:marTop w:val="0"/>
      <w:marBottom w:val="0"/>
      <w:divBdr>
        <w:top w:val="none" w:sz="0" w:space="0" w:color="auto"/>
        <w:left w:val="none" w:sz="0" w:space="0" w:color="auto"/>
        <w:bottom w:val="none" w:sz="0" w:space="0" w:color="auto"/>
        <w:right w:val="none" w:sz="0" w:space="0" w:color="auto"/>
      </w:divBdr>
    </w:div>
    <w:div w:id="674771477">
      <w:bodyDiv w:val="1"/>
      <w:marLeft w:val="0"/>
      <w:marRight w:val="0"/>
      <w:marTop w:val="0"/>
      <w:marBottom w:val="0"/>
      <w:divBdr>
        <w:top w:val="none" w:sz="0" w:space="0" w:color="auto"/>
        <w:left w:val="none" w:sz="0" w:space="0" w:color="auto"/>
        <w:bottom w:val="none" w:sz="0" w:space="0" w:color="auto"/>
        <w:right w:val="none" w:sz="0" w:space="0" w:color="auto"/>
      </w:divBdr>
    </w:div>
    <w:div w:id="683676339">
      <w:bodyDiv w:val="1"/>
      <w:marLeft w:val="0"/>
      <w:marRight w:val="0"/>
      <w:marTop w:val="0"/>
      <w:marBottom w:val="0"/>
      <w:divBdr>
        <w:top w:val="none" w:sz="0" w:space="0" w:color="auto"/>
        <w:left w:val="none" w:sz="0" w:space="0" w:color="auto"/>
        <w:bottom w:val="none" w:sz="0" w:space="0" w:color="auto"/>
        <w:right w:val="none" w:sz="0" w:space="0" w:color="auto"/>
      </w:divBdr>
    </w:div>
    <w:div w:id="716584603">
      <w:bodyDiv w:val="1"/>
      <w:marLeft w:val="0"/>
      <w:marRight w:val="0"/>
      <w:marTop w:val="0"/>
      <w:marBottom w:val="0"/>
      <w:divBdr>
        <w:top w:val="none" w:sz="0" w:space="0" w:color="auto"/>
        <w:left w:val="none" w:sz="0" w:space="0" w:color="auto"/>
        <w:bottom w:val="none" w:sz="0" w:space="0" w:color="auto"/>
        <w:right w:val="none" w:sz="0" w:space="0" w:color="auto"/>
      </w:divBdr>
    </w:div>
    <w:div w:id="982082009">
      <w:bodyDiv w:val="1"/>
      <w:marLeft w:val="0"/>
      <w:marRight w:val="0"/>
      <w:marTop w:val="0"/>
      <w:marBottom w:val="0"/>
      <w:divBdr>
        <w:top w:val="none" w:sz="0" w:space="0" w:color="auto"/>
        <w:left w:val="none" w:sz="0" w:space="0" w:color="auto"/>
        <w:bottom w:val="none" w:sz="0" w:space="0" w:color="auto"/>
        <w:right w:val="none" w:sz="0" w:space="0" w:color="auto"/>
      </w:divBdr>
    </w:div>
    <w:div w:id="1147744065">
      <w:bodyDiv w:val="1"/>
      <w:marLeft w:val="0"/>
      <w:marRight w:val="0"/>
      <w:marTop w:val="0"/>
      <w:marBottom w:val="0"/>
      <w:divBdr>
        <w:top w:val="none" w:sz="0" w:space="0" w:color="auto"/>
        <w:left w:val="none" w:sz="0" w:space="0" w:color="auto"/>
        <w:bottom w:val="none" w:sz="0" w:space="0" w:color="auto"/>
        <w:right w:val="none" w:sz="0" w:space="0" w:color="auto"/>
      </w:divBdr>
    </w:div>
    <w:div w:id="1291597479">
      <w:bodyDiv w:val="1"/>
      <w:marLeft w:val="0"/>
      <w:marRight w:val="0"/>
      <w:marTop w:val="0"/>
      <w:marBottom w:val="0"/>
      <w:divBdr>
        <w:top w:val="none" w:sz="0" w:space="0" w:color="auto"/>
        <w:left w:val="none" w:sz="0" w:space="0" w:color="auto"/>
        <w:bottom w:val="none" w:sz="0" w:space="0" w:color="auto"/>
        <w:right w:val="none" w:sz="0" w:space="0" w:color="auto"/>
      </w:divBdr>
    </w:div>
    <w:div w:id="1444496608">
      <w:bodyDiv w:val="1"/>
      <w:marLeft w:val="0"/>
      <w:marRight w:val="0"/>
      <w:marTop w:val="0"/>
      <w:marBottom w:val="0"/>
      <w:divBdr>
        <w:top w:val="none" w:sz="0" w:space="0" w:color="auto"/>
        <w:left w:val="none" w:sz="0" w:space="0" w:color="auto"/>
        <w:bottom w:val="none" w:sz="0" w:space="0" w:color="auto"/>
        <w:right w:val="none" w:sz="0" w:space="0" w:color="auto"/>
      </w:divBdr>
    </w:div>
    <w:div w:id="1455833651">
      <w:bodyDiv w:val="1"/>
      <w:marLeft w:val="0"/>
      <w:marRight w:val="0"/>
      <w:marTop w:val="0"/>
      <w:marBottom w:val="0"/>
      <w:divBdr>
        <w:top w:val="none" w:sz="0" w:space="0" w:color="auto"/>
        <w:left w:val="none" w:sz="0" w:space="0" w:color="auto"/>
        <w:bottom w:val="none" w:sz="0" w:space="0" w:color="auto"/>
        <w:right w:val="none" w:sz="0" w:space="0" w:color="auto"/>
      </w:divBdr>
    </w:div>
    <w:div w:id="1926961407">
      <w:bodyDiv w:val="1"/>
      <w:marLeft w:val="0"/>
      <w:marRight w:val="0"/>
      <w:marTop w:val="0"/>
      <w:marBottom w:val="0"/>
      <w:divBdr>
        <w:top w:val="none" w:sz="0" w:space="0" w:color="auto"/>
        <w:left w:val="none" w:sz="0" w:space="0" w:color="auto"/>
        <w:bottom w:val="none" w:sz="0" w:space="0" w:color="auto"/>
        <w:right w:val="none" w:sz="0" w:space="0" w:color="auto"/>
      </w:divBdr>
    </w:div>
    <w:div w:id="2004508579">
      <w:bodyDiv w:val="1"/>
      <w:marLeft w:val="0"/>
      <w:marRight w:val="0"/>
      <w:marTop w:val="0"/>
      <w:marBottom w:val="0"/>
      <w:divBdr>
        <w:top w:val="none" w:sz="0" w:space="0" w:color="auto"/>
        <w:left w:val="none" w:sz="0" w:space="0" w:color="auto"/>
        <w:bottom w:val="none" w:sz="0" w:space="0" w:color="auto"/>
        <w:right w:val="none" w:sz="0" w:space="0" w:color="auto"/>
      </w:divBdr>
    </w:div>
    <w:div w:id="20047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102A3.6AE5447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B55CA3ACBC418D3C7D7F3A1A60F1" ma:contentTypeVersion="16" ma:contentTypeDescription="Create a new document." ma:contentTypeScope="" ma:versionID="cedee9c0bf39a727446dc4ef413579a5">
  <xsd:schema xmlns:xsd="http://www.w3.org/2001/XMLSchema" xmlns:xs="http://www.w3.org/2001/XMLSchema" xmlns:p="http://schemas.microsoft.com/office/2006/metadata/properties" xmlns:ns3="0bbd11c6-c35d-42ff-9440-bbf72a1089d4" xmlns:ns4="bc1b25a8-3922-470c-8ff8-241721fcb757" targetNamespace="http://schemas.microsoft.com/office/2006/metadata/properties" ma:root="true" ma:fieldsID="1c9557b3f455563a43cbc57f5330ebdd" ns3:_="" ns4:_="">
    <xsd:import namespace="0bbd11c6-c35d-42ff-9440-bbf72a1089d4"/>
    <xsd:import namespace="bc1b25a8-3922-470c-8ff8-241721fcb7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ObjectDetectorVersion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d11c6-c35d-42ff-9440-bbf72a1089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b25a8-3922-470c-8ff8-241721fcb7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1b25a8-3922-470c-8ff8-241721fcb757" xsi:nil="true"/>
  </documentManagement>
</p:properties>
</file>

<file path=customXml/itemProps1.xml><?xml version="1.0" encoding="utf-8"?>
<ds:datastoreItem xmlns:ds="http://schemas.openxmlformats.org/officeDocument/2006/customXml" ds:itemID="{B8584C10-9870-416C-8555-458976221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d11c6-c35d-42ff-9440-bbf72a1089d4"/>
    <ds:schemaRef ds:uri="bc1b25a8-3922-470c-8ff8-241721fcb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E15F4-044F-40B1-AD3B-B6FF95EAB58E}">
  <ds:schemaRefs>
    <ds:schemaRef ds:uri="http://schemas.microsoft.com/sharepoint/v3/contenttype/forms"/>
  </ds:schemaRefs>
</ds:datastoreItem>
</file>

<file path=customXml/itemProps3.xml><?xml version="1.0" encoding="utf-8"?>
<ds:datastoreItem xmlns:ds="http://schemas.openxmlformats.org/officeDocument/2006/customXml" ds:itemID="{08772EAA-D657-4B61-8930-857A022B5BD6}">
  <ds:schemaRefs>
    <ds:schemaRef ds:uri="http://schemas.microsoft.com/office/2006/metadata/properties"/>
    <ds:schemaRef ds:uri="http://schemas.microsoft.com/office/infopath/2007/PartnerControls"/>
    <ds:schemaRef ds:uri="bc1b25a8-3922-470c-8ff8-241721fcb75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3896</Words>
  <Characters>22210</Characters>
  <Application>Microsoft Office Word</Application>
  <DocSecurity>0</DocSecurity>
  <Lines>185</Lines>
  <Paragraphs>52</Paragraphs>
  <ScaleCrop>false</ScaleCrop>
  <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BESTER</dc:creator>
  <cp:keywords/>
  <dc:description/>
  <cp:lastModifiedBy>sathish sarshan  mohan</cp:lastModifiedBy>
  <cp:revision>3</cp:revision>
  <cp:lastPrinted>2024-03-18T09:38:00Z</cp:lastPrinted>
  <dcterms:created xsi:type="dcterms:W3CDTF">2024-03-18T09:38:00Z</dcterms:created>
  <dcterms:modified xsi:type="dcterms:W3CDTF">2024-03-19T13:41:00Z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0x01010094E1B55CA3ACBC418D3C7D7F3A1A60F1</vt:lpwstr>
  </property>
</Properties>
</file>