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D143" w14:textId="77777777" w:rsidR="00564266" w:rsidRPr="00394ED7" w:rsidRDefault="00564266" w:rsidP="00657706">
      <w:pPr>
        <w:spacing w:after="0" w:line="276"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657706">
      <w:pPr>
        <w:spacing w:after="0" w:line="276" w:lineRule="auto"/>
        <w:ind w:left="0"/>
        <w:jc w:val="center"/>
        <w:rPr>
          <w:rFonts w:ascii="Arial" w:eastAsia="Times New Roman" w:hAnsi="Arial" w:cs="Arial"/>
          <w:b/>
          <w:szCs w:val="24"/>
        </w:rPr>
      </w:pPr>
      <w:r w:rsidRPr="00394ED7">
        <w:rPr>
          <w:rFonts w:ascii="Arial" w:eastAsia="Times New Roman" w:hAnsi="Arial" w:cs="Arial"/>
          <w:b/>
          <w:noProof/>
          <w:szCs w:val="24"/>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657706">
      <w:pPr>
        <w:spacing w:after="0" w:line="276"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657706">
      <w:pPr>
        <w:spacing w:after="0" w:line="276"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657706">
      <w:pPr>
        <w:spacing w:after="0" w:line="276" w:lineRule="auto"/>
        <w:ind w:left="0"/>
        <w:jc w:val="right"/>
        <w:rPr>
          <w:rFonts w:ascii="Arial" w:eastAsia="Times New Roman" w:hAnsi="Arial" w:cs="Arial"/>
          <w:b/>
          <w:szCs w:val="24"/>
        </w:rPr>
      </w:pPr>
    </w:p>
    <w:p w14:paraId="0AA52391" w14:textId="05FF59DF" w:rsidR="00817A7E" w:rsidRDefault="00817A7E" w:rsidP="00657706">
      <w:pPr>
        <w:spacing w:after="0" w:line="276" w:lineRule="auto"/>
        <w:ind w:left="5040" w:firstLine="720"/>
        <w:jc w:val="right"/>
        <w:rPr>
          <w:rFonts w:ascii="Arial" w:eastAsia="Times New Roman" w:hAnsi="Arial" w:cs="Arial"/>
          <w:b/>
          <w:bCs/>
          <w:szCs w:val="24"/>
          <w:u w:val="single"/>
        </w:rPr>
      </w:pPr>
      <w:r>
        <w:rPr>
          <w:rFonts w:ascii="Arial" w:eastAsia="Times New Roman" w:hAnsi="Arial" w:cs="Arial"/>
          <w:b/>
          <w:szCs w:val="24"/>
        </w:rPr>
        <w:t xml:space="preserve">      </w:t>
      </w:r>
      <w:r w:rsidR="00785619">
        <w:rPr>
          <w:rFonts w:ascii="Arial" w:eastAsia="Times New Roman" w:hAnsi="Arial" w:cs="Arial"/>
          <w:b/>
          <w:szCs w:val="24"/>
        </w:rPr>
        <w:t>CASE NUMBER</w:t>
      </w:r>
      <w:r>
        <w:rPr>
          <w:rFonts w:ascii="Arial" w:eastAsia="Times New Roman" w:hAnsi="Arial" w:cs="Arial"/>
          <w:b/>
          <w:szCs w:val="24"/>
        </w:rPr>
        <w:t>S</w:t>
      </w:r>
      <w:r w:rsidR="00785619" w:rsidRPr="00394ED7">
        <w:rPr>
          <w:rFonts w:ascii="Arial" w:eastAsia="Times New Roman" w:hAnsi="Arial" w:cs="Arial"/>
          <w:b/>
          <w:szCs w:val="24"/>
        </w:rPr>
        <w:t xml:space="preserve">: </w:t>
      </w:r>
      <w:bookmarkStart w:id="0" w:name="_Hlk137038707"/>
      <w:r>
        <w:rPr>
          <w:rFonts w:ascii="Arial" w:eastAsia="Times New Roman" w:hAnsi="Arial" w:cs="Arial"/>
          <w:b/>
          <w:szCs w:val="24"/>
        </w:rPr>
        <w:t xml:space="preserve"> </w:t>
      </w:r>
      <w:r w:rsidR="008C631C">
        <w:rPr>
          <w:rFonts w:ascii="Arial" w:eastAsia="Times New Roman" w:hAnsi="Arial" w:cs="Arial"/>
          <w:b/>
          <w:bCs/>
          <w:szCs w:val="24"/>
          <w:u w:val="single"/>
        </w:rPr>
        <w:t>SS65/</w:t>
      </w:r>
      <w:r w:rsidRPr="00817A7E">
        <w:rPr>
          <w:rFonts w:ascii="Arial" w:eastAsia="Times New Roman" w:hAnsi="Arial" w:cs="Arial"/>
          <w:b/>
          <w:bCs/>
          <w:szCs w:val="24"/>
          <w:u w:val="single"/>
        </w:rPr>
        <w:t>202</w:t>
      </w:r>
      <w:r w:rsidR="008C631C">
        <w:rPr>
          <w:rFonts w:ascii="Arial" w:eastAsia="Times New Roman" w:hAnsi="Arial" w:cs="Arial"/>
          <w:b/>
          <w:bCs/>
          <w:szCs w:val="24"/>
          <w:u w:val="single"/>
        </w:rPr>
        <w:t>1</w:t>
      </w:r>
    </w:p>
    <w:bookmarkEnd w:id="0"/>
    <w:p w14:paraId="1FF69AB5" w14:textId="31FC699D" w:rsidR="00ED35E1" w:rsidRDefault="00ED35E1" w:rsidP="00657706">
      <w:pPr>
        <w:spacing w:after="0" w:line="276" w:lineRule="auto"/>
        <w:ind w:left="0"/>
        <w:jc w:val="left"/>
        <w:rPr>
          <w:rFonts w:ascii="Arial" w:eastAsia="Times New Roman" w:hAnsi="Arial" w:cs="Arial"/>
          <w:b/>
          <w:szCs w:val="24"/>
        </w:rPr>
      </w:pPr>
      <w:r>
        <w:rPr>
          <w:noProof/>
        </w:rPr>
        <mc:AlternateContent>
          <mc:Choice Requires="wps">
            <w:drawing>
              <wp:anchor distT="0" distB="0" distL="114300" distR="114300" simplePos="0" relativeHeight="251659264" behindDoc="0" locked="0" layoutInCell="1" allowOverlap="1" wp14:anchorId="26E3B4C4" wp14:editId="42BD44A8">
                <wp:simplePos x="0" y="0"/>
                <wp:positionH relativeFrom="margin">
                  <wp:posOffset>0</wp:posOffset>
                </wp:positionH>
                <wp:positionV relativeFrom="page">
                  <wp:posOffset>3200400</wp:posOffset>
                </wp:positionV>
                <wp:extent cx="3314700" cy="1266825"/>
                <wp:effectExtent l="0" t="0" r="19050" b="2857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7890D73E" w:rsidR="00ED35E1" w:rsidRPr="004120A8" w:rsidRDefault="008E6A97" w:rsidP="008E6A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4872D637" w:rsidR="00ED35E1" w:rsidRPr="004120A8" w:rsidRDefault="008E6A97" w:rsidP="008E6A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02D1DF5E" w:rsidR="00ED35E1" w:rsidRPr="004120A8" w:rsidRDefault="008E6A97" w:rsidP="008E6A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620BB5C4"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8C631C">
                              <w:rPr>
                                <w:rFonts w:ascii="Century Gothic" w:hAnsi="Century Gothic"/>
                                <w:b/>
                                <w:sz w:val="18"/>
                                <w:szCs w:val="18"/>
                              </w:rPr>
                              <w:t>M</w:t>
                            </w:r>
                            <w:r w:rsidR="0056477F">
                              <w:rPr>
                                <w:rFonts w:ascii="Century Gothic" w:hAnsi="Century Gothic"/>
                                <w:b/>
                                <w:sz w:val="18"/>
                                <w:szCs w:val="18"/>
                              </w:rPr>
                              <w:t>.</w:t>
                            </w:r>
                            <w:r w:rsidR="001D42EA">
                              <w:rPr>
                                <w:rFonts w:ascii="Century Gothic" w:hAnsi="Century Gothic"/>
                                <w:b/>
                                <w:sz w:val="18"/>
                                <w:szCs w:val="18"/>
                              </w:rPr>
                              <w:t xml:space="preserve"> </w:t>
                            </w:r>
                            <w:r w:rsidR="008C631C">
                              <w:rPr>
                                <w:rFonts w:ascii="Century Gothic" w:hAnsi="Century Gothic"/>
                                <w:b/>
                                <w:sz w:val="18"/>
                                <w:szCs w:val="18"/>
                              </w:rPr>
                              <w:t>MALANGENI</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8C631C">
                              <w:rPr>
                                <w:rFonts w:ascii="Century Gothic" w:hAnsi="Century Gothic"/>
                                <w:b/>
                                <w:sz w:val="18"/>
                                <w:szCs w:val="18"/>
                              </w:rPr>
                              <w:t>18</w:t>
                            </w:r>
                            <w:r w:rsidR="00FC0C7D" w:rsidRPr="00EE6E5C">
                              <w:rPr>
                                <w:rFonts w:ascii="Century Gothic" w:hAnsi="Century Gothic"/>
                                <w:b/>
                                <w:sz w:val="18"/>
                                <w:szCs w:val="18"/>
                              </w:rPr>
                              <w:t xml:space="preserve"> </w:t>
                            </w:r>
                            <w:r w:rsidR="008C631C">
                              <w:rPr>
                                <w:rFonts w:ascii="Century Gothic" w:hAnsi="Century Gothic"/>
                                <w:b/>
                                <w:sz w:val="18"/>
                                <w:szCs w:val="18"/>
                              </w:rPr>
                              <w:t>March</w:t>
                            </w:r>
                            <w:r w:rsidR="00FC0C7D" w:rsidRPr="00EE6E5C">
                              <w:rPr>
                                <w:rFonts w:ascii="Century Gothic" w:hAnsi="Century Gothic"/>
                                <w:b/>
                                <w:sz w:val="18"/>
                                <w:szCs w:val="18"/>
                              </w:rPr>
                              <w:t xml:space="preserve"> </w:t>
                            </w:r>
                            <w:r w:rsidRPr="00EE6E5C">
                              <w:rPr>
                                <w:rFonts w:ascii="Century Gothic" w:hAnsi="Century Gothic"/>
                                <w:b/>
                                <w:sz w:val="18"/>
                                <w:szCs w:val="18"/>
                              </w:rPr>
                              <w:t>202</w:t>
                            </w:r>
                            <w:r w:rsidR="008C631C">
                              <w:rPr>
                                <w:rFonts w:ascii="Century Gothic" w:hAnsi="Century Gothic"/>
                                <w:b/>
                                <w:sz w:val="18"/>
                                <w:szCs w:val="18"/>
                              </w:rPr>
                              <w:t>4</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7890D73E" w:rsidR="00ED35E1" w:rsidRPr="004120A8" w:rsidRDefault="008E6A97" w:rsidP="008E6A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4872D637" w:rsidR="00ED35E1" w:rsidRPr="004120A8" w:rsidRDefault="008E6A97" w:rsidP="008E6A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02D1DF5E" w:rsidR="00ED35E1" w:rsidRPr="004120A8" w:rsidRDefault="008E6A97" w:rsidP="008E6A97">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620BB5C4"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8C631C">
                        <w:rPr>
                          <w:rFonts w:ascii="Century Gothic" w:hAnsi="Century Gothic"/>
                          <w:b/>
                          <w:sz w:val="18"/>
                          <w:szCs w:val="18"/>
                        </w:rPr>
                        <w:t>M</w:t>
                      </w:r>
                      <w:r w:rsidR="0056477F">
                        <w:rPr>
                          <w:rFonts w:ascii="Century Gothic" w:hAnsi="Century Gothic"/>
                          <w:b/>
                          <w:sz w:val="18"/>
                          <w:szCs w:val="18"/>
                        </w:rPr>
                        <w:t>.</w:t>
                      </w:r>
                      <w:r w:rsidR="001D42EA">
                        <w:rPr>
                          <w:rFonts w:ascii="Century Gothic" w:hAnsi="Century Gothic"/>
                          <w:b/>
                          <w:sz w:val="18"/>
                          <w:szCs w:val="18"/>
                        </w:rPr>
                        <w:t xml:space="preserve"> </w:t>
                      </w:r>
                      <w:r w:rsidR="008C631C">
                        <w:rPr>
                          <w:rFonts w:ascii="Century Gothic" w:hAnsi="Century Gothic"/>
                          <w:b/>
                          <w:sz w:val="18"/>
                          <w:szCs w:val="18"/>
                        </w:rPr>
                        <w:t>MALANGENI</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8C631C">
                        <w:rPr>
                          <w:rFonts w:ascii="Century Gothic" w:hAnsi="Century Gothic"/>
                          <w:b/>
                          <w:sz w:val="18"/>
                          <w:szCs w:val="18"/>
                        </w:rPr>
                        <w:t>18</w:t>
                      </w:r>
                      <w:r w:rsidR="00FC0C7D" w:rsidRPr="00EE6E5C">
                        <w:rPr>
                          <w:rFonts w:ascii="Century Gothic" w:hAnsi="Century Gothic"/>
                          <w:b/>
                          <w:sz w:val="18"/>
                          <w:szCs w:val="18"/>
                        </w:rPr>
                        <w:t xml:space="preserve"> </w:t>
                      </w:r>
                      <w:r w:rsidR="008C631C">
                        <w:rPr>
                          <w:rFonts w:ascii="Century Gothic" w:hAnsi="Century Gothic"/>
                          <w:b/>
                          <w:sz w:val="18"/>
                          <w:szCs w:val="18"/>
                        </w:rPr>
                        <w:t>March</w:t>
                      </w:r>
                      <w:r w:rsidR="00FC0C7D" w:rsidRPr="00EE6E5C">
                        <w:rPr>
                          <w:rFonts w:ascii="Century Gothic" w:hAnsi="Century Gothic"/>
                          <w:b/>
                          <w:sz w:val="18"/>
                          <w:szCs w:val="18"/>
                        </w:rPr>
                        <w:t xml:space="preserve"> </w:t>
                      </w:r>
                      <w:r w:rsidRPr="00EE6E5C">
                        <w:rPr>
                          <w:rFonts w:ascii="Century Gothic" w:hAnsi="Century Gothic"/>
                          <w:b/>
                          <w:sz w:val="18"/>
                          <w:szCs w:val="18"/>
                        </w:rPr>
                        <w:t>202</w:t>
                      </w:r>
                      <w:r w:rsidR="008C631C">
                        <w:rPr>
                          <w:rFonts w:ascii="Century Gothic" w:hAnsi="Century Gothic"/>
                          <w:b/>
                          <w:sz w:val="18"/>
                          <w:szCs w:val="18"/>
                        </w:rPr>
                        <w:t>4</w:t>
                      </w:r>
                    </w:p>
                    <w:p w14:paraId="457623E5" w14:textId="77777777" w:rsidR="00ED35E1" w:rsidRPr="004120A8" w:rsidRDefault="00ED35E1" w:rsidP="00ED35E1">
                      <w:pPr>
                        <w:rPr>
                          <w:rFonts w:ascii="Century Gothic" w:hAnsi="Century Gothic"/>
                          <w:b/>
                          <w:sz w:val="2"/>
                          <w:szCs w:val="18"/>
                        </w:rPr>
                      </w:pPr>
                    </w:p>
                  </w:txbxContent>
                </v:textbox>
                <w10:wrap type="square" anchorx="margin" anchory="page"/>
              </v:shape>
            </w:pict>
          </mc:Fallback>
        </mc:AlternateContent>
      </w:r>
    </w:p>
    <w:p w14:paraId="7CDE7597" w14:textId="77777777" w:rsidR="00817A7E" w:rsidRDefault="00564266" w:rsidP="00657706">
      <w:pPr>
        <w:spacing w:after="0" w:line="276"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p>
    <w:p w14:paraId="53CBE15E" w14:textId="77777777" w:rsidR="00817A7E" w:rsidRDefault="00817A7E" w:rsidP="00657706">
      <w:pPr>
        <w:spacing w:after="0" w:line="276" w:lineRule="auto"/>
        <w:ind w:left="0"/>
        <w:jc w:val="left"/>
        <w:rPr>
          <w:rFonts w:ascii="Arial" w:eastAsia="Times New Roman" w:hAnsi="Arial" w:cs="Arial"/>
          <w:b/>
          <w:szCs w:val="24"/>
        </w:rPr>
      </w:pPr>
    </w:p>
    <w:p w14:paraId="22B1B711" w14:textId="77777777" w:rsidR="00817A7E" w:rsidRDefault="00817A7E" w:rsidP="00657706">
      <w:pPr>
        <w:spacing w:after="0" w:line="276" w:lineRule="auto"/>
        <w:ind w:left="0"/>
        <w:jc w:val="left"/>
        <w:rPr>
          <w:rFonts w:ascii="Arial" w:eastAsia="Times New Roman" w:hAnsi="Arial" w:cs="Arial"/>
          <w:b/>
          <w:szCs w:val="24"/>
        </w:rPr>
      </w:pPr>
    </w:p>
    <w:p w14:paraId="30E3855B" w14:textId="77777777" w:rsidR="00817A7E" w:rsidRDefault="00817A7E" w:rsidP="00657706">
      <w:pPr>
        <w:spacing w:after="0" w:line="276" w:lineRule="auto"/>
        <w:ind w:left="0"/>
        <w:jc w:val="left"/>
        <w:rPr>
          <w:rFonts w:ascii="Arial" w:eastAsia="Times New Roman" w:hAnsi="Arial" w:cs="Arial"/>
          <w:b/>
          <w:szCs w:val="24"/>
        </w:rPr>
      </w:pPr>
    </w:p>
    <w:p w14:paraId="74D1F2DA" w14:textId="77777777" w:rsidR="00817A7E" w:rsidRDefault="00817A7E" w:rsidP="00657706">
      <w:pPr>
        <w:spacing w:after="0" w:line="276" w:lineRule="auto"/>
        <w:ind w:left="0"/>
        <w:jc w:val="left"/>
        <w:rPr>
          <w:rFonts w:ascii="Arial" w:eastAsia="Times New Roman" w:hAnsi="Arial" w:cs="Arial"/>
          <w:b/>
          <w:szCs w:val="24"/>
        </w:rPr>
      </w:pPr>
    </w:p>
    <w:p w14:paraId="70B6B45C" w14:textId="1AAA028F" w:rsidR="00817A7E" w:rsidRPr="00BB26FE" w:rsidRDefault="00817A7E" w:rsidP="00BB26FE">
      <w:pPr>
        <w:spacing w:after="0" w:line="240" w:lineRule="auto"/>
        <w:ind w:left="0"/>
        <w:jc w:val="left"/>
        <w:rPr>
          <w:rFonts w:ascii="Arial" w:eastAsia="Times New Roman" w:hAnsi="Arial" w:cs="Arial"/>
          <w:b/>
          <w:szCs w:val="24"/>
        </w:rPr>
      </w:pPr>
    </w:p>
    <w:p w14:paraId="5040A284" w14:textId="77777777" w:rsidR="00A96CFC" w:rsidRDefault="00A96CFC" w:rsidP="00BB26FE">
      <w:pPr>
        <w:spacing w:after="0" w:line="240" w:lineRule="auto"/>
        <w:ind w:left="2160" w:hanging="2160"/>
        <w:rPr>
          <w:rFonts w:ascii="Arial" w:eastAsia="Times New Roman" w:hAnsi="Arial" w:cs="Arial"/>
          <w:szCs w:val="24"/>
        </w:rPr>
      </w:pPr>
    </w:p>
    <w:p w14:paraId="2C322A2E" w14:textId="2AA327F5" w:rsidR="00817A7E" w:rsidRPr="00817A7E" w:rsidRDefault="00817A7E" w:rsidP="00BB26FE">
      <w:pPr>
        <w:spacing w:after="0" w:line="240" w:lineRule="auto"/>
        <w:ind w:left="2160" w:hanging="2160"/>
        <w:rPr>
          <w:rFonts w:ascii="Arial" w:eastAsia="Times New Roman" w:hAnsi="Arial" w:cs="Arial"/>
          <w:szCs w:val="24"/>
        </w:rPr>
      </w:pPr>
      <w:r w:rsidRPr="00817A7E">
        <w:rPr>
          <w:rFonts w:ascii="Arial" w:eastAsia="Times New Roman" w:hAnsi="Arial" w:cs="Arial"/>
          <w:szCs w:val="24"/>
        </w:rPr>
        <w:t>In the matter between:</w:t>
      </w:r>
    </w:p>
    <w:p w14:paraId="1B88EAD3" w14:textId="77777777" w:rsidR="00817A7E" w:rsidRPr="00817A7E" w:rsidRDefault="00817A7E" w:rsidP="00BB26FE">
      <w:pPr>
        <w:spacing w:after="0" w:line="240" w:lineRule="auto"/>
        <w:ind w:left="2160" w:hanging="2160"/>
        <w:rPr>
          <w:rFonts w:ascii="Arial" w:eastAsia="Times New Roman" w:hAnsi="Arial" w:cs="Arial"/>
          <w:szCs w:val="24"/>
        </w:rPr>
      </w:pPr>
    </w:p>
    <w:p w14:paraId="128A06DF" w14:textId="27141BBD" w:rsidR="008C631C" w:rsidRPr="008C631C" w:rsidRDefault="008C631C" w:rsidP="008C631C">
      <w:pPr>
        <w:spacing w:after="0" w:line="240" w:lineRule="auto"/>
        <w:ind w:left="0"/>
        <w:rPr>
          <w:rFonts w:ascii="Arial" w:eastAsia="Times New Roman" w:hAnsi="Arial" w:cs="Arial"/>
          <w:b/>
          <w:bCs/>
          <w:szCs w:val="24"/>
        </w:rPr>
      </w:pPr>
      <w:r w:rsidRPr="008C631C">
        <w:rPr>
          <w:rFonts w:ascii="Arial" w:eastAsia="Times New Roman" w:hAnsi="Arial" w:cs="Arial"/>
          <w:b/>
          <w:bCs/>
          <w:szCs w:val="24"/>
        </w:rPr>
        <w:t>DIRECTOR OF PUBLIC PROSECUTION</w:t>
      </w:r>
      <w:r w:rsidR="005C194B">
        <w:rPr>
          <w:rFonts w:ascii="Arial" w:eastAsia="Times New Roman" w:hAnsi="Arial" w:cs="Arial"/>
          <w:b/>
          <w:bCs/>
          <w:szCs w:val="24"/>
        </w:rPr>
        <w:t>S</w:t>
      </w:r>
      <w:r w:rsidR="006A3BEE">
        <w:rPr>
          <w:rFonts w:ascii="Arial" w:eastAsia="Times New Roman" w:hAnsi="Arial" w:cs="Arial"/>
          <w:b/>
          <w:bCs/>
          <w:szCs w:val="24"/>
        </w:rPr>
        <w:t>,</w:t>
      </w:r>
      <w:r w:rsidRPr="008C631C">
        <w:rPr>
          <w:rFonts w:ascii="Arial" w:eastAsia="Times New Roman" w:hAnsi="Arial" w:cs="Arial"/>
          <w:b/>
          <w:bCs/>
          <w:szCs w:val="24"/>
        </w:rPr>
        <w:t xml:space="preserve"> JOHANNESBURG</w:t>
      </w:r>
      <w:r w:rsidRPr="008C631C">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t xml:space="preserve"> </w:t>
      </w:r>
      <w:r w:rsidRPr="008C631C">
        <w:rPr>
          <w:rFonts w:ascii="Arial" w:eastAsia="Times New Roman" w:hAnsi="Arial" w:cs="Arial"/>
          <w:bCs/>
          <w:szCs w:val="24"/>
        </w:rPr>
        <w:t>Applicant</w:t>
      </w:r>
    </w:p>
    <w:p w14:paraId="48F82122" w14:textId="77777777" w:rsidR="008C631C" w:rsidRDefault="008C631C" w:rsidP="008C631C">
      <w:pPr>
        <w:spacing w:after="0" w:line="240" w:lineRule="auto"/>
        <w:ind w:left="0"/>
        <w:rPr>
          <w:rFonts w:ascii="Arial" w:eastAsia="Times New Roman" w:hAnsi="Arial" w:cs="Arial"/>
          <w:b/>
          <w:bCs/>
          <w:szCs w:val="24"/>
        </w:rPr>
      </w:pPr>
    </w:p>
    <w:p w14:paraId="54365494" w14:textId="573422DD" w:rsidR="008C631C" w:rsidRPr="008C631C" w:rsidRDefault="008C631C" w:rsidP="008C631C">
      <w:pPr>
        <w:spacing w:after="0" w:line="240" w:lineRule="auto"/>
        <w:ind w:left="0"/>
        <w:rPr>
          <w:rFonts w:ascii="Arial" w:eastAsia="Times New Roman" w:hAnsi="Arial" w:cs="Arial"/>
          <w:bCs/>
          <w:szCs w:val="24"/>
        </w:rPr>
      </w:pPr>
      <w:r w:rsidRPr="008C631C">
        <w:rPr>
          <w:rFonts w:ascii="Arial" w:eastAsia="Times New Roman" w:hAnsi="Arial" w:cs="Arial"/>
          <w:bCs/>
          <w:szCs w:val="24"/>
        </w:rPr>
        <w:t>and</w:t>
      </w:r>
      <w:r w:rsidRPr="008C631C">
        <w:rPr>
          <w:rFonts w:ascii="Arial" w:eastAsia="Times New Roman" w:hAnsi="Arial" w:cs="Arial"/>
          <w:bCs/>
          <w:szCs w:val="24"/>
        </w:rPr>
        <w:tab/>
      </w:r>
    </w:p>
    <w:p w14:paraId="36632913" w14:textId="77777777" w:rsidR="008C631C" w:rsidRDefault="008C631C" w:rsidP="008C631C">
      <w:pPr>
        <w:spacing w:after="0" w:line="240" w:lineRule="auto"/>
        <w:ind w:left="0"/>
        <w:rPr>
          <w:rFonts w:ascii="Arial" w:eastAsia="Times New Roman" w:hAnsi="Arial" w:cs="Arial"/>
          <w:b/>
          <w:bCs/>
          <w:szCs w:val="24"/>
        </w:rPr>
      </w:pPr>
    </w:p>
    <w:p w14:paraId="43579B1D" w14:textId="1A7BCF75" w:rsidR="008C631C" w:rsidRPr="008C631C" w:rsidRDefault="008C631C" w:rsidP="008C631C">
      <w:pPr>
        <w:spacing w:after="0" w:line="240" w:lineRule="auto"/>
        <w:ind w:left="0"/>
        <w:rPr>
          <w:rFonts w:ascii="Arial" w:eastAsia="Times New Roman" w:hAnsi="Arial" w:cs="Arial"/>
          <w:b/>
          <w:bCs/>
          <w:szCs w:val="24"/>
        </w:rPr>
      </w:pPr>
      <w:r w:rsidRPr="008C631C">
        <w:rPr>
          <w:rFonts w:ascii="Arial" w:eastAsia="Times New Roman" w:hAnsi="Arial" w:cs="Arial"/>
          <w:b/>
          <w:bCs/>
          <w:szCs w:val="24"/>
        </w:rPr>
        <w:t>KEKANA</w:t>
      </w:r>
      <w:r w:rsidR="006A3BEE">
        <w:rPr>
          <w:rFonts w:ascii="Arial" w:eastAsia="Times New Roman" w:hAnsi="Arial" w:cs="Arial"/>
          <w:b/>
          <w:bCs/>
          <w:szCs w:val="24"/>
        </w:rPr>
        <w:t>,</w:t>
      </w:r>
      <w:r w:rsidRPr="008C631C">
        <w:rPr>
          <w:rFonts w:ascii="Arial" w:eastAsia="Times New Roman" w:hAnsi="Arial" w:cs="Arial"/>
          <w:b/>
          <w:bCs/>
          <w:szCs w:val="24"/>
        </w:rPr>
        <w:t xml:space="preserve"> TSHEPISO</w:t>
      </w:r>
      <w:r w:rsidRPr="008C631C">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sidRPr="008C631C">
        <w:rPr>
          <w:rFonts w:ascii="Arial" w:eastAsia="Times New Roman" w:hAnsi="Arial" w:cs="Arial"/>
          <w:bCs/>
          <w:szCs w:val="24"/>
        </w:rPr>
        <w:t>First Respondent</w:t>
      </w:r>
    </w:p>
    <w:p w14:paraId="43B12DF9" w14:textId="77777777" w:rsidR="008C631C" w:rsidRDefault="008C631C" w:rsidP="008C631C">
      <w:pPr>
        <w:spacing w:after="0" w:line="240" w:lineRule="auto"/>
        <w:ind w:left="0"/>
        <w:rPr>
          <w:rFonts w:ascii="Arial" w:eastAsia="Times New Roman" w:hAnsi="Arial" w:cs="Arial"/>
          <w:b/>
          <w:bCs/>
          <w:szCs w:val="24"/>
        </w:rPr>
      </w:pPr>
    </w:p>
    <w:p w14:paraId="12E69037" w14:textId="535BBDAE" w:rsidR="008C631C" w:rsidRPr="008C631C" w:rsidRDefault="008C631C" w:rsidP="008C631C">
      <w:pPr>
        <w:spacing w:after="0" w:line="240" w:lineRule="auto"/>
        <w:ind w:left="0"/>
        <w:rPr>
          <w:rFonts w:ascii="Arial" w:eastAsia="Times New Roman" w:hAnsi="Arial" w:cs="Arial"/>
          <w:b/>
          <w:bCs/>
          <w:szCs w:val="24"/>
        </w:rPr>
      </w:pPr>
      <w:r w:rsidRPr="008C631C">
        <w:rPr>
          <w:rFonts w:ascii="Arial" w:eastAsia="Times New Roman" w:hAnsi="Arial" w:cs="Arial"/>
          <w:b/>
          <w:bCs/>
          <w:szCs w:val="24"/>
        </w:rPr>
        <w:t>MOTSEOTHATA</w:t>
      </w:r>
      <w:r w:rsidR="006A3BEE">
        <w:rPr>
          <w:rFonts w:ascii="Arial" w:eastAsia="Times New Roman" w:hAnsi="Arial" w:cs="Arial"/>
          <w:b/>
          <w:bCs/>
          <w:szCs w:val="24"/>
        </w:rPr>
        <w:t>,</w:t>
      </w:r>
      <w:r w:rsidRPr="008C631C">
        <w:rPr>
          <w:rFonts w:ascii="Arial" w:eastAsia="Times New Roman" w:hAnsi="Arial" w:cs="Arial"/>
          <w:b/>
          <w:bCs/>
          <w:szCs w:val="24"/>
        </w:rPr>
        <w:t xml:space="preserve"> CIDRAAS</w:t>
      </w:r>
      <w:r w:rsidR="006A3BEE">
        <w:rPr>
          <w:rFonts w:ascii="Arial" w:eastAsia="Times New Roman" w:hAnsi="Arial" w:cs="Arial"/>
          <w:b/>
          <w:bCs/>
          <w:szCs w:val="24"/>
        </w:rPr>
        <w:t xml:space="preserve"> BOITUMELO</w:t>
      </w:r>
      <w:r w:rsidRPr="008C631C">
        <w:rPr>
          <w:rFonts w:ascii="Arial" w:eastAsia="Times New Roman" w:hAnsi="Arial" w:cs="Arial"/>
          <w:b/>
          <w:bCs/>
          <w:szCs w:val="24"/>
        </w:rPr>
        <w:t xml:space="preserve"> </w:t>
      </w:r>
      <w:r w:rsidRPr="008C631C">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t xml:space="preserve">     </w:t>
      </w:r>
      <w:r w:rsidRPr="008C631C">
        <w:rPr>
          <w:rFonts w:ascii="Arial" w:eastAsia="Times New Roman" w:hAnsi="Arial" w:cs="Arial"/>
          <w:bCs/>
          <w:szCs w:val="24"/>
        </w:rPr>
        <w:t>Second Respondent</w:t>
      </w:r>
    </w:p>
    <w:p w14:paraId="75199555" w14:textId="77777777" w:rsidR="008C631C" w:rsidRDefault="008C631C" w:rsidP="008C631C">
      <w:pPr>
        <w:spacing w:after="0" w:line="240" w:lineRule="auto"/>
        <w:ind w:left="0"/>
        <w:rPr>
          <w:rFonts w:ascii="Arial" w:eastAsia="Times New Roman" w:hAnsi="Arial" w:cs="Arial"/>
          <w:b/>
          <w:bCs/>
          <w:szCs w:val="24"/>
        </w:rPr>
      </w:pPr>
    </w:p>
    <w:p w14:paraId="323737F1" w14:textId="4C4C6151" w:rsidR="008C631C" w:rsidRPr="008C631C" w:rsidRDefault="008C631C" w:rsidP="008C631C">
      <w:pPr>
        <w:spacing w:after="0" w:line="240" w:lineRule="auto"/>
        <w:ind w:left="0"/>
        <w:rPr>
          <w:rFonts w:ascii="Arial" w:eastAsia="Times New Roman" w:hAnsi="Arial" w:cs="Arial"/>
          <w:b/>
          <w:bCs/>
          <w:szCs w:val="24"/>
        </w:rPr>
      </w:pPr>
      <w:r w:rsidRPr="008C631C">
        <w:rPr>
          <w:rFonts w:ascii="Arial" w:eastAsia="Times New Roman" w:hAnsi="Arial" w:cs="Arial"/>
          <w:b/>
          <w:bCs/>
          <w:szCs w:val="24"/>
        </w:rPr>
        <w:t>LEGODI</w:t>
      </w:r>
      <w:r w:rsidR="006A3BEE">
        <w:rPr>
          <w:rFonts w:ascii="Arial" w:eastAsia="Times New Roman" w:hAnsi="Arial" w:cs="Arial"/>
          <w:b/>
          <w:bCs/>
          <w:szCs w:val="24"/>
        </w:rPr>
        <w:t>,</w:t>
      </w:r>
      <w:r w:rsidRPr="008C631C">
        <w:rPr>
          <w:rFonts w:ascii="Arial" w:eastAsia="Times New Roman" w:hAnsi="Arial" w:cs="Arial"/>
          <w:b/>
          <w:bCs/>
          <w:szCs w:val="24"/>
        </w:rPr>
        <w:t xml:space="preserve"> MADUMETSA</w:t>
      </w:r>
      <w:r w:rsidRPr="008C631C">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t xml:space="preserve">         </w:t>
      </w:r>
      <w:r w:rsidRPr="008C631C">
        <w:rPr>
          <w:rFonts w:ascii="Arial" w:eastAsia="Times New Roman" w:hAnsi="Arial" w:cs="Arial"/>
          <w:bCs/>
          <w:szCs w:val="24"/>
        </w:rPr>
        <w:t>Third Respondent</w:t>
      </w:r>
    </w:p>
    <w:p w14:paraId="41BA3DF7" w14:textId="77777777" w:rsidR="008C631C" w:rsidRDefault="008C631C" w:rsidP="008C631C">
      <w:pPr>
        <w:spacing w:after="0" w:line="240" w:lineRule="auto"/>
        <w:ind w:left="0"/>
        <w:rPr>
          <w:rFonts w:ascii="Arial" w:eastAsia="Times New Roman" w:hAnsi="Arial" w:cs="Arial"/>
          <w:b/>
          <w:bCs/>
          <w:szCs w:val="24"/>
        </w:rPr>
      </w:pPr>
    </w:p>
    <w:p w14:paraId="01B550AE" w14:textId="5BB1BA7E" w:rsidR="008C631C" w:rsidRDefault="008C631C" w:rsidP="008C631C">
      <w:pPr>
        <w:spacing w:after="0" w:line="240" w:lineRule="auto"/>
        <w:ind w:left="0"/>
        <w:rPr>
          <w:rFonts w:ascii="Arial" w:eastAsia="Times New Roman" w:hAnsi="Arial" w:cs="Arial"/>
          <w:b/>
          <w:bCs/>
          <w:szCs w:val="24"/>
        </w:rPr>
      </w:pPr>
      <w:r w:rsidRPr="008C631C">
        <w:rPr>
          <w:rFonts w:ascii="Arial" w:eastAsia="Times New Roman" w:hAnsi="Arial" w:cs="Arial"/>
          <w:b/>
          <w:bCs/>
          <w:szCs w:val="24"/>
        </w:rPr>
        <w:t>MOHAMMED</w:t>
      </w:r>
      <w:r w:rsidR="006A3BEE">
        <w:rPr>
          <w:rFonts w:ascii="Arial" w:eastAsia="Times New Roman" w:hAnsi="Arial" w:cs="Arial"/>
          <w:b/>
          <w:bCs/>
          <w:szCs w:val="24"/>
        </w:rPr>
        <w:t>,</w:t>
      </w:r>
      <w:r w:rsidRPr="008C631C">
        <w:rPr>
          <w:rFonts w:ascii="Arial" w:eastAsia="Times New Roman" w:hAnsi="Arial" w:cs="Arial"/>
          <w:b/>
          <w:bCs/>
          <w:szCs w:val="24"/>
        </w:rPr>
        <w:t xml:space="preserve"> VICTOR</w:t>
      </w:r>
      <w:r w:rsidR="006A3BEE">
        <w:rPr>
          <w:rFonts w:ascii="Arial" w:eastAsia="Times New Roman" w:hAnsi="Arial" w:cs="Arial"/>
          <w:b/>
          <w:bCs/>
          <w:szCs w:val="24"/>
        </w:rPr>
        <w:t xml:space="preserve"> NKOSINATHI</w:t>
      </w:r>
      <w:r w:rsidRPr="008C631C">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t xml:space="preserve">       </w:t>
      </w:r>
      <w:r w:rsidRPr="008C631C">
        <w:rPr>
          <w:rFonts w:ascii="Arial" w:eastAsia="Times New Roman" w:hAnsi="Arial" w:cs="Arial"/>
          <w:bCs/>
          <w:szCs w:val="24"/>
        </w:rPr>
        <w:t>Fourth Respondent</w:t>
      </w:r>
    </w:p>
    <w:p w14:paraId="598360C7" w14:textId="202494AD" w:rsidR="002055C3" w:rsidRDefault="002055C3" w:rsidP="008C631C">
      <w:pPr>
        <w:spacing w:after="0" w:line="240" w:lineRule="auto"/>
        <w:ind w:left="0"/>
        <w:rPr>
          <w:rFonts w:ascii="Arial" w:eastAsia="Times New Roman" w:hAnsi="Arial" w:cs="Arial"/>
          <w:szCs w:val="24"/>
        </w:rPr>
      </w:pPr>
    </w:p>
    <w:p w14:paraId="279A33DB" w14:textId="77777777" w:rsidR="002055C3" w:rsidRDefault="002055C3" w:rsidP="002055C3">
      <w:pPr>
        <w:spacing w:after="0" w:line="240" w:lineRule="auto"/>
        <w:ind w:left="1440" w:hanging="1440"/>
        <w:rPr>
          <w:rFonts w:ascii="Arial" w:eastAsia="Times New Roman" w:hAnsi="Arial" w:cs="Arial"/>
          <w:szCs w:val="24"/>
        </w:rPr>
      </w:pPr>
    </w:p>
    <w:p w14:paraId="36687748" w14:textId="4BED14C9" w:rsidR="002055C3" w:rsidRPr="002055C3" w:rsidRDefault="002055C3" w:rsidP="002055C3">
      <w:pPr>
        <w:spacing w:after="0" w:line="240" w:lineRule="auto"/>
        <w:ind w:left="1440" w:hanging="1440"/>
        <w:rPr>
          <w:rFonts w:ascii="Arial" w:eastAsia="Times New Roman" w:hAnsi="Arial" w:cs="Arial"/>
          <w:sz w:val="22"/>
          <w:szCs w:val="24"/>
        </w:rPr>
      </w:pPr>
      <w:r w:rsidRPr="002055C3">
        <w:rPr>
          <w:rFonts w:ascii="Arial" w:eastAsia="Times New Roman" w:hAnsi="Arial" w:cs="Arial"/>
          <w:sz w:val="22"/>
          <w:szCs w:val="24"/>
        </w:rPr>
        <w:t>Delivered:</w:t>
      </w:r>
      <w:r w:rsidRPr="002055C3">
        <w:rPr>
          <w:rFonts w:ascii="Arial" w:eastAsia="Times New Roman" w:hAnsi="Arial" w:cs="Arial"/>
          <w:sz w:val="22"/>
          <w:szCs w:val="24"/>
        </w:rPr>
        <w:tab/>
        <w:t>This judgment was prepared and authored by the Judge whose name is reflected and is handed down electronically by circulation to the parties/their legal representatives by email and/or by uploading it to the electronic file of this matter. The date for hand-down is deemed to be 10h00 on 18 March 2024.</w:t>
      </w:r>
    </w:p>
    <w:p w14:paraId="78D5722C" w14:textId="246533DD" w:rsidR="00CB5402" w:rsidRDefault="00785619" w:rsidP="008C631C">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657706">
      <w:pPr>
        <w:spacing w:after="0" w:line="240" w:lineRule="auto"/>
        <w:ind w:left="0"/>
        <w:jc w:val="center"/>
        <w:rPr>
          <w:rFonts w:ascii="Arial" w:eastAsia="Times New Roman" w:hAnsi="Arial" w:cs="Arial"/>
          <w:b/>
          <w:szCs w:val="24"/>
        </w:rPr>
      </w:pPr>
    </w:p>
    <w:p w14:paraId="7C41F231" w14:textId="38D0D450" w:rsidR="00EB45B2" w:rsidRDefault="00785619" w:rsidP="00657706">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JUDGMENT</w:t>
      </w:r>
    </w:p>
    <w:p w14:paraId="3E6DCBB1" w14:textId="47B07D2A" w:rsidR="008C631C" w:rsidRDefault="008C631C" w:rsidP="00657706">
      <w:pPr>
        <w:spacing w:after="0" w:line="240" w:lineRule="auto"/>
        <w:ind w:left="0"/>
        <w:jc w:val="center"/>
        <w:rPr>
          <w:rFonts w:ascii="Arial" w:eastAsia="Times New Roman" w:hAnsi="Arial" w:cs="Arial"/>
          <w:b/>
          <w:szCs w:val="24"/>
        </w:rPr>
      </w:pPr>
      <w:r>
        <w:rPr>
          <w:rFonts w:ascii="Arial" w:eastAsia="Times New Roman" w:hAnsi="Arial" w:cs="Arial"/>
          <w:b/>
          <w:szCs w:val="24"/>
        </w:rPr>
        <w:t>(LEAVE TO APPEAL)</w:t>
      </w:r>
    </w:p>
    <w:p w14:paraId="44B5535B" w14:textId="77777777" w:rsidR="00785619" w:rsidRPr="00785619" w:rsidRDefault="00785619" w:rsidP="00657706">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657706">
      <w:pPr>
        <w:spacing w:after="0" w:line="240" w:lineRule="auto"/>
        <w:ind w:left="0"/>
        <w:rPr>
          <w:rFonts w:ascii="Arial" w:hAnsi="Arial" w:cs="Arial"/>
          <w:b/>
          <w:szCs w:val="24"/>
        </w:rPr>
      </w:pPr>
    </w:p>
    <w:p w14:paraId="6E5F949D" w14:textId="77777777" w:rsidR="002055C3" w:rsidRDefault="002055C3" w:rsidP="00657706">
      <w:pPr>
        <w:spacing w:after="0" w:line="276" w:lineRule="auto"/>
        <w:rPr>
          <w:rFonts w:ascii="Arial" w:hAnsi="Arial" w:cs="Arial"/>
          <w:b/>
          <w:szCs w:val="24"/>
          <w:u w:val="single"/>
        </w:rPr>
      </w:pPr>
    </w:p>
    <w:p w14:paraId="06612F9B" w14:textId="77777777" w:rsidR="002055C3" w:rsidRDefault="002055C3" w:rsidP="00657706">
      <w:pPr>
        <w:spacing w:after="0" w:line="276" w:lineRule="auto"/>
        <w:rPr>
          <w:rFonts w:ascii="Arial" w:hAnsi="Arial" w:cs="Arial"/>
          <w:b/>
          <w:szCs w:val="24"/>
          <w:u w:val="single"/>
        </w:rPr>
      </w:pPr>
    </w:p>
    <w:p w14:paraId="20B181D2" w14:textId="77777777" w:rsidR="002055C3" w:rsidRDefault="002055C3" w:rsidP="00657706">
      <w:pPr>
        <w:spacing w:after="0" w:line="276" w:lineRule="auto"/>
        <w:rPr>
          <w:rFonts w:ascii="Arial" w:hAnsi="Arial" w:cs="Arial"/>
          <w:b/>
          <w:szCs w:val="24"/>
          <w:u w:val="single"/>
        </w:rPr>
      </w:pPr>
    </w:p>
    <w:p w14:paraId="208238BA" w14:textId="596C0966" w:rsidR="00564266" w:rsidRPr="00116F0B" w:rsidRDefault="008C631C" w:rsidP="00657706">
      <w:pPr>
        <w:spacing w:after="0" w:line="276" w:lineRule="auto"/>
        <w:rPr>
          <w:rFonts w:ascii="Arial" w:hAnsi="Arial" w:cs="Arial"/>
          <w:b/>
          <w:szCs w:val="24"/>
          <w:u w:val="single"/>
        </w:rPr>
      </w:pPr>
      <w:r>
        <w:rPr>
          <w:rFonts w:ascii="Arial" w:hAnsi="Arial" w:cs="Arial"/>
          <w:b/>
          <w:szCs w:val="24"/>
          <w:u w:val="single"/>
        </w:rPr>
        <w:lastRenderedPageBreak/>
        <w:t>MALANGENI</w:t>
      </w:r>
      <w:r w:rsidR="00F949A0" w:rsidRPr="00116F0B">
        <w:rPr>
          <w:rFonts w:ascii="Arial" w:hAnsi="Arial" w:cs="Arial"/>
          <w:b/>
          <w:szCs w:val="24"/>
          <w:u w:val="single"/>
        </w:rPr>
        <w:t xml:space="preserve"> </w:t>
      </w:r>
      <w:r w:rsidR="001D42EA" w:rsidRPr="00116F0B">
        <w:rPr>
          <w:rFonts w:ascii="Arial" w:hAnsi="Arial" w:cs="Arial"/>
          <w:b/>
          <w:szCs w:val="24"/>
          <w:u w:val="single"/>
        </w:rPr>
        <w:t>A</w:t>
      </w:r>
      <w:r w:rsidR="00F949A0" w:rsidRPr="00116F0B">
        <w:rPr>
          <w:rFonts w:ascii="Arial" w:hAnsi="Arial" w:cs="Arial"/>
          <w:b/>
          <w:szCs w:val="24"/>
          <w:u w:val="single"/>
        </w:rPr>
        <w:t>J</w:t>
      </w:r>
    </w:p>
    <w:p w14:paraId="3EC7081E" w14:textId="77777777" w:rsidR="000A3680" w:rsidRDefault="000A3680" w:rsidP="00657706">
      <w:pPr>
        <w:spacing w:after="0" w:line="276" w:lineRule="auto"/>
        <w:rPr>
          <w:rFonts w:ascii="Arial" w:hAnsi="Arial" w:cs="Arial"/>
          <w:b/>
          <w:szCs w:val="24"/>
        </w:rPr>
      </w:pPr>
    </w:p>
    <w:p w14:paraId="2EDEE50D" w14:textId="77777777" w:rsidR="008C631C" w:rsidRPr="008C631C" w:rsidRDefault="008C631C" w:rsidP="008C631C">
      <w:pPr>
        <w:spacing w:after="0" w:line="276" w:lineRule="auto"/>
        <w:rPr>
          <w:rFonts w:ascii="Arial" w:hAnsi="Arial" w:cs="Arial"/>
          <w:b/>
          <w:bCs/>
          <w:szCs w:val="24"/>
          <w:lang w:val="en-GB"/>
        </w:rPr>
      </w:pPr>
      <w:r w:rsidRPr="008C631C">
        <w:rPr>
          <w:rFonts w:ascii="Arial" w:hAnsi="Arial" w:cs="Arial"/>
          <w:b/>
          <w:bCs/>
          <w:szCs w:val="24"/>
          <w:lang w:val="en-GB"/>
        </w:rPr>
        <w:t>Introduction</w:t>
      </w:r>
    </w:p>
    <w:p w14:paraId="3442F95F" w14:textId="77777777" w:rsidR="008C631C" w:rsidRDefault="008C631C" w:rsidP="008C631C">
      <w:pPr>
        <w:spacing w:after="0" w:line="276" w:lineRule="auto"/>
        <w:rPr>
          <w:rFonts w:ascii="Arial" w:hAnsi="Arial" w:cs="Arial"/>
          <w:bCs/>
          <w:szCs w:val="24"/>
          <w:lang w:val="en-GB"/>
        </w:rPr>
      </w:pPr>
    </w:p>
    <w:p w14:paraId="443161C5" w14:textId="7999229D" w:rsidR="008C631C" w:rsidRPr="008E6A97" w:rsidRDefault="008E6A97" w:rsidP="008E6A97">
      <w:pPr>
        <w:spacing w:after="0" w:line="276" w:lineRule="auto"/>
        <w:ind w:left="720" w:hanging="686"/>
        <w:rPr>
          <w:rFonts w:ascii="Arial" w:hAnsi="Arial" w:cs="Arial"/>
          <w:b/>
          <w:bCs/>
          <w:szCs w:val="24"/>
          <w:lang w:val="en-GB"/>
        </w:rPr>
      </w:pPr>
      <w:r w:rsidRPr="008C631C">
        <w:rPr>
          <w:rFonts w:ascii="Arial" w:hAnsi="Arial" w:cs="Arial"/>
          <w:bCs/>
          <w:szCs w:val="24"/>
          <w:lang w:val="en-GB"/>
        </w:rPr>
        <w:t>[1]</w:t>
      </w:r>
      <w:r w:rsidRPr="008C631C">
        <w:rPr>
          <w:rFonts w:ascii="Arial" w:hAnsi="Arial" w:cs="Arial"/>
          <w:bCs/>
          <w:szCs w:val="24"/>
          <w:lang w:val="en-GB"/>
        </w:rPr>
        <w:tab/>
      </w:r>
      <w:r w:rsidR="008C631C" w:rsidRPr="008E6A97">
        <w:rPr>
          <w:rFonts w:ascii="Arial" w:hAnsi="Arial" w:cs="Arial"/>
          <w:bCs/>
          <w:szCs w:val="24"/>
          <w:lang w:val="en-GB"/>
        </w:rPr>
        <w:t xml:space="preserve">The respondents were prosecuted by the </w:t>
      </w:r>
      <w:r w:rsidR="006A3BEE" w:rsidRPr="008E6A97">
        <w:rPr>
          <w:rFonts w:ascii="Arial" w:hAnsi="Arial" w:cs="Arial"/>
          <w:bCs/>
          <w:szCs w:val="24"/>
          <w:lang w:val="en-GB"/>
        </w:rPr>
        <w:t>applicant</w:t>
      </w:r>
      <w:r w:rsidR="008C631C" w:rsidRPr="008E6A97">
        <w:rPr>
          <w:rFonts w:ascii="Arial" w:hAnsi="Arial" w:cs="Arial"/>
          <w:bCs/>
          <w:szCs w:val="24"/>
          <w:lang w:val="en-GB"/>
        </w:rPr>
        <w:t xml:space="preserve"> before this court for one count of murder and three counts of attempted murder. Mr Sekgatja, who was a legal representative of the fourth respondent was not available during the trial stage. I need to mention that there was no direct evidence led by the </w:t>
      </w:r>
      <w:r w:rsidR="006A3BEE" w:rsidRPr="008E6A97">
        <w:rPr>
          <w:rFonts w:ascii="Arial" w:hAnsi="Arial" w:cs="Arial"/>
          <w:bCs/>
          <w:szCs w:val="24"/>
          <w:lang w:val="en-GB"/>
        </w:rPr>
        <w:t>applicant</w:t>
      </w:r>
      <w:r w:rsidR="008C631C" w:rsidRPr="008E6A97">
        <w:rPr>
          <w:rFonts w:ascii="Arial" w:hAnsi="Arial" w:cs="Arial"/>
          <w:bCs/>
          <w:szCs w:val="24"/>
          <w:lang w:val="en-GB"/>
        </w:rPr>
        <w:t xml:space="preserve"> against all the respondents. The </w:t>
      </w:r>
      <w:r w:rsidR="006A3BEE" w:rsidRPr="008E6A97">
        <w:rPr>
          <w:rFonts w:ascii="Arial" w:hAnsi="Arial" w:cs="Arial"/>
          <w:bCs/>
          <w:szCs w:val="24"/>
          <w:lang w:val="en-GB"/>
        </w:rPr>
        <w:t>applicant</w:t>
      </w:r>
      <w:r w:rsidR="008C631C" w:rsidRPr="008E6A97">
        <w:rPr>
          <w:rFonts w:ascii="Arial" w:hAnsi="Arial" w:cs="Arial"/>
          <w:bCs/>
          <w:szCs w:val="24"/>
          <w:lang w:val="en-GB"/>
        </w:rPr>
        <w:t>’s case against them was derived from circumstantial evidence.</w:t>
      </w:r>
    </w:p>
    <w:p w14:paraId="240B1BCA" w14:textId="77777777" w:rsidR="008C631C" w:rsidRPr="008C631C" w:rsidRDefault="008C631C" w:rsidP="008C631C">
      <w:pPr>
        <w:pStyle w:val="ListParagraph"/>
        <w:spacing w:after="0" w:line="276" w:lineRule="auto"/>
        <w:rPr>
          <w:rFonts w:ascii="Arial" w:hAnsi="Arial" w:cs="Arial"/>
          <w:b/>
          <w:bCs/>
          <w:szCs w:val="24"/>
          <w:lang w:val="en-GB"/>
        </w:rPr>
      </w:pPr>
    </w:p>
    <w:p w14:paraId="0D731CF1" w14:textId="519D2375" w:rsidR="008C631C" w:rsidRPr="008E6A97" w:rsidRDefault="008E6A97" w:rsidP="008E6A97">
      <w:pPr>
        <w:spacing w:after="0" w:line="276" w:lineRule="auto"/>
        <w:ind w:left="720" w:hanging="686"/>
        <w:rPr>
          <w:rFonts w:ascii="Arial" w:hAnsi="Arial" w:cs="Arial"/>
          <w:b/>
          <w:bCs/>
          <w:szCs w:val="24"/>
          <w:lang w:val="en-GB"/>
        </w:rPr>
      </w:pPr>
      <w:r w:rsidRPr="008C631C">
        <w:rPr>
          <w:rFonts w:ascii="Arial" w:hAnsi="Arial" w:cs="Arial"/>
          <w:bCs/>
          <w:szCs w:val="24"/>
          <w:lang w:val="en-GB"/>
        </w:rPr>
        <w:t>[2]</w:t>
      </w:r>
      <w:r w:rsidRPr="008C631C">
        <w:rPr>
          <w:rFonts w:ascii="Arial" w:hAnsi="Arial" w:cs="Arial"/>
          <w:bCs/>
          <w:szCs w:val="24"/>
          <w:lang w:val="en-GB"/>
        </w:rPr>
        <w:tab/>
      </w:r>
      <w:r w:rsidR="008C631C" w:rsidRPr="008E6A97">
        <w:rPr>
          <w:rFonts w:ascii="Arial" w:hAnsi="Arial" w:cs="Arial"/>
          <w:bCs/>
          <w:szCs w:val="24"/>
          <w:lang w:val="en-GB"/>
        </w:rPr>
        <w:t>After the closure of the applicant’s case, the respondents moved an application for discharge in terms of Section 174 of Criminal Procedure Act 51 of 1977. Th</w:t>
      </w:r>
      <w:r w:rsidR="006A3BEE" w:rsidRPr="008E6A97">
        <w:rPr>
          <w:rFonts w:ascii="Arial" w:hAnsi="Arial" w:cs="Arial"/>
          <w:bCs/>
          <w:szCs w:val="24"/>
          <w:lang w:val="en-GB"/>
        </w:rPr>
        <w:t>at</w:t>
      </w:r>
      <w:r w:rsidR="008C631C" w:rsidRPr="008E6A97">
        <w:rPr>
          <w:rFonts w:ascii="Arial" w:hAnsi="Arial" w:cs="Arial"/>
          <w:bCs/>
          <w:szCs w:val="24"/>
          <w:lang w:val="en-GB"/>
        </w:rPr>
        <w:t xml:space="preserve"> application was vehemently opposed by the </w:t>
      </w:r>
      <w:r w:rsidR="006A3BEE" w:rsidRPr="008E6A97">
        <w:rPr>
          <w:rFonts w:ascii="Arial" w:hAnsi="Arial" w:cs="Arial"/>
          <w:bCs/>
          <w:szCs w:val="24"/>
          <w:lang w:val="en-GB"/>
        </w:rPr>
        <w:t>applicant</w:t>
      </w:r>
      <w:r w:rsidR="008C631C" w:rsidRPr="008E6A97">
        <w:rPr>
          <w:rFonts w:ascii="Arial" w:hAnsi="Arial" w:cs="Arial"/>
          <w:bCs/>
          <w:szCs w:val="24"/>
          <w:lang w:val="en-GB"/>
        </w:rPr>
        <w:t xml:space="preserve"> and later granted by this court. Disturbed by the court’s decision, the </w:t>
      </w:r>
      <w:r w:rsidR="006A3BEE" w:rsidRPr="008E6A97">
        <w:rPr>
          <w:rFonts w:ascii="Arial" w:hAnsi="Arial" w:cs="Arial"/>
          <w:bCs/>
          <w:szCs w:val="24"/>
          <w:lang w:val="en-GB"/>
        </w:rPr>
        <w:t>applicant</w:t>
      </w:r>
      <w:r w:rsidR="008C631C" w:rsidRPr="008E6A97">
        <w:rPr>
          <w:rFonts w:ascii="Arial" w:hAnsi="Arial" w:cs="Arial"/>
          <w:bCs/>
          <w:szCs w:val="24"/>
          <w:lang w:val="en-GB"/>
        </w:rPr>
        <w:t xml:space="preserve"> has lodged leave to appeal in terms of Section 319 of the Criminal Procedure Act 51 of 1977 to the Supreme Court of Appeal.</w:t>
      </w:r>
    </w:p>
    <w:p w14:paraId="1429F503" w14:textId="77777777" w:rsidR="008C631C" w:rsidRPr="008C631C" w:rsidRDefault="008C631C" w:rsidP="008C631C">
      <w:pPr>
        <w:pStyle w:val="ListParagraph"/>
        <w:rPr>
          <w:rFonts w:ascii="Arial" w:hAnsi="Arial" w:cs="Arial"/>
          <w:bCs/>
          <w:szCs w:val="24"/>
          <w:lang w:val="en-GB"/>
        </w:rPr>
      </w:pPr>
    </w:p>
    <w:p w14:paraId="494C57D1" w14:textId="654717D6" w:rsidR="008C631C" w:rsidRPr="008E6A97" w:rsidRDefault="008E6A97" w:rsidP="008E6A97">
      <w:pPr>
        <w:spacing w:after="0" w:line="276" w:lineRule="auto"/>
        <w:ind w:left="720" w:hanging="686"/>
        <w:rPr>
          <w:rFonts w:ascii="Arial" w:hAnsi="Arial" w:cs="Arial"/>
          <w:b/>
          <w:bCs/>
          <w:szCs w:val="24"/>
          <w:lang w:val="en-GB"/>
        </w:rPr>
      </w:pPr>
      <w:r w:rsidRPr="008C631C">
        <w:rPr>
          <w:rFonts w:ascii="Arial" w:hAnsi="Arial" w:cs="Arial"/>
          <w:bCs/>
          <w:szCs w:val="24"/>
          <w:lang w:val="en-GB"/>
        </w:rPr>
        <w:t>[3]</w:t>
      </w:r>
      <w:r w:rsidRPr="008C631C">
        <w:rPr>
          <w:rFonts w:ascii="Arial" w:hAnsi="Arial" w:cs="Arial"/>
          <w:bCs/>
          <w:szCs w:val="24"/>
          <w:lang w:val="en-GB"/>
        </w:rPr>
        <w:tab/>
      </w:r>
      <w:r w:rsidR="008C631C" w:rsidRPr="008E6A97">
        <w:rPr>
          <w:rFonts w:ascii="Arial" w:hAnsi="Arial" w:cs="Arial"/>
          <w:bCs/>
          <w:szCs w:val="24"/>
          <w:lang w:val="en-GB"/>
        </w:rPr>
        <w:t>The leave to appeal is preceded by the application for condonation for late filing of the application. All the parties filed comprehensive heads of arguments in respect of both condonation and the application for leave to appeal. They also addressed this court orally. I am so grateful for their kind assistance. Their heads of arguments coupled with oral submissions assisted me a lot in making an informed decision in these proceedings.</w:t>
      </w:r>
    </w:p>
    <w:p w14:paraId="10D1D1DB" w14:textId="77777777" w:rsidR="008C631C" w:rsidRPr="008C631C" w:rsidRDefault="008C631C" w:rsidP="008C631C">
      <w:pPr>
        <w:spacing w:after="0" w:line="276" w:lineRule="auto"/>
        <w:rPr>
          <w:rFonts w:ascii="Arial" w:hAnsi="Arial" w:cs="Arial"/>
          <w:bCs/>
          <w:szCs w:val="24"/>
          <w:lang w:val="en-GB"/>
        </w:rPr>
      </w:pPr>
    </w:p>
    <w:p w14:paraId="5C6C8BBC" w14:textId="77777777" w:rsidR="008C631C" w:rsidRPr="008C631C" w:rsidRDefault="008C631C" w:rsidP="008C631C">
      <w:pPr>
        <w:spacing w:after="0" w:line="276" w:lineRule="auto"/>
        <w:rPr>
          <w:rFonts w:ascii="Arial" w:hAnsi="Arial" w:cs="Arial"/>
          <w:b/>
          <w:bCs/>
          <w:szCs w:val="24"/>
          <w:lang w:val="en-GB"/>
        </w:rPr>
      </w:pPr>
      <w:r w:rsidRPr="008C631C">
        <w:rPr>
          <w:rFonts w:ascii="Arial" w:hAnsi="Arial" w:cs="Arial"/>
          <w:b/>
          <w:bCs/>
          <w:szCs w:val="24"/>
          <w:lang w:val="en-GB"/>
        </w:rPr>
        <w:t>Factual background</w:t>
      </w:r>
    </w:p>
    <w:p w14:paraId="0DB7B09F" w14:textId="77777777" w:rsidR="008C631C" w:rsidRDefault="008C631C" w:rsidP="008C631C">
      <w:pPr>
        <w:spacing w:after="0" w:line="276" w:lineRule="auto"/>
        <w:rPr>
          <w:rFonts w:ascii="Arial" w:hAnsi="Arial" w:cs="Arial"/>
          <w:bCs/>
          <w:szCs w:val="24"/>
          <w:lang w:val="en-GB"/>
        </w:rPr>
      </w:pPr>
    </w:p>
    <w:p w14:paraId="51A53838" w14:textId="0BF0F075" w:rsidR="002D7FB3" w:rsidRPr="008E6A97" w:rsidRDefault="008E6A97" w:rsidP="008E6A97">
      <w:pPr>
        <w:spacing w:after="0" w:line="276" w:lineRule="auto"/>
        <w:ind w:left="720" w:hanging="686"/>
        <w:rPr>
          <w:rFonts w:ascii="Arial" w:hAnsi="Arial" w:cs="Arial"/>
          <w:bCs/>
          <w:szCs w:val="24"/>
          <w:lang w:val="en-GB"/>
        </w:rPr>
      </w:pPr>
      <w:r>
        <w:rPr>
          <w:rFonts w:ascii="Arial" w:hAnsi="Arial" w:cs="Arial"/>
          <w:bCs/>
          <w:szCs w:val="24"/>
          <w:lang w:val="en-GB"/>
        </w:rPr>
        <w:t>[4]</w:t>
      </w:r>
      <w:r>
        <w:rPr>
          <w:rFonts w:ascii="Arial" w:hAnsi="Arial" w:cs="Arial"/>
          <w:bCs/>
          <w:szCs w:val="24"/>
          <w:lang w:val="en-GB"/>
        </w:rPr>
        <w:tab/>
      </w:r>
      <w:r w:rsidR="008C631C" w:rsidRPr="008E6A97">
        <w:rPr>
          <w:rFonts w:ascii="Arial" w:hAnsi="Arial" w:cs="Arial"/>
          <w:bCs/>
          <w:szCs w:val="24"/>
          <w:lang w:val="en-GB"/>
        </w:rPr>
        <w:t>The Condonation application is phrased in the following manner:</w:t>
      </w:r>
    </w:p>
    <w:p w14:paraId="74B76A43" w14:textId="77777777" w:rsidR="002D7FB3" w:rsidRDefault="002D7FB3" w:rsidP="002D7FB3">
      <w:pPr>
        <w:pStyle w:val="ListParagraph"/>
        <w:spacing w:after="0" w:line="276" w:lineRule="auto"/>
        <w:rPr>
          <w:rFonts w:ascii="Arial" w:hAnsi="Arial" w:cs="Arial"/>
          <w:bCs/>
          <w:szCs w:val="24"/>
          <w:lang w:val="en-GB"/>
        </w:rPr>
      </w:pPr>
    </w:p>
    <w:p w14:paraId="42C06D4E" w14:textId="2D0CCC70" w:rsidR="002D7FB3" w:rsidRDefault="002D7FB3" w:rsidP="002D7FB3">
      <w:pPr>
        <w:pStyle w:val="ListParagraph"/>
        <w:spacing w:after="0" w:line="276" w:lineRule="auto"/>
        <w:ind w:left="1440"/>
        <w:rPr>
          <w:rFonts w:ascii="Arial" w:hAnsi="Arial" w:cs="Arial"/>
          <w:bCs/>
          <w:szCs w:val="24"/>
          <w:lang w:val="en-GB"/>
        </w:rPr>
      </w:pPr>
      <w:r w:rsidRPr="008C631C">
        <w:rPr>
          <w:rFonts w:ascii="Arial" w:hAnsi="Arial" w:cs="Arial"/>
          <w:bCs/>
          <w:szCs w:val="24"/>
          <w:lang w:val="en-GB"/>
        </w:rPr>
        <w:t xml:space="preserve">KINDLY TAKE NOTICE </w:t>
      </w:r>
      <w:r w:rsidR="008C631C" w:rsidRPr="008C631C">
        <w:rPr>
          <w:rFonts w:ascii="Arial" w:hAnsi="Arial" w:cs="Arial"/>
          <w:bCs/>
          <w:szCs w:val="24"/>
          <w:lang w:val="en-GB"/>
        </w:rPr>
        <w:t>that abovementioned Applicant will make application for an order in the following terms:</w:t>
      </w:r>
    </w:p>
    <w:p w14:paraId="1BDCFEAA" w14:textId="77777777" w:rsidR="002D7FB3" w:rsidRDefault="002D7FB3" w:rsidP="002D7FB3">
      <w:pPr>
        <w:pStyle w:val="ListParagraph"/>
        <w:spacing w:after="0" w:line="276" w:lineRule="auto"/>
        <w:rPr>
          <w:rFonts w:ascii="Arial" w:hAnsi="Arial" w:cs="Arial"/>
          <w:bCs/>
          <w:szCs w:val="24"/>
          <w:lang w:val="en-GB"/>
        </w:rPr>
      </w:pPr>
    </w:p>
    <w:p w14:paraId="320CF353" w14:textId="2E59DADA" w:rsidR="008C631C" w:rsidRPr="008E6A97" w:rsidRDefault="008E6A97" w:rsidP="008E6A97">
      <w:pPr>
        <w:spacing w:after="0" w:line="276" w:lineRule="auto"/>
        <w:ind w:left="2160" w:hanging="720"/>
        <w:rPr>
          <w:rFonts w:ascii="Arial" w:hAnsi="Arial" w:cs="Arial"/>
          <w:bCs/>
          <w:szCs w:val="24"/>
          <w:lang w:val="en-GB"/>
        </w:rPr>
      </w:pPr>
      <w:r>
        <w:rPr>
          <w:rFonts w:ascii="Arial" w:hAnsi="Arial" w:cs="Arial"/>
          <w:bCs/>
          <w:szCs w:val="24"/>
          <w:lang w:val="en-GB"/>
        </w:rPr>
        <w:t>a.</w:t>
      </w:r>
      <w:r>
        <w:rPr>
          <w:rFonts w:ascii="Arial" w:hAnsi="Arial" w:cs="Arial"/>
          <w:bCs/>
          <w:szCs w:val="24"/>
          <w:lang w:val="en-GB"/>
        </w:rPr>
        <w:tab/>
      </w:r>
      <w:r w:rsidR="008C631C" w:rsidRPr="008E6A97">
        <w:rPr>
          <w:rFonts w:ascii="Arial" w:hAnsi="Arial" w:cs="Arial"/>
          <w:bCs/>
          <w:szCs w:val="24"/>
          <w:lang w:val="en-GB"/>
        </w:rPr>
        <w:t>Condonation of late filing of the applicant’s application for leave to appeal.</w:t>
      </w:r>
    </w:p>
    <w:p w14:paraId="508C54D0" w14:textId="77777777" w:rsidR="002D7FB3" w:rsidRPr="002D7FB3" w:rsidRDefault="002D7FB3" w:rsidP="002D7FB3">
      <w:pPr>
        <w:pStyle w:val="ListParagraph"/>
        <w:spacing w:after="0" w:line="276" w:lineRule="auto"/>
        <w:ind w:left="1800"/>
        <w:rPr>
          <w:rFonts w:ascii="Arial" w:hAnsi="Arial" w:cs="Arial"/>
          <w:bCs/>
          <w:szCs w:val="24"/>
          <w:lang w:val="en-GB"/>
        </w:rPr>
      </w:pPr>
    </w:p>
    <w:p w14:paraId="35DF96B0" w14:textId="443D9B3F" w:rsidR="008C631C" w:rsidRPr="008C631C" w:rsidRDefault="008E6A97" w:rsidP="008E6A97">
      <w:pPr>
        <w:spacing w:after="0" w:line="276" w:lineRule="auto"/>
        <w:ind w:left="2160" w:hanging="720"/>
        <w:rPr>
          <w:rFonts w:ascii="Arial" w:hAnsi="Arial" w:cs="Arial"/>
          <w:bCs/>
          <w:szCs w:val="24"/>
          <w:lang w:val="en-GB"/>
        </w:rPr>
      </w:pPr>
      <w:r w:rsidRPr="008C631C">
        <w:rPr>
          <w:rFonts w:ascii="Arial" w:hAnsi="Arial" w:cs="Arial"/>
          <w:bCs/>
          <w:szCs w:val="24"/>
          <w:lang w:val="en-GB"/>
        </w:rPr>
        <w:t>b.</w:t>
      </w:r>
      <w:r w:rsidRPr="008C631C">
        <w:rPr>
          <w:rFonts w:ascii="Arial" w:hAnsi="Arial" w:cs="Arial"/>
          <w:bCs/>
          <w:szCs w:val="24"/>
          <w:lang w:val="en-GB"/>
        </w:rPr>
        <w:tab/>
      </w:r>
      <w:r w:rsidR="008C631C" w:rsidRPr="008C631C">
        <w:rPr>
          <w:rFonts w:ascii="Arial" w:hAnsi="Arial" w:cs="Arial"/>
          <w:bCs/>
          <w:szCs w:val="24"/>
          <w:lang w:val="en-GB"/>
        </w:rPr>
        <w:t>Granting the applicant further or alternative relief.</w:t>
      </w:r>
    </w:p>
    <w:p w14:paraId="5DA4A81D" w14:textId="77777777" w:rsidR="008C631C" w:rsidRPr="008C631C" w:rsidRDefault="008C631C" w:rsidP="008C631C">
      <w:pPr>
        <w:spacing w:after="0" w:line="276" w:lineRule="auto"/>
        <w:rPr>
          <w:rFonts w:ascii="Arial" w:hAnsi="Arial" w:cs="Arial"/>
          <w:bCs/>
          <w:szCs w:val="24"/>
          <w:lang w:val="en-GB"/>
        </w:rPr>
      </w:pPr>
    </w:p>
    <w:p w14:paraId="10D259FF" w14:textId="2A601CCD" w:rsidR="008C631C" w:rsidRPr="008E6A97" w:rsidRDefault="008E6A97" w:rsidP="008E6A97">
      <w:pPr>
        <w:spacing w:after="0" w:line="276" w:lineRule="auto"/>
        <w:ind w:left="720" w:hanging="686"/>
        <w:rPr>
          <w:rFonts w:ascii="Arial" w:hAnsi="Arial" w:cs="Arial"/>
          <w:bCs/>
          <w:szCs w:val="24"/>
          <w:lang w:val="en-GB"/>
        </w:rPr>
      </w:pPr>
      <w:r w:rsidRPr="008C631C">
        <w:rPr>
          <w:rFonts w:ascii="Arial" w:hAnsi="Arial" w:cs="Arial"/>
          <w:bCs/>
          <w:szCs w:val="24"/>
          <w:lang w:val="en-GB"/>
        </w:rPr>
        <w:t>[5]</w:t>
      </w:r>
      <w:r w:rsidRPr="008C631C">
        <w:rPr>
          <w:rFonts w:ascii="Arial" w:hAnsi="Arial" w:cs="Arial"/>
          <w:bCs/>
          <w:szCs w:val="24"/>
          <w:lang w:val="en-GB"/>
        </w:rPr>
        <w:tab/>
      </w:r>
      <w:r w:rsidR="008C631C" w:rsidRPr="008E6A97">
        <w:rPr>
          <w:rFonts w:ascii="Arial" w:hAnsi="Arial" w:cs="Arial"/>
          <w:bCs/>
          <w:szCs w:val="24"/>
          <w:lang w:val="en-GB"/>
        </w:rPr>
        <w:t>The notice of application for leave to appeal in terms of section 319 of the Criminal procedure Act 51 of 1977 reads as follows:</w:t>
      </w:r>
    </w:p>
    <w:p w14:paraId="70D34FF8" w14:textId="77777777" w:rsidR="008C631C" w:rsidRPr="008C631C" w:rsidRDefault="008C631C" w:rsidP="008C631C">
      <w:pPr>
        <w:spacing w:after="0" w:line="276" w:lineRule="auto"/>
        <w:rPr>
          <w:rFonts w:ascii="Arial" w:hAnsi="Arial" w:cs="Arial"/>
          <w:bCs/>
          <w:szCs w:val="24"/>
          <w:lang w:val="en-GB"/>
        </w:rPr>
      </w:pPr>
    </w:p>
    <w:p w14:paraId="75AFD01B" w14:textId="48BA47A2" w:rsidR="008C631C" w:rsidRDefault="008C631C" w:rsidP="008C631C">
      <w:pPr>
        <w:spacing w:after="0" w:line="276" w:lineRule="auto"/>
        <w:ind w:left="1440" w:hanging="34"/>
        <w:rPr>
          <w:rFonts w:ascii="Arial" w:hAnsi="Arial" w:cs="Arial"/>
          <w:bCs/>
          <w:szCs w:val="24"/>
          <w:lang w:val="en-GB"/>
        </w:rPr>
      </w:pPr>
      <w:r w:rsidRPr="008C631C">
        <w:rPr>
          <w:rFonts w:ascii="Arial" w:hAnsi="Arial" w:cs="Arial"/>
          <w:bCs/>
          <w:szCs w:val="24"/>
          <w:lang w:val="en-GB"/>
        </w:rPr>
        <w:t>“BE PLEASED TO TAKE NOTICE THAT the Applicant will on the day of hearing of the application apply for an order in the following terms:</w:t>
      </w:r>
    </w:p>
    <w:p w14:paraId="2D5AE074" w14:textId="77777777" w:rsidR="00A65788" w:rsidRPr="008C631C" w:rsidRDefault="00A65788" w:rsidP="008C631C">
      <w:pPr>
        <w:spacing w:after="0" w:line="276" w:lineRule="auto"/>
        <w:ind w:left="1440" w:hanging="34"/>
        <w:rPr>
          <w:rFonts w:ascii="Arial" w:hAnsi="Arial" w:cs="Arial"/>
          <w:bCs/>
          <w:szCs w:val="24"/>
          <w:lang w:val="en-GB"/>
        </w:rPr>
      </w:pPr>
    </w:p>
    <w:p w14:paraId="74CF951D" w14:textId="23642970" w:rsidR="008C631C" w:rsidRDefault="008E6A97" w:rsidP="008E6A97">
      <w:pPr>
        <w:spacing w:after="0" w:line="276" w:lineRule="auto"/>
        <w:ind w:left="2160" w:hanging="720"/>
        <w:rPr>
          <w:rFonts w:ascii="Arial" w:hAnsi="Arial" w:cs="Arial"/>
          <w:bCs/>
          <w:szCs w:val="24"/>
          <w:lang w:val="en-GB"/>
        </w:rPr>
      </w:pPr>
      <w:r>
        <w:rPr>
          <w:rFonts w:ascii="Arial" w:hAnsi="Arial" w:cs="Arial"/>
          <w:bCs/>
          <w:szCs w:val="24"/>
          <w:lang w:val="en-GB"/>
        </w:rPr>
        <w:t>1.</w:t>
      </w:r>
      <w:r>
        <w:rPr>
          <w:rFonts w:ascii="Arial" w:hAnsi="Arial" w:cs="Arial"/>
          <w:bCs/>
          <w:szCs w:val="24"/>
          <w:lang w:val="en-GB"/>
        </w:rPr>
        <w:tab/>
      </w:r>
      <w:r w:rsidR="008C631C" w:rsidRPr="008C631C">
        <w:rPr>
          <w:rFonts w:ascii="Arial" w:hAnsi="Arial" w:cs="Arial"/>
          <w:bCs/>
          <w:szCs w:val="24"/>
          <w:lang w:val="en-GB"/>
        </w:rPr>
        <w:t>The questions of law be reserved by the honourable Malangeni A.J.</w:t>
      </w:r>
    </w:p>
    <w:p w14:paraId="43063C3F" w14:textId="77777777" w:rsidR="00A65788" w:rsidRPr="008C631C" w:rsidRDefault="00A65788" w:rsidP="00A65788">
      <w:pPr>
        <w:spacing w:after="0" w:line="276" w:lineRule="auto"/>
        <w:ind w:left="1800"/>
        <w:rPr>
          <w:rFonts w:ascii="Arial" w:hAnsi="Arial" w:cs="Arial"/>
          <w:bCs/>
          <w:szCs w:val="24"/>
          <w:lang w:val="en-GB"/>
        </w:rPr>
      </w:pPr>
    </w:p>
    <w:p w14:paraId="5A987CBC" w14:textId="5C78DA86" w:rsidR="008C631C" w:rsidRDefault="008E6A97" w:rsidP="008E6A97">
      <w:pPr>
        <w:spacing w:after="0" w:line="276" w:lineRule="auto"/>
        <w:ind w:left="2160" w:hanging="720"/>
        <w:rPr>
          <w:rFonts w:ascii="Arial" w:hAnsi="Arial" w:cs="Arial"/>
          <w:bCs/>
          <w:szCs w:val="24"/>
          <w:lang w:val="en-GB"/>
        </w:rPr>
      </w:pPr>
      <w:r>
        <w:rPr>
          <w:rFonts w:ascii="Arial" w:hAnsi="Arial" w:cs="Arial"/>
          <w:bCs/>
          <w:szCs w:val="24"/>
          <w:lang w:val="en-GB"/>
        </w:rPr>
        <w:lastRenderedPageBreak/>
        <w:t>2.</w:t>
      </w:r>
      <w:r>
        <w:rPr>
          <w:rFonts w:ascii="Arial" w:hAnsi="Arial" w:cs="Arial"/>
          <w:bCs/>
          <w:szCs w:val="24"/>
          <w:lang w:val="en-GB"/>
        </w:rPr>
        <w:tab/>
      </w:r>
      <w:r w:rsidR="008C631C" w:rsidRPr="008C631C">
        <w:rPr>
          <w:rFonts w:ascii="Arial" w:hAnsi="Arial" w:cs="Arial"/>
          <w:bCs/>
          <w:szCs w:val="24"/>
          <w:lang w:val="en-GB"/>
        </w:rPr>
        <w:t>Further that the Director of the Public Prosecution be granted leave to appeal against the Judgement (Discharge of the respondents in terms of Section 174 of Act 51 of 1977) by the honourable Malangeni A.J.</w:t>
      </w:r>
    </w:p>
    <w:p w14:paraId="40C4BFDA" w14:textId="77777777" w:rsidR="00A65788" w:rsidRPr="008C631C" w:rsidRDefault="00A65788" w:rsidP="00A65788">
      <w:pPr>
        <w:spacing w:after="0" w:line="276" w:lineRule="auto"/>
        <w:ind w:left="0"/>
        <w:rPr>
          <w:rFonts w:ascii="Arial" w:hAnsi="Arial" w:cs="Arial"/>
          <w:bCs/>
          <w:szCs w:val="24"/>
          <w:lang w:val="en-GB"/>
        </w:rPr>
      </w:pPr>
    </w:p>
    <w:p w14:paraId="26F6143C" w14:textId="011D4F53" w:rsidR="008C631C" w:rsidRPr="008C631C" w:rsidRDefault="008E6A97" w:rsidP="008E6A97">
      <w:pPr>
        <w:spacing w:after="0" w:line="276" w:lineRule="auto"/>
        <w:ind w:left="1800" w:hanging="360"/>
        <w:rPr>
          <w:rFonts w:ascii="Arial" w:hAnsi="Arial" w:cs="Arial"/>
          <w:bCs/>
          <w:szCs w:val="24"/>
          <w:lang w:val="en-GB"/>
        </w:rPr>
      </w:pPr>
      <w:r w:rsidRPr="008C631C">
        <w:rPr>
          <w:rFonts w:ascii="Arial" w:hAnsi="Arial" w:cs="Arial"/>
          <w:bCs/>
          <w:szCs w:val="24"/>
          <w:lang w:val="en-GB"/>
        </w:rPr>
        <w:t>3.</w:t>
      </w:r>
      <w:r w:rsidRPr="008C631C">
        <w:rPr>
          <w:rFonts w:ascii="Arial" w:hAnsi="Arial" w:cs="Arial"/>
          <w:bCs/>
          <w:szCs w:val="24"/>
          <w:lang w:val="en-GB"/>
        </w:rPr>
        <w:tab/>
      </w:r>
      <w:r w:rsidR="008C631C" w:rsidRPr="008C631C">
        <w:rPr>
          <w:rFonts w:ascii="Arial" w:hAnsi="Arial" w:cs="Arial"/>
          <w:bCs/>
          <w:szCs w:val="24"/>
          <w:lang w:val="en-GB"/>
        </w:rPr>
        <w:t>Further and /or alternative relief.”</w:t>
      </w:r>
    </w:p>
    <w:p w14:paraId="497316C4" w14:textId="77777777" w:rsidR="008C631C" w:rsidRPr="008C631C" w:rsidRDefault="008C631C" w:rsidP="008C631C">
      <w:pPr>
        <w:spacing w:after="0" w:line="276" w:lineRule="auto"/>
        <w:rPr>
          <w:rFonts w:ascii="Arial" w:hAnsi="Arial" w:cs="Arial"/>
          <w:bCs/>
          <w:szCs w:val="24"/>
          <w:lang w:val="en-GB"/>
        </w:rPr>
      </w:pPr>
    </w:p>
    <w:p w14:paraId="602A7184" w14:textId="22A72403" w:rsidR="002D7FB3" w:rsidRPr="008E6A97" w:rsidRDefault="008E6A97" w:rsidP="008E6A97">
      <w:pPr>
        <w:spacing w:after="0" w:line="276" w:lineRule="auto"/>
        <w:ind w:left="720" w:hanging="686"/>
        <w:rPr>
          <w:rFonts w:ascii="Arial" w:hAnsi="Arial" w:cs="Arial"/>
          <w:bCs/>
          <w:szCs w:val="24"/>
          <w:lang w:val="en-GB"/>
        </w:rPr>
      </w:pPr>
      <w:r>
        <w:rPr>
          <w:rFonts w:ascii="Arial" w:hAnsi="Arial" w:cs="Arial"/>
          <w:bCs/>
          <w:szCs w:val="24"/>
          <w:lang w:val="en-GB"/>
        </w:rPr>
        <w:t>[6]</w:t>
      </w:r>
      <w:r>
        <w:rPr>
          <w:rFonts w:ascii="Arial" w:hAnsi="Arial" w:cs="Arial"/>
          <w:bCs/>
          <w:szCs w:val="24"/>
          <w:lang w:val="en-GB"/>
        </w:rPr>
        <w:tab/>
      </w:r>
      <w:r w:rsidR="008C631C" w:rsidRPr="008E6A97">
        <w:rPr>
          <w:rFonts w:ascii="Arial" w:hAnsi="Arial" w:cs="Arial"/>
          <w:bCs/>
          <w:szCs w:val="24"/>
          <w:lang w:val="en-GB"/>
        </w:rPr>
        <w:t>The issues for determination in this leave to appeal are as follows:</w:t>
      </w:r>
    </w:p>
    <w:p w14:paraId="6987322A" w14:textId="77777777" w:rsidR="002D7FB3" w:rsidRDefault="002D7FB3" w:rsidP="002D7FB3">
      <w:pPr>
        <w:pStyle w:val="ListParagraph"/>
        <w:spacing w:after="0" w:line="276" w:lineRule="auto"/>
        <w:ind w:left="1440"/>
        <w:rPr>
          <w:rFonts w:ascii="Arial" w:hAnsi="Arial" w:cs="Arial"/>
          <w:bCs/>
          <w:szCs w:val="24"/>
          <w:lang w:val="en-GB"/>
        </w:rPr>
      </w:pPr>
    </w:p>
    <w:p w14:paraId="1EEC397C" w14:textId="49A5DC41" w:rsidR="002D7FB3" w:rsidRPr="008E6A97" w:rsidRDefault="008E6A97" w:rsidP="008E6A97">
      <w:pPr>
        <w:spacing w:after="0" w:line="276" w:lineRule="auto"/>
        <w:ind w:left="1440" w:hanging="720"/>
        <w:rPr>
          <w:rFonts w:ascii="Arial" w:hAnsi="Arial" w:cs="Arial"/>
          <w:bCs/>
          <w:szCs w:val="24"/>
          <w:lang w:val="en-GB"/>
        </w:rPr>
      </w:pPr>
      <w:r>
        <w:rPr>
          <w:rFonts w:ascii="Arial" w:hAnsi="Arial" w:cs="Arial"/>
          <w:bCs/>
          <w:szCs w:val="24"/>
          <w:lang w:val="en-GB"/>
        </w:rPr>
        <w:t>6.1</w:t>
      </w:r>
      <w:r>
        <w:rPr>
          <w:rFonts w:ascii="Arial" w:hAnsi="Arial" w:cs="Arial"/>
          <w:bCs/>
          <w:szCs w:val="24"/>
          <w:lang w:val="en-GB"/>
        </w:rPr>
        <w:tab/>
      </w:r>
      <w:r w:rsidR="008C631C" w:rsidRPr="008E6A97">
        <w:rPr>
          <w:rFonts w:ascii="Arial" w:hAnsi="Arial" w:cs="Arial"/>
          <w:bCs/>
          <w:szCs w:val="24"/>
          <w:lang w:val="en-GB"/>
        </w:rPr>
        <w:t>Whether the trial court correctly applied the test in terms of section 174 of the Criminal Procedure Act to the evidence that was led by the Applicant.</w:t>
      </w:r>
    </w:p>
    <w:p w14:paraId="4FB0245C" w14:textId="77777777" w:rsidR="002D7FB3" w:rsidRDefault="002D7FB3" w:rsidP="002D7FB3">
      <w:pPr>
        <w:pStyle w:val="ListParagraph"/>
        <w:spacing w:after="0" w:line="276" w:lineRule="auto"/>
        <w:ind w:left="1440"/>
        <w:rPr>
          <w:rFonts w:ascii="Arial" w:hAnsi="Arial" w:cs="Arial"/>
          <w:bCs/>
          <w:szCs w:val="24"/>
          <w:lang w:val="en-GB"/>
        </w:rPr>
      </w:pPr>
    </w:p>
    <w:p w14:paraId="481FDECC" w14:textId="739B5331" w:rsidR="002D7FB3" w:rsidRPr="008E6A97" w:rsidRDefault="008E6A97" w:rsidP="008E6A97">
      <w:pPr>
        <w:spacing w:after="0" w:line="276" w:lineRule="auto"/>
        <w:ind w:left="1440" w:hanging="720"/>
        <w:rPr>
          <w:rFonts w:ascii="Arial" w:hAnsi="Arial" w:cs="Arial"/>
          <w:bCs/>
          <w:szCs w:val="24"/>
          <w:lang w:val="en-GB"/>
        </w:rPr>
      </w:pPr>
      <w:r>
        <w:rPr>
          <w:rFonts w:ascii="Arial" w:hAnsi="Arial" w:cs="Arial"/>
          <w:bCs/>
          <w:szCs w:val="24"/>
          <w:lang w:val="en-GB"/>
        </w:rPr>
        <w:t>6.2</w:t>
      </w:r>
      <w:r>
        <w:rPr>
          <w:rFonts w:ascii="Arial" w:hAnsi="Arial" w:cs="Arial"/>
          <w:bCs/>
          <w:szCs w:val="24"/>
          <w:lang w:val="en-GB"/>
        </w:rPr>
        <w:tab/>
      </w:r>
      <w:r w:rsidR="008C631C" w:rsidRPr="008E6A97">
        <w:rPr>
          <w:rFonts w:ascii="Arial" w:hAnsi="Arial" w:cs="Arial"/>
          <w:bCs/>
          <w:szCs w:val="24"/>
          <w:lang w:val="en-GB"/>
        </w:rPr>
        <w:t>Whether the trial court applied the principles of circumstantial evidence correctly in deciding the facts as they were presented by the Applicant.</w:t>
      </w:r>
    </w:p>
    <w:p w14:paraId="09B31C5E" w14:textId="77777777" w:rsidR="002D7FB3" w:rsidRPr="002D7FB3" w:rsidRDefault="002D7FB3" w:rsidP="002D7FB3">
      <w:pPr>
        <w:pStyle w:val="ListParagraph"/>
        <w:rPr>
          <w:rFonts w:ascii="Arial" w:hAnsi="Arial" w:cs="Arial"/>
          <w:bCs/>
          <w:szCs w:val="24"/>
          <w:lang w:val="en-GB"/>
        </w:rPr>
      </w:pPr>
    </w:p>
    <w:p w14:paraId="2F0B41FD" w14:textId="709FAFA3" w:rsidR="008C631C" w:rsidRPr="008E6A97" w:rsidRDefault="008E6A97" w:rsidP="008E6A97">
      <w:pPr>
        <w:spacing w:after="0" w:line="276" w:lineRule="auto"/>
        <w:ind w:left="1440" w:hanging="720"/>
        <w:rPr>
          <w:rFonts w:ascii="Arial" w:hAnsi="Arial" w:cs="Arial"/>
          <w:bCs/>
          <w:szCs w:val="24"/>
          <w:lang w:val="en-GB"/>
        </w:rPr>
      </w:pPr>
      <w:r w:rsidRPr="002D7FB3">
        <w:rPr>
          <w:rFonts w:ascii="Arial" w:hAnsi="Arial" w:cs="Arial"/>
          <w:bCs/>
          <w:szCs w:val="24"/>
          <w:lang w:val="en-GB"/>
        </w:rPr>
        <w:t>6.3</w:t>
      </w:r>
      <w:r w:rsidRPr="002D7FB3">
        <w:rPr>
          <w:rFonts w:ascii="Arial" w:hAnsi="Arial" w:cs="Arial"/>
          <w:bCs/>
          <w:szCs w:val="24"/>
          <w:lang w:val="en-GB"/>
        </w:rPr>
        <w:tab/>
      </w:r>
      <w:r w:rsidR="008C631C" w:rsidRPr="008E6A97">
        <w:rPr>
          <w:rFonts w:ascii="Arial" w:hAnsi="Arial" w:cs="Arial"/>
          <w:bCs/>
          <w:szCs w:val="24"/>
          <w:lang w:val="en-GB"/>
        </w:rPr>
        <w:t>Did the Honourable court adjudicate fairly by disregarding certain evidence as per the testimony of Applicant’s witnesses.</w:t>
      </w:r>
    </w:p>
    <w:p w14:paraId="5DEF611F" w14:textId="77777777" w:rsidR="008C631C" w:rsidRPr="008C631C" w:rsidRDefault="008C631C" w:rsidP="008C631C">
      <w:pPr>
        <w:spacing w:after="0" w:line="276" w:lineRule="auto"/>
        <w:rPr>
          <w:rFonts w:ascii="Arial" w:hAnsi="Arial" w:cs="Arial"/>
          <w:bCs/>
          <w:szCs w:val="24"/>
          <w:lang w:val="en-GB"/>
        </w:rPr>
      </w:pPr>
    </w:p>
    <w:p w14:paraId="436DD6C6" w14:textId="77777777" w:rsidR="008C631C" w:rsidRPr="008C631C" w:rsidRDefault="008C631C" w:rsidP="008C631C">
      <w:pPr>
        <w:spacing w:after="0" w:line="276" w:lineRule="auto"/>
        <w:rPr>
          <w:rFonts w:ascii="Arial" w:hAnsi="Arial" w:cs="Arial"/>
          <w:b/>
          <w:bCs/>
          <w:szCs w:val="24"/>
          <w:lang w:val="en-GB"/>
        </w:rPr>
      </w:pPr>
      <w:r w:rsidRPr="008C631C">
        <w:rPr>
          <w:rFonts w:ascii="Arial" w:hAnsi="Arial" w:cs="Arial"/>
          <w:b/>
          <w:bCs/>
          <w:szCs w:val="24"/>
          <w:lang w:val="en-GB"/>
        </w:rPr>
        <w:t>Applicable law</w:t>
      </w:r>
    </w:p>
    <w:p w14:paraId="0F4C5C46" w14:textId="77777777" w:rsidR="00A65788" w:rsidRDefault="00A65788" w:rsidP="00A65788">
      <w:pPr>
        <w:pStyle w:val="ListParagraph"/>
        <w:spacing w:after="0" w:line="276" w:lineRule="auto"/>
        <w:rPr>
          <w:rFonts w:ascii="Arial" w:hAnsi="Arial" w:cs="Arial"/>
          <w:bCs/>
          <w:szCs w:val="24"/>
          <w:lang w:val="en-GB"/>
        </w:rPr>
      </w:pPr>
    </w:p>
    <w:p w14:paraId="67D55513" w14:textId="6FB08AC1"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[7]</w:t>
      </w:r>
      <w:r w:rsidRPr="00A65788">
        <w:rPr>
          <w:rFonts w:ascii="Arial" w:hAnsi="Arial" w:cs="Arial"/>
          <w:bCs/>
          <w:szCs w:val="24"/>
          <w:lang w:val="en-GB"/>
        </w:rPr>
        <w:tab/>
      </w:r>
      <w:r w:rsidR="008C631C" w:rsidRPr="008E6A97">
        <w:rPr>
          <w:rFonts w:ascii="Arial" w:hAnsi="Arial" w:cs="Arial"/>
          <w:bCs/>
          <w:szCs w:val="24"/>
          <w:lang w:val="en-GB"/>
        </w:rPr>
        <w:t>Section 319 provides that:</w:t>
      </w:r>
    </w:p>
    <w:p w14:paraId="7E2DB05C" w14:textId="77777777" w:rsidR="008C631C" w:rsidRPr="008C631C" w:rsidRDefault="008C631C" w:rsidP="008C631C">
      <w:pPr>
        <w:spacing w:after="0" w:line="276" w:lineRule="auto"/>
        <w:rPr>
          <w:rFonts w:ascii="Arial" w:hAnsi="Arial" w:cs="Arial"/>
          <w:bCs/>
          <w:szCs w:val="24"/>
          <w:lang w:val="en-GB"/>
        </w:rPr>
      </w:pPr>
    </w:p>
    <w:p w14:paraId="224FEEBC" w14:textId="1F4B6F2B" w:rsidR="002D7FB3" w:rsidRPr="008E6A97" w:rsidRDefault="008E6A97" w:rsidP="008E6A97">
      <w:pPr>
        <w:spacing w:after="0" w:line="276" w:lineRule="auto"/>
        <w:ind w:left="2160" w:hanging="720"/>
        <w:rPr>
          <w:rFonts w:ascii="Arial" w:hAnsi="Arial" w:cs="Arial"/>
          <w:bCs/>
          <w:szCs w:val="24"/>
          <w:lang w:val="en-GB"/>
        </w:rPr>
      </w:pPr>
      <w:r>
        <w:rPr>
          <w:rFonts w:ascii="Arial" w:hAnsi="Arial" w:cs="Arial"/>
          <w:bCs/>
          <w:szCs w:val="24"/>
          <w:lang w:val="en-GB"/>
        </w:rPr>
        <w:t>(1)</w:t>
      </w:r>
      <w:r>
        <w:rPr>
          <w:rFonts w:ascii="Arial" w:hAnsi="Arial" w:cs="Arial"/>
          <w:bCs/>
          <w:szCs w:val="24"/>
          <w:lang w:val="en-GB"/>
        </w:rPr>
        <w:tab/>
      </w:r>
      <w:r w:rsidR="008C631C" w:rsidRPr="008E6A97">
        <w:rPr>
          <w:rFonts w:ascii="Arial" w:hAnsi="Arial" w:cs="Arial"/>
          <w:bCs/>
          <w:szCs w:val="24"/>
          <w:lang w:val="en-GB"/>
        </w:rPr>
        <w:t>If any question of law arises on the trial in a superior court of any person for any offence, that court may of its own motion or at the request either of the prosecutor or the accused reserve that question for the consideration of the appellate Division, and thereupon the first-mentioned court shall state the question reserved and shall direct that it be specially entered in the record and that a copy thereof be transmitted to the registrar of the Appellate Division.</w:t>
      </w:r>
    </w:p>
    <w:p w14:paraId="0F562173" w14:textId="77777777" w:rsidR="002D7FB3" w:rsidRDefault="002D7FB3" w:rsidP="002D7FB3">
      <w:pPr>
        <w:pStyle w:val="ListParagraph"/>
        <w:spacing w:after="0" w:line="276" w:lineRule="auto"/>
        <w:ind w:left="2160"/>
        <w:rPr>
          <w:rFonts w:ascii="Arial" w:hAnsi="Arial" w:cs="Arial"/>
          <w:bCs/>
          <w:szCs w:val="24"/>
          <w:lang w:val="en-GB"/>
        </w:rPr>
      </w:pPr>
    </w:p>
    <w:p w14:paraId="38CE15E3" w14:textId="004A950B" w:rsidR="002D7FB3" w:rsidRPr="008E6A97" w:rsidRDefault="008E6A97" w:rsidP="008E6A97">
      <w:pPr>
        <w:spacing w:after="0" w:line="276" w:lineRule="auto"/>
        <w:ind w:left="2160" w:hanging="720"/>
        <w:rPr>
          <w:rFonts w:ascii="Arial" w:hAnsi="Arial" w:cs="Arial"/>
          <w:bCs/>
          <w:szCs w:val="24"/>
          <w:lang w:val="en-GB"/>
        </w:rPr>
      </w:pPr>
      <w:r>
        <w:rPr>
          <w:rFonts w:ascii="Arial" w:hAnsi="Arial" w:cs="Arial"/>
          <w:bCs/>
          <w:szCs w:val="24"/>
          <w:lang w:val="en-GB"/>
        </w:rPr>
        <w:t>(2)</w:t>
      </w:r>
      <w:r>
        <w:rPr>
          <w:rFonts w:ascii="Arial" w:hAnsi="Arial" w:cs="Arial"/>
          <w:bCs/>
          <w:szCs w:val="24"/>
          <w:lang w:val="en-GB"/>
        </w:rPr>
        <w:tab/>
      </w:r>
      <w:r w:rsidR="008C631C" w:rsidRPr="008E6A97">
        <w:rPr>
          <w:rFonts w:ascii="Arial" w:hAnsi="Arial" w:cs="Arial"/>
          <w:bCs/>
          <w:szCs w:val="24"/>
          <w:lang w:val="en-GB"/>
        </w:rPr>
        <w:t>The grounds upon which any objection to an indictment is taken shall, for the purposes of this section, be deemed question of law.</w:t>
      </w:r>
    </w:p>
    <w:p w14:paraId="552A7244" w14:textId="77777777" w:rsidR="002D7FB3" w:rsidRPr="002D7FB3" w:rsidRDefault="002D7FB3" w:rsidP="002D7FB3">
      <w:pPr>
        <w:pStyle w:val="ListParagraph"/>
        <w:rPr>
          <w:rFonts w:ascii="Arial" w:hAnsi="Arial" w:cs="Arial"/>
          <w:bCs/>
          <w:szCs w:val="24"/>
          <w:lang w:val="en-GB"/>
        </w:rPr>
      </w:pPr>
    </w:p>
    <w:p w14:paraId="01F73BC6" w14:textId="536A55B2" w:rsidR="008C631C" w:rsidRPr="008E6A97" w:rsidRDefault="008E6A97" w:rsidP="008E6A97">
      <w:pPr>
        <w:spacing w:after="0" w:line="276" w:lineRule="auto"/>
        <w:ind w:left="2160" w:hanging="720"/>
        <w:rPr>
          <w:rFonts w:ascii="Arial" w:hAnsi="Arial" w:cs="Arial"/>
          <w:bCs/>
          <w:szCs w:val="24"/>
          <w:lang w:val="en-GB"/>
        </w:rPr>
      </w:pPr>
      <w:r w:rsidRPr="002D7FB3">
        <w:rPr>
          <w:rFonts w:ascii="Arial" w:hAnsi="Arial" w:cs="Arial"/>
          <w:bCs/>
          <w:szCs w:val="24"/>
          <w:lang w:val="en-GB"/>
        </w:rPr>
        <w:t>(3)</w:t>
      </w:r>
      <w:r w:rsidRPr="002D7FB3">
        <w:rPr>
          <w:rFonts w:ascii="Arial" w:hAnsi="Arial" w:cs="Arial"/>
          <w:bCs/>
          <w:szCs w:val="24"/>
          <w:lang w:val="en-GB"/>
        </w:rPr>
        <w:tab/>
      </w:r>
      <w:r w:rsidR="008C631C" w:rsidRPr="008E6A97">
        <w:rPr>
          <w:rFonts w:ascii="Arial" w:hAnsi="Arial" w:cs="Arial"/>
          <w:bCs/>
          <w:szCs w:val="24"/>
          <w:lang w:val="en-GB"/>
        </w:rPr>
        <w:t>The provisions of sections 317 (2), (4) and (5) and 318 (2) shall apply mutatis mutandis with reference to all proceedings under this section.”</w:t>
      </w:r>
    </w:p>
    <w:p w14:paraId="04BCBDC6" w14:textId="77777777" w:rsidR="008C631C" w:rsidRPr="008C631C" w:rsidRDefault="008C631C" w:rsidP="008C631C">
      <w:pPr>
        <w:spacing w:after="0" w:line="276" w:lineRule="auto"/>
        <w:rPr>
          <w:rFonts w:ascii="Arial" w:hAnsi="Arial" w:cs="Arial"/>
          <w:bCs/>
          <w:szCs w:val="24"/>
          <w:lang w:val="en-GB"/>
        </w:rPr>
      </w:pPr>
      <w:r w:rsidRPr="008C631C">
        <w:rPr>
          <w:rFonts w:ascii="Arial" w:hAnsi="Arial" w:cs="Arial"/>
          <w:bCs/>
          <w:szCs w:val="24"/>
          <w:lang w:val="en-GB"/>
        </w:rPr>
        <w:t xml:space="preserve"> </w:t>
      </w:r>
    </w:p>
    <w:p w14:paraId="57C91A2A" w14:textId="2D196F18"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[8]</w:t>
      </w:r>
      <w:r w:rsidRPr="00A65788">
        <w:rPr>
          <w:rFonts w:ascii="Arial" w:hAnsi="Arial" w:cs="Arial"/>
          <w:bCs/>
          <w:szCs w:val="24"/>
          <w:lang w:val="en-GB"/>
        </w:rPr>
        <w:tab/>
      </w:r>
      <w:r w:rsidR="008C631C" w:rsidRPr="008E6A97">
        <w:rPr>
          <w:rFonts w:ascii="Arial" w:hAnsi="Arial" w:cs="Arial"/>
          <w:bCs/>
          <w:szCs w:val="24"/>
          <w:lang w:val="en-GB"/>
        </w:rPr>
        <w:t xml:space="preserve">In </w:t>
      </w:r>
      <w:r w:rsidR="008C631C" w:rsidRPr="008E6A97">
        <w:rPr>
          <w:rFonts w:ascii="Arial" w:hAnsi="Arial" w:cs="Arial"/>
          <w:bCs/>
          <w:i/>
          <w:iCs/>
          <w:szCs w:val="24"/>
          <w:lang w:val="en-GB"/>
        </w:rPr>
        <w:t>Director of Public Prosecutions: Limpopo v Molope and Another</w:t>
      </w:r>
      <w:r w:rsidR="008C631C" w:rsidRPr="008C631C">
        <w:rPr>
          <w:i/>
          <w:iCs/>
          <w:vertAlign w:val="superscript"/>
          <w:lang w:val="en-GB"/>
        </w:rPr>
        <w:footnoteReference w:id="2"/>
      </w:r>
      <w:r w:rsidR="008C631C" w:rsidRPr="008E6A97">
        <w:rPr>
          <w:rFonts w:ascii="Arial" w:hAnsi="Arial" w:cs="Arial"/>
          <w:bCs/>
          <w:szCs w:val="24"/>
          <w:lang w:val="en-GB"/>
        </w:rPr>
        <w:t xml:space="preserve"> the court stated the following about how section 319 of the Criminal procedure operates</w:t>
      </w:r>
    </w:p>
    <w:p w14:paraId="58FDA7CC" w14:textId="77777777" w:rsidR="008C631C" w:rsidRPr="008C631C" w:rsidRDefault="008C631C" w:rsidP="008C631C">
      <w:pPr>
        <w:spacing w:after="0" w:line="276" w:lineRule="auto"/>
        <w:rPr>
          <w:rFonts w:ascii="Arial" w:hAnsi="Arial" w:cs="Arial"/>
          <w:bCs/>
          <w:szCs w:val="24"/>
          <w:lang w:val="en-GB"/>
        </w:rPr>
      </w:pPr>
    </w:p>
    <w:p w14:paraId="161B12E8" w14:textId="77777777"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 xml:space="preserve">“The provisions of s 319 of the CPA are peremptory and require strict compliance, as its purpose is to limit appeals by the State. It should be mentioned that s 319 has been subjected to a detailed analysis in a number of </w:t>
      </w:r>
      <w:r w:rsidRPr="008C631C">
        <w:rPr>
          <w:rFonts w:ascii="Arial" w:hAnsi="Arial" w:cs="Arial"/>
          <w:bCs/>
          <w:szCs w:val="24"/>
          <w:lang w:val="en-GB"/>
        </w:rPr>
        <w:lastRenderedPageBreak/>
        <w:t xml:space="preserve">judgments, both by this Court and the Constitutional Court. Its principles have accordingly been firmly established in our law”. </w:t>
      </w:r>
    </w:p>
    <w:p w14:paraId="7437728F" w14:textId="77777777" w:rsidR="00A65788" w:rsidRDefault="00A65788" w:rsidP="008C631C">
      <w:pPr>
        <w:spacing w:after="0" w:line="276" w:lineRule="auto"/>
        <w:rPr>
          <w:rFonts w:ascii="Arial" w:hAnsi="Arial" w:cs="Arial"/>
          <w:bCs/>
          <w:szCs w:val="24"/>
          <w:lang w:val="en-GB"/>
        </w:rPr>
      </w:pPr>
    </w:p>
    <w:p w14:paraId="27B100EF" w14:textId="18E7236F"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[9]</w:t>
      </w:r>
      <w:r w:rsidRPr="00A65788">
        <w:rPr>
          <w:rFonts w:ascii="Arial" w:hAnsi="Arial" w:cs="Arial"/>
          <w:bCs/>
          <w:szCs w:val="24"/>
          <w:lang w:val="en-GB"/>
        </w:rPr>
        <w:tab/>
      </w:r>
      <w:r w:rsidR="008C631C" w:rsidRPr="008E6A97">
        <w:rPr>
          <w:rFonts w:ascii="Arial" w:hAnsi="Arial" w:cs="Arial"/>
          <w:bCs/>
          <w:szCs w:val="24"/>
          <w:lang w:val="en-GB"/>
        </w:rPr>
        <w:t xml:space="preserve">The Appellate Division in </w:t>
      </w:r>
      <w:r w:rsidR="008C631C" w:rsidRPr="008E6A97">
        <w:rPr>
          <w:rFonts w:ascii="Arial" w:hAnsi="Arial" w:cs="Arial"/>
          <w:bCs/>
          <w:i/>
          <w:iCs/>
          <w:szCs w:val="24"/>
          <w:lang w:val="en-GB"/>
        </w:rPr>
        <w:t>Director of Public Prosecutions, Natal v Magidela and Others</w:t>
      </w:r>
      <w:r w:rsidR="008C631C" w:rsidRPr="008C631C">
        <w:rPr>
          <w:i/>
          <w:iCs/>
          <w:vertAlign w:val="superscript"/>
          <w:lang w:val="en-GB"/>
        </w:rPr>
        <w:footnoteReference w:id="3"/>
      </w:r>
      <w:r w:rsidR="008C631C" w:rsidRPr="008E6A97">
        <w:rPr>
          <w:rFonts w:ascii="Arial" w:hAnsi="Arial" w:cs="Arial"/>
          <w:bCs/>
          <w:szCs w:val="24"/>
          <w:lang w:val="en-GB"/>
        </w:rPr>
        <w:t xml:space="preserve"> eloquently and commendably set out the position of the relevant law stating that: </w:t>
      </w:r>
    </w:p>
    <w:p w14:paraId="4C7DA292" w14:textId="77777777" w:rsidR="008C631C" w:rsidRPr="008C631C" w:rsidRDefault="008C631C" w:rsidP="008C631C">
      <w:pPr>
        <w:spacing w:after="0" w:line="276" w:lineRule="auto"/>
        <w:rPr>
          <w:rFonts w:ascii="Arial" w:hAnsi="Arial" w:cs="Arial"/>
          <w:bCs/>
          <w:szCs w:val="24"/>
          <w:lang w:val="en-GB"/>
        </w:rPr>
      </w:pPr>
    </w:p>
    <w:p w14:paraId="0AD29B67" w14:textId="5AB986F8"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“The provisions of section 319 and its predecessors have been the subject of judicial interpretation over the years and in order to see whether the requirements of the section were complied with in this case it is important to consider how the section has been construed. The first requirement is not complied with simply by stating a question of law. At least two other requisites must be met. The first is that the question must be framed by the Judge "so as accurately to express the legal point which he had in mind" (</w:t>
      </w:r>
      <w:r w:rsidRPr="008C631C">
        <w:rPr>
          <w:rFonts w:ascii="Arial" w:hAnsi="Arial" w:cs="Arial"/>
          <w:bCs/>
          <w:i/>
          <w:iCs/>
          <w:szCs w:val="24"/>
          <w:lang w:val="en-GB"/>
        </w:rPr>
        <w:t>R v Kewelram</w:t>
      </w:r>
      <w:r w:rsidRPr="008C631C">
        <w:rPr>
          <w:rFonts w:ascii="Arial" w:hAnsi="Arial" w:cs="Arial"/>
          <w:bCs/>
          <w:szCs w:val="24"/>
          <w:lang w:val="en-GB"/>
        </w:rPr>
        <w:t xml:space="preserve"> 1922 AD 1 at 3). Secondly, there must be certainty concerning the facts on which the legal point is intended to hinge. This requires the court to record the factual findings on which the point of law is dependent (</w:t>
      </w:r>
      <w:r w:rsidRPr="008C631C">
        <w:rPr>
          <w:rFonts w:ascii="Arial" w:hAnsi="Arial" w:cs="Arial"/>
          <w:bCs/>
          <w:i/>
          <w:iCs/>
          <w:szCs w:val="24"/>
          <w:lang w:val="en-GB"/>
        </w:rPr>
        <w:t>S v Nkwenja en ‘n Ander</w:t>
      </w:r>
      <w:r w:rsidRPr="008C631C">
        <w:rPr>
          <w:rFonts w:ascii="Arial" w:hAnsi="Arial" w:cs="Arial"/>
          <w:bCs/>
          <w:szCs w:val="24"/>
          <w:lang w:val="en-GB"/>
        </w:rPr>
        <w:t xml:space="preserve"> 1985 (2) SA 560 (A) at 567B-G). What is more, the relevant facts should be set out fully in the record as part of the question of law (</w:t>
      </w:r>
      <w:r w:rsidRPr="008C631C">
        <w:rPr>
          <w:rFonts w:ascii="Arial" w:hAnsi="Arial" w:cs="Arial"/>
          <w:bCs/>
          <w:i/>
          <w:iCs/>
          <w:szCs w:val="24"/>
          <w:lang w:val="en-GB"/>
        </w:rPr>
        <w:t>S v Goliath</w:t>
      </w:r>
      <w:r w:rsidRPr="008C631C">
        <w:rPr>
          <w:rFonts w:ascii="Arial" w:hAnsi="Arial" w:cs="Arial"/>
          <w:bCs/>
          <w:szCs w:val="24"/>
          <w:lang w:val="en-GB"/>
        </w:rPr>
        <w:t xml:space="preserve"> 1972 (3) SA 1 (A) at 9H-10A). These requirements have been repeatedly emphasised in this Court and are firmly established (see, for example, </w:t>
      </w:r>
      <w:r w:rsidRPr="008C631C">
        <w:rPr>
          <w:rFonts w:ascii="Arial" w:hAnsi="Arial" w:cs="Arial"/>
          <w:bCs/>
          <w:i/>
          <w:iCs/>
          <w:szCs w:val="24"/>
          <w:lang w:val="en-GB"/>
        </w:rPr>
        <w:t>S v Khoza en Andere</w:t>
      </w:r>
      <w:r w:rsidRPr="008C631C">
        <w:rPr>
          <w:rFonts w:ascii="Arial" w:hAnsi="Arial" w:cs="Arial"/>
          <w:bCs/>
          <w:szCs w:val="24"/>
          <w:lang w:val="en-GB"/>
        </w:rPr>
        <w:t xml:space="preserve"> [1990] ZASCA 142; 1991 (1) SA 793 (A) at 796E-I). The point of law, moreover, should be readily apparent from the record for if it is not, the question cannot be said to arise "on the trial" of a person (</w:t>
      </w:r>
      <w:r w:rsidRPr="008C631C">
        <w:rPr>
          <w:rFonts w:ascii="Arial" w:hAnsi="Arial" w:cs="Arial"/>
          <w:bCs/>
          <w:i/>
          <w:iCs/>
          <w:szCs w:val="24"/>
          <w:lang w:val="en-GB"/>
        </w:rPr>
        <w:t>S v Mulayo</w:t>
      </w:r>
      <w:r w:rsidRPr="008C631C">
        <w:rPr>
          <w:rFonts w:ascii="Arial" w:hAnsi="Arial" w:cs="Arial"/>
          <w:bCs/>
          <w:szCs w:val="24"/>
          <w:lang w:val="en-GB"/>
        </w:rPr>
        <w:t xml:space="preserve"> 1962 (2) SA 522 (A) at 526-527). </w:t>
      </w:r>
      <w:r w:rsidRPr="00BB7673">
        <w:rPr>
          <w:rFonts w:ascii="Arial" w:hAnsi="Arial" w:cs="Arial"/>
          <w:bCs/>
          <w:i/>
          <w:szCs w:val="24"/>
          <w:lang w:val="en-GB"/>
        </w:rPr>
        <w:t>Non constat</w:t>
      </w:r>
      <w:r w:rsidRPr="008C631C">
        <w:rPr>
          <w:rFonts w:ascii="Arial" w:hAnsi="Arial" w:cs="Arial"/>
          <w:bCs/>
          <w:szCs w:val="24"/>
          <w:lang w:val="en-GB"/>
        </w:rPr>
        <w:t xml:space="preserve"> that the point should be formally raised at the trial: it is sufficient if it "comes into existence" during the hearing (</w:t>
      </w:r>
      <w:r w:rsidRPr="008C631C">
        <w:rPr>
          <w:rFonts w:ascii="Arial" w:hAnsi="Arial" w:cs="Arial"/>
          <w:bCs/>
          <w:i/>
          <w:iCs/>
          <w:szCs w:val="24"/>
          <w:lang w:val="en-GB"/>
        </w:rPr>
        <w:t xml:space="preserve">R v </w:t>
      </w:r>
      <w:r w:rsidR="006A3BEE" w:rsidRPr="008C631C">
        <w:rPr>
          <w:rFonts w:ascii="Arial" w:hAnsi="Arial" w:cs="Arial"/>
          <w:bCs/>
          <w:i/>
          <w:iCs/>
          <w:szCs w:val="24"/>
          <w:lang w:val="en-GB"/>
        </w:rPr>
        <w:t>Laubscher</w:t>
      </w:r>
      <w:r w:rsidR="006A3BEE" w:rsidRPr="008C631C">
        <w:rPr>
          <w:rFonts w:ascii="Arial" w:hAnsi="Arial" w:cs="Arial"/>
          <w:bCs/>
          <w:szCs w:val="24"/>
          <w:lang w:val="en-GB"/>
        </w:rPr>
        <w:t xml:space="preserve"> 1926</w:t>
      </w:r>
      <w:r w:rsidRPr="008C631C">
        <w:rPr>
          <w:rFonts w:ascii="Arial" w:hAnsi="Arial" w:cs="Arial"/>
          <w:bCs/>
          <w:szCs w:val="24"/>
          <w:lang w:val="en-GB"/>
        </w:rPr>
        <w:t xml:space="preserve"> AD 276 at 280; </w:t>
      </w:r>
      <w:r w:rsidRPr="008C631C">
        <w:rPr>
          <w:rFonts w:ascii="Arial" w:hAnsi="Arial" w:cs="Arial"/>
          <w:bCs/>
          <w:i/>
          <w:iCs/>
          <w:szCs w:val="24"/>
          <w:lang w:val="en-GB"/>
        </w:rPr>
        <w:t>R v Tucker</w:t>
      </w:r>
      <w:r w:rsidRPr="008C631C">
        <w:rPr>
          <w:rFonts w:ascii="Arial" w:hAnsi="Arial" w:cs="Arial"/>
          <w:bCs/>
          <w:szCs w:val="24"/>
          <w:lang w:val="en-GB"/>
        </w:rPr>
        <w:t xml:space="preserve"> 1953 (3) SA 150 (A) at 158H-159H). It follows from these requirements that there should be certainty not only on the factual issues on which the point of law is based but also regarding the law point that was in issue at the trial.” </w:t>
      </w:r>
    </w:p>
    <w:p w14:paraId="0D851FBF" w14:textId="77777777" w:rsidR="00A65788" w:rsidRDefault="00A65788" w:rsidP="008C631C">
      <w:pPr>
        <w:spacing w:after="0" w:line="276" w:lineRule="auto"/>
        <w:rPr>
          <w:rFonts w:ascii="Arial" w:hAnsi="Arial" w:cs="Arial"/>
          <w:bCs/>
          <w:szCs w:val="24"/>
          <w:lang w:val="en-GB"/>
        </w:rPr>
      </w:pPr>
    </w:p>
    <w:p w14:paraId="4CA06229" w14:textId="012B0B1B"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[10]</w:t>
      </w:r>
      <w:r w:rsidRPr="00A65788">
        <w:rPr>
          <w:rFonts w:ascii="Arial" w:hAnsi="Arial" w:cs="Arial"/>
          <w:bCs/>
          <w:szCs w:val="24"/>
          <w:lang w:val="en-GB"/>
        </w:rPr>
        <w:tab/>
      </w:r>
      <w:r w:rsidR="008C631C" w:rsidRPr="008E6A97">
        <w:rPr>
          <w:rFonts w:ascii="Arial" w:hAnsi="Arial" w:cs="Arial"/>
          <w:bCs/>
          <w:szCs w:val="24"/>
          <w:lang w:val="en-GB"/>
        </w:rPr>
        <w:t xml:space="preserve">Furthermore, the authors </w:t>
      </w:r>
      <w:r w:rsidR="008C631C" w:rsidRPr="008E6A97">
        <w:rPr>
          <w:rFonts w:ascii="Arial" w:hAnsi="Arial" w:cs="Arial"/>
          <w:bCs/>
          <w:i/>
          <w:iCs/>
          <w:szCs w:val="24"/>
          <w:lang w:val="en-GB"/>
        </w:rPr>
        <w:t>Du Toit et al in</w:t>
      </w:r>
      <w:r w:rsidR="008C631C" w:rsidRPr="008E6A97">
        <w:rPr>
          <w:rFonts w:ascii="Arial" w:hAnsi="Arial" w:cs="Arial"/>
          <w:bCs/>
          <w:szCs w:val="24"/>
          <w:lang w:val="en-GB"/>
        </w:rPr>
        <w:t xml:space="preserve"> the Commentary on the Criminal Procedure Act state: </w:t>
      </w:r>
    </w:p>
    <w:p w14:paraId="3FE28B06" w14:textId="77777777" w:rsidR="008C631C" w:rsidRPr="008C631C" w:rsidRDefault="008C631C" w:rsidP="008C631C">
      <w:pPr>
        <w:spacing w:after="0" w:line="276" w:lineRule="auto"/>
        <w:rPr>
          <w:rFonts w:ascii="Arial" w:hAnsi="Arial" w:cs="Arial"/>
          <w:bCs/>
          <w:szCs w:val="24"/>
          <w:lang w:val="en-GB"/>
        </w:rPr>
      </w:pPr>
    </w:p>
    <w:p w14:paraId="70FC2DA2" w14:textId="77777777"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“The trial court must refer to those facts in its judgment as part of the reserved question of law (</w:t>
      </w:r>
      <w:r w:rsidRPr="008C631C">
        <w:rPr>
          <w:rFonts w:ascii="Arial" w:hAnsi="Arial" w:cs="Arial"/>
          <w:bCs/>
          <w:i/>
          <w:iCs/>
          <w:szCs w:val="24"/>
          <w:lang w:val="en-GB"/>
        </w:rPr>
        <w:t>S v Nkwenja en 'n ander</w:t>
      </w:r>
      <w:r w:rsidRPr="008C631C">
        <w:rPr>
          <w:rFonts w:ascii="Arial" w:hAnsi="Arial" w:cs="Arial"/>
          <w:bCs/>
          <w:szCs w:val="24"/>
          <w:lang w:val="en-GB"/>
        </w:rPr>
        <w:t xml:space="preserve"> 1985 (2) SA 560 (A) 567B). Furthermore, whenever the State has a question of law reserved which rests on particular facts, the State must have those fact. As decided by this Court in </w:t>
      </w:r>
      <w:r w:rsidRPr="008C631C">
        <w:rPr>
          <w:rFonts w:ascii="Arial" w:hAnsi="Arial" w:cs="Arial"/>
          <w:bCs/>
          <w:i/>
          <w:iCs/>
          <w:szCs w:val="24"/>
          <w:lang w:val="en-GB"/>
        </w:rPr>
        <w:t>S v Basson</w:t>
      </w:r>
      <w:r w:rsidRPr="008C631C">
        <w:rPr>
          <w:rFonts w:ascii="Arial" w:hAnsi="Arial" w:cs="Arial"/>
          <w:bCs/>
          <w:szCs w:val="24"/>
          <w:lang w:val="en-GB"/>
        </w:rPr>
        <w:t xml:space="preserve"> 2003(2) SACR 373 SCA Paras 10-11 “When a question of law arises as aforesaid, the trial court, or, where it refuses to do, this court has to decide on application by the state whether to reserve a question of law for </w:t>
      </w:r>
      <w:r w:rsidRPr="008C631C">
        <w:rPr>
          <w:rFonts w:ascii="Arial" w:hAnsi="Arial" w:cs="Arial"/>
          <w:bCs/>
          <w:szCs w:val="24"/>
          <w:lang w:val="en-GB"/>
        </w:rPr>
        <w:lastRenderedPageBreak/>
        <w:t>consideration for leave to appeal, it will only exercise its discretion in favour of the state where there is a reasonable prospect that if the mistake of law had not been made, the accused would have been convicted”.</w:t>
      </w:r>
    </w:p>
    <w:p w14:paraId="156F927F" w14:textId="77777777" w:rsidR="008C631C" w:rsidRPr="008C631C" w:rsidRDefault="008C631C" w:rsidP="008C631C">
      <w:pPr>
        <w:spacing w:after="0" w:line="276" w:lineRule="auto"/>
        <w:rPr>
          <w:rFonts w:ascii="Arial" w:hAnsi="Arial" w:cs="Arial"/>
          <w:bCs/>
          <w:szCs w:val="24"/>
          <w:lang w:val="en-GB"/>
        </w:rPr>
      </w:pPr>
    </w:p>
    <w:p w14:paraId="7453C250" w14:textId="5CB13E26"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[11]</w:t>
      </w:r>
      <w:r w:rsidRPr="00A65788">
        <w:rPr>
          <w:rFonts w:ascii="Arial" w:hAnsi="Arial" w:cs="Arial"/>
          <w:bCs/>
          <w:szCs w:val="24"/>
          <w:lang w:val="en-GB"/>
        </w:rPr>
        <w:tab/>
      </w:r>
      <w:r w:rsidR="008C631C" w:rsidRPr="008E6A97">
        <w:rPr>
          <w:rFonts w:ascii="Arial" w:hAnsi="Arial" w:cs="Arial"/>
          <w:bCs/>
          <w:szCs w:val="24"/>
          <w:lang w:val="en-GB"/>
        </w:rPr>
        <w:t xml:space="preserve">In the </w:t>
      </w:r>
      <w:r w:rsidR="008C631C" w:rsidRPr="008E6A97">
        <w:rPr>
          <w:rFonts w:ascii="Arial" w:hAnsi="Arial" w:cs="Arial"/>
          <w:bCs/>
          <w:i/>
          <w:iCs/>
          <w:szCs w:val="24"/>
          <w:lang w:val="en-GB"/>
        </w:rPr>
        <w:t xml:space="preserve">Director of Public Prosecutions: Western Cape </w:t>
      </w:r>
      <w:r w:rsidR="00BB7673" w:rsidRPr="008E6A97">
        <w:rPr>
          <w:rFonts w:ascii="Arial" w:hAnsi="Arial" w:cs="Arial"/>
          <w:bCs/>
          <w:i/>
          <w:iCs/>
          <w:szCs w:val="24"/>
          <w:lang w:val="en-GB"/>
        </w:rPr>
        <w:t>v</w:t>
      </w:r>
      <w:r w:rsidR="008C631C" w:rsidRPr="008E6A97">
        <w:rPr>
          <w:rFonts w:ascii="Arial" w:hAnsi="Arial" w:cs="Arial"/>
          <w:bCs/>
          <w:i/>
          <w:iCs/>
          <w:szCs w:val="24"/>
          <w:lang w:val="en-GB"/>
        </w:rPr>
        <w:t xml:space="preserve"> Schoeman and Another</w:t>
      </w:r>
      <w:r w:rsidR="008C631C" w:rsidRPr="008C631C">
        <w:rPr>
          <w:vertAlign w:val="superscript"/>
          <w:lang w:val="en-GB"/>
        </w:rPr>
        <w:footnoteReference w:id="4"/>
      </w:r>
      <w:r w:rsidR="008C631C" w:rsidRPr="008E6A97">
        <w:rPr>
          <w:rFonts w:ascii="Arial" w:hAnsi="Arial" w:cs="Arial"/>
          <w:bCs/>
          <w:szCs w:val="24"/>
          <w:lang w:val="en-GB"/>
        </w:rPr>
        <w:t xml:space="preserve"> it was stated that:</w:t>
      </w:r>
    </w:p>
    <w:p w14:paraId="4C526F66" w14:textId="77777777" w:rsidR="008C631C" w:rsidRPr="008C631C" w:rsidRDefault="008C631C" w:rsidP="008C631C">
      <w:pPr>
        <w:spacing w:after="0" w:line="276" w:lineRule="auto"/>
        <w:rPr>
          <w:rFonts w:ascii="Arial" w:hAnsi="Arial" w:cs="Arial"/>
          <w:bCs/>
          <w:szCs w:val="24"/>
          <w:lang w:val="en-GB"/>
        </w:rPr>
      </w:pPr>
    </w:p>
    <w:p w14:paraId="11886B1B" w14:textId="2E7F0E0D"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 xml:space="preserve"> “The state has a right of appeal only against a trial court’s mistakes of law, not its mistakes of fact. Indeed, Du Toit, De Jager, Skeen and Vander Merwe stress that this” restriction will not be relaxed by the fact: The approach in Magidela has been endorsed by this court in Director of Public Prosecutions: Western Cape </w:t>
      </w:r>
      <w:r w:rsidR="00A65788">
        <w:rPr>
          <w:rFonts w:ascii="Arial" w:hAnsi="Arial" w:cs="Arial"/>
          <w:bCs/>
          <w:szCs w:val="24"/>
          <w:lang w:val="en-GB"/>
        </w:rPr>
        <w:t>v</w:t>
      </w:r>
      <w:r w:rsidRPr="008C631C">
        <w:rPr>
          <w:rFonts w:ascii="Arial" w:hAnsi="Arial" w:cs="Arial"/>
          <w:bCs/>
          <w:szCs w:val="24"/>
          <w:lang w:val="en-GB"/>
        </w:rPr>
        <w:t xml:space="preserve"> Schoeman and Another [2019] 158; 2020 (1) SACR 449 (SCA), where the court said at para 39: The State has a right of appeal only against a trial court’s mistakes of law, not its mistakes of fact. Indeed, Du Toit, De Jager, Paizes, Skeen and Van der Merwe stress that this ‘restriction will not be relaxed by the fact that the trial judge considered the facts incorrectly’. Before a question of law may be reserved under s 319 three requisites must be met. First, it is essential that the question is framed accurately leaving no doubt what the legal point is. Secondly, the facts upon which the point hinges must be clear. Thirdly, they should be set out fully in the record together with the question of law.” </w:t>
      </w:r>
    </w:p>
    <w:p w14:paraId="40429E6B" w14:textId="77777777" w:rsidR="008C631C" w:rsidRPr="008C631C" w:rsidRDefault="008C631C" w:rsidP="000A4BEE">
      <w:pPr>
        <w:spacing w:after="0" w:line="276" w:lineRule="auto"/>
        <w:ind w:left="0"/>
        <w:rPr>
          <w:rFonts w:ascii="Arial" w:hAnsi="Arial" w:cs="Arial"/>
          <w:bCs/>
          <w:i/>
          <w:iCs/>
          <w:szCs w:val="24"/>
          <w:lang w:val="en-GB"/>
        </w:rPr>
      </w:pPr>
    </w:p>
    <w:p w14:paraId="56C453E0" w14:textId="347674C3"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[12]</w:t>
      </w:r>
      <w:r w:rsidRPr="00A65788">
        <w:rPr>
          <w:rFonts w:ascii="Arial" w:hAnsi="Arial" w:cs="Arial"/>
          <w:bCs/>
          <w:szCs w:val="24"/>
          <w:lang w:val="en-GB"/>
        </w:rPr>
        <w:tab/>
      </w:r>
      <w:r w:rsidR="008C631C" w:rsidRPr="008E6A97">
        <w:rPr>
          <w:rFonts w:ascii="Arial" w:hAnsi="Arial" w:cs="Arial"/>
          <w:bCs/>
          <w:szCs w:val="24"/>
          <w:lang w:val="en-GB"/>
        </w:rPr>
        <w:t xml:space="preserve">The court further said: </w:t>
      </w:r>
    </w:p>
    <w:p w14:paraId="44D28C85" w14:textId="77777777" w:rsidR="008C631C" w:rsidRPr="008C631C" w:rsidRDefault="008C631C" w:rsidP="008C631C">
      <w:pPr>
        <w:spacing w:after="0" w:line="276" w:lineRule="auto"/>
        <w:rPr>
          <w:rFonts w:ascii="Arial" w:hAnsi="Arial" w:cs="Arial"/>
          <w:bCs/>
          <w:szCs w:val="24"/>
          <w:lang w:val="en-GB"/>
        </w:rPr>
      </w:pPr>
    </w:p>
    <w:p w14:paraId="5C65A37B" w14:textId="77777777"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“Unless the State does this, it may not be possible for a court of appeal to establish with certainty what the conclusions on the legal point, which the trial court arrived at, are. Where it is unclear from the judgment of the trial court what its findings of fact are, it is therefore necessary to request the trial judge to clarify its factual findings. Where this is not done, the point of law is not properly reserved.”</w:t>
      </w:r>
    </w:p>
    <w:p w14:paraId="423D855E" w14:textId="77777777" w:rsidR="008C631C" w:rsidRPr="008C631C" w:rsidRDefault="008C631C" w:rsidP="008C631C">
      <w:pPr>
        <w:spacing w:after="0" w:line="276" w:lineRule="auto"/>
        <w:rPr>
          <w:rFonts w:ascii="Arial" w:hAnsi="Arial" w:cs="Arial"/>
          <w:bCs/>
          <w:szCs w:val="24"/>
          <w:lang w:val="en-GB"/>
        </w:rPr>
      </w:pPr>
    </w:p>
    <w:p w14:paraId="4D323F43" w14:textId="5DE229A8" w:rsidR="008C631C" w:rsidRPr="008C631C" w:rsidRDefault="008C631C" w:rsidP="008C631C">
      <w:pPr>
        <w:spacing w:after="0" w:line="276" w:lineRule="auto"/>
        <w:rPr>
          <w:rFonts w:ascii="Arial" w:hAnsi="Arial" w:cs="Arial"/>
          <w:b/>
          <w:bCs/>
          <w:szCs w:val="24"/>
          <w:lang w:val="en-GB"/>
        </w:rPr>
      </w:pPr>
      <w:r w:rsidRPr="008C631C">
        <w:rPr>
          <w:rFonts w:ascii="Arial" w:hAnsi="Arial" w:cs="Arial"/>
          <w:b/>
          <w:bCs/>
          <w:szCs w:val="24"/>
          <w:lang w:val="en-GB"/>
        </w:rPr>
        <w:t xml:space="preserve">Application of the law </w:t>
      </w:r>
      <w:r w:rsidR="002055C3">
        <w:rPr>
          <w:rFonts w:ascii="Arial" w:hAnsi="Arial" w:cs="Arial"/>
          <w:b/>
          <w:bCs/>
          <w:szCs w:val="24"/>
          <w:lang w:val="en-GB"/>
        </w:rPr>
        <w:t>and evaluation</w:t>
      </w:r>
    </w:p>
    <w:p w14:paraId="7B8D5710" w14:textId="77777777" w:rsidR="00A65788" w:rsidRDefault="00A65788" w:rsidP="008C631C">
      <w:pPr>
        <w:spacing w:after="0" w:line="276" w:lineRule="auto"/>
        <w:rPr>
          <w:rFonts w:ascii="Arial" w:hAnsi="Arial" w:cs="Arial"/>
          <w:bCs/>
          <w:szCs w:val="24"/>
          <w:lang w:val="en-GB"/>
        </w:rPr>
      </w:pPr>
    </w:p>
    <w:p w14:paraId="3EEA2ADF" w14:textId="7411C57E" w:rsidR="00A65788" w:rsidRPr="008E6A97" w:rsidRDefault="008E6A97" w:rsidP="008E6A97">
      <w:pPr>
        <w:spacing w:after="0" w:line="276" w:lineRule="auto"/>
        <w:ind w:left="720" w:hanging="686"/>
        <w:rPr>
          <w:rFonts w:ascii="Arial" w:hAnsi="Arial" w:cs="Arial"/>
          <w:bCs/>
          <w:szCs w:val="24"/>
          <w:lang w:val="en-GB"/>
        </w:rPr>
      </w:pPr>
      <w:r>
        <w:rPr>
          <w:rFonts w:ascii="Arial" w:hAnsi="Arial" w:cs="Arial"/>
          <w:bCs/>
          <w:szCs w:val="24"/>
          <w:lang w:val="en-GB"/>
        </w:rPr>
        <w:t>[13]</w:t>
      </w:r>
      <w:r>
        <w:rPr>
          <w:rFonts w:ascii="Arial" w:hAnsi="Arial" w:cs="Arial"/>
          <w:bCs/>
          <w:szCs w:val="24"/>
          <w:lang w:val="en-GB"/>
        </w:rPr>
        <w:tab/>
      </w:r>
      <w:r w:rsidR="008C631C" w:rsidRPr="008E6A97">
        <w:rPr>
          <w:rFonts w:ascii="Arial" w:hAnsi="Arial" w:cs="Arial"/>
          <w:bCs/>
          <w:szCs w:val="24"/>
          <w:lang w:val="en-GB"/>
        </w:rPr>
        <w:t>Section 319 does not set out a time frame within which one has to reserve a question of law after an acquittal or conviction. In this matter judgment was delivered on 5 July 2022. The state then filed its application for leave to appeal on 17 October 2022.</w:t>
      </w:r>
    </w:p>
    <w:p w14:paraId="75B1EDB6" w14:textId="77777777" w:rsidR="00A65788" w:rsidRDefault="00A65788" w:rsidP="00A65788">
      <w:pPr>
        <w:pStyle w:val="ListParagraph"/>
        <w:spacing w:after="0" w:line="276" w:lineRule="auto"/>
        <w:rPr>
          <w:rFonts w:ascii="Arial" w:hAnsi="Arial" w:cs="Arial"/>
          <w:bCs/>
          <w:szCs w:val="24"/>
          <w:lang w:val="en-GB"/>
        </w:rPr>
      </w:pPr>
    </w:p>
    <w:p w14:paraId="3B99F3E1" w14:textId="0C058B6A"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[14]</w:t>
      </w:r>
      <w:r w:rsidRPr="00A65788">
        <w:rPr>
          <w:rFonts w:ascii="Arial" w:hAnsi="Arial" w:cs="Arial"/>
          <w:bCs/>
          <w:szCs w:val="24"/>
          <w:lang w:val="en-GB"/>
        </w:rPr>
        <w:tab/>
      </w:r>
      <w:r w:rsidR="008C631C" w:rsidRPr="008E6A97">
        <w:rPr>
          <w:rFonts w:ascii="Arial" w:hAnsi="Arial" w:cs="Arial"/>
          <w:bCs/>
          <w:szCs w:val="24"/>
          <w:lang w:val="en-GB"/>
        </w:rPr>
        <w:t xml:space="preserve">Condonation is not just for a mere asking. In </w:t>
      </w:r>
      <w:r w:rsidR="008C631C" w:rsidRPr="008E6A97">
        <w:rPr>
          <w:rFonts w:ascii="Arial" w:hAnsi="Arial" w:cs="Arial"/>
          <w:bCs/>
          <w:i/>
          <w:iCs/>
          <w:szCs w:val="24"/>
          <w:lang w:val="en-GB"/>
        </w:rPr>
        <w:t>Grootboom V National Prosecuting Authority and Another</w:t>
      </w:r>
      <w:r w:rsidR="008C631C" w:rsidRPr="008C631C">
        <w:rPr>
          <w:i/>
          <w:iCs/>
          <w:vertAlign w:val="superscript"/>
          <w:lang w:val="en-GB"/>
        </w:rPr>
        <w:footnoteReference w:id="5"/>
      </w:r>
      <w:r w:rsidR="008C631C" w:rsidRPr="008E6A97">
        <w:rPr>
          <w:rFonts w:ascii="Arial" w:hAnsi="Arial" w:cs="Arial"/>
          <w:bCs/>
          <w:i/>
          <w:iCs/>
          <w:szCs w:val="24"/>
          <w:lang w:val="en-GB"/>
        </w:rPr>
        <w:t xml:space="preserve"> </w:t>
      </w:r>
      <w:r w:rsidR="008C631C" w:rsidRPr="008E6A97">
        <w:rPr>
          <w:rFonts w:ascii="Arial" w:hAnsi="Arial" w:cs="Arial"/>
          <w:bCs/>
          <w:szCs w:val="24"/>
          <w:lang w:val="en-GB"/>
        </w:rPr>
        <w:t>it was held that</w:t>
      </w:r>
      <w:r w:rsidR="008C631C" w:rsidRPr="008E6A97">
        <w:rPr>
          <w:rFonts w:ascii="Arial" w:hAnsi="Arial" w:cs="Arial"/>
          <w:b/>
          <w:bCs/>
          <w:szCs w:val="24"/>
          <w:lang w:val="en-GB"/>
        </w:rPr>
        <w:t>:</w:t>
      </w:r>
    </w:p>
    <w:p w14:paraId="1C2DCEC4" w14:textId="77777777" w:rsidR="008C631C" w:rsidRPr="008C631C" w:rsidRDefault="008C631C" w:rsidP="008C631C">
      <w:pPr>
        <w:spacing w:after="0" w:line="276" w:lineRule="auto"/>
        <w:rPr>
          <w:rFonts w:ascii="Arial" w:hAnsi="Arial" w:cs="Arial"/>
          <w:b/>
          <w:bCs/>
          <w:i/>
          <w:iCs/>
          <w:szCs w:val="24"/>
          <w:lang w:val="en-GB"/>
        </w:rPr>
      </w:pPr>
      <w:r w:rsidRPr="008C631C">
        <w:rPr>
          <w:rFonts w:ascii="Arial" w:hAnsi="Arial" w:cs="Arial"/>
          <w:b/>
          <w:bCs/>
          <w:i/>
          <w:iCs/>
          <w:szCs w:val="24"/>
          <w:lang w:val="en-GB"/>
        </w:rPr>
        <w:t xml:space="preserve">  </w:t>
      </w:r>
    </w:p>
    <w:p w14:paraId="2461E862" w14:textId="1CD6E633"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lastRenderedPageBreak/>
        <w:t>“</w:t>
      </w:r>
      <w:r w:rsidR="002D7FB3">
        <w:rPr>
          <w:rFonts w:ascii="Arial" w:hAnsi="Arial" w:cs="Arial"/>
          <w:bCs/>
          <w:szCs w:val="24"/>
          <w:lang w:val="en-GB"/>
        </w:rPr>
        <w:t>[I]</w:t>
      </w:r>
      <w:r w:rsidRPr="008C631C">
        <w:rPr>
          <w:rFonts w:ascii="Arial" w:hAnsi="Arial" w:cs="Arial"/>
          <w:bCs/>
          <w:szCs w:val="24"/>
          <w:lang w:val="en-GB"/>
        </w:rPr>
        <w:t xml:space="preserve">t is now trite that condonation cannot be had for the mere asking. A party seeking condonation must make out a case entitling it to the court’s indulgence. It must show sufficient cause. This requires a party to give a full explanation for the non-compliance with the rules or court’s directions. Of great significance, the explanation must be reasonable enough to excuse the default”. </w:t>
      </w:r>
    </w:p>
    <w:p w14:paraId="5B1CAD66" w14:textId="77777777" w:rsidR="008C631C" w:rsidRPr="008C631C" w:rsidRDefault="008C631C" w:rsidP="008C631C">
      <w:pPr>
        <w:spacing w:after="0" w:line="276" w:lineRule="auto"/>
        <w:rPr>
          <w:rFonts w:ascii="Arial" w:hAnsi="Arial" w:cs="Arial"/>
          <w:b/>
          <w:bCs/>
          <w:i/>
          <w:iCs/>
          <w:szCs w:val="24"/>
          <w:lang w:val="en-GB"/>
        </w:rPr>
      </w:pPr>
    </w:p>
    <w:p w14:paraId="7EA70C5C" w14:textId="48261C14" w:rsidR="002D7FB3" w:rsidRPr="008E6A97" w:rsidRDefault="008E6A97" w:rsidP="008E6A97">
      <w:pPr>
        <w:spacing w:after="0" w:line="276" w:lineRule="auto"/>
        <w:ind w:left="720" w:hanging="686"/>
        <w:rPr>
          <w:rFonts w:ascii="Arial" w:hAnsi="Arial" w:cs="Arial"/>
          <w:bCs/>
          <w:szCs w:val="24"/>
          <w:lang w:val="en-GB"/>
        </w:rPr>
      </w:pPr>
      <w:r>
        <w:rPr>
          <w:rFonts w:ascii="Arial" w:hAnsi="Arial" w:cs="Arial"/>
          <w:bCs/>
          <w:szCs w:val="24"/>
          <w:lang w:val="en-GB"/>
        </w:rPr>
        <w:t>[15]</w:t>
      </w:r>
      <w:r>
        <w:rPr>
          <w:rFonts w:ascii="Arial" w:hAnsi="Arial" w:cs="Arial"/>
          <w:bCs/>
          <w:szCs w:val="24"/>
          <w:lang w:val="en-GB"/>
        </w:rPr>
        <w:tab/>
      </w:r>
      <w:r w:rsidR="008C631C" w:rsidRPr="008E6A97">
        <w:rPr>
          <w:rFonts w:ascii="Arial" w:hAnsi="Arial" w:cs="Arial"/>
          <w:bCs/>
          <w:szCs w:val="24"/>
          <w:lang w:val="en-GB"/>
        </w:rPr>
        <w:t>The factors that are taken into account in that inquiry include:</w:t>
      </w:r>
    </w:p>
    <w:p w14:paraId="279792D7" w14:textId="77777777" w:rsidR="002D7FB3" w:rsidRDefault="002D7FB3" w:rsidP="002D7FB3">
      <w:pPr>
        <w:pStyle w:val="ListParagraph"/>
        <w:spacing w:after="0" w:line="276" w:lineRule="auto"/>
        <w:rPr>
          <w:rFonts w:ascii="Arial" w:hAnsi="Arial" w:cs="Arial"/>
          <w:bCs/>
          <w:szCs w:val="24"/>
          <w:lang w:val="en-GB"/>
        </w:rPr>
      </w:pPr>
    </w:p>
    <w:p w14:paraId="521269D3" w14:textId="2D307403" w:rsidR="002D7FB3" w:rsidRPr="008E6A97" w:rsidRDefault="008E6A97" w:rsidP="008E6A97">
      <w:pPr>
        <w:spacing w:after="0" w:line="276" w:lineRule="auto"/>
        <w:ind w:left="1180" w:hanging="460"/>
        <w:rPr>
          <w:rFonts w:ascii="Arial" w:hAnsi="Arial" w:cs="Arial"/>
          <w:bCs/>
          <w:szCs w:val="24"/>
          <w:lang w:val="en-GB"/>
        </w:rPr>
      </w:pPr>
      <w:r>
        <w:rPr>
          <w:rFonts w:ascii="Arial" w:hAnsi="Arial" w:cs="Arial"/>
          <w:bCs/>
          <w:szCs w:val="24"/>
          <w:lang w:val="en-GB"/>
        </w:rPr>
        <w:t>15.1</w:t>
      </w:r>
      <w:r>
        <w:rPr>
          <w:rFonts w:ascii="Arial" w:hAnsi="Arial" w:cs="Arial"/>
          <w:bCs/>
          <w:szCs w:val="24"/>
          <w:lang w:val="en-GB"/>
        </w:rPr>
        <w:tab/>
      </w:r>
      <w:r w:rsidR="00652687" w:rsidRPr="008E6A97">
        <w:rPr>
          <w:rFonts w:ascii="Arial" w:hAnsi="Arial" w:cs="Arial"/>
          <w:bCs/>
          <w:szCs w:val="24"/>
          <w:lang w:val="en-GB"/>
        </w:rPr>
        <w:t>t</w:t>
      </w:r>
      <w:r w:rsidR="008C631C" w:rsidRPr="008E6A97">
        <w:rPr>
          <w:rFonts w:ascii="Arial" w:hAnsi="Arial" w:cs="Arial"/>
          <w:bCs/>
          <w:szCs w:val="24"/>
          <w:lang w:val="en-GB"/>
        </w:rPr>
        <w:t>he length of the delays;</w:t>
      </w:r>
    </w:p>
    <w:p w14:paraId="49925E5E" w14:textId="77777777" w:rsidR="002D7FB3" w:rsidRDefault="002D7FB3" w:rsidP="002D7FB3">
      <w:pPr>
        <w:pStyle w:val="ListParagraph"/>
        <w:spacing w:after="0" w:line="276" w:lineRule="auto"/>
        <w:ind w:left="1180"/>
        <w:rPr>
          <w:rFonts w:ascii="Arial" w:hAnsi="Arial" w:cs="Arial"/>
          <w:bCs/>
          <w:szCs w:val="24"/>
          <w:lang w:val="en-GB"/>
        </w:rPr>
      </w:pPr>
    </w:p>
    <w:p w14:paraId="162B7830" w14:textId="713D5C8E" w:rsidR="002D7FB3" w:rsidRPr="008E6A97" w:rsidRDefault="008E6A97" w:rsidP="008E6A97">
      <w:pPr>
        <w:spacing w:after="0" w:line="276" w:lineRule="auto"/>
        <w:ind w:left="1180" w:hanging="460"/>
        <w:rPr>
          <w:rFonts w:ascii="Arial" w:hAnsi="Arial" w:cs="Arial"/>
          <w:bCs/>
          <w:szCs w:val="24"/>
          <w:lang w:val="en-GB"/>
        </w:rPr>
      </w:pPr>
      <w:r>
        <w:rPr>
          <w:rFonts w:ascii="Arial" w:hAnsi="Arial" w:cs="Arial"/>
          <w:bCs/>
          <w:szCs w:val="24"/>
          <w:lang w:val="en-GB"/>
        </w:rPr>
        <w:t>15.2</w:t>
      </w:r>
      <w:r>
        <w:rPr>
          <w:rFonts w:ascii="Arial" w:hAnsi="Arial" w:cs="Arial"/>
          <w:bCs/>
          <w:szCs w:val="24"/>
          <w:lang w:val="en-GB"/>
        </w:rPr>
        <w:tab/>
      </w:r>
      <w:r w:rsidR="008C631C" w:rsidRPr="008E6A97">
        <w:rPr>
          <w:rFonts w:ascii="Arial" w:hAnsi="Arial" w:cs="Arial"/>
          <w:bCs/>
          <w:szCs w:val="24"/>
          <w:lang w:val="en-GB"/>
        </w:rPr>
        <w:t>the explanation for, or cause for, delays</w:t>
      </w:r>
    </w:p>
    <w:p w14:paraId="6DFAC32B" w14:textId="77777777" w:rsidR="002D7FB3" w:rsidRDefault="002D7FB3" w:rsidP="002D7FB3">
      <w:pPr>
        <w:pStyle w:val="ListParagraph"/>
        <w:spacing w:after="0" w:line="276" w:lineRule="auto"/>
        <w:ind w:left="1180"/>
        <w:rPr>
          <w:rFonts w:ascii="Arial" w:hAnsi="Arial" w:cs="Arial"/>
          <w:bCs/>
          <w:szCs w:val="24"/>
          <w:lang w:val="en-GB"/>
        </w:rPr>
      </w:pPr>
    </w:p>
    <w:p w14:paraId="4F3A1636" w14:textId="62DA9CBC" w:rsidR="002D7FB3" w:rsidRPr="008E6A97" w:rsidRDefault="008E6A97" w:rsidP="008E6A97">
      <w:pPr>
        <w:spacing w:after="0" w:line="276" w:lineRule="auto"/>
        <w:ind w:left="1180" w:hanging="460"/>
        <w:rPr>
          <w:rFonts w:ascii="Arial" w:hAnsi="Arial" w:cs="Arial"/>
          <w:bCs/>
          <w:szCs w:val="24"/>
          <w:lang w:val="en-GB"/>
        </w:rPr>
      </w:pPr>
      <w:r>
        <w:rPr>
          <w:rFonts w:ascii="Arial" w:hAnsi="Arial" w:cs="Arial"/>
          <w:bCs/>
          <w:szCs w:val="24"/>
          <w:lang w:val="en-GB"/>
        </w:rPr>
        <w:t>15.3</w:t>
      </w:r>
      <w:r>
        <w:rPr>
          <w:rFonts w:ascii="Arial" w:hAnsi="Arial" w:cs="Arial"/>
          <w:bCs/>
          <w:szCs w:val="24"/>
          <w:lang w:val="en-GB"/>
        </w:rPr>
        <w:tab/>
      </w:r>
      <w:r w:rsidR="008C631C" w:rsidRPr="008E6A97">
        <w:rPr>
          <w:rFonts w:ascii="Arial" w:hAnsi="Arial" w:cs="Arial"/>
          <w:bCs/>
          <w:szCs w:val="24"/>
          <w:lang w:val="en-GB"/>
        </w:rPr>
        <w:t>prospects of success for the party seeking condonation;</w:t>
      </w:r>
    </w:p>
    <w:p w14:paraId="0272F3F5" w14:textId="77777777" w:rsidR="002D7FB3" w:rsidRPr="002D7FB3" w:rsidRDefault="002D7FB3" w:rsidP="002D7FB3">
      <w:pPr>
        <w:pStyle w:val="ListParagraph"/>
        <w:rPr>
          <w:rFonts w:ascii="Arial" w:hAnsi="Arial" w:cs="Arial"/>
          <w:bCs/>
          <w:szCs w:val="24"/>
          <w:lang w:val="en-GB"/>
        </w:rPr>
      </w:pPr>
    </w:p>
    <w:p w14:paraId="757D9FB8" w14:textId="78261CD9" w:rsidR="002D7FB3" w:rsidRPr="008E6A97" w:rsidRDefault="008E6A97" w:rsidP="008E6A97">
      <w:pPr>
        <w:spacing w:after="0" w:line="276" w:lineRule="auto"/>
        <w:ind w:left="1180" w:hanging="460"/>
        <w:rPr>
          <w:rFonts w:ascii="Arial" w:hAnsi="Arial" w:cs="Arial"/>
          <w:bCs/>
          <w:szCs w:val="24"/>
          <w:lang w:val="en-GB"/>
        </w:rPr>
      </w:pPr>
      <w:r>
        <w:rPr>
          <w:rFonts w:ascii="Arial" w:hAnsi="Arial" w:cs="Arial"/>
          <w:bCs/>
          <w:szCs w:val="24"/>
          <w:lang w:val="en-GB"/>
        </w:rPr>
        <w:t>15.4</w:t>
      </w:r>
      <w:r>
        <w:rPr>
          <w:rFonts w:ascii="Arial" w:hAnsi="Arial" w:cs="Arial"/>
          <w:bCs/>
          <w:szCs w:val="24"/>
          <w:lang w:val="en-GB"/>
        </w:rPr>
        <w:tab/>
      </w:r>
      <w:r w:rsidR="008C631C" w:rsidRPr="008E6A97">
        <w:rPr>
          <w:rFonts w:ascii="Arial" w:hAnsi="Arial" w:cs="Arial"/>
          <w:bCs/>
          <w:szCs w:val="24"/>
          <w:lang w:val="en-GB"/>
        </w:rPr>
        <w:t>the importance of the issue(s) that the matter raises;</w:t>
      </w:r>
    </w:p>
    <w:p w14:paraId="6F6559F1" w14:textId="77777777" w:rsidR="002D7FB3" w:rsidRPr="002D7FB3" w:rsidRDefault="002D7FB3" w:rsidP="002D7FB3">
      <w:pPr>
        <w:pStyle w:val="ListParagraph"/>
        <w:rPr>
          <w:rFonts w:ascii="Arial" w:hAnsi="Arial" w:cs="Arial"/>
          <w:bCs/>
          <w:szCs w:val="24"/>
          <w:lang w:val="en-GB"/>
        </w:rPr>
      </w:pPr>
    </w:p>
    <w:p w14:paraId="40C3EB53" w14:textId="20041F25" w:rsidR="002D7FB3" w:rsidRPr="008E6A97" w:rsidRDefault="008E6A97" w:rsidP="008E6A97">
      <w:pPr>
        <w:spacing w:after="0" w:line="276" w:lineRule="auto"/>
        <w:ind w:left="1180" w:hanging="460"/>
        <w:rPr>
          <w:rFonts w:ascii="Arial" w:hAnsi="Arial" w:cs="Arial"/>
          <w:bCs/>
          <w:szCs w:val="24"/>
          <w:lang w:val="en-GB"/>
        </w:rPr>
      </w:pPr>
      <w:r>
        <w:rPr>
          <w:rFonts w:ascii="Arial" w:hAnsi="Arial" w:cs="Arial"/>
          <w:bCs/>
          <w:szCs w:val="24"/>
          <w:lang w:val="en-GB"/>
        </w:rPr>
        <w:t>15.5</w:t>
      </w:r>
      <w:r>
        <w:rPr>
          <w:rFonts w:ascii="Arial" w:hAnsi="Arial" w:cs="Arial"/>
          <w:bCs/>
          <w:szCs w:val="24"/>
          <w:lang w:val="en-GB"/>
        </w:rPr>
        <w:tab/>
      </w:r>
      <w:r w:rsidR="008C631C" w:rsidRPr="008E6A97">
        <w:rPr>
          <w:rFonts w:ascii="Arial" w:hAnsi="Arial" w:cs="Arial"/>
          <w:bCs/>
          <w:szCs w:val="24"/>
          <w:lang w:val="en-GB"/>
        </w:rPr>
        <w:t>the prejudice to the other party or parties; and</w:t>
      </w:r>
    </w:p>
    <w:p w14:paraId="37279835" w14:textId="77777777" w:rsidR="002D7FB3" w:rsidRPr="002D7FB3" w:rsidRDefault="002D7FB3" w:rsidP="002D7FB3">
      <w:pPr>
        <w:pStyle w:val="ListParagraph"/>
        <w:rPr>
          <w:rFonts w:ascii="Arial" w:hAnsi="Arial" w:cs="Arial"/>
          <w:bCs/>
          <w:szCs w:val="24"/>
          <w:lang w:val="en-GB"/>
        </w:rPr>
      </w:pPr>
    </w:p>
    <w:p w14:paraId="0447A2DF" w14:textId="6619A0CF" w:rsidR="008C631C" w:rsidRPr="008E6A97" w:rsidRDefault="008E6A97" w:rsidP="008E6A97">
      <w:pPr>
        <w:spacing w:after="0" w:line="276" w:lineRule="auto"/>
        <w:ind w:left="1180" w:hanging="460"/>
        <w:rPr>
          <w:rFonts w:ascii="Arial" w:hAnsi="Arial" w:cs="Arial"/>
          <w:bCs/>
          <w:szCs w:val="24"/>
          <w:lang w:val="en-GB"/>
        </w:rPr>
      </w:pPr>
      <w:r w:rsidRPr="002D7FB3">
        <w:rPr>
          <w:rFonts w:ascii="Arial" w:hAnsi="Arial" w:cs="Arial"/>
          <w:bCs/>
          <w:szCs w:val="24"/>
          <w:lang w:val="en-GB"/>
        </w:rPr>
        <w:t>15.6</w:t>
      </w:r>
      <w:r w:rsidRPr="002D7FB3">
        <w:rPr>
          <w:rFonts w:ascii="Arial" w:hAnsi="Arial" w:cs="Arial"/>
          <w:bCs/>
          <w:szCs w:val="24"/>
          <w:lang w:val="en-GB"/>
        </w:rPr>
        <w:tab/>
      </w:r>
      <w:r w:rsidR="008C631C" w:rsidRPr="008E6A97">
        <w:rPr>
          <w:rFonts w:ascii="Arial" w:hAnsi="Arial" w:cs="Arial"/>
          <w:bCs/>
          <w:szCs w:val="24"/>
          <w:lang w:val="en-GB"/>
        </w:rPr>
        <w:t>the effect of the delay on the administration of justice.</w:t>
      </w:r>
    </w:p>
    <w:p w14:paraId="4B3FE71B" w14:textId="77777777" w:rsidR="008C631C" w:rsidRPr="008C631C" w:rsidRDefault="008C631C" w:rsidP="008C631C">
      <w:pPr>
        <w:spacing w:after="0" w:line="276" w:lineRule="auto"/>
        <w:rPr>
          <w:rFonts w:ascii="Arial" w:hAnsi="Arial" w:cs="Arial"/>
          <w:bCs/>
          <w:szCs w:val="24"/>
          <w:lang w:val="en-GB"/>
        </w:rPr>
      </w:pPr>
    </w:p>
    <w:p w14:paraId="6D91C315" w14:textId="648F2C6A"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[16]</w:t>
      </w:r>
      <w:r w:rsidRPr="00A65788">
        <w:rPr>
          <w:rFonts w:ascii="Arial" w:hAnsi="Arial" w:cs="Arial"/>
          <w:bCs/>
          <w:szCs w:val="24"/>
          <w:lang w:val="en-GB"/>
        </w:rPr>
        <w:tab/>
      </w:r>
      <w:r w:rsidR="008C631C" w:rsidRPr="008E6A97">
        <w:rPr>
          <w:rFonts w:ascii="Arial" w:hAnsi="Arial" w:cs="Arial"/>
          <w:bCs/>
          <w:szCs w:val="24"/>
          <w:lang w:val="en-GB"/>
        </w:rPr>
        <w:t>Whether to grant or refuse condonation is discretionary. The Constitutional Court</w:t>
      </w:r>
      <w:r w:rsidR="008C631C" w:rsidRPr="008E6A97">
        <w:rPr>
          <w:rFonts w:ascii="Arial" w:hAnsi="Arial" w:cs="Arial"/>
          <w:bCs/>
          <w:i/>
          <w:iCs/>
          <w:szCs w:val="24"/>
          <w:lang w:val="en-GB"/>
        </w:rPr>
        <w:t xml:space="preserve"> </w:t>
      </w:r>
      <w:r w:rsidR="008C631C" w:rsidRPr="008E6A97">
        <w:rPr>
          <w:rFonts w:ascii="Arial" w:hAnsi="Arial" w:cs="Arial"/>
          <w:bCs/>
          <w:szCs w:val="24"/>
          <w:lang w:val="en-GB"/>
        </w:rPr>
        <w:t xml:space="preserve">in </w:t>
      </w:r>
      <w:r w:rsidR="008C631C" w:rsidRPr="008E6A97">
        <w:rPr>
          <w:rFonts w:ascii="Arial" w:hAnsi="Arial" w:cs="Arial"/>
          <w:bCs/>
          <w:i/>
          <w:iCs/>
          <w:szCs w:val="24"/>
          <w:lang w:val="en-GB"/>
        </w:rPr>
        <w:t xml:space="preserve">Grootboom </w:t>
      </w:r>
      <w:r w:rsidR="00652687" w:rsidRPr="008E6A97">
        <w:rPr>
          <w:rFonts w:ascii="Arial" w:hAnsi="Arial" w:cs="Arial"/>
          <w:bCs/>
          <w:i/>
          <w:iCs/>
          <w:szCs w:val="24"/>
          <w:lang w:val="en-GB"/>
        </w:rPr>
        <w:t>v</w:t>
      </w:r>
      <w:r w:rsidR="008C631C" w:rsidRPr="008E6A97">
        <w:rPr>
          <w:rFonts w:ascii="Arial" w:hAnsi="Arial" w:cs="Arial"/>
          <w:bCs/>
          <w:i/>
          <w:iCs/>
          <w:szCs w:val="24"/>
          <w:lang w:val="en-GB"/>
        </w:rPr>
        <w:t xml:space="preserve"> National Prosecuting Authority and Another</w:t>
      </w:r>
      <w:r w:rsidR="008C631C" w:rsidRPr="008C631C">
        <w:rPr>
          <w:i/>
          <w:iCs/>
          <w:vertAlign w:val="superscript"/>
          <w:lang w:val="en-GB"/>
        </w:rPr>
        <w:footnoteReference w:id="6"/>
      </w:r>
      <w:r w:rsidR="008C631C" w:rsidRPr="008E6A97">
        <w:rPr>
          <w:rFonts w:ascii="Arial" w:hAnsi="Arial" w:cs="Arial"/>
          <w:bCs/>
          <w:szCs w:val="24"/>
          <w:lang w:val="en-GB"/>
        </w:rPr>
        <w:t xml:space="preserve"> stated that:</w:t>
      </w:r>
    </w:p>
    <w:p w14:paraId="0BF5F963" w14:textId="77777777" w:rsidR="008C631C" w:rsidRPr="008C631C" w:rsidRDefault="008C631C" w:rsidP="008C631C">
      <w:pPr>
        <w:spacing w:after="0" w:line="276" w:lineRule="auto"/>
        <w:rPr>
          <w:rFonts w:ascii="Arial" w:hAnsi="Arial" w:cs="Arial"/>
          <w:bCs/>
          <w:szCs w:val="24"/>
          <w:lang w:val="en-GB"/>
        </w:rPr>
      </w:pPr>
    </w:p>
    <w:p w14:paraId="766D0F12" w14:textId="77777777"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 xml:space="preserve">“…. It is axiomatic that condoning a party’s non-compliance with the rules or directions is an indulgence. The court seized with the matter has a discretion whether to grant condonation”. </w:t>
      </w:r>
    </w:p>
    <w:p w14:paraId="50E82A03" w14:textId="77777777" w:rsidR="008C631C" w:rsidRPr="008C631C" w:rsidRDefault="008C631C" w:rsidP="008C631C">
      <w:pPr>
        <w:spacing w:after="0" w:line="276" w:lineRule="auto"/>
        <w:rPr>
          <w:rFonts w:ascii="Arial" w:hAnsi="Arial" w:cs="Arial"/>
          <w:bCs/>
          <w:szCs w:val="24"/>
          <w:lang w:val="en-GB"/>
        </w:rPr>
      </w:pPr>
    </w:p>
    <w:p w14:paraId="75A09452" w14:textId="6AC32490" w:rsidR="008C631C" w:rsidRPr="008E6A97" w:rsidRDefault="008E6A97" w:rsidP="008E6A97">
      <w:pPr>
        <w:spacing w:after="0" w:line="276" w:lineRule="auto"/>
        <w:ind w:left="720" w:hanging="686"/>
        <w:rPr>
          <w:rFonts w:ascii="Arial" w:hAnsi="Arial" w:cs="Arial"/>
          <w:bCs/>
          <w:i/>
          <w:iCs/>
          <w:szCs w:val="24"/>
          <w:lang w:val="en-GB"/>
        </w:rPr>
      </w:pPr>
      <w:r w:rsidRPr="00A65788">
        <w:rPr>
          <w:rFonts w:ascii="Arial" w:hAnsi="Arial" w:cs="Arial"/>
          <w:bCs/>
          <w:iCs/>
          <w:szCs w:val="24"/>
          <w:lang w:val="en-GB"/>
        </w:rPr>
        <w:t>[17]</w:t>
      </w:r>
      <w:r w:rsidRPr="00A65788">
        <w:rPr>
          <w:rFonts w:ascii="Arial" w:hAnsi="Arial" w:cs="Arial"/>
          <w:bCs/>
          <w:iCs/>
          <w:szCs w:val="24"/>
          <w:lang w:val="en-GB"/>
        </w:rPr>
        <w:tab/>
      </w:r>
      <w:r w:rsidR="008C631C" w:rsidRPr="008E6A97">
        <w:rPr>
          <w:rFonts w:ascii="Arial" w:hAnsi="Arial" w:cs="Arial"/>
          <w:bCs/>
          <w:szCs w:val="24"/>
          <w:lang w:val="en-GB"/>
        </w:rPr>
        <w:t>In applying for condonation, the state submitted that it was not easy to get the full transcribed record of the trial proceedings. I am mindful to the fact that this case was in the public domain that is why there was a media coverage. I am satisfied that the delay to noting an appeal was not occasioned by the state but the latter was delayed by the transcribers. In other words, the applicant has shown good cause as to why there was a delay in filing/noting the appeal. As such, I cannot find any prejudice on the side of the respondents if the condonation application succeeds. Therefore, I see no need to refuse condonation. I must allow it in the interests of justice</w:t>
      </w:r>
      <w:r w:rsidR="008C631C" w:rsidRPr="008E6A97">
        <w:rPr>
          <w:rFonts w:ascii="Arial" w:hAnsi="Arial" w:cs="Arial"/>
          <w:bCs/>
          <w:i/>
          <w:iCs/>
          <w:szCs w:val="24"/>
          <w:lang w:val="en-GB"/>
        </w:rPr>
        <w:t xml:space="preserve">. </w:t>
      </w:r>
    </w:p>
    <w:p w14:paraId="2C6708D3" w14:textId="77777777" w:rsidR="008C631C" w:rsidRPr="008C631C" w:rsidRDefault="008C631C" w:rsidP="008C631C">
      <w:pPr>
        <w:spacing w:after="0" w:line="276" w:lineRule="auto"/>
        <w:rPr>
          <w:rFonts w:ascii="Arial" w:hAnsi="Arial" w:cs="Arial"/>
          <w:bCs/>
          <w:szCs w:val="24"/>
          <w:lang w:val="en-GB"/>
        </w:rPr>
      </w:pPr>
    </w:p>
    <w:p w14:paraId="07CA4406" w14:textId="6E5CB95B" w:rsidR="008C631C" w:rsidRPr="008E6A97" w:rsidRDefault="008E6A97" w:rsidP="008E6A97">
      <w:pPr>
        <w:spacing w:after="0" w:line="276" w:lineRule="auto"/>
        <w:ind w:left="720" w:hanging="686"/>
        <w:rPr>
          <w:rFonts w:ascii="Arial" w:hAnsi="Arial" w:cs="Arial"/>
          <w:bCs/>
          <w:i/>
          <w:iCs/>
          <w:szCs w:val="24"/>
          <w:lang w:val="en-GB"/>
        </w:rPr>
      </w:pPr>
      <w:r w:rsidRPr="00A65788">
        <w:rPr>
          <w:rFonts w:ascii="Arial" w:hAnsi="Arial" w:cs="Arial"/>
          <w:bCs/>
          <w:iCs/>
          <w:szCs w:val="24"/>
          <w:lang w:val="en-GB"/>
        </w:rPr>
        <w:t>[18]</w:t>
      </w:r>
      <w:r w:rsidRPr="00A65788">
        <w:rPr>
          <w:rFonts w:ascii="Arial" w:hAnsi="Arial" w:cs="Arial"/>
          <w:bCs/>
          <w:iCs/>
          <w:szCs w:val="24"/>
          <w:lang w:val="en-GB"/>
        </w:rPr>
        <w:tab/>
      </w:r>
      <w:r w:rsidR="008C631C" w:rsidRPr="008E6A97">
        <w:rPr>
          <w:rFonts w:ascii="Arial" w:hAnsi="Arial" w:cs="Arial"/>
          <w:bCs/>
          <w:szCs w:val="24"/>
          <w:lang w:val="en-GB"/>
        </w:rPr>
        <w:t xml:space="preserve">The law dictates that the state can only appeal on a question of law and not on a wrong factual findings by a trial court. In </w:t>
      </w:r>
      <w:r w:rsidR="008C631C" w:rsidRPr="008E6A97">
        <w:rPr>
          <w:rFonts w:ascii="Arial" w:hAnsi="Arial" w:cs="Arial"/>
          <w:bCs/>
          <w:i/>
          <w:iCs/>
          <w:szCs w:val="24"/>
          <w:lang w:val="en-GB"/>
        </w:rPr>
        <w:t>S v Basson</w:t>
      </w:r>
      <w:r w:rsidR="008C631C" w:rsidRPr="008C631C">
        <w:rPr>
          <w:i/>
          <w:iCs/>
          <w:vertAlign w:val="superscript"/>
          <w:lang w:val="en-GB"/>
        </w:rPr>
        <w:footnoteReference w:id="7"/>
      </w:r>
      <w:r w:rsidR="008C631C" w:rsidRPr="008E6A97">
        <w:rPr>
          <w:rFonts w:ascii="Arial" w:hAnsi="Arial" w:cs="Arial"/>
          <w:bCs/>
          <w:szCs w:val="24"/>
          <w:lang w:val="en-GB"/>
        </w:rPr>
        <w:t xml:space="preserve"> the court said court said</w:t>
      </w:r>
      <w:r w:rsidR="008C631C" w:rsidRPr="008E6A97">
        <w:rPr>
          <w:rFonts w:ascii="Arial" w:hAnsi="Arial" w:cs="Arial"/>
          <w:bCs/>
          <w:i/>
          <w:iCs/>
          <w:szCs w:val="24"/>
          <w:lang w:val="en-GB"/>
        </w:rPr>
        <w:t>:</w:t>
      </w:r>
    </w:p>
    <w:p w14:paraId="75A04496" w14:textId="77777777" w:rsidR="008C631C" w:rsidRPr="008C631C" w:rsidRDefault="008C631C" w:rsidP="008C631C">
      <w:pPr>
        <w:spacing w:after="0" w:line="276" w:lineRule="auto"/>
        <w:rPr>
          <w:rFonts w:ascii="Arial" w:hAnsi="Arial" w:cs="Arial"/>
          <w:bCs/>
          <w:szCs w:val="24"/>
          <w:lang w:val="en-GB"/>
        </w:rPr>
      </w:pPr>
    </w:p>
    <w:p w14:paraId="2074275B" w14:textId="6F0A68E8"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 xml:space="preserve">“The only way in which the state can appeal against the decision of the trial court in terms of the act is therefore by way of the reservation of a question of </w:t>
      </w:r>
      <w:r w:rsidRPr="008C631C">
        <w:rPr>
          <w:rFonts w:ascii="Arial" w:hAnsi="Arial" w:cs="Arial"/>
          <w:bCs/>
          <w:szCs w:val="24"/>
          <w:lang w:val="en-GB"/>
        </w:rPr>
        <w:lastRenderedPageBreak/>
        <w:t xml:space="preserve">law in terms of section 319. The state has no right of appeal in terms of the Act in respect of erroneous findings of fact by the trial judge. Only if the trial court has given a wrong decision due to a legal error can the state appeal. In order to determine whether the trial court committed an error of law, it must be </w:t>
      </w:r>
      <w:r w:rsidR="00FA3F96" w:rsidRPr="008C631C">
        <w:rPr>
          <w:rFonts w:ascii="Arial" w:hAnsi="Arial" w:cs="Arial"/>
          <w:bCs/>
          <w:szCs w:val="24"/>
          <w:lang w:val="en-GB"/>
        </w:rPr>
        <w:t>determined</w:t>
      </w:r>
      <w:r w:rsidRPr="008C631C">
        <w:rPr>
          <w:rFonts w:ascii="Arial" w:hAnsi="Arial" w:cs="Arial"/>
          <w:bCs/>
          <w:szCs w:val="24"/>
          <w:lang w:val="en-GB"/>
        </w:rPr>
        <w:t xml:space="preserve"> on what factual basis it based its decision. After all, another factual basis cannot give an indication as to whether the judge committed a legal error. Whether the trial court’s findings of fact are right or wrong is therefore totally irrelevant in order to determine whether he erred in law. It follows that a legal question arises only when the facts on which the trial court bases its ruling may have a different legal consequence than the legal consequence that the trial court found. For the aforesaid reasons (a) there must be certainty as to the point of law at issue and of the facts on which the trial judge based his finding; and (b) when a question of law is reserved, it must be clearly stated, not only which point of law is involved, but also the facts on which the trial court based its findings (See </w:t>
      </w:r>
      <w:r w:rsidRPr="008C631C">
        <w:rPr>
          <w:rFonts w:ascii="Arial" w:hAnsi="Arial" w:cs="Arial"/>
          <w:bCs/>
          <w:i/>
          <w:iCs/>
          <w:szCs w:val="24"/>
          <w:lang w:val="en-GB"/>
        </w:rPr>
        <w:t xml:space="preserve">Director of Public Prosecutions, Natal </w:t>
      </w:r>
      <w:r w:rsidR="00B13736">
        <w:rPr>
          <w:rFonts w:ascii="Arial" w:hAnsi="Arial" w:cs="Arial"/>
          <w:bCs/>
          <w:i/>
          <w:iCs/>
          <w:szCs w:val="24"/>
          <w:lang w:val="en-GB"/>
        </w:rPr>
        <w:t>v</w:t>
      </w:r>
      <w:r w:rsidRPr="008C631C">
        <w:rPr>
          <w:rFonts w:ascii="Arial" w:hAnsi="Arial" w:cs="Arial"/>
          <w:bCs/>
          <w:i/>
          <w:iCs/>
          <w:szCs w:val="24"/>
          <w:lang w:val="en-GB"/>
        </w:rPr>
        <w:t xml:space="preserve"> Magidela and </w:t>
      </w:r>
      <w:r w:rsidR="000A4BEE" w:rsidRPr="008C631C">
        <w:rPr>
          <w:rFonts w:ascii="Arial" w:hAnsi="Arial" w:cs="Arial"/>
          <w:bCs/>
          <w:i/>
          <w:iCs/>
          <w:szCs w:val="24"/>
          <w:lang w:val="en-GB"/>
        </w:rPr>
        <w:t xml:space="preserve">Another </w:t>
      </w:r>
      <w:r w:rsidR="000A4BEE" w:rsidRPr="008C631C">
        <w:rPr>
          <w:rFonts w:ascii="Arial" w:hAnsi="Arial" w:cs="Arial"/>
          <w:bCs/>
          <w:szCs w:val="24"/>
          <w:lang w:val="en-GB"/>
        </w:rPr>
        <w:t>2000</w:t>
      </w:r>
      <w:r w:rsidRPr="008C631C">
        <w:rPr>
          <w:rFonts w:ascii="Arial" w:hAnsi="Arial" w:cs="Arial"/>
          <w:bCs/>
          <w:szCs w:val="24"/>
          <w:lang w:val="en-GB"/>
        </w:rPr>
        <w:t xml:space="preserve"> (1) SACR 458 at para 462g-463c). when the state has such a legal question reserved, it is therefore necessary for the state to compile the specific facts properly and in full as part of the exposition of the question of law (see S </w:t>
      </w:r>
      <w:r w:rsidR="00B13736">
        <w:rPr>
          <w:rFonts w:ascii="Arial" w:hAnsi="Arial" w:cs="Arial"/>
          <w:bCs/>
          <w:szCs w:val="24"/>
          <w:lang w:val="en-GB"/>
        </w:rPr>
        <w:t>v</w:t>
      </w:r>
      <w:r w:rsidRPr="008C631C">
        <w:rPr>
          <w:rFonts w:ascii="Arial" w:hAnsi="Arial" w:cs="Arial"/>
          <w:bCs/>
          <w:szCs w:val="24"/>
          <w:lang w:val="en-GB"/>
        </w:rPr>
        <w:t xml:space="preserve"> Goliath 1972 (3) SA  1 (A) at 9H)”</w:t>
      </w:r>
    </w:p>
    <w:p w14:paraId="23168116" w14:textId="77777777" w:rsidR="008C631C" w:rsidRPr="008C631C" w:rsidRDefault="008C631C" w:rsidP="008C631C">
      <w:pPr>
        <w:spacing w:after="0" w:line="276" w:lineRule="auto"/>
        <w:rPr>
          <w:rFonts w:ascii="Arial" w:hAnsi="Arial" w:cs="Arial"/>
          <w:bCs/>
          <w:szCs w:val="24"/>
          <w:lang w:val="en-GB"/>
        </w:rPr>
      </w:pPr>
    </w:p>
    <w:p w14:paraId="3162F738" w14:textId="3B6A9627"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[19]</w:t>
      </w:r>
      <w:r w:rsidRPr="00A65788">
        <w:rPr>
          <w:rFonts w:ascii="Arial" w:hAnsi="Arial" w:cs="Arial"/>
          <w:bCs/>
          <w:szCs w:val="24"/>
          <w:lang w:val="en-GB"/>
        </w:rPr>
        <w:tab/>
      </w:r>
      <w:r w:rsidR="008C631C" w:rsidRPr="008E6A97">
        <w:rPr>
          <w:rFonts w:ascii="Arial" w:hAnsi="Arial" w:cs="Arial"/>
          <w:bCs/>
          <w:szCs w:val="24"/>
          <w:lang w:val="en-GB"/>
        </w:rPr>
        <w:t>In terms of section 319, the Appeal Court is not allowed to entertain the appeal on the merits. The Supreme Court of Appeal observed, in </w:t>
      </w:r>
      <w:r w:rsidR="008C631C" w:rsidRPr="008E6A97">
        <w:rPr>
          <w:rFonts w:ascii="Arial" w:hAnsi="Arial" w:cs="Arial"/>
          <w:bCs/>
          <w:i/>
          <w:iCs/>
          <w:szCs w:val="24"/>
          <w:lang w:val="en-GB"/>
        </w:rPr>
        <w:t>DPP,</w:t>
      </w:r>
      <w:r w:rsidR="000A4BEE" w:rsidRPr="008E6A97">
        <w:rPr>
          <w:rFonts w:ascii="Arial" w:hAnsi="Arial" w:cs="Arial"/>
          <w:bCs/>
          <w:i/>
          <w:iCs/>
          <w:szCs w:val="24"/>
          <w:lang w:val="en-GB"/>
        </w:rPr>
        <w:t xml:space="preserve"> </w:t>
      </w:r>
      <w:r w:rsidR="008C631C" w:rsidRPr="008E6A97">
        <w:rPr>
          <w:rFonts w:ascii="Arial" w:hAnsi="Arial" w:cs="Arial"/>
          <w:bCs/>
          <w:i/>
          <w:iCs/>
          <w:szCs w:val="24"/>
          <w:lang w:val="en-GB"/>
        </w:rPr>
        <w:t>WP v</w:t>
      </w:r>
      <w:r w:rsidR="008C631C" w:rsidRPr="008E6A97">
        <w:rPr>
          <w:rFonts w:ascii="Arial" w:hAnsi="Arial" w:cs="Arial"/>
          <w:bCs/>
          <w:szCs w:val="24"/>
          <w:lang w:val="en-GB"/>
        </w:rPr>
        <w:t> </w:t>
      </w:r>
      <w:r w:rsidR="008C631C" w:rsidRPr="008E6A97">
        <w:rPr>
          <w:rFonts w:ascii="Arial" w:hAnsi="Arial" w:cs="Arial"/>
          <w:bCs/>
          <w:i/>
          <w:iCs/>
          <w:szCs w:val="24"/>
          <w:lang w:val="en-GB"/>
        </w:rPr>
        <w:t>Schoeman,</w:t>
      </w:r>
      <w:r w:rsidR="008C631C" w:rsidRPr="008C631C">
        <w:rPr>
          <w:i/>
          <w:iCs/>
          <w:vertAlign w:val="superscript"/>
          <w:lang w:val="en-GB"/>
        </w:rPr>
        <w:footnoteReference w:id="8"/>
      </w:r>
      <w:r w:rsidR="008C631C" w:rsidRPr="008E6A97">
        <w:rPr>
          <w:rFonts w:ascii="Arial" w:hAnsi="Arial" w:cs="Arial"/>
          <w:bCs/>
          <w:szCs w:val="24"/>
          <w:lang w:val="en-GB"/>
        </w:rPr>
        <w:t>  that:</w:t>
      </w:r>
    </w:p>
    <w:p w14:paraId="3CB2EB19" w14:textId="77777777" w:rsidR="008C631C" w:rsidRPr="008C631C" w:rsidRDefault="008C631C" w:rsidP="008C631C">
      <w:pPr>
        <w:spacing w:after="0" w:line="276" w:lineRule="auto"/>
        <w:rPr>
          <w:rFonts w:ascii="Arial" w:hAnsi="Arial" w:cs="Arial"/>
          <w:bCs/>
          <w:szCs w:val="24"/>
          <w:lang w:val="en-GB"/>
        </w:rPr>
      </w:pPr>
    </w:p>
    <w:p w14:paraId="36F1EA0F" w14:textId="77777777"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 xml:space="preserve"> “If we were to entertain the appeal on the merits, we would face the task of having to ascertain the relevant facts. To this end, we would have to read the entire record and re-evaluate all of the evidence, thereby second-guessing the trial judge who was best placed to do this. We would thus have to approach the matter as if this were a full appeal on the merits. The problem does not end there. Having embarked on this task, we would have to decide whether the facts established by us accord with those found by the trial court. It is only if we find that the factual findings of the trial court were wrong and the result of a legal error would we be obliged to interfere with the decision of the trial court. This is why courts of appeal require strict adherence to the requirement for the State to set out the factual basis for the reservation of any point of law before it will entertain it. Here the State has not even attempted to comply with this requirement. We thus hold that the State has not properly reserved its four points of law. That ought to be the end of the matter. We consider it necessary, however, to deal further with the issue”.</w:t>
      </w:r>
    </w:p>
    <w:p w14:paraId="79AD2254" w14:textId="77777777" w:rsidR="008C631C" w:rsidRPr="008C631C" w:rsidRDefault="008C631C" w:rsidP="008C631C">
      <w:pPr>
        <w:spacing w:after="0" w:line="276" w:lineRule="auto"/>
        <w:rPr>
          <w:rFonts w:ascii="Arial" w:hAnsi="Arial" w:cs="Arial"/>
          <w:bCs/>
          <w:szCs w:val="24"/>
          <w:lang w:val="en-GB"/>
        </w:rPr>
      </w:pPr>
    </w:p>
    <w:p w14:paraId="020AEB67" w14:textId="0824F302"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[20]</w:t>
      </w:r>
      <w:r w:rsidRPr="00A65788">
        <w:rPr>
          <w:rFonts w:ascii="Arial" w:hAnsi="Arial" w:cs="Arial"/>
          <w:bCs/>
          <w:szCs w:val="24"/>
          <w:lang w:val="en-GB"/>
        </w:rPr>
        <w:tab/>
      </w:r>
      <w:r w:rsidR="008C631C" w:rsidRPr="008E6A97">
        <w:rPr>
          <w:rFonts w:ascii="Arial" w:hAnsi="Arial" w:cs="Arial"/>
          <w:bCs/>
          <w:szCs w:val="24"/>
          <w:lang w:val="en-GB"/>
        </w:rPr>
        <w:t xml:space="preserve">On the same breath, in </w:t>
      </w:r>
      <w:r w:rsidR="008C631C" w:rsidRPr="008E6A97">
        <w:rPr>
          <w:rFonts w:ascii="Arial" w:hAnsi="Arial" w:cs="Arial"/>
          <w:bCs/>
          <w:i/>
          <w:iCs/>
          <w:szCs w:val="24"/>
          <w:lang w:val="en-GB"/>
        </w:rPr>
        <w:t>Director of Public Prosecutions, Free State v Mokati</w:t>
      </w:r>
      <w:r w:rsidR="008C631C" w:rsidRPr="008C631C">
        <w:rPr>
          <w:i/>
          <w:iCs/>
          <w:vertAlign w:val="superscript"/>
          <w:lang w:val="en-GB"/>
        </w:rPr>
        <w:footnoteReference w:id="9"/>
      </w:r>
      <w:r w:rsidR="008C631C" w:rsidRPr="008E6A97">
        <w:rPr>
          <w:rFonts w:ascii="Arial" w:hAnsi="Arial" w:cs="Arial"/>
          <w:bCs/>
          <w:szCs w:val="24"/>
          <w:lang w:val="en-GB"/>
        </w:rPr>
        <w:t xml:space="preserve"> that it is pertinent to many complaints by the state about mistakes made by the trial courts: </w:t>
      </w:r>
    </w:p>
    <w:p w14:paraId="22B17F14" w14:textId="77777777" w:rsidR="00A65788" w:rsidRDefault="00A65788" w:rsidP="008C631C">
      <w:pPr>
        <w:spacing w:after="0" w:line="276" w:lineRule="auto"/>
        <w:rPr>
          <w:rFonts w:ascii="Arial" w:hAnsi="Arial" w:cs="Arial"/>
          <w:bCs/>
          <w:szCs w:val="24"/>
          <w:lang w:val="en-GB"/>
        </w:rPr>
      </w:pPr>
    </w:p>
    <w:p w14:paraId="77F57DB2" w14:textId="7D6B9148"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“The mere fact the judicial process flawed, by the way trial court goes about assessing the evidence before it, does not justify permitting section 319 to be used by the prosecution to reserve a point for what is in truth misdirection of fact”.</w:t>
      </w:r>
    </w:p>
    <w:p w14:paraId="09CC6F7F" w14:textId="77777777" w:rsidR="00A65788" w:rsidRDefault="00A65788" w:rsidP="008C631C">
      <w:pPr>
        <w:spacing w:after="0" w:line="276" w:lineRule="auto"/>
        <w:rPr>
          <w:rFonts w:ascii="Arial" w:hAnsi="Arial" w:cs="Arial"/>
          <w:bCs/>
          <w:szCs w:val="24"/>
          <w:lang w:val="en-GB"/>
        </w:rPr>
      </w:pPr>
    </w:p>
    <w:p w14:paraId="05BF9317" w14:textId="191403E8" w:rsidR="00A65788" w:rsidRPr="008E6A97" w:rsidRDefault="008E6A97" w:rsidP="008E6A97">
      <w:pPr>
        <w:spacing w:after="0" w:line="276" w:lineRule="auto"/>
        <w:ind w:left="720" w:hanging="686"/>
        <w:rPr>
          <w:rFonts w:ascii="Arial" w:hAnsi="Arial" w:cs="Arial"/>
          <w:bCs/>
          <w:szCs w:val="24"/>
          <w:lang w:val="en-GB"/>
        </w:rPr>
      </w:pPr>
      <w:r>
        <w:rPr>
          <w:rFonts w:ascii="Arial" w:hAnsi="Arial" w:cs="Arial"/>
          <w:bCs/>
          <w:szCs w:val="24"/>
          <w:lang w:val="en-GB"/>
        </w:rPr>
        <w:t>[21]</w:t>
      </w:r>
      <w:r>
        <w:rPr>
          <w:rFonts w:ascii="Arial" w:hAnsi="Arial" w:cs="Arial"/>
          <w:bCs/>
          <w:szCs w:val="24"/>
          <w:lang w:val="en-GB"/>
        </w:rPr>
        <w:tab/>
      </w:r>
      <w:r w:rsidR="008C631C" w:rsidRPr="008E6A97">
        <w:rPr>
          <w:rFonts w:ascii="Arial" w:hAnsi="Arial" w:cs="Arial"/>
          <w:bCs/>
          <w:szCs w:val="24"/>
          <w:lang w:val="en-GB"/>
        </w:rPr>
        <w:t>To differentiate between questions of law and question of fact is not an easy subject. In</w:t>
      </w:r>
      <w:r w:rsidR="008C631C" w:rsidRPr="008E6A97">
        <w:rPr>
          <w:rFonts w:ascii="Arial" w:hAnsi="Arial" w:cs="Arial"/>
          <w:bCs/>
          <w:i/>
          <w:iCs/>
          <w:szCs w:val="24"/>
          <w:lang w:val="en-GB"/>
        </w:rPr>
        <w:t xml:space="preserve"> Mokati</w:t>
      </w:r>
      <w:r w:rsidR="008C631C" w:rsidRPr="008E6A97">
        <w:rPr>
          <w:rFonts w:ascii="Arial" w:hAnsi="Arial" w:cs="Arial"/>
          <w:bCs/>
          <w:szCs w:val="24"/>
          <w:lang w:val="en-GB"/>
        </w:rPr>
        <w:t xml:space="preserve"> it was held that the distinction between questions of law and questions of fact is notoriously difficult to draw.</w:t>
      </w:r>
      <w:r w:rsidR="008C631C" w:rsidRPr="008C631C">
        <w:rPr>
          <w:vertAlign w:val="superscript"/>
          <w:lang w:val="en-GB"/>
        </w:rPr>
        <w:footnoteReference w:id="10"/>
      </w:r>
      <w:r w:rsidR="008C631C" w:rsidRPr="008E6A97">
        <w:rPr>
          <w:rFonts w:ascii="Arial" w:hAnsi="Arial" w:cs="Arial"/>
          <w:bCs/>
          <w:szCs w:val="24"/>
          <w:lang w:val="en-GB"/>
        </w:rPr>
        <w:t xml:space="preserve"> My section 174 judgment detailed the state’s shortcomings that resulted in the discharge of the four respondents (formally accused persons). My judgment is to the effect that the state’s case is derived or premised from circumstantial evidence.</w:t>
      </w:r>
    </w:p>
    <w:p w14:paraId="75B8D634" w14:textId="77777777" w:rsidR="00A65788" w:rsidRDefault="00A65788" w:rsidP="00A65788">
      <w:pPr>
        <w:pStyle w:val="ListParagraph"/>
        <w:spacing w:after="0" w:line="276" w:lineRule="auto"/>
        <w:rPr>
          <w:rFonts w:ascii="Arial" w:hAnsi="Arial" w:cs="Arial"/>
          <w:bCs/>
          <w:szCs w:val="24"/>
          <w:lang w:val="en-GB"/>
        </w:rPr>
      </w:pPr>
    </w:p>
    <w:p w14:paraId="11F679E3" w14:textId="54082827"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[22]</w:t>
      </w:r>
      <w:r w:rsidRPr="00A65788">
        <w:rPr>
          <w:rFonts w:ascii="Arial" w:hAnsi="Arial" w:cs="Arial"/>
          <w:bCs/>
          <w:szCs w:val="24"/>
          <w:lang w:val="en-GB"/>
        </w:rPr>
        <w:tab/>
      </w:r>
      <w:r w:rsidR="008C631C" w:rsidRPr="008E6A97">
        <w:rPr>
          <w:rFonts w:ascii="Arial" w:hAnsi="Arial" w:cs="Arial"/>
          <w:bCs/>
          <w:szCs w:val="24"/>
          <w:lang w:val="en-GB"/>
        </w:rPr>
        <w:t xml:space="preserve">In </w:t>
      </w:r>
      <w:r w:rsidR="008C631C" w:rsidRPr="008E6A97">
        <w:rPr>
          <w:rFonts w:ascii="Arial" w:hAnsi="Arial" w:cs="Arial"/>
          <w:bCs/>
          <w:i/>
          <w:iCs/>
          <w:szCs w:val="24"/>
          <w:lang w:val="en-GB"/>
        </w:rPr>
        <w:t>S v Faku and Others</w:t>
      </w:r>
      <w:r w:rsidR="008C631C" w:rsidRPr="008C631C">
        <w:rPr>
          <w:i/>
          <w:iCs/>
          <w:vertAlign w:val="superscript"/>
          <w:lang w:val="en-GB"/>
        </w:rPr>
        <w:footnoteReference w:id="11"/>
      </w:r>
      <w:r w:rsidR="008C631C" w:rsidRPr="008E6A97">
        <w:rPr>
          <w:rFonts w:ascii="Arial" w:hAnsi="Arial" w:cs="Arial"/>
          <w:bCs/>
          <w:szCs w:val="24"/>
          <w:lang w:val="en-GB"/>
        </w:rPr>
        <w:t xml:space="preserve"> it was stated that the words “no evidence” have on numerous occasions, been interpreted to mean no evidence, upon which a reasonable man, acting carefully may convict. Circumstantial evidence consists of facts from which a fact in dispute may be inferred. It has been held that where the uncontradicted evidence of the State is circumstantial and more than one inference may be drawn, a discharge should be refused. The general rule regarding the drawing of inferences is that a court may only draw inferences that are consistent with all the proven facts, and where one or more are possible, it must satisfy itself that the inference sought to be drawn is the only most probable inference. </w:t>
      </w:r>
    </w:p>
    <w:p w14:paraId="046010D8" w14:textId="77777777" w:rsidR="00A65788" w:rsidRDefault="00A65788" w:rsidP="008C631C">
      <w:pPr>
        <w:spacing w:after="0" w:line="276" w:lineRule="auto"/>
        <w:rPr>
          <w:rFonts w:ascii="Arial" w:hAnsi="Arial" w:cs="Arial"/>
          <w:bCs/>
          <w:szCs w:val="24"/>
          <w:lang w:val="en-GB"/>
        </w:rPr>
      </w:pPr>
    </w:p>
    <w:p w14:paraId="09EA9AAC" w14:textId="757BFEE2" w:rsidR="001C5AB1" w:rsidRPr="008E6A97" w:rsidRDefault="008E6A97" w:rsidP="008E6A97">
      <w:pPr>
        <w:spacing w:after="0" w:line="276" w:lineRule="auto"/>
        <w:ind w:left="720" w:hanging="686"/>
        <w:rPr>
          <w:rFonts w:ascii="Arial" w:hAnsi="Arial" w:cs="Arial"/>
          <w:bCs/>
          <w:szCs w:val="24"/>
          <w:lang w:val="en-GB"/>
        </w:rPr>
      </w:pPr>
      <w:r>
        <w:rPr>
          <w:rFonts w:ascii="Arial" w:hAnsi="Arial" w:cs="Arial"/>
          <w:bCs/>
          <w:szCs w:val="24"/>
          <w:lang w:val="en-GB"/>
        </w:rPr>
        <w:t>[23]</w:t>
      </w:r>
      <w:r>
        <w:rPr>
          <w:rFonts w:ascii="Arial" w:hAnsi="Arial" w:cs="Arial"/>
          <w:bCs/>
          <w:szCs w:val="24"/>
          <w:lang w:val="en-GB"/>
        </w:rPr>
        <w:tab/>
      </w:r>
      <w:r w:rsidR="008C631C" w:rsidRPr="008E6A97">
        <w:rPr>
          <w:rFonts w:ascii="Arial" w:hAnsi="Arial" w:cs="Arial"/>
          <w:bCs/>
          <w:szCs w:val="24"/>
          <w:lang w:val="en-GB"/>
        </w:rPr>
        <w:t xml:space="preserve">The Appellate Division in </w:t>
      </w:r>
      <w:r w:rsidR="008C631C" w:rsidRPr="008E6A97">
        <w:rPr>
          <w:rFonts w:ascii="Arial" w:hAnsi="Arial" w:cs="Arial"/>
          <w:bCs/>
          <w:i/>
          <w:iCs/>
          <w:szCs w:val="24"/>
          <w:lang w:val="en-GB"/>
        </w:rPr>
        <w:t>R v Blom</w:t>
      </w:r>
      <w:r w:rsidR="008C631C" w:rsidRPr="008C631C">
        <w:rPr>
          <w:vertAlign w:val="superscript"/>
          <w:lang w:val="en-GB"/>
        </w:rPr>
        <w:footnoteReference w:id="12"/>
      </w:r>
      <w:r w:rsidR="008C631C" w:rsidRPr="008E6A97">
        <w:rPr>
          <w:rFonts w:ascii="Arial" w:hAnsi="Arial" w:cs="Arial"/>
          <w:bCs/>
          <w:szCs w:val="24"/>
          <w:lang w:val="en-GB"/>
        </w:rPr>
        <w:t xml:space="preserve"> set out two “cardinal rules of reasoning” to be considered when reasoning by inference in criminal trials:</w:t>
      </w:r>
    </w:p>
    <w:p w14:paraId="083C5F14" w14:textId="77777777" w:rsidR="001C5AB1" w:rsidRPr="001C5AB1" w:rsidRDefault="001C5AB1" w:rsidP="001C5AB1">
      <w:pPr>
        <w:pStyle w:val="ListParagraph"/>
        <w:rPr>
          <w:rFonts w:ascii="Arial" w:hAnsi="Arial" w:cs="Arial"/>
          <w:bCs/>
          <w:szCs w:val="24"/>
          <w:lang w:val="en-GB"/>
        </w:rPr>
      </w:pPr>
    </w:p>
    <w:p w14:paraId="7685B143" w14:textId="420C8B8C" w:rsidR="001C5AB1" w:rsidRPr="008E6A97" w:rsidRDefault="008E6A97" w:rsidP="008E6A97">
      <w:pPr>
        <w:spacing w:after="0" w:line="276" w:lineRule="auto"/>
        <w:ind w:left="1440" w:hanging="720"/>
        <w:rPr>
          <w:rFonts w:ascii="Arial" w:hAnsi="Arial" w:cs="Arial"/>
          <w:bCs/>
          <w:szCs w:val="24"/>
          <w:lang w:val="en-GB"/>
        </w:rPr>
      </w:pPr>
      <w:r>
        <w:rPr>
          <w:rFonts w:ascii="Arial" w:hAnsi="Arial" w:cs="Arial"/>
          <w:bCs/>
          <w:szCs w:val="24"/>
          <w:lang w:val="en-GB"/>
        </w:rPr>
        <w:t>23.1</w:t>
      </w:r>
      <w:r>
        <w:rPr>
          <w:rFonts w:ascii="Arial" w:hAnsi="Arial" w:cs="Arial"/>
          <w:bCs/>
          <w:szCs w:val="24"/>
          <w:lang w:val="en-GB"/>
        </w:rPr>
        <w:tab/>
      </w:r>
      <w:r w:rsidR="008C631C" w:rsidRPr="008E6A97">
        <w:rPr>
          <w:rFonts w:ascii="Arial" w:hAnsi="Arial" w:cs="Arial"/>
          <w:bCs/>
          <w:szCs w:val="24"/>
          <w:lang w:val="en-GB"/>
        </w:rPr>
        <w:t>the inference sought to be drawn must be consistent with all proved facts. If it is not, then the inference cannot be drawn.</w:t>
      </w:r>
    </w:p>
    <w:p w14:paraId="2CA1C3B3" w14:textId="77777777" w:rsidR="001C5AB1" w:rsidRDefault="001C5AB1" w:rsidP="001C5AB1">
      <w:pPr>
        <w:pStyle w:val="ListParagraph"/>
        <w:spacing w:after="0" w:line="276" w:lineRule="auto"/>
        <w:ind w:left="1440"/>
        <w:rPr>
          <w:rFonts w:ascii="Arial" w:hAnsi="Arial" w:cs="Arial"/>
          <w:bCs/>
          <w:szCs w:val="24"/>
          <w:lang w:val="en-GB"/>
        </w:rPr>
      </w:pPr>
    </w:p>
    <w:p w14:paraId="43442BAE" w14:textId="5829A9FC" w:rsidR="008C631C" w:rsidRPr="008E6A97" w:rsidRDefault="008E6A97" w:rsidP="008E6A97">
      <w:pPr>
        <w:spacing w:after="0" w:line="276" w:lineRule="auto"/>
        <w:ind w:left="1440" w:hanging="720"/>
        <w:rPr>
          <w:rFonts w:ascii="Arial" w:hAnsi="Arial" w:cs="Arial"/>
          <w:bCs/>
          <w:szCs w:val="24"/>
          <w:lang w:val="en-GB"/>
        </w:rPr>
      </w:pPr>
      <w:r w:rsidRPr="001C5AB1">
        <w:rPr>
          <w:rFonts w:ascii="Arial" w:hAnsi="Arial" w:cs="Arial"/>
          <w:bCs/>
          <w:szCs w:val="24"/>
          <w:lang w:val="en-GB"/>
        </w:rPr>
        <w:t>23.2</w:t>
      </w:r>
      <w:r w:rsidRPr="001C5AB1">
        <w:rPr>
          <w:rFonts w:ascii="Arial" w:hAnsi="Arial" w:cs="Arial"/>
          <w:bCs/>
          <w:szCs w:val="24"/>
          <w:lang w:val="en-GB"/>
        </w:rPr>
        <w:tab/>
      </w:r>
      <w:r w:rsidR="008C631C" w:rsidRPr="008E6A97">
        <w:rPr>
          <w:rFonts w:ascii="Arial" w:hAnsi="Arial" w:cs="Arial"/>
          <w:bCs/>
          <w:szCs w:val="24"/>
          <w:lang w:val="en-GB"/>
        </w:rPr>
        <w:t>The proved facts should be such that they exclude every reasonable inference from them save the one sought to be drawn. If they do not exclude other reasonable inferences, then there must be a doubt whether the inference sought to be drawn is correct.</w:t>
      </w:r>
    </w:p>
    <w:p w14:paraId="294C9857" w14:textId="77777777" w:rsidR="008C631C" w:rsidRPr="008C631C" w:rsidRDefault="008C631C" w:rsidP="008C631C">
      <w:pPr>
        <w:spacing w:after="0" w:line="276" w:lineRule="auto"/>
        <w:rPr>
          <w:rFonts w:ascii="Arial" w:hAnsi="Arial" w:cs="Arial"/>
          <w:bCs/>
          <w:szCs w:val="24"/>
          <w:lang w:val="en-GB"/>
        </w:rPr>
      </w:pPr>
    </w:p>
    <w:p w14:paraId="520EE491" w14:textId="5076459A" w:rsidR="00A65788" w:rsidRPr="008E6A97" w:rsidRDefault="008E6A97" w:rsidP="008E6A97">
      <w:pPr>
        <w:spacing w:after="0" w:line="276" w:lineRule="auto"/>
        <w:ind w:left="720" w:hanging="686"/>
        <w:rPr>
          <w:rFonts w:ascii="Arial" w:hAnsi="Arial" w:cs="Arial"/>
          <w:bCs/>
          <w:szCs w:val="24"/>
          <w:lang w:val="en-GB"/>
        </w:rPr>
      </w:pPr>
      <w:r>
        <w:rPr>
          <w:rFonts w:ascii="Arial" w:hAnsi="Arial" w:cs="Arial"/>
          <w:bCs/>
          <w:szCs w:val="24"/>
          <w:lang w:val="en-GB"/>
        </w:rPr>
        <w:t>[24]</w:t>
      </w:r>
      <w:r>
        <w:rPr>
          <w:rFonts w:ascii="Arial" w:hAnsi="Arial" w:cs="Arial"/>
          <w:bCs/>
          <w:szCs w:val="24"/>
          <w:lang w:val="en-GB"/>
        </w:rPr>
        <w:tab/>
      </w:r>
      <w:r w:rsidR="008C631C" w:rsidRPr="008E6A97">
        <w:rPr>
          <w:rFonts w:ascii="Arial" w:hAnsi="Arial" w:cs="Arial"/>
          <w:bCs/>
          <w:szCs w:val="24"/>
          <w:lang w:val="en-GB"/>
        </w:rPr>
        <w:t>Since this case is premised from circumstantial evidence, in the inferential reasoning, I combined a number of pieces of evidence, to mention the few, video footage that I viewed in court, the scene was contaminated, evidence of ballistic expert, contradictions between evidence of state witnesses on the issue whether a rubber bullet is lethal or not.</w:t>
      </w:r>
    </w:p>
    <w:p w14:paraId="1F239358" w14:textId="77777777" w:rsidR="00A65788" w:rsidRDefault="00A65788" w:rsidP="00A65788">
      <w:pPr>
        <w:pStyle w:val="ListParagraph"/>
        <w:spacing w:after="0" w:line="276" w:lineRule="auto"/>
        <w:rPr>
          <w:rFonts w:ascii="Arial" w:hAnsi="Arial" w:cs="Arial"/>
          <w:bCs/>
          <w:szCs w:val="24"/>
          <w:lang w:val="en-GB"/>
        </w:rPr>
      </w:pPr>
    </w:p>
    <w:p w14:paraId="19B0812F" w14:textId="11C7917B"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lastRenderedPageBreak/>
        <w:t>[25]</w:t>
      </w:r>
      <w:r w:rsidRPr="00A65788">
        <w:rPr>
          <w:rFonts w:ascii="Arial" w:hAnsi="Arial" w:cs="Arial"/>
          <w:bCs/>
          <w:szCs w:val="24"/>
          <w:lang w:val="en-GB"/>
        </w:rPr>
        <w:tab/>
      </w:r>
      <w:r w:rsidR="008C631C" w:rsidRPr="008E6A97">
        <w:rPr>
          <w:rFonts w:ascii="Arial" w:hAnsi="Arial" w:cs="Arial"/>
          <w:bCs/>
          <w:szCs w:val="24"/>
          <w:lang w:val="en-GB"/>
        </w:rPr>
        <w:t>In respect of the video footage, after having listened from evidence of other state witnesses who viewed a certain video footage at the offices of IPID, I indicated that the one I viewed was different from the one viewed from the offices of IPID. The issue of the pocket book in relation to fourth respondent is reflected at para 81on page 32 of my judgement. In this regard, my judgement reads as follows:</w:t>
      </w:r>
    </w:p>
    <w:p w14:paraId="2358B8B3" w14:textId="77777777" w:rsidR="008C631C" w:rsidRPr="008C631C" w:rsidRDefault="008C631C" w:rsidP="008C631C">
      <w:pPr>
        <w:spacing w:after="0" w:line="276" w:lineRule="auto"/>
        <w:rPr>
          <w:rFonts w:ascii="Arial" w:hAnsi="Arial" w:cs="Arial"/>
          <w:bCs/>
          <w:szCs w:val="24"/>
          <w:lang w:val="en-GB"/>
        </w:rPr>
      </w:pPr>
      <w:r w:rsidRPr="008C631C">
        <w:rPr>
          <w:rFonts w:ascii="Arial" w:hAnsi="Arial" w:cs="Arial"/>
          <w:bCs/>
          <w:szCs w:val="24"/>
          <w:lang w:val="en-GB"/>
        </w:rPr>
        <w:t xml:space="preserve"> </w:t>
      </w:r>
    </w:p>
    <w:p w14:paraId="1DB26F97" w14:textId="77777777" w:rsidR="008C631C" w:rsidRPr="008C631C" w:rsidRDefault="008C631C" w:rsidP="00A65788">
      <w:pPr>
        <w:spacing w:after="0" w:line="276" w:lineRule="auto"/>
        <w:ind w:left="1440" w:hanging="34"/>
        <w:rPr>
          <w:rFonts w:ascii="Arial" w:hAnsi="Arial" w:cs="Arial"/>
          <w:bCs/>
          <w:szCs w:val="24"/>
          <w:lang w:val="en-GB"/>
        </w:rPr>
      </w:pPr>
      <w:r w:rsidRPr="008C631C">
        <w:rPr>
          <w:rFonts w:ascii="Arial" w:hAnsi="Arial" w:cs="Arial"/>
          <w:bCs/>
          <w:szCs w:val="24"/>
          <w:lang w:val="en-GB"/>
        </w:rPr>
        <w:t xml:space="preserve">“There is exhibit AB, alleged to be a pocket book of accused 4. This piece of evidence cropped out during testimony of Ms Thwala. During her cross examination by legal representative of accused 4, it was put to her that it was not accused 4 who wrote there. Her answer was that she asked Captain Moeketsi as to who wrote that entry, she said accused 4. Colonel Moeketsi never testified about this issue, meaning that what was said by Ms Thwala was never corroborated. It is clear that the so-called author of this pocket book disputes having made an entry on it. The state failed to prove authenticity in the form of for example expert evidence so this issue remains hearsay. This court does not have any reason to attach any weight on exhibit AB.”  </w:t>
      </w:r>
    </w:p>
    <w:p w14:paraId="74EBE522" w14:textId="77777777" w:rsidR="00A65788" w:rsidRDefault="00A65788" w:rsidP="008C631C">
      <w:pPr>
        <w:spacing w:after="0" w:line="276" w:lineRule="auto"/>
        <w:rPr>
          <w:rFonts w:ascii="Arial" w:hAnsi="Arial" w:cs="Arial"/>
          <w:bCs/>
          <w:szCs w:val="24"/>
          <w:lang w:val="en-GB"/>
        </w:rPr>
      </w:pPr>
    </w:p>
    <w:p w14:paraId="616FAF0C" w14:textId="78A2317C"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[26]</w:t>
      </w:r>
      <w:r w:rsidRPr="00A65788">
        <w:rPr>
          <w:rFonts w:ascii="Arial" w:hAnsi="Arial" w:cs="Arial"/>
          <w:bCs/>
          <w:szCs w:val="24"/>
          <w:lang w:val="en-GB"/>
        </w:rPr>
        <w:tab/>
      </w:r>
      <w:r w:rsidR="008C631C" w:rsidRPr="008E6A97">
        <w:rPr>
          <w:rFonts w:ascii="Arial" w:hAnsi="Arial" w:cs="Arial"/>
          <w:bCs/>
          <w:szCs w:val="24"/>
          <w:lang w:val="en-GB"/>
        </w:rPr>
        <w:t xml:space="preserve">The applicable law on the factual findings are very clear from my section 174 judgment. I correctly applied the relevant law dealing with circumstantial evidence. What has been raised by the state as points of law or questions of law is just facts. Furthermore, what has been raised by the state in its grounds of appeal will not change the colour of the proceedings or are not essential ingredients to the offences. Therefore, I do not see any prospects of success on appeal by the applicant. </w:t>
      </w:r>
    </w:p>
    <w:p w14:paraId="149B4C3C" w14:textId="77777777" w:rsidR="008C631C" w:rsidRPr="008C631C" w:rsidRDefault="008C631C" w:rsidP="008C631C">
      <w:pPr>
        <w:spacing w:after="0" w:line="276" w:lineRule="auto"/>
        <w:rPr>
          <w:rFonts w:ascii="Arial" w:hAnsi="Arial" w:cs="Arial"/>
          <w:bCs/>
          <w:szCs w:val="24"/>
          <w:lang w:val="en-GB"/>
        </w:rPr>
      </w:pPr>
    </w:p>
    <w:p w14:paraId="24C84A5A" w14:textId="77777777" w:rsidR="008C631C" w:rsidRPr="008C631C" w:rsidRDefault="008C631C" w:rsidP="008C631C">
      <w:pPr>
        <w:spacing w:after="0" w:line="276" w:lineRule="auto"/>
        <w:rPr>
          <w:rFonts w:ascii="Arial" w:hAnsi="Arial" w:cs="Arial"/>
          <w:b/>
          <w:bCs/>
          <w:szCs w:val="24"/>
          <w:lang w:val="en-GB"/>
        </w:rPr>
      </w:pPr>
      <w:r w:rsidRPr="008C631C">
        <w:rPr>
          <w:rFonts w:ascii="Arial" w:hAnsi="Arial" w:cs="Arial"/>
          <w:b/>
          <w:bCs/>
          <w:szCs w:val="24"/>
          <w:lang w:val="en-GB"/>
        </w:rPr>
        <w:t xml:space="preserve">Order </w:t>
      </w:r>
    </w:p>
    <w:p w14:paraId="7A9C49A7" w14:textId="77777777" w:rsidR="00A65788" w:rsidRDefault="00A65788" w:rsidP="00A65788">
      <w:pPr>
        <w:pStyle w:val="ListParagraph"/>
        <w:spacing w:after="0" w:line="276" w:lineRule="auto"/>
        <w:rPr>
          <w:rFonts w:ascii="Arial" w:hAnsi="Arial" w:cs="Arial"/>
          <w:bCs/>
          <w:szCs w:val="24"/>
          <w:lang w:val="en-GB"/>
        </w:rPr>
      </w:pPr>
    </w:p>
    <w:p w14:paraId="32D92D25" w14:textId="14B8D5AF" w:rsidR="008C631C" w:rsidRPr="008E6A97" w:rsidRDefault="008E6A97" w:rsidP="008E6A97">
      <w:pPr>
        <w:spacing w:after="0" w:line="276" w:lineRule="auto"/>
        <w:ind w:left="720" w:hanging="686"/>
        <w:rPr>
          <w:rFonts w:ascii="Arial" w:hAnsi="Arial" w:cs="Arial"/>
          <w:bCs/>
          <w:szCs w:val="24"/>
          <w:lang w:val="en-GB"/>
        </w:rPr>
      </w:pPr>
      <w:r w:rsidRPr="00A65788">
        <w:rPr>
          <w:rFonts w:ascii="Arial" w:hAnsi="Arial" w:cs="Arial"/>
          <w:bCs/>
          <w:szCs w:val="24"/>
          <w:lang w:val="en-GB"/>
        </w:rPr>
        <w:t>[27]</w:t>
      </w:r>
      <w:r w:rsidRPr="00A65788">
        <w:rPr>
          <w:rFonts w:ascii="Arial" w:hAnsi="Arial" w:cs="Arial"/>
          <w:bCs/>
          <w:szCs w:val="24"/>
          <w:lang w:val="en-GB"/>
        </w:rPr>
        <w:tab/>
      </w:r>
      <w:r w:rsidR="008C631C" w:rsidRPr="008E6A97">
        <w:rPr>
          <w:rFonts w:ascii="Arial" w:hAnsi="Arial" w:cs="Arial"/>
          <w:bCs/>
          <w:szCs w:val="24"/>
          <w:lang w:val="en-GB"/>
        </w:rPr>
        <w:t xml:space="preserve">In the result, I make the following order: </w:t>
      </w:r>
    </w:p>
    <w:p w14:paraId="39CA83C7" w14:textId="77777777" w:rsidR="00A65788" w:rsidRDefault="00A65788" w:rsidP="00A65788">
      <w:pPr>
        <w:spacing w:after="0" w:line="276" w:lineRule="auto"/>
        <w:ind w:left="1080"/>
        <w:rPr>
          <w:rFonts w:ascii="Arial" w:hAnsi="Arial" w:cs="Arial"/>
          <w:bCs/>
          <w:szCs w:val="24"/>
          <w:lang w:val="en-GB"/>
        </w:rPr>
      </w:pPr>
    </w:p>
    <w:p w14:paraId="50A5C519" w14:textId="57DB5CEF" w:rsidR="008C631C" w:rsidRPr="008C631C" w:rsidRDefault="008E6A97" w:rsidP="008E6A97">
      <w:pPr>
        <w:spacing w:after="0" w:line="276" w:lineRule="auto"/>
        <w:ind w:left="1440" w:hanging="720"/>
        <w:rPr>
          <w:rFonts w:ascii="Arial" w:hAnsi="Arial" w:cs="Arial"/>
          <w:bCs/>
          <w:szCs w:val="24"/>
          <w:lang w:val="en-GB"/>
        </w:rPr>
      </w:pPr>
      <w:r w:rsidRPr="008C631C">
        <w:rPr>
          <w:rFonts w:ascii="Arial" w:hAnsi="Arial" w:cs="Arial"/>
          <w:bCs/>
          <w:szCs w:val="24"/>
          <w:lang w:val="en-GB"/>
        </w:rPr>
        <w:t>1.</w:t>
      </w:r>
      <w:r w:rsidRPr="008C631C">
        <w:rPr>
          <w:rFonts w:ascii="Arial" w:hAnsi="Arial" w:cs="Arial"/>
          <w:bCs/>
          <w:szCs w:val="24"/>
          <w:lang w:val="en-GB"/>
        </w:rPr>
        <w:tab/>
      </w:r>
      <w:r w:rsidR="008C631C" w:rsidRPr="008C631C">
        <w:rPr>
          <w:rFonts w:ascii="Arial" w:hAnsi="Arial" w:cs="Arial"/>
          <w:bCs/>
          <w:szCs w:val="24"/>
          <w:lang w:val="en-GB"/>
        </w:rPr>
        <w:t xml:space="preserve">The late delivery of the application </w:t>
      </w:r>
      <w:r w:rsidR="00A65788">
        <w:rPr>
          <w:rFonts w:ascii="Arial" w:hAnsi="Arial" w:cs="Arial"/>
          <w:bCs/>
          <w:szCs w:val="24"/>
          <w:lang w:val="en-GB"/>
        </w:rPr>
        <w:t>for</w:t>
      </w:r>
      <w:r w:rsidR="008C631C" w:rsidRPr="008C631C">
        <w:rPr>
          <w:rFonts w:ascii="Arial" w:hAnsi="Arial" w:cs="Arial"/>
          <w:bCs/>
          <w:szCs w:val="24"/>
          <w:lang w:val="en-GB"/>
        </w:rPr>
        <w:t xml:space="preserve"> leave to appeal is condoned.</w:t>
      </w:r>
    </w:p>
    <w:p w14:paraId="6DD82C46" w14:textId="77777777" w:rsidR="00A65788" w:rsidRDefault="00A65788" w:rsidP="00A65788">
      <w:pPr>
        <w:spacing w:after="0" w:line="276" w:lineRule="auto"/>
        <w:ind w:left="1080"/>
        <w:rPr>
          <w:rFonts w:ascii="Arial" w:hAnsi="Arial" w:cs="Arial"/>
          <w:bCs/>
          <w:szCs w:val="24"/>
          <w:lang w:val="en-GB"/>
        </w:rPr>
      </w:pPr>
    </w:p>
    <w:p w14:paraId="02873610" w14:textId="34EBDF1E" w:rsidR="008C631C" w:rsidRPr="008C631C" w:rsidRDefault="008E6A97" w:rsidP="008E6A97">
      <w:pPr>
        <w:spacing w:after="0" w:line="276" w:lineRule="auto"/>
        <w:ind w:left="1440" w:hanging="720"/>
        <w:rPr>
          <w:rFonts w:ascii="Arial" w:hAnsi="Arial" w:cs="Arial"/>
          <w:bCs/>
          <w:szCs w:val="24"/>
          <w:lang w:val="en-GB"/>
        </w:rPr>
      </w:pPr>
      <w:r w:rsidRPr="008C631C">
        <w:rPr>
          <w:rFonts w:ascii="Arial" w:hAnsi="Arial" w:cs="Arial"/>
          <w:bCs/>
          <w:szCs w:val="24"/>
          <w:lang w:val="en-GB"/>
        </w:rPr>
        <w:t>2.</w:t>
      </w:r>
      <w:r w:rsidRPr="008C631C">
        <w:rPr>
          <w:rFonts w:ascii="Arial" w:hAnsi="Arial" w:cs="Arial"/>
          <w:bCs/>
          <w:szCs w:val="24"/>
          <w:lang w:val="en-GB"/>
        </w:rPr>
        <w:tab/>
      </w:r>
      <w:r w:rsidR="008C631C" w:rsidRPr="008C631C">
        <w:rPr>
          <w:rFonts w:ascii="Arial" w:hAnsi="Arial" w:cs="Arial"/>
          <w:bCs/>
          <w:szCs w:val="24"/>
          <w:lang w:val="en-GB"/>
        </w:rPr>
        <w:t xml:space="preserve">The applicant’s application to appeal to the Supreme Court of Appeal is refused.  </w:t>
      </w:r>
    </w:p>
    <w:p w14:paraId="754EF701" w14:textId="77777777" w:rsidR="00DD4A7D" w:rsidRPr="00DD4A7D" w:rsidRDefault="00DD4A7D" w:rsidP="00657706">
      <w:pPr>
        <w:spacing w:after="0" w:line="276" w:lineRule="auto"/>
        <w:rPr>
          <w:rFonts w:ascii="Arial" w:hAnsi="Arial" w:cs="Arial"/>
          <w:bCs/>
          <w:szCs w:val="24"/>
          <w:lang w:val="en-GB"/>
        </w:rPr>
      </w:pPr>
    </w:p>
    <w:p w14:paraId="50AFDA9B" w14:textId="77777777" w:rsidR="00370F5E" w:rsidRDefault="00370F5E" w:rsidP="00657706">
      <w:pPr>
        <w:spacing w:after="0" w:line="276" w:lineRule="auto"/>
        <w:ind w:left="0"/>
        <w:rPr>
          <w:rFonts w:ascii="Arial" w:hAnsi="Arial" w:cs="Arial"/>
          <w:b/>
          <w:szCs w:val="24"/>
          <w:u w:val="single"/>
        </w:rPr>
      </w:pPr>
    </w:p>
    <w:p w14:paraId="7234E10B" w14:textId="77777777" w:rsidR="006012FD" w:rsidRDefault="006012FD" w:rsidP="00657706">
      <w:pPr>
        <w:spacing w:after="0" w:line="276" w:lineRule="auto"/>
        <w:ind w:left="0"/>
        <w:rPr>
          <w:rFonts w:ascii="Arial" w:hAnsi="Arial" w:cs="Arial"/>
          <w:b/>
          <w:szCs w:val="24"/>
          <w:u w:val="single"/>
        </w:rPr>
      </w:pPr>
    </w:p>
    <w:p w14:paraId="2ED7E248" w14:textId="77777777" w:rsidR="006012FD" w:rsidRDefault="006012FD" w:rsidP="00657706">
      <w:pPr>
        <w:spacing w:after="0" w:line="276" w:lineRule="auto"/>
        <w:ind w:left="0"/>
        <w:rPr>
          <w:rFonts w:ascii="Arial" w:hAnsi="Arial" w:cs="Arial"/>
          <w:b/>
          <w:szCs w:val="24"/>
          <w:u w:val="single"/>
        </w:rPr>
      </w:pPr>
    </w:p>
    <w:p w14:paraId="6BCB93AF" w14:textId="7B818F00" w:rsidR="00394ED7" w:rsidRPr="00B94C00" w:rsidRDefault="00394ED7" w:rsidP="00657706">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19EADBB7" w:rsidR="00394ED7" w:rsidRPr="00B94C00" w:rsidRDefault="00394ED7" w:rsidP="00657706">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8C631C">
        <w:rPr>
          <w:rFonts w:ascii="Arial" w:eastAsiaTheme="minorHAnsi" w:hAnsi="Arial" w:cs="Arial"/>
          <w:b/>
          <w:color w:val="auto"/>
          <w:szCs w:val="24"/>
          <w:lang w:eastAsia="en-US"/>
        </w:rPr>
        <w:t>M</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t>
      </w:r>
      <w:r w:rsidR="008C631C">
        <w:rPr>
          <w:rFonts w:ascii="Arial" w:eastAsiaTheme="minorHAnsi" w:hAnsi="Arial" w:cs="Arial"/>
          <w:b/>
          <w:color w:val="auto"/>
          <w:szCs w:val="24"/>
          <w:lang w:eastAsia="en-US"/>
        </w:rPr>
        <w:t>MALANGENI</w:t>
      </w:r>
    </w:p>
    <w:p w14:paraId="64B6D5A0" w14:textId="14A2BEA3" w:rsidR="00394ED7" w:rsidRPr="00B94C00" w:rsidRDefault="00394ED7" w:rsidP="00657706">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0A31A97F" w14:textId="7E72F860" w:rsidR="00F72339" w:rsidRPr="004C371C" w:rsidRDefault="00D20A49" w:rsidP="00657706">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1A57191D" w14:textId="77777777" w:rsidR="00903975" w:rsidRDefault="00903975" w:rsidP="00657706">
      <w:pPr>
        <w:spacing w:after="0" w:line="276" w:lineRule="auto"/>
        <w:ind w:left="0"/>
        <w:rPr>
          <w:rFonts w:ascii="Arial" w:hAnsi="Arial" w:cs="Arial"/>
          <w:b/>
          <w:bCs/>
          <w:szCs w:val="24"/>
        </w:rPr>
      </w:pPr>
    </w:p>
    <w:p w14:paraId="1ED2143E" w14:textId="77777777" w:rsidR="00903975" w:rsidRDefault="00903975" w:rsidP="00657706">
      <w:pPr>
        <w:spacing w:after="0" w:line="276" w:lineRule="auto"/>
        <w:ind w:left="0"/>
        <w:rPr>
          <w:rFonts w:ascii="Arial" w:hAnsi="Arial" w:cs="Arial"/>
          <w:b/>
          <w:bCs/>
          <w:szCs w:val="24"/>
        </w:rPr>
      </w:pPr>
    </w:p>
    <w:p w14:paraId="6E768008" w14:textId="77777777" w:rsidR="00903975" w:rsidRDefault="00903975" w:rsidP="00657706">
      <w:pPr>
        <w:spacing w:after="0" w:line="276" w:lineRule="auto"/>
        <w:ind w:left="0"/>
        <w:rPr>
          <w:rFonts w:ascii="Arial" w:hAnsi="Arial" w:cs="Arial"/>
          <w:b/>
          <w:bCs/>
          <w:szCs w:val="24"/>
        </w:rPr>
      </w:pPr>
    </w:p>
    <w:p w14:paraId="3E6DB7ED" w14:textId="77777777" w:rsidR="00903975" w:rsidRDefault="00903975" w:rsidP="00657706">
      <w:pPr>
        <w:spacing w:after="0" w:line="276" w:lineRule="auto"/>
        <w:ind w:left="0"/>
        <w:rPr>
          <w:rFonts w:ascii="Arial" w:hAnsi="Arial" w:cs="Arial"/>
          <w:b/>
          <w:bCs/>
          <w:szCs w:val="24"/>
        </w:rPr>
      </w:pPr>
    </w:p>
    <w:p w14:paraId="369AA4AC" w14:textId="77777777" w:rsidR="006012FD" w:rsidRDefault="006012FD" w:rsidP="00657706">
      <w:pPr>
        <w:spacing w:after="0" w:line="276" w:lineRule="auto"/>
        <w:ind w:left="0"/>
        <w:rPr>
          <w:rFonts w:ascii="Arial" w:hAnsi="Arial" w:cs="Arial"/>
          <w:b/>
          <w:bCs/>
          <w:szCs w:val="24"/>
        </w:rPr>
      </w:pPr>
    </w:p>
    <w:p w14:paraId="00A2CDB4" w14:textId="77777777" w:rsidR="006012FD" w:rsidRDefault="006012FD" w:rsidP="00657706">
      <w:pPr>
        <w:spacing w:after="0" w:line="276" w:lineRule="auto"/>
        <w:ind w:left="0"/>
        <w:rPr>
          <w:rFonts w:ascii="Arial" w:hAnsi="Arial" w:cs="Arial"/>
          <w:b/>
          <w:bCs/>
          <w:szCs w:val="24"/>
        </w:rPr>
      </w:pPr>
    </w:p>
    <w:p w14:paraId="481CA608" w14:textId="77777777" w:rsidR="006E21D4" w:rsidRDefault="006E21D4" w:rsidP="00657706">
      <w:pPr>
        <w:spacing w:after="0" w:line="276" w:lineRule="auto"/>
        <w:ind w:left="0"/>
        <w:rPr>
          <w:rFonts w:ascii="Arial" w:hAnsi="Arial" w:cs="Arial"/>
          <w:b/>
          <w:bCs/>
          <w:szCs w:val="24"/>
        </w:rPr>
      </w:pPr>
    </w:p>
    <w:p w14:paraId="192B2AE4" w14:textId="0E1A53DB" w:rsidR="00EB45B2" w:rsidRPr="00EB45B2" w:rsidRDefault="00EB45B2" w:rsidP="00657706">
      <w:pPr>
        <w:spacing w:after="0" w:line="276" w:lineRule="auto"/>
        <w:ind w:left="0"/>
        <w:rPr>
          <w:rFonts w:ascii="Arial" w:hAnsi="Arial" w:cs="Arial"/>
          <w:szCs w:val="24"/>
        </w:rPr>
      </w:pPr>
      <w:r w:rsidRPr="00EB45B2">
        <w:rPr>
          <w:rFonts w:ascii="Arial" w:hAnsi="Arial" w:cs="Arial"/>
          <w:b/>
          <w:bCs/>
          <w:szCs w:val="24"/>
        </w:rPr>
        <w:t>Heard</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Pr="00EB45B2">
        <w:rPr>
          <w:rFonts w:ascii="Arial" w:hAnsi="Arial" w:cs="Arial"/>
          <w:szCs w:val="24"/>
        </w:rPr>
        <w:tab/>
      </w:r>
      <w:r w:rsidR="00D15C15">
        <w:rPr>
          <w:rFonts w:ascii="Arial" w:hAnsi="Arial" w:cs="Arial"/>
          <w:szCs w:val="24"/>
        </w:rPr>
        <w:tab/>
        <w:t>1</w:t>
      </w:r>
      <w:r w:rsidR="00652687">
        <w:rPr>
          <w:rFonts w:ascii="Arial" w:hAnsi="Arial" w:cs="Arial"/>
          <w:szCs w:val="24"/>
        </w:rPr>
        <w:t>8</w:t>
      </w:r>
      <w:r w:rsidRPr="00EB45B2">
        <w:rPr>
          <w:rFonts w:ascii="Arial" w:hAnsi="Arial" w:cs="Arial"/>
          <w:szCs w:val="24"/>
        </w:rPr>
        <w:t xml:space="preserve"> </w:t>
      </w:r>
      <w:r w:rsidR="00652687">
        <w:rPr>
          <w:rFonts w:ascii="Arial" w:hAnsi="Arial" w:cs="Arial"/>
          <w:szCs w:val="24"/>
        </w:rPr>
        <w:t xml:space="preserve">January </w:t>
      </w:r>
      <w:r w:rsidRPr="00EB45B2">
        <w:rPr>
          <w:rFonts w:ascii="Arial" w:hAnsi="Arial" w:cs="Arial"/>
          <w:szCs w:val="24"/>
        </w:rPr>
        <w:t>202</w:t>
      </w:r>
      <w:r w:rsidR="00652687">
        <w:rPr>
          <w:rFonts w:ascii="Arial" w:hAnsi="Arial" w:cs="Arial"/>
          <w:szCs w:val="24"/>
        </w:rPr>
        <w:t>4</w:t>
      </w:r>
      <w:r w:rsidRPr="00EB45B2">
        <w:rPr>
          <w:rFonts w:ascii="Arial" w:hAnsi="Arial" w:cs="Arial"/>
          <w:szCs w:val="24"/>
        </w:rPr>
        <w:t xml:space="preserve"> </w:t>
      </w:r>
    </w:p>
    <w:p w14:paraId="281927CC" w14:textId="650411D3" w:rsidR="00EB45B2" w:rsidRPr="00EB45B2" w:rsidRDefault="00652687" w:rsidP="00657706">
      <w:pPr>
        <w:spacing w:after="0" w:line="276" w:lineRule="auto"/>
        <w:ind w:left="0"/>
        <w:rPr>
          <w:rFonts w:ascii="Arial" w:hAnsi="Arial" w:cs="Arial"/>
          <w:szCs w:val="24"/>
        </w:rPr>
      </w:pPr>
      <w:r>
        <w:rPr>
          <w:rFonts w:ascii="Arial" w:hAnsi="Arial" w:cs="Arial"/>
          <w:b/>
          <w:bCs/>
          <w:szCs w:val="24"/>
        </w:rPr>
        <w:t>Judgment</w:t>
      </w:r>
      <w:r w:rsidR="00EB45B2" w:rsidRPr="00EB45B2">
        <w:rPr>
          <w:rFonts w:ascii="Arial" w:hAnsi="Arial" w:cs="Arial"/>
          <w:szCs w:val="24"/>
        </w:rPr>
        <w:t>:</w:t>
      </w:r>
      <w:r w:rsidR="00EB45B2" w:rsidRPr="00EB45B2">
        <w:rPr>
          <w:rFonts w:ascii="Arial" w:hAnsi="Arial" w:cs="Arial"/>
          <w:szCs w:val="24"/>
        </w:rPr>
        <w:tab/>
      </w:r>
      <w:r w:rsidR="00EB45B2" w:rsidRPr="00EB45B2">
        <w:rPr>
          <w:rFonts w:ascii="Arial" w:hAnsi="Arial" w:cs="Arial"/>
          <w:szCs w:val="24"/>
        </w:rPr>
        <w:tab/>
        <w:t xml:space="preserve">          </w:t>
      </w:r>
      <w:r w:rsidR="00776A31">
        <w:rPr>
          <w:rFonts w:ascii="Arial" w:hAnsi="Arial" w:cs="Arial"/>
          <w:szCs w:val="24"/>
        </w:rPr>
        <w:t xml:space="preserve"> </w:t>
      </w:r>
      <w:r w:rsidR="00D15C15">
        <w:rPr>
          <w:rFonts w:ascii="Arial" w:hAnsi="Arial" w:cs="Arial"/>
          <w:szCs w:val="24"/>
        </w:rPr>
        <w:tab/>
      </w:r>
      <w:r>
        <w:rPr>
          <w:rFonts w:ascii="Arial" w:hAnsi="Arial" w:cs="Arial"/>
          <w:szCs w:val="24"/>
        </w:rPr>
        <w:t>18</w:t>
      </w:r>
      <w:r w:rsidR="00EB45B2" w:rsidRPr="00EE6E5C">
        <w:rPr>
          <w:rFonts w:ascii="Arial" w:hAnsi="Arial" w:cs="Arial"/>
          <w:szCs w:val="24"/>
        </w:rPr>
        <w:t xml:space="preserve"> </w:t>
      </w:r>
      <w:r>
        <w:rPr>
          <w:rFonts w:ascii="Arial" w:hAnsi="Arial" w:cs="Arial"/>
          <w:szCs w:val="24"/>
        </w:rPr>
        <w:t xml:space="preserve">March </w:t>
      </w:r>
      <w:r w:rsidR="00EB45B2" w:rsidRPr="00EE6E5C">
        <w:rPr>
          <w:rFonts w:ascii="Arial" w:hAnsi="Arial" w:cs="Arial"/>
          <w:szCs w:val="24"/>
        </w:rPr>
        <w:t>202</w:t>
      </w:r>
      <w:r>
        <w:rPr>
          <w:rFonts w:ascii="Arial" w:hAnsi="Arial" w:cs="Arial"/>
          <w:szCs w:val="24"/>
        </w:rPr>
        <w:t>4</w:t>
      </w:r>
    </w:p>
    <w:p w14:paraId="68189513" w14:textId="77777777" w:rsidR="00EB45B2" w:rsidRPr="00EB45B2" w:rsidRDefault="00EB45B2" w:rsidP="00657706">
      <w:pPr>
        <w:spacing w:after="0" w:line="276" w:lineRule="auto"/>
        <w:ind w:left="0"/>
        <w:rPr>
          <w:rFonts w:ascii="Arial" w:hAnsi="Arial" w:cs="Arial"/>
          <w:szCs w:val="24"/>
        </w:rPr>
      </w:pPr>
    </w:p>
    <w:p w14:paraId="121BDD2F" w14:textId="6C46A9A5" w:rsidR="00EB45B2" w:rsidRPr="00EB45B2" w:rsidRDefault="00EB45B2" w:rsidP="00657706">
      <w:pPr>
        <w:spacing w:after="0" w:line="276" w:lineRule="auto"/>
        <w:ind w:left="0"/>
        <w:rPr>
          <w:rFonts w:ascii="Arial" w:hAnsi="Arial" w:cs="Arial"/>
          <w:szCs w:val="24"/>
        </w:rPr>
      </w:pPr>
      <w:r w:rsidRPr="00EB45B2">
        <w:rPr>
          <w:rFonts w:ascii="Arial" w:hAnsi="Arial" w:cs="Arial"/>
          <w:b/>
          <w:bCs/>
          <w:szCs w:val="24"/>
          <w:u w:val="single"/>
        </w:rPr>
        <w:t>Appearances</w:t>
      </w:r>
      <w:r>
        <w:rPr>
          <w:rFonts w:ascii="Arial" w:hAnsi="Arial" w:cs="Arial"/>
          <w:szCs w:val="24"/>
        </w:rPr>
        <w:t>:</w:t>
      </w:r>
    </w:p>
    <w:p w14:paraId="52012166" w14:textId="77777777" w:rsidR="00EB45B2" w:rsidRPr="00EB45B2" w:rsidRDefault="00EB45B2" w:rsidP="00657706">
      <w:pPr>
        <w:spacing w:after="0" w:line="276" w:lineRule="auto"/>
        <w:ind w:left="0"/>
        <w:rPr>
          <w:rFonts w:ascii="Arial" w:hAnsi="Arial" w:cs="Arial"/>
          <w:szCs w:val="24"/>
        </w:rPr>
      </w:pPr>
    </w:p>
    <w:p w14:paraId="01FAF8B8" w14:textId="09096843" w:rsidR="00FE1D19" w:rsidRDefault="00FE1D19" w:rsidP="00FE1D19">
      <w:pPr>
        <w:spacing w:after="0" w:line="276" w:lineRule="auto"/>
        <w:ind w:left="0"/>
        <w:rPr>
          <w:rFonts w:ascii="Arial" w:hAnsi="Arial" w:cs="Arial"/>
          <w:bCs/>
          <w:szCs w:val="24"/>
        </w:rPr>
      </w:pPr>
      <w:r>
        <w:rPr>
          <w:rFonts w:ascii="Arial" w:hAnsi="Arial" w:cs="Arial"/>
          <w:b/>
          <w:bCs/>
          <w:szCs w:val="24"/>
        </w:rPr>
        <w:t>Applicant</w:t>
      </w:r>
      <w:r w:rsidRPr="00FE1D19">
        <w:rPr>
          <w:rFonts w:ascii="Arial" w:hAnsi="Arial" w:cs="Arial"/>
          <w:bCs/>
          <w:szCs w:val="24"/>
        </w:rPr>
        <w:t>:</w:t>
      </w:r>
      <w:r w:rsidRPr="00FE1D19">
        <w:rPr>
          <w:rFonts w:ascii="Arial" w:hAnsi="Arial" w:cs="Arial"/>
          <w:b/>
          <w:bCs/>
          <w:szCs w:val="24"/>
        </w:rPr>
        <w:t xml:space="preserve"> </w:t>
      </w:r>
      <w:r w:rsidRPr="00FE1D19">
        <w:rPr>
          <w:rFonts w:ascii="Arial" w:hAnsi="Arial" w:cs="Arial"/>
          <w:bCs/>
          <w:szCs w:val="24"/>
        </w:rPr>
        <w:tab/>
      </w:r>
      <w:r w:rsidRPr="00FE1D19">
        <w:rPr>
          <w:rFonts w:ascii="Arial" w:hAnsi="Arial" w:cs="Arial"/>
          <w:bCs/>
          <w:szCs w:val="24"/>
        </w:rPr>
        <w:tab/>
      </w:r>
      <w:r w:rsidRPr="00FE1D19">
        <w:rPr>
          <w:rFonts w:ascii="Arial" w:hAnsi="Arial" w:cs="Arial"/>
          <w:bCs/>
          <w:szCs w:val="24"/>
        </w:rPr>
        <w:tab/>
      </w:r>
      <w:r>
        <w:rPr>
          <w:rFonts w:ascii="Arial" w:hAnsi="Arial" w:cs="Arial"/>
          <w:bCs/>
          <w:szCs w:val="24"/>
        </w:rPr>
        <w:tab/>
      </w:r>
      <w:r w:rsidRPr="00FE1D19">
        <w:rPr>
          <w:rFonts w:ascii="Arial" w:hAnsi="Arial" w:cs="Arial"/>
          <w:bCs/>
          <w:szCs w:val="24"/>
        </w:rPr>
        <w:t>Adv</w:t>
      </w:r>
      <w:r w:rsidR="00F75A12">
        <w:rPr>
          <w:rFonts w:ascii="Arial" w:hAnsi="Arial" w:cs="Arial"/>
          <w:bCs/>
          <w:szCs w:val="24"/>
        </w:rPr>
        <w:t xml:space="preserve"> EM</w:t>
      </w:r>
      <w:r w:rsidRPr="00FE1D19">
        <w:rPr>
          <w:rFonts w:ascii="Arial" w:hAnsi="Arial" w:cs="Arial"/>
          <w:bCs/>
          <w:szCs w:val="24"/>
        </w:rPr>
        <w:t xml:space="preserve"> Moseki</w:t>
      </w:r>
    </w:p>
    <w:p w14:paraId="32B06D77" w14:textId="797F7919" w:rsidR="00FE1D19" w:rsidRPr="00FE1D19" w:rsidRDefault="00FE1D19" w:rsidP="00FE1D19">
      <w:pPr>
        <w:spacing w:after="0" w:line="276" w:lineRule="auto"/>
        <w:ind w:left="0"/>
        <w:rPr>
          <w:rFonts w:ascii="Arial" w:hAnsi="Arial" w:cs="Arial"/>
          <w:bCs/>
          <w:szCs w:val="24"/>
        </w:rPr>
      </w:pPr>
      <w:r>
        <w:rPr>
          <w:rFonts w:ascii="Arial" w:hAnsi="Arial" w:cs="Arial"/>
          <w:b/>
          <w:bCs/>
          <w:szCs w:val="24"/>
        </w:rPr>
        <w:t>Instructed by</w:t>
      </w:r>
      <w:r>
        <w:rPr>
          <w:rFonts w:ascii="Arial" w:hAnsi="Arial" w:cs="Arial"/>
          <w:bCs/>
          <w:szCs w:val="24"/>
        </w:rPr>
        <w:t>:</w:t>
      </w:r>
      <w:r>
        <w:rPr>
          <w:rFonts w:ascii="Arial" w:hAnsi="Arial" w:cs="Arial"/>
          <w:bCs/>
          <w:szCs w:val="24"/>
        </w:rPr>
        <w:tab/>
      </w:r>
      <w:r>
        <w:rPr>
          <w:rFonts w:ascii="Arial" w:hAnsi="Arial" w:cs="Arial"/>
          <w:bCs/>
          <w:szCs w:val="24"/>
        </w:rPr>
        <w:tab/>
      </w:r>
      <w:r>
        <w:rPr>
          <w:rFonts w:ascii="Arial" w:hAnsi="Arial" w:cs="Arial"/>
          <w:bCs/>
          <w:szCs w:val="24"/>
        </w:rPr>
        <w:tab/>
      </w:r>
      <w:r w:rsidR="00B01669">
        <w:rPr>
          <w:rFonts w:ascii="Arial" w:hAnsi="Arial" w:cs="Arial"/>
          <w:bCs/>
          <w:szCs w:val="24"/>
        </w:rPr>
        <w:t>NPA</w:t>
      </w:r>
    </w:p>
    <w:p w14:paraId="14245029" w14:textId="77777777" w:rsidR="00FE1D19" w:rsidRPr="00FE1D19" w:rsidRDefault="00FE1D19" w:rsidP="00FE1D19">
      <w:pPr>
        <w:spacing w:after="0" w:line="276" w:lineRule="auto"/>
        <w:ind w:left="0"/>
        <w:rPr>
          <w:rFonts w:ascii="Arial" w:hAnsi="Arial" w:cs="Arial"/>
          <w:b/>
          <w:bCs/>
          <w:szCs w:val="24"/>
        </w:rPr>
      </w:pPr>
    </w:p>
    <w:p w14:paraId="5023F9E8" w14:textId="70038146" w:rsidR="00FE1D19" w:rsidRPr="00FE1D19" w:rsidRDefault="00FE1D19" w:rsidP="00FE1D19">
      <w:pPr>
        <w:spacing w:after="0" w:line="276" w:lineRule="auto"/>
        <w:ind w:left="0"/>
        <w:rPr>
          <w:rFonts w:ascii="Arial" w:hAnsi="Arial" w:cs="Arial"/>
          <w:b/>
          <w:bCs/>
          <w:szCs w:val="24"/>
        </w:rPr>
      </w:pPr>
      <w:r w:rsidRPr="00FE1D19">
        <w:rPr>
          <w:rFonts w:ascii="Arial" w:hAnsi="Arial" w:cs="Arial"/>
          <w:b/>
          <w:bCs/>
          <w:szCs w:val="24"/>
        </w:rPr>
        <w:t>First Respondent</w:t>
      </w:r>
      <w:r w:rsidRPr="00FE1D19">
        <w:rPr>
          <w:rFonts w:ascii="Arial" w:hAnsi="Arial" w:cs="Arial"/>
          <w:bCs/>
          <w:szCs w:val="24"/>
        </w:rPr>
        <w:t xml:space="preserve">: </w:t>
      </w:r>
      <w:r w:rsidRPr="00FE1D19">
        <w:rPr>
          <w:rFonts w:ascii="Arial" w:hAnsi="Arial" w:cs="Arial"/>
          <w:bCs/>
          <w:szCs w:val="24"/>
        </w:rPr>
        <w:tab/>
      </w:r>
      <w:r w:rsidRPr="00FE1D19">
        <w:rPr>
          <w:rFonts w:ascii="Arial" w:hAnsi="Arial" w:cs="Arial"/>
          <w:bCs/>
          <w:szCs w:val="24"/>
        </w:rPr>
        <w:tab/>
      </w:r>
      <w:r>
        <w:rPr>
          <w:rFonts w:ascii="Arial" w:hAnsi="Arial" w:cs="Arial"/>
          <w:bCs/>
          <w:szCs w:val="24"/>
        </w:rPr>
        <w:tab/>
      </w:r>
      <w:r w:rsidRPr="00FE1D19">
        <w:rPr>
          <w:rFonts w:ascii="Arial" w:hAnsi="Arial" w:cs="Arial"/>
          <w:bCs/>
          <w:szCs w:val="24"/>
        </w:rPr>
        <w:t xml:space="preserve">Mr </w:t>
      </w:r>
      <w:r w:rsidR="006F585B">
        <w:rPr>
          <w:rFonts w:ascii="Arial" w:hAnsi="Arial" w:cs="Arial"/>
          <w:bCs/>
          <w:szCs w:val="24"/>
        </w:rPr>
        <w:t xml:space="preserve">TM </w:t>
      </w:r>
      <w:r w:rsidRPr="00FE1D19">
        <w:rPr>
          <w:rFonts w:ascii="Arial" w:hAnsi="Arial" w:cs="Arial"/>
          <w:bCs/>
          <w:szCs w:val="24"/>
        </w:rPr>
        <w:t>Mohope</w:t>
      </w:r>
    </w:p>
    <w:p w14:paraId="1EC0096F" w14:textId="2187C0FD" w:rsidR="00FE1D19" w:rsidRDefault="00FE1D19" w:rsidP="00FE1D19">
      <w:pPr>
        <w:spacing w:after="0" w:line="276" w:lineRule="auto"/>
        <w:ind w:left="0"/>
        <w:rPr>
          <w:rFonts w:ascii="Arial" w:hAnsi="Arial" w:cs="Arial"/>
          <w:b/>
          <w:bCs/>
          <w:szCs w:val="24"/>
        </w:rPr>
      </w:pPr>
      <w:r>
        <w:rPr>
          <w:rFonts w:ascii="Arial" w:hAnsi="Arial" w:cs="Arial"/>
          <w:b/>
          <w:bCs/>
          <w:szCs w:val="24"/>
        </w:rPr>
        <w:t>Instructed by</w:t>
      </w:r>
      <w:r>
        <w:rPr>
          <w:rFonts w:ascii="Arial" w:hAnsi="Arial" w:cs="Arial"/>
          <w:bCs/>
          <w:szCs w:val="24"/>
        </w:rPr>
        <w:t>:</w:t>
      </w:r>
      <w:r w:rsidR="006F585B">
        <w:rPr>
          <w:rFonts w:ascii="Arial" w:hAnsi="Arial" w:cs="Arial"/>
          <w:bCs/>
          <w:szCs w:val="24"/>
        </w:rPr>
        <w:tab/>
      </w:r>
      <w:r w:rsidR="006F585B">
        <w:rPr>
          <w:rFonts w:ascii="Arial" w:hAnsi="Arial" w:cs="Arial"/>
          <w:bCs/>
          <w:szCs w:val="24"/>
        </w:rPr>
        <w:tab/>
      </w:r>
      <w:r w:rsidR="006F585B">
        <w:rPr>
          <w:rFonts w:ascii="Arial" w:hAnsi="Arial" w:cs="Arial"/>
          <w:bCs/>
          <w:szCs w:val="24"/>
        </w:rPr>
        <w:tab/>
        <w:t>Mohope Thomas Attorneys</w:t>
      </w:r>
    </w:p>
    <w:p w14:paraId="25AA9292" w14:textId="77777777" w:rsidR="00FE1D19" w:rsidRDefault="00FE1D19" w:rsidP="00FE1D19">
      <w:pPr>
        <w:spacing w:after="0" w:line="276" w:lineRule="auto"/>
        <w:ind w:left="0"/>
        <w:rPr>
          <w:rFonts w:ascii="Arial" w:hAnsi="Arial" w:cs="Arial"/>
          <w:b/>
          <w:bCs/>
          <w:szCs w:val="24"/>
        </w:rPr>
      </w:pPr>
    </w:p>
    <w:p w14:paraId="0F370EED" w14:textId="1E8D0950" w:rsidR="00FE1D19" w:rsidRPr="00FE1D19" w:rsidRDefault="00FE1D19" w:rsidP="00FE1D19">
      <w:pPr>
        <w:spacing w:after="0" w:line="276" w:lineRule="auto"/>
        <w:ind w:left="0"/>
        <w:rPr>
          <w:rFonts w:ascii="Arial" w:hAnsi="Arial" w:cs="Arial"/>
          <w:b/>
          <w:bCs/>
          <w:szCs w:val="24"/>
        </w:rPr>
      </w:pPr>
      <w:r w:rsidRPr="00FE1D19">
        <w:rPr>
          <w:rFonts w:ascii="Arial" w:hAnsi="Arial" w:cs="Arial"/>
          <w:b/>
          <w:bCs/>
          <w:szCs w:val="24"/>
        </w:rPr>
        <w:t>Second Respondent</w:t>
      </w:r>
      <w:r w:rsidRPr="00FE1D19">
        <w:rPr>
          <w:rFonts w:ascii="Arial" w:hAnsi="Arial" w:cs="Arial"/>
          <w:bCs/>
          <w:szCs w:val="24"/>
        </w:rPr>
        <w:t xml:space="preserve">: </w:t>
      </w:r>
      <w:r w:rsidRPr="00FE1D19">
        <w:rPr>
          <w:rFonts w:ascii="Arial" w:hAnsi="Arial" w:cs="Arial"/>
          <w:bCs/>
          <w:szCs w:val="24"/>
        </w:rPr>
        <w:tab/>
      </w:r>
      <w:r>
        <w:rPr>
          <w:rFonts w:ascii="Arial" w:hAnsi="Arial" w:cs="Arial"/>
          <w:bCs/>
          <w:szCs w:val="24"/>
        </w:rPr>
        <w:tab/>
      </w:r>
      <w:r w:rsidRPr="00FE1D19">
        <w:rPr>
          <w:rFonts w:ascii="Arial" w:hAnsi="Arial" w:cs="Arial"/>
          <w:bCs/>
          <w:szCs w:val="24"/>
        </w:rPr>
        <w:t>Mr</w:t>
      </w:r>
      <w:r w:rsidR="005E0BDB">
        <w:rPr>
          <w:rFonts w:ascii="Arial" w:hAnsi="Arial" w:cs="Arial"/>
          <w:bCs/>
          <w:szCs w:val="24"/>
        </w:rPr>
        <w:t xml:space="preserve"> E</w:t>
      </w:r>
      <w:r w:rsidRPr="00FE1D19">
        <w:rPr>
          <w:rFonts w:ascii="Arial" w:hAnsi="Arial" w:cs="Arial"/>
          <w:bCs/>
          <w:szCs w:val="24"/>
        </w:rPr>
        <w:t xml:space="preserve"> Netshipise</w:t>
      </w:r>
    </w:p>
    <w:p w14:paraId="07D1FA75" w14:textId="0C1A7AA1" w:rsidR="00FE1D19" w:rsidRDefault="00FE1D19" w:rsidP="00FE1D19">
      <w:pPr>
        <w:spacing w:after="0" w:line="276" w:lineRule="auto"/>
        <w:ind w:left="0"/>
        <w:rPr>
          <w:rFonts w:ascii="Arial" w:hAnsi="Arial" w:cs="Arial"/>
          <w:b/>
          <w:bCs/>
          <w:szCs w:val="24"/>
        </w:rPr>
      </w:pPr>
      <w:r>
        <w:rPr>
          <w:rFonts w:ascii="Arial" w:hAnsi="Arial" w:cs="Arial"/>
          <w:b/>
          <w:bCs/>
          <w:szCs w:val="24"/>
        </w:rPr>
        <w:t>Instructed by</w:t>
      </w:r>
      <w:r>
        <w:rPr>
          <w:rFonts w:ascii="Arial" w:hAnsi="Arial" w:cs="Arial"/>
          <w:bCs/>
          <w:szCs w:val="24"/>
        </w:rPr>
        <w:t>:</w:t>
      </w:r>
      <w:r w:rsidR="00F75A12">
        <w:rPr>
          <w:rFonts w:ascii="Arial" w:hAnsi="Arial" w:cs="Arial"/>
          <w:bCs/>
          <w:szCs w:val="24"/>
        </w:rPr>
        <w:tab/>
      </w:r>
      <w:r w:rsidR="00F75A12">
        <w:rPr>
          <w:rFonts w:ascii="Arial" w:hAnsi="Arial" w:cs="Arial"/>
          <w:bCs/>
          <w:szCs w:val="24"/>
        </w:rPr>
        <w:tab/>
      </w:r>
      <w:r w:rsidR="00F75A12">
        <w:rPr>
          <w:rFonts w:ascii="Arial" w:hAnsi="Arial" w:cs="Arial"/>
          <w:bCs/>
          <w:szCs w:val="24"/>
        </w:rPr>
        <w:tab/>
        <w:t>Mudau and Netshipise Attorneys</w:t>
      </w:r>
    </w:p>
    <w:p w14:paraId="456B1977" w14:textId="77777777" w:rsidR="00FE1D19" w:rsidRDefault="00FE1D19" w:rsidP="00FE1D19">
      <w:pPr>
        <w:spacing w:after="0" w:line="276" w:lineRule="auto"/>
        <w:ind w:left="0"/>
        <w:rPr>
          <w:rFonts w:ascii="Arial" w:hAnsi="Arial" w:cs="Arial"/>
          <w:b/>
          <w:bCs/>
          <w:szCs w:val="24"/>
        </w:rPr>
      </w:pPr>
    </w:p>
    <w:p w14:paraId="4E44652D" w14:textId="0833F5D9" w:rsidR="00FE1D19" w:rsidRPr="00FE1D19" w:rsidRDefault="00FE1D19" w:rsidP="00FE1D19">
      <w:pPr>
        <w:spacing w:after="0" w:line="276" w:lineRule="auto"/>
        <w:ind w:left="0"/>
        <w:rPr>
          <w:rFonts w:ascii="Arial" w:hAnsi="Arial" w:cs="Arial"/>
          <w:b/>
          <w:bCs/>
          <w:szCs w:val="24"/>
        </w:rPr>
      </w:pPr>
      <w:r w:rsidRPr="00FE1D19">
        <w:rPr>
          <w:rFonts w:ascii="Arial" w:hAnsi="Arial" w:cs="Arial"/>
          <w:b/>
          <w:bCs/>
          <w:szCs w:val="24"/>
        </w:rPr>
        <w:t>Third Respondent</w:t>
      </w:r>
      <w:r w:rsidRPr="00FE1D19">
        <w:rPr>
          <w:rFonts w:ascii="Arial" w:hAnsi="Arial" w:cs="Arial"/>
          <w:bCs/>
          <w:szCs w:val="24"/>
        </w:rPr>
        <w:t xml:space="preserve">: </w:t>
      </w:r>
      <w:r w:rsidRPr="00FE1D19">
        <w:rPr>
          <w:rFonts w:ascii="Arial" w:hAnsi="Arial" w:cs="Arial"/>
          <w:bCs/>
          <w:szCs w:val="24"/>
        </w:rPr>
        <w:tab/>
      </w:r>
      <w:r w:rsidRPr="00FE1D19">
        <w:rPr>
          <w:rFonts w:ascii="Arial" w:hAnsi="Arial" w:cs="Arial"/>
          <w:bCs/>
          <w:szCs w:val="24"/>
        </w:rPr>
        <w:tab/>
        <w:t xml:space="preserve">Mr </w:t>
      </w:r>
      <w:r w:rsidR="00880B77">
        <w:rPr>
          <w:rFonts w:ascii="Arial" w:hAnsi="Arial" w:cs="Arial"/>
          <w:bCs/>
          <w:szCs w:val="24"/>
        </w:rPr>
        <w:t xml:space="preserve">BP </w:t>
      </w:r>
      <w:r w:rsidRPr="00FE1D19">
        <w:rPr>
          <w:rFonts w:ascii="Arial" w:hAnsi="Arial" w:cs="Arial"/>
          <w:bCs/>
          <w:szCs w:val="24"/>
        </w:rPr>
        <w:t>Ndaba</w:t>
      </w:r>
    </w:p>
    <w:p w14:paraId="1F98FC4B" w14:textId="344D26C2" w:rsidR="00FE1D19" w:rsidRDefault="00FE1D19" w:rsidP="00FE1D19">
      <w:pPr>
        <w:spacing w:after="0" w:line="276" w:lineRule="auto"/>
        <w:ind w:left="0"/>
        <w:rPr>
          <w:rFonts w:ascii="Arial" w:hAnsi="Arial" w:cs="Arial"/>
          <w:b/>
          <w:bCs/>
          <w:szCs w:val="24"/>
        </w:rPr>
      </w:pPr>
      <w:r>
        <w:rPr>
          <w:rFonts w:ascii="Arial" w:hAnsi="Arial" w:cs="Arial"/>
          <w:b/>
          <w:bCs/>
          <w:szCs w:val="24"/>
        </w:rPr>
        <w:t>Instructed by</w:t>
      </w:r>
      <w:r>
        <w:rPr>
          <w:rFonts w:ascii="Arial" w:hAnsi="Arial" w:cs="Arial"/>
          <w:bCs/>
          <w:szCs w:val="24"/>
        </w:rPr>
        <w:t>:</w:t>
      </w:r>
      <w:r w:rsidR="0087546D">
        <w:rPr>
          <w:rFonts w:ascii="Arial" w:hAnsi="Arial" w:cs="Arial"/>
          <w:bCs/>
          <w:szCs w:val="24"/>
        </w:rPr>
        <w:tab/>
      </w:r>
      <w:r w:rsidR="0087546D">
        <w:rPr>
          <w:rFonts w:ascii="Arial" w:hAnsi="Arial" w:cs="Arial"/>
          <w:bCs/>
          <w:szCs w:val="24"/>
        </w:rPr>
        <w:tab/>
      </w:r>
      <w:r w:rsidR="0087546D">
        <w:rPr>
          <w:rFonts w:ascii="Arial" w:hAnsi="Arial" w:cs="Arial"/>
          <w:bCs/>
          <w:szCs w:val="24"/>
        </w:rPr>
        <w:tab/>
      </w:r>
      <w:r w:rsidR="005E0BDB">
        <w:rPr>
          <w:rFonts w:ascii="Arial" w:hAnsi="Arial" w:cs="Arial"/>
          <w:bCs/>
          <w:szCs w:val="24"/>
        </w:rPr>
        <w:t>Ndaba (BP) Inc.</w:t>
      </w:r>
    </w:p>
    <w:p w14:paraId="097ABD5B" w14:textId="77777777" w:rsidR="00FE1D19" w:rsidRDefault="00FE1D19" w:rsidP="00FE1D19">
      <w:pPr>
        <w:spacing w:after="0" w:line="276" w:lineRule="auto"/>
        <w:ind w:left="0"/>
        <w:rPr>
          <w:rFonts w:ascii="Arial" w:hAnsi="Arial" w:cs="Arial"/>
          <w:b/>
          <w:bCs/>
          <w:szCs w:val="24"/>
        </w:rPr>
      </w:pPr>
    </w:p>
    <w:p w14:paraId="690C8194" w14:textId="7ABBCD66" w:rsidR="00D2571A" w:rsidRDefault="00FE1D19" w:rsidP="00FE1D19">
      <w:pPr>
        <w:spacing w:after="0" w:line="276" w:lineRule="auto"/>
        <w:ind w:left="0"/>
        <w:rPr>
          <w:rFonts w:ascii="Arial" w:hAnsi="Arial" w:cs="Arial"/>
          <w:b/>
          <w:bCs/>
          <w:szCs w:val="24"/>
        </w:rPr>
      </w:pPr>
      <w:r w:rsidRPr="00FE1D19">
        <w:rPr>
          <w:rFonts w:ascii="Arial" w:hAnsi="Arial" w:cs="Arial"/>
          <w:b/>
          <w:bCs/>
          <w:szCs w:val="24"/>
        </w:rPr>
        <w:t>Fourth Respondent</w:t>
      </w:r>
      <w:r w:rsidRPr="00FE1D19">
        <w:rPr>
          <w:rFonts w:ascii="Arial" w:hAnsi="Arial" w:cs="Arial"/>
          <w:bCs/>
          <w:szCs w:val="24"/>
        </w:rPr>
        <w:t xml:space="preserve">: </w:t>
      </w:r>
      <w:r w:rsidRPr="00FE1D19">
        <w:rPr>
          <w:rFonts w:ascii="Arial" w:hAnsi="Arial" w:cs="Arial"/>
          <w:bCs/>
          <w:szCs w:val="24"/>
        </w:rPr>
        <w:tab/>
      </w:r>
      <w:r>
        <w:rPr>
          <w:rFonts w:ascii="Arial" w:hAnsi="Arial" w:cs="Arial"/>
          <w:bCs/>
          <w:szCs w:val="24"/>
        </w:rPr>
        <w:tab/>
      </w:r>
      <w:r w:rsidRPr="00FE1D19">
        <w:rPr>
          <w:rFonts w:ascii="Arial" w:hAnsi="Arial" w:cs="Arial"/>
          <w:bCs/>
          <w:szCs w:val="24"/>
        </w:rPr>
        <w:t xml:space="preserve">Mr </w:t>
      </w:r>
      <w:r w:rsidR="005E0BDB">
        <w:rPr>
          <w:rFonts w:ascii="Arial" w:hAnsi="Arial" w:cs="Arial"/>
          <w:bCs/>
          <w:szCs w:val="24"/>
        </w:rPr>
        <w:t xml:space="preserve">MW </w:t>
      </w:r>
      <w:r w:rsidRPr="00FE1D19">
        <w:rPr>
          <w:rFonts w:ascii="Arial" w:hAnsi="Arial" w:cs="Arial"/>
          <w:bCs/>
          <w:szCs w:val="24"/>
        </w:rPr>
        <w:t>Sekgatja</w:t>
      </w:r>
    </w:p>
    <w:p w14:paraId="6C94BC09" w14:textId="031D0394" w:rsidR="00D2571A" w:rsidRPr="00B94C00" w:rsidRDefault="00FE1D19" w:rsidP="00657706">
      <w:pPr>
        <w:spacing w:after="0" w:line="276" w:lineRule="auto"/>
        <w:ind w:left="0"/>
        <w:rPr>
          <w:rFonts w:ascii="Arial" w:hAnsi="Arial" w:cs="Arial"/>
          <w:szCs w:val="24"/>
        </w:rPr>
      </w:pPr>
      <w:r>
        <w:rPr>
          <w:rFonts w:ascii="Arial" w:hAnsi="Arial" w:cs="Arial"/>
          <w:b/>
          <w:bCs/>
          <w:szCs w:val="24"/>
        </w:rPr>
        <w:t>Instructed by</w:t>
      </w:r>
      <w:r>
        <w:rPr>
          <w:rFonts w:ascii="Arial" w:hAnsi="Arial" w:cs="Arial"/>
          <w:bCs/>
          <w:szCs w:val="24"/>
        </w:rPr>
        <w:t>:</w:t>
      </w:r>
      <w:r w:rsidR="002B445B">
        <w:rPr>
          <w:rFonts w:ascii="Arial" w:hAnsi="Arial" w:cs="Arial"/>
          <w:bCs/>
          <w:szCs w:val="24"/>
        </w:rPr>
        <w:tab/>
      </w:r>
      <w:r w:rsidR="002B445B">
        <w:rPr>
          <w:rFonts w:ascii="Arial" w:hAnsi="Arial" w:cs="Arial"/>
          <w:bCs/>
          <w:szCs w:val="24"/>
        </w:rPr>
        <w:tab/>
      </w:r>
      <w:r w:rsidR="002B445B">
        <w:rPr>
          <w:rFonts w:ascii="Arial" w:hAnsi="Arial" w:cs="Arial"/>
          <w:bCs/>
          <w:szCs w:val="24"/>
        </w:rPr>
        <w:tab/>
      </w:r>
      <w:r w:rsidR="002B445B" w:rsidRPr="00FE1D19">
        <w:rPr>
          <w:rFonts w:ascii="Arial" w:hAnsi="Arial" w:cs="Arial"/>
          <w:bCs/>
          <w:szCs w:val="24"/>
        </w:rPr>
        <w:t>Sekgatja</w:t>
      </w:r>
      <w:r w:rsidR="002B445B">
        <w:rPr>
          <w:rFonts w:ascii="Arial" w:hAnsi="Arial" w:cs="Arial"/>
          <w:bCs/>
          <w:szCs w:val="24"/>
        </w:rPr>
        <w:t xml:space="preserve"> Attorneys</w:t>
      </w:r>
    </w:p>
    <w:sectPr w:rsidR="00D2571A" w:rsidRPr="00B94C00" w:rsidSect="00E91E96">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9BA7" w14:textId="77777777" w:rsidR="00E91E96" w:rsidRDefault="00E91E96" w:rsidP="00A238D6">
      <w:pPr>
        <w:spacing w:after="0" w:line="240" w:lineRule="auto"/>
      </w:pPr>
      <w:r>
        <w:separator/>
      </w:r>
    </w:p>
  </w:endnote>
  <w:endnote w:type="continuationSeparator" w:id="0">
    <w:p w14:paraId="017094C8" w14:textId="77777777" w:rsidR="00E91E96" w:rsidRDefault="00E91E96" w:rsidP="00A238D6">
      <w:pPr>
        <w:spacing w:after="0" w:line="240" w:lineRule="auto"/>
      </w:pPr>
      <w:r>
        <w:continuationSeparator/>
      </w:r>
    </w:p>
  </w:endnote>
  <w:endnote w:type="continuationNotice" w:id="1">
    <w:p w14:paraId="7852AA93" w14:textId="77777777" w:rsidR="00E91E96" w:rsidRDefault="00E91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65202"/>
      <w:docPartObj>
        <w:docPartGallery w:val="Page Numbers (Bottom of Page)"/>
        <w:docPartUnique/>
      </w:docPartObj>
    </w:sdtPr>
    <w:sdtEndPr>
      <w:rPr>
        <w:noProof/>
      </w:rPr>
    </w:sdtEndPr>
    <w:sdtContent>
      <w:p w14:paraId="761941DD" w14:textId="42DC1A9E" w:rsidR="0046480A" w:rsidRDefault="0046480A">
        <w:pPr>
          <w:pStyle w:val="Footer"/>
          <w:jc w:val="right"/>
        </w:pPr>
        <w:r>
          <w:fldChar w:fldCharType="begin"/>
        </w:r>
        <w:r>
          <w:instrText xml:space="preserve"> PAGE   \* MERGEFORMAT </w:instrText>
        </w:r>
        <w:r>
          <w:fldChar w:fldCharType="separate"/>
        </w:r>
        <w:r w:rsidR="007C2641">
          <w:rPr>
            <w:noProof/>
          </w:rPr>
          <w:t>1</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D0A3" w14:textId="77777777" w:rsidR="00E91E96" w:rsidRDefault="00E91E96" w:rsidP="00A238D6">
      <w:pPr>
        <w:spacing w:after="0" w:line="240" w:lineRule="auto"/>
      </w:pPr>
      <w:r>
        <w:separator/>
      </w:r>
    </w:p>
  </w:footnote>
  <w:footnote w:type="continuationSeparator" w:id="0">
    <w:p w14:paraId="3DD7302D" w14:textId="77777777" w:rsidR="00E91E96" w:rsidRDefault="00E91E96" w:rsidP="00A238D6">
      <w:pPr>
        <w:spacing w:after="0" w:line="240" w:lineRule="auto"/>
      </w:pPr>
      <w:r>
        <w:continuationSeparator/>
      </w:r>
    </w:p>
  </w:footnote>
  <w:footnote w:type="continuationNotice" w:id="1">
    <w:p w14:paraId="176E9C5E" w14:textId="77777777" w:rsidR="00E91E96" w:rsidRDefault="00E91E96">
      <w:pPr>
        <w:spacing w:after="0" w:line="240" w:lineRule="auto"/>
      </w:pPr>
    </w:p>
  </w:footnote>
  <w:footnote w:id="2">
    <w:p w14:paraId="1831BF75" w14:textId="77777777"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2020(2) SACR 343 (SCA) at para 39-41</w:t>
      </w:r>
    </w:p>
  </w:footnote>
  <w:footnote w:id="3">
    <w:p w14:paraId="478AB576" w14:textId="77777777"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[2000] 2 All SA 337 (A)</w:t>
      </w:r>
    </w:p>
    <w:p w14:paraId="2F604510" w14:textId="77777777" w:rsidR="008C631C" w:rsidRPr="00FA3F96" w:rsidRDefault="008C631C" w:rsidP="008C631C">
      <w:pPr>
        <w:pStyle w:val="FootnoteText"/>
        <w:rPr>
          <w:rFonts w:ascii="Arial" w:hAnsi="Arial" w:cs="Arial"/>
          <w:sz w:val="18"/>
        </w:rPr>
      </w:pPr>
    </w:p>
  </w:footnote>
  <w:footnote w:id="4">
    <w:p w14:paraId="1B463E72" w14:textId="77777777"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w:t>
      </w:r>
      <w:r w:rsidRPr="00FA3F96">
        <w:rPr>
          <w:rFonts w:ascii="Arial" w:hAnsi="Arial" w:cs="Arial"/>
          <w:bCs/>
          <w:sz w:val="18"/>
        </w:rPr>
        <w:t>2020(1) SACR 449 (SCA) at para 39.</w:t>
      </w:r>
    </w:p>
  </w:footnote>
  <w:footnote w:id="5">
    <w:p w14:paraId="70D667C3" w14:textId="77777777"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w:t>
      </w:r>
      <w:r w:rsidRPr="00FA3F96">
        <w:rPr>
          <w:rFonts w:ascii="Arial" w:hAnsi="Arial" w:cs="Arial"/>
          <w:bCs/>
          <w:sz w:val="18"/>
        </w:rPr>
        <w:t>2014(2) SA 68 (CC) at Para [23]</w:t>
      </w:r>
    </w:p>
  </w:footnote>
  <w:footnote w:id="6">
    <w:p w14:paraId="6C57A790" w14:textId="77777777"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w:t>
      </w:r>
      <w:r w:rsidRPr="00FA3F96">
        <w:rPr>
          <w:rFonts w:ascii="Arial" w:hAnsi="Arial" w:cs="Arial"/>
          <w:bCs/>
          <w:sz w:val="18"/>
        </w:rPr>
        <w:t>2014 (2) SA 68 (CC) at para 20.</w:t>
      </w:r>
    </w:p>
  </w:footnote>
  <w:footnote w:id="7">
    <w:p w14:paraId="79C425BC" w14:textId="77777777"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2003 (2) SACR 373 (SCA) at para 6.</w:t>
      </w:r>
    </w:p>
  </w:footnote>
  <w:footnote w:id="8">
    <w:p w14:paraId="74E8A92F" w14:textId="77777777"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2020 (1) SACR 449 (SCA) at para 45-46.</w:t>
      </w:r>
    </w:p>
  </w:footnote>
  <w:footnote w:id="9">
    <w:p w14:paraId="1CAF7513" w14:textId="0CD77B90"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w:t>
      </w:r>
      <w:r w:rsidRPr="00FA3F96">
        <w:rPr>
          <w:rFonts w:ascii="Arial" w:hAnsi="Arial" w:cs="Arial"/>
          <w:bCs/>
          <w:sz w:val="18"/>
        </w:rPr>
        <w:t>2022 (2) SACR 1 (SCA) at para</w:t>
      </w:r>
      <w:r w:rsidR="00DB09EA">
        <w:rPr>
          <w:rFonts w:ascii="Arial" w:hAnsi="Arial" w:cs="Arial"/>
          <w:bCs/>
          <w:sz w:val="18"/>
        </w:rPr>
        <w:t xml:space="preserve"> </w:t>
      </w:r>
      <w:r w:rsidRPr="00FA3F96">
        <w:rPr>
          <w:rFonts w:ascii="Arial" w:hAnsi="Arial" w:cs="Arial"/>
          <w:bCs/>
          <w:sz w:val="18"/>
        </w:rPr>
        <w:t>17.</w:t>
      </w:r>
    </w:p>
  </w:footnote>
  <w:footnote w:id="10">
    <w:p w14:paraId="122B1D44" w14:textId="77777777"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w:t>
      </w:r>
      <w:r w:rsidRPr="00FA3F96">
        <w:rPr>
          <w:rFonts w:ascii="Arial" w:hAnsi="Arial" w:cs="Arial"/>
          <w:i/>
          <w:iCs/>
          <w:sz w:val="18"/>
        </w:rPr>
        <w:t>Id</w:t>
      </w:r>
      <w:r w:rsidRPr="00FA3F96">
        <w:rPr>
          <w:rFonts w:ascii="Arial" w:hAnsi="Arial" w:cs="Arial"/>
          <w:sz w:val="18"/>
        </w:rPr>
        <w:t xml:space="preserve"> at para 10.</w:t>
      </w:r>
    </w:p>
  </w:footnote>
  <w:footnote w:id="11">
    <w:p w14:paraId="1B0E787F" w14:textId="77777777"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w:t>
      </w:r>
      <w:r w:rsidRPr="00FA3F96">
        <w:rPr>
          <w:rFonts w:ascii="Arial" w:hAnsi="Arial" w:cs="Arial"/>
          <w:bCs/>
          <w:sz w:val="18"/>
        </w:rPr>
        <w:t>(2004) 3 ALL SA 501 (CK) at 504 i-j.</w:t>
      </w:r>
    </w:p>
  </w:footnote>
  <w:footnote w:id="12">
    <w:p w14:paraId="15315BDC" w14:textId="1B95E583" w:rsidR="008C631C" w:rsidRPr="00FA3F96" w:rsidRDefault="008C631C" w:rsidP="008C631C">
      <w:pPr>
        <w:pStyle w:val="FootnoteText"/>
        <w:rPr>
          <w:rFonts w:ascii="Arial" w:hAnsi="Arial" w:cs="Arial"/>
          <w:sz w:val="18"/>
        </w:rPr>
      </w:pPr>
      <w:r w:rsidRPr="00FA3F96">
        <w:rPr>
          <w:rStyle w:val="FootnoteReference"/>
          <w:rFonts w:ascii="Arial" w:hAnsi="Arial" w:cs="Arial"/>
          <w:sz w:val="18"/>
        </w:rPr>
        <w:footnoteRef/>
      </w:r>
      <w:r w:rsidRPr="00FA3F96">
        <w:rPr>
          <w:rFonts w:ascii="Arial" w:hAnsi="Arial" w:cs="Arial"/>
          <w:sz w:val="18"/>
        </w:rPr>
        <w:t xml:space="preserve"> </w:t>
      </w:r>
      <w:r w:rsidRPr="00FA3F96">
        <w:rPr>
          <w:rFonts w:ascii="Arial" w:hAnsi="Arial" w:cs="Arial"/>
          <w:bCs/>
          <w:sz w:val="18"/>
        </w:rPr>
        <w:t>1939 AD</w:t>
      </w:r>
      <w:r w:rsidR="000A4BEE" w:rsidRPr="00FA3F96">
        <w:rPr>
          <w:rFonts w:ascii="Arial" w:hAnsi="Arial" w:cs="Arial"/>
          <w:bCs/>
          <w:sz w:val="18"/>
        </w:rPr>
        <w:t xml:space="preserve"> </w:t>
      </w:r>
      <w:r w:rsidRPr="00FA3F96">
        <w:rPr>
          <w:rFonts w:ascii="Arial" w:hAnsi="Arial" w:cs="Arial"/>
          <w:bCs/>
          <w:sz w:val="18"/>
        </w:rPr>
        <w:t>188 at 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346"/>
    <w:multiLevelType w:val="hybridMultilevel"/>
    <w:tmpl w:val="B0EAB13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2563E98"/>
    <w:multiLevelType w:val="hybridMultilevel"/>
    <w:tmpl w:val="3E26CD28"/>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3E6430F"/>
    <w:multiLevelType w:val="hybridMultilevel"/>
    <w:tmpl w:val="270A249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8F41F92"/>
    <w:multiLevelType w:val="multilevel"/>
    <w:tmpl w:val="ADC84DF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15356AC"/>
    <w:multiLevelType w:val="hybridMultilevel"/>
    <w:tmpl w:val="8212899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3B102246"/>
    <w:multiLevelType w:val="hybridMultilevel"/>
    <w:tmpl w:val="207EF58E"/>
    <w:lvl w:ilvl="0" w:tplc="AC3AA07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C0A6E73"/>
    <w:multiLevelType w:val="multilevel"/>
    <w:tmpl w:val="F574F8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CB91541"/>
    <w:multiLevelType w:val="hybridMultilevel"/>
    <w:tmpl w:val="60808752"/>
    <w:lvl w:ilvl="0" w:tplc="AC3AA078">
      <w:start w:val="1"/>
      <w:numFmt w:val="decimal"/>
      <w:lvlText w:val="(%1)"/>
      <w:lvlJc w:val="left"/>
      <w:pPr>
        <w:ind w:left="2126" w:hanging="360"/>
      </w:pPr>
      <w:rPr>
        <w:rFonts w:hint="default"/>
      </w:rPr>
    </w:lvl>
    <w:lvl w:ilvl="1" w:tplc="AC3AA07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C5EC3"/>
    <w:multiLevelType w:val="hybridMultilevel"/>
    <w:tmpl w:val="35BE322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29E2C4D"/>
    <w:multiLevelType w:val="multilevel"/>
    <w:tmpl w:val="9E084480"/>
    <w:lvl w:ilvl="0">
      <w:start w:val="2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FE35C99"/>
    <w:multiLevelType w:val="hybridMultilevel"/>
    <w:tmpl w:val="561CFC40"/>
    <w:lvl w:ilvl="0" w:tplc="E3F85554">
      <w:start w:val="1"/>
      <w:numFmt w:val="decimal"/>
      <w:lvlText w:val="[%1]"/>
      <w:lvlJc w:val="left"/>
      <w:pPr>
        <w:ind w:left="394" w:hanging="360"/>
      </w:pPr>
      <w:rPr>
        <w:rFonts w:hint="default"/>
        <w:b w:val="0"/>
        <w:i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66244FA0"/>
    <w:multiLevelType w:val="hybridMultilevel"/>
    <w:tmpl w:val="B602E230"/>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71E40834"/>
    <w:multiLevelType w:val="multilevel"/>
    <w:tmpl w:val="BFA235FE"/>
    <w:lvl w:ilvl="0">
      <w:start w:val="15"/>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650015270">
    <w:abstractNumId w:val="4"/>
  </w:num>
  <w:num w:numId="2" w16cid:durableId="710417599">
    <w:abstractNumId w:val="12"/>
  </w:num>
  <w:num w:numId="3" w16cid:durableId="672681850">
    <w:abstractNumId w:val="1"/>
  </w:num>
  <w:num w:numId="4" w16cid:durableId="183638246">
    <w:abstractNumId w:val="2"/>
  </w:num>
  <w:num w:numId="5" w16cid:durableId="2079860996">
    <w:abstractNumId w:val="9"/>
  </w:num>
  <w:num w:numId="6" w16cid:durableId="1307198539">
    <w:abstractNumId w:val="5"/>
  </w:num>
  <w:num w:numId="7" w16cid:durableId="169949183">
    <w:abstractNumId w:val="0"/>
  </w:num>
  <w:num w:numId="8" w16cid:durableId="1198469506">
    <w:abstractNumId w:val="11"/>
  </w:num>
  <w:num w:numId="9" w16cid:durableId="1118336287">
    <w:abstractNumId w:val="8"/>
  </w:num>
  <w:num w:numId="10" w16cid:durableId="1857573264">
    <w:abstractNumId w:val="7"/>
  </w:num>
  <w:num w:numId="11" w16cid:durableId="246889743">
    <w:abstractNumId w:val="3"/>
  </w:num>
  <w:num w:numId="12" w16cid:durableId="658848688">
    <w:abstractNumId w:val="6"/>
  </w:num>
  <w:num w:numId="13" w16cid:durableId="136185419">
    <w:abstractNumId w:val="13"/>
  </w:num>
  <w:num w:numId="14" w16cid:durableId="143500900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yMbAwMrM0NbM0tLRQ0lEKTi0uzszPAykwrAUAz2abYCwAAAA="/>
  </w:docVars>
  <w:rsids>
    <w:rsidRoot w:val="00A238D6"/>
    <w:rsid w:val="000022B0"/>
    <w:rsid w:val="00007D1A"/>
    <w:rsid w:val="00037DEE"/>
    <w:rsid w:val="0007108C"/>
    <w:rsid w:val="000713CA"/>
    <w:rsid w:val="00081F92"/>
    <w:rsid w:val="0009680D"/>
    <w:rsid w:val="000A3680"/>
    <w:rsid w:val="000A4BEE"/>
    <w:rsid w:val="000B6057"/>
    <w:rsid w:val="000C2ADC"/>
    <w:rsid w:val="000C45B5"/>
    <w:rsid w:val="00107285"/>
    <w:rsid w:val="00116F0B"/>
    <w:rsid w:val="001375CB"/>
    <w:rsid w:val="00142133"/>
    <w:rsid w:val="00152E60"/>
    <w:rsid w:val="001742F4"/>
    <w:rsid w:val="00181C26"/>
    <w:rsid w:val="0018710A"/>
    <w:rsid w:val="001962DA"/>
    <w:rsid w:val="001A1738"/>
    <w:rsid w:val="001A2972"/>
    <w:rsid w:val="001B021D"/>
    <w:rsid w:val="001B232B"/>
    <w:rsid w:val="001C4D5A"/>
    <w:rsid w:val="001C5AB1"/>
    <w:rsid w:val="001D1F5D"/>
    <w:rsid w:val="001D42EA"/>
    <w:rsid w:val="001D7B4C"/>
    <w:rsid w:val="001E32A0"/>
    <w:rsid w:val="00203293"/>
    <w:rsid w:val="002055C3"/>
    <w:rsid w:val="00216EE9"/>
    <w:rsid w:val="00234D5C"/>
    <w:rsid w:val="00235122"/>
    <w:rsid w:val="00246131"/>
    <w:rsid w:val="002607AF"/>
    <w:rsid w:val="00270699"/>
    <w:rsid w:val="0027700D"/>
    <w:rsid w:val="00293101"/>
    <w:rsid w:val="002A4172"/>
    <w:rsid w:val="002A7164"/>
    <w:rsid w:val="002B445B"/>
    <w:rsid w:val="002B45F8"/>
    <w:rsid w:val="002C07A8"/>
    <w:rsid w:val="002D7FB3"/>
    <w:rsid w:val="002F145F"/>
    <w:rsid w:val="00317BA0"/>
    <w:rsid w:val="00355516"/>
    <w:rsid w:val="0035672F"/>
    <w:rsid w:val="00370F5E"/>
    <w:rsid w:val="00385206"/>
    <w:rsid w:val="00394ED7"/>
    <w:rsid w:val="003B2999"/>
    <w:rsid w:val="003C2778"/>
    <w:rsid w:val="003C3BBC"/>
    <w:rsid w:val="004035CA"/>
    <w:rsid w:val="00415E03"/>
    <w:rsid w:val="00444DDA"/>
    <w:rsid w:val="004646A1"/>
    <w:rsid w:val="0046480A"/>
    <w:rsid w:val="004731A7"/>
    <w:rsid w:val="004825B9"/>
    <w:rsid w:val="0048554F"/>
    <w:rsid w:val="00494840"/>
    <w:rsid w:val="004A6C67"/>
    <w:rsid w:val="004C371C"/>
    <w:rsid w:val="004D0FB4"/>
    <w:rsid w:val="004E0A9E"/>
    <w:rsid w:val="004E3253"/>
    <w:rsid w:val="004E61C3"/>
    <w:rsid w:val="004E7124"/>
    <w:rsid w:val="004F7C3F"/>
    <w:rsid w:val="005045F1"/>
    <w:rsid w:val="0052057C"/>
    <w:rsid w:val="00523AD8"/>
    <w:rsid w:val="005317DE"/>
    <w:rsid w:val="00564266"/>
    <w:rsid w:val="0056477F"/>
    <w:rsid w:val="005800A4"/>
    <w:rsid w:val="005843EE"/>
    <w:rsid w:val="0058466B"/>
    <w:rsid w:val="00584842"/>
    <w:rsid w:val="005866AD"/>
    <w:rsid w:val="005A1803"/>
    <w:rsid w:val="005A3551"/>
    <w:rsid w:val="005C194B"/>
    <w:rsid w:val="005D36CD"/>
    <w:rsid w:val="005E0BDB"/>
    <w:rsid w:val="005E602E"/>
    <w:rsid w:val="005E608C"/>
    <w:rsid w:val="006012FD"/>
    <w:rsid w:val="0062024B"/>
    <w:rsid w:val="00627080"/>
    <w:rsid w:val="00631C8E"/>
    <w:rsid w:val="0063635E"/>
    <w:rsid w:val="00652687"/>
    <w:rsid w:val="006549C5"/>
    <w:rsid w:val="00657706"/>
    <w:rsid w:val="00674F13"/>
    <w:rsid w:val="006806F8"/>
    <w:rsid w:val="006911A0"/>
    <w:rsid w:val="006929FE"/>
    <w:rsid w:val="006A3BEE"/>
    <w:rsid w:val="006A46E1"/>
    <w:rsid w:val="006A7D07"/>
    <w:rsid w:val="006B04E3"/>
    <w:rsid w:val="006C5477"/>
    <w:rsid w:val="006D2520"/>
    <w:rsid w:val="006D4851"/>
    <w:rsid w:val="006D5BD7"/>
    <w:rsid w:val="006E21D4"/>
    <w:rsid w:val="006E42C4"/>
    <w:rsid w:val="006F370C"/>
    <w:rsid w:val="006F585B"/>
    <w:rsid w:val="00720041"/>
    <w:rsid w:val="007305FC"/>
    <w:rsid w:val="0074258D"/>
    <w:rsid w:val="007468CD"/>
    <w:rsid w:val="00755BE7"/>
    <w:rsid w:val="007602F1"/>
    <w:rsid w:val="00775FC2"/>
    <w:rsid w:val="00776A31"/>
    <w:rsid w:val="00785619"/>
    <w:rsid w:val="00793390"/>
    <w:rsid w:val="007B109C"/>
    <w:rsid w:val="007C2641"/>
    <w:rsid w:val="007C296E"/>
    <w:rsid w:val="00817A7E"/>
    <w:rsid w:val="00826491"/>
    <w:rsid w:val="008445A2"/>
    <w:rsid w:val="00856124"/>
    <w:rsid w:val="00860A4A"/>
    <w:rsid w:val="00865E8B"/>
    <w:rsid w:val="00865F00"/>
    <w:rsid w:val="0087546D"/>
    <w:rsid w:val="00880B77"/>
    <w:rsid w:val="00881272"/>
    <w:rsid w:val="008831CB"/>
    <w:rsid w:val="00890885"/>
    <w:rsid w:val="008A1AAF"/>
    <w:rsid w:val="008C631C"/>
    <w:rsid w:val="008D72B7"/>
    <w:rsid w:val="008E6A97"/>
    <w:rsid w:val="00902A1B"/>
    <w:rsid w:val="00903975"/>
    <w:rsid w:val="00914F1F"/>
    <w:rsid w:val="00924BD5"/>
    <w:rsid w:val="00933245"/>
    <w:rsid w:val="00936429"/>
    <w:rsid w:val="00954105"/>
    <w:rsid w:val="0095673B"/>
    <w:rsid w:val="00973B21"/>
    <w:rsid w:val="00975136"/>
    <w:rsid w:val="00992507"/>
    <w:rsid w:val="00992EAA"/>
    <w:rsid w:val="009978FD"/>
    <w:rsid w:val="009B3C5B"/>
    <w:rsid w:val="009B6CB9"/>
    <w:rsid w:val="009C5595"/>
    <w:rsid w:val="009F40F3"/>
    <w:rsid w:val="009F464B"/>
    <w:rsid w:val="00A0490F"/>
    <w:rsid w:val="00A238D6"/>
    <w:rsid w:val="00A533E6"/>
    <w:rsid w:val="00A57164"/>
    <w:rsid w:val="00A65788"/>
    <w:rsid w:val="00A9009E"/>
    <w:rsid w:val="00A90E3F"/>
    <w:rsid w:val="00A96CFC"/>
    <w:rsid w:val="00AA0668"/>
    <w:rsid w:val="00AA5DA5"/>
    <w:rsid w:val="00AE4108"/>
    <w:rsid w:val="00AF561B"/>
    <w:rsid w:val="00B01669"/>
    <w:rsid w:val="00B03896"/>
    <w:rsid w:val="00B13736"/>
    <w:rsid w:val="00B476BB"/>
    <w:rsid w:val="00B510A3"/>
    <w:rsid w:val="00B67003"/>
    <w:rsid w:val="00B67BFA"/>
    <w:rsid w:val="00B94C00"/>
    <w:rsid w:val="00BA31B8"/>
    <w:rsid w:val="00BB26FE"/>
    <w:rsid w:val="00BB5D6A"/>
    <w:rsid w:val="00BB6A00"/>
    <w:rsid w:val="00BB7673"/>
    <w:rsid w:val="00C05F29"/>
    <w:rsid w:val="00C2053C"/>
    <w:rsid w:val="00C35227"/>
    <w:rsid w:val="00C4727E"/>
    <w:rsid w:val="00C73969"/>
    <w:rsid w:val="00C8455D"/>
    <w:rsid w:val="00C91BF7"/>
    <w:rsid w:val="00C9253B"/>
    <w:rsid w:val="00C94F86"/>
    <w:rsid w:val="00CA2083"/>
    <w:rsid w:val="00CA32A1"/>
    <w:rsid w:val="00CA692E"/>
    <w:rsid w:val="00CB03AB"/>
    <w:rsid w:val="00CB0D23"/>
    <w:rsid w:val="00CB26EC"/>
    <w:rsid w:val="00CB5402"/>
    <w:rsid w:val="00CF2DF6"/>
    <w:rsid w:val="00CF7289"/>
    <w:rsid w:val="00D13121"/>
    <w:rsid w:val="00D15C15"/>
    <w:rsid w:val="00D20A49"/>
    <w:rsid w:val="00D2571A"/>
    <w:rsid w:val="00D273DB"/>
    <w:rsid w:val="00D448F5"/>
    <w:rsid w:val="00D60DA4"/>
    <w:rsid w:val="00D67CA8"/>
    <w:rsid w:val="00D764B6"/>
    <w:rsid w:val="00D91B48"/>
    <w:rsid w:val="00D93E8D"/>
    <w:rsid w:val="00DB09EA"/>
    <w:rsid w:val="00DD3AD9"/>
    <w:rsid w:val="00DD49C7"/>
    <w:rsid w:val="00DD4A7D"/>
    <w:rsid w:val="00DD5377"/>
    <w:rsid w:val="00DF11FB"/>
    <w:rsid w:val="00DF3156"/>
    <w:rsid w:val="00E20F59"/>
    <w:rsid w:val="00E26B65"/>
    <w:rsid w:val="00E27CA9"/>
    <w:rsid w:val="00E30B7C"/>
    <w:rsid w:val="00E365D8"/>
    <w:rsid w:val="00E366F9"/>
    <w:rsid w:val="00E36B46"/>
    <w:rsid w:val="00E579BA"/>
    <w:rsid w:val="00E60E52"/>
    <w:rsid w:val="00E91E96"/>
    <w:rsid w:val="00EA38A7"/>
    <w:rsid w:val="00EB45B2"/>
    <w:rsid w:val="00ED35E1"/>
    <w:rsid w:val="00EE61C7"/>
    <w:rsid w:val="00EE6E5C"/>
    <w:rsid w:val="00F128FB"/>
    <w:rsid w:val="00F32815"/>
    <w:rsid w:val="00F37482"/>
    <w:rsid w:val="00F72339"/>
    <w:rsid w:val="00F72473"/>
    <w:rsid w:val="00F75A12"/>
    <w:rsid w:val="00F84133"/>
    <w:rsid w:val="00F949A0"/>
    <w:rsid w:val="00FA3F96"/>
    <w:rsid w:val="00FB1E21"/>
    <w:rsid w:val="00FC0C7D"/>
    <w:rsid w:val="00FE1D19"/>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paragraph" w:styleId="Heading3">
    <w:name w:val="heading 3"/>
    <w:basedOn w:val="Normal"/>
    <w:next w:val="Normal"/>
    <w:link w:val="Heading3Char"/>
    <w:qFormat/>
    <w:rsid w:val="00370F5E"/>
    <w:pPr>
      <w:keepNext/>
      <w:tabs>
        <w:tab w:val="left" w:pos="5760"/>
      </w:tabs>
      <w:spacing w:after="0" w:line="240" w:lineRule="auto"/>
      <w:ind w:left="0"/>
      <w:jc w:val="center"/>
      <w:outlineLvl w:val="2"/>
    </w:pPr>
    <w:rPr>
      <w:rFonts w:ascii="Arial" w:eastAsia="Times New Roman" w:hAnsi="Arial" w:cs="Arial"/>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qFormat/>
    <w:rsid w:val="00A238D6"/>
    <w:pPr>
      <w:ind w:left="720"/>
      <w:contextualSpacing/>
    </w:pPr>
  </w:style>
  <w:style w:type="character" w:customStyle="1" w:styleId="Heading1Char">
    <w:name w:val="Heading 1 Char"/>
    <w:basedOn w:val="DefaultParagraphFont"/>
    <w:link w:val="Heading1"/>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nhideWhenUsed/>
    <w:rsid w:val="000B6057"/>
    <w:pPr>
      <w:spacing w:after="0" w:line="240" w:lineRule="auto"/>
    </w:pPr>
    <w:rPr>
      <w:sz w:val="20"/>
      <w:szCs w:val="20"/>
    </w:rPr>
  </w:style>
  <w:style w:type="character" w:customStyle="1" w:styleId="FootnoteTextChar">
    <w:name w:val="Footnote Text Char"/>
    <w:basedOn w:val="DefaultParagraphFont"/>
    <w:link w:val="FootnoteText"/>
    <w:rsid w:val="000B6057"/>
    <w:rPr>
      <w:rFonts w:ascii="Calibri" w:eastAsia="Calibri" w:hAnsi="Calibri" w:cs="Calibri"/>
      <w:color w:val="000000"/>
      <w:sz w:val="20"/>
      <w:szCs w:val="20"/>
      <w:lang w:eastAsia="en-ZA"/>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basedOn w:val="DefaultParagraphFont"/>
    <w:uiPriority w:val="99"/>
    <w:unhideWhenUsed/>
    <w:qFormat/>
    <w:rsid w:val="000B6057"/>
    <w:rPr>
      <w:vertAlign w:val="superscript"/>
    </w:rPr>
  </w:style>
  <w:style w:type="character" w:styleId="Hyperlink">
    <w:name w:val="Hyperlink"/>
    <w:basedOn w:val="DefaultParagraphFont"/>
    <w:uiPriority w:val="99"/>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rsid w:val="003B2999"/>
    <w:rPr>
      <w:rFonts w:ascii="Calibri" w:eastAsia="Calibri" w:hAnsi="Calibri" w:cs="Calibri"/>
      <w:color w:val="000000"/>
      <w:sz w:val="24"/>
      <w:lang w:eastAsia="en-ZA"/>
    </w:rPr>
  </w:style>
  <w:style w:type="paragraph" w:styleId="Footer">
    <w:name w:val="footer"/>
    <w:basedOn w:val="Normal"/>
    <w:link w:val="FooterChar"/>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rsid w:val="003B2999"/>
    <w:rPr>
      <w:rFonts w:ascii="Calibri" w:eastAsia="Calibri" w:hAnsi="Calibri" w:cs="Calibri"/>
      <w:color w:val="000000"/>
      <w:sz w:val="24"/>
      <w:lang w:eastAsia="en-ZA"/>
    </w:rPr>
  </w:style>
  <w:style w:type="paragraph" w:styleId="BalloonText">
    <w:name w:val="Balloon Text"/>
    <w:basedOn w:val="Normal"/>
    <w:link w:val="BalloonTextChar"/>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character" w:customStyle="1" w:styleId="Heading3Char">
    <w:name w:val="Heading 3 Char"/>
    <w:basedOn w:val="DefaultParagraphFont"/>
    <w:link w:val="Heading3"/>
    <w:rsid w:val="00370F5E"/>
    <w:rPr>
      <w:rFonts w:ascii="Arial" w:eastAsia="Times New Roman" w:hAnsi="Arial" w:cs="Arial"/>
      <w:b/>
      <w:bCs/>
      <w:sz w:val="20"/>
      <w:szCs w:val="20"/>
    </w:rPr>
  </w:style>
  <w:style w:type="character" w:styleId="LineNumber">
    <w:name w:val="line number"/>
    <w:basedOn w:val="DefaultParagraphFont"/>
    <w:rsid w:val="00370F5E"/>
  </w:style>
  <w:style w:type="character" w:styleId="PageNumber">
    <w:name w:val="page number"/>
    <w:basedOn w:val="DefaultParagraphFont"/>
    <w:rsid w:val="00370F5E"/>
  </w:style>
  <w:style w:type="paragraph" w:styleId="Quote">
    <w:name w:val="Quote"/>
    <w:basedOn w:val="Normal"/>
    <w:link w:val="QuoteChar"/>
    <w:qFormat/>
    <w:rsid w:val="00370F5E"/>
    <w:pPr>
      <w:widowControl w:val="0"/>
      <w:tabs>
        <w:tab w:val="left" w:pos="851"/>
        <w:tab w:val="left" w:pos="1418"/>
        <w:tab w:val="center" w:pos="4111"/>
        <w:tab w:val="right" w:pos="8222"/>
      </w:tabs>
      <w:spacing w:after="0" w:line="480" w:lineRule="auto"/>
      <w:ind w:left="1134" w:right="1134"/>
    </w:pPr>
    <w:rPr>
      <w:rFonts w:ascii="Arial" w:eastAsia="Times New Roman" w:hAnsi="Arial" w:cs="Times New Roman"/>
      <w:noProof/>
      <w:color w:val="auto"/>
      <w:spacing w:val="26"/>
      <w:w w:val="104"/>
      <w:kern w:val="12"/>
      <w:szCs w:val="24"/>
      <w:lang w:val="en-GB" w:eastAsia="en-US"/>
    </w:rPr>
  </w:style>
  <w:style w:type="character" w:customStyle="1" w:styleId="QuoteChar">
    <w:name w:val="Quote Char"/>
    <w:basedOn w:val="DefaultParagraphFont"/>
    <w:link w:val="Quote"/>
    <w:rsid w:val="00370F5E"/>
    <w:rPr>
      <w:rFonts w:ascii="Arial" w:eastAsia="Times New Roman" w:hAnsi="Arial" w:cs="Times New Roman"/>
      <w:noProof/>
      <w:spacing w:val="26"/>
      <w:w w:val="104"/>
      <w:kern w:val="12"/>
      <w:sz w:val="24"/>
      <w:szCs w:val="24"/>
      <w:lang w:val="en-GB"/>
    </w:rPr>
  </w:style>
  <w:style w:type="paragraph" w:customStyle="1" w:styleId="StyleJustifiedLinespacingDouble">
    <w:name w:val="Style Justified Line spacing:  Double"/>
    <w:basedOn w:val="Normal"/>
    <w:rsid w:val="00370F5E"/>
    <w:pPr>
      <w:widowControl w:val="0"/>
      <w:spacing w:after="0" w:line="480" w:lineRule="auto"/>
      <w:ind w:left="0"/>
    </w:pPr>
    <w:rPr>
      <w:rFonts w:ascii="Arial" w:eastAsia="Times New Roman" w:hAnsi="Arial" w:cs="Times New Roman"/>
      <w:noProof/>
      <w:color w:val="auto"/>
      <w:w w:val="104"/>
      <w:kern w:val="2"/>
      <w:szCs w:val="20"/>
      <w:lang w:eastAsia="en-US"/>
    </w:rPr>
  </w:style>
  <w:style w:type="numbering" w:customStyle="1" w:styleId="NoList1">
    <w:name w:val="No List1"/>
    <w:next w:val="NoList"/>
    <w:semiHidden/>
    <w:rsid w:val="00370F5E"/>
  </w:style>
  <w:style w:type="paragraph" w:styleId="Title">
    <w:name w:val="Title"/>
    <w:basedOn w:val="Normal"/>
    <w:link w:val="TitleChar"/>
    <w:qFormat/>
    <w:rsid w:val="00370F5E"/>
    <w:pPr>
      <w:widowControl w:val="0"/>
      <w:tabs>
        <w:tab w:val="left" w:pos="4140"/>
      </w:tabs>
      <w:spacing w:after="0" w:line="480" w:lineRule="auto"/>
      <w:ind w:left="0"/>
      <w:jc w:val="center"/>
    </w:pPr>
    <w:rPr>
      <w:rFonts w:ascii="Arial" w:eastAsia="Times New Roman" w:hAnsi="Arial" w:cs="Times New Roman"/>
      <w:color w:val="auto"/>
      <w:szCs w:val="24"/>
      <w:u w:val="single"/>
      <w:lang w:eastAsia="x-none" w:bidi="he-IL"/>
    </w:rPr>
  </w:style>
  <w:style w:type="character" w:customStyle="1" w:styleId="TitleChar">
    <w:name w:val="Title Char"/>
    <w:basedOn w:val="DefaultParagraphFont"/>
    <w:link w:val="Title"/>
    <w:rsid w:val="00370F5E"/>
    <w:rPr>
      <w:rFonts w:ascii="Arial" w:eastAsia="Times New Roman" w:hAnsi="Arial" w:cs="Times New Roman"/>
      <w:sz w:val="24"/>
      <w:szCs w:val="24"/>
      <w:u w:val="single"/>
      <w:lang w:eastAsia="x-none" w:bidi="he-IL"/>
    </w:rPr>
  </w:style>
  <w:style w:type="paragraph" w:customStyle="1" w:styleId="Style1">
    <w:name w:val="Style1"/>
    <w:basedOn w:val="Normal"/>
    <w:autoRedefine/>
    <w:rsid w:val="00370F5E"/>
    <w:pPr>
      <w:widowControl w:val="0"/>
      <w:spacing w:after="0" w:line="480" w:lineRule="auto"/>
      <w:ind w:left="1080" w:right="1179"/>
    </w:pPr>
    <w:rPr>
      <w:rFonts w:ascii="Arial" w:eastAsia="Times New Roman" w:hAnsi="Arial" w:cs="Arial"/>
      <w:color w:val="auto"/>
      <w:spacing w:val="6"/>
      <w:w w:val="104"/>
      <w:szCs w:val="24"/>
      <w:lang w:eastAsia="en-US"/>
    </w:rPr>
  </w:style>
  <w:style w:type="paragraph" w:customStyle="1" w:styleId="Style2">
    <w:name w:val="Style2"/>
    <w:basedOn w:val="Normal"/>
    <w:rsid w:val="00370F5E"/>
    <w:pPr>
      <w:spacing w:after="0" w:line="480" w:lineRule="auto"/>
      <w:ind w:left="1080" w:right="1179"/>
    </w:pPr>
    <w:rPr>
      <w:rFonts w:ascii="Arial" w:eastAsia="Times New Roman" w:hAnsi="Arial" w:cs="Arial"/>
      <w:color w:val="auto"/>
      <w:spacing w:val="6"/>
      <w:w w:val="104"/>
      <w:szCs w:val="24"/>
      <w:lang w:eastAsia="en-US"/>
    </w:rPr>
  </w:style>
  <w:style w:type="paragraph" w:customStyle="1" w:styleId="Style3">
    <w:name w:val="Style3"/>
    <w:basedOn w:val="Normal"/>
    <w:rsid w:val="00370F5E"/>
    <w:pPr>
      <w:spacing w:after="0" w:line="480" w:lineRule="auto"/>
      <w:ind w:left="1260" w:right="1179"/>
      <w:jc w:val="left"/>
    </w:pPr>
    <w:rPr>
      <w:rFonts w:ascii="Arial" w:eastAsia="Times New Roman" w:hAnsi="Arial" w:cs="Arial"/>
      <w:color w:val="auto"/>
      <w:spacing w:val="12"/>
      <w:w w:val="104"/>
      <w:szCs w:val="24"/>
      <w:lang w:eastAsia="en-US"/>
    </w:rPr>
  </w:style>
  <w:style w:type="paragraph" w:customStyle="1" w:styleId="Style4">
    <w:name w:val="Style4"/>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5">
    <w:name w:val="Style5"/>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6">
    <w:name w:val="Style6"/>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7">
    <w:name w:val="Style7"/>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8">
    <w:name w:val="Style8"/>
    <w:basedOn w:val="Normal"/>
    <w:autoRedefine/>
    <w:rsid w:val="00370F5E"/>
    <w:pPr>
      <w:widowControl w:val="0"/>
      <w:spacing w:after="0" w:line="480" w:lineRule="auto"/>
      <w:ind w:left="0"/>
    </w:pPr>
    <w:rPr>
      <w:rFonts w:ascii="Arial" w:eastAsia="Times New Roman" w:hAnsi="Arial" w:cs="Arial"/>
      <w:b/>
      <w:color w:val="auto"/>
      <w:spacing w:val="12"/>
      <w:w w:val="104"/>
      <w:szCs w:val="24"/>
      <w:u w:val="single"/>
      <w:lang w:eastAsia="en-US"/>
    </w:rPr>
  </w:style>
  <w:style w:type="paragraph" w:customStyle="1" w:styleId="Style9">
    <w:name w:val="Style9"/>
    <w:basedOn w:val="Normal"/>
    <w:autoRedefine/>
    <w:rsid w:val="00370F5E"/>
    <w:pPr>
      <w:widowControl w:val="0"/>
      <w:spacing w:after="0" w:line="480" w:lineRule="auto"/>
      <w:ind w:left="0"/>
    </w:pPr>
    <w:rPr>
      <w:rFonts w:ascii="Arial" w:eastAsia="Times New Roman" w:hAnsi="Arial" w:cs="Arial"/>
      <w:color w:val="auto"/>
      <w:spacing w:val="12"/>
      <w:w w:val="10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79940025">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02C0-2922-460A-82EC-12DC8A36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 sarshan  mohan</cp:lastModifiedBy>
  <cp:revision>3</cp:revision>
  <cp:lastPrinted>2023-06-12T10:42:00Z</cp:lastPrinted>
  <dcterms:created xsi:type="dcterms:W3CDTF">2024-03-18T13:10:00Z</dcterms:created>
  <dcterms:modified xsi:type="dcterms:W3CDTF">2024-03-19T14:34:00Z</dcterms:modified>
</cp:coreProperties>
</file>