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07B5"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052F8366"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0AD08EF7"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0C49A509" wp14:editId="004D0B9C">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E0941F7"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44348F53"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2F6B40E4"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40A52738" w14:textId="77777777" w:rsidR="007B7F59" w:rsidRPr="007B7F59" w:rsidRDefault="007B7F59" w:rsidP="007B7F59">
      <w:pPr>
        <w:spacing w:after="0" w:line="240" w:lineRule="auto"/>
        <w:ind w:left="0"/>
        <w:rPr>
          <w:rFonts w:eastAsia="Times New Roman" w:cs="Arial"/>
          <w:szCs w:val="24"/>
          <w:lang w:val="en-ZA"/>
        </w:rPr>
      </w:pPr>
    </w:p>
    <w:p w14:paraId="1ADE789F" w14:textId="77777777" w:rsidR="007B7F59" w:rsidRPr="007B7F59" w:rsidRDefault="007B7F59" w:rsidP="007B7F59">
      <w:pPr>
        <w:spacing w:after="0" w:line="240" w:lineRule="auto"/>
        <w:ind w:left="0"/>
        <w:rPr>
          <w:rFonts w:eastAsia="Times New Roman" w:cs="Arial"/>
          <w:szCs w:val="24"/>
          <w:lang w:val="en-ZA"/>
        </w:rPr>
      </w:pPr>
    </w:p>
    <w:p w14:paraId="63C6271A" w14:textId="638EC0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E31A5E">
        <w:rPr>
          <w:rFonts w:eastAsia="Times New Roman" w:cs="Arial"/>
          <w:bCs/>
          <w:szCs w:val="24"/>
          <w:lang w:val="en-ZA"/>
        </w:rPr>
        <w:t>A2023-037275</w:t>
      </w:r>
    </w:p>
    <w:p w14:paraId="43D70B41"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26C32223" wp14:editId="2701509D">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250ADB11" w14:textId="654B0BA4" w:rsidR="007B7F59" w:rsidRPr="003B746C" w:rsidRDefault="00A655EC" w:rsidP="00A655EC">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E32E1C">
                              <w:rPr>
                                <w:rFonts w:cs="Arial"/>
                                <w:sz w:val="18"/>
                                <w:szCs w:val="20"/>
                              </w:rPr>
                              <w:t xml:space="preserve">YES </w:t>
                            </w:r>
                          </w:p>
                          <w:p w14:paraId="2C82E787" w14:textId="5A0DFA60" w:rsidR="007B7F59" w:rsidRPr="003B746C" w:rsidRDefault="00A655EC" w:rsidP="00A655EC">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E32E1C">
                              <w:rPr>
                                <w:rFonts w:cs="Arial"/>
                                <w:sz w:val="18"/>
                                <w:szCs w:val="20"/>
                              </w:rPr>
                              <w:t>YES</w:t>
                            </w:r>
                          </w:p>
                          <w:p w14:paraId="34F90368" w14:textId="1FB76798" w:rsidR="007B7F59" w:rsidRPr="00E32E1C" w:rsidRDefault="00A655EC" w:rsidP="00A655EC">
                            <w:pPr>
                              <w:tabs>
                                <w:tab w:val="left" w:pos="900"/>
                              </w:tabs>
                              <w:spacing w:after="0" w:line="240" w:lineRule="auto"/>
                              <w:ind w:left="900" w:hanging="720"/>
                              <w:jc w:val="left"/>
                              <w:rPr>
                                <w:rFonts w:cs="Arial"/>
                                <w:sz w:val="18"/>
                                <w:szCs w:val="20"/>
                              </w:rPr>
                            </w:pPr>
                            <w:r w:rsidRPr="00E32E1C">
                              <w:rPr>
                                <w:rFonts w:cs="Arial"/>
                                <w:sz w:val="18"/>
                                <w:szCs w:val="20"/>
                              </w:rPr>
                              <w:t>(3)</w:t>
                            </w:r>
                            <w:r w:rsidRPr="00E32E1C">
                              <w:rPr>
                                <w:rFonts w:cs="Arial"/>
                                <w:sz w:val="18"/>
                                <w:szCs w:val="20"/>
                              </w:rPr>
                              <w:tab/>
                            </w:r>
                            <w:r w:rsidR="007B7F59" w:rsidRPr="00E32E1C">
                              <w:rPr>
                                <w:rFonts w:cs="Arial"/>
                                <w:sz w:val="18"/>
                                <w:szCs w:val="20"/>
                              </w:rPr>
                              <w:t>REVISED: NO</w:t>
                            </w:r>
                          </w:p>
                          <w:p w14:paraId="50046CB2"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54CAC02E"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32223"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250ADB11" w14:textId="654B0BA4" w:rsidR="007B7F59" w:rsidRPr="003B746C" w:rsidRDefault="00A655EC" w:rsidP="00A655EC">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E32E1C">
                        <w:rPr>
                          <w:rFonts w:cs="Arial"/>
                          <w:sz w:val="18"/>
                          <w:szCs w:val="20"/>
                        </w:rPr>
                        <w:t xml:space="preserve">YES </w:t>
                      </w:r>
                    </w:p>
                    <w:p w14:paraId="2C82E787" w14:textId="5A0DFA60" w:rsidR="007B7F59" w:rsidRPr="003B746C" w:rsidRDefault="00A655EC" w:rsidP="00A655EC">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E32E1C">
                        <w:rPr>
                          <w:rFonts w:cs="Arial"/>
                          <w:sz w:val="18"/>
                          <w:szCs w:val="20"/>
                        </w:rPr>
                        <w:t>YES</w:t>
                      </w:r>
                    </w:p>
                    <w:p w14:paraId="34F90368" w14:textId="1FB76798" w:rsidR="007B7F59" w:rsidRPr="00E32E1C" w:rsidRDefault="00A655EC" w:rsidP="00A655EC">
                      <w:pPr>
                        <w:tabs>
                          <w:tab w:val="left" w:pos="900"/>
                        </w:tabs>
                        <w:spacing w:after="0" w:line="240" w:lineRule="auto"/>
                        <w:ind w:left="900" w:hanging="720"/>
                        <w:jc w:val="left"/>
                        <w:rPr>
                          <w:rFonts w:cs="Arial"/>
                          <w:sz w:val="18"/>
                          <w:szCs w:val="20"/>
                        </w:rPr>
                      </w:pPr>
                      <w:r w:rsidRPr="00E32E1C">
                        <w:rPr>
                          <w:rFonts w:cs="Arial"/>
                          <w:sz w:val="18"/>
                          <w:szCs w:val="20"/>
                        </w:rPr>
                        <w:t>(3)</w:t>
                      </w:r>
                      <w:r w:rsidRPr="00E32E1C">
                        <w:rPr>
                          <w:rFonts w:cs="Arial"/>
                          <w:sz w:val="18"/>
                          <w:szCs w:val="20"/>
                        </w:rPr>
                        <w:tab/>
                      </w:r>
                      <w:r w:rsidR="007B7F59" w:rsidRPr="00E32E1C">
                        <w:rPr>
                          <w:rFonts w:cs="Arial"/>
                          <w:sz w:val="18"/>
                          <w:szCs w:val="20"/>
                        </w:rPr>
                        <w:t>REVISED: NO</w:t>
                      </w:r>
                    </w:p>
                    <w:p w14:paraId="50046CB2"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54CAC02E"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2BD78B4A"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7076516"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41BDB03E"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251F1DA8"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35C1756C"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59C27D56"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54F2290"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7EDAB62"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13D4838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AC5A87B"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BDD4E7F" w14:textId="3AEAC7D6" w:rsidR="007B7F59" w:rsidRPr="00E31A5E" w:rsidRDefault="00E31A5E" w:rsidP="007B7F59">
      <w:pPr>
        <w:tabs>
          <w:tab w:val="right" w:pos="9029"/>
        </w:tabs>
        <w:spacing w:after="0" w:line="240" w:lineRule="auto"/>
        <w:ind w:left="0"/>
        <w:contextualSpacing/>
        <w:rPr>
          <w:rFonts w:eastAsia="Times New Roman" w:cs="Arial"/>
          <w:szCs w:val="24"/>
          <w:lang w:val="en-ZA"/>
        </w:rPr>
      </w:pPr>
      <w:r w:rsidRPr="00E31A5E">
        <w:rPr>
          <w:rFonts w:eastAsia="Times New Roman" w:cs="Times New Roman"/>
          <w:b/>
          <w:kern w:val="28"/>
          <w:szCs w:val="24"/>
          <w:lang w:eastAsia="en-GB"/>
        </w:rPr>
        <w:t>WK INSURANCE (PTY) LTD</w:t>
      </w:r>
      <w:r w:rsidR="007B7F59" w:rsidRPr="00E31A5E">
        <w:rPr>
          <w:rFonts w:eastAsia="Times New Roman" w:cs="Arial"/>
          <w:b/>
          <w:szCs w:val="24"/>
          <w:lang w:val="en-ZA"/>
        </w:rPr>
        <w:tab/>
      </w:r>
      <w:r w:rsidR="007B7F59" w:rsidRPr="00E31A5E">
        <w:rPr>
          <w:rFonts w:eastAsia="Times New Roman" w:cs="Arial"/>
          <w:szCs w:val="24"/>
          <w:lang w:val="en-ZA"/>
        </w:rPr>
        <w:t>First App</w:t>
      </w:r>
      <w:r w:rsidRPr="00E31A5E">
        <w:rPr>
          <w:rFonts w:eastAsia="Times New Roman" w:cs="Arial"/>
          <w:szCs w:val="24"/>
          <w:lang w:val="en-ZA"/>
        </w:rPr>
        <w:t>e</w:t>
      </w:r>
      <w:r w:rsidR="007B7F59" w:rsidRPr="00E31A5E">
        <w:rPr>
          <w:rFonts w:eastAsia="Times New Roman" w:cs="Arial"/>
          <w:szCs w:val="24"/>
          <w:lang w:val="en-ZA"/>
        </w:rPr>
        <w:t>l</w:t>
      </w:r>
      <w:r w:rsidRPr="00E31A5E">
        <w:rPr>
          <w:rFonts w:eastAsia="Times New Roman" w:cs="Arial"/>
          <w:szCs w:val="24"/>
          <w:lang w:val="en-ZA"/>
        </w:rPr>
        <w:t>lant</w:t>
      </w:r>
    </w:p>
    <w:p w14:paraId="241959D8" w14:textId="77777777" w:rsidR="007B7F59" w:rsidRPr="00E31A5E" w:rsidRDefault="007B7F59" w:rsidP="007B7F59">
      <w:pPr>
        <w:tabs>
          <w:tab w:val="right" w:pos="9029"/>
        </w:tabs>
        <w:spacing w:after="0" w:line="240" w:lineRule="auto"/>
        <w:ind w:left="0"/>
        <w:contextualSpacing/>
        <w:rPr>
          <w:rFonts w:eastAsia="Times New Roman" w:cs="Arial"/>
          <w:szCs w:val="24"/>
          <w:lang w:val="en-ZA"/>
        </w:rPr>
      </w:pPr>
    </w:p>
    <w:p w14:paraId="7B98891C" w14:textId="2D26575D" w:rsidR="007B7F59" w:rsidRPr="00E31A5E" w:rsidRDefault="00E31A5E" w:rsidP="007B7F59">
      <w:pPr>
        <w:tabs>
          <w:tab w:val="right" w:pos="9029"/>
        </w:tabs>
        <w:spacing w:after="0" w:line="240" w:lineRule="auto"/>
        <w:ind w:left="0"/>
        <w:contextualSpacing/>
        <w:rPr>
          <w:rFonts w:eastAsia="Times New Roman" w:cs="Arial"/>
          <w:b/>
          <w:szCs w:val="24"/>
          <w:highlight w:val="yellow"/>
          <w:lang w:val="en-ZA"/>
        </w:rPr>
      </w:pPr>
      <w:r w:rsidRPr="00E31A5E">
        <w:rPr>
          <w:rFonts w:eastAsia="Times New Roman" w:cs="Arial"/>
          <w:b/>
          <w:szCs w:val="24"/>
          <w:lang w:val="en-ZA"/>
        </w:rPr>
        <w:t>WESLEY KRUGER</w:t>
      </w:r>
      <w:r w:rsidR="007B7F59" w:rsidRPr="007B7F59">
        <w:rPr>
          <w:rFonts w:eastAsia="Times New Roman" w:cs="Arial"/>
          <w:b/>
          <w:szCs w:val="24"/>
          <w:lang w:val="en-ZA"/>
        </w:rPr>
        <w:tab/>
      </w:r>
      <w:r w:rsidR="007B7F59" w:rsidRPr="007B7F59">
        <w:rPr>
          <w:rFonts w:eastAsia="Times New Roman" w:cs="Arial"/>
          <w:szCs w:val="24"/>
          <w:lang w:val="en-ZA"/>
        </w:rPr>
        <w:t>Second App</w:t>
      </w:r>
      <w:r>
        <w:rPr>
          <w:rFonts w:eastAsia="Times New Roman" w:cs="Arial"/>
          <w:szCs w:val="24"/>
          <w:lang w:val="en-ZA"/>
        </w:rPr>
        <w:t>ellant</w:t>
      </w:r>
    </w:p>
    <w:p w14:paraId="25D0E89E" w14:textId="32F263A7" w:rsidR="007B7F59" w:rsidRDefault="007B7F59" w:rsidP="007B7F59">
      <w:pPr>
        <w:tabs>
          <w:tab w:val="right" w:pos="9029"/>
        </w:tabs>
        <w:spacing w:after="0" w:line="240" w:lineRule="auto"/>
        <w:ind w:left="0"/>
        <w:contextualSpacing/>
        <w:rPr>
          <w:rFonts w:eastAsia="Times New Roman" w:cs="Arial"/>
          <w:szCs w:val="24"/>
          <w:lang w:val="en-ZA"/>
        </w:rPr>
      </w:pPr>
    </w:p>
    <w:p w14:paraId="17E5C17B" w14:textId="74F26513" w:rsidR="00E31A5E" w:rsidRPr="007B7F59" w:rsidRDefault="00E31A5E" w:rsidP="007B7F59">
      <w:pPr>
        <w:tabs>
          <w:tab w:val="right" w:pos="9029"/>
        </w:tabs>
        <w:spacing w:after="0" w:line="240" w:lineRule="auto"/>
        <w:ind w:left="0"/>
        <w:contextualSpacing/>
        <w:rPr>
          <w:rFonts w:eastAsia="Times New Roman" w:cs="Arial"/>
          <w:szCs w:val="24"/>
          <w:lang w:val="en-ZA"/>
        </w:rPr>
      </w:pPr>
      <w:r w:rsidRPr="00E31A5E">
        <w:rPr>
          <w:rFonts w:eastAsia="Times New Roman" w:cs="Arial"/>
          <w:b/>
          <w:szCs w:val="24"/>
          <w:lang w:val="en-ZA"/>
        </w:rPr>
        <w:t xml:space="preserve">BRADBURN GUTHRIE    </w:t>
      </w:r>
      <w:r>
        <w:rPr>
          <w:rFonts w:eastAsia="Times New Roman" w:cs="Arial"/>
          <w:szCs w:val="24"/>
          <w:lang w:val="en-ZA"/>
        </w:rPr>
        <w:t xml:space="preserve">                                                                          Third Appellant</w:t>
      </w:r>
    </w:p>
    <w:p w14:paraId="6BB18224" w14:textId="77777777" w:rsidR="00E31A5E" w:rsidRDefault="00E31A5E" w:rsidP="007B7F59">
      <w:pPr>
        <w:tabs>
          <w:tab w:val="right" w:pos="9029"/>
        </w:tabs>
        <w:spacing w:after="0" w:line="240" w:lineRule="auto"/>
        <w:ind w:left="0"/>
        <w:contextualSpacing/>
        <w:rPr>
          <w:rFonts w:eastAsia="Times New Roman" w:cs="Arial"/>
          <w:szCs w:val="24"/>
          <w:lang w:val="en-ZA"/>
        </w:rPr>
      </w:pPr>
    </w:p>
    <w:p w14:paraId="5A78A92C" w14:textId="121C889C"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1FEEA8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B782C51" w14:textId="123BC5E0" w:rsidR="007B7F59" w:rsidRPr="00E31A5E" w:rsidRDefault="00E31A5E" w:rsidP="007B7F59">
      <w:pPr>
        <w:tabs>
          <w:tab w:val="right" w:pos="9029"/>
        </w:tabs>
        <w:spacing w:after="0" w:line="240" w:lineRule="auto"/>
        <w:ind w:left="0"/>
        <w:contextualSpacing/>
        <w:rPr>
          <w:rFonts w:eastAsia="Times New Roman" w:cs="Arial"/>
          <w:szCs w:val="24"/>
          <w:lang w:val="en-ZA"/>
        </w:rPr>
      </w:pPr>
      <w:r w:rsidRPr="00E31A5E">
        <w:rPr>
          <w:rFonts w:cs="Arial"/>
          <w:b/>
          <w:szCs w:val="24"/>
        </w:rPr>
        <w:t>GEOFFREY DAVID WHYTE</w:t>
      </w:r>
      <w:r w:rsidR="007B7F59" w:rsidRPr="00E31A5E">
        <w:rPr>
          <w:rFonts w:cs="Arial"/>
          <w:b/>
          <w:szCs w:val="24"/>
          <w:lang w:val="en-ZA"/>
        </w:rPr>
        <w:tab/>
      </w:r>
      <w:r w:rsidR="007B7F59" w:rsidRPr="00E31A5E">
        <w:rPr>
          <w:rFonts w:eastAsia="Times New Roman" w:cs="Arial"/>
          <w:szCs w:val="24"/>
          <w:lang w:val="en-ZA"/>
        </w:rPr>
        <w:t>First Respondent</w:t>
      </w:r>
    </w:p>
    <w:p w14:paraId="1C48C8CA" w14:textId="77777777" w:rsidR="007B7F59" w:rsidRPr="00E31A5E" w:rsidRDefault="007B7F59" w:rsidP="007B7F59">
      <w:pPr>
        <w:tabs>
          <w:tab w:val="right" w:pos="9029"/>
        </w:tabs>
        <w:spacing w:after="0" w:line="240" w:lineRule="auto"/>
        <w:ind w:left="0"/>
        <w:contextualSpacing/>
        <w:rPr>
          <w:rFonts w:eastAsia="Times New Roman" w:cs="Arial"/>
          <w:szCs w:val="24"/>
          <w:lang w:val="en-ZA"/>
        </w:rPr>
      </w:pPr>
    </w:p>
    <w:p w14:paraId="2F4BAB0D" w14:textId="20ADA475" w:rsidR="007B7F59" w:rsidRPr="007B7F59" w:rsidRDefault="00E31A5E" w:rsidP="007B7F59">
      <w:pPr>
        <w:tabs>
          <w:tab w:val="right" w:pos="9029"/>
        </w:tabs>
        <w:spacing w:after="0" w:line="240" w:lineRule="auto"/>
        <w:ind w:left="0"/>
        <w:contextualSpacing/>
        <w:rPr>
          <w:rFonts w:eastAsia="Times New Roman" w:cs="Arial"/>
          <w:szCs w:val="24"/>
          <w:lang w:val="en-ZA"/>
        </w:rPr>
      </w:pPr>
      <w:r w:rsidRPr="00E31A5E">
        <w:rPr>
          <w:rFonts w:eastAsia="Times New Roman" w:cs="Arial"/>
          <w:b/>
          <w:szCs w:val="24"/>
          <w:lang w:val="en-ZA"/>
        </w:rPr>
        <w:t>RICHARD PRETORIUS</w:t>
      </w:r>
      <w:r w:rsidR="007B7F59" w:rsidRPr="007B7F59">
        <w:rPr>
          <w:rFonts w:eastAsia="Times New Roman" w:cs="Arial"/>
          <w:szCs w:val="24"/>
          <w:lang w:val="en-ZA"/>
        </w:rPr>
        <w:tab/>
        <w:t>Second Respondent</w:t>
      </w:r>
    </w:p>
    <w:p w14:paraId="04EDD802" w14:textId="79A2F3DA" w:rsidR="007B7F59" w:rsidRDefault="007B7F59" w:rsidP="007B7F59">
      <w:pPr>
        <w:tabs>
          <w:tab w:val="right" w:pos="9029"/>
        </w:tabs>
        <w:spacing w:after="0" w:line="240" w:lineRule="auto"/>
        <w:ind w:left="0"/>
        <w:contextualSpacing/>
        <w:rPr>
          <w:rFonts w:cs="Arial"/>
          <w:b/>
          <w:szCs w:val="24"/>
        </w:rPr>
      </w:pPr>
    </w:p>
    <w:p w14:paraId="7B71FAC9" w14:textId="77777777" w:rsidR="006C7BAA" w:rsidRDefault="006C7BAA" w:rsidP="007B7F59">
      <w:pPr>
        <w:tabs>
          <w:tab w:val="right" w:pos="9029"/>
        </w:tabs>
        <w:spacing w:after="0" w:line="240" w:lineRule="auto"/>
        <w:ind w:left="0"/>
        <w:contextualSpacing/>
        <w:rPr>
          <w:rFonts w:cs="Arial"/>
          <w:b/>
          <w:szCs w:val="24"/>
        </w:rPr>
      </w:pPr>
    </w:p>
    <w:p w14:paraId="012FEE2E" w14:textId="582E3DD7" w:rsidR="00294062" w:rsidRPr="00294062" w:rsidRDefault="00294062" w:rsidP="007B7F59">
      <w:pPr>
        <w:tabs>
          <w:tab w:val="right" w:pos="9029"/>
        </w:tabs>
        <w:spacing w:after="0" w:line="240" w:lineRule="auto"/>
        <w:ind w:left="0"/>
        <w:contextualSpacing/>
        <w:rPr>
          <w:rFonts w:cs="Arial"/>
          <w:b/>
          <w:szCs w:val="24"/>
        </w:rPr>
      </w:pPr>
      <w:r>
        <w:rPr>
          <w:rFonts w:cs="Arial"/>
          <w:szCs w:val="24"/>
          <w:lang w:val="en-ZA"/>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 down is deemed to be </w:t>
      </w:r>
      <w:r>
        <w:rPr>
          <w:rFonts w:cs="Arial"/>
          <w:b/>
          <w:szCs w:val="24"/>
          <w:lang w:val="en-ZA"/>
        </w:rPr>
        <w:t>14</w:t>
      </w:r>
      <w:r>
        <w:rPr>
          <w:rFonts w:cs="Arial"/>
          <w:szCs w:val="24"/>
          <w:lang w:val="en-ZA"/>
        </w:rPr>
        <w:t xml:space="preserve"> </w:t>
      </w:r>
      <w:r>
        <w:rPr>
          <w:rFonts w:cs="Arial"/>
          <w:b/>
          <w:szCs w:val="24"/>
          <w:lang w:val="en-ZA"/>
        </w:rPr>
        <w:t>March 2024</w:t>
      </w:r>
    </w:p>
    <w:p w14:paraId="338486BD"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7E31DB78" w14:textId="77777777" w:rsidR="007B7F59" w:rsidRPr="007B7F59" w:rsidRDefault="007B7F59" w:rsidP="007B7F59">
      <w:pPr>
        <w:spacing w:after="0" w:line="240" w:lineRule="auto"/>
        <w:ind w:left="1440" w:hanging="1440"/>
        <w:jc w:val="left"/>
        <w:rPr>
          <w:rFonts w:cs="Arial"/>
          <w:b/>
          <w:szCs w:val="24"/>
        </w:rPr>
      </w:pPr>
    </w:p>
    <w:p w14:paraId="59BD907D"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1493CD45" w14:textId="77777777" w:rsidR="00AF7E05" w:rsidRDefault="00AF7E05" w:rsidP="007B7F59">
      <w:pPr>
        <w:spacing w:after="0" w:line="240" w:lineRule="auto"/>
        <w:ind w:left="0"/>
        <w:jc w:val="left"/>
        <w:rPr>
          <w:rFonts w:cs="Arial"/>
          <w:b/>
          <w:szCs w:val="24"/>
        </w:rPr>
      </w:pPr>
    </w:p>
    <w:p w14:paraId="16B4C4EE" w14:textId="77777777" w:rsidR="00AF7E05" w:rsidRDefault="00AF7E05" w:rsidP="007B7F59">
      <w:pPr>
        <w:spacing w:after="0" w:line="240" w:lineRule="auto"/>
        <w:ind w:left="0"/>
        <w:jc w:val="left"/>
        <w:rPr>
          <w:rFonts w:cs="Arial"/>
          <w:b/>
          <w:szCs w:val="24"/>
        </w:rPr>
      </w:pPr>
    </w:p>
    <w:p w14:paraId="585CFC07" w14:textId="1BACFFA4" w:rsidR="007B7F59" w:rsidRPr="00F4146B" w:rsidRDefault="00AF7E05" w:rsidP="00F4146B">
      <w:pPr>
        <w:spacing w:after="0"/>
        <w:ind w:left="0"/>
        <w:rPr>
          <w:rFonts w:cs="Arial"/>
          <w:szCs w:val="24"/>
        </w:rPr>
      </w:pPr>
      <w:r w:rsidRPr="00286421">
        <w:rPr>
          <w:rFonts w:cs="Arial"/>
          <w:b/>
          <w:bCs/>
          <w:szCs w:val="24"/>
          <w:u w:val="single"/>
        </w:rPr>
        <w:t>CARRIM AJ</w:t>
      </w:r>
      <w:r w:rsidRPr="00F4146B">
        <w:rPr>
          <w:rFonts w:cs="Arial"/>
          <w:szCs w:val="24"/>
        </w:rPr>
        <w:t>:</w:t>
      </w:r>
    </w:p>
    <w:p w14:paraId="0A628AE4" w14:textId="77777777" w:rsidR="007B7F59" w:rsidRPr="00923B81" w:rsidRDefault="007B7F59" w:rsidP="00F4146B">
      <w:pPr>
        <w:spacing w:after="0"/>
        <w:ind w:left="0"/>
        <w:rPr>
          <w:rFonts w:cs="Arial"/>
          <w:szCs w:val="24"/>
        </w:rPr>
      </w:pPr>
    </w:p>
    <w:p w14:paraId="0176F37F" w14:textId="111AD0F9" w:rsidR="00794DCB" w:rsidRPr="00F4146B" w:rsidRDefault="000E300C" w:rsidP="00945733">
      <w:pPr>
        <w:pStyle w:val="JudgmentHeading"/>
        <w:rPr>
          <w:bCs/>
          <w:iCs/>
          <w:szCs w:val="24"/>
        </w:rPr>
      </w:pPr>
      <w:r w:rsidRPr="00F4146B">
        <w:rPr>
          <w:bCs/>
          <w:iCs/>
          <w:szCs w:val="24"/>
        </w:rPr>
        <w:t>INTRODUCTION</w:t>
      </w:r>
    </w:p>
    <w:p w14:paraId="2684EE88" w14:textId="6B6BC026" w:rsidR="000E300C" w:rsidRPr="00351651" w:rsidRDefault="00A655EC" w:rsidP="00A655EC">
      <w:pPr>
        <w:pStyle w:val="JudgmentNumbered"/>
        <w:numPr>
          <w:ilvl w:val="0"/>
          <w:numId w:val="0"/>
        </w:numPr>
        <w:ind w:left="720" w:hanging="720"/>
        <w:rPr>
          <w:szCs w:val="24"/>
        </w:rPr>
      </w:pPr>
      <w:r w:rsidRPr="00351651">
        <w:rPr>
          <w:szCs w:val="24"/>
        </w:rPr>
        <w:t>[1]</w:t>
      </w:r>
      <w:r w:rsidRPr="00351651">
        <w:rPr>
          <w:szCs w:val="24"/>
        </w:rPr>
        <w:tab/>
      </w:r>
      <w:r w:rsidR="000E300C" w:rsidRPr="00945733">
        <w:rPr>
          <w:szCs w:val="24"/>
        </w:rPr>
        <w:t xml:space="preserve">This is an appeal against the judgment of Swanepoel AJ in which he upheld first respondent’s claim for payment of an amount of £149 451.25.  </w:t>
      </w:r>
    </w:p>
    <w:p w14:paraId="55875785" w14:textId="150B3E8F" w:rsidR="000E300C" w:rsidRPr="003340C1" w:rsidRDefault="00A655EC" w:rsidP="00A655EC">
      <w:pPr>
        <w:pStyle w:val="JudgmentNumbered"/>
        <w:numPr>
          <w:ilvl w:val="0"/>
          <w:numId w:val="0"/>
        </w:numPr>
        <w:ind w:left="720" w:hanging="720"/>
        <w:rPr>
          <w:szCs w:val="24"/>
        </w:rPr>
      </w:pPr>
      <w:r w:rsidRPr="003340C1">
        <w:rPr>
          <w:szCs w:val="24"/>
        </w:rPr>
        <w:t>[2]</w:t>
      </w:r>
      <w:r w:rsidRPr="003340C1">
        <w:rPr>
          <w:szCs w:val="24"/>
        </w:rPr>
        <w:tab/>
      </w:r>
      <w:r w:rsidR="000E300C" w:rsidRPr="00817747">
        <w:rPr>
          <w:szCs w:val="24"/>
        </w:rPr>
        <w:t>In his judgment Swanepoel AJ upheld the claim for £149 451.25 against the first appellant (“WKI”) and second respo</w:t>
      </w:r>
      <w:r w:rsidR="000E300C" w:rsidRPr="003340C1">
        <w:rPr>
          <w:szCs w:val="24"/>
        </w:rPr>
        <w:t xml:space="preserve">ndent (“Pretorius”). He also ordered the second (“Kruger”) and third (“Guthrie”) appellants to make payment to Whyte in a reduced amount of R2 056 362.63.  </w:t>
      </w:r>
    </w:p>
    <w:p w14:paraId="73394937" w14:textId="042B87F4" w:rsidR="00576BE2" w:rsidRPr="00064FED" w:rsidRDefault="00A655EC" w:rsidP="00A655EC">
      <w:pPr>
        <w:pStyle w:val="JudgmentNumbered"/>
        <w:numPr>
          <w:ilvl w:val="0"/>
          <w:numId w:val="0"/>
        </w:numPr>
        <w:ind w:left="720" w:hanging="720"/>
        <w:rPr>
          <w:szCs w:val="24"/>
        </w:rPr>
      </w:pPr>
      <w:r w:rsidRPr="00064FED">
        <w:rPr>
          <w:szCs w:val="24"/>
        </w:rPr>
        <w:t>[3]</w:t>
      </w:r>
      <w:r w:rsidRPr="00064FED">
        <w:rPr>
          <w:szCs w:val="24"/>
        </w:rPr>
        <w:tab/>
      </w:r>
      <w:r w:rsidR="00A321BA" w:rsidRPr="00064FED">
        <w:rPr>
          <w:szCs w:val="24"/>
        </w:rPr>
        <w:t>Pretorius did not file an appeal against the judgment and is cited here as the second respondent.</w:t>
      </w:r>
    </w:p>
    <w:p w14:paraId="40774620" w14:textId="77777777" w:rsidR="00203F7E" w:rsidRPr="00F4146B" w:rsidRDefault="00203F7E">
      <w:pPr>
        <w:pStyle w:val="JudgmentHeading"/>
        <w:rPr>
          <w:bCs/>
          <w:iCs/>
          <w:szCs w:val="24"/>
        </w:rPr>
      </w:pPr>
      <w:r w:rsidRPr="00F4146B">
        <w:rPr>
          <w:bCs/>
          <w:iCs/>
          <w:szCs w:val="24"/>
        </w:rPr>
        <w:t>BACKGROUND</w:t>
      </w:r>
    </w:p>
    <w:p w14:paraId="777BB554" w14:textId="4EED643E" w:rsidR="00203F7E" w:rsidRPr="003340C1" w:rsidRDefault="00A655EC" w:rsidP="00A655EC">
      <w:pPr>
        <w:pStyle w:val="JudgmentNumbered"/>
        <w:numPr>
          <w:ilvl w:val="0"/>
          <w:numId w:val="0"/>
        </w:numPr>
        <w:ind w:left="720" w:hanging="720"/>
        <w:rPr>
          <w:szCs w:val="24"/>
        </w:rPr>
      </w:pPr>
      <w:r w:rsidRPr="003340C1">
        <w:rPr>
          <w:szCs w:val="24"/>
        </w:rPr>
        <w:t>[4]</w:t>
      </w:r>
      <w:r w:rsidRPr="003340C1">
        <w:rPr>
          <w:szCs w:val="24"/>
        </w:rPr>
        <w:tab/>
      </w:r>
      <w:r w:rsidR="00203F7E" w:rsidRPr="00945733">
        <w:rPr>
          <w:szCs w:val="24"/>
        </w:rPr>
        <w:t>The facts in the matter are largely common cause. WK</w:t>
      </w:r>
      <w:r w:rsidR="00AF7E05" w:rsidRPr="00945733">
        <w:rPr>
          <w:szCs w:val="24"/>
        </w:rPr>
        <w:t>I</w:t>
      </w:r>
      <w:r w:rsidR="00203F7E" w:rsidRPr="00945733">
        <w:rPr>
          <w:szCs w:val="24"/>
        </w:rPr>
        <w:t xml:space="preserve"> is in the business of providing financial advice, medical aid</w:t>
      </w:r>
      <w:r w:rsidR="004E6A98" w:rsidRPr="00351651">
        <w:rPr>
          <w:szCs w:val="24"/>
        </w:rPr>
        <w:t>,</w:t>
      </w:r>
      <w:r w:rsidR="00203F7E" w:rsidRPr="00351651">
        <w:rPr>
          <w:szCs w:val="24"/>
        </w:rPr>
        <w:t xml:space="preserve"> and short</w:t>
      </w:r>
      <w:r w:rsidR="00AF7E05" w:rsidRPr="00351651">
        <w:rPr>
          <w:szCs w:val="24"/>
        </w:rPr>
        <w:t>-</w:t>
      </w:r>
      <w:r w:rsidR="00203F7E" w:rsidRPr="00351651">
        <w:rPr>
          <w:szCs w:val="24"/>
        </w:rPr>
        <w:t xml:space="preserve">term insurance. Kruger and Guthrie were directors of the firm at all relevant times. Pretorius is a financial advisor </w:t>
      </w:r>
      <w:r w:rsidR="00203F7E" w:rsidRPr="00817747">
        <w:rPr>
          <w:szCs w:val="24"/>
        </w:rPr>
        <w:t>who according to the appellants was a consultant (not an employee) of WKI</w:t>
      </w:r>
      <w:r w:rsidR="00261726" w:rsidRPr="003340C1">
        <w:rPr>
          <w:szCs w:val="24"/>
        </w:rPr>
        <w:t xml:space="preserve"> at the time</w:t>
      </w:r>
      <w:r w:rsidR="00203F7E" w:rsidRPr="003340C1">
        <w:rPr>
          <w:szCs w:val="24"/>
        </w:rPr>
        <w:t xml:space="preserve">. </w:t>
      </w:r>
    </w:p>
    <w:p w14:paraId="6D0D1B86" w14:textId="6EABC690" w:rsidR="00203F7E" w:rsidRPr="00351651" w:rsidRDefault="00A655EC" w:rsidP="00A655EC">
      <w:pPr>
        <w:pStyle w:val="JudgmentNumbered"/>
        <w:numPr>
          <w:ilvl w:val="0"/>
          <w:numId w:val="0"/>
        </w:numPr>
        <w:ind w:left="720" w:hanging="720"/>
        <w:rPr>
          <w:szCs w:val="24"/>
        </w:rPr>
      </w:pPr>
      <w:r w:rsidRPr="00351651">
        <w:rPr>
          <w:szCs w:val="24"/>
        </w:rPr>
        <w:t>[5]</w:t>
      </w:r>
      <w:r w:rsidRPr="00351651">
        <w:rPr>
          <w:szCs w:val="24"/>
        </w:rPr>
        <w:tab/>
      </w:r>
      <w:r w:rsidR="00203F7E" w:rsidRPr="00064FED">
        <w:rPr>
          <w:szCs w:val="24"/>
        </w:rPr>
        <w:t xml:space="preserve">Whyte’s investments were previously managed by </w:t>
      </w:r>
      <w:r w:rsidR="00204602">
        <w:rPr>
          <w:szCs w:val="24"/>
        </w:rPr>
        <w:t>d</w:t>
      </w:r>
      <w:r w:rsidR="00203F7E" w:rsidRPr="00204602">
        <w:rPr>
          <w:szCs w:val="24"/>
        </w:rPr>
        <w:t>eVere Acuma</w:t>
      </w:r>
      <w:r w:rsidR="00792FDD" w:rsidRPr="00204602">
        <w:rPr>
          <w:szCs w:val="24"/>
        </w:rPr>
        <w:t xml:space="preserve"> (</w:t>
      </w:r>
      <w:r w:rsidR="00A92F92">
        <w:rPr>
          <w:szCs w:val="24"/>
        </w:rPr>
        <w:t>“</w:t>
      </w:r>
      <w:r w:rsidR="00351651">
        <w:rPr>
          <w:szCs w:val="24"/>
        </w:rPr>
        <w:t>d</w:t>
      </w:r>
      <w:r w:rsidR="00792FDD" w:rsidRPr="00351651">
        <w:rPr>
          <w:szCs w:val="24"/>
        </w:rPr>
        <w:t>eVere</w:t>
      </w:r>
      <w:r w:rsidR="00A92F92">
        <w:rPr>
          <w:szCs w:val="24"/>
        </w:rPr>
        <w:t>”</w:t>
      </w:r>
      <w:r w:rsidR="00792FDD" w:rsidRPr="00351651">
        <w:rPr>
          <w:szCs w:val="24"/>
        </w:rPr>
        <w:t>)</w:t>
      </w:r>
      <w:r w:rsidR="00203F7E" w:rsidRPr="00351651">
        <w:rPr>
          <w:szCs w:val="24"/>
        </w:rPr>
        <w:t xml:space="preserve">, a large international financial advisory firm. Pretorius was an employee of </w:t>
      </w:r>
      <w:r w:rsidR="004F72FF">
        <w:rPr>
          <w:szCs w:val="24"/>
        </w:rPr>
        <w:t>d</w:t>
      </w:r>
      <w:r w:rsidR="00203F7E" w:rsidRPr="00817747">
        <w:rPr>
          <w:szCs w:val="24"/>
        </w:rPr>
        <w:t>eVere and rendered financial advice to Whyte</w:t>
      </w:r>
      <w:r w:rsidR="00792FDD" w:rsidRPr="00817747">
        <w:rPr>
          <w:szCs w:val="24"/>
        </w:rPr>
        <w:t xml:space="preserve"> for several years</w:t>
      </w:r>
      <w:r w:rsidR="00203F7E" w:rsidRPr="00817747">
        <w:rPr>
          <w:szCs w:val="24"/>
        </w:rPr>
        <w:t>.</w:t>
      </w:r>
      <w:r w:rsidR="00AF7E05" w:rsidRPr="003340C1">
        <w:rPr>
          <w:szCs w:val="24"/>
        </w:rPr>
        <w:t xml:space="preserve"> </w:t>
      </w:r>
      <w:r w:rsidR="00203F7E" w:rsidRPr="00064FED">
        <w:rPr>
          <w:szCs w:val="24"/>
        </w:rPr>
        <w:t xml:space="preserve">Pretorius left the employment of </w:t>
      </w:r>
      <w:r w:rsidR="004F72FF">
        <w:rPr>
          <w:szCs w:val="24"/>
        </w:rPr>
        <w:t>d</w:t>
      </w:r>
      <w:r w:rsidR="00203F7E" w:rsidRPr="00064FED">
        <w:rPr>
          <w:szCs w:val="24"/>
        </w:rPr>
        <w:t xml:space="preserve">eVere and </w:t>
      </w:r>
      <w:r w:rsidR="00792FDD" w:rsidRPr="00064FED">
        <w:rPr>
          <w:szCs w:val="24"/>
        </w:rPr>
        <w:t>joined</w:t>
      </w:r>
      <w:r w:rsidR="00203F7E" w:rsidRPr="00064FED">
        <w:rPr>
          <w:szCs w:val="24"/>
        </w:rPr>
        <w:t xml:space="preserve"> WKI. </w:t>
      </w:r>
      <w:r w:rsidR="00792FDD" w:rsidRPr="00064FED">
        <w:rPr>
          <w:szCs w:val="24"/>
        </w:rPr>
        <w:t xml:space="preserve">Whyte followed him and was under the impression that Pretorius was employed by WKI. </w:t>
      </w:r>
      <w:r w:rsidR="00203F7E" w:rsidRPr="00B175C0">
        <w:rPr>
          <w:szCs w:val="24"/>
        </w:rPr>
        <w:t>During 2018, Whyte wished to make a further international tran</w:t>
      </w:r>
      <w:r w:rsidR="00203F7E" w:rsidRPr="00C93CC4">
        <w:rPr>
          <w:szCs w:val="24"/>
        </w:rPr>
        <w:t>sfer into his investments and approached Pretorius for assistance. Whyte was dissatisfied with the services of deVere and on the advice of Pretorius agreed to transfer his investments to the Overseas Trust and Pension (“OTAP</w:t>
      </w:r>
      <w:r w:rsidR="007162E0">
        <w:rPr>
          <w:szCs w:val="24"/>
        </w:rPr>
        <w:t>”</w:t>
      </w:r>
      <w:r w:rsidR="00203F7E" w:rsidRPr="00351651">
        <w:rPr>
          <w:szCs w:val="24"/>
        </w:rPr>
        <w:t xml:space="preserve">). </w:t>
      </w:r>
    </w:p>
    <w:p w14:paraId="2AE5CBD5" w14:textId="119A7CA0" w:rsidR="00203F7E" w:rsidRPr="003340C1" w:rsidRDefault="00A655EC" w:rsidP="00A655EC">
      <w:pPr>
        <w:pStyle w:val="JudgmentNumbered"/>
        <w:numPr>
          <w:ilvl w:val="0"/>
          <w:numId w:val="0"/>
        </w:numPr>
        <w:ind w:left="720" w:hanging="720"/>
        <w:rPr>
          <w:szCs w:val="24"/>
        </w:rPr>
      </w:pPr>
      <w:r w:rsidRPr="003340C1">
        <w:rPr>
          <w:szCs w:val="24"/>
        </w:rPr>
        <w:t>[6]</w:t>
      </w:r>
      <w:r w:rsidRPr="003340C1">
        <w:rPr>
          <w:szCs w:val="24"/>
        </w:rPr>
        <w:tab/>
      </w:r>
      <w:r w:rsidR="00261726" w:rsidRPr="00817747">
        <w:rPr>
          <w:szCs w:val="24"/>
        </w:rPr>
        <w:t xml:space="preserve">OTAP was established in 2008 and offers international retirement solutions to its clients. </w:t>
      </w:r>
      <w:r w:rsidR="00203F7E" w:rsidRPr="003340C1">
        <w:rPr>
          <w:szCs w:val="24"/>
        </w:rPr>
        <w:t xml:space="preserve">OTAP is an offshore entity based in Guernsey but has a South African office which is regulated by the </w:t>
      </w:r>
      <w:r w:rsidR="00203F7E" w:rsidRPr="00817747">
        <w:rPr>
          <w:szCs w:val="24"/>
        </w:rPr>
        <w:t xml:space="preserve">Financial Services Commission </w:t>
      </w:r>
      <w:r w:rsidR="00203F7E" w:rsidRPr="00817747">
        <w:rPr>
          <w:szCs w:val="24"/>
        </w:rPr>
        <w:lastRenderedPageBreak/>
        <w:t>Authority in South Africa</w:t>
      </w:r>
      <w:r w:rsidR="00203F7E" w:rsidRPr="00945733">
        <w:rPr>
          <w:rStyle w:val="FootnoteReference"/>
          <w:szCs w:val="24"/>
        </w:rPr>
        <w:footnoteReference w:id="1"/>
      </w:r>
      <w:r w:rsidR="00203F7E" w:rsidRPr="00945733">
        <w:rPr>
          <w:szCs w:val="24"/>
        </w:rPr>
        <w:t xml:space="preserve"> (</w:t>
      </w:r>
      <w:r w:rsidR="007162E0">
        <w:rPr>
          <w:szCs w:val="24"/>
        </w:rPr>
        <w:t>“</w:t>
      </w:r>
      <w:r w:rsidR="00203F7E" w:rsidRPr="00945733">
        <w:rPr>
          <w:szCs w:val="24"/>
        </w:rPr>
        <w:t>FSCA</w:t>
      </w:r>
      <w:r w:rsidR="007162E0">
        <w:rPr>
          <w:szCs w:val="24"/>
        </w:rPr>
        <w:t>”</w:t>
      </w:r>
      <w:r w:rsidR="00203F7E" w:rsidRPr="00945733">
        <w:rPr>
          <w:szCs w:val="24"/>
        </w:rPr>
        <w:t>)</w:t>
      </w:r>
      <w:r w:rsidR="00203F7E" w:rsidRPr="00351651">
        <w:rPr>
          <w:szCs w:val="24"/>
        </w:rPr>
        <w:t>. Friends Provident International (“FPI”) is the manager of the fund for OTAP. OTAP invests clients’ funds into products such as the OPES Internation</w:t>
      </w:r>
      <w:r w:rsidR="00CA4273">
        <w:rPr>
          <w:szCs w:val="24"/>
        </w:rPr>
        <w:t>al</w:t>
      </w:r>
      <w:r w:rsidR="00203F7E" w:rsidRPr="00351651">
        <w:rPr>
          <w:szCs w:val="24"/>
        </w:rPr>
        <w:t xml:space="preserve"> Retirement and Savings Plan. The funds in these products would in turn be invested in a variety of othe</w:t>
      </w:r>
      <w:r w:rsidR="00203F7E" w:rsidRPr="00817747">
        <w:rPr>
          <w:szCs w:val="24"/>
        </w:rPr>
        <w:t xml:space="preserve">r products which in turn would invest in different classes of assets.    </w:t>
      </w:r>
    </w:p>
    <w:p w14:paraId="4CC97070" w14:textId="610ED8A8" w:rsidR="00203F7E" w:rsidRPr="00C93CC4" w:rsidRDefault="00A655EC" w:rsidP="00A655EC">
      <w:pPr>
        <w:pStyle w:val="JudgmentNumbered"/>
        <w:numPr>
          <w:ilvl w:val="0"/>
          <w:numId w:val="0"/>
        </w:numPr>
        <w:ind w:left="720" w:hanging="720"/>
        <w:rPr>
          <w:szCs w:val="24"/>
        </w:rPr>
      </w:pPr>
      <w:r w:rsidRPr="00C93CC4">
        <w:rPr>
          <w:szCs w:val="24"/>
        </w:rPr>
        <w:t>[7]</w:t>
      </w:r>
      <w:r w:rsidRPr="00C93CC4">
        <w:rPr>
          <w:szCs w:val="24"/>
        </w:rPr>
        <w:tab/>
      </w:r>
      <w:r w:rsidR="00203F7E" w:rsidRPr="00064FED">
        <w:rPr>
          <w:szCs w:val="24"/>
        </w:rPr>
        <w:t xml:space="preserve">Whyte, agreed </w:t>
      </w:r>
      <w:r w:rsidR="005B5C70">
        <w:rPr>
          <w:szCs w:val="24"/>
        </w:rPr>
        <w:t xml:space="preserve">with Pretorius </w:t>
      </w:r>
      <w:r w:rsidR="00203F7E" w:rsidRPr="00064FED">
        <w:rPr>
          <w:szCs w:val="24"/>
        </w:rPr>
        <w:t>to transfer his investments to OTAP, via FPI, with Pretorius earning a once off fee of R75 000, FPI a once-off establishment fee of 1%</w:t>
      </w:r>
      <w:r w:rsidR="005B5C70">
        <w:rPr>
          <w:szCs w:val="24"/>
        </w:rPr>
        <w:t xml:space="preserve"> </w:t>
      </w:r>
      <w:r w:rsidR="005B5C70" w:rsidRPr="005B5C70">
        <w:rPr>
          <w:szCs w:val="24"/>
        </w:rPr>
        <w:t>and WKI would earn 0% commission.</w:t>
      </w:r>
      <w:r w:rsidR="0073454C">
        <w:rPr>
          <w:rStyle w:val="FootnoteReference"/>
          <w:szCs w:val="24"/>
        </w:rPr>
        <w:footnoteReference w:id="2"/>
      </w:r>
      <w:r w:rsidR="005B5C70" w:rsidRPr="005B5C70">
        <w:rPr>
          <w:szCs w:val="24"/>
        </w:rPr>
        <w:t xml:space="preserve"> WKI was the licensed financial broker through whom the transaction was processed. At the time the investment value was £1.9m but was slightly higher at the time of transfer. </w:t>
      </w:r>
    </w:p>
    <w:p w14:paraId="66EB4C28" w14:textId="4B85A4C4" w:rsidR="00203F7E" w:rsidRPr="004F72FF" w:rsidRDefault="00A655EC" w:rsidP="00A655EC">
      <w:pPr>
        <w:pStyle w:val="JudgmentNumbered"/>
        <w:numPr>
          <w:ilvl w:val="0"/>
          <w:numId w:val="0"/>
        </w:numPr>
        <w:ind w:left="720" w:hanging="720"/>
        <w:rPr>
          <w:szCs w:val="24"/>
        </w:rPr>
      </w:pPr>
      <w:r w:rsidRPr="004F72FF">
        <w:rPr>
          <w:szCs w:val="24"/>
        </w:rPr>
        <w:t>[8]</w:t>
      </w:r>
      <w:r w:rsidRPr="004F72FF">
        <w:rPr>
          <w:szCs w:val="24"/>
        </w:rPr>
        <w:tab/>
      </w:r>
      <w:r w:rsidR="00203F7E" w:rsidRPr="004F72FF">
        <w:rPr>
          <w:szCs w:val="24"/>
        </w:rPr>
        <w:t>Whyte signed all the necessary forms including a change of advisor form</w:t>
      </w:r>
      <w:r w:rsidR="002B6453" w:rsidRPr="004F72FF">
        <w:rPr>
          <w:szCs w:val="24"/>
        </w:rPr>
        <w:t xml:space="preserve"> in favour of WKI</w:t>
      </w:r>
      <w:r w:rsidR="00203F7E" w:rsidRPr="004F72FF">
        <w:rPr>
          <w:szCs w:val="24"/>
        </w:rPr>
        <w:t xml:space="preserve"> and the funds were transferred. The mechanism through which the funds were transferred – whether through an asset swap or a cash withdrawals and deposits </w:t>
      </w:r>
      <w:r w:rsidR="00CA4273" w:rsidRPr="00923B81">
        <w:rPr>
          <w:szCs w:val="24"/>
        </w:rPr>
        <w:t>- is</w:t>
      </w:r>
      <w:r w:rsidR="00203F7E" w:rsidRPr="003340C1">
        <w:rPr>
          <w:szCs w:val="24"/>
        </w:rPr>
        <w:t xml:space="preserve"> not material to these proceedings</w:t>
      </w:r>
      <w:r w:rsidR="007478BF" w:rsidRPr="003340C1">
        <w:rPr>
          <w:szCs w:val="24"/>
        </w:rPr>
        <w:t xml:space="preserve"> n</w:t>
      </w:r>
      <w:r w:rsidR="00203F7E" w:rsidRPr="003340C1">
        <w:rPr>
          <w:szCs w:val="24"/>
        </w:rPr>
        <w:t xml:space="preserve">or is it relevant which assets were held by OPES. It suffices that </w:t>
      </w:r>
      <w:r w:rsidR="00D24617" w:rsidRPr="00064FED">
        <w:rPr>
          <w:szCs w:val="24"/>
        </w:rPr>
        <w:t xml:space="preserve">in August 2018 </w:t>
      </w:r>
      <w:r w:rsidR="0001280C" w:rsidRPr="00064FED">
        <w:rPr>
          <w:szCs w:val="24"/>
        </w:rPr>
        <w:t xml:space="preserve">the value of </w:t>
      </w:r>
      <w:r w:rsidR="00203F7E" w:rsidRPr="00064FED">
        <w:rPr>
          <w:szCs w:val="24"/>
        </w:rPr>
        <w:t>Whyte</w:t>
      </w:r>
      <w:r w:rsidR="0001280C" w:rsidRPr="00064FED">
        <w:rPr>
          <w:szCs w:val="24"/>
        </w:rPr>
        <w:t xml:space="preserve">’s assets transferred from the previous </w:t>
      </w:r>
      <w:r w:rsidR="00F73A49" w:rsidRPr="00B175C0">
        <w:rPr>
          <w:szCs w:val="24"/>
        </w:rPr>
        <w:t xml:space="preserve">investment account into the OPES pension plan was </w:t>
      </w:r>
      <w:bookmarkStart w:id="0" w:name="_Hlk160109689"/>
      <w:r w:rsidR="002325E9" w:rsidRPr="00C93CC4">
        <w:rPr>
          <w:szCs w:val="24"/>
        </w:rPr>
        <w:t>£</w:t>
      </w:r>
      <w:r w:rsidR="00F73A49" w:rsidRPr="00C93CC4">
        <w:rPr>
          <w:szCs w:val="24"/>
        </w:rPr>
        <w:t>2 135 017.7</w:t>
      </w:r>
      <w:r w:rsidR="002325E9" w:rsidRPr="00C93CC4">
        <w:rPr>
          <w:szCs w:val="24"/>
        </w:rPr>
        <w:t>5</w:t>
      </w:r>
      <w:r w:rsidR="00912546" w:rsidRPr="00C93CC4">
        <w:rPr>
          <w:szCs w:val="24"/>
        </w:rPr>
        <w:t xml:space="preserve">. </w:t>
      </w:r>
    </w:p>
    <w:bookmarkEnd w:id="0"/>
    <w:p w14:paraId="738278E2" w14:textId="1F564444" w:rsidR="008B5CE0" w:rsidRPr="004F72FF" w:rsidRDefault="00A655EC" w:rsidP="00A655EC">
      <w:pPr>
        <w:pStyle w:val="JudgmentNumbered"/>
        <w:numPr>
          <w:ilvl w:val="0"/>
          <w:numId w:val="0"/>
        </w:numPr>
        <w:ind w:left="720" w:hanging="720"/>
        <w:rPr>
          <w:szCs w:val="24"/>
        </w:rPr>
      </w:pPr>
      <w:r w:rsidRPr="004F72FF">
        <w:rPr>
          <w:szCs w:val="24"/>
        </w:rPr>
        <w:t>[9]</w:t>
      </w:r>
      <w:r w:rsidRPr="004F72FF">
        <w:rPr>
          <w:szCs w:val="24"/>
        </w:rPr>
        <w:tab/>
      </w:r>
      <w:r w:rsidR="002B6453" w:rsidRPr="004F72FF">
        <w:rPr>
          <w:szCs w:val="24"/>
        </w:rPr>
        <w:t>WKI</w:t>
      </w:r>
      <w:r w:rsidR="008B5CE0" w:rsidRPr="004F72FF">
        <w:rPr>
          <w:szCs w:val="24"/>
        </w:rPr>
        <w:t xml:space="preserve"> had a 70/30% fee sharing arrangement with </w:t>
      </w:r>
      <w:r w:rsidR="002B6453" w:rsidRPr="004F72FF">
        <w:rPr>
          <w:szCs w:val="24"/>
        </w:rPr>
        <w:t xml:space="preserve">Pretorius </w:t>
      </w:r>
      <w:r w:rsidR="00C77A7D" w:rsidRPr="004F72FF">
        <w:rPr>
          <w:szCs w:val="24"/>
        </w:rPr>
        <w:t xml:space="preserve">in terms of which </w:t>
      </w:r>
      <w:r w:rsidR="00497F42" w:rsidRPr="004F72FF">
        <w:rPr>
          <w:szCs w:val="24"/>
        </w:rPr>
        <w:t xml:space="preserve">WKI </w:t>
      </w:r>
      <w:r w:rsidR="008B5CE0" w:rsidRPr="004F72FF">
        <w:rPr>
          <w:szCs w:val="24"/>
        </w:rPr>
        <w:t>would retain 30% and pay over the 70% to him</w:t>
      </w:r>
      <w:r w:rsidR="00497F42" w:rsidRPr="004F72FF">
        <w:rPr>
          <w:szCs w:val="24"/>
        </w:rPr>
        <w:t xml:space="preserve"> of any commission earned by him</w:t>
      </w:r>
      <w:r w:rsidR="008B5CE0" w:rsidRPr="004F72FF">
        <w:rPr>
          <w:szCs w:val="24"/>
        </w:rPr>
        <w:t>.</w:t>
      </w:r>
    </w:p>
    <w:p w14:paraId="25CB086F" w14:textId="7145D701" w:rsidR="00905F6F" w:rsidRPr="004F72FF" w:rsidRDefault="00A655EC" w:rsidP="00A655EC">
      <w:pPr>
        <w:pStyle w:val="JudgmentNumbered"/>
        <w:numPr>
          <w:ilvl w:val="0"/>
          <w:numId w:val="0"/>
        </w:numPr>
        <w:ind w:left="720" w:hanging="720"/>
        <w:rPr>
          <w:szCs w:val="24"/>
        </w:rPr>
      </w:pPr>
      <w:r w:rsidRPr="004F72FF">
        <w:rPr>
          <w:szCs w:val="24"/>
        </w:rPr>
        <w:t>[10]</w:t>
      </w:r>
      <w:r w:rsidRPr="004F72FF">
        <w:rPr>
          <w:szCs w:val="24"/>
        </w:rPr>
        <w:tab/>
      </w:r>
      <w:r w:rsidR="00203F7E" w:rsidRPr="004F72FF">
        <w:rPr>
          <w:szCs w:val="24"/>
        </w:rPr>
        <w:t xml:space="preserve">As it happens FPI on </w:t>
      </w:r>
      <w:r w:rsidR="00905F6F" w:rsidRPr="004F72FF">
        <w:rPr>
          <w:szCs w:val="24"/>
        </w:rPr>
        <w:t>7 August 2018</w:t>
      </w:r>
      <w:r w:rsidR="00203F7E" w:rsidRPr="004F72FF">
        <w:rPr>
          <w:szCs w:val="24"/>
        </w:rPr>
        <w:t xml:space="preserve"> transferred </w:t>
      </w:r>
      <w:r w:rsidR="005C090E" w:rsidRPr="004F72FF">
        <w:rPr>
          <w:szCs w:val="24"/>
        </w:rPr>
        <w:t>£149 451.25</w:t>
      </w:r>
      <w:r w:rsidR="00203F7E" w:rsidRPr="004F72FF">
        <w:rPr>
          <w:szCs w:val="24"/>
        </w:rPr>
        <w:t xml:space="preserve"> into the account of WKI being</w:t>
      </w:r>
      <w:r w:rsidR="005B5C70" w:rsidRPr="0061310D">
        <w:t xml:space="preserve"> </w:t>
      </w:r>
      <w:r w:rsidR="005B5C70">
        <w:t>seven percent (7%) of £2 135 017.75</w:t>
      </w:r>
      <w:r w:rsidR="00203F7E" w:rsidRPr="004F72FF">
        <w:rPr>
          <w:szCs w:val="24"/>
        </w:rPr>
        <w:t xml:space="preserve">. </w:t>
      </w:r>
      <w:bookmarkStart w:id="1" w:name="_Hlk159777228"/>
      <w:r w:rsidR="005B5C70" w:rsidRPr="005B5C70">
        <w:rPr>
          <w:szCs w:val="24"/>
        </w:rPr>
        <w:t>This amounted to R 2 937 660.90</w:t>
      </w:r>
      <w:bookmarkEnd w:id="1"/>
      <w:r w:rsidR="005B5C70" w:rsidRPr="005B5C70">
        <w:rPr>
          <w:szCs w:val="24"/>
        </w:rPr>
        <w:t xml:space="preserve"> at the relevant exchange rate. WKI then transferred an amount of R2 056 362.63 </w:t>
      </w:r>
      <w:r w:rsidR="00F60FA2">
        <w:rPr>
          <w:szCs w:val="24"/>
        </w:rPr>
        <w:t xml:space="preserve">to Pretorius </w:t>
      </w:r>
      <w:r w:rsidR="005B5C70" w:rsidRPr="005B5C70">
        <w:rPr>
          <w:szCs w:val="24"/>
        </w:rPr>
        <w:t>and retained the balance of R881 298.28</w:t>
      </w:r>
      <w:r w:rsidR="001C1232" w:rsidRPr="004F72FF">
        <w:rPr>
          <w:szCs w:val="24"/>
        </w:rPr>
        <w:t>.</w:t>
      </w:r>
      <w:r w:rsidR="00905F6F" w:rsidRPr="004F72FF">
        <w:rPr>
          <w:szCs w:val="24"/>
        </w:rPr>
        <w:t xml:space="preserve"> </w:t>
      </w:r>
    </w:p>
    <w:p w14:paraId="64D137F7" w14:textId="15A4E084" w:rsidR="005B5C70" w:rsidRDefault="00A655EC" w:rsidP="00A655EC">
      <w:pPr>
        <w:pStyle w:val="JudgmentNumbered"/>
        <w:numPr>
          <w:ilvl w:val="0"/>
          <w:numId w:val="0"/>
        </w:numPr>
        <w:ind w:left="709" w:hanging="709"/>
      </w:pPr>
      <w:r>
        <w:t>[11]</w:t>
      </w:r>
      <w:r>
        <w:tab/>
      </w:r>
      <w:r w:rsidR="005B5C70" w:rsidRPr="00716BF2">
        <w:rPr>
          <w:szCs w:val="24"/>
        </w:rPr>
        <w:t xml:space="preserve">FPI, in the meantime started deducting this  7% commission from Whyte’s capital on a quarterly basis with interest. Whyte’s capital (and his investment) was accordingly reduced by an amount which included interest charges. At the </w:t>
      </w:r>
      <w:r w:rsidR="005B5C70" w:rsidRPr="00716BF2">
        <w:rPr>
          <w:szCs w:val="24"/>
        </w:rPr>
        <w:lastRenderedPageBreak/>
        <w:t>time</w:t>
      </w:r>
      <w:r w:rsidR="005B5C70">
        <w:t xml:space="preserve"> of hearing, it appears that FPI was still doing this and would not cease until it had been repaid the </w:t>
      </w:r>
      <w:r w:rsidR="005B5C70" w:rsidRPr="00E21006">
        <w:t xml:space="preserve">£149 451.25 </w:t>
      </w:r>
      <w:r w:rsidR="005B5C70">
        <w:t xml:space="preserve">or any outstanding portion thereof. </w:t>
      </w:r>
    </w:p>
    <w:p w14:paraId="722DAF00" w14:textId="109DED4A" w:rsidR="00203F7E" w:rsidRPr="004F72FF" w:rsidRDefault="00A655EC" w:rsidP="00A655EC">
      <w:pPr>
        <w:pStyle w:val="JudgmentNumbered"/>
        <w:numPr>
          <w:ilvl w:val="0"/>
          <w:numId w:val="0"/>
        </w:numPr>
        <w:ind w:left="720" w:hanging="720"/>
        <w:rPr>
          <w:szCs w:val="24"/>
        </w:rPr>
      </w:pPr>
      <w:r w:rsidRPr="004F72FF">
        <w:rPr>
          <w:szCs w:val="24"/>
        </w:rPr>
        <w:t>[12]</w:t>
      </w:r>
      <w:r w:rsidRPr="004F72FF">
        <w:rPr>
          <w:szCs w:val="24"/>
        </w:rPr>
        <w:tab/>
      </w:r>
      <w:r w:rsidR="00203F7E" w:rsidRPr="004F72FF">
        <w:rPr>
          <w:szCs w:val="24"/>
        </w:rPr>
        <w:t>When Whyte discovered this, he</w:t>
      </w:r>
      <w:r w:rsidR="00E04083" w:rsidRPr="004F72FF">
        <w:rPr>
          <w:szCs w:val="24"/>
        </w:rPr>
        <w:t xml:space="preserve"> raised it with </w:t>
      </w:r>
      <w:r w:rsidR="00203F7E" w:rsidRPr="004F72FF">
        <w:rPr>
          <w:szCs w:val="24"/>
        </w:rPr>
        <w:t xml:space="preserve">Pretorius. Pretorius </w:t>
      </w:r>
      <w:r w:rsidR="008C1B00" w:rsidRPr="004F72FF">
        <w:rPr>
          <w:szCs w:val="24"/>
        </w:rPr>
        <w:t xml:space="preserve">then </w:t>
      </w:r>
      <w:r w:rsidR="00203F7E" w:rsidRPr="004F72FF">
        <w:rPr>
          <w:szCs w:val="24"/>
        </w:rPr>
        <w:t xml:space="preserve">advised WKI that his agreement with Whyte was that no commission was payable on the investment and that the amount </w:t>
      </w:r>
      <w:r w:rsidR="008C1B00" w:rsidRPr="004F72FF">
        <w:rPr>
          <w:szCs w:val="24"/>
        </w:rPr>
        <w:t xml:space="preserve">of </w:t>
      </w:r>
      <w:r w:rsidR="00E21006" w:rsidRPr="004F72FF">
        <w:rPr>
          <w:szCs w:val="24"/>
        </w:rPr>
        <w:t xml:space="preserve">£149 451.25 </w:t>
      </w:r>
      <w:r w:rsidR="00203F7E" w:rsidRPr="004F72FF">
        <w:rPr>
          <w:szCs w:val="24"/>
        </w:rPr>
        <w:t xml:space="preserve">should be refunded to FPI. </w:t>
      </w:r>
      <w:r w:rsidR="007478BF" w:rsidRPr="004F72FF">
        <w:rPr>
          <w:szCs w:val="24"/>
        </w:rPr>
        <w:t xml:space="preserve"> </w:t>
      </w:r>
      <w:r w:rsidR="00E04083" w:rsidRPr="004F72FF">
        <w:rPr>
          <w:szCs w:val="24"/>
        </w:rPr>
        <w:t>In his answering affidavit he</w:t>
      </w:r>
      <w:r w:rsidR="00203F7E" w:rsidRPr="004F72FF">
        <w:rPr>
          <w:szCs w:val="24"/>
        </w:rPr>
        <w:t xml:space="preserve"> alleges that he refunded the money to WKI and </w:t>
      </w:r>
      <w:r w:rsidR="00DC4120" w:rsidRPr="004F72FF">
        <w:rPr>
          <w:szCs w:val="24"/>
        </w:rPr>
        <w:t>relinquished</w:t>
      </w:r>
      <w:r w:rsidR="00203F7E" w:rsidRPr="004F72FF">
        <w:rPr>
          <w:szCs w:val="24"/>
        </w:rPr>
        <w:t xml:space="preserve"> commission on other investments to make up the amount that was owing</w:t>
      </w:r>
      <w:r w:rsidR="005B5C70">
        <w:rPr>
          <w:szCs w:val="24"/>
        </w:rPr>
        <w:t xml:space="preserve"> but doesn’t provide any figures</w:t>
      </w:r>
      <w:r w:rsidR="00203F7E" w:rsidRPr="004F72FF">
        <w:rPr>
          <w:szCs w:val="24"/>
        </w:rPr>
        <w:t>.</w:t>
      </w:r>
    </w:p>
    <w:p w14:paraId="5D9F7D9F" w14:textId="7DDFDFE9" w:rsidR="00203F7E" w:rsidRPr="00B175C0" w:rsidRDefault="00A655EC" w:rsidP="00A655EC">
      <w:pPr>
        <w:pStyle w:val="JudgmentNumbered"/>
        <w:numPr>
          <w:ilvl w:val="0"/>
          <w:numId w:val="0"/>
        </w:numPr>
        <w:ind w:left="720" w:hanging="720"/>
        <w:rPr>
          <w:szCs w:val="24"/>
        </w:rPr>
      </w:pPr>
      <w:r w:rsidRPr="00B175C0">
        <w:rPr>
          <w:szCs w:val="24"/>
        </w:rPr>
        <w:t>[13]</w:t>
      </w:r>
      <w:r w:rsidRPr="00B175C0">
        <w:rPr>
          <w:szCs w:val="24"/>
        </w:rPr>
        <w:tab/>
      </w:r>
      <w:r w:rsidR="00203F7E" w:rsidRPr="004F72FF">
        <w:rPr>
          <w:szCs w:val="24"/>
        </w:rPr>
        <w:t xml:space="preserve">WKI, upon receiving this information started engagements with Whyte. Kruger, the main deponent in these proceedings, says that they were </w:t>
      </w:r>
      <w:r w:rsidR="00CA4273">
        <w:rPr>
          <w:szCs w:val="24"/>
        </w:rPr>
        <w:t>“</w:t>
      </w:r>
      <w:r w:rsidR="00203F7E" w:rsidRPr="00817747">
        <w:rPr>
          <w:szCs w:val="24"/>
        </w:rPr>
        <w:t>sick to their stomac</w:t>
      </w:r>
      <w:r w:rsidR="00CA4273">
        <w:rPr>
          <w:szCs w:val="24"/>
        </w:rPr>
        <w:t>h”</w:t>
      </w:r>
      <w:r w:rsidR="00203F7E" w:rsidRPr="00817747">
        <w:rPr>
          <w:szCs w:val="24"/>
        </w:rPr>
        <w:t xml:space="preserve"> when they heard this and embarked on finding a way to resolve it. </w:t>
      </w:r>
      <w:r w:rsidR="00203F7E" w:rsidRPr="003340C1">
        <w:rPr>
          <w:szCs w:val="24"/>
        </w:rPr>
        <w:t>The parties engaged in negotiations which reached a point where Kruger and Guthrie had agreed to sign an acknowledgement of debt (</w:t>
      </w:r>
      <w:r w:rsidR="00006FFC">
        <w:rPr>
          <w:szCs w:val="24"/>
        </w:rPr>
        <w:t>“</w:t>
      </w:r>
      <w:r w:rsidR="00203F7E" w:rsidRPr="00351651">
        <w:rPr>
          <w:szCs w:val="24"/>
        </w:rPr>
        <w:t>AOD</w:t>
      </w:r>
      <w:r w:rsidR="00006FFC">
        <w:rPr>
          <w:szCs w:val="24"/>
        </w:rPr>
        <w:t>”</w:t>
      </w:r>
      <w:r w:rsidR="00203F7E" w:rsidRPr="00351651">
        <w:rPr>
          <w:szCs w:val="24"/>
        </w:rPr>
        <w:t>)</w:t>
      </w:r>
      <w:r w:rsidR="00E04083" w:rsidRPr="00351651">
        <w:rPr>
          <w:szCs w:val="24"/>
        </w:rPr>
        <w:t xml:space="preserve"> for the whole amount</w:t>
      </w:r>
      <w:r w:rsidR="00203F7E" w:rsidRPr="00817747">
        <w:rPr>
          <w:szCs w:val="24"/>
        </w:rPr>
        <w:t>. The AOD was drafted by Whyte’s attorneys and sent to Kruger and Guthrie</w:t>
      </w:r>
      <w:r w:rsidR="00E04083" w:rsidRPr="003340C1">
        <w:rPr>
          <w:szCs w:val="24"/>
        </w:rPr>
        <w:t>.</w:t>
      </w:r>
      <w:r w:rsidR="00203F7E" w:rsidRPr="003340C1">
        <w:rPr>
          <w:szCs w:val="24"/>
        </w:rPr>
        <w:t xml:space="preserve"> It was at this point that the tenor of the discussions took a turn for the worse.</w:t>
      </w:r>
      <w:r w:rsidR="00203F7E" w:rsidRPr="00064FED">
        <w:rPr>
          <w:szCs w:val="24"/>
        </w:rPr>
        <w:t xml:space="preserve"> The AOD was not signed by Kruger and Guthrie and Whyte eventually </w:t>
      </w:r>
      <w:r w:rsidR="0053048E" w:rsidRPr="00064FED">
        <w:rPr>
          <w:szCs w:val="24"/>
        </w:rPr>
        <w:t>sued for the money</w:t>
      </w:r>
      <w:r w:rsidR="00203F7E" w:rsidRPr="00064FED">
        <w:rPr>
          <w:szCs w:val="24"/>
        </w:rPr>
        <w:t xml:space="preserve">. </w:t>
      </w:r>
    </w:p>
    <w:p w14:paraId="1D0250A2" w14:textId="1B6146A5" w:rsidR="005B5C70" w:rsidRPr="009008CA" w:rsidRDefault="00A655EC" w:rsidP="00A655EC">
      <w:pPr>
        <w:pStyle w:val="JudgmentNumbered"/>
        <w:numPr>
          <w:ilvl w:val="0"/>
          <w:numId w:val="0"/>
        </w:numPr>
        <w:ind w:left="709" w:hanging="709"/>
        <w:rPr>
          <w:szCs w:val="24"/>
        </w:rPr>
      </w:pPr>
      <w:r w:rsidRPr="009008CA">
        <w:rPr>
          <w:szCs w:val="24"/>
        </w:rPr>
        <w:t>[14]</w:t>
      </w:r>
      <w:r w:rsidRPr="009008CA">
        <w:rPr>
          <w:szCs w:val="24"/>
        </w:rPr>
        <w:tab/>
      </w:r>
      <w:r w:rsidR="005B5C70" w:rsidRPr="009008CA">
        <w:rPr>
          <w:szCs w:val="24"/>
        </w:rPr>
        <w:t>An offer of £130 000 was subsequently made with prejudice by WKI.</w:t>
      </w:r>
      <w:r w:rsidR="005B5C70" w:rsidRPr="009008CA">
        <w:rPr>
          <w:szCs w:val="24"/>
        </w:rPr>
        <w:footnoteReference w:id="3"/>
      </w:r>
      <w:r w:rsidR="005B5C70" w:rsidRPr="009008CA">
        <w:rPr>
          <w:szCs w:val="24"/>
        </w:rPr>
        <w:t xml:space="preserve">  Kruger </w:t>
      </w:r>
      <w:r w:rsidR="009008CA">
        <w:rPr>
          <w:szCs w:val="24"/>
        </w:rPr>
        <w:t xml:space="preserve"> </w:t>
      </w:r>
      <w:r w:rsidR="005B5C70" w:rsidRPr="009008CA">
        <w:rPr>
          <w:szCs w:val="24"/>
        </w:rPr>
        <w:t xml:space="preserve">also alleges that R2 million has been set aside for this in their attorney’s trust fund. </w:t>
      </w:r>
    </w:p>
    <w:p w14:paraId="6C64AD6D" w14:textId="009626F5" w:rsidR="007F6554" w:rsidRPr="004F72FF" w:rsidRDefault="00A655EC" w:rsidP="00A655EC">
      <w:pPr>
        <w:pStyle w:val="JudgmentNumbered"/>
        <w:numPr>
          <w:ilvl w:val="0"/>
          <w:numId w:val="0"/>
        </w:numPr>
        <w:ind w:left="720" w:hanging="720"/>
        <w:rPr>
          <w:szCs w:val="24"/>
        </w:rPr>
      </w:pPr>
      <w:r w:rsidRPr="004F72FF">
        <w:rPr>
          <w:szCs w:val="24"/>
        </w:rPr>
        <w:t>[15]</w:t>
      </w:r>
      <w:r w:rsidRPr="004F72FF">
        <w:rPr>
          <w:szCs w:val="24"/>
        </w:rPr>
        <w:tab/>
      </w:r>
      <w:r w:rsidR="006231BD" w:rsidRPr="004F72FF">
        <w:rPr>
          <w:szCs w:val="24"/>
        </w:rPr>
        <w:t xml:space="preserve">In the </w:t>
      </w:r>
      <w:r w:rsidR="007F6554" w:rsidRPr="004F72FF">
        <w:rPr>
          <w:szCs w:val="24"/>
        </w:rPr>
        <w:t>court</w:t>
      </w:r>
      <w:r w:rsidR="006231BD" w:rsidRPr="004F72FF">
        <w:rPr>
          <w:szCs w:val="24"/>
        </w:rPr>
        <w:t xml:space="preserve"> a </w:t>
      </w:r>
      <w:r w:rsidR="006231BD" w:rsidRPr="004F72FF">
        <w:rPr>
          <w:i/>
          <w:iCs/>
          <w:szCs w:val="24"/>
        </w:rPr>
        <w:t>quo</w:t>
      </w:r>
      <w:r w:rsidR="006231BD" w:rsidRPr="004F72FF">
        <w:rPr>
          <w:szCs w:val="24"/>
        </w:rPr>
        <w:t xml:space="preserve"> there was</w:t>
      </w:r>
      <w:r w:rsidR="007F6554" w:rsidRPr="004F72FF">
        <w:rPr>
          <w:szCs w:val="24"/>
        </w:rPr>
        <w:t xml:space="preserve"> some</w:t>
      </w:r>
      <w:r w:rsidR="006231BD" w:rsidRPr="004F72FF">
        <w:rPr>
          <w:szCs w:val="24"/>
        </w:rPr>
        <w:t xml:space="preserve"> debate about Whyte’s cause of action. </w:t>
      </w:r>
      <w:r w:rsidR="00375802" w:rsidRPr="004F72FF">
        <w:rPr>
          <w:szCs w:val="24"/>
        </w:rPr>
        <w:t xml:space="preserve">The applicant, Whyte, had </w:t>
      </w:r>
      <w:r w:rsidR="0028595D" w:rsidRPr="004F72FF">
        <w:rPr>
          <w:szCs w:val="24"/>
        </w:rPr>
        <w:t xml:space="preserve">sought all four respondents liable </w:t>
      </w:r>
      <w:r w:rsidR="006C15C8" w:rsidRPr="004F72FF">
        <w:rPr>
          <w:szCs w:val="24"/>
        </w:rPr>
        <w:t>based on</w:t>
      </w:r>
      <w:r w:rsidR="00375802" w:rsidRPr="004F72FF">
        <w:rPr>
          <w:szCs w:val="24"/>
        </w:rPr>
        <w:t xml:space="preserve"> the </w:t>
      </w:r>
      <w:r w:rsidR="00375802" w:rsidRPr="004F72FF">
        <w:rPr>
          <w:i/>
          <w:iCs/>
          <w:szCs w:val="24"/>
        </w:rPr>
        <w:t>cond</w:t>
      </w:r>
      <w:r w:rsidR="007C6B09" w:rsidRPr="004F72FF">
        <w:rPr>
          <w:i/>
          <w:iCs/>
          <w:szCs w:val="24"/>
        </w:rPr>
        <w:t>ictio furtiva</w:t>
      </w:r>
      <w:r w:rsidR="007C6B09" w:rsidRPr="004F72FF">
        <w:rPr>
          <w:szCs w:val="24"/>
        </w:rPr>
        <w:t xml:space="preserve"> wh</w:t>
      </w:r>
      <w:r w:rsidR="00AF242F" w:rsidRPr="004F72FF">
        <w:rPr>
          <w:szCs w:val="24"/>
        </w:rPr>
        <w:t>ich</w:t>
      </w:r>
      <w:r w:rsidR="007C6B09" w:rsidRPr="004F72FF">
        <w:rPr>
          <w:szCs w:val="24"/>
        </w:rPr>
        <w:t xml:space="preserve"> is a delictual claim</w:t>
      </w:r>
      <w:r w:rsidR="00AF242F" w:rsidRPr="004F72FF">
        <w:rPr>
          <w:szCs w:val="24"/>
        </w:rPr>
        <w:t xml:space="preserve"> and </w:t>
      </w:r>
      <w:r w:rsidR="007C6B09" w:rsidRPr="004F72FF">
        <w:rPr>
          <w:szCs w:val="24"/>
        </w:rPr>
        <w:t>in the alternative</w:t>
      </w:r>
      <w:r w:rsidR="007F6554" w:rsidRPr="004F72FF">
        <w:rPr>
          <w:szCs w:val="24"/>
        </w:rPr>
        <w:t xml:space="preserve"> on either</w:t>
      </w:r>
      <w:r w:rsidR="007C6B09" w:rsidRPr="004F72FF">
        <w:rPr>
          <w:szCs w:val="24"/>
        </w:rPr>
        <w:t xml:space="preserve"> </w:t>
      </w:r>
      <w:r w:rsidR="006E06E6" w:rsidRPr="004F72FF">
        <w:rPr>
          <w:szCs w:val="24"/>
        </w:rPr>
        <w:t xml:space="preserve">the </w:t>
      </w:r>
      <w:r w:rsidR="006E06E6" w:rsidRPr="004F72FF">
        <w:rPr>
          <w:i/>
          <w:iCs/>
          <w:szCs w:val="24"/>
        </w:rPr>
        <w:t>condictio sine causa</w:t>
      </w:r>
      <w:r w:rsidR="006E06E6" w:rsidRPr="004F72FF">
        <w:rPr>
          <w:szCs w:val="24"/>
        </w:rPr>
        <w:t xml:space="preserve"> </w:t>
      </w:r>
      <w:r w:rsidR="004640E1" w:rsidRPr="004F72FF">
        <w:rPr>
          <w:szCs w:val="24"/>
        </w:rPr>
        <w:t xml:space="preserve">which is based on unjust enrichment </w:t>
      </w:r>
      <w:r w:rsidR="006E06E6" w:rsidRPr="004F72FF">
        <w:rPr>
          <w:szCs w:val="24"/>
        </w:rPr>
        <w:t xml:space="preserve">or the </w:t>
      </w:r>
      <w:r w:rsidR="004640E1" w:rsidRPr="004F72FF">
        <w:rPr>
          <w:i/>
          <w:iCs/>
          <w:szCs w:val="24"/>
        </w:rPr>
        <w:t>condictio ob turpem vel inustum causa</w:t>
      </w:r>
      <w:r w:rsidR="004640E1" w:rsidRPr="004F72FF">
        <w:rPr>
          <w:szCs w:val="24"/>
        </w:rPr>
        <w:t xml:space="preserve">. </w:t>
      </w:r>
    </w:p>
    <w:p w14:paraId="23DE94CF" w14:textId="50484BF0" w:rsidR="007714F8" w:rsidRPr="004F72FF" w:rsidRDefault="00A655EC" w:rsidP="00A655EC">
      <w:pPr>
        <w:pStyle w:val="JudgmentNumbered"/>
        <w:numPr>
          <w:ilvl w:val="0"/>
          <w:numId w:val="0"/>
        </w:numPr>
        <w:ind w:left="720" w:hanging="720"/>
        <w:rPr>
          <w:szCs w:val="24"/>
          <w:lang w:val="en-ZA"/>
        </w:rPr>
      </w:pPr>
      <w:r w:rsidRPr="004F72FF">
        <w:rPr>
          <w:szCs w:val="24"/>
          <w:lang w:val="en-ZA"/>
        </w:rPr>
        <w:t>[16]</w:t>
      </w:r>
      <w:r w:rsidRPr="004F72FF">
        <w:rPr>
          <w:szCs w:val="24"/>
          <w:lang w:val="en-ZA"/>
        </w:rPr>
        <w:tab/>
      </w:r>
      <w:r w:rsidR="007714F8" w:rsidRPr="004F72FF">
        <w:rPr>
          <w:szCs w:val="24"/>
        </w:rPr>
        <w:t>Swanepoel AJ found that Pretorius and WKI had been unjustly enriched by receiving the undue payme</w:t>
      </w:r>
      <w:r w:rsidR="00C169A0" w:rsidRPr="004F72FF">
        <w:rPr>
          <w:szCs w:val="24"/>
        </w:rPr>
        <w:t>nt of</w:t>
      </w:r>
      <w:r w:rsidR="006661A4" w:rsidRPr="004F72FF">
        <w:rPr>
          <w:szCs w:val="24"/>
        </w:rPr>
        <w:t xml:space="preserve"> </w:t>
      </w:r>
      <w:bookmarkStart w:id="2" w:name="_Hlk160107900"/>
      <w:r w:rsidR="006661A4" w:rsidRPr="004F72FF">
        <w:rPr>
          <w:szCs w:val="24"/>
          <w:lang w:val="en-ZA"/>
        </w:rPr>
        <w:t xml:space="preserve">£149 451.24 </w:t>
      </w:r>
      <w:bookmarkEnd w:id="2"/>
      <w:r w:rsidR="00C169A0" w:rsidRPr="004F72FF">
        <w:rPr>
          <w:szCs w:val="24"/>
        </w:rPr>
        <w:t>and were liable to repay this to Whyte.</w:t>
      </w:r>
    </w:p>
    <w:p w14:paraId="3F233611" w14:textId="275A5A56" w:rsidR="00C169A0" w:rsidRPr="004F72FF" w:rsidRDefault="00A655EC" w:rsidP="00A655EC">
      <w:pPr>
        <w:pStyle w:val="JudgmentNumbered"/>
        <w:numPr>
          <w:ilvl w:val="0"/>
          <w:numId w:val="0"/>
        </w:numPr>
        <w:ind w:left="720" w:hanging="720"/>
        <w:rPr>
          <w:szCs w:val="24"/>
        </w:rPr>
      </w:pPr>
      <w:r w:rsidRPr="004F72FF">
        <w:rPr>
          <w:szCs w:val="24"/>
        </w:rPr>
        <w:lastRenderedPageBreak/>
        <w:t>[17]</w:t>
      </w:r>
      <w:r w:rsidRPr="004F72FF">
        <w:rPr>
          <w:szCs w:val="24"/>
        </w:rPr>
        <w:tab/>
      </w:r>
      <w:r w:rsidR="00C169A0" w:rsidRPr="004F72FF">
        <w:rPr>
          <w:szCs w:val="24"/>
        </w:rPr>
        <w:t xml:space="preserve">In relation to Kruger and </w:t>
      </w:r>
      <w:r w:rsidR="006923F9" w:rsidRPr="004F72FF">
        <w:rPr>
          <w:szCs w:val="24"/>
        </w:rPr>
        <w:t xml:space="preserve">Guthrie he found that they were liable </w:t>
      </w:r>
      <w:r w:rsidR="00C956A3" w:rsidRPr="004F72FF">
        <w:rPr>
          <w:szCs w:val="24"/>
        </w:rPr>
        <w:t xml:space="preserve">to repay </w:t>
      </w:r>
      <w:r w:rsidR="00306413" w:rsidRPr="004F72FF">
        <w:rPr>
          <w:szCs w:val="24"/>
        </w:rPr>
        <w:t>R2 056 362.63</w:t>
      </w:r>
      <w:r w:rsidR="008B6EB1" w:rsidRPr="004F72FF">
        <w:rPr>
          <w:szCs w:val="24"/>
        </w:rPr>
        <w:t xml:space="preserve">, jointly and severally with Pretorius and WKI, to </w:t>
      </w:r>
      <w:r w:rsidR="00C956A3" w:rsidRPr="004F72FF">
        <w:rPr>
          <w:szCs w:val="24"/>
        </w:rPr>
        <w:t xml:space="preserve">Whyte </w:t>
      </w:r>
      <w:r w:rsidR="00306413" w:rsidRPr="004F72FF">
        <w:rPr>
          <w:szCs w:val="24"/>
        </w:rPr>
        <w:t>based on</w:t>
      </w:r>
      <w:r w:rsidR="006923F9" w:rsidRPr="004F72FF">
        <w:rPr>
          <w:szCs w:val="24"/>
        </w:rPr>
        <w:t xml:space="preserve"> the </w:t>
      </w:r>
      <w:r w:rsidR="006923F9" w:rsidRPr="004F72FF">
        <w:rPr>
          <w:i/>
          <w:iCs/>
          <w:szCs w:val="24"/>
        </w:rPr>
        <w:t>condictio furtiva</w:t>
      </w:r>
      <w:r w:rsidR="006923F9" w:rsidRPr="004F72FF">
        <w:rPr>
          <w:szCs w:val="24"/>
        </w:rPr>
        <w:t xml:space="preserve">.  </w:t>
      </w:r>
    </w:p>
    <w:p w14:paraId="30C2E0C8" w14:textId="29135899" w:rsidR="00C22B88" w:rsidRPr="00F4146B" w:rsidRDefault="00203F7E" w:rsidP="00F4146B">
      <w:pPr>
        <w:pStyle w:val="JudgmentNumbered"/>
        <w:numPr>
          <w:ilvl w:val="0"/>
          <w:numId w:val="0"/>
        </w:numPr>
        <w:ind w:left="567" w:hanging="567"/>
        <w:rPr>
          <w:bCs/>
          <w:i/>
          <w:szCs w:val="24"/>
        </w:rPr>
      </w:pPr>
      <w:r w:rsidRPr="00F4146B">
        <w:rPr>
          <w:bCs/>
          <w:i/>
          <w:szCs w:val="24"/>
        </w:rPr>
        <w:t>GROUNDS OF APPEAL</w:t>
      </w:r>
    </w:p>
    <w:p w14:paraId="285C7009" w14:textId="57BDCC7A" w:rsidR="004F0EB2" w:rsidRPr="004F72FF" w:rsidRDefault="00A655EC" w:rsidP="00A655EC">
      <w:pPr>
        <w:pStyle w:val="JudgmentNumbered"/>
        <w:numPr>
          <w:ilvl w:val="0"/>
          <w:numId w:val="0"/>
        </w:numPr>
        <w:ind w:left="567" w:hanging="567"/>
        <w:rPr>
          <w:szCs w:val="24"/>
        </w:rPr>
      </w:pPr>
      <w:r w:rsidRPr="004F72FF">
        <w:rPr>
          <w:szCs w:val="24"/>
        </w:rPr>
        <w:t>[18]</w:t>
      </w:r>
      <w:r w:rsidRPr="004F72FF">
        <w:rPr>
          <w:szCs w:val="24"/>
        </w:rPr>
        <w:tab/>
      </w:r>
      <w:r w:rsidR="004F0EB2" w:rsidRPr="00945733">
        <w:rPr>
          <w:szCs w:val="24"/>
        </w:rPr>
        <w:t xml:space="preserve">As discussed earlier it is common cause that the appellants and Pretorius received the </w:t>
      </w:r>
      <w:r w:rsidR="00BE2EEE" w:rsidRPr="00351651">
        <w:rPr>
          <w:szCs w:val="24"/>
        </w:rPr>
        <w:t xml:space="preserve">£149 451.24 </w:t>
      </w:r>
      <w:r w:rsidR="004F0EB2" w:rsidRPr="00351651">
        <w:rPr>
          <w:i/>
          <w:iCs/>
          <w:szCs w:val="24"/>
        </w:rPr>
        <w:t>sine causa</w:t>
      </w:r>
      <w:r w:rsidR="004F0EB2" w:rsidRPr="00817747">
        <w:rPr>
          <w:szCs w:val="24"/>
        </w:rPr>
        <w:t xml:space="preserve">. Pretorius confirms in his answering affidavit that the amounts were not due to him and WKI. </w:t>
      </w:r>
      <w:r w:rsidR="00C8237B">
        <w:t xml:space="preserve">The appellants have admitted that they received an undue payment, they have offered to repay £130 000 a considerable portion of it and have set aside R2million in their attorneys' fees trust account. Against this background one is constrained to ask why the appellants have not deposited the amount into Whyte’s or his attorney’s trust account pending a resolution of a dispute on the balance.  </w:t>
      </w:r>
      <w:r w:rsidR="004F0EB2" w:rsidRPr="004F72FF">
        <w:rPr>
          <w:szCs w:val="24"/>
        </w:rPr>
        <w:t xml:space="preserve"> </w:t>
      </w:r>
    </w:p>
    <w:p w14:paraId="6DBED0B7" w14:textId="6C5D70D0" w:rsidR="00C8237B" w:rsidRDefault="00A655EC" w:rsidP="00A655EC">
      <w:pPr>
        <w:pStyle w:val="JudgmentNumbered"/>
        <w:numPr>
          <w:ilvl w:val="0"/>
          <w:numId w:val="0"/>
        </w:numPr>
        <w:ind w:left="567" w:hanging="567"/>
      </w:pPr>
      <w:r>
        <w:t>[19]</w:t>
      </w:r>
      <w:r>
        <w:tab/>
      </w:r>
      <w:r w:rsidR="004F0EB2" w:rsidRPr="004F72FF">
        <w:rPr>
          <w:szCs w:val="24"/>
        </w:rPr>
        <w:t>Nevertheless</w:t>
      </w:r>
      <w:r w:rsidR="001E1BFA" w:rsidRPr="004F72FF">
        <w:rPr>
          <w:szCs w:val="24"/>
        </w:rPr>
        <w:t>,</w:t>
      </w:r>
      <w:r w:rsidR="004F0EB2" w:rsidRPr="004F72FF">
        <w:rPr>
          <w:szCs w:val="24"/>
        </w:rPr>
        <w:t xml:space="preserve"> the appellants </w:t>
      </w:r>
      <w:r w:rsidR="001E1BFA" w:rsidRPr="004F72FF">
        <w:rPr>
          <w:szCs w:val="24"/>
        </w:rPr>
        <w:t>persisted</w:t>
      </w:r>
      <w:r w:rsidR="004F0EB2" w:rsidRPr="004F72FF">
        <w:rPr>
          <w:szCs w:val="24"/>
        </w:rPr>
        <w:t xml:space="preserve"> with</w:t>
      </w:r>
      <w:r w:rsidR="000E7A91" w:rsidRPr="004F72FF">
        <w:rPr>
          <w:szCs w:val="24"/>
        </w:rPr>
        <w:t xml:space="preserve"> the appeal</w:t>
      </w:r>
      <w:r w:rsidR="004F0EB2" w:rsidRPr="004F72FF">
        <w:rPr>
          <w:szCs w:val="24"/>
        </w:rPr>
        <w:t>.</w:t>
      </w:r>
      <w:r w:rsidR="009008CA">
        <w:rPr>
          <w:szCs w:val="24"/>
        </w:rPr>
        <w:t xml:space="preserve"> </w:t>
      </w:r>
      <w:r w:rsidR="004F0EB2" w:rsidRPr="004F72FF">
        <w:rPr>
          <w:szCs w:val="24"/>
        </w:rPr>
        <w:t>Mr Bis</w:t>
      </w:r>
      <w:r w:rsidR="009008CA">
        <w:rPr>
          <w:szCs w:val="24"/>
        </w:rPr>
        <w:t xml:space="preserve">hop, </w:t>
      </w:r>
      <w:r w:rsidR="004F0EB2" w:rsidRPr="004F72FF">
        <w:rPr>
          <w:szCs w:val="24"/>
        </w:rPr>
        <w:t xml:space="preserve">during argument foregrounded </w:t>
      </w:r>
      <w:r w:rsidR="001F11CC" w:rsidRPr="004F72FF">
        <w:rPr>
          <w:szCs w:val="24"/>
        </w:rPr>
        <w:t xml:space="preserve">three issues namely that the court a quo had impermissibly relied upon </w:t>
      </w:r>
      <w:r w:rsidR="004F0EB2" w:rsidRPr="004F72FF">
        <w:rPr>
          <w:szCs w:val="24"/>
        </w:rPr>
        <w:t>without prejudice documents</w:t>
      </w:r>
      <w:r w:rsidR="001F11CC" w:rsidRPr="004F72FF">
        <w:rPr>
          <w:szCs w:val="24"/>
        </w:rPr>
        <w:t xml:space="preserve">, the lack of Whyte’s </w:t>
      </w:r>
      <w:r w:rsidR="001F11CC" w:rsidRPr="004F72FF">
        <w:rPr>
          <w:i/>
          <w:iCs/>
          <w:szCs w:val="24"/>
        </w:rPr>
        <w:t>locus standi</w:t>
      </w:r>
      <w:r w:rsidR="001F11CC" w:rsidRPr="004F72FF">
        <w:rPr>
          <w:szCs w:val="24"/>
        </w:rPr>
        <w:t xml:space="preserve"> and that Guernsey law was applicable to the transac</w:t>
      </w:r>
      <w:r w:rsidR="00F2009C" w:rsidRPr="004F72FF">
        <w:rPr>
          <w:szCs w:val="24"/>
        </w:rPr>
        <w:t>tion.</w:t>
      </w:r>
      <w:r w:rsidR="00C8237B" w:rsidRPr="00C8237B">
        <w:t xml:space="preserve"> </w:t>
      </w:r>
      <w:r w:rsidR="00C8237B">
        <w:t>I deal with these in turn and then deal with the different causes of action.</w:t>
      </w:r>
    </w:p>
    <w:p w14:paraId="30BDBF2C" w14:textId="192580D1" w:rsidR="003F464E" w:rsidRPr="00F4146B" w:rsidRDefault="003F464E">
      <w:pPr>
        <w:pStyle w:val="JudgmentNumbered"/>
        <w:numPr>
          <w:ilvl w:val="0"/>
          <w:numId w:val="0"/>
        </w:numPr>
        <w:rPr>
          <w:bCs/>
          <w:i/>
          <w:szCs w:val="24"/>
        </w:rPr>
      </w:pPr>
      <w:r w:rsidRPr="00F4146B">
        <w:rPr>
          <w:bCs/>
          <w:i/>
          <w:szCs w:val="24"/>
        </w:rPr>
        <w:t>Applicable Law</w:t>
      </w:r>
    </w:p>
    <w:p w14:paraId="763E2476" w14:textId="179FE694" w:rsidR="00C8237B" w:rsidRDefault="00A655EC" w:rsidP="00A655EC">
      <w:pPr>
        <w:pStyle w:val="JudgmentNumbered"/>
        <w:numPr>
          <w:ilvl w:val="0"/>
          <w:numId w:val="0"/>
        </w:numPr>
        <w:ind w:left="567" w:hanging="567"/>
      </w:pPr>
      <w:r>
        <w:t>[20]</w:t>
      </w:r>
      <w:r>
        <w:tab/>
      </w:r>
      <w:r w:rsidR="00C8237B">
        <w:t xml:space="preserve">It was argued by the appellants that because the FPI forms dated 27 and 28 June 2018 as well as the OTAP form completed on or about 6 May 2018 were signed in Guernsey the </w:t>
      </w:r>
      <w:r w:rsidR="00C8237B" w:rsidRPr="00AE560A">
        <w:rPr>
          <w:i/>
          <w:iCs/>
        </w:rPr>
        <w:t>lex loci contractus</w:t>
      </w:r>
      <w:r w:rsidR="00C8237B">
        <w:t xml:space="preserve"> was the law of Guernsey.</w:t>
      </w:r>
      <w:r w:rsidR="006921C3">
        <w:t xml:space="preserve"> </w:t>
      </w:r>
      <w:r w:rsidR="00C8237B">
        <w:t xml:space="preserve">Furthermore, because a provision in the OTAP additional contribution form provides that all policyholders are protected by the Life Assurance (Compensation of Policyholders) Regulation 1991 of the Isle of Man, wherever their place of residence and each policy is governed by and shall be construed in accordance with the law of Isle of Man, the </w:t>
      </w:r>
      <w:r w:rsidR="00C8237B" w:rsidRPr="00AE560A">
        <w:rPr>
          <w:i/>
          <w:iCs/>
        </w:rPr>
        <w:t xml:space="preserve">lex loci solutionis </w:t>
      </w:r>
      <w:r w:rsidR="00C8237B">
        <w:t xml:space="preserve">(law of the place where the relevant performance occurs) was the law of the Isle of Man. </w:t>
      </w:r>
    </w:p>
    <w:p w14:paraId="034333D9" w14:textId="2B41D548" w:rsidR="00DE15E8" w:rsidRPr="0073454C" w:rsidRDefault="00A655EC" w:rsidP="00A655EC">
      <w:pPr>
        <w:pStyle w:val="JudgmentNumbered"/>
        <w:numPr>
          <w:ilvl w:val="0"/>
          <w:numId w:val="0"/>
        </w:numPr>
        <w:ind w:left="567" w:hanging="567"/>
      </w:pPr>
      <w:r w:rsidRPr="0073454C">
        <w:t>[21]</w:t>
      </w:r>
      <w:r w:rsidRPr="0073454C">
        <w:tab/>
      </w:r>
      <w:r w:rsidR="00C8237B">
        <w:t>The laws and regulations relied on by the appellants relate to the investment of a policyholder managed by OTAP, not the contract between the investor and his financial advisor.</w:t>
      </w:r>
      <w:r w:rsidR="0073454C">
        <w:t xml:space="preserve"> </w:t>
      </w:r>
      <w:r w:rsidR="00C8237B">
        <w:t xml:space="preserve">The relevant transaction we are concerned with is not the </w:t>
      </w:r>
      <w:r w:rsidR="00C8237B">
        <w:lastRenderedPageBreak/>
        <w:t>investment contract between the parties or a misappropriation of the pension fund but the contract between Whyte and WKI represented by Pretorius. This contract was concluded in South Africa. The amount was paid to WKI in South Africa by FPI. The money was received in South Africa and the enrichment occurred in South Africa. Hence, the applicable law here is the law of South Africa and this ground of appeal is devoid of any merit.</w:t>
      </w:r>
    </w:p>
    <w:p w14:paraId="2B85E69E" w14:textId="1DD158AA" w:rsidR="003F464E" w:rsidRPr="00F4146B" w:rsidRDefault="003F464E" w:rsidP="00945733">
      <w:pPr>
        <w:pStyle w:val="JudgmentNumbered"/>
        <w:numPr>
          <w:ilvl w:val="0"/>
          <w:numId w:val="0"/>
        </w:numPr>
        <w:rPr>
          <w:bCs/>
          <w:i/>
          <w:szCs w:val="24"/>
        </w:rPr>
      </w:pPr>
      <w:r w:rsidRPr="00F4146B">
        <w:rPr>
          <w:bCs/>
          <w:i/>
          <w:szCs w:val="24"/>
        </w:rPr>
        <w:t>Without prejudice correspondence</w:t>
      </w:r>
    </w:p>
    <w:p w14:paraId="4C4630FF" w14:textId="156DAAE5" w:rsidR="00C8237B" w:rsidRDefault="00A655EC" w:rsidP="00A655EC">
      <w:pPr>
        <w:pStyle w:val="JudgmentNumbered"/>
        <w:numPr>
          <w:ilvl w:val="0"/>
          <w:numId w:val="0"/>
        </w:numPr>
        <w:ind w:left="567" w:hanging="567"/>
      </w:pPr>
      <w:r>
        <w:t>[22]</w:t>
      </w:r>
      <w:r>
        <w:tab/>
      </w:r>
      <w:r w:rsidR="00C8237B">
        <w:t xml:space="preserve">This ground of appeal is directed to Annexures K, L, M and N to Whyte’s founding affidavit and are letters exchanged between Whyte’s attorney, Buys and Gittins, attorneys for the appellants marked as ‘without prejudice’. The appellants argued that these annexures should be inadmissible/struck out. They had raised an objection to it in the court a </w:t>
      </w:r>
      <w:r w:rsidR="00C8237B" w:rsidRPr="004941C3">
        <w:rPr>
          <w:i/>
          <w:iCs/>
        </w:rPr>
        <w:t>quo</w:t>
      </w:r>
      <w:r w:rsidR="00C8237B">
        <w:t xml:space="preserve"> and the appeal should succeed solely because Swanepoel AJ impermissibly relied on these communications.</w:t>
      </w:r>
    </w:p>
    <w:p w14:paraId="3BD27490" w14:textId="685B663A" w:rsidR="00C8237B" w:rsidRPr="00C8237B" w:rsidRDefault="00A655EC" w:rsidP="00A655EC">
      <w:pPr>
        <w:pStyle w:val="JudgmentNumbered"/>
        <w:numPr>
          <w:ilvl w:val="0"/>
          <w:numId w:val="0"/>
        </w:numPr>
        <w:tabs>
          <w:tab w:val="left" w:pos="7371"/>
        </w:tabs>
        <w:ind w:left="567" w:hanging="567"/>
      </w:pPr>
      <w:r w:rsidRPr="00C8237B">
        <w:t>[23]</w:t>
      </w:r>
      <w:r w:rsidRPr="00C8237B">
        <w:tab/>
      </w:r>
      <w:r w:rsidR="00C8237B">
        <w:t>The general rule in the law of evidence is that without prejudice settlement communications between parties should be inadmissible.</w:t>
      </w:r>
      <w:r w:rsidR="0073454C">
        <w:t xml:space="preserve"> </w:t>
      </w:r>
      <w:r w:rsidR="00C8237B">
        <w:t>The rule is underpinned by sound public policy considerations.</w:t>
      </w:r>
      <w:r w:rsidR="00C8237B">
        <w:rPr>
          <w:rStyle w:val="FootnoteReference"/>
        </w:rPr>
        <w:footnoteReference w:id="4"/>
      </w:r>
      <w:r w:rsidR="008D1F15">
        <w:t xml:space="preserve"> </w:t>
      </w:r>
      <w:r w:rsidR="00C8237B">
        <w:t xml:space="preserve">Parties should be encouraged to engage in frank and amicable talks to avoid the inconvenience, costs, and delays of litigation without fear </w:t>
      </w:r>
      <w:r w:rsidR="00C8237B" w:rsidRPr="007B799D">
        <w:t>that if negotiations fail any admissions made by them during these discussions will be used against them in ensuing litigation</w:t>
      </w:r>
      <w:r w:rsidR="00C8237B">
        <w:t>.</w:t>
      </w:r>
      <w:r w:rsidR="00C8237B">
        <w:rPr>
          <w:rStyle w:val="FootnoteReference"/>
        </w:rPr>
        <w:footnoteReference w:id="5"/>
      </w:r>
      <w:r w:rsidR="00C8237B">
        <w:t xml:space="preserve"> However, whether</w:t>
      </w:r>
      <w:r w:rsidR="00C8237B">
        <w:rPr>
          <w:lang w:val="en-US"/>
        </w:rPr>
        <w:t xml:space="preserve"> the communications, labelled ‘without prejudice’ were indeed so, depends on the contents thereof. The test is an objective one.</w:t>
      </w:r>
      <w:r w:rsidR="00C8237B">
        <w:rPr>
          <w:rStyle w:val="FootnoteReference"/>
          <w:lang w:val="en-US"/>
        </w:rPr>
        <w:footnoteReference w:id="6"/>
      </w:r>
      <w:r w:rsidR="00C8237B">
        <w:rPr>
          <w:lang w:val="en-US"/>
        </w:rPr>
        <w:t xml:space="preserve"> </w:t>
      </w:r>
      <w:r w:rsidR="00C8237B" w:rsidRPr="00ED4626">
        <w:rPr>
          <w:lang w:val="en-US"/>
        </w:rPr>
        <w:t xml:space="preserve">In </w:t>
      </w:r>
      <w:r w:rsidR="00C8237B" w:rsidRPr="00ED4626">
        <w:rPr>
          <w:i/>
          <w:iCs/>
          <w:lang w:val="en-US"/>
        </w:rPr>
        <w:t>Kapeller v Rondalia Versekeringskorporasie van Suid-Afrika Bpk</w:t>
      </w:r>
      <w:r w:rsidR="00C8237B" w:rsidRPr="00ED4626">
        <w:rPr>
          <w:lang w:val="en-US"/>
        </w:rPr>
        <w:t> </w:t>
      </w:r>
      <w:hyperlink r:id="rId13" w:tooltip="View LawCiteRecord" w:history="1">
        <w:r w:rsidR="00C8237B" w:rsidRPr="00ED4626">
          <w:rPr>
            <w:rStyle w:val="Hyperlink"/>
            <w:b/>
            <w:bCs/>
            <w:lang w:val="en-US"/>
          </w:rPr>
          <w:t>1964 (4) SA 722</w:t>
        </w:r>
      </w:hyperlink>
      <w:r w:rsidR="00C8237B" w:rsidRPr="00ED4626">
        <w:rPr>
          <w:lang w:val="en-US"/>
        </w:rPr>
        <w:t> (T) the court was able to distinguish a clear admission by a motor vehicle insurer from the without prejudice negotiations that followed as to the quantum</w:t>
      </w:r>
      <w:r w:rsidR="00C8237B">
        <w:rPr>
          <w:lang w:val="en-US"/>
        </w:rPr>
        <w:t xml:space="preserve">. </w:t>
      </w:r>
    </w:p>
    <w:p w14:paraId="267B2E24" w14:textId="713A65AC" w:rsidR="00C8237B" w:rsidRPr="00822C1D" w:rsidRDefault="00A655EC" w:rsidP="00A655EC">
      <w:pPr>
        <w:pStyle w:val="JudgmentNumbered"/>
        <w:numPr>
          <w:ilvl w:val="0"/>
          <w:numId w:val="0"/>
        </w:numPr>
        <w:ind w:left="567" w:hanging="567"/>
        <w:rPr>
          <w:lang w:val="en-ZA"/>
        </w:rPr>
      </w:pPr>
      <w:r w:rsidRPr="00822C1D">
        <w:rPr>
          <w:lang w:val="en-ZA"/>
        </w:rPr>
        <w:t>[24]</w:t>
      </w:r>
      <w:r w:rsidRPr="00822C1D">
        <w:rPr>
          <w:lang w:val="en-ZA"/>
        </w:rPr>
        <w:tab/>
      </w:r>
      <w:r w:rsidR="00C8237B">
        <w:t>In this case, the appellants had already admitted liability in earlier correspondence</w:t>
      </w:r>
      <w:r w:rsidR="00C8237B" w:rsidRPr="00F86357">
        <w:t xml:space="preserve">.  </w:t>
      </w:r>
      <w:r w:rsidR="00C8237B" w:rsidRPr="00F86357">
        <w:rPr>
          <w:lang w:val="en-ZA"/>
        </w:rPr>
        <w:t>In</w:t>
      </w:r>
      <w:r w:rsidR="00C8237B">
        <w:rPr>
          <w:lang w:val="en-ZA"/>
        </w:rPr>
        <w:t xml:space="preserve"> an email dated 2 October 2019, </w:t>
      </w:r>
      <w:r w:rsidR="00C8237B" w:rsidRPr="00E65F7A">
        <w:rPr>
          <w:lang w:val="en-ZA"/>
        </w:rPr>
        <w:t>addressed to Toby Austin</w:t>
      </w:r>
      <w:r w:rsidR="00C8237B">
        <w:rPr>
          <w:lang w:val="en-ZA"/>
        </w:rPr>
        <w:t xml:space="preserve"> of FPI, Pretorius confirmed the agreement with Whyte namely that only 1% upfront establishment fee was payable (not over 8 years) and 0% ongoing </w:t>
      </w:r>
      <w:r w:rsidR="00C8237B">
        <w:rPr>
          <w:lang w:val="en-ZA"/>
        </w:rPr>
        <w:lastRenderedPageBreak/>
        <w:t>advisory fee. In that email he ‘insisted that FPI provide WKI with the relevant bank details in order for them to transfer back to the payment you erroneously made to them and immediately upon receipt thereof to adjust the charges associated with the last tranche.’</w:t>
      </w:r>
      <w:r w:rsidR="00C8237B">
        <w:rPr>
          <w:rStyle w:val="FootnoteReference"/>
          <w:lang w:val="en-ZA"/>
        </w:rPr>
        <w:footnoteReference w:id="7"/>
      </w:r>
      <w:r w:rsidR="00C8237B">
        <w:rPr>
          <w:lang w:val="en-ZA"/>
        </w:rPr>
        <w:t xml:space="preserve"> </w:t>
      </w:r>
    </w:p>
    <w:p w14:paraId="6E3571DC" w14:textId="0C13DE0E" w:rsidR="006217DF" w:rsidRPr="00945733" w:rsidRDefault="00A655EC" w:rsidP="00A655EC">
      <w:pPr>
        <w:pStyle w:val="JudgmentNumbered"/>
        <w:numPr>
          <w:ilvl w:val="0"/>
          <w:numId w:val="0"/>
        </w:numPr>
        <w:ind w:left="567" w:hanging="720"/>
        <w:rPr>
          <w:szCs w:val="24"/>
        </w:rPr>
      </w:pPr>
      <w:r w:rsidRPr="00945733">
        <w:rPr>
          <w:szCs w:val="24"/>
        </w:rPr>
        <w:t>[25]</w:t>
      </w:r>
      <w:r w:rsidRPr="00945733">
        <w:rPr>
          <w:szCs w:val="24"/>
        </w:rPr>
        <w:tab/>
      </w:r>
      <w:r w:rsidR="006217DF" w:rsidRPr="00817747">
        <w:rPr>
          <w:szCs w:val="24"/>
        </w:rPr>
        <w:t xml:space="preserve">Whyte alleges that Kruger at a later stage </w:t>
      </w:r>
      <w:r w:rsidR="003C2319" w:rsidRPr="00817747">
        <w:rPr>
          <w:szCs w:val="24"/>
        </w:rPr>
        <w:t>entered</w:t>
      </w:r>
      <w:r w:rsidR="006217DF" w:rsidRPr="00817747">
        <w:rPr>
          <w:szCs w:val="24"/>
        </w:rPr>
        <w:t xml:space="preserve"> discussions with himself and mooted the possibility of a repayment being made to him directly as an alternative to payment being made to FPI/OTAP.</w:t>
      </w:r>
      <w:r w:rsidR="006217DF" w:rsidRPr="00945733">
        <w:rPr>
          <w:rStyle w:val="FootnoteReference"/>
          <w:szCs w:val="24"/>
        </w:rPr>
        <w:footnoteReference w:id="8"/>
      </w:r>
    </w:p>
    <w:p w14:paraId="376398D0" w14:textId="487D5ADE" w:rsidR="00C8237B" w:rsidRDefault="00A655EC" w:rsidP="00A655EC">
      <w:pPr>
        <w:pStyle w:val="JudgmentNumbered"/>
        <w:numPr>
          <w:ilvl w:val="0"/>
          <w:numId w:val="0"/>
        </w:numPr>
        <w:ind w:left="567" w:hanging="567"/>
      </w:pPr>
      <w:r>
        <w:t>[26]</w:t>
      </w:r>
      <w:r>
        <w:tab/>
      </w:r>
      <w:r w:rsidR="006217DF" w:rsidRPr="00351651">
        <w:rPr>
          <w:szCs w:val="24"/>
        </w:rPr>
        <w:t xml:space="preserve">During December 2019 Kruger engaged with Nicole Theron, a representative of OTAP. </w:t>
      </w:r>
      <w:r w:rsidR="006217DF" w:rsidRPr="00817747">
        <w:rPr>
          <w:szCs w:val="24"/>
        </w:rPr>
        <w:t xml:space="preserve">According to Whyte Kruger had confirmed to her that unearned commission had been paid to WKI and the money would be refunded.  Ms Theron had provided the relevant banking details to Kruger. </w:t>
      </w:r>
      <w:r w:rsidR="006217DF" w:rsidRPr="003340C1">
        <w:rPr>
          <w:szCs w:val="24"/>
        </w:rPr>
        <w:t>In an ema</w:t>
      </w:r>
      <w:r w:rsidR="006217DF" w:rsidRPr="00064FED">
        <w:rPr>
          <w:szCs w:val="24"/>
        </w:rPr>
        <w:t>il dated 16 January 2020, Kruger advised her that lump sum payments would be made, and proof thereof would be sent to her as and when these payments were made.</w:t>
      </w:r>
      <w:r w:rsidR="006217DF" w:rsidRPr="00945733">
        <w:rPr>
          <w:rStyle w:val="FootnoteReference"/>
          <w:szCs w:val="24"/>
        </w:rPr>
        <w:footnoteReference w:id="9"/>
      </w:r>
      <w:r w:rsidR="00C8237B">
        <w:rPr>
          <w:szCs w:val="24"/>
        </w:rPr>
        <w:t xml:space="preserve"> </w:t>
      </w:r>
      <w:r w:rsidR="00C8237B">
        <w:t>Kruger does not specifically deny this in his answering affidavit, says he can’t recall but focuses instead on the amount that must be repaid namely 6% and not 7%.</w:t>
      </w:r>
      <w:r w:rsidR="00C8237B">
        <w:rPr>
          <w:rStyle w:val="FootnoteReference"/>
        </w:rPr>
        <w:footnoteReference w:id="10"/>
      </w:r>
    </w:p>
    <w:p w14:paraId="73925721" w14:textId="1DB8756B" w:rsidR="006217DF" w:rsidRPr="00945733" w:rsidRDefault="00A655EC" w:rsidP="00A655EC">
      <w:pPr>
        <w:pStyle w:val="JudgmentNumbered"/>
        <w:numPr>
          <w:ilvl w:val="0"/>
          <w:numId w:val="0"/>
        </w:numPr>
        <w:ind w:left="567" w:hanging="567"/>
        <w:rPr>
          <w:szCs w:val="24"/>
        </w:rPr>
      </w:pPr>
      <w:r w:rsidRPr="00945733">
        <w:rPr>
          <w:szCs w:val="24"/>
        </w:rPr>
        <w:t>[27]</w:t>
      </w:r>
      <w:r w:rsidRPr="00945733">
        <w:rPr>
          <w:szCs w:val="24"/>
        </w:rPr>
        <w:tab/>
      </w:r>
      <w:r w:rsidR="006217DF" w:rsidRPr="00351651">
        <w:rPr>
          <w:szCs w:val="24"/>
        </w:rPr>
        <w:t xml:space="preserve">On 23 March 2020, Kruger again confirms to Ms Theron that WKI is in the process of collecting the funds that will be transferred to FPI and this might take a few weeks. </w:t>
      </w:r>
      <w:r w:rsidR="006217DF" w:rsidRPr="00817747">
        <w:rPr>
          <w:szCs w:val="24"/>
        </w:rPr>
        <w:t xml:space="preserve">He records that Whyte has been updated with the process. This email was copied to </w:t>
      </w:r>
      <w:r w:rsidR="006217DF" w:rsidRPr="00945733">
        <w:rPr>
          <w:szCs w:val="24"/>
        </w:rPr>
        <w:t>Toby Austin and Whyte.</w:t>
      </w:r>
      <w:r w:rsidR="006217DF" w:rsidRPr="00945733">
        <w:rPr>
          <w:rStyle w:val="FootnoteReference"/>
          <w:szCs w:val="24"/>
        </w:rPr>
        <w:footnoteReference w:id="11"/>
      </w:r>
      <w:r w:rsidR="00A949D5" w:rsidRPr="00945733">
        <w:rPr>
          <w:szCs w:val="24"/>
        </w:rPr>
        <w:t xml:space="preserve">  </w:t>
      </w:r>
    </w:p>
    <w:p w14:paraId="628B2A78" w14:textId="3025303E" w:rsidR="00C8237B" w:rsidRDefault="00A655EC" w:rsidP="00A655EC">
      <w:pPr>
        <w:pStyle w:val="JudgmentNumbered"/>
        <w:numPr>
          <w:ilvl w:val="0"/>
          <w:numId w:val="0"/>
        </w:numPr>
        <w:ind w:left="567" w:hanging="567"/>
      </w:pPr>
      <w:r>
        <w:t>[28]</w:t>
      </w:r>
      <w:r>
        <w:tab/>
      </w:r>
      <w:r w:rsidR="006217DF" w:rsidRPr="00351651">
        <w:rPr>
          <w:szCs w:val="24"/>
        </w:rPr>
        <w:t>A subsequent meeting was held on 29 June 2020 between Whyte and Kruger, with Whyte’s attorney Mr Buys in attendance.  According to Whyte Kruger agreed and undertook on behalf of himself, WKI and Guthrie to enter into and si</w:t>
      </w:r>
      <w:r w:rsidR="006217DF" w:rsidRPr="00817747">
        <w:rPr>
          <w:szCs w:val="24"/>
        </w:rPr>
        <w:t>gn an acknowledgement of debt. The AOD would provide for the repayment of the money that WKI had wrongfully received.  On 2 July 2020 Kruger requested that the AOD be prepared and sent to them.</w:t>
      </w:r>
      <w:r w:rsidR="006217DF" w:rsidRPr="00945733">
        <w:rPr>
          <w:rStyle w:val="FootnoteReference"/>
          <w:szCs w:val="24"/>
        </w:rPr>
        <w:footnoteReference w:id="12"/>
      </w:r>
      <w:r w:rsidR="006217DF" w:rsidRPr="00945733">
        <w:rPr>
          <w:szCs w:val="24"/>
        </w:rPr>
        <w:t xml:space="preserve"> Mr Buys prepared the AOD which was sent to Kruger. </w:t>
      </w:r>
      <w:r w:rsidR="00C8237B">
        <w:t xml:space="preserve">Kruger does not deny this but explains that the reason why the AOD was not signed was because it was far more detailed than either he or </w:t>
      </w:r>
      <w:r w:rsidR="00C8237B">
        <w:lastRenderedPageBreak/>
        <w:t>Guthrie could deal with, and it was at this point that they appointed Mr Ashley Gittins their attorney.</w:t>
      </w:r>
      <w:r w:rsidR="00C8237B">
        <w:rPr>
          <w:rStyle w:val="FootnoteReference"/>
        </w:rPr>
        <w:footnoteReference w:id="13"/>
      </w:r>
    </w:p>
    <w:p w14:paraId="70E705BE" w14:textId="469A7FCA" w:rsidR="00FB0256" w:rsidRPr="003340C1" w:rsidRDefault="00A655EC" w:rsidP="00A655EC">
      <w:pPr>
        <w:pStyle w:val="JudgmentNumbered"/>
        <w:numPr>
          <w:ilvl w:val="0"/>
          <w:numId w:val="0"/>
        </w:numPr>
        <w:ind w:left="567" w:hanging="567"/>
        <w:rPr>
          <w:szCs w:val="24"/>
        </w:rPr>
      </w:pPr>
      <w:r w:rsidRPr="003340C1">
        <w:rPr>
          <w:szCs w:val="24"/>
        </w:rPr>
        <w:t>[29]</w:t>
      </w:r>
      <w:r w:rsidRPr="003340C1">
        <w:rPr>
          <w:szCs w:val="24"/>
        </w:rPr>
        <w:tab/>
      </w:r>
      <w:r w:rsidR="006217DF" w:rsidRPr="00351651">
        <w:rPr>
          <w:szCs w:val="24"/>
        </w:rPr>
        <w:t>From the above sequence of events, it is abundantly clear that both Pretorius and Kruger had admitted liability to repay the amount to Whyte, prior to Gittins coming on brief.  Kruger had in fact admitted this to Ms Theron from OTAP, albeit arguing for a smaller percenta</w:t>
      </w:r>
      <w:r w:rsidR="006217DF" w:rsidRPr="00817747">
        <w:rPr>
          <w:szCs w:val="24"/>
        </w:rPr>
        <w:t>ge.</w:t>
      </w:r>
      <w:r w:rsidR="00A949D5" w:rsidRPr="00817747">
        <w:rPr>
          <w:szCs w:val="24"/>
        </w:rPr>
        <w:t xml:space="preserve"> To divert for a moment, Kruger relies on this email to </w:t>
      </w:r>
      <w:r w:rsidR="00B84A22" w:rsidRPr="003340C1">
        <w:rPr>
          <w:szCs w:val="24"/>
        </w:rPr>
        <w:t>argue that only 6% was repayable to FPI because she refers to a 6%.</w:t>
      </w:r>
      <w:r w:rsidR="00FB0256" w:rsidRPr="00945733">
        <w:rPr>
          <w:rStyle w:val="FootnoteReference"/>
          <w:szCs w:val="24"/>
        </w:rPr>
        <w:footnoteReference w:id="14"/>
      </w:r>
      <w:r w:rsidR="00FB0256" w:rsidRPr="00945733">
        <w:rPr>
          <w:szCs w:val="24"/>
        </w:rPr>
        <w:t xml:space="preserve">  Pretorius however confirms Whyte’s version t</w:t>
      </w:r>
      <w:r w:rsidR="00FB0256" w:rsidRPr="00351651">
        <w:rPr>
          <w:szCs w:val="24"/>
        </w:rPr>
        <w:t>hat his agreement was that WKI would get 0% commission.  Whyte confirms that 7% ha</w:t>
      </w:r>
      <w:r w:rsidR="00FB0256" w:rsidRPr="00817747">
        <w:rPr>
          <w:szCs w:val="24"/>
        </w:rPr>
        <w:t xml:space="preserve">d been deducted and paid over to WKI. Seven percent (7%) of  £2 135 017.75 is £149 451.24. </w:t>
      </w:r>
      <w:r w:rsidR="00C8237B">
        <w:t>Hence there is no basis whatsoever for Kruger to maintain the position that 1% was due to WKI.</w:t>
      </w:r>
    </w:p>
    <w:p w14:paraId="1182C9BE" w14:textId="70A35FAE" w:rsidR="005A201F" w:rsidRPr="004F72FF" w:rsidRDefault="00A655EC" w:rsidP="00A655EC">
      <w:pPr>
        <w:pStyle w:val="JudgmentNumbered"/>
        <w:numPr>
          <w:ilvl w:val="0"/>
          <w:numId w:val="0"/>
        </w:numPr>
        <w:ind w:left="567" w:hanging="720"/>
        <w:rPr>
          <w:szCs w:val="24"/>
        </w:rPr>
      </w:pPr>
      <w:r w:rsidRPr="004F72FF">
        <w:rPr>
          <w:szCs w:val="24"/>
        </w:rPr>
        <w:t>[30]</w:t>
      </w:r>
      <w:r w:rsidRPr="004F72FF">
        <w:rPr>
          <w:szCs w:val="24"/>
        </w:rPr>
        <w:tab/>
      </w:r>
      <w:r w:rsidR="005A201F" w:rsidRPr="00064FED">
        <w:rPr>
          <w:szCs w:val="24"/>
        </w:rPr>
        <w:t xml:space="preserve">Annexures K, L, M and N revolve around the mode of repayment (in instalments or lump sum), which amounts should be included or calculated (interest and the relevant exchange rate) and the financial constraints of WKI. I find it unnecessary to deal with them in </w:t>
      </w:r>
      <w:r w:rsidR="00F05386" w:rsidRPr="00B175C0">
        <w:rPr>
          <w:szCs w:val="24"/>
        </w:rPr>
        <w:t xml:space="preserve">any further </w:t>
      </w:r>
      <w:r w:rsidR="005A201F" w:rsidRPr="00B175C0">
        <w:rPr>
          <w:szCs w:val="24"/>
        </w:rPr>
        <w:t xml:space="preserve">detail save to say that the correspondence revolved around </w:t>
      </w:r>
      <w:r w:rsidR="005A201F" w:rsidRPr="00B175C0">
        <w:rPr>
          <w:szCs w:val="24"/>
          <w:u w:val="single"/>
        </w:rPr>
        <w:t>how</w:t>
      </w:r>
      <w:r w:rsidR="00F05386" w:rsidRPr="00B175C0">
        <w:rPr>
          <w:szCs w:val="24"/>
          <w:u w:val="single"/>
        </w:rPr>
        <w:t>,</w:t>
      </w:r>
      <w:r w:rsidR="005A201F" w:rsidRPr="00C93CC4">
        <w:rPr>
          <w:szCs w:val="24"/>
          <w:u w:val="single"/>
        </w:rPr>
        <w:t xml:space="preserve"> not if</w:t>
      </w:r>
      <w:r w:rsidR="00F05386" w:rsidRPr="00C93CC4">
        <w:rPr>
          <w:szCs w:val="24"/>
        </w:rPr>
        <w:t>,</w:t>
      </w:r>
      <w:r w:rsidR="005A201F" w:rsidRPr="00C93CC4">
        <w:rPr>
          <w:szCs w:val="24"/>
        </w:rPr>
        <w:t xml:space="preserve"> WKI would repay the money</w:t>
      </w:r>
      <w:r w:rsidR="00FD6996" w:rsidRPr="00C93CC4">
        <w:rPr>
          <w:szCs w:val="24"/>
        </w:rPr>
        <w:t xml:space="preserve">. </w:t>
      </w:r>
      <w:r w:rsidR="003833D4" w:rsidRPr="004F72FF">
        <w:rPr>
          <w:szCs w:val="24"/>
        </w:rPr>
        <w:t xml:space="preserve">The merits had been conceded by then already.  </w:t>
      </w:r>
      <w:r w:rsidR="00C8237B">
        <w:t xml:space="preserve">It can hardly be said that any discussions between the parties as to the </w:t>
      </w:r>
      <w:r w:rsidR="00C8237B" w:rsidRPr="004941C3">
        <w:t>mode of repayment</w:t>
      </w:r>
      <w:r w:rsidR="00C8237B">
        <w:t xml:space="preserve"> could constitute ‘</w:t>
      </w:r>
      <w:r w:rsidR="00C8237B" w:rsidRPr="0053245F">
        <w:rPr>
          <w:i/>
          <w:iCs/>
        </w:rPr>
        <w:t>admissions that might prejudice them if negotiations failed</w:t>
      </w:r>
      <w:r w:rsidR="00C8237B">
        <w:t>’ and worthy of protection by the rule.</w:t>
      </w:r>
      <w:r w:rsidR="00C8237B">
        <w:rPr>
          <w:rStyle w:val="FootnoteReference"/>
        </w:rPr>
        <w:footnoteReference w:id="15"/>
      </w:r>
    </w:p>
    <w:p w14:paraId="43041237" w14:textId="02D2EB8E" w:rsidR="0053245F" w:rsidRPr="00945733" w:rsidRDefault="00A655EC" w:rsidP="00A655EC">
      <w:pPr>
        <w:pStyle w:val="JudgmentNumbered"/>
        <w:numPr>
          <w:ilvl w:val="0"/>
          <w:numId w:val="0"/>
        </w:numPr>
        <w:ind w:left="567" w:hanging="567"/>
        <w:rPr>
          <w:szCs w:val="24"/>
        </w:rPr>
      </w:pPr>
      <w:r w:rsidRPr="00945733">
        <w:rPr>
          <w:szCs w:val="24"/>
        </w:rPr>
        <w:t>[31]</w:t>
      </w:r>
      <w:r w:rsidRPr="00945733">
        <w:rPr>
          <w:szCs w:val="24"/>
        </w:rPr>
        <w:tab/>
      </w:r>
      <w:r w:rsidR="0053245F" w:rsidRPr="004F72FF">
        <w:rPr>
          <w:szCs w:val="24"/>
        </w:rPr>
        <w:t xml:space="preserve">It is important to highlight here that the dispute between the parties in this matter is not about damages where liability or apportionment must </w:t>
      </w:r>
      <w:r w:rsidR="00E2652A" w:rsidRPr="004F72FF">
        <w:rPr>
          <w:szCs w:val="24"/>
        </w:rPr>
        <w:t xml:space="preserve">still </w:t>
      </w:r>
      <w:r w:rsidR="0053245F" w:rsidRPr="004F72FF">
        <w:rPr>
          <w:szCs w:val="24"/>
        </w:rPr>
        <w:t xml:space="preserve">be decided.  Nor is it about speculative losses based on </w:t>
      </w:r>
      <w:r w:rsidR="00E2652A" w:rsidRPr="004F72FF">
        <w:rPr>
          <w:szCs w:val="24"/>
        </w:rPr>
        <w:t xml:space="preserve">assumptions made in actuarial </w:t>
      </w:r>
      <w:r w:rsidR="0053245F" w:rsidRPr="004F72FF">
        <w:rPr>
          <w:szCs w:val="24"/>
        </w:rPr>
        <w:t xml:space="preserve">calculations. This dispute relates to a specific amount of money that was transferred </w:t>
      </w:r>
      <w:r w:rsidR="0053245F" w:rsidRPr="004F72FF">
        <w:rPr>
          <w:i/>
          <w:iCs/>
          <w:szCs w:val="24"/>
        </w:rPr>
        <w:t>sine causa</w:t>
      </w:r>
      <w:r w:rsidR="0053245F" w:rsidRPr="004F72FF">
        <w:rPr>
          <w:szCs w:val="24"/>
        </w:rPr>
        <w:t xml:space="preserve"> to the appellants</w:t>
      </w:r>
      <w:r w:rsidR="001B3395" w:rsidRPr="004F72FF">
        <w:rPr>
          <w:szCs w:val="24"/>
        </w:rPr>
        <w:t xml:space="preserve">. At the time of the without prejudice correspondence, WKI had already conceded the </w:t>
      </w:r>
      <w:r w:rsidR="00462F1D" w:rsidRPr="004F72FF">
        <w:rPr>
          <w:szCs w:val="24"/>
        </w:rPr>
        <w:t>merits i.e. that it was liable to repay it</w:t>
      </w:r>
      <w:r w:rsidR="00E2652A" w:rsidRPr="004F72FF">
        <w:rPr>
          <w:szCs w:val="24"/>
        </w:rPr>
        <w:t xml:space="preserve"> in earlier correspondence.</w:t>
      </w:r>
      <w:r w:rsidR="001B3395" w:rsidRPr="004F72FF">
        <w:rPr>
          <w:szCs w:val="24"/>
        </w:rPr>
        <w:t xml:space="preserve"> </w:t>
      </w:r>
    </w:p>
    <w:p w14:paraId="24C87DDA" w14:textId="26F43CF3" w:rsidR="009F20DA" w:rsidRDefault="00A655EC" w:rsidP="00A655EC">
      <w:pPr>
        <w:pStyle w:val="JudgmentNumbered"/>
        <w:numPr>
          <w:ilvl w:val="0"/>
          <w:numId w:val="0"/>
        </w:numPr>
        <w:ind w:left="567" w:hanging="567"/>
      </w:pPr>
      <w:r>
        <w:lastRenderedPageBreak/>
        <w:t>[32]</w:t>
      </w:r>
      <w:r>
        <w:tab/>
      </w:r>
      <w:r w:rsidR="009F20DA">
        <w:t xml:space="preserve">It appears that the objection is really aimed at Swanepoel AJ mentioning a figure of R1 540 000.00 (R1.54m) contained in annexure L dated 2 September 2020 during the proceedings. The way that this correspondence had come about was that </w:t>
      </w:r>
      <w:r w:rsidR="009F20DA" w:rsidRPr="00A7047E">
        <w:t>Buys had requested financial</w:t>
      </w:r>
      <w:r w:rsidR="009F20DA">
        <w:t xml:space="preserve"> in</w:t>
      </w:r>
      <w:r w:rsidR="009F20DA" w:rsidRPr="00A7047E">
        <w:t>formation from WKI, some of which was provided</w:t>
      </w:r>
      <w:r w:rsidR="009F20DA">
        <w:t>.</w:t>
      </w:r>
      <w:r w:rsidR="00CB1298">
        <w:t xml:space="preserve"> </w:t>
      </w:r>
      <w:r w:rsidR="009F20DA">
        <w:t>In annexure L, Gittins provides the information.</w:t>
      </w:r>
      <w:r w:rsidR="00CB1298">
        <w:t xml:space="preserve"> </w:t>
      </w:r>
      <w:r w:rsidR="009F20DA">
        <w:t xml:space="preserve">The information records transactions (deals) that WKI is busy concluding, progress on a sale of immovable property and details of how the £149 451.24 (R2 937 660.90) received from FPI was allocated amongst the respondents and an offer of a monthly repayment amount. </w:t>
      </w:r>
      <w:r w:rsidR="009F20DA" w:rsidRPr="00C33B46">
        <w:t>However,</w:t>
      </w:r>
      <w:r w:rsidR="009F20DA">
        <w:t xml:space="preserve"> importantly</w:t>
      </w:r>
      <w:r w:rsidR="009F20DA" w:rsidRPr="00C33B46">
        <w:t xml:space="preserve"> it also contains the amount </w:t>
      </w:r>
      <w:r w:rsidR="009F20DA">
        <w:t xml:space="preserve">and the date when </w:t>
      </w:r>
      <w:r w:rsidR="009F20DA" w:rsidRPr="00C33B46">
        <w:t xml:space="preserve">Pretorius </w:t>
      </w:r>
      <w:r w:rsidR="009F20DA">
        <w:t xml:space="preserve">repaid the money to </w:t>
      </w:r>
      <w:r w:rsidR="009F20DA" w:rsidRPr="00C33B46">
        <w:t>WKI</w:t>
      </w:r>
      <w:r w:rsidR="009F20DA">
        <w:t xml:space="preserve">. It is recorded here that Pretorius had repaid the amount of R1 540 000.00 (R1.54m) on 28 February 2019, barely within 5 months of receiving the money. </w:t>
      </w:r>
    </w:p>
    <w:p w14:paraId="5DCEA283" w14:textId="7F317220" w:rsidR="009F20DA" w:rsidRDefault="00A655EC" w:rsidP="00A655EC">
      <w:pPr>
        <w:pStyle w:val="JudgmentNumbered"/>
        <w:numPr>
          <w:ilvl w:val="0"/>
          <w:numId w:val="0"/>
        </w:numPr>
        <w:ind w:left="567" w:hanging="567"/>
      </w:pPr>
      <w:r>
        <w:t>[33]</w:t>
      </w:r>
      <w:r>
        <w:tab/>
      </w:r>
      <w:r w:rsidR="009F20DA">
        <w:t xml:space="preserve">Pretorius had already under oath stated that he had repaid some of the money. Given this, the  information – which also belongs to Pretorius - can hardly be said to be information that deserves the protection of the without prejudice rule.   </w:t>
      </w:r>
    </w:p>
    <w:p w14:paraId="6118B477" w14:textId="4AF39F42" w:rsidR="0073454C" w:rsidRDefault="00A655EC" w:rsidP="00A655EC">
      <w:pPr>
        <w:pStyle w:val="JudgmentNumbered"/>
        <w:numPr>
          <w:ilvl w:val="0"/>
          <w:numId w:val="0"/>
        </w:numPr>
        <w:ind w:left="567" w:hanging="567"/>
      </w:pPr>
      <w:r>
        <w:t>[34]</w:t>
      </w:r>
      <w:r>
        <w:tab/>
      </w:r>
      <w:r w:rsidR="0081188B" w:rsidRPr="004F72FF">
        <w:rPr>
          <w:szCs w:val="24"/>
        </w:rPr>
        <w:t xml:space="preserve">Even if it </w:t>
      </w:r>
      <w:r w:rsidR="000372CC" w:rsidRPr="004F72FF">
        <w:rPr>
          <w:szCs w:val="24"/>
        </w:rPr>
        <w:t xml:space="preserve">is </w:t>
      </w:r>
      <w:r w:rsidR="0081188B" w:rsidRPr="004F72FF">
        <w:rPr>
          <w:szCs w:val="24"/>
        </w:rPr>
        <w:t>assumed for the sake of argument that any</w:t>
      </w:r>
      <w:r w:rsidR="00844E39" w:rsidRPr="004F72FF">
        <w:rPr>
          <w:szCs w:val="24"/>
        </w:rPr>
        <w:t xml:space="preserve"> privilege </w:t>
      </w:r>
      <w:r w:rsidR="0081188B" w:rsidRPr="004F72FF">
        <w:rPr>
          <w:szCs w:val="24"/>
        </w:rPr>
        <w:t xml:space="preserve">applied to </w:t>
      </w:r>
      <w:r w:rsidR="000372CC" w:rsidRPr="004F72FF">
        <w:rPr>
          <w:szCs w:val="24"/>
        </w:rPr>
        <w:t>this information,</w:t>
      </w:r>
      <w:r w:rsidR="00844E39" w:rsidRPr="004F72FF">
        <w:rPr>
          <w:szCs w:val="24"/>
        </w:rPr>
        <w:t xml:space="preserve"> </w:t>
      </w:r>
      <w:r w:rsidR="000372CC" w:rsidRPr="004F72FF">
        <w:rPr>
          <w:szCs w:val="24"/>
        </w:rPr>
        <w:t xml:space="preserve">that protection has been lifted by </w:t>
      </w:r>
      <w:r w:rsidR="00844E39" w:rsidRPr="004F72FF">
        <w:rPr>
          <w:szCs w:val="24"/>
        </w:rPr>
        <w:t xml:space="preserve">the appellants themselves in the court </w:t>
      </w:r>
      <w:r w:rsidR="00844E39" w:rsidRPr="004F72FF">
        <w:rPr>
          <w:i/>
          <w:iCs/>
          <w:szCs w:val="24"/>
        </w:rPr>
        <w:t>a quo</w:t>
      </w:r>
      <w:r w:rsidR="00844E39" w:rsidRPr="004F72FF">
        <w:rPr>
          <w:szCs w:val="24"/>
        </w:rPr>
        <w:t xml:space="preserve">. During the hearing </w:t>
      </w:r>
      <w:r w:rsidR="000B68A9" w:rsidRPr="004F72FF">
        <w:rPr>
          <w:szCs w:val="24"/>
        </w:rPr>
        <w:t xml:space="preserve">both </w:t>
      </w:r>
      <w:r w:rsidR="00844E39" w:rsidRPr="004F72FF">
        <w:rPr>
          <w:szCs w:val="24"/>
        </w:rPr>
        <w:t xml:space="preserve">Mr Stockwell and the judge </w:t>
      </w:r>
      <w:r w:rsidR="000B68A9" w:rsidRPr="004F72FF">
        <w:rPr>
          <w:szCs w:val="24"/>
        </w:rPr>
        <w:t xml:space="preserve">at several times </w:t>
      </w:r>
      <w:r w:rsidR="00844E39" w:rsidRPr="004F72FF">
        <w:rPr>
          <w:szCs w:val="24"/>
        </w:rPr>
        <w:t>refer to the figure of R1.5m.</w:t>
      </w:r>
      <w:r w:rsidR="001F56BB" w:rsidRPr="004F72FF">
        <w:rPr>
          <w:szCs w:val="24"/>
        </w:rPr>
        <w:t xml:space="preserve"> Mr Stockwell</w:t>
      </w:r>
      <w:r w:rsidR="00394C29" w:rsidRPr="004F72FF">
        <w:rPr>
          <w:szCs w:val="24"/>
        </w:rPr>
        <w:t xml:space="preserve"> during his submissions stated that Pretorius had repaid R1.5m</w:t>
      </w:r>
      <w:r w:rsidR="00797EC8" w:rsidRPr="004F72FF">
        <w:rPr>
          <w:szCs w:val="24"/>
        </w:rPr>
        <w:t>. The judge himself refers to the figure of R1.54m.</w:t>
      </w:r>
      <w:r w:rsidR="00394C29" w:rsidRPr="00945733">
        <w:rPr>
          <w:rStyle w:val="FootnoteReference"/>
          <w:szCs w:val="24"/>
        </w:rPr>
        <w:footnoteReference w:id="16"/>
      </w:r>
      <w:r w:rsidR="00797EC8" w:rsidRPr="00945733">
        <w:rPr>
          <w:szCs w:val="24"/>
        </w:rPr>
        <w:t xml:space="preserve">  During his submissions, Mr Bishop, although saying he </w:t>
      </w:r>
      <w:r w:rsidR="00A570B0" w:rsidRPr="00351651">
        <w:rPr>
          <w:szCs w:val="24"/>
        </w:rPr>
        <w:t xml:space="preserve">couldn’t find the figure </w:t>
      </w:r>
      <w:r w:rsidR="002F1B7C" w:rsidRPr="00351651">
        <w:rPr>
          <w:szCs w:val="24"/>
        </w:rPr>
        <w:t>of R1.5m</w:t>
      </w:r>
      <w:r w:rsidR="005E1027" w:rsidRPr="00817747">
        <w:rPr>
          <w:szCs w:val="24"/>
        </w:rPr>
        <w:t xml:space="preserve">- </w:t>
      </w:r>
      <w:r w:rsidR="002F1B7C" w:rsidRPr="00817747">
        <w:rPr>
          <w:szCs w:val="24"/>
        </w:rPr>
        <w:t xml:space="preserve"> </w:t>
      </w:r>
      <w:r w:rsidR="00A570B0" w:rsidRPr="00817747">
        <w:rPr>
          <w:szCs w:val="24"/>
        </w:rPr>
        <w:t xml:space="preserve">and he is sure that his learned friend will </w:t>
      </w:r>
      <w:r w:rsidR="002F1B7C" w:rsidRPr="00817747">
        <w:rPr>
          <w:szCs w:val="24"/>
        </w:rPr>
        <w:t xml:space="preserve">find </w:t>
      </w:r>
      <w:r w:rsidR="002F1B7C" w:rsidRPr="003340C1">
        <w:rPr>
          <w:szCs w:val="24"/>
        </w:rPr>
        <w:t xml:space="preserve">the reference </w:t>
      </w:r>
      <w:r w:rsidR="005E1027" w:rsidRPr="00064FED">
        <w:rPr>
          <w:szCs w:val="24"/>
        </w:rPr>
        <w:t xml:space="preserve">- </w:t>
      </w:r>
      <w:r w:rsidR="008063E1" w:rsidRPr="00064FED">
        <w:rPr>
          <w:szCs w:val="24"/>
        </w:rPr>
        <w:t xml:space="preserve"> ironically </w:t>
      </w:r>
      <w:r w:rsidR="00797EC8" w:rsidRPr="00064FED">
        <w:rPr>
          <w:szCs w:val="24"/>
        </w:rPr>
        <w:t xml:space="preserve"> relies on it </w:t>
      </w:r>
      <w:r w:rsidR="005E1027" w:rsidRPr="00064FED">
        <w:rPr>
          <w:szCs w:val="24"/>
        </w:rPr>
        <w:t>to argue</w:t>
      </w:r>
      <w:r w:rsidR="00797EC8" w:rsidRPr="00064FED">
        <w:rPr>
          <w:szCs w:val="24"/>
        </w:rPr>
        <w:t xml:space="preserve"> that</w:t>
      </w:r>
      <w:r w:rsidR="003054CF" w:rsidRPr="00064FED">
        <w:rPr>
          <w:szCs w:val="24"/>
        </w:rPr>
        <w:t xml:space="preserve"> this figure should not form part of Whyte’s claim </w:t>
      </w:r>
      <w:r w:rsidR="005E1027" w:rsidRPr="00B175C0">
        <w:rPr>
          <w:szCs w:val="24"/>
        </w:rPr>
        <w:t>under the unjustified enrichment claim.</w:t>
      </w:r>
      <w:r w:rsidR="009674B9" w:rsidRPr="00945733">
        <w:rPr>
          <w:rStyle w:val="FootnoteReference"/>
          <w:szCs w:val="24"/>
        </w:rPr>
        <w:footnoteReference w:id="17"/>
      </w:r>
      <w:r w:rsidR="006F2269" w:rsidRPr="00945733">
        <w:rPr>
          <w:szCs w:val="24"/>
        </w:rPr>
        <w:t xml:space="preserve"> </w:t>
      </w:r>
      <w:r w:rsidR="00574BCA" w:rsidRPr="00351651">
        <w:rPr>
          <w:szCs w:val="24"/>
        </w:rPr>
        <w:t xml:space="preserve">Pretorius himself confirms </w:t>
      </w:r>
      <w:r w:rsidR="000372CC" w:rsidRPr="00351651">
        <w:rPr>
          <w:szCs w:val="24"/>
        </w:rPr>
        <w:t>during</w:t>
      </w:r>
      <w:r w:rsidR="00574BCA" w:rsidRPr="00817747">
        <w:rPr>
          <w:szCs w:val="24"/>
        </w:rPr>
        <w:t xml:space="preserve"> the hearing that he had repaid something close to R1.6m.</w:t>
      </w:r>
      <w:r w:rsidR="00574BCA" w:rsidRPr="00945733">
        <w:rPr>
          <w:rStyle w:val="FootnoteReference"/>
          <w:szCs w:val="24"/>
        </w:rPr>
        <w:footnoteReference w:id="18"/>
      </w:r>
      <w:r w:rsidR="00DC119F" w:rsidRPr="00945733">
        <w:rPr>
          <w:szCs w:val="24"/>
        </w:rPr>
        <w:t xml:space="preserve">  </w:t>
      </w:r>
      <w:r w:rsidR="009F20DA">
        <w:t xml:space="preserve">Swanepoel AJ was accordingly entitled to rely on this information.  </w:t>
      </w:r>
    </w:p>
    <w:p w14:paraId="7E950DD4" w14:textId="51126D30" w:rsidR="00B32161" w:rsidRPr="00817747" w:rsidRDefault="00A655EC" w:rsidP="00A655EC">
      <w:pPr>
        <w:pStyle w:val="JudgmentNumbered"/>
        <w:numPr>
          <w:ilvl w:val="0"/>
          <w:numId w:val="0"/>
        </w:numPr>
        <w:ind w:left="720" w:hanging="720"/>
        <w:rPr>
          <w:szCs w:val="24"/>
        </w:rPr>
      </w:pPr>
      <w:r w:rsidRPr="00817747">
        <w:rPr>
          <w:szCs w:val="24"/>
        </w:rPr>
        <w:t>[35]</w:t>
      </w:r>
      <w:r w:rsidRPr="00817747">
        <w:rPr>
          <w:szCs w:val="24"/>
        </w:rPr>
        <w:tab/>
      </w:r>
      <w:r w:rsidR="00B32161" w:rsidRPr="00351651">
        <w:rPr>
          <w:szCs w:val="24"/>
        </w:rPr>
        <w:t xml:space="preserve">The issue of </w:t>
      </w:r>
      <w:r w:rsidR="00B32161" w:rsidRPr="00351651">
        <w:rPr>
          <w:i/>
          <w:iCs/>
          <w:szCs w:val="24"/>
        </w:rPr>
        <w:t>locus standi</w:t>
      </w:r>
      <w:r w:rsidR="00B32161" w:rsidRPr="00817747">
        <w:rPr>
          <w:szCs w:val="24"/>
        </w:rPr>
        <w:t xml:space="preserve"> is dealt with under each cause of action</w:t>
      </w:r>
    </w:p>
    <w:p w14:paraId="7282DD0D" w14:textId="77777777" w:rsidR="0073454C" w:rsidRDefault="0073454C">
      <w:pPr>
        <w:pStyle w:val="JudgmentNumbered"/>
        <w:numPr>
          <w:ilvl w:val="0"/>
          <w:numId w:val="0"/>
        </w:numPr>
        <w:rPr>
          <w:bCs/>
          <w:i/>
          <w:szCs w:val="24"/>
        </w:rPr>
      </w:pPr>
    </w:p>
    <w:p w14:paraId="5A7D43A6" w14:textId="562F6001" w:rsidR="00CB794E" w:rsidRPr="00F4146B" w:rsidRDefault="00A84D8C">
      <w:pPr>
        <w:pStyle w:val="JudgmentNumbered"/>
        <w:numPr>
          <w:ilvl w:val="0"/>
          <w:numId w:val="0"/>
        </w:numPr>
        <w:rPr>
          <w:i/>
          <w:szCs w:val="24"/>
        </w:rPr>
      </w:pPr>
      <w:r w:rsidRPr="00F4146B">
        <w:rPr>
          <w:bCs/>
          <w:i/>
          <w:szCs w:val="24"/>
        </w:rPr>
        <w:lastRenderedPageBreak/>
        <w:t xml:space="preserve">Unjust Enrichment </w:t>
      </w:r>
    </w:p>
    <w:p w14:paraId="129926E0" w14:textId="24A46063" w:rsidR="00CB794E" w:rsidRPr="00945733" w:rsidRDefault="00A655EC" w:rsidP="00A655EC">
      <w:pPr>
        <w:pStyle w:val="JudgmentNumbered"/>
        <w:numPr>
          <w:ilvl w:val="0"/>
          <w:numId w:val="0"/>
        </w:numPr>
        <w:ind w:left="720" w:hanging="720"/>
        <w:rPr>
          <w:szCs w:val="24"/>
        </w:rPr>
      </w:pPr>
      <w:r w:rsidRPr="00945733">
        <w:rPr>
          <w:szCs w:val="24"/>
        </w:rPr>
        <w:t>[36]</w:t>
      </w:r>
      <w:r w:rsidRPr="00945733">
        <w:rPr>
          <w:szCs w:val="24"/>
        </w:rPr>
        <w:tab/>
      </w:r>
      <w:r w:rsidR="00CB794E" w:rsidRPr="00945733">
        <w:rPr>
          <w:szCs w:val="24"/>
        </w:rPr>
        <w:t>Unlike in contract</w:t>
      </w:r>
      <w:r w:rsidR="009B7625">
        <w:rPr>
          <w:szCs w:val="24"/>
        </w:rPr>
        <w:t xml:space="preserve"> </w:t>
      </w:r>
      <w:r w:rsidR="00CB794E" w:rsidRPr="00945733">
        <w:rPr>
          <w:szCs w:val="24"/>
        </w:rPr>
        <w:t xml:space="preserve">unjustified enrichment creates obligations by force of law and not by virtue of the consent of the parties. </w:t>
      </w:r>
      <w:r w:rsidR="00CB794E" w:rsidRPr="00351651">
        <w:rPr>
          <w:szCs w:val="24"/>
        </w:rPr>
        <w:t xml:space="preserve">Unlike in delict, where liability is imposed to balance out a loss with an award of damages, unjustified </w:t>
      </w:r>
      <w:r w:rsidR="00B32161" w:rsidRPr="00817747">
        <w:rPr>
          <w:szCs w:val="24"/>
        </w:rPr>
        <w:t>enrichment</w:t>
      </w:r>
      <w:r w:rsidR="00CB794E" w:rsidRPr="00817747">
        <w:rPr>
          <w:szCs w:val="24"/>
        </w:rPr>
        <w:t xml:space="preserve"> serves to correct a gain by obliging the defendant to return or surrender enrichment to the plaintiff.</w:t>
      </w:r>
      <w:r w:rsidR="00CB794E" w:rsidRPr="00945733">
        <w:rPr>
          <w:rStyle w:val="FootnoteReference"/>
          <w:szCs w:val="24"/>
        </w:rPr>
        <w:footnoteReference w:id="19"/>
      </w:r>
      <w:r w:rsidR="00CB794E" w:rsidRPr="00945733">
        <w:rPr>
          <w:szCs w:val="24"/>
        </w:rPr>
        <w:t xml:space="preserve"> Put more simply it </w:t>
      </w:r>
      <w:r w:rsidR="00CB794E" w:rsidRPr="00351651">
        <w:rPr>
          <w:szCs w:val="24"/>
        </w:rPr>
        <w:t>is an equitable remedy which encapsulates the principle that no person may enrich himself at the expense or detriment of another.</w:t>
      </w:r>
      <w:r w:rsidR="00CB794E" w:rsidRPr="00945733">
        <w:rPr>
          <w:rStyle w:val="FootnoteReference"/>
          <w:szCs w:val="24"/>
        </w:rPr>
        <w:footnoteReference w:id="20"/>
      </w:r>
    </w:p>
    <w:p w14:paraId="66E888C2" w14:textId="25616675" w:rsidR="004618A8" w:rsidRPr="00817747" w:rsidRDefault="00A655EC" w:rsidP="00A655EC">
      <w:pPr>
        <w:pStyle w:val="JudgmentNumbered"/>
        <w:numPr>
          <w:ilvl w:val="0"/>
          <w:numId w:val="0"/>
        </w:numPr>
        <w:ind w:left="720" w:hanging="720"/>
        <w:rPr>
          <w:szCs w:val="24"/>
        </w:rPr>
      </w:pPr>
      <w:r w:rsidRPr="00817747">
        <w:rPr>
          <w:szCs w:val="24"/>
        </w:rPr>
        <w:t>[37]</w:t>
      </w:r>
      <w:r w:rsidRPr="00817747">
        <w:rPr>
          <w:szCs w:val="24"/>
        </w:rPr>
        <w:tab/>
      </w:r>
      <w:r w:rsidR="004618A8" w:rsidRPr="00351651">
        <w:rPr>
          <w:szCs w:val="24"/>
        </w:rPr>
        <w:t>The four requirements or elements of unjustified enrichment have over time become settled through the cases:</w:t>
      </w:r>
    </w:p>
    <w:p w14:paraId="01D36208" w14:textId="68231820" w:rsidR="004618A8" w:rsidRPr="00817747" w:rsidRDefault="00A655EC" w:rsidP="00A655EC">
      <w:pPr>
        <w:pStyle w:val="JudgmentNumbered"/>
        <w:numPr>
          <w:ilvl w:val="0"/>
          <w:numId w:val="0"/>
        </w:numPr>
        <w:ind w:left="1134" w:hanging="425"/>
        <w:rPr>
          <w:szCs w:val="24"/>
        </w:rPr>
      </w:pPr>
      <w:r w:rsidRPr="00817747">
        <w:rPr>
          <w:szCs w:val="24"/>
        </w:rPr>
        <w:t>a.</w:t>
      </w:r>
      <w:r w:rsidRPr="00817747">
        <w:rPr>
          <w:szCs w:val="24"/>
        </w:rPr>
        <w:tab/>
      </w:r>
      <w:r w:rsidR="004618A8" w:rsidRPr="00817747">
        <w:rPr>
          <w:szCs w:val="24"/>
        </w:rPr>
        <w:t xml:space="preserve"> first it must be shown that the plaintiff was impoverished</w:t>
      </w:r>
      <w:r w:rsidR="00865106">
        <w:rPr>
          <w:szCs w:val="24"/>
        </w:rPr>
        <w:t>;</w:t>
      </w:r>
      <w:r w:rsidR="004618A8" w:rsidRPr="00817747">
        <w:rPr>
          <w:szCs w:val="24"/>
        </w:rPr>
        <w:t xml:space="preserve"> </w:t>
      </w:r>
    </w:p>
    <w:p w14:paraId="2564816F" w14:textId="57BC26A3" w:rsidR="004618A8" w:rsidRPr="00817747" w:rsidRDefault="00A655EC" w:rsidP="00A655EC">
      <w:pPr>
        <w:pStyle w:val="JudgmentNumbered"/>
        <w:numPr>
          <w:ilvl w:val="0"/>
          <w:numId w:val="0"/>
        </w:numPr>
        <w:ind w:left="1134" w:hanging="425"/>
        <w:rPr>
          <w:szCs w:val="24"/>
        </w:rPr>
      </w:pPr>
      <w:r w:rsidRPr="00817747">
        <w:rPr>
          <w:szCs w:val="24"/>
        </w:rPr>
        <w:t>b.</w:t>
      </w:r>
      <w:r w:rsidRPr="00817747">
        <w:rPr>
          <w:szCs w:val="24"/>
        </w:rPr>
        <w:tab/>
      </w:r>
      <w:r w:rsidR="004618A8" w:rsidRPr="00817747">
        <w:rPr>
          <w:szCs w:val="24"/>
        </w:rPr>
        <w:t>secondly, that the defendant was enriched</w:t>
      </w:r>
      <w:r w:rsidR="00865106">
        <w:rPr>
          <w:szCs w:val="24"/>
        </w:rPr>
        <w:t>;</w:t>
      </w:r>
      <w:r w:rsidR="004618A8" w:rsidRPr="00817747">
        <w:rPr>
          <w:szCs w:val="24"/>
        </w:rPr>
        <w:t xml:space="preserve"> </w:t>
      </w:r>
    </w:p>
    <w:p w14:paraId="1BC63F78" w14:textId="26EFC743" w:rsidR="004618A8" w:rsidRPr="003340C1" w:rsidRDefault="00A655EC" w:rsidP="00A655EC">
      <w:pPr>
        <w:pStyle w:val="JudgmentNumbered"/>
        <w:numPr>
          <w:ilvl w:val="0"/>
          <w:numId w:val="0"/>
        </w:numPr>
        <w:ind w:left="1134" w:hanging="425"/>
        <w:rPr>
          <w:szCs w:val="24"/>
        </w:rPr>
      </w:pPr>
      <w:r w:rsidRPr="003340C1">
        <w:rPr>
          <w:szCs w:val="24"/>
        </w:rPr>
        <w:t>c.</w:t>
      </w:r>
      <w:r w:rsidRPr="003340C1">
        <w:rPr>
          <w:szCs w:val="24"/>
        </w:rPr>
        <w:tab/>
      </w:r>
      <w:r w:rsidR="004618A8" w:rsidRPr="003340C1">
        <w:rPr>
          <w:szCs w:val="24"/>
        </w:rPr>
        <w:t xml:space="preserve">thirdly, that the defendant was enriched at the plaintiff's expense; and </w:t>
      </w:r>
    </w:p>
    <w:p w14:paraId="1F7D954B" w14:textId="473DBFB1" w:rsidR="004618A8" w:rsidRPr="00945733" w:rsidRDefault="00A655EC" w:rsidP="00A655EC">
      <w:pPr>
        <w:pStyle w:val="JudgmentNumbered"/>
        <w:numPr>
          <w:ilvl w:val="0"/>
          <w:numId w:val="0"/>
        </w:numPr>
        <w:ind w:left="1134" w:hanging="425"/>
        <w:rPr>
          <w:szCs w:val="24"/>
        </w:rPr>
      </w:pPr>
      <w:r w:rsidRPr="00945733">
        <w:rPr>
          <w:szCs w:val="24"/>
        </w:rPr>
        <w:t>d.</w:t>
      </w:r>
      <w:r w:rsidRPr="00945733">
        <w:rPr>
          <w:szCs w:val="24"/>
        </w:rPr>
        <w:tab/>
      </w:r>
      <w:r w:rsidR="004618A8" w:rsidRPr="00064FED">
        <w:rPr>
          <w:szCs w:val="24"/>
        </w:rPr>
        <w:t>fourthly, that there is no legal ground or justification for the retention of enrichment.</w:t>
      </w:r>
      <w:r w:rsidR="004618A8" w:rsidRPr="00945733">
        <w:rPr>
          <w:rStyle w:val="FootnoteReference"/>
          <w:szCs w:val="24"/>
        </w:rPr>
        <w:footnoteReference w:id="21"/>
      </w:r>
      <w:r w:rsidR="004618A8" w:rsidRPr="00945733">
        <w:rPr>
          <w:szCs w:val="24"/>
        </w:rPr>
        <w:t xml:space="preserve">     </w:t>
      </w:r>
    </w:p>
    <w:p w14:paraId="1875249D" w14:textId="3AB184BB" w:rsidR="00CB794E" w:rsidRPr="00351651" w:rsidRDefault="00A655EC" w:rsidP="00A655EC">
      <w:pPr>
        <w:pStyle w:val="JudgmentNumbered"/>
        <w:numPr>
          <w:ilvl w:val="0"/>
          <w:numId w:val="0"/>
        </w:numPr>
        <w:ind w:left="720" w:hanging="720"/>
        <w:rPr>
          <w:szCs w:val="24"/>
        </w:rPr>
      </w:pPr>
      <w:r w:rsidRPr="00351651">
        <w:rPr>
          <w:szCs w:val="24"/>
        </w:rPr>
        <w:t>[38]</w:t>
      </w:r>
      <w:r w:rsidRPr="00351651">
        <w:rPr>
          <w:szCs w:val="24"/>
        </w:rPr>
        <w:tab/>
      </w:r>
      <w:r w:rsidR="00CB794E" w:rsidRPr="00351651">
        <w:rPr>
          <w:szCs w:val="24"/>
        </w:rPr>
        <w:t>Although many judgments and scholar</w:t>
      </w:r>
      <w:r w:rsidR="00DC388B">
        <w:rPr>
          <w:szCs w:val="24"/>
        </w:rPr>
        <w:t>s</w:t>
      </w:r>
      <w:r w:rsidR="00CB794E" w:rsidRPr="00945733">
        <w:rPr>
          <w:szCs w:val="24"/>
        </w:rPr>
        <w:t xml:space="preserve"> have remarked on the feasibility of developing a general action for unjust enrichment</w:t>
      </w:r>
      <w:r w:rsidR="00952C19">
        <w:rPr>
          <w:szCs w:val="24"/>
        </w:rPr>
        <w:t>,</w:t>
      </w:r>
      <w:r w:rsidR="00952C19">
        <w:rPr>
          <w:rStyle w:val="FootnoteReference"/>
          <w:szCs w:val="24"/>
        </w:rPr>
        <w:footnoteReference w:id="22"/>
      </w:r>
      <w:r w:rsidR="00CB794E" w:rsidRPr="00945733">
        <w:rPr>
          <w:szCs w:val="24"/>
        </w:rPr>
        <w:t xml:space="preserve"> courts have been reluctant to develop the common law of unjust</w:t>
      </w:r>
      <w:r w:rsidR="00CB794E" w:rsidRPr="00351651">
        <w:rPr>
          <w:szCs w:val="24"/>
        </w:rPr>
        <w:t xml:space="preserve">ified enrichment.  </w:t>
      </w:r>
    </w:p>
    <w:p w14:paraId="610A4837" w14:textId="7121D9E8" w:rsidR="00CB794E" w:rsidRPr="00B175C0" w:rsidRDefault="00A655EC" w:rsidP="00A655EC">
      <w:pPr>
        <w:pStyle w:val="JudgmentNumbered"/>
        <w:numPr>
          <w:ilvl w:val="0"/>
          <w:numId w:val="0"/>
        </w:numPr>
        <w:ind w:left="720" w:hanging="720"/>
        <w:rPr>
          <w:szCs w:val="24"/>
        </w:rPr>
      </w:pPr>
      <w:r w:rsidRPr="00B175C0">
        <w:rPr>
          <w:szCs w:val="24"/>
        </w:rPr>
        <w:t>[39]</w:t>
      </w:r>
      <w:r w:rsidRPr="00B175C0">
        <w:rPr>
          <w:szCs w:val="24"/>
        </w:rPr>
        <w:tab/>
      </w:r>
      <w:r w:rsidR="00CB794E" w:rsidRPr="00817747">
        <w:rPr>
          <w:szCs w:val="24"/>
        </w:rPr>
        <w:t xml:space="preserve">A general enrichment action would no doubt have benefits for private claimants in the modern global commerce with ever increasing complexities underpinned by digital technologies. </w:t>
      </w:r>
      <w:r w:rsidR="00CB794E" w:rsidRPr="003340C1">
        <w:rPr>
          <w:szCs w:val="24"/>
        </w:rPr>
        <w:t>Such a general enrichment action would</w:t>
      </w:r>
      <w:r w:rsidR="00E45449" w:rsidRPr="00064FED">
        <w:rPr>
          <w:szCs w:val="24"/>
        </w:rPr>
        <w:t xml:space="preserve"> a</w:t>
      </w:r>
      <w:r w:rsidR="00CB794E" w:rsidRPr="00064FED">
        <w:rPr>
          <w:szCs w:val="24"/>
        </w:rPr>
        <w:t xml:space="preserve">lso be </w:t>
      </w:r>
      <w:r w:rsidR="00E45449" w:rsidRPr="00064FED">
        <w:rPr>
          <w:szCs w:val="24"/>
        </w:rPr>
        <w:t xml:space="preserve">beneficial in </w:t>
      </w:r>
      <w:r w:rsidR="00CB794E" w:rsidRPr="00064FED">
        <w:rPr>
          <w:szCs w:val="24"/>
        </w:rPr>
        <w:t xml:space="preserve">promoting public-law compensatory remedies when there has been enrichment of individuals or groups by means of exploitation or corrupt manipulation of procurement processes, that can broadly be termed unjustified. </w:t>
      </w:r>
    </w:p>
    <w:p w14:paraId="168529EB" w14:textId="55747E65" w:rsidR="00CB794E" w:rsidRPr="00351651" w:rsidRDefault="00A655EC" w:rsidP="00A655EC">
      <w:pPr>
        <w:pStyle w:val="JudgmentNumbered"/>
        <w:numPr>
          <w:ilvl w:val="0"/>
          <w:numId w:val="0"/>
        </w:numPr>
        <w:ind w:left="720" w:hanging="720"/>
        <w:rPr>
          <w:szCs w:val="24"/>
        </w:rPr>
      </w:pPr>
      <w:r w:rsidRPr="00351651">
        <w:rPr>
          <w:szCs w:val="24"/>
        </w:rPr>
        <w:lastRenderedPageBreak/>
        <w:t>[40]</w:t>
      </w:r>
      <w:r w:rsidRPr="00351651">
        <w:rPr>
          <w:szCs w:val="24"/>
        </w:rPr>
        <w:tab/>
      </w:r>
      <w:r w:rsidR="00CB794E" w:rsidRPr="00B175C0">
        <w:rPr>
          <w:szCs w:val="24"/>
        </w:rPr>
        <w:t xml:space="preserve">In </w:t>
      </w:r>
      <w:r w:rsidR="00CB794E" w:rsidRPr="00F4146B">
        <w:rPr>
          <w:bCs/>
          <w:i/>
          <w:iCs/>
          <w:szCs w:val="24"/>
        </w:rPr>
        <w:t>McCarthy Retail Ltd v Shortdistance Carriers CC</w:t>
      </w:r>
      <w:r w:rsidR="00CB794E" w:rsidRPr="00945733">
        <w:rPr>
          <w:rStyle w:val="FootnoteReference"/>
          <w:i/>
          <w:iCs/>
          <w:szCs w:val="24"/>
        </w:rPr>
        <w:footnoteReference w:id="23"/>
      </w:r>
      <w:r w:rsidR="00CB794E" w:rsidRPr="00945733">
        <w:rPr>
          <w:i/>
          <w:iCs/>
          <w:szCs w:val="24"/>
        </w:rPr>
        <w:t xml:space="preserve"> </w:t>
      </w:r>
      <w:r w:rsidR="00CB794E" w:rsidRPr="00945733">
        <w:rPr>
          <w:szCs w:val="24"/>
        </w:rPr>
        <w:t xml:space="preserve">the SCA discussed the importance of developing such a general action but declined to do so on the facts of that case and fell back on the traditional </w:t>
      </w:r>
      <w:r w:rsidR="00CB794E" w:rsidRPr="00945733">
        <w:rPr>
          <w:i/>
          <w:iCs/>
          <w:szCs w:val="24"/>
        </w:rPr>
        <w:t>condictiones</w:t>
      </w:r>
      <w:r w:rsidR="00CB794E" w:rsidRPr="00945733">
        <w:rPr>
          <w:szCs w:val="24"/>
        </w:rPr>
        <w:t xml:space="preserve">. </w:t>
      </w:r>
    </w:p>
    <w:p w14:paraId="0DA5CB21" w14:textId="5D064AE8" w:rsidR="00CB794E" w:rsidRPr="00064FED" w:rsidRDefault="00A655EC" w:rsidP="00A655EC">
      <w:pPr>
        <w:pStyle w:val="JudgmentNumbered"/>
        <w:numPr>
          <w:ilvl w:val="0"/>
          <w:numId w:val="0"/>
        </w:numPr>
        <w:ind w:left="720" w:hanging="720"/>
        <w:rPr>
          <w:szCs w:val="24"/>
        </w:rPr>
      </w:pPr>
      <w:r w:rsidRPr="00064FED">
        <w:rPr>
          <w:szCs w:val="24"/>
        </w:rPr>
        <w:t>[41]</w:t>
      </w:r>
      <w:r w:rsidRPr="00064FED">
        <w:rPr>
          <w:szCs w:val="24"/>
        </w:rPr>
        <w:tab/>
      </w:r>
      <w:r w:rsidR="00CB794E" w:rsidRPr="00817747">
        <w:rPr>
          <w:szCs w:val="24"/>
        </w:rPr>
        <w:t xml:space="preserve">In the absence of a general action for unjust enrichment, plaintiffs are required to fall back on established enrichment actions such as the </w:t>
      </w:r>
      <w:r w:rsidR="00CB794E" w:rsidRPr="003340C1">
        <w:rPr>
          <w:i/>
          <w:iCs/>
          <w:szCs w:val="24"/>
        </w:rPr>
        <w:t>condictio indebiti</w:t>
      </w:r>
      <w:r w:rsidR="00CB794E" w:rsidRPr="003340C1">
        <w:rPr>
          <w:szCs w:val="24"/>
        </w:rPr>
        <w:t xml:space="preserve"> or the </w:t>
      </w:r>
      <w:r w:rsidR="00CB794E" w:rsidRPr="00064FED">
        <w:rPr>
          <w:i/>
          <w:iCs/>
          <w:szCs w:val="24"/>
        </w:rPr>
        <w:t>condictio sine causa</w:t>
      </w:r>
      <w:r w:rsidR="00CB794E" w:rsidRPr="00064FED">
        <w:rPr>
          <w:szCs w:val="24"/>
        </w:rPr>
        <w:t>. It is not necessary to plead the specific action by name, but the plaintiff must plead its requirements.</w:t>
      </w:r>
    </w:p>
    <w:p w14:paraId="2C6E71A7" w14:textId="2D5CD28E" w:rsidR="00CB794E" w:rsidRPr="00945733" w:rsidRDefault="00A655EC" w:rsidP="00A655EC">
      <w:pPr>
        <w:pStyle w:val="JudgmentNumbered"/>
        <w:numPr>
          <w:ilvl w:val="0"/>
          <w:numId w:val="0"/>
        </w:numPr>
        <w:ind w:left="720" w:hanging="720"/>
        <w:rPr>
          <w:szCs w:val="24"/>
        </w:rPr>
      </w:pPr>
      <w:r w:rsidRPr="00945733">
        <w:rPr>
          <w:szCs w:val="24"/>
        </w:rPr>
        <w:t>[42]</w:t>
      </w:r>
      <w:r w:rsidRPr="00945733">
        <w:rPr>
          <w:szCs w:val="24"/>
        </w:rPr>
        <w:tab/>
      </w:r>
      <w:r w:rsidR="00CB794E" w:rsidRPr="00F4146B">
        <w:rPr>
          <w:szCs w:val="24"/>
        </w:rPr>
        <w:t>Notwithstanding the requirement to fall back on established enrichment actions, in </w:t>
      </w:r>
      <w:r w:rsidR="00CB794E" w:rsidRPr="00F4146B">
        <w:rPr>
          <w:bCs/>
          <w:i/>
          <w:iCs/>
          <w:szCs w:val="24"/>
        </w:rPr>
        <w:t>Govender v Standard Bank of South Africa Limited</w:t>
      </w:r>
      <w:r w:rsidR="00CE2C8B" w:rsidRPr="00F4146B">
        <w:rPr>
          <w:rStyle w:val="FootnoteReference"/>
          <w:bCs/>
          <w:i/>
          <w:iCs/>
          <w:szCs w:val="24"/>
        </w:rPr>
        <w:footnoteReference w:id="24"/>
      </w:r>
      <w:r w:rsidR="00CB794E" w:rsidRPr="00F4146B">
        <w:rPr>
          <w:szCs w:val="24"/>
        </w:rPr>
        <w:t xml:space="preserve"> the </w:t>
      </w:r>
      <w:r w:rsidR="00C1323C">
        <w:rPr>
          <w:szCs w:val="24"/>
        </w:rPr>
        <w:t>court</w:t>
      </w:r>
      <w:r w:rsidR="00CB794E" w:rsidRPr="00F4146B">
        <w:rPr>
          <w:szCs w:val="24"/>
        </w:rPr>
        <w:t xml:space="preserve"> took a dim view to the formalistic approach of labelling the cause of enrichment actions:</w:t>
      </w:r>
      <w:r w:rsidR="00CB794E" w:rsidRPr="00945733">
        <w:rPr>
          <w:szCs w:val="24"/>
        </w:rPr>
        <w:t xml:space="preserve"> </w:t>
      </w:r>
    </w:p>
    <w:p w14:paraId="240AE425" w14:textId="174EBD5C" w:rsidR="00CB794E" w:rsidRPr="00F4146B" w:rsidRDefault="00E4453E" w:rsidP="00CB1298">
      <w:pPr>
        <w:pStyle w:val="JudgmentNumbered"/>
        <w:numPr>
          <w:ilvl w:val="0"/>
          <w:numId w:val="0"/>
        </w:numPr>
        <w:ind w:left="1440" w:right="379"/>
        <w:rPr>
          <w:sz w:val="22"/>
        </w:rPr>
      </w:pPr>
      <w:r>
        <w:rPr>
          <w:sz w:val="22"/>
        </w:rPr>
        <w:t>“</w:t>
      </w:r>
      <w:r w:rsidR="00CB794E" w:rsidRPr="00F4146B">
        <w:rPr>
          <w:iCs/>
          <w:sz w:val="22"/>
        </w:rPr>
        <w:t xml:space="preserve">It may be an open question whether the action in this case falls to be decided according to the principles governing the </w:t>
      </w:r>
      <w:r w:rsidR="00CB794E" w:rsidRPr="00C1323C">
        <w:rPr>
          <w:i/>
          <w:iCs/>
          <w:sz w:val="22"/>
        </w:rPr>
        <w:t>condictio indebiti</w:t>
      </w:r>
      <w:r w:rsidR="00CB794E" w:rsidRPr="00F4146B">
        <w:rPr>
          <w:iCs/>
          <w:sz w:val="22"/>
        </w:rPr>
        <w:t xml:space="preserve">, in which event negligence of the plaintiff may preclude the </w:t>
      </w:r>
      <w:r w:rsidR="00CB794E" w:rsidRPr="00A22694">
        <w:rPr>
          <w:i/>
          <w:iCs/>
          <w:sz w:val="22"/>
        </w:rPr>
        <w:t>condictio</w:t>
      </w:r>
      <w:r w:rsidR="00CB794E" w:rsidRPr="00F4146B">
        <w:rPr>
          <w:iCs/>
          <w:sz w:val="22"/>
        </w:rPr>
        <w:t>, or whether the claim is a </w:t>
      </w:r>
      <w:r w:rsidR="00CB794E" w:rsidRPr="00A22694">
        <w:rPr>
          <w:i/>
          <w:iCs/>
          <w:sz w:val="22"/>
        </w:rPr>
        <w:t>condictio sine causa</w:t>
      </w:r>
      <w:r w:rsidR="00CB794E" w:rsidRPr="00F4146B">
        <w:rPr>
          <w:iCs/>
          <w:sz w:val="22"/>
        </w:rPr>
        <w:t>, in which event the negligence of the plaintiff may be irrelevant. A formalistic approach</w:t>
      </w:r>
      <w:r w:rsidR="00A22694">
        <w:rPr>
          <w:iCs/>
          <w:sz w:val="22"/>
        </w:rPr>
        <w:t>, of course,</w:t>
      </w:r>
      <w:r w:rsidR="00CB794E" w:rsidRPr="00F4146B">
        <w:rPr>
          <w:iCs/>
          <w:sz w:val="22"/>
        </w:rPr>
        <w:t xml:space="preserve"> should be avoided where possible. In some cases, it is necessary to classify the cause of action. In others, where no issue turns on the classification of the cause of action, a plaintiff need not place a label upon his case. If he is able to show that the law entitles him to relief it is not necessary for him to commit himself in advance in his pleadings to one form of action to the exclusion of another. It may, however, in this case be of importance in the issue of negligence to bear in mind that the </w:t>
      </w:r>
      <w:r w:rsidR="00CB794E" w:rsidRPr="00AF01D1">
        <w:rPr>
          <w:i/>
          <w:iCs/>
          <w:sz w:val="22"/>
        </w:rPr>
        <w:t xml:space="preserve">condictio indebiti </w:t>
      </w:r>
      <w:r w:rsidR="00CB794E" w:rsidRPr="00F4146B">
        <w:rPr>
          <w:iCs/>
          <w:sz w:val="22"/>
        </w:rPr>
        <w:t xml:space="preserve">and the </w:t>
      </w:r>
      <w:r w:rsidR="00CB794E" w:rsidRPr="00AF01D1">
        <w:rPr>
          <w:i/>
          <w:iCs/>
          <w:sz w:val="22"/>
        </w:rPr>
        <w:t>condictio sine causa</w:t>
      </w:r>
      <w:r w:rsidR="00CB794E" w:rsidRPr="00F4146B">
        <w:rPr>
          <w:iCs/>
          <w:sz w:val="22"/>
        </w:rPr>
        <w:t xml:space="preserve"> have different requisites, and to determine which </w:t>
      </w:r>
      <w:r w:rsidR="00AF01D1">
        <w:rPr>
          <w:iCs/>
          <w:sz w:val="22"/>
        </w:rPr>
        <w:t xml:space="preserve">is </w:t>
      </w:r>
      <w:r w:rsidR="00CB794E" w:rsidRPr="00F4146B">
        <w:rPr>
          <w:iCs/>
          <w:sz w:val="22"/>
        </w:rPr>
        <w:t>the appropriate action and consequently what are the appropriate requirements which plaintiff must establish in order to succeed</w:t>
      </w:r>
      <w:r w:rsidR="00CB794E" w:rsidRPr="00F4146B">
        <w:rPr>
          <w:sz w:val="22"/>
        </w:rPr>
        <w:t>.</w:t>
      </w:r>
      <w:r>
        <w:rPr>
          <w:sz w:val="22"/>
        </w:rPr>
        <w:t>”</w:t>
      </w:r>
    </w:p>
    <w:p w14:paraId="0040D6DC" w14:textId="59D722BF" w:rsidR="0092102B" w:rsidRDefault="00A655EC" w:rsidP="00A655EC">
      <w:pPr>
        <w:pStyle w:val="JudgmentNumbered"/>
        <w:numPr>
          <w:ilvl w:val="0"/>
          <w:numId w:val="0"/>
        </w:numPr>
        <w:ind w:left="720" w:hanging="720"/>
      </w:pPr>
      <w:r>
        <w:t>[43]</w:t>
      </w:r>
      <w:r>
        <w:tab/>
      </w:r>
      <w:r w:rsidR="00CB794E">
        <w:t>The appellants</w:t>
      </w:r>
      <w:r w:rsidR="0092102B">
        <w:t xml:space="preserve"> argue that Whyte lacks </w:t>
      </w:r>
      <w:r w:rsidR="0092102B" w:rsidRPr="0032009A">
        <w:rPr>
          <w:i/>
          <w:iCs/>
        </w:rPr>
        <w:t>locus standi</w:t>
      </w:r>
      <w:r w:rsidR="0092102B">
        <w:t xml:space="preserve"> to sue for the money because the funds that were invested by Whyte into OPES belong to OTAP. </w:t>
      </w:r>
      <w:r w:rsidR="0092102B" w:rsidRPr="00A13F3B">
        <w:t>The money paid to WKI were those of OTAP.</w:t>
      </w:r>
      <w:r w:rsidR="0092102B">
        <w:t xml:space="preserve"> At </w:t>
      </w:r>
      <w:r w:rsidR="0092102B" w:rsidRPr="00325DEC">
        <w:t>best Whyte would have a joint right to these funds.</w:t>
      </w:r>
      <w:r w:rsidR="00A12ADA">
        <w:t xml:space="preserve"> </w:t>
      </w:r>
      <w:r w:rsidR="0092102B">
        <w:t xml:space="preserve">Whyte cannot sue on his own without OTAP as joint applicant, alternatively without a cession from OTAP whether his claim is based </w:t>
      </w:r>
      <w:r w:rsidR="0092102B">
        <w:lastRenderedPageBreak/>
        <w:t xml:space="preserve">on unjust enrichment or </w:t>
      </w:r>
      <w:r w:rsidR="0092102B" w:rsidRPr="00F4146B">
        <w:rPr>
          <w:i/>
          <w:iCs/>
        </w:rPr>
        <w:t>condictio furtiva</w:t>
      </w:r>
      <w:r w:rsidR="0092102B">
        <w:t xml:space="preserve">. Whyte therefore only had a personal claim against OTAP. Because he was not the owner of the money the loss thereof could not have impoverished him.  </w:t>
      </w:r>
    </w:p>
    <w:p w14:paraId="527F7011" w14:textId="15863CCC" w:rsidR="0092102B" w:rsidRDefault="00A655EC" w:rsidP="00A655EC">
      <w:pPr>
        <w:pStyle w:val="JudgmentNumbered"/>
        <w:numPr>
          <w:ilvl w:val="0"/>
          <w:numId w:val="0"/>
        </w:numPr>
        <w:ind w:left="720" w:hanging="720"/>
      </w:pPr>
      <w:r>
        <w:t>[44]</w:t>
      </w:r>
      <w:r>
        <w:tab/>
      </w:r>
      <w:r w:rsidR="0092102B">
        <w:t>This argument was rejected by Swanepoel AJ and correctly so in my view.</w:t>
      </w:r>
    </w:p>
    <w:p w14:paraId="7DFB1437" w14:textId="026C730C" w:rsidR="0092102B" w:rsidRPr="00D10E7A" w:rsidRDefault="00A655EC" w:rsidP="00A655EC">
      <w:pPr>
        <w:pStyle w:val="JudgmentNumbered"/>
        <w:numPr>
          <w:ilvl w:val="0"/>
          <w:numId w:val="0"/>
        </w:numPr>
        <w:ind w:left="720" w:hanging="720"/>
        <w:rPr>
          <w:lang w:val="en-ZA"/>
        </w:rPr>
      </w:pPr>
      <w:r w:rsidRPr="00D10E7A">
        <w:rPr>
          <w:lang w:val="en-ZA"/>
        </w:rPr>
        <w:t>[45]</w:t>
      </w:r>
      <w:r w:rsidRPr="00D10E7A">
        <w:rPr>
          <w:lang w:val="en-ZA"/>
        </w:rPr>
        <w:tab/>
      </w:r>
      <w:r w:rsidR="0092102B">
        <w:rPr>
          <w:lang w:val="en-ZA"/>
        </w:rPr>
        <w:t>In multiparty situations, our courts have made it clear that only</w:t>
      </w:r>
      <w:r w:rsidR="0092102B" w:rsidRPr="00830C62">
        <w:rPr>
          <w:lang w:val="en-ZA"/>
        </w:rPr>
        <w:t xml:space="preserve"> a party who is considered in law to have made the undue transfer may reclaim it.</w:t>
      </w:r>
      <w:r w:rsidR="0073454C">
        <w:rPr>
          <w:lang w:val="en-ZA"/>
        </w:rPr>
        <w:t xml:space="preserve"> </w:t>
      </w:r>
      <w:r w:rsidR="00D10E7A">
        <w:rPr>
          <w:lang w:val="en-ZA"/>
        </w:rPr>
        <w:t>However,</w:t>
      </w:r>
      <w:r w:rsidR="0073454C" w:rsidRPr="00D10E7A">
        <w:rPr>
          <w:lang w:val="en-ZA"/>
        </w:rPr>
        <w:t xml:space="preserve"> a</w:t>
      </w:r>
      <w:r w:rsidR="0092102B" w:rsidRPr="00D10E7A">
        <w:rPr>
          <w:lang w:val="en-ZA"/>
        </w:rPr>
        <w:t xml:space="preserve"> party considered in law need not be the person whose property was used in effecting the transfer.</w:t>
      </w:r>
      <w:r w:rsidR="0092102B" w:rsidRPr="00830C62">
        <w:rPr>
          <w:vertAlign w:val="superscript"/>
          <w:lang w:val="en-ZA"/>
        </w:rPr>
        <w:footnoteReference w:id="25"/>
      </w:r>
    </w:p>
    <w:p w14:paraId="24437A9E" w14:textId="095AFB6E" w:rsidR="0092102B" w:rsidRPr="00A8331D" w:rsidRDefault="00A655EC" w:rsidP="00A655EC">
      <w:pPr>
        <w:pStyle w:val="JudgmentNumbered"/>
        <w:numPr>
          <w:ilvl w:val="0"/>
          <w:numId w:val="0"/>
        </w:numPr>
        <w:ind w:left="720" w:hanging="720"/>
        <w:rPr>
          <w:lang w:val="en-ZA"/>
        </w:rPr>
      </w:pPr>
      <w:r w:rsidRPr="00A8331D">
        <w:rPr>
          <w:lang w:val="en-ZA"/>
        </w:rPr>
        <w:t>[46]</w:t>
      </w:r>
      <w:r w:rsidRPr="00A8331D">
        <w:rPr>
          <w:lang w:val="en-ZA"/>
        </w:rPr>
        <w:tab/>
      </w:r>
      <w:r w:rsidR="0092102B" w:rsidRPr="00945733">
        <w:rPr>
          <w:lang w:val="en-ZA"/>
        </w:rPr>
        <w:t xml:space="preserve">In </w:t>
      </w:r>
      <w:r w:rsidR="0092102B" w:rsidRPr="00F4146B">
        <w:rPr>
          <w:bCs/>
          <w:i/>
          <w:iCs/>
          <w:lang w:val="en-ZA"/>
        </w:rPr>
        <w:t>African Diamond Exporters (Pty) Ltd v Barclays Bank International Ltd</w:t>
      </w:r>
      <w:r w:rsidR="00F55BB1" w:rsidRPr="00F4146B">
        <w:rPr>
          <w:rStyle w:val="FootnoteReference"/>
          <w:bCs/>
          <w:i/>
          <w:iCs/>
          <w:lang w:val="en-ZA"/>
        </w:rPr>
        <w:footnoteReference w:id="26"/>
      </w:r>
      <w:r w:rsidR="0092102B" w:rsidRPr="00945733">
        <w:rPr>
          <w:lang w:val="en-ZA"/>
        </w:rPr>
        <w:t xml:space="preserve"> </w:t>
      </w:r>
      <w:r w:rsidR="00F55BB1" w:rsidRPr="00945733">
        <w:rPr>
          <w:lang w:val="en-ZA"/>
        </w:rPr>
        <w:t xml:space="preserve">the Court </w:t>
      </w:r>
      <w:r w:rsidR="00AF01D1">
        <w:rPr>
          <w:lang w:val="en-ZA"/>
        </w:rPr>
        <w:t>stated:</w:t>
      </w:r>
    </w:p>
    <w:p w14:paraId="4BC3C3F5" w14:textId="58CA5B1F" w:rsidR="0092102B" w:rsidRPr="00F4146B" w:rsidRDefault="0092102B" w:rsidP="00CB1298">
      <w:pPr>
        <w:pStyle w:val="JudgmentNumbered"/>
        <w:numPr>
          <w:ilvl w:val="0"/>
          <w:numId w:val="0"/>
        </w:numPr>
        <w:ind w:left="1440" w:right="521"/>
        <w:rPr>
          <w:iCs/>
          <w:sz w:val="22"/>
          <w:lang w:val="en-ZA"/>
        </w:rPr>
      </w:pPr>
      <w:r w:rsidRPr="00F4146B">
        <w:rPr>
          <w:iCs/>
          <w:sz w:val="22"/>
          <w:lang w:val="en-ZA"/>
        </w:rPr>
        <w:t>“The person who is entitled to bring the action (</w:t>
      </w:r>
      <w:r w:rsidRPr="00F4146B">
        <w:rPr>
          <w:i/>
          <w:iCs/>
          <w:sz w:val="22"/>
          <w:lang w:val="en-ZA"/>
        </w:rPr>
        <w:t>condictio indebiti</w:t>
      </w:r>
      <w:r w:rsidRPr="00F4146B">
        <w:rPr>
          <w:iCs/>
          <w:sz w:val="22"/>
          <w:lang w:val="en-ZA"/>
        </w:rPr>
        <w:t>) is he who is considered in law to have made the payment. It makes no difference</w:t>
      </w:r>
      <w:r w:rsidR="00EC6098">
        <w:rPr>
          <w:iCs/>
          <w:sz w:val="22"/>
          <w:lang w:val="en-ZA"/>
        </w:rPr>
        <w:t>,</w:t>
      </w:r>
      <w:r w:rsidRPr="00F4146B">
        <w:rPr>
          <w:iCs/>
          <w:sz w:val="22"/>
          <w:lang w:val="en-ZA"/>
        </w:rPr>
        <w:t xml:space="preserve"> therefore</w:t>
      </w:r>
      <w:r w:rsidR="00EC6098">
        <w:rPr>
          <w:iCs/>
          <w:sz w:val="22"/>
          <w:lang w:val="en-ZA"/>
        </w:rPr>
        <w:t>,</w:t>
      </w:r>
      <w:r w:rsidRPr="00F4146B">
        <w:rPr>
          <w:iCs/>
          <w:sz w:val="22"/>
          <w:lang w:val="en-ZA"/>
        </w:rPr>
        <w:t xml:space="preserve"> whether the money has been actually paid by the plaintiff or by his agent or by any other person who was in control of the property: he is always entitled to bring the action.”</w:t>
      </w:r>
    </w:p>
    <w:p w14:paraId="30416F90" w14:textId="69840905" w:rsidR="0092102B" w:rsidRPr="00A8331D" w:rsidRDefault="00A655EC" w:rsidP="00A655EC">
      <w:pPr>
        <w:pStyle w:val="JudgmentNumbered"/>
        <w:numPr>
          <w:ilvl w:val="0"/>
          <w:numId w:val="0"/>
        </w:numPr>
        <w:ind w:left="720" w:hanging="720"/>
        <w:rPr>
          <w:lang w:val="en-ZA"/>
        </w:rPr>
      </w:pPr>
      <w:r w:rsidRPr="00A8331D">
        <w:rPr>
          <w:lang w:val="en-ZA"/>
        </w:rPr>
        <w:t>[47]</w:t>
      </w:r>
      <w:r w:rsidRPr="00A8331D">
        <w:rPr>
          <w:lang w:val="en-ZA"/>
        </w:rPr>
        <w:tab/>
      </w:r>
      <w:r w:rsidR="0092102B" w:rsidRPr="00945733">
        <w:rPr>
          <w:lang w:val="en-ZA"/>
        </w:rPr>
        <w:t xml:space="preserve">In </w:t>
      </w:r>
      <w:r w:rsidR="0092102B" w:rsidRPr="00F4146B">
        <w:rPr>
          <w:bCs/>
          <w:i/>
          <w:iCs/>
          <w:lang w:val="en-ZA"/>
        </w:rPr>
        <w:t>Bowman De Wet Du Plessis NNO and Others v Fidelity Bank Ltd.</w:t>
      </w:r>
      <w:r w:rsidR="00F55BB1" w:rsidRPr="00F4146B">
        <w:rPr>
          <w:rStyle w:val="FootnoteReference"/>
          <w:bCs/>
          <w:i/>
          <w:iCs/>
          <w:lang w:val="en-ZA"/>
        </w:rPr>
        <w:footnoteReference w:id="27"/>
      </w:r>
      <w:r w:rsidR="0092102B" w:rsidRPr="00945733">
        <w:rPr>
          <w:lang w:val="en-ZA"/>
        </w:rPr>
        <w:t xml:space="preserve"> the Court held that-</w:t>
      </w:r>
    </w:p>
    <w:p w14:paraId="5961ADD2" w14:textId="7FC1C159" w:rsidR="0092102B" w:rsidRPr="00F4146B" w:rsidRDefault="001A7F6A" w:rsidP="00CB1298">
      <w:pPr>
        <w:pStyle w:val="JudgmentNumbered"/>
        <w:numPr>
          <w:ilvl w:val="0"/>
          <w:numId w:val="0"/>
        </w:numPr>
        <w:ind w:left="1440" w:right="237"/>
        <w:rPr>
          <w:iCs/>
          <w:sz w:val="22"/>
          <w:lang w:val="en-ZA"/>
        </w:rPr>
      </w:pPr>
      <w:r>
        <w:rPr>
          <w:iCs/>
          <w:sz w:val="22"/>
          <w:lang w:val="en-ZA"/>
        </w:rPr>
        <w:t>“</w:t>
      </w:r>
      <w:r w:rsidR="0092102B" w:rsidRPr="00F4146B">
        <w:rPr>
          <w:iCs/>
          <w:sz w:val="22"/>
          <w:lang w:val="en-ZA"/>
        </w:rPr>
        <w:t xml:space="preserve">As far as the facts of this case are concerned, the reference to A claiming from C that which B had paid to C, was not explained in the judgment. Counsel for Fidelity submitted, if I understood him correctly, that it referred to the fact that the first plaintiffs had made the payment of R950 000,00 from the bank account named </w:t>
      </w:r>
      <w:r w:rsidR="001F5CC5">
        <w:rPr>
          <w:iCs/>
          <w:sz w:val="22"/>
          <w:lang w:val="en-ZA"/>
        </w:rPr>
        <w:t>‘</w:t>
      </w:r>
      <w:r w:rsidR="0092102B" w:rsidRPr="00F4146B">
        <w:rPr>
          <w:iCs/>
          <w:sz w:val="22"/>
          <w:lang w:val="en-ZA"/>
        </w:rPr>
        <w:t>Kaap Vaal</w:t>
      </w:r>
      <w:r w:rsidR="009B7625">
        <w:rPr>
          <w:iCs/>
          <w:sz w:val="22"/>
          <w:lang w:val="en-ZA"/>
        </w:rPr>
        <w:t xml:space="preserve"> </w:t>
      </w:r>
      <w:r w:rsidR="0092102B" w:rsidRPr="00F4146B">
        <w:rPr>
          <w:iCs/>
          <w:sz w:val="22"/>
          <w:lang w:val="en-ZA"/>
        </w:rPr>
        <w:t>-Mabula Investments (Pty) Ltd In Liquidation</w:t>
      </w:r>
      <w:r w:rsidR="004C1EBA">
        <w:rPr>
          <w:iCs/>
          <w:sz w:val="22"/>
          <w:lang w:val="en-ZA"/>
        </w:rPr>
        <w:t>’</w:t>
      </w:r>
      <w:r w:rsidR="0092102B" w:rsidRPr="00F4146B">
        <w:rPr>
          <w:iCs/>
          <w:sz w:val="22"/>
          <w:lang w:val="en-ZA"/>
        </w:rPr>
        <w:t xml:space="preserve"> whereas the other plaintiffs have also joined in the action.</w:t>
      </w:r>
    </w:p>
    <w:p w14:paraId="13562835" w14:textId="33A45CA8" w:rsidR="0092102B" w:rsidRPr="00F4146B" w:rsidRDefault="0092102B" w:rsidP="00CB1298">
      <w:pPr>
        <w:pStyle w:val="JudgmentNumbered"/>
        <w:numPr>
          <w:ilvl w:val="0"/>
          <w:numId w:val="0"/>
        </w:numPr>
        <w:ind w:left="1440" w:right="379"/>
        <w:rPr>
          <w:iCs/>
          <w:sz w:val="22"/>
          <w:lang w:val="en-ZA"/>
        </w:rPr>
      </w:pPr>
      <w:r w:rsidRPr="00F4146B">
        <w:rPr>
          <w:iCs/>
          <w:sz w:val="22"/>
          <w:lang w:val="en-ZA"/>
        </w:rPr>
        <w:t xml:space="preserve">Sight was lost of the fact that the first plaintiffs, both in relation to the overpayment and to the claim for a refund, were and are acting in a representative capacity. In any event, as </w:t>
      </w:r>
      <w:r w:rsidRPr="00F4146B">
        <w:rPr>
          <w:i/>
          <w:iCs/>
          <w:sz w:val="22"/>
          <w:lang w:val="en-ZA"/>
        </w:rPr>
        <w:t>Ulpian</w:t>
      </w:r>
      <w:r w:rsidRPr="00F4146B">
        <w:rPr>
          <w:iCs/>
          <w:sz w:val="22"/>
          <w:lang w:val="en-ZA"/>
        </w:rPr>
        <w:t xml:space="preserve"> is alleged to have said, there is </w:t>
      </w:r>
      <w:r w:rsidRPr="00F4146B">
        <w:rPr>
          <w:iCs/>
          <w:sz w:val="22"/>
          <w:u w:val="single"/>
          <w:lang w:val="en-ZA"/>
        </w:rPr>
        <w:t xml:space="preserve">nothing new about one person recovering with the </w:t>
      </w:r>
      <w:r w:rsidRPr="00F4146B">
        <w:rPr>
          <w:i/>
          <w:sz w:val="22"/>
          <w:u w:val="single"/>
          <w:lang w:val="en-ZA"/>
        </w:rPr>
        <w:t>condictio indebiti</w:t>
      </w:r>
      <w:r w:rsidRPr="00F4146B">
        <w:rPr>
          <w:iCs/>
          <w:sz w:val="22"/>
          <w:u w:val="single"/>
          <w:lang w:val="en-ZA"/>
        </w:rPr>
        <w:t xml:space="preserve"> what another has paid</w:t>
      </w:r>
      <w:r w:rsidRPr="00F4146B">
        <w:rPr>
          <w:iCs/>
          <w:sz w:val="22"/>
          <w:lang w:val="en-ZA"/>
        </w:rPr>
        <w:t xml:space="preserve"> (</w:t>
      </w:r>
      <w:r w:rsidRPr="00F4146B">
        <w:rPr>
          <w:i/>
          <w:iCs/>
          <w:sz w:val="22"/>
          <w:lang w:val="en-ZA"/>
        </w:rPr>
        <w:t>Digest</w:t>
      </w:r>
      <w:r w:rsidRPr="00F4146B">
        <w:rPr>
          <w:iCs/>
          <w:sz w:val="22"/>
          <w:lang w:val="en-ZA"/>
        </w:rPr>
        <w:t xml:space="preserve"> 12.6.5). Quoting </w:t>
      </w:r>
      <w:r w:rsidRPr="00F4146B">
        <w:rPr>
          <w:i/>
          <w:iCs/>
          <w:sz w:val="22"/>
          <w:lang w:val="en-ZA"/>
        </w:rPr>
        <w:t xml:space="preserve">Wessels </w:t>
      </w:r>
      <w:r w:rsidRPr="00F4146B">
        <w:rPr>
          <w:iCs/>
          <w:sz w:val="22"/>
          <w:lang w:val="en-ZA"/>
        </w:rPr>
        <w:t xml:space="preserve">(op cit par 3693) </w:t>
      </w:r>
      <w:r w:rsidRPr="00F4146B">
        <w:rPr>
          <w:iCs/>
          <w:sz w:val="22"/>
          <w:lang w:val="en-ZA"/>
        </w:rPr>
        <w:lastRenderedPageBreak/>
        <w:t xml:space="preserve">and others, this Court held that the person who is entitled to bring the action </w:t>
      </w:r>
      <w:r w:rsidR="00265B13" w:rsidRPr="009F20DA">
        <w:rPr>
          <w:iCs/>
          <w:sz w:val="22"/>
          <w:lang w:val="en-ZA"/>
        </w:rPr>
        <w:t>‘</w:t>
      </w:r>
      <w:r w:rsidRPr="009F20DA">
        <w:rPr>
          <w:iCs/>
          <w:sz w:val="22"/>
          <w:lang w:val="en-ZA"/>
        </w:rPr>
        <w:t>is he who is considered in law to have made the payment</w:t>
      </w:r>
      <w:r w:rsidR="00265B13">
        <w:rPr>
          <w:iCs/>
          <w:sz w:val="22"/>
          <w:lang w:val="en-ZA"/>
        </w:rPr>
        <w:t>’</w:t>
      </w:r>
      <w:r w:rsidRPr="00F4146B">
        <w:rPr>
          <w:iCs/>
          <w:sz w:val="22"/>
          <w:lang w:val="en-ZA"/>
        </w:rPr>
        <w:t xml:space="preserve"> (</w:t>
      </w:r>
      <w:r w:rsidRPr="00F4146B">
        <w:rPr>
          <w:i/>
          <w:iCs/>
          <w:sz w:val="22"/>
          <w:lang w:val="en-ZA"/>
        </w:rPr>
        <w:t>African Diamond Exporters (Pty) Ltd v Barclays Bank International Ltd</w:t>
      </w:r>
      <w:r w:rsidRPr="00F4146B">
        <w:rPr>
          <w:iCs/>
          <w:sz w:val="22"/>
          <w:lang w:val="en-ZA"/>
        </w:rPr>
        <w:t xml:space="preserve"> 1978 (3) SA 699 (A) 713A-C).</w:t>
      </w:r>
      <w:r w:rsidR="001A7F6A">
        <w:rPr>
          <w:iCs/>
          <w:sz w:val="22"/>
          <w:lang w:val="en-ZA"/>
        </w:rPr>
        <w:t>”</w:t>
      </w:r>
      <w:r w:rsidR="006B406C" w:rsidRPr="00F4146B">
        <w:rPr>
          <w:iCs/>
          <w:sz w:val="22"/>
          <w:lang w:val="en-ZA"/>
        </w:rPr>
        <w:t xml:space="preserve"> (my emphasis)</w:t>
      </w:r>
    </w:p>
    <w:p w14:paraId="6B5147B4" w14:textId="71D3E84F" w:rsidR="0092102B" w:rsidRPr="0092102B" w:rsidRDefault="00A655EC" w:rsidP="00A655EC">
      <w:pPr>
        <w:pStyle w:val="JudgmentNumbered"/>
        <w:numPr>
          <w:ilvl w:val="0"/>
          <w:numId w:val="0"/>
        </w:numPr>
        <w:ind w:left="720" w:hanging="720"/>
        <w:rPr>
          <w:lang w:val="en-ZA"/>
        </w:rPr>
      </w:pPr>
      <w:r w:rsidRPr="0092102B">
        <w:rPr>
          <w:lang w:val="en-ZA"/>
        </w:rPr>
        <w:t>[48]</w:t>
      </w:r>
      <w:r w:rsidRPr="0092102B">
        <w:rPr>
          <w:lang w:val="en-ZA"/>
        </w:rPr>
        <w:tab/>
      </w:r>
      <w:r w:rsidR="009F20DA">
        <w:t xml:space="preserve">The same can be said about the </w:t>
      </w:r>
      <w:r w:rsidR="009F20DA" w:rsidRPr="00B422E2">
        <w:rPr>
          <w:i/>
          <w:iCs/>
        </w:rPr>
        <w:t>condictio sine causa</w:t>
      </w:r>
      <w:r w:rsidR="009F20DA">
        <w:t xml:space="preserve">. </w:t>
      </w:r>
      <w:r w:rsidR="00DB08A4">
        <w:t xml:space="preserve">Whyte </w:t>
      </w:r>
      <w:r w:rsidR="0092102B">
        <w:t>is an interested party with a direct and substantial interest because the money that has been paid to the appellants</w:t>
      </w:r>
      <w:r w:rsidR="00DB08A4">
        <w:t xml:space="preserve"> </w:t>
      </w:r>
      <w:r w:rsidR="0092102B">
        <w:t xml:space="preserve">and Pretorius is money that is being </w:t>
      </w:r>
      <w:r w:rsidR="009F20DA">
        <w:t xml:space="preserve">deducted </w:t>
      </w:r>
      <w:r w:rsidR="00536627">
        <w:t>by FPI</w:t>
      </w:r>
      <w:r w:rsidR="0092102B">
        <w:t xml:space="preserve"> from the capital of his investment. </w:t>
      </w:r>
      <w:r w:rsidR="00536627">
        <w:t xml:space="preserve">There can be no question about his </w:t>
      </w:r>
      <w:r w:rsidR="00536627" w:rsidRPr="00536627">
        <w:rPr>
          <w:i/>
          <w:iCs/>
        </w:rPr>
        <w:t>locus standi in</w:t>
      </w:r>
      <w:r w:rsidR="00536627">
        <w:t xml:space="preserve"> the matter. </w:t>
      </w:r>
    </w:p>
    <w:p w14:paraId="25D37FD7" w14:textId="6E093219" w:rsidR="005270EF" w:rsidRDefault="00A655EC" w:rsidP="00A655EC">
      <w:pPr>
        <w:pStyle w:val="JudgmentNumbered"/>
        <w:numPr>
          <w:ilvl w:val="0"/>
          <w:numId w:val="0"/>
        </w:numPr>
        <w:ind w:left="720" w:hanging="720"/>
      </w:pPr>
      <w:r>
        <w:t>[49]</w:t>
      </w:r>
      <w:r>
        <w:tab/>
      </w:r>
      <w:r w:rsidR="00672FBA">
        <w:t>Turning now to consider the merits of the matter.</w:t>
      </w:r>
      <w:r w:rsidR="005270EF">
        <w:t xml:space="preserve">  </w:t>
      </w:r>
    </w:p>
    <w:p w14:paraId="50E81069" w14:textId="3F4FA8BD" w:rsidR="008E05EC" w:rsidRPr="00A72B75" w:rsidRDefault="00A655EC" w:rsidP="00A655EC">
      <w:pPr>
        <w:pStyle w:val="JudgmentNumbered"/>
        <w:numPr>
          <w:ilvl w:val="0"/>
          <w:numId w:val="0"/>
        </w:numPr>
        <w:ind w:left="720" w:hanging="720"/>
        <w:rPr>
          <w:lang w:val="en-ZA"/>
        </w:rPr>
      </w:pPr>
      <w:r w:rsidRPr="00A72B75">
        <w:rPr>
          <w:lang w:val="en-ZA"/>
        </w:rPr>
        <w:t>[50]</w:t>
      </w:r>
      <w:r w:rsidRPr="00A72B75">
        <w:rPr>
          <w:lang w:val="en-ZA"/>
        </w:rPr>
        <w:tab/>
      </w:r>
      <w:r w:rsidR="007315A8">
        <w:t xml:space="preserve">In cases where </w:t>
      </w:r>
      <w:r w:rsidR="0057564E">
        <w:t>the plaintiff can prove that the defendant</w:t>
      </w:r>
      <w:r w:rsidR="00C16BED">
        <w:t xml:space="preserve"> received a </w:t>
      </w:r>
      <w:r w:rsidR="00C16BED" w:rsidRPr="004941C3">
        <w:t>transfer of</w:t>
      </w:r>
      <w:r w:rsidR="00C16BED" w:rsidRPr="004C2FD7">
        <w:rPr>
          <w:u w:val="single"/>
        </w:rPr>
        <w:t xml:space="preserve"> </w:t>
      </w:r>
      <w:r w:rsidR="00C16BED" w:rsidRPr="009F20DA">
        <w:t xml:space="preserve">money </w:t>
      </w:r>
      <w:r w:rsidR="008668F9" w:rsidRPr="009F20DA">
        <w:t>or other property</w:t>
      </w:r>
      <w:r w:rsidR="00154279">
        <w:t>,</w:t>
      </w:r>
      <w:r w:rsidR="009F20DA">
        <w:rPr>
          <w:rStyle w:val="FootnoteReference"/>
        </w:rPr>
        <w:footnoteReference w:id="28"/>
      </w:r>
      <w:r w:rsidR="009F20DA">
        <w:t xml:space="preserve"> </w:t>
      </w:r>
      <w:r w:rsidR="00C16BED">
        <w:t xml:space="preserve">the plaintiff’s burden of </w:t>
      </w:r>
      <w:r w:rsidR="004824F5">
        <w:t xml:space="preserve">proof of enrichment is facilitated by a </w:t>
      </w:r>
      <w:r w:rsidR="00C408BC">
        <w:t xml:space="preserve">rebuttable </w:t>
      </w:r>
      <w:r w:rsidR="004824F5">
        <w:t>presumption that the defendant was enriched</w:t>
      </w:r>
      <w:r w:rsidR="003879B9">
        <w:t>.</w:t>
      </w:r>
      <w:r w:rsidR="003879B9">
        <w:rPr>
          <w:rStyle w:val="FootnoteReference"/>
        </w:rPr>
        <w:footnoteReference w:id="29"/>
      </w:r>
      <w:r w:rsidR="00C37036">
        <w:t xml:space="preserve"> The presumption will apply even if the </w:t>
      </w:r>
      <w:r w:rsidR="00360CDD">
        <w:t>enrichment</w:t>
      </w:r>
      <w:r w:rsidR="00C37036">
        <w:t xml:space="preserve"> has entered the defendant’s </w:t>
      </w:r>
      <w:r w:rsidR="00360CDD">
        <w:t>estate by way of transfer by a third party.</w:t>
      </w:r>
      <w:r w:rsidR="00360CDD">
        <w:rPr>
          <w:rStyle w:val="FootnoteReference"/>
        </w:rPr>
        <w:footnoteReference w:id="30"/>
      </w:r>
      <w:r w:rsidR="00360CDD">
        <w:t xml:space="preserve"> </w:t>
      </w:r>
      <w:r w:rsidR="00A23C67">
        <w:t xml:space="preserve"> </w:t>
      </w:r>
    </w:p>
    <w:p w14:paraId="40CF6EC6" w14:textId="5E5007FF" w:rsidR="00A72B75" w:rsidRPr="00113DBE" w:rsidRDefault="00A655EC" w:rsidP="00A655EC">
      <w:pPr>
        <w:pStyle w:val="JudgmentNumbered"/>
        <w:numPr>
          <w:ilvl w:val="0"/>
          <w:numId w:val="0"/>
        </w:numPr>
        <w:ind w:left="720" w:hanging="720"/>
        <w:rPr>
          <w:lang w:val="en-ZA"/>
        </w:rPr>
      </w:pPr>
      <w:r w:rsidRPr="00113DBE">
        <w:rPr>
          <w:lang w:val="en-ZA"/>
        </w:rPr>
        <w:t>[51]</w:t>
      </w:r>
      <w:r w:rsidRPr="00113DBE">
        <w:rPr>
          <w:lang w:val="en-ZA"/>
        </w:rPr>
        <w:tab/>
      </w:r>
      <w:r w:rsidR="007F648E">
        <w:t>On the facts of this case, t</w:t>
      </w:r>
      <w:r w:rsidR="00A72B75">
        <w:t xml:space="preserve">he applicant Whyte has shown that the </w:t>
      </w:r>
      <w:r w:rsidR="00277E54">
        <w:t xml:space="preserve">£149 451.25 </w:t>
      </w:r>
      <w:r w:rsidR="00A72B75">
        <w:t xml:space="preserve"> was transferred to WKI. </w:t>
      </w:r>
      <w:r w:rsidR="00065FA2">
        <w:t xml:space="preserve">He has also shown that this money was transferred without cause. Pretorius has confirmed this. </w:t>
      </w:r>
      <w:r w:rsidR="00A72B75">
        <w:t xml:space="preserve">Both the appellants and Pretorius have conceded that the money was received </w:t>
      </w:r>
      <w:r w:rsidR="00A72B75" w:rsidRPr="00A72B75">
        <w:rPr>
          <w:i/>
          <w:iCs/>
        </w:rPr>
        <w:t>sine causa</w:t>
      </w:r>
      <w:r w:rsidR="00A72B75">
        <w:t>. Hence, there is a presumption that the appellants and Pretorius have been enriched.</w:t>
      </w:r>
      <w:r w:rsidR="007F648E">
        <w:t xml:space="preserve">  </w:t>
      </w:r>
    </w:p>
    <w:p w14:paraId="1661EF0D" w14:textId="3026DF44" w:rsidR="00BD6249" w:rsidRPr="007F648E" w:rsidRDefault="00A655EC" w:rsidP="00A655EC">
      <w:pPr>
        <w:pStyle w:val="JudgmentNumbered"/>
        <w:numPr>
          <w:ilvl w:val="0"/>
          <w:numId w:val="0"/>
        </w:numPr>
        <w:ind w:left="720" w:hanging="720"/>
        <w:rPr>
          <w:lang w:val="en-ZA"/>
        </w:rPr>
      </w:pPr>
      <w:r w:rsidRPr="007F648E">
        <w:rPr>
          <w:lang w:val="en-ZA"/>
        </w:rPr>
        <w:t>[52]</w:t>
      </w:r>
      <w:r w:rsidRPr="007F648E">
        <w:rPr>
          <w:lang w:val="en-ZA"/>
        </w:rPr>
        <w:tab/>
      </w:r>
      <w:r w:rsidR="00A72B75">
        <w:rPr>
          <w:lang w:val="en-ZA"/>
        </w:rPr>
        <w:t>Once the presumption kicks in, t</w:t>
      </w:r>
      <w:r w:rsidR="00B85917">
        <w:t>he defendant must prove that he has</w:t>
      </w:r>
      <w:r w:rsidR="00A72B75">
        <w:t xml:space="preserve"> not</w:t>
      </w:r>
      <w:r w:rsidR="00B85917">
        <w:t xml:space="preserve"> been enriched. This is a full onus requiring the defendant to produce such proof on a balance of probabilities.</w:t>
      </w:r>
      <w:r w:rsidR="00B85917">
        <w:rPr>
          <w:rStyle w:val="FootnoteReference"/>
        </w:rPr>
        <w:footnoteReference w:id="31"/>
      </w:r>
      <w:r w:rsidR="00307AC7">
        <w:t xml:space="preserve"> A failure to adduce such proof </w:t>
      </w:r>
      <w:r w:rsidR="00E97C74">
        <w:t>gives rise to a duty to restore the full value.</w:t>
      </w:r>
      <w:r w:rsidR="00E97C74">
        <w:rPr>
          <w:rStyle w:val="FootnoteReference"/>
        </w:rPr>
        <w:footnoteReference w:id="32"/>
      </w:r>
      <w:r w:rsidR="00BD6249" w:rsidRPr="00BD6249">
        <w:t xml:space="preserve"> </w:t>
      </w:r>
      <w:r w:rsidR="00BD6249">
        <w:t>There can be no loss of enrichment if for example WKI spent the overpayment on necessities that it nonetheless would have bought.</w:t>
      </w:r>
      <w:r w:rsidR="00BD6249">
        <w:rPr>
          <w:rStyle w:val="FootnoteReference"/>
        </w:rPr>
        <w:footnoteReference w:id="33"/>
      </w:r>
      <w:r w:rsidR="00BD6249">
        <w:t xml:space="preserve"> </w:t>
      </w:r>
    </w:p>
    <w:p w14:paraId="2D4368DE" w14:textId="6FF54A0E" w:rsidR="009F20DA" w:rsidRPr="007F648E" w:rsidRDefault="00A655EC" w:rsidP="00A655EC">
      <w:pPr>
        <w:pStyle w:val="JudgmentNumbered"/>
        <w:numPr>
          <w:ilvl w:val="0"/>
          <w:numId w:val="0"/>
        </w:numPr>
        <w:ind w:left="567" w:hanging="567"/>
        <w:rPr>
          <w:lang w:val="en-ZA"/>
        </w:rPr>
      </w:pPr>
      <w:r w:rsidRPr="007F648E">
        <w:rPr>
          <w:lang w:val="en-ZA"/>
        </w:rPr>
        <w:lastRenderedPageBreak/>
        <w:t>[53]</w:t>
      </w:r>
      <w:r w:rsidRPr="007F648E">
        <w:rPr>
          <w:lang w:val="en-ZA"/>
        </w:rPr>
        <w:tab/>
      </w:r>
      <w:r w:rsidR="009F20DA">
        <w:t>WKI utilised the R881 298.27 it received in the business. In other words this is what WKI would have spent on, nonetheless. Hence there is no proof of loss of enrichment.</w:t>
      </w:r>
    </w:p>
    <w:p w14:paraId="772558D1" w14:textId="4E215637" w:rsidR="00716BF2" w:rsidRDefault="00A655EC" w:rsidP="00A655EC">
      <w:pPr>
        <w:pStyle w:val="JudgmentNumbered"/>
        <w:numPr>
          <w:ilvl w:val="0"/>
          <w:numId w:val="0"/>
        </w:numPr>
        <w:ind w:left="567" w:hanging="567"/>
        <w:rPr>
          <w:lang w:val="en-ZA"/>
        </w:rPr>
      </w:pPr>
      <w:r>
        <w:rPr>
          <w:lang w:val="en-ZA"/>
        </w:rPr>
        <w:t>[54]</w:t>
      </w:r>
      <w:r>
        <w:rPr>
          <w:lang w:val="en-ZA"/>
        </w:rPr>
        <w:tab/>
      </w:r>
      <w:r w:rsidR="009F20DA">
        <w:t xml:space="preserve">Pretorius on the other hand says that he repaid R1.54m  to WKI and ceded future commissions to WKI make up the total. </w:t>
      </w:r>
      <w:r w:rsidR="00D95E5C">
        <w:t>WKI did not put up any proof of loss of enrichment of this amount.</w:t>
      </w:r>
      <w:r w:rsidR="00D95E5C">
        <w:rPr>
          <w:lang w:val="en-ZA"/>
        </w:rPr>
        <w:t xml:space="preserve">  </w:t>
      </w:r>
    </w:p>
    <w:p w14:paraId="0549C281" w14:textId="6A7CBB10" w:rsidR="009F20DA" w:rsidRPr="00D95E5C" w:rsidRDefault="00A655EC" w:rsidP="00A655EC">
      <w:pPr>
        <w:pStyle w:val="JudgmentNumbered"/>
        <w:numPr>
          <w:ilvl w:val="0"/>
          <w:numId w:val="0"/>
        </w:numPr>
        <w:ind w:left="567" w:hanging="567"/>
        <w:rPr>
          <w:lang w:val="en-ZA"/>
        </w:rPr>
      </w:pPr>
      <w:r w:rsidRPr="00D95E5C">
        <w:rPr>
          <w:lang w:val="en-ZA"/>
        </w:rPr>
        <w:t>[55]</w:t>
      </w:r>
      <w:r w:rsidRPr="00D95E5C">
        <w:rPr>
          <w:lang w:val="en-ZA"/>
        </w:rPr>
        <w:tab/>
      </w:r>
      <w:r w:rsidR="009F20DA">
        <w:t>As to whether any future commission has been ceded by Pretorius and by how much, no proof thereof was put up by either Pretorius or the appellants.</w:t>
      </w:r>
      <w:r w:rsidR="00716BF2">
        <w:t xml:space="preserve"> </w:t>
      </w:r>
      <w:r w:rsidR="009F20DA">
        <w:t>He continued to utilise the balance for his own needs. Hence, Pretorius did not put up any proof of loss of enrichment for the balance.</w:t>
      </w:r>
    </w:p>
    <w:p w14:paraId="0E5FCA16" w14:textId="08F64333" w:rsidR="00BE0DFF" w:rsidRPr="00BD1959" w:rsidRDefault="00A655EC" w:rsidP="00A655EC">
      <w:pPr>
        <w:pStyle w:val="JudgmentNumbered"/>
        <w:numPr>
          <w:ilvl w:val="0"/>
          <w:numId w:val="0"/>
        </w:numPr>
        <w:ind w:left="567" w:hanging="567"/>
        <w:rPr>
          <w:lang w:val="en-ZA"/>
        </w:rPr>
      </w:pPr>
      <w:r w:rsidRPr="00BD1959">
        <w:rPr>
          <w:lang w:val="en-ZA"/>
        </w:rPr>
        <w:t>[56]</w:t>
      </w:r>
      <w:r w:rsidRPr="00BD1959">
        <w:rPr>
          <w:lang w:val="en-ZA"/>
        </w:rPr>
        <w:tab/>
      </w:r>
      <w:r w:rsidR="008B535D">
        <w:t xml:space="preserve">Swanepoel </w:t>
      </w:r>
      <w:r w:rsidR="006E2331">
        <w:t xml:space="preserve">AJ </w:t>
      </w:r>
      <w:r w:rsidR="008B535D">
        <w:t xml:space="preserve">was </w:t>
      </w:r>
      <w:r w:rsidR="006E2331">
        <w:t xml:space="preserve">therefore </w:t>
      </w:r>
      <w:r w:rsidR="008B535D">
        <w:t xml:space="preserve">correct in finding </w:t>
      </w:r>
      <w:r w:rsidR="008D510B">
        <w:t>that</w:t>
      </w:r>
      <w:r w:rsidR="008B535D">
        <w:t xml:space="preserve"> both</w:t>
      </w:r>
      <w:r w:rsidR="008D510B">
        <w:t xml:space="preserve"> Pretorius and WKI </w:t>
      </w:r>
      <w:r w:rsidR="00FF1E78">
        <w:t xml:space="preserve">were </w:t>
      </w:r>
      <w:r w:rsidR="008D510B">
        <w:t>enriched by the</w:t>
      </w:r>
      <w:r w:rsidR="008B535D">
        <w:t xml:space="preserve"> full amount</w:t>
      </w:r>
      <w:r w:rsidR="009F20DA">
        <w:t xml:space="preserve"> of</w:t>
      </w:r>
      <w:r w:rsidR="008B535D">
        <w:t xml:space="preserve"> </w:t>
      </w:r>
      <w:r w:rsidR="000E6868">
        <w:t>£149 451.24</w:t>
      </w:r>
      <w:r w:rsidR="00384F24">
        <w:t>.</w:t>
      </w:r>
    </w:p>
    <w:p w14:paraId="7E5EB7ED" w14:textId="71BD8A41" w:rsidR="00AA5E3E" w:rsidRPr="00F4146B" w:rsidRDefault="00A84D8C" w:rsidP="00F4146B">
      <w:pPr>
        <w:pStyle w:val="JudgmentNumbered"/>
        <w:numPr>
          <w:ilvl w:val="0"/>
          <w:numId w:val="0"/>
        </w:numPr>
        <w:ind w:left="567" w:hanging="567"/>
        <w:rPr>
          <w:bCs/>
          <w:i/>
        </w:rPr>
      </w:pPr>
      <w:r w:rsidRPr="00F4146B">
        <w:rPr>
          <w:bCs/>
          <w:i/>
        </w:rPr>
        <w:t>Condictio Furtiva</w:t>
      </w:r>
    </w:p>
    <w:p w14:paraId="12C2F989" w14:textId="608C7F23" w:rsidR="00AA5E3E" w:rsidRDefault="00A655EC" w:rsidP="00A655EC">
      <w:pPr>
        <w:pStyle w:val="JudgmentNumbered"/>
        <w:numPr>
          <w:ilvl w:val="0"/>
          <w:numId w:val="0"/>
        </w:numPr>
        <w:ind w:left="720" w:hanging="720"/>
      </w:pPr>
      <w:r>
        <w:t>[57]</w:t>
      </w:r>
      <w:r>
        <w:tab/>
      </w:r>
      <w:r w:rsidR="00AA5E3E">
        <w:t xml:space="preserve">Unlike the unjustified enrichment action, the </w:t>
      </w:r>
      <w:r w:rsidR="00AA5E3E" w:rsidRPr="001349F8">
        <w:rPr>
          <w:i/>
          <w:iCs/>
        </w:rPr>
        <w:t>condictio furtiva</w:t>
      </w:r>
      <w:r w:rsidR="00AA5E3E">
        <w:t xml:space="preserve"> is a personal claim in delict which has its roots in the Roman law of protection of ownership.</w:t>
      </w:r>
      <w:r w:rsidR="00AA5E3E">
        <w:rPr>
          <w:rStyle w:val="FootnoteReference"/>
        </w:rPr>
        <w:footnoteReference w:id="34"/>
      </w:r>
      <w:r w:rsidR="00AA5E3E">
        <w:t xml:space="preserve">  When a theft occurs, the victim of theft may bring this action against the thief or his heirs to recover the stolen property</w:t>
      </w:r>
      <w:r w:rsidR="009B7625">
        <w:t>/</w:t>
      </w:r>
      <w:r w:rsidR="00AA5E3E">
        <w:t xml:space="preserve">thing, together with its fruits or its highest value since the commission of the theft. The </w:t>
      </w:r>
      <w:r w:rsidR="00AA5E3E" w:rsidRPr="00F4146B">
        <w:rPr>
          <w:i/>
          <w:iCs/>
        </w:rPr>
        <w:t>condictio furtiva</w:t>
      </w:r>
      <w:r w:rsidR="00AA5E3E">
        <w:t xml:space="preserve"> is awarded in the absence of the </w:t>
      </w:r>
      <w:r w:rsidR="00AA5E3E" w:rsidRPr="00F4146B">
        <w:rPr>
          <w:i/>
          <w:iCs/>
        </w:rPr>
        <w:t>rei vindicatio</w:t>
      </w:r>
      <w:r w:rsidR="00AA5E3E">
        <w:t xml:space="preserve"> hence they are alternatives. Unlike in the </w:t>
      </w:r>
      <w:r w:rsidR="00AA5E3E" w:rsidRPr="00356AE3">
        <w:rPr>
          <w:i/>
          <w:iCs/>
        </w:rPr>
        <w:t>rei vindicatio</w:t>
      </w:r>
      <w:r w:rsidR="00AA5E3E">
        <w:t xml:space="preserve"> the </w:t>
      </w:r>
      <w:r w:rsidR="00AA5E3E" w:rsidRPr="00356AE3">
        <w:rPr>
          <w:i/>
          <w:iCs/>
        </w:rPr>
        <w:t>condictio furtiva</w:t>
      </w:r>
      <w:r w:rsidR="00AA5E3E">
        <w:t xml:space="preserve"> is available even though the stolen object has been destroyed or damaged.</w:t>
      </w:r>
      <w:r w:rsidR="00AA5E3E">
        <w:rPr>
          <w:rStyle w:val="FootnoteReference"/>
        </w:rPr>
        <w:footnoteReference w:id="35"/>
      </w:r>
      <w:r w:rsidR="00AA5E3E">
        <w:t xml:space="preserve"> </w:t>
      </w:r>
    </w:p>
    <w:p w14:paraId="5CEBA8C0" w14:textId="790F71C5" w:rsidR="00AA5E3E" w:rsidRPr="00945733" w:rsidRDefault="00A655EC" w:rsidP="00A655EC">
      <w:pPr>
        <w:pStyle w:val="JudgmentNumbered"/>
        <w:numPr>
          <w:ilvl w:val="0"/>
          <w:numId w:val="0"/>
        </w:numPr>
        <w:ind w:left="720" w:hanging="720"/>
      </w:pPr>
      <w:r w:rsidRPr="00945733">
        <w:t>[58]</w:t>
      </w:r>
      <w:r w:rsidRPr="00945733">
        <w:tab/>
      </w:r>
      <w:r w:rsidR="00AA5E3E" w:rsidRPr="00945733">
        <w:t xml:space="preserve">Prior to </w:t>
      </w:r>
      <w:bookmarkStart w:id="4" w:name="_Hlk161127109"/>
      <w:r w:rsidR="00AA5E3E" w:rsidRPr="00F4146B">
        <w:rPr>
          <w:bCs/>
          <w:i/>
          <w:iCs/>
        </w:rPr>
        <w:t>Clifford v Farinha</w:t>
      </w:r>
      <w:bookmarkEnd w:id="4"/>
      <w:r w:rsidR="00AA5E3E" w:rsidRPr="00945733">
        <w:rPr>
          <w:rStyle w:val="FootnoteReference"/>
          <w:i/>
          <w:iCs/>
        </w:rPr>
        <w:footnoteReference w:id="36"/>
      </w:r>
      <w:r w:rsidR="00AA5E3E" w:rsidRPr="00945733">
        <w:t xml:space="preserve"> it was uncertain who was entitled to rely on the </w:t>
      </w:r>
      <w:r w:rsidR="00AA5E3E" w:rsidRPr="00F4146B">
        <w:rPr>
          <w:i/>
          <w:iCs/>
        </w:rPr>
        <w:t>condictio furtiva</w:t>
      </w:r>
      <w:r w:rsidR="00AA5E3E" w:rsidRPr="00945733">
        <w:t>.</w:t>
      </w:r>
      <w:r w:rsidR="00AA5E3E" w:rsidRPr="00945733">
        <w:rPr>
          <w:rStyle w:val="FootnoteReference"/>
        </w:rPr>
        <w:footnoteReference w:id="37"/>
      </w:r>
      <w:r w:rsidR="00AA5E3E" w:rsidRPr="00945733">
        <w:t xml:space="preserve"> It is now accepted that the victim need not be the owner but may also be another </w:t>
      </w:r>
      <w:r w:rsidR="00F22A0E">
        <w:t>“</w:t>
      </w:r>
      <w:r w:rsidR="00AA5E3E" w:rsidRPr="00945733">
        <w:t>interested party</w:t>
      </w:r>
      <w:r w:rsidR="00F22A0E">
        <w:t>”</w:t>
      </w:r>
      <w:r w:rsidR="00AA5E3E" w:rsidRPr="00945733">
        <w:t>.</w:t>
      </w:r>
      <w:r w:rsidR="00AA5E3E" w:rsidRPr="00945733">
        <w:rPr>
          <w:rStyle w:val="FootnoteReference"/>
        </w:rPr>
        <w:footnoteReference w:id="38"/>
      </w:r>
      <w:r w:rsidR="00AA5E3E" w:rsidRPr="00945733">
        <w:t xml:space="preserve"> This could be a lessee under a hire purchase agreement or a person who holds the object in safekeeping and is </w:t>
      </w:r>
      <w:r w:rsidR="00AA5E3E" w:rsidRPr="00945733">
        <w:lastRenderedPageBreak/>
        <w:t>responsible to t</w:t>
      </w:r>
      <w:r w:rsidR="00AA5E3E" w:rsidRPr="002E12A2">
        <w:t>he owner, a person who holds an object in pledge and a purchaser to whom risk has passed in an object which was stolen.</w:t>
      </w:r>
      <w:r w:rsidR="00AA5E3E" w:rsidRPr="00945733">
        <w:rPr>
          <w:rStyle w:val="FootnoteReference"/>
        </w:rPr>
        <w:footnoteReference w:id="39"/>
      </w:r>
      <w:r w:rsidR="00AA5E3E" w:rsidRPr="00945733">
        <w:t xml:space="preserve">  </w:t>
      </w:r>
    </w:p>
    <w:p w14:paraId="57B5BF7D" w14:textId="37A2BBE8" w:rsidR="00AA5E3E" w:rsidRDefault="00A655EC" w:rsidP="00A655EC">
      <w:pPr>
        <w:pStyle w:val="JudgmentNumbered"/>
        <w:numPr>
          <w:ilvl w:val="0"/>
          <w:numId w:val="0"/>
        </w:numPr>
        <w:ind w:left="720" w:hanging="720"/>
      </w:pPr>
      <w:r>
        <w:t>[59]</w:t>
      </w:r>
      <w:r>
        <w:tab/>
      </w:r>
      <w:r w:rsidR="00AA5E3E">
        <w:t xml:space="preserve">The concept of theft bears a broader meaning than in modern South African criminal law and encompasses </w:t>
      </w:r>
      <w:bookmarkStart w:id="5" w:name="_Hlk159776214"/>
      <w:r w:rsidR="00AA5E3E">
        <w:t xml:space="preserve">knowingly using another’s property without the owner’s permission or theft through use </w:t>
      </w:r>
      <w:r w:rsidR="009B7625">
        <w:t>(</w:t>
      </w:r>
      <w:r w:rsidR="00AA5E3E" w:rsidRPr="004225B0">
        <w:rPr>
          <w:i/>
          <w:iCs/>
        </w:rPr>
        <w:t>furtum usus</w:t>
      </w:r>
      <w:r w:rsidR="009B7625">
        <w:rPr>
          <w:i/>
          <w:iCs/>
        </w:rPr>
        <w:t>)</w:t>
      </w:r>
      <w:r w:rsidR="00AA5E3E">
        <w:rPr>
          <w:i/>
          <w:iCs/>
        </w:rPr>
        <w:t>.</w:t>
      </w:r>
      <w:r w:rsidR="00AA5E3E">
        <w:t xml:space="preserve"> </w:t>
      </w:r>
      <w:bookmarkEnd w:id="5"/>
      <w:r w:rsidR="00AA5E3E">
        <w:t xml:space="preserve">The broad definition of thief may include a third party who receives from the thief knowing that he is not entitled to appropriate the stolen property.  In relation to the degree of fault </w:t>
      </w:r>
      <w:r w:rsidR="00AA5E3E" w:rsidRPr="007C2D38">
        <w:rPr>
          <w:i/>
          <w:iCs/>
        </w:rPr>
        <w:t>dolus eventualis</w:t>
      </w:r>
      <w:r w:rsidR="00AA5E3E">
        <w:t xml:space="preserve"> is sufficient.</w:t>
      </w:r>
      <w:r w:rsidR="00AA5E3E">
        <w:rPr>
          <w:rStyle w:val="FootnoteReference"/>
        </w:rPr>
        <w:footnoteReference w:id="40"/>
      </w:r>
    </w:p>
    <w:p w14:paraId="082C4B68" w14:textId="6A25650E" w:rsidR="00AE1AB6" w:rsidRDefault="00A655EC" w:rsidP="00A655EC">
      <w:pPr>
        <w:pStyle w:val="JudgmentNumbered"/>
        <w:numPr>
          <w:ilvl w:val="0"/>
          <w:numId w:val="0"/>
        </w:numPr>
        <w:ind w:left="720" w:hanging="720"/>
      </w:pPr>
      <w:r>
        <w:t>[60]</w:t>
      </w:r>
      <w:r>
        <w:tab/>
      </w:r>
      <w:r w:rsidR="00AE1AB6">
        <w:t xml:space="preserve">The requirements of the </w:t>
      </w:r>
      <w:r w:rsidR="00AE1AB6" w:rsidRPr="005C33EF">
        <w:rPr>
          <w:i/>
          <w:iCs/>
        </w:rPr>
        <w:t xml:space="preserve">condictio furtiva </w:t>
      </w:r>
      <w:r w:rsidR="00AE1AB6">
        <w:t>can be summarised as follows:</w:t>
      </w:r>
    </w:p>
    <w:p w14:paraId="7AAD5C6E" w14:textId="004B771E" w:rsidR="00AE1AB6" w:rsidRDefault="00A655EC" w:rsidP="00A655EC">
      <w:pPr>
        <w:pStyle w:val="JudgmentNumbered"/>
        <w:numPr>
          <w:ilvl w:val="0"/>
          <w:numId w:val="0"/>
        </w:numPr>
        <w:ind w:left="1134" w:hanging="425"/>
      </w:pPr>
      <w:r>
        <w:t>a.</w:t>
      </w:r>
      <w:r>
        <w:tab/>
      </w:r>
      <w:r w:rsidR="003C0733">
        <w:t>The applicant (plaintiff) would have to prove a wrongful action;</w:t>
      </w:r>
    </w:p>
    <w:p w14:paraId="179D1A93" w14:textId="18E41021" w:rsidR="003C0733" w:rsidRDefault="00A655EC" w:rsidP="00A655EC">
      <w:pPr>
        <w:pStyle w:val="JudgmentNumbered"/>
        <w:numPr>
          <w:ilvl w:val="0"/>
          <w:numId w:val="0"/>
        </w:numPr>
        <w:ind w:left="1134" w:hanging="425"/>
      </w:pPr>
      <w:r>
        <w:t>b.</w:t>
      </w:r>
      <w:r>
        <w:tab/>
      </w:r>
      <w:r w:rsidR="003C0733">
        <w:t>Fault on the part of the perpetrator;</w:t>
      </w:r>
    </w:p>
    <w:p w14:paraId="6112FD1C" w14:textId="75495237" w:rsidR="003C0733" w:rsidRDefault="00A655EC" w:rsidP="00A655EC">
      <w:pPr>
        <w:pStyle w:val="JudgmentNumbered"/>
        <w:numPr>
          <w:ilvl w:val="0"/>
          <w:numId w:val="0"/>
        </w:numPr>
        <w:ind w:left="1134" w:hanging="425"/>
      </w:pPr>
      <w:r>
        <w:t>c.</w:t>
      </w:r>
      <w:r>
        <w:tab/>
      </w:r>
      <w:r w:rsidR="003C0733">
        <w:t>Patrimonial loss</w:t>
      </w:r>
      <w:r w:rsidR="00D175AA">
        <w:t>; and</w:t>
      </w:r>
    </w:p>
    <w:p w14:paraId="0039E70F" w14:textId="58454A89" w:rsidR="00D175AA" w:rsidRDefault="00A655EC" w:rsidP="00A655EC">
      <w:pPr>
        <w:pStyle w:val="JudgmentNumbered"/>
        <w:numPr>
          <w:ilvl w:val="0"/>
          <w:numId w:val="0"/>
        </w:numPr>
        <w:ind w:left="1134" w:hanging="425"/>
      </w:pPr>
      <w:r>
        <w:t>d.</w:t>
      </w:r>
      <w:r>
        <w:tab/>
      </w:r>
      <w:r w:rsidR="00D175AA">
        <w:t>That the action was causally linked to the patrimonial loss.</w:t>
      </w:r>
    </w:p>
    <w:p w14:paraId="0F76AA52" w14:textId="548DA023" w:rsidR="006E3BF5" w:rsidRDefault="00A655EC" w:rsidP="00A655EC">
      <w:pPr>
        <w:pStyle w:val="JudgmentNumbered"/>
        <w:numPr>
          <w:ilvl w:val="0"/>
          <w:numId w:val="0"/>
        </w:numPr>
        <w:ind w:left="567" w:hanging="567"/>
      </w:pPr>
      <w:r>
        <w:t>[61]</w:t>
      </w:r>
      <w:r>
        <w:tab/>
      </w:r>
      <w:r w:rsidR="00715723">
        <w:t>Durin</w:t>
      </w:r>
      <w:r w:rsidR="00B8130D">
        <w:t>g argument,</w:t>
      </w:r>
      <w:r w:rsidR="00AE1AB6">
        <w:t xml:space="preserve"> </w:t>
      </w:r>
      <w:r w:rsidR="006E3BF5">
        <w:t xml:space="preserve">much emphasis was placed by </w:t>
      </w:r>
      <w:r w:rsidR="00CF12D4">
        <w:t>the appellants</w:t>
      </w:r>
      <w:r w:rsidR="006E3BF5">
        <w:t xml:space="preserve"> that the person bringing the action must </w:t>
      </w:r>
      <w:r w:rsidR="006E3BF5" w:rsidRPr="00E407B3">
        <w:rPr>
          <w:i/>
          <w:iCs/>
        </w:rPr>
        <w:t>own the thing</w:t>
      </w:r>
      <w:r w:rsidR="006E3BF5">
        <w:t xml:space="preserve">. </w:t>
      </w:r>
      <w:r w:rsidR="00983529">
        <w:t xml:space="preserve">In other words, only the </w:t>
      </w:r>
      <w:r w:rsidR="00983529" w:rsidRPr="00B8130D">
        <w:rPr>
          <w:i/>
          <w:iCs/>
        </w:rPr>
        <w:t>owner</w:t>
      </w:r>
      <w:r w:rsidR="00983529">
        <w:t xml:space="preserve"> had a claim and only if the </w:t>
      </w:r>
      <w:r w:rsidR="00983529" w:rsidRPr="00B8130D">
        <w:rPr>
          <w:i/>
          <w:iCs/>
        </w:rPr>
        <w:t>thing</w:t>
      </w:r>
      <w:r w:rsidR="00983529">
        <w:t xml:space="preserve"> in question was corporeal in nature. </w:t>
      </w:r>
      <w:r w:rsidR="006E3BF5">
        <w:t xml:space="preserve">Since money once transferred to WKI became commingled with other money, </w:t>
      </w:r>
      <w:r w:rsidR="00983529">
        <w:t xml:space="preserve">ownership passed, and </w:t>
      </w:r>
      <w:r w:rsidR="006E3BF5">
        <w:t>Whyte had no right to the money as a corporeal thing.</w:t>
      </w:r>
    </w:p>
    <w:p w14:paraId="36FA570B" w14:textId="1066D888" w:rsidR="00D95E5C" w:rsidRDefault="00A655EC" w:rsidP="00A655EC">
      <w:pPr>
        <w:pStyle w:val="JudgmentNumbered"/>
        <w:numPr>
          <w:ilvl w:val="0"/>
          <w:numId w:val="0"/>
        </w:numPr>
        <w:ind w:left="567" w:hanging="567"/>
      </w:pPr>
      <w:r>
        <w:t>[62]</w:t>
      </w:r>
      <w:r>
        <w:tab/>
      </w:r>
      <w:r w:rsidR="00D95E5C" w:rsidRPr="00EB6BA3">
        <w:t xml:space="preserve">As discussed earlier it is now accepted that a person other than an owner who has an interest is entitled to bring </w:t>
      </w:r>
      <w:r w:rsidR="00D95E5C">
        <w:t>the condictio (</w:t>
      </w:r>
      <w:r w:rsidR="00D95E5C" w:rsidRPr="00C66F91">
        <w:rPr>
          <w:i/>
          <w:iCs/>
        </w:rPr>
        <w:t>Clifford v Farinha</w:t>
      </w:r>
      <w:r w:rsidR="00D95E5C">
        <w:t xml:space="preserve">) and that the </w:t>
      </w:r>
      <w:r w:rsidR="00D95E5C" w:rsidRPr="00F36875">
        <w:rPr>
          <w:i/>
          <w:iCs/>
        </w:rPr>
        <w:t>condictio furtiva</w:t>
      </w:r>
      <w:r w:rsidR="00D95E5C">
        <w:t xml:space="preserve"> applies to persons who knowingly use another’s property without the owner’s permission, which is considered to be theft through use or </w:t>
      </w:r>
      <w:r w:rsidR="00D95E5C" w:rsidRPr="004225B0">
        <w:rPr>
          <w:i/>
          <w:iCs/>
        </w:rPr>
        <w:t>furtum usus</w:t>
      </w:r>
      <w:r w:rsidR="00D95E5C">
        <w:rPr>
          <w:i/>
          <w:iCs/>
        </w:rPr>
        <w:t>.</w:t>
      </w:r>
      <w:r w:rsidR="00D95E5C">
        <w:t xml:space="preserve">    </w:t>
      </w:r>
    </w:p>
    <w:p w14:paraId="5670D525" w14:textId="2EA5241A" w:rsidR="006E3BF5" w:rsidRPr="00945733" w:rsidRDefault="00A655EC" w:rsidP="00A655EC">
      <w:pPr>
        <w:pStyle w:val="JudgmentNumbered"/>
        <w:numPr>
          <w:ilvl w:val="0"/>
          <w:numId w:val="0"/>
        </w:numPr>
        <w:ind w:left="567" w:hanging="567"/>
      </w:pPr>
      <w:r w:rsidRPr="00945733">
        <w:t>[63]</w:t>
      </w:r>
      <w:r w:rsidRPr="00945733">
        <w:tab/>
      </w:r>
      <w:r w:rsidR="00D95E5C">
        <w:t>In</w:t>
      </w:r>
      <w:r w:rsidR="006E3BF5" w:rsidRPr="00945733">
        <w:t xml:space="preserve"> </w:t>
      </w:r>
      <w:r w:rsidR="006E3BF5" w:rsidRPr="00F4146B">
        <w:rPr>
          <w:bCs/>
          <w:i/>
          <w:iCs/>
        </w:rPr>
        <w:t>Chetty v Italtile Ceramics</w:t>
      </w:r>
      <w:r w:rsidR="006E3BF5" w:rsidRPr="00F4146B">
        <w:rPr>
          <w:rStyle w:val="FootnoteReference"/>
          <w:bCs/>
          <w:i/>
          <w:iCs/>
        </w:rPr>
        <w:footnoteReference w:id="41"/>
      </w:r>
      <w:r w:rsidR="006E3BF5" w:rsidRPr="00945733">
        <w:t xml:space="preserve"> the court made it clear that</w:t>
      </w:r>
      <w:r w:rsidR="00D84506">
        <w:t xml:space="preserve"> the </w:t>
      </w:r>
      <w:r w:rsidR="004C28F3">
        <w:t>notion of theft is wider at common law</w:t>
      </w:r>
      <w:r w:rsidR="006E3BF5" w:rsidRPr="00945733">
        <w:t xml:space="preserve"> – </w:t>
      </w:r>
    </w:p>
    <w:p w14:paraId="41ADBF9D" w14:textId="55C9A990" w:rsidR="006E3BF5" w:rsidRPr="00F4146B" w:rsidRDefault="006E54F2" w:rsidP="004941C3">
      <w:pPr>
        <w:pStyle w:val="JudgmentNumbered"/>
        <w:numPr>
          <w:ilvl w:val="0"/>
          <w:numId w:val="0"/>
        </w:numPr>
        <w:ind w:left="1440" w:right="379"/>
        <w:rPr>
          <w:iCs/>
          <w:sz w:val="22"/>
          <w:lang w:val="af-ZA"/>
        </w:rPr>
      </w:pPr>
      <w:r w:rsidRPr="00F4146B">
        <w:rPr>
          <w:sz w:val="22"/>
        </w:rPr>
        <w:lastRenderedPageBreak/>
        <w:t>“</w:t>
      </w:r>
      <w:r w:rsidR="006E3BF5" w:rsidRPr="00F4146B">
        <w:rPr>
          <w:iCs/>
          <w:sz w:val="22"/>
        </w:rPr>
        <w:t>The c</w:t>
      </w:r>
      <w:r w:rsidR="006E3BF5" w:rsidRPr="00F4146B">
        <w:rPr>
          <w:iCs/>
          <w:sz w:val="22"/>
          <w:lang w:val="af-ZA"/>
        </w:rPr>
        <w:t xml:space="preserve">ondictio furtiva is a remedy the owner of, or </w:t>
      </w:r>
      <w:r w:rsidR="006E3BF5" w:rsidRPr="00F4146B">
        <w:rPr>
          <w:iCs/>
          <w:sz w:val="22"/>
          <w:u w:val="single"/>
          <w:lang w:val="af-ZA"/>
        </w:rPr>
        <w:t>someone with an interest in,</w:t>
      </w:r>
      <w:r w:rsidR="008B6BD4">
        <w:rPr>
          <w:iCs/>
          <w:sz w:val="22"/>
          <w:u w:val="single"/>
          <w:lang w:val="af-ZA"/>
        </w:rPr>
        <w:t xml:space="preserve"> </w:t>
      </w:r>
      <w:r w:rsidR="006E3BF5" w:rsidRPr="00F4146B">
        <w:rPr>
          <w:iCs/>
          <w:sz w:val="22"/>
          <w:u w:val="single"/>
          <w:lang w:val="af-ZA"/>
        </w:rPr>
        <w:t>a thing</w:t>
      </w:r>
      <w:r w:rsidR="006E3BF5" w:rsidRPr="00F4146B">
        <w:rPr>
          <w:iCs/>
          <w:sz w:val="22"/>
          <w:lang w:val="af-ZA"/>
        </w:rPr>
        <w:t xml:space="preserve"> has against a thief and his heirs for damages. It is generally characterised as a delictual action. It is, of course, required that the object involved be stolen before the condictio can find application.</w:t>
      </w:r>
      <w:r w:rsidR="00A12ADA" w:rsidRPr="00F4146B">
        <w:rPr>
          <w:iCs/>
          <w:sz w:val="22"/>
          <w:lang w:val="af-ZA"/>
        </w:rPr>
        <w:t xml:space="preserve"> </w:t>
      </w:r>
      <w:r w:rsidR="006E3BF5" w:rsidRPr="00F4146B">
        <w:rPr>
          <w:iCs/>
          <w:sz w:val="22"/>
          <w:lang w:val="af-ZA"/>
        </w:rPr>
        <w:t xml:space="preserve">The law requires for the crime of theft </w:t>
      </w:r>
      <w:r w:rsidR="008B6BD4">
        <w:rPr>
          <w:iCs/>
          <w:sz w:val="22"/>
          <w:lang w:val="af-ZA"/>
        </w:rPr>
        <w:t>-</w:t>
      </w:r>
    </w:p>
    <w:p w14:paraId="419CB557" w14:textId="77777777" w:rsidR="006E3BF5" w:rsidRPr="00F4146B" w:rsidRDefault="006E3BF5" w:rsidP="004941C3">
      <w:pPr>
        <w:pStyle w:val="JudgmentNumbered"/>
        <w:numPr>
          <w:ilvl w:val="0"/>
          <w:numId w:val="0"/>
        </w:numPr>
        <w:ind w:left="1440" w:right="379"/>
        <w:rPr>
          <w:sz w:val="22"/>
          <w:lang w:val="af-ZA"/>
        </w:rPr>
      </w:pPr>
      <w:r w:rsidRPr="00F4146B">
        <w:rPr>
          <w:sz w:val="22"/>
          <w:lang w:val="af-ZA"/>
        </w:rPr>
        <w:t>......</w:t>
      </w:r>
    </w:p>
    <w:p w14:paraId="33E59323" w14:textId="444AAEB0" w:rsidR="006E3BF5" w:rsidRPr="00D84506" w:rsidRDefault="006E3BF5" w:rsidP="004941C3">
      <w:pPr>
        <w:pStyle w:val="JudgmentNumbered"/>
        <w:numPr>
          <w:ilvl w:val="0"/>
          <w:numId w:val="0"/>
        </w:numPr>
        <w:ind w:left="1440" w:right="379"/>
        <w:rPr>
          <w:sz w:val="22"/>
          <w:u w:val="single"/>
          <w:lang w:val="af-ZA"/>
        </w:rPr>
      </w:pPr>
      <w:r w:rsidRPr="00F4146B">
        <w:rPr>
          <w:iCs/>
          <w:sz w:val="22"/>
          <w:lang w:val="af-ZA"/>
        </w:rPr>
        <w:t>However, at common law ‘</w:t>
      </w:r>
      <w:r w:rsidRPr="00D84506">
        <w:rPr>
          <w:iCs/>
          <w:sz w:val="22"/>
          <w:u w:val="single"/>
          <w:lang w:val="af-ZA"/>
        </w:rPr>
        <w:t>theft’ has a wider meaning and includes furtum usus, or the appropriation of the use of another’s thing. Theft of the use of another person’s thing is no longer a crime. The condictio furtiva lies in all cases of theft</w:t>
      </w:r>
      <w:r w:rsidR="008B6BD4" w:rsidRPr="00D84506">
        <w:rPr>
          <w:iCs/>
          <w:sz w:val="22"/>
          <w:u w:val="single"/>
          <w:lang w:val="af-ZA"/>
        </w:rPr>
        <w:t xml:space="preserve"> -</w:t>
      </w:r>
      <w:r w:rsidRPr="00D84506">
        <w:rPr>
          <w:iCs/>
          <w:sz w:val="22"/>
          <w:u w:val="single"/>
          <w:lang w:val="af-ZA"/>
        </w:rPr>
        <w:t xml:space="preserve"> ‘whether the theft wreaked was one of proprietorship or of use or possession ... makes no difference to the possibility of the action being available</w:t>
      </w:r>
      <w:r w:rsidR="00970935" w:rsidRPr="00D84506">
        <w:rPr>
          <w:iCs/>
          <w:sz w:val="22"/>
          <w:u w:val="single"/>
          <w:lang w:val="af-ZA"/>
        </w:rPr>
        <w:t>’</w:t>
      </w:r>
      <w:r w:rsidRPr="00D84506">
        <w:rPr>
          <w:sz w:val="22"/>
          <w:u w:val="single"/>
          <w:lang w:val="af-ZA"/>
        </w:rPr>
        <w:t>.</w:t>
      </w:r>
      <w:r w:rsidR="006E54F2" w:rsidRPr="00D84506">
        <w:rPr>
          <w:sz w:val="22"/>
          <w:u w:val="single"/>
          <w:lang w:val="af-ZA"/>
        </w:rPr>
        <w:t>”</w:t>
      </w:r>
    </w:p>
    <w:p w14:paraId="090F47A4" w14:textId="4D116038" w:rsidR="006E3BF5" w:rsidRPr="00F4146B" w:rsidRDefault="00A655EC" w:rsidP="00A655EC">
      <w:pPr>
        <w:pStyle w:val="JudgmentNumbered"/>
        <w:numPr>
          <w:ilvl w:val="0"/>
          <w:numId w:val="0"/>
        </w:numPr>
        <w:ind w:left="720" w:hanging="720"/>
        <w:rPr>
          <w:iCs/>
          <w:lang w:val="en-ZA"/>
        </w:rPr>
      </w:pPr>
      <w:r w:rsidRPr="00F4146B">
        <w:rPr>
          <w:iCs/>
          <w:lang w:val="en-ZA"/>
        </w:rPr>
        <w:t>[64]</w:t>
      </w:r>
      <w:r w:rsidRPr="00F4146B">
        <w:rPr>
          <w:iCs/>
          <w:lang w:val="en-ZA"/>
        </w:rPr>
        <w:tab/>
      </w:r>
      <w:r w:rsidR="00D95E5C">
        <w:t>Turning now to consider the</w:t>
      </w:r>
      <w:r w:rsidR="004C28F3">
        <w:t xml:space="preserve"> nature of the</w:t>
      </w:r>
      <w:r w:rsidR="00D95E5C">
        <w:t xml:space="preserve"> thing (</w:t>
      </w:r>
      <w:r w:rsidR="00D95E5C" w:rsidRPr="00F21710">
        <w:rPr>
          <w:i/>
          <w:iCs/>
        </w:rPr>
        <w:t>res</w:t>
      </w:r>
      <w:r w:rsidR="00D95E5C">
        <w:t>) or nature of money, in</w:t>
      </w:r>
      <w:r w:rsidR="006E3BF5" w:rsidRPr="00945733">
        <w:t xml:space="preserve"> </w:t>
      </w:r>
      <w:r w:rsidR="006E3BF5" w:rsidRPr="00F4146B">
        <w:rPr>
          <w:bCs/>
          <w:i/>
          <w:iCs/>
        </w:rPr>
        <w:t>N</w:t>
      </w:r>
      <w:r w:rsidR="006E3BF5" w:rsidRPr="00F4146B">
        <w:rPr>
          <w:bCs/>
          <w:i/>
          <w:iCs/>
          <w:lang w:val="en-ZA"/>
        </w:rPr>
        <w:t>issan South Africa (Pty) Ltd. v Marnitz NO and Others</w:t>
      </w:r>
      <w:r w:rsidR="006E3BF5" w:rsidRPr="00F4146B">
        <w:rPr>
          <w:rStyle w:val="FootnoteReference"/>
          <w:bCs/>
          <w:i/>
          <w:iCs/>
          <w:lang w:val="en-ZA"/>
        </w:rPr>
        <w:footnoteReference w:id="42"/>
      </w:r>
      <w:r w:rsidR="006E3BF5" w:rsidRPr="00945733">
        <w:rPr>
          <w:i/>
          <w:iCs/>
          <w:lang w:val="en-ZA"/>
        </w:rPr>
        <w:t xml:space="preserve"> (</w:t>
      </w:r>
      <w:r w:rsidR="006E3BF5" w:rsidRPr="00945733">
        <w:rPr>
          <w:i/>
          <w:iCs/>
        </w:rPr>
        <w:t>Stand 186 Aeroport (Pty) Ltd. Intervening)</w:t>
      </w:r>
      <w:r w:rsidR="006E3BF5" w:rsidRPr="00F4146B">
        <w:rPr>
          <w:iCs/>
          <w:lang w:val="en-ZA"/>
        </w:rPr>
        <w:t xml:space="preserve"> </w:t>
      </w:r>
      <w:r w:rsidR="006E3BF5" w:rsidRPr="00945733">
        <w:t xml:space="preserve">the court in considering the nature of money </w:t>
      </w:r>
      <w:r w:rsidR="00F60FA2">
        <w:t xml:space="preserve">in </w:t>
      </w:r>
      <w:r w:rsidR="006E3BF5" w:rsidRPr="00945733">
        <w:t xml:space="preserve">modern times held – </w:t>
      </w:r>
    </w:p>
    <w:p w14:paraId="2A3C22FD" w14:textId="5F7D0581" w:rsidR="006E3BF5" w:rsidRPr="004941C3" w:rsidRDefault="003477AB" w:rsidP="004941C3">
      <w:pPr>
        <w:pStyle w:val="JudgmentNumbered"/>
        <w:numPr>
          <w:ilvl w:val="0"/>
          <w:numId w:val="0"/>
        </w:numPr>
        <w:ind w:left="1440" w:right="379"/>
        <w:rPr>
          <w:sz w:val="22"/>
        </w:rPr>
      </w:pPr>
      <w:r w:rsidRPr="004941C3">
        <w:rPr>
          <w:sz w:val="22"/>
        </w:rPr>
        <w:t>“</w:t>
      </w:r>
      <w:r w:rsidR="006E3BF5" w:rsidRPr="00F4146B">
        <w:rPr>
          <w:sz w:val="22"/>
        </w:rPr>
        <w:t>[24]…</w:t>
      </w:r>
      <w:r w:rsidR="006E3BF5" w:rsidRPr="004941C3">
        <w:rPr>
          <w:sz w:val="22"/>
        </w:rPr>
        <w:t>Where A hands over money to B mistakenly believing that the money is due to B, B, if he is aware of the mistake, is not entitled to appropriate the money. Ownership of the money does not pass from A to B. Should B in these circumstances appropriate the money such appropriation would constitute theft (R v Oelsen 1950 (2) PH H198; and S v Graham </w:t>
      </w:r>
      <w:hyperlink r:id="rId14" w:tooltip="View LawCiteRecord" w:history="1">
        <w:r w:rsidR="006E3BF5" w:rsidRPr="004941C3">
          <w:t>1975 (3) SA 569</w:t>
        </w:r>
      </w:hyperlink>
      <w:r w:rsidR="006E3BF5" w:rsidRPr="004941C3">
        <w:rPr>
          <w:sz w:val="22"/>
        </w:rPr>
        <w:t> (A) at 573E-H). In S v Graham</w:t>
      </w:r>
      <w:r w:rsidRPr="004941C3">
        <w:rPr>
          <w:sz w:val="22"/>
        </w:rPr>
        <w:t>,</w:t>
      </w:r>
      <w:r w:rsidR="006E3BF5" w:rsidRPr="004941C3">
        <w:rPr>
          <w:sz w:val="22"/>
        </w:rPr>
        <w:t> it was held that</w:t>
      </w:r>
      <w:r w:rsidRPr="004941C3">
        <w:rPr>
          <w:sz w:val="22"/>
        </w:rPr>
        <w:t>,</w:t>
      </w:r>
      <w:r w:rsidR="006E3BF5" w:rsidRPr="004941C3">
        <w:rPr>
          <w:sz w:val="22"/>
        </w:rPr>
        <w:t xml:space="preserve"> if A</w:t>
      </w:r>
      <w:r w:rsidRPr="004941C3">
        <w:rPr>
          <w:sz w:val="22"/>
        </w:rPr>
        <w:t>,</w:t>
      </w:r>
      <w:r w:rsidR="006E3BF5" w:rsidRPr="004941C3">
        <w:rPr>
          <w:sz w:val="22"/>
        </w:rPr>
        <w:t xml:space="preserve"> mistakenly thinking that an amount is due to B</w:t>
      </w:r>
      <w:r w:rsidRPr="004941C3">
        <w:rPr>
          <w:sz w:val="22"/>
        </w:rPr>
        <w:t>,</w:t>
      </w:r>
      <w:r w:rsidR="006E3BF5" w:rsidRPr="004941C3">
        <w:rPr>
          <w:sz w:val="22"/>
        </w:rPr>
        <w:t xml:space="preserve"> gives B a cheque in payment of that amount and B, knowing that the amount is not due, deposits the cheque, B commits theft of money although he has not appropriated money in the corporeal sense. It is B’s claim to be entitled to be credited with the amount of the cheque that constitutes the theft. This court was aware that its decision may not be strictly according to Roman-Dutch law but stated that the Roman-Dutch law was a living system adaptable to modern conditions. </w:t>
      </w:r>
      <w:bookmarkStart w:id="6" w:name="_Hlk159592487"/>
      <w:r w:rsidR="006E3BF5" w:rsidRPr="004941C3">
        <w:rPr>
          <w:sz w:val="22"/>
        </w:rPr>
        <w:t>As a result of the fact that ownership in specific coins no longer exists where resort is made to the modern system of banking and paying by cheque or kindred process</w:t>
      </w:r>
      <w:r w:rsidRPr="004941C3">
        <w:rPr>
          <w:sz w:val="22"/>
        </w:rPr>
        <w:t>,</w:t>
      </w:r>
      <w:r w:rsidR="006E3BF5" w:rsidRPr="004941C3">
        <w:rPr>
          <w:sz w:val="22"/>
        </w:rPr>
        <w:t xml:space="preserve"> </w:t>
      </w:r>
      <w:bookmarkEnd w:id="6"/>
      <w:r w:rsidR="006E3BF5" w:rsidRPr="004941C3">
        <w:rPr>
          <w:sz w:val="22"/>
        </w:rPr>
        <w:t xml:space="preserve">this </w:t>
      </w:r>
      <w:r w:rsidRPr="004941C3">
        <w:rPr>
          <w:sz w:val="22"/>
        </w:rPr>
        <w:t>C</w:t>
      </w:r>
      <w:r w:rsidR="006E3BF5" w:rsidRPr="004941C3">
        <w:rPr>
          <w:sz w:val="22"/>
        </w:rPr>
        <w:t xml:space="preserve">ourt came to </w:t>
      </w:r>
      <w:r w:rsidR="006E3BF5" w:rsidRPr="004941C3">
        <w:rPr>
          <w:sz w:val="22"/>
        </w:rPr>
        <w:lastRenderedPageBreak/>
        <w:t xml:space="preserve">regard money as being stolen even where it is not corporeal cash but is represented by a credit entry in books of account. </w:t>
      </w:r>
    </w:p>
    <w:p w14:paraId="60171787" w14:textId="3CC4479D" w:rsidR="006E3BF5" w:rsidRPr="00F4146B" w:rsidRDefault="006E3BF5" w:rsidP="004941C3">
      <w:pPr>
        <w:pStyle w:val="JudgmentNumbered"/>
        <w:numPr>
          <w:ilvl w:val="0"/>
          <w:numId w:val="0"/>
        </w:numPr>
        <w:ind w:left="1440" w:right="379"/>
        <w:rPr>
          <w:sz w:val="22"/>
          <w:u w:val="single"/>
        </w:rPr>
      </w:pPr>
      <w:r w:rsidRPr="00F4146B">
        <w:rPr>
          <w:sz w:val="22"/>
        </w:rPr>
        <w:t xml:space="preserve">[25] </w:t>
      </w:r>
      <w:r w:rsidRPr="004941C3">
        <w:rPr>
          <w:sz w:val="22"/>
        </w:rPr>
        <w:t xml:space="preserve">The position can be no different where A, instead of paying by cheque, deposits the amount into the bank account of </w:t>
      </w:r>
      <w:r w:rsidRPr="00F4146B">
        <w:rPr>
          <w:iCs/>
          <w:sz w:val="22"/>
        </w:rPr>
        <w:t xml:space="preserve">B. Just as B is not entitled to claim entitlement to be credited with the proceeds of a cheque mistakenly handed to him, </w:t>
      </w:r>
      <w:r w:rsidRPr="00F4146B">
        <w:rPr>
          <w:iCs/>
          <w:sz w:val="22"/>
          <w:u w:val="single"/>
        </w:rPr>
        <w:t>he is not entitled to claim entitlement to a credit because of an amount mistakenly transferred to his bank account. Should he appropriate the amount so transferred, ie should he withdraw the amount so credited, not to repay it to the transferor but to use it for his own purposes, well knowing that it is not due to him, he is equally guilty of theft.”</w:t>
      </w:r>
      <w:r w:rsidR="003477AB" w:rsidRPr="00F708EF" w:rsidDel="003477AB">
        <w:rPr>
          <w:rStyle w:val="FootnoteReference"/>
          <w:sz w:val="22"/>
          <w:u w:val="single"/>
        </w:rPr>
        <w:t xml:space="preserve"> </w:t>
      </w:r>
      <w:r w:rsidRPr="00F4146B">
        <w:rPr>
          <w:sz w:val="22"/>
          <w:u w:val="single"/>
        </w:rPr>
        <w:t>(my emphasis).</w:t>
      </w:r>
    </w:p>
    <w:p w14:paraId="78D8DB01" w14:textId="27644755" w:rsidR="00314002" w:rsidRPr="00817747" w:rsidRDefault="00A655EC" w:rsidP="00A655EC">
      <w:pPr>
        <w:pStyle w:val="JudgmentNumbered"/>
        <w:numPr>
          <w:ilvl w:val="0"/>
          <w:numId w:val="0"/>
        </w:numPr>
        <w:ind w:left="720" w:hanging="720"/>
        <w:rPr>
          <w:szCs w:val="24"/>
        </w:rPr>
      </w:pPr>
      <w:r w:rsidRPr="00817747">
        <w:rPr>
          <w:szCs w:val="24"/>
        </w:rPr>
        <w:t>[65]</w:t>
      </w:r>
      <w:r w:rsidRPr="00817747">
        <w:rPr>
          <w:szCs w:val="24"/>
        </w:rPr>
        <w:tab/>
      </w:r>
      <w:r w:rsidR="00F60FA2">
        <w:rPr>
          <w:szCs w:val="24"/>
        </w:rPr>
        <w:t>Hence, u</w:t>
      </w:r>
      <w:r w:rsidR="00D95E5C">
        <w:rPr>
          <w:szCs w:val="24"/>
        </w:rPr>
        <w:t>nlike</w:t>
      </w:r>
      <w:r w:rsidR="006E3BF5" w:rsidRPr="00945733">
        <w:rPr>
          <w:szCs w:val="24"/>
        </w:rPr>
        <w:t xml:space="preserve"> in Roman times, ownership in specific coins</w:t>
      </w:r>
      <w:r w:rsidR="00D95E5C">
        <w:rPr>
          <w:szCs w:val="24"/>
        </w:rPr>
        <w:t xml:space="preserve"> </w:t>
      </w:r>
      <w:r w:rsidR="00D95E5C">
        <w:t>used as currency</w:t>
      </w:r>
      <w:r w:rsidR="00D95E5C" w:rsidRPr="00945733">
        <w:rPr>
          <w:rStyle w:val="FootnoteReference"/>
          <w:szCs w:val="24"/>
        </w:rPr>
        <w:t xml:space="preserve"> </w:t>
      </w:r>
      <w:r w:rsidR="006E3BF5" w:rsidRPr="00945733">
        <w:rPr>
          <w:szCs w:val="24"/>
        </w:rPr>
        <w:t>no longer exists.</w:t>
      </w:r>
      <w:r w:rsidR="00D95E5C" w:rsidRPr="00D95E5C">
        <w:rPr>
          <w:rStyle w:val="FootnoteReference"/>
        </w:rPr>
        <w:t xml:space="preserve"> </w:t>
      </w:r>
      <w:r w:rsidR="00D95E5C">
        <w:rPr>
          <w:rStyle w:val="FootnoteReference"/>
        </w:rPr>
        <w:footnoteReference w:id="43"/>
      </w:r>
      <w:r w:rsidR="006E3BF5" w:rsidRPr="00945733">
        <w:rPr>
          <w:szCs w:val="24"/>
        </w:rPr>
        <w:t xml:space="preserve"> I</w:t>
      </w:r>
      <w:r w:rsidR="006E3BF5" w:rsidRPr="00351651">
        <w:rPr>
          <w:szCs w:val="24"/>
        </w:rPr>
        <w:t xml:space="preserve">n modern times where payments are made by cheque (fast becoming obsolete), </w:t>
      </w:r>
      <w:r w:rsidR="00D95E5C">
        <w:rPr>
          <w:szCs w:val="24"/>
        </w:rPr>
        <w:t xml:space="preserve">or </w:t>
      </w:r>
      <w:r w:rsidR="006E3BF5" w:rsidRPr="00351651">
        <w:rPr>
          <w:szCs w:val="24"/>
        </w:rPr>
        <w:t>electronic trans</w:t>
      </w:r>
      <w:r w:rsidR="006E3BF5" w:rsidRPr="00817747">
        <w:rPr>
          <w:szCs w:val="24"/>
        </w:rPr>
        <w:t>fer</w:t>
      </w:r>
      <w:r w:rsidR="00D95E5C">
        <w:rPr>
          <w:szCs w:val="24"/>
        </w:rPr>
        <w:t>,</w:t>
      </w:r>
      <w:r w:rsidR="006E3BF5" w:rsidRPr="00817747">
        <w:rPr>
          <w:szCs w:val="24"/>
        </w:rPr>
        <w:t xml:space="preserve"> money may be represented by a credit entry in the books of account of a person. Such books may include physical ledgers</w:t>
      </w:r>
      <w:r w:rsidR="006E3BF5" w:rsidRPr="00945733">
        <w:rPr>
          <w:rStyle w:val="FootnoteReference"/>
          <w:szCs w:val="24"/>
        </w:rPr>
        <w:footnoteReference w:id="44"/>
      </w:r>
      <w:r w:rsidR="006E3BF5" w:rsidRPr="00945733">
        <w:rPr>
          <w:szCs w:val="24"/>
        </w:rPr>
        <w:t xml:space="preserve"> or </w:t>
      </w:r>
      <w:r w:rsidR="00AD46D0" w:rsidRPr="00945733">
        <w:rPr>
          <w:szCs w:val="24"/>
        </w:rPr>
        <w:t xml:space="preserve">virtual </w:t>
      </w:r>
      <w:r w:rsidR="006E3BF5" w:rsidRPr="00945733">
        <w:rPr>
          <w:szCs w:val="24"/>
        </w:rPr>
        <w:t>bank accounts</w:t>
      </w:r>
      <w:r w:rsidR="00266296" w:rsidRPr="00351651">
        <w:rPr>
          <w:szCs w:val="24"/>
        </w:rPr>
        <w:t xml:space="preserve">. </w:t>
      </w:r>
    </w:p>
    <w:p w14:paraId="0224FD3B" w14:textId="6036C395" w:rsidR="00D95E5C" w:rsidRDefault="00A655EC" w:rsidP="00A655EC">
      <w:pPr>
        <w:pStyle w:val="JudgmentNumbered"/>
        <w:numPr>
          <w:ilvl w:val="0"/>
          <w:numId w:val="0"/>
        </w:numPr>
        <w:ind w:left="720" w:hanging="720"/>
        <w:rPr>
          <w:szCs w:val="24"/>
        </w:rPr>
      </w:pPr>
      <w:r>
        <w:rPr>
          <w:szCs w:val="24"/>
        </w:rPr>
        <w:t>[66]</w:t>
      </w:r>
      <w:r>
        <w:rPr>
          <w:szCs w:val="24"/>
        </w:rPr>
        <w:tab/>
      </w:r>
      <w:r w:rsidR="00196281" w:rsidRPr="003340C1">
        <w:rPr>
          <w:szCs w:val="24"/>
        </w:rPr>
        <w:t>The</w:t>
      </w:r>
      <w:r w:rsidR="006E3BF5" w:rsidRPr="003340C1">
        <w:rPr>
          <w:szCs w:val="24"/>
        </w:rPr>
        <w:t xml:space="preserve"> </w:t>
      </w:r>
      <w:r w:rsidR="006E3BF5" w:rsidRPr="00064FED">
        <w:rPr>
          <w:i/>
          <w:iCs/>
          <w:szCs w:val="24"/>
        </w:rPr>
        <w:t>condictio furtiva</w:t>
      </w:r>
      <w:r w:rsidR="006E3BF5" w:rsidRPr="00064FED">
        <w:rPr>
          <w:szCs w:val="24"/>
        </w:rPr>
        <w:t xml:space="preserve"> </w:t>
      </w:r>
      <w:r w:rsidR="00314002" w:rsidRPr="00064FED">
        <w:rPr>
          <w:szCs w:val="24"/>
        </w:rPr>
        <w:t xml:space="preserve">is </w:t>
      </w:r>
      <w:r w:rsidR="00F60FA2">
        <w:rPr>
          <w:szCs w:val="24"/>
        </w:rPr>
        <w:t xml:space="preserve">therefore </w:t>
      </w:r>
      <w:r w:rsidR="006E3BF5" w:rsidRPr="00064FED">
        <w:rPr>
          <w:szCs w:val="24"/>
        </w:rPr>
        <w:t xml:space="preserve">available to Whyte, as someone with an interest, where money </w:t>
      </w:r>
      <w:r w:rsidR="00F60FA2">
        <w:rPr>
          <w:szCs w:val="24"/>
        </w:rPr>
        <w:t xml:space="preserve">represented by </w:t>
      </w:r>
      <w:r w:rsidR="006E3BF5" w:rsidRPr="00064FED">
        <w:rPr>
          <w:szCs w:val="24"/>
        </w:rPr>
        <w:t>a credit entry in the transferee’s bank account</w:t>
      </w:r>
      <w:r w:rsidR="00D95E5C">
        <w:rPr>
          <w:szCs w:val="24"/>
        </w:rPr>
        <w:t xml:space="preserve">, </w:t>
      </w:r>
      <w:r w:rsidR="006E3BF5" w:rsidRPr="00064FED">
        <w:rPr>
          <w:szCs w:val="24"/>
        </w:rPr>
        <w:t xml:space="preserve">paid by FPI and which is </w:t>
      </w:r>
      <w:r w:rsidR="00703EF7" w:rsidRPr="00064FED">
        <w:rPr>
          <w:szCs w:val="24"/>
        </w:rPr>
        <w:t>then deducted from him as a</w:t>
      </w:r>
      <w:r w:rsidR="00D95E5C">
        <w:rPr>
          <w:szCs w:val="24"/>
        </w:rPr>
        <w:t xml:space="preserve"> debit </w:t>
      </w:r>
      <w:r w:rsidR="00703EF7" w:rsidRPr="00064FED">
        <w:rPr>
          <w:szCs w:val="24"/>
        </w:rPr>
        <w:t xml:space="preserve">entry on his investment account.  </w:t>
      </w:r>
    </w:p>
    <w:p w14:paraId="745FA247" w14:textId="38884E75" w:rsidR="00703EF7" w:rsidRPr="00B175C0" w:rsidRDefault="00A655EC" w:rsidP="00A655EC">
      <w:pPr>
        <w:pStyle w:val="JudgmentNumbered"/>
        <w:numPr>
          <w:ilvl w:val="0"/>
          <w:numId w:val="0"/>
        </w:numPr>
        <w:ind w:left="720" w:hanging="720"/>
        <w:rPr>
          <w:szCs w:val="24"/>
        </w:rPr>
      </w:pPr>
      <w:r w:rsidRPr="00B175C0">
        <w:rPr>
          <w:szCs w:val="24"/>
        </w:rPr>
        <w:t>[67]</w:t>
      </w:r>
      <w:r w:rsidRPr="00B175C0">
        <w:rPr>
          <w:szCs w:val="24"/>
        </w:rPr>
        <w:tab/>
      </w:r>
      <w:r w:rsidR="00196281" w:rsidRPr="00B175C0">
        <w:rPr>
          <w:szCs w:val="24"/>
        </w:rPr>
        <w:t xml:space="preserve">A transfer to WKI by FPI of money which is then </w:t>
      </w:r>
      <w:r w:rsidR="00F60FA2">
        <w:rPr>
          <w:szCs w:val="24"/>
        </w:rPr>
        <w:t>deducted</w:t>
      </w:r>
      <w:r w:rsidR="00196281" w:rsidRPr="00B175C0">
        <w:rPr>
          <w:szCs w:val="24"/>
        </w:rPr>
        <w:t xml:space="preserve"> from Whyte’s investment capital amounts to patrimonial loss for him.</w:t>
      </w:r>
    </w:p>
    <w:p w14:paraId="6EAE509F" w14:textId="171FC2FE" w:rsidR="00EB3534" w:rsidRPr="004F72FF" w:rsidRDefault="00A655EC" w:rsidP="00A655EC">
      <w:pPr>
        <w:pStyle w:val="JudgmentNumbered"/>
        <w:numPr>
          <w:ilvl w:val="0"/>
          <w:numId w:val="0"/>
        </w:numPr>
        <w:ind w:left="720" w:hanging="720"/>
        <w:rPr>
          <w:szCs w:val="24"/>
          <w:lang w:val="en-ZA"/>
        </w:rPr>
      </w:pPr>
      <w:r w:rsidRPr="004F72FF">
        <w:rPr>
          <w:szCs w:val="24"/>
          <w:lang w:val="en-ZA"/>
        </w:rPr>
        <w:t>[68]</w:t>
      </w:r>
      <w:r w:rsidRPr="004F72FF">
        <w:rPr>
          <w:szCs w:val="24"/>
          <w:lang w:val="en-ZA"/>
        </w:rPr>
        <w:tab/>
      </w:r>
      <w:r w:rsidR="00EB3534" w:rsidRPr="004F72FF">
        <w:rPr>
          <w:szCs w:val="24"/>
        </w:rPr>
        <w:t xml:space="preserve">Swanepoel AJ found that Kruger and Guthrie were liable for the amount of </w:t>
      </w:r>
      <w:bookmarkStart w:id="7" w:name="_Hlk159779738"/>
      <w:r w:rsidR="00EB3534" w:rsidRPr="004F72FF">
        <w:rPr>
          <w:szCs w:val="24"/>
        </w:rPr>
        <w:t>R2 056 362.63</w:t>
      </w:r>
      <w:bookmarkEnd w:id="7"/>
      <w:r w:rsidR="00EB3534" w:rsidRPr="004F72FF">
        <w:rPr>
          <w:szCs w:val="24"/>
        </w:rPr>
        <w:t xml:space="preserve">. His conclusions were based on accepting the </w:t>
      </w:r>
      <w:r w:rsidR="00EB3534" w:rsidRPr="004F72FF">
        <w:rPr>
          <w:i/>
          <w:iCs/>
          <w:szCs w:val="24"/>
        </w:rPr>
        <w:t>bona fides</w:t>
      </w:r>
      <w:r w:rsidR="00EB3534" w:rsidRPr="004F72FF">
        <w:rPr>
          <w:szCs w:val="24"/>
        </w:rPr>
        <w:t xml:space="preserve"> of Kruger and Guthrie and making a credibility finding against Pretorius.  In other words, on his analysis Pretorius acted wrongfully by misrepresenting to FPI that WKI was entitled to a 7% commission.  Kruger and Guthrie acted wrongfully only in relation to the R2 056 362.62 because when they spent the R881 298.28 they were under the erroneous belief that they were entitled to do so. They did not have any fault in the disbursement of the 30%. However, when they became </w:t>
      </w:r>
      <w:r w:rsidR="00EB3534" w:rsidRPr="004F72FF">
        <w:rPr>
          <w:szCs w:val="24"/>
        </w:rPr>
        <w:lastRenderedPageBreak/>
        <w:t xml:space="preserve">aware of the fact that the money was not due to WKI they nevertheless spent the rest being </w:t>
      </w:r>
      <w:bookmarkStart w:id="8" w:name="_Hlk160104431"/>
      <w:r w:rsidR="00EB3534" w:rsidRPr="004F72FF">
        <w:rPr>
          <w:szCs w:val="24"/>
        </w:rPr>
        <w:t>R2 056 362.62</w:t>
      </w:r>
      <w:bookmarkEnd w:id="8"/>
      <w:r w:rsidR="00EB3534" w:rsidRPr="004F72FF">
        <w:rPr>
          <w:szCs w:val="24"/>
        </w:rPr>
        <w:t xml:space="preserve">.  </w:t>
      </w:r>
    </w:p>
    <w:p w14:paraId="0468D4C1" w14:textId="6829654A" w:rsidR="00D95E5C" w:rsidRPr="00D95E5C" w:rsidRDefault="00A655EC" w:rsidP="00A655EC">
      <w:pPr>
        <w:pStyle w:val="JudgmentNumbered"/>
        <w:numPr>
          <w:ilvl w:val="0"/>
          <w:numId w:val="0"/>
        </w:numPr>
        <w:ind w:left="720" w:hanging="720"/>
        <w:rPr>
          <w:szCs w:val="24"/>
          <w:lang w:val="en-ZA"/>
        </w:rPr>
      </w:pPr>
      <w:r w:rsidRPr="00D95E5C">
        <w:rPr>
          <w:szCs w:val="24"/>
          <w:lang w:val="en-ZA"/>
        </w:rPr>
        <w:t>[69]</w:t>
      </w:r>
      <w:r w:rsidRPr="00D95E5C">
        <w:rPr>
          <w:szCs w:val="24"/>
          <w:lang w:val="en-ZA"/>
        </w:rPr>
        <w:tab/>
      </w:r>
      <w:r w:rsidR="007B50EC" w:rsidRPr="004F72FF">
        <w:rPr>
          <w:szCs w:val="24"/>
        </w:rPr>
        <w:t>Of the R2 056 362.62 w</w:t>
      </w:r>
      <w:r w:rsidR="000427F3" w:rsidRPr="004F72FF">
        <w:rPr>
          <w:szCs w:val="24"/>
        </w:rPr>
        <w:t>e</w:t>
      </w:r>
      <w:r w:rsidR="002D152B">
        <w:rPr>
          <w:szCs w:val="24"/>
        </w:rPr>
        <w:t xml:space="preserve"> now</w:t>
      </w:r>
      <w:r w:rsidR="009F59D2" w:rsidRPr="004F72FF">
        <w:rPr>
          <w:szCs w:val="24"/>
        </w:rPr>
        <w:t xml:space="preserve"> know that </w:t>
      </w:r>
      <w:r w:rsidR="00B66CB1" w:rsidRPr="004F72FF">
        <w:rPr>
          <w:szCs w:val="24"/>
        </w:rPr>
        <w:t xml:space="preserve">Pretorius had </w:t>
      </w:r>
      <w:r w:rsidR="0013297A" w:rsidRPr="004F72FF">
        <w:rPr>
          <w:szCs w:val="24"/>
        </w:rPr>
        <w:t xml:space="preserve">already </w:t>
      </w:r>
      <w:r w:rsidR="00B66CB1" w:rsidRPr="004F72FF">
        <w:rPr>
          <w:szCs w:val="24"/>
        </w:rPr>
        <w:t xml:space="preserve">refunded the amount of </w:t>
      </w:r>
      <w:r w:rsidR="006A6D45" w:rsidRPr="004F72FF">
        <w:rPr>
          <w:szCs w:val="24"/>
        </w:rPr>
        <w:t>R1</w:t>
      </w:r>
      <w:r w:rsidR="007B50EC" w:rsidRPr="004F72FF">
        <w:rPr>
          <w:szCs w:val="24"/>
        </w:rPr>
        <w:t> </w:t>
      </w:r>
      <w:r w:rsidR="006A6D45" w:rsidRPr="004F72FF">
        <w:rPr>
          <w:szCs w:val="24"/>
        </w:rPr>
        <w:t>54</w:t>
      </w:r>
      <w:r w:rsidR="007B50EC" w:rsidRPr="004F72FF">
        <w:rPr>
          <w:szCs w:val="24"/>
        </w:rPr>
        <w:t>0</w:t>
      </w:r>
      <w:r w:rsidR="00160ACA" w:rsidRPr="004F72FF">
        <w:rPr>
          <w:szCs w:val="24"/>
        </w:rPr>
        <w:t> </w:t>
      </w:r>
      <w:r w:rsidR="007B50EC" w:rsidRPr="004F72FF">
        <w:rPr>
          <w:szCs w:val="24"/>
        </w:rPr>
        <w:t>00</w:t>
      </w:r>
      <w:r w:rsidR="00160ACA" w:rsidRPr="004F72FF">
        <w:rPr>
          <w:szCs w:val="24"/>
        </w:rPr>
        <w:t>0.00</w:t>
      </w:r>
      <w:r w:rsidR="006A6D45" w:rsidRPr="004F72FF">
        <w:rPr>
          <w:szCs w:val="24"/>
        </w:rPr>
        <w:t xml:space="preserve"> </w:t>
      </w:r>
      <w:r w:rsidR="00B66CB1" w:rsidRPr="004F72FF">
        <w:rPr>
          <w:szCs w:val="24"/>
        </w:rPr>
        <w:t>by 28 February 2019.</w:t>
      </w:r>
      <w:r w:rsidR="000D1237" w:rsidRPr="004F72FF">
        <w:rPr>
          <w:szCs w:val="24"/>
        </w:rPr>
        <w:t xml:space="preserve"> </w:t>
      </w:r>
    </w:p>
    <w:p w14:paraId="2B942C27" w14:textId="3F60304A" w:rsidR="00B66CB1" w:rsidRPr="00D95E5C" w:rsidRDefault="00A655EC" w:rsidP="00A655EC">
      <w:pPr>
        <w:pStyle w:val="JudgmentNumbered"/>
        <w:numPr>
          <w:ilvl w:val="0"/>
          <w:numId w:val="0"/>
        </w:numPr>
        <w:ind w:left="720" w:hanging="720"/>
        <w:rPr>
          <w:szCs w:val="24"/>
          <w:lang w:val="en-ZA"/>
        </w:rPr>
      </w:pPr>
      <w:r w:rsidRPr="00D95E5C">
        <w:rPr>
          <w:szCs w:val="24"/>
          <w:lang w:val="en-ZA"/>
        </w:rPr>
        <w:t>[70]</w:t>
      </w:r>
      <w:r w:rsidRPr="00D95E5C">
        <w:rPr>
          <w:szCs w:val="24"/>
          <w:lang w:val="en-ZA"/>
        </w:rPr>
        <w:tab/>
      </w:r>
      <w:r w:rsidR="000C59C3" w:rsidRPr="004F72FF">
        <w:rPr>
          <w:szCs w:val="24"/>
        </w:rPr>
        <w:t xml:space="preserve">By the time they received the R1 54m from </w:t>
      </w:r>
      <w:r w:rsidR="00905F6F" w:rsidRPr="004F72FF">
        <w:rPr>
          <w:szCs w:val="24"/>
        </w:rPr>
        <w:t>Pretorius</w:t>
      </w:r>
      <w:r w:rsidR="000C59C3" w:rsidRPr="004F72FF">
        <w:rPr>
          <w:szCs w:val="24"/>
        </w:rPr>
        <w:t xml:space="preserve"> on </w:t>
      </w:r>
      <w:r w:rsidR="00905F6F" w:rsidRPr="004F72FF">
        <w:rPr>
          <w:szCs w:val="24"/>
        </w:rPr>
        <w:t>28 February 2019</w:t>
      </w:r>
      <w:r w:rsidR="003564AE" w:rsidRPr="004F72FF">
        <w:rPr>
          <w:szCs w:val="24"/>
        </w:rPr>
        <w:t xml:space="preserve">, Kruger and Guthrie </w:t>
      </w:r>
      <w:r w:rsidR="00905F6F" w:rsidRPr="004F72FF">
        <w:rPr>
          <w:szCs w:val="24"/>
        </w:rPr>
        <w:t>knew</w:t>
      </w:r>
      <w:r w:rsidR="009F59D2" w:rsidRPr="004F72FF">
        <w:rPr>
          <w:szCs w:val="24"/>
        </w:rPr>
        <w:t xml:space="preserve"> without a doubt</w:t>
      </w:r>
      <w:r w:rsidR="00905F6F" w:rsidRPr="004F72FF">
        <w:rPr>
          <w:szCs w:val="24"/>
        </w:rPr>
        <w:t xml:space="preserve"> that they were not entitled to use the money. </w:t>
      </w:r>
      <w:r w:rsidR="003564AE" w:rsidRPr="004F72FF">
        <w:rPr>
          <w:szCs w:val="24"/>
        </w:rPr>
        <w:t xml:space="preserve">They nevertheless </w:t>
      </w:r>
      <w:r w:rsidR="00A5478B" w:rsidRPr="004F72FF">
        <w:rPr>
          <w:szCs w:val="24"/>
        </w:rPr>
        <w:t>intentionally and wrongfully retained and used the money.</w:t>
      </w:r>
      <w:r w:rsidR="000427F3" w:rsidRPr="004F72FF">
        <w:rPr>
          <w:szCs w:val="24"/>
        </w:rPr>
        <w:t xml:space="preserve">  </w:t>
      </w:r>
    </w:p>
    <w:p w14:paraId="3E650B68" w14:textId="535001C1" w:rsidR="00D95E5C" w:rsidRDefault="00A655EC" w:rsidP="00A655EC">
      <w:pPr>
        <w:pStyle w:val="JudgmentNumbered"/>
        <w:numPr>
          <w:ilvl w:val="0"/>
          <w:numId w:val="0"/>
        </w:numPr>
        <w:ind w:left="709" w:hanging="709"/>
      </w:pPr>
      <w:r>
        <w:t>[71]</w:t>
      </w:r>
      <w:r>
        <w:tab/>
      </w:r>
      <w:r w:rsidR="00D95E5C">
        <w:t xml:space="preserve">Kruger and Guthrie are the controlling minds of WKI. As directors of WKI they were in control and possession of the finances of the juristic </w:t>
      </w:r>
      <w:r w:rsidR="00D95E5C" w:rsidRPr="0001662A">
        <w:rPr>
          <w:i/>
          <w:iCs/>
        </w:rPr>
        <w:t>persona</w:t>
      </w:r>
      <w:r w:rsidR="00D95E5C">
        <w:t xml:space="preserve"> and by all accounts still are. To date, even with the offer of £130 000 on the table they continue to ‘</w:t>
      </w:r>
      <w:r w:rsidR="00D95E5C">
        <w:rPr>
          <w:i/>
          <w:iCs/>
        </w:rPr>
        <w:t xml:space="preserve">possess and </w:t>
      </w:r>
      <w:r w:rsidR="00D95E5C" w:rsidRPr="001D6F15">
        <w:rPr>
          <w:i/>
          <w:iCs/>
        </w:rPr>
        <w:t>use</w:t>
      </w:r>
      <w:r w:rsidR="00D95E5C">
        <w:rPr>
          <w:i/>
          <w:iCs/>
        </w:rPr>
        <w:t xml:space="preserve">’ </w:t>
      </w:r>
      <w:r w:rsidR="00D95E5C">
        <w:t>the money. They have admitted that the money was used by them to pay creditors and the like. This is not only a benefit to the shareholders but also to them as directors.</w:t>
      </w:r>
    </w:p>
    <w:p w14:paraId="0B0C3B4B" w14:textId="306950DD" w:rsidR="000F3AEA" w:rsidRPr="00945733" w:rsidRDefault="00A655EC" w:rsidP="00A655EC">
      <w:pPr>
        <w:pStyle w:val="JudgmentNumbered"/>
        <w:numPr>
          <w:ilvl w:val="0"/>
          <w:numId w:val="0"/>
        </w:numPr>
        <w:ind w:left="709" w:hanging="709"/>
        <w:rPr>
          <w:szCs w:val="24"/>
        </w:rPr>
      </w:pPr>
      <w:r w:rsidRPr="00945733">
        <w:rPr>
          <w:szCs w:val="24"/>
        </w:rPr>
        <w:t>[72]</w:t>
      </w:r>
      <w:r w:rsidRPr="00945733">
        <w:rPr>
          <w:szCs w:val="24"/>
        </w:rPr>
        <w:tab/>
      </w:r>
      <w:r w:rsidR="00F60FA2">
        <w:rPr>
          <w:szCs w:val="24"/>
        </w:rPr>
        <w:t xml:space="preserve">Given that there is no evidence what happened to the </w:t>
      </w:r>
      <w:r w:rsidR="00160ACA" w:rsidRPr="004F72FF">
        <w:rPr>
          <w:szCs w:val="24"/>
        </w:rPr>
        <w:t xml:space="preserve">balance of the R2 056 362.62 </w:t>
      </w:r>
      <w:r w:rsidR="00712011" w:rsidRPr="004F72FF">
        <w:rPr>
          <w:szCs w:val="24"/>
        </w:rPr>
        <w:t xml:space="preserve">Kruger and Guthrie </w:t>
      </w:r>
      <w:r w:rsidR="00301786" w:rsidRPr="004F72FF">
        <w:rPr>
          <w:szCs w:val="24"/>
        </w:rPr>
        <w:t>can only be held liab</w:t>
      </w:r>
      <w:r w:rsidR="00A3756F" w:rsidRPr="004F72FF">
        <w:rPr>
          <w:szCs w:val="24"/>
        </w:rPr>
        <w:t xml:space="preserve">le under the </w:t>
      </w:r>
      <w:r w:rsidR="00A3756F" w:rsidRPr="004F72FF">
        <w:rPr>
          <w:i/>
          <w:iCs/>
          <w:szCs w:val="24"/>
        </w:rPr>
        <w:t>condictio furtiva</w:t>
      </w:r>
      <w:r w:rsidR="00A3756F" w:rsidRPr="004F72FF">
        <w:rPr>
          <w:szCs w:val="24"/>
        </w:rPr>
        <w:t xml:space="preserve"> for R1.54</w:t>
      </w:r>
      <w:r w:rsidR="00A12ADA" w:rsidRPr="004F72FF">
        <w:rPr>
          <w:szCs w:val="24"/>
        </w:rPr>
        <w:t xml:space="preserve"> million</w:t>
      </w:r>
      <w:r w:rsidR="00F60FA2">
        <w:rPr>
          <w:szCs w:val="24"/>
        </w:rPr>
        <w:t>,</w:t>
      </w:r>
      <w:r w:rsidR="00A3756F" w:rsidRPr="004F72FF">
        <w:rPr>
          <w:szCs w:val="24"/>
        </w:rPr>
        <w:t xml:space="preserve"> an amount that </w:t>
      </w:r>
      <w:r w:rsidR="008A5D89" w:rsidRPr="004F72FF">
        <w:rPr>
          <w:szCs w:val="24"/>
        </w:rPr>
        <w:t xml:space="preserve">they </w:t>
      </w:r>
      <w:r w:rsidR="00A3756F" w:rsidRPr="004F72FF">
        <w:rPr>
          <w:szCs w:val="24"/>
        </w:rPr>
        <w:t>knew without any doubt that they were not entitled to use or possess</w:t>
      </w:r>
      <w:r w:rsidR="00A3756F" w:rsidRPr="00945733">
        <w:rPr>
          <w:szCs w:val="24"/>
        </w:rPr>
        <w:t xml:space="preserve">. </w:t>
      </w:r>
    </w:p>
    <w:p w14:paraId="19584670" w14:textId="052786FD" w:rsidR="003C1354" w:rsidRPr="00F4146B" w:rsidRDefault="00A84D8C">
      <w:pPr>
        <w:pStyle w:val="JudgmentNumbered"/>
        <w:numPr>
          <w:ilvl w:val="0"/>
          <w:numId w:val="0"/>
        </w:numPr>
        <w:rPr>
          <w:bCs/>
          <w:i/>
          <w:szCs w:val="24"/>
        </w:rPr>
      </w:pPr>
      <w:r w:rsidRPr="00F4146B">
        <w:rPr>
          <w:bCs/>
          <w:i/>
          <w:szCs w:val="24"/>
        </w:rPr>
        <w:t>ORDER</w:t>
      </w:r>
    </w:p>
    <w:p w14:paraId="216B7224" w14:textId="1E72AD26" w:rsidR="001A3C3E" w:rsidRPr="00351651" w:rsidRDefault="00A655EC" w:rsidP="00A655EC">
      <w:pPr>
        <w:pStyle w:val="JudgmentNumbered"/>
        <w:numPr>
          <w:ilvl w:val="0"/>
          <w:numId w:val="0"/>
        </w:numPr>
        <w:ind w:left="720" w:hanging="720"/>
        <w:rPr>
          <w:szCs w:val="24"/>
        </w:rPr>
      </w:pPr>
      <w:r w:rsidRPr="00351651">
        <w:rPr>
          <w:szCs w:val="24"/>
        </w:rPr>
        <w:t>[73]</w:t>
      </w:r>
      <w:r w:rsidRPr="00351651">
        <w:rPr>
          <w:szCs w:val="24"/>
        </w:rPr>
        <w:tab/>
      </w:r>
      <w:r w:rsidR="001A3C3E" w:rsidRPr="00945733">
        <w:rPr>
          <w:szCs w:val="24"/>
        </w:rPr>
        <w:t>Accordingly</w:t>
      </w:r>
      <w:r w:rsidR="008A5D89" w:rsidRPr="00945733">
        <w:rPr>
          <w:szCs w:val="24"/>
        </w:rPr>
        <w:t>,</w:t>
      </w:r>
      <w:r w:rsidR="001A3C3E" w:rsidRPr="00945733">
        <w:rPr>
          <w:szCs w:val="24"/>
        </w:rPr>
        <w:t xml:space="preserve"> – </w:t>
      </w:r>
    </w:p>
    <w:p w14:paraId="134757B0" w14:textId="32E88CEA" w:rsidR="001A3C3E" w:rsidRPr="003340C1" w:rsidRDefault="00A655EC" w:rsidP="00A655EC">
      <w:pPr>
        <w:pStyle w:val="JudgmentNumbered"/>
        <w:numPr>
          <w:ilvl w:val="0"/>
          <w:numId w:val="0"/>
        </w:numPr>
        <w:ind w:left="1134" w:hanging="425"/>
        <w:rPr>
          <w:szCs w:val="24"/>
        </w:rPr>
      </w:pPr>
      <w:r w:rsidRPr="003340C1">
        <w:rPr>
          <w:szCs w:val="24"/>
        </w:rPr>
        <w:t>a.</w:t>
      </w:r>
      <w:r w:rsidRPr="003340C1">
        <w:rPr>
          <w:szCs w:val="24"/>
        </w:rPr>
        <w:tab/>
      </w:r>
      <w:r w:rsidR="001A3C3E" w:rsidRPr="00817747">
        <w:rPr>
          <w:szCs w:val="24"/>
        </w:rPr>
        <w:t xml:space="preserve">The appeal </w:t>
      </w:r>
      <w:r w:rsidR="00556AFC" w:rsidRPr="00817747">
        <w:rPr>
          <w:szCs w:val="24"/>
        </w:rPr>
        <w:t>is dismissed</w:t>
      </w:r>
    </w:p>
    <w:p w14:paraId="46D4AF06" w14:textId="67368DBE" w:rsidR="003C1354" w:rsidRPr="00B175C0" w:rsidRDefault="00A655EC" w:rsidP="00A655EC">
      <w:pPr>
        <w:pStyle w:val="JudgmentNumbered"/>
        <w:numPr>
          <w:ilvl w:val="0"/>
          <w:numId w:val="0"/>
        </w:numPr>
        <w:ind w:left="1134" w:hanging="425"/>
        <w:rPr>
          <w:szCs w:val="24"/>
        </w:rPr>
      </w:pPr>
      <w:r w:rsidRPr="00B175C0">
        <w:rPr>
          <w:szCs w:val="24"/>
        </w:rPr>
        <w:t>b.</w:t>
      </w:r>
      <w:r w:rsidRPr="00B175C0">
        <w:rPr>
          <w:szCs w:val="24"/>
        </w:rPr>
        <w:tab/>
      </w:r>
      <w:r w:rsidR="003C1354" w:rsidRPr="00064FED">
        <w:rPr>
          <w:szCs w:val="24"/>
        </w:rPr>
        <w:t xml:space="preserve">The order of the court a </w:t>
      </w:r>
      <w:r w:rsidR="003C1354" w:rsidRPr="00064FED">
        <w:rPr>
          <w:i/>
          <w:iCs/>
          <w:szCs w:val="24"/>
        </w:rPr>
        <w:t>quo</w:t>
      </w:r>
      <w:r w:rsidR="003C1354" w:rsidRPr="00064FED">
        <w:rPr>
          <w:szCs w:val="24"/>
        </w:rPr>
        <w:t xml:space="preserve"> i</w:t>
      </w:r>
      <w:r w:rsidR="008E1AD6" w:rsidRPr="00064FED">
        <w:rPr>
          <w:szCs w:val="24"/>
        </w:rPr>
        <w:t xml:space="preserve">n </w:t>
      </w:r>
      <w:r w:rsidR="003031D8" w:rsidRPr="00064FED">
        <w:rPr>
          <w:szCs w:val="24"/>
        </w:rPr>
        <w:t>para [40.3] is</w:t>
      </w:r>
      <w:r w:rsidR="003C1354" w:rsidRPr="00064FED">
        <w:rPr>
          <w:szCs w:val="24"/>
        </w:rPr>
        <w:t xml:space="preserve"> replaced with the following:</w:t>
      </w:r>
    </w:p>
    <w:p w14:paraId="04C0D369" w14:textId="4C6559E5" w:rsidR="003C1354" w:rsidRPr="004F72FF" w:rsidRDefault="00A655EC" w:rsidP="00A655EC">
      <w:pPr>
        <w:pStyle w:val="JudgmentNumbered"/>
        <w:numPr>
          <w:ilvl w:val="0"/>
          <w:numId w:val="0"/>
        </w:numPr>
        <w:tabs>
          <w:tab w:val="left" w:pos="1701"/>
        </w:tabs>
        <w:ind w:left="1701" w:hanging="425"/>
        <w:rPr>
          <w:szCs w:val="24"/>
        </w:rPr>
      </w:pPr>
      <w:r w:rsidRPr="004F72FF">
        <w:rPr>
          <w:szCs w:val="24"/>
        </w:rPr>
        <w:t>i.</w:t>
      </w:r>
      <w:r w:rsidRPr="004F72FF">
        <w:rPr>
          <w:szCs w:val="24"/>
        </w:rPr>
        <w:tab/>
      </w:r>
      <w:r w:rsidR="003C1354" w:rsidRPr="00B175C0">
        <w:rPr>
          <w:szCs w:val="24"/>
        </w:rPr>
        <w:t>“</w:t>
      </w:r>
      <w:r w:rsidR="00306413" w:rsidRPr="00B175C0">
        <w:rPr>
          <w:szCs w:val="24"/>
        </w:rPr>
        <w:t>Second</w:t>
      </w:r>
      <w:r w:rsidR="003031D8" w:rsidRPr="00C93CC4">
        <w:rPr>
          <w:szCs w:val="24"/>
        </w:rPr>
        <w:t xml:space="preserve"> and third respondents are ordered to pay applicant </w:t>
      </w:r>
      <w:r w:rsidR="00C21111" w:rsidRPr="00C93CC4">
        <w:rPr>
          <w:szCs w:val="24"/>
        </w:rPr>
        <w:t>R1</w:t>
      </w:r>
      <w:r w:rsidR="00306413" w:rsidRPr="00C93CC4">
        <w:rPr>
          <w:szCs w:val="24"/>
        </w:rPr>
        <w:t xml:space="preserve"> </w:t>
      </w:r>
      <w:r w:rsidR="00C21111" w:rsidRPr="004F72FF">
        <w:rPr>
          <w:szCs w:val="24"/>
        </w:rPr>
        <w:t>54</w:t>
      </w:r>
      <w:r w:rsidR="00306413" w:rsidRPr="004F72FF">
        <w:rPr>
          <w:szCs w:val="24"/>
        </w:rPr>
        <w:t>0</w:t>
      </w:r>
      <w:r w:rsidR="00C21111" w:rsidRPr="004F72FF">
        <w:rPr>
          <w:szCs w:val="24"/>
        </w:rPr>
        <w:t xml:space="preserve"> 000.00, which shall be joint and several with one another </w:t>
      </w:r>
      <w:r w:rsidR="002637B7" w:rsidRPr="004F72FF">
        <w:rPr>
          <w:szCs w:val="24"/>
        </w:rPr>
        <w:t xml:space="preserve">and with the liability of first and fourth respondents in terms of paragraph </w:t>
      </w:r>
      <w:r w:rsidR="006C26FE" w:rsidRPr="004F72FF">
        <w:rPr>
          <w:szCs w:val="24"/>
        </w:rPr>
        <w:t>40.1 above, the one respondent paying the others to be absolved.”</w:t>
      </w:r>
    </w:p>
    <w:p w14:paraId="15D392D5" w14:textId="526373FC" w:rsidR="001A3C3E" w:rsidRPr="004F72FF" w:rsidRDefault="00A655EC" w:rsidP="00A655EC">
      <w:pPr>
        <w:pStyle w:val="JudgmentNumbered"/>
        <w:numPr>
          <w:ilvl w:val="0"/>
          <w:numId w:val="0"/>
        </w:numPr>
        <w:ind w:left="1134" w:hanging="425"/>
        <w:rPr>
          <w:szCs w:val="24"/>
        </w:rPr>
      </w:pPr>
      <w:r w:rsidRPr="004F72FF">
        <w:rPr>
          <w:szCs w:val="24"/>
        </w:rPr>
        <w:t>c.</w:t>
      </w:r>
      <w:r w:rsidRPr="004F72FF">
        <w:rPr>
          <w:szCs w:val="24"/>
        </w:rPr>
        <w:tab/>
      </w:r>
      <w:r w:rsidR="00C000C1" w:rsidRPr="004F72FF">
        <w:rPr>
          <w:szCs w:val="24"/>
        </w:rPr>
        <w:t>Appellants to pay the costs of the appeal</w:t>
      </w:r>
      <w:r w:rsidR="003C1354" w:rsidRPr="004F72FF">
        <w:rPr>
          <w:szCs w:val="24"/>
        </w:rPr>
        <w:t>.</w:t>
      </w:r>
    </w:p>
    <w:p w14:paraId="61511DAD" w14:textId="7C88D936" w:rsidR="00A83A79" w:rsidRDefault="00A83A79" w:rsidP="006875AA">
      <w:pPr>
        <w:pStyle w:val="JudgmentNumbered"/>
        <w:numPr>
          <w:ilvl w:val="0"/>
          <w:numId w:val="0"/>
        </w:numPr>
        <w:ind w:left="567"/>
      </w:pPr>
    </w:p>
    <w:p w14:paraId="7FEC4EA2"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2791A66C" w14:textId="512396EB" w:rsidR="002B448C" w:rsidRDefault="008A5D89" w:rsidP="00EB01DA">
      <w:pPr>
        <w:pStyle w:val="JudgmentNumbered"/>
        <w:numPr>
          <w:ilvl w:val="0"/>
          <w:numId w:val="0"/>
        </w:numPr>
        <w:spacing w:after="0"/>
        <w:ind w:left="567" w:hanging="567"/>
        <w:jc w:val="right"/>
        <w:rPr>
          <w:b/>
        </w:rPr>
      </w:pPr>
      <w:bookmarkStart w:id="9" w:name="_Hlk160190361"/>
      <w:r>
        <w:rPr>
          <w:b/>
        </w:rPr>
        <w:t>Y CARRIM</w:t>
      </w:r>
    </w:p>
    <w:p w14:paraId="19AA4398" w14:textId="2DCF5187" w:rsidR="002B448C" w:rsidRDefault="00B401BF" w:rsidP="00EB01DA">
      <w:pPr>
        <w:pStyle w:val="JudgmentNumbered"/>
        <w:numPr>
          <w:ilvl w:val="0"/>
          <w:numId w:val="0"/>
        </w:numPr>
        <w:spacing w:after="0"/>
        <w:ind w:left="567" w:hanging="567"/>
        <w:jc w:val="right"/>
        <w:rPr>
          <w:b/>
        </w:rPr>
      </w:pPr>
      <w:r>
        <w:rPr>
          <w:b/>
        </w:rPr>
        <w:t xml:space="preserve">ACTING </w:t>
      </w:r>
      <w:r w:rsidR="002B448C">
        <w:rPr>
          <w:b/>
        </w:rPr>
        <w:t>JUDGE OF THE HIGH COURT</w:t>
      </w:r>
    </w:p>
    <w:p w14:paraId="30F38E72" w14:textId="77777777" w:rsidR="00EB01DA" w:rsidRDefault="002B448C" w:rsidP="00EB01DA">
      <w:pPr>
        <w:pStyle w:val="JudgmentNumbered"/>
        <w:numPr>
          <w:ilvl w:val="0"/>
          <w:numId w:val="0"/>
        </w:numPr>
        <w:spacing w:after="0"/>
        <w:ind w:left="567" w:hanging="567"/>
        <w:jc w:val="right"/>
        <w:rPr>
          <w:b/>
        </w:rPr>
      </w:pPr>
      <w:r>
        <w:rPr>
          <w:b/>
        </w:rPr>
        <w:t>JOHANNESBURG</w:t>
      </w:r>
      <w:bookmarkEnd w:id="9"/>
    </w:p>
    <w:p w14:paraId="01FABA3C" w14:textId="6E617F0F" w:rsidR="007A4E9D" w:rsidRDefault="007A4E9D" w:rsidP="007A4E9D">
      <w:pPr>
        <w:pStyle w:val="JudgmentNumbered"/>
        <w:numPr>
          <w:ilvl w:val="0"/>
          <w:numId w:val="0"/>
        </w:numPr>
        <w:spacing w:after="0"/>
        <w:ind w:left="567" w:hanging="567"/>
        <w:jc w:val="left"/>
        <w:rPr>
          <w:b/>
        </w:rPr>
      </w:pPr>
    </w:p>
    <w:p w14:paraId="358BF213" w14:textId="77777777" w:rsidR="00A84D8C" w:rsidRDefault="00A84D8C" w:rsidP="007A4E9D">
      <w:pPr>
        <w:pStyle w:val="JudgmentNumbered"/>
        <w:numPr>
          <w:ilvl w:val="0"/>
          <w:numId w:val="0"/>
        </w:numPr>
        <w:spacing w:after="0"/>
        <w:ind w:left="567" w:hanging="567"/>
        <w:jc w:val="left"/>
        <w:rPr>
          <w:b/>
        </w:rPr>
      </w:pPr>
    </w:p>
    <w:p w14:paraId="16A4B1A9" w14:textId="5872574C" w:rsidR="007A4E9D" w:rsidRDefault="007A4E9D" w:rsidP="00F4146B">
      <w:pPr>
        <w:pStyle w:val="JudgmentNumbered"/>
        <w:numPr>
          <w:ilvl w:val="0"/>
          <w:numId w:val="0"/>
        </w:numPr>
        <w:spacing w:after="0"/>
        <w:ind w:left="567" w:hanging="567"/>
        <w:jc w:val="right"/>
        <w:rPr>
          <w:b/>
        </w:rPr>
      </w:pPr>
      <w:r>
        <w:rPr>
          <w:b/>
        </w:rPr>
        <w:t>I agree</w:t>
      </w:r>
    </w:p>
    <w:p w14:paraId="626D14CD" w14:textId="77777777" w:rsidR="007A4E9D" w:rsidRDefault="007A4E9D" w:rsidP="00F4146B">
      <w:pPr>
        <w:pStyle w:val="JudgmentNumbered"/>
        <w:numPr>
          <w:ilvl w:val="0"/>
          <w:numId w:val="0"/>
        </w:numPr>
        <w:spacing w:after="0"/>
        <w:ind w:left="567" w:hanging="567"/>
        <w:jc w:val="right"/>
        <w:rPr>
          <w:b/>
        </w:rPr>
      </w:pPr>
    </w:p>
    <w:p w14:paraId="16EB5BF1" w14:textId="7EC5FE2F" w:rsidR="00A90528" w:rsidRDefault="00A90528" w:rsidP="00F4146B">
      <w:pPr>
        <w:pStyle w:val="JudgmentNumbered"/>
        <w:numPr>
          <w:ilvl w:val="0"/>
          <w:numId w:val="0"/>
        </w:numPr>
        <w:spacing w:after="0"/>
        <w:jc w:val="right"/>
        <w:rPr>
          <w:b/>
        </w:rPr>
      </w:pPr>
      <w:r>
        <w:rPr>
          <w:b/>
        </w:rPr>
        <w:t>___________________________</w:t>
      </w:r>
    </w:p>
    <w:p w14:paraId="26CBA158" w14:textId="3522E657" w:rsidR="00183972" w:rsidRPr="00183972" w:rsidRDefault="00A90528" w:rsidP="00F4146B">
      <w:pPr>
        <w:pStyle w:val="JudgmentNumbered"/>
        <w:numPr>
          <w:ilvl w:val="0"/>
          <w:numId w:val="0"/>
        </w:numPr>
        <w:spacing w:after="0"/>
        <w:jc w:val="right"/>
        <w:rPr>
          <w:b/>
        </w:rPr>
      </w:pPr>
      <w:r>
        <w:rPr>
          <w:b/>
        </w:rPr>
        <w:t xml:space="preserve">MA MAKUME </w:t>
      </w:r>
    </w:p>
    <w:p w14:paraId="6CF97BCA" w14:textId="093AF057" w:rsidR="00183972" w:rsidRPr="00183972" w:rsidRDefault="00183972" w:rsidP="00F4146B">
      <w:pPr>
        <w:pStyle w:val="JudgmentNumbered"/>
        <w:numPr>
          <w:ilvl w:val="0"/>
          <w:numId w:val="0"/>
        </w:numPr>
        <w:spacing w:after="0"/>
        <w:jc w:val="right"/>
        <w:rPr>
          <w:b/>
        </w:rPr>
      </w:pPr>
      <w:r w:rsidRPr="00183972">
        <w:rPr>
          <w:b/>
        </w:rPr>
        <w:t>JUDGE OF THE HIGH COURT</w:t>
      </w:r>
    </w:p>
    <w:p w14:paraId="30B6220F" w14:textId="507A105D" w:rsidR="007A4E9D" w:rsidRDefault="00183972" w:rsidP="00CF3F06">
      <w:pPr>
        <w:pStyle w:val="JudgmentNumbered"/>
        <w:numPr>
          <w:ilvl w:val="0"/>
          <w:numId w:val="0"/>
        </w:numPr>
        <w:spacing w:after="0"/>
        <w:ind w:left="567" w:hanging="567"/>
        <w:jc w:val="right"/>
        <w:rPr>
          <w:b/>
        </w:rPr>
      </w:pPr>
      <w:r w:rsidRPr="00183972">
        <w:rPr>
          <w:b/>
        </w:rPr>
        <w:t>JOHANNESBURG</w:t>
      </w:r>
    </w:p>
    <w:p w14:paraId="60D6D8BA" w14:textId="77777777" w:rsidR="00CF3F06" w:rsidRDefault="00CF3F06" w:rsidP="00CF3F06">
      <w:pPr>
        <w:pStyle w:val="JudgmentNumbered"/>
        <w:numPr>
          <w:ilvl w:val="0"/>
          <w:numId w:val="0"/>
        </w:numPr>
        <w:spacing w:after="0"/>
        <w:ind w:left="567" w:hanging="567"/>
        <w:jc w:val="right"/>
        <w:rPr>
          <w:b/>
        </w:rPr>
      </w:pPr>
    </w:p>
    <w:p w14:paraId="24585A98" w14:textId="5F414A8D" w:rsidR="007A4E9D" w:rsidRDefault="00CF3F06" w:rsidP="00F4146B">
      <w:pPr>
        <w:pStyle w:val="JudgmentNumbered"/>
        <w:numPr>
          <w:ilvl w:val="0"/>
          <w:numId w:val="0"/>
        </w:numPr>
        <w:spacing w:after="0"/>
        <w:ind w:left="567" w:hanging="567"/>
        <w:jc w:val="right"/>
        <w:rPr>
          <w:b/>
        </w:rPr>
      </w:pPr>
      <w:r>
        <w:rPr>
          <w:b/>
        </w:rPr>
        <w:t>I agree</w:t>
      </w:r>
    </w:p>
    <w:p w14:paraId="71F500BC" w14:textId="77777777" w:rsidR="004B2E2C" w:rsidRDefault="004B2E2C" w:rsidP="00F4146B">
      <w:pPr>
        <w:pStyle w:val="JudgmentNumbered"/>
        <w:numPr>
          <w:ilvl w:val="0"/>
          <w:numId w:val="0"/>
        </w:numPr>
        <w:spacing w:after="0"/>
        <w:ind w:left="567" w:hanging="567"/>
        <w:jc w:val="right"/>
        <w:rPr>
          <w:b/>
        </w:rPr>
      </w:pPr>
    </w:p>
    <w:p w14:paraId="5F2A2CA6" w14:textId="77777777" w:rsidR="004B2E2C" w:rsidRDefault="004B2E2C" w:rsidP="00F4146B">
      <w:pPr>
        <w:pStyle w:val="JudgmentNumbered"/>
        <w:numPr>
          <w:ilvl w:val="0"/>
          <w:numId w:val="0"/>
        </w:numPr>
        <w:spacing w:after="0"/>
        <w:jc w:val="right"/>
        <w:rPr>
          <w:b/>
        </w:rPr>
      </w:pPr>
      <w:r>
        <w:rPr>
          <w:b/>
        </w:rPr>
        <w:t>___________________________</w:t>
      </w:r>
    </w:p>
    <w:p w14:paraId="61890F9C" w14:textId="6A0AAF97" w:rsidR="007A4E9D" w:rsidRDefault="007A4E9D" w:rsidP="00F4146B">
      <w:pPr>
        <w:pStyle w:val="JudgmentNumbered"/>
        <w:numPr>
          <w:ilvl w:val="0"/>
          <w:numId w:val="0"/>
        </w:numPr>
        <w:spacing w:after="0"/>
        <w:ind w:left="567" w:hanging="567"/>
        <w:rPr>
          <w:b/>
        </w:rPr>
      </w:pPr>
    </w:p>
    <w:p w14:paraId="35B1105A" w14:textId="5C7373E9" w:rsidR="00A90528" w:rsidRPr="00A90528" w:rsidRDefault="00A90528" w:rsidP="00F4146B">
      <w:pPr>
        <w:pStyle w:val="JudgmentNumbered"/>
        <w:numPr>
          <w:ilvl w:val="0"/>
          <w:numId w:val="0"/>
        </w:numPr>
        <w:spacing w:after="0"/>
        <w:ind w:left="567" w:hanging="567"/>
        <w:jc w:val="right"/>
        <w:rPr>
          <w:b/>
        </w:rPr>
      </w:pPr>
      <w:r>
        <w:rPr>
          <w:b/>
        </w:rPr>
        <w:t xml:space="preserve">JE DLAMINI </w:t>
      </w:r>
      <w:r w:rsidRPr="00A90528">
        <w:rPr>
          <w:b/>
        </w:rPr>
        <w:t xml:space="preserve"> </w:t>
      </w:r>
    </w:p>
    <w:p w14:paraId="64CD19F2" w14:textId="77777777" w:rsidR="00A90528" w:rsidRPr="00A90528" w:rsidRDefault="00A90528" w:rsidP="00F4146B">
      <w:pPr>
        <w:pStyle w:val="JudgmentNumbered"/>
        <w:numPr>
          <w:ilvl w:val="0"/>
          <w:numId w:val="0"/>
        </w:numPr>
        <w:spacing w:after="0"/>
        <w:ind w:left="567" w:hanging="567"/>
        <w:jc w:val="right"/>
        <w:rPr>
          <w:b/>
        </w:rPr>
      </w:pPr>
      <w:r w:rsidRPr="00A90528">
        <w:rPr>
          <w:b/>
        </w:rPr>
        <w:t>JUDGE OF THE HIGH COURT</w:t>
      </w:r>
    </w:p>
    <w:p w14:paraId="139E4D09" w14:textId="5D81928B" w:rsidR="008A5D89" w:rsidRDefault="00A90528" w:rsidP="00CF3F06">
      <w:pPr>
        <w:pStyle w:val="JudgmentNumbered"/>
        <w:numPr>
          <w:ilvl w:val="0"/>
          <w:numId w:val="0"/>
        </w:numPr>
        <w:spacing w:after="0"/>
        <w:ind w:left="567" w:hanging="567"/>
        <w:jc w:val="right"/>
        <w:rPr>
          <w:b/>
        </w:rPr>
      </w:pPr>
      <w:r w:rsidRPr="00A90528">
        <w:rPr>
          <w:b/>
        </w:rPr>
        <w:t>JOHANNESBURG</w:t>
      </w:r>
    </w:p>
    <w:p w14:paraId="4EDFD3E8" w14:textId="7BD15D52" w:rsidR="00F708EF" w:rsidRDefault="00F708EF" w:rsidP="00CF3F06">
      <w:pPr>
        <w:pStyle w:val="JudgmentNumbered"/>
        <w:numPr>
          <w:ilvl w:val="0"/>
          <w:numId w:val="0"/>
        </w:numPr>
        <w:spacing w:after="0"/>
        <w:ind w:left="567" w:hanging="567"/>
        <w:jc w:val="right"/>
        <w:rPr>
          <w:b/>
        </w:rPr>
      </w:pPr>
    </w:p>
    <w:p w14:paraId="29F5FE2A" w14:textId="2AADF5A9" w:rsidR="00F708EF" w:rsidRDefault="00F708EF" w:rsidP="00CF3F06">
      <w:pPr>
        <w:pStyle w:val="JudgmentNumbered"/>
        <w:numPr>
          <w:ilvl w:val="0"/>
          <w:numId w:val="0"/>
        </w:numPr>
        <w:spacing w:after="0"/>
        <w:ind w:left="567" w:hanging="567"/>
        <w:jc w:val="right"/>
        <w:rPr>
          <w:b/>
        </w:rPr>
      </w:pPr>
    </w:p>
    <w:p w14:paraId="16583517" w14:textId="18DB0668" w:rsidR="00F708EF" w:rsidRDefault="00294062" w:rsidP="00F708EF">
      <w:pPr>
        <w:pStyle w:val="JudgmentNumbered"/>
        <w:numPr>
          <w:ilvl w:val="0"/>
          <w:numId w:val="0"/>
        </w:numPr>
        <w:spacing w:after="0"/>
        <w:ind w:left="567" w:hanging="567"/>
      </w:pPr>
      <w:r>
        <w:t xml:space="preserve">Date of hearing: </w:t>
      </w:r>
      <w:r>
        <w:tab/>
      </w:r>
      <w:r>
        <w:tab/>
      </w:r>
      <w:r>
        <w:tab/>
      </w:r>
      <w:r>
        <w:tab/>
        <w:t xml:space="preserve">        31 January 2024</w:t>
      </w:r>
    </w:p>
    <w:p w14:paraId="33EFE733" w14:textId="1BC5E886" w:rsidR="008A5D89" w:rsidRPr="004941C3" w:rsidRDefault="00294062" w:rsidP="004941C3">
      <w:pPr>
        <w:pStyle w:val="JudgmentNumbered"/>
        <w:numPr>
          <w:ilvl w:val="0"/>
          <w:numId w:val="0"/>
        </w:numPr>
        <w:spacing w:after="0"/>
        <w:ind w:left="567" w:hanging="567"/>
        <w:sectPr w:rsidR="008A5D89" w:rsidRPr="004941C3" w:rsidSect="009E549F">
          <w:headerReference w:type="default" r:id="rId15"/>
          <w:footerReference w:type="default" r:id="rId16"/>
          <w:pgSz w:w="11906" w:h="16838"/>
          <w:pgMar w:top="1440" w:right="1440" w:bottom="1440" w:left="1440" w:header="708" w:footer="708" w:gutter="0"/>
          <w:cols w:space="708"/>
          <w:titlePg/>
          <w:docGrid w:linePitch="360"/>
        </w:sectPr>
      </w:pPr>
      <w:r>
        <w:t>Date of judgment:</w:t>
      </w:r>
      <w:r>
        <w:tab/>
      </w:r>
      <w:r>
        <w:tab/>
      </w:r>
      <w:r>
        <w:tab/>
      </w:r>
      <w:r>
        <w:tab/>
        <w:t xml:space="preserve">        14 March 2</w:t>
      </w:r>
      <w:r w:rsidRPr="00F708EF">
        <w:rPr>
          <w:noProof/>
          <w:lang w:val="en-ZA" w:eastAsia="en-ZA"/>
        </w:rPr>
        <w:drawing>
          <wp:anchor distT="0" distB="0" distL="114300" distR="114300" simplePos="0" relativeHeight="251660288" behindDoc="1" locked="0" layoutInCell="1" allowOverlap="1" wp14:anchorId="27726B96" wp14:editId="5EAF9D4C">
            <wp:simplePos x="0" y="0"/>
            <wp:positionH relativeFrom="margin">
              <wp:align>center</wp:align>
            </wp:positionH>
            <wp:positionV relativeFrom="paragraph">
              <wp:posOffset>638175</wp:posOffset>
            </wp:positionV>
            <wp:extent cx="5731510" cy="1053633"/>
            <wp:effectExtent l="0" t="0" r="2540" b="0"/>
            <wp:wrapTight wrapText="bothSides">
              <wp:wrapPolygon edited="0">
                <wp:start x="0" y="0"/>
                <wp:lineTo x="0" y="4297"/>
                <wp:lineTo x="15076" y="6640"/>
                <wp:lineTo x="11774" y="7031"/>
                <wp:lineTo x="11343" y="7421"/>
                <wp:lineTo x="10769" y="12890"/>
                <wp:lineTo x="0" y="14061"/>
                <wp:lineTo x="0" y="16796"/>
                <wp:lineTo x="11487" y="19139"/>
                <wp:lineTo x="11487" y="20311"/>
                <wp:lineTo x="15148" y="21092"/>
                <wp:lineTo x="15507" y="21092"/>
                <wp:lineTo x="15723" y="20702"/>
                <wp:lineTo x="15938" y="19139"/>
                <wp:lineTo x="21538" y="17577"/>
                <wp:lineTo x="21538" y="14061"/>
                <wp:lineTo x="10769" y="12890"/>
                <wp:lineTo x="19528" y="7031"/>
                <wp:lineTo x="21538" y="6250"/>
                <wp:lineTo x="21538" y="2734"/>
                <wp:lineTo x="14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1053633"/>
                    </a:xfrm>
                    <a:prstGeom prst="rect">
                      <a:avLst/>
                    </a:prstGeom>
                    <a:noFill/>
                    <a:ln>
                      <a:noFill/>
                    </a:ln>
                  </pic:spPr>
                </pic:pic>
              </a:graphicData>
            </a:graphic>
            <wp14:sizeRelH relativeFrom="page">
              <wp14:pctWidth>0</wp14:pctWidth>
            </wp14:sizeRelH>
            <wp14:sizeRelV relativeFrom="page">
              <wp14:pctHeight>0</wp14:pctHeight>
            </wp14:sizeRelV>
          </wp:anchor>
        </w:drawing>
      </w:r>
      <w:r w:rsidR="00712100">
        <w:t>024</w:t>
      </w:r>
    </w:p>
    <w:p w14:paraId="35D37559" w14:textId="5A321641" w:rsidR="002B448C" w:rsidRPr="003673B7" w:rsidRDefault="002B448C" w:rsidP="005C28BE">
      <w:pPr>
        <w:spacing w:after="0" w:line="240" w:lineRule="auto"/>
        <w:ind w:left="0"/>
        <w:rPr>
          <w:rFonts w:cs="Arial"/>
          <w:b/>
          <w:szCs w:val="24"/>
        </w:rPr>
      </w:pPr>
    </w:p>
    <w:sectPr w:rsidR="002B448C" w:rsidRPr="003673B7" w:rsidSect="009E549F">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514A" w14:textId="77777777" w:rsidR="009E549F" w:rsidRDefault="009E549F" w:rsidP="001F0400">
      <w:pPr>
        <w:spacing w:after="0" w:line="240" w:lineRule="auto"/>
      </w:pPr>
      <w:r>
        <w:separator/>
      </w:r>
    </w:p>
  </w:endnote>
  <w:endnote w:type="continuationSeparator" w:id="0">
    <w:p w14:paraId="04A60E65" w14:textId="77777777" w:rsidR="009E549F" w:rsidRDefault="009E549F" w:rsidP="001F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70687"/>
      <w:docPartObj>
        <w:docPartGallery w:val="Page Numbers (Bottom of Page)"/>
        <w:docPartUnique/>
      </w:docPartObj>
    </w:sdtPr>
    <w:sdtEndPr>
      <w:rPr>
        <w:noProof/>
      </w:rPr>
    </w:sdtEndPr>
    <w:sdtContent>
      <w:p w14:paraId="080EB6BF" w14:textId="2776922E" w:rsidR="00950B52" w:rsidRDefault="00950B52">
        <w:pPr>
          <w:pStyle w:val="Footer"/>
          <w:jc w:val="right"/>
        </w:pPr>
        <w:r>
          <w:fldChar w:fldCharType="begin"/>
        </w:r>
        <w:r>
          <w:instrText xml:space="preserve"> PAGE   \* MERGEFORMAT </w:instrText>
        </w:r>
        <w:r>
          <w:fldChar w:fldCharType="separate"/>
        </w:r>
        <w:r w:rsidR="0033570E">
          <w:rPr>
            <w:noProof/>
          </w:rPr>
          <w:t>2</w:t>
        </w:r>
        <w:r>
          <w:rPr>
            <w:noProof/>
          </w:rPr>
          <w:fldChar w:fldCharType="end"/>
        </w:r>
      </w:p>
    </w:sdtContent>
  </w:sdt>
  <w:p w14:paraId="78FF524B" w14:textId="77777777" w:rsidR="00F0640B" w:rsidRDefault="00F0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24BC" w14:textId="77777777" w:rsidR="009E549F" w:rsidRDefault="009E549F" w:rsidP="001F0400">
      <w:pPr>
        <w:spacing w:after="0" w:line="240" w:lineRule="auto"/>
      </w:pPr>
      <w:r>
        <w:separator/>
      </w:r>
    </w:p>
  </w:footnote>
  <w:footnote w:type="continuationSeparator" w:id="0">
    <w:p w14:paraId="08BFED03" w14:textId="77777777" w:rsidR="009E549F" w:rsidRDefault="009E549F" w:rsidP="001F0400">
      <w:pPr>
        <w:spacing w:after="0" w:line="240" w:lineRule="auto"/>
      </w:pPr>
      <w:r>
        <w:continuationSeparator/>
      </w:r>
    </w:p>
  </w:footnote>
  <w:footnote w:id="1">
    <w:p w14:paraId="32AF6E29" w14:textId="0795A6F4" w:rsidR="00203F7E" w:rsidRPr="00F4146B" w:rsidRDefault="00203F7E" w:rsidP="00203F7E">
      <w:pPr>
        <w:pStyle w:val="FootnoteText"/>
        <w:rPr>
          <w:sz w:val="18"/>
        </w:rPr>
      </w:pPr>
      <w:r w:rsidRPr="00F4146B">
        <w:rPr>
          <w:rStyle w:val="FootnoteReference"/>
          <w:sz w:val="18"/>
        </w:rPr>
        <w:footnoteRef/>
      </w:r>
      <w:r w:rsidRPr="00F4146B">
        <w:rPr>
          <w:sz w:val="18"/>
        </w:rPr>
        <w:t xml:space="preserve"> Now known as the </w:t>
      </w:r>
      <w:r w:rsidRPr="00F4146B">
        <w:rPr>
          <w:rFonts w:cs="Arial"/>
          <w:sz w:val="18"/>
          <w:shd w:val="clear" w:color="auto" w:fill="FFFFFF"/>
        </w:rPr>
        <w:t>Financial Sector Conduct Authority (</w:t>
      </w:r>
      <w:r w:rsidR="003340C1">
        <w:rPr>
          <w:rFonts w:cs="Arial"/>
          <w:sz w:val="18"/>
          <w:shd w:val="clear" w:color="auto" w:fill="FFFFFF"/>
        </w:rPr>
        <w:t>“</w:t>
      </w:r>
      <w:r w:rsidRPr="00F4146B">
        <w:rPr>
          <w:rFonts w:cs="Arial"/>
          <w:sz w:val="18"/>
          <w:shd w:val="clear" w:color="auto" w:fill="FFFFFF"/>
        </w:rPr>
        <w:t>FSCA</w:t>
      </w:r>
      <w:r w:rsidR="003340C1">
        <w:rPr>
          <w:rFonts w:cs="Arial"/>
          <w:sz w:val="18"/>
          <w:shd w:val="clear" w:color="auto" w:fill="FFFFFF"/>
        </w:rPr>
        <w:t>”</w:t>
      </w:r>
      <w:r w:rsidRPr="00F4146B">
        <w:rPr>
          <w:rFonts w:cs="Arial"/>
          <w:sz w:val="18"/>
          <w:shd w:val="clear" w:color="auto" w:fill="FFFFFF"/>
        </w:rPr>
        <w:t>)</w:t>
      </w:r>
      <w:r w:rsidR="002F59AC">
        <w:rPr>
          <w:rFonts w:cs="Arial"/>
          <w:sz w:val="18"/>
          <w:shd w:val="clear" w:color="auto" w:fill="FFFFFF"/>
        </w:rPr>
        <w:t>.</w:t>
      </w:r>
    </w:p>
  </w:footnote>
  <w:footnote w:id="2">
    <w:p w14:paraId="7B11369A" w14:textId="54D84292" w:rsidR="0073454C" w:rsidRPr="0073454C" w:rsidRDefault="0073454C">
      <w:pPr>
        <w:pStyle w:val="FootnoteText"/>
        <w:rPr>
          <w:sz w:val="18"/>
        </w:rPr>
      </w:pPr>
      <w:r>
        <w:rPr>
          <w:rStyle w:val="FootnoteReference"/>
        </w:rPr>
        <w:footnoteRef/>
      </w:r>
      <w:r>
        <w:t xml:space="preserve"> </w:t>
      </w:r>
      <w:r w:rsidRPr="0073454C">
        <w:rPr>
          <w:sz w:val="18"/>
        </w:rPr>
        <w:t>It was also agreed there would be no other recurring fees or charges. See FA para 13.</w:t>
      </w:r>
    </w:p>
  </w:footnote>
  <w:footnote w:id="3">
    <w:p w14:paraId="7CDC1DCE" w14:textId="142C1E5F" w:rsidR="005B5C70" w:rsidRDefault="005B5C70" w:rsidP="005B5C70">
      <w:pPr>
        <w:pStyle w:val="FootnoteText"/>
      </w:pPr>
      <w:r>
        <w:rPr>
          <w:rStyle w:val="FootnoteReference"/>
        </w:rPr>
        <w:footnoteRef/>
      </w:r>
      <w:r>
        <w:t xml:space="preserve"> Annexure AA9 12-106</w:t>
      </w:r>
    </w:p>
  </w:footnote>
  <w:footnote w:id="4">
    <w:p w14:paraId="13CE8E8F" w14:textId="77777777" w:rsidR="00C8237B" w:rsidRPr="00C74817" w:rsidRDefault="00C8237B" w:rsidP="00C8237B">
      <w:pPr>
        <w:pStyle w:val="FootnoteText"/>
        <w:rPr>
          <w:lang w:val="en-ZA"/>
        </w:rPr>
      </w:pPr>
      <w:r>
        <w:rPr>
          <w:rStyle w:val="FootnoteReference"/>
        </w:rPr>
        <w:footnoteRef/>
      </w:r>
      <w:r>
        <w:t xml:space="preserve"> </w:t>
      </w:r>
      <w:r w:rsidRPr="003B3426">
        <w:rPr>
          <w:i/>
          <w:iCs/>
          <w:lang w:val="en-ZA"/>
        </w:rPr>
        <w:t xml:space="preserve">LAWSA </w:t>
      </w:r>
      <w:r>
        <w:rPr>
          <w:lang w:val="en-ZA"/>
        </w:rPr>
        <w:t xml:space="preserve"> Vol 18 3</w:t>
      </w:r>
      <w:r w:rsidRPr="006457B3">
        <w:rPr>
          <w:vertAlign w:val="superscript"/>
          <w:lang w:val="en-ZA"/>
        </w:rPr>
        <w:t>rd</w:t>
      </w:r>
      <w:r>
        <w:rPr>
          <w:lang w:val="en-ZA"/>
        </w:rPr>
        <w:t xml:space="preserve">  ed 2023</w:t>
      </w:r>
    </w:p>
  </w:footnote>
  <w:footnote w:id="5">
    <w:p w14:paraId="763FBA0B" w14:textId="77777777" w:rsidR="00C8237B" w:rsidRPr="003942BC" w:rsidRDefault="00C8237B" w:rsidP="00C8237B">
      <w:pPr>
        <w:pStyle w:val="FootnoteText"/>
        <w:rPr>
          <w:lang w:val="en-ZA"/>
        </w:rPr>
      </w:pPr>
      <w:r>
        <w:rPr>
          <w:rStyle w:val="FootnoteReference"/>
        </w:rPr>
        <w:footnoteRef/>
      </w:r>
      <w:r w:rsidRPr="004A1ED1">
        <w:rPr>
          <w:i/>
          <w:iCs/>
          <w:lang w:val="en-ZA"/>
        </w:rPr>
        <w:t>Per Trollip JA in Naidoo v Marine &amp; Trade Insurance Co Ltd 1978 4 All SA 208 (A); 1978 3 SA 666 (A) 677</w:t>
      </w:r>
    </w:p>
  </w:footnote>
  <w:footnote w:id="6">
    <w:p w14:paraId="05D13DBF" w14:textId="77777777" w:rsidR="00C8237B" w:rsidRDefault="00C8237B" w:rsidP="00C8237B">
      <w:pPr>
        <w:pStyle w:val="FootnoteText"/>
      </w:pPr>
      <w:r>
        <w:rPr>
          <w:rStyle w:val="FootnoteReference"/>
        </w:rPr>
        <w:footnoteRef/>
      </w:r>
      <w:r>
        <w:t xml:space="preserve"> </w:t>
      </w:r>
      <w:r w:rsidRPr="005E0EE6">
        <w:rPr>
          <w:i/>
          <w:iCs/>
        </w:rPr>
        <w:t xml:space="preserve">Naidoo </w:t>
      </w:r>
      <w:r>
        <w:t>supra</w:t>
      </w:r>
    </w:p>
  </w:footnote>
  <w:footnote w:id="7">
    <w:p w14:paraId="5EA5E960" w14:textId="77777777" w:rsidR="00C8237B" w:rsidRPr="0027707C" w:rsidRDefault="00C8237B" w:rsidP="00C8237B">
      <w:pPr>
        <w:pStyle w:val="FootnoteText"/>
        <w:rPr>
          <w:lang w:val="en-ZA"/>
        </w:rPr>
      </w:pPr>
      <w:r>
        <w:rPr>
          <w:rStyle w:val="FootnoteReference"/>
        </w:rPr>
        <w:footnoteRef/>
      </w:r>
      <w:r>
        <w:t xml:space="preserve"> </w:t>
      </w:r>
      <w:r>
        <w:rPr>
          <w:lang w:val="en-ZA"/>
        </w:rPr>
        <w:t>Annexure D1 to the FA 0066</w:t>
      </w:r>
    </w:p>
  </w:footnote>
  <w:footnote w:id="8">
    <w:p w14:paraId="60854B3C" w14:textId="04F3E6C5" w:rsidR="006217DF" w:rsidRPr="00F4146B" w:rsidRDefault="006217DF" w:rsidP="006217DF">
      <w:pPr>
        <w:pStyle w:val="FootnoteText"/>
        <w:rPr>
          <w:sz w:val="18"/>
          <w:lang w:val="en-ZA"/>
        </w:rPr>
      </w:pPr>
      <w:r w:rsidRPr="00F4146B">
        <w:rPr>
          <w:rStyle w:val="FootnoteReference"/>
          <w:sz w:val="18"/>
        </w:rPr>
        <w:footnoteRef/>
      </w:r>
      <w:r w:rsidRPr="00F4146B">
        <w:rPr>
          <w:sz w:val="18"/>
        </w:rPr>
        <w:t xml:space="preserve"> </w:t>
      </w:r>
      <w:r w:rsidRPr="00F4146B">
        <w:rPr>
          <w:sz w:val="18"/>
          <w:lang w:val="en-ZA"/>
        </w:rPr>
        <w:t>FA para 22</w:t>
      </w:r>
      <w:r w:rsidR="002F59AC">
        <w:rPr>
          <w:sz w:val="18"/>
          <w:lang w:val="en-ZA"/>
        </w:rPr>
        <w:t>.</w:t>
      </w:r>
    </w:p>
  </w:footnote>
  <w:footnote w:id="9">
    <w:p w14:paraId="74A43295" w14:textId="67E81325" w:rsidR="006217DF" w:rsidRPr="00F4146B" w:rsidRDefault="006217DF" w:rsidP="006217DF">
      <w:pPr>
        <w:pStyle w:val="FootnoteText"/>
        <w:rPr>
          <w:sz w:val="18"/>
          <w:lang w:val="en-ZA"/>
        </w:rPr>
      </w:pPr>
      <w:r w:rsidRPr="00F4146B">
        <w:rPr>
          <w:rStyle w:val="FootnoteReference"/>
          <w:sz w:val="18"/>
        </w:rPr>
        <w:footnoteRef/>
      </w:r>
      <w:r w:rsidRPr="00F4146B">
        <w:rPr>
          <w:sz w:val="18"/>
        </w:rPr>
        <w:t xml:space="preserve"> </w:t>
      </w:r>
      <w:r w:rsidRPr="00F4146B">
        <w:rPr>
          <w:sz w:val="18"/>
          <w:lang w:val="en-ZA"/>
        </w:rPr>
        <w:t xml:space="preserve">FA para 23 </w:t>
      </w:r>
      <w:r w:rsidR="00784D50">
        <w:rPr>
          <w:sz w:val="18"/>
          <w:lang w:val="en-ZA"/>
        </w:rPr>
        <w:t>01-32</w:t>
      </w:r>
      <w:r w:rsidRPr="00F4146B">
        <w:rPr>
          <w:sz w:val="18"/>
          <w:lang w:val="en-ZA"/>
        </w:rPr>
        <w:t>.  Annexures C1 and C2</w:t>
      </w:r>
      <w:r w:rsidR="00314D15">
        <w:rPr>
          <w:sz w:val="18"/>
          <w:lang w:val="en-ZA"/>
        </w:rPr>
        <w:t xml:space="preserve"> at 01-81 and 01-82</w:t>
      </w:r>
      <w:r w:rsidRPr="00F4146B">
        <w:rPr>
          <w:sz w:val="18"/>
          <w:lang w:val="en-ZA"/>
        </w:rPr>
        <w:t>.</w:t>
      </w:r>
    </w:p>
  </w:footnote>
  <w:footnote w:id="10">
    <w:p w14:paraId="6D681F6D" w14:textId="77777777" w:rsidR="00C8237B" w:rsidRPr="00144DEF" w:rsidRDefault="00C8237B" w:rsidP="00C8237B">
      <w:pPr>
        <w:pStyle w:val="FootnoteText"/>
        <w:rPr>
          <w:lang w:val="en-ZA"/>
        </w:rPr>
      </w:pPr>
      <w:r>
        <w:rPr>
          <w:rStyle w:val="FootnoteReference"/>
        </w:rPr>
        <w:footnoteRef/>
      </w:r>
      <w:r>
        <w:t xml:space="preserve"> </w:t>
      </w:r>
      <w:r>
        <w:rPr>
          <w:lang w:val="en-ZA"/>
        </w:rPr>
        <w:t>AA para 9.18 000144</w:t>
      </w:r>
    </w:p>
  </w:footnote>
  <w:footnote w:id="11">
    <w:p w14:paraId="4E95F325" w14:textId="47598B69" w:rsidR="006217DF" w:rsidRPr="00F4146B" w:rsidRDefault="006217DF" w:rsidP="006217DF">
      <w:pPr>
        <w:pStyle w:val="FootnoteText"/>
        <w:rPr>
          <w:sz w:val="18"/>
          <w:lang w:val="en-ZA"/>
        </w:rPr>
      </w:pPr>
      <w:r w:rsidRPr="00F4146B">
        <w:rPr>
          <w:rStyle w:val="FootnoteReference"/>
          <w:sz w:val="18"/>
        </w:rPr>
        <w:footnoteRef/>
      </w:r>
      <w:r w:rsidRPr="00F4146B">
        <w:rPr>
          <w:sz w:val="18"/>
        </w:rPr>
        <w:t xml:space="preserve"> </w:t>
      </w:r>
      <w:r w:rsidRPr="00F4146B">
        <w:rPr>
          <w:sz w:val="18"/>
          <w:lang w:val="en-ZA"/>
        </w:rPr>
        <w:t xml:space="preserve">Annexure E </w:t>
      </w:r>
      <w:r w:rsidR="00784D50">
        <w:rPr>
          <w:sz w:val="18"/>
          <w:lang w:val="en-ZA"/>
        </w:rPr>
        <w:t>01-86</w:t>
      </w:r>
      <w:r w:rsidR="002F59AC">
        <w:rPr>
          <w:sz w:val="18"/>
          <w:lang w:val="en-ZA"/>
        </w:rPr>
        <w:t>.</w:t>
      </w:r>
    </w:p>
  </w:footnote>
  <w:footnote w:id="12">
    <w:p w14:paraId="699DC049" w14:textId="2F2563D4" w:rsidR="006217DF" w:rsidRPr="00F4146B" w:rsidRDefault="006217DF" w:rsidP="006217DF">
      <w:pPr>
        <w:pStyle w:val="FootnoteText"/>
        <w:rPr>
          <w:sz w:val="18"/>
          <w:lang w:val="en-ZA"/>
        </w:rPr>
      </w:pPr>
      <w:r w:rsidRPr="00F4146B">
        <w:rPr>
          <w:rStyle w:val="FootnoteReference"/>
          <w:sz w:val="18"/>
        </w:rPr>
        <w:footnoteRef/>
      </w:r>
      <w:r w:rsidRPr="00F4146B">
        <w:rPr>
          <w:sz w:val="18"/>
        </w:rPr>
        <w:t xml:space="preserve"> </w:t>
      </w:r>
      <w:r w:rsidRPr="00F4146B">
        <w:rPr>
          <w:sz w:val="18"/>
          <w:lang w:val="en-ZA"/>
        </w:rPr>
        <w:t xml:space="preserve">FA para 2, Annexure G </w:t>
      </w:r>
      <w:r w:rsidR="00314D15">
        <w:rPr>
          <w:sz w:val="18"/>
          <w:lang w:val="en-ZA"/>
        </w:rPr>
        <w:t>01-105</w:t>
      </w:r>
      <w:r w:rsidRPr="00F4146B">
        <w:rPr>
          <w:sz w:val="18"/>
          <w:lang w:val="en-ZA"/>
        </w:rPr>
        <w:t xml:space="preserve">, Annexure F </w:t>
      </w:r>
      <w:r w:rsidR="00314D15">
        <w:rPr>
          <w:sz w:val="18"/>
          <w:lang w:val="en-ZA"/>
        </w:rPr>
        <w:t>01-87</w:t>
      </w:r>
      <w:r w:rsidR="002F59AC">
        <w:rPr>
          <w:sz w:val="18"/>
          <w:lang w:val="en-ZA"/>
        </w:rPr>
        <w:t>.</w:t>
      </w:r>
    </w:p>
  </w:footnote>
  <w:footnote w:id="13">
    <w:p w14:paraId="7E1A9923" w14:textId="77777777" w:rsidR="00C8237B" w:rsidRPr="00CA666A" w:rsidRDefault="00C8237B" w:rsidP="00C8237B">
      <w:pPr>
        <w:pStyle w:val="FootnoteText"/>
        <w:rPr>
          <w:lang w:val="en-ZA"/>
        </w:rPr>
      </w:pPr>
      <w:r>
        <w:rPr>
          <w:rStyle w:val="FootnoteReference"/>
        </w:rPr>
        <w:footnoteRef/>
      </w:r>
      <w:r>
        <w:t xml:space="preserve"> </w:t>
      </w:r>
      <w:r>
        <w:rPr>
          <w:lang w:val="en-ZA"/>
        </w:rPr>
        <w:t>AA para 9.34 000147</w:t>
      </w:r>
    </w:p>
  </w:footnote>
  <w:footnote w:id="14">
    <w:p w14:paraId="0C1FD3A3" w14:textId="6AA25A5D" w:rsidR="00FB0256" w:rsidRPr="00F4146B" w:rsidRDefault="00FB0256" w:rsidP="00FB0256">
      <w:pPr>
        <w:pStyle w:val="FootnoteText"/>
        <w:rPr>
          <w:sz w:val="18"/>
          <w:lang w:val="en-ZA"/>
        </w:rPr>
      </w:pPr>
      <w:r w:rsidRPr="00F4146B">
        <w:rPr>
          <w:rStyle w:val="FootnoteReference"/>
          <w:sz w:val="18"/>
        </w:rPr>
        <w:footnoteRef/>
      </w:r>
      <w:r w:rsidRPr="00F4146B">
        <w:rPr>
          <w:sz w:val="18"/>
        </w:rPr>
        <w:t xml:space="preserve"> </w:t>
      </w:r>
      <w:r w:rsidRPr="00F4146B">
        <w:rPr>
          <w:sz w:val="18"/>
          <w:lang w:val="en-ZA"/>
        </w:rPr>
        <w:t xml:space="preserve">Annexure </w:t>
      </w:r>
      <w:r w:rsidR="00362AAB" w:rsidRPr="00F4146B">
        <w:rPr>
          <w:sz w:val="18"/>
          <w:lang w:val="en-ZA"/>
        </w:rPr>
        <w:t xml:space="preserve">C1 </w:t>
      </w:r>
      <w:r w:rsidR="00784D50">
        <w:rPr>
          <w:sz w:val="18"/>
          <w:lang w:val="en-ZA"/>
        </w:rPr>
        <w:t>01-81</w:t>
      </w:r>
      <w:r w:rsidR="002F59AC">
        <w:rPr>
          <w:sz w:val="18"/>
          <w:lang w:val="en-ZA"/>
        </w:rPr>
        <w:t>.</w:t>
      </w:r>
      <w:r w:rsidR="00886759" w:rsidRPr="00F4146B">
        <w:rPr>
          <w:sz w:val="18"/>
          <w:lang w:val="en-ZA"/>
        </w:rPr>
        <w:t xml:space="preserve"> </w:t>
      </w:r>
    </w:p>
  </w:footnote>
  <w:footnote w:id="15">
    <w:p w14:paraId="1EA1234A" w14:textId="77777777" w:rsidR="00C8237B" w:rsidRPr="006F7793" w:rsidRDefault="00C8237B" w:rsidP="00C8237B">
      <w:pPr>
        <w:pStyle w:val="FootnoteText"/>
        <w:rPr>
          <w:lang w:val="en-ZA"/>
        </w:rPr>
      </w:pPr>
      <w:r>
        <w:rPr>
          <w:rStyle w:val="FootnoteReference"/>
        </w:rPr>
        <w:footnoteRef/>
      </w:r>
      <w:r>
        <w:t xml:space="preserve"> </w:t>
      </w:r>
      <w:r>
        <w:rPr>
          <w:lang w:val="en-ZA"/>
        </w:rPr>
        <w:t xml:space="preserve">See also </w:t>
      </w:r>
      <w:r w:rsidRPr="00E44626">
        <w:rPr>
          <w:i/>
          <w:iCs/>
        </w:rPr>
        <w:t>AD and another v MEC for Health and Social Development, Western Cape</w:t>
      </w:r>
      <w:r w:rsidRPr="00E44626">
        <w:t> 2017 (5) SA 134 (WCC)</w:t>
      </w:r>
    </w:p>
  </w:footnote>
  <w:footnote w:id="16">
    <w:p w14:paraId="04D9659F" w14:textId="44B47C5B" w:rsidR="00394C29" w:rsidRPr="00F4146B" w:rsidRDefault="00394C29">
      <w:pPr>
        <w:pStyle w:val="FootnoteText"/>
        <w:rPr>
          <w:sz w:val="18"/>
          <w:lang w:val="en-ZA"/>
        </w:rPr>
      </w:pPr>
      <w:r w:rsidRPr="00F4146B">
        <w:rPr>
          <w:rStyle w:val="FootnoteReference"/>
          <w:sz w:val="18"/>
        </w:rPr>
        <w:footnoteRef/>
      </w:r>
      <w:r w:rsidRPr="00F4146B">
        <w:rPr>
          <w:sz w:val="18"/>
        </w:rPr>
        <w:t xml:space="preserve"> </w:t>
      </w:r>
      <w:r w:rsidR="001C48A6" w:rsidRPr="00F4146B">
        <w:rPr>
          <w:sz w:val="18"/>
          <w:lang w:val="en-ZA"/>
        </w:rPr>
        <w:t>Record of Hearing 10 Aug</w:t>
      </w:r>
      <w:r w:rsidR="000B68A9" w:rsidRPr="00F4146B">
        <w:rPr>
          <w:sz w:val="18"/>
          <w:lang w:val="en-ZA"/>
        </w:rPr>
        <w:t xml:space="preserve"> 2022 p</w:t>
      </w:r>
      <w:r w:rsidR="00CA123F">
        <w:rPr>
          <w:sz w:val="18"/>
          <w:lang w:val="en-ZA"/>
        </w:rPr>
        <w:t xml:space="preserve">age </w:t>
      </w:r>
      <w:r w:rsidR="000B68A9" w:rsidRPr="00F4146B">
        <w:rPr>
          <w:sz w:val="18"/>
          <w:lang w:val="en-ZA"/>
        </w:rPr>
        <w:t xml:space="preserve">6 line </w:t>
      </w:r>
      <w:r w:rsidR="00797EC8" w:rsidRPr="00F4146B">
        <w:rPr>
          <w:sz w:val="18"/>
          <w:lang w:val="en-ZA"/>
        </w:rPr>
        <w:t>1</w:t>
      </w:r>
      <w:r w:rsidR="008061E8">
        <w:rPr>
          <w:sz w:val="18"/>
          <w:lang w:val="en-ZA"/>
        </w:rPr>
        <w:t>4</w:t>
      </w:r>
      <w:r w:rsidR="00797EC8" w:rsidRPr="00F4146B">
        <w:rPr>
          <w:sz w:val="18"/>
          <w:lang w:val="en-ZA"/>
        </w:rPr>
        <w:t xml:space="preserve"> and 1</w:t>
      </w:r>
      <w:r w:rsidR="008061E8">
        <w:rPr>
          <w:sz w:val="18"/>
          <w:lang w:val="en-ZA"/>
        </w:rPr>
        <w:t>7</w:t>
      </w:r>
      <w:r w:rsidR="00797EC8" w:rsidRPr="00F4146B">
        <w:rPr>
          <w:sz w:val="18"/>
          <w:lang w:val="en-ZA"/>
        </w:rPr>
        <w:t xml:space="preserve">.  </w:t>
      </w:r>
    </w:p>
  </w:footnote>
  <w:footnote w:id="17">
    <w:p w14:paraId="7599BB30" w14:textId="18DE7B83" w:rsidR="009674B9" w:rsidRPr="00F4146B" w:rsidRDefault="009674B9">
      <w:pPr>
        <w:pStyle w:val="FootnoteText"/>
        <w:rPr>
          <w:sz w:val="18"/>
          <w:lang w:val="en-ZA"/>
        </w:rPr>
      </w:pPr>
      <w:r w:rsidRPr="00F4146B">
        <w:rPr>
          <w:rStyle w:val="FootnoteReference"/>
          <w:sz w:val="18"/>
        </w:rPr>
        <w:footnoteRef/>
      </w:r>
      <w:r w:rsidRPr="00F4146B">
        <w:rPr>
          <w:sz w:val="18"/>
        </w:rPr>
        <w:t xml:space="preserve"> </w:t>
      </w:r>
      <w:r w:rsidRPr="00F4146B">
        <w:rPr>
          <w:sz w:val="18"/>
          <w:lang w:val="en-ZA"/>
        </w:rPr>
        <w:t>I</w:t>
      </w:r>
      <w:r w:rsidR="00CA123F">
        <w:rPr>
          <w:sz w:val="18"/>
          <w:lang w:val="en-ZA"/>
        </w:rPr>
        <w:t>d</w:t>
      </w:r>
      <w:r w:rsidRPr="00F4146B">
        <w:rPr>
          <w:sz w:val="18"/>
          <w:lang w:val="en-ZA"/>
        </w:rPr>
        <w:t xml:space="preserve"> pages 49-50 </w:t>
      </w:r>
      <w:r w:rsidR="00BC18C0">
        <w:rPr>
          <w:sz w:val="18"/>
          <w:lang w:val="en-ZA"/>
        </w:rPr>
        <w:t>line</w:t>
      </w:r>
      <w:r w:rsidRPr="00F4146B">
        <w:rPr>
          <w:sz w:val="18"/>
          <w:lang w:val="en-ZA"/>
        </w:rPr>
        <w:t xml:space="preserve"> </w:t>
      </w:r>
      <w:r w:rsidR="00B32161" w:rsidRPr="00F4146B">
        <w:rPr>
          <w:sz w:val="18"/>
          <w:lang w:val="en-ZA"/>
        </w:rPr>
        <w:t>10 onwards</w:t>
      </w:r>
      <w:r w:rsidR="002F59AC">
        <w:rPr>
          <w:sz w:val="18"/>
          <w:lang w:val="en-ZA"/>
        </w:rPr>
        <w:t>.</w:t>
      </w:r>
    </w:p>
  </w:footnote>
  <w:footnote w:id="18">
    <w:p w14:paraId="5F785C8B" w14:textId="35A8626C" w:rsidR="00574BCA" w:rsidRPr="00574BCA" w:rsidRDefault="00574BCA">
      <w:pPr>
        <w:pStyle w:val="FootnoteText"/>
        <w:rPr>
          <w:lang w:val="en-ZA"/>
        </w:rPr>
      </w:pPr>
      <w:r w:rsidRPr="00F4146B">
        <w:rPr>
          <w:rStyle w:val="FootnoteReference"/>
          <w:sz w:val="18"/>
        </w:rPr>
        <w:footnoteRef/>
      </w:r>
      <w:r w:rsidRPr="00F4146B">
        <w:rPr>
          <w:sz w:val="18"/>
        </w:rPr>
        <w:t xml:space="preserve"> </w:t>
      </w:r>
      <w:r w:rsidR="00E912D1" w:rsidRPr="00F4146B">
        <w:rPr>
          <w:sz w:val="18"/>
        </w:rPr>
        <w:t>I</w:t>
      </w:r>
      <w:r w:rsidR="00CA123F">
        <w:rPr>
          <w:sz w:val="18"/>
        </w:rPr>
        <w:t>d</w:t>
      </w:r>
      <w:r w:rsidR="00E912D1" w:rsidRPr="00F4146B">
        <w:rPr>
          <w:sz w:val="18"/>
        </w:rPr>
        <w:t xml:space="preserve"> </w:t>
      </w:r>
      <w:r w:rsidR="006A10BB" w:rsidRPr="00F4146B">
        <w:rPr>
          <w:sz w:val="18"/>
        </w:rPr>
        <w:t>page 68</w:t>
      </w:r>
      <w:r w:rsidR="007E3463">
        <w:rPr>
          <w:sz w:val="18"/>
        </w:rPr>
        <w:t xml:space="preserve"> line </w:t>
      </w:r>
      <w:r w:rsidR="006A10BB" w:rsidRPr="00F4146B">
        <w:rPr>
          <w:sz w:val="18"/>
        </w:rPr>
        <w:t>2</w:t>
      </w:r>
      <w:r w:rsidR="002F59AC">
        <w:rPr>
          <w:sz w:val="18"/>
        </w:rPr>
        <w:t>.</w:t>
      </w:r>
    </w:p>
  </w:footnote>
  <w:footnote w:id="19">
    <w:p w14:paraId="754606A1" w14:textId="17D494C4" w:rsidR="00CB794E" w:rsidRPr="00F4146B" w:rsidRDefault="00CB794E" w:rsidP="00CB794E">
      <w:pPr>
        <w:pStyle w:val="FootnoteText"/>
        <w:rPr>
          <w:sz w:val="18"/>
        </w:rPr>
      </w:pPr>
      <w:r w:rsidRPr="00F4146B">
        <w:rPr>
          <w:rStyle w:val="FootnoteReference"/>
          <w:sz w:val="18"/>
        </w:rPr>
        <w:footnoteRef/>
      </w:r>
      <w:r w:rsidR="00536504">
        <w:rPr>
          <w:sz w:val="18"/>
        </w:rPr>
        <w:t>D</w:t>
      </w:r>
      <w:r w:rsidR="004746D6" w:rsidRPr="00E11723">
        <w:rPr>
          <w:sz w:val="18"/>
        </w:rPr>
        <w:t xml:space="preserve">u Plessis, </w:t>
      </w:r>
      <w:r w:rsidR="004746D6" w:rsidRPr="00E11723">
        <w:rPr>
          <w:i/>
          <w:iCs/>
          <w:sz w:val="18"/>
        </w:rPr>
        <w:t>The South African Law of Unjustified Enrichment</w:t>
      </w:r>
      <w:r w:rsidR="004746D6" w:rsidRPr="00A8331D" w:rsidDel="004746D6">
        <w:rPr>
          <w:sz w:val="18"/>
        </w:rPr>
        <w:t xml:space="preserve"> </w:t>
      </w:r>
      <w:r w:rsidR="00536504">
        <w:rPr>
          <w:sz w:val="18"/>
        </w:rPr>
        <w:t xml:space="preserve">(Juta &amp; Co Ltd 2012) at 1. </w:t>
      </w:r>
    </w:p>
  </w:footnote>
  <w:footnote w:id="20">
    <w:p w14:paraId="1A7957AF" w14:textId="10189A14" w:rsidR="00CB794E" w:rsidRPr="00F4146B" w:rsidRDefault="00CB794E" w:rsidP="00CB794E">
      <w:pPr>
        <w:pStyle w:val="FootnoteText"/>
        <w:rPr>
          <w:sz w:val="18"/>
        </w:rPr>
      </w:pPr>
      <w:r w:rsidRPr="00F4146B">
        <w:rPr>
          <w:rStyle w:val="FootnoteReference"/>
          <w:sz w:val="18"/>
        </w:rPr>
        <w:footnoteRef/>
      </w:r>
      <w:r w:rsidRPr="00F4146B">
        <w:rPr>
          <w:sz w:val="18"/>
        </w:rPr>
        <w:t xml:space="preserve"> </w:t>
      </w:r>
      <w:r w:rsidR="00C56A72">
        <w:rPr>
          <w:sz w:val="18"/>
        </w:rPr>
        <w:t>Id at 2 fn 7. Also,</w:t>
      </w:r>
      <w:r w:rsidRPr="00F4146B">
        <w:rPr>
          <w:sz w:val="18"/>
        </w:rPr>
        <w:t xml:space="preserve"> </w:t>
      </w:r>
      <w:r w:rsidRPr="00F4146B">
        <w:rPr>
          <w:i/>
          <w:iCs/>
          <w:sz w:val="18"/>
        </w:rPr>
        <w:t>Legator McKenna Inc v Shea</w:t>
      </w:r>
      <w:r w:rsidRPr="00F4146B">
        <w:rPr>
          <w:sz w:val="18"/>
        </w:rPr>
        <w:t> </w:t>
      </w:r>
      <w:hyperlink r:id="rId1" w:tooltip="View LawCiteRecord" w:history="1">
        <w:r w:rsidRPr="00F4146B">
          <w:rPr>
            <w:rStyle w:val="Hyperlink"/>
            <w:bCs/>
            <w:color w:val="auto"/>
            <w:sz w:val="18"/>
            <w:u w:val="none"/>
          </w:rPr>
          <w:t>[2009] 2 All SA 45</w:t>
        </w:r>
      </w:hyperlink>
      <w:r w:rsidRPr="00F4146B">
        <w:rPr>
          <w:sz w:val="18"/>
        </w:rPr>
        <w:t> (SCA).</w:t>
      </w:r>
    </w:p>
  </w:footnote>
  <w:footnote w:id="21">
    <w:p w14:paraId="2FD528A7" w14:textId="60026EE1" w:rsidR="004618A8" w:rsidRPr="00F4146B" w:rsidRDefault="004618A8" w:rsidP="004618A8">
      <w:pPr>
        <w:pStyle w:val="FootnoteText"/>
        <w:rPr>
          <w:sz w:val="18"/>
        </w:rPr>
      </w:pPr>
      <w:r w:rsidRPr="00F4146B">
        <w:rPr>
          <w:rStyle w:val="FootnoteReference"/>
          <w:sz w:val="18"/>
        </w:rPr>
        <w:footnoteRef/>
      </w:r>
      <w:r w:rsidRPr="00F4146B">
        <w:rPr>
          <w:sz w:val="18"/>
        </w:rPr>
        <w:t xml:space="preserve"> </w:t>
      </w:r>
      <w:bookmarkStart w:id="3" w:name="_Hlk161059590"/>
      <w:r w:rsidR="00C56A72">
        <w:rPr>
          <w:sz w:val="18"/>
        </w:rPr>
        <w:t xml:space="preserve">Du Plessis above n 17 at 2. </w:t>
      </w:r>
      <w:bookmarkEnd w:id="3"/>
    </w:p>
  </w:footnote>
  <w:footnote w:id="22">
    <w:p w14:paraId="1B0C4D5A" w14:textId="2A54DBB9" w:rsidR="00952C19" w:rsidRDefault="00952C19">
      <w:pPr>
        <w:pStyle w:val="FootnoteText"/>
      </w:pPr>
      <w:r w:rsidRPr="00F4146B">
        <w:rPr>
          <w:rStyle w:val="FootnoteReference"/>
          <w:sz w:val="18"/>
          <w:szCs w:val="18"/>
        </w:rPr>
        <w:footnoteRef/>
      </w:r>
      <w:r w:rsidRPr="00F4146B">
        <w:rPr>
          <w:sz w:val="18"/>
          <w:szCs w:val="18"/>
        </w:rPr>
        <w:t xml:space="preserve"> Id at 21.</w:t>
      </w:r>
      <w:r>
        <w:t xml:space="preserve"> </w:t>
      </w:r>
    </w:p>
  </w:footnote>
  <w:footnote w:id="23">
    <w:p w14:paraId="0A3F859A" w14:textId="646966BB" w:rsidR="00CB794E" w:rsidRPr="00F4146B" w:rsidRDefault="00CB794E" w:rsidP="00B73E26">
      <w:pPr>
        <w:pStyle w:val="FootnoteText"/>
        <w:rPr>
          <w:bCs/>
          <w:i/>
          <w:sz w:val="18"/>
          <w:lang w:val="en-ZA"/>
        </w:rPr>
      </w:pPr>
      <w:r w:rsidRPr="00F4146B">
        <w:rPr>
          <w:rStyle w:val="FootnoteReference"/>
          <w:bCs/>
          <w:sz w:val="18"/>
        </w:rPr>
        <w:footnoteRef/>
      </w:r>
      <w:r w:rsidRPr="00F4146B">
        <w:rPr>
          <w:bCs/>
          <w:sz w:val="18"/>
        </w:rPr>
        <w:t xml:space="preserve"> </w:t>
      </w:r>
      <w:r w:rsidR="00B73E26" w:rsidRPr="00F4146B">
        <w:rPr>
          <w:bCs/>
          <w:i/>
          <w:sz w:val="18"/>
        </w:rPr>
        <w:t xml:space="preserve">McCarthy Retail Ltd v Shortdistance Carriers CC </w:t>
      </w:r>
      <w:r w:rsidR="00B73E26" w:rsidRPr="00F4146B">
        <w:rPr>
          <w:bCs/>
          <w:sz w:val="18"/>
          <w:lang w:val="en-ZA"/>
        </w:rPr>
        <w:t>2001 (3) SA 482 (SCA)</w:t>
      </w:r>
      <w:r w:rsidR="00B73E26" w:rsidRPr="00F4146B">
        <w:rPr>
          <w:bCs/>
          <w:i/>
          <w:sz w:val="18"/>
          <w:lang w:val="en-ZA"/>
        </w:rPr>
        <w:t xml:space="preserve"> </w:t>
      </w:r>
      <w:r w:rsidR="00B73E26" w:rsidRPr="00F4146B">
        <w:rPr>
          <w:bCs/>
          <w:sz w:val="18"/>
          <w:lang w:val="en-ZA"/>
        </w:rPr>
        <w:t>para 12 and 13.</w:t>
      </w:r>
      <w:r w:rsidR="00621FC0" w:rsidRPr="00621FC0">
        <w:rPr>
          <w:sz w:val="24"/>
          <w:szCs w:val="24"/>
        </w:rPr>
        <w:t xml:space="preserve"> </w:t>
      </w:r>
      <w:r w:rsidR="00621FC0" w:rsidRPr="00621FC0">
        <w:rPr>
          <w:bCs/>
          <w:sz w:val="18"/>
        </w:rPr>
        <w:t xml:space="preserve">See also </w:t>
      </w:r>
      <w:r w:rsidR="00621FC0" w:rsidRPr="00621FC0">
        <w:rPr>
          <w:bCs/>
          <w:i/>
          <w:iCs/>
          <w:sz w:val="18"/>
        </w:rPr>
        <w:t xml:space="preserve">Greater Tzaneen Municipality v Bravospan </w:t>
      </w:r>
      <w:r w:rsidR="00621FC0" w:rsidRPr="00621FC0">
        <w:rPr>
          <w:bCs/>
          <w:sz w:val="18"/>
        </w:rPr>
        <w:t>252 CC</w:t>
      </w:r>
      <w:r w:rsidR="00621FC0" w:rsidRPr="00621FC0" w:rsidDel="00B73E26">
        <w:rPr>
          <w:bCs/>
          <w:sz w:val="18"/>
        </w:rPr>
        <w:t xml:space="preserve"> </w:t>
      </w:r>
      <w:r w:rsidR="00AD3716" w:rsidRPr="00AD3716">
        <w:rPr>
          <w:bCs/>
          <w:sz w:val="18"/>
        </w:rPr>
        <w:t>2022 JDR 3191 (SCA)</w:t>
      </w:r>
      <w:r w:rsidR="00AD3716">
        <w:rPr>
          <w:bCs/>
          <w:sz w:val="18"/>
        </w:rPr>
        <w:t xml:space="preserve">. </w:t>
      </w:r>
    </w:p>
  </w:footnote>
  <w:footnote w:id="24">
    <w:p w14:paraId="505C633E" w14:textId="4C7A0799" w:rsidR="00CE2C8B" w:rsidRPr="00F4146B" w:rsidRDefault="00CE2C8B">
      <w:pPr>
        <w:pStyle w:val="FootnoteText"/>
        <w:rPr>
          <w:sz w:val="18"/>
          <w:lang w:val="en-ZA"/>
        </w:rPr>
      </w:pPr>
      <w:r w:rsidRPr="00F4146B">
        <w:rPr>
          <w:rStyle w:val="FootnoteReference"/>
          <w:sz w:val="18"/>
        </w:rPr>
        <w:footnoteRef/>
      </w:r>
      <w:r w:rsidRPr="00F4146B">
        <w:rPr>
          <w:sz w:val="18"/>
        </w:rPr>
        <w:t xml:space="preserve"> </w:t>
      </w:r>
      <w:r w:rsidRPr="00F4146B">
        <w:rPr>
          <w:sz w:val="18"/>
          <w:szCs w:val="24"/>
        </w:rPr>
        <w:t>1984(4) SA 392</w:t>
      </w:r>
      <w:r w:rsidR="00C1323C">
        <w:rPr>
          <w:sz w:val="18"/>
          <w:szCs w:val="24"/>
        </w:rPr>
        <w:t xml:space="preserve"> </w:t>
      </w:r>
      <w:r w:rsidRPr="00F4146B">
        <w:rPr>
          <w:sz w:val="18"/>
          <w:szCs w:val="24"/>
        </w:rPr>
        <w:t>(</w:t>
      </w:r>
      <w:r w:rsidR="00C1323C">
        <w:rPr>
          <w:sz w:val="18"/>
          <w:szCs w:val="24"/>
        </w:rPr>
        <w:t>C</w:t>
      </w:r>
      <w:r w:rsidRPr="00F4146B">
        <w:rPr>
          <w:sz w:val="18"/>
          <w:szCs w:val="24"/>
        </w:rPr>
        <w:t>)</w:t>
      </w:r>
      <w:r w:rsidR="005E4915">
        <w:rPr>
          <w:sz w:val="18"/>
          <w:szCs w:val="24"/>
        </w:rPr>
        <w:t xml:space="preserve"> at 396</w:t>
      </w:r>
      <w:r w:rsidR="002F59AC">
        <w:rPr>
          <w:sz w:val="18"/>
          <w:szCs w:val="24"/>
        </w:rPr>
        <w:t>.</w:t>
      </w:r>
    </w:p>
  </w:footnote>
  <w:footnote w:id="25">
    <w:p w14:paraId="2838A50D" w14:textId="1CBF6E9D" w:rsidR="0092102B" w:rsidRPr="00F4146B" w:rsidRDefault="0092102B" w:rsidP="0092102B">
      <w:pPr>
        <w:pStyle w:val="FootnoteText"/>
        <w:rPr>
          <w:sz w:val="18"/>
        </w:rPr>
      </w:pPr>
      <w:r w:rsidRPr="00F4146B">
        <w:rPr>
          <w:rStyle w:val="FootnoteReference"/>
          <w:sz w:val="18"/>
        </w:rPr>
        <w:footnoteRef/>
      </w:r>
      <w:r w:rsidRPr="00F4146B">
        <w:rPr>
          <w:sz w:val="18"/>
        </w:rPr>
        <w:t xml:space="preserve"> </w:t>
      </w:r>
      <w:r w:rsidR="00AF01D1">
        <w:rPr>
          <w:sz w:val="18"/>
        </w:rPr>
        <w:t>Du Plessis above n 17</w:t>
      </w:r>
      <w:r w:rsidRPr="00F4146B">
        <w:rPr>
          <w:sz w:val="18"/>
        </w:rPr>
        <w:t xml:space="preserve"> at 152</w:t>
      </w:r>
      <w:r w:rsidR="009147C0">
        <w:rPr>
          <w:sz w:val="18"/>
        </w:rPr>
        <w:t>.</w:t>
      </w:r>
    </w:p>
  </w:footnote>
  <w:footnote w:id="26">
    <w:p w14:paraId="0E90ADCF" w14:textId="347127CA" w:rsidR="00F55BB1" w:rsidRPr="00F4146B" w:rsidRDefault="00F55BB1">
      <w:pPr>
        <w:pStyle w:val="FootnoteText"/>
        <w:rPr>
          <w:sz w:val="18"/>
          <w:lang w:val="en-ZA"/>
        </w:rPr>
      </w:pPr>
      <w:r w:rsidRPr="00F4146B">
        <w:rPr>
          <w:rStyle w:val="FootnoteReference"/>
          <w:sz w:val="18"/>
        </w:rPr>
        <w:footnoteRef/>
      </w:r>
      <w:r w:rsidRPr="00F4146B">
        <w:rPr>
          <w:sz w:val="18"/>
        </w:rPr>
        <w:t xml:space="preserve"> </w:t>
      </w:r>
      <w:r w:rsidRPr="00F4146B">
        <w:rPr>
          <w:sz w:val="18"/>
          <w:lang w:val="en-ZA"/>
        </w:rPr>
        <w:t>1978 (3) SA 699 (A) at 713</w:t>
      </w:r>
      <w:r w:rsidR="001A7F6A">
        <w:rPr>
          <w:sz w:val="18"/>
          <w:lang w:val="en-ZA"/>
        </w:rPr>
        <w:t>A-B</w:t>
      </w:r>
      <w:r w:rsidR="002F59AC" w:rsidRPr="00F4146B">
        <w:rPr>
          <w:sz w:val="18"/>
          <w:lang w:val="en-ZA"/>
        </w:rPr>
        <w:t xml:space="preserve">. </w:t>
      </w:r>
    </w:p>
  </w:footnote>
  <w:footnote w:id="27">
    <w:p w14:paraId="180144F1" w14:textId="50A260AD" w:rsidR="00F55BB1" w:rsidRPr="00F55BB1" w:rsidRDefault="00F55BB1">
      <w:pPr>
        <w:pStyle w:val="FootnoteText"/>
        <w:rPr>
          <w:lang w:val="en-ZA"/>
        </w:rPr>
      </w:pPr>
      <w:r w:rsidRPr="00F4146B">
        <w:rPr>
          <w:rStyle w:val="FootnoteReference"/>
          <w:sz w:val="18"/>
        </w:rPr>
        <w:footnoteRef/>
      </w:r>
      <w:r w:rsidRPr="00F4146B">
        <w:rPr>
          <w:sz w:val="18"/>
        </w:rPr>
        <w:t xml:space="preserve"> </w:t>
      </w:r>
      <w:r w:rsidRPr="00F4146B">
        <w:rPr>
          <w:sz w:val="18"/>
          <w:lang w:val="en-ZA"/>
        </w:rPr>
        <w:t>1997 (2) SA 35 (</w:t>
      </w:r>
      <w:r w:rsidR="001A7F6A">
        <w:rPr>
          <w:sz w:val="18"/>
          <w:lang w:val="en-ZA"/>
        </w:rPr>
        <w:t>A) at 42F</w:t>
      </w:r>
      <w:r w:rsidR="002949AB">
        <w:rPr>
          <w:sz w:val="18"/>
          <w:lang w:val="en-ZA"/>
        </w:rPr>
        <w:t xml:space="preserve">-H. </w:t>
      </w:r>
      <w:r w:rsidR="002F59AC" w:rsidRPr="00F4146B">
        <w:rPr>
          <w:sz w:val="18"/>
          <w:lang w:val="en-ZA"/>
        </w:rPr>
        <w:t xml:space="preserve"> </w:t>
      </w:r>
    </w:p>
  </w:footnote>
  <w:footnote w:id="28">
    <w:p w14:paraId="0F703773" w14:textId="77777777" w:rsidR="009F20DA" w:rsidRDefault="009F20DA" w:rsidP="009F20DA">
      <w:pPr>
        <w:pStyle w:val="FootnoteText"/>
      </w:pPr>
      <w:r>
        <w:rPr>
          <w:rStyle w:val="FootnoteReference"/>
        </w:rPr>
        <w:footnoteRef/>
      </w:r>
      <w:r>
        <w:t xml:space="preserve"> </w:t>
      </w:r>
      <w:r w:rsidRPr="00227266">
        <w:t>This type of case is distinguished from enrichment through improvements to property and the like</w:t>
      </w:r>
    </w:p>
  </w:footnote>
  <w:footnote w:id="29">
    <w:p w14:paraId="7102B809" w14:textId="4D8FFB31" w:rsidR="003879B9" w:rsidRPr="00F4146B" w:rsidRDefault="003879B9">
      <w:pPr>
        <w:pStyle w:val="FootnoteText"/>
        <w:rPr>
          <w:sz w:val="18"/>
          <w:lang w:val="en-ZA"/>
        </w:rPr>
      </w:pPr>
      <w:r w:rsidRPr="00F4146B">
        <w:rPr>
          <w:rStyle w:val="FootnoteReference"/>
          <w:sz w:val="18"/>
        </w:rPr>
        <w:footnoteRef/>
      </w:r>
      <w:r w:rsidRPr="00F4146B">
        <w:rPr>
          <w:sz w:val="18"/>
        </w:rPr>
        <w:t xml:space="preserve"> </w:t>
      </w:r>
      <w:r w:rsidR="009147C0">
        <w:rPr>
          <w:sz w:val="18"/>
        </w:rPr>
        <w:t>Du Plessis above n 17</w:t>
      </w:r>
      <w:r w:rsidR="009147C0" w:rsidRPr="00D04C41">
        <w:rPr>
          <w:sz w:val="18"/>
        </w:rPr>
        <w:t xml:space="preserve"> at </w:t>
      </w:r>
      <w:r w:rsidR="007E6A86" w:rsidRPr="00F4146B">
        <w:rPr>
          <w:sz w:val="18"/>
          <w:lang w:val="en-ZA"/>
        </w:rPr>
        <w:t>381</w:t>
      </w:r>
      <w:r w:rsidR="009147C0">
        <w:rPr>
          <w:sz w:val="18"/>
          <w:lang w:val="en-ZA"/>
        </w:rPr>
        <w:t xml:space="preserve">. </w:t>
      </w:r>
    </w:p>
  </w:footnote>
  <w:footnote w:id="30">
    <w:p w14:paraId="4D54837C" w14:textId="416322D7" w:rsidR="00360CDD" w:rsidRPr="00F4146B" w:rsidRDefault="00360CDD">
      <w:pPr>
        <w:pStyle w:val="FootnoteText"/>
        <w:rPr>
          <w:sz w:val="18"/>
          <w:lang w:val="en-ZA"/>
        </w:rPr>
      </w:pPr>
      <w:r w:rsidRPr="00F4146B">
        <w:rPr>
          <w:rStyle w:val="FootnoteReference"/>
          <w:sz w:val="18"/>
        </w:rPr>
        <w:footnoteRef/>
      </w:r>
      <w:r w:rsidRPr="00F4146B">
        <w:rPr>
          <w:sz w:val="18"/>
        </w:rPr>
        <w:t xml:space="preserve"> </w:t>
      </w:r>
      <w:r w:rsidRPr="00F4146B">
        <w:rPr>
          <w:bCs/>
          <w:i/>
          <w:iCs/>
          <w:sz w:val="18"/>
          <w:lang w:val="en-ZA"/>
        </w:rPr>
        <w:t>First National Bank of Southern Africa Ltd v Perry NO</w:t>
      </w:r>
      <w:r w:rsidR="009147C0">
        <w:rPr>
          <w:bCs/>
          <w:i/>
          <w:iCs/>
          <w:sz w:val="18"/>
          <w:lang w:val="en-ZA"/>
        </w:rPr>
        <w:t xml:space="preserve"> And Others</w:t>
      </w:r>
      <w:r w:rsidRPr="00F4146B">
        <w:rPr>
          <w:sz w:val="18"/>
          <w:lang w:val="en-ZA"/>
        </w:rPr>
        <w:t xml:space="preserve"> 2001 (3) SA 960 (SCA) para 31.</w:t>
      </w:r>
    </w:p>
  </w:footnote>
  <w:footnote w:id="31">
    <w:p w14:paraId="01E05882" w14:textId="6AB89724" w:rsidR="00B85917" w:rsidRPr="00C71B72" w:rsidRDefault="00B85917" w:rsidP="00B85917">
      <w:pPr>
        <w:pStyle w:val="FootnoteText"/>
        <w:rPr>
          <w:lang w:val="en-ZA"/>
        </w:rPr>
      </w:pPr>
      <w:r w:rsidRPr="00F4146B">
        <w:rPr>
          <w:rStyle w:val="FootnoteReference"/>
          <w:sz w:val="18"/>
        </w:rPr>
        <w:footnoteRef/>
      </w:r>
      <w:r w:rsidRPr="00F4146B">
        <w:rPr>
          <w:sz w:val="18"/>
        </w:rPr>
        <w:t xml:space="preserve"> </w:t>
      </w:r>
      <w:r w:rsidR="00C428FE">
        <w:rPr>
          <w:sz w:val="18"/>
        </w:rPr>
        <w:t>Du Plessis above n 17</w:t>
      </w:r>
      <w:r w:rsidR="00C428FE" w:rsidRPr="00D04C41">
        <w:rPr>
          <w:sz w:val="18"/>
        </w:rPr>
        <w:t xml:space="preserve"> at</w:t>
      </w:r>
      <w:r w:rsidRPr="00F4146B">
        <w:rPr>
          <w:sz w:val="18"/>
          <w:lang w:val="en-ZA"/>
        </w:rPr>
        <w:t xml:space="preserve"> 382 and the cases listed at fn 27</w:t>
      </w:r>
      <w:r w:rsidR="00EC6EB5">
        <w:rPr>
          <w:sz w:val="18"/>
          <w:lang w:val="en-ZA"/>
        </w:rPr>
        <w:t xml:space="preserve">. </w:t>
      </w:r>
    </w:p>
  </w:footnote>
  <w:footnote w:id="32">
    <w:p w14:paraId="02CD2DD3" w14:textId="66BAE100" w:rsidR="00E97C74" w:rsidRPr="00F4146B" w:rsidRDefault="00E97C74">
      <w:pPr>
        <w:pStyle w:val="FootnoteText"/>
        <w:rPr>
          <w:sz w:val="18"/>
          <w:lang w:val="en-ZA"/>
        </w:rPr>
      </w:pPr>
      <w:r w:rsidRPr="00F4146B">
        <w:rPr>
          <w:rStyle w:val="FootnoteReference"/>
          <w:sz w:val="18"/>
        </w:rPr>
        <w:footnoteRef/>
      </w:r>
      <w:r w:rsidRPr="00F4146B">
        <w:rPr>
          <w:sz w:val="18"/>
        </w:rPr>
        <w:t xml:space="preserve"> </w:t>
      </w:r>
      <w:r w:rsidRPr="00F4146B">
        <w:rPr>
          <w:i/>
          <w:iCs/>
          <w:sz w:val="18"/>
          <w:lang w:val="en-ZA"/>
        </w:rPr>
        <w:t>African Diamond Exporters</w:t>
      </w:r>
      <w:r w:rsidR="000E0172">
        <w:rPr>
          <w:sz w:val="18"/>
          <w:lang w:val="en-ZA"/>
        </w:rPr>
        <w:t xml:space="preserve"> (Pty) Ltd above n 26</w:t>
      </w:r>
      <w:r w:rsidR="00EC6EB5">
        <w:rPr>
          <w:sz w:val="18"/>
          <w:lang w:val="en-ZA"/>
        </w:rPr>
        <w:t>.</w:t>
      </w:r>
    </w:p>
  </w:footnote>
  <w:footnote w:id="33">
    <w:p w14:paraId="5175DC41" w14:textId="2A56A1C8" w:rsidR="00BD6249" w:rsidRPr="00F4146B" w:rsidRDefault="00BD6249" w:rsidP="00BD6249">
      <w:pPr>
        <w:pStyle w:val="FootnoteText"/>
        <w:rPr>
          <w:sz w:val="18"/>
          <w:lang w:val="en-ZA"/>
        </w:rPr>
      </w:pPr>
      <w:r w:rsidRPr="00F4146B">
        <w:rPr>
          <w:rStyle w:val="FootnoteReference"/>
          <w:sz w:val="18"/>
        </w:rPr>
        <w:footnoteRef/>
      </w:r>
      <w:r w:rsidRPr="00F4146B">
        <w:rPr>
          <w:sz w:val="18"/>
        </w:rPr>
        <w:t xml:space="preserve"> </w:t>
      </w:r>
      <w:r w:rsidR="00C428FE">
        <w:rPr>
          <w:sz w:val="18"/>
        </w:rPr>
        <w:t>Du Plessis above n 17</w:t>
      </w:r>
      <w:r w:rsidR="00C428FE" w:rsidRPr="00D04C41">
        <w:rPr>
          <w:sz w:val="18"/>
        </w:rPr>
        <w:t xml:space="preserve"> at</w:t>
      </w:r>
      <w:r w:rsidRPr="00F4146B">
        <w:rPr>
          <w:sz w:val="18"/>
          <w:lang w:val="en-ZA"/>
        </w:rPr>
        <w:t xml:space="preserve"> 383</w:t>
      </w:r>
      <w:r w:rsidR="00EC6EB5">
        <w:rPr>
          <w:sz w:val="18"/>
          <w:lang w:val="en-ZA"/>
        </w:rPr>
        <w:t>.</w:t>
      </w:r>
    </w:p>
  </w:footnote>
  <w:footnote w:id="34">
    <w:p w14:paraId="72801445" w14:textId="0DBFA664" w:rsidR="00AA5E3E" w:rsidRPr="00F4146B" w:rsidRDefault="00AA5E3E" w:rsidP="00AA5E3E">
      <w:pPr>
        <w:pStyle w:val="FootnoteText"/>
        <w:rPr>
          <w:sz w:val="18"/>
        </w:rPr>
      </w:pPr>
      <w:r w:rsidRPr="00F4146B">
        <w:rPr>
          <w:rStyle w:val="FootnoteReference"/>
          <w:sz w:val="18"/>
        </w:rPr>
        <w:footnoteRef/>
      </w:r>
      <w:r w:rsidRPr="00F4146B">
        <w:rPr>
          <w:sz w:val="18"/>
        </w:rPr>
        <w:t xml:space="preserve"> Silberberg  &amp; Schoeman</w:t>
      </w:r>
      <w:r w:rsidR="003500B8">
        <w:rPr>
          <w:sz w:val="18"/>
        </w:rPr>
        <w:t>,</w:t>
      </w:r>
      <w:r w:rsidRPr="00F4146B">
        <w:rPr>
          <w:sz w:val="18"/>
        </w:rPr>
        <w:t xml:space="preserve"> </w:t>
      </w:r>
      <w:r w:rsidRPr="00F4146B">
        <w:rPr>
          <w:i/>
          <w:iCs/>
          <w:sz w:val="18"/>
        </w:rPr>
        <w:t>The Law of Property</w:t>
      </w:r>
      <w:r w:rsidR="005B2BCF">
        <w:rPr>
          <w:i/>
          <w:iCs/>
          <w:sz w:val="18"/>
        </w:rPr>
        <w:t xml:space="preserve"> </w:t>
      </w:r>
      <w:r w:rsidRPr="00F4146B">
        <w:rPr>
          <w:sz w:val="18"/>
        </w:rPr>
        <w:t xml:space="preserve"> </w:t>
      </w:r>
      <w:r w:rsidR="005B2BCF">
        <w:rPr>
          <w:sz w:val="18"/>
        </w:rPr>
        <w:t>6</w:t>
      </w:r>
      <w:r w:rsidR="005B2BCF" w:rsidRPr="00F4146B">
        <w:rPr>
          <w:sz w:val="18"/>
          <w:vertAlign w:val="superscript"/>
        </w:rPr>
        <w:t>th</w:t>
      </w:r>
      <w:r w:rsidR="005B2BCF">
        <w:rPr>
          <w:sz w:val="18"/>
        </w:rPr>
        <w:t xml:space="preserve"> ed </w:t>
      </w:r>
      <w:r w:rsidR="003500B8">
        <w:rPr>
          <w:sz w:val="18"/>
        </w:rPr>
        <w:t>(LexisNexis, 2019)</w:t>
      </w:r>
      <w:r w:rsidRPr="00F4146B">
        <w:rPr>
          <w:sz w:val="18"/>
        </w:rPr>
        <w:t xml:space="preserve"> </w:t>
      </w:r>
      <w:r w:rsidR="005B2BCF">
        <w:rPr>
          <w:sz w:val="18"/>
        </w:rPr>
        <w:t xml:space="preserve">at </w:t>
      </w:r>
      <w:r w:rsidRPr="00F4146B">
        <w:rPr>
          <w:sz w:val="18"/>
        </w:rPr>
        <w:t>296</w:t>
      </w:r>
      <w:r w:rsidR="00EC6EB5">
        <w:rPr>
          <w:sz w:val="18"/>
        </w:rPr>
        <w:t>.</w:t>
      </w:r>
    </w:p>
  </w:footnote>
  <w:footnote w:id="35">
    <w:p w14:paraId="3696908E" w14:textId="0C5F09CC" w:rsidR="00AA5E3E" w:rsidRPr="00F4146B" w:rsidRDefault="00AA5E3E" w:rsidP="00AA5E3E">
      <w:pPr>
        <w:pStyle w:val="FootnoteText"/>
        <w:rPr>
          <w:sz w:val="18"/>
        </w:rPr>
      </w:pPr>
      <w:r w:rsidRPr="00F4146B">
        <w:rPr>
          <w:rStyle w:val="FootnoteReference"/>
          <w:sz w:val="18"/>
        </w:rPr>
        <w:footnoteRef/>
      </w:r>
      <w:r w:rsidRPr="00F4146B">
        <w:rPr>
          <w:sz w:val="18"/>
        </w:rPr>
        <w:t xml:space="preserve"> </w:t>
      </w:r>
      <w:r w:rsidR="00C428FE">
        <w:rPr>
          <w:sz w:val="18"/>
        </w:rPr>
        <w:t>Du Plessis above n 17</w:t>
      </w:r>
      <w:r w:rsidR="00C428FE" w:rsidRPr="00D04C41">
        <w:rPr>
          <w:sz w:val="18"/>
        </w:rPr>
        <w:t xml:space="preserve"> at</w:t>
      </w:r>
      <w:r w:rsidR="00C428FE">
        <w:rPr>
          <w:sz w:val="18"/>
        </w:rPr>
        <w:t xml:space="preserve"> </w:t>
      </w:r>
      <w:r w:rsidRPr="00F4146B">
        <w:rPr>
          <w:sz w:val="18"/>
        </w:rPr>
        <w:t>336</w:t>
      </w:r>
      <w:r w:rsidR="00EC6EB5">
        <w:rPr>
          <w:sz w:val="18"/>
        </w:rPr>
        <w:t>.</w:t>
      </w:r>
    </w:p>
  </w:footnote>
  <w:footnote w:id="36">
    <w:p w14:paraId="49346A3B" w14:textId="350784D1" w:rsidR="00AA5E3E" w:rsidRPr="00F4146B" w:rsidRDefault="00AA5E3E" w:rsidP="00AA5E3E">
      <w:pPr>
        <w:pStyle w:val="FootnoteText"/>
        <w:rPr>
          <w:sz w:val="18"/>
        </w:rPr>
      </w:pPr>
      <w:r w:rsidRPr="00F4146B">
        <w:rPr>
          <w:rStyle w:val="FootnoteReference"/>
          <w:sz w:val="18"/>
        </w:rPr>
        <w:footnoteRef/>
      </w:r>
      <w:r w:rsidRPr="00F4146B">
        <w:rPr>
          <w:sz w:val="18"/>
        </w:rPr>
        <w:t xml:space="preserve"> 1988 (4) SA 315 (W)</w:t>
      </w:r>
      <w:r w:rsidR="00EC6EB5">
        <w:rPr>
          <w:sz w:val="18"/>
        </w:rPr>
        <w:t>.</w:t>
      </w:r>
    </w:p>
  </w:footnote>
  <w:footnote w:id="37">
    <w:p w14:paraId="7ADC40AE" w14:textId="7C7F181E" w:rsidR="00AA5E3E" w:rsidRPr="00F4146B" w:rsidRDefault="00AA5E3E" w:rsidP="00AA5E3E">
      <w:pPr>
        <w:pStyle w:val="FootnoteText"/>
        <w:rPr>
          <w:sz w:val="18"/>
        </w:rPr>
      </w:pPr>
      <w:r w:rsidRPr="00F4146B">
        <w:rPr>
          <w:rStyle w:val="FootnoteReference"/>
          <w:sz w:val="18"/>
        </w:rPr>
        <w:footnoteRef/>
      </w:r>
      <w:r w:rsidRPr="00F4146B">
        <w:rPr>
          <w:sz w:val="18"/>
        </w:rPr>
        <w:t xml:space="preserve"> </w:t>
      </w:r>
      <w:r w:rsidR="00C428FE">
        <w:rPr>
          <w:sz w:val="18"/>
        </w:rPr>
        <w:t>Du Plessis above n 17</w:t>
      </w:r>
      <w:r w:rsidR="00C428FE" w:rsidRPr="00D04C41">
        <w:rPr>
          <w:sz w:val="18"/>
        </w:rPr>
        <w:t xml:space="preserve"> at </w:t>
      </w:r>
      <w:r w:rsidRPr="00F4146B">
        <w:rPr>
          <w:sz w:val="18"/>
        </w:rPr>
        <w:t>337</w:t>
      </w:r>
      <w:r w:rsidR="0024182E">
        <w:rPr>
          <w:sz w:val="18"/>
        </w:rPr>
        <w:t>.</w:t>
      </w:r>
    </w:p>
  </w:footnote>
  <w:footnote w:id="38">
    <w:p w14:paraId="6EAA5EF3" w14:textId="074600EC" w:rsidR="00AA5E3E" w:rsidRPr="00F4146B" w:rsidRDefault="00AA5E3E" w:rsidP="00AA5E3E">
      <w:pPr>
        <w:pStyle w:val="FootnoteText"/>
        <w:rPr>
          <w:sz w:val="18"/>
        </w:rPr>
      </w:pPr>
      <w:r w:rsidRPr="00F4146B">
        <w:rPr>
          <w:rStyle w:val="FootnoteReference"/>
          <w:sz w:val="18"/>
        </w:rPr>
        <w:footnoteRef/>
      </w:r>
      <w:r w:rsidRPr="00F4146B">
        <w:rPr>
          <w:sz w:val="18"/>
        </w:rPr>
        <w:t xml:space="preserve"> </w:t>
      </w:r>
      <w:r w:rsidR="006945BC" w:rsidRPr="006945BC">
        <w:rPr>
          <w:bCs/>
          <w:i/>
          <w:iCs/>
          <w:sz w:val="18"/>
        </w:rPr>
        <w:t>Clifford v Farinha</w:t>
      </w:r>
      <w:r w:rsidR="006945BC" w:rsidRPr="006945BC" w:rsidDel="006945BC">
        <w:rPr>
          <w:i/>
          <w:iCs/>
          <w:sz w:val="18"/>
        </w:rPr>
        <w:t xml:space="preserve"> </w:t>
      </w:r>
      <w:r w:rsidR="006945BC">
        <w:rPr>
          <w:iCs/>
          <w:sz w:val="18"/>
        </w:rPr>
        <w:t>above n 36</w:t>
      </w:r>
      <w:r w:rsidR="006945BC">
        <w:rPr>
          <w:sz w:val="18"/>
        </w:rPr>
        <w:t xml:space="preserve"> </w:t>
      </w:r>
      <w:r w:rsidRPr="00F4146B">
        <w:rPr>
          <w:sz w:val="18"/>
        </w:rPr>
        <w:t>at 324</w:t>
      </w:r>
      <w:r w:rsidR="0024182E">
        <w:rPr>
          <w:sz w:val="18"/>
        </w:rPr>
        <w:t>.</w:t>
      </w:r>
    </w:p>
  </w:footnote>
  <w:footnote w:id="39">
    <w:p w14:paraId="19098757" w14:textId="239E05C0" w:rsidR="00AA5E3E" w:rsidRPr="00F4146B" w:rsidRDefault="00AA5E3E" w:rsidP="00AA5E3E">
      <w:pPr>
        <w:pStyle w:val="FootnoteText"/>
        <w:rPr>
          <w:sz w:val="18"/>
        </w:rPr>
      </w:pPr>
      <w:r w:rsidRPr="00F4146B">
        <w:rPr>
          <w:rStyle w:val="FootnoteReference"/>
          <w:sz w:val="18"/>
        </w:rPr>
        <w:footnoteRef/>
      </w:r>
      <w:r w:rsidRPr="00F4146B">
        <w:rPr>
          <w:sz w:val="18"/>
        </w:rPr>
        <w:t xml:space="preserve"> </w:t>
      </w:r>
      <w:r w:rsidR="00C428FE">
        <w:rPr>
          <w:sz w:val="18"/>
        </w:rPr>
        <w:t>Du Plessis above n 17</w:t>
      </w:r>
      <w:r w:rsidR="00C428FE" w:rsidRPr="00D04C41">
        <w:rPr>
          <w:sz w:val="18"/>
        </w:rPr>
        <w:t xml:space="preserve"> at</w:t>
      </w:r>
      <w:r w:rsidRPr="00F4146B">
        <w:rPr>
          <w:sz w:val="18"/>
        </w:rPr>
        <w:t xml:space="preserve"> 337</w:t>
      </w:r>
      <w:r w:rsidR="0024182E">
        <w:rPr>
          <w:sz w:val="18"/>
        </w:rPr>
        <w:t>.</w:t>
      </w:r>
    </w:p>
  </w:footnote>
  <w:footnote w:id="40">
    <w:p w14:paraId="1D99E036" w14:textId="004F4A15" w:rsidR="00AA5E3E" w:rsidRPr="00F4146B" w:rsidRDefault="00AA5E3E" w:rsidP="00AA5E3E">
      <w:pPr>
        <w:pStyle w:val="FootnoteText"/>
        <w:rPr>
          <w:sz w:val="18"/>
        </w:rPr>
      </w:pPr>
      <w:r w:rsidRPr="00F4146B">
        <w:rPr>
          <w:rStyle w:val="FootnoteReference"/>
          <w:sz w:val="18"/>
        </w:rPr>
        <w:footnoteRef/>
      </w:r>
      <w:r w:rsidRPr="00F4146B">
        <w:rPr>
          <w:sz w:val="18"/>
        </w:rPr>
        <w:t xml:space="preserve"> Id</w:t>
      </w:r>
      <w:r w:rsidR="0024182E">
        <w:rPr>
          <w:sz w:val="18"/>
        </w:rPr>
        <w:t>.</w:t>
      </w:r>
    </w:p>
  </w:footnote>
  <w:footnote w:id="41">
    <w:p w14:paraId="3960CFAC" w14:textId="20FB93CA" w:rsidR="006E3BF5" w:rsidRPr="00F4146B" w:rsidRDefault="006E3BF5" w:rsidP="00F4146B">
      <w:pPr>
        <w:pStyle w:val="NoSpacing"/>
        <w:rPr>
          <w:sz w:val="18"/>
          <w:szCs w:val="18"/>
          <w:lang w:val="en-ZA"/>
        </w:rPr>
      </w:pPr>
      <w:r w:rsidRPr="00F4146B">
        <w:rPr>
          <w:rStyle w:val="FootnoteReference"/>
          <w:sz w:val="18"/>
          <w:szCs w:val="18"/>
        </w:rPr>
        <w:footnoteRef/>
      </w:r>
      <w:r w:rsidRPr="00F4146B">
        <w:rPr>
          <w:sz w:val="18"/>
          <w:szCs w:val="18"/>
        </w:rPr>
        <w:t xml:space="preserve"> </w:t>
      </w:r>
      <w:r w:rsidRPr="00F4146B">
        <w:rPr>
          <w:sz w:val="18"/>
          <w:szCs w:val="18"/>
          <w:lang w:val="en-ZA"/>
        </w:rPr>
        <w:t>2013 (3) SA 374 (SCA)</w:t>
      </w:r>
      <w:r w:rsidR="008B6BD4">
        <w:rPr>
          <w:sz w:val="18"/>
          <w:szCs w:val="18"/>
          <w:lang w:val="en-ZA"/>
        </w:rPr>
        <w:t xml:space="preserve">. </w:t>
      </w:r>
    </w:p>
  </w:footnote>
  <w:footnote w:id="42">
    <w:p w14:paraId="520BC490" w14:textId="3F120853" w:rsidR="006E3BF5" w:rsidRPr="003340C1" w:rsidRDefault="006E3BF5" w:rsidP="00F4146B">
      <w:pPr>
        <w:pStyle w:val="NoSpacing"/>
        <w:rPr>
          <w:lang w:val="en-ZA"/>
        </w:rPr>
      </w:pPr>
      <w:r w:rsidRPr="00F4146B">
        <w:rPr>
          <w:rStyle w:val="FootnoteReference"/>
          <w:sz w:val="18"/>
          <w:szCs w:val="18"/>
        </w:rPr>
        <w:footnoteRef/>
      </w:r>
      <w:r w:rsidRPr="00F4146B">
        <w:rPr>
          <w:sz w:val="18"/>
          <w:szCs w:val="18"/>
        </w:rPr>
        <w:t xml:space="preserve"> 2005 (1) SA 441 (SCA)</w:t>
      </w:r>
      <w:r w:rsidR="00994CC5">
        <w:rPr>
          <w:sz w:val="18"/>
          <w:szCs w:val="18"/>
        </w:rPr>
        <w:t>.</w:t>
      </w:r>
    </w:p>
  </w:footnote>
  <w:footnote w:id="43">
    <w:p w14:paraId="23E883A5" w14:textId="77777777" w:rsidR="00D95E5C" w:rsidRDefault="00D95E5C" w:rsidP="00D95E5C">
      <w:pPr>
        <w:pStyle w:val="FootnoteText"/>
      </w:pPr>
      <w:r>
        <w:rPr>
          <w:rStyle w:val="FootnoteReference"/>
        </w:rPr>
        <w:footnoteRef/>
      </w:r>
      <w:r>
        <w:t xml:space="preserve"> Digital cryptocurrency represents new forms of currency in a rapidly changing global economy</w:t>
      </w:r>
    </w:p>
  </w:footnote>
  <w:footnote w:id="44">
    <w:p w14:paraId="35307C47" w14:textId="77777777" w:rsidR="006E3BF5" w:rsidRPr="00AE3703" w:rsidRDefault="006E3BF5" w:rsidP="006E3BF5">
      <w:pPr>
        <w:pStyle w:val="FootnoteText"/>
        <w:rPr>
          <w:lang w:val="en-ZA"/>
        </w:rPr>
      </w:pPr>
      <w:r w:rsidRPr="00F4146B">
        <w:rPr>
          <w:rStyle w:val="FootnoteReference"/>
          <w:sz w:val="18"/>
        </w:rPr>
        <w:footnoteRef/>
      </w:r>
      <w:r w:rsidRPr="00F4146B">
        <w:rPr>
          <w:sz w:val="18"/>
        </w:rPr>
        <w:t xml:space="preserve"> </w:t>
      </w:r>
      <w:r w:rsidRPr="00F4146B">
        <w:rPr>
          <w:sz w:val="18"/>
          <w:lang w:val="en-ZA"/>
        </w:rPr>
        <w:t>These are rapidly becoming electronic such as Pastel, SAGE and the like.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3874" w14:textId="2C7A80B7" w:rsidR="00950B52" w:rsidRDefault="00950B52">
    <w:pPr>
      <w:pStyle w:val="Header"/>
    </w:pPr>
  </w:p>
  <w:p w14:paraId="27C80933" w14:textId="77777777" w:rsidR="00D10E7A" w:rsidRDefault="00D10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E3A3F4F"/>
    <w:multiLevelType w:val="multilevel"/>
    <w:tmpl w:val="EB60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22607B1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5FEF1D9B"/>
    <w:multiLevelType w:val="hybridMultilevel"/>
    <w:tmpl w:val="B78E47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A7B3D1A"/>
    <w:multiLevelType w:val="multilevel"/>
    <w:tmpl w:val="B23078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1756395">
    <w:abstractNumId w:val="2"/>
  </w:num>
  <w:num w:numId="2" w16cid:durableId="52585532">
    <w:abstractNumId w:val="4"/>
  </w:num>
  <w:num w:numId="3" w16cid:durableId="270015435">
    <w:abstractNumId w:val="0"/>
  </w:num>
  <w:num w:numId="4" w16cid:durableId="1163669535">
    <w:abstractNumId w:val="2"/>
  </w:num>
  <w:num w:numId="5" w16cid:durableId="2020888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5121063">
    <w:abstractNumId w:val="5"/>
  </w:num>
  <w:num w:numId="7" w16cid:durableId="367998640">
    <w:abstractNumId w:val="3"/>
  </w:num>
  <w:num w:numId="8" w16cid:durableId="254173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524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6733848">
    <w:abstractNumId w:val="1"/>
  </w:num>
  <w:num w:numId="11" w16cid:durableId="611665705">
    <w:abstractNumId w:val="6"/>
  </w:num>
  <w:num w:numId="12" w16cid:durableId="187985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2365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xMDK0MDQyNDUzNDdS0lEKTi0uzszPAykwrAUAH6sJEywAAAA="/>
  </w:docVars>
  <w:rsids>
    <w:rsidRoot w:val="00C9373F"/>
    <w:rsid w:val="000005F8"/>
    <w:rsid w:val="00001915"/>
    <w:rsid w:val="00002950"/>
    <w:rsid w:val="000037C2"/>
    <w:rsid w:val="0000400A"/>
    <w:rsid w:val="00004A32"/>
    <w:rsid w:val="00006FFC"/>
    <w:rsid w:val="000072A0"/>
    <w:rsid w:val="00010291"/>
    <w:rsid w:val="0001280C"/>
    <w:rsid w:val="00015B0D"/>
    <w:rsid w:val="0001662A"/>
    <w:rsid w:val="0002232E"/>
    <w:rsid w:val="000313E4"/>
    <w:rsid w:val="00031D0B"/>
    <w:rsid w:val="00035E43"/>
    <w:rsid w:val="00036506"/>
    <w:rsid w:val="000372CC"/>
    <w:rsid w:val="0004132E"/>
    <w:rsid w:val="000420E8"/>
    <w:rsid w:val="000427F3"/>
    <w:rsid w:val="0005200D"/>
    <w:rsid w:val="0005220C"/>
    <w:rsid w:val="0005271B"/>
    <w:rsid w:val="000550BA"/>
    <w:rsid w:val="0006259F"/>
    <w:rsid w:val="0006446A"/>
    <w:rsid w:val="00064FED"/>
    <w:rsid w:val="00065FA2"/>
    <w:rsid w:val="00065FA9"/>
    <w:rsid w:val="00067C81"/>
    <w:rsid w:val="00070E25"/>
    <w:rsid w:val="000850A4"/>
    <w:rsid w:val="0008677E"/>
    <w:rsid w:val="000876DA"/>
    <w:rsid w:val="00087EDC"/>
    <w:rsid w:val="00091783"/>
    <w:rsid w:val="00091BDA"/>
    <w:rsid w:val="00093850"/>
    <w:rsid w:val="00093EC7"/>
    <w:rsid w:val="000976F8"/>
    <w:rsid w:val="000A0B5F"/>
    <w:rsid w:val="000A1E62"/>
    <w:rsid w:val="000A7973"/>
    <w:rsid w:val="000B08DF"/>
    <w:rsid w:val="000B0F81"/>
    <w:rsid w:val="000B3CCB"/>
    <w:rsid w:val="000B68A9"/>
    <w:rsid w:val="000B697B"/>
    <w:rsid w:val="000B6DD4"/>
    <w:rsid w:val="000B728C"/>
    <w:rsid w:val="000B75F9"/>
    <w:rsid w:val="000C0F32"/>
    <w:rsid w:val="000C53FB"/>
    <w:rsid w:val="000C59C3"/>
    <w:rsid w:val="000C6A50"/>
    <w:rsid w:val="000C6C14"/>
    <w:rsid w:val="000D0A10"/>
    <w:rsid w:val="000D1237"/>
    <w:rsid w:val="000D398B"/>
    <w:rsid w:val="000D4424"/>
    <w:rsid w:val="000D45C2"/>
    <w:rsid w:val="000D55E0"/>
    <w:rsid w:val="000D5C9B"/>
    <w:rsid w:val="000E0172"/>
    <w:rsid w:val="000E0F8E"/>
    <w:rsid w:val="000E2118"/>
    <w:rsid w:val="000E300C"/>
    <w:rsid w:val="000E36AB"/>
    <w:rsid w:val="000E6868"/>
    <w:rsid w:val="000E6E45"/>
    <w:rsid w:val="000E7A91"/>
    <w:rsid w:val="000F04EA"/>
    <w:rsid w:val="000F3AEA"/>
    <w:rsid w:val="000F4989"/>
    <w:rsid w:val="000F4A77"/>
    <w:rsid w:val="000F5BC0"/>
    <w:rsid w:val="000F68C4"/>
    <w:rsid w:val="000F7A39"/>
    <w:rsid w:val="00100861"/>
    <w:rsid w:val="00100FA1"/>
    <w:rsid w:val="00113DBE"/>
    <w:rsid w:val="00114D57"/>
    <w:rsid w:val="001200CA"/>
    <w:rsid w:val="00121539"/>
    <w:rsid w:val="00123D99"/>
    <w:rsid w:val="00126348"/>
    <w:rsid w:val="00130426"/>
    <w:rsid w:val="001306B9"/>
    <w:rsid w:val="001324C6"/>
    <w:rsid w:val="0013297A"/>
    <w:rsid w:val="001349F8"/>
    <w:rsid w:val="00135F12"/>
    <w:rsid w:val="001405AC"/>
    <w:rsid w:val="001421B8"/>
    <w:rsid w:val="00143125"/>
    <w:rsid w:val="00144DEF"/>
    <w:rsid w:val="001460E4"/>
    <w:rsid w:val="00147497"/>
    <w:rsid w:val="0015062B"/>
    <w:rsid w:val="00152EA3"/>
    <w:rsid w:val="00154279"/>
    <w:rsid w:val="00154528"/>
    <w:rsid w:val="001559A5"/>
    <w:rsid w:val="00156244"/>
    <w:rsid w:val="0015737D"/>
    <w:rsid w:val="00160ACA"/>
    <w:rsid w:val="00161D1F"/>
    <w:rsid w:val="001643F6"/>
    <w:rsid w:val="001652A6"/>
    <w:rsid w:val="00165C11"/>
    <w:rsid w:val="001742FD"/>
    <w:rsid w:val="0017790D"/>
    <w:rsid w:val="00177DAE"/>
    <w:rsid w:val="001804EF"/>
    <w:rsid w:val="00181265"/>
    <w:rsid w:val="001830FD"/>
    <w:rsid w:val="0018327E"/>
    <w:rsid w:val="00183972"/>
    <w:rsid w:val="00187944"/>
    <w:rsid w:val="00190470"/>
    <w:rsid w:val="00193542"/>
    <w:rsid w:val="00196281"/>
    <w:rsid w:val="001A3C3E"/>
    <w:rsid w:val="001A55DF"/>
    <w:rsid w:val="001A65A6"/>
    <w:rsid w:val="001A7F6A"/>
    <w:rsid w:val="001B2A85"/>
    <w:rsid w:val="001B2EAF"/>
    <w:rsid w:val="001B3395"/>
    <w:rsid w:val="001B4A66"/>
    <w:rsid w:val="001B615B"/>
    <w:rsid w:val="001B6C7A"/>
    <w:rsid w:val="001C1232"/>
    <w:rsid w:val="001C23CF"/>
    <w:rsid w:val="001C25E9"/>
    <w:rsid w:val="001C332E"/>
    <w:rsid w:val="001C3576"/>
    <w:rsid w:val="001C48A6"/>
    <w:rsid w:val="001C5042"/>
    <w:rsid w:val="001C6B83"/>
    <w:rsid w:val="001D03CA"/>
    <w:rsid w:val="001D459B"/>
    <w:rsid w:val="001D5B45"/>
    <w:rsid w:val="001D6A17"/>
    <w:rsid w:val="001D6F15"/>
    <w:rsid w:val="001D7547"/>
    <w:rsid w:val="001D7E70"/>
    <w:rsid w:val="001E0140"/>
    <w:rsid w:val="001E136B"/>
    <w:rsid w:val="001E1BFA"/>
    <w:rsid w:val="001E4B8E"/>
    <w:rsid w:val="001E6575"/>
    <w:rsid w:val="001F0400"/>
    <w:rsid w:val="001F11CC"/>
    <w:rsid w:val="001F3124"/>
    <w:rsid w:val="001F56BB"/>
    <w:rsid w:val="001F5CC5"/>
    <w:rsid w:val="00201C53"/>
    <w:rsid w:val="002023E8"/>
    <w:rsid w:val="00203F7E"/>
    <w:rsid w:val="00204602"/>
    <w:rsid w:val="002073FB"/>
    <w:rsid w:val="0020750C"/>
    <w:rsid w:val="002076B9"/>
    <w:rsid w:val="002103E3"/>
    <w:rsid w:val="00212D81"/>
    <w:rsid w:val="00214866"/>
    <w:rsid w:val="00214C2B"/>
    <w:rsid w:val="00224D96"/>
    <w:rsid w:val="00226607"/>
    <w:rsid w:val="002325E9"/>
    <w:rsid w:val="002331CF"/>
    <w:rsid w:val="00237EDF"/>
    <w:rsid w:val="0024182E"/>
    <w:rsid w:val="00241FCC"/>
    <w:rsid w:val="002426B5"/>
    <w:rsid w:val="00242C81"/>
    <w:rsid w:val="00246550"/>
    <w:rsid w:val="002504CA"/>
    <w:rsid w:val="002539A5"/>
    <w:rsid w:val="002573B0"/>
    <w:rsid w:val="00261726"/>
    <w:rsid w:val="002625EF"/>
    <w:rsid w:val="00262755"/>
    <w:rsid w:val="002637B7"/>
    <w:rsid w:val="0026452C"/>
    <w:rsid w:val="00265B13"/>
    <w:rsid w:val="00266296"/>
    <w:rsid w:val="00266A49"/>
    <w:rsid w:val="0027707C"/>
    <w:rsid w:val="00277874"/>
    <w:rsid w:val="002779C8"/>
    <w:rsid w:val="00277E54"/>
    <w:rsid w:val="002857D9"/>
    <w:rsid w:val="0028595D"/>
    <w:rsid w:val="00286421"/>
    <w:rsid w:val="00293B28"/>
    <w:rsid w:val="00294062"/>
    <w:rsid w:val="002949AB"/>
    <w:rsid w:val="002956D7"/>
    <w:rsid w:val="00297EF2"/>
    <w:rsid w:val="002A5F86"/>
    <w:rsid w:val="002A7F37"/>
    <w:rsid w:val="002B07B6"/>
    <w:rsid w:val="002B08BA"/>
    <w:rsid w:val="002B0D00"/>
    <w:rsid w:val="002B2699"/>
    <w:rsid w:val="002B430F"/>
    <w:rsid w:val="002B448C"/>
    <w:rsid w:val="002B5188"/>
    <w:rsid w:val="002B6453"/>
    <w:rsid w:val="002B716F"/>
    <w:rsid w:val="002C0627"/>
    <w:rsid w:val="002C2CBC"/>
    <w:rsid w:val="002C3EE0"/>
    <w:rsid w:val="002D152B"/>
    <w:rsid w:val="002D18E8"/>
    <w:rsid w:val="002D550C"/>
    <w:rsid w:val="002D663E"/>
    <w:rsid w:val="002D6C6C"/>
    <w:rsid w:val="002D789D"/>
    <w:rsid w:val="002E08B1"/>
    <w:rsid w:val="002E12A2"/>
    <w:rsid w:val="002E4A44"/>
    <w:rsid w:val="002E5561"/>
    <w:rsid w:val="002E5630"/>
    <w:rsid w:val="002F035C"/>
    <w:rsid w:val="002F099D"/>
    <w:rsid w:val="002F1B7C"/>
    <w:rsid w:val="002F59AC"/>
    <w:rsid w:val="002F76E1"/>
    <w:rsid w:val="0030010D"/>
    <w:rsid w:val="00301786"/>
    <w:rsid w:val="003031D8"/>
    <w:rsid w:val="00303606"/>
    <w:rsid w:val="00303835"/>
    <w:rsid w:val="0030418E"/>
    <w:rsid w:val="003054CF"/>
    <w:rsid w:val="00306413"/>
    <w:rsid w:val="00307465"/>
    <w:rsid w:val="00307AC7"/>
    <w:rsid w:val="00310EEB"/>
    <w:rsid w:val="00311C8D"/>
    <w:rsid w:val="00312E03"/>
    <w:rsid w:val="00314002"/>
    <w:rsid w:val="00314D15"/>
    <w:rsid w:val="0031789F"/>
    <w:rsid w:val="0032009A"/>
    <w:rsid w:val="00325DEC"/>
    <w:rsid w:val="003340C1"/>
    <w:rsid w:val="0033570E"/>
    <w:rsid w:val="003410FC"/>
    <w:rsid w:val="00341303"/>
    <w:rsid w:val="00341A6A"/>
    <w:rsid w:val="00343098"/>
    <w:rsid w:val="00343971"/>
    <w:rsid w:val="0034409F"/>
    <w:rsid w:val="0034532A"/>
    <w:rsid w:val="003477AB"/>
    <w:rsid w:val="003500B8"/>
    <w:rsid w:val="00350732"/>
    <w:rsid w:val="00351651"/>
    <w:rsid w:val="00351B30"/>
    <w:rsid w:val="003542FC"/>
    <w:rsid w:val="00355DA7"/>
    <w:rsid w:val="003564AE"/>
    <w:rsid w:val="00356AE3"/>
    <w:rsid w:val="00357820"/>
    <w:rsid w:val="003601A7"/>
    <w:rsid w:val="00360C27"/>
    <w:rsid w:val="00360CDD"/>
    <w:rsid w:val="00361B4F"/>
    <w:rsid w:val="00362AAB"/>
    <w:rsid w:val="0036737F"/>
    <w:rsid w:val="003673B7"/>
    <w:rsid w:val="00371B33"/>
    <w:rsid w:val="00375802"/>
    <w:rsid w:val="00381357"/>
    <w:rsid w:val="00382244"/>
    <w:rsid w:val="003833D4"/>
    <w:rsid w:val="00383B7F"/>
    <w:rsid w:val="00384EA9"/>
    <w:rsid w:val="00384F24"/>
    <w:rsid w:val="003879B9"/>
    <w:rsid w:val="00390376"/>
    <w:rsid w:val="003903A7"/>
    <w:rsid w:val="00390ED3"/>
    <w:rsid w:val="00392373"/>
    <w:rsid w:val="003942BC"/>
    <w:rsid w:val="00394C29"/>
    <w:rsid w:val="00395952"/>
    <w:rsid w:val="00395B1C"/>
    <w:rsid w:val="00397D53"/>
    <w:rsid w:val="003A338C"/>
    <w:rsid w:val="003A35F3"/>
    <w:rsid w:val="003A38E7"/>
    <w:rsid w:val="003A5A7F"/>
    <w:rsid w:val="003B0BEA"/>
    <w:rsid w:val="003B3426"/>
    <w:rsid w:val="003B564E"/>
    <w:rsid w:val="003B6C1E"/>
    <w:rsid w:val="003C0733"/>
    <w:rsid w:val="003C1354"/>
    <w:rsid w:val="003C1F3E"/>
    <w:rsid w:val="003C2319"/>
    <w:rsid w:val="003C280E"/>
    <w:rsid w:val="003C35DE"/>
    <w:rsid w:val="003C7940"/>
    <w:rsid w:val="003D2304"/>
    <w:rsid w:val="003D34DB"/>
    <w:rsid w:val="003D5C8F"/>
    <w:rsid w:val="003D67D9"/>
    <w:rsid w:val="003E0479"/>
    <w:rsid w:val="003E12D2"/>
    <w:rsid w:val="003E23F7"/>
    <w:rsid w:val="003E4ABC"/>
    <w:rsid w:val="003E4E54"/>
    <w:rsid w:val="003E53B3"/>
    <w:rsid w:val="003E7825"/>
    <w:rsid w:val="003F080A"/>
    <w:rsid w:val="003F2416"/>
    <w:rsid w:val="003F464E"/>
    <w:rsid w:val="003F5085"/>
    <w:rsid w:val="003F70D7"/>
    <w:rsid w:val="0040106F"/>
    <w:rsid w:val="00402D87"/>
    <w:rsid w:val="00403397"/>
    <w:rsid w:val="004070FA"/>
    <w:rsid w:val="00412E5A"/>
    <w:rsid w:val="00417406"/>
    <w:rsid w:val="00417A47"/>
    <w:rsid w:val="0042077B"/>
    <w:rsid w:val="004225B0"/>
    <w:rsid w:val="004227F9"/>
    <w:rsid w:val="00422803"/>
    <w:rsid w:val="00425B15"/>
    <w:rsid w:val="00431D82"/>
    <w:rsid w:val="004331E0"/>
    <w:rsid w:val="00433A36"/>
    <w:rsid w:val="00437EDE"/>
    <w:rsid w:val="0044249B"/>
    <w:rsid w:val="004466A9"/>
    <w:rsid w:val="004532B2"/>
    <w:rsid w:val="00453816"/>
    <w:rsid w:val="00453BA5"/>
    <w:rsid w:val="00454195"/>
    <w:rsid w:val="00456919"/>
    <w:rsid w:val="0046008C"/>
    <w:rsid w:val="004618A8"/>
    <w:rsid w:val="00462F1D"/>
    <w:rsid w:val="004640E1"/>
    <w:rsid w:val="00465369"/>
    <w:rsid w:val="00466D13"/>
    <w:rsid w:val="004746D6"/>
    <w:rsid w:val="00474FD3"/>
    <w:rsid w:val="00475EC0"/>
    <w:rsid w:val="00476DFB"/>
    <w:rsid w:val="00477435"/>
    <w:rsid w:val="004824F5"/>
    <w:rsid w:val="00482D58"/>
    <w:rsid w:val="00491DC1"/>
    <w:rsid w:val="004941C3"/>
    <w:rsid w:val="0049580A"/>
    <w:rsid w:val="00496929"/>
    <w:rsid w:val="00497217"/>
    <w:rsid w:val="00497EFB"/>
    <w:rsid w:val="00497F42"/>
    <w:rsid w:val="004A1DF2"/>
    <w:rsid w:val="004A1ED1"/>
    <w:rsid w:val="004A32B2"/>
    <w:rsid w:val="004A365F"/>
    <w:rsid w:val="004A4E20"/>
    <w:rsid w:val="004B007F"/>
    <w:rsid w:val="004B0D47"/>
    <w:rsid w:val="004B14DC"/>
    <w:rsid w:val="004B2E2C"/>
    <w:rsid w:val="004B5D1D"/>
    <w:rsid w:val="004C11A8"/>
    <w:rsid w:val="004C1EBA"/>
    <w:rsid w:val="004C28F3"/>
    <w:rsid w:val="004C2FD7"/>
    <w:rsid w:val="004C32F6"/>
    <w:rsid w:val="004C386B"/>
    <w:rsid w:val="004C5D17"/>
    <w:rsid w:val="004D3E8B"/>
    <w:rsid w:val="004D59E3"/>
    <w:rsid w:val="004D6015"/>
    <w:rsid w:val="004E093F"/>
    <w:rsid w:val="004E2857"/>
    <w:rsid w:val="004E69F6"/>
    <w:rsid w:val="004E6A98"/>
    <w:rsid w:val="004E7C1F"/>
    <w:rsid w:val="004F04C7"/>
    <w:rsid w:val="004F0EB2"/>
    <w:rsid w:val="004F2C19"/>
    <w:rsid w:val="004F4EDB"/>
    <w:rsid w:val="004F72FF"/>
    <w:rsid w:val="004F7B16"/>
    <w:rsid w:val="004F7BD9"/>
    <w:rsid w:val="00503546"/>
    <w:rsid w:val="00504930"/>
    <w:rsid w:val="00504B34"/>
    <w:rsid w:val="00504D3B"/>
    <w:rsid w:val="00507A1A"/>
    <w:rsid w:val="00511121"/>
    <w:rsid w:val="00512B83"/>
    <w:rsid w:val="00513375"/>
    <w:rsid w:val="005140D1"/>
    <w:rsid w:val="00516A13"/>
    <w:rsid w:val="00517279"/>
    <w:rsid w:val="0052630C"/>
    <w:rsid w:val="005270EF"/>
    <w:rsid w:val="0053048E"/>
    <w:rsid w:val="00530AAD"/>
    <w:rsid w:val="0053245F"/>
    <w:rsid w:val="00536504"/>
    <w:rsid w:val="00536627"/>
    <w:rsid w:val="00543A14"/>
    <w:rsid w:val="00546953"/>
    <w:rsid w:val="0054710A"/>
    <w:rsid w:val="00556AFC"/>
    <w:rsid w:val="00562B12"/>
    <w:rsid w:val="0056780E"/>
    <w:rsid w:val="00572402"/>
    <w:rsid w:val="00572ED7"/>
    <w:rsid w:val="00574BCA"/>
    <w:rsid w:val="00574D59"/>
    <w:rsid w:val="0057564E"/>
    <w:rsid w:val="00576BE2"/>
    <w:rsid w:val="00577D28"/>
    <w:rsid w:val="00580729"/>
    <w:rsid w:val="00587BBA"/>
    <w:rsid w:val="005903E3"/>
    <w:rsid w:val="005906AE"/>
    <w:rsid w:val="00593A7F"/>
    <w:rsid w:val="00597009"/>
    <w:rsid w:val="005A201F"/>
    <w:rsid w:val="005A3A45"/>
    <w:rsid w:val="005B2BCF"/>
    <w:rsid w:val="005B2E40"/>
    <w:rsid w:val="005B4F13"/>
    <w:rsid w:val="005B5C70"/>
    <w:rsid w:val="005B6B37"/>
    <w:rsid w:val="005C090E"/>
    <w:rsid w:val="005C285B"/>
    <w:rsid w:val="005C28BE"/>
    <w:rsid w:val="005C33EF"/>
    <w:rsid w:val="005C35D0"/>
    <w:rsid w:val="005C35D8"/>
    <w:rsid w:val="005C652D"/>
    <w:rsid w:val="005C68C4"/>
    <w:rsid w:val="005C78CE"/>
    <w:rsid w:val="005D4A69"/>
    <w:rsid w:val="005D6177"/>
    <w:rsid w:val="005E1027"/>
    <w:rsid w:val="005E4915"/>
    <w:rsid w:val="005E7B09"/>
    <w:rsid w:val="005F23EB"/>
    <w:rsid w:val="005F46C4"/>
    <w:rsid w:val="00603FCC"/>
    <w:rsid w:val="0061337C"/>
    <w:rsid w:val="00613398"/>
    <w:rsid w:val="00613D78"/>
    <w:rsid w:val="00614C70"/>
    <w:rsid w:val="00615630"/>
    <w:rsid w:val="006206CB"/>
    <w:rsid w:val="00620BCA"/>
    <w:rsid w:val="00620F52"/>
    <w:rsid w:val="006217DF"/>
    <w:rsid w:val="00621FC0"/>
    <w:rsid w:val="006231BD"/>
    <w:rsid w:val="00623C28"/>
    <w:rsid w:val="00625919"/>
    <w:rsid w:val="0063362F"/>
    <w:rsid w:val="00634FBA"/>
    <w:rsid w:val="00641405"/>
    <w:rsid w:val="00641BF9"/>
    <w:rsid w:val="006427B9"/>
    <w:rsid w:val="00643C6E"/>
    <w:rsid w:val="006440C2"/>
    <w:rsid w:val="006457B3"/>
    <w:rsid w:val="006458CB"/>
    <w:rsid w:val="00647100"/>
    <w:rsid w:val="00651DD2"/>
    <w:rsid w:val="006521CC"/>
    <w:rsid w:val="00655416"/>
    <w:rsid w:val="0066059D"/>
    <w:rsid w:val="006605CF"/>
    <w:rsid w:val="00660A13"/>
    <w:rsid w:val="0066227D"/>
    <w:rsid w:val="00664ECA"/>
    <w:rsid w:val="00665FE4"/>
    <w:rsid w:val="006661A4"/>
    <w:rsid w:val="00670573"/>
    <w:rsid w:val="00670C1F"/>
    <w:rsid w:val="0067206C"/>
    <w:rsid w:val="00672FBA"/>
    <w:rsid w:val="00674D3E"/>
    <w:rsid w:val="00684F9D"/>
    <w:rsid w:val="006850B8"/>
    <w:rsid w:val="006875AA"/>
    <w:rsid w:val="006921C3"/>
    <w:rsid w:val="006923F9"/>
    <w:rsid w:val="00693C4E"/>
    <w:rsid w:val="006945BC"/>
    <w:rsid w:val="0069538C"/>
    <w:rsid w:val="0069659D"/>
    <w:rsid w:val="006A089D"/>
    <w:rsid w:val="006A10BB"/>
    <w:rsid w:val="006A1E02"/>
    <w:rsid w:val="006A417E"/>
    <w:rsid w:val="006A6749"/>
    <w:rsid w:val="006A6D45"/>
    <w:rsid w:val="006B2D13"/>
    <w:rsid w:val="006B406C"/>
    <w:rsid w:val="006B53B0"/>
    <w:rsid w:val="006C052C"/>
    <w:rsid w:val="006C15C8"/>
    <w:rsid w:val="006C26FE"/>
    <w:rsid w:val="006C4ACD"/>
    <w:rsid w:val="006C512A"/>
    <w:rsid w:val="006C52C9"/>
    <w:rsid w:val="006C7BAA"/>
    <w:rsid w:val="006D2081"/>
    <w:rsid w:val="006E06E6"/>
    <w:rsid w:val="006E11FB"/>
    <w:rsid w:val="006E1898"/>
    <w:rsid w:val="006E2331"/>
    <w:rsid w:val="006E3BF5"/>
    <w:rsid w:val="006E54F2"/>
    <w:rsid w:val="006E56E2"/>
    <w:rsid w:val="006F0295"/>
    <w:rsid w:val="006F16C1"/>
    <w:rsid w:val="006F2269"/>
    <w:rsid w:val="006F7793"/>
    <w:rsid w:val="00700F64"/>
    <w:rsid w:val="00703E41"/>
    <w:rsid w:val="00703EF7"/>
    <w:rsid w:val="00712011"/>
    <w:rsid w:val="00712100"/>
    <w:rsid w:val="00715723"/>
    <w:rsid w:val="007162E0"/>
    <w:rsid w:val="007165F6"/>
    <w:rsid w:val="0071696D"/>
    <w:rsid w:val="00716BF2"/>
    <w:rsid w:val="0072092A"/>
    <w:rsid w:val="007219D9"/>
    <w:rsid w:val="0072313A"/>
    <w:rsid w:val="00723485"/>
    <w:rsid w:val="00724678"/>
    <w:rsid w:val="00725BF1"/>
    <w:rsid w:val="00727E76"/>
    <w:rsid w:val="007315A8"/>
    <w:rsid w:val="007336D3"/>
    <w:rsid w:val="0073454C"/>
    <w:rsid w:val="0073643B"/>
    <w:rsid w:val="0073646D"/>
    <w:rsid w:val="007368A6"/>
    <w:rsid w:val="00740137"/>
    <w:rsid w:val="0074017B"/>
    <w:rsid w:val="0074145C"/>
    <w:rsid w:val="0074189D"/>
    <w:rsid w:val="00742EA9"/>
    <w:rsid w:val="00743BD4"/>
    <w:rsid w:val="007478BF"/>
    <w:rsid w:val="007506B3"/>
    <w:rsid w:val="00750C09"/>
    <w:rsid w:val="007546B3"/>
    <w:rsid w:val="00756C52"/>
    <w:rsid w:val="00761FFA"/>
    <w:rsid w:val="00765E89"/>
    <w:rsid w:val="007708D6"/>
    <w:rsid w:val="0077136B"/>
    <w:rsid w:val="007714F8"/>
    <w:rsid w:val="007717EE"/>
    <w:rsid w:val="007749D3"/>
    <w:rsid w:val="007772CF"/>
    <w:rsid w:val="007801B9"/>
    <w:rsid w:val="00784D50"/>
    <w:rsid w:val="00791977"/>
    <w:rsid w:val="00791E3C"/>
    <w:rsid w:val="00792FDD"/>
    <w:rsid w:val="00794DCB"/>
    <w:rsid w:val="00794FD1"/>
    <w:rsid w:val="00797EC8"/>
    <w:rsid w:val="007A4E9D"/>
    <w:rsid w:val="007A711E"/>
    <w:rsid w:val="007A7949"/>
    <w:rsid w:val="007B2F68"/>
    <w:rsid w:val="007B3C5B"/>
    <w:rsid w:val="007B50EC"/>
    <w:rsid w:val="007B5143"/>
    <w:rsid w:val="007B5FC8"/>
    <w:rsid w:val="007B7979"/>
    <w:rsid w:val="007B799D"/>
    <w:rsid w:val="007B7F59"/>
    <w:rsid w:val="007C0D44"/>
    <w:rsid w:val="007C10C7"/>
    <w:rsid w:val="007C1237"/>
    <w:rsid w:val="007C2D38"/>
    <w:rsid w:val="007C5036"/>
    <w:rsid w:val="007C620F"/>
    <w:rsid w:val="007C6B09"/>
    <w:rsid w:val="007C7302"/>
    <w:rsid w:val="007D1E57"/>
    <w:rsid w:val="007D4896"/>
    <w:rsid w:val="007D4A56"/>
    <w:rsid w:val="007E2D04"/>
    <w:rsid w:val="007E3463"/>
    <w:rsid w:val="007E6112"/>
    <w:rsid w:val="007E6A86"/>
    <w:rsid w:val="007F1C7E"/>
    <w:rsid w:val="007F384A"/>
    <w:rsid w:val="007F3C4C"/>
    <w:rsid w:val="007F63C8"/>
    <w:rsid w:val="007F648E"/>
    <w:rsid w:val="007F6554"/>
    <w:rsid w:val="007F6C4A"/>
    <w:rsid w:val="00801EE7"/>
    <w:rsid w:val="008046DD"/>
    <w:rsid w:val="00805294"/>
    <w:rsid w:val="00805B4D"/>
    <w:rsid w:val="008061E8"/>
    <w:rsid w:val="008063E1"/>
    <w:rsid w:val="00807391"/>
    <w:rsid w:val="008103F7"/>
    <w:rsid w:val="0081188B"/>
    <w:rsid w:val="00814DEE"/>
    <w:rsid w:val="008151FE"/>
    <w:rsid w:val="00816DF9"/>
    <w:rsid w:val="00816E98"/>
    <w:rsid w:val="00817747"/>
    <w:rsid w:val="008179E2"/>
    <w:rsid w:val="008224D4"/>
    <w:rsid w:val="00822C1D"/>
    <w:rsid w:val="00823929"/>
    <w:rsid w:val="00830C62"/>
    <w:rsid w:val="00831E92"/>
    <w:rsid w:val="008359AE"/>
    <w:rsid w:val="008366EB"/>
    <w:rsid w:val="008420B0"/>
    <w:rsid w:val="00844E39"/>
    <w:rsid w:val="008451DA"/>
    <w:rsid w:val="00846FCB"/>
    <w:rsid w:val="00851E7D"/>
    <w:rsid w:val="008544A7"/>
    <w:rsid w:val="00854B87"/>
    <w:rsid w:val="00854F02"/>
    <w:rsid w:val="00857EB6"/>
    <w:rsid w:val="008609B1"/>
    <w:rsid w:val="00860D13"/>
    <w:rsid w:val="00863336"/>
    <w:rsid w:val="008642B5"/>
    <w:rsid w:val="00865106"/>
    <w:rsid w:val="0086540C"/>
    <w:rsid w:val="00865FDE"/>
    <w:rsid w:val="008668F9"/>
    <w:rsid w:val="008731DF"/>
    <w:rsid w:val="00873FE4"/>
    <w:rsid w:val="008773FB"/>
    <w:rsid w:val="00886759"/>
    <w:rsid w:val="00891FCD"/>
    <w:rsid w:val="00893757"/>
    <w:rsid w:val="008958FA"/>
    <w:rsid w:val="00896FAD"/>
    <w:rsid w:val="008A24F3"/>
    <w:rsid w:val="008A3808"/>
    <w:rsid w:val="008A3E11"/>
    <w:rsid w:val="008A5D89"/>
    <w:rsid w:val="008A7DB9"/>
    <w:rsid w:val="008B0AFE"/>
    <w:rsid w:val="008B1742"/>
    <w:rsid w:val="008B34AF"/>
    <w:rsid w:val="008B4E65"/>
    <w:rsid w:val="008B52E1"/>
    <w:rsid w:val="008B535D"/>
    <w:rsid w:val="008B5CE0"/>
    <w:rsid w:val="008B6B3A"/>
    <w:rsid w:val="008B6BD4"/>
    <w:rsid w:val="008B6C5B"/>
    <w:rsid w:val="008B6EB1"/>
    <w:rsid w:val="008B790A"/>
    <w:rsid w:val="008B7BC2"/>
    <w:rsid w:val="008C1B00"/>
    <w:rsid w:val="008C42DB"/>
    <w:rsid w:val="008C4A97"/>
    <w:rsid w:val="008D020F"/>
    <w:rsid w:val="008D1F15"/>
    <w:rsid w:val="008D337B"/>
    <w:rsid w:val="008D392F"/>
    <w:rsid w:val="008D3F04"/>
    <w:rsid w:val="008D409E"/>
    <w:rsid w:val="008D510B"/>
    <w:rsid w:val="008D6747"/>
    <w:rsid w:val="008D7486"/>
    <w:rsid w:val="008E05EC"/>
    <w:rsid w:val="008E1535"/>
    <w:rsid w:val="008E1AD6"/>
    <w:rsid w:val="008E1E9C"/>
    <w:rsid w:val="008E38DD"/>
    <w:rsid w:val="008E50F3"/>
    <w:rsid w:val="008E69E2"/>
    <w:rsid w:val="008F298C"/>
    <w:rsid w:val="008F29EA"/>
    <w:rsid w:val="008F6DAD"/>
    <w:rsid w:val="009008CA"/>
    <w:rsid w:val="00904228"/>
    <w:rsid w:val="00905F6F"/>
    <w:rsid w:val="00906EFF"/>
    <w:rsid w:val="00907FBD"/>
    <w:rsid w:val="00910A69"/>
    <w:rsid w:val="00912546"/>
    <w:rsid w:val="009147C0"/>
    <w:rsid w:val="00917B46"/>
    <w:rsid w:val="00920AA7"/>
    <w:rsid w:val="0092102B"/>
    <w:rsid w:val="009238D6"/>
    <w:rsid w:val="00923B81"/>
    <w:rsid w:val="009255CE"/>
    <w:rsid w:val="009277EC"/>
    <w:rsid w:val="00937FB3"/>
    <w:rsid w:val="00940258"/>
    <w:rsid w:val="00941FF1"/>
    <w:rsid w:val="00942A2D"/>
    <w:rsid w:val="00942FA2"/>
    <w:rsid w:val="00943838"/>
    <w:rsid w:val="00944F66"/>
    <w:rsid w:val="00945733"/>
    <w:rsid w:val="0095094E"/>
    <w:rsid w:val="00950B52"/>
    <w:rsid w:val="0095115B"/>
    <w:rsid w:val="009512A3"/>
    <w:rsid w:val="00951FC3"/>
    <w:rsid w:val="00952C19"/>
    <w:rsid w:val="009538EC"/>
    <w:rsid w:val="0095667E"/>
    <w:rsid w:val="00960649"/>
    <w:rsid w:val="00960C24"/>
    <w:rsid w:val="009674B9"/>
    <w:rsid w:val="00970935"/>
    <w:rsid w:val="009720C0"/>
    <w:rsid w:val="00974749"/>
    <w:rsid w:val="00975F48"/>
    <w:rsid w:val="009767C5"/>
    <w:rsid w:val="009773D8"/>
    <w:rsid w:val="00977806"/>
    <w:rsid w:val="00982929"/>
    <w:rsid w:val="00982F47"/>
    <w:rsid w:val="00983529"/>
    <w:rsid w:val="00985881"/>
    <w:rsid w:val="00985960"/>
    <w:rsid w:val="0099226C"/>
    <w:rsid w:val="00994CC5"/>
    <w:rsid w:val="00995059"/>
    <w:rsid w:val="00997313"/>
    <w:rsid w:val="009A21B0"/>
    <w:rsid w:val="009A29F4"/>
    <w:rsid w:val="009A6F83"/>
    <w:rsid w:val="009A78F5"/>
    <w:rsid w:val="009A796B"/>
    <w:rsid w:val="009B7132"/>
    <w:rsid w:val="009B7625"/>
    <w:rsid w:val="009B7FB4"/>
    <w:rsid w:val="009C08C0"/>
    <w:rsid w:val="009C0A9C"/>
    <w:rsid w:val="009C385B"/>
    <w:rsid w:val="009C4081"/>
    <w:rsid w:val="009C4543"/>
    <w:rsid w:val="009C49DF"/>
    <w:rsid w:val="009C68CA"/>
    <w:rsid w:val="009D05CC"/>
    <w:rsid w:val="009D1F49"/>
    <w:rsid w:val="009D6095"/>
    <w:rsid w:val="009E1198"/>
    <w:rsid w:val="009E4AF3"/>
    <w:rsid w:val="009E549F"/>
    <w:rsid w:val="009E5C12"/>
    <w:rsid w:val="009E6E32"/>
    <w:rsid w:val="009E72EB"/>
    <w:rsid w:val="009F20DA"/>
    <w:rsid w:val="009F59D2"/>
    <w:rsid w:val="009F5DFD"/>
    <w:rsid w:val="009F76C0"/>
    <w:rsid w:val="00A026B3"/>
    <w:rsid w:val="00A04BFF"/>
    <w:rsid w:val="00A126B1"/>
    <w:rsid w:val="00A12ADA"/>
    <w:rsid w:val="00A13164"/>
    <w:rsid w:val="00A13F3B"/>
    <w:rsid w:val="00A14DBB"/>
    <w:rsid w:val="00A151F1"/>
    <w:rsid w:val="00A22694"/>
    <w:rsid w:val="00A22854"/>
    <w:rsid w:val="00A23C67"/>
    <w:rsid w:val="00A25216"/>
    <w:rsid w:val="00A312C6"/>
    <w:rsid w:val="00A321BA"/>
    <w:rsid w:val="00A372D4"/>
    <w:rsid w:val="00A3756F"/>
    <w:rsid w:val="00A37646"/>
    <w:rsid w:val="00A46152"/>
    <w:rsid w:val="00A46639"/>
    <w:rsid w:val="00A5075F"/>
    <w:rsid w:val="00A5138B"/>
    <w:rsid w:val="00A51BCD"/>
    <w:rsid w:val="00A52EFF"/>
    <w:rsid w:val="00A5478B"/>
    <w:rsid w:val="00A5694C"/>
    <w:rsid w:val="00A56BFE"/>
    <w:rsid w:val="00A570B0"/>
    <w:rsid w:val="00A604AE"/>
    <w:rsid w:val="00A65110"/>
    <w:rsid w:val="00A65234"/>
    <w:rsid w:val="00A655EC"/>
    <w:rsid w:val="00A66A81"/>
    <w:rsid w:val="00A7047E"/>
    <w:rsid w:val="00A70B80"/>
    <w:rsid w:val="00A71877"/>
    <w:rsid w:val="00A72691"/>
    <w:rsid w:val="00A726EB"/>
    <w:rsid w:val="00A72B75"/>
    <w:rsid w:val="00A7578F"/>
    <w:rsid w:val="00A75883"/>
    <w:rsid w:val="00A76F21"/>
    <w:rsid w:val="00A8253A"/>
    <w:rsid w:val="00A8331D"/>
    <w:rsid w:val="00A83A79"/>
    <w:rsid w:val="00A84D8C"/>
    <w:rsid w:val="00A86BB2"/>
    <w:rsid w:val="00A87F99"/>
    <w:rsid w:val="00A90528"/>
    <w:rsid w:val="00A92F92"/>
    <w:rsid w:val="00A949D5"/>
    <w:rsid w:val="00A963AC"/>
    <w:rsid w:val="00A96EDE"/>
    <w:rsid w:val="00AA5E3E"/>
    <w:rsid w:val="00AA65CA"/>
    <w:rsid w:val="00AA734C"/>
    <w:rsid w:val="00AA7B2F"/>
    <w:rsid w:val="00AB05FC"/>
    <w:rsid w:val="00AB228B"/>
    <w:rsid w:val="00AB2402"/>
    <w:rsid w:val="00AB35AF"/>
    <w:rsid w:val="00AB4DCD"/>
    <w:rsid w:val="00AB739F"/>
    <w:rsid w:val="00AB7FDA"/>
    <w:rsid w:val="00AC286A"/>
    <w:rsid w:val="00AC3062"/>
    <w:rsid w:val="00AD3716"/>
    <w:rsid w:val="00AD3794"/>
    <w:rsid w:val="00AD4283"/>
    <w:rsid w:val="00AD46D0"/>
    <w:rsid w:val="00AD7691"/>
    <w:rsid w:val="00AE0090"/>
    <w:rsid w:val="00AE1AB6"/>
    <w:rsid w:val="00AE3703"/>
    <w:rsid w:val="00AE560A"/>
    <w:rsid w:val="00AE7850"/>
    <w:rsid w:val="00AF01D1"/>
    <w:rsid w:val="00AF23DE"/>
    <w:rsid w:val="00AF242F"/>
    <w:rsid w:val="00AF7E05"/>
    <w:rsid w:val="00B010E7"/>
    <w:rsid w:val="00B011CB"/>
    <w:rsid w:val="00B10635"/>
    <w:rsid w:val="00B175C0"/>
    <w:rsid w:val="00B205CA"/>
    <w:rsid w:val="00B2098A"/>
    <w:rsid w:val="00B20B04"/>
    <w:rsid w:val="00B20CCD"/>
    <w:rsid w:val="00B27B09"/>
    <w:rsid w:val="00B311E8"/>
    <w:rsid w:val="00B31836"/>
    <w:rsid w:val="00B32161"/>
    <w:rsid w:val="00B34A4C"/>
    <w:rsid w:val="00B35B02"/>
    <w:rsid w:val="00B401BF"/>
    <w:rsid w:val="00B41C49"/>
    <w:rsid w:val="00B442FE"/>
    <w:rsid w:val="00B44BE7"/>
    <w:rsid w:val="00B5022D"/>
    <w:rsid w:val="00B53077"/>
    <w:rsid w:val="00B55341"/>
    <w:rsid w:val="00B56A04"/>
    <w:rsid w:val="00B62E1B"/>
    <w:rsid w:val="00B62F75"/>
    <w:rsid w:val="00B644B3"/>
    <w:rsid w:val="00B66CB1"/>
    <w:rsid w:val="00B67E55"/>
    <w:rsid w:val="00B728F4"/>
    <w:rsid w:val="00B73E26"/>
    <w:rsid w:val="00B7557C"/>
    <w:rsid w:val="00B76DB4"/>
    <w:rsid w:val="00B802CA"/>
    <w:rsid w:val="00B8130D"/>
    <w:rsid w:val="00B83F05"/>
    <w:rsid w:val="00B84A22"/>
    <w:rsid w:val="00B85917"/>
    <w:rsid w:val="00B875DA"/>
    <w:rsid w:val="00B9112F"/>
    <w:rsid w:val="00B940F6"/>
    <w:rsid w:val="00B97738"/>
    <w:rsid w:val="00BA31E5"/>
    <w:rsid w:val="00BA557B"/>
    <w:rsid w:val="00BA79A9"/>
    <w:rsid w:val="00BB0B20"/>
    <w:rsid w:val="00BB4DF5"/>
    <w:rsid w:val="00BB75DA"/>
    <w:rsid w:val="00BC0A28"/>
    <w:rsid w:val="00BC18C0"/>
    <w:rsid w:val="00BC2948"/>
    <w:rsid w:val="00BC4415"/>
    <w:rsid w:val="00BC76F6"/>
    <w:rsid w:val="00BC7E24"/>
    <w:rsid w:val="00BD0167"/>
    <w:rsid w:val="00BD1959"/>
    <w:rsid w:val="00BD2230"/>
    <w:rsid w:val="00BD30DA"/>
    <w:rsid w:val="00BD6249"/>
    <w:rsid w:val="00BE0DFF"/>
    <w:rsid w:val="00BE2195"/>
    <w:rsid w:val="00BE2EEE"/>
    <w:rsid w:val="00BE60A2"/>
    <w:rsid w:val="00BE6B36"/>
    <w:rsid w:val="00BF1FBE"/>
    <w:rsid w:val="00BF2497"/>
    <w:rsid w:val="00BF2F8D"/>
    <w:rsid w:val="00BF478C"/>
    <w:rsid w:val="00C000C1"/>
    <w:rsid w:val="00C00A07"/>
    <w:rsid w:val="00C0210D"/>
    <w:rsid w:val="00C06CCD"/>
    <w:rsid w:val="00C10E7D"/>
    <w:rsid w:val="00C1323C"/>
    <w:rsid w:val="00C169A0"/>
    <w:rsid w:val="00C16BED"/>
    <w:rsid w:val="00C17FA0"/>
    <w:rsid w:val="00C21111"/>
    <w:rsid w:val="00C22B88"/>
    <w:rsid w:val="00C23A55"/>
    <w:rsid w:val="00C30778"/>
    <w:rsid w:val="00C31109"/>
    <w:rsid w:val="00C322E7"/>
    <w:rsid w:val="00C33B46"/>
    <w:rsid w:val="00C3576F"/>
    <w:rsid w:val="00C35B98"/>
    <w:rsid w:val="00C36614"/>
    <w:rsid w:val="00C37036"/>
    <w:rsid w:val="00C37A14"/>
    <w:rsid w:val="00C400EB"/>
    <w:rsid w:val="00C408BC"/>
    <w:rsid w:val="00C428FE"/>
    <w:rsid w:val="00C435D1"/>
    <w:rsid w:val="00C51E4D"/>
    <w:rsid w:val="00C52614"/>
    <w:rsid w:val="00C530B9"/>
    <w:rsid w:val="00C53C33"/>
    <w:rsid w:val="00C557B0"/>
    <w:rsid w:val="00C56A72"/>
    <w:rsid w:val="00C66F91"/>
    <w:rsid w:val="00C6723D"/>
    <w:rsid w:val="00C71AE4"/>
    <w:rsid w:val="00C71B72"/>
    <w:rsid w:val="00C72429"/>
    <w:rsid w:val="00C74817"/>
    <w:rsid w:val="00C77A7D"/>
    <w:rsid w:val="00C80821"/>
    <w:rsid w:val="00C8237B"/>
    <w:rsid w:val="00C84A8B"/>
    <w:rsid w:val="00C92C35"/>
    <w:rsid w:val="00C9373F"/>
    <w:rsid w:val="00C93CC4"/>
    <w:rsid w:val="00C956A3"/>
    <w:rsid w:val="00C95CAC"/>
    <w:rsid w:val="00C9688D"/>
    <w:rsid w:val="00C97B5D"/>
    <w:rsid w:val="00CA123F"/>
    <w:rsid w:val="00CA1253"/>
    <w:rsid w:val="00CA3BC5"/>
    <w:rsid w:val="00CA4273"/>
    <w:rsid w:val="00CA6076"/>
    <w:rsid w:val="00CA666A"/>
    <w:rsid w:val="00CB094B"/>
    <w:rsid w:val="00CB1298"/>
    <w:rsid w:val="00CB47CA"/>
    <w:rsid w:val="00CB7409"/>
    <w:rsid w:val="00CB794E"/>
    <w:rsid w:val="00CD2048"/>
    <w:rsid w:val="00CD3E00"/>
    <w:rsid w:val="00CD6085"/>
    <w:rsid w:val="00CD78F7"/>
    <w:rsid w:val="00CE151E"/>
    <w:rsid w:val="00CE1B5B"/>
    <w:rsid w:val="00CE2C8B"/>
    <w:rsid w:val="00CE6DF2"/>
    <w:rsid w:val="00CF1029"/>
    <w:rsid w:val="00CF12D4"/>
    <w:rsid w:val="00CF39B3"/>
    <w:rsid w:val="00CF3F06"/>
    <w:rsid w:val="00CF5EBF"/>
    <w:rsid w:val="00D018D2"/>
    <w:rsid w:val="00D03C0A"/>
    <w:rsid w:val="00D10125"/>
    <w:rsid w:val="00D10E7A"/>
    <w:rsid w:val="00D16B55"/>
    <w:rsid w:val="00D16F1C"/>
    <w:rsid w:val="00D175AA"/>
    <w:rsid w:val="00D20C9E"/>
    <w:rsid w:val="00D24617"/>
    <w:rsid w:val="00D27960"/>
    <w:rsid w:val="00D32252"/>
    <w:rsid w:val="00D37D35"/>
    <w:rsid w:val="00D51E00"/>
    <w:rsid w:val="00D5460C"/>
    <w:rsid w:val="00D5776D"/>
    <w:rsid w:val="00D61883"/>
    <w:rsid w:val="00D61D65"/>
    <w:rsid w:val="00D70FE2"/>
    <w:rsid w:val="00D72353"/>
    <w:rsid w:val="00D731EF"/>
    <w:rsid w:val="00D73D79"/>
    <w:rsid w:val="00D8143E"/>
    <w:rsid w:val="00D81FF7"/>
    <w:rsid w:val="00D821FB"/>
    <w:rsid w:val="00D84506"/>
    <w:rsid w:val="00D8733F"/>
    <w:rsid w:val="00D95E5C"/>
    <w:rsid w:val="00DA1FF6"/>
    <w:rsid w:val="00DA40A2"/>
    <w:rsid w:val="00DA713C"/>
    <w:rsid w:val="00DB08A4"/>
    <w:rsid w:val="00DB08D3"/>
    <w:rsid w:val="00DB54BA"/>
    <w:rsid w:val="00DC119F"/>
    <w:rsid w:val="00DC388B"/>
    <w:rsid w:val="00DC4120"/>
    <w:rsid w:val="00DC6C32"/>
    <w:rsid w:val="00DD22EC"/>
    <w:rsid w:val="00DD3D41"/>
    <w:rsid w:val="00DD3E15"/>
    <w:rsid w:val="00DD4494"/>
    <w:rsid w:val="00DE15E8"/>
    <w:rsid w:val="00DE1D2F"/>
    <w:rsid w:val="00DE2B47"/>
    <w:rsid w:val="00DE3C63"/>
    <w:rsid w:val="00DF254F"/>
    <w:rsid w:val="00DF4F46"/>
    <w:rsid w:val="00DF5D13"/>
    <w:rsid w:val="00DF5F84"/>
    <w:rsid w:val="00E00493"/>
    <w:rsid w:val="00E03157"/>
    <w:rsid w:val="00E03B71"/>
    <w:rsid w:val="00E04083"/>
    <w:rsid w:val="00E041CD"/>
    <w:rsid w:val="00E04D29"/>
    <w:rsid w:val="00E067EE"/>
    <w:rsid w:val="00E1110A"/>
    <w:rsid w:val="00E143B9"/>
    <w:rsid w:val="00E15559"/>
    <w:rsid w:val="00E21006"/>
    <w:rsid w:val="00E22075"/>
    <w:rsid w:val="00E239D4"/>
    <w:rsid w:val="00E25AD6"/>
    <w:rsid w:val="00E26310"/>
    <w:rsid w:val="00E2652A"/>
    <w:rsid w:val="00E309AA"/>
    <w:rsid w:val="00E31A5E"/>
    <w:rsid w:val="00E32E1C"/>
    <w:rsid w:val="00E34C00"/>
    <w:rsid w:val="00E35329"/>
    <w:rsid w:val="00E407B3"/>
    <w:rsid w:val="00E4453E"/>
    <w:rsid w:val="00E44626"/>
    <w:rsid w:val="00E45449"/>
    <w:rsid w:val="00E4799B"/>
    <w:rsid w:val="00E566F1"/>
    <w:rsid w:val="00E60C47"/>
    <w:rsid w:val="00E62E7D"/>
    <w:rsid w:val="00E645CB"/>
    <w:rsid w:val="00E65F7A"/>
    <w:rsid w:val="00E66008"/>
    <w:rsid w:val="00E66632"/>
    <w:rsid w:val="00E73661"/>
    <w:rsid w:val="00E7507F"/>
    <w:rsid w:val="00E77B3C"/>
    <w:rsid w:val="00E804B9"/>
    <w:rsid w:val="00E812E4"/>
    <w:rsid w:val="00E82EB0"/>
    <w:rsid w:val="00E85778"/>
    <w:rsid w:val="00E87422"/>
    <w:rsid w:val="00E877FF"/>
    <w:rsid w:val="00E912D1"/>
    <w:rsid w:val="00E97C74"/>
    <w:rsid w:val="00EA0D5A"/>
    <w:rsid w:val="00EA287F"/>
    <w:rsid w:val="00EB01DA"/>
    <w:rsid w:val="00EB1D40"/>
    <w:rsid w:val="00EB302B"/>
    <w:rsid w:val="00EB3534"/>
    <w:rsid w:val="00EB55D4"/>
    <w:rsid w:val="00EB6BA3"/>
    <w:rsid w:val="00EB6CA6"/>
    <w:rsid w:val="00EC0D97"/>
    <w:rsid w:val="00EC4082"/>
    <w:rsid w:val="00EC42C7"/>
    <w:rsid w:val="00EC6098"/>
    <w:rsid w:val="00EC6EB5"/>
    <w:rsid w:val="00ED11E5"/>
    <w:rsid w:val="00ED23A9"/>
    <w:rsid w:val="00ED4626"/>
    <w:rsid w:val="00ED518C"/>
    <w:rsid w:val="00ED5505"/>
    <w:rsid w:val="00ED6C6C"/>
    <w:rsid w:val="00EE0323"/>
    <w:rsid w:val="00EE30FA"/>
    <w:rsid w:val="00EE5CA8"/>
    <w:rsid w:val="00EF4BB5"/>
    <w:rsid w:val="00EF55EA"/>
    <w:rsid w:val="00EF674A"/>
    <w:rsid w:val="00EF7F91"/>
    <w:rsid w:val="00F01ECA"/>
    <w:rsid w:val="00F05386"/>
    <w:rsid w:val="00F05936"/>
    <w:rsid w:val="00F0640B"/>
    <w:rsid w:val="00F07149"/>
    <w:rsid w:val="00F1026E"/>
    <w:rsid w:val="00F10355"/>
    <w:rsid w:val="00F17BE9"/>
    <w:rsid w:val="00F2009C"/>
    <w:rsid w:val="00F20A9E"/>
    <w:rsid w:val="00F20DF3"/>
    <w:rsid w:val="00F22A0E"/>
    <w:rsid w:val="00F22BF3"/>
    <w:rsid w:val="00F22E0F"/>
    <w:rsid w:val="00F24508"/>
    <w:rsid w:val="00F33C1C"/>
    <w:rsid w:val="00F35C01"/>
    <w:rsid w:val="00F361B8"/>
    <w:rsid w:val="00F36875"/>
    <w:rsid w:val="00F36ADA"/>
    <w:rsid w:val="00F36C99"/>
    <w:rsid w:val="00F37332"/>
    <w:rsid w:val="00F377A7"/>
    <w:rsid w:val="00F4146B"/>
    <w:rsid w:val="00F4262E"/>
    <w:rsid w:val="00F42AC2"/>
    <w:rsid w:val="00F42CB2"/>
    <w:rsid w:val="00F45B41"/>
    <w:rsid w:val="00F50B73"/>
    <w:rsid w:val="00F5119F"/>
    <w:rsid w:val="00F526DD"/>
    <w:rsid w:val="00F52F34"/>
    <w:rsid w:val="00F54B4D"/>
    <w:rsid w:val="00F55BB1"/>
    <w:rsid w:val="00F55ED1"/>
    <w:rsid w:val="00F60FA2"/>
    <w:rsid w:val="00F612D7"/>
    <w:rsid w:val="00F63EB8"/>
    <w:rsid w:val="00F64A64"/>
    <w:rsid w:val="00F652C6"/>
    <w:rsid w:val="00F708EF"/>
    <w:rsid w:val="00F72AF8"/>
    <w:rsid w:val="00F73A49"/>
    <w:rsid w:val="00F7524A"/>
    <w:rsid w:val="00F7615C"/>
    <w:rsid w:val="00F82482"/>
    <w:rsid w:val="00F825A5"/>
    <w:rsid w:val="00F85E61"/>
    <w:rsid w:val="00F91052"/>
    <w:rsid w:val="00F94406"/>
    <w:rsid w:val="00F948F4"/>
    <w:rsid w:val="00F96ED2"/>
    <w:rsid w:val="00F96EFD"/>
    <w:rsid w:val="00FA381C"/>
    <w:rsid w:val="00FA4236"/>
    <w:rsid w:val="00FB0256"/>
    <w:rsid w:val="00FB3EA9"/>
    <w:rsid w:val="00FB7990"/>
    <w:rsid w:val="00FC3BE9"/>
    <w:rsid w:val="00FD14A5"/>
    <w:rsid w:val="00FD3CCB"/>
    <w:rsid w:val="00FD6996"/>
    <w:rsid w:val="00FD7DC1"/>
    <w:rsid w:val="00FE38B1"/>
    <w:rsid w:val="00FE5517"/>
    <w:rsid w:val="00FE5CD2"/>
    <w:rsid w:val="00FE5DA8"/>
    <w:rsid w:val="00FE619E"/>
    <w:rsid w:val="00FF0A7B"/>
    <w:rsid w:val="00FF1B47"/>
    <w:rsid w:val="00FF1E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F80A"/>
  <w15:chartTrackingRefBased/>
  <w15:docId w15:val="{F1480F18-1A2D-4B29-A2D9-694E0C4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qFormat/>
    <w:rsid w:val="007A4E9D"/>
    <w:pPr>
      <w:spacing w:after="240" w:line="360" w:lineRule="auto"/>
      <w:ind w:left="567"/>
      <w:jc w:val="both"/>
    </w:pPr>
    <w:rPr>
      <w:rFonts w:ascii="Arial" w:hAnsi="Arial"/>
      <w:sz w:val="24"/>
      <w:lang w:val="en-GB"/>
    </w:rPr>
  </w:style>
  <w:style w:type="paragraph" w:styleId="Heading2">
    <w:name w:val="heading 2"/>
    <w:basedOn w:val="Normal"/>
    <w:next w:val="Normal"/>
    <w:link w:val="Heading2Char"/>
    <w:uiPriority w:val="9"/>
    <w:semiHidden/>
    <w:unhideWhenUsed/>
    <w:qFormat/>
    <w:rsid w:val="00B728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basedOn w:val="Normal"/>
    <w:link w:val="FootnoteTextChar"/>
    <w:uiPriority w:val="99"/>
    <w:semiHidden/>
    <w:unhideWhenUsed/>
    <w:rsid w:val="001F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400"/>
    <w:rPr>
      <w:rFonts w:ascii="Arial" w:hAnsi="Arial"/>
      <w:sz w:val="20"/>
      <w:szCs w:val="20"/>
      <w:lang w:val="en-GB"/>
    </w:rPr>
  </w:style>
  <w:style w:type="character" w:styleId="FootnoteReference">
    <w:name w:val="footnote reference"/>
    <w:basedOn w:val="DefaultParagraphFont"/>
    <w:uiPriority w:val="99"/>
    <w:semiHidden/>
    <w:unhideWhenUsed/>
    <w:rsid w:val="001F0400"/>
    <w:rPr>
      <w:vertAlign w:val="superscript"/>
    </w:rPr>
  </w:style>
  <w:style w:type="paragraph" w:styleId="ListParagraph">
    <w:name w:val="List Paragraph"/>
    <w:basedOn w:val="Normal"/>
    <w:uiPriority w:val="34"/>
    <w:qFormat/>
    <w:rsid w:val="00830C62"/>
    <w:pPr>
      <w:spacing w:after="160" w:line="259" w:lineRule="auto"/>
      <w:ind w:left="720"/>
      <w:contextualSpacing/>
      <w:jc w:val="left"/>
    </w:pPr>
    <w:rPr>
      <w:rFonts w:asciiTheme="minorHAnsi" w:hAnsiTheme="minorHAnsi"/>
      <w:kern w:val="2"/>
      <w:sz w:val="22"/>
      <w:lang w:val="en-ZA"/>
      <w14:ligatures w14:val="standardContextual"/>
    </w:rPr>
  </w:style>
  <w:style w:type="character" w:styleId="Hyperlink">
    <w:name w:val="Hyperlink"/>
    <w:basedOn w:val="DefaultParagraphFont"/>
    <w:uiPriority w:val="99"/>
    <w:unhideWhenUsed/>
    <w:rsid w:val="00620BCA"/>
    <w:rPr>
      <w:color w:val="0563C1" w:themeColor="hyperlink"/>
      <w:u w:val="single"/>
    </w:rPr>
  </w:style>
  <w:style w:type="paragraph" w:styleId="NormalWeb">
    <w:name w:val="Normal (Web)"/>
    <w:basedOn w:val="Normal"/>
    <w:uiPriority w:val="99"/>
    <w:unhideWhenUsed/>
    <w:rsid w:val="00620BC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styleId="CommentReference">
    <w:name w:val="annotation reference"/>
    <w:basedOn w:val="DefaultParagraphFont"/>
    <w:uiPriority w:val="99"/>
    <w:semiHidden/>
    <w:unhideWhenUsed/>
    <w:rsid w:val="00E566F1"/>
    <w:rPr>
      <w:sz w:val="16"/>
      <w:szCs w:val="16"/>
    </w:rPr>
  </w:style>
  <w:style w:type="paragraph" w:styleId="CommentText">
    <w:name w:val="annotation text"/>
    <w:basedOn w:val="Normal"/>
    <w:link w:val="CommentTextChar"/>
    <w:uiPriority w:val="99"/>
    <w:unhideWhenUsed/>
    <w:rsid w:val="00E566F1"/>
    <w:pPr>
      <w:spacing w:line="240" w:lineRule="auto"/>
    </w:pPr>
    <w:rPr>
      <w:sz w:val="20"/>
      <w:szCs w:val="20"/>
    </w:rPr>
  </w:style>
  <w:style w:type="character" w:customStyle="1" w:styleId="CommentTextChar">
    <w:name w:val="Comment Text Char"/>
    <w:basedOn w:val="DefaultParagraphFont"/>
    <w:link w:val="CommentText"/>
    <w:uiPriority w:val="99"/>
    <w:rsid w:val="00E566F1"/>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566F1"/>
    <w:rPr>
      <w:b/>
      <w:bCs/>
    </w:rPr>
  </w:style>
  <w:style w:type="character" w:customStyle="1" w:styleId="CommentSubjectChar">
    <w:name w:val="Comment Subject Char"/>
    <w:basedOn w:val="CommentTextChar"/>
    <w:link w:val="CommentSubject"/>
    <w:uiPriority w:val="99"/>
    <w:semiHidden/>
    <w:rsid w:val="00E566F1"/>
    <w:rPr>
      <w:rFonts w:ascii="Arial" w:hAnsi="Arial"/>
      <w:b/>
      <w:bCs/>
      <w:sz w:val="20"/>
      <w:szCs w:val="20"/>
      <w:lang w:val="en-GB"/>
    </w:rPr>
  </w:style>
  <w:style w:type="character" w:customStyle="1" w:styleId="UnresolvedMention1">
    <w:name w:val="Unresolved Mention1"/>
    <w:basedOn w:val="DefaultParagraphFont"/>
    <w:uiPriority w:val="99"/>
    <w:semiHidden/>
    <w:unhideWhenUsed/>
    <w:rsid w:val="00AA7B2F"/>
    <w:rPr>
      <w:color w:val="605E5C"/>
      <w:shd w:val="clear" w:color="auto" w:fill="E1DFDD"/>
    </w:rPr>
  </w:style>
  <w:style w:type="character" w:customStyle="1" w:styleId="Heading2Char">
    <w:name w:val="Heading 2 Char"/>
    <w:basedOn w:val="DefaultParagraphFont"/>
    <w:link w:val="Heading2"/>
    <w:uiPriority w:val="9"/>
    <w:semiHidden/>
    <w:rsid w:val="00B728F4"/>
    <w:rPr>
      <w:rFonts w:asciiTheme="majorHAnsi" w:eastAsiaTheme="majorEastAsia" w:hAnsiTheme="majorHAnsi" w:cstheme="majorBidi"/>
      <w:color w:val="2E74B5" w:themeColor="accent1" w:themeShade="BF"/>
      <w:sz w:val="26"/>
      <w:szCs w:val="26"/>
      <w:lang w:val="en-GB"/>
    </w:rPr>
  </w:style>
  <w:style w:type="character" w:styleId="Emphasis">
    <w:name w:val="Emphasis"/>
    <w:basedOn w:val="DefaultParagraphFont"/>
    <w:uiPriority w:val="20"/>
    <w:qFormat/>
    <w:rsid w:val="00F20A9E"/>
    <w:rPr>
      <w:i/>
      <w:iCs/>
    </w:rPr>
  </w:style>
  <w:style w:type="paragraph" w:styleId="Header">
    <w:name w:val="header"/>
    <w:basedOn w:val="Normal"/>
    <w:link w:val="HeaderChar"/>
    <w:uiPriority w:val="99"/>
    <w:unhideWhenUsed/>
    <w:rsid w:val="00F0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0B"/>
    <w:rPr>
      <w:rFonts w:ascii="Arial" w:hAnsi="Arial"/>
      <w:sz w:val="24"/>
      <w:lang w:val="en-GB"/>
    </w:rPr>
  </w:style>
  <w:style w:type="paragraph" w:styleId="Footer">
    <w:name w:val="footer"/>
    <w:basedOn w:val="Normal"/>
    <w:link w:val="FooterChar"/>
    <w:uiPriority w:val="99"/>
    <w:unhideWhenUsed/>
    <w:rsid w:val="00F0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0B"/>
    <w:rPr>
      <w:rFonts w:ascii="Arial" w:hAnsi="Arial"/>
      <w:sz w:val="24"/>
      <w:lang w:val="en-GB"/>
    </w:rPr>
  </w:style>
  <w:style w:type="paragraph" w:styleId="BalloonText">
    <w:name w:val="Balloon Text"/>
    <w:basedOn w:val="Normal"/>
    <w:link w:val="BalloonTextChar"/>
    <w:uiPriority w:val="99"/>
    <w:semiHidden/>
    <w:unhideWhenUsed/>
    <w:rsid w:val="0074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BF"/>
    <w:rPr>
      <w:rFonts w:ascii="Segoe UI" w:hAnsi="Segoe UI" w:cs="Segoe UI"/>
      <w:sz w:val="18"/>
      <w:szCs w:val="18"/>
      <w:lang w:val="en-GB"/>
    </w:rPr>
  </w:style>
  <w:style w:type="paragraph" w:styleId="NoSpacing">
    <w:name w:val="No Spacing"/>
    <w:uiPriority w:val="1"/>
    <w:qFormat/>
    <w:rsid w:val="00C428FE"/>
    <w:pPr>
      <w:spacing w:after="0" w:line="240" w:lineRule="auto"/>
      <w:ind w:left="567"/>
      <w:jc w:val="both"/>
    </w:pPr>
    <w:rPr>
      <w:rFonts w:ascii="Arial" w:hAnsi="Arial"/>
      <w:sz w:val="24"/>
      <w:lang w:val="en-GB"/>
    </w:rPr>
  </w:style>
  <w:style w:type="paragraph" w:styleId="Revision">
    <w:name w:val="Revision"/>
    <w:hidden/>
    <w:uiPriority w:val="99"/>
    <w:semiHidden/>
    <w:rsid w:val="004F72FF"/>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9368">
      <w:bodyDiv w:val="1"/>
      <w:marLeft w:val="0"/>
      <w:marRight w:val="0"/>
      <w:marTop w:val="0"/>
      <w:marBottom w:val="0"/>
      <w:divBdr>
        <w:top w:val="none" w:sz="0" w:space="0" w:color="auto"/>
        <w:left w:val="none" w:sz="0" w:space="0" w:color="auto"/>
        <w:bottom w:val="none" w:sz="0" w:space="0" w:color="auto"/>
        <w:right w:val="none" w:sz="0" w:space="0" w:color="auto"/>
      </w:divBdr>
    </w:div>
    <w:div w:id="321203588">
      <w:bodyDiv w:val="1"/>
      <w:marLeft w:val="0"/>
      <w:marRight w:val="0"/>
      <w:marTop w:val="0"/>
      <w:marBottom w:val="0"/>
      <w:divBdr>
        <w:top w:val="none" w:sz="0" w:space="0" w:color="auto"/>
        <w:left w:val="none" w:sz="0" w:space="0" w:color="auto"/>
        <w:bottom w:val="none" w:sz="0" w:space="0" w:color="auto"/>
        <w:right w:val="none" w:sz="0" w:space="0" w:color="auto"/>
      </w:divBdr>
    </w:div>
    <w:div w:id="457064181">
      <w:bodyDiv w:val="1"/>
      <w:marLeft w:val="0"/>
      <w:marRight w:val="0"/>
      <w:marTop w:val="0"/>
      <w:marBottom w:val="0"/>
      <w:divBdr>
        <w:top w:val="none" w:sz="0" w:space="0" w:color="auto"/>
        <w:left w:val="none" w:sz="0" w:space="0" w:color="auto"/>
        <w:bottom w:val="none" w:sz="0" w:space="0" w:color="auto"/>
        <w:right w:val="none" w:sz="0" w:space="0" w:color="auto"/>
      </w:divBdr>
      <w:divsChild>
        <w:div w:id="434712590">
          <w:marLeft w:val="0"/>
          <w:marRight w:val="0"/>
          <w:marTop w:val="120"/>
          <w:marBottom w:val="0"/>
          <w:divBdr>
            <w:top w:val="none" w:sz="0" w:space="0" w:color="auto"/>
            <w:left w:val="none" w:sz="0" w:space="0" w:color="auto"/>
            <w:bottom w:val="none" w:sz="0" w:space="0" w:color="auto"/>
            <w:right w:val="none" w:sz="0" w:space="0" w:color="auto"/>
          </w:divBdr>
        </w:div>
      </w:divsChild>
    </w:div>
    <w:div w:id="782386102">
      <w:bodyDiv w:val="1"/>
      <w:marLeft w:val="0"/>
      <w:marRight w:val="0"/>
      <w:marTop w:val="0"/>
      <w:marBottom w:val="0"/>
      <w:divBdr>
        <w:top w:val="none" w:sz="0" w:space="0" w:color="auto"/>
        <w:left w:val="none" w:sz="0" w:space="0" w:color="auto"/>
        <w:bottom w:val="none" w:sz="0" w:space="0" w:color="auto"/>
        <w:right w:val="none" w:sz="0" w:space="0" w:color="auto"/>
      </w:divBdr>
      <w:divsChild>
        <w:div w:id="1227691684">
          <w:marLeft w:val="0"/>
          <w:marRight w:val="0"/>
          <w:marTop w:val="120"/>
          <w:marBottom w:val="0"/>
          <w:divBdr>
            <w:top w:val="none" w:sz="0" w:space="0" w:color="auto"/>
            <w:left w:val="none" w:sz="0" w:space="0" w:color="auto"/>
            <w:bottom w:val="none" w:sz="0" w:space="0" w:color="auto"/>
            <w:right w:val="none" w:sz="0" w:space="0" w:color="auto"/>
          </w:divBdr>
        </w:div>
      </w:divsChild>
    </w:div>
    <w:div w:id="1038237948">
      <w:bodyDiv w:val="1"/>
      <w:marLeft w:val="0"/>
      <w:marRight w:val="0"/>
      <w:marTop w:val="0"/>
      <w:marBottom w:val="0"/>
      <w:divBdr>
        <w:top w:val="none" w:sz="0" w:space="0" w:color="auto"/>
        <w:left w:val="none" w:sz="0" w:space="0" w:color="auto"/>
        <w:bottom w:val="none" w:sz="0" w:space="0" w:color="auto"/>
        <w:right w:val="none" w:sz="0" w:space="0" w:color="auto"/>
      </w:divBdr>
    </w:div>
    <w:div w:id="1067070991">
      <w:bodyDiv w:val="1"/>
      <w:marLeft w:val="0"/>
      <w:marRight w:val="0"/>
      <w:marTop w:val="0"/>
      <w:marBottom w:val="0"/>
      <w:divBdr>
        <w:top w:val="none" w:sz="0" w:space="0" w:color="auto"/>
        <w:left w:val="none" w:sz="0" w:space="0" w:color="auto"/>
        <w:bottom w:val="none" w:sz="0" w:space="0" w:color="auto"/>
        <w:right w:val="none" w:sz="0" w:space="0" w:color="auto"/>
      </w:divBdr>
    </w:div>
    <w:div w:id="1122919123">
      <w:bodyDiv w:val="1"/>
      <w:marLeft w:val="0"/>
      <w:marRight w:val="0"/>
      <w:marTop w:val="0"/>
      <w:marBottom w:val="0"/>
      <w:divBdr>
        <w:top w:val="none" w:sz="0" w:space="0" w:color="auto"/>
        <w:left w:val="none" w:sz="0" w:space="0" w:color="auto"/>
        <w:bottom w:val="none" w:sz="0" w:space="0" w:color="auto"/>
        <w:right w:val="none" w:sz="0" w:space="0" w:color="auto"/>
      </w:divBdr>
    </w:div>
    <w:div w:id="1179125731">
      <w:bodyDiv w:val="1"/>
      <w:marLeft w:val="0"/>
      <w:marRight w:val="0"/>
      <w:marTop w:val="0"/>
      <w:marBottom w:val="0"/>
      <w:divBdr>
        <w:top w:val="none" w:sz="0" w:space="0" w:color="auto"/>
        <w:left w:val="none" w:sz="0" w:space="0" w:color="auto"/>
        <w:bottom w:val="none" w:sz="0" w:space="0" w:color="auto"/>
        <w:right w:val="none" w:sz="0" w:space="0" w:color="auto"/>
      </w:divBdr>
    </w:div>
    <w:div w:id="1311863895">
      <w:bodyDiv w:val="1"/>
      <w:marLeft w:val="0"/>
      <w:marRight w:val="0"/>
      <w:marTop w:val="0"/>
      <w:marBottom w:val="0"/>
      <w:divBdr>
        <w:top w:val="none" w:sz="0" w:space="0" w:color="auto"/>
        <w:left w:val="none" w:sz="0" w:space="0" w:color="auto"/>
        <w:bottom w:val="none" w:sz="0" w:space="0" w:color="auto"/>
        <w:right w:val="none" w:sz="0" w:space="0" w:color="auto"/>
      </w:divBdr>
    </w:div>
    <w:div w:id="1767269035">
      <w:bodyDiv w:val="1"/>
      <w:marLeft w:val="0"/>
      <w:marRight w:val="0"/>
      <w:marTop w:val="0"/>
      <w:marBottom w:val="0"/>
      <w:divBdr>
        <w:top w:val="none" w:sz="0" w:space="0" w:color="auto"/>
        <w:left w:val="none" w:sz="0" w:space="0" w:color="auto"/>
        <w:bottom w:val="none" w:sz="0" w:space="0" w:color="auto"/>
        <w:right w:val="none" w:sz="0" w:space="0" w:color="auto"/>
      </w:divBdr>
    </w:div>
    <w:div w:id="1848518132">
      <w:bodyDiv w:val="1"/>
      <w:marLeft w:val="0"/>
      <w:marRight w:val="0"/>
      <w:marTop w:val="0"/>
      <w:marBottom w:val="0"/>
      <w:divBdr>
        <w:top w:val="none" w:sz="0" w:space="0" w:color="auto"/>
        <w:left w:val="none" w:sz="0" w:space="0" w:color="auto"/>
        <w:bottom w:val="none" w:sz="0" w:space="0" w:color="auto"/>
        <w:right w:val="none" w:sz="0" w:space="0" w:color="auto"/>
      </w:divBdr>
    </w:div>
    <w:div w:id="20620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lii.org/cgi-bin/LawCite?cit=1964%20%284%29%20SA%207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lii.org/cgi-bin/LawCite?cit=1975%20%283%29%20SA%2056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09%5d%202%20All%20SA%20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Ramaube\OneDrive%20-%20judiciary.org.za\Documents\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16c8a8-44c6-47e7-a73c-eb4dbe60b4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15" ma:contentTypeDescription="Create a new document." ma:contentTypeScope="" ma:versionID="168cdc3ec847cb88c1532c0b5fc189b2">
  <xsd:schema xmlns:xsd="http://www.w3.org/2001/XMLSchema" xmlns:xs="http://www.w3.org/2001/XMLSchema" xmlns:p="http://schemas.microsoft.com/office/2006/metadata/properties" xmlns:ns3="1f16c8a8-44c6-47e7-a73c-eb4dbe60b46d" xmlns:ns4="5da120b3-7f5e-4c33-adc5-0873038508ad" targetNamespace="http://schemas.microsoft.com/office/2006/metadata/properties" ma:root="true" ma:fieldsID="57ed11db38064dc06c83fa2378cf9c82" ns3:_="" ns4:_="">
    <xsd:import namespace="1f16c8a8-44c6-47e7-a73c-eb4dbe60b46d"/>
    <xsd:import namespace="5da120b3-7f5e-4c33-adc5-0873038508a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SystemTags"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c8a8-44c6-47e7-a73c-eb4dbe60b46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120b3-7f5e-4c33-adc5-0873038508a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3D5F-41D3-477A-9A78-F99BA302DE4D}">
  <ds:schemaRefs>
    <ds:schemaRef ds:uri="http://schemas.microsoft.com/office/2006/metadata/properties"/>
    <ds:schemaRef ds:uri="http://schemas.microsoft.com/office/infopath/2007/PartnerControls"/>
    <ds:schemaRef ds:uri="1f16c8a8-44c6-47e7-a73c-eb4dbe60b46d"/>
  </ds:schemaRefs>
</ds:datastoreItem>
</file>

<file path=customXml/itemProps2.xml><?xml version="1.0" encoding="utf-8"?>
<ds:datastoreItem xmlns:ds="http://schemas.openxmlformats.org/officeDocument/2006/customXml" ds:itemID="{6CD2CFC9-870E-41DB-B861-A82E2818AF1A}">
  <ds:schemaRefs>
    <ds:schemaRef ds:uri="http://schemas.microsoft.com/sharepoint/v3/contenttype/forms"/>
  </ds:schemaRefs>
</ds:datastoreItem>
</file>

<file path=customXml/itemProps3.xml><?xml version="1.0" encoding="utf-8"?>
<ds:datastoreItem xmlns:ds="http://schemas.openxmlformats.org/officeDocument/2006/customXml" ds:itemID="{3D986EF3-F86D-4ED9-A0E5-66A345E15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6c8a8-44c6-47e7-a73c-eb4dbe60b46d"/>
    <ds:schemaRef ds:uri="5da120b3-7f5e-4c33-adc5-087303850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97522-C6CC-4695-9E22-0C63CCBD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21</TotalTime>
  <Pages>20</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Carrim</dc:creator>
  <cp:keywords/>
  <dc:description/>
  <cp:lastModifiedBy>sathish sarshan  mohan</cp:lastModifiedBy>
  <cp:revision>3</cp:revision>
  <cp:lastPrinted>2024-03-14T09:59:00Z</cp:lastPrinted>
  <dcterms:created xsi:type="dcterms:W3CDTF">2024-03-20T10:20:00Z</dcterms:created>
  <dcterms:modified xsi:type="dcterms:W3CDTF">2024-03-20T13:34:00Z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