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BA13" w14:textId="0232A535" w:rsidR="006F6C3A" w:rsidRDefault="006F6C3A" w:rsidP="006F6C3A">
      <w:pPr>
        <w:rPr>
          <w:rFonts w:ascii="Arial" w:hAnsi="Arial" w:cs="Arial"/>
          <w:b/>
        </w:rPr>
      </w:pPr>
      <w:r>
        <w:rPr>
          <w:rFonts w:ascii="Arial" w:hAnsi="Arial" w:cs="Arial"/>
        </w:rPr>
        <w:t xml:space="preserve">                                 </w:t>
      </w:r>
      <w:r>
        <w:rPr>
          <w:rFonts w:ascii="Arial" w:hAnsi="Arial" w:cs="Arial"/>
          <w:b/>
        </w:rPr>
        <w:t xml:space="preserve">   </w:t>
      </w:r>
      <w:r w:rsidR="00700EB6">
        <w:rPr>
          <w:rFonts w:ascii="Arial" w:hAnsi="Arial" w:cs="Arial"/>
          <w:b/>
        </w:rPr>
        <w:t xml:space="preserve">  </w:t>
      </w:r>
      <w:r>
        <w:rPr>
          <w:rFonts w:ascii="Arial" w:hAnsi="Arial" w:cs="Arial"/>
          <w:b/>
        </w:rPr>
        <w:t>REPUBLIC OF SOUTH AFRICA</w:t>
      </w:r>
    </w:p>
    <w:p w14:paraId="7CD8256B" w14:textId="77777777" w:rsidR="006F6C3A" w:rsidRDefault="006F6C3A" w:rsidP="006F6C3A">
      <w:pPr>
        <w:jc w:val="center"/>
        <w:rPr>
          <w:rFonts w:ascii="Arial" w:hAnsi="Arial" w:cs="Arial"/>
          <w:b/>
        </w:rPr>
      </w:pPr>
      <w:r>
        <w:rPr>
          <w:rFonts w:ascii="Arial" w:hAnsi="Arial" w:cs="Arial"/>
          <w:lang w:val="en-US"/>
        </w:rPr>
        <w:t xml:space="preserve">          </w:t>
      </w:r>
      <w:r>
        <w:rPr>
          <w:rFonts w:ascii="Arial" w:hAnsi="Arial" w:cs="Arial"/>
          <w:noProof/>
          <w:lang w:eastAsia="en-ZA"/>
        </w:rPr>
        <w:drawing>
          <wp:inline distT="0" distB="0" distL="0" distR="0" wp14:anchorId="2001D20E" wp14:editId="00E42EC5">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Pr>
          <w:noProof/>
          <w:lang w:eastAsia="en-ZA"/>
        </w:rPr>
        <mc:AlternateContent>
          <mc:Choice Requires="wpg">
            <w:drawing>
              <wp:inline distT="0" distB="0" distL="0" distR="0" wp14:anchorId="4CE2DA36" wp14:editId="35DA2E9F">
                <wp:extent cx="673100" cy="863600"/>
                <wp:effectExtent l="0" t="0" r="0" b="0"/>
                <wp:docPr id="3" name="Group 3"/>
                <wp:cNvGraphicFramePr/>
                <a:graphic xmlns:a="http://schemas.openxmlformats.org/drawingml/2006/main">
                  <a:graphicData uri="http://schemas.microsoft.com/office/word/2010/wordprocessingGroup">
                    <wpg:wgp>
                      <wpg:cNvGrpSpPr/>
                      <wpg:grpSpPr bwMode="auto">
                        <a:xfrm>
                          <a:off x="0" y="0"/>
                          <a:ext cx="673100" cy="863600"/>
                          <a:chOff x="0" y="0"/>
                          <a:chExt cx="1060" cy="1360"/>
                        </a:xfrm>
                      </wpg:grpSpPr>
                      <wps:wsp>
                        <wps:cNvPr id="4" name="AutoShape 3"/>
                        <wps:cNvSpPr>
                          <a:spLocks noChangeAspect="1" noChangeArrowheads="1" noTextEdit="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600F266" id="Group 3"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w10:anchorlock/>
              </v:group>
            </w:pict>
          </mc:Fallback>
        </mc:AlternateContent>
      </w:r>
    </w:p>
    <w:p w14:paraId="0B2074C2" w14:textId="77777777" w:rsidR="006F6C3A" w:rsidRDefault="006F6C3A" w:rsidP="006F6C3A">
      <w:pPr>
        <w:jc w:val="center"/>
        <w:rPr>
          <w:rFonts w:ascii="Arial" w:hAnsi="Arial" w:cs="Arial"/>
          <w:b/>
        </w:rPr>
      </w:pPr>
      <w:r>
        <w:rPr>
          <w:rFonts w:ascii="Arial" w:hAnsi="Arial" w:cs="Arial"/>
          <w:b/>
        </w:rPr>
        <w:t xml:space="preserve">IN THE HIGH COURT OF SOUTH AFRICA, </w:t>
      </w:r>
    </w:p>
    <w:p w14:paraId="772BE5C1" w14:textId="77777777" w:rsidR="006F6C3A" w:rsidRDefault="006F6C3A" w:rsidP="006F6C3A">
      <w:pPr>
        <w:jc w:val="center"/>
        <w:rPr>
          <w:rFonts w:ascii="Arial" w:hAnsi="Arial" w:cs="Arial"/>
          <w:b/>
        </w:rPr>
      </w:pPr>
      <w:r>
        <w:rPr>
          <w:rFonts w:ascii="Arial" w:hAnsi="Arial" w:cs="Arial"/>
          <w:b/>
        </w:rPr>
        <w:t>GAUTENG LOCAL DIVISION, JOHANNESBURG</w:t>
      </w:r>
    </w:p>
    <w:p w14:paraId="6A1A0E8D" w14:textId="77777777" w:rsidR="006F6C3A" w:rsidRDefault="006F6C3A" w:rsidP="006F6C3A">
      <w:pPr>
        <w:rPr>
          <w:rFonts w:ascii="Arial" w:hAnsi="Arial" w:cs="Arial"/>
          <w:b/>
        </w:rPr>
      </w:pPr>
    </w:p>
    <w:p w14:paraId="04AD37BB" w14:textId="046C2B0E" w:rsidR="006F6C3A" w:rsidRDefault="006F6C3A" w:rsidP="006F6C3A">
      <w:pPr>
        <w:jc w:val="center"/>
        <w:rPr>
          <w:rFonts w:ascii="Arial" w:hAnsi="Arial" w:cs="Arial"/>
          <w:b/>
        </w:rPr>
      </w:pPr>
      <w:r>
        <w:rPr>
          <w:noProof/>
          <w:lang w:eastAsia="en-ZA"/>
        </w:rPr>
        <mc:AlternateContent>
          <mc:Choice Requires="wps">
            <w:drawing>
              <wp:anchor distT="0" distB="0" distL="114300" distR="114300" simplePos="0" relativeHeight="251659264" behindDoc="0" locked="0" layoutInCell="1" allowOverlap="1" wp14:anchorId="0E3B6960" wp14:editId="184632A9">
                <wp:simplePos x="0" y="0"/>
                <wp:positionH relativeFrom="column">
                  <wp:posOffset>213360</wp:posOffset>
                </wp:positionH>
                <wp:positionV relativeFrom="paragraph">
                  <wp:posOffset>114300</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32458887" w14:textId="77777777" w:rsidR="00F17DAF" w:rsidRDefault="00F17DAF" w:rsidP="006F6C3A">
                            <w:pPr>
                              <w:jc w:val="center"/>
                              <w:rPr>
                                <w:rFonts w:ascii="Century Gothic" w:hAnsi="Century Gothic"/>
                                <w:b/>
                                <w:sz w:val="20"/>
                                <w:szCs w:val="20"/>
                              </w:rPr>
                            </w:pPr>
                          </w:p>
                          <w:p w14:paraId="30938114" w14:textId="24C711DE" w:rsidR="00F17DAF" w:rsidRDefault="00534FF2" w:rsidP="00534FF2">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17DAF">
                              <w:rPr>
                                <w:rFonts w:ascii="Century Gothic" w:hAnsi="Century Gothic"/>
                                <w:sz w:val="20"/>
                                <w:szCs w:val="20"/>
                              </w:rPr>
                              <w:t>REPORTABLE:   NO/YES</w:t>
                            </w:r>
                          </w:p>
                          <w:p w14:paraId="25CBB488" w14:textId="50388EB2" w:rsidR="00F17DAF" w:rsidRDefault="00534FF2" w:rsidP="00534FF2">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17DAF">
                              <w:rPr>
                                <w:rFonts w:ascii="Century Gothic" w:hAnsi="Century Gothic"/>
                                <w:sz w:val="20"/>
                                <w:szCs w:val="20"/>
                              </w:rPr>
                              <w:t>OF INTEREST TO OTHER JUDGES: NO/YES</w:t>
                            </w:r>
                          </w:p>
                          <w:p w14:paraId="12D99E33" w14:textId="0B0815CA" w:rsidR="00F17DAF" w:rsidRDefault="00534FF2" w:rsidP="00534FF2">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17DAF">
                              <w:rPr>
                                <w:rFonts w:ascii="Century Gothic" w:hAnsi="Century Gothic"/>
                                <w:sz w:val="20"/>
                                <w:szCs w:val="20"/>
                              </w:rPr>
                              <w:t>REVISED.  NO/YES</w:t>
                            </w:r>
                          </w:p>
                          <w:p w14:paraId="4196C75F" w14:textId="77777777" w:rsidR="00F17DAF" w:rsidRDefault="00F17DAF" w:rsidP="006F6C3A">
                            <w:pPr>
                              <w:rPr>
                                <w:rFonts w:ascii="Century Gothic" w:hAnsi="Century Gothic"/>
                                <w:b/>
                                <w:sz w:val="18"/>
                                <w:szCs w:val="18"/>
                              </w:rPr>
                            </w:pPr>
                            <w:r>
                              <w:rPr>
                                <w:rFonts w:ascii="Century Gothic" w:hAnsi="Century Gothic"/>
                                <w:b/>
                                <w:sz w:val="18"/>
                                <w:szCs w:val="18"/>
                              </w:rPr>
                              <w:t xml:space="preserve">           </w:t>
                            </w:r>
                          </w:p>
                          <w:p w14:paraId="506B4DDE" w14:textId="77777777" w:rsidR="00F17DAF" w:rsidRDefault="00F17DAF" w:rsidP="006F6C3A">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3F972CFE" w14:textId="77777777" w:rsidR="00F17DAF" w:rsidRDefault="00F17DAF" w:rsidP="006F6C3A">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B6960" id="_x0000_t202" coordsize="21600,21600" o:spt="202" path="m,l,21600r21600,l21600,xe">
                <v:stroke joinstyle="miter"/>
                <v:path gradientshapeok="t" o:connecttype="rect"/>
              </v:shapetype>
              <v:shape id="Text Box 2" o:spid="_x0000_s1026" type="#_x0000_t202" style="position:absolute;left:0;text-align:left;margin-left:16.8pt;margin-top:9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">
                <v:textbox>
                  <w:txbxContent>
                    <w:p w14:paraId="32458887" w14:textId="77777777" w:rsidR="00F17DAF" w:rsidRDefault="00F17DAF" w:rsidP="006F6C3A">
                      <w:pPr>
                        <w:jc w:val="center"/>
                        <w:rPr>
                          <w:rFonts w:ascii="Century Gothic" w:hAnsi="Century Gothic"/>
                          <w:b/>
                          <w:sz w:val="20"/>
                          <w:szCs w:val="20"/>
                        </w:rPr>
                      </w:pPr>
                    </w:p>
                    <w:p w14:paraId="30938114" w14:textId="24C711DE" w:rsidR="00F17DAF" w:rsidRDefault="00534FF2" w:rsidP="00534FF2">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17DAF">
                        <w:rPr>
                          <w:rFonts w:ascii="Century Gothic" w:hAnsi="Century Gothic"/>
                          <w:sz w:val="20"/>
                          <w:szCs w:val="20"/>
                        </w:rPr>
                        <w:t>REPORTABLE:   NO/YES</w:t>
                      </w:r>
                    </w:p>
                    <w:p w14:paraId="25CBB488" w14:textId="50388EB2" w:rsidR="00F17DAF" w:rsidRDefault="00534FF2" w:rsidP="00534FF2">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17DAF">
                        <w:rPr>
                          <w:rFonts w:ascii="Century Gothic" w:hAnsi="Century Gothic"/>
                          <w:sz w:val="20"/>
                          <w:szCs w:val="20"/>
                        </w:rPr>
                        <w:t>OF INTEREST TO OTHER JUDGES: NO/YES</w:t>
                      </w:r>
                    </w:p>
                    <w:p w14:paraId="12D99E33" w14:textId="0B0815CA" w:rsidR="00F17DAF" w:rsidRDefault="00534FF2" w:rsidP="00534FF2">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17DAF">
                        <w:rPr>
                          <w:rFonts w:ascii="Century Gothic" w:hAnsi="Century Gothic"/>
                          <w:sz w:val="20"/>
                          <w:szCs w:val="20"/>
                        </w:rPr>
                        <w:t>REVISED.  NO/YES</w:t>
                      </w:r>
                    </w:p>
                    <w:p w14:paraId="4196C75F" w14:textId="77777777" w:rsidR="00F17DAF" w:rsidRDefault="00F17DAF" w:rsidP="006F6C3A">
                      <w:pPr>
                        <w:rPr>
                          <w:rFonts w:ascii="Century Gothic" w:hAnsi="Century Gothic"/>
                          <w:b/>
                          <w:sz w:val="18"/>
                          <w:szCs w:val="18"/>
                        </w:rPr>
                      </w:pPr>
                      <w:r>
                        <w:rPr>
                          <w:rFonts w:ascii="Century Gothic" w:hAnsi="Century Gothic"/>
                          <w:b/>
                          <w:sz w:val="18"/>
                          <w:szCs w:val="18"/>
                        </w:rPr>
                        <w:t xml:space="preserve">           </w:t>
                      </w:r>
                    </w:p>
                    <w:p w14:paraId="506B4DDE" w14:textId="77777777" w:rsidR="00F17DAF" w:rsidRDefault="00F17DAF" w:rsidP="006F6C3A">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3F972CFE" w14:textId="77777777" w:rsidR="00F17DAF" w:rsidRDefault="00F17DAF" w:rsidP="006F6C3A">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Pr>
          <w:rFonts w:ascii="Arial" w:hAnsi="Arial" w:cs="Arial"/>
          <w:b/>
        </w:rPr>
        <w:t xml:space="preserve">                                                                      </w:t>
      </w:r>
      <w:r w:rsidR="0016480B">
        <w:rPr>
          <w:rFonts w:ascii="Arial" w:hAnsi="Arial" w:cs="Arial"/>
          <w:b/>
        </w:rPr>
        <w:t xml:space="preserve">          CASE NO. </w:t>
      </w:r>
      <w:r w:rsidR="00272466">
        <w:rPr>
          <w:rFonts w:ascii="Arial" w:hAnsi="Arial" w:cs="Arial"/>
          <w:b/>
        </w:rPr>
        <w:t>2022/</w:t>
      </w:r>
      <w:r w:rsidR="00FC2D7F" w:rsidRPr="00FC2D7F">
        <w:rPr>
          <w:rFonts w:ascii="Arial" w:hAnsi="Arial" w:cs="Arial"/>
          <w:b/>
        </w:rPr>
        <w:t>055447</w:t>
      </w:r>
    </w:p>
    <w:p w14:paraId="4D8C3D89" w14:textId="77777777" w:rsidR="0016480B" w:rsidRDefault="0016480B" w:rsidP="006F6C3A">
      <w:pPr>
        <w:jc w:val="center"/>
        <w:rPr>
          <w:rFonts w:ascii="Arial" w:hAnsi="Arial" w:cs="Arial"/>
          <w:b/>
        </w:rPr>
      </w:pPr>
    </w:p>
    <w:p w14:paraId="09DC74F0" w14:textId="77777777" w:rsidR="0016480B" w:rsidRDefault="0016480B" w:rsidP="006F6C3A">
      <w:pPr>
        <w:jc w:val="center"/>
        <w:rPr>
          <w:rFonts w:ascii="Arial" w:hAnsi="Arial" w:cs="Arial"/>
          <w:b/>
        </w:rPr>
      </w:pPr>
    </w:p>
    <w:p w14:paraId="697ED64E" w14:textId="77777777" w:rsidR="0016480B" w:rsidRDefault="0016480B" w:rsidP="006F6C3A">
      <w:pPr>
        <w:jc w:val="center"/>
        <w:rPr>
          <w:rFonts w:ascii="Arial" w:hAnsi="Arial" w:cs="Arial"/>
          <w:b/>
        </w:rPr>
      </w:pPr>
    </w:p>
    <w:p w14:paraId="043FA1C2" w14:textId="77777777" w:rsidR="006F6C3A" w:rsidRDefault="006F6C3A" w:rsidP="006F6C3A">
      <w:pPr>
        <w:jc w:val="both"/>
        <w:rPr>
          <w:rFonts w:ascii="Arial" w:hAnsi="Arial" w:cs="Arial"/>
        </w:rPr>
      </w:pPr>
    </w:p>
    <w:p w14:paraId="182D3205" w14:textId="77777777" w:rsidR="006F6C3A" w:rsidRDefault="006F6C3A" w:rsidP="006F6C3A">
      <w:pPr>
        <w:jc w:val="both"/>
        <w:rPr>
          <w:rFonts w:ascii="Arial" w:hAnsi="Arial" w:cs="Arial"/>
        </w:rPr>
      </w:pPr>
    </w:p>
    <w:p w14:paraId="18E4B98B" w14:textId="77777777" w:rsidR="006F6C3A" w:rsidRDefault="006F6C3A" w:rsidP="006F6C3A">
      <w:pPr>
        <w:jc w:val="both"/>
        <w:rPr>
          <w:rFonts w:ascii="Arial" w:hAnsi="Arial" w:cs="Arial"/>
        </w:rPr>
      </w:pPr>
    </w:p>
    <w:p w14:paraId="19AEC72A" w14:textId="77777777" w:rsidR="006F6C3A" w:rsidRDefault="006F6C3A" w:rsidP="006F6C3A">
      <w:pPr>
        <w:rPr>
          <w:rFonts w:ascii="Arial" w:hAnsi="Arial" w:cs="Arial"/>
        </w:rPr>
      </w:pPr>
    </w:p>
    <w:p w14:paraId="5F172F2A" w14:textId="77777777" w:rsidR="006F6C3A" w:rsidRDefault="006F6C3A" w:rsidP="006F6C3A">
      <w:pPr>
        <w:rPr>
          <w:rFonts w:ascii="Arial" w:hAnsi="Arial" w:cs="Arial"/>
        </w:rPr>
      </w:pPr>
    </w:p>
    <w:p w14:paraId="17794ECE" w14:textId="77777777" w:rsidR="006F6C3A" w:rsidRDefault="006F6C3A" w:rsidP="006F6C3A">
      <w:pPr>
        <w:jc w:val="both"/>
        <w:rPr>
          <w:rFonts w:ascii="Arial" w:hAnsi="Arial" w:cs="Arial"/>
          <w:lang w:val="en-GB"/>
        </w:rPr>
      </w:pPr>
    </w:p>
    <w:p w14:paraId="23D0E192" w14:textId="77777777" w:rsidR="006F6C3A" w:rsidRDefault="006F6C3A" w:rsidP="006F6C3A">
      <w:pPr>
        <w:rPr>
          <w:rFonts w:ascii="Arial" w:hAnsi="Arial" w:cs="Arial"/>
          <w:lang w:val="en-US"/>
        </w:rPr>
      </w:pPr>
      <w:r>
        <w:rPr>
          <w:rFonts w:ascii="Arial" w:hAnsi="Arial" w:cs="Arial"/>
          <w:lang w:val="en-US"/>
        </w:rPr>
        <w:t>In the matter between:</w:t>
      </w:r>
    </w:p>
    <w:p w14:paraId="1F6A6260" w14:textId="77777777" w:rsidR="006F6C3A" w:rsidRDefault="006F6C3A" w:rsidP="006F6C3A">
      <w:pPr>
        <w:rPr>
          <w:rFonts w:ascii="Arial" w:hAnsi="Arial" w:cs="Arial"/>
          <w:b/>
          <w:lang w:val="en-US"/>
        </w:rPr>
      </w:pPr>
    </w:p>
    <w:p w14:paraId="48CE70CD" w14:textId="2C45A3C9" w:rsidR="006F6C3A" w:rsidRPr="0000404C" w:rsidRDefault="00272466" w:rsidP="006F6C3A">
      <w:pPr>
        <w:rPr>
          <w:rFonts w:ascii="Arial" w:hAnsi="Arial" w:cs="Arial"/>
          <w:b/>
        </w:rPr>
      </w:pPr>
      <w:r>
        <w:rPr>
          <w:rFonts w:ascii="Arial" w:hAnsi="Arial" w:cs="Arial"/>
          <w:b/>
        </w:rPr>
        <w:t>D</w:t>
      </w:r>
      <w:r w:rsidR="00D25D78">
        <w:rPr>
          <w:rFonts w:ascii="Arial" w:hAnsi="Arial" w:cs="Arial"/>
          <w:b/>
        </w:rPr>
        <w:t xml:space="preserve">INEAM TRADE (PTY) LTD </w:t>
      </w:r>
      <w:r w:rsidR="006F6C3A" w:rsidRPr="005125CD">
        <w:rPr>
          <w:rFonts w:ascii="Arial" w:hAnsi="Arial" w:cs="Arial"/>
          <w:b/>
        </w:rPr>
        <w:t xml:space="preserve">  </w:t>
      </w:r>
      <w:r w:rsidR="0016480B">
        <w:rPr>
          <w:rFonts w:ascii="Arial" w:hAnsi="Arial" w:cs="Arial"/>
          <w:b/>
        </w:rPr>
        <w:t xml:space="preserve">       </w:t>
      </w:r>
      <w:r w:rsidR="006F6C3A" w:rsidRPr="005125CD">
        <w:rPr>
          <w:rFonts w:ascii="Arial" w:hAnsi="Arial" w:cs="Arial"/>
          <w:b/>
        </w:rPr>
        <w:t xml:space="preserve">     </w:t>
      </w:r>
      <w:r w:rsidR="0016480B">
        <w:rPr>
          <w:rFonts w:ascii="Arial" w:hAnsi="Arial" w:cs="Arial"/>
          <w:b/>
        </w:rPr>
        <w:t xml:space="preserve">            </w:t>
      </w:r>
      <w:r w:rsidR="000E1612">
        <w:rPr>
          <w:rFonts w:ascii="Arial" w:hAnsi="Arial" w:cs="Arial"/>
          <w:b/>
        </w:rPr>
        <w:tab/>
      </w:r>
      <w:r w:rsidR="000E1612">
        <w:rPr>
          <w:rFonts w:ascii="Arial" w:hAnsi="Arial" w:cs="Arial"/>
          <w:b/>
        </w:rPr>
        <w:tab/>
      </w:r>
      <w:r w:rsidR="004F254C">
        <w:rPr>
          <w:rFonts w:ascii="Arial" w:hAnsi="Arial" w:cs="Arial"/>
          <w:b/>
        </w:rPr>
        <w:t xml:space="preserve">   </w:t>
      </w:r>
      <w:r w:rsidR="006F6C3A" w:rsidRPr="005125CD">
        <w:rPr>
          <w:rFonts w:ascii="Arial" w:hAnsi="Arial" w:cs="Arial"/>
          <w:b/>
        </w:rPr>
        <w:t xml:space="preserve"> </w:t>
      </w:r>
      <w:r w:rsidR="005664A8">
        <w:rPr>
          <w:rFonts w:ascii="Arial" w:hAnsi="Arial" w:cs="Arial"/>
          <w:b/>
        </w:rPr>
        <w:t xml:space="preserve">Applicant </w:t>
      </w:r>
      <w:r w:rsidR="000E1612">
        <w:rPr>
          <w:rFonts w:ascii="Arial" w:hAnsi="Arial" w:cs="Arial"/>
          <w:b/>
        </w:rPr>
        <w:tab/>
      </w:r>
      <w:r w:rsidR="000E1612">
        <w:rPr>
          <w:rFonts w:ascii="Arial" w:hAnsi="Arial" w:cs="Arial"/>
          <w:b/>
        </w:rPr>
        <w:tab/>
      </w:r>
      <w:r w:rsidR="000E1612">
        <w:rPr>
          <w:rFonts w:ascii="Arial" w:hAnsi="Arial" w:cs="Arial"/>
          <w:b/>
        </w:rPr>
        <w:tab/>
      </w:r>
      <w:r w:rsidR="000E1612">
        <w:rPr>
          <w:rFonts w:ascii="Arial" w:hAnsi="Arial" w:cs="Arial"/>
          <w:b/>
        </w:rPr>
        <w:tab/>
      </w:r>
      <w:r w:rsidR="000E1612">
        <w:rPr>
          <w:rFonts w:ascii="Arial" w:hAnsi="Arial" w:cs="Arial"/>
          <w:b/>
        </w:rPr>
        <w:tab/>
      </w:r>
      <w:r w:rsidR="000E1612">
        <w:rPr>
          <w:rFonts w:ascii="Arial" w:hAnsi="Arial" w:cs="Arial"/>
          <w:b/>
        </w:rPr>
        <w:tab/>
      </w:r>
      <w:r w:rsidR="000E1612">
        <w:rPr>
          <w:rFonts w:ascii="Arial" w:hAnsi="Arial" w:cs="Arial"/>
          <w:b/>
        </w:rPr>
        <w:tab/>
      </w:r>
      <w:r w:rsidR="006F6C3A" w:rsidRPr="0016480B">
        <w:rPr>
          <w:rFonts w:ascii="Arial" w:hAnsi="Arial" w:cs="Arial"/>
          <w:b/>
        </w:rPr>
        <w:t xml:space="preserve">                                                       </w:t>
      </w:r>
      <w:r w:rsidR="006F6C3A" w:rsidRPr="0016480B">
        <w:rPr>
          <w:rFonts w:ascii="Arial" w:hAnsi="Arial" w:cs="Arial"/>
          <w:b/>
          <w:lang w:val="en-US"/>
        </w:rPr>
        <w:t xml:space="preserve">                          </w:t>
      </w:r>
      <w:r w:rsidR="006F6C3A" w:rsidRPr="005125CD">
        <w:rPr>
          <w:rFonts w:ascii="Arial" w:hAnsi="Arial" w:cs="Arial"/>
          <w:lang w:val="en-US"/>
        </w:rPr>
        <w:tab/>
      </w:r>
      <w:r w:rsidR="006F6C3A" w:rsidRPr="005125CD">
        <w:rPr>
          <w:rFonts w:ascii="Arial" w:hAnsi="Arial" w:cs="Arial"/>
          <w:lang w:val="en-US"/>
        </w:rPr>
        <w:tab/>
      </w:r>
      <w:r w:rsidR="006F6C3A" w:rsidRPr="005125CD">
        <w:rPr>
          <w:rFonts w:ascii="Arial" w:hAnsi="Arial" w:cs="Arial"/>
          <w:lang w:val="en-US"/>
        </w:rPr>
        <w:tab/>
        <w:t xml:space="preserve">                       </w:t>
      </w:r>
      <w:r w:rsidR="006F6C3A" w:rsidRPr="005125CD">
        <w:rPr>
          <w:rFonts w:ascii="Arial" w:hAnsi="Arial" w:cs="Arial"/>
          <w:b/>
          <w:lang w:val="en-US"/>
        </w:rPr>
        <w:t xml:space="preserve">           </w:t>
      </w:r>
      <w:r w:rsidR="006F6C3A" w:rsidRPr="005125CD">
        <w:rPr>
          <w:rFonts w:ascii="Arial" w:hAnsi="Arial" w:cs="Arial"/>
          <w:b/>
          <w:lang w:val="en-US"/>
        </w:rPr>
        <w:tab/>
      </w:r>
      <w:r w:rsidR="006F6C3A" w:rsidRPr="005125CD">
        <w:rPr>
          <w:rFonts w:ascii="Arial" w:hAnsi="Arial" w:cs="Arial"/>
          <w:b/>
          <w:lang w:val="en-US"/>
        </w:rPr>
        <w:tab/>
      </w:r>
      <w:r w:rsidR="006F6C3A" w:rsidRPr="005125CD">
        <w:rPr>
          <w:rFonts w:ascii="Arial" w:hAnsi="Arial" w:cs="Arial"/>
          <w:lang w:val="en-US"/>
        </w:rPr>
        <w:tab/>
      </w:r>
      <w:r w:rsidR="006F6C3A" w:rsidRPr="005125CD">
        <w:rPr>
          <w:rFonts w:ascii="Arial" w:hAnsi="Arial" w:cs="Arial"/>
          <w:lang w:val="en-US"/>
        </w:rPr>
        <w:tab/>
      </w:r>
      <w:r w:rsidR="006F6C3A" w:rsidRPr="005125CD">
        <w:rPr>
          <w:rFonts w:ascii="Arial" w:hAnsi="Arial" w:cs="Arial"/>
          <w:lang w:val="en-US"/>
        </w:rPr>
        <w:tab/>
        <w:t xml:space="preserve">                                                                                           </w:t>
      </w:r>
    </w:p>
    <w:p w14:paraId="5865D7DC" w14:textId="77777777" w:rsidR="0016480B" w:rsidRPr="0016480B" w:rsidRDefault="0016480B" w:rsidP="0016480B">
      <w:pPr>
        <w:jc w:val="both"/>
        <w:rPr>
          <w:rFonts w:ascii="Arial" w:hAnsi="Arial" w:cs="Arial"/>
          <w:b/>
          <w:lang w:val="en-GB"/>
        </w:rPr>
      </w:pPr>
      <w:r w:rsidRPr="0016480B">
        <w:rPr>
          <w:rFonts w:ascii="Arial" w:hAnsi="Arial" w:cs="Arial"/>
          <w:b/>
          <w:lang w:val="en-GB"/>
        </w:rPr>
        <w:t>And</w:t>
      </w:r>
    </w:p>
    <w:p w14:paraId="4774B2CC" w14:textId="77777777" w:rsidR="0016480B" w:rsidRDefault="0016480B" w:rsidP="0016480B">
      <w:pPr>
        <w:jc w:val="both"/>
        <w:rPr>
          <w:rFonts w:ascii="Arial" w:hAnsi="Arial" w:cs="Arial"/>
          <w:lang w:val="en-GB"/>
        </w:rPr>
      </w:pPr>
    </w:p>
    <w:p w14:paraId="564120E3" w14:textId="382B08F3" w:rsidR="006F6C3A" w:rsidRPr="0016480B" w:rsidRDefault="00D25D78" w:rsidP="0016480B">
      <w:pPr>
        <w:jc w:val="both"/>
        <w:rPr>
          <w:rFonts w:ascii="Arial" w:hAnsi="Arial" w:cs="Arial"/>
          <w:b/>
          <w:lang w:val="en-GB"/>
        </w:rPr>
      </w:pPr>
      <w:r>
        <w:rPr>
          <w:rFonts w:ascii="Arial" w:hAnsi="Arial" w:cs="Arial"/>
          <w:b/>
          <w:lang w:val="en-GB"/>
        </w:rPr>
        <w:t>SUMALI</w:t>
      </w:r>
      <w:r w:rsidR="004F254C">
        <w:rPr>
          <w:rFonts w:ascii="Arial" w:hAnsi="Arial" w:cs="Arial"/>
          <w:b/>
          <w:lang w:val="en-GB"/>
        </w:rPr>
        <w:t xml:space="preserve"> INVESTMENTS 101 (PTY) LTD </w:t>
      </w:r>
      <w:r w:rsidR="000E1612">
        <w:rPr>
          <w:rFonts w:ascii="Arial" w:hAnsi="Arial" w:cs="Arial"/>
          <w:b/>
          <w:lang w:val="en-GB"/>
        </w:rPr>
        <w:t xml:space="preserve">                        </w:t>
      </w:r>
      <w:r w:rsidR="005664A8">
        <w:rPr>
          <w:rFonts w:ascii="Arial" w:hAnsi="Arial" w:cs="Arial"/>
          <w:b/>
          <w:lang w:val="en-GB"/>
        </w:rPr>
        <w:t>Responden</w:t>
      </w:r>
      <w:r w:rsidR="00921721">
        <w:rPr>
          <w:rFonts w:ascii="Arial" w:hAnsi="Arial" w:cs="Arial"/>
          <w:b/>
          <w:lang w:val="en-GB"/>
        </w:rPr>
        <w:t>t</w:t>
      </w:r>
    </w:p>
    <w:p w14:paraId="1B9794EF" w14:textId="77777777" w:rsidR="006F6C3A" w:rsidRDefault="006F6C3A" w:rsidP="006F6C3A">
      <w:pPr>
        <w:spacing w:line="480" w:lineRule="auto"/>
        <w:jc w:val="both"/>
        <w:rPr>
          <w:rFonts w:ascii="Arial" w:hAnsi="Arial" w:cs="Arial"/>
          <w:lang w:val="en-GB"/>
        </w:rPr>
      </w:pPr>
      <w:r>
        <w:rPr>
          <w:rFonts w:ascii="Arial" w:hAnsi="Arial" w:cs="Arial"/>
          <w:lang w:val="en-GB"/>
        </w:rPr>
        <w:t>___________________________________________________________________</w:t>
      </w:r>
    </w:p>
    <w:p w14:paraId="213960F4" w14:textId="68C10C56" w:rsidR="006F6C3A" w:rsidRDefault="006F6C3A" w:rsidP="006F6C3A">
      <w:pPr>
        <w:jc w:val="both"/>
        <w:rPr>
          <w:rFonts w:ascii="Arial" w:hAnsi="Arial" w:cs="Arial"/>
          <w:b/>
          <w:sz w:val="28"/>
          <w:lang w:val="en-GB"/>
        </w:rPr>
      </w:pPr>
      <w:r>
        <w:rPr>
          <w:rFonts w:ascii="Arial" w:hAnsi="Arial" w:cs="Arial"/>
          <w:b/>
          <w:sz w:val="28"/>
          <w:lang w:val="en-GB"/>
        </w:rPr>
        <w:t xml:space="preserve">                                     </w:t>
      </w:r>
      <w:r w:rsidR="00700EB6">
        <w:rPr>
          <w:rFonts w:ascii="Arial" w:hAnsi="Arial" w:cs="Arial"/>
          <w:b/>
          <w:sz w:val="28"/>
          <w:lang w:val="en-GB"/>
        </w:rPr>
        <w:t xml:space="preserve">     </w:t>
      </w:r>
      <w:r>
        <w:rPr>
          <w:rFonts w:ascii="Arial" w:hAnsi="Arial" w:cs="Arial"/>
          <w:b/>
          <w:sz w:val="28"/>
          <w:lang w:val="en-GB"/>
        </w:rPr>
        <w:t xml:space="preserve">  JUDGMENT</w:t>
      </w:r>
    </w:p>
    <w:p w14:paraId="31493919" w14:textId="77777777" w:rsidR="006F6C3A" w:rsidRDefault="006F6C3A" w:rsidP="006F6C3A">
      <w:pPr>
        <w:jc w:val="both"/>
        <w:rPr>
          <w:rFonts w:ascii="Arial" w:hAnsi="Arial" w:cs="Arial"/>
          <w:lang w:val="en-GB"/>
        </w:rPr>
      </w:pPr>
      <w:r>
        <w:rPr>
          <w:rFonts w:ascii="Arial" w:hAnsi="Arial" w:cs="Arial"/>
          <w:lang w:val="en-GB"/>
        </w:rPr>
        <w:t>___________________________________________________________________</w:t>
      </w:r>
    </w:p>
    <w:p w14:paraId="6120405B" w14:textId="77777777" w:rsidR="006F6C3A" w:rsidRDefault="006F6C3A" w:rsidP="006F6C3A">
      <w:pPr>
        <w:rPr>
          <w:rFonts w:ascii="Arial" w:hAnsi="Arial" w:cs="Arial"/>
          <w:b/>
          <w:u w:val="single"/>
          <w:lang w:val="en-US"/>
        </w:rPr>
      </w:pPr>
    </w:p>
    <w:p w14:paraId="7D96A260" w14:textId="77777777" w:rsidR="00EF0B0D" w:rsidRDefault="00A42D9C" w:rsidP="00EF0B0D">
      <w:pPr>
        <w:spacing w:line="360" w:lineRule="auto"/>
        <w:rPr>
          <w:rFonts w:ascii="Arial" w:hAnsi="Arial" w:cs="Arial"/>
          <w:b/>
          <w:lang w:val="en-US"/>
        </w:rPr>
      </w:pPr>
      <w:r w:rsidRPr="001C6009">
        <w:rPr>
          <w:rFonts w:ascii="Arial" w:hAnsi="Arial" w:cs="Arial"/>
          <w:b/>
          <w:lang w:val="en-US"/>
        </w:rPr>
        <w:t>THUPAATLASE A</w:t>
      </w:r>
      <w:r w:rsidR="006F6C3A" w:rsidRPr="001C6009">
        <w:rPr>
          <w:rFonts w:ascii="Arial" w:hAnsi="Arial" w:cs="Arial"/>
          <w:b/>
          <w:lang w:val="en-US"/>
        </w:rPr>
        <w:t>J</w:t>
      </w:r>
      <w:r w:rsidR="0016480B" w:rsidRPr="001C6009">
        <w:rPr>
          <w:rFonts w:ascii="Arial" w:hAnsi="Arial" w:cs="Arial"/>
          <w:b/>
          <w:lang w:val="en-US"/>
        </w:rPr>
        <w:t xml:space="preserve"> </w:t>
      </w:r>
    </w:p>
    <w:p w14:paraId="3243A938" w14:textId="77777777" w:rsidR="00EF0B0D" w:rsidRDefault="00EF0B0D" w:rsidP="00EF0B0D">
      <w:pPr>
        <w:spacing w:line="360" w:lineRule="auto"/>
        <w:rPr>
          <w:rFonts w:ascii="Arial" w:hAnsi="Arial" w:cs="Arial"/>
          <w:b/>
          <w:lang w:val="en-US"/>
        </w:rPr>
      </w:pPr>
    </w:p>
    <w:p w14:paraId="7242EAF3" w14:textId="16E03450" w:rsidR="00581AAC" w:rsidRPr="00EF0B0D" w:rsidRDefault="00874691" w:rsidP="00EF0B0D">
      <w:pPr>
        <w:spacing w:line="360" w:lineRule="auto"/>
        <w:rPr>
          <w:rFonts w:ascii="Arial" w:hAnsi="Arial" w:cs="Arial"/>
          <w:b/>
          <w:bCs/>
          <w:lang w:val="en-US"/>
        </w:rPr>
      </w:pPr>
      <w:r w:rsidRPr="00EF0B0D">
        <w:rPr>
          <w:rFonts w:ascii="Arial" w:hAnsi="Arial" w:cs="Arial"/>
          <w:b/>
          <w:bCs/>
        </w:rPr>
        <w:t>Introductio</w:t>
      </w:r>
      <w:r w:rsidR="00EF0B0D" w:rsidRPr="00EF0B0D">
        <w:rPr>
          <w:rFonts w:ascii="Arial" w:hAnsi="Arial" w:cs="Arial"/>
          <w:b/>
          <w:bCs/>
        </w:rPr>
        <w:t>n</w:t>
      </w:r>
    </w:p>
    <w:p w14:paraId="6F9CBBD8" w14:textId="678403AE" w:rsidR="00EF0B0D" w:rsidRDefault="00EF0B0D" w:rsidP="00EF0B0D">
      <w:pPr>
        <w:spacing w:line="360" w:lineRule="auto"/>
        <w:jc w:val="both"/>
        <w:rPr>
          <w:rFonts w:ascii="Arial" w:hAnsi="Arial" w:cs="Arial"/>
        </w:rPr>
      </w:pPr>
      <w:r>
        <w:rPr>
          <w:rFonts w:ascii="Arial" w:hAnsi="Arial" w:cs="Arial"/>
        </w:rPr>
        <w:t>[1] This</w:t>
      </w:r>
      <w:r w:rsidR="00DA5ED3">
        <w:rPr>
          <w:rFonts w:ascii="Arial" w:hAnsi="Arial" w:cs="Arial"/>
        </w:rPr>
        <w:t xml:space="preserve"> is an application for the provi</w:t>
      </w:r>
      <w:r w:rsidR="00E643A5">
        <w:rPr>
          <w:rFonts w:ascii="Arial" w:hAnsi="Arial" w:cs="Arial"/>
        </w:rPr>
        <w:t xml:space="preserve">sional winding up of the </w:t>
      </w:r>
      <w:r w:rsidR="008D5250">
        <w:rPr>
          <w:rFonts w:ascii="Arial" w:hAnsi="Arial" w:cs="Arial"/>
        </w:rPr>
        <w:t>respondent</w:t>
      </w:r>
      <w:r w:rsidR="007C6399">
        <w:rPr>
          <w:rFonts w:ascii="Arial" w:hAnsi="Arial" w:cs="Arial"/>
        </w:rPr>
        <w:t xml:space="preserve">, </w:t>
      </w:r>
      <w:r w:rsidR="00EF482E">
        <w:rPr>
          <w:rFonts w:ascii="Arial" w:hAnsi="Arial" w:cs="Arial"/>
        </w:rPr>
        <w:t>a private</w:t>
      </w:r>
      <w:r w:rsidR="00E2799E">
        <w:rPr>
          <w:rFonts w:ascii="Arial" w:hAnsi="Arial" w:cs="Arial"/>
        </w:rPr>
        <w:t xml:space="preserve"> company</w:t>
      </w:r>
      <w:r w:rsidR="00A24DCC">
        <w:rPr>
          <w:rFonts w:ascii="Arial" w:hAnsi="Arial" w:cs="Arial"/>
        </w:rPr>
        <w:t xml:space="preserve"> with limited liability</w:t>
      </w:r>
      <w:r w:rsidR="00B351FA">
        <w:rPr>
          <w:rFonts w:ascii="Arial" w:hAnsi="Arial" w:cs="Arial"/>
        </w:rPr>
        <w:t xml:space="preserve">. The applicant </w:t>
      </w:r>
      <w:r w:rsidR="001E74CA">
        <w:rPr>
          <w:rFonts w:ascii="Arial" w:hAnsi="Arial" w:cs="Arial"/>
        </w:rPr>
        <w:t xml:space="preserve">company seeks that a rule nisi </w:t>
      </w:r>
      <w:r w:rsidR="00F05397">
        <w:rPr>
          <w:rFonts w:ascii="Arial" w:hAnsi="Arial" w:cs="Arial"/>
        </w:rPr>
        <w:t xml:space="preserve">be issued calling upon the respondent </w:t>
      </w:r>
      <w:r w:rsidR="00FF392D">
        <w:rPr>
          <w:rFonts w:ascii="Arial" w:hAnsi="Arial" w:cs="Arial"/>
        </w:rPr>
        <w:t xml:space="preserve">company </w:t>
      </w:r>
      <w:r w:rsidR="00F05397">
        <w:rPr>
          <w:rFonts w:ascii="Arial" w:hAnsi="Arial" w:cs="Arial"/>
        </w:rPr>
        <w:t xml:space="preserve">and all interested </w:t>
      </w:r>
      <w:r w:rsidR="0088604F">
        <w:rPr>
          <w:rFonts w:ascii="Arial" w:hAnsi="Arial" w:cs="Arial"/>
        </w:rPr>
        <w:t xml:space="preserve">parties </w:t>
      </w:r>
      <w:r w:rsidR="00FC7C6A">
        <w:rPr>
          <w:rFonts w:ascii="Arial" w:hAnsi="Arial" w:cs="Arial"/>
        </w:rPr>
        <w:t xml:space="preserve">to show cause, if any on a date to be determined by the </w:t>
      </w:r>
      <w:r w:rsidR="00EF482E">
        <w:rPr>
          <w:rFonts w:ascii="Arial" w:hAnsi="Arial" w:cs="Arial"/>
        </w:rPr>
        <w:t>C</w:t>
      </w:r>
      <w:r w:rsidR="000A6FD3">
        <w:rPr>
          <w:rFonts w:ascii="Arial" w:hAnsi="Arial" w:cs="Arial"/>
        </w:rPr>
        <w:t xml:space="preserve">ourt, as to why </w:t>
      </w:r>
      <w:r w:rsidR="00FF392D">
        <w:rPr>
          <w:rFonts w:ascii="Arial" w:hAnsi="Arial" w:cs="Arial"/>
        </w:rPr>
        <w:t>a</w:t>
      </w:r>
      <w:r w:rsidR="000A6FD3">
        <w:rPr>
          <w:rFonts w:ascii="Arial" w:hAnsi="Arial" w:cs="Arial"/>
        </w:rPr>
        <w:t xml:space="preserve"> </w:t>
      </w:r>
      <w:r w:rsidR="00F7207B">
        <w:rPr>
          <w:rFonts w:ascii="Arial" w:hAnsi="Arial" w:cs="Arial"/>
        </w:rPr>
        <w:t>provisional order should</w:t>
      </w:r>
      <w:r w:rsidR="00582389">
        <w:rPr>
          <w:rFonts w:ascii="Arial" w:hAnsi="Arial" w:cs="Arial"/>
        </w:rPr>
        <w:t xml:space="preserve"> not</w:t>
      </w:r>
      <w:r w:rsidR="00F7207B">
        <w:rPr>
          <w:rFonts w:ascii="Arial" w:hAnsi="Arial" w:cs="Arial"/>
        </w:rPr>
        <w:t xml:space="preserve"> be made</w:t>
      </w:r>
      <w:r w:rsidR="00DB012D" w:rsidRPr="003024B0">
        <w:rPr>
          <w:rFonts w:ascii="Arial" w:hAnsi="Arial" w:cs="Arial"/>
          <w:color w:val="000000" w:themeColor="text1"/>
        </w:rPr>
        <w:t xml:space="preserve"> a</w:t>
      </w:r>
      <w:r w:rsidR="00F7207B" w:rsidRPr="003024B0">
        <w:rPr>
          <w:rFonts w:ascii="Arial" w:hAnsi="Arial" w:cs="Arial"/>
          <w:color w:val="000000" w:themeColor="text1"/>
        </w:rPr>
        <w:t xml:space="preserve"> </w:t>
      </w:r>
      <w:r w:rsidR="00F7207B">
        <w:rPr>
          <w:rFonts w:ascii="Arial" w:hAnsi="Arial" w:cs="Arial"/>
        </w:rPr>
        <w:t xml:space="preserve">final </w:t>
      </w:r>
      <w:r w:rsidR="005D5C38">
        <w:rPr>
          <w:rFonts w:ascii="Arial" w:hAnsi="Arial" w:cs="Arial"/>
        </w:rPr>
        <w:t xml:space="preserve">winding up order </w:t>
      </w:r>
      <w:r w:rsidR="00A24DCC">
        <w:rPr>
          <w:rFonts w:ascii="Arial" w:hAnsi="Arial" w:cs="Arial"/>
        </w:rPr>
        <w:t xml:space="preserve">and respondent to </w:t>
      </w:r>
      <w:r w:rsidR="001402DF">
        <w:rPr>
          <w:rFonts w:ascii="Arial" w:hAnsi="Arial" w:cs="Arial"/>
        </w:rPr>
        <w:t xml:space="preserve">be </w:t>
      </w:r>
      <w:r w:rsidR="00A24DCC">
        <w:rPr>
          <w:rFonts w:ascii="Arial" w:hAnsi="Arial" w:cs="Arial"/>
        </w:rPr>
        <w:t>placed, in</w:t>
      </w:r>
      <w:r w:rsidR="005D5C38">
        <w:rPr>
          <w:rFonts w:ascii="Arial" w:hAnsi="Arial" w:cs="Arial"/>
        </w:rPr>
        <w:t xml:space="preserve"> the hands of the Master.</w:t>
      </w:r>
    </w:p>
    <w:p w14:paraId="322242CC" w14:textId="77777777" w:rsidR="00DB012D" w:rsidRDefault="00DB012D" w:rsidP="00EF0B0D">
      <w:pPr>
        <w:spacing w:line="360" w:lineRule="auto"/>
        <w:jc w:val="both"/>
        <w:rPr>
          <w:rFonts w:ascii="Arial" w:hAnsi="Arial" w:cs="Arial"/>
        </w:rPr>
      </w:pPr>
    </w:p>
    <w:p w14:paraId="702C9FCE" w14:textId="5843BE73" w:rsidR="00E66ACD" w:rsidRDefault="00A1301D" w:rsidP="00EF0B0D">
      <w:pPr>
        <w:spacing w:line="360" w:lineRule="auto"/>
        <w:jc w:val="both"/>
        <w:rPr>
          <w:rFonts w:ascii="Arial" w:hAnsi="Arial" w:cs="Arial"/>
        </w:rPr>
      </w:pPr>
      <w:r>
        <w:rPr>
          <w:rFonts w:ascii="Arial" w:hAnsi="Arial" w:cs="Arial"/>
        </w:rPr>
        <w:lastRenderedPageBreak/>
        <w:t xml:space="preserve">[2] </w:t>
      </w:r>
      <w:r w:rsidR="00E66ACD">
        <w:rPr>
          <w:rFonts w:ascii="Arial" w:hAnsi="Arial" w:cs="Arial"/>
        </w:rPr>
        <w:t>The</w:t>
      </w:r>
      <w:r w:rsidR="00F96703">
        <w:rPr>
          <w:rFonts w:ascii="Arial" w:hAnsi="Arial" w:cs="Arial"/>
        </w:rPr>
        <w:t xml:space="preserve"> application</w:t>
      </w:r>
      <w:r w:rsidR="00870B4A">
        <w:rPr>
          <w:rFonts w:ascii="Arial" w:hAnsi="Arial" w:cs="Arial"/>
        </w:rPr>
        <w:t xml:space="preserve"> is in terms of sections 345 (1) </w:t>
      </w:r>
      <w:r w:rsidR="00A472E1">
        <w:rPr>
          <w:rFonts w:ascii="Arial" w:hAnsi="Arial" w:cs="Arial"/>
        </w:rPr>
        <w:t xml:space="preserve">(a) </w:t>
      </w:r>
      <w:r w:rsidR="00BD2497">
        <w:rPr>
          <w:rFonts w:ascii="Arial" w:hAnsi="Arial" w:cs="Arial"/>
        </w:rPr>
        <w:t>read with se</w:t>
      </w:r>
      <w:r w:rsidR="0093372A">
        <w:rPr>
          <w:rFonts w:ascii="Arial" w:hAnsi="Arial" w:cs="Arial"/>
        </w:rPr>
        <w:t xml:space="preserve">ction 344 (f) </w:t>
      </w:r>
      <w:r w:rsidR="00A472E1">
        <w:rPr>
          <w:rFonts w:ascii="Arial" w:hAnsi="Arial" w:cs="Arial"/>
        </w:rPr>
        <w:t xml:space="preserve">of the Companies Act </w:t>
      </w:r>
      <w:r w:rsidR="00B20842">
        <w:rPr>
          <w:rFonts w:ascii="Arial" w:hAnsi="Arial" w:cs="Arial"/>
        </w:rPr>
        <w:t xml:space="preserve">61 of 1973 </w:t>
      </w:r>
      <w:r w:rsidR="00A25D2C">
        <w:rPr>
          <w:rFonts w:ascii="Arial" w:hAnsi="Arial" w:cs="Arial"/>
        </w:rPr>
        <w:t xml:space="preserve">(old Act) </w:t>
      </w:r>
      <w:r w:rsidR="00B20842">
        <w:rPr>
          <w:rFonts w:ascii="Arial" w:hAnsi="Arial" w:cs="Arial"/>
        </w:rPr>
        <w:t xml:space="preserve">read together with item 9 of Schedule </w:t>
      </w:r>
      <w:r w:rsidR="00BB3A0B">
        <w:rPr>
          <w:rFonts w:ascii="Arial" w:hAnsi="Arial" w:cs="Arial"/>
        </w:rPr>
        <w:t xml:space="preserve">5 of the Companies Act, 71 of 2008, </w:t>
      </w:r>
      <w:r w:rsidR="00A25D2C">
        <w:rPr>
          <w:rFonts w:ascii="Arial" w:hAnsi="Arial" w:cs="Arial"/>
        </w:rPr>
        <w:t>(</w:t>
      </w:r>
      <w:r w:rsidR="00BB3A0B">
        <w:rPr>
          <w:rFonts w:ascii="Arial" w:hAnsi="Arial" w:cs="Arial"/>
        </w:rPr>
        <w:t xml:space="preserve">alternatively </w:t>
      </w:r>
      <w:r w:rsidR="00700EB6">
        <w:rPr>
          <w:rFonts w:ascii="Arial" w:hAnsi="Arial" w:cs="Arial"/>
        </w:rPr>
        <w:t>i</w:t>
      </w:r>
      <w:r w:rsidR="00BB3A0B">
        <w:rPr>
          <w:rFonts w:ascii="Arial" w:hAnsi="Arial" w:cs="Arial"/>
        </w:rPr>
        <w:t xml:space="preserve">n terms of </w:t>
      </w:r>
      <w:r w:rsidR="00DE268A">
        <w:rPr>
          <w:rFonts w:ascii="Arial" w:hAnsi="Arial" w:cs="Arial"/>
        </w:rPr>
        <w:t xml:space="preserve">section 81 (1) (c) (ii) of the Companies </w:t>
      </w:r>
      <w:r w:rsidR="0038363D">
        <w:rPr>
          <w:rFonts w:ascii="Arial" w:hAnsi="Arial" w:cs="Arial"/>
        </w:rPr>
        <w:t>71 of 2008</w:t>
      </w:r>
      <w:r w:rsidR="00A25D2C">
        <w:rPr>
          <w:rFonts w:ascii="Arial" w:hAnsi="Arial" w:cs="Arial"/>
        </w:rPr>
        <w:t xml:space="preserve"> (the Act).</w:t>
      </w:r>
    </w:p>
    <w:p w14:paraId="48F39D81" w14:textId="77777777" w:rsidR="00FC2D7F" w:rsidRDefault="00FC2D7F" w:rsidP="00EF0B0D">
      <w:pPr>
        <w:spacing w:line="360" w:lineRule="auto"/>
        <w:jc w:val="both"/>
        <w:rPr>
          <w:rFonts w:ascii="Arial" w:hAnsi="Arial" w:cs="Arial"/>
        </w:rPr>
      </w:pPr>
    </w:p>
    <w:p w14:paraId="63E46FFB" w14:textId="0A7EA771" w:rsidR="00E42F38" w:rsidRDefault="00E42F38" w:rsidP="00EF0B0D">
      <w:pPr>
        <w:spacing w:line="360" w:lineRule="auto"/>
        <w:jc w:val="both"/>
        <w:rPr>
          <w:rFonts w:ascii="Arial" w:hAnsi="Arial" w:cs="Arial"/>
          <w:b/>
          <w:bCs/>
        </w:rPr>
      </w:pPr>
      <w:r w:rsidRPr="00E42F38">
        <w:rPr>
          <w:rFonts w:ascii="Arial" w:hAnsi="Arial" w:cs="Arial"/>
          <w:b/>
          <w:bCs/>
        </w:rPr>
        <w:t xml:space="preserve">Parties </w:t>
      </w:r>
    </w:p>
    <w:p w14:paraId="3C9B801F" w14:textId="363FDAFA" w:rsidR="00E42F38" w:rsidRDefault="006F1203" w:rsidP="00EF0B0D">
      <w:pPr>
        <w:spacing w:line="360" w:lineRule="auto"/>
        <w:jc w:val="both"/>
        <w:rPr>
          <w:rFonts w:ascii="Arial" w:hAnsi="Arial" w:cs="Arial"/>
        </w:rPr>
      </w:pPr>
      <w:r w:rsidRPr="006F1203">
        <w:rPr>
          <w:rFonts w:ascii="Arial" w:hAnsi="Arial" w:cs="Arial"/>
        </w:rPr>
        <w:t>[</w:t>
      </w:r>
      <w:r w:rsidR="00397B05">
        <w:rPr>
          <w:rFonts w:ascii="Arial" w:hAnsi="Arial" w:cs="Arial"/>
        </w:rPr>
        <w:t>3</w:t>
      </w:r>
      <w:r w:rsidRPr="006F1203">
        <w:rPr>
          <w:rFonts w:ascii="Arial" w:hAnsi="Arial" w:cs="Arial"/>
        </w:rPr>
        <w:t>]</w:t>
      </w:r>
      <w:r w:rsidR="009F5E73">
        <w:rPr>
          <w:rFonts w:ascii="Arial" w:hAnsi="Arial" w:cs="Arial"/>
        </w:rPr>
        <w:t xml:space="preserve"> A</w:t>
      </w:r>
      <w:r>
        <w:rPr>
          <w:rFonts w:ascii="Arial" w:hAnsi="Arial" w:cs="Arial"/>
        </w:rPr>
        <w:t>pplican</w:t>
      </w:r>
      <w:r w:rsidR="00C538E5">
        <w:rPr>
          <w:rFonts w:ascii="Arial" w:hAnsi="Arial" w:cs="Arial"/>
        </w:rPr>
        <w:t>t</w:t>
      </w:r>
      <w:r>
        <w:rPr>
          <w:rFonts w:ascii="Arial" w:hAnsi="Arial" w:cs="Arial"/>
        </w:rPr>
        <w:t xml:space="preserve"> is </w:t>
      </w:r>
      <w:r w:rsidR="00B84D8A" w:rsidRPr="00E54C59">
        <w:rPr>
          <w:rFonts w:ascii="Arial" w:hAnsi="Arial" w:cs="Arial"/>
        </w:rPr>
        <w:t>DINEAM (PTY) LTD</w:t>
      </w:r>
      <w:r w:rsidR="00B84D8A" w:rsidRPr="00424E30">
        <w:rPr>
          <w:rFonts w:ascii="Arial" w:hAnsi="Arial" w:cs="Arial"/>
          <w:b/>
          <w:bCs/>
        </w:rPr>
        <w:t>,</w:t>
      </w:r>
      <w:r w:rsidR="00B84D8A">
        <w:rPr>
          <w:rFonts w:ascii="Arial" w:hAnsi="Arial" w:cs="Arial"/>
        </w:rPr>
        <w:t xml:space="preserve"> a private company</w:t>
      </w:r>
      <w:r w:rsidR="007907EE">
        <w:rPr>
          <w:rFonts w:ascii="Arial" w:hAnsi="Arial" w:cs="Arial"/>
        </w:rPr>
        <w:t xml:space="preserve"> with limited liability, duly incorp</w:t>
      </w:r>
      <w:r w:rsidR="00387EA6">
        <w:rPr>
          <w:rFonts w:ascii="Arial" w:hAnsi="Arial" w:cs="Arial"/>
        </w:rPr>
        <w:t xml:space="preserve">orated </w:t>
      </w:r>
      <w:r w:rsidR="00584B5A">
        <w:rPr>
          <w:rFonts w:ascii="Arial" w:hAnsi="Arial" w:cs="Arial"/>
        </w:rPr>
        <w:t xml:space="preserve">and registered </w:t>
      </w:r>
      <w:r w:rsidR="00CA52B9">
        <w:rPr>
          <w:rFonts w:ascii="Arial" w:hAnsi="Arial" w:cs="Arial"/>
        </w:rPr>
        <w:t>in accordance with the company laws of the Republic of South</w:t>
      </w:r>
      <w:r w:rsidR="00891246">
        <w:rPr>
          <w:rFonts w:ascii="Arial" w:hAnsi="Arial" w:cs="Arial"/>
        </w:rPr>
        <w:t xml:space="preserve"> Africa</w:t>
      </w:r>
      <w:r w:rsidR="007F0F9B">
        <w:rPr>
          <w:rFonts w:ascii="Arial" w:hAnsi="Arial" w:cs="Arial"/>
        </w:rPr>
        <w:t xml:space="preserve">. The registered office </w:t>
      </w:r>
      <w:r w:rsidR="000C65E4">
        <w:rPr>
          <w:rFonts w:ascii="Arial" w:hAnsi="Arial" w:cs="Arial"/>
        </w:rPr>
        <w:t>of the applicant is situated at Shop 2</w:t>
      </w:r>
      <w:r w:rsidR="001C6C2C">
        <w:rPr>
          <w:rFonts w:ascii="Arial" w:hAnsi="Arial" w:cs="Arial"/>
        </w:rPr>
        <w:t> 148 Archery Road, Clairwood Kwa-Zulu Natal</w:t>
      </w:r>
      <w:r w:rsidR="00D76265">
        <w:rPr>
          <w:rFonts w:ascii="Arial" w:hAnsi="Arial" w:cs="Arial"/>
        </w:rPr>
        <w:t>.</w:t>
      </w:r>
    </w:p>
    <w:p w14:paraId="7A3C6A89" w14:textId="44EE3FDF" w:rsidR="00376FC1" w:rsidRDefault="00D76265" w:rsidP="00EF0B0D">
      <w:pPr>
        <w:spacing w:line="360" w:lineRule="auto"/>
        <w:jc w:val="both"/>
        <w:rPr>
          <w:rFonts w:ascii="Arial" w:hAnsi="Arial" w:cs="Arial"/>
        </w:rPr>
      </w:pPr>
      <w:r>
        <w:rPr>
          <w:rFonts w:ascii="Arial" w:hAnsi="Arial" w:cs="Arial"/>
        </w:rPr>
        <w:t>[</w:t>
      </w:r>
      <w:r w:rsidR="00376FC1">
        <w:rPr>
          <w:rFonts w:ascii="Arial" w:hAnsi="Arial" w:cs="Arial"/>
        </w:rPr>
        <w:t>4</w:t>
      </w:r>
      <w:r>
        <w:rPr>
          <w:rFonts w:ascii="Arial" w:hAnsi="Arial" w:cs="Arial"/>
        </w:rPr>
        <w:t xml:space="preserve">] </w:t>
      </w:r>
      <w:r w:rsidR="00365CAB">
        <w:rPr>
          <w:rFonts w:ascii="Arial" w:hAnsi="Arial" w:cs="Arial"/>
        </w:rPr>
        <w:t>R</w:t>
      </w:r>
      <w:r>
        <w:rPr>
          <w:rFonts w:ascii="Arial" w:hAnsi="Arial" w:cs="Arial"/>
        </w:rPr>
        <w:t xml:space="preserve">espondent </w:t>
      </w:r>
      <w:r w:rsidR="00CE7B61">
        <w:rPr>
          <w:rFonts w:ascii="Arial" w:hAnsi="Arial" w:cs="Arial"/>
        </w:rPr>
        <w:t xml:space="preserve">is </w:t>
      </w:r>
      <w:r w:rsidR="00CE7B61" w:rsidRPr="00E54C59">
        <w:rPr>
          <w:rFonts w:ascii="Arial" w:hAnsi="Arial" w:cs="Arial"/>
        </w:rPr>
        <w:t>SUMALI INVESTMENTS 101 (PTY) LTD</w:t>
      </w:r>
      <w:r w:rsidR="00CE7B61" w:rsidRPr="00424E30">
        <w:rPr>
          <w:rFonts w:ascii="Arial" w:hAnsi="Arial" w:cs="Arial"/>
          <w:b/>
          <w:bCs/>
        </w:rPr>
        <w:t>,</w:t>
      </w:r>
      <w:r w:rsidR="00CE7B61">
        <w:rPr>
          <w:rFonts w:ascii="Arial" w:hAnsi="Arial" w:cs="Arial"/>
        </w:rPr>
        <w:t xml:space="preserve"> a private </w:t>
      </w:r>
      <w:r w:rsidR="006C2975">
        <w:rPr>
          <w:rFonts w:ascii="Arial" w:hAnsi="Arial" w:cs="Arial"/>
        </w:rPr>
        <w:t xml:space="preserve">company with </w:t>
      </w:r>
      <w:r w:rsidR="00B60129">
        <w:rPr>
          <w:rFonts w:ascii="Arial" w:hAnsi="Arial" w:cs="Arial"/>
        </w:rPr>
        <w:t xml:space="preserve">limited liability and duly registered and incorporated </w:t>
      </w:r>
      <w:r w:rsidR="0055591A">
        <w:rPr>
          <w:rFonts w:ascii="Arial" w:hAnsi="Arial" w:cs="Arial"/>
        </w:rPr>
        <w:t xml:space="preserve">in accordance with the laws of the </w:t>
      </w:r>
      <w:r w:rsidR="00F96703">
        <w:rPr>
          <w:rFonts w:ascii="Arial" w:hAnsi="Arial" w:cs="Arial"/>
        </w:rPr>
        <w:t>Republic of South Africa.</w:t>
      </w:r>
    </w:p>
    <w:p w14:paraId="031517F8" w14:textId="77777777" w:rsidR="00FC2D7F" w:rsidRDefault="00FC2D7F" w:rsidP="00EF0B0D">
      <w:pPr>
        <w:spacing w:line="360" w:lineRule="auto"/>
        <w:jc w:val="both"/>
        <w:rPr>
          <w:rFonts w:ascii="Arial" w:hAnsi="Arial" w:cs="Arial"/>
        </w:rPr>
      </w:pPr>
    </w:p>
    <w:p w14:paraId="53DF7F5B" w14:textId="77777777" w:rsidR="00F25BD9" w:rsidRPr="00F25BD9" w:rsidRDefault="00F25BD9" w:rsidP="00F25BD9">
      <w:pPr>
        <w:spacing w:line="360" w:lineRule="auto"/>
        <w:jc w:val="both"/>
        <w:rPr>
          <w:rFonts w:ascii="Arial" w:hAnsi="Arial" w:cs="Arial"/>
          <w:b/>
          <w:bCs/>
        </w:rPr>
      </w:pPr>
      <w:r w:rsidRPr="00F25BD9">
        <w:rPr>
          <w:rFonts w:ascii="Arial" w:hAnsi="Arial" w:cs="Arial"/>
          <w:b/>
          <w:bCs/>
        </w:rPr>
        <w:t>Condonation</w:t>
      </w:r>
    </w:p>
    <w:p w14:paraId="4025AA2A" w14:textId="30CCC1E3" w:rsidR="00F25BD9" w:rsidRPr="009F6028" w:rsidRDefault="00F25BD9" w:rsidP="00F25BD9">
      <w:pPr>
        <w:spacing w:line="360" w:lineRule="auto"/>
        <w:jc w:val="both"/>
        <w:rPr>
          <w:rFonts w:ascii="Arial" w:hAnsi="Arial" w:cs="Arial"/>
          <w:sz w:val="22"/>
          <w:szCs w:val="22"/>
        </w:rPr>
      </w:pPr>
      <w:r w:rsidRPr="00F25BD9">
        <w:rPr>
          <w:rFonts w:ascii="Arial" w:hAnsi="Arial" w:cs="Arial"/>
        </w:rPr>
        <w:t>[</w:t>
      </w:r>
      <w:r w:rsidR="00DD3A8E">
        <w:rPr>
          <w:rFonts w:ascii="Arial" w:hAnsi="Arial" w:cs="Arial"/>
        </w:rPr>
        <w:t>5</w:t>
      </w:r>
      <w:r w:rsidRPr="00F25BD9">
        <w:rPr>
          <w:rFonts w:ascii="Arial" w:hAnsi="Arial" w:cs="Arial"/>
        </w:rPr>
        <w:t xml:space="preserve">] </w:t>
      </w:r>
      <w:r w:rsidR="00365CAB">
        <w:rPr>
          <w:rFonts w:ascii="Arial" w:hAnsi="Arial" w:cs="Arial"/>
        </w:rPr>
        <w:t xml:space="preserve">The </w:t>
      </w:r>
      <w:r w:rsidR="00591DB9">
        <w:rPr>
          <w:rFonts w:ascii="Arial" w:hAnsi="Arial" w:cs="Arial"/>
        </w:rPr>
        <w:t>replying affidavit</w:t>
      </w:r>
      <w:r w:rsidR="00DB012D">
        <w:rPr>
          <w:rFonts w:ascii="Arial" w:hAnsi="Arial" w:cs="Arial"/>
        </w:rPr>
        <w:t xml:space="preserve"> </w:t>
      </w:r>
      <w:r w:rsidR="00DB012D" w:rsidRPr="00B85E34">
        <w:rPr>
          <w:rFonts w:ascii="Arial" w:hAnsi="Arial" w:cs="Arial"/>
          <w:color w:val="000000" w:themeColor="text1"/>
        </w:rPr>
        <w:t>is</w:t>
      </w:r>
      <w:r w:rsidR="00591DB9" w:rsidRPr="00B85E34">
        <w:rPr>
          <w:rFonts w:ascii="Arial" w:hAnsi="Arial" w:cs="Arial"/>
          <w:color w:val="000000" w:themeColor="text1"/>
        </w:rPr>
        <w:t xml:space="preserve"> </w:t>
      </w:r>
      <w:r w:rsidR="00591DB9">
        <w:rPr>
          <w:rFonts w:ascii="Arial" w:hAnsi="Arial" w:cs="Arial"/>
        </w:rPr>
        <w:t xml:space="preserve">out of time and an application to condone the late filing </w:t>
      </w:r>
      <w:r w:rsidR="00361236">
        <w:rPr>
          <w:rFonts w:ascii="Arial" w:hAnsi="Arial" w:cs="Arial"/>
        </w:rPr>
        <w:t xml:space="preserve">of the affidavit was </w:t>
      </w:r>
      <w:r w:rsidR="009C2A85">
        <w:rPr>
          <w:rFonts w:ascii="Arial" w:hAnsi="Arial" w:cs="Arial"/>
        </w:rPr>
        <w:t xml:space="preserve">made </w:t>
      </w:r>
      <w:r w:rsidRPr="00F25BD9">
        <w:rPr>
          <w:rFonts w:ascii="Arial" w:hAnsi="Arial" w:cs="Arial"/>
        </w:rPr>
        <w:t xml:space="preserve">in terms of Rule 27(3) </w:t>
      </w:r>
      <w:r w:rsidR="001F642D">
        <w:rPr>
          <w:rFonts w:ascii="Arial" w:hAnsi="Arial" w:cs="Arial"/>
        </w:rPr>
        <w:t>which provides that:</w:t>
      </w:r>
      <w:r w:rsidR="001F642D" w:rsidRPr="00F25BD9">
        <w:rPr>
          <w:rFonts w:ascii="Arial" w:hAnsi="Arial" w:cs="Arial"/>
        </w:rPr>
        <w:t xml:space="preserve"> </w:t>
      </w:r>
      <w:r w:rsidR="001F642D" w:rsidRPr="001F642D">
        <w:rPr>
          <w:rFonts w:ascii="Arial" w:hAnsi="Arial" w:cs="Arial"/>
          <w:sz w:val="22"/>
          <w:szCs w:val="22"/>
        </w:rPr>
        <w:t>‘The</w:t>
      </w:r>
      <w:r w:rsidRPr="001F642D">
        <w:rPr>
          <w:rFonts w:ascii="Arial" w:hAnsi="Arial" w:cs="Arial"/>
          <w:sz w:val="22"/>
          <w:szCs w:val="22"/>
        </w:rPr>
        <w:t xml:space="preserve"> Court may, on good cause shown condone any non-compliance with these Rules’</w:t>
      </w:r>
      <w:r w:rsidRPr="00F25BD9">
        <w:rPr>
          <w:rFonts w:ascii="Arial" w:hAnsi="Arial" w:cs="Arial"/>
        </w:rPr>
        <w:t xml:space="preserve">. The courts have consistently refrained from attempting an exhaustive definition of what constitutes good cause for the exercise of its </w:t>
      </w:r>
      <w:r w:rsidR="00DD3A8E" w:rsidRPr="00F25BD9">
        <w:rPr>
          <w:rFonts w:ascii="Arial" w:hAnsi="Arial" w:cs="Arial"/>
        </w:rPr>
        <w:t>discretion,</w:t>
      </w:r>
      <w:r w:rsidR="00DD3A8E">
        <w:rPr>
          <w:rFonts w:ascii="Arial" w:hAnsi="Arial" w:cs="Arial"/>
        </w:rPr>
        <w:t xml:space="preserve"> though </w:t>
      </w:r>
      <w:r w:rsidRPr="00F25BD9">
        <w:rPr>
          <w:rFonts w:ascii="Arial" w:hAnsi="Arial" w:cs="Arial"/>
        </w:rPr>
        <w:t xml:space="preserve">the authorities are in agreement that condonation should not be easily refused. In </w:t>
      </w:r>
      <w:r w:rsidRPr="00F25BD9">
        <w:rPr>
          <w:rFonts w:ascii="Arial" w:hAnsi="Arial" w:cs="Arial"/>
          <w:i/>
          <w:iCs/>
        </w:rPr>
        <w:t>GROOTBOOM v NATIONAL PROSECUTING AUTHORITY</w:t>
      </w:r>
      <w:r w:rsidRPr="00F25BD9">
        <w:rPr>
          <w:rFonts w:ascii="Arial" w:hAnsi="Arial" w:cs="Arial"/>
        </w:rPr>
        <w:t xml:space="preserve"> 2014 (2) SA 68 (CC) at 76H-C the Constitutional court with reference to </w:t>
      </w:r>
      <w:r w:rsidRPr="00F25BD9">
        <w:rPr>
          <w:rFonts w:ascii="Arial" w:hAnsi="Arial" w:cs="Arial"/>
          <w:i/>
          <w:iCs/>
        </w:rPr>
        <w:t>BRUMMER v GOLFIL BROTHERS INVESTMENTS</w:t>
      </w:r>
      <w:r w:rsidRPr="00F25BD9">
        <w:rPr>
          <w:rFonts w:ascii="Arial" w:hAnsi="Arial" w:cs="Arial"/>
        </w:rPr>
        <w:t xml:space="preserve"> 2000 (8) SA 237 (CC) and </w:t>
      </w:r>
      <w:r w:rsidRPr="00F25BD9">
        <w:rPr>
          <w:rFonts w:ascii="Arial" w:hAnsi="Arial" w:cs="Arial"/>
          <w:i/>
          <w:iCs/>
        </w:rPr>
        <w:t>VAN WYK v UNITAS HOSPITAL</w:t>
      </w:r>
      <w:r w:rsidRPr="00F25BD9">
        <w:rPr>
          <w:rFonts w:ascii="Arial" w:hAnsi="Arial" w:cs="Arial"/>
        </w:rPr>
        <w:t xml:space="preserve"> 2002 (8) SA 472 (CC) held that: ‘</w:t>
      </w:r>
      <w:r w:rsidRPr="009F6028">
        <w:rPr>
          <w:rFonts w:ascii="Arial" w:hAnsi="Arial" w:cs="Arial"/>
          <w:sz w:val="22"/>
          <w:szCs w:val="22"/>
        </w:rPr>
        <w:t xml:space="preserve">However the concept interest of justice is so elastic that it is not capable of precise definition. As the two cases demonstrate, it includes the nature of the relief sought, the extent and causes of the delay, the effect of the delay on the administration of justice and other litigants, the reasonableness of the explanation for the delay, the importance of the issue to be raised in the intended appeal and prospects of success. It is crucial to reiterate that both </w:t>
      </w:r>
      <w:r w:rsidRPr="009F6028">
        <w:rPr>
          <w:rFonts w:ascii="Arial" w:hAnsi="Arial" w:cs="Arial"/>
          <w:i/>
          <w:iCs/>
          <w:sz w:val="22"/>
          <w:szCs w:val="22"/>
        </w:rPr>
        <w:t xml:space="preserve">Brummer </w:t>
      </w:r>
      <w:r w:rsidRPr="009F6028">
        <w:rPr>
          <w:rFonts w:ascii="Arial" w:hAnsi="Arial" w:cs="Arial"/>
          <w:sz w:val="22"/>
          <w:szCs w:val="22"/>
        </w:rPr>
        <w:t xml:space="preserve">and </w:t>
      </w:r>
      <w:r w:rsidR="009437EF">
        <w:rPr>
          <w:rFonts w:ascii="Arial" w:hAnsi="Arial" w:cs="Arial"/>
          <w:i/>
          <w:iCs/>
          <w:sz w:val="22"/>
          <w:szCs w:val="22"/>
        </w:rPr>
        <w:t>V</w:t>
      </w:r>
      <w:r w:rsidRPr="009F6028">
        <w:rPr>
          <w:rFonts w:ascii="Arial" w:hAnsi="Arial" w:cs="Arial"/>
          <w:i/>
          <w:iCs/>
          <w:sz w:val="22"/>
          <w:szCs w:val="22"/>
        </w:rPr>
        <w:t>an Wyk</w:t>
      </w:r>
      <w:r w:rsidRPr="009F6028">
        <w:rPr>
          <w:rFonts w:ascii="Arial" w:hAnsi="Arial" w:cs="Arial"/>
          <w:sz w:val="22"/>
          <w:szCs w:val="22"/>
        </w:rPr>
        <w:t xml:space="preserve"> emphasised that the ultimate determination of what is in the interest of justice must reflect due regard to all relevant factors but is not necessarily limited to those mentioned above. The particular circumstances of each case will determine which of these factors are relevant’.</w:t>
      </w:r>
    </w:p>
    <w:p w14:paraId="569C4C61" w14:textId="666B6566" w:rsidR="00707C35" w:rsidRDefault="00F25BD9" w:rsidP="00F25BD9">
      <w:pPr>
        <w:spacing w:line="360" w:lineRule="auto"/>
        <w:jc w:val="both"/>
        <w:rPr>
          <w:rFonts w:ascii="Arial" w:hAnsi="Arial" w:cs="Arial"/>
        </w:rPr>
      </w:pPr>
      <w:r w:rsidRPr="00F25BD9">
        <w:rPr>
          <w:rFonts w:ascii="Arial" w:hAnsi="Arial" w:cs="Arial"/>
        </w:rPr>
        <w:lastRenderedPageBreak/>
        <w:t>[</w:t>
      </w:r>
      <w:r w:rsidR="004F53F1">
        <w:rPr>
          <w:rFonts w:ascii="Arial" w:hAnsi="Arial" w:cs="Arial"/>
        </w:rPr>
        <w:t>6</w:t>
      </w:r>
      <w:r w:rsidRPr="00F25BD9">
        <w:rPr>
          <w:rFonts w:ascii="Arial" w:hAnsi="Arial" w:cs="Arial"/>
        </w:rPr>
        <w:t>] I am satisfied that that the interest of justice favour</w:t>
      </w:r>
      <w:r w:rsidR="002F23FB">
        <w:rPr>
          <w:rFonts w:ascii="Arial" w:hAnsi="Arial" w:cs="Arial"/>
        </w:rPr>
        <w:t>s</w:t>
      </w:r>
      <w:r w:rsidRPr="00F25BD9">
        <w:rPr>
          <w:rFonts w:ascii="Arial" w:hAnsi="Arial" w:cs="Arial"/>
        </w:rPr>
        <w:t xml:space="preserve"> that condonation be granted. </w:t>
      </w:r>
      <w:r w:rsidR="009342EE">
        <w:rPr>
          <w:rFonts w:ascii="Arial" w:hAnsi="Arial" w:cs="Arial"/>
        </w:rPr>
        <w:t xml:space="preserve">It is true that </w:t>
      </w:r>
      <w:r w:rsidRPr="00F25BD9">
        <w:rPr>
          <w:rFonts w:ascii="Arial" w:hAnsi="Arial" w:cs="Arial"/>
        </w:rPr>
        <w:t>liquidation of a company brings about serious legal and financial consequences for the liquidated company.</w:t>
      </w:r>
      <w:r w:rsidR="00707C35">
        <w:rPr>
          <w:rFonts w:ascii="Arial" w:hAnsi="Arial" w:cs="Arial"/>
        </w:rPr>
        <w:t xml:space="preserve"> The complex</w:t>
      </w:r>
      <w:r w:rsidR="008712B4">
        <w:rPr>
          <w:rFonts w:ascii="Arial" w:hAnsi="Arial" w:cs="Arial"/>
        </w:rPr>
        <w:t>ities in this application required legal advi</w:t>
      </w:r>
      <w:r w:rsidR="002F23FB">
        <w:rPr>
          <w:rFonts w:ascii="Arial" w:hAnsi="Arial" w:cs="Arial"/>
        </w:rPr>
        <w:t>c</w:t>
      </w:r>
      <w:r w:rsidR="008712B4">
        <w:rPr>
          <w:rFonts w:ascii="Arial" w:hAnsi="Arial" w:cs="Arial"/>
        </w:rPr>
        <w:t xml:space="preserve">e and the respondent cannot be faulted </w:t>
      </w:r>
      <w:r w:rsidR="00F943A3">
        <w:rPr>
          <w:rFonts w:ascii="Arial" w:hAnsi="Arial" w:cs="Arial"/>
        </w:rPr>
        <w:t xml:space="preserve">for </w:t>
      </w:r>
      <w:r w:rsidR="00762997">
        <w:rPr>
          <w:rFonts w:ascii="Arial" w:hAnsi="Arial" w:cs="Arial"/>
        </w:rPr>
        <w:t>requiring adequate representation.</w:t>
      </w:r>
      <w:r w:rsidR="00F943A3">
        <w:rPr>
          <w:rFonts w:ascii="Arial" w:hAnsi="Arial" w:cs="Arial"/>
        </w:rPr>
        <w:t xml:space="preserve"> In the context of this application the delay was not </w:t>
      </w:r>
      <w:r w:rsidR="00CC2B99">
        <w:rPr>
          <w:rFonts w:ascii="Arial" w:hAnsi="Arial" w:cs="Arial"/>
        </w:rPr>
        <w:t xml:space="preserve">inordinately long. </w:t>
      </w:r>
    </w:p>
    <w:p w14:paraId="3BCEBF91" w14:textId="638EF812" w:rsidR="00762997" w:rsidRDefault="001E480E" w:rsidP="00F25BD9">
      <w:pPr>
        <w:spacing w:line="360" w:lineRule="auto"/>
        <w:jc w:val="both"/>
        <w:rPr>
          <w:rFonts w:ascii="Arial" w:hAnsi="Arial" w:cs="Arial"/>
        </w:rPr>
      </w:pPr>
      <w:r>
        <w:rPr>
          <w:rFonts w:ascii="Arial" w:hAnsi="Arial" w:cs="Arial"/>
        </w:rPr>
        <w:tab/>
      </w:r>
      <w:r>
        <w:rPr>
          <w:rFonts w:ascii="Arial" w:hAnsi="Arial" w:cs="Arial"/>
        </w:rPr>
        <w:tab/>
      </w:r>
    </w:p>
    <w:p w14:paraId="1ADBFE9E" w14:textId="7A7ADDCF" w:rsidR="00376FC1" w:rsidRPr="00376FC1" w:rsidRDefault="00376FC1" w:rsidP="00F25BD9">
      <w:pPr>
        <w:spacing w:line="360" w:lineRule="auto"/>
        <w:jc w:val="both"/>
        <w:rPr>
          <w:rFonts w:ascii="Arial" w:hAnsi="Arial" w:cs="Arial"/>
          <w:b/>
          <w:bCs/>
        </w:rPr>
      </w:pPr>
      <w:r w:rsidRPr="00376FC1">
        <w:rPr>
          <w:rFonts w:ascii="Arial" w:hAnsi="Arial" w:cs="Arial"/>
          <w:b/>
          <w:bCs/>
        </w:rPr>
        <w:t xml:space="preserve">Issues for adjudication </w:t>
      </w:r>
    </w:p>
    <w:p w14:paraId="75A963E2" w14:textId="1D2FFF55" w:rsidR="00F1655C" w:rsidRDefault="00376FC1" w:rsidP="00FE31ED">
      <w:pPr>
        <w:spacing w:line="360" w:lineRule="auto"/>
        <w:jc w:val="both"/>
        <w:rPr>
          <w:rFonts w:ascii="Arial" w:hAnsi="Arial" w:cs="Arial"/>
        </w:rPr>
      </w:pPr>
      <w:r>
        <w:rPr>
          <w:rFonts w:ascii="Arial" w:hAnsi="Arial" w:cs="Arial"/>
        </w:rPr>
        <w:t>[</w:t>
      </w:r>
      <w:r w:rsidR="00FA4258">
        <w:rPr>
          <w:rFonts w:ascii="Arial" w:hAnsi="Arial" w:cs="Arial"/>
        </w:rPr>
        <w:t>7</w:t>
      </w:r>
      <w:r w:rsidR="00334FE3">
        <w:rPr>
          <w:rFonts w:ascii="Arial" w:hAnsi="Arial" w:cs="Arial"/>
        </w:rPr>
        <w:t xml:space="preserve">] There are numerous </w:t>
      </w:r>
      <w:r w:rsidR="00A44A06">
        <w:rPr>
          <w:rFonts w:ascii="Arial" w:hAnsi="Arial" w:cs="Arial"/>
        </w:rPr>
        <w:t xml:space="preserve">disputes of </w:t>
      </w:r>
      <w:r w:rsidR="00193582">
        <w:rPr>
          <w:rFonts w:ascii="Arial" w:hAnsi="Arial" w:cs="Arial"/>
        </w:rPr>
        <w:t xml:space="preserve">facts from the papers. These </w:t>
      </w:r>
      <w:r w:rsidR="00575935">
        <w:rPr>
          <w:rFonts w:ascii="Arial" w:hAnsi="Arial" w:cs="Arial"/>
        </w:rPr>
        <w:t xml:space="preserve">are </w:t>
      </w:r>
      <w:r w:rsidR="00193582">
        <w:rPr>
          <w:rFonts w:ascii="Arial" w:hAnsi="Arial" w:cs="Arial"/>
        </w:rPr>
        <w:t>broadl</w:t>
      </w:r>
      <w:r w:rsidR="00F1655C">
        <w:rPr>
          <w:rFonts w:ascii="Arial" w:hAnsi="Arial" w:cs="Arial"/>
        </w:rPr>
        <w:t>y</w:t>
      </w:r>
      <w:r w:rsidR="00A44A06">
        <w:rPr>
          <w:rFonts w:ascii="Arial" w:hAnsi="Arial" w:cs="Arial"/>
        </w:rPr>
        <w:t xml:space="preserve"> that: </w:t>
      </w:r>
      <w:r w:rsidR="00F1655C">
        <w:rPr>
          <w:rFonts w:ascii="Arial" w:hAnsi="Arial" w:cs="Arial"/>
        </w:rPr>
        <w:t xml:space="preserve"> </w:t>
      </w:r>
    </w:p>
    <w:p w14:paraId="764FA6D6" w14:textId="6CE11B9C" w:rsidR="00560312" w:rsidRDefault="00051F5E" w:rsidP="001E480E">
      <w:pPr>
        <w:spacing w:line="360" w:lineRule="auto"/>
        <w:ind w:left="720"/>
        <w:jc w:val="both"/>
        <w:rPr>
          <w:rFonts w:ascii="Arial" w:hAnsi="Arial" w:cs="Arial"/>
        </w:rPr>
      </w:pPr>
      <w:r>
        <w:rPr>
          <w:rFonts w:ascii="Arial" w:hAnsi="Arial" w:cs="Arial"/>
        </w:rPr>
        <w:t>(</w:t>
      </w:r>
      <w:r w:rsidR="00FE31ED">
        <w:rPr>
          <w:rFonts w:ascii="Arial" w:hAnsi="Arial" w:cs="Arial"/>
        </w:rPr>
        <w:t>a</w:t>
      </w:r>
      <w:r>
        <w:rPr>
          <w:rFonts w:ascii="Arial" w:hAnsi="Arial" w:cs="Arial"/>
        </w:rPr>
        <w:t xml:space="preserve">) Respondent's alleged inability </w:t>
      </w:r>
      <w:r w:rsidR="007F06ED">
        <w:rPr>
          <w:rFonts w:ascii="Arial" w:hAnsi="Arial" w:cs="Arial"/>
        </w:rPr>
        <w:t>to pay its debts as contemplated by section</w:t>
      </w:r>
      <w:r w:rsidR="003E7AA1">
        <w:rPr>
          <w:rFonts w:ascii="Arial" w:hAnsi="Arial" w:cs="Arial"/>
        </w:rPr>
        <w:t xml:space="preserve"> </w:t>
      </w:r>
      <w:r w:rsidR="007F06ED">
        <w:rPr>
          <w:rFonts w:ascii="Arial" w:hAnsi="Arial" w:cs="Arial"/>
        </w:rPr>
        <w:t>34</w:t>
      </w:r>
      <w:r w:rsidR="002B3ACB">
        <w:rPr>
          <w:rFonts w:ascii="Arial" w:hAnsi="Arial" w:cs="Arial"/>
        </w:rPr>
        <w:t>5</w:t>
      </w:r>
      <w:r w:rsidR="003E7AA1">
        <w:rPr>
          <w:rFonts w:ascii="Arial" w:hAnsi="Arial" w:cs="Arial"/>
        </w:rPr>
        <w:t xml:space="preserve"> (1)</w:t>
      </w:r>
      <w:r w:rsidR="007F06ED">
        <w:rPr>
          <w:rFonts w:ascii="Arial" w:hAnsi="Arial" w:cs="Arial"/>
        </w:rPr>
        <w:t xml:space="preserve"> </w:t>
      </w:r>
      <w:r w:rsidR="00FE10CB">
        <w:rPr>
          <w:rFonts w:ascii="Arial" w:hAnsi="Arial" w:cs="Arial"/>
        </w:rPr>
        <w:t>of the</w:t>
      </w:r>
      <w:r w:rsidR="00900955">
        <w:rPr>
          <w:rFonts w:ascii="Arial" w:hAnsi="Arial" w:cs="Arial"/>
        </w:rPr>
        <w:t xml:space="preserve"> Act.</w:t>
      </w:r>
      <w:r w:rsidR="00575935">
        <w:rPr>
          <w:rFonts w:ascii="Arial" w:hAnsi="Arial" w:cs="Arial"/>
        </w:rPr>
        <w:t xml:space="preserve"> The issue is whether the respondent is indebted to the applicant</w:t>
      </w:r>
      <w:r w:rsidR="003E7AA1">
        <w:rPr>
          <w:rFonts w:ascii="Arial" w:hAnsi="Arial" w:cs="Arial"/>
        </w:rPr>
        <w:t>.</w:t>
      </w:r>
      <w:r w:rsidR="00C44C00">
        <w:rPr>
          <w:rFonts w:ascii="Arial" w:hAnsi="Arial" w:cs="Arial"/>
        </w:rPr>
        <w:t xml:space="preserve"> The r</w:t>
      </w:r>
      <w:r w:rsidR="00C2399C">
        <w:rPr>
          <w:rFonts w:ascii="Arial" w:hAnsi="Arial" w:cs="Arial"/>
        </w:rPr>
        <w:t xml:space="preserve">espondent denies such </w:t>
      </w:r>
      <w:r w:rsidR="00B068EC">
        <w:rPr>
          <w:rFonts w:ascii="Arial" w:hAnsi="Arial" w:cs="Arial"/>
        </w:rPr>
        <w:t>indebtedness to the applicant.</w:t>
      </w:r>
    </w:p>
    <w:p w14:paraId="009749E9" w14:textId="31CC97D2" w:rsidR="002C4350" w:rsidRDefault="00041FBB" w:rsidP="001E480E">
      <w:pPr>
        <w:spacing w:line="360" w:lineRule="auto"/>
        <w:ind w:left="720"/>
        <w:jc w:val="both"/>
        <w:rPr>
          <w:rFonts w:ascii="Arial" w:hAnsi="Arial" w:cs="Arial"/>
        </w:rPr>
      </w:pPr>
      <w:r>
        <w:rPr>
          <w:rFonts w:ascii="Arial" w:hAnsi="Arial" w:cs="Arial"/>
        </w:rPr>
        <w:t>(</w:t>
      </w:r>
      <w:r w:rsidR="00FE31ED">
        <w:rPr>
          <w:rFonts w:ascii="Arial" w:hAnsi="Arial" w:cs="Arial"/>
        </w:rPr>
        <w:t>b</w:t>
      </w:r>
      <w:r w:rsidR="00900955">
        <w:rPr>
          <w:rFonts w:ascii="Arial" w:hAnsi="Arial" w:cs="Arial"/>
        </w:rPr>
        <w:t>)</w:t>
      </w:r>
      <w:r>
        <w:rPr>
          <w:rFonts w:ascii="Arial" w:hAnsi="Arial" w:cs="Arial"/>
        </w:rPr>
        <w:t xml:space="preserve"> </w:t>
      </w:r>
      <w:r w:rsidR="008B26BD">
        <w:rPr>
          <w:rFonts w:ascii="Arial" w:hAnsi="Arial" w:cs="Arial"/>
        </w:rPr>
        <w:t>Respondent’s solvency.</w:t>
      </w:r>
      <w:r w:rsidR="00900955">
        <w:rPr>
          <w:rFonts w:ascii="Arial" w:hAnsi="Arial" w:cs="Arial"/>
        </w:rPr>
        <w:t xml:space="preserve"> </w:t>
      </w:r>
      <w:r w:rsidR="00A24DCC">
        <w:rPr>
          <w:rFonts w:ascii="Arial" w:hAnsi="Arial" w:cs="Arial"/>
        </w:rPr>
        <w:t xml:space="preserve">The respondent denies that it </w:t>
      </w:r>
      <w:r w:rsidR="00512CAF">
        <w:rPr>
          <w:rFonts w:ascii="Arial" w:hAnsi="Arial" w:cs="Arial"/>
        </w:rPr>
        <w:t xml:space="preserve">is </w:t>
      </w:r>
      <w:r w:rsidR="00A24DCC">
        <w:rPr>
          <w:rFonts w:ascii="Arial" w:hAnsi="Arial" w:cs="Arial"/>
        </w:rPr>
        <w:t xml:space="preserve">either commercially or factually insolvent. </w:t>
      </w:r>
    </w:p>
    <w:p w14:paraId="1EAB017A" w14:textId="5B454348" w:rsidR="007B21E2" w:rsidRDefault="007B21E2" w:rsidP="001E480E">
      <w:pPr>
        <w:spacing w:line="360" w:lineRule="auto"/>
        <w:ind w:left="720"/>
        <w:jc w:val="both"/>
        <w:rPr>
          <w:rFonts w:ascii="Arial" w:hAnsi="Arial" w:cs="Arial"/>
        </w:rPr>
      </w:pPr>
      <w:r>
        <w:rPr>
          <w:rFonts w:ascii="Arial" w:hAnsi="Arial" w:cs="Arial"/>
        </w:rPr>
        <w:t xml:space="preserve">(c) </w:t>
      </w:r>
      <w:r w:rsidR="00FC4BB0">
        <w:rPr>
          <w:rFonts w:ascii="Arial" w:hAnsi="Arial" w:cs="Arial"/>
        </w:rPr>
        <w:t>R</w:t>
      </w:r>
      <w:r>
        <w:rPr>
          <w:rFonts w:ascii="Arial" w:hAnsi="Arial" w:cs="Arial"/>
        </w:rPr>
        <w:t xml:space="preserve">espondent </w:t>
      </w:r>
      <w:r w:rsidR="00311752">
        <w:rPr>
          <w:rFonts w:ascii="Arial" w:hAnsi="Arial" w:cs="Arial"/>
        </w:rPr>
        <w:t xml:space="preserve">denies that it </w:t>
      </w:r>
      <w:r w:rsidR="008F6913">
        <w:rPr>
          <w:rFonts w:ascii="Arial" w:hAnsi="Arial" w:cs="Arial"/>
        </w:rPr>
        <w:t xml:space="preserve">will be </w:t>
      </w:r>
      <w:r w:rsidR="00311752">
        <w:rPr>
          <w:rFonts w:ascii="Arial" w:hAnsi="Arial" w:cs="Arial"/>
        </w:rPr>
        <w:t xml:space="preserve">just and equitable to be liquidated. </w:t>
      </w:r>
    </w:p>
    <w:p w14:paraId="0B331839" w14:textId="77777777" w:rsidR="00FC2D7F" w:rsidRDefault="00FC2D7F" w:rsidP="001E480E">
      <w:pPr>
        <w:spacing w:line="360" w:lineRule="auto"/>
        <w:ind w:left="720"/>
        <w:jc w:val="both"/>
        <w:rPr>
          <w:rFonts w:ascii="Arial" w:hAnsi="Arial" w:cs="Arial"/>
        </w:rPr>
      </w:pPr>
    </w:p>
    <w:p w14:paraId="40948540" w14:textId="3D91263E" w:rsidR="00F41B38" w:rsidRPr="00575935" w:rsidRDefault="00F41B38" w:rsidP="00F41B38">
      <w:pPr>
        <w:spacing w:line="360" w:lineRule="auto"/>
        <w:jc w:val="both"/>
        <w:rPr>
          <w:rFonts w:ascii="Arial" w:hAnsi="Arial" w:cs="Arial"/>
          <w:b/>
        </w:rPr>
      </w:pPr>
      <w:r w:rsidRPr="00575935">
        <w:rPr>
          <w:rFonts w:ascii="Arial" w:hAnsi="Arial" w:cs="Arial"/>
          <w:b/>
        </w:rPr>
        <w:t xml:space="preserve">Respondent’s alleged inability to </w:t>
      </w:r>
      <w:r w:rsidR="006E075C" w:rsidRPr="00575935">
        <w:rPr>
          <w:rFonts w:ascii="Arial" w:hAnsi="Arial" w:cs="Arial"/>
          <w:b/>
        </w:rPr>
        <w:t>pay its debts</w:t>
      </w:r>
      <w:r w:rsidR="004C1F7F" w:rsidRPr="00575935">
        <w:rPr>
          <w:rFonts w:ascii="Arial" w:hAnsi="Arial" w:cs="Arial"/>
          <w:b/>
        </w:rPr>
        <w:t xml:space="preserve">. </w:t>
      </w:r>
    </w:p>
    <w:p w14:paraId="31655476" w14:textId="3F07A9C1" w:rsidR="00E42F38" w:rsidRDefault="00B43FC1" w:rsidP="00EF0B0D">
      <w:pPr>
        <w:spacing w:line="360" w:lineRule="auto"/>
        <w:jc w:val="both"/>
        <w:rPr>
          <w:rFonts w:ascii="Arial" w:hAnsi="Arial" w:cs="Arial"/>
        </w:rPr>
      </w:pPr>
      <w:r w:rsidRPr="00B43FC1">
        <w:rPr>
          <w:rFonts w:ascii="Arial" w:hAnsi="Arial" w:cs="Arial"/>
        </w:rPr>
        <w:t>[</w:t>
      </w:r>
      <w:r w:rsidR="001C7D40">
        <w:rPr>
          <w:rFonts w:ascii="Arial" w:hAnsi="Arial" w:cs="Arial"/>
        </w:rPr>
        <w:t xml:space="preserve">8] </w:t>
      </w:r>
      <w:r w:rsidR="004C1F7F">
        <w:rPr>
          <w:rFonts w:ascii="Arial" w:hAnsi="Arial" w:cs="Arial"/>
        </w:rPr>
        <w:t xml:space="preserve">In the founding affidavit the applicant </w:t>
      </w:r>
      <w:r w:rsidR="00D843AC">
        <w:rPr>
          <w:rFonts w:ascii="Arial" w:hAnsi="Arial" w:cs="Arial"/>
        </w:rPr>
        <w:t xml:space="preserve">sought to establish that respondent is unable to </w:t>
      </w:r>
      <w:r w:rsidR="00356F05">
        <w:rPr>
          <w:rFonts w:ascii="Arial" w:hAnsi="Arial" w:cs="Arial"/>
        </w:rPr>
        <w:t xml:space="preserve">pay its debts. The </w:t>
      </w:r>
      <w:r w:rsidR="00702394">
        <w:rPr>
          <w:rFonts w:ascii="Arial" w:hAnsi="Arial" w:cs="Arial"/>
        </w:rPr>
        <w:t>affidavit</w:t>
      </w:r>
      <w:r w:rsidR="00356F05">
        <w:rPr>
          <w:rFonts w:ascii="Arial" w:hAnsi="Arial" w:cs="Arial"/>
        </w:rPr>
        <w:t xml:space="preserve"> </w:t>
      </w:r>
      <w:r w:rsidR="00DB1EFB">
        <w:rPr>
          <w:rFonts w:ascii="Arial" w:hAnsi="Arial" w:cs="Arial"/>
        </w:rPr>
        <w:t xml:space="preserve">states </w:t>
      </w:r>
      <w:r w:rsidR="00A24DCC">
        <w:rPr>
          <w:rFonts w:ascii="Arial" w:hAnsi="Arial" w:cs="Arial"/>
        </w:rPr>
        <w:t xml:space="preserve">that in </w:t>
      </w:r>
      <w:r w:rsidR="00DB1EFB">
        <w:rPr>
          <w:rFonts w:ascii="Arial" w:hAnsi="Arial" w:cs="Arial"/>
        </w:rPr>
        <w:t>2011</w:t>
      </w:r>
      <w:r w:rsidR="00FC20D2">
        <w:rPr>
          <w:rFonts w:ascii="Arial" w:hAnsi="Arial" w:cs="Arial"/>
        </w:rPr>
        <w:t>,</w:t>
      </w:r>
      <w:r w:rsidR="00DB1EFB">
        <w:rPr>
          <w:rFonts w:ascii="Arial" w:hAnsi="Arial" w:cs="Arial"/>
        </w:rPr>
        <w:t xml:space="preserve"> applicant and respondent entered into a written agreement </w:t>
      </w:r>
      <w:r w:rsidR="008C236C">
        <w:rPr>
          <w:rFonts w:ascii="Arial" w:hAnsi="Arial" w:cs="Arial"/>
        </w:rPr>
        <w:t xml:space="preserve">for the purchase of a unit </w:t>
      </w:r>
      <w:r w:rsidR="00E54C59">
        <w:rPr>
          <w:rFonts w:ascii="Arial" w:hAnsi="Arial" w:cs="Arial"/>
        </w:rPr>
        <w:t>in</w:t>
      </w:r>
      <w:r w:rsidR="00E54C59" w:rsidRPr="00E54C59">
        <w:rPr>
          <w:rFonts w:ascii="Arial" w:hAnsi="Arial" w:cs="Arial"/>
          <w:color w:val="000000" w:themeColor="text1"/>
        </w:rPr>
        <w:t xml:space="preserve"> </w:t>
      </w:r>
      <w:r w:rsidR="00DB012D" w:rsidRPr="00E54C59">
        <w:rPr>
          <w:rFonts w:ascii="Arial" w:hAnsi="Arial" w:cs="Arial"/>
          <w:color w:val="000000" w:themeColor="text1"/>
        </w:rPr>
        <w:t>a</w:t>
      </w:r>
      <w:r w:rsidR="008C236C" w:rsidRPr="00E54C59">
        <w:rPr>
          <w:rFonts w:ascii="Arial" w:hAnsi="Arial" w:cs="Arial"/>
          <w:color w:val="000000" w:themeColor="text1"/>
        </w:rPr>
        <w:t xml:space="preserve"> </w:t>
      </w:r>
      <w:r w:rsidR="008C236C">
        <w:rPr>
          <w:rFonts w:ascii="Arial" w:hAnsi="Arial" w:cs="Arial"/>
        </w:rPr>
        <w:t>section</w:t>
      </w:r>
      <w:r w:rsidR="008C3834">
        <w:rPr>
          <w:rFonts w:ascii="Arial" w:hAnsi="Arial" w:cs="Arial"/>
        </w:rPr>
        <w:t xml:space="preserve">al title scheme. </w:t>
      </w:r>
    </w:p>
    <w:p w14:paraId="6BE78B55" w14:textId="31687BB8" w:rsidR="00702394" w:rsidRDefault="00702394" w:rsidP="00EF0B0D">
      <w:pPr>
        <w:spacing w:line="360" w:lineRule="auto"/>
        <w:jc w:val="both"/>
        <w:rPr>
          <w:rFonts w:ascii="Arial" w:hAnsi="Arial" w:cs="Arial"/>
        </w:rPr>
      </w:pPr>
      <w:r>
        <w:rPr>
          <w:rFonts w:ascii="Arial" w:hAnsi="Arial" w:cs="Arial"/>
        </w:rPr>
        <w:t>[</w:t>
      </w:r>
      <w:r w:rsidR="00571483">
        <w:rPr>
          <w:rFonts w:ascii="Arial" w:hAnsi="Arial" w:cs="Arial"/>
        </w:rPr>
        <w:t>9</w:t>
      </w:r>
      <w:r>
        <w:rPr>
          <w:rFonts w:ascii="Arial" w:hAnsi="Arial" w:cs="Arial"/>
        </w:rPr>
        <w:t xml:space="preserve">] </w:t>
      </w:r>
      <w:r w:rsidR="00C00008">
        <w:rPr>
          <w:rFonts w:ascii="Arial" w:hAnsi="Arial" w:cs="Arial"/>
        </w:rPr>
        <w:t xml:space="preserve">The applicant alleges that </w:t>
      </w:r>
      <w:r w:rsidR="00B57B7B">
        <w:rPr>
          <w:rFonts w:ascii="Arial" w:hAnsi="Arial" w:cs="Arial"/>
        </w:rPr>
        <w:t>the respondent</w:t>
      </w:r>
      <w:r w:rsidR="00A24DCC">
        <w:rPr>
          <w:rFonts w:ascii="Arial" w:hAnsi="Arial" w:cs="Arial"/>
        </w:rPr>
        <w:t xml:space="preserve"> </w:t>
      </w:r>
      <w:r w:rsidR="00B57B7B">
        <w:rPr>
          <w:rFonts w:ascii="Arial" w:hAnsi="Arial" w:cs="Arial"/>
        </w:rPr>
        <w:t>intentionally and fraudulently</w:t>
      </w:r>
      <w:r w:rsidR="00E45049">
        <w:rPr>
          <w:rFonts w:ascii="Arial" w:hAnsi="Arial" w:cs="Arial"/>
        </w:rPr>
        <w:t xml:space="preserve"> </w:t>
      </w:r>
      <w:r w:rsidR="00B57B7B">
        <w:rPr>
          <w:rFonts w:ascii="Arial" w:hAnsi="Arial" w:cs="Arial"/>
        </w:rPr>
        <w:t>misre</w:t>
      </w:r>
      <w:r w:rsidR="00EB62B5">
        <w:rPr>
          <w:rFonts w:ascii="Arial" w:hAnsi="Arial" w:cs="Arial"/>
        </w:rPr>
        <w:t xml:space="preserve">presented to the applicant that it was the owner of the property </w:t>
      </w:r>
      <w:r w:rsidR="00771820">
        <w:rPr>
          <w:rFonts w:ascii="Arial" w:hAnsi="Arial" w:cs="Arial"/>
        </w:rPr>
        <w:t xml:space="preserve">being sold and that </w:t>
      </w:r>
      <w:r w:rsidR="00FD16A1">
        <w:rPr>
          <w:rFonts w:ascii="Arial" w:hAnsi="Arial" w:cs="Arial"/>
        </w:rPr>
        <w:t xml:space="preserve">it had the necessary capacity to </w:t>
      </w:r>
      <w:r w:rsidR="00D63418">
        <w:rPr>
          <w:rFonts w:ascii="Arial" w:hAnsi="Arial" w:cs="Arial"/>
        </w:rPr>
        <w:t>develop and register sectional title. It is alleged th</w:t>
      </w:r>
      <w:r w:rsidR="007546BE">
        <w:rPr>
          <w:rFonts w:ascii="Arial" w:hAnsi="Arial" w:cs="Arial"/>
        </w:rPr>
        <w:t xml:space="preserve">at the respondent was aware </w:t>
      </w:r>
      <w:r w:rsidR="00B435D3">
        <w:rPr>
          <w:rFonts w:ascii="Arial" w:hAnsi="Arial" w:cs="Arial"/>
        </w:rPr>
        <w:t>as</w:t>
      </w:r>
      <w:r w:rsidR="00A93F77">
        <w:rPr>
          <w:rFonts w:ascii="Arial" w:hAnsi="Arial" w:cs="Arial"/>
        </w:rPr>
        <w:t xml:space="preserve"> to</w:t>
      </w:r>
      <w:r w:rsidR="007546BE">
        <w:rPr>
          <w:rFonts w:ascii="Arial" w:hAnsi="Arial" w:cs="Arial"/>
        </w:rPr>
        <w:t xml:space="preserve"> who the rightful owner of the property was</w:t>
      </w:r>
      <w:r w:rsidR="00FE10CB">
        <w:rPr>
          <w:rFonts w:ascii="Arial" w:hAnsi="Arial" w:cs="Arial"/>
        </w:rPr>
        <w:t>. The</w:t>
      </w:r>
      <w:r w:rsidR="005410A5">
        <w:rPr>
          <w:rFonts w:ascii="Arial" w:hAnsi="Arial" w:cs="Arial"/>
        </w:rPr>
        <w:t xml:space="preserve"> </w:t>
      </w:r>
      <w:r w:rsidR="005410A5" w:rsidRPr="00E54C59">
        <w:rPr>
          <w:rFonts w:ascii="Arial" w:hAnsi="Arial" w:cs="Arial"/>
          <w:color w:val="000000" w:themeColor="text1"/>
        </w:rPr>
        <w:t>alleged</w:t>
      </w:r>
      <w:r w:rsidR="00FE10CB">
        <w:rPr>
          <w:rFonts w:ascii="Arial" w:hAnsi="Arial" w:cs="Arial"/>
        </w:rPr>
        <w:t xml:space="preserve"> misrepresentation</w:t>
      </w:r>
      <w:r w:rsidR="00D4303E">
        <w:rPr>
          <w:rFonts w:ascii="Arial" w:hAnsi="Arial" w:cs="Arial"/>
        </w:rPr>
        <w:t xml:space="preserve"> </w:t>
      </w:r>
      <w:r w:rsidR="00C716E4">
        <w:rPr>
          <w:rFonts w:ascii="Arial" w:hAnsi="Arial" w:cs="Arial"/>
        </w:rPr>
        <w:t>induced the applicant to enter into a sale agree</w:t>
      </w:r>
      <w:r w:rsidR="0040445F">
        <w:rPr>
          <w:rFonts w:ascii="Arial" w:hAnsi="Arial" w:cs="Arial"/>
        </w:rPr>
        <w:t xml:space="preserve">ment and </w:t>
      </w:r>
      <w:r w:rsidR="00A477FA">
        <w:rPr>
          <w:rFonts w:ascii="Arial" w:hAnsi="Arial" w:cs="Arial"/>
        </w:rPr>
        <w:t>to pay</w:t>
      </w:r>
      <w:r w:rsidR="00BE6A48">
        <w:rPr>
          <w:rFonts w:ascii="Arial" w:hAnsi="Arial" w:cs="Arial"/>
        </w:rPr>
        <w:t xml:space="preserve"> </w:t>
      </w:r>
      <w:r w:rsidR="0040445F">
        <w:rPr>
          <w:rFonts w:ascii="Arial" w:hAnsi="Arial" w:cs="Arial"/>
        </w:rPr>
        <w:t xml:space="preserve">purchase price </w:t>
      </w:r>
      <w:r w:rsidR="0069360D">
        <w:rPr>
          <w:rFonts w:ascii="Arial" w:hAnsi="Arial" w:cs="Arial"/>
        </w:rPr>
        <w:t xml:space="preserve">to the respondent. </w:t>
      </w:r>
    </w:p>
    <w:p w14:paraId="2ACDD2AA" w14:textId="358F6DBA" w:rsidR="00CD431D" w:rsidRDefault="00FE10CB" w:rsidP="00EF0B0D">
      <w:pPr>
        <w:spacing w:line="360" w:lineRule="auto"/>
        <w:jc w:val="both"/>
        <w:rPr>
          <w:rFonts w:ascii="Arial" w:hAnsi="Arial" w:cs="Arial"/>
        </w:rPr>
      </w:pPr>
      <w:r>
        <w:rPr>
          <w:rFonts w:ascii="Arial" w:hAnsi="Arial" w:cs="Arial"/>
        </w:rPr>
        <w:t>[</w:t>
      </w:r>
      <w:r w:rsidR="00A477FA">
        <w:rPr>
          <w:rFonts w:ascii="Arial" w:hAnsi="Arial" w:cs="Arial"/>
        </w:rPr>
        <w:t>10</w:t>
      </w:r>
      <w:r>
        <w:rPr>
          <w:rFonts w:ascii="Arial" w:hAnsi="Arial" w:cs="Arial"/>
        </w:rPr>
        <w:t xml:space="preserve">] The total purchase price was R 2 299 360.00 excluding value added tax (VAT) and with inclusion </w:t>
      </w:r>
      <w:r w:rsidR="00A24DCC">
        <w:rPr>
          <w:rFonts w:ascii="Arial" w:hAnsi="Arial" w:cs="Arial"/>
        </w:rPr>
        <w:t xml:space="preserve">of </w:t>
      </w:r>
      <w:r>
        <w:rPr>
          <w:rFonts w:ascii="Arial" w:hAnsi="Arial" w:cs="Arial"/>
        </w:rPr>
        <w:t xml:space="preserve">14% VAT the purchase </w:t>
      </w:r>
      <w:r w:rsidR="00A24DCC">
        <w:rPr>
          <w:rFonts w:ascii="Arial" w:hAnsi="Arial" w:cs="Arial"/>
        </w:rPr>
        <w:t xml:space="preserve">price totalled the sum </w:t>
      </w:r>
      <w:r w:rsidR="00CD2BCD">
        <w:rPr>
          <w:rFonts w:ascii="Arial" w:hAnsi="Arial" w:cs="Arial"/>
        </w:rPr>
        <w:t>of R</w:t>
      </w:r>
      <w:r>
        <w:rPr>
          <w:rFonts w:ascii="Arial" w:hAnsi="Arial" w:cs="Arial"/>
        </w:rPr>
        <w:t xml:space="preserve"> 2 621 270.40. The purchase price was </w:t>
      </w:r>
      <w:r w:rsidR="0020021F">
        <w:rPr>
          <w:rFonts w:ascii="Arial" w:hAnsi="Arial" w:cs="Arial"/>
        </w:rPr>
        <w:t xml:space="preserve">to be </w:t>
      </w:r>
      <w:r>
        <w:rPr>
          <w:rFonts w:ascii="Arial" w:hAnsi="Arial" w:cs="Arial"/>
        </w:rPr>
        <w:t>paid in</w:t>
      </w:r>
      <w:r w:rsidR="000A4983">
        <w:rPr>
          <w:rFonts w:ascii="Arial" w:hAnsi="Arial" w:cs="Arial"/>
        </w:rPr>
        <w:t xml:space="preserve"> three</w:t>
      </w:r>
      <w:r>
        <w:rPr>
          <w:rFonts w:ascii="Arial" w:hAnsi="Arial" w:cs="Arial"/>
        </w:rPr>
        <w:t xml:space="preserve"> tranc</w:t>
      </w:r>
      <w:r w:rsidR="00CD2BCD">
        <w:rPr>
          <w:rFonts w:ascii="Arial" w:hAnsi="Arial" w:cs="Arial"/>
        </w:rPr>
        <w:t>hes directly to the respondent as follows:</w:t>
      </w:r>
    </w:p>
    <w:p w14:paraId="5355A89E" w14:textId="7959E38C" w:rsidR="00CD2BCD" w:rsidRDefault="00CD2BCD" w:rsidP="00CD2BCD">
      <w:pPr>
        <w:spacing w:line="360" w:lineRule="auto"/>
        <w:ind w:left="720"/>
        <w:jc w:val="both"/>
        <w:rPr>
          <w:rFonts w:ascii="Arial" w:hAnsi="Arial" w:cs="Arial"/>
        </w:rPr>
      </w:pPr>
      <w:r>
        <w:rPr>
          <w:rFonts w:ascii="Arial" w:hAnsi="Arial" w:cs="Arial"/>
        </w:rPr>
        <w:t>‘’</w:t>
      </w:r>
      <w:r w:rsidR="000A4983">
        <w:rPr>
          <w:rFonts w:ascii="Arial" w:hAnsi="Arial" w:cs="Arial"/>
        </w:rPr>
        <w:t>1. In</w:t>
      </w:r>
      <w:r>
        <w:rPr>
          <w:rFonts w:ascii="Arial" w:hAnsi="Arial" w:cs="Arial"/>
        </w:rPr>
        <w:t xml:space="preserve"> cash within 7 (seven) days from signature by the Purchaser, of the letter of intent to purchase the unit to the seller </w:t>
      </w:r>
      <w:r w:rsidR="009A7DEF">
        <w:rPr>
          <w:rFonts w:ascii="Arial" w:hAnsi="Arial" w:cs="Arial"/>
        </w:rPr>
        <w:t xml:space="preserve">a sum of </w:t>
      </w:r>
      <w:r>
        <w:rPr>
          <w:rFonts w:ascii="Arial" w:hAnsi="Arial" w:cs="Arial"/>
        </w:rPr>
        <w:t>R 50 000.00.</w:t>
      </w:r>
    </w:p>
    <w:p w14:paraId="1984F084" w14:textId="0B36CA85" w:rsidR="00CD2BCD" w:rsidRDefault="00CD2BCD" w:rsidP="00CD2BCD">
      <w:pPr>
        <w:spacing w:line="360" w:lineRule="auto"/>
        <w:ind w:left="720"/>
        <w:jc w:val="both"/>
        <w:rPr>
          <w:rFonts w:ascii="Arial" w:hAnsi="Arial" w:cs="Arial"/>
        </w:rPr>
      </w:pPr>
      <w:r>
        <w:rPr>
          <w:rFonts w:ascii="Arial" w:hAnsi="Arial" w:cs="Arial"/>
        </w:rPr>
        <w:t xml:space="preserve">2. The balance of the deposit up to 50% (fifty percent) after deduction of the payment made in terms of clause 5.1 </w:t>
      </w:r>
      <w:r w:rsidR="008D6E6B">
        <w:rPr>
          <w:rFonts w:ascii="Arial" w:hAnsi="Arial" w:cs="Arial"/>
        </w:rPr>
        <w:t>to be paid on or before end of Oct. 2011 – R 1 009 680.00.</w:t>
      </w:r>
    </w:p>
    <w:p w14:paraId="39FAD381" w14:textId="77777777" w:rsidR="002F23FB" w:rsidRDefault="008D6E6B" w:rsidP="002F23FB">
      <w:pPr>
        <w:spacing w:line="360" w:lineRule="auto"/>
        <w:ind w:left="720"/>
        <w:jc w:val="both"/>
        <w:rPr>
          <w:rFonts w:ascii="Arial" w:hAnsi="Arial" w:cs="Arial"/>
        </w:rPr>
      </w:pPr>
      <w:r>
        <w:rPr>
          <w:rFonts w:ascii="Arial" w:hAnsi="Arial" w:cs="Arial"/>
        </w:rPr>
        <w:lastRenderedPageBreak/>
        <w:t>3. The balance of the deduction of payment made in clause</w:t>
      </w:r>
      <w:r w:rsidR="003050BB">
        <w:rPr>
          <w:rFonts w:ascii="Arial" w:hAnsi="Arial" w:cs="Arial"/>
        </w:rPr>
        <w:t>s</w:t>
      </w:r>
      <w:r>
        <w:rPr>
          <w:rFonts w:ascii="Arial" w:hAnsi="Arial" w:cs="Arial"/>
        </w:rPr>
        <w:t xml:space="preserve"> 5.1</w:t>
      </w:r>
      <w:r w:rsidR="003050BB">
        <w:rPr>
          <w:rFonts w:ascii="Arial" w:hAnsi="Arial" w:cs="Arial"/>
        </w:rPr>
        <w:t xml:space="preserve"> </w:t>
      </w:r>
      <w:r w:rsidR="00DE6448">
        <w:rPr>
          <w:rFonts w:ascii="Arial" w:hAnsi="Arial" w:cs="Arial"/>
        </w:rPr>
        <w:t>and 5.2</w:t>
      </w:r>
      <w:r>
        <w:rPr>
          <w:rFonts w:ascii="Arial" w:hAnsi="Arial" w:cs="Arial"/>
        </w:rPr>
        <w:t xml:space="preserve"> to be paid on or before end of Nov</w:t>
      </w:r>
      <w:r w:rsidR="00423B6E">
        <w:rPr>
          <w:rFonts w:ascii="Arial" w:hAnsi="Arial" w:cs="Arial"/>
        </w:rPr>
        <w:t>ember</w:t>
      </w:r>
      <w:r>
        <w:rPr>
          <w:rFonts w:ascii="Arial" w:hAnsi="Arial" w:cs="Arial"/>
        </w:rPr>
        <w:t xml:space="preserve"> 2011 – R 1 149 680.00.</w:t>
      </w:r>
      <w:r w:rsidR="002F23FB">
        <w:rPr>
          <w:rFonts w:ascii="Arial" w:hAnsi="Arial" w:cs="Arial"/>
        </w:rPr>
        <w:t xml:space="preserve"> </w:t>
      </w:r>
    </w:p>
    <w:p w14:paraId="72FE1A43" w14:textId="3B36A23D" w:rsidR="008D6E6B" w:rsidRDefault="008D6E6B" w:rsidP="002F23FB">
      <w:pPr>
        <w:spacing w:line="360" w:lineRule="auto"/>
        <w:ind w:left="720"/>
        <w:jc w:val="both"/>
        <w:rPr>
          <w:rFonts w:ascii="Arial" w:hAnsi="Arial" w:cs="Arial"/>
        </w:rPr>
      </w:pPr>
      <w:r>
        <w:rPr>
          <w:rFonts w:ascii="Arial" w:hAnsi="Arial" w:cs="Arial"/>
        </w:rPr>
        <w:t>All payments were made into the Investec Bank Account of the respondent.</w:t>
      </w:r>
    </w:p>
    <w:p w14:paraId="71EF0A93" w14:textId="70E7B3F8" w:rsidR="00FE10CB" w:rsidRDefault="00FE10CB" w:rsidP="00EF0B0D">
      <w:pPr>
        <w:spacing w:line="360" w:lineRule="auto"/>
        <w:jc w:val="both"/>
        <w:rPr>
          <w:rFonts w:ascii="Arial" w:hAnsi="Arial" w:cs="Arial"/>
        </w:rPr>
      </w:pPr>
      <w:r>
        <w:rPr>
          <w:rFonts w:ascii="Arial" w:hAnsi="Arial" w:cs="Arial"/>
        </w:rPr>
        <w:t>[</w:t>
      </w:r>
      <w:r w:rsidR="00DE6448">
        <w:rPr>
          <w:rFonts w:ascii="Arial" w:hAnsi="Arial" w:cs="Arial"/>
        </w:rPr>
        <w:t>11</w:t>
      </w:r>
      <w:r>
        <w:rPr>
          <w:rFonts w:ascii="Arial" w:hAnsi="Arial" w:cs="Arial"/>
        </w:rPr>
        <w:t xml:space="preserve">] The estimated date </w:t>
      </w:r>
      <w:r w:rsidR="008314D9">
        <w:rPr>
          <w:rFonts w:ascii="Arial" w:hAnsi="Arial" w:cs="Arial"/>
        </w:rPr>
        <w:t>for</w:t>
      </w:r>
      <w:r>
        <w:rPr>
          <w:rFonts w:ascii="Arial" w:hAnsi="Arial" w:cs="Arial"/>
        </w:rPr>
        <w:t xml:space="preserve"> the occupation was 31 December 2012. This </w:t>
      </w:r>
      <w:r w:rsidR="00A24DCC">
        <w:rPr>
          <w:rFonts w:ascii="Arial" w:hAnsi="Arial" w:cs="Arial"/>
        </w:rPr>
        <w:t xml:space="preserve">was contingent </w:t>
      </w:r>
      <w:r w:rsidR="00696565">
        <w:rPr>
          <w:rFonts w:ascii="Arial" w:hAnsi="Arial" w:cs="Arial"/>
        </w:rPr>
        <w:t>upon</w:t>
      </w:r>
      <w:r>
        <w:rPr>
          <w:rFonts w:ascii="Arial" w:hAnsi="Arial" w:cs="Arial"/>
        </w:rPr>
        <w:t xml:space="preserve"> respondent h</w:t>
      </w:r>
      <w:r w:rsidR="00A24DCC">
        <w:rPr>
          <w:rFonts w:ascii="Arial" w:hAnsi="Arial" w:cs="Arial"/>
        </w:rPr>
        <w:t>aving</w:t>
      </w:r>
      <w:r>
        <w:rPr>
          <w:rFonts w:ascii="Arial" w:hAnsi="Arial" w:cs="Arial"/>
        </w:rPr>
        <w:t xml:space="preserve"> consulted with its architect</w:t>
      </w:r>
      <w:r w:rsidR="00A24DCC">
        <w:rPr>
          <w:rFonts w:ascii="Arial" w:hAnsi="Arial" w:cs="Arial"/>
        </w:rPr>
        <w:t xml:space="preserve"> to sanction such occupation.</w:t>
      </w:r>
      <w:r w:rsidR="00EB2174">
        <w:rPr>
          <w:rFonts w:ascii="Arial" w:hAnsi="Arial" w:cs="Arial"/>
        </w:rPr>
        <w:t xml:space="preserve"> It was specifically recorded that the date was only an</w:t>
      </w:r>
      <w:r w:rsidR="003C39F4">
        <w:rPr>
          <w:rFonts w:ascii="Arial" w:hAnsi="Arial" w:cs="Arial"/>
        </w:rPr>
        <w:t xml:space="preserve"> </w:t>
      </w:r>
      <w:r w:rsidR="00FB0ABD">
        <w:rPr>
          <w:rFonts w:ascii="Arial" w:hAnsi="Arial" w:cs="Arial"/>
        </w:rPr>
        <w:t>estimation,</w:t>
      </w:r>
      <w:r w:rsidR="00EB2174">
        <w:rPr>
          <w:rFonts w:ascii="Arial" w:hAnsi="Arial" w:cs="Arial"/>
        </w:rPr>
        <w:t xml:space="preserve"> and the seller </w:t>
      </w:r>
      <w:r w:rsidR="005410A5" w:rsidRPr="00723599">
        <w:rPr>
          <w:rFonts w:ascii="Arial" w:hAnsi="Arial" w:cs="Arial"/>
          <w:color w:val="000000" w:themeColor="text1"/>
        </w:rPr>
        <w:t>would</w:t>
      </w:r>
      <w:r w:rsidR="00EB2174">
        <w:rPr>
          <w:rFonts w:ascii="Arial" w:hAnsi="Arial" w:cs="Arial"/>
        </w:rPr>
        <w:t xml:space="preserve"> not be held to this date should there be a delay caused by factors </w:t>
      </w:r>
      <w:r w:rsidR="00035100">
        <w:rPr>
          <w:rFonts w:ascii="Arial" w:hAnsi="Arial" w:cs="Arial"/>
        </w:rPr>
        <w:t xml:space="preserve">out of </w:t>
      </w:r>
      <w:r w:rsidR="00EB2174">
        <w:rPr>
          <w:rFonts w:ascii="Arial" w:hAnsi="Arial" w:cs="Arial"/>
        </w:rPr>
        <w:t>the seller’s control.</w:t>
      </w:r>
      <w:r w:rsidR="008D22C8">
        <w:rPr>
          <w:rFonts w:ascii="Arial" w:hAnsi="Arial" w:cs="Arial"/>
        </w:rPr>
        <w:t xml:space="preserve">  </w:t>
      </w:r>
    </w:p>
    <w:p w14:paraId="0F20029D" w14:textId="4B8A7B27" w:rsidR="00F56297" w:rsidRDefault="00F56297" w:rsidP="00EF0B0D">
      <w:pPr>
        <w:spacing w:line="360" w:lineRule="auto"/>
        <w:jc w:val="both"/>
        <w:rPr>
          <w:rFonts w:ascii="Arial" w:hAnsi="Arial" w:cs="Arial"/>
        </w:rPr>
      </w:pPr>
      <w:r>
        <w:rPr>
          <w:rFonts w:ascii="Arial" w:hAnsi="Arial" w:cs="Arial"/>
        </w:rPr>
        <w:t>[1</w:t>
      </w:r>
      <w:r w:rsidR="00771C18">
        <w:rPr>
          <w:rFonts w:ascii="Arial" w:hAnsi="Arial" w:cs="Arial"/>
        </w:rPr>
        <w:t>2</w:t>
      </w:r>
      <w:r>
        <w:rPr>
          <w:rFonts w:ascii="Arial" w:hAnsi="Arial" w:cs="Arial"/>
        </w:rPr>
        <w:t>] Notwithstanding that the applicant made payment</w:t>
      </w:r>
      <w:r w:rsidR="00035100">
        <w:rPr>
          <w:rFonts w:ascii="Arial" w:hAnsi="Arial" w:cs="Arial"/>
        </w:rPr>
        <w:t>s</w:t>
      </w:r>
      <w:r>
        <w:rPr>
          <w:rFonts w:ascii="Arial" w:hAnsi="Arial" w:cs="Arial"/>
        </w:rPr>
        <w:t xml:space="preserve"> as agreed, the respondent has </w:t>
      </w:r>
      <w:r w:rsidR="00BC2450">
        <w:rPr>
          <w:rFonts w:ascii="Arial" w:hAnsi="Arial" w:cs="Arial"/>
        </w:rPr>
        <w:t xml:space="preserve">to date </w:t>
      </w:r>
      <w:r>
        <w:rPr>
          <w:rFonts w:ascii="Arial" w:hAnsi="Arial" w:cs="Arial"/>
        </w:rPr>
        <w:t xml:space="preserve">failed or refused and/or neglected to effect transfer of the property </w:t>
      </w:r>
      <w:r w:rsidR="00C70600">
        <w:rPr>
          <w:rFonts w:ascii="Arial" w:hAnsi="Arial" w:cs="Arial"/>
        </w:rPr>
        <w:t xml:space="preserve">into the name of </w:t>
      </w:r>
      <w:r w:rsidR="001D72C8">
        <w:rPr>
          <w:rFonts w:ascii="Arial" w:hAnsi="Arial" w:cs="Arial"/>
        </w:rPr>
        <w:t xml:space="preserve">the </w:t>
      </w:r>
      <w:r>
        <w:rPr>
          <w:rFonts w:ascii="Arial" w:hAnsi="Arial" w:cs="Arial"/>
        </w:rPr>
        <w:t>applicant. The respondent has provided various re</w:t>
      </w:r>
      <w:r w:rsidR="002448BB">
        <w:rPr>
          <w:rFonts w:ascii="Arial" w:hAnsi="Arial" w:cs="Arial"/>
        </w:rPr>
        <w:t>a</w:t>
      </w:r>
      <w:r>
        <w:rPr>
          <w:rFonts w:ascii="Arial" w:hAnsi="Arial" w:cs="Arial"/>
        </w:rPr>
        <w:t>sons for the delay or failure to effect</w:t>
      </w:r>
      <w:r w:rsidR="00257F66">
        <w:rPr>
          <w:rFonts w:ascii="Arial" w:hAnsi="Arial" w:cs="Arial"/>
        </w:rPr>
        <w:t xml:space="preserve"> </w:t>
      </w:r>
      <w:r>
        <w:rPr>
          <w:rFonts w:ascii="Arial" w:hAnsi="Arial" w:cs="Arial"/>
        </w:rPr>
        <w:t xml:space="preserve">such </w:t>
      </w:r>
      <w:r w:rsidR="00E16410">
        <w:rPr>
          <w:rFonts w:ascii="Arial" w:hAnsi="Arial" w:cs="Arial"/>
        </w:rPr>
        <w:t xml:space="preserve">a </w:t>
      </w:r>
      <w:r>
        <w:rPr>
          <w:rFonts w:ascii="Arial" w:hAnsi="Arial" w:cs="Arial"/>
        </w:rPr>
        <w:t>transfer</w:t>
      </w:r>
      <w:r w:rsidR="002448BB">
        <w:rPr>
          <w:rFonts w:ascii="Arial" w:hAnsi="Arial" w:cs="Arial"/>
        </w:rPr>
        <w:t xml:space="preserve">. Among the reasons is that there </w:t>
      </w:r>
      <w:r w:rsidR="00DF1937">
        <w:rPr>
          <w:rFonts w:ascii="Arial" w:hAnsi="Arial" w:cs="Arial"/>
        </w:rPr>
        <w:t>were difficulties experienced</w:t>
      </w:r>
      <w:r w:rsidR="002448BB">
        <w:rPr>
          <w:rFonts w:ascii="Arial" w:hAnsi="Arial" w:cs="Arial"/>
        </w:rPr>
        <w:t xml:space="preserve"> in opening section</w:t>
      </w:r>
      <w:r w:rsidR="001D72C8">
        <w:rPr>
          <w:rFonts w:ascii="Arial" w:hAnsi="Arial" w:cs="Arial"/>
        </w:rPr>
        <w:t>al</w:t>
      </w:r>
      <w:r w:rsidR="002448BB">
        <w:rPr>
          <w:rFonts w:ascii="Arial" w:hAnsi="Arial" w:cs="Arial"/>
        </w:rPr>
        <w:t xml:space="preserve"> title register</w:t>
      </w:r>
      <w:r w:rsidR="00E16410">
        <w:rPr>
          <w:rFonts w:ascii="Arial" w:hAnsi="Arial" w:cs="Arial"/>
        </w:rPr>
        <w:t>.</w:t>
      </w:r>
    </w:p>
    <w:p w14:paraId="2E6B21B5" w14:textId="63DFDBCA" w:rsidR="002448BB" w:rsidRDefault="002448BB" w:rsidP="00EF0B0D">
      <w:pPr>
        <w:spacing w:line="360" w:lineRule="auto"/>
        <w:jc w:val="both"/>
        <w:rPr>
          <w:rFonts w:ascii="Arial" w:hAnsi="Arial" w:cs="Arial"/>
        </w:rPr>
      </w:pPr>
      <w:r>
        <w:rPr>
          <w:rFonts w:ascii="Arial" w:hAnsi="Arial" w:cs="Arial"/>
        </w:rPr>
        <w:t>[1</w:t>
      </w:r>
      <w:r w:rsidR="00F67257">
        <w:rPr>
          <w:rFonts w:ascii="Arial" w:hAnsi="Arial" w:cs="Arial"/>
        </w:rPr>
        <w:t>3</w:t>
      </w:r>
      <w:r>
        <w:rPr>
          <w:rFonts w:ascii="Arial" w:hAnsi="Arial" w:cs="Arial"/>
        </w:rPr>
        <w:t xml:space="preserve">] It is evident from a trail of correspondence between the applicant’s attorneys and nominated conveyancers of the respondent </w:t>
      </w:r>
      <w:r w:rsidR="000E5D24">
        <w:rPr>
          <w:rFonts w:ascii="Arial" w:hAnsi="Arial" w:cs="Arial"/>
        </w:rPr>
        <w:t xml:space="preserve">that </w:t>
      </w:r>
      <w:r w:rsidR="00DF1937">
        <w:rPr>
          <w:rFonts w:ascii="Arial" w:hAnsi="Arial" w:cs="Arial"/>
        </w:rPr>
        <w:t xml:space="preserve">there have been numerous attempts </w:t>
      </w:r>
      <w:r>
        <w:rPr>
          <w:rFonts w:ascii="Arial" w:hAnsi="Arial" w:cs="Arial"/>
        </w:rPr>
        <w:t xml:space="preserve">to try </w:t>
      </w:r>
      <w:r w:rsidR="00DF1937">
        <w:rPr>
          <w:rFonts w:ascii="Arial" w:hAnsi="Arial" w:cs="Arial"/>
        </w:rPr>
        <w:t>and</w:t>
      </w:r>
      <w:r>
        <w:rPr>
          <w:rFonts w:ascii="Arial" w:hAnsi="Arial" w:cs="Arial"/>
        </w:rPr>
        <w:t xml:space="preserve"> resolve the issue of transfer.</w:t>
      </w:r>
      <w:r w:rsidR="00CF40DC">
        <w:rPr>
          <w:rFonts w:ascii="Arial" w:hAnsi="Arial" w:cs="Arial"/>
        </w:rPr>
        <w:t xml:space="preserve"> It </w:t>
      </w:r>
      <w:r w:rsidR="00036576">
        <w:rPr>
          <w:rFonts w:ascii="Arial" w:hAnsi="Arial" w:cs="Arial"/>
        </w:rPr>
        <w:t>was</w:t>
      </w:r>
      <w:r w:rsidR="00CF40DC">
        <w:rPr>
          <w:rFonts w:ascii="Arial" w:hAnsi="Arial" w:cs="Arial"/>
        </w:rPr>
        <w:t xml:space="preserve"> after these numerous exchanges that the applicant caused an attorney’s letter to </w:t>
      </w:r>
      <w:r w:rsidR="00DF1937">
        <w:rPr>
          <w:rFonts w:ascii="Arial" w:hAnsi="Arial" w:cs="Arial"/>
        </w:rPr>
        <w:t>be transmitted</w:t>
      </w:r>
      <w:r w:rsidR="00CF40DC">
        <w:rPr>
          <w:rFonts w:ascii="Arial" w:hAnsi="Arial" w:cs="Arial"/>
        </w:rPr>
        <w:t xml:space="preserve"> to the respondent demanding a refund of the purchase price together with interest. According to the applicant it bec</w:t>
      </w:r>
      <w:r w:rsidR="00975CF8">
        <w:rPr>
          <w:rFonts w:ascii="Arial" w:hAnsi="Arial" w:cs="Arial"/>
        </w:rPr>
        <w:t>a</w:t>
      </w:r>
      <w:r w:rsidR="00CF40DC">
        <w:rPr>
          <w:rFonts w:ascii="Arial" w:hAnsi="Arial" w:cs="Arial"/>
        </w:rPr>
        <w:t>me clear th</w:t>
      </w:r>
      <w:r w:rsidR="00DF1937">
        <w:rPr>
          <w:rFonts w:ascii="Arial" w:hAnsi="Arial" w:cs="Arial"/>
        </w:rPr>
        <w:t>at the respondent</w:t>
      </w:r>
      <w:r w:rsidR="00CF40DC">
        <w:rPr>
          <w:rFonts w:ascii="Arial" w:hAnsi="Arial" w:cs="Arial"/>
        </w:rPr>
        <w:t xml:space="preserve"> </w:t>
      </w:r>
      <w:r w:rsidR="0015772A">
        <w:rPr>
          <w:rFonts w:ascii="Arial" w:hAnsi="Arial" w:cs="Arial"/>
        </w:rPr>
        <w:t>was</w:t>
      </w:r>
      <w:r w:rsidR="00CF40DC">
        <w:rPr>
          <w:rFonts w:ascii="Arial" w:hAnsi="Arial" w:cs="Arial"/>
        </w:rPr>
        <w:t xml:space="preserve"> unable to effect transfer. The applicant contends that it has validly cancelled the agreement alternatively that the contract was void due to fraud </w:t>
      </w:r>
      <w:r w:rsidR="00CD530E">
        <w:rPr>
          <w:rFonts w:ascii="Arial" w:hAnsi="Arial" w:cs="Arial"/>
        </w:rPr>
        <w:t xml:space="preserve">allegedly </w:t>
      </w:r>
      <w:r w:rsidR="00CF40DC">
        <w:rPr>
          <w:rFonts w:ascii="Arial" w:hAnsi="Arial" w:cs="Arial"/>
        </w:rPr>
        <w:t>committed by the respondent.</w:t>
      </w:r>
    </w:p>
    <w:p w14:paraId="6EFE8D89" w14:textId="5323552D" w:rsidR="00CF40DC" w:rsidRDefault="00CF40DC" w:rsidP="00EF0B0D">
      <w:pPr>
        <w:spacing w:line="360" w:lineRule="auto"/>
        <w:jc w:val="both"/>
        <w:rPr>
          <w:rFonts w:ascii="Arial" w:hAnsi="Arial" w:cs="Arial"/>
        </w:rPr>
      </w:pPr>
      <w:r>
        <w:rPr>
          <w:rFonts w:ascii="Arial" w:hAnsi="Arial" w:cs="Arial"/>
        </w:rPr>
        <w:t>[1</w:t>
      </w:r>
      <w:r w:rsidR="00DC275F">
        <w:rPr>
          <w:rFonts w:ascii="Arial" w:hAnsi="Arial" w:cs="Arial"/>
        </w:rPr>
        <w:t>4</w:t>
      </w:r>
      <w:r>
        <w:rPr>
          <w:rFonts w:ascii="Arial" w:hAnsi="Arial" w:cs="Arial"/>
        </w:rPr>
        <w:t xml:space="preserve">] On 30 June 2022, the applicant caused a letter of demand in terms of section 345(1) of </w:t>
      </w:r>
      <w:r w:rsidR="00492047">
        <w:rPr>
          <w:rFonts w:ascii="Arial" w:hAnsi="Arial" w:cs="Arial"/>
        </w:rPr>
        <w:t xml:space="preserve">the old </w:t>
      </w:r>
      <w:r>
        <w:rPr>
          <w:rFonts w:ascii="Arial" w:hAnsi="Arial" w:cs="Arial"/>
        </w:rPr>
        <w:t xml:space="preserve">Act to be served on the respondent, demanding a refund of the full purchase and interest thereon. The letter </w:t>
      </w:r>
      <w:r w:rsidR="00DF1937">
        <w:rPr>
          <w:rFonts w:ascii="Arial" w:hAnsi="Arial" w:cs="Arial"/>
        </w:rPr>
        <w:t xml:space="preserve">was </w:t>
      </w:r>
      <w:r w:rsidR="00492047">
        <w:rPr>
          <w:rFonts w:ascii="Arial" w:hAnsi="Arial" w:cs="Arial"/>
        </w:rPr>
        <w:t>delivered</w:t>
      </w:r>
      <w:r>
        <w:rPr>
          <w:rFonts w:ascii="Arial" w:hAnsi="Arial" w:cs="Arial"/>
        </w:rPr>
        <w:t xml:space="preserve"> </w:t>
      </w:r>
      <w:r w:rsidR="00DC275F">
        <w:rPr>
          <w:rFonts w:ascii="Arial" w:hAnsi="Arial" w:cs="Arial"/>
        </w:rPr>
        <w:t>to</w:t>
      </w:r>
      <w:r>
        <w:rPr>
          <w:rFonts w:ascii="Arial" w:hAnsi="Arial" w:cs="Arial"/>
        </w:rPr>
        <w:t xml:space="preserve"> the respondent at both its registered place of business as well as at the </w:t>
      </w:r>
      <w:proofErr w:type="spellStart"/>
      <w:r>
        <w:rPr>
          <w:rFonts w:ascii="Arial" w:hAnsi="Arial" w:cs="Arial"/>
        </w:rPr>
        <w:t>domicilium</w:t>
      </w:r>
      <w:proofErr w:type="spellEnd"/>
      <w:r>
        <w:rPr>
          <w:rFonts w:ascii="Arial" w:hAnsi="Arial" w:cs="Arial"/>
        </w:rPr>
        <w:t xml:space="preserve"> address. The serv</w:t>
      </w:r>
      <w:r w:rsidR="00DF4A10">
        <w:rPr>
          <w:rFonts w:ascii="Arial" w:hAnsi="Arial" w:cs="Arial"/>
        </w:rPr>
        <w:t>ice</w:t>
      </w:r>
      <w:r>
        <w:rPr>
          <w:rFonts w:ascii="Arial" w:hAnsi="Arial" w:cs="Arial"/>
        </w:rPr>
        <w:t xml:space="preserve"> was </w:t>
      </w:r>
      <w:r w:rsidR="00881858">
        <w:rPr>
          <w:rFonts w:ascii="Arial" w:hAnsi="Arial" w:cs="Arial"/>
        </w:rPr>
        <w:t xml:space="preserve">duly </w:t>
      </w:r>
      <w:r>
        <w:rPr>
          <w:rFonts w:ascii="Arial" w:hAnsi="Arial" w:cs="Arial"/>
        </w:rPr>
        <w:t>effected by the sheriff.</w:t>
      </w:r>
    </w:p>
    <w:p w14:paraId="13071AAA" w14:textId="68FBBE39" w:rsidR="00CF40DC" w:rsidRDefault="00CF40DC" w:rsidP="00EF0B0D">
      <w:pPr>
        <w:spacing w:line="360" w:lineRule="auto"/>
        <w:jc w:val="both"/>
        <w:rPr>
          <w:rFonts w:ascii="Arial" w:hAnsi="Arial" w:cs="Arial"/>
        </w:rPr>
      </w:pPr>
      <w:r>
        <w:rPr>
          <w:rFonts w:ascii="Arial" w:hAnsi="Arial" w:cs="Arial"/>
        </w:rPr>
        <w:t>[1</w:t>
      </w:r>
      <w:r w:rsidR="00DC275F">
        <w:rPr>
          <w:rFonts w:ascii="Arial" w:hAnsi="Arial" w:cs="Arial"/>
        </w:rPr>
        <w:t>5</w:t>
      </w:r>
      <w:r>
        <w:rPr>
          <w:rFonts w:ascii="Arial" w:hAnsi="Arial" w:cs="Arial"/>
        </w:rPr>
        <w:t xml:space="preserve">] The respondent has </w:t>
      </w:r>
      <w:r w:rsidR="00011C11">
        <w:rPr>
          <w:rFonts w:ascii="Arial" w:hAnsi="Arial" w:cs="Arial"/>
        </w:rPr>
        <w:t xml:space="preserve">to date </w:t>
      </w:r>
      <w:r>
        <w:rPr>
          <w:rFonts w:ascii="Arial" w:hAnsi="Arial" w:cs="Arial"/>
        </w:rPr>
        <w:t>no</w:t>
      </w:r>
      <w:r w:rsidR="00EE2D2D">
        <w:rPr>
          <w:rFonts w:ascii="Arial" w:hAnsi="Arial" w:cs="Arial"/>
        </w:rPr>
        <w:t xml:space="preserve">t refunded </w:t>
      </w:r>
      <w:r>
        <w:rPr>
          <w:rFonts w:ascii="Arial" w:hAnsi="Arial" w:cs="Arial"/>
        </w:rPr>
        <w:t xml:space="preserve">the purchase price as demanded. </w:t>
      </w:r>
      <w:r w:rsidR="00D12B9F">
        <w:rPr>
          <w:rFonts w:ascii="Arial" w:hAnsi="Arial" w:cs="Arial"/>
        </w:rPr>
        <w:t>According to</w:t>
      </w:r>
      <w:r w:rsidR="009F05D1">
        <w:rPr>
          <w:rFonts w:ascii="Arial" w:hAnsi="Arial" w:cs="Arial"/>
        </w:rPr>
        <w:t xml:space="preserve"> the </w:t>
      </w:r>
      <w:r w:rsidR="00466231">
        <w:rPr>
          <w:rFonts w:ascii="Arial" w:hAnsi="Arial" w:cs="Arial"/>
        </w:rPr>
        <w:t>applicant, the</w:t>
      </w:r>
      <w:r>
        <w:rPr>
          <w:rFonts w:ascii="Arial" w:hAnsi="Arial" w:cs="Arial"/>
        </w:rPr>
        <w:t xml:space="preserve"> respondent has not offered any explanation for </w:t>
      </w:r>
      <w:r w:rsidR="00CC7224">
        <w:rPr>
          <w:rFonts w:ascii="Arial" w:hAnsi="Arial" w:cs="Arial"/>
        </w:rPr>
        <w:t xml:space="preserve">such </w:t>
      </w:r>
      <w:r>
        <w:rPr>
          <w:rFonts w:ascii="Arial" w:hAnsi="Arial" w:cs="Arial"/>
        </w:rPr>
        <w:t xml:space="preserve">failure nor </w:t>
      </w:r>
      <w:r w:rsidR="00266E34">
        <w:rPr>
          <w:rFonts w:ascii="Arial" w:hAnsi="Arial" w:cs="Arial"/>
        </w:rPr>
        <w:t xml:space="preserve">has it </w:t>
      </w:r>
      <w:r>
        <w:rPr>
          <w:rFonts w:ascii="Arial" w:hAnsi="Arial" w:cs="Arial"/>
        </w:rPr>
        <w:t xml:space="preserve">provided any </w:t>
      </w:r>
      <w:r w:rsidR="00266E34">
        <w:rPr>
          <w:rFonts w:ascii="Arial" w:hAnsi="Arial" w:cs="Arial"/>
        </w:rPr>
        <w:t xml:space="preserve">bona fide </w:t>
      </w:r>
      <w:r>
        <w:rPr>
          <w:rFonts w:ascii="Arial" w:hAnsi="Arial" w:cs="Arial"/>
        </w:rPr>
        <w:t>defence why payment was not forthcoming. The applicant submit</w:t>
      </w:r>
      <w:r w:rsidR="00A32C3D">
        <w:rPr>
          <w:rFonts w:ascii="Arial" w:hAnsi="Arial" w:cs="Arial"/>
        </w:rPr>
        <w:t xml:space="preserve">s </w:t>
      </w:r>
      <w:r>
        <w:rPr>
          <w:rFonts w:ascii="Arial" w:hAnsi="Arial" w:cs="Arial"/>
        </w:rPr>
        <w:t>that in the circumstances the respondent was both factually and commercially insolvent.</w:t>
      </w:r>
    </w:p>
    <w:p w14:paraId="3F7BD7F3" w14:textId="25F434BC" w:rsidR="000A7C74" w:rsidRDefault="00F22348" w:rsidP="00EF0B0D">
      <w:pPr>
        <w:spacing w:line="360" w:lineRule="auto"/>
        <w:jc w:val="both"/>
        <w:rPr>
          <w:rFonts w:ascii="Arial" w:hAnsi="Arial" w:cs="Arial"/>
        </w:rPr>
      </w:pPr>
      <w:r>
        <w:rPr>
          <w:rFonts w:ascii="Arial" w:hAnsi="Arial" w:cs="Arial"/>
        </w:rPr>
        <w:t>[1</w:t>
      </w:r>
      <w:r w:rsidR="00011C11">
        <w:rPr>
          <w:rFonts w:ascii="Arial" w:hAnsi="Arial" w:cs="Arial"/>
        </w:rPr>
        <w:t>6</w:t>
      </w:r>
      <w:r>
        <w:rPr>
          <w:rFonts w:ascii="Arial" w:hAnsi="Arial" w:cs="Arial"/>
        </w:rPr>
        <w:t xml:space="preserve">] The applicant further submits that it will be just and equitable </w:t>
      </w:r>
      <w:r w:rsidR="00EA576B">
        <w:rPr>
          <w:rFonts w:ascii="Arial" w:hAnsi="Arial" w:cs="Arial"/>
        </w:rPr>
        <w:t>to</w:t>
      </w:r>
      <w:r w:rsidR="00463D9B">
        <w:rPr>
          <w:rFonts w:ascii="Arial" w:hAnsi="Arial" w:cs="Arial"/>
        </w:rPr>
        <w:t xml:space="preserve"> </w:t>
      </w:r>
      <w:r w:rsidR="00463D9B" w:rsidRPr="00EA576B">
        <w:rPr>
          <w:rFonts w:ascii="Arial" w:hAnsi="Arial" w:cs="Arial"/>
        </w:rPr>
        <w:t>wind</w:t>
      </w:r>
      <w:r w:rsidR="00CD18C5" w:rsidRPr="00463D9B">
        <w:rPr>
          <w:rFonts w:ascii="Arial" w:hAnsi="Arial" w:cs="Arial"/>
          <w:color w:val="00B050"/>
        </w:rPr>
        <w:t xml:space="preserve"> </w:t>
      </w:r>
      <w:r w:rsidR="00CD18C5">
        <w:rPr>
          <w:rFonts w:ascii="Arial" w:hAnsi="Arial" w:cs="Arial"/>
        </w:rPr>
        <w:t xml:space="preserve">up the respondent </w:t>
      </w:r>
      <w:r w:rsidR="00A96956">
        <w:rPr>
          <w:rFonts w:ascii="Arial" w:hAnsi="Arial" w:cs="Arial"/>
        </w:rPr>
        <w:t xml:space="preserve">so that </w:t>
      </w:r>
      <w:r w:rsidR="00B90BA7">
        <w:rPr>
          <w:rFonts w:ascii="Arial" w:hAnsi="Arial" w:cs="Arial"/>
        </w:rPr>
        <w:t>it could</w:t>
      </w:r>
      <w:r w:rsidR="00A96956">
        <w:rPr>
          <w:rFonts w:ascii="Arial" w:hAnsi="Arial" w:cs="Arial"/>
        </w:rPr>
        <w:t xml:space="preserve"> </w:t>
      </w:r>
      <w:r w:rsidR="00CD18C5">
        <w:rPr>
          <w:rFonts w:ascii="Arial" w:hAnsi="Arial" w:cs="Arial"/>
        </w:rPr>
        <w:t xml:space="preserve">be placed under the Master and a liquidator. The liquidator will </w:t>
      </w:r>
      <w:r w:rsidR="00EA576B">
        <w:rPr>
          <w:rFonts w:ascii="Arial" w:hAnsi="Arial" w:cs="Arial"/>
        </w:rPr>
        <w:t xml:space="preserve">then </w:t>
      </w:r>
      <w:r w:rsidR="00CD18C5">
        <w:rPr>
          <w:rFonts w:ascii="Arial" w:hAnsi="Arial" w:cs="Arial"/>
        </w:rPr>
        <w:t xml:space="preserve">be in a better position to take control of any assets and business of the </w:t>
      </w:r>
      <w:r w:rsidR="00CD18C5">
        <w:rPr>
          <w:rFonts w:ascii="Arial" w:hAnsi="Arial" w:cs="Arial"/>
        </w:rPr>
        <w:lastRenderedPageBreak/>
        <w:t>respondent</w:t>
      </w:r>
      <w:r w:rsidR="00CD3365">
        <w:rPr>
          <w:rFonts w:ascii="Arial" w:hAnsi="Arial" w:cs="Arial"/>
        </w:rPr>
        <w:t>.</w:t>
      </w:r>
      <w:r w:rsidR="00CD18C5">
        <w:rPr>
          <w:rFonts w:ascii="Arial" w:hAnsi="Arial" w:cs="Arial"/>
        </w:rPr>
        <w:t xml:space="preserve"> </w:t>
      </w:r>
      <w:r w:rsidR="00DC77A2">
        <w:rPr>
          <w:rFonts w:ascii="Arial" w:hAnsi="Arial" w:cs="Arial"/>
        </w:rPr>
        <w:t xml:space="preserve">Also the liquidator will be in a </w:t>
      </w:r>
      <w:r w:rsidR="00164ED5">
        <w:rPr>
          <w:rFonts w:ascii="Arial" w:hAnsi="Arial" w:cs="Arial"/>
        </w:rPr>
        <w:t xml:space="preserve">position </w:t>
      </w:r>
      <w:r w:rsidR="00115ED1">
        <w:rPr>
          <w:rFonts w:ascii="Arial" w:hAnsi="Arial" w:cs="Arial"/>
        </w:rPr>
        <w:t>to</w:t>
      </w:r>
      <w:r w:rsidR="00CD18C5">
        <w:rPr>
          <w:rFonts w:ascii="Arial" w:hAnsi="Arial" w:cs="Arial"/>
        </w:rPr>
        <w:t xml:space="preserve"> investigate the flow of funds collected including the payment by the applicant or other </w:t>
      </w:r>
      <w:r w:rsidR="006F742B">
        <w:rPr>
          <w:rFonts w:ascii="Arial" w:hAnsi="Arial" w:cs="Arial"/>
        </w:rPr>
        <w:t>beneficiaries. According</w:t>
      </w:r>
      <w:r w:rsidR="000A7C74">
        <w:rPr>
          <w:rFonts w:ascii="Arial" w:hAnsi="Arial" w:cs="Arial"/>
        </w:rPr>
        <w:t xml:space="preserve"> to the applicant the respondent continues to act fraudulently.</w:t>
      </w:r>
    </w:p>
    <w:p w14:paraId="411621A1" w14:textId="0291F252" w:rsidR="00484290" w:rsidRDefault="00484290" w:rsidP="00EF0B0D">
      <w:pPr>
        <w:spacing w:line="360" w:lineRule="auto"/>
        <w:jc w:val="both"/>
        <w:rPr>
          <w:rFonts w:ascii="Arial" w:hAnsi="Arial" w:cs="Arial"/>
        </w:rPr>
      </w:pPr>
      <w:r>
        <w:rPr>
          <w:rFonts w:ascii="Arial" w:hAnsi="Arial" w:cs="Arial"/>
        </w:rPr>
        <w:t>[1</w:t>
      </w:r>
      <w:r w:rsidR="00466231">
        <w:rPr>
          <w:rFonts w:ascii="Arial" w:hAnsi="Arial" w:cs="Arial"/>
        </w:rPr>
        <w:t>7</w:t>
      </w:r>
      <w:r>
        <w:rPr>
          <w:rFonts w:ascii="Arial" w:hAnsi="Arial" w:cs="Arial"/>
        </w:rPr>
        <w:t xml:space="preserve">] In </w:t>
      </w:r>
      <w:r w:rsidR="00DF4A10">
        <w:rPr>
          <w:rFonts w:ascii="Arial" w:hAnsi="Arial" w:cs="Arial"/>
        </w:rPr>
        <w:t>its</w:t>
      </w:r>
      <w:r>
        <w:rPr>
          <w:rFonts w:ascii="Arial" w:hAnsi="Arial" w:cs="Arial"/>
        </w:rPr>
        <w:t xml:space="preserve"> answering affidavit the respondent denies that it is factually and commercially insolvent and further denies allegations of fraud. The respondent denies that it will </w:t>
      </w:r>
      <w:r w:rsidR="00830D36">
        <w:rPr>
          <w:rFonts w:ascii="Arial" w:hAnsi="Arial" w:cs="Arial"/>
        </w:rPr>
        <w:t xml:space="preserve">be </w:t>
      </w:r>
      <w:r>
        <w:rPr>
          <w:rFonts w:ascii="Arial" w:hAnsi="Arial" w:cs="Arial"/>
        </w:rPr>
        <w:t>just and equitable to</w:t>
      </w:r>
      <w:r w:rsidR="001323B2">
        <w:rPr>
          <w:rFonts w:ascii="Arial" w:hAnsi="Arial" w:cs="Arial"/>
        </w:rPr>
        <w:t xml:space="preserve"> </w:t>
      </w:r>
      <w:r w:rsidR="00463D9B" w:rsidRPr="001323B2">
        <w:rPr>
          <w:rFonts w:ascii="Arial" w:hAnsi="Arial" w:cs="Arial"/>
          <w:color w:val="000000" w:themeColor="text1"/>
        </w:rPr>
        <w:t>wind</w:t>
      </w:r>
      <w:r>
        <w:rPr>
          <w:rFonts w:ascii="Arial" w:hAnsi="Arial" w:cs="Arial"/>
        </w:rPr>
        <w:t xml:space="preserve"> </w:t>
      </w:r>
      <w:r w:rsidR="004F1F10">
        <w:rPr>
          <w:rFonts w:ascii="Arial" w:hAnsi="Arial" w:cs="Arial"/>
        </w:rPr>
        <w:t>up the company</w:t>
      </w:r>
      <w:r>
        <w:rPr>
          <w:rFonts w:ascii="Arial" w:hAnsi="Arial" w:cs="Arial"/>
        </w:rPr>
        <w:t>.</w:t>
      </w:r>
    </w:p>
    <w:p w14:paraId="48D0DD27" w14:textId="34F2E83B" w:rsidR="00484290" w:rsidRDefault="00484290" w:rsidP="00EF0B0D">
      <w:pPr>
        <w:spacing w:line="360" w:lineRule="auto"/>
        <w:jc w:val="both"/>
        <w:rPr>
          <w:rFonts w:ascii="Arial" w:hAnsi="Arial" w:cs="Arial"/>
        </w:rPr>
      </w:pPr>
      <w:r>
        <w:rPr>
          <w:rFonts w:ascii="Arial" w:hAnsi="Arial" w:cs="Arial"/>
        </w:rPr>
        <w:t>[1</w:t>
      </w:r>
      <w:r w:rsidR="005076A9">
        <w:rPr>
          <w:rFonts w:ascii="Arial" w:hAnsi="Arial" w:cs="Arial"/>
        </w:rPr>
        <w:t>8</w:t>
      </w:r>
      <w:r>
        <w:rPr>
          <w:rFonts w:ascii="Arial" w:hAnsi="Arial" w:cs="Arial"/>
        </w:rPr>
        <w:t xml:space="preserve">] </w:t>
      </w:r>
      <w:r w:rsidR="005076A9">
        <w:rPr>
          <w:rFonts w:ascii="Arial" w:hAnsi="Arial" w:cs="Arial"/>
        </w:rPr>
        <w:t>Regarding</w:t>
      </w:r>
      <w:r>
        <w:rPr>
          <w:rFonts w:ascii="Arial" w:hAnsi="Arial" w:cs="Arial"/>
        </w:rPr>
        <w:t xml:space="preserve"> allegations of fraud, the respondent explains that it is the holding company of </w:t>
      </w:r>
      <w:proofErr w:type="spellStart"/>
      <w:r>
        <w:rPr>
          <w:rFonts w:ascii="Arial" w:hAnsi="Arial" w:cs="Arial"/>
        </w:rPr>
        <w:t>Xtraprops</w:t>
      </w:r>
      <w:proofErr w:type="spellEnd"/>
      <w:r>
        <w:rPr>
          <w:rFonts w:ascii="Arial" w:hAnsi="Arial" w:cs="Arial"/>
        </w:rPr>
        <w:t xml:space="preserve"> 204 (Pty) Ltd as it holds 100% of the issued shares. The respondent insist</w:t>
      </w:r>
      <w:r w:rsidR="00463D9B" w:rsidRPr="00ED3E00">
        <w:rPr>
          <w:rFonts w:ascii="Arial" w:hAnsi="Arial" w:cs="Arial"/>
        </w:rPr>
        <w:t>s</w:t>
      </w:r>
      <w:r w:rsidRPr="00ED3E00">
        <w:rPr>
          <w:rFonts w:ascii="Arial" w:hAnsi="Arial" w:cs="Arial"/>
        </w:rPr>
        <w:t xml:space="preserve"> </w:t>
      </w:r>
      <w:r>
        <w:rPr>
          <w:rFonts w:ascii="Arial" w:hAnsi="Arial" w:cs="Arial"/>
        </w:rPr>
        <w:t>that it is the owner the property.</w:t>
      </w:r>
      <w:r w:rsidR="000D7272">
        <w:rPr>
          <w:rFonts w:ascii="Arial" w:hAnsi="Arial" w:cs="Arial"/>
        </w:rPr>
        <w:t xml:space="preserve"> The respondent denies that </w:t>
      </w:r>
      <w:r w:rsidR="00DF4A10">
        <w:rPr>
          <w:rFonts w:ascii="Arial" w:hAnsi="Arial" w:cs="Arial"/>
        </w:rPr>
        <w:t>it is unable</w:t>
      </w:r>
      <w:r w:rsidR="000D7272">
        <w:rPr>
          <w:rFonts w:ascii="Arial" w:hAnsi="Arial" w:cs="Arial"/>
        </w:rPr>
        <w:t xml:space="preserve"> to pay its debts. </w:t>
      </w:r>
    </w:p>
    <w:p w14:paraId="1647C6F9" w14:textId="7A9D799A" w:rsidR="006A66F7" w:rsidRDefault="006A66F7" w:rsidP="00EF0B0D">
      <w:pPr>
        <w:spacing w:line="360" w:lineRule="auto"/>
        <w:jc w:val="both"/>
        <w:rPr>
          <w:rFonts w:ascii="Arial" w:hAnsi="Arial" w:cs="Arial"/>
        </w:rPr>
      </w:pPr>
      <w:r>
        <w:rPr>
          <w:rFonts w:ascii="Arial" w:hAnsi="Arial" w:cs="Arial"/>
        </w:rPr>
        <w:t>[1</w:t>
      </w:r>
      <w:r w:rsidR="00922CD2">
        <w:rPr>
          <w:rFonts w:ascii="Arial" w:hAnsi="Arial" w:cs="Arial"/>
        </w:rPr>
        <w:t>9</w:t>
      </w:r>
      <w:r>
        <w:rPr>
          <w:rFonts w:ascii="Arial" w:hAnsi="Arial" w:cs="Arial"/>
        </w:rPr>
        <w:t xml:space="preserve">] The respondent has placed on record that it has </w:t>
      </w:r>
      <w:r w:rsidR="00DF4A10">
        <w:rPr>
          <w:rFonts w:ascii="Arial" w:hAnsi="Arial" w:cs="Arial"/>
        </w:rPr>
        <w:t xml:space="preserve">put </w:t>
      </w:r>
      <w:r>
        <w:rPr>
          <w:rFonts w:ascii="Arial" w:hAnsi="Arial" w:cs="Arial"/>
        </w:rPr>
        <w:t xml:space="preserve">up security by depositing a sum of R 2 299 360.00 into the </w:t>
      </w:r>
      <w:r w:rsidR="00475297">
        <w:rPr>
          <w:rFonts w:ascii="Arial" w:hAnsi="Arial" w:cs="Arial"/>
        </w:rPr>
        <w:t xml:space="preserve">trust </w:t>
      </w:r>
      <w:r>
        <w:rPr>
          <w:rFonts w:ascii="Arial" w:hAnsi="Arial" w:cs="Arial"/>
        </w:rPr>
        <w:t xml:space="preserve">account of its attorneys of record. The money is to </w:t>
      </w:r>
      <w:r w:rsidR="00DF4A10">
        <w:rPr>
          <w:rFonts w:ascii="Arial" w:hAnsi="Arial" w:cs="Arial"/>
        </w:rPr>
        <w:t xml:space="preserve">be </w:t>
      </w:r>
      <w:r>
        <w:rPr>
          <w:rFonts w:ascii="Arial" w:hAnsi="Arial" w:cs="Arial"/>
        </w:rPr>
        <w:t>retained in</w:t>
      </w:r>
      <w:r w:rsidR="00E710FC">
        <w:rPr>
          <w:rFonts w:ascii="Arial" w:hAnsi="Arial" w:cs="Arial"/>
        </w:rPr>
        <w:t xml:space="preserve"> </w:t>
      </w:r>
      <w:r>
        <w:rPr>
          <w:rFonts w:ascii="Arial" w:hAnsi="Arial" w:cs="Arial"/>
        </w:rPr>
        <w:t xml:space="preserve">that account until the finalization of </w:t>
      </w:r>
      <w:r w:rsidR="00862595">
        <w:rPr>
          <w:rFonts w:ascii="Arial" w:hAnsi="Arial" w:cs="Arial"/>
        </w:rPr>
        <w:t xml:space="preserve">any </w:t>
      </w:r>
      <w:r>
        <w:rPr>
          <w:rFonts w:ascii="Arial" w:hAnsi="Arial" w:cs="Arial"/>
        </w:rPr>
        <w:t>legal proceedings that the applicant is contemplating to institute. This the respondent</w:t>
      </w:r>
      <w:r w:rsidR="00A9415A">
        <w:rPr>
          <w:rFonts w:ascii="Arial" w:hAnsi="Arial" w:cs="Arial"/>
        </w:rPr>
        <w:t xml:space="preserve"> further</w:t>
      </w:r>
      <w:r>
        <w:rPr>
          <w:rFonts w:ascii="Arial" w:hAnsi="Arial" w:cs="Arial"/>
        </w:rPr>
        <w:t xml:space="preserve"> submitted proof that it was </w:t>
      </w:r>
      <w:r w:rsidR="00463D9B" w:rsidRPr="00D62EAC">
        <w:rPr>
          <w:rFonts w:ascii="Arial" w:hAnsi="Arial" w:cs="Arial"/>
          <w:color w:val="000000" w:themeColor="text1"/>
        </w:rPr>
        <w:t>n</w:t>
      </w:r>
      <w:r>
        <w:rPr>
          <w:rFonts w:ascii="Arial" w:hAnsi="Arial" w:cs="Arial"/>
        </w:rPr>
        <w:t>either commercially</w:t>
      </w:r>
      <w:r w:rsidRPr="00D62EAC">
        <w:rPr>
          <w:rFonts w:ascii="Arial" w:hAnsi="Arial" w:cs="Arial"/>
          <w:color w:val="000000" w:themeColor="text1"/>
        </w:rPr>
        <w:t xml:space="preserve"> </w:t>
      </w:r>
      <w:r w:rsidR="00463D9B" w:rsidRPr="00D62EAC">
        <w:rPr>
          <w:rFonts w:ascii="Arial" w:hAnsi="Arial" w:cs="Arial"/>
          <w:color w:val="000000" w:themeColor="text1"/>
        </w:rPr>
        <w:t>n</w:t>
      </w:r>
      <w:r w:rsidRPr="00D62EAC">
        <w:rPr>
          <w:rFonts w:ascii="Arial" w:hAnsi="Arial" w:cs="Arial"/>
          <w:color w:val="000000" w:themeColor="text1"/>
        </w:rPr>
        <w:t xml:space="preserve">or </w:t>
      </w:r>
      <w:r>
        <w:rPr>
          <w:rFonts w:ascii="Arial" w:hAnsi="Arial" w:cs="Arial"/>
        </w:rPr>
        <w:t xml:space="preserve">factually insolvent as alleged by the applicant. </w:t>
      </w:r>
      <w:r w:rsidR="00DA173E">
        <w:rPr>
          <w:rFonts w:ascii="Arial" w:hAnsi="Arial" w:cs="Arial"/>
        </w:rPr>
        <w:t xml:space="preserve">A proof of such payment is attached </w:t>
      </w:r>
      <w:r w:rsidR="00F45E2F">
        <w:rPr>
          <w:rFonts w:ascii="Arial" w:hAnsi="Arial" w:cs="Arial"/>
        </w:rPr>
        <w:t xml:space="preserve">to </w:t>
      </w:r>
      <w:r w:rsidR="00DA173E">
        <w:rPr>
          <w:rFonts w:ascii="Arial" w:hAnsi="Arial" w:cs="Arial"/>
        </w:rPr>
        <w:t>the replying affidavit.</w:t>
      </w:r>
    </w:p>
    <w:p w14:paraId="4E20F883" w14:textId="1F5EB538" w:rsidR="006A66F7" w:rsidRDefault="006A66F7" w:rsidP="00EF0B0D">
      <w:pPr>
        <w:spacing w:line="360" w:lineRule="auto"/>
        <w:jc w:val="both"/>
        <w:rPr>
          <w:rFonts w:ascii="Arial" w:hAnsi="Arial" w:cs="Arial"/>
        </w:rPr>
      </w:pPr>
      <w:r>
        <w:rPr>
          <w:rFonts w:ascii="Arial" w:hAnsi="Arial" w:cs="Arial"/>
        </w:rPr>
        <w:t>[</w:t>
      </w:r>
      <w:r w:rsidR="00695226">
        <w:rPr>
          <w:rFonts w:ascii="Arial" w:hAnsi="Arial" w:cs="Arial"/>
        </w:rPr>
        <w:t>20</w:t>
      </w:r>
      <w:r>
        <w:rPr>
          <w:rFonts w:ascii="Arial" w:hAnsi="Arial" w:cs="Arial"/>
        </w:rPr>
        <w:t>] The respondent further deal</w:t>
      </w:r>
      <w:r w:rsidR="00033483">
        <w:rPr>
          <w:rFonts w:ascii="Arial" w:hAnsi="Arial" w:cs="Arial"/>
        </w:rPr>
        <w:t xml:space="preserve">s </w:t>
      </w:r>
      <w:r>
        <w:rPr>
          <w:rFonts w:ascii="Arial" w:hAnsi="Arial" w:cs="Arial"/>
        </w:rPr>
        <w:t>with its failure to respond to a section 345 (1) letter</w:t>
      </w:r>
      <w:r w:rsidR="00BE2A6C">
        <w:rPr>
          <w:rFonts w:ascii="Arial" w:hAnsi="Arial" w:cs="Arial"/>
        </w:rPr>
        <w:t xml:space="preserve"> of demand.</w:t>
      </w:r>
      <w:r>
        <w:rPr>
          <w:rFonts w:ascii="Arial" w:hAnsi="Arial" w:cs="Arial"/>
        </w:rPr>
        <w:t xml:space="preserve"> The respondent explains </w:t>
      </w:r>
      <w:r w:rsidR="00184102">
        <w:rPr>
          <w:rFonts w:ascii="Arial" w:hAnsi="Arial" w:cs="Arial"/>
        </w:rPr>
        <w:t xml:space="preserve">that </w:t>
      </w:r>
      <w:r>
        <w:rPr>
          <w:rFonts w:ascii="Arial" w:hAnsi="Arial" w:cs="Arial"/>
        </w:rPr>
        <w:t>upon receipt of the letter it sought legal advice and the erstwhile attorneys advised</w:t>
      </w:r>
      <w:r w:rsidR="00033483">
        <w:rPr>
          <w:rFonts w:ascii="Arial" w:hAnsi="Arial" w:cs="Arial"/>
        </w:rPr>
        <w:t xml:space="preserve"> </w:t>
      </w:r>
      <w:r>
        <w:rPr>
          <w:rFonts w:ascii="Arial" w:hAnsi="Arial" w:cs="Arial"/>
        </w:rPr>
        <w:t xml:space="preserve">that the applicant </w:t>
      </w:r>
      <w:r w:rsidR="0023660C">
        <w:rPr>
          <w:rFonts w:ascii="Arial" w:hAnsi="Arial" w:cs="Arial"/>
        </w:rPr>
        <w:t xml:space="preserve">was pursuing a wrong </w:t>
      </w:r>
      <w:r w:rsidR="00DA173E">
        <w:rPr>
          <w:rFonts w:ascii="Arial" w:hAnsi="Arial" w:cs="Arial"/>
        </w:rPr>
        <w:t>legal</w:t>
      </w:r>
      <w:r w:rsidR="000411E5">
        <w:rPr>
          <w:rFonts w:ascii="Arial" w:hAnsi="Arial" w:cs="Arial"/>
        </w:rPr>
        <w:t xml:space="preserve"> </w:t>
      </w:r>
      <w:r>
        <w:rPr>
          <w:rFonts w:ascii="Arial" w:hAnsi="Arial" w:cs="Arial"/>
        </w:rPr>
        <w:t>process to recove</w:t>
      </w:r>
      <w:r w:rsidR="000411E5">
        <w:rPr>
          <w:rFonts w:ascii="Arial" w:hAnsi="Arial" w:cs="Arial"/>
        </w:rPr>
        <w:t>r its alleged</w:t>
      </w:r>
      <w:r>
        <w:rPr>
          <w:rFonts w:ascii="Arial" w:hAnsi="Arial" w:cs="Arial"/>
        </w:rPr>
        <w:t xml:space="preserve"> indebtedness. It was only after the present attorneys of record wer</w:t>
      </w:r>
      <w:r w:rsidR="00081BEC">
        <w:rPr>
          <w:rFonts w:ascii="Arial" w:hAnsi="Arial" w:cs="Arial"/>
        </w:rPr>
        <w:t xml:space="preserve">e engaged that </w:t>
      </w:r>
      <w:r>
        <w:rPr>
          <w:rFonts w:ascii="Arial" w:hAnsi="Arial" w:cs="Arial"/>
        </w:rPr>
        <w:t xml:space="preserve">a correct legal advice </w:t>
      </w:r>
      <w:r w:rsidR="00081BEC">
        <w:rPr>
          <w:rFonts w:ascii="Arial" w:hAnsi="Arial" w:cs="Arial"/>
        </w:rPr>
        <w:t xml:space="preserve">was </w:t>
      </w:r>
      <w:r w:rsidR="00033483">
        <w:rPr>
          <w:rFonts w:ascii="Arial" w:hAnsi="Arial" w:cs="Arial"/>
        </w:rPr>
        <w:t>obtained,</w:t>
      </w:r>
      <w:r w:rsidR="00081BEC">
        <w:rPr>
          <w:rFonts w:ascii="Arial" w:hAnsi="Arial" w:cs="Arial"/>
        </w:rPr>
        <w:t xml:space="preserve"> and</w:t>
      </w:r>
      <w:r>
        <w:rPr>
          <w:rFonts w:ascii="Arial" w:hAnsi="Arial" w:cs="Arial"/>
        </w:rPr>
        <w:t xml:space="preserve"> the respondent acted appropriately.  </w:t>
      </w:r>
    </w:p>
    <w:p w14:paraId="4E50EF9D" w14:textId="463F2C6A" w:rsidR="00D763ED" w:rsidRDefault="00D763ED" w:rsidP="00EF0B0D">
      <w:pPr>
        <w:spacing w:line="360" w:lineRule="auto"/>
        <w:jc w:val="both"/>
        <w:rPr>
          <w:rFonts w:ascii="Arial" w:hAnsi="Arial" w:cs="Arial"/>
        </w:rPr>
      </w:pPr>
      <w:r>
        <w:rPr>
          <w:rFonts w:ascii="Arial" w:hAnsi="Arial" w:cs="Arial"/>
        </w:rPr>
        <w:t>[</w:t>
      </w:r>
      <w:r w:rsidR="00695226">
        <w:rPr>
          <w:rFonts w:ascii="Arial" w:hAnsi="Arial" w:cs="Arial"/>
        </w:rPr>
        <w:t>21</w:t>
      </w:r>
      <w:r>
        <w:rPr>
          <w:rFonts w:ascii="Arial" w:hAnsi="Arial" w:cs="Arial"/>
        </w:rPr>
        <w:t xml:space="preserve">] In respect of the amount of indebtedness the respondent states that upon completion </w:t>
      </w:r>
      <w:r w:rsidR="00184102">
        <w:rPr>
          <w:rFonts w:ascii="Arial" w:hAnsi="Arial" w:cs="Arial"/>
        </w:rPr>
        <w:t xml:space="preserve">of </w:t>
      </w:r>
      <w:r>
        <w:rPr>
          <w:rFonts w:ascii="Arial" w:hAnsi="Arial" w:cs="Arial"/>
        </w:rPr>
        <w:t xml:space="preserve">the unit in question (Shop </w:t>
      </w:r>
      <w:r w:rsidR="005730E9">
        <w:rPr>
          <w:rFonts w:ascii="Arial" w:hAnsi="Arial" w:cs="Arial"/>
        </w:rPr>
        <w:t>C</w:t>
      </w:r>
      <w:r>
        <w:rPr>
          <w:rFonts w:ascii="Arial" w:hAnsi="Arial" w:cs="Arial"/>
        </w:rPr>
        <w:t>5 Stellar Wholesale City</w:t>
      </w:r>
      <w:r w:rsidR="00184102">
        <w:rPr>
          <w:rFonts w:ascii="Arial" w:hAnsi="Arial" w:cs="Arial"/>
        </w:rPr>
        <w:t>)</w:t>
      </w:r>
      <w:r>
        <w:rPr>
          <w:rFonts w:ascii="Arial" w:hAnsi="Arial" w:cs="Arial"/>
        </w:rPr>
        <w:t xml:space="preserve">, the applicant took occupation of the shop by renting it out for </w:t>
      </w:r>
      <w:r w:rsidR="0009273B">
        <w:rPr>
          <w:rFonts w:ascii="Arial" w:hAnsi="Arial" w:cs="Arial"/>
        </w:rPr>
        <w:t xml:space="preserve">a </w:t>
      </w:r>
      <w:r>
        <w:rPr>
          <w:rFonts w:ascii="Arial" w:hAnsi="Arial" w:cs="Arial"/>
        </w:rPr>
        <w:t>period of 10 years. The respondent estimate</w:t>
      </w:r>
      <w:r w:rsidR="009113DB">
        <w:rPr>
          <w:rFonts w:ascii="Arial" w:hAnsi="Arial" w:cs="Arial"/>
        </w:rPr>
        <w:t>s that</w:t>
      </w:r>
      <w:r>
        <w:rPr>
          <w:rFonts w:ascii="Arial" w:hAnsi="Arial" w:cs="Arial"/>
        </w:rPr>
        <w:t xml:space="preserve"> rental collected by the applicant to be around R 1 856 496.46. The calculation</w:t>
      </w:r>
      <w:r w:rsidR="00A9415A">
        <w:rPr>
          <w:rFonts w:ascii="Arial" w:hAnsi="Arial" w:cs="Arial"/>
        </w:rPr>
        <w:t>s</w:t>
      </w:r>
      <w:r w:rsidR="0000591F">
        <w:rPr>
          <w:rFonts w:ascii="Arial" w:hAnsi="Arial" w:cs="Arial"/>
        </w:rPr>
        <w:t xml:space="preserve"> based </w:t>
      </w:r>
      <w:r>
        <w:rPr>
          <w:rFonts w:ascii="Arial" w:hAnsi="Arial" w:cs="Arial"/>
        </w:rPr>
        <w:t xml:space="preserve">on the assumption that given the size of the </w:t>
      </w:r>
      <w:r w:rsidR="0009273B">
        <w:rPr>
          <w:rFonts w:ascii="Arial" w:hAnsi="Arial" w:cs="Arial"/>
        </w:rPr>
        <w:t>shop;</w:t>
      </w:r>
      <w:r>
        <w:rPr>
          <w:rFonts w:ascii="Arial" w:hAnsi="Arial" w:cs="Arial"/>
        </w:rPr>
        <w:t xml:space="preserve"> the applicant</w:t>
      </w:r>
      <w:r w:rsidR="00D46645">
        <w:rPr>
          <w:rFonts w:ascii="Arial" w:hAnsi="Arial" w:cs="Arial"/>
        </w:rPr>
        <w:t xml:space="preserve"> </w:t>
      </w:r>
      <w:r w:rsidR="00463D9B" w:rsidRPr="00D46645">
        <w:rPr>
          <w:rFonts w:ascii="Arial" w:hAnsi="Arial" w:cs="Arial"/>
          <w:color w:val="000000" w:themeColor="text1"/>
        </w:rPr>
        <w:t>would</w:t>
      </w:r>
      <w:r w:rsidR="00463D9B">
        <w:rPr>
          <w:rFonts w:ascii="Arial" w:hAnsi="Arial" w:cs="Arial"/>
        </w:rPr>
        <w:t xml:space="preserve"> </w:t>
      </w:r>
      <w:r>
        <w:rPr>
          <w:rFonts w:ascii="Arial" w:hAnsi="Arial" w:cs="Arial"/>
        </w:rPr>
        <w:t xml:space="preserve">have rented it </w:t>
      </w:r>
      <w:r w:rsidR="00184102">
        <w:rPr>
          <w:rFonts w:ascii="Arial" w:hAnsi="Arial" w:cs="Arial"/>
        </w:rPr>
        <w:t xml:space="preserve">out </w:t>
      </w:r>
      <w:r>
        <w:rPr>
          <w:rFonts w:ascii="Arial" w:hAnsi="Arial" w:cs="Arial"/>
        </w:rPr>
        <w:t>at around R 12 000.</w:t>
      </w:r>
      <w:r w:rsidR="00463D9B">
        <w:rPr>
          <w:rFonts w:ascii="Arial" w:hAnsi="Arial" w:cs="Arial"/>
        </w:rPr>
        <w:t>00</w:t>
      </w:r>
      <w:r>
        <w:rPr>
          <w:rFonts w:ascii="Arial" w:hAnsi="Arial" w:cs="Arial"/>
        </w:rPr>
        <w:t xml:space="preserve"> per month with 5% annual escalation. It is submitted that in the event the respondent’s indebtedness is proved</w:t>
      </w:r>
      <w:r w:rsidR="00463D9B">
        <w:rPr>
          <w:rFonts w:ascii="Arial" w:hAnsi="Arial" w:cs="Arial"/>
        </w:rPr>
        <w:t>,</w:t>
      </w:r>
      <w:r>
        <w:rPr>
          <w:rFonts w:ascii="Arial" w:hAnsi="Arial" w:cs="Arial"/>
        </w:rPr>
        <w:t xml:space="preserve"> such amount should be set off.</w:t>
      </w:r>
    </w:p>
    <w:p w14:paraId="43DF92E5" w14:textId="3C27AF24" w:rsidR="002D0685" w:rsidRDefault="0023660C" w:rsidP="00EF0B0D">
      <w:pPr>
        <w:spacing w:line="360" w:lineRule="auto"/>
        <w:jc w:val="both"/>
        <w:rPr>
          <w:rFonts w:ascii="Arial" w:hAnsi="Arial" w:cs="Arial"/>
        </w:rPr>
      </w:pPr>
      <w:r>
        <w:rPr>
          <w:rFonts w:ascii="Arial" w:hAnsi="Arial" w:cs="Arial"/>
        </w:rPr>
        <w:t>[</w:t>
      </w:r>
      <w:r w:rsidR="0035193D">
        <w:rPr>
          <w:rFonts w:ascii="Arial" w:hAnsi="Arial" w:cs="Arial"/>
        </w:rPr>
        <w:t>22</w:t>
      </w:r>
      <w:r>
        <w:rPr>
          <w:rFonts w:ascii="Arial" w:hAnsi="Arial" w:cs="Arial"/>
        </w:rPr>
        <w:t>] The respondent further reveals that subsequent to the tenant of the applicant absconding, it let out the shop C5 as a measure to mitigate its loss. According to the responden</w:t>
      </w:r>
      <w:r w:rsidR="00915F02">
        <w:rPr>
          <w:rFonts w:ascii="Arial" w:hAnsi="Arial" w:cs="Arial"/>
        </w:rPr>
        <w:t xml:space="preserve">t a </w:t>
      </w:r>
      <w:r>
        <w:rPr>
          <w:rFonts w:ascii="Arial" w:hAnsi="Arial" w:cs="Arial"/>
        </w:rPr>
        <w:t>sum of R 205 646.48 was collected on behalf of the applicant</w:t>
      </w:r>
      <w:r w:rsidR="007C0949">
        <w:rPr>
          <w:rFonts w:ascii="Arial" w:hAnsi="Arial" w:cs="Arial"/>
        </w:rPr>
        <w:t xml:space="preserve"> </w:t>
      </w:r>
      <w:r w:rsidR="007C0949" w:rsidRPr="00915F02">
        <w:rPr>
          <w:rFonts w:ascii="Arial" w:hAnsi="Arial" w:cs="Arial"/>
        </w:rPr>
        <w:t>for rental</w:t>
      </w:r>
      <w:r w:rsidR="00323A09" w:rsidRPr="00915F02">
        <w:rPr>
          <w:rFonts w:ascii="Arial" w:hAnsi="Arial" w:cs="Arial"/>
        </w:rPr>
        <w:t xml:space="preserve"> </w:t>
      </w:r>
      <w:r w:rsidR="00323A09" w:rsidRPr="00915F02">
        <w:rPr>
          <w:rFonts w:ascii="Arial" w:hAnsi="Arial" w:cs="Arial"/>
        </w:rPr>
        <w:lastRenderedPageBreak/>
        <w:t>and</w:t>
      </w:r>
      <w:r w:rsidR="00915F02">
        <w:rPr>
          <w:rFonts w:ascii="Arial" w:hAnsi="Arial" w:cs="Arial"/>
        </w:rPr>
        <w:t xml:space="preserve"> </w:t>
      </w:r>
      <w:r>
        <w:rPr>
          <w:rFonts w:ascii="Arial" w:hAnsi="Arial" w:cs="Arial"/>
        </w:rPr>
        <w:t>was offered to the applicant who has refused to accept it. The respondent denies there was any fraud</w:t>
      </w:r>
      <w:r w:rsidR="00323A09" w:rsidRPr="00DB5240">
        <w:rPr>
          <w:rFonts w:ascii="Arial" w:hAnsi="Arial" w:cs="Arial"/>
        </w:rPr>
        <w:t xml:space="preserve"> involved</w:t>
      </w:r>
      <w:r w:rsidRPr="00DB5240">
        <w:rPr>
          <w:rFonts w:ascii="Arial" w:hAnsi="Arial" w:cs="Arial"/>
        </w:rPr>
        <w:t xml:space="preserve"> </w:t>
      </w:r>
      <w:r>
        <w:rPr>
          <w:rFonts w:ascii="Arial" w:hAnsi="Arial" w:cs="Arial"/>
        </w:rPr>
        <w:t>when such collection was</w:t>
      </w:r>
      <w:r w:rsidR="00323A09" w:rsidRPr="00DB5240">
        <w:rPr>
          <w:rFonts w:ascii="Arial" w:hAnsi="Arial" w:cs="Arial"/>
        </w:rPr>
        <w:t xml:space="preserve"> made</w:t>
      </w:r>
      <w:r w:rsidR="00DB5240">
        <w:rPr>
          <w:rFonts w:ascii="Arial" w:hAnsi="Arial" w:cs="Arial"/>
        </w:rPr>
        <w:t>.</w:t>
      </w:r>
      <w:r>
        <w:rPr>
          <w:rFonts w:ascii="Arial" w:hAnsi="Arial" w:cs="Arial"/>
        </w:rPr>
        <w:t xml:space="preserve"> </w:t>
      </w:r>
    </w:p>
    <w:p w14:paraId="2DCD6D5F" w14:textId="77777777" w:rsidR="00323A09" w:rsidRDefault="00323A09" w:rsidP="00EF0B0D">
      <w:pPr>
        <w:spacing w:line="360" w:lineRule="auto"/>
        <w:jc w:val="both"/>
        <w:rPr>
          <w:rFonts w:ascii="Arial" w:hAnsi="Arial" w:cs="Arial"/>
        </w:rPr>
      </w:pPr>
    </w:p>
    <w:p w14:paraId="3B051915" w14:textId="5DB8F23D" w:rsidR="00BD4ADA" w:rsidRPr="00BD4ADA" w:rsidRDefault="00BD4ADA" w:rsidP="00EF0B0D">
      <w:pPr>
        <w:spacing w:line="360" w:lineRule="auto"/>
        <w:jc w:val="both"/>
        <w:rPr>
          <w:rFonts w:ascii="Arial" w:hAnsi="Arial" w:cs="Arial"/>
          <w:b/>
        </w:rPr>
      </w:pPr>
      <w:r w:rsidRPr="00BD4ADA">
        <w:rPr>
          <w:rFonts w:ascii="Arial" w:hAnsi="Arial" w:cs="Arial"/>
          <w:b/>
        </w:rPr>
        <w:t>Applicant’s submission</w:t>
      </w:r>
    </w:p>
    <w:p w14:paraId="20E2E0A7" w14:textId="48D1D4CC" w:rsidR="006A66F7" w:rsidRDefault="00BD4ADA" w:rsidP="00EF0B0D">
      <w:pPr>
        <w:spacing w:line="360" w:lineRule="auto"/>
        <w:jc w:val="both"/>
        <w:rPr>
          <w:rFonts w:ascii="Arial" w:hAnsi="Arial" w:cs="Arial"/>
        </w:rPr>
      </w:pPr>
      <w:r>
        <w:rPr>
          <w:rFonts w:ascii="Arial" w:hAnsi="Arial" w:cs="Arial"/>
        </w:rPr>
        <w:t>[2</w:t>
      </w:r>
      <w:r w:rsidR="00A6692D">
        <w:rPr>
          <w:rFonts w:ascii="Arial" w:hAnsi="Arial" w:cs="Arial"/>
        </w:rPr>
        <w:t>3</w:t>
      </w:r>
      <w:r>
        <w:rPr>
          <w:rFonts w:ascii="Arial" w:hAnsi="Arial" w:cs="Arial"/>
        </w:rPr>
        <w:t xml:space="preserve">] In its </w:t>
      </w:r>
      <w:r w:rsidR="00184102">
        <w:rPr>
          <w:rFonts w:ascii="Arial" w:hAnsi="Arial" w:cs="Arial"/>
        </w:rPr>
        <w:t xml:space="preserve">replying affidavit and </w:t>
      </w:r>
      <w:r>
        <w:rPr>
          <w:rFonts w:ascii="Arial" w:hAnsi="Arial" w:cs="Arial"/>
        </w:rPr>
        <w:t>head</w:t>
      </w:r>
      <w:r w:rsidR="00184102">
        <w:rPr>
          <w:rFonts w:ascii="Arial" w:hAnsi="Arial" w:cs="Arial"/>
        </w:rPr>
        <w:t>s</w:t>
      </w:r>
      <w:r>
        <w:rPr>
          <w:rFonts w:ascii="Arial" w:hAnsi="Arial" w:cs="Arial"/>
        </w:rPr>
        <w:t xml:space="preserve"> of argument the applicant takes issue </w:t>
      </w:r>
      <w:r w:rsidR="00184102">
        <w:rPr>
          <w:rFonts w:ascii="Arial" w:hAnsi="Arial" w:cs="Arial"/>
        </w:rPr>
        <w:t>respondent’s failure</w:t>
      </w:r>
      <w:r>
        <w:rPr>
          <w:rFonts w:ascii="Arial" w:hAnsi="Arial" w:cs="Arial"/>
        </w:rPr>
        <w:t xml:space="preserve"> to bring a </w:t>
      </w:r>
      <w:r w:rsidR="00514B61">
        <w:rPr>
          <w:rFonts w:ascii="Arial" w:hAnsi="Arial" w:cs="Arial"/>
        </w:rPr>
        <w:t>substantive</w:t>
      </w:r>
      <w:r>
        <w:rPr>
          <w:rFonts w:ascii="Arial" w:hAnsi="Arial" w:cs="Arial"/>
        </w:rPr>
        <w:t xml:space="preserve"> condonation application</w:t>
      </w:r>
      <w:r w:rsidR="00323A09">
        <w:rPr>
          <w:rFonts w:ascii="Arial" w:hAnsi="Arial" w:cs="Arial"/>
        </w:rPr>
        <w:t xml:space="preserve"> </w:t>
      </w:r>
      <w:r w:rsidR="00323A09" w:rsidRPr="00482CF3">
        <w:rPr>
          <w:rFonts w:ascii="Arial" w:hAnsi="Arial" w:cs="Arial"/>
        </w:rPr>
        <w:t>notwithstanding</w:t>
      </w:r>
      <w:r w:rsidR="00482CF3" w:rsidRPr="00482CF3">
        <w:rPr>
          <w:rFonts w:ascii="Arial" w:hAnsi="Arial" w:cs="Arial"/>
        </w:rPr>
        <w:t xml:space="preserve"> </w:t>
      </w:r>
      <w:r>
        <w:rPr>
          <w:rFonts w:ascii="Arial" w:hAnsi="Arial" w:cs="Arial"/>
        </w:rPr>
        <w:t>plaintiff</w:t>
      </w:r>
      <w:r w:rsidR="00323A09">
        <w:rPr>
          <w:rFonts w:ascii="Arial" w:hAnsi="Arial" w:cs="Arial"/>
        </w:rPr>
        <w:t xml:space="preserve"> </w:t>
      </w:r>
      <w:r w:rsidR="00323A09" w:rsidRPr="00482CF3">
        <w:rPr>
          <w:rFonts w:ascii="Arial" w:hAnsi="Arial" w:cs="Arial"/>
        </w:rPr>
        <w:t>being</w:t>
      </w:r>
      <w:r>
        <w:rPr>
          <w:rFonts w:ascii="Arial" w:hAnsi="Arial" w:cs="Arial"/>
        </w:rPr>
        <w:t xml:space="preserve"> 18 days out of time. </w:t>
      </w:r>
      <w:r w:rsidR="00514B61">
        <w:rPr>
          <w:rFonts w:ascii="Arial" w:hAnsi="Arial" w:cs="Arial"/>
        </w:rPr>
        <w:t xml:space="preserve">The applicant submits that in the circumstances the application should be regarded as unopposed. </w:t>
      </w:r>
      <w:r w:rsidR="00323A09" w:rsidRPr="00482CF3">
        <w:rPr>
          <w:rFonts w:ascii="Arial" w:hAnsi="Arial" w:cs="Arial"/>
        </w:rPr>
        <w:t xml:space="preserve">As per para’s 5 and 6 </w:t>
      </w:r>
      <w:r w:rsidR="00323A09" w:rsidRPr="00482CF3">
        <w:rPr>
          <w:rFonts w:ascii="Arial" w:hAnsi="Arial" w:cs="Arial"/>
          <w:i/>
          <w:iCs/>
        </w:rPr>
        <w:t>supra</w:t>
      </w:r>
      <w:r w:rsidR="00323A09" w:rsidRPr="00482CF3">
        <w:rPr>
          <w:rFonts w:ascii="Arial" w:hAnsi="Arial" w:cs="Arial"/>
        </w:rPr>
        <w:t xml:space="preserve">, </w:t>
      </w:r>
      <w:r w:rsidR="00323A09">
        <w:rPr>
          <w:rFonts w:ascii="Arial" w:hAnsi="Arial" w:cs="Arial"/>
        </w:rPr>
        <w:t>t</w:t>
      </w:r>
      <w:r w:rsidR="00F36A07">
        <w:rPr>
          <w:rFonts w:ascii="Arial" w:hAnsi="Arial" w:cs="Arial"/>
        </w:rPr>
        <w:t>he issu</w:t>
      </w:r>
      <w:r w:rsidR="00150996">
        <w:rPr>
          <w:rFonts w:ascii="Arial" w:hAnsi="Arial" w:cs="Arial"/>
        </w:rPr>
        <w:t xml:space="preserve">e of condonation has been decided in favour of the respondent based on interest of justice. </w:t>
      </w:r>
    </w:p>
    <w:p w14:paraId="3B3C387F" w14:textId="18AC48E9" w:rsidR="008A042B" w:rsidRDefault="00514B61" w:rsidP="00EF0B0D">
      <w:pPr>
        <w:spacing w:line="360" w:lineRule="auto"/>
        <w:jc w:val="both"/>
        <w:rPr>
          <w:rFonts w:ascii="Arial" w:hAnsi="Arial" w:cs="Arial"/>
        </w:rPr>
      </w:pPr>
      <w:r>
        <w:rPr>
          <w:rFonts w:ascii="Arial" w:hAnsi="Arial" w:cs="Arial"/>
        </w:rPr>
        <w:t>[2</w:t>
      </w:r>
      <w:r w:rsidR="00A6692D">
        <w:rPr>
          <w:rFonts w:ascii="Arial" w:hAnsi="Arial" w:cs="Arial"/>
        </w:rPr>
        <w:t>4</w:t>
      </w:r>
      <w:r>
        <w:rPr>
          <w:rFonts w:ascii="Arial" w:hAnsi="Arial" w:cs="Arial"/>
        </w:rPr>
        <w:t xml:space="preserve">] </w:t>
      </w:r>
      <w:r w:rsidRPr="00184102">
        <w:rPr>
          <w:rFonts w:ascii="Arial" w:hAnsi="Arial" w:cs="Arial"/>
          <w:i/>
          <w:iCs/>
        </w:rPr>
        <w:t xml:space="preserve">Ex </w:t>
      </w:r>
      <w:proofErr w:type="spellStart"/>
      <w:r w:rsidRPr="00184102">
        <w:rPr>
          <w:rFonts w:ascii="Arial" w:hAnsi="Arial" w:cs="Arial"/>
          <w:i/>
          <w:iCs/>
        </w:rPr>
        <w:t>abudanti</w:t>
      </w:r>
      <w:proofErr w:type="spellEnd"/>
      <w:r w:rsidRPr="00184102">
        <w:rPr>
          <w:rFonts w:ascii="Arial" w:hAnsi="Arial" w:cs="Arial"/>
          <w:i/>
          <w:iCs/>
        </w:rPr>
        <w:t xml:space="preserve"> cautela</w:t>
      </w:r>
      <w:r>
        <w:rPr>
          <w:rFonts w:ascii="Arial" w:hAnsi="Arial" w:cs="Arial"/>
        </w:rPr>
        <w:t xml:space="preserve"> the applicant deals with the merits</w:t>
      </w:r>
      <w:r w:rsidR="00184102">
        <w:rPr>
          <w:rFonts w:ascii="Arial" w:hAnsi="Arial" w:cs="Arial"/>
        </w:rPr>
        <w:t xml:space="preserve"> of the case</w:t>
      </w:r>
      <w:r>
        <w:rPr>
          <w:rFonts w:ascii="Arial" w:hAnsi="Arial" w:cs="Arial"/>
        </w:rPr>
        <w:t xml:space="preserve"> to illustrate that it is entitled to relief sought. The applicant contends </w:t>
      </w:r>
      <w:r w:rsidR="00F3259A">
        <w:rPr>
          <w:rFonts w:ascii="Arial" w:hAnsi="Arial" w:cs="Arial"/>
        </w:rPr>
        <w:t>vehemently</w:t>
      </w:r>
      <w:r>
        <w:rPr>
          <w:rFonts w:ascii="Arial" w:hAnsi="Arial" w:cs="Arial"/>
        </w:rPr>
        <w:t xml:space="preserve"> that the respondent </w:t>
      </w:r>
      <w:r w:rsidR="00803344">
        <w:rPr>
          <w:rFonts w:ascii="Arial" w:hAnsi="Arial" w:cs="Arial"/>
        </w:rPr>
        <w:t>h</w:t>
      </w:r>
      <w:r>
        <w:rPr>
          <w:rFonts w:ascii="Arial" w:hAnsi="Arial" w:cs="Arial"/>
        </w:rPr>
        <w:t xml:space="preserve">as to date not responded to </w:t>
      </w:r>
      <w:r w:rsidR="00803344">
        <w:rPr>
          <w:rFonts w:ascii="Arial" w:hAnsi="Arial" w:cs="Arial"/>
        </w:rPr>
        <w:t>section 345(1) letter. The applicant further dismisses as a ruse the</w:t>
      </w:r>
      <w:r w:rsidR="00E27E77">
        <w:rPr>
          <w:rFonts w:ascii="Arial" w:hAnsi="Arial" w:cs="Arial"/>
        </w:rPr>
        <w:t xml:space="preserve"> </w:t>
      </w:r>
      <w:r w:rsidR="008D1ABB">
        <w:rPr>
          <w:rFonts w:ascii="Arial" w:hAnsi="Arial" w:cs="Arial"/>
        </w:rPr>
        <w:t>security</w:t>
      </w:r>
      <w:r w:rsidR="00803344">
        <w:rPr>
          <w:rFonts w:ascii="Arial" w:hAnsi="Arial" w:cs="Arial"/>
        </w:rPr>
        <w:t xml:space="preserve"> by the </w:t>
      </w:r>
      <w:r w:rsidR="008D1ABB">
        <w:rPr>
          <w:rFonts w:ascii="Arial" w:hAnsi="Arial" w:cs="Arial"/>
        </w:rPr>
        <w:t>respondent</w:t>
      </w:r>
      <w:r w:rsidR="00803344">
        <w:rPr>
          <w:rFonts w:ascii="Arial" w:hAnsi="Arial" w:cs="Arial"/>
        </w:rPr>
        <w:t xml:space="preserve">. According to the applicant the money deposited into the trust </w:t>
      </w:r>
      <w:r w:rsidR="00184102">
        <w:rPr>
          <w:rFonts w:ascii="Arial" w:hAnsi="Arial" w:cs="Arial"/>
        </w:rPr>
        <w:t xml:space="preserve">account </w:t>
      </w:r>
      <w:r w:rsidR="00803344">
        <w:rPr>
          <w:rFonts w:ascii="Arial" w:hAnsi="Arial" w:cs="Arial"/>
        </w:rPr>
        <w:t>of the respondent’s attorneys</w:t>
      </w:r>
      <w:r w:rsidR="00803344" w:rsidRPr="008A042B">
        <w:rPr>
          <w:rFonts w:ascii="Arial" w:hAnsi="Arial" w:cs="Arial"/>
        </w:rPr>
        <w:t xml:space="preserve"> </w:t>
      </w:r>
      <w:r w:rsidR="00184102" w:rsidRPr="008A042B">
        <w:rPr>
          <w:rFonts w:ascii="Arial" w:hAnsi="Arial" w:cs="Arial"/>
        </w:rPr>
        <w:t>is</w:t>
      </w:r>
      <w:r w:rsidR="00184102">
        <w:rPr>
          <w:rFonts w:ascii="Arial" w:hAnsi="Arial" w:cs="Arial"/>
        </w:rPr>
        <w:t xml:space="preserve"> for</w:t>
      </w:r>
      <w:r w:rsidR="00803344">
        <w:rPr>
          <w:rFonts w:ascii="Arial" w:hAnsi="Arial" w:cs="Arial"/>
        </w:rPr>
        <w:t xml:space="preserve"> its</w:t>
      </w:r>
      <w:r w:rsidR="00803344" w:rsidRPr="00D97089">
        <w:rPr>
          <w:rFonts w:ascii="Arial" w:hAnsi="Arial" w:cs="Arial"/>
        </w:rPr>
        <w:t xml:space="preserve"> </w:t>
      </w:r>
      <w:r w:rsidR="008A042B" w:rsidRPr="00D97089">
        <w:rPr>
          <w:rFonts w:ascii="Arial" w:hAnsi="Arial" w:cs="Arial"/>
        </w:rPr>
        <w:t xml:space="preserve">own </w:t>
      </w:r>
      <w:r w:rsidR="00803344">
        <w:rPr>
          <w:rFonts w:ascii="Arial" w:hAnsi="Arial" w:cs="Arial"/>
        </w:rPr>
        <w:t xml:space="preserve">benefit. </w:t>
      </w:r>
      <w:r w:rsidR="00575935">
        <w:rPr>
          <w:rFonts w:ascii="Arial" w:hAnsi="Arial" w:cs="Arial"/>
        </w:rPr>
        <w:t>The applicant maintains its stance in both the founding and answering affidavit that the respondent has committed fraud.</w:t>
      </w:r>
    </w:p>
    <w:p w14:paraId="276E4D06" w14:textId="2BFA452A" w:rsidR="00514B61" w:rsidRDefault="00575935" w:rsidP="00EF0B0D">
      <w:pPr>
        <w:spacing w:line="360" w:lineRule="auto"/>
        <w:jc w:val="both"/>
        <w:rPr>
          <w:rFonts w:ascii="Arial" w:hAnsi="Arial" w:cs="Arial"/>
        </w:rPr>
      </w:pPr>
      <w:r>
        <w:rPr>
          <w:rFonts w:ascii="Arial" w:hAnsi="Arial" w:cs="Arial"/>
        </w:rPr>
        <w:t xml:space="preserve"> </w:t>
      </w:r>
    </w:p>
    <w:p w14:paraId="6901FBBD" w14:textId="3C5C8EBC" w:rsidR="000D7272" w:rsidRDefault="000D7272" w:rsidP="00EF0B0D">
      <w:pPr>
        <w:spacing w:line="360" w:lineRule="auto"/>
        <w:jc w:val="both"/>
        <w:rPr>
          <w:rFonts w:ascii="Arial" w:hAnsi="Arial" w:cs="Arial"/>
          <w:b/>
        </w:rPr>
      </w:pPr>
      <w:r w:rsidRPr="000D7272">
        <w:rPr>
          <w:rFonts w:ascii="Arial" w:hAnsi="Arial" w:cs="Arial"/>
          <w:b/>
        </w:rPr>
        <w:t xml:space="preserve">The legal principles </w:t>
      </w:r>
    </w:p>
    <w:p w14:paraId="2A691D7F" w14:textId="64988845" w:rsidR="004D2F52" w:rsidRPr="00EA47BA" w:rsidRDefault="00575935" w:rsidP="00EF0B0D">
      <w:pPr>
        <w:spacing w:line="360" w:lineRule="auto"/>
        <w:jc w:val="both"/>
        <w:rPr>
          <w:rFonts w:ascii="Arial" w:hAnsi="Arial" w:cs="Arial"/>
          <w:sz w:val="20"/>
          <w:szCs w:val="20"/>
        </w:rPr>
      </w:pPr>
      <w:r>
        <w:rPr>
          <w:rFonts w:ascii="Arial" w:hAnsi="Arial" w:cs="Arial"/>
        </w:rPr>
        <w:t>[2</w:t>
      </w:r>
      <w:r w:rsidR="006845F9">
        <w:rPr>
          <w:rFonts w:ascii="Arial" w:hAnsi="Arial" w:cs="Arial"/>
        </w:rPr>
        <w:t>5</w:t>
      </w:r>
      <w:r w:rsidR="000D7272">
        <w:rPr>
          <w:rFonts w:ascii="Arial" w:hAnsi="Arial" w:cs="Arial"/>
        </w:rPr>
        <w:t xml:space="preserve">] In the founding affidavit the applicant sought to establish that respondent is unable to pay its debts. The reason being that despite demand to fully refund the applicant the purchase </w:t>
      </w:r>
      <w:r>
        <w:rPr>
          <w:rFonts w:ascii="Arial" w:hAnsi="Arial" w:cs="Arial"/>
        </w:rPr>
        <w:t>price</w:t>
      </w:r>
      <w:r w:rsidR="003F0574">
        <w:rPr>
          <w:rFonts w:ascii="Arial" w:hAnsi="Arial" w:cs="Arial"/>
        </w:rPr>
        <w:t>,</w:t>
      </w:r>
      <w:r>
        <w:rPr>
          <w:rFonts w:ascii="Arial" w:hAnsi="Arial" w:cs="Arial"/>
        </w:rPr>
        <w:t xml:space="preserve"> </w:t>
      </w:r>
      <w:r w:rsidR="000D7272">
        <w:rPr>
          <w:rFonts w:ascii="Arial" w:hAnsi="Arial" w:cs="Arial"/>
        </w:rPr>
        <w:t xml:space="preserve">the respondent has failed or neglected to make such payment. The approach to determine whether </w:t>
      </w:r>
      <w:r w:rsidR="004D2F52">
        <w:rPr>
          <w:rFonts w:ascii="Arial" w:hAnsi="Arial" w:cs="Arial"/>
        </w:rPr>
        <w:t xml:space="preserve">the party has failed to pay a debt, payment of which is due is cogent prima facie proof </w:t>
      </w:r>
      <w:r w:rsidR="005863A5">
        <w:rPr>
          <w:rFonts w:ascii="Arial" w:hAnsi="Arial" w:cs="Arial"/>
        </w:rPr>
        <w:t xml:space="preserve">of </w:t>
      </w:r>
      <w:r w:rsidR="004D2F52">
        <w:rPr>
          <w:rFonts w:ascii="Arial" w:hAnsi="Arial" w:cs="Arial"/>
        </w:rPr>
        <w:t xml:space="preserve">inability to pay its debts. See </w:t>
      </w:r>
      <w:r w:rsidR="004D2F52" w:rsidRPr="00412713">
        <w:rPr>
          <w:rFonts w:ascii="Arial" w:hAnsi="Arial" w:cs="Arial"/>
          <w:i/>
        </w:rPr>
        <w:t>PAYSLIP INVESTMENT HOLDINGS CC v Y2K TEC LTD</w:t>
      </w:r>
      <w:r w:rsidR="004D2F52">
        <w:rPr>
          <w:rFonts w:ascii="Arial" w:hAnsi="Arial" w:cs="Arial"/>
        </w:rPr>
        <w:t xml:space="preserve"> 2001 (4) SA 781 (C) at 787A where the court quoted with approval the case </w:t>
      </w:r>
      <w:r w:rsidR="004D2F52" w:rsidRPr="00735A6C">
        <w:rPr>
          <w:rFonts w:ascii="Arial" w:hAnsi="Arial" w:cs="Arial"/>
          <w:i/>
        </w:rPr>
        <w:t xml:space="preserve">of </w:t>
      </w:r>
      <w:r w:rsidR="004D2F52" w:rsidRPr="00BD7497">
        <w:rPr>
          <w:rFonts w:ascii="Arial" w:hAnsi="Arial" w:cs="Arial"/>
          <w:i/>
        </w:rPr>
        <w:t xml:space="preserve">ROSENBACH &amp; CO (PTY) LTD </w:t>
      </w:r>
      <w:r w:rsidR="00735A6C" w:rsidRPr="00BD7497">
        <w:rPr>
          <w:rFonts w:ascii="Arial" w:hAnsi="Arial" w:cs="Arial"/>
          <w:i/>
        </w:rPr>
        <w:t>v SINGH’S BAZAARS (PTY) LTD</w:t>
      </w:r>
      <w:r w:rsidR="00735A6C" w:rsidRPr="00735A6C">
        <w:rPr>
          <w:rFonts w:ascii="Arial" w:hAnsi="Arial" w:cs="Arial"/>
          <w:i/>
        </w:rPr>
        <w:t xml:space="preserve"> </w:t>
      </w:r>
      <w:r w:rsidR="004D2F52">
        <w:rPr>
          <w:rFonts w:ascii="Arial" w:hAnsi="Arial" w:cs="Arial"/>
        </w:rPr>
        <w:t>1962 (4) SA 593 (T) at 597H that</w:t>
      </w:r>
      <w:r w:rsidR="004D2F52" w:rsidRPr="00EA47BA">
        <w:rPr>
          <w:rFonts w:ascii="Arial" w:hAnsi="Arial" w:cs="Arial"/>
          <w:sz w:val="22"/>
          <w:szCs w:val="22"/>
        </w:rPr>
        <w:t>: ‘A company which is not in financial difficulty ought to able to pay its way from current revenue or readily available resources</w:t>
      </w:r>
      <w:r w:rsidR="004D2F52" w:rsidRPr="00EA47BA">
        <w:rPr>
          <w:rFonts w:ascii="Arial" w:hAnsi="Arial" w:cs="Arial"/>
          <w:sz w:val="20"/>
          <w:szCs w:val="20"/>
        </w:rPr>
        <w:t>.</w:t>
      </w:r>
    </w:p>
    <w:p w14:paraId="39BFA7BF" w14:textId="0588D480" w:rsidR="00575935" w:rsidRDefault="00575935" w:rsidP="00EF0B0D">
      <w:pPr>
        <w:spacing w:line="360" w:lineRule="auto"/>
        <w:jc w:val="both"/>
        <w:rPr>
          <w:rFonts w:ascii="Arial" w:hAnsi="Arial" w:cs="Arial"/>
        </w:rPr>
      </w:pPr>
      <w:r>
        <w:rPr>
          <w:rFonts w:ascii="Arial" w:hAnsi="Arial" w:cs="Arial"/>
        </w:rPr>
        <w:t>[2</w:t>
      </w:r>
      <w:r w:rsidR="000A249A">
        <w:rPr>
          <w:rFonts w:ascii="Arial" w:hAnsi="Arial" w:cs="Arial"/>
        </w:rPr>
        <w:t>6</w:t>
      </w:r>
      <w:r w:rsidR="00762AD0">
        <w:rPr>
          <w:rFonts w:ascii="Arial" w:hAnsi="Arial" w:cs="Arial"/>
        </w:rPr>
        <w:t xml:space="preserve">] In terms of </w:t>
      </w:r>
      <w:r>
        <w:rPr>
          <w:rFonts w:ascii="Arial" w:hAnsi="Arial" w:cs="Arial"/>
        </w:rPr>
        <w:t>section 345(1) (a)</w:t>
      </w:r>
      <w:r w:rsidR="00762AD0">
        <w:rPr>
          <w:rFonts w:ascii="Arial" w:hAnsi="Arial" w:cs="Arial"/>
        </w:rPr>
        <w:t xml:space="preserve"> a company will be deemed to be unable to pay its debts where a creditor who has a claim of not less than R 100.00 which is then</w:t>
      </w:r>
      <w:r>
        <w:rPr>
          <w:rFonts w:ascii="Arial" w:hAnsi="Arial" w:cs="Arial"/>
        </w:rPr>
        <w:t xml:space="preserve"> due, has served on the company, </w:t>
      </w:r>
      <w:r w:rsidR="00762AD0">
        <w:rPr>
          <w:rFonts w:ascii="Arial" w:hAnsi="Arial" w:cs="Arial"/>
        </w:rPr>
        <w:t>leaving at its registered office, a demand requiring the company to pay the sum and the company has for three weeks thereafter neglected to pay the sum or to secure for it to the satisfaction of the creditor</w:t>
      </w:r>
      <w:r w:rsidR="001865F9">
        <w:rPr>
          <w:rFonts w:ascii="Arial" w:hAnsi="Arial" w:cs="Arial"/>
        </w:rPr>
        <w:t>.</w:t>
      </w:r>
    </w:p>
    <w:p w14:paraId="2DA6791B" w14:textId="69221A22" w:rsidR="00702394" w:rsidRDefault="00DA065B" w:rsidP="00EF0B0D">
      <w:pPr>
        <w:spacing w:line="360" w:lineRule="auto"/>
        <w:jc w:val="both"/>
        <w:rPr>
          <w:rFonts w:ascii="Arial" w:hAnsi="Arial" w:cs="Arial"/>
        </w:rPr>
      </w:pPr>
      <w:r>
        <w:rPr>
          <w:rFonts w:ascii="Arial" w:hAnsi="Arial" w:cs="Arial"/>
        </w:rPr>
        <w:lastRenderedPageBreak/>
        <w:t>[2</w:t>
      </w:r>
      <w:r w:rsidR="0081143D">
        <w:rPr>
          <w:rFonts w:ascii="Arial" w:hAnsi="Arial" w:cs="Arial"/>
        </w:rPr>
        <w:t>7]</w:t>
      </w:r>
      <w:r w:rsidR="00575935">
        <w:rPr>
          <w:rFonts w:ascii="Arial" w:hAnsi="Arial" w:cs="Arial"/>
        </w:rPr>
        <w:t xml:space="preserve"> In</w:t>
      </w:r>
      <w:r w:rsidR="00762AD0">
        <w:rPr>
          <w:rFonts w:ascii="Arial" w:hAnsi="Arial" w:cs="Arial"/>
        </w:rPr>
        <w:t xml:space="preserve"> terms</w:t>
      </w:r>
      <w:r w:rsidR="00C65CD1">
        <w:rPr>
          <w:rFonts w:ascii="Arial" w:hAnsi="Arial" w:cs="Arial"/>
        </w:rPr>
        <w:t xml:space="preserve"> </w:t>
      </w:r>
      <w:r w:rsidR="00332CD4">
        <w:rPr>
          <w:rFonts w:ascii="Arial" w:hAnsi="Arial" w:cs="Arial"/>
        </w:rPr>
        <w:t xml:space="preserve">of section 345(1) (c), </w:t>
      </w:r>
      <w:r w:rsidR="00C65CD1">
        <w:rPr>
          <w:rFonts w:ascii="Arial" w:hAnsi="Arial" w:cs="Arial"/>
        </w:rPr>
        <w:t>before a company can be deemed to be unable to pay its debts</w:t>
      </w:r>
      <w:r w:rsidR="00943233">
        <w:rPr>
          <w:rFonts w:ascii="Arial" w:hAnsi="Arial" w:cs="Arial"/>
        </w:rPr>
        <w:t xml:space="preserve">, </w:t>
      </w:r>
      <w:r w:rsidR="00332CD4" w:rsidRPr="00943233">
        <w:rPr>
          <w:rFonts w:ascii="Arial" w:hAnsi="Arial" w:cs="Arial"/>
        </w:rPr>
        <w:t xml:space="preserve">this fact </w:t>
      </w:r>
      <w:r w:rsidR="008A042B" w:rsidRPr="00943233">
        <w:rPr>
          <w:rFonts w:ascii="Arial" w:hAnsi="Arial" w:cs="Arial"/>
        </w:rPr>
        <w:t>needs</w:t>
      </w:r>
      <w:r w:rsidR="00332CD4" w:rsidRPr="00943233">
        <w:rPr>
          <w:rFonts w:ascii="Arial" w:hAnsi="Arial" w:cs="Arial"/>
        </w:rPr>
        <w:t xml:space="preserve"> to be</w:t>
      </w:r>
      <w:r w:rsidR="00762AD0" w:rsidRPr="00943233">
        <w:rPr>
          <w:rFonts w:ascii="Arial" w:hAnsi="Arial" w:cs="Arial"/>
        </w:rPr>
        <w:t xml:space="preserve"> prove</w:t>
      </w:r>
      <w:r w:rsidR="00943233" w:rsidRPr="00943233">
        <w:rPr>
          <w:rFonts w:ascii="Arial" w:hAnsi="Arial" w:cs="Arial"/>
        </w:rPr>
        <w:t xml:space="preserve">d </w:t>
      </w:r>
      <w:r w:rsidR="00762AD0">
        <w:rPr>
          <w:rFonts w:ascii="Arial" w:hAnsi="Arial" w:cs="Arial"/>
        </w:rPr>
        <w:t xml:space="preserve">to the satisfaction of the </w:t>
      </w:r>
      <w:r w:rsidR="00943233">
        <w:rPr>
          <w:rFonts w:ascii="Arial" w:hAnsi="Arial" w:cs="Arial"/>
        </w:rPr>
        <w:t>court.</w:t>
      </w:r>
    </w:p>
    <w:p w14:paraId="759FF0A4" w14:textId="7CB71C30" w:rsidR="00735A6C" w:rsidRDefault="00DA065B" w:rsidP="00EF0B0D">
      <w:pPr>
        <w:spacing w:line="360" w:lineRule="auto"/>
        <w:jc w:val="both"/>
        <w:rPr>
          <w:rFonts w:ascii="Arial" w:hAnsi="Arial" w:cs="Arial"/>
        </w:rPr>
      </w:pPr>
      <w:r>
        <w:rPr>
          <w:rFonts w:ascii="Arial" w:hAnsi="Arial" w:cs="Arial"/>
        </w:rPr>
        <w:t>[2</w:t>
      </w:r>
      <w:r w:rsidR="0081143D">
        <w:rPr>
          <w:rFonts w:ascii="Arial" w:hAnsi="Arial" w:cs="Arial"/>
        </w:rPr>
        <w:t>8</w:t>
      </w:r>
      <w:r w:rsidR="00735A6C">
        <w:rPr>
          <w:rFonts w:ascii="Arial" w:hAnsi="Arial" w:cs="Arial"/>
        </w:rPr>
        <w:t>] In order for section 345(1) to operate, the debt has to be due and payable. The debt must not be disputed by the respondent bona fide and on reasonable ground</w:t>
      </w:r>
      <w:r w:rsidR="00095C44">
        <w:rPr>
          <w:rFonts w:ascii="Arial" w:hAnsi="Arial" w:cs="Arial"/>
        </w:rPr>
        <w:t>s.</w:t>
      </w:r>
      <w:r w:rsidR="00735A6C">
        <w:rPr>
          <w:rFonts w:ascii="Arial" w:hAnsi="Arial" w:cs="Arial"/>
        </w:rPr>
        <w:t xml:space="preserve"> </w:t>
      </w:r>
      <w:r w:rsidR="00C939CA">
        <w:rPr>
          <w:rFonts w:ascii="Arial" w:hAnsi="Arial" w:cs="Arial"/>
        </w:rPr>
        <w:t>See</w:t>
      </w:r>
      <w:r w:rsidR="00735A6C">
        <w:rPr>
          <w:rFonts w:ascii="Arial" w:hAnsi="Arial" w:cs="Arial"/>
        </w:rPr>
        <w:t xml:space="preserve"> </w:t>
      </w:r>
      <w:r w:rsidR="00735A6C" w:rsidRPr="00506CF6">
        <w:rPr>
          <w:rFonts w:ascii="Arial" w:hAnsi="Arial" w:cs="Arial"/>
          <w:i/>
          <w:iCs/>
        </w:rPr>
        <w:t>KALIL DECOTEX 1988 (1) SA 943 (A) and VAN ZYL NO v LOOK GOOD CLOTHING CC</w:t>
      </w:r>
      <w:r w:rsidR="00735A6C">
        <w:rPr>
          <w:rFonts w:ascii="Arial" w:hAnsi="Arial" w:cs="Arial"/>
        </w:rPr>
        <w:t xml:space="preserve"> 1996 (3) SA 523 (SECLD).</w:t>
      </w:r>
    </w:p>
    <w:p w14:paraId="50FF3C36" w14:textId="06231020" w:rsidR="00184102" w:rsidRDefault="00DA065B" w:rsidP="00EF0B0D">
      <w:pPr>
        <w:spacing w:line="360" w:lineRule="auto"/>
        <w:jc w:val="both"/>
        <w:rPr>
          <w:rFonts w:ascii="Arial" w:hAnsi="Arial" w:cs="Arial"/>
        </w:rPr>
      </w:pPr>
      <w:r>
        <w:rPr>
          <w:rFonts w:ascii="Arial" w:hAnsi="Arial" w:cs="Arial"/>
        </w:rPr>
        <w:t>[2</w:t>
      </w:r>
      <w:r w:rsidR="0081143D">
        <w:rPr>
          <w:rFonts w:ascii="Arial" w:hAnsi="Arial" w:cs="Arial"/>
        </w:rPr>
        <w:t>9</w:t>
      </w:r>
      <w:r w:rsidR="00735A6C">
        <w:rPr>
          <w:rFonts w:ascii="Arial" w:hAnsi="Arial" w:cs="Arial"/>
        </w:rPr>
        <w:t xml:space="preserve">] The conclusion of law that a respondent is deemed unable to pay its debts following on its receipt of section 345(1) (a) letter </w:t>
      </w:r>
      <w:r w:rsidR="0019760D">
        <w:rPr>
          <w:rFonts w:ascii="Arial" w:hAnsi="Arial" w:cs="Arial"/>
        </w:rPr>
        <w:t xml:space="preserve">is one which may be attacked by the respondent. See </w:t>
      </w:r>
      <w:r w:rsidR="0019760D" w:rsidRPr="002F2C09">
        <w:rPr>
          <w:rFonts w:ascii="Arial" w:hAnsi="Arial" w:cs="Arial"/>
          <w:i/>
        </w:rPr>
        <w:t>TER BEEK v UNITED RESOURCES CC AND ANOTHER</w:t>
      </w:r>
      <w:r w:rsidR="0019760D">
        <w:rPr>
          <w:rFonts w:ascii="Arial" w:hAnsi="Arial" w:cs="Arial"/>
        </w:rPr>
        <w:t xml:space="preserve"> 1997 (3) SA 315 (CPD)</w:t>
      </w:r>
      <w:r w:rsidR="00184102">
        <w:rPr>
          <w:rFonts w:ascii="Arial" w:hAnsi="Arial" w:cs="Arial"/>
        </w:rPr>
        <w:t xml:space="preserve">. </w:t>
      </w:r>
    </w:p>
    <w:p w14:paraId="0A2E5D7E" w14:textId="77777777" w:rsidR="00700EB6" w:rsidRDefault="00700EB6" w:rsidP="00EF0B0D">
      <w:pPr>
        <w:spacing w:line="360" w:lineRule="auto"/>
        <w:jc w:val="both"/>
        <w:rPr>
          <w:rFonts w:ascii="Arial" w:hAnsi="Arial" w:cs="Arial"/>
        </w:rPr>
      </w:pPr>
    </w:p>
    <w:p w14:paraId="5C98FBFD" w14:textId="19632608" w:rsidR="00184102" w:rsidRPr="00234AE6" w:rsidRDefault="00234AE6" w:rsidP="00EF0B0D">
      <w:pPr>
        <w:spacing w:line="360" w:lineRule="auto"/>
        <w:jc w:val="both"/>
        <w:rPr>
          <w:rFonts w:ascii="Arial" w:hAnsi="Arial" w:cs="Arial"/>
          <w:b/>
          <w:bCs/>
        </w:rPr>
      </w:pPr>
      <w:r w:rsidRPr="00234AE6">
        <w:rPr>
          <w:rFonts w:ascii="Arial" w:hAnsi="Arial" w:cs="Arial"/>
          <w:b/>
          <w:bCs/>
        </w:rPr>
        <w:t xml:space="preserve">Analysis </w:t>
      </w:r>
    </w:p>
    <w:p w14:paraId="30FEBE22" w14:textId="058A92A6" w:rsidR="00DA065B" w:rsidRDefault="00184102" w:rsidP="00EF0B0D">
      <w:pPr>
        <w:spacing w:line="360" w:lineRule="auto"/>
        <w:jc w:val="both"/>
        <w:rPr>
          <w:rFonts w:ascii="Arial" w:hAnsi="Arial" w:cs="Arial"/>
        </w:rPr>
      </w:pPr>
      <w:r>
        <w:rPr>
          <w:rFonts w:ascii="Arial" w:hAnsi="Arial" w:cs="Arial"/>
        </w:rPr>
        <w:t>[</w:t>
      </w:r>
      <w:r w:rsidR="00D35B03">
        <w:rPr>
          <w:rFonts w:ascii="Arial" w:hAnsi="Arial" w:cs="Arial"/>
        </w:rPr>
        <w:t>30]</w:t>
      </w:r>
      <w:r>
        <w:rPr>
          <w:rFonts w:ascii="Arial" w:hAnsi="Arial" w:cs="Arial"/>
        </w:rPr>
        <w:t xml:space="preserve"> </w:t>
      </w:r>
      <w:r w:rsidR="00234AE6">
        <w:rPr>
          <w:rFonts w:ascii="Arial" w:hAnsi="Arial" w:cs="Arial"/>
        </w:rPr>
        <w:t>As</w:t>
      </w:r>
      <w:r w:rsidR="002F2C09">
        <w:rPr>
          <w:rFonts w:ascii="Arial" w:hAnsi="Arial" w:cs="Arial"/>
        </w:rPr>
        <w:t xml:space="preserve"> </w:t>
      </w:r>
      <w:r w:rsidR="00234AE6">
        <w:rPr>
          <w:rFonts w:ascii="Arial" w:hAnsi="Arial" w:cs="Arial"/>
        </w:rPr>
        <w:t>indicated the respondent is disputing indebtedness</w:t>
      </w:r>
      <w:r w:rsidR="000F3824">
        <w:rPr>
          <w:rFonts w:ascii="Arial" w:hAnsi="Arial" w:cs="Arial"/>
        </w:rPr>
        <w:t xml:space="preserve"> to the applicant</w:t>
      </w:r>
      <w:r w:rsidR="00234AE6">
        <w:rPr>
          <w:rFonts w:ascii="Arial" w:hAnsi="Arial" w:cs="Arial"/>
        </w:rPr>
        <w:t>. I</w:t>
      </w:r>
      <w:r w:rsidR="00D35B03">
        <w:rPr>
          <w:rFonts w:ascii="Arial" w:hAnsi="Arial" w:cs="Arial"/>
        </w:rPr>
        <w:t>t</w:t>
      </w:r>
      <w:r w:rsidR="00234AE6">
        <w:rPr>
          <w:rFonts w:ascii="Arial" w:hAnsi="Arial" w:cs="Arial"/>
        </w:rPr>
        <w:t xml:space="preserve"> is often said that the respondent has the ‘</w:t>
      </w:r>
      <w:r w:rsidR="00234AE6" w:rsidRPr="00EB2174">
        <w:rPr>
          <w:rFonts w:ascii="Arial" w:hAnsi="Arial" w:cs="Arial"/>
          <w:i/>
        </w:rPr>
        <w:t>onu</w:t>
      </w:r>
      <w:r w:rsidR="00234AE6">
        <w:rPr>
          <w:rFonts w:ascii="Arial" w:hAnsi="Arial" w:cs="Arial"/>
        </w:rPr>
        <w:t xml:space="preserve">s’ of satisfying the court that the alleged debt is disputed on bona fide </w:t>
      </w:r>
      <w:r w:rsidR="00161910">
        <w:rPr>
          <w:rFonts w:ascii="Arial" w:hAnsi="Arial" w:cs="Arial"/>
        </w:rPr>
        <w:t>and reasonable grounds.</w:t>
      </w:r>
    </w:p>
    <w:p w14:paraId="3FBF11EF" w14:textId="44735AAA" w:rsidR="00161910" w:rsidRDefault="00E1645B" w:rsidP="00161910">
      <w:pPr>
        <w:spacing w:line="360" w:lineRule="auto"/>
        <w:jc w:val="both"/>
        <w:rPr>
          <w:rFonts w:ascii="Arial" w:hAnsi="Arial" w:cs="Arial"/>
          <w:sz w:val="22"/>
          <w:szCs w:val="22"/>
        </w:rPr>
      </w:pPr>
      <w:r>
        <w:rPr>
          <w:rFonts w:ascii="Arial" w:hAnsi="Arial" w:cs="Arial"/>
        </w:rPr>
        <w:t>[</w:t>
      </w:r>
      <w:r w:rsidR="00EB2ABD">
        <w:rPr>
          <w:rFonts w:ascii="Arial" w:hAnsi="Arial" w:cs="Arial"/>
        </w:rPr>
        <w:t>31</w:t>
      </w:r>
      <w:r>
        <w:rPr>
          <w:rFonts w:ascii="Arial" w:hAnsi="Arial" w:cs="Arial"/>
        </w:rPr>
        <w:t xml:space="preserve">] </w:t>
      </w:r>
      <w:r w:rsidR="00161910" w:rsidRPr="00E1645B">
        <w:rPr>
          <w:rFonts w:ascii="Arial" w:hAnsi="Arial" w:cs="Arial"/>
          <w:i/>
          <w:iCs/>
        </w:rPr>
        <w:t xml:space="preserve">In </w:t>
      </w:r>
      <w:r w:rsidR="00161910" w:rsidRPr="003505CC">
        <w:rPr>
          <w:rFonts w:ascii="Arial" w:hAnsi="Arial" w:cs="Arial"/>
          <w:i/>
          <w:iCs/>
        </w:rPr>
        <w:t>C</w:t>
      </w:r>
      <w:r w:rsidRPr="003505CC">
        <w:rPr>
          <w:rFonts w:ascii="Arial" w:hAnsi="Arial" w:cs="Arial"/>
          <w:i/>
          <w:iCs/>
        </w:rPr>
        <w:t xml:space="preserve">OMMONWEALTH SHIPPERS </w:t>
      </w:r>
      <w:r w:rsidR="00161910" w:rsidRPr="003505CC">
        <w:rPr>
          <w:rFonts w:ascii="Arial" w:hAnsi="Arial" w:cs="Arial"/>
          <w:i/>
          <w:iCs/>
        </w:rPr>
        <w:t xml:space="preserve"> L</w:t>
      </w:r>
      <w:r w:rsidRPr="003505CC">
        <w:rPr>
          <w:rFonts w:ascii="Arial" w:hAnsi="Arial" w:cs="Arial"/>
          <w:i/>
          <w:iCs/>
        </w:rPr>
        <w:t>TD</w:t>
      </w:r>
      <w:r w:rsidR="00E96ECA" w:rsidRPr="003505CC">
        <w:rPr>
          <w:rFonts w:ascii="Arial" w:hAnsi="Arial" w:cs="Arial"/>
          <w:i/>
          <w:iCs/>
        </w:rPr>
        <w:t xml:space="preserve"> </w:t>
      </w:r>
      <w:r w:rsidR="00161910" w:rsidRPr="003505CC">
        <w:rPr>
          <w:rFonts w:ascii="Arial" w:hAnsi="Arial" w:cs="Arial"/>
          <w:i/>
          <w:iCs/>
        </w:rPr>
        <w:t xml:space="preserve"> </w:t>
      </w:r>
      <w:r w:rsidR="00E96ECA" w:rsidRPr="003505CC">
        <w:rPr>
          <w:rFonts w:ascii="Arial" w:hAnsi="Arial" w:cs="Arial"/>
          <w:i/>
          <w:iCs/>
        </w:rPr>
        <w:t>v</w:t>
      </w:r>
      <w:r w:rsidR="00161910" w:rsidRPr="003505CC">
        <w:rPr>
          <w:rFonts w:ascii="Arial" w:hAnsi="Arial" w:cs="Arial"/>
          <w:i/>
          <w:iCs/>
        </w:rPr>
        <w:t xml:space="preserve"> M</w:t>
      </w:r>
      <w:r w:rsidRPr="003505CC">
        <w:rPr>
          <w:rFonts w:ascii="Arial" w:hAnsi="Arial" w:cs="Arial"/>
          <w:i/>
          <w:iCs/>
        </w:rPr>
        <w:t xml:space="preserve">AYLADN </w:t>
      </w:r>
      <w:r w:rsidR="00161910" w:rsidRPr="003505CC">
        <w:rPr>
          <w:rFonts w:ascii="Arial" w:hAnsi="Arial" w:cs="Arial"/>
          <w:i/>
          <w:iCs/>
        </w:rPr>
        <w:t xml:space="preserve"> P</w:t>
      </w:r>
      <w:r w:rsidRPr="003505CC">
        <w:rPr>
          <w:rFonts w:ascii="Arial" w:hAnsi="Arial" w:cs="Arial"/>
          <w:i/>
          <w:iCs/>
        </w:rPr>
        <w:t xml:space="preserve">ROPERTIES (PTY) </w:t>
      </w:r>
      <w:r w:rsidR="00161910" w:rsidRPr="003505CC">
        <w:rPr>
          <w:rFonts w:ascii="Arial" w:hAnsi="Arial" w:cs="Arial"/>
          <w:i/>
          <w:iCs/>
        </w:rPr>
        <w:t xml:space="preserve"> L</w:t>
      </w:r>
      <w:r w:rsidRPr="003505CC">
        <w:rPr>
          <w:rFonts w:ascii="Arial" w:hAnsi="Arial" w:cs="Arial"/>
          <w:i/>
          <w:iCs/>
        </w:rPr>
        <w:t>TD( UNITED DRESS FABRICS (PTY) AND ANOTHER INTERVENING</w:t>
      </w:r>
      <w:r>
        <w:rPr>
          <w:rFonts w:ascii="Arial" w:hAnsi="Arial" w:cs="Arial"/>
        </w:rPr>
        <w:t xml:space="preserve"> </w:t>
      </w:r>
      <w:r w:rsidR="00161910" w:rsidRPr="00161910">
        <w:rPr>
          <w:rFonts w:ascii="Arial" w:hAnsi="Arial" w:cs="Arial"/>
        </w:rPr>
        <w:t xml:space="preserve"> 1978 (1) SA 70 (D) at 72D ­ E, Milne J </w:t>
      </w:r>
      <w:r w:rsidR="00494D09">
        <w:rPr>
          <w:rFonts w:ascii="Arial" w:hAnsi="Arial" w:cs="Arial"/>
        </w:rPr>
        <w:t>held</w:t>
      </w:r>
      <w:r w:rsidR="00161910" w:rsidRPr="00161910">
        <w:rPr>
          <w:rFonts w:ascii="Arial" w:hAnsi="Arial" w:cs="Arial"/>
        </w:rPr>
        <w:t>:</w:t>
      </w:r>
      <w:r w:rsidR="00437B5B">
        <w:rPr>
          <w:rFonts w:ascii="Arial" w:hAnsi="Arial" w:cs="Arial"/>
        </w:rPr>
        <w:t xml:space="preserve"> </w:t>
      </w:r>
      <w:r w:rsidR="00437B5B" w:rsidRPr="00E1645B">
        <w:rPr>
          <w:rFonts w:ascii="Arial" w:hAnsi="Arial" w:cs="Arial"/>
          <w:sz w:val="22"/>
          <w:szCs w:val="22"/>
        </w:rPr>
        <w:t xml:space="preserve">‘Perhaps it may be said that if there is prima facie a valid claim by the applicant so as to make a creditor within the meaning of sec. 341 (1) (b), then it is for the respondent to disturb that prima facie situation by showing a dispute bona fide and reasonable grounds. Overall, however, it seems to me that the position must be that, in order to establish that the applicant has locus standi to bring the application, it must show, on a balance of probabilities, that it is a creditor (where of course that is the ground relied upon to establish its locus standi). I am </w:t>
      </w:r>
      <w:r w:rsidR="00261D3F">
        <w:rPr>
          <w:rFonts w:ascii="Arial" w:hAnsi="Arial" w:cs="Arial"/>
          <w:sz w:val="22"/>
          <w:szCs w:val="22"/>
        </w:rPr>
        <w:t xml:space="preserve">in </w:t>
      </w:r>
      <w:r w:rsidR="00437B5B" w:rsidRPr="00E1645B">
        <w:rPr>
          <w:rFonts w:ascii="Arial" w:hAnsi="Arial" w:cs="Arial"/>
          <w:sz w:val="22"/>
          <w:szCs w:val="22"/>
        </w:rPr>
        <w:t>respectful agreement with</w:t>
      </w:r>
      <w:r>
        <w:rPr>
          <w:rFonts w:ascii="Arial" w:hAnsi="Arial" w:cs="Arial"/>
          <w:sz w:val="22"/>
          <w:szCs w:val="22"/>
        </w:rPr>
        <w:t xml:space="preserve"> </w:t>
      </w:r>
      <w:r w:rsidR="00437B5B" w:rsidRPr="00E1645B">
        <w:rPr>
          <w:rFonts w:ascii="Arial" w:hAnsi="Arial" w:cs="Arial"/>
          <w:sz w:val="22"/>
          <w:szCs w:val="22"/>
        </w:rPr>
        <w:t xml:space="preserve">the aforesaid dictum of Milne J, which has been approved by the Appellate Division in </w:t>
      </w:r>
      <w:r w:rsidR="00437B5B" w:rsidRPr="001C267C">
        <w:rPr>
          <w:rFonts w:ascii="Arial" w:hAnsi="Arial" w:cs="Arial"/>
          <w:i/>
          <w:iCs/>
          <w:sz w:val="22"/>
          <w:szCs w:val="22"/>
        </w:rPr>
        <w:t xml:space="preserve">KALIL </w:t>
      </w:r>
      <w:r w:rsidR="004D380F" w:rsidRPr="001C267C">
        <w:rPr>
          <w:rFonts w:ascii="Arial" w:hAnsi="Arial" w:cs="Arial"/>
          <w:i/>
          <w:iCs/>
          <w:sz w:val="22"/>
          <w:szCs w:val="22"/>
        </w:rPr>
        <w:t>v DECOTEX (PTY) LTD AND ANOTHER</w:t>
      </w:r>
      <w:r w:rsidR="004D380F" w:rsidRPr="00E1645B">
        <w:rPr>
          <w:rFonts w:ascii="Arial" w:hAnsi="Arial" w:cs="Arial"/>
          <w:sz w:val="22"/>
          <w:szCs w:val="22"/>
        </w:rPr>
        <w:t xml:space="preserve"> (supra) at 980E. It therefore appears to me that it would be preferable to refer to this duty, of a respondent that the alleged debt is disputed on bona fide and reasonable grounds, as an evidential burden and not an onus. Be that as it may, it should be borne in mind as explained by Thring J in the </w:t>
      </w:r>
      <w:r w:rsidR="004D380F" w:rsidRPr="0045753C">
        <w:rPr>
          <w:rFonts w:ascii="Arial" w:hAnsi="Arial" w:cs="Arial"/>
          <w:i/>
          <w:iCs/>
          <w:sz w:val="22"/>
          <w:szCs w:val="22"/>
        </w:rPr>
        <w:t>HULSE-REUTTER</w:t>
      </w:r>
      <w:r w:rsidR="004D380F" w:rsidRPr="00E1645B">
        <w:rPr>
          <w:rFonts w:ascii="Arial" w:hAnsi="Arial" w:cs="Arial"/>
          <w:sz w:val="22"/>
          <w:szCs w:val="22"/>
        </w:rPr>
        <w:t xml:space="preserve"> </w:t>
      </w:r>
      <w:r>
        <w:rPr>
          <w:rFonts w:ascii="Arial" w:hAnsi="Arial" w:cs="Arial"/>
          <w:sz w:val="22"/>
          <w:szCs w:val="22"/>
        </w:rPr>
        <w:t>case</w:t>
      </w:r>
      <w:r w:rsidR="004D380F" w:rsidRPr="00E1645B">
        <w:rPr>
          <w:rFonts w:ascii="Arial" w:hAnsi="Arial" w:cs="Arial"/>
          <w:sz w:val="22"/>
          <w:szCs w:val="22"/>
        </w:rPr>
        <w:t xml:space="preserve"> (supra)</w:t>
      </w:r>
      <w:r>
        <w:rPr>
          <w:rFonts w:ascii="Arial" w:hAnsi="Arial" w:cs="Arial"/>
          <w:sz w:val="22"/>
          <w:szCs w:val="22"/>
        </w:rPr>
        <w:t xml:space="preserve"> at</w:t>
      </w:r>
      <w:r w:rsidR="004D380F" w:rsidRPr="00E1645B">
        <w:rPr>
          <w:rFonts w:ascii="Arial" w:hAnsi="Arial" w:cs="Arial"/>
          <w:sz w:val="22"/>
          <w:szCs w:val="22"/>
        </w:rPr>
        <w:t xml:space="preserve"> 219F-G that respondent merely has to satisfy the court that the grounds which are advanced for its disputing the debt are not unreasonable. The learned judge further emphasised that it is not necessary for the respondent to adduce on affidavit</w:t>
      </w:r>
      <w:r w:rsidRPr="00E1645B">
        <w:rPr>
          <w:rFonts w:ascii="Arial" w:hAnsi="Arial" w:cs="Arial"/>
          <w:sz w:val="22"/>
          <w:szCs w:val="22"/>
        </w:rPr>
        <w:t>, or otherwise, the actual evidence on which it would rely at a trial. It is sufficient if the respondent bona fide alleges facts which, if proved would constitute a good defence to the claim made against it.’</w:t>
      </w:r>
    </w:p>
    <w:p w14:paraId="64629AFA" w14:textId="323FA1C4" w:rsidR="0089221C" w:rsidRPr="008A042B" w:rsidRDefault="0089221C" w:rsidP="00161910">
      <w:pPr>
        <w:spacing w:line="360" w:lineRule="auto"/>
        <w:jc w:val="both"/>
        <w:rPr>
          <w:rFonts w:ascii="Arial" w:hAnsi="Arial" w:cs="Arial"/>
          <w:sz w:val="22"/>
          <w:szCs w:val="22"/>
        </w:rPr>
      </w:pPr>
      <w:r w:rsidRPr="0089221C">
        <w:rPr>
          <w:rFonts w:ascii="Arial" w:hAnsi="Arial" w:cs="Arial"/>
        </w:rPr>
        <w:lastRenderedPageBreak/>
        <w:t>[</w:t>
      </w:r>
      <w:r w:rsidR="002C147C">
        <w:rPr>
          <w:rFonts w:ascii="Arial" w:hAnsi="Arial" w:cs="Arial"/>
        </w:rPr>
        <w:t>32</w:t>
      </w:r>
      <w:r w:rsidRPr="0089221C">
        <w:rPr>
          <w:rFonts w:ascii="Arial" w:hAnsi="Arial" w:cs="Arial"/>
        </w:rPr>
        <w:t xml:space="preserve">] </w:t>
      </w:r>
      <w:r w:rsidRPr="00897AA5">
        <w:rPr>
          <w:rFonts w:ascii="Arial" w:hAnsi="Arial" w:cs="Arial"/>
        </w:rPr>
        <w:t xml:space="preserve">In </w:t>
      </w:r>
      <w:r w:rsidRPr="00897AA5">
        <w:rPr>
          <w:rFonts w:ascii="Arial" w:hAnsi="Arial" w:cs="Arial"/>
          <w:i/>
        </w:rPr>
        <w:t>HELDERBERG LABORA</w:t>
      </w:r>
      <w:r w:rsidR="008D22C8" w:rsidRPr="00897AA5">
        <w:rPr>
          <w:rFonts w:ascii="Arial" w:hAnsi="Arial" w:cs="Arial"/>
          <w:i/>
        </w:rPr>
        <w:t>TORIES CC</w:t>
      </w:r>
      <w:r w:rsidR="00335A24" w:rsidRPr="00897AA5">
        <w:rPr>
          <w:rFonts w:ascii="Arial" w:hAnsi="Arial" w:cs="Arial"/>
          <w:i/>
        </w:rPr>
        <w:t xml:space="preserve"> v</w:t>
      </w:r>
      <w:r w:rsidR="008D22C8" w:rsidRPr="00897AA5">
        <w:rPr>
          <w:rFonts w:ascii="Arial" w:hAnsi="Arial" w:cs="Arial"/>
          <w:i/>
        </w:rPr>
        <w:t xml:space="preserve"> SOLA TECHNOLOGIES (</w:t>
      </w:r>
      <w:r w:rsidRPr="00897AA5">
        <w:rPr>
          <w:rFonts w:ascii="Arial" w:hAnsi="Arial" w:cs="Arial"/>
          <w:i/>
        </w:rPr>
        <w:t>PTY) LTD</w:t>
      </w:r>
      <w:r>
        <w:rPr>
          <w:rFonts w:ascii="Arial" w:hAnsi="Arial" w:cs="Arial"/>
        </w:rPr>
        <w:t xml:space="preserve"> 2008 (2) SA 627 </w:t>
      </w:r>
      <w:r w:rsidR="00FA4D59">
        <w:rPr>
          <w:rFonts w:ascii="Arial" w:hAnsi="Arial" w:cs="Arial"/>
        </w:rPr>
        <w:t>(C</w:t>
      </w:r>
      <w:r>
        <w:rPr>
          <w:rFonts w:ascii="Arial" w:hAnsi="Arial" w:cs="Arial"/>
        </w:rPr>
        <w:t>)</w:t>
      </w:r>
      <w:r w:rsidR="00335A24">
        <w:rPr>
          <w:rFonts w:ascii="Arial" w:hAnsi="Arial" w:cs="Arial"/>
        </w:rPr>
        <w:t xml:space="preserve"> it was held</w:t>
      </w:r>
      <w:r w:rsidR="00CA3B0E">
        <w:rPr>
          <w:rFonts w:ascii="Arial" w:hAnsi="Arial" w:cs="Arial"/>
        </w:rPr>
        <w:t>:</w:t>
      </w:r>
      <w:r w:rsidRPr="008A042B">
        <w:rPr>
          <w:rFonts w:ascii="Arial" w:hAnsi="Arial" w:cs="Arial"/>
          <w:sz w:val="22"/>
          <w:szCs w:val="22"/>
        </w:rPr>
        <w:t xml:space="preserve"> </w:t>
      </w:r>
      <w:r w:rsidR="00E4676D" w:rsidRPr="008A042B">
        <w:rPr>
          <w:rFonts w:ascii="Arial" w:hAnsi="Arial" w:cs="Arial"/>
          <w:sz w:val="22"/>
          <w:szCs w:val="22"/>
        </w:rPr>
        <w:t>‘in</w:t>
      </w:r>
      <w:r w:rsidRPr="008A042B">
        <w:rPr>
          <w:rFonts w:ascii="Arial" w:hAnsi="Arial" w:cs="Arial"/>
          <w:sz w:val="22"/>
          <w:szCs w:val="22"/>
        </w:rPr>
        <w:t xml:space="preserve"> an application for the grant of provisional winding up order, a mere prima facie case has to be established by the applicant while the final order will only be granted if the applicant satisfies the court on a balance of probabilities that provisional </w:t>
      </w:r>
      <w:r w:rsidR="00170FD4">
        <w:rPr>
          <w:rFonts w:ascii="Arial" w:hAnsi="Arial" w:cs="Arial"/>
          <w:sz w:val="22"/>
          <w:szCs w:val="22"/>
        </w:rPr>
        <w:t xml:space="preserve">order </w:t>
      </w:r>
      <w:r w:rsidRPr="008A042B">
        <w:rPr>
          <w:rFonts w:ascii="Arial" w:hAnsi="Arial" w:cs="Arial"/>
          <w:sz w:val="22"/>
          <w:szCs w:val="22"/>
        </w:rPr>
        <w:t>should be confirmed. Where an applicant, as in the instance case, relies on section 346(1) (b) o</w:t>
      </w:r>
      <w:r w:rsidR="003C4370" w:rsidRPr="008A042B">
        <w:rPr>
          <w:rFonts w:ascii="Arial" w:hAnsi="Arial" w:cs="Arial"/>
          <w:sz w:val="22"/>
          <w:szCs w:val="22"/>
        </w:rPr>
        <w:t>f</w:t>
      </w:r>
      <w:r w:rsidRPr="008A042B">
        <w:rPr>
          <w:rFonts w:ascii="Arial" w:hAnsi="Arial" w:cs="Arial"/>
          <w:sz w:val="22"/>
          <w:szCs w:val="22"/>
        </w:rPr>
        <w:t xml:space="preserve"> the Companies Act, it has to satisfy </w:t>
      </w:r>
      <w:r w:rsidR="0054048C" w:rsidRPr="008A042B">
        <w:rPr>
          <w:rFonts w:ascii="Arial" w:hAnsi="Arial" w:cs="Arial"/>
          <w:sz w:val="22"/>
          <w:szCs w:val="22"/>
        </w:rPr>
        <w:t xml:space="preserve">the court that it is a creditor within the meaning of the said subsection. It follows that, on the return date of a provisional winding-up order, the onus is on the applicant to prove on a balance of probabilities that it has the necessary locus standi as a creditor…. </w:t>
      </w:r>
    </w:p>
    <w:p w14:paraId="064B105D" w14:textId="4BB52C6E" w:rsidR="0054048C" w:rsidRDefault="0054048C" w:rsidP="00161910">
      <w:pPr>
        <w:spacing w:line="360" w:lineRule="auto"/>
        <w:jc w:val="both"/>
        <w:rPr>
          <w:rFonts w:ascii="Arial" w:hAnsi="Arial" w:cs="Arial"/>
        </w:rPr>
      </w:pPr>
      <w:r w:rsidRPr="008A042B">
        <w:rPr>
          <w:rFonts w:ascii="Arial" w:hAnsi="Arial" w:cs="Arial"/>
          <w:sz w:val="22"/>
          <w:szCs w:val="22"/>
        </w:rPr>
        <w:t xml:space="preserve">If, however, a respondent opposed an application for its liquidation on the basis of a dispute as to the existence of the debt, a difference in approach is called for. If the alleged debt is genuinely disputed on reasonable grounds, the attitude of our courts is that it would be wrong to allow such dispute to be resolved by utilising the machinery designed for winding-up proceedings, rather than ordinary litigation. In this event </w:t>
      </w:r>
      <w:r w:rsidR="00291D7E" w:rsidRPr="008A042B">
        <w:rPr>
          <w:rFonts w:ascii="Arial" w:hAnsi="Arial" w:cs="Arial"/>
          <w:sz w:val="22"/>
          <w:szCs w:val="22"/>
        </w:rPr>
        <w:t>the court ought to refuse the granting of a winding-up order, whether it be a provisional or final order’</w:t>
      </w:r>
      <w:r w:rsidR="00291D7E">
        <w:rPr>
          <w:rFonts w:ascii="Arial" w:hAnsi="Arial" w:cs="Arial"/>
        </w:rPr>
        <w:t>.</w:t>
      </w:r>
    </w:p>
    <w:p w14:paraId="7D2896EC" w14:textId="6BB2B375" w:rsidR="008A436E" w:rsidRDefault="008A436E" w:rsidP="00161910">
      <w:pPr>
        <w:spacing w:line="360" w:lineRule="auto"/>
        <w:jc w:val="both"/>
        <w:rPr>
          <w:rFonts w:ascii="Arial" w:hAnsi="Arial" w:cs="Arial"/>
        </w:rPr>
      </w:pPr>
      <w:r>
        <w:rPr>
          <w:rFonts w:ascii="Arial" w:hAnsi="Arial" w:cs="Arial"/>
        </w:rPr>
        <w:t>[</w:t>
      </w:r>
      <w:r w:rsidR="00D56107">
        <w:rPr>
          <w:rFonts w:ascii="Arial" w:hAnsi="Arial" w:cs="Arial"/>
        </w:rPr>
        <w:t>33</w:t>
      </w:r>
      <w:r>
        <w:rPr>
          <w:rFonts w:ascii="Arial" w:hAnsi="Arial" w:cs="Arial"/>
        </w:rPr>
        <w:t xml:space="preserve">] </w:t>
      </w:r>
      <w:bookmarkStart w:id="0" w:name="_Hlk153212838"/>
      <w:r>
        <w:rPr>
          <w:rFonts w:ascii="Arial" w:hAnsi="Arial" w:cs="Arial"/>
        </w:rPr>
        <w:t xml:space="preserve">In </w:t>
      </w:r>
      <w:r w:rsidRPr="00F372F5">
        <w:rPr>
          <w:rFonts w:ascii="Arial" w:hAnsi="Arial" w:cs="Arial"/>
          <w:i/>
        </w:rPr>
        <w:t>BADENHORST</w:t>
      </w:r>
      <w:r w:rsidR="008C13F6" w:rsidRPr="00F372F5">
        <w:rPr>
          <w:rFonts w:ascii="Arial" w:hAnsi="Arial" w:cs="Arial"/>
          <w:i/>
        </w:rPr>
        <w:t xml:space="preserve"> v</w:t>
      </w:r>
      <w:r w:rsidRPr="00F372F5">
        <w:rPr>
          <w:rFonts w:ascii="Arial" w:hAnsi="Arial" w:cs="Arial"/>
          <w:i/>
        </w:rPr>
        <w:t xml:space="preserve"> NORTHERN CONSTRCUTION ENTERPRISES (PTY) LTD</w:t>
      </w:r>
      <w:r>
        <w:rPr>
          <w:rFonts w:ascii="Arial" w:hAnsi="Arial" w:cs="Arial"/>
        </w:rPr>
        <w:t xml:space="preserve"> 1956 (2) SA 346 (T) it was held that an application for the liquidation of a company should not be resorted to</w:t>
      </w:r>
      <w:r w:rsidR="00D1005D" w:rsidRPr="00D1005D">
        <w:rPr>
          <w:rFonts w:ascii="Arial" w:hAnsi="Arial" w:cs="Arial"/>
          <w:color w:val="00B050"/>
        </w:rPr>
        <w:t xml:space="preserve"> </w:t>
      </w:r>
      <w:r>
        <w:rPr>
          <w:rFonts w:ascii="Arial" w:hAnsi="Arial" w:cs="Arial"/>
        </w:rPr>
        <w:t>enforce payment of a debt which is bona fide disputed by the company</w:t>
      </w:r>
      <w:bookmarkEnd w:id="0"/>
      <w:r w:rsidR="00D1005D">
        <w:rPr>
          <w:rFonts w:ascii="Arial" w:hAnsi="Arial" w:cs="Arial"/>
        </w:rPr>
        <w:t>.</w:t>
      </w:r>
      <w:r>
        <w:rPr>
          <w:rFonts w:ascii="Arial" w:hAnsi="Arial" w:cs="Arial"/>
        </w:rPr>
        <w:t xml:space="preserve"> </w:t>
      </w:r>
      <w:bookmarkStart w:id="1" w:name="_Hlk151538630"/>
      <w:r w:rsidR="00D1005D">
        <w:rPr>
          <w:rFonts w:ascii="Arial" w:hAnsi="Arial" w:cs="Arial"/>
        </w:rPr>
        <w:t>T</w:t>
      </w:r>
      <w:r>
        <w:rPr>
          <w:rFonts w:ascii="Arial" w:hAnsi="Arial" w:cs="Arial"/>
        </w:rPr>
        <w:t xml:space="preserve">he liquidation of a company affects interests of all creditors and shareholders, and an order for its liquidation should not lightly be granted on the application of a single creditor. </w:t>
      </w:r>
      <w:bookmarkEnd w:id="1"/>
    </w:p>
    <w:p w14:paraId="5BF8B362" w14:textId="31083569" w:rsidR="00925796" w:rsidRPr="00702CE0" w:rsidRDefault="00702CE0" w:rsidP="00161910">
      <w:pPr>
        <w:spacing w:line="360" w:lineRule="auto"/>
        <w:jc w:val="both"/>
        <w:rPr>
          <w:rFonts w:ascii="Arial" w:hAnsi="Arial" w:cs="Arial"/>
        </w:rPr>
      </w:pPr>
      <w:r>
        <w:rPr>
          <w:rFonts w:ascii="Arial" w:hAnsi="Arial" w:cs="Arial"/>
        </w:rPr>
        <w:t>[3</w:t>
      </w:r>
      <w:r w:rsidR="00E73E5D">
        <w:rPr>
          <w:rFonts w:ascii="Arial" w:hAnsi="Arial" w:cs="Arial"/>
        </w:rPr>
        <w:t>4</w:t>
      </w:r>
      <w:r>
        <w:rPr>
          <w:rFonts w:ascii="Arial" w:hAnsi="Arial" w:cs="Arial"/>
        </w:rPr>
        <w:t xml:space="preserve">] </w:t>
      </w:r>
      <w:r w:rsidR="00CA55DF">
        <w:rPr>
          <w:rFonts w:ascii="Arial" w:hAnsi="Arial" w:cs="Arial"/>
        </w:rPr>
        <w:t xml:space="preserve">I shall proceed with </w:t>
      </w:r>
      <w:r w:rsidR="00A22507">
        <w:rPr>
          <w:rFonts w:ascii="Arial" w:hAnsi="Arial" w:cs="Arial"/>
        </w:rPr>
        <w:t xml:space="preserve">alleged inability of the respondent to transfer ownership to the </w:t>
      </w:r>
      <w:r>
        <w:rPr>
          <w:rFonts w:ascii="Arial" w:hAnsi="Arial" w:cs="Arial"/>
        </w:rPr>
        <w:t>applicant.</w:t>
      </w:r>
      <w:r w:rsidRPr="00702CE0">
        <w:rPr>
          <w:rFonts w:ascii="Arial" w:hAnsi="Arial" w:cs="Arial"/>
        </w:rPr>
        <w:t xml:space="preserve"> In</w:t>
      </w:r>
      <w:r w:rsidR="00A528DF" w:rsidRPr="00702CE0">
        <w:rPr>
          <w:rFonts w:ascii="Arial" w:hAnsi="Arial" w:cs="Arial"/>
        </w:rPr>
        <w:t xml:space="preserve"> </w:t>
      </w:r>
      <w:r w:rsidR="00A528DF" w:rsidRPr="00702CE0">
        <w:rPr>
          <w:rFonts w:ascii="Arial" w:hAnsi="Arial" w:cs="Arial"/>
          <w:i/>
        </w:rPr>
        <w:t xml:space="preserve">KOSTER </w:t>
      </w:r>
      <w:r w:rsidR="008768CD" w:rsidRPr="00702CE0">
        <w:rPr>
          <w:rFonts w:ascii="Arial" w:hAnsi="Arial" w:cs="Arial"/>
          <w:i/>
        </w:rPr>
        <w:t>v</w:t>
      </w:r>
      <w:r w:rsidR="00A528DF" w:rsidRPr="00702CE0">
        <w:rPr>
          <w:rFonts w:ascii="Arial" w:hAnsi="Arial" w:cs="Arial"/>
          <w:i/>
        </w:rPr>
        <w:t xml:space="preserve"> NORVAL</w:t>
      </w:r>
      <w:r w:rsidR="00A528DF">
        <w:rPr>
          <w:rFonts w:ascii="Arial" w:hAnsi="Arial" w:cs="Arial"/>
        </w:rPr>
        <w:t xml:space="preserve"> (20609/14) [2015] ZASCA 185 (30 November 2015) at para 4 it was held that: ‘</w:t>
      </w:r>
      <w:r w:rsidR="00A528DF" w:rsidRPr="00DD03E9">
        <w:rPr>
          <w:rFonts w:ascii="Arial" w:hAnsi="Arial" w:cs="Arial"/>
          <w:sz w:val="22"/>
          <w:szCs w:val="22"/>
        </w:rPr>
        <w:t>It is trite th</w:t>
      </w:r>
      <w:r w:rsidR="004241A0" w:rsidRPr="00DD03E9">
        <w:rPr>
          <w:rFonts w:ascii="Arial" w:hAnsi="Arial" w:cs="Arial"/>
          <w:sz w:val="22"/>
          <w:szCs w:val="22"/>
        </w:rPr>
        <w:t>a</w:t>
      </w:r>
      <w:r w:rsidR="00A528DF" w:rsidRPr="00DD03E9">
        <w:rPr>
          <w:rFonts w:ascii="Arial" w:hAnsi="Arial" w:cs="Arial"/>
          <w:sz w:val="22"/>
          <w:szCs w:val="22"/>
        </w:rPr>
        <w:t>t it is not a requirement for a valid contract of sale that the seller must be the owner of the thing sold’</w:t>
      </w:r>
      <w:r w:rsidR="00A528DF">
        <w:rPr>
          <w:rFonts w:ascii="Arial" w:hAnsi="Arial" w:cs="Arial"/>
        </w:rPr>
        <w:t xml:space="preserve">. The SCA quoted with approval </w:t>
      </w:r>
      <w:r w:rsidR="00A528DF" w:rsidRPr="00630415">
        <w:rPr>
          <w:rFonts w:ascii="Arial" w:hAnsi="Arial" w:cs="Arial"/>
          <w:i/>
        </w:rPr>
        <w:t xml:space="preserve">ALPHA TRUST (EDMS) BPK </w:t>
      </w:r>
      <w:r w:rsidR="00DD03E9" w:rsidRPr="00630415">
        <w:rPr>
          <w:rFonts w:ascii="Arial" w:hAnsi="Arial" w:cs="Arial"/>
          <w:i/>
        </w:rPr>
        <w:t>v</w:t>
      </w:r>
      <w:r w:rsidR="00631CE4" w:rsidRPr="00630415">
        <w:rPr>
          <w:rFonts w:ascii="Arial" w:hAnsi="Arial" w:cs="Arial"/>
          <w:i/>
        </w:rPr>
        <w:t xml:space="preserve"> </w:t>
      </w:r>
      <w:r w:rsidR="00A528DF" w:rsidRPr="00630415">
        <w:rPr>
          <w:rFonts w:ascii="Arial" w:hAnsi="Arial" w:cs="Arial"/>
          <w:i/>
        </w:rPr>
        <w:t>VAN DER WALT</w:t>
      </w:r>
      <w:r w:rsidR="00630415">
        <w:rPr>
          <w:rFonts w:ascii="Arial" w:hAnsi="Arial" w:cs="Arial"/>
          <w:i/>
        </w:rPr>
        <w:t xml:space="preserve"> </w:t>
      </w:r>
      <w:r w:rsidR="00A528DF" w:rsidRPr="00630415">
        <w:rPr>
          <w:rFonts w:ascii="Arial" w:hAnsi="Arial" w:cs="Arial"/>
        </w:rPr>
        <w:t>1975</w:t>
      </w:r>
      <w:r w:rsidR="00A528DF">
        <w:rPr>
          <w:rFonts w:ascii="Arial" w:hAnsi="Arial" w:cs="Arial"/>
        </w:rPr>
        <w:t xml:space="preserve"> (3) SA 734 (</w:t>
      </w:r>
      <w:r w:rsidR="00631CE4">
        <w:rPr>
          <w:rFonts w:ascii="Arial" w:hAnsi="Arial" w:cs="Arial"/>
        </w:rPr>
        <w:t>A) at</w:t>
      </w:r>
      <w:r w:rsidR="00925796">
        <w:rPr>
          <w:rFonts w:ascii="Arial" w:hAnsi="Arial" w:cs="Arial"/>
        </w:rPr>
        <w:t xml:space="preserve"> 743H-744A where Botha JA summarized the legal position as follows:</w:t>
      </w:r>
      <w:r w:rsidR="00925796" w:rsidRPr="00C372A3">
        <w:rPr>
          <w:rFonts w:ascii="Arial" w:hAnsi="Arial" w:cs="Arial"/>
          <w:sz w:val="22"/>
          <w:szCs w:val="22"/>
        </w:rPr>
        <w:t>’</w:t>
      </w:r>
      <w:proofErr w:type="spellStart"/>
      <w:r w:rsidR="00925796" w:rsidRPr="00C372A3">
        <w:rPr>
          <w:rFonts w:ascii="Arial" w:hAnsi="Arial" w:cs="Arial"/>
          <w:sz w:val="22"/>
          <w:szCs w:val="22"/>
        </w:rPr>
        <w:t>Dit</w:t>
      </w:r>
      <w:proofErr w:type="spellEnd"/>
      <w:r w:rsidR="00925796" w:rsidRPr="00C372A3">
        <w:rPr>
          <w:rFonts w:ascii="Arial" w:hAnsi="Arial" w:cs="Arial"/>
          <w:sz w:val="22"/>
          <w:szCs w:val="22"/>
        </w:rPr>
        <w:t xml:space="preserve"> is </w:t>
      </w:r>
      <w:proofErr w:type="spellStart"/>
      <w:r w:rsidR="00925796" w:rsidRPr="00C372A3">
        <w:rPr>
          <w:rFonts w:ascii="Arial" w:hAnsi="Arial" w:cs="Arial"/>
          <w:sz w:val="22"/>
          <w:szCs w:val="22"/>
        </w:rPr>
        <w:t>duidelik</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dat</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vir</w:t>
      </w:r>
      <w:proofErr w:type="spellEnd"/>
      <w:r w:rsidR="00925796" w:rsidRPr="00C372A3">
        <w:rPr>
          <w:rFonts w:ascii="Arial" w:hAnsi="Arial" w:cs="Arial"/>
          <w:sz w:val="22"/>
          <w:szCs w:val="22"/>
        </w:rPr>
        <w:t xml:space="preserve"> ‘n </w:t>
      </w:r>
      <w:proofErr w:type="spellStart"/>
      <w:r w:rsidR="00925796" w:rsidRPr="00C372A3">
        <w:rPr>
          <w:rFonts w:ascii="Arial" w:hAnsi="Arial" w:cs="Arial"/>
          <w:sz w:val="22"/>
          <w:szCs w:val="22"/>
        </w:rPr>
        <w:t>geldig</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koopkontrak</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volgens</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ons</w:t>
      </w:r>
      <w:proofErr w:type="spellEnd"/>
      <w:r w:rsidR="00925796" w:rsidRPr="00C372A3">
        <w:rPr>
          <w:rFonts w:ascii="Arial" w:hAnsi="Arial" w:cs="Arial"/>
          <w:sz w:val="22"/>
          <w:szCs w:val="22"/>
        </w:rPr>
        <w:t xml:space="preserve"> reg </w:t>
      </w:r>
      <w:proofErr w:type="spellStart"/>
      <w:r w:rsidR="00925796" w:rsidRPr="00C372A3">
        <w:rPr>
          <w:rFonts w:ascii="Arial" w:hAnsi="Arial" w:cs="Arial"/>
          <w:sz w:val="22"/>
          <w:szCs w:val="22"/>
        </w:rPr>
        <w:t>geen</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vereiste</w:t>
      </w:r>
      <w:proofErr w:type="spellEnd"/>
      <w:r w:rsidR="00925796" w:rsidRPr="00C372A3">
        <w:rPr>
          <w:rFonts w:ascii="Arial" w:hAnsi="Arial" w:cs="Arial"/>
          <w:sz w:val="22"/>
          <w:szCs w:val="22"/>
        </w:rPr>
        <w:t xml:space="preserve"> is </w:t>
      </w:r>
      <w:proofErr w:type="spellStart"/>
      <w:r w:rsidR="00925796" w:rsidRPr="00C372A3">
        <w:rPr>
          <w:rFonts w:ascii="Arial" w:hAnsi="Arial" w:cs="Arial"/>
          <w:sz w:val="22"/>
          <w:szCs w:val="22"/>
        </w:rPr>
        <w:t>dat</w:t>
      </w:r>
      <w:proofErr w:type="spellEnd"/>
      <w:r w:rsidR="00925796" w:rsidRPr="00C372A3">
        <w:rPr>
          <w:rFonts w:ascii="Arial" w:hAnsi="Arial" w:cs="Arial"/>
          <w:sz w:val="22"/>
          <w:szCs w:val="22"/>
        </w:rPr>
        <w:t xml:space="preserve"> die </w:t>
      </w:r>
      <w:proofErr w:type="spellStart"/>
      <w:r w:rsidR="00925796" w:rsidRPr="00C372A3">
        <w:rPr>
          <w:rFonts w:ascii="Arial" w:hAnsi="Arial" w:cs="Arial"/>
          <w:sz w:val="22"/>
          <w:szCs w:val="22"/>
        </w:rPr>
        <w:t>verkoper</w:t>
      </w:r>
      <w:proofErr w:type="spellEnd"/>
      <w:r w:rsidR="00925796" w:rsidRPr="00C372A3">
        <w:rPr>
          <w:rFonts w:ascii="Arial" w:hAnsi="Arial" w:cs="Arial"/>
          <w:sz w:val="22"/>
          <w:szCs w:val="22"/>
        </w:rPr>
        <w:t xml:space="preserve"> van die </w:t>
      </w:r>
      <w:proofErr w:type="spellStart"/>
      <w:r w:rsidR="00925796" w:rsidRPr="00C372A3">
        <w:rPr>
          <w:rFonts w:ascii="Arial" w:hAnsi="Arial" w:cs="Arial"/>
          <w:sz w:val="22"/>
          <w:szCs w:val="22"/>
        </w:rPr>
        <w:t>koopsak</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eienaar</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daarvan</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moet</w:t>
      </w:r>
      <w:proofErr w:type="spellEnd"/>
      <w:r w:rsidR="00925796" w:rsidRPr="00C372A3">
        <w:rPr>
          <w:rFonts w:ascii="Arial" w:hAnsi="Arial" w:cs="Arial"/>
          <w:sz w:val="22"/>
          <w:szCs w:val="22"/>
        </w:rPr>
        <w:t xml:space="preserve"> wees </w:t>
      </w:r>
      <w:proofErr w:type="spellStart"/>
      <w:r w:rsidR="00925796" w:rsidRPr="00C372A3">
        <w:rPr>
          <w:rFonts w:ascii="Arial" w:hAnsi="Arial" w:cs="Arial"/>
          <w:sz w:val="22"/>
          <w:szCs w:val="22"/>
        </w:rPr>
        <w:t>nie</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Ofskoon</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dit</w:t>
      </w:r>
      <w:proofErr w:type="spellEnd"/>
      <w:r w:rsidR="00925796" w:rsidRPr="00C372A3">
        <w:rPr>
          <w:rFonts w:ascii="Arial" w:hAnsi="Arial" w:cs="Arial"/>
          <w:sz w:val="22"/>
          <w:szCs w:val="22"/>
        </w:rPr>
        <w:t xml:space="preserve"> die </w:t>
      </w:r>
      <w:proofErr w:type="spellStart"/>
      <w:r w:rsidR="00925796" w:rsidRPr="00C372A3">
        <w:rPr>
          <w:rFonts w:ascii="Arial" w:hAnsi="Arial" w:cs="Arial"/>
          <w:sz w:val="22"/>
          <w:szCs w:val="22"/>
        </w:rPr>
        <w:t>doel</w:t>
      </w:r>
      <w:proofErr w:type="spellEnd"/>
      <w:r w:rsidR="00925796" w:rsidRPr="00C372A3">
        <w:rPr>
          <w:rFonts w:ascii="Arial" w:hAnsi="Arial" w:cs="Arial"/>
          <w:sz w:val="22"/>
          <w:szCs w:val="22"/>
        </w:rPr>
        <w:t xml:space="preserve"> van die </w:t>
      </w:r>
      <w:proofErr w:type="spellStart"/>
      <w:r w:rsidR="00925796" w:rsidRPr="00C372A3">
        <w:rPr>
          <w:rFonts w:ascii="Arial" w:hAnsi="Arial" w:cs="Arial"/>
          <w:sz w:val="22"/>
          <w:szCs w:val="22"/>
        </w:rPr>
        <w:t>koopkontrak</w:t>
      </w:r>
      <w:proofErr w:type="spellEnd"/>
      <w:r w:rsidR="00925796" w:rsidRPr="00C372A3">
        <w:rPr>
          <w:rFonts w:ascii="Arial" w:hAnsi="Arial" w:cs="Arial"/>
          <w:sz w:val="22"/>
          <w:szCs w:val="22"/>
        </w:rPr>
        <w:t xml:space="preserve"> is </w:t>
      </w:r>
      <w:proofErr w:type="spellStart"/>
      <w:r w:rsidR="00925796" w:rsidRPr="00C372A3">
        <w:rPr>
          <w:rFonts w:ascii="Arial" w:hAnsi="Arial" w:cs="Arial"/>
          <w:sz w:val="22"/>
          <w:szCs w:val="22"/>
        </w:rPr>
        <w:t>dat</w:t>
      </w:r>
      <w:proofErr w:type="spellEnd"/>
      <w:r w:rsidR="00925796" w:rsidRPr="00C372A3">
        <w:rPr>
          <w:rFonts w:ascii="Arial" w:hAnsi="Arial" w:cs="Arial"/>
          <w:sz w:val="22"/>
          <w:szCs w:val="22"/>
        </w:rPr>
        <w:t xml:space="preserve"> die </w:t>
      </w:r>
      <w:proofErr w:type="spellStart"/>
      <w:r w:rsidR="00925796" w:rsidRPr="00C372A3">
        <w:rPr>
          <w:rFonts w:ascii="Arial" w:hAnsi="Arial" w:cs="Arial"/>
          <w:sz w:val="22"/>
          <w:szCs w:val="22"/>
        </w:rPr>
        <w:t>koper</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eienaar</w:t>
      </w:r>
      <w:proofErr w:type="spellEnd"/>
      <w:r w:rsidR="00925796" w:rsidRPr="00C372A3">
        <w:rPr>
          <w:rFonts w:ascii="Arial" w:hAnsi="Arial" w:cs="Arial"/>
          <w:sz w:val="22"/>
          <w:szCs w:val="22"/>
        </w:rPr>
        <w:t xml:space="preserve"> van die </w:t>
      </w:r>
      <w:proofErr w:type="spellStart"/>
      <w:r w:rsidR="00925796" w:rsidRPr="00C372A3">
        <w:rPr>
          <w:rFonts w:ascii="Arial" w:hAnsi="Arial" w:cs="Arial"/>
          <w:sz w:val="22"/>
          <w:szCs w:val="22"/>
        </w:rPr>
        <w:t>verkoopte</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saak</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moet</w:t>
      </w:r>
      <w:proofErr w:type="spellEnd"/>
      <w:r w:rsidR="00925796" w:rsidRPr="00C372A3">
        <w:rPr>
          <w:rFonts w:ascii="Arial" w:hAnsi="Arial" w:cs="Arial"/>
          <w:sz w:val="22"/>
          <w:szCs w:val="22"/>
        </w:rPr>
        <w:t xml:space="preserve"> word, is die </w:t>
      </w:r>
      <w:proofErr w:type="spellStart"/>
      <w:r w:rsidR="00925796" w:rsidRPr="00C372A3">
        <w:rPr>
          <w:rFonts w:ascii="Arial" w:hAnsi="Arial" w:cs="Arial"/>
          <w:sz w:val="22"/>
          <w:szCs w:val="22"/>
        </w:rPr>
        <w:t>verkoper</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egter</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nie</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verplig</w:t>
      </w:r>
      <w:proofErr w:type="spellEnd"/>
      <w:r w:rsidR="00925796" w:rsidRPr="00C372A3">
        <w:rPr>
          <w:rFonts w:ascii="Arial" w:hAnsi="Arial" w:cs="Arial"/>
          <w:sz w:val="22"/>
          <w:szCs w:val="22"/>
        </w:rPr>
        <w:t xml:space="preserve"> om die </w:t>
      </w:r>
      <w:proofErr w:type="spellStart"/>
      <w:r w:rsidR="00925796" w:rsidRPr="00C372A3">
        <w:rPr>
          <w:rFonts w:ascii="Arial" w:hAnsi="Arial" w:cs="Arial"/>
          <w:sz w:val="22"/>
          <w:szCs w:val="22"/>
        </w:rPr>
        <w:t>koper</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eienaar</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daarvan</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te</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maak</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nie</w:t>
      </w:r>
      <w:proofErr w:type="spellEnd"/>
      <w:r w:rsidR="00925796" w:rsidRPr="00C372A3">
        <w:rPr>
          <w:rFonts w:ascii="Arial" w:hAnsi="Arial" w:cs="Arial"/>
          <w:sz w:val="22"/>
          <w:szCs w:val="22"/>
        </w:rPr>
        <w:t xml:space="preserve">. Hy </w:t>
      </w:r>
      <w:proofErr w:type="spellStart"/>
      <w:r w:rsidR="00925796" w:rsidRPr="00C372A3">
        <w:rPr>
          <w:rFonts w:ascii="Arial" w:hAnsi="Arial" w:cs="Arial"/>
          <w:sz w:val="22"/>
          <w:szCs w:val="22"/>
        </w:rPr>
        <w:t>moet</w:t>
      </w:r>
      <w:proofErr w:type="spellEnd"/>
      <w:r w:rsidR="00925796" w:rsidRPr="00C372A3">
        <w:rPr>
          <w:rFonts w:ascii="Arial" w:hAnsi="Arial" w:cs="Arial"/>
          <w:sz w:val="22"/>
          <w:szCs w:val="22"/>
        </w:rPr>
        <w:t xml:space="preserve"> die </w:t>
      </w:r>
      <w:proofErr w:type="spellStart"/>
      <w:r w:rsidR="00925796" w:rsidRPr="00C372A3">
        <w:rPr>
          <w:rFonts w:ascii="Arial" w:hAnsi="Arial" w:cs="Arial"/>
          <w:sz w:val="22"/>
          <w:szCs w:val="22"/>
        </w:rPr>
        <w:t>koper</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slegs</w:t>
      </w:r>
      <w:proofErr w:type="spellEnd"/>
      <w:r w:rsidR="00925796" w:rsidRPr="00C372A3">
        <w:rPr>
          <w:rFonts w:ascii="Arial" w:hAnsi="Arial" w:cs="Arial"/>
          <w:sz w:val="22"/>
          <w:szCs w:val="22"/>
        </w:rPr>
        <w:t xml:space="preserve"> in </w:t>
      </w:r>
      <w:proofErr w:type="spellStart"/>
      <w:r w:rsidR="00925796" w:rsidRPr="00C372A3">
        <w:rPr>
          <w:rFonts w:ascii="Arial" w:hAnsi="Arial" w:cs="Arial"/>
          <w:sz w:val="22"/>
          <w:szCs w:val="22"/>
        </w:rPr>
        <w:t>besit</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stel</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en</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hom</w:t>
      </w:r>
      <w:proofErr w:type="spellEnd"/>
      <w:r w:rsidR="00925796" w:rsidRPr="00C372A3">
        <w:rPr>
          <w:rFonts w:ascii="Arial" w:hAnsi="Arial" w:cs="Arial"/>
          <w:sz w:val="22"/>
          <w:szCs w:val="22"/>
        </w:rPr>
        <w:t xml:space="preserve"> teen </w:t>
      </w:r>
      <w:proofErr w:type="spellStart"/>
      <w:r w:rsidR="00925796" w:rsidRPr="00C372A3">
        <w:rPr>
          <w:rFonts w:ascii="Arial" w:hAnsi="Arial" w:cs="Arial"/>
          <w:sz w:val="22"/>
          <w:szCs w:val="22"/>
        </w:rPr>
        <w:t>uitwinning</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vrywaar</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Dit</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beteken</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dat</w:t>
      </w:r>
      <w:proofErr w:type="spellEnd"/>
      <w:r w:rsidR="00925796" w:rsidRPr="00C372A3">
        <w:rPr>
          <w:rFonts w:ascii="Arial" w:hAnsi="Arial" w:cs="Arial"/>
          <w:sz w:val="22"/>
          <w:szCs w:val="22"/>
        </w:rPr>
        <w:t xml:space="preserve"> die </w:t>
      </w:r>
      <w:proofErr w:type="spellStart"/>
      <w:r w:rsidR="00925796" w:rsidRPr="00C372A3">
        <w:rPr>
          <w:rFonts w:ascii="Arial" w:hAnsi="Arial" w:cs="Arial"/>
          <w:sz w:val="22"/>
          <w:szCs w:val="22"/>
        </w:rPr>
        <w:t>verkoper</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daarvoor</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instaan</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dat</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niemand</w:t>
      </w:r>
      <w:proofErr w:type="spellEnd"/>
      <w:r w:rsidR="00925796" w:rsidRPr="00C372A3">
        <w:rPr>
          <w:rFonts w:ascii="Arial" w:hAnsi="Arial" w:cs="Arial"/>
          <w:sz w:val="22"/>
          <w:szCs w:val="22"/>
        </w:rPr>
        <w:t xml:space="preserve"> met ‘n </w:t>
      </w:r>
      <w:proofErr w:type="spellStart"/>
      <w:r w:rsidR="00925796" w:rsidRPr="00C372A3">
        <w:rPr>
          <w:rFonts w:ascii="Arial" w:hAnsi="Arial" w:cs="Arial"/>
          <w:sz w:val="22"/>
          <w:szCs w:val="22"/>
        </w:rPr>
        <w:t>beter</w:t>
      </w:r>
      <w:proofErr w:type="spellEnd"/>
      <w:r w:rsidR="00925796" w:rsidRPr="00C372A3">
        <w:rPr>
          <w:rFonts w:ascii="Arial" w:hAnsi="Arial" w:cs="Arial"/>
          <w:sz w:val="22"/>
          <w:szCs w:val="22"/>
        </w:rPr>
        <w:t xml:space="preserve"> reg </w:t>
      </w:r>
      <w:proofErr w:type="spellStart"/>
      <w:r w:rsidR="00925796" w:rsidRPr="00C372A3">
        <w:rPr>
          <w:rFonts w:ascii="Arial" w:hAnsi="Arial" w:cs="Arial"/>
          <w:sz w:val="22"/>
          <w:szCs w:val="22"/>
        </w:rPr>
        <w:t>daartoe</w:t>
      </w:r>
      <w:proofErr w:type="spellEnd"/>
      <w:r w:rsidR="00925796" w:rsidRPr="00C372A3">
        <w:rPr>
          <w:rFonts w:ascii="Arial" w:hAnsi="Arial" w:cs="Arial"/>
          <w:sz w:val="22"/>
          <w:szCs w:val="22"/>
        </w:rPr>
        <w:t xml:space="preserve"> die </w:t>
      </w:r>
      <w:proofErr w:type="spellStart"/>
      <w:r w:rsidR="00925796" w:rsidRPr="00C372A3">
        <w:rPr>
          <w:rFonts w:ascii="Arial" w:hAnsi="Arial" w:cs="Arial"/>
          <w:sz w:val="22"/>
          <w:szCs w:val="22"/>
        </w:rPr>
        <w:t>koper</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wettiglik</w:t>
      </w:r>
      <w:proofErr w:type="spellEnd"/>
      <w:r w:rsidR="00925796" w:rsidRPr="00C372A3">
        <w:rPr>
          <w:rFonts w:ascii="Arial" w:hAnsi="Arial" w:cs="Arial"/>
          <w:sz w:val="22"/>
          <w:szCs w:val="22"/>
        </w:rPr>
        <w:t xml:space="preserve"> van die </w:t>
      </w:r>
      <w:proofErr w:type="spellStart"/>
      <w:r w:rsidR="00925796" w:rsidRPr="00C372A3">
        <w:rPr>
          <w:rFonts w:ascii="Arial" w:hAnsi="Arial" w:cs="Arial"/>
          <w:sz w:val="22"/>
          <w:szCs w:val="22"/>
        </w:rPr>
        <w:t>verkoopte</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saak</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sal</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ontneem</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nie</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en</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dat</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hy</w:t>
      </w:r>
      <w:proofErr w:type="spellEnd"/>
      <w:r w:rsidR="00925796" w:rsidRPr="00C372A3">
        <w:rPr>
          <w:rFonts w:ascii="Arial" w:hAnsi="Arial" w:cs="Arial"/>
          <w:sz w:val="22"/>
          <w:szCs w:val="22"/>
        </w:rPr>
        <w:t xml:space="preserve">, die </w:t>
      </w:r>
      <w:proofErr w:type="spellStart"/>
      <w:r w:rsidR="00925796" w:rsidRPr="00C372A3">
        <w:rPr>
          <w:rFonts w:ascii="Arial" w:hAnsi="Arial" w:cs="Arial"/>
          <w:sz w:val="22"/>
          <w:szCs w:val="22"/>
        </w:rPr>
        <w:t>verkoper</w:t>
      </w:r>
      <w:proofErr w:type="spellEnd"/>
      <w:r w:rsidR="00925796" w:rsidRPr="00C372A3">
        <w:rPr>
          <w:rFonts w:ascii="Arial" w:hAnsi="Arial" w:cs="Arial"/>
          <w:sz w:val="22"/>
          <w:szCs w:val="22"/>
        </w:rPr>
        <w:t xml:space="preserve"> in </w:t>
      </w:r>
      <w:proofErr w:type="spellStart"/>
      <w:r w:rsidR="00925796" w:rsidRPr="00C372A3">
        <w:rPr>
          <w:rFonts w:ascii="Arial" w:hAnsi="Arial" w:cs="Arial"/>
          <w:sz w:val="22"/>
          <w:szCs w:val="22"/>
        </w:rPr>
        <w:t>sy</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besit</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sal</w:t>
      </w:r>
      <w:proofErr w:type="spellEnd"/>
      <w:r w:rsidR="00925796" w:rsidRPr="00C372A3">
        <w:rPr>
          <w:rFonts w:ascii="Arial" w:hAnsi="Arial" w:cs="Arial"/>
          <w:sz w:val="22"/>
          <w:szCs w:val="22"/>
        </w:rPr>
        <w:t xml:space="preserve"> </w:t>
      </w:r>
      <w:proofErr w:type="spellStart"/>
      <w:r w:rsidR="00925796" w:rsidRPr="00C372A3">
        <w:rPr>
          <w:rFonts w:ascii="Arial" w:hAnsi="Arial" w:cs="Arial"/>
          <w:sz w:val="22"/>
          <w:szCs w:val="22"/>
        </w:rPr>
        <w:t>beskerm</w:t>
      </w:r>
      <w:proofErr w:type="spellEnd"/>
      <w:r w:rsidR="004241A0" w:rsidRPr="00C372A3">
        <w:rPr>
          <w:rStyle w:val="FootnoteReference"/>
          <w:rFonts w:ascii="Arial" w:hAnsi="Arial" w:cs="Arial"/>
          <w:sz w:val="22"/>
          <w:szCs w:val="22"/>
        </w:rPr>
        <w:footnoteReference w:id="1"/>
      </w:r>
      <w:r w:rsidR="00925796" w:rsidRPr="00C372A3">
        <w:rPr>
          <w:rFonts w:ascii="Arial" w:hAnsi="Arial" w:cs="Arial"/>
          <w:sz w:val="22"/>
          <w:szCs w:val="22"/>
        </w:rPr>
        <w:t>.</w:t>
      </w:r>
    </w:p>
    <w:p w14:paraId="04647BE3" w14:textId="0C18D223" w:rsidR="00925796" w:rsidRDefault="00925796" w:rsidP="00161910">
      <w:pPr>
        <w:spacing w:line="360" w:lineRule="auto"/>
        <w:jc w:val="both"/>
        <w:rPr>
          <w:rFonts w:ascii="Arial" w:hAnsi="Arial" w:cs="Arial"/>
        </w:rPr>
      </w:pPr>
      <w:r>
        <w:rPr>
          <w:rFonts w:ascii="Arial" w:hAnsi="Arial" w:cs="Arial"/>
        </w:rPr>
        <w:lastRenderedPageBreak/>
        <w:t xml:space="preserve">G R </w:t>
      </w:r>
      <w:proofErr w:type="spellStart"/>
      <w:r>
        <w:rPr>
          <w:rFonts w:ascii="Arial" w:hAnsi="Arial" w:cs="Arial"/>
        </w:rPr>
        <w:t>Hackwill</w:t>
      </w:r>
      <w:proofErr w:type="spellEnd"/>
      <w:r>
        <w:rPr>
          <w:rFonts w:ascii="Arial" w:hAnsi="Arial" w:cs="Arial"/>
        </w:rPr>
        <w:t xml:space="preserve">, </w:t>
      </w:r>
      <w:proofErr w:type="spellStart"/>
      <w:r w:rsidRPr="00C81C6C">
        <w:rPr>
          <w:rFonts w:ascii="Arial" w:hAnsi="Arial" w:cs="Arial"/>
          <w:i/>
        </w:rPr>
        <w:t>Mackeurtan’s</w:t>
      </w:r>
      <w:proofErr w:type="spellEnd"/>
      <w:r w:rsidRPr="00C81C6C">
        <w:rPr>
          <w:rFonts w:ascii="Arial" w:hAnsi="Arial" w:cs="Arial"/>
          <w:i/>
        </w:rPr>
        <w:t xml:space="preserve"> Sale of Goods in South Africa</w:t>
      </w:r>
      <w:r>
        <w:rPr>
          <w:rFonts w:ascii="Arial" w:hAnsi="Arial" w:cs="Arial"/>
        </w:rPr>
        <w:t>, 5</w:t>
      </w:r>
      <w:r w:rsidRPr="00925796">
        <w:rPr>
          <w:rFonts w:ascii="Arial" w:hAnsi="Arial" w:cs="Arial"/>
          <w:vertAlign w:val="superscript"/>
        </w:rPr>
        <w:t>th</w:t>
      </w:r>
      <w:r>
        <w:rPr>
          <w:rFonts w:ascii="Arial" w:hAnsi="Arial" w:cs="Arial"/>
        </w:rPr>
        <w:t xml:space="preserve"> ed</w:t>
      </w:r>
      <w:r w:rsidR="008A436E">
        <w:rPr>
          <w:rFonts w:ascii="Arial" w:hAnsi="Arial" w:cs="Arial"/>
        </w:rPr>
        <w:t>.</w:t>
      </w:r>
      <w:r>
        <w:rPr>
          <w:rFonts w:ascii="Arial" w:hAnsi="Arial" w:cs="Arial"/>
        </w:rPr>
        <w:t xml:space="preserve"> states:</w:t>
      </w:r>
    </w:p>
    <w:p w14:paraId="1FB0DABB" w14:textId="4D107240" w:rsidR="00925796" w:rsidRPr="00631CE4" w:rsidRDefault="00925796" w:rsidP="00161910">
      <w:pPr>
        <w:spacing w:line="360" w:lineRule="auto"/>
        <w:jc w:val="both"/>
        <w:rPr>
          <w:rFonts w:ascii="Arial" w:hAnsi="Arial" w:cs="Arial"/>
          <w:sz w:val="22"/>
          <w:szCs w:val="22"/>
        </w:rPr>
      </w:pPr>
      <w:r>
        <w:rPr>
          <w:rFonts w:ascii="Arial" w:hAnsi="Arial" w:cs="Arial"/>
        </w:rPr>
        <w:t>‘</w:t>
      </w:r>
      <w:r w:rsidRPr="00631CE4">
        <w:rPr>
          <w:rFonts w:ascii="Arial" w:hAnsi="Arial" w:cs="Arial"/>
          <w:sz w:val="22"/>
          <w:szCs w:val="22"/>
        </w:rPr>
        <w:t>’ As has been indicated elsewhere, although the parties to a contract of sale usually contemplate a transfer of ownership in the thing sold, this is not essential feature of the contract, and sales by non-owners are quite permissible’’ (p 23 para 3.1.1,)</w:t>
      </w:r>
    </w:p>
    <w:p w14:paraId="0AFBD0D4" w14:textId="3EBDF123" w:rsidR="00925796" w:rsidRPr="00631CE4" w:rsidRDefault="00925796" w:rsidP="00161910">
      <w:pPr>
        <w:spacing w:line="360" w:lineRule="auto"/>
        <w:jc w:val="both"/>
        <w:rPr>
          <w:rFonts w:ascii="Arial" w:hAnsi="Arial" w:cs="Arial"/>
          <w:sz w:val="22"/>
          <w:szCs w:val="22"/>
        </w:rPr>
      </w:pPr>
      <w:r w:rsidRPr="00631CE4">
        <w:rPr>
          <w:rFonts w:ascii="Arial" w:hAnsi="Arial" w:cs="Arial"/>
          <w:sz w:val="22"/>
          <w:szCs w:val="22"/>
        </w:rPr>
        <w:t>‘’ The delivery required of a seller is the delivery of undisturbed pos</w:t>
      </w:r>
      <w:r w:rsidR="004241A0" w:rsidRPr="00631CE4">
        <w:rPr>
          <w:rFonts w:ascii="Arial" w:hAnsi="Arial" w:cs="Arial"/>
          <w:sz w:val="22"/>
          <w:szCs w:val="22"/>
        </w:rPr>
        <w:t>session (</w:t>
      </w:r>
      <w:proofErr w:type="spellStart"/>
      <w:r w:rsidRPr="00631CE4">
        <w:rPr>
          <w:rFonts w:ascii="Arial" w:hAnsi="Arial" w:cs="Arial"/>
          <w:i/>
          <w:sz w:val="22"/>
          <w:szCs w:val="22"/>
        </w:rPr>
        <w:t>vacua</w:t>
      </w:r>
      <w:proofErr w:type="spellEnd"/>
      <w:r w:rsidRPr="00631CE4">
        <w:rPr>
          <w:rFonts w:ascii="Arial" w:hAnsi="Arial" w:cs="Arial"/>
          <w:i/>
          <w:sz w:val="22"/>
          <w:szCs w:val="22"/>
        </w:rPr>
        <w:t xml:space="preserve"> </w:t>
      </w:r>
      <w:proofErr w:type="spellStart"/>
      <w:r w:rsidR="004241A0" w:rsidRPr="00631CE4">
        <w:rPr>
          <w:rFonts w:ascii="Arial" w:hAnsi="Arial" w:cs="Arial"/>
          <w:i/>
          <w:sz w:val="22"/>
          <w:szCs w:val="22"/>
        </w:rPr>
        <w:t>possessio</w:t>
      </w:r>
      <w:proofErr w:type="spellEnd"/>
      <w:r w:rsidRPr="00631CE4">
        <w:rPr>
          <w:rFonts w:ascii="Arial" w:hAnsi="Arial" w:cs="Arial"/>
          <w:sz w:val="22"/>
          <w:szCs w:val="22"/>
        </w:rPr>
        <w:t xml:space="preserve">) coupled with the guarantee against eviction. It is not necessary that the seller should </w:t>
      </w:r>
      <w:r w:rsidR="004241A0" w:rsidRPr="00631CE4">
        <w:rPr>
          <w:rFonts w:ascii="Arial" w:hAnsi="Arial" w:cs="Arial"/>
          <w:sz w:val="22"/>
          <w:szCs w:val="22"/>
        </w:rPr>
        <w:t xml:space="preserve">pass the ownership, for the implied engagement of the seller is a warranty against eviction and not warranty of title, but he must divest himself of all his proprietary rights in the thing sold in favour of the purchaser. (P 66 para 6.2). </w:t>
      </w:r>
    </w:p>
    <w:p w14:paraId="13690C7A" w14:textId="6B546147" w:rsidR="004241A0" w:rsidRPr="00CC121C" w:rsidRDefault="004241A0" w:rsidP="00161910">
      <w:pPr>
        <w:spacing w:line="360" w:lineRule="auto"/>
        <w:jc w:val="both"/>
        <w:rPr>
          <w:rFonts w:ascii="Arial" w:hAnsi="Arial" w:cs="Arial"/>
          <w:b/>
          <w:bCs/>
          <w:sz w:val="22"/>
          <w:szCs w:val="22"/>
        </w:rPr>
      </w:pPr>
      <w:r w:rsidRPr="00631CE4">
        <w:rPr>
          <w:rFonts w:ascii="Arial" w:hAnsi="Arial" w:cs="Arial"/>
          <w:sz w:val="22"/>
          <w:szCs w:val="22"/>
        </w:rPr>
        <w:t>(See also De Wet &amp; Van Wyk</w:t>
      </w:r>
      <w:r w:rsidRPr="00631CE4">
        <w:rPr>
          <w:rFonts w:ascii="Arial" w:hAnsi="Arial" w:cs="Arial"/>
          <w:i/>
          <w:sz w:val="22"/>
          <w:szCs w:val="22"/>
        </w:rPr>
        <w:t xml:space="preserve">, </w:t>
      </w:r>
      <w:proofErr w:type="spellStart"/>
      <w:r w:rsidRPr="00631CE4">
        <w:rPr>
          <w:rFonts w:ascii="Arial" w:hAnsi="Arial" w:cs="Arial"/>
          <w:i/>
          <w:sz w:val="22"/>
          <w:szCs w:val="22"/>
        </w:rPr>
        <w:t>Kontrakreg</w:t>
      </w:r>
      <w:proofErr w:type="spellEnd"/>
      <w:r w:rsidRPr="00631CE4">
        <w:rPr>
          <w:rFonts w:ascii="Arial" w:hAnsi="Arial" w:cs="Arial"/>
          <w:i/>
          <w:sz w:val="22"/>
          <w:szCs w:val="22"/>
        </w:rPr>
        <w:t xml:space="preserve"> </w:t>
      </w:r>
      <w:proofErr w:type="spellStart"/>
      <w:r w:rsidRPr="00631CE4">
        <w:rPr>
          <w:rFonts w:ascii="Arial" w:hAnsi="Arial" w:cs="Arial"/>
          <w:i/>
          <w:sz w:val="22"/>
          <w:szCs w:val="22"/>
        </w:rPr>
        <w:t>en</w:t>
      </w:r>
      <w:proofErr w:type="spellEnd"/>
      <w:r w:rsidRPr="00631CE4">
        <w:rPr>
          <w:rFonts w:ascii="Arial" w:hAnsi="Arial" w:cs="Arial"/>
          <w:i/>
          <w:sz w:val="22"/>
          <w:szCs w:val="22"/>
        </w:rPr>
        <w:t xml:space="preserve"> </w:t>
      </w:r>
      <w:proofErr w:type="spellStart"/>
      <w:r w:rsidRPr="00631CE4">
        <w:rPr>
          <w:rFonts w:ascii="Arial" w:hAnsi="Arial" w:cs="Arial"/>
          <w:i/>
          <w:sz w:val="22"/>
          <w:szCs w:val="22"/>
        </w:rPr>
        <w:t>Handelsreg</w:t>
      </w:r>
      <w:proofErr w:type="spellEnd"/>
      <w:r w:rsidRPr="00631CE4">
        <w:rPr>
          <w:rFonts w:ascii="Arial" w:hAnsi="Arial" w:cs="Arial"/>
          <w:sz w:val="22"/>
          <w:szCs w:val="22"/>
        </w:rPr>
        <w:t xml:space="preserve"> 5</w:t>
      </w:r>
      <w:r w:rsidRPr="00631CE4">
        <w:rPr>
          <w:rFonts w:ascii="Arial" w:hAnsi="Arial" w:cs="Arial"/>
          <w:sz w:val="22"/>
          <w:szCs w:val="22"/>
          <w:vertAlign w:val="superscript"/>
        </w:rPr>
        <w:t>th</w:t>
      </w:r>
      <w:r w:rsidRPr="00631CE4">
        <w:rPr>
          <w:rFonts w:ascii="Arial" w:hAnsi="Arial" w:cs="Arial"/>
          <w:sz w:val="22"/>
          <w:szCs w:val="22"/>
        </w:rPr>
        <w:t xml:space="preserve"> ed. Vol. 1 page 329)</w:t>
      </w:r>
      <w:r w:rsidRPr="00CC121C">
        <w:rPr>
          <w:rFonts w:ascii="Arial" w:hAnsi="Arial" w:cs="Arial"/>
          <w:b/>
          <w:bCs/>
          <w:sz w:val="22"/>
          <w:szCs w:val="22"/>
        </w:rPr>
        <w:t>’.</w:t>
      </w:r>
    </w:p>
    <w:p w14:paraId="12E0B8B6" w14:textId="2FC5514A" w:rsidR="00C81C6C" w:rsidRDefault="00C81C6C" w:rsidP="00161910">
      <w:pPr>
        <w:spacing w:line="360" w:lineRule="auto"/>
        <w:jc w:val="both"/>
        <w:rPr>
          <w:rFonts w:ascii="Arial" w:hAnsi="Arial" w:cs="Arial"/>
        </w:rPr>
      </w:pPr>
      <w:r w:rsidRPr="0067643F">
        <w:rPr>
          <w:rFonts w:ascii="Arial" w:hAnsi="Arial" w:cs="Arial"/>
        </w:rPr>
        <w:t xml:space="preserve">The case </w:t>
      </w:r>
      <w:r w:rsidR="00DE6E85" w:rsidRPr="0067643F">
        <w:rPr>
          <w:rFonts w:ascii="Arial" w:hAnsi="Arial" w:cs="Arial"/>
        </w:rPr>
        <w:t xml:space="preserve">of </w:t>
      </w:r>
      <w:r w:rsidR="00DE6E85" w:rsidRPr="0067643F">
        <w:rPr>
          <w:rFonts w:ascii="Arial" w:hAnsi="Arial" w:cs="Arial"/>
          <w:i/>
          <w:iCs/>
        </w:rPr>
        <w:t>ALPHA TRUST</w:t>
      </w:r>
      <w:r w:rsidR="00DE6E85" w:rsidRPr="0067643F">
        <w:rPr>
          <w:rFonts w:ascii="Arial" w:hAnsi="Arial" w:cs="Arial"/>
        </w:rPr>
        <w:t xml:space="preserve"> supra </w:t>
      </w:r>
      <w:r w:rsidRPr="0067643F">
        <w:rPr>
          <w:rFonts w:ascii="Arial" w:hAnsi="Arial" w:cs="Arial"/>
        </w:rPr>
        <w:t xml:space="preserve">was </w:t>
      </w:r>
      <w:r w:rsidR="005353CE">
        <w:rPr>
          <w:rFonts w:ascii="Arial" w:hAnsi="Arial" w:cs="Arial"/>
        </w:rPr>
        <w:t>followed and applied</w:t>
      </w:r>
      <w:r w:rsidRPr="0067643F">
        <w:rPr>
          <w:rFonts w:ascii="Arial" w:hAnsi="Arial" w:cs="Arial"/>
        </w:rPr>
        <w:t xml:space="preserve"> in </w:t>
      </w:r>
      <w:r w:rsidRPr="0067643F">
        <w:rPr>
          <w:rFonts w:ascii="Arial" w:hAnsi="Arial" w:cs="Arial"/>
          <w:i/>
        </w:rPr>
        <w:t>VAN WYK V THE MEC: DEPARTMENT OF LOCAL GOVERNMENT AND HOUSING OF GAUTENG PROVINCIAL G</w:t>
      </w:r>
      <w:r w:rsidR="0067643F" w:rsidRPr="0067643F">
        <w:rPr>
          <w:rFonts w:ascii="Arial" w:hAnsi="Arial" w:cs="Arial"/>
          <w:i/>
        </w:rPr>
        <w:t>OVERNMENT</w:t>
      </w:r>
      <w:r w:rsidR="0067643F">
        <w:rPr>
          <w:rFonts w:ascii="Arial" w:hAnsi="Arial" w:cs="Arial"/>
          <w:b/>
          <w:bCs/>
        </w:rPr>
        <w:t xml:space="preserve"> </w:t>
      </w:r>
      <w:r>
        <w:rPr>
          <w:rFonts w:ascii="Arial" w:hAnsi="Arial" w:cs="Arial"/>
        </w:rPr>
        <w:t xml:space="preserve">(1026/2018) [2019] ZASCA 149 (21 November 2019) at para 9. </w:t>
      </w:r>
    </w:p>
    <w:p w14:paraId="3FCC454C" w14:textId="77777777" w:rsidR="00700EB6" w:rsidRDefault="00700EB6" w:rsidP="00161910">
      <w:pPr>
        <w:spacing w:line="360" w:lineRule="auto"/>
        <w:jc w:val="both"/>
        <w:rPr>
          <w:rFonts w:ascii="Arial" w:hAnsi="Arial" w:cs="Arial"/>
        </w:rPr>
      </w:pPr>
    </w:p>
    <w:p w14:paraId="6A31485C" w14:textId="2808EE55" w:rsidR="00DE6E85" w:rsidRPr="00603B97" w:rsidRDefault="00DE6E85" w:rsidP="00161910">
      <w:pPr>
        <w:spacing w:line="360" w:lineRule="auto"/>
        <w:jc w:val="both"/>
        <w:rPr>
          <w:rFonts w:ascii="Arial" w:hAnsi="Arial" w:cs="Arial"/>
          <w:b/>
          <w:bCs/>
        </w:rPr>
      </w:pPr>
      <w:r w:rsidRPr="00603B97">
        <w:rPr>
          <w:rFonts w:ascii="Arial" w:hAnsi="Arial" w:cs="Arial"/>
          <w:b/>
          <w:bCs/>
        </w:rPr>
        <w:t xml:space="preserve">Findings </w:t>
      </w:r>
    </w:p>
    <w:p w14:paraId="2FDF11A0" w14:textId="7EC5918D" w:rsidR="006F1C20" w:rsidRDefault="00925796" w:rsidP="00161910">
      <w:pPr>
        <w:spacing w:line="360" w:lineRule="auto"/>
        <w:jc w:val="both"/>
        <w:rPr>
          <w:rFonts w:ascii="Arial" w:hAnsi="Arial" w:cs="Arial"/>
        </w:rPr>
      </w:pPr>
      <w:r>
        <w:rPr>
          <w:rFonts w:ascii="Arial" w:hAnsi="Arial" w:cs="Arial"/>
        </w:rPr>
        <w:t xml:space="preserve"> </w:t>
      </w:r>
      <w:r w:rsidR="00114FC2">
        <w:rPr>
          <w:rFonts w:ascii="Arial" w:hAnsi="Arial" w:cs="Arial"/>
        </w:rPr>
        <w:t>[3</w:t>
      </w:r>
      <w:r w:rsidR="000A1BB3">
        <w:rPr>
          <w:rFonts w:ascii="Arial" w:hAnsi="Arial" w:cs="Arial"/>
        </w:rPr>
        <w:t>5</w:t>
      </w:r>
      <w:r w:rsidR="00114FC2">
        <w:rPr>
          <w:rFonts w:ascii="Arial" w:hAnsi="Arial" w:cs="Arial"/>
        </w:rPr>
        <w:t>] The basis of the</w:t>
      </w:r>
      <w:r w:rsidR="00BF3BD4">
        <w:rPr>
          <w:rFonts w:ascii="Arial" w:hAnsi="Arial" w:cs="Arial"/>
        </w:rPr>
        <w:t xml:space="preserve"> application for winding-up is the alleged inde</w:t>
      </w:r>
      <w:r w:rsidR="0011456A">
        <w:rPr>
          <w:rFonts w:ascii="Arial" w:hAnsi="Arial" w:cs="Arial"/>
        </w:rPr>
        <w:t>btedness of the respondent</w:t>
      </w:r>
      <w:r w:rsidR="00D221BE">
        <w:rPr>
          <w:rFonts w:ascii="Arial" w:hAnsi="Arial" w:cs="Arial"/>
        </w:rPr>
        <w:t xml:space="preserve"> </w:t>
      </w:r>
      <w:r w:rsidR="00D221BE" w:rsidRPr="00717342">
        <w:rPr>
          <w:rFonts w:ascii="Arial" w:hAnsi="Arial" w:cs="Arial"/>
        </w:rPr>
        <w:t>to the applicant</w:t>
      </w:r>
      <w:r w:rsidR="0011456A">
        <w:rPr>
          <w:rFonts w:ascii="Arial" w:hAnsi="Arial" w:cs="Arial"/>
        </w:rPr>
        <w:t xml:space="preserve">. The applicant </w:t>
      </w:r>
      <w:r w:rsidR="00F23C12">
        <w:rPr>
          <w:rFonts w:ascii="Arial" w:hAnsi="Arial" w:cs="Arial"/>
        </w:rPr>
        <w:t xml:space="preserve">submits that it has become a creditor of the </w:t>
      </w:r>
      <w:r w:rsidR="006B2BF8">
        <w:rPr>
          <w:rFonts w:ascii="Arial" w:hAnsi="Arial" w:cs="Arial"/>
        </w:rPr>
        <w:t xml:space="preserve">respondent </w:t>
      </w:r>
      <w:r w:rsidR="00D221BE" w:rsidRPr="00F747D0">
        <w:rPr>
          <w:rFonts w:ascii="Arial" w:hAnsi="Arial" w:cs="Arial"/>
        </w:rPr>
        <w:t xml:space="preserve">following the purported </w:t>
      </w:r>
      <w:r w:rsidR="006B2BF8" w:rsidRPr="00F747D0">
        <w:rPr>
          <w:rFonts w:ascii="Arial" w:hAnsi="Arial" w:cs="Arial"/>
        </w:rPr>
        <w:t>cancell</w:t>
      </w:r>
      <w:r w:rsidR="00D221BE" w:rsidRPr="00F747D0">
        <w:rPr>
          <w:rFonts w:ascii="Arial" w:hAnsi="Arial" w:cs="Arial"/>
        </w:rPr>
        <w:t>ation</w:t>
      </w:r>
      <w:r w:rsidR="006B2BF8" w:rsidRPr="00F747D0">
        <w:rPr>
          <w:rFonts w:ascii="Arial" w:hAnsi="Arial" w:cs="Arial"/>
        </w:rPr>
        <w:t xml:space="preserve"> of the sale agreement. The</w:t>
      </w:r>
      <w:r w:rsidR="00D221BE" w:rsidRPr="00F747D0">
        <w:rPr>
          <w:rFonts w:ascii="Arial" w:hAnsi="Arial" w:cs="Arial"/>
        </w:rPr>
        <w:t xml:space="preserve"> stated</w:t>
      </w:r>
      <w:r w:rsidR="00F747D0">
        <w:rPr>
          <w:rFonts w:ascii="Arial" w:hAnsi="Arial" w:cs="Arial"/>
        </w:rPr>
        <w:t xml:space="preserve"> </w:t>
      </w:r>
      <w:r w:rsidR="00D221BE" w:rsidRPr="00F747D0">
        <w:rPr>
          <w:rFonts w:ascii="Arial" w:hAnsi="Arial" w:cs="Arial"/>
        </w:rPr>
        <w:t>ground</w:t>
      </w:r>
      <w:r w:rsidR="00D221BE" w:rsidRPr="00D221BE">
        <w:rPr>
          <w:rFonts w:ascii="Arial" w:hAnsi="Arial" w:cs="Arial"/>
          <w:color w:val="00B050"/>
        </w:rPr>
        <w:t xml:space="preserve"> </w:t>
      </w:r>
      <w:r w:rsidR="00D221BE">
        <w:rPr>
          <w:rFonts w:ascii="Arial" w:hAnsi="Arial" w:cs="Arial"/>
        </w:rPr>
        <w:t xml:space="preserve">for </w:t>
      </w:r>
      <w:r w:rsidR="006B2BF8">
        <w:rPr>
          <w:rFonts w:ascii="Arial" w:hAnsi="Arial" w:cs="Arial"/>
        </w:rPr>
        <w:t xml:space="preserve">such </w:t>
      </w:r>
      <w:r w:rsidR="00E83828">
        <w:rPr>
          <w:rFonts w:ascii="Arial" w:hAnsi="Arial" w:cs="Arial"/>
        </w:rPr>
        <w:t xml:space="preserve">cancellation is that the respondent is unable to transfer the </w:t>
      </w:r>
      <w:r w:rsidR="00972FC1">
        <w:rPr>
          <w:rFonts w:ascii="Arial" w:hAnsi="Arial" w:cs="Arial"/>
        </w:rPr>
        <w:t>unit into its name, despite</w:t>
      </w:r>
      <w:r w:rsidR="00D221BE">
        <w:rPr>
          <w:rFonts w:ascii="Arial" w:hAnsi="Arial" w:cs="Arial"/>
        </w:rPr>
        <w:t xml:space="preserve"> </w:t>
      </w:r>
      <w:r w:rsidR="00D221BE" w:rsidRPr="00F747D0">
        <w:rPr>
          <w:rFonts w:ascii="Arial" w:hAnsi="Arial" w:cs="Arial"/>
        </w:rPr>
        <w:t>the purchase price having</w:t>
      </w:r>
      <w:r w:rsidR="00972FC1" w:rsidRPr="00F747D0">
        <w:rPr>
          <w:rFonts w:ascii="Arial" w:hAnsi="Arial" w:cs="Arial"/>
        </w:rPr>
        <w:t xml:space="preserve"> </w:t>
      </w:r>
      <w:r w:rsidR="00972FC1">
        <w:rPr>
          <w:rFonts w:ascii="Arial" w:hAnsi="Arial" w:cs="Arial"/>
        </w:rPr>
        <w:t>paid</w:t>
      </w:r>
      <w:r w:rsidR="00B4340A">
        <w:rPr>
          <w:rFonts w:ascii="Arial" w:hAnsi="Arial" w:cs="Arial"/>
        </w:rPr>
        <w:t xml:space="preserve"> some </w:t>
      </w:r>
      <w:r w:rsidR="00E22890">
        <w:rPr>
          <w:rFonts w:ascii="Arial" w:hAnsi="Arial" w:cs="Arial"/>
        </w:rPr>
        <w:t>ten years ago.</w:t>
      </w:r>
    </w:p>
    <w:p w14:paraId="33DE388A" w14:textId="2AE8B781" w:rsidR="00A528DF" w:rsidRDefault="009A5476" w:rsidP="00161910">
      <w:pPr>
        <w:spacing w:line="360" w:lineRule="auto"/>
        <w:jc w:val="both"/>
        <w:rPr>
          <w:rFonts w:ascii="Arial" w:hAnsi="Arial" w:cs="Arial"/>
        </w:rPr>
      </w:pPr>
      <w:r>
        <w:rPr>
          <w:rFonts w:ascii="Arial" w:hAnsi="Arial" w:cs="Arial"/>
        </w:rPr>
        <w:t>[3</w:t>
      </w:r>
      <w:r w:rsidR="00680458">
        <w:rPr>
          <w:rFonts w:ascii="Arial" w:hAnsi="Arial" w:cs="Arial"/>
        </w:rPr>
        <w:t>6</w:t>
      </w:r>
      <w:r>
        <w:rPr>
          <w:rFonts w:ascii="Arial" w:hAnsi="Arial" w:cs="Arial"/>
        </w:rPr>
        <w:t>] This</w:t>
      </w:r>
      <w:r w:rsidR="00972FC1">
        <w:rPr>
          <w:rFonts w:ascii="Arial" w:hAnsi="Arial" w:cs="Arial"/>
        </w:rPr>
        <w:t xml:space="preserve"> point cannot be sustained </w:t>
      </w:r>
      <w:r w:rsidR="00CB3805">
        <w:rPr>
          <w:rFonts w:ascii="Arial" w:hAnsi="Arial" w:cs="Arial"/>
        </w:rPr>
        <w:t>based on legal principles regarding sale of goods</w:t>
      </w:r>
      <w:r w:rsidR="00E22890">
        <w:rPr>
          <w:rFonts w:ascii="Arial" w:hAnsi="Arial" w:cs="Arial"/>
        </w:rPr>
        <w:t xml:space="preserve"> </w:t>
      </w:r>
      <w:r w:rsidR="00D221BE" w:rsidRPr="001F1B67">
        <w:rPr>
          <w:rFonts w:ascii="Arial" w:hAnsi="Arial" w:cs="Arial"/>
        </w:rPr>
        <w:t xml:space="preserve">as enunciated in </w:t>
      </w:r>
      <w:r w:rsidR="000262B1" w:rsidRPr="00B97FE8">
        <w:rPr>
          <w:rFonts w:ascii="Arial" w:hAnsi="Arial" w:cs="Arial"/>
          <w:i/>
          <w:iCs/>
        </w:rPr>
        <w:t>ALPHA TRUST</w:t>
      </w:r>
      <w:r w:rsidR="000262B1">
        <w:rPr>
          <w:rFonts w:ascii="Arial" w:hAnsi="Arial" w:cs="Arial"/>
        </w:rPr>
        <w:t xml:space="preserve"> supra. </w:t>
      </w:r>
      <w:r w:rsidR="00D221BE">
        <w:rPr>
          <w:rFonts w:ascii="Arial" w:hAnsi="Arial" w:cs="Arial"/>
        </w:rPr>
        <w:t xml:space="preserve">On the strength of </w:t>
      </w:r>
      <w:r w:rsidR="0054086E">
        <w:rPr>
          <w:rFonts w:ascii="Arial" w:hAnsi="Arial" w:cs="Arial"/>
        </w:rPr>
        <w:t xml:space="preserve">the </w:t>
      </w:r>
      <w:r w:rsidR="00D221BE">
        <w:rPr>
          <w:rFonts w:ascii="Arial" w:hAnsi="Arial" w:cs="Arial"/>
        </w:rPr>
        <w:t xml:space="preserve">authorities quoted in this judgment, the point </w:t>
      </w:r>
      <w:r w:rsidR="00E27FB3">
        <w:rPr>
          <w:rFonts w:ascii="Arial" w:hAnsi="Arial" w:cs="Arial"/>
        </w:rPr>
        <w:t>has been</w:t>
      </w:r>
      <w:r w:rsidR="00CB3805">
        <w:rPr>
          <w:rFonts w:ascii="Arial" w:hAnsi="Arial" w:cs="Arial"/>
        </w:rPr>
        <w:t xml:space="preserve"> s</w:t>
      </w:r>
      <w:r w:rsidR="00E95640">
        <w:rPr>
          <w:rFonts w:ascii="Arial" w:hAnsi="Arial" w:cs="Arial"/>
        </w:rPr>
        <w:t>ufficiently</w:t>
      </w:r>
      <w:r w:rsidR="00D221BE">
        <w:rPr>
          <w:rFonts w:ascii="Arial" w:hAnsi="Arial" w:cs="Arial"/>
        </w:rPr>
        <w:t xml:space="preserve"> </w:t>
      </w:r>
      <w:r w:rsidR="00D221BE" w:rsidRPr="00370B1B">
        <w:rPr>
          <w:rFonts w:ascii="Arial" w:hAnsi="Arial" w:cs="Arial"/>
        </w:rPr>
        <w:t>ventilated</w:t>
      </w:r>
      <w:r w:rsidR="0054086E">
        <w:rPr>
          <w:rFonts w:ascii="Arial" w:hAnsi="Arial" w:cs="Arial"/>
        </w:rPr>
        <w:t>.</w:t>
      </w:r>
      <w:r w:rsidR="00E95640">
        <w:rPr>
          <w:rFonts w:ascii="Arial" w:hAnsi="Arial" w:cs="Arial"/>
        </w:rPr>
        <w:t xml:space="preserve"> It is not</w:t>
      </w:r>
      <w:r w:rsidR="00332CD4" w:rsidRPr="00370B1B">
        <w:rPr>
          <w:rFonts w:ascii="Arial" w:hAnsi="Arial" w:cs="Arial"/>
        </w:rPr>
        <w:t xml:space="preserve"> required</w:t>
      </w:r>
      <w:r w:rsidR="00E95640" w:rsidRPr="00370B1B">
        <w:rPr>
          <w:rFonts w:ascii="Arial" w:hAnsi="Arial" w:cs="Arial"/>
        </w:rPr>
        <w:t xml:space="preserve"> </w:t>
      </w:r>
      <w:r w:rsidR="0025337B">
        <w:rPr>
          <w:rFonts w:ascii="Arial" w:hAnsi="Arial" w:cs="Arial"/>
        </w:rPr>
        <w:t>that the seller should pass</w:t>
      </w:r>
      <w:r w:rsidR="00176D3C">
        <w:rPr>
          <w:rFonts w:ascii="Arial" w:hAnsi="Arial" w:cs="Arial"/>
        </w:rPr>
        <w:t xml:space="preserve"> </w:t>
      </w:r>
      <w:r w:rsidR="0025337B">
        <w:rPr>
          <w:rFonts w:ascii="Arial" w:hAnsi="Arial" w:cs="Arial"/>
        </w:rPr>
        <w:t>ownership</w:t>
      </w:r>
      <w:r w:rsidR="00176D3C">
        <w:rPr>
          <w:rFonts w:ascii="Arial" w:hAnsi="Arial" w:cs="Arial"/>
        </w:rPr>
        <w:t xml:space="preserve"> of the thing </w:t>
      </w:r>
      <w:r w:rsidR="00A446C4">
        <w:rPr>
          <w:rFonts w:ascii="Arial" w:hAnsi="Arial" w:cs="Arial"/>
        </w:rPr>
        <w:t>being sold</w:t>
      </w:r>
      <w:r w:rsidR="0025337B">
        <w:rPr>
          <w:rFonts w:ascii="Arial" w:hAnsi="Arial" w:cs="Arial"/>
        </w:rPr>
        <w:t xml:space="preserve">. </w:t>
      </w:r>
      <w:r w:rsidR="00925796">
        <w:rPr>
          <w:rFonts w:ascii="Arial" w:hAnsi="Arial" w:cs="Arial"/>
        </w:rPr>
        <w:t xml:space="preserve"> </w:t>
      </w:r>
      <w:r w:rsidR="00D44366">
        <w:rPr>
          <w:rFonts w:ascii="Arial" w:hAnsi="Arial" w:cs="Arial"/>
        </w:rPr>
        <w:t xml:space="preserve">As </w:t>
      </w:r>
      <w:r w:rsidR="00A24CAA">
        <w:rPr>
          <w:rFonts w:ascii="Arial" w:hAnsi="Arial" w:cs="Arial"/>
        </w:rPr>
        <w:t xml:space="preserve">stated in </w:t>
      </w:r>
      <w:r w:rsidR="00D44366">
        <w:rPr>
          <w:rFonts w:ascii="Arial" w:hAnsi="Arial" w:cs="Arial"/>
        </w:rPr>
        <w:t>cas</w:t>
      </w:r>
      <w:r w:rsidR="00A50045">
        <w:rPr>
          <w:rFonts w:ascii="Arial" w:hAnsi="Arial" w:cs="Arial"/>
        </w:rPr>
        <w:t>e l</w:t>
      </w:r>
      <w:r w:rsidR="00A24CAA">
        <w:rPr>
          <w:rFonts w:ascii="Arial" w:hAnsi="Arial" w:cs="Arial"/>
        </w:rPr>
        <w:t xml:space="preserve">aw </w:t>
      </w:r>
      <w:r w:rsidR="00A50045">
        <w:rPr>
          <w:rFonts w:ascii="Arial" w:hAnsi="Arial" w:cs="Arial"/>
        </w:rPr>
        <w:t>whilst the transfer of ownership may be contemplated</w:t>
      </w:r>
      <w:r w:rsidR="0017541F">
        <w:rPr>
          <w:rFonts w:ascii="Arial" w:hAnsi="Arial" w:cs="Arial"/>
        </w:rPr>
        <w:t>,</w:t>
      </w:r>
      <w:r w:rsidR="00A50045">
        <w:rPr>
          <w:rFonts w:ascii="Arial" w:hAnsi="Arial" w:cs="Arial"/>
        </w:rPr>
        <w:t xml:space="preserve"> however</w:t>
      </w:r>
      <w:r w:rsidR="00E712F6">
        <w:rPr>
          <w:rFonts w:ascii="Arial" w:hAnsi="Arial" w:cs="Arial"/>
        </w:rPr>
        <w:t xml:space="preserve">, it </w:t>
      </w:r>
      <w:r w:rsidR="0017541F">
        <w:rPr>
          <w:rFonts w:ascii="Arial" w:hAnsi="Arial" w:cs="Arial"/>
        </w:rPr>
        <w:t xml:space="preserve">is </w:t>
      </w:r>
      <w:r w:rsidR="00E712F6">
        <w:rPr>
          <w:rFonts w:ascii="Arial" w:hAnsi="Arial" w:cs="Arial"/>
        </w:rPr>
        <w:t>not</w:t>
      </w:r>
      <w:r w:rsidR="00A50045">
        <w:rPr>
          <w:rFonts w:ascii="Arial" w:hAnsi="Arial" w:cs="Arial"/>
        </w:rPr>
        <w:t xml:space="preserve"> the essential feature of the </w:t>
      </w:r>
      <w:r w:rsidR="00610B37">
        <w:rPr>
          <w:rFonts w:ascii="Arial" w:hAnsi="Arial" w:cs="Arial"/>
        </w:rPr>
        <w:t>sale of goods.</w:t>
      </w:r>
    </w:p>
    <w:p w14:paraId="0474D7D1" w14:textId="5E40EF51" w:rsidR="00DA065B" w:rsidRDefault="00610B37" w:rsidP="00EF0B0D">
      <w:pPr>
        <w:spacing w:line="360" w:lineRule="auto"/>
        <w:jc w:val="both"/>
        <w:rPr>
          <w:rFonts w:ascii="Arial" w:hAnsi="Arial" w:cs="Arial"/>
        </w:rPr>
      </w:pPr>
      <w:r w:rsidRPr="00D256C1">
        <w:rPr>
          <w:rFonts w:ascii="Arial" w:hAnsi="Arial" w:cs="Arial"/>
        </w:rPr>
        <w:t>[3</w:t>
      </w:r>
      <w:r w:rsidR="00680458" w:rsidRPr="00D256C1">
        <w:rPr>
          <w:rFonts w:ascii="Arial" w:hAnsi="Arial" w:cs="Arial"/>
        </w:rPr>
        <w:t>7</w:t>
      </w:r>
      <w:r w:rsidRPr="00D256C1">
        <w:rPr>
          <w:rFonts w:ascii="Arial" w:hAnsi="Arial" w:cs="Arial"/>
        </w:rPr>
        <w:t>]</w:t>
      </w:r>
      <w:r w:rsidR="00B5107B" w:rsidRPr="00D256C1">
        <w:rPr>
          <w:rFonts w:ascii="Arial" w:hAnsi="Arial" w:cs="Arial"/>
        </w:rPr>
        <w:t xml:space="preserve"> For present purposes it can</w:t>
      </w:r>
      <w:r w:rsidR="0017541F" w:rsidRPr="00D256C1">
        <w:rPr>
          <w:rFonts w:ascii="Arial" w:hAnsi="Arial" w:cs="Arial"/>
        </w:rPr>
        <w:t xml:space="preserve"> </w:t>
      </w:r>
      <w:r w:rsidR="00B5107B" w:rsidRPr="00D256C1">
        <w:rPr>
          <w:rFonts w:ascii="Arial" w:hAnsi="Arial" w:cs="Arial"/>
        </w:rPr>
        <w:t xml:space="preserve">be accepted </w:t>
      </w:r>
      <w:r w:rsidR="000F1403" w:rsidRPr="00D256C1">
        <w:rPr>
          <w:rFonts w:ascii="Arial" w:hAnsi="Arial" w:cs="Arial"/>
        </w:rPr>
        <w:t xml:space="preserve">that the respondent has raised a bona fide defence to the applicant’s claim and as such the application for winding up cannot stand as per </w:t>
      </w:r>
      <w:r w:rsidR="000F1403" w:rsidRPr="00D256C1">
        <w:rPr>
          <w:rFonts w:ascii="Arial" w:hAnsi="Arial" w:cs="Arial"/>
          <w:i/>
          <w:iCs/>
        </w:rPr>
        <w:t>BADENHORST</w:t>
      </w:r>
      <w:r w:rsidR="00D256C1">
        <w:rPr>
          <w:rFonts w:ascii="Arial" w:hAnsi="Arial" w:cs="Arial"/>
        </w:rPr>
        <w:t>.</w:t>
      </w:r>
      <w:r w:rsidR="000F1403" w:rsidRPr="00D256C1">
        <w:rPr>
          <w:rFonts w:ascii="Arial" w:hAnsi="Arial" w:cs="Arial"/>
        </w:rPr>
        <w:t xml:space="preserve"> </w:t>
      </w:r>
      <w:r w:rsidR="008B5876">
        <w:rPr>
          <w:rFonts w:ascii="Arial" w:hAnsi="Arial" w:cs="Arial"/>
        </w:rPr>
        <w:t xml:space="preserve">As I have already stated </w:t>
      </w:r>
      <w:r w:rsidR="008B5876" w:rsidRPr="009A5CF9">
        <w:rPr>
          <w:rFonts w:ascii="Arial" w:hAnsi="Arial" w:cs="Arial"/>
          <w:i/>
          <w:iCs/>
        </w:rPr>
        <w:t>ex facie</w:t>
      </w:r>
      <w:r w:rsidR="008B5876">
        <w:rPr>
          <w:rFonts w:ascii="Arial" w:hAnsi="Arial" w:cs="Arial"/>
        </w:rPr>
        <w:t xml:space="preserve"> </w:t>
      </w:r>
      <w:r w:rsidR="00A73D2E">
        <w:rPr>
          <w:rFonts w:ascii="Arial" w:hAnsi="Arial" w:cs="Arial"/>
        </w:rPr>
        <w:t xml:space="preserve">the sale agreement </w:t>
      </w:r>
      <w:r w:rsidR="00A73D2E">
        <w:rPr>
          <w:rFonts w:ascii="Arial" w:hAnsi="Arial" w:cs="Arial"/>
        </w:rPr>
        <w:lastRenderedPageBreak/>
        <w:t xml:space="preserve">signed between the </w:t>
      </w:r>
      <w:r w:rsidR="001C67D8">
        <w:rPr>
          <w:rFonts w:ascii="Arial" w:hAnsi="Arial" w:cs="Arial"/>
        </w:rPr>
        <w:t>parties,</w:t>
      </w:r>
      <w:r w:rsidR="00A73D2E">
        <w:rPr>
          <w:rFonts w:ascii="Arial" w:hAnsi="Arial" w:cs="Arial"/>
        </w:rPr>
        <w:t xml:space="preserve"> I am </w:t>
      </w:r>
      <w:r w:rsidR="005D7D8F">
        <w:rPr>
          <w:rFonts w:ascii="Arial" w:hAnsi="Arial" w:cs="Arial"/>
        </w:rPr>
        <w:t xml:space="preserve">unable to discern </w:t>
      </w:r>
      <w:r w:rsidR="00430D04">
        <w:rPr>
          <w:rFonts w:ascii="Arial" w:hAnsi="Arial" w:cs="Arial"/>
        </w:rPr>
        <w:t xml:space="preserve">any </w:t>
      </w:r>
      <w:r w:rsidR="00680458">
        <w:rPr>
          <w:rFonts w:ascii="Arial" w:hAnsi="Arial" w:cs="Arial"/>
        </w:rPr>
        <w:t>prima faci</w:t>
      </w:r>
      <w:r w:rsidR="00430D04">
        <w:rPr>
          <w:rFonts w:ascii="Arial" w:hAnsi="Arial" w:cs="Arial"/>
        </w:rPr>
        <w:t>e</w:t>
      </w:r>
      <w:r w:rsidR="005D7D8F">
        <w:rPr>
          <w:rFonts w:ascii="Arial" w:hAnsi="Arial" w:cs="Arial"/>
        </w:rPr>
        <w:t xml:space="preserve"> fraud on the part of the respondent.</w:t>
      </w:r>
    </w:p>
    <w:p w14:paraId="396FB5F9" w14:textId="1BBCC382" w:rsidR="006A0926" w:rsidRDefault="006A0926" w:rsidP="00EF0B0D">
      <w:pPr>
        <w:spacing w:line="360" w:lineRule="auto"/>
        <w:jc w:val="both"/>
        <w:rPr>
          <w:rFonts w:ascii="Arial" w:hAnsi="Arial" w:cs="Arial"/>
        </w:rPr>
      </w:pPr>
      <w:r>
        <w:rPr>
          <w:rFonts w:ascii="Arial" w:hAnsi="Arial" w:cs="Arial"/>
        </w:rPr>
        <w:t>[3</w:t>
      </w:r>
      <w:r w:rsidR="00430D04">
        <w:rPr>
          <w:rFonts w:ascii="Arial" w:hAnsi="Arial" w:cs="Arial"/>
        </w:rPr>
        <w:t>8</w:t>
      </w:r>
      <w:r>
        <w:rPr>
          <w:rFonts w:ascii="Arial" w:hAnsi="Arial" w:cs="Arial"/>
        </w:rPr>
        <w:t>] Regarding</w:t>
      </w:r>
      <w:r w:rsidR="00B13BD0">
        <w:rPr>
          <w:rFonts w:ascii="Arial" w:hAnsi="Arial" w:cs="Arial"/>
        </w:rPr>
        <w:t xml:space="preserve"> the respondent’s </w:t>
      </w:r>
      <w:r w:rsidR="009D0979">
        <w:rPr>
          <w:rFonts w:ascii="Arial" w:hAnsi="Arial" w:cs="Arial"/>
        </w:rPr>
        <w:t>inability to</w:t>
      </w:r>
      <w:r w:rsidR="00EF1AC2">
        <w:rPr>
          <w:rFonts w:ascii="Arial" w:hAnsi="Arial" w:cs="Arial"/>
        </w:rPr>
        <w:t xml:space="preserve"> pay its deb</w:t>
      </w:r>
      <w:r w:rsidR="00433738">
        <w:rPr>
          <w:rFonts w:ascii="Arial" w:hAnsi="Arial" w:cs="Arial"/>
        </w:rPr>
        <w:t xml:space="preserve">ts, </w:t>
      </w:r>
      <w:r w:rsidR="00794DDA">
        <w:rPr>
          <w:rFonts w:ascii="Arial" w:hAnsi="Arial" w:cs="Arial"/>
        </w:rPr>
        <w:t xml:space="preserve">respondent denies </w:t>
      </w:r>
      <w:r w:rsidR="00FC76D2">
        <w:rPr>
          <w:rFonts w:ascii="Arial" w:hAnsi="Arial" w:cs="Arial"/>
        </w:rPr>
        <w:t>t</w:t>
      </w:r>
      <w:r w:rsidR="00433738">
        <w:rPr>
          <w:rFonts w:ascii="Arial" w:hAnsi="Arial" w:cs="Arial"/>
        </w:rPr>
        <w:t>his to be the case</w:t>
      </w:r>
      <w:r w:rsidR="00FC76D2">
        <w:rPr>
          <w:rFonts w:ascii="Arial" w:hAnsi="Arial" w:cs="Arial"/>
        </w:rPr>
        <w:t xml:space="preserve">. This denial is elaborated upon </w:t>
      </w:r>
      <w:r w:rsidR="00334B30">
        <w:rPr>
          <w:rFonts w:ascii="Arial" w:hAnsi="Arial" w:cs="Arial"/>
        </w:rPr>
        <w:t xml:space="preserve">in the supplementary answering affidavit. </w:t>
      </w:r>
      <w:r w:rsidR="009D0979" w:rsidRPr="009D0979">
        <w:rPr>
          <w:rFonts w:ascii="Arial" w:hAnsi="Arial" w:cs="Arial"/>
        </w:rPr>
        <w:t>Firstly, respondent</w:t>
      </w:r>
      <w:r w:rsidR="00334B30" w:rsidRPr="009D0979">
        <w:rPr>
          <w:rFonts w:ascii="Arial" w:hAnsi="Arial" w:cs="Arial"/>
        </w:rPr>
        <w:t xml:space="preserve"> </w:t>
      </w:r>
      <w:r w:rsidR="00334B30">
        <w:rPr>
          <w:rFonts w:ascii="Arial" w:hAnsi="Arial" w:cs="Arial"/>
        </w:rPr>
        <w:t>indicate</w:t>
      </w:r>
      <w:r w:rsidR="00FB1C83">
        <w:rPr>
          <w:rFonts w:ascii="Arial" w:hAnsi="Arial" w:cs="Arial"/>
        </w:rPr>
        <w:t>s</w:t>
      </w:r>
      <w:r w:rsidR="00334B30">
        <w:rPr>
          <w:rFonts w:ascii="Arial" w:hAnsi="Arial" w:cs="Arial"/>
        </w:rPr>
        <w:t xml:space="preserve"> that </w:t>
      </w:r>
      <w:r w:rsidR="00C9163C">
        <w:rPr>
          <w:rFonts w:ascii="Arial" w:hAnsi="Arial" w:cs="Arial"/>
        </w:rPr>
        <w:t xml:space="preserve">it </w:t>
      </w:r>
      <w:r w:rsidR="00FB1C83">
        <w:rPr>
          <w:rFonts w:ascii="Arial" w:hAnsi="Arial" w:cs="Arial"/>
        </w:rPr>
        <w:t>has</w:t>
      </w:r>
      <w:r w:rsidR="00C9163C">
        <w:rPr>
          <w:rFonts w:ascii="Arial" w:hAnsi="Arial" w:cs="Arial"/>
        </w:rPr>
        <w:t xml:space="preserve"> deposited with its attorneys of record </w:t>
      </w:r>
      <w:r w:rsidR="00B403F8">
        <w:rPr>
          <w:rFonts w:ascii="Arial" w:hAnsi="Arial" w:cs="Arial"/>
        </w:rPr>
        <w:t xml:space="preserve">a sum of money in </w:t>
      </w:r>
      <w:r w:rsidR="00D87DC4">
        <w:rPr>
          <w:rFonts w:ascii="Arial" w:hAnsi="Arial" w:cs="Arial"/>
        </w:rPr>
        <w:t>excess</w:t>
      </w:r>
      <w:r w:rsidR="00B403F8">
        <w:rPr>
          <w:rFonts w:ascii="Arial" w:hAnsi="Arial" w:cs="Arial"/>
        </w:rPr>
        <w:t xml:space="preserve"> of R 2 million</w:t>
      </w:r>
      <w:r w:rsidR="0029502F">
        <w:rPr>
          <w:rFonts w:ascii="Arial" w:hAnsi="Arial" w:cs="Arial"/>
        </w:rPr>
        <w:t>,</w:t>
      </w:r>
      <w:r w:rsidR="0029502F" w:rsidRPr="0029502F">
        <w:rPr>
          <w:rFonts w:ascii="Arial" w:hAnsi="Arial" w:cs="Arial"/>
          <w:color w:val="00B050"/>
        </w:rPr>
        <w:t xml:space="preserve"> </w:t>
      </w:r>
      <w:r w:rsidR="0029502F" w:rsidRPr="00692D90">
        <w:rPr>
          <w:rFonts w:ascii="Arial" w:hAnsi="Arial" w:cs="Arial"/>
        </w:rPr>
        <w:t>this was done to negate any assumption that the respondent is commercially insolvent in a sense that is unable to meet its day-to-day liabilities</w:t>
      </w:r>
      <w:r w:rsidR="00636C54" w:rsidRPr="00692D90">
        <w:rPr>
          <w:rFonts w:ascii="Arial" w:hAnsi="Arial" w:cs="Arial"/>
        </w:rPr>
        <w:t xml:space="preserve">. </w:t>
      </w:r>
      <w:r w:rsidR="00636C54">
        <w:rPr>
          <w:rFonts w:ascii="Arial" w:hAnsi="Arial" w:cs="Arial"/>
        </w:rPr>
        <w:t>The</w:t>
      </w:r>
      <w:r w:rsidR="00D87DC4">
        <w:rPr>
          <w:rFonts w:ascii="Arial" w:hAnsi="Arial" w:cs="Arial"/>
        </w:rPr>
        <w:t xml:space="preserve"> </w:t>
      </w:r>
      <w:r w:rsidR="00636C54">
        <w:rPr>
          <w:rFonts w:ascii="Arial" w:hAnsi="Arial" w:cs="Arial"/>
        </w:rPr>
        <w:t xml:space="preserve">money is not to be used until the finalization of the litigation </w:t>
      </w:r>
      <w:r w:rsidR="00D87DC4">
        <w:rPr>
          <w:rFonts w:ascii="Arial" w:hAnsi="Arial" w:cs="Arial"/>
        </w:rPr>
        <w:t xml:space="preserve">proceedings </w:t>
      </w:r>
      <w:r w:rsidR="00636C54">
        <w:rPr>
          <w:rFonts w:ascii="Arial" w:hAnsi="Arial" w:cs="Arial"/>
        </w:rPr>
        <w:t xml:space="preserve">launched by the applicant. </w:t>
      </w:r>
    </w:p>
    <w:p w14:paraId="18AF1FC3" w14:textId="58CC7BDC" w:rsidR="0010290D" w:rsidRDefault="0010290D" w:rsidP="00EF0B0D">
      <w:pPr>
        <w:spacing w:line="360" w:lineRule="auto"/>
        <w:jc w:val="both"/>
        <w:rPr>
          <w:rFonts w:ascii="Arial" w:hAnsi="Arial" w:cs="Arial"/>
        </w:rPr>
      </w:pPr>
      <w:r>
        <w:rPr>
          <w:rFonts w:ascii="Arial" w:hAnsi="Arial" w:cs="Arial"/>
        </w:rPr>
        <w:t>[</w:t>
      </w:r>
      <w:r w:rsidR="0000269A">
        <w:rPr>
          <w:rFonts w:ascii="Arial" w:hAnsi="Arial" w:cs="Arial"/>
        </w:rPr>
        <w:t>39</w:t>
      </w:r>
      <w:r>
        <w:rPr>
          <w:rFonts w:ascii="Arial" w:hAnsi="Arial" w:cs="Arial"/>
        </w:rPr>
        <w:t xml:space="preserve">] The applicant has poured cold water into the </w:t>
      </w:r>
      <w:r w:rsidR="005A3228">
        <w:rPr>
          <w:rFonts w:ascii="Arial" w:hAnsi="Arial" w:cs="Arial"/>
        </w:rPr>
        <w:t xml:space="preserve">alleged </w:t>
      </w:r>
      <w:r w:rsidR="009677AC">
        <w:rPr>
          <w:rFonts w:ascii="Arial" w:hAnsi="Arial" w:cs="Arial"/>
        </w:rPr>
        <w:t xml:space="preserve">security by the respondent. In its supplementary </w:t>
      </w:r>
      <w:r w:rsidR="00B1737D">
        <w:rPr>
          <w:rFonts w:ascii="Arial" w:hAnsi="Arial" w:cs="Arial"/>
        </w:rPr>
        <w:t xml:space="preserve">affidavit the applicant points out that the security </w:t>
      </w:r>
      <w:r w:rsidR="001F05FA">
        <w:rPr>
          <w:rFonts w:ascii="Arial" w:hAnsi="Arial" w:cs="Arial"/>
        </w:rPr>
        <w:t xml:space="preserve">does not constitute </w:t>
      </w:r>
      <w:r w:rsidR="00BD51B7">
        <w:rPr>
          <w:rFonts w:ascii="Arial" w:hAnsi="Arial" w:cs="Arial"/>
        </w:rPr>
        <w:t xml:space="preserve">payment and it therefore does not constitute a bar </w:t>
      </w:r>
      <w:r w:rsidR="00824B88">
        <w:rPr>
          <w:rFonts w:ascii="Arial" w:hAnsi="Arial" w:cs="Arial"/>
        </w:rPr>
        <w:t>to the relief sought. In any event, so it is argued</w:t>
      </w:r>
      <w:r w:rsidR="00B2134E">
        <w:rPr>
          <w:rFonts w:ascii="Arial" w:hAnsi="Arial" w:cs="Arial"/>
        </w:rPr>
        <w:t xml:space="preserve">, the money is to be used for the benefit of the respondent. </w:t>
      </w:r>
    </w:p>
    <w:p w14:paraId="11A1376F" w14:textId="407F84ED" w:rsidR="004840F0" w:rsidRDefault="004840F0" w:rsidP="00EF0B0D">
      <w:pPr>
        <w:spacing w:line="360" w:lineRule="auto"/>
        <w:jc w:val="both"/>
        <w:rPr>
          <w:rFonts w:ascii="Arial" w:hAnsi="Arial" w:cs="Arial"/>
        </w:rPr>
      </w:pPr>
      <w:r>
        <w:rPr>
          <w:rFonts w:ascii="Arial" w:hAnsi="Arial" w:cs="Arial"/>
        </w:rPr>
        <w:t>[</w:t>
      </w:r>
      <w:r w:rsidR="00250D6D">
        <w:rPr>
          <w:rFonts w:ascii="Arial" w:hAnsi="Arial" w:cs="Arial"/>
        </w:rPr>
        <w:t>4</w:t>
      </w:r>
      <w:r w:rsidR="001B6E30">
        <w:rPr>
          <w:rFonts w:ascii="Arial" w:hAnsi="Arial" w:cs="Arial"/>
        </w:rPr>
        <w:t>0</w:t>
      </w:r>
      <w:r>
        <w:rPr>
          <w:rFonts w:ascii="Arial" w:hAnsi="Arial" w:cs="Arial"/>
        </w:rPr>
        <w:t xml:space="preserve">] </w:t>
      </w:r>
      <w:r w:rsidR="00880304">
        <w:rPr>
          <w:rFonts w:ascii="Arial" w:hAnsi="Arial" w:cs="Arial"/>
        </w:rPr>
        <w:t xml:space="preserve">Applicant contends that the respondent has failed to provide proof </w:t>
      </w:r>
      <w:r w:rsidR="00F569C6">
        <w:rPr>
          <w:rFonts w:ascii="Arial" w:hAnsi="Arial" w:cs="Arial"/>
        </w:rPr>
        <w:t xml:space="preserve">of the source of </w:t>
      </w:r>
      <w:r w:rsidR="008B1148">
        <w:rPr>
          <w:rFonts w:ascii="Arial" w:hAnsi="Arial" w:cs="Arial"/>
        </w:rPr>
        <w:t xml:space="preserve">funds that are held in the attorney’s account purportedly as security. </w:t>
      </w:r>
      <w:r w:rsidR="00860BC1">
        <w:rPr>
          <w:rFonts w:ascii="Arial" w:hAnsi="Arial" w:cs="Arial"/>
        </w:rPr>
        <w:t xml:space="preserve">In </w:t>
      </w:r>
      <w:r w:rsidR="003C2217" w:rsidRPr="00743BD6">
        <w:rPr>
          <w:rFonts w:ascii="Arial" w:hAnsi="Arial" w:cs="Arial"/>
          <w:i/>
          <w:iCs/>
        </w:rPr>
        <w:t>HELDERBERG</w:t>
      </w:r>
      <w:r w:rsidR="003C2217">
        <w:rPr>
          <w:rFonts w:ascii="Arial" w:hAnsi="Arial" w:cs="Arial"/>
        </w:rPr>
        <w:t xml:space="preserve"> supra it was held that </w:t>
      </w:r>
      <w:r w:rsidR="005851F9">
        <w:rPr>
          <w:rFonts w:ascii="Arial" w:hAnsi="Arial" w:cs="Arial"/>
        </w:rPr>
        <w:t xml:space="preserve">where an external party is willing to </w:t>
      </w:r>
      <w:r w:rsidR="00E8336A">
        <w:rPr>
          <w:rFonts w:ascii="Arial" w:hAnsi="Arial" w:cs="Arial"/>
        </w:rPr>
        <w:t>finance a company</w:t>
      </w:r>
      <w:r w:rsidR="00382E5B">
        <w:rPr>
          <w:rFonts w:ascii="Arial" w:hAnsi="Arial" w:cs="Arial"/>
        </w:rPr>
        <w:t>, this could be a demonstration of the ability to pay</w:t>
      </w:r>
      <w:r w:rsidR="00253217">
        <w:rPr>
          <w:rFonts w:ascii="Arial" w:hAnsi="Arial" w:cs="Arial"/>
        </w:rPr>
        <w:t>.</w:t>
      </w:r>
      <w:r w:rsidR="00382E5B" w:rsidRPr="00253217">
        <w:rPr>
          <w:rFonts w:ascii="Arial" w:hAnsi="Arial" w:cs="Arial"/>
          <w:color w:val="00B050"/>
        </w:rPr>
        <w:t xml:space="preserve"> </w:t>
      </w:r>
    </w:p>
    <w:p w14:paraId="0E44C6B1" w14:textId="62A30BEF" w:rsidR="001716AE" w:rsidRDefault="001716AE" w:rsidP="00EF0B0D">
      <w:pPr>
        <w:spacing w:line="360" w:lineRule="auto"/>
        <w:jc w:val="both"/>
        <w:rPr>
          <w:rFonts w:ascii="Arial" w:hAnsi="Arial" w:cs="Arial"/>
        </w:rPr>
      </w:pPr>
      <w:r>
        <w:rPr>
          <w:rFonts w:ascii="Arial" w:hAnsi="Arial" w:cs="Arial"/>
        </w:rPr>
        <w:t>[</w:t>
      </w:r>
      <w:r w:rsidR="00413E7A">
        <w:rPr>
          <w:rFonts w:ascii="Arial" w:hAnsi="Arial" w:cs="Arial"/>
        </w:rPr>
        <w:t>4</w:t>
      </w:r>
      <w:r w:rsidR="00CE52A2">
        <w:rPr>
          <w:rFonts w:ascii="Arial" w:hAnsi="Arial" w:cs="Arial"/>
        </w:rPr>
        <w:t>1</w:t>
      </w:r>
      <w:r>
        <w:rPr>
          <w:rFonts w:ascii="Arial" w:hAnsi="Arial" w:cs="Arial"/>
        </w:rPr>
        <w:t xml:space="preserve">] </w:t>
      </w:r>
      <w:r w:rsidR="00CE52A2">
        <w:rPr>
          <w:rFonts w:ascii="Arial" w:hAnsi="Arial" w:cs="Arial"/>
        </w:rPr>
        <w:t xml:space="preserve">It worth noting that </w:t>
      </w:r>
      <w:r w:rsidR="000F1BE6">
        <w:rPr>
          <w:rFonts w:ascii="Arial" w:hAnsi="Arial" w:cs="Arial"/>
        </w:rPr>
        <w:t xml:space="preserve">the </w:t>
      </w:r>
      <w:r w:rsidR="007F11C2">
        <w:rPr>
          <w:rFonts w:ascii="Arial" w:hAnsi="Arial" w:cs="Arial"/>
        </w:rPr>
        <w:t xml:space="preserve">applicant is the only party seeking to </w:t>
      </w:r>
      <w:r w:rsidR="003A5B0E">
        <w:rPr>
          <w:rFonts w:ascii="Arial" w:hAnsi="Arial" w:cs="Arial"/>
        </w:rPr>
        <w:t xml:space="preserve">have the respondent liquidated. It is clear that there are other creditors of the respondent. Their views have not been canvassed. As </w:t>
      </w:r>
      <w:r w:rsidR="00363218">
        <w:rPr>
          <w:rFonts w:ascii="Arial" w:hAnsi="Arial" w:cs="Arial"/>
        </w:rPr>
        <w:t>was held in</w:t>
      </w:r>
      <w:r w:rsidR="00363218" w:rsidRPr="001D3870">
        <w:rPr>
          <w:rFonts w:ascii="Arial" w:hAnsi="Arial" w:cs="Arial"/>
          <w:b/>
          <w:bCs/>
        </w:rPr>
        <w:t xml:space="preserve"> </w:t>
      </w:r>
      <w:r w:rsidR="00363218" w:rsidRPr="006F79B6">
        <w:rPr>
          <w:rFonts w:ascii="Arial" w:hAnsi="Arial" w:cs="Arial"/>
          <w:i/>
          <w:iCs/>
        </w:rPr>
        <w:t>BADENHORST</w:t>
      </w:r>
      <w:r w:rsidR="00363218">
        <w:rPr>
          <w:rFonts w:ascii="Arial" w:hAnsi="Arial" w:cs="Arial"/>
        </w:rPr>
        <w:t xml:space="preserve"> supra</w:t>
      </w:r>
      <w:r w:rsidR="00363218" w:rsidRPr="00363218">
        <w:rPr>
          <w:rFonts w:ascii="Arial" w:hAnsi="Arial" w:cs="Arial"/>
        </w:rPr>
        <w:t xml:space="preserve"> liquidation of a company affects interests of all creditors and shareholders, and an order for its liquidation should not </w:t>
      </w:r>
      <w:r w:rsidR="009145E0">
        <w:rPr>
          <w:rFonts w:ascii="Arial" w:hAnsi="Arial" w:cs="Arial"/>
        </w:rPr>
        <w:t>be granted lightly</w:t>
      </w:r>
      <w:r w:rsidR="00363218" w:rsidRPr="00363218">
        <w:rPr>
          <w:rFonts w:ascii="Arial" w:hAnsi="Arial" w:cs="Arial"/>
        </w:rPr>
        <w:t xml:space="preserve"> on the application of a single creditor.</w:t>
      </w:r>
      <w:r w:rsidR="00CF2835">
        <w:rPr>
          <w:rFonts w:ascii="Arial" w:hAnsi="Arial" w:cs="Arial"/>
        </w:rPr>
        <w:t xml:space="preserve"> According to the papers 30 unit</w:t>
      </w:r>
      <w:r w:rsidR="003D4B7F">
        <w:rPr>
          <w:rFonts w:ascii="Arial" w:hAnsi="Arial" w:cs="Arial"/>
        </w:rPr>
        <w:t>s were sold and the applicant estimates the money received from</w:t>
      </w:r>
      <w:r w:rsidR="00B174DC">
        <w:rPr>
          <w:rFonts w:ascii="Arial" w:hAnsi="Arial" w:cs="Arial"/>
        </w:rPr>
        <w:t xml:space="preserve"> the sale of </w:t>
      </w:r>
      <w:r w:rsidR="0042493F">
        <w:rPr>
          <w:rFonts w:ascii="Arial" w:hAnsi="Arial" w:cs="Arial"/>
        </w:rPr>
        <w:t xml:space="preserve">these </w:t>
      </w:r>
      <w:r w:rsidR="00B174DC">
        <w:rPr>
          <w:rFonts w:ascii="Arial" w:hAnsi="Arial" w:cs="Arial"/>
        </w:rPr>
        <w:t xml:space="preserve">units at R 60 million. </w:t>
      </w:r>
      <w:r w:rsidR="006F0314">
        <w:rPr>
          <w:rFonts w:ascii="Arial" w:hAnsi="Arial" w:cs="Arial"/>
        </w:rPr>
        <w:t xml:space="preserve">I am </w:t>
      </w:r>
      <w:r w:rsidR="00D17698">
        <w:rPr>
          <w:rFonts w:ascii="Arial" w:hAnsi="Arial" w:cs="Arial"/>
        </w:rPr>
        <w:t xml:space="preserve">not </w:t>
      </w:r>
      <w:r w:rsidR="006F0314">
        <w:rPr>
          <w:rFonts w:ascii="Arial" w:hAnsi="Arial" w:cs="Arial"/>
        </w:rPr>
        <w:t xml:space="preserve">satisfied that on the papers the </w:t>
      </w:r>
      <w:r w:rsidR="00AC5028">
        <w:rPr>
          <w:rFonts w:ascii="Arial" w:hAnsi="Arial" w:cs="Arial"/>
        </w:rPr>
        <w:t xml:space="preserve">applicant has demonstrated that it is just and </w:t>
      </w:r>
      <w:r w:rsidR="00210259">
        <w:rPr>
          <w:rFonts w:ascii="Arial" w:hAnsi="Arial" w:cs="Arial"/>
        </w:rPr>
        <w:t>equitable to liquid the responden</w:t>
      </w:r>
      <w:r w:rsidR="00980F7B">
        <w:rPr>
          <w:rFonts w:ascii="Arial" w:hAnsi="Arial" w:cs="Arial"/>
        </w:rPr>
        <w:t>t.</w:t>
      </w:r>
    </w:p>
    <w:p w14:paraId="70B9EEF0" w14:textId="082791AD" w:rsidR="00C77330" w:rsidRDefault="00FB6987" w:rsidP="00EF0B0D">
      <w:pPr>
        <w:spacing w:line="360" w:lineRule="auto"/>
        <w:jc w:val="both"/>
        <w:rPr>
          <w:rFonts w:ascii="Arial" w:hAnsi="Arial" w:cs="Arial"/>
        </w:rPr>
      </w:pPr>
      <w:r>
        <w:rPr>
          <w:rFonts w:ascii="Arial" w:hAnsi="Arial" w:cs="Arial"/>
        </w:rPr>
        <w:t>[</w:t>
      </w:r>
      <w:r w:rsidR="00C411C1">
        <w:rPr>
          <w:rFonts w:ascii="Arial" w:hAnsi="Arial" w:cs="Arial"/>
        </w:rPr>
        <w:t>4</w:t>
      </w:r>
      <w:r w:rsidR="004A73A4">
        <w:rPr>
          <w:rFonts w:ascii="Arial" w:hAnsi="Arial" w:cs="Arial"/>
        </w:rPr>
        <w:t>2</w:t>
      </w:r>
      <w:r>
        <w:rPr>
          <w:rFonts w:ascii="Arial" w:hAnsi="Arial" w:cs="Arial"/>
        </w:rPr>
        <w:t>] In its</w:t>
      </w:r>
      <w:r w:rsidR="00591179" w:rsidRPr="00CB160D">
        <w:rPr>
          <w:rFonts w:ascii="Arial" w:hAnsi="Arial" w:cs="Arial"/>
        </w:rPr>
        <w:t xml:space="preserve"> answering</w:t>
      </w:r>
      <w:r w:rsidRPr="00CB160D">
        <w:rPr>
          <w:rFonts w:ascii="Arial" w:hAnsi="Arial" w:cs="Arial"/>
        </w:rPr>
        <w:t xml:space="preserve"> </w:t>
      </w:r>
      <w:r>
        <w:rPr>
          <w:rFonts w:ascii="Arial" w:hAnsi="Arial" w:cs="Arial"/>
        </w:rPr>
        <w:t>affidavit</w:t>
      </w:r>
      <w:r w:rsidR="00CB160D">
        <w:rPr>
          <w:rFonts w:ascii="Arial" w:hAnsi="Arial" w:cs="Arial"/>
        </w:rPr>
        <w:t xml:space="preserve"> </w:t>
      </w:r>
      <w:r>
        <w:rPr>
          <w:rFonts w:ascii="Arial" w:hAnsi="Arial" w:cs="Arial"/>
        </w:rPr>
        <w:t xml:space="preserve">the respondent also indicated that </w:t>
      </w:r>
      <w:r w:rsidR="002A6C8F">
        <w:rPr>
          <w:rFonts w:ascii="Arial" w:hAnsi="Arial" w:cs="Arial"/>
        </w:rPr>
        <w:t xml:space="preserve">for a period of at least 10 years the applicant took possession of the unit through a tenant. </w:t>
      </w:r>
      <w:r w:rsidR="00314AB3">
        <w:rPr>
          <w:rFonts w:ascii="Arial" w:hAnsi="Arial" w:cs="Arial"/>
        </w:rPr>
        <w:t xml:space="preserve">And that after the tenant had vacated the property, the respondent </w:t>
      </w:r>
      <w:r w:rsidR="000E70A2">
        <w:rPr>
          <w:rFonts w:ascii="Arial" w:hAnsi="Arial" w:cs="Arial"/>
        </w:rPr>
        <w:t xml:space="preserve">took initiative </w:t>
      </w:r>
      <w:r w:rsidR="00403AB3">
        <w:rPr>
          <w:rFonts w:ascii="Arial" w:hAnsi="Arial" w:cs="Arial"/>
        </w:rPr>
        <w:t>by renting out the property. The</w:t>
      </w:r>
      <w:r w:rsidR="00253217">
        <w:rPr>
          <w:rFonts w:ascii="Arial" w:hAnsi="Arial" w:cs="Arial"/>
        </w:rPr>
        <w:t xml:space="preserve"> </w:t>
      </w:r>
      <w:r w:rsidR="00253217" w:rsidRPr="004A73A4">
        <w:rPr>
          <w:rFonts w:ascii="Arial" w:hAnsi="Arial" w:cs="Arial"/>
        </w:rPr>
        <w:t>funds</w:t>
      </w:r>
      <w:r w:rsidR="00253217">
        <w:rPr>
          <w:rFonts w:ascii="Arial" w:hAnsi="Arial" w:cs="Arial"/>
        </w:rPr>
        <w:t xml:space="preserve"> </w:t>
      </w:r>
      <w:r w:rsidR="00403AB3">
        <w:rPr>
          <w:rFonts w:ascii="Arial" w:hAnsi="Arial" w:cs="Arial"/>
        </w:rPr>
        <w:t xml:space="preserve">collected </w:t>
      </w:r>
      <w:r w:rsidR="00403AB3" w:rsidRPr="00253217">
        <w:rPr>
          <w:rFonts w:ascii="Arial" w:hAnsi="Arial" w:cs="Arial"/>
        </w:rPr>
        <w:t>have</w:t>
      </w:r>
      <w:r w:rsidR="00403AB3">
        <w:rPr>
          <w:rFonts w:ascii="Arial" w:hAnsi="Arial" w:cs="Arial"/>
        </w:rPr>
        <w:t xml:space="preserve"> been </w:t>
      </w:r>
      <w:r w:rsidR="00382E9D">
        <w:rPr>
          <w:rFonts w:ascii="Arial" w:hAnsi="Arial" w:cs="Arial"/>
        </w:rPr>
        <w:t xml:space="preserve">offered to the applicant who has refused to </w:t>
      </w:r>
      <w:r w:rsidR="00C411C1">
        <w:rPr>
          <w:rFonts w:ascii="Arial" w:hAnsi="Arial" w:cs="Arial"/>
        </w:rPr>
        <w:t>accept</w:t>
      </w:r>
      <w:r w:rsidR="00253217">
        <w:rPr>
          <w:rFonts w:ascii="Arial" w:hAnsi="Arial" w:cs="Arial"/>
        </w:rPr>
        <w:t xml:space="preserve"> </w:t>
      </w:r>
      <w:r w:rsidR="00253217" w:rsidRPr="004A73A4">
        <w:rPr>
          <w:rFonts w:ascii="Arial" w:hAnsi="Arial" w:cs="Arial"/>
        </w:rPr>
        <w:t>same</w:t>
      </w:r>
      <w:r w:rsidR="004A73A4" w:rsidRPr="004A73A4">
        <w:rPr>
          <w:rFonts w:ascii="Arial" w:hAnsi="Arial" w:cs="Arial"/>
        </w:rPr>
        <w:t>.</w:t>
      </w:r>
      <w:r w:rsidR="00C77330" w:rsidRPr="004A73A4">
        <w:rPr>
          <w:rFonts w:ascii="Arial" w:hAnsi="Arial" w:cs="Arial"/>
        </w:rPr>
        <w:t xml:space="preserve"> </w:t>
      </w:r>
      <w:r w:rsidR="00C77330">
        <w:rPr>
          <w:rFonts w:ascii="Arial" w:hAnsi="Arial" w:cs="Arial"/>
        </w:rPr>
        <w:t>Nowhere in its affidavit is the applicant</w:t>
      </w:r>
      <w:r w:rsidR="00BA54BD">
        <w:rPr>
          <w:rFonts w:ascii="Arial" w:hAnsi="Arial" w:cs="Arial"/>
        </w:rPr>
        <w:t xml:space="preserve"> challenging the allegation it occupied the property for </w:t>
      </w:r>
      <w:r w:rsidR="0068774F">
        <w:rPr>
          <w:rFonts w:ascii="Arial" w:hAnsi="Arial" w:cs="Arial"/>
        </w:rPr>
        <w:t xml:space="preserve">about </w:t>
      </w:r>
      <w:r w:rsidR="00BA54BD">
        <w:rPr>
          <w:rFonts w:ascii="Arial" w:hAnsi="Arial" w:cs="Arial"/>
        </w:rPr>
        <w:t xml:space="preserve">10 years through a tenant and received </w:t>
      </w:r>
      <w:r w:rsidR="00C411C1">
        <w:rPr>
          <w:rFonts w:ascii="Arial" w:hAnsi="Arial" w:cs="Arial"/>
        </w:rPr>
        <w:t>rental</w:t>
      </w:r>
      <w:r w:rsidR="00BA54BD">
        <w:rPr>
          <w:rFonts w:ascii="Arial" w:hAnsi="Arial" w:cs="Arial"/>
        </w:rPr>
        <w:t xml:space="preserve"> payments</w:t>
      </w:r>
      <w:r w:rsidR="00C411C1">
        <w:rPr>
          <w:rFonts w:ascii="Arial" w:hAnsi="Arial" w:cs="Arial"/>
        </w:rPr>
        <w:t>.</w:t>
      </w:r>
    </w:p>
    <w:p w14:paraId="1A37A586" w14:textId="321127F3" w:rsidR="00FB6987" w:rsidRDefault="00AA53FE" w:rsidP="00EF0B0D">
      <w:pPr>
        <w:spacing w:line="360" w:lineRule="auto"/>
        <w:jc w:val="both"/>
        <w:rPr>
          <w:rFonts w:ascii="Arial" w:hAnsi="Arial" w:cs="Arial"/>
        </w:rPr>
      </w:pPr>
      <w:r>
        <w:rPr>
          <w:rFonts w:ascii="Arial" w:hAnsi="Arial" w:cs="Arial"/>
        </w:rPr>
        <w:t>[</w:t>
      </w:r>
      <w:r w:rsidR="00F02B75">
        <w:rPr>
          <w:rFonts w:ascii="Arial" w:hAnsi="Arial" w:cs="Arial"/>
        </w:rPr>
        <w:t>4</w:t>
      </w:r>
      <w:r w:rsidR="004A73A4">
        <w:rPr>
          <w:rFonts w:ascii="Arial" w:hAnsi="Arial" w:cs="Arial"/>
        </w:rPr>
        <w:t>3</w:t>
      </w:r>
      <w:r>
        <w:rPr>
          <w:rFonts w:ascii="Arial" w:hAnsi="Arial" w:cs="Arial"/>
        </w:rPr>
        <w:t xml:space="preserve">] </w:t>
      </w:r>
      <w:r w:rsidR="00C671B4">
        <w:rPr>
          <w:rFonts w:ascii="Arial" w:hAnsi="Arial" w:cs="Arial"/>
        </w:rPr>
        <w:t>The applicant baldly denies the</w:t>
      </w:r>
      <w:r w:rsidR="00B50B9E">
        <w:rPr>
          <w:rFonts w:ascii="Arial" w:hAnsi="Arial" w:cs="Arial"/>
        </w:rPr>
        <w:t>se</w:t>
      </w:r>
      <w:r w:rsidR="00C671B4">
        <w:rPr>
          <w:rFonts w:ascii="Arial" w:hAnsi="Arial" w:cs="Arial"/>
        </w:rPr>
        <w:t xml:space="preserve"> allegations. </w:t>
      </w:r>
      <w:r>
        <w:rPr>
          <w:rFonts w:ascii="Arial" w:hAnsi="Arial" w:cs="Arial"/>
        </w:rPr>
        <w:t>A closer examinatio</w:t>
      </w:r>
      <w:r w:rsidR="006A13FB">
        <w:rPr>
          <w:rFonts w:ascii="Arial" w:hAnsi="Arial" w:cs="Arial"/>
        </w:rPr>
        <w:t xml:space="preserve">n </w:t>
      </w:r>
      <w:r w:rsidR="00591179" w:rsidRPr="00926503">
        <w:rPr>
          <w:rFonts w:ascii="Arial" w:hAnsi="Arial" w:cs="Arial"/>
        </w:rPr>
        <w:t>illustrates</w:t>
      </w:r>
      <w:r w:rsidR="00591179">
        <w:rPr>
          <w:rFonts w:ascii="Arial" w:hAnsi="Arial" w:cs="Arial"/>
        </w:rPr>
        <w:t xml:space="preserve"> </w:t>
      </w:r>
      <w:r w:rsidR="00EB4454">
        <w:rPr>
          <w:rFonts w:ascii="Arial" w:hAnsi="Arial" w:cs="Arial"/>
        </w:rPr>
        <w:t xml:space="preserve">that the applicant only started to demand a refund of </w:t>
      </w:r>
      <w:r w:rsidR="00685B9A">
        <w:rPr>
          <w:rFonts w:ascii="Arial" w:hAnsi="Arial" w:cs="Arial"/>
        </w:rPr>
        <w:t xml:space="preserve">the purchase price by letter from its </w:t>
      </w:r>
      <w:r w:rsidR="00685B9A">
        <w:rPr>
          <w:rFonts w:ascii="Arial" w:hAnsi="Arial" w:cs="Arial"/>
        </w:rPr>
        <w:lastRenderedPageBreak/>
        <w:t>atto</w:t>
      </w:r>
      <w:r w:rsidR="00D47CD7">
        <w:rPr>
          <w:rFonts w:ascii="Arial" w:hAnsi="Arial" w:cs="Arial"/>
        </w:rPr>
        <w:t xml:space="preserve">rneys dated 13 April 2021. This was 10 years since the </w:t>
      </w:r>
      <w:r w:rsidR="00647BE8">
        <w:rPr>
          <w:rFonts w:ascii="Arial" w:hAnsi="Arial" w:cs="Arial"/>
        </w:rPr>
        <w:t xml:space="preserve">sale agreement was concluded and purchase price </w:t>
      </w:r>
      <w:r w:rsidR="004B4C11">
        <w:rPr>
          <w:rFonts w:ascii="Arial" w:hAnsi="Arial" w:cs="Arial"/>
        </w:rPr>
        <w:t xml:space="preserve">paid. This </w:t>
      </w:r>
      <w:r w:rsidR="00B249BC">
        <w:rPr>
          <w:rFonts w:ascii="Arial" w:hAnsi="Arial" w:cs="Arial"/>
        </w:rPr>
        <w:t>is</w:t>
      </w:r>
      <w:r w:rsidR="004B4C11">
        <w:rPr>
          <w:rFonts w:ascii="Arial" w:hAnsi="Arial" w:cs="Arial"/>
        </w:rPr>
        <w:t xml:space="preserve"> consistent with the version of the respondent that for 10 years the </w:t>
      </w:r>
      <w:r w:rsidR="00EE7235">
        <w:rPr>
          <w:rFonts w:ascii="Arial" w:hAnsi="Arial" w:cs="Arial"/>
        </w:rPr>
        <w:t xml:space="preserve">applicant had a tenant who paid rental. </w:t>
      </w:r>
    </w:p>
    <w:p w14:paraId="39C7A050" w14:textId="5B2FA7A7" w:rsidR="00743256" w:rsidRDefault="00A30AB0" w:rsidP="00EF0B0D">
      <w:pPr>
        <w:spacing w:line="360" w:lineRule="auto"/>
        <w:jc w:val="both"/>
        <w:rPr>
          <w:rFonts w:ascii="Arial" w:hAnsi="Arial" w:cs="Arial"/>
        </w:rPr>
      </w:pPr>
      <w:r>
        <w:rPr>
          <w:rFonts w:ascii="Arial" w:hAnsi="Arial" w:cs="Arial"/>
        </w:rPr>
        <w:t>[</w:t>
      </w:r>
      <w:r w:rsidR="00D216B3">
        <w:rPr>
          <w:rFonts w:ascii="Arial" w:hAnsi="Arial" w:cs="Arial"/>
        </w:rPr>
        <w:t>4</w:t>
      </w:r>
      <w:r w:rsidR="00B249BC">
        <w:rPr>
          <w:rFonts w:ascii="Arial" w:hAnsi="Arial" w:cs="Arial"/>
        </w:rPr>
        <w:t>4</w:t>
      </w:r>
      <w:r>
        <w:rPr>
          <w:rFonts w:ascii="Arial" w:hAnsi="Arial" w:cs="Arial"/>
        </w:rPr>
        <w:t xml:space="preserve">] After a consideration of all the facts </w:t>
      </w:r>
      <w:r w:rsidR="00C5038E">
        <w:rPr>
          <w:rFonts w:ascii="Arial" w:hAnsi="Arial" w:cs="Arial"/>
        </w:rPr>
        <w:t xml:space="preserve">and arguments and counter arguments, I am not persuaded that </w:t>
      </w:r>
      <w:r w:rsidR="001A109A">
        <w:rPr>
          <w:rFonts w:ascii="Arial" w:hAnsi="Arial" w:cs="Arial"/>
        </w:rPr>
        <w:t xml:space="preserve">respondent is unable to pay its debts as contemplated in </w:t>
      </w:r>
      <w:r w:rsidR="002571D0">
        <w:rPr>
          <w:rFonts w:ascii="Arial" w:hAnsi="Arial" w:cs="Arial"/>
        </w:rPr>
        <w:t xml:space="preserve">section 344 (f) of the Act. </w:t>
      </w:r>
    </w:p>
    <w:p w14:paraId="6EBFA078" w14:textId="77777777" w:rsidR="002E7FB9" w:rsidRPr="002E7FB9" w:rsidRDefault="002E7FB9" w:rsidP="00EF0B0D">
      <w:pPr>
        <w:spacing w:line="360" w:lineRule="auto"/>
        <w:jc w:val="both"/>
        <w:rPr>
          <w:rFonts w:ascii="Arial" w:hAnsi="Arial" w:cs="Arial"/>
        </w:rPr>
      </w:pPr>
    </w:p>
    <w:p w14:paraId="268450F5" w14:textId="27CC160C" w:rsidR="00DA065B" w:rsidRPr="00C77857" w:rsidRDefault="00603B97" w:rsidP="00EF0B0D">
      <w:pPr>
        <w:spacing w:line="360" w:lineRule="auto"/>
        <w:jc w:val="both"/>
        <w:rPr>
          <w:rFonts w:ascii="Arial" w:hAnsi="Arial" w:cs="Arial"/>
          <w:b/>
          <w:bCs/>
        </w:rPr>
      </w:pPr>
      <w:r w:rsidRPr="00C77857">
        <w:rPr>
          <w:rFonts w:ascii="Arial" w:hAnsi="Arial" w:cs="Arial"/>
          <w:b/>
          <w:bCs/>
        </w:rPr>
        <w:t xml:space="preserve">Order </w:t>
      </w:r>
    </w:p>
    <w:p w14:paraId="6C2AE7E3" w14:textId="74F2D6D9" w:rsidR="00603B97" w:rsidRDefault="00603B97" w:rsidP="00EF0B0D">
      <w:pPr>
        <w:spacing w:line="360" w:lineRule="auto"/>
        <w:jc w:val="both"/>
        <w:rPr>
          <w:rFonts w:ascii="Arial" w:hAnsi="Arial" w:cs="Arial"/>
        </w:rPr>
      </w:pPr>
      <w:r>
        <w:rPr>
          <w:rFonts w:ascii="Arial" w:hAnsi="Arial" w:cs="Arial"/>
        </w:rPr>
        <w:t>Application dismissed with costs</w:t>
      </w:r>
      <w:r w:rsidR="002D42C3">
        <w:rPr>
          <w:rFonts w:ascii="Arial" w:hAnsi="Arial" w:cs="Arial"/>
        </w:rPr>
        <w:t>.</w:t>
      </w:r>
    </w:p>
    <w:p w14:paraId="3D22814C" w14:textId="77777777" w:rsidR="00DA065B" w:rsidRDefault="00DA065B" w:rsidP="00EF0B0D">
      <w:pPr>
        <w:spacing w:line="360" w:lineRule="auto"/>
        <w:jc w:val="both"/>
        <w:rPr>
          <w:rFonts w:ascii="Arial" w:hAnsi="Arial" w:cs="Arial"/>
        </w:rPr>
      </w:pPr>
    </w:p>
    <w:p w14:paraId="6FC72696" w14:textId="77777777" w:rsidR="00DA065B" w:rsidRDefault="00DA065B" w:rsidP="00EF0B0D">
      <w:pPr>
        <w:spacing w:line="360" w:lineRule="auto"/>
        <w:jc w:val="both"/>
        <w:rPr>
          <w:rFonts w:ascii="Arial" w:hAnsi="Arial" w:cs="Arial"/>
        </w:rPr>
      </w:pPr>
    </w:p>
    <w:p w14:paraId="30959AA9" w14:textId="77777777" w:rsidR="00762AD0" w:rsidRDefault="00762AD0" w:rsidP="00EF0B0D">
      <w:pPr>
        <w:spacing w:line="360" w:lineRule="auto"/>
        <w:jc w:val="both"/>
        <w:rPr>
          <w:rFonts w:ascii="Arial" w:hAnsi="Arial" w:cs="Arial"/>
        </w:rPr>
      </w:pPr>
    </w:p>
    <w:p w14:paraId="384531EB" w14:textId="77777777" w:rsidR="00801D5D" w:rsidRDefault="00801D5D" w:rsidP="00EF0B0D">
      <w:pPr>
        <w:spacing w:line="360" w:lineRule="auto"/>
        <w:jc w:val="both"/>
        <w:rPr>
          <w:rFonts w:ascii="Arial" w:hAnsi="Arial" w:cs="Arial"/>
        </w:rPr>
      </w:pPr>
    </w:p>
    <w:p w14:paraId="716EE554" w14:textId="77777777" w:rsidR="00801D5D" w:rsidRDefault="00801D5D" w:rsidP="00EF0B0D">
      <w:pPr>
        <w:spacing w:line="360" w:lineRule="auto"/>
        <w:jc w:val="both"/>
        <w:rPr>
          <w:rFonts w:ascii="Arial" w:hAnsi="Arial" w:cs="Arial"/>
        </w:rPr>
      </w:pPr>
    </w:p>
    <w:p w14:paraId="624F32BF" w14:textId="77777777" w:rsidR="00976131" w:rsidRPr="00B43FC1" w:rsidRDefault="00976131" w:rsidP="00700EB6">
      <w:pPr>
        <w:spacing w:line="360" w:lineRule="auto"/>
        <w:jc w:val="right"/>
        <w:rPr>
          <w:rFonts w:ascii="Arial" w:hAnsi="Arial" w:cs="Arial"/>
        </w:rPr>
      </w:pPr>
    </w:p>
    <w:p w14:paraId="51F965FE" w14:textId="77777777" w:rsidR="00790CE0" w:rsidRDefault="00790CE0" w:rsidP="00700EB6">
      <w:pPr>
        <w:widowControl w:val="0"/>
        <w:tabs>
          <w:tab w:val="left" w:pos="0"/>
        </w:tabs>
        <w:spacing w:before="240" w:after="240" w:line="360" w:lineRule="auto"/>
        <w:contextualSpacing/>
        <w:jc w:val="right"/>
        <w:rPr>
          <w:rFonts w:ascii="Arial" w:hAnsi="Arial" w:cs="Arial"/>
        </w:rPr>
      </w:pPr>
      <w:r>
        <w:rPr>
          <w:rFonts w:ascii="Arial" w:hAnsi="Arial" w:cs="Arial"/>
        </w:rPr>
        <w:t xml:space="preserve">                                                                       ________________________________</w:t>
      </w:r>
    </w:p>
    <w:p w14:paraId="575C1E44" w14:textId="77777777" w:rsidR="00700EB6" w:rsidRDefault="00790CE0" w:rsidP="00700EB6">
      <w:pPr>
        <w:widowControl w:val="0"/>
        <w:tabs>
          <w:tab w:val="left" w:pos="0"/>
        </w:tabs>
        <w:spacing w:before="240" w:after="240" w:line="360" w:lineRule="auto"/>
        <w:ind w:left="1080"/>
        <w:contextualSpacing/>
        <w:jc w:val="right"/>
        <w:outlineLvl w:val="0"/>
        <w:rPr>
          <w:rFonts w:ascii="Arial" w:hAnsi="Arial" w:cs="Arial"/>
          <w:b/>
        </w:rPr>
      </w:pPr>
      <w:r>
        <w:rPr>
          <w:rFonts w:ascii="Arial" w:hAnsi="Arial" w:cs="Arial"/>
        </w:rPr>
        <w:t xml:space="preserve">                                                                  </w:t>
      </w:r>
      <w:r>
        <w:rPr>
          <w:rFonts w:ascii="Arial" w:hAnsi="Arial" w:cs="Arial"/>
          <w:b/>
        </w:rPr>
        <w:t xml:space="preserve"> THUPAATLASE AJ</w:t>
      </w:r>
    </w:p>
    <w:p w14:paraId="2BB87DA3" w14:textId="44CBBE9B" w:rsidR="008B6753" w:rsidRDefault="008B6753" w:rsidP="00700EB6">
      <w:pPr>
        <w:widowControl w:val="0"/>
        <w:tabs>
          <w:tab w:val="left" w:pos="0"/>
        </w:tabs>
        <w:spacing w:before="240" w:after="240" w:line="360" w:lineRule="auto"/>
        <w:ind w:left="1080"/>
        <w:contextualSpacing/>
        <w:jc w:val="right"/>
        <w:outlineLvl w:val="0"/>
        <w:rPr>
          <w:rFonts w:ascii="Arial" w:hAnsi="Arial" w:cs="Arial"/>
          <w:b/>
        </w:rPr>
      </w:pPr>
      <w:r>
        <w:rPr>
          <w:rFonts w:ascii="Arial" w:hAnsi="Arial" w:cs="Arial"/>
          <w:b/>
        </w:rPr>
        <w:t xml:space="preserve">  </w:t>
      </w:r>
      <w:r w:rsidR="00790CE0">
        <w:rPr>
          <w:rFonts w:ascii="Arial" w:hAnsi="Arial" w:cs="Arial"/>
          <w:b/>
        </w:rPr>
        <w:t xml:space="preserve"> ACTING JUDGE</w:t>
      </w:r>
      <w:r w:rsidR="00700EB6">
        <w:rPr>
          <w:rFonts w:ascii="Arial" w:hAnsi="Arial" w:cs="Arial"/>
          <w:b/>
        </w:rPr>
        <w:t xml:space="preserve"> OF</w:t>
      </w:r>
    </w:p>
    <w:p w14:paraId="2500D153" w14:textId="5B43DAF9" w:rsidR="00D26393" w:rsidRDefault="008B6753" w:rsidP="00700EB6">
      <w:pPr>
        <w:widowControl w:val="0"/>
        <w:tabs>
          <w:tab w:val="left" w:pos="0"/>
        </w:tabs>
        <w:spacing w:before="240" w:after="240" w:line="360" w:lineRule="auto"/>
        <w:ind w:left="1080"/>
        <w:contextualSpacing/>
        <w:jc w:val="right"/>
        <w:outlineLvl w:val="0"/>
        <w:rPr>
          <w:rFonts w:ascii="Arial" w:hAnsi="Arial" w:cs="Arial"/>
          <w:b/>
        </w:rPr>
      </w:pPr>
      <w:r>
        <w:rPr>
          <w:rFonts w:ascii="Arial" w:hAnsi="Arial" w:cs="Arial"/>
          <w:b/>
        </w:rPr>
        <w:t xml:space="preserve">                                        </w:t>
      </w:r>
      <w:r w:rsidR="00790CE0">
        <w:rPr>
          <w:rFonts w:ascii="Arial" w:hAnsi="Arial" w:cs="Arial"/>
          <w:b/>
        </w:rPr>
        <w:t>GAUTENG LOCAL DIVISION</w:t>
      </w:r>
      <w:r w:rsidR="004B0EF9">
        <w:rPr>
          <w:rFonts w:ascii="Arial" w:hAnsi="Arial" w:cs="Arial"/>
          <w:b/>
        </w:rPr>
        <w:t xml:space="preserve"> JOHANNESBURG </w:t>
      </w:r>
    </w:p>
    <w:p w14:paraId="3C908E9C" w14:textId="77777777" w:rsidR="00976131" w:rsidRDefault="00976131" w:rsidP="00976131">
      <w:pPr>
        <w:widowControl w:val="0"/>
        <w:tabs>
          <w:tab w:val="left" w:pos="0"/>
        </w:tabs>
        <w:spacing w:before="240" w:after="240" w:line="360" w:lineRule="auto"/>
        <w:ind w:left="1080"/>
        <w:contextualSpacing/>
        <w:jc w:val="both"/>
        <w:outlineLvl w:val="0"/>
        <w:rPr>
          <w:rFonts w:ascii="Arial" w:hAnsi="Arial" w:cs="Arial"/>
          <w:b/>
        </w:rPr>
      </w:pPr>
    </w:p>
    <w:p w14:paraId="10A27E9C" w14:textId="77777777" w:rsidR="00976131" w:rsidRDefault="00976131" w:rsidP="00976131">
      <w:pPr>
        <w:widowControl w:val="0"/>
        <w:tabs>
          <w:tab w:val="left" w:pos="0"/>
        </w:tabs>
        <w:spacing w:before="240" w:after="240" w:line="360" w:lineRule="auto"/>
        <w:ind w:left="1080"/>
        <w:contextualSpacing/>
        <w:jc w:val="both"/>
        <w:outlineLvl w:val="0"/>
        <w:rPr>
          <w:rFonts w:ascii="Arial" w:hAnsi="Arial" w:cs="Arial"/>
          <w:b/>
        </w:rPr>
      </w:pPr>
    </w:p>
    <w:p w14:paraId="4597C017" w14:textId="77777777" w:rsidR="00D26393" w:rsidRDefault="00D26393" w:rsidP="00EB4E64">
      <w:pPr>
        <w:widowControl w:val="0"/>
        <w:tabs>
          <w:tab w:val="left" w:pos="0"/>
        </w:tabs>
        <w:spacing w:before="240" w:after="240" w:line="360" w:lineRule="auto"/>
        <w:ind w:left="1080"/>
        <w:contextualSpacing/>
        <w:jc w:val="both"/>
        <w:outlineLvl w:val="0"/>
        <w:rPr>
          <w:rFonts w:ascii="Arial" w:hAnsi="Arial" w:cs="Arial"/>
          <w:b/>
        </w:rPr>
      </w:pPr>
    </w:p>
    <w:p w14:paraId="49BA59FD" w14:textId="77777777" w:rsidR="00D26393" w:rsidRDefault="00D26393" w:rsidP="00EB4E64">
      <w:pPr>
        <w:widowControl w:val="0"/>
        <w:tabs>
          <w:tab w:val="left" w:pos="0"/>
        </w:tabs>
        <w:spacing w:before="240" w:after="240" w:line="360" w:lineRule="auto"/>
        <w:ind w:left="1080"/>
        <w:contextualSpacing/>
        <w:jc w:val="both"/>
        <w:outlineLvl w:val="0"/>
        <w:rPr>
          <w:rFonts w:ascii="Arial" w:hAnsi="Arial" w:cs="Arial"/>
          <w:b/>
        </w:rPr>
      </w:pPr>
    </w:p>
    <w:p w14:paraId="6482C48E" w14:textId="77777777" w:rsidR="00D26393" w:rsidRDefault="00D26393" w:rsidP="00EB4E64">
      <w:pPr>
        <w:widowControl w:val="0"/>
        <w:tabs>
          <w:tab w:val="left" w:pos="0"/>
        </w:tabs>
        <w:spacing w:before="240" w:after="240" w:line="360" w:lineRule="auto"/>
        <w:ind w:left="1080"/>
        <w:contextualSpacing/>
        <w:jc w:val="both"/>
        <w:outlineLvl w:val="0"/>
        <w:rPr>
          <w:rFonts w:ascii="Arial" w:hAnsi="Arial" w:cs="Arial"/>
          <w:b/>
        </w:rPr>
      </w:pPr>
    </w:p>
    <w:p w14:paraId="3E550862" w14:textId="77777777" w:rsidR="00D26393" w:rsidRDefault="00D26393" w:rsidP="00EB4E64">
      <w:pPr>
        <w:widowControl w:val="0"/>
        <w:tabs>
          <w:tab w:val="left" w:pos="0"/>
        </w:tabs>
        <w:spacing w:before="240" w:after="240" w:line="360" w:lineRule="auto"/>
        <w:ind w:left="1080"/>
        <w:contextualSpacing/>
        <w:jc w:val="both"/>
        <w:outlineLvl w:val="0"/>
        <w:rPr>
          <w:rFonts w:ascii="Arial" w:hAnsi="Arial" w:cs="Arial"/>
          <w:b/>
        </w:rPr>
      </w:pPr>
    </w:p>
    <w:p w14:paraId="69F147C7" w14:textId="77777777" w:rsidR="00EB4E64" w:rsidRDefault="00EB4E64" w:rsidP="00EB4E64">
      <w:pPr>
        <w:widowControl w:val="0"/>
        <w:tabs>
          <w:tab w:val="left" w:pos="0"/>
        </w:tabs>
        <w:spacing w:before="240" w:after="240" w:line="360" w:lineRule="auto"/>
        <w:ind w:left="1080"/>
        <w:contextualSpacing/>
        <w:jc w:val="both"/>
        <w:outlineLvl w:val="0"/>
        <w:rPr>
          <w:rFonts w:ascii="Arial" w:hAnsi="Arial" w:cs="Arial"/>
          <w:b/>
        </w:rPr>
      </w:pPr>
    </w:p>
    <w:p w14:paraId="70C2F714" w14:textId="77777777" w:rsidR="007729FE" w:rsidRDefault="006F6C3A" w:rsidP="007729FE">
      <w:pPr>
        <w:widowControl w:val="0"/>
        <w:tabs>
          <w:tab w:val="left" w:pos="0"/>
        </w:tabs>
        <w:spacing w:before="240" w:after="240" w:line="360" w:lineRule="auto"/>
        <w:contextualSpacing/>
        <w:jc w:val="both"/>
        <w:outlineLvl w:val="0"/>
        <w:rPr>
          <w:rFonts w:ascii="Arial" w:hAnsi="Arial" w:cs="Arial"/>
        </w:rPr>
      </w:pPr>
      <w:r w:rsidRPr="00EB4E64">
        <w:rPr>
          <w:rFonts w:ascii="Arial" w:hAnsi="Arial" w:cs="Arial"/>
        </w:rPr>
        <w:t>D</w:t>
      </w:r>
      <w:r w:rsidR="00790CE0" w:rsidRPr="00EB4E64">
        <w:rPr>
          <w:rFonts w:ascii="Arial" w:hAnsi="Arial" w:cs="Arial"/>
        </w:rPr>
        <w:t>ate o</w:t>
      </w:r>
      <w:r w:rsidR="000E1612" w:rsidRPr="00EB4E64">
        <w:rPr>
          <w:rFonts w:ascii="Arial" w:hAnsi="Arial" w:cs="Arial"/>
        </w:rPr>
        <w:t xml:space="preserve">f Hearing: </w:t>
      </w:r>
      <w:r w:rsidR="00816224">
        <w:rPr>
          <w:rFonts w:ascii="Arial" w:hAnsi="Arial" w:cs="Arial"/>
        </w:rPr>
        <w:t xml:space="preserve">25 </w:t>
      </w:r>
      <w:r w:rsidR="00D926BD">
        <w:rPr>
          <w:rFonts w:ascii="Arial" w:hAnsi="Arial" w:cs="Arial"/>
        </w:rPr>
        <w:t xml:space="preserve">October 2023 </w:t>
      </w:r>
    </w:p>
    <w:p w14:paraId="429AC278" w14:textId="0614E9FF" w:rsidR="006F6C3A" w:rsidRPr="00EB4E64" w:rsidRDefault="006F6C3A" w:rsidP="007729FE">
      <w:pPr>
        <w:widowControl w:val="0"/>
        <w:tabs>
          <w:tab w:val="left" w:pos="0"/>
        </w:tabs>
        <w:spacing w:before="240" w:after="240" w:line="360" w:lineRule="auto"/>
        <w:contextualSpacing/>
        <w:jc w:val="both"/>
        <w:outlineLvl w:val="0"/>
        <w:rPr>
          <w:rFonts w:ascii="Arial" w:hAnsi="Arial" w:cs="Arial"/>
        </w:rPr>
      </w:pPr>
      <w:r w:rsidRPr="00EB4E64">
        <w:rPr>
          <w:rFonts w:ascii="Arial" w:hAnsi="Arial" w:cs="Arial"/>
        </w:rPr>
        <w:t xml:space="preserve">Judgment Delivered: </w:t>
      </w:r>
      <w:r w:rsidR="00427C2D">
        <w:rPr>
          <w:rFonts w:ascii="Arial" w:hAnsi="Arial" w:cs="Arial"/>
        </w:rPr>
        <w:t>12 January</w:t>
      </w:r>
      <w:r w:rsidR="00D926BD">
        <w:rPr>
          <w:rFonts w:ascii="Arial" w:hAnsi="Arial" w:cs="Arial"/>
        </w:rPr>
        <w:t xml:space="preserve"> 202</w:t>
      </w:r>
      <w:r w:rsidR="00DC475B">
        <w:rPr>
          <w:rFonts w:ascii="Arial" w:hAnsi="Arial" w:cs="Arial"/>
        </w:rPr>
        <w:t>4</w:t>
      </w:r>
      <w:r w:rsidR="00D926BD">
        <w:rPr>
          <w:rFonts w:ascii="Arial" w:hAnsi="Arial" w:cs="Arial"/>
        </w:rPr>
        <w:t>.</w:t>
      </w:r>
    </w:p>
    <w:p w14:paraId="46233CDA" w14:textId="015D5959" w:rsidR="00790CE0" w:rsidRDefault="0016480B" w:rsidP="006F6C3A">
      <w:pPr>
        <w:spacing w:line="276" w:lineRule="auto"/>
        <w:ind w:left="3600" w:hanging="3600"/>
        <w:jc w:val="both"/>
        <w:outlineLvl w:val="0"/>
        <w:rPr>
          <w:rFonts w:ascii="Arial" w:hAnsi="Arial" w:cs="Arial"/>
        </w:rPr>
      </w:pPr>
      <w:r w:rsidRPr="00EB4E64">
        <w:rPr>
          <w:rFonts w:ascii="Arial" w:hAnsi="Arial" w:cs="Arial"/>
        </w:rPr>
        <w:t>For th</w:t>
      </w:r>
      <w:r w:rsidR="000E1612" w:rsidRPr="00EB4E64">
        <w:rPr>
          <w:rFonts w:ascii="Arial" w:hAnsi="Arial" w:cs="Arial"/>
        </w:rPr>
        <w:t xml:space="preserve">e Applicant: </w:t>
      </w:r>
      <w:r w:rsidR="001B4191">
        <w:rPr>
          <w:rFonts w:ascii="Arial" w:hAnsi="Arial" w:cs="Arial"/>
        </w:rPr>
        <w:t>Adv.</w:t>
      </w:r>
      <w:r w:rsidR="00BB5979">
        <w:rPr>
          <w:rFonts w:ascii="Arial" w:hAnsi="Arial" w:cs="Arial"/>
        </w:rPr>
        <w:t xml:space="preserve"> A Rossouw</w:t>
      </w:r>
      <w:r w:rsidR="001B4191">
        <w:rPr>
          <w:rFonts w:ascii="Arial" w:hAnsi="Arial" w:cs="Arial"/>
        </w:rPr>
        <w:t xml:space="preserve"> SC assisted </w:t>
      </w:r>
      <w:r w:rsidR="00557478">
        <w:rPr>
          <w:rFonts w:ascii="Arial" w:hAnsi="Arial" w:cs="Arial"/>
        </w:rPr>
        <w:t>by</w:t>
      </w:r>
    </w:p>
    <w:p w14:paraId="50E24711" w14:textId="6F78CAFE" w:rsidR="00790CE0" w:rsidRPr="00EB4E64" w:rsidRDefault="004C7F26" w:rsidP="00D205BE">
      <w:pPr>
        <w:spacing w:line="276" w:lineRule="auto"/>
        <w:ind w:left="3600" w:hanging="2160"/>
        <w:jc w:val="both"/>
        <w:outlineLvl w:val="0"/>
        <w:rPr>
          <w:rFonts w:ascii="Arial" w:hAnsi="Arial" w:cs="Arial"/>
        </w:rPr>
      </w:pPr>
      <w:r>
        <w:rPr>
          <w:rFonts w:ascii="Arial" w:hAnsi="Arial" w:cs="Arial"/>
        </w:rPr>
        <w:t xml:space="preserve">       </w:t>
      </w:r>
      <w:r w:rsidR="00557478">
        <w:rPr>
          <w:rFonts w:ascii="Arial" w:hAnsi="Arial" w:cs="Arial"/>
        </w:rPr>
        <w:t xml:space="preserve">Adv. </w:t>
      </w:r>
      <w:r w:rsidR="00BB5979">
        <w:rPr>
          <w:rFonts w:ascii="Arial" w:hAnsi="Arial" w:cs="Arial"/>
        </w:rPr>
        <w:t xml:space="preserve">M </w:t>
      </w:r>
      <w:r>
        <w:rPr>
          <w:rFonts w:ascii="Arial" w:hAnsi="Arial" w:cs="Arial"/>
        </w:rPr>
        <w:t xml:space="preserve">Jorge </w:t>
      </w:r>
    </w:p>
    <w:p w14:paraId="13CD4925" w14:textId="53B7B885" w:rsidR="006F6C3A" w:rsidRPr="00EB4E64" w:rsidRDefault="00790CE0" w:rsidP="006F6C3A">
      <w:pPr>
        <w:spacing w:line="276" w:lineRule="auto"/>
        <w:ind w:left="3600" w:hanging="3600"/>
        <w:jc w:val="both"/>
        <w:outlineLvl w:val="0"/>
        <w:rPr>
          <w:rFonts w:ascii="Arial" w:hAnsi="Arial" w:cs="Arial"/>
        </w:rPr>
      </w:pPr>
      <w:r w:rsidRPr="00EB4E64">
        <w:rPr>
          <w:rFonts w:ascii="Arial" w:hAnsi="Arial" w:cs="Arial"/>
        </w:rPr>
        <w:t>Instructed by</w:t>
      </w:r>
      <w:r w:rsidR="000E1612" w:rsidRPr="00EB4E64">
        <w:rPr>
          <w:rFonts w:ascii="Arial" w:hAnsi="Arial" w:cs="Arial"/>
        </w:rPr>
        <w:t>:</w:t>
      </w:r>
      <w:r w:rsidR="0016480B" w:rsidRPr="00EB4E64">
        <w:rPr>
          <w:rFonts w:ascii="Arial" w:hAnsi="Arial" w:cs="Arial"/>
        </w:rPr>
        <w:t xml:space="preserve"> </w:t>
      </w:r>
      <w:r w:rsidR="004C7F26">
        <w:rPr>
          <w:rFonts w:ascii="Arial" w:hAnsi="Arial" w:cs="Arial"/>
        </w:rPr>
        <w:t>A</w:t>
      </w:r>
      <w:r w:rsidR="00934F7D">
        <w:rPr>
          <w:rFonts w:ascii="Arial" w:hAnsi="Arial" w:cs="Arial"/>
        </w:rPr>
        <w:t xml:space="preserve">fzal </w:t>
      </w:r>
      <w:proofErr w:type="spellStart"/>
      <w:r w:rsidR="00934F7D">
        <w:rPr>
          <w:rFonts w:ascii="Arial" w:hAnsi="Arial" w:cs="Arial"/>
        </w:rPr>
        <w:t>Lahree</w:t>
      </w:r>
      <w:proofErr w:type="spellEnd"/>
      <w:r w:rsidR="00934F7D">
        <w:rPr>
          <w:rFonts w:ascii="Arial" w:hAnsi="Arial" w:cs="Arial"/>
        </w:rPr>
        <w:t xml:space="preserve"> Attorneys </w:t>
      </w:r>
      <w:r w:rsidR="0016480B" w:rsidRPr="00EB4E64">
        <w:rPr>
          <w:rFonts w:ascii="Arial" w:hAnsi="Arial" w:cs="Arial"/>
        </w:rPr>
        <w:t xml:space="preserve">   </w:t>
      </w:r>
    </w:p>
    <w:p w14:paraId="457BCE7B" w14:textId="77777777" w:rsidR="006F6C3A" w:rsidRPr="00EB4E64" w:rsidRDefault="006F6C3A" w:rsidP="006F6C3A">
      <w:pPr>
        <w:spacing w:line="276" w:lineRule="auto"/>
        <w:jc w:val="both"/>
        <w:outlineLvl w:val="0"/>
        <w:rPr>
          <w:rFonts w:ascii="Arial" w:hAnsi="Arial" w:cs="Arial"/>
        </w:rPr>
      </w:pPr>
    </w:p>
    <w:p w14:paraId="39AD2DCF" w14:textId="41293E09" w:rsidR="006F6C3A" w:rsidRDefault="0016480B" w:rsidP="006F6C3A">
      <w:pPr>
        <w:spacing w:line="276" w:lineRule="auto"/>
        <w:jc w:val="both"/>
        <w:outlineLvl w:val="0"/>
        <w:rPr>
          <w:rFonts w:ascii="Arial" w:hAnsi="Arial" w:cs="Arial"/>
        </w:rPr>
      </w:pPr>
      <w:r w:rsidRPr="00EB4E64">
        <w:rPr>
          <w:rFonts w:ascii="Arial" w:hAnsi="Arial" w:cs="Arial"/>
        </w:rPr>
        <w:t>For t</w:t>
      </w:r>
      <w:r w:rsidR="000E1612" w:rsidRPr="00EB4E64">
        <w:rPr>
          <w:rFonts w:ascii="Arial" w:hAnsi="Arial" w:cs="Arial"/>
        </w:rPr>
        <w:t>he Respondent:</w:t>
      </w:r>
      <w:r w:rsidR="00821FCD">
        <w:rPr>
          <w:rFonts w:ascii="Arial" w:hAnsi="Arial" w:cs="Arial"/>
        </w:rPr>
        <w:t xml:space="preserve"> </w:t>
      </w:r>
      <w:r w:rsidR="00D26393">
        <w:rPr>
          <w:rFonts w:ascii="Arial" w:hAnsi="Arial" w:cs="Arial"/>
        </w:rPr>
        <w:t xml:space="preserve">Adv. </w:t>
      </w:r>
      <w:r w:rsidR="000104BE">
        <w:rPr>
          <w:rFonts w:ascii="Arial" w:hAnsi="Arial" w:cs="Arial"/>
        </w:rPr>
        <w:t xml:space="preserve">AF </w:t>
      </w:r>
      <w:r w:rsidR="003D338C">
        <w:rPr>
          <w:rFonts w:ascii="Arial" w:hAnsi="Arial" w:cs="Arial"/>
        </w:rPr>
        <w:t xml:space="preserve">Arnoldi SC assisted by </w:t>
      </w:r>
    </w:p>
    <w:p w14:paraId="0D279144" w14:textId="180023B3" w:rsidR="003D338C" w:rsidRPr="00EB4E64" w:rsidRDefault="000104BE" w:rsidP="003D338C">
      <w:pPr>
        <w:spacing w:line="276" w:lineRule="auto"/>
        <w:ind w:left="1440" w:firstLine="720"/>
        <w:jc w:val="both"/>
        <w:outlineLvl w:val="0"/>
        <w:rPr>
          <w:rFonts w:ascii="Arial" w:hAnsi="Arial" w:cs="Arial"/>
        </w:rPr>
      </w:pPr>
      <w:r>
        <w:rPr>
          <w:rFonts w:ascii="Arial" w:hAnsi="Arial" w:cs="Arial"/>
        </w:rPr>
        <w:t xml:space="preserve"> </w:t>
      </w:r>
      <w:r w:rsidR="003D338C">
        <w:rPr>
          <w:rFonts w:ascii="Arial" w:hAnsi="Arial" w:cs="Arial"/>
        </w:rPr>
        <w:t xml:space="preserve">Adv. C de Villiers </w:t>
      </w:r>
    </w:p>
    <w:p w14:paraId="43C331F8" w14:textId="77777777" w:rsidR="006F6C3A" w:rsidRPr="00EB4E64" w:rsidRDefault="006F6C3A" w:rsidP="006F6C3A">
      <w:pPr>
        <w:spacing w:line="276" w:lineRule="auto"/>
        <w:jc w:val="both"/>
        <w:outlineLvl w:val="0"/>
        <w:rPr>
          <w:rFonts w:ascii="Arial" w:hAnsi="Arial" w:cs="Arial"/>
        </w:rPr>
      </w:pPr>
    </w:p>
    <w:p w14:paraId="3260D3C8" w14:textId="26A8FE93" w:rsidR="006F6C3A" w:rsidRPr="00EB4E64" w:rsidRDefault="000E1612" w:rsidP="006F6C3A">
      <w:pPr>
        <w:rPr>
          <w:rFonts w:ascii="Arial" w:hAnsi="Arial" w:cs="Arial"/>
        </w:rPr>
      </w:pPr>
      <w:r w:rsidRPr="00EB4E64">
        <w:rPr>
          <w:rFonts w:ascii="Arial" w:hAnsi="Arial" w:cs="Arial"/>
        </w:rPr>
        <w:t>Instructed</w:t>
      </w:r>
      <w:r w:rsidR="00BB5979">
        <w:rPr>
          <w:rFonts w:ascii="Arial" w:hAnsi="Arial" w:cs="Arial"/>
        </w:rPr>
        <w:t xml:space="preserve"> by</w:t>
      </w:r>
      <w:r w:rsidRPr="00EB4E64">
        <w:rPr>
          <w:rFonts w:ascii="Arial" w:hAnsi="Arial" w:cs="Arial"/>
        </w:rPr>
        <w:t>:</w:t>
      </w:r>
      <w:r w:rsidR="003D338C">
        <w:rPr>
          <w:rFonts w:ascii="Arial" w:hAnsi="Arial" w:cs="Arial"/>
        </w:rPr>
        <w:t xml:space="preserve"> </w:t>
      </w:r>
      <w:r w:rsidR="000104BE">
        <w:rPr>
          <w:rFonts w:ascii="Arial" w:hAnsi="Arial" w:cs="Arial"/>
        </w:rPr>
        <w:t xml:space="preserve">Delberg Attorneys </w:t>
      </w:r>
    </w:p>
    <w:p w14:paraId="47A96D95" w14:textId="77777777" w:rsidR="006F6C3A" w:rsidRPr="00EB4E64" w:rsidRDefault="006F6C3A" w:rsidP="006F6C3A">
      <w:pPr>
        <w:spacing w:line="360" w:lineRule="auto"/>
        <w:jc w:val="both"/>
        <w:rPr>
          <w:rFonts w:ascii="Arial" w:hAnsi="Arial" w:cs="Arial"/>
        </w:rPr>
      </w:pPr>
    </w:p>
    <w:p w14:paraId="49DDC35F" w14:textId="77777777" w:rsidR="006F7C88" w:rsidRDefault="006F7C88"/>
    <w:sectPr w:rsidR="006F7C88" w:rsidSect="000307B1">
      <w:headerReference w:type="default" r:id="rId13"/>
      <w:footerReference w:type="defaul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92C9" w14:textId="77777777" w:rsidR="000307B1" w:rsidRDefault="000307B1" w:rsidP="006F6C3A">
      <w:r>
        <w:separator/>
      </w:r>
    </w:p>
  </w:endnote>
  <w:endnote w:type="continuationSeparator" w:id="0">
    <w:p w14:paraId="2FB2EE63" w14:textId="77777777" w:rsidR="000307B1" w:rsidRDefault="000307B1" w:rsidP="006F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488929"/>
      <w:docPartObj>
        <w:docPartGallery w:val="Page Numbers (Bottom of Page)"/>
        <w:docPartUnique/>
      </w:docPartObj>
    </w:sdtPr>
    <w:sdtEndPr>
      <w:rPr>
        <w:noProof/>
      </w:rPr>
    </w:sdtEndPr>
    <w:sdtContent>
      <w:p w14:paraId="693676BA" w14:textId="4A23F026" w:rsidR="00F17DAF" w:rsidRDefault="00F17DAF">
        <w:pPr>
          <w:pStyle w:val="Footer"/>
          <w:jc w:val="center"/>
        </w:pPr>
        <w:r>
          <w:fldChar w:fldCharType="begin"/>
        </w:r>
        <w:r>
          <w:instrText xml:space="preserve"> PAGE   \* MERGEFORMAT </w:instrText>
        </w:r>
        <w:r>
          <w:fldChar w:fldCharType="separate"/>
        </w:r>
        <w:r w:rsidR="00F21939">
          <w:rPr>
            <w:noProof/>
          </w:rPr>
          <w:t>12</w:t>
        </w:r>
        <w:r>
          <w:rPr>
            <w:noProof/>
          </w:rPr>
          <w:fldChar w:fldCharType="end"/>
        </w:r>
      </w:p>
    </w:sdtContent>
  </w:sdt>
  <w:p w14:paraId="57E7A952" w14:textId="77777777" w:rsidR="00F17DAF" w:rsidRDefault="00F17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A2D0" w14:textId="77777777" w:rsidR="000307B1" w:rsidRDefault="000307B1" w:rsidP="006F6C3A">
      <w:r>
        <w:separator/>
      </w:r>
    </w:p>
  </w:footnote>
  <w:footnote w:type="continuationSeparator" w:id="0">
    <w:p w14:paraId="2F26C28A" w14:textId="77777777" w:rsidR="000307B1" w:rsidRDefault="000307B1" w:rsidP="006F6C3A">
      <w:r>
        <w:continuationSeparator/>
      </w:r>
    </w:p>
  </w:footnote>
  <w:footnote w:id="1">
    <w:p w14:paraId="202347E6" w14:textId="69D863E6" w:rsidR="004241A0" w:rsidRDefault="004241A0">
      <w:pPr>
        <w:pStyle w:val="FootnoteText"/>
      </w:pPr>
      <w:r>
        <w:rPr>
          <w:rStyle w:val="FootnoteReference"/>
        </w:rPr>
        <w:footnoteRef/>
      </w:r>
      <w:r>
        <w:t xml:space="preserve"> </w:t>
      </w:r>
      <w:r w:rsidR="005F41A8">
        <w:t>Loosely translated as: ‘It is clear that it is not a requirement of our law for a contract of sale to be valid that the seller must be the owner of the thing sold. Although it is the purpose of the contract of sale that the purchaser will become the owner of the thing sold, the seller is not obliged to give ownership thereof to the purchaser. He is only obliged to place the purchaser I possession and to warrant that he will not be evicted. This means that the seller guarantees that no-one with a stronger right thereto will deprive the purchaser of the possession of the thing sold and that the seller will protect the purchaser’s possession of the thing’.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5C4C" w14:textId="6556BF16" w:rsidR="00F17DAF" w:rsidRDefault="00F17DAF" w:rsidP="00EB4E64">
    <w:pPr>
      <w:pStyle w:val="Header"/>
      <w:jc w:val="center"/>
    </w:pPr>
  </w:p>
  <w:p w14:paraId="43ECA7CD" w14:textId="77777777" w:rsidR="00F17DAF" w:rsidRDefault="00F17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DDB"/>
    <w:multiLevelType w:val="hybridMultilevel"/>
    <w:tmpl w:val="2C787248"/>
    <w:lvl w:ilvl="0" w:tplc="66CE4E48">
      <w:start w:val="1"/>
      <w:numFmt w:val="decimal"/>
      <w:lvlText w:val="[%1] "/>
      <w:lvlJc w:val="left"/>
      <w:pPr>
        <w:ind w:left="6739"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0923A9"/>
    <w:multiLevelType w:val="hybridMultilevel"/>
    <w:tmpl w:val="10CA8D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0D120C82"/>
    <w:multiLevelType w:val="hybridMultilevel"/>
    <w:tmpl w:val="2C226F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B5242A4"/>
    <w:multiLevelType w:val="hybridMultilevel"/>
    <w:tmpl w:val="782CAB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270614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08748">
    <w:abstractNumId w:val="0"/>
  </w:num>
  <w:num w:numId="3" w16cid:durableId="1566528135">
    <w:abstractNumId w:val="1"/>
  </w:num>
  <w:num w:numId="4" w16cid:durableId="230893825">
    <w:abstractNumId w:val="4"/>
  </w:num>
  <w:num w:numId="5" w16cid:durableId="813717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1Njc1NjY2swSyLJV0lIJTi4sz8/NACgxrAVtnMrIsAAAA"/>
  </w:docVars>
  <w:rsids>
    <w:rsidRoot w:val="006F6C3A"/>
    <w:rsid w:val="0000269A"/>
    <w:rsid w:val="0000404C"/>
    <w:rsid w:val="00004CFD"/>
    <w:rsid w:val="0000591F"/>
    <w:rsid w:val="000104BE"/>
    <w:rsid w:val="00011C11"/>
    <w:rsid w:val="00020C24"/>
    <w:rsid w:val="000262B1"/>
    <w:rsid w:val="000307B1"/>
    <w:rsid w:val="00033483"/>
    <w:rsid w:val="00035100"/>
    <w:rsid w:val="00036576"/>
    <w:rsid w:val="0003664E"/>
    <w:rsid w:val="00040B25"/>
    <w:rsid w:val="00040FAA"/>
    <w:rsid w:val="000411E5"/>
    <w:rsid w:val="00041FBB"/>
    <w:rsid w:val="00046AA0"/>
    <w:rsid w:val="00051F5E"/>
    <w:rsid w:val="0005604E"/>
    <w:rsid w:val="0005724E"/>
    <w:rsid w:val="0006195B"/>
    <w:rsid w:val="00062700"/>
    <w:rsid w:val="00081436"/>
    <w:rsid w:val="00081BEC"/>
    <w:rsid w:val="0009273B"/>
    <w:rsid w:val="00095C44"/>
    <w:rsid w:val="000A1BB3"/>
    <w:rsid w:val="000A249A"/>
    <w:rsid w:val="000A4983"/>
    <w:rsid w:val="000A6FD3"/>
    <w:rsid w:val="000A7108"/>
    <w:rsid w:val="000A7C74"/>
    <w:rsid w:val="000A7CAC"/>
    <w:rsid w:val="000B2B1C"/>
    <w:rsid w:val="000B56CE"/>
    <w:rsid w:val="000B72C1"/>
    <w:rsid w:val="000C3584"/>
    <w:rsid w:val="000C601D"/>
    <w:rsid w:val="000C6494"/>
    <w:rsid w:val="000C65E4"/>
    <w:rsid w:val="000C7989"/>
    <w:rsid w:val="000D220A"/>
    <w:rsid w:val="000D5D39"/>
    <w:rsid w:val="000D7272"/>
    <w:rsid w:val="000E1612"/>
    <w:rsid w:val="000E33F3"/>
    <w:rsid w:val="000E5D24"/>
    <w:rsid w:val="000E70A2"/>
    <w:rsid w:val="000F1403"/>
    <w:rsid w:val="000F1BE6"/>
    <w:rsid w:val="000F2804"/>
    <w:rsid w:val="000F3824"/>
    <w:rsid w:val="000F3992"/>
    <w:rsid w:val="000F4317"/>
    <w:rsid w:val="0010290D"/>
    <w:rsid w:val="0011116A"/>
    <w:rsid w:val="0011456A"/>
    <w:rsid w:val="001145BA"/>
    <w:rsid w:val="00114FC2"/>
    <w:rsid w:val="00115ED1"/>
    <w:rsid w:val="00122890"/>
    <w:rsid w:val="001323B2"/>
    <w:rsid w:val="00133AD3"/>
    <w:rsid w:val="00134B2B"/>
    <w:rsid w:val="001402DF"/>
    <w:rsid w:val="00142137"/>
    <w:rsid w:val="00143116"/>
    <w:rsid w:val="00147128"/>
    <w:rsid w:val="001508B9"/>
    <w:rsid w:val="00150996"/>
    <w:rsid w:val="0015772A"/>
    <w:rsid w:val="00161910"/>
    <w:rsid w:val="001645E3"/>
    <w:rsid w:val="0016480B"/>
    <w:rsid w:val="00164ED5"/>
    <w:rsid w:val="00166065"/>
    <w:rsid w:val="00170FD4"/>
    <w:rsid w:val="001716AE"/>
    <w:rsid w:val="0017541F"/>
    <w:rsid w:val="00176D3C"/>
    <w:rsid w:val="00184102"/>
    <w:rsid w:val="001865F9"/>
    <w:rsid w:val="00193582"/>
    <w:rsid w:val="0019760D"/>
    <w:rsid w:val="001A015C"/>
    <w:rsid w:val="001A109A"/>
    <w:rsid w:val="001A2CA1"/>
    <w:rsid w:val="001B0F77"/>
    <w:rsid w:val="001B294F"/>
    <w:rsid w:val="001B4191"/>
    <w:rsid w:val="001B6E30"/>
    <w:rsid w:val="001C267C"/>
    <w:rsid w:val="001C3382"/>
    <w:rsid w:val="001C6009"/>
    <w:rsid w:val="001C67D8"/>
    <w:rsid w:val="001C6C2C"/>
    <w:rsid w:val="001C7D40"/>
    <w:rsid w:val="001D009E"/>
    <w:rsid w:val="001D3870"/>
    <w:rsid w:val="001D3DEC"/>
    <w:rsid w:val="001D72C8"/>
    <w:rsid w:val="001E119D"/>
    <w:rsid w:val="001E187F"/>
    <w:rsid w:val="001E37A3"/>
    <w:rsid w:val="001E390C"/>
    <w:rsid w:val="001E480E"/>
    <w:rsid w:val="001E74CA"/>
    <w:rsid w:val="001F05FA"/>
    <w:rsid w:val="001F0BE6"/>
    <w:rsid w:val="001F101E"/>
    <w:rsid w:val="001F1B67"/>
    <w:rsid w:val="001F38D6"/>
    <w:rsid w:val="001F642D"/>
    <w:rsid w:val="0020021F"/>
    <w:rsid w:val="00204A80"/>
    <w:rsid w:val="00205DAB"/>
    <w:rsid w:val="00210259"/>
    <w:rsid w:val="00211917"/>
    <w:rsid w:val="002140DF"/>
    <w:rsid w:val="00214843"/>
    <w:rsid w:val="00227EB4"/>
    <w:rsid w:val="00232F67"/>
    <w:rsid w:val="00234AE6"/>
    <w:rsid w:val="0023596F"/>
    <w:rsid w:val="0023660C"/>
    <w:rsid w:val="00242945"/>
    <w:rsid w:val="002431EC"/>
    <w:rsid w:val="002448BB"/>
    <w:rsid w:val="00250D6D"/>
    <w:rsid w:val="00253217"/>
    <w:rsid w:val="0025337B"/>
    <w:rsid w:val="002571D0"/>
    <w:rsid w:val="00257D0F"/>
    <w:rsid w:val="00257F66"/>
    <w:rsid w:val="00261D3F"/>
    <w:rsid w:val="00266E34"/>
    <w:rsid w:val="00272466"/>
    <w:rsid w:val="00272F4D"/>
    <w:rsid w:val="00275424"/>
    <w:rsid w:val="002829AE"/>
    <w:rsid w:val="00283A88"/>
    <w:rsid w:val="00287617"/>
    <w:rsid w:val="00291D7E"/>
    <w:rsid w:val="0029502F"/>
    <w:rsid w:val="002A6C8F"/>
    <w:rsid w:val="002B192B"/>
    <w:rsid w:val="002B2709"/>
    <w:rsid w:val="002B3ACB"/>
    <w:rsid w:val="002B6EF8"/>
    <w:rsid w:val="002C147C"/>
    <w:rsid w:val="002C3BDD"/>
    <w:rsid w:val="002C4350"/>
    <w:rsid w:val="002C7D20"/>
    <w:rsid w:val="002D0685"/>
    <w:rsid w:val="002D0E76"/>
    <w:rsid w:val="002D2FC2"/>
    <w:rsid w:val="002D42C3"/>
    <w:rsid w:val="002D7A51"/>
    <w:rsid w:val="002E7FB9"/>
    <w:rsid w:val="002F021E"/>
    <w:rsid w:val="002F23FB"/>
    <w:rsid w:val="002F2C09"/>
    <w:rsid w:val="002F7946"/>
    <w:rsid w:val="003024B0"/>
    <w:rsid w:val="003050BB"/>
    <w:rsid w:val="003058CB"/>
    <w:rsid w:val="00311752"/>
    <w:rsid w:val="00314AB3"/>
    <w:rsid w:val="00323A09"/>
    <w:rsid w:val="00330065"/>
    <w:rsid w:val="0033073B"/>
    <w:rsid w:val="003310B1"/>
    <w:rsid w:val="00332CD4"/>
    <w:rsid w:val="00333834"/>
    <w:rsid w:val="00334B30"/>
    <w:rsid w:val="00334FC3"/>
    <w:rsid w:val="00334FE3"/>
    <w:rsid w:val="00335A24"/>
    <w:rsid w:val="00347DF4"/>
    <w:rsid w:val="003505CC"/>
    <w:rsid w:val="0035193D"/>
    <w:rsid w:val="00351D23"/>
    <w:rsid w:val="00355224"/>
    <w:rsid w:val="00356F05"/>
    <w:rsid w:val="00361236"/>
    <w:rsid w:val="00363218"/>
    <w:rsid w:val="0036439B"/>
    <w:rsid w:val="00365CAB"/>
    <w:rsid w:val="00370B1B"/>
    <w:rsid w:val="00376FC1"/>
    <w:rsid w:val="00382E5B"/>
    <w:rsid w:val="00382E9D"/>
    <w:rsid w:val="0038363D"/>
    <w:rsid w:val="00387EA6"/>
    <w:rsid w:val="0039427C"/>
    <w:rsid w:val="00394A48"/>
    <w:rsid w:val="00397B05"/>
    <w:rsid w:val="003A078B"/>
    <w:rsid w:val="003A162D"/>
    <w:rsid w:val="003A183F"/>
    <w:rsid w:val="003A5B0E"/>
    <w:rsid w:val="003B1360"/>
    <w:rsid w:val="003B7A1D"/>
    <w:rsid w:val="003C12AB"/>
    <w:rsid w:val="003C2217"/>
    <w:rsid w:val="003C29A8"/>
    <w:rsid w:val="003C39F4"/>
    <w:rsid w:val="003C4370"/>
    <w:rsid w:val="003D338C"/>
    <w:rsid w:val="003D4B7F"/>
    <w:rsid w:val="003E7AA1"/>
    <w:rsid w:val="003F0574"/>
    <w:rsid w:val="003F1E0D"/>
    <w:rsid w:val="003F4E75"/>
    <w:rsid w:val="003F6D36"/>
    <w:rsid w:val="00403AB3"/>
    <w:rsid w:val="0040445F"/>
    <w:rsid w:val="00407793"/>
    <w:rsid w:val="004119FE"/>
    <w:rsid w:val="00412713"/>
    <w:rsid w:val="00413E7A"/>
    <w:rsid w:val="004150D4"/>
    <w:rsid w:val="004237AC"/>
    <w:rsid w:val="00423B6E"/>
    <w:rsid w:val="004241A0"/>
    <w:rsid w:val="0042493F"/>
    <w:rsid w:val="00424E30"/>
    <w:rsid w:val="00427C2D"/>
    <w:rsid w:val="00430D04"/>
    <w:rsid w:val="00433738"/>
    <w:rsid w:val="00437B5B"/>
    <w:rsid w:val="00450D7B"/>
    <w:rsid w:val="00453BDC"/>
    <w:rsid w:val="0045714E"/>
    <w:rsid w:val="0045753C"/>
    <w:rsid w:val="004624FD"/>
    <w:rsid w:val="00463D9B"/>
    <w:rsid w:val="0046549E"/>
    <w:rsid w:val="00466231"/>
    <w:rsid w:val="00470A52"/>
    <w:rsid w:val="00470DB8"/>
    <w:rsid w:val="004726D2"/>
    <w:rsid w:val="00475297"/>
    <w:rsid w:val="004800A0"/>
    <w:rsid w:val="004805A8"/>
    <w:rsid w:val="00482CF3"/>
    <w:rsid w:val="004840F0"/>
    <w:rsid w:val="00484290"/>
    <w:rsid w:val="00485044"/>
    <w:rsid w:val="00492047"/>
    <w:rsid w:val="00494D09"/>
    <w:rsid w:val="004A3322"/>
    <w:rsid w:val="004A73A4"/>
    <w:rsid w:val="004B004A"/>
    <w:rsid w:val="004B0EF9"/>
    <w:rsid w:val="004B32B4"/>
    <w:rsid w:val="004B3EAD"/>
    <w:rsid w:val="004B4C11"/>
    <w:rsid w:val="004B72D9"/>
    <w:rsid w:val="004C1F7F"/>
    <w:rsid w:val="004C37E0"/>
    <w:rsid w:val="004C53EF"/>
    <w:rsid w:val="004C7F26"/>
    <w:rsid w:val="004D2F52"/>
    <w:rsid w:val="004D380F"/>
    <w:rsid w:val="004D4EA1"/>
    <w:rsid w:val="004D69FC"/>
    <w:rsid w:val="004D6B57"/>
    <w:rsid w:val="004E2F10"/>
    <w:rsid w:val="004E7E60"/>
    <w:rsid w:val="004F1F10"/>
    <w:rsid w:val="004F254C"/>
    <w:rsid w:val="004F3783"/>
    <w:rsid w:val="004F41F9"/>
    <w:rsid w:val="004F51DC"/>
    <w:rsid w:val="004F53F1"/>
    <w:rsid w:val="00501F6A"/>
    <w:rsid w:val="00506CF6"/>
    <w:rsid w:val="005076A9"/>
    <w:rsid w:val="00512CAF"/>
    <w:rsid w:val="00513627"/>
    <w:rsid w:val="005148B9"/>
    <w:rsid w:val="00514B61"/>
    <w:rsid w:val="00520122"/>
    <w:rsid w:val="005246CD"/>
    <w:rsid w:val="0052491D"/>
    <w:rsid w:val="00531281"/>
    <w:rsid w:val="00534FF2"/>
    <w:rsid w:val="005353CE"/>
    <w:rsid w:val="00536CB1"/>
    <w:rsid w:val="0054048C"/>
    <w:rsid w:val="0054086E"/>
    <w:rsid w:val="005410A5"/>
    <w:rsid w:val="00545E1D"/>
    <w:rsid w:val="0055591A"/>
    <w:rsid w:val="00557478"/>
    <w:rsid w:val="00560312"/>
    <w:rsid w:val="005664A8"/>
    <w:rsid w:val="00567544"/>
    <w:rsid w:val="00571483"/>
    <w:rsid w:val="00571893"/>
    <w:rsid w:val="005730E9"/>
    <w:rsid w:val="005744B2"/>
    <w:rsid w:val="00575935"/>
    <w:rsid w:val="00581601"/>
    <w:rsid w:val="00581AAC"/>
    <w:rsid w:val="00582389"/>
    <w:rsid w:val="0058408F"/>
    <w:rsid w:val="00584B5A"/>
    <w:rsid w:val="005851F9"/>
    <w:rsid w:val="005863A5"/>
    <w:rsid w:val="00591179"/>
    <w:rsid w:val="00591DB9"/>
    <w:rsid w:val="00593894"/>
    <w:rsid w:val="005A1E5F"/>
    <w:rsid w:val="005A3228"/>
    <w:rsid w:val="005A4183"/>
    <w:rsid w:val="005A4F41"/>
    <w:rsid w:val="005B65D9"/>
    <w:rsid w:val="005C5FD1"/>
    <w:rsid w:val="005D3A5D"/>
    <w:rsid w:val="005D5C38"/>
    <w:rsid w:val="005D7D8F"/>
    <w:rsid w:val="005E0302"/>
    <w:rsid w:val="005E3E83"/>
    <w:rsid w:val="005E5EB7"/>
    <w:rsid w:val="005F41A8"/>
    <w:rsid w:val="00603B97"/>
    <w:rsid w:val="00610B37"/>
    <w:rsid w:val="00611877"/>
    <w:rsid w:val="00611E5B"/>
    <w:rsid w:val="00616677"/>
    <w:rsid w:val="006177CA"/>
    <w:rsid w:val="006211D7"/>
    <w:rsid w:val="00623CF9"/>
    <w:rsid w:val="0062567C"/>
    <w:rsid w:val="00630415"/>
    <w:rsid w:val="00631CE4"/>
    <w:rsid w:val="00636C54"/>
    <w:rsid w:val="00647BE8"/>
    <w:rsid w:val="0067298B"/>
    <w:rsid w:val="00673E4D"/>
    <w:rsid w:val="00675CC7"/>
    <w:rsid w:val="0067643F"/>
    <w:rsid w:val="00680458"/>
    <w:rsid w:val="006845F9"/>
    <w:rsid w:val="00685B9A"/>
    <w:rsid w:val="0068774F"/>
    <w:rsid w:val="00692D90"/>
    <w:rsid w:val="0069360D"/>
    <w:rsid w:val="00695226"/>
    <w:rsid w:val="006953B9"/>
    <w:rsid w:val="00696565"/>
    <w:rsid w:val="006A0926"/>
    <w:rsid w:val="006A13FB"/>
    <w:rsid w:val="006A57FA"/>
    <w:rsid w:val="006A66F7"/>
    <w:rsid w:val="006B2BF8"/>
    <w:rsid w:val="006B303F"/>
    <w:rsid w:val="006B30C9"/>
    <w:rsid w:val="006B328F"/>
    <w:rsid w:val="006B6113"/>
    <w:rsid w:val="006C2975"/>
    <w:rsid w:val="006C5EA6"/>
    <w:rsid w:val="006C758B"/>
    <w:rsid w:val="006D23CC"/>
    <w:rsid w:val="006D31EE"/>
    <w:rsid w:val="006D6FBE"/>
    <w:rsid w:val="006E075C"/>
    <w:rsid w:val="006E702B"/>
    <w:rsid w:val="006F0314"/>
    <w:rsid w:val="006F1203"/>
    <w:rsid w:val="006F1C20"/>
    <w:rsid w:val="006F6C3A"/>
    <w:rsid w:val="006F742B"/>
    <w:rsid w:val="006F79B6"/>
    <w:rsid w:val="006F7C88"/>
    <w:rsid w:val="00700EB6"/>
    <w:rsid w:val="00701460"/>
    <w:rsid w:val="007020A1"/>
    <w:rsid w:val="00702394"/>
    <w:rsid w:val="0070283F"/>
    <w:rsid w:val="00702CE0"/>
    <w:rsid w:val="0070592A"/>
    <w:rsid w:val="00707C35"/>
    <w:rsid w:val="00710F8C"/>
    <w:rsid w:val="007143E8"/>
    <w:rsid w:val="00717342"/>
    <w:rsid w:val="00723599"/>
    <w:rsid w:val="00723960"/>
    <w:rsid w:val="00727F72"/>
    <w:rsid w:val="00732346"/>
    <w:rsid w:val="00733631"/>
    <w:rsid w:val="0073386A"/>
    <w:rsid w:val="007338E4"/>
    <w:rsid w:val="00733B11"/>
    <w:rsid w:val="00735A6C"/>
    <w:rsid w:val="00743256"/>
    <w:rsid w:val="00743BD6"/>
    <w:rsid w:val="007444AF"/>
    <w:rsid w:val="007455EE"/>
    <w:rsid w:val="007518EC"/>
    <w:rsid w:val="007546BE"/>
    <w:rsid w:val="00762997"/>
    <w:rsid w:val="00762AD0"/>
    <w:rsid w:val="00766276"/>
    <w:rsid w:val="00771820"/>
    <w:rsid w:val="00771C18"/>
    <w:rsid w:val="007729FE"/>
    <w:rsid w:val="00772D92"/>
    <w:rsid w:val="007907EE"/>
    <w:rsid w:val="00790CE0"/>
    <w:rsid w:val="00794DDA"/>
    <w:rsid w:val="0079769B"/>
    <w:rsid w:val="007A09CA"/>
    <w:rsid w:val="007A16CF"/>
    <w:rsid w:val="007A6634"/>
    <w:rsid w:val="007B0961"/>
    <w:rsid w:val="007B21E2"/>
    <w:rsid w:val="007B73EE"/>
    <w:rsid w:val="007C028D"/>
    <w:rsid w:val="007C0949"/>
    <w:rsid w:val="007C54EA"/>
    <w:rsid w:val="007C6399"/>
    <w:rsid w:val="007D5EF2"/>
    <w:rsid w:val="007E2450"/>
    <w:rsid w:val="007E304B"/>
    <w:rsid w:val="007E6130"/>
    <w:rsid w:val="007E797E"/>
    <w:rsid w:val="007F0471"/>
    <w:rsid w:val="007F06ED"/>
    <w:rsid w:val="007F0F9B"/>
    <w:rsid w:val="007F11C2"/>
    <w:rsid w:val="007F5F7F"/>
    <w:rsid w:val="00801D5D"/>
    <w:rsid w:val="00803344"/>
    <w:rsid w:val="008063D5"/>
    <w:rsid w:val="008078E1"/>
    <w:rsid w:val="008104E5"/>
    <w:rsid w:val="0081143D"/>
    <w:rsid w:val="00816224"/>
    <w:rsid w:val="00817929"/>
    <w:rsid w:val="008215BD"/>
    <w:rsid w:val="00821FCD"/>
    <w:rsid w:val="00824B88"/>
    <w:rsid w:val="00830D36"/>
    <w:rsid w:val="008314D9"/>
    <w:rsid w:val="00834AE7"/>
    <w:rsid w:val="008370D3"/>
    <w:rsid w:val="00837DEB"/>
    <w:rsid w:val="00843975"/>
    <w:rsid w:val="00844689"/>
    <w:rsid w:val="008466C5"/>
    <w:rsid w:val="00846FBA"/>
    <w:rsid w:val="008521BE"/>
    <w:rsid w:val="0085269F"/>
    <w:rsid w:val="00853DD4"/>
    <w:rsid w:val="00860BC1"/>
    <w:rsid w:val="00862595"/>
    <w:rsid w:val="00864895"/>
    <w:rsid w:val="00870B4A"/>
    <w:rsid w:val="008712B4"/>
    <w:rsid w:val="00874691"/>
    <w:rsid w:val="00876293"/>
    <w:rsid w:val="008768CD"/>
    <w:rsid w:val="00880304"/>
    <w:rsid w:val="00881858"/>
    <w:rsid w:val="00882BFB"/>
    <w:rsid w:val="0088604F"/>
    <w:rsid w:val="00887C1F"/>
    <w:rsid w:val="00890391"/>
    <w:rsid w:val="00891246"/>
    <w:rsid w:val="0089138B"/>
    <w:rsid w:val="0089221C"/>
    <w:rsid w:val="00893062"/>
    <w:rsid w:val="00893B86"/>
    <w:rsid w:val="0089693C"/>
    <w:rsid w:val="008976B3"/>
    <w:rsid w:val="00897AA5"/>
    <w:rsid w:val="008A042B"/>
    <w:rsid w:val="008A436E"/>
    <w:rsid w:val="008A7BAB"/>
    <w:rsid w:val="008B1148"/>
    <w:rsid w:val="008B26BD"/>
    <w:rsid w:val="008B5876"/>
    <w:rsid w:val="008B6753"/>
    <w:rsid w:val="008C13F6"/>
    <w:rsid w:val="008C1F41"/>
    <w:rsid w:val="008C236C"/>
    <w:rsid w:val="008C3834"/>
    <w:rsid w:val="008D1ABB"/>
    <w:rsid w:val="008D22C8"/>
    <w:rsid w:val="008D5250"/>
    <w:rsid w:val="008D6E6B"/>
    <w:rsid w:val="008E7D87"/>
    <w:rsid w:val="008F6913"/>
    <w:rsid w:val="00900955"/>
    <w:rsid w:val="0090124F"/>
    <w:rsid w:val="009028C3"/>
    <w:rsid w:val="009059CB"/>
    <w:rsid w:val="0091096A"/>
    <w:rsid w:val="009113DB"/>
    <w:rsid w:val="009145E0"/>
    <w:rsid w:val="00915F02"/>
    <w:rsid w:val="00916816"/>
    <w:rsid w:val="00921721"/>
    <w:rsid w:val="00922CD2"/>
    <w:rsid w:val="00923D2A"/>
    <w:rsid w:val="00925796"/>
    <w:rsid w:val="00926503"/>
    <w:rsid w:val="00930B25"/>
    <w:rsid w:val="0093200D"/>
    <w:rsid w:val="00932B94"/>
    <w:rsid w:val="0093372A"/>
    <w:rsid w:val="009342EE"/>
    <w:rsid w:val="00934F7D"/>
    <w:rsid w:val="00943233"/>
    <w:rsid w:val="009437EF"/>
    <w:rsid w:val="00947F9E"/>
    <w:rsid w:val="009567C7"/>
    <w:rsid w:val="0096278A"/>
    <w:rsid w:val="0096690A"/>
    <w:rsid w:val="009677AC"/>
    <w:rsid w:val="00972C3C"/>
    <w:rsid w:val="00972FC1"/>
    <w:rsid w:val="00975AEE"/>
    <w:rsid w:val="00975CF8"/>
    <w:rsid w:val="00976131"/>
    <w:rsid w:val="00980F7B"/>
    <w:rsid w:val="0098355F"/>
    <w:rsid w:val="009846D8"/>
    <w:rsid w:val="00986C2C"/>
    <w:rsid w:val="0098770A"/>
    <w:rsid w:val="00990EBF"/>
    <w:rsid w:val="00991C28"/>
    <w:rsid w:val="009A0C24"/>
    <w:rsid w:val="009A5476"/>
    <w:rsid w:val="009A5CF9"/>
    <w:rsid w:val="009A7DEF"/>
    <w:rsid w:val="009C054B"/>
    <w:rsid w:val="009C06F8"/>
    <w:rsid w:val="009C075C"/>
    <w:rsid w:val="009C2A85"/>
    <w:rsid w:val="009C335E"/>
    <w:rsid w:val="009C345D"/>
    <w:rsid w:val="009C4E04"/>
    <w:rsid w:val="009C5A64"/>
    <w:rsid w:val="009D0979"/>
    <w:rsid w:val="009D1770"/>
    <w:rsid w:val="009D251D"/>
    <w:rsid w:val="009D2F2A"/>
    <w:rsid w:val="009D34EC"/>
    <w:rsid w:val="009D67F6"/>
    <w:rsid w:val="009F05D1"/>
    <w:rsid w:val="009F1EED"/>
    <w:rsid w:val="009F5E73"/>
    <w:rsid w:val="009F6028"/>
    <w:rsid w:val="00A01A14"/>
    <w:rsid w:val="00A03124"/>
    <w:rsid w:val="00A121E0"/>
    <w:rsid w:val="00A1301D"/>
    <w:rsid w:val="00A22507"/>
    <w:rsid w:val="00A24CAA"/>
    <w:rsid w:val="00A24DCC"/>
    <w:rsid w:val="00A25D2C"/>
    <w:rsid w:val="00A26AB7"/>
    <w:rsid w:val="00A30AB0"/>
    <w:rsid w:val="00A32C3D"/>
    <w:rsid w:val="00A42D9C"/>
    <w:rsid w:val="00A446C4"/>
    <w:rsid w:val="00A44A06"/>
    <w:rsid w:val="00A472E1"/>
    <w:rsid w:val="00A477FA"/>
    <w:rsid w:val="00A4791C"/>
    <w:rsid w:val="00A50045"/>
    <w:rsid w:val="00A528DF"/>
    <w:rsid w:val="00A52F0D"/>
    <w:rsid w:val="00A60D9A"/>
    <w:rsid w:val="00A6692D"/>
    <w:rsid w:val="00A73D2E"/>
    <w:rsid w:val="00A93F77"/>
    <w:rsid w:val="00A9415A"/>
    <w:rsid w:val="00A9419A"/>
    <w:rsid w:val="00A96956"/>
    <w:rsid w:val="00AA53FE"/>
    <w:rsid w:val="00AB6B6C"/>
    <w:rsid w:val="00AC2132"/>
    <w:rsid w:val="00AC5028"/>
    <w:rsid w:val="00AD3BC2"/>
    <w:rsid w:val="00AD4971"/>
    <w:rsid w:val="00AD4CB8"/>
    <w:rsid w:val="00AD72FB"/>
    <w:rsid w:val="00AD7A59"/>
    <w:rsid w:val="00AE45AC"/>
    <w:rsid w:val="00AF0DDD"/>
    <w:rsid w:val="00AF4213"/>
    <w:rsid w:val="00B02411"/>
    <w:rsid w:val="00B05B84"/>
    <w:rsid w:val="00B068EC"/>
    <w:rsid w:val="00B13BD0"/>
    <w:rsid w:val="00B155C5"/>
    <w:rsid w:val="00B1737D"/>
    <w:rsid w:val="00B174DC"/>
    <w:rsid w:val="00B20842"/>
    <w:rsid w:val="00B2134E"/>
    <w:rsid w:val="00B249BC"/>
    <w:rsid w:val="00B260D9"/>
    <w:rsid w:val="00B2787A"/>
    <w:rsid w:val="00B30C85"/>
    <w:rsid w:val="00B32687"/>
    <w:rsid w:val="00B34354"/>
    <w:rsid w:val="00B351FA"/>
    <w:rsid w:val="00B403F8"/>
    <w:rsid w:val="00B4296D"/>
    <w:rsid w:val="00B42D9D"/>
    <w:rsid w:val="00B4340A"/>
    <w:rsid w:val="00B435D3"/>
    <w:rsid w:val="00B43EC5"/>
    <w:rsid w:val="00B43FC1"/>
    <w:rsid w:val="00B4474B"/>
    <w:rsid w:val="00B477B0"/>
    <w:rsid w:val="00B50B9E"/>
    <w:rsid w:val="00B5107B"/>
    <w:rsid w:val="00B52EAA"/>
    <w:rsid w:val="00B52FE4"/>
    <w:rsid w:val="00B56C87"/>
    <w:rsid w:val="00B57B7B"/>
    <w:rsid w:val="00B60129"/>
    <w:rsid w:val="00B66C33"/>
    <w:rsid w:val="00B75FDB"/>
    <w:rsid w:val="00B84D8A"/>
    <w:rsid w:val="00B85E34"/>
    <w:rsid w:val="00B90BA7"/>
    <w:rsid w:val="00B94D79"/>
    <w:rsid w:val="00B96F09"/>
    <w:rsid w:val="00B97FE8"/>
    <w:rsid w:val="00BA1879"/>
    <w:rsid w:val="00BA3B10"/>
    <w:rsid w:val="00BA54BD"/>
    <w:rsid w:val="00BA70CE"/>
    <w:rsid w:val="00BB2C9E"/>
    <w:rsid w:val="00BB3A0B"/>
    <w:rsid w:val="00BB5979"/>
    <w:rsid w:val="00BB6A68"/>
    <w:rsid w:val="00BC2450"/>
    <w:rsid w:val="00BC5944"/>
    <w:rsid w:val="00BD2497"/>
    <w:rsid w:val="00BD4ADA"/>
    <w:rsid w:val="00BD50DF"/>
    <w:rsid w:val="00BD51B7"/>
    <w:rsid w:val="00BD7497"/>
    <w:rsid w:val="00BE2A6C"/>
    <w:rsid w:val="00BE6A48"/>
    <w:rsid w:val="00BF2880"/>
    <w:rsid w:val="00BF3BD4"/>
    <w:rsid w:val="00C00008"/>
    <w:rsid w:val="00C06C77"/>
    <w:rsid w:val="00C13C48"/>
    <w:rsid w:val="00C163D7"/>
    <w:rsid w:val="00C21633"/>
    <w:rsid w:val="00C2399C"/>
    <w:rsid w:val="00C27379"/>
    <w:rsid w:val="00C3182A"/>
    <w:rsid w:val="00C32CC2"/>
    <w:rsid w:val="00C34DC4"/>
    <w:rsid w:val="00C372A3"/>
    <w:rsid w:val="00C4005A"/>
    <w:rsid w:val="00C40160"/>
    <w:rsid w:val="00C411C1"/>
    <w:rsid w:val="00C44C00"/>
    <w:rsid w:val="00C5038E"/>
    <w:rsid w:val="00C538E5"/>
    <w:rsid w:val="00C55DB9"/>
    <w:rsid w:val="00C6426B"/>
    <w:rsid w:val="00C65CD1"/>
    <w:rsid w:val="00C671B4"/>
    <w:rsid w:val="00C70600"/>
    <w:rsid w:val="00C716E4"/>
    <w:rsid w:val="00C77330"/>
    <w:rsid w:val="00C77857"/>
    <w:rsid w:val="00C77BCC"/>
    <w:rsid w:val="00C81352"/>
    <w:rsid w:val="00C81C6C"/>
    <w:rsid w:val="00C81F57"/>
    <w:rsid w:val="00C81FD0"/>
    <w:rsid w:val="00C829A9"/>
    <w:rsid w:val="00C9163C"/>
    <w:rsid w:val="00C939CA"/>
    <w:rsid w:val="00C969FD"/>
    <w:rsid w:val="00CA0CDE"/>
    <w:rsid w:val="00CA1D20"/>
    <w:rsid w:val="00CA3B0E"/>
    <w:rsid w:val="00CA52B9"/>
    <w:rsid w:val="00CA55DF"/>
    <w:rsid w:val="00CA5B51"/>
    <w:rsid w:val="00CB160D"/>
    <w:rsid w:val="00CB3805"/>
    <w:rsid w:val="00CB6F48"/>
    <w:rsid w:val="00CC121C"/>
    <w:rsid w:val="00CC2326"/>
    <w:rsid w:val="00CC2B99"/>
    <w:rsid w:val="00CC5F81"/>
    <w:rsid w:val="00CC7224"/>
    <w:rsid w:val="00CC7F8F"/>
    <w:rsid w:val="00CD18C5"/>
    <w:rsid w:val="00CD2BCD"/>
    <w:rsid w:val="00CD3365"/>
    <w:rsid w:val="00CD431D"/>
    <w:rsid w:val="00CD4CFD"/>
    <w:rsid w:val="00CD530E"/>
    <w:rsid w:val="00CD5442"/>
    <w:rsid w:val="00CD677E"/>
    <w:rsid w:val="00CE52A2"/>
    <w:rsid w:val="00CE7AF6"/>
    <w:rsid w:val="00CE7B61"/>
    <w:rsid w:val="00CF2835"/>
    <w:rsid w:val="00CF40DC"/>
    <w:rsid w:val="00CF41A1"/>
    <w:rsid w:val="00D0132C"/>
    <w:rsid w:val="00D01F52"/>
    <w:rsid w:val="00D1005D"/>
    <w:rsid w:val="00D10D91"/>
    <w:rsid w:val="00D12B9F"/>
    <w:rsid w:val="00D17698"/>
    <w:rsid w:val="00D205BE"/>
    <w:rsid w:val="00D216B3"/>
    <w:rsid w:val="00D221BE"/>
    <w:rsid w:val="00D25050"/>
    <w:rsid w:val="00D256C1"/>
    <w:rsid w:val="00D25D78"/>
    <w:rsid w:val="00D26393"/>
    <w:rsid w:val="00D34838"/>
    <w:rsid w:val="00D35B03"/>
    <w:rsid w:val="00D373D9"/>
    <w:rsid w:val="00D41DE5"/>
    <w:rsid w:val="00D4303E"/>
    <w:rsid w:val="00D43343"/>
    <w:rsid w:val="00D44366"/>
    <w:rsid w:val="00D46608"/>
    <w:rsid w:val="00D46645"/>
    <w:rsid w:val="00D47CD7"/>
    <w:rsid w:val="00D56107"/>
    <w:rsid w:val="00D57ABE"/>
    <w:rsid w:val="00D61EB4"/>
    <w:rsid w:val="00D62EAC"/>
    <w:rsid w:val="00D63418"/>
    <w:rsid w:val="00D70D0E"/>
    <w:rsid w:val="00D72E35"/>
    <w:rsid w:val="00D73BE7"/>
    <w:rsid w:val="00D749A2"/>
    <w:rsid w:val="00D75174"/>
    <w:rsid w:val="00D76265"/>
    <w:rsid w:val="00D763ED"/>
    <w:rsid w:val="00D81A3D"/>
    <w:rsid w:val="00D843AC"/>
    <w:rsid w:val="00D874DD"/>
    <w:rsid w:val="00D87DC4"/>
    <w:rsid w:val="00D926BD"/>
    <w:rsid w:val="00D97089"/>
    <w:rsid w:val="00DA065B"/>
    <w:rsid w:val="00DA173E"/>
    <w:rsid w:val="00DA5ED3"/>
    <w:rsid w:val="00DB012D"/>
    <w:rsid w:val="00DB1EFB"/>
    <w:rsid w:val="00DB5240"/>
    <w:rsid w:val="00DB574E"/>
    <w:rsid w:val="00DC275F"/>
    <w:rsid w:val="00DC3EA9"/>
    <w:rsid w:val="00DC475B"/>
    <w:rsid w:val="00DC77A2"/>
    <w:rsid w:val="00DD03E9"/>
    <w:rsid w:val="00DD146F"/>
    <w:rsid w:val="00DD3A8E"/>
    <w:rsid w:val="00DD62E9"/>
    <w:rsid w:val="00DE250C"/>
    <w:rsid w:val="00DE268A"/>
    <w:rsid w:val="00DE57E1"/>
    <w:rsid w:val="00DE6448"/>
    <w:rsid w:val="00DE6E85"/>
    <w:rsid w:val="00DE75A6"/>
    <w:rsid w:val="00DF1937"/>
    <w:rsid w:val="00DF4389"/>
    <w:rsid w:val="00DF4A10"/>
    <w:rsid w:val="00DF6EFA"/>
    <w:rsid w:val="00E011C5"/>
    <w:rsid w:val="00E05ABF"/>
    <w:rsid w:val="00E16410"/>
    <w:rsid w:val="00E1645B"/>
    <w:rsid w:val="00E179DF"/>
    <w:rsid w:val="00E22890"/>
    <w:rsid w:val="00E23CF5"/>
    <w:rsid w:val="00E2799E"/>
    <w:rsid w:val="00E27E77"/>
    <w:rsid w:val="00E27FB3"/>
    <w:rsid w:val="00E30F1F"/>
    <w:rsid w:val="00E3279B"/>
    <w:rsid w:val="00E42F38"/>
    <w:rsid w:val="00E45049"/>
    <w:rsid w:val="00E4578F"/>
    <w:rsid w:val="00E4676D"/>
    <w:rsid w:val="00E53DC9"/>
    <w:rsid w:val="00E54C59"/>
    <w:rsid w:val="00E627FE"/>
    <w:rsid w:val="00E643A5"/>
    <w:rsid w:val="00E66ACD"/>
    <w:rsid w:val="00E710FC"/>
    <w:rsid w:val="00E712F6"/>
    <w:rsid w:val="00E71C85"/>
    <w:rsid w:val="00E73E5D"/>
    <w:rsid w:val="00E75B11"/>
    <w:rsid w:val="00E81365"/>
    <w:rsid w:val="00E8336A"/>
    <w:rsid w:val="00E83828"/>
    <w:rsid w:val="00E95640"/>
    <w:rsid w:val="00E96CA6"/>
    <w:rsid w:val="00E96ECA"/>
    <w:rsid w:val="00EA47BA"/>
    <w:rsid w:val="00EA4C5D"/>
    <w:rsid w:val="00EA576B"/>
    <w:rsid w:val="00EB2174"/>
    <w:rsid w:val="00EB2ABD"/>
    <w:rsid w:val="00EB3FC2"/>
    <w:rsid w:val="00EB4454"/>
    <w:rsid w:val="00EB4E64"/>
    <w:rsid w:val="00EB62B5"/>
    <w:rsid w:val="00ED3E00"/>
    <w:rsid w:val="00ED79CB"/>
    <w:rsid w:val="00EE1026"/>
    <w:rsid w:val="00EE1D96"/>
    <w:rsid w:val="00EE2D2D"/>
    <w:rsid w:val="00EE7235"/>
    <w:rsid w:val="00EF01D9"/>
    <w:rsid w:val="00EF0B0D"/>
    <w:rsid w:val="00EF1AC2"/>
    <w:rsid w:val="00EF394C"/>
    <w:rsid w:val="00EF482E"/>
    <w:rsid w:val="00EF7804"/>
    <w:rsid w:val="00F02B75"/>
    <w:rsid w:val="00F05397"/>
    <w:rsid w:val="00F10461"/>
    <w:rsid w:val="00F1655C"/>
    <w:rsid w:val="00F17414"/>
    <w:rsid w:val="00F17726"/>
    <w:rsid w:val="00F17DAF"/>
    <w:rsid w:val="00F21939"/>
    <w:rsid w:val="00F22348"/>
    <w:rsid w:val="00F23C12"/>
    <w:rsid w:val="00F25BD9"/>
    <w:rsid w:val="00F3259A"/>
    <w:rsid w:val="00F36A07"/>
    <w:rsid w:val="00F370B9"/>
    <w:rsid w:val="00F372F5"/>
    <w:rsid w:val="00F41B38"/>
    <w:rsid w:val="00F45E2F"/>
    <w:rsid w:val="00F5121F"/>
    <w:rsid w:val="00F55622"/>
    <w:rsid w:val="00F56297"/>
    <w:rsid w:val="00F569C6"/>
    <w:rsid w:val="00F67257"/>
    <w:rsid w:val="00F71AA2"/>
    <w:rsid w:val="00F7207B"/>
    <w:rsid w:val="00F747D0"/>
    <w:rsid w:val="00F75B81"/>
    <w:rsid w:val="00F82D0D"/>
    <w:rsid w:val="00F860A4"/>
    <w:rsid w:val="00F9315D"/>
    <w:rsid w:val="00F943A3"/>
    <w:rsid w:val="00F96703"/>
    <w:rsid w:val="00FA4258"/>
    <w:rsid w:val="00FA42C3"/>
    <w:rsid w:val="00FA4D59"/>
    <w:rsid w:val="00FB0ABD"/>
    <w:rsid w:val="00FB1232"/>
    <w:rsid w:val="00FB1C83"/>
    <w:rsid w:val="00FB5B1A"/>
    <w:rsid w:val="00FB6987"/>
    <w:rsid w:val="00FB6E94"/>
    <w:rsid w:val="00FC20D2"/>
    <w:rsid w:val="00FC2D7F"/>
    <w:rsid w:val="00FC4BB0"/>
    <w:rsid w:val="00FC6846"/>
    <w:rsid w:val="00FC76D2"/>
    <w:rsid w:val="00FC7C6A"/>
    <w:rsid w:val="00FD16A1"/>
    <w:rsid w:val="00FE10CB"/>
    <w:rsid w:val="00FE31ED"/>
    <w:rsid w:val="00FF392D"/>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083E"/>
  <w15:chartTrackingRefBased/>
  <w15:docId w15:val="{F1187079-FCC0-432D-AB23-2F59F2B5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C3A"/>
    <w:pPr>
      <w:spacing w:after="0" w:line="240" w:lineRule="auto"/>
    </w:pPr>
    <w:rPr>
      <w:sz w:val="24"/>
      <w:szCs w:val="24"/>
    </w:rPr>
  </w:style>
  <w:style w:type="paragraph" w:styleId="Heading2">
    <w:name w:val="heading 2"/>
    <w:basedOn w:val="Normal"/>
    <w:next w:val="Normal"/>
    <w:link w:val="Heading2Char"/>
    <w:uiPriority w:val="9"/>
    <w:semiHidden/>
    <w:unhideWhenUsed/>
    <w:qFormat/>
    <w:rsid w:val="00B52EA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C3A"/>
    <w:pPr>
      <w:ind w:left="720"/>
      <w:contextualSpacing/>
    </w:pPr>
  </w:style>
  <w:style w:type="paragraph" w:styleId="Header">
    <w:name w:val="header"/>
    <w:basedOn w:val="Normal"/>
    <w:link w:val="HeaderChar"/>
    <w:uiPriority w:val="99"/>
    <w:unhideWhenUsed/>
    <w:rsid w:val="006F6C3A"/>
    <w:pPr>
      <w:tabs>
        <w:tab w:val="center" w:pos="4513"/>
        <w:tab w:val="right" w:pos="9026"/>
      </w:tabs>
    </w:pPr>
  </w:style>
  <w:style w:type="character" w:customStyle="1" w:styleId="HeaderChar">
    <w:name w:val="Header Char"/>
    <w:basedOn w:val="DefaultParagraphFont"/>
    <w:link w:val="Header"/>
    <w:uiPriority w:val="99"/>
    <w:rsid w:val="006F6C3A"/>
    <w:rPr>
      <w:sz w:val="24"/>
      <w:szCs w:val="24"/>
    </w:rPr>
  </w:style>
  <w:style w:type="paragraph" w:styleId="FootnoteText">
    <w:name w:val="footnote text"/>
    <w:basedOn w:val="Normal"/>
    <w:link w:val="FootnoteTextChar"/>
    <w:uiPriority w:val="99"/>
    <w:semiHidden/>
    <w:unhideWhenUsed/>
    <w:rsid w:val="006F6C3A"/>
    <w:rPr>
      <w:sz w:val="20"/>
      <w:szCs w:val="20"/>
    </w:rPr>
  </w:style>
  <w:style w:type="character" w:customStyle="1" w:styleId="FootnoteTextChar">
    <w:name w:val="Footnote Text Char"/>
    <w:basedOn w:val="DefaultParagraphFont"/>
    <w:link w:val="FootnoteText"/>
    <w:uiPriority w:val="99"/>
    <w:semiHidden/>
    <w:rsid w:val="006F6C3A"/>
    <w:rPr>
      <w:sz w:val="20"/>
      <w:szCs w:val="20"/>
    </w:rPr>
  </w:style>
  <w:style w:type="character" w:styleId="CommentReference">
    <w:name w:val="annotation reference"/>
    <w:basedOn w:val="DefaultParagraphFont"/>
    <w:uiPriority w:val="99"/>
    <w:semiHidden/>
    <w:unhideWhenUsed/>
    <w:rsid w:val="00A42D9C"/>
    <w:rPr>
      <w:sz w:val="16"/>
      <w:szCs w:val="16"/>
    </w:rPr>
  </w:style>
  <w:style w:type="paragraph" w:styleId="CommentText">
    <w:name w:val="annotation text"/>
    <w:basedOn w:val="Normal"/>
    <w:link w:val="CommentTextChar"/>
    <w:uiPriority w:val="99"/>
    <w:semiHidden/>
    <w:unhideWhenUsed/>
    <w:rsid w:val="00A42D9C"/>
    <w:rPr>
      <w:sz w:val="20"/>
      <w:szCs w:val="20"/>
    </w:rPr>
  </w:style>
  <w:style w:type="character" w:customStyle="1" w:styleId="CommentTextChar">
    <w:name w:val="Comment Text Char"/>
    <w:basedOn w:val="DefaultParagraphFont"/>
    <w:link w:val="CommentText"/>
    <w:uiPriority w:val="99"/>
    <w:semiHidden/>
    <w:rsid w:val="00A42D9C"/>
    <w:rPr>
      <w:sz w:val="20"/>
      <w:szCs w:val="20"/>
    </w:rPr>
  </w:style>
  <w:style w:type="paragraph" w:styleId="CommentSubject">
    <w:name w:val="annotation subject"/>
    <w:basedOn w:val="CommentText"/>
    <w:next w:val="CommentText"/>
    <w:link w:val="CommentSubjectChar"/>
    <w:uiPriority w:val="99"/>
    <w:semiHidden/>
    <w:unhideWhenUsed/>
    <w:rsid w:val="00A42D9C"/>
    <w:rPr>
      <w:b/>
      <w:bCs/>
    </w:rPr>
  </w:style>
  <w:style w:type="character" w:customStyle="1" w:styleId="CommentSubjectChar">
    <w:name w:val="Comment Subject Char"/>
    <w:basedOn w:val="CommentTextChar"/>
    <w:link w:val="CommentSubject"/>
    <w:uiPriority w:val="99"/>
    <w:semiHidden/>
    <w:rsid w:val="00A42D9C"/>
    <w:rPr>
      <w:b/>
      <w:bCs/>
      <w:sz w:val="20"/>
      <w:szCs w:val="20"/>
    </w:rPr>
  </w:style>
  <w:style w:type="paragraph" w:styleId="BalloonText">
    <w:name w:val="Balloon Text"/>
    <w:basedOn w:val="Normal"/>
    <w:link w:val="BalloonTextChar"/>
    <w:uiPriority w:val="99"/>
    <w:semiHidden/>
    <w:unhideWhenUsed/>
    <w:rsid w:val="00A42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9C"/>
    <w:rPr>
      <w:rFonts w:ascii="Segoe UI" w:hAnsi="Segoe UI" w:cs="Segoe UI"/>
      <w:sz w:val="18"/>
      <w:szCs w:val="18"/>
    </w:rPr>
  </w:style>
  <w:style w:type="paragraph" w:styleId="Footer">
    <w:name w:val="footer"/>
    <w:basedOn w:val="Normal"/>
    <w:link w:val="FooterChar"/>
    <w:uiPriority w:val="99"/>
    <w:unhideWhenUsed/>
    <w:rsid w:val="002D0E76"/>
    <w:pPr>
      <w:tabs>
        <w:tab w:val="center" w:pos="4513"/>
        <w:tab w:val="right" w:pos="9026"/>
      </w:tabs>
    </w:pPr>
  </w:style>
  <w:style w:type="character" w:customStyle="1" w:styleId="FooterChar">
    <w:name w:val="Footer Char"/>
    <w:basedOn w:val="DefaultParagraphFont"/>
    <w:link w:val="Footer"/>
    <w:uiPriority w:val="99"/>
    <w:rsid w:val="002D0E76"/>
    <w:rPr>
      <w:sz w:val="24"/>
      <w:szCs w:val="24"/>
    </w:rPr>
  </w:style>
  <w:style w:type="character" w:customStyle="1" w:styleId="Heading2Char">
    <w:name w:val="Heading 2 Char"/>
    <w:basedOn w:val="DefaultParagraphFont"/>
    <w:link w:val="Heading2"/>
    <w:uiPriority w:val="9"/>
    <w:semiHidden/>
    <w:rsid w:val="00B52EA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874DD"/>
    <w:rPr>
      <w:rFonts w:ascii="Times New Roman" w:hAnsi="Times New Roman" w:cs="Times New Roman"/>
    </w:rPr>
  </w:style>
  <w:style w:type="character" w:styleId="FootnoteReference">
    <w:name w:val="footnote reference"/>
    <w:basedOn w:val="DefaultParagraphFont"/>
    <w:uiPriority w:val="99"/>
    <w:semiHidden/>
    <w:unhideWhenUsed/>
    <w:rsid w:val="00705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981">
      <w:bodyDiv w:val="1"/>
      <w:marLeft w:val="0"/>
      <w:marRight w:val="0"/>
      <w:marTop w:val="0"/>
      <w:marBottom w:val="0"/>
      <w:divBdr>
        <w:top w:val="none" w:sz="0" w:space="0" w:color="auto"/>
        <w:left w:val="none" w:sz="0" w:space="0" w:color="auto"/>
        <w:bottom w:val="none" w:sz="0" w:space="0" w:color="auto"/>
        <w:right w:val="none" w:sz="0" w:space="0" w:color="auto"/>
      </w:divBdr>
    </w:div>
    <w:div w:id="1407611874">
      <w:bodyDiv w:val="1"/>
      <w:marLeft w:val="0"/>
      <w:marRight w:val="0"/>
      <w:marTop w:val="0"/>
      <w:marBottom w:val="0"/>
      <w:divBdr>
        <w:top w:val="none" w:sz="0" w:space="0" w:color="auto"/>
        <w:left w:val="none" w:sz="0" w:space="0" w:color="auto"/>
        <w:bottom w:val="none" w:sz="0" w:space="0" w:color="auto"/>
        <w:right w:val="none" w:sz="0" w:space="0" w:color="auto"/>
      </w:divBdr>
    </w:div>
    <w:div w:id="18137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5e083a6-4578-4574-8bc5-422e630d84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464301B6D1DC4180D3911AB47754E5" ma:contentTypeVersion="13" ma:contentTypeDescription="Create a new document." ma:contentTypeScope="" ma:versionID="70f28be4ab40dcb43b6ea84f1bb6a6d1">
  <xsd:schema xmlns:xsd="http://www.w3.org/2001/XMLSchema" xmlns:xs="http://www.w3.org/2001/XMLSchema" xmlns:p="http://schemas.microsoft.com/office/2006/metadata/properties" xmlns:ns3="05e083a6-4578-4574-8bc5-422e630d845a" xmlns:ns4="d5024ea2-de3f-409e-9a01-79cbe467005b" targetNamespace="http://schemas.microsoft.com/office/2006/metadata/properties" ma:root="true" ma:fieldsID="fd03360ca466cf4d39801890619e1bb6" ns3:_="" ns4:_="">
    <xsd:import namespace="05e083a6-4578-4574-8bc5-422e630d845a"/>
    <xsd:import namespace="d5024ea2-de3f-409e-9a01-79cbe467005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83a6-4578-4574-8bc5-422e630d8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24ea2-de3f-409e-9a01-79cbe46700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F9F6E-2E13-4537-9372-98ABF2FDF542}">
  <ds:schemaRefs>
    <ds:schemaRef ds:uri="http://schemas.microsoft.com/office/2006/metadata/properties"/>
    <ds:schemaRef ds:uri="http://schemas.microsoft.com/office/infopath/2007/PartnerControls"/>
    <ds:schemaRef ds:uri="05e083a6-4578-4574-8bc5-422e630d845a"/>
  </ds:schemaRefs>
</ds:datastoreItem>
</file>

<file path=customXml/itemProps2.xml><?xml version="1.0" encoding="utf-8"?>
<ds:datastoreItem xmlns:ds="http://schemas.openxmlformats.org/officeDocument/2006/customXml" ds:itemID="{CFFB8AFA-DA62-445B-A59F-DFE570293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83a6-4578-4574-8bc5-422e630d845a"/>
    <ds:schemaRef ds:uri="d5024ea2-de3f-409e-9a01-79cbe4670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03E7E-12B3-498F-9976-A6A14B7A0DFA}">
  <ds:schemaRefs>
    <ds:schemaRef ds:uri="http://schemas.microsoft.com/sharepoint/v3/contenttype/forms"/>
  </ds:schemaRefs>
</ds:datastoreItem>
</file>

<file path=customXml/itemProps4.xml><?xml version="1.0" encoding="utf-8"?>
<ds:datastoreItem xmlns:ds="http://schemas.openxmlformats.org/officeDocument/2006/customXml" ds:itemID="{A1FB9A23-6325-431F-956B-0ED9B180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3669</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Pruvia Ramoshaba</dc:creator>
  <cp:keywords/>
  <dc:description/>
  <cp:lastModifiedBy>Lilitha Mdleleni</cp:lastModifiedBy>
  <cp:revision>3</cp:revision>
  <dcterms:created xsi:type="dcterms:W3CDTF">2024-01-12T13:08:00Z</dcterms:created>
  <dcterms:modified xsi:type="dcterms:W3CDTF">2024-01-14T17:29:00Z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0x010100FD464301B6D1DC4180D3911AB47754E5</vt:lpwstr>
  </property>
</Properties>
</file>