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EFDB8" w14:textId="77777777" w:rsidR="007A428B" w:rsidRPr="00A72132" w:rsidRDefault="007A428B" w:rsidP="007A428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57886DA9" w14:textId="77777777" w:rsidR="007A428B" w:rsidRPr="00A72132" w:rsidRDefault="007A428B" w:rsidP="007A428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27E3C2DD" w14:textId="77777777" w:rsidR="007A428B" w:rsidRPr="00A72132" w:rsidRDefault="007A428B" w:rsidP="007A428B">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eastAsia="en-ZA"/>
        </w:rPr>
        <w:drawing>
          <wp:inline distT="0" distB="0" distL="0" distR="0" wp14:anchorId="490051FB" wp14:editId="2C55DA95">
            <wp:extent cx="1377950" cy="1270000"/>
            <wp:effectExtent l="0" t="0" r="0" b="6350"/>
            <wp:docPr id="1"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67B76349" w14:textId="77777777" w:rsidR="007A428B" w:rsidRPr="00A72132" w:rsidRDefault="007A428B" w:rsidP="007A428B">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0168E0E8" w14:textId="77777777" w:rsidR="007A428B" w:rsidRPr="00A72132" w:rsidRDefault="007A428B" w:rsidP="007A428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2F88E1A6" w14:textId="77777777" w:rsidR="007A428B" w:rsidRPr="00A72132" w:rsidRDefault="007A428B" w:rsidP="007A428B">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31456E14" w14:textId="77777777" w:rsidR="007A428B" w:rsidRPr="00A72132" w:rsidRDefault="007A428B" w:rsidP="007A428B">
      <w:pPr>
        <w:tabs>
          <w:tab w:val="left" w:pos="3000"/>
        </w:tabs>
        <w:spacing w:after="0" w:line="240" w:lineRule="auto"/>
        <w:jc w:val="center"/>
        <w:rPr>
          <w:rFonts w:ascii="Times New Roman" w:eastAsia="Times New Roman" w:hAnsi="Times New Roman" w:cs="Times New Roman"/>
          <w:b/>
          <w:sz w:val="28"/>
          <w:szCs w:val="28"/>
          <w:lang w:eastAsia="en-GB"/>
        </w:rPr>
      </w:pPr>
    </w:p>
    <w:p w14:paraId="4F9CD343" w14:textId="77777777" w:rsidR="007A428B" w:rsidRPr="00A72132" w:rsidRDefault="007A428B" w:rsidP="007A428B">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7A428B" w:rsidRPr="00A72132" w14:paraId="150636DB" w14:textId="77777777" w:rsidTr="001A1D0B">
        <w:trPr>
          <w:trHeight w:val="2118"/>
        </w:trPr>
        <w:tc>
          <w:tcPr>
            <w:tcW w:w="5148" w:type="dxa"/>
          </w:tcPr>
          <w:p w14:paraId="4E61994D" w14:textId="77777777" w:rsidR="007A428B" w:rsidRPr="00A72132" w:rsidRDefault="007A428B" w:rsidP="001A1D0B">
            <w:pPr>
              <w:spacing w:after="0" w:line="240" w:lineRule="auto"/>
              <w:jc w:val="both"/>
              <w:rPr>
                <w:rFonts w:ascii="Times New Roman" w:eastAsia="Times New Roman" w:hAnsi="Times New Roman" w:cs="Times New Roman"/>
                <w:sz w:val="18"/>
                <w:szCs w:val="18"/>
                <w:lang w:val="en-GB" w:eastAsia="en-GB"/>
              </w:rPr>
            </w:pPr>
          </w:p>
          <w:p w14:paraId="11430CF8" w14:textId="78C1A01D" w:rsidR="007A428B" w:rsidRPr="00A72132" w:rsidRDefault="007A428B" w:rsidP="001A1D0B">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(1)    REPORTABLE: </w:t>
            </w:r>
            <w:r>
              <w:rPr>
                <w:rFonts w:ascii="Arial" w:eastAsia="Times New Roman" w:hAnsi="Arial" w:cs="Arial"/>
                <w:sz w:val="18"/>
                <w:szCs w:val="18"/>
                <w:lang w:val="en-GB" w:eastAsia="en-GB"/>
              </w:rPr>
              <w:t>NO</w:t>
            </w:r>
            <w:r w:rsidRPr="00A72132">
              <w:rPr>
                <w:rFonts w:ascii="Arial" w:eastAsia="Times New Roman" w:hAnsi="Arial" w:cs="Arial"/>
                <w:sz w:val="18"/>
                <w:szCs w:val="18"/>
                <w:lang w:val="en-GB" w:eastAsia="en-GB"/>
              </w:rPr>
              <w:t xml:space="preserve"> </w:t>
            </w:r>
          </w:p>
          <w:p w14:paraId="54555272" w14:textId="2A9F4C29" w:rsidR="007A428B" w:rsidRPr="00A72132" w:rsidRDefault="007A428B" w:rsidP="001A1D0B">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 xml:space="preserve">(2)    </w:t>
            </w:r>
            <w:r>
              <w:rPr>
                <w:rFonts w:ascii="Arial" w:eastAsia="Times New Roman" w:hAnsi="Arial" w:cs="Arial"/>
                <w:sz w:val="18"/>
                <w:szCs w:val="18"/>
                <w:lang w:val="en-GB" w:eastAsia="en-GB"/>
              </w:rPr>
              <w:t>OF INTEREST TO OTHER JUDGES: NO</w:t>
            </w:r>
          </w:p>
          <w:p w14:paraId="6848BCC6" w14:textId="77777777" w:rsidR="007A428B" w:rsidRDefault="007A428B" w:rsidP="001A1D0B">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269B78BE" w14:textId="77777777" w:rsidR="001C5D8F" w:rsidRDefault="001C5D8F" w:rsidP="001A1D0B">
            <w:pPr>
              <w:spacing w:after="0" w:line="360" w:lineRule="auto"/>
              <w:jc w:val="both"/>
              <w:rPr>
                <w:rFonts w:ascii="Arial" w:eastAsia="Times New Roman" w:hAnsi="Arial" w:cs="Arial"/>
                <w:sz w:val="18"/>
                <w:szCs w:val="18"/>
                <w:lang w:val="en-GB" w:eastAsia="en-GB"/>
              </w:rPr>
            </w:pPr>
          </w:p>
          <w:p w14:paraId="3326BDA4" w14:textId="5863CC5A" w:rsidR="001C5D8F" w:rsidRDefault="004575C8" w:rsidP="001A1D0B">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19</w:t>
            </w:r>
            <w:r w:rsidR="007A428B">
              <w:rPr>
                <w:rFonts w:ascii="Arial" w:eastAsia="Times New Roman" w:hAnsi="Arial" w:cs="Arial"/>
                <w:sz w:val="18"/>
                <w:szCs w:val="18"/>
                <w:lang w:val="en-GB" w:eastAsia="en-GB"/>
              </w:rPr>
              <w:t xml:space="preserve"> March</w:t>
            </w:r>
            <w:r w:rsidR="007A428B" w:rsidRPr="00A72132">
              <w:rPr>
                <w:rFonts w:ascii="Arial" w:eastAsia="Times New Roman" w:hAnsi="Arial" w:cs="Arial"/>
                <w:sz w:val="18"/>
                <w:szCs w:val="18"/>
                <w:lang w:val="en-GB" w:eastAsia="en-GB"/>
              </w:rPr>
              <w:t xml:space="preserve"> </w:t>
            </w:r>
            <w:r w:rsidR="007A428B">
              <w:rPr>
                <w:rFonts w:ascii="Arial" w:eastAsia="Times New Roman" w:hAnsi="Arial" w:cs="Arial"/>
                <w:sz w:val="18"/>
                <w:szCs w:val="18"/>
                <w:lang w:val="en-GB" w:eastAsia="en-GB"/>
              </w:rPr>
              <w:t>2024</w:t>
            </w:r>
            <w:r w:rsidR="007A428B" w:rsidRPr="00A72132">
              <w:rPr>
                <w:rFonts w:ascii="Arial" w:eastAsia="Times New Roman" w:hAnsi="Arial" w:cs="Arial"/>
                <w:sz w:val="18"/>
                <w:szCs w:val="18"/>
                <w:lang w:val="en-GB" w:eastAsia="en-GB"/>
              </w:rPr>
              <w:tab/>
            </w:r>
          </w:p>
          <w:p w14:paraId="07E95B67" w14:textId="77777777" w:rsidR="007A428B" w:rsidRPr="00A72132" w:rsidRDefault="007A428B" w:rsidP="001A1D0B">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                             ______________________</w:t>
            </w:r>
          </w:p>
          <w:p w14:paraId="1E643E1C" w14:textId="77777777" w:rsidR="007A428B" w:rsidRPr="00A72132" w:rsidRDefault="007A428B" w:rsidP="001A1D0B">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DATE                                                SIGNATURE</w:t>
            </w:r>
          </w:p>
          <w:p w14:paraId="06AF7AC9" w14:textId="77777777" w:rsidR="007A428B" w:rsidRPr="00A72132" w:rsidRDefault="007A428B" w:rsidP="001A1D0B">
            <w:pPr>
              <w:spacing w:after="0" w:line="240" w:lineRule="auto"/>
              <w:jc w:val="both"/>
              <w:rPr>
                <w:rFonts w:ascii="Times New Roman" w:eastAsia="Times New Roman" w:hAnsi="Times New Roman" w:cs="Times New Roman"/>
                <w:sz w:val="18"/>
                <w:szCs w:val="18"/>
                <w:lang w:val="en-GB" w:eastAsia="en-GB"/>
              </w:rPr>
            </w:pPr>
          </w:p>
        </w:tc>
      </w:tr>
    </w:tbl>
    <w:p w14:paraId="2A732E20" w14:textId="77777777" w:rsidR="007A428B" w:rsidRPr="00A72132" w:rsidRDefault="007A428B" w:rsidP="007A428B">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1FBD4ECE" w14:textId="01C6C3FC" w:rsidR="007A428B" w:rsidRPr="00A72132" w:rsidRDefault="007A428B" w:rsidP="007A428B">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Pr>
          <w:rFonts w:ascii="Bell MT" w:eastAsia="Times New Roman" w:hAnsi="Bell MT" w:cs="Times New Roman"/>
          <w:sz w:val="26"/>
          <w:szCs w:val="26"/>
          <w:lang w:eastAsia="en-GB"/>
        </w:rPr>
        <w:t xml:space="preserve">    </w:t>
      </w:r>
      <w:r>
        <w:rPr>
          <w:rFonts w:ascii="Arial" w:eastAsia="Times New Roman" w:hAnsi="Arial" w:cs="Arial"/>
          <w:sz w:val="26"/>
          <w:szCs w:val="26"/>
          <w:lang w:eastAsia="en-GB"/>
        </w:rPr>
        <w:t>CASE NUMBER: 49514/2017</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t xml:space="preserve">                              </w:t>
      </w:r>
    </w:p>
    <w:p w14:paraId="3C84EBC2" w14:textId="77777777" w:rsidR="007A428B" w:rsidRPr="009338B5" w:rsidRDefault="007A428B" w:rsidP="007A428B">
      <w:pPr>
        <w:pStyle w:val="JudgmentNumbered"/>
        <w:numPr>
          <w:ilvl w:val="0"/>
          <w:numId w:val="0"/>
        </w:numPr>
        <w:ind w:left="567" w:hanging="567"/>
        <w:rPr>
          <w:bCs/>
          <w:lang w:val="en-ZA"/>
        </w:rPr>
      </w:pPr>
      <w:r w:rsidRPr="009338B5">
        <w:rPr>
          <w:bCs/>
          <w:lang w:val="en-ZA"/>
        </w:rPr>
        <w:t>In the matter between</w:t>
      </w:r>
    </w:p>
    <w:p w14:paraId="2BEAAE7E" w14:textId="70E3A3D7" w:rsidR="007A428B" w:rsidRPr="009338B5" w:rsidRDefault="007A428B" w:rsidP="007A428B">
      <w:pPr>
        <w:pStyle w:val="JudgmentNumbered"/>
        <w:numPr>
          <w:ilvl w:val="0"/>
          <w:numId w:val="0"/>
        </w:numPr>
        <w:ind w:left="567" w:hanging="567"/>
        <w:rPr>
          <w:bCs/>
          <w:lang w:val="en-ZA"/>
        </w:rPr>
      </w:pPr>
      <w:r>
        <w:rPr>
          <w:bCs/>
          <w:lang w:val="en-ZA"/>
        </w:rPr>
        <w:t>SOUTH AFRICAN BROADCASTING CORPORATION SOC LTD</w:t>
      </w:r>
      <w:r>
        <w:rPr>
          <w:bCs/>
          <w:lang w:val="en-ZA"/>
        </w:rPr>
        <w:tab/>
        <w:t xml:space="preserve">      </w:t>
      </w:r>
      <w:r w:rsidR="00014D90">
        <w:rPr>
          <w:bCs/>
          <w:lang w:val="en-ZA"/>
        </w:rPr>
        <w:t xml:space="preserve">        </w:t>
      </w:r>
      <w:r w:rsidRPr="009338B5">
        <w:rPr>
          <w:bCs/>
          <w:lang w:val="en-ZA"/>
        </w:rPr>
        <w:t xml:space="preserve">First </w:t>
      </w:r>
      <w:r w:rsidR="00085C60">
        <w:rPr>
          <w:bCs/>
          <w:lang w:val="en-ZA"/>
        </w:rPr>
        <w:t>Applicant</w:t>
      </w:r>
      <w:r w:rsidRPr="009338B5">
        <w:rPr>
          <w:bCs/>
          <w:lang w:val="en-ZA"/>
        </w:rPr>
        <w:t xml:space="preserve"> </w:t>
      </w:r>
    </w:p>
    <w:p w14:paraId="626A5C64" w14:textId="4919ABA0" w:rsidR="007A428B" w:rsidRDefault="007A428B" w:rsidP="00B669EE">
      <w:pPr>
        <w:pStyle w:val="JudgmentNumbered"/>
        <w:numPr>
          <w:ilvl w:val="0"/>
          <w:numId w:val="0"/>
        </w:numPr>
        <w:ind w:left="567" w:hanging="567"/>
        <w:rPr>
          <w:bCs/>
          <w:lang w:val="en-ZA"/>
        </w:rPr>
      </w:pPr>
      <w:r>
        <w:rPr>
          <w:bCs/>
          <w:lang w:val="en-ZA"/>
        </w:rPr>
        <w:t>SPECIAL INVESTIGATING UNIT</w:t>
      </w:r>
      <w:r w:rsidRPr="009338B5">
        <w:rPr>
          <w:bCs/>
          <w:lang w:val="en-ZA"/>
        </w:rPr>
        <w:tab/>
      </w:r>
      <w:r w:rsidR="00085C60">
        <w:rPr>
          <w:bCs/>
          <w:lang w:val="en-ZA"/>
        </w:rPr>
        <w:tab/>
      </w:r>
      <w:r w:rsidR="00085C60">
        <w:rPr>
          <w:bCs/>
          <w:lang w:val="en-ZA"/>
        </w:rPr>
        <w:tab/>
      </w:r>
      <w:r w:rsidR="00085C60">
        <w:rPr>
          <w:bCs/>
          <w:lang w:val="en-ZA"/>
        </w:rPr>
        <w:tab/>
        <w:t xml:space="preserve"> </w:t>
      </w:r>
      <w:r w:rsidR="00085C60">
        <w:rPr>
          <w:bCs/>
          <w:lang w:val="en-ZA"/>
        </w:rPr>
        <w:tab/>
      </w:r>
      <w:r w:rsidR="00085C60">
        <w:rPr>
          <w:bCs/>
          <w:lang w:val="en-ZA"/>
        </w:rPr>
        <w:tab/>
      </w:r>
      <w:r>
        <w:rPr>
          <w:bCs/>
          <w:lang w:val="en-ZA"/>
        </w:rPr>
        <w:t xml:space="preserve"> </w:t>
      </w:r>
      <w:r w:rsidR="00014D90">
        <w:rPr>
          <w:bCs/>
          <w:lang w:val="en-ZA"/>
        </w:rPr>
        <w:t xml:space="preserve">        </w:t>
      </w:r>
      <w:r w:rsidR="00085C60">
        <w:rPr>
          <w:bCs/>
          <w:lang w:val="en-ZA"/>
        </w:rPr>
        <w:t>Second Applicant</w:t>
      </w:r>
    </w:p>
    <w:p w14:paraId="0C4F6CF9" w14:textId="1194B803" w:rsidR="007A428B" w:rsidRDefault="00332C42" w:rsidP="007A428B">
      <w:pPr>
        <w:pStyle w:val="JudgmentNumbered"/>
        <w:numPr>
          <w:ilvl w:val="0"/>
          <w:numId w:val="0"/>
        </w:numPr>
        <w:ind w:left="567" w:hanging="567"/>
        <w:rPr>
          <w:bCs/>
          <w:lang w:val="en-ZA"/>
        </w:rPr>
      </w:pPr>
      <w:r>
        <w:rPr>
          <w:bCs/>
          <w:lang w:val="en-ZA"/>
        </w:rPr>
        <w:t>a</w:t>
      </w:r>
      <w:r w:rsidR="007A428B">
        <w:rPr>
          <w:bCs/>
          <w:lang w:val="en-ZA"/>
        </w:rPr>
        <w:t>nd</w:t>
      </w:r>
    </w:p>
    <w:p w14:paraId="25948588" w14:textId="1F234DE0" w:rsidR="00085C60" w:rsidRDefault="007A428B" w:rsidP="007A428B">
      <w:pPr>
        <w:pStyle w:val="JudgmentNumbered"/>
        <w:numPr>
          <w:ilvl w:val="0"/>
          <w:numId w:val="0"/>
        </w:numPr>
        <w:ind w:left="567" w:hanging="567"/>
        <w:rPr>
          <w:bCs/>
          <w:lang w:val="en-ZA"/>
        </w:rPr>
      </w:pPr>
      <w:r>
        <w:rPr>
          <w:bCs/>
          <w:lang w:val="en-ZA"/>
        </w:rPr>
        <w:t>LORNAVISION (PTY) LTD</w:t>
      </w:r>
      <w:r w:rsidRPr="009338B5">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sidR="00085C60">
        <w:rPr>
          <w:bCs/>
          <w:lang w:val="en-ZA"/>
        </w:rPr>
        <w:t xml:space="preserve">        </w:t>
      </w:r>
      <w:r>
        <w:rPr>
          <w:bCs/>
          <w:lang w:val="en-ZA"/>
        </w:rPr>
        <w:t xml:space="preserve">         </w:t>
      </w:r>
      <w:r w:rsidR="00085C60">
        <w:rPr>
          <w:bCs/>
          <w:lang w:val="en-ZA"/>
        </w:rPr>
        <w:t>Respondent</w:t>
      </w:r>
    </w:p>
    <w:p w14:paraId="5EC6BB20" w14:textId="67C397D5" w:rsidR="007A428B" w:rsidRDefault="00085C60" w:rsidP="007A428B">
      <w:pPr>
        <w:pStyle w:val="JudgmentNumbered"/>
        <w:numPr>
          <w:ilvl w:val="0"/>
          <w:numId w:val="0"/>
        </w:numPr>
        <w:ind w:left="567" w:hanging="567"/>
        <w:rPr>
          <w:bCs/>
          <w:i/>
          <w:iCs/>
          <w:lang w:val="en-ZA"/>
        </w:rPr>
      </w:pPr>
      <w:r>
        <w:rPr>
          <w:bCs/>
          <w:i/>
          <w:iCs/>
          <w:lang w:val="en-ZA"/>
        </w:rPr>
        <w:t>In re:</w:t>
      </w:r>
    </w:p>
    <w:p w14:paraId="55A4B340" w14:textId="19D93CCC" w:rsidR="00085C60" w:rsidRDefault="00085C60" w:rsidP="007A428B">
      <w:pPr>
        <w:pStyle w:val="JudgmentNumbered"/>
        <w:numPr>
          <w:ilvl w:val="0"/>
          <w:numId w:val="0"/>
        </w:numPr>
        <w:ind w:left="567" w:hanging="567"/>
        <w:rPr>
          <w:bCs/>
          <w:iCs/>
          <w:lang w:val="en-ZA"/>
        </w:rPr>
      </w:pPr>
      <w:r w:rsidRPr="00085C60">
        <w:rPr>
          <w:bCs/>
          <w:iCs/>
          <w:lang w:val="en-ZA"/>
        </w:rPr>
        <w:t>SOUTH AFRICAN BROADCASTING CORPORATION SOC LTD</w:t>
      </w:r>
      <w:r>
        <w:rPr>
          <w:bCs/>
          <w:iCs/>
          <w:lang w:val="en-ZA"/>
        </w:rPr>
        <w:t xml:space="preserve">                     First Plaintiff</w:t>
      </w:r>
    </w:p>
    <w:p w14:paraId="305D71C9" w14:textId="16626DD1" w:rsidR="00085C60" w:rsidRDefault="00085C60" w:rsidP="007A428B">
      <w:pPr>
        <w:pStyle w:val="JudgmentNumbered"/>
        <w:numPr>
          <w:ilvl w:val="0"/>
          <w:numId w:val="0"/>
        </w:numPr>
        <w:ind w:left="567" w:hanging="567"/>
        <w:rPr>
          <w:bCs/>
          <w:iCs/>
          <w:lang w:val="en-ZA"/>
        </w:rPr>
      </w:pPr>
      <w:r w:rsidRPr="00085C60">
        <w:rPr>
          <w:bCs/>
          <w:iCs/>
          <w:lang w:val="en-ZA"/>
        </w:rPr>
        <w:t>SPEC</w:t>
      </w:r>
      <w:bookmarkStart w:id="0" w:name="_GoBack"/>
      <w:bookmarkEnd w:id="0"/>
      <w:r w:rsidRPr="00085C60">
        <w:rPr>
          <w:bCs/>
          <w:iCs/>
          <w:lang w:val="en-ZA"/>
        </w:rPr>
        <w:t>IAL INVESTIGATING UNIT</w:t>
      </w:r>
      <w:r>
        <w:rPr>
          <w:bCs/>
          <w:iCs/>
          <w:lang w:val="en-ZA"/>
        </w:rPr>
        <w:tab/>
      </w:r>
      <w:r>
        <w:rPr>
          <w:bCs/>
          <w:iCs/>
          <w:lang w:val="en-ZA"/>
        </w:rPr>
        <w:tab/>
      </w:r>
      <w:r>
        <w:rPr>
          <w:bCs/>
          <w:iCs/>
          <w:lang w:val="en-ZA"/>
        </w:rPr>
        <w:tab/>
      </w:r>
      <w:r>
        <w:rPr>
          <w:bCs/>
          <w:iCs/>
          <w:lang w:val="en-ZA"/>
        </w:rPr>
        <w:tab/>
      </w:r>
      <w:r>
        <w:rPr>
          <w:bCs/>
          <w:iCs/>
          <w:lang w:val="en-ZA"/>
        </w:rPr>
        <w:tab/>
      </w:r>
      <w:r>
        <w:rPr>
          <w:bCs/>
          <w:iCs/>
          <w:lang w:val="en-ZA"/>
        </w:rPr>
        <w:tab/>
        <w:t xml:space="preserve">           Second Plaintiff</w:t>
      </w:r>
    </w:p>
    <w:p w14:paraId="59ADA656" w14:textId="78BFADDD" w:rsidR="00085C60" w:rsidRDefault="00975FBB" w:rsidP="007A428B">
      <w:pPr>
        <w:pStyle w:val="JudgmentNumbered"/>
        <w:numPr>
          <w:ilvl w:val="0"/>
          <w:numId w:val="0"/>
        </w:numPr>
        <w:ind w:left="567" w:hanging="567"/>
        <w:rPr>
          <w:bCs/>
          <w:iCs/>
          <w:lang w:val="en-ZA"/>
        </w:rPr>
      </w:pPr>
      <w:r>
        <w:rPr>
          <w:bCs/>
          <w:iCs/>
          <w:lang w:val="en-ZA"/>
        </w:rPr>
        <w:t>a</w:t>
      </w:r>
      <w:r w:rsidR="00085C60">
        <w:rPr>
          <w:bCs/>
          <w:iCs/>
          <w:lang w:val="en-ZA"/>
        </w:rPr>
        <w:t xml:space="preserve">nd  </w:t>
      </w:r>
    </w:p>
    <w:p w14:paraId="7103B5B6" w14:textId="7722531D" w:rsidR="00085C60" w:rsidRDefault="00085C60" w:rsidP="007A428B">
      <w:pPr>
        <w:pStyle w:val="JudgmentNumbered"/>
        <w:numPr>
          <w:ilvl w:val="0"/>
          <w:numId w:val="0"/>
        </w:numPr>
        <w:ind w:left="567" w:hanging="567"/>
        <w:rPr>
          <w:bCs/>
          <w:iCs/>
          <w:lang w:val="en-ZA"/>
        </w:rPr>
      </w:pPr>
      <w:r>
        <w:rPr>
          <w:bCs/>
          <w:iCs/>
          <w:lang w:val="en-ZA"/>
        </w:rPr>
        <w:t>LORNAVISION (PTY) LTD</w:t>
      </w:r>
      <w:r>
        <w:rPr>
          <w:bCs/>
          <w:iCs/>
          <w:lang w:val="en-ZA"/>
        </w:rPr>
        <w:tab/>
      </w:r>
      <w:r>
        <w:rPr>
          <w:bCs/>
          <w:iCs/>
          <w:lang w:val="en-ZA"/>
        </w:rPr>
        <w:tab/>
      </w:r>
      <w:r>
        <w:rPr>
          <w:bCs/>
          <w:iCs/>
          <w:lang w:val="en-ZA"/>
        </w:rPr>
        <w:tab/>
      </w:r>
      <w:r>
        <w:rPr>
          <w:bCs/>
          <w:iCs/>
          <w:lang w:val="en-ZA"/>
        </w:rPr>
        <w:tab/>
      </w:r>
      <w:r>
        <w:rPr>
          <w:bCs/>
          <w:iCs/>
          <w:lang w:val="en-ZA"/>
        </w:rPr>
        <w:tab/>
      </w:r>
      <w:r>
        <w:rPr>
          <w:bCs/>
          <w:iCs/>
          <w:lang w:val="en-ZA"/>
        </w:rPr>
        <w:tab/>
        <w:t xml:space="preserve">                      First Defendant</w:t>
      </w:r>
    </w:p>
    <w:p w14:paraId="7ADB74CB" w14:textId="697AB37D" w:rsidR="00085C60" w:rsidRPr="00085C60" w:rsidRDefault="00085C60" w:rsidP="007A428B">
      <w:pPr>
        <w:pStyle w:val="JudgmentNumbered"/>
        <w:numPr>
          <w:ilvl w:val="0"/>
          <w:numId w:val="0"/>
        </w:numPr>
        <w:ind w:left="567" w:hanging="567"/>
        <w:rPr>
          <w:bCs/>
          <w:iCs/>
          <w:lang w:val="en-ZA"/>
        </w:rPr>
      </w:pPr>
      <w:r>
        <w:rPr>
          <w:bCs/>
          <w:iCs/>
          <w:lang w:val="en-ZA"/>
        </w:rPr>
        <w:t xml:space="preserve">JAMES AGUMA        </w:t>
      </w:r>
      <w:r>
        <w:rPr>
          <w:bCs/>
          <w:iCs/>
          <w:lang w:val="en-ZA"/>
        </w:rPr>
        <w:tab/>
      </w:r>
      <w:r>
        <w:rPr>
          <w:bCs/>
          <w:iCs/>
          <w:lang w:val="en-ZA"/>
        </w:rPr>
        <w:tab/>
      </w:r>
      <w:r>
        <w:rPr>
          <w:bCs/>
          <w:iCs/>
          <w:lang w:val="en-ZA"/>
        </w:rPr>
        <w:tab/>
      </w:r>
      <w:r>
        <w:rPr>
          <w:bCs/>
          <w:iCs/>
          <w:lang w:val="en-ZA"/>
        </w:rPr>
        <w:tab/>
      </w:r>
      <w:r>
        <w:rPr>
          <w:bCs/>
          <w:iCs/>
          <w:lang w:val="en-ZA"/>
        </w:rPr>
        <w:tab/>
      </w:r>
      <w:r>
        <w:rPr>
          <w:bCs/>
          <w:iCs/>
          <w:lang w:val="en-ZA"/>
        </w:rPr>
        <w:tab/>
      </w:r>
      <w:r>
        <w:rPr>
          <w:bCs/>
          <w:iCs/>
          <w:lang w:val="en-ZA"/>
        </w:rPr>
        <w:tab/>
        <w:t xml:space="preserve">      Second Defendant</w:t>
      </w:r>
    </w:p>
    <w:p w14:paraId="3AFB45CE" w14:textId="4AD2D7A5" w:rsidR="007A428B" w:rsidRDefault="007A428B" w:rsidP="007A428B">
      <w:pPr>
        <w:pStyle w:val="JudgmentNumbered"/>
        <w:numPr>
          <w:ilvl w:val="0"/>
          <w:numId w:val="0"/>
        </w:numPr>
        <w:ind w:left="567" w:hanging="567"/>
        <w:rPr>
          <w:bCs/>
          <w:lang w:val="en-ZA"/>
        </w:rPr>
      </w:pPr>
      <w:r>
        <w:rPr>
          <w:b/>
          <w:lang w:val="en-ZA"/>
        </w:rPr>
        <w:lastRenderedPageBreak/>
        <w:t xml:space="preserve">Coram: </w:t>
      </w:r>
      <w:r>
        <w:rPr>
          <w:b/>
          <w:lang w:val="en-ZA"/>
        </w:rPr>
        <w:tab/>
      </w:r>
      <w:r>
        <w:rPr>
          <w:bCs/>
          <w:lang w:val="en-ZA"/>
        </w:rPr>
        <w:t>DOSIO J</w:t>
      </w:r>
    </w:p>
    <w:p w14:paraId="25AF7E25" w14:textId="77777777" w:rsidR="007A428B" w:rsidRPr="00A72132" w:rsidRDefault="007A428B" w:rsidP="007A428B">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58870631" w14:textId="77777777" w:rsidR="007A428B" w:rsidRPr="00A72132" w:rsidRDefault="007A428B" w:rsidP="007A428B">
      <w:pPr>
        <w:tabs>
          <w:tab w:val="left" w:pos="3000"/>
        </w:tabs>
        <w:spacing w:after="0" w:line="240" w:lineRule="auto"/>
        <w:jc w:val="both"/>
        <w:rPr>
          <w:rFonts w:ascii="Arial" w:eastAsia="Times New Roman" w:hAnsi="Arial" w:cs="Arial"/>
          <w:sz w:val="28"/>
          <w:szCs w:val="28"/>
          <w:lang w:val="en-GB" w:eastAsia="en-GB"/>
        </w:rPr>
      </w:pPr>
    </w:p>
    <w:p w14:paraId="4F055AD8" w14:textId="77777777" w:rsidR="007A428B" w:rsidRPr="00A72132" w:rsidRDefault="007A428B" w:rsidP="007A428B">
      <w:pPr>
        <w:tabs>
          <w:tab w:val="left" w:pos="3000"/>
        </w:tabs>
        <w:spacing w:after="0" w:line="24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ORDER</w:t>
      </w:r>
    </w:p>
    <w:p w14:paraId="1B7AF088" w14:textId="77777777" w:rsidR="007A428B" w:rsidRPr="00A72132" w:rsidRDefault="007A428B" w:rsidP="007A428B">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0013F563" w14:textId="77777777" w:rsidR="00085C60" w:rsidRDefault="00085C60" w:rsidP="00085C60">
      <w:pPr>
        <w:pStyle w:val="JudgmentNumbered"/>
        <w:numPr>
          <w:ilvl w:val="0"/>
          <w:numId w:val="0"/>
        </w:numPr>
        <w:ind w:left="1134" w:hanging="567"/>
        <w:rPr>
          <w:bCs/>
          <w:lang w:val="en-ZA"/>
        </w:rPr>
      </w:pPr>
    </w:p>
    <w:p w14:paraId="31A510D8" w14:textId="171E4A45" w:rsidR="00085C60" w:rsidRPr="00085C60" w:rsidRDefault="00085C60" w:rsidP="00085C60">
      <w:pPr>
        <w:pStyle w:val="JudgmentNumbered"/>
        <w:numPr>
          <w:ilvl w:val="0"/>
          <w:numId w:val="0"/>
        </w:numPr>
        <w:ind w:left="1134" w:hanging="567"/>
        <w:rPr>
          <w:bCs/>
          <w:lang w:val="en-ZA"/>
        </w:rPr>
      </w:pPr>
      <w:r w:rsidRPr="00085C60">
        <w:rPr>
          <w:bCs/>
          <w:lang w:val="en-ZA"/>
        </w:rPr>
        <w:t>1.</w:t>
      </w:r>
      <w:r w:rsidRPr="00085C60">
        <w:rPr>
          <w:bCs/>
          <w:lang w:val="en-ZA"/>
        </w:rPr>
        <w:tab/>
        <w:t>The application for default judgment is granted.</w:t>
      </w:r>
    </w:p>
    <w:p w14:paraId="593B5A63" w14:textId="25EC3ED9" w:rsidR="00085C60" w:rsidRDefault="00085C60" w:rsidP="00085C60">
      <w:pPr>
        <w:pStyle w:val="JudgmentNumbered"/>
        <w:numPr>
          <w:ilvl w:val="0"/>
          <w:numId w:val="0"/>
        </w:numPr>
        <w:ind w:left="567"/>
        <w:rPr>
          <w:bCs/>
          <w:lang w:val="en-ZA"/>
        </w:rPr>
      </w:pPr>
      <w:r>
        <w:rPr>
          <w:bCs/>
          <w:lang w:val="en-ZA"/>
        </w:rPr>
        <w:t xml:space="preserve">2.     </w:t>
      </w:r>
      <w:r w:rsidRPr="00085C60">
        <w:rPr>
          <w:bCs/>
          <w:lang w:val="en-ZA"/>
        </w:rPr>
        <w:t>The respondent is order</w:t>
      </w:r>
      <w:r w:rsidR="00125C4D">
        <w:rPr>
          <w:bCs/>
          <w:lang w:val="en-ZA"/>
        </w:rPr>
        <w:t>ed to pay the sum of R62 733 556</w:t>
      </w:r>
      <w:r w:rsidRPr="00085C60">
        <w:rPr>
          <w:bCs/>
          <w:lang w:val="en-ZA"/>
        </w:rPr>
        <w:t>.</w:t>
      </w:r>
      <w:r w:rsidR="00125C4D">
        <w:rPr>
          <w:bCs/>
          <w:lang w:val="en-ZA"/>
        </w:rPr>
        <w:t>61</w:t>
      </w:r>
      <w:r w:rsidRPr="00085C60">
        <w:rPr>
          <w:bCs/>
          <w:lang w:val="en-ZA"/>
        </w:rPr>
        <w:t xml:space="preserve"> with interest thereon </w:t>
      </w:r>
      <w:r>
        <w:rPr>
          <w:bCs/>
          <w:lang w:val="en-ZA"/>
        </w:rPr>
        <w:t xml:space="preserve"> </w:t>
      </w:r>
    </w:p>
    <w:p w14:paraId="2483EF0F" w14:textId="6167307C" w:rsidR="00085C60" w:rsidRPr="00085C60" w:rsidRDefault="00085C60" w:rsidP="00085C60">
      <w:pPr>
        <w:pStyle w:val="JudgmentNumbered"/>
        <w:numPr>
          <w:ilvl w:val="0"/>
          <w:numId w:val="0"/>
        </w:numPr>
        <w:ind w:left="567"/>
        <w:rPr>
          <w:bCs/>
          <w:lang w:val="en-ZA"/>
        </w:rPr>
      </w:pPr>
      <w:r>
        <w:rPr>
          <w:bCs/>
          <w:lang w:val="en-ZA"/>
        </w:rPr>
        <w:t xml:space="preserve">        </w:t>
      </w:r>
      <w:r w:rsidRPr="00085C60">
        <w:rPr>
          <w:bCs/>
          <w:lang w:val="en-ZA"/>
        </w:rPr>
        <w:t>tempore morae from date of service of summons to the date of final payment.</w:t>
      </w:r>
    </w:p>
    <w:p w14:paraId="4FF966C8" w14:textId="6A8972F3" w:rsidR="007A428B" w:rsidRPr="007D32E4" w:rsidRDefault="00085C60" w:rsidP="007D32E4">
      <w:pPr>
        <w:pStyle w:val="JudgmentNumbered"/>
        <w:numPr>
          <w:ilvl w:val="0"/>
          <w:numId w:val="0"/>
        </w:numPr>
        <w:ind w:left="567" w:hanging="567"/>
        <w:rPr>
          <w:bCs/>
          <w:lang w:val="en-ZA"/>
        </w:rPr>
      </w:pPr>
      <w:r>
        <w:rPr>
          <w:bCs/>
          <w:lang w:val="en-ZA"/>
        </w:rPr>
        <w:t xml:space="preserve">        </w:t>
      </w:r>
      <w:r w:rsidRPr="00085C60">
        <w:rPr>
          <w:bCs/>
          <w:lang w:val="en-ZA"/>
        </w:rPr>
        <w:t>3</w:t>
      </w:r>
      <w:r>
        <w:rPr>
          <w:bCs/>
          <w:lang w:val="en-ZA"/>
        </w:rPr>
        <w:t xml:space="preserve">.      </w:t>
      </w:r>
      <w:r w:rsidRPr="00085C60">
        <w:rPr>
          <w:bCs/>
          <w:lang w:val="en-ZA"/>
        </w:rPr>
        <w:t>The respondent is to pay the costs.</w:t>
      </w:r>
    </w:p>
    <w:p w14:paraId="2DE8D781" w14:textId="77777777" w:rsidR="007A428B" w:rsidRPr="00A72132" w:rsidRDefault="007A428B" w:rsidP="007A428B">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58A04954" w14:textId="77777777" w:rsidR="007A428B" w:rsidRPr="00A72132" w:rsidRDefault="007A428B" w:rsidP="007A428B">
      <w:pPr>
        <w:tabs>
          <w:tab w:val="left" w:pos="3000"/>
        </w:tabs>
        <w:spacing w:after="0" w:line="240" w:lineRule="auto"/>
        <w:jc w:val="both"/>
        <w:rPr>
          <w:rFonts w:ascii="Arial" w:eastAsia="Times New Roman" w:hAnsi="Arial" w:cs="Arial"/>
          <w:sz w:val="28"/>
          <w:szCs w:val="28"/>
          <w:lang w:val="en-GB" w:eastAsia="en-GB"/>
        </w:rPr>
      </w:pPr>
    </w:p>
    <w:p w14:paraId="1829F0B6" w14:textId="77777777" w:rsidR="007A428B" w:rsidRPr="00A72132" w:rsidRDefault="007A428B" w:rsidP="007A428B">
      <w:pPr>
        <w:tabs>
          <w:tab w:val="left" w:pos="3000"/>
        </w:tabs>
        <w:spacing w:after="0" w:line="240" w:lineRule="auto"/>
        <w:jc w:val="center"/>
        <w:rPr>
          <w:rFonts w:ascii="Arial" w:eastAsia="Times New Roman" w:hAnsi="Arial" w:cs="Arial"/>
          <w:b/>
          <w:sz w:val="28"/>
          <w:szCs w:val="28"/>
          <w:lang w:val="en-GB" w:eastAsia="en-GB"/>
        </w:rPr>
      </w:pPr>
      <w:r w:rsidRPr="00A72132">
        <w:rPr>
          <w:rFonts w:ascii="Arial" w:eastAsia="Times New Roman" w:hAnsi="Arial" w:cs="Arial"/>
          <w:b/>
          <w:sz w:val="28"/>
          <w:szCs w:val="28"/>
          <w:lang w:val="en-GB" w:eastAsia="en-GB"/>
        </w:rPr>
        <w:t>JUDGMENT</w:t>
      </w:r>
    </w:p>
    <w:p w14:paraId="1C043DC0" w14:textId="77777777" w:rsidR="007A428B" w:rsidRPr="00A72132" w:rsidRDefault="007A428B" w:rsidP="007A428B">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69C1BB1A" w14:textId="77777777" w:rsidR="007A428B" w:rsidRDefault="007A428B" w:rsidP="007A428B">
      <w:pPr>
        <w:tabs>
          <w:tab w:val="left" w:pos="3000"/>
        </w:tabs>
        <w:spacing w:after="0" w:line="480" w:lineRule="auto"/>
        <w:jc w:val="both"/>
        <w:rPr>
          <w:rFonts w:ascii="Arial" w:eastAsia="Times New Roman" w:hAnsi="Arial" w:cs="Arial"/>
          <w:b/>
          <w:sz w:val="24"/>
          <w:szCs w:val="24"/>
          <w:lang w:val="en-GB" w:eastAsia="en-GB"/>
        </w:rPr>
      </w:pPr>
    </w:p>
    <w:p w14:paraId="4B80C7E0" w14:textId="2680B1DF" w:rsidR="007D32E4" w:rsidRPr="00DC2428" w:rsidRDefault="007A428B" w:rsidP="007A428B">
      <w:pPr>
        <w:tabs>
          <w:tab w:val="left" w:pos="3000"/>
        </w:tabs>
        <w:spacing w:after="0" w:line="480" w:lineRule="auto"/>
        <w:jc w:val="both"/>
        <w:rPr>
          <w:rFonts w:ascii="Arial" w:eastAsia="Times New Roman" w:hAnsi="Arial" w:cs="Arial"/>
          <w:b/>
          <w:sz w:val="24"/>
          <w:szCs w:val="24"/>
          <w:lang w:val="en-GB" w:eastAsia="en-GB"/>
        </w:rPr>
      </w:pPr>
      <w:r w:rsidRPr="00DC2428">
        <w:rPr>
          <w:rFonts w:ascii="Arial" w:eastAsia="Times New Roman" w:hAnsi="Arial" w:cs="Arial"/>
          <w:b/>
          <w:sz w:val="24"/>
          <w:szCs w:val="24"/>
          <w:lang w:val="en-GB" w:eastAsia="en-GB"/>
        </w:rPr>
        <w:t>DOSIO J:</w:t>
      </w:r>
    </w:p>
    <w:p w14:paraId="0239121E" w14:textId="77777777" w:rsidR="007A428B" w:rsidRPr="00DC2428" w:rsidRDefault="007A428B" w:rsidP="007A428B">
      <w:pPr>
        <w:pStyle w:val="JudgmentNumbered"/>
        <w:numPr>
          <w:ilvl w:val="0"/>
          <w:numId w:val="0"/>
        </w:numPr>
        <w:ind w:left="567" w:hanging="567"/>
        <w:rPr>
          <w:b/>
          <w:bCs/>
          <w:i/>
          <w:lang w:val="en-ZA"/>
        </w:rPr>
      </w:pPr>
      <w:r w:rsidRPr="00DC2428">
        <w:rPr>
          <w:b/>
          <w:bCs/>
          <w:i/>
          <w:lang w:val="en-ZA"/>
        </w:rPr>
        <w:t>Introduction</w:t>
      </w:r>
    </w:p>
    <w:p w14:paraId="021B5199" w14:textId="2BAF85C4" w:rsidR="007A428B" w:rsidRDefault="007A428B" w:rsidP="007D32E4">
      <w:pPr>
        <w:pStyle w:val="JudgmentNumbered"/>
        <w:numPr>
          <w:ilvl w:val="0"/>
          <w:numId w:val="0"/>
        </w:numPr>
        <w:tabs>
          <w:tab w:val="left" w:pos="993"/>
        </w:tabs>
        <w:rPr>
          <w:bCs/>
          <w:lang w:val="en-ZA"/>
        </w:rPr>
      </w:pPr>
      <w:r>
        <w:rPr>
          <w:bCs/>
          <w:lang w:val="en-ZA"/>
        </w:rPr>
        <w:t>[1]</w:t>
      </w:r>
      <w:r>
        <w:rPr>
          <w:bCs/>
          <w:lang w:val="en-ZA"/>
        </w:rPr>
        <w:tab/>
      </w:r>
      <w:r w:rsidRPr="00CE1E37">
        <w:rPr>
          <w:bCs/>
          <w:lang w:val="en-ZA"/>
        </w:rPr>
        <w:t xml:space="preserve">This is an </w:t>
      </w:r>
      <w:bookmarkStart w:id="1" w:name="_Hlk160797642"/>
      <w:r w:rsidR="003E5D30">
        <w:rPr>
          <w:bCs/>
          <w:lang w:val="en-ZA"/>
        </w:rPr>
        <w:t>a</w:t>
      </w:r>
      <w:r w:rsidR="00897830">
        <w:rPr>
          <w:bCs/>
          <w:lang w:val="en-ZA"/>
        </w:rPr>
        <w:t>pplication for default judgment</w:t>
      </w:r>
      <w:r w:rsidR="00186039">
        <w:rPr>
          <w:bCs/>
          <w:lang w:val="en-ZA"/>
        </w:rPr>
        <w:t>,</w:t>
      </w:r>
      <w:r w:rsidR="00897830">
        <w:rPr>
          <w:bCs/>
          <w:lang w:val="en-ZA"/>
        </w:rPr>
        <w:t xml:space="preserve"> brought by the first and second </w:t>
      </w:r>
      <w:r w:rsidR="00E21EA3">
        <w:rPr>
          <w:bCs/>
          <w:lang w:val="en-ZA"/>
        </w:rPr>
        <w:t>applicants who will be referred to as (</w:t>
      </w:r>
      <w:r w:rsidR="00897830">
        <w:rPr>
          <w:bCs/>
          <w:lang w:val="en-ZA"/>
        </w:rPr>
        <w:t>‘the SABC’) and (‘the SIU’)</w:t>
      </w:r>
      <w:r w:rsidR="004575C8">
        <w:rPr>
          <w:bCs/>
          <w:lang w:val="en-ZA"/>
        </w:rPr>
        <w:t>,</w:t>
      </w:r>
      <w:r w:rsidR="00CE123F">
        <w:rPr>
          <w:bCs/>
          <w:lang w:val="en-ZA"/>
        </w:rPr>
        <w:t xml:space="preserve"> </w:t>
      </w:r>
      <w:r w:rsidR="00897830">
        <w:rPr>
          <w:bCs/>
          <w:lang w:val="en-ZA"/>
        </w:rPr>
        <w:t xml:space="preserve">against the first </w:t>
      </w:r>
      <w:r w:rsidR="00E21EA3">
        <w:rPr>
          <w:bCs/>
          <w:lang w:val="en-ZA"/>
        </w:rPr>
        <w:t>respondent</w:t>
      </w:r>
      <w:r w:rsidR="00186039">
        <w:rPr>
          <w:bCs/>
          <w:lang w:val="en-ZA"/>
        </w:rPr>
        <w:t>,</w:t>
      </w:r>
      <w:r w:rsidR="00897830">
        <w:rPr>
          <w:bCs/>
          <w:lang w:val="en-ZA"/>
        </w:rPr>
        <w:t xml:space="preserve"> (‘Lornavision’).</w:t>
      </w:r>
    </w:p>
    <w:p w14:paraId="7495195D" w14:textId="3AC01DEA" w:rsidR="003E5D30" w:rsidRPr="00186039" w:rsidRDefault="003E5D30" w:rsidP="007A428B">
      <w:pPr>
        <w:pStyle w:val="JudgmentNumbered"/>
        <w:numPr>
          <w:ilvl w:val="0"/>
          <w:numId w:val="0"/>
        </w:numPr>
        <w:tabs>
          <w:tab w:val="left" w:pos="993"/>
        </w:tabs>
        <w:rPr>
          <w:bCs/>
          <w:color w:val="000000" w:themeColor="text1"/>
          <w:lang w:val="en-ZA"/>
        </w:rPr>
      </w:pPr>
      <w:r w:rsidRPr="00186039">
        <w:rPr>
          <w:bCs/>
          <w:color w:val="000000" w:themeColor="text1"/>
          <w:lang w:val="en-ZA"/>
        </w:rPr>
        <w:t>[</w:t>
      </w:r>
      <w:r w:rsidR="008D15C2">
        <w:rPr>
          <w:bCs/>
          <w:color w:val="000000" w:themeColor="text1"/>
          <w:lang w:val="en-ZA"/>
        </w:rPr>
        <w:t>2</w:t>
      </w:r>
      <w:r w:rsidRPr="00186039">
        <w:rPr>
          <w:bCs/>
          <w:color w:val="000000" w:themeColor="text1"/>
          <w:lang w:val="en-ZA"/>
        </w:rPr>
        <w:t>]</w:t>
      </w:r>
      <w:r w:rsidRPr="00186039">
        <w:rPr>
          <w:bCs/>
          <w:color w:val="000000" w:themeColor="text1"/>
          <w:lang w:val="en-ZA"/>
        </w:rPr>
        <w:tab/>
        <w:t>Lornavision has opposed the application.</w:t>
      </w:r>
    </w:p>
    <w:p w14:paraId="64F26536" w14:textId="177EE8CE" w:rsidR="007D32E4" w:rsidRDefault="00E21EA3" w:rsidP="007A428B">
      <w:pPr>
        <w:pStyle w:val="JudgmentNumbered"/>
        <w:numPr>
          <w:ilvl w:val="0"/>
          <w:numId w:val="0"/>
        </w:numPr>
        <w:tabs>
          <w:tab w:val="left" w:pos="993"/>
        </w:tabs>
        <w:rPr>
          <w:bCs/>
          <w:lang w:val="en-ZA"/>
        </w:rPr>
      </w:pPr>
      <w:r>
        <w:rPr>
          <w:bCs/>
          <w:lang w:val="en-ZA"/>
        </w:rPr>
        <w:t>[</w:t>
      </w:r>
      <w:r w:rsidR="008D15C2">
        <w:rPr>
          <w:bCs/>
          <w:lang w:val="en-ZA"/>
        </w:rPr>
        <w:t>3</w:t>
      </w:r>
      <w:r>
        <w:rPr>
          <w:bCs/>
          <w:lang w:val="en-ZA"/>
        </w:rPr>
        <w:t>]</w:t>
      </w:r>
      <w:r>
        <w:rPr>
          <w:bCs/>
          <w:lang w:val="en-ZA"/>
        </w:rPr>
        <w:tab/>
        <w:t>The first and second</w:t>
      </w:r>
      <w:r w:rsidR="004575C8">
        <w:rPr>
          <w:bCs/>
          <w:lang w:val="en-ZA"/>
        </w:rPr>
        <w:t xml:space="preserve"> applicants are</w:t>
      </w:r>
      <w:r>
        <w:rPr>
          <w:bCs/>
          <w:lang w:val="en-ZA"/>
        </w:rPr>
        <w:t xml:space="preserve"> the first and second plaintiffs in the main action</w:t>
      </w:r>
      <w:r w:rsidR="00085C60">
        <w:rPr>
          <w:bCs/>
          <w:lang w:val="en-ZA"/>
        </w:rPr>
        <w:t xml:space="preserve"> and Lornavision is the first defendant. For purposes of this judgment</w:t>
      </w:r>
      <w:r w:rsidR="008D15C2">
        <w:rPr>
          <w:bCs/>
          <w:lang w:val="en-ZA"/>
        </w:rPr>
        <w:t>,</w:t>
      </w:r>
      <w:r w:rsidR="00085C60">
        <w:rPr>
          <w:bCs/>
          <w:lang w:val="en-ZA"/>
        </w:rPr>
        <w:t xml:space="preserve"> reference</w:t>
      </w:r>
      <w:r w:rsidR="004575C8">
        <w:rPr>
          <w:bCs/>
          <w:lang w:val="en-ZA"/>
        </w:rPr>
        <w:t xml:space="preserve"> will </w:t>
      </w:r>
      <w:r w:rsidR="00085C60">
        <w:rPr>
          <w:bCs/>
          <w:lang w:val="en-ZA"/>
        </w:rPr>
        <w:t>be made to these parties as they appear in the main action.</w:t>
      </w:r>
    </w:p>
    <w:p w14:paraId="23FF9F06" w14:textId="20847CCD" w:rsidR="007D32E4" w:rsidRDefault="003E5D30" w:rsidP="007A428B">
      <w:pPr>
        <w:pStyle w:val="JudgmentNumbered"/>
        <w:numPr>
          <w:ilvl w:val="0"/>
          <w:numId w:val="0"/>
        </w:numPr>
        <w:tabs>
          <w:tab w:val="left" w:pos="993"/>
        </w:tabs>
        <w:rPr>
          <w:b/>
          <w:bCs/>
          <w:i/>
          <w:lang w:val="en-ZA"/>
        </w:rPr>
      </w:pPr>
      <w:r>
        <w:rPr>
          <w:b/>
          <w:bCs/>
          <w:i/>
          <w:lang w:val="en-ZA"/>
        </w:rPr>
        <w:t>Background</w:t>
      </w:r>
    </w:p>
    <w:p w14:paraId="2317CF51" w14:textId="074E5495" w:rsidR="00E368AD" w:rsidRDefault="00E368AD" w:rsidP="007A428B">
      <w:pPr>
        <w:pStyle w:val="JudgmentNumbered"/>
        <w:numPr>
          <w:ilvl w:val="0"/>
          <w:numId w:val="0"/>
        </w:numPr>
        <w:tabs>
          <w:tab w:val="left" w:pos="993"/>
        </w:tabs>
        <w:rPr>
          <w:bCs/>
          <w:lang w:val="en-ZA"/>
        </w:rPr>
      </w:pPr>
      <w:r>
        <w:rPr>
          <w:bCs/>
          <w:lang w:val="en-ZA"/>
        </w:rPr>
        <w:t>[</w:t>
      </w:r>
      <w:r w:rsidR="008D15C2">
        <w:rPr>
          <w:bCs/>
          <w:lang w:val="en-ZA"/>
        </w:rPr>
        <w:t>4</w:t>
      </w:r>
      <w:r>
        <w:rPr>
          <w:bCs/>
          <w:lang w:val="en-ZA"/>
        </w:rPr>
        <w:t>]</w:t>
      </w:r>
      <w:r>
        <w:rPr>
          <w:bCs/>
          <w:lang w:val="en-ZA"/>
        </w:rPr>
        <w:tab/>
        <w:t>T</w:t>
      </w:r>
      <w:r w:rsidRPr="00E368AD">
        <w:rPr>
          <w:bCs/>
          <w:lang w:val="en-ZA"/>
        </w:rPr>
        <w:t>he SABC and Lornavision concluded a written services agreement on 10 July 2015</w:t>
      </w:r>
      <w:r w:rsidR="004575C8">
        <w:rPr>
          <w:bCs/>
          <w:lang w:val="en-ZA"/>
        </w:rPr>
        <w:t>,</w:t>
      </w:r>
      <w:r w:rsidRPr="00E368AD">
        <w:rPr>
          <w:bCs/>
          <w:lang w:val="en-ZA"/>
        </w:rPr>
        <w:t xml:space="preserve"> in terms of which Lornavision was to assist the SABC with the collection of debt relating to the payment of TV licenses</w:t>
      </w:r>
      <w:r w:rsidR="00B443CA">
        <w:rPr>
          <w:bCs/>
          <w:lang w:val="en-ZA"/>
        </w:rPr>
        <w:t>.</w:t>
      </w:r>
    </w:p>
    <w:p w14:paraId="4291E043" w14:textId="00CF2F4F" w:rsidR="001A1D0B" w:rsidRDefault="001A1D0B" w:rsidP="007A428B">
      <w:pPr>
        <w:pStyle w:val="JudgmentNumbered"/>
        <w:numPr>
          <w:ilvl w:val="0"/>
          <w:numId w:val="0"/>
        </w:numPr>
        <w:tabs>
          <w:tab w:val="left" w:pos="993"/>
        </w:tabs>
        <w:rPr>
          <w:bCs/>
          <w:lang w:val="en-ZA"/>
        </w:rPr>
      </w:pPr>
      <w:r>
        <w:rPr>
          <w:bCs/>
          <w:lang w:val="en-ZA"/>
        </w:rPr>
        <w:t>[</w:t>
      </w:r>
      <w:r w:rsidR="008D15C2">
        <w:rPr>
          <w:bCs/>
          <w:lang w:val="en-ZA"/>
        </w:rPr>
        <w:t>5</w:t>
      </w:r>
      <w:r>
        <w:rPr>
          <w:bCs/>
          <w:lang w:val="en-ZA"/>
        </w:rPr>
        <w:t>]</w:t>
      </w:r>
      <w:r>
        <w:rPr>
          <w:bCs/>
          <w:lang w:val="en-ZA"/>
        </w:rPr>
        <w:tab/>
        <w:t>The second defendant (‘Mr Aguma’)</w:t>
      </w:r>
      <w:r w:rsidR="008D15C2">
        <w:rPr>
          <w:bCs/>
          <w:lang w:val="en-ZA"/>
        </w:rPr>
        <w:t>,</w:t>
      </w:r>
      <w:r>
        <w:rPr>
          <w:bCs/>
          <w:lang w:val="en-ZA"/>
        </w:rPr>
        <w:t xml:space="preserve"> was employed a</w:t>
      </w:r>
      <w:r w:rsidR="004575C8">
        <w:rPr>
          <w:bCs/>
          <w:lang w:val="en-ZA"/>
        </w:rPr>
        <w:t>s</w:t>
      </w:r>
      <w:r>
        <w:rPr>
          <w:bCs/>
          <w:lang w:val="en-ZA"/>
        </w:rPr>
        <w:t xml:space="preserve"> the chief financial officer of </w:t>
      </w:r>
      <w:r w:rsidR="004575C8">
        <w:rPr>
          <w:bCs/>
          <w:lang w:val="en-ZA"/>
        </w:rPr>
        <w:t xml:space="preserve">the </w:t>
      </w:r>
      <w:r>
        <w:rPr>
          <w:bCs/>
          <w:lang w:val="en-ZA"/>
        </w:rPr>
        <w:t>SABC</w:t>
      </w:r>
      <w:r w:rsidR="009D1FEE">
        <w:rPr>
          <w:bCs/>
          <w:lang w:val="en-ZA"/>
        </w:rPr>
        <w:t xml:space="preserve"> and initiated an irregular, unfair, non-competitive and non-transparent process to appoint Lornavision</w:t>
      </w:r>
      <w:r w:rsidR="008D15C2">
        <w:rPr>
          <w:bCs/>
          <w:lang w:val="en-ZA"/>
        </w:rPr>
        <w:t>,</w:t>
      </w:r>
      <w:r w:rsidR="009D1FEE">
        <w:rPr>
          <w:bCs/>
          <w:lang w:val="en-ZA"/>
        </w:rPr>
        <w:t xml:space="preserve"> in a manner that contravened s217(1) of the Constitution.</w:t>
      </w:r>
    </w:p>
    <w:p w14:paraId="6C116AD9" w14:textId="5428C1F9" w:rsidR="004575C8" w:rsidRPr="004575C8" w:rsidRDefault="004575C8" w:rsidP="00332C42">
      <w:pPr>
        <w:pStyle w:val="JudgmentNumbered"/>
        <w:numPr>
          <w:ilvl w:val="0"/>
          <w:numId w:val="0"/>
        </w:numPr>
        <w:tabs>
          <w:tab w:val="left" w:pos="993"/>
        </w:tabs>
        <w:rPr>
          <w:bCs/>
          <w:lang w:val="en-ZA"/>
        </w:rPr>
      </w:pPr>
      <w:r w:rsidRPr="004575C8">
        <w:rPr>
          <w:bCs/>
          <w:lang w:val="en-ZA"/>
        </w:rPr>
        <w:lastRenderedPageBreak/>
        <w:t>[</w:t>
      </w:r>
      <w:r w:rsidR="008D15C2">
        <w:rPr>
          <w:bCs/>
          <w:lang w:val="en-ZA"/>
        </w:rPr>
        <w:t>6</w:t>
      </w:r>
      <w:r w:rsidRPr="004575C8">
        <w:rPr>
          <w:bCs/>
          <w:lang w:val="en-ZA"/>
        </w:rPr>
        <w:t>]</w:t>
      </w:r>
      <w:r w:rsidRPr="004575C8">
        <w:rPr>
          <w:bCs/>
          <w:lang w:val="en-ZA"/>
        </w:rPr>
        <w:tab/>
        <w:t>The SABC performed in terms of the illegal services agreement and paid Lornavision the amount of R62 733 556.61.</w:t>
      </w:r>
    </w:p>
    <w:p w14:paraId="5D369927" w14:textId="157FCDF2" w:rsidR="00B443CA" w:rsidRDefault="00B443CA" w:rsidP="007A428B">
      <w:pPr>
        <w:pStyle w:val="JudgmentNumbered"/>
        <w:numPr>
          <w:ilvl w:val="0"/>
          <w:numId w:val="0"/>
        </w:numPr>
        <w:tabs>
          <w:tab w:val="left" w:pos="993"/>
        </w:tabs>
        <w:rPr>
          <w:bCs/>
          <w:lang w:val="en-ZA"/>
        </w:rPr>
      </w:pPr>
      <w:r>
        <w:rPr>
          <w:bCs/>
          <w:lang w:val="en-ZA"/>
        </w:rPr>
        <w:t>[</w:t>
      </w:r>
      <w:r w:rsidR="008D15C2">
        <w:rPr>
          <w:bCs/>
          <w:lang w:val="en-ZA"/>
        </w:rPr>
        <w:t>7</w:t>
      </w:r>
      <w:r>
        <w:rPr>
          <w:bCs/>
          <w:lang w:val="en-ZA"/>
        </w:rPr>
        <w:t>]</w:t>
      </w:r>
      <w:r>
        <w:rPr>
          <w:bCs/>
          <w:lang w:val="en-ZA"/>
        </w:rPr>
        <w:tab/>
        <w:t xml:space="preserve">The </w:t>
      </w:r>
      <w:r w:rsidRPr="00B443CA">
        <w:rPr>
          <w:bCs/>
          <w:lang w:val="en-ZA"/>
        </w:rPr>
        <w:t>written services agreement was declared unlawful, reviewed and set aside by th</w:t>
      </w:r>
      <w:r>
        <w:rPr>
          <w:bCs/>
          <w:lang w:val="en-ZA"/>
        </w:rPr>
        <w:t xml:space="preserve">e learned Shangisa AJ </w:t>
      </w:r>
      <w:r w:rsidRPr="00B443CA">
        <w:rPr>
          <w:bCs/>
          <w:lang w:val="en-ZA"/>
        </w:rPr>
        <w:t xml:space="preserve">on </w:t>
      </w:r>
      <w:r>
        <w:rPr>
          <w:bCs/>
          <w:lang w:val="en-ZA"/>
        </w:rPr>
        <w:t xml:space="preserve">26 July 2017 and reasons were given on </w:t>
      </w:r>
      <w:r w:rsidRPr="00B443CA">
        <w:rPr>
          <w:bCs/>
          <w:lang w:val="en-ZA"/>
        </w:rPr>
        <w:t>2 August 2017</w:t>
      </w:r>
      <w:r>
        <w:rPr>
          <w:bCs/>
          <w:lang w:val="en-ZA"/>
        </w:rPr>
        <w:t>.</w:t>
      </w:r>
    </w:p>
    <w:p w14:paraId="1661EEA7" w14:textId="1BC1C890" w:rsidR="003E5D30" w:rsidRDefault="004575C8" w:rsidP="007A428B">
      <w:pPr>
        <w:pStyle w:val="JudgmentNumbered"/>
        <w:numPr>
          <w:ilvl w:val="0"/>
          <w:numId w:val="0"/>
        </w:numPr>
        <w:tabs>
          <w:tab w:val="left" w:pos="993"/>
        </w:tabs>
        <w:rPr>
          <w:bCs/>
          <w:lang w:val="en-ZA"/>
        </w:rPr>
      </w:pPr>
      <w:r>
        <w:rPr>
          <w:bCs/>
          <w:lang w:val="en-ZA"/>
        </w:rPr>
        <w:t>[</w:t>
      </w:r>
      <w:r w:rsidR="008D15C2">
        <w:rPr>
          <w:bCs/>
          <w:lang w:val="en-ZA"/>
        </w:rPr>
        <w:t>8</w:t>
      </w:r>
      <w:r>
        <w:rPr>
          <w:bCs/>
          <w:lang w:val="en-ZA"/>
        </w:rPr>
        <w:t>]</w:t>
      </w:r>
      <w:r>
        <w:rPr>
          <w:bCs/>
          <w:lang w:val="en-ZA"/>
        </w:rPr>
        <w:tab/>
        <w:t>Summons was issued o</w:t>
      </w:r>
      <w:r w:rsidR="003E5D30">
        <w:rPr>
          <w:bCs/>
          <w:lang w:val="en-ZA"/>
        </w:rPr>
        <w:t xml:space="preserve">n 19 December 2017. </w:t>
      </w:r>
      <w:r w:rsidRPr="004575C8">
        <w:rPr>
          <w:bCs/>
          <w:lang w:val="en-ZA"/>
        </w:rPr>
        <w:t>Mr Aguma filed a plea and is not involved in this application.</w:t>
      </w:r>
    </w:p>
    <w:p w14:paraId="3E64AE8E" w14:textId="501FD6DA" w:rsidR="009D1FEE" w:rsidRDefault="003E5D30" w:rsidP="007A428B">
      <w:pPr>
        <w:pStyle w:val="JudgmentNumbered"/>
        <w:numPr>
          <w:ilvl w:val="0"/>
          <w:numId w:val="0"/>
        </w:numPr>
        <w:tabs>
          <w:tab w:val="left" w:pos="993"/>
        </w:tabs>
        <w:rPr>
          <w:bCs/>
          <w:lang w:val="en-ZA"/>
        </w:rPr>
      </w:pPr>
      <w:r>
        <w:rPr>
          <w:bCs/>
          <w:lang w:val="en-ZA"/>
        </w:rPr>
        <w:t>[</w:t>
      </w:r>
      <w:r w:rsidR="008D15C2">
        <w:rPr>
          <w:bCs/>
          <w:lang w:val="en-ZA"/>
        </w:rPr>
        <w:t>9</w:t>
      </w:r>
      <w:r>
        <w:rPr>
          <w:bCs/>
          <w:lang w:val="en-ZA"/>
        </w:rPr>
        <w:t>]</w:t>
      </w:r>
      <w:r>
        <w:rPr>
          <w:bCs/>
          <w:lang w:val="en-ZA"/>
        </w:rPr>
        <w:tab/>
      </w:r>
      <w:r w:rsidRPr="003E5D30">
        <w:rPr>
          <w:bCs/>
          <w:lang w:val="en-ZA"/>
        </w:rPr>
        <w:t>Lornavision delivered four exceptions to the particulars of claim</w:t>
      </w:r>
      <w:r w:rsidR="008D15C2">
        <w:rPr>
          <w:bCs/>
          <w:lang w:val="en-ZA"/>
        </w:rPr>
        <w:t>.</w:t>
      </w:r>
      <w:r w:rsidR="00186039">
        <w:rPr>
          <w:bCs/>
          <w:lang w:val="en-ZA"/>
        </w:rPr>
        <w:t xml:space="preserve"> This </w:t>
      </w:r>
      <w:r w:rsidRPr="003E5D30">
        <w:rPr>
          <w:bCs/>
          <w:lang w:val="en-ZA"/>
        </w:rPr>
        <w:t>resulted in the  SABC amending the</w:t>
      </w:r>
      <w:r w:rsidR="004575C8">
        <w:rPr>
          <w:bCs/>
          <w:lang w:val="en-ZA"/>
        </w:rPr>
        <w:t>ir</w:t>
      </w:r>
      <w:r w:rsidRPr="003E5D30">
        <w:rPr>
          <w:bCs/>
          <w:lang w:val="en-ZA"/>
        </w:rPr>
        <w:t xml:space="preserve"> particulars of claim to the current form as at 5 September 2019.  </w:t>
      </w:r>
      <w:r>
        <w:rPr>
          <w:bCs/>
          <w:lang w:val="en-ZA"/>
        </w:rPr>
        <w:t xml:space="preserve">No action was taken by Lornavision after it received the amended particulars of claim. </w:t>
      </w:r>
    </w:p>
    <w:p w14:paraId="39102D06" w14:textId="431ECA96" w:rsidR="003E5D30" w:rsidRDefault="003E5D30" w:rsidP="003E5D30">
      <w:pPr>
        <w:pStyle w:val="JudgmentNumbered"/>
        <w:numPr>
          <w:ilvl w:val="0"/>
          <w:numId w:val="0"/>
        </w:numPr>
        <w:tabs>
          <w:tab w:val="left" w:pos="993"/>
        </w:tabs>
        <w:rPr>
          <w:bCs/>
          <w:lang w:val="en-ZA"/>
        </w:rPr>
      </w:pPr>
      <w:r>
        <w:rPr>
          <w:bCs/>
          <w:lang w:val="en-ZA"/>
        </w:rPr>
        <w:t>[</w:t>
      </w:r>
      <w:r w:rsidR="008D15C2">
        <w:rPr>
          <w:bCs/>
          <w:lang w:val="en-ZA"/>
        </w:rPr>
        <w:t>10</w:t>
      </w:r>
      <w:r>
        <w:rPr>
          <w:bCs/>
          <w:lang w:val="en-ZA"/>
        </w:rPr>
        <w:t>]</w:t>
      </w:r>
      <w:r>
        <w:rPr>
          <w:bCs/>
          <w:lang w:val="en-ZA"/>
        </w:rPr>
        <w:tab/>
      </w:r>
      <w:r w:rsidRPr="003E5D30">
        <w:rPr>
          <w:bCs/>
          <w:lang w:val="en-ZA"/>
        </w:rPr>
        <w:t>On 22 October 2019</w:t>
      </w:r>
      <w:r w:rsidR="00585226">
        <w:rPr>
          <w:bCs/>
          <w:lang w:val="en-ZA"/>
        </w:rPr>
        <w:t>,</w:t>
      </w:r>
      <w:r w:rsidRPr="003E5D30">
        <w:rPr>
          <w:bCs/>
          <w:lang w:val="en-ZA"/>
        </w:rPr>
        <w:t xml:space="preserve"> the SABC and </w:t>
      </w:r>
      <w:r w:rsidR="00186039">
        <w:rPr>
          <w:bCs/>
          <w:lang w:val="en-ZA"/>
        </w:rPr>
        <w:t xml:space="preserve">the </w:t>
      </w:r>
      <w:r w:rsidRPr="003E5D30">
        <w:rPr>
          <w:bCs/>
          <w:lang w:val="en-ZA"/>
        </w:rPr>
        <w:t>SI</w:t>
      </w:r>
      <w:r>
        <w:rPr>
          <w:bCs/>
          <w:lang w:val="en-ZA"/>
        </w:rPr>
        <w:t>U delivered their notice of bar</w:t>
      </w:r>
      <w:r w:rsidR="00186039">
        <w:rPr>
          <w:bCs/>
          <w:lang w:val="en-ZA"/>
        </w:rPr>
        <w:t xml:space="preserve"> which was s</w:t>
      </w:r>
      <w:r>
        <w:rPr>
          <w:bCs/>
          <w:lang w:val="en-ZA"/>
        </w:rPr>
        <w:t xml:space="preserve">erved </w:t>
      </w:r>
      <w:r w:rsidR="00186039">
        <w:rPr>
          <w:bCs/>
          <w:lang w:val="en-ZA"/>
        </w:rPr>
        <w:t>o</w:t>
      </w:r>
      <w:r>
        <w:rPr>
          <w:bCs/>
          <w:lang w:val="en-ZA"/>
        </w:rPr>
        <w:t xml:space="preserve">n </w:t>
      </w:r>
      <w:r w:rsidRPr="003E5D30">
        <w:rPr>
          <w:bCs/>
          <w:lang w:val="en-ZA"/>
        </w:rPr>
        <w:t>Lornavision.</w:t>
      </w:r>
      <w:r>
        <w:rPr>
          <w:bCs/>
          <w:lang w:val="en-ZA"/>
        </w:rPr>
        <w:t xml:space="preserve"> </w:t>
      </w:r>
      <w:r w:rsidR="000312F4">
        <w:rPr>
          <w:bCs/>
          <w:lang w:val="en-ZA"/>
        </w:rPr>
        <w:t>Lornavision had to deliver its plea by 29 October 2019.</w:t>
      </w:r>
    </w:p>
    <w:p w14:paraId="1EC9D737" w14:textId="4423C6CC" w:rsidR="000312F4" w:rsidRDefault="000312F4" w:rsidP="003E5D30">
      <w:pPr>
        <w:pStyle w:val="JudgmentNumbered"/>
        <w:numPr>
          <w:ilvl w:val="0"/>
          <w:numId w:val="0"/>
        </w:numPr>
        <w:tabs>
          <w:tab w:val="left" w:pos="993"/>
        </w:tabs>
        <w:rPr>
          <w:bCs/>
          <w:lang w:val="en-ZA"/>
        </w:rPr>
      </w:pPr>
      <w:r>
        <w:rPr>
          <w:bCs/>
          <w:lang w:val="en-ZA"/>
        </w:rPr>
        <w:t>[</w:t>
      </w:r>
      <w:r w:rsidR="008D15C2">
        <w:rPr>
          <w:bCs/>
          <w:lang w:val="en-ZA"/>
        </w:rPr>
        <w:t>11</w:t>
      </w:r>
      <w:r>
        <w:rPr>
          <w:bCs/>
          <w:lang w:val="en-ZA"/>
        </w:rPr>
        <w:t>]</w:t>
      </w:r>
      <w:r>
        <w:rPr>
          <w:bCs/>
          <w:lang w:val="en-ZA"/>
        </w:rPr>
        <w:tab/>
        <w:t xml:space="preserve">The application for default judgment was launched on 8 September 2020 and set down for hearing on 24 November 2020. </w:t>
      </w:r>
    </w:p>
    <w:p w14:paraId="289C98D6" w14:textId="4AF73D35" w:rsidR="000312F4" w:rsidRDefault="000312F4" w:rsidP="003E5D30">
      <w:pPr>
        <w:pStyle w:val="JudgmentNumbered"/>
        <w:numPr>
          <w:ilvl w:val="0"/>
          <w:numId w:val="0"/>
        </w:numPr>
        <w:tabs>
          <w:tab w:val="left" w:pos="993"/>
        </w:tabs>
        <w:rPr>
          <w:bCs/>
          <w:lang w:val="en-ZA"/>
        </w:rPr>
      </w:pPr>
      <w:r>
        <w:rPr>
          <w:bCs/>
          <w:lang w:val="en-ZA"/>
        </w:rPr>
        <w:t>[</w:t>
      </w:r>
      <w:r w:rsidR="008D15C2">
        <w:rPr>
          <w:bCs/>
          <w:lang w:val="en-ZA"/>
        </w:rPr>
        <w:t>12</w:t>
      </w:r>
      <w:r>
        <w:rPr>
          <w:bCs/>
          <w:lang w:val="en-ZA"/>
        </w:rPr>
        <w:t>]</w:t>
      </w:r>
      <w:r>
        <w:rPr>
          <w:bCs/>
          <w:lang w:val="en-ZA"/>
        </w:rPr>
        <w:tab/>
        <w:t>Lornavision launched an application to uplift the bar on 20 Novem</w:t>
      </w:r>
      <w:r w:rsidR="00A053DF">
        <w:rPr>
          <w:bCs/>
          <w:lang w:val="en-ZA"/>
        </w:rPr>
        <w:t>ber 2020 and withdrew same on 23</w:t>
      </w:r>
      <w:r>
        <w:rPr>
          <w:bCs/>
          <w:lang w:val="en-ZA"/>
        </w:rPr>
        <w:t xml:space="preserve"> March 2022</w:t>
      </w:r>
      <w:r w:rsidR="004575C8">
        <w:rPr>
          <w:bCs/>
          <w:lang w:val="en-ZA"/>
        </w:rPr>
        <w:t>,</w:t>
      </w:r>
      <w:r w:rsidR="00A053DF">
        <w:rPr>
          <w:bCs/>
          <w:lang w:val="en-ZA"/>
        </w:rPr>
        <w:t xml:space="preserve"> tendering the wasted costs of the SABC and </w:t>
      </w:r>
      <w:r w:rsidR="00186039">
        <w:rPr>
          <w:bCs/>
          <w:lang w:val="en-ZA"/>
        </w:rPr>
        <w:t xml:space="preserve">the </w:t>
      </w:r>
      <w:r w:rsidR="00A053DF">
        <w:rPr>
          <w:bCs/>
          <w:lang w:val="en-ZA"/>
        </w:rPr>
        <w:t>SIU</w:t>
      </w:r>
      <w:r w:rsidR="004575C8">
        <w:rPr>
          <w:bCs/>
          <w:lang w:val="en-ZA"/>
        </w:rPr>
        <w:t>,</w:t>
      </w:r>
      <w:r w:rsidR="00A053DF">
        <w:rPr>
          <w:bCs/>
          <w:lang w:val="en-ZA"/>
        </w:rPr>
        <w:t xml:space="preserve"> up to and including 23 March 2022</w:t>
      </w:r>
      <w:r>
        <w:rPr>
          <w:bCs/>
          <w:lang w:val="en-ZA"/>
        </w:rPr>
        <w:t>.</w:t>
      </w:r>
    </w:p>
    <w:p w14:paraId="217F3B67" w14:textId="427EDA06" w:rsidR="007D32E4" w:rsidRDefault="007B241C" w:rsidP="003E5D30">
      <w:pPr>
        <w:pStyle w:val="JudgmentNumbered"/>
        <w:numPr>
          <w:ilvl w:val="0"/>
          <w:numId w:val="0"/>
        </w:numPr>
        <w:tabs>
          <w:tab w:val="left" w:pos="993"/>
        </w:tabs>
        <w:rPr>
          <w:bCs/>
          <w:lang w:val="en-ZA"/>
        </w:rPr>
      </w:pPr>
      <w:r>
        <w:rPr>
          <w:bCs/>
          <w:lang w:val="en-ZA"/>
        </w:rPr>
        <w:t>[</w:t>
      </w:r>
      <w:r w:rsidR="008D15C2">
        <w:rPr>
          <w:bCs/>
          <w:lang w:val="en-ZA"/>
        </w:rPr>
        <w:t>13</w:t>
      </w:r>
      <w:r>
        <w:rPr>
          <w:bCs/>
          <w:lang w:val="en-ZA"/>
        </w:rPr>
        <w:t>]</w:t>
      </w:r>
      <w:r>
        <w:rPr>
          <w:bCs/>
          <w:lang w:val="en-ZA"/>
        </w:rPr>
        <w:tab/>
        <w:t xml:space="preserve">There is a further matter, namely, </w:t>
      </w:r>
      <w:r w:rsidRPr="007B241C">
        <w:rPr>
          <w:bCs/>
          <w:lang w:val="en-ZA"/>
        </w:rPr>
        <w:t>2020/9366</w:t>
      </w:r>
      <w:r>
        <w:rPr>
          <w:bCs/>
          <w:lang w:val="en-ZA"/>
        </w:rPr>
        <w:t xml:space="preserve"> where the </w:t>
      </w:r>
      <w:r w:rsidRPr="007B241C">
        <w:rPr>
          <w:bCs/>
          <w:lang w:val="en-ZA"/>
        </w:rPr>
        <w:t xml:space="preserve">SIU is the plaintiff and Kubentheran Moodley </w:t>
      </w:r>
      <w:r w:rsidR="00585226">
        <w:rPr>
          <w:bCs/>
          <w:lang w:val="en-ZA"/>
        </w:rPr>
        <w:t xml:space="preserve">(‘Mr Moodley’) </w:t>
      </w:r>
      <w:r w:rsidRPr="007B241C">
        <w:rPr>
          <w:bCs/>
          <w:lang w:val="en-ZA"/>
        </w:rPr>
        <w:t xml:space="preserve">and Lornavision are the first and third defendants respectively. The first and third defendants in matter 2020/9366 have filed a notice of exception.  </w:t>
      </w:r>
      <w:r w:rsidR="00725415">
        <w:rPr>
          <w:bCs/>
          <w:lang w:val="en-ZA"/>
        </w:rPr>
        <w:t xml:space="preserve">The second defendant in </w:t>
      </w:r>
      <w:r w:rsidR="004575C8">
        <w:rPr>
          <w:bCs/>
          <w:lang w:val="en-ZA"/>
        </w:rPr>
        <w:t xml:space="preserve">matter 2020/9366 </w:t>
      </w:r>
      <w:r w:rsidR="00725415">
        <w:rPr>
          <w:bCs/>
          <w:lang w:val="en-ZA"/>
        </w:rPr>
        <w:t xml:space="preserve">is Frans Lodewyk Munnic Basson </w:t>
      </w:r>
      <w:r w:rsidR="00585226">
        <w:rPr>
          <w:bCs/>
          <w:lang w:val="en-ZA"/>
        </w:rPr>
        <w:t xml:space="preserve">(‘Mr Basson’) </w:t>
      </w:r>
      <w:r w:rsidR="00725415">
        <w:rPr>
          <w:bCs/>
          <w:lang w:val="en-ZA"/>
        </w:rPr>
        <w:t xml:space="preserve">and the </w:t>
      </w:r>
      <w:r w:rsidRPr="007B241C">
        <w:rPr>
          <w:bCs/>
          <w:lang w:val="en-ZA"/>
        </w:rPr>
        <w:t>SABC is the fourth defendant</w:t>
      </w:r>
      <w:r w:rsidR="004575C8">
        <w:rPr>
          <w:bCs/>
          <w:lang w:val="en-ZA"/>
        </w:rPr>
        <w:t>.</w:t>
      </w:r>
      <w:r w:rsidR="00181D7B">
        <w:rPr>
          <w:bCs/>
          <w:lang w:val="en-ZA"/>
        </w:rPr>
        <w:t xml:space="preserve"> </w:t>
      </w:r>
    </w:p>
    <w:p w14:paraId="7E43D66F" w14:textId="0CA69B18" w:rsidR="000312F4" w:rsidRDefault="000312F4" w:rsidP="003E5D30">
      <w:pPr>
        <w:pStyle w:val="JudgmentNumbered"/>
        <w:numPr>
          <w:ilvl w:val="0"/>
          <w:numId w:val="0"/>
        </w:numPr>
        <w:tabs>
          <w:tab w:val="left" w:pos="993"/>
        </w:tabs>
        <w:rPr>
          <w:b/>
          <w:bCs/>
          <w:i/>
          <w:lang w:val="en-ZA"/>
        </w:rPr>
      </w:pPr>
      <w:r w:rsidRPr="000312F4">
        <w:rPr>
          <w:b/>
          <w:bCs/>
          <w:i/>
          <w:lang w:val="en-ZA"/>
        </w:rPr>
        <w:t>Submissions of the SABC and</w:t>
      </w:r>
      <w:r w:rsidR="00585226">
        <w:rPr>
          <w:b/>
          <w:bCs/>
          <w:i/>
          <w:lang w:val="en-ZA"/>
        </w:rPr>
        <w:t xml:space="preserve"> the</w:t>
      </w:r>
      <w:r w:rsidRPr="000312F4">
        <w:rPr>
          <w:b/>
          <w:bCs/>
          <w:i/>
          <w:lang w:val="en-ZA"/>
        </w:rPr>
        <w:t xml:space="preserve"> SIU</w:t>
      </w:r>
    </w:p>
    <w:p w14:paraId="58E11473" w14:textId="20C84A6B" w:rsidR="000312F4" w:rsidRDefault="000312F4" w:rsidP="003E5D30">
      <w:pPr>
        <w:pStyle w:val="JudgmentNumbered"/>
        <w:numPr>
          <w:ilvl w:val="0"/>
          <w:numId w:val="0"/>
        </w:numPr>
        <w:tabs>
          <w:tab w:val="left" w:pos="993"/>
        </w:tabs>
        <w:rPr>
          <w:b/>
          <w:bCs/>
          <w:i/>
          <w:lang w:val="en-ZA"/>
        </w:rPr>
      </w:pPr>
      <w:r>
        <w:rPr>
          <w:bCs/>
          <w:lang w:val="en-ZA"/>
        </w:rPr>
        <w:t>[</w:t>
      </w:r>
      <w:r w:rsidR="008D15C2">
        <w:rPr>
          <w:bCs/>
          <w:lang w:val="en-ZA"/>
        </w:rPr>
        <w:t>14</w:t>
      </w:r>
      <w:r>
        <w:rPr>
          <w:bCs/>
          <w:lang w:val="en-ZA"/>
        </w:rPr>
        <w:t>]</w:t>
      </w:r>
      <w:r>
        <w:rPr>
          <w:bCs/>
          <w:lang w:val="en-ZA"/>
        </w:rPr>
        <w:tab/>
        <w:t xml:space="preserve">The SABC and </w:t>
      </w:r>
      <w:r w:rsidR="00186039">
        <w:rPr>
          <w:bCs/>
          <w:lang w:val="en-ZA"/>
        </w:rPr>
        <w:t xml:space="preserve">the </w:t>
      </w:r>
      <w:r>
        <w:rPr>
          <w:bCs/>
          <w:lang w:val="en-ZA"/>
        </w:rPr>
        <w:t>SIU argued that because Lornavision withdrew its application to uplift the bar, all that is before this court is a pure default judgment</w:t>
      </w:r>
      <w:r w:rsidR="00E368AD">
        <w:rPr>
          <w:bCs/>
          <w:lang w:val="en-ZA"/>
        </w:rPr>
        <w:t xml:space="preserve"> and Lornavision cannot be before the court at this stage.</w:t>
      </w:r>
      <w:r w:rsidRPr="000312F4">
        <w:rPr>
          <w:b/>
          <w:bCs/>
          <w:i/>
          <w:lang w:val="en-ZA"/>
        </w:rPr>
        <w:tab/>
      </w:r>
    </w:p>
    <w:p w14:paraId="47F8FEED" w14:textId="2FFA6094" w:rsidR="00B27526" w:rsidRDefault="00B27526" w:rsidP="003E5D30">
      <w:pPr>
        <w:pStyle w:val="JudgmentNumbered"/>
        <w:numPr>
          <w:ilvl w:val="0"/>
          <w:numId w:val="0"/>
        </w:numPr>
        <w:tabs>
          <w:tab w:val="left" w:pos="993"/>
        </w:tabs>
        <w:rPr>
          <w:bCs/>
          <w:lang w:val="en-ZA"/>
        </w:rPr>
      </w:pPr>
      <w:r>
        <w:rPr>
          <w:bCs/>
          <w:lang w:val="en-ZA"/>
        </w:rPr>
        <w:t>[</w:t>
      </w:r>
      <w:r w:rsidR="008D15C2">
        <w:rPr>
          <w:bCs/>
          <w:lang w:val="en-ZA"/>
        </w:rPr>
        <w:t>15</w:t>
      </w:r>
      <w:r>
        <w:rPr>
          <w:bCs/>
          <w:lang w:val="en-ZA"/>
        </w:rPr>
        <w:t>]</w:t>
      </w:r>
      <w:r>
        <w:rPr>
          <w:bCs/>
          <w:lang w:val="en-ZA"/>
        </w:rPr>
        <w:tab/>
        <w:t>It was argued that because the court made an order that the contract was void ab initio, the SABC is entitled to claim the profits made by Lornavision, which it obtained as a result of the contract</w:t>
      </w:r>
      <w:r w:rsidR="004575C8">
        <w:rPr>
          <w:bCs/>
          <w:lang w:val="en-ZA"/>
        </w:rPr>
        <w:t xml:space="preserve">. Furthermore, the SABC in its particulars of claim makes out a case for </w:t>
      </w:r>
      <w:r>
        <w:rPr>
          <w:bCs/>
          <w:lang w:val="en-ZA"/>
        </w:rPr>
        <w:t>unjust enrichment</w:t>
      </w:r>
      <w:r w:rsidR="004575C8">
        <w:rPr>
          <w:bCs/>
          <w:lang w:val="en-ZA"/>
        </w:rPr>
        <w:t>.</w:t>
      </w:r>
      <w:r>
        <w:rPr>
          <w:bCs/>
          <w:lang w:val="en-ZA"/>
        </w:rPr>
        <w:t xml:space="preserve"> </w:t>
      </w:r>
    </w:p>
    <w:p w14:paraId="509DC987" w14:textId="2211DEA0" w:rsidR="00B27526" w:rsidRDefault="00B27526" w:rsidP="00332C42">
      <w:pPr>
        <w:pStyle w:val="JudgmentNumbered"/>
        <w:numPr>
          <w:ilvl w:val="0"/>
          <w:numId w:val="0"/>
        </w:numPr>
        <w:tabs>
          <w:tab w:val="left" w:pos="993"/>
        </w:tabs>
        <w:rPr>
          <w:bCs/>
          <w:lang w:val="en-ZA"/>
        </w:rPr>
      </w:pPr>
      <w:r>
        <w:rPr>
          <w:bCs/>
          <w:lang w:val="en-ZA"/>
        </w:rPr>
        <w:lastRenderedPageBreak/>
        <w:t>[</w:t>
      </w:r>
      <w:r w:rsidR="008D15C2">
        <w:rPr>
          <w:bCs/>
          <w:lang w:val="en-ZA"/>
        </w:rPr>
        <w:t>16</w:t>
      </w:r>
      <w:r>
        <w:rPr>
          <w:bCs/>
          <w:lang w:val="en-ZA"/>
        </w:rPr>
        <w:t>]</w:t>
      </w:r>
      <w:r>
        <w:rPr>
          <w:bCs/>
          <w:lang w:val="en-ZA"/>
        </w:rPr>
        <w:tab/>
        <w:t xml:space="preserve">It was argued that </w:t>
      </w:r>
      <w:r w:rsidR="00186039">
        <w:rPr>
          <w:bCs/>
          <w:lang w:val="en-ZA"/>
        </w:rPr>
        <w:t xml:space="preserve">the exception </w:t>
      </w:r>
      <w:r>
        <w:rPr>
          <w:bCs/>
          <w:lang w:val="en-ZA"/>
        </w:rPr>
        <w:t>raise</w:t>
      </w:r>
      <w:r w:rsidR="00186039">
        <w:rPr>
          <w:bCs/>
          <w:lang w:val="en-ZA"/>
        </w:rPr>
        <w:t>d</w:t>
      </w:r>
      <w:r>
        <w:rPr>
          <w:bCs/>
          <w:lang w:val="en-ZA"/>
        </w:rPr>
        <w:t xml:space="preserve"> </w:t>
      </w:r>
      <w:r w:rsidR="00186039">
        <w:rPr>
          <w:bCs/>
          <w:lang w:val="en-ZA"/>
        </w:rPr>
        <w:t xml:space="preserve">by Lornavision </w:t>
      </w:r>
      <w:r>
        <w:rPr>
          <w:bCs/>
          <w:lang w:val="en-ZA"/>
        </w:rPr>
        <w:t xml:space="preserve">to the particulars of claim, </w:t>
      </w:r>
      <w:r w:rsidR="002D6069">
        <w:rPr>
          <w:bCs/>
          <w:lang w:val="en-ZA"/>
        </w:rPr>
        <w:t xml:space="preserve">do not make the </w:t>
      </w:r>
      <w:r>
        <w:rPr>
          <w:bCs/>
          <w:lang w:val="en-ZA"/>
        </w:rPr>
        <w:t>particulars of cla</w:t>
      </w:r>
      <w:r w:rsidR="00EB5930">
        <w:rPr>
          <w:bCs/>
          <w:lang w:val="en-ZA"/>
        </w:rPr>
        <w:t>im so bad,</w:t>
      </w:r>
      <w:r w:rsidR="00186039">
        <w:rPr>
          <w:bCs/>
          <w:lang w:val="en-ZA"/>
        </w:rPr>
        <w:t xml:space="preserve"> that no cause of action is apparent.</w:t>
      </w:r>
      <w:r>
        <w:rPr>
          <w:bCs/>
          <w:lang w:val="en-ZA"/>
        </w:rPr>
        <w:t xml:space="preserve"> </w:t>
      </w:r>
      <w:r w:rsidR="00EB5930">
        <w:rPr>
          <w:bCs/>
          <w:lang w:val="en-ZA"/>
        </w:rPr>
        <w:t>I</w:t>
      </w:r>
      <w:r>
        <w:rPr>
          <w:bCs/>
          <w:lang w:val="en-ZA"/>
        </w:rPr>
        <w:t xml:space="preserve">t was argued that </w:t>
      </w:r>
      <w:r w:rsidR="00186039">
        <w:rPr>
          <w:bCs/>
          <w:lang w:val="en-ZA"/>
        </w:rPr>
        <w:t xml:space="preserve">the </w:t>
      </w:r>
      <w:r>
        <w:rPr>
          <w:bCs/>
          <w:lang w:val="en-ZA"/>
        </w:rPr>
        <w:t xml:space="preserve">contract was set aside </w:t>
      </w:r>
      <w:r w:rsidR="00332C42">
        <w:rPr>
          <w:bCs/>
          <w:lang w:val="en-ZA"/>
        </w:rPr>
        <w:t>and, on that basis,</w:t>
      </w:r>
      <w:r>
        <w:rPr>
          <w:bCs/>
          <w:lang w:val="en-ZA"/>
        </w:rPr>
        <w:t xml:space="preserve"> Lornavision must </w:t>
      </w:r>
      <w:r w:rsidR="00186039">
        <w:rPr>
          <w:bCs/>
          <w:lang w:val="en-ZA"/>
        </w:rPr>
        <w:t xml:space="preserve">simply </w:t>
      </w:r>
      <w:r>
        <w:rPr>
          <w:bCs/>
          <w:lang w:val="en-ZA"/>
        </w:rPr>
        <w:t>repay the profits that the SABC paid.</w:t>
      </w:r>
    </w:p>
    <w:p w14:paraId="493BA1C3" w14:textId="52C10DAE" w:rsidR="00505C30" w:rsidRDefault="001A1D0B" w:rsidP="001A1D0B">
      <w:pPr>
        <w:pStyle w:val="JudgmentNumbered"/>
        <w:numPr>
          <w:ilvl w:val="0"/>
          <w:numId w:val="0"/>
        </w:numPr>
        <w:tabs>
          <w:tab w:val="left" w:pos="993"/>
        </w:tabs>
        <w:rPr>
          <w:bCs/>
          <w:lang w:val="en-ZA"/>
        </w:rPr>
      </w:pPr>
      <w:r>
        <w:rPr>
          <w:bCs/>
          <w:lang w:val="en-ZA"/>
        </w:rPr>
        <w:t>[</w:t>
      </w:r>
      <w:r w:rsidR="008D15C2">
        <w:rPr>
          <w:bCs/>
          <w:lang w:val="en-ZA"/>
        </w:rPr>
        <w:t>17</w:t>
      </w:r>
      <w:r>
        <w:rPr>
          <w:bCs/>
          <w:lang w:val="en-ZA"/>
        </w:rPr>
        <w:t>]</w:t>
      </w:r>
      <w:r>
        <w:rPr>
          <w:bCs/>
          <w:lang w:val="en-ZA"/>
        </w:rPr>
        <w:tab/>
        <w:t xml:space="preserve">It was </w:t>
      </w:r>
      <w:r w:rsidR="00186039">
        <w:rPr>
          <w:bCs/>
          <w:lang w:val="en-ZA"/>
        </w:rPr>
        <w:t>submitted t</w:t>
      </w:r>
      <w:r>
        <w:rPr>
          <w:bCs/>
          <w:lang w:val="en-ZA"/>
        </w:rPr>
        <w:t xml:space="preserve">hat </w:t>
      </w:r>
      <w:r w:rsidRPr="001A1D0B">
        <w:rPr>
          <w:bCs/>
          <w:lang w:val="en-ZA"/>
        </w:rPr>
        <w:t xml:space="preserve">Lornavision was unjustly enriched in the amount of </w:t>
      </w:r>
      <w:r w:rsidR="00505C30">
        <w:rPr>
          <w:bCs/>
          <w:lang w:val="en-ZA"/>
        </w:rPr>
        <w:t xml:space="preserve">                         </w:t>
      </w:r>
      <w:r w:rsidRPr="001A1D0B">
        <w:rPr>
          <w:bCs/>
          <w:lang w:val="en-ZA"/>
        </w:rPr>
        <w:t xml:space="preserve">R62 733 556.61 and </w:t>
      </w:r>
      <w:r w:rsidR="00505C30">
        <w:rPr>
          <w:bCs/>
          <w:lang w:val="en-ZA"/>
        </w:rPr>
        <w:t xml:space="preserve">that </w:t>
      </w:r>
      <w:r w:rsidRPr="001A1D0B">
        <w:rPr>
          <w:bCs/>
          <w:lang w:val="en-ZA"/>
        </w:rPr>
        <w:t>the SABC was impoverished in the amount of R62 733 556.61</w:t>
      </w:r>
      <w:r>
        <w:rPr>
          <w:bCs/>
          <w:lang w:val="en-ZA"/>
        </w:rPr>
        <w:t xml:space="preserve">. </w:t>
      </w:r>
    </w:p>
    <w:p w14:paraId="3FC8C8BE" w14:textId="47404EC8" w:rsidR="001A1D0B" w:rsidRDefault="00505C30" w:rsidP="001A1D0B">
      <w:pPr>
        <w:pStyle w:val="JudgmentNumbered"/>
        <w:numPr>
          <w:ilvl w:val="0"/>
          <w:numId w:val="0"/>
        </w:numPr>
        <w:tabs>
          <w:tab w:val="left" w:pos="993"/>
        </w:tabs>
        <w:rPr>
          <w:bCs/>
          <w:lang w:val="en-ZA"/>
        </w:rPr>
      </w:pPr>
      <w:r>
        <w:rPr>
          <w:bCs/>
          <w:lang w:val="en-ZA"/>
        </w:rPr>
        <w:t>[</w:t>
      </w:r>
      <w:r w:rsidR="008D15C2">
        <w:rPr>
          <w:bCs/>
          <w:lang w:val="en-ZA"/>
        </w:rPr>
        <w:t>18</w:t>
      </w:r>
      <w:r>
        <w:rPr>
          <w:bCs/>
          <w:lang w:val="en-ZA"/>
        </w:rPr>
        <w:t>]</w:t>
      </w:r>
      <w:r>
        <w:rPr>
          <w:bCs/>
          <w:lang w:val="en-ZA"/>
        </w:rPr>
        <w:tab/>
      </w:r>
      <w:r w:rsidR="00332C42">
        <w:rPr>
          <w:bCs/>
          <w:lang w:val="en-ZA"/>
        </w:rPr>
        <w:t>I</w:t>
      </w:r>
      <w:r w:rsidR="001A1D0B">
        <w:rPr>
          <w:bCs/>
          <w:lang w:val="en-ZA"/>
        </w:rPr>
        <w:t xml:space="preserve">t was contended that </w:t>
      </w:r>
      <w:r w:rsidR="001A1D0B" w:rsidRPr="001A1D0B">
        <w:rPr>
          <w:bCs/>
          <w:lang w:val="en-ZA"/>
        </w:rPr>
        <w:t>the enrichment of Lornavision was at the expense of the SABC</w:t>
      </w:r>
      <w:r w:rsidR="001A1D0B">
        <w:rPr>
          <w:bCs/>
          <w:lang w:val="en-ZA"/>
        </w:rPr>
        <w:t xml:space="preserve"> </w:t>
      </w:r>
      <w:r w:rsidR="001A1D0B" w:rsidRPr="001A1D0B">
        <w:rPr>
          <w:bCs/>
          <w:lang w:val="en-ZA"/>
        </w:rPr>
        <w:t>and was unjustified</w:t>
      </w:r>
      <w:r w:rsidR="001A1D0B">
        <w:rPr>
          <w:bCs/>
          <w:lang w:val="en-ZA"/>
        </w:rPr>
        <w:t>.</w:t>
      </w:r>
      <w:r w:rsidR="001A1D0B" w:rsidRPr="001A1D0B">
        <w:t xml:space="preserve"> </w:t>
      </w:r>
      <w:r w:rsidR="001A1D0B">
        <w:t xml:space="preserve">As a result, </w:t>
      </w:r>
      <w:r w:rsidR="001A1D0B" w:rsidRPr="001A1D0B">
        <w:rPr>
          <w:bCs/>
          <w:lang w:val="en-ZA"/>
        </w:rPr>
        <w:t>Lornavision is indebted to the SABC in the amount of R62 733 556.61</w:t>
      </w:r>
      <w:r w:rsidR="001A1D0B">
        <w:rPr>
          <w:bCs/>
          <w:lang w:val="en-ZA"/>
        </w:rPr>
        <w:t xml:space="preserve">. Reference was made to the </w:t>
      </w:r>
      <w:r w:rsidR="00710381">
        <w:rPr>
          <w:bCs/>
          <w:lang w:val="en-ZA"/>
        </w:rPr>
        <w:t xml:space="preserve">Constitutional Court </w:t>
      </w:r>
      <w:r w:rsidR="001A1D0B">
        <w:rPr>
          <w:bCs/>
          <w:lang w:val="en-ZA"/>
        </w:rPr>
        <w:t xml:space="preserve">decision of </w:t>
      </w:r>
      <w:r w:rsidR="001A1D0B" w:rsidRPr="00EB5930">
        <w:rPr>
          <w:bCs/>
          <w:i/>
          <w:lang w:val="en-ZA"/>
        </w:rPr>
        <w:t>Allpay Consolidated Investment Holdings (Pty) Ltd And Others v Chief Executive Officer, South African Social Security Agency And Others</w:t>
      </w:r>
      <w:r w:rsidR="008D15C2">
        <w:rPr>
          <w:rStyle w:val="FootnoteReference"/>
          <w:bCs/>
          <w:lang w:val="en-ZA"/>
        </w:rPr>
        <w:footnoteReference w:id="1"/>
      </w:r>
      <w:r w:rsidR="008D15C2">
        <w:rPr>
          <w:bCs/>
          <w:lang w:val="en-ZA"/>
        </w:rPr>
        <w:t xml:space="preserve"> </w:t>
      </w:r>
      <w:r w:rsidR="001A1D0B" w:rsidRPr="001A1D0B">
        <w:rPr>
          <w:bCs/>
          <w:lang w:val="en-ZA"/>
        </w:rPr>
        <w:t>(</w:t>
      </w:r>
      <w:r w:rsidR="001A1D0B">
        <w:rPr>
          <w:bCs/>
          <w:lang w:val="en-ZA"/>
        </w:rPr>
        <w:t>‘</w:t>
      </w:r>
      <w:r w:rsidR="001A1D0B" w:rsidRPr="001A1D0B">
        <w:rPr>
          <w:bCs/>
          <w:i/>
          <w:lang w:val="en-ZA"/>
        </w:rPr>
        <w:t>Allpay 2</w:t>
      </w:r>
      <w:r w:rsidR="001A1D0B">
        <w:rPr>
          <w:bCs/>
          <w:lang w:val="en-ZA"/>
        </w:rPr>
        <w:t>’</w:t>
      </w:r>
      <w:r w:rsidR="001A1D0B" w:rsidRPr="001A1D0B">
        <w:rPr>
          <w:bCs/>
          <w:lang w:val="en-ZA"/>
        </w:rPr>
        <w:t>)</w:t>
      </w:r>
      <w:r w:rsidR="00697E9D">
        <w:rPr>
          <w:bCs/>
          <w:lang w:val="en-ZA"/>
        </w:rPr>
        <w:t xml:space="preserve">. </w:t>
      </w:r>
    </w:p>
    <w:p w14:paraId="51DDA197" w14:textId="47EB2DBD" w:rsidR="00186039" w:rsidRDefault="00505C30" w:rsidP="00505C30">
      <w:pPr>
        <w:pStyle w:val="JudgmentNumbered"/>
        <w:numPr>
          <w:ilvl w:val="0"/>
          <w:numId w:val="0"/>
        </w:numPr>
        <w:tabs>
          <w:tab w:val="left" w:pos="993"/>
        </w:tabs>
        <w:rPr>
          <w:bCs/>
          <w:lang w:val="en-ZA"/>
        </w:rPr>
      </w:pPr>
      <w:r>
        <w:rPr>
          <w:bCs/>
          <w:lang w:val="en-ZA"/>
        </w:rPr>
        <w:t>[</w:t>
      </w:r>
      <w:r w:rsidR="00710381">
        <w:rPr>
          <w:bCs/>
          <w:lang w:val="en-ZA"/>
        </w:rPr>
        <w:t>19</w:t>
      </w:r>
      <w:r>
        <w:rPr>
          <w:bCs/>
          <w:lang w:val="en-ZA"/>
        </w:rPr>
        <w:t>]</w:t>
      </w:r>
      <w:r>
        <w:rPr>
          <w:bCs/>
          <w:lang w:val="en-ZA"/>
        </w:rPr>
        <w:tab/>
        <w:t xml:space="preserve">The plaintiffs’ counsel </w:t>
      </w:r>
      <w:r w:rsidR="00EB5930">
        <w:rPr>
          <w:bCs/>
          <w:lang w:val="en-ZA"/>
        </w:rPr>
        <w:t>made r</w:t>
      </w:r>
      <w:r w:rsidR="00E87189">
        <w:rPr>
          <w:bCs/>
          <w:lang w:val="en-ZA"/>
        </w:rPr>
        <w:t>eference to the affidavit of Sylvia Nikiwe Tladi (‘Ms Tladi’)</w:t>
      </w:r>
      <w:r w:rsidR="00EB5930">
        <w:rPr>
          <w:bCs/>
          <w:lang w:val="en-ZA"/>
        </w:rPr>
        <w:t xml:space="preserve"> in support of their claim.</w:t>
      </w:r>
      <w:r>
        <w:rPr>
          <w:bCs/>
          <w:lang w:val="en-ZA"/>
        </w:rPr>
        <w:t xml:space="preserve"> In this affidavit it is stated that a</w:t>
      </w:r>
      <w:r w:rsidRPr="00505C30">
        <w:rPr>
          <w:bCs/>
          <w:lang w:val="en-ZA"/>
        </w:rPr>
        <w:t>ccording to the customer communications service (‘CCS’), the system was to be managed in-house by the SABC, however the CCS system was never managed in-house by the SABC and neither did the SABC have control over it</w:t>
      </w:r>
      <w:r w:rsidR="00186039">
        <w:rPr>
          <w:bCs/>
          <w:lang w:val="en-ZA"/>
        </w:rPr>
        <w:t>.</w:t>
      </w:r>
      <w:r w:rsidR="00710381">
        <w:rPr>
          <w:rStyle w:val="FootnoteReference"/>
          <w:bCs/>
          <w:lang w:val="en-ZA"/>
        </w:rPr>
        <w:footnoteReference w:id="2"/>
      </w:r>
      <w:r w:rsidR="00710381">
        <w:rPr>
          <w:bCs/>
          <w:lang w:val="en-ZA"/>
        </w:rPr>
        <w:t xml:space="preserve"> </w:t>
      </w:r>
      <w:r w:rsidR="00186039">
        <w:rPr>
          <w:bCs/>
          <w:lang w:val="en-ZA"/>
        </w:rPr>
        <w:t>It was argued that t</w:t>
      </w:r>
      <w:r w:rsidRPr="00505C30">
        <w:rPr>
          <w:bCs/>
          <w:lang w:val="en-ZA"/>
        </w:rPr>
        <w:t xml:space="preserve">he CCS system also never produced the increased collections and revenue as promised by Lornavision. </w:t>
      </w:r>
    </w:p>
    <w:p w14:paraId="1680A025" w14:textId="66D3F24E" w:rsidR="00186039" w:rsidRDefault="00186039" w:rsidP="00505C30">
      <w:pPr>
        <w:pStyle w:val="JudgmentNumbered"/>
        <w:numPr>
          <w:ilvl w:val="0"/>
          <w:numId w:val="0"/>
        </w:numPr>
        <w:tabs>
          <w:tab w:val="left" w:pos="993"/>
        </w:tabs>
        <w:rPr>
          <w:bCs/>
          <w:lang w:val="en-ZA"/>
        </w:rPr>
      </w:pPr>
      <w:r>
        <w:rPr>
          <w:bCs/>
          <w:lang w:val="en-ZA"/>
        </w:rPr>
        <w:t>[</w:t>
      </w:r>
      <w:r w:rsidR="00710381">
        <w:rPr>
          <w:bCs/>
          <w:lang w:val="en-ZA"/>
        </w:rPr>
        <w:t>20</w:t>
      </w:r>
      <w:r>
        <w:rPr>
          <w:bCs/>
          <w:lang w:val="en-ZA"/>
        </w:rPr>
        <w:t>]</w:t>
      </w:r>
      <w:r>
        <w:rPr>
          <w:bCs/>
          <w:lang w:val="en-ZA"/>
        </w:rPr>
        <w:tab/>
        <w:t>Reference was made to Ms Tladi’s affidavit which states that:</w:t>
      </w:r>
    </w:p>
    <w:p w14:paraId="5B381549" w14:textId="75FE72D9" w:rsidR="00505C30" w:rsidRDefault="00505C30" w:rsidP="00505C30">
      <w:pPr>
        <w:pStyle w:val="JudgmentNumbered"/>
        <w:numPr>
          <w:ilvl w:val="0"/>
          <w:numId w:val="0"/>
        </w:numPr>
        <w:tabs>
          <w:tab w:val="left" w:pos="993"/>
        </w:tabs>
        <w:rPr>
          <w:bCs/>
          <w:sz w:val="22"/>
          <w:lang w:val="en-ZA"/>
        </w:rPr>
      </w:pPr>
      <w:r w:rsidRPr="00505C30">
        <w:rPr>
          <w:bCs/>
          <w:lang w:val="en-ZA"/>
        </w:rPr>
        <w:t>‘</w:t>
      </w:r>
      <w:r w:rsidRPr="00505C30">
        <w:rPr>
          <w:bCs/>
          <w:sz w:val="22"/>
          <w:lang w:val="en-ZA"/>
        </w:rPr>
        <w:t>In my view the R2 135 000 excluding VAT that we paid for the pilot program referred to in sub-paragraph 9.1…was a total waste as Lornavision failed to deliver the increased revenue collection and the SABC hav</w:t>
      </w:r>
      <w:r>
        <w:rPr>
          <w:bCs/>
          <w:sz w:val="22"/>
          <w:lang w:val="en-ZA"/>
        </w:rPr>
        <w:t>e received nothing in return- fo</w:t>
      </w:r>
      <w:r w:rsidRPr="00505C30">
        <w:rPr>
          <w:bCs/>
          <w:sz w:val="22"/>
          <w:lang w:val="en-ZA"/>
        </w:rPr>
        <w:t>r this expenditure. The whole amount paid to Lornavision for the pilot program was effectively fruitless and wasteful expenditur</w:t>
      </w:r>
      <w:r w:rsidR="00AB57D5">
        <w:rPr>
          <w:bCs/>
          <w:sz w:val="22"/>
          <w:lang w:val="en-ZA"/>
        </w:rPr>
        <w:t xml:space="preserve">e and we had no returns on this </w:t>
      </w:r>
      <w:r w:rsidRPr="00505C30">
        <w:rPr>
          <w:bCs/>
          <w:sz w:val="22"/>
          <w:lang w:val="en-ZA"/>
        </w:rPr>
        <w:t>investment.</w:t>
      </w:r>
      <w:r>
        <w:rPr>
          <w:bCs/>
          <w:sz w:val="22"/>
          <w:lang w:val="en-ZA"/>
        </w:rPr>
        <w:t>‘</w:t>
      </w:r>
      <w:r w:rsidR="00710381">
        <w:rPr>
          <w:rStyle w:val="FootnoteReference"/>
          <w:bCs/>
          <w:sz w:val="22"/>
          <w:lang w:val="en-ZA"/>
        </w:rPr>
        <w:footnoteReference w:id="3"/>
      </w:r>
    </w:p>
    <w:p w14:paraId="550C757A" w14:textId="682B28B5" w:rsidR="005D5CCC" w:rsidRDefault="005D5CCC" w:rsidP="00505C30">
      <w:pPr>
        <w:pStyle w:val="JudgmentNumbered"/>
        <w:numPr>
          <w:ilvl w:val="0"/>
          <w:numId w:val="0"/>
        </w:numPr>
        <w:tabs>
          <w:tab w:val="left" w:pos="993"/>
        </w:tabs>
        <w:rPr>
          <w:bCs/>
          <w:szCs w:val="24"/>
          <w:lang w:val="en-ZA"/>
        </w:rPr>
      </w:pPr>
      <w:r w:rsidRPr="005D5CCC">
        <w:rPr>
          <w:bCs/>
          <w:szCs w:val="24"/>
          <w:lang w:val="en-ZA"/>
        </w:rPr>
        <w:t>[</w:t>
      </w:r>
      <w:r w:rsidR="00710381">
        <w:rPr>
          <w:bCs/>
          <w:szCs w:val="24"/>
          <w:lang w:val="en-ZA"/>
        </w:rPr>
        <w:t>21</w:t>
      </w:r>
      <w:r w:rsidRPr="005D5CCC">
        <w:rPr>
          <w:bCs/>
          <w:szCs w:val="24"/>
          <w:lang w:val="en-ZA"/>
        </w:rPr>
        <w:t>]</w:t>
      </w:r>
      <w:r w:rsidRPr="005D5CCC">
        <w:rPr>
          <w:bCs/>
          <w:szCs w:val="24"/>
          <w:lang w:val="en-ZA"/>
        </w:rPr>
        <w:tab/>
      </w:r>
      <w:r w:rsidR="0023783F">
        <w:rPr>
          <w:bCs/>
          <w:szCs w:val="24"/>
          <w:lang w:val="en-ZA"/>
        </w:rPr>
        <w:t xml:space="preserve">Counsel referred this court </w:t>
      </w:r>
      <w:r w:rsidRPr="005D5CCC">
        <w:rPr>
          <w:bCs/>
          <w:szCs w:val="24"/>
          <w:lang w:val="en-ZA"/>
        </w:rPr>
        <w:t>to a table that was prepared by Ms Tladi which shows that there was a 100% success rate on the part of the SABC in collecting rates as opposed to the very low collection rates by Lornavision.</w:t>
      </w:r>
      <w:r w:rsidR="00710381">
        <w:rPr>
          <w:rStyle w:val="FootnoteReference"/>
          <w:bCs/>
          <w:szCs w:val="24"/>
          <w:lang w:val="en-ZA"/>
        </w:rPr>
        <w:footnoteReference w:id="4"/>
      </w:r>
    </w:p>
    <w:p w14:paraId="26C09778" w14:textId="7A0A8D27" w:rsidR="0023783F" w:rsidRDefault="0023783F" w:rsidP="0023783F">
      <w:pPr>
        <w:pStyle w:val="JudgmentNumbered"/>
        <w:numPr>
          <w:ilvl w:val="0"/>
          <w:numId w:val="0"/>
        </w:numPr>
        <w:tabs>
          <w:tab w:val="left" w:pos="993"/>
        </w:tabs>
        <w:rPr>
          <w:bCs/>
          <w:szCs w:val="24"/>
          <w:lang w:val="en-ZA"/>
        </w:rPr>
      </w:pPr>
      <w:r>
        <w:rPr>
          <w:bCs/>
          <w:szCs w:val="24"/>
          <w:lang w:val="en-ZA"/>
        </w:rPr>
        <w:t>[</w:t>
      </w:r>
      <w:r w:rsidR="002F07D0">
        <w:rPr>
          <w:bCs/>
          <w:szCs w:val="24"/>
          <w:lang w:val="en-ZA"/>
        </w:rPr>
        <w:t>22</w:t>
      </w:r>
      <w:r>
        <w:rPr>
          <w:bCs/>
          <w:szCs w:val="24"/>
          <w:lang w:val="en-ZA"/>
        </w:rPr>
        <w:t>]</w:t>
      </w:r>
      <w:r>
        <w:rPr>
          <w:bCs/>
          <w:szCs w:val="24"/>
          <w:lang w:val="en-ZA"/>
        </w:rPr>
        <w:tab/>
      </w:r>
      <w:r w:rsidRPr="0023783F">
        <w:rPr>
          <w:bCs/>
          <w:szCs w:val="24"/>
          <w:lang w:val="en-ZA"/>
        </w:rPr>
        <w:t>Reference was also made to a damages affidavit filed by Brendan Daniels (‘Mr Daniels’)</w:t>
      </w:r>
      <w:r>
        <w:rPr>
          <w:bCs/>
          <w:szCs w:val="24"/>
          <w:lang w:val="en-ZA"/>
        </w:rPr>
        <w:t>,</w:t>
      </w:r>
      <w:r w:rsidRPr="0023783F">
        <w:rPr>
          <w:bCs/>
          <w:szCs w:val="24"/>
          <w:lang w:val="en-ZA"/>
        </w:rPr>
        <w:t xml:space="preserve"> who is employed as a senior forensic accountant by the SIU. In this affidavit it is stated that:</w:t>
      </w:r>
    </w:p>
    <w:p w14:paraId="457F94C9" w14:textId="3914A5D8" w:rsidR="0023783F" w:rsidRPr="0023783F" w:rsidRDefault="0023783F" w:rsidP="0023783F">
      <w:pPr>
        <w:pStyle w:val="JudgmentNumbered"/>
        <w:numPr>
          <w:ilvl w:val="0"/>
          <w:numId w:val="0"/>
        </w:numPr>
        <w:tabs>
          <w:tab w:val="left" w:pos="993"/>
        </w:tabs>
        <w:rPr>
          <w:bCs/>
          <w:sz w:val="22"/>
          <w:lang w:val="en-ZA"/>
        </w:rPr>
      </w:pPr>
      <w:r>
        <w:rPr>
          <w:bCs/>
          <w:szCs w:val="24"/>
          <w:lang w:val="en-ZA"/>
        </w:rPr>
        <w:lastRenderedPageBreak/>
        <w:t>‘</w:t>
      </w:r>
      <w:r w:rsidRPr="0023783F">
        <w:rPr>
          <w:bCs/>
          <w:sz w:val="22"/>
          <w:lang w:val="en-ZA"/>
        </w:rPr>
        <w:t>I confirm that during 2017 I conducted an investigation in relation to the payments made by the First Plaintiff to the First Defendant in terms of the service agreement which was declared unlawful, reviewed and set aside by the above Honourable Court on 2 August 2017…My investigation revealed that during the period 17 September 2015 to 16 February 2017 the First Plaintiff paid the First Defendant an amount in the sum of R62 733 557. I attach a copy of a spreadsheet reflecting the pay</w:t>
      </w:r>
      <w:r w:rsidR="002F07D0">
        <w:rPr>
          <w:bCs/>
          <w:sz w:val="22"/>
          <w:lang w:val="en-ZA"/>
        </w:rPr>
        <w:t>ments made marked “Annexure B”.’</w:t>
      </w:r>
      <w:r w:rsidR="002F07D0">
        <w:rPr>
          <w:rStyle w:val="FootnoteReference"/>
          <w:bCs/>
          <w:sz w:val="22"/>
          <w:lang w:val="en-ZA"/>
        </w:rPr>
        <w:footnoteReference w:id="5"/>
      </w:r>
    </w:p>
    <w:p w14:paraId="57FE7862" w14:textId="2039CD8A" w:rsidR="0023783F" w:rsidRPr="005D5CCC" w:rsidRDefault="002F07D0" w:rsidP="0023783F">
      <w:pPr>
        <w:pStyle w:val="JudgmentNumbered"/>
        <w:numPr>
          <w:ilvl w:val="0"/>
          <w:numId w:val="0"/>
        </w:numPr>
        <w:tabs>
          <w:tab w:val="left" w:pos="993"/>
        </w:tabs>
        <w:rPr>
          <w:bCs/>
          <w:szCs w:val="24"/>
          <w:lang w:val="en-ZA"/>
        </w:rPr>
      </w:pPr>
      <w:r>
        <w:rPr>
          <w:bCs/>
          <w:sz w:val="22"/>
          <w:lang w:val="en-ZA"/>
        </w:rPr>
        <w:t xml:space="preserve"> ‘</w:t>
      </w:r>
      <w:r w:rsidR="0023783F" w:rsidRPr="0023783F">
        <w:rPr>
          <w:bCs/>
          <w:sz w:val="22"/>
          <w:lang w:val="en-ZA"/>
        </w:rPr>
        <w:t>Accordingly, I confirm that the amounts listed in Annexure B are true and correct reflection of the loss suffered by the First Plaintiff as a result of the unlawful agreement concluded between the First Plaintiff and the First Defendant</w:t>
      </w:r>
      <w:r w:rsidR="0023783F" w:rsidRPr="0023783F">
        <w:rPr>
          <w:bCs/>
          <w:szCs w:val="24"/>
          <w:lang w:val="en-ZA"/>
        </w:rPr>
        <w:t>.’</w:t>
      </w:r>
      <w:r>
        <w:rPr>
          <w:rStyle w:val="FootnoteReference"/>
          <w:bCs/>
          <w:szCs w:val="24"/>
          <w:lang w:val="en-ZA"/>
        </w:rPr>
        <w:footnoteReference w:id="6"/>
      </w:r>
    </w:p>
    <w:p w14:paraId="499CD5EE" w14:textId="50B7D907" w:rsidR="00365631" w:rsidRDefault="00365631" w:rsidP="00365631">
      <w:pPr>
        <w:pStyle w:val="JudgmentNumbered"/>
        <w:numPr>
          <w:ilvl w:val="0"/>
          <w:numId w:val="0"/>
        </w:numPr>
        <w:tabs>
          <w:tab w:val="left" w:pos="993"/>
        </w:tabs>
        <w:rPr>
          <w:bCs/>
          <w:szCs w:val="24"/>
          <w:lang w:val="en-ZA"/>
        </w:rPr>
      </w:pPr>
      <w:r>
        <w:rPr>
          <w:bCs/>
          <w:sz w:val="22"/>
          <w:lang w:val="en-ZA"/>
        </w:rPr>
        <w:t>[</w:t>
      </w:r>
      <w:r w:rsidR="002F07D0">
        <w:rPr>
          <w:bCs/>
          <w:sz w:val="22"/>
          <w:lang w:val="en-ZA"/>
        </w:rPr>
        <w:t>23</w:t>
      </w:r>
      <w:r>
        <w:rPr>
          <w:bCs/>
          <w:sz w:val="22"/>
          <w:lang w:val="en-ZA"/>
        </w:rPr>
        <w:t>]</w:t>
      </w:r>
      <w:r>
        <w:rPr>
          <w:bCs/>
          <w:sz w:val="22"/>
          <w:lang w:val="en-ZA"/>
        </w:rPr>
        <w:tab/>
      </w:r>
      <w:r w:rsidR="00CF35C5">
        <w:rPr>
          <w:bCs/>
          <w:sz w:val="22"/>
          <w:lang w:val="en-ZA"/>
        </w:rPr>
        <w:t>C</w:t>
      </w:r>
      <w:r w:rsidR="00E83615" w:rsidRPr="00E83615">
        <w:rPr>
          <w:bCs/>
          <w:szCs w:val="24"/>
          <w:lang w:val="en-ZA"/>
        </w:rPr>
        <w:t>ou</w:t>
      </w:r>
      <w:r>
        <w:rPr>
          <w:bCs/>
          <w:szCs w:val="24"/>
          <w:lang w:val="en-ZA"/>
        </w:rPr>
        <w:t>n</w:t>
      </w:r>
      <w:r w:rsidR="00E83615" w:rsidRPr="00E83615">
        <w:rPr>
          <w:bCs/>
          <w:szCs w:val="24"/>
          <w:lang w:val="en-ZA"/>
        </w:rPr>
        <w:t>sel</w:t>
      </w:r>
      <w:r>
        <w:rPr>
          <w:bCs/>
          <w:szCs w:val="24"/>
          <w:lang w:val="en-ZA"/>
        </w:rPr>
        <w:t xml:space="preserve"> referred to the judgment </w:t>
      </w:r>
      <w:r w:rsidRPr="00365631">
        <w:rPr>
          <w:bCs/>
          <w:szCs w:val="24"/>
          <w:lang w:val="en-ZA"/>
        </w:rPr>
        <w:t xml:space="preserve">handed down by the learned Shangisa AJ </w:t>
      </w:r>
      <w:r w:rsidR="005D5CCC">
        <w:rPr>
          <w:bCs/>
          <w:szCs w:val="24"/>
          <w:lang w:val="en-ZA"/>
        </w:rPr>
        <w:t>which states that:</w:t>
      </w:r>
      <w:r w:rsidR="00CF35C5">
        <w:rPr>
          <w:bCs/>
          <w:szCs w:val="24"/>
          <w:lang w:val="en-ZA"/>
        </w:rPr>
        <w:t xml:space="preserve"> </w:t>
      </w:r>
      <w:r w:rsidRPr="00365631">
        <w:rPr>
          <w:bCs/>
          <w:szCs w:val="24"/>
          <w:lang w:val="en-ZA"/>
        </w:rPr>
        <w:t xml:space="preserve"> </w:t>
      </w:r>
    </w:p>
    <w:p w14:paraId="20C7E9CC" w14:textId="7800283D" w:rsidR="00365631" w:rsidRDefault="00365631" w:rsidP="00365631">
      <w:pPr>
        <w:pStyle w:val="JudgmentNumbered"/>
        <w:numPr>
          <w:ilvl w:val="0"/>
          <w:numId w:val="0"/>
        </w:numPr>
        <w:tabs>
          <w:tab w:val="left" w:pos="993"/>
        </w:tabs>
        <w:rPr>
          <w:bCs/>
          <w:szCs w:val="24"/>
          <w:lang w:val="en-ZA"/>
        </w:rPr>
      </w:pPr>
      <w:r>
        <w:rPr>
          <w:bCs/>
          <w:szCs w:val="24"/>
          <w:lang w:val="en-ZA"/>
        </w:rPr>
        <w:t>‘</w:t>
      </w:r>
      <w:r w:rsidRPr="00365631">
        <w:rPr>
          <w:bCs/>
          <w:sz w:val="22"/>
          <w:lang w:val="en-ZA"/>
        </w:rPr>
        <w:t xml:space="preserve">There is nothing that demonstrates that Lornavision’s product was in any way unique or that it was the sole provider of this type of services. Its debt collection drive could hardly be </w:t>
      </w:r>
      <w:r w:rsidR="005D5CCC" w:rsidRPr="00365631">
        <w:rPr>
          <w:bCs/>
          <w:sz w:val="22"/>
          <w:lang w:val="en-ZA"/>
        </w:rPr>
        <w:t>categorized</w:t>
      </w:r>
      <w:r w:rsidRPr="00365631">
        <w:rPr>
          <w:bCs/>
          <w:sz w:val="22"/>
          <w:lang w:val="en-ZA"/>
        </w:rPr>
        <w:t xml:space="preserve"> as being unique or innovative. In my view, the nature of the services provided by Lornavision fall outside the scope of unique, innovative or exceptional circumstances that are contemplated in section 13.14 of the SABC’s Policy. In the same vein, it is difficult to discern any exceptional cost benefit the agreement brought to bear on the SABC</w:t>
      </w:r>
      <w:r w:rsidRPr="00365631">
        <w:rPr>
          <w:bCs/>
          <w:szCs w:val="24"/>
          <w:lang w:val="en-ZA"/>
        </w:rPr>
        <w:t>.’</w:t>
      </w:r>
      <w:r w:rsidR="002F07D0">
        <w:rPr>
          <w:rStyle w:val="FootnoteReference"/>
          <w:bCs/>
          <w:szCs w:val="24"/>
          <w:lang w:val="en-ZA"/>
        </w:rPr>
        <w:footnoteReference w:id="7"/>
      </w:r>
    </w:p>
    <w:p w14:paraId="62A86732" w14:textId="52AAA81C" w:rsidR="007D32E4" w:rsidRPr="00E83615" w:rsidRDefault="00365631" w:rsidP="00365631">
      <w:pPr>
        <w:pStyle w:val="JudgmentNumbered"/>
        <w:numPr>
          <w:ilvl w:val="0"/>
          <w:numId w:val="0"/>
        </w:numPr>
        <w:tabs>
          <w:tab w:val="left" w:pos="993"/>
        </w:tabs>
        <w:rPr>
          <w:bCs/>
          <w:szCs w:val="24"/>
          <w:lang w:val="en-ZA"/>
        </w:rPr>
      </w:pPr>
      <w:r w:rsidRPr="00365631">
        <w:rPr>
          <w:bCs/>
          <w:sz w:val="22"/>
          <w:lang w:val="en-ZA"/>
        </w:rPr>
        <w:t>‘…What is more, the SABC had its own internal resources and staff which were capable of executing some of the tasks for which Lornavision had been appointed</w:t>
      </w:r>
      <w:r w:rsidRPr="00365631">
        <w:rPr>
          <w:bCs/>
          <w:szCs w:val="24"/>
          <w:lang w:val="en-ZA"/>
        </w:rPr>
        <w:t>.’</w:t>
      </w:r>
      <w:r w:rsidR="002F07D0">
        <w:rPr>
          <w:rStyle w:val="FootnoteReference"/>
          <w:bCs/>
          <w:szCs w:val="24"/>
          <w:lang w:val="en-ZA"/>
        </w:rPr>
        <w:footnoteReference w:id="8"/>
      </w:r>
    </w:p>
    <w:p w14:paraId="103213A1" w14:textId="52B1126E" w:rsidR="00E33261" w:rsidRDefault="00E33261" w:rsidP="001A1D0B">
      <w:pPr>
        <w:pStyle w:val="JudgmentNumbered"/>
        <w:numPr>
          <w:ilvl w:val="0"/>
          <w:numId w:val="0"/>
        </w:numPr>
        <w:tabs>
          <w:tab w:val="left" w:pos="993"/>
        </w:tabs>
        <w:rPr>
          <w:b/>
          <w:bCs/>
          <w:i/>
          <w:lang w:val="en-ZA"/>
        </w:rPr>
      </w:pPr>
      <w:r w:rsidRPr="00C93E00">
        <w:rPr>
          <w:b/>
          <w:bCs/>
          <w:i/>
          <w:lang w:val="en-ZA"/>
        </w:rPr>
        <w:t>Submissions of Lornavision</w:t>
      </w:r>
    </w:p>
    <w:p w14:paraId="52C41DBB" w14:textId="645E18EC" w:rsidR="001E6D62" w:rsidRDefault="001E6D62" w:rsidP="001A1D0B">
      <w:pPr>
        <w:pStyle w:val="JudgmentNumbered"/>
        <w:numPr>
          <w:ilvl w:val="0"/>
          <w:numId w:val="0"/>
        </w:numPr>
        <w:tabs>
          <w:tab w:val="left" w:pos="993"/>
        </w:tabs>
        <w:rPr>
          <w:bCs/>
          <w:lang w:val="en-ZA"/>
        </w:rPr>
      </w:pPr>
      <w:r>
        <w:rPr>
          <w:bCs/>
          <w:lang w:val="en-ZA"/>
        </w:rPr>
        <w:t>[</w:t>
      </w:r>
      <w:r w:rsidR="002F07D0">
        <w:rPr>
          <w:bCs/>
          <w:lang w:val="en-ZA"/>
        </w:rPr>
        <w:t>24</w:t>
      </w:r>
      <w:r>
        <w:rPr>
          <w:bCs/>
          <w:lang w:val="en-ZA"/>
        </w:rPr>
        <w:t>]</w:t>
      </w:r>
      <w:r>
        <w:rPr>
          <w:bCs/>
          <w:lang w:val="en-ZA"/>
        </w:rPr>
        <w:tab/>
        <w:t>Lornavision raised the following</w:t>
      </w:r>
      <w:r w:rsidR="00753294">
        <w:rPr>
          <w:bCs/>
          <w:lang w:val="en-ZA"/>
        </w:rPr>
        <w:t xml:space="preserve"> </w:t>
      </w:r>
      <w:r w:rsidR="00AB57D5">
        <w:rPr>
          <w:bCs/>
          <w:lang w:val="en-ZA"/>
        </w:rPr>
        <w:t xml:space="preserve">three </w:t>
      </w:r>
      <w:r w:rsidR="00753294">
        <w:rPr>
          <w:bCs/>
          <w:lang w:val="en-ZA"/>
        </w:rPr>
        <w:t>issues</w:t>
      </w:r>
      <w:r>
        <w:rPr>
          <w:bCs/>
          <w:lang w:val="en-ZA"/>
        </w:rPr>
        <w:t>:</w:t>
      </w:r>
    </w:p>
    <w:p w14:paraId="517D6D1E" w14:textId="75F9D4D5" w:rsidR="00CA0C24" w:rsidRDefault="001E6D62" w:rsidP="007F37EB">
      <w:pPr>
        <w:pStyle w:val="JudgmentNumbered"/>
        <w:numPr>
          <w:ilvl w:val="0"/>
          <w:numId w:val="0"/>
        </w:numPr>
        <w:tabs>
          <w:tab w:val="left" w:pos="993"/>
        </w:tabs>
        <w:rPr>
          <w:b/>
          <w:bCs/>
          <w:i/>
          <w:lang w:val="en-ZA"/>
        </w:rPr>
      </w:pPr>
      <w:r w:rsidRPr="007D32E4">
        <w:rPr>
          <w:b/>
          <w:lang w:val="en-ZA"/>
        </w:rPr>
        <w:t>(a)</w:t>
      </w:r>
      <w:r>
        <w:rPr>
          <w:bCs/>
          <w:lang w:val="en-ZA"/>
        </w:rPr>
        <w:t xml:space="preserve">         </w:t>
      </w:r>
      <w:r w:rsidRPr="00CA0C24">
        <w:rPr>
          <w:b/>
          <w:bCs/>
          <w:i/>
          <w:lang w:val="en-ZA"/>
        </w:rPr>
        <w:t>The pur</w:t>
      </w:r>
      <w:r w:rsidR="00753294" w:rsidRPr="00CA0C24">
        <w:rPr>
          <w:b/>
          <w:bCs/>
          <w:i/>
          <w:lang w:val="en-ZA"/>
        </w:rPr>
        <w:t>ported affidavit of Ms Tladi had</w:t>
      </w:r>
      <w:r w:rsidRPr="00CA0C24">
        <w:rPr>
          <w:b/>
          <w:bCs/>
          <w:i/>
          <w:lang w:val="en-ZA"/>
        </w:rPr>
        <w:t xml:space="preserve"> not been properly commissioned and is </w:t>
      </w:r>
      <w:r w:rsidR="00CA0C24">
        <w:rPr>
          <w:b/>
          <w:bCs/>
          <w:i/>
          <w:lang w:val="en-ZA"/>
        </w:rPr>
        <w:t xml:space="preserve"> </w:t>
      </w:r>
      <w:r w:rsidRPr="00CA0C24">
        <w:rPr>
          <w:b/>
          <w:bCs/>
          <w:i/>
          <w:lang w:val="en-ZA"/>
        </w:rPr>
        <w:t xml:space="preserve">pro non scripto. </w:t>
      </w:r>
    </w:p>
    <w:p w14:paraId="330321E1" w14:textId="5751C3B5" w:rsidR="001E6D62" w:rsidRDefault="001E6D62" w:rsidP="001E6D62">
      <w:pPr>
        <w:pStyle w:val="JudgmentNumbered"/>
        <w:numPr>
          <w:ilvl w:val="0"/>
          <w:numId w:val="0"/>
        </w:numPr>
        <w:tabs>
          <w:tab w:val="left" w:pos="993"/>
        </w:tabs>
        <w:rPr>
          <w:bCs/>
          <w:lang w:val="en-ZA"/>
        </w:rPr>
      </w:pPr>
      <w:r w:rsidRPr="001E6D62">
        <w:rPr>
          <w:bCs/>
          <w:lang w:val="en-ZA"/>
        </w:rPr>
        <w:t xml:space="preserve">Reference was made to Regulation 7(1) of the </w:t>
      </w:r>
      <w:r>
        <w:rPr>
          <w:bCs/>
          <w:lang w:val="en-ZA"/>
        </w:rPr>
        <w:t>‘</w:t>
      </w:r>
      <w:r w:rsidRPr="001E6D62">
        <w:rPr>
          <w:bCs/>
          <w:lang w:val="en-ZA"/>
        </w:rPr>
        <w:t>regulations governing the administering of an oath</w:t>
      </w:r>
      <w:r w:rsidR="008D7EEC">
        <w:rPr>
          <w:bCs/>
          <w:lang w:val="en-ZA"/>
        </w:rPr>
        <w:t xml:space="preserve"> </w:t>
      </w:r>
      <w:r>
        <w:rPr>
          <w:bCs/>
          <w:lang w:val="en-ZA"/>
        </w:rPr>
        <w:t>or affirmation’</w:t>
      </w:r>
      <w:r w:rsidR="002F07D0">
        <w:rPr>
          <w:rStyle w:val="FootnoteReference"/>
          <w:bCs/>
          <w:lang w:val="en-ZA"/>
        </w:rPr>
        <w:footnoteReference w:id="9"/>
      </w:r>
      <w:r>
        <w:rPr>
          <w:bCs/>
          <w:lang w:val="en-ZA"/>
        </w:rPr>
        <w:t xml:space="preserve"> which</w:t>
      </w:r>
      <w:r w:rsidRPr="001E6D62">
        <w:rPr>
          <w:bCs/>
          <w:lang w:val="en-ZA"/>
        </w:rPr>
        <w:t xml:space="preserve"> reads:</w:t>
      </w:r>
    </w:p>
    <w:p w14:paraId="5F2C4388" w14:textId="1A566B6A" w:rsidR="001E6D62" w:rsidRDefault="00753294" w:rsidP="00753294">
      <w:pPr>
        <w:pStyle w:val="JudgmentNumbered"/>
        <w:numPr>
          <w:ilvl w:val="0"/>
          <w:numId w:val="0"/>
        </w:numPr>
        <w:tabs>
          <w:tab w:val="left" w:pos="993"/>
        </w:tabs>
        <w:rPr>
          <w:bCs/>
          <w:lang w:val="en-ZA"/>
        </w:rPr>
      </w:pPr>
      <w:r>
        <w:rPr>
          <w:bCs/>
          <w:lang w:val="en-ZA"/>
        </w:rPr>
        <w:lastRenderedPageBreak/>
        <w:t>‘</w:t>
      </w:r>
      <w:r w:rsidR="001E6D62" w:rsidRPr="001E6D62">
        <w:rPr>
          <w:bCs/>
          <w:sz w:val="22"/>
          <w:lang w:val="en-ZA"/>
        </w:rPr>
        <w:t xml:space="preserve">(1) A commissioner of oath shall not administer an oath or affirmation relating to matter in which </w:t>
      </w:r>
      <w:r w:rsidR="001E6D62">
        <w:rPr>
          <w:bCs/>
          <w:sz w:val="22"/>
          <w:lang w:val="en-ZA"/>
        </w:rPr>
        <w:t>h</w:t>
      </w:r>
      <w:r w:rsidR="001E6D62" w:rsidRPr="001E6D62">
        <w:rPr>
          <w:bCs/>
          <w:sz w:val="22"/>
          <w:lang w:val="en-ZA"/>
        </w:rPr>
        <w:t>e has an interest</w:t>
      </w:r>
      <w:r w:rsidR="001E6D62">
        <w:rPr>
          <w:bCs/>
          <w:lang w:val="en-ZA"/>
        </w:rPr>
        <w:t>.’</w:t>
      </w:r>
    </w:p>
    <w:p w14:paraId="53049792" w14:textId="0B115985" w:rsidR="001E6D62" w:rsidRPr="001E6D62" w:rsidRDefault="00EF3313" w:rsidP="00EF3313">
      <w:pPr>
        <w:pStyle w:val="JudgmentNumbered"/>
        <w:numPr>
          <w:ilvl w:val="0"/>
          <w:numId w:val="0"/>
        </w:numPr>
        <w:tabs>
          <w:tab w:val="left" w:pos="993"/>
        </w:tabs>
        <w:rPr>
          <w:bCs/>
          <w:lang w:val="en-ZA"/>
        </w:rPr>
      </w:pPr>
      <w:r>
        <w:rPr>
          <w:bCs/>
          <w:lang w:val="en-ZA"/>
        </w:rPr>
        <w:t>It was argued that the affidavit of Ms Tladi was ‘commissioned’</w:t>
      </w:r>
      <w:r w:rsidRPr="00EF3313">
        <w:rPr>
          <w:bCs/>
          <w:lang w:val="en-ZA"/>
        </w:rPr>
        <w:t xml:space="preserve"> by </w:t>
      </w:r>
      <w:r>
        <w:rPr>
          <w:bCs/>
          <w:lang w:val="en-ZA"/>
        </w:rPr>
        <w:t>Ruark</w:t>
      </w:r>
      <w:r w:rsidR="00085C60">
        <w:rPr>
          <w:bCs/>
          <w:lang w:val="en-ZA"/>
        </w:rPr>
        <w:t xml:space="preserve"> </w:t>
      </w:r>
      <w:r w:rsidRPr="00EF3313">
        <w:rPr>
          <w:bCs/>
          <w:lang w:val="en-ZA"/>
        </w:rPr>
        <w:t>Theron</w:t>
      </w:r>
      <w:r w:rsidR="00753294">
        <w:rPr>
          <w:bCs/>
          <w:lang w:val="en-ZA"/>
        </w:rPr>
        <w:t xml:space="preserve"> (‘Mr Theron’)</w:t>
      </w:r>
      <w:r w:rsidR="00AB57D5">
        <w:rPr>
          <w:bCs/>
          <w:lang w:val="en-ZA"/>
        </w:rPr>
        <w:t xml:space="preserve">. </w:t>
      </w:r>
      <w:r>
        <w:rPr>
          <w:bCs/>
          <w:lang w:val="en-ZA"/>
        </w:rPr>
        <w:t>Mr Theron had an interest in the matter</w:t>
      </w:r>
      <w:r w:rsidR="002F07D0">
        <w:rPr>
          <w:bCs/>
          <w:lang w:val="en-ZA"/>
        </w:rPr>
        <w:t>,</w:t>
      </w:r>
      <w:r>
        <w:rPr>
          <w:bCs/>
          <w:lang w:val="en-ZA"/>
        </w:rPr>
        <w:t xml:space="preserve"> as the affida</w:t>
      </w:r>
      <w:r w:rsidR="00AB57D5">
        <w:rPr>
          <w:bCs/>
          <w:lang w:val="en-ZA"/>
        </w:rPr>
        <w:t xml:space="preserve">vit of Ms Tladi is attached to his </w:t>
      </w:r>
      <w:r>
        <w:rPr>
          <w:bCs/>
          <w:lang w:val="en-ZA"/>
        </w:rPr>
        <w:t>answering affidavit</w:t>
      </w:r>
      <w:r w:rsidR="0023783F">
        <w:rPr>
          <w:bCs/>
          <w:lang w:val="en-ZA"/>
        </w:rPr>
        <w:t xml:space="preserve">. </w:t>
      </w:r>
      <w:r w:rsidR="0023783F" w:rsidRPr="0023783F">
        <w:rPr>
          <w:bCs/>
          <w:color w:val="000000" w:themeColor="text1"/>
          <w:lang w:val="en-ZA"/>
        </w:rPr>
        <w:t>This answering affidavit is</w:t>
      </w:r>
      <w:r w:rsidR="00AB57D5" w:rsidRPr="0023783F">
        <w:rPr>
          <w:bCs/>
          <w:color w:val="000000" w:themeColor="text1"/>
          <w:lang w:val="en-ZA"/>
        </w:rPr>
        <w:t xml:space="preserve"> in support of the plaintiffs’</w:t>
      </w:r>
      <w:r w:rsidR="0023783F" w:rsidRPr="0023783F">
        <w:rPr>
          <w:bCs/>
          <w:color w:val="000000" w:themeColor="text1"/>
          <w:lang w:val="en-ZA"/>
        </w:rPr>
        <w:t>/</w:t>
      </w:r>
      <w:r w:rsidR="00AB57D5" w:rsidRPr="0023783F">
        <w:rPr>
          <w:bCs/>
          <w:color w:val="000000" w:themeColor="text1"/>
          <w:lang w:val="en-ZA"/>
        </w:rPr>
        <w:t>respondents</w:t>
      </w:r>
      <w:r w:rsidR="00CA0C24">
        <w:rPr>
          <w:bCs/>
          <w:color w:val="000000" w:themeColor="text1"/>
          <w:lang w:val="en-ZA"/>
        </w:rPr>
        <w:t>’</w:t>
      </w:r>
      <w:r w:rsidR="00AB57D5" w:rsidRPr="0023783F">
        <w:rPr>
          <w:bCs/>
          <w:color w:val="000000" w:themeColor="text1"/>
          <w:lang w:val="en-ZA"/>
        </w:rPr>
        <w:t xml:space="preserve"> contentions</w:t>
      </w:r>
      <w:r w:rsidR="002F07D0">
        <w:rPr>
          <w:bCs/>
          <w:color w:val="000000" w:themeColor="text1"/>
          <w:lang w:val="en-ZA"/>
        </w:rPr>
        <w:t>,</w:t>
      </w:r>
      <w:r w:rsidR="00AB57D5" w:rsidRPr="0023783F">
        <w:rPr>
          <w:bCs/>
          <w:color w:val="000000" w:themeColor="text1"/>
          <w:lang w:val="en-ZA"/>
        </w:rPr>
        <w:t xml:space="preserve"> </w:t>
      </w:r>
      <w:r w:rsidRPr="0023783F">
        <w:rPr>
          <w:bCs/>
          <w:color w:val="000000" w:themeColor="text1"/>
          <w:lang w:val="en-ZA"/>
        </w:rPr>
        <w:t xml:space="preserve">in the condonation </w:t>
      </w:r>
      <w:r w:rsidR="0023783F">
        <w:rPr>
          <w:bCs/>
          <w:color w:val="000000" w:themeColor="text1"/>
          <w:lang w:val="en-ZA"/>
        </w:rPr>
        <w:t xml:space="preserve">and upliftment of the bar </w:t>
      </w:r>
      <w:r w:rsidRPr="0023783F">
        <w:rPr>
          <w:bCs/>
          <w:color w:val="000000" w:themeColor="text1"/>
          <w:lang w:val="en-ZA"/>
        </w:rPr>
        <w:t>application</w:t>
      </w:r>
      <w:r w:rsidR="00CA0C24">
        <w:rPr>
          <w:bCs/>
          <w:color w:val="000000" w:themeColor="text1"/>
          <w:lang w:val="en-ZA"/>
        </w:rPr>
        <w:t>,</w:t>
      </w:r>
      <w:r w:rsidRPr="0023783F">
        <w:rPr>
          <w:bCs/>
          <w:color w:val="000000" w:themeColor="text1"/>
          <w:lang w:val="en-ZA"/>
        </w:rPr>
        <w:t xml:space="preserve"> brought by Lornavision</w:t>
      </w:r>
      <w:r w:rsidR="00CA0C24">
        <w:rPr>
          <w:bCs/>
          <w:color w:val="000000" w:themeColor="text1"/>
          <w:lang w:val="en-ZA"/>
        </w:rPr>
        <w:t xml:space="preserve"> against the SABC, the SIU and Mr Aguma</w:t>
      </w:r>
      <w:r w:rsidRPr="0023783F">
        <w:rPr>
          <w:bCs/>
          <w:color w:val="000000" w:themeColor="text1"/>
          <w:lang w:val="en-ZA"/>
        </w:rPr>
        <w:t xml:space="preserve">. </w:t>
      </w:r>
      <w:r w:rsidR="007E5765">
        <w:rPr>
          <w:bCs/>
          <w:lang w:val="en-ZA"/>
        </w:rPr>
        <w:t>It was contended that if the affidavit of Ms Tladi was excluded, there is no e</w:t>
      </w:r>
      <w:r w:rsidR="00CA0C24">
        <w:rPr>
          <w:bCs/>
          <w:lang w:val="en-ZA"/>
        </w:rPr>
        <w:t xml:space="preserve">vidence </w:t>
      </w:r>
      <w:r w:rsidR="002F07D0">
        <w:rPr>
          <w:bCs/>
          <w:lang w:val="en-ZA"/>
        </w:rPr>
        <w:t xml:space="preserve">before court </w:t>
      </w:r>
      <w:r w:rsidR="00CA0C24">
        <w:rPr>
          <w:bCs/>
          <w:lang w:val="en-ZA"/>
        </w:rPr>
        <w:t xml:space="preserve">pertaining to </w:t>
      </w:r>
      <w:r w:rsidR="007E5765">
        <w:rPr>
          <w:bCs/>
          <w:lang w:val="en-ZA"/>
        </w:rPr>
        <w:t>the merits of the plaintiffs’ claim</w:t>
      </w:r>
      <w:r w:rsidR="002F07D0">
        <w:rPr>
          <w:bCs/>
          <w:lang w:val="en-ZA"/>
        </w:rPr>
        <w:t>.</w:t>
      </w:r>
    </w:p>
    <w:p w14:paraId="270008FC" w14:textId="5AAE9FA6" w:rsidR="00CA0C24" w:rsidRDefault="001E6D62" w:rsidP="008D7EEC">
      <w:pPr>
        <w:pStyle w:val="JudgmentNumbered"/>
        <w:numPr>
          <w:ilvl w:val="0"/>
          <w:numId w:val="0"/>
        </w:numPr>
        <w:tabs>
          <w:tab w:val="left" w:pos="0"/>
          <w:tab w:val="left" w:pos="993"/>
        </w:tabs>
        <w:rPr>
          <w:bCs/>
          <w:lang w:val="en-ZA"/>
        </w:rPr>
      </w:pPr>
      <w:r w:rsidRPr="007D32E4">
        <w:rPr>
          <w:b/>
          <w:lang w:val="en-ZA"/>
        </w:rPr>
        <w:t>(b)</w:t>
      </w:r>
      <w:r>
        <w:rPr>
          <w:bCs/>
          <w:lang w:val="en-ZA"/>
        </w:rPr>
        <w:tab/>
      </w:r>
      <w:r w:rsidRPr="00CA0C24">
        <w:rPr>
          <w:b/>
          <w:bCs/>
          <w:i/>
          <w:lang w:val="en-ZA"/>
        </w:rPr>
        <w:t>There are a number of related court actions pending</w:t>
      </w:r>
      <w:r w:rsidR="007B5851">
        <w:rPr>
          <w:b/>
          <w:bCs/>
          <w:i/>
          <w:lang w:val="en-ZA"/>
        </w:rPr>
        <w:t>,</w:t>
      </w:r>
      <w:r w:rsidRPr="00CA0C24">
        <w:rPr>
          <w:b/>
          <w:bCs/>
          <w:i/>
          <w:lang w:val="en-ZA"/>
        </w:rPr>
        <w:t xml:space="preserve"> namely case number 2020/9366 and 2020/18135</w:t>
      </w:r>
      <w:r w:rsidRPr="001E6D62">
        <w:rPr>
          <w:bCs/>
          <w:lang w:val="en-ZA"/>
        </w:rPr>
        <w:t>.</w:t>
      </w:r>
      <w:r w:rsidR="009A512B">
        <w:rPr>
          <w:bCs/>
          <w:lang w:val="en-ZA"/>
        </w:rPr>
        <w:t xml:space="preserve"> </w:t>
      </w:r>
    </w:p>
    <w:p w14:paraId="577EDD6C" w14:textId="13B1744C" w:rsidR="007B241C" w:rsidRDefault="00085C60" w:rsidP="008D7EEC">
      <w:pPr>
        <w:pStyle w:val="JudgmentNumbered"/>
        <w:numPr>
          <w:ilvl w:val="0"/>
          <w:numId w:val="0"/>
        </w:numPr>
        <w:tabs>
          <w:tab w:val="left" w:pos="0"/>
        </w:tabs>
        <w:rPr>
          <w:bCs/>
          <w:lang w:val="en-ZA"/>
        </w:rPr>
      </w:pPr>
      <w:r>
        <w:rPr>
          <w:bCs/>
          <w:lang w:val="en-ZA"/>
        </w:rPr>
        <w:t>Lornavision</w:t>
      </w:r>
      <w:r w:rsidR="00AB57D5">
        <w:rPr>
          <w:bCs/>
          <w:lang w:val="en-ZA"/>
        </w:rPr>
        <w:t>’s counsel</w:t>
      </w:r>
      <w:r>
        <w:rPr>
          <w:bCs/>
          <w:lang w:val="en-ZA"/>
        </w:rPr>
        <w:t xml:space="preserve"> drew this </w:t>
      </w:r>
      <w:r w:rsidR="007F37EB">
        <w:rPr>
          <w:bCs/>
          <w:lang w:val="en-ZA"/>
        </w:rPr>
        <w:t>c</w:t>
      </w:r>
      <w:r>
        <w:rPr>
          <w:bCs/>
          <w:lang w:val="en-ZA"/>
        </w:rPr>
        <w:t xml:space="preserve">ourt’s attention to a case management meeting </w:t>
      </w:r>
      <w:r w:rsidR="00AB57D5">
        <w:rPr>
          <w:bCs/>
          <w:lang w:val="en-ZA"/>
        </w:rPr>
        <w:t xml:space="preserve">held in respect to the matter in casu, </w:t>
      </w:r>
      <w:r>
        <w:rPr>
          <w:bCs/>
          <w:lang w:val="en-ZA"/>
        </w:rPr>
        <w:t>before Modiba J</w:t>
      </w:r>
      <w:r w:rsidR="007B5851">
        <w:rPr>
          <w:bCs/>
          <w:lang w:val="en-ZA"/>
        </w:rPr>
        <w:t>,</w:t>
      </w:r>
      <w:r>
        <w:rPr>
          <w:bCs/>
          <w:lang w:val="en-ZA"/>
        </w:rPr>
        <w:t xml:space="preserve"> held on 29 May 2020</w:t>
      </w:r>
      <w:r w:rsidR="00AB57D5">
        <w:rPr>
          <w:bCs/>
          <w:lang w:val="en-ZA"/>
        </w:rPr>
        <w:t>. Advocate P. Cirone</w:t>
      </w:r>
      <w:r w:rsidR="007B5851">
        <w:rPr>
          <w:bCs/>
          <w:lang w:val="en-ZA"/>
        </w:rPr>
        <w:t>,</w:t>
      </w:r>
      <w:r w:rsidR="00AB57D5">
        <w:rPr>
          <w:bCs/>
          <w:lang w:val="en-ZA"/>
        </w:rPr>
        <w:t xml:space="preserve"> who represented the plaintiffs</w:t>
      </w:r>
      <w:r w:rsidR="007B5851">
        <w:rPr>
          <w:bCs/>
          <w:lang w:val="en-ZA"/>
        </w:rPr>
        <w:t>,</w:t>
      </w:r>
      <w:r w:rsidR="00AB57D5">
        <w:rPr>
          <w:bCs/>
          <w:lang w:val="en-ZA"/>
        </w:rPr>
        <w:t xml:space="preserve"> </w:t>
      </w:r>
      <w:r w:rsidR="006A7AEE">
        <w:rPr>
          <w:bCs/>
          <w:lang w:val="en-ZA"/>
        </w:rPr>
        <w:t>indic</w:t>
      </w:r>
      <w:r w:rsidR="0050772F">
        <w:rPr>
          <w:bCs/>
          <w:lang w:val="en-ZA"/>
        </w:rPr>
        <w:t>a</w:t>
      </w:r>
      <w:r w:rsidR="006A7AEE">
        <w:rPr>
          <w:bCs/>
          <w:lang w:val="en-ZA"/>
        </w:rPr>
        <w:t>ted that ‘</w:t>
      </w:r>
      <w:r w:rsidR="006A7AEE" w:rsidRPr="007B5851">
        <w:rPr>
          <w:bCs/>
          <w:i/>
          <w:lang w:val="en-ZA"/>
        </w:rPr>
        <w:t>the Plaintiffs intend to launch the consolidation application by 12 June 2020</w:t>
      </w:r>
      <w:r w:rsidR="006A7AEE">
        <w:rPr>
          <w:bCs/>
          <w:lang w:val="en-ZA"/>
        </w:rPr>
        <w:t>…’.</w:t>
      </w:r>
      <w:r w:rsidR="0050772F">
        <w:rPr>
          <w:bCs/>
          <w:lang w:val="en-ZA"/>
        </w:rPr>
        <w:t xml:space="preserve"> The matter referred to by Advocate P. Cirone was </w:t>
      </w:r>
      <w:r w:rsidR="007B5851">
        <w:rPr>
          <w:bCs/>
          <w:lang w:val="en-ZA"/>
        </w:rPr>
        <w:t xml:space="preserve">matter </w:t>
      </w:r>
      <w:r w:rsidR="0050772F">
        <w:rPr>
          <w:bCs/>
          <w:lang w:val="en-ZA"/>
        </w:rPr>
        <w:t>2020/9366.</w:t>
      </w:r>
      <w:r w:rsidR="006A7AEE">
        <w:rPr>
          <w:bCs/>
          <w:lang w:val="en-ZA"/>
        </w:rPr>
        <w:t xml:space="preserve"> </w:t>
      </w:r>
      <w:r w:rsidR="007B241C">
        <w:rPr>
          <w:bCs/>
          <w:lang w:val="en-ZA"/>
        </w:rPr>
        <w:t>Counsel argued that no consolidation took place. It was argued that in matter 2020/9366</w:t>
      </w:r>
      <w:r w:rsidR="007B5851">
        <w:rPr>
          <w:bCs/>
          <w:lang w:val="en-ZA"/>
        </w:rPr>
        <w:t>,</w:t>
      </w:r>
      <w:r w:rsidR="007B241C">
        <w:rPr>
          <w:bCs/>
          <w:lang w:val="en-ZA"/>
        </w:rPr>
        <w:t xml:space="preserve"> the SIU is the plaintiff and </w:t>
      </w:r>
      <w:r w:rsidR="00AB57D5">
        <w:rPr>
          <w:bCs/>
          <w:lang w:val="en-ZA"/>
        </w:rPr>
        <w:t xml:space="preserve">in terms of prayer three, </w:t>
      </w:r>
      <w:r w:rsidR="007B241C">
        <w:rPr>
          <w:bCs/>
          <w:lang w:val="en-ZA"/>
        </w:rPr>
        <w:t>the same amount of</w:t>
      </w:r>
      <w:r w:rsidR="008D7EEC">
        <w:rPr>
          <w:bCs/>
          <w:lang w:val="en-ZA"/>
        </w:rPr>
        <w:t xml:space="preserve"> </w:t>
      </w:r>
      <w:r w:rsidR="00AB57D5" w:rsidRPr="00AB57D5">
        <w:rPr>
          <w:bCs/>
          <w:lang w:val="en-ZA"/>
        </w:rPr>
        <w:t>R62</w:t>
      </w:r>
      <w:r w:rsidR="00AB57D5">
        <w:rPr>
          <w:bCs/>
          <w:lang w:val="en-ZA"/>
        </w:rPr>
        <w:t> </w:t>
      </w:r>
      <w:r w:rsidR="00AB57D5" w:rsidRPr="00AB57D5">
        <w:rPr>
          <w:bCs/>
          <w:lang w:val="en-ZA"/>
        </w:rPr>
        <w:t>733 556.61</w:t>
      </w:r>
      <w:r w:rsidR="007B241C">
        <w:rPr>
          <w:bCs/>
          <w:lang w:val="en-ZA"/>
        </w:rPr>
        <w:t xml:space="preserve"> is claimed by the SIU</w:t>
      </w:r>
      <w:r w:rsidR="00AB57D5">
        <w:rPr>
          <w:bCs/>
          <w:lang w:val="en-ZA"/>
        </w:rPr>
        <w:t xml:space="preserve">. </w:t>
      </w:r>
      <w:r w:rsidR="000238B8">
        <w:rPr>
          <w:bCs/>
          <w:lang w:val="en-ZA"/>
        </w:rPr>
        <w:t xml:space="preserve"> As a result</w:t>
      </w:r>
      <w:r w:rsidR="009E789F">
        <w:rPr>
          <w:bCs/>
          <w:lang w:val="en-ZA"/>
        </w:rPr>
        <w:t>,</w:t>
      </w:r>
      <w:r w:rsidR="000238B8">
        <w:rPr>
          <w:bCs/>
          <w:lang w:val="en-ZA"/>
        </w:rPr>
        <w:t xml:space="preserve"> </w:t>
      </w:r>
      <w:r w:rsidR="007B5851">
        <w:rPr>
          <w:bCs/>
          <w:lang w:val="en-ZA"/>
        </w:rPr>
        <w:t xml:space="preserve">it was argued that </w:t>
      </w:r>
      <w:r w:rsidR="000238B8">
        <w:rPr>
          <w:bCs/>
          <w:lang w:val="en-ZA"/>
        </w:rPr>
        <w:t>this court cannot grant the default judgment as the request to pay the</w:t>
      </w:r>
      <w:r w:rsidR="009E789F">
        <w:rPr>
          <w:bCs/>
          <w:lang w:val="en-ZA"/>
        </w:rPr>
        <w:t xml:space="preserve"> amount of </w:t>
      </w:r>
      <w:r w:rsidR="00AB57D5" w:rsidRPr="00AB57D5">
        <w:rPr>
          <w:bCs/>
          <w:lang w:val="en-ZA"/>
        </w:rPr>
        <w:t xml:space="preserve">R62 733 556.61 </w:t>
      </w:r>
      <w:r w:rsidR="000238B8">
        <w:rPr>
          <w:bCs/>
          <w:lang w:val="en-ZA"/>
        </w:rPr>
        <w:t>would not be just and equitable</w:t>
      </w:r>
      <w:r w:rsidR="00CA0C24">
        <w:rPr>
          <w:bCs/>
          <w:lang w:val="en-ZA"/>
        </w:rPr>
        <w:t xml:space="preserve">. Furthermore, </w:t>
      </w:r>
      <w:r w:rsidR="00702E00">
        <w:rPr>
          <w:bCs/>
          <w:lang w:val="en-ZA"/>
        </w:rPr>
        <w:t xml:space="preserve">there would be a disregard for the provisions of s172 of the Constitution. </w:t>
      </w:r>
      <w:r w:rsidR="00CA0C24">
        <w:rPr>
          <w:bCs/>
          <w:lang w:val="en-ZA"/>
        </w:rPr>
        <w:t>I</w:t>
      </w:r>
      <w:r w:rsidR="00702E00">
        <w:rPr>
          <w:bCs/>
          <w:lang w:val="en-ZA"/>
        </w:rPr>
        <w:t>t was argued that the SABC had not made out a case for unjust enrichment.</w:t>
      </w:r>
      <w:r w:rsidR="000238B8">
        <w:rPr>
          <w:bCs/>
          <w:lang w:val="en-ZA"/>
        </w:rPr>
        <w:t xml:space="preserve"> </w:t>
      </w:r>
    </w:p>
    <w:p w14:paraId="7B85044B" w14:textId="01DF1B5B" w:rsidR="00CA0C24" w:rsidRDefault="00702E00" w:rsidP="008D7EEC">
      <w:pPr>
        <w:pStyle w:val="JudgmentNumbered"/>
        <w:numPr>
          <w:ilvl w:val="0"/>
          <w:numId w:val="0"/>
        </w:numPr>
        <w:tabs>
          <w:tab w:val="left" w:pos="0"/>
          <w:tab w:val="left" w:pos="993"/>
        </w:tabs>
        <w:rPr>
          <w:b/>
          <w:bCs/>
          <w:i/>
          <w:lang w:val="en-ZA"/>
        </w:rPr>
      </w:pPr>
      <w:r w:rsidRPr="007D32E4">
        <w:rPr>
          <w:b/>
          <w:lang w:val="en-ZA"/>
        </w:rPr>
        <w:t>(c)</w:t>
      </w:r>
      <w:r w:rsidR="009A512B">
        <w:rPr>
          <w:bCs/>
          <w:lang w:val="en-ZA"/>
        </w:rPr>
        <w:tab/>
      </w:r>
      <w:r w:rsidR="00CA0C24" w:rsidRPr="00CA0C24">
        <w:rPr>
          <w:b/>
          <w:bCs/>
          <w:i/>
          <w:lang w:val="en-ZA"/>
        </w:rPr>
        <w:t>T</w:t>
      </w:r>
      <w:r w:rsidR="009A512B" w:rsidRPr="00CA0C24">
        <w:rPr>
          <w:b/>
          <w:bCs/>
          <w:i/>
          <w:lang w:val="en-ZA"/>
        </w:rPr>
        <w:t xml:space="preserve">he plaintiffs wish to rely on </w:t>
      </w:r>
      <w:r w:rsidR="007B5851">
        <w:rPr>
          <w:b/>
          <w:bCs/>
          <w:i/>
          <w:lang w:val="en-ZA"/>
        </w:rPr>
        <w:t xml:space="preserve">the </w:t>
      </w:r>
      <w:r w:rsidR="009A512B" w:rsidRPr="00CA0C24">
        <w:rPr>
          <w:b/>
          <w:bCs/>
          <w:i/>
          <w:lang w:val="en-ZA"/>
        </w:rPr>
        <w:t>condictio ob turpem vel iniustam causam, as their cause of action</w:t>
      </w:r>
    </w:p>
    <w:p w14:paraId="23ACEB74" w14:textId="05BAC922" w:rsidR="007D32E4" w:rsidRPr="008D7EEC" w:rsidRDefault="00CA0C24" w:rsidP="008D7EEC">
      <w:pPr>
        <w:pStyle w:val="JudgmentNumbered"/>
        <w:numPr>
          <w:ilvl w:val="0"/>
          <w:numId w:val="0"/>
        </w:numPr>
        <w:tabs>
          <w:tab w:val="left" w:pos="993"/>
        </w:tabs>
        <w:rPr>
          <w:bCs/>
          <w:lang w:val="en-ZA"/>
        </w:rPr>
      </w:pPr>
      <w:r>
        <w:rPr>
          <w:bCs/>
          <w:lang w:val="en-ZA"/>
        </w:rPr>
        <w:t>It was contended that if the SABC wanted to rely on this cause of action</w:t>
      </w:r>
      <w:r w:rsidR="009A512B">
        <w:rPr>
          <w:bCs/>
          <w:lang w:val="en-ZA"/>
        </w:rPr>
        <w:t xml:space="preserve"> </w:t>
      </w:r>
      <w:r>
        <w:rPr>
          <w:bCs/>
          <w:lang w:val="en-ZA"/>
        </w:rPr>
        <w:t>it</w:t>
      </w:r>
      <w:r w:rsidR="009A512B">
        <w:rPr>
          <w:bCs/>
          <w:lang w:val="en-ZA"/>
        </w:rPr>
        <w:t xml:space="preserve"> would</w:t>
      </w:r>
      <w:r w:rsidR="009A512B" w:rsidRPr="009A512B">
        <w:rPr>
          <w:bCs/>
          <w:lang w:val="en-ZA"/>
        </w:rPr>
        <w:t xml:space="preserve"> have to allege and plead that the </w:t>
      </w:r>
      <w:r w:rsidR="009A512B">
        <w:rPr>
          <w:bCs/>
          <w:lang w:val="en-ZA"/>
        </w:rPr>
        <w:t xml:space="preserve">SABC and/or </w:t>
      </w:r>
      <w:r w:rsidR="009A512B" w:rsidRPr="009A512B">
        <w:rPr>
          <w:bCs/>
          <w:lang w:val="en-ZA"/>
        </w:rPr>
        <w:t>its officials, representatives and/or em</w:t>
      </w:r>
      <w:r w:rsidR="009A512B">
        <w:rPr>
          <w:bCs/>
          <w:lang w:val="en-ZA"/>
        </w:rPr>
        <w:t>ployees are free of turpitude. T</w:t>
      </w:r>
      <w:r w:rsidR="009A512B" w:rsidRPr="009A512B">
        <w:rPr>
          <w:bCs/>
          <w:lang w:val="en-ZA"/>
        </w:rPr>
        <w:t>his is so because this condictio can only be successfully instituted by a</w:t>
      </w:r>
      <w:r w:rsidR="009A512B">
        <w:rPr>
          <w:bCs/>
          <w:lang w:val="en-ZA"/>
        </w:rPr>
        <w:t xml:space="preserve"> </w:t>
      </w:r>
      <w:r w:rsidR="009A512B" w:rsidRPr="009A512B">
        <w:rPr>
          <w:bCs/>
          <w:lang w:val="en-ZA"/>
        </w:rPr>
        <w:t>plaintiff whose own conduct was free from turpitude and that he/she did</w:t>
      </w:r>
      <w:r w:rsidR="009A512B">
        <w:rPr>
          <w:bCs/>
          <w:lang w:val="en-ZA"/>
        </w:rPr>
        <w:t xml:space="preserve"> </w:t>
      </w:r>
      <w:r w:rsidR="009A512B" w:rsidRPr="009A512B">
        <w:rPr>
          <w:bCs/>
          <w:lang w:val="en-ZA"/>
        </w:rPr>
        <w:t xml:space="preserve">not act dishonourably. </w:t>
      </w:r>
    </w:p>
    <w:p w14:paraId="6B049EA6" w14:textId="44ED9855" w:rsidR="00C93E00" w:rsidRDefault="001A1D0B" w:rsidP="001A1D0B">
      <w:pPr>
        <w:pStyle w:val="JudgmentNumbered"/>
        <w:numPr>
          <w:ilvl w:val="0"/>
          <w:numId w:val="0"/>
        </w:numPr>
        <w:tabs>
          <w:tab w:val="left" w:pos="993"/>
        </w:tabs>
        <w:rPr>
          <w:b/>
          <w:bCs/>
          <w:i/>
          <w:lang w:val="en-ZA"/>
        </w:rPr>
      </w:pPr>
      <w:r w:rsidRPr="001A1D0B">
        <w:rPr>
          <w:b/>
          <w:bCs/>
          <w:i/>
          <w:lang w:val="en-ZA"/>
        </w:rPr>
        <w:t>Evaluation</w:t>
      </w:r>
    </w:p>
    <w:p w14:paraId="5A494346" w14:textId="55752F32" w:rsidR="00527CC1" w:rsidRDefault="00527CC1" w:rsidP="00527CC1">
      <w:pPr>
        <w:pStyle w:val="JudgmentNumbered"/>
        <w:numPr>
          <w:ilvl w:val="0"/>
          <w:numId w:val="0"/>
        </w:numPr>
        <w:tabs>
          <w:tab w:val="left" w:pos="993"/>
        </w:tabs>
        <w:rPr>
          <w:bCs/>
          <w:lang w:val="en-ZA"/>
        </w:rPr>
      </w:pPr>
      <w:r>
        <w:rPr>
          <w:bCs/>
          <w:lang w:val="en-ZA"/>
        </w:rPr>
        <w:t>[</w:t>
      </w:r>
      <w:r w:rsidR="007B5851">
        <w:rPr>
          <w:bCs/>
          <w:lang w:val="en-ZA"/>
        </w:rPr>
        <w:t>25</w:t>
      </w:r>
      <w:r>
        <w:rPr>
          <w:bCs/>
          <w:lang w:val="en-ZA"/>
        </w:rPr>
        <w:t>]</w:t>
      </w:r>
      <w:r>
        <w:rPr>
          <w:bCs/>
          <w:lang w:val="en-ZA"/>
        </w:rPr>
        <w:tab/>
        <w:t xml:space="preserve">There is no plea filed by Lornavision. </w:t>
      </w:r>
      <w:r w:rsidR="0034743F">
        <w:rPr>
          <w:bCs/>
          <w:lang w:val="en-ZA"/>
        </w:rPr>
        <w:t xml:space="preserve">As a result, </w:t>
      </w:r>
      <w:r>
        <w:rPr>
          <w:bCs/>
          <w:lang w:val="en-ZA"/>
        </w:rPr>
        <w:t>i</w:t>
      </w:r>
      <w:r w:rsidRPr="00527CC1">
        <w:rPr>
          <w:bCs/>
          <w:lang w:val="en-ZA"/>
        </w:rPr>
        <w:t>t is not possible or permissible in terms of the Rules of court to oppose an</w:t>
      </w:r>
      <w:r>
        <w:rPr>
          <w:bCs/>
          <w:lang w:val="en-ZA"/>
        </w:rPr>
        <w:t xml:space="preserve"> </w:t>
      </w:r>
      <w:r w:rsidRPr="00527CC1">
        <w:rPr>
          <w:bCs/>
          <w:lang w:val="en-ZA"/>
        </w:rPr>
        <w:t xml:space="preserve">application for default judgment.  An application for default judgment is not an opposed motion.  </w:t>
      </w:r>
      <w:r>
        <w:rPr>
          <w:bCs/>
          <w:lang w:val="en-ZA"/>
        </w:rPr>
        <w:t>All that Lornavision can do, once default judgment is granted, is to apply for a rescission.</w:t>
      </w:r>
    </w:p>
    <w:p w14:paraId="59D948B6" w14:textId="3A775B1B" w:rsidR="00431C31" w:rsidRDefault="00431C31" w:rsidP="00527CC1">
      <w:pPr>
        <w:pStyle w:val="JudgmentNumbered"/>
        <w:numPr>
          <w:ilvl w:val="0"/>
          <w:numId w:val="0"/>
        </w:numPr>
        <w:tabs>
          <w:tab w:val="left" w:pos="993"/>
        </w:tabs>
        <w:rPr>
          <w:bCs/>
          <w:lang w:val="en-ZA"/>
        </w:rPr>
      </w:pPr>
      <w:r>
        <w:rPr>
          <w:bCs/>
          <w:lang w:val="en-ZA"/>
        </w:rPr>
        <w:lastRenderedPageBreak/>
        <w:t>[</w:t>
      </w:r>
      <w:r w:rsidR="007B5851">
        <w:rPr>
          <w:bCs/>
          <w:lang w:val="en-ZA"/>
        </w:rPr>
        <w:t>26</w:t>
      </w:r>
      <w:r>
        <w:rPr>
          <w:bCs/>
          <w:lang w:val="en-ZA"/>
        </w:rPr>
        <w:t>]</w:t>
      </w:r>
      <w:r>
        <w:rPr>
          <w:bCs/>
          <w:lang w:val="en-ZA"/>
        </w:rPr>
        <w:tab/>
        <w:t>There is no affidavit before court explaining under what circumstances the uplifting of the bar application was withdrawn by Lornavision. If Lornavision believed in its exceptions</w:t>
      </w:r>
      <w:r w:rsidR="00702E00">
        <w:rPr>
          <w:bCs/>
          <w:lang w:val="en-ZA"/>
        </w:rPr>
        <w:t>,</w:t>
      </w:r>
      <w:r>
        <w:rPr>
          <w:bCs/>
          <w:lang w:val="en-ZA"/>
        </w:rPr>
        <w:t xml:space="preserve"> logic dictates that it would not have withdrawn this application. </w:t>
      </w:r>
    </w:p>
    <w:p w14:paraId="2E9CA7E6" w14:textId="1FA39DC8" w:rsidR="0034743F" w:rsidRPr="00527CC1" w:rsidRDefault="0034743F" w:rsidP="00527CC1">
      <w:pPr>
        <w:pStyle w:val="JudgmentNumbered"/>
        <w:numPr>
          <w:ilvl w:val="0"/>
          <w:numId w:val="0"/>
        </w:numPr>
        <w:tabs>
          <w:tab w:val="left" w:pos="993"/>
        </w:tabs>
        <w:rPr>
          <w:bCs/>
          <w:lang w:val="en-ZA"/>
        </w:rPr>
      </w:pPr>
      <w:r>
        <w:rPr>
          <w:bCs/>
          <w:lang w:val="en-ZA"/>
        </w:rPr>
        <w:t>[</w:t>
      </w:r>
      <w:r w:rsidR="007B5851">
        <w:rPr>
          <w:bCs/>
          <w:lang w:val="en-ZA"/>
        </w:rPr>
        <w:t>27</w:t>
      </w:r>
      <w:r>
        <w:rPr>
          <w:bCs/>
          <w:lang w:val="en-ZA"/>
        </w:rPr>
        <w:t>]</w:t>
      </w:r>
      <w:r>
        <w:rPr>
          <w:bCs/>
          <w:lang w:val="en-ZA"/>
        </w:rPr>
        <w:tab/>
        <w:t xml:space="preserve">In deciding a matter by way of default, all that a court needs to decide is whether the amount claimed by the SABC is properly quantified. </w:t>
      </w:r>
      <w:r w:rsidRPr="0034743F">
        <w:rPr>
          <w:bCs/>
          <w:lang w:val="en-ZA"/>
        </w:rPr>
        <w:t>In this matter</w:t>
      </w:r>
      <w:r w:rsidR="007B5851">
        <w:rPr>
          <w:bCs/>
          <w:lang w:val="en-ZA"/>
        </w:rPr>
        <w:t>,</w:t>
      </w:r>
      <w:r w:rsidRPr="0034743F">
        <w:rPr>
          <w:bCs/>
          <w:lang w:val="en-ZA"/>
        </w:rPr>
        <w:t xml:space="preserve"> the amount claimed is a liquidated amount of R62 733 556.61.  The written services agreement</w:t>
      </w:r>
      <w:r w:rsidR="00D57199">
        <w:rPr>
          <w:bCs/>
          <w:lang w:val="en-ZA"/>
        </w:rPr>
        <w:t>,</w:t>
      </w:r>
      <w:r w:rsidRPr="0034743F">
        <w:rPr>
          <w:bCs/>
          <w:lang w:val="en-ZA"/>
        </w:rPr>
        <w:t xml:space="preserve"> in terms of which this liquidated amount was paid</w:t>
      </w:r>
      <w:r w:rsidR="00D57199">
        <w:rPr>
          <w:bCs/>
          <w:lang w:val="en-ZA"/>
        </w:rPr>
        <w:t>,</w:t>
      </w:r>
      <w:r w:rsidRPr="0034743F">
        <w:rPr>
          <w:bCs/>
          <w:lang w:val="en-ZA"/>
        </w:rPr>
        <w:t xml:space="preserve"> was declared unlawful and void ab initio.  This requires restitution in the amount of R62 733 556.61.  </w:t>
      </w:r>
      <w:r>
        <w:rPr>
          <w:bCs/>
          <w:lang w:val="en-ZA"/>
        </w:rPr>
        <w:t xml:space="preserve">The </w:t>
      </w:r>
      <w:r w:rsidRPr="0034743F">
        <w:rPr>
          <w:bCs/>
          <w:lang w:val="en-ZA"/>
        </w:rPr>
        <w:t xml:space="preserve">facts as alleged by the SABC and </w:t>
      </w:r>
      <w:r w:rsidR="00D57199">
        <w:rPr>
          <w:bCs/>
          <w:lang w:val="en-ZA"/>
        </w:rPr>
        <w:t xml:space="preserve">the </w:t>
      </w:r>
      <w:r w:rsidRPr="0034743F">
        <w:rPr>
          <w:bCs/>
          <w:lang w:val="en-ZA"/>
        </w:rPr>
        <w:t>SIU</w:t>
      </w:r>
      <w:r w:rsidR="007B5851">
        <w:rPr>
          <w:bCs/>
          <w:lang w:val="en-ZA"/>
        </w:rPr>
        <w:t>,</w:t>
      </w:r>
      <w:r w:rsidRPr="0034743F">
        <w:rPr>
          <w:bCs/>
          <w:lang w:val="en-ZA"/>
        </w:rPr>
        <w:t xml:space="preserve"> in the particulars of claim</w:t>
      </w:r>
      <w:r w:rsidR="00D57199">
        <w:rPr>
          <w:bCs/>
          <w:lang w:val="en-ZA"/>
        </w:rPr>
        <w:t>,</w:t>
      </w:r>
      <w:r w:rsidRPr="0034743F">
        <w:rPr>
          <w:bCs/>
          <w:lang w:val="en-ZA"/>
        </w:rPr>
        <w:t xml:space="preserve"> stand uncontested and undisputed by Lornavision.</w:t>
      </w:r>
      <w:r w:rsidR="008D7EEC">
        <w:rPr>
          <w:bCs/>
          <w:lang w:val="en-ZA"/>
        </w:rPr>
        <w:t xml:space="preserve"> </w:t>
      </w:r>
      <w:r w:rsidRPr="0034743F">
        <w:rPr>
          <w:bCs/>
          <w:lang w:val="en-ZA"/>
        </w:rPr>
        <w:t xml:space="preserve">Public policy and the interests of justice dictate that it is just and proper, that default judgment be granted.         </w:t>
      </w:r>
    </w:p>
    <w:p w14:paraId="2F35E821" w14:textId="520E5C00" w:rsidR="001A1D0B" w:rsidRDefault="001A1D0B" w:rsidP="001A1D0B">
      <w:pPr>
        <w:pStyle w:val="JudgmentNumbered"/>
        <w:numPr>
          <w:ilvl w:val="0"/>
          <w:numId w:val="0"/>
        </w:numPr>
        <w:tabs>
          <w:tab w:val="left" w:pos="993"/>
        </w:tabs>
        <w:rPr>
          <w:bCs/>
          <w:lang w:val="en-ZA"/>
        </w:rPr>
      </w:pPr>
      <w:r>
        <w:rPr>
          <w:bCs/>
          <w:lang w:val="en-ZA"/>
        </w:rPr>
        <w:t>[</w:t>
      </w:r>
      <w:r w:rsidR="007B5851">
        <w:rPr>
          <w:bCs/>
          <w:lang w:val="en-ZA"/>
        </w:rPr>
        <w:t>28</w:t>
      </w:r>
      <w:r>
        <w:rPr>
          <w:bCs/>
          <w:lang w:val="en-ZA"/>
        </w:rPr>
        <w:t>]</w:t>
      </w:r>
      <w:r>
        <w:rPr>
          <w:bCs/>
          <w:lang w:val="en-ZA"/>
        </w:rPr>
        <w:tab/>
        <w:t xml:space="preserve">In the matter of </w:t>
      </w:r>
      <w:r w:rsidRPr="00B22778">
        <w:rPr>
          <w:bCs/>
          <w:i/>
          <w:lang w:val="en-ZA"/>
        </w:rPr>
        <w:t>Allpay 2</w:t>
      </w:r>
      <w:r w:rsidR="008D7EEC">
        <w:rPr>
          <w:bCs/>
          <w:i/>
          <w:lang w:val="en-ZA"/>
        </w:rPr>
        <w:t>,</w:t>
      </w:r>
      <w:r w:rsidR="007B5851">
        <w:rPr>
          <w:rStyle w:val="FootnoteReference"/>
          <w:bCs/>
          <w:i/>
          <w:lang w:val="en-ZA"/>
        </w:rPr>
        <w:footnoteReference w:id="10"/>
      </w:r>
      <w:r>
        <w:rPr>
          <w:bCs/>
          <w:lang w:val="en-ZA"/>
        </w:rPr>
        <w:t xml:space="preserve"> the Constitutional Court held that </w:t>
      </w:r>
      <w:r w:rsidRPr="001A1D0B">
        <w:rPr>
          <w:bCs/>
          <w:lang w:val="en-ZA"/>
        </w:rPr>
        <w:t>the default position is that the consequences of an invalid and unlawful contract must be corrected where this is still possible or reversed if prevention of invalidity is no longer possible.</w:t>
      </w:r>
      <w:r w:rsidR="007B5851">
        <w:rPr>
          <w:rStyle w:val="FootnoteReference"/>
          <w:bCs/>
          <w:lang w:val="en-ZA"/>
        </w:rPr>
        <w:footnoteReference w:id="11"/>
      </w:r>
      <w:r w:rsidR="007B5851">
        <w:rPr>
          <w:bCs/>
          <w:lang w:val="en-ZA"/>
        </w:rPr>
        <w:t xml:space="preserve"> </w:t>
      </w:r>
    </w:p>
    <w:p w14:paraId="62A8A4D0" w14:textId="1AD13DF3" w:rsidR="00FA49EF" w:rsidRPr="00D57199" w:rsidRDefault="00FA49EF" w:rsidP="001A1D0B">
      <w:pPr>
        <w:pStyle w:val="JudgmentNumbered"/>
        <w:numPr>
          <w:ilvl w:val="0"/>
          <w:numId w:val="0"/>
        </w:numPr>
        <w:tabs>
          <w:tab w:val="left" w:pos="993"/>
        </w:tabs>
        <w:rPr>
          <w:bCs/>
          <w:color w:val="000000" w:themeColor="text1"/>
          <w:lang w:val="en-ZA"/>
        </w:rPr>
      </w:pPr>
      <w:r w:rsidRPr="00D57199">
        <w:rPr>
          <w:bCs/>
          <w:color w:val="000000" w:themeColor="text1"/>
          <w:lang w:val="en-ZA"/>
        </w:rPr>
        <w:t>[</w:t>
      </w:r>
      <w:r w:rsidR="007B5851">
        <w:rPr>
          <w:bCs/>
          <w:color w:val="000000" w:themeColor="text1"/>
          <w:lang w:val="en-ZA"/>
        </w:rPr>
        <w:t>29</w:t>
      </w:r>
      <w:r w:rsidRPr="00D57199">
        <w:rPr>
          <w:bCs/>
          <w:color w:val="000000" w:themeColor="text1"/>
          <w:lang w:val="en-ZA"/>
        </w:rPr>
        <w:t>]</w:t>
      </w:r>
      <w:r w:rsidRPr="00D57199">
        <w:rPr>
          <w:bCs/>
          <w:color w:val="000000" w:themeColor="text1"/>
          <w:lang w:val="en-ZA"/>
        </w:rPr>
        <w:tab/>
        <w:t xml:space="preserve">In the matter of </w:t>
      </w:r>
      <w:r w:rsidRPr="00D57199">
        <w:rPr>
          <w:bCs/>
          <w:i/>
          <w:color w:val="000000" w:themeColor="text1"/>
          <w:lang w:val="en-ZA"/>
        </w:rPr>
        <w:t>Shabangu v Land and Agricultural Development Bank of South Africa and Others</w:t>
      </w:r>
      <w:r w:rsidR="008D7EEC">
        <w:rPr>
          <w:bCs/>
          <w:color w:val="000000" w:themeColor="text1"/>
          <w:lang w:val="en-ZA"/>
        </w:rPr>
        <w:t>,</w:t>
      </w:r>
      <w:r w:rsidR="007B5851">
        <w:rPr>
          <w:rStyle w:val="FootnoteReference"/>
          <w:bCs/>
          <w:color w:val="000000" w:themeColor="text1"/>
          <w:lang w:val="en-ZA"/>
        </w:rPr>
        <w:footnoteReference w:id="12"/>
      </w:r>
      <w:r w:rsidR="007B5851">
        <w:rPr>
          <w:bCs/>
          <w:color w:val="000000" w:themeColor="text1"/>
          <w:lang w:val="en-ZA"/>
        </w:rPr>
        <w:t xml:space="preserve"> </w:t>
      </w:r>
      <w:r w:rsidRPr="00D57199">
        <w:rPr>
          <w:bCs/>
          <w:color w:val="000000" w:themeColor="text1"/>
          <w:lang w:val="en-ZA"/>
        </w:rPr>
        <w:t>the Constitutional Court held that:</w:t>
      </w:r>
    </w:p>
    <w:p w14:paraId="18C0C255" w14:textId="444CDA06" w:rsidR="00FA49EF" w:rsidRPr="00D57199" w:rsidRDefault="00FA49EF" w:rsidP="00FA49EF">
      <w:pPr>
        <w:pStyle w:val="JudgmentNumbered"/>
        <w:numPr>
          <w:ilvl w:val="0"/>
          <w:numId w:val="0"/>
        </w:numPr>
        <w:tabs>
          <w:tab w:val="left" w:pos="993"/>
        </w:tabs>
        <w:rPr>
          <w:bCs/>
          <w:color w:val="000000" w:themeColor="text1"/>
          <w:sz w:val="22"/>
          <w:lang w:val="en-ZA"/>
        </w:rPr>
      </w:pPr>
      <w:r w:rsidRPr="00D57199">
        <w:rPr>
          <w:bCs/>
          <w:color w:val="000000" w:themeColor="text1"/>
          <w:sz w:val="22"/>
          <w:lang w:val="en-ZA"/>
        </w:rPr>
        <w:t xml:space="preserve">‘The problem of the original invalidity may be addressed in another way.  Recovery of what was transferred under an invalid agreement is governed either by enrichment or what was referred to in argument as the “no-profit principle” put forward by this Court in </w:t>
      </w:r>
      <w:r w:rsidRPr="00D57199">
        <w:rPr>
          <w:bCs/>
          <w:i/>
          <w:color w:val="000000" w:themeColor="text1"/>
          <w:sz w:val="22"/>
          <w:lang w:val="en-ZA"/>
        </w:rPr>
        <w:t>AllPay</w:t>
      </w:r>
      <w:r w:rsidR="00D57199">
        <w:rPr>
          <w:bCs/>
          <w:color w:val="000000" w:themeColor="text1"/>
          <w:sz w:val="22"/>
          <w:lang w:val="en-ZA"/>
        </w:rPr>
        <w:t xml:space="preserve"> Remedy.’</w:t>
      </w:r>
      <w:r w:rsidR="007B5851">
        <w:rPr>
          <w:rStyle w:val="FootnoteReference"/>
          <w:bCs/>
          <w:color w:val="000000" w:themeColor="text1"/>
          <w:sz w:val="22"/>
          <w:lang w:val="en-ZA"/>
        </w:rPr>
        <w:footnoteReference w:id="13"/>
      </w:r>
    </w:p>
    <w:p w14:paraId="362B9B00" w14:textId="7B2BD366" w:rsidR="00FA49EF" w:rsidRPr="00D57199" w:rsidRDefault="00D57199" w:rsidP="00FA49EF">
      <w:pPr>
        <w:pStyle w:val="JudgmentNumbered"/>
        <w:numPr>
          <w:ilvl w:val="0"/>
          <w:numId w:val="0"/>
        </w:numPr>
        <w:tabs>
          <w:tab w:val="left" w:pos="993"/>
        </w:tabs>
        <w:rPr>
          <w:bCs/>
          <w:color w:val="000000" w:themeColor="text1"/>
          <w:sz w:val="22"/>
          <w:lang w:val="en-ZA"/>
        </w:rPr>
      </w:pPr>
      <w:r>
        <w:rPr>
          <w:bCs/>
          <w:color w:val="000000" w:themeColor="text1"/>
          <w:sz w:val="22"/>
          <w:lang w:val="en-ZA"/>
        </w:rPr>
        <w:t>‘</w:t>
      </w:r>
      <w:r w:rsidR="00FA49EF" w:rsidRPr="00D57199">
        <w:rPr>
          <w:bCs/>
          <w:color w:val="000000" w:themeColor="text1"/>
          <w:sz w:val="22"/>
          <w:lang w:val="en-ZA"/>
        </w:rPr>
        <w:t>While there is some kind of overlap between the basis for an enrichment claim (restoring a legally unjustified imbalance) and the “no-profit principle” (not allowing profit from unlawfulness), there are differences.  Enrichment is a valid claim that may arise from an unlawful contract, while the no-profit principle prevents the perpetuation of unlawfulness.  The latter is part of regulating the just and equitable relief of suspending the declaration of unlawfulness in respect of a contract.  It is therefore bound up in that just and equitable assessment and the continued (if suspended) operation/enforcement of an unlawful agreement, something different to the remedial nature of an enrichment claim.</w:t>
      </w:r>
      <w:r>
        <w:rPr>
          <w:bCs/>
          <w:color w:val="000000" w:themeColor="text1"/>
          <w:sz w:val="22"/>
          <w:lang w:val="en-ZA"/>
        </w:rPr>
        <w:t>’</w:t>
      </w:r>
      <w:r w:rsidR="007B5851">
        <w:rPr>
          <w:rStyle w:val="FootnoteReference"/>
          <w:bCs/>
          <w:color w:val="000000" w:themeColor="text1"/>
          <w:sz w:val="22"/>
          <w:lang w:val="en-ZA"/>
        </w:rPr>
        <w:footnoteReference w:id="14"/>
      </w:r>
    </w:p>
    <w:p w14:paraId="2F685717" w14:textId="5EABAD7F" w:rsidR="00FA49EF" w:rsidRPr="00D57199" w:rsidRDefault="00D57199" w:rsidP="00FA49EF">
      <w:pPr>
        <w:pStyle w:val="JudgmentNumbered"/>
        <w:numPr>
          <w:ilvl w:val="0"/>
          <w:numId w:val="0"/>
        </w:numPr>
        <w:tabs>
          <w:tab w:val="left" w:pos="993"/>
        </w:tabs>
        <w:rPr>
          <w:bCs/>
          <w:color w:val="000000" w:themeColor="text1"/>
          <w:lang w:val="en-ZA"/>
        </w:rPr>
      </w:pPr>
      <w:r>
        <w:rPr>
          <w:bCs/>
          <w:color w:val="000000" w:themeColor="text1"/>
          <w:sz w:val="22"/>
          <w:lang w:val="en-ZA"/>
        </w:rPr>
        <w:t>‘</w:t>
      </w:r>
      <w:r w:rsidR="00FA49EF" w:rsidRPr="00D57199">
        <w:rPr>
          <w:bCs/>
          <w:color w:val="000000" w:themeColor="text1"/>
          <w:sz w:val="22"/>
          <w:lang w:val="en-ZA"/>
        </w:rPr>
        <w:t xml:space="preserve">Whatever the merits or demerits are of substituting a just and equitable remedy, in keeping with the “no-profit principle”, for an ordinary enrichment claim in invalid contracts by organs of state, recovery for unjust </w:t>
      </w:r>
      <w:r w:rsidR="00FA49EF" w:rsidRPr="00D57199">
        <w:rPr>
          <w:bCs/>
          <w:color w:val="000000" w:themeColor="text1"/>
          <w:sz w:val="22"/>
          <w:lang w:val="en-ZA"/>
        </w:rPr>
        <w:lastRenderedPageBreak/>
        <w:t>enrichment or profit gained from an invalid agreement both seek to ameliorate or redress the consequences of the invalidity through the re transfer of unjustified gains.</w:t>
      </w:r>
      <w:r w:rsidR="00FA49EF" w:rsidRPr="00D57199">
        <w:rPr>
          <w:bCs/>
          <w:color w:val="000000" w:themeColor="text1"/>
          <w:lang w:val="en-ZA"/>
        </w:rPr>
        <w:t>’</w:t>
      </w:r>
      <w:r w:rsidR="007B5851">
        <w:rPr>
          <w:rStyle w:val="FootnoteReference"/>
          <w:bCs/>
          <w:color w:val="000000" w:themeColor="text1"/>
          <w:lang w:val="en-ZA"/>
        </w:rPr>
        <w:footnoteReference w:id="15"/>
      </w:r>
    </w:p>
    <w:p w14:paraId="7F5D885C" w14:textId="1F0260A9" w:rsidR="00431C31" w:rsidRDefault="00EE6A5A" w:rsidP="007F37EB">
      <w:pPr>
        <w:pStyle w:val="JudgmentNumbered"/>
        <w:numPr>
          <w:ilvl w:val="0"/>
          <w:numId w:val="0"/>
        </w:numPr>
        <w:tabs>
          <w:tab w:val="left" w:pos="993"/>
        </w:tabs>
        <w:rPr>
          <w:bCs/>
          <w:lang w:val="en-ZA"/>
        </w:rPr>
      </w:pPr>
      <w:r>
        <w:rPr>
          <w:bCs/>
          <w:lang w:val="en-ZA"/>
        </w:rPr>
        <w:t>[</w:t>
      </w:r>
      <w:r w:rsidR="007B5851">
        <w:rPr>
          <w:bCs/>
          <w:lang w:val="en-ZA"/>
        </w:rPr>
        <w:t>30</w:t>
      </w:r>
      <w:r>
        <w:rPr>
          <w:bCs/>
          <w:lang w:val="en-ZA"/>
        </w:rPr>
        <w:t>]</w:t>
      </w:r>
      <w:r>
        <w:rPr>
          <w:bCs/>
          <w:lang w:val="en-ZA"/>
        </w:rPr>
        <w:tab/>
        <w:t>This c</w:t>
      </w:r>
      <w:r w:rsidRPr="00EE6A5A">
        <w:rPr>
          <w:bCs/>
          <w:lang w:val="en-ZA"/>
        </w:rPr>
        <w:t>ourt has already declared that the written services agreement in terms of which Lornavision allegedly performed</w:t>
      </w:r>
      <w:r>
        <w:rPr>
          <w:bCs/>
          <w:lang w:val="en-ZA"/>
        </w:rPr>
        <w:t xml:space="preserve"> is unlawful and void ab initio. The </w:t>
      </w:r>
      <w:r w:rsidRPr="00EE6A5A">
        <w:rPr>
          <w:bCs/>
          <w:lang w:val="en-ZA"/>
        </w:rPr>
        <w:t>default position is that Lornavision is not permitted to benefit from the proceeds of an unlawful contract</w:t>
      </w:r>
      <w:r>
        <w:rPr>
          <w:bCs/>
          <w:lang w:val="en-ZA"/>
        </w:rPr>
        <w:t>,</w:t>
      </w:r>
      <w:r w:rsidRPr="00EE6A5A">
        <w:rPr>
          <w:bCs/>
          <w:lang w:val="en-ZA"/>
        </w:rPr>
        <w:t xml:space="preserve"> irrespective of whether Lornavision is complicit or innocent in the fact of the unlawfulness. </w:t>
      </w:r>
    </w:p>
    <w:p w14:paraId="30CE4EFC" w14:textId="6521355A" w:rsidR="00005423" w:rsidRDefault="002F185E" w:rsidP="002F185E">
      <w:pPr>
        <w:pStyle w:val="JudgmentNumbered"/>
        <w:numPr>
          <w:ilvl w:val="0"/>
          <w:numId w:val="0"/>
        </w:numPr>
        <w:tabs>
          <w:tab w:val="left" w:pos="993"/>
        </w:tabs>
        <w:rPr>
          <w:bCs/>
          <w:szCs w:val="24"/>
          <w:lang w:val="en-ZA"/>
        </w:rPr>
      </w:pPr>
      <w:r w:rsidRPr="00F6248E">
        <w:rPr>
          <w:bCs/>
          <w:szCs w:val="24"/>
          <w:lang w:val="en-ZA"/>
        </w:rPr>
        <w:t>[</w:t>
      </w:r>
      <w:r w:rsidR="007B5851">
        <w:rPr>
          <w:bCs/>
          <w:szCs w:val="24"/>
          <w:lang w:val="en-ZA"/>
        </w:rPr>
        <w:t>31</w:t>
      </w:r>
      <w:r w:rsidRPr="00F6248E">
        <w:rPr>
          <w:bCs/>
          <w:szCs w:val="24"/>
          <w:lang w:val="en-ZA"/>
        </w:rPr>
        <w:t>]</w:t>
      </w:r>
      <w:r w:rsidRPr="00F6248E">
        <w:rPr>
          <w:bCs/>
          <w:szCs w:val="24"/>
          <w:lang w:val="en-ZA"/>
        </w:rPr>
        <w:tab/>
        <w:t>The declaration of unlawfulness and the s</w:t>
      </w:r>
      <w:r w:rsidR="00D57199">
        <w:rPr>
          <w:bCs/>
          <w:szCs w:val="24"/>
          <w:lang w:val="en-ZA"/>
        </w:rPr>
        <w:t>etting aside of the contract bring</w:t>
      </w:r>
      <w:r w:rsidRPr="00F6248E">
        <w:rPr>
          <w:bCs/>
          <w:szCs w:val="24"/>
          <w:lang w:val="en-ZA"/>
        </w:rPr>
        <w:t xml:space="preserve"> into play the provisions of s172(1)(b) of the Constitution. </w:t>
      </w:r>
    </w:p>
    <w:p w14:paraId="4D781167" w14:textId="0AEDCA2C" w:rsidR="00005423" w:rsidRDefault="00005423" w:rsidP="00005423">
      <w:pPr>
        <w:pStyle w:val="JudgmentNumbered"/>
        <w:numPr>
          <w:ilvl w:val="0"/>
          <w:numId w:val="0"/>
        </w:numPr>
        <w:tabs>
          <w:tab w:val="left" w:pos="993"/>
        </w:tabs>
        <w:rPr>
          <w:bCs/>
          <w:szCs w:val="24"/>
          <w:lang w:val="en-ZA"/>
        </w:rPr>
      </w:pPr>
      <w:r>
        <w:rPr>
          <w:bCs/>
          <w:szCs w:val="24"/>
          <w:lang w:val="en-ZA"/>
        </w:rPr>
        <w:t>[</w:t>
      </w:r>
      <w:r w:rsidR="007B5851">
        <w:rPr>
          <w:bCs/>
          <w:szCs w:val="24"/>
          <w:lang w:val="en-ZA"/>
        </w:rPr>
        <w:t>32</w:t>
      </w:r>
      <w:r>
        <w:rPr>
          <w:bCs/>
          <w:szCs w:val="24"/>
          <w:lang w:val="en-ZA"/>
        </w:rPr>
        <w:t>]</w:t>
      </w:r>
      <w:r>
        <w:rPr>
          <w:bCs/>
          <w:szCs w:val="24"/>
          <w:lang w:val="en-ZA"/>
        </w:rPr>
        <w:tab/>
      </w:r>
      <w:r w:rsidRPr="00005423">
        <w:rPr>
          <w:bCs/>
          <w:szCs w:val="24"/>
          <w:lang w:val="en-ZA"/>
        </w:rPr>
        <w:t>Section 172 of the Constitution states that:</w:t>
      </w:r>
    </w:p>
    <w:p w14:paraId="12406D6B" w14:textId="4B19FEEB" w:rsidR="00005423" w:rsidRPr="00005423" w:rsidRDefault="00005423" w:rsidP="00005423">
      <w:pPr>
        <w:pStyle w:val="JudgmentNumbered"/>
        <w:numPr>
          <w:ilvl w:val="0"/>
          <w:numId w:val="0"/>
        </w:numPr>
        <w:tabs>
          <w:tab w:val="left" w:pos="993"/>
        </w:tabs>
        <w:rPr>
          <w:bCs/>
          <w:sz w:val="22"/>
          <w:lang w:val="en-ZA"/>
        </w:rPr>
      </w:pPr>
      <w:r>
        <w:rPr>
          <w:bCs/>
          <w:szCs w:val="24"/>
          <w:lang w:val="en-ZA"/>
        </w:rPr>
        <w:t>‘</w:t>
      </w:r>
      <w:r w:rsidRPr="00005423">
        <w:rPr>
          <w:bCs/>
          <w:sz w:val="22"/>
          <w:lang w:val="en-ZA"/>
        </w:rPr>
        <w:t xml:space="preserve">Powers of courts in constitutional matters </w:t>
      </w:r>
    </w:p>
    <w:p w14:paraId="4CB262E9" w14:textId="7113C2B9" w:rsidR="00005423" w:rsidRPr="00005423" w:rsidRDefault="00005423" w:rsidP="00005423">
      <w:pPr>
        <w:pStyle w:val="JudgmentNumbered"/>
        <w:numPr>
          <w:ilvl w:val="0"/>
          <w:numId w:val="0"/>
        </w:numPr>
        <w:tabs>
          <w:tab w:val="left" w:pos="993"/>
        </w:tabs>
        <w:rPr>
          <w:bCs/>
          <w:sz w:val="22"/>
          <w:lang w:val="en-ZA"/>
        </w:rPr>
      </w:pPr>
      <w:r w:rsidRPr="00005423">
        <w:rPr>
          <w:bCs/>
          <w:sz w:val="22"/>
          <w:lang w:val="en-ZA"/>
        </w:rPr>
        <w:t>172. (1) When deciding a constitutional matter within its power, a court—</w:t>
      </w:r>
    </w:p>
    <w:p w14:paraId="200FE66D" w14:textId="77777777" w:rsidR="00005423" w:rsidRDefault="00005423" w:rsidP="00005423">
      <w:pPr>
        <w:pStyle w:val="JudgmentNumbered"/>
        <w:numPr>
          <w:ilvl w:val="0"/>
          <w:numId w:val="0"/>
        </w:numPr>
        <w:tabs>
          <w:tab w:val="left" w:pos="993"/>
        </w:tabs>
        <w:ind w:left="993"/>
        <w:rPr>
          <w:bCs/>
          <w:sz w:val="22"/>
          <w:lang w:val="en-ZA"/>
        </w:rPr>
      </w:pPr>
      <w:r w:rsidRPr="00005423">
        <w:rPr>
          <w:bCs/>
          <w:sz w:val="22"/>
          <w:lang w:val="en-ZA"/>
        </w:rPr>
        <w:t xml:space="preserve">(a) must declare that any law or conduct that is inconsistent with the Constitution is invalid to the extent of its inconsistency; and </w:t>
      </w:r>
    </w:p>
    <w:p w14:paraId="190C22F7" w14:textId="75EA8FF2" w:rsidR="00005423" w:rsidRPr="00005423" w:rsidRDefault="00005423" w:rsidP="00005423">
      <w:pPr>
        <w:pStyle w:val="JudgmentNumbered"/>
        <w:numPr>
          <w:ilvl w:val="0"/>
          <w:numId w:val="0"/>
        </w:numPr>
        <w:tabs>
          <w:tab w:val="left" w:pos="993"/>
        </w:tabs>
        <w:ind w:left="993"/>
        <w:rPr>
          <w:bCs/>
          <w:sz w:val="22"/>
          <w:lang w:val="en-ZA"/>
        </w:rPr>
      </w:pPr>
      <w:r w:rsidRPr="00005423">
        <w:rPr>
          <w:bCs/>
          <w:sz w:val="22"/>
          <w:lang w:val="en-ZA"/>
        </w:rPr>
        <w:t>(b) may make any order that is just and equitable, including—</w:t>
      </w:r>
    </w:p>
    <w:p w14:paraId="01A62331" w14:textId="0FEBCE9F" w:rsidR="00005423" w:rsidRPr="00005423" w:rsidRDefault="00005423" w:rsidP="00005423">
      <w:pPr>
        <w:pStyle w:val="JudgmentNumbered"/>
        <w:numPr>
          <w:ilvl w:val="0"/>
          <w:numId w:val="0"/>
        </w:numPr>
        <w:tabs>
          <w:tab w:val="left" w:pos="993"/>
        </w:tabs>
        <w:ind w:left="1134"/>
        <w:rPr>
          <w:bCs/>
          <w:sz w:val="22"/>
          <w:lang w:val="en-ZA"/>
        </w:rPr>
      </w:pPr>
      <w:r>
        <w:rPr>
          <w:bCs/>
          <w:sz w:val="22"/>
          <w:lang w:val="en-ZA"/>
        </w:rPr>
        <w:t xml:space="preserve">  </w:t>
      </w:r>
      <w:r w:rsidRPr="00005423">
        <w:rPr>
          <w:bCs/>
          <w:sz w:val="22"/>
          <w:lang w:val="en-ZA"/>
        </w:rPr>
        <w:t xml:space="preserve"> (i) an order limiting the retrospective effect of the declaration of invalidity; and </w:t>
      </w:r>
    </w:p>
    <w:p w14:paraId="04991BE8" w14:textId="1AF7D616" w:rsidR="00005423" w:rsidRDefault="00005423" w:rsidP="00005423">
      <w:pPr>
        <w:pStyle w:val="JudgmentNumbered"/>
        <w:numPr>
          <w:ilvl w:val="0"/>
          <w:numId w:val="0"/>
        </w:numPr>
        <w:tabs>
          <w:tab w:val="left" w:pos="993"/>
        </w:tabs>
        <w:ind w:left="1440" w:hanging="567"/>
        <w:rPr>
          <w:bCs/>
          <w:szCs w:val="24"/>
          <w:lang w:val="en-ZA"/>
        </w:rPr>
      </w:pPr>
      <w:r>
        <w:rPr>
          <w:bCs/>
          <w:sz w:val="22"/>
          <w:lang w:val="en-ZA"/>
        </w:rPr>
        <w:t xml:space="preserve">      </w:t>
      </w:r>
      <w:r w:rsidRPr="00005423">
        <w:rPr>
          <w:bCs/>
          <w:sz w:val="22"/>
          <w:lang w:val="en-ZA"/>
        </w:rPr>
        <w:t xml:space="preserve">(ii) an order suspending the declaration of invalidity for any period and on any </w:t>
      </w:r>
      <w:r>
        <w:rPr>
          <w:bCs/>
          <w:sz w:val="22"/>
          <w:lang w:val="en-ZA"/>
        </w:rPr>
        <w:t>c</w:t>
      </w:r>
      <w:r w:rsidRPr="00005423">
        <w:rPr>
          <w:bCs/>
          <w:sz w:val="22"/>
          <w:lang w:val="en-ZA"/>
        </w:rPr>
        <w:t>onditions, to      allow the competent authority to correct the defect</w:t>
      </w:r>
      <w:r w:rsidRPr="00005423">
        <w:rPr>
          <w:bCs/>
          <w:szCs w:val="24"/>
          <w:lang w:val="en-ZA"/>
        </w:rPr>
        <w:t>.’</w:t>
      </w:r>
    </w:p>
    <w:p w14:paraId="2D0C5837" w14:textId="4DCD4CFA" w:rsidR="002F185E" w:rsidRPr="00F6248E" w:rsidRDefault="00005423" w:rsidP="002F185E">
      <w:pPr>
        <w:pStyle w:val="JudgmentNumbered"/>
        <w:numPr>
          <w:ilvl w:val="0"/>
          <w:numId w:val="0"/>
        </w:numPr>
        <w:tabs>
          <w:tab w:val="left" w:pos="993"/>
        </w:tabs>
        <w:rPr>
          <w:bCs/>
          <w:szCs w:val="24"/>
          <w:lang w:val="en-ZA"/>
        </w:rPr>
      </w:pPr>
      <w:r>
        <w:rPr>
          <w:bCs/>
          <w:szCs w:val="24"/>
          <w:lang w:val="en-ZA"/>
        </w:rPr>
        <w:t>[</w:t>
      </w:r>
      <w:r w:rsidR="007B5851">
        <w:rPr>
          <w:bCs/>
          <w:szCs w:val="24"/>
          <w:lang w:val="en-ZA"/>
        </w:rPr>
        <w:t>33</w:t>
      </w:r>
      <w:r>
        <w:rPr>
          <w:bCs/>
          <w:szCs w:val="24"/>
          <w:lang w:val="en-ZA"/>
        </w:rPr>
        <w:t>]</w:t>
      </w:r>
      <w:r>
        <w:rPr>
          <w:bCs/>
          <w:szCs w:val="24"/>
          <w:lang w:val="en-ZA"/>
        </w:rPr>
        <w:tab/>
      </w:r>
      <w:r w:rsidR="002F185E" w:rsidRPr="00F6248E">
        <w:rPr>
          <w:bCs/>
          <w:szCs w:val="24"/>
          <w:lang w:val="en-ZA"/>
        </w:rPr>
        <w:t xml:space="preserve">In the matter of </w:t>
      </w:r>
      <w:r w:rsidR="002F185E" w:rsidRPr="00F6248E">
        <w:rPr>
          <w:bCs/>
          <w:i/>
          <w:szCs w:val="24"/>
          <w:lang w:val="en-ZA"/>
        </w:rPr>
        <w:t>State Information Technology Agency SOC Ltd v Gijima Holdings (Pty) Ltd</w:t>
      </w:r>
      <w:r w:rsidR="007B5851">
        <w:rPr>
          <w:rStyle w:val="FootnoteReference"/>
          <w:bCs/>
          <w:szCs w:val="24"/>
          <w:lang w:val="en-ZA"/>
        </w:rPr>
        <w:footnoteReference w:id="16"/>
      </w:r>
      <w:r w:rsidR="007B5851">
        <w:rPr>
          <w:bCs/>
          <w:szCs w:val="24"/>
          <w:lang w:val="en-ZA"/>
        </w:rPr>
        <w:t xml:space="preserve"> </w:t>
      </w:r>
      <w:r w:rsidR="002F185E" w:rsidRPr="00F6248E">
        <w:rPr>
          <w:bCs/>
          <w:szCs w:val="24"/>
          <w:lang w:val="en-ZA"/>
        </w:rPr>
        <w:t>(‘</w:t>
      </w:r>
      <w:r w:rsidR="002F185E" w:rsidRPr="00F6248E">
        <w:rPr>
          <w:bCs/>
          <w:i/>
          <w:szCs w:val="24"/>
          <w:lang w:val="en-ZA"/>
        </w:rPr>
        <w:t>Gijima</w:t>
      </w:r>
      <w:r w:rsidR="002F185E" w:rsidRPr="00F6248E">
        <w:rPr>
          <w:bCs/>
          <w:szCs w:val="24"/>
          <w:lang w:val="en-ZA"/>
        </w:rPr>
        <w:t>’)</w:t>
      </w:r>
      <w:r w:rsidR="007B5851">
        <w:rPr>
          <w:bCs/>
          <w:szCs w:val="24"/>
          <w:lang w:val="en-ZA"/>
        </w:rPr>
        <w:t>,</w:t>
      </w:r>
      <w:r w:rsidR="002F185E" w:rsidRPr="00F6248E">
        <w:rPr>
          <w:bCs/>
          <w:szCs w:val="24"/>
          <w:lang w:val="en-ZA"/>
        </w:rPr>
        <w:t xml:space="preserve"> the Constitutional Court held that:</w:t>
      </w:r>
    </w:p>
    <w:p w14:paraId="69F8E1EC" w14:textId="40105658" w:rsidR="002F185E" w:rsidRDefault="002F185E" w:rsidP="002F185E">
      <w:pPr>
        <w:pStyle w:val="JudgmentNumbered"/>
        <w:numPr>
          <w:ilvl w:val="0"/>
          <w:numId w:val="0"/>
        </w:numPr>
        <w:tabs>
          <w:tab w:val="left" w:pos="993"/>
        </w:tabs>
        <w:rPr>
          <w:bCs/>
          <w:szCs w:val="24"/>
          <w:lang w:val="en-ZA"/>
        </w:rPr>
      </w:pPr>
      <w:r>
        <w:rPr>
          <w:bCs/>
          <w:sz w:val="22"/>
          <w:lang w:val="en-ZA"/>
        </w:rPr>
        <w:t>‘…</w:t>
      </w:r>
      <w:r w:rsidR="00702E00">
        <w:rPr>
          <w:bCs/>
          <w:sz w:val="22"/>
          <w:lang w:val="en-ZA"/>
        </w:rPr>
        <w:t>u</w:t>
      </w:r>
      <w:r>
        <w:rPr>
          <w:bCs/>
          <w:sz w:val="22"/>
          <w:lang w:val="en-ZA"/>
        </w:rPr>
        <w:t>nder s 172(</w:t>
      </w:r>
      <w:r w:rsidR="00702E00">
        <w:rPr>
          <w:bCs/>
          <w:sz w:val="22"/>
          <w:lang w:val="en-ZA"/>
        </w:rPr>
        <w:t>1</w:t>
      </w:r>
      <w:r>
        <w:rPr>
          <w:bCs/>
          <w:sz w:val="22"/>
          <w:lang w:val="en-ZA"/>
        </w:rPr>
        <w:t xml:space="preserve">)(b) of the Constitution, a court deciding a constitutional matter has a wide remedial power. </w:t>
      </w:r>
      <w:r w:rsidRPr="00702E00">
        <w:rPr>
          <w:bCs/>
          <w:sz w:val="22"/>
          <w:u w:val="thick"/>
          <w:lang w:val="en-ZA"/>
        </w:rPr>
        <w:t>It is empowered to make “any order that is just and equitable”. So wide is that power that it is bounded only by considerations of justice and equity</w:t>
      </w:r>
      <w:r>
        <w:rPr>
          <w:bCs/>
          <w:sz w:val="22"/>
          <w:lang w:val="en-ZA"/>
        </w:rPr>
        <w:t>.’</w:t>
      </w:r>
      <w:r w:rsidR="007B5851">
        <w:rPr>
          <w:rStyle w:val="FootnoteReference"/>
          <w:bCs/>
          <w:sz w:val="22"/>
          <w:lang w:val="en-ZA"/>
        </w:rPr>
        <w:footnoteReference w:id="17"/>
      </w:r>
      <w:r w:rsidR="00702E00" w:rsidRPr="00702E00">
        <w:rPr>
          <w:bCs/>
          <w:szCs w:val="24"/>
          <w:lang w:val="en-ZA"/>
        </w:rPr>
        <w:t>[my emphasis]</w:t>
      </w:r>
    </w:p>
    <w:p w14:paraId="1D8413E1" w14:textId="60913532" w:rsidR="003F0BC5" w:rsidRDefault="003F0BC5" w:rsidP="003F0BC5">
      <w:pPr>
        <w:pStyle w:val="JudgmentNumbered"/>
        <w:numPr>
          <w:ilvl w:val="0"/>
          <w:numId w:val="0"/>
        </w:numPr>
        <w:tabs>
          <w:tab w:val="left" w:pos="993"/>
        </w:tabs>
        <w:rPr>
          <w:bCs/>
          <w:szCs w:val="24"/>
          <w:lang w:val="en-ZA"/>
        </w:rPr>
      </w:pPr>
      <w:r w:rsidRPr="003F0BC5">
        <w:rPr>
          <w:bCs/>
          <w:szCs w:val="24"/>
          <w:lang w:val="en-ZA"/>
        </w:rPr>
        <w:t>[</w:t>
      </w:r>
      <w:r w:rsidR="007B5851">
        <w:rPr>
          <w:bCs/>
          <w:szCs w:val="24"/>
          <w:lang w:val="en-ZA"/>
        </w:rPr>
        <w:t>34</w:t>
      </w:r>
      <w:r w:rsidRPr="003F0BC5">
        <w:rPr>
          <w:bCs/>
          <w:szCs w:val="24"/>
          <w:lang w:val="en-ZA"/>
        </w:rPr>
        <w:t>]</w:t>
      </w:r>
      <w:r w:rsidRPr="003F0BC5">
        <w:rPr>
          <w:bCs/>
          <w:szCs w:val="24"/>
          <w:lang w:val="en-ZA"/>
        </w:rPr>
        <w:tab/>
        <w:t xml:space="preserve">This court has a wide discretion to craft a just and equitable order. In the absence of a plea by Lornavision, the amounts referred to by Ms Tladi and Mr Daniels remain undisputed by Lornavision. Lornavision cannot raise issues from the bar disputing the amounts which should have been contained in a plea. </w:t>
      </w:r>
    </w:p>
    <w:p w14:paraId="2360D681" w14:textId="55042C04" w:rsidR="003F0BC5" w:rsidRPr="003F0BC5" w:rsidRDefault="003F0BC5" w:rsidP="003F0BC5">
      <w:pPr>
        <w:pStyle w:val="JudgmentNumbered"/>
        <w:numPr>
          <w:ilvl w:val="0"/>
          <w:numId w:val="0"/>
        </w:numPr>
        <w:tabs>
          <w:tab w:val="left" w:pos="993"/>
        </w:tabs>
        <w:rPr>
          <w:bCs/>
          <w:szCs w:val="24"/>
          <w:lang w:val="en-ZA"/>
        </w:rPr>
      </w:pPr>
      <w:r w:rsidRPr="003F0BC5">
        <w:rPr>
          <w:bCs/>
          <w:szCs w:val="24"/>
          <w:lang w:val="en-ZA"/>
        </w:rPr>
        <w:lastRenderedPageBreak/>
        <w:t>[</w:t>
      </w:r>
      <w:r w:rsidR="00235B23">
        <w:rPr>
          <w:bCs/>
          <w:szCs w:val="24"/>
          <w:lang w:val="en-ZA"/>
        </w:rPr>
        <w:t>35</w:t>
      </w:r>
      <w:r w:rsidRPr="003F0BC5">
        <w:rPr>
          <w:bCs/>
          <w:szCs w:val="24"/>
          <w:lang w:val="en-ZA"/>
        </w:rPr>
        <w:t>]</w:t>
      </w:r>
      <w:r w:rsidRPr="003F0BC5">
        <w:rPr>
          <w:bCs/>
          <w:szCs w:val="24"/>
          <w:lang w:val="en-ZA"/>
        </w:rPr>
        <w:tab/>
        <w:t>In the context of public-procurement matters, priority should be given to the public good to ensure that the public purse is not depleted.</w:t>
      </w:r>
    </w:p>
    <w:p w14:paraId="5CE5E56D" w14:textId="78FA1893" w:rsidR="00F02AA8" w:rsidRPr="00D57199" w:rsidRDefault="00F02AA8" w:rsidP="002F185E">
      <w:pPr>
        <w:pStyle w:val="JudgmentNumbered"/>
        <w:numPr>
          <w:ilvl w:val="0"/>
          <w:numId w:val="0"/>
        </w:numPr>
        <w:tabs>
          <w:tab w:val="left" w:pos="993"/>
        </w:tabs>
        <w:rPr>
          <w:bCs/>
          <w:szCs w:val="24"/>
          <w:lang w:val="en-ZA"/>
        </w:rPr>
      </w:pPr>
      <w:r w:rsidRPr="00D57199">
        <w:rPr>
          <w:bCs/>
          <w:szCs w:val="24"/>
          <w:lang w:val="en-ZA"/>
        </w:rPr>
        <w:t>[</w:t>
      </w:r>
      <w:r w:rsidR="00235B23">
        <w:rPr>
          <w:bCs/>
          <w:szCs w:val="24"/>
          <w:lang w:val="en-ZA"/>
        </w:rPr>
        <w:t>36</w:t>
      </w:r>
      <w:r w:rsidRPr="00D57199">
        <w:rPr>
          <w:bCs/>
          <w:szCs w:val="24"/>
          <w:lang w:val="en-ZA"/>
        </w:rPr>
        <w:t>]</w:t>
      </w:r>
      <w:r w:rsidRPr="00D57199">
        <w:rPr>
          <w:bCs/>
          <w:szCs w:val="24"/>
          <w:lang w:val="en-ZA"/>
        </w:rPr>
        <w:tab/>
      </w:r>
      <w:r w:rsidR="005D797B" w:rsidRPr="00D57199">
        <w:rPr>
          <w:bCs/>
          <w:szCs w:val="24"/>
          <w:lang w:val="en-ZA"/>
        </w:rPr>
        <w:t xml:space="preserve">In exercising its discretion, this court orders that Lornavision has no </w:t>
      </w:r>
      <w:r w:rsidR="00235B23">
        <w:rPr>
          <w:bCs/>
          <w:szCs w:val="24"/>
          <w:lang w:val="en-ZA"/>
        </w:rPr>
        <w:t>entitlement to keep the profits. Accordingly, default judgment is granted in the amount of</w:t>
      </w:r>
      <w:r w:rsidR="00235B23" w:rsidRPr="00235B23">
        <w:t xml:space="preserve"> </w:t>
      </w:r>
      <w:r w:rsidR="00235B23" w:rsidRPr="00235B23">
        <w:rPr>
          <w:bCs/>
          <w:szCs w:val="24"/>
          <w:lang w:val="en-ZA"/>
        </w:rPr>
        <w:t>R62 733 556.61</w:t>
      </w:r>
      <w:r w:rsidRPr="00D57199">
        <w:rPr>
          <w:bCs/>
          <w:szCs w:val="24"/>
          <w:lang w:val="en-ZA"/>
        </w:rPr>
        <w:t xml:space="preserve"> </w:t>
      </w:r>
    </w:p>
    <w:p w14:paraId="723F0BD8" w14:textId="225C0AA0" w:rsidR="007D32E4" w:rsidRDefault="00431C31" w:rsidP="00EE6A5A">
      <w:pPr>
        <w:pStyle w:val="JudgmentNumbered"/>
        <w:numPr>
          <w:ilvl w:val="0"/>
          <w:numId w:val="0"/>
        </w:numPr>
        <w:tabs>
          <w:tab w:val="left" w:pos="993"/>
        </w:tabs>
        <w:rPr>
          <w:bCs/>
          <w:lang w:val="en-ZA"/>
        </w:rPr>
      </w:pPr>
      <w:r>
        <w:rPr>
          <w:bCs/>
          <w:lang w:val="en-ZA"/>
        </w:rPr>
        <w:t>[</w:t>
      </w:r>
      <w:r w:rsidR="00235B23">
        <w:rPr>
          <w:bCs/>
          <w:lang w:val="en-ZA"/>
        </w:rPr>
        <w:t>37</w:t>
      </w:r>
      <w:r>
        <w:rPr>
          <w:bCs/>
          <w:lang w:val="en-ZA"/>
        </w:rPr>
        <w:t>]</w:t>
      </w:r>
      <w:r>
        <w:rPr>
          <w:bCs/>
          <w:lang w:val="en-ZA"/>
        </w:rPr>
        <w:tab/>
        <w:t>Even if this court is wrong</w:t>
      </w:r>
      <w:r w:rsidR="00005423">
        <w:rPr>
          <w:bCs/>
          <w:lang w:val="en-ZA"/>
        </w:rPr>
        <w:t xml:space="preserve">, the </w:t>
      </w:r>
      <w:r>
        <w:rPr>
          <w:bCs/>
          <w:lang w:val="en-ZA"/>
        </w:rPr>
        <w:t>techn</w:t>
      </w:r>
      <w:r w:rsidR="00005423">
        <w:rPr>
          <w:bCs/>
          <w:lang w:val="en-ZA"/>
        </w:rPr>
        <w:t>icalities raised by Lornavision have no merit.</w:t>
      </w:r>
    </w:p>
    <w:p w14:paraId="0476E0ED" w14:textId="4E3AC919" w:rsidR="00E33261" w:rsidRDefault="00E33261" w:rsidP="00EE6A5A">
      <w:pPr>
        <w:pStyle w:val="JudgmentNumbered"/>
        <w:numPr>
          <w:ilvl w:val="0"/>
          <w:numId w:val="0"/>
        </w:numPr>
        <w:tabs>
          <w:tab w:val="left" w:pos="993"/>
        </w:tabs>
        <w:rPr>
          <w:b/>
          <w:bCs/>
          <w:i/>
          <w:lang w:val="en-ZA"/>
        </w:rPr>
      </w:pPr>
      <w:r w:rsidRPr="00E33261">
        <w:rPr>
          <w:b/>
          <w:bCs/>
          <w:i/>
          <w:lang w:val="en-ZA"/>
        </w:rPr>
        <w:t>The objection to Ms Tladi’s evidence</w:t>
      </w:r>
    </w:p>
    <w:p w14:paraId="27656160" w14:textId="2AA50D10" w:rsidR="00005423" w:rsidRDefault="00646883" w:rsidP="00646883">
      <w:pPr>
        <w:pStyle w:val="JudgmentNumbered"/>
        <w:numPr>
          <w:ilvl w:val="0"/>
          <w:numId w:val="0"/>
        </w:numPr>
        <w:tabs>
          <w:tab w:val="left" w:pos="993"/>
        </w:tabs>
        <w:rPr>
          <w:bCs/>
          <w:lang w:val="en-ZA"/>
        </w:rPr>
      </w:pPr>
      <w:r w:rsidRPr="00646883">
        <w:rPr>
          <w:bCs/>
          <w:lang w:val="en-ZA"/>
        </w:rPr>
        <w:t>[</w:t>
      </w:r>
      <w:r w:rsidR="00235B23">
        <w:rPr>
          <w:bCs/>
          <w:lang w:val="en-ZA"/>
        </w:rPr>
        <w:t>38</w:t>
      </w:r>
      <w:r w:rsidRPr="00646883">
        <w:rPr>
          <w:bCs/>
          <w:lang w:val="en-ZA"/>
        </w:rPr>
        <w:t>]</w:t>
      </w:r>
      <w:r>
        <w:rPr>
          <w:bCs/>
          <w:lang w:val="en-ZA"/>
        </w:rPr>
        <w:tab/>
      </w:r>
      <w:r w:rsidRPr="00646883">
        <w:rPr>
          <w:bCs/>
          <w:lang w:val="en-ZA"/>
        </w:rPr>
        <w:t xml:space="preserve">Lornavision contends that Ms Tladi’s affidavit must be ignored because it was commissioned by a representative of the SIU.  Lornavision asserts reliance on the provisions of </w:t>
      </w:r>
      <w:r>
        <w:rPr>
          <w:bCs/>
          <w:lang w:val="en-ZA"/>
        </w:rPr>
        <w:t>r</w:t>
      </w:r>
      <w:r w:rsidRPr="00646883">
        <w:rPr>
          <w:bCs/>
          <w:lang w:val="en-ZA"/>
        </w:rPr>
        <w:t xml:space="preserve">egulation 7 of the regulations governing the administering of an oath or </w:t>
      </w:r>
      <w:r>
        <w:rPr>
          <w:bCs/>
          <w:lang w:val="en-ZA"/>
        </w:rPr>
        <w:t>affirmation</w:t>
      </w:r>
      <w:r w:rsidR="00005423">
        <w:rPr>
          <w:bCs/>
          <w:lang w:val="en-ZA"/>
        </w:rPr>
        <w:t xml:space="preserve"> which states that:</w:t>
      </w:r>
    </w:p>
    <w:p w14:paraId="413F4875" w14:textId="0FD2DC98" w:rsidR="00E33261" w:rsidRDefault="00646883" w:rsidP="00646883">
      <w:pPr>
        <w:pStyle w:val="JudgmentNumbered"/>
        <w:numPr>
          <w:ilvl w:val="0"/>
          <w:numId w:val="0"/>
        </w:numPr>
        <w:tabs>
          <w:tab w:val="left" w:pos="993"/>
        </w:tabs>
        <w:rPr>
          <w:bCs/>
          <w:lang w:val="en-ZA"/>
        </w:rPr>
      </w:pPr>
      <w:r>
        <w:rPr>
          <w:bCs/>
          <w:lang w:val="en-ZA"/>
        </w:rPr>
        <w:t>‘</w:t>
      </w:r>
      <w:r w:rsidRPr="00646883">
        <w:rPr>
          <w:bCs/>
          <w:sz w:val="22"/>
          <w:lang w:val="en-ZA"/>
        </w:rPr>
        <w:t>A commissioner of oaths shall not administer an oath or affirmation relating to matter in which he has an interest</w:t>
      </w:r>
      <w:r>
        <w:rPr>
          <w:bCs/>
          <w:lang w:val="en-ZA"/>
        </w:rPr>
        <w:t>.’</w:t>
      </w:r>
      <w:r w:rsidRPr="00646883">
        <w:rPr>
          <w:bCs/>
          <w:lang w:val="en-ZA"/>
        </w:rPr>
        <w:t xml:space="preserve">  </w:t>
      </w:r>
    </w:p>
    <w:p w14:paraId="5920CA63" w14:textId="514A22EA" w:rsidR="00646883" w:rsidRDefault="00646883" w:rsidP="00646883">
      <w:pPr>
        <w:pStyle w:val="JudgmentNumbered"/>
        <w:numPr>
          <w:ilvl w:val="0"/>
          <w:numId w:val="0"/>
        </w:numPr>
        <w:tabs>
          <w:tab w:val="left" w:pos="993"/>
        </w:tabs>
        <w:rPr>
          <w:bCs/>
          <w:lang w:val="en-ZA"/>
        </w:rPr>
      </w:pPr>
      <w:r>
        <w:rPr>
          <w:bCs/>
          <w:lang w:val="en-ZA"/>
        </w:rPr>
        <w:t>[</w:t>
      </w:r>
      <w:r w:rsidR="00235B23">
        <w:rPr>
          <w:bCs/>
          <w:lang w:val="en-ZA"/>
        </w:rPr>
        <w:t>39</w:t>
      </w:r>
      <w:r>
        <w:rPr>
          <w:bCs/>
          <w:lang w:val="en-ZA"/>
        </w:rPr>
        <w:t>]</w:t>
      </w:r>
      <w:r>
        <w:rPr>
          <w:bCs/>
          <w:lang w:val="en-ZA"/>
        </w:rPr>
        <w:tab/>
      </w:r>
      <w:r w:rsidR="008D7EEC" w:rsidRPr="00646883">
        <w:rPr>
          <w:bCs/>
          <w:lang w:val="en-ZA"/>
        </w:rPr>
        <w:t>This,</w:t>
      </w:r>
      <w:r w:rsidRPr="00646883">
        <w:rPr>
          <w:bCs/>
          <w:lang w:val="en-ZA"/>
        </w:rPr>
        <w:t xml:space="preserve"> however, is not the updated and prevailing </w:t>
      </w:r>
      <w:r>
        <w:rPr>
          <w:bCs/>
          <w:lang w:val="en-ZA"/>
        </w:rPr>
        <w:t>r</w:t>
      </w:r>
      <w:r w:rsidRPr="00646883">
        <w:rPr>
          <w:bCs/>
          <w:lang w:val="en-ZA"/>
        </w:rPr>
        <w:t xml:space="preserve">egulation.  </w:t>
      </w:r>
      <w:r w:rsidR="00005423">
        <w:rPr>
          <w:bCs/>
          <w:lang w:val="en-ZA"/>
        </w:rPr>
        <w:t>T</w:t>
      </w:r>
      <w:r w:rsidRPr="00646883">
        <w:rPr>
          <w:bCs/>
          <w:lang w:val="en-ZA"/>
        </w:rPr>
        <w:t xml:space="preserve">he Schedule, </w:t>
      </w:r>
      <w:r w:rsidR="00005423">
        <w:rPr>
          <w:bCs/>
          <w:lang w:val="en-ZA"/>
        </w:rPr>
        <w:t xml:space="preserve">in the </w:t>
      </w:r>
      <w:r w:rsidRPr="00646883">
        <w:rPr>
          <w:bCs/>
          <w:lang w:val="en-ZA"/>
        </w:rPr>
        <w:t>Government Regulation 1428</w:t>
      </w:r>
      <w:r w:rsidR="00034D66">
        <w:rPr>
          <w:bCs/>
          <w:lang w:val="en-ZA"/>
        </w:rPr>
        <w:t>,</w:t>
      </w:r>
      <w:r w:rsidRPr="00646883">
        <w:rPr>
          <w:bCs/>
          <w:lang w:val="en-ZA"/>
        </w:rPr>
        <w:t xml:space="preserve"> dated 11 July 1980, substituted the previous Schedule mentioned in </w:t>
      </w:r>
      <w:r>
        <w:rPr>
          <w:bCs/>
          <w:lang w:val="en-ZA"/>
        </w:rPr>
        <w:t>r</w:t>
      </w:r>
      <w:r w:rsidRPr="00646883">
        <w:rPr>
          <w:bCs/>
          <w:lang w:val="en-ZA"/>
        </w:rPr>
        <w:t xml:space="preserve">egulation 7, para 2 </w:t>
      </w:r>
      <w:r w:rsidR="00034D66">
        <w:rPr>
          <w:bCs/>
          <w:lang w:val="en-ZA"/>
        </w:rPr>
        <w:t xml:space="preserve">and </w:t>
      </w:r>
      <w:r w:rsidRPr="00646883">
        <w:rPr>
          <w:bCs/>
          <w:lang w:val="en-ZA"/>
        </w:rPr>
        <w:t xml:space="preserve">exempts from the provisions of </w:t>
      </w:r>
      <w:r>
        <w:rPr>
          <w:bCs/>
          <w:lang w:val="en-ZA"/>
        </w:rPr>
        <w:t>r</w:t>
      </w:r>
      <w:r w:rsidRPr="00646883">
        <w:rPr>
          <w:bCs/>
          <w:lang w:val="en-ZA"/>
        </w:rPr>
        <w:t>egulation 7(1)</w:t>
      </w:r>
      <w:r>
        <w:rPr>
          <w:bCs/>
          <w:lang w:val="en-ZA"/>
        </w:rPr>
        <w:t xml:space="preserve"> </w:t>
      </w:r>
      <w:r w:rsidR="00034D66">
        <w:rPr>
          <w:bCs/>
          <w:lang w:val="en-ZA"/>
        </w:rPr>
        <w:t>the following:</w:t>
      </w:r>
    </w:p>
    <w:p w14:paraId="6A4FAAD6" w14:textId="490A0C0A" w:rsidR="00646883" w:rsidRDefault="00646883" w:rsidP="00646883">
      <w:pPr>
        <w:pStyle w:val="JudgmentNumbered"/>
        <w:numPr>
          <w:ilvl w:val="0"/>
          <w:numId w:val="0"/>
        </w:numPr>
        <w:tabs>
          <w:tab w:val="left" w:pos="993"/>
        </w:tabs>
        <w:rPr>
          <w:bCs/>
          <w:lang w:val="en-ZA"/>
        </w:rPr>
      </w:pPr>
      <w:r>
        <w:rPr>
          <w:bCs/>
          <w:lang w:val="en-ZA"/>
        </w:rPr>
        <w:t>‘</w:t>
      </w:r>
      <w:r w:rsidRPr="00646883">
        <w:rPr>
          <w:bCs/>
          <w:sz w:val="22"/>
          <w:lang w:val="en-ZA"/>
        </w:rPr>
        <w:t>A declaration taken by a commissioner of oaths who is not an attorney and whose only interest therein arises out of his employment and in the course of his duty</w:t>
      </w:r>
      <w:r>
        <w:rPr>
          <w:bCs/>
          <w:lang w:val="en-ZA"/>
        </w:rPr>
        <w:t>.’</w:t>
      </w:r>
    </w:p>
    <w:p w14:paraId="0E9978C1" w14:textId="547CC297" w:rsidR="00646883" w:rsidRDefault="00646883" w:rsidP="0091208F">
      <w:pPr>
        <w:pStyle w:val="JudgmentNumbered"/>
        <w:numPr>
          <w:ilvl w:val="0"/>
          <w:numId w:val="0"/>
        </w:numPr>
        <w:tabs>
          <w:tab w:val="left" w:pos="993"/>
        </w:tabs>
        <w:rPr>
          <w:bCs/>
          <w:lang w:val="en-ZA"/>
        </w:rPr>
      </w:pPr>
      <w:r>
        <w:rPr>
          <w:bCs/>
          <w:lang w:val="en-ZA"/>
        </w:rPr>
        <w:t>[</w:t>
      </w:r>
      <w:r w:rsidR="00235B23">
        <w:rPr>
          <w:bCs/>
          <w:lang w:val="en-ZA"/>
        </w:rPr>
        <w:t>40</w:t>
      </w:r>
      <w:r>
        <w:rPr>
          <w:bCs/>
          <w:lang w:val="en-ZA"/>
        </w:rPr>
        <w:t>]</w:t>
      </w:r>
      <w:r>
        <w:rPr>
          <w:bCs/>
          <w:lang w:val="en-ZA"/>
        </w:rPr>
        <w:tab/>
      </w:r>
      <w:r w:rsidRPr="00646883">
        <w:rPr>
          <w:bCs/>
          <w:lang w:val="en-ZA"/>
        </w:rPr>
        <w:t>Mr Theron, the SIU representative, falls squarely within the</w:t>
      </w:r>
      <w:r>
        <w:rPr>
          <w:bCs/>
          <w:lang w:val="en-ZA"/>
        </w:rPr>
        <w:t xml:space="preserve"> </w:t>
      </w:r>
      <w:r w:rsidRPr="00646883">
        <w:rPr>
          <w:bCs/>
          <w:lang w:val="en-ZA"/>
        </w:rPr>
        <w:t xml:space="preserve">exemption.  He is not an attorney and his only interest in the matter arises out of his employment with the SIU and in the course of his duty.  </w:t>
      </w:r>
      <w:r w:rsidR="00520578" w:rsidRPr="00646883">
        <w:rPr>
          <w:bCs/>
          <w:lang w:val="en-ZA"/>
        </w:rPr>
        <w:t>So,</w:t>
      </w:r>
      <w:r w:rsidRPr="00646883">
        <w:rPr>
          <w:bCs/>
          <w:lang w:val="en-ZA"/>
        </w:rPr>
        <w:t xml:space="preserve"> the point taken by Lornavision as to the inadmissibility of Ms Tladi’s affidavit is</w:t>
      </w:r>
      <w:r>
        <w:rPr>
          <w:bCs/>
          <w:lang w:val="en-ZA"/>
        </w:rPr>
        <w:t xml:space="preserve"> of no assistance to Lornavision.</w:t>
      </w:r>
      <w:r w:rsidR="00EF3313">
        <w:rPr>
          <w:bCs/>
          <w:lang w:val="en-ZA"/>
        </w:rPr>
        <w:t xml:space="preserve"> </w:t>
      </w:r>
      <w:r w:rsidRPr="00646883">
        <w:rPr>
          <w:bCs/>
          <w:lang w:val="en-ZA"/>
        </w:rPr>
        <w:t xml:space="preserve">Ms Tladi has </w:t>
      </w:r>
      <w:r w:rsidR="003F0BC5">
        <w:rPr>
          <w:bCs/>
          <w:lang w:val="en-ZA"/>
        </w:rPr>
        <w:t xml:space="preserve">also </w:t>
      </w:r>
      <w:r w:rsidRPr="00646883">
        <w:rPr>
          <w:bCs/>
          <w:lang w:val="en-ZA"/>
        </w:rPr>
        <w:t xml:space="preserve">delivered a supplementary affidavit in which she again confirms under oath the veracity and contents of her affidavit that she deposed to in front of </w:t>
      </w:r>
      <w:r>
        <w:rPr>
          <w:bCs/>
          <w:lang w:val="en-ZA"/>
        </w:rPr>
        <w:t xml:space="preserve">Mr </w:t>
      </w:r>
      <w:r w:rsidRPr="00646883">
        <w:rPr>
          <w:bCs/>
          <w:lang w:val="en-ZA"/>
        </w:rPr>
        <w:t>Theron</w:t>
      </w:r>
      <w:r>
        <w:rPr>
          <w:bCs/>
          <w:lang w:val="en-ZA"/>
        </w:rPr>
        <w:t xml:space="preserve">. This is in line with the decision of </w:t>
      </w:r>
      <w:r w:rsidRPr="00235B23">
        <w:rPr>
          <w:bCs/>
          <w:i/>
          <w:lang w:val="en-ZA"/>
        </w:rPr>
        <w:t>Radue Weir Holdings Ltd t/a Weirs Cash &amp; Carry v Galleus Investments CC t/a Bargain Wholesalers</w:t>
      </w:r>
      <w:r w:rsidR="008D7EEC">
        <w:rPr>
          <w:bCs/>
          <w:lang w:val="en-ZA"/>
        </w:rPr>
        <w:t>,</w:t>
      </w:r>
      <w:r w:rsidR="00235B23">
        <w:rPr>
          <w:rStyle w:val="FootnoteReference"/>
          <w:bCs/>
          <w:lang w:val="en-ZA"/>
        </w:rPr>
        <w:footnoteReference w:id="18"/>
      </w:r>
      <w:r>
        <w:rPr>
          <w:bCs/>
          <w:lang w:val="en-ZA"/>
        </w:rPr>
        <w:t xml:space="preserve"> where the court held that someone who </w:t>
      </w:r>
      <w:r w:rsidR="0091208F">
        <w:rPr>
          <w:bCs/>
          <w:lang w:val="en-ZA"/>
        </w:rPr>
        <w:t xml:space="preserve">relies on </w:t>
      </w:r>
      <w:r>
        <w:rPr>
          <w:bCs/>
          <w:lang w:val="en-ZA"/>
        </w:rPr>
        <w:t xml:space="preserve">an un-commissioned affidavit should </w:t>
      </w:r>
      <w:r w:rsidR="0091208F">
        <w:rPr>
          <w:bCs/>
          <w:lang w:val="en-ZA"/>
        </w:rPr>
        <w:t xml:space="preserve">be given the opportunity to </w:t>
      </w:r>
      <w:r w:rsidR="0091208F" w:rsidRPr="0091208F">
        <w:rPr>
          <w:bCs/>
          <w:lang w:val="en-ZA"/>
        </w:rPr>
        <w:t>re-attest</w:t>
      </w:r>
      <w:r w:rsidR="0091208F">
        <w:rPr>
          <w:bCs/>
          <w:lang w:val="en-ZA"/>
        </w:rPr>
        <w:t xml:space="preserve"> it</w:t>
      </w:r>
      <w:r w:rsidR="0091208F" w:rsidRPr="0091208F">
        <w:rPr>
          <w:bCs/>
          <w:lang w:val="en-ZA"/>
        </w:rPr>
        <w:t xml:space="preserve"> before a competent commissioner of oaths</w:t>
      </w:r>
      <w:r w:rsidR="00034D66">
        <w:rPr>
          <w:bCs/>
          <w:lang w:val="en-ZA"/>
        </w:rPr>
        <w:t>.</w:t>
      </w:r>
      <w:r w:rsidR="00235B23">
        <w:rPr>
          <w:rStyle w:val="FootnoteReference"/>
          <w:bCs/>
          <w:lang w:val="en-ZA"/>
        </w:rPr>
        <w:footnoteReference w:id="19"/>
      </w:r>
      <w:r w:rsidR="00235B23">
        <w:rPr>
          <w:bCs/>
          <w:lang w:val="en-ZA"/>
        </w:rPr>
        <w:t xml:space="preserve"> </w:t>
      </w:r>
      <w:r w:rsidR="00034D66">
        <w:rPr>
          <w:bCs/>
          <w:lang w:val="en-ZA"/>
        </w:rPr>
        <w:t>This is wh</w:t>
      </w:r>
      <w:r w:rsidR="0091208F">
        <w:rPr>
          <w:bCs/>
          <w:lang w:val="en-ZA"/>
        </w:rPr>
        <w:t>at Ms Tladi did</w:t>
      </w:r>
      <w:r w:rsidR="0091208F" w:rsidRPr="0091208F">
        <w:rPr>
          <w:bCs/>
          <w:lang w:val="en-ZA"/>
        </w:rPr>
        <w:t>.</w:t>
      </w:r>
    </w:p>
    <w:p w14:paraId="12794AD3" w14:textId="32E51FA0" w:rsidR="0091208F" w:rsidRDefault="0091208F" w:rsidP="0091208F">
      <w:pPr>
        <w:pStyle w:val="JudgmentNumbered"/>
        <w:numPr>
          <w:ilvl w:val="0"/>
          <w:numId w:val="0"/>
        </w:numPr>
        <w:tabs>
          <w:tab w:val="left" w:pos="993"/>
        </w:tabs>
        <w:rPr>
          <w:bCs/>
          <w:lang w:val="en-ZA"/>
        </w:rPr>
      </w:pPr>
      <w:r>
        <w:rPr>
          <w:bCs/>
          <w:lang w:val="en-ZA"/>
        </w:rPr>
        <w:t>[</w:t>
      </w:r>
      <w:r w:rsidR="00235B23">
        <w:rPr>
          <w:bCs/>
          <w:lang w:val="en-ZA"/>
        </w:rPr>
        <w:t>41</w:t>
      </w:r>
      <w:r>
        <w:rPr>
          <w:bCs/>
          <w:lang w:val="en-ZA"/>
        </w:rPr>
        <w:t>]</w:t>
      </w:r>
      <w:r>
        <w:rPr>
          <w:bCs/>
          <w:lang w:val="en-ZA"/>
        </w:rPr>
        <w:tab/>
        <w:t xml:space="preserve">Even if </w:t>
      </w:r>
      <w:r w:rsidRPr="0091208F">
        <w:rPr>
          <w:bCs/>
          <w:lang w:val="en-ZA"/>
        </w:rPr>
        <w:t>Ms Tladi had not deposed to a further supplementary affidavit</w:t>
      </w:r>
      <w:r w:rsidR="00235B23">
        <w:rPr>
          <w:bCs/>
          <w:lang w:val="en-ZA"/>
        </w:rPr>
        <w:t>,</w:t>
      </w:r>
      <w:r w:rsidRPr="0091208F">
        <w:rPr>
          <w:bCs/>
          <w:lang w:val="en-ZA"/>
        </w:rPr>
        <w:t xml:space="preserve"> this </w:t>
      </w:r>
      <w:r>
        <w:rPr>
          <w:bCs/>
          <w:lang w:val="en-ZA"/>
        </w:rPr>
        <w:t>c</w:t>
      </w:r>
      <w:r w:rsidRPr="0091208F">
        <w:rPr>
          <w:bCs/>
          <w:lang w:val="en-ZA"/>
        </w:rPr>
        <w:t>ourt still has a discretion to receive an affidavit attested otherwise than in accordance with the regulations</w:t>
      </w:r>
      <w:r w:rsidR="00034D66">
        <w:rPr>
          <w:bCs/>
          <w:lang w:val="en-ZA"/>
        </w:rPr>
        <w:t>,</w:t>
      </w:r>
      <w:r w:rsidRPr="0091208F">
        <w:rPr>
          <w:bCs/>
          <w:lang w:val="en-ZA"/>
        </w:rPr>
        <w:t xml:space="preserve"> </w:t>
      </w:r>
      <w:r w:rsidRPr="0091208F">
        <w:rPr>
          <w:bCs/>
          <w:lang w:val="en-ZA"/>
        </w:rPr>
        <w:lastRenderedPageBreak/>
        <w:t>depending upon whether substantial compliance with them has been proved or not.  The regulations are directory not peremptory.</w:t>
      </w:r>
      <w:r w:rsidR="00235B23">
        <w:rPr>
          <w:rStyle w:val="FootnoteReference"/>
          <w:bCs/>
          <w:lang w:val="en-ZA"/>
        </w:rPr>
        <w:footnoteReference w:id="20"/>
      </w:r>
    </w:p>
    <w:p w14:paraId="4F09094C" w14:textId="5142107E" w:rsidR="0091208F" w:rsidRDefault="0091208F" w:rsidP="0091208F">
      <w:pPr>
        <w:pStyle w:val="JudgmentNumbered"/>
        <w:numPr>
          <w:ilvl w:val="0"/>
          <w:numId w:val="0"/>
        </w:numPr>
        <w:tabs>
          <w:tab w:val="left" w:pos="993"/>
        </w:tabs>
        <w:rPr>
          <w:bCs/>
          <w:lang w:val="en-ZA"/>
        </w:rPr>
      </w:pPr>
      <w:r>
        <w:rPr>
          <w:bCs/>
          <w:lang w:val="en-ZA"/>
        </w:rPr>
        <w:t>[</w:t>
      </w:r>
      <w:r w:rsidR="00235B23">
        <w:rPr>
          <w:bCs/>
          <w:lang w:val="en-ZA"/>
        </w:rPr>
        <w:t>42</w:t>
      </w:r>
      <w:r>
        <w:rPr>
          <w:bCs/>
          <w:lang w:val="en-ZA"/>
        </w:rPr>
        <w:t>]</w:t>
      </w:r>
      <w:r>
        <w:rPr>
          <w:bCs/>
          <w:lang w:val="en-ZA"/>
        </w:rPr>
        <w:tab/>
        <w:t xml:space="preserve">As a result, there </w:t>
      </w:r>
      <w:r w:rsidR="00585226">
        <w:rPr>
          <w:bCs/>
          <w:lang w:val="en-ZA"/>
        </w:rPr>
        <w:t xml:space="preserve">is </w:t>
      </w:r>
      <w:r w:rsidRPr="0091208F">
        <w:rPr>
          <w:bCs/>
          <w:lang w:val="en-ZA"/>
        </w:rPr>
        <w:t xml:space="preserve">no legal basis upon which the affidavit of Ms Tladi’s should be regarded as inadmissible.  </w:t>
      </w:r>
      <w:r w:rsidR="003F0BC5">
        <w:rPr>
          <w:bCs/>
          <w:lang w:val="en-ZA"/>
        </w:rPr>
        <w:t>As stated supra in paragraph [</w:t>
      </w:r>
      <w:r w:rsidR="00235B23">
        <w:rPr>
          <w:bCs/>
          <w:lang w:val="en-ZA"/>
        </w:rPr>
        <w:t>34</w:t>
      </w:r>
      <w:r w:rsidR="003F0BC5">
        <w:rPr>
          <w:bCs/>
          <w:lang w:val="en-ZA"/>
        </w:rPr>
        <w:t xml:space="preserve">], the affidavit of Ms Tladi </w:t>
      </w:r>
      <w:r w:rsidRPr="0091208F">
        <w:rPr>
          <w:bCs/>
          <w:lang w:val="en-ZA"/>
        </w:rPr>
        <w:t>stands uncontested and undisputed. Lornavision has not countered, disputed, denied or responded to a single one of the factual allegations that she has made in her affidavit.</w:t>
      </w:r>
      <w:r w:rsidR="00633102">
        <w:rPr>
          <w:bCs/>
          <w:lang w:val="en-ZA"/>
        </w:rPr>
        <w:t xml:space="preserve">  In the replying affidavit, in respect to the lifting of the bar</w:t>
      </w:r>
      <w:r w:rsidR="00E21EA3">
        <w:rPr>
          <w:bCs/>
          <w:lang w:val="en-ZA"/>
        </w:rPr>
        <w:t>,</w:t>
      </w:r>
      <w:r w:rsidR="00633102">
        <w:rPr>
          <w:bCs/>
          <w:lang w:val="en-ZA"/>
        </w:rPr>
        <w:t xml:space="preserve"> Lornavision made no comments in respect to Ms Tladi’s affidavit.</w:t>
      </w:r>
      <w:r w:rsidR="00E21EA3">
        <w:rPr>
          <w:bCs/>
          <w:lang w:val="en-ZA"/>
        </w:rPr>
        <w:t xml:space="preserve"> All that was said in the replying affidavit is that the affidavit was not properly before the court. There was no plea over in this respect.</w:t>
      </w:r>
    </w:p>
    <w:p w14:paraId="6584FA93" w14:textId="2F1E8C12" w:rsidR="0091208F" w:rsidRDefault="0091208F" w:rsidP="0091208F">
      <w:pPr>
        <w:pStyle w:val="JudgmentNumbered"/>
        <w:numPr>
          <w:ilvl w:val="0"/>
          <w:numId w:val="0"/>
        </w:numPr>
        <w:tabs>
          <w:tab w:val="left" w:pos="993"/>
        </w:tabs>
        <w:rPr>
          <w:bCs/>
          <w:lang w:val="en-ZA"/>
        </w:rPr>
      </w:pPr>
      <w:r>
        <w:rPr>
          <w:bCs/>
          <w:lang w:val="en-ZA"/>
        </w:rPr>
        <w:t>[</w:t>
      </w:r>
      <w:r w:rsidR="00235B23">
        <w:rPr>
          <w:bCs/>
          <w:lang w:val="en-ZA"/>
        </w:rPr>
        <w:t>43</w:t>
      </w:r>
      <w:r>
        <w:rPr>
          <w:bCs/>
          <w:lang w:val="en-ZA"/>
        </w:rPr>
        <w:t>]</w:t>
      </w:r>
      <w:r>
        <w:rPr>
          <w:bCs/>
          <w:lang w:val="en-ZA"/>
        </w:rPr>
        <w:tab/>
        <w:t xml:space="preserve">This court accordingly accepts </w:t>
      </w:r>
      <w:r w:rsidR="003F0BC5">
        <w:rPr>
          <w:bCs/>
          <w:lang w:val="en-ZA"/>
        </w:rPr>
        <w:t>the conten</w:t>
      </w:r>
      <w:r w:rsidR="00520578">
        <w:rPr>
          <w:bCs/>
          <w:lang w:val="en-ZA"/>
        </w:rPr>
        <w:t>t</w:t>
      </w:r>
      <w:r w:rsidR="003F0BC5">
        <w:rPr>
          <w:bCs/>
          <w:lang w:val="en-ZA"/>
        </w:rPr>
        <w:t xml:space="preserve">s of Ms Tladi’s affidavit which states </w:t>
      </w:r>
      <w:r>
        <w:rPr>
          <w:bCs/>
          <w:lang w:val="en-ZA"/>
        </w:rPr>
        <w:t>that:</w:t>
      </w:r>
    </w:p>
    <w:p w14:paraId="251810CB" w14:textId="3DEEE4D6" w:rsidR="0091208F" w:rsidRDefault="0091208F" w:rsidP="007D32E4">
      <w:pPr>
        <w:pStyle w:val="JudgmentNumbered"/>
        <w:numPr>
          <w:ilvl w:val="0"/>
          <w:numId w:val="0"/>
        </w:numPr>
        <w:tabs>
          <w:tab w:val="left" w:pos="993"/>
        </w:tabs>
        <w:rPr>
          <w:bCs/>
          <w:lang w:val="en-ZA"/>
        </w:rPr>
      </w:pPr>
      <w:r>
        <w:rPr>
          <w:bCs/>
          <w:lang w:val="en-ZA"/>
        </w:rPr>
        <w:t>(a)</w:t>
      </w:r>
      <w:r w:rsidRPr="0091208F">
        <w:t xml:space="preserve"> </w:t>
      </w:r>
      <w:r w:rsidR="008507D2">
        <w:tab/>
      </w:r>
      <w:r w:rsidR="003F0BC5">
        <w:t>she i</w:t>
      </w:r>
      <w:r w:rsidRPr="0091208F">
        <w:rPr>
          <w:bCs/>
          <w:lang w:val="en-ZA"/>
        </w:rPr>
        <w:t>nformed Mr Bas</w:t>
      </w:r>
      <w:r w:rsidR="00034D66">
        <w:rPr>
          <w:bCs/>
          <w:lang w:val="en-ZA"/>
        </w:rPr>
        <w:t>son that there was nothing new ‘</w:t>
      </w:r>
      <w:r w:rsidRPr="0091208F">
        <w:rPr>
          <w:bCs/>
          <w:lang w:val="en-ZA"/>
        </w:rPr>
        <w:t>by way of efficiency, advances, or additions in val</w:t>
      </w:r>
      <w:r w:rsidR="00034D66">
        <w:rPr>
          <w:bCs/>
          <w:lang w:val="en-ZA"/>
        </w:rPr>
        <w:t>ue..’</w:t>
      </w:r>
      <w:r w:rsidRPr="0091208F">
        <w:rPr>
          <w:bCs/>
          <w:lang w:val="en-ZA"/>
        </w:rPr>
        <w:t xml:space="preserve"> in what Lornavision proposed;</w:t>
      </w:r>
      <w:r w:rsidR="00235B23">
        <w:rPr>
          <w:rStyle w:val="FootnoteReference"/>
          <w:bCs/>
          <w:lang w:val="en-ZA"/>
        </w:rPr>
        <w:footnoteReference w:id="21"/>
      </w:r>
      <w:r w:rsidRPr="0091208F">
        <w:rPr>
          <w:bCs/>
          <w:lang w:val="en-ZA"/>
        </w:rPr>
        <w:t xml:space="preserve"> </w:t>
      </w:r>
    </w:p>
    <w:p w14:paraId="51DE2F7E" w14:textId="1A976AF4" w:rsidR="0091208F" w:rsidRDefault="0091208F" w:rsidP="007D32E4">
      <w:pPr>
        <w:pStyle w:val="JudgmentNumbered"/>
        <w:numPr>
          <w:ilvl w:val="0"/>
          <w:numId w:val="0"/>
        </w:numPr>
        <w:tabs>
          <w:tab w:val="left" w:pos="993"/>
        </w:tabs>
        <w:rPr>
          <w:bCs/>
          <w:lang w:val="en-ZA"/>
        </w:rPr>
      </w:pPr>
      <w:r>
        <w:rPr>
          <w:bCs/>
          <w:lang w:val="en-ZA"/>
        </w:rPr>
        <w:t>(b)</w:t>
      </w:r>
      <w:r>
        <w:rPr>
          <w:bCs/>
          <w:lang w:val="en-ZA"/>
        </w:rPr>
        <w:tab/>
      </w:r>
      <w:r w:rsidRPr="0091208F">
        <w:rPr>
          <w:bCs/>
          <w:lang w:val="en-ZA"/>
        </w:rPr>
        <w:t>the SABC was already in the process of doing what Lornavision offered, the approach by Lornavision demonstrated no substantial costs saving to SABC and Lornavision already had its own online platfor</w:t>
      </w:r>
      <w:r>
        <w:rPr>
          <w:bCs/>
          <w:lang w:val="en-ZA"/>
        </w:rPr>
        <w:t>m;</w:t>
      </w:r>
      <w:r w:rsidR="00235B23">
        <w:rPr>
          <w:rStyle w:val="FootnoteReference"/>
          <w:bCs/>
          <w:lang w:val="en-ZA"/>
        </w:rPr>
        <w:footnoteReference w:id="22"/>
      </w:r>
    </w:p>
    <w:p w14:paraId="76068D18" w14:textId="1685804B" w:rsidR="0091208F" w:rsidRDefault="0091208F" w:rsidP="007D32E4">
      <w:pPr>
        <w:pStyle w:val="JudgmentNumbered"/>
        <w:numPr>
          <w:ilvl w:val="0"/>
          <w:numId w:val="0"/>
        </w:numPr>
        <w:tabs>
          <w:tab w:val="left" w:pos="993"/>
        </w:tabs>
        <w:rPr>
          <w:bCs/>
          <w:lang w:val="en-ZA"/>
        </w:rPr>
      </w:pPr>
      <w:r>
        <w:rPr>
          <w:bCs/>
          <w:lang w:val="en-ZA"/>
        </w:rPr>
        <w:t>(c)</w:t>
      </w:r>
      <w:r>
        <w:rPr>
          <w:bCs/>
          <w:lang w:val="en-ZA"/>
        </w:rPr>
        <w:tab/>
      </w:r>
      <w:r w:rsidRPr="0091208F">
        <w:rPr>
          <w:bCs/>
          <w:lang w:val="en-ZA"/>
        </w:rPr>
        <w:t xml:space="preserve">the </w:t>
      </w:r>
      <w:r w:rsidR="008507D2">
        <w:rPr>
          <w:bCs/>
          <w:lang w:val="en-ZA"/>
        </w:rPr>
        <w:t>Customer Communications Service (‘</w:t>
      </w:r>
      <w:r w:rsidRPr="0091208F">
        <w:rPr>
          <w:bCs/>
          <w:lang w:val="en-ZA"/>
        </w:rPr>
        <w:t>CCS</w:t>
      </w:r>
      <w:r w:rsidR="008507D2">
        <w:rPr>
          <w:bCs/>
          <w:lang w:val="en-ZA"/>
        </w:rPr>
        <w:t>’)</w:t>
      </w:r>
      <w:r w:rsidRPr="0091208F">
        <w:rPr>
          <w:bCs/>
          <w:lang w:val="en-ZA"/>
        </w:rPr>
        <w:t xml:space="preserve"> system never produced the increased collections and revenue as promised by Lornavision and even though the SABC paid for the CCS system in full </w:t>
      </w:r>
      <w:r>
        <w:rPr>
          <w:bCs/>
          <w:lang w:val="en-ZA"/>
        </w:rPr>
        <w:t>it never had control over it;</w:t>
      </w:r>
      <w:r w:rsidR="00235B23">
        <w:rPr>
          <w:rStyle w:val="FootnoteReference"/>
          <w:bCs/>
          <w:lang w:val="en-ZA"/>
        </w:rPr>
        <w:footnoteReference w:id="23"/>
      </w:r>
    </w:p>
    <w:p w14:paraId="260FE289" w14:textId="4B79B0EE" w:rsidR="00235B23" w:rsidRDefault="008507D2" w:rsidP="007D32E4">
      <w:pPr>
        <w:pStyle w:val="JudgmentNumbered"/>
        <w:numPr>
          <w:ilvl w:val="0"/>
          <w:numId w:val="0"/>
        </w:numPr>
        <w:tabs>
          <w:tab w:val="left" w:pos="993"/>
        </w:tabs>
        <w:rPr>
          <w:bCs/>
          <w:lang w:val="en-ZA"/>
        </w:rPr>
      </w:pPr>
      <w:r>
        <w:rPr>
          <w:bCs/>
          <w:lang w:val="en-ZA"/>
        </w:rPr>
        <w:t>(d)</w:t>
      </w:r>
      <w:r>
        <w:rPr>
          <w:bCs/>
          <w:lang w:val="en-ZA"/>
        </w:rPr>
        <w:tab/>
      </w:r>
      <w:r w:rsidRPr="008507D2">
        <w:rPr>
          <w:bCs/>
          <w:lang w:val="en-ZA"/>
        </w:rPr>
        <w:t xml:space="preserve">on 25 February 2016 Lornavision presented a report to the SABC in which it represented that </w:t>
      </w:r>
      <w:r w:rsidR="00034D66">
        <w:rPr>
          <w:bCs/>
          <w:lang w:val="en-ZA"/>
        </w:rPr>
        <w:t>it had a 23% success rate when in</w:t>
      </w:r>
      <w:r w:rsidRPr="008507D2">
        <w:rPr>
          <w:bCs/>
          <w:lang w:val="en-ZA"/>
        </w:rPr>
        <w:t xml:space="preserve"> fact this was false and amounted to a false representation;</w:t>
      </w:r>
      <w:r w:rsidR="00235B23">
        <w:rPr>
          <w:rStyle w:val="FootnoteReference"/>
          <w:bCs/>
          <w:lang w:val="en-ZA"/>
        </w:rPr>
        <w:footnoteReference w:id="24"/>
      </w:r>
    </w:p>
    <w:p w14:paraId="1AEC1B60" w14:textId="4121DF20" w:rsidR="008507D2" w:rsidRDefault="008507D2" w:rsidP="007D32E4">
      <w:pPr>
        <w:pStyle w:val="JudgmentNumbered"/>
        <w:numPr>
          <w:ilvl w:val="0"/>
          <w:numId w:val="0"/>
        </w:numPr>
        <w:tabs>
          <w:tab w:val="left" w:pos="993"/>
        </w:tabs>
        <w:rPr>
          <w:bCs/>
          <w:lang w:val="en-ZA"/>
        </w:rPr>
      </w:pPr>
      <w:r>
        <w:rPr>
          <w:bCs/>
          <w:lang w:val="en-ZA"/>
        </w:rPr>
        <w:lastRenderedPageBreak/>
        <w:t>(e)</w:t>
      </w:r>
      <w:r>
        <w:rPr>
          <w:bCs/>
          <w:lang w:val="en-ZA"/>
        </w:rPr>
        <w:tab/>
      </w:r>
      <w:r w:rsidRPr="008507D2">
        <w:rPr>
          <w:bCs/>
          <w:lang w:val="en-ZA"/>
        </w:rPr>
        <w:t xml:space="preserve">the appointment of Lornavision together with the cancellation of the </w:t>
      </w:r>
      <w:r w:rsidR="00486049">
        <w:rPr>
          <w:bCs/>
          <w:lang w:val="en-ZA"/>
        </w:rPr>
        <w:t>debt collection agenda (‘</w:t>
      </w:r>
      <w:r w:rsidRPr="008507D2">
        <w:rPr>
          <w:bCs/>
          <w:lang w:val="en-ZA"/>
        </w:rPr>
        <w:t>DCA</w:t>
      </w:r>
      <w:r w:rsidR="00486049">
        <w:rPr>
          <w:bCs/>
          <w:lang w:val="en-ZA"/>
        </w:rPr>
        <w:t>’)</w:t>
      </w:r>
      <w:r w:rsidRPr="008507D2">
        <w:rPr>
          <w:bCs/>
          <w:lang w:val="en-ZA"/>
        </w:rPr>
        <w:t xml:space="preserve"> contracts caused the SABC to incur a substantial decrease in co</w:t>
      </w:r>
      <w:r w:rsidR="00486049">
        <w:rPr>
          <w:bCs/>
          <w:lang w:val="en-ZA"/>
        </w:rPr>
        <w:t>llections from arrear rentals;</w:t>
      </w:r>
      <w:r w:rsidR="00235B23">
        <w:rPr>
          <w:rStyle w:val="FootnoteReference"/>
          <w:bCs/>
          <w:lang w:val="en-ZA"/>
        </w:rPr>
        <w:footnoteReference w:id="25"/>
      </w:r>
      <w:r w:rsidR="00486049">
        <w:rPr>
          <w:bCs/>
          <w:lang w:val="en-ZA"/>
        </w:rPr>
        <w:t xml:space="preserve"> </w:t>
      </w:r>
      <w:r w:rsidRPr="008507D2">
        <w:rPr>
          <w:bCs/>
          <w:lang w:val="en-ZA"/>
        </w:rPr>
        <w:t>and</w:t>
      </w:r>
      <w:r w:rsidR="00486049">
        <w:rPr>
          <w:bCs/>
          <w:lang w:val="en-ZA"/>
        </w:rPr>
        <w:t>,</w:t>
      </w:r>
    </w:p>
    <w:p w14:paraId="6DC42637" w14:textId="6636031A" w:rsidR="00486049" w:rsidRDefault="00486049" w:rsidP="007D32E4">
      <w:pPr>
        <w:pStyle w:val="JudgmentNumbered"/>
        <w:numPr>
          <w:ilvl w:val="0"/>
          <w:numId w:val="0"/>
        </w:numPr>
        <w:tabs>
          <w:tab w:val="left" w:pos="993"/>
        </w:tabs>
        <w:rPr>
          <w:bCs/>
          <w:lang w:val="en-ZA"/>
        </w:rPr>
      </w:pPr>
      <w:r>
        <w:rPr>
          <w:bCs/>
          <w:lang w:val="en-ZA"/>
        </w:rPr>
        <w:t>(f)</w:t>
      </w:r>
      <w:r>
        <w:rPr>
          <w:bCs/>
          <w:lang w:val="en-ZA"/>
        </w:rPr>
        <w:tab/>
      </w:r>
      <w:r w:rsidRPr="00486049">
        <w:rPr>
          <w:bCs/>
          <w:lang w:val="en-ZA"/>
        </w:rPr>
        <w:t>the appointment of Lornavision caused the SABC a substantial drop in revenue collection.</w:t>
      </w:r>
      <w:r w:rsidR="00235B23">
        <w:rPr>
          <w:rStyle w:val="FootnoteReference"/>
          <w:bCs/>
          <w:lang w:val="en-ZA"/>
        </w:rPr>
        <w:footnoteReference w:id="26"/>
      </w:r>
    </w:p>
    <w:p w14:paraId="2AE3B945" w14:textId="5B171C7E" w:rsidR="007D32E4" w:rsidRPr="008507D2" w:rsidRDefault="00486049" w:rsidP="007D32E4">
      <w:pPr>
        <w:pStyle w:val="JudgmentNumbered"/>
        <w:numPr>
          <w:ilvl w:val="0"/>
          <w:numId w:val="0"/>
        </w:numPr>
        <w:tabs>
          <w:tab w:val="left" w:pos="993"/>
        </w:tabs>
        <w:rPr>
          <w:bCs/>
          <w:lang w:val="en-ZA"/>
        </w:rPr>
      </w:pPr>
      <w:r>
        <w:rPr>
          <w:bCs/>
          <w:lang w:val="en-ZA"/>
        </w:rPr>
        <w:t>[</w:t>
      </w:r>
      <w:r w:rsidR="00235B23">
        <w:rPr>
          <w:bCs/>
          <w:lang w:val="en-ZA"/>
        </w:rPr>
        <w:t>44</w:t>
      </w:r>
      <w:r>
        <w:rPr>
          <w:bCs/>
          <w:lang w:val="en-ZA"/>
        </w:rPr>
        <w:t>]</w:t>
      </w:r>
      <w:r>
        <w:rPr>
          <w:bCs/>
          <w:lang w:val="en-ZA"/>
        </w:rPr>
        <w:tab/>
        <w:t>There is accordingly no merit that Lornavision diligently performed under the written services agreement.</w:t>
      </w:r>
    </w:p>
    <w:p w14:paraId="19599F95" w14:textId="5220BDDC" w:rsidR="00EB5930" w:rsidRDefault="00EE6A5A" w:rsidP="007D32E4">
      <w:pPr>
        <w:pStyle w:val="JudgmentNumbered"/>
        <w:numPr>
          <w:ilvl w:val="0"/>
          <w:numId w:val="0"/>
        </w:numPr>
        <w:tabs>
          <w:tab w:val="left" w:pos="993"/>
        </w:tabs>
        <w:rPr>
          <w:b/>
          <w:bCs/>
          <w:i/>
          <w:lang w:val="en-ZA"/>
        </w:rPr>
      </w:pPr>
      <w:r w:rsidRPr="00EE6A5A">
        <w:rPr>
          <w:b/>
          <w:bCs/>
          <w:i/>
          <w:lang w:val="en-ZA"/>
        </w:rPr>
        <w:t>Parallel litigation raised by Lornav</w:t>
      </w:r>
      <w:r w:rsidR="003F0BC5">
        <w:rPr>
          <w:b/>
          <w:bCs/>
          <w:i/>
          <w:lang w:val="en-ZA"/>
        </w:rPr>
        <w:t>i</w:t>
      </w:r>
      <w:r w:rsidRPr="00EE6A5A">
        <w:rPr>
          <w:b/>
          <w:bCs/>
          <w:i/>
          <w:lang w:val="en-ZA"/>
        </w:rPr>
        <w:t xml:space="preserve">sion </w:t>
      </w:r>
      <w:r w:rsidR="00EB5930" w:rsidRPr="00EE6A5A">
        <w:rPr>
          <w:b/>
          <w:bCs/>
          <w:i/>
          <w:lang w:val="en-ZA"/>
        </w:rPr>
        <w:t xml:space="preserve">  </w:t>
      </w:r>
    </w:p>
    <w:p w14:paraId="7F6DE2E0" w14:textId="2D27EBA1" w:rsidR="00EE6A5A" w:rsidRDefault="00EE6A5A" w:rsidP="007D32E4">
      <w:pPr>
        <w:pStyle w:val="JudgmentNumbered"/>
        <w:numPr>
          <w:ilvl w:val="0"/>
          <w:numId w:val="0"/>
        </w:numPr>
        <w:tabs>
          <w:tab w:val="left" w:pos="993"/>
        </w:tabs>
        <w:rPr>
          <w:bCs/>
          <w:lang w:val="en-ZA"/>
        </w:rPr>
      </w:pPr>
      <w:r>
        <w:rPr>
          <w:bCs/>
          <w:lang w:val="en-ZA"/>
        </w:rPr>
        <w:t>[</w:t>
      </w:r>
      <w:r w:rsidR="00235B23">
        <w:rPr>
          <w:bCs/>
          <w:lang w:val="en-ZA"/>
        </w:rPr>
        <w:t>45</w:t>
      </w:r>
      <w:r>
        <w:rPr>
          <w:bCs/>
          <w:lang w:val="en-ZA"/>
        </w:rPr>
        <w:t>]</w:t>
      </w:r>
      <w:r>
        <w:rPr>
          <w:bCs/>
          <w:lang w:val="en-ZA"/>
        </w:rPr>
        <w:tab/>
      </w:r>
      <w:r w:rsidRPr="00EE6A5A">
        <w:rPr>
          <w:bCs/>
          <w:lang w:val="en-ZA"/>
        </w:rPr>
        <w:t xml:space="preserve">The existence of an alleged </w:t>
      </w:r>
      <w:r>
        <w:rPr>
          <w:bCs/>
          <w:lang w:val="en-ZA"/>
        </w:rPr>
        <w:t>‘</w:t>
      </w:r>
      <w:r w:rsidRPr="00EE6A5A">
        <w:rPr>
          <w:bCs/>
          <w:lang w:val="en-ZA"/>
        </w:rPr>
        <w:t>parallel</w:t>
      </w:r>
      <w:r>
        <w:rPr>
          <w:bCs/>
          <w:lang w:val="en-ZA"/>
        </w:rPr>
        <w:t>’</w:t>
      </w:r>
      <w:r w:rsidRPr="00EE6A5A">
        <w:rPr>
          <w:bCs/>
          <w:lang w:val="en-ZA"/>
        </w:rPr>
        <w:t xml:space="preserve"> claim by the SIU against Mr Moodley and Mr Basson</w:t>
      </w:r>
      <w:r w:rsidR="003F0BC5">
        <w:rPr>
          <w:bCs/>
          <w:lang w:val="en-ZA"/>
        </w:rPr>
        <w:t>,</w:t>
      </w:r>
      <w:r w:rsidRPr="00EE6A5A">
        <w:rPr>
          <w:bCs/>
          <w:lang w:val="en-ZA"/>
        </w:rPr>
        <w:t xml:space="preserve"> in </w:t>
      </w:r>
      <w:r w:rsidR="00034D66">
        <w:rPr>
          <w:bCs/>
          <w:lang w:val="en-ZA"/>
        </w:rPr>
        <w:t xml:space="preserve">case number 2020/9366, in </w:t>
      </w:r>
      <w:r w:rsidRPr="00EE6A5A">
        <w:rPr>
          <w:bCs/>
          <w:lang w:val="en-ZA"/>
        </w:rPr>
        <w:t>their personal capacities</w:t>
      </w:r>
      <w:r w:rsidR="00034D66">
        <w:rPr>
          <w:bCs/>
          <w:lang w:val="en-ZA"/>
        </w:rPr>
        <w:t>,</w:t>
      </w:r>
      <w:r w:rsidRPr="00EE6A5A">
        <w:rPr>
          <w:bCs/>
          <w:lang w:val="en-ZA"/>
        </w:rPr>
        <w:t xml:space="preserve"> is not a defence</w:t>
      </w:r>
      <w:r w:rsidR="003F0BC5">
        <w:rPr>
          <w:bCs/>
          <w:lang w:val="en-ZA"/>
        </w:rPr>
        <w:t>.</w:t>
      </w:r>
      <w:r w:rsidRPr="00EE6A5A">
        <w:rPr>
          <w:bCs/>
          <w:lang w:val="en-ZA"/>
        </w:rPr>
        <w:t xml:space="preserve">  </w:t>
      </w:r>
    </w:p>
    <w:p w14:paraId="61B598A0" w14:textId="6558606F" w:rsidR="00EE6A5A" w:rsidRDefault="00EE6A5A" w:rsidP="007D32E4">
      <w:pPr>
        <w:pStyle w:val="JudgmentNumbered"/>
        <w:numPr>
          <w:ilvl w:val="0"/>
          <w:numId w:val="0"/>
        </w:numPr>
        <w:tabs>
          <w:tab w:val="left" w:pos="993"/>
        </w:tabs>
        <w:rPr>
          <w:bCs/>
          <w:lang w:val="en-ZA"/>
        </w:rPr>
      </w:pPr>
      <w:r>
        <w:rPr>
          <w:bCs/>
          <w:lang w:val="en-ZA"/>
        </w:rPr>
        <w:t>[</w:t>
      </w:r>
      <w:r w:rsidR="00235B23">
        <w:rPr>
          <w:bCs/>
          <w:lang w:val="en-ZA"/>
        </w:rPr>
        <w:t>46</w:t>
      </w:r>
      <w:r>
        <w:rPr>
          <w:bCs/>
          <w:lang w:val="en-ZA"/>
        </w:rPr>
        <w:t>]</w:t>
      </w:r>
      <w:r>
        <w:rPr>
          <w:bCs/>
          <w:lang w:val="en-ZA"/>
        </w:rPr>
        <w:tab/>
      </w:r>
      <w:r w:rsidR="00034D66">
        <w:rPr>
          <w:bCs/>
          <w:lang w:val="en-ZA"/>
        </w:rPr>
        <w:t>C</w:t>
      </w:r>
      <w:r w:rsidRPr="00EE6A5A">
        <w:rPr>
          <w:bCs/>
          <w:lang w:val="en-ZA"/>
        </w:rPr>
        <w:t xml:space="preserve">ase </w:t>
      </w:r>
      <w:r w:rsidR="00034D66">
        <w:rPr>
          <w:bCs/>
          <w:lang w:val="en-ZA"/>
        </w:rPr>
        <w:t xml:space="preserve">2020/9366, </w:t>
      </w:r>
      <w:r w:rsidRPr="00EE6A5A">
        <w:rPr>
          <w:bCs/>
          <w:lang w:val="en-ZA"/>
        </w:rPr>
        <w:t>instituted against Mr Moodley and Mr Basson</w:t>
      </w:r>
      <w:r w:rsidR="00034D66">
        <w:rPr>
          <w:bCs/>
          <w:lang w:val="en-ZA"/>
        </w:rPr>
        <w:t>,</w:t>
      </w:r>
      <w:r w:rsidRPr="00EE6A5A">
        <w:rPr>
          <w:bCs/>
          <w:lang w:val="en-ZA"/>
        </w:rPr>
        <w:t xml:space="preserve"> is premised on the allegations that they conducted the</w:t>
      </w:r>
      <w:r>
        <w:rPr>
          <w:bCs/>
          <w:lang w:val="en-ZA"/>
        </w:rPr>
        <w:t xml:space="preserve"> </w:t>
      </w:r>
      <w:r w:rsidRPr="00EE6A5A">
        <w:rPr>
          <w:bCs/>
          <w:lang w:val="en-ZA"/>
        </w:rPr>
        <w:t>business of Lornavision recklessly and/or with gross negligence and/or with the intent to defraud the SABC and for fraudulent purposes.</w:t>
      </w:r>
      <w:r w:rsidR="007D32E4">
        <w:rPr>
          <w:bCs/>
          <w:lang w:val="en-ZA"/>
        </w:rPr>
        <w:t xml:space="preserve"> </w:t>
      </w:r>
      <w:r w:rsidRPr="00EE6A5A">
        <w:rPr>
          <w:bCs/>
          <w:lang w:val="en-ZA"/>
        </w:rPr>
        <w:t>The SIU</w:t>
      </w:r>
      <w:r w:rsidR="00034D66">
        <w:rPr>
          <w:bCs/>
          <w:lang w:val="en-ZA"/>
        </w:rPr>
        <w:t>, who is the plaintiff in that m</w:t>
      </w:r>
      <w:r w:rsidRPr="00EE6A5A">
        <w:rPr>
          <w:bCs/>
          <w:lang w:val="en-ZA"/>
        </w:rPr>
        <w:t>atter has premised the relief that it seeks on a breach of the provisions of, inter alia, s</w:t>
      </w:r>
      <w:r w:rsidR="00572277">
        <w:rPr>
          <w:bCs/>
          <w:lang w:val="en-ZA"/>
        </w:rPr>
        <w:t>s</w:t>
      </w:r>
      <w:r w:rsidRPr="00EE6A5A">
        <w:rPr>
          <w:bCs/>
          <w:lang w:val="en-ZA"/>
        </w:rPr>
        <w:t>77(3)(b) and 77(3)(c) of the Companies Act</w:t>
      </w:r>
      <w:r w:rsidR="00585226">
        <w:rPr>
          <w:bCs/>
          <w:lang w:val="en-ZA"/>
        </w:rPr>
        <w:t xml:space="preserve"> 71 of 2008</w:t>
      </w:r>
      <w:r w:rsidRPr="00EE6A5A">
        <w:rPr>
          <w:bCs/>
          <w:lang w:val="en-ZA"/>
        </w:rPr>
        <w:t>.</w:t>
      </w:r>
      <w:r>
        <w:rPr>
          <w:bCs/>
          <w:lang w:val="en-ZA"/>
        </w:rPr>
        <w:t xml:space="preserve"> The argument raised by Lornavision regarding the parallel litigation is devoid of merit and of no assistance to Lornavision</w:t>
      </w:r>
      <w:r w:rsidR="00520578">
        <w:rPr>
          <w:bCs/>
          <w:lang w:val="en-ZA"/>
        </w:rPr>
        <w:t>.</w:t>
      </w:r>
    </w:p>
    <w:p w14:paraId="1D524C07" w14:textId="0C7B65D0" w:rsidR="007B241C" w:rsidRDefault="007B241C" w:rsidP="007D32E4">
      <w:pPr>
        <w:pStyle w:val="JudgmentNumbered"/>
        <w:numPr>
          <w:ilvl w:val="0"/>
          <w:numId w:val="0"/>
        </w:numPr>
        <w:tabs>
          <w:tab w:val="left" w:pos="993"/>
        </w:tabs>
        <w:rPr>
          <w:bCs/>
          <w:lang w:val="en-ZA"/>
        </w:rPr>
      </w:pPr>
      <w:r>
        <w:rPr>
          <w:bCs/>
          <w:lang w:val="en-ZA"/>
        </w:rPr>
        <w:t>[</w:t>
      </w:r>
      <w:r w:rsidR="00572277">
        <w:rPr>
          <w:bCs/>
          <w:lang w:val="en-ZA"/>
        </w:rPr>
        <w:t>47</w:t>
      </w:r>
      <w:r>
        <w:rPr>
          <w:bCs/>
          <w:lang w:val="en-ZA"/>
        </w:rPr>
        <w:t>]</w:t>
      </w:r>
      <w:r>
        <w:rPr>
          <w:bCs/>
          <w:lang w:val="en-ZA"/>
        </w:rPr>
        <w:tab/>
        <w:t xml:space="preserve">At paragraph 5 of the case management </w:t>
      </w:r>
      <w:r w:rsidR="003F0BC5">
        <w:rPr>
          <w:bCs/>
          <w:lang w:val="en-ZA"/>
        </w:rPr>
        <w:t xml:space="preserve">meeting </w:t>
      </w:r>
      <w:r>
        <w:rPr>
          <w:bCs/>
          <w:lang w:val="en-ZA"/>
        </w:rPr>
        <w:t>held with Modi</w:t>
      </w:r>
      <w:r w:rsidR="00034D66">
        <w:rPr>
          <w:bCs/>
          <w:lang w:val="en-ZA"/>
        </w:rPr>
        <w:t>b</w:t>
      </w:r>
      <w:r>
        <w:rPr>
          <w:bCs/>
          <w:lang w:val="en-ZA"/>
        </w:rPr>
        <w:t>a J</w:t>
      </w:r>
      <w:r w:rsidR="003F0BC5">
        <w:rPr>
          <w:bCs/>
          <w:lang w:val="en-ZA"/>
        </w:rPr>
        <w:t>,</w:t>
      </w:r>
      <w:r>
        <w:rPr>
          <w:bCs/>
          <w:lang w:val="en-ZA"/>
        </w:rPr>
        <w:t xml:space="preserve"> on 29 May 2020</w:t>
      </w:r>
      <w:r w:rsidR="003F0BC5">
        <w:rPr>
          <w:bCs/>
          <w:lang w:val="en-ZA"/>
        </w:rPr>
        <w:t>,</w:t>
      </w:r>
      <w:r>
        <w:rPr>
          <w:bCs/>
          <w:lang w:val="en-ZA"/>
        </w:rPr>
        <w:t xml:space="preserve"> it </w:t>
      </w:r>
      <w:r w:rsidR="003F0BC5">
        <w:rPr>
          <w:bCs/>
          <w:lang w:val="en-ZA"/>
        </w:rPr>
        <w:t>was</w:t>
      </w:r>
      <w:r>
        <w:rPr>
          <w:bCs/>
          <w:lang w:val="en-ZA"/>
        </w:rPr>
        <w:t xml:space="preserve"> recorded that:</w:t>
      </w:r>
    </w:p>
    <w:p w14:paraId="5513BE4A" w14:textId="6114B4E1" w:rsidR="007B241C" w:rsidRPr="00BD36AC" w:rsidRDefault="007B241C" w:rsidP="007D32E4">
      <w:pPr>
        <w:pStyle w:val="JudgmentNumbered"/>
        <w:numPr>
          <w:ilvl w:val="0"/>
          <w:numId w:val="0"/>
        </w:numPr>
        <w:tabs>
          <w:tab w:val="left" w:pos="993"/>
        </w:tabs>
        <w:rPr>
          <w:bCs/>
          <w:u w:val="thick"/>
          <w:lang w:val="en-ZA"/>
        </w:rPr>
      </w:pPr>
      <w:r>
        <w:rPr>
          <w:bCs/>
          <w:lang w:val="en-ZA"/>
        </w:rPr>
        <w:t>‘</w:t>
      </w:r>
      <w:r w:rsidR="003F0BC5">
        <w:rPr>
          <w:bCs/>
          <w:sz w:val="22"/>
          <w:lang w:val="en-ZA"/>
        </w:rPr>
        <w:t>…</w:t>
      </w:r>
      <w:r w:rsidRPr="007B241C">
        <w:rPr>
          <w:bCs/>
          <w:sz w:val="22"/>
          <w:lang w:val="en-ZA"/>
        </w:rPr>
        <w:t xml:space="preserve">the plaintiffs are to take all steps to expedite the consolidation of the matter including barring the defendants that have not pleaded and, </w:t>
      </w:r>
      <w:r w:rsidRPr="00BD36AC">
        <w:rPr>
          <w:bCs/>
          <w:sz w:val="22"/>
          <w:u w:val="thick"/>
          <w:lang w:val="en-ZA"/>
        </w:rPr>
        <w:t>where appropriate apply for default judgment in case number 9366/2020</w:t>
      </w:r>
      <w:r w:rsidRPr="00BD36AC">
        <w:rPr>
          <w:bCs/>
          <w:lang w:val="en-ZA"/>
        </w:rPr>
        <w:t>.’</w:t>
      </w:r>
      <w:r w:rsidR="00520578">
        <w:rPr>
          <w:bCs/>
          <w:lang w:val="en-ZA"/>
        </w:rPr>
        <w:t xml:space="preserve"> </w:t>
      </w:r>
      <w:r w:rsidR="00BD36AC" w:rsidRPr="00BD36AC">
        <w:rPr>
          <w:bCs/>
          <w:lang w:val="en-ZA"/>
        </w:rPr>
        <w:t>[my emphasis]</w:t>
      </w:r>
    </w:p>
    <w:p w14:paraId="05251B5F" w14:textId="60C5C44A" w:rsidR="00725415" w:rsidRPr="002E4850" w:rsidRDefault="00725415" w:rsidP="007D32E4">
      <w:pPr>
        <w:pStyle w:val="JudgmentNumbered"/>
        <w:numPr>
          <w:ilvl w:val="0"/>
          <w:numId w:val="0"/>
        </w:numPr>
        <w:tabs>
          <w:tab w:val="left" w:pos="993"/>
        </w:tabs>
        <w:rPr>
          <w:bCs/>
          <w:color w:val="FF0000"/>
          <w:lang w:val="en-ZA"/>
        </w:rPr>
      </w:pPr>
      <w:r>
        <w:rPr>
          <w:bCs/>
          <w:lang w:val="en-ZA"/>
        </w:rPr>
        <w:t>[</w:t>
      </w:r>
      <w:r w:rsidR="00572277">
        <w:rPr>
          <w:bCs/>
          <w:lang w:val="en-ZA"/>
        </w:rPr>
        <w:t>48</w:t>
      </w:r>
      <w:r>
        <w:rPr>
          <w:bCs/>
          <w:lang w:val="en-ZA"/>
        </w:rPr>
        <w:t>]</w:t>
      </w:r>
      <w:r>
        <w:rPr>
          <w:bCs/>
          <w:lang w:val="en-ZA"/>
        </w:rPr>
        <w:tab/>
      </w:r>
      <w:r w:rsidR="00BD36AC">
        <w:rPr>
          <w:bCs/>
          <w:lang w:val="en-ZA"/>
        </w:rPr>
        <w:t>Th</w:t>
      </w:r>
      <w:r>
        <w:rPr>
          <w:bCs/>
          <w:lang w:val="en-ZA"/>
        </w:rPr>
        <w:t xml:space="preserve">e </w:t>
      </w:r>
      <w:r w:rsidR="000238B8">
        <w:rPr>
          <w:bCs/>
          <w:lang w:val="en-ZA"/>
        </w:rPr>
        <w:t>SABC</w:t>
      </w:r>
      <w:r>
        <w:rPr>
          <w:bCs/>
          <w:lang w:val="en-ZA"/>
        </w:rPr>
        <w:t xml:space="preserve"> and </w:t>
      </w:r>
      <w:r w:rsidR="00572277">
        <w:rPr>
          <w:bCs/>
          <w:lang w:val="en-ZA"/>
        </w:rPr>
        <w:t xml:space="preserve">the </w:t>
      </w:r>
      <w:r w:rsidR="000238B8">
        <w:rPr>
          <w:bCs/>
          <w:lang w:val="en-ZA"/>
        </w:rPr>
        <w:t xml:space="preserve">SIU </w:t>
      </w:r>
      <w:r>
        <w:rPr>
          <w:bCs/>
          <w:lang w:val="en-ZA"/>
        </w:rPr>
        <w:t>never consolidated matter 2020/9366 with the matter in casu, h</w:t>
      </w:r>
      <w:r w:rsidR="000238B8">
        <w:rPr>
          <w:bCs/>
          <w:lang w:val="en-ZA"/>
        </w:rPr>
        <w:t>o</w:t>
      </w:r>
      <w:r>
        <w:rPr>
          <w:bCs/>
          <w:lang w:val="en-ZA"/>
        </w:rPr>
        <w:t xml:space="preserve">wever, </w:t>
      </w:r>
      <w:r w:rsidR="00BD36AC">
        <w:rPr>
          <w:bCs/>
          <w:lang w:val="en-ZA"/>
        </w:rPr>
        <w:t xml:space="preserve">as </w:t>
      </w:r>
      <w:r w:rsidR="003F0BC5">
        <w:rPr>
          <w:bCs/>
          <w:lang w:val="en-ZA"/>
        </w:rPr>
        <w:t xml:space="preserve">argued by </w:t>
      </w:r>
      <w:r w:rsidR="00BD36AC">
        <w:rPr>
          <w:bCs/>
          <w:lang w:val="en-ZA"/>
        </w:rPr>
        <w:t>the plaintiffs’ counsel</w:t>
      </w:r>
      <w:r w:rsidR="003F0BC5">
        <w:rPr>
          <w:bCs/>
          <w:lang w:val="en-ZA"/>
        </w:rPr>
        <w:t>,</w:t>
      </w:r>
      <w:r w:rsidR="00BD36AC">
        <w:rPr>
          <w:bCs/>
          <w:lang w:val="en-ZA"/>
        </w:rPr>
        <w:t xml:space="preserve"> this would only be done when the matters were trial ready. Due to the many interl</w:t>
      </w:r>
      <w:r w:rsidR="002E4850">
        <w:rPr>
          <w:bCs/>
          <w:lang w:val="en-ZA"/>
        </w:rPr>
        <w:t xml:space="preserve">ocutory applications that were </w:t>
      </w:r>
      <w:r w:rsidR="00BD36AC">
        <w:rPr>
          <w:bCs/>
          <w:lang w:val="en-ZA"/>
        </w:rPr>
        <w:t>brought by Lornavision</w:t>
      </w:r>
      <w:r w:rsidR="002E4850">
        <w:rPr>
          <w:bCs/>
          <w:lang w:val="en-ZA"/>
        </w:rPr>
        <w:t>,</w:t>
      </w:r>
      <w:r w:rsidR="00BD36AC">
        <w:rPr>
          <w:bCs/>
          <w:lang w:val="en-ZA"/>
        </w:rPr>
        <w:t xml:space="preserve"> the matter in casu was not trial ready. </w:t>
      </w:r>
      <w:r w:rsidR="002E4850">
        <w:rPr>
          <w:bCs/>
          <w:lang w:val="en-ZA"/>
        </w:rPr>
        <w:t>T</w:t>
      </w:r>
      <w:r>
        <w:rPr>
          <w:bCs/>
          <w:lang w:val="en-ZA"/>
        </w:rPr>
        <w:t xml:space="preserve">he failure to </w:t>
      </w:r>
      <w:r w:rsidR="002E4850">
        <w:rPr>
          <w:bCs/>
          <w:lang w:val="en-ZA"/>
        </w:rPr>
        <w:t xml:space="preserve">consolidate the matters </w:t>
      </w:r>
      <w:r>
        <w:rPr>
          <w:bCs/>
          <w:lang w:val="en-ZA"/>
        </w:rPr>
        <w:t>cannot be a bar to granting a default judgment</w:t>
      </w:r>
      <w:r w:rsidR="00585226">
        <w:rPr>
          <w:bCs/>
          <w:lang w:val="en-ZA"/>
        </w:rPr>
        <w:t>.</w:t>
      </w:r>
      <w:r w:rsidR="000238B8">
        <w:rPr>
          <w:bCs/>
          <w:lang w:val="en-ZA"/>
        </w:rPr>
        <w:t xml:space="preserve"> </w:t>
      </w:r>
    </w:p>
    <w:p w14:paraId="021245C5" w14:textId="15CE3AA5" w:rsidR="00BD36AC" w:rsidRDefault="00BD36AC" w:rsidP="007D32E4">
      <w:pPr>
        <w:pStyle w:val="JudgmentNumbered"/>
        <w:numPr>
          <w:ilvl w:val="0"/>
          <w:numId w:val="0"/>
        </w:numPr>
        <w:tabs>
          <w:tab w:val="left" w:pos="993"/>
        </w:tabs>
        <w:rPr>
          <w:bCs/>
          <w:lang w:val="en-ZA"/>
        </w:rPr>
      </w:pPr>
      <w:r>
        <w:rPr>
          <w:bCs/>
          <w:lang w:val="en-ZA"/>
        </w:rPr>
        <w:t>[</w:t>
      </w:r>
      <w:r w:rsidR="00572277">
        <w:rPr>
          <w:bCs/>
          <w:lang w:val="en-ZA"/>
        </w:rPr>
        <w:t>49</w:t>
      </w:r>
      <w:r>
        <w:rPr>
          <w:bCs/>
          <w:lang w:val="en-ZA"/>
        </w:rPr>
        <w:t>]</w:t>
      </w:r>
      <w:r>
        <w:rPr>
          <w:bCs/>
          <w:lang w:val="en-ZA"/>
        </w:rPr>
        <w:tab/>
      </w:r>
      <w:r w:rsidR="00572277">
        <w:rPr>
          <w:bCs/>
          <w:lang w:val="en-ZA"/>
        </w:rPr>
        <w:t>T</w:t>
      </w:r>
      <w:r>
        <w:rPr>
          <w:bCs/>
          <w:lang w:val="en-ZA"/>
        </w:rPr>
        <w:t>he case management meeting held by Modiba J on 24 February 2022</w:t>
      </w:r>
      <w:r w:rsidR="002E4850">
        <w:rPr>
          <w:bCs/>
          <w:lang w:val="en-ZA"/>
        </w:rPr>
        <w:t>,</w:t>
      </w:r>
      <w:r>
        <w:rPr>
          <w:bCs/>
          <w:lang w:val="en-ZA"/>
        </w:rPr>
        <w:t xml:space="preserve"> is nearly two years after the case management held on 29 May 2020</w:t>
      </w:r>
      <w:r w:rsidR="00572277">
        <w:rPr>
          <w:bCs/>
          <w:lang w:val="en-ZA"/>
        </w:rPr>
        <w:t xml:space="preserve">. </w:t>
      </w:r>
      <w:r>
        <w:rPr>
          <w:bCs/>
          <w:lang w:val="en-ZA"/>
        </w:rPr>
        <w:t>Modiba J held that:</w:t>
      </w:r>
    </w:p>
    <w:p w14:paraId="3D72CA18" w14:textId="274FE64C" w:rsidR="00BD36AC" w:rsidRPr="00BD36AC" w:rsidRDefault="00BD36AC" w:rsidP="00EE6A5A">
      <w:pPr>
        <w:pStyle w:val="JudgmentNumbered"/>
        <w:numPr>
          <w:ilvl w:val="0"/>
          <w:numId w:val="0"/>
        </w:numPr>
        <w:tabs>
          <w:tab w:val="left" w:pos="993"/>
        </w:tabs>
        <w:rPr>
          <w:bCs/>
          <w:sz w:val="22"/>
          <w:lang w:val="en-ZA"/>
        </w:rPr>
      </w:pPr>
      <w:r w:rsidRPr="00BD36AC">
        <w:rPr>
          <w:bCs/>
          <w:sz w:val="22"/>
          <w:lang w:val="en-ZA"/>
        </w:rPr>
        <w:lastRenderedPageBreak/>
        <w:t xml:space="preserve">‘4.1 </w:t>
      </w:r>
      <w:r w:rsidRPr="00BD36AC">
        <w:rPr>
          <w:bCs/>
          <w:sz w:val="22"/>
          <w:lang w:val="en-ZA"/>
        </w:rPr>
        <w:tab/>
      </w:r>
      <w:r w:rsidRPr="00BD36AC">
        <w:rPr>
          <w:bCs/>
          <w:sz w:val="22"/>
          <w:u w:val="thick"/>
          <w:lang w:val="en-ZA"/>
        </w:rPr>
        <w:t>Ad Default Judgment</w:t>
      </w:r>
    </w:p>
    <w:p w14:paraId="5AA677B9" w14:textId="45191E10" w:rsidR="00BD36AC" w:rsidRPr="00BD36AC" w:rsidRDefault="00BD36AC" w:rsidP="00EE6A5A">
      <w:pPr>
        <w:pStyle w:val="JudgmentNumbered"/>
        <w:numPr>
          <w:ilvl w:val="0"/>
          <w:numId w:val="0"/>
        </w:numPr>
        <w:tabs>
          <w:tab w:val="left" w:pos="993"/>
        </w:tabs>
        <w:rPr>
          <w:bCs/>
          <w:sz w:val="22"/>
          <w:lang w:val="en-ZA"/>
        </w:rPr>
      </w:pPr>
      <w:r w:rsidRPr="00BD36AC">
        <w:rPr>
          <w:bCs/>
          <w:sz w:val="22"/>
          <w:lang w:val="en-ZA"/>
        </w:rPr>
        <w:t xml:space="preserve">4.1.1 </w:t>
      </w:r>
      <w:r w:rsidRPr="00BD36AC">
        <w:rPr>
          <w:bCs/>
          <w:sz w:val="22"/>
          <w:lang w:val="en-ZA"/>
        </w:rPr>
        <w:tab/>
        <w:t>Judge Modiba</w:t>
      </w:r>
      <w:r w:rsidR="002E4850">
        <w:rPr>
          <w:bCs/>
          <w:sz w:val="22"/>
          <w:lang w:val="en-ZA"/>
        </w:rPr>
        <w:t>:</w:t>
      </w:r>
    </w:p>
    <w:p w14:paraId="62F40C7C" w14:textId="4BFE7245" w:rsidR="00BD36AC" w:rsidRDefault="00BD36AC" w:rsidP="00BD36AC">
      <w:pPr>
        <w:pStyle w:val="JudgmentNumbered"/>
        <w:numPr>
          <w:ilvl w:val="0"/>
          <w:numId w:val="0"/>
        </w:numPr>
        <w:tabs>
          <w:tab w:val="left" w:pos="993"/>
        </w:tabs>
        <w:ind w:left="990" w:hanging="990"/>
        <w:rPr>
          <w:bCs/>
          <w:sz w:val="22"/>
          <w:lang w:val="en-ZA"/>
        </w:rPr>
      </w:pPr>
      <w:r w:rsidRPr="00BD36AC">
        <w:rPr>
          <w:bCs/>
          <w:sz w:val="22"/>
          <w:lang w:val="en-ZA"/>
        </w:rPr>
        <w:t>4.1.1.1</w:t>
      </w:r>
      <w:r w:rsidRPr="00BD36AC">
        <w:rPr>
          <w:bCs/>
          <w:sz w:val="22"/>
          <w:lang w:val="en-ZA"/>
        </w:rPr>
        <w:tab/>
        <w:t xml:space="preserve">noted that </w:t>
      </w:r>
      <w:r w:rsidRPr="00F6331D">
        <w:rPr>
          <w:bCs/>
          <w:sz w:val="22"/>
          <w:u w:val="thick"/>
          <w:lang w:val="en-ZA"/>
        </w:rPr>
        <w:t>the Default Judgment application was too complex to determine on paper</w:t>
      </w:r>
      <w:r w:rsidRPr="00BD36AC">
        <w:rPr>
          <w:bCs/>
          <w:sz w:val="22"/>
          <w:lang w:val="en-ZA"/>
        </w:rPr>
        <w:t xml:space="preserve"> as originally intended; and </w:t>
      </w:r>
    </w:p>
    <w:p w14:paraId="70D8A96F" w14:textId="26AABB93" w:rsidR="00BD36AC" w:rsidRDefault="00BD36AC" w:rsidP="00BD36AC">
      <w:pPr>
        <w:pStyle w:val="JudgmentNumbered"/>
        <w:numPr>
          <w:ilvl w:val="0"/>
          <w:numId w:val="0"/>
        </w:numPr>
        <w:tabs>
          <w:tab w:val="left" w:pos="993"/>
        </w:tabs>
        <w:ind w:left="990" w:hanging="990"/>
        <w:rPr>
          <w:bCs/>
          <w:szCs w:val="24"/>
          <w:lang w:val="en-ZA"/>
        </w:rPr>
      </w:pPr>
      <w:r>
        <w:rPr>
          <w:bCs/>
          <w:sz w:val="22"/>
          <w:lang w:val="en-ZA"/>
        </w:rPr>
        <w:t>4.1.1.2</w:t>
      </w:r>
      <w:r>
        <w:rPr>
          <w:bCs/>
          <w:sz w:val="22"/>
          <w:lang w:val="en-ZA"/>
        </w:rPr>
        <w:tab/>
      </w:r>
      <w:r w:rsidRPr="002E4850">
        <w:rPr>
          <w:bCs/>
          <w:sz w:val="22"/>
          <w:u w:val="thick"/>
          <w:lang w:val="en-ZA"/>
        </w:rPr>
        <w:t>undertook to certify the application ready for hearing to enable the Plaintiffs to enrol same for hearing in open court</w:t>
      </w:r>
      <w:r>
        <w:rPr>
          <w:bCs/>
          <w:sz w:val="22"/>
          <w:lang w:val="en-ZA"/>
        </w:rPr>
        <w:t>.</w:t>
      </w:r>
      <w:r w:rsidR="00536556">
        <w:rPr>
          <w:bCs/>
          <w:sz w:val="22"/>
          <w:lang w:val="en-ZA"/>
        </w:rPr>
        <w:t>’</w:t>
      </w:r>
      <w:r w:rsidR="002E4850">
        <w:rPr>
          <w:bCs/>
          <w:sz w:val="22"/>
          <w:lang w:val="en-ZA"/>
        </w:rPr>
        <w:t xml:space="preserve"> </w:t>
      </w:r>
      <w:r w:rsidR="002E4850">
        <w:rPr>
          <w:bCs/>
          <w:szCs w:val="24"/>
          <w:lang w:val="en-ZA"/>
        </w:rPr>
        <w:t>[my emphasis]</w:t>
      </w:r>
    </w:p>
    <w:p w14:paraId="3DFA0383" w14:textId="7AF11095" w:rsidR="00582BE6" w:rsidRPr="00582BE6" w:rsidRDefault="00582BE6" w:rsidP="007D32E4">
      <w:pPr>
        <w:pStyle w:val="JudgmentNumbered"/>
        <w:numPr>
          <w:ilvl w:val="0"/>
          <w:numId w:val="0"/>
        </w:numPr>
        <w:tabs>
          <w:tab w:val="left" w:pos="0"/>
          <w:tab w:val="left" w:pos="993"/>
        </w:tabs>
        <w:rPr>
          <w:bCs/>
          <w:szCs w:val="24"/>
          <w:lang w:val="en-ZA"/>
        </w:rPr>
      </w:pPr>
      <w:r>
        <w:rPr>
          <w:bCs/>
          <w:sz w:val="22"/>
          <w:lang w:val="en-ZA"/>
        </w:rPr>
        <w:t>[</w:t>
      </w:r>
      <w:r w:rsidR="00572277">
        <w:rPr>
          <w:bCs/>
          <w:sz w:val="22"/>
          <w:lang w:val="en-ZA"/>
        </w:rPr>
        <w:t>50</w:t>
      </w:r>
      <w:r>
        <w:rPr>
          <w:bCs/>
          <w:sz w:val="22"/>
          <w:lang w:val="en-ZA"/>
        </w:rPr>
        <w:t>]</w:t>
      </w:r>
      <w:r w:rsidRPr="00582BE6">
        <w:rPr>
          <w:bCs/>
          <w:szCs w:val="24"/>
          <w:lang w:val="en-ZA"/>
        </w:rPr>
        <w:tab/>
        <w:t xml:space="preserve">Paragraph five of the case management meeting, dated 29 May 2020, must be read with paragraph four of the case management meeting dated 24 February 2022. In the former </w:t>
      </w:r>
      <w:r>
        <w:rPr>
          <w:bCs/>
          <w:szCs w:val="24"/>
          <w:lang w:val="en-ZA"/>
        </w:rPr>
        <w:t xml:space="preserve">case </w:t>
      </w:r>
      <w:r w:rsidRPr="00582BE6">
        <w:rPr>
          <w:bCs/>
          <w:szCs w:val="24"/>
          <w:lang w:val="en-ZA"/>
        </w:rPr>
        <w:t>management meeting, the matter i</w:t>
      </w:r>
      <w:r w:rsidR="007D32E4">
        <w:rPr>
          <w:bCs/>
          <w:szCs w:val="24"/>
          <w:lang w:val="en-ZA"/>
        </w:rPr>
        <w:t>n</w:t>
      </w:r>
      <w:r w:rsidRPr="00582BE6">
        <w:rPr>
          <w:bCs/>
          <w:szCs w:val="24"/>
          <w:lang w:val="en-ZA"/>
        </w:rPr>
        <w:t xml:space="preserve"> casu was to be consolidate</w:t>
      </w:r>
      <w:r w:rsidR="00572277">
        <w:rPr>
          <w:bCs/>
          <w:szCs w:val="24"/>
          <w:lang w:val="en-ZA"/>
        </w:rPr>
        <w:t>d</w:t>
      </w:r>
      <w:r w:rsidRPr="00582BE6">
        <w:rPr>
          <w:bCs/>
          <w:szCs w:val="24"/>
          <w:lang w:val="en-ZA"/>
        </w:rPr>
        <w:t xml:space="preserve"> with matter 2020/9366</w:t>
      </w:r>
      <w:r w:rsidR="007D32E4">
        <w:rPr>
          <w:bCs/>
          <w:szCs w:val="24"/>
          <w:lang w:val="en-ZA"/>
        </w:rPr>
        <w:t xml:space="preserve"> </w:t>
      </w:r>
      <w:r w:rsidRPr="00582BE6">
        <w:rPr>
          <w:bCs/>
          <w:szCs w:val="24"/>
          <w:lang w:val="en-ZA"/>
        </w:rPr>
        <w:t xml:space="preserve">and </w:t>
      </w:r>
      <w:r>
        <w:rPr>
          <w:bCs/>
          <w:szCs w:val="24"/>
          <w:lang w:val="en-ZA"/>
        </w:rPr>
        <w:t>the</w:t>
      </w:r>
      <w:r w:rsidRPr="00582BE6">
        <w:rPr>
          <w:bCs/>
          <w:szCs w:val="24"/>
          <w:lang w:val="en-ZA"/>
        </w:rPr>
        <w:t xml:space="preserve"> plaintiffs were to bar the defendants that had not yet pleaded. In the latter case management meeting, the minutes reflect that the default judgment is too complex to determine on the papers, and that it must be heard in open court. Considering both minutes, the SABC and </w:t>
      </w:r>
      <w:r w:rsidR="00572277">
        <w:rPr>
          <w:bCs/>
          <w:szCs w:val="24"/>
          <w:lang w:val="en-ZA"/>
        </w:rPr>
        <w:t xml:space="preserve">the </w:t>
      </w:r>
      <w:r w:rsidRPr="00582BE6">
        <w:rPr>
          <w:bCs/>
          <w:szCs w:val="24"/>
          <w:lang w:val="en-ZA"/>
        </w:rPr>
        <w:t xml:space="preserve">SIU were in </w:t>
      </w:r>
      <w:r w:rsidR="00572277">
        <w:rPr>
          <w:bCs/>
          <w:szCs w:val="24"/>
          <w:lang w:val="en-ZA"/>
        </w:rPr>
        <w:t xml:space="preserve">accordance </w:t>
      </w:r>
      <w:r w:rsidRPr="00582BE6">
        <w:rPr>
          <w:bCs/>
          <w:szCs w:val="24"/>
          <w:lang w:val="en-ZA"/>
        </w:rPr>
        <w:t>with the requests of Modiba J to bring the matter before open court for a default judgment.</w:t>
      </w:r>
    </w:p>
    <w:p w14:paraId="591BAE49" w14:textId="4AE5984B" w:rsidR="00753294" w:rsidRPr="00753294" w:rsidRDefault="00BD36AC" w:rsidP="007D32E4">
      <w:pPr>
        <w:pStyle w:val="JudgmentNumbered"/>
        <w:numPr>
          <w:ilvl w:val="0"/>
          <w:numId w:val="0"/>
        </w:numPr>
        <w:tabs>
          <w:tab w:val="left" w:pos="0"/>
          <w:tab w:val="left" w:pos="993"/>
        </w:tabs>
        <w:rPr>
          <w:bCs/>
          <w:szCs w:val="24"/>
          <w:lang w:val="en-ZA"/>
        </w:rPr>
      </w:pPr>
      <w:r w:rsidRPr="00536556">
        <w:rPr>
          <w:bCs/>
          <w:szCs w:val="24"/>
          <w:lang w:val="en-ZA"/>
        </w:rPr>
        <w:t>[</w:t>
      </w:r>
      <w:r w:rsidR="00572277">
        <w:rPr>
          <w:bCs/>
          <w:szCs w:val="24"/>
          <w:lang w:val="en-ZA"/>
        </w:rPr>
        <w:t>51</w:t>
      </w:r>
      <w:r w:rsidRPr="00536556">
        <w:rPr>
          <w:bCs/>
          <w:szCs w:val="24"/>
          <w:lang w:val="en-ZA"/>
        </w:rPr>
        <w:t>]</w:t>
      </w:r>
      <w:r w:rsidRPr="00536556">
        <w:rPr>
          <w:bCs/>
          <w:szCs w:val="24"/>
          <w:lang w:val="en-ZA"/>
        </w:rPr>
        <w:tab/>
      </w:r>
      <w:r w:rsidR="00F6331D">
        <w:rPr>
          <w:bCs/>
          <w:szCs w:val="24"/>
          <w:lang w:val="en-ZA"/>
        </w:rPr>
        <w:t>E</w:t>
      </w:r>
      <w:r w:rsidR="002E4850">
        <w:rPr>
          <w:bCs/>
          <w:szCs w:val="24"/>
          <w:lang w:val="en-ZA"/>
        </w:rPr>
        <w:t>xceptions were being rai</w:t>
      </w:r>
      <w:r w:rsidR="00572277">
        <w:rPr>
          <w:bCs/>
          <w:szCs w:val="24"/>
          <w:lang w:val="en-ZA"/>
        </w:rPr>
        <w:t>sed by Mr Moodley and Lorna</w:t>
      </w:r>
      <w:r w:rsidR="002E4850">
        <w:rPr>
          <w:bCs/>
          <w:szCs w:val="24"/>
          <w:lang w:val="en-ZA"/>
        </w:rPr>
        <w:t>v</w:t>
      </w:r>
      <w:r w:rsidR="00572277">
        <w:rPr>
          <w:bCs/>
          <w:szCs w:val="24"/>
          <w:lang w:val="en-ZA"/>
        </w:rPr>
        <w:t>i</w:t>
      </w:r>
      <w:r w:rsidR="002E4850">
        <w:rPr>
          <w:bCs/>
          <w:szCs w:val="24"/>
          <w:lang w:val="en-ZA"/>
        </w:rPr>
        <w:t>sion in matter</w:t>
      </w:r>
      <w:r w:rsidR="00536556">
        <w:rPr>
          <w:bCs/>
          <w:szCs w:val="24"/>
          <w:lang w:val="en-ZA"/>
        </w:rPr>
        <w:t xml:space="preserve"> 2020/9366</w:t>
      </w:r>
      <w:r w:rsidR="00572277">
        <w:rPr>
          <w:bCs/>
          <w:szCs w:val="24"/>
          <w:lang w:val="en-ZA"/>
        </w:rPr>
        <w:t>. A</w:t>
      </w:r>
      <w:r w:rsidR="00536556">
        <w:rPr>
          <w:bCs/>
          <w:szCs w:val="24"/>
          <w:lang w:val="en-ZA"/>
        </w:rPr>
        <w:t>s a result</w:t>
      </w:r>
      <w:r w:rsidR="002E4850">
        <w:rPr>
          <w:bCs/>
          <w:szCs w:val="24"/>
          <w:lang w:val="en-ZA"/>
        </w:rPr>
        <w:t>,</w:t>
      </w:r>
      <w:r w:rsidR="00536556">
        <w:rPr>
          <w:bCs/>
          <w:szCs w:val="24"/>
          <w:lang w:val="en-ZA"/>
        </w:rPr>
        <w:t xml:space="preserve"> matter 2020/9366 was not ready to be consolidated with the matter in casu. </w:t>
      </w:r>
      <w:r w:rsidR="00927EC4">
        <w:rPr>
          <w:bCs/>
          <w:szCs w:val="24"/>
          <w:lang w:val="en-ZA"/>
        </w:rPr>
        <w:t xml:space="preserve">Furthermore, </w:t>
      </w:r>
      <w:r w:rsidR="00F6331D">
        <w:rPr>
          <w:bCs/>
          <w:szCs w:val="24"/>
          <w:lang w:val="en-ZA"/>
        </w:rPr>
        <w:t>Mr Aguma</w:t>
      </w:r>
      <w:r w:rsidR="002E4850">
        <w:rPr>
          <w:bCs/>
          <w:szCs w:val="24"/>
          <w:lang w:val="en-ZA"/>
        </w:rPr>
        <w:t xml:space="preserve"> had </w:t>
      </w:r>
      <w:r w:rsidR="00536556">
        <w:rPr>
          <w:bCs/>
          <w:szCs w:val="24"/>
          <w:lang w:val="en-ZA"/>
        </w:rPr>
        <w:t xml:space="preserve">pleaded </w:t>
      </w:r>
      <w:r w:rsidR="00F6331D">
        <w:rPr>
          <w:bCs/>
          <w:szCs w:val="24"/>
          <w:lang w:val="en-ZA"/>
        </w:rPr>
        <w:t xml:space="preserve">in the matter in casu </w:t>
      </w:r>
      <w:r w:rsidR="00536556">
        <w:rPr>
          <w:bCs/>
          <w:szCs w:val="24"/>
          <w:lang w:val="en-ZA"/>
        </w:rPr>
        <w:t xml:space="preserve">and Lornavision </w:t>
      </w:r>
      <w:r w:rsidR="002E4850">
        <w:rPr>
          <w:bCs/>
          <w:szCs w:val="24"/>
          <w:lang w:val="en-ZA"/>
        </w:rPr>
        <w:t xml:space="preserve">had </w:t>
      </w:r>
      <w:r w:rsidR="00536556">
        <w:rPr>
          <w:bCs/>
          <w:szCs w:val="24"/>
          <w:lang w:val="en-ZA"/>
        </w:rPr>
        <w:t xml:space="preserve">not. </w:t>
      </w:r>
      <w:r w:rsidR="00F6331D">
        <w:rPr>
          <w:bCs/>
          <w:szCs w:val="24"/>
          <w:lang w:val="en-ZA"/>
        </w:rPr>
        <w:t>The matter was trial ready in respect to Mr Aguma</w:t>
      </w:r>
      <w:r w:rsidR="00572277">
        <w:rPr>
          <w:bCs/>
          <w:szCs w:val="24"/>
          <w:lang w:val="en-ZA"/>
        </w:rPr>
        <w:t>,</w:t>
      </w:r>
      <w:r w:rsidR="00F6331D">
        <w:rPr>
          <w:bCs/>
          <w:szCs w:val="24"/>
          <w:lang w:val="en-ZA"/>
        </w:rPr>
        <w:t xml:space="preserve"> but not in respect to Lornavison. </w:t>
      </w:r>
      <w:r w:rsidR="002E4850">
        <w:rPr>
          <w:bCs/>
          <w:szCs w:val="24"/>
          <w:lang w:val="en-ZA"/>
        </w:rPr>
        <w:t xml:space="preserve">It is inconceivable to expect the matter in casu to be consolidated with matter 2020/9366 when the interlocutory applications </w:t>
      </w:r>
      <w:r w:rsidR="00F6331D">
        <w:rPr>
          <w:bCs/>
          <w:szCs w:val="24"/>
          <w:lang w:val="en-ZA"/>
        </w:rPr>
        <w:t>were</w:t>
      </w:r>
      <w:r w:rsidR="002E4850">
        <w:rPr>
          <w:bCs/>
          <w:szCs w:val="24"/>
          <w:lang w:val="en-ZA"/>
        </w:rPr>
        <w:t xml:space="preserve"> still not finalised. </w:t>
      </w:r>
      <w:r w:rsidR="006222FF">
        <w:rPr>
          <w:bCs/>
          <w:szCs w:val="24"/>
          <w:lang w:val="en-ZA"/>
        </w:rPr>
        <w:t xml:space="preserve">As a result, a failure to consolidate, </w:t>
      </w:r>
      <w:r w:rsidR="00753294" w:rsidRPr="00753294">
        <w:rPr>
          <w:bCs/>
          <w:szCs w:val="24"/>
          <w:lang w:val="en-ZA"/>
        </w:rPr>
        <w:t xml:space="preserve">cannot be a defence </w:t>
      </w:r>
      <w:r w:rsidR="006222FF">
        <w:rPr>
          <w:bCs/>
          <w:szCs w:val="24"/>
          <w:lang w:val="en-ZA"/>
        </w:rPr>
        <w:t>to an application for</w:t>
      </w:r>
      <w:r w:rsidR="00753294" w:rsidRPr="00753294">
        <w:rPr>
          <w:bCs/>
          <w:szCs w:val="24"/>
          <w:lang w:val="en-ZA"/>
        </w:rPr>
        <w:t xml:space="preserve"> default judgment. </w:t>
      </w:r>
    </w:p>
    <w:p w14:paraId="33E16C33" w14:textId="6C008B61" w:rsidR="007D32E4" w:rsidRPr="00536556" w:rsidRDefault="00582BE6" w:rsidP="007D32E4">
      <w:pPr>
        <w:pStyle w:val="JudgmentNumbered"/>
        <w:numPr>
          <w:ilvl w:val="0"/>
          <w:numId w:val="0"/>
        </w:numPr>
        <w:tabs>
          <w:tab w:val="left" w:pos="0"/>
          <w:tab w:val="left" w:pos="993"/>
        </w:tabs>
        <w:rPr>
          <w:bCs/>
          <w:szCs w:val="24"/>
          <w:lang w:val="en-ZA"/>
        </w:rPr>
      </w:pPr>
      <w:r>
        <w:rPr>
          <w:bCs/>
          <w:szCs w:val="24"/>
          <w:lang w:val="en-ZA"/>
        </w:rPr>
        <w:t>[</w:t>
      </w:r>
      <w:r w:rsidR="00572277">
        <w:rPr>
          <w:bCs/>
          <w:szCs w:val="24"/>
          <w:lang w:val="en-ZA"/>
        </w:rPr>
        <w:t>52</w:t>
      </w:r>
      <w:r>
        <w:rPr>
          <w:bCs/>
          <w:szCs w:val="24"/>
          <w:lang w:val="en-ZA"/>
        </w:rPr>
        <w:t>]</w:t>
      </w:r>
      <w:r>
        <w:rPr>
          <w:bCs/>
          <w:szCs w:val="24"/>
          <w:lang w:val="en-ZA"/>
        </w:rPr>
        <w:tab/>
      </w:r>
      <w:r w:rsidR="006222FF">
        <w:rPr>
          <w:bCs/>
          <w:szCs w:val="24"/>
          <w:lang w:val="en-ZA"/>
        </w:rPr>
        <w:t>Accordingly, t</w:t>
      </w:r>
      <w:r w:rsidR="004D568E">
        <w:rPr>
          <w:bCs/>
          <w:szCs w:val="24"/>
          <w:lang w:val="en-ZA"/>
        </w:rPr>
        <w:t>he argument of a lack of con</w:t>
      </w:r>
      <w:r w:rsidR="006222FF">
        <w:rPr>
          <w:bCs/>
          <w:szCs w:val="24"/>
          <w:lang w:val="en-ZA"/>
        </w:rPr>
        <w:t xml:space="preserve">solidation is without merit and on this basis there can be no </w:t>
      </w:r>
      <w:r w:rsidR="00D55009">
        <w:rPr>
          <w:bCs/>
          <w:szCs w:val="24"/>
          <w:lang w:val="en-ZA"/>
        </w:rPr>
        <w:t>reason to deny the plaintiffs a judgment</w:t>
      </w:r>
      <w:r w:rsidR="006222FF">
        <w:rPr>
          <w:bCs/>
          <w:szCs w:val="24"/>
          <w:lang w:val="en-ZA"/>
        </w:rPr>
        <w:t xml:space="preserve"> by default</w:t>
      </w:r>
      <w:r w:rsidR="00D55009">
        <w:rPr>
          <w:bCs/>
          <w:szCs w:val="24"/>
          <w:lang w:val="en-ZA"/>
        </w:rPr>
        <w:t>.</w:t>
      </w:r>
    </w:p>
    <w:p w14:paraId="6D261EDD" w14:textId="382BAB8B" w:rsidR="00486049" w:rsidRDefault="00486049" w:rsidP="00EE6A5A">
      <w:pPr>
        <w:pStyle w:val="JudgmentNumbered"/>
        <w:numPr>
          <w:ilvl w:val="0"/>
          <w:numId w:val="0"/>
        </w:numPr>
        <w:tabs>
          <w:tab w:val="left" w:pos="993"/>
        </w:tabs>
        <w:rPr>
          <w:b/>
          <w:bCs/>
          <w:i/>
          <w:lang w:val="en-ZA"/>
        </w:rPr>
      </w:pPr>
      <w:r w:rsidRPr="00486049">
        <w:rPr>
          <w:b/>
          <w:bCs/>
          <w:i/>
          <w:lang w:val="en-ZA"/>
        </w:rPr>
        <w:t>Par delictum rule</w:t>
      </w:r>
    </w:p>
    <w:p w14:paraId="7E60C95C" w14:textId="047CA4C0" w:rsidR="00F840A3" w:rsidRPr="00F840A3" w:rsidRDefault="00F840A3" w:rsidP="00520578">
      <w:pPr>
        <w:pStyle w:val="JudgmentNumbered"/>
        <w:numPr>
          <w:ilvl w:val="0"/>
          <w:numId w:val="0"/>
        </w:numPr>
        <w:tabs>
          <w:tab w:val="left" w:pos="993"/>
        </w:tabs>
        <w:rPr>
          <w:bCs/>
          <w:lang w:val="en-ZA"/>
        </w:rPr>
      </w:pPr>
      <w:r>
        <w:rPr>
          <w:bCs/>
          <w:lang w:val="en-ZA"/>
        </w:rPr>
        <w:t>[</w:t>
      </w:r>
      <w:r w:rsidR="00572277">
        <w:rPr>
          <w:bCs/>
          <w:lang w:val="en-ZA"/>
        </w:rPr>
        <w:t>53</w:t>
      </w:r>
      <w:r>
        <w:rPr>
          <w:bCs/>
          <w:lang w:val="en-ZA"/>
        </w:rPr>
        <w:t>]</w:t>
      </w:r>
      <w:r>
        <w:rPr>
          <w:bCs/>
          <w:lang w:val="en-ZA"/>
        </w:rPr>
        <w:tab/>
        <w:t>In the matter in casu</w:t>
      </w:r>
      <w:r w:rsidR="00D55009">
        <w:rPr>
          <w:bCs/>
          <w:lang w:val="en-ZA"/>
        </w:rPr>
        <w:t>, if Lornav</w:t>
      </w:r>
      <w:r w:rsidR="00585226">
        <w:rPr>
          <w:bCs/>
          <w:lang w:val="en-ZA"/>
        </w:rPr>
        <w:t>i</w:t>
      </w:r>
      <w:r w:rsidR="00D55009">
        <w:rPr>
          <w:bCs/>
          <w:lang w:val="en-ZA"/>
        </w:rPr>
        <w:t xml:space="preserve">sion wanted to rely on the par delictum rule, same should have been pleaded. </w:t>
      </w:r>
      <w:r w:rsidR="0004706F">
        <w:rPr>
          <w:bCs/>
          <w:lang w:val="en-ZA"/>
        </w:rPr>
        <w:t>Lornavision did not plead.</w:t>
      </w:r>
      <w:r w:rsidR="00D55009">
        <w:rPr>
          <w:bCs/>
          <w:lang w:val="en-ZA"/>
        </w:rPr>
        <w:t xml:space="preserve"> </w:t>
      </w:r>
    </w:p>
    <w:p w14:paraId="22DE3F7B" w14:textId="6F922428" w:rsidR="000D6329" w:rsidRDefault="00E33261" w:rsidP="007D32E4">
      <w:pPr>
        <w:pStyle w:val="JudgmentNumbered"/>
        <w:numPr>
          <w:ilvl w:val="0"/>
          <w:numId w:val="0"/>
        </w:numPr>
        <w:tabs>
          <w:tab w:val="left" w:pos="993"/>
        </w:tabs>
        <w:rPr>
          <w:bCs/>
          <w:lang w:val="en-ZA"/>
        </w:rPr>
      </w:pPr>
      <w:r>
        <w:rPr>
          <w:bCs/>
          <w:lang w:val="en-ZA"/>
        </w:rPr>
        <w:t>[</w:t>
      </w:r>
      <w:r w:rsidR="00572277">
        <w:rPr>
          <w:bCs/>
          <w:lang w:val="en-ZA"/>
        </w:rPr>
        <w:t>54</w:t>
      </w:r>
      <w:r>
        <w:rPr>
          <w:bCs/>
          <w:lang w:val="en-ZA"/>
        </w:rPr>
        <w:t>]</w:t>
      </w:r>
      <w:r>
        <w:rPr>
          <w:bCs/>
          <w:lang w:val="en-ZA"/>
        </w:rPr>
        <w:tab/>
      </w:r>
      <w:r w:rsidR="00E5157C">
        <w:rPr>
          <w:bCs/>
          <w:lang w:val="en-ZA"/>
        </w:rPr>
        <w:t>A</w:t>
      </w:r>
      <w:r w:rsidR="00E5157C" w:rsidRPr="00E5157C">
        <w:rPr>
          <w:bCs/>
          <w:lang w:val="en-ZA"/>
        </w:rPr>
        <w:t xml:space="preserve"> defendant can resist a claim made under the condictio ob turpem vel iniustam causam by relying on the par delictum rule.  </w:t>
      </w:r>
      <w:r w:rsidR="00E5157C">
        <w:rPr>
          <w:bCs/>
          <w:lang w:val="en-ZA"/>
        </w:rPr>
        <w:t>I</w:t>
      </w:r>
      <w:r w:rsidR="00E5157C" w:rsidRPr="00E5157C">
        <w:rPr>
          <w:bCs/>
          <w:lang w:val="en-ZA"/>
        </w:rPr>
        <w:t xml:space="preserve">t is </w:t>
      </w:r>
      <w:r w:rsidR="00E5157C">
        <w:rPr>
          <w:bCs/>
          <w:lang w:val="en-ZA"/>
        </w:rPr>
        <w:t xml:space="preserve">for </w:t>
      </w:r>
      <w:r w:rsidR="00E5157C" w:rsidRPr="00E5157C">
        <w:rPr>
          <w:bCs/>
          <w:lang w:val="en-ZA"/>
        </w:rPr>
        <w:t xml:space="preserve">the defendant </w:t>
      </w:r>
      <w:r w:rsidR="00E5157C">
        <w:rPr>
          <w:bCs/>
          <w:lang w:val="en-ZA"/>
        </w:rPr>
        <w:t xml:space="preserve">to </w:t>
      </w:r>
      <w:r w:rsidR="00E5157C" w:rsidRPr="00E5157C">
        <w:rPr>
          <w:bCs/>
          <w:lang w:val="en-ZA"/>
        </w:rPr>
        <w:t>allege and prove that th</w:t>
      </w:r>
      <w:r w:rsidR="00E5157C">
        <w:rPr>
          <w:bCs/>
          <w:lang w:val="en-ZA"/>
        </w:rPr>
        <w:t xml:space="preserve">e plaintiff was also in delicto, </w:t>
      </w:r>
      <w:r w:rsidR="00E5157C" w:rsidRPr="00E5157C">
        <w:rPr>
          <w:bCs/>
          <w:lang w:val="en-ZA"/>
        </w:rPr>
        <w:t>that is, that the plaintiff was a party to the illegality</w:t>
      </w:r>
      <w:r w:rsidR="00E5157C">
        <w:rPr>
          <w:bCs/>
          <w:lang w:val="en-ZA"/>
        </w:rPr>
        <w:t xml:space="preserve">. It is then for the </w:t>
      </w:r>
      <w:r w:rsidR="00E5157C" w:rsidRPr="00E5157C">
        <w:rPr>
          <w:bCs/>
          <w:lang w:val="en-ZA"/>
        </w:rPr>
        <w:t>plaintiff to allege and prove facts that will enable the court to come to the plaintiff’s assistance by not enforcing the</w:t>
      </w:r>
      <w:r w:rsidR="00E5157C">
        <w:rPr>
          <w:bCs/>
          <w:lang w:val="en-ZA"/>
        </w:rPr>
        <w:t xml:space="preserve"> </w:t>
      </w:r>
      <w:r w:rsidR="00E5157C" w:rsidRPr="00E5157C">
        <w:rPr>
          <w:bCs/>
          <w:lang w:val="en-ZA"/>
        </w:rPr>
        <w:t>par delictum rule</w:t>
      </w:r>
      <w:r w:rsidR="000D6329">
        <w:rPr>
          <w:bCs/>
          <w:lang w:val="en-ZA"/>
        </w:rPr>
        <w:t>,</w:t>
      </w:r>
      <w:r w:rsidR="00E5157C" w:rsidRPr="00E5157C">
        <w:rPr>
          <w:bCs/>
          <w:lang w:val="en-ZA"/>
        </w:rPr>
        <w:t xml:space="preserve"> because justice and public policy so require.  </w:t>
      </w:r>
    </w:p>
    <w:p w14:paraId="478AADFB" w14:textId="35A664CC" w:rsidR="00E5157C" w:rsidRDefault="000D6329" w:rsidP="00E5157C">
      <w:pPr>
        <w:pStyle w:val="JudgmentNumbered"/>
        <w:numPr>
          <w:ilvl w:val="0"/>
          <w:numId w:val="0"/>
        </w:numPr>
        <w:tabs>
          <w:tab w:val="left" w:pos="993"/>
        </w:tabs>
        <w:rPr>
          <w:bCs/>
          <w:lang w:val="en-ZA"/>
        </w:rPr>
      </w:pPr>
      <w:r>
        <w:rPr>
          <w:bCs/>
          <w:lang w:val="en-ZA"/>
        </w:rPr>
        <w:lastRenderedPageBreak/>
        <w:t>[</w:t>
      </w:r>
      <w:r w:rsidR="00572277">
        <w:rPr>
          <w:bCs/>
          <w:lang w:val="en-ZA"/>
        </w:rPr>
        <w:t>55</w:t>
      </w:r>
      <w:r>
        <w:rPr>
          <w:bCs/>
          <w:lang w:val="en-ZA"/>
        </w:rPr>
        <w:t>]</w:t>
      </w:r>
      <w:r>
        <w:rPr>
          <w:bCs/>
          <w:lang w:val="en-ZA"/>
        </w:rPr>
        <w:tab/>
      </w:r>
      <w:r w:rsidR="00D50635">
        <w:rPr>
          <w:bCs/>
          <w:lang w:val="en-ZA"/>
        </w:rPr>
        <w:t xml:space="preserve">In the matter of </w:t>
      </w:r>
      <w:r w:rsidR="00D50635" w:rsidRPr="00572277">
        <w:rPr>
          <w:bCs/>
          <w:i/>
          <w:lang w:val="en-ZA"/>
        </w:rPr>
        <w:t>Klokow v Sullivan</w:t>
      </w:r>
      <w:r w:rsidR="007D32E4">
        <w:rPr>
          <w:bCs/>
          <w:lang w:val="en-ZA"/>
        </w:rPr>
        <w:t>,</w:t>
      </w:r>
      <w:r w:rsidR="00572277">
        <w:rPr>
          <w:rStyle w:val="FootnoteReference"/>
          <w:bCs/>
          <w:lang w:val="en-ZA"/>
        </w:rPr>
        <w:footnoteReference w:id="27"/>
      </w:r>
      <w:r w:rsidR="00572277">
        <w:rPr>
          <w:bCs/>
          <w:lang w:val="en-ZA"/>
        </w:rPr>
        <w:t xml:space="preserve"> </w:t>
      </w:r>
      <w:r>
        <w:rPr>
          <w:bCs/>
          <w:lang w:val="en-ZA"/>
        </w:rPr>
        <w:t>the Supreme Court of Appeal stated that</w:t>
      </w:r>
      <w:r w:rsidR="00D50635">
        <w:rPr>
          <w:bCs/>
          <w:lang w:val="en-ZA"/>
        </w:rPr>
        <w:t xml:space="preserve"> </w:t>
      </w:r>
      <w:r w:rsidR="00E5157C" w:rsidRPr="00E5157C">
        <w:rPr>
          <w:bCs/>
          <w:lang w:val="en-ZA"/>
        </w:rPr>
        <w:t xml:space="preserve">the question of whether the par delictum rule should be relaxed </w:t>
      </w:r>
      <w:r w:rsidR="008D15C2">
        <w:rPr>
          <w:bCs/>
          <w:lang w:val="en-ZA"/>
        </w:rPr>
        <w:t xml:space="preserve">or not, </w:t>
      </w:r>
      <w:r w:rsidR="00E5157C" w:rsidRPr="00E5157C">
        <w:rPr>
          <w:bCs/>
          <w:lang w:val="en-ZA"/>
        </w:rPr>
        <w:t>cannot be decided on the pleadings and ought to be decid</w:t>
      </w:r>
      <w:r w:rsidR="00D50635">
        <w:rPr>
          <w:bCs/>
          <w:lang w:val="en-ZA"/>
        </w:rPr>
        <w:t>ed at the end of the trial.</w:t>
      </w:r>
      <w:r w:rsidR="00572277">
        <w:rPr>
          <w:rStyle w:val="FootnoteReference"/>
          <w:bCs/>
          <w:lang w:val="en-ZA"/>
        </w:rPr>
        <w:footnoteReference w:id="28"/>
      </w:r>
      <w:r>
        <w:rPr>
          <w:bCs/>
          <w:lang w:val="en-ZA"/>
        </w:rPr>
        <w:t xml:space="preserve"> The</w:t>
      </w:r>
      <w:r w:rsidR="008D15C2">
        <w:rPr>
          <w:bCs/>
          <w:lang w:val="en-ZA"/>
        </w:rPr>
        <w:t xml:space="preserve"> Su</w:t>
      </w:r>
      <w:r>
        <w:rPr>
          <w:bCs/>
          <w:lang w:val="en-ZA"/>
        </w:rPr>
        <w:t>p</w:t>
      </w:r>
      <w:r w:rsidR="008D15C2">
        <w:rPr>
          <w:bCs/>
          <w:lang w:val="en-ZA"/>
        </w:rPr>
        <w:t>r</w:t>
      </w:r>
      <w:r>
        <w:rPr>
          <w:bCs/>
          <w:lang w:val="en-ZA"/>
        </w:rPr>
        <w:t xml:space="preserve">eme Court </w:t>
      </w:r>
      <w:r w:rsidR="008D15C2">
        <w:rPr>
          <w:bCs/>
          <w:lang w:val="en-ZA"/>
        </w:rPr>
        <w:t xml:space="preserve">of Appeal </w:t>
      </w:r>
      <w:r>
        <w:rPr>
          <w:bCs/>
          <w:lang w:val="en-ZA"/>
        </w:rPr>
        <w:t>held further that</w:t>
      </w:r>
      <w:r w:rsidR="00D50635">
        <w:rPr>
          <w:bCs/>
          <w:lang w:val="en-ZA"/>
        </w:rPr>
        <w:t>:</w:t>
      </w:r>
    </w:p>
    <w:p w14:paraId="16E6A794" w14:textId="55D1DD72" w:rsidR="00D50635" w:rsidRDefault="00572277" w:rsidP="00E5157C">
      <w:pPr>
        <w:pStyle w:val="JudgmentNumbered"/>
        <w:numPr>
          <w:ilvl w:val="0"/>
          <w:numId w:val="0"/>
        </w:numPr>
        <w:tabs>
          <w:tab w:val="left" w:pos="993"/>
        </w:tabs>
        <w:rPr>
          <w:bCs/>
          <w:lang w:val="en-ZA"/>
        </w:rPr>
      </w:pPr>
      <w:r>
        <w:rPr>
          <w:bCs/>
          <w:sz w:val="22"/>
          <w:lang w:val="en-ZA"/>
        </w:rPr>
        <w:t>‘</w:t>
      </w:r>
      <w:r w:rsidR="000D6329">
        <w:rPr>
          <w:bCs/>
          <w:sz w:val="22"/>
          <w:lang w:val="en-ZA"/>
        </w:rPr>
        <w:t>..</w:t>
      </w:r>
      <w:r w:rsidR="00D50635" w:rsidRPr="00D50635">
        <w:rPr>
          <w:bCs/>
          <w:sz w:val="22"/>
          <w:lang w:val="en-ZA"/>
        </w:rPr>
        <w:t xml:space="preserve">.In general, where public policy considerations do not favour either party, the par delictum rule will operate against the plaintiff. </w:t>
      </w:r>
      <w:r w:rsidR="00D50635" w:rsidRPr="00D50635">
        <w:rPr>
          <w:bCs/>
          <w:sz w:val="22"/>
          <w:u w:val="thick"/>
          <w:lang w:val="en-ZA"/>
        </w:rPr>
        <w:t>At exception stage, however, the par delictum rule will generally defeat a plaintiff's claim only in the clearest of cases</w:t>
      </w:r>
      <w:r w:rsidR="00D50635" w:rsidRPr="00D50635">
        <w:rPr>
          <w:bCs/>
          <w:lang w:val="en-ZA"/>
        </w:rPr>
        <w:t>.</w:t>
      </w:r>
      <w:r w:rsidR="00D50635">
        <w:rPr>
          <w:bCs/>
          <w:lang w:val="en-ZA"/>
        </w:rPr>
        <w:t>’</w:t>
      </w:r>
      <w:r>
        <w:rPr>
          <w:rStyle w:val="FootnoteReference"/>
          <w:bCs/>
          <w:lang w:val="en-ZA"/>
        </w:rPr>
        <w:footnoteReference w:id="29"/>
      </w:r>
      <w:r>
        <w:rPr>
          <w:bCs/>
          <w:lang w:val="en-ZA"/>
        </w:rPr>
        <w:t xml:space="preserve"> </w:t>
      </w:r>
      <w:r w:rsidR="00D50635">
        <w:rPr>
          <w:bCs/>
          <w:lang w:val="en-ZA"/>
        </w:rPr>
        <w:t>[my emphasis]</w:t>
      </w:r>
    </w:p>
    <w:p w14:paraId="32AC6EF4" w14:textId="5BA09E08" w:rsidR="00D50635" w:rsidRPr="000D6329" w:rsidRDefault="00D50635" w:rsidP="00E5157C">
      <w:pPr>
        <w:pStyle w:val="JudgmentNumbered"/>
        <w:numPr>
          <w:ilvl w:val="0"/>
          <w:numId w:val="0"/>
        </w:numPr>
        <w:tabs>
          <w:tab w:val="left" w:pos="993"/>
        </w:tabs>
        <w:rPr>
          <w:bCs/>
          <w:color w:val="FF0000"/>
          <w:lang w:val="en-ZA"/>
        </w:rPr>
      </w:pPr>
      <w:r w:rsidRPr="008D15C2">
        <w:rPr>
          <w:bCs/>
          <w:color w:val="000000" w:themeColor="text1"/>
          <w:lang w:val="en-ZA"/>
        </w:rPr>
        <w:t>[</w:t>
      </w:r>
      <w:r w:rsidR="00572277">
        <w:rPr>
          <w:bCs/>
          <w:color w:val="000000" w:themeColor="text1"/>
          <w:lang w:val="en-ZA"/>
        </w:rPr>
        <w:t>56</w:t>
      </w:r>
      <w:r w:rsidRPr="008D15C2">
        <w:rPr>
          <w:bCs/>
          <w:color w:val="000000" w:themeColor="text1"/>
          <w:lang w:val="en-ZA"/>
        </w:rPr>
        <w:t>]</w:t>
      </w:r>
      <w:r w:rsidRPr="008D15C2">
        <w:rPr>
          <w:bCs/>
          <w:color w:val="000000" w:themeColor="text1"/>
          <w:lang w:val="en-ZA"/>
        </w:rPr>
        <w:tab/>
        <w:t xml:space="preserve">From the matter of </w:t>
      </w:r>
      <w:r w:rsidRPr="008D15C2">
        <w:rPr>
          <w:bCs/>
          <w:i/>
          <w:color w:val="000000" w:themeColor="text1"/>
          <w:lang w:val="en-ZA"/>
        </w:rPr>
        <w:t>Klokow</w:t>
      </w:r>
      <w:r w:rsidR="007D32E4">
        <w:rPr>
          <w:bCs/>
          <w:color w:val="000000" w:themeColor="text1"/>
          <w:lang w:val="en-ZA"/>
        </w:rPr>
        <w:t>,</w:t>
      </w:r>
      <w:r w:rsidR="00572277">
        <w:rPr>
          <w:rStyle w:val="FootnoteReference"/>
          <w:bCs/>
          <w:color w:val="000000" w:themeColor="text1"/>
          <w:lang w:val="en-ZA"/>
        </w:rPr>
        <w:footnoteReference w:id="30"/>
      </w:r>
      <w:r w:rsidR="00572277">
        <w:rPr>
          <w:bCs/>
          <w:color w:val="000000" w:themeColor="text1"/>
          <w:lang w:val="en-ZA"/>
        </w:rPr>
        <w:t xml:space="preserve"> </w:t>
      </w:r>
      <w:r w:rsidRPr="008D15C2">
        <w:rPr>
          <w:bCs/>
          <w:color w:val="000000" w:themeColor="text1"/>
          <w:lang w:val="en-ZA"/>
        </w:rPr>
        <w:t>a Court cannot decide at exception stage whether a plaintiff has</w:t>
      </w:r>
      <w:r w:rsidR="00783E10">
        <w:rPr>
          <w:bCs/>
          <w:color w:val="000000" w:themeColor="text1"/>
          <w:lang w:val="en-ZA"/>
        </w:rPr>
        <w:t xml:space="preserve"> </w:t>
      </w:r>
      <w:r w:rsidRPr="008D15C2">
        <w:rPr>
          <w:bCs/>
          <w:color w:val="000000" w:themeColor="text1"/>
          <w:lang w:val="en-ZA"/>
        </w:rPr>
        <w:t>or</w:t>
      </w:r>
      <w:r w:rsidR="00783E10">
        <w:rPr>
          <w:bCs/>
          <w:color w:val="000000" w:themeColor="text1"/>
          <w:lang w:val="en-ZA"/>
        </w:rPr>
        <w:t xml:space="preserve"> </w:t>
      </w:r>
      <w:r w:rsidRPr="008D15C2">
        <w:rPr>
          <w:bCs/>
          <w:color w:val="000000" w:themeColor="text1"/>
          <w:lang w:val="en-ZA"/>
        </w:rPr>
        <w:t>hasn’t demonstrated a lack of turpitude</w:t>
      </w:r>
      <w:r w:rsidR="00572277">
        <w:rPr>
          <w:bCs/>
          <w:color w:val="000000" w:themeColor="text1"/>
          <w:lang w:val="en-ZA"/>
        </w:rPr>
        <w:t>,</w:t>
      </w:r>
      <w:r w:rsidRPr="008D15C2">
        <w:rPr>
          <w:bCs/>
          <w:color w:val="000000" w:themeColor="text1"/>
          <w:lang w:val="en-ZA"/>
        </w:rPr>
        <w:t xml:space="preserve"> or whether it has pleaded sufficient allegations to justify a relaxation of the par delictum rule</w:t>
      </w:r>
      <w:r w:rsidR="007D32E4" w:rsidRPr="007D32E4">
        <w:rPr>
          <w:bCs/>
          <w:lang w:val="en-ZA"/>
        </w:rPr>
        <w:t>.</w:t>
      </w:r>
      <w:r w:rsidRPr="007D32E4">
        <w:rPr>
          <w:bCs/>
          <w:lang w:val="en-ZA"/>
        </w:rPr>
        <w:t xml:space="preserve">  </w:t>
      </w:r>
    </w:p>
    <w:p w14:paraId="3892FE7A" w14:textId="72744473" w:rsidR="007D32E4" w:rsidRPr="00753294" w:rsidRDefault="00753294" w:rsidP="00753294">
      <w:pPr>
        <w:pStyle w:val="JudgmentNumbered"/>
        <w:numPr>
          <w:ilvl w:val="0"/>
          <w:numId w:val="0"/>
        </w:numPr>
        <w:tabs>
          <w:tab w:val="left" w:pos="993"/>
        </w:tabs>
        <w:rPr>
          <w:bCs/>
          <w:lang w:val="en-ZA"/>
        </w:rPr>
      </w:pPr>
      <w:r w:rsidRPr="00753294">
        <w:rPr>
          <w:bCs/>
          <w:lang w:val="en-ZA"/>
        </w:rPr>
        <w:t>[</w:t>
      </w:r>
      <w:r w:rsidR="00572277">
        <w:rPr>
          <w:bCs/>
          <w:lang w:val="en-ZA"/>
        </w:rPr>
        <w:t>57</w:t>
      </w:r>
      <w:r w:rsidRPr="00753294">
        <w:rPr>
          <w:bCs/>
          <w:lang w:val="en-ZA"/>
        </w:rPr>
        <w:t>]</w:t>
      </w:r>
      <w:r w:rsidRPr="00753294">
        <w:rPr>
          <w:bCs/>
          <w:lang w:val="en-ZA"/>
        </w:rPr>
        <w:tab/>
      </w:r>
      <w:r>
        <w:rPr>
          <w:bCs/>
          <w:lang w:val="en-ZA"/>
        </w:rPr>
        <w:t>In</w:t>
      </w:r>
      <w:r w:rsidRPr="00753294">
        <w:rPr>
          <w:bCs/>
          <w:lang w:val="en-ZA"/>
        </w:rPr>
        <w:t xml:space="preserve"> light of the decision of </w:t>
      </w:r>
      <w:r w:rsidRPr="00753294">
        <w:rPr>
          <w:bCs/>
          <w:i/>
          <w:lang w:val="en-ZA"/>
        </w:rPr>
        <w:t>Allpay 2</w:t>
      </w:r>
      <w:r w:rsidR="007D32E4">
        <w:rPr>
          <w:bCs/>
          <w:i/>
          <w:lang w:val="en-ZA"/>
        </w:rPr>
        <w:t>,</w:t>
      </w:r>
      <w:r w:rsidR="00572277" w:rsidRPr="004625A3">
        <w:rPr>
          <w:rStyle w:val="FootnoteReference"/>
          <w:bCs/>
          <w:lang w:val="en-ZA"/>
        </w:rPr>
        <w:footnoteReference w:id="31"/>
      </w:r>
      <w:r w:rsidRPr="00753294">
        <w:rPr>
          <w:bCs/>
          <w:lang w:val="en-ZA"/>
        </w:rPr>
        <w:t xml:space="preserve"> this become</w:t>
      </w:r>
      <w:r w:rsidR="008D15C2">
        <w:rPr>
          <w:bCs/>
          <w:lang w:val="en-ZA"/>
        </w:rPr>
        <w:t>s</w:t>
      </w:r>
      <w:r w:rsidRPr="00753294">
        <w:rPr>
          <w:bCs/>
          <w:lang w:val="en-ZA"/>
        </w:rPr>
        <w:t xml:space="preserve"> academic</w:t>
      </w:r>
      <w:r w:rsidR="008D15C2">
        <w:rPr>
          <w:bCs/>
          <w:lang w:val="en-ZA"/>
        </w:rPr>
        <w:t>,</w:t>
      </w:r>
      <w:r>
        <w:rPr>
          <w:bCs/>
          <w:lang w:val="en-ZA"/>
        </w:rPr>
        <w:t xml:space="preserve"> in that t</w:t>
      </w:r>
      <w:r w:rsidRPr="00753294">
        <w:rPr>
          <w:bCs/>
          <w:lang w:val="en-ZA"/>
        </w:rPr>
        <w:t xml:space="preserve">he decision of </w:t>
      </w:r>
      <w:r w:rsidRPr="00753294">
        <w:rPr>
          <w:bCs/>
          <w:i/>
          <w:lang w:val="en-ZA"/>
        </w:rPr>
        <w:t>Allpay 2</w:t>
      </w:r>
      <w:r w:rsidRPr="00753294">
        <w:rPr>
          <w:bCs/>
          <w:lang w:val="en-ZA"/>
        </w:rPr>
        <w:t xml:space="preserve"> states that once a contract is void, then the party that benefitted from that illegal contract must repay.</w:t>
      </w:r>
      <w:r>
        <w:rPr>
          <w:bCs/>
          <w:lang w:val="en-ZA"/>
        </w:rPr>
        <w:t xml:space="preserve"> </w:t>
      </w:r>
      <w:r w:rsidR="000D6329">
        <w:rPr>
          <w:bCs/>
          <w:lang w:val="en-ZA"/>
        </w:rPr>
        <w:t xml:space="preserve">As a result, this issue </w:t>
      </w:r>
      <w:r w:rsidR="008D15C2">
        <w:rPr>
          <w:bCs/>
          <w:lang w:val="en-ZA"/>
        </w:rPr>
        <w:t>i</w:t>
      </w:r>
      <w:r w:rsidR="000D6329">
        <w:rPr>
          <w:bCs/>
          <w:lang w:val="en-ZA"/>
        </w:rPr>
        <w:t xml:space="preserve">s also without merit. </w:t>
      </w:r>
      <w:r>
        <w:rPr>
          <w:bCs/>
          <w:lang w:val="en-ZA"/>
        </w:rPr>
        <w:t xml:space="preserve"> </w:t>
      </w:r>
    </w:p>
    <w:p w14:paraId="4D596A96" w14:textId="0F3A3833" w:rsidR="00DF56D0" w:rsidRDefault="00DF56D0" w:rsidP="007A428B">
      <w:pPr>
        <w:pStyle w:val="JudgmentNumbered"/>
        <w:numPr>
          <w:ilvl w:val="0"/>
          <w:numId w:val="0"/>
        </w:numPr>
        <w:tabs>
          <w:tab w:val="left" w:pos="993"/>
        </w:tabs>
        <w:rPr>
          <w:b/>
          <w:bCs/>
          <w:i/>
          <w:lang w:val="en-ZA"/>
        </w:rPr>
      </w:pPr>
      <w:r w:rsidRPr="00DF56D0">
        <w:rPr>
          <w:b/>
          <w:bCs/>
          <w:i/>
          <w:lang w:val="en-ZA"/>
        </w:rPr>
        <w:t>Costs</w:t>
      </w:r>
    </w:p>
    <w:p w14:paraId="5B63BFD6" w14:textId="155F0FC9" w:rsidR="000D6329" w:rsidRDefault="00DF56D0" w:rsidP="007D32E4">
      <w:pPr>
        <w:pStyle w:val="JudgmentNumbered"/>
        <w:numPr>
          <w:ilvl w:val="0"/>
          <w:numId w:val="0"/>
        </w:numPr>
        <w:tabs>
          <w:tab w:val="left" w:pos="993"/>
        </w:tabs>
        <w:rPr>
          <w:bCs/>
          <w:lang w:val="en-ZA"/>
        </w:rPr>
      </w:pPr>
      <w:r>
        <w:rPr>
          <w:bCs/>
          <w:lang w:val="en-ZA"/>
        </w:rPr>
        <w:t>[</w:t>
      </w:r>
      <w:r w:rsidR="004625A3">
        <w:rPr>
          <w:bCs/>
          <w:lang w:val="en-ZA"/>
        </w:rPr>
        <w:t>58</w:t>
      </w:r>
      <w:r>
        <w:rPr>
          <w:bCs/>
          <w:lang w:val="en-ZA"/>
        </w:rPr>
        <w:t>]</w:t>
      </w:r>
      <w:r>
        <w:rPr>
          <w:bCs/>
          <w:lang w:val="en-ZA"/>
        </w:rPr>
        <w:tab/>
        <w:t xml:space="preserve">The </w:t>
      </w:r>
      <w:r w:rsidR="0085640F">
        <w:rPr>
          <w:bCs/>
          <w:lang w:val="en-ZA"/>
        </w:rPr>
        <w:t xml:space="preserve">counsel for the SABC and SIU </w:t>
      </w:r>
      <w:r>
        <w:rPr>
          <w:bCs/>
          <w:lang w:val="en-ZA"/>
        </w:rPr>
        <w:t>initially requested party and party costs</w:t>
      </w:r>
      <w:r w:rsidR="0085640F">
        <w:rPr>
          <w:bCs/>
          <w:lang w:val="en-ZA"/>
        </w:rPr>
        <w:t>. During the replication, this changed and costs on a punitive scale were requested.</w:t>
      </w:r>
      <w:r w:rsidR="00D55009">
        <w:rPr>
          <w:bCs/>
          <w:lang w:val="en-ZA"/>
        </w:rPr>
        <w:t xml:space="preserve"> </w:t>
      </w:r>
    </w:p>
    <w:p w14:paraId="06890824" w14:textId="5209FE28" w:rsidR="007D32E4" w:rsidRPr="00DF56D0" w:rsidRDefault="0085640F" w:rsidP="007D32E4">
      <w:pPr>
        <w:pStyle w:val="JudgmentNumbered"/>
        <w:numPr>
          <w:ilvl w:val="0"/>
          <w:numId w:val="0"/>
        </w:numPr>
        <w:tabs>
          <w:tab w:val="left" w:pos="993"/>
        </w:tabs>
        <w:rPr>
          <w:bCs/>
          <w:lang w:val="en-ZA"/>
        </w:rPr>
      </w:pPr>
      <w:r>
        <w:rPr>
          <w:bCs/>
          <w:lang w:val="en-ZA"/>
        </w:rPr>
        <w:t>[</w:t>
      </w:r>
      <w:r w:rsidR="004625A3">
        <w:rPr>
          <w:bCs/>
          <w:lang w:val="en-ZA"/>
        </w:rPr>
        <w:t>59</w:t>
      </w:r>
      <w:r>
        <w:rPr>
          <w:bCs/>
          <w:lang w:val="en-ZA"/>
        </w:rPr>
        <w:t>]</w:t>
      </w:r>
      <w:r>
        <w:rPr>
          <w:bCs/>
          <w:lang w:val="en-ZA"/>
        </w:rPr>
        <w:tab/>
        <w:t>Costs are within the discretion of the c</w:t>
      </w:r>
      <w:r w:rsidR="00D55009">
        <w:rPr>
          <w:bCs/>
          <w:lang w:val="en-ZA"/>
        </w:rPr>
        <w:t>ourt and this court does not find that a punitive cost order is warranted in this matter.</w:t>
      </w:r>
    </w:p>
    <w:p w14:paraId="00BD2408" w14:textId="47494F4D" w:rsidR="00DF56D0" w:rsidRDefault="00DF56D0" w:rsidP="007A428B">
      <w:pPr>
        <w:pStyle w:val="JudgmentNumbered"/>
        <w:numPr>
          <w:ilvl w:val="0"/>
          <w:numId w:val="0"/>
        </w:numPr>
        <w:tabs>
          <w:tab w:val="left" w:pos="993"/>
        </w:tabs>
        <w:rPr>
          <w:b/>
          <w:bCs/>
          <w:i/>
          <w:lang w:val="en-ZA"/>
        </w:rPr>
      </w:pPr>
      <w:r w:rsidRPr="00DF56D0">
        <w:rPr>
          <w:b/>
          <w:bCs/>
          <w:i/>
          <w:lang w:val="en-ZA"/>
        </w:rPr>
        <w:t>Order</w:t>
      </w:r>
    </w:p>
    <w:p w14:paraId="62740534" w14:textId="324BF5D7" w:rsidR="00DF56D0" w:rsidRDefault="00DF56D0" w:rsidP="007D32E4">
      <w:pPr>
        <w:pStyle w:val="JudgmentNumbered"/>
        <w:numPr>
          <w:ilvl w:val="0"/>
          <w:numId w:val="15"/>
        </w:numPr>
        <w:tabs>
          <w:tab w:val="left" w:pos="993"/>
        </w:tabs>
        <w:rPr>
          <w:bCs/>
          <w:lang w:val="en-ZA"/>
        </w:rPr>
      </w:pPr>
      <w:r>
        <w:rPr>
          <w:bCs/>
          <w:lang w:val="en-ZA"/>
        </w:rPr>
        <w:t>The application for default judgment is granted.</w:t>
      </w:r>
    </w:p>
    <w:p w14:paraId="03F01E08" w14:textId="1B5EFE4A" w:rsidR="00DF56D0" w:rsidRDefault="00DF56D0" w:rsidP="00783E10">
      <w:pPr>
        <w:pStyle w:val="JudgmentNumbered"/>
        <w:numPr>
          <w:ilvl w:val="0"/>
          <w:numId w:val="15"/>
        </w:numPr>
        <w:tabs>
          <w:tab w:val="left" w:pos="993"/>
        </w:tabs>
        <w:ind w:left="993" w:hanging="633"/>
        <w:rPr>
          <w:bCs/>
          <w:lang w:val="en-ZA"/>
        </w:rPr>
      </w:pPr>
      <w:r>
        <w:rPr>
          <w:bCs/>
          <w:lang w:val="en-ZA"/>
        </w:rPr>
        <w:t>The respondent is ordered to pay the sum of R62 733 55</w:t>
      </w:r>
      <w:r w:rsidR="00585226">
        <w:rPr>
          <w:bCs/>
          <w:lang w:val="en-ZA"/>
        </w:rPr>
        <w:t>6</w:t>
      </w:r>
      <w:r>
        <w:rPr>
          <w:bCs/>
          <w:lang w:val="en-ZA"/>
        </w:rPr>
        <w:t>.</w:t>
      </w:r>
      <w:r w:rsidR="00585226">
        <w:rPr>
          <w:bCs/>
          <w:lang w:val="en-ZA"/>
        </w:rPr>
        <w:t>61</w:t>
      </w:r>
      <w:r>
        <w:rPr>
          <w:bCs/>
          <w:lang w:val="en-ZA"/>
        </w:rPr>
        <w:t xml:space="preserve"> with interest thereon</w:t>
      </w:r>
      <w:r w:rsidR="00783E10">
        <w:rPr>
          <w:bCs/>
          <w:lang w:val="en-ZA"/>
        </w:rPr>
        <w:t xml:space="preserve"> </w:t>
      </w:r>
      <w:r>
        <w:rPr>
          <w:bCs/>
          <w:lang w:val="en-ZA"/>
        </w:rPr>
        <w:t>tempore morae from date of service of summons to the date of final payment.</w:t>
      </w:r>
    </w:p>
    <w:p w14:paraId="227DEC98" w14:textId="7DBDC606" w:rsidR="00DF56D0" w:rsidRDefault="00DF56D0" w:rsidP="007D32E4">
      <w:pPr>
        <w:pStyle w:val="JudgmentNumbered"/>
        <w:numPr>
          <w:ilvl w:val="0"/>
          <w:numId w:val="15"/>
        </w:numPr>
        <w:tabs>
          <w:tab w:val="left" w:pos="993"/>
        </w:tabs>
        <w:rPr>
          <w:bCs/>
          <w:lang w:val="en-ZA"/>
        </w:rPr>
      </w:pPr>
      <w:r>
        <w:rPr>
          <w:bCs/>
          <w:lang w:val="en-ZA"/>
        </w:rPr>
        <w:t>The respondent is to pay the costs.</w:t>
      </w:r>
    </w:p>
    <w:p w14:paraId="6A96E9D8" w14:textId="77777777" w:rsidR="00DF56D0" w:rsidRPr="00DF56D0" w:rsidRDefault="00DF56D0" w:rsidP="007A428B">
      <w:pPr>
        <w:pStyle w:val="JudgmentNumbered"/>
        <w:numPr>
          <w:ilvl w:val="0"/>
          <w:numId w:val="0"/>
        </w:numPr>
        <w:tabs>
          <w:tab w:val="left" w:pos="993"/>
        </w:tabs>
        <w:rPr>
          <w:lang w:val="en-ZA"/>
        </w:rPr>
      </w:pPr>
    </w:p>
    <w:bookmarkEnd w:id="1"/>
    <w:p w14:paraId="6D161B9E" w14:textId="374D9C41" w:rsidR="007A428B" w:rsidRDefault="007A428B" w:rsidP="007A428B">
      <w:pPr>
        <w:tabs>
          <w:tab w:val="left" w:pos="3000"/>
        </w:tabs>
        <w:spacing w:after="0" w:line="240" w:lineRule="auto"/>
        <w:jc w:val="right"/>
        <w:rPr>
          <w:rFonts w:ascii="Arial" w:eastAsia="Times New Roman" w:hAnsi="Arial" w:cs="Arial"/>
          <w:noProof/>
          <w:sz w:val="24"/>
          <w:szCs w:val="24"/>
          <w:lang w:eastAsia="en-ZA"/>
        </w:rPr>
      </w:pPr>
    </w:p>
    <w:p w14:paraId="68A1ED44" w14:textId="77777777" w:rsidR="001C5D8F" w:rsidRDefault="001C5D8F" w:rsidP="007A428B">
      <w:pPr>
        <w:tabs>
          <w:tab w:val="left" w:pos="3000"/>
        </w:tabs>
        <w:spacing w:after="0" w:line="240" w:lineRule="auto"/>
        <w:jc w:val="right"/>
        <w:rPr>
          <w:rFonts w:ascii="Arial" w:eastAsia="Times New Roman" w:hAnsi="Arial" w:cs="Arial"/>
          <w:noProof/>
          <w:sz w:val="24"/>
          <w:szCs w:val="24"/>
          <w:lang w:eastAsia="en-ZA"/>
        </w:rPr>
      </w:pPr>
    </w:p>
    <w:p w14:paraId="25519BA4" w14:textId="77777777" w:rsidR="001C5D8F" w:rsidRDefault="001C5D8F" w:rsidP="007A428B">
      <w:pPr>
        <w:tabs>
          <w:tab w:val="left" w:pos="3000"/>
        </w:tabs>
        <w:spacing w:after="0" w:line="240" w:lineRule="auto"/>
        <w:jc w:val="right"/>
        <w:rPr>
          <w:rFonts w:ascii="Arial" w:eastAsia="Times New Roman" w:hAnsi="Arial" w:cs="Arial"/>
          <w:noProof/>
          <w:sz w:val="24"/>
          <w:szCs w:val="24"/>
          <w:lang w:eastAsia="en-ZA"/>
        </w:rPr>
      </w:pPr>
    </w:p>
    <w:p w14:paraId="34FE0238" w14:textId="77777777" w:rsidR="001C5D8F" w:rsidRDefault="001C5D8F" w:rsidP="007A428B">
      <w:pPr>
        <w:tabs>
          <w:tab w:val="left" w:pos="3000"/>
        </w:tabs>
        <w:spacing w:after="0" w:line="240" w:lineRule="auto"/>
        <w:jc w:val="right"/>
        <w:rPr>
          <w:rFonts w:ascii="Arial" w:eastAsia="Times New Roman" w:hAnsi="Arial" w:cs="Arial"/>
          <w:noProof/>
          <w:sz w:val="24"/>
          <w:szCs w:val="24"/>
          <w:lang w:eastAsia="en-ZA"/>
        </w:rPr>
      </w:pPr>
    </w:p>
    <w:p w14:paraId="39C6764C" w14:textId="77777777" w:rsidR="001C5D8F" w:rsidRPr="00A72132" w:rsidRDefault="001C5D8F" w:rsidP="007A428B">
      <w:pPr>
        <w:tabs>
          <w:tab w:val="left" w:pos="3000"/>
        </w:tabs>
        <w:spacing w:after="0" w:line="240" w:lineRule="auto"/>
        <w:jc w:val="right"/>
        <w:rPr>
          <w:rFonts w:ascii="Arial" w:eastAsia="Times New Roman" w:hAnsi="Arial" w:cs="Arial"/>
          <w:b/>
          <w:sz w:val="24"/>
          <w:szCs w:val="24"/>
          <w:lang w:val="en-GB" w:eastAsia="en-GB"/>
        </w:rPr>
      </w:pPr>
    </w:p>
    <w:p w14:paraId="042E6FB8" w14:textId="77777777" w:rsidR="007A428B" w:rsidRPr="00A72132" w:rsidRDefault="007A428B" w:rsidP="007A428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04809EDE" w14:textId="77777777" w:rsidR="007A428B" w:rsidRPr="00A72132" w:rsidRDefault="007A428B" w:rsidP="007A428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555B66E4" w14:textId="77777777" w:rsidR="007A428B" w:rsidRPr="00A72132" w:rsidRDefault="007A428B" w:rsidP="007A428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2E87142B" w14:textId="77777777" w:rsidR="007A428B" w:rsidRDefault="007A428B" w:rsidP="007A428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0F1D7936" w14:textId="77777777" w:rsidR="007A428B" w:rsidRDefault="007A428B" w:rsidP="007A428B">
      <w:pPr>
        <w:tabs>
          <w:tab w:val="left" w:pos="3000"/>
        </w:tabs>
        <w:spacing w:after="0" w:line="240" w:lineRule="auto"/>
        <w:rPr>
          <w:rFonts w:ascii="Arial" w:eastAsia="Times New Roman" w:hAnsi="Arial" w:cs="Arial"/>
          <w:b/>
          <w:sz w:val="24"/>
          <w:szCs w:val="24"/>
          <w:lang w:val="en-GB" w:eastAsia="en-GB"/>
        </w:rPr>
      </w:pPr>
    </w:p>
    <w:p w14:paraId="58A079A1" w14:textId="77777777" w:rsidR="007A428B" w:rsidRDefault="007A428B" w:rsidP="007A428B">
      <w:pPr>
        <w:tabs>
          <w:tab w:val="left" w:pos="3000"/>
        </w:tabs>
        <w:spacing w:after="0" w:line="240" w:lineRule="auto"/>
        <w:rPr>
          <w:rFonts w:ascii="Arial" w:eastAsia="Times New Roman" w:hAnsi="Arial" w:cs="Arial"/>
          <w:b/>
          <w:sz w:val="24"/>
          <w:szCs w:val="24"/>
          <w:lang w:val="en-GB" w:eastAsia="en-GB"/>
        </w:rPr>
      </w:pPr>
    </w:p>
    <w:p w14:paraId="05F78D3D" w14:textId="618BA893" w:rsidR="009B4108" w:rsidRDefault="007A428B" w:rsidP="009B4108">
      <w:pPr>
        <w:pStyle w:val="JudgmentNumbered"/>
        <w:numPr>
          <w:ilvl w:val="0"/>
          <w:numId w:val="0"/>
        </w:numPr>
        <w:tabs>
          <w:tab w:val="left" w:pos="993"/>
        </w:tabs>
        <w:rPr>
          <w:bCs/>
          <w:lang w:val="en-ZA"/>
        </w:rPr>
      </w:pPr>
      <w:r w:rsidRPr="00A075CA">
        <w:rPr>
          <w:rFonts w:eastAsia="Times New Roman"/>
          <w:i/>
          <w:szCs w:val="24"/>
          <w:lang w:eastAsia="en-GB"/>
        </w:rPr>
        <w:t xml:space="preserve">This judgment was handed down electronically by circulation to the parties’ representatives via e-mail, by being uploaded to CaseLines and by release to SAFLII. The date and time for hand- down is deemed to be </w:t>
      </w:r>
      <w:r w:rsidRPr="00D75CE4">
        <w:rPr>
          <w:rFonts w:eastAsia="Times New Roman"/>
          <w:i/>
          <w:szCs w:val="24"/>
          <w:lang w:eastAsia="en-GB"/>
        </w:rPr>
        <w:t xml:space="preserve">10h00 on </w:t>
      </w:r>
      <w:r w:rsidR="000D6329">
        <w:rPr>
          <w:rFonts w:eastAsia="Times New Roman"/>
          <w:i/>
          <w:szCs w:val="24"/>
          <w:lang w:eastAsia="en-GB"/>
        </w:rPr>
        <w:t>19 March</w:t>
      </w:r>
      <w:r w:rsidR="004625A3">
        <w:rPr>
          <w:rFonts w:eastAsia="Times New Roman"/>
          <w:i/>
          <w:szCs w:val="24"/>
          <w:lang w:eastAsia="en-GB"/>
        </w:rPr>
        <w:t xml:space="preserve"> 2024</w:t>
      </w:r>
    </w:p>
    <w:p w14:paraId="744E27E2" w14:textId="77777777" w:rsidR="007D32E4" w:rsidRDefault="007D32E4" w:rsidP="007A428B">
      <w:pPr>
        <w:pStyle w:val="JudgmentNumbered"/>
        <w:numPr>
          <w:ilvl w:val="0"/>
          <w:numId w:val="0"/>
        </w:numPr>
        <w:rPr>
          <w:b/>
          <w:bCs/>
          <w:lang w:val="en-ZA"/>
        </w:rPr>
      </w:pPr>
    </w:p>
    <w:p w14:paraId="0AC2638A" w14:textId="77777777" w:rsidR="007D32E4" w:rsidRDefault="007D32E4" w:rsidP="007A428B">
      <w:pPr>
        <w:pStyle w:val="JudgmentNumbered"/>
        <w:numPr>
          <w:ilvl w:val="0"/>
          <w:numId w:val="0"/>
        </w:numPr>
        <w:rPr>
          <w:b/>
          <w:bCs/>
          <w:lang w:val="en-ZA"/>
        </w:rPr>
      </w:pPr>
    </w:p>
    <w:p w14:paraId="3C41B747" w14:textId="77777777" w:rsidR="007D32E4" w:rsidRDefault="007D32E4" w:rsidP="007A428B">
      <w:pPr>
        <w:pStyle w:val="JudgmentNumbered"/>
        <w:numPr>
          <w:ilvl w:val="0"/>
          <w:numId w:val="0"/>
        </w:numPr>
        <w:rPr>
          <w:b/>
          <w:bCs/>
          <w:lang w:val="en-ZA"/>
        </w:rPr>
      </w:pPr>
    </w:p>
    <w:p w14:paraId="4A62825F" w14:textId="77777777" w:rsidR="007D32E4" w:rsidRDefault="007D32E4" w:rsidP="007A428B">
      <w:pPr>
        <w:pStyle w:val="JudgmentNumbered"/>
        <w:numPr>
          <w:ilvl w:val="0"/>
          <w:numId w:val="0"/>
        </w:numPr>
        <w:rPr>
          <w:b/>
          <w:bCs/>
          <w:lang w:val="en-ZA"/>
        </w:rPr>
      </w:pPr>
    </w:p>
    <w:p w14:paraId="17736AC9" w14:textId="77777777" w:rsidR="007D32E4" w:rsidRDefault="007D32E4" w:rsidP="007A428B">
      <w:pPr>
        <w:pStyle w:val="JudgmentNumbered"/>
        <w:numPr>
          <w:ilvl w:val="0"/>
          <w:numId w:val="0"/>
        </w:numPr>
        <w:rPr>
          <w:b/>
          <w:bCs/>
          <w:lang w:val="en-ZA"/>
        </w:rPr>
      </w:pPr>
    </w:p>
    <w:p w14:paraId="0B7509E5" w14:textId="77777777" w:rsidR="007D32E4" w:rsidRDefault="007D32E4" w:rsidP="007A428B">
      <w:pPr>
        <w:pStyle w:val="JudgmentNumbered"/>
        <w:numPr>
          <w:ilvl w:val="0"/>
          <w:numId w:val="0"/>
        </w:numPr>
        <w:rPr>
          <w:b/>
          <w:bCs/>
          <w:lang w:val="en-ZA"/>
        </w:rPr>
      </w:pPr>
    </w:p>
    <w:p w14:paraId="15EB594F" w14:textId="77777777" w:rsidR="007D32E4" w:rsidRDefault="007D32E4" w:rsidP="007A428B">
      <w:pPr>
        <w:pStyle w:val="JudgmentNumbered"/>
        <w:numPr>
          <w:ilvl w:val="0"/>
          <w:numId w:val="0"/>
        </w:numPr>
        <w:rPr>
          <w:b/>
          <w:bCs/>
          <w:lang w:val="en-ZA"/>
        </w:rPr>
      </w:pPr>
    </w:p>
    <w:p w14:paraId="77D1B22B" w14:textId="77777777" w:rsidR="007D32E4" w:rsidRDefault="007D32E4" w:rsidP="007A428B">
      <w:pPr>
        <w:pStyle w:val="JudgmentNumbered"/>
        <w:numPr>
          <w:ilvl w:val="0"/>
          <w:numId w:val="0"/>
        </w:numPr>
        <w:rPr>
          <w:b/>
          <w:bCs/>
          <w:lang w:val="en-ZA"/>
        </w:rPr>
      </w:pPr>
    </w:p>
    <w:p w14:paraId="045C5E99" w14:textId="77777777" w:rsidR="007D32E4" w:rsidRDefault="007D32E4" w:rsidP="007A428B">
      <w:pPr>
        <w:pStyle w:val="JudgmentNumbered"/>
        <w:numPr>
          <w:ilvl w:val="0"/>
          <w:numId w:val="0"/>
        </w:numPr>
        <w:rPr>
          <w:b/>
          <w:bCs/>
          <w:lang w:val="en-ZA"/>
        </w:rPr>
      </w:pPr>
    </w:p>
    <w:p w14:paraId="03871CF5" w14:textId="77777777" w:rsidR="007D32E4" w:rsidRDefault="007D32E4" w:rsidP="007A428B">
      <w:pPr>
        <w:pStyle w:val="JudgmentNumbered"/>
        <w:numPr>
          <w:ilvl w:val="0"/>
          <w:numId w:val="0"/>
        </w:numPr>
        <w:rPr>
          <w:b/>
          <w:bCs/>
          <w:lang w:val="en-ZA"/>
        </w:rPr>
      </w:pPr>
    </w:p>
    <w:p w14:paraId="3B2257C3" w14:textId="77777777" w:rsidR="007D32E4" w:rsidRDefault="007D32E4" w:rsidP="007A428B">
      <w:pPr>
        <w:pStyle w:val="JudgmentNumbered"/>
        <w:numPr>
          <w:ilvl w:val="0"/>
          <w:numId w:val="0"/>
        </w:numPr>
        <w:rPr>
          <w:b/>
          <w:bCs/>
          <w:lang w:val="en-ZA"/>
        </w:rPr>
      </w:pPr>
    </w:p>
    <w:p w14:paraId="667E1E36" w14:textId="77777777" w:rsidR="007D32E4" w:rsidRDefault="007D32E4" w:rsidP="007A428B">
      <w:pPr>
        <w:pStyle w:val="JudgmentNumbered"/>
        <w:numPr>
          <w:ilvl w:val="0"/>
          <w:numId w:val="0"/>
        </w:numPr>
        <w:rPr>
          <w:b/>
          <w:bCs/>
          <w:lang w:val="en-ZA"/>
        </w:rPr>
      </w:pPr>
    </w:p>
    <w:p w14:paraId="09853D50" w14:textId="77777777" w:rsidR="007D32E4" w:rsidRDefault="007D32E4" w:rsidP="007A428B">
      <w:pPr>
        <w:pStyle w:val="JudgmentNumbered"/>
        <w:numPr>
          <w:ilvl w:val="0"/>
          <w:numId w:val="0"/>
        </w:numPr>
        <w:rPr>
          <w:b/>
          <w:bCs/>
          <w:lang w:val="en-ZA"/>
        </w:rPr>
      </w:pPr>
    </w:p>
    <w:p w14:paraId="7578307A" w14:textId="77777777" w:rsidR="007D32E4" w:rsidRDefault="007D32E4" w:rsidP="007A428B">
      <w:pPr>
        <w:pStyle w:val="JudgmentNumbered"/>
        <w:numPr>
          <w:ilvl w:val="0"/>
          <w:numId w:val="0"/>
        </w:numPr>
        <w:rPr>
          <w:b/>
          <w:bCs/>
          <w:lang w:val="en-ZA"/>
        </w:rPr>
      </w:pPr>
    </w:p>
    <w:p w14:paraId="60D93FFA" w14:textId="77777777" w:rsidR="007D32E4" w:rsidRDefault="007D32E4" w:rsidP="007A428B">
      <w:pPr>
        <w:pStyle w:val="JudgmentNumbered"/>
        <w:numPr>
          <w:ilvl w:val="0"/>
          <w:numId w:val="0"/>
        </w:numPr>
        <w:rPr>
          <w:b/>
          <w:bCs/>
          <w:lang w:val="en-ZA"/>
        </w:rPr>
      </w:pPr>
    </w:p>
    <w:p w14:paraId="1FE13C8A" w14:textId="77777777" w:rsidR="00783E10" w:rsidRDefault="00783E10" w:rsidP="007A428B">
      <w:pPr>
        <w:pStyle w:val="JudgmentNumbered"/>
        <w:numPr>
          <w:ilvl w:val="0"/>
          <w:numId w:val="0"/>
        </w:numPr>
        <w:rPr>
          <w:b/>
          <w:bCs/>
          <w:lang w:val="en-ZA"/>
        </w:rPr>
      </w:pPr>
    </w:p>
    <w:p w14:paraId="128EC8D5" w14:textId="264E2B56" w:rsidR="007A428B" w:rsidRPr="00DC3DE9" w:rsidRDefault="007A428B" w:rsidP="007A428B">
      <w:pPr>
        <w:pStyle w:val="JudgmentNumbered"/>
        <w:numPr>
          <w:ilvl w:val="0"/>
          <w:numId w:val="0"/>
        </w:numPr>
        <w:rPr>
          <w:b/>
          <w:bCs/>
          <w:lang w:val="en-ZA"/>
        </w:rPr>
      </w:pPr>
      <w:r w:rsidRPr="00DC3DE9">
        <w:rPr>
          <w:b/>
          <w:bCs/>
          <w:lang w:val="en-ZA"/>
        </w:rPr>
        <w:lastRenderedPageBreak/>
        <w:t>Appearances</w:t>
      </w:r>
      <w:r>
        <w:rPr>
          <w:b/>
          <w:bCs/>
          <w:lang w:val="en-ZA"/>
        </w:rPr>
        <w:t xml:space="preserve">: </w:t>
      </w:r>
    </w:p>
    <w:p w14:paraId="0ABB5A7D" w14:textId="735FCC98" w:rsidR="007A428B" w:rsidRPr="00CE1E37" w:rsidRDefault="007A428B" w:rsidP="007A428B">
      <w:pPr>
        <w:pStyle w:val="JudgmentNumbered"/>
        <w:numPr>
          <w:ilvl w:val="0"/>
          <w:numId w:val="0"/>
        </w:numPr>
        <w:ind w:left="567" w:hanging="567"/>
        <w:rPr>
          <w:lang w:val="en-ZA"/>
        </w:rPr>
      </w:pPr>
      <w:r>
        <w:rPr>
          <w:lang w:val="en-ZA"/>
        </w:rPr>
        <w:t xml:space="preserve">For </w:t>
      </w:r>
      <w:r w:rsidRPr="00CE1E37">
        <w:rPr>
          <w:lang w:val="en-ZA"/>
        </w:rPr>
        <w:t>the</w:t>
      </w:r>
      <w:r w:rsidR="00585226">
        <w:rPr>
          <w:lang w:val="en-ZA"/>
        </w:rPr>
        <w:t xml:space="preserve"> First and Second </w:t>
      </w:r>
      <w:r w:rsidR="00B669EE">
        <w:rPr>
          <w:lang w:val="en-ZA"/>
        </w:rPr>
        <w:t>Applicant</w:t>
      </w:r>
      <w:r w:rsidR="00DC6E12">
        <w:rPr>
          <w:lang w:val="en-ZA"/>
        </w:rPr>
        <w:t>s</w:t>
      </w:r>
      <w:r w:rsidR="00585226">
        <w:rPr>
          <w:lang w:val="en-ZA"/>
        </w:rPr>
        <w:t>/</w:t>
      </w:r>
      <w:r w:rsidR="00B669EE">
        <w:rPr>
          <w:lang w:val="en-ZA"/>
        </w:rPr>
        <w:t>Plaintiff</w:t>
      </w:r>
      <w:r w:rsidR="00DC6E12">
        <w:rPr>
          <w:lang w:val="en-ZA"/>
        </w:rPr>
        <w:t>s</w:t>
      </w:r>
      <w:r w:rsidRPr="00CE1E37">
        <w:rPr>
          <w:lang w:val="en-ZA"/>
        </w:rPr>
        <w:t xml:space="preserve">: </w:t>
      </w:r>
      <w:r w:rsidRPr="00CE1E37">
        <w:rPr>
          <w:lang w:val="en-ZA"/>
        </w:rPr>
        <w:tab/>
        <w:t>Adv</w:t>
      </w:r>
      <w:r>
        <w:rPr>
          <w:lang w:val="en-ZA"/>
        </w:rPr>
        <w:t>.</w:t>
      </w:r>
      <w:r w:rsidRPr="00CE1E37">
        <w:rPr>
          <w:lang w:val="en-ZA"/>
        </w:rPr>
        <w:t xml:space="preserve"> </w:t>
      </w:r>
      <w:r w:rsidR="00B669EE">
        <w:rPr>
          <w:lang w:val="en-ZA"/>
        </w:rPr>
        <w:t xml:space="preserve">J Motepe SC </w:t>
      </w:r>
    </w:p>
    <w:p w14:paraId="508B2F59" w14:textId="2108FB62" w:rsidR="007A428B" w:rsidRPr="00CE1E37" w:rsidRDefault="007A428B" w:rsidP="007A428B">
      <w:pPr>
        <w:pStyle w:val="JudgmentNumbered"/>
        <w:numPr>
          <w:ilvl w:val="0"/>
          <w:numId w:val="0"/>
        </w:numPr>
        <w:ind w:left="4320" w:hanging="4320"/>
        <w:rPr>
          <w:lang w:val="en-ZA"/>
        </w:rPr>
      </w:pPr>
      <w:r w:rsidRPr="00CE1E37">
        <w:rPr>
          <w:lang w:val="en-ZA"/>
        </w:rPr>
        <w:t xml:space="preserve">Instructed by:                 </w:t>
      </w:r>
      <w:r w:rsidRPr="00CE1E37">
        <w:rPr>
          <w:lang w:val="en-ZA"/>
        </w:rPr>
        <w:tab/>
      </w:r>
      <w:r w:rsidR="00B669EE">
        <w:rPr>
          <w:lang w:val="en-ZA"/>
        </w:rPr>
        <w:tab/>
      </w:r>
      <w:r w:rsidR="00EF25D1">
        <w:rPr>
          <w:lang w:val="en-ZA"/>
        </w:rPr>
        <w:t>Werksmans Attorneys</w:t>
      </w:r>
    </w:p>
    <w:p w14:paraId="79152F96" w14:textId="6CC074C1" w:rsidR="00B669EE" w:rsidRDefault="007A428B" w:rsidP="007A428B">
      <w:pPr>
        <w:pStyle w:val="JudgmentNumbered"/>
        <w:numPr>
          <w:ilvl w:val="0"/>
          <w:numId w:val="0"/>
        </w:numPr>
        <w:rPr>
          <w:lang w:val="en-ZA"/>
        </w:rPr>
      </w:pPr>
      <w:r>
        <w:rPr>
          <w:lang w:val="en-ZA"/>
        </w:rPr>
        <w:t>For</w:t>
      </w:r>
      <w:r w:rsidRPr="00CE1E37">
        <w:rPr>
          <w:lang w:val="en-ZA"/>
        </w:rPr>
        <w:t xml:space="preserve"> First</w:t>
      </w:r>
      <w:r w:rsidR="00B669EE">
        <w:rPr>
          <w:lang w:val="en-ZA"/>
        </w:rPr>
        <w:t xml:space="preserve"> </w:t>
      </w:r>
      <w:r w:rsidRPr="00CE1E37">
        <w:rPr>
          <w:lang w:val="en-ZA"/>
        </w:rPr>
        <w:t>Respondent</w:t>
      </w:r>
      <w:r w:rsidR="00B669EE">
        <w:rPr>
          <w:lang w:val="en-ZA"/>
        </w:rPr>
        <w:t>/Defendant</w:t>
      </w:r>
      <w:r w:rsidRPr="00CE1E37">
        <w:rPr>
          <w:lang w:val="en-ZA"/>
        </w:rPr>
        <w:t xml:space="preserve">:        </w:t>
      </w:r>
      <w:r w:rsidR="00B669EE">
        <w:rPr>
          <w:lang w:val="en-ZA"/>
        </w:rPr>
        <w:tab/>
      </w:r>
      <w:r w:rsidR="00DD3F4D">
        <w:rPr>
          <w:lang w:val="en-ZA"/>
        </w:rPr>
        <w:tab/>
      </w:r>
      <w:r w:rsidRPr="00CE1E37">
        <w:rPr>
          <w:lang w:val="en-ZA"/>
        </w:rPr>
        <w:t>Adv</w:t>
      </w:r>
      <w:r>
        <w:rPr>
          <w:lang w:val="en-ZA"/>
        </w:rPr>
        <w:t>.</w:t>
      </w:r>
      <w:r w:rsidRPr="00CE1E37">
        <w:rPr>
          <w:lang w:val="en-ZA"/>
        </w:rPr>
        <w:t xml:space="preserve"> </w:t>
      </w:r>
      <w:r w:rsidR="00B669EE">
        <w:rPr>
          <w:lang w:val="en-ZA"/>
        </w:rPr>
        <w:t>I Semenya SC</w:t>
      </w:r>
      <w:r>
        <w:rPr>
          <w:lang w:val="en-ZA"/>
        </w:rPr>
        <w:t xml:space="preserve"> </w:t>
      </w:r>
    </w:p>
    <w:p w14:paraId="1BF36406" w14:textId="7DFD1E14" w:rsidR="00014D90" w:rsidRPr="00CE1E37" w:rsidRDefault="007A428B" w:rsidP="00014D90">
      <w:pPr>
        <w:pStyle w:val="JudgmentNumbered"/>
        <w:numPr>
          <w:ilvl w:val="0"/>
          <w:numId w:val="0"/>
        </w:numPr>
        <w:ind w:left="4320" w:firstLine="720"/>
        <w:rPr>
          <w:lang w:val="en-ZA"/>
        </w:rPr>
      </w:pPr>
      <w:r>
        <w:rPr>
          <w:lang w:val="en-ZA"/>
        </w:rPr>
        <w:t>Adv. P Muthig</w:t>
      </w:r>
      <w:r w:rsidR="00014D90">
        <w:rPr>
          <w:lang w:val="en-ZA"/>
        </w:rPr>
        <w:t>e</w:t>
      </w:r>
      <w:r w:rsidR="00014D90">
        <w:rPr>
          <w:lang w:val="en-ZA"/>
        </w:rPr>
        <w:tab/>
      </w:r>
      <w:r w:rsidR="00014D90">
        <w:rPr>
          <w:lang w:val="en-ZA"/>
        </w:rPr>
        <w:tab/>
      </w:r>
      <w:r w:rsidR="00014D90" w:rsidRPr="00CE1E37">
        <w:rPr>
          <w:lang w:val="en-ZA"/>
        </w:rPr>
        <w:t xml:space="preserve">     </w:t>
      </w:r>
    </w:p>
    <w:p w14:paraId="65CBCB00" w14:textId="32E78767" w:rsidR="007A428B" w:rsidRDefault="007A428B" w:rsidP="007A428B">
      <w:pPr>
        <w:pStyle w:val="JudgmentNumbered"/>
        <w:numPr>
          <w:ilvl w:val="0"/>
          <w:numId w:val="0"/>
        </w:numPr>
        <w:ind w:left="567" w:hanging="567"/>
        <w:rPr>
          <w:lang w:val="en-ZA"/>
        </w:rPr>
      </w:pPr>
      <w:r w:rsidRPr="00CE1E37">
        <w:rPr>
          <w:lang w:val="en-ZA"/>
        </w:rPr>
        <w:t xml:space="preserve">Instructed by:            </w:t>
      </w:r>
      <w:r w:rsidRPr="00CE1E37">
        <w:rPr>
          <w:lang w:val="en-ZA"/>
        </w:rPr>
        <w:tab/>
      </w:r>
      <w:r w:rsidRPr="00CE1E37">
        <w:rPr>
          <w:lang w:val="en-ZA"/>
        </w:rPr>
        <w:tab/>
      </w:r>
      <w:r w:rsidRPr="00CE1E37">
        <w:rPr>
          <w:lang w:val="en-ZA"/>
        </w:rPr>
        <w:tab/>
        <w:t xml:space="preserve"> </w:t>
      </w:r>
      <w:r w:rsidR="00EF25D1">
        <w:rPr>
          <w:lang w:val="en-ZA"/>
        </w:rPr>
        <w:tab/>
        <w:t>Mabuza Attorneys</w:t>
      </w:r>
    </w:p>
    <w:p w14:paraId="2CB28C1A" w14:textId="77777777" w:rsidR="007A428B" w:rsidRDefault="007A428B" w:rsidP="007A428B"/>
    <w:p w14:paraId="58B58C39" w14:textId="77777777" w:rsidR="007A428B" w:rsidRDefault="007A428B" w:rsidP="007A428B"/>
    <w:p w14:paraId="47D14B30" w14:textId="77777777" w:rsidR="007A428B" w:rsidRDefault="007A428B" w:rsidP="007A428B"/>
    <w:p w14:paraId="433E3A2B" w14:textId="77777777" w:rsidR="002112FF" w:rsidRDefault="002112FF"/>
    <w:sectPr w:rsidR="002112FF" w:rsidSect="00341216">
      <w:headerReference w:type="even" r:id="rId9"/>
      <w:headerReference w:type="default" r:id="rId10"/>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42C8" w14:textId="77777777" w:rsidR="00CF136D" w:rsidRDefault="00CF136D" w:rsidP="007A428B">
      <w:pPr>
        <w:spacing w:after="0" w:line="240" w:lineRule="auto"/>
      </w:pPr>
      <w:r>
        <w:separator/>
      </w:r>
    </w:p>
  </w:endnote>
  <w:endnote w:type="continuationSeparator" w:id="0">
    <w:p w14:paraId="2DE9AB09" w14:textId="77777777" w:rsidR="00CF136D" w:rsidRDefault="00CF136D" w:rsidP="007A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altName w:val="Bahnschrift Light"/>
    <w:charset w:val="00"/>
    <w:family w:val="swiss"/>
    <w:pitch w:val="variable"/>
    <w:sig w:usb0="00000001" w:usb1="00000003" w:usb2="00000000" w:usb3="00000000" w:csb0="0000019F" w:csb1="00000000"/>
  </w:font>
  <w:font w:name="Aptos Display">
    <w:altName w:val="Bahnschrift Light"/>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0C67" w14:textId="77777777" w:rsidR="00CF136D" w:rsidRDefault="00CF136D" w:rsidP="007A428B">
      <w:pPr>
        <w:spacing w:after="0" w:line="240" w:lineRule="auto"/>
      </w:pPr>
      <w:r>
        <w:separator/>
      </w:r>
    </w:p>
  </w:footnote>
  <w:footnote w:type="continuationSeparator" w:id="0">
    <w:p w14:paraId="004A4134" w14:textId="77777777" w:rsidR="00CF136D" w:rsidRDefault="00CF136D" w:rsidP="007A428B">
      <w:pPr>
        <w:spacing w:after="0" w:line="240" w:lineRule="auto"/>
      </w:pPr>
      <w:r>
        <w:continuationSeparator/>
      </w:r>
    </w:p>
  </w:footnote>
  <w:footnote w:id="1">
    <w:p w14:paraId="797A404D" w14:textId="1C31E3DF" w:rsidR="00572277" w:rsidRPr="008D7EEC" w:rsidRDefault="00572277" w:rsidP="008D7EEC">
      <w:pPr>
        <w:pStyle w:val="FootnoteText"/>
        <w:spacing w:line="276" w:lineRule="auto"/>
        <w:jc w:val="both"/>
        <w:rPr>
          <w:rFonts w:ascii="Arial" w:hAnsi="Arial" w:cs="Arial"/>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i/>
        </w:rPr>
        <w:t>Allpay Consolidated Investment Holdings (Pty) Ltd And Others v Chief Executive Officer, South African Social Security Agency And Others</w:t>
      </w:r>
      <w:r w:rsidRPr="008D7EEC">
        <w:rPr>
          <w:rFonts w:ascii="Arial" w:hAnsi="Arial" w:cs="Arial"/>
        </w:rPr>
        <w:t xml:space="preserve"> 2014 (4) SA 179 (CC)</w:t>
      </w:r>
    </w:p>
  </w:footnote>
  <w:footnote w:id="2">
    <w:p w14:paraId="0854F06D" w14:textId="696F18D8" w:rsidR="00572277" w:rsidRPr="008D7EEC" w:rsidRDefault="00572277" w:rsidP="008D7EEC">
      <w:pPr>
        <w:pStyle w:val="FootnoteText"/>
        <w:spacing w:line="276" w:lineRule="auto"/>
        <w:jc w:val="both"/>
        <w:rPr>
          <w:rFonts w:ascii="Arial" w:hAnsi="Arial" w:cs="Arial"/>
        </w:rPr>
      </w:pPr>
      <w:r w:rsidRPr="008D7EEC">
        <w:rPr>
          <w:rStyle w:val="FootnoteReference"/>
          <w:rFonts w:ascii="Arial" w:hAnsi="Arial" w:cs="Arial"/>
        </w:rPr>
        <w:footnoteRef/>
      </w:r>
      <w:r w:rsidRPr="008D7EEC">
        <w:rPr>
          <w:rFonts w:ascii="Arial" w:hAnsi="Arial" w:cs="Arial"/>
        </w:rPr>
        <w:t xml:space="preserve"> Affidavit of Ms Tladi para 45</w:t>
      </w:r>
    </w:p>
  </w:footnote>
  <w:footnote w:id="3">
    <w:p w14:paraId="7539C864" w14:textId="3628CA2A" w:rsidR="00572277" w:rsidRPr="00710381" w:rsidRDefault="00572277" w:rsidP="008D7EEC">
      <w:pPr>
        <w:pStyle w:val="FootnoteText"/>
        <w:spacing w:line="276" w:lineRule="auto"/>
        <w:jc w:val="both"/>
        <w:rPr>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48</w:t>
      </w:r>
    </w:p>
  </w:footnote>
  <w:footnote w:id="4">
    <w:p w14:paraId="32D86E87" w14:textId="0A641D42"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88</w:t>
      </w:r>
    </w:p>
  </w:footnote>
  <w:footnote w:id="5">
    <w:p w14:paraId="71C72AF4" w14:textId="274BA61C"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Affidavit of Mr Daniels para 4</w:t>
      </w:r>
    </w:p>
  </w:footnote>
  <w:footnote w:id="6">
    <w:p w14:paraId="648EFD99" w14:textId="53653F50"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5</w:t>
      </w:r>
    </w:p>
  </w:footnote>
  <w:footnote w:id="7">
    <w:p w14:paraId="6A047C19" w14:textId="2753E30B"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Judgement of Shangisa AJ para 46</w:t>
      </w:r>
    </w:p>
  </w:footnote>
  <w:footnote w:id="8">
    <w:p w14:paraId="621D77AD" w14:textId="5AA17FB7" w:rsidR="00572277" w:rsidRPr="002F07D0" w:rsidRDefault="00572277" w:rsidP="008D7EEC">
      <w:pPr>
        <w:pStyle w:val="FootnoteText"/>
        <w:spacing w:line="276" w:lineRule="auto"/>
        <w:jc w:val="both"/>
        <w:rPr>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59</w:t>
      </w:r>
    </w:p>
  </w:footnote>
  <w:footnote w:id="9">
    <w:p w14:paraId="310843FD" w14:textId="3FA9FFDA"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see GN Gap R1258 of 1972, published in GG 3619 of 21 July 1972, issued in terms of in terms of section 10 of the Justices of the Peace and Commissioners of Oaths Act, 16 of 1963</w:t>
      </w:r>
    </w:p>
  </w:footnote>
  <w:footnote w:id="10">
    <w:p w14:paraId="23F49049" w14:textId="4DA8E2E8"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i/>
        </w:rPr>
        <w:t>Allpay 2</w:t>
      </w:r>
      <w:r w:rsidRPr="008D7EEC">
        <w:rPr>
          <w:rFonts w:ascii="Arial" w:hAnsi="Arial" w:cs="Arial"/>
        </w:rPr>
        <w:t xml:space="preserve"> (note 1 above)</w:t>
      </w:r>
    </w:p>
  </w:footnote>
  <w:footnote w:id="11">
    <w:p w14:paraId="330EE557" w14:textId="0C355191" w:rsidR="00572277" w:rsidRPr="007B5851" w:rsidRDefault="00572277" w:rsidP="008D7EEC">
      <w:pPr>
        <w:pStyle w:val="FootnoteText"/>
        <w:spacing w:line="276" w:lineRule="auto"/>
        <w:jc w:val="both"/>
        <w:rPr>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30</w:t>
      </w:r>
    </w:p>
  </w:footnote>
  <w:footnote w:id="12">
    <w:p w14:paraId="71FD99F4" w14:textId="266180DF" w:rsidR="00572277" w:rsidRPr="008D7EEC" w:rsidRDefault="00572277" w:rsidP="008D7EEC">
      <w:pPr>
        <w:pStyle w:val="FootnoteText"/>
        <w:spacing w:line="276" w:lineRule="auto"/>
        <w:jc w:val="both"/>
        <w:rPr>
          <w:rFonts w:ascii="Arial" w:hAnsi="Arial" w:cs="Arial"/>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i/>
        </w:rPr>
        <w:t>Shabangu v Land and Agricultural Development Bank of South Africa and Others</w:t>
      </w:r>
      <w:r w:rsidRPr="008D7EEC">
        <w:rPr>
          <w:rFonts w:ascii="Arial" w:hAnsi="Arial" w:cs="Arial"/>
        </w:rPr>
        <w:t xml:space="preserve"> (CCT215/18) [2019] ZACC 42; 2020 (1) SA 305 (CC) ; 2020 (1) BCLR 110 (CC) (29 October 2019)</w:t>
      </w:r>
    </w:p>
  </w:footnote>
  <w:footnote w:id="13">
    <w:p w14:paraId="45E2087E" w14:textId="0957CBA4"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26</w:t>
      </w:r>
    </w:p>
  </w:footnote>
  <w:footnote w:id="14">
    <w:p w14:paraId="39F02E84" w14:textId="1BCF1D11"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27</w:t>
      </w:r>
    </w:p>
  </w:footnote>
  <w:footnote w:id="15">
    <w:p w14:paraId="45191E10" w14:textId="3288A7D7" w:rsidR="00572277" w:rsidRPr="007B5851" w:rsidRDefault="00572277" w:rsidP="008D7EEC">
      <w:pPr>
        <w:pStyle w:val="FootnoteText"/>
        <w:spacing w:line="276" w:lineRule="auto"/>
        <w:jc w:val="both"/>
        <w:rPr>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28</w:t>
      </w:r>
    </w:p>
  </w:footnote>
  <w:footnote w:id="16">
    <w:p w14:paraId="4160C4D9" w14:textId="6ABA9F39"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i/>
        </w:rPr>
        <w:t>State Information Technology Agency SOC Ltd v Gijima Holdings (Pty) Ltd</w:t>
      </w:r>
      <w:r w:rsidRPr="008D7EEC">
        <w:rPr>
          <w:rFonts w:ascii="Arial" w:hAnsi="Arial" w:cs="Arial"/>
        </w:rPr>
        <w:t xml:space="preserve"> 2018 (2) SA 23 (CC)</w:t>
      </w:r>
    </w:p>
  </w:footnote>
  <w:footnote w:id="17">
    <w:p w14:paraId="2A876544" w14:textId="3036F796" w:rsidR="00572277" w:rsidRPr="007B5851" w:rsidRDefault="00572277" w:rsidP="008D7EEC">
      <w:pPr>
        <w:pStyle w:val="FootnoteText"/>
        <w:spacing w:line="276" w:lineRule="auto"/>
        <w:jc w:val="both"/>
        <w:rPr>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para 53</w:t>
      </w:r>
    </w:p>
  </w:footnote>
  <w:footnote w:id="18">
    <w:p w14:paraId="2B11A4A6" w14:textId="452D469D"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i/>
        </w:rPr>
        <w:t>Radue Weir Holdings Ltd t/a Weirs Cash &amp; Carry v Galleus Investments CC t/a Bargain Wholesalers</w:t>
      </w:r>
      <w:r w:rsidRPr="008D7EEC">
        <w:rPr>
          <w:rFonts w:ascii="Arial" w:hAnsi="Arial" w:cs="Arial"/>
        </w:rPr>
        <w:t xml:space="preserve"> 1998 (3) SA 677 (E) at 681G and 682H-J</w:t>
      </w:r>
    </w:p>
  </w:footnote>
  <w:footnote w:id="19">
    <w:p w14:paraId="63370C64" w14:textId="3F8C122A" w:rsidR="00572277" w:rsidRPr="008D7EEC" w:rsidRDefault="00572277" w:rsidP="008D7EEC">
      <w:pPr>
        <w:pStyle w:val="FootnoteText"/>
        <w:spacing w:line="276" w:lineRule="auto"/>
        <w:jc w:val="both"/>
        <w:rPr>
          <w:rFonts w:ascii="Arial" w:hAnsi="Arial" w:cs="Arial"/>
          <w:lang w:val="en-ZA"/>
        </w:rPr>
      </w:pPr>
      <w:r w:rsidRPr="008D7EEC">
        <w:rPr>
          <w:rStyle w:val="FootnoteReference"/>
          <w:rFonts w:ascii="Arial" w:hAnsi="Arial" w:cs="Arial"/>
        </w:rPr>
        <w:footnoteRef/>
      </w:r>
      <w:r w:rsidRPr="008D7EEC">
        <w:rPr>
          <w:rFonts w:ascii="Arial" w:hAnsi="Arial" w:cs="Arial"/>
        </w:rPr>
        <w:t xml:space="preserve"> </w:t>
      </w:r>
      <w:r w:rsidRPr="008D7EEC">
        <w:rPr>
          <w:rFonts w:ascii="Arial" w:hAnsi="Arial" w:cs="Arial"/>
          <w:lang w:val="en-ZA"/>
        </w:rPr>
        <w:t>Ibid at 681G and 682H-J</w:t>
      </w:r>
    </w:p>
  </w:footnote>
  <w:footnote w:id="20">
    <w:p w14:paraId="07921C25" w14:textId="1507BBA3" w:rsidR="00572277" w:rsidRPr="00235B23" w:rsidRDefault="00572277" w:rsidP="008D7EEC">
      <w:pPr>
        <w:pStyle w:val="FootnoteText"/>
        <w:spacing w:line="276" w:lineRule="auto"/>
        <w:jc w:val="both"/>
        <w:rPr>
          <w:lang w:val="en-ZA"/>
        </w:rPr>
      </w:pPr>
      <w:r w:rsidRPr="008D7EEC">
        <w:rPr>
          <w:rStyle w:val="FootnoteReference"/>
          <w:rFonts w:ascii="Arial" w:hAnsi="Arial" w:cs="Arial"/>
        </w:rPr>
        <w:footnoteRef/>
      </w:r>
      <w:r w:rsidRPr="008D7EEC">
        <w:rPr>
          <w:rFonts w:ascii="Arial" w:hAnsi="Arial" w:cs="Arial"/>
        </w:rPr>
        <w:t xml:space="preserve"> see </w:t>
      </w:r>
      <w:r w:rsidRPr="008D7EEC">
        <w:rPr>
          <w:rFonts w:ascii="Arial" w:hAnsi="Arial" w:cs="Arial"/>
          <w:i/>
        </w:rPr>
        <w:t>S v Msibi</w:t>
      </w:r>
      <w:r w:rsidRPr="008D7EEC">
        <w:rPr>
          <w:rFonts w:ascii="Arial" w:hAnsi="Arial" w:cs="Arial"/>
        </w:rPr>
        <w:t xml:space="preserve"> 1974 (4) SA 821 (T); </w:t>
      </w:r>
      <w:r w:rsidRPr="008D7EEC">
        <w:rPr>
          <w:rFonts w:ascii="Arial" w:hAnsi="Arial" w:cs="Arial"/>
          <w:i/>
        </w:rPr>
        <w:t>Dawood v Mahomed</w:t>
      </w:r>
      <w:r w:rsidRPr="008D7EEC">
        <w:rPr>
          <w:rFonts w:ascii="Arial" w:hAnsi="Arial" w:cs="Arial"/>
        </w:rPr>
        <w:t xml:space="preserve"> 1979 (2) SA 361 (D) at 367A–B; </w:t>
      </w:r>
      <w:r w:rsidRPr="008D7EEC">
        <w:rPr>
          <w:rFonts w:ascii="Arial" w:hAnsi="Arial" w:cs="Arial"/>
          <w:i/>
        </w:rPr>
        <w:t>Lohrman v Vaal Ontwikkelingsmaatskappy (Edms) Bpk</w:t>
      </w:r>
      <w:r w:rsidRPr="008D7EEC">
        <w:rPr>
          <w:rFonts w:ascii="Arial" w:hAnsi="Arial" w:cs="Arial"/>
        </w:rPr>
        <w:t xml:space="preserve"> 1979 (3) SA 391 (T) at 396H–397A; </w:t>
      </w:r>
      <w:r w:rsidRPr="008D7EEC">
        <w:rPr>
          <w:rFonts w:ascii="Arial" w:hAnsi="Arial" w:cs="Arial"/>
          <w:i/>
        </w:rPr>
        <w:t>Nkondo v Minister of Police</w:t>
      </w:r>
      <w:r w:rsidRPr="008D7EEC">
        <w:rPr>
          <w:rFonts w:ascii="Arial" w:hAnsi="Arial" w:cs="Arial"/>
        </w:rPr>
        <w:t xml:space="preserve"> 1980 (2) SA 362 (O) at 365A–B; </w:t>
      </w:r>
      <w:r w:rsidRPr="008D7EEC">
        <w:rPr>
          <w:rFonts w:ascii="Arial" w:hAnsi="Arial" w:cs="Arial"/>
          <w:i/>
        </w:rPr>
        <w:t>Standard Bank of South Africa Ltd v Malefane: In re Malefane v Standard Bank of South Africa Ltd</w:t>
      </w:r>
      <w:r w:rsidRPr="008D7EEC">
        <w:rPr>
          <w:rFonts w:ascii="Arial" w:hAnsi="Arial" w:cs="Arial"/>
        </w:rPr>
        <w:t xml:space="preserve"> 2007 (4) SA 461 (Tk) at 465A–D</w:t>
      </w:r>
    </w:p>
  </w:footnote>
  <w:footnote w:id="21">
    <w:p w14:paraId="12C64998" w14:textId="6F226291"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 xml:space="preserve">Affidavit of Ms Tladi see </w:t>
      </w:r>
      <w:r w:rsidRPr="00520578">
        <w:rPr>
          <w:rFonts w:ascii="Arial" w:hAnsi="Arial" w:cs="Arial"/>
          <w:i/>
          <w:iCs/>
          <w:lang w:val="en-ZA"/>
        </w:rPr>
        <w:t>S v Msibi</w:t>
      </w:r>
      <w:r w:rsidRPr="007D32E4">
        <w:rPr>
          <w:rFonts w:ascii="Arial" w:hAnsi="Arial" w:cs="Arial"/>
          <w:lang w:val="en-ZA"/>
        </w:rPr>
        <w:t xml:space="preserve"> 1974 (4) SA 821 (T); </w:t>
      </w:r>
      <w:r w:rsidRPr="00520578">
        <w:rPr>
          <w:rFonts w:ascii="Arial" w:hAnsi="Arial" w:cs="Arial"/>
          <w:i/>
          <w:iCs/>
          <w:lang w:val="en-ZA"/>
        </w:rPr>
        <w:t>Dawood v Mahomed</w:t>
      </w:r>
      <w:r w:rsidRPr="007D32E4">
        <w:rPr>
          <w:rFonts w:ascii="Arial" w:hAnsi="Arial" w:cs="Arial"/>
          <w:lang w:val="en-ZA"/>
        </w:rPr>
        <w:t xml:space="preserve"> 1979 (2) SA 361 (D) at 367A–B; </w:t>
      </w:r>
      <w:r w:rsidRPr="00520578">
        <w:rPr>
          <w:rFonts w:ascii="Arial" w:hAnsi="Arial" w:cs="Arial"/>
          <w:i/>
          <w:iCs/>
          <w:lang w:val="en-ZA"/>
        </w:rPr>
        <w:t>Lohrman v Vaal Ontwikkelingsmaatskappy (Edms) Bpk</w:t>
      </w:r>
      <w:r w:rsidRPr="007D32E4">
        <w:rPr>
          <w:rFonts w:ascii="Arial" w:hAnsi="Arial" w:cs="Arial"/>
          <w:lang w:val="en-ZA"/>
        </w:rPr>
        <w:t xml:space="preserve"> 1979 (3) SA 391 (T) at 396H–397A; </w:t>
      </w:r>
      <w:r w:rsidRPr="00520578">
        <w:rPr>
          <w:rFonts w:ascii="Arial" w:hAnsi="Arial" w:cs="Arial"/>
          <w:i/>
          <w:iCs/>
          <w:lang w:val="en-ZA"/>
        </w:rPr>
        <w:t>Nkondo v Minister of Police</w:t>
      </w:r>
      <w:r w:rsidRPr="007D32E4">
        <w:rPr>
          <w:rFonts w:ascii="Arial" w:hAnsi="Arial" w:cs="Arial"/>
          <w:lang w:val="en-ZA"/>
        </w:rPr>
        <w:t xml:space="preserve"> 1980 (2) SA 362 (O) at 365A–B; </w:t>
      </w:r>
      <w:r w:rsidRPr="00520578">
        <w:rPr>
          <w:rFonts w:ascii="Arial" w:hAnsi="Arial" w:cs="Arial"/>
          <w:i/>
          <w:iCs/>
          <w:lang w:val="en-ZA"/>
        </w:rPr>
        <w:t>Standard Bank of South Africa Ltd v Malefane: In re Malefane v Standard Bank of South Africa Ltd</w:t>
      </w:r>
      <w:r w:rsidRPr="007D32E4">
        <w:rPr>
          <w:rFonts w:ascii="Arial" w:hAnsi="Arial" w:cs="Arial"/>
          <w:lang w:val="en-ZA"/>
        </w:rPr>
        <w:t xml:space="preserve"> 2007 (4) SA 461 (Tk) at 465A–D</w:t>
      </w:r>
    </w:p>
  </w:footnote>
  <w:footnote w:id="22">
    <w:p w14:paraId="29D40604" w14:textId="1AA5D03F"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annexure AA2, p 056-309 par 20</w:t>
      </w:r>
    </w:p>
  </w:footnote>
  <w:footnote w:id="23">
    <w:p w14:paraId="3CD2DB2A" w14:textId="40FDBF65"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annexure AA2, p 056-317 par 46</w:t>
      </w:r>
    </w:p>
  </w:footnote>
  <w:footnote w:id="24">
    <w:p w14:paraId="0F0FBD0F" w14:textId="5CBF9796"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annexure AA2, p 056-324 paras 73 and 74</w:t>
      </w:r>
    </w:p>
  </w:footnote>
  <w:footnote w:id="25">
    <w:p w14:paraId="0A1F3210" w14:textId="64CF601C"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annexure AA2, p 056-331 par above 94</w:t>
      </w:r>
    </w:p>
  </w:footnote>
  <w:footnote w:id="26">
    <w:p w14:paraId="056E39B2" w14:textId="7837F83B" w:rsidR="00572277" w:rsidRPr="00235B23" w:rsidRDefault="00572277" w:rsidP="007D32E4">
      <w:pPr>
        <w:pStyle w:val="FootnoteText"/>
        <w:spacing w:line="276" w:lineRule="auto"/>
        <w:jc w:val="both"/>
        <w:rPr>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annexure AA2, p 056-330 par above 91</w:t>
      </w:r>
    </w:p>
  </w:footnote>
  <w:footnote w:id="27">
    <w:p w14:paraId="25C673C9" w14:textId="052EF72A"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i/>
        </w:rPr>
        <w:t>Klokow v Sullivan</w:t>
      </w:r>
      <w:r w:rsidRPr="007D32E4">
        <w:rPr>
          <w:rFonts w:ascii="Arial" w:hAnsi="Arial" w:cs="Arial"/>
        </w:rPr>
        <w:t xml:space="preserve"> 2006 (1) SA 259 (SCA)</w:t>
      </w:r>
    </w:p>
  </w:footnote>
  <w:footnote w:id="28">
    <w:p w14:paraId="5CC7A63A" w14:textId="72397B88" w:rsidR="00572277" w:rsidRPr="00572277" w:rsidRDefault="00572277" w:rsidP="007D32E4">
      <w:pPr>
        <w:pStyle w:val="FootnoteText"/>
        <w:spacing w:line="276" w:lineRule="auto"/>
        <w:jc w:val="both"/>
        <w:rPr>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para 24</w:t>
      </w:r>
    </w:p>
  </w:footnote>
  <w:footnote w:id="29">
    <w:p w14:paraId="190C539C" w14:textId="54CF5249"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 para 24</w:t>
      </w:r>
    </w:p>
  </w:footnote>
  <w:footnote w:id="30">
    <w:p w14:paraId="02994549" w14:textId="53B4CB3C" w:rsidR="00572277" w:rsidRPr="007D32E4" w:rsidRDefault="00572277" w:rsidP="007D32E4">
      <w:pPr>
        <w:pStyle w:val="FootnoteText"/>
        <w:spacing w:line="276" w:lineRule="auto"/>
        <w:jc w:val="both"/>
        <w:rPr>
          <w:rFonts w:ascii="Arial" w:hAnsi="Arial" w:cs="Arial"/>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lang w:val="en-ZA"/>
        </w:rPr>
        <w:t>Ibid</w:t>
      </w:r>
    </w:p>
  </w:footnote>
  <w:footnote w:id="31">
    <w:p w14:paraId="41ACEA3F" w14:textId="3D48DB51" w:rsidR="00572277" w:rsidRPr="00572277" w:rsidRDefault="00572277" w:rsidP="007D32E4">
      <w:pPr>
        <w:pStyle w:val="FootnoteText"/>
        <w:spacing w:line="276" w:lineRule="auto"/>
        <w:jc w:val="both"/>
        <w:rPr>
          <w:lang w:val="en-ZA"/>
        </w:rPr>
      </w:pPr>
      <w:r w:rsidRPr="007D32E4">
        <w:rPr>
          <w:rStyle w:val="FootnoteReference"/>
          <w:rFonts w:ascii="Arial" w:hAnsi="Arial" w:cs="Arial"/>
        </w:rPr>
        <w:footnoteRef/>
      </w:r>
      <w:r w:rsidRPr="007D32E4">
        <w:rPr>
          <w:rFonts w:ascii="Arial" w:hAnsi="Arial" w:cs="Arial"/>
        </w:rPr>
        <w:t xml:space="preserve"> </w:t>
      </w:r>
      <w:r w:rsidRPr="007D32E4">
        <w:rPr>
          <w:rFonts w:ascii="Arial" w:hAnsi="Arial" w:cs="Arial"/>
          <w:i/>
          <w:lang w:val="en-ZA"/>
        </w:rPr>
        <w:t>Allpay 2</w:t>
      </w:r>
      <w:r w:rsidRPr="007D32E4">
        <w:rPr>
          <w:rFonts w:ascii="Arial" w:hAnsi="Arial" w:cs="Arial"/>
          <w:lang w:val="en-ZA"/>
        </w:rPr>
        <w:t xml:space="preserve"> (note 1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4ADC" w14:textId="77777777" w:rsidR="00572277" w:rsidRDefault="00572277" w:rsidP="001A1D0B">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590A7B3" w14:textId="77777777" w:rsidR="00572277" w:rsidRDefault="00572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0F96" w14:textId="44E05665" w:rsidR="00572277" w:rsidRDefault="00572277" w:rsidP="001A1D0B">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85357">
      <w:rPr>
        <w:rStyle w:val="PageNumber"/>
        <w:rFonts w:eastAsiaTheme="majorEastAsia"/>
        <w:noProof/>
      </w:rPr>
      <w:t>2</w:t>
    </w:r>
    <w:r>
      <w:rPr>
        <w:rStyle w:val="PageNumber"/>
        <w:rFonts w:eastAsiaTheme="majorEastAsia"/>
      </w:rPr>
      <w:fldChar w:fldCharType="end"/>
    </w:r>
  </w:p>
  <w:p w14:paraId="092BA5C4" w14:textId="77777777" w:rsidR="00572277" w:rsidRPr="00A43C17" w:rsidRDefault="00572277" w:rsidP="001A1D0B">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8DD"/>
    <w:multiLevelType w:val="hybridMultilevel"/>
    <w:tmpl w:val="A252CD48"/>
    <w:lvl w:ilvl="0" w:tplc="6D04B746">
      <w:start w:val="1"/>
      <w:numFmt w:val="lowerRoman"/>
      <w:lvlText w:val="(%1)"/>
      <w:lvlJc w:val="left"/>
      <w:pPr>
        <w:ind w:left="1647" w:hanging="720"/>
      </w:pPr>
      <w:rPr>
        <w:rFonts w:hint="default"/>
        <w:sz w:val="22"/>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16920EFA"/>
    <w:multiLevelType w:val="hybridMultilevel"/>
    <w:tmpl w:val="22044042"/>
    <w:lvl w:ilvl="0" w:tplc="7368C682">
      <w:start w:val="1"/>
      <w:numFmt w:val="decimal"/>
      <w:lvlText w:val="(%1)"/>
      <w:lvlJc w:val="left"/>
      <w:pPr>
        <w:ind w:left="1840" w:hanging="40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F45473B"/>
    <w:multiLevelType w:val="multilevel"/>
    <w:tmpl w:val="EA22E304"/>
    <w:lvl w:ilvl="0">
      <w:start w:val="1"/>
      <w:numFmt w:val="decimal"/>
      <w:pStyle w:val="JudgmentNumbered"/>
      <w:lvlText w:val="[%1]"/>
      <w:lvlJc w:val="left"/>
      <w:pPr>
        <w:ind w:left="1134" w:hanging="567"/>
      </w:pPr>
      <w:rPr>
        <w:b w:val="0"/>
        <w:bCs w:val="0"/>
      </w:rPr>
    </w:lvl>
    <w:lvl w:ilvl="1">
      <w:start w:val="1"/>
      <w:numFmt w:val="lowerLetter"/>
      <w:lvlText w:val="%2."/>
      <w:lvlJc w:val="left"/>
      <w:pPr>
        <w:ind w:left="1701" w:hanging="567"/>
      </w:pPr>
    </w:lvl>
    <w:lvl w:ilvl="2">
      <w:start w:val="1"/>
      <w:numFmt w:val="lowerRoman"/>
      <w:lvlText w:val="%3."/>
      <w:lvlJc w:val="left"/>
      <w:pPr>
        <w:tabs>
          <w:tab w:val="num" w:pos="2268"/>
        </w:tabs>
        <w:ind w:left="2268" w:hanging="567"/>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272204E5"/>
    <w:multiLevelType w:val="hybridMultilevel"/>
    <w:tmpl w:val="A118B802"/>
    <w:lvl w:ilvl="0" w:tplc="F4D409EA">
      <w:start w:val="1"/>
      <w:numFmt w:val="decimal"/>
      <w:lvlText w:val="%1."/>
      <w:lvlJc w:val="left"/>
      <w:pPr>
        <w:ind w:left="1350" w:hanging="9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46A7E45"/>
    <w:multiLevelType w:val="hybridMultilevel"/>
    <w:tmpl w:val="1F42865C"/>
    <w:lvl w:ilvl="0" w:tplc="6D5A7482">
      <w:start w:val="2"/>
      <w:numFmt w:val="lowerRoman"/>
      <w:lvlText w:val="(%1)"/>
      <w:lvlJc w:val="left"/>
      <w:pPr>
        <w:ind w:left="1347" w:hanging="720"/>
      </w:pPr>
      <w:rPr>
        <w:rFonts w:hint="default"/>
        <w:sz w:val="22"/>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6" w15:restartNumberingAfterBreak="0">
    <w:nsid w:val="53AD6E01"/>
    <w:multiLevelType w:val="hybridMultilevel"/>
    <w:tmpl w:val="617AFD2A"/>
    <w:lvl w:ilvl="0" w:tplc="0C04748A">
      <w:start w:val="1"/>
      <w:numFmt w:val="lowerLetter"/>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56DA3220"/>
    <w:multiLevelType w:val="hybridMultilevel"/>
    <w:tmpl w:val="738AE174"/>
    <w:lvl w:ilvl="0" w:tplc="CDF4C022">
      <w:start w:val="1"/>
      <w:numFmt w:val="lowerLetter"/>
      <w:lvlText w:val="(%1)"/>
      <w:lvlJc w:val="left"/>
      <w:pPr>
        <w:ind w:left="927" w:hanging="360"/>
      </w:pPr>
      <w:rPr>
        <w:rFonts w:hint="default"/>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D06419"/>
    <w:multiLevelType w:val="hybridMultilevel"/>
    <w:tmpl w:val="96061360"/>
    <w:lvl w:ilvl="0" w:tplc="318E93C0">
      <w:start w:val="9"/>
      <w:numFmt w:val="lowerLetter"/>
      <w:lvlText w:val="(%1)"/>
      <w:lvlJc w:val="left"/>
      <w:pPr>
        <w:ind w:left="987" w:hanging="360"/>
      </w:pPr>
      <w:rPr>
        <w:rFonts w:hint="default"/>
        <w:sz w:val="22"/>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10" w15:restartNumberingAfterBreak="0">
    <w:nsid w:val="65732EBC"/>
    <w:multiLevelType w:val="hybridMultilevel"/>
    <w:tmpl w:val="8FBE1796"/>
    <w:lvl w:ilvl="0" w:tplc="F8EAB000">
      <w:start w:val="1"/>
      <w:numFmt w:val="lowerLetter"/>
      <w:lvlText w:val="(%1)"/>
      <w:lvlJc w:val="left"/>
      <w:pPr>
        <w:ind w:left="2200" w:hanging="360"/>
      </w:pPr>
      <w:rPr>
        <w:rFonts w:hint="default"/>
      </w:rPr>
    </w:lvl>
    <w:lvl w:ilvl="1" w:tplc="1C090019" w:tentative="1">
      <w:start w:val="1"/>
      <w:numFmt w:val="lowerLetter"/>
      <w:lvlText w:val="%2."/>
      <w:lvlJc w:val="left"/>
      <w:pPr>
        <w:ind w:left="2920" w:hanging="360"/>
      </w:pPr>
    </w:lvl>
    <w:lvl w:ilvl="2" w:tplc="1C09001B" w:tentative="1">
      <w:start w:val="1"/>
      <w:numFmt w:val="lowerRoman"/>
      <w:lvlText w:val="%3."/>
      <w:lvlJc w:val="right"/>
      <w:pPr>
        <w:ind w:left="3640" w:hanging="180"/>
      </w:pPr>
    </w:lvl>
    <w:lvl w:ilvl="3" w:tplc="1C09000F" w:tentative="1">
      <w:start w:val="1"/>
      <w:numFmt w:val="decimal"/>
      <w:lvlText w:val="%4."/>
      <w:lvlJc w:val="left"/>
      <w:pPr>
        <w:ind w:left="4360" w:hanging="360"/>
      </w:pPr>
    </w:lvl>
    <w:lvl w:ilvl="4" w:tplc="1C090019" w:tentative="1">
      <w:start w:val="1"/>
      <w:numFmt w:val="lowerLetter"/>
      <w:lvlText w:val="%5."/>
      <w:lvlJc w:val="left"/>
      <w:pPr>
        <w:ind w:left="5080" w:hanging="360"/>
      </w:pPr>
    </w:lvl>
    <w:lvl w:ilvl="5" w:tplc="1C09001B" w:tentative="1">
      <w:start w:val="1"/>
      <w:numFmt w:val="lowerRoman"/>
      <w:lvlText w:val="%6."/>
      <w:lvlJc w:val="right"/>
      <w:pPr>
        <w:ind w:left="5800" w:hanging="180"/>
      </w:pPr>
    </w:lvl>
    <w:lvl w:ilvl="6" w:tplc="1C09000F" w:tentative="1">
      <w:start w:val="1"/>
      <w:numFmt w:val="decimal"/>
      <w:lvlText w:val="%7."/>
      <w:lvlJc w:val="left"/>
      <w:pPr>
        <w:ind w:left="6520" w:hanging="360"/>
      </w:pPr>
    </w:lvl>
    <w:lvl w:ilvl="7" w:tplc="1C090019" w:tentative="1">
      <w:start w:val="1"/>
      <w:numFmt w:val="lowerLetter"/>
      <w:lvlText w:val="%8."/>
      <w:lvlJc w:val="left"/>
      <w:pPr>
        <w:ind w:left="7240" w:hanging="360"/>
      </w:pPr>
    </w:lvl>
    <w:lvl w:ilvl="8" w:tplc="1C09001B" w:tentative="1">
      <w:start w:val="1"/>
      <w:numFmt w:val="lowerRoman"/>
      <w:lvlText w:val="%9."/>
      <w:lvlJc w:val="right"/>
      <w:pPr>
        <w:ind w:left="7960" w:hanging="180"/>
      </w:pPr>
    </w:lvl>
  </w:abstractNum>
  <w:abstractNum w:abstractNumId="11" w15:restartNumberingAfterBreak="0">
    <w:nsid w:val="709F66A4"/>
    <w:multiLevelType w:val="hybridMultilevel"/>
    <w:tmpl w:val="B46E739E"/>
    <w:lvl w:ilvl="0" w:tplc="DF02D384">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85236B5"/>
    <w:multiLevelType w:val="hybridMultilevel"/>
    <w:tmpl w:val="23B0A0E8"/>
    <w:lvl w:ilvl="0" w:tplc="9496CD78">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AE45B32"/>
    <w:multiLevelType w:val="hybridMultilevel"/>
    <w:tmpl w:val="49EE9D50"/>
    <w:lvl w:ilvl="0" w:tplc="53B260EA">
      <w:start w:val="1"/>
      <w:numFmt w:val="lowerRoman"/>
      <w:lvlText w:val="(%1)"/>
      <w:lvlJc w:val="left"/>
      <w:pPr>
        <w:ind w:left="1330" w:hanging="720"/>
      </w:pPr>
      <w:rPr>
        <w:rFonts w:hint="default"/>
        <w:sz w:val="22"/>
      </w:rPr>
    </w:lvl>
    <w:lvl w:ilvl="1" w:tplc="1C090019" w:tentative="1">
      <w:start w:val="1"/>
      <w:numFmt w:val="lowerLetter"/>
      <w:lvlText w:val="%2."/>
      <w:lvlJc w:val="left"/>
      <w:pPr>
        <w:ind w:left="1690" w:hanging="360"/>
      </w:pPr>
    </w:lvl>
    <w:lvl w:ilvl="2" w:tplc="1C09001B" w:tentative="1">
      <w:start w:val="1"/>
      <w:numFmt w:val="lowerRoman"/>
      <w:lvlText w:val="%3."/>
      <w:lvlJc w:val="right"/>
      <w:pPr>
        <w:ind w:left="2410" w:hanging="180"/>
      </w:pPr>
    </w:lvl>
    <w:lvl w:ilvl="3" w:tplc="1C09000F" w:tentative="1">
      <w:start w:val="1"/>
      <w:numFmt w:val="decimal"/>
      <w:lvlText w:val="%4."/>
      <w:lvlJc w:val="left"/>
      <w:pPr>
        <w:ind w:left="3130" w:hanging="360"/>
      </w:pPr>
    </w:lvl>
    <w:lvl w:ilvl="4" w:tplc="1C090019" w:tentative="1">
      <w:start w:val="1"/>
      <w:numFmt w:val="lowerLetter"/>
      <w:lvlText w:val="%5."/>
      <w:lvlJc w:val="left"/>
      <w:pPr>
        <w:ind w:left="3850" w:hanging="360"/>
      </w:pPr>
    </w:lvl>
    <w:lvl w:ilvl="5" w:tplc="1C09001B" w:tentative="1">
      <w:start w:val="1"/>
      <w:numFmt w:val="lowerRoman"/>
      <w:lvlText w:val="%6."/>
      <w:lvlJc w:val="right"/>
      <w:pPr>
        <w:ind w:left="4570" w:hanging="180"/>
      </w:pPr>
    </w:lvl>
    <w:lvl w:ilvl="6" w:tplc="1C09000F" w:tentative="1">
      <w:start w:val="1"/>
      <w:numFmt w:val="decimal"/>
      <w:lvlText w:val="%7."/>
      <w:lvlJc w:val="left"/>
      <w:pPr>
        <w:ind w:left="5290" w:hanging="360"/>
      </w:pPr>
    </w:lvl>
    <w:lvl w:ilvl="7" w:tplc="1C090019" w:tentative="1">
      <w:start w:val="1"/>
      <w:numFmt w:val="lowerLetter"/>
      <w:lvlText w:val="%8."/>
      <w:lvlJc w:val="left"/>
      <w:pPr>
        <w:ind w:left="6010" w:hanging="360"/>
      </w:pPr>
    </w:lvl>
    <w:lvl w:ilvl="8" w:tplc="1C09001B" w:tentative="1">
      <w:start w:val="1"/>
      <w:numFmt w:val="lowerRoman"/>
      <w:lvlText w:val="%9."/>
      <w:lvlJc w:val="right"/>
      <w:pPr>
        <w:ind w:left="6730" w:hanging="180"/>
      </w:pPr>
    </w:lvl>
  </w:abstractNum>
  <w:abstractNum w:abstractNumId="14" w15:restartNumberingAfterBreak="0">
    <w:nsid w:val="7CEC4F0D"/>
    <w:multiLevelType w:val="hybridMultilevel"/>
    <w:tmpl w:val="9EA498A2"/>
    <w:lvl w:ilvl="0" w:tplc="122C64C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3"/>
  </w:num>
  <w:num w:numId="2">
    <w:abstractNumId w:val="12"/>
  </w:num>
  <w:num w:numId="3">
    <w:abstractNumId w:val="14"/>
  </w:num>
  <w:num w:numId="4">
    <w:abstractNumId w:val="13"/>
  </w:num>
  <w:num w:numId="5">
    <w:abstractNumId w:val="6"/>
  </w:num>
  <w:num w:numId="6">
    <w:abstractNumId w:val="0"/>
  </w:num>
  <w:num w:numId="7">
    <w:abstractNumId w:val="9"/>
  </w:num>
  <w:num w:numId="8">
    <w:abstractNumId w:val="5"/>
  </w:num>
  <w:num w:numId="9">
    <w:abstractNumId w:val="7"/>
  </w:num>
  <w:num w:numId="10">
    <w:abstractNumId w:val="8"/>
  </w:num>
  <w:num w:numId="11">
    <w:abstractNumId w:val="2"/>
  </w:num>
  <w:num w:numId="12">
    <w:abstractNumId w:val="1"/>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UxMLEwNDYyNDC3NDFU0lEKTi0uzszPAykwrAUARZUmFSwAAAA="/>
  </w:docVars>
  <w:rsids>
    <w:rsidRoot w:val="007A428B"/>
    <w:rsid w:val="00001DA3"/>
    <w:rsid w:val="00005423"/>
    <w:rsid w:val="0001258D"/>
    <w:rsid w:val="00012BF6"/>
    <w:rsid w:val="00014D90"/>
    <w:rsid w:val="00017F40"/>
    <w:rsid w:val="000238B8"/>
    <w:rsid w:val="000312F4"/>
    <w:rsid w:val="00034D66"/>
    <w:rsid w:val="00042B7A"/>
    <w:rsid w:val="0004706F"/>
    <w:rsid w:val="000518C1"/>
    <w:rsid w:val="000606C7"/>
    <w:rsid w:val="000729AF"/>
    <w:rsid w:val="00077B2F"/>
    <w:rsid w:val="00081DD9"/>
    <w:rsid w:val="00085C60"/>
    <w:rsid w:val="00095318"/>
    <w:rsid w:val="000D54D2"/>
    <w:rsid w:val="000D6329"/>
    <w:rsid w:val="00125C4D"/>
    <w:rsid w:val="00177755"/>
    <w:rsid w:val="00181D7B"/>
    <w:rsid w:val="00186039"/>
    <w:rsid w:val="0019603A"/>
    <w:rsid w:val="001A1D0B"/>
    <w:rsid w:val="001C0F27"/>
    <w:rsid w:val="001C5D8F"/>
    <w:rsid w:val="001D3975"/>
    <w:rsid w:val="001E6D62"/>
    <w:rsid w:val="00200ECE"/>
    <w:rsid w:val="002112FF"/>
    <w:rsid w:val="00235B23"/>
    <w:rsid w:val="0023783F"/>
    <w:rsid w:val="002B666A"/>
    <w:rsid w:val="002D13BE"/>
    <w:rsid w:val="002D6069"/>
    <w:rsid w:val="002E4850"/>
    <w:rsid w:val="002F07D0"/>
    <w:rsid w:val="002F185E"/>
    <w:rsid w:val="00311B24"/>
    <w:rsid w:val="0031726D"/>
    <w:rsid w:val="00332C42"/>
    <w:rsid w:val="00341216"/>
    <w:rsid w:val="00342527"/>
    <w:rsid w:val="0034743F"/>
    <w:rsid w:val="00365631"/>
    <w:rsid w:val="00385679"/>
    <w:rsid w:val="003D63DD"/>
    <w:rsid w:val="003E4E58"/>
    <w:rsid w:val="003E5D30"/>
    <w:rsid w:val="003F0BC5"/>
    <w:rsid w:val="00431C31"/>
    <w:rsid w:val="0043444F"/>
    <w:rsid w:val="0045242F"/>
    <w:rsid w:val="004575C8"/>
    <w:rsid w:val="004625A3"/>
    <w:rsid w:val="00486049"/>
    <w:rsid w:val="004A4D42"/>
    <w:rsid w:val="004D568E"/>
    <w:rsid w:val="004E59CC"/>
    <w:rsid w:val="005012F9"/>
    <w:rsid w:val="005026FB"/>
    <w:rsid w:val="00505C30"/>
    <w:rsid w:val="0050772F"/>
    <w:rsid w:val="00520578"/>
    <w:rsid w:val="00527CC1"/>
    <w:rsid w:val="00536556"/>
    <w:rsid w:val="00572277"/>
    <w:rsid w:val="00575BE0"/>
    <w:rsid w:val="00582BE6"/>
    <w:rsid w:val="00585226"/>
    <w:rsid w:val="005C0DD2"/>
    <w:rsid w:val="005D1637"/>
    <w:rsid w:val="005D5CCC"/>
    <w:rsid w:val="005D797B"/>
    <w:rsid w:val="00613F6D"/>
    <w:rsid w:val="006222FF"/>
    <w:rsid w:val="00633102"/>
    <w:rsid w:val="00646883"/>
    <w:rsid w:val="0069616B"/>
    <w:rsid w:val="00697E9D"/>
    <w:rsid w:val="006A7AEE"/>
    <w:rsid w:val="00700C1E"/>
    <w:rsid w:val="00702E00"/>
    <w:rsid w:val="00707F7A"/>
    <w:rsid w:val="00710381"/>
    <w:rsid w:val="00725415"/>
    <w:rsid w:val="00725F99"/>
    <w:rsid w:val="00753294"/>
    <w:rsid w:val="00771C29"/>
    <w:rsid w:val="00774F02"/>
    <w:rsid w:val="00783E10"/>
    <w:rsid w:val="00787DC6"/>
    <w:rsid w:val="007A428B"/>
    <w:rsid w:val="007B241C"/>
    <w:rsid w:val="007B5851"/>
    <w:rsid w:val="007D32E4"/>
    <w:rsid w:val="007E5765"/>
    <w:rsid w:val="007F32B2"/>
    <w:rsid w:val="007F37EB"/>
    <w:rsid w:val="008333FB"/>
    <w:rsid w:val="008507D2"/>
    <w:rsid w:val="0085640F"/>
    <w:rsid w:val="008938FD"/>
    <w:rsid w:val="00897830"/>
    <w:rsid w:val="008D15C2"/>
    <w:rsid w:val="008D650D"/>
    <w:rsid w:val="008D7EEC"/>
    <w:rsid w:val="008F4D8F"/>
    <w:rsid w:val="0091208F"/>
    <w:rsid w:val="00927EC4"/>
    <w:rsid w:val="00975FBB"/>
    <w:rsid w:val="009A512B"/>
    <w:rsid w:val="009B4108"/>
    <w:rsid w:val="009D1FEE"/>
    <w:rsid w:val="009E789F"/>
    <w:rsid w:val="009F5BD0"/>
    <w:rsid w:val="00A053DF"/>
    <w:rsid w:val="00A13385"/>
    <w:rsid w:val="00A90377"/>
    <w:rsid w:val="00AA3D5E"/>
    <w:rsid w:val="00AB2494"/>
    <w:rsid w:val="00AB3382"/>
    <w:rsid w:val="00AB57D5"/>
    <w:rsid w:val="00AD0262"/>
    <w:rsid w:val="00B22778"/>
    <w:rsid w:val="00B27526"/>
    <w:rsid w:val="00B443CA"/>
    <w:rsid w:val="00B669EE"/>
    <w:rsid w:val="00BD36AC"/>
    <w:rsid w:val="00C93E00"/>
    <w:rsid w:val="00CA0C24"/>
    <w:rsid w:val="00CC7C19"/>
    <w:rsid w:val="00CD453E"/>
    <w:rsid w:val="00CE123F"/>
    <w:rsid w:val="00CF136D"/>
    <w:rsid w:val="00CF35C5"/>
    <w:rsid w:val="00D11C69"/>
    <w:rsid w:val="00D50635"/>
    <w:rsid w:val="00D55009"/>
    <w:rsid w:val="00D57199"/>
    <w:rsid w:val="00D90DA6"/>
    <w:rsid w:val="00D94E0F"/>
    <w:rsid w:val="00DC6E12"/>
    <w:rsid w:val="00DD3F4D"/>
    <w:rsid w:val="00DF56D0"/>
    <w:rsid w:val="00E21EA3"/>
    <w:rsid w:val="00E33261"/>
    <w:rsid w:val="00E368AD"/>
    <w:rsid w:val="00E5157C"/>
    <w:rsid w:val="00E83615"/>
    <w:rsid w:val="00E85357"/>
    <w:rsid w:val="00E87189"/>
    <w:rsid w:val="00EA3BA1"/>
    <w:rsid w:val="00EB5930"/>
    <w:rsid w:val="00EE6A5A"/>
    <w:rsid w:val="00EF25D1"/>
    <w:rsid w:val="00EF3313"/>
    <w:rsid w:val="00F02AA8"/>
    <w:rsid w:val="00F462EF"/>
    <w:rsid w:val="00F515E9"/>
    <w:rsid w:val="00F6248E"/>
    <w:rsid w:val="00F6331D"/>
    <w:rsid w:val="00F81D72"/>
    <w:rsid w:val="00F840A3"/>
    <w:rsid w:val="00FA49EF"/>
    <w:rsid w:val="00FC1B9F"/>
    <w:rsid w:val="00FC48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3FC0"/>
  <w15:chartTrackingRefBased/>
  <w15:docId w15:val="{27F39689-BF24-44E0-90D6-9EE7079E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8B"/>
    <w:rPr>
      <w:kern w:val="0"/>
      <w14:ligatures w14:val="none"/>
    </w:rPr>
  </w:style>
  <w:style w:type="paragraph" w:styleId="Heading1">
    <w:name w:val="heading 1"/>
    <w:basedOn w:val="Normal"/>
    <w:next w:val="Normal"/>
    <w:link w:val="Heading1Char"/>
    <w:uiPriority w:val="9"/>
    <w:qFormat/>
    <w:rsid w:val="007A428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A428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A428B"/>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A428B"/>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A428B"/>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A42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42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42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42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8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A428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A428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A428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7A428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7A42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2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2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28B"/>
    <w:rPr>
      <w:rFonts w:eastAsiaTheme="majorEastAsia" w:cstheme="majorBidi"/>
      <w:color w:val="272727" w:themeColor="text1" w:themeTint="D8"/>
    </w:rPr>
  </w:style>
  <w:style w:type="paragraph" w:styleId="Title">
    <w:name w:val="Title"/>
    <w:basedOn w:val="Normal"/>
    <w:next w:val="Normal"/>
    <w:link w:val="TitleChar"/>
    <w:uiPriority w:val="10"/>
    <w:qFormat/>
    <w:rsid w:val="007A42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2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2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42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28B"/>
    <w:pPr>
      <w:spacing w:before="160"/>
      <w:jc w:val="center"/>
    </w:pPr>
    <w:rPr>
      <w:i/>
      <w:iCs/>
      <w:color w:val="404040" w:themeColor="text1" w:themeTint="BF"/>
    </w:rPr>
  </w:style>
  <w:style w:type="character" w:customStyle="1" w:styleId="QuoteChar">
    <w:name w:val="Quote Char"/>
    <w:basedOn w:val="DefaultParagraphFont"/>
    <w:link w:val="Quote"/>
    <w:uiPriority w:val="29"/>
    <w:rsid w:val="007A428B"/>
    <w:rPr>
      <w:i/>
      <w:iCs/>
      <w:color w:val="404040" w:themeColor="text1" w:themeTint="BF"/>
    </w:rPr>
  </w:style>
  <w:style w:type="paragraph" w:styleId="ListParagraph">
    <w:name w:val="List Paragraph"/>
    <w:basedOn w:val="Normal"/>
    <w:uiPriority w:val="34"/>
    <w:qFormat/>
    <w:rsid w:val="007A428B"/>
    <w:pPr>
      <w:ind w:left="720"/>
      <w:contextualSpacing/>
    </w:pPr>
  </w:style>
  <w:style w:type="character" w:styleId="IntenseEmphasis">
    <w:name w:val="Intense Emphasis"/>
    <w:basedOn w:val="DefaultParagraphFont"/>
    <w:uiPriority w:val="21"/>
    <w:qFormat/>
    <w:rsid w:val="007A428B"/>
    <w:rPr>
      <w:i/>
      <w:iCs/>
      <w:color w:val="2E74B5" w:themeColor="accent1" w:themeShade="BF"/>
    </w:rPr>
  </w:style>
  <w:style w:type="paragraph" w:styleId="IntenseQuote">
    <w:name w:val="Intense Quote"/>
    <w:basedOn w:val="Normal"/>
    <w:next w:val="Normal"/>
    <w:link w:val="IntenseQuoteChar"/>
    <w:uiPriority w:val="30"/>
    <w:qFormat/>
    <w:rsid w:val="007A428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A428B"/>
    <w:rPr>
      <w:i/>
      <w:iCs/>
      <w:color w:val="2E74B5" w:themeColor="accent1" w:themeShade="BF"/>
    </w:rPr>
  </w:style>
  <w:style w:type="character" w:styleId="IntenseReference">
    <w:name w:val="Intense Reference"/>
    <w:basedOn w:val="DefaultParagraphFont"/>
    <w:uiPriority w:val="32"/>
    <w:qFormat/>
    <w:rsid w:val="007A428B"/>
    <w:rPr>
      <w:b/>
      <w:bCs/>
      <w:smallCaps/>
      <w:color w:val="2E74B5" w:themeColor="accent1" w:themeShade="BF"/>
      <w:spacing w:val="5"/>
    </w:rPr>
  </w:style>
  <w:style w:type="paragraph" w:styleId="Header">
    <w:name w:val="header"/>
    <w:basedOn w:val="Normal"/>
    <w:link w:val="HeaderChar"/>
    <w:rsid w:val="007A428B"/>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7A428B"/>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7A428B"/>
  </w:style>
  <w:style w:type="character" w:customStyle="1" w:styleId="JudgmentNumberedChar">
    <w:name w:val="Judgment Numbered Char"/>
    <w:link w:val="JudgmentNumbered"/>
    <w:locked/>
    <w:rsid w:val="007A428B"/>
    <w:rPr>
      <w:rFonts w:ascii="Arial" w:hAnsi="Arial" w:cs="Arial"/>
      <w:sz w:val="24"/>
      <w:lang w:val="en-GB"/>
    </w:rPr>
  </w:style>
  <w:style w:type="paragraph" w:customStyle="1" w:styleId="JudgmentNumbered">
    <w:name w:val="Judgment Numbered"/>
    <w:basedOn w:val="Normal"/>
    <w:link w:val="JudgmentNumberedChar"/>
    <w:qFormat/>
    <w:rsid w:val="007A428B"/>
    <w:pPr>
      <w:numPr>
        <w:numId w:val="1"/>
      </w:numPr>
      <w:spacing w:after="240" w:line="360" w:lineRule="auto"/>
      <w:jc w:val="both"/>
    </w:pPr>
    <w:rPr>
      <w:rFonts w:ascii="Arial" w:hAnsi="Arial" w:cs="Arial"/>
      <w:kern w:val="2"/>
      <w:sz w:val="24"/>
      <w:lang w:val="en-GB"/>
      <w14:ligatures w14:val="standardContextual"/>
    </w:rPr>
  </w:style>
  <w:style w:type="paragraph" w:styleId="FootnoteText">
    <w:name w:val="footnote text"/>
    <w:basedOn w:val="Normal"/>
    <w:link w:val="FootnoteTextChar"/>
    <w:uiPriority w:val="99"/>
    <w:rsid w:val="007A428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7A428B"/>
    <w:rPr>
      <w:rFonts w:ascii="Times New Roman" w:eastAsia="Times New Roman" w:hAnsi="Times New Roman" w:cs="Times New Roman"/>
      <w:kern w:val="0"/>
      <w:sz w:val="20"/>
      <w:szCs w:val="20"/>
      <w:lang w:val="en-GB" w:eastAsia="en-GB"/>
      <w14:ligatures w14:val="none"/>
    </w:rPr>
  </w:style>
  <w:style w:type="character" w:styleId="FootnoteReference">
    <w:name w:val="footnote reference"/>
    <w:rsid w:val="007A428B"/>
    <w:rPr>
      <w:vertAlign w:val="superscript"/>
    </w:rPr>
  </w:style>
  <w:style w:type="paragraph" w:styleId="Footer">
    <w:name w:val="footer"/>
    <w:basedOn w:val="Normal"/>
    <w:link w:val="FooterChar"/>
    <w:uiPriority w:val="99"/>
    <w:unhideWhenUsed/>
    <w:rsid w:val="007A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28B"/>
    <w:rPr>
      <w:kern w:val="0"/>
      <w14:ligatures w14:val="none"/>
    </w:rPr>
  </w:style>
  <w:style w:type="paragraph" w:styleId="BalloonText">
    <w:name w:val="Balloon Text"/>
    <w:basedOn w:val="Normal"/>
    <w:link w:val="BalloonTextChar"/>
    <w:uiPriority w:val="99"/>
    <w:semiHidden/>
    <w:unhideWhenUsed/>
    <w:rsid w:val="007A4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8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52B9-358D-4E86-94B9-1F044FDD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Tshwarelo Mabina</cp:lastModifiedBy>
  <cp:revision>2</cp:revision>
  <cp:lastPrinted>2024-03-19T10:41:00Z</cp:lastPrinted>
  <dcterms:created xsi:type="dcterms:W3CDTF">2024-03-20T10:56:00Z</dcterms:created>
  <dcterms:modified xsi:type="dcterms:W3CDTF">2024-03-20T10:56:00Z</dcterms:modified>
</cp:coreProperties>
</file>