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1C58C" w14:textId="77777777" w:rsidR="00F11FF9" w:rsidRPr="00F11FF9" w:rsidRDefault="00F11FF9" w:rsidP="00F11FF9">
      <w:pPr>
        <w:jc w:val="center"/>
        <w:rPr>
          <w:rFonts w:ascii="Arial" w:hAnsi="Arial" w:cs="Arial"/>
          <w:b/>
          <w:bCs/>
          <w:lang w:val="en-ZA"/>
        </w:rPr>
      </w:pPr>
      <w:r w:rsidRPr="00F11FF9">
        <w:rPr>
          <w:rFonts w:ascii="Arial" w:hAnsi="Arial" w:cs="Arial"/>
          <w:b/>
          <w:bCs/>
          <w:noProof/>
          <w:lang w:val="en-ZA" w:eastAsia="en-ZA"/>
        </w:rPr>
        <w:drawing>
          <wp:inline distT="0" distB="0" distL="0" distR="0" wp14:anchorId="72992640" wp14:editId="785D4A1A">
            <wp:extent cx="1543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p w14:paraId="21845883" w14:textId="633475C4" w:rsidR="00F11FF9" w:rsidRPr="00F11FF9" w:rsidRDefault="00F11FF9" w:rsidP="00F11FF9">
      <w:pPr>
        <w:jc w:val="center"/>
        <w:rPr>
          <w:rFonts w:ascii="Arial" w:hAnsi="Arial" w:cs="Arial"/>
          <w:b/>
          <w:lang w:val="en-ZA"/>
        </w:rPr>
      </w:pPr>
      <w:r w:rsidRPr="00F11FF9">
        <w:rPr>
          <w:rFonts w:ascii="Arial" w:hAnsi="Arial" w:cs="Arial"/>
          <w:b/>
          <w:lang w:val="en-ZA"/>
        </w:rPr>
        <w:t>IN THE HIGH COURT OF SOUTH AFRICA,</w:t>
      </w:r>
    </w:p>
    <w:p w14:paraId="6D446C75" w14:textId="5126059A" w:rsidR="00F11FF9" w:rsidRDefault="00F11FF9" w:rsidP="00F11FF9">
      <w:pPr>
        <w:jc w:val="center"/>
        <w:rPr>
          <w:rFonts w:ascii="Arial" w:hAnsi="Arial" w:cs="Arial"/>
          <w:b/>
          <w:lang w:val="en-ZA"/>
        </w:rPr>
      </w:pPr>
      <w:r w:rsidRPr="00F11FF9">
        <w:rPr>
          <w:rFonts w:ascii="Arial" w:hAnsi="Arial" w:cs="Arial"/>
          <w:b/>
          <w:lang w:val="en-ZA"/>
        </w:rPr>
        <w:t>GAUTENG DIVISION, JOHANNESBURG</w:t>
      </w:r>
    </w:p>
    <w:p w14:paraId="3AB1CB00" w14:textId="77777777" w:rsidR="00153CA4" w:rsidRPr="00F11FF9" w:rsidRDefault="00153CA4" w:rsidP="00F11FF9">
      <w:pPr>
        <w:jc w:val="center"/>
        <w:rPr>
          <w:rFonts w:ascii="Arial" w:hAnsi="Arial" w:cs="Arial"/>
          <w:b/>
          <w:lang w:val="en-ZA"/>
        </w:rPr>
      </w:pPr>
    </w:p>
    <w:p w14:paraId="7501C0A8" w14:textId="77777777" w:rsidR="00F11FF9" w:rsidRPr="00F11FF9" w:rsidRDefault="00F11FF9" w:rsidP="00F11FF9">
      <w:pPr>
        <w:jc w:val="right"/>
        <w:rPr>
          <w:rFonts w:ascii="Arial" w:hAnsi="Arial" w:cs="Arial"/>
          <w:b/>
          <w:lang w:val="en-ZA"/>
        </w:rPr>
      </w:pPr>
    </w:p>
    <w:p w14:paraId="5F48EC7C" w14:textId="048E6B75" w:rsidR="00F11FF9" w:rsidRPr="00F11FF9" w:rsidRDefault="00153CA4" w:rsidP="00D221C4">
      <w:pPr>
        <w:ind w:left="4320" w:firstLine="720"/>
        <w:jc w:val="center"/>
        <w:rPr>
          <w:rFonts w:ascii="Arial" w:hAnsi="Arial" w:cs="Arial"/>
          <w:b/>
          <w:lang w:val="en-ZA"/>
        </w:rPr>
      </w:pPr>
      <w:r>
        <w:rPr>
          <w:rFonts w:ascii="Arial" w:hAnsi="Arial" w:cs="Arial"/>
          <w:b/>
          <w:lang w:val="en-ZA"/>
        </w:rPr>
        <w:t xml:space="preserve">                 </w:t>
      </w:r>
      <w:r w:rsidR="00F11FF9" w:rsidRPr="00F11FF9">
        <w:rPr>
          <w:rFonts w:ascii="Arial" w:hAnsi="Arial" w:cs="Arial"/>
          <w:b/>
          <w:lang w:val="en-ZA"/>
        </w:rPr>
        <w:t>CASE NO:</w:t>
      </w:r>
      <w:r w:rsidR="000155AD">
        <w:rPr>
          <w:rFonts w:ascii="Arial" w:hAnsi="Arial" w:cs="Arial"/>
          <w:b/>
          <w:lang w:val="en-ZA"/>
        </w:rPr>
        <w:t xml:space="preserve"> </w:t>
      </w:r>
      <w:r w:rsidR="00872547">
        <w:rPr>
          <w:rFonts w:ascii="Arial" w:hAnsi="Arial" w:cs="Arial"/>
          <w:b/>
          <w:lang w:val="en-ZA"/>
        </w:rPr>
        <w:t>2022-035089</w:t>
      </w:r>
    </w:p>
    <w:p w14:paraId="0BA529D7" w14:textId="3360EB5B" w:rsidR="00F11FF9" w:rsidRPr="00F11FF9" w:rsidRDefault="00F11FF9" w:rsidP="00F11FF9">
      <w:pPr>
        <w:rPr>
          <w:rFonts w:ascii="Arial" w:hAnsi="Arial" w:cs="Arial"/>
          <w:b/>
          <w:lang w:val="en-ZA"/>
        </w:rPr>
      </w:pPr>
    </w:p>
    <w:p w14:paraId="5A42D9F2" w14:textId="2831CF50" w:rsidR="00F11FF9" w:rsidRPr="00F11FF9" w:rsidRDefault="00F11FF9" w:rsidP="00F11FF9">
      <w:pPr>
        <w:rPr>
          <w:rFonts w:ascii="Arial" w:hAnsi="Arial" w:cs="Arial"/>
          <w:lang w:val="en-ZA"/>
        </w:rPr>
      </w:pPr>
      <w:r w:rsidRPr="00F11FF9">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2DF0B42B" wp14:editId="19EAEDF5">
                <wp:simplePos x="0" y="0"/>
                <wp:positionH relativeFrom="margin">
                  <wp:align>left</wp:align>
                </wp:positionH>
                <wp:positionV relativeFrom="paragraph">
                  <wp:posOffset>18415</wp:posOffset>
                </wp:positionV>
                <wp:extent cx="3200400" cy="1247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47775"/>
                        </a:xfrm>
                        <a:prstGeom prst="rect">
                          <a:avLst/>
                        </a:prstGeom>
                        <a:solidFill>
                          <a:srgbClr val="FFFFFF"/>
                        </a:solidFill>
                        <a:ln w="9525">
                          <a:solidFill>
                            <a:srgbClr val="000000"/>
                          </a:solidFill>
                          <a:miter lim="800000"/>
                          <a:headEnd/>
                          <a:tailEnd/>
                        </a:ln>
                      </wps:spPr>
                      <wps:txbx>
                        <w:txbxContent>
                          <w:p w14:paraId="1F0014BF" w14:textId="77777777" w:rsidR="004216BE" w:rsidRPr="00913F95" w:rsidRDefault="004216BE" w:rsidP="00F11FF9">
                            <w:pPr>
                              <w:jc w:val="center"/>
                              <w:rPr>
                                <w:rFonts w:ascii="Century Gothic" w:hAnsi="Century Gothic"/>
                                <w:b/>
                                <w:sz w:val="20"/>
                                <w:szCs w:val="20"/>
                              </w:rPr>
                            </w:pPr>
                          </w:p>
                          <w:p w14:paraId="6128A3C0" w14:textId="693461FD" w:rsidR="004216BE" w:rsidRDefault="00C57946" w:rsidP="00C5794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6BE" w:rsidRPr="00913F95">
                              <w:rPr>
                                <w:rFonts w:ascii="Century Gothic" w:hAnsi="Century Gothic"/>
                                <w:sz w:val="20"/>
                                <w:szCs w:val="20"/>
                              </w:rPr>
                              <w:t xml:space="preserve">REPORTABLE: </w:t>
                            </w:r>
                            <w:r w:rsidR="004216BE" w:rsidRPr="00E55F79">
                              <w:rPr>
                                <w:rFonts w:ascii="Century Gothic" w:hAnsi="Century Gothic"/>
                                <w:sz w:val="20"/>
                                <w:szCs w:val="20"/>
                              </w:rPr>
                              <w:t xml:space="preserve">YES </w:t>
                            </w:r>
                            <w:r w:rsidR="004216BE" w:rsidRPr="00A10803">
                              <w:rPr>
                                <w:rFonts w:ascii="Century Gothic" w:hAnsi="Century Gothic"/>
                                <w:sz w:val="20"/>
                                <w:szCs w:val="20"/>
                              </w:rPr>
                              <w:t>/</w:t>
                            </w:r>
                            <w:r w:rsidR="004216BE">
                              <w:rPr>
                                <w:rFonts w:ascii="Century Gothic" w:hAnsi="Century Gothic"/>
                                <w:sz w:val="20"/>
                                <w:szCs w:val="20"/>
                              </w:rPr>
                              <w:t xml:space="preserve"> </w:t>
                            </w:r>
                            <w:r w:rsidR="004216BE" w:rsidRPr="0098690D">
                              <w:rPr>
                                <w:rFonts w:ascii="Century Gothic" w:hAnsi="Century Gothic"/>
                                <w:sz w:val="20"/>
                                <w:szCs w:val="20"/>
                              </w:rPr>
                              <w:t>NO</w:t>
                            </w:r>
                          </w:p>
                          <w:p w14:paraId="6F1ED7B6" w14:textId="00E4EBBD" w:rsidR="004216BE" w:rsidRPr="00913F95" w:rsidRDefault="00C57946" w:rsidP="00C57946">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216BE" w:rsidRPr="00913F95">
                              <w:rPr>
                                <w:rFonts w:ascii="Century Gothic" w:hAnsi="Century Gothic"/>
                                <w:sz w:val="20"/>
                                <w:szCs w:val="20"/>
                              </w:rPr>
                              <w:t xml:space="preserve">OF INTEREST TO </w:t>
                            </w:r>
                            <w:r w:rsidR="004216BE">
                              <w:rPr>
                                <w:rFonts w:ascii="Century Gothic" w:hAnsi="Century Gothic"/>
                                <w:sz w:val="20"/>
                                <w:szCs w:val="20"/>
                              </w:rPr>
                              <w:t xml:space="preserve">OTHER JUDGES: </w:t>
                            </w:r>
                            <w:r w:rsidR="004216BE" w:rsidRPr="00E55F79">
                              <w:rPr>
                                <w:rFonts w:ascii="Century Gothic" w:hAnsi="Century Gothic"/>
                                <w:sz w:val="20"/>
                                <w:szCs w:val="20"/>
                              </w:rPr>
                              <w:t>YES</w:t>
                            </w:r>
                            <w:r w:rsidR="004216BE" w:rsidRPr="00A10803">
                              <w:rPr>
                                <w:rFonts w:ascii="Century Gothic" w:hAnsi="Century Gothic"/>
                                <w:sz w:val="20"/>
                                <w:szCs w:val="20"/>
                              </w:rPr>
                              <w:t>/</w:t>
                            </w:r>
                            <w:r w:rsidR="004216BE" w:rsidRPr="0098690D">
                              <w:rPr>
                                <w:rFonts w:ascii="Century Gothic" w:hAnsi="Century Gothic"/>
                                <w:sz w:val="20"/>
                                <w:szCs w:val="20"/>
                              </w:rPr>
                              <w:t>NO</w:t>
                            </w:r>
                          </w:p>
                          <w:p w14:paraId="0D464E97" w14:textId="2C7ADFB5" w:rsidR="004216BE" w:rsidRPr="00913F95" w:rsidRDefault="00C57946" w:rsidP="00C57946">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216BE" w:rsidRPr="00913F95">
                              <w:rPr>
                                <w:rFonts w:ascii="Century Gothic" w:hAnsi="Century Gothic"/>
                                <w:sz w:val="20"/>
                                <w:szCs w:val="20"/>
                              </w:rPr>
                              <w:t>REVISED</w:t>
                            </w:r>
                            <w:r w:rsidR="004216BE">
                              <w:rPr>
                                <w:rFonts w:ascii="Century Gothic" w:hAnsi="Century Gothic"/>
                                <w:sz w:val="20"/>
                                <w:szCs w:val="20"/>
                              </w:rPr>
                              <w:t xml:space="preserve">. </w:t>
                            </w:r>
                          </w:p>
                          <w:p w14:paraId="5D41B8DE" w14:textId="153D5E86" w:rsidR="004216BE" w:rsidRDefault="004216BE" w:rsidP="00F11FF9">
                            <w:pPr>
                              <w:rPr>
                                <w:rFonts w:ascii="Century Gothic" w:hAnsi="Century Gothic"/>
                                <w:b/>
                                <w:sz w:val="18"/>
                                <w:szCs w:val="18"/>
                              </w:rPr>
                            </w:pPr>
                          </w:p>
                          <w:p w14:paraId="40A39A05" w14:textId="5E0BDE74" w:rsidR="004216BE" w:rsidRDefault="004216BE" w:rsidP="00F11FF9">
                            <w:pPr>
                              <w:rPr>
                                <w:rFonts w:ascii="Century Gothic" w:hAnsi="Century Gothic"/>
                                <w:b/>
                                <w:sz w:val="18"/>
                                <w:szCs w:val="18"/>
                              </w:rPr>
                            </w:pPr>
                            <w:r>
                              <w:rPr>
                                <w:rFonts w:ascii="Century Gothic" w:hAnsi="Century Gothic"/>
                                <w:b/>
                                <w:sz w:val="18"/>
                                <w:szCs w:val="18"/>
                              </w:rPr>
                              <w:t xml:space="preserve">        ……………………                      ……………………….</w:t>
                            </w:r>
                          </w:p>
                          <w:p w14:paraId="556BBE99" w14:textId="54A6AA5E" w:rsidR="004216BE" w:rsidRPr="00F11FF9" w:rsidRDefault="004216BE" w:rsidP="00F11FF9">
                            <w:pPr>
                              <w:rPr>
                                <w:rFonts w:ascii="Century Gothic" w:eastAsia="Times New Roman" w:hAnsi="Century Gothic" w:cs="Times New Roman"/>
                                <w:sz w:val="18"/>
                                <w:szCs w:val="18"/>
                                <w:lang w:val="en-ZA"/>
                              </w:rPr>
                            </w:pPr>
                            <w:r>
                              <w:rPr>
                                <w:rFonts w:ascii="Century Gothic" w:hAnsi="Century Gothic"/>
                                <w:b/>
                                <w:sz w:val="18"/>
                                <w:szCs w:val="18"/>
                              </w:rPr>
                              <w:t xml:space="preserve">        </w:t>
                            </w:r>
                            <w:r w:rsidRPr="00E55F79">
                              <w:rPr>
                                <w:rFonts w:ascii="Century Gothic" w:eastAsia="Times New Roman" w:hAnsi="Century Gothic" w:cs="Times New Roman"/>
                                <w:sz w:val="18"/>
                                <w:szCs w:val="18"/>
                                <w:lang w:val="en-ZA"/>
                              </w:rPr>
                              <w:t xml:space="preserve">         DATE</w:t>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0B42B" id="_x0000_t202" coordsize="21600,21600" o:spt="202" path="m,l,21600r21600,l21600,xe">
                <v:stroke joinstyle="miter"/>
                <v:path gradientshapeok="t" o:connecttype="rect"/>
              </v:shapetype>
              <v:shape id="Text Box 3" o:spid="_x0000_s1026" type="#_x0000_t202" style="position:absolute;margin-left:0;margin-top:1.45pt;width:252pt;height:9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">
                <v:textbox>
                  <w:txbxContent>
                    <w:p w14:paraId="1F0014BF" w14:textId="77777777" w:rsidR="004216BE" w:rsidRPr="00913F95" w:rsidRDefault="004216BE" w:rsidP="00F11FF9">
                      <w:pPr>
                        <w:jc w:val="center"/>
                        <w:rPr>
                          <w:rFonts w:ascii="Century Gothic" w:hAnsi="Century Gothic"/>
                          <w:b/>
                          <w:sz w:val="20"/>
                          <w:szCs w:val="20"/>
                        </w:rPr>
                      </w:pPr>
                    </w:p>
                    <w:p w14:paraId="6128A3C0" w14:textId="693461FD" w:rsidR="004216BE" w:rsidRDefault="00C57946" w:rsidP="00C5794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6BE" w:rsidRPr="00913F95">
                        <w:rPr>
                          <w:rFonts w:ascii="Century Gothic" w:hAnsi="Century Gothic"/>
                          <w:sz w:val="20"/>
                          <w:szCs w:val="20"/>
                        </w:rPr>
                        <w:t xml:space="preserve">REPORTABLE: </w:t>
                      </w:r>
                      <w:r w:rsidR="004216BE" w:rsidRPr="00E55F79">
                        <w:rPr>
                          <w:rFonts w:ascii="Century Gothic" w:hAnsi="Century Gothic"/>
                          <w:sz w:val="20"/>
                          <w:szCs w:val="20"/>
                        </w:rPr>
                        <w:t xml:space="preserve">YES </w:t>
                      </w:r>
                      <w:r w:rsidR="004216BE" w:rsidRPr="00A10803">
                        <w:rPr>
                          <w:rFonts w:ascii="Century Gothic" w:hAnsi="Century Gothic"/>
                          <w:sz w:val="20"/>
                          <w:szCs w:val="20"/>
                        </w:rPr>
                        <w:t>/</w:t>
                      </w:r>
                      <w:r w:rsidR="004216BE">
                        <w:rPr>
                          <w:rFonts w:ascii="Century Gothic" w:hAnsi="Century Gothic"/>
                          <w:sz w:val="20"/>
                          <w:szCs w:val="20"/>
                        </w:rPr>
                        <w:t xml:space="preserve"> </w:t>
                      </w:r>
                      <w:r w:rsidR="004216BE" w:rsidRPr="0098690D">
                        <w:rPr>
                          <w:rFonts w:ascii="Century Gothic" w:hAnsi="Century Gothic"/>
                          <w:sz w:val="20"/>
                          <w:szCs w:val="20"/>
                        </w:rPr>
                        <w:t>NO</w:t>
                      </w:r>
                    </w:p>
                    <w:p w14:paraId="6F1ED7B6" w14:textId="00E4EBBD" w:rsidR="004216BE" w:rsidRPr="00913F95" w:rsidRDefault="00C57946" w:rsidP="00C57946">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4216BE" w:rsidRPr="00913F95">
                        <w:rPr>
                          <w:rFonts w:ascii="Century Gothic" w:hAnsi="Century Gothic"/>
                          <w:sz w:val="20"/>
                          <w:szCs w:val="20"/>
                        </w:rPr>
                        <w:t xml:space="preserve">OF INTEREST TO </w:t>
                      </w:r>
                      <w:r w:rsidR="004216BE">
                        <w:rPr>
                          <w:rFonts w:ascii="Century Gothic" w:hAnsi="Century Gothic"/>
                          <w:sz w:val="20"/>
                          <w:szCs w:val="20"/>
                        </w:rPr>
                        <w:t xml:space="preserve">OTHER JUDGES: </w:t>
                      </w:r>
                      <w:r w:rsidR="004216BE" w:rsidRPr="00E55F79">
                        <w:rPr>
                          <w:rFonts w:ascii="Century Gothic" w:hAnsi="Century Gothic"/>
                          <w:sz w:val="20"/>
                          <w:szCs w:val="20"/>
                        </w:rPr>
                        <w:t>YES</w:t>
                      </w:r>
                      <w:r w:rsidR="004216BE" w:rsidRPr="00A10803">
                        <w:rPr>
                          <w:rFonts w:ascii="Century Gothic" w:hAnsi="Century Gothic"/>
                          <w:sz w:val="20"/>
                          <w:szCs w:val="20"/>
                        </w:rPr>
                        <w:t>/</w:t>
                      </w:r>
                      <w:r w:rsidR="004216BE" w:rsidRPr="0098690D">
                        <w:rPr>
                          <w:rFonts w:ascii="Century Gothic" w:hAnsi="Century Gothic"/>
                          <w:sz w:val="20"/>
                          <w:szCs w:val="20"/>
                        </w:rPr>
                        <w:t>NO</w:t>
                      </w:r>
                    </w:p>
                    <w:p w14:paraId="0D464E97" w14:textId="2C7ADFB5" w:rsidR="004216BE" w:rsidRPr="00913F95" w:rsidRDefault="00C57946" w:rsidP="00C57946">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4216BE" w:rsidRPr="00913F95">
                        <w:rPr>
                          <w:rFonts w:ascii="Century Gothic" w:hAnsi="Century Gothic"/>
                          <w:sz w:val="20"/>
                          <w:szCs w:val="20"/>
                        </w:rPr>
                        <w:t>REVISED</w:t>
                      </w:r>
                      <w:r w:rsidR="004216BE">
                        <w:rPr>
                          <w:rFonts w:ascii="Century Gothic" w:hAnsi="Century Gothic"/>
                          <w:sz w:val="20"/>
                          <w:szCs w:val="20"/>
                        </w:rPr>
                        <w:t xml:space="preserve">. </w:t>
                      </w:r>
                    </w:p>
                    <w:p w14:paraId="5D41B8DE" w14:textId="153D5E86" w:rsidR="004216BE" w:rsidRDefault="004216BE" w:rsidP="00F11FF9">
                      <w:pPr>
                        <w:rPr>
                          <w:rFonts w:ascii="Century Gothic" w:hAnsi="Century Gothic"/>
                          <w:b/>
                          <w:sz w:val="18"/>
                          <w:szCs w:val="18"/>
                        </w:rPr>
                      </w:pPr>
                    </w:p>
                    <w:p w14:paraId="40A39A05" w14:textId="5E0BDE74" w:rsidR="004216BE" w:rsidRDefault="004216BE" w:rsidP="00F11FF9">
                      <w:pPr>
                        <w:rPr>
                          <w:rFonts w:ascii="Century Gothic" w:hAnsi="Century Gothic"/>
                          <w:b/>
                          <w:sz w:val="18"/>
                          <w:szCs w:val="18"/>
                        </w:rPr>
                      </w:pPr>
                      <w:r>
                        <w:rPr>
                          <w:rFonts w:ascii="Century Gothic" w:hAnsi="Century Gothic"/>
                          <w:b/>
                          <w:sz w:val="18"/>
                          <w:szCs w:val="18"/>
                        </w:rPr>
                        <w:t xml:space="preserve">        ……………………                      ……………………….</w:t>
                      </w:r>
                    </w:p>
                    <w:p w14:paraId="556BBE99" w14:textId="54A6AA5E" w:rsidR="004216BE" w:rsidRPr="00F11FF9" w:rsidRDefault="004216BE" w:rsidP="00F11FF9">
                      <w:pPr>
                        <w:rPr>
                          <w:rFonts w:ascii="Century Gothic" w:eastAsia="Times New Roman" w:hAnsi="Century Gothic" w:cs="Times New Roman"/>
                          <w:sz w:val="18"/>
                          <w:szCs w:val="18"/>
                          <w:lang w:val="en-ZA"/>
                        </w:rPr>
                      </w:pPr>
                      <w:r>
                        <w:rPr>
                          <w:rFonts w:ascii="Century Gothic" w:hAnsi="Century Gothic"/>
                          <w:b/>
                          <w:sz w:val="18"/>
                          <w:szCs w:val="18"/>
                        </w:rPr>
                        <w:t xml:space="preserve">        </w:t>
                      </w:r>
                      <w:r w:rsidRPr="00E55F79">
                        <w:rPr>
                          <w:rFonts w:ascii="Century Gothic" w:eastAsia="Times New Roman" w:hAnsi="Century Gothic" w:cs="Times New Roman"/>
                          <w:sz w:val="18"/>
                          <w:szCs w:val="18"/>
                          <w:lang w:val="en-ZA"/>
                        </w:rPr>
                        <w:t xml:space="preserve">         DATE</w:t>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r>
                      <w:r w:rsidRPr="00E55F79">
                        <w:rPr>
                          <w:rFonts w:ascii="Century Gothic" w:eastAsia="Times New Roman" w:hAnsi="Century Gothic" w:cs="Times New Roman"/>
                          <w:sz w:val="18"/>
                          <w:szCs w:val="18"/>
                          <w:lang w:val="en-ZA"/>
                        </w:rPr>
                        <w:tab/>
                        <w:t xml:space="preserve">        SIGNATURE</w:t>
                      </w:r>
                    </w:p>
                  </w:txbxContent>
                </v:textbox>
                <w10:wrap anchorx="margin"/>
              </v:shape>
            </w:pict>
          </mc:Fallback>
        </mc:AlternateContent>
      </w:r>
    </w:p>
    <w:p w14:paraId="51B005A2" w14:textId="77777777" w:rsidR="00F11FF9" w:rsidRPr="00F11FF9" w:rsidRDefault="00F11FF9" w:rsidP="00F11FF9">
      <w:pPr>
        <w:rPr>
          <w:rFonts w:ascii="Arial" w:hAnsi="Arial" w:cs="Arial"/>
          <w:lang w:val="en-ZA"/>
        </w:rPr>
      </w:pPr>
    </w:p>
    <w:p w14:paraId="68D50731" w14:textId="77777777" w:rsidR="00F11FF9" w:rsidRPr="00F11FF9" w:rsidRDefault="00F11FF9" w:rsidP="00F11FF9">
      <w:pPr>
        <w:rPr>
          <w:rFonts w:ascii="Arial" w:hAnsi="Arial" w:cs="Arial"/>
          <w:lang w:val="en-ZA"/>
        </w:rPr>
      </w:pPr>
    </w:p>
    <w:p w14:paraId="4F81DFDB" w14:textId="77777777" w:rsidR="00F11FF9" w:rsidRPr="00F11FF9" w:rsidRDefault="00F11FF9" w:rsidP="00F11FF9">
      <w:pPr>
        <w:rPr>
          <w:rFonts w:ascii="Arial" w:hAnsi="Arial" w:cs="Arial"/>
          <w:lang w:val="en-ZA"/>
        </w:rPr>
      </w:pPr>
    </w:p>
    <w:p w14:paraId="4475B478" w14:textId="77777777" w:rsidR="00F11FF9" w:rsidRPr="00F11FF9" w:rsidRDefault="00F11FF9" w:rsidP="00F11FF9">
      <w:pPr>
        <w:rPr>
          <w:rFonts w:ascii="Arial" w:hAnsi="Arial" w:cs="Arial"/>
          <w:lang w:val="en-ZA"/>
        </w:rPr>
      </w:pPr>
    </w:p>
    <w:p w14:paraId="226BD868" w14:textId="1E59C442" w:rsidR="004B230B" w:rsidRPr="00652309" w:rsidRDefault="004B230B">
      <w:pPr>
        <w:rPr>
          <w:rFonts w:ascii="Arial" w:hAnsi="Arial" w:cs="Arial"/>
        </w:rPr>
      </w:pPr>
    </w:p>
    <w:p w14:paraId="76CBB0AB" w14:textId="2B00BEA5" w:rsidR="004B230B" w:rsidRPr="00652309" w:rsidRDefault="004B230B">
      <w:pPr>
        <w:rPr>
          <w:rFonts w:ascii="Arial" w:hAnsi="Arial" w:cs="Arial"/>
        </w:rPr>
      </w:pPr>
      <w:r w:rsidRPr="00652309">
        <w:rPr>
          <w:rFonts w:ascii="Arial" w:hAnsi="Arial" w:cs="Arial"/>
        </w:rPr>
        <w:t>In the matter between:</w:t>
      </w:r>
    </w:p>
    <w:p w14:paraId="569E7D4E" w14:textId="48282FC8" w:rsidR="004B230B" w:rsidRDefault="004B230B">
      <w:pPr>
        <w:rPr>
          <w:rFonts w:ascii="Arial" w:hAnsi="Arial" w:cs="Arial"/>
        </w:rPr>
      </w:pPr>
    </w:p>
    <w:p w14:paraId="48BDE5B8" w14:textId="53AF2152" w:rsidR="000155AD" w:rsidRDefault="000155AD" w:rsidP="0007326C">
      <w:pPr>
        <w:spacing w:line="360" w:lineRule="auto"/>
        <w:rPr>
          <w:rFonts w:ascii="Arial" w:hAnsi="Arial" w:cs="Arial"/>
        </w:rPr>
      </w:pPr>
      <w:r>
        <w:rPr>
          <w:rFonts w:ascii="Arial" w:hAnsi="Arial" w:cs="Arial"/>
        </w:rPr>
        <w:t>In the matter between:</w:t>
      </w:r>
    </w:p>
    <w:p w14:paraId="009E2D25" w14:textId="77777777" w:rsidR="000155AD" w:rsidRDefault="000155AD" w:rsidP="0007326C">
      <w:pPr>
        <w:spacing w:line="360" w:lineRule="auto"/>
        <w:rPr>
          <w:rFonts w:ascii="Arial" w:hAnsi="Arial" w:cs="Arial"/>
        </w:rPr>
      </w:pPr>
    </w:p>
    <w:p w14:paraId="762D8354" w14:textId="31E3400F" w:rsidR="000155AD" w:rsidRPr="00652309" w:rsidRDefault="00872547" w:rsidP="0007326C">
      <w:pPr>
        <w:spacing w:line="360" w:lineRule="auto"/>
        <w:rPr>
          <w:rFonts w:ascii="Arial" w:hAnsi="Arial" w:cs="Arial"/>
        </w:rPr>
      </w:pPr>
      <w:r>
        <w:rPr>
          <w:rFonts w:ascii="Arial" w:hAnsi="Arial" w:cs="Arial"/>
          <w:b/>
          <w:bCs/>
        </w:rPr>
        <w:t>THE INDUSTRIAL CORPORATION OF SOUTH AFRICA</w:t>
      </w:r>
      <w:r w:rsidR="000155AD">
        <w:rPr>
          <w:rFonts w:ascii="Arial" w:hAnsi="Arial" w:cs="Arial"/>
        </w:rPr>
        <w:tab/>
      </w:r>
      <w:r w:rsidR="000155AD">
        <w:rPr>
          <w:rFonts w:ascii="Arial" w:hAnsi="Arial" w:cs="Arial"/>
        </w:rPr>
        <w:tab/>
        <w:t xml:space="preserve">        </w:t>
      </w:r>
      <w:r w:rsidR="0007326C">
        <w:rPr>
          <w:rFonts w:ascii="Arial" w:hAnsi="Arial" w:cs="Arial"/>
        </w:rPr>
        <w:t xml:space="preserve">     </w:t>
      </w:r>
      <w:r w:rsidR="000155AD">
        <w:rPr>
          <w:rFonts w:ascii="Arial" w:hAnsi="Arial" w:cs="Arial"/>
        </w:rPr>
        <w:t>Plaintiff</w:t>
      </w:r>
    </w:p>
    <w:tbl>
      <w:tblPr>
        <w:tblStyle w:val="TableGrid"/>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60"/>
      </w:tblGrid>
      <w:tr w:rsidR="00652309" w:rsidRPr="00652309" w14:paraId="6722D408" w14:textId="77777777" w:rsidTr="007C02BD">
        <w:tc>
          <w:tcPr>
            <w:tcW w:w="5670" w:type="dxa"/>
          </w:tcPr>
          <w:p w14:paraId="74A2AB63" w14:textId="1F908EB1" w:rsidR="004B230B" w:rsidRPr="007C02BD" w:rsidRDefault="004B230B" w:rsidP="0007326C">
            <w:pPr>
              <w:spacing w:line="360" w:lineRule="auto"/>
              <w:rPr>
                <w:rFonts w:ascii="Arial" w:hAnsi="Arial" w:cs="Arial"/>
                <w:b/>
                <w:bCs/>
              </w:rPr>
            </w:pPr>
          </w:p>
        </w:tc>
        <w:tc>
          <w:tcPr>
            <w:tcW w:w="3560" w:type="dxa"/>
          </w:tcPr>
          <w:p w14:paraId="3C0C6C24" w14:textId="0020E1B2" w:rsidR="004B230B" w:rsidRDefault="004B230B" w:rsidP="0007326C">
            <w:pPr>
              <w:spacing w:line="360" w:lineRule="auto"/>
              <w:jc w:val="center"/>
              <w:rPr>
                <w:rFonts w:ascii="Arial" w:hAnsi="Arial" w:cs="Arial"/>
              </w:rPr>
            </w:pPr>
          </w:p>
          <w:p w14:paraId="105D5216" w14:textId="26E03556" w:rsidR="007C02BD" w:rsidRPr="00652309" w:rsidRDefault="007C02BD" w:rsidP="0007326C">
            <w:pPr>
              <w:spacing w:line="360" w:lineRule="auto"/>
              <w:jc w:val="both"/>
              <w:rPr>
                <w:rFonts w:ascii="Arial" w:hAnsi="Arial" w:cs="Arial"/>
              </w:rPr>
            </w:pPr>
          </w:p>
        </w:tc>
      </w:tr>
      <w:tr w:rsidR="00652309" w:rsidRPr="00652309" w14:paraId="6CF96566" w14:textId="77777777" w:rsidTr="007C02BD">
        <w:tc>
          <w:tcPr>
            <w:tcW w:w="5670" w:type="dxa"/>
          </w:tcPr>
          <w:p w14:paraId="0521C070" w14:textId="240ABA2E" w:rsidR="004B230B" w:rsidRDefault="00726F20" w:rsidP="0007326C">
            <w:pPr>
              <w:spacing w:line="360" w:lineRule="auto"/>
              <w:ind w:hanging="109"/>
              <w:rPr>
                <w:rFonts w:ascii="Arial" w:hAnsi="Arial" w:cs="Arial"/>
              </w:rPr>
            </w:pPr>
            <w:r>
              <w:rPr>
                <w:rFonts w:ascii="Arial" w:hAnsi="Arial" w:cs="Arial"/>
              </w:rPr>
              <w:t>A</w:t>
            </w:r>
            <w:r w:rsidR="004B230B" w:rsidRPr="00652309">
              <w:rPr>
                <w:rFonts w:ascii="Arial" w:hAnsi="Arial" w:cs="Arial"/>
              </w:rPr>
              <w:t>nd</w:t>
            </w:r>
          </w:p>
          <w:p w14:paraId="2A04AD30" w14:textId="0546684C" w:rsidR="000155AD" w:rsidRPr="00652309" w:rsidRDefault="000155AD" w:rsidP="0007326C">
            <w:pPr>
              <w:spacing w:line="360" w:lineRule="auto"/>
              <w:rPr>
                <w:rFonts w:ascii="Arial" w:hAnsi="Arial" w:cs="Arial"/>
              </w:rPr>
            </w:pPr>
          </w:p>
        </w:tc>
        <w:tc>
          <w:tcPr>
            <w:tcW w:w="3560" w:type="dxa"/>
          </w:tcPr>
          <w:p w14:paraId="1074D418" w14:textId="77777777" w:rsidR="004B230B" w:rsidRPr="00652309" w:rsidRDefault="004B230B" w:rsidP="0007326C">
            <w:pPr>
              <w:spacing w:line="360" w:lineRule="auto"/>
              <w:jc w:val="right"/>
              <w:rPr>
                <w:rFonts w:ascii="Arial" w:hAnsi="Arial" w:cs="Arial"/>
              </w:rPr>
            </w:pPr>
          </w:p>
        </w:tc>
      </w:tr>
      <w:tr w:rsidR="00652309" w:rsidRPr="00652309" w14:paraId="17643206" w14:textId="77777777" w:rsidTr="007C02BD">
        <w:tc>
          <w:tcPr>
            <w:tcW w:w="5670" w:type="dxa"/>
          </w:tcPr>
          <w:p w14:paraId="577DB2CB" w14:textId="26670263" w:rsidR="004B230B" w:rsidRDefault="00872547" w:rsidP="0007326C">
            <w:pPr>
              <w:spacing w:line="360" w:lineRule="auto"/>
              <w:ind w:hanging="109"/>
              <w:rPr>
                <w:rFonts w:ascii="Arial" w:hAnsi="Arial" w:cs="Arial"/>
                <w:b/>
                <w:bCs/>
              </w:rPr>
            </w:pPr>
            <w:r>
              <w:rPr>
                <w:rFonts w:ascii="Arial" w:hAnsi="Arial" w:cs="Arial"/>
                <w:b/>
                <w:bCs/>
              </w:rPr>
              <w:t xml:space="preserve">MARA CORPORATION LIMITED </w:t>
            </w:r>
            <w:r w:rsidR="00BA5DD8">
              <w:rPr>
                <w:rFonts w:ascii="Arial" w:hAnsi="Arial" w:cs="Arial"/>
                <w:b/>
                <w:bCs/>
              </w:rPr>
              <w:t xml:space="preserve">                                                  </w:t>
            </w:r>
          </w:p>
          <w:p w14:paraId="54FCFEDB" w14:textId="3BBFC10C" w:rsidR="00BA5DD8" w:rsidRDefault="00BA5DD8" w:rsidP="0007326C">
            <w:pPr>
              <w:spacing w:line="360" w:lineRule="auto"/>
              <w:ind w:hanging="109"/>
              <w:rPr>
                <w:rFonts w:ascii="Arial" w:hAnsi="Arial" w:cs="Arial"/>
                <w:b/>
                <w:bCs/>
              </w:rPr>
            </w:pPr>
            <w:r>
              <w:rPr>
                <w:rFonts w:ascii="Arial" w:hAnsi="Arial" w:cs="Arial"/>
                <w:b/>
                <w:bCs/>
              </w:rPr>
              <w:t xml:space="preserve">MARA PHONES LIMITED                                                </w:t>
            </w:r>
          </w:p>
          <w:p w14:paraId="542AE85B" w14:textId="77777777" w:rsidR="00BA5DD8" w:rsidRDefault="00BA5DD8" w:rsidP="0007326C">
            <w:pPr>
              <w:spacing w:line="360" w:lineRule="auto"/>
              <w:ind w:hanging="109"/>
              <w:rPr>
                <w:rFonts w:ascii="Arial" w:hAnsi="Arial" w:cs="Arial"/>
                <w:b/>
                <w:bCs/>
              </w:rPr>
            </w:pPr>
            <w:r>
              <w:rPr>
                <w:rFonts w:ascii="Arial" w:hAnsi="Arial" w:cs="Arial"/>
                <w:b/>
                <w:bCs/>
              </w:rPr>
              <w:t>MARA PS LIMITED</w:t>
            </w:r>
          </w:p>
          <w:p w14:paraId="02CD5309" w14:textId="77777777" w:rsidR="00BA5DD8" w:rsidRDefault="00BA5DD8" w:rsidP="00BA5DD8">
            <w:pPr>
              <w:spacing w:line="360" w:lineRule="auto"/>
              <w:jc w:val="both"/>
              <w:rPr>
                <w:rFonts w:ascii="Arial" w:hAnsi="Arial" w:cs="Arial"/>
                <w:b/>
                <w:bCs/>
              </w:rPr>
            </w:pPr>
            <w:r>
              <w:rPr>
                <w:rFonts w:ascii="Arial" w:hAnsi="Arial" w:cs="Arial"/>
                <w:b/>
                <w:bCs/>
              </w:rPr>
              <w:t>ASHISH JAGDISH THAKKAR</w:t>
            </w:r>
          </w:p>
          <w:p w14:paraId="7705FB5A" w14:textId="77777777" w:rsidR="00BA5DD8" w:rsidRDefault="00BA5DD8" w:rsidP="00BA5DD8">
            <w:pPr>
              <w:spacing w:line="360" w:lineRule="auto"/>
              <w:jc w:val="both"/>
              <w:rPr>
                <w:rFonts w:ascii="Arial" w:hAnsi="Arial" w:cs="Arial"/>
                <w:b/>
                <w:bCs/>
              </w:rPr>
            </w:pPr>
            <w:r>
              <w:rPr>
                <w:rFonts w:ascii="Arial" w:hAnsi="Arial" w:cs="Arial"/>
                <w:b/>
                <w:bCs/>
              </w:rPr>
              <w:t xml:space="preserve">AHUTI CHUG   </w:t>
            </w:r>
          </w:p>
          <w:p w14:paraId="1C99066B" w14:textId="77777777" w:rsidR="00BA5DD8" w:rsidRDefault="00BA5DD8" w:rsidP="00BA5DD8">
            <w:pPr>
              <w:spacing w:line="360" w:lineRule="auto"/>
              <w:jc w:val="both"/>
              <w:rPr>
                <w:rFonts w:ascii="Arial" w:hAnsi="Arial" w:cs="Arial"/>
                <w:b/>
                <w:bCs/>
              </w:rPr>
            </w:pPr>
            <w:r>
              <w:rPr>
                <w:rFonts w:ascii="Arial" w:hAnsi="Arial" w:cs="Arial"/>
                <w:b/>
                <w:bCs/>
              </w:rPr>
              <w:t xml:space="preserve">JAGDISH CHANDRA DULLABHJI THAKKAR </w:t>
            </w:r>
          </w:p>
          <w:p w14:paraId="6A3E3AF0" w14:textId="6451D02E" w:rsidR="00BA5DD8" w:rsidRDefault="00BA5DD8" w:rsidP="00BA5DD8">
            <w:pPr>
              <w:spacing w:line="360" w:lineRule="auto"/>
              <w:jc w:val="both"/>
              <w:rPr>
                <w:rFonts w:ascii="Arial" w:hAnsi="Arial" w:cs="Arial"/>
                <w:b/>
                <w:bCs/>
              </w:rPr>
            </w:pPr>
            <w:r>
              <w:rPr>
                <w:rFonts w:ascii="Arial" w:hAnsi="Arial" w:cs="Arial"/>
                <w:b/>
                <w:bCs/>
              </w:rPr>
              <w:t xml:space="preserve">SARLA JAGDISH THAKKAR                                                                                                                                                                                          </w:t>
            </w:r>
          </w:p>
          <w:p w14:paraId="57A1A783" w14:textId="77777777" w:rsidR="00BA5DD8" w:rsidRDefault="00BA5DD8" w:rsidP="0007326C">
            <w:pPr>
              <w:spacing w:line="360" w:lineRule="auto"/>
              <w:ind w:hanging="109"/>
              <w:rPr>
                <w:rFonts w:ascii="Arial" w:hAnsi="Arial" w:cs="Arial"/>
                <w:b/>
                <w:bCs/>
              </w:rPr>
            </w:pPr>
          </w:p>
          <w:p w14:paraId="544865D4" w14:textId="21C555C8" w:rsidR="000155AD" w:rsidRPr="007C02BD" w:rsidRDefault="000155AD" w:rsidP="0007326C">
            <w:pPr>
              <w:spacing w:line="360" w:lineRule="auto"/>
              <w:ind w:hanging="109"/>
              <w:rPr>
                <w:rFonts w:ascii="Arial" w:hAnsi="Arial" w:cs="Arial"/>
                <w:b/>
                <w:bCs/>
              </w:rPr>
            </w:pPr>
          </w:p>
        </w:tc>
        <w:tc>
          <w:tcPr>
            <w:tcW w:w="3560" w:type="dxa"/>
          </w:tcPr>
          <w:p w14:paraId="6B0CABC0" w14:textId="1841780B" w:rsidR="000155AD" w:rsidRDefault="00BA5DD8" w:rsidP="00872547">
            <w:pPr>
              <w:spacing w:line="360" w:lineRule="auto"/>
              <w:rPr>
                <w:rFonts w:ascii="Arial" w:hAnsi="Arial" w:cs="Arial"/>
              </w:rPr>
            </w:pPr>
            <w:r>
              <w:rPr>
                <w:rFonts w:ascii="Arial" w:hAnsi="Arial" w:cs="Arial"/>
              </w:rPr>
              <w:t xml:space="preserve">              First Defendant</w:t>
            </w:r>
          </w:p>
          <w:p w14:paraId="250D2196" w14:textId="4D936C08" w:rsidR="00BA5DD8" w:rsidRDefault="00BA5DD8" w:rsidP="00872547">
            <w:pPr>
              <w:spacing w:line="360" w:lineRule="auto"/>
              <w:rPr>
                <w:rFonts w:ascii="Arial" w:hAnsi="Arial" w:cs="Arial"/>
              </w:rPr>
            </w:pPr>
            <w:r>
              <w:rPr>
                <w:rFonts w:ascii="Arial" w:hAnsi="Arial" w:cs="Arial"/>
              </w:rPr>
              <w:t xml:space="preserve">              Second Defendant</w:t>
            </w:r>
          </w:p>
          <w:p w14:paraId="758A282A" w14:textId="5A77C06B" w:rsidR="00BA5DD8" w:rsidRDefault="00BA5DD8" w:rsidP="00872547">
            <w:pPr>
              <w:spacing w:line="360" w:lineRule="auto"/>
              <w:rPr>
                <w:rFonts w:ascii="Arial" w:hAnsi="Arial" w:cs="Arial"/>
              </w:rPr>
            </w:pPr>
            <w:r>
              <w:rPr>
                <w:rFonts w:ascii="Arial" w:hAnsi="Arial" w:cs="Arial"/>
              </w:rPr>
              <w:t xml:space="preserve">              Third Defendant</w:t>
            </w:r>
          </w:p>
          <w:p w14:paraId="179B1A89" w14:textId="089FED65" w:rsidR="00BA5DD8" w:rsidRDefault="00BA5DD8" w:rsidP="00872547">
            <w:pPr>
              <w:spacing w:line="360" w:lineRule="auto"/>
              <w:rPr>
                <w:rFonts w:ascii="Arial" w:hAnsi="Arial" w:cs="Arial"/>
              </w:rPr>
            </w:pPr>
            <w:r>
              <w:rPr>
                <w:rFonts w:ascii="Arial" w:hAnsi="Arial" w:cs="Arial"/>
              </w:rPr>
              <w:t xml:space="preserve">               </w:t>
            </w:r>
            <w:r w:rsidR="00E06BCB">
              <w:rPr>
                <w:rFonts w:ascii="Arial" w:hAnsi="Arial" w:cs="Arial"/>
              </w:rPr>
              <w:t>Fourth</w:t>
            </w:r>
            <w:r>
              <w:rPr>
                <w:rFonts w:ascii="Arial" w:hAnsi="Arial" w:cs="Arial"/>
              </w:rPr>
              <w:t xml:space="preserve"> Defendant</w:t>
            </w:r>
          </w:p>
          <w:p w14:paraId="39DA2888" w14:textId="12E8E533" w:rsidR="00BA5DD8" w:rsidRDefault="00BA5DD8" w:rsidP="00872547">
            <w:pPr>
              <w:spacing w:line="360" w:lineRule="auto"/>
              <w:rPr>
                <w:rFonts w:ascii="Arial" w:hAnsi="Arial" w:cs="Arial"/>
              </w:rPr>
            </w:pPr>
            <w:r>
              <w:rPr>
                <w:rFonts w:ascii="Arial" w:hAnsi="Arial" w:cs="Arial"/>
              </w:rPr>
              <w:t xml:space="preserve">               Fifth Defendant</w:t>
            </w:r>
          </w:p>
          <w:p w14:paraId="73D08054" w14:textId="79CE97BE" w:rsidR="00BA5DD8" w:rsidRDefault="00BA5DD8" w:rsidP="00872547">
            <w:pPr>
              <w:spacing w:line="360" w:lineRule="auto"/>
              <w:rPr>
                <w:rFonts w:ascii="Arial" w:hAnsi="Arial" w:cs="Arial"/>
              </w:rPr>
            </w:pPr>
            <w:r>
              <w:rPr>
                <w:rFonts w:ascii="Arial" w:hAnsi="Arial" w:cs="Arial"/>
              </w:rPr>
              <w:t xml:space="preserve">                Sixth Defendant</w:t>
            </w:r>
          </w:p>
          <w:p w14:paraId="787764D5" w14:textId="173906AD" w:rsidR="00BA5DD8" w:rsidRPr="00652309" w:rsidRDefault="00BA5DD8" w:rsidP="00872547">
            <w:pPr>
              <w:spacing w:line="360" w:lineRule="auto"/>
              <w:rPr>
                <w:rFonts w:ascii="Arial" w:hAnsi="Arial" w:cs="Arial"/>
              </w:rPr>
            </w:pPr>
            <w:r>
              <w:rPr>
                <w:rFonts w:ascii="Arial" w:hAnsi="Arial" w:cs="Arial"/>
              </w:rPr>
              <w:t xml:space="preserve">               Seventh Defendant</w:t>
            </w:r>
          </w:p>
        </w:tc>
      </w:tr>
      <w:tr w:rsidR="00652309" w:rsidRPr="00652309" w14:paraId="46066E7A" w14:textId="77777777" w:rsidTr="00834B68">
        <w:tc>
          <w:tcPr>
            <w:tcW w:w="9230" w:type="dxa"/>
            <w:gridSpan w:val="2"/>
            <w:tcBorders>
              <w:top w:val="single" w:sz="4" w:space="0" w:color="auto"/>
              <w:bottom w:val="single" w:sz="4" w:space="0" w:color="auto"/>
            </w:tcBorders>
          </w:tcPr>
          <w:p w14:paraId="22676E98" w14:textId="77777777" w:rsidR="00122B14" w:rsidRDefault="00122B14" w:rsidP="0007326C">
            <w:pPr>
              <w:spacing w:line="360" w:lineRule="auto"/>
              <w:jc w:val="center"/>
              <w:rPr>
                <w:rFonts w:ascii="Arial" w:hAnsi="Arial" w:cs="Arial"/>
                <w:b/>
                <w:bCs/>
              </w:rPr>
            </w:pPr>
          </w:p>
          <w:p w14:paraId="3BC3AE60" w14:textId="4EB123D7" w:rsidR="00652309" w:rsidRPr="001F1682" w:rsidRDefault="001F1682" w:rsidP="0007326C">
            <w:pPr>
              <w:spacing w:line="360" w:lineRule="auto"/>
              <w:jc w:val="center"/>
              <w:rPr>
                <w:rFonts w:ascii="Arial" w:hAnsi="Arial" w:cs="Arial"/>
              </w:rPr>
            </w:pPr>
            <w:r>
              <w:rPr>
                <w:rFonts w:ascii="Arial" w:hAnsi="Arial" w:cs="Arial"/>
              </w:rPr>
              <w:t>JUDGMENT</w:t>
            </w:r>
          </w:p>
          <w:p w14:paraId="3AED8B51" w14:textId="49C8E9F1" w:rsidR="003E61EE" w:rsidRPr="00652309" w:rsidRDefault="003E61EE" w:rsidP="0007326C">
            <w:pPr>
              <w:spacing w:line="360" w:lineRule="auto"/>
              <w:jc w:val="center"/>
              <w:rPr>
                <w:rFonts w:ascii="Arial" w:hAnsi="Arial" w:cs="Arial"/>
                <w:b/>
                <w:bCs/>
              </w:rPr>
            </w:pPr>
          </w:p>
        </w:tc>
      </w:tr>
    </w:tbl>
    <w:p w14:paraId="7147A78B" w14:textId="6D96C709" w:rsidR="000155AD" w:rsidRPr="00872547" w:rsidRDefault="00872547" w:rsidP="00403912">
      <w:pPr>
        <w:pStyle w:val="Heading1"/>
        <w:spacing w:before="600"/>
        <w:rPr>
          <w:rFonts w:cs="Arial"/>
        </w:rPr>
      </w:pPr>
      <w:r>
        <w:rPr>
          <w:rFonts w:cs="Arial"/>
        </w:rPr>
        <w:lastRenderedPageBreak/>
        <w:t>loxton aj</w:t>
      </w:r>
    </w:p>
    <w:p w14:paraId="7A5775FD" w14:textId="5C79172C" w:rsidR="00403912" w:rsidRPr="00C57946" w:rsidRDefault="00C57946" w:rsidP="00C57946">
      <w:pPr>
        <w:spacing w:line="480" w:lineRule="auto"/>
        <w:ind w:left="851" w:hanging="851"/>
        <w:jc w:val="both"/>
        <w:rPr>
          <w:rFonts w:ascii="Arial" w:hAnsi="Arial"/>
        </w:rPr>
      </w:pPr>
      <w:r>
        <w:rPr>
          <w:rFonts w:ascii="Arial" w:hAnsi="Arial"/>
        </w:rPr>
        <w:t>1.</w:t>
      </w:r>
      <w:r>
        <w:rPr>
          <w:rFonts w:ascii="Arial" w:hAnsi="Arial"/>
        </w:rPr>
        <w:tab/>
      </w:r>
      <w:r w:rsidR="001F1682" w:rsidRPr="00C57946">
        <w:rPr>
          <w:rFonts w:ascii="Arial" w:hAnsi="Arial"/>
        </w:rPr>
        <w:t>This matter concerns an exception brought by the plaintiff against the defendants’ plea on the merits. The plaintiff alleges that it lent an amount of R205,973,000 to Mara Phones South Africa (Proprietary) Limited</w:t>
      </w:r>
      <w:r w:rsidR="00974377" w:rsidRPr="00C57946">
        <w:rPr>
          <w:rFonts w:ascii="Arial" w:hAnsi="Arial"/>
        </w:rPr>
        <w:t xml:space="preserve"> (“the </w:t>
      </w:r>
      <w:r w:rsidR="00A367D1" w:rsidRPr="00C57946">
        <w:rPr>
          <w:rFonts w:ascii="Arial" w:hAnsi="Arial"/>
        </w:rPr>
        <w:t>Borrower</w:t>
      </w:r>
      <w:r w:rsidR="00974377" w:rsidRPr="00C57946">
        <w:rPr>
          <w:rFonts w:ascii="Arial" w:hAnsi="Arial"/>
        </w:rPr>
        <w:t>”)</w:t>
      </w:r>
      <w:r w:rsidR="001F1682" w:rsidRPr="00C57946">
        <w:rPr>
          <w:rFonts w:ascii="Arial" w:hAnsi="Arial"/>
        </w:rPr>
        <w:t xml:space="preserve"> in terms of a written agreement of loan, for the acquisition of certain plant and equipment for the construction of a smart phone manufacturing facility and for working capita</w:t>
      </w:r>
      <w:r w:rsidR="000A0362" w:rsidRPr="00C57946">
        <w:rPr>
          <w:rFonts w:ascii="Arial" w:hAnsi="Arial"/>
        </w:rPr>
        <w:t xml:space="preserve">l (“the </w:t>
      </w:r>
      <w:r w:rsidR="005E1745" w:rsidRPr="00C57946">
        <w:rPr>
          <w:rFonts w:ascii="Arial" w:hAnsi="Arial"/>
        </w:rPr>
        <w:t>L</w:t>
      </w:r>
      <w:r w:rsidR="000A0362" w:rsidRPr="00C57946">
        <w:rPr>
          <w:rFonts w:ascii="Arial" w:hAnsi="Arial"/>
        </w:rPr>
        <w:t xml:space="preserve">oan </w:t>
      </w:r>
      <w:r w:rsidR="005E1745" w:rsidRPr="00C57946">
        <w:rPr>
          <w:rFonts w:ascii="Arial" w:hAnsi="Arial"/>
        </w:rPr>
        <w:t>A</w:t>
      </w:r>
      <w:r w:rsidR="000A0362" w:rsidRPr="00C57946">
        <w:rPr>
          <w:rFonts w:ascii="Arial" w:hAnsi="Arial"/>
        </w:rPr>
        <w:t>greement”)</w:t>
      </w:r>
      <w:r w:rsidR="001F1682" w:rsidRPr="00C57946">
        <w:rPr>
          <w:rFonts w:ascii="Arial" w:hAnsi="Arial"/>
        </w:rPr>
        <w:t xml:space="preserve">.  The plaintiff alleges further that it complied with its obligations </w:t>
      </w:r>
      <w:r w:rsidR="00560911" w:rsidRPr="00C57946">
        <w:rPr>
          <w:rFonts w:ascii="Arial" w:hAnsi="Arial"/>
        </w:rPr>
        <w:t>under</w:t>
      </w:r>
      <w:r w:rsidR="001F1682" w:rsidRPr="00C57946">
        <w:rPr>
          <w:rFonts w:ascii="Arial" w:hAnsi="Arial"/>
        </w:rPr>
        <w:t xml:space="preserve"> the loan agreement by transferring funding to the </w:t>
      </w:r>
      <w:r w:rsidR="00A367D1" w:rsidRPr="00C57946">
        <w:rPr>
          <w:rFonts w:ascii="Arial" w:hAnsi="Arial"/>
        </w:rPr>
        <w:t>B</w:t>
      </w:r>
      <w:r w:rsidR="001F1682" w:rsidRPr="00C57946">
        <w:rPr>
          <w:rFonts w:ascii="Arial" w:hAnsi="Arial"/>
        </w:rPr>
        <w:t>orrower in the sum of R129 503 128,60 and a further payment of R27 799 688,91.</w:t>
      </w:r>
    </w:p>
    <w:p w14:paraId="0B3CD025" w14:textId="77777777" w:rsidR="00843D60" w:rsidRDefault="00843D60" w:rsidP="00843D60">
      <w:pPr>
        <w:pStyle w:val="ListParagraph"/>
        <w:spacing w:line="480" w:lineRule="auto"/>
        <w:ind w:left="851"/>
        <w:jc w:val="both"/>
        <w:rPr>
          <w:rFonts w:ascii="Arial" w:hAnsi="Arial"/>
        </w:rPr>
      </w:pPr>
    </w:p>
    <w:p w14:paraId="4242071A" w14:textId="14EDD9A9" w:rsidR="00843D60" w:rsidRPr="00C57946" w:rsidRDefault="00C57946" w:rsidP="00C57946">
      <w:pPr>
        <w:spacing w:line="480" w:lineRule="auto"/>
        <w:ind w:left="851" w:hanging="851"/>
        <w:jc w:val="both"/>
        <w:rPr>
          <w:rFonts w:ascii="Arial" w:hAnsi="Arial"/>
        </w:rPr>
      </w:pPr>
      <w:r>
        <w:rPr>
          <w:rFonts w:ascii="Arial" w:hAnsi="Arial"/>
        </w:rPr>
        <w:t>2.</w:t>
      </w:r>
      <w:r>
        <w:rPr>
          <w:rFonts w:ascii="Arial" w:hAnsi="Arial"/>
        </w:rPr>
        <w:tab/>
      </w:r>
      <w:r w:rsidR="00843D60" w:rsidRPr="00C57946">
        <w:rPr>
          <w:rFonts w:ascii="Arial" w:hAnsi="Arial"/>
        </w:rPr>
        <w:t xml:space="preserve">From 22 July 2019 the plaintiff and the </w:t>
      </w:r>
      <w:r w:rsidR="00A367D1" w:rsidRPr="00C57946">
        <w:rPr>
          <w:rFonts w:ascii="Arial" w:hAnsi="Arial"/>
        </w:rPr>
        <w:t>B</w:t>
      </w:r>
      <w:r w:rsidR="00843D60" w:rsidRPr="00C57946">
        <w:rPr>
          <w:rFonts w:ascii="Arial" w:hAnsi="Arial"/>
        </w:rPr>
        <w:t xml:space="preserve">orrower entered into a written guarantee facility agreement in terms of which the plaintiff made available certain guarantee facilities to assist the </w:t>
      </w:r>
      <w:r w:rsidR="00A367D1" w:rsidRPr="00C57946">
        <w:rPr>
          <w:rFonts w:ascii="Arial" w:hAnsi="Arial"/>
        </w:rPr>
        <w:t>B</w:t>
      </w:r>
      <w:r w:rsidR="00843D60" w:rsidRPr="00C57946">
        <w:rPr>
          <w:rFonts w:ascii="Arial" w:hAnsi="Arial"/>
        </w:rPr>
        <w:t>orrower. The terms of the guarantee facility are not germane to the issues raised by the exception</w:t>
      </w:r>
      <w:r w:rsidR="004C711B" w:rsidRPr="00C57946">
        <w:rPr>
          <w:rFonts w:ascii="Arial" w:hAnsi="Arial"/>
        </w:rPr>
        <w:t xml:space="preserve"> which is discussed below</w:t>
      </w:r>
      <w:r w:rsidR="00843D60" w:rsidRPr="00C57946">
        <w:rPr>
          <w:rFonts w:ascii="Arial" w:hAnsi="Arial"/>
        </w:rPr>
        <w:t>.</w:t>
      </w:r>
      <w:r w:rsidR="003E0A02" w:rsidRPr="00C57946">
        <w:rPr>
          <w:rFonts w:ascii="Arial" w:hAnsi="Arial"/>
        </w:rPr>
        <w:t xml:space="preserve"> There were further agreements which are not germane to the issues which arise in these</w:t>
      </w:r>
      <w:r w:rsidR="00094FAF" w:rsidRPr="00C57946">
        <w:rPr>
          <w:rFonts w:ascii="Arial" w:hAnsi="Arial"/>
        </w:rPr>
        <w:t xml:space="preserve"> proceedings. </w:t>
      </w:r>
    </w:p>
    <w:p w14:paraId="544F50AB" w14:textId="77777777" w:rsidR="00843D60" w:rsidRPr="00843D60" w:rsidRDefault="00843D60" w:rsidP="00843D60">
      <w:pPr>
        <w:pStyle w:val="ListParagraph"/>
        <w:rPr>
          <w:rFonts w:ascii="Arial" w:hAnsi="Arial"/>
        </w:rPr>
      </w:pPr>
    </w:p>
    <w:p w14:paraId="52E79D1B" w14:textId="7F4AE4D3" w:rsidR="00AA11A0" w:rsidRPr="00C57946" w:rsidRDefault="00C57946" w:rsidP="00C57946">
      <w:pPr>
        <w:spacing w:line="480" w:lineRule="auto"/>
        <w:ind w:left="851" w:hanging="851"/>
        <w:jc w:val="both"/>
        <w:rPr>
          <w:rFonts w:ascii="Arial" w:hAnsi="Arial"/>
        </w:rPr>
      </w:pPr>
      <w:r>
        <w:rPr>
          <w:rFonts w:ascii="Arial" w:hAnsi="Arial"/>
        </w:rPr>
        <w:t>3.</w:t>
      </w:r>
      <w:r>
        <w:rPr>
          <w:rFonts w:ascii="Arial" w:hAnsi="Arial"/>
        </w:rPr>
        <w:tab/>
      </w:r>
      <w:r w:rsidR="00843D60" w:rsidRPr="00C57946">
        <w:rPr>
          <w:rFonts w:ascii="Arial" w:hAnsi="Arial"/>
        </w:rPr>
        <w:t>On 15 January 2019 the plaintiff and the defendants entered into a guarantee agreement</w:t>
      </w:r>
      <w:r w:rsidR="001442D3" w:rsidRPr="00C57946">
        <w:rPr>
          <w:rFonts w:ascii="Arial" w:hAnsi="Arial"/>
        </w:rPr>
        <w:t xml:space="preserve"> (“the Guarantee”)</w:t>
      </w:r>
      <w:r w:rsidR="00094FAF" w:rsidRPr="00C57946">
        <w:rPr>
          <w:rFonts w:ascii="Arial" w:hAnsi="Arial"/>
        </w:rPr>
        <w:t>,</w:t>
      </w:r>
      <w:r w:rsidR="00843D60" w:rsidRPr="00C57946">
        <w:rPr>
          <w:rFonts w:ascii="Arial" w:hAnsi="Arial"/>
        </w:rPr>
        <w:t xml:space="preserve"> the purpose of which was to guarantee performance by the </w:t>
      </w:r>
      <w:r w:rsidR="00094FAF" w:rsidRPr="00C57946">
        <w:rPr>
          <w:rFonts w:ascii="Arial" w:hAnsi="Arial"/>
        </w:rPr>
        <w:t>B</w:t>
      </w:r>
      <w:r w:rsidR="00843D60" w:rsidRPr="00C57946">
        <w:rPr>
          <w:rFonts w:ascii="Arial" w:hAnsi="Arial"/>
        </w:rPr>
        <w:t xml:space="preserve">orrower under, </w:t>
      </w:r>
      <w:r w:rsidR="00843D60" w:rsidRPr="00C57946">
        <w:rPr>
          <w:rFonts w:ascii="Arial" w:hAnsi="Arial"/>
          <w:i/>
          <w:iCs/>
        </w:rPr>
        <w:t>inter alia,</w:t>
      </w:r>
      <w:r w:rsidR="00843D60" w:rsidRPr="00C57946">
        <w:rPr>
          <w:rFonts w:ascii="Arial" w:hAnsi="Arial"/>
        </w:rPr>
        <w:t xml:space="preserve"> the loan agreement. </w:t>
      </w:r>
      <w:r w:rsidR="00E463EF" w:rsidRPr="00C57946">
        <w:rPr>
          <w:rFonts w:ascii="Arial" w:hAnsi="Arial"/>
        </w:rPr>
        <w:t>T</w:t>
      </w:r>
      <w:r w:rsidR="00843D60" w:rsidRPr="00C57946">
        <w:rPr>
          <w:rFonts w:ascii="Arial" w:hAnsi="Arial"/>
        </w:rPr>
        <w:t xml:space="preserve">he </w:t>
      </w:r>
      <w:r w:rsidR="00E463EF" w:rsidRPr="00C57946">
        <w:rPr>
          <w:rFonts w:ascii="Arial" w:hAnsi="Arial"/>
        </w:rPr>
        <w:t>B</w:t>
      </w:r>
      <w:r w:rsidR="00843D60" w:rsidRPr="00C57946">
        <w:rPr>
          <w:rFonts w:ascii="Arial" w:hAnsi="Arial"/>
        </w:rPr>
        <w:t xml:space="preserve">orrower failed to perform its obligations under the loan agreement and the plaintiff obtained judgment against the </w:t>
      </w:r>
      <w:r w:rsidR="00E463EF" w:rsidRPr="00C57946">
        <w:rPr>
          <w:rFonts w:ascii="Arial" w:hAnsi="Arial"/>
        </w:rPr>
        <w:t>B</w:t>
      </w:r>
      <w:r w:rsidR="00843D60" w:rsidRPr="00C57946">
        <w:rPr>
          <w:rFonts w:ascii="Arial" w:hAnsi="Arial"/>
        </w:rPr>
        <w:t>orrower</w:t>
      </w:r>
      <w:r w:rsidR="00E463EF" w:rsidRPr="00C57946">
        <w:rPr>
          <w:rFonts w:ascii="Arial" w:hAnsi="Arial"/>
        </w:rPr>
        <w:t xml:space="preserve"> for payment of </w:t>
      </w:r>
      <w:r w:rsidR="0077363C" w:rsidRPr="00C57946">
        <w:rPr>
          <w:rFonts w:ascii="Arial" w:hAnsi="Arial"/>
        </w:rPr>
        <w:t>outstanding amounts due under the loan agreement</w:t>
      </w:r>
      <w:r w:rsidR="00843D60" w:rsidRPr="00C57946">
        <w:rPr>
          <w:rFonts w:ascii="Arial" w:hAnsi="Arial"/>
        </w:rPr>
        <w:t xml:space="preserve">. </w:t>
      </w:r>
    </w:p>
    <w:p w14:paraId="1A82F82B" w14:textId="77777777" w:rsidR="00AA11A0" w:rsidRPr="00AA11A0" w:rsidRDefault="00AA11A0" w:rsidP="00AA11A0">
      <w:pPr>
        <w:pStyle w:val="ListParagraph"/>
        <w:rPr>
          <w:rFonts w:ascii="Arial" w:hAnsi="Arial"/>
        </w:rPr>
      </w:pPr>
    </w:p>
    <w:p w14:paraId="41903508" w14:textId="33ECB3D1" w:rsidR="00843D60" w:rsidRPr="00C57946" w:rsidRDefault="00C57946" w:rsidP="00C57946">
      <w:pPr>
        <w:spacing w:line="480" w:lineRule="auto"/>
        <w:ind w:left="851" w:hanging="851"/>
        <w:jc w:val="both"/>
        <w:rPr>
          <w:rFonts w:ascii="Arial" w:hAnsi="Arial"/>
        </w:rPr>
      </w:pPr>
      <w:r>
        <w:rPr>
          <w:rFonts w:ascii="Arial" w:hAnsi="Arial"/>
        </w:rPr>
        <w:t>4.</w:t>
      </w:r>
      <w:r>
        <w:rPr>
          <w:rFonts w:ascii="Arial" w:hAnsi="Arial"/>
        </w:rPr>
        <w:tab/>
      </w:r>
      <w:r w:rsidR="00AA11A0" w:rsidRPr="00C57946">
        <w:rPr>
          <w:rFonts w:ascii="Arial" w:hAnsi="Arial"/>
        </w:rPr>
        <w:t>In consequence, t</w:t>
      </w:r>
      <w:r w:rsidR="00843D60" w:rsidRPr="00C57946">
        <w:rPr>
          <w:rFonts w:ascii="Arial" w:hAnsi="Arial"/>
        </w:rPr>
        <w:t xml:space="preserve">he plaintiff called upon the defendants to make payment under the </w:t>
      </w:r>
      <w:r w:rsidR="00D4505E" w:rsidRPr="00C57946">
        <w:rPr>
          <w:rFonts w:ascii="Arial" w:hAnsi="Arial"/>
        </w:rPr>
        <w:t>G</w:t>
      </w:r>
      <w:r w:rsidR="00843D60" w:rsidRPr="00C57946">
        <w:rPr>
          <w:rFonts w:ascii="Arial" w:hAnsi="Arial"/>
        </w:rPr>
        <w:t xml:space="preserve">uarantee of the amounts which the </w:t>
      </w:r>
      <w:r w:rsidR="006745AD" w:rsidRPr="00C57946">
        <w:rPr>
          <w:rFonts w:ascii="Arial" w:hAnsi="Arial"/>
        </w:rPr>
        <w:t>B</w:t>
      </w:r>
      <w:r w:rsidR="00843D60" w:rsidRPr="00C57946">
        <w:rPr>
          <w:rFonts w:ascii="Arial" w:hAnsi="Arial"/>
        </w:rPr>
        <w:t xml:space="preserve">orrower had failed to pay in </w:t>
      </w:r>
      <w:r w:rsidR="00843D60" w:rsidRPr="00C57946">
        <w:rPr>
          <w:rFonts w:ascii="Arial" w:hAnsi="Arial"/>
        </w:rPr>
        <w:lastRenderedPageBreak/>
        <w:t>terms of the loan agreement.  The defendants failed to honour the</w:t>
      </w:r>
      <w:r w:rsidR="00CD7A75" w:rsidRPr="00C57946">
        <w:rPr>
          <w:rFonts w:ascii="Arial" w:hAnsi="Arial"/>
        </w:rPr>
        <w:t>ir obligations under the</w:t>
      </w:r>
      <w:r w:rsidR="00843D60" w:rsidRPr="00C57946">
        <w:rPr>
          <w:rFonts w:ascii="Arial" w:hAnsi="Arial"/>
        </w:rPr>
        <w:t xml:space="preserve"> </w:t>
      </w:r>
      <w:r w:rsidR="006745AD" w:rsidRPr="00C57946">
        <w:rPr>
          <w:rFonts w:ascii="Arial" w:hAnsi="Arial"/>
        </w:rPr>
        <w:t>G</w:t>
      </w:r>
      <w:r w:rsidR="00843D60" w:rsidRPr="00C57946">
        <w:rPr>
          <w:rFonts w:ascii="Arial" w:hAnsi="Arial"/>
        </w:rPr>
        <w:t>uarantee and</w:t>
      </w:r>
      <w:r w:rsidR="001A084A" w:rsidRPr="00C57946">
        <w:rPr>
          <w:rFonts w:ascii="Arial" w:hAnsi="Arial"/>
        </w:rPr>
        <w:t>,</w:t>
      </w:r>
      <w:r w:rsidR="00843D60" w:rsidRPr="00C57946">
        <w:rPr>
          <w:rFonts w:ascii="Arial" w:hAnsi="Arial"/>
        </w:rPr>
        <w:t xml:space="preserve"> in consequence</w:t>
      </w:r>
      <w:r w:rsidR="006745AD" w:rsidRPr="00C57946">
        <w:rPr>
          <w:rFonts w:ascii="Arial" w:hAnsi="Arial"/>
        </w:rPr>
        <w:t>,</w:t>
      </w:r>
      <w:r w:rsidR="00843D60" w:rsidRPr="00C57946">
        <w:rPr>
          <w:rFonts w:ascii="Arial" w:hAnsi="Arial"/>
        </w:rPr>
        <w:t xml:space="preserve"> the plaintiff instituted </w:t>
      </w:r>
      <w:r w:rsidR="001A05E6" w:rsidRPr="00C57946">
        <w:rPr>
          <w:rFonts w:ascii="Arial" w:hAnsi="Arial"/>
        </w:rPr>
        <w:t>action</w:t>
      </w:r>
      <w:r w:rsidR="007E319C" w:rsidRPr="00C57946">
        <w:rPr>
          <w:rFonts w:ascii="Arial" w:hAnsi="Arial"/>
        </w:rPr>
        <w:t xml:space="preserve"> against the </w:t>
      </w:r>
      <w:r w:rsidR="001A05E6" w:rsidRPr="00C57946">
        <w:rPr>
          <w:rFonts w:ascii="Arial" w:hAnsi="Arial"/>
        </w:rPr>
        <w:t xml:space="preserve">defendants for payment of amounts due in terms </w:t>
      </w:r>
      <w:r w:rsidR="001A084A" w:rsidRPr="00C57946">
        <w:rPr>
          <w:rFonts w:ascii="Arial" w:hAnsi="Arial"/>
        </w:rPr>
        <w:t>thereof</w:t>
      </w:r>
      <w:r w:rsidR="00843D60" w:rsidRPr="00C57946">
        <w:rPr>
          <w:rFonts w:ascii="Arial" w:hAnsi="Arial"/>
        </w:rPr>
        <w:t>.</w:t>
      </w:r>
    </w:p>
    <w:p w14:paraId="6277C88D" w14:textId="77777777" w:rsidR="00843D60" w:rsidRPr="00843D60" w:rsidRDefault="00843D60" w:rsidP="00843D60">
      <w:pPr>
        <w:pStyle w:val="ListParagraph"/>
        <w:rPr>
          <w:rFonts w:ascii="Arial" w:hAnsi="Arial"/>
        </w:rPr>
      </w:pPr>
    </w:p>
    <w:p w14:paraId="371EE232" w14:textId="5D45EC9C" w:rsidR="003F6886" w:rsidRPr="00C57946" w:rsidRDefault="00C57946" w:rsidP="00C57946">
      <w:pPr>
        <w:spacing w:line="480" w:lineRule="auto"/>
        <w:ind w:left="851" w:hanging="851"/>
        <w:jc w:val="both"/>
        <w:rPr>
          <w:rFonts w:ascii="Arial" w:hAnsi="Arial"/>
        </w:rPr>
      </w:pPr>
      <w:r>
        <w:rPr>
          <w:rFonts w:ascii="Arial" w:hAnsi="Arial"/>
        </w:rPr>
        <w:t>5.</w:t>
      </w:r>
      <w:r>
        <w:rPr>
          <w:rFonts w:ascii="Arial" w:hAnsi="Arial"/>
        </w:rPr>
        <w:tab/>
      </w:r>
      <w:r w:rsidR="00843D60" w:rsidRPr="00C57946">
        <w:rPr>
          <w:rFonts w:ascii="Arial" w:hAnsi="Arial"/>
        </w:rPr>
        <w:t xml:space="preserve">The defendants delivered a special plea, challenging the jurisdiction of the court on the basis that the loan agreement, guarantee facility and guarantee are void </w:t>
      </w:r>
      <w:r w:rsidR="00843D60" w:rsidRPr="00C57946">
        <w:rPr>
          <w:rFonts w:ascii="Arial" w:hAnsi="Arial"/>
          <w:i/>
          <w:iCs/>
        </w:rPr>
        <w:t>ab initio.</w:t>
      </w:r>
      <w:r w:rsidR="00843D60" w:rsidRPr="00C57946">
        <w:rPr>
          <w:rFonts w:ascii="Arial" w:hAnsi="Arial"/>
        </w:rPr>
        <w:t xml:space="preserve">  The plea was not the subject of the plaintiff’s exception</w:t>
      </w:r>
      <w:r w:rsidR="009224A0" w:rsidRPr="00C57946">
        <w:rPr>
          <w:rFonts w:ascii="Arial" w:hAnsi="Arial"/>
        </w:rPr>
        <w:t xml:space="preserve"> and so its merits need not be interrogated at this stage. </w:t>
      </w:r>
      <w:r w:rsidR="00BD674D" w:rsidRPr="00C57946">
        <w:rPr>
          <w:rFonts w:ascii="Arial" w:hAnsi="Arial"/>
        </w:rPr>
        <w:t xml:space="preserve">On </w:t>
      </w:r>
      <w:r w:rsidR="0067796A" w:rsidRPr="00C57946">
        <w:rPr>
          <w:rFonts w:ascii="Arial" w:hAnsi="Arial"/>
        </w:rPr>
        <w:t xml:space="preserve">the face of it however, the special plea </w:t>
      </w:r>
      <w:r w:rsidR="008923A1" w:rsidRPr="00C57946">
        <w:rPr>
          <w:rFonts w:ascii="Arial" w:hAnsi="Arial"/>
        </w:rPr>
        <w:t xml:space="preserve">appears to suffer from </w:t>
      </w:r>
      <w:r w:rsidR="00856737" w:rsidRPr="00C57946">
        <w:rPr>
          <w:rFonts w:ascii="Arial" w:hAnsi="Arial"/>
        </w:rPr>
        <w:t xml:space="preserve">a fundamental contradiction. The premise of the special plea is that because the </w:t>
      </w:r>
      <w:r w:rsidR="00CB500C" w:rsidRPr="00C57946">
        <w:rPr>
          <w:rFonts w:ascii="Arial" w:hAnsi="Arial"/>
        </w:rPr>
        <w:t xml:space="preserve">agreements are void, the choice of jurisdiction, namely this court, </w:t>
      </w:r>
      <w:r w:rsidR="00F63971" w:rsidRPr="00C57946">
        <w:rPr>
          <w:rFonts w:ascii="Arial" w:hAnsi="Arial"/>
        </w:rPr>
        <w:t xml:space="preserve">has no legal consequence. But in order to </w:t>
      </w:r>
      <w:r w:rsidR="00A24F59" w:rsidRPr="00C57946">
        <w:rPr>
          <w:rFonts w:ascii="Arial" w:hAnsi="Arial"/>
        </w:rPr>
        <w:t xml:space="preserve">reach that conclusion, this court would have to pronounce the relevant agreements to be invalid. In other words, the </w:t>
      </w:r>
      <w:r w:rsidR="004E22D6" w:rsidRPr="00C57946">
        <w:rPr>
          <w:rFonts w:ascii="Arial" w:hAnsi="Arial"/>
        </w:rPr>
        <w:t>defendants would have to invoke the jurisdiction of this court, which would</w:t>
      </w:r>
      <w:r w:rsidR="008C6361" w:rsidRPr="00C57946">
        <w:rPr>
          <w:rFonts w:ascii="Arial" w:hAnsi="Arial"/>
        </w:rPr>
        <w:t xml:space="preserve">, prima facie, amount to an </w:t>
      </w:r>
      <w:r w:rsidR="003F6886" w:rsidRPr="00C57946">
        <w:rPr>
          <w:rFonts w:ascii="Arial" w:hAnsi="Arial"/>
        </w:rPr>
        <w:t xml:space="preserve">acquiescence in the court’s jurisdiction. </w:t>
      </w:r>
    </w:p>
    <w:p w14:paraId="36D85635" w14:textId="77777777" w:rsidR="003F6886" w:rsidRPr="003F6886" w:rsidRDefault="003F6886" w:rsidP="003F6886">
      <w:pPr>
        <w:pStyle w:val="ListParagraph"/>
        <w:rPr>
          <w:rFonts w:ascii="Arial" w:hAnsi="Arial"/>
        </w:rPr>
      </w:pPr>
    </w:p>
    <w:p w14:paraId="547D356F" w14:textId="13E99A0A" w:rsidR="00843D60" w:rsidRPr="00C57946" w:rsidRDefault="00C57946" w:rsidP="00C57946">
      <w:pPr>
        <w:spacing w:line="480" w:lineRule="auto"/>
        <w:ind w:left="851" w:hanging="851"/>
        <w:jc w:val="both"/>
        <w:rPr>
          <w:rFonts w:ascii="Arial" w:hAnsi="Arial"/>
        </w:rPr>
      </w:pPr>
      <w:r>
        <w:rPr>
          <w:rFonts w:ascii="Arial" w:hAnsi="Arial"/>
        </w:rPr>
        <w:t>6.</w:t>
      </w:r>
      <w:r>
        <w:rPr>
          <w:rFonts w:ascii="Arial" w:hAnsi="Arial"/>
        </w:rPr>
        <w:tab/>
      </w:r>
      <w:r w:rsidR="00843D60" w:rsidRPr="00C57946">
        <w:rPr>
          <w:rFonts w:ascii="Arial" w:hAnsi="Arial"/>
        </w:rPr>
        <w:t>In order to understand the point of the plaintiff’s exception, and the defendants</w:t>
      </w:r>
      <w:r w:rsidR="00BE3422" w:rsidRPr="00C57946">
        <w:rPr>
          <w:rFonts w:ascii="Arial" w:hAnsi="Arial"/>
        </w:rPr>
        <w:t>’</w:t>
      </w:r>
      <w:r w:rsidR="00843D60" w:rsidRPr="00C57946">
        <w:rPr>
          <w:rFonts w:ascii="Arial" w:hAnsi="Arial"/>
        </w:rPr>
        <w:t xml:space="preserve"> attempts to avoid the consequences of the exception, it is necessar</w:t>
      </w:r>
      <w:r w:rsidR="008273A2" w:rsidRPr="00C57946">
        <w:rPr>
          <w:rFonts w:ascii="Arial" w:hAnsi="Arial"/>
        </w:rPr>
        <w:t xml:space="preserve">y to explain the fundamental allegations of fact made by the defendants </w:t>
      </w:r>
      <w:r w:rsidR="000F0A27" w:rsidRPr="00C57946">
        <w:rPr>
          <w:rFonts w:ascii="Arial" w:hAnsi="Arial"/>
        </w:rPr>
        <w:t>in their plea. They are, in essence, the following:</w:t>
      </w:r>
    </w:p>
    <w:p w14:paraId="3D793334" w14:textId="77777777" w:rsidR="00012DF9" w:rsidRDefault="00012DF9" w:rsidP="00012DF9">
      <w:pPr>
        <w:pStyle w:val="ListParagraph"/>
        <w:rPr>
          <w:rFonts w:ascii="Arial" w:hAnsi="Arial"/>
        </w:rPr>
      </w:pPr>
    </w:p>
    <w:p w14:paraId="19E5B32D" w14:textId="77777777" w:rsidR="005D18B5" w:rsidRPr="005D18B5" w:rsidRDefault="005D18B5" w:rsidP="005D18B5">
      <w:pPr>
        <w:pStyle w:val="ListParagraph"/>
        <w:rPr>
          <w:rFonts w:ascii="Arial" w:hAnsi="Arial"/>
        </w:rPr>
      </w:pPr>
    </w:p>
    <w:p w14:paraId="32A25D65" w14:textId="282B7418" w:rsidR="005D18B5" w:rsidRPr="00C57946" w:rsidRDefault="00C57946" w:rsidP="00C57946">
      <w:pPr>
        <w:spacing w:line="480" w:lineRule="auto"/>
        <w:ind w:left="1436" w:hanging="585"/>
        <w:jc w:val="both"/>
        <w:rPr>
          <w:rFonts w:ascii="Arial" w:hAnsi="Arial"/>
        </w:rPr>
      </w:pPr>
      <w:r>
        <w:rPr>
          <w:rFonts w:ascii="Arial" w:hAnsi="Arial"/>
        </w:rPr>
        <w:t>6.1</w:t>
      </w:r>
      <w:r>
        <w:rPr>
          <w:rFonts w:ascii="Arial" w:hAnsi="Arial"/>
        </w:rPr>
        <w:tab/>
      </w:r>
      <w:r w:rsidR="00012DF9" w:rsidRPr="00C57946">
        <w:rPr>
          <w:rFonts w:ascii="Arial" w:hAnsi="Arial"/>
        </w:rPr>
        <w:t>Representatives</w:t>
      </w:r>
      <w:r w:rsidR="00AA2A81" w:rsidRPr="00C57946">
        <w:rPr>
          <w:rFonts w:ascii="Arial" w:hAnsi="Arial"/>
        </w:rPr>
        <w:t xml:space="preserve"> of </w:t>
      </w:r>
      <w:r w:rsidR="0051101F" w:rsidRPr="00C57946">
        <w:rPr>
          <w:rFonts w:ascii="Arial" w:hAnsi="Arial"/>
        </w:rPr>
        <w:t xml:space="preserve">the Presidency and </w:t>
      </w:r>
      <w:r w:rsidR="00AA2A81" w:rsidRPr="00C57946">
        <w:rPr>
          <w:rFonts w:ascii="Arial" w:hAnsi="Arial"/>
        </w:rPr>
        <w:t xml:space="preserve">the plaintiff </w:t>
      </w:r>
      <w:r w:rsidR="002E6120" w:rsidRPr="00C57946">
        <w:rPr>
          <w:rFonts w:ascii="Arial" w:hAnsi="Arial"/>
        </w:rPr>
        <w:t xml:space="preserve">represented to the fourth defendant, acting on behalf of </w:t>
      </w:r>
      <w:r w:rsidR="00532C94" w:rsidRPr="00C57946">
        <w:rPr>
          <w:rFonts w:ascii="Arial" w:hAnsi="Arial"/>
        </w:rPr>
        <w:t xml:space="preserve">all </w:t>
      </w:r>
      <w:r w:rsidR="00B4179E" w:rsidRPr="00C57946">
        <w:rPr>
          <w:rFonts w:ascii="Arial" w:hAnsi="Arial"/>
        </w:rPr>
        <w:t xml:space="preserve">the </w:t>
      </w:r>
      <w:r w:rsidR="00B9185D" w:rsidRPr="00C57946">
        <w:rPr>
          <w:rFonts w:ascii="Arial" w:hAnsi="Arial"/>
        </w:rPr>
        <w:t xml:space="preserve">defendants, that </w:t>
      </w:r>
      <w:r w:rsidR="00FD0DA8" w:rsidRPr="00C57946">
        <w:rPr>
          <w:rFonts w:ascii="Arial" w:hAnsi="Arial"/>
        </w:rPr>
        <w:t>the</w:t>
      </w:r>
      <w:r w:rsidR="004249EF" w:rsidRPr="00C57946">
        <w:rPr>
          <w:rFonts w:ascii="Arial" w:hAnsi="Arial"/>
        </w:rPr>
        <w:t xml:space="preserve"> South African government </w:t>
      </w:r>
      <w:r w:rsidR="00FD0DA8" w:rsidRPr="00C57946">
        <w:rPr>
          <w:rFonts w:ascii="Arial" w:hAnsi="Arial"/>
        </w:rPr>
        <w:t>would support a commercial enterprise to be</w:t>
      </w:r>
      <w:r w:rsidR="003D46A2" w:rsidRPr="00C57946">
        <w:rPr>
          <w:rFonts w:ascii="Arial" w:hAnsi="Arial"/>
        </w:rPr>
        <w:t xml:space="preserve"> pursued by</w:t>
      </w:r>
      <w:r w:rsidR="00532C94" w:rsidRPr="00C57946">
        <w:rPr>
          <w:rFonts w:ascii="Arial" w:hAnsi="Arial"/>
        </w:rPr>
        <w:t xml:space="preserve"> the</w:t>
      </w:r>
      <w:r w:rsidR="003D46A2" w:rsidRPr="00C57946">
        <w:rPr>
          <w:rFonts w:ascii="Arial" w:hAnsi="Arial"/>
        </w:rPr>
        <w:t xml:space="preserve"> </w:t>
      </w:r>
      <w:r w:rsidR="004E15AE" w:rsidRPr="00C57946">
        <w:rPr>
          <w:rFonts w:ascii="Arial" w:hAnsi="Arial"/>
        </w:rPr>
        <w:t xml:space="preserve">“Mara Group” (which </w:t>
      </w:r>
      <w:r w:rsidR="00532C94" w:rsidRPr="00C57946">
        <w:rPr>
          <w:rFonts w:ascii="Arial" w:hAnsi="Arial"/>
        </w:rPr>
        <w:t xml:space="preserve">allegedly </w:t>
      </w:r>
      <w:r w:rsidR="004E15AE" w:rsidRPr="00C57946">
        <w:rPr>
          <w:rFonts w:ascii="Arial" w:hAnsi="Arial"/>
        </w:rPr>
        <w:t xml:space="preserve">included </w:t>
      </w:r>
      <w:r w:rsidR="00532C94" w:rsidRPr="00C57946">
        <w:rPr>
          <w:rFonts w:ascii="Arial" w:hAnsi="Arial"/>
        </w:rPr>
        <w:t xml:space="preserve">all </w:t>
      </w:r>
      <w:r w:rsidR="004E15AE" w:rsidRPr="00C57946">
        <w:rPr>
          <w:rFonts w:ascii="Arial" w:hAnsi="Arial"/>
        </w:rPr>
        <w:t>the defendants</w:t>
      </w:r>
      <w:r w:rsidR="00CA590F" w:rsidRPr="00C57946">
        <w:rPr>
          <w:rFonts w:ascii="Arial" w:hAnsi="Arial"/>
        </w:rPr>
        <w:t xml:space="preserve">) </w:t>
      </w:r>
      <w:r w:rsidR="00CA590F" w:rsidRPr="00C57946">
        <w:rPr>
          <w:rFonts w:ascii="Arial" w:hAnsi="Arial"/>
          <w:i/>
          <w:iCs/>
        </w:rPr>
        <w:t>and</w:t>
      </w:r>
      <w:r w:rsidR="00CA590F" w:rsidRPr="00C57946">
        <w:rPr>
          <w:rFonts w:ascii="Arial" w:hAnsi="Arial"/>
        </w:rPr>
        <w:t xml:space="preserve"> that “</w:t>
      </w:r>
      <w:r w:rsidR="00CA590F" w:rsidRPr="00C57946">
        <w:rPr>
          <w:rFonts w:ascii="Arial" w:hAnsi="Arial"/>
          <w:i/>
          <w:iCs/>
        </w:rPr>
        <w:t xml:space="preserve">the defendants would not be called upon to </w:t>
      </w:r>
      <w:r w:rsidR="00E53571" w:rsidRPr="00C57946">
        <w:rPr>
          <w:rFonts w:ascii="Arial" w:hAnsi="Arial"/>
          <w:i/>
          <w:iCs/>
        </w:rPr>
        <w:t>pay for any losses suffered by the enterprise should such enterprise fail</w:t>
      </w:r>
      <w:r w:rsidR="00E53571" w:rsidRPr="00C57946">
        <w:rPr>
          <w:rFonts w:ascii="Arial" w:hAnsi="Arial"/>
        </w:rPr>
        <w:t>”.</w:t>
      </w:r>
    </w:p>
    <w:p w14:paraId="4829B494" w14:textId="78C470C3" w:rsidR="00532C94" w:rsidRPr="00C57946" w:rsidRDefault="00C57946" w:rsidP="00C57946">
      <w:pPr>
        <w:spacing w:line="480" w:lineRule="auto"/>
        <w:ind w:left="1436" w:hanging="585"/>
        <w:jc w:val="both"/>
        <w:rPr>
          <w:rFonts w:ascii="Arial" w:hAnsi="Arial"/>
        </w:rPr>
      </w:pPr>
      <w:r>
        <w:rPr>
          <w:rFonts w:ascii="Arial" w:hAnsi="Arial"/>
        </w:rPr>
        <w:lastRenderedPageBreak/>
        <w:t>6.2</w:t>
      </w:r>
      <w:r>
        <w:rPr>
          <w:rFonts w:ascii="Arial" w:hAnsi="Arial"/>
        </w:rPr>
        <w:tab/>
      </w:r>
      <w:r w:rsidR="00984471" w:rsidRPr="00C57946">
        <w:rPr>
          <w:rFonts w:ascii="Arial" w:hAnsi="Arial"/>
        </w:rPr>
        <w:t xml:space="preserve">The defendants relied upon </w:t>
      </w:r>
      <w:r w:rsidR="00972F0A" w:rsidRPr="00C57946">
        <w:rPr>
          <w:rFonts w:ascii="Arial" w:hAnsi="Arial"/>
        </w:rPr>
        <w:t>both</w:t>
      </w:r>
      <w:r w:rsidR="00984471" w:rsidRPr="00C57946">
        <w:rPr>
          <w:rFonts w:ascii="Arial" w:hAnsi="Arial"/>
        </w:rPr>
        <w:t xml:space="preserve"> representation</w:t>
      </w:r>
      <w:r w:rsidR="00972F0A" w:rsidRPr="00C57946">
        <w:rPr>
          <w:rFonts w:ascii="Arial" w:hAnsi="Arial"/>
        </w:rPr>
        <w:t>s</w:t>
      </w:r>
      <w:r w:rsidR="00984471" w:rsidRPr="00C57946">
        <w:rPr>
          <w:rFonts w:ascii="Arial" w:hAnsi="Arial"/>
        </w:rPr>
        <w:t>, which induced them to enter into</w:t>
      </w:r>
      <w:r w:rsidR="000E7D2D" w:rsidRPr="00C57946">
        <w:rPr>
          <w:rFonts w:ascii="Arial" w:hAnsi="Arial"/>
        </w:rPr>
        <w:t xml:space="preserve"> “the agreements”, which included the </w:t>
      </w:r>
      <w:r w:rsidR="007D3710" w:rsidRPr="00C57946">
        <w:rPr>
          <w:rFonts w:ascii="Arial" w:hAnsi="Arial"/>
        </w:rPr>
        <w:t>Guarantee.</w:t>
      </w:r>
    </w:p>
    <w:p w14:paraId="72D271A6" w14:textId="51591E2C" w:rsidR="007D3710" w:rsidRPr="00C57946" w:rsidRDefault="00C57946" w:rsidP="00C57946">
      <w:pPr>
        <w:spacing w:line="480" w:lineRule="auto"/>
        <w:ind w:left="1436" w:hanging="585"/>
        <w:jc w:val="both"/>
        <w:rPr>
          <w:rFonts w:ascii="Arial" w:hAnsi="Arial"/>
        </w:rPr>
      </w:pPr>
      <w:r>
        <w:rPr>
          <w:rFonts w:ascii="Arial" w:hAnsi="Arial"/>
        </w:rPr>
        <w:t>6.3</w:t>
      </w:r>
      <w:r>
        <w:rPr>
          <w:rFonts w:ascii="Arial" w:hAnsi="Arial"/>
        </w:rPr>
        <w:tab/>
      </w:r>
      <w:r w:rsidR="007D3710" w:rsidRPr="00C57946">
        <w:rPr>
          <w:rFonts w:ascii="Arial" w:hAnsi="Arial"/>
        </w:rPr>
        <w:t>In the ev</w:t>
      </w:r>
      <w:r w:rsidR="00F54ADE" w:rsidRPr="00C57946">
        <w:rPr>
          <w:rFonts w:ascii="Arial" w:hAnsi="Arial"/>
        </w:rPr>
        <w:t>e</w:t>
      </w:r>
      <w:r w:rsidR="007D3710" w:rsidRPr="00C57946">
        <w:rPr>
          <w:rFonts w:ascii="Arial" w:hAnsi="Arial"/>
        </w:rPr>
        <w:t xml:space="preserve">nt, the </w:t>
      </w:r>
      <w:r w:rsidR="00941DD7" w:rsidRPr="00C57946">
        <w:rPr>
          <w:rFonts w:ascii="Arial" w:hAnsi="Arial"/>
        </w:rPr>
        <w:t xml:space="preserve">first </w:t>
      </w:r>
      <w:r w:rsidR="007D3710" w:rsidRPr="00C57946">
        <w:rPr>
          <w:rFonts w:ascii="Arial" w:hAnsi="Arial"/>
        </w:rPr>
        <w:t>representation was false</w:t>
      </w:r>
      <w:r w:rsidR="00941DD7" w:rsidRPr="00C57946">
        <w:rPr>
          <w:rFonts w:ascii="Arial" w:hAnsi="Arial"/>
        </w:rPr>
        <w:t xml:space="preserve"> because the South African government failed to</w:t>
      </w:r>
      <w:r w:rsidR="008800AC" w:rsidRPr="00C57946">
        <w:rPr>
          <w:rFonts w:ascii="Arial" w:hAnsi="Arial"/>
        </w:rPr>
        <w:t xml:space="preserve"> provide adequate financial</w:t>
      </w:r>
      <w:r w:rsidR="00941DD7" w:rsidRPr="00C57946">
        <w:rPr>
          <w:rFonts w:ascii="Arial" w:hAnsi="Arial"/>
        </w:rPr>
        <w:t xml:space="preserve"> support </w:t>
      </w:r>
      <w:r w:rsidR="008800AC" w:rsidRPr="00C57946">
        <w:rPr>
          <w:rFonts w:ascii="Arial" w:hAnsi="Arial"/>
        </w:rPr>
        <w:t xml:space="preserve">for </w:t>
      </w:r>
      <w:r w:rsidR="00941DD7" w:rsidRPr="00C57946">
        <w:rPr>
          <w:rFonts w:ascii="Arial" w:hAnsi="Arial"/>
        </w:rPr>
        <w:t>th</w:t>
      </w:r>
      <w:r w:rsidR="003406DD" w:rsidRPr="00C57946">
        <w:rPr>
          <w:rFonts w:ascii="Arial" w:hAnsi="Arial"/>
        </w:rPr>
        <w:t>e enterprise of the Mara Group</w:t>
      </w:r>
      <w:r w:rsidR="009F15EA" w:rsidRPr="00C57946">
        <w:rPr>
          <w:rFonts w:ascii="Arial" w:hAnsi="Arial"/>
        </w:rPr>
        <w:t>, which was wound up.</w:t>
      </w:r>
    </w:p>
    <w:p w14:paraId="11556645" w14:textId="4EA6C6BD" w:rsidR="009F15EA" w:rsidRPr="00C57946" w:rsidRDefault="00C57946" w:rsidP="00C57946">
      <w:pPr>
        <w:spacing w:line="480" w:lineRule="auto"/>
        <w:ind w:left="1436" w:hanging="585"/>
        <w:jc w:val="both"/>
        <w:rPr>
          <w:rFonts w:ascii="Arial" w:hAnsi="Arial"/>
        </w:rPr>
      </w:pPr>
      <w:r>
        <w:rPr>
          <w:rFonts w:ascii="Arial" w:hAnsi="Arial"/>
        </w:rPr>
        <w:t>6.4</w:t>
      </w:r>
      <w:r>
        <w:rPr>
          <w:rFonts w:ascii="Arial" w:hAnsi="Arial"/>
        </w:rPr>
        <w:tab/>
      </w:r>
      <w:r w:rsidR="00E66921" w:rsidRPr="00C57946">
        <w:rPr>
          <w:rFonts w:ascii="Arial" w:hAnsi="Arial"/>
        </w:rPr>
        <w:t xml:space="preserve">As a result of that misrepresentation, </w:t>
      </w:r>
      <w:r w:rsidR="00665F08" w:rsidRPr="00C57946">
        <w:rPr>
          <w:rFonts w:ascii="Arial" w:hAnsi="Arial"/>
        </w:rPr>
        <w:t>there was no consensus between the parties</w:t>
      </w:r>
      <w:r w:rsidR="000445E1" w:rsidRPr="00C57946">
        <w:rPr>
          <w:rFonts w:ascii="Arial" w:hAnsi="Arial"/>
        </w:rPr>
        <w:t xml:space="preserve"> due to a fundamental mistake </w:t>
      </w:r>
      <w:r w:rsidR="007471AD" w:rsidRPr="00C57946">
        <w:rPr>
          <w:rFonts w:ascii="Arial" w:hAnsi="Arial"/>
        </w:rPr>
        <w:t xml:space="preserve">as to the terms of “the agreements”, which were accordingly void </w:t>
      </w:r>
      <w:r w:rsidR="007471AD" w:rsidRPr="00C57946">
        <w:rPr>
          <w:rFonts w:ascii="Arial" w:hAnsi="Arial"/>
          <w:i/>
          <w:iCs/>
        </w:rPr>
        <w:t>ab initio</w:t>
      </w:r>
      <w:r w:rsidR="007471AD" w:rsidRPr="00C57946">
        <w:rPr>
          <w:rFonts w:ascii="Arial" w:hAnsi="Arial"/>
        </w:rPr>
        <w:t xml:space="preserve">. </w:t>
      </w:r>
    </w:p>
    <w:p w14:paraId="55990434" w14:textId="77777777" w:rsidR="00D305DB" w:rsidRPr="00D305DB" w:rsidRDefault="00D305DB" w:rsidP="00D305DB">
      <w:pPr>
        <w:pStyle w:val="ListParagraph"/>
        <w:rPr>
          <w:rFonts w:ascii="Arial" w:hAnsi="Arial"/>
        </w:rPr>
      </w:pPr>
    </w:p>
    <w:p w14:paraId="7409A4C5" w14:textId="64A853E9" w:rsidR="008B38FC" w:rsidRPr="00C57946" w:rsidRDefault="00C57946" w:rsidP="00C57946">
      <w:pPr>
        <w:spacing w:line="480" w:lineRule="auto"/>
        <w:ind w:left="851" w:hanging="851"/>
        <w:jc w:val="both"/>
        <w:rPr>
          <w:rFonts w:ascii="Arial" w:hAnsi="Arial"/>
        </w:rPr>
      </w:pPr>
      <w:r>
        <w:rPr>
          <w:rFonts w:ascii="Arial" w:hAnsi="Arial"/>
        </w:rPr>
        <w:t>7.</w:t>
      </w:r>
      <w:r>
        <w:rPr>
          <w:rFonts w:ascii="Arial" w:hAnsi="Arial"/>
        </w:rPr>
        <w:tab/>
      </w:r>
      <w:r w:rsidR="00EE02AF" w:rsidRPr="00C57946">
        <w:rPr>
          <w:rFonts w:ascii="Arial" w:hAnsi="Arial"/>
        </w:rPr>
        <w:t xml:space="preserve">When pleading </w:t>
      </w:r>
      <w:r w:rsidR="00D14615" w:rsidRPr="00C57946">
        <w:rPr>
          <w:rFonts w:ascii="Arial" w:hAnsi="Arial"/>
        </w:rPr>
        <w:t xml:space="preserve">the representations upon which the defendants rely, </w:t>
      </w:r>
      <w:r w:rsidR="003D5762" w:rsidRPr="00C57946">
        <w:rPr>
          <w:rFonts w:ascii="Arial" w:hAnsi="Arial"/>
        </w:rPr>
        <w:t>t</w:t>
      </w:r>
      <w:r w:rsidR="008B38FC" w:rsidRPr="00C57946">
        <w:rPr>
          <w:rFonts w:ascii="Arial" w:hAnsi="Arial"/>
        </w:rPr>
        <w:t>he defe</w:t>
      </w:r>
      <w:r w:rsidR="001B518D" w:rsidRPr="00C57946">
        <w:rPr>
          <w:rFonts w:ascii="Arial" w:hAnsi="Arial"/>
        </w:rPr>
        <w:t>ndants do not distinguish between the</w:t>
      </w:r>
      <w:r w:rsidR="00160B8D" w:rsidRPr="00C57946">
        <w:rPr>
          <w:rFonts w:ascii="Arial" w:hAnsi="Arial"/>
        </w:rPr>
        <w:t xml:space="preserve"> </w:t>
      </w:r>
      <w:r w:rsidR="00B03E1D" w:rsidRPr="00C57946">
        <w:rPr>
          <w:rFonts w:ascii="Arial" w:hAnsi="Arial"/>
        </w:rPr>
        <w:t>L</w:t>
      </w:r>
      <w:r w:rsidR="00160B8D" w:rsidRPr="00C57946">
        <w:rPr>
          <w:rFonts w:ascii="Arial" w:hAnsi="Arial"/>
        </w:rPr>
        <w:t xml:space="preserve">oan </w:t>
      </w:r>
      <w:r w:rsidR="00B03E1D" w:rsidRPr="00C57946">
        <w:rPr>
          <w:rFonts w:ascii="Arial" w:hAnsi="Arial"/>
        </w:rPr>
        <w:t>A</w:t>
      </w:r>
      <w:r w:rsidR="00160B8D" w:rsidRPr="00C57946">
        <w:rPr>
          <w:rFonts w:ascii="Arial" w:hAnsi="Arial"/>
        </w:rPr>
        <w:t xml:space="preserve">greement, </w:t>
      </w:r>
      <w:r w:rsidR="0033592A" w:rsidRPr="00C57946">
        <w:rPr>
          <w:rFonts w:ascii="Arial" w:hAnsi="Arial"/>
        </w:rPr>
        <w:t>the Letter of Amendment</w:t>
      </w:r>
      <w:r w:rsidR="003D7894" w:rsidRPr="00C57946">
        <w:rPr>
          <w:rFonts w:ascii="Arial" w:hAnsi="Arial"/>
        </w:rPr>
        <w:t xml:space="preserve"> (which amended the Loan Agreement),</w:t>
      </w:r>
      <w:r w:rsidR="0062764D" w:rsidRPr="00C57946">
        <w:rPr>
          <w:rFonts w:ascii="Arial" w:hAnsi="Arial"/>
        </w:rPr>
        <w:t xml:space="preserve"> the Guarantee </w:t>
      </w:r>
      <w:r w:rsidR="003D7E89" w:rsidRPr="00C57946">
        <w:rPr>
          <w:rFonts w:ascii="Arial" w:hAnsi="Arial"/>
        </w:rPr>
        <w:t>F</w:t>
      </w:r>
      <w:r w:rsidR="0062764D" w:rsidRPr="00C57946">
        <w:rPr>
          <w:rFonts w:ascii="Arial" w:hAnsi="Arial"/>
        </w:rPr>
        <w:t xml:space="preserve">acility </w:t>
      </w:r>
      <w:r w:rsidR="003D7E89" w:rsidRPr="00C57946">
        <w:rPr>
          <w:rFonts w:ascii="Arial" w:hAnsi="Arial"/>
        </w:rPr>
        <w:t>Letter</w:t>
      </w:r>
      <w:r w:rsidR="00E6584D" w:rsidRPr="00C57946">
        <w:rPr>
          <w:rFonts w:ascii="Arial" w:hAnsi="Arial"/>
        </w:rPr>
        <w:t xml:space="preserve"> or the Guarantee. All these agreements are lumped together </w:t>
      </w:r>
      <w:r w:rsidR="00316B8B" w:rsidRPr="00C57946">
        <w:rPr>
          <w:rFonts w:ascii="Arial" w:hAnsi="Arial"/>
        </w:rPr>
        <w:t>and simply called “</w:t>
      </w:r>
      <w:r w:rsidR="003D5762" w:rsidRPr="00C57946">
        <w:rPr>
          <w:rFonts w:ascii="Arial" w:hAnsi="Arial"/>
        </w:rPr>
        <w:t xml:space="preserve">the agreements”. It is accordingly not possible to </w:t>
      </w:r>
      <w:r w:rsidR="0039010B" w:rsidRPr="00C57946">
        <w:rPr>
          <w:rFonts w:ascii="Arial" w:hAnsi="Arial"/>
        </w:rPr>
        <w:t xml:space="preserve">establish from the defendants’ plea </w:t>
      </w:r>
      <w:r w:rsidR="00D55842" w:rsidRPr="00C57946">
        <w:rPr>
          <w:rFonts w:ascii="Arial" w:hAnsi="Arial"/>
        </w:rPr>
        <w:t>how the alleged representation</w:t>
      </w:r>
      <w:r w:rsidR="002A5F5D" w:rsidRPr="00C57946">
        <w:rPr>
          <w:rFonts w:ascii="Arial" w:hAnsi="Arial"/>
        </w:rPr>
        <w:t xml:space="preserve"> that the South African government would support the enterprise of the Mara Group induced the defendants to conclude </w:t>
      </w:r>
      <w:r w:rsidR="00B71B7A" w:rsidRPr="00C57946">
        <w:rPr>
          <w:rFonts w:ascii="Arial" w:hAnsi="Arial"/>
        </w:rPr>
        <w:t xml:space="preserve">the particular agreements referred to above. This failure becomes </w:t>
      </w:r>
      <w:r w:rsidR="00620F0B" w:rsidRPr="00C57946">
        <w:rPr>
          <w:rFonts w:ascii="Arial" w:hAnsi="Arial"/>
        </w:rPr>
        <w:t>particularly important when considering the terms of the Guarantee.</w:t>
      </w:r>
    </w:p>
    <w:p w14:paraId="3322B57B" w14:textId="138B1329" w:rsidR="00D305DB" w:rsidRPr="00C57946" w:rsidRDefault="00C57946" w:rsidP="00C57946">
      <w:pPr>
        <w:spacing w:line="480" w:lineRule="auto"/>
        <w:ind w:left="851" w:hanging="851"/>
        <w:jc w:val="both"/>
        <w:rPr>
          <w:rFonts w:ascii="Arial" w:hAnsi="Arial"/>
        </w:rPr>
      </w:pPr>
      <w:r>
        <w:rPr>
          <w:rFonts w:ascii="Arial" w:hAnsi="Arial"/>
        </w:rPr>
        <w:t>8.</w:t>
      </w:r>
      <w:r>
        <w:rPr>
          <w:rFonts w:ascii="Arial" w:hAnsi="Arial"/>
        </w:rPr>
        <w:tab/>
      </w:r>
      <w:r w:rsidR="00D305DB" w:rsidRPr="00C57946">
        <w:rPr>
          <w:rFonts w:ascii="Arial" w:hAnsi="Arial"/>
        </w:rPr>
        <w:t xml:space="preserve">The plaintiff excepts to the </w:t>
      </w:r>
      <w:r w:rsidR="002B030F" w:rsidRPr="00C57946">
        <w:rPr>
          <w:rFonts w:ascii="Arial" w:hAnsi="Arial"/>
        </w:rPr>
        <w:t xml:space="preserve">defendants’ </w:t>
      </w:r>
      <w:r w:rsidR="00184872" w:rsidRPr="00C57946">
        <w:rPr>
          <w:rFonts w:ascii="Arial" w:hAnsi="Arial"/>
        </w:rPr>
        <w:t>plea to the extent that it raises the defence described above</w:t>
      </w:r>
      <w:r w:rsidR="009330D2" w:rsidRPr="00C57946">
        <w:rPr>
          <w:rFonts w:ascii="Arial" w:hAnsi="Arial"/>
        </w:rPr>
        <w:t>,</w:t>
      </w:r>
      <w:r w:rsidR="00D305DB" w:rsidRPr="00C57946">
        <w:rPr>
          <w:rFonts w:ascii="Arial" w:hAnsi="Arial"/>
        </w:rPr>
        <w:t xml:space="preserve"> on the basis that clause 14 of the </w:t>
      </w:r>
      <w:r w:rsidR="009330D2" w:rsidRPr="00C57946">
        <w:rPr>
          <w:rFonts w:ascii="Arial" w:hAnsi="Arial"/>
        </w:rPr>
        <w:t>G</w:t>
      </w:r>
      <w:r w:rsidR="00D305DB" w:rsidRPr="00C57946">
        <w:rPr>
          <w:rFonts w:ascii="Arial" w:hAnsi="Arial"/>
        </w:rPr>
        <w:t>uarantee records that:</w:t>
      </w:r>
    </w:p>
    <w:p w14:paraId="271842E3" w14:textId="77777777" w:rsidR="00D305DB" w:rsidRPr="00D305DB" w:rsidRDefault="00D305DB" w:rsidP="00D305DB">
      <w:pPr>
        <w:pStyle w:val="ListParagraph"/>
        <w:rPr>
          <w:rFonts w:ascii="Arial" w:hAnsi="Arial"/>
        </w:rPr>
      </w:pPr>
    </w:p>
    <w:p w14:paraId="28F70219" w14:textId="3641F667" w:rsidR="00D305DB" w:rsidRDefault="00D305DB" w:rsidP="00D305DB">
      <w:pPr>
        <w:pStyle w:val="ListParagraph"/>
        <w:spacing w:line="480" w:lineRule="auto"/>
        <w:ind w:left="1440"/>
        <w:jc w:val="both"/>
        <w:rPr>
          <w:rFonts w:ascii="Arial" w:hAnsi="Arial"/>
        </w:rPr>
      </w:pPr>
      <w:r>
        <w:rPr>
          <w:rFonts w:ascii="Arial" w:hAnsi="Arial"/>
          <w:i/>
          <w:iCs/>
        </w:rPr>
        <w:t>“No representations, promises or warranties have been made or given to the Guarantor by IDC or any other person in connection with this Agreement.”</w:t>
      </w:r>
    </w:p>
    <w:p w14:paraId="5F8B3D76" w14:textId="77777777" w:rsidR="00D305DB" w:rsidRPr="00D305DB" w:rsidRDefault="00D305DB" w:rsidP="00D305DB">
      <w:pPr>
        <w:pStyle w:val="ListParagraph"/>
        <w:spacing w:line="480" w:lineRule="auto"/>
        <w:ind w:left="1440"/>
        <w:jc w:val="both"/>
        <w:rPr>
          <w:rFonts w:ascii="Arial" w:hAnsi="Arial"/>
        </w:rPr>
      </w:pPr>
    </w:p>
    <w:p w14:paraId="79AD4DE9" w14:textId="114604C6" w:rsidR="00D305DB" w:rsidRPr="00C57946" w:rsidRDefault="00C57946" w:rsidP="00C57946">
      <w:pPr>
        <w:spacing w:line="480" w:lineRule="auto"/>
        <w:ind w:left="851" w:hanging="851"/>
        <w:jc w:val="both"/>
        <w:rPr>
          <w:rFonts w:ascii="Arial" w:hAnsi="Arial"/>
        </w:rPr>
      </w:pPr>
      <w:r>
        <w:rPr>
          <w:rFonts w:ascii="Arial" w:hAnsi="Arial"/>
        </w:rPr>
        <w:lastRenderedPageBreak/>
        <w:t>9.</w:t>
      </w:r>
      <w:r>
        <w:rPr>
          <w:rFonts w:ascii="Arial" w:hAnsi="Arial"/>
        </w:rPr>
        <w:tab/>
      </w:r>
      <w:r w:rsidR="00D305DB" w:rsidRPr="00C57946">
        <w:rPr>
          <w:rFonts w:ascii="Arial" w:hAnsi="Arial"/>
        </w:rPr>
        <w:t xml:space="preserve">In addition, the plaintiff relies on clause 22.2 of the </w:t>
      </w:r>
      <w:r w:rsidR="00AB3916" w:rsidRPr="00C57946">
        <w:rPr>
          <w:rFonts w:ascii="Arial" w:hAnsi="Arial"/>
        </w:rPr>
        <w:t>G</w:t>
      </w:r>
      <w:r w:rsidR="00D305DB" w:rsidRPr="00C57946">
        <w:rPr>
          <w:rFonts w:ascii="Arial" w:hAnsi="Arial"/>
        </w:rPr>
        <w:t>uarantee, which provides that:</w:t>
      </w:r>
    </w:p>
    <w:p w14:paraId="666619EC" w14:textId="44851D40" w:rsidR="00D305DB" w:rsidRDefault="00D305DB" w:rsidP="00D305DB">
      <w:pPr>
        <w:pStyle w:val="ListParagraph"/>
        <w:spacing w:line="480" w:lineRule="auto"/>
        <w:ind w:left="1440"/>
        <w:jc w:val="both"/>
        <w:rPr>
          <w:rFonts w:ascii="Arial" w:hAnsi="Arial"/>
        </w:rPr>
      </w:pPr>
      <w:r>
        <w:rPr>
          <w:rFonts w:ascii="Arial" w:hAnsi="Arial"/>
          <w:i/>
          <w:iCs/>
        </w:rPr>
        <w:t>“No Party shall be bound by any express or implied term, representation, warranty, promise or the like not recorded herein.”</w:t>
      </w:r>
    </w:p>
    <w:p w14:paraId="526C0BAC" w14:textId="77777777" w:rsidR="00D305DB" w:rsidRPr="00D305DB" w:rsidRDefault="00D305DB" w:rsidP="00D305DB">
      <w:pPr>
        <w:pStyle w:val="ListParagraph"/>
        <w:spacing w:line="480" w:lineRule="auto"/>
        <w:ind w:left="1440"/>
        <w:jc w:val="both"/>
        <w:rPr>
          <w:rFonts w:ascii="Arial" w:hAnsi="Arial"/>
        </w:rPr>
      </w:pPr>
    </w:p>
    <w:p w14:paraId="7E2EE769" w14:textId="66216A82" w:rsidR="00D305DB" w:rsidRPr="00C57946" w:rsidRDefault="00C57946" w:rsidP="00C57946">
      <w:pPr>
        <w:spacing w:line="480" w:lineRule="auto"/>
        <w:ind w:left="851" w:hanging="851"/>
        <w:jc w:val="both"/>
        <w:rPr>
          <w:rFonts w:ascii="Arial" w:hAnsi="Arial"/>
        </w:rPr>
      </w:pPr>
      <w:r w:rsidRPr="00D305DB">
        <w:rPr>
          <w:rFonts w:ascii="Arial" w:hAnsi="Arial"/>
        </w:rPr>
        <w:t>10.</w:t>
      </w:r>
      <w:r w:rsidRPr="00D305DB">
        <w:rPr>
          <w:rFonts w:ascii="Arial" w:hAnsi="Arial"/>
        </w:rPr>
        <w:tab/>
      </w:r>
      <w:r w:rsidR="00D305DB" w:rsidRPr="00C57946">
        <w:rPr>
          <w:rFonts w:ascii="Arial" w:hAnsi="Arial"/>
        </w:rPr>
        <w:t>Accordingly, so the plaintiff contends, the representations and promises relied upon by the defendants are to no avail and the plea accordingly discloses no defence to the plaintiff’s claim.</w:t>
      </w:r>
    </w:p>
    <w:p w14:paraId="59C787D1" w14:textId="0D829504" w:rsidR="00D54948" w:rsidRPr="00C57946" w:rsidRDefault="00C57946" w:rsidP="00C57946">
      <w:pPr>
        <w:spacing w:line="480" w:lineRule="auto"/>
        <w:ind w:left="851" w:hanging="851"/>
        <w:jc w:val="both"/>
        <w:rPr>
          <w:rFonts w:ascii="Arial" w:hAnsi="Arial" w:cs="Arial"/>
        </w:rPr>
      </w:pPr>
      <w:r>
        <w:rPr>
          <w:rFonts w:ascii="Arial" w:hAnsi="Arial" w:cs="Arial"/>
        </w:rPr>
        <w:t>11.</w:t>
      </w:r>
      <w:r>
        <w:rPr>
          <w:rFonts w:ascii="Arial" w:hAnsi="Arial" w:cs="Arial"/>
        </w:rPr>
        <w:tab/>
      </w:r>
      <w:r w:rsidR="00D305DB" w:rsidRPr="00C57946">
        <w:rPr>
          <w:rFonts w:ascii="Arial" w:hAnsi="Arial" w:cs="Arial"/>
        </w:rPr>
        <w:t>As I understand the argument advanced for by counsel for the defendants, it is this:</w:t>
      </w:r>
    </w:p>
    <w:p w14:paraId="393FFB96" w14:textId="089252C1" w:rsidR="00D305DB" w:rsidRPr="00C57946" w:rsidRDefault="00C57946" w:rsidP="00C57946">
      <w:pPr>
        <w:spacing w:line="480" w:lineRule="auto"/>
        <w:ind w:left="1436" w:hanging="585"/>
        <w:jc w:val="both"/>
        <w:rPr>
          <w:rFonts w:ascii="Arial" w:hAnsi="Arial" w:cs="Arial"/>
        </w:rPr>
      </w:pPr>
      <w:r>
        <w:rPr>
          <w:rFonts w:ascii="Arial" w:hAnsi="Arial" w:cs="Arial"/>
        </w:rPr>
        <w:t>11.1</w:t>
      </w:r>
      <w:r>
        <w:rPr>
          <w:rFonts w:ascii="Arial" w:hAnsi="Arial" w:cs="Arial"/>
        </w:rPr>
        <w:tab/>
      </w:r>
      <w:r w:rsidR="00D305DB" w:rsidRPr="00C57946">
        <w:rPr>
          <w:rFonts w:ascii="Arial" w:hAnsi="Arial" w:cs="Arial"/>
        </w:rPr>
        <w:t>The plaintiff</w:t>
      </w:r>
      <w:r w:rsidR="00AB3916" w:rsidRPr="00C57946">
        <w:rPr>
          <w:rFonts w:ascii="Arial" w:hAnsi="Arial" w:cs="Arial"/>
        </w:rPr>
        <w:t>’</w:t>
      </w:r>
      <w:r w:rsidR="00D305DB" w:rsidRPr="00C57946">
        <w:rPr>
          <w:rFonts w:ascii="Arial" w:hAnsi="Arial" w:cs="Arial"/>
        </w:rPr>
        <w:t>s exception concerns a matter of evidence which will be tested at trial</w:t>
      </w:r>
      <w:r w:rsidR="00692314" w:rsidRPr="00C57946">
        <w:rPr>
          <w:rFonts w:ascii="Arial" w:hAnsi="Arial" w:cs="Arial"/>
        </w:rPr>
        <w:t>.  Facts may emerge at trial which will explain why the representation relied upon by the defendants was not included in the guarantee;</w:t>
      </w:r>
    </w:p>
    <w:p w14:paraId="32B88EA4" w14:textId="00F91175" w:rsidR="00692314" w:rsidRPr="00C57946" w:rsidRDefault="00C57946" w:rsidP="00C57946">
      <w:pPr>
        <w:spacing w:line="480" w:lineRule="auto"/>
        <w:ind w:left="1436" w:hanging="585"/>
        <w:jc w:val="both"/>
        <w:rPr>
          <w:rFonts w:ascii="Arial" w:hAnsi="Arial" w:cs="Arial"/>
        </w:rPr>
      </w:pPr>
      <w:r>
        <w:rPr>
          <w:rFonts w:ascii="Arial" w:hAnsi="Arial" w:cs="Arial"/>
        </w:rPr>
        <w:t>11.2</w:t>
      </w:r>
      <w:r>
        <w:rPr>
          <w:rFonts w:ascii="Arial" w:hAnsi="Arial" w:cs="Arial"/>
        </w:rPr>
        <w:tab/>
      </w:r>
      <w:r w:rsidR="00692314" w:rsidRPr="00C57946">
        <w:rPr>
          <w:rFonts w:ascii="Arial" w:hAnsi="Arial" w:cs="Arial"/>
        </w:rPr>
        <w:t>That evidence is foreshadowed in the defendants’ plea being one of misrepresentation and the parties lacking consensus as to the terms of the agreements;</w:t>
      </w:r>
    </w:p>
    <w:p w14:paraId="66652543" w14:textId="68909732" w:rsidR="00692314" w:rsidRPr="00C57946" w:rsidRDefault="00C57946" w:rsidP="00C57946">
      <w:pPr>
        <w:spacing w:line="480" w:lineRule="auto"/>
        <w:ind w:left="1436" w:hanging="585"/>
        <w:jc w:val="both"/>
        <w:rPr>
          <w:rFonts w:ascii="Arial" w:hAnsi="Arial" w:cs="Arial"/>
        </w:rPr>
      </w:pPr>
      <w:r>
        <w:rPr>
          <w:rFonts w:ascii="Arial" w:hAnsi="Arial" w:cs="Arial"/>
        </w:rPr>
        <w:t>11.3</w:t>
      </w:r>
      <w:r>
        <w:rPr>
          <w:rFonts w:ascii="Arial" w:hAnsi="Arial" w:cs="Arial"/>
        </w:rPr>
        <w:tab/>
      </w:r>
      <w:r w:rsidR="00692314" w:rsidRPr="00C57946">
        <w:rPr>
          <w:rFonts w:ascii="Arial" w:hAnsi="Arial" w:cs="Arial"/>
        </w:rPr>
        <w:t>It is accordingly not appropriate to decide the issue on exception;</w:t>
      </w:r>
    </w:p>
    <w:p w14:paraId="5E6D365C" w14:textId="77777777" w:rsidR="00692314" w:rsidRDefault="00692314" w:rsidP="00692314">
      <w:pPr>
        <w:pStyle w:val="ListParagraph"/>
        <w:spacing w:line="480" w:lineRule="auto"/>
        <w:ind w:left="1436"/>
        <w:jc w:val="both"/>
        <w:rPr>
          <w:rFonts w:ascii="Arial" w:hAnsi="Arial" w:cs="Arial"/>
        </w:rPr>
      </w:pPr>
    </w:p>
    <w:p w14:paraId="2C19D22A" w14:textId="4AA54612" w:rsidR="00692314" w:rsidRPr="00C57946" w:rsidRDefault="00C57946" w:rsidP="00C57946">
      <w:pPr>
        <w:spacing w:line="480" w:lineRule="auto"/>
        <w:ind w:left="1436" w:hanging="585"/>
        <w:jc w:val="both"/>
        <w:rPr>
          <w:rFonts w:ascii="Arial" w:hAnsi="Arial" w:cs="Arial"/>
        </w:rPr>
      </w:pPr>
      <w:r>
        <w:rPr>
          <w:rFonts w:ascii="Arial" w:hAnsi="Arial" w:cs="Arial"/>
        </w:rPr>
        <w:t>11.4</w:t>
      </w:r>
      <w:r>
        <w:rPr>
          <w:rFonts w:ascii="Arial" w:hAnsi="Arial" w:cs="Arial"/>
        </w:rPr>
        <w:tab/>
      </w:r>
      <w:r w:rsidR="00692314" w:rsidRPr="00C57946">
        <w:rPr>
          <w:rFonts w:ascii="Arial" w:hAnsi="Arial" w:cs="Arial"/>
        </w:rPr>
        <w:t xml:space="preserve">In </w:t>
      </w:r>
      <w:r w:rsidR="00692314" w:rsidRPr="00C57946">
        <w:rPr>
          <w:rFonts w:ascii="Arial" w:hAnsi="Arial" w:cs="Arial"/>
          <w:u w:val="single"/>
        </w:rPr>
        <w:t>Ocean Ecko Properties 327CC and another v Old Mutal Life Assurance Company (South Africa) Ltd</w:t>
      </w:r>
      <w:r w:rsidR="00692314">
        <w:rPr>
          <w:rStyle w:val="FootnoteReference"/>
          <w:rFonts w:cs="Arial"/>
        </w:rPr>
        <w:footnoteReference w:id="1"/>
      </w:r>
      <w:r w:rsidR="00692314" w:rsidRPr="00C57946">
        <w:rPr>
          <w:rFonts w:ascii="Arial" w:hAnsi="Arial" w:cs="Arial"/>
        </w:rPr>
        <w:t xml:space="preserve"> the Supreme Court of Appeal upheld an appeal against the decision of the court below upholding an exception that the tacit agreement to terminate the written lease in question offended the provisions of the lease</w:t>
      </w:r>
      <w:r w:rsidR="001910F8" w:rsidRPr="00C57946">
        <w:rPr>
          <w:rFonts w:ascii="Arial" w:hAnsi="Arial" w:cs="Arial"/>
        </w:rPr>
        <w:t>,</w:t>
      </w:r>
      <w:r w:rsidR="00692314" w:rsidRPr="00C57946">
        <w:rPr>
          <w:rFonts w:ascii="Arial" w:hAnsi="Arial" w:cs="Arial"/>
        </w:rPr>
        <w:t xml:space="preserve"> which provided that there </w:t>
      </w:r>
      <w:r w:rsidR="00692314" w:rsidRPr="00C57946">
        <w:rPr>
          <w:rFonts w:ascii="Arial" w:hAnsi="Arial" w:cs="Arial"/>
        </w:rPr>
        <w:lastRenderedPageBreak/>
        <w:t>could be no variation or cancellation of the lease without amendment. That decision is relied upon in support of an argument that the defendants’ should be permitted to proceed to trial in order to lead evidence as to the ma</w:t>
      </w:r>
      <w:r w:rsidR="00BB19D2" w:rsidRPr="00C57946">
        <w:rPr>
          <w:rFonts w:ascii="Arial" w:hAnsi="Arial" w:cs="Arial"/>
        </w:rPr>
        <w:t>n</w:t>
      </w:r>
      <w:r w:rsidR="00692314" w:rsidRPr="00C57946">
        <w:rPr>
          <w:rFonts w:ascii="Arial" w:hAnsi="Arial" w:cs="Arial"/>
        </w:rPr>
        <w:t>or and effect of its representations relied upon.</w:t>
      </w:r>
    </w:p>
    <w:p w14:paraId="04A24ED3" w14:textId="77777777" w:rsidR="00692314" w:rsidRPr="00692314" w:rsidRDefault="00692314" w:rsidP="00692314">
      <w:pPr>
        <w:pStyle w:val="ListParagraph"/>
        <w:rPr>
          <w:rFonts w:ascii="Arial" w:hAnsi="Arial" w:cs="Arial"/>
        </w:rPr>
      </w:pPr>
    </w:p>
    <w:p w14:paraId="315E2AF2" w14:textId="159BA481" w:rsidR="00692314" w:rsidRPr="00C57946" w:rsidRDefault="00C57946" w:rsidP="00C57946">
      <w:pPr>
        <w:spacing w:line="480" w:lineRule="auto"/>
        <w:ind w:left="1436" w:hanging="585"/>
        <w:jc w:val="both"/>
        <w:rPr>
          <w:rFonts w:ascii="Arial" w:hAnsi="Arial" w:cs="Arial"/>
        </w:rPr>
      </w:pPr>
      <w:r>
        <w:rPr>
          <w:rFonts w:ascii="Arial" w:hAnsi="Arial" w:cs="Arial"/>
        </w:rPr>
        <w:t>11.5</w:t>
      </w:r>
      <w:r>
        <w:rPr>
          <w:rFonts w:ascii="Arial" w:hAnsi="Arial" w:cs="Arial"/>
        </w:rPr>
        <w:tab/>
      </w:r>
      <w:r w:rsidR="00692314" w:rsidRPr="00C57946">
        <w:rPr>
          <w:rFonts w:ascii="Arial" w:hAnsi="Arial" w:cs="Arial"/>
        </w:rPr>
        <w:t xml:space="preserve">The decision is also relied upon for the argument that the </w:t>
      </w:r>
      <w:r w:rsidR="00692314" w:rsidRPr="00C57946">
        <w:rPr>
          <w:rFonts w:ascii="Arial" w:hAnsi="Arial" w:cs="Arial"/>
          <w:i/>
          <w:iCs/>
        </w:rPr>
        <w:t>“no representations”</w:t>
      </w:r>
      <w:r w:rsidR="00692314" w:rsidRPr="00C57946">
        <w:rPr>
          <w:rFonts w:ascii="Arial" w:hAnsi="Arial" w:cs="Arial"/>
        </w:rPr>
        <w:t xml:space="preserve"> clause will not prevent the defendants from leading evidence at the trial to show that, as a result of the misrepresentations made by the plaintiff, the defendants’ reasonably laboured under a material mistake in regard to the terms of the agreement and as a result there was no consensus.</w:t>
      </w:r>
    </w:p>
    <w:p w14:paraId="77BF475C" w14:textId="77777777" w:rsidR="00692314" w:rsidRPr="00692314" w:rsidRDefault="00692314" w:rsidP="00692314">
      <w:pPr>
        <w:pStyle w:val="ListParagraph"/>
        <w:rPr>
          <w:rFonts w:ascii="Arial" w:hAnsi="Arial" w:cs="Arial"/>
        </w:rPr>
      </w:pPr>
    </w:p>
    <w:p w14:paraId="3EC07117" w14:textId="1822DA47" w:rsidR="00692314" w:rsidRPr="00C57946" w:rsidRDefault="00C57946" w:rsidP="00C57946">
      <w:pPr>
        <w:spacing w:line="480" w:lineRule="auto"/>
        <w:ind w:left="720" w:hanging="360"/>
        <w:jc w:val="both"/>
        <w:rPr>
          <w:rFonts w:ascii="Arial" w:hAnsi="Arial" w:cs="Arial"/>
        </w:rPr>
      </w:pPr>
      <w:r>
        <w:rPr>
          <w:rFonts w:ascii="Arial" w:hAnsi="Arial" w:cs="Arial"/>
        </w:rPr>
        <w:t>12.</w:t>
      </w:r>
      <w:r>
        <w:rPr>
          <w:rFonts w:ascii="Arial" w:hAnsi="Arial" w:cs="Arial"/>
        </w:rPr>
        <w:tab/>
      </w:r>
      <w:r w:rsidR="007E6702" w:rsidRPr="00C57946">
        <w:rPr>
          <w:rFonts w:ascii="Arial" w:hAnsi="Arial" w:cs="Arial"/>
        </w:rPr>
        <w:t xml:space="preserve">The next decision relied upon by counsel for the defendants – and which indeed formed the main plank of his argument – is </w:t>
      </w:r>
      <w:r w:rsidR="007E6702" w:rsidRPr="00C57946">
        <w:rPr>
          <w:rFonts w:ascii="Arial" w:hAnsi="Arial" w:cs="Arial"/>
          <w:u w:val="single"/>
        </w:rPr>
        <w:t>Spenmac (Pty) Ltd v Tatrim CC</w:t>
      </w:r>
      <w:r w:rsidR="007E6702">
        <w:rPr>
          <w:rStyle w:val="FootnoteReference"/>
          <w:rFonts w:cs="Arial"/>
        </w:rPr>
        <w:footnoteReference w:id="2"/>
      </w:r>
      <w:r w:rsidR="007E6702" w:rsidRPr="00C57946">
        <w:rPr>
          <w:rFonts w:ascii="Arial" w:hAnsi="Arial" w:cs="Arial"/>
        </w:rPr>
        <w:t>.</w:t>
      </w:r>
    </w:p>
    <w:p w14:paraId="56D5EC53" w14:textId="77777777" w:rsidR="007E6702" w:rsidRDefault="007E6702" w:rsidP="007E6702">
      <w:pPr>
        <w:pStyle w:val="ListParagraph"/>
        <w:spacing w:line="480" w:lineRule="auto"/>
        <w:jc w:val="both"/>
        <w:rPr>
          <w:rFonts w:ascii="Arial" w:hAnsi="Arial" w:cs="Arial"/>
        </w:rPr>
      </w:pPr>
    </w:p>
    <w:p w14:paraId="7CCA2EBC" w14:textId="288FBD35" w:rsidR="007E6702" w:rsidRPr="00C57946" w:rsidRDefault="00C57946" w:rsidP="00C57946">
      <w:pPr>
        <w:spacing w:line="480" w:lineRule="auto"/>
        <w:ind w:left="720" w:hanging="360"/>
        <w:jc w:val="both"/>
        <w:rPr>
          <w:rFonts w:ascii="Arial" w:hAnsi="Arial" w:cs="Arial"/>
        </w:rPr>
      </w:pPr>
      <w:r>
        <w:rPr>
          <w:rFonts w:ascii="Arial" w:hAnsi="Arial" w:cs="Arial"/>
        </w:rPr>
        <w:t>13.</w:t>
      </w:r>
      <w:r>
        <w:rPr>
          <w:rFonts w:ascii="Arial" w:hAnsi="Arial" w:cs="Arial"/>
        </w:rPr>
        <w:tab/>
      </w:r>
      <w:r w:rsidR="007E6702" w:rsidRPr="00C57946">
        <w:rPr>
          <w:rFonts w:ascii="Arial" w:hAnsi="Arial" w:cs="Arial"/>
        </w:rPr>
        <w:t xml:space="preserve">As I understand the argument, it was that the Supreme Court of Appeal held in </w:t>
      </w:r>
      <w:r w:rsidR="007E6702" w:rsidRPr="00C57946">
        <w:rPr>
          <w:rFonts w:ascii="Arial" w:hAnsi="Arial" w:cs="Arial"/>
          <w:u w:val="single"/>
        </w:rPr>
        <w:t>Spenmac</w:t>
      </w:r>
      <w:r w:rsidR="007E6702" w:rsidRPr="00C57946">
        <w:rPr>
          <w:rFonts w:ascii="Arial" w:hAnsi="Arial" w:cs="Arial"/>
        </w:rPr>
        <w:t xml:space="preserve"> that whenever a misrepresentation leads to a lack of consensus between the contracting parties, the party seeking to enforce the agreement in question cannot rely on any term of that agreement, and more particularly a clause which excludes reliance upon misrepresentations. It is accordingly necessary to examine the decisions in </w:t>
      </w:r>
      <w:r w:rsidR="007E6702" w:rsidRPr="00C57946">
        <w:rPr>
          <w:rFonts w:ascii="Arial" w:hAnsi="Arial" w:cs="Arial"/>
          <w:u w:val="single"/>
        </w:rPr>
        <w:t>Ocean Echo</w:t>
      </w:r>
      <w:r w:rsidR="007E6702" w:rsidRPr="00C57946">
        <w:rPr>
          <w:rFonts w:ascii="Arial" w:hAnsi="Arial" w:cs="Arial"/>
        </w:rPr>
        <w:t xml:space="preserve"> and </w:t>
      </w:r>
      <w:r w:rsidR="007E6702" w:rsidRPr="00C57946">
        <w:rPr>
          <w:rFonts w:ascii="Arial" w:hAnsi="Arial" w:cs="Arial"/>
          <w:u w:val="single"/>
        </w:rPr>
        <w:t>Spenmac</w:t>
      </w:r>
      <w:r w:rsidR="007E6702" w:rsidRPr="00C57946">
        <w:rPr>
          <w:rFonts w:ascii="Arial" w:hAnsi="Arial" w:cs="Arial"/>
        </w:rPr>
        <w:t xml:space="preserve"> in order to establish whether or not they apply to the facts of the present case.</w:t>
      </w:r>
    </w:p>
    <w:p w14:paraId="3DB834B5" w14:textId="77777777" w:rsidR="007E6702" w:rsidRPr="007E6702" w:rsidRDefault="007E6702" w:rsidP="007E6702">
      <w:pPr>
        <w:pStyle w:val="ListParagraph"/>
        <w:rPr>
          <w:rFonts w:ascii="Arial" w:hAnsi="Arial" w:cs="Arial"/>
        </w:rPr>
      </w:pPr>
    </w:p>
    <w:p w14:paraId="0F5F817C" w14:textId="78911C9D" w:rsidR="00CF4A70" w:rsidRPr="00C57946" w:rsidRDefault="00C57946" w:rsidP="00C57946">
      <w:pPr>
        <w:spacing w:line="480" w:lineRule="auto"/>
        <w:ind w:left="720" w:hanging="360"/>
        <w:jc w:val="both"/>
        <w:rPr>
          <w:rFonts w:ascii="Arial" w:hAnsi="Arial" w:cs="Arial"/>
        </w:rPr>
      </w:pPr>
      <w:r>
        <w:rPr>
          <w:rFonts w:ascii="Arial" w:hAnsi="Arial" w:cs="Arial"/>
        </w:rPr>
        <w:t>14.</w:t>
      </w:r>
      <w:r>
        <w:rPr>
          <w:rFonts w:ascii="Arial" w:hAnsi="Arial" w:cs="Arial"/>
        </w:rPr>
        <w:tab/>
      </w:r>
      <w:r w:rsidR="007E6702" w:rsidRPr="00C57946">
        <w:rPr>
          <w:rFonts w:ascii="Arial" w:hAnsi="Arial" w:cs="Arial"/>
        </w:rPr>
        <w:t xml:space="preserve">The facts of </w:t>
      </w:r>
      <w:r w:rsidR="007E6702" w:rsidRPr="00C57946">
        <w:rPr>
          <w:rFonts w:ascii="Arial" w:hAnsi="Arial" w:cs="Arial"/>
          <w:u w:val="single"/>
        </w:rPr>
        <w:t>Ocean Echo</w:t>
      </w:r>
      <w:r w:rsidR="007E6702" w:rsidRPr="00C57946">
        <w:rPr>
          <w:rFonts w:ascii="Arial" w:hAnsi="Arial" w:cs="Arial"/>
        </w:rPr>
        <w:t xml:space="preserve"> were the following</w:t>
      </w:r>
      <w:r w:rsidR="00CF4A70" w:rsidRPr="00C57946">
        <w:rPr>
          <w:rFonts w:ascii="Arial" w:hAnsi="Arial" w:cs="Arial"/>
        </w:rPr>
        <w:t>:</w:t>
      </w:r>
      <w:r w:rsidR="007E6702" w:rsidRPr="00C57946">
        <w:rPr>
          <w:rFonts w:ascii="Arial" w:hAnsi="Arial" w:cs="Arial"/>
        </w:rPr>
        <w:t xml:space="preserve"> </w:t>
      </w:r>
    </w:p>
    <w:p w14:paraId="5DF73C26" w14:textId="77777777" w:rsidR="00CF4A70" w:rsidRPr="00CF4A70" w:rsidRDefault="00CF4A70" w:rsidP="00CF4A70">
      <w:pPr>
        <w:pStyle w:val="ListParagraph"/>
        <w:rPr>
          <w:rFonts w:ascii="Arial" w:hAnsi="Arial" w:cs="Arial"/>
        </w:rPr>
      </w:pPr>
    </w:p>
    <w:p w14:paraId="59B5C78C" w14:textId="34CA0544" w:rsidR="00CF4A70" w:rsidRPr="00C57946" w:rsidRDefault="00C57946" w:rsidP="00C57946">
      <w:pPr>
        <w:spacing w:line="480" w:lineRule="auto"/>
        <w:ind w:left="1436" w:hanging="585"/>
        <w:jc w:val="both"/>
        <w:rPr>
          <w:rFonts w:ascii="Arial" w:hAnsi="Arial" w:cs="Arial"/>
        </w:rPr>
      </w:pPr>
      <w:r>
        <w:rPr>
          <w:rFonts w:ascii="Arial" w:hAnsi="Arial" w:cs="Arial"/>
        </w:rPr>
        <w:t>14.1</w:t>
      </w:r>
      <w:r>
        <w:rPr>
          <w:rFonts w:ascii="Arial" w:hAnsi="Arial" w:cs="Arial"/>
        </w:rPr>
        <w:tab/>
      </w:r>
      <w:r w:rsidR="007E6702" w:rsidRPr="00C57946">
        <w:rPr>
          <w:rFonts w:ascii="Arial" w:hAnsi="Arial" w:cs="Arial"/>
        </w:rPr>
        <w:t>Ocean Ec</w:t>
      </w:r>
      <w:r w:rsidR="00CF4A70" w:rsidRPr="00C57946">
        <w:rPr>
          <w:rFonts w:ascii="Arial" w:hAnsi="Arial" w:cs="Arial"/>
        </w:rPr>
        <w:t>h</w:t>
      </w:r>
      <w:r w:rsidR="007E6702" w:rsidRPr="00C57946">
        <w:rPr>
          <w:rFonts w:ascii="Arial" w:hAnsi="Arial" w:cs="Arial"/>
        </w:rPr>
        <w:t xml:space="preserve">o and Old Mutual had entered into an agreement of lease.  </w:t>
      </w:r>
    </w:p>
    <w:p w14:paraId="1AD28D94" w14:textId="5AD4551E" w:rsidR="00CF4A70" w:rsidRPr="00C57946" w:rsidRDefault="00C57946" w:rsidP="00C57946">
      <w:pPr>
        <w:spacing w:line="480" w:lineRule="auto"/>
        <w:ind w:left="1436" w:hanging="585"/>
        <w:jc w:val="both"/>
        <w:rPr>
          <w:rFonts w:ascii="Arial" w:hAnsi="Arial" w:cs="Arial"/>
        </w:rPr>
      </w:pPr>
      <w:r>
        <w:rPr>
          <w:rFonts w:ascii="Arial" w:hAnsi="Arial" w:cs="Arial"/>
        </w:rPr>
        <w:lastRenderedPageBreak/>
        <w:t>14.2</w:t>
      </w:r>
      <w:r>
        <w:rPr>
          <w:rFonts w:ascii="Arial" w:hAnsi="Arial" w:cs="Arial"/>
        </w:rPr>
        <w:tab/>
      </w:r>
      <w:r w:rsidR="007E6702" w:rsidRPr="00C57946">
        <w:rPr>
          <w:rFonts w:ascii="Arial" w:hAnsi="Arial" w:cs="Arial"/>
        </w:rPr>
        <w:t>The second appellant, one Giannaros</w:t>
      </w:r>
      <w:r w:rsidR="00CF4A70" w:rsidRPr="00C57946">
        <w:rPr>
          <w:rFonts w:ascii="Arial" w:hAnsi="Arial" w:cs="Arial"/>
        </w:rPr>
        <w:t>,</w:t>
      </w:r>
      <w:r w:rsidR="007E6702" w:rsidRPr="00C57946">
        <w:rPr>
          <w:rFonts w:ascii="Arial" w:hAnsi="Arial" w:cs="Arial"/>
        </w:rPr>
        <w:t xml:space="preserve"> had executed a deed of suretyship in terms of which he bound himself as surety and co-principal debtor to Old Mutual for the due and proper fulfilment of all of the obligations of Ocean Echo under the lease agreement. </w:t>
      </w:r>
    </w:p>
    <w:p w14:paraId="53C16F1C" w14:textId="078B0ACF" w:rsidR="00CF4A70" w:rsidRPr="00C57946" w:rsidRDefault="00C57946" w:rsidP="00C57946">
      <w:pPr>
        <w:spacing w:line="480" w:lineRule="auto"/>
        <w:ind w:left="1436" w:hanging="585"/>
        <w:jc w:val="both"/>
        <w:rPr>
          <w:rFonts w:ascii="Arial" w:hAnsi="Arial" w:cs="Arial"/>
        </w:rPr>
      </w:pPr>
      <w:r>
        <w:rPr>
          <w:rFonts w:ascii="Arial" w:hAnsi="Arial" w:cs="Arial"/>
        </w:rPr>
        <w:t>14.3</w:t>
      </w:r>
      <w:r>
        <w:rPr>
          <w:rFonts w:ascii="Arial" w:hAnsi="Arial" w:cs="Arial"/>
        </w:rPr>
        <w:tab/>
      </w:r>
      <w:r w:rsidR="007E6702" w:rsidRPr="00C57946">
        <w:rPr>
          <w:rFonts w:ascii="Arial" w:hAnsi="Arial" w:cs="Arial"/>
        </w:rPr>
        <w:t>The defendants admitted that the first defendant had entered into the lease</w:t>
      </w:r>
      <w:r w:rsidR="00CF4A70" w:rsidRPr="00C57946">
        <w:rPr>
          <w:rFonts w:ascii="Arial" w:hAnsi="Arial" w:cs="Arial"/>
        </w:rPr>
        <w:t>,</w:t>
      </w:r>
      <w:r w:rsidR="007E6702" w:rsidRPr="00C57946">
        <w:rPr>
          <w:rFonts w:ascii="Arial" w:hAnsi="Arial" w:cs="Arial"/>
        </w:rPr>
        <w:t xml:space="preserve"> but pleaded that the lease was tacitly terminated when the first defendant vacated the premises</w:t>
      </w:r>
      <w:r w:rsidR="008A51D5" w:rsidRPr="00C57946">
        <w:rPr>
          <w:rFonts w:ascii="Arial" w:hAnsi="Arial" w:cs="Arial"/>
        </w:rPr>
        <w:t xml:space="preserve">, at which time it was not in arrears in respect of rent, rates or any other charges. </w:t>
      </w:r>
    </w:p>
    <w:p w14:paraId="38872B0B" w14:textId="1AD9CA2F" w:rsidR="00593C44" w:rsidRPr="00C57946" w:rsidRDefault="00C57946" w:rsidP="00C57946">
      <w:pPr>
        <w:spacing w:line="480" w:lineRule="auto"/>
        <w:ind w:left="1436" w:hanging="585"/>
        <w:jc w:val="both"/>
        <w:rPr>
          <w:rFonts w:ascii="Arial" w:hAnsi="Arial" w:cs="Arial"/>
        </w:rPr>
      </w:pPr>
      <w:r>
        <w:rPr>
          <w:rFonts w:ascii="Arial" w:hAnsi="Arial" w:cs="Arial"/>
        </w:rPr>
        <w:t>14.4</w:t>
      </w:r>
      <w:r>
        <w:rPr>
          <w:rFonts w:ascii="Arial" w:hAnsi="Arial" w:cs="Arial"/>
        </w:rPr>
        <w:tab/>
      </w:r>
      <w:r w:rsidR="008A51D5" w:rsidRPr="00C57946">
        <w:rPr>
          <w:rFonts w:ascii="Arial" w:hAnsi="Arial" w:cs="Arial"/>
        </w:rPr>
        <w:t>Old Mutual in its t</w:t>
      </w:r>
      <w:r w:rsidR="00CF4A70" w:rsidRPr="00C57946">
        <w:rPr>
          <w:rFonts w:ascii="Arial" w:hAnsi="Arial" w:cs="Arial"/>
        </w:rPr>
        <w:t>urn</w:t>
      </w:r>
      <w:r w:rsidR="008A51D5" w:rsidRPr="00C57946">
        <w:rPr>
          <w:rFonts w:ascii="Arial" w:hAnsi="Arial" w:cs="Arial"/>
        </w:rPr>
        <w:t xml:space="preserve"> was aware that the first defendant had vacated the premises, found a new tenant and began receiving payments from the new tenant in respect of rental, rates and other expenses.  Furthermore, the plaintiff no longer sent rental statements to the second defendant and instead sent such statements to the new tenant.  </w:t>
      </w:r>
    </w:p>
    <w:p w14:paraId="67274239" w14:textId="1C61CBDF" w:rsidR="007E6702" w:rsidRPr="00C57946" w:rsidRDefault="00C57946" w:rsidP="00C57946">
      <w:pPr>
        <w:spacing w:line="480" w:lineRule="auto"/>
        <w:ind w:left="1436" w:hanging="585"/>
        <w:jc w:val="both"/>
        <w:rPr>
          <w:rFonts w:ascii="Arial" w:hAnsi="Arial" w:cs="Arial"/>
        </w:rPr>
      </w:pPr>
      <w:r>
        <w:rPr>
          <w:rFonts w:ascii="Arial" w:hAnsi="Arial" w:cs="Arial"/>
        </w:rPr>
        <w:t>14.5</w:t>
      </w:r>
      <w:r>
        <w:rPr>
          <w:rFonts w:ascii="Arial" w:hAnsi="Arial" w:cs="Arial"/>
        </w:rPr>
        <w:tab/>
      </w:r>
      <w:r w:rsidR="008A51D5" w:rsidRPr="00C57946">
        <w:rPr>
          <w:rFonts w:ascii="Arial" w:hAnsi="Arial" w:cs="Arial"/>
        </w:rPr>
        <w:t xml:space="preserve">In those circumstances, so the defendants </w:t>
      </w:r>
      <w:r w:rsidR="005C221E" w:rsidRPr="00C57946">
        <w:rPr>
          <w:rFonts w:ascii="Arial" w:hAnsi="Arial" w:cs="Arial"/>
        </w:rPr>
        <w:t>argued</w:t>
      </w:r>
      <w:r w:rsidR="008A51D5" w:rsidRPr="00C57946">
        <w:rPr>
          <w:rFonts w:ascii="Arial" w:hAnsi="Arial" w:cs="Arial"/>
        </w:rPr>
        <w:t xml:space="preserve">, Old Mutual had acknowledged that there was a tacit lease between itself and the new tenant, </w:t>
      </w:r>
      <w:r w:rsidR="005C221E" w:rsidRPr="00C57946">
        <w:rPr>
          <w:rFonts w:ascii="Arial" w:hAnsi="Arial" w:cs="Arial"/>
        </w:rPr>
        <w:t xml:space="preserve">and accordingly </w:t>
      </w:r>
      <w:r w:rsidR="008A51D5" w:rsidRPr="00C57946">
        <w:rPr>
          <w:rFonts w:ascii="Arial" w:hAnsi="Arial" w:cs="Arial"/>
        </w:rPr>
        <w:t>the lease between the Old Mutual and the defendants had come to an end.</w:t>
      </w:r>
    </w:p>
    <w:p w14:paraId="6D4AB5A5" w14:textId="77777777" w:rsidR="008A51D5" w:rsidRDefault="008A51D5" w:rsidP="008A51D5">
      <w:pPr>
        <w:pStyle w:val="ListParagraph"/>
        <w:spacing w:line="480" w:lineRule="auto"/>
        <w:jc w:val="both"/>
        <w:rPr>
          <w:rFonts w:ascii="Arial" w:hAnsi="Arial" w:cs="Arial"/>
        </w:rPr>
      </w:pPr>
    </w:p>
    <w:p w14:paraId="1B055E51" w14:textId="7190FF5E" w:rsidR="008A51D5" w:rsidRPr="00C57946" w:rsidRDefault="00C57946" w:rsidP="00C57946">
      <w:pPr>
        <w:spacing w:line="480" w:lineRule="auto"/>
        <w:ind w:left="720" w:hanging="360"/>
        <w:jc w:val="both"/>
        <w:rPr>
          <w:rFonts w:ascii="Arial" w:hAnsi="Arial" w:cs="Arial"/>
        </w:rPr>
      </w:pPr>
      <w:r>
        <w:rPr>
          <w:rFonts w:ascii="Arial" w:hAnsi="Arial" w:cs="Arial"/>
        </w:rPr>
        <w:t>15.</w:t>
      </w:r>
      <w:r>
        <w:rPr>
          <w:rFonts w:ascii="Arial" w:hAnsi="Arial" w:cs="Arial"/>
        </w:rPr>
        <w:tab/>
      </w:r>
      <w:r w:rsidR="008A51D5" w:rsidRPr="00C57946">
        <w:rPr>
          <w:rFonts w:ascii="Arial" w:hAnsi="Arial" w:cs="Arial"/>
        </w:rPr>
        <w:t xml:space="preserve">The court of first instance upheld an exception to the defendants’ plea on the basis that it was bad in law because the tacit cancellation of the lease was contrary to the terms of the written lease agreement, which contained a non-variation clause. An appeal against that decision was dismissed by the full court. An appeal to the Supreme Court of Appeal </w:t>
      </w:r>
      <w:r w:rsidR="00BB03F4" w:rsidRPr="00C57946">
        <w:rPr>
          <w:rFonts w:ascii="Arial" w:hAnsi="Arial" w:cs="Arial"/>
        </w:rPr>
        <w:t>succeeded,</w:t>
      </w:r>
      <w:r w:rsidR="008A51D5" w:rsidRPr="00C57946">
        <w:rPr>
          <w:rFonts w:ascii="Arial" w:hAnsi="Arial" w:cs="Arial"/>
        </w:rPr>
        <w:t xml:space="preserve"> however.</w:t>
      </w:r>
    </w:p>
    <w:p w14:paraId="7D62CEA3" w14:textId="77777777" w:rsidR="008A51D5" w:rsidRPr="008A51D5" w:rsidRDefault="008A51D5" w:rsidP="008A51D5">
      <w:pPr>
        <w:pStyle w:val="ListParagraph"/>
        <w:rPr>
          <w:rFonts w:ascii="Arial" w:hAnsi="Arial" w:cs="Arial"/>
        </w:rPr>
      </w:pPr>
    </w:p>
    <w:p w14:paraId="53E45246" w14:textId="699E057E" w:rsidR="00AB097B" w:rsidRPr="00C57946" w:rsidRDefault="00C57946" w:rsidP="00C57946">
      <w:pPr>
        <w:spacing w:line="480" w:lineRule="auto"/>
        <w:ind w:left="720" w:hanging="360"/>
        <w:jc w:val="both"/>
        <w:rPr>
          <w:rFonts w:ascii="Arial" w:hAnsi="Arial" w:cs="Arial"/>
        </w:rPr>
      </w:pPr>
      <w:r w:rsidRPr="00AB097B">
        <w:rPr>
          <w:rFonts w:ascii="Arial" w:hAnsi="Arial" w:cs="Arial"/>
        </w:rPr>
        <w:lastRenderedPageBreak/>
        <w:t>16.</w:t>
      </w:r>
      <w:r w:rsidRPr="00AB097B">
        <w:rPr>
          <w:rFonts w:ascii="Arial" w:hAnsi="Arial" w:cs="Arial"/>
        </w:rPr>
        <w:tab/>
      </w:r>
      <w:r w:rsidR="008A51D5" w:rsidRPr="00C57946">
        <w:rPr>
          <w:rFonts w:ascii="Arial" w:hAnsi="Arial" w:cs="Arial"/>
        </w:rPr>
        <w:t xml:space="preserve">It is important to follow the reasoning adopted by Ponan JA in </w:t>
      </w:r>
      <w:r w:rsidR="008A51D5" w:rsidRPr="00C57946">
        <w:rPr>
          <w:rFonts w:ascii="Arial" w:hAnsi="Arial" w:cs="Arial"/>
          <w:u w:val="single"/>
        </w:rPr>
        <w:t>Ocean Echo</w:t>
      </w:r>
      <w:r w:rsidR="008A51D5" w:rsidRPr="00C57946">
        <w:rPr>
          <w:rFonts w:ascii="Arial" w:hAnsi="Arial" w:cs="Arial"/>
        </w:rPr>
        <w:t xml:space="preserve">. The starting point is the observation by Botha JA in </w:t>
      </w:r>
      <w:r w:rsidR="008A51D5" w:rsidRPr="00C57946">
        <w:rPr>
          <w:rFonts w:ascii="Arial" w:hAnsi="Arial" w:cs="Arial"/>
          <w:u w:val="single"/>
        </w:rPr>
        <w:t>Ferreira &amp; Another v SAPDC (Trading) Ltd</w:t>
      </w:r>
      <w:r w:rsidR="008A51D5">
        <w:rPr>
          <w:rStyle w:val="FootnoteReference"/>
          <w:rFonts w:cs="Arial"/>
          <w:u w:val="single"/>
        </w:rPr>
        <w:footnoteReference w:id="3"/>
      </w:r>
      <w:r w:rsidR="00AB097B" w:rsidRPr="00C57946">
        <w:rPr>
          <w:rFonts w:ascii="Arial" w:hAnsi="Arial" w:cs="Arial"/>
          <w:u w:val="single"/>
        </w:rPr>
        <w:t>:</w:t>
      </w:r>
    </w:p>
    <w:p w14:paraId="65D37CAC" w14:textId="26DE0822" w:rsidR="008A51D5" w:rsidRPr="00D50A3A" w:rsidRDefault="00D50A3A" w:rsidP="00D50A3A">
      <w:pPr>
        <w:pStyle w:val="ListParagraph"/>
        <w:spacing w:line="480" w:lineRule="auto"/>
        <w:ind w:left="1440"/>
        <w:jc w:val="both"/>
        <w:rPr>
          <w:rFonts w:ascii="Arial" w:hAnsi="Arial" w:cs="Arial"/>
          <w:i/>
          <w:iCs/>
        </w:rPr>
      </w:pPr>
      <w:r>
        <w:rPr>
          <w:rFonts w:ascii="Arial" w:hAnsi="Arial" w:cs="Arial"/>
        </w:rPr>
        <w:t>“</w:t>
      </w:r>
      <w:r w:rsidRPr="00D50A3A">
        <w:rPr>
          <w:rFonts w:ascii="Arial" w:hAnsi="Arial" w:cs="Arial"/>
          <w:i/>
          <w:iCs/>
        </w:rPr>
        <w:t>F</w:t>
      </w:r>
      <w:r w:rsidR="008A51D5" w:rsidRPr="00D50A3A">
        <w:rPr>
          <w:rFonts w:ascii="Arial" w:hAnsi="Arial" w:cs="Arial"/>
          <w:i/>
          <w:iCs/>
        </w:rPr>
        <w:t>rom Neethling’s case I venture to abstract this principle: while an oral agreement varying (at least materially) the terms of a contract of the kind in question is not permissible, there is no objection to allowing proof of an oral agreement relating to the cancellation of the contract by which its terms as such are not placed in issue.</w:t>
      </w:r>
      <w:r w:rsidR="00BC023D" w:rsidRPr="00D50A3A">
        <w:rPr>
          <w:rFonts w:ascii="Arial" w:hAnsi="Arial" w:cs="Arial"/>
          <w:i/>
          <w:iCs/>
        </w:rPr>
        <w:t>”</w:t>
      </w:r>
    </w:p>
    <w:p w14:paraId="7886D748" w14:textId="77777777" w:rsidR="00BC023D" w:rsidRPr="00BC023D" w:rsidRDefault="00BC023D" w:rsidP="00BC023D">
      <w:pPr>
        <w:pStyle w:val="ListParagraph"/>
        <w:rPr>
          <w:rFonts w:ascii="Arial" w:hAnsi="Arial" w:cs="Arial"/>
        </w:rPr>
      </w:pPr>
    </w:p>
    <w:p w14:paraId="7865E81F" w14:textId="6EB5DFD6" w:rsidR="00BC023D" w:rsidRPr="00C57946" w:rsidRDefault="00C57946" w:rsidP="00C57946">
      <w:pPr>
        <w:spacing w:line="480" w:lineRule="auto"/>
        <w:ind w:left="720" w:hanging="360"/>
        <w:jc w:val="both"/>
        <w:rPr>
          <w:rFonts w:ascii="Arial" w:hAnsi="Arial" w:cs="Arial"/>
        </w:rPr>
      </w:pPr>
      <w:r>
        <w:rPr>
          <w:rFonts w:ascii="Arial" w:hAnsi="Arial" w:cs="Arial"/>
        </w:rPr>
        <w:t>17.</w:t>
      </w:r>
      <w:r>
        <w:rPr>
          <w:rFonts w:ascii="Arial" w:hAnsi="Arial" w:cs="Arial"/>
        </w:rPr>
        <w:tab/>
      </w:r>
      <w:r w:rsidR="00BC023D" w:rsidRPr="00C57946">
        <w:rPr>
          <w:rFonts w:ascii="Arial" w:hAnsi="Arial" w:cs="Arial"/>
        </w:rPr>
        <w:t>It is important to observe that</w:t>
      </w:r>
      <w:r w:rsidR="00DB5844" w:rsidRPr="00C57946">
        <w:rPr>
          <w:rFonts w:ascii="Arial" w:hAnsi="Arial" w:cs="Arial"/>
        </w:rPr>
        <w:t xml:space="preserve"> in</w:t>
      </w:r>
      <w:r w:rsidR="00BC023D" w:rsidRPr="00C57946">
        <w:rPr>
          <w:rFonts w:ascii="Arial" w:hAnsi="Arial" w:cs="Arial"/>
        </w:rPr>
        <w:t xml:space="preserve"> </w:t>
      </w:r>
      <w:r w:rsidR="00BC023D" w:rsidRPr="00C57946">
        <w:rPr>
          <w:rFonts w:ascii="Arial" w:hAnsi="Arial" w:cs="Arial"/>
          <w:u w:val="single"/>
        </w:rPr>
        <w:t>Neethling’s</w:t>
      </w:r>
      <w:r w:rsidR="00BC023D" w:rsidRPr="00C57946">
        <w:rPr>
          <w:rFonts w:ascii="Arial" w:hAnsi="Arial" w:cs="Arial"/>
        </w:rPr>
        <w:t xml:space="preserve"> case</w:t>
      </w:r>
      <w:r w:rsidR="00BC023D">
        <w:rPr>
          <w:rStyle w:val="FootnoteReference"/>
          <w:rFonts w:cs="Arial"/>
        </w:rPr>
        <w:footnoteReference w:id="4"/>
      </w:r>
      <w:r w:rsidR="00BC023D" w:rsidRPr="00C57946">
        <w:rPr>
          <w:rFonts w:ascii="Arial" w:hAnsi="Arial" w:cs="Arial"/>
        </w:rPr>
        <w:t xml:space="preserve"> the court was not concerned with a non-variation or </w:t>
      </w:r>
      <w:r w:rsidR="00DB5844" w:rsidRPr="00C57946">
        <w:rPr>
          <w:rFonts w:ascii="Arial" w:hAnsi="Arial" w:cs="Arial"/>
        </w:rPr>
        <w:t>“</w:t>
      </w:r>
      <w:r w:rsidR="00BC023D" w:rsidRPr="00C57946">
        <w:rPr>
          <w:rFonts w:ascii="Arial" w:hAnsi="Arial" w:cs="Arial"/>
        </w:rPr>
        <w:t>no representations</w:t>
      </w:r>
      <w:r w:rsidR="00DB5844" w:rsidRPr="00C57946">
        <w:rPr>
          <w:rFonts w:ascii="Arial" w:hAnsi="Arial" w:cs="Arial"/>
        </w:rPr>
        <w:t>”</w:t>
      </w:r>
      <w:r w:rsidR="00BC023D" w:rsidRPr="00C57946">
        <w:rPr>
          <w:rFonts w:ascii="Arial" w:hAnsi="Arial" w:cs="Arial"/>
        </w:rPr>
        <w:t xml:space="preserve"> clause.  It was instead concerned with whether the termination of a contract which was required to be in writing by section 1(1) of the Transfer Duty Proclamation 1902 (T) could be cancelled by way of an oral agreement. Since the cancellation of the agreement did not call into question the terms of the contract, and therefore did not undermine the objects of the Transfer Duty Proclamation, an oral cancellation was p</w:t>
      </w:r>
      <w:r w:rsidR="00DB5844" w:rsidRPr="00C57946">
        <w:rPr>
          <w:rFonts w:ascii="Arial" w:hAnsi="Arial" w:cs="Arial"/>
        </w:rPr>
        <w:t>ermissible</w:t>
      </w:r>
      <w:r w:rsidR="00BC023D" w:rsidRPr="00C57946">
        <w:rPr>
          <w:rFonts w:ascii="Arial" w:hAnsi="Arial" w:cs="Arial"/>
        </w:rPr>
        <w:t>.</w:t>
      </w:r>
    </w:p>
    <w:p w14:paraId="130A4FA8" w14:textId="77777777" w:rsidR="00BC023D" w:rsidRPr="00BC023D" w:rsidRDefault="00BC023D" w:rsidP="00BC023D">
      <w:pPr>
        <w:pStyle w:val="ListParagraph"/>
        <w:rPr>
          <w:rFonts w:ascii="Arial" w:hAnsi="Arial" w:cs="Arial"/>
        </w:rPr>
      </w:pPr>
    </w:p>
    <w:p w14:paraId="3B5BE19D" w14:textId="35D04601" w:rsidR="00F4798D" w:rsidRPr="00C57946" w:rsidRDefault="00C57946" w:rsidP="00C57946">
      <w:pPr>
        <w:spacing w:line="480" w:lineRule="auto"/>
        <w:ind w:left="720" w:hanging="360"/>
        <w:jc w:val="both"/>
        <w:rPr>
          <w:rFonts w:ascii="Arial" w:hAnsi="Arial" w:cs="Arial"/>
        </w:rPr>
      </w:pPr>
      <w:r>
        <w:rPr>
          <w:rFonts w:ascii="Arial" w:hAnsi="Arial" w:cs="Arial"/>
        </w:rPr>
        <w:t>18.</w:t>
      </w:r>
      <w:r>
        <w:rPr>
          <w:rFonts w:ascii="Arial" w:hAnsi="Arial" w:cs="Arial"/>
        </w:rPr>
        <w:tab/>
      </w:r>
      <w:r w:rsidR="00BC023D" w:rsidRPr="00C57946">
        <w:rPr>
          <w:rFonts w:ascii="Arial" w:hAnsi="Arial" w:cs="Arial"/>
        </w:rPr>
        <w:t xml:space="preserve">Botha JA, on the basis of </w:t>
      </w:r>
      <w:r w:rsidR="00BC023D" w:rsidRPr="00C57946">
        <w:rPr>
          <w:rFonts w:ascii="Arial" w:hAnsi="Arial" w:cs="Arial"/>
          <w:u w:val="single"/>
        </w:rPr>
        <w:t>Neethling’s</w:t>
      </w:r>
      <w:r w:rsidR="00BC023D" w:rsidRPr="00C57946">
        <w:rPr>
          <w:rFonts w:ascii="Arial" w:hAnsi="Arial" w:cs="Arial"/>
        </w:rPr>
        <w:t xml:space="preserve"> case, abstracted the principle that while an oral agreement varying (at least materially) the terms of a contract in question (namely a suretyship which was required to be in writing) was not permissible, there was no objection to relying on proof of an oral agreement relating to the cancellation of the contract, by which its terms are not placed in issue.</w:t>
      </w:r>
      <w:r w:rsidR="00BC023D">
        <w:rPr>
          <w:rStyle w:val="FootnoteReference"/>
          <w:rFonts w:cs="Arial"/>
        </w:rPr>
        <w:footnoteReference w:id="5"/>
      </w:r>
      <w:r w:rsidR="00BC023D" w:rsidRPr="00C57946">
        <w:rPr>
          <w:rFonts w:ascii="Arial" w:hAnsi="Arial" w:cs="Arial"/>
        </w:rPr>
        <w:t xml:space="preserve"> </w:t>
      </w:r>
    </w:p>
    <w:p w14:paraId="4EEB2631" w14:textId="77777777" w:rsidR="00F4798D" w:rsidRPr="00F4798D" w:rsidRDefault="00F4798D" w:rsidP="00F4798D">
      <w:pPr>
        <w:pStyle w:val="ListParagraph"/>
        <w:rPr>
          <w:rFonts w:ascii="Arial" w:hAnsi="Arial" w:cs="Arial"/>
        </w:rPr>
      </w:pPr>
    </w:p>
    <w:p w14:paraId="5C49B750" w14:textId="3E5DBE9D" w:rsidR="00BC023D" w:rsidRPr="00C57946" w:rsidRDefault="00C57946" w:rsidP="00C57946">
      <w:pPr>
        <w:spacing w:line="480" w:lineRule="auto"/>
        <w:ind w:left="720" w:hanging="360"/>
        <w:jc w:val="both"/>
        <w:rPr>
          <w:rFonts w:ascii="Arial" w:hAnsi="Arial" w:cs="Arial"/>
        </w:rPr>
      </w:pPr>
      <w:r>
        <w:rPr>
          <w:rFonts w:ascii="Arial" w:hAnsi="Arial" w:cs="Arial"/>
        </w:rPr>
        <w:lastRenderedPageBreak/>
        <w:t>19.</w:t>
      </w:r>
      <w:r>
        <w:rPr>
          <w:rFonts w:ascii="Arial" w:hAnsi="Arial" w:cs="Arial"/>
        </w:rPr>
        <w:tab/>
      </w:r>
      <w:r w:rsidR="00BC023D" w:rsidRPr="00C57946">
        <w:rPr>
          <w:rFonts w:ascii="Arial" w:hAnsi="Arial" w:cs="Arial"/>
        </w:rPr>
        <w:t xml:space="preserve"> Returning to </w:t>
      </w:r>
      <w:r w:rsidR="00BC023D" w:rsidRPr="00C57946">
        <w:rPr>
          <w:rFonts w:ascii="Arial" w:hAnsi="Arial" w:cs="Arial"/>
          <w:u w:val="single"/>
        </w:rPr>
        <w:t>Oceal Echo</w:t>
      </w:r>
      <w:r w:rsidR="00BC023D" w:rsidRPr="00C57946">
        <w:rPr>
          <w:rFonts w:ascii="Arial" w:hAnsi="Arial" w:cs="Arial"/>
        </w:rPr>
        <w:t xml:space="preserve">, it is for present purposes important to observe that </w:t>
      </w:r>
      <w:r w:rsidR="00F22B85" w:rsidRPr="00C57946">
        <w:rPr>
          <w:rFonts w:ascii="Arial" w:hAnsi="Arial" w:cs="Arial"/>
        </w:rPr>
        <w:t xml:space="preserve">there </w:t>
      </w:r>
      <w:r w:rsidR="00BC023D" w:rsidRPr="00C57946">
        <w:rPr>
          <w:rFonts w:ascii="Arial" w:hAnsi="Arial" w:cs="Arial"/>
        </w:rPr>
        <w:t xml:space="preserve">the court was not dealing with the variation of the terms of an agreement, or a misrepresentation upon the basis of which the defendants sought to escape the terms of a written agreement despite the existence of a </w:t>
      </w:r>
      <w:r w:rsidR="00BC023D" w:rsidRPr="00C57946">
        <w:rPr>
          <w:rFonts w:ascii="Arial" w:hAnsi="Arial" w:cs="Arial"/>
          <w:i/>
          <w:iCs/>
        </w:rPr>
        <w:t>“no representations</w:t>
      </w:r>
      <w:r w:rsidR="007F42EF" w:rsidRPr="00C57946">
        <w:rPr>
          <w:rFonts w:ascii="Arial" w:hAnsi="Arial" w:cs="Arial"/>
          <w:i/>
          <w:iCs/>
        </w:rPr>
        <w:t>”</w:t>
      </w:r>
      <w:r w:rsidR="007F42EF" w:rsidRPr="00C57946">
        <w:rPr>
          <w:rFonts w:ascii="Arial" w:hAnsi="Arial" w:cs="Arial"/>
        </w:rPr>
        <w:t xml:space="preserve"> clause. Ponan JA con</w:t>
      </w:r>
      <w:r w:rsidR="00F22B85" w:rsidRPr="00C57946">
        <w:rPr>
          <w:rFonts w:ascii="Arial" w:hAnsi="Arial" w:cs="Arial"/>
        </w:rPr>
        <w:t>c</w:t>
      </w:r>
      <w:r w:rsidR="007F42EF" w:rsidRPr="00C57946">
        <w:rPr>
          <w:rFonts w:ascii="Arial" w:hAnsi="Arial" w:cs="Arial"/>
        </w:rPr>
        <w:t>luded</w:t>
      </w:r>
      <w:r w:rsidR="007F42EF">
        <w:rPr>
          <w:rStyle w:val="FootnoteReference"/>
          <w:rFonts w:cs="Arial"/>
        </w:rPr>
        <w:footnoteReference w:id="6"/>
      </w:r>
      <w:r w:rsidR="007F42EF" w:rsidRPr="00C57946">
        <w:rPr>
          <w:rFonts w:ascii="Arial" w:hAnsi="Arial" w:cs="Arial"/>
        </w:rPr>
        <w:t xml:space="preserve"> that the effect of the tacit agreement pleaded by the appellant w</w:t>
      </w:r>
      <w:r w:rsidR="009C6762" w:rsidRPr="00C57946">
        <w:rPr>
          <w:rFonts w:ascii="Arial" w:hAnsi="Arial" w:cs="Arial"/>
        </w:rPr>
        <w:t>as to terminate</w:t>
      </w:r>
      <w:r w:rsidR="007F42EF" w:rsidRPr="00C57946">
        <w:rPr>
          <w:rFonts w:ascii="Arial" w:hAnsi="Arial" w:cs="Arial"/>
        </w:rPr>
        <w:t xml:space="preserve"> the operation of the contract of lease </w:t>
      </w:r>
      <w:r w:rsidR="007F42EF" w:rsidRPr="00C57946">
        <w:rPr>
          <w:rFonts w:ascii="Arial" w:hAnsi="Arial" w:cs="Arial"/>
          <w:i/>
          <w:iCs/>
        </w:rPr>
        <w:t>in futurum</w:t>
      </w:r>
      <w:r w:rsidR="007F42EF" w:rsidRPr="00C57946">
        <w:rPr>
          <w:rFonts w:ascii="Arial" w:hAnsi="Arial" w:cs="Arial"/>
        </w:rPr>
        <w:t xml:space="preserve">, so as to preclude the coming into being of any further obligations, while leaving intact obligations that arose from </w:t>
      </w:r>
      <w:r w:rsidR="00DC5DE9" w:rsidRPr="00C57946">
        <w:rPr>
          <w:rFonts w:ascii="Arial" w:hAnsi="Arial" w:cs="Arial"/>
        </w:rPr>
        <w:t xml:space="preserve">the </w:t>
      </w:r>
      <w:r w:rsidR="007F42EF" w:rsidRPr="00C57946">
        <w:rPr>
          <w:rFonts w:ascii="Arial" w:hAnsi="Arial" w:cs="Arial"/>
        </w:rPr>
        <w:t>past operation of the contract, with all its terms.</w:t>
      </w:r>
    </w:p>
    <w:p w14:paraId="4F0554D6" w14:textId="77777777" w:rsidR="007F42EF" w:rsidRPr="007F42EF" w:rsidRDefault="007F42EF" w:rsidP="007F42EF">
      <w:pPr>
        <w:pStyle w:val="ListParagraph"/>
        <w:rPr>
          <w:rFonts w:ascii="Arial" w:hAnsi="Arial" w:cs="Arial"/>
        </w:rPr>
      </w:pPr>
    </w:p>
    <w:p w14:paraId="19A0F5E0" w14:textId="46169AE3" w:rsidR="007F42EF" w:rsidRPr="00C57946" w:rsidRDefault="00C57946" w:rsidP="00C57946">
      <w:pPr>
        <w:spacing w:line="480" w:lineRule="auto"/>
        <w:ind w:left="720" w:hanging="360"/>
        <w:jc w:val="both"/>
        <w:rPr>
          <w:rFonts w:ascii="Arial" w:hAnsi="Arial" w:cs="Arial"/>
        </w:rPr>
      </w:pPr>
      <w:r>
        <w:rPr>
          <w:rFonts w:ascii="Arial" w:hAnsi="Arial" w:cs="Arial"/>
        </w:rPr>
        <w:t>20.</w:t>
      </w:r>
      <w:r>
        <w:rPr>
          <w:rFonts w:ascii="Arial" w:hAnsi="Arial" w:cs="Arial"/>
        </w:rPr>
        <w:tab/>
      </w:r>
      <w:r w:rsidR="007F42EF" w:rsidRPr="00C57946">
        <w:rPr>
          <w:rFonts w:ascii="Arial" w:hAnsi="Arial" w:cs="Arial"/>
        </w:rPr>
        <w:t xml:space="preserve">It will immediately be appreciated that </w:t>
      </w:r>
      <w:r w:rsidR="007F42EF" w:rsidRPr="00C57946">
        <w:rPr>
          <w:rFonts w:ascii="Arial" w:hAnsi="Arial" w:cs="Arial"/>
          <w:u w:val="single"/>
        </w:rPr>
        <w:t xml:space="preserve">Ocean Echo </w:t>
      </w:r>
      <w:r w:rsidR="007F42EF" w:rsidRPr="00C57946">
        <w:rPr>
          <w:rFonts w:ascii="Arial" w:hAnsi="Arial" w:cs="Arial"/>
        </w:rPr>
        <w:t>is for that reason distinguishable from the facts of the present case. In this case the defendants have no</w:t>
      </w:r>
      <w:r w:rsidR="00DC5DE9" w:rsidRPr="00C57946">
        <w:rPr>
          <w:rFonts w:ascii="Arial" w:hAnsi="Arial" w:cs="Arial"/>
        </w:rPr>
        <w:t>t</w:t>
      </w:r>
      <w:r w:rsidR="007F42EF" w:rsidRPr="00C57946">
        <w:rPr>
          <w:rFonts w:ascii="Arial" w:hAnsi="Arial" w:cs="Arial"/>
        </w:rPr>
        <w:t xml:space="preserve"> sought to cancel</w:t>
      </w:r>
      <w:r w:rsidR="00DC5DE9" w:rsidRPr="00C57946">
        <w:rPr>
          <w:rFonts w:ascii="Arial" w:hAnsi="Arial" w:cs="Arial"/>
        </w:rPr>
        <w:t xml:space="preserve"> </w:t>
      </w:r>
      <w:r w:rsidR="00520882" w:rsidRPr="00C57946">
        <w:rPr>
          <w:rFonts w:ascii="Arial" w:hAnsi="Arial" w:cs="Arial"/>
        </w:rPr>
        <w:t>any of the relevant agreements, more particularly the Guarantee</w:t>
      </w:r>
      <w:r w:rsidR="007F42EF" w:rsidRPr="00C57946">
        <w:rPr>
          <w:rFonts w:ascii="Arial" w:hAnsi="Arial" w:cs="Arial"/>
        </w:rPr>
        <w:t>. Nor have they sought to escape future obligations, as opposed to past obligations. In consequence I am of the view that the defendants’ reli</w:t>
      </w:r>
      <w:r w:rsidR="00520882" w:rsidRPr="00C57946">
        <w:rPr>
          <w:rFonts w:ascii="Arial" w:hAnsi="Arial" w:cs="Arial"/>
        </w:rPr>
        <w:t>ance</w:t>
      </w:r>
      <w:r w:rsidR="007F42EF" w:rsidRPr="00C57946">
        <w:rPr>
          <w:rFonts w:ascii="Arial" w:hAnsi="Arial" w:cs="Arial"/>
        </w:rPr>
        <w:t xml:space="preserve"> upon </w:t>
      </w:r>
      <w:r w:rsidR="007F42EF" w:rsidRPr="00C57946">
        <w:rPr>
          <w:rFonts w:ascii="Arial" w:hAnsi="Arial" w:cs="Arial"/>
          <w:u w:val="single"/>
        </w:rPr>
        <w:t>Ocean Echo</w:t>
      </w:r>
      <w:r w:rsidR="007F42EF" w:rsidRPr="00C57946">
        <w:rPr>
          <w:rFonts w:ascii="Arial" w:hAnsi="Arial" w:cs="Arial"/>
        </w:rPr>
        <w:t xml:space="preserve"> is misplaced.</w:t>
      </w:r>
    </w:p>
    <w:p w14:paraId="175D024A" w14:textId="57315A87" w:rsidR="00BF106F" w:rsidRPr="00C57946" w:rsidRDefault="00C57946" w:rsidP="00C57946">
      <w:pPr>
        <w:spacing w:line="480" w:lineRule="auto"/>
        <w:ind w:left="720" w:hanging="360"/>
        <w:jc w:val="both"/>
        <w:rPr>
          <w:rFonts w:ascii="Arial" w:hAnsi="Arial" w:cs="Arial"/>
        </w:rPr>
      </w:pPr>
      <w:r>
        <w:rPr>
          <w:rFonts w:ascii="Arial" w:hAnsi="Arial" w:cs="Arial"/>
        </w:rPr>
        <w:t>21.</w:t>
      </w:r>
      <w:r>
        <w:rPr>
          <w:rFonts w:ascii="Arial" w:hAnsi="Arial" w:cs="Arial"/>
        </w:rPr>
        <w:tab/>
      </w:r>
      <w:r w:rsidR="007F42EF" w:rsidRPr="00C57946">
        <w:rPr>
          <w:rFonts w:ascii="Arial" w:hAnsi="Arial" w:cs="Arial"/>
        </w:rPr>
        <w:t xml:space="preserve">I turn now to consider the decision in </w:t>
      </w:r>
      <w:r w:rsidR="007F42EF" w:rsidRPr="00C57946">
        <w:rPr>
          <w:rFonts w:ascii="Arial" w:hAnsi="Arial" w:cs="Arial"/>
          <w:u w:val="single"/>
        </w:rPr>
        <w:t>Spenmac</w:t>
      </w:r>
      <w:r w:rsidR="007F42EF" w:rsidRPr="00C57946">
        <w:rPr>
          <w:rFonts w:ascii="Arial" w:hAnsi="Arial" w:cs="Arial"/>
        </w:rPr>
        <w:t xml:space="preserve">, upon which counsel for the defendants placed great reliance. The facts </w:t>
      </w:r>
      <w:r w:rsidR="00520882" w:rsidRPr="00C57946">
        <w:rPr>
          <w:rFonts w:ascii="Arial" w:hAnsi="Arial" w:cs="Arial"/>
        </w:rPr>
        <w:t>in</w:t>
      </w:r>
      <w:r w:rsidR="007F42EF" w:rsidRPr="00C57946">
        <w:rPr>
          <w:rFonts w:ascii="Arial" w:hAnsi="Arial" w:cs="Arial"/>
        </w:rPr>
        <w:t xml:space="preserve"> </w:t>
      </w:r>
      <w:r w:rsidR="007F42EF" w:rsidRPr="00C57946">
        <w:rPr>
          <w:rFonts w:ascii="Arial" w:hAnsi="Arial" w:cs="Arial"/>
          <w:u w:val="single"/>
        </w:rPr>
        <w:t>Spenmac</w:t>
      </w:r>
      <w:r w:rsidR="007F42EF" w:rsidRPr="00C57946">
        <w:rPr>
          <w:rFonts w:ascii="Arial" w:hAnsi="Arial" w:cs="Arial"/>
        </w:rPr>
        <w:t xml:space="preserve"> are correctly summarised in the headnote.  Spenmac, the owner of a unit in a sectional title scheme, innocently represented to Tatrim CC that the unit was one of only two </w:t>
      </w:r>
      <w:r w:rsidR="00BF106F" w:rsidRPr="00C57946">
        <w:rPr>
          <w:rFonts w:ascii="Arial" w:hAnsi="Arial" w:cs="Arial"/>
        </w:rPr>
        <w:t xml:space="preserve">units </w:t>
      </w:r>
      <w:r w:rsidR="007F42EF" w:rsidRPr="00C57946">
        <w:rPr>
          <w:rFonts w:ascii="Arial" w:hAnsi="Arial" w:cs="Arial"/>
        </w:rPr>
        <w:t>in the scheme, and that the owner of the unit had a right to veto any subdivision of the other unit. Th</w:t>
      </w:r>
      <w:r w:rsidR="00BF106F" w:rsidRPr="00C57946">
        <w:rPr>
          <w:rFonts w:ascii="Arial" w:hAnsi="Arial" w:cs="Arial"/>
        </w:rPr>
        <w:t>at</w:t>
      </w:r>
      <w:r w:rsidR="007F42EF" w:rsidRPr="00C57946">
        <w:rPr>
          <w:rFonts w:ascii="Arial" w:hAnsi="Arial" w:cs="Arial"/>
        </w:rPr>
        <w:t xml:space="preserve"> representation induced Tatrim to enter into an agreement to buy the unit. </w:t>
      </w:r>
    </w:p>
    <w:p w14:paraId="0CC83033" w14:textId="0145F91D" w:rsidR="00983D27" w:rsidRPr="00C57946" w:rsidRDefault="00C57946" w:rsidP="00C57946">
      <w:pPr>
        <w:spacing w:line="480" w:lineRule="auto"/>
        <w:ind w:left="720" w:hanging="360"/>
        <w:jc w:val="both"/>
        <w:rPr>
          <w:rFonts w:ascii="Arial" w:hAnsi="Arial" w:cs="Arial"/>
        </w:rPr>
      </w:pPr>
      <w:r>
        <w:rPr>
          <w:rFonts w:ascii="Arial" w:hAnsi="Arial" w:cs="Arial"/>
        </w:rPr>
        <w:t>22.</w:t>
      </w:r>
      <w:r>
        <w:rPr>
          <w:rFonts w:ascii="Arial" w:hAnsi="Arial" w:cs="Arial"/>
        </w:rPr>
        <w:tab/>
      </w:r>
      <w:r w:rsidR="007F42EF" w:rsidRPr="00C57946">
        <w:rPr>
          <w:rFonts w:ascii="Arial" w:hAnsi="Arial" w:cs="Arial"/>
        </w:rPr>
        <w:t xml:space="preserve">One of the provisions of the contract was an acknowledgement by Tatrim that it had not been induced by any representation to enter into the agreement; and </w:t>
      </w:r>
      <w:r w:rsidR="007F42EF" w:rsidRPr="00C57946">
        <w:rPr>
          <w:rFonts w:ascii="Arial" w:hAnsi="Arial" w:cs="Arial"/>
        </w:rPr>
        <w:lastRenderedPageBreak/>
        <w:t xml:space="preserve">that it waived any rights that it might have acquired as a result of such representation. </w:t>
      </w:r>
    </w:p>
    <w:p w14:paraId="728F7B85" w14:textId="60F28A36" w:rsidR="007F42EF" w:rsidRPr="00C57946" w:rsidRDefault="00C57946" w:rsidP="00C57946">
      <w:pPr>
        <w:spacing w:line="480" w:lineRule="auto"/>
        <w:ind w:left="720" w:hanging="360"/>
        <w:jc w:val="both"/>
        <w:rPr>
          <w:rFonts w:ascii="Arial" w:hAnsi="Arial" w:cs="Arial"/>
        </w:rPr>
      </w:pPr>
      <w:r>
        <w:rPr>
          <w:rFonts w:ascii="Arial" w:hAnsi="Arial" w:cs="Arial"/>
        </w:rPr>
        <w:t>23.</w:t>
      </w:r>
      <w:r>
        <w:rPr>
          <w:rFonts w:ascii="Arial" w:hAnsi="Arial" w:cs="Arial"/>
        </w:rPr>
        <w:tab/>
      </w:r>
      <w:r w:rsidR="007F42EF" w:rsidRPr="00C57946">
        <w:rPr>
          <w:rFonts w:ascii="Arial" w:hAnsi="Arial" w:cs="Arial"/>
        </w:rPr>
        <w:t xml:space="preserve">When the true position came to light, Tatrim applied successfully to </w:t>
      </w:r>
      <w:r w:rsidR="00983D27" w:rsidRPr="00C57946">
        <w:rPr>
          <w:rFonts w:ascii="Arial" w:hAnsi="Arial" w:cs="Arial"/>
        </w:rPr>
        <w:t>the</w:t>
      </w:r>
      <w:r w:rsidR="007F42EF" w:rsidRPr="00C57946">
        <w:rPr>
          <w:rFonts w:ascii="Arial" w:hAnsi="Arial" w:cs="Arial"/>
        </w:rPr>
        <w:t xml:space="preserve"> High Court for a declaration </w:t>
      </w:r>
      <w:r w:rsidR="00983D27" w:rsidRPr="00C57946">
        <w:rPr>
          <w:rFonts w:ascii="Arial" w:hAnsi="Arial" w:cs="Arial"/>
        </w:rPr>
        <w:t>that</w:t>
      </w:r>
      <w:r w:rsidR="007F42EF" w:rsidRPr="00C57946">
        <w:rPr>
          <w:rFonts w:ascii="Arial" w:hAnsi="Arial" w:cs="Arial"/>
        </w:rPr>
        <w:t xml:space="preserve"> the agreement</w:t>
      </w:r>
      <w:r w:rsidR="008F55B4" w:rsidRPr="00C57946">
        <w:rPr>
          <w:rFonts w:ascii="Arial" w:hAnsi="Arial" w:cs="Arial"/>
        </w:rPr>
        <w:t xml:space="preserve"> </w:t>
      </w:r>
      <w:r w:rsidR="00983D27" w:rsidRPr="00C57946">
        <w:rPr>
          <w:rFonts w:ascii="Arial" w:hAnsi="Arial" w:cs="Arial"/>
        </w:rPr>
        <w:t>w</w:t>
      </w:r>
      <w:r w:rsidR="008F55B4" w:rsidRPr="00C57946">
        <w:rPr>
          <w:rFonts w:ascii="Arial" w:hAnsi="Arial" w:cs="Arial"/>
        </w:rPr>
        <w:t>as void. An appeal by Spenmac to the Supreme Court of Appeal was unsuccessful. That court held that the agreement had been void from the outset because Spenmac’s misrepresentation had induced Tatrim to make a material mistake about the nature of the unit, and consequently there had never been consensus as to the subject matter of the sale. Tatrim’s mistake was also reasonable</w:t>
      </w:r>
      <w:r w:rsidR="00D817D5" w:rsidRPr="00C57946">
        <w:rPr>
          <w:rFonts w:ascii="Arial" w:hAnsi="Arial" w:cs="Arial"/>
        </w:rPr>
        <w:t>.</w:t>
      </w:r>
      <w:r w:rsidR="008F55B4" w:rsidRPr="00C57946">
        <w:rPr>
          <w:rFonts w:ascii="Arial" w:hAnsi="Arial" w:cs="Arial"/>
        </w:rPr>
        <w:t xml:space="preserve"> </w:t>
      </w:r>
      <w:r w:rsidR="00D817D5" w:rsidRPr="00C57946">
        <w:rPr>
          <w:rFonts w:ascii="Arial" w:hAnsi="Arial" w:cs="Arial"/>
        </w:rPr>
        <w:t>S</w:t>
      </w:r>
      <w:r w:rsidR="008F55B4" w:rsidRPr="00C57946">
        <w:rPr>
          <w:rFonts w:ascii="Arial" w:hAnsi="Arial" w:cs="Arial"/>
        </w:rPr>
        <w:t xml:space="preserve">ince the agreement was void </w:t>
      </w:r>
      <w:r w:rsidR="008F55B4" w:rsidRPr="00C57946">
        <w:rPr>
          <w:rFonts w:ascii="Arial" w:hAnsi="Arial" w:cs="Arial"/>
          <w:i/>
          <w:iCs/>
        </w:rPr>
        <w:t>ab initio</w:t>
      </w:r>
      <w:r w:rsidR="008F55B4" w:rsidRPr="00C57946">
        <w:rPr>
          <w:rFonts w:ascii="Arial" w:hAnsi="Arial" w:cs="Arial"/>
        </w:rPr>
        <w:t>, Spenmac could not rely on</w:t>
      </w:r>
      <w:r w:rsidR="00D817D5" w:rsidRPr="00C57946">
        <w:rPr>
          <w:rFonts w:ascii="Arial" w:hAnsi="Arial" w:cs="Arial"/>
        </w:rPr>
        <w:t xml:space="preserve"> the</w:t>
      </w:r>
      <w:r w:rsidR="008F55B4" w:rsidRPr="00C57946">
        <w:rPr>
          <w:rFonts w:ascii="Arial" w:hAnsi="Arial" w:cs="Arial"/>
        </w:rPr>
        <w:t xml:space="preserve"> </w:t>
      </w:r>
      <w:r w:rsidR="008F55B4" w:rsidRPr="00C57946">
        <w:rPr>
          <w:rFonts w:ascii="Arial" w:hAnsi="Arial" w:cs="Arial"/>
          <w:i/>
          <w:iCs/>
        </w:rPr>
        <w:t>“no representations”</w:t>
      </w:r>
      <w:r w:rsidR="008F55B4" w:rsidRPr="00C57946">
        <w:rPr>
          <w:rFonts w:ascii="Arial" w:hAnsi="Arial" w:cs="Arial"/>
        </w:rPr>
        <w:t xml:space="preserve"> clause.</w:t>
      </w:r>
    </w:p>
    <w:p w14:paraId="64E8AAFD" w14:textId="2C038C7D" w:rsidR="001D0743" w:rsidRPr="00C57946" w:rsidRDefault="00C57946" w:rsidP="00C57946">
      <w:pPr>
        <w:spacing w:line="480" w:lineRule="auto"/>
        <w:ind w:left="720" w:hanging="360"/>
        <w:jc w:val="both"/>
        <w:rPr>
          <w:rFonts w:ascii="Arial" w:hAnsi="Arial" w:cs="Arial"/>
        </w:rPr>
      </w:pPr>
      <w:r>
        <w:rPr>
          <w:rFonts w:ascii="Arial" w:hAnsi="Arial" w:cs="Arial"/>
        </w:rPr>
        <w:t>24.</w:t>
      </w:r>
      <w:r>
        <w:rPr>
          <w:rFonts w:ascii="Arial" w:hAnsi="Arial" w:cs="Arial"/>
        </w:rPr>
        <w:tab/>
      </w:r>
      <w:r w:rsidR="008F55B4" w:rsidRPr="00C57946">
        <w:rPr>
          <w:rFonts w:ascii="Arial" w:hAnsi="Arial" w:cs="Arial"/>
        </w:rPr>
        <w:t xml:space="preserve">It will immediately be seen from a recitation of the facts with which the court in </w:t>
      </w:r>
      <w:r w:rsidR="008F55B4" w:rsidRPr="00C57946">
        <w:rPr>
          <w:rFonts w:ascii="Arial" w:hAnsi="Arial" w:cs="Arial"/>
          <w:u w:val="single"/>
        </w:rPr>
        <w:t>Spenmac</w:t>
      </w:r>
      <w:r w:rsidR="008F55B4" w:rsidRPr="00C57946">
        <w:rPr>
          <w:rFonts w:ascii="Arial" w:hAnsi="Arial" w:cs="Arial"/>
        </w:rPr>
        <w:t xml:space="preserve"> was confronted </w:t>
      </w:r>
      <w:r w:rsidR="00D817D5" w:rsidRPr="00C57946">
        <w:rPr>
          <w:rFonts w:ascii="Arial" w:hAnsi="Arial" w:cs="Arial"/>
        </w:rPr>
        <w:t>that</w:t>
      </w:r>
      <w:r w:rsidR="008F55B4" w:rsidRPr="00C57946">
        <w:rPr>
          <w:rFonts w:ascii="Arial" w:hAnsi="Arial" w:cs="Arial"/>
        </w:rPr>
        <w:t xml:space="preserve"> that case is distinguishable from the present case. In that case, there was an error as to the subject-matter of the sale, which was induced by an innocent misrepresentation by the seller. For that reason and because the seller had been unaware of the true position, there was no consensus </w:t>
      </w:r>
      <w:r w:rsidR="00BC5BD7" w:rsidRPr="00C57946">
        <w:rPr>
          <w:rFonts w:ascii="Arial" w:hAnsi="Arial" w:cs="Arial"/>
        </w:rPr>
        <w:t>as</w:t>
      </w:r>
      <w:r w:rsidR="008F55B4" w:rsidRPr="00C57946">
        <w:rPr>
          <w:rFonts w:ascii="Arial" w:hAnsi="Arial" w:cs="Arial"/>
        </w:rPr>
        <w:t xml:space="preserve"> to what the seller thought it was selling and the purchaser thought it was purchasing.  As </w:t>
      </w:r>
      <w:r w:rsidR="009401E7" w:rsidRPr="00C57946">
        <w:rPr>
          <w:rFonts w:ascii="Arial" w:hAnsi="Arial" w:cs="Arial"/>
        </w:rPr>
        <w:t>M</w:t>
      </w:r>
      <w:r w:rsidR="00C56A17" w:rsidRPr="00C57946">
        <w:rPr>
          <w:rFonts w:ascii="Arial" w:hAnsi="Arial" w:cs="Arial"/>
        </w:rPr>
        <w:t>thiyane DP</w:t>
      </w:r>
      <w:r w:rsidR="008F55B4" w:rsidRPr="00C57946">
        <w:rPr>
          <w:rFonts w:ascii="Arial" w:hAnsi="Arial" w:cs="Arial"/>
        </w:rPr>
        <w:t xml:space="preserve"> points out</w:t>
      </w:r>
      <w:r w:rsidR="00C56A17" w:rsidRPr="00C57946">
        <w:rPr>
          <w:rFonts w:ascii="Arial" w:hAnsi="Arial" w:cs="Arial"/>
        </w:rPr>
        <w:t>,</w:t>
      </w:r>
      <w:r w:rsidR="008F55B4">
        <w:rPr>
          <w:rStyle w:val="FootnoteReference"/>
          <w:rFonts w:cs="Arial"/>
        </w:rPr>
        <w:footnoteReference w:id="7"/>
      </w:r>
      <w:r w:rsidR="008F55B4" w:rsidRPr="00C57946">
        <w:rPr>
          <w:rFonts w:ascii="Arial" w:hAnsi="Arial" w:cs="Arial"/>
        </w:rPr>
        <w:t xml:space="preserve"> the correct enquiry is </w:t>
      </w:r>
      <w:r w:rsidR="00FE35E0" w:rsidRPr="00C57946">
        <w:rPr>
          <w:rFonts w:ascii="Arial" w:hAnsi="Arial" w:cs="Arial"/>
        </w:rPr>
        <w:t xml:space="preserve">firstly </w:t>
      </w:r>
      <w:r w:rsidR="008F55B4" w:rsidRPr="00C57946">
        <w:rPr>
          <w:rFonts w:ascii="Arial" w:hAnsi="Arial" w:cs="Arial"/>
        </w:rPr>
        <w:t>whether the error precluded the parties from reaching consensus  and secondly whether it is reasonable for the resi</w:t>
      </w:r>
      <w:r w:rsidR="00FE35E0" w:rsidRPr="00C57946">
        <w:rPr>
          <w:rFonts w:ascii="Arial" w:hAnsi="Arial" w:cs="Arial"/>
        </w:rPr>
        <w:t>ling</w:t>
      </w:r>
      <w:r w:rsidR="008F55B4" w:rsidRPr="00C57946">
        <w:rPr>
          <w:rFonts w:ascii="Arial" w:hAnsi="Arial" w:cs="Arial"/>
        </w:rPr>
        <w:t xml:space="preserve"> party to labour under such a misapprehension. </w:t>
      </w:r>
    </w:p>
    <w:p w14:paraId="11610D57" w14:textId="14D8E82D" w:rsidR="008F55B4" w:rsidRPr="00C57946" w:rsidRDefault="00C57946" w:rsidP="00C57946">
      <w:pPr>
        <w:spacing w:line="480" w:lineRule="auto"/>
        <w:ind w:left="720" w:hanging="360"/>
        <w:jc w:val="both"/>
        <w:rPr>
          <w:rFonts w:ascii="Arial" w:hAnsi="Arial" w:cs="Arial"/>
        </w:rPr>
      </w:pPr>
      <w:r>
        <w:rPr>
          <w:rFonts w:ascii="Arial" w:hAnsi="Arial" w:cs="Arial"/>
        </w:rPr>
        <w:lastRenderedPageBreak/>
        <w:t>25.</w:t>
      </w:r>
      <w:r>
        <w:rPr>
          <w:rFonts w:ascii="Arial" w:hAnsi="Arial" w:cs="Arial"/>
        </w:rPr>
        <w:tab/>
      </w:r>
      <w:r w:rsidR="001D0743" w:rsidRPr="00C57946">
        <w:rPr>
          <w:rFonts w:ascii="Arial" w:hAnsi="Arial" w:cs="Arial"/>
        </w:rPr>
        <w:t>Importantly for present purposes, b</w:t>
      </w:r>
      <w:r w:rsidR="008F55B4" w:rsidRPr="00C57946">
        <w:rPr>
          <w:rFonts w:ascii="Arial" w:hAnsi="Arial" w:cs="Arial"/>
        </w:rPr>
        <w:t xml:space="preserve">oth </w:t>
      </w:r>
      <w:r w:rsidR="008F55B4" w:rsidRPr="00C57946">
        <w:rPr>
          <w:rFonts w:ascii="Arial" w:hAnsi="Arial" w:cs="Arial"/>
          <w:u w:val="single"/>
        </w:rPr>
        <w:t>Spenmac</w:t>
      </w:r>
      <w:r w:rsidR="008F55B4" w:rsidRPr="00C57946">
        <w:rPr>
          <w:rFonts w:ascii="Arial" w:hAnsi="Arial" w:cs="Arial"/>
        </w:rPr>
        <w:t xml:space="preserve"> and </w:t>
      </w:r>
      <w:r w:rsidR="008F55B4" w:rsidRPr="00C57946">
        <w:rPr>
          <w:rFonts w:ascii="Arial" w:hAnsi="Arial" w:cs="Arial"/>
          <w:u w:val="single"/>
        </w:rPr>
        <w:t>Allen v Sixteen Sterling Investments (Pty) Ltd</w:t>
      </w:r>
      <w:r w:rsidR="008F55B4">
        <w:rPr>
          <w:rStyle w:val="FootnoteReference"/>
          <w:rFonts w:cs="Arial"/>
        </w:rPr>
        <w:footnoteReference w:id="8"/>
      </w:r>
      <w:r w:rsidR="002A4AAA" w:rsidRPr="00C57946">
        <w:rPr>
          <w:rFonts w:ascii="Arial" w:hAnsi="Arial" w:cs="Arial"/>
        </w:rPr>
        <w:t xml:space="preserve"> - which was approved in </w:t>
      </w:r>
      <w:r w:rsidR="002A4AAA" w:rsidRPr="00C57946">
        <w:rPr>
          <w:rFonts w:ascii="Arial" w:hAnsi="Arial" w:cs="Arial"/>
          <w:u w:val="single"/>
        </w:rPr>
        <w:t>Brink v Humphries &amp; Jewell (Pty) Limited</w:t>
      </w:r>
      <w:r w:rsidR="001D0743" w:rsidRPr="00C57946">
        <w:rPr>
          <w:rStyle w:val="FootnoteReference"/>
          <w:rFonts w:cs="Arial"/>
        </w:rPr>
        <w:t>,</w:t>
      </w:r>
      <w:r w:rsidR="002A4AAA">
        <w:rPr>
          <w:rStyle w:val="FootnoteReference"/>
          <w:rFonts w:cs="Arial"/>
        </w:rPr>
        <w:footnoteReference w:id="9"/>
      </w:r>
      <w:r w:rsidR="002A4AAA" w:rsidRPr="00C57946">
        <w:rPr>
          <w:rFonts w:ascii="Arial" w:hAnsi="Arial" w:cs="Arial"/>
        </w:rPr>
        <w:t xml:space="preserve"> concerned an error regarding the subject matter of a sale.</w:t>
      </w:r>
    </w:p>
    <w:p w14:paraId="5B77DAF9" w14:textId="77777777" w:rsidR="006D3576" w:rsidRDefault="006D3576" w:rsidP="006D3576">
      <w:pPr>
        <w:pStyle w:val="ListParagraph"/>
        <w:spacing w:line="480" w:lineRule="auto"/>
        <w:jc w:val="both"/>
        <w:rPr>
          <w:rFonts w:ascii="Arial" w:hAnsi="Arial" w:cs="Arial"/>
        </w:rPr>
      </w:pPr>
    </w:p>
    <w:p w14:paraId="5E9C7099" w14:textId="160D7F16" w:rsidR="002A4AAA" w:rsidRPr="00C57946" w:rsidRDefault="00C57946" w:rsidP="00C57946">
      <w:pPr>
        <w:spacing w:line="480" w:lineRule="auto"/>
        <w:ind w:left="720" w:hanging="360"/>
        <w:jc w:val="both"/>
        <w:rPr>
          <w:rFonts w:ascii="Arial" w:hAnsi="Arial" w:cs="Arial"/>
        </w:rPr>
      </w:pPr>
      <w:r>
        <w:rPr>
          <w:rFonts w:ascii="Arial" w:hAnsi="Arial" w:cs="Arial"/>
        </w:rPr>
        <w:t>26.</w:t>
      </w:r>
      <w:r>
        <w:rPr>
          <w:rFonts w:ascii="Arial" w:hAnsi="Arial" w:cs="Arial"/>
        </w:rPr>
        <w:tab/>
      </w:r>
      <w:r w:rsidR="002A4AAA" w:rsidRPr="00C57946">
        <w:rPr>
          <w:rFonts w:ascii="Arial" w:hAnsi="Arial" w:cs="Arial"/>
        </w:rPr>
        <w:t xml:space="preserve">In </w:t>
      </w:r>
      <w:r w:rsidR="002A4AAA" w:rsidRPr="00C57946">
        <w:rPr>
          <w:rFonts w:ascii="Arial" w:hAnsi="Arial" w:cs="Arial"/>
          <w:u w:val="single"/>
        </w:rPr>
        <w:t>Brink v Humphries</w:t>
      </w:r>
      <w:r w:rsidR="002A4AAA">
        <w:rPr>
          <w:rStyle w:val="FootnoteReference"/>
          <w:rFonts w:cs="Arial"/>
        </w:rPr>
        <w:footnoteReference w:id="10"/>
      </w:r>
      <w:r w:rsidR="002A4AAA" w:rsidRPr="00C57946">
        <w:rPr>
          <w:rFonts w:ascii="Arial" w:hAnsi="Arial" w:cs="Arial"/>
        </w:rPr>
        <w:t xml:space="preserve"> the error concerned the existence of a personal suretyship obligation in a credit application form. The appellant maintained that when he signed the credit application form on behalf of the debtor, </w:t>
      </w:r>
      <w:r w:rsidR="009C5962" w:rsidRPr="00C57946">
        <w:rPr>
          <w:rFonts w:ascii="Arial" w:hAnsi="Arial" w:cs="Arial"/>
        </w:rPr>
        <w:t xml:space="preserve">he </w:t>
      </w:r>
      <w:r w:rsidR="002A4AAA" w:rsidRPr="00C57946">
        <w:rPr>
          <w:rFonts w:ascii="Arial" w:hAnsi="Arial" w:cs="Arial"/>
        </w:rPr>
        <w:t xml:space="preserve">had not known that it embodied a personal suretyship obligation, and it was common cause that no one had informed the appellant that such an obligation was </w:t>
      </w:r>
      <w:r w:rsidR="009C5962" w:rsidRPr="00C57946">
        <w:rPr>
          <w:rFonts w:ascii="Arial" w:hAnsi="Arial" w:cs="Arial"/>
        </w:rPr>
        <w:t>e</w:t>
      </w:r>
      <w:r w:rsidR="002A4AAA" w:rsidRPr="00C57946">
        <w:rPr>
          <w:rFonts w:ascii="Arial" w:hAnsi="Arial" w:cs="Arial"/>
        </w:rPr>
        <w:t>mbodied in the form. Cloete JA, who spoke for the majority of the court, held that the credit application form was a trap for the unwary and that the appellant was justifiably misled by it.</w:t>
      </w:r>
      <w:r w:rsidR="002A4AAA">
        <w:rPr>
          <w:rStyle w:val="FootnoteReference"/>
          <w:rFonts w:cs="Arial"/>
        </w:rPr>
        <w:footnoteReference w:id="11"/>
      </w:r>
      <w:r w:rsidR="002A4AAA" w:rsidRPr="00C57946">
        <w:rPr>
          <w:rFonts w:ascii="Arial" w:hAnsi="Arial" w:cs="Arial"/>
        </w:rPr>
        <w:t xml:space="preserve"> The learned judge of appeal held that it was </w:t>
      </w:r>
      <w:r w:rsidR="009C5962" w:rsidRPr="00C57946">
        <w:rPr>
          <w:rFonts w:ascii="Arial" w:hAnsi="Arial" w:cs="Arial"/>
        </w:rPr>
        <w:t>un</w:t>
      </w:r>
      <w:r w:rsidR="002A4AAA" w:rsidRPr="00C57946">
        <w:rPr>
          <w:rFonts w:ascii="Arial" w:hAnsi="Arial" w:cs="Arial"/>
        </w:rPr>
        <w:t>reasonable for a party who had induced the justifiable mistake in the signatory as to the contents of</w:t>
      </w:r>
      <w:r w:rsidR="006D3576" w:rsidRPr="00C57946">
        <w:rPr>
          <w:rFonts w:ascii="Arial" w:hAnsi="Arial" w:cs="Arial"/>
        </w:rPr>
        <w:t xml:space="preserve"> a document to assert that the signatory would not have been misled had he read the document carefully and that such party could accordingly </w:t>
      </w:r>
      <w:r w:rsidR="00E747BA" w:rsidRPr="00C57946">
        <w:rPr>
          <w:rFonts w:ascii="Arial" w:hAnsi="Arial" w:cs="Arial"/>
        </w:rPr>
        <w:t xml:space="preserve">not </w:t>
      </w:r>
      <w:r w:rsidR="006D3576" w:rsidRPr="00C57946">
        <w:rPr>
          <w:rFonts w:ascii="Arial" w:hAnsi="Arial" w:cs="Arial"/>
        </w:rPr>
        <w:t xml:space="preserve">rely on the doctrine of </w:t>
      </w:r>
      <w:r w:rsidR="006D3576" w:rsidRPr="00C57946">
        <w:rPr>
          <w:rFonts w:ascii="Arial" w:hAnsi="Arial" w:cs="Arial"/>
          <w:i/>
          <w:iCs/>
        </w:rPr>
        <w:t>quasi-mutual</w:t>
      </w:r>
      <w:r w:rsidR="006D3576" w:rsidRPr="00C57946">
        <w:rPr>
          <w:rFonts w:ascii="Arial" w:hAnsi="Arial" w:cs="Arial"/>
        </w:rPr>
        <w:t xml:space="preserve"> assent.</w:t>
      </w:r>
    </w:p>
    <w:p w14:paraId="6F295F55" w14:textId="77777777" w:rsidR="006D3576" w:rsidRPr="006D3576" w:rsidRDefault="006D3576" w:rsidP="006D3576">
      <w:pPr>
        <w:pStyle w:val="ListParagraph"/>
        <w:rPr>
          <w:rFonts w:ascii="Arial" w:hAnsi="Arial" w:cs="Arial"/>
        </w:rPr>
      </w:pPr>
    </w:p>
    <w:p w14:paraId="63C74831" w14:textId="77777777" w:rsidR="006D3576" w:rsidRDefault="006D3576" w:rsidP="006D3576">
      <w:pPr>
        <w:pStyle w:val="ListParagraph"/>
        <w:spacing w:line="480" w:lineRule="auto"/>
        <w:jc w:val="both"/>
        <w:rPr>
          <w:rFonts w:ascii="Arial" w:hAnsi="Arial" w:cs="Arial"/>
        </w:rPr>
      </w:pPr>
    </w:p>
    <w:p w14:paraId="48860B71" w14:textId="0AF2DB23" w:rsidR="006D3576" w:rsidRPr="00C57946" w:rsidRDefault="00C57946" w:rsidP="00C57946">
      <w:pPr>
        <w:spacing w:line="480" w:lineRule="auto"/>
        <w:ind w:left="720" w:hanging="360"/>
        <w:jc w:val="both"/>
        <w:rPr>
          <w:rFonts w:ascii="Arial" w:hAnsi="Arial" w:cs="Arial"/>
        </w:rPr>
      </w:pPr>
      <w:r>
        <w:rPr>
          <w:rFonts w:ascii="Arial" w:hAnsi="Arial" w:cs="Arial"/>
        </w:rPr>
        <w:t>27.</w:t>
      </w:r>
      <w:r>
        <w:rPr>
          <w:rFonts w:ascii="Arial" w:hAnsi="Arial" w:cs="Arial"/>
        </w:rPr>
        <w:tab/>
      </w:r>
      <w:r w:rsidR="006D3576" w:rsidRPr="00C57946">
        <w:rPr>
          <w:rFonts w:ascii="Arial" w:hAnsi="Arial" w:cs="Arial"/>
        </w:rPr>
        <w:t>In the present case there is no allegation that the defendants were misled as to the terms of th</w:t>
      </w:r>
      <w:r w:rsidR="0027294A" w:rsidRPr="00C57946">
        <w:rPr>
          <w:rFonts w:ascii="Arial" w:hAnsi="Arial" w:cs="Arial"/>
        </w:rPr>
        <w:t>e Loan Agreement or the Guarantee</w:t>
      </w:r>
      <w:r w:rsidR="00BA41B7" w:rsidRPr="00C57946">
        <w:rPr>
          <w:rFonts w:ascii="Arial" w:hAnsi="Arial" w:cs="Arial"/>
        </w:rPr>
        <w:t>,</w:t>
      </w:r>
      <w:r w:rsidR="006D3576" w:rsidRPr="00C57946">
        <w:rPr>
          <w:rFonts w:ascii="Arial" w:hAnsi="Arial" w:cs="Arial"/>
        </w:rPr>
        <w:t xml:space="preserve"> or that they could not reasonably have expected, when signing th</w:t>
      </w:r>
      <w:r w:rsidR="00BA41B7" w:rsidRPr="00C57946">
        <w:rPr>
          <w:rFonts w:ascii="Arial" w:hAnsi="Arial" w:cs="Arial"/>
        </w:rPr>
        <w:t>ose agreements</w:t>
      </w:r>
      <w:r w:rsidR="006D3576" w:rsidRPr="00C57946">
        <w:rPr>
          <w:rFonts w:ascii="Arial" w:hAnsi="Arial" w:cs="Arial"/>
        </w:rPr>
        <w:t xml:space="preserve">, that </w:t>
      </w:r>
      <w:r w:rsidR="00BA41B7" w:rsidRPr="00C57946">
        <w:rPr>
          <w:rFonts w:ascii="Arial" w:hAnsi="Arial" w:cs="Arial"/>
        </w:rPr>
        <w:t>they</w:t>
      </w:r>
      <w:r w:rsidR="006D3576" w:rsidRPr="00C57946">
        <w:rPr>
          <w:rFonts w:ascii="Arial" w:hAnsi="Arial" w:cs="Arial"/>
        </w:rPr>
        <w:t xml:space="preserve"> contained the obligations which </w:t>
      </w:r>
      <w:r w:rsidR="00BA41B7" w:rsidRPr="00C57946">
        <w:rPr>
          <w:rFonts w:ascii="Arial" w:hAnsi="Arial" w:cs="Arial"/>
        </w:rPr>
        <w:t>they</w:t>
      </w:r>
      <w:r w:rsidR="006D3576" w:rsidRPr="00C57946">
        <w:rPr>
          <w:rFonts w:ascii="Arial" w:hAnsi="Arial" w:cs="Arial"/>
        </w:rPr>
        <w:t xml:space="preserve"> did.  The allegation by the defendants that the representations identified by them in paragraphs 30.4-30.7 of the plea do </w:t>
      </w:r>
      <w:r w:rsidR="006D3576" w:rsidRPr="00C57946">
        <w:rPr>
          <w:rFonts w:ascii="Arial" w:hAnsi="Arial" w:cs="Arial"/>
        </w:rPr>
        <w:lastRenderedPageBreak/>
        <w:t xml:space="preserve">not justify a conclusion – even on the most benevolent interpretation of the plea </w:t>
      </w:r>
      <w:r w:rsidR="009E61A5" w:rsidRPr="00C57946">
        <w:rPr>
          <w:rFonts w:ascii="Arial" w:hAnsi="Arial" w:cs="Arial"/>
        </w:rPr>
        <w:t xml:space="preserve">- </w:t>
      </w:r>
      <w:r w:rsidR="006D3576" w:rsidRPr="00C57946">
        <w:rPr>
          <w:rFonts w:ascii="Arial" w:hAnsi="Arial" w:cs="Arial"/>
        </w:rPr>
        <w:t xml:space="preserve">that they induced a </w:t>
      </w:r>
      <w:r w:rsidR="006D3576" w:rsidRPr="00C57946">
        <w:rPr>
          <w:rFonts w:ascii="Arial" w:hAnsi="Arial" w:cs="Arial"/>
          <w:i/>
          <w:iCs/>
        </w:rPr>
        <w:t xml:space="preserve"> justus </w:t>
      </w:r>
      <w:r w:rsidR="006D3576" w:rsidRPr="00C57946">
        <w:rPr>
          <w:rFonts w:ascii="Arial" w:hAnsi="Arial" w:cs="Arial"/>
        </w:rPr>
        <w:t xml:space="preserve">error on the part of the defendants as to the contents of the </w:t>
      </w:r>
      <w:r w:rsidR="009E61A5" w:rsidRPr="00C57946">
        <w:rPr>
          <w:rFonts w:ascii="Arial" w:hAnsi="Arial" w:cs="Arial"/>
        </w:rPr>
        <w:t>G</w:t>
      </w:r>
      <w:r w:rsidR="006D3576" w:rsidRPr="00C57946">
        <w:rPr>
          <w:rFonts w:ascii="Arial" w:hAnsi="Arial" w:cs="Arial"/>
        </w:rPr>
        <w:t xml:space="preserve">uarantee.  The furthest that the defendant go is that the representations in question induced them to conclude </w:t>
      </w:r>
      <w:r w:rsidR="006D3576" w:rsidRPr="00C57946">
        <w:rPr>
          <w:rFonts w:ascii="Arial" w:hAnsi="Arial" w:cs="Arial"/>
          <w:i/>
          <w:iCs/>
        </w:rPr>
        <w:t>“the agreements”</w:t>
      </w:r>
      <w:r w:rsidR="006D3576" w:rsidRPr="00C57946">
        <w:rPr>
          <w:rFonts w:ascii="Arial" w:hAnsi="Arial" w:cs="Arial"/>
        </w:rPr>
        <w:t xml:space="preserve">.  But that is insufficient to bring the defendants within the scope of </w:t>
      </w:r>
      <w:r w:rsidR="006D3576" w:rsidRPr="00C57946">
        <w:rPr>
          <w:rFonts w:ascii="Arial" w:hAnsi="Arial" w:cs="Arial"/>
          <w:u w:val="single"/>
        </w:rPr>
        <w:t>Spenmac</w:t>
      </w:r>
      <w:r w:rsidR="006D3576" w:rsidRPr="00C57946">
        <w:rPr>
          <w:rFonts w:ascii="Arial" w:hAnsi="Arial" w:cs="Arial"/>
        </w:rPr>
        <w:t>, or the other authorities relied upon by counsel for the defendants.</w:t>
      </w:r>
    </w:p>
    <w:p w14:paraId="172154C2" w14:textId="77777777" w:rsidR="006D3576" w:rsidRDefault="006D3576" w:rsidP="006D3576">
      <w:pPr>
        <w:pStyle w:val="ListParagraph"/>
        <w:spacing w:line="480" w:lineRule="auto"/>
        <w:jc w:val="both"/>
        <w:rPr>
          <w:rFonts w:ascii="Arial" w:hAnsi="Arial" w:cs="Arial"/>
        </w:rPr>
      </w:pPr>
    </w:p>
    <w:p w14:paraId="47953FAF" w14:textId="04ADA28E" w:rsidR="00ED4BD3" w:rsidRPr="00C57946" w:rsidRDefault="00C57946" w:rsidP="00C57946">
      <w:pPr>
        <w:spacing w:line="480" w:lineRule="auto"/>
        <w:ind w:left="720" w:hanging="360"/>
        <w:jc w:val="both"/>
        <w:rPr>
          <w:rFonts w:ascii="Arial" w:hAnsi="Arial" w:cs="Arial"/>
        </w:rPr>
      </w:pPr>
      <w:r>
        <w:rPr>
          <w:rFonts w:ascii="Arial" w:hAnsi="Arial" w:cs="Arial"/>
        </w:rPr>
        <w:t>28.</w:t>
      </w:r>
      <w:r>
        <w:rPr>
          <w:rFonts w:ascii="Arial" w:hAnsi="Arial" w:cs="Arial"/>
        </w:rPr>
        <w:tab/>
      </w:r>
      <w:r w:rsidR="006D3576" w:rsidRPr="00C57946">
        <w:rPr>
          <w:rFonts w:ascii="Arial" w:hAnsi="Arial" w:cs="Arial"/>
        </w:rPr>
        <w:t xml:space="preserve">The allegation in paragraph </w:t>
      </w:r>
      <w:r w:rsidR="00913607" w:rsidRPr="00C57946">
        <w:rPr>
          <w:rFonts w:ascii="Arial" w:hAnsi="Arial" w:cs="Arial"/>
        </w:rPr>
        <w:t>3</w:t>
      </w:r>
      <w:r w:rsidR="006D3576" w:rsidRPr="00C57946">
        <w:rPr>
          <w:rFonts w:ascii="Arial" w:hAnsi="Arial" w:cs="Arial"/>
        </w:rPr>
        <w:t>1 of the plea that as a result of the representation, there was no consensus between the parties “</w:t>
      </w:r>
      <w:r w:rsidR="006D3576" w:rsidRPr="00C57946">
        <w:rPr>
          <w:rFonts w:ascii="Arial" w:hAnsi="Arial" w:cs="Arial"/>
          <w:i/>
          <w:iCs/>
        </w:rPr>
        <w:t>in concluding the agreements and that there was a fundamental mistake as to the binding nature of the agreements and their terms”</w:t>
      </w:r>
      <w:r w:rsidR="006D3576" w:rsidRPr="00C57946">
        <w:rPr>
          <w:rFonts w:ascii="Arial" w:hAnsi="Arial" w:cs="Arial"/>
        </w:rPr>
        <w:t xml:space="preserve"> suffers from two defects. </w:t>
      </w:r>
    </w:p>
    <w:p w14:paraId="43B8FA62" w14:textId="77777777" w:rsidR="00ED4BD3" w:rsidRPr="00ED4BD3" w:rsidRDefault="00ED4BD3" w:rsidP="00ED4BD3">
      <w:pPr>
        <w:pStyle w:val="ListParagraph"/>
        <w:rPr>
          <w:rFonts w:ascii="Arial" w:hAnsi="Arial" w:cs="Arial"/>
        </w:rPr>
      </w:pPr>
    </w:p>
    <w:p w14:paraId="215CC060" w14:textId="52801566" w:rsidR="00ED4BD3" w:rsidRPr="00C57946" w:rsidRDefault="00C57946" w:rsidP="00C57946">
      <w:pPr>
        <w:spacing w:line="480" w:lineRule="auto"/>
        <w:ind w:left="1436" w:hanging="585"/>
        <w:jc w:val="both"/>
        <w:rPr>
          <w:rFonts w:ascii="Arial" w:hAnsi="Arial" w:cs="Arial"/>
        </w:rPr>
      </w:pPr>
      <w:r>
        <w:rPr>
          <w:rFonts w:ascii="Arial" w:hAnsi="Arial" w:cs="Arial"/>
        </w:rPr>
        <w:t>28.1</w:t>
      </w:r>
      <w:r>
        <w:rPr>
          <w:rFonts w:ascii="Arial" w:hAnsi="Arial" w:cs="Arial"/>
        </w:rPr>
        <w:tab/>
      </w:r>
      <w:r w:rsidR="00F70834" w:rsidRPr="00C57946">
        <w:rPr>
          <w:rFonts w:ascii="Arial" w:hAnsi="Arial" w:cs="Arial"/>
        </w:rPr>
        <w:t xml:space="preserve">Firstly, paragraph 31 appears to be an inference which the defendants have drawn from the facts </w:t>
      </w:r>
      <w:r w:rsidR="00A57FA7" w:rsidRPr="00C57946">
        <w:rPr>
          <w:rFonts w:ascii="Arial" w:hAnsi="Arial" w:cs="Arial"/>
        </w:rPr>
        <w:t>pleaded</w:t>
      </w:r>
      <w:r w:rsidR="00F70834" w:rsidRPr="00C57946">
        <w:rPr>
          <w:rFonts w:ascii="Arial" w:hAnsi="Arial" w:cs="Arial"/>
        </w:rPr>
        <w:t xml:space="preserve"> in the previous paragraphs and not an allegation of fact. </w:t>
      </w:r>
    </w:p>
    <w:p w14:paraId="1C85F1A4" w14:textId="54957F6A" w:rsidR="00ED4BD3" w:rsidRPr="00C57946" w:rsidRDefault="00C57946" w:rsidP="00C57946">
      <w:pPr>
        <w:spacing w:line="480" w:lineRule="auto"/>
        <w:ind w:left="1436" w:hanging="585"/>
        <w:jc w:val="both"/>
        <w:rPr>
          <w:rFonts w:ascii="Arial" w:hAnsi="Arial" w:cs="Arial"/>
        </w:rPr>
      </w:pPr>
      <w:r>
        <w:rPr>
          <w:rFonts w:ascii="Arial" w:hAnsi="Arial" w:cs="Arial"/>
        </w:rPr>
        <w:t>28.2</w:t>
      </w:r>
      <w:r>
        <w:rPr>
          <w:rFonts w:ascii="Arial" w:hAnsi="Arial" w:cs="Arial"/>
        </w:rPr>
        <w:tab/>
      </w:r>
      <w:r w:rsidR="00F70834" w:rsidRPr="00C57946">
        <w:rPr>
          <w:rFonts w:ascii="Arial" w:hAnsi="Arial" w:cs="Arial"/>
        </w:rPr>
        <w:t xml:space="preserve">Secondly, paragraph 31 does not contain an allegation as to what the defendants believed that the terms of the </w:t>
      </w:r>
      <w:r w:rsidR="00ED4BD3" w:rsidRPr="00C57946">
        <w:rPr>
          <w:rFonts w:ascii="Arial" w:hAnsi="Arial" w:cs="Arial"/>
        </w:rPr>
        <w:t>G</w:t>
      </w:r>
      <w:r w:rsidR="00F70834" w:rsidRPr="00C57946">
        <w:rPr>
          <w:rFonts w:ascii="Arial" w:hAnsi="Arial" w:cs="Arial"/>
        </w:rPr>
        <w:t xml:space="preserve">uarantee were, or even that they believed that the </w:t>
      </w:r>
      <w:r w:rsidR="00ED4BD3" w:rsidRPr="00C57946">
        <w:rPr>
          <w:rFonts w:ascii="Arial" w:hAnsi="Arial" w:cs="Arial"/>
        </w:rPr>
        <w:t>G</w:t>
      </w:r>
      <w:r w:rsidR="00F70834" w:rsidRPr="00C57946">
        <w:rPr>
          <w:rFonts w:ascii="Arial" w:hAnsi="Arial" w:cs="Arial"/>
        </w:rPr>
        <w:t xml:space="preserve">uarantee did not impose obligations upon them. </w:t>
      </w:r>
    </w:p>
    <w:p w14:paraId="40DE9F1B" w14:textId="44E450CB" w:rsidR="00F70834" w:rsidRPr="00C57946" w:rsidRDefault="00C57946" w:rsidP="00C57946">
      <w:pPr>
        <w:spacing w:line="480" w:lineRule="auto"/>
        <w:ind w:left="720" w:hanging="360"/>
        <w:jc w:val="both"/>
        <w:rPr>
          <w:rFonts w:ascii="Arial" w:hAnsi="Arial" w:cs="Arial"/>
        </w:rPr>
      </w:pPr>
      <w:r>
        <w:rPr>
          <w:rFonts w:ascii="Arial" w:hAnsi="Arial" w:cs="Arial"/>
        </w:rPr>
        <w:t>29.</w:t>
      </w:r>
      <w:r>
        <w:rPr>
          <w:rFonts w:ascii="Arial" w:hAnsi="Arial" w:cs="Arial"/>
        </w:rPr>
        <w:tab/>
      </w:r>
      <w:r w:rsidR="00F70834" w:rsidRPr="00C57946">
        <w:rPr>
          <w:rFonts w:ascii="Arial" w:hAnsi="Arial" w:cs="Arial"/>
        </w:rPr>
        <w:t xml:space="preserve">In the absence of any allegation on the part of the defendants that they had been led to believe by the plaintiff the </w:t>
      </w:r>
      <w:r w:rsidR="00ED4BD3" w:rsidRPr="00C57946">
        <w:rPr>
          <w:rFonts w:ascii="Arial" w:hAnsi="Arial" w:cs="Arial"/>
        </w:rPr>
        <w:t>G</w:t>
      </w:r>
      <w:r w:rsidR="00F70834" w:rsidRPr="00C57946">
        <w:rPr>
          <w:rFonts w:ascii="Arial" w:hAnsi="Arial" w:cs="Arial"/>
        </w:rPr>
        <w:t xml:space="preserve">uarantee did not impose obligations upon the defendants to make payment to the plaintiff in the event of the breach of the </w:t>
      </w:r>
      <w:r w:rsidR="00ED4BD3" w:rsidRPr="00C57946">
        <w:rPr>
          <w:rFonts w:ascii="Arial" w:hAnsi="Arial" w:cs="Arial"/>
        </w:rPr>
        <w:t>L</w:t>
      </w:r>
      <w:r w:rsidR="00F70834" w:rsidRPr="00C57946">
        <w:rPr>
          <w:rFonts w:ascii="Arial" w:hAnsi="Arial" w:cs="Arial"/>
        </w:rPr>
        <w:t xml:space="preserve">oan </w:t>
      </w:r>
      <w:r w:rsidR="00ED4BD3" w:rsidRPr="00C57946">
        <w:rPr>
          <w:rFonts w:ascii="Arial" w:hAnsi="Arial" w:cs="Arial"/>
        </w:rPr>
        <w:t>A</w:t>
      </w:r>
      <w:r w:rsidR="00F70834" w:rsidRPr="00C57946">
        <w:rPr>
          <w:rFonts w:ascii="Arial" w:hAnsi="Arial" w:cs="Arial"/>
        </w:rPr>
        <w:t>greement</w:t>
      </w:r>
      <w:r w:rsidR="00ED4BD3" w:rsidRPr="00C57946">
        <w:rPr>
          <w:rFonts w:ascii="Arial" w:hAnsi="Arial" w:cs="Arial"/>
        </w:rPr>
        <w:t>, or that its terms were other than what appeared in the Guarantee</w:t>
      </w:r>
      <w:r w:rsidR="00661E52" w:rsidRPr="00C57946">
        <w:rPr>
          <w:rFonts w:ascii="Arial" w:hAnsi="Arial" w:cs="Arial"/>
        </w:rPr>
        <w:t>,</w:t>
      </w:r>
      <w:r w:rsidR="00F70834" w:rsidRPr="00C57946">
        <w:rPr>
          <w:rFonts w:ascii="Arial" w:hAnsi="Arial" w:cs="Arial"/>
        </w:rPr>
        <w:t xml:space="preserve"> is in my view fatal to the defendants’ attempt to escape the </w:t>
      </w:r>
      <w:r w:rsidR="00F70834" w:rsidRPr="00C57946">
        <w:rPr>
          <w:rFonts w:ascii="Arial" w:hAnsi="Arial" w:cs="Arial"/>
          <w:i/>
          <w:iCs/>
        </w:rPr>
        <w:t>“no representation”</w:t>
      </w:r>
      <w:r w:rsidR="00F70834" w:rsidRPr="00C57946">
        <w:rPr>
          <w:rFonts w:ascii="Arial" w:hAnsi="Arial" w:cs="Arial"/>
        </w:rPr>
        <w:t xml:space="preserve"> clause </w:t>
      </w:r>
      <w:r w:rsidR="00661E52" w:rsidRPr="00C57946">
        <w:rPr>
          <w:rFonts w:ascii="Arial" w:hAnsi="Arial" w:cs="Arial"/>
        </w:rPr>
        <w:t>in</w:t>
      </w:r>
      <w:r w:rsidR="00F70834" w:rsidRPr="00C57946">
        <w:rPr>
          <w:rFonts w:ascii="Arial" w:hAnsi="Arial" w:cs="Arial"/>
        </w:rPr>
        <w:t xml:space="preserve"> the </w:t>
      </w:r>
      <w:r w:rsidR="00661E52" w:rsidRPr="00C57946">
        <w:rPr>
          <w:rFonts w:ascii="Arial" w:hAnsi="Arial" w:cs="Arial"/>
        </w:rPr>
        <w:t>G</w:t>
      </w:r>
      <w:r w:rsidR="00F70834" w:rsidRPr="00C57946">
        <w:rPr>
          <w:rFonts w:ascii="Arial" w:hAnsi="Arial" w:cs="Arial"/>
        </w:rPr>
        <w:t xml:space="preserve">uarantee.  On the face of it, the </w:t>
      </w:r>
      <w:r w:rsidR="00661E52" w:rsidRPr="00C57946">
        <w:rPr>
          <w:rFonts w:ascii="Arial" w:hAnsi="Arial" w:cs="Arial"/>
        </w:rPr>
        <w:t>G</w:t>
      </w:r>
      <w:r w:rsidR="00F70834" w:rsidRPr="00C57946">
        <w:rPr>
          <w:rFonts w:ascii="Arial" w:hAnsi="Arial" w:cs="Arial"/>
        </w:rPr>
        <w:t xml:space="preserve">uarantee quite obviously imposes obligations of the financial nature upon the defendants.  In addition, it is clear that the obligations imposed by the </w:t>
      </w:r>
      <w:r w:rsidR="00AA4FD5" w:rsidRPr="00C57946">
        <w:rPr>
          <w:rFonts w:ascii="Arial" w:hAnsi="Arial" w:cs="Arial"/>
        </w:rPr>
        <w:t>G</w:t>
      </w:r>
      <w:r w:rsidR="00F70834" w:rsidRPr="00C57946">
        <w:rPr>
          <w:rFonts w:ascii="Arial" w:hAnsi="Arial" w:cs="Arial"/>
        </w:rPr>
        <w:t>uarantee are wholly independent of the success or failure of their venture.</w:t>
      </w:r>
    </w:p>
    <w:p w14:paraId="108970D3" w14:textId="433BEDDA" w:rsidR="00AA4FD5" w:rsidRPr="00C57946" w:rsidRDefault="00C57946" w:rsidP="00C57946">
      <w:pPr>
        <w:spacing w:line="480" w:lineRule="auto"/>
        <w:ind w:left="720" w:hanging="360"/>
        <w:jc w:val="both"/>
        <w:rPr>
          <w:rFonts w:ascii="Arial" w:hAnsi="Arial" w:cs="Arial"/>
        </w:rPr>
      </w:pPr>
      <w:r>
        <w:rPr>
          <w:rFonts w:ascii="Arial" w:hAnsi="Arial" w:cs="Arial"/>
        </w:rPr>
        <w:lastRenderedPageBreak/>
        <w:t>30.</w:t>
      </w:r>
      <w:r>
        <w:rPr>
          <w:rFonts w:ascii="Arial" w:hAnsi="Arial" w:cs="Arial"/>
        </w:rPr>
        <w:tab/>
      </w:r>
      <w:r w:rsidR="00AA4FD5" w:rsidRPr="00C57946">
        <w:rPr>
          <w:rFonts w:ascii="Arial" w:hAnsi="Arial" w:cs="Arial"/>
        </w:rPr>
        <w:t>In short, the defendants have pleaded that there was a mistake which led to a lack of conse</w:t>
      </w:r>
      <w:r w:rsidR="00B72F82" w:rsidRPr="00C57946">
        <w:rPr>
          <w:rFonts w:ascii="Arial" w:hAnsi="Arial" w:cs="Arial"/>
        </w:rPr>
        <w:t xml:space="preserve">nsus without ever pleading what, in relation to the Guarantee, the </w:t>
      </w:r>
      <w:r w:rsidR="00F86028" w:rsidRPr="00C57946">
        <w:rPr>
          <w:rFonts w:ascii="Arial" w:hAnsi="Arial" w:cs="Arial"/>
        </w:rPr>
        <w:t>m</w:t>
      </w:r>
      <w:r w:rsidR="00B72F82" w:rsidRPr="00C57946">
        <w:rPr>
          <w:rFonts w:ascii="Arial" w:hAnsi="Arial" w:cs="Arial"/>
        </w:rPr>
        <w:t>istake was.</w:t>
      </w:r>
    </w:p>
    <w:p w14:paraId="725CA06C" w14:textId="59E5406F" w:rsidR="00F86028" w:rsidRPr="00C57946" w:rsidRDefault="00C57946" w:rsidP="00C57946">
      <w:pPr>
        <w:spacing w:line="480" w:lineRule="auto"/>
        <w:ind w:left="720" w:hanging="360"/>
        <w:jc w:val="both"/>
        <w:rPr>
          <w:rFonts w:ascii="Arial" w:hAnsi="Arial" w:cs="Arial"/>
        </w:rPr>
      </w:pPr>
      <w:r>
        <w:rPr>
          <w:rFonts w:ascii="Arial" w:hAnsi="Arial" w:cs="Arial"/>
        </w:rPr>
        <w:t>31.</w:t>
      </w:r>
      <w:r>
        <w:rPr>
          <w:rFonts w:ascii="Arial" w:hAnsi="Arial" w:cs="Arial"/>
        </w:rPr>
        <w:tab/>
      </w:r>
      <w:r w:rsidR="00F86028" w:rsidRPr="00C57946">
        <w:rPr>
          <w:rFonts w:ascii="Arial" w:hAnsi="Arial" w:cs="Arial"/>
        </w:rPr>
        <w:t xml:space="preserve">Finally, although it is correct that an excipient must take the </w:t>
      </w:r>
      <w:r w:rsidR="002263F0" w:rsidRPr="00C57946">
        <w:rPr>
          <w:rFonts w:ascii="Arial" w:hAnsi="Arial" w:cs="Arial"/>
        </w:rPr>
        <w:t xml:space="preserve">pleadings as he finds them, there are limits to </w:t>
      </w:r>
      <w:r w:rsidR="004E7A86" w:rsidRPr="00C57946">
        <w:rPr>
          <w:rFonts w:ascii="Arial" w:hAnsi="Arial" w:cs="Arial"/>
        </w:rPr>
        <w:t xml:space="preserve">that principle. Where, as here, the allegations are so improbable that they </w:t>
      </w:r>
      <w:r w:rsidR="004B2F52" w:rsidRPr="00C57946">
        <w:rPr>
          <w:rFonts w:ascii="Arial" w:hAnsi="Arial" w:cs="Arial"/>
        </w:rPr>
        <w:t xml:space="preserve">border on the ridiculous, a court may reasonably conclude that the pleadings have been framed with the object of escaping </w:t>
      </w:r>
      <w:r w:rsidR="00E91D71" w:rsidRPr="00C57946">
        <w:rPr>
          <w:rFonts w:ascii="Arial" w:hAnsi="Arial" w:cs="Arial"/>
        </w:rPr>
        <w:t>the contract upon which the plaintiff’s claim is based</w:t>
      </w:r>
      <w:r w:rsidR="001B0690" w:rsidRPr="00C57946">
        <w:rPr>
          <w:rFonts w:ascii="Arial" w:hAnsi="Arial" w:cs="Arial"/>
        </w:rPr>
        <w:t>,</w:t>
      </w:r>
      <w:r w:rsidR="00E91D71" w:rsidRPr="00C57946">
        <w:rPr>
          <w:rFonts w:ascii="Arial" w:hAnsi="Arial" w:cs="Arial"/>
        </w:rPr>
        <w:t xml:space="preserve"> instead of setting out </w:t>
      </w:r>
      <w:r w:rsidR="00A763C6" w:rsidRPr="00C57946">
        <w:rPr>
          <w:rFonts w:ascii="Arial" w:hAnsi="Arial" w:cs="Arial"/>
        </w:rPr>
        <w:t>a genuine defence.</w:t>
      </w:r>
      <w:r w:rsidR="001B0690" w:rsidRPr="00C57946">
        <w:rPr>
          <w:rFonts w:ascii="Arial" w:hAnsi="Arial" w:cs="Arial"/>
        </w:rPr>
        <w:t xml:space="preserve"> Fortunately, it is not necessary in this matter to </w:t>
      </w:r>
      <w:r w:rsidR="0094136B" w:rsidRPr="00C57946">
        <w:rPr>
          <w:rFonts w:ascii="Arial" w:hAnsi="Arial" w:cs="Arial"/>
        </w:rPr>
        <w:t>reach a conclusion on that question.</w:t>
      </w:r>
    </w:p>
    <w:p w14:paraId="378A9F6F" w14:textId="77777777" w:rsidR="00F70834" w:rsidRPr="00F70834" w:rsidRDefault="00F70834" w:rsidP="00F70834">
      <w:pPr>
        <w:pStyle w:val="ListParagraph"/>
        <w:rPr>
          <w:rFonts w:ascii="Arial" w:hAnsi="Arial" w:cs="Arial"/>
        </w:rPr>
      </w:pPr>
    </w:p>
    <w:p w14:paraId="1F34AADA" w14:textId="02BE95FB" w:rsidR="00F70834" w:rsidRPr="00C57946" w:rsidRDefault="00C57946" w:rsidP="00C57946">
      <w:pPr>
        <w:spacing w:line="480" w:lineRule="auto"/>
        <w:ind w:left="720" w:hanging="360"/>
        <w:jc w:val="both"/>
        <w:rPr>
          <w:rFonts w:ascii="Arial" w:hAnsi="Arial" w:cs="Arial"/>
        </w:rPr>
      </w:pPr>
      <w:r>
        <w:rPr>
          <w:rFonts w:ascii="Arial" w:hAnsi="Arial" w:cs="Arial"/>
        </w:rPr>
        <w:t>32.</w:t>
      </w:r>
      <w:r>
        <w:rPr>
          <w:rFonts w:ascii="Arial" w:hAnsi="Arial" w:cs="Arial"/>
        </w:rPr>
        <w:tab/>
      </w:r>
      <w:r w:rsidR="00F70834" w:rsidRPr="00C57946">
        <w:rPr>
          <w:rFonts w:ascii="Arial" w:hAnsi="Arial" w:cs="Arial"/>
        </w:rPr>
        <w:t xml:space="preserve">In the circumstances I </w:t>
      </w:r>
      <w:r w:rsidR="0094136B" w:rsidRPr="00C57946">
        <w:rPr>
          <w:rFonts w:ascii="Arial" w:hAnsi="Arial" w:cs="Arial"/>
        </w:rPr>
        <w:t xml:space="preserve">find </w:t>
      </w:r>
      <w:r w:rsidR="00F70834" w:rsidRPr="00C57946">
        <w:rPr>
          <w:rFonts w:ascii="Arial" w:hAnsi="Arial" w:cs="Arial"/>
        </w:rPr>
        <w:t>that the plaintiff’s exception was well taken. Accordingly</w:t>
      </w:r>
      <w:r w:rsidR="0094136B" w:rsidRPr="00C57946">
        <w:rPr>
          <w:rFonts w:ascii="Arial" w:hAnsi="Arial" w:cs="Arial"/>
        </w:rPr>
        <w:t>,</w:t>
      </w:r>
      <w:r w:rsidR="00F70834" w:rsidRPr="00C57946">
        <w:rPr>
          <w:rFonts w:ascii="Arial" w:hAnsi="Arial" w:cs="Arial"/>
        </w:rPr>
        <w:t xml:space="preserve"> I grant the following order:</w:t>
      </w:r>
    </w:p>
    <w:p w14:paraId="4C548F2B" w14:textId="77777777" w:rsidR="00F70834" w:rsidRPr="00F70834" w:rsidRDefault="00F70834" w:rsidP="00F70834">
      <w:pPr>
        <w:pStyle w:val="ListParagraph"/>
        <w:rPr>
          <w:rFonts w:ascii="Arial" w:hAnsi="Arial" w:cs="Arial"/>
        </w:rPr>
      </w:pPr>
    </w:p>
    <w:p w14:paraId="3198C1EE" w14:textId="0D5202D5" w:rsidR="00F70834" w:rsidRPr="00C57946" w:rsidRDefault="00C57946" w:rsidP="00C57946">
      <w:pPr>
        <w:spacing w:line="480" w:lineRule="auto"/>
        <w:ind w:left="1436" w:hanging="585"/>
        <w:jc w:val="both"/>
        <w:rPr>
          <w:rFonts w:ascii="Arial" w:hAnsi="Arial" w:cs="Arial"/>
        </w:rPr>
      </w:pPr>
      <w:r>
        <w:rPr>
          <w:rFonts w:ascii="Arial" w:hAnsi="Arial" w:cs="Arial"/>
        </w:rPr>
        <w:t>32.1</w:t>
      </w:r>
      <w:r>
        <w:rPr>
          <w:rFonts w:ascii="Arial" w:hAnsi="Arial" w:cs="Arial"/>
        </w:rPr>
        <w:tab/>
      </w:r>
      <w:r w:rsidR="00F70834" w:rsidRPr="00C57946">
        <w:rPr>
          <w:rFonts w:ascii="Arial" w:hAnsi="Arial" w:cs="Arial"/>
        </w:rPr>
        <w:t>The exception is upheld and the defendant’s plea on the merits is dismissed.</w:t>
      </w:r>
    </w:p>
    <w:p w14:paraId="54D8C204" w14:textId="77777777" w:rsidR="00F70834" w:rsidRDefault="00F70834" w:rsidP="00F70834">
      <w:pPr>
        <w:pStyle w:val="ListParagraph"/>
        <w:spacing w:line="480" w:lineRule="auto"/>
        <w:ind w:left="1436"/>
        <w:jc w:val="both"/>
        <w:rPr>
          <w:rFonts w:ascii="Arial" w:hAnsi="Arial" w:cs="Arial"/>
        </w:rPr>
      </w:pPr>
    </w:p>
    <w:p w14:paraId="1023928A" w14:textId="5770D125" w:rsidR="00F70834" w:rsidRPr="00C57946" w:rsidRDefault="00C57946" w:rsidP="00C57946">
      <w:pPr>
        <w:spacing w:line="480" w:lineRule="auto"/>
        <w:ind w:left="1436" w:hanging="585"/>
        <w:jc w:val="both"/>
        <w:rPr>
          <w:rFonts w:ascii="Arial" w:hAnsi="Arial" w:cs="Arial"/>
        </w:rPr>
      </w:pPr>
      <w:r>
        <w:rPr>
          <w:rFonts w:ascii="Arial" w:hAnsi="Arial" w:cs="Arial"/>
        </w:rPr>
        <w:t>32.2</w:t>
      </w:r>
      <w:r>
        <w:rPr>
          <w:rFonts w:ascii="Arial" w:hAnsi="Arial" w:cs="Arial"/>
        </w:rPr>
        <w:tab/>
      </w:r>
      <w:r w:rsidR="00F70834" w:rsidRPr="00C57946">
        <w:rPr>
          <w:rFonts w:ascii="Arial" w:hAnsi="Arial" w:cs="Arial"/>
        </w:rPr>
        <w:t xml:space="preserve">The defendants are given leave to amend their plea, if so desired, within a period of 30 days from the date of this </w:t>
      </w:r>
      <w:r w:rsidR="0094136B" w:rsidRPr="00C57946">
        <w:rPr>
          <w:rFonts w:ascii="Arial" w:hAnsi="Arial" w:cs="Arial"/>
        </w:rPr>
        <w:t>o</w:t>
      </w:r>
      <w:r w:rsidR="00F70834" w:rsidRPr="00C57946">
        <w:rPr>
          <w:rFonts w:ascii="Arial" w:hAnsi="Arial" w:cs="Arial"/>
        </w:rPr>
        <w:t>rder.</w:t>
      </w:r>
    </w:p>
    <w:p w14:paraId="5F7573A2" w14:textId="77777777" w:rsidR="00F70834" w:rsidRPr="00F70834" w:rsidRDefault="00F70834" w:rsidP="00F70834">
      <w:pPr>
        <w:pStyle w:val="ListParagraph"/>
        <w:rPr>
          <w:rFonts w:ascii="Arial" w:hAnsi="Arial" w:cs="Arial"/>
        </w:rPr>
      </w:pPr>
    </w:p>
    <w:p w14:paraId="50A8313B" w14:textId="77777777" w:rsidR="00F70834" w:rsidRDefault="00F70834" w:rsidP="00F70834">
      <w:pPr>
        <w:pStyle w:val="ListParagraph"/>
        <w:spacing w:line="480" w:lineRule="auto"/>
        <w:ind w:left="1436"/>
        <w:jc w:val="both"/>
        <w:rPr>
          <w:rFonts w:ascii="Arial" w:hAnsi="Arial" w:cs="Arial"/>
        </w:rPr>
      </w:pPr>
    </w:p>
    <w:p w14:paraId="1D66F59C" w14:textId="78989255" w:rsidR="00F70834" w:rsidRPr="00C57946" w:rsidRDefault="00C57946" w:rsidP="00C57946">
      <w:pPr>
        <w:spacing w:line="480" w:lineRule="auto"/>
        <w:ind w:left="1436" w:hanging="585"/>
        <w:jc w:val="both"/>
        <w:rPr>
          <w:rFonts w:ascii="Arial" w:hAnsi="Arial" w:cs="Arial"/>
        </w:rPr>
      </w:pPr>
      <w:r>
        <w:rPr>
          <w:rFonts w:ascii="Arial" w:hAnsi="Arial" w:cs="Arial"/>
        </w:rPr>
        <w:t>32.3</w:t>
      </w:r>
      <w:r>
        <w:rPr>
          <w:rFonts w:ascii="Arial" w:hAnsi="Arial" w:cs="Arial"/>
        </w:rPr>
        <w:tab/>
      </w:r>
      <w:r w:rsidR="00F70834" w:rsidRPr="00C57946">
        <w:rPr>
          <w:rFonts w:ascii="Arial" w:hAnsi="Arial" w:cs="Arial"/>
        </w:rPr>
        <w:t>The defendants are to pay the costs of the exception, such costs to include the costs of two counsel.</w:t>
      </w:r>
    </w:p>
    <w:p w14:paraId="428B2744" w14:textId="77777777" w:rsidR="00F70834" w:rsidRPr="00F70834" w:rsidRDefault="00F70834" w:rsidP="00F70834">
      <w:pPr>
        <w:pStyle w:val="ListParagraph"/>
        <w:rPr>
          <w:rFonts w:ascii="Arial" w:hAnsi="Arial" w:cs="Arial"/>
        </w:rPr>
      </w:pPr>
    </w:p>
    <w:p w14:paraId="72AFF81C" w14:textId="419228D1" w:rsidR="006D3576" w:rsidRPr="007F42EF" w:rsidRDefault="006D3576" w:rsidP="00F70834">
      <w:pPr>
        <w:pStyle w:val="ListParagraph"/>
        <w:spacing w:line="480" w:lineRule="auto"/>
        <w:jc w:val="both"/>
        <w:rPr>
          <w:rFonts w:ascii="Arial" w:hAnsi="Arial" w:cs="Arial"/>
        </w:rPr>
      </w:pPr>
      <w:r>
        <w:rPr>
          <w:rFonts w:ascii="Arial" w:hAnsi="Arial" w:cs="Arial"/>
        </w:rPr>
        <w:t xml:space="preserve"> </w:t>
      </w:r>
    </w:p>
    <w:p w14:paraId="15A192F5" w14:textId="77777777" w:rsidR="007F42EF" w:rsidRPr="007F42EF" w:rsidRDefault="007F42EF" w:rsidP="007F42EF">
      <w:pPr>
        <w:spacing w:line="480" w:lineRule="auto"/>
        <w:ind w:left="720"/>
        <w:jc w:val="both"/>
        <w:rPr>
          <w:rFonts w:ascii="Arial" w:hAnsi="Arial" w:cs="Arial"/>
        </w:rPr>
      </w:pPr>
    </w:p>
    <w:p w14:paraId="7B4F9DD8" w14:textId="7E0BC551" w:rsidR="00E5367A" w:rsidRPr="009A38ED" w:rsidRDefault="00E5367A" w:rsidP="00E5367A">
      <w:pPr>
        <w:pStyle w:val="ListParagraph"/>
        <w:spacing w:line="360" w:lineRule="auto"/>
        <w:ind w:left="2880" w:firstLine="720"/>
        <w:contextualSpacing w:val="0"/>
        <w:jc w:val="center"/>
        <w:rPr>
          <w:rFonts w:ascii="Arial" w:hAnsi="Arial" w:cs="Arial"/>
          <w:b/>
        </w:rPr>
      </w:pPr>
      <w:r w:rsidRPr="009A38ED">
        <w:rPr>
          <w:rFonts w:ascii="Arial" w:hAnsi="Arial" w:cs="Arial"/>
          <w:b/>
        </w:rPr>
        <w:t>_____________________________________</w:t>
      </w:r>
      <w:r w:rsidR="007C02BD" w:rsidRPr="009A38ED">
        <w:rPr>
          <w:rFonts w:ascii="Arial" w:hAnsi="Arial" w:cs="Arial"/>
          <w:b/>
        </w:rPr>
        <w:t>___</w:t>
      </w:r>
    </w:p>
    <w:p w14:paraId="5039945B" w14:textId="4896569B" w:rsidR="00D221C4" w:rsidRPr="009A38ED" w:rsidRDefault="00F70834" w:rsidP="00D221C4">
      <w:pPr>
        <w:pStyle w:val="ListParagraph"/>
        <w:spacing w:line="276" w:lineRule="auto"/>
        <w:ind w:left="2880" w:firstLine="720"/>
        <w:contextualSpacing w:val="0"/>
        <w:jc w:val="right"/>
        <w:rPr>
          <w:rFonts w:ascii="Arial" w:hAnsi="Arial" w:cs="Arial"/>
          <w:b/>
        </w:rPr>
      </w:pPr>
      <w:r>
        <w:rPr>
          <w:rFonts w:ascii="Arial" w:hAnsi="Arial" w:cs="Arial"/>
          <w:b/>
        </w:rPr>
        <w:t>C.D.A. LOXTON SC</w:t>
      </w:r>
    </w:p>
    <w:p w14:paraId="6E41A1A0" w14:textId="4981051A" w:rsidR="00E5367A" w:rsidRPr="009A38ED" w:rsidRDefault="00E5367A" w:rsidP="007C02BD">
      <w:pPr>
        <w:pStyle w:val="ListParagraph"/>
        <w:spacing w:line="276" w:lineRule="auto"/>
        <w:ind w:left="2880" w:firstLine="720"/>
        <w:contextualSpacing w:val="0"/>
        <w:jc w:val="right"/>
        <w:rPr>
          <w:rFonts w:ascii="Arial" w:hAnsi="Arial" w:cs="Arial"/>
          <w:b/>
        </w:rPr>
      </w:pPr>
      <w:r w:rsidRPr="009A38ED">
        <w:rPr>
          <w:rFonts w:ascii="Arial" w:hAnsi="Arial" w:cs="Arial"/>
          <w:b/>
        </w:rPr>
        <w:t>ACTING JUDGE OF THE HIGH COURT</w:t>
      </w:r>
    </w:p>
    <w:p w14:paraId="75AD917B" w14:textId="18E39249" w:rsidR="00E5367A" w:rsidRPr="009A38ED" w:rsidRDefault="00E5367A" w:rsidP="007C02BD">
      <w:pPr>
        <w:pStyle w:val="ListParagraph"/>
        <w:spacing w:line="276" w:lineRule="auto"/>
        <w:ind w:left="2880" w:firstLine="720"/>
        <w:contextualSpacing w:val="0"/>
        <w:jc w:val="right"/>
        <w:rPr>
          <w:rFonts w:ascii="Arial" w:hAnsi="Arial" w:cs="Arial"/>
          <w:b/>
        </w:rPr>
      </w:pPr>
      <w:r w:rsidRPr="009A38ED">
        <w:rPr>
          <w:rFonts w:ascii="Arial" w:hAnsi="Arial" w:cs="Arial"/>
          <w:b/>
        </w:rPr>
        <w:lastRenderedPageBreak/>
        <w:t>GAUTENG DIVISION, JOHANNESBURG</w:t>
      </w:r>
    </w:p>
    <w:p w14:paraId="13163ECF" w14:textId="77777777" w:rsidR="00E5367A" w:rsidRPr="009A38ED" w:rsidRDefault="00E5367A" w:rsidP="00E5367A">
      <w:pPr>
        <w:pStyle w:val="ListParagraph"/>
        <w:spacing w:line="360" w:lineRule="auto"/>
        <w:ind w:left="2880" w:firstLine="720"/>
        <w:contextualSpacing w:val="0"/>
        <w:jc w:val="center"/>
        <w:rPr>
          <w:rFonts w:ascii="Arial" w:hAnsi="Arial" w:cs="Arial"/>
          <w:b/>
        </w:rPr>
      </w:pPr>
    </w:p>
    <w:p w14:paraId="33300811" w14:textId="61F643D2" w:rsidR="00A94EAA" w:rsidRDefault="00A94EAA" w:rsidP="00D40C62">
      <w:pPr>
        <w:spacing w:line="360" w:lineRule="auto"/>
        <w:jc w:val="both"/>
        <w:rPr>
          <w:rFonts w:ascii="Arial" w:hAnsi="Arial" w:cs="Arial"/>
          <w:u w:val="single"/>
        </w:rPr>
      </w:pPr>
    </w:p>
    <w:p w14:paraId="3F94BBDC" w14:textId="0AC7CAC1" w:rsidR="00A9344B" w:rsidRDefault="00D14008" w:rsidP="00D40C62">
      <w:pPr>
        <w:spacing w:line="360" w:lineRule="auto"/>
        <w:jc w:val="both"/>
        <w:rPr>
          <w:rFonts w:ascii="Arial" w:hAnsi="Arial" w:cs="Arial"/>
        </w:rPr>
      </w:pPr>
      <w:r>
        <w:rPr>
          <w:rFonts w:ascii="Arial" w:hAnsi="Arial" w:cs="Arial"/>
        </w:rPr>
        <w:t xml:space="preserve">Date of hearing: </w:t>
      </w:r>
      <w:r w:rsidR="00F91256">
        <w:rPr>
          <w:rFonts w:ascii="Arial" w:hAnsi="Arial" w:cs="Arial"/>
        </w:rPr>
        <w:tab/>
        <w:t xml:space="preserve">14 </w:t>
      </w:r>
      <w:r w:rsidR="00F70834">
        <w:rPr>
          <w:rFonts w:ascii="Arial" w:hAnsi="Arial" w:cs="Arial"/>
        </w:rPr>
        <w:t>March 2024</w:t>
      </w:r>
    </w:p>
    <w:p w14:paraId="28283C91" w14:textId="6355DE1C" w:rsidR="00D14008" w:rsidRPr="00D14008" w:rsidRDefault="00D14008" w:rsidP="00D40C62">
      <w:pPr>
        <w:spacing w:line="360" w:lineRule="auto"/>
        <w:jc w:val="both"/>
        <w:rPr>
          <w:rFonts w:ascii="Arial" w:hAnsi="Arial" w:cs="Arial"/>
        </w:rPr>
      </w:pPr>
      <w:r>
        <w:rPr>
          <w:rFonts w:ascii="Arial" w:hAnsi="Arial" w:cs="Arial"/>
        </w:rPr>
        <w:t>Date of judgment:</w:t>
      </w:r>
      <w:r w:rsidR="00F91256">
        <w:rPr>
          <w:rFonts w:ascii="Arial" w:hAnsi="Arial" w:cs="Arial"/>
        </w:rPr>
        <w:tab/>
        <w:t>19 March 2024</w:t>
      </w:r>
    </w:p>
    <w:p w14:paraId="5867959D" w14:textId="77777777" w:rsidR="00A94EAA" w:rsidRDefault="00A94EAA" w:rsidP="00D40C62">
      <w:pPr>
        <w:spacing w:line="360" w:lineRule="auto"/>
        <w:jc w:val="both"/>
        <w:rPr>
          <w:rFonts w:ascii="Arial" w:hAnsi="Arial" w:cs="Arial"/>
          <w:u w:val="single"/>
        </w:rPr>
      </w:pPr>
    </w:p>
    <w:p w14:paraId="7FDDA740" w14:textId="63DA724E" w:rsidR="00E5367A" w:rsidRDefault="00E5367A" w:rsidP="00D40C62">
      <w:pPr>
        <w:spacing w:line="360" w:lineRule="auto"/>
        <w:jc w:val="both"/>
        <w:rPr>
          <w:rFonts w:ascii="Arial" w:hAnsi="Arial" w:cs="Arial"/>
          <w:u w:val="single"/>
        </w:rPr>
      </w:pPr>
      <w:r w:rsidRPr="009A38ED">
        <w:rPr>
          <w:rFonts w:ascii="Arial" w:hAnsi="Arial" w:cs="Arial"/>
          <w:u w:val="single"/>
        </w:rPr>
        <w:t>Appearances</w:t>
      </w:r>
    </w:p>
    <w:p w14:paraId="4E6015BE" w14:textId="77777777" w:rsidR="00D14008" w:rsidRPr="009A38ED" w:rsidRDefault="00D14008" w:rsidP="00D40C62">
      <w:pPr>
        <w:spacing w:line="360" w:lineRule="auto"/>
        <w:jc w:val="both"/>
        <w:rPr>
          <w:rFonts w:ascii="Arial" w:hAnsi="Arial" w:cs="Arial"/>
          <w:u w:val="single"/>
        </w:rPr>
      </w:pPr>
    </w:p>
    <w:p w14:paraId="63F7F657" w14:textId="77777777" w:rsidR="00F91256" w:rsidRDefault="00E5367A" w:rsidP="00D40C62">
      <w:pPr>
        <w:spacing w:line="360" w:lineRule="auto"/>
        <w:jc w:val="both"/>
        <w:rPr>
          <w:rFonts w:ascii="Arial" w:hAnsi="Arial" w:cs="Arial"/>
        </w:rPr>
      </w:pPr>
      <w:r w:rsidRPr="009A38ED">
        <w:rPr>
          <w:rFonts w:ascii="Arial" w:hAnsi="Arial" w:cs="Arial"/>
        </w:rPr>
        <w:t xml:space="preserve">For the </w:t>
      </w:r>
      <w:r w:rsidR="00E4041A">
        <w:rPr>
          <w:rFonts w:ascii="Arial" w:hAnsi="Arial" w:cs="Arial"/>
        </w:rPr>
        <w:t>plaintiff</w:t>
      </w:r>
      <w:r w:rsidRPr="009A38ED">
        <w:rPr>
          <w:rFonts w:ascii="Arial" w:hAnsi="Arial" w:cs="Arial"/>
        </w:rPr>
        <w:t>:</w:t>
      </w:r>
      <w:r w:rsidR="00F91256">
        <w:rPr>
          <w:rFonts w:ascii="Arial" w:hAnsi="Arial" w:cs="Arial"/>
        </w:rPr>
        <w:t xml:space="preserve"> Adv Pillay SC</w:t>
      </w:r>
    </w:p>
    <w:p w14:paraId="1FC32CB8" w14:textId="77777777" w:rsidR="00F91256" w:rsidRDefault="00F91256" w:rsidP="00D40C62">
      <w:pPr>
        <w:spacing w:line="360" w:lineRule="auto"/>
        <w:jc w:val="both"/>
        <w:rPr>
          <w:rFonts w:ascii="Arial" w:hAnsi="Arial" w:cs="Arial"/>
        </w:rPr>
      </w:pPr>
      <w:r>
        <w:rPr>
          <w:rFonts w:ascii="Arial" w:hAnsi="Arial" w:cs="Arial"/>
        </w:rPr>
        <w:tab/>
      </w:r>
      <w:r>
        <w:rPr>
          <w:rFonts w:ascii="Arial" w:hAnsi="Arial" w:cs="Arial"/>
        </w:rPr>
        <w:tab/>
        <w:t xml:space="preserve">    Adv Broster</w:t>
      </w:r>
    </w:p>
    <w:p w14:paraId="11A699FF" w14:textId="2FE65EAA" w:rsidR="00E5367A" w:rsidRPr="009A38ED" w:rsidRDefault="00F91256" w:rsidP="00D40C62">
      <w:pPr>
        <w:spacing w:line="360" w:lineRule="auto"/>
        <w:jc w:val="both"/>
        <w:rPr>
          <w:rFonts w:ascii="Arial" w:hAnsi="Arial" w:cs="Arial"/>
        </w:rPr>
      </w:pPr>
      <w:r>
        <w:rPr>
          <w:rFonts w:ascii="Arial" w:hAnsi="Arial" w:cs="Arial"/>
        </w:rPr>
        <w:tab/>
      </w:r>
      <w:r>
        <w:rPr>
          <w:rFonts w:ascii="Arial" w:hAnsi="Arial" w:cs="Arial"/>
        </w:rPr>
        <w:tab/>
        <w:t xml:space="preserve">    Adv Mchunu</w:t>
      </w:r>
      <w:r w:rsidR="00E4041A">
        <w:rPr>
          <w:rFonts w:ascii="Arial" w:hAnsi="Arial" w:cs="Arial"/>
        </w:rPr>
        <w:tab/>
      </w:r>
      <w:r w:rsidR="00E4041A">
        <w:rPr>
          <w:rFonts w:ascii="Arial" w:hAnsi="Arial" w:cs="Arial"/>
        </w:rPr>
        <w:tab/>
      </w:r>
      <w:r w:rsidR="00C6462E" w:rsidRPr="009A38ED">
        <w:rPr>
          <w:rFonts w:ascii="Arial" w:hAnsi="Arial" w:cs="Arial"/>
        </w:rPr>
        <w:tab/>
      </w:r>
      <w:r w:rsidR="00C6462E" w:rsidRPr="009A38ED">
        <w:rPr>
          <w:rFonts w:ascii="Arial" w:hAnsi="Arial" w:cs="Arial"/>
        </w:rPr>
        <w:tab/>
      </w:r>
    </w:p>
    <w:p w14:paraId="14F693A0" w14:textId="5DFD5097" w:rsidR="00E4041A" w:rsidRDefault="00E5367A" w:rsidP="00D40C62">
      <w:pPr>
        <w:spacing w:line="360" w:lineRule="auto"/>
        <w:jc w:val="both"/>
        <w:rPr>
          <w:rFonts w:ascii="Arial" w:hAnsi="Arial" w:cs="Arial"/>
        </w:rPr>
      </w:pPr>
      <w:r w:rsidRPr="009A38ED">
        <w:rPr>
          <w:rFonts w:ascii="Arial" w:hAnsi="Arial" w:cs="Arial"/>
        </w:rPr>
        <w:t>Instructed by:</w:t>
      </w:r>
      <w:r w:rsidR="00C6462E" w:rsidRPr="009A38ED">
        <w:rPr>
          <w:rFonts w:ascii="Arial" w:hAnsi="Arial" w:cs="Arial"/>
        </w:rPr>
        <w:t xml:space="preserve"> </w:t>
      </w:r>
      <w:r w:rsidR="00F91256">
        <w:rPr>
          <w:rFonts w:ascii="Arial" w:hAnsi="Arial" w:cs="Arial"/>
        </w:rPr>
        <w:t xml:space="preserve"> Pather &amp; Pather Inc</w:t>
      </w:r>
    </w:p>
    <w:p w14:paraId="4F489108" w14:textId="7F0C466C" w:rsidR="00E5367A" w:rsidRPr="009A38ED" w:rsidRDefault="00C6462E" w:rsidP="00D40C62">
      <w:pPr>
        <w:spacing w:line="360" w:lineRule="auto"/>
        <w:jc w:val="both"/>
        <w:rPr>
          <w:rFonts w:ascii="Arial" w:hAnsi="Arial" w:cs="Arial"/>
        </w:rPr>
      </w:pPr>
      <w:r w:rsidRPr="009A38ED">
        <w:rPr>
          <w:rFonts w:ascii="Arial" w:hAnsi="Arial" w:cs="Arial"/>
        </w:rPr>
        <w:tab/>
      </w:r>
      <w:r w:rsidRPr="009A38ED">
        <w:rPr>
          <w:rFonts w:ascii="Arial" w:hAnsi="Arial" w:cs="Arial"/>
        </w:rPr>
        <w:tab/>
      </w:r>
    </w:p>
    <w:p w14:paraId="6957BC83" w14:textId="0D4A2C85" w:rsidR="00E5367A" w:rsidRPr="009A38ED" w:rsidRDefault="00E5367A" w:rsidP="00D40C62">
      <w:pPr>
        <w:spacing w:line="360" w:lineRule="auto"/>
        <w:jc w:val="both"/>
        <w:rPr>
          <w:rFonts w:ascii="Arial" w:hAnsi="Arial" w:cs="Arial"/>
        </w:rPr>
      </w:pPr>
      <w:r w:rsidRPr="009A38ED">
        <w:rPr>
          <w:rFonts w:ascii="Arial" w:hAnsi="Arial" w:cs="Arial"/>
        </w:rPr>
        <w:t xml:space="preserve">For the </w:t>
      </w:r>
      <w:r w:rsidR="00E4041A">
        <w:rPr>
          <w:rFonts w:ascii="Arial" w:hAnsi="Arial" w:cs="Arial"/>
        </w:rPr>
        <w:t>first defendant</w:t>
      </w:r>
      <w:r w:rsidR="007C02BD" w:rsidRPr="009A38ED">
        <w:rPr>
          <w:rFonts w:ascii="Arial" w:hAnsi="Arial" w:cs="Arial"/>
        </w:rPr>
        <w:t xml:space="preserve">: </w:t>
      </w:r>
      <w:r w:rsidR="00F91256">
        <w:rPr>
          <w:rFonts w:ascii="Arial" w:hAnsi="Arial" w:cs="Arial"/>
        </w:rPr>
        <w:t>Adv Patrick</w:t>
      </w:r>
    </w:p>
    <w:p w14:paraId="5D88F5F2" w14:textId="57C56E54" w:rsidR="00C6462E" w:rsidRPr="009A38ED" w:rsidRDefault="00C6462E" w:rsidP="00D40C62">
      <w:pPr>
        <w:spacing w:line="360" w:lineRule="auto"/>
        <w:jc w:val="both"/>
        <w:rPr>
          <w:rFonts w:ascii="Arial" w:hAnsi="Arial" w:cs="Arial"/>
        </w:rPr>
      </w:pPr>
      <w:r w:rsidRPr="009A38ED">
        <w:rPr>
          <w:rFonts w:ascii="Arial" w:hAnsi="Arial" w:cs="Arial"/>
        </w:rPr>
        <w:t xml:space="preserve">Instructed by: </w:t>
      </w:r>
      <w:r w:rsidR="00F91256">
        <w:rPr>
          <w:rFonts w:ascii="Arial" w:hAnsi="Arial" w:cs="Arial"/>
        </w:rPr>
        <w:t>De Klerk &amp; Ven Gend Inc</w:t>
      </w:r>
    </w:p>
    <w:p w14:paraId="0D08600A" w14:textId="61BCF349" w:rsidR="00C6462E" w:rsidRPr="009A38ED" w:rsidRDefault="00C6462E" w:rsidP="00D40C62">
      <w:pPr>
        <w:spacing w:line="360" w:lineRule="auto"/>
        <w:jc w:val="both"/>
        <w:rPr>
          <w:rFonts w:ascii="Arial" w:hAnsi="Arial" w:cs="Arial"/>
        </w:rPr>
      </w:pPr>
      <w:r w:rsidRPr="009A38ED">
        <w:rPr>
          <w:rFonts w:ascii="Arial" w:hAnsi="Arial" w:cs="Arial"/>
        </w:rPr>
        <w:tab/>
      </w:r>
      <w:r w:rsidRPr="009A38ED">
        <w:rPr>
          <w:rFonts w:ascii="Arial" w:hAnsi="Arial" w:cs="Arial"/>
        </w:rPr>
        <w:tab/>
      </w:r>
    </w:p>
    <w:sectPr w:rsidR="00C6462E" w:rsidRPr="009A38ED" w:rsidSect="006523C8">
      <w:headerReference w:type="even" r:id="rId12"/>
      <w:headerReference w:type="default" r:id="rId13"/>
      <w:pgSz w:w="11900" w:h="16840"/>
      <w:pgMar w:top="1426" w:right="1440" w:bottom="10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ACAE2" w14:textId="77777777" w:rsidR="006523C8" w:rsidRDefault="006523C8" w:rsidP="00F7273F">
      <w:r>
        <w:separator/>
      </w:r>
    </w:p>
  </w:endnote>
  <w:endnote w:type="continuationSeparator" w:id="0">
    <w:p w14:paraId="2AAD277C" w14:textId="77777777" w:rsidR="006523C8" w:rsidRDefault="006523C8" w:rsidP="00F7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12D30" w14:textId="77777777" w:rsidR="006523C8" w:rsidRDefault="006523C8" w:rsidP="00F7273F">
      <w:r>
        <w:separator/>
      </w:r>
    </w:p>
  </w:footnote>
  <w:footnote w:type="continuationSeparator" w:id="0">
    <w:p w14:paraId="4F8A208D" w14:textId="77777777" w:rsidR="006523C8" w:rsidRDefault="006523C8" w:rsidP="00F7273F">
      <w:r>
        <w:continuationSeparator/>
      </w:r>
    </w:p>
  </w:footnote>
  <w:footnote w:id="1">
    <w:p w14:paraId="6DEEBDC0" w14:textId="21D41CC7" w:rsidR="00692314" w:rsidRPr="00974377" w:rsidRDefault="00692314">
      <w:pPr>
        <w:pStyle w:val="FootnoteText"/>
        <w:rPr>
          <w:lang w:val="fr-FR"/>
        </w:rPr>
      </w:pPr>
      <w:r>
        <w:rPr>
          <w:rStyle w:val="FootnoteReference"/>
        </w:rPr>
        <w:footnoteRef/>
      </w:r>
      <w:r w:rsidRPr="00974377">
        <w:rPr>
          <w:lang w:val="fr-FR"/>
        </w:rPr>
        <w:t xml:space="preserve"> 2018 (3) SA 405 SCA @ paras (10-16)</w:t>
      </w:r>
    </w:p>
  </w:footnote>
  <w:footnote w:id="2">
    <w:p w14:paraId="054C67F6" w14:textId="1DB4AF41" w:rsidR="007E6702" w:rsidRPr="00974377" w:rsidRDefault="007E6702">
      <w:pPr>
        <w:pStyle w:val="FootnoteText"/>
        <w:rPr>
          <w:lang w:val="fr-FR"/>
        </w:rPr>
      </w:pPr>
      <w:r>
        <w:rPr>
          <w:rStyle w:val="FootnoteReference"/>
        </w:rPr>
        <w:footnoteRef/>
      </w:r>
      <w:r w:rsidRPr="00974377">
        <w:rPr>
          <w:lang w:val="fr-FR"/>
        </w:rPr>
        <w:t xml:space="preserve"> 2015 (3) SA 46 (SCA)</w:t>
      </w:r>
    </w:p>
  </w:footnote>
  <w:footnote w:id="3">
    <w:p w14:paraId="01D39FB6" w14:textId="2D3FCA69" w:rsidR="008A51D5" w:rsidRDefault="008A51D5">
      <w:pPr>
        <w:pStyle w:val="FootnoteText"/>
      </w:pPr>
      <w:r>
        <w:rPr>
          <w:rStyle w:val="FootnoteReference"/>
        </w:rPr>
        <w:footnoteRef/>
      </w:r>
      <w:r>
        <w:t xml:space="preserve"> 1983 (1) SA 235 (A) at 247</w:t>
      </w:r>
    </w:p>
  </w:footnote>
  <w:footnote w:id="4">
    <w:p w14:paraId="3BD5EC84" w14:textId="058EE720" w:rsidR="00BC023D" w:rsidRPr="00BC023D" w:rsidRDefault="00BC023D">
      <w:pPr>
        <w:pStyle w:val="FootnoteText"/>
      </w:pPr>
      <w:r>
        <w:rPr>
          <w:rStyle w:val="FootnoteReference"/>
        </w:rPr>
        <w:footnoteRef/>
      </w:r>
      <w:r>
        <w:t xml:space="preserve"> </w:t>
      </w:r>
      <w:r>
        <w:rPr>
          <w:u w:val="single"/>
        </w:rPr>
        <w:t>Neethling v Klopper en Andere</w:t>
      </w:r>
      <w:r>
        <w:t xml:space="preserve"> 1967 (4) SA 459 (A)</w:t>
      </w:r>
    </w:p>
  </w:footnote>
  <w:footnote w:id="5">
    <w:p w14:paraId="7453261A" w14:textId="6031F566" w:rsidR="00BC023D" w:rsidRDefault="00BC023D">
      <w:pPr>
        <w:pStyle w:val="FootnoteText"/>
      </w:pPr>
      <w:r>
        <w:rPr>
          <w:rStyle w:val="FootnoteReference"/>
        </w:rPr>
        <w:footnoteRef/>
      </w:r>
      <w:r>
        <w:t xml:space="preserve"> It’s important to bear in mind that the decision of Botha JA form</w:t>
      </w:r>
      <w:r w:rsidR="00F4798D">
        <w:t>s</w:t>
      </w:r>
      <w:r>
        <w:t xml:space="preserve"> part of a minority judgment. The majority held that the oral agreement constituted a variation of the terms of the contract of suretyship and was </w:t>
      </w:r>
      <w:r w:rsidR="00E06BCB">
        <w:t>therefore</w:t>
      </w:r>
      <w:r>
        <w:t xml:space="preserve"> not permissible.</w:t>
      </w:r>
    </w:p>
  </w:footnote>
  <w:footnote w:id="6">
    <w:p w14:paraId="45447018" w14:textId="33FA4D77" w:rsidR="007F42EF" w:rsidRDefault="007F42EF">
      <w:pPr>
        <w:pStyle w:val="FootnoteText"/>
      </w:pPr>
      <w:r>
        <w:rPr>
          <w:rStyle w:val="FootnoteReference"/>
        </w:rPr>
        <w:footnoteRef/>
      </w:r>
      <w:r>
        <w:t xml:space="preserve"> At para. 15</w:t>
      </w:r>
    </w:p>
  </w:footnote>
  <w:footnote w:id="7">
    <w:p w14:paraId="0932793B" w14:textId="7C39B172" w:rsidR="008F55B4" w:rsidRDefault="008F55B4">
      <w:pPr>
        <w:pStyle w:val="FootnoteText"/>
      </w:pPr>
      <w:r>
        <w:rPr>
          <w:rStyle w:val="FootnoteReference"/>
        </w:rPr>
        <w:footnoteRef/>
      </w:r>
      <w:r>
        <w:t xml:space="preserve"> At para 27</w:t>
      </w:r>
    </w:p>
  </w:footnote>
  <w:footnote w:id="8">
    <w:p w14:paraId="5757DBAA" w14:textId="2CFF4356" w:rsidR="008F55B4" w:rsidRDefault="008F55B4">
      <w:pPr>
        <w:pStyle w:val="FootnoteText"/>
      </w:pPr>
      <w:r>
        <w:rPr>
          <w:rStyle w:val="FootnoteReference"/>
        </w:rPr>
        <w:footnoteRef/>
      </w:r>
      <w:r>
        <w:t xml:space="preserve"> 1974 (4) SA 164 (D),</w:t>
      </w:r>
      <w:r w:rsidR="002A4AAA">
        <w:t xml:space="preserve"> and (CLD)</w:t>
      </w:r>
    </w:p>
  </w:footnote>
  <w:footnote w:id="9">
    <w:p w14:paraId="22BBE884" w14:textId="0C64CFC3" w:rsidR="002A4AAA" w:rsidRPr="00974377" w:rsidRDefault="002A4AAA">
      <w:pPr>
        <w:pStyle w:val="FootnoteText"/>
        <w:rPr>
          <w:lang w:val="fr-FR"/>
        </w:rPr>
      </w:pPr>
      <w:r>
        <w:rPr>
          <w:rStyle w:val="FootnoteReference"/>
        </w:rPr>
        <w:footnoteRef/>
      </w:r>
      <w:r w:rsidRPr="00974377">
        <w:rPr>
          <w:lang w:val="fr-FR"/>
        </w:rPr>
        <w:t xml:space="preserve"> 2005 (2) SA 419 (SCA)</w:t>
      </w:r>
    </w:p>
  </w:footnote>
  <w:footnote w:id="10">
    <w:p w14:paraId="5590B108" w14:textId="783569A9" w:rsidR="002A4AAA" w:rsidRPr="00974377" w:rsidRDefault="002A4AAA">
      <w:pPr>
        <w:pStyle w:val="FootnoteText"/>
        <w:rPr>
          <w:u w:val="single"/>
          <w:lang w:val="fr-FR"/>
        </w:rPr>
      </w:pPr>
      <w:r>
        <w:rPr>
          <w:rStyle w:val="FootnoteReference"/>
        </w:rPr>
        <w:footnoteRef/>
      </w:r>
      <w:r w:rsidRPr="00974377">
        <w:rPr>
          <w:lang w:val="fr-FR"/>
        </w:rPr>
        <w:t xml:space="preserve"> </w:t>
      </w:r>
      <w:r w:rsidR="008C3456" w:rsidRPr="00974377">
        <w:rPr>
          <w:u w:val="single"/>
          <w:lang w:val="fr-FR"/>
        </w:rPr>
        <w:t>Supra</w:t>
      </w:r>
    </w:p>
  </w:footnote>
  <w:footnote w:id="11">
    <w:p w14:paraId="6D9AF590" w14:textId="4E57C25F" w:rsidR="002A4AAA" w:rsidRPr="00974377" w:rsidRDefault="002A4AAA">
      <w:pPr>
        <w:pStyle w:val="FootnoteText"/>
        <w:rPr>
          <w:lang w:val="fr-FR"/>
        </w:rPr>
      </w:pPr>
      <w:r>
        <w:rPr>
          <w:rStyle w:val="FootnoteReference"/>
        </w:rPr>
        <w:footnoteRef/>
      </w:r>
      <w:r w:rsidRPr="00974377">
        <w:rPr>
          <w:lang w:val="fr-FR"/>
        </w:rPr>
        <w:t xml:space="preserve"> At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75520645"/>
      <w:docPartObj>
        <w:docPartGallery w:val="Page Numbers (Top of Page)"/>
        <w:docPartUnique/>
      </w:docPartObj>
    </w:sdtPr>
    <w:sdtContent>
      <w:p w14:paraId="055D71AE" w14:textId="3D51A2C1" w:rsidR="004216BE" w:rsidRDefault="004216BE" w:rsidP="000266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C032E" w14:textId="77777777" w:rsidR="004216BE" w:rsidRDefault="004216BE" w:rsidP="00F727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041787093"/>
      <w:docPartObj>
        <w:docPartGallery w:val="Page Numbers (Top of Page)"/>
        <w:docPartUnique/>
      </w:docPartObj>
    </w:sdtPr>
    <w:sdtContent>
      <w:p w14:paraId="7814EBAE" w14:textId="2750EA3F" w:rsidR="004216BE" w:rsidRPr="00977603" w:rsidRDefault="004216BE" w:rsidP="00026624">
        <w:pPr>
          <w:pStyle w:val="Header"/>
          <w:framePr w:wrap="none" w:vAnchor="text" w:hAnchor="margin" w:xAlign="right" w:y="1"/>
          <w:rPr>
            <w:rStyle w:val="PageNumber"/>
            <w:rFonts w:ascii="Arial" w:hAnsi="Arial" w:cs="Arial"/>
          </w:rPr>
        </w:pPr>
        <w:r w:rsidRPr="00977603">
          <w:rPr>
            <w:rStyle w:val="PageNumber"/>
            <w:rFonts w:ascii="Arial" w:hAnsi="Arial" w:cs="Arial"/>
          </w:rPr>
          <w:fldChar w:fldCharType="begin"/>
        </w:r>
        <w:r w:rsidRPr="00977603">
          <w:rPr>
            <w:rStyle w:val="PageNumber"/>
            <w:rFonts w:ascii="Arial" w:hAnsi="Arial" w:cs="Arial"/>
          </w:rPr>
          <w:instrText xml:space="preserve"> PAGE </w:instrText>
        </w:r>
        <w:r w:rsidRPr="00977603">
          <w:rPr>
            <w:rStyle w:val="PageNumber"/>
            <w:rFonts w:ascii="Arial" w:hAnsi="Arial" w:cs="Arial"/>
          </w:rPr>
          <w:fldChar w:fldCharType="separate"/>
        </w:r>
        <w:r w:rsidR="00B2165B">
          <w:rPr>
            <w:rStyle w:val="PageNumber"/>
            <w:rFonts w:ascii="Arial" w:hAnsi="Arial" w:cs="Arial"/>
            <w:noProof/>
          </w:rPr>
          <w:t>2</w:t>
        </w:r>
        <w:r w:rsidRPr="00977603">
          <w:rPr>
            <w:rStyle w:val="PageNumber"/>
            <w:rFonts w:ascii="Arial" w:hAnsi="Arial" w:cs="Arial"/>
          </w:rPr>
          <w:fldChar w:fldCharType="end"/>
        </w:r>
      </w:p>
    </w:sdtContent>
  </w:sdt>
  <w:p w14:paraId="12985D36" w14:textId="77777777" w:rsidR="004216BE" w:rsidRDefault="004216BE" w:rsidP="00F727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42F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E5920"/>
    <w:multiLevelType w:val="hybridMultilevel"/>
    <w:tmpl w:val="EB409926"/>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8897C44"/>
    <w:multiLevelType w:val="hybridMultilevel"/>
    <w:tmpl w:val="281E511A"/>
    <w:lvl w:ilvl="0" w:tplc="25185A32">
      <w:start w:val="1"/>
      <w:numFmt w:val="decimal"/>
      <w:lvlText w:val="%1"/>
      <w:lvlJc w:val="left"/>
      <w:pPr>
        <w:ind w:left="720" w:hanging="360"/>
      </w:pPr>
      <w:rPr>
        <w:rFonts w:hint="default"/>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4" w15:restartNumberingAfterBreak="0">
    <w:nsid w:val="1F826855"/>
    <w:multiLevelType w:val="hybridMultilevel"/>
    <w:tmpl w:val="810045D8"/>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5696FBF"/>
    <w:multiLevelType w:val="hybridMultilevel"/>
    <w:tmpl w:val="7D94F4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8383C"/>
    <w:multiLevelType w:val="hybridMultilevel"/>
    <w:tmpl w:val="336AC9C0"/>
    <w:lvl w:ilvl="0" w:tplc="25185A3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FF5565D"/>
    <w:multiLevelType w:val="hybridMultilevel"/>
    <w:tmpl w:val="5510DCAE"/>
    <w:lvl w:ilvl="0" w:tplc="AFFA7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B3681"/>
    <w:multiLevelType w:val="hybridMultilevel"/>
    <w:tmpl w:val="531CC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8A484E"/>
    <w:multiLevelType w:val="multilevel"/>
    <w:tmpl w:val="24BEDA4E"/>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6EF04B03"/>
    <w:multiLevelType w:val="multilevel"/>
    <w:tmpl w:val="FC388344"/>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3A057D"/>
    <w:multiLevelType w:val="hybridMultilevel"/>
    <w:tmpl w:val="BBDA2482"/>
    <w:lvl w:ilvl="0" w:tplc="25185A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E6E4B"/>
    <w:multiLevelType w:val="multilevel"/>
    <w:tmpl w:val="5C7C74C2"/>
    <w:lvl w:ilvl="0">
      <w:start w:val="1"/>
      <w:numFmt w:val="decimal"/>
      <w:lvlText w:val="%1"/>
      <w:lvlJc w:val="left"/>
      <w:pPr>
        <w:ind w:left="1020" w:hanging="1020"/>
      </w:pPr>
      <w:rPr>
        <w:rFonts w:hint="default"/>
        <w:i/>
        <w:iCs/>
      </w:rPr>
    </w:lvl>
    <w:lvl w:ilvl="1">
      <w:start w:val="1"/>
      <w:numFmt w:val="decimal"/>
      <w:lvlText w:val="%1.%2"/>
      <w:lvlJc w:val="left"/>
      <w:pPr>
        <w:ind w:left="2154" w:hanging="1020"/>
      </w:pPr>
      <w:rPr>
        <w:rFonts w:hint="default"/>
        <w:i/>
        <w:iCs/>
      </w:rPr>
    </w:lvl>
    <w:lvl w:ilvl="2">
      <w:start w:val="1"/>
      <w:numFmt w:val="decimal"/>
      <w:lvlText w:val="%1.%2.%3"/>
      <w:lvlJc w:val="left"/>
      <w:pPr>
        <w:ind w:left="3288" w:hanging="10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7F90052B"/>
    <w:multiLevelType w:val="hybridMultilevel"/>
    <w:tmpl w:val="2334F488"/>
    <w:lvl w:ilvl="0" w:tplc="BCC0AEDA">
      <w:start w:val="1"/>
      <w:numFmt w:val="upperLetter"/>
      <w:lvlText w:val="%1."/>
      <w:lvlJc w:val="left"/>
      <w:pPr>
        <w:ind w:left="1854" w:hanging="360"/>
      </w:pPr>
      <w:rPr>
        <w:b/>
        <w:bCs/>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num w:numId="1" w16cid:durableId="817458662">
    <w:abstractNumId w:val="11"/>
  </w:num>
  <w:num w:numId="2" w16cid:durableId="1667709501">
    <w:abstractNumId w:val="8"/>
  </w:num>
  <w:num w:numId="3" w16cid:durableId="883712336">
    <w:abstractNumId w:val="7"/>
  </w:num>
  <w:num w:numId="4" w16cid:durableId="843128385">
    <w:abstractNumId w:val="1"/>
  </w:num>
  <w:num w:numId="5" w16cid:durableId="590356877">
    <w:abstractNumId w:val="6"/>
  </w:num>
  <w:num w:numId="6" w16cid:durableId="25251497">
    <w:abstractNumId w:val="4"/>
  </w:num>
  <w:num w:numId="7" w16cid:durableId="992761255">
    <w:abstractNumId w:val="3"/>
  </w:num>
  <w:num w:numId="8" w16cid:durableId="892084525">
    <w:abstractNumId w:val="2"/>
  </w:num>
  <w:num w:numId="9" w16cid:durableId="1625186411">
    <w:abstractNumId w:val="5"/>
  </w:num>
  <w:num w:numId="10" w16cid:durableId="1004819884">
    <w:abstractNumId w:val="10"/>
  </w:num>
  <w:num w:numId="11" w16cid:durableId="60830364">
    <w:abstractNumId w:val="13"/>
  </w:num>
  <w:num w:numId="12" w16cid:durableId="1731004303">
    <w:abstractNumId w:val="0"/>
  </w:num>
  <w:num w:numId="13" w16cid:durableId="692267663">
    <w:abstractNumId w:val="12"/>
  </w:num>
  <w:num w:numId="14" w16cid:durableId="274869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wMTcFQgMgNjZW0lEKTi0uzszPAykwrAUA5JvQlCwAAAA="/>
  </w:docVars>
  <w:rsids>
    <w:rsidRoot w:val="004B230B"/>
    <w:rsid w:val="00002AEC"/>
    <w:rsid w:val="00003344"/>
    <w:rsid w:val="00004AEA"/>
    <w:rsid w:val="00012DF9"/>
    <w:rsid w:val="0001377D"/>
    <w:rsid w:val="00014C12"/>
    <w:rsid w:val="000155AD"/>
    <w:rsid w:val="00020027"/>
    <w:rsid w:val="00024B03"/>
    <w:rsid w:val="00026624"/>
    <w:rsid w:val="000318EF"/>
    <w:rsid w:val="000445E1"/>
    <w:rsid w:val="0004755C"/>
    <w:rsid w:val="000550DD"/>
    <w:rsid w:val="000557DB"/>
    <w:rsid w:val="0006228E"/>
    <w:rsid w:val="00063EB4"/>
    <w:rsid w:val="000656F6"/>
    <w:rsid w:val="0007326C"/>
    <w:rsid w:val="000814AE"/>
    <w:rsid w:val="0008363A"/>
    <w:rsid w:val="000843F5"/>
    <w:rsid w:val="00084E8C"/>
    <w:rsid w:val="00090CA9"/>
    <w:rsid w:val="00091BBC"/>
    <w:rsid w:val="00091BDD"/>
    <w:rsid w:val="000938A5"/>
    <w:rsid w:val="00094FAF"/>
    <w:rsid w:val="000A0362"/>
    <w:rsid w:val="000A2AC4"/>
    <w:rsid w:val="000A4F4B"/>
    <w:rsid w:val="000A7CC9"/>
    <w:rsid w:val="000B30DA"/>
    <w:rsid w:val="000B7DAE"/>
    <w:rsid w:val="000C07E5"/>
    <w:rsid w:val="000C18ED"/>
    <w:rsid w:val="000C5F4D"/>
    <w:rsid w:val="000C6479"/>
    <w:rsid w:val="000C6F57"/>
    <w:rsid w:val="000D6A43"/>
    <w:rsid w:val="000E074F"/>
    <w:rsid w:val="000E7D2D"/>
    <w:rsid w:val="000F0A27"/>
    <w:rsid w:val="000F0F7E"/>
    <w:rsid w:val="000F191B"/>
    <w:rsid w:val="000F4239"/>
    <w:rsid w:val="000F768C"/>
    <w:rsid w:val="000F776E"/>
    <w:rsid w:val="00101054"/>
    <w:rsid w:val="00104C3C"/>
    <w:rsid w:val="001119B0"/>
    <w:rsid w:val="00116348"/>
    <w:rsid w:val="00122B14"/>
    <w:rsid w:val="00124963"/>
    <w:rsid w:val="00125613"/>
    <w:rsid w:val="00126124"/>
    <w:rsid w:val="00130B76"/>
    <w:rsid w:val="00134B53"/>
    <w:rsid w:val="00135AAC"/>
    <w:rsid w:val="00142FBC"/>
    <w:rsid w:val="00143352"/>
    <w:rsid w:val="001442D3"/>
    <w:rsid w:val="00153CA4"/>
    <w:rsid w:val="00153EE7"/>
    <w:rsid w:val="00154DE0"/>
    <w:rsid w:val="001571D9"/>
    <w:rsid w:val="00160B8D"/>
    <w:rsid w:val="00160F89"/>
    <w:rsid w:val="001631A3"/>
    <w:rsid w:val="0016419A"/>
    <w:rsid w:val="00164B39"/>
    <w:rsid w:val="001671A4"/>
    <w:rsid w:val="001677B3"/>
    <w:rsid w:val="00172F9C"/>
    <w:rsid w:val="001825F5"/>
    <w:rsid w:val="00182617"/>
    <w:rsid w:val="00184872"/>
    <w:rsid w:val="001910F8"/>
    <w:rsid w:val="00191825"/>
    <w:rsid w:val="00191E7D"/>
    <w:rsid w:val="00193DAF"/>
    <w:rsid w:val="00196ED3"/>
    <w:rsid w:val="001A05E6"/>
    <w:rsid w:val="001A084A"/>
    <w:rsid w:val="001A5F9A"/>
    <w:rsid w:val="001A6D96"/>
    <w:rsid w:val="001B0690"/>
    <w:rsid w:val="001B1984"/>
    <w:rsid w:val="001B3EB0"/>
    <w:rsid w:val="001B4284"/>
    <w:rsid w:val="001B4628"/>
    <w:rsid w:val="001B518D"/>
    <w:rsid w:val="001C2496"/>
    <w:rsid w:val="001C5054"/>
    <w:rsid w:val="001C5DCB"/>
    <w:rsid w:val="001C7511"/>
    <w:rsid w:val="001D0743"/>
    <w:rsid w:val="001D6BF2"/>
    <w:rsid w:val="001D7B7B"/>
    <w:rsid w:val="001E4A13"/>
    <w:rsid w:val="001E6CC8"/>
    <w:rsid w:val="001E7EF6"/>
    <w:rsid w:val="001F1682"/>
    <w:rsid w:val="001F67AE"/>
    <w:rsid w:val="001F7A54"/>
    <w:rsid w:val="00203281"/>
    <w:rsid w:val="002033C1"/>
    <w:rsid w:val="002156FC"/>
    <w:rsid w:val="002163D4"/>
    <w:rsid w:val="0022509F"/>
    <w:rsid w:val="002263F0"/>
    <w:rsid w:val="00232228"/>
    <w:rsid w:val="00243F2F"/>
    <w:rsid w:val="00247D2A"/>
    <w:rsid w:val="0025042E"/>
    <w:rsid w:val="00252616"/>
    <w:rsid w:val="002539FC"/>
    <w:rsid w:val="00254075"/>
    <w:rsid w:val="00256145"/>
    <w:rsid w:val="002604A0"/>
    <w:rsid w:val="002634F7"/>
    <w:rsid w:val="00271B35"/>
    <w:rsid w:val="0027294A"/>
    <w:rsid w:val="002753FC"/>
    <w:rsid w:val="00276A82"/>
    <w:rsid w:val="00280C1A"/>
    <w:rsid w:val="002871F0"/>
    <w:rsid w:val="00293DE4"/>
    <w:rsid w:val="002A4862"/>
    <w:rsid w:val="002A4AAA"/>
    <w:rsid w:val="002A5F5D"/>
    <w:rsid w:val="002B030F"/>
    <w:rsid w:val="002B2C48"/>
    <w:rsid w:val="002C59B9"/>
    <w:rsid w:val="002C631B"/>
    <w:rsid w:val="002C65F6"/>
    <w:rsid w:val="002D1059"/>
    <w:rsid w:val="002E23B3"/>
    <w:rsid w:val="002E411D"/>
    <w:rsid w:val="002E6076"/>
    <w:rsid w:val="002E6120"/>
    <w:rsid w:val="002E64F1"/>
    <w:rsid w:val="002E6A9C"/>
    <w:rsid w:val="002F2278"/>
    <w:rsid w:val="002F35AA"/>
    <w:rsid w:val="002F6886"/>
    <w:rsid w:val="002F70AC"/>
    <w:rsid w:val="00302390"/>
    <w:rsid w:val="003032DF"/>
    <w:rsid w:val="00306975"/>
    <w:rsid w:val="003103D6"/>
    <w:rsid w:val="00313004"/>
    <w:rsid w:val="003137D3"/>
    <w:rsid w:val="00313CD1"/>
    <w:rsid w:val="00315D07"/>
    <w:rsid w:val="00316B5C"/>
    <w:rsid w:val="00316B8B"/>
    <w:rsid w:val="003176F4"/>
    <w:rsid w:val="00317C8A"/>
    <w:rsid w:val="0032516E"/>
    <w:rsid w:val="00330E5F"/>
    <w:rsid w:val="00331701"/>
    <w:rsid w:val="0033592A"/>
    <w:rsid w:val="003367CE"/>
    <w:rsid w:val="00337A19"/>
    <w:rsid w:val="003406DD"/>
    <w:rsid w:val="0034072F"/>
    <w:rsid w:val="003425D3"/>
    <w:rsid w:val="00345C15"/>
    <w:rsid w:val="00345FD3"/>
    <w:rsid w:val="0034688D"/>
    <w:rsid w:val="00347F73"/>
    <w:rsid w:val="00351EB4"/>
    <w:rsid w:val="00352802"/>
    <w:rsid w:val="0035555E"/>
    <w:rsid w:val="00355D43"/>
    <w:rsid w:val="0035743A"/>
    <w:rsid w:val="00366FCB"/>
    <w:rsid w:val="00374E32"/>
    <w:rsid w:val="003766F6"/>
    <w:rsid w:val="003769E1"/>
    <w:rsid w:val="00381A88"/>
    <w:rsid w:val="003820AF"/>
    <w:rsid w:val="00382212"/>
    <w:rsid w:val="00385D57"/>
    <w:rsid w:val="0039010B"/>
    <w:rsid w:val="0039028C"/>
    <w:rsid w:val="00390976"/>
    <w:rsid w:val="0039710A"/>
    <w:rsid w:val="00397BF7"/>
    <w:rsid w:val="003A1B81"/>
    <w:rsid w:val="003A5934"/>
    <w:rsid w:val="003A6B47"/>
    <w:rsid w:val="003A706C"/>
    <w:rsid w:val="003B13E8"/>
    <w:rsid w:val="003B36FA"/>
    <w:rsid w:val="003C00E4"/>
    <w:rsid w:val="003C2BAD"/>
    <w:rsid w:val="003C5257"/>
    <w:rsid w:val="003D2AF4"/>
    <w:rsid w:val="003D46A2"/>
    <w:rsid w:val="003D4C32"/>
    <w:rsid w:val="003D5762"/>
    <w:rsid w:val="003D7894"/>
    <w:rsid w:val="003D7E89"/>
    <w:rsid w:val="003E0160"/>
    <w:rsid w:val="003E017F"/>
    <w:rsid w:val="003E0A02"/>
    <w:rsid w:val="003E2DD3"/>
    <w:rsid w:val="003E61EE"/>
    <w:rsid w:val="003F3491"/>
    <w:rsid w:val="003F52ED"/>
    <w:rsid w:val="003F6886"/>
    <w:rsid w:val="00400BF9"/>
    <w:rsid w:val="00403912"/>
    <w:rsid w:val="00403F18"/>
    <w:rsid w:val="00405FFF"/>
    <w:rsid w:val="00406EF8"/>
    <w:rsid w:val="0041148D"/>
    <w:rsid w:val="00412E54"/>
    <w:rsid w:val="00415B2C"/>
    <w:rsid w:val="00416377"/>
    <w:rsid w:val="0041761F"/>
    <w:rsid w:val="00417B93"/>
    <w:rsid w:val="004216BE"/>
    <w:rsid w:val="00421852"/>
    <w:rsid w:val="004249EF"/>
    <w:rsid w:val="0042554A"/>
    <w:rsid w:val="00426515"/>
    <w:rsid w:val="00426D49"/>
    <w:rsid w:val="00427306"/>
    <w:rsid w:val="00430521"/>
    <w:rsid w:val="004305B4"/>
    <w:rsid w:val="004341E8"/>
    <w:rsid w:val="004351A2"/>
    <w:rsid w:val="00436F88"/>
    <w:rsid w:val="00437C07"/>
    <w:rsid w:val="004420AD"/>
    <w:rsid w:val="004438EB"/>
    <w:rsid w:val="004446AA"/>
    <w:rsid w:val="00444FE6"/>
    <w:rsid w:val="0044614A"/>
    <w:rsid w:val="004539DC"/>
    <w:rsid w:val="00456E4F"/>
    <w:rsid w:val="00460C0D"/>
    <w:rsid w:val="00460E82"/>
    <w:rsid w:val="00463B88"/>
    <w:rsid w:val="0046431B"/>
    <w:rsid w:val="0046698E"/>
    <w:rsid w:val="00466E58"/>
    <w:rsid w:val="00467CD8"/>
    <w:rsid w:val="004701E8"/>
    <w:rsid w:val="004714A0"/>
    <w:rsid w:val="00472812"/>
    <w:rsid w:val="0048523C"/>
    <w:rsid w:val="00486AD5"/>
    <w:rsid w:val="00486ADC"/>
    <w:rsid w:val="004909D1"/>
    <w:rsid w:val="0049116E"/>
    <w:rsid w:val="0049242A"/>
    <w:rsid w:val="0049756F"/>
    <w:rsid w:val="004A1604"/>
    <w:rsid w:val="004A3D93"/>
    <w:rsid w:val="004A4DC6"/>
    <w:rsid w:val="004A64E0"/>
    <w:rsid w:val="004B230B"/>
    <w:rsid w:val="004B24D3"/>
    <w:rsid w:val="004B2F52"/>
    <w:rsid w:val="004B3826"/>
    <w:rsid w:val="004B3A71"/>
    <w:rsid w:val="004B457E"/>
    <w:rsid w:val="004C4B59"/>
    <w:rsid w:val="004C6899"/>
    <w:rsid w:val="004C711B"/>
    <w:rsid w:val="004D23F6"/>
    <w:rsid w:val="004D310D"/>
    <w:rsid w:val="004D75C7"/>
    <w:rsid w:val="004E15AE"/>
    <w:rsid w:val="004E22D6"/>
    <w:rsid w:val="004E3412"/>
    <w:rsid w:val="004E56B3"/>
    <w:rsid w:val="004E7A86"/>
    <w:rsid w:val="004F12D2"/>
    <w:rsid w:val="00502794"/>
    <w:rsid w:val="00502C81"/>
    <w:rsid w:val="00504B9B"/>
    <w:rsid w:val="00506BC2"/>
    <w:rsid w:val="00507E8D"/>
    <w:rsid w:val="00510119"/>
    <w:rsid w:val="00510AA9"/>
    <w:rsid w:val="0051101F"/>
    <w:rsid w:val="00520882"/>
    <w:rsid w:val="00530E0E"/>
    <w:rsid w:val="00532C94"/>
    <w:rsid w:val="005333BA"/>
    <w:rsid w:val="00535363"/>
    <w:rsid w:val="00535AA1"/>
    <w:rsid w:val="00537333"/>
    <w:rsid w:val="00542317"/>
    <w:rsid w:val="00545690"/>
    <w:rsid w:val="00545D1C"/>
    <w:rsid w:val="00547AE7"/>
    <w:rsid w:val="0055266B"/>
    <w:rsid w:val="00552FF3"/>
    <w:rsid w:val="00557073"/>
    <w:rsid w:val="00560911"/>
    <w:rsid w:val="00561359"/>
    <w:rsid w:val="0056489F"/>
    <w:rsid w:val="005718F5"/>
    <w:rsid w:val="00573DB9"/>
    <w:rsid w:val="005760A6"/>
    <w:rsid w:val="00583DE3"/>
    <w:rsid w:val="00586358"/>
    <w:rsid w:val="005900B4"/>
    <w:rsid w:val="00590C8F"/>
    <w:rsid w:val="00591679"/>
    <w:rsid w:val="0059379D"/>
    <w:rsid w:val="00593C44"/>
    <w:rsid w:val="005A250F"/>
    <w:rsid w:val="005B05C8"/>
    <w:rsid w:val="005B256E"/>
    <w:rsid w:val="005B44EB"/>
    <w:rsid w:val="005B6E7D"/>
    <w:rsid w:val="005C039A"/>
    <w:rsid w:val="005C0ABF"/>
    <w:rsid w:val="005C16F7"/>
    <w:rsid w:val="005C221E"/>
    <w:rsid w:val="005C4F42"/>
    <w:rsid w:val="005D18B5"/>
    <w:rsid w:val="005D66D2"/>
    <w:rsid w:val="005D7AEE"/>
    <w:rsid w:val="005E1745"/>
    <w:rsid w:val="005E2BFB"/>
    <w:rsid w:val="005E301B"/>
    <w:rsid w:val="00600D0B"/>
    <w:rsid w:val="00601D2A"/>
    <w:rsid w:val="006072CB"/>
    <w:rsid w:val="00611B26"/>
    <w:rsid w:val="006201A0"/>
    <w:rsid w:val="0062050D"/>
    <w:rsid w:val="00620F02"/>
    <w:rsid w:val="00620F0B"/>
    <w:rsid w:val="00622EBA"/>
    <w:rsid w:val="006235AA"/>
    <w:rsid w:val="0062764D"/>
    <w:rsid w:val="00632F40"/>
    <w:rsid w:val="006407C8"/>
    <w:rsid w:val="00641CC7"/>
    <w:rsid w:val="006443F5"/>
    <w:rsid w:val="00646377"/>
    <w:rsid w:val="00647FCB"/>
    <w:rsid w:val="00650A7D"/>
    <w:rsid w:val="00652309"/>
    <w:rsid w:val="006523C8"/>
    <w:rsid w:val="00652AAF"/>
    <w:rsid w:val="00655258"/>
    <w:rsid w:val="00656543"/>
    <w:rsid w:val="00657B5C"/>
    <w:rsid w:val="00661E52"/>
    <w:rsid w:val="00663511"/>
    <w:rsid w:val="00665F08"/>
    <w:rsid w:val="00667422"/>
    <w:rsid w:val="0066791D"/>
    <w:rsid w:val="00671E96"/>
    <w:rsid w:val="00672260"/>
    <w:rsid w:val="006745AD"/>
    <w:rsid w:val="0067708C"/>
    <w:rsid w:val="0067796A"/>
    <w:rsid w:val="0068288E"/>
    <w:rsid w:val="006874EB"/>
    <w:rsid w:val="00690388"/>
    <w:rsid w:val="00691973"/>
    <w:rsid w:val="00692314"/>
    <w:rsid w:val="00694639"/>
    <w:rsid w:val="0069616B"/>
    <w:rsid w:val="006975FD"/>
    <w:rsid w:val="006A0C53"/>
    <w:rsid w:val="006A1C01"/>
    <w:rsid w:val="006A3644"/>
    <w:rsid w:val="006A4FD0"/>
    <w:rsid w:val="006B2928"/>
    <w:rsid w:val="006B3D49"/>
    <w:rsid w:val="006B56F9"/>
    <w:rsid w:val="006B5D13"/>
    <w:rsid w:val="006B6EC0"/>
    <w:rsid w:val="006B73E1"/>
    <w:rsid w:val="006C0229"/>
    <w:rsid w:val="006C16A8"/>
    <w:rsid w:val="006C4842"/>
    <w:rsid w:val="006D0048"/>
    <w:rsid w:val="006D0CA6"/>
    <w:rsid w:val="006D1FB1"/>
    <w:rsid w:val="006D3576"/>
    <w:rsid w:val="006D3FA9"/>
    <w:rsid w:val="006D47DC"/>
    <w:rsid w:val="006D78FA"/>
    <w:rsid w:val="006E4A9D"/>
    <w:rsid w:val="006F085D"/>
    <w:rsid w:val="006F0C02"/>
    <w:rsid w:val="006F1DB3"/>
    <w:rsid w:val="006F2664"/>
    <w:rsid w:val="006F4140"/>
    <w:rsid w:val="006F449D"/>
    <w:rsid w:val="006F67CB"/>
    <w:rsid w:val="006F68B6"/>
    <w:rsid w:val="0070227A"/>
    <w:rsid w:val="007043EE"/>
    <w:rsid w:val="00705408"/>
    <w:rsid w:val="00706FAB"/>
    <w:rsid w:val="007072BC"/>
    <w:rsid w:val="00707EF9"/>
    <w:rsid w:val="00713808"/>
    <w:rsid w:val="0071443D"/>
    <w:rsid w:val="007164F4"/>
    <w:rsid w:val="007215A1"/>
    <w:rsid w:val="00721841"/>
    <w:rsid w:val="00726F20"/>
    <w:rsid w:val="00732A7A"/>
    <w:rsid w:val="00737DC5"/>
    <w:rsid w:val="0074201B"/>
    <w:rsid w:val="00745946"/>
    <w:rsid w:val="007471AD"/>
    <w:rsid w:val="00754D18"/>
    <w:rsid w:val="00754FC7"/>
    <w:rsid w:val="00760328"/>
    <w:rsid w:val="00761277"/>
    <w:rsid w:val="00762344"/>
    <w:rsid w:val="00766789"/>
    <w:rsid w:val="0077363C"/>
    <w:rsid w:val="007751BD"/>
    <w:rsid w:val="00780FAD"/>
    <w:rsid w:val="00782461"/>
    <w:rsid w:val="007829D9"/>
    <w:rsid w:val="00795835"/>
    <w:rsid w:val="007A1DD1"/>
    <w:rsid w:val="007A3AF1"/>
    <w:rsid w:val="007A3D7E"/>
    <w:rsid w:val="007A4347"/>
    <w:rsid w:val="007A7D5D"/>
    <w:rsid w:val="007B4815"/>
    <w:rsid w:val="007B7245"/>
    <w:rsid w:val="007C02BD"/>
    <w:rsid w:val="007C22A4"/>
    <w:rsid w:val="007C3A53"/>
    <w:rsid w:val="007C4E4F"/>
    <w:rsid w:val="007C523E"/>
    <w:rsid w:val="007C6D36"/>
    <w:rsid w:val="007C7EA5"/>
    <w:rsid w:val="007D0344"/>
    <w:rsid w:val="007D19AE"/>
    <w:rsid w:val="007D34F6"/>
    <w:rsid w:val="007D3710"/>
    <w:rsid w:val="007D4BCF"/>
    <w:rsid w:val="007E319C"/>
    <w:rsid w:val="007E4309"/>
    <w:rsid w:val="007E6702"/>
    <w:rsid w:val="007F3FA2"/>
    <w:rsid w:val="007F42EF"/>
    <w:rsid w:val="007F7F24"/>
    <w:rsid w:val="008037C4"/>
    <w:rsid w:val="00806161"/>
    <w:rsid w:val="00806EB0"/>
    <w:rsid w:val="00810298"/>
    <w:rsid w:val="00812484"/>
    <w:rsid w:val="00813E08"/>
    <w:rsid w:val="008150B3"/>
    <w:rsid w:val="0081608F"/>
    <w:rsid w:val="008215BD"/>
    <w:rsid w:val="008273A2"/>
    <w:rsid w:val="0083106B"/>
    <w:rsid w:val="00833CE8"/>
    <w:rsid w:val="00834B68"/>
    <w:rsid w:val="00836243"/>
    <w:rsid w:val="00840F99"/>
    <w:rsid w:val="00841F47"/>
    <w:rsid w:val="00843D60"/>
    <w:rsid w:val="00854DA5"/>
    <w:rsid w:val="00856737"/>
    <w:rsid w:val="00856EF9"/>
    <w:rsid w:val="0086110C"/>
    <w:rsid w:val="00863246"/>
    <w:rsid w:val="0086366D"/>
    <w:rsid w:val="0086405A"/>
    <w:rsid w:val="00872547"/>
    <w:rsid w:val="00873D8D"/>
    <w:rsid w:val="00873E3A"/>
    <w:rsid w:val="008752D7"/>
    <w:rsid w:val="008800AC"/>
    <w:rsid w:val="008803E0"/>
    <w:rsid w:val="0088390E"/>
    <w:rsid w:val="00886DD7"/>
    <w:rsid w:val="008923A1"/>
    <w:rsid w:val="00893314"/>
    <w:rsid w:val="00893DEC"/>
    <w:rsid w:val="00893F47"/>
    <w:rsid w:val="008968B5"/>
    <w:rsid w:val="00896EBD"/>
    <w:rsid w:val="008970F8"/>
    <w:rsid w:val="008A51D5"/>
    <w:rsid w:val="008B07F0"/>
    <w:rsid w:val="008B19AA"/>
    <w:rsid w:val="008B38FC"/>
    <w:rsid w:val="008B3C90"/>
    <w:rsid w:val="008B71F8"/>
    <w:rsid w:val="008C04D8"/>
    <w:rsid w:val="008C113D"/>
    <w:rsid w:val="008C3456"/>
    <w:rsid w:val="008C44ED"/>
    <w:rsid w:val="008C6361"/>
    <w:rsid w:val="008C6E24"/>
    <w:rsid w:val="008C6E6F"/>
    <w:rsid w:val="008D1415"/>
    <w:rsid w:val="008D744E"/>
    <w:rsid w:val="008E0032"/>
    <w:rsid w:val="008E34DE"/>
    <w:rsid w:val="008E4699"/>
    <w:rsid w:val="008E490C"/>
    <w:rsid w:val="008F0617"/>
    <w:rsid w:val="008F1D84"/>
    <w:rsid w:val="008F2F77"/>
    <w:rsid w:val="008F47EE"/>
    <w:rsid w:val="008F54DE"/>
    <w:rsid w:val="008F55B4"/>
    <w:rsid w:val="008F6907"/>
    <w:rsid w:val="00900726"/>
    <w:rsid w:val="00901EE3"/>
    <w:rsid w:val="009025C1"/>
    <w:rsid w:val="009030E2"/>
    <w:rsid w:val="00913607"/>
    <w:rsid w:val="00913BDA"/>
    <w:rsid w:val="009149E7"/>
    <w:rsid w:val="00915A63"/>
    <w:rsid w:val="00916846"/>
    <w:rsid w:val="00917ADF"/>
    <w:rsid w:val="009224A0"/>
    <w:rsid w:val="009232FC"/>
    <w:rsid w:val="009330D2"/>
    <w:rsid w:val="009401E7"/>
    <w:rsid w:val="00940624"/>
    <w:rsid w:val="0094122B"/>
    <w:rsid w:val="0094136B"/>
    <w:rsid w:val="00941DD7"/>
    <w:rsid w:val="0094304B"/>
    <w:rsid w:val="00946C60"/>
    <w:rsid w:val="0095030F"/>
    <w:rsid w:val="00951B2E"/>
    <w:rsid w:val="00960C18"/>
    <w:rsid w:val="009627BB"/>
    <w:rsid w:val="009667D8"/>
    <w:rsid w:val="00967687"/>
    <w:rsid w:val="00967B4D"/>
    <w:rsid w:val="009715DC"/>
    <w:rsid w:val="00972F0A"/>
    <w:rsid w:val="00972F2F"/>
    <w:rsid w:val="009741D6"/>
    <w:rsid w:val="00974377"/>
    <w:rsid w:val="00977603"/>
    <w:rsid w:val="00982F05"/>
    <w:rsid w:val="00983D27"/>
    <w:rsid w:val="00984471"/>
    <w:rsid w:val="00985554"/>
    <w:rsid w:val="00986528"/>
    <w:rsid w:val="0098679F"/>
    <w:rsid w:val="00992F6C"/>
    <w:rsid w:val="00995FC6"/>
    <w:rsid w:val="009A38ED"/>
    <w:rsid w:val="009A3F2C"/>
    <w:rsid w:val="009A4B80"/>
    <w:rsid w:val="009A79D1"/>
    <w:rsid w:val="009B27BB"/>
    <w:rsid w:val="009B3CC4"/>
    <w:rsid w:val="009B4286"/>
    <w:rsid w:val="009C5962"/>
    <w:rsid w:val="009C6762"/>
    <w:rsid w:val="009C7758"/>
    <w:rsid w:val="009D1600"/>
    <w:rsid w:val="009D1A4E"/>
    <w:rsid w:val="009E61A5"/>
    <w:rsid w:val="009E6651"/>
    <w:rsid w:val="009E6BF3"/>
    <w:rsid w:val="009F073E"/>
    <w:rsid w:val="009F15EA"/>
    <w:rsid w:val="009F3EAD"/>
    <w:rsid w:val="009F5D47"/>
    <w:rsid w:val="00A00A5F"/>
    <w:rsid w:val="00A033F3"/>
    <w:rsid w:val="00A04171"/>
    <w:rsid w:val="00A076EF"/>
    <w:rsid w:val="00A1183D"/>
    <w:rsid w:val="00A13656"/>
    <w:rsid w:val="00A200FD"/>
    <w:rsid w:val="00A20C28"/>
    <w:rsid w:val="00A21E6E"/>
    <w:rsid w:val="00A2302A"/>
    <w:rsid w:val="00A23798"/>
    <w:rsid w:val="00A23D94"/>
    <w:rsid w:val="00A24E31"/>
    <w:rsid w:val="00A24F59"/>
    <w:rsid w:val="00A262E6"/>
    <w:rsid w:val="00A311F8"/>
    <w:rsid w:val="00A312B7"/>
    <w:rsid w:val="00A31E4E"/>
    <w:rsid w:val="00A32414"/>
    <w:rsid w:val="00A32E77"/>
    <w:rsid w:val="00A367D1"/>
    <w:rsid w:val="00A40949"/>
    <w:rsid w:val="00A4146B"/>
    <w:rsid w:val="00A43822"/>
    <w:rsid w:val="00A45EC1"/>
    <w:rsid w:val="00A567D6"/>
    <w:rsid w:val="00A57FA7"/>
    <w:rsid w:val="00A609BB"/>
    <w:rsid w:val="00A631A3"/>
    <w:rsid w:val="00A650F7"/>
    <w:rsid w:val="00A763C6"/>
    <w:rsid w:val="00A76F1E"/>
    <w:rsid w:val="00A809C9"/>
    <w:rsid w:val="00A82B50"/>
    <w:rsid w:val="00A85C4F"/>
    <w:rsid w:val="00A90822"/>
    <w:rsid w:val="00A91FED"/>
    <w:rsid w:val="00A92052"/>
    <w:rsid w:val="00A9344B"/>
    <w:rsid w:val="00A94EAA"/>
    <w:rsid w:val="00A97652"/>
    <w:rsid w:val="00A97C0F"/>
    <w:rsid w:val="00AA11A0"/>
    <w:rsid w:val="00AA2A81"/>
    <w:rsid w:val="00AA2C33"/>
    <w:rsid w:val="00AA37BB"/>
    <w:rsid w:val="00AA4DFD"/>
    <w:rsid w:val="00AA4F12"/>
    <w:rsid w:val="00AA4FD5"/>
    <w:rsid w:val="00AA64D7"/>
    <w:rsid w:val="00AB097B"/>
    <w:rsid w:val="00AB3916"/>
    <w:rsid w:val="00AC0CEB"/>
    <w:rsid w:val="00AC22DC"/>
    <w:rsid w:val="00AC6C28"/>
    <w:rsid w:val="00AC7C83"/>
    <w:rsid w:val="00AD3025"/>
    <w:rsid w:val="00AD3140"/>
    <w:rsid w:val="00AD3917"/>
    <w:rsid w:val="00AD67CC"/>
    <w:rsid w:val="00AE77FB"/>
    <w:rsid w:val="00AF108F"/>
    <w:rsid w:val="00AF3274"/>
    <w:rsid w:val="00AF4E64"/>
    <w:rsid w:val="00AF627D"/>
    <w:rsid w:val="00AF6C3F"/>
    <w:rsid w:val="00AF6D66"/>
    <w:rsid w:val="00B00E01"/>
    <w:rsid w:val="00B0257E"/>
    <w:rsid w:val="00B030C7"/>
    <w:rsid w:val="00B03E1D"/>
    <w:rsid w:val="00B04F5D"/>
    <w:rsid w:val="00B05F53"/>
    <w:rsid w:val="00B12D71"/>
    <w:rsid w:val="00B2126D"/>
    <w:rsid w:val="00B2165B"/>
    <w:rsid w:val="00B23A19"/>
    <w:rsid w:val="00B344A3"/>
    <w:rsid w:val="00B404B5"/>
    <w:rsid w:val="00B4179E"/>
    <w:rsid w:val="00B44A56"/>
    <w:rsid w:val="00B53854"/>
    <w:rsid w:val="00B55BE7"/>
    <w:rsid w:val="00B57741"/>
    <w:rsid w:val="00B62A6B"/>
    <w:rsid w:val="00B64957"/>
    <w:rsid w:val="00B71B7A"/>
    <w:rsid w:val="00B71C77"/>
    <w:rsid w:val="00B72F82"/>
    <w:rsid w:val="00B73DCF"/>
    <w:rsid w:val="00B81C19"/>
    <w:rsid w:val="00B84452"/>
    <w:rsid w:val="00B85C98"/>
    <w:rsid w:val="00B87D80"/>
    <w:rsid w:val="00B90756"/>
    <w:rsid w:val="00B90A31"/>
    <w:rsid w:val="00B9185D"/>
    <w:rsid w:val="00B92FA7"/>
    <w:rsid w:val="00B9336E"/>
    <w:rsid w:val="00B96D3D"/>
    <w:rsid w:val="00BA3363"/>
    <w:rsid w:val="00BA41B7"/>
    <w:rsid w:val="00BA5C41"/>
    <w:rsid w:val="00BA5DD8"/>
    <w:rsid w:val="00BB03F4"/>
    <w:rsid w:val="00BB1384"/>
    <w:rsid w:val="00BB19D2"/>
    <w:rsid w:val="00BB7918"/>
    <w:rsid w:val="00BC023D"/>
    <w:rsid w:val="00BC213A"/>
    <w:rsid w:val="00BC3780"/>
    <w:rsid w:val="00BC3E09"/>
    <w:rsid w:val="00BC5BD7"/>
    <w:rsid w:val="00BD674D"/>
    <w:rsid w:val="00BD79DA"/>
    <w:rsid w:val="00BE3422"/>
    <w:rsid w:val="00BE3990"/>
    <w:rsid w:val="00BE57EE"/>
    <w:rsid w:val="00BF106F"/>
    <w:rsid w:val="00BF39CF"/>
    <w:rsid w:val="00BF3F7D"/>
    <w:rsid w:val="00C00119"/>
    <w:rsid w:val="00C04DB7"/>
    <w:rsid w:val="00C05516"/>
    <w:rsid w:val="00C11F9F"/>
    <w:rsid w:val="00C148DF"/>
    <w:rsid w:val="00C2316A"/>
    <w:rsid w:val="00C31F00"/>
    <w:rsid w:val="00C34066"/>
    <w:rsid w:val="00C34BBC"/>
    <w:rsid w:val="00C3546C"/>
    <w:rsid w:val="00C3700D"/>
    <w:rsid w:val="00C3783E"/>
    <w:rsid w:val="00C37C88"/>
    <w:rsid w:val="00C416A2"/>
    <w:rsid w:val="00C53FA5"/>
    <w:rsid w:val="00C54715"/>
    <w:rsid w:val="00C557E8"/>
    <w:rsid w:val="00C55A59"/>
    <w:rsid w:val="00C56A17"/>
    <w:rsid w:val="00C57946"/>
    <w:rsid w:val="00C62BF5"/>
    <w:rsid w:val="00C6462E"/>
    <w:rsid w:val="00C67BBA"/>
    <w:rsid w:val="00C7113F"/>
    <w:rsid w:val="00C75215"/>
    <w:rsid w:val="00C803BF"/>
    <w:rsid w:val="00C81489"/>
    <w:rsid w:val="00C85359"/>
    <w:rsid w:val="00C86B04"/>
    <w:rsid w:val="00C8778E"/>
    <w:rsid w:val="00C87FCD"/>
    <w:rsid w:val="00C956D1"/>
    <w:rsid w:val="00CA05E5"/>
    <w:rsid w:val="00CA21FC"/>
    <w:rsid w:val="00CA590F"/>
    <w:rsid w:val="00CA70A3"/>
    <w:rsid w:val="00CB0DE2"/>
    <w:rsid w:val="00CB1258"/>
    <w:rsid w:val="00CB1772"/>
    <w:rsid w:val="00CB30A6"/>
    <w:rsid w:val="00CB500C"/>
    <w:rsid w:val="00CB5383"/>
    <w:rsid w:val="00CC4060"/>
    <w:rsid w:val="00CC4373"/>
    <w:rsid w:val="00CD0CDF"/>
    <w:rsid w:val="00CD24E3"/>
    <w:rsid w:val="00CD36B8"/>
    <w:rsid w:val="00CD7A75"/>
    <w:rsid w:val="00CD7B84"/>
    <w:rsid w:val="00CE32C9"/>
    <w:rsid w:val="00CE32F4"/>
    <w:rsid w:val="00CE5FA9"/>
    <w:rsid w:val="00CF122C"/>
    <w:rsid w:val="00CF1252"/>
    <w:rsid w:val="00CF4A70"/>
    <w:rsid w:val="00D00A08"/>
    <w:rsid w:val="00D02291"/>
    <w:rsid w:val="00D03A5A"/>
    <w:rsid w:val="00D047CD"/>
    <w:rsid w:val="00D058F0"/>
    <w:rsid w:val="00D05C1B"/>
    <w:rsid w:val="00D060ED"/>
    <w:rsid w:val="00D06AD0"/>
    <w:rsid w:val="00D10DD8"/>
    <w:rsid w:val="00D10FB0"/>
    <w:rsid w:val="00D12680"/>
    <w:rsid w:val="00D14008"/>
    <w:rsid w:val="00D14615"/>
    <w:rsid w:val="00D221C4"/>
    <w:rsid w:val="00D25103"/>
    <w:rsid w:val="00D305DB"/>
    <w:rsid w:val="00D32C24"/>
    <w:rsid w:val="00D33106"/>
    <w:rsid w:val="00D37D50"/>
    <w:rsid w:val="00D40BF0"/>
    <w:rsid w:val="00D40C62"/>
    <w:rsid w:val="00D4505E"/>
    <w:rsid w:val="00D45410"/>
    <w:rsid w:val="00D45E3A"/>
    <w:rsid w:val="00D45F9C"/>
    <w:rsid w:val="00D50A3A"/>
    <w:rsid w:val="00D54948"/>
    <w:rsid w:val="00D54AB4"/>
    <w:rsid w:val="00D551C5"/>
    <w:rsid w:val="00D55842"/>
    <w:rsid w:val="00D635A9"/>
    <w:rsid w:val="00D64E25"/>
    <w:rsid w:val="00D672E8"/>
    <w:rsid w:val="00D74E20"/>
    <w:rsid w:val="00D757A5"/>
    <w:rsid w:val="00D75C11"/>
    <w:rsid w:val="00D817D5"/>
    <w:rsid w:val="00D81906"/>
    <w:rsid w:val="00D8199B"/>
    <w:rsid w:val="00D82087"/>
    <w:rsid w:val="00D86D83"/>
    <w:rsid w:val="00D9646A"/>
    <w:rsid w:val="00DA2F88"/>
    <w:rsid w:val="00DA3AB1"/>
    <w:rsid w:val="00DA4DFE"/>
    <w:rsid w:val="00DA5860"/>
    <w:rsid w:val="00DA651C"/>
    <w:rsid w:val="00DB3FA9"/>
    <w:rsid w:val="00DB4A0A"/>
    <w:rsid w:val="00DB5844"/>
    <w:rsid w:val="00DC042B"/>
    <w:rsid w:val="00DC1713"/>
    <w:rsid w:val="00DC5DE9"/>
    <w:rsid w:val="00DD3D1D"/>
    <w:rsid w:val="00DE3B92"/>
    <w:rsid w:val="00DE5DEA"/>
    <w:rsid w:val="00DF13C3"/>
    <w:rsid w:val="00DF17C3"/>
    <w:rsid w:val="00E004FF"/>
    <w:rsid w:val="00E0573A"/>
    <w:rsid w:val="00E05CD0"/>
    <w:rsid w:val="00E06843"/>
    <w:rsid w:val="00E06BCB"/>
    <w:rsid w:val="00E0765A"/>
    <w:rsid w:val="00E143CD"/>
    <w:rsid w:val="00E16506"/>
    <w:rsid w:val="00E20250"/>
    <w:rsid w:val="00E24B4F"/>
    <w:rsid w:val="00E25809"/>
    <w:rsid w:val="00E25E8D"/>
    <w:rsid w:val="00E260A8"/>
    <w:rsid w:val="00E27B6D"/>
    <w:rsid w:val="00E3042C"/>
    <w:rsid w:val="00E30AB8"/>
    <w:rsid w:val="00E30AD1"/>
    <w:rsid w:val="00E4041A"/>
    <w:rsid w:val="00E421CA"/>
    <w:rsid w:val="00E4454F"/>
    <w:rsid w:val="00E44F9C"/>
    <w:rsid w:val="00E45742"/>
    <w:rsid w:val="00E463EF"/>
    <w:rsid w:val="00E4777D"/>
    <w:rsid w:val="00E52E4F"/>
    <w:rsid w:val="00E53571"/>
    <w:rsid w:val="00E53594"/>
    <w:rsid w:val="00E5367A"/>
    <w:rsid w:val="00E53BBD"/>
    <w:rsid w:val="00E5426F"/>
    <w:rsid w:val="00E54A27"/>
    <w:rsid w:val="00E55C1E"/>
    <w:rsid w:val="00E61A02"/>
    <w:rsid w:val="00E6584D"/>
    <w:rsid w:val="00E66921"/>
    <w:rsid w:val="00E67C94"/>
    <w:rsid w:val="00E70944"/>
    <w:rsid w:val="00E73125"/>
    <w:rsid w:val="00E731EF"/>
    <w:rsid w:val="00E747BA"/>
    <w:rsid w:val="00E806D9"/>
    <w:rsid w:val="00E80B29"/>
    <w:rsid w:val="00E8350A"/>
    <w:rsid w:val="00E91D71"/>
    <w:rsid w:val="00E93221"/>
    <w:rsid w:val="00E97700"/>
    <w:rsid w:val="00EA053C"/>
    <w:rsid w:val="00EA785F"/>
    <w:rsid w:val="00EA7D48"/>
    <w:rsid w:val="00EB1471"/>
    <w:rsid w:val="00EB2CDB"/>
    <w:rsid w:val="00EB3A63"/>
    <w:rsid w:val="00EB7952"/>
    <w:rsid w:val="00EC3252"/>
    <w:rsid w:val="00ED44B9"/>
    <w:rsid w:val="00ED4BD3"/>
    <w:rsid w:val="00ED50AF"/>
    <w:rsid w:val="00ED54F2"/>
    <w:rsid w:val="00EE02AF"/>
    <w:rsid w:val="00EE1CEB"/>
    <w:rsid w:val="00EE1F2D"/>
    <w:rsid w:val="00EE514E"/>
    <w:rsid w:val="00EE64EB"/>
    <w:rsid w:val="00EF56FF"/>
    <w:rsid w:val="00F012CD"/>
    <w:rsid w:val="00F069B1"/>
    <w:rsid w:val="00F07977"/>
    <w:rsid w:val="00F10784"/>
    <w:rsid w:val="00F11252"/>
    <w:rsid w:val="00F11FF9"/>
    <w:rsid w:val="00F14822"/>
    <w:rsid w:val="00F15AB0"/>
    <w:rsid w:val="00F17A77"/>
    <w:rsid w:val="00F21331"/>
    <w:rsid w:val="00F22499"/>
    <w:rsid w:val="00F22B85"/>
    <w:rsid w:val="00F2374C"/>
    <w:rsid w:val="00F2520D"/>
    <w:rsid w:val="00F2524C"/>
    <w:rsid w:val="00F30B88"/>
    <w:rsid w:val="00F310D2"/>
    <w:rsid w:val="00F3148A"/>
    <w:rsid w:val="00F32775"/>
    <w:rsid w:val="00F36041"/>
    <w:rsid w:val="00F369A3"/>
    <w:rsid w:val="00F44C0F"/>
    <w:rsid w:val="00F45347"/>
    <w:rsid w:val="00F455B7"/>
    <w:rsid w:val="00F4798D"/>
    <w:rsid w:val="00F519B4"/>
    <w:rsid w:val="00F51ABE"/>
    <w:rsid w:val="00F54ADE"/>
    <w:rsid w:val="00F5763E"/>
    <w:rsid w:val="00F60B89"/>
    <w:rsid w:val="00F62056"/>
    <w:rsid w:val="00F63971"/>
    <w:rsid w:val="00F6593F"/>
    <w:rsid w:val="00F70834"/>
    <w:rsid w:val="00F71C16"/>
    <w:rsid w:val="00F7273F"/>
    <w:rsid w:val="00F740EE"/>
    <w:rsid w:val="00F74936"/>
    <w:rsid w:val="00F7539A"/>
    <w:rsid w:val="00F763F7"/>
    <w:rsid w:val="00F829AC"/>
    <w:rsid w:val="00F8303C"/>
    <w:rsid w:val="00F84F1B"/>
    <w:rsid w:val="00F86028"/>
    <w:rsid w:val="00F87EDB"/>
    <w:rsid w:val="00F91256"/>
    <w:rsid w:val="00F91264"/>
    <w:rsid w:val="00F912A3"/>
    <w:rsid w:val="00FA5F53"/>
    <w:rsid w:val="00FA731C"/>
    <w:rsid w:val="00FA73A9"/>
    <w:rsid w:val="00FB2177"/>
    <w:rsid w:val="00FB21C8"/>
    <w:rsid w:val="00FC0CAA"/>
    <w:rsid w:val="00FC570B"/>
    <w:rsid w:val="00FD0DA8"/>
    <w:rsid w:val="00FD2D16"/>
    <w:rsid w:val="00FD5920"/>
    <w:rsid w:val="00FE1BE8"/>
    <w:rsid w:val="00FE227A"/>
    <w:rsid w:val="00FE35E0"/>
    <w:rsid w:val="00FE40C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FA2F"/>
  <w15:chartTrackingRefBased/>
  <w15:docId w15:val="{AC787C5B-278D-45D4-8FCE-5E682AF2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16377"/>
    <w:pPr>
      <w:keepNext/>
      <w:keepLines/>
      <w:spacing w:before="360" w:after="360"/>
      <w:outlineLvl w:val="0"/>
    </w:pPr>
    <w:rPr>
      <w:rFonts w:ascii="Arial" w:eastAsiaTheme="majorEastAsia" w:hAnsi="Arial" w:cs="Times New Roman (Headings CS)"/>
      <w:b/>
      <w:caps/>
      <w:szCs w:val="32"/>
    </w:rPr>
  </w:style>
  <w:style w:type="paragraph" w:styleId="Heading2">
    <w:name w:val="heading 2"/>
    <w:basedOn w:val="Normal"/>
    <w:next w:val="Normal"/>
    <w:link w:val="Heading2Char"/>
    <w:uiPriority w:val="9"/>
    <w:unhideWhenUsed/>
    <w:qFormat/>
    <w:rsid w:val="003E0160"/>
    <w:pPr>
      <w:keepNext/>
      <w:keepLines/>
      <w:spacing w:before="240" w:after="240"/>
      <w:outlineLvl w:val="1"/>
    </w:pPr>
    <w:rPr>
      <w:rFonts w:ascii="Arial" w:eastAsiaTheme="majorEastAsia" w:hAnsi="Arial"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A45EC1"/>
    <w:rPr>
      <w:rFonts w:ascii="Arial" w:hAnsi="Arial"/>
      <w:color w:val="auto"/>
      <w:sz w:val="24"/>
      <w:vertAlign w:val="superscript"/>
      <w:lang w:val="en-GB"/>
    </w:rPr>
  </w:style>
  <w:style w:type="table" w:styleId="TableGrid">
    <w:name w:val="Table Grid"/>
    <w:basedOn w:val="TableNormal"/>
    <w:uiPriority w:val="39"/>
    <w:rsid w:val="004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0B"/>
    <w:pPr>
      <w:ind w:left="720"/>
      <w:contextualSpacing/>
    </w:pPr>
  </w:style>
  <w:style w:type="character" w:customStyle="1" w:styleId="Heading1Char">
    <w:name w:val="Heading 1 Char"/>
    <w:basedOn w:val="DefaultParagraphFont"/>
    <w:link w:val="Heading1"/>
    <w:uiPriority w:val="9"/>
    <w:rsid w:val="00416377"/>
    <w:rPr>
      <w:rFonts w:ascii="Arial" w:eastAsiaTheme="majorEastAsia" w:hAnsi="Arial" w:cs="Times New Roman (Headings CS)"/>
      <w:b/>
      <w:caps/>
      <w:szCs w:val="32"/>
      <w:lang w:val="en-GB"/>
    </w:rPr>
  </w:style>
  <w:style w:type="paragraph" w:styleId="Header">
    <w:name w:val="header"/>
    <w:basedOn w:val="Normal"/>
    <w:link w:val="HeaderChar"/>
    <w:uiPriority w:val="99"/>
    <w:unhideWhenUsed/>
    <w:rsid w:val="00F7273F"/>
    <w:pPr>
      <w:tabs>
        <w:tab w:val="center" w:pos="4513"/>
        <w:tab w:val="right" w:pos="9026"/>
      </w:tabs>
    </w:pPr>
  </w:style>
  <w:style w:type="character" w:customStyle="1" w:styleId="HeaderChar">
    <w:name w:val="Header Char"/>
    <w:basedOn w:val="DefaultParagraphFont"/>
    <w:link w:val="Header"/>
    <w:uiPriority w:val="99"/>
    <w:rsid w:val="00F7273F"/>
    <w:rPr>
      <w:lang w:val="en-GB"/>
    </w:rPr>
  </w:style>
  <w:style w:type="paragraph" w:styleId="Footer">
    <w:name w:val="footer"/>
    <w:basedOn w:val="Normal"/>
    <w:link w:val="FooterChar"/>
    <w:uiPriority w:val="99"/>
    <w:unhideWhenUsed/>
    <w:rsid w:val="00F7273F"/>
    <w:pPr>
      <w:tabs>
        <w:tab w:val="center" w:pos="4513"/>
        <w:tab w:val="right" w:pos="9026"/>
      </w:tabs>
    </w:pPr>
  </w:style>
  <w:style w:type="character" w:customStyle="1" w:styleId="FooterChar">
    <w:name w:val="Footer Char"/>
    <w:basedOn w:val="DefaultParagraphFont"/>
    <w:link w:val="Footer"/>
    <w:uiPriority w:val="99"/>
    <w:rsid w:val="00F7273F"/>
    <w:rPr>
      <w:lang w:val="en-GB"/>
    </w:rPr>
  </w:style>
  <w:style w:type="character" w:styleId="PageNumber">
    <w:name w:val="page number"/>
    <w:basedOn w:val="DefaultParagraphFont"/>
    <w:uiPriority w:val="99"/>
    <w:semiHidden/>
    <w:unhideWhenUsed/>
    <w:rsid w:val="00F7273F"/>
  </w:style>
  <w:style w:type="paragraph" w:styleId="FootnoteText">
    <w:name w:val="footnote text"/>
    <w:basedOn w:val="Normal"/>
    <w:link w:val="FootnoteTextChar"/>
    <w:uiPriority w:val="99"/>
    <w:semiHidden/>
    <w:unhideWhenUsed/>
    <w:rsid w:val="00A45EC1"/>
    <w:pPr>
      <w:spacing w:after="1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A45EC1"/>
    <w:rPr>
      <w:rFonts w:ascii="Arial" w:hAnsi="Arial"/>
      <w:sz w:val="20"/>
      <w:szCs w:val="20"/>
      <w:lang w:val="en-GB"/>
    </w:rPr>
  </w:style>
  <w:style w:type="paragraph" w:styleId="Quote">
    <w:name w:val="Quote"/>
    <w:basedOn w:val="Normal"/>
    <w:next w:val="Normal"/>
    <w:link w:val="QuoteChar"/>
    <w:uiPriority w:val="29"/>
    <w:qFormat/>
    <w:rsid w:val="0086110C"/>
    <w:pPr>
      <w:spacing w:before="120" w:after="480"/>
      <w:ind w:left="862" w:right="862"/>
      <w:jc w:val="both"/>
    </w:pPr>
    <w:rPr>
      <w:rFonts w:ascii="Arial" w:hAnsi="Arial"/>
      <w:iCs/>
      <w:sz w:val="22"/>
    </w:rPr>
  </w:style>
  <w:style w:type="character" w:customStyle="1" w:styleId="QuoteChar">
    <w:name w:val="Quote Char"/>
    <w:basedOn w:val="DefaultParagraphFont"/>
    <w:link w:val="Quote"/>
    <w:uiPriority w:val="29"/>
    <w:rsid w:val="0086110C"/>
    <w:rPr>
      <w:rFonts w:ascii="Arial" w:hAnsi="Arial"/>
      <w:iCs/>
      <w:sz w:val="22"/>
      <w:lang w:val="en-GB"/>
    </w:rPr>
  </w:style>
  <w:style w:type="paragraph" w:styleId="BalloonText">
    <w:name w:val="Balloon Text"/>
    <w:basedOn w:val="Normal"/>
    <w:link w:val="BalloonTextChar"/>
    <w:uiPriority w:val="99"/>
    <w:semiHidden/>
    <w:unhideWhenUsed/>
    <w:rsid w:val="009149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9E7"/>
    <w:rPr>
      <w:rFonts w:ascii="Times New Roman" w:hAnsi="Times New Roman" w:cs="Times New Roman"/>
      <w:sz w:val="18"/>
      <w:szCs w:val="18"/>
      <w:lang w:val="en-GB"/>
    </w:rPr>
  </w:style>
  <w:style w:type="character" w:customStyle="1" w:styleId="Heading2Char">
    <w:name w:val="Heading 2 Char"/>
    <w:basedOn w:val="DefaultParagraphFont"/>
    <w:link w:val="Heading2"/>
    <w:uiPriority w:val="9"/>
    <w:rsid w:val="003E0160"/>
    <w:rPr>
      <w:rFonts w:ascii="Arial" w:eastAsiaTheme="majorEastAsia" w:hAnsi="Arial" w:cstheme="majorBidi"/>
      <w:b/>
      <w:i/>
      <w:szCs w:val="26"/>
      <w:lang w:val="en-GB"/>
    </w:rPr>
  </w:style>
  <w:style w:type="character" w:styleId="PlaceholderText">
    <w:name w:val="Placeholder Text"/>
    <w:basedOn w:val="DefaultParagraphFont"/>
    <w:uiPriority w:val="99"/>
    <w:semiHidden/>
    <w:rsid w:val="00FA5F53"/>
    <w:rPr>
      <w:color w:val="808080"/>
    </w:rPr>
  </w:style>
  <w:style w:type="character" w:customStyle="1" w:styleId="apple-converted-space">
    <w:name w:val="apple-converted-space"/>
    <w:basedOn w:val="DefaultParagraphFont"/>
    <w:rsid w:val="00DB3FA9"/>
  </w:style>
  <w:style w:type="character" w:styleId="CommentReference">
    <w:name w:val="annotation reference"/>
    <w:basedOn w:val="DefaultParagraphFont"/>
    <w:uiPriority w:val="99"/>
    <w:semiHidden/>
    <w:unhideWhenUsed/>
    <w:rsid w:val="00C803BF"/>
    <w:rPr>
      <w:sz w:val="16"/>
      <w:szCs w:val="16"/>
    </w:rPr>
  </w:style>
  <w:style w:type="paragraph" w:styleId="CommentText">
    <w:name w:val="annotation text"/>
    <w:basedOn w:val="Normal"/>
    <w:link w:val="CommentTextChar"/>
    <w:uiPriority w:val="99"/>
    <w:semiHidden/>
    <w:unhideWhenUsed/>
    <w:rsid w:val="00C803BF"/>
    <w:rPr>
      <w:sz w:val="20"/>
      <w:szCs w:val="20"/>
    </w:rPr>
  </w:style>
  <w:style w:type="character" w:customStyle="1" w:styleId="CommentTextChar">
    <w:name w:val="Comment Text Char"/>
    <w:basedOn w:val="DefaultParagraphFont"/>
    <w:link w:val="CommentText"/>
    <w:uiPriority w:val="99"/>
    <w:semiHidden/>
    <w:rsid w:val="00C803BF"/>
    <w:rPr>
      <w:sz w:val="20"/>
      <w:szCs w:val="20"/>
      <w:lang w:val="en-GB"/>
    </w:rPr>
  </w:style>
  <w:style w:type="paragraph" w:styleId="CommentSubject">
    <w:name w:val="annotation subject"/>
    <w:basedOn w:val="CommentText"/>
    <w:next w:val="CommentText"/>
    <w:link w:val="CommentSubjectChar"/>
    <w:uiPriority w:val="99"/>
    <w:semiHidden/>
    <w:unhideWhenUsed/>
    <w:rsid w:val="00C803BF"/>
    <w:rPr>
      <w:b/>
      <w:bCs/>
    </w:rPr>
  </w:style>
  <w:style w:type="character" w:customStyle="1" w:styleId="CommentSubjectChar">
    <w:name w:val="Comment Subject Char"/>
    <w:basedOn w:val="CommentTextChar"/>
    <w:link w:val="CommentSubject"/>
    <w:uiPriority w:val="99"/>
    <w:semiHidden/>
    <w:rsid w:val="00C803B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385115">
      <w:bodyDiv w:val="1"/>
      <w:marLeft w:val="0"/>
      <w:marRight w:val="0"/>
      <w:marTop w:val="0"/>
      <w:marBottom w:val="0"/>
      <w:divBdr>
        <w:top w:val="none" w:sz="0" w:space="0" w:color="auto"/>
        <w:left w:val="none" w:sz="0" w:space="0" w:color="auto"/>
        <w:bottom w:val="none" w:sz="0" w:space="0" w:color="auto"/>
        <w:right w:val="none" w:sz="0" w:space="0" w:color="auto"/>
      </w:divBdr>
    </w:div>
    <w:div w:id="20382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79097e-d4fc-4f77-a043-7e4e436e77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2E2C89217A44F80249E39A74C4B92" ma:contentTypeVersion="5" ma:contentTypeDescription="Create a new document." ma:contentTypeScope="" ma:versionID="323b14d56a5b0bfebbd42104e7d0767d">
  <xsd:schema xmlns:xsd="http://www.w3.org/2001/XMLSchema" xmlns:xs="http://www.w3.org/2001/XMLSchema" xmlns:p="http://schemas.microsoft.com/office/2006/metadata/properties" xmlns:ns3="a579097e-d4fc-4f77-a043-7e4e436e772b" targetNamespace="http://schemas.microsoft.com/office/2006/metadata/properties" ma:root="true" ma:fieldsID="cdb271123ee983a469de397a10beed55" ns3:_="">
    <xsd:import namespace="a579097e-d4fc-4f77-a043-7e4e436e77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9097e-d4fc-4f77-a043-7e4e436e7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C6DD5-888E-4BA4-9862-132B729BFC3C}">
  <ds:schemaRefs>
    <ds:schemaRef ds:uri="http://schemas.microsoft.com/office/2006/metadata/properties"/>
    <ds:schemaRef ds:uri="http://schemas.microsoft.com/office/infopath/2007/PartnerControls"/>
    <ds:schemaRef ds:uri="a579097e-d4fc-4f77-a043-7e4e436e772b"/>
  </ds:schemaRefs>
</ds:datastoreItem>
</file>

<file path=customXml/itemProps2.xml><?xml version="1.0" encoding="utf-8"?>
<ds:datastoreItem xmlns:ds="http://schemas.openxmlformats.org/officeDocument/2006/customXml" ds:itemID="{7640BDE6-AF31-4819-A199-C263E227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9097e-d4fc-4f77-a043-7e4e436e7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3B46D-63C7-44AF-9129-677AFA6E85BA}">
  <ds:schemaRefs>
    <ds:schemaRef ds:uri="http://schemas.openxmlformats.org/officeDocument/2006/bibliography"/>
  </ds:schemaRefs>
</ds:datastoreItem>
</file>

<file path=customXml/itemProps4.xml><?xml version="1.0" encoding="utf-8"?>
<ds:datastoreItem xmlns:ds="http://schemas.openxmlformats.org/officeDocument/2006/customXml" ds:itemID="{3028E2E0-FCBA-47C8-BB31-D0CD5AB9B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Sechaba Mohapi</dc:creator>
  <cp:keywords/>
  <dc:description/>
  <cp:lastModifiedBy>sathish sarshan  mohan</cp:lastModifiedBy>
  <cp:revision>4</cp:revision>
  <cp:lastPrinted>2021-01-26T07:19:00Z</cp:lastPrinted>
  <dcterms:created xsi:type="dcterms:W3CDTF">2024-03-25T13:46:00Z</dcterms:created>
  <dcterms:modified xsi:type="dcterms:W3CDTF">2024-03-25T19:08:00Z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0x010100C782E2C89217A44F80249E39A74C4B92</vt:lpwstr>
  </property>
</Properties>
</file>