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62B6B" w14:textId="77777777" w:rsidR="00C835C2" w:rsidRPr="00B178EF" w:rsidRDefault="00C835C2" w:rsidP="00C835C2">
      <w:pPr>
        <w:rPr>
          <w:rFonts w:ascii="Arial" w:hAnsi="Arial" w:cs="Arial"/>
          <w:b/>
        </w:rPr>
      </w:pPr>
      <w:r>
        <w:rPr>
          <w:rFonts w:ascii="Arial" w:hAnsi="Arial" w:cs="Arial"/>
          <w:lang w:val="en-US"/>
        </w:rPr>
        <w:t xml:space="preserve">                                      </w:t>
      </w:r>
      <w:r>
        <w:rPr>
          <w:rFonts w:ascii="Arial" w:hAnsi="Arial" w:cs="Arial"/>
          <w:b/>
        </w:rPr>
        <w:t>REPUBLIC OF SOUT</w:t>
      </w:r>
      <w:r w:rsidRPr="00B178EF">
        <w:rPr>
          <w:rFonts w:ascii="Arial" w:hAnsi="Arial" w:cs="Arial"/>
          <w:b/>
        </w:rPr>
        <w:t>H AFRICA</w:t>
      </w:r>
    </w:p>
    <w:p w14:paraId="7CCC80F5" w14:textId="77777777" w:rsidR="00C835C2" w:rsidRPr="00B178EF" w:rsidRDefault="00C835C2" w:rsidP="00C835C2">
      <w:pPr>
        <w:jc w:val="center"/>
        <w:rPr>
          <w:rFonts w:ascii="Arial" w:hAnsi="Arial" w:cs="Arial"/>
          <w:b/>
        </w:rPr>
      </w:pPr>
      <w:r w:rsidRPr="00B178EF">
        <w:rPr>
          <w:rFonts w:ascii="Arial" w:hAnsi="Arial" w:cs="Arial"/>
        </w:rPr>
        <w:t xml:space="preserve">          </w:t>
      </w:r>
      <w:r w:rsidRPr="00B178EF">
        <w:rPr>
          <w:rFonts w:ascii="Arial" w:hAnsi="Arial" w:cs="Arial"/>
          <w:noProof/>
          <w:lang w:val="en-ZA" w:eastAsia="en-ZA"/>
        </w:rPr>
        <w:drawing>
          <wp:inline distT="0" distB="0" distL="0" distR="0" wp14:anchorId="7F12DE89" wp14:editId="11F0292E">
            <wp:extent cx="1438275" cy="14382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B178EF">
        <w:rPr>
          <w:noProof/>
          <w:lang w:val="en-ZA" w:eastAsia="en-ZA"/>
        </w:rPr>
        <mc:AlternateContent>
          <mc:Choice Requires="wpg">
            <w:drawing>
              <wp:inline distT="0" distB="0" distL="0" distR="0" wp14:anchorId="4568837B" wp14:editId="5588E13F">
                <wp:extent cx="673100" cy="863600"/>
                <wp:effectExtent l="0" t="0" r="3175"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863600"/>
                          <a:chOff x="0" y="0"/>
                          <a:chExt cx="1060" cy="1360"/>
                        </a:xfrm>
                      </wpg:grpSpPr>
                      <wps:wsp>
                        <wps:cNvPr id="4" name="AutoShape 3"/>
                        <wps:cNvSpPr>
                          <a:spLocks noChangeAspect="1" noChangeArrowheads="1"/>
                        </wps:cNvSpPr>
                        <wps:spPr bwMode="auto">
                          <a:xfrm>
                            <a:off x="0" y="0"/>
                            <a:ext cx="10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92E957" id="Group 3" o:spid="_x0000_s1026" style="width:53pt;height:68pt;mso-position-horizontal-relative:char;mso-position-vertical-relative:line" coordsize="106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">
                <v:rect id="AutoShape 3" o:spid="_x0000_s1027" style="position:absolute;width:106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w10:anchorlock/>
              </v:group>
            </w:pict>
          </mc:Fallback>
        </mc:AlternateContent>
      </w:r>
    </w:p>
    <w:p w14:paraId="4C7C3615" w14:textId="77777777" w:rsidR="00C835C2" w:rsidRPr="00B178EF" w:rsidRDefault="00C835C2" w:rsidP="00C835C2">
      <w:pPr>
        <w:jc w:val="center"/>
        <w:rPr>
          <w:rFonts w:ascii="Arial" w:hAnsi="Arial" w:cs="Arial"/>
          <w:b/>
        </w:rPr>
      </w:pPr>
      <w:r w:rsidRPr="00B178EF">
        <w:rPr>
          <w:rFonts w:ascii="Arial" w:hAnsi="Arial" w:cs="Arial"/>
          <w:b/>
        </w:rPr>
        <w:t xml:space="preserve">IN THE HIGH COURT OF SOUTH AFRICA, </w:t>
      </w:r>
    </w:p>
    <w:p w14:paraId="54339FDD" w14:textId="507F81D0" w:rsidR="00C835C2" w:rsidRPr="00B178EF" w:rsidRDefault="00C835C2" w:rsidP="00C835C2">
      <w:pPr>
        <w:jc w:val="center"/>
        <w:rPr>
          <w:rFonts w:ascii="Arial" w:hAnsi="Arial" w:cs="Arial"/>
          <w:b/>
        </w:rPr>
      </w:pPr>
      <w:r w:rsidRPr="00B178EF">
        <w:rPr>
          <w:rFonts w:ascii="Arial" w:hAnsi="Arial" w:cs="Arial"/>
          <w:b/>
        </w:rPr>
        <w:t xml:space="preserve">GAUTENG DIVISION, </w:t>
      </w:r>
      <w:r w:rsidR="000802A6">
        <w:rPr>
          <w:rFonts w:ascii="Arial" w:hAnsi="Arial" w:cs="Arial"/>
          <w:b/>
        </w:rPr>
        <w:t>JOHANNESBURG</w:t>
      </w:r>
    </w:p>
    <w:p w14:paraId="5B88D220" w14:textId="77777777" w:rsidR="00C835C2" w:rsidRPr="00B178EF" w:rsidRDefault="00C835C2" w:rsidP="00C835C2">
      <w:pPr>
        <w:rPr>
          <w:rFonts w:ascii="Arial" w:hAnsi="Arial" w:cs="Arial"/>
          <w:b/>
        </w:rPr>
      </w:pPr>
    </w:p>
    <w:p w14:paraId="2AF20498" w14:textId="1B86AB5B" w:rsidR="00C835C2" w:rsidRPr="00B178EF" w:rsidRDefault="00C835C2" w:rsidP="00C835C2">
      <w:pPr>
        <w:jc w:val="center"/>
        <w:rPr>
          <w:rFonts w:ascii="Arial" w:hAnsi="Arial" w:cs="Arial"/>
          <w:b/>
        </w:rPr>
      </w:pPr>
      <w:r w:rsidRPr="00B178EF">
        <w:rPr>
          <w:noProof/>
          <w:lang w:val="en-ZA" w:eastAsia="en-ZA"/>
        </w:rPr>
        <mc:AlternateContent>
          <mc:Choice Requires="wps">
            <w:drawing>
              <wp:anchor distT="0" distB="0" distL="114300" distR="114300" simplePos="0" relativeHeight="251659264" behindDoc="0" locked="0" layoutInCell="1" allowOverlap="1" wp14:anchorId="7F360660" wp14:editId="569F7E92">
                <wp:simplePos x="0" y="0"/>
                <wp:positionH relativeFrom="column">
                  <wp:posOffset>213360</wp:posOffset>
                </wp:positionH>
                <wp:positionV relativeFrom="paragraph">
                  <wp:posOffset>114300</wp:posOffset>
                </wp:positionV>
                <wp:extent cx="3314700" cy="1371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47C018F4" w14:textId="77777777" w:rsidR="00C835C2" w:rsidRDefault="00C835C2" w:rsidP="00C835C2">
                            <w:pPr>
                              <w:jc w:val="center"/>
                              <w:rPr>
                                <w:rFonts w:ascii="Century Gothic" w:hAnsi="Century Gothic"/>
                                <w:b/>
                                <w:sz w:val="20"/>
                                <w:szCs w:val="20"/>
                              </w:rPr>
                            </w:pPr>
                          </w:p>
                          <w:p w14:paraId="2F8A2CBF" w14:textId="780D5235" w:rsidR="00C835C2" w:rsidRDefault="00620B9E" w:rsidP="00620B9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15A75">
                              <w:rPr>
                                <w:rFonts w:ascii="Century Gothic" w:hAnsi="Century Gothic"/>
                                <w:sz w:val="20"/>
                                <w:szCs w:val="20"/>
                              </w:rPr>
                              <w:t xml:space="preserve">REPORTABLE:   </w:t>
                            </w:r>
                            <w:r w:rsidR="009C34E1">
                              <w:rPr>
                                <w:rFonts w:ascii="Century Gothic" w:hAnsi="Century Gothic"/>
                                <w:sz w:val="20"/>
                                <w:szCs w:val="20"/>
                              </w:rPr>
                              <w:t>No</w:t>
                            </w:r>
                          </w:p>
                          <w:p w14:paraId="62E368A3" w14:textId="416919BD" w:rsidR="00C835C2" w:rsidRDefault="00620B9E" w:rsidP="00620B9E">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15A75">
                              <w:rPr>
                                <w:rFonts w:ascii="Century Gothic" w:hAnsi="Century Gothic"/>
                                <w:sz w:val="20"/>
                                <w:szCs w:val="20"/>
                              </w:rPr>
                              <w:t xml:space="preserve">OF INTEREST TO OTHER JUDGES: </w:t>
                            </w:r>
                            <w:r w:rsidR="009C34E1">
                              <w:rPr>
                                <w:rFonts w:ascii="Century Gothic" w:hAnsi="Century Gothic"/>
                                <w:sz w:val="20"/>
                                <w:szCs w:val="20"/>
                              </w:rPr>
                              <w:t>No</w:t>
                            </w:r>
                          </w:p>
                          <w:p w14:paraId="49321978" w14:textId="2EFD2B0B" w:rsidR="00C835C2" w:rsidRDefault="00620B9E" w:rsidP="00620B9E">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215A75">
                              <w:rPr>
                                <w:rFonts w:ascii="Century Gothic" w:hAnsi="Century Gothic"/>
                                <w:sz w:val="20"/>
                                <w:szCs w:val="20"/>
                              </w:rPr>
                              <w:t>REVISED</w:t>
                            </w:r>
                            <w:r w:rsidR="0081214D">
                              <w:rPr>
                                <w:rFonts w:ascii="Century Gothic" w:hAnsi="Century Gothic"/>
                                <w:sz w:val="20"/>
                                <w:szCs w:val="20"/>
                              </w:rPr>
                              <w:t>: No</w:t>
                            </w:r>
                          </w:p>
                          <w:p w14:paraId="2207EBC9" w14:textId="77777777" w:rsidR="00C835C2" w:rsidRDefault="00C835C2" w:rsidP="00C835C2">
                            <w:pPr>
                              <w:rPr>
                                <w:rFonts w:ascii="Century Gothic" w:hAnsi="Century Gothic"/>
                                <w:b/>
                                <w:sz w:val="18"/>
                                <w:szCs w:val="18"/>
                              </w:rPr>
                            </w:pPr>
                          </w:p>
                          <w:p w14:paraId="24ED33AC" w14:textId="17483D97" w:rsidR="00C835C2" w:rsidRDefault="00C835C2" w:rsidP="00C835C2">
                            <w:pPr>
                              <w:rPr>
                                <w:rFonts w:ascii="Century Gothic" w:hAnsi="Century Gothic"/>
                                <w:b/>
                                <w:sz w:val="18"/>
                                <w:szCs w:val="18"/>
                              </w:rPr>
                            </w:pPr>
                            <w:r>
                              <w:rPr>
                                <w:rFonts w:ascii="Century Gothic" w:hAnsi="Century Gothic"/>
                                <w:b/>
                                <w:sz w:val="18"/>
                                <w:szCs w:val="18"/>
                              </w:rPr>
                              <w:t xml:space="preserve">         </w:t>
                            </w:r>
                            <w:r w:rsidR="0081214D">
                              <w:rPr>
                                <w:rFonts w:ascii="Century Gothic" w:hAnsi="Century Gothic"/>
                                <w:b/>
                                <w:sz w:val="18"/>
                                <w:szCs w:val="18"/>
                              </w:rPr>
                              <w:t>2</w:t>
                            </w:r>
                            <w:r w:rsidR="006A1F09">
                              <w:rPr>
                                <w:rFonts w:ascii="Century Gothic" w:hAnsi="Century Gothic"/>
                                <w:b/>
                                <w:sz w:val="18"/>
                                <w:szCs w:val="18"/>
                              </w:rPr>
                              <w:t xml:space="preserve">6 MARCH </w:t>
                            </w:r>
                            <w:r w:rsidR="0081214D">
                              <w:rPr>
                                <w:rFonts w:ascii="Century Gothic" w:hAnsi="Century Gothic"/>
                                <w:b/>
                                <w:sz w:val="18"/>
                                <w:szCs w:val="18"/>
                              </w:rPr>
                              <w:t>202</w:t>
                            </w:r>
                            <w:r w:rsidR="006A1F09">
                              <w:rPr>
                                <w:rFonts w:ascii="Century Gothic" w:hAnsi="Century Gothic"/>
                                <w:b/>
                                <w:sz w:val="18"/>
                                <w:szCs w:val="18"/>
                              </w:rPr>
                              <w:t>4</w:t>
                            </w:r>
                            <w:r>
                              <w:rPr>
                                <w:rFonts w:ascii="Century Gothic" w:hAnsi="Century Gothic"/>
                                <w:b/>
                                <w:sz w:val="18"/>
                                <w:szCs w:val="18"/>
                              </w:rPr>
                              <w:tab/>
                            </w:r>
                            <w:r>
                              <w:rPr>
                                <w:rFonts w:ascii="Century Gothic" w:hAnsi="Century Gothic"/>
                                <w:b/>
                                <w:sz w:val="18"/>
                                <w:szCs w:val="18"/>
                              </w:rPr>
                              <w:tab/>
                              <w:t>………………………...</w:t>
                            </w:r>
                          </w:p>
                          <w:p w14:paraId="3AE4030F" w14:textId="77777777" w:rsidR="00C835C2" w:rsidRDefault="00C835C2" w:rsidP="00C835C2">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60660" id="_x0000_t202" coordsize="21600,21600" o:spt="202" path="m,l,21600r21600,l21600,xe">
                <v:stroke joinstyle="miter"/>
                <v:path gradientshapeok="t" o:connecttype="rect"/>
              </v:shapetype>
              <v:shape id="Text Box 7" o:spid="_x0000_s1026" type="#_x0000_t202" style="position:absolute;left:0;text-align:left;margin-left:16.8pt;margin-top:9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">
                <v:textbox>
                  <w:txbxContent>
                    <w:p w14:paraId="47C018F4" w14:textId="77777777" w:rsidR="00C835C2" w:rsidRDefault="00C835C2" w:rsidP="00C835C2">
                      <w:pPr>
                        <w:jc w:val="center"/>
                        <w:rPr>
                          <w:rFonts w:ascii="Century Gothic" w:hAnsi="Century Gothic"/>
                          <w:b/>
                          <w:sz w:val="20"/>
                          <w:szCs w:val="20"/>
                        </w:rPr>
                      </w:pPr>
                    </w:p>
                    <w:p w14:paraId="2F8A2CBF" w14:textId="780D5235" w:rsidR="00C835C2" w:rsidRDefault="00620B9E" w:rsidP="00620B9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15A75">
                        <w:rPr>
                          <w:rFonts w:ascii="Century Gothic" w:hAnsi="Century Gothic"/>
                          <w:sz w:val="20"/>
                          <w:szCs w:val="20"/>
                        </w:rPr>
                        <w:t xml:space="preserve">REPORTABLE:   </w:t>
                      </w:r>
                      <w:r w:rsidR="009C34E1">
                        <w:rPr>
                          <w:rFonts w:ascii="Century Gothic" w:hAnsi="Century Gothic"/>
                          <w:sz w:val="20"/>
                          <w:szCs w:val="20"/>
                        </w:rPr>
                        <w:t>No</w:t>
                      </w:r>
                    </w:p>
                    <w:p w14:paraId="62E368A3" w14:textId="416919BD" w:rsidR="00C835C2" w:rsidRDefault="00620B9E" w:rsidP="00620B9E">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15A75">
                        <w:rPr>
                          <w:rFonts w:ascii="Century Gothic" w:hAnsi="Century Gothic"/>
                          <w:sz w:val="20"/>
                          <w:szCs w:val="20"/>
                        </w:rPr>
                        <w:t xml:space="preserve">OF INTEREST TO OTHER JUDGES: </w:t>
                      </w:r>
                      <w:r w:rsidR="009C34E1">
                        <w:rPr>
                          <w:rFonts w:ascii="Century Gothic" w:hAnsi="Century Gothic"/>
                          <w:sz w:val="20"/>
                          <w:szCs w:val="20"/>
                        </w:rPr>
                        <w:t>No</w:t>
                      </w:r>
                    </w:p>
                    <w:p w14:paraId="49321978" w14:textId="2EFD2B0B" w:rsidR="00C835C2" w:rsidRDefault="00620B9E" w:rsidP="00620B9E">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215A75">
                        <w:rPr>
                          <w:rFonts w:ascii="Century Gothic" w:hAnsi="Century Gothic"/>
                          <w:sz w:val="20"/>
                          <w:szCs w:val="20"/>
                        </w:rPr>
                        <w:t>REVISED</w:t>
                      </w:r>
                      <w:r w:rsidR="0081214D">
                        <w:rPr>
                          <w:rFonts w:ascii="Century Gothic" w:hAnsi="Century Gothic"/>
                          <w:sz w:val="20"/>
                          <w:szCs w:val="20"/>
                        </w:rPr>
                        <w:t>: No</w:t>
                      </w:r>
                    </w:p>
                    <w:p w14:paraId="2207EBC9" w14:textId="77777777" w:rsidR="00C835C2" w:rsidRDefault="00C835C2" w:rsidP="00C835C2">
                      <w:pPr>
                        <w:rPr>
                          <w:rFonts w:ascii="Century Gothic" w:hAnsi="Century Gothic"/>
                          <w:b/>
                          <w:sz w:val="18"/>
                          <w:szCs w:val="18"/>
                        </w:rPr>
                      </w:pPr>
                    </w:p>
                    <w:p w14:paraId="24ED33AC" w14:textId="17483D97" w:rsidR="00C835C2" w:rsidRDefault="00C835C2" w:rsidP="00C835C2">
                      <w:pPr>
                        <w:rPr>
                          <w:rFonts w:ascii="Century Gothic" w:hAnsi="Century Gothic"/>
                          <w:b/>
                          <w:sz w:val="18"/>
                          <w:szCs w:val="18"/>
                        </w:rPr>
                      </w:pPr>
                      <w:r>
                        <w:rPr>
                          <w:rFonts w:ascii="Century Gothic" w:hAnsi="Century Gothic"/>
                          <w:b/>
                          <w:sz w:val="18"/>
                          <w:szCs w:val="18"/>
                        </w:rPr>
                        <w:t xml:space="preserve">         </w:t>
                      </w:r>
                      <w:r w:rsidR="0081214D">
                        <w:rPr>
                          <w:rFonts w:ascii="Century Gothic" w:hAnsi="Century Gothic"/>
                          <w:b/>
                          <w:sz w:val="18"/>
                          <w:szCs w:val="18"/>
                        </w:rPr>
                        <w:t>2</w:t>
                      </w:r>
                      <w:r w:rsidR="006A1F09">
                        <w:rPr>
                          <w:rFonts w:ascii="Century Gothic" w:hAnsi="Century Gothic"/>
                          <w:b/>
                          <w:sz w:val="18"/>
                          <w:szCs w:val="18"/>
                        </w:rPr>
                        <w:t xml:space="preserve">6 MARCH </w:t>
                      </w:r>
                      <w:r w:rsidR="0081214D">
                        <w:rPr>
                          <w:rFonts w:ascii="Century Gothic" w:hAnsi="Century Gothic"/>
                          <w:b/>
                          <w:sz w:val="18"/>
                          <w:szCs w:val="18"/>
                        </w:rPr>
                        <w:t>202</w:t>
                      </w:r>
                      <w:r w:rsidR="006A1F09">
                        <w:rPr>
                          <w:rFonts w:ascii="Century Gothic" w:hAnsi="Century Gothic"/>
                          <w:b/>
                          <w:sz w:val="18"/>
                          <w:szCs w:val="18"/>
                        </w:rPr>
                        <w:t>4</w:t>
                      </w:r>
                      <w:r>
                        <w:rPr>
                          <w:rFonts w:ascii="Century Gothic" w:hAnsi="Century Gothic"/>
                          <w:b/>
                          <w:sz w:val="18"/>
                          <w:szCs w:val="18"/>
                        </w:rPr>
                        <w:tab/>
                      </w:r>
                      <w:r>
                        <w:rPr>
                          <w:rFonts w:ascii="Century Gothic" w:hAnsi="Century Gothic"/>
                          <w:b/>
                          <w:sz w:val="18"/>
                          <w:szCs w:val="18"/>
                        </w:rPr>
                        <w:tab/>
                        <w:t>………………………...</w:t>
                      </w:r>
                    </w:p>
                    <w:p w14:paraId="3AE4030F" w14:textId="77777777" w:rsidR="00C835C2" w:rsidRDefault="00C835C2" w:rsidP="00C835C2">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r w:rsidRPr="00B178EF">
        <w:rPr>
          <w:rFonts w:ascii="Arial" w:hAnsi="Arial" w:cs="Arial"/>
          <w:b/>
        </w:rPr>
        <w:t xml:space="preserve">                                                                                Case Number: </w:t>
      </w:r>
      <w:r w:rsidR="009C34E1">
        <w:rPr>
          <w:rFonts w:ascii="Arial" w:hAnsi="Arial" w:cs="Arial"/>
          <w:b/>
        </w:rPr>
        <w:t>2022/23317</w:t>
      </w:r>
    </w:p>
    <w:p w14:paraId="21A7156F" w14:textId="77777777" w:rsidR="00C835C2" w:rsidRPr="00B178EF" w:rsidRDefault="00C835C2" w:rsidP="00215A75">
      <w:pPr>
        <w:rPr>
          <w:rFonts w:ascii="Arial" w:hAnsi="Arial" w:cs="Arial"/>
          <w:b/>
        </w:rPr>
      </w:pPr>
    </w:p>
    <w:p w14:paraId="21EE117A" w14:textId="77777777" w:rsidR="00C835C2" w:rsidRPr="00B178EF" w:rsidRDefault="00C835C2" w:rsidP="00C835C2">
      <w:pPr>
        <w:jc w:val="both"/>
        <w:rPr>
          <w:rFonts w:ascii="Arial" w:hAnsi="Arial" w:cs="Arial"/>
        </w:rPr>
      </w:pPr>
    </w:p>
    <w:p w14:paraId="45213A1B" w14:textId="77777777" w:rsidR="00C835C2" w:rsidRPr="00B178EF" w:rsidRDefault="00C835C2" w:rsidP="00C835C2">
      <w:pPr>
        <w:jc w:val="both"/>
        <w:rPr>
          <w:rFonts w:ascii="Arial" w:hAnsi="Arial" w:cs="Arial"/>
        </w:rPr>
      </w:pPr>
    </w:p>
    <w:p w14:paraId="26BEEDE9" w14:textId="77777777" w:rsidR="00C835C2" w:rsidRPr="00B178EF" w:rsidRDefault="00C835C2" w:rsidP="00C835C2">
      <w:pPr>
        <w:jc w:val="both"/>
        <w:rPr>
          <w:rFonts w:ascii="Arial" w:hAnsi="Arial" w:cs="Arial"/>
        </w:rPr>
      </w:pPr>
    </w:p>
    <w:p w14:paraId="05B9BDCB" w14:textId="77777777" w:rsidR="00C835C2" w:rsidRPr="00B178EF" w:rsidRDefault="00C835C2" w:rsidP="00C835C2">
      <w:pPr>
        <w:rPr>
          <w:rFonts w:ascii="Arial" w:hAnsi="Arial" w:cs="Arial"/>
        </w:rPr>
      </w:pPr>
    </w:p>
    <w:p w14:paraId="41B2C66C" w14:textId="77777777" w:rsidR="00C835C2" w:rsidRPr="00B178EF" w:rsidRDefault="00C835C2" w:rsidP="00C835C2">
      <w:pPr>
        <w:rPr>
          <w:rFonts w:ascii="Arial" w:hAnsi="Arial" w:cs="Arial"/>
        </w:rPr>
      </w:pPr>
    </w:p>
    <w:p w14:paraId="0273077D" w14:textId="77777777" w:rsidR="00C835C2" w:rsidRPr="00B178EF" w:rsidRDefault="00C835C2" w:rsidP="00C835C2">
      <w:pPr>
        <w:rPr>
          <w:rFonts w:ascii="Arial" w:hAnsi="Arial" w:cs="Arial"/>
        </w:rPr>
      </w:pPr>
    </w:p>
    <w:p w14:paraId="1D01FB73" w14:textId="2E36C26C" w:rsidR="00665A8B" w:rsidRPr="00B178EF" w:rsidRDefault="00665A8B" w:rsidP="00665A8B">
      <w:pPr>
        <w:rPr>
          <w:rFonts w:ascii="Arial" w:hAnsi="Arial" w:cs="Arial"/>
        </w:rPr>
      </w:pPr>
    </w:p>
    <w:p w14:paraId="14CECEA6" w14:textId="77777777" w:rsidR="009C34E1" w:rsidRDefault="009C34E1" w:rsidP="0084792C">
      <w:pPr>
        <w:rPr>
          <w:rFonts w:ascii="Arial" w:hAnsi="Arial" w:cs="Arial"/>
          <w:b/>
          <w:bCs/>
        </w:rPr>
      </w:pPr>
    </w:p>
    <w:p w14:paraId="674C882E" w14:textId="654EA2F7" w:rsidR="0084792C" w:rsidRDefault="0084792C" w:rsidP="0084792C">
      <w:pPr>
        <w:rPr>
          <w:rFonts w:ascii="Arial" w:hAnsi="Arial" w:cs="Arial"/>
          <w:b/>
          <w:bCs/>
        </w:rPr>
      </w:pPr>
      <w:r w:rsidRPr="00B178EF">
        <w:rPr>
          <w:rFonts w:ascii="Arial" w:hAnsi="Arial" w:cs="Arial"/>
          <w:b/>
          <w:bCs/>
        </w:rPr>
        <w:t>In the matter between:</w:t>
      </w:r>
    </w:p>
    <w:p w14:paraId="2E845D7F" w14:textId="77777777" w:rsidR="006A1F09" w:rsidRDefault="006A1F09" w:rsidP="0084792C">
      <w:pPr>
        <w:rPr>
          <w:rFonts w:ascii="Arial" w:hAnsi="Arial" w:cs="Arial"/>
          <w:b/>
          <w:bCs/>
        </w:rPr>
      </w:pPr>
    </w:p>
    <w:p w14:paraId="5F3D99C5" w14:textId="39C8C94C" w:rsidR="006A1F09" w:rsidRDefault="006A1F09" w:rsidP="006A1F09">
      <w:pPr>
        <w:rPr>
          <w:rFonts w:ascii="Arial" w:hAnsi="Arial" w:cs="Arial"/>
        </w:rPr>
      </w:pPr>
      <w:r>
        <w:rPr>
          <w:rFonts w:ascii="Arial" w:hAnsi="Arial" w:cs="Arial"/>
          <w:b/>
          <w:bCs/>
        </w:rPr>
        <w:t>WOLFGANG WOHLKINGER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9C34E1">
        <w:rPr>
          <w:rFonts w:ascii="Arial" w:hAnsi="Arial" w:cs="Arial"/>
        </w:rPr>
        <w:t xml:space="preserve">First </w:t>
      </w:r>
      <w:r>
        <w:rPr>
          <w:rFonts w:ascii="Arial" w:hAnsi="Arial" w:cs="Arial"/>
        </w:rPr>
        <w:t>Applicant</w:t>
      </w:r>
    </w:p>
    <w:p w14:paraId="59410FC1" w14:textId="77777777" w:rsidR="006A1F09" w:rsidRDefault="006A1F09" w:rsidP="006A1F09">
      <w:pPr>
        <w:rPr>
          <w:rFonts w:ascii="Arial" w:hAnsi="Arial" w:cs="Arial"/>
        </w:rPr>
      </w:pPr>
    </w:p>
    <w:p w14:paraId="30063C40" w14:textId="2D1894AF" w:rsidR="006A1F09" w:rsidRDefault="006A1F09" w:rsidP="006A1F09">
      <w:pPr>
        <w:rPr>
          <w:rFonts w:ascii="Arial" w:hAnsi="Arial" w:cs="Arial"/>
        </w:rPr>
      </w:pPr>
      <w:r>
        <w:rPr>
          <w:rFonts w:ascii="Arial" w:hAnsi="Arial" w:cs="Arial"/>
          <w:b/>
          <w:bCs/>
        </w:rPr>
        <w:t xml:space="preserve">RUI MIGUEL DE FIGUEIREDO N.O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A4103">
        <w:rPr>
          <w:rFonts w:ascii="Arial" w:hAnsi="Arial" w:cs="Arial"/>
        </w:rPr>
        <w:t xml:space="preserve">    </w:t>
      </w:r>
      <w:r>
        <w:rPr>
          <w:rFonts w:ascii="Arial" w:hAnsi="Arial" w:cs="Arial"/>
        </w:rPr>
        <w:t xml:space="preserve">Second </w:t>
      </w:r>
      <w:r w:rsidR="003A4103">
        <w:rPr>
          <w:rFonts w:ascii="Arial" w:hAnsi="Arial" w:cs="Arial"/>
        </w:rPr>
        <w:t>Applicant</w:t>
      </w:r>
    </w:p>
    <w:p w14:paraId="7A42349E" w14:textId="77777777" w:rsidR="006A1F09" w:rsidRDefault="006A1F09" w:rsidP="006A1F09">
      <w:pPr>
        <w:rPr>
          <w:rFonts w:ascii="Arial" w:hAnsi="Arial" w:cs="Arial"/>
        </w:rPr>
      </w:pPr>
    </w:p>
    <w:p w14:paraId="58E99BA4" w14:textId="68D1DED5" w:rsidR="006A1F09" w:rsidRDefault="006A1F09" w:rsidP="006A1F09">
      <w:pPr>
        <w:rPr>
          <w:rFonts w:ascii="Arial" w:hAnsi="Arial" w:cs="Arial"/>
        </w:rPr>
      </w:pPr>
      <w:r>
        <w:rPr>
          <w:rFonts w:ascii="Arial" w:hAnsi="Arial" w:cs="Arial"/>
          <w:b/>
          <w:bCs/>
        </w:rPr>
        <w:t>TANYA ROCHA 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A4103">
        <w:rPr>
          <w:rFonts w:ascii="Arial" w:hAnsi="Arial" w:cs="Arial"/>
        </w:rPr>
        <w:t xml:space="preserve">     </w:t>
      </w:r>
      <w:r>
        <w:rPr>
          <w:rFonts w:ascii="Arial" w:hAnsi="Arial" w:cs="Arial"/>
        </w:rPr>
        <w:t xml:space="preserve">Third </w:t>
      </w:r>
      <w:r w:rsidR="003A4103">
        <w:rPr>
          <w:rFonts w:ascii="Arial" w:hAnsi="Arial" w:cs="Arial"/>
        </w:rPr>
        <w:t>Applicant</w:t>
      </w:r>
    </w:p>
    <w:p w14:paraId="1504C15E" w14:textId="77777777" w:rsidR="006A1F09" w:rsidRDefault="006A1F09" w:rsidP="006A1F09">
      <w:pPr>
        <w:rPr>
          <w:rFonts w:ascii="Arial" w:hAnsi="Arial" w:cs="Arial"/>
        </w:rPr>
      </w:pPr>
    </w:p>
    <w:p w14:paraId="727ADE01" w14:textId="77777777" w:rsidR="006A1F09" w:rsidRDefault="006A1F09" w:rsidP="006A1F09">
      <w:pPr>
        <w:rPr>
          <w:rFonts w:ascii="Arial" w:hAnsi="Arial" w:cs="Arial"/>
          <w:b/>
          <w:bCs/>
        </w:rPr>
      </w:pPr>
      <w:r w:rsidRPr="009C34E1">
        <w:rPr>
          <w:rFonts w:ascii="Arial" w:hAnsi="Arial" w:cs="Arial"/>
          <w:b/>
          <w:bCs/>
        </w:rPr>
        <w:t xml:space="preserve">obo  </w:t>
      </w:r>
      <w:r>
        <w:rPr>
          <w:rFonts w:ascii="Arial" w:hAnsi="Arial" w:cs="Arial"/>
          <w:b/>
          <w:bCs/>
        </w:rPr>
        <w:t>LWWS HOLDINGS TRUST (IT3059/2004)</w:t>
      </w:r>
    </w:p>
    <w:p w14:paraId="0FC4B4DF" w14:textId="77777777" w:rsidR="003A4103" w:rsidRDefault="003A4103" w:rsidP="006A1F09">
      <w:pPr>
        <w:rPr>
          <w:rFonts w:ascii="Arial" w:hAnsi="Arial" w:cs="Arial"/>
          <w:b/>
          <w:bCs/>
        </w:rPr>
      </w:pPr>
    </w:p>
    <w:p w14:paraId="1DB500B2" w14:textId="77777777" w:rsidR="003A4103" w:rsidRDefault="003A4103" w:rsidP="003A4103">
      <w:pPr>
        <w:rPr>
          <w:rFonts w:ascii="Arial" w:hAnsi="Arial" w:cs="Arial"/>
          <w:b/>
          <w:bCs/>
        </w:rPr>
      </w:pPr>
      <w:r>
        <w:rPr>
          <w:rFonts w:ascii="Arial" w:hAnsi="Arial" w:cs="Arial"/>
          <w:b/>
          <w:bCs/>
        </w:rPr>
        <w:t>THE UNKNOWN OCCUPIERS OF UNIT 5</w:t>
      </w:r>
    </w:p>
    <w:p w14:paraId="43E86DA1" w14:textId="6A001BF4" w:rsidR="003A4103" w:rsidRDefault="003A4103" w:rsidP="003A4103">
      <w:pPr>
        <w:rPr>
          <w:rFonts w:ascii="Arial" w:hAnsi="Arial" w:cs="Arial"/>
        </w:rPr>
      </w:pPr>
      <w:r>
        <w:rPr>
          <w:rFonts w:ascii="Arial" w:hAnsi="Arial" w:cs="Arial"/>
          <w:b/>
          <w:bCs/>
        </w:rPr>
        <w:t>MONT BLANC HEIGHTS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rPr>
        <w:t>Fourth Applicant</w:t>
      </w:r>
    </w:p>
    <w:p w14:paraId="3A6A5E6B" w14:textId="77777777" w:rsidR="003A4103" w:rsidRDefault="003A4103" w:rsidP="006A1F09">
      <w:pPr>
        <w:rPr>
          <w:rFonts w:ascii="Arial" w:hAnsi="Arial" w:cs="Arial"/>
          <w:b/>
          <w:bCs/>
        </w:rPr>
      </w:pPr>
    </w:p>
    <w:p w14:paraId="4E2E3F42" w14:textId="77777777" w:rsidR="006A1F09" w:rsidRDefault="006A1F09" w:rsidP="0084792C">
      <w:pPr>
        <w:rPr>
          <w:rFonts w:ascii="Arial" w:hAnsi="Arial" w:cs="Arial"/>
        </w:rPr>
      </w:pPr>
    </w:p>
    <w:p w14:paraId="77F71ED7" w14:textId="5E670B33" w:rsidR="003A4103" w:rsidRDefault="006A1F09" w:rsidP="0084792C">
      <w:pPr>
        <w:rPr>
          <w:rFonts w:ascii="Arial" w:hAnsi="Arial" w:cs="Arial"/>
        </w:rPr>
      </w:pPr>
      <w:r>
        <w:rPr>
          <w:rFonts w:ascii="Arial" w:hAnsi="Arial" w:cs="Arial"/>
        </w:rPr>
        <w:t xml:space="preserve">and </w:t>
      </w:r>
    </w:p>
    <w:p w14:paraId="65F931C8" w14:textId="77777777" w:rsidR="003A4103" w:rsidRDefault="003A4103" w:rsidP="0084792C">
      <w:pPr>
        <w:rPr>
          <w:rFonts w:ascii="Arial" w:hAnsi="Arial" w:cs="Arial"/>
        </w:rPr>
      </w:pPr>
    </w:p>
    <w:p w14:paraId="07EA6301" w14:textId="0FB9E3B6" w:rsidR="003A4103" w:rsidRDefault="003A4103" w:rsidP="003A4103">
      <w:pPr>
        <w:rPr>
          <w:rFonts w:ascii="Arial" w:hAnsi="Arial" w:cs="Arial"/>
        </w:rPr>
      </w:pPr>
      <w:r>
        <w:rPr>
          <w:rFonts w:ascii="Arial" w:hAnsi="Arial" w:cs="Arial"/>
          <w:b/>
          <w:bCs/>
        </w:rPr>
        <w:t>CONRAD LODEWYK SCHOONBEE N.O</w:t>
      </w:r>
      <w:r w:rsidRPr="00B178EF">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First Respondent</w:t>
      </w:r>
      <w:r w:rsidRPr="00B178EF">
        <w:rPr>
          <w:rFonts w:ascii="Arial" w:hAnsi="Arial" w:cs="Arial"/>
        </w:rPr>
        <w:t xml:space="preserve">   </w:t>
      </w:r>
    </w:p>
    <w:p w14:paraId="45E4C6A6" w14:textId="77777777" w:rsidR="003A4103" w:rsidRDefault="003A4103" w:rsidP="003A4103">
      <w:pPr>
        <w:rPr>
          <w:rFonts w:ascii="Arial" w:hAnsi="Arial" w:cs="Arial"/>
        </w:rPr>
      </w:pPr>
    </w:p>
    <w:p w14:paraId="74A5AB5D" w14:textId="2A2E2814" w:rsidR="003A4103" w:rsidRDefault="003A4103" w:rsidP="003A4103">
      <w:pPr>
        <w:rPr>
          <w:rFonts w:ascii="Arial" w:hAnsi="Arial" w:cs="Arial"/>
        </w:rPr>
      </w:pPr>
      <w:r w:rsidRPr="009C34E1">
        <w:rPr>
          <w:rFonts w:ascii="Arial" w:hAnsi="Arial" w:cs="Arial"/>
          <w:b/>
          <w:bCs/>
        </w:rPr>
        <w:t>ANGELA DEBORAH SCHOONBEE N.O</w:t>
      </w:r>
      <w:r>
        <w:rPr>
          <w:rFonts w:ascii="Arial" w:hAnsi="Arial" w:cs="Arial"/>
        </w:rPr>
        <w:tab/>
      </w:r>
      <w:r>
        <w:rPr>
          <w:rFonts w:ascii="Arial" w:hAnsi="Arial" w:cs="Arial"/>
        </w:rPr>
        <w:tab/>
      </w:r>
      <w:r>
        <w:rPr>
          <w:rFonts w:ascii="Arial" w:hAnsi="Arial" w:cs="Arial"/>
        </w:rPr>
        <w:tab/>
        <w:t xml:space="preserve">     Second Respondent</w:t>
      </w:r>
      <w:r w:rsidRPr="00B178EF">
        <w:rPr>
          <w:rFonts w:ascii="Arial" w:hAnsi="Arial" w:cs="Arial"/>
        </w:rPr>
        <w:t xml:space="preserve">  </w:t>
      </w:r>
    </w:p>
    <w:p w14:paraId="12ABFF8E" w14:textId="77777777" w:rsidR="003A4103" w:rsidRDefault="003A4103" w:rsidP="003A4103">
      <w:pPr>
        <w:rPr>
          <w:rFonts w:ascii="Arial" w:hAnsi="Arial" w:cs="Arial"/>
        </w:rPr>
      </w:pPr>
    </w:p>
    <w:p w14:paraId="6B77AC4C" w14:textId="611E97AE" w:rsidR="003A4103" w:rsidRDefault="003A4103" w:rsidP="003A4103">
      <w:pPr>
        <w:rPr>
          <w:rFonts w:ascii="Arial" w:hAnsi="Arial" w:cs="Arial"/>
        </w:rPr>
      </w:pPr>
      <w:r w:rsidRPr="009C34E1">
        <w:rPr>
          <w:rFonts w:ascii="Arial" w:hAnsi="Arial" w:cs="Arial"/>
          <w:b/>
          <w:bCs/>
        </w:rPr>
        <w:t>GERHARD JOHANNES VISSER N.O</w:t>
      </w:r>
      <w:r>
        <w:rPr>
          <w:rFonts w:ascii="Arial" w:hAnsi="Arial" w:cs="Arial"/>
        </w:rPr>
        <w:tab/>
      </w:r>
      <w:r>
        <w:rPr>
          <w:rFonts w:ascii="Arial" w:hAnsi="Arial" w:cs="Arial"/>
        </w:rPr>
        <w:tab/>
      </w:r>
      <w:r>
        <w:rPr>
          <w:rFonts w:ascii="Arial" w:hAnsi="Arial" w:cs="Arial"/>
        </w:rPr>
        <w:tab/>
      </w:r>
      <w:r>
        <w:rPr>
          <w:rFonts w:ascii="Arial" w:hAnsi="Arial" w:cs="Arial"/>
        </w:rPr>
        <w:tab/>
        <w:t xml:space="preserve">         Third Respondent</w:t>
      </w:r>
      <w:r w:rsidRPr="00B178EF">
        <w:rPr>
          <w:rFonts w:ascii="Arial" w:hAnsi="Arial" w:cs="Arial"/>
        </w:rPr>
        <w:t xml:space="preserve">    </w:t>
      </w:r>
    </w:p>
    <w:p w14:paraId="6919C4E9" w14:textId="77777777" w:rsidR="003A4103" w:rsidRDefault="003A4103" w:rsidP="003A4103">
      <w:pPr>
        <w:rPr>
          <w:rFonts w:ascii="Arial" w:hAnsi="Arial" w:cs="Arial"/>
        </w:rPr>
      </w:pPr>
    </w:p>
    <w:p w14:paraId="1CA40EAA" w14:textId="77777777" w:rsidR="003A4103" w:rsidRPr="004B750C" w:rsidRDefault="003A4103" w:rsidP="003A4103">
      <w:pPr>
        <w:rPr>
          <w:rFonts w:ascii="Arial" w:hAnsi="Arial" w:cs="Arial"/>
          <w:b/>
          <w:bCs/>
        </w:rPr>
      </w:pPr>
      <w:r>
        <w:rPr>
          <w:rFonts w:ascii="Arial" w:hAnsi="Arial" w:cs="Arial"/>
          <w:b/>
          <w:bCs/>
        </w:rPr>
        <w:t>o</w:t>
      </w:r>
      <w:r w:rsidRPr="004B750C">
        <w:rPr>
          <w:rFonts w:ascii="Arial" w:hAnsi="Arial" w:cs="Arial"/>
          <w:b/>
          <w:bCs/>
        </w:rPr>
        <w:t>bo BY DIE GROOT DORINGBOOM</w:t>
      </w:r>
    </w:p>
    <w:p w14:paraId="6EDF4F19" w14:textId="5CD35870" w:rsidR="003A4103" w:rsidRDefault="003A4103" w:rsidP="003A4103">
      <w:pPr>
        <w:rPr>
          <w:rFonts w:ascii="Arial" w:hAnsi="Arial" w:cs="Arial"/>
        </w:rPr>
      </w:pPr>
      <w:r w:rsidRPr="004B750C">
        <w:rPr>
          <w:rFonts w:ascii="Arial" w:hAnsi="Arial" w:cs="Arial"/>
          <w:b/>
          <w:bCs/>
        </w:rPr>
        <w:t>INVESTMENT TRUST (IT 9894/2006)</w:t>
      </w:r>
      <w:r w:rsidRPr="00B178EF">
        <w:rPr>
          <w:rFonts w:ascii="Arial" w:hAnsi="Arial" w:cs="Arial"/>
        </w:rPr>
        <w:t xml:space="preserve">                        </w:t>
      </w:r>
    </w:p>
    <w:p w14:paraId="675CE418" w14:textId="77777777" w:rsidR="003A4103" w:rsidRPr="003A4103" w:rsidRDefault="003A4103" w:rsidP="0084792C">
      <w:pPr>
        <w:rPr>
          <w:rFonts w:ascii="Arial" w:hAnsi="Arial" w:cs="Arial"/>
          <w:b/>
          <w:bCs/>
        </w:rPr>
      </w:pPr>
    </w:p>
    <w:p w14:paraId="3EB70F28" w14:textId="56D81CDD" w:rsidR="003A4103" w:rsidRPr="003A4103" w:rsidRDefault="003A4103" w:rsidP="0084792C">
      <w:pPr>
        <w:rPr>
          <w:rFonts w:ascii="Arial" w:hAnsi="Arial" w:cs="Arial"/>
          <w:b/>
          <w:bCs/>
        </w:rPr>
      </w:pPr>
      <w:r w:rsidRPr="003A4103">
        <w:rPr>
          <w:rFonts w:ascii="Arial" w:hAnsi="Arial" w:cs="Arial"/>
          <w:b/>
          <w:bCs/>
        </w:rPr>
        <w:t xml:space="preserve">IN RE: </w:t>
      </w:r>
    </w:p>
    <w:p w14:paraId="329F19A4" w14:textId="1CA778D4" w:rsidR="0084792C" w:rsidRPr="00B178EF" w:rsidRDefault="0084792C" w:rsidP="0084792C">
      <w:pPr>
        <w:rPr>
          <w:rFonts w:ascii="Arial" w:hAnsi="Arial" w:cs="Arial"/>
        </w:rPr>
      </w:pPr>
    </w:p>
    <w:p w14:paraId="3F810A83" w14:textId="77777777" w:rsidR="009C34E1" w:rsidRDefault="009C34E1" w:rsidP="0084792C">
      <w:pPr>
        <w:rPr>
          <w:rFonts w:ascii="Arial" w:hAnsi="Arial" w:cs="Arial"/>
        </w:rPr>
      </w:pPr>
      <w:r>
        <w:rPr>
          <w:rFonts w:ascii="Arial" w:hAnsi="Arial" w:cs="Arial"/>
          <w:b/>
          <w:bCs/>
        </w:rPr>
        <w:t>CONRAD LODEWYK SCHOONBEE N.O</w:t>
      </w:r>
      <w:r w:rsidR="0084792C" w:rsidRPr="00B178E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First Applicant</w:t>
      </w:r>
      <w:r w:rsidR="0084792C" w:rsidRPr="00B178EF">
        <w:rPr>
          <w:rFonts w:ascii="Arial" w:hAnsi="Arial" w:cs="Arial"/>
        </w:rPr>
        <w:t xml:space="preserve">   </w:t>
      </w:r>
    </w:p>
    <w:p w14:paraId="5C4114C4" w14:textId="77777777" w:rsidR="009C34E1" w:rsidRDefault="009C34E1" w:rsidP="0084792C">
      <w:pPr>
        <w:rPr>
          <w:rFonts w:ascii="Arial" w:hAnsi="Arial" w:cs="Arial"/>
        </w:rPr>
      </w:pPr>
    </w:p>
    <w:p w14:paraId="40A0F23D" w14:textId="5DC275D0" w:rsidR="009C34E1" w:rsidRDefault="009C34E1" w:rsidP="0084792C">
      <w:pPr>
        <w:rPr>
          <w:rFonts w:ascii="Arial" w:hAnsi="Arial" w:cs="Arial"/>
        </w:rPr>
      </w:pPr>
      <w:r w:rsidRPr="009C34E1">
        <w:rPr>
          <w:rFonts w:ascii="Arial" w:hAnsi="Arial" w:cs="Arial"/>
          <w:b/>
          <w:bCs/>
        </w:rPr>
        <w:t>ANGELA DEBORAH SCHOONBEE N.O</w:t>
      </w:r>
      <w:r>
        <w:rPr>
          <w:rFonts w:ascii="Arial" w:hAnsi="Arial" w:cs="Arial"/>
        </w:rPr>
        <w:tab/>
      </w:r>
      <w:r>
        <w:rPr>
          <w:rFonts w:ascii="Arial" w:hAnsi="Arial" w:cs="Arial"/>
        </w:rPr>
        <w:tab/>
      </w:r>
      <w:r>
        <w:rPr>
          <w:rFonts w:ascii="Arial" w:hAnsi="Arial" w:cs="Arial"/>
        </w:rPr>
        <w:tab/>
        <w:t xml:space="preserve">         Second Applicant</w:t>
      </w:r>
      <w:r w:rsidR="0084792C" w:rsidRPr="00B178EF">
        <w:rPr>
          <w:rFonts w:ascii="Arial" w:hAnsi="Arial" w:cs="Arial"/>
        </w:rPr>
        <w:t xml:space="preserve">  </w:t>
      </w:r>
    </w:p>
    <w:p w14:paraId="554D3398" w14:textId="77777777" w:rsidR="009C34E1" w:rsidRDefault="009C34E1" w:rsidP="0084792C">
      <w:pPr>
        <w:rPr>
          <w:rFonts w:ascii="Arial" w:hAnsi="Arial" w:cs="Arial"/>
        </w:rPr>
      </w:pPr>
    </w:p>
    <w:p w14:paraId="4EA8F046" w14:textId="7C3D2B35" w:rsidR="009C34E1" w:rsidRDefault="009C34E1" w:rsidP="0084792C">
      <w:pPr>
        <w:rPr>
          <w:rFonts w:ascii="Arial" w:hAnsi="Arial" w:cs="Arial"/>
        </w:rPr>
      </w:pPr>
      <w:r w:rsidRPr="009C34E1">
        <w:rPr>
          <w:rFonts w:ascii="Arial" w:hAnsi="Arial" w:cs="Arial"/>
          <w:b/>
          <w:bCs/>
        </w:rPr>
        <w:t>GERHARD JOHANNES VISSER N.O</w:t>
      </w:r>
      <w:r>
        <w:rPr>
          <w:rFonts w:ascii="Arial" w:hAnsi="Arial" w:cs="Arial"/>
        </w:rPr>
        <w:tab/>
      </w:r>
      <w:r>
        <w:rPr>
          <w:rFonts w:ascii="Arial" w:hAnsi="Arial" w:cs="Arial"/>
        </w:rPr>
        <w:tab/>
      </w:r>
      <w:r>
        <w:rPr>
          <w:rFonts w:ascii="Arial" w:hAnsi="Arial" w:cs="Arial"/>
        </w:rPr>
        <w:tab/>
      </w:r>
      <w:r>
        <w:rPr>
          <w:rFonts w:ascii="Arial" w:hAnsi="Arial" w:cs="Arial"/>
        </w:rPr>
        <w:tab/>
        <w:t xml:space="preserve">             Third Applicant</w:t>
      </w:r>
      <w:r w:rsidR="0084792C" w:rsidRPr="00B178EF">
        <w:rPr>
          <w:rFonts w:ascii="Arial" w:hAnsi="Arial" w:cs="Arial"/>
        </w:rPr>
        <w:t xml:space="preserve">    </w:t>
      </w:r>
    </w:p>
    <w:p w14:paraId="77165F4D" w14:textId="77777777" w:rsidR="009C34E1" w:rsidRDefault="009C34E1" w:rsidP="0084792C">
      <w:pPr>
        <w:rPr>
          <w:rFonts w:ascii="Arial" w:hAnsi="Arial" w:cs="Arial"/>
        </w:rPr>
      </w:pPr>
    </w:p>
    <w:p w14:paraId="7A8FF1C7" w14:textId="648A426E" w:rsidR="009C34E1" w:rsidRPr="004B750C" w:rsidRDefault="004B750C" w:rsidP="0084792C">
      <w:pPr>
        <w:rPr>
          <w:rFonts w:ascii="Arial" w:hAnsi="Arial" w:cs="Arial"/>
          <w:b/>
          <w:bCs/>
        </w:rPr>
      </w:pPr>
      <w:r>
        <w:rPr>
          <w:rFonts w:ascii="Arial" w:hAnsi="Arial" w:cs="Arial"/>
          <w:b/>
          <w:bCs/>
        </w:rPr>
        <w:t>o</w:t>
      </w:r>
      <w:r w:rsidR="009C34E1" w:rsidRPr="004B750C">
        <w:rPr>
          <w:rFonts w:ascii="Arial" w:hAnsi="Arial" w:cs="Arial"/>
          <w:b/>
          <w:bCs/>
        </w:rPr>
        <w:t>bo BY DIE GROOT DORINGBOOM</w:t>
      </w:r>
    </w:p>
    <w:p w14:paraId="0B42DF78" w14:textId="082E88A7" w:rsidR="0084792C" w:rsidRPr="00B178EF" w:rsidRDefault="009C34E1" w:rsidP="0084792C">
      <w:pPr>
        <w:rPr>
          <w:rFonts w:ascii="Arial" w:hAnsi="Arial" w:cs="Arial"/>
        </w:rPr>
      </w:pPr>
      <w:r w:rsidRPr="004B750C">
        <w:rPr>
          <w:rFonts w:ascii="Arial" w:hAnsi="Arial" w:cs="Arial"/>
          <w:b/>
          <w:bCs/>
        </w:rPr>
        <w:t>INVESTMENT TRUST (IT 9894/2006)</w:t>
      </w:r>
      <w:r w:rsidR="0084792C" w:rsidRPr="00B178EF">
        <w:rPr>
          <w:rFonts w:ascii="Arial" w:hAnsi="Arial" w:cs="Arial"/>
        </w:rPr>
        <w:t xml:space="preserve">                        </w:t>
      </w:r>
      <w:r w:rsidR="00D731E4">
        <w:rPr>
          <w:rFonts w:ascii="Arial" w:hAnsi="Arial" w:cs="Arial"/>
        </w:rPr>
        <w:tab/>
      </w:r>
      <w:r w:rsidR="00D731E4">
        <w:rPr>
          <w:rFonts w:ascii="Arial" w:hAnsi="Arial" w:cs="Arial"/>
        </w:rPr>
        <w:tab/>
      </w:r>
      <w:r w:rsidR="00D731E4">
        <w:rPr>
          <w:rFonts w:ascii="Arial" w:hAnsi="Arial" w:cs="Arial"/>
        </w:rPr>
        <w:tab/>
      </w:r>
      <w:r w:rsidR="00D731E4">
        <w:rPr>
          <w:rFonts w:ascii="Arial" w:hAnsi="Arial" w:cs="Arial"/>
        </w:rPr>
        <w:tab/>
      </w:r>
      <w:r w:rsidR="00D731E4">
        <w:rPr>
          <w:rFonts w:ascii="Arial" w:hAnsi="Arial" w:cs="Arial"/>
        </w:rPr>
        <w:tab/>
      </w:r>
      <w:r w:rsidR="00D731E4">
        <w:rPr>
          <w:rFonts w:ascii="Arial" w:hAnsi="Arial" w:cs="Arial"/>
        </w:rPr>
        <w:tab/>
      </w:r>
      <w:r w:rsidR="0084792C" w:rsidRPr="00B178EF">
        <w:rPr>
          <w:rFonts w:ascii="Arial" w:hAnsi="Arial" w:cs="Arial"/>
        </w:rPr>
        <w:t xml:space="preserve">   </w:t>
      </w:r>
      <w:r>
        <w:rPr>
          <w:rFonts w:ascii="Arial" w:hAnsi="Arial" w:cs="Arial"/>
        </w:rPr>
        <w:t xml:space="preserve"> </w:t>
      </w:r>
    </w:p>
    <w:p w14:paraId="14DBE606" w14:textId="531439F0" w:rsidR="0084792C" w:rsidRPr="00B178EF" w:rsidRDefault="0084792C" w:rsidP="0084792C">
      <w:pPr>
        <w:rPr>
          <w:rFonts w:ascii="Arial" w:hAnsi="Arial" w:cs="Arial"/>
        </w:rPr>
      </w:pPr>
    </w:p>
    <w:p w14:paraId="49FF8A26" w14:textId="43DA080C" w:rsidR="0084792C" w:rsidRPr="00B178EF" w:rsidRDefault="0084792C" w:rsidP="0084792C">
      <w:pPr>
        <w:rPr>
          <w:rFonts w:ascii="Arial" w:hAnsi="Arial" w:cs="Arial"/>
        </w:rPr>
      </w:pPr>
      <w:r w:rsidRPr="00B178EF">
        <w:rPr>
          <w:rFonts w:ascii="Arial" w:hAnsi="Arial" w:cs="Arial"/>
        </w:rPr>
        <w:t>and</w:t>
      </w:r>
    </w:p>
    <w:p w14:paraId="1E737FD1" w14:textId="4FFB2507" w:rsidR="0084792C" w:rsidRPr="00B178EF" w:rsidRDefault="0084792C" w:rsidP="0084792C">
      <w:pPr>
        <w:rPr>
          <w:rFonts w:ascii="Arial" w:hAnsi="Arial" w:cs="Arial"/>
        </w:rPr>
      </w:pPr>
    </w:p>
    <w:p w14:paraId="6566E0EC" w14:textId="77777777" w:rsidR="009C34E1" w:rsidRDefault="009C34E1" w:rsidP="0084792C">
      <w:pPr>
        <w:rPr>
          <w:rFonts w:ascii="Arial" w:hAnsi="Arial" w:cs="Arial"/>
        </w:rPr>
      </w:pPr>
      <w:r>
        <w:rPr>
          <w:rFonts w:ascii="Arial" w:hAnsi="Arial" w:cs="Arial"/>
          <w:b/>
          <w:bCs/>
        </w:rPr>
        <w:t>WOLFGANG WOHLKINGER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9C34E1">
        <w:rPr>
          <w:rFonts w:ascii="Arial" w:hAnsi="Arial" w:cs="Arial"/>
        </w:rPr>
        <w:t>First Respondent</w:t>
      </w:r>
    </w:p>
    <w:p w14:paraId="58FEA5A5" w14:textId="77777777" w:rsidR="009C34E1" w:rsidRDefault="009C34E1" w:rsidP="0084792C">
      <w:pPr>
        <w:rPr>
          <w:rFonts w:ascii="Arial" w:hAnsi="Arial" w:cs="Arial"/>
        </w:rPr>
      </w:pPr>
    </w:p>
    <w:p w14:paraId="2783C581" w14:textId="77777777" w:rsidR="009C34E1" w:rsidRDefault="009C34E1" w:rsidP="0084792C">
      <w:pPr>
        <w:rPr>
          <w:rFonts w:ascii="Arial" w:hAnsi="Arial" w:cs="Arial"/>
        </w:rPr>
      </w:pPr>
      <w:r>
        <w:rPr>
          <w:rFonts w:ascii="Arial" w:hAnsi="Arial" w:cs="Arial"/>
          <w:b/>
          <w:bCs/>
        </w:rPr>
        <w:t xml:space="preserve">RUI MIGUEL DE FIGUEIREDO N.O </w:t>
      </w:r>
      <w:r>
        <w:rPr>
          <w:rFonts w:ascii="Arial" w:hAnsi="Arial" w:cs="Arial"/>
        </w:rPr>
        <w:tab/>
      </w:r>
      <w:r>
        <w:rPr>
          <w:rFonts w:ascii="Arial" w:hAnsi="Arial" w:cs="Arial"/>
        </w:rPr>
        <w:tab/>
      </w:r>
      <w:r>
        <w:rPr>
          <w:rFonts w:ascii="Arial" w:hAnsi="Arial" w:cs="Arial"/>
        </w:rPr>
        <w:tab/>
      </w:r>
      <w:r>
        <w:rPr>
          <w:rFonts w:ascii="Arial" w:hAnsi="Arial" w:cs="Arial"/>
        </w:rPr>
        <w:tab/>
        <w:t xml:space="preserve">     Second Respondent</w:t>
      </w:r>
    </w:p>
    <w:p w14:paraId="046E26C5" w14:textId="77777777" w:rsidR="009C34E1" w:rsidRDefault="009C34E1" w:rsidP="0084792C">
      <w:pPr>
        <w:rPr>
          <w:rFonts w:ascii="Arial" w:hAnsi="Arial" w:cs="Arial"/>
        </w:rPr>
      </w:pPr>
    </w:p>
    <w:p w14:paraId="56979ECB" w14:textId="77777777" w:rsidR="009C34E1" w:rsidRDefault="009C34E1" w:rsidP="0084792C">
      <w:pPr>
        <w:rPr>
          <w:rFonts w:ascii="Arial" w:hAnsi="Arial" w:cs="Arial"/>
        </w:rPr>
      </w:pPr>
      <w:r>
        <w:rPr>
          <w:rFonts w:ascii="Arial" w:hAnsi="Arial" w:cs="Arial"/>
          <w:b/>
          <w:bCs/>
        </w:rPr>
        <w:t>TANYA ROCHA 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Third Respondent</w:t>
      </w:r>
    </w:p>
    <w:p w14:paraId="368AD6FD" w14:textId="77777777" w:rsidR="009C34E1" w:rsidRDefault="009C34E1" w:rsidP="0084792C">
      <w:pPr>
        <w:rPr>
          <w:rFonts w:ascii="Arial" w:hAnsi="Arial" w:cs="Arial"/>
        </w:rPr>
      </w:pPr>
    </w:p>
    <w:p w14:paraId="3CCCB874" w14:textId="77777777" w:rsidR="009C34E1" w:rsidRDefault="009C34E1" w:rsidP="0084792C">
      <w:pPr>
        <w:rPr>
          <w:rFonts w:ascii="Arial" w:hAnsi="Arial" w:cs="Arial"/>
          <w:b/>
          <w:bCs/>
        </w:rPr>
      </w:pPr>
      <w:r w:rsidRPr="009C34E1">
        <w:rPr>
          <w:rFonts w:ascii="Arial" w:hAnsi="Arial" w:cs="Arial"/>
          <w:b/>
          <w:bCs/>
        </w:rPr>
        <w:t xml:space="preserve">obo </w:t>
      </w:r>
      <w:r w:rsidR="004B3E7E" w:rsidRPr="009C34E1">
        <w:rPr>
          <w:rFonts w:ascii="Arial" w:hAnsi="Arial" w:cs="Arial"/>
          <w:b/>
          <w:bCs/>
        </w:rPr>
        <w:t xml:space="preserve"> </w:t>
      </w:r>
      <w:r>
        <w:rPr>
          <w:rFonts w:ascii="Arial" w:hAnsi="Arial" w:cs="Arial"/>
          <w:b/>
          <w:bCs/>
        </w:rPr>
        <w:t>LWWS HOLDINGS TRUST (IT3059/2004)</w:t>
      </w:r>
    </w:p>
    <w:p w14:paraId="1AAF73EB" w14:textId="77777777" w:rsidR="009C34E1" w:rsidRDefault="009C34E1" w:rsidP="0084792C">
      <w:pPr>
        <w:rPr>
          <w:rFonts w:ascii="Arial" w:hAnsi="Arial" w:cs="Arial"/>
          <w:b/>
          <w:bCs/>
        </w:rPr>
      </w:pPr>
    </w:p>
    <w:p w14:paraId="1E1BDE1F" w14:textId="77777777" w:rsidR="009C34E1" w:rsidRDefault="009C34E1" w:rsidP="0084792C">
      <w:pPr>
        <w:rPr>
          <w:rFonts w:ascii="Arial" w:hAnsi="Arial" w:cs="Arial"/>
          <w:b/>
          <w:bCs/>
        </w:rPr>
      </w:pPr>
      <w:r>
        <w:rPr>
          <w:rFonts w:ascii="Arial" w:hAnsi="Arial" w:cs="Arial"/>
          <w:b/>
          <w:bCs/>
        </w:rPr>
        <w:t>THE UNKNOWN OCCUPIERS OF UNIT 5</w:t>
      </w:r>
    </w:p>
    <w:p w14:paraId="667C1D32" w14:textId="77777777" w:rsidR="009C34E1" w:rsidRDefault="009C34E1" w:rsidP="0084792C">
      <w:pPr>
        <w:rPr>
          <w:rFonts w:ascii="Arial" w:hAnsi="Arial" w:cs="Arial"/>
        </w:rPr>
      </w:pPr>
      <w:r>
        <w:rPr>
          <w:rFonts w:ascii="Arial" w:hAnsi="Arial" w:cs="Arial"/>
          <w:b/>
          <w:bCs/>
        </w:rPr>
        <w:t>MONT BLANC HEIGHTS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rPr>
        <w:t>Fourth Respondent</w:t>
      </w:r>
    </w:p>
    <w:p w14:paraId="36BAE2BA" w14:textId="77777777" w:rsidR="009C34E1" w:rsidRDefault="009C34E1" w:rsidP="0084792C">
      <w:pPr>
        <w:rPr>
          <w:rFonts w:ascii="Arial" w:hAnsi="Arial" w:cs="Arial"/>
        </w:rPr>
      </w:pPr>
    </w:p>
    <w:p w14:paraId="70C86EE8" w14:textId="58DFB01F" w:rsidR="0084792C" w:rsidRDefault="009C34E1" w:rsidP="0084792C">
      <w:pPr>
        <w:rPr>
          <w:rFonts w:ascii="Arial" w:hAnsi="Arial" w:cs="Arial"/>
          <w:b/>
          <w:bCs/>
        </w:rPr>
      </w:pPr>
      <w:r w:rsidRPr="009C34E1">
        <w:rPr>
          <w:rFonts w:ascii="Arial" w:hAnsi="Arial" w:cs="Arial"/>
          <w:b/>
          <w:bCs/>
        </w:rPr>
        <w:t>EKHURULENI METROPOLITAN MUNICIPALITY</w:t>
      </w:r>
      <w:r w:rsidR="004B3E7E" w:rsidRPr="009C34E1">
        <w:rPr>
          <w:rFonts w:ascii="Arial" w:hAnsi="Arial" w:cs="Arial"/>
          <w:b/>
          <w:bCs/>
        </w:rPr>
        <w:t xml:space="preserve">    </w:t>
      </w:r>
      <w:r>
        <w:rPr>
          <w:rFonts w:ascii="Arial" w:hAnsi="Arial" w:cs="Arial"/>
          <w:b/>
          <w:bCs/>
        </w:rPr>
        <w:tab/>
      </w:r>
      <w:r>
        <w:rPr>
          <w:rFonts w:ascii="Arial" w:hAnsi="Arial" w:cs="Arial"/>
          <w:b/>
          <w:bCs/>
        </w:rPr>
        <w:tab/>
        <w:t xml:space="preserve">         </w:t>
      </w:r>
      <w:r>
        <w:rPr>
          <w:rFonts w:ascii="Arial" w:hAnsi="Arial" w:cs="Arial"/>
        </w:rPr>
        <w:t>Fifth Respondent</w:t>
      </w:r>
      <w:r w:rsidR="004B3E7E" w:rsidRPr="009C34E1">
        <w:rPr>
          <w:rFonts w:ascii="Arial" w:hAnsi="Arial" w:cs="Arial"/>
          <w:b/>
          <w:bCs/>
        </w:rPr>
        <w:t xml:space="preserve">            </w:t>
      </w:r>
      <w:r w:rsidR="00D731E4" w:rsidRPr="009C34E1">
        <w:rPr>
          <w:rFonts w:ascii="Arial" w:hAnsi="Arial" w:cs="Arial"/>
          <w:b/>
          <w:bCs/>
        </w:rPr>
        <w:tab/>
      </w:r>
      <w:r w:rsidR="00D731E4" w:rsidRPr="009C34E1">
        <w:rPr>
          <w:rFonts w:ascii="Arial" w:hAnsi="Arial" w:cs="Arial"/>
          <w:b/>
          <w:bCs/>
        </w:rPr>
        <w:tab/>
      </w:r>
      <w:r w:rsidR="00D731E4" w:rsidRPr="009C34E1">
        <w:rPr>
          <w:rFonts w:ascii="Arial" w:hAnsi="Arial" w:cs="Arial"/>
          <w:b/>
          <w:bCs/>
        </w:rPr>
        <w:tab/>
      </w:r>
      <w:r w:rsidR="00D731E4" w:rsidRPr="009C34E1">
        <w:rPr>
          <w:rFonts w:ascii="Arial" w:hAnsi="Arial" w:cs="Arial"/>
          <w:b/>
          <w:bCs/>
        </w:rPr>
        <w:tab/>
      </w:r>
      <w:r w:rsidR="00D731E4" w:rsidRPr="009C34E1">
        <w:rPr>
          <w:rFonts w:ascii="Arial" w:hAnsi="Arial" w:cs="Arial"/>
          <w:b/>
          <w:bCs/>
        </w:rPr>
        <w:tab/>
      </w:r>
      <w:r w:rsidR="00D731E4" w:rsidRPr="009C34E1">
        <w:rPr>
          <w:rFonts w:ascii="Arial" w:hAnsi="Arial" w:cs="Arial"/>
          <w:b/>
          <w:bCs/>
        </w:rPr>
        <w:tab/>
      </w:r>
      <w:r w:rsidR="00D731E4" w:rsidRPr="009C34E1">
        <w:rPr>
          <w:rFonts w:ascii="Arial" w:hAnsi="Arial" w:cs="Arial"/>
          <w:b/>
          <w:bCs/>
        </w:rPr>
        <w:tab/>
      </w:r>
      <w:r w:rsidR="00D731E4" w:rsidRPr="009C34E1">
        <w:rPr>
          <w:rFonts w:ascii="Arial" w:hAnsi="Arial" w:cs="Arial"/>
          <w:b/>
          <w:bCs/>
        </w:rPr>
        <w:tab/>
      </w:r>
      <w:r w:rsidR="004B3E7E" w:rsidRPr="009C34E1">
        <w:rPr>
          <w:rFonts w:ascii="Arial" w:hAnsi="Arial" w:cs="Arial"/>
          <w:b/>
          <w:bCs/>
        </w:rPr>
        <w:t xml:space="preserve">  </w:t>
      </w:r>
    </w:p>
    <w:p w14:paraId="480790E6" w14:textId="77777777" w:rsidR="009C34E1" w:rsidRPr="009C34E1" w:rsidRDefault="009C34E1" w:rsidP="0084792C">
      <w:pPr>
        <w:rPr>
          <w:rFonts w:ascii="Arial" w:hAnsi="Arial" w:cs="Arial"/>
          <w:b/>
          <w:bCs/>
        </w:rPr>
      </w:pPr>
    </w:p>
    <w:p w14:paraId="052968AC" w14:textId="0EAAD428" w:rsidR="006A1F09" w:rsidRPr="00F96F46" w:rsidRDefault="006A1F09" w:rsidP="006A1F09">
      <w:pPr>
        <w:spacing w:line="360" w:lineRule="auto"/>
        <w:jc w:val="both"/>
        <w:rPr>
          <w:rFonts w:ascii="Tahoma" w:hAnsi="Tahoma" w:cs="Tahoma"/>
        </w:rPr>
      </w:pPr>
      <w:r w:rsidRPr="0081214D">
        <w:rPr>
          <w:rFonts w:ascii="Arial" w:hAnsi="Arial" w:cs="Arial"/>
        </w:rPr>
        <w:t xml:space="preserve">This matter has been heard </w:t>
      </w:r>
      <w:r>
        <w:rPr>
          <w:rFonts w:ascii="Arial" w:hAnsi="Arial" w:cs="Arial"/>
        </w:rPr>
        <w:t>on Microsoft Teams</w:t>
      </w:r>
      <w:r w:rsidRPr="0081214D">
        <w:rPr>
          <w:rFonts w:ascii="Arial" w:hAnsi="Arial" w:cs="Arial"/>
        </w:rPr>
        <w:t xml:space="preserve"> and is otherwise disposed of in terms of the Directives of the Judge President of this Division.</w:t>
      </w:r>
    </w:p>
    <w:p w14:paraId="6B2AD386" w14:textId="77777777" w:rsidR="00215A75" w:rsidRDefault="00215A75" w:rsidP="0084792C">
      <w:pPr>
        <w:rPr>
          <w:rFonts w:ascii="Arial" w:hAnsi="Arial" w:cs="Arial"/>
        </w:rPr>
      </w:pPr>
    </w:p>
    <w:p w14:paraId="732C4A40" w14:textId="77777777" w:rsidR="006A1F09" w:rsidRPr="00B178EF" w:rsidRDefault="006A1F09" w:rsidP="0084792C">
      <w:pPr>
        <w:rPr>
          <w:rFonts w:ascii="Arial" w:hAnsi="Arial" w:cs="Arial"/>
        </w:rPr>
      </w:pPr>
    </w:p>
    <w:p w14:paraId="48799C63" w14:textId="77777777" w:rsidR="00215A75" w:rsidRDefault="00215A75" w:rsidP="004B3E7E">
      <w:pPr>
        <w:pBdr>
          <w:top w:val="single" w:sz="12" w:space="1" w:color="auto"/>
          <w:bottom w:val="single" w:sz="12" w:space="1" w:color="auto"/>
        </w:pBdr>
        <w:jc w:val="center"/>
        <w:rPr>
          <w:rFonts w:ascii="Arial" w:hAnsi="Arial" w:cs="Arial"/>
        </w:rPr>
      </w:pPr>
    </w:p>
    <w:p w14:paraId="3D579FA5" w14:textId="77777777" w:rsidR="006A1F09" w:rsidRDefault="004B3E7E" w:rsidP="004B3E7E">
      <w:pPr>
        <w:pBdr>
          <w:top w:val="single" w:sz="12" w:space="1" w:color="auto"/>
          <w:bottom w:val="single" w:sz="12" w:space="1" w:color="auto"/>
        </w:pBdr>
        <w:jc w:val="center"/>
        <w:rPr>
          <w:rFonts w:ascii="Arial" w:hAnsi="Arial" w:cs="Arial"/>
          <w:b/>
          <w:bCs/>
        </w:rPr>
      </w:pPr>
      <w:r w:rsidRPr="00A8354F">
        <w:rPr>
          <w:rFonts w:ascii="Arial" w:hAnsi="Arial" w:cs="Arial"/>
          <w:b/>
          <w:bCs/>
        </w:rPr>
        <w:t>JUDGMENT</w:t>
      </w:r>
    </w:p>
    <w:p w14:paraId="6DD3315F" w14:textId="653C382D" w:rsidR="004B3E7E" w:rsidRPr="00A8354F" w:rsidRDefault="006A1F09" w:rsidP="004B3E7E">
      <w:pPr>
        <w:pBdr>
          <w:top w:val="single" w:sz="12" w:space="1" w:color="auto"/>
          <w:bottom w:val="single" w:sz="12" w:space="1" w:color="auto"/>
        </w:pBdr>
        <w:jc w:val="center"/>
        <w:rPr>
          <w:rFonts w:ascii="Arial" w:hAnsi="Arial" w:cs="Arial"/>
          <w:b/>
          <w:bCs/>
        </w:rPr>
      </w:pPr>
      <w:r>
        <w:rPr>
          <w:rFonts w:ascii="Arial" w:hAnsi="Arial" w:cs="Arial"/>
          <w:b/>
          <w:bCs/>
        </w:rPr>
        <w:t>APPLICATION FOR</w:t>
      </w:r>
      <w:r w:rsidR="00231966">
        <w:rPr>
          <w:rFonts w:ascii="Arial" w:hAnsi="Arial" w:cs="Arial"/>
          <w:b/>
          <w:bCs/>
        </w:rPr>
        <w:t xml:space="preserve"> LEAVE TO APPEAL </w:t>
      </w:r>
    </w:p>
    <w:p w14:paraId="5C04543F" w14:textId="77777777" w:rsidR="00215A75" w:rsidRPr="00B178EF" w:rsidRDefault="00215A75" w:rsidP="004B3E7E">
      <w:pPr>
        <w:pBdr>
          <w:top w:val="single" w:sz="12" w:space="1" w:color="auto"/>
          <w:bottom w:val="single" w:sz="12" w:space="1" w:color="auto"/>
        </w:pBdr>
        <w:jc w:val="center"/>
        <w:rPr>
          <w:rFonts w:ascii="Arial" w:hAnsi="Arial" w:cs="Arial"/>
        </w:rPr>
      </w:pPr>
    </w:p>
    <w:p w14:paraId="6542F73A" w14:textId="716E279A" w:rsidR="004B3E7E" w:rsidRDefault="004B3E7E" w:rsidP="004B3E7E">
      <w:pPr>
        <w:rPr>
          <w:rFonts w:ascii="Arial" w:hAnsi="Arial" w:cs="Arial"/>
          <w:b/>
          <w:bCs/>
          <w:u w:val="single"/>
        </w:rPr>
      </w:pPr>
    </w:p>
    <w:p w14:paraId="1C20EE35" w14:textId="0B8BDAE7" w:rsidR="0081214D" w:rsidRDefault="0081214D" w:rsidP="004B3E7E">
      <w:pPr>
        <w:rPr>
          <w:rFonts w:ascii="Arial" w:hAnsi="Arial" w:cs="Arial"/>
          <w:b/>
          <w:bCs/>
        </w:rPr>
      </w:pPr>
      <w:r w:rsidRPr="0081214D">
        <w:rPr>
          <w:rFonts w:ascii="Arial" w:hAnsi="Arial" w:cs="Arial"/>
          <w:b/>
          <w:bCs/>
        </w:rPr>
        <w:t>DE BEER AJ</w:t>
      </w:r>
    </w:p>
    <w:p w14:paraId="7B58CB96" w14:textId="054DCD6B" w:rsidR="00556C70" w:rsidRPr="00556C70" w:rsidRDefault="00556C70" w:rsidP="009C34E1">
      <w:pPr>
        <w:spacing w:line="360" w:lineRule="auto"/>
        <w:jc w:val="both"/>
        <w:rPr>
          <w:rFonts w:ascii="Arial" w:hAnsi="Arial" w:cs="Arial"/>
          <w:b/>
          <w:bCs/>
          <w:u w:val="single"/>
        </w:rPr>
      </w:pPr>
    </w:p>
    <w:p w14:paraId="45F80E89" w14:textId="6783310A" w:rsidR="00556C70" w:rsidRPr="00620B9E" w:rsidRDefault="00620B9E" w:rsidP="00620B9E">
      <w:pPr>
        <w:spacing w:after="160" w:line="360" w:lineRule="auto"/>
        <w:ind w:left="567" w:hanging="567"/>
        <w:jc w:val="both"/>
        <w:rPr>
          <w:rFonts w:ascii="Arial" w:hAnsi="Arial" w:cs="Arial"/>
        </w:rPr>
      </w:pPr>
      <w:r>
        <w:rPr>
          <w:rFonts w:ascii="Arial" w:hAnsi="Arial" w:cs="Arial"/>
        </w:rPr>
        <w:t>1.</w:t>
      </w:r>
      <w:r>
        <w:rPr>
          <w:rFonts w:ascii="Arial" w:hAnsi="Arial" w:cs="Arial"/>
        </w:rPr>
        <w:tab/>
      </w:r>
      <w:r w:rsidR="006A1F09" w:rsidRPr="00620B9E">
        <w:rPr>
          <w:rFonts w:ascii="Tahoma" w:hAnsi="Tahoma" w:cs="Tahoma"/>
          <w:color w:val="242121"/>
          <w:shd w:val="clear" w:color="auto" w:fill="FFFFFF"/>
        </w:rPr>
        <w:t xml:space="preserve">On </w:t>
      </w:r>
      <w:r w:rsidR="00F96F46" w:rsidRPr="00620B9E">
        <w:rPr>
          <w:rFonts w:ascii="Tahoma" w:hAnsi="Tahoma" w:cs="Tahoma"/>
          <w:color w:val="242121"/>
          <w:shd w:val="clear" w:color="auto" w:fill="FFFFFF"/>
        </w:rPr>
        <w:t>21 November</w:t>
      </w:r>
      <w:r w:rsidR="006A1F09" w:rsidRPr="00620B9E">
        <w:rPr>
          <w:rFonts w:ascii="Tahoma" w:hAnsi="Tahoma" w:cs="Tahoma"/>
          <w:color w:val="242121"/>
          <w:shd w:val="clear" w:color="auto" w:fill="FFFFFF"/>
        </w:rPr>
        <w:t xml:space="preserve"> 2023 this court handed down its judgment </w:t>
      </w:r>
      <w:r w:rsidR="00F96F46" w:rsidRPr="00620B9E">
        <w:rPr>
          <w:rFonts w:ascii="Tahoma" w:hAnsi="Tahoma" w:cs="Tahoma"/>
          <w:color w:val="242121"/>
          <w:shd w:val="clear" w:color="auto" w:fill="FFFFFF"/>
        </w:rPr>
        <w:t xml:space="preserve">evicting the Applicants from </w:t>
      </w:r>
      <w:r w:rsidR="00F96F46" w:rsidRPr="00620B9E">
        <w:rPr>
          <w:rFonts w:ascii="Arial" w:hAnsi="Arial" w:cs="Arial"/>
        </w:rPr>
        <w:t xml:space="preserve">the immovable property known as Unit 5, Mont Blanc Heights, situated at corner Sovereign and Oxford Streets, Bedford Gardens, Bedfordview (“the property”). </w:t>
      </w:r>
      <w:r w:rsidR="00915C86" w:rsidRPr="00620B9E">
        <w:rPr>
          <w:rFonts w:ascii="Arial" w:hAnsi="Arial" w:cs="Arial"/>
        </w:rPr>
        <w:t>Furthermore, i</w:t>
      </w:r>
      <w:r w:rsidR="00F96F46" w:rsidRPr="00620B9E">
        <w:rPr>
          <w:rFonts w:ascii="Arial" w:hAnsi="Arial" w:cs="Arial"/>
        </w:rPr>
        <w:t>nterdicting and restraining the Applicants from entering and/or occupying the aforesaid property pursuant to them having vacated or being ejected from the property.</w:t>
      </w:r>
    </w:p>
    <w:p w14:paraId="1DE9B141" w14:textId="77777777" w:rsidR="00250D7E" w:rsidRPr="00E5106B" w:rsidRDefault="00250D7E" w:rsidP="00250D7E">
      <w:pPr>
        <w:pStyle w:val="ListParagraph"/>
        <w:spacing w:after="160" w:line="360" w:lineRule="auto"/>
        <w:ind w:left="567"/>
        <w:jc w:val="both"/>
        <w:rPr>
          <w:rFonts w:ascii="Arial" w:hAnsi="Arial" w:cs="Arial"/>
        </w:rPr>
      </w:pPr>
    </w:p>
    <w:p w14:paraId="4459EEA9" w14:textId="139F9E6B" w:rsidR="00213052" w:rsidRPr="00620B9E" w:rsidRDefault="00620B9E" w:rsidP="00620B9E">
      <w:pPr>
        <w:spacing w:after="160" w:line="360" w:lineRule="auto"/>
        <w:ind w:left="567" w:hanging="567"/>
        <w:jc w:val="both"/>
        <w:rPr>
          <w:rFonts w:ascii="Tahoma" w:hAnsi="Tahoma" w:cs="Tahoma"/>
        </w:rPr>
      </w:pPr>
      <w:r w:rsidRPr="00114E67">
        <w:rPr>
          <w:rFonts w:ascii="Tahoma" w:hAnsi="Tahoma" w:cs="Tahoma"/>
        </w:rPr>
        <w:lastRenderedPageBreak/>
        <w:t>2.</w:t>
      </w:r>
      <w:r w:rsidRPr="00114E67">
        <w:rPr>
          <w:rFonts w:ascii="Tahoma" w:hAnsi="Tahoma" w:cs="Tahoma"/>
        </w:rPr>
        <w:tab/>
      </w:r>
      <w:r w:rsidR="00F96F46" w:rsidRPr="00620B9E">
        <w:rPr>
          <w:rFonts w:ascii="Tahoma" w:hAnsi="Tahoma" w:cs="Tahoma"/>
          <w:color w:val="242121"/>
          <w:shd w:val="clear" w:color="auto" w:fill="FFFFFF"/>
        </w:rPr>
        <w:t xml:space="preserve">The </w:t>
      </w:r>
      <w:r w:rsidR="00556C70" w:rsidRPr="00620B9E">
        <w:rPr>
          <w:rFonts w:ascii="Tahoma" w:hAnsi="Tahoma" w:cs="Tahoma"/>
          <w:color w:val="242121"/>
          <w:shd w:val="clear" w:color="auto" w:fill="FFFFFF"/>
        </w:rPr>
        <w:t>A</w:t>
      </w:r>
      <w:r w:rsidR="00F96F46" w:rsidRPr="00620B9E">
        <w:rPr>
          <w:rFonts w:ascii="Tahoma" w:hAnsi="Tahoma" w:cs="Tahoma"/>
          <w:color w:val="242121"/>
          <w:shd w:val="clear" w:color="auto" w:fill="FFFFFF"/>
        </w:rPr>
        <w:t>pplicant</w:t>
      </w:r>
      <w:r w:rsidR="00556C70" w:rsidRPr="00620B9E">
        <w:rPr>
          <w:rFonts w:ascii="Tahoma" w:hAnsi="Tahoma" w:cs="Tahoma"/>
          <w:color w:val="242121"/>
          <w:shd w:val="clear" w:color="auto" w:fill="FFFFFF"/>
        </w:rPr>
        <w:t>s</w:t>
      </w:r>
      <w:r w:rsidR="00F96F46" w:rsidRPr="00620B9E">
        <w:rPr>
          <w:rFonts w:ascii="Tahoma" w:hAnsi="Tahoma" w:cs="Tahoma"/>
          <w:color w:val="242121"/>
          <w:shd w:val="clear" w:color="auto" w:fill="FFFFFF"/>
        </w:rPr>
        <w:t xml:space="preserve"> now applies for leave to appeal against the order and judgment.  This application is opposed by the </w:t>
      </w:r>
      <w:r w:rsidR="00556C70" w:rsidRPr="00620B9E">
        <w:rPr>
          <w:rFonts w:ascii="Tahoma" w:hAnsi="Tahoma" w:cs="Tahoma"/>
          <w:color w:val="242121"/>
          <w:shd w:val="clear" w:color="auto" w:fill="FFFFFF"/>
        </w:rPr>
        <w:t>R</w:t>
      </w:r>
      <w:r w:rsidR="00F96F46" w:rsidRPr="00620B9E">
        <w:rPr>
          <w:rFonts w:ascii="Tahoma" w:hAnsi="Tahoma" w:cs="Tahoma"/>
          <w:color w:val="242121"/>
          <w:shd w:val="clear" w:color="auto" w:fill="FFFFFF"/>
        </w:rPr>
        <w:t>espondent</w:t>
      </w:r>
      <w:r w:rsidR="00114E67" w:rsidRPr="00620B9E">
        <w:rPr>
          <w:rFonts w:ascii="Tahoma" w:hAnsi="Tahoma" w:cs="Tahoma"/>
          <w:color w:val="242121"/>
          <w:shd w:val="clear" w:color="auto" w:fill="FFFFFF"/>
        </w:rPr>
        <w:t>s</w:t>
      </w:r>
      <w:r w:rsidR="00F96F46" w:rsidRPr="00620B9E">
        <w:rPr>
          <w:rFonts w:ascii="Tahoma" w:hAnsi="Tahoma" w:cs="Tahoma"/>
          <w:color w:val="242121"/>
          <w:shd w:val="clear" w:color="auto" w:fill="FFFFFF"/>
        </w:rPr>
        <w:t xml:space="preserve"> (</w:t>
      </w:r>
      <w:r w:rsidR="00915C86" w:rsidRPr="00620B9E">
        <w:rPr>
          <w:rFonts w:ascii="Tahoma" w:hAnsi="Tahoma" w:cs="Tahoma"/>
          <w:color w:val="242121"/>
          <w:shd w:val="clear" w:color="auto" w:fill="FFFFFF"/>
        </w:rPr>
        <w:t>A</w:t>
      </w:r>
      <w:r w:rsidR="00114E67" w:rsidRPr="00620B9E">
        <w:rPr>
          <w:rFonts w:ascii="Tahoma" w:hAnsi="Tahoma" w:cs="Tahoma"/>
          <w:color w:val="242121"/>
          <w:shd w:val="clear" w:color="auto" w:fill="FFFFFF"/>
        </w:rPr>
        <w:t>pplicants</w:t>
      </w:r>
      <w:r w:rsidR="00F96F46" w:rsidRPr="00620B9E">
        <w:rPr>
          <w:rFonts w:ascii="Tahoma" w:hAnsi="Tahoma" w:cs="Tahoma"/>
          <w:color w:val="242121"/>
          <w:shd w:val="clear" w:color="auto" w:fill="FFFFFF"/>
        </w:rPr>
        <w:t> </w:t>
      </w:r>
      <w:r w:rsidR="00F96F46" w:rsidRPr="00620B9E">
        <w:rPr>
          <w:rFonts w:ascii="Tahoma" w:hAnsi="Tahoma" w:cs="Tahoma"/>
          <w:i/>
          <w:iCs/>
          <w:color w:val="242121"/>
          <w:shd w:val="clear" w:color="auto" w:fill="FFFFFF"/>
        </w:rPr>
        <w:t>a quo</w:t>
      </w:r>
      <w:r w:rsidR="00F96F46" w:rsidRPr="00620B9E">
        <w:rPr>
          <w:rFonts w:ascii="Tahoma" w:hAnsi="Tahoma" w:cs="Tahoma"/>
          <w:color w:val="242121"/>
          <w:shd w:val="clear" w:color="auto" w:fill="FFFFFF"/>
        </w:rPr>
        <w:t>).  The judgment against which leave to appeal is sought, is detailed and I do not intend to regurgitate my reasoning and findings. </w:t>
      </w:r>
    </w:p>
    <w:p w14:paraId="46AF5745" w14:textId="77777777" w:rsidR="004D6F2D" w:rsidRPr="004D6F2D" w:rsidRDefault="004D6F2D" w:rsidP="004D6F2D">
      <w:pPr>
        <w:pStyle w:val="ListParagraph"/>
        <w:rPr>
          <w:rFonts w:ascii="Tahoma" w:hAnsi="Tahoma" w:cs="Tahoma"/>
        </w:rPr>
      </w:pPr>
    </w:p>
    <w:p w14:paraId="0CAC3D10" w14:textId="70C4DF48" w:rsidR="004D6F2D" w:rsidRPr="00620B9E" w:rsidRDefault="00620B9E" w:rsidP="00620B9E">
      <w:pPr>
        <w:spacing w:after="160" w:line="360" w:lineRule="auto"/>
        <w:ind w:left="567" w:hanging="567"/>
        <w:jc w:val="both"/>
        <w:rPr>
          <w:rFonts w:ascii="Tahoma" w:hAnsi="Tahoma" w:cs="Tahoma"/>
        </w:rPr>
      </w:pPr>
      <w:r>
        <w:rPr>
          <w:rFonts w:ascii="Tahoma" w:hAnsi="Tahoma" w:cs="Tahoma"/>
        </w:rPr>
        <w:t>3.</w:t>
      </w:r>
      <w:r>
        <w:rPr>
          <w:rFonts w:ascii="Tahoma" w:hAnsi="Tahoma" w:cs="Tahoma"/>
        </w:rPr>
        <w:tab/>
      </w:r>
      <w:r w:rsidR="004D6F2D" w:rsidRPr="00620B9E">
        <w:rPr>
          <w:rFonts w:ascii="Tahoma" w:hAnsi="Tahoma" w:cs="Tahoma"/>
        </w:rPr>
        <w:t>The application for leave to appeal is premised on grounds set out in the application for leave to appeal dated 12 December 2023. The grounds are repetitive in nature and several</w:t>
      </w:r>
      <w:r w:rsidR="0035796F" w:rsidRPr="00620B9E">
        <w:rPr>
          <w:rFonts w:ascii="Tahoma" w:hAnsi="Tahoma" w:cs="Tahoma"/>
        </w:rPr>
        <w:t xml:space="preserve"> grounds</w:t>
      </w:r>
      <w:r w:rsidR="004D6F2D" w:rsidRPr="00620B9E">
        <w:rPr>
          <w:rFonts w:ascii="Tahoma" w:hAnsi="Tahoma" w:cs="Tahoma"/>
        </w:rPr>
        <w:t xml:space="preserve"> are duplicated. The following is my own summary and I do not include all the grounds:</w:t>
      </w:r>
    </w:p>
    <w:p w14:paraId="5E22EDE1" w14:textId="77777777" w:rsidR="004D6F2D" w:rsidRPr="004D6F2D" w:rsidRDefault="004D6F2D" w:rsidP="004D6F2D">
      <w:pPr>
        <w:pStyle w:val="ListParagraph"/>
        <w:rPr>
          <w:rFonts w:ascii="Tahoma" w:hAnsi="Tahoma" w:cs="Tahoma"/>
        </w:rPr>
      </w:pPr>
    </w:p>
    <w:p w14:paraId="43E9099F" w14:textId="38D9E258" w:rsidR="004D6F2D" w:rsidRPr="00620B9E" w:rsidRDefault="00620B9E" w:rsidP="00620B9E">
      <w:pPr>
        <w:tabs>
          <w:tab w:val="left" w:pos="1276"/>
        </w:tabs>
        <w:spacing w:after="160" w:line="360" w:lineRule="auto"/>
        <w:ind w:left="993" w:hanging="432"/>
        <w:jc w:val="both"/>
        <w:rPr>
          <w:rFonts w:ascii="Tahoma" w:hAnsi="Tahoma" w:cs="Tahoma"/>
        </w:rPr>
      </w:pPr>
      <w:r>
        <w:rPr>
          <w:rFonts w:ascii="Tahoma" w:hAnsi="Tahoma" w:cs="Tahoma"/>
        </w:rPr>
        <w:t>3.1.</w:t>
      </w:r>
      <w:r>
        <w:rPr>
          <w:rFonts w:ascii="Tahoma" w:hAnsi="Tahoma" w:cs="Tahoma"/>
        </w:rPr>
        <w:tab/>
      </w:r>
      <w:r w:rsidR="004D6F2D" w:rsidRPr="00620B9E">
        <w:rPr>
          <w:rFonts w:ascii="Tahoma" w:hAnsi="Tahoma" w:cs="Tahoma"/>
        </w:rPr>
        <w:t xml:space="preserve"> </w:t>
      </w:r>
      <w:r w:rsidR="004D6F2D" w:rsidRPr="00620B9E">
        <w:rPr>
          <w:rFonts w:ascii="Tahoma" w:hAnsi="Tahoma" w:cs="Tahoma"/>
        </w:rPr>
        <w:tab/>
        <w:t>The court erred in granting the eviction order.</w:t>
      </w:r>
    </w:p>
    <w:p w14:paraId="550B1626" w14:textId="77777777" w:rsidR="007D708F" w:rsidRDefault="007D708F" w:rsidP="007D708F">
      <w:pPr>
        <w:pStyle w:val="ListParagraph"/>
        <w:tabs>
          <w:tab w:val="left" w:pos="1276"/>
        </w:tabs>
        <w:spacing w:after="160"/>
        <w:ind w:left="992"/>
        <w:jc w:val="both"/>
        <w:rPr>
          <w:rFonts w:ascii="Tahoma" w:hAnsi="Tahoma" w:cs="Tahoma"/>
        </w:rPr>
      </w:pPr>
    </w:p>
    <w:p w14:paraId="01BE946D" w14:textId="4362FD50" w:rsidR="007D708F" w:rsidRPr="00620B9E" w:rsidRDefault="00620B9E" w:rsidP="00620B9E">
      <w:pPr>
        <w:tabs>
          <w:tab w:val="left" w:pos="1276"/>
        </w:tabs>
        <w:spacing w:after="160" w:line="360" w:lineRule="auto"/>
        <w:ind w:left="1276" w:hanging="709"/>
        <w:jc w:val="both"/>
        <w:rPr>
          <w:rFonts w:ascii="Tahoma" w:hAnsi="Tahoma" w:cs="Tahoma"/>
        </w:rPr>
      </w:pPr>
      <w:r w:rsidRPr="00114E67">
        <w:rPr>
          <w:rFonts w:ascii="Tahoma" w:hAnsi="Tahoma" w:cs="Tahoma"/>
        </w:rPr>
        <w:t>3.2.</w:t>
      </w:r>
      <w:r w:rsidRPr="00114E67">
        <w:rPr>
          <w:rFonts w:ascii="Tahoma" w:hAnsi="Tahoma" w:cs="Tahoma"/>
        </w:rPr>
        <w:tab/>
      </w:r>
      <w:r w:rsidR="007D708F" w:rsidRPr="00620B9E">
        <w:rPr>
          <w:rFonts w:ascii="Tahoma" w:hAnsi="Tahoma" w:cs="Tahoma"/>
        </w:rPr>
        <w:t xml:space="preserve">The court erred in dismissing the fact that the Respondents had knowledge of the long lease upon </w:t>
      </w:r>
      <w:r w:rsidR="0035796F" w:rsidRPr="00620B9E">
        <w:rPr>
          <w:rFonts w:ascii="Tahoma" w:hAnsi="Tahoma" w:cs="Tahoma"/>
        </w:rPr>
        <w:t>acquiring</w:t>
      </w:r>
      <w:r w:rsidR="007D708F" w:rsidRPr="00620B9E">
        <w:rPr>
          <w:rFonts w:ascii="Tahoma" w:hAnsi="Tahoma" w:cs="Tahoma"/>
        </w:rPr>
        <w:t xml:space="preserve"> the immovable property</w:t>
      </w:r>
      <w:r w:rsidR="0035796F" w:rsidRPr="00620B9E">
        <w:rPr>
          <w:rFonts w:ascii="Tahoma" w:hAnsi="Tahoma" w:cs="Tahoma"/>
        </w:rPr>
        <w:t>,</w:t>
      </w:r>
      <w:r w:rsidR="007D708F" w:rsidRPr="00620B9E">
        <w:rPr>
          <w:rFonts w:ascii="Tahoma" w:hAnsi="Tahoma" w:cs="Tahoma"/>
        </w:rPr>
        <w:t xml:space="preserve"> thereby finding that there is no lease agreement to which the Respondents are bound by</w:t>
      </w:r>
      <w:r w:rsidR="0035796F" w:rsidRPr="00620B9E">
        <w:rPr>
          <w:rFonts w:ascii="Tahoma" w:hAnsi="Tahoma" w:cs="Tahoma"/>
        </w:rPr>
        <w:t>,</w:t>
      </w:r>
      <w:r w:rsidR="00114E67" w:rsidRPr="00620B9E">
        <w:rPr>
          <w:rFonts w:ascii="Tahoma" w:hAnsi="Tahoma" w:cs="Tahoma"/>
        </w:rPr>
        <w:t xml:space="preserve"> or </w:t>
      </w:r>
      <w:r w:rsidR="0035796F" w:rsidRPr="00620B9E">
        <w:rPr>
          <w:rFonts w:ascii="Tahoma" w:hAnsi="Tahoma" w:cs="Tahoma"/>
        </w:rPr>
        <w:t xml:space="preserve">a lease </w:t>
      </w:r>
      <w:r w:rsidR="00114E67" w:rsidRPr="00620B9E">
        <w:rPr>
          <w:rFonts w:ascii="Tahoma" w:hAnsi="Tahoma" w:cs="Tahoma"/>
        </w:rPr>
        <w:t>that justify the Applicants occupation of the property.</w:t>
      </w:r>
      <w:r w:rsidR="007D708F" w:rsidRPr="00620B9E">
        <w:rPr>
          <w:rFonts w:ascii="Tahoma" w:hAnsi="Tahoma" w:cs="Tahoma"/>
        </w:rPr>
        <w:t xml:space="preserve">  </w:t>
      </w:r>
    </w:p>
    <w:p w14:paraId="6CD24099" w14:textId="77777777" w:rsidR="004D6F2D" w:rsidRDefault="004D6F2D" w:rsidP="00114E67">
      <w:pPr>
        <w:pStyle w:val="ListParagraph"/>
        <w:tabs>
          <w:tab w:val="left" w:pos="1276"/>
        </w:tabs>
        <w:spacing w:after="160"/>
        <w:ind w:left="992"/>
        <w:jc w:val="both"/>
        <w:rPr>
          <w:rFonts w:ascii="Tahoma" w:hAnsi="Tahoma" w:cs="Tahoma"/>
        </w:rPr>
      </w:pPr>
    </w:p>
    <w:p w14:paraId="69190287" w14:textId="2EFCB1A8" w:rsidR="004D6F2D" w:rsidRPr="00620B9E" w:rsidRDefault="00620B9E" w:rsidP="00620B9E">
      <w:pPr>
        <w:spacing w:after="160" w:line="360" w:lineRule="auto"/>
        <w:ind w:left="1276" w:hanging="709"/>
        <w:jc w:val="both"/>
        <w:rPr>
          <w:rFonts w:ascii="Tahoma" w:hAnsi="Tahoma" w:cs="Tahoma"/>
        </w:rPr>
      </w:pPr>
      <w:r>
        <w:rPr>
          <w:rFonts w:ascii="Tahoma" w:hAnsi="Tahoma" w:cs="Tahoma"/>
        </w:rPr>
        <w:t>3.3.</w:t>
      </w:r>
      <w:r>
        <w:rPr>
          <w:rFonts w:ascii="Tahoma" w:hAnsi="Tahoma" w:cs="Tahoma"/>
        </w:rPr>
        <w:tab/>
      </w:r>
      <w:r w:rsidR="004D6F2D" w:rsidRPr="00620B9E">
        <w:rPr>
          <w:rFonts w:ascii="Tahoma" w:hAnsi="Tahoma" w:cs="Tahoma"/>
        </w:rPr>
        <w:t>The court erred in not having regard to the pending review application</w:t>
      </w:r>
      <w:r w:rsidR="00114E67" w:rsidRPr="00620B9E">
        <w:rPr>
          <w:rFonts w:ascii="Tahoma" w:hAnsi="Tahoma" w:cs="Tahoma"/>
        </w:rPr>
        <w:t xml:space="preserve"> before the Rental Tribunal</w:t>
      </w:r>
      <w:r w:rsidR="004D6F2D" w:rsidRPr="00620B9E">
        <w:rPr>
          <w:rFonts w:ascii="Tahoma" w:hAnsi="Tahoma" w:cs="Tahoma"/>
        </w:rPr>
        <w:t>.</w:t>
      </w:r>
    </w:p>
    <w:p w14:paraId="262F1FAA" w14:textId="77777777" w:rsidR="004D6F2D" w:rsidRPr="004D6F2D" w:rsidRDefault="004D6F2D" w:rsidP="004D6F2D">
      <w:pPr>
        <w:pStyle w:val="ListParagraph"/>
        <w:rPr>
          <w:rFonts w:ascii="Tahoma" w:hAnsi="Tahoma" w:cs="Tahoma"/>
        </w:rPr>
      </w:pPr>
    </w:p>
    <w:p w14:paraId="3F1BBD04" w14:textId="3AB383D9" w:rsidR="004D6F2D" w:rsidRPr="00620B9E" w:rsidRDefault="00620B9E" w:rsidP="00620B9E">
      <w:pPr>
        <w:spacing w:after="160" w:line="360" w:lineRule="auto"/>
        <w:ind w:left="1276" w:hanging="709"/>
        <w:jc w:val="both"/>
        <w:rPr>
          <w:rFonts w:ascii="Tahoma" w:hAnsi="Tahoma" w:cs="Tahoma"/>
        </w:rPr>
      </w:pPr>
      <w:r>
        <w:rPr>
          <w:rFonts w:ascii="Tahoma" w:hAnsi="Tahoma" w:cs="Tahoma"/>
        </w:rPr>
        <w:t>3.4.</w:t>
      </w:r>
      <w:r>
        <w:rPr>
          <w:rFonts w:ascii="Tahoma" w:hAnsi="Tahoma" w:cs="Tahoma"/>
        </w:rPr>
        <w:tab/>
      </w:r>
      <w:r w:rsidR="004D6F2D" w:rsidRPr="00620B9E">
        <w:rPr>
          <w:rFonts w:ascii="Tahoma" w:hAnsi="Tahoma" w:cs="Tahoma"/>
        </w:rPr>
        <w:t xml:space="preserve">The court erred and misdirected </w:t>
      </w:r>
      <w:r w:rsidR="00114E67" w:rsidRPr="00620B9E">
        <w:rPr>
          <w:rFonts w:ascii="Tahoma" w:hAnsi="Tahoma" w:cs="Tahoma"/>
        </w:rPr>
        <w:t>itself</w:t>
      </w:r>
      <w:r w:rsidR="004D6F2D" w:rsidRPr="00620B9E">
        <w:rPr>
          <w:rFonts w:ascii="Tahoma" w:hAnsi="Tahoma" w:cs="Tahoma"/>
        </w:rPr>
        <w:t xml:space="preserve"> in not giving judicial recognition to the pending Section 381 (3) investigations commissioned by </w:t>
      </w:r>
      <w:r w:rsidR="007D708F" w:rsidRPr="00620B9E">
        <w:rPr>
          <w:rFonts w:ascii="Tahoma" w:hAnsi="Tahoma" w:cs="Tahoma"/>
        </w:rPr>
        <w:t>the Assistant Master of the High Court.</w:t>
      </w:r>
    </w:p>
    <w:p w14:paraId="706DBA2C" w14:textId="77777777" w:rsidR="007D708F" w:rsidRPr="007D708F" w:rsidRDefault="007D708F" w:rsidP="007D708F">
      <w:pPr>
        <w:pStyle w:val="ListParagraph"/>
        <w:rPr>
          <w:rFonts w:ascii="Tahoma" w:hAnsi="Tahoma" w:cs="Tahoma"/>
        </w:rPr>
      </w:pPr>
    </w:p>
    <w:p w14:paraId="5D1D8CB8" w14:textId="7C93CFC4" w:rsidR="00F96F46" w:rsidRPr="00620B9E" w:rsidRDefault="00620B9E" w:rsidP="00620B9E">
      <w:pPr>
        <w:spacing w:after="160" w:line="360" w:lineRule="auto"/>
        <w:ind w:left="1276" w:hanging="709"/>
        <w:jc w:val="both"/>
        <w:rPr>
          <w:rFonts w:ascii="Tahoma" w:hAnsi="Tahoma" w:cs="Tahoma"/>
        </w:rPr>
      </w:pPr>
      <w:r>
        <w:rPr>
          <w:rFonts w:ascii="Tahoma" w:hAnsi="Tahoma" w:cs="Tahoma"/>
        </w:rPr>
        <w:t>3.5.</w:t>
      </w:r>
      <w:r>
        <w:rPr>
          <w:rFonts w:ascii="Tahoma" w:hAnsi="Tahoma" w:cs="Tahoma"/>
        </w:rPr>
        <w:tab/>
      </w:r>
      <w:r w:rsidR="007D708F" w:rsidRPr="00620B9E">
        <w:rPr>
          <w:rFonts w:ascii="Tahoma" w:hAnsi="Tahoma" w:cs="Tahoma"/>
        </w:rPr>
        <w:t xml:space="preserve">The court erred in disregarding the several disputes of fact. </w:t>
      </w:r>
    </w:p>
    <w:p w14:paraId="52B3BDFA" w14:textId="77777777" w:rsidR="00114E67" w:rsidRPr="00E7542C" w:rsidRDefault="00114E67" w:rsidP="00E5106B">
      <w:pPr>
        <w:spacing w:after="160"/>
        <w:jc w:val="both"/>
        <w:rPr>
          <w:rFonts w:ascii="Tahoma" w:hAnsi="Tahoma" w:cs="Tahoma"/>
        </w:rPr>
      </w:pPr>
    </w:p>
    <w:p w14:paraId="55ACB4D5" w14:textId="031DE1A9" w:rsidR="00114E67" w:rsidRPr="00620B9E" w:rsidRDefault="00620B9E" w:rsidP="00620B9E">
      <w:pPr>
        <w:spacing w:after="160" w:line="360" w:lineRule="auto"/>
        <w:ind w:left="567" w:hanging="567"/>
        <w:jc w:val="both"/>
        <w:rPr>
          <w:rFonts w:ascii="Arial" w:hAnsi="Arial" w:cs="Arial"/>
        </w:rPr>
      </w:pPr>
      <w:r>
        <w:rPr>
          <w:rFonts w:ascii="Arial" w:hAnsi="Arial" w:cs="Arial"/>
        </w:rPr>
        <w:t>4.</w:t>
      </w:r>
      <w:r>
        <w:rPr>
          <w:rFonts w:ascii="Arial" w:hAnsi="Arial" w:cs="Arial"/>
        </w:rPr>
        <w:tab/>
      </w:r>
      <w:r w:rsidR="00114E67" w:rsidRPr="00620B9E">
        <w:rPr>
          <w:rFonts w:ascii="Arial" w:hAnsi="Arial" w:cs="Arial"/>
        </w:rPr>
        <w:t>The Respondents rel</w:t>
      </w:r>
      <w:r w:rsidR="00556C70" w:rsidRPr="00620B9E">
        <w:rPr>
          <w:rFonts w:ascii="Arial" w:hAnsi="Arial" w:cs="Arial"/>
        </w:rPr>
        <w:t>ied</w:t>
      </w:r>
      <w:r w:rsidR="00114E67" w:rsidRPr="00620B9E">
        <w:rPr>
          <w:rFonts w:ascii="Arial" w:hAnsi="Arial" w:cs="Arial"/>
        </w:rPr>
        <w:t xml:space="preserve"> on the </w:t>
      </w:r>
      <w:r w:rsidR="00114E67" w:rsidRPr="00620B9E">
        <w:rPr>
          <w:rFonts w:ascii="Arial" w:hAnsi="Arial" w:cs="Arial"/>
          <w:i/>
          <w:iCs/>
        </w:rPr>
        <w:t xml:space="preserve">rei vindicatio </w:t>
      </w:r>
      <w:r w:rsidR="00114E67" w:rsidRPr="00620B9E">
        <w:rPr>
          <w:rFonts w:ascii="Arial" w:hAnsi="Arial" w:cs="Arial"/>
        </w:rPr>
        <w:t>and only needs to prove ownership and that the Applicants had no right to occupy.</w:t>
      </w:r>
    </w:p>
    <w:p w14:paraId="40FB95BF" w14:textId="77777777" w:rsidR="00114E67" w:rsidRDefault="00114E67" w:rsidP="00114E67">
      <w:pPr>
        <w:pStyle w:val="ListParagraph"/>
        <w:spacing w:after="160" w:line="360" w:lineRule="auto"/>
        <w:ind w:left="567"/>
        <w:jc w:val="both"/>
        <w:rPr>
          <w:rFonts w:ascii="Arial" w:hAnsi="Arial" w:cs="Arial"/>
        </w:rPr>
      </w:pPr>
    </w:p>
    <w:p w14:paraId="1586C697" w14:textId="3D4FB21C" w:rsidR="009C34E1" w:rsidRPr="00620B9E" w:rsidRDefault="00620B9E" w:rsidP="00620B9E">
      <w:pPr>
        <w:spacing w:after="160" w:line="360" w:lineRule="auto"/>
        <w:ind w:left="567" w:hanging="567"/>
        <w:jc w:val="both"/>
        <w:rPr>
          <w:rFonts w:ascii="Arial" w:hAnsi="Arial" w:cs="Arial"/>
        </w:rPr>
      </w:pPr>
      <w:r>
        <w:rPr>
          <w:rFonts w:ascii="Arial" w:hAnsi="Arial" w:cs="Arial"/>
        </w:rPr>
        <w:lastRenderedPageBreak/>
        <w:t>5.</w:t>
      </w:r>
      <w:r>
        <w:rPr>
          <w:rFonts w:ascii="Arial" w:hAnsi="Arial" w:cs="Arial"/>
        </w:rPr>
        <w:tab/>
      </w:r>
      <w:r w:rsidR="00114E67" w:rsidRPr="00620B9E">
        <w:rPr>
          <w:rFonts w:ascii="Arial" w:hAnsi="Arial" w:cs="Arial"/>
        </w:rPr>
        <w:t xml:space="preserve">Section 4(8) of the Prevention of Illegal Eviction </w:t>
      </w:r>
      <w:r w:rsidR="006B46A7" w:rsidRPr="00620B9E">
        <w:rPr>
          <w:rFonts w:ascii="Arial" w:hAnsi="Arial" w:cs="Arial"/>
        </w:rPr>
        <w:t>F</w:t>
      </w:r>
      <w:r w:rsidR="00114E67" w:rsidRPr="00620B9E">
        <w:rPr>
          <w:rFonts w:ascii="Arial" w:hAnsi="Arial" w:cs="Arial"/>
        </w:rPr>
        <w:t xml:space="preserve">rom and Unlawful Occupation of Land Act 19 of 1998 </w:t>
      </w:r>
      <w:r w:rsidR="006B46A7" w:rsidRPr="00620B9E">
        <w:rPr>
          <w:rFonts w:ascii="Arial" w:hAnsi="Arial" w:cs="Arial"/>
        </w:rPr>
        <w:t>(“PIE Act”) stipulates that if the court is satisfied that all the requirements of this section have been complied with and no valid defence has been raised by the unlawful occupier, it must grant an order for eviction.</w:t>
      </w:r>
    </w:p>
    <w:p w14:paraId="1EE082C4" w14:textId="77777777" w:rsidR="006B46A7" w:rsidRPr="006B46A7" w:rsidRDefault="006B46A7" w:rsidP="006B46A7">
      <w:pPr>
        <w:pStyle w:val="ListParagraph"/>
        <w:rPr>
          <w:rFonts w:ascii="Arial" w:hAnsi="Arial" w:cs="Arial"/>
        </w:rPr>
      </w:pPr>
    </w:p>
    <w:p w14:paraId="0AC27578" w14:textId="6A3CB908" w:rsidR="00622950" w:rsidRPr="00620B9E" w:rsidRDefault="00620B9E" w:rsidP="00620B9E">
      <w:pPr>
        <w:spacing w:after="160" w:line="360" w:lineRule="auto"/>
        <w:ind w:left="567" w:hanging="567"/>
        <w:jc w:val="both"/>
        <w:rPr>
          <w:rFonts w:ascii="Arial" w:hAnsi="Arial" w:cs="Arial"/>
        </w:rPr>
      </w:pPr>
      <w:r>
        <w:rPr>
          <w:rFonts w:ascii="Arial" w:hAnsi="Arial" w:cs="Arial"/>
        </w:rPr>
        <w:t>6.</w:t>
      </w:r>
      <w:r>
        <w:rPr>
          <w:rFonts w:ascii="Arial" w:hAnsi="Arial" w:cs="Arial"/>
        </w:rPr>
        <w:tab/>
      </w:r>
      <w:r w:rsidR="006B46A7" w:rsidRPr="00620B9E">
        <w:rPr>
          <w:rFonts w:ascii="Arial" w:hAnsi="Arial" w:cs="Arial"/>
        </w:rPr>
        <w:t>The Applicants</w:t>
      </w:r>
      <w:r w:rsidR="000113B1" w:rsidRPr="00620B9E">
        <w:rPr>
          <w:rFonts w:ascii="Arial" w:hAnsi="Arial" w:cs="Arial"/>
        </w:rPr>
        <w:t>’</w:t>
      </w:r>
      <w:r w:rsidR="006B46A7" w:rsidRPr="00620B9E">
        <w:rPr>
          <w:rFonts w:ascii="Arial" w:hAnsi="Arial" w:cs="Arial"/>
        </w:rPr>
        <w:t xml:space="preserve"> only attack on the eviction application</w:t>
      </w:r>
      <w:r w:rsidR="00E7542C" w:rsidRPr="00620B9E">
        <w:rPr>
          <w:rFonts w:ascii="Arial" w:hAnsi="Arial" w:cs="Arial"/>
          <w:i/>
          <w:iCs/>
        </w:rPr>
        <w:t xml:space="preserve"> per se </w:t>
      </w:r>
      <w:r w:rsidR="006B46A7" w:rsidRPr="00620B9E">
        <w:rPr>
          <w:rFonts w:ascii="Arial" w:hAnsi="Arial" w:cs="Arial"/>
        </w:rPr>
        <w:t>was premised</w:t>
      </w:r>
      <w:r w:rsidR="00AA6339" w:rsidRPr="00620B9E">
        <w:rPr>
          <w:rFonts w:ascii="Arial" w:hAnsi="Arial" w:cs="Arial"/>
        </w:rPr>
        <w:t xml:space="preserve"> on the fact</w:t>
      </w:r>
      <w:r w:rsidR="006B46A7" w:rsidRPr="00620B9E">
        <w:rPr>
          <w:rFonts w:ascii="Arial" w:hAnsi="Arial" w:cs="Arial"/>
        </w:rPr>
        <w:t xml:space="preserve"> that they </w:t>
      </w:r>
      <w:r w:rsidR="0035796F" w:rsidRPr="00620B9E">
        <w:rPr>
          <w:rFonts w:ascii="Arial" w:hAnsi="Arial" w:cs="Arial"/>
        </w:rPr>
        <w:t>had a right to occupation by virtue of</w:t>
      </w:r>
      <w:r w:rsidR="006B46A7" w:rsidRPr="00620B9E">
        <w:rPr>
          <w:rFonts w:ascii="Arial" w:hAnsi="Arial" w:cs="Arial"/>
        </w:rPr>
        <w:t xml:space="preserve"> a long-term lease</w:t>
      </w:r>
      <w:r w:rsidR="000113B1" w:rsidRPr="00620B9E">
        <w:rPr>
          <w:rFonts w:ascii="Arial" w:hAnsi="Arial" w:cs="Arial"/>
        </w:rPr>
        <w:t xml:space="preserve">. </w:t>
      </w:r>
    </w:p>
    <w:p w14:paraId="6121334A" w14:textId="77777777" w:rsidR="00622950" w:rsidRPr="00622950" w:rsidRDefault="00622950" w:rsidP="00622950">
      <w:pPr>
        <w:pStyle w:val="ListParagraph"/>
        <w:rPr>
          <w:rFonts w:ascii="Arial" w:hAnsi="Arial" w:cs="Arial"/>
        </w:rPr>
      </w:pPr>
    </w:p>
    <w:p w14:paraId="3B4A150F" w14:textId="1C9D1028" w:rsidR="00622950" w:rsidRPr="00620B9E" w:rsidRDefault="00620B9E" w:rsidP="00620B9E">
      <w:pPr>
        <w:spacing w:after="160" w:line="360" w:lineRule="auto"/>
        <w:ind w:left="1276" w:hanging="709"/>
        <w:jc w:val="both"/>
        <w:rPr>
          <w:rFonts w:ascii="Arial" w:hAnsi="Arial" w:cs="Arial"/>
        </w:rPr>
      </w:pPr>
      <w:r>
        <w:rPr>
          <w:rFonts w:ascii="Arial" w:hAnsi="Arial" w:cs="Arial"/>
        </w:rPr>
        <w:t>6.1.</w:t>
      </w:r>
      <w:r>
        <w:rPr>
          <w:rFonts w:ascii="Arial" w:hAnsi="Arial" w:cs="Arial"/>
        </w:rPr>
        <w:tab/>
      </w:r>
      <w:r w:rsidR="000113B1" w:rsidRPr="00620B9E">
        <w:rPr>
          <w:rFonts w:ascii="Arial" w:hAnsi="Arial" w:cs="Arial"/>
        </w:rPr>
        <w:t xml:space="preserve">The </w:t>
      </w:r>
      <w:r w:rsidR="00D23FAC" w:rsidRPr="00620B9E">
        <w:rPr>
          <w:rFonts w:ascii="Arial" w:hAnsi="Arial" w:cs="Arial"/>
        </w:rPr>
        <w:t>long lease</w:t>
      </w:r>
      <w:r w:rsidR="006B46A7" w:rsidRPr="00620B9E">
        <w:rPr>
          <w:rFonts w:ascii="Arial" w:hAnsi="Arial" w:cs="Arial"/>
        </w:rPr>
        <w:t xml:space="preserve"> was not registered</w:t>
      </w:r>
      <w:r w:rsidR="000113B1" w:rsidRPr="00620B9E">
        <w:rPr>
          <w:rFonts w:ascii="Arial" w:hAnsi="Arial" w:cs="Arial"/>
        </w:rPr>
        <w:t xml:space="preserve"> against the title deed</w:t>
      </w:r>
      <w:r w:rsidR="006B46A7" w:rsidRPr="00620B9E">
        <w:rPr>
          <w:rFonts w:ascii="Arial" w:hAnsi="Arial" w:cs="Arial"/>
        </w:rPr>
        <w:t>.</w:t>
      </w:r>
      <w:r w:rsidR="000113B1" w:rsidRPr="00620B9E">
        <w:rPr>
          <w:rFonts w:ascii="Arial" w:hAnsi="Arial" w:cs="Arial"/>
        </w:rPr>
        <w:t xml:space="preserve"> </w:t>
      </w:r>
    </w:p>
    <w:p w14:paraId="15A8098F" w14:textId="77777777" w:rsidR="00622950" w:rsidRDefault="00622950" w:rsidP="00E7542C">
      <w:pPr>
        <w:pStyle w:val="ListParagraph"/>
        <w:spacing w:after="160"/>
        <w:ind w:left="1276"/>
        <w:jc w:val="both"/>
        <w:rPr>
          <w:rFonts w:ascii="Arial" w:hAnsi="Arial" w:cs="Arial"/>
        </w:rPr>
      </w:pPr>
    </w:p>
    <w:p w14:paraId="212DC0FD" w14:textId="7D75E662" w:rsidR="00622950" w:rsidRPr="00620B9E" w:rsidRDefault="00620B9E" w:rsidP="00620B9E">
      <w:pPr>
        <w:spacing w:after="160" w:line="360" w:lineRule="auto"/>
        <w:ind w:left="1276" w:hanging="709"/>
        <w:jc w:val="both"/>
        <w:rPr>
          <w:rFonts w:ascii="Arial" w:hAnsi="Arial" w:cs="Arial"/>
        </w:rPr>
      </w:pPr>
      <w:r w:rsidRPr="00915C86">
        <w:rPr>
          <w:rFonts w:ascii="Arial" w:hAnsi="Arial" w:cs="Arial"/>
        </w:rPr>
        <w:t>6.2.</w:t>
      </w:r>
      <w:r w:rsidRPr="00915C86">
        <w:rPr>
          <w:rFonts w:ascii="Arial" w:hAnsi="Arial" w:cs="Arial"/>
        </w:rPr>
        <w:tab/>
      </w:r>
      <w:r w:rsidR="000113B1" w:rsidRPr="00620B9E">
        <w:rPr>
          <w:rFonts w:ascii="Arial" w:hAnsi="Arial" w:cs="Arial"/>
        </w:rPr>
        <w:t>Resultant</w:t>
      </w:r>
      <w:r w:rsidR="00383718" w:rsidRPr="00620B9E">
        <w:rPr>
          <w:rFonts w:ascii="Arial" w:hAnsi="Arial" w:cs="Arial"/>
        </w:rPr>
        <w:t>,</w:t>
      </w:r>
      <w:r w:rsidR="000113B1" w:rsidRPr="00620B9E">
        <w:rPr>
          <w:rFonts w:ascii="Arial" w:hAnsi="Arial" w:cs="Arial"/>
        </w:rPr>
        <w:t xml:space="preserve"> </w:t>
      </w:r>
      <w:r w:rsidR="00AA6339" w:rsidRPr="00620B9E">
        <w:rPr>
          <w:rFonts w:ascii="Arial" w:hAnsi="Arial" w:cs="Arial"/>
        </w:rPr>
        <w:t>the Applicant</w:t>
      </w:r>
      <w:r w:rsidR="0035796F" w:rsidRPr="00620B9E">
        <w:rPr>
          <w:rFonts w:ascii="Arial" w:hAnsi="Arial" w:cs="Arial"/>
        </w:rPr>
        <w:t>s</w:t>
      </w:r>
      <w:r w:rsidR="00383718" w:rsidRPr="00620B9E">
        <w:rPr>
          <w:rFonts w:ascii="Arial" w:hAnsi="Arial" w:cs="Arial"/>
        </w:rPr>
        <w:t xml:space="preserve"> bore the </w:t>
      </w:r>
      <w:r w:rsidR="00383718" w:rsidRPr="00620B9E">
        <w:rPr>
          <w:rFonts w:ascii="Arial" w:hAnsi="Arial" w:cs="Arial"/>
          <w:i/>
          <w:iCs/>
        </w:rPr>
        <w:t>onus</w:t>
      </w:r>
      <w:r w:rsidR="00383718" w:rsidRPr="00620B9E">
        <w:rPr>
          <w:rFonts w:ascii="Arial" w:hAnsi="Arial" w:cs="Arial"/>
        </w:rPr>
        <w:t xml:space="preserve"> and</w:t>
      </w:r>
      <w:r w:rsidR="00AA6339" w:rsidRPr="00620B9E">
        <w:rPr>
          <w:rFonts w:ascii="Arial" w:hAnsi="Arial" w:cs="Arial"/>
        </w:rPr>
        <w:t xml:space="preserve"> had to proof </w:t>
      </w:r>
      <w:r w:rsidR="00915C86" w:rsidRPr="00620B9E">
        <w:rPr>
          <w:rFonts w:ascii="Arial" w:hAnsi="Arial" w:cs="Arial"/>
        </w:rPr>
        <w:t xml:space="preserve">that </w:t>
      </w:r>
      <w:r w:rsidR="00AA6339" w:rsidRPr="00620B9E">
        <w:rPr>
          <w:rFonts w:ascii="Arial" w:hAnsi="Arial" w:cs="Arial"/>
        </w:rPr>
        <w:t>the Respondents had</w:t>
      </w:r>
      <w:r w:rsidR="00383718" w:rsidRPr="00620B9E">
        <w:rPr>
          <w:rFonts w:ascii="Arial" w:hAnsi="Arial" w:cs="Arial"/>
        </w:rPr>
        <w:t xml:space="preserve"> sufficient</w:t>
      </w:r>
      <w:r w:rsidR="00AA6339" w:rsidRPr="00620B9E">
        <w:rPr>
          <w:rFonts w:ascii="Arial" w:hAnsi="Arial" w:cs="Arial"/>
        </w:rPr>
        <w:t xml:space="preserve"> knowledge </w:t>
      </w:r>
      <w:r w:rsidR="00383718" w:rsidRPr="00620B9E">
        <w:rPr>
          <w:rFonts w:ascii="Arial" w:hAnsi="Arial" w:cs="Arial"/>
        </w:rPr>
        <w:t xml:space="preserve">of the long-term lease </w:t>
      </w:r>
      <w:r w:rsidR="00AA6339" w:rsidRPr="00620B9E">
        <w:rPr>
          <w:rFonts w:ascii="Arial" w:hAnsi="Arial" w:cs="Arial"/>
        </w:rPr>
        <w:t>when the</w:t>
      </w:r>
      <w:r w:rsidR="00915C86" w:rsidRPr="00620B9E">
        <w:rPr>
          <w:rFonts w:ascii="Arial" w:hAnsi="Arial" w:cs="Arial"/>
        </w:rPr>
        <w:t>y</w:t>
      </w:r>
      <w:r w:rsidR="00AA6339" w:rsidRPr="00620B9E">
        <w:rPr>
          <w:rFonts w:ascii="Arial" w:hAnsi="Arial" w:cs="Arial"/>
        </w:rPr>
        <w:t xml:space="preserve"> acquired the property.</w:t>
      </w:r>
      <w:r w:rsidR="00383718" w:rsidRPr="00620B9E">
        <w:rPr>
          <w:rFonts w:ascii="Arial" w:hAnsi="Arial" w:cs="Arial"/>
        </w:rPr>
        <w:t xml:space="preserve"> </w:t>
      </w:r>
      <w:r w:rsidR="000113B1" w:rsidRPr="00620B9E">
        <w:rPr>
          <w:rFonts w:ascii="Arial" w:hAnsi="Arial" w:cs="Arial"/>
        </w:rPr>
        <w:t xml:space="preserve">The </w:t>
      </w:r>
      <w:r w:rsidR="00383718" w:rsidRPr="00620B9E">
        <w:rPr>
          <w:rFonts w:ascii="Arial" w:hAnsi="Arial" w:cs="Arial"/>
        </w:rPr>
        <w:t>Applicants</w:t>
      </w:r>
      <w:r w:rsidR="000113B1" w:rsidRPr="00620B9E">
        <w:rPr>
          <w:rFonts w:ascii="Arial" w:hAnsi="Arial" w:cs="Arial"/>
        </w:rPr>
        <w:t xml:space="preserve"> had to establish that the Respondents had the degree of knowledge of the long-term lease which would render it legally binding.</w:t>
      </w:r>
      <w:r w:rsidR="00AA6339">
        <w:rPr>
          <w:rStyle w:val="FootnoteReference"/>
          <w:rFonts w:ascii="Arial" w:hAnsi="Arial" w:cs="Arial"/>
        </w:rPr>
        <w:footnoteReference w:id="1"/>
      </w:r>
      <w:r w:rsidR="000113B1" w:rsidRPr="00620B9E">
        <w:rPr>
          <w:rFonts w:ascii="Arial" w:hAnsi="Arial" w:cs="Arial"/>
        </w:rPr>
        <w:t xml:space="preserve"> </w:t>
      </w:r>
      <w:r w:rsidR="00383718" w:rsidRPr="00620B9E">
        <w:rPr>
          <w:rFonts w:ascii="Arial" w:hAnsi="Arial" w:cs="Arial"/>
        </w:rPr>
        <w:t>Insufficient</w:t>
      </w:r>
      <w:r w:rsidR="00E7542C" w:rsidRPr="00620B9E">
        <w:rPr>
          <w:rFonts w:ascii="Arial" w:hAnsi="Arial" w:cs="Arial"/>
        </w:rPr>
        <w:t xml:space="preserve"> evidence </w:t>
      </w:r>
      <w:r w:rsidR="00383718" w:rsidRPr="00620B9E">
        <w:rPr>
          <w:rFonts w:ascii="Arial" w:hAnsi="Arial" w:cs="Arial"/>
        </w:rPr>
        <w:t>was produced</w:t>
      </w:r>
      <w:r w:rsidR="00E7542C" w:rsidRPr="00620B9E">
        <w:rPr>
          <w:rFonts w:ascii="Arial" w:hAnsi="Arial" w:cs="Arial"/>
        </w:rPr>
        <w:t xml:space="preserve"> that </w:t>
      </w:r>
      <w:r w:rsidR="00383718" w:rsidRPr="00620B9E">
        <w:rPr>
          <w:rFonts w:ascii="Arial" w:hAnsi="Arial" w:cs="Arial"/>
        </w:rPr>
        <w:t>would lead</w:t>
      </w:r>
      <w:r w:rsidR="00E7542C" w:rsidRPr="00620B9E">
        <w:rPr>
          <w:rFonts w:ascii="Arial" w:hAnsi="Arial" w:cs="Arial"/>
        </w:rPr>
        <w:t xml:space="preserve"> the court to believe that the Respondents had knowledge</w:t>
      </w:r>
      <w:r w:rsidR="0040532C" w:rsidRPr="00620B9E">
        <w:rPr>
          <w:rFonts w:ascii="Arial" w:hAnsi="Arial" w:cs="Arial"/>
        </w:rPr>
        <w:t xml:space="preserve"> of the </w:t>
      </w:r>
      <w:r w:rsidR="000A45C2" w:rsidRPr="00620B9E">
        <w:rPr>
          <w:rFonts w:ascii="Arial" w:hAnsi="Arial" w:cs="Arial"/>
        </w:rPr>
        <w:t xml:space="preserve">said </w:t>
      </w:r>
      <w:r w:rsidR="0040532C" w:rsidRPr="00620B9E">
        <w:rPr>
          <w:rFonts w:ascii="Arial" w:hAnsi="Arial" w:cs="Arial"/>
        </w:rPr>
        <w:t>lease.</w:t>
      </w:r>
      <w:r w:rsidR="00383718" w:rsidRPr="00620B9E">
        <w:rPr>
          <w:rFonts w:ascii="Arial" w:hAnsi="Arial" w:cs="Arial"/>
        </w:rPr>
        <w:t xml:space="preserve"> The Applicants failed to discharge this </w:t>
      </w:r>
      <w:r w:rsidR="00383718" w:rsidRPr="00620B9E">
        <w:rPr>
          <w:rFonts w:ascii="Arial" w:hAnsi="Arial" w:cs="Arial"/>
          <w:i/>
          <w:iCs/>
        </w:rPr>
        <w:t>onus</w:t>
      </w:r>
      <w:r w:rsidR="00383718" w:rsidRPr="00620B9E">
        <w:rPr>
          <w:rFonts w:ascii="Arial" w:hAnsi="Arial" w:cs="Arial"/>
        </w:rPr>
        <w:t>.</w:t>
      </w:r>
    </w:p>
    <w:p w14:paraId="73517FED" w14:textId="77777777" w:rsidR="00622950" w:rsidRPr="00622950" w:rsidRDefault="00622950" w:rsidP="0040532C">
      <w:pPr>
        <w:pStyle w:val="ListParagraph"/>
        <w:rPr>
          <w:rFonts w:ascii="Arial" w:hAnsi="Arial" w:cs="Arial"/>
        </w:rPr>
      </w:pPr>
    </w:p>
    <w:p w14:paraId="3BE4DBAB" w14:textId="7ABE86F6" w:rsidR="00622950" w:rsidRPr="00620B9E" w:rsidRDefault="00620B9E" w:rsidP="00620B9E">
      <w:pPr>
        <w:spacing w:after="160" w:line="360" w:lineRule="auto"/>
        <w:ind w:left="1276" w:hanging="709"/>
        <w:jc w:val="both"/>
        <w:rPr>
          <w:rFonts w:ascii="Arial" w:hAnsi="Arial" w:cs="Arial"/>
        </w:rPr>
      </w:pPr>
      <w:r>
        <w:rPr>
          <w:rFonts w:ascii="Arial" w:hAnsi="Arial" w:cs="Arial"/>
        </w:rPr>
        <w:t>6.3.</w:t>
      </w:r>
      <w:r>
        <w:rPr>
          <w:rFonts w:ascii="Arial" w:hAnsi="Arial" w:cs="Arial"/>
        </w:rPr>
        <w:tab/>
      </w:r>
      <w:r w:rsidR="00AA6339" w:rsidRPr="00620B9E">
        <w:rPr>
          <w:rFonts w:ascii="Arial" w:hAnsi="Arial" w:cs="Arial"/>
        </w:rPr>
        <w:t xml:space="preserve">The auction pack </w:t>
      </w:r>
      <w:r w:rsidR="00383718" w:rsidRPr="00620B9E">
        <w:rPr>
          <w:rFonts w:ascii="Arial" w:hAnsi="Arial" w:cs="Arial"/>
        </w:rPr>
        <w:t xml:space="preserve">as </w:t>
      </w:r>
      <w:r w:rsidR="000A45C2" w:rsidRPr="00620B9E">
        <w:rPr>
          <w:rFonts w:ascii="Arial" w:hAnsi="Arial" w:cs="Arial"/>
        </w:rPr>
        <w:t>referred to</w:t>
      </w:r>
      <w:r w:rsidR="00383718" w:rsidRPr="00620B9E">
        <w:rPr>
          <w:rFonts w:ascii="Arial" w:hAnsi="Arial" w:cs="Arial"/>
        </w:rPr>
        <w:t xml:space="preserve"> by the Applicants</w:t>
      </w:r>
      <w:r w:rsidR="000A45C2" w:rsidRPr="00620B9E">
        <w:rPr>
          <w:rFonts w:ascii="Arial" w:hAnsi="Arial" w:cs="Arial"/>
        </w:rPr>
        <w:t xml:space="preserve"> </w:t>
      </w:r>
      <w:r w:rsidR="00AA6339" w:rsidRPr="00620B9E">
        <w:rPr>
          <w:rFonts w:ascii="Arial" w:hAnsi="Arial" w:cs="Arial"/>
        </w:rPr>
        <w:t>was overridden by the express clause</w:t>
      </w:r>
      <w:r w:rsidR="00622950" w:rsidRPr="00620B9E">
        <w:rPr>
          <w:rFonts w:ascii="Arial" w:hAnsi="Arial" w:cs="Arial"/>
        </w:rPr>
        <w:t>, clause</w:t>
      </w:r>
      <w:r w:rsidR="00AA6339" w:rsidRPr="00620B9E">
        <w:rPr>
          <w:rFonts w:ascii="Arial" w:hAnsi="Arial" w:cs="Arial"/>
        </w:rPr>
        <w:t xml:space="preserve"> 2.6 contained in the sale agreement</w:t>
      </w:r>
      <w:r w:rsidR="00383718" w:rsidRPr="00620B9E">
        <w:rPr>
          <w:rFonts w:ascii="Arial" w:hAnsi="Arial" w:cs="Arial"/>
        </w:rPr>
        <w:t>. The said clause</w:t>
      </w:r>
      <w:r w:rsidR="00AA6339" w:rsidRPr="00620B9E">
        <w:rPr>
          <w:rFonts w:ascii="Arial" w:hAnsi="Arial" w:cs="Arial"/>
        </w:rPr>
        <w:t xml:space="preserve"> </w:t>
      </w:r>
      <w:r w:rsidR="0040532C" w:rsidRPr="00620B9E">
        <w:rPr>
          <w:rFonts w:ascii="Arial" w:hAnsi="Arial" w:cs="Arial"/>
        </w:rPr>
        <w:t xml:space="preserve">clearly </w:t>
      </w:r>
      <w:r w:rsidR="00AA6339" w:rsidRPr="00620B9E">
        <w:rPr>
          <w:rFonts w:ascii="Arial" w:hAnsi="Arial" w:cs="Arial"/>
        </w:rPr>
        <w:t xml:space="preserve">stipulated that the property is not subject to a lease. </w:t>
      </w:r>
    </w:p>
    <w:p w14:paraId="55CBFA33" w14:textId="77777777" w:rsidR="00622950" w:rsidRPr="00622950" w:rsidRDefault="00622950" w:rsidP="00622950">
      <w:pPr>
        <w:pStyle w:val="ListParagraph"/>
        <w:rPr>
          <w:rFonts w:ascii="Arial" w:hAnsi="Arial" w:cs="Arial"/>
        </w:rPr>
      </w:pPr>
    </w:p>
    <w:p w14:paraId="1C75B5B4" w14:textId="2E149106" w:rsidR="00622950" w:rsidRPr="00620B9E" w:rsidRDefault="00620B9E" w:rsidP="00620B9E">
      <w:pPr>
        <w:spacing w:after="160" w:line="360" w:lineRule="auto"/>
        <w:ind w:left="1276" w:hanging="709"/>
        <w:jc w:val="both"/>
        <w:rPr>
          <w:rFonts w:ascii="Arial" w:hAnsi="Arial" w:cs="Arial"/>
        </w:rPr>
      </w:pPr>
      <w:r>
        <w:rPr>
          <w:rFonts w:ascii="Arial" w:hAnsi="Arial" w:cs="Arial"/>
        </w:rPr>
        <w:t>6.4.</w:t>
      </w:r>
      <w:r>
        <w:rPr>
          <w:rFonts w:ascii="Arial" w:hAnsi="Arial" w:cs="Arial"/>
        </w:rPr>
        <w:tab/>
      </w:r>
      <w:r w:rsidR="00622950" w:rsidRPr="00620B9E">
        <w:rPr>
          <w:rFonts w:ascii="Arial" w:hAnsi="Arial" w:cs="Arial"/>
        </w:rPr>
        <w:t xml:space="preserve">In addition, the auction pack clearly </w:t>
      </w:r>
      <w:r w:rsidR="00250D7E" w:rsidRPr="00620B9E">
        <w:rPr>
          <w:rFonts w:ascii="Arial" w:hAnsi="Arial" w:cs="Arial"/>
        </w:rPr>
        <w:t>stipulated</w:t>
      </w:r>
      <w:r w:rsidR="00622950" w:rsidRPr="00620B9E">
        <w:rPr>
          <w:rFonts w:ascii="Arial" w:hAnsi="Arial" w:cs="Arial"/>
        </w:rPr>
        <w:t xml:space="preserve"> </w:t>
      </w:r>
      <w:r w:rsidR="0035796F" w:rsidRPr="00620B9E">
        <w:rPr>
          <w:rFonts w:ascii="Arial" w:hAnsi="Arial" w:cs="Arial"/>
        </w:rPr>
        <w:t xml:space="preserve">that </w:t>
      </w:r>
      <w:r w:rsidR="00622950" w:rsidRPr="00620B9E">
        <w:rPr>
          <w:rFonts w:ascii="Arial" w:hAnsi="Arial" w:cs="Arial"/>
        </w:rPr>
        <w:t xml:space="preserve">units sold individually </w:t>
      </w:r>
      <w:r w:rsidR="003D29C8" w:rsidRPr="00620B9E">
        <w:rPr>
          <w:rFonts w:ascii="Arial" w:hAnsi="Arial" w:cs="Arial"/>
        </w:rPr>
        <w:t xml:space="preserve">are sold </w:t>
      </w:r>
      <w:r w:rsidR="00622950" w:rsidRPr="00620B9E">
        <w:rPr>
          <w:rFonts w:ascii="Arial" w:hAnsi="Arial" w:cs="Arial"/>
        </w:rPr>
        <w:t xml:space="preserve">without any leases in place. </w:t>
      </w:r>
      <w:r w:rsidR="00AA6339" w:rsidRPr="00620B9E">
        <w:rPr>
          <w:rFonts w:ascii="Arial" w:hAnsi="Arial" w:cs="Arial"/>
        </w:rPr>
        <w:t xml:space="preserve"> </w:t>
      </w:r>
    </w:p>
    <w:p w14:paraId="6AC86BC4" w14:textId="77777777" w:rsidR="00622950" w:rsidRPr="00622950" w:rsidRDefault="00622950" w:rsidP="00622950">
      <w:pPr>
        <w:pStyle w:val="ListParagraph"/>
        <w:rPr>
          <w:rFonts w:ascii="Arial" w:hAnsi="Arial" w:cs="Arial"/>
        </w:rPr>
      </w:pPr>
    </w:p>
    <w:p w14:paraId="0933AF80" w14:textId="74762FED" w:rsidR="006B46A7" w:rsidRPr="00620B9E" w:rsidRDefault="00620B9E" w:rsidP="00620B9E">
      <w:pPr>
        <w:spacing w:after="160" w:line="360" w:lineRule="auto"/>
        <w:ind w:left="1276" w:hanging="709"/>
        <w:jc w:val="both"/>
        <w:rPr>
          <w:rFonts w:ascii="Arial" w:hAnsi="Arial" w:cs="Arial"/>
        </w:rPr>
      </w:pPr>
      <w:r>
        <w:rPr>
          <w:rFonts w:ascii="Arial" w:hAnsi="Arial" w:cs="Arial"/>
        </w:rPr>
        <w:t>6.5.</w:t>
      </w:r>
      <w:r>
        <w:rPr>
          <w:rFonts w:ascii="Arial" w:hAnsi="Arial" w:cs="Arial"/>
        </w:rPr>
        <w:tab/>
      </w:r>
      <w:r w:rsidR="00AA6339" w:rsidRPr="00620B9E">
        <w:rPr>
          <w:rFonts w:ascii="Arial" w:hAnsi="Arial" w:cs="Arial"/>
        </w:rPr>
        <w:t>The Applicants</w:t>
      </w:r>
      <w:r w:rsidR="00383718" w:rsidRPr="00620B9E">
        <w:rPr>
          <w:rFonts w:ascii="Arial" w:hAnsi="Arial" w:cs="Arial"/>
        </w:rPr>
        <w:t>’</w:t>
      </w:r>
      <w:r w:rsidR="00AA6339" w:rsidRPr="00620B9E">
        <w:rPr>
          <w:rFonts w:ascii="Arial" w:hAnsi="Arial" w:cs="Arial"/>
        </w:rPr>
        <w:t xml:space="preserve"> representative in his heads of argument submitted that the Respondents must first cancel the agreement before embarking on </w:t>
      </w:r>
      <w:r w:rsidR="0035796F" w:rsidRPr="00620B9E">
        <w:rPr>
          <w:rFonts w:ascii="Arial" w:hAnsi="Arial" w:cs="Arial"/>
        </w:rPr>
        <w:t xml:space="preserve">an </w:t>
      </w:r>
      <w:r w:rsidR="00AA6339" w:rsidRPr="00620B9E">
        <w:rPr>
          <w:rFonts w:ascii="Arial" w:hAnsi="Arial" w:cs="Arial"/>
        </w:rPr>
        <w:t>eviction</w:t>
      </w:r>
      <w:r w:rsidR="00383718" w:rsidRPr="00620B9E">
        <w:rPr>
          <w:rFonts w:ascii="Arial" w:hAnsi="Arial" w:cs="Arial"/>
        </w:rPr>
        <w:t xml:space="preserve"> application</w:t>
      </w:r>
      <w:r w:rsidR="00AA6339" w:rsidRPr="00620B9E">
        <w:rPr>
          <w:rFonts w:ascii="Arial" w:hAnsi="Arial" w:cs="Arial"/>
        </w:rPr>
        <w:t xml:space="preserve">. The case authority is clear that it can be done upon application. </w:t>
      </w:r>
      <w:r w:rsidR="0040532C" w:rsidRPr="00620B9E">
        <w:rPr>
          <w:rFonts w:ascii="Arial" w:hAnsi="Arial" w:cs="Arial"/>
        </w:rPr>
        <w:t>Notwithstanding the afore</w:t>
      </w:r>
      <w:r w:rsidR="000A45C2" w:rsidRPr="00620B9E">
        <w:rPr>
          <w:rFonts w:ascii="Arial" w:hAnsi="Arial" w:cs="Arial"/>
        </w:rPr>
        <w:t xml:space="preserve"> and</w:t>
      </w:r>
      <w:r w:rsidR="0040532C" w:rsidRPr="00620B9E">
        <w:rPr>
          <w:rFonts w:ascii="Arial" w:hAnsi="Arial" w:cs="Arial"/>
        </w:rPr>
        <w:t xml:space="preserve"> i</w:t>
      </w:r>
      <w:r w:rsidR="00AA6339" w:rsidRPr="00620B9E">
        <w:rPr>
          <w:rFonts w:ascii="Arial" w:hAnsi="Arial" w:cs="Arial"/>
        </w:rPr>
        <w:t>n this instance</w:t>
      </w:r>
      <w:r w:rsidR="000A45C2" w:rsidRPr="00620B9E">
        <w:rPr>
          <w:rFonts w:ascii="Arial" w:hAnsi="Arial" w:cs="Arial"/>
        </w:rPr>
        <w:t>,</w:t>
      </w:r>
      <w:r w:rsidR="00AA6339" w:rsidRPr="00620B9E">
        <w:rPr>
          <w:rFonts w:ascii="Arial" w:hAnsi="Arial" w:cs="Arial"/>
        </w:rPr>
        <w:t xml:space="preserve"> </w:t>
      </w:r>
      <w:r w:rsidR="00622950" w:rsidRPr="00620B9E">
        <w:rPr>
          <w:rFonts w:ascii="Arial" w:hAnsi="Arial" w:cs="Arial"/>
        </w:rPr>
        <w:t>cancelation</w:t>
      </w:r>
      <w:r w:rsidR="00AA6339" w:rsidRPr="00620B9E">
        <w:rPr>
          <w:rFonts w:ascii="Arial" w:hAnsi="Arial" w:cs="Arial"/>
        </w:rPr>
        <w:t xml:space="preserve"> is not required</w:t>
      </w:r>
      <w:r w:rsidR="0040532C" w:rsidRPr="00620B9E">
        <w:rPr>
          <w:rFonts w:ascii="Arial" w:hAnsi="Arial" w:cs="Arial"/>
        </w:rPr>
        <w:t>,</w:t>
      </w:r>
      <w:r w:rsidR="00AA6339" w:rsidRPr="00620B9E">
        <w:rPr>
          <w:rFonts w:ascii="Arial" w:hAnsi="Arial" w:cs="Arial"/>
        </w:rPr>
        <w:t xml:space="preserve"> because the Applicants </w:t>
      </w:r>
      <w:r w:rsidR="00622950" w:rsidRPr="00620B9E">
        <w:rPr>
          <w:rFonts w:ascii="Arial" w:hAnsi="Arial" w:cs="Arial"/>
        </w:rPr>
        <w:t xml:space="preserve">first </w:t>
      </w:r>
      <w:r w:rsidR="00AA6339" w:rsidRPr="00620B9E">
        <w:rPr>
          <w:rFonts w:ascii="Arial" w:hAnsi="Arial" w:cs="Arial"/>
        </w:rPr>
        <w:t>had to establish knowledge</w:t>
      </w:r>
      <w:r w:rsidR="00383718" w:rsidRPr="00620B9E">
        <w:rPr>
          <w:rFonts w:ascii="Arial" w:hAnsi="Arial" w:cs="Arial"/>
        </w:rPr>
        <w:t xml:space="preserve"> of </w:t>
      </w:r>
      <w:r w:rsidR="00383718" w:rsidRPr="00620B9E">
        <w:rPr>
          <w:rFonts w:ascii="Arial" w:hAnsi="Arial" w:cs="Arial"/>
        </w:rPr>
        <w:lastRenderedPageBreak/>
        <w:t xml:space="preserve">the </w:t>
      </w:r>
      <w:r w:rsidR="00D23FAC" w:rsidRPr="00620B9E">
        <w:rPr>
          <w:rFonts w:ascii="Arial" w:hAnsi="Arial" w:cs="Arial"/>
        </w:rPr>
        <w:t>long lease</w:t>
      </w:r>
      <w:r w:rsidR="00AA6339" w:rsidRPr="00620B9E">
        <w:rPr>
          <w:rFonts w:ascii="Arial" w:hAnsi="Arial" w:cs="Arial"/>
        </w:rPr>
        <w:t xml:space="preserve"> for</w:t>
      </w:r>
      <w:r w:rsidR="00383718" w:rsidRPr="00620B9E">
        <w:rPr>
          <w:rFonts w:ascii="Arial" w:hAnsi="Arial" w:cs="Arial"/>
        </w:rPr>
        <w:t xml:space="preserve"> it to binding on</w:t>
      </w:r>
      <w:r w:rsidR="00AA6339" w:rsidRPr="00620B9E">
        <w:rPr>
          <w:rFonts w:ascii="Arial" w:hAnsi="Arial" w:cs="Arial"/>
        </w:rPr>
        <w:t xml:space="preserve"> the Respondents</w:t>
      </w:r>
      <w:r w:rsidR="003D29C8" w:rsidRPr="00620B9E">
        <w:rPr>
          <w:rFonts w:ascii="Arial" w:hAnsi="Arial" w:cs="Arial"/>
        </w:rPr>
        <w:t xml:space="preserve"> and</w:t>
      </w:r>
      <w:r w:rsidR="0035796F" w:rsidRPr="00620B9E">
        <w:rPr>
          <w:rFonts w:ascii="Arial" w:hAnsi="Arial" w:cs="Arial"/>
        </w:rPr>
        <w:t xml:space="preserve"> for</w:t>
      </w:r>
      <w:r w:rsidR="003D29C8" w:rsidRPr="00620B9E">
        <w:rPr>
          <w:rFonts w:ascii="Arial" w:hAnsi="Arial" w:cs="Arial"/>
        </w:rPr>
        <w:t xml:space="preserve"> the principle of</w:t>
      </w:r>
      <w:r w:rsidR="00AA6339" w:rsidRPr="00620B9E">
        <w:rPr>
          <w:rFonts w:ascii="Arial" w:hAnsi="Arial" w:cs="Arial"/>
        </w:rPr>
        <w:t xml:space="preserve"> “</w:t>
      </w:r>
      <w:r w:rsidR="00AA6339" w:rsidRPr="00620B9E">
        <w:rPr>
          <w:rFonts w:ascii="Arial" w:hAnsi="Arial" w:cs="Arial"/>
          <w:i/>
          <w:iCs/>
        </w:rPr>
        <w:t>huur gaat voor koop</w:t>
      </w:r>
      <w:r w:rsidR="00AA6339" w:rsidRPr="00620B9E">
        <w:rPr>
          <w:rFonts w:ascii="Arial" w:hAnsi="Arial" w:cs="Arial"/>
        </w:rPr>
        <w:t>”</w:t>
      </w:r>
      <w:r w:rsidR="003D29C8" w:rsidRPr="00620B9E">
        <w:rPr>
          <w:rFonts w:ascii="Arial" w:hAnsi="Arial" w:cs="Arial"/>
        </w:rPr>
        <w:t xml:space="preserve"> to apply</w:t>
      </w:r>
      <w:r w:rsidR="00AA6339" w:rsidRPr="00620B9E">
        <w:rPr>
          <w:rFonts w:ascii="Arial" w:hAnsi="Arial" w:cs="Arial"/>
        </w:rPr>
        <w:t xml:space="preserve">. </w:t>
      </w:r>
    </w:p>
    <w:p w14:paraId="5DA71566" w14:textId="77777777" w:rsidR="00556C70" w:rsidRPr="00556C70" w:rsidRDefault="00556C70" w:rsidP="00556C70">
      <w:pPr>
        <w:pStyle w:val="ListParagraph"/>
        <w:rPr>
          <w:rFonts w:ascii="Arial" w:hAnsi="Arial" w:cs="Arial"/>
        </w:rPr>
      </w:pPr>
    </w:p>
    <w:p w14:paraId="3A25F7FA" w14:textId="62EB07C8" w:rsidR="00556C70" w:rsidRPr="00620B9E" w:rsidRDefault="00620B9E" w:rsidP="00620B9E">
      <w:pPr>
        <w:spacing w:after="160" w:line="360" w:lineRule="auto"/>
        <w:ind w:left="1276" w:hanging="709"/>
        <w:jc w:val="both"/>
        <w:rPr>
          <w:rFonts w:ascii="Arial" w:hAnsi="Arial" w:cs="Arial"/>
        </w:rPr>
      </w:pPr>
      <w:r w:rsidRPr="00CD7EEB">
        <w:rPr>
          <w:rFonts w:ascii="Arial" w:hAnsi="Arial" w:cs="Arial"/>
        </w:rPr>
        <w:t>6.6.</w:t>
      </w:r>
      <w:r w:rsidRPr="00CD7EEB">
        <w:rPr>
          <w:rFonts w:ascii="Arial" w:hAnsi="Arial" w:cs="Arial"/>
        </w:rPr>
        <w:tab/>
      </w:r>
      <w:r w:rsidR="00383718" w:rsidRPr="00620B9E">
        <w:rPr>
          <w:rFonts w:ascii="Arial" w:hAnsi="Arial" w:cs="Arial"/>
        </w:rPr>
        <w:t>Regard being had to the defence specificall</w:t>
      </w:r>
      <w:r w:rsidR="0033029E" w:rsidRPr="00620B9E">
        <w:rPr>
          <w:rFonts w:ascii="Arial" w:hAnsi="Arial" w:cs="Arial"/>
        </w:rPr>
        <w:t>y</w:t>
      </w:r>
      <w:r w:rsidR="00383718" w:rsidRPr="00620B9E">
        <w:rPr>
          <w:rFonts w:ascii="Arial" w:hAnsi="Arial" w:cs="Arial"/>
        </w:rPr>
        <w:t xml:space="preserve"> raised by the Applicants</w:t>
      </w:r>
      <w:r w:rsidR="0033029E" w:rsidRPr="00620B9E">
        <w:rPr>
          <w:rFonts w:ascii="Arial" w:hAnsi="Arial" w:cs="Arial"/>
        </w:rPr>
        <w:t xml:space="preserve"> to the eviction application</w:t>
      </w:r>
      <w:r w:rsidR="00383718" w:rsidRPr="00620B9E">
        <w:rPr>
          <w:rFonts w:ascii="Arial" w:hAnsi="Arial" w:cs="Arial"/>
        </w:rPr>
        <w:t>, t</w:t>
      </w:r>
      <w:r w:rsidR="00556C70" w:rsidRPr="00620B9E">
        <w:rPr>
          <w:rFonts w:ascii="Arial" w:hAnsi="Arial" w:cs="Arial"/>
        </w:rPr>
        <w:t xml:space="preserve">he Court was satisfied that all the requirements </w:t>
      </w:r>
      <w:r w:rsidR="00D10072" w:rsidRPr="00620B9E">
        <w:rPr>
          <w:rFonts w:ascii="Arial" w:hAnsi="Arial" w:cs="Arial"/>
        </w:rPr>
        <w:t xml:space="preserve">for the eviction were </w:t>
      </w:r>
      <w:r w:rsidR="0040532C" w:rsidRPr="00620B9E">
        <w:rPr>
          <w:rFonts w:ascii="Arial" w:hAnsi="Arial" w:cs="Arial"/>
        </w:rPr>
        <w:t>met,</w:t>
      </w:r>
      <w:r w:rsidR="00556C70" w:rsidRPr="00620B9E">
        <w:rPr>
          <w:rFonts w:ascii="Arial" w:hAnsi="Arial" w:cs="Arial"/>
        </w:rPr>
        <w:t xml:space="preserve"> and no valid defence ha</w:t>
      </w:r>
      <w:r w:rsidR="00D10072" w:rsidRPr="00620B9E">
        <w:rPr>
          <w:rFonts w:ascii="Arial" w:hAnsi="Arial" w:cs="Arial"/>
        </w:rPr>
        <w:t>d</w:t>
      </w:r>
      <w:r w:rsidR="00556C70" w:rsidRPr="00620B9E">
        <w:rPr>
          <w:rFonts w:ascii="Arial" w:hAnsi="Arial" w:cs="Arial"/>
        </w:rPr>
        <w:t xml:space="preserve"> been raised by the unlawful occupier</w:t>
      </w:r>
      <w:r w:rsidR="00D10072" w:rsidRPr="00620B9E">
        <w:rPr>
          <w:rFonts w:ascii="Arial" w:hAnsi="Arial" w:cs="Arial"/>
        </w:rPr>
        <w:t>.</w:t>
      </w:r>
    </w:p>
    <w:p w14:paraId="6E7D5CDA" w14:textId="77777777" w:rsidR="009C34E1" w:rsidRPr="00CD7EEB" w:rsidRDefault="009C34E1" w:rsidP="0006793C">
      <w:pPr>
        <w:pStyle w:val="ListParagraph"/>
        <w:rPr>
          <w:rFonts w:ascii="Arial" w:hAnsi="Arial" w:cs="Arial"/>
        </w:rPr>
      </w:pPr>
    </w:p>
    <w:p w14:paraId="3B98969A" w14:textId="2C4593E5" w:rsidR="00EF7E33" w:rsidRPr="00620B9E" w:rsidRDefault="00620B9E" w:rsidP="00620B9E">
      <w:pPr>
        <w:spacing w:after="160" w:line="360" w:lineRule="auto"/>
        <w:ind w:left="567" w:hanging="567"/>
        <w:jc w:val="both"/>
        <w:rPr>
          <w:rFonts w:ascii="Arial" w:hAnsi="Arial" w:cs="Arial"/>
        </w:rPr>
      </w:pPr>
      <w:r>
        <w:rPr>
          <w:rFonts w:ascii="Arial" w:hAnsi="Arial" w:cs="Arial"/>
        </w:rPr>
        <w:t>7.</w:t>
      </w:r>
      <w:r>
        <w:rPr>
          <w:rFonts w:ascii="Arial" w:hAnsi="Arial" w:cs="Arial"/>
        </w:rPr>
        <w:tab/>
      </w:r>
      <w:r w:rsidR="0033029E" w:rsidRPr="00620B9E">
        <w:rPr>
          <w:rFonts w:ascii="Arial" w:hAnsi="Arial" w:cs="Arial"/>
        </w:rPr>
        <w:t>As stated before, a</w:t>
      </w:r>
      <w:r w:rsidR="000F4D6E" w:rsidRPr="00620B9E">
        <w:rPr>
          <w:rFonts w:ascii="Arial" w:hAnsi="Arial" w:cs="Arial"/>
        </w:rPr>
        <w:t xml:space="preserve"> long-term lease is not effective against a successor of </w:t>
      </w:r>
      <w:r w:rsidR="0040532C" w:rsidRPr="00620B9E">
        <w:rPr>
          <w:rFonts w:ascii="Arial" w:hAnsi="Arial" w:cs="Arial"/>
        </w:rPr>
        <w:t xml:space="preserve">a </w:t>
      </w:r>
      <w:r w:rsidR="000F4D6E" w:rsidRPr="00620B9E">
        <w:rPr>
          <w:rFonts w:ascii="Arial" w:hAnsi="Arial" w:cs="Arial"/>
        </w:rPr>
        <w:t>lessor for longer than 10 years if it is not registered or the successor had no knowledge when he/she obtained the leased land.</w:t>
      </w:r>
      <w:r w:rsidR="000F4D6E">
        <w:rPr>
          <w:rStyle w:val="FootnoteReference"/>
          <w:rFonts w:ascii="Arial" w:hAnsi="Arial" w:cs="Arial"/>
        </w:rPr>
        <w:footnoteReference w:id="2"/>
      </w:r>
      <w:r w:rsidR="000F4D6E" w:rsidRPr="00620B9E">
        <w:rPr>
          <w:rFonts w:ascii="Arial" w:hAnsi="Arial" w:cs="Arial"/>
        </w:rPr>
        <w:t xml:space="preserve"> </w:t>
      </w:r>
      <w:r w:rsidR="003D29C8" w:rsidRPr="00620B9E">
        <w:rPr>
          <w:rFonts w:ascii="Arial" w:hAnsi="Arial" w:cs="Arial"/>
        </w:rPr>
        <w:t>By virtue of the fact that the long term-lease was not registered, and the fact that Respondents had no knowledge of the lease when they acquired the property</w:t>
      </w:r>
      <w:r w:rsidR="0033029E" w:rsidRPr="00620B9E">
        <w:rPr>
          <w:rFonts w:ascii="Arial" w:hAnsi="Arial" w:cs="Arial"/>
        </w:rPr>
        <w:t>,</w:t>
      </w:r>
      <w:r w:rsidR="003D29C8" w:rsidRPr="00620B9E">
        <w:rPr>
          <w:rFonts w:ascii="Arial" w:hAnsi="Arial" w:cs="Arial"/>
        </w:rPr>
        <w:t xml:space="preserve"> </w:t>
      </w:r>
      <w:r w:rsidR="0033029E" w:rsidRPr="00620B9E">
        <w:rPr>
          <w:rFonts w:ascii="Arial" w:hAnsi="Arial" w:cs="Arial"/>
        </w:rPr>
        <w:t>there was no</w:t>
      </w:r>
      <w:r w:rsidR="003D29C8" w:rsidRPr="00620B9E">
        <w:rPr>
          <w:rFonts w:ascii="Arial" w:hAnsi="Arial" w:cs="Arial"/>
        </w:rPr>
        <w:t xml:space="preserve"> agreement to which the Respondents </w:t>
      </w:r>
      <w:r w:rsidR="0033029E" w:rsidRPr="00620B9E">
        <w:rPr>
          <w:rFonts w:ascii="Arial" w:hAnsi="Arial" w:cs="Arial"/>
        </w:rPr>
        <w:t>were</w:t>
      </w:r>
      <w:r w:rsidR="003D29C8" w:rsidRPr="00620B9E">
        <w:rPr>
          <w:rFonts w:ascii="Arial" w:hAnsi="Arial" w:cs="Arial"/>
        </w:rPr>
        <w:t xml:space="preserve"> bound by. </w:t>
      </w:r>
      <w:r w:rsidR="00F56881" w:rsidRPr="00620B9E">
        <w:rPr>
          <w:rFonts w:ascii="Arial" w:hAnsi="Arial" w:cs="Arial"/>
        </w:rPr>
        <w:t>Accordingly</w:t>
      </w:r>
      <w:r w:rsidR="003D29C8" w:rsidRPr="00620B9E">
        <w:rPr>
          <w:rFonts w:ascii="Arial" w:hAnsi="Arial" w:cs="Arial"/>
        </w:rPr>
        <w:t>, the legitimacy of the lease agreement determined by the Rental Tribunal, and the subsequent review application ha</w:t>
      </w:r>
      <w:r w:rsidR="00F56881" w:rsidRPr="00620B9E">
        <w:rPr>
          <w:rFonts w:ascii="Arial" w:hAnsi="Arial" w:cs="Arial"/>
        </w:rPr>
        <w:t>d</w:t>
      </w:r>
      <w:r w:rsidR="003D29C8" w:rsidRPr="00620B9E">
        <w:rPr>
          <w:rFonts w:ascii="Arial" w:hAnsi="Arial" w:cs="Arial"/>
        </w:rPr>
        <w:t xml:space="preserve"> no bearing on the facts before me. </w:t>
      </w:r>
      <w:r w:rsidR="00F56881" w:rsidRPr="00620B9E">
        <w:rPr>
          <w:rFonts w:ascii="Arial" w:hAnsi="Arial" w:cs="Arial"/>
        </w:rPr>
        <w:t>The eviction application is not dependant on the Rental Tribunal</w:t>
      </w:r>
      <w:r w:rsidR="0033029E" w:rsidRPr="00620B9E">
        <w:rPr>
          <w:rFonts w:ascii="Arial" w:hAnsi="Arial" w:cs="Arial"/>
        </w:rPr>
        <w:t>’s</w:t>
      </w:r>
      <w:r w:rsidR="00F56881" w:rsidRPr="00620B9E">
        <w:rPr>
          <w:rFonts w:ascii="Arial" w:hAnsi="Arial" w:cs="Arial"/>
        </w:rPr>
        <w:t xml:space="preserve"> ruling. </w:t>
      </w:r>
    </w:p>
    <w:p w14:paraId="2660ABAA" w14:textId="77777777" w:rsidR="00EA2A23" w:rsidRPr="00EA2A23" w:rsidRDefault="00EA2A23" w:rsidP="0006793C">
      <w:pPr>
        <w:pStyle w:val="ListParagraph"/>
        <w:spacing w:after="160"/>
        <w:ind w:left="567"/>
        <w:jc w:val="both"/>
        <w:rPr>
          <w:rFonts w:ascii="Arial" w:hAnsi="Arial" w:cs="Arial"/>
        </w:rPr>
      </w:pPr>
    </w:p>
    <w:p w14:paraId="7BED0617" w14:textId="3541513F" w:rsidR="000F4D6E" w:rsidRPr="00620B9E" w:rsidRDefault="00620B9E" w:rsidP="00620B9E">
      <w:pPr>
        <w:spacing w:after="160" w:line="360" w:lineRule="auto"/>
        <w:ind w:left="567" w:hanging="567"/>
        <w:jc w:val="both"/>
        <w:rPr>
          <w:rFonts w:ascii="Arial" w:hAnsi="Arial" w:cs="Arial"/>
        </w:rPr>
      </w:pPr>
      <w:r>
        <w:rPr>
          <w:rFonts w:ascii="Arial" w:hAnsi="Arial" w:cs="Arial"/>
        </w:rPr>
        <w:t>8.</w:t>
      </w:r>
      <w:r>
        <w:rPr>
          <w:rFonts w:ascii="Arial" w:hAnsi="Arial" w:cs="Arial"/>
        </w:rPr>
        <w:tab/>
      </w:r>
      <w:r w:rsidR="00EA2A23" w:rsidRPr="00620B9E">
        <w:rPr>
          <w:rFonts w:ascii="Arial" w:hAnsi="Arial" w:cs="Arial"/>
        </w:rPr>
        <w:t>The court</w:t>
      </w:r>
      <w:r w:rsidR="0033029E" w:rsidRPr="00620B9E">
        <w:rPr>
          <w:rFonts w:ascii="Arial" w:hAnsi="Arial" w:cs="Arial"/>
        </w:rPr>
        <w:t>’</w:t>
      </w:r>
      <w:r w:rsidR="00EA2A23" w:rsidRPr="00620B9E">
        <w:rPr>
          <w:rFonts w:ascii="Arial" w:hAnsi="Arial" w:cs="Arial"/>
        </w:rPr>
        <w:t xml:space="preserve">s </w:t>
      </w:r>
      <w:r w:rsidR="0033029E" w:rsidRPr="00620B9E">
        <w:rPr>
          <w:rFonts w:ascii="Arial" w:hAnsi="Arial" w:cs="Arial"/>
        </w:rPr>
        <w:t>disregard of</w:t>
      </w:r>
      <w:r w:rsidR="00EA2A23" w:rsidRPr="00620B9E">
        <w:rPr>
          <w:rFonts w:ascii="Arial" w:hAnsi="Arial" w:cs="Arial"/>
        </w:rPr>
        <w:t xml:space="preserve"> the alleged section 381 enquiry </w:t>
      </w:r>
      <w:r w:rsidR="00A137C0" w:rsidRPr="00620B9E">
        <w:rPr>
          <w:rFonts w:ascii="Arial" w:hAnsi="Arial" w:cs="Arial"/>
        </w:rPr>
        <w:t>is premised on the inadmissible hearsay</w:t>
      </w:r>
      <w:r w:rsidR="000A45C2" w:rsidRPr="00620B9E">
        <w:rPr>
          <w:rFonts w:ascii="Arial" w:hAnsi="Arial" w:cs="Arial"/>
        </w:rPr>
        <w:t xml:space="preserve"> evidence</w:t>
      </w:r>
      <w:r w:rsidR="00A137C0" w:rsidRPr="00620B9E">
        <w:rPr>
          <w:rFonts w:ascii="Arial" w:hAnsi="Arial" w:cs="Arial"/>
        </w:rPr>
        <w:t xml:space="preserve"> tendered in the answering affidavit with no reliance on section 3(1)(c)</w:t>
      </w:r>
      <w:r w:rsidR="0033029E" w:rsidRPr="00620B9E">
        <w:rPr>
          <w:rFonts w:ascii="Arial" w:hAnsi="Arial" w:cs="Arial"/>
        </w:rPr>
        <w:t xml:space="preserve"> which could not have been taken into consideration because of its lack of evidential value</w:t>
      </w:r>
      <w:r w:rsidR="00A137C0" w:rsidRPr="00620B9E">
        <w:rPr>
          <w:rFonts w:ascii="Arial" w:hAnsi="Arial" w:cs="Arial"/>
        </w:rPr>
        <w:t>.</w:t>
      </w:r>
      <w:r w:rsidR="00A137C0">
        <w:rPr>
          <w:rStyle w:val="FootnoteReference"/>
          <w:rFonts w:ascii="Arial" w:hAnsi="Arial" w:cs="Arial"/>
        </w:rPr>
        <w:footnoteReference w:id="3"/>
      </w:r>
      <w:r w:rsidR="00A137C0" w:rsidRPr="00620B9E">
        <w:rPr>
          <w:rFonts w:ascii="Arial" w:hAnsi="Arial" w:cs="Arial"/>
        </w:rPr>
        <w:t xml:space="preserve"> </w:t>
      </w:r>
    </w:p>
    <w:p w14:paraId="4F0F9445" w14:textId="77777777" w:rsidR="000F4D6E" w:rsidRPr="000F4D6E" w:rsidRDefault="000F4D6E" w:rsidP="000F4D6E">
      <w:pPr>
        <w:pStyle w:val="ListParagraph"/>
        <w:rPr>
          <w:rFonts w:ascii="Arial" w:hAnsi="Arial" w:cs="Arial"/>
        </w:rPr>
      </w:pPr>
    </w:p>
    <w:p w14:paraId="2C6A7BCA" w14:textId="5305AA17" w:rsidR="000F4D6E" w:rsidRPr="00620B9E" w:rsidRDefault="00620B9E" w:rsidP="00620B9E">
      <w:pPr>
        <w:spacing w:after="160" w:line="360" w:lineRule="auto"/>
        <w:ind w:left="1276" w:hanging="709"/>
        <w:jc w:val="both"/>
        <w:rPr>
          <w:rFonts w:ascii="Arial" w:hAnsi="Arial" w:cs="Arial"/>
        </w:rPr>
      </w:pPr>
      <w:r w:rsidRPr="000F4D6E">
        <w:rPr>
          <w:rFonts w:ascii="Arial" w:hAnsi="Arial" w:cs="Arial"/>
        </w:rPr>
        <w:t>8.1.</w:t>
      </w:r>
      <w:r w:rsidRPr="000F4D6E">
        <w:rPr>
          <w:rFonts w:ascii="Arial" w:hAnsi="Arial" w:cs="Arial"/>
        </w:rPr>
        <w:tab/>
      </w:r>
      <w:r w:rsidR="0006793C" w:rsidRPr="00620B9E">
        <w:rPr>
          <w:rFonts w:ascii="Arial" w:hAnsi="Arial" w:cs="Arial"/>
        </w:rPr>
        <w:t xml:space="preserve">The Clarification affidavit filed by the Applicants was done without the permission of the court and there was no formal application to admit the same. It was </w:t>
      </w:r>
      <w:r w:rsidR="00E5106B" w:rsidRPr="00620B9E">
        <w:rPr>
          <w:rFonts w:ascii="Arial" w:hAnsi="Arial" w:cs="Arial"/>
        </w:rPr>
        <w:t xml:space="preserve">therefore </w:t>
      </w:r>
      <w:r w:rsidR="0006793C" w:rsidRPr="00620B9E">
        <w:rPr>
          <w:rFonts w:ascii="Arial" w:hAnsi="Arial" w:cs="Arial"/>
        </w:rPr>
        <w:t xml:space="preserve">regarded as </w:t>
      </w:r>
      <w:r w:rsidR="0006793C" w:rsidRPr="00620B9E">
        <w:rPr>
          <w:rFonts w:ascii="Arial" w:hAnsi="Arial" w:cs="Arial"/>
          <w:i/>
          <w:iCs/>
        </w:rPr>
        <w:t xml:space="preserve">pro non scripto. </w:t>
      </w:r>
    </w:p>
    <w:p w14:paraId="1CD54B28" w14:textId="77777777" w:rsidR="000F4D6E" w:rsidRPr="000F4D6E" w:rsidRDefault="000F4D6E" w:rsidP="00C229CB">
      <w:pPr>
        <w:pStyle w:val="ListParagraph"/>
        <w:spacing w:after="160"/>
        <w:ind w:left="1276"/>
        <w:jc w:val="both"/>
        <w:rPr>
          <w:rFonts w:ascii="Arial" w:hAnsi="Arial" w:cs="Arial"/>
        </w:rPr>
      </w:pPr>
    </w:p>
    <w:p w14:paraId="48F241B3" w14:textId="6B12894C" w:rsidR="000F4D6E" w:rsidRPr="00620B9E" w:rsidRDefault="00620B9E" w:rsidP="00620B9E">
      <w:pPr>
        <w:spacing w:after="160" w:line="360" w:lineRule="auto"/>
        <w:ind w:left="1276" w:hanging="709"/>
        <w:jc w:val="both"/>
        <w:rPr>
          <w:rFonts w:ascii="Arial" w:hAnsi="Arial" w:cs="Arial"/>
        </w:rPr>
      </w:pPr>
      <w:r>
        <w:rPr>
          <w:rFonts w:ascii="Arial" w:hAnsi="Arial" w:cs="Arial"/>
        </w:rPr>
        <w:t>8.2.</w:t>
      </w:r>
      <w:r>
        <w:rPr>
          <w:rFonts w:ascii="Arial" w:hAnsi="Arial" w:cs="Arial"/>
        </w:rPr>
        <w:tab/>
      </w:r>
      <w:r w:rsidR="00A137C0" w:rsidRPr="00620B9E">
        <w:rPr>
          <w:rFonts w:ascii="Arial" w:hAnsi="Arial" w:cs="Arial"/>
        </w:rPr>
        <w:t>The Applicants</w:t>
      </w:r>
      <w:r w:rsidR="00C229CB" w:rsidRPr="00620B9E">
        <w:rPr>
          <w:rFonts w:ascii="Arial" w:hAnsi="Arial" w:cs="Arial"/>
        </w:rPr>
        <w:t xml:space="preserve"> tendered</w:t>
      </w:r>
      <w:r w:rsidR="00A137C0" w:rsidRPr="00620B9E">
        <w:rPr>
          <w:rFonts w:ascii="Arial" w:hAnsi="Arial" w:cs="Arial"/>
        </w:rPr>
        <w:t xml:space="preserve"> evidence </w:t>
      </w:r>
      <w:r w:rsidR="0033029E" w:rsidRPr="00620B9E">
        <w:rPr>
          <w:rFonts w:ascii="Arial" w:hAnsi="Arial" w:cs="Arial"/>
        </w:rPr>
        <w:t xml:space="preserve">to the section 381 enquiry </w:t>
      </w:r>
      <w:r w:rsidR="0040532C" w:rsidRPr="00620B9E">
        <w:rPr>
          <w:rFonts w:ascii="Arial" w:hAnsi="Arial" w:cs="Arial"/>
        </w:rPr>
        <w:t>was</w:t>
      </w:r>
      <w:r w:rsidR="00A137C0" w:rsidRPr="00620B9E">
        <w:rPr>
          <w:rFonts w:ascii="Arial" w:hAnsi="Arial" w:cs="Arial"/>
        </w:rPr>
        <w:t xml:space="preserve"> </w:t>
      </w:r>
      <w:r w:rsidR="0033029E" w:rsidRPr="00620B9E">
        <w:rPr>
          <w:rFonts w:ascii="Arial" w:hAnsi="Arial" w:cs="Arial"/>
        </w:rPr>
        <w:t>un</w:t>
      </w:r>
      <w:r w:rsidR="00A137C0" w:rsidRPr="00620B9E">
        <w:rPr>
          <w:rFonts w:ascii="Arial" w:hAnsi="Arial" w:cs="Arial"/>
        </w:rPr>
        <w:t xml:space="preserve">supported </w:t>
      </w:r>
      <w:r w:rsidR="0033029E" w:rsidRPr="00620B9E">
        <w:rPr>
          <w:rFonts w:ascii="Arial" w:hAnsi="Arial" w:cs="Arial"/>
        </w:rPr>
        <w:t>because of the lack of</w:t>
      </w:r>
      <w:r w:rsidR="00A137C0" w:rsidRPr="00620B9E">
        <w:rPr>
          <w:rFonts w:ascii="Arial" w:hAnsi="Arial" w:cs="Arial"/>
        </w:rPr>
        <w:t xml:space="preserve"> confirmatory affidavit</w:t>
      </w:r>
      <w:r w:rsidR="0033029E" w:rsidRPr="00620B9E">
        <w:rPr>
          <w:rFonts w:ascii="Arial" w:hAnsi="Arial" w:cs="Arial"/>
        </w:rPr>
        <w:t>s</w:t>
      </w:r>
      <w:r w:rsidR="00A137C0" w:rsidRPr="00620B9E">
        <w:rPr>
          <w:rFonts w:ascii="Arial" w:hAnsi="Arial" w:cs="Arial"/>
        </w:rPr>
        <w:t xml:space="preserve"> by</w:t>
      </w:r>
      <w:r w:rsidR="00D10072" w:rsidRPr="00620B9E">
        <w:rPr>
          <w:rFonts w:ascii="Arial" w:hAnsi="Arial" w:cs="Arial"/>
        </w:rPr>
        <w:t xml:space="preserve"> any of</w:t>
      </w:r>
      <w:r w:rsidR="00A137C0" w:rsidRPr="00620B9E">
        <w:rPr>
          <w:rFonts w:ascii="Arial" w:hAnsi="Arial" w:cs="Arial"/>
        </w:rPr>
        <w:t xml:space="preserve"> the individuals referred to</w:t>
      </w:r>
      <w:r w:rsidR="0033029E" w:rsidRPr="00620B9E">
        <w:rPr>
          <w:rFonts w:ascii="Arial" w:hAnsi="Arial" w:cs="Arial"/>
        </w:rPr>
        <w:t xml:space="preserve"> in the answering affidavit</w:t>
      </w:r>
      <w:r w:rsidR="00A137C0" w:rsidRPr="00620B9E">
        <w:rPr>
          <w:rFonts w:ascii="Arial" w:hAnsi="Arial" w:cs="Arial"/>
        </w:rPr>
        <w:t xml:space="preserve">. </w:t>
      </w:r>
    </w:p>
    <w:p w14:paraId="10CF473F" w14:textId="77777777" w:rsidR="000F4D6E" w:rsidRPr="000F4D6E" w:rsidRDefault="000F4D6E" w:rsidP="000F4D6E">
      <w:pPr>
        <w:pStyle w:val="ListParagraph"/>
        <w:rPr>
          <w:rFonts w:ascii="Arial" w:hAnsi="Arial" w:cs="Arial"/>
        </w:rPr>
      </w:pPr>
    </w:p>
    <w:p w14:paraId="030E29BC" w14:textId="3D49AA32" w:rsidR="0006793C" w:rsidRPr="00620B9E" w:rsidRDefault="00620B9E" w:rsidP="00620B9E">
      <w:pPr>
        <w:spacing w:after="160" w:line="360" w:lineRule="auto"/>
        <w:ind w:left="1276" w:hanging="709"/>
        <w:jc w:val="both"/>
        <w:rPr>
          <w:rFonts w:ascii="Arial" w:hAnsi="Arial" w:cs="Arial"/>
        </w:rPr>
      </w:pPr>
      <w:r>
        <w:rPr>
          <w:rFonts w:ascii="Arial" w:hAnsi="Arial" w:cs="Arial"/>
        </w:rPr>
        <w:t>8.3.</w:t>
      </w:r>
      <w:r>
        <w:rPr>
          <w:rFonts w:ascii="Arial" w:hAnsi="Arial" w:cs="Arial"/>
        </w:rPr>
        <w:tab/>
      </w:r>
      <w:r w:rsidR="0006793C" w:rsidRPr="00620B9E">
        <w:rPr>
          <w:rFonts w:ascii="Arial" w:hAnsi="Arial" w:cs="Arial"/>
        </w:rPr>
        <w:t>The section 381 enquiry in terms of the Companies Act</w:t>
      </w:r>
      <w:r w:rsidR="000A45C2" w:rsidRPr="00620B9E">
        <w:rPr>
          <w:rFonts w:ascii="Arial" w:hAnsi="Arial" w:cs="Arial"/>
        </w:rPr>
        <w:t xml:space="preserve"> </w:t>
      </w:r>
      <w:r w:rsidR="0006793C">
        <w:rPr>
          <w:rStyle w:val="FootnoteReference"/>
          <w:rFonts w:ascii="Arial" w:hAnsi="Arial" w:cs="Arial"/>
        </w:rPr>
        <w:footnoteReference w:id="4"/>
      </w:r>
      <w:r w:rsidR="0006793C" w:rsidRPr="00620B9E">
        <w:rPr>
          <w:rFonts w:ascii="Arial" w:hAnsi="Arial" w:cs="Arial"/>
        </w:rPr>
        <w:t xml:space="preserve"> is not a defence to the </w:t>
      </w:r>
      <w:r w:rsidR="0006793C" w:rsidRPr="00620B9E">
        <w:rPr>
          <w:rFonts w:ascii="Arial" w:hAnsi="Arial" w:cs="Arial"/>
          <w:i/>
          <w:iCs/>
        </w:rPr>
        <w:t xml:space="preserve">rei vindicatio. </w:t>
      </w:r>
      <w:r w:rsidR="0006793C" w:rsidRPr="00620B9E">
        <w:rPr>
          <w:rFonts w:ascii="Arial" w:hAnsi="Arial" w:cs="Arial"/>
        </w:rPr>
        <w:t xml:space="preserve">It is and remain an enquiry by the Master into the conduct of the liquidator and has no bearing on the Respondents as the registered owner </w:t>
      </w:r>
      <w:r w:rsidR="000A45C2" w:rsidRPr="00620B9E">
        <w:rPr>
          <w:rFonts w:ascii="Arial" w:hAnsi="Arial" w:cs="Arial"/>
        </w:rPr>
        <w:t>or</w:t>
      </w:r>
      <w:r w:rsidR="0006793C" w:rsidRPr="00620B9E">
        <w:rPr>
          <w:rFonts w:ascii="Arial" w:hAnsi="Arial" w:cs="Arial"/>
        </w:rPr>
        <w:t xml:space="preserve"> the right to occupation. </w:t>
      </w:r>
    </w:p>
    <w:p w14:paraId="565EDC05" w14:textId="77777777" w:rsidR="000F4D6E" w:rsidRPr="000F4D6E" w:rsidRDefault="000F4D6E" w:rsidP="000F4D6E">
      <w:pPr>
        <w:pStyle w:val="ListParagraph"/>
        <w:rPr>
          <w:rFonts w:ascii="Arial" w:hAnsi="Arial" w:cs="Arial"/>
        </w:rPr>
      </w:pPr>
    </w:p>
    <w:p w14:paraId="4C6EBB91" w14:textId="013F144E" w:rsidR="00E5106B" w:rsidRPr="00620B9E" w:rsidRDefault="00620B9E" w:rsidP="00620B9E">
      <w:pPr>
        <w:spacing w:after="160" w:line="360" w:lineRule="auto"/>
        <w:ind w:left="1276" w:hanging="709"/>
        <w:jc w:val="both"/>
        <w:rPr>
          <w:rFonts w:ascii="Arial" w:hAnsi="Arial" w:cs="Arial"/>
        </w:rPr>
      </w:pPr>
      <w:r w:rsidRPr="00250D7E">
        <w:rPr>
          <w:rFonts w:ascii="Arial" w:hAnsi="Arial" w:cs="Arial"/>
        </w:rPr>
        <w:t>8.4.</w:t>
      </w:r>
      <w:r w:rsidRPr="00250D7E">
        <w:rPr>
          <w:rFonts w:ascii="Arial" w:hAnsi="Arial" w:cs="Arial"/>
        </w:rPr>
        <w:tab/>
      </w:r>
      <w:r w:rsidR="000F4D6E" w:rsidRPr="00620B9E">
        <w:rPr>
          <w:rFonts w:ascii="Arial" w:hAnsi="Arial" w:cs="Arial"/>
        </w:rPr>
        <w:t>Lastly</w:t>
      </w:r>
      <w:r w:rsidR="00C229CB" w:rsidRPr="00620B9E">
        <w:rPr>
          <w:rFonts w:ascii="Arial" w:hAnsi="Arial" w:cs="Arial"/>
        </w:rPr>
        <w:t>, the order obtained by Cloete Murray NO (Joint Liquidators) on 19 January 2023 before my sister</w:t>
      </w:r>
      <w:r w:rsidR="0035796F" w:rsidRPr="00620B9E">
        <w:rPr>
          <w:rFonts w:ascii="Arial" w:hAnsi="Arial" w:cs="Arial"/>
        </w:rPr>
        <w:t>,</w:t>
      </w:r>
      <w:r w:rsidR="00C229CB" w:rsidRPr="00620B9E">
        <w:rPr>
          <w:rFonts w:ascii="Arial" w:hAnsi="Arial" w:cs="Arial"/>
        </w:rPr>
        <w:t xml:space="preserve"> Justice Janse van Nieuwenhuizen militates against the assertions levelled against the liquidators</w:t>
      </w:r>
      <w:r w:rsidR="0033029E" w:rsidRPr="00620B9E">
        <w:rPr>
          <w:rFonts w:ascii="Arial" w:hAnsi="Arial" w:cs="Arial"/>
        </w:rPr>
        <w:t xml:space="preserve"> that sold the property</w:t>
      </w:r>
      <w:r w:rsidR="00C229CB" w:rsidRPr="00620B9E">
        <w:rPr>
          <w:rFonts w:ascii="Arial" w:hAnsi="Arial" w:cs="Arial"/>
        </w:rPr>
        <w:t xml:space="preserve">. </w:t>
      </w:r>
    </w:p>
    <w:p w14:paraId="6A51A9E7" w14:textId="0F87B72A" w:rsidR="0035796F" w:rsidRPr="00620B9E" w:rsidRDefault="00620B9E" w:rsidP="00620B9E">
      <w:pPr>
        <w:spacing w:after="160" w:line="360" w:lineRule="auto"/>
        <w:ind w:left="567" w:hanging="567"/>
        <w:jc w:val="both"/>
        <w:rPr>
          <w:rFonts w:ascii="Arial" w:hAnsi="Arial" w:cs="Arial"/>
        </w:rPr>
      </w:pPr>
      <w:r>
        <w:rPr>
          <w:rFonts w:ascii="Arial" w:hAnsi="Arial" w:cs="Arial"/>
        </w:rPr>
        <w:t>9.</w:t>
      </w:r>
      <w:r>
        <w:rPr>
          <w:rFonts w:ascii="Arial" w:hAnsi="Arial" w:cs="Arial"/>
        </w:rPr>
        <w:tab/>
      </w:r>
      <w:r w:rsidR="007B35EC" w:rsidRPr="00620B9E">
        <w:rPr>
          <w:rFonts w:ascii="Arial" w:hAnsi="Arial" w:cs="Arial"/>
        </w:rPr>
        <w:t xml:space="preserve">With reference to </w:t>
      </w:r>
      <w:r w:rsidR="007B35EC" w:rsidRPr="00620B9E">
        <w:rPr>
          <w:rFonts w:ascii="Arial" w:hAnsi="Arial" w:cs="Arial"/>
          <w:b/>
          <w:bCs/>
          <w:i/>
          <w:iCs/>
        </w:rPr>
        <w:t>Soffiantini v Mould</w:t>
      </w:r>
      <w:r w:rsidR="00D10072" w:rsidRPr="00620B9E">
        <w:rPr>
          <w:rFonts w:ascii="Arial" w:hAnsi="Arial" w:cs="Arial"/>
          <w:b/>
          <w:bCs/>
          <w:i/>
          <w:iCs/>
        </w:rPr>
        <w:t xml:space="preserve"> </w:t>
      </w:r>
      <w:r w:rsidR="007B35EC">
        <w:rPr>
          <w:rStyle w:val="FootnoteReference"/>
          <w:rFonts w:ascii="Arial" w:hAnsi="Arial" w:cs="Arial"/>
          <w:b/>
          <w:bCs/>
          <w:i/>
          <w:iCs/>
        </w:rPr>
        <w:footnoteReference w:id="5"/>
      </w:r>
      <w:r w:rsidR="007B35EC" w:rsidRPr="00620B9E">
        <w:rPr>
          <w:rFonts w:ascii="Arial" w:hAnsi="Arial" w:cs="Arial"/>
        </w:rPr>
        <w:t xml:space="preserve"> it was held:</w:t>
      </w:r>
    </w:p>
    <w:p w14:paraId="00BDE11B" w14:textId="77777777" w:rsidR="007B35EC" w:rsidRDefault="007B35EC" w:rsidP="00E5106B">
      <w:pPr>
        <w:pStyle w:val="ListParagraph"/>
        <w:spacing w:after="160"/>
        <w:ind w:left="567"/>
        <w:jc w:val="both"/>
        <w:rPr>
          <w:rFonts w:ascii="Arial" w:hAnsi="Arial" w:cs="Arial"/>
        </w:rPr>
      </w:pPr>
    </w:p>
    <w:p w14:paraId="0F92BBA2" w14:textId="0CA2494A" w:rsidR="007B35EC" w:rsidRPr="00D10072" w:rsidRDefault="007B35EC" w:rsidP="007B35EC">
      <w:pPr>
        <w:pStyle w:val="ListParagraph"/>
        <w:spacing w:after="160" w:line="360" w:lineRule="auto"/>
        <w:ind w:left="567"/>
        <w:jc w:val="both"/>
        <w:rPr>
          <w:rFonts w:ascii="Arial" w:hAnsi="Arial" w:cs="Arial"/>
          <w:sz w:val="20"/>
          <w:szCs w:val="20"/>
        </w:rPr>
      </w:pPr>
      <w:r w:rsidRPr="00D10072">
        <w:rPr>
          <w:rFonts w:ascii="Arial" w:hAnsi="Arial" w:cs="Arial"/>
          <w:sz w:val="20"/>
          <w:szCs w:val="20"/>
        </w:rPr>
        <w:t>“If by mere denial in general terms the respondent can defeat or delay an applicant who comes to court on motion, then motion proceedings are worthless, for a respondent can always defeat or delay petitioners by such a device.</w:t>
      </w:r>
    </w:p>
    <w:p w14:paraId="2D16CD94" w14:textId="77777777" w:rsidR="007B35EC" w:rsidRPr="00D10072" w:rsidRDefault="007B35EC" w:rsidP="00D10072">
      <w:pPr>
        <w:pStyle w:val="ListParagraph"/>
        <w:spacing w:after="160"/>
        <w:ind w:left="567"/>
        <w:jc w:val="both"/>
        <w:rPr>
          <w:rFonts w:ascii="Arial" w:hAnsi="Arial" w:cs="Arial"/>
          <w:sz w:val="20"/>
          <w:szCs w:val="20"/>
        </w:rPr>
      </w:pPr>
    </w:p>
    <w:p w14:paraId="569DE935" w14:textId="1A454928" w:rsidR="007B35EC" w:rsidRPr="009569F0" w:rsidRDefault="007B35EC" w:rsidP="007B35EC">
      <w:pPr>
        <w:pStyle w:val="ListParagraph"/>
        <w:spacing w:after="160" w:line="360" w:lineRule="auto"/>
        <w:ind w:left="567"/>
        <w:jc w:val="both"/>
        <w:rPr>
          <w:rFonts w:ascii="Tahoma" w:hAnsi="Tahoma" w:cs="Tahoma"/>
        </w:rPr>
      </w:pPr>
      <w:r w:rsidRPr="00D10072">
        <w:rPr>
          <w:rFonts w:ascii="Arial" w:hAnsi="Arial" w:cs="Arial"/>
          <w:sz w:val="20"/>
          <w:szCs w:val="20"/>
        </w:rPr>
        <w:t xml:space="preserve">It is necessary to make a robust, </w:t>
      </w:r>
      <w:r w:rsidR="00D23C94" w:rsidRPr="00D10072">
        <w:rPr>
          <w:rFonts w:ascii="Arial" w:hAnsi="Arial" w:cs="Arial"/>
          <w:sz w:val="20"/>
          <w:szCs w:val="20"/>
        </w:rPr>
        <w:t>common-sense</w:t>
      </w:r>
      <w:r w:rsidRPr="00D10072">
        <w:rPr>
          <w:rFonts w:ascii="Arial" w:hAnsi="Arial" w:cs="Arial"/>
          <w:sz w:val="20"/>
          <w:szCs w:val="20"/>
        </w:rPr>
        <w:t xml:space="preserve"> approach to a dispute on motion as otherwise the effective functioning of the court can be hamstrung and circumvented by the most simple and blatant stratagem. </w:t>
      </w:r>
      <w:r w:rsidRPr="00D23FAC">
        <w:rPr>
          <w:rFonts w:ascii="Arial" w:hAnsi="Arial" w:cs="Arial"/>
          <w:b/>
          <w:bCs/>
          <w:sz w:val="20"/>
          <w:szCs w:val="20"/>
        </w:rPr>
        <w:t>The court must not hesitate to decide an issue of fact on affidavit merely because it may be difficult to do so, justice can be defeated or seriously impeded and delayed by an over-fastidious approach to a dispute raised in the affidavits</w:t>
      </w:r>
      <w:r w:rsidRPr="00D10072">
        <w:rPr>
          <w:rFonts w:ascii="Arial" w:hAnsi="Arial" w:cs="Arial"/>
          <w:sz w:val="20"/>
          <w:szCs w:val="20"/>
        </w:rPr>
        <w:t xml:space="preserve">.” </w:t>
      </w:r>
      <w:r w:rsidR="009569F0">
        <w:rPr>
          <w:rFonts w:ascii="Tahoma" w:hAnsi="Tahoma" w:cs="Tahoma"/>
        </w:rPr>
        <w:t>(Own emphasis)</w:t>
      </w:r>
    </w:p>
    <w:p w14:paraId="1BAE6E47" w14:textId="77777777" w:rsidR="007B35EC" w:rsidRDefault="007B35EC" w:rsidP="007B35EC">
      <w:pPr>
        <w:pStyle w:val="ListParagraph"/>
        <w:spacing w:after="160" w:line="360" w:lineRule="auto"/>
        <w:ind w:left="567"/>
        <w:jc w:val="both"/>
        <w:rPr>
          <w:rFonts w:ascii="Arial" w:hAnsi="Arial" w:cs="Arial"/>
        </w:rPr>
      </w:pPr>
    </w:p>
    <w:p w14:paraId="3D737C11" w14:textId="1675B1B5" w:rsidR="007B35EC" w:rsidRPr="00620B9E" w:rsidRDefault="00620B9E" w:rsidP="00620B9E">
      <w:pPr>
        <w:spacing w:after="160" w:line="360" w:lineRule="auto"/>
        <w:ind w:left="567" w:hanging="567"/>
        <w:jc w:val="both"/>
        <w:rPr>
          <w:rFonts w:ascii="Arial" w:hAnsi="Arial" w:cs="Arial"/>
        </w:rPr>
      </w:pPr>
      <w:r>
        <w:rPr>
          <w:rFonts w:ascii="Arial" w:hAnsi="Arial" w:cs="Arial"/>
        </w:rPr>
        <w:t>10.</w:t>
      </w:r>
      <w:r>
        <w:rPr>
          <w:rFonts w:ascii="Arial" w:hAnsi="Arial" w:cs="Arial"/>
        </w:rPr>
        <w:tab/>
      </w:r>
      <w:r w:rsidR="007B35EC" w:rsidRPr="00620B9E">
        <w:rPr>
          <w:rFonts w:ascii="Arial" w:hAnsi="Arial" w:cs="Arial"/>
        </w:rPr>
        <w:t>It is an abused and often-utilised stratagem by practitioners to argue that a dispute of fact exist</w:t>
      </w:r>
      <w:r w:rsidR="00D23C94" w:rsidRPr="00620B9E">
        <w:rPr>
          <w:rFonts w:ascii="Arial" w:hAnsi="Arial" w:cs="Arial"/>
        </w:rPr>
        <w:t>s</w:t>
      </w:r>
      <w:r w:rsidR="007B35EC" w:rsidRPr="00620B9E">
        <w:rPr>
          <w:rFonts w:ascii="Arial" w:hAnsi="Arial" w:cs="Arial"/>
        </w:rPr>
        <w:t xml:space="preserve"> where there is none. </w:t>
      </w:r>
      <w:r w:rsidR="00D23C94" w:rsidRPr="00620B9E">
        <w:rPr>
          <w:rFonts w:ascii="Arial" w:hAnsi="Arial" w:cs="Arial"/>
        </w:rPr>
        <w:t>On the real issue</w:t>
      </w:r>
      <w:r w:rsidR="009569F0" w:rsidRPr="00620B9E">
        <w:rPr>
          <w:rFonts w:ascii="Arial" w:hAnsi="Arial" w:cs="Arial"/>
        </w:rPr>
        <w:t xml:space="preserve"> </w:t>
      </w:r>
      <w:r w:rsidR="000A45C2" w:rsidRPr="00620B9E">
        <w:rPr>
          <w:rFonts w:ascii="Arial" w:hAnsi="Arial" w:cs="Arial"/>
        </w:rPr>
        <w:t>in question i.e.</w:t>
      </w:r>
      <w:r w:rsidR="00D23C94" w:rsidRPr="00620B9E">
        <w:rPr>
          <w:rFonts w:ascii="Arial" w:hAnsi="Arial" w:cs="Arial"/>
        </w:rPr>
        <w:t xml:space="preserve"> the eviction</w:t>
      </w:r>
      <w:r w:rsidR="00D10072" w:rsidRPr="00620B9E">
        <w:rPr>
          <w:rFonts w:ascii="Arial" w:hAnsi="Arial" w:cs="Arial"/>
        </w:rPr>
        <w:t>,</w:t>
      </w:r>
      <w:r w:rsidR="00D23C94" w:rsidRPr="00620B9E">
        <w:rPr>
          <w:rFonts w:ascii="Arial" w:hAnsi="Arial" w:cs="Arial"/>
        </w:rPr>
        <w:t xml:space="preserve"> there </w:t>
      </w:r>
      <w:r w:rsidR="000A45C2" w:rsidRPr="00620B9E">
        <w:rPr>
          <w:rFonts w:ascii="Arial" w:hAnsi="Arial" w:cs="Arial"/>
        </w:rPr>
        <w:t>is</w:t>
      </w:r>
      <w:r w:rsidR="00D23C94" w:rsidRPr="00620B9E">
        <w:rPr>
          <w:rFonts w:ascii="Arial" w:hAnsi="Arial" w:cs="Arial"/>
        </w:rPr>
        <w:t xml:space="preserve"> no dispute of fact.</w:t>
      </w:r>
    </w:p>
    <w:p w14:paraId="3E6F4F10" w14:textId="77777777" w:rsidR="00D23C94" w:rsidRDefault="00D23C94" w:rsidP="00D10072">
      <w:pPr>
        <w:pStyle w:val="ListParagraph"/>
        <w:spacing w:after="160"/>
        <w:ind w:left="567"/>
        <w:jc w:val="both"/>
        <w:rPr>
          <w:rFonts w:ascii="Arial" w:hAnsi="Arial" w:cs="Arial"/>
        </w:rPr>
      </w:pPr>
    </w:p>
    <w:p w14:paraId="213DDAFB" w14:textId="08C888F7" w:rsidR="00D23C94" w:rsidRPr="00620B9E" w:rsidRDefault="00620B9E" w:rsidP="00620B9E">
      <w:pPr>
        <w:spacing w:after="160" w:line="360" w:lineRule="auto"/>
        <w:ind w:left="567" w:hanging="567"/>
        <w:jc w:val="both"/>
        <w:rPr>
          <w:rFonts w:ascii="Arial" w:hAnsi="Arial" w:cs="Arial"/>
        </w:rPr>
      </w:pPr>
      <w:r w:rsidRPr="00D23C94">
        <w:rPr>
          <w:rFonts w:ascii="Arial" w:hAnsi="Arial" w:cs="Arial"/>
        </w:rPr>
        <w:t>11.</w:t>
      </w:r>
      <w:r w:rsidRPr="00D23C94">
        <w:rPr>
          <w:rFonts w:ascii="Arial" w:hAnsi="Arial" w:cs="Arial"/>
        </w:rPr>
        <w:tab/>
      </w:r>
      <w:r w:rsidR="00D23C94" w:rsidRPr="00620B9E">
        <w:rPr>
          <w:rFonts w:ascii="Tahoma" w:hAnsi="Tahoma" w:cs="Tahoma"/>
          <w:color w:val="000000"/>
          <w:lang w:val="en-US"/>
        </w:rPr>
        <w:t>The test to be applied in an application for leave to appeal is set out in </w:t>
      </w:r>
      <w:hyperlink r:id="rId10" w:anchor="s17" w:history="1">
        <w:r w:rsidR="00D23C94" w:rsidRPr="00620B9E">
          <w:rPr>
            <w:rStyle w:val="Hyperlink"/>
            <w:rFonts w:ascii="Tahoma" w:hAnsi="Tahoma" w:cs="Tahoma"/>
            <w:b/>
            <w:bCs/>
            <w:color w:val="0B4B0B"/>
            <w:lang w:val="en-US"/>
          </w:rPr>
          <w:t>section 17(1)(a)</w:t>
        </w:r>
      </w:hyperlink>
      <w:r w:rsidR="00D23C94" w:rsidRPr="00620B9E">
        <w:rPr>
          <w:rFonts w:ascii="Tahoma" w:hAnsi="Tahoma" w:cs="Tahoma"/>
          <w:color w:val="000000"/>
          <w:lang w:val="en-US"/>
        </w:rPr>
        <w:t> of the </w:t>
      </w:r>
      <w:hyperlink r:id="rId11" w:history="1">
        <w:r w:rsidR="00D23C94" w:rsidRPr="00620B9E">
          <w:rPr>
            <w:rStyle w:val="Hyperlink"/>
            <w:rFonts w:ascii="Tahoma" w:hAnsi="Tahoma" w:cs="Tahoma"/>
            <w:b/>
            <w:bCs/>
            <w:color w:val="0B4B0B"/>
            <w:lang w:val="en-US"/>
          </w:rPr>
          <w:t>Superior </w:t>
        </w:r>
      </w:hyperlink>
      <w:hyperlink r:id="rId12" w:history="1">
        <w:r w:rsidR="00D23C94" w:rsidRPr="00620B9E">
          <w:rPr>
            <w:rStyle w:val="Hyperlink"/>
            <w:rFonts w:ascii="Tahoma" w:hAnsi="Tahoma" w:cs="Tahoma"/>
            <w:b/>
            <w:bCs/>
            <w:color w:val="0B4B0B"/>
            <w:lang w:val="en-US"/>
          </w:rPr>
          <w:t>Courts Act</w:t>
        </w:r>
      </w:hyperlink>
      <w:hyperlink r:id="rId13" w:history="1">
        <w:r w:rsidR="00D23C94" w:rsidRPr="00620B9E">
          <w:rPr>
            <w:rStyle w:val="Hyperlink"/>
            <w:rFonts w:ascii="Tahoma" w:hAnsi="Tahoma" w:cs="Tahoma"/>
            <w:b/>
            <w:bCs/>
            <w:color w:val="000000"/>
            <w:lang w:val="en-US"/>
          </w:rPr>
          <w:t> </w:t>
        </w:r>
      </w:hyperlink>
      <w:hyperlink r:id="rId14" w:history="1">
        <w:r w:rsidR="00D23C94" w:rsidRPr="00620B9E">
          <w:rPr>
            <w:rStyle w:val="Hyperlink"/>
            <w:rFonts w:ascii="Tahoma" w:hAnsi="Tahoma" w:cs="Tahoma"/>
            <w:b/>
            <w:bCs/>
            <w:color w:val="0B4B0B"/>
          </w:rPr>
          <w:t>10 of 2013</w:t>
        </w:r>
      </w:hyperlink>
      <w:r w:rsidR="00D23C94" w:rsidRPr="00620B9E">
        <w:rPr>
          <w:rFonts w:ascii="Tahoma" w:hAnsi="Tahoma" w:cs="Tahoma"/>
          <w:color w:val="000000"/>
        </w:rPr>
        <w:t> which provides that:</w:t>
      </w:r>
    </w:p>
    <w:p w14:paraId="4C6D613C" w14:textId="1D0ADBF8" w:rsidR="00D23C94" w:rsidRPr="00D10072" w:rsidRDefault="00D23C94" w:rsidP="00D23C94">
      <w:pPr>
        <w:pStyle w:val="NormalWeb"/>
        <w:shd w:val="clear" w:color="auto" w:fill="FFFFFF"/>
        <w:spacing w:before="144" w:beforeAutospacing="0" w:after="0" w:afterAutospacing="0" w:line="360" w:lineRule="atLeast"/>
        <w:ind w:left="567"/>
        <w:jc w:val="both"/>
        <w:rPr>
          <w:rFonts w:ascii="Tahoma" w:hAnsi="Tahoma" w:cs="Tahoma"/>
          <w:color w:val="242121"/>
          <w:sz w:val="20"/>
          <w:szCs w:val="20"/>
        </w:rPr>
      </w:pPr>
      <w:r w:rsidRPr="00D10072">
        <w:rPr>
          <w:rFonts w:ascii="Tahoma" w:hAnsi="Tahoma" w:cs="Tahoma"/>
          <w:color w:val="000000"/>
          <w:sz w:val="20"/>
          <w:szCs w:val="20"/>
        </w:rPr>
        <w:t>“</w:t>
      </w:r>
      <w:r w:rsidRPr="00D10072">
        <w:rPr>
          <w:rFonts w:ascii="Tahoma" w:hAnsi="Tahoma" w:cs="Tahoma"/>
          <w:i/>
          <w:iCs/>
          <w:color w:val="000000"/>
          <w:sz w:val="20"/>
          <w:szCs w:val="20"/>
        </w:rPr>
        <w:t>(1) Leave to appeal </w:t>
      </w:r>
      <w:r w:rsidRPr="00D10072">
        <w:rPr>
          <w:rFonts w:ascii="Tahoma" w:hAnsi="Tahoma" w:cs="Tahoma"/>
          <w:b/>
          <w:bCs/>
          <w:i/>
          <w:iCs/>
          <w:color w:val="000000"/>
          <w:sz w:val="20"/>
          <w:szCs w:val="20"/>
        </w:rPr>
        <w:t>may only be given</w:t>
      </w:r>
      <w:r w:rsidRPr="00D10072">
        <w:rPr>
          <w:rFonts w:ascii="Tahoma" w:hAnsi="Tahoma" w:cs="Tahoma"/>
          <w:i/>
          <w:iCs/>
          <w:color w:val="000000"/>
          <w:sz w:val="20"/>
          <w:szCs w:val="20"/>
        </w:rPr>
        <w:t> where the judge or judges concerned are of the opinion that-</w:t>
      </w:r>
      <w:r w:rsidRPr="00D10072">
        <w:rPr>
          <w:rFonts w:ascii="Tahoma" w:hAnsi="Tahoma" w:cs="Tahoma"/>
          <w:color w:val="242121"/>
          <w:sz w:val="20"/>
          <w:szCs w:val="20"/>
        </w:rPr>
        <w:t xml:space="preserve"> </w:t>
      </w:r>
    </w:p>
    <w:p w14:paraId="5DE3952A" w14:textId="2F117976" w:rsidR="00D23C94" w:rsidRPr="00D10072" w:rsidRDefault="00D23C94" w:rsidP="00D23C94">
      <w:pPr>
        <w:pStyle w:val="NormalWeb"/>
        <w:shd w:val="clear" w:color="auto" w:fill="FFFFFF"/>
        <w:spacing w:before="144" w:beforeAutospacing="0" w:after="0" w:afterAutospacing="0" w:line="360" w:lineRule="atLeast"/>
        <w:ind w:left="567"/>
        <w:jc w:val="both"/>
        <w:rPr>
          <w:rFonts w:ascii="Tahoma" w:hAnsi="Tahoma" w:cs="Tahoma"/>
          <w:color w:val="242121"/>
          <w:sz w:val="20"/>
          <w:szCs w:val="20"/>
        </w:rPr>
      </w:pPr>
      <w:r w:rsidRPr="00D10072">
        <w:rPr>
          <w:rFonts w:ascii="Tahoma" w:hAnsi="Tahoma" w:cs="Tahoma"/>
          <w:i/>
          <w:iCs/>
          <w:color w:val="000000"/>
          <w:sz w:val="20"/>
          <w:szCs w:val="20"/>
        </w:rPr>
        <w:lastRenderedPageBreak/>
        <w:t>(a) (i) the appeal </w:t>
      </w:r>
      <w:r w:rsidRPr="00D10072">
        <w:rPr>
          <w:rFonts w:ascii="Tahoma" w:hAnsi="Tahoma" w:cs="Tahoma"/>
          <w:b/>
          <w:bCs/>
          <w:i/>
          <w:iCs/>
          <w:color w:val="000000"/>
          <w:sz w:val="20"/>
          <w:szCs w:val="20"/>
          <w:u w:val="single"/>
        </w:rPr>
        <w:t>would</w:t>
      </w:r>
      <w:r w:rsidRPr="00D10072">
        <w:rPr>
          <w:rFonts w:ascii="Tahoma" w:hAnsi="Tahoma" w:cs="Tahoma"/>
          <w:b/>
          <w:bCs/>
          <w:i/>
          <w:iCs/>
          <w:color w:val="000000"/>
          <w:sz w:val="20"/>
          <w:szCs w:val="20"/>
        </w:rPr>
        <w:t> have a reasonable prospect of success</w:t>
      </w:r>
      <w:r w:rsidRPr="00D10072">
        <w:rPr>
          <w:rFonts w:ascii="Tahoma" w:hAnsi="Tahoma" w:cs="Tahoma"/>
          <w:i/>
          <w:iCs/>
          <w:color w:val="000000"/>
          <w:sz w:val="20"/>
          <w:szCs w:val="20"/>
        </w:rPr>
        <w:t>; or</w:t>
      </w:r>
    </w:p>
    <w:p w14:paraId="3241010C" w14:textId="287D93E2" w:rsidR="00D23C94" w:rsidRPr="00D10072" w:rsidRDefault="00D23C94" w:rsidP="00D10072">
      <w:pPr>
        <w:pStyle w:val="NormalWeb"/>
        <w:shd w:val="clear" w:color="auto" w:fill="FFFFFF"/>
        <w:spacing w:before="144" w:beforeAutospacing="0" w:after="0" w:afterAutospacing="0" w:line="360" w:lineRule="atLeast"/>
        <w:ind w:left="1276" w:hanging="447"/>
        <w:jc w:val="both"/>
        <w:rPr>
          <w:rFonts w:ascii="Tahoma" w:hAnsi="Tahoma" w:cs="Tahoma"/>
          <w:color w:val="242121"/>
          <w:sz w:val="20"/>
          <w:szCs w:val="20"/>
        </w:rPr>
      </w:pPr>
      <w:r w:rsidRPr="00D10072">
        <w:rPr>
          <w:rFonts w:ascii="Tahoma" w:hAnsi="Tahoma" w:cs="Tahoma"/>
          <w:i/>
          <w:iCs/>
          <w:color w:val="000000"/>
          <w:sz w:val="20"/>
          <w:szCs w:val="20"/>
        </w:rPr>
        <w:t>(ii) there is some </w:t>
      </w:r>
      <w:r w:rsidRPr="00D10072">
        <w:rPr>
          <w:rFonts w:ascii="Tahoma" w:hAnsi="Tahoma" w:cs="Tahoma"/>
          <w:b/>
          <w:bCs/>
          <w:i/>
          <w:iCs/>
          <w:color w:val="000000"/>
          <w:sz w:val="20"/>
          <w:szCs w:val="20"/>
        </w:rPr>
        <w:t>other compelling reason</w:t>
      </w:r>
      <w:r w:rsidRPr="00D10072">
        <w:rPr>
          <w:rFonts w:ascii="Tahoma" w:hAnsi="Tahoma" w:cs="Tahoma"/>
          <w:i/>
          <w:iCs/>
          <w:color w:val="000000"/>
          <w:sz w:val="20"/>
          <w:szCs w:val="20"/>
        </w:rPr>
        <w:t> why the appeal should be heard, including conflicting judgments on the matter under consideration;”</w:t>
      </w:r>
      <w:r w:rsidRPr="00D10072">
        <w:rPr>
          <w:rFonts w:ascii="Tahoma" w:hAnsi="Tahoma" w:cs="Tahoma"/>
          <w:color w:val="242121"/>
          <w:sz w:val="20"/>
          <w:szCs w:val="20"/>
        </w:rPr>
        <w:t xml:space="preserve"> </w:t>
      </w:r>
      <w:r w:rsidRPr="00D10072">
        <w:rPr>
          <w:rFonts w:ascii="Tahoma" w:hAnsi="Tahoma" w:cs="Tahoma"/>
          <w:color w:val="000000"/>
        </w:rPr>
        <w:t>(own emphasis)</w:t>
      </w:r>
    </w:p>
    <w:p w14:paraId="12B17BE0" w14:textId="77777777" w:rsidR="007B35EC" w:rsidRPr="00D10072" w:rsidRDefault="007B35EC" w:rsidP="007B35EC">
      <w:pPr>
        <w:pStyle w:val="ListParagraph"/>
        <w:spacing w:after="160" w:line="360" w:lineRule="auto"/>
        <w:ind w:left="567"/>
        <w:jc w:val="both"/>
        <w:rPr>
          <w:rFonts w:ascii="Arial" w:hAnsi="Arial" w:cs="Arial"/>
          <w:sz w:val="20"/>
          <w:szCs w:val="20"/>
        </w:rPr>
      </w:pPr>
    </w:p>
    <w:p w14:paraId="4B1733C3" w14:textId="7724B49E" w:rsidR="00D23C94" w:rsidRPr="00620B9E" w:rsidRDefault="00620B9E" w:rsidP="00620B9E">
      <w:pPr>
        <w:spacing w:after="160" w:line="360" w:lineRule="auto"/>
        <w:ind w:left="567" w:hanging="567"/>
        <w:jc w:val="both"/>
        <w:rPr>
          <w:rFonts w:ascii="Tahoma" w:hAnsi="Tahoma" w:cs="Tahoma"/>
        </w:rPr>
      </w:pPr>
      <w:r w:rsidRPr="00D23C94">
        <w:rPr>
          <w:rFonts w:ascii="Tahoma" w:hAnsi="Tahoma" w:cs="Tahoma"/>
        </w:rPr>
        <w:t>12.</w:t>
      </w:r>
      <w:r w:rsidRPr="00D23C94">
        <w:rPr>
          <w:rFonts w:ascii="Tahoma" w:hAnsi="Tahoma" w:cs="Tahoma"/>
        </w:rPr>
        <w:tab/>
      </w:r>
      <w:r w:rsidR="00D23C94" w:rsidRPr="00620B9E">
        <w:rPr>
          <w:rFonts w:ascii="Tahoma" w:hAnsi="Tahoma" w:cs="Tahoma"/>
          <w:color w:val="242121"/>
        </w:rPr>
        <w:t xml:space="preserve">The Supreme Court of Appeal set out the application for a test to grant leave to appeal </w:t>
      </w:r>
      <w:r w:rsidR="00D23C94" w:rsidRPr="00620B9E">
        <w:rPr>
          <w:rFonts w:ascii="Tahoma" w:hAnsi="Tahoma" w:cs="Tahoma"/>
          <w:i/>
          <w:iCs/>
          <w:color w:val="242121"/>
        </w:rPr>
        <w:t>in </w:t>
      </w:r>
      <w:r w:rsidR="00D23C94" w:rsidRPr="00620B9E">
        <w:rPr>
          <w:rFonts w:ascii="Tahoma" w:hAnsi="Tahoma" w:cs="Tahoma"/>
          <w:b/>
          <w:bCs/>
          <w:i/>
          <w:iCs/>
          <w:color w:val="242121"/>
        </w:rPr>
        <w:t>Cook v Morrisson and Another</w:t>
      </w:r>
      <w:r w:rsidR="0040532C" w:rsidRPr="00620B9E">
        <w:rPr>
          <w:rFonts w:ascii="Tahoma" w:hAnsi="Tahoma" w:cs="Tahoma"/>
          <w:b/>
          <w:bCs/>
          <w:i/>
          <w:iCs/>
          <w:color w:val="242121"/>
        </w:rPr>
        <w:t xml:space="preserve"> </w:t>
      </w:r>
      <w:r w:rsidR="00D23C94">
        <w:rPr>
          <w:rStyle w:val="FootnoteReference"/>
          <w:rFonts w:ascii="Tahoma" w:hAnsi="Tahoma" w:cs="Tahoma"/>
          <w:b/>
          <w:bCs/>
          <w:color w:val="242121"/>
        </w:rPr>
        <w:footnoteReference w:id="6"/>
      </w:r>
      <w:r w:rsidR="00D23C94" w:rsidRPr="00620B9E">
        <w:rPr>
          <w:rFonts w:ascii="Tahoma" w:hAnsi="Tahoma" w:cs="Tahoma"/>
          <w:b/>
          <w:bCs/>
          <w:color w:val="242121"/>
        </w:rPr>
        <w:t> </w:t>
      </w:r>
      <w:r w:rsidR="00D23C94" w:rsidRPr="00620B9E">
        <w:rPr>
          <w:rFonts w:ascii="Tahoma" w:hAnsi="Tahoma" w:cs="Tahoma"/>
          <w:color w:val="242121"/>
        </w:rPr>
        <w:t>as follows:</w:t>
      </w:r>
    </w:p>
    <w:p w14:paraId="560E2ECE" w14:textId="4B7A6499" w:rsidR="00D23C94" w:rsidRDefault="00D23C94" w:rsidP="000A45C2">
      <w:pPr>
        <w:pStyle w:val="NormalWeb"/>
        <w:shd w:val="clear" w:color="auto" w:fill="FFFFFF"/>
        <w:spacing w:before="144" w:beforeAutospacing="0" w:after="0" w:afterAutospacing="0" w:line="360" w:lineRule="atLeast"/>
        <w:ind w:left="567"/>
        <w:jc w:val="both"/>
        <w:rPr>
          <w:rFonts w:ascii="Arial" w:hAnsi="Arial" w:cs="Arial"/>
          <w:i/>
          <w:iCs/>
          <w:color w:val="000000"/>
          <w:sz w:val="20"/>
          <w:szCs w:val="20"/>
          <w:lang w:val="en-US"/>
        </w:rPr>
      </w:pPr>
      <w:r w:rsidRPr="00D10072">
        <w:rPr>
          <w:rFonts w:ascii="Verdana" w:hAnsi="Verdana"/>
          <w:color w:val="000000"/>
          <w:sz w:val="20"/>
          <w:szCs w:val="20"/>
        </w:rPr>
        <w:t>“</w:t>
      </w:r>
      <w:r w:rsidRPr="00D10072">
        <w:rPr>
          <w:rFonts w:ascii="Arial" w:hAnsi="Arial" w:cs="Arial"/>
          <w:i/>
          <w:iCs/>
          <w:color w:val="000000"/>
          <w:sz w:val="20"/>
          <w:szCs w:val="20"/>
          <w:lang w:val="en-US"/>
        </w:rPr>
        <w:t>[8] The existence of reasonable prospects of success is a necessary but insufficient precondition for the granting of special leave. Something more, by way of special circumstances, is needed. These may include that the appeal raises a substantial point of law; or that the prospects of success are so strong that a refusal of leave would result in a manifest denial of justice; or that the matter is of very great importance to the parties or to the public. This is not a closed list (Westinghouse Brake &amp; Equipment (Pty) Ltd v Bilger Engineering (Pty) Ltd </w:t>
      </w:r>
      <w:hyperlink r:id="rId15" w:tgtFrame="main" w:history="1">
        <w:r w:rsidRPr="00D10072">
          <w:rPr>
            <w:rStyle w:val="Hyperlink"/>
            <w:rFonts w:ascii="Arial" w:hAnsi="Arial" w:cs="Arial"/>
            <w:b/>
            <w:bCs/>
            <w:color w:val="0B4B0B"/>
            <w:sz w:val="20"/>
            <w:szCs w:val="20"/>
            <w:lang w:val="en-US"/>
          </w:rPr>
          <w:t>1986 (2) SA 555 (A)</w:t>
        </w:r>
      </w:hyperlink>
      <w:r w:rsidRPr="00D10072">
        <w:rPr>
          <w:rFonts w:ascii="Arial" w:hAnsi="Arial" w:cs="Arial"/>
          <w:i/>
          <w:iCs/>
          <w:color w:val="000000"/>
          <w:sz w:val="20"/>
          <w:szCs w:val="20"/>
          <w:lang w:val="en-US"/>
        </w:rPr>
        <w:t> at 564H – 565E; Director of Public Prosecutions, Gauteng Division, Pretoria v Moabi  </w:t>
      </w:r>
      <w:hyperlink r:id="rId16" w:tooltip="View LawCiteRecord" w:history="1">
        <w:r w:rsidRPr="00D10072">
          <w:rPr>
            <w:rStyle w:val="Hyperlink"/>
            <w:rFonts w:ascii="Arial" w:hAnsi="Arial" w:cs="Arial"/>
            <w:b/>
            <w:bCs/>
            <w:color w:val="0B4B0B"/>
            <w:sz w:val="20"/>
            <w:szCs w:val="20"/>
            <w:lang w:val="en-US"/>
          </w:rPr>
          <w:t>2017 (2) SACR 384</w:t>
        </w:r>
      </w:hyperlink>
      <w:r w:rsidRPr="00D10072">
        <w:rPr>
          <w:rFonts w:ascii="Arial" w:hAnsi="Arial" w:cs="Arial"/>
          <w:i/>
          <w:iCs/>
          <w:color w:val="000000"/>
          <w:sz w:val="20"/>
          <w:szCs w:val="20"/>
          <w:lang w:val="en-US"/>
        </w:rPr>
        <w:t> (SCA) ([2017] ZASCA 85) para 21).”</w:t>
      </w:r>
    </w:p>
    <w:p w14:paraId="74D4942C" w14:textId="77777777" w:rsidR="00D23FAC" w:rsidRPr="000A45C2" w:rsidRDefault="00D23FAC" w:rsidP="000A45C2">
      <w:pPr>
        <w:pStyle w:val="NormalWeb"/>
        <w:shd w:val="clear" w:color="auto" w:fill="FFFFFF"/>
        <w:spacing w:before="144" w:beforeAutospacing="0" w:after="0" w:afterAutospacing="0" w:line="360" w:lineRule="atLeast"/>
        <w:ind w:left="567"/>
        <w:jc w:val="both"/>
        <w:rPr>
          <w:rFonts w:ascii="Verdana" w:hAnsi="Verdana"/>
          <w:color w:val="242121"/>
          <w:sz w:val="20"/>
          <w:szCs w:val="20"/>
        </w:rPr>
      </w:pPr>
    </w:p>
    <w:p w14:paraId="482717D8" w14:textId="0342EEB9" w:rsidR="00D23C94" w:rsidRPr="00620B9E" w:rsidRDefault="00620B9E" w:rsidP="00620B9E">
      <w:pPr>
        <w:spacing w:after="160" w:line="360" w:lineRule="auto"/>
        <w:ind w:left="567" w:hanging="567"/>
        <w:jc w:val="both"/>
        <w:rPr>
          <w:rFonts w:ascii="Arial" w:hAnsi="Arial" w:cs="Arial"/>
        </w:rPr>
      </w:pPr>
      <w:r w:rsidRPr="00D23C94">
        <w:rPr>
          <w:rFonts w:ascii="Arial" w:hAnsi="Arial" w:cs="Arial"/>
        </w:rPr>
        <w:t>13.</w:t>
      </w:r>
      <w:r w:rsidRPr="00D23C94">
        <w:rPr>
          <w:rFonts w:ascii="Arial" w:hAnsi="Arial" w:cs="Arial"/>
        </w:rPr>
        <w:tab/>
      </w:r>
      <w:r w:rsidR="00D23C94" w:rsidRPr="00620B9E">
        <w:rPr>
          <w:rFonts w:ascii="Arial" w:hAnsi="Arial" w:cs="Arial"/>
          <w:color w:val="242121"/>
        </w:rPr>
        <w:t>In </w:t>
      </w:r>
      <w:r w:rsidR="00D23C94" w:rsidRPr="00620B9E">
        <w:rPr>
          <w:rFonts w:ascii="Arial" w:hAnsi="Arial" w:cs="Arial"/>
          <w:b/>
          <w:bCs/>
          <w:i/>
          <w:iCs/>
          <w:color w:val="242121"/>
        </w:rPr>
        <w:t>MEC for Health, Eastern Cape v Mkhita</w:t>
      </w:r>
      <w:r w:rsidR="00D23C94">
        <w:rPr>
          <w:rStyle w:val="FootnoteReference"/>
          <w:rFonts w:ascii="Arial" w:hAnsi="Arial" w:cs="Arial"/>
          <w:b/>
          <w:bCs/>
          <w:color w:val="242121"/>
        </w:rPr>
        <w:footnoteReference w:id="7"/>
      </w:r>
      <w:r w:rsidR="00D23C94" w:rsidRPr="00620B9E">
        <w:rPr>
          <w:rFonts w:ascii="Arial" w:hAnsi="Arial" w:cs="Arial"/>
          <w:b/>
          <w:bCs/>
          <w:color w:val="242121"/>
        </w:rPr>
        <w:t xml:space="preserve"> </w:t>
      </w:r>
      <w:r w:rsidR="00D23C94" w:rsidRPr="00620B9E">
        <w:rPr>
          <w:rFonts w:ascii="Arial" w:hAnsi="Arial" w:cs="Arial"/>
          <w:color w:val="242121"/>
        </w:rPr>
        <w:t>the Supreme Court of Appeal emphasised the application for the test for leave to appeal and found as follows in paragraphs [16] to [18]:</w:t>
      </w:r>
    </w:p>
    <w:p w14:paraId="5A99655B" w14:textId="15ACEC21" w:rsidR="00D23C94" w:rsidRPr="00D10072" w:rsidRDefault="00D23C94" w:rsidP="00D23C94">
      <w:pPr>
        <w:pStyle w:val="NormalWeb"/>
        <w:shd w:val="clear" w:color="auto" w:fill="FFFFFF"/>
        <w:spacing w:before="144" w:beforeAutospacing="0" w:after="0" w:afterAutospacing="0" w:line="360" w:lineRule="atLeast"/>
        <w:ind w:left="567"/>
        <w:jc w:val="both"/>
        <w:rPr>
          <w:rFonts w:ascii="Verdana" w:hAnsi="Verdana"/>
          <w:color w:val="242121"/>
          <w:sz w:val="20"/>
          <w:szCs w:val="20"/>
        </w:rPr>
      </w:pPr>
      <w:r w:rsidRPr="00D10072">
        <w:rPr>
          <w:rFonts w:ascii="Verdana" w:hAnsi="Verdana"/>
          <w:color w:val="000000"/>
          <w:sz w:val="20"/>
          <w:szCs w:val="20"/>
        </w:rPr>
        <w:t>“</w:t>
      </w:r>
      <w:r w:rsidRPr="00D10072">
        <w:rPr>
          <w:rFonts w:ascii="Arial" w:hAnsi="Arial" w:cs="Arial"/>
          <w:i/>
          <w:iCs/>
          <w:color w:val="000000"/>
          <w:sz w:val="20"/>
          <w:szCs w:val="20"/>
        </w:rPr>
        <w:t>[16]   Once again it is necessary to say that </w:t>
      </w:r>
      <w:r w:rsidRPr="00D10072">
        <w:rPr>
          <w:rFonts w:ascii="Arial" w:hAnsi="Arial" w:cs="Arial"/>
          <w:b/>
          <w:bCs/>
          <w:i/>
          <w:iCs/>
          <w:color w:val="000000"/>
          <w:sz w:val="20"/>
          <w:szCs w:val="20"/>
        </w:rPr>
        <w:t>leave to appeal</w:t>
      </w:r>
      <w:r w:rsidRPr="00D10072">
        <w:rPr>
          <w:rFonts w:ascii="Arial" w:hAnsi="Arial" w:cs="Arial"/>
          <w:i/>
          <w:iCs/>
          <w:color w:val="000000"/>
          <w:sz w:val="20"/>
          <w:szCs w:val="20"/>
        </w:rPr>
        <w:t>, especially to this court, </w:t>
      </w:r>
      <w:r w:rsidRPr="00D10072">
        <w:rPr>
          <w:rFonts w:ascii="Arial" w:hAnsi="Arial" w:cs="Arial"/>
          <w:b/>
          <w:bCs/>
          <w:i/>
          <w:iCs/>
          <w:color w:val="000000"/>
          <w:sz w:val="20"/>
          <w:szCs w:val="20"/>
        </w:rPr>
        <w:t>must not be granted unless there truly is a reasonable prospect of success</w:t>
      </w:r>
      <w:r w:rsidRPr="00D10072">
        <w:rPr>
          <w:rFonts w:ascii="Arial" w:hAnsi="Arial" w:cs="Arial"/>
          <w:i/>
          <w:iCs/>
          <w:color w:val="000000"/>
          <w:sz w:val="20"/>
          <w:szCs w:val="20"/>
        </w:rPr>
        <w:t>. </w:t>
      </w:r>
      <w:hyperlink r:id="rId17" w:anchor="s17" w:history="1">
        <w:r w:rsidRPr="00D10072">
          <w:rPr>
            <w:rStyle w:val="Hyperlink"/>
            <w:rFonts w:ascii="Arial" w:hAnsi="Arial" w:cs="Arial"/>
            <w:b/>
            <w:bCs/>
            <w:color w:val="0B4B0B"/>
            <w:sz w:val="20"/>
            <w:szCs w:val="20"/>
          </w:rPr>
          <w:t>Section 17(1)(a)</w:t>
        </w:r>
      </w:hyperlink>
      <w:r w:rsidRPr="00D10072">
        <w:rPr>
          <w:rFonts w:ascii="Arial" w:hAnsi="Arial" w:cs="Arial"/>
          <w:i/>
          <w:iCs/>
          <w:color w:val="000000"/>
          <w:sz w:val="20"/>
          <w:szCs w:val="20"/>
        </w:rPr>
        <w:t> of the </w:t>
      </w:r>
      <w:hyperlink r:id="rId18" w:history="1">
        <w:r w:rsidRPr="00D10072">
          <w:rPr>
            <w:rStyle w:val="Hyperlink"/>
            <w:rFonts w:ascii="Arial" w:hAnsi="Arial" w:cs="Arial"/>
            <w:b/>
            <w:bCs/>
            <w:color w:val="0B4B0B"/>
            <w:sz w:val="20"/>
            <w:szCs w:val="20"/>
          </w:rPr>
          <w:t>Superior Courts Act 10 of 2013</w:t>
        </w:r>
      </w:hyperlink>
      <w:r w:rsidRPr="00D10072">
        <w:rPr>
          <w:rFonts w:ascii="Arial" w:hAnsi="Arial" w:cs="Arial"/>
          <w:i/>
          <w:iCs/>
          <w:color w:val="000000"/>
          <w:sz w:val="20"/>
          <w:szCs w:val="20"/>
        </w:rPr>
        <w:t> makes it clear that leave to appeal may only be given where the judge concerned is of the opinion that the </w:t>
      </w:r>
      <w:r w:rsidRPr="00D10072">
        <w:rPr>
          <w:rFonts w:ascii="Arial" w:hAnsi="Arial" w:cs="Arial"/>
          <w:b/>
          <w:bCs/>
          <w:i/>
          <w:iCs/>
          <w:color w:val="000000"/>
          <w:sz w:val="20"/>
          <w:szCs w:val="20"/>
        </w:rPr>
        <w:t>appeal would have a reasonable prospect of success</w:t>
      </w:r>
      <w:r w:rsidRPr="00D10072">
        <w:rPr>
          <w:rFonts w:ascii="Arial" w:hAnsi="Arial" w:cs="Arial"/>
          <w:i/>
          <w:iCs/>
          <w:color w:val="000000"/>
          <w:sz w:val="20"/>
          <w:szCs w:val="20"/>
        </w:rPr>
        <w:t>; or there is some other compelling reason why it should be heard.</w:t>
      </w:r>
    </w:p>
    <w:p w14:paraId="20A791AD" w14:textId="70DB1167" w:rsidR="00D23C94" w:rsidRPr="00D10072" w:rsidRDefault="00D23C94" w:rsidP="00D23C94">
      <w:pPr>
        <w:pStyle w:val="NormalWeb"/>
        <w:shd w:val="clear" w:color="auto" w:fill="FFFFFF"/>
        <w:spacing w:before="144" w:beforeAutospacing="0" w:after="0" w:afterAutospacing="0" w:line="360" w:lineRule="atLeast"/>
        <w:ind w:left="567"/>
        <w:jc w:val="both"/>
        <w:rPr>
          <w:rFonts w:ascii="Verdana" w:hAnsi="Verdana"/>
          <w:color w:val="242121"/>
          <w:sz w:val="20"/>
          <w:szCs w:val="20"/>
        </w:rPr>
      </w:pPr>
      <w:bookmarkStart w:id="0" w:name="0-0-0-788581"/>
      <w:bookmarkEnd w:id="0"/>
      <w:r w:rsidRPr="00D10072">
        <w:rPr>
          <w:rFonts w:ascii="Arial" w:hAnsi="Arial" w:cs="Arial"/>
          <w:i/>
          <w:iCs/>
          <w:color w:val="000000"/>
          <w:sz w:val="20"/>
          <w:szCs w:val="20"/>
        </w:rPr>
        <w:t>[17]   An applicant for leave to appeal must convince the court on proper grounds that there is a reasonable prospect or realistic chance of success on appeal. </w:t>
      </w:r>
      <w:r w:rsidRPr="00D10072">
        <w:rPr>
          <w:rFonts w:ascii="Arial" w:hAnsi="Arial" w:cs="Arial"/>
          <w:b/>
          <w:bCs/>
          <w:i/>
          <w:iCs/>
          <w:color w:val="000000"/>
          <w:sz w:val="20"/>
          <w:szCs w:val="20"/>
        </w:rPr>
        <w:t>A mere possibility of success, an arguable case or one that is not hopeless, is not enough.</w:t>
      </w:r>
      <w:r w:rsidRPr="00D10072">
        <w:rPr>
          <w:rFonts w:ascii="Arial" w:hAnsi="Arial" w:cs="Arial"/>
          <w:i/>
          <w:iCs/>
          <w:color w:val="000000"/>
          <w:sz w:val="20"/>
          <w:szCs w:val="20"/>
        </w:rPr>
        <w:t> </w:t>
      </w:r>
      <w:r w:rsidRPr="00D10072">
        <w:rPr>
          <w:rFonts w:ascii="Arial" w:hAnsi="Arial" w:cs="Arial"/>
          <w:b/>
          <w:bCs/>
          <w:i/>
          <w:iCs/>
          <w:color w:val="000000"/>
          <w:sz w:val="20"/>
          <w:szCs w:val="20"/>
        </w:rPr>
        <w:t>There must be a sound, rational basis to conclude that there is a reasonable prospect of success on appeal</w:t>
      </w:r>
      <w:r w:rsidRPr="00D10072">
        <w:rPr>
          <w:rFonts w:ascii="Arial" w:hAnsi="Arial" w:cs="Arial"/>
          <w:i/>
          <w:iCs/>
          <w:color w:val="000000"/>
          <w:sz w:val="20"/>
          <w:szCs w:val="20"/>
        </w:rPr>
        <w:t>. </w:t>
      </w:r>
    </w:p>
    <w:p w14:paraId="058F00B5" w14:textId="0DB0C9C8" w:rsidR="00D23C94" w:rsidRDefault="00D23C94" w:rsidP="00D23C94">
      <w:pPr>
        <w:pStyle w:val="NormalWeb"/>
        <w:shd w:val="clear" w:color="auto" w:fill="FFFFFF"/>
        <w:spacing w:before="144" w:beforeAutospacing="0" w:after="0" w:afterAutospacing="0" w:line="360" w:lineRule="atLeast"/>
        <w:ind w:left="567"/>
        <w:jc w:val="both"/>
        <w:rPr>
          <w:rFonts w:ascii="Verdana" w:hAnsi="Verdana"/>
          <w:color w:val="242121"/>
          <w:sz w:val="27"/>
          <w:szCs w:val="27"/>
        </w:rPr>
      </w:pPr>
      <w:r w:rsidRPr="00D10072">
        <w:rPr>
          <w:rFonts w:ascii="Arial" w:hAnsi="Arial" w:cs="Arial"/>
          <w:i/>
          <w:iCs/>
          <w:color w:val="000000"/>
          <w:sz w:val="20"/>
          <w:szCs w:val="20"/>
        </w:rPr>
        <w:t>[18]   In this case the requirements of 17(1)(a) of the </w:t>
      </w:r>
      <w:hyperlink r:id="rId19" w:history="1">
        <w:r w:rsidRPr="00D10072">
          <w:rPr>
            <w:rStyle w:val="Hyperlink"/>
            <w:rFonts w:ascii="Arial" w:hAnsi="Arial" w:cs="Arial"/>
            <w:b/>
            <w:bCs/>
            <w:color w:val="0B4B0B"/>
            <w:sz w:val="20"/>
            <w:szCs w:val="20"/>
          </w:rPr>
          <w:t>Superior Courts </w:t>
        </w:r>
      </w:hyperlink>
      <w:hyperlink r:id="rId20" w:history="1">
        <w:r w:rsidRPr="00D10072">
          <w:rPr>
            <w:rStyle w:val="Hyperlink"/>
            <w:rFonts w:ascii="Arial" w:hAnsi="Arial" w:cs="Arial"/>
            <w:b/>
            <w:bCs/>
            <w:color w:val="0B4B0B"/>
            <w:sz w:val="20"/>
            <w:szCs w:val="20"/>
          </w:rPr>
          <w:t>Act were</w:t>
        </w:r>
      </w:hyperlink>
      <w:r w:rsidRPr="00D10072">
        <w:rPr>
          <w:rFonts w:ascii="Arial" w:hAnsi="Arial" w:cs="Arial"/>
          <w:i/>
          <w:iCs/>
          <w:color w:val="000000"/>
          <w:sz w:val="20"/>
          <w:szCs w:val="20"/>
        </w:rPr>
        <w:t> simply not met. The uncontradicted evidence is that the medical staff at BOH were negligent and caused the plaintiff to suffer harm. The special plea was plainly unmeritorious</w:t>
      </w:r>
      <w:r w:rsidRPr="00D10072">
        <w:rPr>
          <w:rFonts w:ascii="Arial" w:hAnsi="Arial" w:cs="Arial"/>
          <w:b/>
          <w:bCs/>
          <w:i/>
          <w:iCs/>
          <w:color w:val="000000"/>
          <w:sz w:val="20"/>
          <w:szCs w:val="20"/>
        </w:rPr>
        <w:t xml:space="preserve">. Leave to appeal should have been refused. In the result, scarce public resources were expended: a hopeless appeal was prosecuted at the expense of the Eastern Cape Department of Health and ultimately, </w:t>
      </w:r>
      <w:r w:rsidRPr="00D10072">
        <w:rPr>
          <w:rFonts w:ascii="Arial" w:hAnsi="Arial" w:cs="Arial"/>
          <w:b/>
          <w:bCs/>
          <w:i/>
          <w:iCs/>
          <w:color w:val="000000"/>
          <w:sz w:val="20"/>
          <w:szCs w:val="20"/>
        </w:rPr>
        <w:lastRenderedPageBreak/>
        <w:t>taxpayers; and valuable court time and resources were taken up in the hearing of the appeal</w:t>
      </w:r>
      <w:r w:rsidRPr="00D10072">
        <w:rPr>
          <w:rFonts w:ascii="Arial" w:hAnsi="Arial" w:cs="Arial"/>
          <w:i/>
          <w:iCs/>
          <w:color w:val="000000"/>
          <w:sz w:val="20"/>
          <w:szCs w:val="20"/>
        </w:rPr>
        <w:t>. Moreover, the issue for decision did not warrant the costs of two counsel.”</w:t>
      </w:r>
      <w:r w:rsidRPr="00D10072">
        <w:rPr>
          <w:rFonts w:ascii="Verdana" w:hAnsi="Verdana"/>
          <w:color w:val="242121"/>
          <w:sz w:val="20"/>
          <w:szCs w:val="20"/>
        </w:rPr>
        <w:t xml:space="preserve"> </w:t>
      </w:r>
      <w:r>
        <w:rPr>
          <w:rFonts w:ascii="Arial" w:hAnsi="Arial" w:cs="Arial"/>
          <w:color w:val="000000"/>
        </w:rPr>
        <w:t>(own emphasis)</w:t>
      </w:r>
    </w:p>
    <w:p w14:paraId="43F3A266" w14:textId="77777777" w:rsidR="00D23C94" w:rsidRPr="00D23C94" w:rsidRDefault="00D23C94" w:rsidP="0040532C">
      <w:pPr>
        <w:spacing w:after="160"/>
        <w:jc w:val="both"/>
        <w:rPr>
          <w:rFonts w:ascii="Arial" w:hAnsi="Arial" w:cs="Arial"/>
        </w:rPr>
      </w:pPr>
    </w:p>
    <w:p w14:paraId="3D95C8BC" w14:textId="0445390C" w:rsidR="00126A9E" w:rsidRPr="00620B9E" w:rsidRDefault="00620B9E" w:rsidP="00620B9E">
      <w:pPr>
        <w:spacing w:after="160" w:line="360" w:lineRule="auto"/>
        <w:ind w:left="567" w:hanging="567"/>
        <w:jc w:val="both"/>
        <w:rPr>
          <w:rFonts w:ascii="Tahoma" w:hAnsi="Tahoma" w:cs="Tahoma"/>
        </w:rPr>
      </w:pPr>
      <w:r w:rsidRPr="00126A9E">
        <w:rPr>
          <w:rFonts w:ascii="Tahoma" w:hAnsi="Tahoma" w:cs="Tahoma"/>
        </w:rPr>
        <w:t>14.</w:t>
      </w:r>
      <w:r w:rsidRPr="00126A9E">
        <w:rPr>
          <w:rFonts w:ascii="Tahoma" w:hAnsi="Tahoma" w:cs="Tahoma"/>
        </w:rPr>
        <w:tab/>
      </w:r>
      <w:r w:rsidR="00126A9E" w:rsidRPr="00620B9E">
        <w:rPr>
          <w:rFonts w:ascii="Tahoma" w:hAnsi="Tahoma" w:cs="Tahoma"/>
          <w:color w:val="242121"/>
          <w:shd w:val="clear" w:color="auto" w:fill="FFFFFF"/>
        </w:rPr>
        <w:t>The above legal principles enunciated, emphasise, that the requirement for a successful leave to appeal is more than a mere possibility that another judge </w:t>
      </w:r>
      <w:r w:rsidR="00126A9E" w:rsidRPr="00620B9E">
        <w:rPr>
          <w:rFonts w:ascii="Tahoma" w:hAnsi="Tahoma" w:cs="Tahoma"/>
          <w:color w:val="242121"/>
          <w:u w:val="single"/>
          <w:shd w:val="clear" w:color="auto" w:fill="FFFFFF"/>
        </w:rPr>
        <w:t>might</w:t>
      </w:r>
      <w:r w:rsidR="00126A9E" w:rsidRPr="00620B9E">
        <w:rPr>
          <w:rFonts w:ascii="Tahoma" w:hAnsi="Tahoma" w:cs="Tahoma"/>
          <w:color w:val="242121"/>
          <w:shd w:val="clear" w:color="auto" w:fill="FFFFFF"/>
        </w:rPr>
        <w:t> come to a different conclusion.  The test is whether there is a reasonable prospect of success that another judge </w:t>
      </w:r>
      <w:r w:rsidR="00126A9E" w:rsidRPr="00620B9E">
        <w:rPr>
          <w:rFonts w:ascii="Tahoma" w:hAnsi="Tahoma" w:cs="Tahoma"/>
          <w:color w:val="242121"/>
          <w:u w:val="single"/>
          <w:shd w:val="clear" w:color="auto" w:fill="FFFFFF"/>
        </w:rPr>
        <w:t>would</w:t>
      </w:r>
      <w:r w:rsidR="00126A9E" w:rsidRPr="00620B9E">
        <w:rPr>
          <w:rFonts w:ascii="Tahoma" w:hAnsi="Tahoma" w:cs="Tahoma"/>
          <w:color w:val="242121"/>
          <w:shd w:val="clear" w:color="auto" w:fill="FFFFFF"/>
        </w:rPr>
        <w:t> come to a different conclusion.</w:t>
      </w:r>
    </w:p>
    <w:p w14:paraId="3E626B98" w14:textId="77777777" w:rsidR="00126A9E" w:rsidRPr="00126A9E" w:rsidRDefault="00126A9E" w:rsidP="00D10072">
      <w:pPr>
        <w:pStyle w:val="ListParagraph"/>
        <w:spacing w:after="160"/>
        <w:ind w:left="567"/>
        <w:jc w:val="both"/>
        <w:rPr>
          <w:rFonts w:ascii="Arial" w:hAnsi="Arial" w:cs="Arial"/>
        </w:rPr>
      </w:pPr>
    </w:p>
    <w:p w14:paraId="35C4585A" w14:textId="06904BF8" w:rsidR="00126A9E" w:rsidRPr="00620B9E" w:rsidRDefault="00620B9E" w:rsidP="00620B9E">
      <w:pPr>
        <w:spacing w:after="160" w:line="360" w:lineRule="auto"/>
        <w:ind w:left="567" w:hanging="567"/>
        <w:jc w:val="both"/>
        <w:rPr>
          <w:rFonts w:ascii="Arial" w:hAnsi="Arial" w:cs="Arial"/>
        </w:rPr>
      </w:pPr>
      <w:r w:rsidRPr="00126A9E">
        <w:rPr>
          <w:rFonts w:ascii="Arial" w:hAnsi="Arial" w:cs="Arial"/>
        </w:rPr>
        <w:t>15.</w:t>
      </w:r>
      <w:r w:rsidRPr="00126A9E">
        <w:rPr>
          <w:rFonts w:ascii="Arial" w:hAnsi="Arial" w:cs="Arial"/>
        </w:rPr>
        <w:tab/>
      </w:r>
      <w:r w:rsidR="00126A9E" w:rsidRPr="00620B9E">
        <w:rPr>
          <w:rFonts w:ascii="Tahoma" w:hAnsi="Tahoma" w:cs="Tahoma"/>
          <w:color w:val="242121"/>
          <w:shd w:val="clear" w:color="auto" w:fill="FFFFFF"/>
        </w:rPr>
        <w:t xml:space="preserve">The workload in the judiciary is ever increasing and a judge who considers any application for leave to appeal, has a judicial duty to ensure that unmerited appeals do not become part of the workload of </w:t>
      </w:r>
      <w:r w:rsidR="0040532C" w:rsidRPr="00620B9E">
        <w:rPr>
          <w:rFonts w:ascii="Tahoma" w:hAnsi="Tahoma" w:cs="Tahoma"/>
          <w:color w:val="242121"/>
          <w:shd w:val="clear" w:color="auto" w:fill="FFFFFF"/>
        </w:rPr>
        <w:t xml:space="preserve">a Full Court of this division and/or </w:t>
      </w:r>
      <w:r w:rsidR="00126A9E" w:rsidRPr="00620B9E">
        <w:rPr>
          <w:rFonts w:ascii="Tahoma" w:hAnsi="Tahoma" w:cs="Tahoma"/>
          <w:color w:val="242121"/>
          <w:shd w:val="clear" w:color="auto" w:fill="FFFFFF"/>
        </w:rPr>
        <w:t>the Supreme Court of Appeal.  Appeals without merits should simply not be granted leave to appeal.</w:t>
      </w:r>
    </w:p>
    <w:p w14:paraId="174FBC16" w14:textId="77777777" w:rsidR="00126A9E" w:rsidRPr="00126A9E" w:rsidRDefault="00126A9E" w:rsidP="00126A9E">
      <w:pPr>
        <w:pStyle w:val="ListParagraph"/>
        <w:rPr>
          <w:rFonts w:ascii="Arial" w:hAnsi="Arial" w:cs="Arial"/>
        </w:rPr>
      </w:pPr>
    </w:p>
    <w:p w14:paraId="5AF15475" w14:textId="3B77AA3A" w:rsidR="009C34E1" w:rsidRPr="00620B9E" w:rsidRDefault="00620B9E" w:rsidP="00620B9E">
      <w:pPr>
        <w:spacing w:after="160" w:line="360" w:lineRule="auto"/>
        <w:ind w:left="567" w:hanging="567"/>
        <w:jc w:val="both"/>
        <w:rPr>
          <w:rFonts w:ascii="Tahoma" w:hAnsi="Tahoma" w:cs="Tahoma"/>
        </w:rPr>
      </w:pPr>
      <w:r w:rsidRPr="0040532C">
        <w:rPr>
          <w:rFonts w:ascii="Tahoma" w:hAnsi="Tahoma" w:cs="Tahoma"/>
        </w:rPr>
        <w:t>16.</w:t>
      </w:r>
      <w:r w:rsidRPr="0040532C">
        <w:rPr>
          <w:rFonts w:ascii="Tahoma" w:hAnsi="Tahoma" w:cs="Tahoma"/>
        </w:rPr>
        <w:tab/>
      </w:r>
      <w:r w:rsidR="00126A9E" w:rsidRPr="00620B9E">
        <w:rPr>
          <w:rFonts w:ascii="Tahoma" w:hAnsi="Tahoma" w:cs="Tahoma"/>
        </w:rPr>
        <w:t>Regard being had to the afore, I am of the firm view and persuasion that another court would not come to a different conclusion and that there is no compelling reason to grant leave to appeal.</w:t>
      </w:r>
    </w:p>
    <w:p w14:paraId="10238F87" w14:textId="77777777" w:rsidR="00126A9E" w:rsidRPr="00126A9E" w:rsidRDefault="00126A9E" w:rsidP="00126A9E">
      <w:pPr>
        <w:pStyle w:val="ListParagraph"/>
        <w:rPr>
          <w:rFonts w:ascii="Arial" w:hAnsi="Arial" w:cs="Arial"/>
        </w:rPr>
      </w:pPr>
    </w:p>
    <w:p w14:paraId="374C68AC" w14:textId="71B64E5E" w:rsidR="00126A9E" w:rsidRPr="0040532C" w:rsidRDefault="007941B3" w:rsidP="007941B3">
      <w:pPr>
        <w:pStyle w:val="ListParagraph"/>
        <w:spacing w:after="160" w:line="360" w:lineRule="auto"/>
        <w:ind w:left="567"/>
        <w:jc w:val="both"/>
        <w:rPr>
          <w:rFonts w:ascii="Tahoma" w:hAnsi="Tahoma" w:cs="Tahoma"/>
          <w:b/>
          <w:bCs/>
        </w:rPr>
      </w:pPr>
      <w:r w:rsidRPr="0040532C">
        <w:rPr>
          <w:rFonts w:ascii="Tahoma" w:hAnsi="Tahoma" w:cs="Tahoma"/>
          <w:b/>
          <w:bCs/>
        </w:rPr>
        <w:t>ORDER</w:t>
      </w:r>
    </w:p>
    <w:p w14:paraId="7DA59C91" w14:textId="77777777" w:rsidR="007941B3" w:rsidRPr="0040532C" w:rsidRDefault="007941B3" w:rsidP="007941B3">
      <w:pPr>
        <w:pStyle w:val="ListParagraph"/>
        <w:spacing w:after="160" w:line="360" w:lineRule="auto"/>
        <w:ind w:left="567"/>
        <w:jc w:val="both"/>
        <w:rPr>
          <w:rFonts w:ascii="Tahoma" w:hAnsi="Tahoma" w:cs="Tahoma"/>
          <w:b/>
          <w:bCs/>
          <w:u w:val="single"/>
        </w:rPr>
      </w:pPr>
    </w:p>
    <w:p w14:paraId="7DA8D6C0" w14:textId="79F816C5" w:rsidR="00126A9E" w:rsidRPr="00620B9E" w:rsidRDefault="00620B9E" w:rsidP="00620B9E">
      <w:pPr>
        <w:spacing w:after="160" w:line="360" w:lineRule="auto"/>
        <w:ind w:left="720" w:hanging="360"/>
        <w:jc w:val="both"/>
        <w:rPr>
          <w:rFonts w:ascii="Tahoma" w:hAnsi="Tahoma" w:cs="Tahoma"/>
          <w:b/>
          <w:bCs/>
          <w:u w:val="single"/>
        </w:rPr>
      </w:pPr>
      <w:r w:rsidRPr="0040532C">
        <w:rPr>
          <w:rFonts w:ascii="Tahoma" w:hAnsi="Tahoma" w:cs="Tahoma"/>
        </w:rPr>
        <w:t>1.</w:t>
      </w:r>
      <w:r w:rsidRPr="0040532C">
        <w:rPr>
          <w:rFonts w:ascii="Tahoma" w:hAnsi="Tahoma" w:cs="Tahoma"/>
        </w:rPr>
        <w:tab/>
      </w:r>
      <w:r w:rsidR="00126A9E" w:rsidRPr="00620B9E">
        <w:rPr>
          <w:rFonts w:ascii="Tahoma" w:hAnsi="Tahoma" w:cs="Tahoma"/>
        </w:rPr>
        <w:t>The Applicants leave to appeal is dismissed</w:t>
      </w:r>
      <w:r w:rsidR="007941B3" w:rsidRPr="00620B9E">
        <w:rPr>
          <w:rFonts w:ascii="Tahoma" w:hAnsi="Tahoma" w:cs="Tahoma"/>
        </w:rPr>
        <w:t>.</w:t>
      </w:r>
    </w:p>
    <w:p w14:paraId="4B67C044" w14:textId="77777777" w:rsidR="007941B3" w:rsidRPr="0040532C" w:rsidRDefault="007941B3" w:rsidP="007941B3">
      <w:pPr>
        <w:pStyle w:val="ListParagraph"/>
        <w:spacing w:after="160" w:line="360" w:lineRule="auto"/>
        <w:jc w:val="both"/>
        <w:rPr>
          <w:rFonts w:ascii="Tahoma" w:hAnsi="Tahoma" w:cs="Tahoma"/>
          <w:b/>
          <w:bCs/>
          <w:u w:val="single"/>
        </w:rPr>
      </w:pPr>
    </w:p>
    <w:p w14:paraId="428533AC" w14:textId="036DB99F" w:rsidR="007941B3" w:rsidRPr="00620B9E" w:rsidRDefault="00620B9E" w:rsidP="00620B9E">
      <w:pPr>
        <w:spacing w:after="160" w:line="360" w:lineRule="auto"/>
        <w:ind w:left="720" w:hanging="360"/>
        <w:jc w:val="both"/>
        <w:rPr>
          <w:rFonts w:ascii="Tahoma" w:hAnsi="Tahoma" w:cs="Tahoma"/>
          <w:b/>
          <w:bCs/>
          <w:u w:val="single"/>
        </w:rPr>
      </w:pPr>
      <w:r w:rsidRPr="0040532C">
        <w:rPr>
          <w:rFonts w:ascii="Tahoma" w:hAnsi="Tahoma" w:cs="Tahoma"/>
        </w:rPr>
        <w:t>2.</w:t>
      </w:r>
      <w:r w:rsidRPr="0040532C">
        <w:rPr>
          <w:rFonts w:ascii="Tahoma" w:hAnsi="Tahoma" w:cs="Tahoma"/>
        </w:rPr>
        <w:tab/>
      </w:r>
      <w:r w:rsidR="007941B3" w:rsidRPr="00620B9E">
        <w:rPr>
          <w:rFonts w:ascii="Tahoma" w:hAnsi="Tahoma" w:cs="Tahoma"/>
        </w:rPr>
        <w:t>The Applicants, jointly and severally, the one paying the other to be absolved, are ordered to pay the Respondents costs.</w:t>
      </w:r>
    </w:p>
    <w:p w14:paraId="13503397" w14:textId="77777777" w:rsidR="009C34E1" w:rsidRPr="00FC5283" w:rsidRDefault="009C34E1" w:rsidP="00FC5283">
      <w:pPr>
        <w:rPr>
          <w:rFonts w:ascii="Arial" w:hAnsi="Arial" w:cs="Arial"/>
        </w:rPr>
      </w:pPr>
    </w:p>
    <w:p w14:paraId="06D7E440" w14:textId="77777777" w:rsidR="009C34E1" w:rsidRPr="00FF1442" w:rsidRDefault="009C34E1" w:rsidP="009C34E1">
      <w:pPr>
        <w:spacing w:line="480" w:lineRule="auto"/>
        <w:jc w:val="both"/>
        <w:rPr>
          <w:rFonts w:ascii="Tahoma" w:hAnsi="Tahoma" w:cs="Tahoma"/>
        </w:rPr>
      </w:pPr>
    </w:p>
    <w:p w14:paraId="235C2E2A" w14:textId="77777777" w:rsidR="009C34E1" w:rsidRPr="00565D5E" w:rsidRDefault="009C34E1" w:rsidP="009C34E1">
      <w:pPr>
        <w:tabs>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spacing w:val="-3"/>
        </w:rPr>
      </w:pPr>
      <w:r>
        <w:rPr>
          <w:rFonts w:ascii="Tahoma" w:hAnsi="Tahoma" w:cs="Tahoma"/>
          <w:spacing w:val="-3"/>
        </w:rPr>
        <w:tab/>
      </w:r>
      <w:r>
        <w:rPr>
          <w:rFonts w:ascii="Tahoma" w:hAnsi="Tahoma" w:cs="Tahoma"/>
          <w:spacing w:val="-3"/>
        </w:rPr>
        <w:tab/>
        <w:t xml:space="preserve"> </w:t>
      </w:r>
      <w:r>
        <w:rPr>
          <w:rFonts w:ascii="Tahoma" w:hAnsi="Tahoma" w:cs="Tahoma"/>
          <w:spacing w:val="-3"/>
        </w:rPr>
        <w:tab/>
      </w:r>
      <w:r>
        <w:rPr>
          <w:rFonts w:ascii="Tahoma" w:hAnsi="Tahoma" w:cs="Tahoma"/>
          <w:spacing w:val="-3"/>
        </w:rPr>
        <w:tab/>
      </w:r>
      <w:r>
        <w:rPr>
          <w:rFonts w:ascii="Tahoma" w:hAnsi="Tahoma" w:cs="Tahoma"/>
          <w:spacing w:val="-3"/>
        </w:rPr>
        <w:tab/>
      </w:r>
      <w:r>
        <w:rPr>
          <w:rFonts w:ascii="Tahoma" w:hAnsi="Tahoma" w:cs="Tahoma"/>
          <w:spacing w:val="-3"/>
        </w:rPr>
        <w:tab/>
      </w:r>
      <w:r w:rsidRPr="00565D5E">
        <w:rPr>
          <w:rFonts w:ascii="Arial" w:hAnsi="Arial" w:cs="Arial"/>
          <w:spacing w:val="-3"/>
        </w:rPr>
        <w:t>____________________________________</w:t>
      </w:r>
    </w:p>
    <w:p w14:paraId="2263BC9A" w14:textId="77777777" w:rsidR="009C34E1" w:rsidRPr="00565D5E" w:rsidRDefault="009C34E1" w:rsidP="009C34E1">
      <w:pPr>
        <w:tabs>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b/>
          <w:bCs/>
          <w:spacing w:val="-3"/>
        </w:rPr>
      </w:pPr>
      <w:r w:rsidRPr="00565D5E">
        <w:rPr>
          <w:rFonts w:ascii="Arial" w:hAnsi="Arial" w:cs="Arial"/>
          <w:spacing w:val="-3"/>
        </w:rPr>
        <w:tab/>
      </w:r>
      <w:r w:rsidRPr="00565D5E">
        <w:rPr>
          <w:rFonts w:ascii="Arial" w:hAnsi="Arial" w:cs="Arial"/>
          <w:spacing w:val="-3"/>
        </w:rPr>
        <w:tab/>
      </w:r>
      <w:r w:rsidRPr="00565D5E">
        <w:rPr>
          <w:rFonts w:ascii="Arial" w:hAnsi="Arial" w:cs="Arial"/>
          <w:spacing w:val="-3"/>
        </w:rPr>
        <w:tab/>
      </w:r>
      <w:r w:rsidRPr="00565D5E">
        <w:rPr>
          <w:rFonts w:ascii="Arial" w:hAnsi="Arial" w:cs="Arial"/>
          <w:spacing w:val="-3"/>
        </w:rPr>
        <w:tab/>
      </w:r>
      <w:r w:rsidRPr="00565D5E">
        <w:rPr>
          <w:rFonts w:ascii="Arial" w:hAnsi="Arial" w:cs="Arial"/>
          <w:spacing w:val="-3"/>
        </w:rPr>
        <w:tab/>
      </w:r>
      <w:r w:rsidRPr="00565D5E">
        <w:rPr>
          <w:rFonts w:ascii="Arial" w:hAnsi="Arial" w:cs="Arial"/>
          <w:spacing w:val="-3"/>
        </w:rPr>
        <w:tab/>
      </w:r>
      <w:r w:rsidRPr="00565D5E">
        <w:rPr>
          <w:rFonts w:ascii="Arial" w:hAnsi="Arial" w:cs="Arial"/>
          <w:spacing w:val="-3"/>
        </w:rPr>
        <w:tab/>
      </w:r>
      <w:r w:rsidRPr="00565D5E">
        <w:rPr>
          <w:rFonts w:ascii="Arial" w:hAnsi="Arial" w:cs="Arial"/>
          <w:b/>
          <w:bCs/>
          <w:spacing w:val="-3"/>
        </w:rPr>
        <w:t xml:space="preserve">              </w:t>
      </w:r>
    </w:p>
    <w:p w14:paraId="5F65EE8B" w14:textId="60E5768E" w:rsidR="0081214D" w:rsidRDefault="009C34E1" w:rsidP="009C34E1">
      <w:pPr>
        <w:tabs>
          <w:tab w:val="left" w:pos="-720"/>
          <w:tab w:val="left" w:pos="0"/>
          <w:tab w:val="left" w:pos="720"/>
          <w:tab w:val="left" w:pos="1440"/>
          <w:tab w:val="left" w:pos="2160"/>
          <w:tab w:val="left" w:pos="2880"/>
        </w:tabs>
        <w:suppressAutoHyphens/>
        <w:spacing w:line="240" w:lineRule="atLeast"/>
        <w:ind w:left="4253" w:hanging="3600"/>
        <w:jc w:val="both"/>
        <w:rPr>
          <w:rFonts w:ascii="Arial" w:hAnsi="Arial" w:cs="Arial"/>
          <w:b/>
          <w:bCs/>
          <w:spacing w:val="-3"/>
        </w:rPr>
      </w:pPr>
      <w:r w:rsidRPr="00565D5E">
        <w:rPr>
          <w:rFonts w:ascii="Arial" w:hAnsi="Arial" w:cs="Arial"/>
          <w:b/>
          <w:bCs/>
          <w:spacing w:val="-3"/>
        </w:rPr>
        <w:tab/>
      </w:r>
      <w:r w:rsidRPr="00565D5E">
        <w:rPr>
          <w:rFonts w:ascii="Arial" w:hAnsi="Arial" w:cs="Arial"/>
          <w:b/>
          <w:bCs/>
          <w:spacing w:val="-3"/>
        </w:rPr>
        <w:tab/>
      </w:r>
      <w:r w:rsidRPr="00565D5E">
        <w:rPr>
          <w:rFonts w:ascii="Arial" w:hAnsi="Arial" w:cs="Arial"/>
          <w:b/>
          <w:bCs/>
          <w:spacing w:val="-3"/>
        </w:rPr>
        <w:tab/>
      </w:r>
      <w:r w:rsidRPr="00565D5E">
        <w:rPr>
          <w:rFonts w:ascii="Arial" w:hAnsi="Arial" w:cs="Arial"/>
          <w:b/>
          <w:bCs/>
          <w:spacing w:val="-3"/>
        </w:rPr>
        <w:tab/>
      </w:r>
      <w:r w:rsidRPr="00565D5E">
        <w:rPr>
          <w:rFonts w:ascii="Arial" w:hAnsi="Arial" w:cs="Arial"/>
          <w:b/>
          <w:bCs/>
          <w:spacing w:val="-3"/>
        </w:rPr>
        <w:tab/>
      </w:r>
      <w:r w:rsidR="0081214D">
        <w:rPr>
          <w:rFonts w:ascii="Arial" w:hAnsi="Arial" w:cs="Arial"/>
          <w:b/>
          <w:bCs/>
          <w:spacing w:val="-3"/>
        </w:rPr>
        <w:t>DE BEER AJ</w:t>
      </w:r>
    </w:p>
    <w:p w14:paraId="125C9479" w14:textId="77777777" w:rsidR="0081214D" w:rsidRDefault="0081214D" w:rsidP="009C34E1">
      <w:pPr>
        <w:tabs>
          <w:tab w:val="left" w:pos="-720"/>
          <w:tab w:val="left" w:pos="0"/>
          <w:tab w:val="left" w:pos="720"/>
          <w:tab w:val="left" w:pos="1440"/>
          <w:tab w:val="left" w:pos="2160"/>
          <w:tab w:val="left" w:pos="2880"/>
        </w:tabs>
        <w:suppressAutoHyphens/>
        <w:spacing w:line="240" w:lineRule="atLeast"/>
        <w:ind w:left="4253" w:hanging="3600"/>
        <w:jc w:val="both"/>
        <w:rPr>
          <w:rFonts w:ascii="Arial" w:hAnsi="Arial" w:cs="Arial"/>
          <w:b/>
          <w:bCs/>
          <w:spacing w:val="-3"/>
        </w:rPr>
      </w:pP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p>
    <w:p w14:paraId="67473463" w14:textId="53AACBDF" w:rsidR="009C34E1" w:rsidRPr="00565D5E" w:rsidRDefault="0081214D" w:rsidP="009C34E1">
      <w:pPr>
        <w:tabs>
          <w:tab w:val="left" w:pos="-720"/>
          <w:tab w:val="left" w:pos="0"/>
          <w:tab w:val="left" w:pos="720"/>
          <w:tab w:val="left" w:pos="1440"/>
          <w:tab w:val="left" w:pos="2160"/>
          <w:tab w:val="left" w:pos="2880"/>
        </w:tabs>
        <w:suppressAutoHyphens/>
        <w:spacing w:line="240" w:lineRule="atLeast"/>
        <w:ind w:left="4253" w:hanging="3600"/>
        <w:jc w:val="both"/>
        <w:rPr>
          <w:rFonts w:ascii="Arial" w:hAnsi="Arial" w:cs="Arial"/>
          <w:b/>
          <w:bCs/>
          <w:spacing w:val="-3"/>
        </w:rPr>
      </w:pPr>
      <w:r>
        <w:rPr>
          <w:rFonts w:ascii="Arial" w:hAnsi="Arial" w:cs="Arial"/>
          <w:b/>
          <w:bCs/>
          <w:spacing w:val="-3"/>
        </w:rPr>
        <w:lastRenderedPageBreak/>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sidR="009C34E1">
        <w:rPr>
          <w:rFonts w:ascii="Arial" w:hAnsi="Arial" w:cs="Arial"/>
          <w:b/>
          <w:bCs/>
          <w:spacing w:val="-3"/>
        </w:rPr>
        <w:t xml:space="preserve">ACTING </w:t>
      </w:r>
      <w:r w:rsidR="009C34E1" w:rsidRPr="00565D5E">
        <w:rPr>
          <w:rFonts w:ascii="Arial" w:hAnsi="Arial" w:cs="Arial"/>
          <w:b/>
          <w:bCs/>
          <w:spacing w:val="-3"/>
        </w:rPr>
        <w:t xml:space="preserve">JUDGE OF THE GAUTENG DIVISION, </w:t>
      </w:r>
      <w:r w:rsidR="009C34E1">
        <w:rPr>
          <w:rFonts w:ascii="Arial" w:hAnsi="Arial" w:cs="Arial"/>
          <w:b/>
          <w:bCs/>
          <w:spacing w:val="-3"/>
        </w:rPr>
        <w:t>JOHANNESBURG</w:t>
      </w:r>
    </w:p>
    <w:p w14:paraId="31B1AF01" w14:textId="77777777" w:rsidR="009C34E1" w:rsidRPr="00565D5E" w:rsidRDefault="009C34E1" w:rsidP="009C34E1">
      <w:pPr>
        <w:tabs>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spacing w:val="-3"/>
        </w:rPr>
      </w:pPr>
      <w:r w:rsidRPr="00565D5E">
        <w:rPr>
          <w:rFonts w:ascii="Arial" w:hAnsi="Arial" w:cs="Arial"/>
          <w:spacing w:val="-3"/>
        </w:rPr>
        <w:tab/>
      </w:r>
    </w:p>
    <w:p w14:paraId="1812281A" w14:textId="77777777" w:rsidR="0081214D" w:rsidRDefault="0081214D" w:rsidP="009C34E1">
      <w:pPr>
        <w:tabs>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spacing w:val="-3"/>
          <w:u w:val="single"/>
        </w:rPr>
      </w:pPr>
    </w:p>
    <w:p w14:paraId="242D7520" w14:textId="77777777" w:rsidR="00D23FAC" w:rsidRDefault="00D23FAC" w:rsidP="009C34E1">
      <w:pPr>
        <w:tabs>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spacing w:val="-3"/>
          <w:u w:val="single"/>
        </w:rPr>
      </w:pPr>
    </w:p>
    <w:p w14:paraId="08938891" w14:textId="5A5C0AAB" w:rsidR="009C34E1" w:rsidRPr="00565D5E" w:rsidRDefault="009C34E1" w:rsidP="009C34E1">
      <w:pPr>
        <w:tabs>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spacing w:val="-3"/>
        </w:rPr>
      </w:pPr>
      <w:r w:rsidRPr="00565D5E">
        <w:rPr>
          <w:rFonts w:ascii="Arial" w:hAnsi="Arial" w:cs="Arial"/>
          <w:spacing w:val="-3"/>
          <w:u w:val="single"/>
        </w:rPr>
        <w:t>APPEARANCES</w:t>
      </w:r>
      <w:r w:rsidRPr="00565D5E">
        <w:rPr>
          <w:rFonts w:ascii="Arial" w:hAnsi="Arial" w:cs="Arial"/>
          <w:spacing w:val="-3"/>
        </w:rPr>
        <w:t>:</w:t>
      </w:r>
      <w:r w:rsidRPr="00565D5E">
        <w:rPr>
          <w:rFonts w:ascii="Arial" w:hAnsi="Arial" w:cs="Arial"/>
          <w:spacing w:val="-3"/>
        </w:rPr>
        <w:tab/>
      </w:r>
    </w:p>
    <w:p w14:paraId="1EEAD5EE" w14:textId="77777777" w:rsidR="009C34E1" w:rsidRPr="00565D5E" w:rsidRDefault="009C34E1" w:rsidP="009C34E1">
      <w:pPr>
        <w:tabs>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spacing w:val="-3"/>
        </w:rPr>
      </w:pPr>
    </w:p>
    <w:p w14:paraId="09FCE6DE" w14:textId="1370301C" w:rsidR="00FC5283" w:rsidRPr="00565D5E" w:rsidRDefault="00FC5283" w:rsidP="00FC5283">
      <w:pPr>
        <w:tabs>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spacing w:val="-3"/>
        </w:rPr>
      </w:pPr>
      <w:r w:rsidRPr="00565D5E">
        <w:rPr>
          <w:rFonts w:ascii="Arial" w:hAnsi="Arial" w:cs="Arial"/>
          <w:spacing w:val="-3"/>
        </w:rPr>
        <w:t>For th</w:t>
      </w:r>
      <w:r>
        <w:rPr>
          <w:rFonts w:ascii="Arial" w:hAnsi="Arial" w:cs="Arial"/>
          <w:spacing w:val="-3"/>
        </w:rPr>
        <w:t>e First to Fourth Applicants</w:t>
      </w:r>
      <w:r w:rsidRPr="00565D5E">
        <w:rPr>
          <w:rFonts w:ascii="Arial" w:hAnsi="Arial" w:cs="Arial"/>
          <w:spacing w:val="-3"/>
        </w:rPr>
        <w:t xml:space="preserve">: </w:t>
      </w:r>
      <w:r>
        <w:rPr>
          <w:rFonts w:ascii="Arial" w:hAnsi="Arial" w:cs="Arial"/>
          <w:spacing w:val="-3"/>
        </w:rPr>
        <w:t xml:space="preserve">Mr. T Dunn </w:t>
      </w:r>
    </w:p>
    <w:p w14:paraId="46317C3C" w14:textId="77777777" w:rsidR="00FC5283" w:rsidRPr="00565D5E" w:rsidRDefault="00FC5283" w:rsidP="00FC5283">
      <w:pPr>
        <w:tabs>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spacing w:val="-3"/>
        </w:rPr>
      </w:pPr>
      <w:r w:rsidRPr="00565D5E">
        <w:rPr>
          <w:rFonts w:ascii="Arial" w:hAnsi="Arial" w:cs="Arial"/>
          <w:spacing w:val="-3"/>
        </w:rPr>
        <w:tab/>
      </w:r>
      <w:r w:rsidRPr="00565D5E">
        <w:rPr>
          <w:rFonts w:ascii="Arial" w:hAnsi="Arial" w:cs="Arial"/>
          <w:spacing w:val="-3"/>
        </w:rPr>
        <w:tab/>
      </w:r>
      <w:r w:rsidRPr="00565D5E">
        <w:rPr>
          <w:rFonts w:ascii="Arial" w:hAnsi="Arial" w:cs="Arial"/>
          <w:spacing w:val="-3"/>
        </w:rPr>
        <w:tab/>
      </w:r>
      <w:r w:rsidRPr="00565D5E">
        <w:rPr>
          <w:rFonts w:ascii="Arial" w:hAnsi="Arial" w:cs="Arial"/>
          <w:spacing w:val="-3"/>
        </w:rPr>
        <w:tab/>
      </w:r>
    </w:p>
    <w:p w14:paraId="7377DC5D" w14:textId="0A633235" w:rsidR="00FC5283" w:rsidRPr="00565D5E" w:rsidRDefault="00FC5283" w:rsidP="00FC5283">
      <w:pPr>
        <w:tabs>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spacing w:val="-3"/>
        </w:rPr>
      </w:pPr>
      <w:r w:rsidRPr="00565D5E">
        <w:rPr>
          <w:rFonts w:ascii="Arial" w:hAnsi="Arial" w:cs="Arial"/>
          <w:spacing w:val="-3"/>
        </w:rPr>
        <w:t xml:space="preserve">Instructed by: </w:t>
      </w:r>
      <w:r>
        <w:rPr>
          <w:rFonts w:ascii="Arial" w:hAnsi="Arial" w:cs="Arial"/>
          <w:spacing w:val="-3"/>
        </w:rPr>
        <w:t>TJC Dunn Attorneys</w:t>
      </w:r>
    </w:p>
    <w:p w14:paraId="1A97814B" w14:textId="77777777" w:rsidR="00FC5283" w:rsidRDefault="00FC5283" w:rsidP="009C34E1">
      <w:pPr>
        <w:tabs>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spacing w:val="-3"/>
        </w:rPr>
      </w:pPr>
    </w:p>
    <w:p w14:paraId="7F520E56" w14:textId="77777777" w:rsidR="00FC5283" w:rsidRDefault="00FC5283" w:rsidP="009C34E1">
      <w:pPr>
        <w:tabs>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spacing w:val="-3"/>
        </w:rPr>
      </w:pPr>
    </w:p>
    <w:p w14:paraId="321DC83B" w14:textId="577FBB1B" w:rsidR="009C34E1" w:rsidRPr="00565D5E" w:rsidRDefault="009C34E1" w:rsidP="009C34E1">
      <w:pPr>
        <w:tabs>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spacing w:val="-3"/>
        </w:rPr>
      </w:pPr>
      <w:r w:rsidRPr="00565D5E">
        <w:rPr>
          <w:rFonts w:ascii="Arial" w:hAnsi="Arial" w:cs="Arial"/>
          <w:spacing w:val="-3"/>
        </w:rPr>
        <w:t xml:space="preserve">For the </w:t>
      </w:r>
      <w:r w:rsidR="00FC5283">
        <w:rPr>
          <w:rFonts w:ascii="Arial" w:hAnsi="Arial" w:cs="Arial"/>
          <w:spacing w:val="-3"/>
        </w:rPr>
        <w:t>Respondents</w:t>
      </w:r>
      <w:r w:rsidRPr="00565D5E">
        <w:rPr>
          <w:rFonts w:ascii="Arial" w:hAnsi="Arial" w:cs="Arial"/>
          <w:spacing w:val="-3"/>
        </w:rPr>
        <w:t>: Adv. CJC Nel</w:t>
      </w:r>
    </w:p>
    <w:p w14:paraId="3B973ED3" w14:textId="77777777" w:rsidR="009C34E1" w:rsidRPr="00565D5E" w:rsidRDefault="009C34E1" w:rsidP="009C34E1">
      <w:pPr>
        <w:tabs>
          <w:tab w:val="left" w:pos="-720"/>
          <w:tab w:val="left" w:pos="0"/>
          <w:tab w:val="left" w:pos="720"/>
          <w:tab w:val="left" w:pos="1440"/>
          <w:tab w:val="left" w:pos="2160"/>
          <w:tab w:val="left" w:pos="2880"/>
        </w:tabs>
        <w:suppressAutoHyphens/>
        <w:spacing w:line="240" w:lineRule="atLeast"/>
        <w:jc w:val="both"/>
        <w:rPr>
          <w:rFonts w:ascii="Arial" w:hAnsi="Arial" w:cs="Arial"/>
          <w:spacing w:val="-3"/>
        </w:rPr>
      </w:pPr>
    </w:p>
    <w:p w14:paraId="3451F1C1" w14:textId="77777777" w:rsidR="009C34E1" w:rsidRPr="00565D5E" w:rsidRDefault="009C34E1" w:rsidP="009C34E1">
      <w:pPr>
        <w:tabs>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spacing w:val="-3"/>
        </w:rPr>
      </w:pPr>
      <w:r w:rsidRPr="00565D5E">
        <w:rPr>
          <w:rFonts w:ascii="Arial" w:hAnsi="Arial" w:cs="Arial"/>
          <w:spacing w:val="-3"/>
        </w:rPr>
        <w:t xml:space="preserve">Instructed by: </w:t>
      </w:r>
      <w:r>
        <w:rPr>
          <w:rFonts w:ascii="Arial" w:hAnsi="Arial" w:cs="Arial"/>
          <w:spacing w:val="-3"/>
        </w:rPr>
        <w:t>Van Der Meer &amp; Schoonbee Attorneys</w:t>
      </w:r>
    </w:p>
    <w:p w14:paraId="46B44F6E" w14:textId="77777777" w:rsidR="009C34E1" w:rsidRPr="00565D5E" w:rsidRDefault="009C34E1" w:rsidP="009C34E1">
      <w:pPr>
        <w:tabs>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spacing w:val="-3"/>
        </w:rPr>
      </w:pPr>
    </w:p>
    <w:p w14:paraId="4A49A84B" w14:textId="5A39E14F" w:rsidR="009C34E1" w:rsidRPr="00565D5E" w:rsidRDefault="009C34E1" w:rsidP="00FC5283">
      <w:pPr>
        <w:tabs>
          <w:tab w:val="left" w:pos="-720"/>
          <w:tab w:val="left" w:pos="0"/>
          <w:tab w:val="left" w:pos="720"/>
          <w:tab w:val="left" w:pos="1440"/>
          <w:tab w:val="left" w:pos="2160"/>
          <w:tab w:val="left" w:pos="2880"/>
        </w:tabs>
        <w:suppressAutoHyphens/>
        <w:spacing w:line="240" w:lineRule="atLeast"/>
        <w:jc w:val="both"/>
        <w:rPr>
          <w:rFonts w:ascii="Arial" w:hAnsi="Arial" w:cs="Arial"/>
        </w:rPr>
      </w:pPr>
      <w:r w:rsidRPr="00565D5E">
        <w:rPr>
          <w:rFonts w:ascii="Arial" w:hAnsi="Arial" w:cs="Arial"/>
        </w:rPr>
        <w:tab/>
      </w:r>
      <w:r w:rsidRPr="00565D5E">
        <w:rPr>
          <w:rFonts w:ascii="Arial" w:hAnsi="Arial" w:cs="Arial"/>
        </w:rPr>
        <w:tab/>
      </w:r>
      <w:r w:rsidRPr="00565D5E">
        <w:rPr>
          <w:rFonts w:ascii="Arial" w:hAnsi="Arial" w:cs="Arial"/>
        </w:rPr>
        <w:tab/>
      </w:r>
    </w:p>
    <w:p w14:paraId="06CA1AD1" w14:textId="6F12F4D9" w:rsidR="009C34E1" w:rsidRPr="00565D5E" w:rsidRDefault="009C34E1" w:rsidP="009C34E1">
      <w:pPr>
        <w:tabs>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rPr>
      </w:pPr>
      <w:r w:rsidRPr="00565D5E">
        <w:rPr>
          <w:rFonts w:ascii="Arial" w:hAnsi="Arial" w:cs="Arial"/>
        </w:rPr>
        <w:t xml:space="preserve">Date of Hearing: </w:t>
      </w:r>
      <w:r>
        <w:rPr>
          <w:rFonts w:ascii="Arial" w:hAnsi="Arial" w:cs="Arial"/>
        </w:rPr>
        <w:t>2</w:t>
      </w:r>
      <w:r w:rsidR="000F44F4">
        <w:rPr>
          <w:rFonts w:ascii="Arial" w:hAnsi="Arial" w:cs="Arial"/>
        </w:rPr>
        <w:t>6 March 2024</w:t>
      </w:r>
      <w:r>
        <w:rPr>
          <w:rFonts w:ascii="Arial" w:hAnsi="Arial" w:cs="Arial"/>
        </w:rPr>
        <w:t xml:space="preserve"> – </w:t>
      </w:r>
      <w:r w:rsidR="000F44F4">
        <w:rPr>
          <w:rFonts w:ascii="Arial" w:hAnsi="Arial" w:cs="Arial"/>
        </w:rPr>
        <w:t>Microsoft Teams</w:t>
      </w:r>
    </w:p>
    <w:p w14:paraId="1273880A" w14:textId="7BEFE086" w:rsidR="009C34E1" w:rsidRPr="00565D5E" w:rsidRDefault="009C34E1" w:rsidP="009C34E1">
      <w:pPr>
        <w:suppressAutoHyphens/>
        <w:spacing w:line="240" w:lineRule="atLeast"/>
        <w:rPr>
          <w:rFonts w:ascii="Arial" w:hAnsi="Arial" w:cs="Arial"/>
        </w:rPr>
      </w:pPr>
      <w:r w:rsidRPr="00565D5E">
        <w:rPr>
          <w:rFonts w:ascii="Arial" w:hAnsi="Arial" w:cs="Arial"/>
        </w:rPr>
        <w:t xml:space="preserve">Date of Judgment: </w:t>
      </w:r>
      <w:r>
        <w:rPr>
          <w:rFonts w:ascii="Arial" w:hAnsi="Arial" w:cs="Arial"/>
        </w:rPr>
        <w:t>2</w:t>
      </w:r>
      <w:r w:rsidR="000F44F4">
        <w:rPr>
          <w:rFonts w:ascii="Arial" w:hAnsi="Arial" w:cs="Arial"/>
        </w:rPr>
        <w:t>6 March</w:t>
      </w:r>
      <w:r>
        <w:rPr>
          <w:rFonts w:ascii="Arial" w:hAnsi="Arial" w:cs="Arial"/>
        </w:rPr>
        <w:t xml:space="preserve"> </w:t>
      </w:r>
      <w:r w:rsidRPr="00565D5E">
        <w:rPr>
          <w:rFonts w:ascii="Arial" w:hAnsi="Arial" w:cs="Arial"/>
        </w:rPr>
        <w:t>202</w:t>
      </w:r>
      <w:r w:rsidR="000F44F4">
        <w:rPr>
          <w:rFonts w:ascii="Arial" w:hAnsi="Arial" w:cs="Arial"/>
        </w:rPr>
        <w:t>4</w:t>
      </w:r>
    </w:p>
    <w:p w14:paraId="0B9DC9AC" w14:textId="77777777" w:rsidR="00704E66" w:rsidRPr="00113E54" w:rsidRDefault="00704E66" w:rsidP="003A6DFD">
      <w:pPr>
        <w:rPr>
          <w:rFonts w:ascii="Arial" w:hAnsi="Arial" w:cs="Arial"/>
        </w:rPr>
      </w:pPr>
    </w:p>
    <w:sectPr w:rsidR="00704E66" w:rsidRPr="00113E54" w:rsidSect="00F54AF6">
      <w:headerReference w:type="even" r:id="rId21"/>
      <w:headerReference w:type="defaul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8BAB6" w14:textId="77777777" w:rsidR="00F54AF6" w:rsidRDefault="00F54AF6" w:rsidP="00EC3FF1">
      <w:r>
        <w:separator/>
      </w:r>
    </w:p>
  </w:endnote>
  <w:endnote w:type="continuationSeparator" w:id="0">
    <w:p w14:paraId="5BC283C6" w14:textId="77777777" w:rsidR="00F54AF6" w:rsidRDefault="00F54AF6" w:rsidP="00EC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177C3D" w14:textId="77777777" w:rsidR="00F54AF6" w:rsidRDefault="00F54AF6" w:rsidP="00EC3FF1">
      <w:r>
        <w:separator/>
      </w:r>
    </w:p>
  </w:footnote>
  <w:footnote w:type="continuationSeparator" w:id="0">
    <w:p w14:paraId="18A803E1" w14:textId="77777777" w:rsidR="00F54AF6" w:rsidRDefault="00F54AF6" w:rsidP="00EC3FF1">
      <w:r>
        <w:continuationSeparator/>
      </w:r>
    </w:p>
  </w:footnote>
  <w:footnote w:id="1">
    <w:p w14:paraId="1BB66451" w14:textId="7683123B" w:rsidR="00AA6339" w:rsidRPr="000F4D6E" w:rsidRDefault="00AA6339">
      <w:pPr>
        <w:pStyle w:val="FootnoteText"/>
        <w:rPr>
          <w:lang w:val="en-ZA"/>
        </w:rPr>
      </w:pPr>
      <w:r>
        <w:rPr>
          <w:rStyle w:val="FootnoteReference"/>
        </w:rPr>
        <w:footnoteRef/>
      </w:r>
      <w:r>
        <w:t xml:space="preserve"> </w:t>
      </w:r>
      <w:r w:rsidRPr="000F4D6E">
        <w:rPr>
          <w:rFonts w:ascii="Arial" w:hAnsi="Arial" w:cs="Arial"/>
          <w:i/>
          <w:iCs/>
        </w:rPr>
        <w:t xml:space="preserve">Grant and Another v Stonestreet and Others </w:t>
      </w:r>
      <w:r w:rsidRPr="000F4D6E">
        <w:rPr>
          <w:rFonts w:ascii="Arial" w:hAnsi="Arial" w:cs="Arial"/>
        </w:rPr>
        <w:t>1968 (4) SA 1 (A) at 16H-17A, 20.</w:t>
      </w:r>
    </w:p>
  </w:footnote>
  <w:footnote w:id="2">
    <w:p w14:paraId="23A188B5" w14:textId="03E8907E" w:rsidR="000F4D6E" w:rsidRPr="000F4D6E" w:rsidRDefault="000F4D6E">
      <w:pPr>
        <w:pStyle w:val="FootnoteText"/>
        <w:rPr>
          <w:lang w:val="en-ZA"/>
        </w:rPr>
      </w:pPr>
      <w:r>
        <w:rPr>
          <w:rStyle w:val="FootnoteReference"/>
        </w:rPr>
        <w:footnoteRef/>
      </w:r>
      <w:r>
        <w:t xml:space="preserve"> </w:t>
      </w:r>
      <w:r w:rsidRPr="000F4D6E">
        <w:rPr>
          <w:rFonts w:ascii="Arial" w:hAnsi="Arial" w:cs="Arial"/>
          <w:lang w:val="en-ZA"/>
        </w:rPr>
        <w:t>Section 1(2) of the Formalities in respect of the Leases of Land Act 18 of 1969.</w:t>
      </w:r>
    </w:p>
  </w:footnote>
  <w:footnote w:id="3">
    <w:p w14:paraId="2887D2AF" w14:textId="2EAF4D2A" w:rsidR="00A137C0" w:rsidRPr="00A137C0" w:rsidRDefault="00A137C0">
      <w:pPr>
        <w:pStyle w:val="FootnoteText"/>
        <w:rPr>
          <w:lang w:val="en-ZA"/>
        </w:rPr>
      </w:pPr>
      <w:r>
        <w:rPr>
          <w:rStyle w:val="FootnoteReference"/>
        </w:rPr>
        <w:footnoteRef/>
      </w:r>
      <w:r>
        <w:t xml:space="preserve"> </w:t>
      </w:r>
      <w:r>
        <w:rPr>
          <w:lang w:val="en-ZA"/>
        </w:rPr>
        <w:t xml:space="preserve"> </w:t>
      </w:r>
      <w:r w:rsidRPr="00A137C0">
        <w:rPr>
          <w:rFonts w:ascii="Arial" w:hAnsi="Arial" w:cs="Arial"/>
          <w:lang w:val="en-ZA"/>
        </w:rPr>
        <w:t>Law of Evidence Amendment Act 45 of 1988.</w:t>
      </w:r>
    </w:p>
  </w:footnote>
  <w:footnote w:id="4">
    <w:p w14:paraId="4B784C31" w14:textId="43D04B38" w:rsidR="0006793C" w:rsidRPr="0006793C" w:rsidRDefault="0006793C">
      <w:pPr>
        <w:pStyle w:val="FootnoteText"/>
        <w:rPr>
          <w:lang w:val="en-ZA"/>
        </w:rPr>
      </w:pPr>
      <w:r>
        <w:rPr>
          <w:rStyle w:val="FootnoteReference"/>
        </w:rPr>
        <w:footnoteRef/>
      </w:r>
      <w:r>
        <w:t xml:space="preserve"> </w:t>
      </w:r>
      <w:r>
        <w:rPr>
          <w:lang w:val="en-ZA"/>
        </w:rPr>
        <w:t xml:space="preserve"> Act 61 of 1973.</w:t>
      </w:r>
    </w:p>
  </w:footnote>
  <w:footnote w:id="5">
    <w:p w14:paraId="41A380A2" w14:textId="5E81EC10" w:rsidR="007B35EC" w:rsidRPr="007B35EC" w:rsidRDefault="007B35EC">
      <w:pPr>
        <w:pStyle w:val="FootnoteText"/>
        <w:rPr>
          <w:rFonts w:ascii="Arial" w:hAnsi="Arial" w:cs="Arial"/>
          <w:lang w:val="en-ZA"/>
        </w:rPr>
      </w:pPr>
      <w:r>
        <w:rPr>
          <w:rStyle w:val="FootnoteReference"/>
        </w:rPr>
        <w:footnoteRef/>
      </w:r>
      <w:r>
        <w:t xml:space="preserve"> </w:t>
      </w:r>
      <w:r>
        <w:rPr>
          <w:lang w:val="en-ZA"/>
        </w:rPr>
        <w:t xml:space="preserve"> </w:t>
      </w:r>
      <w:r>
        <w:rPr>
          <w:rFonts w:ascii="Arial" w:hAnsi="Arial" w:cs="Arial"/>
          <w:lang w:val="en-ZA"/>
        </w:rPr>
        <w:t xml:space="preserve">1956 (4) SA 150 (at 154 G-H). </w:t>
      </w:r>
    </w:p>
  </w:footnote>
  <w:footnote w:id="6">
    <w:p w14:paraId="7D5A8D69" w14:textId="2C944FCC" w:rsidR="00D23C94" w:rsidRPr="00D23C94" w:rsidRDefault="00D23C94">
      <w:pPr>
        <w:pStyle w:val="FootnoteText"/>
        <w:rPr>
          <w:lang w:val="en-ZA"/>
        </w:rPr>
      </w:pPr>
      <w:r>
        <w:rPr>
          <w:rStyle w:val="FootnoteReference"/>
        </w:rPr>
        <w:footnoteRef/>
      </w:r>
      <w:r>
        <w:t xml:space="preserve"> </w:t>
      </w:r>
      <w:hyperlink r:id="rId1" w:tooltip="View LawCiteRecord" w:history="1">
        <w:r w:rsidRPr="00D23C94">
          <w:rPr>
            <w:rStyle w:val="Hyperlink"/>
            <w:rFonts w:ascii="Arial" w:hAnsi="Arial" w:cs="Arial"/>
            <w:b/>
            <w:bCs/>
            <w:color w:val="0B4B0B"/>
          </w:rPr>
          <w:t>2019 (5) SA 51</w:t>
        </w:r>
      </w:hyperlink>
      <w:r w:rsidRPr="00D23C94">
        <w:rPr>
          <w:rFonts w:ascii="Arial" w:hAnsi="Arial" w:cs="Arial"/>
          <w:color w:val="242121"/>
        </w:rPr>
        <w:t> (SCA)</w:t>
      </w:r>
      <w:r>
        <w:rPr>
          <w:rFonts w:ascii="Arial" w:hAnsi="Arial" w:cs="Arial"/>
          <w:color w:val="242121"/>
        </w:rPr>
        <w:t>.</w:t>
      </w:r>
    </w:p>
  </w:footnote>
  <w:footnote w:id="7">
    <w:p w14:paraId="26256D72" w14:textId="3B49B4DF" w:rsidR="00D23C94" w:rsidRPr="00D23C94" w:rsidRDefault="00D23C94">
      <w:pPr>
        <w:pStyle w:val="FootnoteText"/>
        <w:rPr>
          <w:lang w:val="en-ZA"/>
        </w:rPr>
      </w:pPr>
      <w:r>
        <w:rPr>
          <w:rStyle w:val="FootnoteReference"/>
        </w:rPr>
        <w:footnoteRef/>
      </w:r>
      <w:r>
        <w:t xml:space="preserve"> </w:t>
      </w:r>
      <w:r w:rsidRPr="00D23C94">
        <w:rPr>
          <w:rFonts w:ascii="Arial" w:hAnsi="Arial" w:cs="Arial"/>
          <w:b/>
          <w:bCs/>
          <w:color w:val="FF0000"/>
        </w:rPr>
        <w:t> </w:t>
      </w:r>
      <w:r w:rsidRPr="00D23C94">
        <w:rPr>
          <w:rFonts w:ascii="Arial" w:hAnsi="Arial" w:cs="Arial"/>
          <w:color w:val="242121"/>
        </w:rPr>
        <w:t>2016 JDR 2214 (SCA)</w:t>
      </w:r>
      <w:r>
        <w:rPr>
          <w:rFonts w:ascii="Arial" w:hAnsi="Arial" w:cs="Arial"/>
          <w:color w:val="2421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4391486"/>
      <w:docPartObj>
        <w:docPartGallery w:val="Page Numbers (Top of Page)"/>
        <w:docPartUnique/>
      </w:docPartObj>
    </w:sdtPr>
    <w:sdtContent>
      <w:p w14:paraId="772A12AD" w14:textId="4B90AC9B" w:rsidR="005A2C52" w:rsidRDefault="005A2C5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4F883B" w14:textId="77777777" w:rsidR="005A2C52" w:rsidRDefault="005A2C52" w:rsidP="005A2C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886952399"/>
      <w:docPartObj>
        <w:docPartGallery w:val="Page Numbers (Top of Page)"/>
        <w:docPartUnique/>
      </w:docPartObj>
    </w:sdtPr>
    <w:sdtContent>
      <w:p w14:paraId="3F37E4CB" w14:textId="20722386" w:rsidR="005A2C52" w:rsidRDefault="005A2C5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08BC">
          <w:rPr>
            <w:rStyle w:val="PageNumber"/>
            <w:noProof/>
          </w:rPr>
          <w:t>8</w:t>
        </w:r>
        <w:r>
          <w:rPr>
            <w:rStyle w:val="PageNumber"/>
          </w:rPr>
          <w:fldChar w:fldCharType="end"/>
        </w:r>
      </w:p>
    </w:sdtContent>
  </w:sdt>
  <w:p w14:paraId="1588E14C" w14:textId="77777777" w:rsidR="005A2C52" w:rsidRDefault="005A2C52" w:rsidP="005A2C5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10AB3"/>
    <w:multiLevelType w:val="multilevel"/>
    <w:tmpl w:val="6D54A7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01C5954"/>
    <w:multiLevelType w:val="multilevel"/>
    <w:tmpl w:val="84EA88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E486E9F"/>
    <w:multiLevelType w:val="multilevel"/>
    <w:tmpl w:val="155E08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6F41570"/>
    <w:multiLevelType w:val="hybridMultilevel"/>
    <w:tmpl w:val="1402F58E"/>
    <w:lvl w:ilvl="0" w:tplc="39CEE7A4">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15:restartNumberingAfterBreak="0">
    <w:nsid w:val="5AA06EFC"/>
    <w:multiLevelType w:val="hybridMultilevel"/>
    <w:tmpl w:val="4184E91C"/>
    <w:lvl w:ilvl="0" w:tplc="7E7494B6">
      <w:start w:val="1"/>
      <w:numFmt w:val="decimal"/>
      <w:lvlText w:val="%1."/>
      <w:lvlJc w:val="left"/>
      <w:pPr>
        <w:ind w:left="720" w:hanging="360"/>
      </w:pPr>
      <w:rPr>
        <w:rFonts w:hint="default"/>
        <w:b w:val="0"/>
        <w:bCs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AA824D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4F3EF4"/>
    <w:multiLevelType w:val="hybridMultilevel"/>
    <w:tmpl w:val="66A8CEE8"/>
    <w:lvl w:ilvl="0" w:tplc="D99A6F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54653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795463">
    <w:abstractNumId w:val="0"/>
  </w:num>
  <w:num w:numId="3" w16cid:durableId="199973883">
    <w:abstractNumId w:val="3"/>
  </w:num>
  <w:num w:numId="4" w16cid:durableId="1235504873">
    <w:abstractNumId w:val="2"/>
  </w:num>
  <w:num w:numId="5" w16cid:durableId="1131090039">
    <w:abstractNumId w:val="7"/>
  </w:num>
  <w:num w:numId="6" w16cid:durableId="1548764410">
    <w:abstractNumId w:val="6"/>
  </w:num>
  <w:num w:numId="7" w16cid:durableId="305864638">
    <w:abstractNumId w:val="4"/>
  </w:num>
  <w:num w:numId="8" w16cid:durableId="4342557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U0MjaxNDU0NDECkko6SsGpxcWZ+XkgBYa1AFN2Yh0sAAAA"/>
  </w:docVars>
  <w:rsids>
    <w:rsidRoot w:val="0084792C"/>
    <w:rsid w:val="00005DEF"/>
    <w:rsid w:val="00010D9E"/>
    <w:rsid w:val="000113B1"/>
    <w:rsid w:val="0001153F"/>
    <w:rsid w:val="00014D09"/>
    <w:rsid w:val="00030242"/>
    <w:rsid w:val="00046043"/>
    <w:rsid w:val="00047860"/>
    <w:rsid w:val="00051037"/>
    <w:rsid w:val="000512FB"/>
    <w:rsid w:val="00053C17"/>
    <w:rsid w:val="00065254"/>
    <w:rsid w:val="0006558C"/>
    <w:rsid w:val="0006793C"/>
    <w:rsid w:val="00067C0A"/>
    <w:rsid w:val="0007379D"/>
    <w:rsid w:val="000802A6"/>
    <w:rsid w:val="000814F3"/>
    <w:rsid w:val="000868E0"/>
    <w:rsid w:val="0008774A"/>
    <w:rsid w:val="00092903"/>
    <w:rsid w:val="000930C4"/>
    <w:rsid w:val="00094D61"/>
    <w:rsid w:val="000A45C2"/>
    <w:rsid w:val="000A4A80"/>
    <w:rsid w:val="000A5193"/>
    <w:rsid w:val="000A5608"/>
    <w:rsid w:val="000A5B85"/>
    <w:rsid w:val="000A6B12"/>
    <w:rsid w:val="000B237C"/>
    <w:rsid w:val="000B4C12"/>
    <w:rsid w:val="000B7A56"/>
    <w:rsid w:val="000C09A8"/>
    <w:rsid w:val="000C5A39"/>
    <w:rsid w:val="000D2732"/>
    <w:rsid w:val="000D7326"/>
    <w:rsid w:val="000D7E0E"/>
    <w:rsid w:val="000E18D2"/>
    <w:rsid w:val="000E5BF2"/>
    <w:rsid w:val="000F44F4"/>
    <w:rsid w:val="000F4AAF"/>
    <w:rsid w:val="000F4D6E"/>
    <w:rsid w:val="000F77F7"/>
    <w:rsid w:val="0010161D"/>
    <w:rsid w:val="00112576"/>
    <w:rsid w:val="00113E54"/>
    <w:rsid w:val="00114CFA"/>
    <w:rsid w:val="00114E67"/>
    <w:rsid w:val="00126A9E"/>
    <w:rsid w:val="00133E86"/>
    <w:rsid w:val="00141853"/>
    <w:rsid w:val="00146C4F"/>
    <w:rsid w:val="00147D0E"/>
    <w:rsid w:val="00152128"/>
    <w:rsid w:val="001552B0"/>
    <w:rsid w:val="0015631F"/>
    <w:rsid w:val="001576BD"/>
    <w:rsid w:val="00175017"/>
    <w:rsid w:val="00175F93"/>
    <w:rsid w:val="00181CDC"/>
    <w:rsid w:val="00190FC1"/>
    <w:rsid w:val="00191D0C"/>
    <w:rsid w:val="001A408D"/>
    <w:rsid w:val="001A7894"/>
    <w:rsid w:val="001B09A8"/>
    <w:rsid w:val="001B3041"/>
    <w:rsid w:val="001B57AE"/>
    <w:rsid w:val="001B7772"/>
    <w:rsid w:val="001C246D"/>
    <w:rsid w:val="001C60B8"/>
    <w:rsid w:val="001D3B47"/>
    <w:rsid w:val="001E23FC"/>
    <w:rsid w:val="001F465B"/>
    <w:rsid w:val="00206759"/>
    <w:rsid w:val="00213052"/>
    <w:rsid w:val="00215A75"/>
    <w:rsid w:val="00231966"/>
    <w:rsid w:val="00232C3A"/>
    <w:rsid w:val="00233CF3"/>
    <w:rsid w:val="002348FE"/>
    <w:rsid w:val="002357DA"/>
    <w:rsid w:val="00244A7F"/>
    <w:rsid w:val="00250D7E"/>
    <w:rsid w:val="002557C1"/>
    <w:rsid w:val="00256618"/>
    <w:rsid w:val="00266ECB"/>
    <w:rsid w:val="00281294"/>
    <w:rsid w:val="00290FA0"/>
    <w:rsid w:val="002A1B83"/>
    <w:rsid w:val="002A1C7E"/>
    <w:rsid w:val="002A7048"/>
    <w:rsid w:val="002B1A1E"/>
    <w:rsid w:val="002B38E5"/>
    <w:rsid w:val="002B5E38"/>
    <w:rsid w:val="002B6FAC"/>
    <w:rsid w:val="002D10B7"/>
    <w:rsid w:val="002D5B5D"/>
    <w:rsid w:val="002D6A27"/>
    <w:rsid w:val="002F11A9"/>
    <w:rsid w:val="002F2122"/>
    <w:rsid w:val="002F2639"/>
    <w:rsid w:val="002F2794"/>
    <w:rsid w:val="002F286D"/>
    <w:rsid w:val="002F5AFD"/>
    <w:rsid w:val="002F72EE"/>
    <w:rsid w:val="00301DC6"/>
    <w:rsid w:val="003020C5"/>
    <w:rsid w:val="003068C2"/>
    <w:rsid w:val="00312A80"/>
    <w:rsid w:val="00315ABE"/>
    <w:rsid w:val="00316CA4"/>
    <w:rsid w:val="00317EC9"/>
    <w:rsid w:val="00320833"/>
    <w:rsid w:val="003242AF"/>
    <w:rsid w:val="0033029E"/>
    <w:rsid w:val="003310F9"/>
    <w:rsid w:val="00335EC8"/>
    <w:rsid w:val="00340191"/>
    <w:rsid w:val="00341B1D"/>
    <w:rsid w:val="00351DF4"/>
    <w:rsid w:val="00352B1C"/>
    <w:rsid w:val="0035762E"/>
    <w:rsid w:val="0035796F"/>
    <w:rsid w:val="00363204"/>
    <w:rsid w:val="00363430"/>
    <w:rsid w:val="003651B5"/>
    <w:rsid w:val="003658A7"/>
    <w:rsid w:val="00367470"/>
    <w:rsid w:val="003677A7"/>
    <w:rsid w:val="0037373E"/>
    <w:rsid w:val="00376003"/>
    <w:rsid w:val="003822D5"/>
    <w:rsid w:val="00383718"/>
    <w:rsid w:val="00386CC9"/>
    <w:rsid w:val="0039234E"/>
    <w:rsid w:val="003A4103"/>
    <w:rsid w:val="003A6070"/>
    <w:rsid w:val="003A6DFD"/>
    <w:rsid w:val="003B0B2E"/>
    <w:rsid w:val="003B0E58"/>
    <w:rsid w:val="003B39A5"/>
    <w:rsid w:val="003C28C0"/>
    <w:rsid w:val="003C570F"/>
    <w:rsid w:val="003C6F21"/>
    <w:rsid w:val="003D1C23"/>
    <w:rsid w:val="003D29C8"/>
    <w:rsid w:val="003D3C8C"/>
    <w:rsid w:val="003D3F42"/>
    <w:rsid w:val="003E27EA"/>
    <w:rsid w:val="003E4E8F"/>
    <w:rsid w:val="003E5812"/>
    <w:rsid w:val="003E7D1C"/>
    <w:rsid w:val="003F0861"/>
    <w:rsid w:val="003F0D92"/>
    <w:rsid w:val="004031A8"/>
    <w:rsid w:val="0040532C"/>
    <w:rsid w:val="00420BD6"/>
    <w:rsid w:val="0042159B"/>
    <w:rsid w:val="004237EA"/>
    <w:rsid w:val="004268F4"/>
    <w:rsid w:val="004279F8"/>
    <w:rsid w:val="00453022"/>
    <w:rsid w:val="00453553"/>
    <w:rsid w:val="004554C8"/>
    <w:rsid w:val="00457384"/>
    <w:rsid w:val="00464F0B"/>
    <w:rsid w:val="00466000"/>
    <w:rsid w:val="00467B7C"/>
    <w:rsid w:val="00470856"/>
    <w:rsid w:val="00475A9A"/>
    <w:rsid w:val="004811B7"/>
    <w:rsid w:val="00481B14"/>
    <w:rsid w:val="00483000"/>
    <w:rsid w:val="00490FC6"/>
    <w:rsid w:val="00491C1C"/>
    <w:rsid w:val="00496BA2"/>
    <w:rsid w:val="004A1839"/>
    <w:rsid w:val="004A2599"/>
    <w:rsid w:val="004A505A"/>
    <w:rsid w:val="004B3E7E"/>
    <w:rsid w:val="004B6A0E"/>
    <w:rsid w:val="004B750C"/>
    <w:rsid w:val="004C0EDA"/>
    <w:rsid w:val="004C2B99"/>
    <w:rsid w:val="004C46A8"/>
    <w:rsid w:val="004C4A78"/>
    <w:rsid w:val="004C4DA4"/>
    <w:rsid w:val="004C5393"/>
    <w:rsid w:val="004D20A3"/>
    <w:rsid w:val="004D6F2D"/>
    <w:rsid w:val="004E031A"/>
    <w:rsid w:val="004E4656"/>
    <w:rsid w:val="004F0AF2"/>
    <w:rsid w:val="004F48B8"/>
    <w:rsid w:val="004F49F2"/>
    <w:rsid w:val="005004FC"/>
    <w:rsid w:val="00500FB4"/>
    <w:rsid w:val="005019BC"/>
    <w:rsid w:val="00504541"/>
    <w:rsid w:val="00522740"/>
    <w:rsid w:val="005252B1"/>
    <w:rsid w:val="00556C70"/>
    <w:rsid w:val="00557D5C"/>
    <w:rsid w:val="0056109B"/>
    <w:rsid w:val="00570870"/>
    <w:rsid w:val="0057099E"/>
    <w:rsid w:val="00586A60"/>
    <w:rsid w:val="0059576E"/>
    <w:rsid w:val="00596978"/>
    <w:rsid w:val="005A15C6"/>
    <w:rsid w:val="005A2C52"/>
    <w:rsid w:val="005A7341"/>
    <w:rsid w:val="005B0AB5"/>
    <w:rsid w:val="005B1884"/>
    <w:rsid w:val="005B1C3A"/>
    <w:rsid w:val="005C1CA3"/>
    <w:rsid w:val="005C1CD5"/>
    <w:rsid w:val="005C2006"/>
    <w:rsid w:val="005D4709"/>
    <w:rsid w:val="005D4EA8"/>
    <w:rsid w:val="005E05E3"/>
    <w:rsid w:val="005E41FD"/>
    <w:rsid w:val="005F5F09"/>
    <w:rsid w:val="005F6D3C"/>
    <w:rsid w:val="0060001A"/>
    <w:rsid w:val="0060497F"/>
    <w:rsid w:val="00615C0F"/>
    <w:rsid w:val="006163E2"/>
    <w:rsid w:val="00620769"/>
    <w:rsid w:val="00620B9E"/>
    <w:rsid w:val="00622950"/>
    <w:rsid w:val="006268DE"/>
    <w:rsid w:val="00630B0B"/>
    <w:rsid w:val="00631316"/>
    <w:rsid w:val="00634B74"/>
    <w:rsid w:val="00636C64"/>
    <w:rsid w:val="00640350"/>
    <w:rsid w:val="00645BE3"/>
    <w:rsid w:val="00645E4C"/>
    <w:rsid w:val="0066350E"/>
    <w:rsid w:val="00664DD3"/>
    <w:rsid w:val="00665A8B"/>
    <w:rsid w:val="0067011B"/>
    <w:rsid w:val="00670583"/>
    <w:rsid w:val="006717DD"/>
    <w:rsid w:val="00671EB6"/>
    <w:rsid w:val="00673F05"/>
    <w:rsid w:val="00680DD0"/>
    <w:rsid w:val="0068231B"/>
    <w:rsid w:val="00682770"/>
    <w:rsid w:val="00682BB7"/>
    <w:rsid w:val="006855B4"/>
    <w:rsid w:val="00690BB3"/>
    <w:rsid w:val="00690F1D"/>
    <w:rsid w:val="006963A9"/>
    <w:rsid w:val="00696436"/>
    <w:rsid w:val="00697738"/>
    <w:rsid w:val="006A1F09"/>
    <w:rsid w:val="006B46A7"/>
    <w:rsid w:val="006C00E1"/>
    <w:rsid w:val="006C0CDC"/>
    <w:rsid w:val="006C40E2"/>
    <w:rsid w:val="006C5447"/>
    <w:rsid w:val="006E4878"/>
    <w:rsid w:val="006F6408"/>
    <w:rsid w:val="00700913"/>
    <w:rsid w:val="00704E66"/>
    <w:rsid w:val="0071042F"/>
    <w:rsid w:val="00713887"/>
    <w:rsid w:val="00715914"/>
    <w:rsid w:val="00727093"/>
    <w:rsid w:val="0073389A"/>
    <w:rsid w:val="007356DF"/>
    <w:rsid w:val="00740DC0"/>
    <w:rsid w:val="00743F38"/>
    <w:rsid w:val="007458A9"/>
    <w:rsid w:val="00751314"/>
    <w:rsid w:val="00752259"/>
    <w:rsid w:val="00756393"/>
    <w:rsid w:val="00765774"/>
    <w:rsid w:val="0076675D"/>
    <w:rsid w:val="00772877"/>
    <w:rsid w:val="007845FA"/>
    <w:rsid w:val="007848A6"/>
    <w:rsid w:val="007851EF"/>
    <w:rsid w:val="0078546E"/>
    <w:rsid w:val="00791788"/>
    <w:rsid w:val="007941B3"/>
    <w:rsid w:val="00795AE2"/>
    <w:rsid w:val="00797D93"/>
    <w:rsid w:val="007A10CC"/>
    <w:rsid w:val="007B35EC"/>
    <w:rsid w:val="007B5C2E"/>
    <w:rsid w:val="007B786B"/>
    <w:rsid w:val="007C2303"/>
    <w:rsid w:val="007D542F"/>
    <w:rsid w:val="007D599C"/>
    <w:rsid w:val="007D708F"/>
    <w:rsid w:val="007E4577"/>
    <w:rsid w:val="007E708A"/>
    <w:rsid w:val="007F1A88"/>
    <w:rsid w:val="007F2032"/>
    <w:rsid w:val="007F320C"/>
    <w:rsid w:val="00806941"/>
    <w:rsid w:val="0081214D"/>
    <w:rsid w:val="00813DBE"/>
    <w:rsid w:val="00814B10"/>
    <w:rsid w:val="00814D5A"/>
    <w:rsid w:val="00816E2E"/>
    <w:rsid w:val="00817318"/>
    <w:rsid w:val="00822F81"/>
    <w:rsid w:val="00824F27"/>
    <w:rsid w:val="00825024"/>
    <w:rsid w:val="00833D3D"/>
    <w:rsid w:val="00843A55"/>
    <w:rsid w:val="0084792C"/>
    <w:rsid w:val="00847F41"/>
    <w:rsid w:val="0085488E"/>
    <w:rsid w:val="00860886"/>
    <w:rsid w:val="00860EE3"/>
    <w:rsid w:val="0087059C"/>
    <w:rsid w:val="008759E4"/>
    <w:rsid w:val="00881619"/>
    <w:rsid w:val="0088412D"/>
    <w:rsid w:val="008843BD"/>
    <w:rsid w:val="00884438"/>
    <w:rsid w:val="0088563E"/>
    <w:rsid w:val="00887259"/>
    <w:rsid w:val="00895BB3"/>
    <w:rsid w:val="00896174"/>
    <w:rsid w:val="008A0EF9"/>
    <w:rsid w:val="008A7EEB"/>
    <w:rsid w:val="008B04D1"/>
    <w:rsid w:val="008B4154"/>
    <w:rsid w:val="008B51A2"/>
    <w:rsid w:val="008B6D61"/>
    <w:rsid w:val="008B6E96"/>
    <w:rsid w:val="008C2826"/>
    <w:rsid w:val="008C5362"/>
    <w:rsid w:val="008D6C14"/>
    <w:rsid w:val="0090096C"/>
    <w:rsid w:val="0091163B"/>
    <w:rsid w:val="00915C86"/>
    <w:rsid w:val="00917CB2"/>
    <w:rsid w:val="00932D61"/>
    <w:rsid w:val="00941BC2"/>
    <w:rsid w:val="00942A90"/>
    <w:rsid w:val="009569F0"/>
    <w:rsid w:val="00971C0E"/>
    <w:rsid w:val="00974415"/>
    <w:rsid w:val="00974AAE"/>
    <w:rsid w:val="00976257"/>
    <w:rsid w:val="00981593"/>
    <w:rsid w:val="009B5342"/>
    <w:rsid w:val="009B586F"/>
    <w:rsid w:val="009B7B21"/>
    <w:rsid w:val="009B7F91"/>
    <w:rsid w:val="009C0C33"/>
    <w:rsid w:val="009C34E1"/>
    <w:rsid w:val="009C4FB0"/>
    <w:rsid w:val="009C5FF7"/>
    <w:rsid w:val="009C7A42"/>
    <w:rsid w:val="009D2C90"/>
    <w:rsid w:val="009D490B"/>
    <w:rsid w:val="009D4EF6"/>
    <w:rsid w:val="009D6E53"/>
    <w:rsid w:val="009E346D"/>
    <w:rsid w:val="009E4A74"/>
    <w:rsid w:val="009E5DF3"/>
    <w:rsid w:val="009E6995"/>
    <w:rsid w:val="009E7905"/>
    <w:rsid w:val="00A01598"/>
    <w:rsid w:val="00A03A8C"/>
    <w:rsid w:val="00A05FE3"/>
    <w:rsid w:val="00A060A6"/>
    <w:rsid w:val="00A137C0"/>
    <w:rsid w:val="00A1496E"/>
    <w:rsid w:val="00A21ADF"/>
    <w:rsid w:val="00A22321"/>
    <w:rsid w:val="00A27E3D"/>
    <w:rsid w:val="00A35037"/>
    <w:rsid w:val="00A400FC"/>
    <w:rsid w:val="00A438F9"/>
    <w:rsid w:val="00A478B0"/>
    <w:rsid w:val="00A555CF"/>
    <w:rsid w:val="00A5751C"/>
    <w:rsid w:val="00A74C37"/>
    <w:rsid w:val="00A7508C"/>
    <w:rsid w:val="00A77E53"/>
    <w:rsid w:val="00A8354F"/>
    <w:rsid w:val="00A8711C"/>
    <w:rsid w:val="00A908BC"/>
    <w:rsid w:val="00A916C3"/>
    <w:rsid w:val="00AA5E45"/>
    <w:rsid w:val="00AA6339"/>
    <w:rsid w:val="00AA6C99"/>
    <w:rsid w:val="00AB095B"/>
    <w:rsid w:val="00AB0CC3"/>
    <w:rsid w:val="00AB4B8F"/>
    <w:rsid w:val="00AB541D"/>
    <w:rsid w:val="00AB5636"/>
    <w:rsid w:val="00AB7134"/>
    <w:rsid w:val="00AD0AB1"/>
    <w:rsid w:val="00AD1D8D"/>
    <w:rsid w:val="00AD26D5"/>
    <w:rsid w:val="00AD43F8"/>
    <w:rsid w:val="00AE285F"/>
    <w:rsid w:val="00AE45BA"/>
    <w:rsid w:val="00AE7708"/>
    <w:rsid w:val="00B0131F"/>
    <w:rsid w:val="00B01E6E"/>
    <w:rsid w:val="00B04558"/>
    <w:rsid w:val="00B12855"/>
    <w:rsid w:val="00B141C8"/>
    <w:rsid w:val="00B178EF"/>
    <w:rsid w:val="00B21853"/>
    <w:rsid w:val="00B27760"/>
    <w:rsid w:val="00B30BCB"/>
    <w:rsid w:val="00B31EF8"/>
    <w:rsid w:val="00B32C77"/>
    <w:rsid w:val="00B33749"/>
    <w:rsid w:val="00B35F9D"/>
    <w:rsid w:val="00B372EF"/>
    <w:rsid w:val="00B46947"/>
    <w:rsid w:val="00B50967"/>
    <w:rsid w:val="00B52A01"/>
    <w:rsid w:val="00B54314"/>
    <w:rsid w:val="00B60E3D"/>
    <w:rsid w:val="00B73D97"/>
    <w:rsid w:val="00B84569"/>
    <w:rsid w:val="00B863A3"/>
    <w:rsid w:val="00B9498A"/>
    <w:rsid w:val="00BA6496"/>
    <w:rsid w:val="00BB615B"/>
    <w:rsid w:val="00BB78E1"/>
    <w:rsid w:val="00BC4647"/>
    <w:rsid w:val="00BC5207"/>
    <w:rsid w:val="00BD66BB"/>
    <w:rsid w:val="00BE0D71"/>
    <w:rsid w:val="00BE2153"/>
    <w:rsid w:val="00BE630D"/>
    <w:rsid w:val="00C028FE"/>
    <w:rsid w:val="00C052C0"/>
    <w:rsid w:val="00C1190A"/>
    <w:rsid w:val="00C222AF"/>
    <w:rsid w:val="00C229CB"/>
    <w:rsid w:val="00C26C4A"/>
    <w:rsid w:val="00C32EE6"/>
    <w:rsid w:val="00C40DE4"/>
    <w:rsid w:val="00C467D5"/>
    <w:rsid w:val="00C5331C"/>
    <w:rsid w:val="00C550DC"/>
    <w:rsid w:val="00C6349A"/>
    <w:rsid w:val="00C63688"/>
    <w:rsid w:val="00C664E1"/>
    <w:rsid w:val="00C708D1"/>
    <w:rsid w:val="00C72DF1"/>
    <w:rsid w:val="00C757F7"/>
    <w:rsid w:val="00C805FA"/>
    <w:rsid w:val="00C835C2"/>
    <w:rsid w:val="00C860B3"/>
    <w:rsid w:val="00C909BC"/>
    <w:rsid w:val="00CB1194"/>
    <w:rsid w:val="00CC0A46"/>
    <w:rsid w:val="00CC670E"/>
    <w:rsid w:val="00CC77CB"/>
    <w:rsid w:val="00CD0172"/>
    <w:rsid w:val="00CF092F"/>
    <w:rsid w:val="00CF2511"/>
    <w:rsid w:val="00CF481C"/>
    <w:rsid w:val="00CF4BF4"/>
    <w:rsid w:val="00CF5587"/>
    <w:rsid w:val="00CF59F0"/>
    <w:rsid w:val="00D055D0"/>
    <w:rsid w:val="00D07CEC"/>
    <w:rsid w:val="00D10072"/>
    <w:rsid w:val="00D113D5"/>
    <w:rsid w:val="00D14B55"/>
    <w:rsid w:val="00D21BB4"/>
    <w:rsid w:val="00D229C7"/>
    <w:rsid w:val="00D23C94"/>
    <w:rsid w:val="00D23FAC"/>
    <w:rsid w:val="00D23FB4"/>
    <w:rsid w:val="00D258E9"/>
    <w:rsid w:val="00D3331D"/>
    <w:rsid w:val="00D35CA6"/>
    <w:rsid w:val="00D42C50"/>
    <w:rsid w:val="00D5425E"/>
    <w:rsid w:val="00D556AF"/>
    <w:rsid w:val="00D64FDB"/>
    <w:rsid w:val="00D676CE"/>
    <w:rsid w:val="00D731E4"/>
    <w:rsid w:val="00D73FFA"/>
    <w:rsid w:val="00D74DDC"/>
    <w:rsid w:val="00D8323A"/>
    <w:rsid w:val="00D92C5E"/>
    <w:rsid w:val="00D95B4E"/>
    <w:rsid w:val="00DA765A"/>
    <w:rsid w:val="00DC112C"/>
    <w:rsid w:val="00DC712E"/>
    <w:rsid w:val="00DC71FC"/>
    <w:rsid w:val="00DC7D4C"/>
    <w:rsid w:val="00DD4A05"/>
    <w:rsid w:val="00DD593A"/>
    <w:rsid w:val="00DD6F1A"/>
    <w:rsid w:val="00DD7EA8"/>
    <w:rsid w:val="00DE173D"/>
    <w:rsid w:val="00DE1ECF"/>
    <w:rsid w:val="00DF007D"/>
    <w:rsid w:val="00DF1E53"/>
    <w:rsid w:val="00E16DF8"/>
    <w:rsid w:val="00E20170"/>
    <w:rsid w:val="00E207BC"/>
    <w:rsid w:val="00E36597"/>
    <w:rsid w:val="00E41C25"/>
    <w:rsid w:val="00E4294B"/>
    <w:rsid w:val="00E45CD2"/>
    <w:rsid w:val="00E501FD"/>
    <w:rsid w:val="00E50B61"/>
    <w:rsid w:val="00E50F26"/>
    <w:rsid w:val="00E5106B"/>
    <w:rsid w:val="00E5249C"/>
    <w:rsid w:val="00E6221A"/>
    <w:rsid w:val="00E66200"/>
    <w:rsid w:val="00E708ED"/>
    <w:rsid w:val="00E7542C"/>
    <w:rsid w:val="00E77DA2"/>
    <w:rsid w:val="00E84661"/>
    <w:rsid w:val="00E86954"/>
    <w:rsid w:val="00E87F36"/>
    <w:rsid w:val="00E951C4"/>
    <w:rsid w:val="00E96355"/>
    <w:rsid w:val="00EA0445"/>
    <w:rsid w:val="00EA1818"/>
    <w:rsid w:val="00EA2A23"/>
    <w:rsid w:val="00EA70D7"/>
    <w:rsid w:val="00EB0F65"/>
    <w:rsid w:val="00EB145A"/>
    <w:rsid w:val="00EB1A6D"/>
    <w:rsid w:val="00EB2FF5"/>
    <w:rsid w:val="00EB7506"/>
    <w:rsid w:val="00EB7E69"/>
    <w:rsid w:val="00EC3FF1"/>
    <w:rsid w:val="00EE6257"/>
    <w:rsid w:val="00EF0944"/>
    <w:rsid w:val="00EF16DD"/>
    <w:rsid w:val="00EF4023"/>
    <w:rsid w:val="00EF5D7C"/>
    <w:rsid w:val="00EF7E33"/>
    <w:rsid w:val="00F00CE7"/>
    <w:rsid w:val="00F05B44"/>
    <w:rsid w:val="00F12E73"/>
    <w:rsid w:val="00F1534E"/>
    <w:rsid w:val="00F27CD8"/>
    <w:rsid w:val="00F306DF"/>
    <w:rsid w:val="00F341B1"/>
    <w:rsid w:val="00F34A50"/>
    <w:rsid w:val="00F3551E"/>
    <w:rsid w:val="00F37017"/>
    <w:rsid w:val="00F3783B"/>
    <w:rsid w:val="00F40791"/>
    <w:rsid w:val="00F4119E"/>
    <w:rsid w:val="00F44E19"/>
    <w:rsid w:val="00F4578F"/>
    <w:rsid w:val="00F537D8"/>
    <w:rsid w:val="00F54AF6"/>
    <w:rsid w:val="00F551C9"/>
    <w:rsid w:val="00F563CD"/>
    <w:rsid w:val="00F56881"/>
    <w:rsid w:val="00F6235A"/>
    <w:rsid w:val="00F66A0E"/>
    <w:rsid w:val="00F70E91"/>
    <w:rsid w:val="00F7153B"/>
    <w:rsid w:val="00F74106"/>
    <w:rsid w:val="00F76CC9"/>
    <w:rsid w:val="00F82FE2"/>
    <w:rsid w:val="00F869E4"/>
    <w:rsid w:val="00F90C07"/>
    <w:rsid w:val="00F92CF1"/>
    <w:rsid w:val="00F94BC2"/>
    <w:rsid w:val="00F96F46"/>
    <w:rsid w:val="00FA6DD9"/>
    <w:rsid w:val="00FB7557"/>
    <w:rsid w:val="00FC5283"/>
    <w:rsid w:val="00FE2B9E"/>
    <w:rsid w:val="00FE49DE"/>
    <w:rsid w:val="00FE76A4"/>
    <w:rsid w:val="00FE7C13"/>
    <w:rsid w:val="00FF4B0D"/>
    <w:rsid w:val="00FF50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C924"/>
  <w15:docId w15:val="{CD84BF78-E68B-4B33-9473-7C64E923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C3FF1"/>
    <w:rPr>
      <w:sz w:val="20"/>
      <w:szCs w:val="20"/>
    </w:rPr>
  </w:style>
  <w:style w:type="character" w:customStyle="1" w:styleId="FootnoteTextChar">
    <w:name w:val="Footnote Text Char"/>
    <w:basedOn w:val="DefaultParagraphFont"/>
    <w:link w:val="FootnoteText"/>
    <w:uiPriority w:val="99"/>
    <w:rsid w:val="00EC3FF1"/>
    <w:rPr>
      <w:sz w:val="20"/>
      <w:szCs w:val="20"/>
    </w:rPr>
  </w:style>
  <w:style w:type="character" w:styleId="FootnoteReference">
    <w:name w:val="footnote reference"/>
    <w:basedOn w:val="DefaultParagraphFont"/>
    <w:uiPriority w:val="99"/>
    <w:semiHidden/>
    <w:unhideWhenUsed/>
    <w:rsid w:val="00EC3FF1"/>
    <w:rPr>
      <w:vertAlign w:val="superscript"/>
    </w:rPr>
  </w:style>
  <w:style w:type="paragraph" w:styleId="NormalWeb">
    <w:name w:val="Normal (Web)"/>
    <w:basedOn w:val="Normal"/>
    <w:uiPriority w:val="99"/>
    <w:unhideWhenUsed/>
    <w:rsid w:val="00E45CD2"/>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A2C52"/>
    <w:pPr>
      <w:tabs>
        <w:tab w:val="center" w:pos="4513"/>
        <w:tab w:val="right" w:pos="9026"/>
      </w:tabs>
    </w:pPr>
  </w:style>
  <w:style w:type="character" w:customStyle="1" w:styleId="HeaderChar">
    <w:name w:val="Header Char"/>
    <w:basedOn w:val="DefaultParagraphFont"/>
    <w:link w:val="Header"/>
    <w:uiPriority w:val="99"/>
    <w:rsid w:val="005A2C52"/>
    <w:rPr>
      <w:lang w:val="en-GB"/>
    </w:rPr>
  </w:style>
  <w:style w:type="character" w:styleId="PageNumber">
    <w:name w:val="page number"/>
    <w:basedOn w:val="DefaultParagraphFont"/>
    <w:uiPriority w:val="99"/>
    <w:semiHidden/>
    <w:unhideWhenUsed/>
    <w:rsid w:val="005A2C52"/>
  </w:style>
  <w:style w:type="paragraph" w:styleId="ListParagraph">
    <w:name w:val="List Paragraph"/>
    <w:basedOn w:val="Normal"/>
    <w:qFormat/>
    <w:rsid w:val="00113E54"/>
    <w:pPr>
      <w:ind w:left="720"/>
      <w:contextualSpacing/>
    </w:pPr>
  </w:style>
  <w:style w:type="paragraph" w:styleId="BodyText">
    <w:name w:val="Body Text"/>
    <w:basedOn w:val="Normal"/>
    <w:link w:val="BodyTextChar"/>
    <w:semiHidden/>
    <w:rsid w:val="003A6DFD"/>
    <w:pPr>
      <w:tabs>
        <w:tab w:val="left" w:pos="720"/>
        <w:tab w:val="left" w:pos="1680"/>
        <w:tab w:val="left" w:pos="2760"/>
        <w:tab w:val="right" w:pos="8040"/>
      </w:tabs>
      <w:spacing w:line="480" w:lineRule="auto"/>
      <w:jc w:val="both"/>
    </w:pPr>
    <w:rPr>
      <w:rFonts w:ascii="Arial" w:eastAsia="Times New Roman" w:hAnsi="Arial" w:cs="Times New Roman"/>
      <w:szCs w:val="20"/>
      <w:lang w:val="x-none" w:eastAsia="x-none"/>
    </w:rPr>
  </w:style>
  <w:style w:type="character" w:customStyle="1" w:styleId="BodyTextChar">
    <w:name w:val="Body Text Char"/>
    <w:basedOn w:val="DefaultParagraphFont"/>
    <w:link w:val="BodyText"/>
    <w:semiHidden/>
    <w:rsid w:val="003A6DFD"/>
    <w:rPr>
      <w:rFonts w:ascii="Arial" w:eastAsia="Times New Roman" w:hAnsi="Arial" w:cs="Times New Roman"/>
      <w:szCs w:val="20"/>
      <w:lang w:val="x-none" w:eastAsia="x-none"/>
    </w:rPr>
  </w:style>
  <w:style w:type="paragraph" w:customStyle="1" w:styleId="lg-para3">
    <w:name w:val="lg-para3"/>
    <w:basedOn w:val="Normal"/>
    <w:rsid w:val="003E5812"/>
    <w:pPr>
      <w:spacing w:before="100" w:beforeAutospacing="1" w:after="100" w:afterAutospacing="1"/>
    </w:pPr>
    <w:rPr>
      <w:rFonts w:ascii="Times New Roman" w:eastAsia="Times New Roman" w:hAnsi="Times New Roman" w:cs="Times New Roman"/>
      <w:lang w:val="en-ZA" w:eastAsia="en-ZA"/>
    </w:rPr>
  </w:style>
  <w:style w:type="paragraph" w:customStyle="1" w:styleId="lg-a-1">
    <w:name w:val="lg-a-1"/>
    <w:basedOn w:val="Normal"/>
    <w:rsid w:val="003E5812"/>
    <w:pPr>
      <w:spacing w:before="100" w:beforeAutospacing="1" w:after="100" w:afterAutospacing="1"/>
    </w:pPr>
    <w:rPr>
      <w:rFonts w:ascii="Times New Roman" w:eastAsia="Times New Roman" w:hAnsi="Times New Roman" w:cs="Times New Roman"/>
      <w:lang w:val="en-ZA" w:eastAsia="en-ZA"/>
    </w:rPr>
  </w:style>
  <w:style w:type="character" w:styleId="Hyperlink">
    <w:name w:val="Hyperlink"/>
    <w:basedOn w:val="DefaultParagraphFont"/>
    <w:uiPriority w:val="99"/>
    <w:semiHidden/>
    <w:unhideWhenUsed/>
    <w:rsid w:val="00D23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729499">
      <w:bodyDiv w:val="1"/>
      <w:marLeft w:val="0"/>
      <w:marRight w:val="0"/>
      <w:marTop w:val="0"/>
      <w:marBottom w:val="0"/>
      <w:divBdr>
        <w:top w:val="none" w:sz="0" w:space="0" w:color="auto"/>
        <w:left w:val="none" w:sz="0" w:space="0" w:color="auto"/>
        <w:bottom w:val="none" w:sz="0" w:space="0" w:color="auto"/>
        <w:right w:val="none" w:sz="0" w:space="0" w:color="auto"/>
      </w:divBdr>
      <w:divsChild>
        <w:div w:id="938412213">
          <w:marLeft w:val="0"/>
          <w:marRight w:val="0"/>
          <w:marTop w:val="0"/>
          <w:marBottom w:val="0"/>
          <w:divBdr>
            <w:top w:val="none" w:sz="0" w:space="0" w:color="auto"/>
            <w:left w:val="none" w:sz="0" w:space="0" w:color="auto"/>
            <w:bottom w:val="none" w:sz="0" w:space="0" w:color="auto"/>
            <w:right w:val="none" w:sz="0" w:space="0" w:color="auto"/>
          </w:divBdr>
        </w:div>
      </w:divsChild>
    </w:div>
    <w:div w:id="413086109">
      <w:bodyDiv w:val="1"/>
      <w:marLeft w:val="0"/>
      <w:marRight w:val="0"/>
      <w:marTop w:val="0"/>
      <w:marBottom w:val="0"/>
      <w:divBdr>
        <w:top w:val="none" w:sz="0" w:space="0" w:color="auto"/>
        <w:left w:val="none" w:sz="0" w:space="0" w:color="auto"/>
        <w:bottom w:val="none" w:sz="0" w:space="0" w:color="auto"/>
        <w:right w:val="none" w:sz="0" w:space="0" w:color="auto"/>
      </w:divBdr>
      <w:divsChild>
        <w:div w:id="621226211">
          <w:marLeft w:val="0"/>
          <w:marRight w:val="0"/>
          <w:marTop w:val="0"/>
          <w:marBottom w:val="0"/>
          <w:divBdr>
            <w:top w:val="none" w:sz="0" w:space="0" w:color="auto"/>
            <w:left w:val="none" w:sz="0" w:space="0" w:color="auto"/>
            <w:bottom w:val="none" w:sz="0" w:space="0" w:color="auto"/>
            <w:right w:val="none" w:sz="0" w:space="0" w:color="auto"/>
          </w:divBdr>
          <w:divsChild>
            <w:div w:id="1728070615">
              <w:marLeft w:val="0"/>
              <w:marRight w:val="0"/>
              <w:marTop w:val="0"/>
              <w:marBottom w:val="0"/>
              <w:divBdr>
                <w:top w:val="none" w:sz="0" w:space="0" w:color="auto"/>
                <w:left w:val="none" w:sz="0" w:space="0" w:color="auto"/>
                <w:bottom w:val="none" w:sz="0" w:space="0" w:color="auto"/>
                <w:right w:val="none" w:sz="0" w:space="0" w:color="auto"/>
              </w:divBdr>
              <w:divsChild>
                <w:div w:id="20588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1075">
      <w:bodyDiv w:val="1"/>
      <w:marLeft w:val="0"/>
      <w:marRight w:val="0"/>
      <w:marTop w:val="0"/>
      <w:marBottom w:val="0"/>
      <w:divBdr>
        <w:top w:val="none" w:sz="0" w:space="0" w:color="auto"/>
        <w:left w:val="none" w:sz="0" w:space="0" w:color="auto"/>
        <w:bottom w:val="none" w:sz="0" w:space="0" w:color="auto"/>
        <w:right w:val="none" w:sz="0" w:space="0" w:color="auto"/>
      </w:divBdr>
      <w:divsChild>
        <w:div w:id="903446247">
          <w:marLeft w:val="0"/>
          <w:marRight w:val="0"/>
          <w:marTop w:val="0"/>
          <w:marBottom w:val="0"/>
          <w:divBdr>
            <w:top w:val="none" w:sz="0" w:space="0" w:color="auto"/>
            <w:left w:val="none" w:sz="0" w:space="0" w:color="auto"/>
            <w:bottom w:val="none" w:sz="0" w:space="0" w:color="auto"/>
            <w:right w:val="none" w:sz="0" w:space="0" w:color="auto"/>
          </w:divBdr>
          <w:divsChild>
            <w:div w:id="618487102">
              <w:marLeft w:val="0"/>
              <w:marRight w:val="0"/>
              <w:marTop w:val="0"/>
              <w:marBottom w:val="0"/>
              <w:divBdr>
                <w:top w:val="none" w:sz="0" w:space="0" w:color="auto"/>
                <w:left w:val="none" w:sz="0" w:space="0" w:color="auto"/>
                <w:bottom w:val="none" w:sz="0" w:space="0" w:color="auto"/>
                <w:right w:val="none" w:sz="0" w:space="0" w:color="auto"/>
              </w:divBdr>
              <w:divsChild>
                <w:div w:id="3318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3893">
      <w:bodyDiv w:val="1"/>
      <w:marLeft w:val="0"/>
      <w:marRight w:val="0"/>
      <w:marTop w:val="0"/>
      <w:marBottom w:val="0"/>
      <w:divBdr>
        <w:top w:val="none" w:sz="0" w:space="0" w:color="auto"/>
        <w:left w:val="none" w:sz="0" w:space="0" w:color="auto"/>
        <w:bottom w:val="none" w:sz="0" w:space="0" w:color="auto"/>
        <w:right w:val="none" w:sz="0" w:space="0" w:color="auto"/>
      </w:divBdr>
    </w:div>
    <w:div w:id="1034039464">
      <w:bodyDiv w:val="1"/>
      <w:marLeft w:val="0"/>
      <w:marRight w:val="0"/>
      <w:marTop w:val="0"/>
      <w:marBottom w:val="0"/>
      <w:divBdr>
        <w:top w:val="none" w:sz="0" w:space="0" w:color="auto"/>
        <w:left w:val="none" w:sz="0" w:space="0" w:color="auto"/>
        <w:bottom w:val="none" w:sz="0" w:space="0" w:color="auto"/>
        <w:right w:val="none" w:sz="0" w:space="0" w:color="auto"/>
      </w:divBdr>
      <w:divsChild>
        <w:div w:id="2047293025">
          <w:marLeft w:val="0"/>
          <w:marRight w:val="0"/>
          <w:marTop w:val="0"/>
          <w:marBottom w:val="0"/>
          <w:divBdr>
            <w:top w:val="none" w:sz="0" w:space="0" w:color="auto"/>
            <w:left w:val="none" w:sz="0" w:space="0" w:color="auto"/>
            <w:bottom w:val="none" w:sz="0" w:space="0" w:color="auto"/>
            <w:right w:val="none" w:sz="0" w:space="0" w:color="auto"/>
          </w:divBdr>
          <w:divsChild>
            <w:div w:id="211499726">
              <w:marLeft w:val="0"/>
              <w:marRight w:val="0"/>
              <w:marTop w:val="0"/>
              <w:marBottom w:val="0"/>
              <w:divBdr>
                <w:top w:val="none" w:sz="0" w:space="0" w:color="auto"/>
                <w:left w:val="none" w:sz="0" w:space="0" w:color="auto"/>
                <w:bottom w:val="none" w:sz="0" w:space="0" w:color="auto"/>
                <w:right w:val="none" w:sz="0" w:space="0" w:color="auto"/>
              </w:divBdr>
              <w:divsChild>
                <w:div w:id="9153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87189">
      <w:bodyDiv w:val="1"/>
      <w:marLeft w:val="0"/>
      <w:marRight w:val="0"/>
      <w:marTop w:val="0"/>
      <w:marBottom w:val="0"/>
      <w:divBdr>
        <w:top w:val="none" w:sz="0" w:space="0" w:color="auto"/>
        <w:left w:val="none" w:sz="0" w:space="0" w:color="auto"/>
        <w:bottom w:val="none" w:sz="0" w:space="0" w:color="auto"/>
        <w:right w:val="none" w:sz="0" w:space="0" w:color="auto"/>
      </w:divBdr>
    </w:div>
    <w:div w:id="1382749502">
      <w:bodyDiv w:val="1"/>
      <w:marLeft w:val="0"/>
      <w:marRight w:val="0"/>
      <w:marTop w:val="0"/>
      <w:marBottom w:val="0"/>
      <w:divBdr>
        <w:top w:val="none" w:sz="0" w:space="0" w:color="auto"/>
        <w:left w:val="none" w:sz="0" w:space="0" w:color="auto"/>
        <w:bottom w:val="none" w:sz="0" w:space="0" w:color="auto"/>
        <w:right w:val="none" w:sz="0" w:space="0" w:color="auto"/>
      </w:divBdr>
      <w:divsChild>
        <w:div w:id="953024551">
          <w:marLeft w:val="0"/>
          <w:marRight w:val="0"/>
          <w:marTop w:val="0"/>
          <w:marBottom w:val="0"/>
          <w:divBdr>
            <w:top w:val="none" w:sz="0" w:space="0" w:color="auto"/>
            <w:left w:val="none" w:sz="0" w:space="0" w:color="auto"/>
            <w:bottom w:val="none" w:sz="0" w:space="0" w:color="auto"/>
            <w:right w:val="none" w:sz="0" w:space="0" w:color="auto"/>
          </w:divBdr>
          <w:divsChild>
            <w:div w:id="1931886818">
              <w:marLeft w:val="0"/>
              <w:marRight w:val="0"/>
              <w:marTop w:val="0"/>
              <w:marBottom w:val="0"/>
              <w:divBdr>
                <w:top w:val="none" w:sz="0" w:space="0" w:color="auto"/>
                <w:left w:val="none" w:sz="0" w:space="0" w:color="auto"/>
                <w:bottom w:val="none" w:sz="0" w:space="0" w:color="auto"/>
                <w:right w:val="none" w:sz="0" w:space="0" w:color="auto"/>
              </w:divBdr>
              <w:divsChild>
                <w:div w:id="19916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53180">
      <w:bodyDiv w:val="1"/>
      <w:marLeft w:val="0"/>
      <w:marRight w:val="0"/>
      <w:marTop w:val="0"/>
      <w:marBottom w:val="0"/>
      <w:divBdr>
        <w:top w:val="none" w:sz="0" w:space="0" w:color="auto"/>
        <w:left w:val="none" w:sz="0" w:space="0" w:color="auto"/>
        <w:bottom w:val="none" w:sz="0" w:space="0" w:color="auto"/>
        <w:right w:val="none" w:sz="0" w:space="0" w:color="auto"/>
      </w:divBdr>
    </w:div>
    <w:div w:id="1879901274">
      <w:bodyDiv w:val="1"/>
      <w:marLeft w:val="0"/>
      <w:marRight w:val="0"/>
      <w:marTop w:val="0"/>
      <w:marBottom w:val="0"/>
      <w:divBdr>
        <w:top w:val="none" w:sz="0" w:space="0" w:color="auto"/>
        <w:left w:val="none" w:sz="0" w:space="0" w:color="auto"/>
        <w:bottom w:val="none" w:sz="0" w:space="0" w:color="auto"/>
        <w:right w:val="none" w:sz="0" w:space="0" w:color="auto"/>
      </w:divBdr>
      <w:divsChild>
        <w:div w:id="340552634">
          <w:marLeft w:val="0"/>
          <w:marRight w:val="0"/>
          <w:marTop w:val="0"/>
          <w:marBottom w:val="0"/>
          <w:divBdr>
            <w:top w:val="none" w:sz="0" w:space="0" w:color="auto"/>
            <w:left w:val="none" w:sz="0" w:space="0" w:color="auto"/>
            <w:bottom w:val="none" w:sz="0" w:space="0" w:color="auto"/>
            <w:right w:val="none" w:sz="0" w:space="0" w:color="auto"/>
          </w:divBdr>
          <w:divsChild>
            <w:div w:id="929507435">
              <w:marLeft w:val="0"/>
              <w:marRight w:val="0"/>
              <w:marTop w:val="0"/>
              <w:marBottom w:val="0"/>
              <w:divBdr>
                <w:top w:val="none" w:sz="0" w:space="0" w:color="auto"/>
                <w:left w:val="none" w:sz="0" w:space="0" w:color="auto"/>
                <w:bottom w:val="none" w:sz="0" w:space="0" w:color="auto"/>
                <w:right w:val="none" w:sz="0" w:space="0" w:color="auto"/>
              </w:divBdr>
              <w:divsChild>
                <w:div w:id="10823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28178">
      <w:bodyDiv w:val="1"/>
      <w:marLeft w:val="0"/>
      <w:marRight w:val="0"/>
      <w:marTop w:val="0"/>
      <w:marBottom w:val="0"/>
      <w:divBdr>
        <w:top w:val="none" w:sz="0" w:space="0" w:color="auto"/>
        <w:left w:val="none" w:sz="0" w:space="0" w:color="auto"/>
        <w:bottom w:val="none" w:sz="0" w:space="0" w:color="auto"/>
        <w:right w:val="none" w:sz="0" w:space="0" w:color="auto"/>
      </w:divBdr>
    </w:div>
    <w:div w:id="2004384557">
      <w:bodyDiv w:val="1"/>
      <w:marLeft w:val="0"/>
      <w:marRight w:val="0"/>
      <w:marTop w:val="0"/>
      <w:marBottom w:val="0"/>
      <w:divBdr>
        <w:top w:val="none" w:sz="0" w:space="0" w:color="auto"/>
        <w:left w:val="none" w:sz="0" w:space="0" w:color="auto"/>
        <w:bottom w:val="none" w:sz="0" w:space="0" w:color="auto"/>
        <w:right w:val="none" w:sz="0" w:space="0" w:color="auto"/>
      </w:divBdr>
      <w:divsChild>
        <w:div w:id="471563069">
          <w:marLeft w:val="0"/>
          <w:marRight w:val="0"/>
          <w:marTop w:val="0"/>
          <w:marBottom w:val="0"/>
          <w:divBdr>
            <w:top w:val="none" w:sz="0" w:space="0" w:color="auto"/>
            <w:left w:val="none" w:sz="0" w:space="0" w:color="auto"/>
            <w:bottom w:val="none" w:sz="0" w:space="0" w:color="auto"/>
            <w:right w:val="none" w:sz="0" w:space="0" w:color="auto"/>
          </w:divBdr>
        </w:div>
      </w:divsChild>
    </w:div>
    <w:div w:id="2047828131">
      <w:bodyDiv w:val="1"/>
      <w:marLeft w:val="0"/>
      <w:marRight w:val="0"/>
      <w:marTop w:val="0"/>
      <w:marBottom w:val="0"/>
      <w:divBdr>
        <w:top w:val="none" w:sz="0" w:space="0" w:color="auto"/>
        <w:left w:val="none" w:sz="0" w:space="0" w:color="auto"/>
        <w:bottom w:val="none" w:sz="0" w:space="0" w:color="auto"/>
        <w:right w:val="none" w:sz="0" w:space="0" w:color="auto"/>
      </w:divBdr>
      <w:divsChild>
        <w:div w:id="148985334">
          <w:marLeft w:val="0"/>
          <w:marRight w:val="0"/>
          <w:marTop w:val="0"/>
          <w:marBottom w:val="0"/>
          <w:divBdr>
            <w:top w:val="none" w:sz="0" w:space="0" w:color="auto"/>
            <w:left w:val="none" w:sz="0" w:space="0" w:color="auto"/>
            <w:bottom w:val="none" w:sz="0" w:space="0" w:color="auto"/>
            <w:right w:val="none" w:sz="0" w:space="0" w:color="auto"/>
          </w:divBdr>
          <w:divsChild>
            <w:div w:id="485171863">
              <w:marLeft w:val="0"/>
              <w:marRight w:val="0"/>
              <w:marTop w:val="0"/>
              <w:marBottom w:val="0"/>
              <w:divBdr>
                <w:top w:val="none" w:sz="0" w:space="0" w:color="auto"/>
                <w:left w:val="none" w:sz="0" w:space="0" w:color="auto"/>
                <w:bottom w:val="none" w:sz="0" w:space="0" w:color="auto"/>
                <w:right w:val="none" w:sz="0" w:space="0" w:color="auto"/>
              </w:divBdr>
              <w:divsChild>
                <w:div w:id="7050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2427">
          <w:marLeft w:val="0"/>
          <w:marRight w:val="0"/>
          <w:marTop w:val="0"/>
          <w:marBottom w:val="0"/>
          <w:divBdr>
            <w:top w:val="none" w:sz="0" w:space="0" w:color="auto"/>
            <w:left w:val="none" w:sz="0" w:space="0" w:color="auto"/>
            <w:bottom w:val="none" w:sz="0" w:space="0" w:color="auto"/>
            <w:right w:val="none" w:sz="0" w:space="0" w:color="auto"/>
          </w:divBdr>
          <w:divsChild>
            <w:div w:id="753629108">
              <w:marLeft w:val="0"/>
              <w:marRight w:val="0"/>
              <w:marTop w:val="0"/>
              <w:marBottom w:val="0"/>
              <w:divBdr>
                <w:top w:val="none" w:sz="0" w:space="0" w:color="auto"/>
                <w:left w:val="none" w:sz="0" w:space="0" w:color="auto"/>
                <w:bottom w:val="none" w:sz="0" w:space="0" w:color="auto"/>
                <w:right w:val="none" w:sz="0" w:space="0" w:color="auto"/>
              </w:divBdr>
              <w:divsChild>
                <w:div w:id="15506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za/legis/consol_act/sca2013224/" TargetMode="External"/><Relationship Id="rId18" Type="http://schemas.openxmlformats.org/officeDocument/2006/relationships/hyperlink" Target="http://www.saflii.org/za/legis/consol_act/sca201322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flii.org/za/legis/consol_act/sca2013224/" TargetMode="External"/><Relationship Id="rId17" Type="http://schemas.openxmlformats.org/officeDocument/2006/relationships/hyperlink" Target="http://www.saflii.org/za/legis/consol_act/sca2013224/index.html" TargetMode="External"/><Relationship Id="rId2" Type="http://schemas.openxmlformats.org/officeDocument/2006/relationships/numbering" Target="numbering.xml"/><Relationship Id="rId16" Type="http://schemas.openxmlformats.org/officeDocument/2006/relationships/hyperlink" Target="https://www.saflii.org/cgi-bin/LawCite?cit=2017%20%282%29%20SACR%20384" TargetMode="External"/><Relationship Id="rId20" Type="http://schemas.openxmlformats.org/officeDocument/2006/relationships/hyperlink" Target="http://www.saflii.org/za/legis/consol_act/sca20132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sca201322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utastat.juta.co.za/nxt/foliolinks.asp?f=xhitlist&amp;xhitlist_x=Advanced&amp;xhitlist_vpc=first&amp;xhitlist_xsl=querylink.xsl&amp;xhitlist_sel=title;path;content-type;home-title&amp;xhitlist_d=%7Bsaad%7D&amp;xhitlist_q=%5Bfield%20folio-destination-name:%27862555%27%5D&amp;xhitlist_md=target-id=0-0-0-6283" TargetMode="External"/><Relationship Id="rId23" Type="http://schemas.openxmlformats.org/officeDocument/2006/relationships/fontTable" Target="fontTable.xml"/><Relationship Id="rId10" Type="http://schemas.openxmlformats.org/officeDocument/2006/relationships/hyperlink" Target="http://www.saflii.org/za/legis/consol_act/sca2013224/index.html" TargetMode="External"/><Relationship Id="rId19" Type="http://schemas.openxmlformats.org/officeDocument/2006/relationships/hyperlink" Target="http://www.saflii.org/za/legis/consol_act/sca2013224/"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hyperlink" Target="http://www.saflii.org/za/legis/consol_act/sca2013224/"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2019%20%285%29%20SA%2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BE43C-82AA-4390-B1DE-6344330B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Jordaan</dc:creator>
  <cp:keywords/>
  <dc:description/>
  <cp:lastModifiedBy>sathish sarshan  mohan</cp:lastModifiedBy>
  <cp:revision>3</cp:revision>
  <cp:lastPrinted>2024-03-25T15:54:00Z</cp:lastPrinted>
  <dcterms:created xsi:type="dcterms:W3CDTF">2024-03-26T10:50:00Z</dcterms:created>
  <dcterms:modified xsi:type="dcterms:W3CDTF">2024-03-26T20:21:00Z</dcterms:modified>
</cp:coreProperties>
</file>