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95456" w14:textId="77777777" w:rsidR="00ED310B" w:rsidRPr="007B7F59" w:rsidRDefault="00ED310B" w:rsidP="00ED310B">
      <w:pPr>
        <w:tabs>
          <w:tab w:val="left" w:pos="2342"/>
          <w:tab w:val="center" w:pos="4513"/>
        </w:tabs>
        <w:spacing w:after="0" w:line="240" w:lineRule="auto"/>
        <w:jc w:val="center"/>
        <w:outlineLvl w:val="0"/>
        <w:rPr>
          <w:rFonts w:eastAsia="Times New Roman" w:cs="Arial"/>
          <w:b/>
          <w:noProof/>
          <w:szCs w:val="24"/>
          <w:lang w:eastAsia="en-ZA"/>
        </w:rPr>
      </w:pPr>
      <w:r w:rsidRPr="007B7F59">
        <w:rPr>
          <w:rFonts w:eastAsia="Times New Roman" w:cs="Arial"/>
          <w:b/>
          <w:noProof/>
          <w:szCs w:val="24"/>
          <w:lang w:eastAsia="en-ZA"/>
        </w:rPr>
        <w:t>REPUBLIC OF SOUTH AFRICA</w:t>
      </w:r>
    </w:p>
    <w:p w14:paraId="426536BE" w14:textId="77777777" w:rsidR="00ED310B" w:rsidRPr="007B7F59" w:rsidRDefault="00ED310B" w:rsidP="00ED310B">
      <w:pPr>
        <w:tabs>
          <w:tab w:val="left" w:pos="2342"/>
          <w:tab w:val="center" w:pos="4513"/>
        </w:tabs>
        <w:spacing w:after="0" w:line="240" w:lineRule="auto"/>
        <w:jc w:val="center"/>
        <w:outlineLvl w:val="0"/>
        <w:rPr>
          <w:rFonts w:eastAsia="Times New Roman" w:cs="Arial"/>
          <w:b/>
          <w:noProof/>
          <w:szCs w:val="24"/>
          <w:lang w:eastAsia="en-ZA"/>
        </w:rPr>
      </w:pPr>
    </w:p>
    <w:p w14:paraId="3FF1E626" w14:textId="77777777" w:rsidR="00ED310B" w:rsidRPr="007B7F59" w:rsidRDefault="00ED310B" w:rsidP="00ED310B">
      <w:pPr>
        <w:tabs>
          <w:tab w:val="left" w:pos="2342"/>
          <w:tab w:val="center" w:pos="4513"/>
        </w:tabs>
        <w:spacing w:after="0" w:line="240" w:lineRule="auto"/>
        <w:jc w:val="center"/>
        <w:outlineLvl w:val="0"/>
        <w:rPr>
          <w:rFonts w:eastAsia="Times New Roman" w:cs="Arial"/>
          <w:szCs w:val="24"/>
        </w:rPr>
      </w:pPr>
      <w:r w:rsidRPr="007B7F59">
        <w:rPr>
          <w:rFonts w:eastAsia="Times New Roman" w:cs="Arial"/>
          <w:noProof/>
          <w:szCs w:val="24"/>
          <w:lang w:eastAsia="en-ZA"/>
        </w:rPr>
        <w:drawing>
          <wp:inline distT="0" distB="0" distL="0" distR="0" wp14:anchorId="1719891D" wp14:editId="49ADE398">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E171273" w14:textId="77777777" w:rsidR="00ED310B" w:rsidRPr="007B7F59" w:rsidRDefault="00ED310B" w:rsidP="00ED310B">
      <w:pPr>
        <w:spacing w:after="0" w:line="240" w:lineRule="auto"/>
        <w:jc w:val="center"/>
        <w:outlineLvl w:val="0"/>
        <w:rPr>
          <w:rFonts w:eastAsia="Times New Roman" w:cs="Arial"/>
          <w:b/>
          <w:szCs w:val="24"/>
        </w:rPr>
      </w:pPr>
    </w:p>
    <w:p w14:paraId="162BAD08" w14:textId="77777777" w:rsidR="00ED310B" w:rsidRPr="008D2847" w:rsidRDefault="00ED310B" w:rsidP="00ED310B">
      <w:pPr>
        <w:spacing w:after="0" w:line="240" w:lineRule="auto"/>
        <w:jc w:val="center"/>
        <w:outlineLvl w:val="0"/>
        <w:rPr>
          <w:rFonts w:ascii="Arial" w:eastAsia="Times New Roman" w:hAnsi="Arial" w:cs="Arial"/>
          <w:b/>
          <w:szCs w:val="24"/>
        </w:rPr>
      </w:pPr>
      <w:r w:rsidRPr="008D2847">
        <w:rPr>
          <w:rFonts w:ascii="Arial" w:eastAsia="Times New Roman" w:hAnsi="Arial" w:cs="Arial"/>
          <w:b/>
          <w:szCs w:val="24"/>
        </w:rPr>
        <w:t>IN THE HIGH COURT OF SOUTH AFRICA</w:t>
      </w:r>
    </w:p>
    <w:p w14:paraId="2499CAEC" w14:textId="77777777" w:rsidR="00ED310B" w:rsidRPr="008D2847" w:rsidRDefault="00ED310B" w:rsidP="00ED310B">
      <w:pPr>
        <w:spacing w:after="0" w:line="240" w:lineRule="auto"/>
        <w:jc w:val="center"/>
        <w:outlineLvl w:val="0"/>
        <w:rPr>
          <w:rFonts w:ascii="Arial" w:eastAsia="Times New Roman" w:hAnsi="Arial" w:cs="Arial"/>
          <w:b/>
          <w:szCs w:val="24"/>
        </w:rPr>
      </w:pPr>
      <w:r w:rsidRPr="008D2847">
        <w:rPr>
          <w:rFonts w:ascii="Arial" w:eastAsia="Times New Roman" w:hAnsi="Arial" w:cs="Arial"/>
          <w:b/>
          <w:szCs w:val="24"/>
        </w:rPr>
        <w:t>GAUTENG LOCAL DIVISION, JOHANNESBURG</w:t>
      </w:r>
    </w:p>
    <w:p w14:paraId="3B0A905C" w14:textId="77777777" w:rsidR="00ED310B" w:rsidRPr="007B7F59" w:rsidRDefault="00ED310B" w:rsidP="00ED310B">
      <w:pPr>
        <w:spacing w:after="0" w:line="240" w:lineRule="auto"/>
        <w:rPr>
          <w:rFonts w:eastAsia="Times New Roman" w:cs="Arial"/>
          <w:szCs w:val="24"/>
        </w:rPr>
      </w:pPr>
    </w:p>
    <w:p w14:paraId="1F50DDFC" w14:textId="77777777" w:rsidR="00ED310B" w:rsidRPr="007B7F59" w:rsidRDefault="00ED310B" w:rsidP="00ED310B">
      <w:pPr>
        <w:spacing w:after="0" w:line="240" w:lineRule="auto"/>
        <w:rPr>
          <w:rFonts w:eastAsia="Times New Roman" w:cs="Arial"/>
          <w:szCs w:val="24"/>
        </w:rPr>
      </w:pPr>
    </w:p>
    <w:p w14:paraId="7C60C7BD" w14:textId="6598BB69" w:rsidR="00ED310B" w:rsidRPr="008D2847" w:rsidRDefault="00ED310B" w:rsidP="00ED310B">
      <w:pPr>
        <w:tabs>
          <w:tab w:val="right" w:pos="9029"/>
        </w:tabs>
        <w:spacing w:after="0" w:line="240" w:lineRule="auto"/>
        <w:rPr>
          <w:rFonts w:ascii="Arial" w:eastAsia="Times New Roman" w:hAnsi="Arial" w:cs="Arial"/>
          <w:bCs/>
          <w:szCs w:val="24"/>
        </w:rPr>
      </w:pPr>
      <w:r w:rsidRPr="007B7F59">
        <w:rPr>
          <w:rFonts w:eastAsia="Times New Roman" w:cs="Arial"/>
          <w:szCs w:val="24"/>
        </w:rPr>
        <w:tab/>
      </w:r>
      <w:r w:rsidRPr="008D2847">
        <w:rPr>
          <w:rFonts w:ascii="Arial" w:eastAsia="Times New Roman" w:hAnsi="Arial" w:cs="Arial"/>
          <w:bCs/>
          <w:szCs w:val="24"/>
        </w:rPr>
        <w:t xml:space="preserve">Case Number: </w:t>
      </w:r>
      <w:r w:rsidR="008D2847">
        <w:rPr>
          <w:rFonts w:ascii="Arial" w:eastAsia="Times New Roman" w:hAnsi="Arial" w:cs="Arial"/>
          <w:bCs/>
          <w:szCs w:val="24"/>
        </w:rPr>
        <w:t>16/</w:t>
      </w:r>
      <w:r w:rsidR="00CE4185">
        <w:rPr>
          <w:rFonts w:ascii="Arial" w:eastAsia="Times New Roman" w:hAnsi="Arial" w:cs="Arial"/>
          <w:bCs/>
          <w:szCs w:val="24"/>
        </w:rPr>
        <w:t>08014</w:t>
      </w:r>
    </w:p>
    <w:p w14:paraId="27DB8A88" w14:textId="77777777" w:rsidR="00ED310B" w:rsidRPr="007B7F59" w:rsidRDefault="00ED310B" w:rsidP="00ED310B">
      <w:pPr>
        <w:tabs>
          <w:tab w:val="right" w:pos="9029"/>
        </w:tabs>
        <w:spacing w:after="0" w:line="240" w:lineRule="auto"/>
        <w:rPr>
          <w:rFonts w:eastAsia="Times New Roman" w:cs="Arial"/>
          <w:szCs w:val="24"/>
        </w:rPr>
      </w:pPr>
      <w:r w:rsidRPr="007B7F59">
        <w:rPr>
          <w:rFonts w:cs="Arial"/>
          <w:noProof/>
          <w:szCs w:val="24"/>
          <w:lang w:eastAsia="en-ZA"/>
        </w:rPr>
        <mc:AlternateContent>
          <mc:Choice Requires="wps">
            <w:drawing>
              <wp:anchor distT="0" distB="0" distL="114300" distR="114300" simplePos="0" relativeHeight="251659264" behindDoc="0" locked="0" layoutInCell="1" allowOverlap="1" wp14:anchorId="2F0111B1" wp14:editId="5710741D">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63F1B57" w14:textId="1FE260CA" w:rsidR="00ED310B" w:rsidRPr="008D2847" w:rsidRDefault="00285490" w:rsidP="00285490">
                            <w:pPr>
                              <w:tabs>
                                <w:tab w:val="left" w:pos="900"/>
                              </w:tabs>
                              <w:spacing w:after="0" w:line="240" w:lineRule="auto"/>
                              <w:ind w:left="900" w:hanging="720"/>
                              <w:rPr>
                                <w:rFonts w:ascii="Arial" w:hAnsi="Arial" w:cs="Arial"/>
                                <w:sz w:val="18"/>
                                <w:szCs w:val="20"/>
                              </w:rPr>
                            </w:pPr>
                            <w:r w:rsidRPr="008D2847">
                              <w:rPr>
                                <w:rFonts w:ascii="Arial" w:hAnsi="Arial" w:cs="Arial"/>
                                <w:sz w:val="18"/>
                                <w:szCs w:val="20"/>
                              </w:rPr>
                              <w:t>(1)</w:t>
                            </w:r>
                            <w:r w:rsidRPr="008D2847">
                              <w:rPr>
                                <w:rFonts w:ascii="Arial" w:hAnsi="Arial" w:cs="Arial"/>
                                <w:sz w:val="18"/>
                                <w:szCs w:val="20"/>
                              </w:rPr>
                              <w:tab/>
                            </w:r>
                            <w:r w:rsidR="00ED310B" w:rsidRPr="008D2847">
                              <w:rPr>
                                <w:rFonts w:ascii="Arial" w:hAnsi="Arial" w:cs="Arial"/>
                                <w:sz w:val="18"/>
                                <w:szCs w:val="20"/>
                              </w:rPr>
                              <w:t>REPORTABLE: YES / NO</w:t>
                            </w:r>
                          </w:p>
                          <w:p w14:paraId="4E08C2A1" w14:textId="08E3A29F" w:rsidR="00ED310B" w:rsidRPr="008D2847" w:rsidRDefault="00285490" w:rsidP="00285490">
                            <w:pPr>
                              <w:tabs>
                                <w:tab w:val="left" w:pos="900"/>
                              </w:tabs>
                              <w:spacing w:after="0" w:line="240" w:lineRule="auto"/>
                              <w:ind w:left="900" w:hanging="720"/>
                              <w:rPr>
                                <w:rFonts w:ascii="Arial" w:hAnsi="Arial" w:cs="Arial"/>
                                <w:sz w:val="18"/>
                                <w:szCs w:val="20"/>
                              </w:rPr>
                            </w:pPr>
                            <w:r w:rsidRPr="008D2847">
                              <w:rPr>
                                <w:rFonts w:ascii="Arial" w:hAnsi="Arial" w:cs="Arial"/>
                                <w:sz w:val="18"/>
                                <w:szCs w:val="20"/>
                              </w:rPr>
                              <w:t>(2)</w:t>
                            </w:r>
                            <w:r w:rsidRPr="008D2847">
                              <w:rPr>
                                <w:rFonts w:ascii="Arial" w:hAnsi="Arial" w:cs="Arial"/>
                                <w:sz w:val="18"/>
                                <w:szCs w:val="20"/>
                              </w:rPr>
                              <w:tab/>
                            </w:r>
                            <w:r w:rsidR="00ED310B" w:rsidRPr="008D2847">
                              <w:rPr>
                                <w:rFonts w:ascii="Arial" w:hAnsi="Arial" w:cs="Arial"/>
                                <w:sz w:val="18"/>
                                <w:szCs w:val="20"/>
                              </w:rPr>
                              <w:t>OF INTEREST TO OTHER JUDGES: YES/NO</w:t>
                            </w:r>
                          </w:p>
                          <w:p w14:paraId="411F7527" w14:textId="2BA8E19A" w:rsidR="00ED310B" w:rsidRPr="008D2847" w:rsidRDefault="00285490" w:rsidP="00285490">
                            <w:pPr>
                              <w:tabs>
                                <w:tab w:val="left" w:pos="900"/>
                              </w:tabs>
                              <w:spacing w:after="0" w:line="240" w:lineRule="auto"/>
                              <w:ind w:left="900" w:hanging="720"/>
                              <w:rPr>
                                <w:rFonts w:ascii="Arial" w:hAnsi="Arial" w:cs="Arial"/>
                                <w:sz w:val="18"/>
                                <w:szCs w:val="20"/>
                              </w:rPr>
                            </w:pPr>
                            <w:r w:rsidRPr="008D2847">
                              <w:rPr>
                                <w:rFonts w:ascii="Arial" w:hAnsi="Arial" w:cs="Arial"/>
                                <w:sz w:val="18"/>
                                <w:szCs w:val="20"/>
                              </w:rPr>
                              <w:t>(3)</w:t>
                            </w:r>
                            <w:r w:rsidRPr="008D2847">
                              <w:rPr>
                                <w:rFonts w:ascii="Arial" w:hAnsi="Arial" w:cs="Arial"/>
                                <w:sz w:val="18"/>
                                <w:szCs w:val="20"/>
                              </w:rPr>
                              <w:tab/>
                            </w:r>
                            <w:r w:rsidR="00ED310B" w:rsidRPr="008D2847">
                              <w:rPr>
                                <w:rFonts w:ascii="Arial" w:hAnsi="Arial" w:cs="Arial"/>
                                <w:sz w:val="18"/>
                                <w:szCs w:val="20"/>
                              </w:rPr>
                              <w:t>REVISED: YES/NO</w:t>
                            </w:r>
                          </w:p>
                          <w:p w14:paraId="6EDE2AC3" w14:textId="77777777" w:rsidR="00ED310B" w:rsidRPr="008D2847" w:rsidRDefault="00ED310B" w:rsidP="00ED310B">
                            <w:pPr>
                              <w:spacing w:before="240" w:after="0"/>
                              <w:rPr>
                                <w:rFonts w:ascii="Arial" w:hAnsi="Arial" w:cs="Arial"/>
                                <w:b/>
                                <w:sz w:val="18"/>
                                <w:szCs w:val="20"/>
                              </w:rPr>
                            </w:pPr>
                            <w:r w:rsidRPr="008D2847">
                              <w:rPr>
                                <w:rFonts w:ascii="Arial" w:hAnsi="Arial" w:cs="Arial"/>
                                <w:b/>
                                <w:sz w:val="18"/>
                                <w:szCs w:val="20"/>
                              </w:rPr>
                              <w:t>______________</w:t>
                            </w:r>
                            <w:r w:rsidRPr="008D2847">
                              <w:rPr>
                                <w:rFonts w:ascii="Arial" w:hAnsi="Arial" w:cs="Arial"/>
                                <w:b/>
                                <w:sz w:val="18"/>
                                <w:szCs w:val="20"/>
                              </w:rPr>
                              <w:tab/>
                              <w:t>_________________________</w:t>
                            </w:r>
                          </w:p>
                          <w:p w14:paraId="5C1B739F" w14:textId="77777777" w:rsidR="00ED310B" w:rsidRPr="003B746C" w:rsidRDefault="00ED310B" w:rsidP="00ED310B">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111B1" id="_x0000_t202" coordsize="21600,21600" o:spt="202" path="m,l,21600r21600,l21600,xe">
                <v:stroke joinstyle="miter"/>
                <v:path gradientshapeok="t" o:connecttype="rect"/>
              </v:shapetype>
              <v:shape id="Text Box 2" o:spid="_x0000_s1026" type="#_x0000_t202" style="position:absolute;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563F1B57" w14:textId="1FE260CA" w:rsidR="00ED310B" w:rsidRPr="008D2847" w:rsidRDefault="00285490" w:rsidP="00285490">
                      <w:pPr>
                        <w:tabs>
                          <w:tab w:val="left" w:pos="900"/>
                        </w:tabs>
                        <w:spacing w:after="0" w:line="240" w:lineRule="auto"/>
                        <w:ind w:left="900" w:hanging="720"/>
                        <w:rPr>
                          <w:rFonts w:ascii="Arial" w:hAnsi="Arial" w:cs="Arial"/>
                          <w:sz w:val="18"/>
                          <w:szCs w:val="20"/>
                        </w:rPr>
                      </w:pPr>
                      <w:r w:rsidRPr="008D2847">
                        <w:rPr>
                          <w:rFonts w:ascii="Arial" w:hAnsi="Arial" w:cs="Arial"/>
                          <w:sz w:val="18"/>
                          <w:szCs w:val="20"/>
                        </w:rPr>
                        <w:t>(1)</w:t>
                      </w:r>
                      <w:r w:rsidRPr="008D2847">
                        <w:rPr>
                          <w:rFonts w:ascii="Arial" w:hAnsi="Arial" w:cs="Arial"/>
                          <w:sz w:val="18"/>
                          <w:szCs w:val="20"/>
                        </w:rPr>
                        <w:tab/>
                      </w:r>
                      <w:r w:rsidR="00ED310B" w:rsidRPr="008D2847">
                        <w:rPr>
                          <w:rFonts w:ascii="Arial" w:hAnsi="Arial" w:cs="Arial"/>
                          <w:sz w:val="18"/>
                          <w:szCs w:val="20"/>
                        </w:rPr>
                        <w:t>REPORTABLE: YES / NO</w:t>
                      </w:r>
                    </w:p>
                    <w:p w14:paraId="4E08C2A1" w14:textId="08E3A29F" w:rsidR="00ED310B" w:rsidRPr="008D2847" w:rsidRDefault="00285490" w:rsidP="00285490">
                      <w:pPr>
                        <w:tabs>
                          <w:tab w:val="left" w:pos="900"/>
                        </w:tabs>
                        <w:spacing w:after="0" w:line="240" w:lineRule="auto"/>
                        <w:ind w:left="900" w:hanging="720"/>
                        <w:rPr>
                          <w:rFonts w:ascii="Arial" w:hAnsi="Arial" w:cs="Arial"/>
                          <w:sz w:val="18"/>
                          <w:szCs w:val="20"/>
                        </w:rPr>
                      </w:pPr>
                      <w:r w:rsidRPr="008D2847">
                        <w:rPr>
                          <w:rFonts w:ascii="Arial" w:hAnsi="Arial" w:cs="Arial"/>
                          <w:sz w:val="18"/>
                          <w:szCs w:val="20"/>
                        </w:rPr>
                        <w:t>(2)</w:t>
                      </w:r>
                      <w:r w:rsidRPr="008D2847">
                        <w:rPr>
                          <w:rFonts w:ascii="Arial" w:hAnsi="Arial" w:cs="Arial"/>
                          <w:sz w:val="18"/>
                          <w:szCs w:val="20"/>
                        </w:rPr>
                        <w:tab/>
                      </w:r>
                      <w:r w:rsidR="00ED310B" w:rsidRPr="008D2847">
                        <w:rPr>
                          <w:rFonts w:ascii="Arial" w:hAnsi="Arial" w:cs="Arial"/>
                          <w:sz w:val="18"/>
                          <w:szCs w:val="20"/>
                        </w:rPr>
                        <w:t>OF INTEREST TO OTHER JUDGES: YES/NO</w:t>
                      </w:r>
                    </w:p>
                    <w:p w14:paraId="411F7527" w14:textId="2BA8E19A" w:rsidR="00ED310B" w:rsidRPr="008D2847" w:rsidRDefault="00285490" w:rsidP="00285490">
                      <w:pPr>
                        <w:tabs>
                          <w:tab w:val="left" w:pos="900"/>
                        </w:tabs>
                        <w:spacing w:after="0" w:line="240" w:lineRule="auto"/>
                        <w:ind w:left="900" w:hanging="720"/>
                        <w:rPr>
                          <w:rFonts w:ascii="Arial" w:hAnsi="Arial" w:cs="Arial"/>
                          <w:sz w:val="18"/>
                          <w:szCs w:val="20"/>
                        </w:rPr>
                      </w:pPr>
                      <w:r w:rsidRPr="008D2847">
                        <w:rPr>
                          <w:rFonts w:ascii="Arial" w:hAnsi="Arial" w:cs="Arial"/>
                          <w:sz w:val="18"/>
                          <w:szCs w:val="20"/>
                        </w:rPr>
                        <w:t>(3)</w:t>
                      </w:r>
                      <w:r w:rsidRPr="008D2847">
                        <w:rPr>
                          <w:rFonts w:ascii="Arial" w:hAnsi="Arial" w:cs="Arial"/>
                          <w:sz w:val="18"/>
                          <w:szCs w:val="20"/>
                        </w:rPr>
                        <w:tab/>
                      </w:r>
                      <w:r w:rsidR="00ED310B" w:rsidRPr="008D2847">
                        <w:rPr>
                          <w:rFonts w:ascii="Arial" w:hAnsi="Arial" w:cs="Arial"/>
                          <w:sz w:val="18"/>
                          <w:szCs w:val="20"/>
                        </w:rPr>
                        <w:t>REVISED: YES/NO</w:t>
                      </w:r>
                    </w:p>
                    <w:p w14:paraId="6EDE2AC3" w14:textId="77777777" w:rsidR="00ED310B" w:rsidRPr="008D2847" w:rsidRDefault="00ED310B" w:rsidP="00ED310B">
                      <w:pPr>
                        <w:spacing w:before="240" w:after="0"/>
                        <w:rPr>
                          <w:rFonts w:ascii="Arial" w:hAnsi="Arial" w:cs="Arial"/>
                          <w:b/>
                          <w:sz w:val="18"/>
                          <w:szCs w:val="20"/>
                        </w:rPr>
                      </w:pPr>
                      <w:r w:rsidRPr="008D2847">
                        <w:rPr>
                          <w:rFonts w:ascii="Arial" w:hAnsi="Arial" w:cs="Arial"/>
                          <w:b/>
                          <w:sz w:val="18"/>
                          <w:szCs w:val="20"/>
                        </w:rPr>
                        <w:t>______________</w:t>
                      </w:r>
                      <w:r w:rsidRPr="008D2847">
                        <w:rPr>
                          <w:rFonts w:ascii="Arial" w:hAnsi="Arial" w:cs="Arial"/>
                          <w:b/>
                          <w:sz w:val="18"/>
                          <w:szCs w:val="20"/>
                        </w:rPr>
                        <w:tab/>
                        <w:t>_________________________</w:t>
                      </w:r>
                    </w:p>
                    <w:p w14:paraId="5C1B739F" w14:textId="77777777" w:rsidR="00ED310B" w:rsidRPr="003B746C" w:rsidRDefault="00ED310B" w:rsidP="00ED310B">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2C5E5A66" w14:textId="77777777" w:rsidR="00ED310B" w:rsidRPr="007B7F59" w:rsidRDefault="00ED310B" w:rsidP="00ED310B">
      <w:pPr>
        <w:tabs>
          <w:tab w:val="left" w:pos="8998"/>
        </w:tabs>
        <w:spacing w:after="0" w:line="240" w:lineRule="auto"/>
        <w:rPr>
          <w:rFonts w:eastAsia="Times New Roman" w:cs="Arial"/>
          <w:szCs w:val="24"/>
        </w:rPr>
      </w:pPr>
    </w:p>
    <w:p w14:paraId="3ABED079" w14:textId="77777777" w:rsidR="00ED310B" w:rsidRPr="007B7F59" w:rsidRDefault="00ED310B" w:rsidP="00ED310B">
      <w:pPr>
        <w:tabs>
          <w:tab w:val="left" w:pos="8998"/>
        </w:tabs>
        <w:spacing w:after="0" w:line="240" w:lineRule="auto"/>
        <w:rPr>
          <w:rFonts w:eastAsia="Times New Roman" w:cs="Arial"/>
          <w:szCs w:val="24"/>
        </w:rPr>
      </w:pPr>
    </w:p>
    <w:p w14:paraId="45508E7E" w14:textId="77777777" w:rsidR="00ED310B" w:rsidRPr="007B7F59" w:rsidRDefault="00ED310B" w:rsidP="00ED310B">
      <w:pPr>
        <w:tabs>
          <w:tab w:val="left" w:pos="8998"/>
        </w:tabs>
        <w:spacing w:after="0" w:line="240" w:lineRule="auto"/>
        <w:rPr>
          <w:rFonts w:eastAsia="Times New Roman" w:cs="Arial"/>
          <w:szCs w:val="24"/>
        </w:rPr>
      </w:pPr>
      <w:r w:rsidRPr="007B7F59">
        <w:rPr>
          <w:rFonts w:eastAsia="Times New Roman" w:cs="Arial"/>
          <w:szCs w:val="24"/>
        </w:rPr>
        <w:t>In the matter between:</w:t>
      </w:r>
    </w:p>
    <w:p w14:paraId="3E775E20" w14:textId="77777777" w:rsidR="00ED310B" w:rsidRPr="007B7F59" w:rsidRDefault="00ED310B" w:rsidP="00ED310B">
      <w:pPr>
        <w:tabs>
          <w:tab w:val="right" w:pos="9029"/>
        </w:tabs>
        <w:spacing w:after="0" w:line="240" w:lineRule="auto"/>
        <w:rPr>
          <w:rFonts w:eastAsia="Times New Roman" w:cs="Arial"/>
          <w:szCs w:val="24"/>
        </w:rPr>
      </w:pPr>
    </w:p>
    <w:p w14:paraId="0462D01D" w14:textId="77777777" w:rsidR="00ED310B" w:rsidRPr="007B7F59" w:rsidRDefault="00ED310B" w:rsidP="00ED310B">
      <w:pPr>
        <w:tabs>
          <w:tab w:val="right" w:pos="9029"/>
        </w:tabs>
        <w:spacing w:after="0" w:line="240" w:lineRule="auto"/>
        <w:rPr>
          <w:rFonts w:eastAsia="Times New Roman" w:cs="Arial"/>
          <w:szCs w:val="24"/>
        </w:rPr>
      </w:pPr>
    </w:p>
    <w:p w14:paraId="5DD69DE2" w14:textId="77777777" w:rsidR="00ED310B" w:rsidRPr="007B7F59" w:rsidRDefault="00ED310B" w:rsidP="00ED310B">
      <w:pPr>
        <w:tabs>
          <w:tab w:val="right" w:pos="9029"/>
        </w:tabs>
        <w:spacing w:after="0" w:line="240" w:lineRule="auto"/>
        <w:contextualSpacing/>
        <w:rPr>
          <w:rFonts w:eastAsia="Times New Roman" w:cs="Arial"/>
          <w:b/>
          <w:szCs w:val="24"/>
        </w:rPr>
      </w:pPr>
    </w:p>
    <w:p w14:paraId="0D73CD88" w14:textId="77777777" w:rsidR="00ED310B" w:rsidRPr="007B7F59" w:rsidRDefault="00ED310B" w:rsidP="00ED310B">
      <w:pPr>
        <w:tabs>
          <w:tab w:val="right" w:pos="9029"/>
        </w:tabs>
        <w:spacing w:after="0" w:line="240" w:lineRule="auto"/>
        <w:contextualSpacing/>
        <w:rPr>
          <w:rFonts w:eastAsia="Times New Roman" w:cs="Arial"/>
          <w:b/>
          <w:szCs w:val="24"/>
        </w:rPr>
      </w:pPr>
    </w:p>
    <w:p w14:paraId="00F28A1C" w14:textId="77777777" w:rsidR="00ED310B" w:rsidRPr="008D2847" w:rsidRDefault="00ED310B" w:rsidP="00ED310B">
      <w:pPr>
        <w:tabs>
          <w:tab w:val="right" w:pos="9029"/>
        </w:tabs>
        <w:spacing w:after="0" w:line="240" w:lineRule="auto"/>
        <w:contextualSpacing/>
        <w:rPr>
          <w:rFonts w:ascii="Arial" w:eastAsia="Times New Roman" w:hAnsi="Arial" w:cs="Arial"/>
          <w:szCs w:val="24"/>
        </w:rPr>
      </w:pPr>
      <w:r w:rsidRPr="008D2847">
        <w:rPr>
          <w:rFonts w:ascii="Arial" w:eastAsia="Times New Roman" w:hAnsi="Arial" w:cs="Arial"/>
          <w:szCs w:val="24"/>
        </w:rPr>
        <w:t>In the matter between:</w:t>
      </w:r>
    </w:p>
    <w:p w14:paraId="362CE1C4" w14:textId="77777777" w:rsidR="00ED310B" w:rsidRPr="008D2847" w:rsidRDefault="00ED310B" w:rsidP="00ED310B">
      <w:pPr>
        <w:tabs>
          <w:tab w:val="right" w:pos="9029"/>
        </w:tabs>
        <w:spacing w:after="0" w:line="240" w:lineRule="auto"/>
        <w:contextualSpacing/>
        <w:rPr>
          <w:rFonts w:ascii="Arial" w:eastAsia="Times New Roman" w:hAnsi="Arial" w:cs="Arial"/>
          <w:b/>
          <w:szCs w:val="24"/>
        </w:rPr>
      </w:pPr>
    </w:p>
    <w:p w14:paraId="36A32072" w14:textId="34F51379" w:rsidR="00ED310B" w:rsidRPr="008D2847" w:rsidRDefault="00ED310B" w:rsidP="00ED310B">
      <w:pPr>
        <w:tabs>
          <w:tab w:val="right" w:pos="9029"/>
        </w:tabs>
        <w:spacing w:after="0" w:line="240" w:lineRule="auto"/>
        <w:contextualSpacing/>
        <w:rPr>
          <w:rFonts w:ascii="Arial" w:eastAsia="Times New Roman" w:hAnsi="Arial" w:cs="Arial"/>
          <w:szCs w:val="24"/>
        </w:rPr>
      </w:pPr>
      <w:r w:rsidRPr="008D2847">
        <w:rPr>
          <w:rFonts w:ascii="Arial" w:eastAsia="Times New Roman" w:hAnsi="Arial" w:cs="Arial"/>
          <w:b/>
          <w:szCs w:val="24"/>
        </w:rPr>
        <w:t>LIONEL NEWBY</w:t>
      </w:r>
      <w:r w:rsidRPr="008D2847">
        <w:rPr>
          <w:rFonts w:ascii="Arial" w:eastAsia="Times New Roman" w:hAnsi="Arial" w:cs="Arial"/>
          <w:b/>
          <w:szCs w:val="24"/>
        </w:rPr>
        <w:tab/>
      </w:r>
      <w:r w:rsidRPr="008D2847">
        <w:rPr>
          <w:rFonts w:ascii="Arial" w:eastAsia="Times New Roman" w:hAnsi="Arial" w:cs="Arial"/>
          <w:szCs w:val="24"/>
        </w:rPr>
        <w:t>First</w:t>
      </w:r>
      <w:r w:rsidRPr="008D2847">
        <w:rPr>
          <w:rFonts w:ascii="Arial" w:eastAsia="Times New Roman" w:hAnsi="Arial" w:cs="Arial"/>
          <w:b/>
          <w:szCs w:val="24"/>
        </w:rPr>
        <w:t xml:space="preserve"> </w:t>
      </w:r>
      <w:r w:rsidRPr="008D2847">
        <w:rPr>
          <w:rFonts w:ascii="Arial" w:eastAsia="Times New Roman" w:hAnsi="Arial" w:cs="Arial"/>
          <w:szCs w:val="24"/>
        </w:rPr>
        <w:t>Applicant</w:t>
      </w:r>
    </w:p>
    <w:p w14:paraId="0EC907DC" w14:textId="794E1EEF" w:rsidR="00ED310B" w:rsidRPr="008D2847" w:rsidRDefault="00ED310B" w:rsidP="00ED310B">
      <w:pPr>
        <w:tabs>
          <w:tab w:val="right" w:pos="9029"/>
        </w:tabs>
        <w:spacing w:after="0" w:line="240" w:lineRule="auto"/>
        <w:contextualSpacing/>
        <w:rPr>
          <w:rFonts w:ascii="Arial" w:eastAsia="Times New Roman" w:hAnsi="Arial" w:cs="Arial"/>
          <w:b/>
          <w:szCs w:val="24"/>
        </w:rPr>
      </w:pPr>
    </w:p>
    <w:p w14:paraId="4505BE4B" w14:textId="7FB1B917" w:rsidR="00ED310B" w:rsidRPr="008D2847" w:rsidRDefault="00ED310B" w:rsidP="00ED310B">
      <w:pPr>
        <w:tabs>
          <w:tab w:val="right" w:pos="9029"/>
        </w:tabs>
        <w:spacing w:after="0" w:line="240" w:lineRule="auto"/>
        <w:contextualSpacing/>
        <w:rPr>
          <w:rFonts w:ascii="Arial" w:eastAsia="Times New Roman" w:hAnsi="Arial" w:cs="Arial"/>
          <w:szCs w:val="24"/>
        </w:rPr>
      </w:pPr>
      <w:r w:rsidRPr="008D2847">
        <w:rPr>
          <w:rFonts w:ascii="Arial" w:eastAsia="Times New Roman" w:hAnsi="Arial" w:cs="Arial"/>
          <w:b/>
          <w:szCs w:val="24"/>
        </w:rPr>
        <w:t xml:space="preserve">NEWBY DESIGNER HOMES CC                                                                 </w:t>
      </w:r>
      <w:r w:rsidR="008D2847">
        <w:rPr>
          <w:rFonts w:ascii="Arial" w:eastAsia="Times New Roman" w:hAnsi="Arial" w:cs="Arial"/>
          <w:b/>
          <w:szCs w:val="24"/>
        </w:rPr>
        <w:t xml:space="preserve"> </w:t>
      </w:r>
      <w:r w:rsidR="008D2847">
        <w:rPr>
          <w:rFonts w:ascii="Arial" w:eastAsia="Times New Roman" w:hAnsi="Arial" w:cs="Arial"/>
          <w:szCs w:val="24"/>
        </w:rPr>
        <w:t>Second Applicant</w:t>
      </w:r>
    </w:p>
    <w:p w14:paraId="2B207867" w14:textId="77777777" w:rsidR="00ED310B" w:rsidRPr="008D2847" w:rsidRDefault="00ED310B" w:rsidP="00ED310B">
      <w:pPr>
        <w:tabs>
          <w:tab w:val="right" w:pos="9029"/>
        </w:tabs>
        <w:spacing w:after="0" w:line="240" w:lineRule="auto"/>
        <w:contextualSpacing/>
        <w:rPr>
          <w:rFonts w:ascii="Arial" w:eastAsia="Times New Roman" w:hAnsi="Arial" w:cs="Arial"/>
          <w:b/>
          <w:szCs w:val="24"/>
        </w:rPr>
      </w:pPr>
      <w:r w:rsidRPr="008D2847">
        <w:rPr>
          <w:rFonts w:ascii="Arial" w:eastAsia="Times New Roman" w:hAnsi="Arial" w:cs="Arial"/>
          <w:b/>
          <w:szCs w:val="24"/>
        </w:rPr>
        <w:tab/>
      </w:r>
    </w:p>
    <w:p w14:paraId="17B7C9BB" w14:textId="77777777" w:rsidR="00ED310B" w:rsidRPr="008D2847" w:rsidRDefault="00ED310B" w:rsidP="00ED310B">
      <w:pPr>
        <w:tabs>
          <w:tab w:val="right" w:pos="9029"/>
        </w:tabs>
        <w:spacing w:after="0" w:line="240" w:lineRule="auto"/>
        <w:contextualSpacing/>
        <w:rPr>
          <w:rFonts w:ascii="Arial" w:eastAsia="Times New Roman" w:hAnsi="Arial" w:cs="Arial"/>
          <w:szCs w:val="24"/>
        </w:rPr>
      </w:pPr>
    </w:p>
    <w:p w14:paraId="00C2DB43" w14:textId="77777777" w:rsidR="00ED310B" w:rsidRPr="008D2847" w:rsidRDefault="00ED310B" w:rsidP="00ED310B">
      <w:pPr>
        <w:tabs>
          <w:tab w:val="right" w:pos="9029"/>
        </w:tabs>
        <w:spacing w:after="0" w:line="240" w:lineRule="auto"/>
        <w:contextualSpacing/>
        <w:rPr>
          <w:rFonts w:ascii="Arial" w:eastAsia="Times New Roman" w:hAnsi="Arial" w:cs="Arial"/>
          <w:szCs w:val="24"/>
        </w:rPr>
      </w:pPr>
      <w:r w:rsidRPr="008D2847">
        <w:rPr>
          <w:rFonts w:ascii="Arial" w:eastAsia="Times New Roman" w:hAnsi="Arial" w:cs="Arial"/>
          <w:szCs w:val="24"/>
        </w:rPr>
        <w:t>and</w:t>
      </w:r>
    </w:p>
    <w:p w14:paraId="4E624206" w14:textId="77777777" w:rsidR="00ED310B" w:rsidRPr="008D2847" w:rsidRDefault="00ED310B" w:rsidP="00ED310B">
      <w:pPr>
        <w:tabs>
          <w:tab w:val="right" w:pos="9029"/>
        </w:tabs>
        <w:spacing w:after="0" w:line="240" w:lineRule="auto"/>
        <w:contextualSpacing/>
        <w:rPr>
          <w:rFonts w:ascii="Arial" w:eastAsia="Times New Roman" w:hAnsi="Arial" w:cs="Arial"/>
          <w:szCs w:val="24"/>
        </w:rPr>
      </w:pPr>
    </w:p>
    <w:p w14:paraId="2A8BD239" w14:textId="7D2530AA" w:rsidR="00ED310B" w:rsidRPr="008D2847" w:rsidRDefault="00ED310B" w:rsidP="00ED310B">
      <w:pPr>
        <w:tabs>
          <w:tab w:val="right" w:pos="9029"/>
        </w:tabs>
        <w:spacing w:after="0" w:line="240" w:lineRule="auto"/>
        <w:contextualSpacing/>
        <w:rPr>
          <w:rFonts w:ascii="Arial" w:eastAsia="Times New Roman" w:hAnsi="Arial" w:cs="Arial"/>
          <w:szCs w:val="24"/>
        </w:rPr>
      </w:pPr>
      <w:r w:rsidRPr="008D2847">
        <w:rPr>
          <w:rFonts w:ascii="Arial" w:hAnsi="Arial" w:cs="Arial"/>
          <w:b/>
          <w:szCs w:val="24"/>
        </w:rPr>
        <w:t>THE STANDARD BANK OF SOUTH AFRICA LIMITED</w:t>
      </w:r>
      <w:r w:rsidRPr="008D2847">
        <w:rPr>
          <w:rFonts w:ascii="Arial" w:hAnsi="Arial" w:cs="Arial"/>
          <w:b/>
          <w:szCs w:val="24"/>
        </w:rPr>
        <w:tab/>
      </w:r>
      <w:r w:rsidRPr="008D2847">
        <w:rPr>
          <w:rFonts w:ascii="Arial" w:eastAsia="Times New Roman" w:hAnsi="Arial" w:cs="Arial"/>
          <w:szCs w:val="24"/>
        </w:rPr>
        <w:t>Respondent</w:t>
      </w:r>
    </w:p>
    <w:p w14:paraId="510CA52E" w14:textId="77777777" w:rsidR="00ED310B" w:rsidRPr="007B7F59" w:rsidRDefault="00ED310B" w:rsidP="00ED310B">
      <w:pPr>
        <w:tabs>
          <w:tab w:val="right" w:pos="9029"/>
        </w:tabs>
        <w:spacing w:after="0" w:line="240" w:lineRule="auto"/>
        <w:contextualSpacing/>
        <w:rPr>
          <w:rFonts w:eastAsia="Times New Roman" w:cs="Arial"/>
          <w:szCs w:val="24"/>
        </w:rPr>
      </w:pPr>
    </w:p>
    <w:p w14:paraId="6D29B2B2" w14:textId="77777777" w:rsidR="00ED310B" w:rsidRPr="007B7F59" w:rsidRDefault="00ED310B" w:rsidP="00ED310B">
      <w:pPr>
        <w:tabs>
          <w:tab w:val="right" w:pos="9029"/>
        </w:tabs>
        <w:spacing w:after="0" w:line="240" w:lineRule="auto"/>
        <w:contextualSpacing/>
        <w:rPr>
          <w:rFonts w:eastAsia="Times New Roman" w:cs="Arial"/>
          <w:szCs w:val="24"/>
        </w:rPr>
      </w:pPr>
      <w:r w:rsidRPr="007B7F59">
        <w:rPr>
          <w:rFonts w:eastAsia="Times New Roman" w:cs="Arial"/>
          <w:szCs w:val="24"/>
        </w:rPr>
        <w:tab/>
      </w:r>
    </w:p>
    <w:p w14:paraId="73B94076" w14:textId="16574745" w:rsidR="00ED310B" w:rsidRPr="008D2847" w:rsidRDefault="00ED310B" w:rsidP="00ED310B">
      <w:pPr>
        <w:pBdr>
          <w:bottom w:val="single" w:sz="12" w:space="1" w:color="auto"/>
        </w:pBdr>
        <w:spacing w:after="0"/>
        <w:rPr>
          <w:rFonts w:ascii="Arial" w:hAnsi="Arial" w:cs="Arial"/>
          <w:szCs w:val="24"/>
        </w:rPr>
      </w:pPr>
      <w:r w:rsidRPr="008D2847">
        <w:rPr>
          <w:rFonts w:ascii="Arial" w:hAnsi="Arial" w:cs="Arial"/>
          <w:szCs w:val="24"/>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8D2847">
        <w:rPr>
          <w:rFonts w:ascii="Arial" w:hAnsi="Arial" w:cs="Arial"/>
          <w:szCs w:val="24"/>
        </w:rPr>
        <w:t>CaseLines</w:t>
      </w:r>
      <w:proofErr w:type="spellEnd"/>
      <w:r w:rsidRPr="008D2847">
        <w:rPr>
          <w:rFonts w:ascii="Arial" w:hAnsi="Arial" w:cs="Arial"/>
          <w:szCs w:val="24"/>
        </w:rPr>
        <w:t xml:space="preserve">. The date for hand down is deemed to be </w:t>
      </w:r>
      <w:r w:rsidRPr="008D2847">
        <w:rPr>
          <w:rFonts w:ascii="Arial" w:hAnsi="Arial" w:cs="Arial"/>
          <w:b/>
          <w:bCs/>
          <w:szCs w:val="24"/>
        </w:rPr>
        <w:t>25 March 2024</w:t>
      </w:r>
      <w:r w:rsidRPr="008D2847">
        <w:rPr>
          <w:rFonts w:ascii="Arial" w:hAnsi="Arial" w:cs="Arial"/>
          <w:szCs w:val="24"/>
        </w:rPr>
        <w:t>.</w:t>
      </w:r>
    </w:p>
    <w:p w14:paraId="24EADAFE" w14:textId="77777777" w:rsidR="00ED310B" w:rsidRPr="007B7F59" w:rsidRDefault="00ED310B" w:rsidP="00ED310B">
      <w:pPr>
        <w:spacing w:after="0" w:line="240" w:lineRule="auto"/>
        <w:ind w:left="1440" w:hanging="1440"/>
        <w:rPr>
          <w:rFonts w:cs="Arial"/>
          <w:b/>
          <w:szCs w:val="24"/>
        </w:rPr>
      </w:pPr>
    </w:p>
    <w:p w14:paraId="60DFF9F2" w14:textId="60A367CA" w:rsidR="00ED310B" w:rsidRPr="008D2847" w:rsidRDefault="00ED310B" w:rsidP="00ED310B">
      <w:pPr>
        <w:pBdr>
          <w:bottom w:val="single" w:sz="12" w:space="1" w:color="auto"/>
        </w:pBdr>
        <w:spacing w:line="480" w:lineRule="auto"/>
        <w:jc w:val="center"/>
        <w:rPr>
          <w:rFonts w:ascii="Arial" w:hAnsi="Arial" w:cs="Arial"/>
          <w:b/>
          <w:szCs w:val="24"/>
        </w:rPr>
      </w:pPr>
      <w:r w:rsidRPr="008D2847">
        <w:rPr>
          <w:rFonts w:ascii="Arial" w:hAnsi="Arial" w:cs="Arial"/>
          <w:b/>
          <w:szCs w:val="24"/>
        </w:rPr>
        <w:t xml:space="preserve">APPLICATION FOR LEAVE TO APPEAL RULING &amp; REASONS </w:t>
      </w:r>
    </w:p>
    <w:p w14:paraId="0B84912F" w14:textId="77777777" w:rsidR="00ED310B" w:rsidRPr="00ED310B" w:rsidRDefault="00ED310B" w:rsidP="00ED310B">
      <w:pPr>
        <w:spacing w:after="0" w:line="240" w:lineRule="auto"/>
        <w:rPr>
          <w:rFonts w:ascii="Arial" w:hAnsi="Arial" w:cs="Arial"/>
          <w:b/>
          <w:szCs w:val="24"/>
          <w:u w:val="single"/>
        </w:rPr>
      </w:pPr>
      <w:r w:rsidRPr="00ED310B">
        <w:rPr>
          <w:rFonts w:ascii="Arial" w:hAnsi="Arial" w:cs="Arial"/>
          <w:b/>
          <w:szCs w:val="24"/>
          <w:u w:val="single"/>
        </w:rPr>
        <w:t>CARRIM AJ</w:t>
      </w:r>
    </w:p>
    <w:p w14:paraId="77C26A7F" w14:textId="77777777" w:rsidR="00ED310B" w:rsidRPr="007B7F59" w:rsidRDefault="00ED310B" w:rsidP="00ED310B">
      <w:pPr>
        <w:spacing w:after="0" w:line="240" w:lineRule="auto"/>
        <w:rPr>
          <w:rFonts w:cs="Arial"/>
          <w:szCs w:val="24"/>
        </w:rPr>
      </w:pPr>
    </w:p>
    <w:p w14:paraId="787C93B4" w14:textId="77777777" w:rsidR="00ED310B" w:rsidRPr="007B7F59" w:rsidRDefault="00ED310B" w:rsidP="00ED310B">
      <w:pPr>
        <w:spacing w:after="0" w:line="240" w:lineRule="auto"/>
        <w:rPr>
          <w:rFonts w:cs="Arial"/>
          <w:szCs w:val="24"/>
        </w:rPr>
      </w:pPr>
    </w:p>
    <w:p w14:paraId="5E3B4D1C" w14:textId="77777777" w:rsidR="00ED310B" w:rsidRPr="0014621C" w:rsidRDefault="00ED310B" w:rsidP="00ED310B">
      <w:pPr>
        <w:pStyle w:val="JudgmentHeading"/>
        <w:rPr>
          <w:b/>
          <w:i w:val="0"/>
        </w:rPr>
      </w:pPr>
      <w:r>
        <w:rPr>
          <w:b/>
          <w:i w:val="0"/>
        </w:rPr>
        <w:t>Introduction</w:t>
      </w:r>
    </w:p>
    <w:p w14:paraId="5ACE34CD" w14:textId="2369C4A0" w:rsidR="00ED310B" w:rsidRDefault="00285490" w:rsidP="00285490">
      <w:pPr>
        <w:pStyle w:val="JudgmentNumbered"/>
        <w:numPr>
          <w:ilvl w:val="0"/>
          <w:numId w:val="0"/>
        </w:numPr>
        <w:ind w:left="567" w:hanging="567"/>
      </w:pPr>
      <w:r>
        <w:t>[1]</w:t>
      </w:r>
      <w:r>
        <w:tab/>
      </w:r>
      <w:r w:rsidR="00ED310B">
        <w:t xml:space="preserve">The application for leave was filed on 22 March 2023, almost five months after the order was granted.  The applicants are not in compliance with the provisions </w:t>
      </w:r>
      <w:r w:rsidR="00ED310B">
        <w:lastRenderedPageBreak/>
        <w:t>of rule 49(1)(b) which provides that leave to appeal must be furnished within fifteen (15) days of the order appealed against.</w:t>
      </w:r>
      <w:r w:rsidR="00ED310B">
        <w:rPr>
          <w:rStyle w:val="FootnoteReference"/>
        </w:rPr>
        <w:footnoteReference w:id="1"/>
      </w:r>
      <w:r w:rsidR="00ED310B">
        <w:t xml:space="preserve">  The respondent has raised this non-compliance as a </w:t>
      </w:r>
      <w:r w:rsidR="00ED310B" w:rsidRPr="00BE73F7">
        <w:rPr>
          <w:i/>
          <w:iCs/>
        </w:rPr>
        <w:t xml:space="preserve">point in </w:t>
      </w:r>
      <w:proofErr w:type="spellStart"/>
      <w:r w:rsidR="00ED310B" w:rsidRPr="00BE73F7">
        <w:rPr>
          <w:i/>
          <w:iCs/>
        </w:rPr>
        <w:t>limine</w:t>
      </w:r>
      <w:proofErr w:type="spellEnd"/>
      <w:r w:rsidR="00ED310B">
        <w:t xml:space="preserve">.  </w:t>
      </w:r>
    </w:p>
    <w:p w14:paraId="109DB636" w14:textId="623EEF28" w:rsidR="008D2847" w:rsidRDefault="00285490" w:rsidP="00285490">
      <w:pPr>
        <w:pStyle w:val="JudgmentNumbered"/>
        <w:numPr>
          <w:ilvl w:val="0"/>
          <w:numId w:val="0"/>
        </w:numPr>
        <w:ind w:left="567" w:hanging="567"/>
      </w:pPr>
      <w:r>
        <w:t>[2]</w:t>
      </w:r>
      <w:r>
        <w:tab/>
      </w:r>
      <w:r w:rsidR="008D2847">
        <w:t>The applicants have not brought an application for condonation for non-compliance with the rule.</w:t>
      </w:r>
      <w:r w:rsidR="008D2847" w:rsidRPr="00000D6D">
        <w:t xml:space="preserve"> </w:t>
      </w:r>
      <w:r w:rsidR="008D2847">
        <w:t xml:space="preserve">Mr Shaw attempted to bring such an application from the Bar in reply by requesting that the applicants be allowed to bring such an application after this hearing which request was denied. </w:t>
      </w:r>
    </w:p>
    <w:p w14:paraId="4D736992" w14:textId="219813DE" w:rsidR="008D2847" w:rsidRDefault="00285490" w:rsidP="00285490">
      <w:pPr>
        <w:pStyle w:val="JudgmentNumbered"/>
        <w:numPr>
          <w:ilvl w:val="0"/>
          <w:numId w:val="0"/>
        </w:numPr>
        <w:ind w:left="567" w:hanging="567"/>
      </w:pPr>
      <w:r>
        <w:t>[3]</w:t>
      </w:r>
      <w:r>
        <w:tab/>
      </w:r>
      <w:r w:rsidR="008D2847">
        <w:t xml:space="preserve">The applicants have been aware of their own non-compliance since 22 March 2023. They have also been aware of the respondent’s </w:t>
      </w:r>
      <w:r w:rsidR="008D2847" w:rsidRPr="00000D6D">
        <w:rPr>
          <w:i/>
          <w:iCs/>
        </w:rPr>
        <w:t xml:space="preserve">point in </w:t>
      </w:r>
      <w:proofErr w:type="spellStart"/>
      <w:r w:rsidR="008D2847" w:rsidRPr="00000D6D">
        <w:rPr>
          <w:i/>
          <w:iCs/>
        </w:rPr>
        <w:t>limine</w:t>
      </w:r>
      <w:proofErr w:type="spellEnd"/>
      <w:r w:rsidR="008D2847">
        <w:t xml:space="preserve"> and had every opportunity to file a condonation application prior to the hearing setting out all the facts for the delay. They failed to do so and to now attempt to bring an application</w:t>
      </w:r>
      <w:r w:rsidR="00C44188">
        <w:t xml:space="preserve"> after the hearing which</w:t>
      </w:r>
      <w:r w:rsidR="008D2847">
        <w:t xml:space="preserve"> would be unfair to the respondents and not in the interests of justice.</w:t>
      </w:r>
    </w:p>
    <w:p w14:paraId="7A6DA231" w14:textId="4386B344" w:rsidR="008D2847" w:rsidRDefault="00285490" w:rsidP="00285490">
      <w:pPr>
        <w:pStyle w:val="JudgmentNumbered"/>
        <w:numPr>
          <w:ilvl w:val="0"/>
          <w:numId w:val="0"/>
        </w:numPr>
        <w:ind w:left="567" w:hanging="567"/>
      </w:pPr>
      <w:r>
        <w:t>[4]</w:t>
      </w:r>
      <w:r>
        <w:tab/>
      </w:r>
      <w:r w:rsidR="008D2847">
        <w:t>Given that no application for condonation has been brought the application must fail for non-compliance with rule 49(1).</w:t>
      </w:r>
    </w:p>
    <w:p w14:paraId="62522303" w14:textId="180CF103" w:rsidR="008D2847" w:rsidRDefault="00285490" w:rsidP="00285490">
      <w:pPr>
        <w:pStyle w:val="JudgmentNumbered"/>
        <w:numPr>
          <w:ilvl w:val="0"/>
          <w:numId w:val="0"/>
        </w:numPr>
        <w:ind w:left="567" w:hanging="567"/>
      </w:pPr>
      <w:r>
        <w:t>[5]</w:t>
      </w:r>
      <w:r>
        <w:tab/>
      </w:r>
      <w:r w:rsidR="008D2847">
        <w:t xml:space="preserve">But even </w:t>
      </w:r>
      <w:r w:rsidR="00C44188">
        <w:t xml:space="preserve">if </w:t>
      </w:r>
      <w:r w:rsidR="008D2847">
        <w:t xml:space="preserve">for argument’s sake there was application before me, it is now settled law that in considering an application for condonation the court has a discretion that </w:t>
      </w:r>
      <w:r w:rsidR="00765834">
        <w:t>must</w:t>
      </w:r>
      <w:r w:rsidR="008D2847">
        <w:t xml:space="preserve"> be exercised judicially upon consideration of all the facts. </w:t>
      </w:r>
    </w:p>
    <w:p w14:paraId="067DB2C3" w14:textId="6F151D2B" w:rsidR="00C44188" w:rsidRDefault="00285490" w:rsidP="00285490">
      <w:pPr>
        <w:pStyle w:val="JudgmentNumbered"/>
        <w:numPr>
          <w:ilvl w:val="0"/>
          <w:numId w:val="0"/>
        </w:numPr>
        <w:ind w:left="567" w:hanging="567"/>
      </w:pPr>
      <w:r>
        <w:t>[6]</w:t>
      </w:r>
      <w:r>
        <w:tab/>
      </w:r>
      <w:r w:rsidR="008D2847">
        <w:t xml:space="preserve">Good cause for the non-compliance must be shown by the applicants. In this enquiry relevant considerations may include the degree of non-compliance with the rules, the explanation therefor and the prospects of success on appeal, the convenience of the court and the avoidance of unnecessary delay in the administration of justice. </w:t>
      </w:r>
      <w:r w:rsidR="00C44188">
        <w:t>(</w:t>
      </w:r>
      <w:r w:rsidR="00C44188" w:rsidRPr="00A462C4">
        <w:rPr>
          <w:b/>
          <w:bCs/>
          <w:i/>
          <w:iCs/>
        </w:rPr>
        <w:t>United Plant Hire</w:t>
      </w:r>
      <w:r w:rsidR="00C44188">
        <w:rPr>
          <w:b/>
          <w:bCs/>
          <w:i/>
          <w:iCs/>
        </w:rPr>
        <w:t xml:space="preserve"> (Pty) Ltd v Hills.</w:t>
      </w:r>
      <w:r w:rsidR="00C44188">
        <w:rPr>
          <w:rStyle w:val="FootnoteReference"/>
          <w:b/>
          <w:bCs/>
          <w:i/>
          <w:iCs/>
        </w:rPr>
        <w:footnoteReference w:id="2"/>
      </w:r>
      <w:r w:rsidR="00C44188">
        <w:rPr>
          <w:b/>
          <w:bCs/>
          <w:i/>
          <w:iCs/>
        </w:rPr>
        <w:t>)</w:t>
      </w:r>
    </w:p>
    <w:p w14:paraId="05F856CB" w14:textId="609729B7" w:rsidR="008D2847" w:rsidRDefault="00285490" w:rsidP="00285490">
      <w:pPr>
        <w:pStyle w:val="JudgmentNumbered"/>
        <w:numPr>
          <w:ilvl w:val="0"/>
          <w:numId w:val="0"/>
        </w:numPr>
        <w:ind w:left="567" w:hanging="567"/>
      </w:pPr>
      <w:r>
        <w:t>[7]</w:t>
      </w:r>
      <w:r>
        <w:tab/>
      </w:r>
      <w:r w:rsidR="008D2847">
        <w:t>In my view</w:t>
      </w:r>
      <w:r w:rsidR="00513EF3">
        <w:t xml:space="preserve"> the applicants have failed to explain the inordinate delay of almost 5months.  Moreover. the</w:t>
      </w:r>
      <w:r w:rsidR="008D2847">
        <w:t xml:space="preserve"> applicants’ prospects of success on appeal are weak because as I stated in my </w:t>
      </w:r>
      <w:proofErr w:type="gramStart"/>
      <w:r w:rsidR="008D2847" w:rsidRPr="00880089">
        <w:rPr>
          <w:i/>
          <w:iCs/>
        </w:rPr>
        <w:t>ex tempore</w:t>
      </w:r>
      <w:proofErr w:type="gramEnd"/>
      <w:r w:rsidR="008D2847">
        <w:t xml:space="preserve"> reasons, the contract of sale regarding the property was between the applicant and the seller (“the seller”). The seller had not been joined to the proceedings. The applicants at that time</w:t>
      </w:r>
      <w:r w:rsidR="008F26D6">
        <w:t xml:space="preserve"> had ‘offered</w:t>
      </w:r>
      <w:r w:rsidR="0037272E">
        <w:t xml:space="preserve">’ to </w:t>
      </w:r>
      <w:r w:rsidR="0037272E">
        <w:lastRenderedPageBreak/>
        <w:t xml:space="preserve">join the seller.  The seller had opposed the joinder.  The </w:t>
      </w:r>
      <w:proofErr w:type="gramStart"/>
      <w:r w:rsidR="0037272E">
        <w:t>applicants</w:t>
      </w:r>
      <w:r w:rsidR="008D2847">
        <w:t xml:space="preserve">  insisted</w:t>
      </w:r>
      <w:proofErr w:type="gramEnd"/>
      <w:r w:rsidR="008D2847">
        <w:t xml:space="preserve"> on </w:t>
      </w:r>
      <w:r w:rsidR="00A6250C">
        <w:t>proceeding</w:t>
      </w:r>
      <w:r w:rsidR="009B3BD4">
        <w:t xml:space="preserve"> </w:t>
      </w:r>
      <w:r w:rsidR="00A6250C">
        <w:t xml:space="preserve">with </w:t>
      </w:r>
      <w:r w:rsidR="008D2847">
        <w:t>the main application</w:t>
      </w:r>
      <w:r w:rsidR="002C65A6">
        <w:t xml:space="preserve"> despite non-joinder of the seller</w:t>
      </w:r>
      <w:r w:rsidR="008D2847">
        <w:t>.</w:t>
      </w:r>
    </w:p>
    <w:p w14:paraId="232652F5" w14:textId="260673DA" w:rsidR="008D2847" w:rsidRDefault="00285490" w:rsidP="00285490">
      <w:pPr>
        <w:pStyle w:val="JudgmentNumbered"/>
        <w:numPr>
          <w:ilvl w:val="0"/>
          <w:numId w:val="0"/>
        </w:numPr>
        <w:ind w:left="567" w:hanging="567"/>
      </w:pPr>
      <w:r>
        <w:t>[8]</w:t>
      </w:r>
      <w:r>
        <w:tab/>
      </w:r>
      <w:r w:rsidR="008D2847">
        <w:t xml:space="preserve">During the main application it </w:t>
      </w:r>
      <w:r w:rsidR="00B90069">
        <w:t>was clear</w:t>
      </w:r>
      <w:r w:rsidR="008D2847">
        <w:t xml:space="preserve"> that – </w:t>
      </w:r>
    </w:p>
    <w:p w14:paraId="1049571A" w14:textId="604A8613" w:rsidR="008D2847" w:rsidRPr="00285490" w:rsidRDefault="00285490" w:rsidP="00285490">
      <w:pPr>
        <w:ind w:left="1134" w:hanging="567"/>
        <w:rPr>
          <w:rFonts w:ascii="Arial" w:hAnsi="Arial" w:cs="Arial"/>
        </w:rPr>
      </w:pPr>
      <w:r w:rsidRPr="008D2847">
        <w:rPr>
          <w:rFonts w:ascii="Arial" w:hAnsi="Arial" w:cs="Arial"/>
        </w:rPr>
        <w:t>a.</w:t>
      </w:r>
      <w:r w:rsidRPr="008D2847">
        <w:rPr>
          <w:rFonts w:ascii="Arial" w:hAnsi="Arial" w:cs="Arial"/>
        </w:rPr>
        <w:tab/>
      </w:r>
      <w:r w:rsidR="008D2847" w:rsidRPr="00285490">
        <w:rPr>
          <w:rFonts w:ascii="Arial" w:hAnsi="Arial" w:cs="Arial"/>
        </w:rPr>
        <w:t xml:space="preserve">The contract of sale was subject to a suspensive condition that the applicants would obtain a loan of R12m from </w:t>
      </w:r>
      <w:r w:rsidR="0037272E" w:rsidRPr="00285490">
        <w:rPr>
          <w:rFonts w:ascii="Arial" w:hAnsi="Arial" w:cs="Arial"/>
        </w:rPr>
        <w:t xml:space="preserve">the </w:t>
      </w:r>
      <w:proofErr w:type="gramStart"/>
      <w:r w:rsidR="0037272E" w:rsidRPr="00285490">
        <w:rPr>
          <w:rFonts w:ascii="Arial" w:hAnsi="Arial" w:cs="Arial"/>
        </w:rPr>
        <w:t>respondent</w:t>
      </w:r>
      <w:r w:rsidR="008D2847" w:rsidRPr="00285490">
        <w:rPr>
          <w:rFonts w:ascii="Arial" w:hAnsi="Arial" w:cs="Arial"/>
        </w:rPr>
        <w:t>;</w:t>
      </w:r>
      <w:proofErr w:type="gramEnd"/>
    </w:p>
    <w:p w14:paraId="689F289B" w14:textId="290B7DF4" w:rsidR="008D2847" w:rsidRPr="00285490" w:rsidRDefault="00285490" w:rsidP="00285490">
      <w:pPr>
        <w:ind w:left="1134" w:hanging="567"/>
        <w:rPr>
          <w:rFonts w:ascii="Arial" w:hAnsi="Arial" w:cs="Arial"/>
        </w:rPr>
      </w:pPr>
      <w:r w:rsidRPr="008D2847">
        <w:rPr>
          <w:rFonts w:ascii="Arial" w:hAnsi="Arial" w:cs="Arial"/>
        </w:rPr>
        <w:t>b.</w:t>
      </w:r>
      <w:r w:rsidRPr="008D2847">
        <w:rPr>
          <w:rFonts w:ascii="Arial" w:hAnsi="Arial" w:cs="Arial"/>
        </w:rPr>
        <w:tab/>
      </w:r>
      <w:r w:rsidR="008D2847" w:rsidRPr="00285490">
        <w:rPr>
          <w:rFonts w:ascii="Arial" w:hAnsi="Arial" w:cs="Arial"/>
        </w:rPr>
        <w:t xml:space="preserve">The applicants were aware before proceeding with signing the transfer documents that the respondent had </w:t>
      </w:r>
      <w:r w:rsidR="000714A1" w:rsidRPr="00285490">
        <w:rPr>
          <w:rFonts w:ascii="Arial" w:hAnsi="Arial" w:cs="Arial"/>
        </w:rPr>
        <w:t>only granted them</w:t>
      </w:r>
      <w:r w:rsidR="008D2847" w:rsidRPr="00285490">
        <w:rPr>
          <w:rFonts w:ascii="Arial" w:hAnsi="Arial" w:cs="Arial"/>
        </w:rPr>
        <w:t xml:space="preserve"> a loan of R4m.</w:t>
      </w:r>
    </w:p>
    <w:p w14:paraId="3CE5A9EF" w14:textId="5254889F" w:rsidR="008D2847" w:rsidRPr="00285490" w:rsidRDefault="00285490" w:rsidP="00285490">
      <w:pPr>
        <w:ind w:left="1134" w:hanging="567"/>
        <w:rPr>
          <w:rFonts w:ascii="Arial" w:hAnsi="Arial" w:cs="Arial"/>
        </w:rPr>
      </w:pPr>
      <w:r w:rsidRPr="008D2847">
        <w:rPr>
          <w:rFonts w:ascii="Arial" w:hAnsi="Arial" w:cs="Arial"/>
        </w:rPr>
        <w:t>c.</w:t>
      </w:r>
      <w:r w:rsidRPr="008D2847">
        <w:rPr>
          <w:rFonts w:ascii="Arial" w:hAnsi="Arial" w:cs="Arial"/>
        </w:rPr>
        <w:tab/>
      </w:r>
      <w:r w:rsidR="008D2847" w:rsidRPr="00285490">
        <w:rPr>
          <w:rFonts w:ascii="Arial" w:hAnsi="Arial" w:cs="Arial"/>
        </w:rPr>
        <w:t xml:space="preserve">Despite this, the applicants proceeded with the contract of sale and accepted transfer of the property by signing all the relevant documents. </w:t>
      </w:r>
    </w:p>
    <w:p w14:paraId="51B517AE" w14:textId="279D6719" w:rsidR="008D2847" w:rsidRPr="00285490" w:rsidRDefault="00285490" w:rsidP="00285490">
      <w:pPr>
        <w:ind w:left="1134" w:hanging="567"/>
        <w:rPr>
          <w:rFonts w:ascii="Arial" w:hAnsi="Arial" w:cs="Arial"/>
        </w:rPr>
      </w:pPr>
      <w:r w:rsidRPr="008D2847">
        <w:rPr>
          <w:rFonts w:ascii="Arial" w:hAnsi="Arial" w:cs="Arial"/>
        </w:rPr>
        <w:t>d.</w:t>
      </w:r>
      <w:r w:rsidRPr="008D2847">
        <w:rPr>
          <w:rFonts w:ascii="Arial" w:hAnsi="Arial" w:cs="Arial"/>
        </w:rPr>
        <w:tab/>
      </w:r>
      <w:r w:rsidR="008D2847" w:rsidRPr="00285490">
        <w:rPr>
          <w:rFonts w:ascii="Arial" w:hAnsi="Arial" w:cs="Arial"/>
        </w:rPr>
        <w:t>The respondent was not a party to contract of sale.</w:t>
      </w:r>
    </w:p>
    <w:p w14:paraId="2B5A5098" w14:textId="4076BA12" w:rsidR="008D2847" w:rsidRPr="00285490" w:rsidRDefault="00285490" w:rsidP="00285490">
      <w:pPr>
        <w:ind w:left="1134" w:hanging="567"/>
        <w:rPr>
          <w:rFonts w:ascii="Arial" w:hAnsi="Arial" w:cs="Arial"/>
        </w:rPr>
      </w:pPr>
      <w:r w:rsidRPr="008D2847">
        <w:rPr>
          <w:rFonts w:ascii="Arial" w:hAnsi="Arial" w:cs="Arial"/>
        </w:rPr>
        <w:t>e.</w:t>
      </w:r>
      <w:r w:rsidRPr="008D2847">
        <w:rPr>
          <w:rFonts w:ascii="Arial" w:hAnsi="Arial" w:cs="Arial"/>
        </w:rPr>
        <w:tab/>
      </w:r>
      <w:r w:rsidR="008D2847" w:rsidRPr="00285490">
        <w:rPr>
          <w:rFonts w:ascii="Arial" w:hAnsi="Arial" w:cs="Arial"/>
        </w:rPr>
        <w:t>The applicant</w:t>
      </w:r>
      <w:r w:rsidR="001548DF" w:rsidRPr="00285490">
        <w:rPr>
          <w:rFonts w:ascii="Arial" w:hAnsi="Arial" w:cs="Arial"/>
        </w:rPr>
        <w:t>s</w:t>
      </w:r>
      <w:r w:rsidR="008D2847" w:rsidRPr="00285490">
        <w:rPr>
          <w:rFonts w:ascii="Arial" w:hAnsi="Arial" w:cs="Arial"/>
        </w:rPr>
        <w:t xml:space="preserve"> accepted the amount of R4m from the respondent and made monthly repayments to the respondent without demure, protest or allegations of fraud. </w:t>
      </w:r>
      <w:r w:rsidR="0037272E" w:rsidRPr="00285490">
        <w:rPr>
          <w:rFonts w:ascii="Arial" w:hAnsi="Arial" w:cs="Arial"/>
        </w:rPr>
        <w:t xml:space="preserve">They </w:t>
      </w:r>
      <w:r w:rsidR="008D2847" w:rsidRPr="00285490">
        <w:rPr>
          <w:rFonts w:ascii="Arial" w:hAnsi="Arial" w:cs="Arial"/>
        </w:rPr>
        <w:t>fell behind with</w:t>
      </w:r>
      <w:r w:rsidR="0037272E" w:rsidRPr="00285490">
        <w:rPr>
          <w:rFonts w:ascii="Arial" w:hAnsi="Arial" w:cs="Arial"/>
        </w:rPr>
        <w:t xml:space="preserve"> the </w:t>
      </w:r>
      <w:r w:rsidR="008D2847" w:rsidRPr="00285490">
        <w:rPr>
          <w:rFonts w:ascii="Arial" w:hAnsi="Arial" w:cs="Arial"/>
        </w:rPr>
        <w:t xml:space="preserve">repayments and </w:t>
      </w:r>
      <w:r w:rsidR="0037272E" w:rsidRPr="00285490">
        <w:rPr>
          <w:rFonts w:ascii="Arial" w:hAnsi="Arial" w:cs="Arial"/>
        </w:rPr>
        <w:t xml:space="preserve">were </w:t>
      </w:r>
      <w:r w:rsidR="008D2847" w:rsidRPr="00285490">
        <w:rPr>
          <w:rFonts w:ascii="Arial" w:hAnsi="Arial" w:cs="Arial"/>
        </w:rPr>
        <w:t>in breach of the loan agreement.</w:t>
      </w:r>
    </w:p>
    <w:p w14:paraId="42D29DA7" w14:textId="55546E6D" w:rsidR="008D2847" w:rsidRPr="00285490" w:rsidRDefault="00285490" w:rsidP="00285490">
      <w:pPr>
        <w:ind w:left="1134" w:hanging="567"/>
        <w:rPr>
          <w:rFonts w:ascii="Arial" w:hAnsi="Arial" w:cs="Arial"/>
        </w:rPr>
      </w:pPr>
      <w:r w:rsidRPr="008D2847">
        <w:rPr>
          <w:rFonts w:ascii="Arial" w:hAnsi="Arial" w:cs="Arial"/>
        </w:rPr>
        <w:t>f.</w:t>
      </w:r>
      <w:r w:rsidRPr="008D2847">
        <w:rPr>
          <w:rFonts w:ascii="Arial" w:hAnsi="Arial" w:cs="Arial"/>
        </w:rPr>
        <w:tab/>
      </w:r>
      <w:r w:rsidR="008D2847" w:rsidRPr="00285490">
        <w:rPr>
          <w:rFonts w:ascii="Arial" w:hAnsi="Arial" w:cs="Arial"/>
        </w:rPr>
        <w:t>The main application was launched by the applicants when the respondent sought to enforce the provisions of the loan agreement.  It was only then that the applicants alleged there was fraud on the part of the respondent</w:t>
      </w:r>
      <w:r w:rsidR="00C44188" w:rsidRPr="00285490">
        <w:rPr>
          <w:rFonts w:ascii="Arial" w:hAnsi="Arial" w:cs="Arial"/>
        </w:rPr>
        <w:t xml:space="preserve"> and instituted the main application.</w:t>
      </w:r>
    </w:p>
    <w:p w14:paraId="24F6DF9E" w14:textId="405F7C5A" w:rsidR="008D2847" w:rsidRPr="00285490" w:rsidRDefault="00285490" w:rsidP="00285490">
      <w:pPr>
        <w:ind w:left="1134" w:hanging="567"/>
        <w:rPr>
          <w:rFonts w:ascii="Arial" w:hAnsi="Arial" w:cs="Arial"/>
        </w:rPr>
      </w:pPr>
      <w:r w:rsidRPr="008D2847">
        <w:rPr>
          <w:rFonts w:ascii="Arial" w:hAnsi="Arial" w:cs="Arial"/>
        </w:rPr>
        <w:t>g.</w:t>
      </w:r>
      <w:r w:rsidRPr="008D2847">
        <w:rPr>
          <w:rFonts w:ascii="Arial" w:hAnsi="Arial" w:cs="Arial"/>
        </w:rPr>
        <w:tab/>
      </w:r>
      <w:r w:rsidR="00FB4C13" w:rsidRPr="00285490">
        <w:rPr>
          <w:rFonts w:ascii="Arial" w:hAnsi="Arial" w:cs="Arial"/>
        </w:rPr>
        <w:t>The</w:t>
      </w:r>
      <w:r w:rsidR="008D2847" w:rsidRPr="00285490">
        <w:rPr>
          <w:rFonts w:ascii="Arial" w:hAnsi="Arial" w:cs="Arial"/>
        </w:rPr>
        <w:t xml:space="preserve"> respondent had raised material non-joinder of the seller as a point in </w:t>
      </w:r>
      <w:proofErr w:type="spellStart"/>
      <w:r w:rsidR="008D2847" w:rsidRPr="00285490">
        <w:rPr>
          <w:rFonts w:ascii="Arial" w:hAnsi="Arial" w:cs="Arial"/>
          <w:i/>
        </w:rPr>
        <w:t>limine</w:t>
      </w:r>
      <w:proofErr w:type="spellEnd"/>
      <w:r w:rsidR="008D2847" w:rsidRPr="00285490">
        <w:rPr>
          <w:rFonts w:ascii="Arial" w:hAnsi="Arial" w:cs="Arial"/>
          <w:i/>
        </w:rPr>
        <w:t>.</w:t>
      </w:r>
    </w:p>
    <w:p w14:paraId="2DED82F9" w14:textId="188670B0" w:rsidR="008D2847" w:rsidRPr="00285490" w:rsidRDefault="00285490" w:rsidP="00285490">
      <w:pPr>
        <w:ind w:left="1134" w:hanging="567"/>
        <w:rPr>
          <w:rFonts w:ascii="Arial" w:hAnsi="Arial" w:cs="Arial"/>
        </w:rPr>
      </w:pPr>
      <w:r>
        <w:rPr>
          <w:rFonts w:ascii="Arial" w:hAnsi="Arial" w:cs="Arial"/>
        </w:rPr>
        <w:t>h.</w:t>
      </w:r>
      <w:r>
        <w:rPr>
          <w:rFonts w:ascii="Arial" w:hAnsi="Arial" w:cs="Arial"/>
        </w:rPr>
        <w:tab/>
      </w:r>
      <w:r w:rsidR="00FB4C13" w:rsidRPr="00285490">
        <w:rPr>
          <w:rFonts w:ascii="Arial" w:hAnsi="Arial" w:cs="Arial"/>
        </w:rPr>
        <w:t>The</w:t>
      </w:r>
      <w:r w:rsidR="008D2847" w:rsidRPr="00285490">
        <w:rPr>
          <w:rFonts w:ascii="Arial" w:hAnsi="Arial" w:cs="Arial"/>
        </w:rPr>
        <w:t xml:space="preserve"> applicant </w:t>
      </w:r>
      <w:r w:rsidR="00FB4C13" w:rsidRPr="00285490">
        <w:rPr>
          <w:rFonts w:ascii="Arial" w:hAnsi="Arial" w:cs="Arial"/>
        </w:rPr>
        <w:t xml:space="preserve">nevertheless </w:t>
      </w:r>
      <w:r w:rsidR="008D2847" w:rsidRPr="00285490">
        <w:rPr>
          <w:rFonts w:ascii="Arial" w:hAnsi="Arial" w:cs="Arial"/>
        </w:rPr>
        <w:t xml:space="preserve">conceded that the seller was opposed to the joinder and did not want to resile from the contract of sale.  In </w:t>
      </w:r>
      <w:r w:rsidR="005D6CD1" w:rsidRPr="00285490">
        <w:rPr>
          <w:rFonts w:ascii="Arial" w:hAnsi="Arial" w:cs="Arial"/>
        </w:rPr>
        <w:t>the applic</w:t>
      </w:r>
      <w:r w:rsidR="003B40C7" w:rsidRPr="00285490">
        <w:rPr>
          <w:rFonts w:ascii="Arial" w:hAnsi="Arial" w:cs="Arial"/>
        </w:rPr>
        <w:t xml:space="preserve">ants’ </w:t>
      </w:r>
      <w:r w:rsidR="008D2847" w:rsidRPr="00285490">
        <w:rPr>
          <w:rFonts w:ascii="Arial" w:hAnsi="Arial" w:cs="Arial"/>
        </w:rPr>
        <w:t>view</w:t>
      </w:r>
      <w:r w:rsidR="00C44188" w:rsidRPr="00285490">
        <w:rPr>
          <w:rFonts w:ascii="Arial" w:hAnsi="Arial" w:cs="Arial"/>
        </w:rPr>
        <w:t xml:space="preserve"> </w:t>
      </w:r>
      <w:r w:rsidR="00A8587B" w:rsidRPr="00285490">
        <w:rPr>
          <w:rFonts w:ascii="Arial" w:hAnsi="Arial" w:cs="Arial"/>
        </w:rPr>
        <w:t xml:space="preserve">as </w:t>
      </w:r>
      <w:r w:rsidR="00C44188" w:rsidRPr="00285490">
        <w:rPr>
          <w:rFonts w:ascii="Arial" w:hAnsi="Arial" w:cs="Arial"/>
        </w:rPr>
        <w:t xml:space="preserve">expressed in </w:t>
      </w:r>
      <w:r w:rsidR="003B40C7" w:rsidRPr="00285490">
        <w:rPr>
          <w:rFonts w:ascii="Arial" w:hAnsi="Arial" w:cs="Arial"/>
        </w:rPr>
        <w:t>its</w:t>
      </w:r>
      <w:r w:rsidR="00C44188" w:rsidRPr="00285490">
        <w:rPr>
          <w:rFonts w:ascii="Arial" w:hAnsi="Arial" w:cs="Arial"/>
        </w:rPr>
        <w:t xml:space="preserve"> practice note</w:t>
      </w:r>
      <w:r w:rsidR="008D2847" w:rsidRPr="00285490">
        <w:rPr>
          <w:rFonts w:ascii="Arial" w:hAnsi="Arial" w:cs="Arial"/>
        </w:rPr>
        <w:t xml:space="preserve"> it was not necessary to join the seller because the issues were between the applicant and the respondent.</w:t>
      </w:r>
    </w:p>
    <w:p w14:paraId="253AE142" w14:textId="736D62FD" w:rsidR="00FB4C13" w:rsidRPr="008D2847" w:rsidRDefault="00FB4C13" w:rsidP="008F26D6">
      <w:pPr>
        <w:pStyle w:val="ListParagraph"/>
        <w:ind w:left="1134"/>
        <w:rPr>
          <w:rFonts w:ascii="Arial" w:hAnsi="Arial" w:cs="Arial"/>
        </w:rPr>
      </w:pPr>
    </w:p>
    <w:p w14:paraId="0BC64461" w14:textId="082ED684" w:rsidR="008D2847" w:rsidRPr="008D2847" w:rsidRDefault="00285490" w:rsidP="00285490">
      <w:pPr>
        <w:pStyle w:val="JudgmentNumbered"/>
        <w:numPr>
          <w:ilvl w:val="0"/>
          <w:numId w:val="0"/>
        </w:numPr>
        <w:ind w:left="567" w:hanging="567"/>
      </w:pPr>
      <w:r w:rsidRPr="008D2847">
        <w:t>[9]</w:t>
      </w:r>
      <w:r w:rsidRPr="008D2847">
        <w:tab/>
      </w:r>
      <w:r w:rsidR="008D2847" w:rsidRPr="008D2847">
        <w:t>The application for a purported unlawful transfer of the property could not be granted in the absence of the seller</w:t>
      </w:r>
      <w:r w:rsidR="00C44188">
        <w:t>, who has a material and direct interest in the matter,</w:t>
      </w:r>
      <w:r w:rsidR="008D2847" w:rsidRPr="008D2847">
        <w:t xml:space="preserve"> being joined and the </w:t>
      </w:r>
      <w:r w:rsidR="0043702C">
        <w:t xml:space="preserve">main </w:t>
      </w:r>
      <w:r w:rsidR="008D2847" w:rsidRPr="008D2847">
        <w:t>application was accordingly dismissed.</w:t>
      </w:r>
    </w:p>
    <w:p w14:paraId="503A0060" w14:textId="5ED40E20" w:rsidR="008D2847" w:rsidRDefault="00285490" w:rsidP="00285490">
      <w:pPr>
        <w:pStyle w:val="JudgmentNumbered"/>
        <w:numPr>
          <w:ilvl w:val="0"/>
          <w:numId w:val="0"/>
        </w:numPr>
        <w:ind w:left="567" w:hanging="567"/>
      </w:pPr>
      <w:r>
        <w:t>[10]</w:t>
      </w:r>
      <w:r>
        <w:tab/>
      </w:r>
      <w:r w:rsidR="008D2847" w:rsidRPr="008D2847">
        <w:t xml:space="preserve">As to the counterapplication, the applicants were not able to show on </w:t>
      </w:r>
      <w:r w:rsidR="00C44188">
        <w:t xml:space="preserve">a </w:t>
      </w:r>
      <w:r w:rsidR="008D2847" w:rsidRPr="008D2847">
        <w:t>balance of probabilities that they were not liable to the respondents.  The counterapplication was accordingly granted.</w:t>
      </w:r>
    </w:p>
    <w:p w14:paraId="5C2D331F" w14:textId="03F1659E" w:rsidR="008D2847" w:rsidRDefault="00285490" w:rsidP="00285490">
      <w:pPr>
        <w:pStyle w:val="JudgmentNumbered"/>
        <w:numPr>
          <w:ilvl w:val="0"/>
          <w:numId w:val="0"/>
        </w:numPr>
        <w:ind w:left="567" w:hanging="567"/>
      </w:pPr>
      <w:r>
        <w:t>[11]</w:t>
      </w:r>
      <w:r>
        <w:tab/>
      </w:r>
      <w:r w:rsidR="008D2847">
        <w:t xml:space="preserve">During </w:t>
      </w:r>
      <w:r w:rsidR="0043702C">
        <w:t>argument</w:t>
      </w:r>
      <w:r w:rsidR="008D2847">
        <w:t>, it was not clear whether the applicants sought to persist with the grounds of appeal in their notice.  The applicants</w:t>
      </w:r>
      <w:r w:rsidR="00C3305F">
        <w:t xml:space="preserve"> </w:t>
      </w:r>
      <w:r w:rsidR="008D2847">
        <w:t>wished to be given an opportunity to join the seller.  But the applicant</w:t>
      </w:r>
      <w:r w:rsidR="00C3305F">
        <w:t>s</w:t>
      </w:r>
      <w:r w:rsidR="008D2847">
        <w:t xml:space="preserve"> </w:t>
      </w:r>
      <w:r w:rsidR="004362D7">
        <w:t>had already been</w:t>
      </w:r>
      <w:r w:rsidR="008D2847">
        <w:t xml:space="preserve"> afforded that opportunity in the main application and failed to act accordingly.</w:t>
      </w:r>
      <w:r w:rsidR="004362D7">
        <w:t xml:space="preserve">  </w:t>
      </w:r>
      <w:r w:rsidR="006D6D4F">
        <w:t xml:space="preserve">As to the </w:t>
      </w:r>
      <w:r w:rsidR="006D6D4F">
        <w:lastRenderedPageBreak/>
        <w:t>remaining grounds of appeal</w:t>
      </w:r>
      <w:r w:rsidR="00C3305F">
        <w:t xml:space="preserve"> listed in the notice</w:t>
      </w:r>
      <w:r w:rsidR="006D6D4F">
        <w:t xml:space="preserve">, </w:t>
      </w:r>
      <w:proofErr w:type="gramStart"/>
      <w:r w:rsidR="006D6D4F">
        <w:t>these lacked particularity</w:t>
      </w:r>
      <w:proofErr w:type="gramEnd"/>
      <w:r w:rsidR="00C3305F">
        <w:t>,</w:t>
      </w:r>
      <w:r w:rsidR="006D6D4F">
        <w:t xml:space="preserve"> and </w:t>
      </w:r>
      <w:r w:rsidR="000A453C">
        <w:t>none were persisted with during argument.</w:t>
      </w:r>
    </w:p>
    <w:p w14:paraId="0949C685" w14:textId="77777777" w:rsidR="00B60EA1" w:rsidRDefault="00B60EA1" w:rsidP="00E747C1">
      <w:pPr>
        <w:pStyle w:val="ListParagraph"/>
      </w:pPr>
    </w:p>
    <w:p w14:paraId="5EA4D1DE" w14:textId="55143991" w:rsidR="008D2847" w:rsidRDefault="00285490" w:rsidP="00285490">
      <w:pPr>
        <w:pStyle w:val="JudgmentNumbered"/>
        <w:numPr>
          <w:ilvl w:val="0"/>
          <w:numId w:val="0"/>
        </w:numPr>
        <w:ind w:left="567" w:hanging="567"/>
      </w:pPr>
      <w:r>
        <w:t>[12]</w:t>
      </w:r>
      <w:r>
        <w:tab/>
      </w:r>
      <w:r w:rsidR="00997893">
        <w:t>Considering</w:t>
      </w:r>
      <w:r w:rsidR="008D2847">
        <w:t xml:space="preserve"> the above, I find that the application must fail for non-compliance with rule 49(1)(b). Nonetheless,</w:t>
      </w:r>
      <w:r w:rsidR="00C44188">
        <w:t xml:space="preserve"> even</w:t>
      </w:r>
      <w:r w:rsidR="008D2847">
        <w:t xml:space="preserve"> if there was a condonation application before me,</w:t>
      </w:r>
      <w:r w:rsidR="00C44188">
        <w:t xml:space="preserve"> I am of the view that the inordinate delay has not been </w:t>
      </w:r>
      <w:r w:rsidR="00EE004C">
        <w:t xml:space="preserve">adequately </w:t>
      </w:r>
      <w:r w:rsidR="00C44188">
        <w:t xml:space="preserve">explained by the applicants and </w:t>
      </w:r>
      <w:r w:rsidR="008D2847">
        <w:t xml:space="preserve">there would be no reasonable prospect of success on appeal. </w:t>
      </w:r>
      <w:proofErr w:type="gramStart"/>
      <w:r w:rsidR="008D2847">
        <w:t>Furthermore</w:t>
      </w:r>
      <w:proofErr w:type="gramEnd"/>
      <w:r w:rsidR="008D2847">
        <w:t xml:space="preserve"> there are no compelling reasons why the application should be granted.</w:t>
      </w:r>
    </w:p>
    <w:p w14:paraId="2A8E9D97" w14:textId="5277B2D3" w:rsidR="00EE004C" w:rsidRDefault="00285490" w:rsidP="00285490">
      <w:pPr>
        <w:pStyle w:val="JudgmentNumbered"/>
        <w:numPr>
          <w:ilvl w:val="0"/>
          <w:numId w:val="0"/>
        </w:numPr>
        <w:ind w:left="567" w:hanging="567"/>
      </w:pPr>
      <w:r>
        <w:t>[13]</w:t>
      </w:r>
      <w:r>
        <w:tab/>
      </w:r>
      <w:r w:rsidR="00EE004C">
        <w:t>In my view the application for leave to appeal has been brought merely for purposes of delaying the administration of justice.</w:t>
      </w:r>
    </w:p>
    <w:p w14:paraId="74141A78" w14:textId="7760AA71" w:rsidR="008D2847" w:rsidRDefault="00285490" w:rsidP="00285490">
      <w:pPr>
        <w:pStyle w:val="JudgmentNumbered"/>
        <w:numPr>
          <w:ilvl w:val="0"/>
          <w:numId w:val="0"/>
        </w:numPr>
        <w:ind w:left="567" w:hanging="567"/>
      </w:pPr>
      <w:r>
        <w:t>[14]</w:t>
      </w:r>
      <w:r>
        <w:tab/>
      </w:r>
      <w:r w:rsidR="008D2847">
        <w:t xml:space="preserve">The application is </w:t>
      </w:r>
      <w:r w:rsidR="00C73A21">
        <w:t xml:space="preserve">accordingly </w:t>
      </w:r>
      <w:r w:rsidR="008D2847">
        <w:t>dismissed with costs.</w:t>
      </w:r>
    </w:p>
    <w:p w14:paraId="5A0EFB28" w14:textId="77777777" w:rsidR="008D2847" w:rsidRDefault="008D2847" w:rsidP="008D2847">
      <w:pPr>
        <w:pStyle w:val="ListParagraph"/>
      </w:pPr>
    </w:p>
    <w:p w14:paraId="0BC6190F" w14:textId="77777777" w:rsidR="008D2847" w:rsidRDefault="008D2847" w:rsidP="008D2847">
      <w:pPr>
        <w:pStyle w:val="JudgmentNumbered"/>
        <w:numPr>
          <w:ilvl w:val="0"/>
          <w:numId w:val="0"/>
        </w:numPr>
        <w:ind w:left="567" w:hanging="567"/>
        <w:jc w:val="right"/>
      </w:pPr>
      <w:r>
        <w:t>__________________________________</w:t>
      </w:r>
    </w:p>
    <w:p w14:paraId="49BBFAAA" w14:textId="77777777" w:rsidR="008D2847" w:rsidRDefault="008D2847" w:rsidP="008D2847">
      <w:pPr>
        <w:pStyle w:val="JudgmentNumbered"/>
        <w:numPr>
          <w:ilvl w:val="0"/>
          <w:numId w:val="0"/>
        </w:numPr>
        <w:spacing w:line="240" w:lineRule="auto"/>
        <w:ind w:left="567" w:hanging="567"/>
        <w:jc w:val="right"/>
        <w:rPr>
          <w:b/>
        </w:rPr>
      </w:pPr>
      <w:r>
        <w:rPr>
          <w:b/>
        </w:rPr>
        <w:t>Y CARRIM</w:t>
      </w:r>
    </w:p>
    <w:p w14:paraId="4B8C17A9" w14:textId="77777777" w:rsidR="008D2847" w:rsidRDefault="008D2847" w:rsidP="008D2847">
      <w:pPr>
        <w:pStyle w:val="JudgmentNumbered"/>
        <w:numPr>
          <w:ilvl w:val="0"/>
          <w:numId w:val="0"/>
        </w:numPr>
        <w:spacing w:line="240" w:lineRule="auto"/>
        <w:ind w:left="567" w:hanging="567"/>
        <w:jc w:val="right"/>
        <w:rPr>
          <w:b/>
        </w:rPr>
      </w:pPr>
      <w:r>
        <w:rPr>
          <w:b/>
        </w:rPr>
        <w:t>ACTING JUDGE OF THE HIGH COURT OF SOUTH AFRICA</w:t>
      </w:r>
    </w:p>
    <w:p w14:paraId="5874884F" w14:textId="77777777" w:rsidR="008D2847" w:rsidRDefault="008D2847" w:rsidP="008D2847">
      <w:pPr>
        <w:pStyle w:val="JudgmentNumbered"/>
        <w:numPr>
          <w:ilvl w:val="0"/>
          <w:numId w:val="0"/>
        </w:numPr>
        <w:spacing w:line="240" w:lineRule="auto"/>
        <w:ind w:left="567" w:hanging="567"/>
        <w:jc w:val="right"/>
        <w:rPr>
          <w:b/>
        </w:rPr>
      </w:pPr>
      <w:r>
        <w:rPr>
          <w:b/>
        </w:rPr>
        <w:t xml:space="preserve">GAUTENG DIVISON </w:t>
      </w:r>
    </w:p>
    <w:p w14:paraId="12838195" w14:textId="1025D643" w:rsidR="008D2847" w:rsidRPr="008D2847" w:rsidRDefault="008D2847" w:rsidP="008D2847">
      <w:pPr>
        <w:pStyle w:val="JudgmentNumbered"/>
        <w:numPr>
          <w:ilvl w:val="0"/>
          <w:numId w:val="0"/>
        </w:numPr>
        <w:spacing w:line="240" w:lineRule="auto"/>
        <w:ind w:left="567" w:hanging="567"/>
        <w:jc w:val="right"/>
        <w:rPr>
          <w:b/>
        </w:rPr>
      </w:pPr>
      <w:r>
        <w:rPr>
          <w:b/>
        </w:rPr>
        <w:t>JOHANNESBURG</w:t>
      </w:r>
    </w:p>
    <w:p w14:paraId="33CC7783" w14:textId="77777777" w:rsidR="00ED310B" w:rsidRDefault="00ED310B" w:rsidP="00ED310B">
      <w:pPr>
        <w:pStyle w:val="JudgmentNumbered"/>
        <w:numPr>
          <w:ilvl w:val="0"/>
          <w:numId w:val="0"/>
        </w:numPr>
        <w:spacing w:line="240" w:lineRule="auto"/>
        <w:ind w:left="567" w:hanging="567"/>
        <w:jc w:val="left"/>
        <w:rPr>
          <w:b/>
        </w:rPr>
      </w:pPr>
      <w:r>
        <w:rPr>
          <w:b/>
        </w:rPr>
        <w:t>APPEARANCES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24"/>
      </w:tblGrid>
      <w:tr w:rsidR="00ED310B" w14:paraId="394C6B92" w14:textId="77777777" w:rsidTr="00411B89">
        <w:tc>
          <w:tcPr>
            <w:tcW w:w="4225" w:type="dxa"/>
            <w:vAlign w:val="center"/>
          </w:tcPr>
          <w:p w14:paraId="4611AAAA" w14:textId="77777777" w:rsidR="00ED310B" w:rsidRDefault="00ED310B" w:rsidP="00411B89">
            <w:pPr>
              <w:pStyle w:val="JudgmentNumbered"/>
              <w:numPr>
                <w:ilvl w:val="0"/>
                <w:numId w:val="0"/>
              </w:numPr>
              <w:spacing w:line="240" w:lineRule="auto"/>
              <w:jc w:val="left"/>
            </w:pPr>
            <w:r>
              <w:t>COUNSEL FOR APPLICANT:</w:t>
            </w:r>
          </w:p>
          <w:p w14:paraId="2ECD1FF0" w14:textId="77777777" w:rsidR="00ED310B" w:rsidRDefault="00ED310B" w:rsidP="00411B89">
            <w:pPr>
              <w:pStyle w:val="JudgmentNumbered"/>
              <w:numPr>
                <w:ilvl w:val="0"/>
                <w:numId w:val="0"/>
              </w:numPr>
              <w:spacing w:line="240" w:lineRule="auto"/>
              <w:jc w:val="left"/>
            </w:pPr>
            <w:r>
              <w:t>INSTRUCTED BY:</w:t>
            </w:r>
          </w:p>
        </w:tc>
        <w:tc>
          <w:tcPr>
            <w:tcW w:w="4224" w:type="dxa"/>
          </w:tcPr>
          <w:p w14:paraId="0E4F0E69" w14:textId="6F0F4C19" w:rsidR="00ED310B" w:rsidRDefault="00ED310B" w:rsidP="00411B89">
            <w:pPr>
              <w:pStyle w:val="JudgmentNumbered"/>
              <w:numPr>
                <w:ilvl w:val="0"/>
                <w:numId w:val="0"/>
              </w:numPr>
              <w:spacing w:line="240" w:lineRule="auto"/>
              <w:jc w:val="left"/>
            </w:pPr>
            <w:r>
              <w:t>Adv</w:t>
            </w:r>
            <w:r w:rsidR="00AF0FC6">
              <w:t xml:space="preserve"> D Shaw</w:t>
            </w:r>
          </w:p>
          <w:p w14:paraId="09E88BEB" w14:textId="4C7C1D90" w:rsidR="00ED310B" w:rsidRDefault="00AF0FC6" w:rsidP="00411B89">
            <w:pPr>
              <w:pStyle w:val="JudgmentNumbered"/>
              <w:numPr>
                <w:ilvl w:val="0"/>
                <w:numId w:val="0"/>
              </w:numPr>
              <w:spacing w:line="240" w:lineRule="auto"/>
              <w:jc w:val="left"/>
            </w:pPr>
            <w:r>
              <w:t>Mr L Newby</w:t>
            </w:r>
          </w:p>
        </w:tc>
      </w:tr>
      <w:tr w:rsidR="00ED310B" w14:paraId="128351C0" w14:textId="77777777" w:rsidTr="00411B89">
        <w:tc>
          <w:tcPr>
            <w:tcW w:w="4225" w:type="dxa"/>
            <w:vAlign w:val="center"/>
          </w:tcPr>
          <w:p w14:paraId="43C79888" w14:textId="77777777" w:rsidR="00ED310B" w:rsidRDefault="00ED310B" w:rsidP="00411B89">
            <w:pPr>
              <w:pStyle w:val="JudgmentNumbered"/>
              <w:numPr>
                <w:ilvl w:val="0"/>
                <w:numId w:val="0"/>
              </w:numPr>
              <w:spacing w:line="240" w:lineRule="auto"/>
              <w:jc w:val="left"/>
            </w:pPr>
            <w:r>
              <w:t>COUNSEL FOR RESPONDENT:</w:t>
            </w:r>
          </w:p>
          <w:p w14:paraId="5B3360BD" w14:textId="77777777" w:rsidR="00ED310B" w:rsidRDefault="00ED310B" w:rsidP="00411B89">
            <w:pPr>
              <w:pStyle w:val="JudgmentNumbered"/>
              <w:numPr>
                <w:ilvl w:val="0"/>
                <w:numId w:val="0"/>
              </w:numPr>
              <w:spacing w:line="240" w:lineRule="auto"/>
              <w:jc w:val="left"/>
            </w:pPr>
            <w:r>
              <w:t>INSTRUCTED BY:</w:t>
            </w:r>
          </w:p>
        </w:tc>
        <w:tc>
          <w:tcPr>
            <w:tcW w:w="4224" w:type="dxa"/>
          </w:tcPr>
          <w:p w14:paraId="5D130980" w14:textId="12BAB6FF" w:rsidR="00ED310B" w:rsidRDefault="008D2847" w:rsidP="00411B89">
            <w:pPr>
              <w:pStyle w:val="JudgmentNumbered"/>
              <w:numPr>
                <w:ilvl w:val="0"/>
                <w:numId w:val="0"/>
              </w:numPr>
              <w:spacing w:line="240" w:lineRule="auto"/>
              <w:jc w:val="left"/>
            </w:pPr>
            <w:r>
              <w:t>Adv PR Long</w:t>
            </w:r>
          </w:p>
          <w:p w14:paraId="3E606158" w14:textId="7783CCB9" w:rsidR="00ED310B" w:rsidRDefault="00AF0FC6" w:rsidP="00411B89">
            <w:pPr>
              <w:pStyle w:val="JudgmentNumbered"/>
              <w:numPr>
                <w:ilvl w:val="0"/>
                <w:numId w:val="0"/>
              </w:numPr>
              <w:spacing w:line="240" w:lineRule="auto"/>
              <w:jc w:val="left"/>
            </w:pPr>
            <w:r>
              <w:t xml:space="preserve">Van </w:t>
            </w:r>
            <w:proofErr w:type="spellStart"/>
            <w:r>
              <w:t>Hulsteyns</w:t>
            </w:r>
            <w:proofErr w:type="spellEnd"/>
            <w:r>
              <w:t xml:space="preserve"> Attorneys</w:t>
            </w:r>
          </w:p>
        </w:tc>
      </w:tr>
      <w:tr w:rsidR="00ED310B" w14:paraId="34321340" w14:textId="77777777" w:rsidTr="00411B89">
        <w:tc>
          <w:tcPr>
            <w:tcW w:w="4225" w:type="dxa"/>
            <w:vAlign w:val="center"/>
          </w:tcPr>
          <w:p w14:paraId="52E3F1FD" w14:textId="77777777" w:rsidR="00ED310B" w:rsidRDefault="00ED310B" w:rsidP="00411B89">
            <w:pPr>
              <w:pStyle w:val="JudgmentNumbered"/>
              <w:numPr>
                <w:ilvl w:val="0"/>
                <w:numId w:val="0"/>
              </w:numPr>
              <w:spacing w:line="240" w:lineRule="auto"/>
              <w:jc w:val="left"/>
            </w:pPr>
          </w:p>
        </w:tc>
        <w:tc>
          <w:tcPr>
            <w:tcW w:w="4224" w:type="dxa"/>
          </w:tcPr>
          <w:p w14:paraId="0DC75C71" w14:textId="77777777" w:rsidR="00ED310B" w:rsidRDefault="00ED310B" w:rsidP="00411B89">
            <w:pPr>
              <w:pStyle w:val="JudgmentNumbered"/>
              <w:numPr>
                <w:ilvl w:val="0"/>
                <w:numId w:val="0"/>
              </w:numPr>
              <w:spacing w:line="240" w:lineRule="auto"/>
              <w:jc w:val="left"/>
            </w:pPr>
          </w:p>
        </w:tc>
      </w:tr>
      <w:tr w:rsidR="00ED310B" w14:paraId="48239AB0" w14:textId="77777777" w:rsidTr="00411B89">
        <w:tc>
          <w:tcPr>
            <w:tcW w:w="4225" w:type="dxa"/>
            <w:vAlign w:val="center"/>
          </w:tcPr>
          <w:p w14:paraId="00193A92" w14:textId="77777777" w:rsidR="00ED310B" w:rsidRDefault="00ED310B" w:rsidP="00411B89">
            <w:pPr>
              <w:pStyle w:val="JudgmentNumbered"/>
              <w:numPr>
                <w:ilvl w:val="0"/>
                <w:numId w:val="0"/>
              </w:numPr>
              <w:spacing w:line="240" w:lineRule="auto"/>
              <w:jc w:val="left"/>
            </w:pPr>
            <w:r>
              <w:t>DATE OF THE HEARING:</w:t>
            </w:r>
          </w:p>
          <w:p w14:paraId="62E8AEFB" w14:textId="77777777" w:rsidR="00ED310B" w:rsidRDefault="00ED310B" w:rsidP="00411B89">
            <w:pPr>
              <w:pStyle w:val="JudgmentNumbered"/>
              <w:numPr>
                <w:ilvl w:val="0"/>
                <w:numId w:val="0"/>
              </w:numPr>
              <w:spacing w:line="240" w:lineRule="auto"/>
              <w:jc w:val="left"/>
            </w:pPr>
            <w:r>
              <w:t>DATE OF JUDGMENT:</w:t>
            </w:r>
          </w:p>
          <w:p w14:paraId="138DB904" w14:textId="77777777" w:rsidR="00ED310B" w:rsidRDefault="00ED310B" w:rsidP="00411B89">
            <w:pPr>
              <w:pStyle w:val="JudgmentNumbered"/>
              <w:numPr>
                <w:ilvl w:val="0"/>
                <w:numId w:val="0"/>
              </w:numPr>
              <w:spacing w:line="240" w:lineRule="auto"/>
              <w:jc w:val="left"/>
            </w:pPr>
            <w:r>
              <w:t>DATE OF REASONS:</w:t>
            </w:r>
          </w:p>
        </w:tc>
        <w:tc>
          <w:tcPr>
            <w:tcW w:w="4224" w:type="dxa"/>
          </w:tcPr>
          <w:p w14:paraId="3EFF89CC" w14:textId="0A104239" w:rsidR="00ED310B" w:rsidRDefault="00ED310B" w:rsidP="00411B89">
            <w:pPr>
              <w:pStyle w:val="JudgmentNumbered"/>
              <w:numPr>
                <w:ilvl w:val="0"/>
                <w:numId w:val="0"/>
              </w:numPr>
              <w:spacing w:line="240" w:lineRule="auto"/>
              <w:jc w:val="left"/>
            </w:pPr>
            <w:r>
              <w:t>2</w:t>
            </w:r>
            <w:r w:rsidR="008D2847">
              <w:t>5</w:t>
            </w:r>
            <w:r>
              <w:t xml:space="preserve"> </w:t>
            </w:r>
            <w:r w:rsidR="008D2847">
              <w:t>March</w:t>
            </w:r>
            <w:r>
              <w:t xml:space="preserve"> 2024</w:t>
            </w:r>
          </w:p>
          <w:p w14:paraId="6C562B8D" w14:textId="6DC2AC47" w:rsidR="00ED310B" w:rsidRDefault="00ED310B" w:rsidP="00411B89">
            <w:pPr>
              <w:pStyle w:val="JudgmentNumbered"/>
              <w:numPr>
                <w:ilvl w:val="0"/>
                <w:numId w:val="0"/>
              </w:numPr>
              <w:spacing w:line="240" w:lineRule="auto"/>
              <w:jc w:val="left"/>
            </w:pPr>
            <w:r>
              <w:t>2</w:t>
            </w:r>
            <w:r w:rsidR="008D2847">
              <w:t>5</w:t>
            </w:r>
            <w:r>
              <w:t xml:space="preserve"> </w:t>
            </w:r>
            <w:r w:rsidR="008D2847">
              <w:t>March</w:t>
            </w:r>
            <w:r>
              <w:t xml:space="preserve"> 2024</w:t>
            </w:r>
          </w:p>
          <w:p w14:paraId="40D1B543" w14:textId="0C856E09" w:rsidR="00ED310B" w:rsidRDefault="008D2847" w:rsidP="00411B89">
            <w:pPr>
              <w:pStyle w:val="JudgmentNumbered"/>
              <w:numPr>
                <w:ilvl w:val="0"/>
                <w:numId w:val="0"/>
              </w:numPr>
              <w:spacing w:line="240" w:lineRule="auto"/>
              <w:jc w:val="left"/>
            </w:pPr>
            <w:r>
              <w:t xml:space="preserve">25 </w:t>
            </w:r>
            <w:r w:rsidR="00ED310B">
              <w:t>March 2024</w:t>
            </w:r>
          </w:p>
        </w:tc>
      </w:tr>
    </w:tbl>
    <w:p w14:paraId="18F2397E" w14:textId="77777777" w:rsidR="00ED310B" w:rsidRDefault="00ED310B" w:rsidP="00ED310B">
      <w:pPr>
        <w:pStyle w:val="JudgmentNumbered"/>
        <w:numPr>
          <w:ilvl w:val="0"/>
          <w:numId w:val="0"/>
        </w:numPr>
        <w:spacing w:after="0"/>
        <w:rPr>
          <w:b/>
        </w:rPr>
        <w:sectPr w:rsidR="00ED310B" w:rsidSect="00AC0E4A">
          <w:footerReference w:type="default" r:id="rId12"/>
          <w:pgSz w:w="11906" w:h="16838"/>
          <w:pgMar w:top="1440" w:right="1440" w:bottom="1440" w:left="1440" w:header="708" w:footer="708" w:gutter="0"/>
          <w:cols w:space="708"/>
          <w:docGrid w:linePitch="360"/>
        </w:sectPr>
      </w:pPr>
    </w:p>
    <w:p w14:paraId="7FC8C948" w14:textId="77777777" w:rsidR="00A47A78" w:rsidRPr="008D2847" w:rsidRDefault="00A47A78" w:rsidP="008D2847"/>
    <w:sectPr w:rsidR="00A47A78" w:rsidRPr="008D28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30C5A" w14:textId="77777777" w:rsidR="00AC0E4A" w:rsidRDefault="00AC0E4A" w:rsidP="00A67528">
      <w:pPr>
        <w:spacing w:after="0" w:line="240" w:lineRule="auto"/>
      </w:pPr>
      <w:r>
        <w:separator/>
      </w:r>
    </w:p>
  </w:endnote>
  <w:endnote w:type="continuationSeparator" w:id="0">
    <w:p w14:paraId="23AC8D46" w14:textId="77777777" w:rsidR="00AC0E4A" w:rsidRDefault="00AC0E4A" w:rsidP="00A6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3697856"/>
      <w:docPartObj>
        <w:docPartGallery w:val="Page Numbers (Bottom of Page)"/>
        <w:docPartUnique/>
      </w:docPartObj>
    </w:sdtPr>
    <w:sdtEndPr>
      <w:rPr>
        <w:noProof/>
      </w:rPr>
    </w:sdtEndPr>
    <w:sdtContent>
      <w:p w14:paraId="3C8F4907" w14:textId="665448E2" w:rsidR="00ED310B" w:rsidRDefault="00ED310B">
        <w:pPr>
          <w:pStyle w:val="Footer"/>
          <w:jc w:val="center"/>
        </w:pPr>
        <w:r>
          <w:fldChar w:fldCharType="begin"/>
        </w:r>
        <w:r>
          <w:instrText xml:space="preserve"> PAGE   \* MERGEFORMAT </w:instrText>
        </w:r>
        <w:r>
          <w:fldChar w:fldCharType="separate"/>
        </w:r>
        <w:r w:rsidR="0061781B">
          <w:rPr>
            <w:noProof/>
          </w:rPr>
          <w:t>2</w:t>
        </w:r>
        <w:r>
          <w:rPr>
            <w:noProof/>
          </w:rPr>
          <w:fldChar w:fldCharType="end"/>
        </w:r>
      </w:p>
    </w:sdtContent>
  </w:sdt>
  <w:p w14:paraId="5FF178CB" w14:textId="77777777" w:rsidR="00ED310B" w:rsidRDefault="00ED310B" w:rsidP="006718B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FD717" w14:textId="77777777" w:rsidR="00AC0E4A" w:rsidRDefault="00AC0E4A" w:rsidP="00A67528">
      <w:pPr>
        <w:spacing w:after="0" w:line="240" w:lineRule="auto"/>
      </w:pPr>
      <w:r>
        <w:separator/>
      </w:r>
    </w:p>
  </w:footnote>
  <w:footnote w:type="continuationSeparator" w:id="0">
    <w:p w14:paraId="3D07D2B0" w14:textId="77777777" w:rsidR="00AC0E4A" w:rsidRDefault="00AC0E4A" w:rsidP="00A67528">
      <w:pPr>
        <w:spacing w:after="0" w:line="240" w:lineRule="auto"/>
      </w:pPr>
      <w:r>
        <w:continuationSeparator/>
      </w:r>
    </w:p>
  </w:footnote>
  <w:footnote w:id="1">
    <w:p w14:paraId="3C68FD58" w14:textId="77777777" w:rsidR="00ED310B" w:rsidRDefault="00ED310B" w:rsidP="00ED310B">
      <w:pPr>
        <w:pStyle w:val="FootnoteText"/>
      </w:pPr>
      <w:r>
        <w:rPr>
          <w:rStyle w:val="FootnoteReference"/>
        </w:rPr>
        <w:footnoteRef/>
      </w:r>
      <w:r>
        <w:t xml:space="preserve"> Rule 49(1)(b).  Harms </w:t>
      </w:r>
      <w:r w:rsidRPr="00CD29EC">
        <w:rPr>
          <w:i/>
          <w:iCs/>
        </w:rPr>
        <w:t>Civil Procedure in the Superior Courts</w:t>
      </w:r>
      <w:r>
        <w:t xml:space="preserve"> B-346</w:t>
      </w:r>
    </w:p>
  </w:footnote>
  <w:footnote w:id="2">
    <w:p w14:paraId="667367B7" w14:textId="77777777" w:rsidR="00C44188" w:rsidRDefault="00C44188" w:rsidP="00C44188">
      <w:pPr>
        <w:pStyle w:val="FootnoteText"/>
      </w:pPr>
      <w:r>
        <w:rPr>
          <w:rStyle w:val="FootnoteReference"/>
        </w:rPr>
        <w:footnoteRef/>
      </w:r>
      <w:r>
        <w:t xml:space="preserve"> 1976 (1) SA 717 (A).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7EEE3E8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490980">
    <w:abstractNumId w:val="2"/>
  </w:num>
  <w:num w:numId="2" w16cid:durableId="402262273">
    <w:abstractNumId w:val="0"/>
  </w:num>
  <w:num w:numId="3" w16cid:durableId="1843856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NjAzsbAAMk1MjJR0lIJTi4sz8/NACgxrAYVewEQsAAAA"/>
  </w:docVars>
  <w:rsids>
    <w:rsidRoot w:val="00815535"/>
    <w:rsid w:val="00000D6D"/>
    <w:rsid w:val="000714A1"/>
    <w:rsid w:val="000A453C"/>
    <w:rsid w:val="000D57AE"/>
    <w:rsid w:val="000F3F94"/>
    <w:rsid w:val="001548DF"/>
    <w:rsid w:val="00285490"/>
    <w:rsid w:val="002A44D6"/>
    <w:rsid w:val="002C65A6"/>
    <w:rsid w:val="0037272E"/>
    <w:rsid w:val="003B40C7"/>
    <w:rsid w:val="004362D7"/>
    <w:rsid w:val="0043702C"/>
    <w:rsid w:val="00513EF3"/>
    <w:rsid w:val="005D6CD1"/>
    <w:rsid w:val="005E4CD9"/>
    <w:rsid w:val="0061781B"/>
    <w:rsid w:val="00654426"/>
    <w:rsid w:val="00663529"/>
    <w:rsid w:val="006D6D4F"/>
    <w:rsid w:val="006F5557"/>
    <w:rsid w:val="00765834"/>
    <w:rsid w:val="00815535"/>
    <w:rsid w:val="00835599"/>
    <w:rsid w:val="008529CC"/>
    <w:rsid w:val="00880089"/>
    <w:rsid w:val="008D2847"/>
    <w:rsid w:val="008F26D6"/>
    <w:rsid w:val="009106E9"/>
    <w:rsid w:val="00915154"/>
    <w:rsid w:val="00930BD7"/>
    <w:rsid w:val="009617A9"/>
    <w:rsid w:val="00975968"/>
    <w:rsid w:val="0098025F"/>
    <w:rsid w:val="00997893"/>
    <w:rsid w:val="009A6C50"/>
    <w:rsid w:val="009A7A1A"/>
    <w:rsid w:val="009B3BD4"/>
    <w:rsid w:val="009C3C3B"/>
    <w:rsid w:val="00A40D43"/>
    <w:rsid w:val="00A462C4"/>
    <w:rsid w:val="00A47A78"/>
    <w:rsid w:val="00A6250C"/>
    <w:rsid w:val="00A644E9"/>
    <w:rsid w:val="00A67528"/>
    <w:rsid w:val="00A8587B"/>
    <w:rsid w:val="00AC0E4A"/>
    <w:rsid w:val="00AF0FC6"/>
    <w:rsid w:val="00B60EA1"/>
    <w:rsid w:val="00B90069"/>
    <w:rsid w:val="00BE73F7"/>
    <w:rsid w:val="00C14596"/>
    <w:rsid w:val="00C3305F"/>
    <w:rsid w:val="00C44188"/>
    <w:rsid w:val="00C73A21"/>
    <w:rsid w:val="00C973F7"/>
    <w:rsid w:val="00CD29EC"/>
    <w:rsid w:val="00CE4185"/>
    <w:rsid w:val="00D61EA9"/>
    <w:rsid w:val="00D634D1"/>
    <w:rsid w:val="00D831B5"/>
    <w:rsid w:val="00E60358"/>
    <w:rsid w:val="00E747C1"/>
    <w:rsid w:val="00ED310B"/>
    <w:rsid w:val="00ED6D1F"/>
    <w:rsid w:val="00EE004C"/>
    <w:rsid w:val="00EE350A"/>
    <w:rsid w:val="00F04511"/>
    <w:rsid w:val="00F6638D"/>
    <w:rsid w:val="00F861E7"/>
    <w:rsid w:val="00FB4C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9E93"/>
  <w15:chartTrackingRefBased/>
  <w15:docId w15:val="{C1972D31-4A1C-4C9E-9DA8-4BB9A6E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5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55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55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55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55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55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55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55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55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5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55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55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55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55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55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55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55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5535"/>
    <w:rPr>
      <w:rFonts w:eastAsiaTheme="majorEastAsia" w:cstheme="majorBidi"/>
      <w:color w:val="272727" w:themeColor="text1" w:themeTint="D8"/>
    </w:rPr>
  </w:style>
  <w:style w:type="paragraph" w:styleId="Title">
    <w:name w:val="Title"/>
    <w:basedOn w:val="Normal"/>
    <w:next w:val="Normal"/>
    <w:link w:val="TitleChar"/>
    <w:uiPriority w:val="10"/>
    <w:qFormat/>
    <w:rsid w:val="008155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5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55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55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5535"/>
    <w:pPr>
      <w:spacing w:before="160"/>
      <w:jc w:val="center"/>
    </w:pPr>
    <w:rPr>
      <w:i/>
      <w:iCs/>
      <w:color w:val="404040" w:themeColor="text1" w:themeTint="BF"/>
    </w:rPr>
  </w:style>
  <w:style w:type="character" w:customStyle="1" w:styleId="QuoteChar">
    <w:name w:val="Quote Char"/>
    <w:basedOn w:val="DefaultParagraphFont"/>
    <w:link w:val="Quote"/>
    <w:uiPriority w:val="29"/>
    <w:rsid w:val="00815535"/>
    <w:rPr>
      <w:i/>
      <w:iCs/>
      <w:color w:val="404040" w:themeColor="text1" w:themeTint="BF"/>
    </w:rPr>
  </w:style>
  <w:style w:type="paragraph" w:styleId="ListParagraph">
    <w:name w:val="List Paragraph"/>
    <w:basedOn w:val="Normal"/>
    <w:uiPriority w:val="34"/>
    <w:qFormat/>
    <w:rsid w:val="00815535"/>
    <w:pPr>
      <w:ind w:left="720"/>
      <w:contextualSpacing/>
    </w:pPr>
  </w:style>
  <w:style w:type="character" w:styleId="IntenseEmphasis">
    <w:name w:val="Intense Emphasis"/>
    <w:basedOn w:val="DefaultParagraphFont"/>
    <w:uiPriority w:val="21"/>
    <w:qFormat/>
    <w:rsid w:val="00815535"/>
    <w:rPr>
      <w:i/>
      <w:iCs/>
      <w:color w:val="0F4761" w:themeColor="accent1" w:themeShade="BF"/>
    </w:rPr>
  </w:style>
  <w:style w:type="paragraph" w:styleId="IntenseQuote">
    <w:name w:val="Intense Quote"/>
    <w:basedOn w:val="Normal"/>
    <w:next w:val="Normal"/>
    <w:link w:val="IntenseQuoteChar"/>
    <w:uiPriority w:val="30"/>
    <w:qFormat/>
    <w:rsid w:val="008155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5535"/>
    <w:rPr>
      <w:i/>
      <w:iCs/>
      <w:color w:val="0F4761" w:themeColor="accent1" w:themeShade="BF"/>
    </w:rPr>
  </w:style>
  <w:style w:type="character" w:styleId="IntenseReference">
    <w:name w:val="Intense Reference"/>
    <w:basedOn w:val="DefaultParagraphFont"/>
    <w:uiPriority w:val="32"/>
    <w:qFormat/>
    <w:rsid w:val="00815535"/>
    <w:rPr>
      <w:b/>
      <w:bCs/>
      <w:smallCaps/>
      <w:color w:val="0F4761" w:themeColor="accent1" w:themeShade="BF"/>
      <w:spacing w:val="5"/>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67528"/>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A67528"/>
    <w:rPr>
      <w:sz w:val="20"/>
      <w:szCs w:val="20"/>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A67528"/>
    <w:rPr>
      <w:vertAlign w:val="superscript"/>
    </w:rPr>
  </w:style>
  <w:style w:type="paragraph" w:customStyle="1" w:styleId="JudgmentNumbered">
    <w:name w:val="Judgment Numbered"/>
    <w:basedOn w:val="Normal"/>
    <w:link w:val="JudgmentNumberedChar"/>
    <w:qFormat/>
    <w:rsid w:val="00ED310B"/>
    <w:pPr>
      <w:numPr>
        <w:numId w:val="3"/>
      </w:numPr>
      <w:spacing w:after="240" w:line="360" w:lineRule="auto"/>
      <w:jc w:val="both"/>
    </w:pPr>
    <w:rPr>
      <w:rFonts w:ascii="Arial" w:hAnsi="Arial" w:cs="Arial"/>
      <w:kern w:val="0"/>
      <w:sz w:val="24"/>
      <w:lang w:val="en-GB"/>
      <w14:ligatures w14:val="none"/>
    </w:rPr>
  </w:style>
  <w:style w:type="paragraph" w:customStyle="1" w:styleId="JudgmentHeading">
    <w:name w:val="Judgment Heading"/>
    <w:basedOn w:val="JudgmentNumbered"/>
    <w:next w:val="JudgmentNumbered"/>
    <w:link w:val="JudgmentHeadingChar"/>
    <w:qFormat/>
    <w:rsid w:val="00ED310B"/>
    <w:pPr>
      <w:numPr>
        <w:numId w:val="0"/>
      </w:numPr>
    </w:pPr>
    <w:rPr>
      <w:i/>
    </w:rPr>
  </w:style>
  <w:style w:type="character" w:customStyle="1" w:styleId="JudgmentNumberedChar">
    <w:name w:val="Judgment Numbered Char"/>
    <w:basedOn w:val="DefaultParagraphFont"/>
    <w:link w:val="JudgmentNumbered"/>
    <w:rsid w:val="00ED310B"/>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ED310B"/>
    <w:rPr>
      <w:rFonts w:ascii="Arial" w:hAnsi="Arial" w:cs="Arial"/>
      <w:i/>
      <w:kern w:val="0"/>
      <w:sz w:val="24"/>
      <w:lang w:val="en-GB"/>
      <w14:ligatures w14:val="none"/>
    </w:rPr>
  </w:style>
  <w:style w:type="table" w:styleId="TableGrid">
    <w:name w:val="Table Grid"/>
    <w:basedOn w:val="TableNormal"/>
    <w:uiPriority w:val="39"/>
    <w:rsid w:val="00ED31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310B"/>
    <w:pPr>
      <w:tabs>
        <w:tab w:val="center" w:pos="4513"/>
        <w:tab w:val="right" w:pos="9026"/>
      </w:tabs>
      <w:spacing w:after="0" w:line="240" w:lineRule="auto"/>
      <w:ind w:left="567"/>
      <w:jc w:val="both"/>
    </w:pPr>
    <w:rPr>
      <w:rFonts w:ascii="Arial" w:hAnsi="Arial"/>
      <w:kern w:val="0"/>
      <w:sz w:val="24"/>
      <w:lang w:val="en-GB"/>
      <w14:ligatures w14:val="none"/>
    </w:rPr>
  </w:style>
  <w:style w:type="character" w:customStyle="1" w:styleId="FooterChar">
    <w:name w:val="Footer Char"/>
    <w:basedOn w:val="DefaultParagraphFont"/>
    <w:link w:val="Footer"/>
    <w:uiPriority w:val="99"/>
    <w:rsid w:val="00ED310B"/>
    <w:rPr>
      <w:rFonts w:ascii="Arial" w:hAnsi="Arial"/>
      <w:kern w:val="0"/>
      <w:sz w:val="24"/>
      <w:lang w:val="en-GB"/>
      <w14:ligatures w14:val="none"/>
    </w:rPr>
  </w:style>
  <w:style w:type="paragraph" w:styleId="Revision">
    <w:name w:val="Revision"/>
    <w:hidden/>
    <w:uiPriority w:val="99"/>
    <w:semiHidden/>
    <w:rsid w:val="00C44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02A3.6AE5447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16c8a8-44c6-47e7-a73c-eb4dbe60b4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15" ma:contentTypeDescription="Create a new document." ma:contentTypeScope="" ma:versionID="168cdc3ec847cb88c1532c0b5fc189b2">
  <xsd:schema xmlns:xsd="http://www.w3.org/2001/XMLSchema" xmlns:xs="http://www.w3.org/2001/XMLSchema" xmlns:p="http://schemas.microsoft.com/office/2006/metadata/properties" xmlns:ns3="1f16c8a8-44c6-47e7-a73c-eb4dbe60b46d" xmlns:ns4="5da120b3-7f5e-4c33-adc5-0873038508ad" targetNamespace="http://schemas.microsoft.com/office/2006/metadata/properties" ma:root="true" ma:fieldsID="57ed11db38064dc06c83fa2378cf9c82" ns3:_="" ns4:_="">
    <xsd:import namespace="1f16c8a8-44c6-47e7-a73c-eb4dbe60b46d"/>
    <xsd:import namespace="5da120b3-7f5e-4c33-adc5-0873038508a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SystemTag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c8a8-44c6-47e7-a73c-eb4dbe60b46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120b3-7f5e-4c33-adc5-0873038508a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AE47A-10CF-4F5E-B066-EF4C5FF502A0}">
  <ds:schemaRefs>
    <ds:schemaRef ds:uri="http://schemas.microsoft.com/office/2006/metadata/properties"/>
    <ds:schemaRef ds:uri="http://schemas.microsoft.com/office/infopath/2007/PartnerControls"/>
    <ds:schemaRef ds:uri="1f16c8a8-44c6-47e7-a73c-eb4dbe60b46d"/>
  </ds:schemaRefs>
</ds:datastoreItem>
</file>

<file path=customXml/itemProps2.xml><?xml version="1.0" encoding="utf-8"?>
<ds:datastoreItem xmlns:ds="http://schemas.openxmlformats.org/officeDocument/2006/customXml" ds:itemID="{BB96F80D-8419-4089-A39D-8FF609C2F931}">
  <ds:schemaRefs>
    <ds:schemaRef ds:uri="http://schemas.microsoft.com/sharepoint/v3/contenttype/forms"/>
  </ds:schemaRefs>
</ds:datastoreItem>
</file>

<file path=customXml/itemProps3.xml><?xml version="1.0" encoding="utf-8"?>
<ds:datastoreItem xmlns:ds="http://schemas.openxmlformats.org/officeDocument/2006/customXml" ds:itemID="{3DE51767-1CA0-45CF-AB15-A9DA6673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c8a8-44c6-47e7-a73c-eb4dbe60b46d"/>
    <ds:schemaRef ds:uri="5da120b3-7f5e-4c33-adc5-08730385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Carrim</dc:creator>
  <cp:keywords/>
  <dc:description/>
  <cp:lastModifiedBy>sathish sarshan  mohan</cp:lastModifiedBy>
  <cp:revision>3</cp:revision>
  <cp:lastPrinted>2024-03-25T10:53:00Z</cp:lastPrinted>
  <dcterms:created xsi:type="dcterms:W3CDTF">2024-03-26T12:58:00Z</dcterms:created>
  <dcterms:modified xsi:type="dcterms:W3CDTF">2024-03-27T06:15:00Z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