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1421" w14:textId="1F039A82" w:rsidR="006C43D7" w:rsidRPr="007811C6" w:rsidRDefault="00AD3D5D" w:rsidP="006F0330">
      <w:pPr>
        <w:spacing w:after="120" w:line="360" w:lineRule="auto"/>
        <w:jc w:val="center"/>
        <w:rPr>
          <w:rFonts w:cs="Arial"/>
          <w:b/>
          <w:bCs/>
          <w:szCs w:val="22"/>
        </w:rPr>
      </w:pPr>
      <w:r w:rsidRPr="007811C6">
        <w:rPr>
          <w:rFonts w:cs="Arial"/>
          <w:b/>
          <w:bCs/>
          <w:szCs w:val="22"/>
        </w:rPr>
        <w:t xml:space="preserve"> </w:t>
      </w:r>
      <w:r w:rsidR="006C43D7" w:rsidRPr="007811C6">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811C6" w:rsidRDefault="006C43D7" w:rsidP="00C74E97">
      <w:pPr>
        <w:spacing w:line="360" w:lineRule="auto"/>
        <w:jc w:val="center"/>
        <w:rPr>
          <w:rFonts w:cs="Arial"/>
          <w:b/>
          <w:szCs w:val="22"/>
        </w:rPr>
      </w:pPr>
      <w:r w:rsidRPr="007811C6">
        <w:rPr>
          <w:rFonts w:cs="Arial"/>
          <w:b/>
          <w:szCs w:val="22"/>
        </w:rPr>
        <w:t xml:space="preserve">IN THE HIGH COURT OF SOUTH AFRICA, </w:t>
      </w:r>
    </w:p>
    <w:p w14:paraId="566C4D1B" w14:textId="77777777" w:rsidR="006C43D7" w:rsidRPr="007811C6" w:rsidRDefault="006C43D7" w:rsidP="00C74E97">
      <w:pPr>
        <w:spacing w:line="360" w:lineRule="auto"/>
        <w:jc w:val="center"/>
        <w:rPr>
          <w:rFonts w:cs="Arial"/>
          <w:b/>
          <w:szCs w:val="22"/>
        </w:rPr>
      </w:pPr>
      <w:r w:rsidRPr="007811C6">
        <w:rPr>
          <w:rFonts w:cs="Arial"/>
          <w:b/>
          <w:szCs w:val="22"/>
        </w:rPr>
        <w:t>GAUTENG DIVISION, JOHANNESBURG</w:t>
      </w:r>
    </w:p>
    <w:p w14:paraId="13D6E83E" w14:textId="77777777" w:rsidR="006C43D7" w:rsidRPr="007811C6" w:rsidRDefault="006C43D7" w:rsidP="00C74E97">
      <w:pPr>
        <w:spacing w:line="360" w:lineRule="auto"/>
        <w:jc w:val="both"/>
        <w:rPr>
          <w:rFonts w:cs="Arial"/>
          <w:b/>
          <w:szCs w:val="22"/>
        </w:rPr>
      </w:pPr>
    </w:p>
    <w:p w14:paraId="0AF8DD38" w14:textId="28AE0955" w:rsidR="006C43D7" w:rsidRPr="007811C6" w:rsidRDefault="00F913C7" w:rsidP="00C74E97">
      <w:pPr>
        <w:spacing w:line="360" w:lineRule="auto"/>
        <w:jc w:val="right"/>
        <w:rPr>
          <w:rFonts w:cs="Arial"/>
          <w:b/>
          <w:szCs w:val="22"/>
        </w:rPr>
      </w:pPr>
      <w:r w:rsidRPr="007811C6">
        <w:rPr>
          <w:rFonts w:cs="Arial"/>
          <w:b/>
          <w:szCs w:val="22"/>
        </w:rPr>
        <w:t xml:space="preserve">CASE NO: </w:t>
      </w:r>
      <w:r w:rsidR="00A774BA">
        <w:rPr>
          <w:noProof/>
          <w:lang w:eastAsia="en-ZA"/>
        </w:rPr>
        <mc:AlternateContent>
          <mc:Choice Requires="wps">
            <w:drawing>
              <wp:anchor distT="0" distB="0" distL="114300" distR="114300" simplePos="0" relativeHeight="251659264" behindDoc="0" locked="0" layoutInCell="1" allowOverlap="1" wp14:anchorId="563837DC" wp14:editId="5A28E6DD">
                <wp:simplePos x="0" y="0"/>
                <wp:positionH relativeFrom="margin">
                  <wp:align>left</wp:align>
                </wp:positionH>
                <wp:positionV relativeFrom="paragraph">
                  <wp:posOffset>49530</wp:posOffset>
                </wp:positionV>
                <wp:extent cx="3314700" cy="1592580"/>
                <wp:effectExtent l="0" t="0" r="0" b="7620"/>
                <wp:wrapNone/>
                <wp:docPr id="9932783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3BC917C7" w:rsidR="00893C08" w:rsidRPr="008E2A22" w:rsidRDefault="00CD1301" w:rsidP="00CD1301">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075DFD3F" w:rsidR="00893C08" w:rsidRPr="008E2A22" w:rsidRDefault="00CD1301" w:rsidP="00CD1301">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37D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3BC917C7" w:rsidR="00893C08" w:rsidRPr="008E2A22" w:rsidRDefault="00CD1301" w:rsidP="00CD1301">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075DFD3F" w:rsidR="00893C08" w:rsidRPr="008E2A22" w:rsidRDefault="00CD1301" w:rsidP="00CD1301">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7811C6">
        <w:rPr>
          <w:rFonts w:cs="Arial"/>
          <w:b/>
          <w:szCs w:val="22"/>
        </w:rPr>
        <w:t>20</w:t>
      </w:r>
      <w:r w:rsidR="001F6466">
        <w:rPr>
          <w:rFonts w:cs="Arial"/>
          <w:b/>
          <w:szCs w:val="22"/>
        </w:rPr>
        <w:t>24</w:t>
      </w:r>
      <w:r w:rsidR="00515FD8" w:rsidRPr="007811C6">
        <w:rPr>
          <w:rFonts w:cs="Arial"/>
          <w:b/>
          <w:szCs w:val="22"/>
        </w:rPr>
        <w:t xml:space="preserve"> - </w:t>
      </w:r>
      <w:r w:rsidR="001F6466">
        <w:rPr>
          <w:rFonts w:cs="Arial"/>
          <w:b/>
          <w:szCs w:val="22"/>
        </w:rPr>
        <w:t>027585</w:t>
      </w:r>
    </w:p>
    <w:p w14:paraId="084B5ECD" w14:textId="77777777" w:rsidR="006C43D7" w:rsidRPr="007811C6" w:rsidRDefault="006C43D7" w:rsidP="00C74E97">
      <w:pPr>
        <w:spacing w:line="360" w:lineRule="auto"/>
        <w:jc w:val="both"/>
        <w:rPr>
          <w:rFonts w:cs="Arial"/>
          <w:szCs w:val="22"/>
        </w:rPr>
      </w:pPr>
    </w:p>
    <w:p w14:paraId="4E808D74" w14:textId="77777777" w:rsidR="006C43D7" w:rsidRPr="007811C6" w:rsidRDefault="006C43D7" w:rsidP="00C74E97">
      <w:pPr>
        <w:spacing w:line="360" w:lineRule="auto"/>
        <w:jc w:val="both"/>
        <w:rPr>
          <w:rFonts w:cs="Arial"/>
          <w:szCs w:val="22"/>
        </w:rPr>
      </w:pPr>
    </w:p>
    <w:p w14:paraId="34BF70B6" w14:textId="77777777" w:rsidR="006C43D7" w:rsidRPr="007811C6" w:rsidRDefault="006C43D7" w:rsidP="00C74E97">
      <w:pPr>
        <w:spacing w:line="360" w:lineRule="auto"/>
        <w:jc w:val="both"/>
        <w:rPr>
          <w:rFonts w:cs="Arial"/>
          <w:szCs w:val="22"/>
        </w:rPr>
      </w:pPr>
    </w:p>
    <w:p w14:paraId="2F53BA3A" w14:textId="7CE26CA8" w:rsidR="006C43D7" w:rsidRPr="007811C6" w:rsidRDefault="00C56E55" w:rsidP="00C74E97">
      <w:pPr>
        <w:spacing w:line="360" w:lineRule="auto"/>
        <w:jc w:val="both"/>
        <w:rPr>
          <w:rFonts w:cs="Arial"/>
          <w:szCs w:val="22"/>
        </w:rPr>
      </w:pPr>
      <w:r w:rsidRPr="007811C6">
        <w:rPr>
          <w:rFonts w:cs="Arial"/>
          <w:szCs w:val="22"/>
        </w:rPr>
        <w:t xml:space="preserve">                        </w:t>
      </w:r>
    </w:p>
    <w:p w14:paraId="3A1C212E" w14:textId="77777777" w:rsidR="006C43D7" w:rsidRPr="007811C6" w:rsidRDefault="006C43D7" w:rsidP="00C74E97">
      <w:pPr>
        <w:spacing w:line="360" w:lineRule="auto"/>
        <w:jc w:val="both"/>
        <w:rPr>
          <w:rFonts w:cs="Arial"/>
          <w:szCs w:val="22"/>
        </w:rPr>
      </w:pPr>
    </w:p>
    <w:p w14:paraId="04919B1B" w14:textId="77777777" w:rsidR="001D3CC2" w:rsidRPr="007811C6" w:rsidRDefault="001D3CC2" w:rsidP="00C74E97">
      <w:pPr>
        <w:spacing w:line="360" w:lineRule="auto"/>
        <w:jc w:val="both"/>
        <w:rPr>
          <w:rFonts w:cs="Arial"/>
          <w:szCs w:val="22"/>
        </w:rPr>
      </w:pPr>
    </w:p>
    <w:p w14:paraId="045D3852" w14:textId="77777777" w:rsidR="00E57446" w:rsidRPr="007811C6" w:rsidRDefault="00E57446" w:rsidP="00C74E97">
      <w:pPr>
        <w:spacing w:line="360" w:lineRule="auto"/>
        <w:jc w:val="both"/>
        <w:rPr>
          <w:rFonts w:cs="Arial"/>
          <w:szCs w:val="22"/>
        </w:rPr>
      </w:pPr>
    </w:p>
    <w:p w14:paraId="2804C32A" w14:textId="6C8D50AF" w:rsidR="00E57446" w:rsidRPr="007811C6" w:rsidRDefault="00E57446" w:rsidP="00C74E97">
      <w:pPr>
        <w:spacing w:line="360" w:lineRule="auto"/>
        <w:jc w:val="both"/>
        <w:rPr>
          <w:rFonts w:cs="Arial"/>
          <w:szCs w:val="22"/>
        </w:rPr>
      </w:pPr>
      <w:r w:rsidRPr="007811C6">
        <w:rPr>
          <w:rFonts w:cs="Arial"/>
          <w:szCs w:val="22"/>
        </w:rPr>
        <w:t>In the application by</w:t>
      </w:r>
    </w:p>
    <w:p w14:paraId="4521E045" w14:textId="77777777" w:rsidR="00D33A54" w:rsidRPr="007811C6"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6D2C78" w:rsidRPr="007811C6" w14:paraId="45DDD515" w14:textId="77777777" w:rsidTr="00430142">
        <w:tc>
          <w:tcPr>
            <w:tcW w:w="6223" w:type="dxa"/>
          </w:tcPr>
          <w:p w14:paraId="1D80B320" w14:textId="05C61678" w:rsidR="006D2C78" w:rsidRPr="007811C6" w:rsidRDefault="001F6466" w:rsidP="004D692E">
            <w:pPr>
              <w:tabs>
                <w:tab w:val="right" w:pos="9070"/>
              </w:tabs>
              <w:spacing w:before="120" w:after="120"/>
              <w:rPr>
                <w:rFonts w:cs="Arial"/>
                <w:b/>
                <w:szCs w:val="22"/>
              </w:rPr>
            </w:pPr>
            <w:r>
              <w:rPr>
                <w:rFonts w:cs="Arial"/>
                <w:b/>
                <w:szCs w:val="22"/>
              </w:rPr>
              <w:t>YAKO, GUGULETHU</w:t>
            </w:r>
          </w:p>
        </w:tc>
        <w:tc>
          <w:tcPr>
            <w:tcW w:w="2318" w:type="dxa"/>
          </w:tcPr>
          <w:p w14:paraId="6D648F64" w14:textId="4E6D899E" w:rsidR="006D2C78" w:rsidRPr="007811C6" w:rsidRDefault="00D628B8" w:rsidP="004D692E">
            <w:pPr>
              <w:spacing w:before="120" w:after="120"/>
              <w:rPr>
                <w:rFonts w:cs="Arial"/>
                <w:szCs w:val="22"/>
              </w:rPr>
            </w:pPr>
            <w:r>
              <w:rPr>
                <w:rFonts w:cs="Arial"/>
                <w:szCs w:val="22"/>
              </w:rPr>
              <w:t>Applicant</w:t>
            </w:r>
          </w:p>
        </w:tc>
      </w:tr>
      <w:tr w:rsidR="006D2C78" w:rsidRPr="007811C6" w14:paraId="24559D6E" w14:textId="77777777" w:rsidTr="00430142">
        <w:tc>
          <w:tcPr>
            <w:tcW w:w="6223" w:type="dxa"/>
          </w:tcPr>
          <w:p w14:paraId="72B12A05" w14:textId="08ED186A" w:rsidR="006D2C78" w:rsidRPr="007811C6" w:rsidRDefault="007E6643" w:rsidP="004D692E">
            <w:pPr>
              <w:tabs>
                <w:tab w:val="right" w:pos="9070"/>
              </w:tabs>
              <w:spacing w:before="120" w:after="120"/>
              <w:rPr>
                <w:rFonts w:cs="Arial"/>
                <w:b/>
                <w:szCs w:val="22"/>
              </w:rPr>
            </w:pPr>
            <w:r w:rsidRPr="007811C6">
              <w:rPr>
                <w:rFonts w:cs="Arial"/>
                <w:b/>
                <w:szCs w:val="22"/>
              </w:rPr>
              <w:t>A</w:t>
            </w:r>
            <w:r w:rsidR="00DD074A" w:rsidRPr="007811C6">
              <w:rPr>
                <w:rFonts w:cs="Arial"/>
                <w:b/>
                <w:szCs w:val="22"/>
              </w:rPr>
              <w:t>nd</w:t>
            </w:r>
          </w:p>
        </w:tc>
        <w:tc>
          <w:tcPr>
            <w:tcW w:w="2318" w:type="dxa"/>
          </w:tcPr>
          <w:p w14:paraId="11A5E52D" w14:textId="77777777" w:rsidR="006D2C78" w:rsidRPr="007811C6" w:rsidRDefault="006D2C78" w:rsidP="004D692E">
            <w:pPr>
              <w:spacing w:before="120" w:after="120"/>
              <w:rPr>
                <w:rFonts w:cs="Arial"/>
                <w:szCs w:val="22"/>
              </w:rPr>
            </w:pPr>
          </w:p>
        </w:tc>
      </w:tr>
      <w:tr w:rsidR="006D2C78" w:rsidRPr="007811C6" w14:paraId="30F9C0CD" w14:textId="77777777" w:rsidTr="00430142">
        <w:tc>
          <w:tcPr>
            <w:tcW w:w="6223" w:type="dxa"/>
          </w:tcPr>
          <w:p w14:paraId="3CDB657A" w14:textId="02DB8B75" w:rsidR="006D2C78" w:rsidRPr="007811C6" w:rsidRDefault="001F6466" w:rsidP="004D692E">
            <w:pPr>
              <w:tabs>
                <w:tab w:val="right" w:pos="9070"/>
              </w:tabs>
              <w:spacing w:before="120" w:after="120"/>
              <w:rPr>
                <w:rFonts w:cs="Arial"/>
                <w:b/>
                <w:szCs w:val="22"/>
              </w:rPr>
            </w:pPr>
            <w:r>
              <w:rPr>
                <w:rFonts w:cs="Arial"/>
                <w:b/>
                <w:szCs w:val="22"/>
              </w:rPr>
              <w:t>NATIONAL LOTTERIES COMMISSION (NLC)</w:t>
            </w:r>
          </w:p>
        </w:tc>
        <w:tc>
          <w:tcPr>
            <w:tcW w:w="2318" w:type="dxa"/>
          </w:tcPr>
          <w:p w14:paraId="47D0D149" w14:textId="4CC3CD5A" w:rsidR="001F6466" w:rsidRPr="007811C6" w:rsidRDefault="001F6466" w:rsidP="001F6466">
            <w:pPr>
              <w:spacing w:before="120" w:after="120"/>
              <w:rPr>
                <w:rFonts w:cs="Arial"/>
                <w:szCs w:val="22"/>
              </w:rPr>
            </w:pPr>
            <w:r>
              <w:rPr>
                <w:rFonts w:cs="Arial"/>
                <w:szCs w:val="22"/>
              </w:rPr>
              <w:t xml:space="preserve">First </w:t>
            </w:r>
            <w:r w:rsidR="006D2C78" w:rsidRPr="007811C6">
              <w:rPr>
                <w:rFonts w:cs="Arial"/>
                <w:szCs w:val="22"/>
              </w:rPr>
              <w:t>Respondent</w:t>
            </w:r>
          </w:p>
        </w:tc>
      </w:tr>
      <w:tr w:rsidR="001F6466" w:rsidRPr="007811C6" w14:paraId="4271074D" w14:textId="77777777" w:rsidTr="00430142">
        <w:tc>
          <w:tcPr>
            <w:tcW w:w="6223" w:type="dxa"/>
          </w:tcPr>
          <w:p w14:paraId="3B8087A0" w14:textId="410CA4CE" w:rsidR="001F6466" w:rsidRDefault="001F6466" w:rsidP="004D692E">
            <w:pPr>
              <w:tabs>
                <w:tab w:val="right" w:pos="9070"/>
              </w:tabs>
              <w:spacing w:before="120" w:after="120"/>
              <w:rPr>
                <w:rFonts w:cs="Arial"/>
                <w:b/>
                <w:szCs w:val="22"/>
              </w:rPr>
            </w:pPr>
            <w:r>
              <w:rPr>
                <w:rFonts w:cs="Arial"/>
                <w:b/>
                <w:szCs w:val="22"/>
              </w:rPr>
              <w:t>THE BOARD OF THE NATIONAL LOTTERIES COMMISSION</w:t>
            </w:r>
          </w:p>
        </w:tc>
        <w:tc>
          <w:tcPr>
            <w:tcW w:w="2318" w:type="dxa"/>
          </w:tcPr>
          <w:p w14:paraId="4CDFD812" w14:textId="41B91D82" w:rsidR="001F6466" w:rsidRPr="007811C6" w:rsidRDefault="001F6466" w:rsidP="001F6466">
            <w:pPr>
              <w:spacing w:before="120" w:after="120"/>
              <w:rPr>
                <w:rFonts w:cs="Arial"/>
                <w:szCs w:val="22"/>
              </w:rPr>
            </w:pPr>
            <w:r>
              <w:rPr>
                <w:rFonts w:cs="Arial"/>
                <w:szCs w:val="22"/>
              </w:rPr>
              <w:t>Second Respondent</w:t>
            </w:r>
          </w:p>
        </w:tc>
      </w:tr>
      <w:tr w:rsidR="001F6466" w:rsidRPr="007811C6" w14:paraId="1B4D3AA4" w14:textId="77777777" w:rsidTr="00430142">
        <w:tc>
          <w:tcPr>
            <w:tcW w:w="6223" w:type="dxa"/>
          </w:tcPr>
          <w:p w14:paraId="795BD216" w14:textId="5E9D4E50" w:rsidR="001F6466" w:rsidRDefault="001F6466" w:rsidP="004D692E">
            <w:pPr>
              <w:tabs>
                <w:tab w:val="right" w:pos="9070"/>
              </w:tabs>
              <w:spacing w:before="120" w:after="120"/>
              <w:rPr>
                <w:rFonts w:cs="Arial"/>
                <w:b/>
                <w:szCs w:val="22"/>
              </w:rPr>
            </w:pPr>
            <w:r>
              <w:rPr>
                <w:rFonts w:cs="Arial"/>
                <w:b/>
                <w:szCs w:val="22"/>
              </w:rPr>
              <w:t>SCHOLTZ, JODY-LYNN</w:t>
            </w:r>
          </w:p>
        </w:tc>
        <w:tc>
          <w:tcPr>
            <w:tcW w:w="2318" w:type="dxa"/>
          </w:tcPr>
          <w:p w14:paraId="52978EC7" w14:textId="7263E2A1" w:rsidR="001F6466" w:rsidRPr="007811C6" w:rsidRDefault="001F6466" w:rsidP="001F6466">
            <w:pPr>
              <w:spacing w:before="120" w:after="120"/>
              <w:rPr>
                <w:rFonts w:cs="Arial"/>
                <w:szCs w:val="22"/>
              </w:rPr>
            </w:pPr>
            <w:r>
              <w:rPr>
                <w:rFonts w:cs="Arial"/>
                <w:szCs w:val="22"/>
              </w:rPr>
              <w:t>Third Respondent</w:t>
            </w:r>
          </w:p>
        </w:tc>
      </w:tr>
      <w:tr w:rsidR="001F6466" w:rsidRPr="007811C6" w14:paraId="41695E31" w14:textId="77777777" w:rsidTr="00430142">
        <w:tc>
          <w:tcPr>
            <w:tcW w:w="6223" w:type="dxa"/>
          </w:tcPr>
          <w:p w14:paraId="38BFF77F" w14:textId="3723A60C" w:rsidR="001F6466" w:rsidRDefault="001F6466" w:rsidP="004D692E">
            <w:pPr>
              <w:tabs>
                <w:tab w:val="right" w:pos="9070"/>
              </w:tabs>
              <w:spacing w:before="120" w:after="120"/>
              <w:rPr>
                <w:rFonts w:cs="Arial"/>
                <w:b/>
                <w:szCs w:val="22"/>
              </w:rPr>
            </w:pPr>
            <w:r>
              <w:rPr>
                <w:rFonts w:cs="Arial"/>
                <w:b/>
                <w:szCs w:val="22"/>
              </w:rPr>
              <w:t xml:space="preserve">MKHATSHWA, ADV MANDLA, </w:t>
            </w:r>
            <w:r w:rsidRPr="00DD074A">
              <w:rPr>
                <w:rFonts w:cs="Arial"/>
                <w:b/>
                <w:i/>
                <w:iCs/>
                <w:szCs w:val="22"/>
              </w:rPr>
              <w:t>NO</w:t>
            </w:r>
            <w:r>
              <w:rPr>
                <w:rFonts w:cs="Arial"/>
                <w:b/>
                <w:szCs w:val="22"/>
              </w:rPr>
              <w:t xml:space="preserve"> (in his capacity as the Chairperson of the Disciplinary Hearing)</w:t>
            </w:r>
          </w:p>
        </w:tc>
        <w:tc>
          <w:tcPr>
            <w:tcW w:w="2318" w:type="dxa"/>
          </w:tcPr>
          <w:p w14:paraId="3786975B" w14:textId="3E22BC87" w:rsidR="001F6466" w:rsidRPr="007811C6" w:rsidRDefault="001F6466" w:rsidP="001F6466">
            <w:pPr>
              <w:spacing w:before="120" w:after="120"/>
              <w:rPr>
                <w:rFonts w:cs="Arial"/>
                <w:szCs w:val="22"/>
              </w:rPr>
            </w:pPr>
            <w:r>
              <w:rPr>
                <w:rFonts w:cs="Arial"/>
                <w:szCs w:val="22"/>
              </w:rPr>
              <w:t>Fourth Respondent</w:t>
            </w:r>
          </w:p>
        </w:tc>
      </w:tr>
    </w:tbl>
    <w:p w14:paraId="67781CE9" w14:textId="77777777" w:rsidR="0023405C" w:rsidRPr="007811C6" w:rsidRDefault="0023405C" w:rsidP="00C74E97">
      <w:pPr>
        <w:pBdr>
          <w:bottom w:val="single" w:sz="4" w:space="1" w:color="auto"/>
        </w:pBdr>
        <w:spacing w:line="360" w:lineRule="auto"/>
        <w:jc w:val="both"/>
        <w:rPr>
          <w:rFonts w:cs="Arial"/>
          <w:szCs w:val="22"/>
        </w:rPr>
      </w:pPr>
    </w:p>
    <w:p w14:paraId="58DE5549" w14:textId="77777777" w:rsidR="006C43D7" w:rsidRPr="007811C6" w:rsidRDefault="006C43D7" w:rsidP="00C74E97">
      <w:pPr>
        <w:spacing w:line="360" w:lineRule="auto"/>
        <w:jc w:val="both"/>
        <w:rPr>
          <w:rFonts w:cs="Arial"/>
          <w:szCs w:val="22"/>
        </w:rPr>
      </w:pPr>
    </w:p>
    <w:p w14:paraId="647AB70C" w14:textId="77777777" w:rsidR="006C43D7" w:rsidRPr="007811C6" w:rsidRDefault="006C43D7" w:rsidP="00C74E97">
      <w:pPr>
        <w:keepNext/>
        <w:spacing w:line="360" w:lineRule="auto"/>
        <w:jc w:val="center"/>
        <w:outlineLvl w:val="1"/>
        <w:rPr>
          <w:rFonts w:cs="Arial"/>
          <w:b/>
          <w:bCs/>
          <w:szCs w:val="22"/>
        </w:rPr>
      </w:pPr>
      <w:r w:rsidRPr="007811C6">
        <w:rPr>
          <w:rFonts w:cs="Arial"/>
          <w:b/>
          <w:bCs/>
          <w:szCs w:val="22"/>
        </w:rPr>
        <w:t>JUDGMENT</w:t>
      </w:r>
    </w:p>
    <w:p w14:paraId="52CD25EB" w14:textId="77777777" w:rsidR="006C43D7" w:rsidRPr="007811C6" w:rsidRDefault="006C43D7" w:rsidP="00C74E97">
      <w:pPr>
        <w:pBdr>
          <w:bottom w:val="single" w:sz="4" w:space="1" w:color="auto"/>
        </w:pBdr>
        <w:spacing w:line="360" w:lineRule="auto"/>
        <w:jc w:val="both"/>
        <w:rPr>
          <w:rFonts w:cs="Arial"/>
          <w:szCs w:val="22"/>
        </w:rPr>
      </w:pPr>
    </w:p>
    <w:p w14:paraId="5BD82EFE" w14:textId="5B2A4E7D" w:rsidR="00BE6AB8" w:rsidRPr="007811C6" w:rsidRDefault="006D134C" w:rsidP="00C74E97">
      <w:pPr>
        <w:spacing w:after="480" w:line="360" w:lineRule="auto"/>
        <w:jc w:val="both"/>
        <w:rPr>
          <w:rFonts w:cs="Arial"/>
          <w:b/>
          <w:szCs w:val="22"/>
        </w:rPr>
      </w:pPr>
      <w:r>
        <w:rPr>
          <w:rFonts w:cs="Arial"/>
          <w:b/>
          <w:szCs w:val="22"/>
        </w:rPr>
        <w:t>MOORCROFT</w:t>
      </w:r>
      <w:r w:rsidR="006C43D7" w:rsidRPr="007811C6">
        <w:rPr>
          <w:rFonts w:cs="Arial"/>
          <w:b/>
          <w:szCs w:val="22"/>
        </w:rPr>
        <w:t xml:space="preserve"> AJ:</w:t>
      </w:r>
    </w:p>
    <w:p w14:paraId="5B9302F1" w14:textId="4DE0F352" w:rsidR="001F361F" w:rsidRDefault="00C460A0" w:rsidP="00C74E97">
      <w:pPr>
        <w:keepNext/>
        <w:spacing w:after="480" w:line="360" w:lineRule="auto"/>
        <w:jc w:val="both"/>
        <w:rPr>
          <w:rFonts w:cs="Arial"/>
          <w:bCs/>
          <w:i/>
          <w:iCs/>
          <w:szCs w:val="22"/>
          <w:u w:val="single"/>
        </w:rPr>
      </w:pPr>
      <w:r w:rsidRPr="007811C6">
        <w:rPr>
          <w:rFonts w:cs="Arial"/>
          <w:bCs/>
          <w:i/>
          <w:iCs/>
          <w:szCs w:val="22"/>
          <w:u w:val="single"/>
        </w:rPr>
        <w:lastRenderedPageBreak/>
        <w:t>Summar</w:t>
      </w:r>
      <w:r w:rsidR="00026A26" w:rsidRPr="007811C6">
        <w:rPr>
          <w:rFonts w:cs="Arial"/>
          <w:bCs/>
          <w:i/>
          <w:iCs/>
          <w:szCs w:val="22"/>
          <w:u w:val="single"/>
        </w:rPr>
        <w:t>y</w:t>
      </w:r>
    </w:p>
    <w:p w14:paraId="2A91445C" w14:textId="2DAD4836" w:rsidR="006D134C" w:rsidRDefault="00307200" w:rsidP="00C74E97">
      <w:pPr>
        <w:keepNext/>
        <w:spacing w:after="480" w:line="360" w:lineRule="auto"/>
        <w:jc w:val="both"/>
        <w:rPr>
          <w:rFonts w:cs="Arial"/>
          <w:bCs/>
          <w:i/>
          <w:iCs/>
          <w:szCs w:val="22"/>
        </w:rPr>
      </w:pPr>
      <w:r>
        <w:rPr>
          <w:rFonts w:cs="Arial"/>
          <w:bCs/>
          <w:i/>
          <w:iCs/>
          <w:szCs w:val="22"/>
        </w:rPr>
        <w:t xml:space="preserve">Final and </w:t>
      </w:r>
      <w:r w:rsidR="006D134C" w:rsidRPr="006D134C">
        <w:rPr>
          <w:rFonts w:cs="Arial"/>
          <w:bCs/>
          <w:i/>
          <w:iCs/>
          <w:szCs w:val="22"/>
        </w:rPr>
        <w:t>Interim interdict</w:t>
      </w:r>
      <w:r w:rsidR="006D134C">
        <w:rPr>
          <w:rFonts w:cs="Arial"/>
          <w:bCs/>
          <w:i/>
          <w:iCs/>
          <w:szCs w:val="22"/>
        </w:rPr>
        <w:t xml:space="preserve"> – requirement</w:t>
      </w:r>
      <w:r>
        <w:rPr>
          <w:rFonts w:cs="Arial"/>
          <w:bCs/>
          <w:i/>
          <w:iCs/>
          <w:szCs w:val="22"/>
        </w:rPr>
        <w:t>s</w:t>
      </w:r>
    </w:p>
    <w:p w14:paraId="0DCFD08C" w14:textId="5AC4F969" w:rsidR="00307200" w:rsidRPr="00A248B0" w:rsidRDefault="00A248B0" w:rsidP="00C74E97">
      <w:pPr>
        <w:keepNext/>
        <w:spacing w:after="480" w:line="360" w:lineRule="auto"/>
        <w:jc w:val="both"/>
        <w:rPr>
          <w:rFonts w:cs="Arial"/>
          <w:bCs/>
          <w:i/>
          <w:iCs/>
          <w:szCs w:val="22"/>
        </w:rPr>
      </w:pPr>
      <w:r>
        <w:rPr>
          <w:rFonts w:cs="Arial"/>
          <w:bCs/>
          <w:i/>
          <w:iCs/>
          <w:szCs w:val="22"/>
        </w:rPr>
        <w:t xml:space="preserve"> A </w:t>
      </w:r>
      <w:r w:rsidRPr="00A248B0">
        <w:rPr>
          <w:rFonts w:cs="Arial"/>
          <w:bCs/>
          <w:i/>
          <w:iCs/>
          <w:szCs w:val="22"/>
        </w:rPr>
        <w:t>court will intervene in incomplete disciplinary proceedings only in exceptional circumstances</w:t>
      </w:r>
      <w:r>
        <w:rPr>
          <w:rFonts w:cs="Arial"/>
          <w:bCs/>
          <w:i/>
          <w:iCs/>
          <w:szCs w:val="22"/>
        </w:rPr>
        <w:t xml:space="preserve"> – these circumstances must appear from the evidence</w:t>
      </w:r>
    </w:p>
    <w:p w14:paraId="18AFD427" w14:textId="7B3D0B7D" w:rsidR="00BE6AB8" w:rsidRPr="007811C6" w:rsidRDefault="00BE6AB8" w:rsidP="00C74E97">
      <w:pPr>
        <w:keepNext/>
        <w:spacing w:after="480" w:line="360" w:lineRule="auto"/>
        <w:jc w:val="both"/>
        <w:rPr>
          <w:rFonts w:cs="Arial"/>
          <w:bCs/>
          <w:szCs w:val="22"/>
          <w:u w:val="single"/>
        </w:rPr>
      </w:pPr>
      <w:r w:rsidRPr="007811C6">
        <w:rPr>
          <w:rFonts w:cs="Arial"/>
          <w:bCs/>
          <w:szCs w:val="22"/>
          <w:u w:val="single"/>
        </w:rPr>
        <w:t>Order</w:t>
      </w:r>
    </w:p>
    <w:p w14:paraId="63515C87" w14:textId="485F3416" w:rsidR="004E3D0E" w:rsidRPr="007811C6" w:rsidRDefault="00CD1301" w:rsidP="00CD1301">
      <w:pPr>
        <w:tabs>
          <w:tab w:val="left" w:pos="567"/>
        </w:tabs>
        <w:spacing w:before="240" w:after="240" w:line="360" w:lineRule="auto"/>
        <w:jc w:val="both"/>
        <w:rPr>
          <w:rFonts w:cs="Arial"/>
          <w:i/>
          <w:iCs/>
          <w:szCs w:val="22"/>
        </w:rPr>
      </w:pPr>
      <w:r w:rsidRPr="007811C6">
        <w:rPr>
          <w:rFonts w:cs="Arial"/>
          <w:iCs/>
          <w:szCs w:val="22"/>
        </w:rPr>
        <w:t>[1]</w:t>
      </w:r>
      <w:r w:rsidRPr="007811C6">
        <w:rPr>
          <w:rFonts w:cs="Arial"/>
          <w:iCs/>
          <w:szCs w:val="22"/>
        </w:rPr>
        <w:tab/>
      </w:r>
      <w:r w:rsidR="003B4100" w:rsidRPr="007811C6">
        <w:rPr>
          <w:rFonts w:cs="Arial"/>
          <w:bCs/>
          <w:szCs w:val="22"/>
        </w:rPr>
        <w:t xml:space="preserve">In this </w:t>
      </w:r>
      <w:r w:rsidR="00B56906" w:rsidRPr="007811C6">
        <w:rPr>
          <w:rFonts w:cs="Arial"/>
          <w:bCs/>
          <w:szCs w:val="22"/>
        </w:rPr>
        <w:t xml:space="preserve">matter </w:t>
      </w:r>
      <w:r w:rsidR="00C460A0" w:rsidRPr="007811C6">
        <w:rPr>
          <w:rFonts w:cs="Arial"/>
          <w:bCs/>
          <w:szCs w:val="22"/>
        </w:rPr>
        <w:t>I ma</w:t>
      </w:r>
      <w:r w:rsidR="000976D2" w:rsidRPr="007811C6">
        <w:rPr>
          <w:rFonts w:cs="Arial"/>
          <w:bCs/>
          <w:szCs w:val="22"/>
        </w:rPr>
        <w:t>k</w:t>
      </w:r>
      <w:r w:rsidR="00DC6EF8" w:rsidRPr="007811C6">
        <w:rPr>
          <w:rFonts w:cs="Arial"/>
          <w:bCs/>
          <w:szCs w:val="22"/>
        </w:rPr>
        <w:t>e</w:t>
      </w:r>
      <w:r w:rsidR="00C460A0" w:rsidRPr="007811C6">
        <w:rPr>
          <w:rFonts w:cs="Arial"/>
          <w:bCs/>
          <w:szCs w:val="22"/>
        </w:rPr>
        <w:t xml:space="preserve"> the following order</w:t>
      </w:r>
      <w:r w:rsidR="000976D2" w:rsidRPr="007811C6">
        <w:rPr>
          <w:rFonts w:cs="Arial"/>
          <w:bCs/>
          <w:szCs w:val="22"/>
        </w:rPr>
        <w:t>:</w:t>
      </w:r>
    </w:p>
    <w:p w14:paraId="69EE07E1" w14:textId="1B6D3A38" w:rsidR="00D628B8" w:rsidRPr="00CD1301" w:rsidRDefault="00CD1301" w:rsidP="00CD1301">
      <w:pPr>
        <w:spacing w:before="240" w:after="240" w:line="360" w:lineRule="auto"/>
        <w:ind w:left="720" w:hanging="360"/>
        <w:jc w:val="both"/>
        <w:rPr>
          <w:rFonts w:cs="Arial"/>
          <w:i/>
          <w:iCs/>
          <w:szCs w:val="22"/>
        </w:rPr>
      </w:pPr>
      <w:r>
        <w:rPr>
          <w:rFonts w:cs="Arial"/>
          <w:i/>
          <w:iCs/>
          <w:szCs w:val="22"/>
        </w:rPr>
        <w:t>1.</w:t>
      </w:r>
      <w:r>
        <w:rPr>
          <w:rFonts w:cs="Arial"/>
          <w:i/>
          <w:iCs/>
          <w:szCs w:val="22"/>
        </w:rPr>
        <w:tab/>
      </w:r>
      <w:r w:rsidR="00E35391" w:rsidRPr="00CD1301">
        <w:rPr>
          <w:rFonts w:cs="Arial"/>
          <w:i/>
          <w:iCs/>
          <w:szCs w:val="22"/>
        </w:rPr>
        <w:t>The application is dismissed;</w:t>
      </w:r>
    </w:p>
    <w:p w14:paraId="0CB4755F" w14:textId="454849DC" w:rsidR="00D628B8" w:rsidRPr="00CD1301" w:rsidRDefault="00CD1301" w:rsidP="00CD1301">
      <w:pPr>
        <w:spacing w:before="240" w:after="240" w:line="360" w:lineRule="auto"/>
        <w:ind w:left="720" w:hanging="360"/>
        <w:jc w:val="both"/>
        <w:rPr>
          <w:rFonts w:cs="Arial"/>
          <w:i/>
          <w:iCs/>
          <w:szCs w:val="22"/>
        </w:rPr>
      </w:pPr>
      <w:r>
        <w:rPr>
          <w:rFonts w:cs="Arial"/>
          <w:i/>
          <w:iCs/>
          <w:szCs w:val="22"/>
        </w:rPr>
        <w:t>2.</w:t>
      </w:r>
      <w:r>
        <w:rPr>
          <w:rFonts w:cs="Arial"/>
          <w:i/>
          <w:iCs/>
          <w:szCs w:val="22"/>
        </w:rPr>
        <w:tab/>
      </w:r>
      <w:r w:rsidR="00E35391" w:rsidRPr="00CD1301">
        <w:rPr>
          <w:rFonts w:cs="Arial"/>
          <w:i/>
          <w:iCs/>
          <w:szCs w:val="22"/>
        </w:rPr>
        <w:t>The applicant is ordered to pay the costs of the application, including the costs of two counsel, on the scale as between attorney and own client</w:t>
      </w:r>
      <w:r w:rsidR="00293463" w:rsidRPr="00CD1301">
        <w:rPr>
          <w:rFonts w:cs="Arial"/>
          <w:i/>
          <w:iCs/>
          <w:szCs w:val="22"/>
        </w:rPr>
        <w:t>.</w:t>
      </w:r>
    </w:p>
    <w:p w14:paraId="115774C9" w14:textId="77777777" w:rsidR="0040197A" w:rsidRPr="007811C6" w:rsidRDefault="0040197A" w:rsidP="00307200">
      <w:pPr>
        <w:widowControl w:val="0"/>
        <w:spacing w:before="240" w:after="240" w:line="360" w:lineRule="auto"/>
        <w:jc w:val="both"/>
        <w:rPr>
          <w:rFonts w:cs="Arial"/>
          <w:bCs/>
          <w:szCs w:val="22"/>
          <w:u w:val="single"/>
        </w:rPr>
      </w:pPr>
    </w:p>
    <w:p w14:paraId="653F3FAB" w14:textId="64000325" w:rsidR="008707F5" w:rsidRPr="00CD1301" w:rsidRDefault="00CD1301" w:rsidP="00CD1301">
      <w:pPr>
        <w:widowControl w:val="0"/>
        <w:tabs>
          <w:tab w:val="left" w:pos="567"/>
        </w:tabs>
        <w:spacing w:before="240" w:after="240" w:line="360" w:lineRule="auto"/>
        <w:jc w:val="both"/>
        <w:rPr>
          <w:rFonts w:cs="Arial"/>
          <w:bCs/>
          <w:szCs w:val="22"/>
          <w:u w:val="single"/>
        </w:rPr>
      </w:pPr>
      <w:r w:rsidRPr="008707F5">
        <w:rPr>
          <w:rFonts w:cs="Arial"/>
          <w:bCs/>
          <w:szCs w:val="22"/>
        </w:rPr>
        <w:t>[2]</w:t>
      </w:r>
      <w:r w:rsidRPr="008707F5">
        <w:rPr>
          <w:rFonts w:cs="Arial"/>
          <w:bCs/>
          <w:szCs w:val="22"/>
        </w:rPr>
        <w:tab/>
      </w:r>
      <w:r w:rsidR="004A5AF5" w:rsidRPr="00CD1301">
        <w:rPr>
          <w:rFonts w:cs="Arial"/>
          <w:bCs/>
          <w:szCs w:val="22"/>
        </w:rPr>
        <w:t xml:space="preserve">The </w:t>
      </w:r>
      <w:r w:rsidR="00573FF9" w:rsidRPr="00CD1301">
        <w:rPr>
          <w:rFonts w:cs="Arial"/>
          <w:bCs/>
          <w:szCs w:val="22"/>
        </w:rPr>
        <w:t xml:space="preserve">reasons for the order </w:t>
      </w:r>
      <w:r w:rsidR="00A63709" w:rsidRPr="00CD1301">
        <w:rPr>
          <w:rFonts w:cs="Arial"/>
          <w:bCs/>
          <w:szCs w:val="22"/>
        </w:rPr>
        <w:t>follow</w:t>
      </w:r>
      <w:r w:rsidR="00573FF9" w:rsidRPr="00CD1301">
        <w:rPr>
          <w:rFonts w:cs="Arial"/>
          <w:bCs/>
          <w:szCs w:val="22"/>
        </w:rPr>
        <w:t xml:space="preserve"> below.</w:t>
      </w:r>
    </w:p>
    <w:p w14:paraId="6D22C0DB" w14:textId="77777777" w:rsidR="00044778" w:rsidRDefault="00044778" w:rsidP="00307200">
      <w:pPr>
        <w:keepNext/>
        <w:widowControl w:val="0"/>
        <w:spacing w:before="240" w:after="240" w:line="360" w:lineRule="auto"/>
        <w:jc w:val="both"/>
        <w:rPr>
          <w:rFonts w:cs="Arial"/>
          <w:bCs/>
          <w:szCs w:val="22"/>
          <w:u w:val="single"/>
        </w:rPr>
      </w:pPr>
    </w:p>
    <w:p w14:paraId="43E08786" w14:textId="27651D53" w:rsidR="008707F5" w:rsidRPr="008707F5" w:rsidRDefault="008707F5" w:rsidP="00307200">
      <w:pPr>
        <w:keepNext/>
        <w:widowControl w:val="0"/>
        <w:spacing w:before="240" w:after="240" w:line="360" w:lineRule="auto"/>
        <w:jc w:val="both"/>
        <w:rPr>
          <w:rFonts w:cs="Arial"/>
          <w:bCs/>
          <w:szCs w:val="22"/>
          <w:u w:val="single"/>
        </w:rPr>
      </w:pPr>
      <w:r w:rsidRPr="008707F5">
        <w:rPr>
          <w:rFonts w:cs="Arial"/>
          <w:bCs/>
          <w:szCs w:val="22"/>
          <w:u w:val="single"/>
        </w:rPr>
        <w:t>Introduction</w:t>
      </w:r>
    </w:p>
    <w:p w14:paraId="3E3D3901" w14:textId="523ED589" w:rsidR="001F53E8"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[3]</w:t>
      </w:r>
      <w:r>
        <w:rPr>
          <w:rFonts w:cs="Arial"/>
          <w:bCs/>
          <w:szCs w:val="22"/>
        </w:rPr>
        <w:tab/>
      </w:r>
      <w:r w:rsidR="001F53E8" w:rsidRPr="00CD1301">
        <w:rPr>
          <w:rFonts w:cs="Arial"/>
          <w:bCs/>
          <w:szCs w:val="22"/>
        </w:rPr>
        <w:t xml:space="preserve">This is a judgement in the urgent court. The applicant seeks an order - </w:t>
      </w:r>
      <w:r w:rsidR="001F53E8" w:rsidRPr="00CD1301">
        <w:rPr>
          <w:rFonts w:cs="Arial"/>
          <w:bCs/>
          <w:szCs w:val="22"/>
        </w:rPr>
        <w:tab/>
      </w:r>
    </w:p>
    <w:p w14:paraId="4C3AEDC5" w14:textId="4DA20ADA" w:rsidR="001F53E8"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3.1</w:t>
      </w:r>
      <w:r>
        <w:rPr>
          <w:rFonts w:cs="Arial"/>
          <w:bCs/>
          <w:szCs w:val="22"/>
        </w:rPr>
        <w:tab/>
      </w:r>
      <w:r w:rsidR="001F53E8" w:rsidRPr="00CD1301">
        <w:rPr>
          <w:rFonts w:cs="Arial"/>
          <w:bCs/>
          <w:szCs w:val="22"/>
        </w:rPr>
        <w:t xml:space="preserve">that the matter be heard as one of urgency in terms of rule </w:t>
      </w:r>
      <w:r w:rsidR="00044778" w:rsidRPr="00CD1301">
        <w:rPr>
          <w:rFonts w:cs="Arial"/>
          <w:bCs/>
          <w:szCs w:val="22"/>
        </w:rPr>
        <w:t>6</w:t>
      </w:r>
      <w:r w:rsidR="001F53E8" w:rsidRPr="00CD1301">
        <w:rPr>
          <w:rFonts w:cs="Arial"/>
          <w:bCs/>
          <w:szCs w:val="22"/>
        </w:rPr>
        <w:t xml:space="preserve"> (12) of the uniform rules, </w:t>
      </w:r>
    </w:p>
    <w:p w14:paraId="333187C8" w14:textId="4A0B2E07" w:rsidR="008707F5"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3.2</w:t>
      </w:r>
      <w:r>
        <w:rPr>
          <w:rFonts w:cs="Arial"/>
          <w:bCs/>
          <w:szCs w:val="22"/>
        </w:rPr>
        <w:tab/>
      </w:r>
      <w:r w:rsidR="001F53E8" w:rsidRPr="00CD1301">
        <w:rPr>
          <w:rFonts w:cs="Arial"/>
          <w:bCs/>
          <w:szCs w:val="22"/>
        </w:rPr>
        <w:t>that a ruling by the fourth respondent dated 1 March 2024 and refusing an application for the postponement of disciplinary proceedings be set aside,</w:t>
      </w:r>
    </w:p>
    <w:p w14:paraId="6C060E07" w14:textId="399DA477" w:rsidR="001F53E8"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3.3</w:t>
      </w:r>
      <w:r>
        <w:rPr>
          <w:rFonts w:cs="Arial"/>
          <w:bCs/>
          <w:szCs w:val="22"/>
        </w:rPr>
        <w:tab/>
      </w:r>
      <w:r w:rsidR="001F53E8" w:rsidRPr="00CD1301">
        <w:rPr>
          <w:rFonts w:cs="Arial"/>
          <w:bCs/>
          <w:szCs w:val="22"/>
        </w:rPr>
        <w:t>that the decision to appoint the fourth respondent as the chairperson of the disciplinary hearing be set aside,</w:t>
      </w:r>
    </w:p>
    <w:p w14:paraId="38489517" w14:textId="5ACE4AE2" w:rsidR="001F53E8"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3.4</w:t>
      </w:r>
      <w:r>
        <w:rPr>
          <w:rFonts w:cs="Arial"/>
          <w:bCs/>
          <w:szCs w:val="22"/>
        </w:rPr>
        <w:tab/>
      </w:r>
      <w:r w:rsidR="001F53E8" w:rsidRPr="00CD1301">
        <w:rPr>
          <w:rFonts w:cs="Arial"/>
          <w:bCs/>
          <w:szCs w:val="22"/>
        </w:rPr>
        <w:t>that the decision of the third respondent to suspend or charge the applicant, or to institute disciplinary proceedings against the applicant is a contravention of section 2G (3) (b) of the Lotteries Act 57 of 199</w:t>
      </w:r>
      <w:r w:rsidR="00EF30EF" w:rsidRPr="00CD1301">
        <w:rPr>
          <w:rFonts w:cs="Arial"/>
          <w:bCs/>
          <w:szCs w:val="22"/>
        </w:rPr>
        <w:t>7, be set aside.</w:t>
      </w:r>
    </w:p>
    <w:p w14:paraId="6D243D0D" w14:textId="6189C2F2" w:rsidR="001F53E8"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lastRenderedPageBreak/>
        <w:t>3.5</w:t>
      </w:r>
      <w:r>
        <w:rPr>
          <w:rFonts w:cs="Arial"/>
          <w:bCs/>
          <w:szCs w:val="22"/>
        </w:rPr>
        <w:tab/>
      </w:r>
      <w:r w:rsidR="001F53E8" w:rsidRPr="00CD1301">
        <w:rPr>
          <w:rFonts w:cs="Arial"/>
          <w:bCs/>
          <w:szCs w:val="22"/>
        </w:rPr>
        <w:t>that the continua</w:t>
      </w:r>
      <w:r w:rsidR="00293463" w:rsidRPr="00CD1301">
        <w:rPr>
          <w:rFonts w:cs="Arial"/>
          <w:bCs/>
          <w:szCs w:val="22"/>
        </w:rPr>
        <w:t>tion</w:t>
      </w:r>
      <w:r w:rsidR="001F53E8" w:rsidRPr="00CD1301">
        <w:rPr>
          <w:rFonts w:cs="Arial"/>
          <w:bCs/>
          <w:szCs w:val="22"/>
        </w:rPr>
        <w:t xml:space="preserve"> of the disciplinary hearing before the fourth respondent be suspended pending the hearing and decision of part </w:t>
      </w:r>
      <w:r w:rsidR="00307200" w:rsidRPr="00CD1301">
        <w:rPr>
          <w:rFonts w:cs="Arial"/>
          <w:bCs/>
          <w:szCs w:val="22"/>
        </w:rPr>
        <w:t>A</w:t>
      </w:r>
      <w:r w:rsidR="001F53E8" w:rsidRPr="00CD1301">
        <w:rPr>
          <w:rFonts w:cs="Arial"/>
          <w:bCs/>
          <w:szCs w:val="22"/>
        </w:rPr>
        <w:t xml:space="preserve"> of an application brought by the applicant on 5 February 2024 under case number 2024 – 011466,</w:t>
      </w:r>
    </w:p>
    <w:p w14:paraId="4B151B9F" w14:textId="5384A604" w:rsidR="001F53E8"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3.6</w:t>
      </w:r>
      <w:r>
        <w:rPr>
          <w:rFonts w:cs="Arial"/>
          <w:bCs/>
          <w:szCs w:val="22"/>
        </w:rPr>
        <w:tab/>
      </w:r>
      <w:r w:rsidR="001F53E8" w:rsidRPr="00CD1301">
        <w:rPr>
          <w:rFonts w:cs="Arial"/>
          <w:bCs/>
          <w:szCs w:val="22"/>
        </w:rPr>
        <w:t>that the first respondent or any other respondent who opposes the application pay the costs of the applicant.</w:t>
      </w:r>
    </w:p>
    <w:p w14:paraId="703FCBB1" w14:textId="1A6F704A" w:rsidR="00307200"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[4]</w:t>
      </w:r>
      <w:r>
        <w:rPr>
          <w:rFonts w:cs="Arial"/>
          <w:bCs/>
          <w:szCs w:val="22"/>
        </w:rPr>
        <w:tab/>
      </w:r>
      <w:r w:rsidR="00EF681B" w:rsidRPr="00CD1301">
        <w:rPr>
          <w:rFonts w:cs="Arial"/>
          <w:bCs/>
          <w:szCs w:val="22"/>
        </w:rPr>
        <w:t xml:space="preserve">The </w:t>
      </w:r>
      <w:r w:rsidR="00A248B0" w:rsidRPr="00CD1301">
        <w:rPr>
          <w:rFonts w:cs="Arial"/>
          <w:bCs/>
          <w:szCs w:val="22"/>
        </w:rPr>
        <w:t>orders</w:t>
      </w:r>
      <w:r w:rsidR="00293463" w:rsidRPr="00CD1301">
        <w:rPr>
          <w:rFonts w:cs="Arial"/>
          <w:bCs/>
          <w:szCs w:val="22"/>
        </w:rPr>
        <w:t xml:space="preserve"> sought</w:t>
      </w:r>
      <w:r w:rsidR="00EF681B" w:rsidRPr="00CD1301">
        <w:rPr>
          <w:rFonts w:cs="Arial"/>
          <w:bCs/>
          <w:szCs w:val="22"/>
        </w:rPr>
        <w:t xml:space="preserve"> in paragraphs 3.2, 3.3, and 3.4 constitute final relief. </w:t>
      </w:r>
      <w:r w:rsidR="00307200" w:rsidRPr="00CD1301">
        <w:rPr>
          <w:rFonts w:cs="Arial"/>
          <w:bCs/>
          <w:szCs w:val="22"/>
        </w:rPr>
        <w:t>The relief in paragraph 3.5 is interim relief pending the hearing</w:t>
      </w:r>
      <w:r w:rsidR="00EF30EF" w:rsidRPr="00CD1301">
        <w:rPr>
          <w:rFonts w:cs="Arial"/>
          <w:bCs/>
          <w:szCs w:val="22"/>
        </w:rPr>
        <w:t xml:space="preserve"> of</w:t>
      </w:r>
      <w:r w:rsidR="00307200" w:rsidRPr="00CD1301">
        <w:rPr>
          <w:rFonts w:cs="Arial"/>
          <w:bCs/>
          <w:szCs w:val="22"/>
        </w:rPr>
        <w:t xml:space="preserve"> and </w:t>
      </w:r>
      <w:r w:rsidR="00EF30EF" w:rsidRPr="00CD1301">
        <w:rPr>
          <w:rFonts w:cs="Arial"/>
          <w:bCs/>
          <w:szCs w:val="22"/>
        </w:rPr>
        <w:t xml:space="preserve">a </w:t>
      </w:r>
      <w:r w:rsidR="00307200" w:rsidRPr="00CD1301">
        <w:rPr>
          <w:rFonts w:cs="Arial"/>
          <w:bCs/>
          <w:szCs w:val="22"/>
        </w:rPr>
        <w:t xml:space="preserve">decision </w:t>
      </w:r>
      <w:r w:rsidR="00EF30EF" w:rsidRPr="00CD1301">
        <w:rPr>
          <w:rFonts w:cs="Arial"/>
          <w:bCs/>
          <w:szCs w:val="22"/>
        </w:rPr>
        <w:t>in</w:t>
      </w:r>
      <w:r w:rsidR="00307200" w:rsidRPr="00CD1301">
        <w:rPr>
          <w:rFonts w:cs="Arial"/>
          <w:bCs/>
          <w:szCs w:val="22"/>
        </w:rPr>
        <w:t xml:space="preserve"> part A of the applicant’s application of 5 February 2024.</w:t>
      </w:r>
    </w:p>
    <w:p w14:paraId="72C5A1AB" w14:textId="5DF38AF2" w:rsidR="001F53E8" w:rsidRPr="00CD1301" w:rsidRDefault="00CD1301" w:rsidP="00CD1301">
      <w:pPr>
        <w:widowControl w:val="0"/>
        <w:tabs>
          <w:tab w:val="left" w:pos="567"/>
        </w:tabs>
        <w:spacing w:before="240" w:after="240" w:line="360" w:lineRule="auto"/>
        <w:jc w:val="both"/>
        <w:rPr>
          <w:rFonts w:cs="Arial"/>
          <w:bCs/>
          <w:szCs w:val="22"/>
        </w:rPr>
      </w:pPr>
      <w:r w:rsidRPr="00044778">
        <w:rPr>
          <w:rFonts w:cs="Arial"/>
          <w:bCs/>
          <w:szCs w:val="22"/>
        </w:rPr>
        <w:t>[5]</w:t>
      </w:r>
      <w:r w:rsidRPr="00044778">
        <w:rPr>
          <w:rFonts w:cs="Arial"/>
          <w:bCs/>
          <w:szCs w:val="22"/>
        </w:rPr>
        <w:tab/>
      </w:r>
      <w:r w:rsidR="00307200" w:rsidRPr="00CD1301">
        <w:rPr>
          <w:rFonts w:cs="Arial"/>
          <w:bCs/>
          <w:szCs w:val="22"/>
        </w:rPr>
        <w:t xml:space="preserve"> </w:t>
      </w:r>
      <w:r w:rsidR="001F53E8" w:rsidRPr="00CD1301">
        <w:rPr>
          <w:rFonts w:cs="Arial"/>
          <w:bCs/>
          <w:szCs w:val="22"/>
        </w:rPr>
        <w:t xml:space="preserve">The applicant is employed by the first respondent as a legal manager. The first respondent is the National Lotteries Commission (the NLC), a public entity established in terms of the Lotteries Act. The second respondent is the board of the NLC, the governing body of the NLC. </w:t>
      </w:r>
      <w:r w:rsidR="00044778" w:rsidRPr="00CD1301">
        <w:rPr>
          <w:rFonts w:cs="Arial"/>
          <w:bCs/>
          <w:szCs w:val="22"/>
        </w:rPr>
        <w:t>The third respondent is the Commissioner</w:t>
      </w:r>
      <w:r w:rsidR="00293463" w:rsidRPr="00CD1301">
        <w:rPr>
          <w:rFonts w:cs="Arial"/>
          <w:bCs/>
          <w:szCs w:val="22"/>
        </w:rPr>
        <w:t xml:space="preserve"> </w:t>
      </w:r>
      <w:r w:rsidR="00293463" w:rsidRPr="00CD1301">
        <w:rPr>
          <w:rFonts w:cs="Arial"/>
          <w:bCs/>
          <w:i/>
          <w:iCs/>
          <w:szCs w:val="22"/>
        </w:rPr>
        <w:t>nomine officio</w:t>
      </w:r>
      <w:r w:rsidR="00044778" w:rsidRPr="00CD1301">
        <w:rPr>
          <w:rFonts w:cs="Arial"/>
          <w:bCs/>
          <w:szCs w:val="22"/>
        </w:rPr>
        <w:t xml:space="preserve"> a</w:t>
      </w:r>
      <w:r w:rsidR="001C1F29" w:rsidRPr="00CD1301">
        <w:rPr>
          <w:rFonts w:cs="Arial"/>
          <w:bCs/>
          <w:szCs w:val="22"/>
        </w:rPr>
        <w:t>ppointed in terms of the Lotteries Act and the fourth respondent is the chairperson appointed to hear and decide on charges brought against the applicant by her employer</w:t>
      </w:r>
      <w:r w:rsidR="007C647E" w:rsidRPr="00CD1301">
        <w:rPr>
          <w:rFonts w:cs="Arial"/>
          <w:bCs/>
          <w:szCs w:val="22"/>
        </w:rPr>
        <w:t>.</w:t>
      </w:r>
      <w:r w:rsidR="00C105A1">
        <w:rPr>
          <w:rStyle w:val="FootnoteReference"/>
          <w:rFonts w:cs="Arial"/>
          <w:bCs/>
          <w:szCs w:val="22"/>
        </w:rPr>
        <w:footnoteReference w:id="1"/>
      </w:r>
      <w:r w:rsidR="00E35391" w:rsidRPr="00CD1301">
        <w:rPr>
          <w:rFonts w:cs="Arial"/>
          <w:bCs/>
          <w:szCs w:val="22"/>
        </w:rPr>
        <w:t xml:space="preserve"> It is not apparent why the second respondent</w:t>
      </w:r>
      <w:r w:rsidR="00C105A1" w:rsidRPr="00CD1301">
        <w:rPr>
          <w:rFonts w:cs="Arial"/>
          <w:bCs/>
          <w:szCs w:val="22"/>
        </w:rPr>
        <w:t xml:space="preserve"> wa</w:t>
      </w:r>
      <w:r w:rsidR="00E35391" w:rsidRPr="00CD1301">
        <w:rPr>
          <w:rFonts w:cs="Arial"/>
          <w:bCs/>
          <w:szCs w:val="22"/>
        </w:rPr>
        <w:t>s cited as the NLC is already before the court, but nothing turns on this.</w:t>
      </w:r>
    </w:p>
    <w:p w14:paraId="31A3E76B" w14:textId="77777777" w:rsidR="00044778" w:rsidRPr="00044778" w:rsidRDefault="00044778" w:rsidP="00307200">
      <w:pPr>
        <w:widowControl w:val="0"/>
        <w:spacing w:before="240" w:after="240" w:line="360" w:lineRule="auto"/>
        <w:jc w:val="both"/>
        <w:rPr>
          <w:rFonts w:cs="Arial"/>
          <w:bCs/>
          <w:szCs w:val="22"/>
          <w:u w:val="single"/>
        </w:rPr>
      </w:pPr>
    </w:p>
    <w:p w14:paraId="7FFDB394" w14:textId="35845B00" w:rsidR="00044778" w:rsidRPr="00044778" w:rsidRDefault="00044778" w:rsidP="00307200">
      <w:pPr>
        <w:widowControl w:val="0"/>
        <w:spacing w:before="240" w:after="240" w:line="360" w:lineRule="auto"/>
        <w:jc w:val="both"/>
        <w:rPr>
          <w:rFonts w:cs="Arial"/>
          <w:bCs/>
          <w:szCs w:val="22"/>
          <w:u w:val="single"/>
        </w:rPr>
      </w:pPr>
      <w:r w:rsidRPr="00044778">
        <w:rPr>
          <w:rFonts w:cs="Arial"/>
          <w:bCs/>
          <w:szCs w:val="22"/>
          <w:u w:val="single"/>
        </w:rPr>
        <w:t>Urgency</w:t>
      </w:r>
    </w:p>
    <w:p w14:paraId="6F8492CB" w14:textId="5079F7B1" w:rsidR="00044778"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[6]</w:t>
      </w:r>
      <w:r>
        <w:rPr>
          <w:rFonts w:cs="Arial"/>
          <w:bCs/>
          <w:szCs w:val="22"/>
        </w:rPr>
        <w:tab/>
      </w:r>
      <w:r w:rsidR="00293463" w:rsidRPr="00CD1301">
        <w:rPr>
          <w:rFonts w:cs="Arial"/>
          <w:bCs/>
          <w:szCs w:val="22"/>
        </w:rPr>
        <w:t>The applicant was suspended</w:t>
      </w:r>
      <w:r w:rsidR="00F04AF8" w:rsidRPr="00CD1301">
        <w:rPr>
          <w:rFonts w:cs="Arial"/>
          <w:bCs/>
          <w:szCs w:val="22"/>
        </w:rPr>
        <w:t xml:space="preserve"> on 16 October 2023</w:t>
      </w:r>
      <w:r w:rsidR="00293463" w:rsidRPr="00CD1301">
        <w:rPr>
          <w:rFonts w:cs="Arial"/>
          <w:bCs/>
          <w:szCs w:val="22"/>
        </w:rPr>
        <w:t xml:space="preserve"> and she </w:t>
      </w:r>
      <w:r w:rsidR="007C647E" w:rsidRPr="00CD1301">
        <w:rPr>
          <w:rFonts w:cs="Arial"/>
          <w:bCs/>
          <w:szCs w:val="22"/>
        </w:rPr>
        <w:t>questioned the authority of the third respondent to suspend her on 26 October 2023</w:t>
      </w:r>
      <w:r w:rsidR="00293463" w:rsidRPr="00CD1301">
        <w:rPr>
          <w:rFonts w:cs="Arial"/>
          <w:bCs/>
          <w:szCs w:val="22"/>
        </w:rPr>
        <w:t>.</w:t>
      </w:r>
      <w:r w:rsidR="007C647E" w:rsidRPr="00CD1301">
        <w:rPr>
          <w:rFonts w:cs="Arial"/>
          <w:bCs/>
          <w:szCs w:val="22"/>
        </w:rPr>
        <w:t xml:space="preserve"> </w:t>
      </w:r>
      <w:r w:rsidR="00293463" w:rsidRPr="00CD1301">
        <w:rPr>
          <w:rFonts w:cs="Arial"/>
          <w:bCs/>
          <w:szCs w:val="22"/>
        </w:rPr>
        <w:t>T</w:t>
      </w:r>
      <w:r w:rsidR="007C647E" w:rsidRPr="00CD1301">
        <w:rPr>
          <w:rFonts w:cs="Arial"/>
          <w:bCs/>
          <w:szCs w:val="22"/>
        </w:rPr>
        <w:t xml:space="preserve">he third respondent replied in writing on 6 November 2023. </w:t>
      </w:r>
      <w:r w:rsidR="00A248B0" w:rsidRPr="00CD1301">
        <w:rPr>
          <w:rFonts w:cs="Arial"/>
          <w:bCs/>
          <w:szCs w:val="22"/>
        </w:rPr>
        <w:t xml:space="preserve">She was charged on 7 December 2023. </w:t>
      </w:r>
      <w:r w:rsidR="00044778" w:rsidRPr="00CD1301">
        <w:rPr>
          <w:rFonts w:cs="Arial"/>
          <w:bCs/>
          <w:szCs w:val="22"/>
        </w:rPr>
        <w:t xml:space="preserve">The applicant was informed on 12 January 2024 that the fourth respondent had been appointed to preside over the disciplinary hearing. </w:t>
      </w:r>
    </w:p>
    <w:p w14:paraId="7E114833" w14:textId="12D93E9B" w:rsidR="007C647E" w:rsidRPr="00044778" w:rsidRDefault="007C647E" w:rsidP="00307200">
      <w:pPr>
        <w:widowControl w:val="0"/>
        <w:spacing w:before="240" w:after="240" w:line="360" w:lineRule="auto"/>
        <w:jc w:val="both"/>
        <w:rPr>
          <w:rFonts w:cs="Arial"/>
          <w:bCs/>
          <w:szCs w:val="22"/>
        </w:rPr>
      </w:pPr>
      <w:r w:rsidRPr="00044778">
        <w:rPr>
          <w:rFonts w:cs="Arial"/>
          <w:bCs/>
          <w:szCs w:val="22"/>
        </w:rPr>
        <w:t xml:space="preserve">The present application was brought on 7 March 2023, some six months after the suspension and three months after receipt of the charge sheet. No explanation is provided for the long delay since November 2023 and particularly for the delay from </w:t>
      </w:r>
      <w:r w:rsidR="00EF30EF">
        <w:rPr>
          <w:rFonts w:cs="Arial"/>
          <w:bCs/>
          <w:szCs w:val="22"/>
        </w:rPr>
        <w:t>12 January 2024 when the identity of the fourth respondent and all other facts were known to the applicant</w:t>
      </w:r>
      <w:r w:rsidR="00E77FA2" w:rsidRPr="00044778">
        <w:rPr>
          <w:rFonts w:cs="Arial"/>
          <w:bCs/>
          <w:szCs w:val="22"/>
        </w:rPr>
        <w:t>. In my view therefore no case is made out invoke rule 6 (12).</w:t>
      </w:r>
    </w:p>
    <w:p w14:paraId="54399163" w14:textId="77777777" w:rsidR="00044778" w:rsidRDefault="00044778" w:rsidP="00307200">
      <w:pPr>
        <w:widowControl w:val="0"/>
        <w:spacing w:before="240" w:after="240" w:line="360" w:lineRule="auto"/>
        <w:jc w:val="both"/>
        <w:rPr>
          <w:rFonts w:cs="Arial"/>
          <w:bCs/>
          <w:szCs w:val="22"/>
          <w:u w:val="single"/>
        </w:rPr>
      </w:pPr>
    </w:p>
    <w:p w14:paraId="1A209C48" w14:textId="14C4929F" w:rsidR="00044778" w:rsidRPr="00044778" w:rsidRDefault="00044778" w:rsidP="00A248B0">
      <w:pPr>
        <w:keepNext/>
        <w:widowControl w:val="0"/>
        <w:spacing w:before="240" w:after="240" w:line="360" w:lineRule="auto"/>
        <w:jc w:val="both"/>
        <w:rPr>
          <w:rFonts w:cs="Arial"/>
          <w:bCs/>
          <w:szCs w:val="22"/>
          <w:u w:val="single"/>
        </w:rPr>
      </w:pPr>
      <w:r w:rsidRPr="00044778">
        <w:rPr>
          <w:rFonts w:cs="Arial"/>
          <w:bCs/>
          <w:szCs w:val="22"/>
          <w:u w:val="single"/>
        </w:rPr>
        <w:lastRenderedPageBreak/>
        <w:t>The jurisdiction of the High Court</w:t>
      </w:r>
    </w:p>
    <w:p w14:paraId="6E9650DD" w14:textId="1C07E251" w:rsidR="007728F6" w:rsidRPr="00CD1301" w:rsidRDefault="00CD1301" w:rsidP="00CD1301">
      <w:pPr>
        <w:keepNext/>
        <w:widowControl w:val="0"/>
        <w:tabs>
          <w:tab w:val="left" w:pos="567"/>
        </w:tabs>
        <w:spacing w:before="240" w:after="240" w:line="360" w:lineRule="auto"/>
        <w:jc w:val="both"/>
        <w:rPr>
          <w:rFonts w:cs="Arial"/>
          <w:bCs/>
          <w:szCs w:val="22"/>
        </w:rPr>
      </w:pPr>
      <w:r>
        <w:rPr>
          <w:rFonts w:cs="Arial"/>
          <w:bCs/>
          <w:szCs w:val="22"/>
        </w:rPr>
        <w:t>[7]</w:t>
      </w:r>
      <w:r>
        <w:rPr>
          <w:rFonts w:cs="Arial"/>
          <w:bCs/>
          <w:szCs w:val="22"/>
        </w:rPr>
        <w:tab/>
      </w:r>
      <w:r w:rsidR="007728F6" w:rsidRPr="00CD1301">
        <w:rPr>
          <w:rFonts w:cs="Arial"/>
          <w:bCs/>
          <w:szCs w:val="22"/>
        </w:rPr>
        <w:t xml:space="preserve">Section 157 (1) and (2) of the Labour Relations Act 66 of 1995 </w:t>
      </w:r>
      <w:r w:rsidR="00293463" w:rsidRPr="00CD1301">
        <w:rPr>
          <w:rFonts w:cs="Arial"/>
          <w:bCs/>
          <w:szCs w:val="22"/>
        </w:rPr>
        <w:t>reads</w:t>
      </w:r>
      <w:r w:rsidR="007728F6" w:rsidRPr="00CD1301">
        <w:rPr>
          <w:rFonts w:cs="Arial"/>
          <w:bCs/>
          <w:szCs w:val="22"/>
        </w:rPr>
        <w:t xml:space="preserve"> as follows:</w:t>
      </w:r>
    </w:p>
    <w:p w14:paraId="35EB57D5" w14:textId="77777777" w:rsidR="007728F6" w:rsidRPr="007728F6" w:rsidRDefault="007728F6" w:rsidP="00307200">
      <w:pPr>
        <w:spacing w:before="240" w:after="240" w:line="360" w:lineRule="auto"/>
        <w:ind w:left="1440"/>
        <w:jc w:val="both"/>
        <w:rPr>
          <w:b/>
          <w:bCs/>
          <w:i/>
          <w:iCs/>
          <w:lang w:eastAsia="en-ZA"/>
        </w:rPr>
      </w:pPr>
      <w:r w:rsidRPr="007728F6">
        <w:rPr>
          <w:b/>
          <w:bCs/>
          <w:i/>
          <w:iCs/>
          <w:lang w:eastAsia="en-ZA"/>
        </w:rPr>
        <w:t>157  Jurisdiction of Labour Court</w:t>
      </w:r>
    </w:p>
    <w:p w14:paraId="2095647E" w14:textId="77777777" w:rsidR="007728F6" w:rsidRPr="007728F6" w:rsidRDefault="007728F6" w:rsidP="00307200">
      <w:pPr>
        <w:spacing w:before="240" w:after="240" w:line="360" w:lineRule="auto"/>
        <w:ind w:left="1440"/>
        <w:jc w:val="both"/>
        <w:rPr>
          <w:i/>
          <w:iCs/>
          <w:lang w:eastAsia="en-ZA"/>
        </w:rPr>
      </w:pPr>
      <w:r w:rsidRPr="007728F6">
        <w:rPr>
          <w:i/>
          <w:iCs/>
          <w:lang w:eastAsia="en-ZA"/>
        </w:rPr>
        <w:t>(1) Subject to the Constitution and section 173, and except where this Act provides otherwise, the Labour Court has exclusive jurisdiction in respect of all matters that elsewhere in terms of this Act or in terms of any other law are to be determined by the Labour Court.</w:t>
      </w:r>
    </w:p>
    <w:p w14:paraId="1E3CEEA5" w14:textId="77777777" w:rsidR="007728F6" w:rsidRPr="007728F6" w:rsidRDefault="007728F6" w:rsidP="00307200">
      <w:pPr>
        <w:spacing w:before="240" w:after="240" w:line="360" w:lineRule="auto"/>
        <w:ind w:left="1440"/>
        <w:jc w:val="both"/>
        <w:rPr>
          <w:i/>
          <w:iCs/>
          <w:lang w:eastAsia="en-ZA"/>
        </w:rPr>
      </w:pPr>
      <w:r w:rsidRPr="007728F6">
        <w:rPr>
          <w:i/>
          <w:iCs/>
          <w:lang w:eastAsia="en-ZA"/>
        </w:rPr>
        <w:t>(2) The Labour Court has concurrent jurisdiction with the High Court in respect of any alleged or threatened violation of any fundamental right entrenched in Chapter 2 of the Constitution of the Republic of South Africa, 1996, and arising from-</w:t>
      </w:r>
    </w:p>
    <w:p w14:paraId="229C049D" w14:textId="77777777" w:rsidR="007728F6" w:rsidRPr="007728F6" w:rsidRDefault="007728F6" w:rsidP="00307200">
      <w:pPr>
        <w:spacing w:before="240" w:after="240" w:line="360" w:lineRule="auto"/>
        <w:ind w:left="1440"/>
        <w:jc w:val="both"/>
        <w:rPr>
          <w:i/>
          <w:iCs/>
          <w:lang w:eastAsia="en-ZA"/>
        </w:rPr>
      </w:pPr>
      <w:r w:rsidRPr="007728F6">
        <w:rPr>
          <w:i/>
          <w:iCs/>
          <w:lang w:eastAsia="en-ZA"/>
        </w:rPr>
        <w:t>   (a)   employment and from labour relations;</w:t>
      </w:r>
    </w:p>
    <w:p w14:paraId="5669B840" w14:textId="77777777" w:rsidR="007728F6" w:rsidRPr="007728F6" w:rsidRDefault="007728F6" w:rsidP="00307200">
      <w:pPr>
        <w:spacing w:before="240" w:after="240" w:line="360" w:lineRule="auto"/>
        <w:ind w:left="1440"/>
        <w:jc w:val="both"/>
        <w:rPr>
          <w:i/>
          <w:iCs/>
          <w:lang w:eastAsia="en-ZA"/>
        </w:rPr>
      </w:pPr>
      <w:r w:rsidRPr="007728F6">
        <w:rPr>
          <w:i/>
          <w:iCs/>
          <w:lang w:eastAsia="en-ZA"/>
        </w:rPr>
        <w:t>   (b)   any dispute over the constitutionality of any executive or administrative act or conduct, or any threatened executive or administrative act or conduct, by the State in its capacity as an employer; and</w:t>
      </w:r>
    </w:p>
    <w:p w14:paraId="30CE5873" w14:textId="77777777" w:rsidR="007728F6" w:rsidRPr="007728F6" w:rsidRDefault="007728F6" w:rsidP="00307200">
      <w:pPr>
        <w:spacing w:before="240" w:after="240" w:line="360" w:lineRule="auto"/>
        <w:ind w:left="1440"/>
        <w:jc w:val="both"/>
        <w:rPr>
          <w:i/>
          <w:iCs/>
          <w:lang w:eastAsia="en-ZA"/>
        </w:rPr>
      </w:pPr>
      <w:r w:rsidRPr="007728F6">
        <w:rPr>
          <w:i/>
          <w:iCs/>
          <w:lang w:eastAsia="en-ZA"/>
        </w:rPr>
        <w:t>   (c)   the application of any law for the administration of which the Minister is responsible.</w:t>
      </w:r>
    </w:p>
    <w:p w14:paraId="77240E83" w14:textId="77777777" w:rsidR="007728F6" w:rsidRPr="007728F6" w:rsidRDefault="007728F6" w:rsidP="00307200">
      <w:pPr>
        <w:spacing w:before="240" w:after="240" w:line="360" w:lineRule="auto"/>
        <w:ind w:left="2160"/>
        <w:jc w:val="both"/>
        <w:rPr>
          <w:i/>
          <w:iCs/>
        </w:rPr>
      </w:pPr>
    </w:p>
    <w:p w14:paraId="00B83869" w14:textId="2755519C" w:rsidR="00307200"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[8]</w:t>
      </w:r>
      <w:r>
        <w:rPr>
          <w:rFonts w:cs="Arial"/>
          <w:bCs/>
          <w:szCs w:val="22"/>
        </w:rPr>
        <w:tab/>
      </w:r>
      <w:r w:rsidR="00E77FA2" w:rsidRPr="00CD1301">
        <w:rPr>
          <w:rFonts w:cs="Arial"/>
          <w:bCs/>
          <w:szCs w:val="22"/>
        </w:rPr>
        <w:t xml:space="preserve">The orders sought by the applicant are aimed at setting </w:t>
      </w:r>
      <w:r w:rsidR="00044778" w:rsidRPr="00CD1301">
        <w:rPr>
          <w:rFonts w:cs="Arial"/>
          <w:bCs/>
          <w:szCs w:val="22"/>
        </w:rPr>
        <w:t>aside</w:t>
      </w:r>
      <w:r w:rsidR="00E77FA2" w:rsidRPr="00CD1301">
        <w:rPr>
          <w:rFonts w:cs="Arial"/>
          <w:bCs/>
          <w:szCs w:val="22"/>
        </w:rPr>
        <w:t xml:space="preserve"> and terminating disciplinary proceedings</w:t>
      </w:r>
      <w:r w:rsidR="007728F6" w:rsidRPr="00CD1301">
        <w:rPr>
          <w:rFonts w:cs="Arial"/>
          <w:bCs/>
          <w:szCs w:val="22"/>
        </w:rPr>
        <w:t xml:space="preserve"> flowing from her employment by the NLC. The Labour Relations Act contains extensive provisions </w:t>
      </w:r>
      <w:r w:rsidR="008824C8" w:rsidRPr="00CD1301">
        <w:rPr>
          <w:rFonts w:cs="Arial"/>
          <w:bCs/>
          <w:szCs w:val="22"/>
        </w:rPr>
        <w:t>that govern legal aspects of the employer/employee relationship, such as a guarantee of freedom of association,</w:t>
      </w:r>
      <w:r w:rsidR="008824C8">
        <w:rPr>
          <w:rStyle w:val="FootnoteReference"/>
          <w:rFonts w:cs="Arial"/>
          <w:bCs/>
          <w:szCs w:val="22"/>
        </w:rPr>
        <w:footnoteReference w:id="2"/>
      </w:r>
      <w:r w:rsidR="008824C8" w:rsidRPr="00CD1301">
        <w:rPr>
          <w:rFonts w:cs="Arial"/>
          <w:bCs/>
          <w:szCs w:val="22"/>
        </w:rPr>
        <w:t xml:space="preserve"> collective bargaining,</w:t>
      </w:r>
      <w:r w:rsidR="008824C8">
        <w:rPr>
          <w:rStyle w:val="FootnoteReference"/>
          <w:rFonts w:cs="Arial"/>
          <w:bCs/>
          <w:szCs w:val="22"/>
        </w:rPr>
        <w:footnoteReference w:id="3"/>
      </w:r>
      <w:r w:rsidR="008824C8" w:rsidRPr="00CD1301">
        <w:rPr>
          <w:rFonts w:cs="Arial"/>
          <w:bCs/>
          <w:szCs w:val="22"/>
        </w:rPr>
        <w:t xml:space="preserve"> and, most importantly in the present matter, dispute resolution.</w:t>
      </w:r>
      <w:r w:rsidR="008824C8">
        <w:rPr>
          <w:rStyle w:val="FootnoteReference"/>
          <w:rFonts w:cs="Arial"/>
          <w:bCs/>
          <w:szCs w:val="22"/>
        </w:rPr>
        <w:footnoteReference w:id="4"/>
      </w:r>
      <w:r w:rsidR="008824C8" w:rsidRPr="00CD1301">
        <w:rPr>
          <w:rFonts w:cs="Arial"/>
          <w:bCs/>
          <w:szCs w:val="22"/>
        </w:rPr>
        <w:t xml:space="preserve"> </w:t>
      </w:r>
    </w:p>
    <w:p w14:paraId="3464A49F" w14:textId="6226AC98" w:rsidR="008824C8" w:rsidRPr="00307200" w:rsidRDefault="008824C8" w:rsidP="00307200">
      <w:pPr>
        <w:widowControl w:val="0"/>
        <w:spacing w:before="240" w:after="240" w:line="360" w:lineRule="auto"/>
        <w:jc w:val="both"/>
        <w:rPr>
          <w:rFonts w:cs="Arial"/>
          <w:bCs/>
          <w:szCs w:val="22"/>
        </w:rPr>
      </w:pPr>
      <w:r w:rsidRPr="00307200">
        <w:rPr>
          <w:rFonts w:cs="Arial"/>
          <w:bCs/>
          <w:szCs w:val="22"/>
        </w:rPr>
        <w:t>The Act provides for the establishment of the Commission for Conciliation, Mediation and Arbitration (CCMA)</w:t>
      </w:r>
      <w:r>
        <w:rPr>
          <w:rStyle w:val="FootnoteReference"/>
          <w:rFonts w:cs="Arial"/>
          <w:bCs/>
          <w:szCs w:val="22"/>
        </w:rPr>
        <w:footnoteReference w:id="5"/>
      </w:r>
      <w:r w:rsidRPr="00307200">
        <w:rPr>
          <w:rFonts w:cs="Arial"/>
          <w:bCs/>
          <w:szCs w:val="22"/>
        </w:rPr>
        <w:t xml:space="preserve"> and the Labour Court.</w:t>
      </w:r>
      <w:r>
        <w:rPr>
          <w:rStyle w:val="FootnoteReference"/>
          <w:rFonts w:cs="Arial"/>
          <w:bCs/>
          <w:szCs w:val="22"/>
        </w:rPr>
        <w:footnoteReference w:id="6"/>
      </w:r>
    </w:p>
    <w:p w14:paraId="0CB55346" w14:textId="74666C0D" w:rsidR="008824C8" w:rsidRPr="00CD1301" w:rsidRDefault="00CD1301" w:rsidP="00CD1301">
      <w:pPr>
        <w:widowControl w:val="0"/>
        <w:tabs>
          <w:tab w:val="left" w:pos="567"/>
        </w:tabs>
        <w:spacing w:before="240" w:after="240" w:line="360" w:lineRule="auto"/>
        <w:jc w:val="both"/>
        <w:rPr>
          <w:rFonts w:cs="Arial"/>
          <w:bCs/>
          <w:szCs w:val="22"/>
        </w:rPr>
      </w:pPr>
      <w:r>
        <w:rPr>
          <w:rFonts w:cs="Arial"/>
          <w:bCs/>
          <w:szCs w:val="22"/>
        </w:rPr>
        <w:lastRenderedPageBreak/>
        <w:t>[9]</w:t>
      </w:r>
      <w:r>
        <w:rPr>
          <w:rFonts w:cs="Arial"/>
          <w:bCs/>
          <w:szCs w:val="22"/>
        </w:rPr>
        <w:tab/>
      </w:r>
      <w:r w:rsidR="00E77FA2" w:rsidRPr="00CD1301">
        <w:rPr>
          <w:rFonts w:cs="Arial"/>
          <w:bCs/>
          <w:szCs w:val="22"/>
        </w:rPr>
        <w:t>The fairness or otherwise of disciplinary proceedings between employer and employee is regulated by the Labour Relations Act</w:t>
      </w:r>
      <w:r w:rsidR="00307200" w:rsidRPr="00CD1301">
        <w:rPr>
          <w:rFonts w:cs="Arial"/>
          <w:bCs/>
          <w:szCs w:val="22"/>
        </w:rPr>
        <w:t xml:space="preserve"> </w:t>
      </w:r>
      <w:r w:rsidR="00E77FA2" w:rsidRPr="00CD1301">
        <w:rPr>
          <w:rFonts w:cs="Arial"/>
          <w:bCs/>
          <w:szCs w:val="22"/>
        </w:rPr>
        <w:t xml:space="preserve">and </w:t>
      </w:r>
      <w:r w:rsidR="007728F6" w:rsidRPr="00CD1301">
        <w:rPr>
          <w:rFonts w:cs="Arial"/>
          <w:bCs/>
          <w:szCs w:val="22"/>
        </w:rPr>
        <w:t xml:space="preserve">the respondents argue that </w:t>
      </w:r>
      <w:r w:rsidR="00E77FA2" w:rsidRPr="00CD1301">
        <w:rPr>
          <w:rFonts w:cs="Arial"/>
          <w:bCs/>
          <w:szCs w:val="22"/>
        </w:rPr>
        <w:t>no case is made out in the founding papers to bring the matter within the jurisdictional ambit of the High Court.</w:t>
      </w:r>
      <w:r w:rsidR="008824C8" w:rsidRPr="00CD1301">
        <w:rPr>
          <w:rFonts w:cs="Arial"/>
          <w:bCs/>
          <w:szCs w:val="22"/>
        </w:rPr>
        <w:t xml:space="preserve"> . </w:t>
      </w:r>
    </w:p>
    <w:p w14:paraId="223025B0" w14:textId="3EE28202" w:rsidR="00307200"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[10]</w:t>
      </w:r>
      <w:r>
        <w:rPr>
          <w:rFonts w:cs="Arial"/>
          <w:bCs/>
          <w:szCs w:val="22"/>
        </w:rPr>
        <w:tab/>
      </w:r>
      <w:r w:rsidR="008824C8" w:rsidRPr="00CD1301">
        <w:rPr>
          <w:rFonts w:cs="Arial"/>
          <w:bCs/>
          <w:szCs w:val="22"/>
        </w:rPr>
        <w:t xml:space="preserve">The applicant on the other hand argues that her application </w:t>
      </w:r>
      <w:r w:rsidR="006D134C" w:rsidRPr="00CD1301">
        <w:rPr>
          <w:rFonts w:cs="Arial"/>
          <w:bCs/>
          <w:szCs w:val="22"/>
        </w:rPr>
        <w:t xml:space="preserve">is based on constitutional principles and therefore that the High Court has jurisdiction in terms of section 157 (2). It is correct that the application is ultimately related to the constitutional right to fair labour practices entrenched in the constitution, but this is so in the sense that the Constitution </w:t>
      </w:r>
      <w:r w:rsidR="00307200" w:rsidRPr="00CD1301">
        <w:rPr>
          <w:rFonts w:cs="Arial"/>
          <w:bCs/>
          <w:szCs w:val="22"/>
        </w:rPr>
        <w:t>pervades</w:t>
      </w:r>
      <w:r w:rsidR="006D134C" w:rsidRPr="00CD1301">
        <w:rPr>
          <w:rFonts w:cs="Arial"/>
          <w:bCs/>
          <w:szCs w:val="22"/>
        </w:rPr>
        <w:t xml:space="preserve"> all of the law. </w:t>
      </w:r>
    </w:p>
    <w:p w14:paraId="69E43143" w14:textId="219337A8" w:rsidR="008824C8" w:rsidRPr="00CD1301" w:rsidRDefault="00CD1301" w:rsidP="00CD1301">
      <w:pPr>
        <w:widowControl w:val="0"/>
        <w:tabs>
          <w:tab w:val="left" w:pos="567"/>
        </w:tabs>
        <w:spacing w:before="240" w:after="240" w:line="360" w:lineRule="auto"/>
        <w:jc w:val="both"/>
        <w:rPr>
          <w:rFonts w:cs="Arial"/>
          <w:bCs/>
          <w:szCs w:val="22"/>
        </w:rPr>
      </w:pPr>
      <w:r w:rsidRPr="006D28A5">
        <w:rPr>
          <w:rFonts w:cs="Arial"/>
          <w:bCs/>
          <w:szCs w:val="22"/>
        </w:rPr>
        <w:t>[11]</w:t>
      </w:r>
      <w:r w:rsidRPr="006D28A5">
        <w:rPr>
          <w:rFonts w:cs="Arial"/>
          <w:bCs/>
          <w:szCs w:val="22"/>
        </w:rPr>
        <w:tab/>
      </w:r>
      <w:r w:rsidR="00307200" w:rsidRPr="00CD1301">
        <w:rPr>
          <w:rFonts w:cs="Arial"/>
          <w:bCs/>
          <w:szCs w:val="22"/>
        </w:rPr>
        <w:t xml:space="preserve">A litigant can in my view not escape the restriction imposed by section 157 (1) of the Labour </w:t>
      </w:r>
      <w:r w:rsidR="006D28A5" w:rsidRPr="00CD1301">
        <w:rPr>
          <w:rFonts w:cs="Arial"/>
          <w:bCs/>
          <w:szCs w:val="22"/>
        </w:rPr>
        <w:t xml:space="preserve">Relations Act </w:t>
      </w:r>
      <w:r w:rsidR="00307200" w:rsidRPr="00CD1301">
        <w:rPr>
          <w:rFonts w:cs="Arial"/>
          <w:bCs/>
          <w:szCs w:val="22"/>
        </w:rPr>
        <w:t>merely by referring also to constitutionally entrenched rights in order to invoke section 157 (2).</w:t>
      </w:r>
      <w:r w:rsidR="006D28A5" w:rsidRPr="00CD1301">
        <w:rPr>
          <w:rFonts w:cs="Arial"/>
          <w:bCs/>
          <w:szCs w:val="22"/>
        </w:rPr>
        <w:t xml:space="preserve"> I need not however decide this question in this application and </w:t>
      </w:r>
      <w:r w:rsidR="006D134C" w:rsidRPr="00CD1301">
        <w:rPr>
          <w:rFonts w:cs="Arial"/>
          <w:bCs/>
          <w:szCs w:val="22"/>
        </w:rPr>
        <w:t>I shall assume without deciding that the High Court does enjoy jurisdiction to hear this interdict application.</w:t>
      </w:r>
    </w:p>
    <w:p w14:paraId="1919454F" w14:textId="77777777" w:rsidR="00044778" w:rsidRDefault="00044778" w:rsidP="00307200">
      <w:pPr>
        <w:widowControl w:val="0"/>
        <w:spacing w:before="240" w:after="240" w:line="360" w:lineRule="auto"/>
        <w:jc w:val="both"/>
        <w:rPr>
          <w:rFonts w:cs="Arial"/>
          <w:bCs/>
          <w:szCs w:val="22"/>
          <w:u w:val="single"/>
        </w:rPr>
      </w:pPr>
    </w:p>
    <w:p w14:paraId="0AB95F63" w14:textId="02EB27A1" w:rsidR="00044778" w:rsidRPr="00044778" w:rsidRDefault="00044778" w:rsidP="00307200">
      <w:pPr>
        <w:widowControl w:val="0"/>
        <w:spacing w:before="240" w:after="240" w:line="360" w:lineRule="auto"/>
        <w:jc w:val="both"/>
        <w:rPr>
          <w:rFonts w:cs="Arial"/>
          <w:bCs/>
          <w:szCs w:val="22"/>
          <w:u w:val="single"/>
        </w:rPr>
      </w:pPr>
      <w:r w:rsidRPr="00044778">
        <w:rPr>
          <w:rFonts w:cs="Arial"/>
          <w:bCs/>
          <w:szCs w:val="22"/>
          <w:u w:val="single"/>
        </w:rPr>
        <w:t>Section 217 of the Constitution and the principle of subsidiarity</w:t>
      </w:r>
    </w:p>
    <w:p w14:paraId="72A3F796" w14:textId="21151751" w:rsidR="00F52F4E"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[12]</w:t>
      </w:r>
      <w:r>
        <w:rPr>
          <w:rFonts w:cs="Arial"/>
          <w:bCs/>
          <w:szCs w:val="22"/>
        </w:rPr>
        <w:tab/>
      </w:r>
      <w:r w:rsidR="002B463F" w:rsidRPr="00CD1301">
        <w:rPr>
          <w:rFonts w:cs="Arial"/>
          <w:bCs/>
          <w:szCs w:val="22"/>
        </w:rPr>
        <w:t xml:space="preserve">The applicant </w:t>
      </w:r>
      <w:r w:rsidR="00EF30EF" w:rsidRPr="00CD1301">
        <w:rPr>
          <w:rFonts w:cs="Arial"/>
          <w:bCs/>
          <w:szCs w:val="22"/>
        </w:rPr>
        <w:t>submits</w:t>
      </w:r>
      <w:r w:rsidR="002B463F" w:rsidRPr="00CD1301">
        <w:rPr>
          <w:rFonts w:cs="Arial"/>
          <w:bCs/>
          <w:szCs w:val="22"/>
        </w:rPr>
        <w:t xml:space="preserve"> that the fourth respondent was appointed in contravention of section 217 of the Constitution, 1996, in that a competitive bidding process was not followed. There is no merit in the argument. The principle of subsidiarity applies and</w:t>
      </w:r>
      <w:r w:rsidR="00D849E3" w:rsidRPr="00CD1301">
        <w:rPr>
          <w:rFonts w:cs="Arial"/>
          <w:bCs/>
          <w:szCs w:val="22"/>
        </w:rPr>
        <w:t xml:space="preserve"> the Public Finance Management Act</w:t>
      </w:r>
      <w:r w:rsidR="00437EB4" w:rsidRPr="00CD1301">
        <w:rPr>
          <w:rFonts w:cs="Arial"/>
          <w:bCs/>
          <w:szCs w:val="22"/>
        </w:rPr>
        <w:t xml:space="preserve"> 1 of 1999 </w:t>
      </w:r>
      <w:r w:rsidR="00D849E3" w:rsidRPr="00CD1301">
        <w:rPr>
          <w:rFonts w:cs="Arial"/>
          <w:bCs/>
          <w:szCs w:val="22"/>
        </w:rPr>
        <w:t xml:space="preserve">was adopted by Parliament to give effect to the provisions of section 217 of the Constitution. </w:t>
      </w:r>
    </w:p>
    <w:p w14:paraId="41569C01" w14:textId="4A5AD693" w:rsidR="002B463F" w:rsidRDefault="00CD1301" w:rsidP="00CD1301">
      <w:pPr>
        <w:widowControl w:val="0"/>
        <w:tabs>
          <w:tab w:val="left" w:pos="567"/>
        </w:tabs>
        <w:spacing w:before="240" w:after="240" w:line="360" w:lineRule="auto"/>
        <w:jc w:val="both"/>
        <w:rPr>
          <w:rFonts w:cs="Arial"/>
          <w:bCs/>
          <w:szCs w:val="22"/>
        </w:rPr>
      </w:pPr>
      <w:r>
        <w:rPr>
          <w:rFonts w:cs="Arial"/>
          <w:bCs/>
          <w:szCs w:val="22"/>
        </w:rPr>
        <w:t>[13]</w:t>
      </w:r>
      <w:r>
        <w:rPr>
          <w:rFonts w:cs="Arial"/>
          <w:bCs/>
          <w:szCs w:val="22"/>
        </w:rPr>
        <w:tab/>
      </w:r>
      <w:r w:rsidR="002B463F">
        <w:rPr>
          <w:rFonts w:cs="Arial"/>
          <w:bCs/>
          <w:szCs w:val="22"/>
        </w:rPr>
        <w:t>Cameron J</w:t>
      </w:r>
      <w:r w:rsidR="002B463F">
        <w:rPr>
          <w:rStyle w:val="FootnoteReference"/>
          <w:rFonts w:cs="Arial"/>
          <w:bCs/>
          <w:szCs w:val="22"/>
        </w:rPr>
        <w:footnoteReference w:id="7"/>
      </w:r>
      <w:r w:rsidR="002B463F">
        <w:rPr>
          <w:rFonts w:cs="Arial"/>
          <w:bCs/>
          <w:szCs w:val="22"/>
        </w:rPr>
        <w:t xml:space="preserve"> in the Constitutional Court said in </w:t>
      </w:r>
      <w:r w:rsidR="002B463F" w:rsidRPr="00B344A6">
        <w:rPr>
          <w:i/>
          <w:iCs/>
          <w:lang w:val="en-GB"/>
        </w:rPr>
        <w:t>My Vote Counts v Speaker of the National Assembly</w:t>
      </w:r>
      <w:r w:rsidR="002B463F">
        <w:rPr>
          <w:rFonts w:cs="Arial"/>
          <w:bCs/>
          <w:szCs w:val="22"/>
        </w:rPr>
        <w:t>:</w:t>
      </w:r>
      <w:r w:rsidR="002B463F">
        <w:rPr>
          <w:rStyle w:val="FootnoteReference"/>
          <w:rFonts w:cs="Arial"/>
          <w:bCs/>
          <w:szCs w:val="22"/>
        </w:rPr>
        <w:footnoteReference w:id="8"/>
      </w:r>
    </w:p>
    <w:p w14:paraId="32ABA3E3" w14:textId="77777777" w:rsidR="002B463F" w:rsidRDefault="002B463F" w:rsidP="00307200">
      <w:pPr>
        <w:widowControl w:val="0"/>
        <w:spacing w:before="240" w:after="240" w:line="360" w:lineRule="auto"/>
        <w:ind w:left="1440"/>
        <w:jc w:val="both"/>
        <w:rPr>
          <w:i/>
          <w:iCs/>
        </w:rPr>
      </w:pPr>
      <w:r>
        <w:rPr>
          <w:i/>
          <w:iCs/>
        </w:rPr>
        <w:t>“</w:t>
      </w:r>
      <w:r w:rsidRPr="00F34E34">
        <w:rPr>
          <w:i/>
          <w:iCs/>
        </w:rPr>
        <w:t xml:space="preserve">[53] These considerations yield the norm that a litigant cannot directly invoke the Constitution to extract a right he or she seeks to enforce without first relying on, or attacking the constitutionality of, legislation enacted to give effect to that right. This is the form of constitutional subsidiarity Parliament invokes here. Once legislation to fulfil a constitutional right </w:t>
      </w:r>
      <w:r w:rsidRPr="00F34E34">
        <w:rPr>
          <w:i/>
          <w:iCs/>
        </w:rPr>
        <w:lastRenderedPageBreak/>
        <w:t>exists, the Constitution's embodiment of that right is no longer the prime mechanism for its enforcement. The legislation is primary. The right in the Constitution plays only a subsidiary or supporting role.</w:t>
      </w:r>
      <w:r>
        <w:rPr>
          <w:i/>
          <w:iCs/>
        </w:rPr>
        <w:t>”</w:t>
      </w:r>
    </w:p>
    <w:p w14:paraId="2C0F3A6C" w14:textId="77777777" w:rsidR="00FA456B" w:rsidRDefault="00FA456B" w:rsidP="00FA456B">
      <w:pPr>
        <w:widowControl w:val="0"/>
        <w:spacing w:before="240" w:after="240" w:line="360" w:lineRule="auto"/>
        <w:jc w:val="both"/>
        <w:rPr>
          <w:rFonts w:cs="Arial"/>
          <w:bCs/>
          <w:szCs w:val="22"/>
        </w:rPr>
      </w:pPr>
    </w:p>
    <w:p w14:paraId="3812211E" w14:textId="258DC211" w:rsidR="00FA456B" w:rsidRPr="00CD1301" w:rsidRDefault="00CD1301" w:rsidP="00CD1301">
      <w:pPr>
        <w:tabs>
          <w:tab w:val="left" w:pos="567"/>
        </w:tabs>
        <w:spacing w:before="240" w:after="240" w:line="360" w:lineRule="auto"/>
        <w:rPr>
          <w:i/>
          <w:iCs/>
          <w:u w:val="single"/>
        </w:rPr>
      </w:pPr>
      <w:r w:rsidRPr="00FA456B">
        <w:rPr>
          <w:iCs/>
        </w:rPr>
        <w:t>[14]</w:t>
      </w:r>
      <w:r w:rsidRPr="00FA456B">
        <w:rPr>
          <w:iCs/>
        </w:rPr>
        <w:tab/>
      </w:r>
      <w:r w:rsidR="00FA456B">
        <w:t>The applicant does not take issue with the Public Finance Management Act and how it was implemented.</w:t>
      </w:r>
    </w:p>
    <w:p w14:paraId="6200084B" w14:textId="77777777" w:rsidR="00FA456B" w:rsidRPr="00FA456B" w:rsidRDefault="00FA456B" w:rsidP="00FA456B">
      <w:pPr>
        <w:pStyle w:val="ListParagraph"/>
        <w:ind w:left="0"/>
        <w:rPr>
          <w:i/>
          <w:iCs/>
          <w:u w:val="single"/>
        </w:rPr>
      </w:pPr>
    </w:p>
    <w:p w14:paraId="4931B499" w14:textId="77777777" w:rsidR="00FA456B" w:rsidRDefault="00FA456B" w:rsidP="00FA456B">
      <w:pPr>
        <w:widowControl w:val="0"/>
        <w:spacing w:before="240" w:after="240" w:line="360" w:lineRule="auto"/>
        <w:jc w:val="both"/>
        <w:rPr>
          <w:rFonts w:cs="Arial"/>
          <w:bCs/>
          <w:szCs w:val="22"/>
          <w:u w:val="single"/>
        </w:rPr>
      </w:pPr>
    </w:p>
    <w:p w14:paraId="364AFDD0" w14:textId="23965204" w:rsidR="00FA456B" w:rsidRPr="00FA456B" w:rsidRDefault="00FA456B" w:rsidP="00FA456B">
      <w:pPr>
        <w:widowControl w:val="0"/>
        <w:spacing w:before="240" w:after="240" w:line="360" w:lineRule="auto"/>
        <w:jc w:val="both"/>
        <w:rPr>
          <w:rFonts w:cs="Arial"/>
          <w:bCs/>
          <w:szCs w:val="22"/>
          <w:u w:val="single"/>
        </w:rPr>
      </w:pPr>
      <w:r w:rsidRPr="00FA456B">
        <w:rPr>
          <w:rFonts w:cs="Arial"/>
          <w:bCs/>
          <w:szCs w:val="22"/>
          <w:u w:val="single"/>
        </w:rPr>
        <w:t xml:space="preserve">The decision to institute </w:t>
      </w:r>
      <w:r w:rsidR="00DD074A" w:rsidRPr="00FA456B">
        <w:rPr>
          <w:rFonts w:cs="Arial"/>
          <w:bCs/>
          <w:szCs w:val="22"/>
          <w:u w:val="single"/>
        </w:rPr>
        <w:t>disciplinary</w:t>
      </w:r>
      <w:r w:rsidRPr="00FA456B">
        <w:rPr>
          <w:rFonts w:cs="Arial"/>
          <w:bCs/>
          <w:szCs w:val="22"/>
          <w:u w:val="single"/>
        </w:rPr>
        <w:t xml:space="preserve"> proceedings</w:t>
      </w:r>
    </w:p>
    <w:p w14:paraId="5D4405DB" w14:textId="58761BA4" w:rsidR="00653548"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[15]</w:t>
      </w:r>
      <w:r>
        <w:rPr>
          <w:rFonts w:cs="Arial"/>
          <w:bCs/>
          <w:szCs w:val="22"/>
        </w:rPr>
        <w:tab/>
      </w:r>
      <w:r w:rsidR="00B36DB5" w:rsidRPr="00CD1301">
        <w:rPr>
          <w:rFonts w:cs="Arial"/>
          <w:bCs/>
          <w:szCs w:val="22"/>
        </w:rPr>
        <w:t>In terms of section 2G (2)</w:t>
      </w:r>
      <w:r w:rsidR="00077B2B">
        <w:rPr>
          <w:rStyle w:val="FootnoteReference"/>
          <w:rFonts w:cs="Arial"/>
          <w:bCs/>
          <w:szCs w:val="22"/>
        </w:rPr>
        <w:footnoteReference w:id="9"/>
      </w:r>
      <w:r w:rsidR="00B36DB5" w:rsidRPr="00CD1301">
        <w:rPr>
          <w:rFonts w:cs="Arial"/>
          <w:bCs/>
          <w:szCs w:val="22"/>
        </w:rPr>
        <w:t xml:space="preserve"> of the Lotteries Act the board of the first respondent shall institute disciplinary proceedings against an employee who fails to comply with section 2G. </w:t>
      </w:r>
      <w:r w:rsidR="00437EB4" w:rsidRPr="00CD1301">
        <w:rPr>
          <w:rFonts w:cs="Arial"/>
          <w:bCs/>
          <w:szCs w:val="22"/>
        </w:rPr>
        <w:t>The applicant is critical of the fact that the</w:t>
      </w:r>
      <w:r w:rsidR="00653548" w:rsidRPr="00CD1301">
        <w:rPr>
          <w:rFonts w:cs="Arial"/>
          <w:bCs/>
          <w:szCs w:val="22"/>
        </w:rPr>
        <w:t xml:space="preserve"> applicant was suspended by the third respondent and not by the board. </w:t>
      </w:r>
    </w:p>
    <w:p w14:paraId="711D5969" w14:textId="095F12C1" w:rsidR="00DC4322"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[16]</w:t>
      </w:r>
      <w:r>
        <w:rPr>
          <w:rFonts w:cs="Arial"/>
          <w:bCs/>
          <w:szCs w:val="22"/>
        </w:rPr>
        <w:tab/>
      </w:r>
      <w:r w:rsidR="00437EB4" w:rsidRPr="00CD1301">
        <w:rPr>
          <w:rFonts w:cs="Arial"/>
          <w:bCs/>
          <w:szCs w:val="22"/>
        </w:rPr>
        <w:t xml:space="preserve"> </w:t>
      </w:r>
      <w:r w:rsidR="00B36DB5" w:rsidRPr="00CD1301">
        <w:rPr>
          <w:rFonts w:cs="Arial"/>
          <w:bCs/>
          <w:szCs w:val="22"/>
        </w:rPr>
        <w:t>The board of the NLC received a report of the disciplinary action instituted against the applicant in January 202</w:t>
      </w:r>
      <w:r w:rsidR="00FA456B" w:rsidRPr="00CD1301">
        <w:rPr>
          <w:rFonts w:cs="Arial"/>
          <w:bCs/>
          <w:szCs w:val="22"/>
        </w:rPr>
        <w:t>4</w:t>
      </w:r>
      <w:r w:rsidR="00B36DB5" w:rsidRPr="00CD1301">
        <w:rPr>
          <w:rFonts w:cs="Arial"/>
          <w:bCs/>
          <w:szCs w:val="22"/>
        </w:rPr>
        <w:t xml:space="preserve"> and approved of the action taken. This is confirmed in a confirmatory affidavit by the chairperson of the board.</w:t>
      </w:r>
      <w:r w:rsidR="00DC4322" w:rsidRPr="00CD1301">
        <w:rPr>
          <w:rFonts w:cs="Arial"/>
          <w:bCs/>
          <w:szCs w:val="22"/>
        </w:rPr>
        <w:t xml:space="preserve"> The right of the first respondent to file the supplementary affidavit is disputed </w:t>
      </w:r>
      <w:r w:rsidR="00FA456B" w:rsidRPr="00CD1301">
        <w:rPr>
          <w:rFonts w:cs="Arial"/>
          <w:bCs/>
          <w:szCs w:val="22"/>
        </w:rPr>
        <w:t>but</w:t>
      </w:r>
      <w:r w:rsidR="00DC4322" w:rsidRPr="00CD1301">
        <w:rPr>
          <w:rFonts w:cs="Arial"/>
          <w:bCs/>
          <w:szCs w:val="22"/>
        </w:rPr>
        <w:t xml:space="preserve"> I am satisfied in any event that the third respondent has personal knowledge of these affairs in her capacity as commissioner and that her evidence that the report was made to the Board and approved can be accepted. There is no indication that any vested rights of the applicant were affected by the subsequent ratification insofar as it was necessary to do so and the ratification is lawful.</w:t>
      </w:r>
      <w:r w:rsidR="00DC4322">
        <w:rPr>
          <w:rStyle w:val="FootnoteReference"/>
          <w:rFonts w:cs="Arial"/>
          <w:bCs/>
          <w:szCs w:val="22"/>
        </w:rPr>
        <w:footnoteReference w:id="10"/>
      </w:r>
    </w:p>
    <w:p w14:paraId="481EB52E" w14:textId="2E5F9A47" w:rsidR="00B36DB5" w:rsidRPr="00CD1301" w:rsidRDefault="00CD1301" w:rsidP="00CD1301">
      <w:pPr>
        <w:widowControl w:val="0"/>
        <w:tabs>
          <w:tab w:val="left" w:pos="567"/>
        </w:tabs>
        <w:spacing w:before="240" w:after="240" w:line="360" w:lineRule="auto"/>
        <w:jc w:val="both"/>
        <w:rPr>
          <w:rFonts w:cs="Arial"/>
          <w:bCs/>
          <w:szCs w:val="22"/>
        </w:rPr>
      </w:pPr>
      <w:r w:rsidRPr="001F53E8">
        <w:rPr>
          <w:rFonts w:cs="Arial"/>
          <w:bCs/>
          <w:szCs w:val="22"/>
        </w:rPr>
        <w:t>[17]</w:t>
      </w:r>
      <w:r w:rsidRPr="001F53E8">
        <w:rPr>
          <w:rFonts w:cs="Arial"/>
          <w:bCs/>
          <w:szCs w:val="22"/>
        </w:rPr>
        <w:tab/>
      </w:r>
      <w:r w:rsidR="00DC4322" w:rsidRPr="00CD1301">
        <w:rPr>
          <w:rFonts w:cs="Arial"/>
          <w:bCs/>
          <w:szCs w:val="22"/>
        </w:rPr>
        <w:t xml:space="preserve">The board of the NLC is responsible for the governance of the entity while the third respondent as Commissioner is responsible for the day-to-day administration and management. The obligation of the board is satisfied when the Commissioner initiates proceedings </w:t>
      </w:r>
      <w:r w:rsidR="006D28A5" w:rsidRPr="00CD1301">
        <w:rPr>
          <w:rFonts w:cs="Arial"/>
          <w:bCs/>
          <w:szCs w:val="22"/>
        </w:rPr>
        <w:t>but</w:t>
      </w:r>
      <w:r w:rsidR="00DC4322" w:rsidRPr="00CD1301">
        <w:rPr>
          <w:rFonts w:cs="Arial"/>
          <w:bCs/>
          <w:szCs w:val="22"/>
        </w:rPr>
        <w:t xml:space="preserve"> it remains the responsibility of the board to ensure that steps are taken when appropriate to do so. There is after all an obligation on the board to ensure</w:t>
      </w:r>
      <w:r w:rsidR="006D28A5" w:rsidRPr="00CD1301">
        <w:rPr>
          <w:rFonts w:cs="Arial"/>
          <w:bCs/>
          <w:szCs w:val="22"/>
        </w:rPr>
        <w:t xml:space="preserve"> the law is applied</w:t>
      </w:r>
      <w:r w:rsidR="00DC4322" w:rsidRPr="00CD1301">
        <w:rPr>
          <w:rFonts w:cs="Arial"/>
          <w:bCs/>
          <w:szCs w:val="22"/>
        </w:rPr>
        <w:t xml:space="preserve"> and </w:t>
      </w:r>
      <w:r w:rsidR="006D28A5" w:rsidRPr="00CD1301">
        <w:rPr>
          <w:rFonts w:cs="Arial"/>
          <w:bCs/>
          <w:szCs w:val="22"/>
        </w:rPr>
        <w:t xml:space="preserve">to </w:t>
      </w:r>
      <w:r w:rsidR="00DC4322" w:rsidRPr="00CD1301">
        <w:rPr>
          <w:rFonts w:cs="Arial"/>
          <w:bCs/>
          <w:szCs w:val="22"/>
        </w:rPr>
        <w:t>authorise disciplinary proceedings in a case of a breach of section 2G of the Lotteries Act.</w:t>
      </w:r>
    </w:p>
    <w:p w14:paraId="35B23C3B" w14:textId="27B176FA" w:rsidR="00B36DB5"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[18]</w:t>
      </w:r>
      <w:r>
        <w:rPr>
          <w:rFonts w:cs="Arial"/>
          <w:bCs/>
          <w:szCs w:val="22"/>
        </w:rPr>
        <w:tab/>
      </w:r>
      <w:r w:rsidR="00B36DB5" w:rsidRPr="00CD1301">
        <w:rPr>
          <w:rFonts w:cs="Arial"/>
          <w:bCs/>
          <w:szCs w:val="22"/>
        </w:rPr>
        <w:t xml:space="preserve">The fourth respondent was appointed through a process in compliance with the </w:t>
      </w:r>
      <w:r w:rsidR="00B36DB5" w:rsidRPr="00CD1301">
        <w:rPr>
          <w:rFonts w:cs="Arial"/>
          <w:bCs/>
          <w:szCs w:val="22"/>
        </w:rPr>
        <w:lastRenderedPageBreak/>
        <w:t xml:space="preserve">supply chain management policy of the NLC. The NLC disciplinary standard operating procedure regulates the appointment of a chairperson to chair disciplinary hearings. An external chairperson with appropriate knowledge and at least five years’ experience in labour law may be appointed to preside over a disciplinary hearing. </w:t>
      </w:r>
      <w:r w:rsidR="006D28A5" w:rsidRPr="00CD1301">
        <w:rPr>
          <w:rFonts w:cs="Arial"/>
          <w:bCs/>
          <w:szCs w:val="22"/>
        </w:rPr>
        <w:t xml:space="preserve"> </w:t>
      </w:r>
      <w:r w:rsidR="00FA456B" w:rsidRPr="00CD1301">
        <w:rPr>
          <w:rFonts w:cs="Arial"/>
          <w:bCs/>
          <w:szCs w:val="22"/>
        </w:rPr>
        <w:t xml:space="preserve">The </w:t>
      </w:r>
      <w:r w:rsidR="006D28A5" w:rsidRPr="00CD1301">
        <w:rPr>
          <w:rFonts w:cs="Arial"/>
          <w:bCs/>
          <w:szCs w:val="22"/>
        </w:rPr>
        <w:t xml:space="preserve">fourth respondent meets the requirement. </w:t>
      </w:r>
    </w:p>
    <w:p w14:paraId="5DB3003E" w14:textId="7ED43F1D" w:rsidR="007E6643"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[19]</w:t>
      </w:r>
      <w:r>
        <w:rPr>
          <w:rFonts w:cs="Arial"/>
          <w:bCs/>
          <w:szCs w:val="22"/>
        </w:rPr>
        <w:tab/>
      </w:r>
      <w:r w:rsidR="006D28A5" w:rsidRPr="00CD1301">
        <w:rPr>
          <w:rFonts w:cs="Arial"/>
          <w:bCs/>
          <w:szCs w:val="22"/>
        </w:rPr>
        <w:t xml:space="preserve">The applicant has not challenged the authority of the fourth respondent in proceedings before him. It was </w:t>
      </w:r>
      <w:r w:rsidR="00FA456B" w:rsidRPr="00CD1301">
        <w:rPr>
          <w:rFonts w:cs="Arial"/>
          <w:bCs/>
          <w:szCs w:val="22"/>
        </w:rPr>
        <w:t>held</w:t>
      </w:r>
      <w:r w:rsidR="006D28A5" w:rsidRPr="00CD1301">
        <w:rPr>
          <w:rFonts w:cs="Arial"/>
          <w:bCs/>
          <w:szCs w:val="22"/>
        </w:rPr>
        <w:t xml:space="preserve"> in</w:t>
      </w:r>
      <w:r w:rsidR="006D28A5" w:rsidRPr="00CD1301">
        <w:rPr>
          <w:i/>
          <w:iCs/>
        </w:rPr>
        <w:t xml:space="preserve"> Jiba v Minister of Justice and Constitutional Development and Others</w:t>
      </w:r>
      <w:r w:rsidR="006D28A5" w:rsidRPr="00CD1301">
        <w:rPr>
          <w:rFonts w:cs="Arial"/>
          <w:bCs/>
          <w:szCs w:val="22"/>
        </w:rPr>
        <w:t>,</w:t>
      </w:r>
      <w:r w:rsidR="006D28A5">
        <w:rPr>
          <w:rStyle w:val="FootnoteReference"/>
          <w:rFonts w:cs="Arial"/>
          <w:bCs/>
          <w:szCs w:val="22"/>
        </w:rPr>
        <w:footnoteReference w:id="11"/>
      </w:r>
      <w:r w:rsidR="006D28A5" w:rsidRPr="00CD1301">
        <w:rPr>
          <w:rFonts w:cs="Arial"/>
          <w:bCs/>
          <w:szCs w:val="22"/>
        </w:rPr>
        <w:t xml:space="preserve"> that there is no reason for the authority to dismiss an employee to be determined by the court in motion proceedings initiated on an urgent basis when the tribunal itself has not made any ruling in this regard. </w:t>
      </w:r>
    </w:p>
    <w:p w14:paraId="7B80782D" w14:textId="12714697" w:rsidR="00F52F4E" w:rsidRPr="00CD1301" w:rsidRDefault="00CD1301" w:rsidP="00CD1301">
      <w:pPr>
        <w:widowControl w:val="0"/>
        <w:tabs>
          <w:tab w:val="left" w:pos="567"/>
        </w:tabs>
        <w:spacing w:before="240" w:after="240" w:line="360" w:lineRule="auto"/>
        <w:jc w:val="both"/>
        <w:rPr>
          <w:rFonts w:cs="Arial"/>
          <w:bCs/>
          <w:szCs w:val="22"/>
          <w:u w:val="single"/>
        </w:rPr>
      </w:pPr>
      <w:r w:rsidRPr="007E6643">
        <w:rPr>
          <w:rFonts w:cs="Arial"/>
          <w:bCs/>
          <w:szCs w:val="22"/>
        </w:rPr>
        <w:t>[20]</w:t>
      </w:r>
      <w:r w:rsidRPr="007E6643">
        <w:rPr>
          <w:rFonts w:cs="Arial"/>
          <w:bCs/>
          <w:szCs w:val="22"/>
        </w:rPr>
        <w:tab/>
      </w:r>
      <w:r w:rsidR="007E6643" w:rsidRPr="00CD1301">
        <w:rPr>
          <w:rFonts w:cs="Arial"/>
          <w:bCs/>
          <w:szCs w:val="22"/>
        </w:rPr>
        <w:t>The applicant chose to challenge the authority of the fourth respondent in court proceedings but the evidence presented does not justify granting the order sought.</w:t>
      </w:r>
    </w:p>
    <w:p w14:paraId="0B0B1328" w14:textId="77777777" w:rsidR="007E6643" w:rsidRDefault="007E6643" w:rsidP="00307200">
      <w:pPr>
        <w:widowControl w:val="0"/>
        <w:spacing w:before="240" w:after="240" w:line="360" w:lineRule="auto"/>
        <w:jc w:val="both"/>
        <w:rPr>
          <w:rFonts w:cs="Arial"/>
          <w:bCs/>
          <w:szCs w:val="22"/>
          <w:u w:val="single"/>
        </w:rPr>
      </w:pPr>
    </w:p>
    <w:p w14:paraId="549855D0" w14:textId="4984E9D3" w:rsidR="00F52F4E" w:rsidRPr="00F52F4E" w:rsidRDefault="00F52F4E" w:rsidP="00307200">
      <w:pPr>
        <w:widowControl w:val="0"/>
        <w:spacing w:before="240" w:after="240" w:line="360" w:lineRule="auto"/>
        <w:jc w:val="both"/>
        <w:rPr>
          <w:rFonts w:cs="Arial"/>
          <w:bCs/>
          <w:szCs w:val="22"/>
          <w:u w:val="single"/>
        </w:rPr>
      </w:pPr>
      <w:r w:rsidRPr="00F52F4E">
        <w:rPr>
          <w:rFonts w:cs="Arial"/>
          <w:bCs/>
          <w:szCs w:val="22"/>
          <w:u w:val="single"/>
        </w:rPr>
        <w:t>The disciplinary hearing</w:t>
      </w:r>
    </w:p>
    <w:p w14:paraId="7E0275FB" w14:textId="741F6B90" w:rsidR="00F52F4E"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[21]</w:t>
      </w:r>
      <w:r>
        <w:rPr>
          <w:rFonts w:cs="Arial"/>
          <w:bCs/>
          <w:szCs w:val="22"/>
        </w:rPr>
        <w:tab/>
      </w:r>
      <w:r w:rsidR="00D849E3" w:rsidRPr="00CD1301">
        <w:rPr>
          <w:rFonts w:cs="Arial"/>
          <w:bCs/>
          <w:szCs w:val="22"/>
        </w:rPr>
        <w:t>The applicant is facing a disciplinary hearing before the fourth respondent and pending the finalisation of the hearing she was suspended on 16 October 2023 with full pay and benefits. Serious charges have been brought against her namely that she benefited financially from a grant beneficiary of the NLC. This is strictly prohibited.</w:t>
      </w:r>
      <w:r w:rsidR="00F52F4E" w:rsidRPr="00CD1301">
        <w:rPr>
          <w:rFonts w:cs="Arial"/>
          <w:bCs/>
          <w:szCs w:val="22"/>
        </w:rPr>
        <w:t xml:space="preserve"> She admits that various amounts were paid into her bank account but says these were payments made by a suitor who at the time wanted to impress upon her that he was in a financial position to care for her.</w:t>
      </w:r>
      <w:r w:rsidR="00EF30EF" w:rsidRPr="00CD1301">
        <w:rPr>
          <w:rFonts w:cs="Arial"/>
          <w:bCs/>
          <w:szCs w:val="22"/>
        </w:rPr>
        <w:t xml:space="preserve"> They subsequently did enter into a relationship.</w:t>
      </w:r>
    </w:p>
    <w:p w14:paraId="708225EA" w14:textId="646A16E0" w:rsidR="00D849E3"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[22]</w:t>
      </w:r>
      <w:r>
        <w:rPr>
          <w:rFonts w:cs="Arial"/>
          <w:bCs/>
          <w:szCs w:val="22"/>
        </w:rPr>
        <w:tab/>
      </w:r>
      <w:r w:rsidR="00D849E3" w:rsidRPr="00CD1301">
        <w:rPr>
          <w:rFonts w:cs="Arial"/>
          <w:bCs/>
          <w:szCs w:val="22"/>
        </w:rPr>
        <w:t xml:space="preserve"> The applicant was informed on 12 January 2024 that the fourth respondent had been appointed to preside over the disciplinary hearing and the hearing commenced on 5 February 2024 and convened again on 15 February 2024. On both occasions the applicant objected to the continuation of the hearing and she informed the tribunal that she was in the process of filing an application to review </w:t>
      </w:r>
      <w:r w:rsidR="00F52F4E" w:rsidRPr="00CD1301">
        <w:rPr>
          <w:rFonts w:cs="Arial"/>
          <w:bCs/>
          <w:szCs w:val="22"/>
        </w:rPr>
        <w:t xml:space="preserve">and </w:t>
      </w:r>
      <w:r w:rsidR="00D849E3" w:rsidRPr="00CD1301">
        <w:rPr>
          <w:rFonts w:cs="Arial"/>
          <w:bCs/>
          <w:szCs w:val="22"/>
        </w:rPr>
        <w:t xml:space="preserve">aside the report of the </w:t>
      </w:r>
      <w:r w:rsidR="006D28A5" w:rsidRPr="00CD1301">
        <w:rPr>
          <w:rFonts w:cs="Arial"/>
          <w:bCs/>
          <w:szCs w:val="22"/>
        </w:rPr>
        <w:t>Special Investigation Unit</w:t>
      </w:r>
      <w:r w:rsidR="00D849E3" w:rsidRPr="00CD1301">
        <w:rPr>
          <w:rFonts w:cs="Arial"/>
          <w:bCs/>
          <w:szCs w:val="22"/>
        </w:rPr>
        <w:t xml:space="preserve"> which formed the basis of her suspension and the charges brought. It is argued </w:t>
      </w:r>
      <w:r w:rsidR="00F52F4E" w:rsidRPr="00CD1301">
        <w:rPr>
          <w:rFonts w:cs="Arial"/>
          <w:bCs/>
          <w:szCs w:val="22"/>
        </w:rPr>
        <w:t xml:space="preserve">on behalf of the applicant </w:t>
      </w:r>
      <w:r w:rsidR="00D849E3" w:rsidRPr="00CD1301">
        <w:rPr>
          <w:rFonts w:cs="Arial"/>
          <w:bCs/>
          <w:szCs w:val="22"/>
        </w:rPr>
        <w:t>that the report is unlawf</w:t>
      </w:r>
      <w:r w:rsidR="006D28A5" w:rsidRPr="00CD1301">
        <w:rPr>
          <w:rFonts w:cs="Arial"/>
          <w:bCs/>
          <w:szCs w:val="22"/>
        </w:rPr>
        <w:t>ul</w:t>
      </w:r>
      <w:r w:rsidR="00D849E3" w:rsidRPr="00CD1301">
        <w:rPr>
          <w:rFonts w:cs="Arial"/>
          <w:bCs/>
          <w:szCs w:val="22"/>
        </w:rPr>
        <w:t xml:space="preserve"> </w:t>
      </w:r>
      <w:r w:rsidR="00FA456B" w:rsidRPr="00CD1301">
        <w:rPr>
          <w:rFonts w:cs="Arial"/>
          <w:bCs/>
          <w:szCs w:val="22"/>
        </w:rPr>
        <w:t xml:space="preserve">in </w:t>
      </w:r>
      <w:r w:rsidR="00D849E3" w:rsidRPr="00CD1301">
        <w:rPr>
          <w:rFonts w:cs="Arial"/>
          <w:bCs/>
          <w:szCs w:val="22"/>
        </w:rPr>
        <w:t xml:space="preserve">that </w:t>
      </w:r>
      <w:r w:rsidR="00D849E3" w:rsidRPr="00CD1301">
        <w:rPr>
          <w:rFonts w:cs="Arial"/>
          <w:bCs/>
          <w:i/>
          <w:iCs/>
          <w:szCs w:val="22"/>
        </w:rPr>
        <w:t>inter alia</w:t>
      </w:r>
      <w:r w:rsidR="00D849E3" w:rsidRPr="00CD1301">
        <w:rPr>
          <w:rFonts w:cs="Arial"/>
          <w:bCs/>
          <w:szCs w:val="22"/>
        </w:rPr>
        <w:t xml:space="preserve"> the applicant was not afforded a hearing before the </w:t>
      </w:r>
      <w:r w:rsidR="006D28A5" w:rsidRPr="00CD1301">
        <w:rPr>
          <w:rFonts w:cs="Arial"/>
          <w:bCs/>
          <w:szCs w:val="22"/>
        </w:rPr>
        <w:t>Special Investigation Unit</w:t>
      </w:r>
      <w:r w:rsidR="00D849E3" w:rsidRPr="00CD1301">
        <w:rPr>
          <w:rFonts w:cs="Arial"/>
          <w:bCs/>
          <w:szCs w:val="22"/>
        </w:rPr>
        <w:t xml:space="preserve"> made its recommendations.</w:t>
      </w:r>
    </w:p>
    <w:p w14:paraId="4763373A" w14:textId="30B29461" w:rsidR="002507AA" w:rsidRPr="00CD1301" w:rsidRDefault="00CD1301" w:rsidP="00CD1301">
      <w:pPr>
        <w:widowControl w:val="0"/>
        <w:tabs>
          <w:tab w:val="left" w:pos="567"/>
        </w:tabs>
        <w:spacing w:before="240" w:after="240" w:line="360" w:lineRule="auto"/>
        <w:jc w:val="both"/>
        <w:rPr>
          <w:rFonts w:cs="Arial"/>
          <w:bCs/>
          <w:szCs w:val="22"/>
        </w:rPr>
      </w:pPr>
      <w:r>
        <w:rPr>
          <w:rFonts w:cs="Arial"/>
          <w:bCs/>
          <w:szCs w:val="22"/>
        </w:rPr>
        <w:lastRenderedPageBreak/>
        <w:t>[23]</w:t>
      </w:r>
      <w:r>
        <w:rPr>
          <w:rFonts w:cs="Arial"/>
          <w:bCs/>
          <w:szCs w:val="22"/>
        </w:rPr>
        <w:tab/>
      </w:r>
      <w:r w:rsidR="00D849E3" w:rsidRPr="00CD1301">
        <w:rPr>
          <w:rFonts w:cs="Arial"/>
          <w:bCs/>
          <w:szCs w:val="22"/>
        </w:rPr>
        <w:t xml:space="preserve">I point out that the very purpose of the hearing that was convened was and is to afford the applicant the opportunity to present her case </w:t>
      </w:r>
      <w:r w:rsidR="00F52F4E" w:rsidRPr="00CD1301">
        <w:rPr>
          <w:rFonts w:cs="Arial"/>
          <w:bCs/>
          <w:szCs w:val="22"/>
        </w:rPr>
        <w:t xml:space="preserve">and to answer </w:t>
      </w:r>
      <w:r w:rsidR="00D849E3" w:rsidRPr="00CD1301">
        <w:rPr>
          <w:rFonts w:cs="Arial"/>
          <w:bCs/>
          <w:szCs w:val="22"/>
        </w:rPr>
        <w:t>the charges brought against</w:t>
      </w:r>
      <w:r w:rsidR="00F52F4E" w:rsidRPr="00CD1301">
        <w:rPr>
          <w:rFonts w:cs="Arial"/>
          <w:bCs/>
          <w:szCs w:val="22"/>
        </w:rPr>
        <w:t xml:space="preserve"> her,</w:t>
      </w:r>
      <w:r w:rsidR="00D849E3" w:rsidRPr="00CD1301">
        <w:rPr>
          <w:rFonts w:cs="Arial"/>
          <w:bCs/>
          <w:szCs w:val="22"/>
        </w:rPr>
        <w:t xml:space="preserve"> and that the purpose of the main application as well as this urgent application is to prevent the hearing from continuing. </w:t>
      </w:r>
    </w:p>
    <w:p w14:paraId="6FABBE3A" w14:textId="7C90130A" w:rsidR="00D849E3"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[24]</w:t>
      </w:r>
      <w:r>
        <w:rPr>
          <w:rFonts w:cs="Arial"/>
          <w:bCs/>
          <w:szCs w:val="22"/>
        </w:rPr>
        <w:tab/>
      </w:r>
      <w:r w:rsidR="00D849E3" w:rsidRPr="00CD1301">
        <w:rPr>
          <w:rFonts w:cs="Arial"/>
          <w:bCs/>
          <w:szCs w:val="22"/>
        </w:rPr>
        <w:t xml:space="preserve">In the review application that was brought </w:t>
      </w:r>
      <w:r w:rsidR="00FA456B" w:rsidRPr="00CD1301">
        <w:rPr>
          <w:rFonts w:cs="Arial"/>
          <w:bCs/>
          <w:szCs w:val="22"/>
        </w:rPr>
        <w:t>on 5</w:t>
      </w:r>
      <w:r w:rsidR="00D849E3" w:rsidRPr="00CD1301">
        <w:rPr>
          <w:rFonts w:cs="Arial"/>
          <w:bCs/>
          <w:szCs w:val="22"/>
        </w:rPr>
        <w:t xml:space="preserve"> February 2024 the applicant seeks in part A an interdict to prevent the third respondent from implementing the report of the </w:t>
      </w:r>
      <w:r w:rsidR="006D28A5" w:rsidRPr="00CD1301">
        <w:rPr>
          <w:rFonts w:cs="Arial"/>
          <w:bCs/>
          <w:szCs w:val="22"/>
        </w:rPr>
        <w:t>Special Investigation Unit</w:t>
      </w:r>
      <w:r w:rsidR="00D849E3" w:rsidRPr="00CD1301">
        <w:rPr>
          <w:rFonts w:cs="Arial"/>
          <w:bCs/>
          <w:szCs w:val="22"/>
        </w:rPr>
        <w:t xml:space="preserve"> and </w:t>
      </w:r>
      <w:r w:rsidR="00A248B0" w:rsidRPr="00CD1301">
        <w:rPr>
          <w:rFonts w:cs="Arial"/>
          <w:bCs/>
          <w:szCs w:val="22"/>
        </w:rPr>
        <w:t xml:space="preserve">to </w:t>
      </w:r>
      <w:r w:rsidR="00D849E3" w:rsidRPr="00CD1301">
        <w:rPr>
          <w:rFonts w:cs="Arial"/>
          <w:bCs/>
          <w:szCs w:val="22"/>
        </w:rPr>
        <w:t>suspend the disciplinary proceedings. In part B of the review application</w:t>
      </w:r>
      <w:r w:rsidR="002507AA" w:rsidRPr="00CD1301">
        <w:rPr>
          <w:rFonts w:cs="Arial"/>
          <w:bCs/>
          <w:szCs w:val="22"/>
        </w:rPr>
        <w:t xml:space="preserve"> the applicant seeks orders to review and set aside the report.</w:t>
      </w:r>
    </w:p>
    <w:p w14:paraId="19AD89A3" w14:textId="15EAC58D" w:rsidR="002507AA"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[25]</w:t>
      </w:r>
      <w:r>
        <w:rPr>
          <w:rFonts w:cs="Arial"/>
          <w:bCs/>
          <w:szCs w:val="22"/>
        </w:rPr>
        <w:tab/>
      </w:r>
      <w:r w:rsidR="002507AA" w:rsidRPr="00CD1301">
        <w:rPr>
          <w:rFonts w:cs="Arial"/>
          <w:bCs/>
          <w:szCs w:val="22"/>
        </w:rPr>
        <w:t>On 1 March 2024 the fourth respondent ruled that the disciplinary hearing would continue despite the pending review application.</w:t>
      </w:r>
      <w:r w:rsidR="007C647E" w:rsidRPr="00CD1301">
        <w:rPr>
          <w:rFonts w:cs="Arial"/>
          <w:bCs/>
          <w:szCs w:val="22"/>
        </w:rPr>
        <w:t xml:space="preserve"> In so doing the fourth respondent was exercising a discretion not to grant a postponement </w:t>
      </w:r>
      <w:r w:rsidR="004A6E81" w:rsidRPr="00CD1301">
        <w:rPr>
          <w:rFonts w:cs="Arial"/>
          <w:bCs/>
          <w:szCs w:val="22"/>
        </w:rPr>
        <w:t xml:space="preserve">or a stay, </w:t>
      </w:r>
      <w:r w:rsidR="007C647E" w:rsidRPr="00CD1301">
        <w:rPr>
          <w:rFonts w:cs="Arial"/>
          <w:bCs/>
          <w:szCs w:val="22"/>
        </w:rPr>
        <w:t>and there is no evidence presented that merits the inference that the exercise of his discretion is open to attack on any ground of legality</w:t>
      </w:r>
      <w:r w:rsidR="00A248B0" w:rsidRPr="00CD1301">
        <w:rPr>
          <w:rFonts w:cs="Arial"/>
          <w:bCs/>
          <w:szCs w:val="22"/>
        </w:rPr>
        <w:t xml:space="preserve"> or any other ground.</w:t>
      </w:r>
    </w:p>
    <w:p w14:paraId="36C2954D" w14:textId="4195EFF7" w:rsidR="000A6EA3"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[26]</w:t>
      </w:r>
      <w:r>
        <w:rPr>
          <w:rFonts w:cs="Arial"/>
          <w:bCs/>
          <w:szCs w:val="22"/>
        </w:rPr>
        <w:tab/>
      </w:r>
      <w:r w:rsidR="000A6EA3" w:rsidRPr="00CD1301">
        <w:rPr>
          <w:rFonts w:cs="Arial"/>
          <w:bCs/>
          <w:szCs w:val="22"/>
        </w:rPr>
        <w:t>The court will intervene in incomplete disciplinary proceedings only in</w:t>
      </w:r>
      <w:r w:rsidR="00494F1A" w:rsidRPr="00CD1301">
        <w:rPr>
          <w:rFonts w:cs="Arial"/>
          <w:bCs/>
          <w:szCs w:val="22"/>
        </w:rPr>
        <w:t xml:space="preserve"> exceptional circumstances.</w:t>
      </w:r>
      <w:r w:rsidR="00213F3E" w:rsidRPr="00CD1301">
        <w:rPr>
          <w:rFonts w:cs="Arial"/>
          <w:bCs/>
          <w:szCs w:val="22"/>
        </w:rPr>
        <w:t xml:space="preserve"> In</w:t>
      </w:r>
      <w:r w:rsidR="00213F3E" w:rsidRPr="00213F3E">
        <w:t xml:space="preserve"> </w:t>
      </w:r>
      <w:r w:rsidR="00213F3E" w:rsidRPr="00CD1301">
        <w:rPr>
          <w:i/>
          <w:iCs/>
        </w:rPr>
        <w:t>Laggar v Shell Auto Care (Pty) Ltd and Another</w:t>
      </w:r>
      <w:r w:rsidR="00213F3E" w:rsidRPr="00CD1301">
        <w:rPr>
          <w:rFonts w:cs="Arial"/>
          <w:bCs/>
          <w:szCs w:val="22"/>
        </w:rPr>
        <w:t xml:space="preserve">, </w:t>
      </w:r>
      <w:r w:rsidR="00494F1A">
        <w:rPr>
          <w:rStyle w:val="FootnoteReference"/>
          <w:rFonts w:cs="Arial"/>
          <w:bCs/>
          <w:szCs w:val="22"/>
        </w:rPr>
        <w:footnoteReference w:id="12"/>
      </w:r>
      <w:r w:rsidR="00213F3E" w:rsidRPr="00CD1301">
        <w:rPr>
          <w:rFonts w:cs="Arial"/>
          <w:bCs/>
          <w:szCs w:val="22"/>
        </w:rPr>
        <w:t xml:space="preserve"> Cleaver J said:</w:t>
      </w:r>
    </w:p>
    <w:p w14:paraId="26C6310A" w14:textId="030A4F73" w:rsidR="00213F3E" w:rsidRPr="00213F3E" w:rsidRDefault="00213F3E" w:rsidP="00307200">
      <w:pPr>
        <w:spacing w:before="240" w:after="240" w:line="360" w:lineRule="auto"/>
        <w:ind w:left="1440"/>
        <w:jc w:val="both"/>
        <w:rPr>
          <w:rFonts w:cs="Arial"/>
          <w:i/>
          <w:iCs/>
          <w:color w:val="000000" w:themeColor="text1"/>
        </w:rPr>
      </w:pPr>
      <w:r>
        <w:rPr>
          <w:rFonts w:cs="Arial"/>
          <w:i/>
          <w:iCs/>
          <w:color w:val="000000" w:themeColor="text1"/>
        </w:rPr>
        <w:t>“</w:t>
      </w:r>
      <w:r w:rsidRPr="00213F3E">
        <w:rPr>
          <w:rFonts w:cs="Arial"/>
          <w:i/>
          <w:iCs/>
          <w:color w:val="000000" w:themeColor="text1"/>
        </w:rPr>
        <w:t>[14] The Labour Court has held that it will not easily interdict the holding of a disciplinary hearing and will do so only where exceptional circumstances are established. See Moropane v Gilbeys Distillers and Vintners (Pty) Ltd and Another (1998) 19 ILJ 635 (LC); Mantzaris v University of Durban-Westville and Others [2000] 10 BLLR 1203 (LC); Ndlovu v Tansnet Ltd t/a Portnet [1997] 7 BLLR 887 (LC). There is also authority for the proposition that the High Court will be reluctant to stop proceedings in inferior courts and tribunals. See Wahlhaus and Others v Additional Magistrate, Johannesburg, and Another </w:t>
      </w:r>
      <w:hyperlink r:id="rId9" w:history="1">
        <w:r w:rsidRPr="00213F3E">
          <w:rPr>
            <w:rStyle w:val="Hyperlink"/>
            <w:rFonts w:cs="Arial"/>
            <w:i/>
            <w:iCs/>
            <w:color w:val="000000" w:themeColor="text1"/>
            <w:u w:val="none"/>
          </w:rPr>
          <w:t>1959 (3) SA 113 (A)</w:t>
        </w:r>
      </w:hyperlink>
      <w:r w:rsidRPr="00213F3E">
        <w:rPr>
          <w:rFonts w:cs="Arial"/>
          <w:i/>
          <w:iCs/>
          <w:color w:val="000000" w:themeColor="text1"/>
        </w:rPr>
        <w:t>; Van Wyk v Midrand Town Council and Others </w:t>
      </w:r>
      <w:hyperlink r:id="rId10" w:history="1">
        <w:r w:rsidRPr="00213F3E">
          <w:rPr>
            <w:rStyle w:val="Hyperlink"/>
            <w:rFonts w:cs="Arial"/>
            <w:i/>
            <w:iCs/>
            <w:color w:val="000000" w:themeColor="text1"/>
            <w:u w:val="none"/>
          </w:rPr>
          <w:t>1991 (4) SA 185 (W)</w:t>
        </w:r>
      </w:hyperlink>
      <w:r w:rsidRPr="00213F3E">
        <w:rPr>
          <w:rFonts w:cs="Arial"/>
          <w:i/>
          <w:iCs/>
          <w:color w:val="000000" w:themeColor="text1"/>
        </w:rPr>
        <w:t>. Applying these principles I am not persuaded that the importance of the applicant's position in the company establishes exceptional circumstances or that any other exceptional circumstances have been shown to exist.</w:t>
      </w:r>
      <w:r>
        <w:rPr>
          <w:rFonts w:cs="Arial"/>
          <w:i/>
          <w:iCs/>
          <w:color w:val="000000" w:themeColor="text1"/>
        </w:rPr>
        <w:t>”</w:t>
      </w:r>
    </w:p>
    <w:p w14:paraId="56A9C6DE" w14:textId="21B54AA9" w:rsidR="00213F3E"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[27]</w:t>
      </w:r>
      <w:r>
        <w:rPr>
          <w:rFonts w:cs="Arial"/>
          <w:bCs/>
          <w:szCs w:val="22"/>
        </w:rPr>
        <w:tab/>
      </w:r>
      <w:r w:rsidR="00301F05" w:rsidRPr="00CD1301">
        <w:rPr>
          <w:rFonts w:cs="Arial"/>
          <w:bCs/>
          <w:szCs w:val="22"/>
        </w:rPr>
        <w:t xml:space="preserve">Similarly, in </w:t>
      </w:r>
      <w:r w:rsidR="00301F05" w:rsidRPr="00CD1301">
        <w:rPr>
          <w:i/>
          <w:iCs/>
        </w:rPr>
        <w:t>Jiba v Minister of Justice and Constitutional Development and Others</w:t>
      </w:r>
      <w:r w:rsidR="00301F05" w:rsidRPr="00CD1301">
        <w:rPr>
          <w:rFonts w:cs="Arial"/>
          <w:bCs/>
          <w:szCs w:val="22"/>
        </w:rPr>
        <w:t>,</w:t>
      </w:r>
      <w:r w:rsidR="00301F05">
        <w:rPr>
          <w:rStyle w:val="FootnoteReference"/>
          <w:rFonts w:cs="Arial"/>
          <w:bCs/>
          <w:szCs w:val="22"/>
        </w:rPr>
        <w:footnoteReference w:id="13"/>
      </w:r>
      <w:r w:rsidR="00301F05" w:rsidRPr="00CD1301">
        <w:rPr>
          <w:rFonts w:cs="Arial"/>
          <w:bCs/>
          <w:szCs w:val="22"/>
        </w:rPr>
        <w:t xml:space="preserve"> </w:t>
      </w:r>
      <w:r w:rsidR="00301F05" w:rsidRPr="00CD1301">
        <w:rPr>
          <w:rFonts w:cs="Arial"/>
          <w:bCs/>
          <w:szCs w:val="22"/>
        </w:rPr>
        <w:lastRenderedPageBreak/>
        <w:t>van Niekerk J said:</w:t>
      </w:r>
    </w:p>
    <w:p w14:paraId="21D1760E" w14:textId="2B9467FD" w:rsidR="00301F05" w:rsidRPr="00301F05" w:rsidRDefault="00E30011" w:rsidP="003072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240" w:after="240" w:line="360" w:lineRule="auto"/>
        <w:ind w:left="1440"/>
        <w:jc w:val="both"/>
        <w:rPr>
          <w:rFonts w:cs="Arial"/>
          <w:i/>
          <w:iCs/>
        </w:rPr>
      </w:pPr>
      <w:r>
        <w:rPr>
          <w:rFonts w:cs="Arial"/>
          <w:i/>
          <w:iCs/>
        </w:rPr>
        <w:t>“</w:t>
      </w:r>
      <w:r w:rsidR="00301F05" w:rsidRPr="00301F05">
        <w:rPr>
          <w:rFonts w:cs="Arial"/>
          <w:i/>
          <w:iCs/>
        </w:rPr>
        <w:t>[11]</w:t>
      </w:r>
      <w:r w:rsidR="00301F05" w:rsidRPr="00301F05">
        <w:rPr>
          <w:rFonts w:cs="Arial"/>
          <w:i/>
          <w:iCs/>
        </w:rPr>
        <w:tab/>
        <w:t>I wish to deal with the application in so far as it relates to the chairperson’s ruling on a more preliminary basis. Exceptional circumstances aside, it is undesirable for this court to entertain applications to review and set aside rulings made in uncompleted proceedings. In The Trustees for the Time Being of the National Bioinformatics Network Trust v Jacobson and others (unreported, C249/09, 14 April 2009), I said the following in relation to the review of interlocutory rulings made by commissioners:</w:t>
      </w:r>
    </w:p>
    <w:p w14:paraId="7BAAAD8E" w14:textId="77777777" w:rsidR="00301F05" w:rsidRPr="00301F05" w:rsidRDefault="00301F05" w:rsidP="00307200">
      <w:pPr>
        <w:spacing w:before="240" w:after="240" w:line="360" w:lineRule="auto"/>
        <w:ind w:left="1440"/>
        <w:jc w:val="both"/>
        <w:rPr>
          <w:rFonts w:cs="Arial"/>
          <w:i/>
          <w:iCs/>
        </w:rPr>
      </w:pPr>
    </w:p>
    <w:p w14:paraId="5DD122CF" w14:textId="77777777" w:rsidR="00301F05" w:rsidRPr="00301F05" w:rsidRDefault="00301F05" w:rsidP="003072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240" w:after="240" w:line="360" w:lineRule="auto"/>
        <w:ind w:left="2160"/>
        <w:jc w:val="both"/>
        <w:rPr>
          <w:rFonts w:cs="Arial"/>
          <w:i/>
          <w:iCs/>
        </w:rPr>
      </w:pPr>
      <w:r w:rsidRPr="00301F05">
        <w:rPr>
          <w:rFonts w:cs="Arial"/>
          <w:i/>
          <w:iCs/>
        </w:rPr>
        <w:tab/>
        <w:t>“There are at least two reasons why the limited basis for intervention in criminal and civil proceedings ought to extend to uncompleted arbitration proceedings conducted under the auspices of the CCMA, and why this court ought to be slow to intervene in those proceedings. The first is a policy-related reason – for this court to routinely intervene in uncompleted arbitration proceedings would undermine the informal nature of the system of dispute resolution established by Act. The second (related) reason is that to permit applications for review on a piecemeal basis would frustrate the expeditious resolution of labour disputes. In other words, in general terms, justice would be advanced rather than frustrated by permitting CCMA arbitration proceedings to run their course without intervention by this court.” (at para 4).</w:t>
      </w:r>
    </w:p>
    <w:p w14:paraId="3B3153B7" w14:textId="77777777" w:rsidR="00301F05" w:rsidRPr="00301F05" w:rsidRDefault="00301F05" w:rsidP="003072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240" w:after="240" w:line="360" w:lineRule="auto"/>
        <w:ind w:left="1440"/>
        <w:jc w:val="both"/>
        <w:rPr>
          <w:rFonts w:cs="Arial"/>
          <w:i/>
          <w:iCs/>
        </w:rPr>
      </w:pPr>
    </w:p>
    <w:p w14:paraId="6E655843" w14:textId="6F3DDB9B" w:rsidR="00301F05" w:rsidRPr="00301F05" w:rsidRDefault="00301F05" w:rsidP="003072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240" w:after="240" w:line="360" w:lineRule="auto"/>
        <w:ind w:left="1440"/>
        <w:jc w:val="both"/>
        <w:rPr>
          <w:rFonts w:cs="Arial"/>
          <w:i/>
          <w:iCs/>
        </w:rPr>
      </w:pPr>
      <w:r w:rsidRPr="00301F05">
        <w:rPr>
          <w:rFonts w:cs="Arial"/>
          <w:i/>
          <w:iCs/>
        </w:rPr>
        <w:t>[12]</w:t>
      </w:r>
      <w:r w:rsidRPr="00301F05">
        <w:rPr>
          <w:rFonts w:cs="Arial"/>
          <w:i/>
          <w:iCs/>
        </w:rPr>
        <w:tab/>
        <w:t xml:space="preserve">The same considerations apply to internal disciplinary hearings, with the additional point that for this court to routinely consider applications such as that before me would entirely undermine the statutory dispute resolution system. By asking the court to rule that the disciplinary action initiated against the applicant was unauthorised and unprocedural, the applicant is effectively asking the court to bypass the bargaining council and to ignore its role in a carefully crafted scheme that acknowledges and gives effect to the value of self-regulation. This court, through its review powers, is mandated to exercise a degree of oversight over labour-related </w:t>
      </w:r>
      <w:r w:rsidRPr="00301F05">
        <w:rPr>
          <w:rFonts w:cs="Arial"/>
          <w:i/>
          <w:iCs/>
        </w:rPr>
        <w:lastRenderedPageBreak/>
        <w:t>arbitrations - its powers as a court of first instance are constrained by the LRA, and that constraint must be respected.</w:t>
      </w:r>
      <w:r w:rsidR="00E30011">
        <w:rPr>
          <w:rFonts w:cs="Arial"/>
          <w:i/>
          <w:iCs/>
        </w:rPr>
        <w:t>”</w:t>
      </w:r>
    </w:p>
    <w:p w14:paraId="79E358C5" w14:textId="50CE474E" w:rsidR="00301F05"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[28]</w:t>
      </w:r>
      <w:r>
        <w:rPr>
          <w:rFonts w:cs="Arial"/>
          <w:bCs/>
          <w:szCs w:val="22"/>
        </w:rPr>
        <w:tab/>
      </w:r>
      <w:r w:rsidR="00653548" w:rsidRPr="00CD1301">
        <w:rPr>
          <w:rFonts w:cs="Arial"/>
          <w:bCs/>
          <w:szCs w:val="22"/>
        </w:rPr>
        <w:t xml:space="preserve">I refer also to the judgement by Phatsholane DJP in </w:t>
      </w:r>
      <w:r w:rsidR="00E95D75" w:rsidRPr="00CD1301">
        <w:rPr>
          <w:rFonts w:cs="Arial"/>
          <w:bCs/>
          <w:i/>
          <w:iCs/>
          <w:szCs w:val="22"/>
        </w:rPr>
        <w:t>Ndhlovu v Department of Health, Northern Cape Province and Another</w:t>
      </w:r>
      <w:r w:rsidR="00E95D75">
        <w:rPr>
          <w:rStyle w:val="FootnoteReference"/>
          <w:rFonts w:cs="Arial"/>
          <w:bCs/>
          <w:i/>
          <w:iCs/>
          <w:szCs w:val="22"/>
        </w:rPr>
        <w:footnoteReference w:id="14"/>
      </w:r>
      <w:r w:rsidR="00E95D75" w:rsidRPr="00CD1301">
        <w:rPr>
          <w:rFonts w:cs="Arial"/>
          <w:bCs/>
          <w:i/>
          <w:iCs/>
          <w:szCs w:val="22"/>
        </w:rPr>
        <w:t xml:space="preserve"> </w:t>
      </w:r>
      <w:r w:rsidR="00E95D75" w:rsidRPr="00CD1301">
        <w:rPr>
          <w:rFonts w:cs="Arial"/>
          <w:bCs/>
          <w:szCs w:val="22"/>
        </w:rPr>
        <w:t>where the learn</w:t>
      </w:r>
      <w:r w:rsidR="004C6239" w:rsidRPr="00CD1301">
        <w:rPr>
          <w:rFonts w:cs="Arial"/>
          <w:bCs/>
          <w:szCs w:val="22"/>
        </w:rPr>
        <w:t>ed</w:t>
      </w:r>
      <w:r w:rsidR="00E95D75" w:rsidRPr="00CD1301">
        <w:rPr>
          <w:rFonts w:cs="Arial"/>
          <w:bCs/>
          <w:szCs w:val="22"/>
        </w:rPr>
        <w:t xml:space="preserve"> deputy judge president said that the court should be careful not to usurp the functions entrusted to a disciplinary tribunal. Intervention in uncompleted processes would result in piecemeal adjudication of issues and frustrate the expeditious resolution of labour disputes.</w:t>
      </w:r>
    </w:p>
    <w:p w14:paraId="771C4A02" w14:textId="10419D70" w:rsidR="00213F3E"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[29]</w:t>
      </w:r>
      <w:r>
        <w:rPr>
          <w:rFonts w:cs="Arial"/>
          <w:bCs/>
          <w:szCs w:val="22"/>
        </w:rPr>
        <w:tab/>
      </w:r>
      <w:r w:rsidR="00E95D75" w:rsidRPr="00CD1301">
        <w:rPr>
          <w:rFonts w:cs="Arial"/>
          <w:bCs/>
          <w:szCs w:val="22"/>
        </w:rPr>
        <w:t>The applicant argues that her suspension and the subsequent appointment of a disciplinary tribunal was done by the third respondent and not by the board of the first respondent and that the fourth respondent was not appointed in a transparent process</w:t>
      </w:r>
      <w:r w:rsidR="00213F3E" w:rsidRPr="00CD1301">
        <w:rPr>
          <w:rFonts w:cs="Arial"/>
          <w:bCs/>
          <w:szCs w:val="22"/>
        </w:rPr>
        <w:t>.</w:t>
      </w:r>
      <w:r w:rsidR="00E95D75" w:rsidRPr="00CD1301">
        <w:rPr>
          <w:rFonts w:cs="Arial"/>
          <w:bCs/>
          <w:szCs w:val="22"/>
        </w:rPr>
        <w:t xml:space="preserve"> These averments do not constitute exceptional circumstances.</w:t>
      </w:r>
      <w:r w:rsidR="00DC4322" w:rsidRPr="00CD1301">
        <w:rPr>
          <w:rFonts w:cs="Arial"/>
          <w:bCs/>
          <w:szCs w:val="22"/>
        </w:rPr>
        <w:t xml:space="preserve"> I have already dealt with the fact that the proceedings were initiated on behalf of the first respondent by its Commissioner, the third respondent who is in the </w:t>
      </w:r>
      <w:r w:rsidR="004C6239" w:rsidRPr="00CD1301">
        <w:rPr>
          <w:rFonts w:cs="Arial"/>
          <w:bCs/>
          <w:szCs w:val="22"/>
        </w:rPr>
        <w:t>position</w:t>
      </w:r>
      <w:r w:rsidR="00DC4322" w:rsidRPr="00CD1301">
        <w:rPr>
          <w:rFonts w:cs="Arial"/>
          <w:bCs/>
          <w:szCs w:val="22"/>
        </w:rPr>
        <w:t xml:space="preserve"> of its chief executive officer above as well as with the appointment of the fourth respondent.</w:t>
      </w:r>
    </w:p>
    <w:p w14:paraId="2D751BA2" w14:textId="77777777" w:rsidR="004A6E81" w:rsidRDefault="004A6E81" w:rsidP="00307200">
      <w:pPr>
        <w:widowControl w:val="0"/>
        <w:spacing w:before="240" w:after="240" w:line="360" w:lineRule="auto"/>
        <w:jc w:val="both"/>
        <w:rPr>
          <w:rFonts w:cs="Arial"/>
          <w:bCs/>
          <w:szCs w:val="22"/>
          <w:u w:val="single"/>
        </w:rPr>
      </w:pPr>
    </w:p>
    <w:p w14:paraId="48753EEF" w14:textId="7A0B083B" w:rsidR="004A6E81" w:rsidRPr="004A6E81" w:rsidRDefault="004A6E81" w:rsidP="00307200">
      <w:pPr>
        <w:widowControl w:val="0"/>
        <w:spacing w:before="240" w:after="240" w:line="360" w:lineRule="auto"/>
        <w:jc w:val="both"/>
        <w:rPr>
          <w:rFonts w:cs="Arial"/>
          <w:bCs/>
          <w:szCs w:val="22"/>
          <w:u w:val="single"/>
        </w:rPr>
      </w:pPr>
      <w:r w:rsidRPr="004A6E81">
        <w:rPr>
          <w:rFonts w:cs="Arial"/>
          <w:bCs/>
          <w:szCs w:val="22"/>
          <w:u w:val="single"/>
        </w:rPr>
        <w:t>The requirements for an</w:t>
      </w:r>
      <w:r w:rsidR="006D134C">
        <w:rPr>
          <w:rFonts w:cs="Arial"/>
          <w:bCs/>
          <w:szCs w:val="22"/>
          <w:u w:val="single"/>
        </w:rPr>
        <w:t xml:space="preserve"> </w:t>
      </w:r>
      <w:r w:rsidRPr="004A6E81">
        <w:rPr>
          <w:rFonts w:cs="Arial"/>
          <w:bCs/>
          <w:szCs w:val="22"/>
          <w:u w:val="single"/>
        </w:rPr>
        <w:t>interdict</w:t>
      </w:r>
    </w:p>
    <w:p w14:paraId="2ABEA684" w14:textId="08736A24" w:rsidR="004C6239" w:rsidRDefault="00CD1301" w:rsidP="00CD1301">
      <w:pPr>
        <w:widowControl w:val="0"/>
        <w:tabs>
          <w:tab w:val="left" w:pos="567"/>
        </w:tabs>
        <w:spacing w:before="240" w:after="240" w:line="360" w:lineRule="auto"/>
        <w:jc w:val="both"/>
        <w:rPr>
          <w:lang w:eastAsia="en-ZA"/>
        </w:rPr>
      </w:pPr>
      <w:r>
        <w:rPr>
          <w:lang w:eastAsia="en-ZA"/>
        </w:rPr>
        <w:t>[30]</w:t>
      </w:r>
      <w:r>
        <w:rPr>
          <w:lang w:eastAsia="en-ZA"/>
        </w:rPr>
        <w:tab/>
      </w:r>
      <w:r w:rsidR="004C6239">
        <w:rPr>
          <w:lang w:eastAsia="en-ZA"/>
        </w:rPr>
        <w:t>The requirements for a final interdict</w:t>
      </w:r>
      <w:r w:rsidR="004C6239">
        <w:rPr>
          <w:rStyle w:val="FootnoteReference"/>
          <w:rFonts w:cs="Arial"/>
          <w:bCs/>
          <w:szCs w:val="22"/>
        </w:rPr>
        <w:footnoteReference w:id="15"/>
      </w:r>
      <w:r w:rsidR="004C6239">
        <w:rPr>
          <w:lang w:eastAsia="en-ZA"/>
        </w:rPr>
        <w:t xml:space="preserve"> are –</w:t>
      </w:r>
    </w:p>
    <w:p w14:paraId="1D82F598" w14:textId="047CBA01" w:rsidR="004C6239" w:rsidRDefault="00CD1301" w:rsidP="00CD1301">
      <w:pPr>
        <w:widowControl w:val="0"/>
        <w:tabs>
          <w:tab w:val="left" w:pos="1418"/>
        </w:tabs>
        <w:spacing w:before="240" w:after="240" w:line="360" w:lineRule="auto"/>
        <w:ind w:left="1418" w:hanging="851"/>
        <w:jc w:val="both"/>
        <w:rPr>
          <w:lang w:eastAsia="en-ZA"/>
        </w:rPr>
      </w:pPr>
      <w:r>
        <w:rPr>
          <w:lang w:eastAsia="en-ZA"/>
        </w:rPr>
        <w:t>30.1</w:t>
      </w:r>
      <w:r>
        <w:rPr>
          <w:lang w:eastAsia="en-ZA"/>
        </w:rPr>
        <w:tab/>
      </w:r>
      <w:r w:rsidR="004C6239">
        <w:rPr>
          <w:lang w:eastAsia="en-ZA"/>
        </w:rPr>
        <w:t>a clear right;</w:t>
      </w:r>
    </w:p>
    <w:p w14:paraId="0DC9FCC5" w14:textId="4C3B1828" w:rsidR="004C6239" w:rsidRDefault="00CD1301" w:rsidP="00CD1301">
      <w:pPr>
        <w:widowControl w:val="0"/>
        <w:tabs>
          <w:tab w:val="left" w:pos="1418"/>
        </w:tabs>
        <w:spacing w:before="240" w:after="240" w:line="360" w:lineRule="auto"/>
        <w:ind w:left="1418" w:hanging="851"/>
        <w:jc w:val="both"/>
        <w:rPr>
          <w:lang w:eastAsia="en-ZA"/>
        </w:rPr>
      </w:pPr>
      <w:r>
        <w:rPr>
          <w:lang w:eastAsia="en-ZA"/>
        </w:rPr>
        <w:t>30.2</w:t>
      </w:r>
      <w:r>
        <w:rPr>
          <w:lang w:eastAsia="en-ZA"/>
        </w:rPr>
        <w:tab/>
      </w:r>
      <w:r w:rsidR="004C6239">
        <w:rPr>
          <w:lang w:eastAsia="en-ZA"/>
        </w:rPr>
        <w:t>an injury actually committed or reasonably apprehended;</w:t>
      </w:r>
    </w:p>
    <w:p w14:paraId="2F7CB41F" w14:textId="67AB75CD" w:rsidR="004C6239" w:rsidRPr="004C6239" w:rsidRDefault="00CD1301" w:rsidP="00CD1301">
      <w:pPr>
        <w:widowControl w:val="0"/>
        <w:tabs>
          <w:tab w:val="left" w:pos="1418"/>
        </w:tabs>
        <w:spacing w:before="240" w:after="240" w:line="360" w:lineRule="auto"/>
        <w:ind w:left="1418" w:hanging="851"/>
        <w:jc w:val="both"/>
        <w:rPr>
          <w:lang w:eastAsia="en-ZA"/>
        </w:rPr>
      </w:pPr>
      <w:r w:rsidRPr="004C6239">
        <w:rPr>
          <w:lang w:eastAsia="en-ZA"/>
        </w:rPr>
        <w:t>30.3</w:t>
      </w:r>
      <w:r w:rsidRPr="004C6239">
        <w:rPr>
          <w:lang w:eastAsia="en-ZA"/>
        </w:rPr>
        <w:tab/>
      </w:r>
      <w:r w:rsidR="004C6239">
        <w:rPr>
          <w:lang w:eastAsia="en-ZA"/>
        </w:rPr>
        <w:t>the absence of any other satisfactory remedy.</w:t>
      </w:r>
    </w:p>
    <w:p w14:paraId="0738BB20" w14:textId="66EB9C3F" w:rsidR="00FB740E" w:rsidRPr="00FB740E" w:rsidRDefault="00CD1301" w:rsidP="00CD1301">
      <w:pPr>
        <w:widowControl w:val="0"/>
        <w:tabs>
          <w:tab w:val="left" w:pos="567"/>
        </w:tabs>
        <w:spacing w:before="240" w:after="240" w:line="360" w:lineRule="auto"/>
        <w:jc w:val="both"/>
        <w:rPr>
          <w:lang w:eastAsia="en-ZA"/>
        </w:rPr>
      </w:pPr>
      <w:r w:rsidRPr="00FB740E">
        <w:rPr>
          <w:lang w:eastAsia="en-ZA"/>
        </w:rPr>
        <w:t>[31]</w:t>
      </w:r>
      <w:r w:rsidRPr="00FB740E">
        <w:rPr>
          <w:lang w:eastAsia="en-ZA"/>
        </w:rPr>
        <w:tab/>
      </w:r>
      <w:r w:rsidR="00FB740E" w:rsidRPr="00CD1301">
        <w:rPr>
          <w:rFonts w:cs="Arial"/>
          <w:bCs/>
          <w:szCs w:val="22"/>
        </w:rPr>
        <w:t xml:space="preserve">The requirements </w:t>
      </w:r>
      <w:r w:rsidR="00E30011" w:rsidRPr="00CD1301">
        <w:rPr>
          <w:rFonts w:cs="Arial"/>
          <w:bCs/>
          <w:szCs w:val="22"/>
        </w:rPr>
        <w:t xml:space="preserve">in an application </w:t>
      </w:r>
      <w:r w:rsidR="00FB740E" w:rsidRPr="00CD1301">
        <w:rPr>
          <w:rFonts w:cs="Arial"/>
          <w:bCs/>
          <w:szCs w:val="22"/>
        </w:rPr>
        <w:t>for an inter</w:t>
      </w:r>
      <w:r w:rsidR="00EF681B" w:rsidRPr="00CD1301">
        <w:rPr>
          <w:rFonts w:cs="Arial"/>
          <w:bCs/>
          <w:szCs w:val="22"/>
        </w:rPr>
        <w:t>im inter</w:t>
      </w:r>
      <w:r w:rsidR="00FB740E" w:rsidRPr="00CD1301">
        <w:rPr>
          <w:rFonts w:cs="Arial"/>
          <w:bCs/>
          <w:szCs w:val="22"/>
        </w:rPr>
        <w:t xml:space="preserve">dict are </w:t>
      </w:r>
      <w:r w:rsidR="004C6239" w:rsidRPr="00CD1301">
        <w:rPr>
          <w:rFonts w:cs="Arial"/>
          <w:bCs/>
          <w:szCs w:val="22"/>
        </w:rPr>
        <w:t xml:space="preserve">also </w:t>
      </w:r>
      <w:r w:rsidR="00FB740E" w:rsidRPr="00CD1301">
        <w:rPr>
          <w:rFonts w:cs="Arial"/>
          <w:bCs/>
          <w:szCs w:val="22"/>
        </w:rPr>
        <w:t>not contentious.</w:t>
      </w:r>
      <w:r w:rsidR="00FB740E">
        <w:rPr>
          <w:rStyle w:val="FootnoteReference"/>
          <w:rFonts w:cs="Arial"/>
          <w:bCs/>
          <w:szCs w:val="22"/>
        </w:rPr>
        <w:footnoteReference w:id="16"/>
      </w:r>
      <w:r w:rsidR="00FB740E" w:rsidRPr="00CD1301">
        <w:rPr>
          <w:rFonts w:cs="Arial"/>
          <w:bCs/>
          <w:szCs w:val="22"/>
        </w:rPr>
        <w:t xml:space="preserve"> They are –</w:t>
      </w:r>
    </w:p>
    <w:p w14:paraId="4D556094" w14:textId="71643AE0" w:rsidR="00FB740E" w:rsidRDefault="00CD1301" w:rsidP="00CD1301">
      <w:pPr>
        <w:widowControl w:val="0"/>
        <w:tabs>
          <w:tab w:val="left" w:pos="1418"/>
        </w:tabs>
        <w:spacing w:before="240" w:after="240" w:line="360" w:lineRule="auto"/>
        <w:ind w:left="1418" w:hanging="851"/>
        <w:jc w:val="both"/>
        <w:rPr>
          <w:lang w:eastAsia="en-ZA"/>
        </w:rPr>
      </w:pPr>
      <w:r>
        <w:rPr>
          <w:lang w:eastAsia="en-ZA"/>
        </w:rPr>
        <w:t>31.1</w:t>
      </w:r>
      <w:r>
        <w:rPr>
          <w:lang w:eastAsia="en-ZA"/>
        </w:rPr>
        <w:tab/>
      </w:r>
      <w:r w:rsidR="00FB740E" w:rsidRPr="00D955E7">
        <w:rPr>
          <w:lang w:eastAsia="en-ZA"/>
        </w:rPr>
        <w:t xml:space="preserve">a </w:t>
      </w:r>
      <w:r w:rsidR="00FB740E" w:rsidRPr="00CD1301">
        <w:rPr>
          <w:i/>
          <w:iCs/>
          <w:lang w:eastAsia="en-ZA"/>
        </w:rPr>
        <w:t>prima facie</w:t>
      </w:r>
      <w:r w:rsidR="00FB740E" w:rsidRPr="00D955E7">
        <w:rPr>
          <w:lang w:eastAsia="en-ZA"/>
        </w:rPr>
        <w:t xml:space="preserve"> righ</w:t>
      </w:r>
      <w:r w:rsidR="00FB740E">
        <w:rPr>
          <w:lang w:eastAsia="en-ZA"/>
        </w:rPr>
        <w:t xml:space="preserve">t, coupled with a </w:t>
      </w:r>
      <w:r w:rsidR="00FB740E" w:rsidRPr="00D955E7">
        <w:rPr>
          <w:lang w:eastAsia="en-ZA"/>
        </w:rPr>
        <w:t>balance of convenience in favour of the granting of the interim relief</w:t>
      </w:r>
      <w:r w:rsidR="00FB740E">
        <w:rPr>
          <w:lang w:eastAsia="en-ZA"/>
        </w:rPr>
        <w:t xml:space="preserve"> OR a clear right obviating the need to show a favourable balance of convenience (and in which case a final interdict may </w:t>
      </w:r>
      <w:r w:rsidR="00FB740E">
        <w:rPr>
          <w:lang w:eastAsia="en-ZA"/>
        </w:rPr>
        <w:lastRenderedPageBreak/>
        <w:t>follow);</w:t>
      </w:r>
    </w:p>
    <w:p w14:paraId="020D00C1" w14:textId="57A9EB10" w:rsidR="00FB740E" w:rsidRPr="00CD1301" w:rsidRDefault="00CD1301" w:rsidP="00CD1301">
      <w:pPr>
        <w:widowControl w:val="0"/>
        <w:tabs>
          <w:tab w:val="left" w:pos="1418"/>
        </w:tabs>
        <w:spacing w:before="240" w:after="240" w:line="360" w:lineRule="auto"/>
        <w:ind w:left="1418" w:hanging="851"/>
        <w:jc w:val="both"/>
        <w:rPr>
          <w:rFonts w:cs="Arial"/>
          <w:bCs/>
          <w:szCs w:val="22"/>
        </w:rPr>
      </w:pPr>
      <w:r w:rsidRPr="00FB740E">
        <w:rPr>
          <w:rFonts w:cs="Arial"/>
          <w:bCs/>
          <w:szCs w:val="22"/>
        </w:rPr>
        <w:t>31.2</w:t>
      </w:r>
      <w:r w:rsidRPr="00FB740E">
        <w:rPr>
          <w:rFonts w:cs="Arial"/>
          <w:bCs/>
          <w:szCs w:val="22"/>
        </w:rPr>
        <w:tab/>
      </w:r>
      <w:r w:rsidR="00FB740E" w:rsidRPr="00D955E7">
        <w:rPr>
          <w:lang w:eastAsia="en-ZA"/>
        </w:rPr>
        <w:t>a well-grounded apprehension of irreparable harm if the interim relief is not granted and the ultimate relief is eventually granted;</w:t>
      </w:r>
      <w:r w:rsidR="00FB740E">
        <w:rPr>
          <w:lang w:eastAsia="en-ZA"/>
        </w:rPr>
        <w:t xml:space="preserve"> and</w:t>
      </w:r>
    </w:p>
    <w:p w14:paraId="044A8E1D" w14:textId="17D60F31" w:rsidR="00FB740E" w:rsidRPr="00CD1301" w:rsidRDefault="00CD1301" w:rsidP="00CD1301">
      <w:pPr>
        <w:widowControl w:val="0"/>
        <w:tabs>
          <w:tab w:val="left" w:pos="1418"/>
        </w:tabs>
        <w:spacing w:before="240" w:after="240" w:line="360" w:lineRule="auto"/>
        <w:ind w:left="1418" w:hanging="851"/>
        <w:jc w:val="both"/>
        <w:rPr>
          <w:rFonts w:cs="Arial"/>
          <w:bCs/>
          <w:szCs w:val="22"/>
        </w:rPr>
      </w:pPr>
      <w:r w:rsidRPr="00FB740E">
        <w:rPr>
          <w:rFonts w:cs="Arial"/>
          <w:bCs/>
          <w:szCs w:val="22"/>
        </w:rPr>
        <w:t>31.3</w:t>
      </w:r>
      <w:r w:rsidRPr="00FB740E">
        <w:rPr>
          <w:rFonts w:cs="Arial"/>
          <w:bCs/>
          <w:szCs w:val="22"/>
        </w:rPr>
        <w:tab/>
      </w:r>
      <w:r w:rsidR="00FB740E" w:rsidRPr="00D955E7">
        <w:rPr>
          <w:lang w:eastAsia="en-ZA"/>
        </w:rPr>
        <w:t>the absence of any other satisfactory remedy.</w:t>
      </w:r>
    </w:p>
    <w:p w14:paraId="2EF8E79C" w14:textId="24C35A74" w:rsidR="00FB740E"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[32]</w:t>
      </w:r>
      <w:r>
        <w:rPr>
          <w:rFonts w:cs="Arial"/>
          <w:bCs/>
          <w:szCs w:val="22"/>
        </w:rPr>
        <w:tab/>
      </w:r>
      <w:r w:rsidR="00FB740E" w:rsidRPr="00CD1301">
        <w:rPr>
          <w:rFonts w:cs="Arial"/>
          <w:bCs/>
          <w:szCs w:val="22"/>
        </w:rPr>
        <w:t xml:space="preserve">The applicant does not identify any right that was infringed. It is of course not contentious that she is entitled to </w:t>
      </w:r>
      <w:r w:rsidR="00FB740E" w:rsidRPr="00CD1301">
        <w:rPr>
          <w:rFonts w:cs="Arial"/>
          <w:bCs/>
          <w:i/>
          <w:iCs/>
          <w:szCs w:val="22"/>
        </w:rPr>
        <w:t>inter alia</w:t>
      </w:r>
      <w:r w:rsidR="00FB740E" w:rsidRPr="00CD1301">
        <w:rPr>
          <w:rFonts w:cs="Arial"/>
          <w:bCs/>
          <w:szCs w:val="22"/>
        </w:rPr>
        <w:t xml:space="preserve"> the rights granted under the Constitution and the Labour Relations Act but nothing on these papers support an argument that these rights have been </w:t>
      </w:r>
      <w:r w:rsidR="00E22FB3" w:rsidRPr="00CD1301">
        <w:rPr>
          <w:rFonts w:cs="Arial"/>
          <w:bCs/>
          <w:szCs w:val="22"/>
        </w:rPr>
        <w:t>threatened</w:t>
      </w:r>
      <w:r w:rsidR="00FB740E" w:rsidRPr="00CD1301">
        <w:rPr>
          <w:rFonts w:cs="Arial"/>
          <w:bCs/>
          <w:szCs w:val="22"/>
        </w:rPr>
        <w:t xml:space="preserve">. Her </w:t>
      </w:r>
      <w:r w:rsidR="00FB740E" w:rsidRPr="00CD1301">
        <w:rPr>
          <w:rFonts w:cs="Arial"/>
          <w:bCs/>
          <w:i/>
          <w:iCs/>
          <w:szCs w:val="22"/>
        </w:rPr>
        <w:t xml:space="preserve">audi alteram </w:t>
      </w:r>
      <w:r w:rsidR="00FB740E" w:rsidRPr="00CD1301">
        <w:rPr>
          <w:rFonts w:cs="Arial"/>
          <w:bCs/>
          <w:szCs w:val="22"/>
        </w:rPr>
        <w:t xml:space="preserve">rights are intact. She is entitled to dispute the allegations made and the evidence presented against her but she is not entitled to prevent the investigation of complaints or to prevent a disciplinary hearing from taking place. </w:t>
      </w:r>
    </w:p>
    <w:p w14:paraId="6AAB9C91" w14:textId="027B2245" w:rsidR="00EF681B"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[33]</w:t>
      </w:r>
      <w:r>
        <w:rPr>
          <w:rFonts w:cs="Arial"/>
          <w:bCs/>
          <w:szCs w:val="22"/>
        </w:rPr>
        <w:tab/>
      </w:r>
      <w:r w:rsidR="00EF681B" w:rsidRPr="00CD1301">
        <w:rPr>
          <w:rFonts w:cs="Arial"/>
          <w:bCs/>
          <w:szCs w:val="22"/>
        </w:rPr>
        <w:t>The applicant was suspended with full pay pending the final outcome of the disciplinary proceedings and there is no reasonable apprehension of harm. She is entitled to participate in the disciplinary proceedings.</w:t>
      </w:r>
    </w:p>
    <w:p w14:paraId="0C74212B" w14:textId="2D410AD0" w:rsidR="004F5148"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[34]</w:t>
      </w:r>
      <w:r>
        <w:rPr>
          <w:rFonts w:cs="Arial"/>
          <w:bCs/>
          <w:szCs w:val="22"/>
        </w:rPr>
        <w:tab/>
      </w:r>
      <w:r w:rsidR="002507AA" w:rsidRPr="00CD1301">
        <w:rPr>
          <w:rFonts w:cs="Arial"/>
          <w:bCs/>
          <w:szCs w:val="22"/>
        </w:rPr>
        <w:t>The applicant has alternative remed</w:t>
      </w:r>
      <w:r w:rsidR="004F5148" w:rsidRPr="00CD1301">
        <w:rPr>
          <w:rFonts w:cs="Arial"/>
          <w:bCs/>
          <w:szCs w:val="22"/>
        </w:rPr>
        <w:t>ies</w:t>
      </w:r>
      <w:r w:rsidR="002507AA" w:rsidRPr="00CD1301">
        <w:rPr>
          <w:rFonts w:cs="Arial"/>
          <w:bCs/>
          <w:szCs w:val="22"/>
        </w:rPr>
        <w:t xml:space="preserve"> in that</w:t>
      </w:r>
      <w:r w:rsidR="004F5148" w:rsidRPr="00CD1301">
        <w:rPr>
          <w:rFonts w:cs="Arial"/>
          <w:bCs/>
          <w:szCs w:val="22"/>
        </w:rPr>
        <w:t>:-</w:t>
      </w:r>
    </w:p>
    <w:p w14:paraId="4B5EB292" w14:textId="4360320B" w:rsidR="004F5148"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34.1</w:t>
      </w:r>
      <w:r>
        <w:rPr>
          <w:rFonts w:cs="Arial"/>
          <w:bCs/>
          <w:szCs w:val="22"/>
        </w:rPr>
        <w:tab/>
      </w:r>
      <w:r w:rsidR="004F5148" w:rsidRPr="00CD1301">
        <w:rPr>
          <w:rFonts w:cs="Arial"/>
          <w:bCs/>
          <w:szCs w:val="22"/>
        </w:rPr>
        <w:t>her first review application of February 2024 has not been enrolled yet and no explanation is given for the failure to enrol the application,</w:t>
      </w:r>
    </w:p>
    <w:p w14:paraId="051BA52C" w14:textId="3B5EA18F" w:rsidR="004F5148"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34.2</w:t>
      </w:r>
      <w:r>
        <w:rPr>
          <w:rFonts w:cs="Arial"/>
          <w:bCs/>
          <w:szCs w:val="22"/>
        </w:rPr>
        <w:tab/>
      </w:r>
      <w:r w:rsidR="002507AA" w:rsidRPr="00CD1301">
        <w:rPr>
          <w:rFonts w:cs="Arial"/>
          <w:bCs/>
          <w:szCs w:val="22"/>
        </w:rPr>
        <w:t xml:space="preserve">she </w:t>
      </w:r>
      <w:r w:rsidR="00EF30EF" w:rsidRPr="00CD1301">
        <w:rPr>
          <w:rFonts w:cs="Arial"/>
          <w:bCs/>
          <w:szCs w:val="22"/>
        </w:rPr>
        <w:t>wa</w:t>
      </w:r>
      <w:r w:rsidR="002507AA" w:rsidRPr="00CD1301">
        <w:rPr>
          <w:rFonts w:cs="Arial"/>
          <w:bCs/>
          <w:szCs w:val="22"/>
        </w:rPr>
        <w:t>s in a position to present her case before the fourth respondent</w:t>
      </w:r>
      <w:r w:rsidR="004F5148" w:rsidRPr="00CD1301">
        <w:rPr>
          <w:rFonts w:cs="Arial"/>
          <w:bCs/>
          <w:szCs w:val="22"/>
        </w:rPr>
        <w:t>, and</w:t>
      </w:r>
    </w:p>
    <w:p w14:paraId="562E4471" w14:textId="2B166054" w:rsidR="007C647E"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34.3</w:t>
      </w:r>
      <w:r>
        <w:rPr>
          <w:rFonts w:cs="Arial"/>
          <w:bCs/>
          <w:szCs w:val="22"/>
        </w:rPr>
        <w:tab/>
      </w:r>
      <w:r w:rsidR="007C647E" w:rsidRPr="00CD1301">
        <w:rPr>
          <w:rFonts w:cs="Arial"/>
          <w:bCs/>
          <w:szCs w:val="22"/>
        </w:rPr>
        <w:t xml:space="preserve">It </w:t>
      </w:r>
      <w:r w:rsidR="00EF30EF" w:rsidRPr="00CD1301">
        <w:rPr>
          <w:rFonts w:cs="Arial"/>
          <w:bCs/>
          <w:szCs w:val="22"/>
        </w:rPr>
        <w:t>wa</w:t>
      </w:r>
      <w:r w:rsidR="007C647E" w:rsidRPr="00CD1301">
        <w:rPr>
          <w:rFonts w:cs="Arial"/>
          <w:bCs/>
          <w:szCs w:val="22"/>
        </w:rPr>
        <w:t>s possible for the applicant</w:t>
      </w:r>
      <w:r w:rsidR="00EF681B" w:rsidRPr="00CD1301">
        <w:rPr>
          <w:rFonts w:cs="Arial"/>
          <w:bCs/>
          <w:szCs w:val="22"/>
        </w:rPr>
        <w:t xml:space="preserve"> if so advised</w:t>
      </w:r>
      <w:r w:rsidR="007C647E" w:rsidRPr="00CD1301">
        <w:rPr>
          <w:rFonts w:cs="Arial"/>
          <w:bCs/>
          <w:szCs w:val="22"/>
        </w:rPr>
        <w:t xml:space="preserve"> to apply for the recusal of the fourth respondent and he would have </w:t>
      </w:r>
      <w:r w:rsidR="00EF30EF" w:rsidRPr="00CD1301">
        <w:rPr>
          <w:rFonts w:cs="Arial"/>
          <w:bCs/>
          <w:szCs w:val="22"/>
        </w:rPr>
        <w:t xml:space="preserve">had </w:t>
      </w:r>
      <w:r w:rsidR="007C647E" w:rsidRPr="00CD1301">
        <w:rPr>
          <w:rFonts w:cs="Arial"/>
          <w:bCs/>
          <w:szCs w:val="22"/>
        </w:rPr>
        <w:t>to consider such an application</w:t>
      </w:r>
      <w:r w:rsidR="00B91668" w:rsidRPr="00CD1301">
        <w:rPr>
          <w:rFonts w:cs="Arial"/>
          <w:bCs/>
          <w:szCs w:val="22"/>
        </w:rPr>
        <w:t>.</w:t>
      </w:r>
    </w:p>
    <w:p w14:paraId="4E330F5B" w14:textId="7E502615" w:rsidR="00EF681B"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[35]</w:t>
      </w:r>
      <w:r>
        <w:rPr>
          <w:rFonts w:cs="Arial"/>
          <w:bCs/>
          <w:szCs w:val="22"/>
        </w:rPr>
        <w:tab/>
      </w:r>
      <w:r w:rsidR="00EF681B" w:rsidRPr="00CD1301">
        <w:rPr>
          <w:rFonts w:cs="Arial"/>
          <w:bCs/>
          <w:szCs w:val="22"/>
        </w:rPr>
        <w:t xml:space="preserve">I conclude that no case is made out for an interdict. </w:t>
      </w:r>
    </w:p>
    <w:p w14:paraId="4C10A3D4" w14:textId="77777777" w:rsidR="000A6EA3" w:rsidRDefault="000A6EA3" w:rsidP="00307200">
      <w:pPr>
        <w:widowControl w:val="0"/>
        <w:spacing w:before="240" w:after="240" w:line="360" w:lineRule="auto"/>
        <w:jc w:val="both"/>
        <w:rPr>
          <w:rFonts w:cs="Arial"/>
          <w:bCs/>
          <w:szCs w:val="22"/>
          <w:u w:val="single"/>
        </w:rPr>
      </w:pPr>
    </w:p>
    <w:p w14:paraId="4D769DB2" w14:textId="706E21B9" w:rsidR="00C105A1" w:rsidRPr="00C105A1" w:rsidRDefault="00C105A1" w:rsidP="00307200">
      <w:pPr>
        <w:widowControl w:val="0"/>
        <w:spacing w:before="240" w:after="240" w:line="360" w:lineRule="auto"/>
        <w:jc w:val="both"/>
        <w:rPr>
          <w:rFonts w:cs="Arial"/>
          <w:bCs/>
          <w:szCs w:val="22"/>
          <w:u w:val="single"/>
        </w:rPr>
      </w:pPr>
      <w:r w:rsidRPr="00C105A1">
        <w:rPr>
          <w:rFonts w:cs="Arial"/>
          <w:bCs/>
          <w:szCs w:val="22"/>
          <w:u w:val="single"/>
        </w:rPr>
        <w:t>Costs</w:t>
      </w:r>
    </w:p>
    <w:p w14:paraId="20778A86" w14:textId="4CFAD13D" w:rsidR="00C105A1" w:rsidRPr="00CD1301" w:rsidRDefault="00CD1301" w:rsidP="00CD1301">
      <w:pPr>
        <w:widowControl w:val="0"/>
        <w:tabs>
          <w:tab w:val="left" w:pos="567"/>
        </w:tabs>
        <w:spacing w:before="240" w:after="240" w:line="360" w:lineRule="auto"/>
        <w:jc w:val="both"/>
        <w:rPr>
          <w:rFonts w:cs="Arial"/>
          <w:bCs/>
          <w:szCs w:val="22"/>
        </w:rPr>
      </w:pPr>
      <w:r w:rsidRPr="00F854C0">
        <w:rPr>
          <w:rFonts w:cs="Arial"/>
          <w:bCs/>
          <w:szCs w:val="22"/>
        </w:rPr>
        <w:t>[36]</w:t>
      </w:r>
      <w:r w:rsidRPr="00F854C0">
        <w:rPr>
          <w:rFonts w:cs="Arial"/>
          <w:bCs/>
          <w:szCs w:val="22"/>
        </w:rPr>
        <w:tab/>
      </w:r>
      <w:r w:rsidR="00C105A1" w:rsidRPr="00CD1301">
        <w:rPr>
          <w:rFonts w:cs="Arial"/>
          <w:bCs/>
          <w:szCs w:val="22"/>
        </w:rPr>
        <w:t>Both sides sought a punitive cost order including the cost of two counsel.</w:t>
      </w:r>
      <w:r w:rsidR="00F854C0" w:rsidRPr="00CD1301">
        <w:rPr>
          <w:rFonts w:cs="Arial"/>
          <w:bCs/>
          <w:szCs w:val="22"/>
        </w:rPr>
        <w:t xml:space="preserve"> Punitive cost orders are not easily made but exceptional circumstances may justify such an order when a litigant conducted itself can in a </w:t>
      </w:r>
      <w:r w:rsidR="00F854C0" w:rsidRPr="00CD1301">
        <w:rPr>
          <w:rFonts w:cs="Arial"/>
          <w:bCs/>
          <w:i/>
          <w:iCs/>
          <w:szCs w:val="22"/>
        </w:rPr>
        <w:t>“clear and indubitably vexatious and reprehensible manner.”</w:t>
      </w:r>
      <w:r w:rsidR="005C37C6">
        <w:rPr>
          <w:rStyle w:val="FootnoteReference"/>
          <w:rFonts w:cs="Arial"/>
          <w:bCs/>
          <w:i/>
          <w:iCs/>
          <w:szCs w:val="22"/>
        </w:rPr>
        <w:footnoteReference w:id="17"/>
      </w:r>
      <w:r w:rsidR="00F854C0" w:rsidRPr="00CD1301">
        <w:rPr>
          <w:rFonts w:cs="Arial"/>
          <w:bCs/>
          <w:i/>
          <w:iCs/>
          <w:szCs w:val="22"/>
        </w:rPr>
        <w:t xml:space="preserve"> </w:t>
      </w:r>
      <w:r w:rsidR="00F854C0" w:rsidRPr="00CD1301">
        <w:rPr>
          <w:rFonts w:cs="Arial"/>
          <w:bCs/>
          <w:iCs/>
          <w:szCs w:val="22"/>
        </w:rPr>
        <w:t xml:space="preserve">In the present matter the applicant makes serious and </w:t>
      </w:r>
      <w:r w:rsidR="00F854C0" w:rsidRPr="00CD1301">
        <w:rPr>
          <w:rFonts w:cs="Arial"/>
          <w:bCs/>
          <w:iCs/>
          <w:szCs w:val="22"/>
        </w:rPr>
        <w:lastRenderedPageBreak/>
        <w:t>scurrilous allegations against the respondents without presenting any factual evidence in support of these allegations of bad faith and ulterior motive on the part of the respondents.</w:t>
      </w:r>
    </w:p>
    <w:p w14:paraId="40D444F4" w14:textId="55B6C045" w:rsidR="00F854C0"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[37]</w:t>
      </w:r>
      <w:r>
        <w:rPr>
          <w:rFonts w:cs="Arial"/>
          <w:bCs/>
          <w:szCs w:val="22"/>
        </w:rPr>
        <w:tab/>
      </w:r>
      <w:r w:rsidR="00F854C0" w:rsidRPr="00CD1301">
        <w:rPr>
          <w:rFonts w:cs="Arial"/>
          <w:bCs/>
          <w:szCs w:val="22"/>
        </w:rPr>
        <w:t xml:space="preserve">The applicant also launched this urgent application under circumstances where an application for the review of the report of the </w:t>
      </w:r>
      <w:r w:rsidR="006D28A5" w:rsidRPr="00CD1301">
        <w:rPr>
          <w:rFonts w:cs="Arial"/>
          <w:bCs/>
          <w:szCs w:val="22"/>
        </w:rPr>
        <w:t>Special Investigation Unit</w:t>
      </w:r>
      <w:r w:rsidR="00B91668" w:rsidRPr="00CD1301">
        <w:rPr>
          <w:rFonts w:cs="Arial"/>
          <w:bCs/>
          <w:szCs w:val="22"/>
        </w:rPr>
        <w:t xml:space="preserve"> was already pending</w:t>
      </w:r>
      <w:r w:rsidR="00F854C0" w:rsidRPr="00CD1301">
        <w:rPr>
          <w:rFonts w:cs="Arial"/>
          <w:bCs/>
          <w:szCs w:val="22"/>
        </w:rPr>
        <w:t>. No explanation is given for the failure to prosecute that application to finality and to opt instead for this urgent application.</w:t>
      </w:r>
    </w:p>
    <w:p w14:paraId="54C2BA6C" w14:textId="042E3AEA" w:rsidR="00C105A1"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[38]</w:t>
      </w:r>
      <w:r>
        <w:rPr>
          <w:rFonts w:cs="Arial"/>
          <w:bCs/>
          <w:szCs w:val="22"/>
        </w:rPr>
        <w:tab/>
      </w:r>
      <w:r w:rsidR="004F5148" w:rsidRPr="00CD1301">
        <w:rPr>
          <w:rFonts w:cs="Arial"/>
          <w:bCs/>
          <w:szCs w:val="22"/>
        </w:rPr>
        <w:t>It is impossible to avoid the inference that the present application was launched as a tactic to delay rather than finalise the disciplinary proceedings in good time. Under these circumstances I am of the view that a punitive cost order is justified</w:t>
      </w:r>
      <w:r w:rsidR="00C105A1" w:rsidRPr="00CD1301">
        <w:rPr>
          <w:rFonts w:cs="Arial"/>
          <w:bCs/>
          <w:szCs w:val="22"/>
        </w:rPr>
        <w:t>.</w:t>
      </w:r>
    </w:p>
    <w:p w14:paraId="5C67E23D" w14:textId="2680435B" w:rsidR="00D849E3" w:rsidRPr="00C105A1" w:rsidRDefault="00D849E3" w:rsidP="00307200">
      <w:pPr>
        <w:widowControl w:val="0"/>
        <w:spacing w:before="240" w:after="240" w:line="360" w:lineRule="auto"/>
        <w:jc w:val="both"/>
        <w:rPr>
          <w:rFonts w:cs="Arial"/>
          <w:bCs/>
          <w:szCs w:val="22"/>
        </w:rPr>
      </w:pPr>
    </w:p>
    <w:p w14:paraId="154C20F6" w14:textId="6C2EEE88" w:rsidR="00BD6E92" w:rsidRPr="007811C6" w:rsidRDefault="00BD6E92" w:rsidP="00307200">
      <w:pPr>
        <w:keepNext/>
        <w:widowControl w:val="0"/>
        <w:spacing w:before="240" w:after="240" w:line="360" w:lineRule="auto"/>
        <w:jc w:val="both"/>
        <w:rPr>
          <w:rFonts w:cs="Arial"/>
          <w:bCs/>
          <w:szCs w:val="22"/>
          <w:u w:val="single"/>
        </w:rPr>
      </w:pPr>
      <w:r w:rsidRPr="007811C6">
        <w:rPr>
          <w:rFonts w:cs="Arial"/>
          <w:bCs/>
          <w:szCs w:val="22"/>
          <w:u w:val="single"/>
        </w:rPr>
        <w:t>Conclusion</w:t>
      </w:r>
    </w:p>
    <w:p w14:paraId="2E1C83C9" w14:textId="43243507" w:rsidR="007E6643" w:rsidRPr="00CD1301" w:rsidRDefault="00CD1301" w:rsidP="00CD1301">
      <w:pPr>
        <w:widowControl w:val="0"/>
        <w:tabs>
          <w:tab w:val="left" w:pos="567"/>
        </w:tabs>
        <w:spacing w:before="240" w:after="240" w:line="360" w:lineRule="auto"/>
        <w:jc w:val="both"/>
        <w:rPr>
          <w:rFonts w:cs="Arial"/>
          <w:bCs/>
          <w:szCs w:val="22"/>
        </w:rPr>
      </w:pPr>
      <w:r>
        <w:rPr>
          <w:rFonts w:cs="Arial"/>
          <w:bCs/>
          <w:szCs w:val="22"/>
        </w:rPr>
        <w:t>[39]</w:t>
      </w:r>
      <w:r>
        <w:rPr>
          <w:rFonts w:cs="Arial"/>
          <w:bCs/>
          <w:szCs w:val="22"/>
        </w:rPr>
        <w:tab/>
      </w:r>
      <w:r w:rsidR="007E6643" w:rsidRPr="00CD1301">
        <w:rPr>
          <w:rFonts w:cs="Arial"/>
          <w:bCs/>
          <w:szCs w:val="22"/>
        </w:rPr>
        <w:t xml:space="preserve">in summary, </w:t>
      </w:r>
    </w:p>
    <w:p w14:paraId="645302AB" w14:textId="12784D42" w:rsidR="007E6643"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39.1</w:t>
      </w:r>
      <w:r>
        <w:rPr>
          <w:rFonts w:cs="Arial"/>
          <w:bCs/>
          <w:szCs w:val="22"/>
        </w:rPr>
        <w:tab/>
      </w:r>
      <w:r w:rsidR="007E6643" w:rsidRPr="00CD1301">
        <w:rPr>
          <w:rFonts w:cs="Arial"/>
          <w:bCs/>
          <w:szCs w:val="22"/>
        </w:rPr>
        <w:t>the applicant makes out no case for an order setting aside the ruling by the fourth respondent of 1 March 2024 in which the fourth respondent refused an application for the postponement of the disciplinary proceedings,</w:t>
      </w:r>
    </w:p>
    <w:p w14:paraId="5F9A3AC7" w14:textId="115C60A3" w:rsidR="007E6643"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39.2</w:t>
      </w:r>
      <w:r>
        <w:rPr>
          <w:rFonts w:cs="Arial"/>
          <w:bCs/>
          <w:szCs w:val="22"/>
        </w:rPr>
        <w:tab/>
      </w:r>
      <w:r w:rsidR="007E6643" w:rsidRPr="00CD1301">
        <w:rPr>
          <w:rFonts w:cs="Arial"/>
          <w:bCs/>
          <w:szCs w:val="22"/>
        </w:rPr>
        <w:t>the applicant fails to make out a case for an order setting aside the appointment of the fourth respondent as the chairperson of the disciplinary hearing,</w:t>
      </w:r>
    </w:p>
    <w:p w14:paraId="3ACDCA45" w14:textId="485F4408" w:rsidR="007E6643"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39.3</w:t>
      </w:r>
      <w:r>
        <w:rPr>
          <w:rFonts w:cs="Arial"/>
          <w:bCs/>
          <w:szCs w:val="22"/>
        </w:rPr>
        <w:tab/>
      </w:r>
      <w:r w:rsidR="007E6643" w:rsidRPr="00CD1301">
        <w:rPr>
          <w:rFonts w:cs="Arial"/>
          <w:bCs/>
          <w:szCs w:val="22"/>
        </w:rPr>
        <w:t>the applicant similarly fails to make out a case for the setting aside of the decision to suspend or charge the applicant or to institute disciplinary proceedings against the applicant,</w:t>
      </w:r>
    </w:p>
    <w:p w14:paraId="03D59B14" w14:textId="24C02CA9" w:rsidR="007E6643" w:rsidRPr="00CD1301" w:rsidRDefault="00CD1301" w:rsidP="00CD1301">
      <w:pPr>
        <w:widowControl w:val="0"/>
        <w:tabs>
          <w:tab w:val="left" w:pos="1418"/>
        </w:tabs>
        <w:spacing w:before="240" w:after="240" w:line="360" w:lineRule="auto"/>
        <w:ind w:left="1418" w:hanging="851"/>
        <w:jc w:val="both"/>
        <w:rPr>
          <w:rFonts w:cs="Arial"/>
          <w:bCs/>
          <w:szCs w:val="22"/>
        </w:rPr>
      </w:pPr>
      <w:r>
        <w:rPr>
          <w:rFonts w:cs="Arial"/>
          <w:bCs/>
          <w:szCs w:val="22"/>
        </w:rPr>
        <w:t>39.4</w:t>
      </w:r>
      <w:r>
        <w:rPr>
          <w:rFonts w:cs="Arial"/>
          <w:bCs/>
          <w:szCs w:val="22"/>
        </w:rPr>
        <w:tab/>
      </w:r>
      <w:r w:rsidR="007E6643" w:rsidRPr="00CD1301">
        <w:rPr>
          <w:rFonts w:cs="Arial"/>
          <w:bCs/>
          <w:szCs w:val="22"/>
        </w:rPr>
        <w:t>lastly, no case is made out for an</w:t>
      </w:r>
      <w:r w:rsidR="00B91668" w:rsidRPr="00CD1301">
        <w:rPr>
          <w:rFonts w:cs="Arial"/>
          <w:bCs/>
          <w:szCs w:val="22"/>
        </w:rPr>
        <w:t xml:space="preserve"> interim</w:t>
      </w:r>
      <w:r w:rsidR="007E6643" w:rsidRPr="00CD1301">
        <w:rPr>
          <w:rFonts w:cs="Arial"/>
          <w:bCs/>
          <w:szCs w:val="22"/>
        </w:rPr>
        <w:t xml:space="preserve"> order suspending the continuation of the disciplinary hearing before the fourth respondent.</w:t>
      </w:r>
    </w:p>
    <w:p w14:paraId="5AA88EA9" w14:textId="210ABAB4" w:rsidR="004D692E" w:rsidRPr="007811C6" w:rsidRDefault="00CD1301" w:rsidP="00CD1301">
      <w:pPr>
        <w:keepNext/>
        <w:widowControl w:val="0"/>
        <w:tabs>
          <w:tab w:val="left" w:pos="567"/>
        </w:tabs>
        <w:spacing w:before="240" w:after="240" w:line="360" w:lineRule="auto"/>
        <w:jc w:val="both"/>
        <w:rPr>
          <w:rFonts w:cs="Arial"/>
          <w:bCs/>
          <w:szCs w:val="22"/>
        </w:rPr>
      </w:pPr>
      <w:r w:rsidRPr="007811C6">
        <w:rPr>
          <w:rFonts w:cs="Arial"/>
          <w:bCs/>
          <w:szCs w:val="22"/>
        </w:rPr>
        <w:t>[40]</w:t>
      </w:r>
      <w:r w:rsidRPr="007811C6">
        <w:rPr>
          <w:rFonts w:cs="Arial"/>
          <w:bCs/>
          <w:szCs w:val="22"/>
        </w:rPr>
        <w:tab/>
      </w:r>
      <w:r w:rsidR="00B15D12" w:rsidRPr="007811C6">
        <w:rPr>
          <w:rFonts w:cs="Arial"/>
          <w:bCs/>
          <w:szCs w:val="22"/>
        </w:rPr>
        <w:t xml:space="preserve">For all the reasons set out above I make the </w:t>
      </w:r>
      <w:r w:rsidR="00366937" w:rsidRPr="007811C6">
        <w:rPr>
          <w:rFonts w:cs="Arial"/>
          <w:bCs/>
          <w:szCs w:val="22"/>
        </w:rPr>
        <w:t>o</w:t>
      </w:r>
      <w:r w:rsidR="00B15D12" w:rsidRPr="007811C6">
        <w:rPr>
          <w:rFonts w:cs="Arial"/>
          <w:bCs/>
          <w:szCs w:val="22"/>
        </w:rPr>
        <w:t>rder in paragraph 1.</w:t>
      </w:r>
    </w:p>
    <w:p w14:paraId="5B7FD0E4" w14:textId="77777777" w:rsidR="00B15D12" w:rsidRPr="007811C6" w:rsidRDefault="00B15D12" w:rsidP="003A1D18">
      <w:pPr>
        <w:widowControl w:val="0"/>
        <w:tabs>
          <w:tab w:val="right" w:pos="0"/>
        </w:tabs>
        <w:spacing w:line="360" w:lineRule="auto"/>
        <w:contextualSpacing/>
        <w:jc w:val="right"/>
        <w:rPr>
          <w:rFonts w:cs="Arial"/>
          <w:b/>
          <w:szCs w:val="22"/>
        </w:rPr>
      </w:pPr>
    </w:p>
    <w:p w14:paraId="58DFDFC0" w14:textId="77777777" w:rsidR="00B15D12" w:rsidRPr="007811C6" w:rsidRDefault="00B15D12" w:rsidP="003A1D18">
      <w:pPr>
        <w:widowControl w:val="0"/>
        <w:tabs>
          <w:tab w:val="right" w:pos="0"/>
        </w:tabs>
        <w:spacing w:line="360" w:lineRule="auto"/>
        <w:contextualSpacing/>
        <w:jc w:val="right"/>
        <w:rPr>
          <w:rFonts w:cs="Arial"/>
          <w:b/>
          <w:szCs w:val="22"/>
        </w:rPr>
      </w:pPr>
    </w:p>
    <w:p w14:paraId="53CD27EE" w14:textId="517D8EE6" w:rsidR="00AE287F" w:rsidRPr="007811C6" w:rsidRDefault="00A649E6" w:rsidP="003A1D18">
      <w:pPr>
        <w:widowControl w:val="0"/>
        <w:tabs>
          <w:tab w:val="right" w:pos="0"/>
        </w:tabs>
        <w:spacing w:line="360" w:lineRule="auto"/>
        <w:contextualSpacing/>
        <w:jc w:val="right"/>
        <w:rPr>
          <w:rFonts w:cs="Arial"/>
          <w:b/>
          <w:szCs w:val="22"/>
        </w:rPr>
      </w:pPr>
      <w:r w:rsidRPr="007811C6">
        <w:rPr>
          <w:rFonts w:cs="Arial"/>
          <w:b/>
          <w:szCs w:val="22"/>
        </w:rPr>
        <w:t>______________</w:t>
      </w:r>
    </w:p>
    <w:p w14:paraId="0CCB9BFE" w14:textId="532F2776" w:rsidR="006C43D7" w:rsidRPr="007811C6" w:rsidRDefault="00E22FB3" w:rsidP="003A1D18">
      <w:pPr>
        <w:widowControl w:val="0"/>
        <w:tabs>
          <w:tab w:val="right" w:pos="0"/>
        </w:tabs>
        <w:spacing w:line="360" w:lineRule="auto"/>
        <w:contextualSpacing/>
        <w:jc w:val="right"/>
        <w:rPr>
          <w:rFonts w:cs="Arial"/>
          <w:b/>
          <w:szCs w:val="22"/>
        </w:rPr>
      </w:pPr>
      <w:r>
        <w:rPr>
          <w:rFonts w:cs="Arial"/>
          <w:b/>
          <w:szCs w:val="22"/>
        </w:rPr>
        <w:t>MOORCROFT AJ</w:t>
      </w:r>
    </w:p>
    <w:p w14:paraId="7A2C1059" w14:textId="77777777" w:rsidR="006C43D7" w:rsidRPr="007811C6" w:rsidRDefault="006C43D7" w:rsidP="003A1D18">
      <w:pPr>
        <w:widowControl w:val="0"/>
        <w:tabs>
          <w:tab w:val="right" w:pos="0"/>
        </w:tabs>
        <w:spacing w:line="360" w:lineRule="auto"/>
        <w:contextualSpacing/>
        <w:jc w:val="right"/>
        <w:rPr>
          <w:rFonts w:cs="Arial"/>
          <w:b/>
          <w:szCs w:val="22"/>
        </w:rPr>
      </w:pPr>
      <w:r w:rsidRPr="007811C6">
        <w:rPr>
          <w:rFonts w:cs="Arial"/>
          <w:b/>
          <w:szCs w:val="22"/>
        </w:rPr>
        <w:t>ACTING JUDGE OF THE HIGH COURT OF SOUTH AFRICA</w:t>
      </w:r>
    </w:p>
    <w:p w14:paraId="077C2590" w14:textId="7452355B" w:rsidR="006C43D7" w:rsidRPr="007811C6" w:rsidRDefault="006C43D7" w:rsidP="003A1D18">
      <w:pPr>
        <w:widowControl w:val="0"/>
        <w:tabs>
          <w:tab w:val="right" w:pos="0"/>
          <w:tab w:val="left" w:pos="4253"/>
        </w:tabs>
        <w:spacing w:line="360" w:lineRule="auto"/>
        <w:contextualSpacing/>
        <w:jc w:val="right"/>
        <w:rPr>
          <w:rFonts w:cs="Arial"/>
          <w:b/>
          <w:szCs w:val="22"/>
        </w:rPr>
      </w:pPr>
      <w:r w:rsidRPr="007811C6">
        <w:rPr>
          <w:rFonts w:cs="Arial"/>
          <w:b/>
          <w:szCs w:val="22"/>
        </w:rPr>
        <w:lastRenderedPageBreak/>
        <w:t>GAUTENG DIVISION</w:t>
      </w:r>
    </w:p>
    <w:p w14:paraId="40B9C946" w14:textId="77777777" w:rsidR="006C43D7" w:rsidRPr="007811C6" w:rsidRDefault="006C43D7" w:rsidP="0005282E">
      <w:pPr>
        <w:widowControl w:val="0"/>
        <w:tabs>
          <w:tab w:val="right" w:pos="0"/>
          <w:tab w:val="left" w:pos="4253"/>
        </w:tabs>
        <w:spacing w:line="360" w:lineRule="auto"/>
        <w:contextualSpacing/>
        <w:jc w:val="right"/>
        <w:rPr>
          <w:rFonts w:cs="Arial"/>
          <w:b/>
          <w:szCs w:val="22"/>
        </w:rPr>
      </w:pPr>
      <w:r w:rsidRPr="007811C6">
        <w:rPr>
          <w:rFonts w:cs="Arial"/>
          <w:b/>
          <w:szCs w:val="22"/>
        </w:rPr>
        <w:t>JOHANNESBURG</w:t>
      </w:r>
    </w:p>
    <w:p w14:paraId="326B529B" w14:textId="77777777" w:rsidR="006C43D7" w:rsidRPr="007811C6"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7811C6" w:rsidRDefault="006C43D7" w:rsidP="003A1D18">
      <w:pPr>
        <w:widowControl w:val="0"/>
        <w:spacing w:after="200" w:line="480" w:lineRule="auto"/>
        <w:contextualSpacing/>
        <w:jc w:val="right"/>
        <w:rPr>
          <w:rFonts w:cs="Arial"/>
          <w:b/>
          <w:i/>
          <w:iCs/>
          <w:szCs w:val="22"/>
        </w:rPr>
      </w:pPr>
      <w:r w:rsidRPr="007811C6">
        <w:rPr>
          <w:rFonts w:cs="Arial"/>
          <w:b/>
          <w:i/>
          <w:iCs/>
          <w:szCs w:val="22"/>
        </w:rPr>
        <w:t>Electronically submitted</w:t>
      </w:r>
    </w:p>
    <w:p w14:paraId="482DDF6E" w14:textId="7583B094" w:rsidR="006C43D7" w:rsidRPr="007811C6" w:rsidRDefault="006C43D7" w:rsidP="00A84915">
      <w:pPr>
        <w:widowControl w:val="0"/>
        <w:spacing w:after="200" w:line="360" w:lineRule="auto"/>
        <w:contextualSpacing/>
        <w:jc w:val="both"/>
        <w:rPr>
          <w:rFonts w:eastAsia="Arial Unicode MS" w:cs="Arial"/>
          <w:b/>
          <w:szCs w:val="22"/>
        </w:rPr>
      </w:pPr>
      <w:r w:rsidRPr="007811C6">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7811C6">
        <w:rPr>
          <w:rFonts w:eastAsia="Arial Unicode MS" w:cs="Arial"/>
          <w:b/>
          <w:szCs w:val="22"/>
        </w:rPr>
        <w:t xml:space="preserve"> </w:t>
      </w:r>
      <w:r w:rsidR="00044778">
        <w:rPr>
          <w:rFonts w:eastAsia="Arial Unicode MS" w:cs="Arial"/>
          <w:b/>
          <w:szCs w:val="22"/>
        </w:rPr>
        <w:t>2</w:t>
      </w:r>
      <w:r w:rsidR="00C105A1">
        <w:rPr>
          <w:rFonts w:eastAsia="Arial Unicode MS" w:cs="Arial"/>
          <w:b/>
          <w:szCs w:val="22"/>
        </w:rPr>
        <w:t>6</w:t>
      </w:r>
      <w:r w:rsidR="00044778">
        <w:rPr>
          <w:rFonts w:eastAsia="Arial Unicode MS" w:cs="Arial"/>
          <w:b/>
          <w:szCs w:val="22"/>
        </w:rPr>
        <w:t xml:space="preserve"> March 2024</w:t>
      </w:r>
    </w:p>
    <w:p w14:paraId="74CD3952" w14:textId="77777777" w:rsidR="00A84915" w:rsidRPr="007811C6" w:rsidRDefault="00A84915" w:rsidP="00A8491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7811C6" w14:paraId="493AF0D7" w14:textId="77777777" w:rsidTr="00615F6B">
        <w:tc>
          <w:tcPr>
            <w:tcW w:w="4678" w:type="dxa"/>
          </w:tcPr>
          <w:p w14:paraId="6A05541A" w14:textId="5013C208"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404A52" w:rsidRPr="007811C6">
              <w:rPr>
                <w:rFonts w:cs="Arial"/>
                <w:szCs w:val="22"/>
              </w:rPr>
              <w:t>THE</w:t>
            </w:r>
            <w:r w:rsidR="000976D2" w:rsidRPr="007811C6">
              <w:rPr>
                <w:rFonts w:cs="Arial"/>
                <w:szCs w:val="22"/>
              </w:rPr>
              <w:t xml:space="preserve"> </w:t>
            </w:r>
            <w:r w:rsidR="008707F5">
              <w:rPr>
                <w:rFonts w:cs="Arial"/>
                <w:szCs w:val="22"/>
              </w:rPr>
              <w:t>APPLICANT</w:t>
            </w:r>
            <w:r w:rsidRPr="007811C6">
              <w:rPr>
                <w:rFonts w:cs="Arial"/>
                <w:szCs w:val="22"/>
              </w:rPr>
              <w:t>:</w:t>
            </w:r>
          </w:p>
        </w:tc>
        <w:tc>
          <w:tcPr>
            <w:tcW w:w="3935" w:type="dxa"/>
          </w:tcPr>
          <w:p w14:paraId="7F5B4EAE" w14:textId="77777777" w:rsidR="009111C8" w:rsidRDefault="00E35391" w:rsidP="00D65571">
            <w:pPr>
              <w:tabs>
                <w:tab w:val="right" w:pos="0"/>
                <w:tab w:val="left" w:pos="567"/>
                <w:tab w:val="right" w:pos="2727"/>
                <w:tab w:val="left" w:pos="4253"/>
              </w:tabs>
              <w:spacing w:before="120" w:after="120"/>
              <w:jc w:val="right"/>
              <w:rPr>
                <w:rFonts w:cs="Arial"/>
                <w:szCs w:val="22"/>
              </w:rPr>
            </w:pPr>
            <w:r>
              <w:rPr>
                <w:rFonts w:cs="Arial"/>
                <w:szCs w:val="22"/>
              </w:rPr>
              <w:t>MH MHAMBI</w:t>
            </w:r>
          </w:p>
          <w:p w14:paraId="69785AA9" w14:textId="674A7F0B" w:rsidR="00E35391" w:rsidRPr="007811C6" w:rsidRDefault="00E35391" w:rsidP="00D65571">
            <w:pPr>
              <w:tabs>
                <w:tab w:val="right" w:pos="0"/>
                <w:tab w:val="left" w:pos="567"/>
                <w:tab w:val="right" w:pos="2727"/>
                <w:tab w:val="left" w:pos="4253"/>
              </w:tabs>
              <w:spacing w:before="120" w:after="120"/>
              <w:jc w:val="right"/>
              <w:rPr>
                <w:rFonts w:cs="Arial"/>
                <w:szCs w:val="22"/>
              </w:rPr>
            </w:pPr>
            <w:r>
              <w:rPr>
                <w:rFonts w:cs="Arial"/>
                <w:szCs w:val="22"/>
              </w:rPr>
              <w:t>C JONES</w:t>
            </w:r>
          </w:p>
        </w:tc>
      </w:tr>
      <w:tr w:rsidR="009D35B5" w:rsidRPr="007811C6" w14:paraId="183C176D" w14:textId="77777777" w:rsidTr="00615F6B">
        <w:tc>
          <w:tcPr>
            <w:tcW w:w="4678" w:type="dxa"/>
          </w:tcPr>
          <w:p w14:paraId="75365413" w14:textId="77EFB09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r w:rsidR="008707F5">
              <w:rPr>
                <w:rFonts w:cs="Arial"/>
                <w:szCs w:val="22"/>
              </w:rPr>
              <w:t>:</w:t>
            </w:r>
          </w:p>
        </w:tc>
        <w:tc>
          <w:tcPr>
            <w:tcW w:w="3935" w:type="dxa"/>
          </w:tcPr>
          <w:p w14:paraId="4044534A" w14:textId="420EAE21" w:rsidR="00E10D04" w:rsidRPr="007811C6" w:rsidRDefault="00044778" w:rsidP="00A25AB4">
            <w:pPr>
              <w:tabs>
                <w:tab w:val="right" w:pos="0"/>
                <w:tab w:val="left" w:pos="4253"/>
              </w:tabs>
              <w:spacing w:before="120" w:after="120"/>
              <w:jc w:val="right"/>
              <w:rPr>
                <w:rFonts w:cs="Arial"/>
                <w:szCs w:val="22"/>
              </w:rPr>
            </w:pPr>
            <w:r>
              <w:rPr>
                <w:rFonts w:cs="Arial"/>
                <w:szCs w:val="22"/>
              </w:rPr>
              <w:t>VOYI INC</w:t>
            </w:r>
          </w:p>
        </w:tc>
      </w:tr>
      <w:tr w:rsidR="009D35B5" w:rsidRPr="007811C6" w14:paraId="6E2BF966" w14:textId="77777777" w:rsidTr="00615F6B">
        <w:tc>
          <w:tcPr>
            <w:tcW w:w="4678" w:type="dxa"/>
          </w:tcPr>
          <w:p w14:paraId="545B6665" w14:textId="724E3A6E"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61036C" w:rsidRPr="007811C6">
              <w:rPr>
                <w:rFonts w:cs="Arial"/>
                <w:szCs w:val="22"/>
              </w:rPr>
              <w:t xml:space="preserve">THE </w:t>
            </w:r>
            <w:r w:rsidR="00E35391">
              <w:rPr>
                <w:rFonts w:cs="Arial"/>
                <w:szCs w:val="22"/>
              </w:rPr>
              <w:t xml:space="preserve">FIRST AND THIRD </w:t>
            </w:r>
            <w:r w:rsidR="00027D19" w:rsidRPr="007811C6">
              <w:rPr>
                <w:rFonts w:cs="Arial"/>
                <w:szCs w:val="22"/>
              </w:rPr>
              <w:t>RESPONDENT</w:t>
            </w:r>
            <w:r w:rsidR="00E22FB3">
              <w:rPr>
                <w:rFonts w:cs="Arial"/>
                <w:szCs w:val="22"/>
              </w:rPr>
              <w:t>S</w:t>
            </w:r>
            <w:r w:rsidRPr="007811C6">
              <w:rPr>
                <w:rFonts w:cs="Arial"/>
                <w:szCs w:val="22"/>
              </w:rPr>
              <w:t>:</w:t>
            </w:r>
          </w:p>
        </w:tc>
        <w:tc>
          <w:tcPr>
            <w:tcW w:w="3935" w:type="dxa"/>
          </w:tcPr>
          <w:p w14:paraId="4C6B42EE" w14:textId="77777777" w:rsidR="004D692E" w:rsidRDefault="00E35391" w:rsidP="00D65571">
            <w:pPr>
              <w:tabs>
                <w:tab w:val="right" w:pos="0"/>
                <w:tab w:val="left" w:pos="4253"/>
              </w:tabs>
              <w:spacing w:before="120" w:after="120"/>
              <w:jc w:val="right"/>
              <w:rPr>
                <w:rFonts w:cs="Arial"/>
                <w:szCs w:val="22"/>
              </w:rPr>
            </w:pPr>
            <w:r>
              <w:rPr>
                <w:rFonts w:cs="Arial"/>
                <w:szCs w:val="22"/>
              </w:rPr>
              <w:t>SESI BALOYI SC</w:t>
            </w:r>
          </w:p>
          <w:p w14:paraId="51741A90" w14:textId="6DEEAC1E" w:rsidR="00E35391" w:rsidRPr="007811C6" w:rsidRDefault="00E35391" w:rsidP="00D65571">
            <w:pPr>
              <w:tabs>
                <w:tab w:val="right" w:pos="0"/>
                <w:tab w:val="left" w:pos="4253"/>
              </w:tabs>
              <w:spacing w:before="120" w:after="120"/>
              <w:jc w:val="right"/>
              <w:rPr>
                <w:rFonts w:cs="Arial"/>
                <w:szCs w:val="22"/>
              </w:rPr>
            </w:pPr>
            <w:r>
              <w:rPr>
                <w:rFonts w:cs="Arial"/>
                <w:szCs w:val="22"/>
              </w:rPr>
              <w:t>P SOKHELA</w:t>
            </w:r>
          </w:p>
        </w:tc>
      </w:tr>
      <w:tr w:rsidR="009D35B5" w:rsidRPr="007811C6" w14:paraId="1EC4105A" w14:textId="77777777" w:rsidTr="00615F6B">
        <w:tc>
          <w:tcPr>
            <w:tcW w:w="4678" w:type="dxa"/>
          </w:tcPr>
          <w:p w14:paraId="184EC2ED" w14:textId="1E42F28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p>
        </w:tc>
        <w:tc>
          <w:tcPr>
            <w:tcW w:w="3935" w:type="dxa"/>
          </w:tcPr>
          <w:p w14:paraId="2098BE2A" w14:textId="1BCDF3FB" w:rsidR="009D35B5" w:rsidRPr="007811C6" w:rsidRDefault="00044778" w:rsidP="00A25AB4">
            <w:pPr>
              <w:tabs>
                <w:tab w:val="right" w:pos="0"/>
                <w:tab w:val="left" w:pos="4253"/>
              </w:tabs>
              <w:spacing w:before="120" w:after="120"/>
              <w:jc w:val="right"/>
              <w:rPr>
                <w:rFonts w:cs="Arial"/>
                <w:szCs w:val="22"/>
              </w:rPr>
            </w:pPr>
            <w:r>
              <w:rPr>
                <w:rFonts w:cs="Arial"/>
                <w:szCs w:val="22"/>
              </w:rPr>
              <w:t>CHEADLE THOMPSON &amp; HAYSOM INC</w:t>
            </w:r>
          </w:p>
        </w:tc>
      </w:tr>
      <w:tr w:rsidR="009D35B5" w:rsidRPr="007811C6" w14:paraId="2A3FE2B1" w14:textId="77777777" w:rsidTr="00615F6B">
        <w:tc>
          <w:tcPr>
            <w:tcW w:w="4678" w:type="dxa"/>
          </w:tcPr>
          <w:p w14:paraId="0767D0FE" w14:textId="61925A22"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DATE </w:t>
            </w:r>
            <w:r w:rsidR="00E57446" w:rsidRPr="007811C6">
              <w:rPr>
                <w:rFonts w:cs="Arial"/>
                <w:szCs w:val="22"/>
              </w:rPr>
              <w:t>OF ARGUMENT</w:t>
            </w:r>
            <w:r w:rsidRPr="007811C6">
              <w:rPr>
                <w:rFonts w:cs="Arial"/>
                <w:szCs w:val="22"/>
              </w:rPr>
              <w:t>:</w:t>
            </w:r>
          </w:p>
        </w:tc>
        <w:tc>
          <w:tcPr>
            <w:tcW w:w="3935" w:type="dxa"/>
          </w:tcPr>
          <w:p w14:paraId="34C95147" w14:textId="146C2008" w:rsidR="009D35B5" w:rsidRPr="007811C6" w:rsidRDefault="00044778" w:rsidP="00A25AB4">
            <w:pPr>
              <w:tabs>
                <w:tab w:val="right" w:pos="0"/>
                <w:tab w:val="left" w:pos="4253"/>
              </w:tabs>
              <w:spacing w:before="120" w:after="120"/>
              <w:jc w:val="right"/>
              <w:rPr>
                <w:rFonts w:cs="Arial"/>
                <w:szCs w:val="22"/>
              </w:rPr>
            </w:pPr>
            <w:r>
              <w:rPr>
                <w:rFonts w:cs="Arial"/>
                <w:szCs w:val="22"/>
              </w:rPr>
              <w:t>25 MARCH 2024</w:t>
            </w:r>
          </w:p>
        </w:tc>
      </w:tr>
      <w:tr w:rsidR="00A25AB4" w:rsidRPr="007811C6" w14:paraId="5ECDFF3A" w14:textId="77777777" w:rsidTr="00615F6B">
        <w:tc>
          <w:tcPr>
            <w:tcW w:w="4678" w:type="dxa"/>
          </w:tcPr>
          <w:p w14:paraId="1DF2AE9E" w14:textId="1FC539A4" w:rsidR="00A25AB4" w:rsidRPr="007811C6" w:rsidRDefault="00A25AB4" w:rsidP="00A25AB4">
            <w:pPr>
              <w:tabs>
                <w:tab w:val="right" w:pos="0"/>
                <w:tab w:val="left" w:pos="4253"/>
              </w:tabs>
              <w:spacing w:before="120" w:after="120"/>
              <w:rPr>
                <w:rFonts w:cs="Arial"/>
                <w:szCs w:val="22"/>
              </w:rPr>
            </w:pPr>
            <w:r w:rsidRPr="007811C6">
              <w:rPr>
                <w:rFonts w:cs="Arial"/>
                <w:szCs w:val="22"/>
              </w:rPr>
              <w:t>DATE OF JUDGMENT:</w:t>
            </w:r>
          </w:p>
        </w:tc>
        <w:tc>
          <w:tcPr>
            <w:tcW w:w="3935" w:type="dxa"/>
          </w:tcPr>
          <w:p w14:paraId="02219E99" w14:textId="3BBDE6CB" w:rsidR="00A25AB4" w:rsidRPr="007811C6" w:rsidRDefault="00E35391" w:rsidP="00A25AB4">
            <w:pPr>
              <w:tabs>
                <w:tab w:val="right" w:pos="0"/>
                <w:tab w:val="left" w:pos="4253"/>
              </w:tabs>
              <w:spacing w:before="120" w:after="120"/>
              <w:jc w:val="right"/>
              <w:rPr>
                <w:rFonts w:cs="Arial"/>
                <w:szCs w:val="22"/>
              </w:rPr>
            </w:pPr>
            <w:r>
              <w:rPr>
                <w:rFonts w:cs="Arial"/>
                <w:szCs w:val="22"/>
              </w:rPr>
              <w:t>26</w:t>
            </w:r>
            <w:r w:rsidR="00044778">
              <w:rPr>
                <w:rFonts w:cs="Arial"/>
                <w:szCs w:val="22"/>
              </w:rPr>
              <w:t xml:space="preserve"> MARCH 2024</w:t>
            </w:r>
          </w:p>
        </w:tc>
      </w:tr>
    </w:tbl>
    <w:p w14:paraId="1BD8F4EB" w14:textId="491B3C8F" w:rsidR="00A402F6" w:rsidRPr="007811C6" w:rsidRDefault="00A402F6" w:rsidP="008E2A22">
      <w:pPr>
        <w:widowControl w:val="0"/>
        <w:spacing w:before="480" w:after="480" w:line="360" w:lineRule="auto"/>
        <w:jc w:val="both"/>
        <w:rPr>
          <w:rFonts w:cs="Arial"/>
          <w:szCs w:val="22"/>
        </w:rPr>
      </w:pPr>
    </w:p>
    <w:sectPr w:rsidR="00A402F6" w:rsidRPr="007811C6" w:rsidSect="00AC7F53">
      <w:headerReference w:type="default" r:id="rId11"/>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C7006" w14:textId="77777777" w:rsidR="00AC7F53" w:rsidRPr="008E2A22" w:rsidRDefault="00AC7F53">
      <w:pPr>
        <w:rPr>
          <w:sz w:val="21"/>
          <w:szCs w:val="21"/>
        </w:rPr>
      </w:pPr>
      <w:r w:rsidRPr="008E2A22">
        <w:rPr>
          <w:sz w:val="21"/>
          <w:szCs w:val="21"/>
        </w:rPr>
        <w:separator/>
      </w:r>
    </w:p>
  </w:endnote>
  <w:endnote w:type="continuationSeparator" w:id="0">
    <w:p w14:paraId="71879152" w14:textId="77777777" w:rsidR="00AC7F53" w:rsidRPr="008E2A22" w:rsidRDefault="00AC7F53">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5B51C" w14:textId="77777777" w:rsidR="00AC7F53" w:rsidRPr="008E2A22" w:rsidRDefault="00AC7F53">
      <w:pPr>
        <w:rPr>
          <w:sz w:val="21"/>
          <w:szCs w:val="21"/>
        </w:rPr>
      </w:pPr>
      <w:r w:rsidRPr="008E2A22">
        <w:rPr>
          <w:sz w:val="21"/>
          <w:szCs w:val="21"/>
        </w:rPr>
        <w:separator/>
      </w:r>
    </w:p>
  </w:footnote>
  <w:footnote w:type="continuationSeparator" w:id="0">
    <w:p w14:paraId="36B01E48" w14:textId="77777777" w:rsidR="00AC7F53" w:rsidRPr="008E2A22" w:rsidRDefault="00AC7F53">
      <w:pPr>
        <w:rPr>
          <w:sz w:val="21"/>
          <w:szCs w:val="21"/>
        </w:rPr>
      </w:pPr>
      <w:r w:rsidRPr="008E2A22">
        <w:rPr>
          <w:sz w:val="21"/>
          <w:szCs w:val="21"/>
        </w:rPr>
        <w:continuationSeparator/>
      </w:r>
    </w:p>
  </w:footnote>
  <w:footnote w:id="1">
    <w:p w14:paraId="3928B135" w14:textId="77777777" w:rsidR="00C105A1" w:rsidRDefault="00C105A1" w:rsidP="00C105A1">
      <w:pPr>
        <w:pStyle w:val="FootnoteText"/>
      </w:pPr>
      <w:r>
        <w:rPr>
          <w:rStyle w:val="FootnoteReference"/>
        </w:rPr>
        <w:footnoteRef/>
      </w:r>
      <w:r>
        <w:t xml:space="preserve"> </w:t>
      </w:r>
      <w:r>
        <w:tab/>
        <w:t xml:space="preserve">The fourth respondent abides the decision of the court. </w:t>
      </w:r>
    </w:p>
  </w:footnote>
  <w:footnote w:id="2">
    <w:p w14:paraId="325DCA09" w14:textId="6E520CD7" w:rsidR="008824C8" w:rsidRDefault="008824C8">
      <w:pPr>
        <w:pStyle w:val="FootnoteText"/>
      </w:pPr>
      <w:r>
        <w:rPr>
          <w:rStyle w:val="FootnoteReference"/>
        </w:rPr>
        <w:footnoteRef/>
      </w:r>
      <w:r>
        <w:t xml:space="preserve"> </w:t>
      </w:r>
      <w:r>
        <w:tab/>
        <w:t>Chapter II.</w:t>
      </w:r>
    </w:p>
  </w:footnote>
  <w:footnote w:id="3">
    <w:p w14:paraId="76C4B1CE" w14:textId="28677541" w:rsidR="008824C8" w:rsidRDefault="008824C8">
      <w:pPr>
        <w:pStyle w:val="FootnoteText"/>
      </w:pPr>
      <w:r>
        <w:rPr>
          <w:rStyle w:val="FootnoteReference"/>
        </w:rPr>
        <w:footnoteRef/>
      </w:r>
      <w:r>
        <w:t xml:space="preserve"> </w:t>
      </w:r>
      <w:r>
        <w:tab/>
        <w:t>Chapter III.</w:t>
      </w:r>
    </w:p>
  </w:footnote>
  <w:footnote w:id="4">
    <w:p w14:paraId="40E67AF2" w14:textId="0BF2599F" w:rsidR="008824C8" w:rsidRDefault="008824C8">
      <w:pPr>
        <w:pStyle w:val="FootnoteText"/>
      </w:pPr>
      <w:r>
        <w:rPr>
          <w:rStyle w:val="FootnoteReference"/>
        </w:rPr>
        <w:footnoteRef/>
      </w:r>
      <w:r>
        <w:t xml:space="preserve"> </w:t>
      </w:r>
      <w:r>
        <w:tab/>
        <w:t>Chapter VII.</w:t>
      </w:r>
    </w:p>
  </w:footnote>
  <w:footnote w:id="5">
    <w:p w14:paraId="5C3DFDF4" w14:textId="203B5A56" w:rsidR="008824C8" w:rsidRDefault="008824C8">
      <w:pPr>
        <w:pStyle w:val="FootnoteText"/>
      </w:pPr>
      <w:r>
        <w:rPr>
          <w:rStyle w:val="FootnoteReference"/>
        </w:rPr>
        <w:footnoteRef/>
      </w:r>
      <w:r>
        <w:t xml:space="preserve"> </w:t>
      </w:r>
      <w:r>
        <w:tab/>
        <w:t>Section 112.</w:t>
      </w:r>
    </w:p>
  </w:footnote>
  <w:footnote w:id="6">
    <w:p w14:paraId="18975705" w14:textId="6CEFB4EE" w:rsidR="008824C8" w:rsidRDefault="008824C8">
      <w:pPr>
        <w:pStyle w:val="FootnoteText"/>
      </w:pPr>
      <w:r>
        <w:rPr>
          <w:rStyle w:val="FootnoteReference"/>
        </w:rPr>
        <w:footnoteRef/>
      </w:r>
      <w:r>
        <w:t xml:space="preserve"> </w:t>
      </w:r>
      <w:r>
        <w:tab/>
        <w:t>Section 151.</w:t>
      </w:r>
    </w:p>
  </w:footnote>
  <w:footnote w:id="7">
    <w:p w14:paraId="7DBB06EA" w14:textId="77777777" w:rsidR="002B463F" w:rsidRDefault="002B463F" w:rsidP="002B463F">
      <w:pPr>
        <w:pStyle w:val="FootnoteText"/>
      </w:pPr>
      <w:r>
        <w:rPr>
          <w:rStyle w:val="FootnoteReference"/>
        </w:rPr>
        <w:footnoteRef/>
      </w:r>
      <w:r>
        <w:t xml:space="preserve"> </w:t>
      </w:r>
      <w:r>
        <w:tab/>
      </w:r>
      <w:r w:rsidRPr="0011577A">
        <w:t>Cameron J (Moseneke DCJ, Froneman J and Jappie AJ concurring)</w:t>
      </w:r>
      <w:r>
        <w:t>.</w:t>
      </w:r>
    </w:p>
  </w:footnote>
  <w:footnote w:id="8">
    <w:p w14:paraId="0B053BD8" w14:textId="292BFF5D" w:rsidR="002B463F" w:rsidRPr="00B344A6" w:rsidRDefault="002B463F" w:rsidP="002B463F">
      <w:pPr>
        <w:pStyle w:val="FootnoteText"/>
        <w:rPr>
          <w:lang w:val="en-GB"/>
        </w:rPr>
      </w:pPr>
      <w:r>
        <w:rPr>
          <w:rStyle w:val="FootnoteReference"/>
        </w:rPr>
        <w:footnoteRef/>
      </w:r>
      <w:r>
        <w:t xml:space="preserve"> </w:t>
      </w:r>
      <w:r>
        <w:rPr>
          <w:lang w:val="en-GB"/>
        </w:rPr>
        <w:tab/>
      </w:r>
      <w:r w:rsidRPr="00B344A6">
        <w:rPr>
          <w:i/>
          <w:iCs/>
          <w:lang w:val="en-GB"/>
        </w:rPr>
        <w:t>My Vote Counts v Speaker of the National Assembly</w:t>
      </w:r>
      <w:r>
        <w:rPr>
          <w:lang w:val="en-GB"/>
        </w:rPr>
        <w:t xml:space="preserve"> 2016 (1) SA 132 (CC)  para 53, and </w:t>
      </w:r>
      <w:r w:rsidRPr="00B344A6">
        <w:rPr>
          <w:i/>
          <w:iCs/>
          <w:lang w:val="en-GB"/>
        </w:rPr>
        <w:t>Airports Company SA SOC Ltd v Imperial Group Ltd and Others</w:t>
      </w:r>
      <w:r>
        <w:rPr>
          <w:lang w:val="en-GB"/>
        </w:rPr>
        <w:t xml:space="preserve"> 2020 (4) SA 17 (SCA) with reference to section 217 of the Constitution.</w:t>
      </w:r>
      <w:r w:rsidR="00077B2B">
        <w:rPr>
          <w:lang w:val="en-GB"/>
        </w:rPr>
        <w:t xml:space="preserve"> See also the judgment by Khampepe J in </w:t>
      </w:r>
      <w:r w:rsidR="00077B2B" w:rsidRPr="00077B2B">
        <w:rPr>
          <w:i/>
          <w:iCs/>
        </w:rPr>
        <w:t>South African Human Rights Commission obo South African Jewish Board of Deputies v Masuku and Another</w:t>
      </w:r>
      <w:r w:rsidR="00077B2B">
        <w:t xml:space="preserve"> </w:t>
      </w:r>
      <w:r w:rsidR="00077B2B" w:rsidRPr="00527A9B">
        <w:t>2022 (4) SA 1 (CC)</w:t>
      </w:r>
      <w:r w:rsidR="00077B2B">
        <w:t xml:space="preserve"> para 102.</w:t>
      </w:r>
    </w:p>
  </w:footnote>
  <w:footnote w:id="9">
    <w:p w14:paraId="5A583B10" w14:textId="160A03F2" w:rsidR="00077B2B" w:rsidRDefault="00077B2B">
      <w:pPr>
        <w:pStyle w:val="FootnoteText"/>
      </w:pPr>
      <w:r>
        <w:rPr>
          <w:rStyle w:val="FootnoteReference"/>
        </w:rPr>
        <w:footnoteRef/>
      </w:r>
      <w:r>
        <w:t xml:space="preserve"> </w:t>
      </w:r>
      <w:r>
        <w:tab/>
        <w:t>Only one of the charges relate to section 2G (2) of the Lotteries Act.</w:t>
      </w:r>
    </w:p>
  </w:footnote>
  <w:footnote w:id="10">
    <w:p w14:paraId="70F8E871" w14:textId="08B134E3" w:rsidR="00DC4322" w:rsidRDefault="00DC4322">
      <w:pPr>
        <w:pStyle w:val="FootnoteText"/>
      </w:pPr>
      <w:r>
        <w:rPr>
          <w:rStyle w:val="FootnoteReference"/>
        </w:rPr>
        <w:footnoteRef/>
      </w:r>
      <w:r>
        <w:t xml:space="preserve"> </w:t>
      </w:r>
      <w:r>
        <w:tab/>
        <w:t xml:space="preserve">See </w:t>
      </w:r>
      <w:r w:rsidR="00077B2B" w:rsidRPr="007B68A7">
        <w:rPr>
          <w:i/>
          <w:iCs/>
        </w:rPr>
        <w:t>Smith v Kwanonqubela Town Council</w:t>
      </w:r>
      <w:r w:rsidR="00077B2B">
        <w:t xml:space="preserve"> </w:t>
      </w:r>
      <w:r w:rsidR="00077B2B" w:rsidRPr="007B68A7">
        <w:t>1999 (4) SA 947 (SCA) paras 12 to 14</w:t>
      </w:r>
      <w:r w:rsidR="00077B2B">
        <w:t>.</w:t>
      </w:r>
    </w:p>
  </w:footnote>
  <w:footnote w:id="11">
    <w:p w14:paraId="5B7C6C6F" w14:textId="5841EC06" w:rsidR="006D28A5" w:rsidRDefault="006D28A5" w:rsidP="006D28A5">
      <w:pPr>
        <w:pStyle w:val="FootnoteText"/>
      </w:pPr>
      <w:r>
        <w:rPr>
          <w:rStyle w:val="FootnoteReference"/>
        </w:rPr>
        <w:footnoteRef/>
      </w:r>
      <w:r>
        <w:t xml:space="preserve"> </w:t>
      </w:r>
      <w:r>
        <w:tab/>
      </w:r>
      <w:r w:rsidRPr="00301F05">
        <w:rPr>
          <w:i/>
          <w:iCs/>
        </w:rPr>
        <w:t>Jiba v Minister of Justice and Constitutional Development and Others</w:t>
      </w:r>
      <w:r>
        <w:t xml:space="preserve"> (2010) 31 ILJ  112 (LC),  </w:t>
      </w:r>
      <w:r w:rsidRPr="001F4C2C">
        <w:t>[</w:t>
      </w:r>
      <w:r w:rsidRPr="001F4C2C">
        <w:rPr>
          <w:lang w:eastAsia="en-ZA"/>
        </w:rPr>
        <w:t>2009] ZALCJHB 2</w:t>
      </w:r>
      <w:r w:rsidR="00A248B0">
        <w:rPr>
          <w:lang w:eastAsia="en-ZA"/>
        </w:rPr>
        <w:t xml:space="preserve"> </w:t>
      </w:r>
      <w:r>
        <w:t>para 16.</w:t>
      </w:r>
    </w:p>
  </w:footnote>
  <w:footnote w:id="12">
    <w:p w14:paraId="2D4AF438" w14:textId="0D4D15F9" w:rsidR="00494F1A" w:rsidRPr="00213F3E" w:rsidRDefault="00494F1A">
      <w:pPr>
        <w:pStyle w:val="FootnoteText"/>
      </w:pPr>
      <w:r>
        <w:rPr>
          <w:rStyle w:val="FootnoteReference"/>
        </w:rPr>
        <w:footnoteRef/>
      </w:r>
      <w:r>
        <w:t xml:space="preserve"> </w:t>
      </w:r>
      <w:r>
        <w:tab/>
      </w:r>
      <w:r w:rsidR="00213F3E" w:rsidRPr="00213F3E">
        <w:rPr>
          <w:i/>
          <w:iCs/>
        </w:rPr>
        <w:t>Laggar v Shell Auto Care (Pty) Ltd and Another</w:t>
      </w:r>
      <w:r w:rsidR="00213F3E">
        <w:rPr>
          <w:i/>
          <w:iCs/>
        </w:rPr>
        <w:t xml:space="preserve"> </w:t>
      </w:r>
      <w:r w:rsidR="00213F3E" w:rsidRPr="004B0F85">
        <w:t>2001 (2) SA 136 (C)</w:t>
      </w:r>
      <w:r w:rsidR="00213F3E">
        <w:t xml:space="preserve"> para 14.</w:t>
      </w:r>
    </w:p>
  </w:footnote>
  <w:footnote w:id="13">
    <w:p w14:paraId="13D4C6B3" w14:textId="389BE53E" w:rsidR="00301F05" w:rsidRDefault="00301F05">
      <w:pPr>
        <w:pStyle w:val="FootnoteText"/>
      </w:pPr>
      <w:r>
        <w:rPr>
          <w:rStyle w:val="FootnoteReference"/>
        </w:rPr>
        <w:footnoteRef/>
      </w:r>
      <w:r>
        <w:t xml:space="preserve"> </w:t>
      </w:r>
      <w:r>
        <w:tab/>
      </w:r>
      <w:r w:rsidRPr="00301F05">
        <w:rPr>
          <w:i/>
          <w:iCs/>
        </w:rPr>
        <w:t>Jiba v Minister of Justice and Constitutional Development and Others</w:t>
      </w:r>
      <w:r>
        <w:t xml:space="preserve"> (2010) 31 ILJ  112 (LC),  </w:t>
      </w:r>
      <w:r w:rsidRPr="001F4C2C">
        <w:t>[</w:t>
      </w:r>
      <w:r w:rsidRPr="001F4C2C">
        <w:rPr>
          <w:lang w:eastAsia="en-ZA"/>
        </w:rPr>
        <w:t>2009] ZALCJHB 2</w:t>
      </w:r>
      <w:r w:rsidR="005C37C6">
        <w:rPr>
          <w:lang w:eastAsia="en-ZA"/>
        </w:rPr>
        <w:t xml:space="preserve"> </w:t>
      </w:r>
      <w:r>
        <w:t>para</w:t>
      </w:r>
      <w:r w:rsidR="00437EB4">
        <w:t>s 11 and</w:t>
      </w:r>
      <w:r>
        <w:t xml:space="preserve"> 12</w:t>
      </w:r>
      <w:r w:rsidR="00437EB4">
        <w:t>.</w:t>
      </w:r>
    </w:p>
  </w:footnote>
  <w:footnote w:id="14">
    <w:p w14:paraId="0D6D7FFB" w14:textId="75F47B0F" w:rsidR="00E95D75" w:rsidRDefault="00E95D75">
      <w:pPr>
        <w:pStyle w:val="FootnoteText"/>
      </w:pPr>
      <w:r>
        <w:rPr>
          <w:rStyle w:val="FootnoteReference"/>
        </w:rPr>
        <w:footnoteRef/>
      </w:r>
      <w:r>
        <w:t xml:space="preserve"> </w:t>
      </w:r>
      <w:r>
        <w:tab/>
      </w:r>
      <w:r>
        <w:rPr>
          <w:rFonts w:cs="Arial"/>
          <w:bCs/>
          <w:i/>
          <w:iCs/>
          <w:szCs w:val="22"/>
        </w:rPr>
        <w:t>Ndhlovu v Department of Health, Northern Cape Province and Another</w:t>
      </w:r>
      <w:r w:rsidRPr="00E95D75">
        <w:rPr>
          <w:rFonts w:cs="Arial"/>
          <w:bCs/>
          <w:szCs w:val="22"/>
        </w:rPr>
        <w:t xml:space="preserve"> [2023]</w:t>
      </w:r>
      <w:r w:rsidRPr="00E95D75">
        <w:t xml:space="preserve"> </w:t>
      </w:r>
      <w:r>
        <w:t>ZANCHC 26 para 39.</w:t>
      </w:r>
    </w:p>
  </w:footnote>
  <w:footnote w:id="15">
    <w:p w14:paraId="39606A94" w14:textId="6DFB0480" w:rsidR="004C6239" w:rsidRDefault="004C6239" w:rsidP="004C6239">
      <w:pPr>
        <w:pStyle w:val="FootnoteText"/>
      </w:pPr>
      <w:r>
        <w:rPr>
          <w:rStyle w:val="FootnoteReference"/>
        </w:rPr>
        <w:footnoteRef/>
      </w:r>
      <w:r>
        <w:t xml:space="preserve"> </w:t>
      </w:r>
      <w:r>
        <w:tab/>
      </w:r>
      <w:r>
        <w:rPr>
          <w:color w:val="000000" w:themeColor="text1"/>
        </w:rPr>
        <w:t xml:space="preserve">Van Loggerenberg </w:t>
      </w:r>
      <w:r w:rsidRPr="00FB740E">
        <w:rPr>
          <w:i/>
          <w:iCs/>
          <w:color w:val="000000" w:themeColor="text1"/>
        </w:rPr>
        <w:t>Erasmus: Superior Court Practice</w:t>
      </w:r>
      <w:r>
        <w:rPr>
          <w:color w:val="000000" w:themeColor="text1"/>
        </w:rPr>
        <w:t>, vol 2, 2023, D6-14, footnote 1</w:t>
      </w:r>
      <w:r w:rsidR="00E22FB3">
        <w:rPr>
          <w:color w:val="000000" w:themeColor="text1"/>
        </w:rPr>
        <w:t>22</w:t>
      </w:r>
      <w:r>
        <w:rPr>
          <w:color w:val="000000" w:themeColor="text1"/>
        </w:rPr>
        <w:t>.</w:t>
      </w:r>
    </w:p>
  </w:footnote>
  <w:footnote w:id="16">
    <w:p w14:paraId="1FA9E5C2" w14:textId="28C8B54E" w:rsidR="00FB740E" w:rsidRDefault="00FB740E" w:rsidP="00FB740E">
      <w:pPr>
        <w:pStyle w:val="FootnoteText"/>
      </w:pPr>
      <w:r>
        <w:rPr>
          <w:rStyle w:val="FootnoteReference"/>
        </w:rPr>
        <w:footnoteRef/>
      </w:r>
      <w:r>
        <w:t xml:space="preserve"> </w:t>
      </w:r>
      <w:r>
        <w:tab/>
        <w:t xml:space="preserve">See </w:t>
      </w:r>
      <w:r w:rsidRPr="007C6A2E">
        <w:rPr>
          <w:i/>
          <w:iCs/>
          <w:color w:val="000000" w:themeColor="text1"/>
        </w:rPr>
        <w:t>Setlogelo v Setlogelo</w:t>
      </w:r>
      <w:r w:rsidRPr="007C6A2E">
        <w:rPr>
          <w:color w:val="000000" w:themeColor="text1"/>
        </w:rPr>
        <w:t> </w:t>
      </w:r>
      <w:hyperlink r:id="rId1" w:anchor="y1914ADpg221" w:history="1">
        <w:r w:rsidRPr="007C6A2E">
          <w:rPr>
            <w:rStyle w:val="Hyperlink"/>
            <w:color w:val="000000" w:themeColor="text1"/>
            <w:u w:val="none"/>
          </w:rPr>
          <w:t>1914 AD 221</w:t>
        </w:r>
      </w:hyperlink>
      <w:r w:rsidRPr="007C6A2E">
        <w:rPr>
          <w:color w:val="000000" w:themeColor="text1"/>
        </w:rPr>
        <w:t> at 227</w:t>
      </w:r>
      <w:r>
        <w:rPr>
          <w:color w:val="000000" w:themeColor="text1"/>
        </w:rPr>
        <w:t xml:space="preserve">, followed by South African courts overt the last century and the authorities listed by Van Loggerenberg </w:t>
      </w:r>
      <w:r w:rsidRPr="00FB740E">
        <w:rPr>
          <w:i/>
          <w:iCs/>
          <w:color w:val="000000" w:themeColor="text1"/>
        </w:rPr>
        <w:t>Erasmus: Superior Court Practice</w:t>
      </w:r>
      <w:r>
        <w:rPr>
          <w:color w:val="000000" w:themeColor="text1"/>
        </w:rPr>
        <w:t>, vol 2, 2023, D6-16C, footnote 165.</w:t>
      </w:r>
    </w:p>
  </w:footnote>
  <w:footnote w:id="17">
    <w:p w14:paraId="66ED3005" w14:textId="44C3E08C" w:rsidR="005C37C6" w:rsidRDefault="005C37C6">
      <w:pPr>
        <w:pStyle w:val="FootnoteText"/>
      </w:pPr>
      <w:r>
        <w:rPr>
          <w:rStyle w:val="FootnoteReference"/>
        </w:rPr>
        <w:footnoteRef/>
      </w:r>
      <w:r>
        <w:t xml:space="preserve"> </w:t>
      </w:r>
      <w:r>
        <w:tab/>
      </w:r>
      <w:r w:rsidRPr="00F854C0">
        <w:rPr>
          <w:i/>
          <w:iCs/>
        </w:rPr>
        <w:t>Mkhatshwa and Others v Mkhatshwa and Others</w:t>
      </w:r>
      <w:r>
        <w:t xml:space="preserve"> 2021 (5) SA 447 (CC)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14F9872F"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E14BE9">
      <w:rPr>
        <w:rFonts w:cs="Arial"/>
        <w:noProof/>
        <w:sz w:val="19"/>
        <w:szCs w:val="19"/>
        <w:lang w:val="en-GB"/>
      </w:rPr>
      <w:t>13</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2A6AA7"/>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4739677">
    <w:abstractNumId w:val="7"/>
  </w:num>
  <w:num w:numId="2" w16cid:durableId="166406580">
    <w:abstractNumId w:val="2"/>
  </w:num>
  <w:num w:numId="3" w16cid:durableId="1620725417">
    <w:abstractNumId w:val="17"/>
  </w:num>
  <w:num w:numId="4" w16cid:durableId="1016807053">
    <w:abstractNumId w:val="9"/>
  </w:num>
  <w:num w:numId="5" w16cid:durableId="808329096">
    <w:abstractNumId w:val="15"/>
  </w:num>
  <w:num w:numId="6" w16cid:durableId="924534535">
    <w:abstractNumId w:val="13"/>
  </w:num>
  <w:num w:numId="7" w16cid:durableId="1287733429">
    <w:abstractNumId w:val="0"/>
  </w:num>
  <w:num w:numId="8" w16cid:durableId="107262813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7580840">
    <w:abstractNumId w:val="11"/>
  </w:num>
  <w:num w:numId="10" w16cid:durableId="694619004">
    <w:abstractNumId w:val="3"/>
  </w:num>
  <w:num w:numId="11" w16cid:durableId="841315637">
    <w:abstractNumId w:val="18"/>
  </w:num>
  <w:num w:numId="12" w16cid:durableId="1060708623">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38557697">
    <w:abstractNumId w:val="14"/>
  </w:num>
  <w:num w:numId="14" w16cid:durableId="218902352">
    <w:abstractNumId w:val="12"/>
  </w:num>
  <w:num w:numId="15" w16cid:durableId="1594440026">
    <w:abstractNumId w:val="5"/>
  </w:num>
  <w:num w:numId="16" w16cid:durableId="2041662865">
    <w:abstractNumId w:val="8"/>
  </w:num>
  <w:num w:numId="17" w16cid:durableId="1876309277">
    <w:abstractNumId w:val="4"/>
  </w:num>
  <w:num w:numId="18" w16cid:durableId="1895772685">
    <w:abstractNumId w:val="1"/>
  </w:num>
  <w:num w:numId="19" w16cid:durableId="19451157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wMDK0tDA2NTcwMDZX0lEKTi0uzszPAykwrAUA73u0eSwAAAA="/>
    <w:docVar w:name="dgnword-docGUID" w:val="{03CA2F57-BE04-4173-83AA-5927DD4E5C87}"/>
    <w:docVar w:name="dgnword-eventsink" w:val="2508184061552"/>
  </w:docVars>
  <w:rsids>
    <w:rsidRoot w:val="00C676F3"/>
    <w:rsid w:val="000004A3"/>
    <w:rsid w:val="00000AFE"/>
    <w:rsid w:val="00001138"/>
    <w:rsid w:val="000019D2"/>
    <w:rsid w:val="000045DF"/>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A26"/>
    <w:rsid w:val="00026D9A"/>
    <w:rsid w:val="00027D19"/>
    <w:rsid w:val="00030A89"/>
    <w:rsid w:val="000319AA"/>
    <w:rsid w:val="000325E2"/>
    <w:rsid w:val="00036508"/>
    <w:rsid w:val="00040CD3"/>
    <w:rsid w:val="000426C0"/>
    <w:rsid w:val="00042D0E"/>
    <w:rsid w:val="00044778"/>
    <w:rsid w:val="0004506F"/>
    <w:rsid w:val="0004508D"/>
    <w:rsid w:val="00045D03"/>
    <w:rsid w:val="00047F26"/>
    <w:rsid w:val="00050086"/>
    <w:rsid w:val="000504F1"/>
    <w:rsid w:val="00051A2B"/>
    <w:rsid w:val="0005282E"/>
    <w:rsid w:val="000528B3"/>
    <w:rsid w:val="000550EB"/>
    <w:rsid w:val="000554B8"/>
    <w:rsid w:val="0005636C"/>
    <w:rsid w:val="000579E5"/>
    <w:rsid w:val="00060AF8"/>
    <w:rsid w:val="000622AE"/>
    <w:rsid w:val="00063F7B"/>
    <w:rsid w:val="00066915"/>
    <w:rsid w:val="00066971"/>
    <w:rsid w:val="00072105"/>
    <w:rsid w:val="000737E1"/>
    <w:rsid w:val="00073E30"/>
    <w:rsid w:val="00077B2B"/>
    <w:rsid w:val="00077D11"/>
    <w:rsid w:val="000809A3"/>
    <w:rsid w:val="00081716"/>
    <w:rsid w:val="00082EDC"/>
    <w:rsid w:val="000833BB"/>
    <w:rsid w:val="000835BE"/>
    <w:rsid w:val="00085288"/>
    <w:rsid w:val="00087AE6"/>
    <w:rsid w:val="000906B5"/>
    <w:rsid w:val="00090FFC"/>
    <w:rsid w:val="00092591"/>
    <w:rsid w:val="00093237"/>
    <w:rsid w:val="0009429D"/>
    <w:rsid w:val="0009488C"/>
    <w:rsid w:val="0009540B"/>
    <w:rsid w:val="000956E5"/>
    <w:rsid w:val="00096A67"/>
    <w:rsid w:val="000976D2"/>
    <w:rsid w:val="00097968"/>
    <w:rsid w:val="000A0D65"/>
    <w:rsid w:val="000A6AD8"/>
    <w:rsid w:val="000A6EA3"/>
    <w:rsid w:val="000B0116"/>
    <w:rsid w:val="000B0A70"/>
    <w:rsid w:val="000B21DA"/>
    <w:rsid w:val="000B39D7"/>
    <w:rsid w:val="000C7A3D"/>
    <w:rsid w:val="000C7E41"/>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3298"/>
    <w:rsid w:val="000F430D"/>
    <w:rsid w:val="000F59F8"/>
    <w:rsid w:val="000F7813"/>
    <w:rsid w:val="00101890"/>
    <w:rsid w:val="001025B5"/>
    <w:rsid w:val="00104142"/>
    <w:rsid w:val="001053D6"/>
    <w:rsid w:val="00105F97"/>
    <w:rsid w:val="00107D26"/>
    <w:rsid w:val="00107D90"/>
    <w:rsid w:val="001114D8"/>
    <w:rsid w:val="001142D1"/>
    <w:rsid w:val="00117679"/>
    <w:rsid w:val="00120C79"/>
    <w:rsid w:val="00120FB1"/>
    <w:rsid w:val="00124ED2"/>
    <w:rsid w:val="00130253"/>
    <w:rsid w:val="001305E0"/>
    <w:rsid w:val="00130C4A"/>
    <w:rsid w:val="00133E81"/>
    <w:rsid w:val="001342B3"/>
    <w:rsid w:val="00140454"/>
    <w:rsid w:val="00140CED"/>
    <w:rsid w:val="00141AD1"/>
    <w:rsid w:val="00143E7B"/>
    <w:rsid w:val="0014628D"/>
    <w:rsid w:val="00147FF5"/>
    <w:rsid w:val="00151DA9"/>
    <w:rsid w:val="0015238F"/>
    <w:rsid w:val="00152899"/>
    <w:rsid w:val="00154961"/>
    <w:rsid w:val="00155A21"/>
    <w:rsid w:val="00156C9E"/>
    <w:rsid w:val="0015748A"/>
    <w:rsid w:val="00161057"/>
    <w:rsid w:val="00161392"/>
    <w:rsid w:val="0016589D"/>
    <w:rsid w:val="001671C1"/>
    <w:rsid w:val="0016738D"/>
    <w:rsid w:val="00171182"/>
    <w:rsid w:val="0017124B"/>
    <w:rsid w:val="00171D7F"/>
    <w:rsid w:val="00172763"/>
    <w:rsid w:val="00172DDF"/>
    <w:rsid w:val="00173B8E"/>
    <w:rsid w:val="00175DDD"/>
    <w:rsid w:val="001802F8"/>
    <w:rsid w:val="00180CB6"/>
    <w:rsid w:val="001838CC"/>
    <w:rsid w:val="00183EB6"/>
    <w:rsid w:val="0018483D"/>
    <w:rsid w:val="00185ACF"/>
    <w:rsid w:val="00187BEB"/>
    <w:rsid w:val="00190579"/>
    <w:rsid w:val="00190F4E"/>
    <w:rsid w:val="001916C4"/>
    <w:rsid w:val="00191D41"/>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0C80"/>
    <w:rsid w:val="001C1F29"/>
    <w:rsid w:val="001C2233"/>
    <w:rsid w:val="001C2371"/>
    <w:rsid w:val="001C33E6"/>
    <w:rsid w:val="001C608F"/>
    <w:rsid w:val="001C7048"/>
    <w:rsid w:val="001D3CC2"/>
    <w:rsid w:val="001D46A3"/>
    <w:rsid w:val="001E0529"/>
    <w:rsid w:val="001E2EED"/>
    <w:rsid w:val="001E44D1"/>
    <w:rsid w:val="001E4691"/>
    <w:rsid w:val="001E518E"/>
    <w:rsid w:val="001F014C"/>
    <w:rsid w:val="001F09D1"/>
    <w:rsid w:val="001F0A29"/>
    <w:rsid w:val="001F0CE5"/>
    <w:rsid w:val="001F361F"/>
    <w:rsid w:val="001F3DBD"/>
    <w:rsid w:val="001F53E8"/>
    <w:rsid w:val="001F6466"/>
    <w:rsid w:val="001F648A"/>
    <w:rsid w:val="001F6F43"/>
    <w:rsid w:val="00200B96"/>
    <w:rsid w:val="00201620"/>
    <w:rsid w:val="00203DA2"/>
    <w:rsid w:val="0020474A"/>
    <w:rsid w:val="00205392"/>
    <w:rsid w:val="00205E72"/>
    <w:rsid w:val="00206919"/>
    <w:rsid w:val="002104BF"/>
    <w:rsid w:val="002108B6"/>
    <w:rsid w:val="00211F49"/>
    <w:rsid w:val="00213738"/>
    <w:rsid w:val="00213F3E"/>
    <w:rsid w:val="00214877"/>
    <w:rsid w:val="00215824"/>
    <w:rsid w:val="00216BC8"/>
    <w:rsid w:val="002175BA"/>
    <w:rsid w:val="002200DC"/>
    <w:rsid w:val="0022218D"/>
    <w:rsid w:val="00226926"/>
    <w:rsid w:val="002302E3"/>
    <w:rsid w:val="00232528"/>
    <w:rsid w:val="0023405C"/>
    <w:rsid w:val="00235D20"/>
    <w:rsid w:val="00236E47"/>
    <w:rsid w:val="0023711D"/>
    <w:rsid w:val="00237806"/>
    <w:rsid w:val="00237FF9"/>
    <w:rsid w:val="0024012B"/>
    <w:rsid w:val="00243D2F"/>
    <w:rsid w:val="00244FB9"/>
    <w:rsid w:val="00250164"/>
    <w:rsid w:val="002507AA"/>
    <w:rsid w:val="00251668"/>
    <w:rsid w:val="002535F0"/>
    <w:rsid w:val="00253F38"/>
    <w:rsid w:val="00253F72"/>
    <w:rsid w:val="002549D2"/>
    <w:rsid w:val="00260B0A"/>
    <w:rsid w:val="002625C5"/>
    <w:rsid w:val="00262819"/>
    <w:rsid w:val="00263A96"/>
    <w:rsid w:val="00270557"/>
    <w:rsid w:val="002709AE"/>
    <w:rsid w:val="00271246"/>
    <w:rsid w:val="00272B77"/>
    <w:rsid w:val="0027600C"/>
    <w:rsid w:val="00277491"/>
    <w:rsid w:val="00277B78"/>
    <w:rsid w:val="00285040"/>
    <w:rsid w:val="00285062"/>
    <w:rsid w:val="0029196F"/>
    <w:rsid w:val="00292E3E"/>
    <w:rsid w:val="00293463"/>
    <w:rsid w:val="0029369B"/>
    <w:rsid w:val="00293C02"/>
    <w:rsid w:val="0029605B"/>
    <w:rsid w:val="00296DAF"/>
    <w:rsid w:val="002976B8"/>
    <w:rsid w:val="002A030C"/>
    <w:rsid w:val="002A4B7B"/>
    <w:rsid w:val="002B0355"/>
    <w:rsid w:val="002B05EA"/>
    <w:rsid w:val="002B12D6"/>
    <w:rsid w:val="002B463F"/>
    <w:rsid w:val="002B528D"/>
    <w:rsid w:val="002B782F"/>
    <w:rsid w:val="002C15AC"/>
    <w:rsid w:val="002C2E80"/>
    <w:rsid w:val="002C4687"/>
    <w:rsid w:val="002C48E7"/>
    <w:rsid w:val="002C4B84"/>
    <w:rsid w:val="002C4EF0"/>
    <w:rsid w:val="002D1EC7"/>
    <w:rsid w:val="002D2842"/>
    <w:rsid w:val="002D47B3"/>
    <w:rsid w:val="002E0E37"/>
    <w:rsid w:val="002E2648"/>
    <w:rsid w:val="002E2901"/>
    <w:rsid w:val="002E3586"/>
    <w:rsid w:val="002E5B57"/>
    <w:rsid w:val="002E612C"/>
    <w:rsid w:val="002E6CCA"/>
    <w:rsid w:val="002E6CD7"/>
    <w:rsid w:val="002E704D"/>
    <w:rsid w:val="002F1C4D"/>
    <w:rsid w:val="002F2881"/>
    <w:rsid w:val="002F41F8"/>
    <w:rsid w:val="002F4A5D"/>
    <w:rsid w:val="002F508A"/>
    <w:rsid w:val="002F72D3"/>
    <w:rsid w:val="002F774A"/>
    <w:rsid w:val="00301F05"/>
    <w:rsid w:val="00302290"/>
    <w:rsid w:val="003023F9"/>
    <w:rsid w:val="00302C31"/>
    <w:rsid w:val="003031A1"/>
    <w:rsid w:val="00303919"/>
    <w:rsid w:val="00304705"/>
    <w:rsid w:val="003047C2"/>
    <w:rsid w:val="0030653F"/>
    <w:rsid w:val="00306B41"/>
    <w:rsid w:val="00307200"/>
    <w:rsid w:val="003102C8"/>
    <w:rsid w:val="0031117B"/>
    <w:rsid w:val="00312EBC"/>
    <w:rsid w:val="00313056"/>
    <w:rsid w:val="00321DF8"/>
    <w:rsid w:val="00323058"/>
    <w:rsid w:val="00324EDF"/>
    <w:rsid w:val="003312BF"/>
    <w:rsid w:val="003313A2"/>
    <w:rsid w:val="00335170"/>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0253"/>
    <w:rsid w:val="0036253D"/>
    <w:rsid w:val="0036343F"/>
    <w:rsid w:val="00363FCD"/>
    <w:rsid w:val="00364C43"/>
    <w:rsid w:val="00364E6A"/>
    <w:rsid w:val="00364E80"/>
    <w:rsid w:val="003653FF"/>
    <w:rsid w:val="00365FEF"/>
    <w:rsid w:val="00366937"/>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4770"/>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6F49"/>
    <w:rsid w:val="003C7FCC"/>
    <w:rsid w:val="003D1202"/>
    <w:rsid w:val="003D19C3"/>
    <w:rsid w:val="003D36F9"/>
    <w:rsid w:val="003D77F1"/>
    <w:rsid w:val="003D7970"/>
    <w:rsid w:val="003E0159"/>
    <w:rsid w:val="003E4209"/>
    <w:rsid w:val="003E449A"/>
    <w:rsid w:val="003E4A33"/>
    <w:rsid w:val="003E54E1"/>
    <w:rsid w:val="003E724B"/>
    <w:rsid w:val="003E7A60"/>
    <w:rsid w:val="003F1F49"/>
    <w:rsid w:val="003F23F0"/>
    <w:rsid w:val="003F44F4"/>
    <w:rsid w:val="003F4801"/>
    <w:rsid w:val="003F7448"/>
    <w:rsid w:val="0040197A"/>
    <w:rsid w:val="00404A52"/>
    <w:rsid w:val="00407B85"/>
    <w:rsid w:val="00407F28"/>
    <w:rsid w:val="00410BA9"/>
    <w:rsid w:val="0041100A"/>
    <w:rsid w:val="0041262D"/>
    <w:rsid w:val="004131C5"/>
    <w:rsid w:val="0041363D"/>
    <w:rsid w:val="00413D9B"/>
    <w:rsid w:val="00415439"/>
    <w:rsid w:val="0042161A"/>
    <w:rsid w:val="0042423E"/>
    <w:rsid w:val="00424BA6"/>
    <w:rsid w:val="004274E7"/>
    <w:rsid w:val="00430142"/>
    <w:rsid w:val="00430B04"/>
    <w:rsid w:val="00431ABD"/>
    <w:rsid w:val="004339E6"/>
    <w:rsid w:val="00434796"/>
    <w:rsid w:val="0043683A"/>
    <w:rsid w:val="00437EB1"/>
    <w:rsid w:val="00437EB4"/>
    <w:rsid w:val="00441422"/>
    <w:rsid w:val="00444ED6"/>
    <w:rsid w:val="00445DCB"/>
    <w:rsid w:val="00447235"/>
    <w:rsid w:val="004479C3"/>
    <w:rsid w:val="0045044C"/>
    <w:rsid w:val="00452B52"/>
    <w:rsid w:val="00460495"/>
    <w:rsid w:val="00460EEA"/>
    <w:rsid w:val="004630B6"/>
    <w:rsid w:val="00463106"/>
    <w:rsid w:val="00466A30"/>
    <w:rsid w:val="00467F5B"/>
    <w:rsid w:val="00472F97"/>
    <w:rsid w:val="00474607"/>
    <w:rsid w:val="00474910"/>
    <w:rsid w:val="004749AF"/>
    <w:rsid w:val="00475410"/>
    <w:rsid w:val="00475E80"/>
    <w:rsid w:val="004774FF"/>
    <w:rsid w:val="00480C16"/>
    <w:rsid w:val="0048285C"/>
    <w:rsid w:val="00483F21"/>
    <w:rsid w:val="00484116"/>
    <w:rsid w:val="00484163"/>
    <w:rsid w:val="004841A8"/>
    <w:rsid w:val="0048424E"/>
    <w:rsid w:val="00484F8A"/>
    <w:rsid w:val="00486F42"/>
    <w:rsid w:val="00487D14"/>
    <w:rsid w:val="0049165E"/>
    <w:rsid w:val="004923A9"/>
    <w:rsid w:val="00494337"/>
    <w:rsid w:val="00494F1A"/>
    <w:rsid w:val="00495F7C"/>
    <w:rsid w:val="004976D5"/>
    <w:rsid w:val="004A10CD"/>
    <w:rsid w:val="004A11D9"/>
    <w:rsid w:val="004A1E3F"/>
    <w:rsid w:val="004A2C7E"/>
    <w:rsid w:val="004A5056"/>
    <w:rsid w:val="004A5AF5"/>
    <w:rsid w:val="004A6625"/>
    <w:rsid w:val="004A69D6"/>
    <w:rsid w:val="004A6E81"/>
    <w:rsid w:val="004A70AB"/>
    <w:rsid w:val="004A7DFE"/>
    <w:rsid w:val="004B085D"/>
    <w:rsid w:val="004B0DBA"/>
    <w:rsid w:val="004B21D9"/>
    <w:rsid w:val="004B255A"/>
    <w:rsid w:val="004B3A47"/>
    <w:rsid w:val="004B3CA9"/>
    <w:rsid w:val="004B4376"/>
    <w:rsid w:val="004B6022"/>
    <w:rsid w:val="004C0CE3"/>
    <w:rsid w:val="004C1D86"/>
    <w:rsid w:val="004C368B"/>
    <w:rsid w:val="004C6239"/>
    <w:rsid w:val="004D1A31"/>
    <w:rsid w:val="004D1A91"/>
    <w:rsid w:val="004D2123"/>
    <w:rsid w:val="004D262A"/>
    <w:rsid w:val="004D2C6F"/>
    <w:rsid w:val="004D2E01"/>
    <w:rsid w:val="004D3237"/>
    <w:rsid w:val="004D3FD6"/>
    <w:rsid w:val="004D4E89"/>
    <w:rsid w:val="004D635C"/>
    <w:rsid w:val="004D692E"/>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148"/>
    <w:rsid w:val="004F5D23"/>
    <w:rsid w:val="005037B3"/>
    <w:rsid w:val="00504B53"/>
    <w:rsid w:val="00505FF7"/>
    <w:rsid w:val="0051015D"/>
    <w:rsid w:val="00511BB6"/>
    <w:rsid w:val="0051292D"/>
    <w:rsid w:val="00514426"/>
    <w:rsid w:val="0051442D"/>
    <w:rsid w:val="00515FD8"/>
    <w:rsid w:val="0051622D"/>
    <w:rsid w:val="00517A09"/>
    <w:rsid w:val="005207B2"/>
    <w:rsid w:val="005219EB"/>
    <w:rsid w:val="00522CBE"/>
    <w:rsid w:val="005262C2"/>
    <w:rsid w:val="005263F0"/>
    <w:rsid w:val="0052705A"/>
    <w:rsid w:val="005272E3"/>
    <w:rsid w:val="00532E26"/>
    <w:rsid w:val="00533CD6"/>
    <w:rsid w:val="00534C3B"/>
    <w:rsid w:val="00537126"/>
    <w:rsid w:val="00537A72"/>
    <w:rsid w:val="005405F8"/>
    <w:rsid w:val="00542EAE"/>
    <w:rsid w:val="00546878"/>
    <w:rsid w:val="005509BE"/>
    <w:rsid w:val="00554ED3"/>
    <w:rsid w:val="0055674D"/>
    <w:rsid w:val="00560E18"/>
    <w:rsid w:val="005615BB"/>
    <w:rsid w:val="005621E7"/>
    <w:rsid w:val="00562B7E"/>
    <w:rsid w:val="00562CA5"/>
    <w:rsid w:val="00563355"/>
    <w:rsid w:val="00571E81"/>
    <w:rsid w:val="00573FF9"/>
    <w:rsid w:val="005743CA"/>
    <w:rsid w:val="005755B7"/>
    <w:rsid w:val="00576B16"/>
    <w:rsid w:val="00577427"/>
    <w:rsid w:val="005808E5"/>
    <w:rsid w:val="005875A9"/>
    <w:rsid w:val="00593C34"/>
    <w:rsid w:val="005949BC"/>
    <w:rsid w:val="005971D5"/>
    <w:rsid w:val="005A0847"/>
    <w:rsid w:val="005A313A"/>
    <w:rsid w:val="005A35EB"/>
    <w:rsid w:val="005A3B73"/>
    <w:rsid w:val="005A3C69"/>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37C6"/>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403"/>
    <w:rsid w:val="00602FA4"/>
    <w:rsid w:val="006041A4"/>
    <w:rsid w:val="0061036C"/>
    <w:rsid w:val="00610873"/>
    <w:rsid w:val="006109EC"/>
    <w:rsid w:val="00610F53"/>
    <w:rsid w:val="00611D8A"/>
    <w:rsid w:val="006122AB"/>
    <w:rsid w:val="0061430D"/>
    <w:rsid w:val="006150CE"/>
    <w:rsid w:val="00615ED4"/>
    <w:rsid w:val="00615F6B"/>
    <w:rsid w:val="006165F4"/>
    <w:rsid w:val="006245EC"/>
    <w:rsid w:val="00626ABB"/>
    <w:rsid w:val="006309D5"/>
    <w:rsid w:val="006376C5"/>
    <w:rsid w:val="006407E9"/>
    <w:rsid w:val="00641F4F"/>
    <w:rsid w:val="00642664"/>
    <w:rsid w:val="00644BBE"/>
    <w:rsid w:val="006466DA"/>
    <w:rsid w:val="00646711"/>
    <w:rsid w:val="00646777"/>
    <w:rsid w:val="006479F9"/>
    <w:rsid w:val="00647DDD"/>
    <w:rsid w:val="00653548"/>
    <w:rsid w:val="00653BA4"/>
    <w:rsid w:val="006545D0"/>
    <w:rsid w:val="00656E2E"/>
    <w:rsid w:val="00657478"/>
    <w:rsid w:val="00657EDA"/>
    <w:rsid w:val="00657F9A"/>
    <w:rsid w:val="006609A2"/>
    <w:rsid w:val="00660C84"/>
    <w:rsid w:val="0066132D"/>
    <w:rsid w:val="0066194B"/>
    <w:rsid w:val="00661FC4"/>
    <w:rsid w:val="006630E1"/>
    <w:rsid w:val="00663229"/>
    <w:rsid w:val="00666D4D"/>
    <w:rsid w:val="00672205"/>
    <w:rsid w:val="00672E95"/>
    <w:rsid w:val="0067508C"/>
    <w:rsid w:val="006762B3"/>
    <w:rsid w:val="00677059"/>
    <w:rsid w:val="00680072"/>
    <w:rsid w:val="00680421"/>
    <w:rsid w:val="00681B06"/>
    <w:rsid w:val="00684E71"/>
    <w:rsid w:val="006858DA"/>
    <w:rsid w:val="00686C3F"/>
    <w:rsid w:val="00687C4C"/>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34C"/>
    <w:rsid w:val="006D193A"/>
    <w:rsid w:val="006D23FB"/>
    <w:rsid w:val="006D25DD"/>
    <w:rsid w:val="006D27E2"/>
    <w:rsid w:val="006D28A5"/>
    <w:rsid w:val="006D29AA"/>
    <w:rsid w:val="006D2C78"/>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30BF2"/>
    <w:rsid w:val="00732A6F"/>
    <w:rsid w:val="007351A5"/>
    <w:rsid w:val="0074214D"/>
    <w:rsid w:val="00742764"/>
    <w:rsid w:val="00745456"/>
    <w:rsid w:val="00746E92"/>
    <w:rsid w:val="00750950"/>
    <w:rsid w:val="00751452"/>
    <w:rsid w:val="0075156A"/>
    <w:rsid w:val="00751D8C"/>
    <w:rsid w:val="00751F90"/>
    <w:rsid w:val="0075204D"/>
    <w:rsid w:val="00752EF6"/>
    <w:rsid w:val="00753B4D"/>
    <w:rsid w:val="007543AA"/>
    <w:rsid w:val="00754BDD"/>
    <w:rsid w:val="00757143"/>
    <w:rsid w:val="007619C5"/>
    <w:rsid w:val="00761B26"/>
    <w:rsid w:val="00761C35"/>
    <w:rsid w:val="00762178"/>
    <w:rsid w:val="00765F62"/>
    <w:rsid w:val="00766026"/>
    <w:rsid w:val="007671E0"/>
    <w:rsid w:val="00772025"/>
    <w:rsid w:val="007726C0"/>
    <w:rsid w:val="007728F6"/>
    <w:rsid w:val="007744FD"/>
    <w:rsid w:val="00775AB7"/>
    <w:rsid w:val="00776B34"/>
    <w:rsid w:val="00781088"/>
    <w:rsid w:val="007811C6"/>
    <w:rsid w:val="00781AA0"/>
    <w:rsid w:val="00781CF7"/>
    <w:rsid w:val="00781D24"/>
    <w:rsid w:val="00782DE8"/>
    <w:rsid w:val="00786D45"/>
    <w:rsid w:val="00787202"/>
    <w:rsid w:val="00792E10"/>
    <w:rsid w:val="0079383D"/>
    <w:rsid w:val="007966EF"/>
    <w:rsid w:val="007A006B"/>
    <w:rsid w:val="007A1D60"/>
    <w:rsid w:val="007A34D1"/>
    <w:rsid w:val="007A5BDB"/>
    <w:rsid w:val="007A7102"/>
    <w:rsid w:val="007B165A"/>
    <w:rsid w:val="007B275E"/>
    <w:rsid w:val="007B2DAD"/>
    <w:rsid w:val="007B2DF7"/>
    <w:rsid w:val="007B7246"/>
    <w:rsid w:val="007B78C2"/>
    <w:rsid w:val="007C23FF"/>
    <w:rsid w:val="007C25B0"/>
    <w:rsid w:val="007C416B"/>
    <w:rsid w:val="007C4CB7"/>
    <w:rsid w:val="007C5008"/>
    <w:rsid w:val="007C6046"/>
    <w:rsid w:val="007C647E"/>
    <w:rsid w:val="007C658B"/>
    <w:rsid w:val="007D1E79"/>
    <w:rsid w:val="007D27CF"/>
    <w:rsid w:val="007D4DAF"/>
    <w:rsid w:val="007E1175"/>
    <w:rsid w:val="007E1BA6"/>
    <w:rsid w:val="007E220A"/>
    <w:rsid w:val="007E468A"/>
    <w:rsid w:val="007E54E5"/>
    <w:rsid w:val="007E58FC"/>
    <w:rsid w:val="007E6643"/>
    <w:rsid w:val="007E7463"/>
    <w:rsid w:val="007F07D4"/>
    <w:rsid w:val="007F1517"/>
    <w:rsid w:val="007F207F"/>
    <w:rsid w:val="007F41DB"/>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2522"/>
    <w:rsid w:val="00833453"/>
    <w:rsid w:val="0084184E"/>
    <w:rsid w:val="00841B33"/>
    <w:rsid w:val="00841C01"/>
    <w:rsid w:val="00843EFD"/>
    <w:rsid w:val="008442F2"/>
    <w:rsid w:val="008443A9"/>
    <w:rsid w:val="0084599C"/>
    <w:rsid w:val="008469B3"/>
    <w:rsid w:val="00847539"/>
    <w:rsid w:val="008535CA"/>
    <w:rsid w:val="00856FA8"/>
    <w:rsid w:val="00856FF2"/>
    <w:rsid w:val="008578F4"/>
    <w:rsid w:val="00860576"/>
    <w:rsid w:val="00861120"/>
    <w:rsid w:val="008657EE"/>
    <w:rsid w:val="0086688C"/>
    <w:rsid w:val="008674AA"/>
    <w:rsid w:val="008675CC"/>
    <w:rsid w:val="008707F5"/>
    <w:rsid w:val="0087609B"/>
    <w:rsid w:val="00880850"/>
    <w:rsid w:val="0088094C"/>
    <w:rsid w:val="00881004"/>
    <w:rsid w:val="008824C8"/>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32BD"/>
    <w:rsid w:val="008A389B"/>
    <w:rsid w:val="008A4DF4"/>
    <w:rsid w:val="008A7448"/>
    <w:rsid w:val="008B0950"/>
    <w:rsid w:val="008B1DA9"/>
    <w:rsid w:val="008B23D4"/>
    <w:rsid w:val="008B2C7C"/>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11C8"/>
    <w:rsid w:val="00913A4A"/>
    <w:rsid w:val="00914A6E"/>
    <w:rsid w:val="0091544C"/>
    <w:rsid w:val="00921D03"/>
    <w:rsid w:val="00921DE6"/>
    <w:rsid w:val="00924CB6"/>
    <w:rsid w:val="0092546C"/>
    <w:rsid w:val="00925CD2"/>
    <w:rsid w:val="00932559"/>
    <w:rsid w:val="00933065"/>
    <w:rsid w:val="00933569"/>
    <w:rsid w:val="00934918"/>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0E3"/>
    <w:rsid w:val="00A0424F"/>
    <w:rsid w:val="00A051FB"/>
    <w:rsid w:val="00A0659C"/>
    <w:rsid w:val="00A07164"/>
    <w:rsid w:val="00A10039"/>
    <w:rsid w:val="00A100BA"/>
    <w:rsid w:val="00A103FF"/>
    <w:rsid w:val="00A121B5"/>
    <w:rsid w:val="00A16C6E"/>
    <w:rsid w:val="00A17DB2"/>
    <w:rsid w:val="00A2023B"/>
    <w:rsid w:val="00A21DEA"/>
    <w:rsid w:val="00A22A14"/>
    <w:rsid w:val="00A23A49"/>
    <w:rsid w:val="00A248B0"/>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183D"/>
    <w:rsid w:val="00A5359C"/>
    <w:rsid w:val="00A539CB"/>
    <w:rsid w:val="00A57DA7"/>
    <w:rsid w:val="00A60542"/>
    <w:rsid w:val="00A60635"/>
    <w:rsid w:val="00A63709"/>
    <w:rsid w:val="00A643AB"/>
    <w:rsid w:val="00A649E6"/>
    <w:rsid w:val="00A660AF"/>
    <w:rsid w:val="00A7021C"/>
    <w:rsid w:val="00A70814"/>
    <w:rsid w:val="00A70A95"/>
    <w:rsid w:val="00A70BDA"/>
    <w:rsid w:val="00A712D3"/>
    <w:rsid w:val="00A73E2C"/>
    <w:rsid w:val="00A740B6"/>
    <w:rsid w:val="00A7621E"/>
    <w:rsid w:val="00A76BE4"/>
    <w:rsid w:val="00A774BA"/>
    <w:rsid w:val="00A817D5"/>
    <w:rsid w:val="00A841B2"/>
    <w:rsid w:val="00A84915"/>
    <w:rsid w:val="00A84F01"/>
    <w:rsid w:val="00A85664"/>
    <w:rsid w:val="00A9029A"/>
    <w:rsid w:val="00A91332"/>
    <w:rsid w:val="00A93351"/>
    <w:rsid w:val="00A94A43"/>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DB4"/>
    <w:rsid w:val="00AC2F6A"/>
    <w:rsid w:val="00AC38A4"/>
    <w:rsid w:val="00AC40CA"/>
    <w:rsid w:val="00AC4165"/>
    <w:rsid w:val="00AC556A"/>
    <w:rsid w:val="00AC76EA"/>
    <w:rsid w:val="00AC7F53"/>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21E"/>
    <w:rsid w:val="00B0366D"/>
    <w:rsid w:val="00B071FF"/>
    <w:rsid w:val="00B110BC"/>
    <w:rsid w:val="00B11505"/>
    <w:rsid w:val="00B1182B"/>
    <w:rsid w:val="00B11DC2"/>
    <w:rsid w:val="00B15142"/>
    <w:rsid w:val="00B15D12"/>
    <w:rsid w:val="00B16F69"/>
    <w:rsid w:val="00B1789D"/>
    <w:rsid w:val="00B207DD"/>
    <w:rsid w:val="00B20DD8"/>
    <w:rsid w:val="00B21CA9"/>
    <w:rsid w:val="00B21ECE"/>
    <w:rsid w:val="00B223FE"/>
    <w:rsid w:val="00B30FE0"/>
    <w:rsid w:val="00B3161A"/>
    <w:rsid w:val="00B3208F"/>
    <w:rsid w:val="00B3260E"/>
    <w:rsid w:val="00B36DB5"/>
    <w:rsid w:val="00B36F2F"/>
    <w:rsid w:val="00B413BD"/>
    <w:rsid w:val="00B42807"/>
    <w:rsid w:val="00B428A6"/>
    <w:rsid w:val="00B43340"/>
    <w:rsid w:val="00B4461C"/>
    <w:rsid w:val="00B46D68"/>
    <w:rsid w:val="00B53913"/>
    <w:rsid w:val="00B554D4"/>
    <w:rsid w:val="00B5572D"/>
    <w:rsid w:val="00B55F3A"/>
    <w:rsid w:val="00B56906"/>
    <w:rsid w:val="00B569F1"/>
    <w:rsid w:val="00B6007E"/>
    <w:rsid w:val="00B61484"/>
    <w:rsid w:val="00B6179E"/>
    <w:rsid w:val="00B62B08"/>
    <w:rsid w:val="00B664E5"/>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668"/>
    <w:rsid w:val="00B91F7E"/>
    <w:rsid w:val="00B924B4"/>
    <w:rsid w:val="00B9487E"/>
    <w:rsid w:val="00B95910"/>
    <w:rsid w:val="00B9692A"/>
    <w:rsid w:val="00BA0848"/>
    <w:rsid w:val="00BA29E7"/>
    <w:rsid w:val="00BA304F"/>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6E92"/>
    <w:rsid w:val="00BD75F3"/>
    <w:rsid w:val="00BE0164"/>
    <w:rsid w:val="00BE12BD"/>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236E"/>
    <w:rsid w:val="00C04139"/>
    <w:rsid w:val="00C0476F"/>
    <w:rsid w:val="00C0572E"/>
    <w:rsid w:val="00C105A1"/>
    <w:rsid w:val="00C1095B"/>
    <w:rsid w:val="00C1108E"/>
    <w:rsid w:val="00C120AB"/>
    <w:rsid w:val="00C12404"/>
    <w:rsid w:val="00C14A51"/>
    <w:rsid w:val="00C14B1A"/>
    <w:rsid w:val="00C15C65"/>
    <w:rsid w:val="00C163C1"/>
    <w:rsid w:val="00C16519"/>
    <w:rsid w:val="00C16C1D"/>
    <w:rsid w:val="00C17853"/>
    <w:rsid w:val="00C17EE4"/>
    <w:rsid w:val="00C21656"/>
    <w:rsid w:val="00C21B3D"/>
    <w:rsid w:val="00C24267"/>
    <w:rsid w:val="00C243E6"/>
    <w:rsid w:val="00C24A82"/>
    <w:rsid w:val="00C26FA6"/>
    <w:rsid w:val="00C2788D"/>
    <w:rsid w:val="00C31D37"/>
    <w:rsid w:val="00C33398"/>
    <w:rsid w:val="00C34388"/>
    <w:rsid w:val="00C34C5B"/>
    <w:rsid w:val="00C361F6"/>
    <w:rsid w:val="00C3669A"/>
    <w:rsid w:val="00C371D5"/>
    <w:rsid w:val="00C423E3"/>
    <w:rsid w:val="00C428AB"/>
    <w:rsid w:val="00C42D18"/>
    <w:rsid w:val="00C44BAC"/>
    <w:rsid w:val="00C45626"/>
    <w:rsid w:val="00C458AF"/>
    <w:rsid w:val="00C46041"/>
    <w:rsid w:val="00C460A0"/>
    <w:rsid w:val="00C46244"/>
    <w:rsid w:val="00C4720D"/>
    <w:rsid w:val="00C47768"/>
    <w:rsid w:val="00C50068"/>
    <w:rsid w:val="00C50180"/>
    <w:rsid w:val="00C51C4B"/>
    <w:rsid w:val="00C51EE9"/>
    <w:rsid w:val="00C52108"/>
    <w:rsid w:val="00C539A5"/>
    <w:rsid w:val="00C53DFA"/>
    <w:rsid w:val="00C549F4"/>
    <w:rsid w:val="00C555FE"/>
    <w:rsid w:val="00C56E55"/>
    <w:rsid w:val="00C60DD4"/>
    <w:rsid w:val="00C60F27"/>
    <w:rsid w:val="00C610F2"/>
    <w:rsid w:val="00C61B5E"/>
    <w:rsid w:val="00C64A7F"/>
    <w:rsid w:val="00C676F3"/>
    <w:rsid w:val="00C711C8"/>
    <w:rsid w:val="00C71AB8"/>
    <w:rsid w:val="00C73E8B"/>
    <w:rsid w:val="00C74E97"/>
    <w:rsid w:val="00C75909"/>
    <w:rsid w:val="00C75D70"/>
    <w:rsid w:val="00C767D5"/>
    <w:rsid w:val="00C76EB2"/>
    <w:rsid w:val="00C77219"/>
    <w:rsid w:val="00C77EFD"/>
    <w:rsid w:val="00C809AF"/>
    <w:rsid w:val="00C81A10"/>
    <w:rsid w:val="00C81F39"/>
    <w:rsid w:val="00C829DF"/>
    <w:rsid w:val="00C82F5A"/>
    <w:rsid w:val="00C84021"/>
    <w:rsid w:val="00C85B7F"/>
    <w:rsid w:val="00C86AEA"/>
    <w:rsid w:val="00C86F14"/>
    <w:rsid w:val="00C875AE"/>
    <w:rsid w:val="00C90B1C"/>
    <w:rsid w:val="00C90CE6"/>
    <w:rsid w:val="00C91925"/>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85C"/>
    <w:rsid w:val="00CD0D1D"/>
    <w:rsid w:val="00CD1301"/>
    <w:rsid w:val="00CD1673"/>
    <w:rsid w:val="00CD1721"/>
    <w:rsid w:val="00CD25F1"/>
    <w:rsid w:val="00CD4DDC"/>
    <w:rsid w:val="00CD6592"/>
    <w:rsid w:val="00CE0808"/>
    <w:rsid w:val="00CE1989"/>
    <w:rsid w:val="00CE2E22"/>
    <w:rsid w:val="00CE35B4"/>
    <w:rsid w:val="00CE6301"/>
    <w:rsid w:val="00CF06D4"/>
    <w:rsid w:val="00CF1D94"/>
    <w:rsid w:val="00CF2008"/>
    <w:rsid w:val="00CF2496"/>
    <w:rsid w:val="00CF3649"/>
    <w:rsid w:val="00CF4188"/>
    <w:rsid w:val="00CF4E9E"/>
    <w:rsid w:val="00CF52CE"/>
    <w:rsid w:val="00CF7848"/>
    <w:rsid w:val="00D00B84"/>
    <w:rsid w:val="00D058FC"/>
    <w:rsid w:val="00D05AC1"/>
    <w:rsid w:val="00D06213"/>
    <w:rsid w:val="00D073D1"/>
    <w:rsid w:val="00D10010"/>
    <w:rsid w:val="00D11510"/>
    <w:rsid w:val="00D116EE"/>
    <w:rsid w:val="00D12BB7"/>
    <w:rsid w:val="00D12E8D"/>
    <w:rsid w:val="00D159D4"/>
    <w:rsid w:val="00D15C79"/>
    <w:rsid w:val="00D1641A"/>
    <w:rsid w:val="00D20E16"/>
    <w:rsid w:val="00D21601"/>
    <w:rsid w:val="00D2164A"/>
    <w:rsid w:val="00D21AA7"/>
    <w:rsid w:val="00D22F1C"/>
    <w:rsid w:val="00D2345D"/>
    <w:rsid w:val="00D23D75"/>
    <w:rsid w:val="00D256F0"/>
    <w:rsid w:val="00D26D4B"/>
    <w:rsid w:val="00D31882"/>
    <w:rsid w:val="00D31BAB"/>
    <w:rsid w:val="00D31D27"/>
    <w:rsid w:val="00D32109"/>
    <w:rsid w:val="00D330B3"/>
    <w:rsid w:val="00D336A4"/>
    <w:rsid w:val="00D33A54"/>
    <w:rsid w:val="00D34AFB"/>
    <w:rsid w:val="00D352EE"/>
    <w:rsid w:val="00D35A03"/>
    <w:rsid w:val="00D3725D"/>
    <w:rsid w:val="00D37377"/>
    <w:rsid w:val="00D4178A"/>
    <w:rsid w:val="00D41830"/>
    <w:rsid w:val="00D45B8C"/>
    <w:rsid w:val="00D56058"/>
    <w:rsid w:val="00D567E0"/>
    <w:rsid w:val="00D56A09"/>
    <w:rsid w:val="00D57976"/>
    <w:rsid w:val="00D61F2D"/>
    <w:rsid w:val="00D622E5"/>
    <w:rsid w:val="00D628B8"/>
    <w:rsid w:val="00D630DE"/>
    <w:rsid w:val="00D63DBC"/>
    <w:rsid w:val="00D645C6"/>
    <w:rsid w:val="00D6548A"/>
    <w:rsid w:val="00D65571"/>
    <w:rsid w:val="00D65905"/>
    <w:rsid w:val="00D65A71"/>
    <w:rsid w:val="00D66C66"/>
    <w:rsid w:val="00D67355"/>
    <w:rsid w:val="00D712C3"/>
    <w:rsid w:val="00D71B03"/>
    <w:rsid w:val="00D7327A"/>
    <w:rsid w:val="00D74EC8"/>
    <w:rsid w:val="00D76F23"/>
    <w:rsid w:val="00D81AC9"/>
    <w:rsid w:val="00D849E3"/>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7B20"/>
    <w:rsid w:val="00DB049D"/>
    <w:rsid w:val="00DB473D"/>
    <w:rsid w:val="00DB5727"/>
    <w:rsid w:val="00DB68CC"/>
    <w:rsid w:val="00DB72F1"/>
    <w:rsid w:val="00DC2E38"/>
    <w:rsid w:val="00DC2FBF"/>
    <w:rsid w:val="00DC4322"/>
    <w:rsid w:val="00DC52BC"/>
    <w:rsid w:val="00DC60C2"/>
    <w:rsid w:val="00DC61D2"/>
    <w:rsid w:val="00DC621D"/>
    <w:rsid w:val="00DC6A98"/>
    <w:rsid w:val="00DC6EF8"/>
    <w:rsid w:val="00DC7245"/>
    <w:rsid w:val="00DC730A"/>
    <w:rsid w:val="00DC7A0C"/>
    <w:rsid w:val="00DD074A"/>
    <w:rsid w:val="00DD12FC"/>
    <w:rsid w:val="00DD1ED6"/>
    <w:rsid w:val="00DD2B0D"/>
    <w:rsid w:val="00DE130A"/>
    <w:rsid w:val="00DE1F21"/>
    <w:rsid w:val="00DE2E1C"/>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4BE9"/>
    <w:rsid w:val="00E16292"/>
    <w:rsid w:val="00E166FD"/>
    <w:rsid w:val="00E17143"/>
    <w:rsid w:val="00E20294"/>
    <w:rsid w:val="00E221E9"/>
    <w:rsid w:val="00E22FB3"/>
    <w:rsid w:val="00E25706"/>
    <w:rsid w:val="00E25F47"/>
    <w:rsid w:val="00E264BB"/>
    <w:rsid w:val="00E267F5"/>
    <w:rsid w:val="00E276DF"/>
    <w:rsid w:val="00E27A89"/>
    <w:rsid w:val="00E30011"/>
    <w:rsid w:val="00E30596"/>
    <w:rsid w:val="00E31FF9"/>
    <w:rsid w:val="00E33434"/>
    <w:rsid w:val="00E33B23"/>
    <w:rsid w:val="00E35391"/>
    <w:rsid w:val="00E37B1B"/>
    <w:rsid w:val="00E37B97"/>
    <w:rsid w:val="00E417B9"/>
    <w:rsid w:val="00E41B67"/>
    <w:rsid w:val="00E43C23"/>
    <w:rsid w:val="00E4477A"/>
    <w:rsid w:val="00E45160"/>
    <w:rsid w:val="00E45E6A"/>
    <w:rsid w:val="00E50A42"/>
    <w:rsid w:val="00E52F6E"/>
    <w:rsid w:val="00E53930"/>
    <w:rsid w:val="00E54FA5"/>
    <w:rsid w:val="00E56D64"/>
    <w:rsid w:val="00E57446"/>
    <w:rsid w:val="00E61081"/>
    <w:rsid w:val="00E61788"/>
    <w:rsid w:val="00E65B18"/>
    <w:rsid w:val="00E65B9D"/>
    <w:rsid w:val="00E67F32"/>
    <w:rsid w:val="00E704E0"/>
    <w:rsid w:val="00E71CE6"/>
    <w:rsid w:val="00E71E16"/>
    <w:rsid w:val="00E728C6"/>
    <w:rsid w:val="00E73E65"/>
    <w:rsid w:val="00E75732"/>
    <w:rsid w:val="00E76641"/>
    <w:rsid w:val="00E77AC7"/>
    <w:rsid w:val="00E77FA2"/>
    <w:rsid w:val="00E83DA2"/>
    <w:rsid w:val="00E84575"/>
    <w:rsid w:val="00E851E8"/>
    <w:rsid w:val="00E856E9"/>
    <w:rsid w:val="00E862E7"/>
    <w:rsid w:val="00E86395"/>
    <w:rsid w:val="00E86A0D"/>
    <w:rsid w:val="00E86DF2"/>
    <w:rsid w:val="00E879EC"/>
    <w:rsid w:val="00E949F8"/>
    <w:rsid w:val="00E94A64"/>
    <w:rsid w:val="00E9538B"/>
    <w:rsid w:val="00E95703"/>
    <w:rsid w:val="00E95707"/>
    <w:rsid w:val="00E95C5F"/>
    <w:rsid w:val="00E95D75"/>
    <w:rsid w:val="00E964C2"/>
    <w:rsid w:val="00EA0297"/>
    <w:rsid w:val="00EA116B"/>
    <w:rsid w:val="00EA2C29"/>
    <w:rsid w:val="00EA2CB8"/>
    <w:rsid w:val="00EA3F05"/>
    <w:rsid w:val="00EA5E85"/>
    <w:rsid w:val="00EB0B07"/>
    <w:rsid w:val="00EB0C6A"/>
    <w:rsid w:val="00EB144E"/>
    <w:rsid w:val="00EB1B82"/>
    <w:rsid w:val="00EB2F49"/>
    <w:rsid w:val="00EB3E4C"/>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6B4"/>
    <w:rsid w:val="00ED602B"/>
    <w:rsid w:val="00EE21F2"/>
    <w:rsid w:val="00EE50EE"/>
    <w:rsid w:val="00EE55F9"/>
    <w:rsid w:val="00EE62A5"/>
    <w:rsid w:val="00EE63DE"/>
    <w:rsid w:val="00EE64F9"/>
    <w:rsid w:val="00EE7598"/>
    <w:rsid w:val="00EF00EA"/>
    <w:rsid w:val="00EF0CBA"/>
    <w:rsid w:val="00EF30EF"/>
    <w:rsid w:val="00EF34E1"/>
    <w:rsid w:val="00EF3688"/>
    <w:rsid w:val="00EF36A0"/>
    <w:rsid w:val="00EF524C"/>
    <w:rsid w:val="00EF681B"/>
    <w:rsid w:val="00EF6CC3"/>
    <w:rsid w:val="00F00D0F"/>
    <w:rsid w:val="00F0109E"/>
    <w:rsid w:val="00F03A0B"/>
    <w:rsid w:val="00F04AF8"/>
    <w:rsid w:val="00F11454"/>
    <w:rsid w:val="00F12E5A"/>
    <w:rsid w:val="00F2125A"/>
    <w:rsid w:val="00F221FC"/>
    <w:rsid w:val="00F23C89"/>
    <w:rsid w:val="00F24025"/>
    <w:rsid w:val="00F322F5"/>
    <w:rsid w:val="00F35033"/>
    <w:rsid w:val="00F35CAE"/>
    <w:rsid w:val="00F36EE7"/>
    <w:rsid w:val="00F4192F"/>
    <w:rsid w:val="00F41B64"/>
    <w:rsid w:val="00F41D9D"/>
    <w:rsid w:val="00F44250"/>
    <w:rsid w:val="00F4468A"/>
    <w:rsid w:val="00F47653"/>
    <w:rsid w:val="00F47EFB"/>
    <w:rsid w:val="00F505CE"/>
    <w:rsid w:val="00F50BE9"/>
    <w:rsid w:val="00F5169E"/>
    <w:rsid w:val="00F51C0B"/>
    <w:rsid w:val="00F52F4E"/>
    <w:rsid w:val="00F57AFC"/>
    <w:rsid w:val="00F627E4"/>
    <w:rsid w:val="00F6494D"/>
    <w:rsid w:val="00F654D7"/>
    <w:rsid w:val="00F65A5D"/>
    <w:rsid w:val="00F65DBD"/>
    <w:rsid w:val="00F669B9"/>
    <w:rsid w:val="00F67D80"/>
    <w:rsid w:val="00F773E6"/>
    <w:rsid w:val="00F7797F"/>
    <w:rsid w:val="00F77DEE"/>
    <w:rsid w:val="00F80A07"/>
    <w:rsid w:val="00F80C1E"/>
    <w:rsid w:val="00F80CEE"/>
    <w:rsid w:val="00F81639"/>
    <w:rsid w:val="00F81C18"/>
    <w:rsid w:val="00F81F36"/>
    <w:rsid w:val="00F82613"/>
    <w:rsid w:val="00F83E85"/>
    <w:rsid w:val="00F8493C"/>
    <w:rsid w:val="00F85468"/>
    <w:rsid w:val="00F854C0"/>
    <w:rsid w:val="00F86A45"/>
    <w:rsid w:val="00F86BC7"/>
    <w:rsid w:val="00F907D4"/>
    <w:rsid w:val="00F913C7"/>
    <w:rsid w:val="00F9202F"/>
    <w:rsid w:val="00F92AA4"/>
    <w:rsid w:val="00F967E1"/>
    <w:rsid w:val="00FA2519"/>
    <w:rsid w:val="00FA456B"/>
    <w:rsid w:val="00FA625E"/>
    <w:rsid w:val="00FA6B1E"/>
    <w:rsid w:val="00FB4165"/>
    <w:rsid w:val="00FB48E1"/>
    <w:rsid w:val="00FB59A0"/>
    <w:rsid w:val="00FB740E"/>
    <w:rsid w:val="00FC1484"/>
    <w:rsid w:val="00FC1792"/>
    <w:rsid w:val="00FC1944"/>
    <w:rsid w:val="00FC42BD"/>
    <w:rsid w:val="00FD2E9B"/>
    <w:rsid w:val="00FD378D"/>
    <w:rsid w:val="00FD41A2"/>
    <w:rsid w:val="00FE065B"/>
    <w:rsid w:val="00FE06D8"/>
    <w:rsid w:val="00FE17D2"/>
    <w:rsid w:val="00FE2BF0"/>
    <w:rsid w:val="00FE43C6"/>
    <w:rsid w:val="00FE7835"/>
    <w:rsid w:val="00FF4148"/>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98FBBD5-5504-4A0A-BFBC-E507BA32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67026005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y1991v4SApg185" TargetMode="External"/><Relationship Id="rId4" Type="http://schemas.openxmlformats.org/officeDocument/2006/relationships/settings" Target="settings.xml"/><Relationship Id="rId9" Type="http://schemas.openxmlformats.org/officeDocument/2006/relationships/hyperlink" Target="https://app.jutastatevolve.co.za/y1959v3SApg1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1914ADpg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296B-B5CD-4CD8-8DF1-6A66F6CE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12</TotalTime>
  <Pages>13</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3</cp:revision>
  <cp:lastPrinted>2023-08-22T07:45:00Z</cp:lastPrinted>
  <dcterms:created xsi:type="dcterms:W3CDTF">2024-03-27T08:40:00Z</dcterms:created>
  <dcterms:modified xsi:type="dcterms:W3CDTF">2024-03-28T07:14:00Z</dcterms:modified>
</cp:coreProperties>
</file>