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1F039A82" w:rsidR="006C43D7" w:rsidRPr="007811C6" w:rsidRDefault="00AD3D5D" w:rsidP="006F0330">
      <w:pPr>
        <w:spacing w:after="120" w:line="360" w:lineRule="auto"/>
        <w:jc w:val="center"/>
        <w:rPr>
          <w:rFonts w:cs="Arial"/>
          <w:b/>
          <w:bCs/>
          <w:szCs w:val="22"/>
        </w:rPr>
      </w:pPr>
      <w:r w:rsidRPr="007811C6">
        <w:rPr>
          <w:rFonts w:cs="Arial"/>
          <w:b/>
          <w:bCs/>
          <w:szCs w:val="22"/>
        </w:rPr>
        <w:t xml:space="preserve"> </w:t>
      </w:r>
      <w:r w:rsidR="006C43D7"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AF8DD38" w14:textId="5C39DE2A" w:rsidR="006C43D7" w:rsidRPr="007811C6" w:rsidRDefault="00F913C7" w:rsidP="00C74E97">
      <w:pPr>
        <w:spacing w:line="360" w:lineRule="auto"/>
        <w:jc w:val="right"/>
        <w:rPr>
          <w:rFonts w:cs="Arial"/>
          <w:b/>
          <w:szCs w:val="22"/>
        </w:rPr>
      </w:pPr>
      <w:r w:rsidRPr="007811C6">
        <w:rPr>
          <w:rFonts w:cs="Arial"/>
          <w:b/>
          <w:szCs w:val="22"/>
        </w:rPr>
        <w:t xml:space="preserve">CASE NO: </w:t>
      </w:r>
      <w:r w:rsidR="00A774BA">
        <w:rPr>
          <w:noProof/>
          <w:lang w:eastAsia="en-ZA"/>
        </w:rPr>
        <mc:AlternateContent>
          <mc:Choice Requires="wps">
            <w:drawing>
              <wp:anchor distT="0" distB="0" distL="114300" distR="114300" simplePos="0" relativeHeight="251659264" behindDoc="0" locked="0" layoutInCell="1" allowOverlap="1" wp14:anchorId="563837DC" wp14:editId="5A28E6DD">
                <wp:simplePos x="0" y="0"/>
                <wp:positionH relativeFrom="margin">
                  <wp:align>left</wp:align>
                </wp:positionH>
                <wp:positionV relativeFrom="paragraph">
                  <wp:posOffset>49530</wp:posOffset>
                </wp:positionV>
                <wp:extent cx="3314700" cy="1592580"/>
                <wp:effectExtent l="0" t="0" r="0" b="7620"/>
                <wp:wrapNone/>
                <wp:docPr id="99327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1823DD8C" w:rsidR="00893C08" w:rsidRPr="008E2A22" w:rsidRDefault="00C3557C" w:rsidP="00C3557C">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040FC82" w:rsidR="00893C08" w:rsidRPr="008E2A22" w:rsidRDefault="00C3557C" w:rsidP="00C3557C">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1823DD8C" w:rsidR="00893C08" w:rsidRPr="008E2A22" w:rsidRDefault="00C3557C" w:rsidP="00C3557C">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040FC82" w:rsidR="00893C08" w:rsidRPr="008E2A22" w:rsidRDefault="00C3557C" w:rsidP="00C3557C">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20</w:t>
      </w:r>
      <w:r w:rsidR="001F6466">
        <w:rPr>
          <w:rFonts w:cs="Arial"/>
          <w:b/>
          <w:szCs w:val="22"/>
        </w:rPr>
        <w:t>2</w:t>
      </w:r>
      <w:r w:rsidR="00E66E07">
        <w:rPr>
          <w:rFonts w:cs="Arial"/>
          <w:b/>
          <w:szCs w:val="22"/>
        </w:rPr>
        <w:t>3</w:t>
      </w:r>
      <w:r w:rsidR="00515FD8" w:rsidRPr="007811C6">
        <w:rPr>
          <w:rFonts w:cs="Arial"/>
          <w:b/>
          <w:szCs w:val="22"/>
        </w:rPr>
        <w:t xml:space="preserve"> - </w:t>
      </w:r>
      <w:r w:rsidR="00E66E07">
        <w:rPr>
          <w:rFonts w:cs="Arial"/>
          <w:b/>
          <w:szCs w:val="22"/>
        </w:rPr>
        <w:t>77447</w:t>
      </w:r>
    </w:p>
    <w:p w14:paraId="084B5ECD" w14:textId="77777777" w:rsidR="006C43D7" w:rsidRPr="007811C6" w:rsidRDefault="006C43D7" w:rsidP="00C74E97">
      <w:pPr>
        <w:spacing w:line="360" w:lineRule="auto"/>
        <w:jc w:val="both"/>
        <w:rPr>
          <w:rFonts w:cs="Arial"/>
          <w:szCs w:val="22"/>
        </w:rPr>
      </w:pP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p>
    <w:p w14:paraId="3A1C212E" w14:textId="77777777" w:rsidR="006C43D7" w:rsidRPr="007811C6" w:rsidRDefault="006C43D7" w:rsidP="00C74E97">
      <w:pPr>
        <w:spacing w:line="360" w:lineRule="auto"/>
        <w:jc w:val="both"/>
        <w:rPr>
          <w:rFonts w:cs="Arial"/>
          <w:szCs w:val="22"/>
        </w:rPr>
      </w:pPr>
    </w:p>
    <w:p w14:paraId="04919B1B" w14:textId="77777777" w:rsidR="001D3CC2" w:rsidRPr="007811C6" w:rsidRDefault="001D3CC2" w:rsidP="00C74E97">
      <w:pPr>
        <w:spacing w:line="360" w:lineRule="auto"/>
        <w:jc w:val="both"/>
        <w:rPr>
          <w:rFonts w:cs="Arial"/>
          <w:szCs w:val="22"/>
        </w:rPr>
      </w:pPr>
    </w:p>
    <w:p w14:paraId="045D3852" w14:textId="77777777" w:rsidR="00E57446" w:rsidRPr="007811C6" w:rsidRDefault="00E57446" w:rsidP="00C74E97">
      <w:pPr>
        <w:spacing w:line="360" w:lineRule="auto"/>
        <w:jc w:val="both"/>
        <w:rPr>
          <w:rFonts w:cs="Arial"/>
          <w:szCs w:val="22"/>
        </w:rPr>
      </w:pPr>
    </w:p>
    <w:p w14:paraId="2804C32A" w14:textId="6C8D50AF"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7811C6" w14:paraId="45DDD515" w14:textId="77777777" w:rsidTr="00430142">
        <w:tc>
          <w:tcPr>
            <w:tcW w:w="6223" w:type="dxa"/>
          </w:tcPr>
          <w:p w14:paraId="1D80B320" w14:textId="56F23137" w:rsidR="006D2C78" w:rsidRPr="007811C6" w:rsidRDefault="00E66E07" w:rsidP="004D692E">
            <w:pPr>
              <w:tabs>
                <w:tab w:val="right" w:pos="9070"/>
              </w:tabs>
              <w:spacing w:before="120" w:after="120"/>
              <w:rPr>
                <w:rFonts w:cs="Arial"/>
                <w:b/>
                <w:szCs w:val="22"/>
              </w:rPr>
            </w:pPr>
            <w:r>
              <w:rPr>
                <w:rFonts w:cs="Arial"/>
                <w:b/>
                <w:szCs w:val="22"/>
              </w:rPr>
              <w:t>MOTSOENENG, RAHAB MATSETSA</w:t>
            </w:r>
          </w:p>
        </w:tc>
        <w:tc>
          <w:tcPr>
            <w:tcW w:w="2318" w:type="dxa"/>
          </w:tcPr>
          <w:p w14:paraId="6D648F64" w14:textId="4E6D899E" w:rsidR="006D2C78" w:rsidRPr="007811C6" w:rsidRDefault="00D628B8" w:rsidP="004D692E">
            <w:pPr>
              <w:spacing w:before="120" w:after="120"/>
              <w:rPr>
                <w:rFonts w:cs="Arial"/>
                <w:szCs w:val="22"/>
              </w:rPr>
            </w:pPr>
            <w:r>
              <w:rPr>
                <w:rFonts w:cs="Arial"/>
                <w:szCs w:val="22"/>
              </w:rPr>
              <w:t>Applicant</w:t>
            </w:r>
          </w:p>
        </w:tc>
      </w:tr>
      <w:tr w:rsidR="006D2C78" w:rsidRPr="007811C6" w14:paraId="24559D6E" w14:textId="77777777" w:rsidTr="00430142">
        <w:tc>
          <w:tcPr>
            <w:tcW w:w="6223" w:type="dxa"/>
          </w:tcPr>
          <w:p w14:paraId="72B12A05" w14:textId="12DB1C6A" w:rsidR="006D2C78" w:rsidRPr="007811C6" w:rsidRDefault="00E66E07" w:rsidP="004D692E">
            <w:pPr>
              <w:tabs>
                <w:tab w:val="right" w:pos="9070"/>
              </w:tabs>
              <w:spacing w:before="120" w:after="120"/>
              <w:rPr>
                <w:rFonts w:cs="Arial"/>
                <w:b/>
                <w:szCs w:val="22"/>
              </w:rPr>
            </w:pPr>
            <w:r>
              <w:rPr>
                <w:rFonts w:cs="Arial"/>
                <w:b/>
                <w:szCs w:val="22"/>
              </w:rPr>
              <w:t>A</w:t>
            </w:r>
            <w:r w:rsidR="00DD074A" w:rsidRPr="007811C6">
              <w:rPr>
                <w:rFonts w:cs="Arial"/>
                <w:b/>
                <w:szCs w:val="22"/>
              </w:rPr>
              <w:t>nd</w:t>
            </w:r>
          </w:p>
        </w:tc>
        <w:tc>
          <w:tcPr>
            <w:tcW w:w="2318" w:type="dxa"/>
          </w:tcPr>
          <w:p w14:paraId="11A5E52D" w14:textId="77777777" w:rsidR="006D2C78" w:rsidRPr="007811C6" w:rsidRDefault="006D2C78" w:rsidP="004D692E">
            <w:pPr>
              <w:spacing w:before="120" w:after="120"/>
              <w:rPr>
                <w:rFonts w:cs="Arial"/>
                <w:szCs w:val="22"/>
              </w:rPr>
            </w:pPr>
          </w:p>
        </w:tc>
      </w:tr>
      <w:tr w:rsidR="006D2C78" w:rsidRPr="007811C6" w14:paraId="30F9C0CD" w14:textId="77777777" w:rsidTr="00430142">
        <w:tc>
          <w:tcPr>
            <w:tcW w:w="6223" w:type="dxa"/>
          </w:tcPr>
          <w:p w14:paraId="3CDB657A" w14:textId="3329D22B" w:rsidR="006D2C78" w:rsidRPr="007811C6" w:rsidRDefault="00E66E07" w:rsidP="004D692E">
            <w:pPr>
              <w:tabs>
                <w:tab w:val="right" w:pos="9070"/>
              </w:tabs>
              <w:spacing w:before="120" w:after="120"/>
              <w:rPr>
                <w:rFonts w:cs="Arial"/>
                <w:b/>
                <w:szCs w:val="22"/>
              </w:rPr>
            </w:pPr>
            <w:r>
              <w:rPr>
                <w:rFonts w:cs="Arial"/>
                <w:b/>
                <w:szCs w:val="22"/>
              </w:rPr>
              <w:t>GAUTENG DEPARTMENT OF HEALTH</w:t>
            </w:r>
          </w:p>
        </w:tc>
        <w:tc>
          <w:tcPr>
            <w:tcW w:w="2318" w:type="dxa"/>
          </w:tcPr>
          <w:p w14:paraId="47D0D149" w14:textId="17F5E8E1" w:rsidR="00E66E07" w:rsidRPr="007811C6" w:rsidRDefault="006D2C78" w:rsidP="001F6466">
            <w:pPr>
              <w:spacing w:before="120" w:after="120"/>
              <w:rPr>
                <w:rFonts w:cs="Arial"/>
                <w:szCs w:val="22"/>
              </w:rPr>
            </w:pPr>
            <w:r w:rsidRPr="007811C6">
              <w:rPr>
                <w:rFonts w:cs="Arial"/>
                <w:szCs w:val="22"/>
              </w:rPr>
              <w:t>Respondent</w:t>
            </w:r>
          </w:p>
        </w:tc>
      </w:tr>
      <w:tr w:rsidR="001F6466" w:rsidRPr="007811C6" w14:paraId="4271074D" w14:textId="77777777" w:rsidTr="00430142">
        <w:tc>
          <w:tcPr>
            <w:tcW w:w="6223" w:type="dxa"/>
          </w:tcPr>
          <w:p w14:paraId="3B8087A0" w14:textId="2A1E8AFE" w:rsidR="001F6466" w:rsidRPr="00E66E07" w:rsidRDefault="00E66E07" w:rsidP="004D692E">
            <w:pPr>
              <w:tabs>
                <w:tab w:val="right" w:pos="9070"/>
              </w:tabs>
              <w:spacing w:before="120" w:after="120"/>
              <w:rPr>
                <w:rFonts w:cs="Arial"/>
                <w:bCs/>
                <w:szCs w:val="22"/>
              </w:rPr>
            </w:pPr>
            <w:r w:rsidRPr="008A13AF">
              <w:rPr>
                <w:rFonts w:cs="Arial"/>
                <w:bCs/>
                <w:i/>
                <w:iCs/>
                <w:szCs w:val="22"/>
              </w:rPr>
              <w:t>in re</w:t>
            </w:r>
            <w:r>
              <w:rPr>
                <w:rFonts w:cs="Arial"/>
                <w:bCs/>
                <w:szCs w:val="22"/>
              </w:rPr>
              <w:t xml:space="preserve"> the matter between</w:t>
            </w:r>
          </w:p>
        </w:tc>
        <w:tc>
          <w:tcPr>
            <w:tcW w:w="2318" w:type="dxa"/>
          </w:tcPr>
          <w:p w14:paraId="4CDFD812" w14:textId="32C61393" w:rsidR="001F6466" w:rsidRPr="007811C6" w:rsidRDefault="001F6466" w:rsidP="001F6466">
            <w:pPr>
              <w:spacing w:before="120" w:after="120"/>
              <w:rPr>
                <w:rFonts w:cs="Arial"/>
                <w:szCs w:val="22"/>
              </w:rPr>
            </w:pPr>
          </w:p>
        </w:tc>
      </w:tr>
      <w:tr w:rsidR="00E66E07" w:rsidRPr="007811C6" w14:paraId="7F3F2DA5" w14:textId="77777777" w:rsidTr="00430142">
        <w:tc>
          <w:tcPr>
            <w:tcW w:w="6223" w:type="dxa"/>
          </w:tcPr>
          <w:p w14:paraId="06D4686B" w14:textId="0087981B" w:rsidR="00E66E07" w:rsidRDefault="00E526BE" w:rsidP="004D692E">
            <w:pPr>
              <w:tabs>
                <w:tab w:val="right" w:pos="9070"/>
              </w:tabs>
              <w:spacing w:before="120" w:after="120"/>
              <w:rPr>
                <w:rFonts w:cs="Arial"/>
                <w:bCs/>
                <w:szCs w:val="22"/>
              </w:rPr>
            </w:pPr>
            <w:r>
              <w:rPr>
                <w:rFonts w:cs="Arial"/>
                <w:b/>
                <w:szCs w:val="22"/>
              </w:rPr>
              <w:t>M</w:t>
            </w:r>
            <w:r w:rsidR="00E66E07">
              <w:rPr>
                <w:rFonts w:cs="Arial"/>
                <w:b/>
                <w:szCs w:val="22"/>
              </w:rPr>
              <w:t>OTSOENENG, RAHAB MATSETSA</w:t>
            </w:r>
          </w:p>
        </w:tc>
        <w:tc>
          <w:tcPr>
            <w:tcW w:w="2318" w:type="dxa"/>
          </w:tcPr>
          <w:p w14:paraId="1DB68CAB" w14:textId="04794989" w:rsidR="00E66E07" w:rsidRPr="007811C6" w:rsidRDefault="00E66E07" w:rsidP="001F6466">
            <w:pPr>
              <w:spacing w:before="120" w:after="120"/>
              <w:rPr>
                <w:rFonts w:cs="Arial"/>
                <w:szCs w:val="22"/>
              </w:rPr>
            </w:pPr>
            <w:r>
              <w:rPr>
                <w:rFonts w:cs="Arial"/>
                <w:szCs w:val="22"/>
              </w:rPr>
              <w:t>Applicant</w:t>
            </w:r>
          </w:p>
        </w:tc>
      </w:tr>
      <w:tr w:rsidR="00E66E07" w:rsidRPr="007811C6" w14:paraId="793A6FCD" w14:textId="77777777" w:rsidTr="00430142">
        <w:tc>
          <w:tcPr>
            <w:tcW w:w="6223" w:type="dxa"/>
          </w:tcPr>
          <w:p w14:paraId="3E3FF22C" w14:textId="6FC6D296" w:rsidR="00E66E07" w:rsidRDefault="00E66E07" w:rsidP="004D692E">
            <w:pPr>
              <w:tabs>
                <w:tab w:val="right" w:pos="9070"/>
              </w:tabs>
              <w:spacing w:before="120" w:after="120"/>
              <w:rPr>
                <w:rFonts w:cs="Arial"/>
                <w:b/>
                <w:szCs w:val="22"/>
              </w:rPr>
            </w:pPr>
            <w:r>
              <w:rPr>
                <w:rFonts w:cs="Arial"/>
                <w:b/>
                <w:szCs w:val="22"/>
              </w:rPr>
              <w:t>And</w:t>
            </w:r>
          </w:p>
        </w:tc>
        <w:tc>
          <w:tcPr>
            <w:tcW w:w="2318" w:type="dxa"/>
          </w:tcPr>
          <w:p w14:paraId="363A64D1" w14:textId="77777777" w:rsidR="00E66E07" w:rsidRDefault="00E66E07" w:rsidP="001F6466">
            <w:pPr>
              <w:spacing w:before="120" w:after="120"/>
              <w:rPr>
                <w:rFonts w:cs="Arial"/>
                <w:szCs w:val="22"/>
              </w:rPr>
            </w:pPr>
          </w:p>
        </w:tc>
      </w:tr>
      <w:tr w:rsidR="00E66E07" w:rsidRPr="007811C6" w14:paraId="1338E5EC" w14:textId="77777777" w:rsidTr="00430142">
        <w:tc>
          <w:tcPr>
            <w:tcW w:w="6223" w:type="dxa"/>
          </w:tcPr>
          <w:p w14:paraId="6492EBC7" w14:textId="319B4F9A" w:rsidR="00E66E07" w:rsidRDefault="00E66E07" w:rsidP="004D692E">
            <w:pPr>
              <w:tabs>
                <w:tab w:val="right" w:pos="9070"/>
              </w:tabs>
              <w:spacing w:before="120" w:after="120"/>
              <w:rPr>
                <w:rFonts w:cs="Arial"/>
                <w:b/>
                <w:szCs w:val="22"/>
              </w:rPr>
            </w:pPr>
            <w:r>
              <w:rPr>
                <w:rFonts w:cs="Arial"/>
                <w:b/>
                <w:szCs w:val="22"/>
              </w:rPr>
              <w:t xml:space="preserve">VAAL UNIVERSITY OF </w:t>
            </w:r>
            <w:r w:rsidR="00E526BE">
              <w:rPr>
                <w:rFonts w:cs="Arial"/>
                <w:b/>
                <w:szCs w:val="22"/>
              </w:rPr>
              <w:t>TECHNOLOGY</w:t>
            </w:r>
          </w:p>
        </w:tc>
        <w:tc>
          <w:tcPr>
            <w:tcW w:w="2318" w:type="dxa"/>
          </w:tcPr>
          <w:p w14:paraId="736C0CED" w14:textId="765B4962" w:rsidR="00E66E07" w:rsidRDefault="00E66E07" w:rsidP="001F6466">
            <w:pPr>
              <w:spacing w:before="120" w:after="120"/>
              <w:rPr>
                <w:rFonts w:cs="Arial"/>
                <w:szCs w:val="22"/>
              </w:rPr>
            </w:pPr>
            <w:r>
              <w:rPr>
                <w:rFonts w:cs="Arial"/>
                <w:szCs w:val="22"/>
              </w:rPr>
              <w:t>First Respondent</w:t>
            </w:r>
          </w:p>
        </w:tc>
      </w:tr>
      <w:tr w:rsidR="00E66E07" w:rsidRPr="007811C6" w14:paraId="5130D8AB" w14:textId="77777777" w:rsidTr="00430142">
        <w:tc>
          <w:tcPr>
            <w:tcW w:w="6223" w:type="dxa"/>
          </w:tcPr>
          <w:p w14:paraId="242A068A" w14:textId="3E8E1EE9" w:rsidR="00E66E07" w:rsidRDefault="00E66E07" w:rsidP="004D692E">
            <w:pPr>
              <w:tabs>
                <w:tab w:val="right" w:pos="9070"/>
              </w:tabs>
              <w:spacing w:before="120" w:after="120"/>
              <w:rPr>
                <w:rFonts w:cs="Arial"/>
                <w:b/>
                <w:szCs w:val="22"/>
              </w:rPr>
            </w:pPr>
            <w:r>
              <w:rPr>
                <w:rFonts w:cs="Arial"/>
                <w:b/>
                <w:szCs w:val="22"/>
              </w:rPr>
              <w:t>SOUTH AFRICAN NURSING COUNCIL</w:t>
            </w:r>
          </w:p>
        </w:tc>
        <w:tc>
          <w:tcPr>
            <w:tcW w:w="2318" w:type="dxa"/>
          </w:tcPr>
          <w:p w14:paraId="7B4996F3" w14:textId="326603D2" w:rsidR="00E66E07" w:rsidRDefault="00E66E07" w:rsidP="001F6466">
            <w:pPr>
              <w:spacing w:before="120" w:after="120"/>
              <w:rPr>
                <w:rFonts w:cs="Arial"/>
                <w:szCs w:val="22"/>
              </w:rPr>
            </w:pPr>
            <w:r>
              <w:rPr>
                <w:rFonts w:cs="Arial"/>
                <w:szCs w:val="22"/>
              </w:rPr>
              <w:t>Second Respondent</w:t>
            </w:r>
          </w:p>
        </w:tc>
      </w:tr>
      <w:tr w:rsidR="00E66E07" w:rsidRPr="007811C6" w14:paraId="08FFF839" w14:textId="77777777" w:rsidTr="00430142">
        <w:tc>
          <w:tcPr>
            <w:tcW w:w="6223" w:type="dxa"/>
          </w:tcPr>
          <w:p w14:paraId="2A4018D6" w14:textId="45052C7D" w:rsidR="00E66E07" w:rsidRDefault="00E66E07" w:rsidP="004D692E">
            <w:pPr>
              <w:tabs>
                <w:tab w:val="right" w:pos="9070"/>
              </w:tabs>
              <w:spacing w:before="120" w:after="120"/>
              <w:rPr>
                <w:rFonts w:cs="Arial"/>
                <w:b/>
                <w:szCs w:val="22"/>
              </w:rPr>
            </w:pPr>
            <w:r>
              <w:rPr>
                <w:rFonts w:cs="Arial"/>
                <w:b/>
                <w:szCs w:val="22"/>
              </w:rPr>
              <w:t>GAUTENG DEPARTMENT OF HEALTH</w:t>
            </w:r>
          </w:p>
        </w:tc>
        <w:tc>
          <w:tcPr>
            <w:tcW w:w="2318" w:type="dxa"/>
          </w:tcPr>
          <w:p w14:paraId="780593B1" w14:textId="04EB40DD" w:rsidR="00E66E07" w:rsidRDefault="00E66E07" w:rsidP="001F6466">
            <w:pPr>
              <w:spacing w:before="120" w:after="120"/>
              <w:rPr>
                <w:rFonts w:cs="Arial"/>
                <w:szCs w:val="22"/>
              </w:rPr>
            </w:pPr>
            <w:r>
              <w:rPr>
                <w:rFonts w:cs="Arial"/>
                <w:szCs w:val="22"/>
              </w:rPr>
              <w:t>Third Respondent</w:t>
            </w:r>
          </w:p>
        </w:tc>
      </w:tr>
    </w:tbl>
    <w:p w14:paraId="67781CE9" w14:textId="77777777" w:rsidR="0023405C" w:rsidRPr="007811C6" w:rsidRDefault="0023405C"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5B2A4E7D" w:rsidR="00BE6AB8" w:rsidRPr="007811C6" w:rsidRDefault="006D134C" w:rsidP="00C74E97">
      <w:pPr>
        <w:spacing w:after="480" w:line="360" w:lineRule="auto"/>
        <w:jc w:val="both"/>
        <w:rPr>
          <w:rFonts w:cs="Arial"/>
          <w:b/>
          <w:szCs w:val="22"/>
        </w:rPr>
      </w:pPr>
      <w:r>
        <w:rPr>
          <w:rFonts w:cs="Arial"/>
          <w:b/>
          <w:szCs w:val="22"/>
        </w:rPr>
        <w:t>MOORCROFT</w:t>
      </w:r>
      <w:r w:rsidR="006C43D7" w:rsidRPr="007811C6">
        <w:rPr>
          <w:rFonts w:cs="Arial"/>
          <w:b/>
          <w:szCs w:val="22"/>
        </w:rPr>
        <w:t xml:space="preserve"> AJ:</w:t>
      </w:r>
    </w:p>
    <w:p w14:paraId="5B9302F1" w14:textId="4DE0F352" w:rsidR="001F361F" w:rsidRDefault="00C460A0" w:rsidP="00C74E97">
      <w:pPr>
        <w:keepNext/>
        <w:spacing w:after="480" w:line="360" w:lineRule="auto"/>
        <w:jc w:val="both"/>
        <w:rPr>
          <w:rFonts w:cs="Arial"/>
          <w:bCs/>
          <w:i/>
          <w:iCs/>
          <w:szCs w:val="22"/>
          <w:u w:val="single"/>
        </w:rPr>
      </w:pPr>
      <w:r w:rsidRPr="007811C6">
        <w:rPr>
          <w:rFonts w:cs="Arial"/>
          <w:bCs/>
          <w:i/>
          <w:iCs/>
          <w:szCs w:val="22"/>
          <w:u w:val="single"/>
        </w:rPr>
        <w:lastRenderedPageBreak/>
        <w:t>Summar</w:t>
      </w:r>
      <w:r w:rsidR="00026A26" w:rsidRPr="007811C6">
        <w:rPr>
          <w:rFonts w:cs="Arial"/>
          <w:bCs/>
          <w:i/>
          <w:iCs/>
          <w:szCs w:val="22"/>
          <w:u w:val="single"/>
        </w:rPr>
        <w:t>y</w:t>
      </w:r>
    </w:p>
    <w:p w14:paraId="1279BB23" w14:textId="2F3A40DE" w:rsidR="00E66E07" w:rsidRDefault="00E526BE" w:rsidP="00C74E97">
      <w:pPr>
        <w:keepNext/>
        <w:spacing w:after="480" w:line="360" w:lineRule="auto"/>
        <w:jc w:val="both"/>
        <w:rPr>
          <w:rFonts w:cs="Arial"/>
          <w:bCs/>
          <w:i/>
          <w:iCs/>
          <w:szCs w:val="22"/>
        </w:rPr>
      </w:pPr>
      <w:r>
        <w:rPr>
          <w:rFonts w:cs="Arial"/>
          <w:bCs/>
          <w:i/>
          <w:iCs/>
          <w:szCs w:val="22"/>
        </w:rPr>
        <w:t xml:space="preserve">Urgent application to extend interim order made on 17 August 2023 – order not extended as the period of community service in the order has been </w:t>
      </w:r>
      <w:proofErr w:type="gramStart"/>
      <w:r>
        <w:rPr>
          <w:rFonts w:cs="Arial"/>
          <w:bCs/>
          <w:i/>
          <w:iCs/>
          <w:szCs w:val="22"/>
        </w:rPr>
        <w:t>completed</w:t>
      </w:r>
      <w:proofErr w:type="gramEnd"/>
    </w:p>
    <w:p w14:paraId="004E673E" w14:textId="5CCE2F45" w:rsidR="001F7239" w:rsidRDefault="001F7239" w:rsidP="00C74E97">
      <w:pPr>
        <w:keepNext/>
        <w:spacing w:after="480" w:line="360" w:lineRule="auto"/>
        <w:jc w:val="both"/>
        <w:rPr>
          <w:rFonts w:cs="Arial"/>
          <w:bCs/>
          <w:i/>
          <w:iCs/>
          <w:szCs w:val="22"/>
        </w:rPr>
      </w:pPr>
      <w:r>
        <w:rPr>
          <w:rFonts w:cs="Arial"/>
          <w:bCs/>
          <w:i/>
          <w:iCs/>
          <w:szCs w:val="22"/>
        </w:rPr>
        <w:t>Exclusive jurisdiction of Labour Court – section 157 of the Labour Relations Act 66 of 1995</w:t>
      </w:r>
    </w:p>
    <w:p w14:paraId="18AFD427" w14:textId="50240FAA"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63515C87" w14:textId="0A462689" w:rsidR="004E3D0E" w:rsidRPr="007811C6" w:rsidRDefault="00C3557C" w:rsidP="00C3557C">
      <w:pPr>
        <w:tabs>
          <w:tab w:val="left" w:pos="567"/>
        </w:tabs>
        <w:spacing w:before="240" w:after="240" w:line="360" w:lineRule="auto"/>
        <w:jc w:val="both"/>
        <w:rPr>
          <w:rFonts w:cs="Arial"/>
          <w:i/>
          <w:iCs/>
          <w:szCs w:val="22"/>
        </w:rPr>
      </w:pPr>
      <w:r w:rsidRPr="007811C6">
        <w:rPr>
          <w:rFonts w:cs="Arial"/>
          <w:iCs/>
          <w:szCs w:val="22"/>
        </w:rPr>
        <w:t>[1]</w:t>
      </w:r>
      <w:r w:rsidRPr="007811C6">
        <w:rPr>
          <w:rFonts w:cs="Arial"/>
          <w:iCs/>
          <w:szCs w:val="22"/>
        </w:rPr>
        <w:tab/>
      </w:r>
      <w:r w:rsidR="003B4100"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0976D2" w:rsidRPr="007811C6">
        <w:rPr>
          <w:rFonts w:cs="Arial"/>
          <w:bCs/>
          <w:szCs w:val="22"/>
        </w:rPr>
        <w:t>k</w:t>
      </w:r>
      <w:r w:rsidR="00DC6EF8" w:rsidRPr="007811C6">
        <w:rPr>
          <w:rFonts w:cs="Arial"/>
          <w:bCs/>
          <w:szCs w:val="22"/>
        </w:rPr>
        <w:t>e</w:t>
      </w:r>
      <w:r w:rsidR="00C460A0" w:rsidRPr="007811C6">
        <w:rPr>
          <w:rFonts w:cs="Arial"/>
          <w:bCs/>
          <w:szCs w:val="22"/>
        </w:rPr>
        <w:t xml:space="preserve"> the following order</w:t>
      </w:r>
      <w:r w:rsidR="000976D2" w:rsidRPr="007811C6">
        <w:rPr>
          <w:rFonts w:cs="Arial"/>
          <w:bCs/>
          <w:szCs w:val="22"/>
        </w:rPr>
        <w:t>:</w:t>
      </w:r>
    </w:p>
    <w:p w14:paraId="21CFE8A2" w14:textId="529DC973" w:rsidR="00462DE3" w:rsidRPr="00C3557C" w:rsidRDefault="00C3557C" w:rsidP="00C3557C">
      <w:pPr>
        <w:spacing w:before="240" w:after="240" w:line="360" w:lineRule="auto"/>
        <w:ind w:left="720" w:hanging="360"/>
        <w:jc w:val="both"/>
        <w:rPr>
          <w:rFonts w:cs="Arial"/>
          <w:i/>
          <w:iCs/>
          <w:szCs w:val="22"/>
        </w:rPr>
      </w:pPr>
      <w:r>
        <w:rPr>
          <w:rFonts w:cs="Arial"/>
          <w:i/>
          <w:iCs/>
          <w:szCs w:val="22"/>
        </w:rPr>
        <w:t>1.</w:t>
      </w:r>
      <w:r>
        <w:rPr>
          <w:rFonts w:cs="Arial"/>
          <w:i/>
          <w:iCs/>
          <w:szCs w:val="22"/>
        </w:rPr>
        <w:tab/>
      </w:r>
      <w:r w:rsidR="00AD04FB" w:rsidRPr="00C3557C">
        <w:rPr>
          <w:rFonts w:cs="Arial"/>
          <w:i/>
          <w:iCs/>
          <w:szCs w:val="22"/>
        </w:rPr>
        <w:t xml:space="preserve">The application is </w:t>
      </w:r>
      <w:proofErr w:type="gramStart"/>
      <w:r w:rsidR="00AD04FB" w:rsidRPr="00C3557C">
        <w:rPr>
          <w:rFonts w:cs="Arial"/>
          <w:i/>
          <w:iCs/>
          <w:szCs w:val="22"/>
        </w:rPr>
        <w:t>dismissed;</w:t>
      </w:r>
      <w:proofErr w:type="gramEnd"/>
    </w:p>
    <w:p w14:paraId="17296231" w14:textId="51B076D4" w:rsidR="00462DE3" w:rsidRPr="00C3557C" w:rsidRDefault="00C3557C" w:rsidP="00C3557C">
      <w:pPr>
        <w:spacing w:before="240" w:after="240" w:line="360" w:lineRule="auto"/>
        <w:ind w:left="720" w:hanging="360"/>
        <w:jc w:val="both"/>
        <w:rPr>
          <w:rFonts w:cs="Arial"/>
          <w:i/>
          <w:iCs/>
          <w:szCs w:val="22"/>
        </w:rPr>
      </w:pPr>
      <w:r>
        <w:rPr>
          <w:rFonts w:cs="Arial"/>
          <w:i/>
          <w:iCs/>
          <w:szCs w:val="22"/>
        </w:rPr>
        <w:t>2.</w:t>
      </w:r>
      <w:r>
        <w:rPr>
          <w:rFonts w:cs="Arial"/>
          <w:i/>
          <w:iCs/>
          <w:szCs w:val="22"/>
        </w:rPr>
        <w:tab/>
      </w:r>
      <w:r w:rsidR="00AD04FB" w:rsidRPr="00C3557C">
        <w:rPr>
          <w:rFonts w:cs="Arial"/>
          <w:i/>
          <w:iCs/>
          <w:szCs w:val="22"/>
        </w:rPr>
        <w:t>The applicant is ordered to pay the costs of the application.</w:t>
      </w:r>
    </w:p>
    <w:p w14:paraId="115774C9" w14:textId="77777777" w:rsidR="0040197A" w:rsidRPr="007811C6" w:rsidRDefault="0040197A" w:rsidP="003D5560">
      <w:pPr>
        <w:widowControl w:val="0"/>
        <w:spacing w:before="240" w:after="240" w:line="360" w:lineRule="auto"/>
        <w:jc w:val="both"/>
        <w:rPr>
          <w:rFonts w:cs="Arial"/>
          <w:bCs/>
          <w:szCs w:val="22"/>
          <w:u w:val="single"/>
        </w:rPr>
      </w:pPr>
    </w:p>
    <w:p w14:paraId="653F3FAB" w14:textId="1998327D" w:rsidR="008707F5" w:rsidRPr="00C3557C" w:rsidRDefault="00C3557C" w:rsidP="00C3557C">
      <w:pPr>
        <w:widowControl w:val="0"/>
        <w:tabs>
          <w:tab w:val="left" w:pos="567"/>
        </w:tabs>
        <w:spacing w:before="240" w:after="240" w:line="360" w:lineRule="auto"/>
        <w:jc w:val="both"/>
        <w:rPr>
          <w:rFonts w:cs="Arial"/>
          <w:bCs/>
          <w:szCs w:val="22"/>
          <w:u w:val="single"/>
        </w:rPr>
      </w:pPr>
      <w:r w:rsidRPr="008707F5">
        <w:rPr>
          <w:rFonts w:cs="Arial"/>
          <w:bCs/>
          <w:szCs w:val="22"/>
        </w:rPr>
        <w:t>[2]</w:t>
      </w:r>
      <w:r w:rsidRPr="008707F5">
        <w:rPr>
          <w:rFonts w:cs="Arial"/>
          <w:bCs/>
          <w:szCs w:val="22"/>
        </w:rPr>
        <w:tab/>
      </w:r>
      <w:r w:rsidR="004A5AF5" w:rsidRPr="00C3557C">
        <w:rPr>
          <w:rFonts w:cs="Arial"/>
          <w:bCs/>
          <w:szCs w:val="22"/>
        </w:rPr>
        <w:t xml:space="preserve">The </w:t>
      </w:r>
      <w:r w:rsidR="00573FF9" w:rsidRPr="00C3557C">
        <w:rPr>
          <w:rFonts w:cs="Arial"/>
          <w:bCs/>
          <w:szCs w:val="22"/>
        </w:rPr>
        <w:t xml:space="preserve">reasons for the order </w:t>
      </w:r>
      <w:r w:rsidR="00A63709" w:rsidRPr="00C3557C">
        <w:rPr>
          <w:rFonts w:cs="Arial"/>
          <w:bCs/>
          <w:szCs w:val="22"/>
        </w:rPr>
        <w:t>follow</w:t>
      </w:r>
      <w:r w:rsidR="00573FF9" w:rsidRPr="00C3557C">
        <w:rPr>
          <w:rFonts w:cs="Arial"/>
          <w:bCs/>
          <w:szCs w:val="22"/>
        </w:rPr>
        <w:t xml:space="preserve"> below.</w:t>
      </w:r>
    </w:p>
    <w:p w14:paraId="29BB0E4C" w14:textId="48C1667E" w:rsidR="008A13AF" w:rsidRPr="00C3557C" w:rsidRDefault="00C3557C" w:rsidP="00C3557C">
      <w:pPr>
        <w:widowControl w:val="0"/>
        <w:tabs>
          <w:tab w:val="left" w:pos="567"/>
        </w:tabs>
        <w:spacing w:before="240" w:after="240" w:line="360" w:lineRule="auto"/>
        <w:jc w:val="both"/>
        <w:rPr>
          <w:rFonts w:cs="Arial"/>
          <w:bCs/>
          <w:szCs w:val="22"/>
        </w:rPr>
      </w:pPr>
      <w:r>
        <w:rPr>
          <w:rFonts w:cs="Arial"/>
          <w:bCs/>
          <w:szCs w:val="22"/>
        </w:rPr>
        <w:t>[3]</w:t>
      </w:r>
      <w:r>
        <w:rPr>
          <w:rFonts w:cs="Arial"/>
          <w:bCs/>
          <w:szCs w:val="22"/>
        </w:rPr>
        <w:tab/>
      </w:r>
      <w:r w:rsidR="001F53E8" w:rsidRPr="00C3557C">
        <w:rPr>
          <w:rFonts w:cs="Arial"/>
          <w:bCs/>
          <w:szCs w:val="22"/>
        </w:rPr>
        <w:t xml:space="preserve">This is a judgement in the urgent court. </w:t>
      </w:r>
      <w:r w:rsidR="00734D0A" w:rsidRPr="00C3557C">
        <w:rPr>
          <w:rFonts w:cs="Arial"/>
          <w:bCs/>
          <w:szCs w:val="22"/>
        </w:rPr>
        <w:t xml:space="preserve">The applicant seeks an order that a previous order of this court granted </w:t>
      </w:r>
      <w:r w:rsidR="00470EBD" w:rsidRPr="00C3557C">
        <w:rPr>
          <w:rFonts w:cs="Arial"/>
          <w:bCs/>
          <w:szCs w:val="22"/>
        </w:rPr>
        <w:t>on</w:t>
      </w:r>
      <w:r w:rsidR="00734D0A" w:rsidRPr="00C3557C">
        <w:rPr>
          <w:rFonts w:cs="Arial"/>
          <w:bCs/>
          <w:szCs w:val="22"/>
        </w:rPr>
        <w:t xml:space="preserve"> 17 August 2023 by Crutchfield J be extended to allow the applicant to be employed as a professional nurse by the respondent pending the finalisation of </w:t>
      </w:r>
      <w:r w:rsidR="00D36146" w:rsidRPr="00C3557C">
        <w:rPr>
          <w:rFonts w:cs="Arial"/>
          <w:bCs/>
          <w:szCs w:val="22"/>
        </w:rPr>
        <w:t>a review application</w:t>
      </w:r>
      <w:r w:rsidR="00734D0A" w:rsidRPr="00C3557C">
        <w:rPr>
          <w:rFonts w:cs="Arial"/>
          <w:bCs/>
          <w:szCs w:val="22"/>
        </w:rPr>
        <w:t xml:space="preserve"> between the applicant, the Vaal University of Technology, the South African Nursing Council, and the Gauteng Department of Health. </w:t>
      </w:r>
      <w:r w:rsidR="00D36146" w:rsidRPr="00C3557C">
        <w:rPr>
          <w:rFonts w:cs="Arial"/>
          <w:bCs/>
          <w:szCs w:val="22"/>
        </w:rPr>
        <w:t>The applicant also seeks an order that pending the final determination of the review, the respondent</w:t>
      </w:r>
      <w:r w:rsidR="00172E99" w:rsidRPr="00C3557C">
        <w:rPr>
          <w:rFonts w:cs="Arial"/>
          <w:bCs/>
          <w:szCs w:val="22"/>
        </w:rPr>
        <w:t xml:space="preserve"> be</w:t>
      </w:r>
      <w:r w:rsidR="00D36146" w:rsidRPr="00C3557C">
        <w:rPr>
          <w:rFonts w:cs="Arial"/>
          <w:bCs/>
          <w:szCs w:val="22"/>
        </w:rPr>
        <w:t xml:space="preserve"> directed to reinstate the applicant to her employment in the capacity of professional nurse with the employment conditions common to such employment.</w:t>
      </w:r>
    </w:p>
    <w:p w14:paraId="110C32A6" w14:textId="68D76142" w:rsidR="001F7239" w:rsidRPr="008A13AF" w:rsidRDefault="00734D0A" w:rsidP="008A13AF">
      <w:pPr>
        <w:widowControl w:val="0"/>
        <w:spacing w:before="240" w:after="240" w:line="360" w:lineRule="auto"/>
        <w:jc w:val="both"/>
        <w:rPr>
          <w:rFonts w:cs="Arial"/>
          <w:bCs/>
          <w:szCs w:val="22"/>
        </w:rPr>
      </w:pPr>
      <w:r w:rsidRPr="008A13AF">
        <w:rPr>
          <w:rFonts w:cs="Arial"/>
          <w:bCs/>
          <w:szCs w:val="22"/>
        </w:rPr>
        <w:t xml:space="preserve">In terms of the order made on 17 August 2023 the main application (part B) was postponed </w:t>
      </w:r>
      <w:r w:rsidRPr="008A13AF">
        <w:rPr>
          <w:rFonts w:cs="Arial"/>
          <w:bCs/>
          <w:i/>
          <w:iCs/>
          <w:szCs w:val="22"/>
        </w:rPr>
        <w:t>sine die</w:t>
      </w:r>
      <w:r w:rsidRPr="008A13AF">
        <w:rPr>
          <w:rFonts w:cs="Arial"/>
          <w:bCs/>
          <w:szCs w:val="22"/>
        </w:rPr>
        <w:t xml:space="preserve">, the costs were reserved, and it was ordered that pending the final determination of the main application the Gauteng Department of Health (then the third respondent, now the </w:t>
      </w:r>
      <w:r w:rsidR="003D5560" w:rsidRPr="008A13AF">
        <w:rPr>
          <w:rFonts w:cs="Arial"/>
          <w:bCs/>
          <w:szCs w:val="22"/>
        </w:rPr>
        <w:t>only</w:t>
      </w:r>
      <w:r w:rsidRPr="008A13AF">
        <w:rPr>
          <w:rFonts w:cs="Arial"/>
          <w:bCs/>
          <w:szCs w:val="22"/>
        </w:rPr>
        <w:t xml:space="preserve"> respondent in this application) was directed to permit the applicant to continue with her one-year community service in the capacity of professional nurse.</w:t>
      </w:r>
      <w:r w:rsidR="00E526BE" w:rsidRPr="008A13AF">
        <w:rPr>
          <w:rFonts w:cs="Arial"/>
          <w:bCs/>
          <w:szCs w:val="22"/>
        </w:rPr>
        <w:t xml:space="preserve"> </w:t>
      </w:r>
    </w:p>
    <w:p w14:paraId="36264927" w14:textId="4CAE990E" w:rsidR="00E66E07" w:rsidRPr="00C3557C" w:rsidRDefault="00C3557C" w:rsidP="00C3557C">
      <w:pPr>
        <w:widowControl w:val="0"/>
        <w:tabs>
          <w:tab w:val="left" w:pos="567"/>
        </w:tabs>
        <w:spacing w:before="240" w:after="240" w:line="360" w:lineRule="auto"/>
        <w:jc w:val="both"/>
        <w:rPr>
          <w:rFonts w:cs="Arial"/>
          <w:bCs/>
          <w:szCs w:val="22"/>
        </w:rPr>
      </w:pPr>
      <w:r>
        <w:rPr>
          <w:rFonts w:cs="Arial"/>
          <w:bCs/>
          <w:szCs w:val="22"/>
        </w:rPr>
        <w:t>[4]</w:t>
      </w:r>
      <w:r>
        <w:rPr>
          <w:rFonts w:cs="Arial"/>
          <w:bCs/>
          <w:szCs w:val="22"/>
        </w:rPr>
        <w:tab/>
      </w:r>
      <w:r w:rsidR="00734D0A" w:rsidRPr="00C3557C">
        <w:rPr>
          <w:rFonts w:cs="Arial"/>
          <w:bCs/>
          <w:szCs w:val="22"/>
        </w:rPr>
        <w:t xml:space="preserve">It is common cause that </w:t>
      </w:r>
      <w:r w:rsidR="001F7239" w:rsidRPr="00C3557C">
        <w:rPr>
          <w:rFonts w:cs="Arial"/>
          <w:bCs/>
          <w:szCs w:val="22"/>
        </w:rPr>
        <w:t>the respondent complied with this order and that</w:t>
      </w:r>
      <w:r w:rsidR="00E526BE" w:rsidRPr="00C3557C">
        <w:rPr>
          <w:rFonts w:cs="Arial"/>
          <w:bCs/>
          <w:szCs w:val="22"/>
        </w:rPr>
        <w:t xml:space="preserve"> </w:t>
      </w:r>
      <w:r w:rsidR="00734D0A" w:rsidRPr="00C3557C">
        <w:rPr>
          <w:rFonts w:cs="Arial"/>
          <w:bCs/>
          <w:szCs w:val="22"/>
        </w:rPr>
        <w:t>the one-year community service expired at the end of December 2023</w:t>
      </w:r>
      <w:r w:rsidR="001F7239" w:rsidRPr="00C3557C">
        <w:rPr>
          <w:rFonts w:cs="Arial"/>
          <w:bCs/>
          <w:szCs w:val="22"/>
        </w:rPr>
        <w:t>, and that</w:t>
      </w:r>
      <w:r w:rsidR="00734D0A" w:rsidRPr="00C3557C">
        <w:rPr>
          <w:rFonts w:cs="Arial"/>
          <w:bCs/>
          <w:szCs w:val="22"/>
        </w:rPr>
        <w:t xml:space="preserve"> the applicant </w:t>
      </w:r>
      <w:r w:rsidR="00734D0A" w:rsidRPr="00C3557C">
        <w:rPr>
          <w:rFonts w:cs="Arial"/>
          <w:bCs/>
          <w:szCs w:val="22"/>
        </w:rPr>
        <w:lastRenderedPageBreak/>
        <w:t>continued to work for the respondent</w:t>
      </w:r>
      <w:r w:rsidR="001F7239" w:rsidRPr="00C3557C">
        <w:rPr>
          <w:rFonts w:cs="Arial"/>
          <w:bCs/>
          <w:szCs w:val="22"/>
        </w:rPr>
        <w:t xml:space="preserve"> in January and February 2024. She was </w:t>
      </w:r>
      <w:r w:rsidR="005931FB" w:rsidRPr="00C3557C">
        <w:rPr>
          <w:rFonts w:cs="Arial"/>
          <w:bCs/>
          <w:szCs w:val="22"/>
        </w:rPr>
        <w:t xml:space="preserve">paid a </w:t>
      </w:r>
      <w:proofErr w:type="gramStart"/>
      <w:r w:rsidR="005931FB" w:rsidRPr="00C3557C">
        <w:rPr>
          <w:rFonts w:cs="Arial"/>
          <w:bCs/>
          <w:szCs w:val="22"/>
        </w:rPr>
        <w:t>salary</w:t>
      </w:r>
      <w:proofErr w:type="gramEnd"/>
      <w:r w:rsidR="001F7239" w:rsidRPr="00C3557C">
        <w:rPr>
          <w:rFonts w:cs="Arial"/>
          <w:bCs/>
          <w:szCs w:val="22"/>
        </w:rPr>
        <w:t xml:space="preserve"> but her full-time employment was not formalised</w:t>
      </w:r>
      <w:r w:rsidR="005931FB" w:rsidRPr="00C3557C">
        <w:rPr>
          <w:rFonts w:cs="Arial"/>
          <w:bCs/>
          <w:szCs w:val="22"/>
        </w:rPr>
        <w:t>. There is a dispute about whether the salary was paid in full.</w:t>
      </w:r>
      <w:r w:rsidR="00DB434D" w:rsidRPr="00C3557C">
        <w:rPr>
          <w:rFonts w:cs="Arial"/>
          <w:bCs/>
          <w:szCs w:val="22"/>
        </w:rPr>
        <w:t xml:space="preserve"> </w:t>
      </w:r>
    </w:p>
    <w:p w14:paraId="0A0EEFD2" w14:textId="054117EB" w:rsidR="00172E99" w:rsidRPr="00C3557C" w:rsidRDefault="00C3557C" w:rsidP="00C3557C">
      <w:pPr>
        <w:widowControl w:val="0"/>
        <w:tabs>
          <w:tab w:val="left" w:pos="567"/>
        </w:tabs>
        <w:spacing w:before="240" w:after="240" w:line="360" w:lineRule="auto"/>
        <w:jc w:val="both"/>
        <w:rPr>
          <w:rFonts w:cs="Arial"/>
          <w:bCs/>
          <w:szCs w:val="22"/>
        </w:rPr>
      </w:pPr>
      <w:r>
        <w:rPr>
          <w:rFonts w:cs="Arial"/>
          <w:bCs/>
          <w:szCs w:val="22"/>
        </w:rPr>
        <w:t>[5]</w:t>
      </w:r>
      <w:r>
        <w:rPr>
          <w:rFonts w:cs="Arial"/>
          <w:bCs/>
          <w:szCs w:val="22"/>
        </w:rPr>
        <w:tab/>
      </w:r>
      <w:r w:rsidR="00DB434D" w:rsidRPr="00C3557C">
        <w:rPr>
          <w:rFonts w:cs="Arial"/>
          <w:bCs/>
          <w:szCs w:val="22"/>
        </w:rPr>
        <w:t xml:space="preserve">The community service cannot be </w:t>
      </w:r>
      <w:proofErr w:type="gramStart"/>
      <w:r w:rsidR="00DB434D" w:rsidRPr="00C3557C">
        <w:rPr>
          <w:rFonts w:cs="Arial"/>
          <w:bCs/>
          <w:szCs w:val="22"/>
        </w:rPr>
        <w:t>extended</w:t>
      </w:r>
      <w:proofErr w:type="gramEnd"/>
      <w:r w:rsidR="00DB434D" w:rsidRPr="00C3557C">
        <w:rPr>
          <w:rFonts w:cs="Arial"/>
          <w:bCs/>
          <w:szCs w:val="22"/>
        </w:rPr>
        <w:t xml:space="preserve"> and the order of </w:t>
      </w:r>
      <w:r w:rsidR="003D5560" w:rsidRPr="00C3557C">
        <w:rPr>
          <w:rFonts w:cs="Arial"/>
          <w:bCs/>
          <w:szCs w:val="22"/>
        </w:rPr>
        <w:t>1</w:t>
      </w:r>
      <w:r w:rsidR="00DB434D" w:rsidRPr="00C3557C">
        <w:rPr>
          <w:rFonts w:cs="Arial"/>
          <w:bCs/>
          <w:szCs w:val="22"/>
        </w:rPr>
        <w:t xml:space="preserve">7 August 2023 can </w:t>
      </w:r>
      <w:r w:rsidR="001F7239" w:rsidRPr="00C3557C">
        <w:rPr>
          <w:rFonts w:cs="Arial"/>
          <w:bCs/>
          <w:szCs w:val="22"/>
        </w:rPr>
        <w:t>there</w:t>
      </w:r>
      <w:r w:rsidR="00470EBD" w:rsidRPr="00C3557C">
        <w:rPr>
          <w:rFonts w:cs="Arial"/>
          <w:bCs/>
          <w:szCs w:val="22"/>
        </w:rPr>
        <w:t>f</w:t>
      </w:r>
      <w:r w:rsidR="001F7239" w:rsidRPr="00C3557C">
        <w:rPr>
          <w:rFonts w:cs="Arial"/>
          <w:bCs/>
          <w:szCs w:val="22"/>
        </w:rPr>
        <w:t xml:space="preserve">ore </w:t>
      </w:r>
      <w:r w:rsidR="00DB434D" w:rsidRPr="00C3557C">
        <w:rPr>
          <w:rFonts w:cs="Arial"/>
          <w:bCs/>
          <w:szCs w:val="22"/>
        </w:rPr>
        <w:t>similarly not be extended.</w:t>
      </w:r>
      <w:r w:rsidR="003D5560" w:rsidRPr="00C3557C">
        <w:rPr>
          <w:rFonts w:cs="Arial"/>
          <w:bCs/>
          <w:szCs w:val="22"/>
        </w:rPr>
        <w:t xml:space="preserve"> </w:t>
      </w:r>
    </w:p>
    <w:p w14:paraId="0B621C52" w14:textId="076D602A" w:rsidR="00DB434D" w:rsidRPr="00172E99" w:rsidRDefault="003D5560" w:rsidP="00172E99">
      <w:pPr>
        <w:widowControl w:val="0"/>
        <w:spacing w:before="240" w:after="240" w:line="360" w:lineRule="auto"/>
        <w:jc w:val="both"/>
        <w:rPr>
          <w:rFonts w:cs="Arial"/>
          <w:bCs/>
          <w:szCs w:val="22"/>
        </w:rPr>
      </w:pPr>
      <w:r w:rsidRPr="00172E99">
        <w:rPr>
          <w:rFonts w:cs="Arial"/>
          <w:bCs/>
          <w:szCs w:val="22"/>
        </w:rPr>
        <w:t xml:space="preserve">The applicant </w:t>
      </w:r>
      <w:r w:rsidR="001F7239" w:rsidRPr="00172E99">
        <w:rPr>
          <w:rFonts w:cs="Arial"/>
          <w:bCs/>
          <w:szCs w:val="22"/>
        </w:rPr>
        <w:t>k</w:t>
      </w:r>
      <w:r w:rsidRPr="00172E99">
        <w:rPr>
          <w:rFonts w:cs="Arial"/>
          <w:bCs/>
          <w:szCs w:val="22"/>
        </w:rPr>
        <w:t xml:space="preserve">new that the order of 17 August 2023 would lapse and did lapse at the end of December 2023 and if so advised should have approached the court in the ordinary course for an </w:t>
      </w:r>
      <w:proofErr w:type="gramStart"/>
      <w:r w:rsidRPr="00172E99">
        <w:rPr>
          <w:rFonts w:cs="Arial"/>
          <w:bCs/>
          <w:szCs w:val="22"/>
        </w:rPr>
        <w:t>order</w:t>
      </w:r>
      <w:r w:rsidR="001F7239" w:rsidRPr="00172E99">
        <w:rPr>
          <w:rFonts w:cs="Arial"/>
          <w:bCs/>
          <w:szCs w:val="22"/>
        </w:rPr>
        <w:t>.</w:t>
      </w:r>
      <w:r w:rsidRPr="00172E99">
        <w:rPr>
          <w:rFonts w:cs="Arial"/>
          <w:bCs/>
          <w:szCs w:val="22"/>
        </w:rPr>
        <w:t>.</w:t>
      </w:r>
      <w:proofErr w:type="gramEnd"/>
      <w:r w:rsidRPr="00172E99">
        <w:rPr>
          <w:rFonts w:cs="Arial"/>
          <w:bCs/>
          <w:szCs w:val="22"/>
        </w:rPr>
        <w:t xml:space="preserve"> When the order was granted in August 2023 it was clearly envisaged that it would be a short</w:t>
      </w:r>
      <w:r w:rsidR="008A13AF" w:rsidRPr="00172E99">
        <w:rPr>
          <w:rFonts w:cs="Arial"/>
          <w:bCs/>
          <w:szCs w:val="22"/>
        </w:rPr>
        <w:t xml:space="preserve"> - </w:t>
      </w:r>
      <w:r w:rsidRPr="00172E99">
        <w:rPr>
          <w:rFonts w:cs="Arial"/>
          <w:bCs/>
          <w:szCs w:val="22"/>
        </w:rPr>
        <w:t>term order and would terminate at the end of the one-year community service that</w:t>
      </w:r>
      <w:r w:rsidR="008A13AF" w:rsidRPr="00172E99">
        <w:rPr>
          <w:rFonts w:cs="Arial"/>
          <w:bCs/>
          <w:szCs w:val="22"/>
        </w:rPr>
        <w:t xml:space="preserve"> commenced in January 2023.</w:t>
      </w:r>
    </w:p>
    <w:p w14:paraId="7751CCB9" w14:textId="345C53C4" w:rsidR="00E66E07" w:rsidRPr="00C3557C" w:rsidRDefault="00C3557C" w:rsidP="00C3557C">
      <w:pPr>
        <w:widowControl w:val="0"/>
        <w:tabs>
          <w:tab w:val="left" w:pos="567"/>
        </w:tabs>
        <w:spacing w:before="240" w:after="240" w:line="360" w:lineRule="auto"/>
        <w:jc w:val="both"/>
        <w:rPr>
          <w:rFonts w:cs="Arial"/>
          <w:bCs/>
          <w:szCs w:val="22"/>
        </w:rPr>
      </w:pPr>
      <w:r>
        <w:rPr>
          <w:rFonts w:cs="Arial"/>
          <w:bCs/>
          <w:szCs w:val="22"/>
        </w:rPr>
        <w:t>[6]</w:t>
      </w:r>
      <w:r>
        <w:rPr>
          <w:rFonts w:cs="Arial"/>
          <w:bCs/>
          <w:szCs w:val="22"/>
        </w:rPr>
        <w:tab/>
      </w:r>
      <w:r w:rsidR="005931FB" w:rsidRPr="00C3557C">
        <w:rPr>
          <w:rFonts w:cs="Arial"/>
          <w:bCs/>
          <w:szCs w:val="22"/>
        </w:rPr>
        <w:t>Th</w:t>
      </w:r>
      <w:r w:rsidR="00DB434D" w:rsidRPr="00C3557C">
        <w:rPr>
          <w:rFonts w:cs="Arial"/>
          <w:bCs/>
          <w:szCs w:val="22"/>
        </w:rPr>
        <w:t xml:space="preserve">e </w:t>
      </w:r>
      <w:r w:rsidR="005931FB" w:rsidRPr="00C3557C">
        <w:rPr>
          <w:rFonts w:cs="Arial"/>
          <w:bCs/>
          <w:szCs w:val="22"/>
        </w:rPr>
        <w:t xml:space="preserve">respondent has now terminated the services of the applicant, hence this application. There are disputes </w:t>
      </w:r>
      <w:r w:rsidR="001F7239" w:rsidRPr="00C3557C">
        <w:rPr>
          <w:rFonts w:cs="Arial"/>
          <w:bCs/>
          <w:szCs w:val="22"/>
        </w:rPr>
        <w:t xml:space="preserve">and questions have been raised </w:t>
      </w:r>
      <w:r w:rsidR="005931FB" w:rsidRPr="00C3557C">
        <w:rPr>
          <w:rFonts w:cs="Arial"/>
          <w:bCs/>
          <w:szCs w:val="22"/>
        </w:rPr>
        <w:t>about the academic qualifications of the applicant</w:t>
      </w:r>
      <w:r w:rsidR="008A13AF" w:rsidRPr="00C3557C">
        <w:rPr>
          <w:rFonts w:cs="Arial"/>
          <w:bCs/>
          <w:szCs w:val="22"/>
        </w:rPr>
        <w:t xml:space="preserve"> Th</w:t>
      </w:r>
      <w:r w:rsidR="005931FB" w:rsidRPr="00C3557C">
        <w:rPr>
          <w:rFonts w:cs="Arial"/>
          <w:bCs/>
          <w:szCs w:val="22"/>
        </w:rPr>
        <w:t>e respondent is reticent to employ her pending the final determination of her academic qualifications and the question whether she qualifies for appointment</w:t>
      </w:r>
      <w:r w:rsidR="00172E99" w:rsidRPr="00C3557C">
        <w:rPr>
          <w:rFonts w:cs="Arial"/>
          <w:bCs/>
          <w:szCs w:val="22"/>
        </w:rPr>
        <w:t xml:space="preserve">. </w:t>
      </w:r>
      <w:r w:rsidR="00D36146" w:rsidRPr="00C3557C">
        <w:rPr>
          <w:rFonts w:cs="Arial"/>
          <w:bCs/>
          <w:szCs w:val="22"/>
        </w:rPr>
        <w:t xml:space="preserve"> As indicated below the dispute about the employment status of the applicant is a matter to be resolved before the Commission for Conciliation, Mediation and Arbitration</w:t>
      </w:r>
      <w:r w:rsidR="00172E99" w:rsidRPr="00C3557C">
        <w:rPr>
          <w:rFonts w:cs="Arial"/>
          <w:bCs/>
          <w:szCs w:val="22"/>
        </w:rPr>
        <w:t xml:space="preserve"> and the Labour Court.</w:t>
      </w:r>
    </w:p>
    <w:p w14:paraId="70846243" w14:textId="34AF7A7D" w:rsidR="00172E99" w:rsidRPr="00C3557C" w:rsidRDefault="00C3557C" w:rsidP="00C3557C">
      <w:pPr>
        <w:widowControl w:val="0"/>
        <w:tabs>
          <w:tab w:val="left" w:pos="567"/>
        </w:tabs>
        <w:spacing w:before="240" w:after="240" w:line="360" w:lineRule="auto"/>
        <w:jc w:val="both"/>
        <w:rPr>
          <w:rFonts w:cs="Arial"/>
          <w:bCs/>
          <w:szCs w:val="22"/>
        </w:rPr>
      </w:pPr>
      <w:r>
        <w:rPr>
          <w:rFonts w:cs="Arial"/>
          <w:bCs/>
          <w:szCs w:val="22"/>
        </w:rPr>
        <w:t>[7]</w:t>
      </w:r>
      <w:r>
        <w:rPr>
          <w:rFonts w:cs="Arial"/>
          <w:bCs/>
          <w:szCs w:val="22"/>
        </w:rPr>
        <w:tab/>
      </w:r>
      <w:r w:rsidR="00172E99" w:rsidRPr="00C3557C">
        <w:rPr>
          <w:rFonts w:cs="Arial"/>
          <w:bCs/>
          <w:szCs w:val="22"/>
        </w:rPr>
        <w:t xml:space="preserve">It is not possible for this court to find that the applicant is indeed a professional nurse or entitled to registration as such by the South African Nursing Council. The parties entitled and to determine her academic status, her qualifications and her compliance with registration requirements are the second and third respondents in the main application, the Vaal University of </w:t>
      </w:r>
      <w:proofErr w:type="gramStart"/>
      <w:r w:rsidR="00172E99" w:rsidRPr="00C3557C">
        <w:rPr>
          <w:rFonts w:cs="Arial"/>
          <w:bCs/>
          <w:szCs w:val="22"/>
        </w:rPr>
        <w:t>Technology</w:t>
      </w:r>
      <w:proofErr w:type="gramEnd"/>
      <w:r w:rsidR="00172E99" w:rsidRPr="00C3557C">
        <w:rPr>
          <w:rFonts w:cs="Arial"/>
          <w:bCs/>
          <w:szCs w:val="22"/>
        </w:rPr>
        <w:t xml:space="preserve"> and the Gauteng Department of Health. These parties have a direct interest in any application to reinstate the applicant to the position of professional nurse and the failure to join them to this application constitutes, in my view, a non-joinder.</w:t>
      </w:r>
    </w:p>
    <w:p w14:paraId="10F2A5D8" w14:textId="633F6ADD" w:rsidR="00DB434D" w:rsidRPr="00C3557C" w:rsidRDefault="00C3557C" w:rsidP="00C3557C">
      <w:pPr>
        <w:keepNext/>
        <w:widowControl w:val="0"/>
        <w:tabs>
          <w:tab w:val="left" w:pos="567"/>
        </w:tabs>
        <w:spacing w:before="240" w:after="240" w:line="360" w:lineRule="auto"/>
        <w:jc w:val="both"/>
        <w:rPr>
          <w:rFonts w:cs="Arial"/>
          <w:bCs/>
          <w:szCs w:val="22"/>
        </w:rPr>
      </w:pPr>
      <w:r>
        <w:rPr>
          <w:rFonts w:cs="Arial"/>
          <w:bCs/>
          <w:szCs w:val="22"/>
        </w:rPr>
        <w:t>[8]</w:t>
      </w:r>
      <w:r>
        <w:rPr>
          <w:rFonts w:cs="Arial"/>
          <w:bCs/>
          <w:szCs w:val="22"/>
        </w:rPr>
        <w:tab/>
      </w:r>
      <w:r w:rsidR="005931FB" w:rsidRPr="00C3557C">
        <w:rPr>
          <w:rFonts w:cs="Arial"/>
          <w:bCs/>
          <w:szCs w:val="22"/>
        </w:rPr>
        <w:t xml:space="preserve">The </w:t>
      </w:r>
      <w:r w:rsidR="003D5560" w:rsidRPr="00C3557C">
        <w:rPr>
          <w:rFonts w:cs="Arial"/>
          <w:bCs/>
          <w:szCs w:val="22"/>
        </w:rPr>
        <w:t xml:space="preserve">present </w:t>
      </w:r>
      <w:r w:rsidR="005931FB" w:rsidRPr="00C3557C">
        <w:rPr>
          <w:rFonts w:cs="Arial"/>
          <w:bCs/>
          <w:szCs w:val="22"/>
        </w:rPr>
        <w:t xml:space="preserve">dispute falls </w:t>
      </w:r>
      <w:r w:rsidR="003D5560" w:rsidRPr="00C3557C">
        <w:rPr>
          <w:rFonts w:cs="Arial"/>
          <w:bCs/>
          <w:szCs w:val="22"/>
        </w:rPr>
        <w:t>f</w:t>
      </w:r>
      <w:r w:rsidR="005931FB" w:rsidRPr="00C3557C">
        <w:rPr>
          <w:rFonts w:cs="Arial"/>
          <w:bCs/>
          <w:szCs w:val="22"/>
        </w:rPr>
        <w:t xml:space="preserve">oursquare within the </w:t>
      </w:r>
      <w:r w:rsidR="00172E99" w:rsidRPr="00C3557C">
        <w:rPr>
          <w:rFonts w:cs="Arial"/>
          <w:bCs/>
          <w:szCs w:val="22"/>
        </w:rPr>
        <w:t>ambit</w:t>
      </w:r>
      <w:r w:rsidR="005931FB" w:rsidRPr="00C3557C">
        <w:rPr>
          <w:rFonts w:cs="Arial"/>
          <w:bCs/>
          <w:szCs w:val="22"/>
        </w:rPr>
        <w:t xml:space="preserve"> of the Labour Relations Act 66 of 1995</w:t>
      </w:r>
      <w:r w:rsidR="00DB434D" w:rsidRPr="00C3557C">
        <w:rPr>
          <w:rFonts w:cs="Arial"/>
          <w:bCs/>
          <w:szCs w:val="22"/>
        </w:rPr>
        <w:t>. Section 157 (1) and (2) of the Labour Relations Act 66 of 1995 reads as follows:</w:t>
      </w:r>
    </w:p>
    <w:p w14:paraId="47D0F994" w14:textId="77777777" w:rsidR="00DB434D" w:rsidRPr="007728F6" w:rsidRDefault="00DB434D" w:rsidP="003D5560">
      <w:pPr>
        <w:spacing w:before="240" w:after="240" w:line="360" w:lineRule="auto"/>
        <w:ind w:left="1440"/>
        <w:jc w:val="both"/>
        <w:rPr>
          <w:b/>
          <w:bCs/>
          <w:i/>
          <w:iCs/>
          <w:lang w:eastAsia="en-ZA"/>
        </w:rPr>
      </w:pPr>
      <w:proofErr w:type="gramStart"/>
      <w:r w:rsidRPr="007728F6">
        <w:rPr>
          <w:b/>
          <w:bCs/>
          <w:i/>
          <w:iCs/>
          <w:lang w:eastAsia="en-ZA"/>
        </w:rPr>
        <w:t>157  Jurisdiction</w:t>
      </w:r>
      <w:proofErr w:type="gramEnd"/>
      <w:r w:rsidRPr="007728F6">
        <w:rPr>
          <w:b/>
          <w:bCs/>
          <w:i/>
          <w:iCs/>
          <w:lang w:eastAsia="en-ZA"/>
        </w:rPr>
        <w:t xml:space="preserve"> of Labour Court</w:t>
      </w:r>
    </w:p>
    <w:p w14:paraId="37037FC1" w14:textId="77777777" w:rsidR="00DB434D" w:rsidRPr="007728F6" w:rsidRDefault="00DB434D" w:rsidP="003D5560">
      <w:pPr>
        <w:spacing w:before="240" w:after="240" w:line="360" w:lineRule="auto"/>
        <w:ind w:left="1440"/>
        <w:jc w:val="both"/>
        <w:rPr>
          <w:i/>
          <w:iCs/>
          <w:lang w:eastAsia="en-ZA"/>
        </w:rPr>
      </w:pPr>
      <w:r w:rsidRPr="007728F6">
        <w:rPr>
          <w:i/>
          <w:iCs/>
          <w:lang w:eastAsia="en-ZA"/>
        </w:rPr>
        <w:t>(1) Subject to the Constitution and section 173, and except where this Act provides otherwise, the Labour Court has exclusive jurisdiction in respect of all matters that elsewhere in terms of this Act or in terms of any other law are to be determined by the Labour Court.</w:t>
      </w:r>
    </w:p>
    <w:p w14:paraId="1C48D28D" w14:textId="77777777" w:rsidR="00DB434D" w:rsidRPr="007728F6" w:rsidRDefault="00DB434D" w:rsidP="003D5560">
      <w:pPr>
        <w:spacing w:before="240" w:after="240" w:line="360" w:lineRule="auto"/>
        <w:ind w:left="1440"/>
        <w:jc w:val="both"/>
        <w:rPr>
          <w:i/>
          <w:iCs/>
          <w:lang w:eastAsia="en-ZA"/>
        </w:rPr>
      </w:pPr>
      <w:r w:rsidRPr="007728F6">
        <w:rPr>
          <w:i/>
          <w:iCs/>
          <w:lang w:eastAsia="en-ZA"/>
        </w:rPr>
        <w:lastRenderedPageBreak/>
        <w:t>(2) The Labour Court has concurrent jurisdiction with the High Court in respect of any alleged or threatened violation of any fundamental right entrenched in Chapter 2 of the Constitution of the Republic of South Africa, 1996, and arising from-</w:t>
      </w:r>
    </w:p>
    <w:p w14:paraId="30C230FB" w14:textId="77777777" w:rsidR="00DB434D" w:rsidRPr="007728F6" w:rsidRDefault="00DB434D" w:rsidP="003D5560">
      <w:pPr>
        <w:spacing w:before="240" w:after="240" w:line="360" w:lineRule="auto"/>
        <w:ind w:left="1440"/>
        <w:jc w:val="both"/>
        <w:rPr>
          <w:i/>
          <w:iCs/>
          <w:lang w:eastAsia="en-ZA"/>
        </w:rPr>
      </w:pPr>
      <w:r w:rsidRPr="007728F6">
        <w:rPr>
          <w:i/>
          <w:iCs/>
          <w:lang w:eastAsia="en-ZA"/>
        </w:rPr>
        <w:t xml:space="preserve">   (a)   employment and from labour </w:t>
      </w:r>
      <w:proofErr w:type="gramStart"/>
      <w:r w:rsidRPr="007728F6">
        <w:rPr>
          <w:i/>
          <w:iCs/>
          <w:lang w:eastAsia="en-ZA"/>
        </w:rPr>
        <w:t>relations;</w:t>
      </w:r>
      <w:proofErr w:type="gramEnd"/>
    </w:p>
    <w:p w14:paraId="24DDEB25" w14:textId="77777777" w:rsidR="00DB434D" w:rsidRPr="007728F6" w:rsidRDefault="00DB434D" w:rsidP="003D5560">
      <w:pPr>
        <w:spacing w:before="240" w:after="240" w:line="360" w:lineRule="auto"/>
        <w:ind w:left="1440"/>
        <w:jc w:val="both"/>
        <w:rPr>
          <w:i/>
          <w:iCs/>
          <w:lang w:eastAsia="en-ZA"/>
        </w:rPr>
      </w:pPr>
      <w:r w:rsidRPr="007728F6">
        <w:rPr>
          <w:i/>
          <w:iCs/>
          <w:lang w:eastAsia="en-ZA"/>
        </w:rPr>
        <w:t>   (b)   any dispute over the constitutionality of any executive or administrative act or conduct, or any threatened executive or administrative act or conduct, by the State in its capacity as an employer; and</w:t>
      </w:r>
    </w:p>
    <w:p w14:paraId="7092BBBC" w14:textId="77777777" w:rsidR="00DB434D" w:rsidRPr="007728F6" w:rsidRDefault="00DB434D" w:rsidP="003D5560">
      <w:pPr>
        <w:spacing w:before="240" w:after="240" w:line="360" w:lineRule="auto"/>
        <w:ind w:left="1440"/>
        <w:jc w:val="both"/>
        <w:rPr>
          <w:i/>
          <w:iCs/>
          <w:lang w:eastAsia="en-ZA"/>
        </w:rPr>
      </w:pPr>
      <w:r w:rsidRPr="007728F6">
        <w:rPr>
          <w:i/>
          <w:iCs/>
          <w:lang w:eastAsia="en-ZA"/>
        </w:rPr>
        <w:t>   (c)   the application of any law for the administration of which the Minister is responsible.</w:t>
      </w:r>
    </w:p>
    <w:p w14:paraId="48391E92" w14:textId="77777777" w:rsidR="00DB434D" w:rsidRPr="007728F6" w:rsidRDefault="00DB434D" w:rsidP="003D5560">
      <w:pPr>
        <w:spacing w:before="240" w:after="240" w:line="360" w:lineRule="auto"/>
        <w:ind w:left="2160"/>
        <w:jc w:val="both"/>
        <w:rPr>
          <w:i/>
          <w:iCs/>
        </w:rPr>
      </w:pPr>
    </w:p>
    <w:p w14:paraId="4593E48D" w14:textId="0F9D2811" w:rsidR="001F7239" w:rsidRPr="00C3557C" w:rsidRDefault="00C3557C" w:rsidP="00C3557C">
      <w:pPr>
        <w:widowControl w:val="0"/>
        <w:tabs>
          <w:tab w:val="left" w:pos="567"/>
        </w:tabs>
        <w:spacing w:before="240" w:after="240" w:line="360" w:lineRule="auto"/>
        <w:jc w:val="both"/>
        <w:rPr>
          <w:rFonts w:cs="Arial"/>
          <w:bCs/>
          <w:szCs w:val="22"/>
        </w:rPr>
      </w:pPr>
      <w:r>
        <w:rPr>
          <w:rFonts w:cs="Arial"/>
          <w:bCs/>
          <w:szCs w:val="22"/>
        </w:rPr>
        <w:t>[9]</w:t>
      </w:r>
      <w:r>
        <w:rPr>
          <w:rFonts w:cs="Arial"/>
          <w:bCs/>
          <w:szCs w:val="22"/>
        </w:rPr>
        <w:tab/>
      </w:r>
      <w:r w:rsidR="00DB434D" w:rsidRPr="00C3557C">
        <w:rPr>
          <w:rFonts w:cs="Arial"/>
          <w:bCs/>
          <w:szCs w:val="22"/>
        </w:rPr>
        <w:t xml:space="preserve">The orders sought by the applicant </w:t>
      </w:r>
      <w:r w:rsidR="003D5560" w:rsidRPr="00C3557C">
        <w:rPr>
          <w:rFonts w:cs="Arial"/>
          <w:bCs/>
          <w:szCs w:val="22"/>
        </w:rPr>
        <w:t>in this urgent application</w:t>
      </w:r>
      <w:r w:rsidR="003D5560">
        <w:rPr>
          <w:rStyle w:val="FootnoteReference"/>
          <w:rFonts w:cs="Arial"/>
          <w:bCs/>
          <w:szCs w:val="22"/>
        </w:rPr>
        <w:footnoteReference w:id="1"/>
      </w:r>
      <w:r w:rsidR="003D5560" w:rsidRPr="00C3557C">
        <w:rPr>
          <w:rFonts w:cs="Arial"/>
          <w:bCs/>
          <w:szCs w:val="22"/>
        </w:rPr>
        <w:t xml:space="preserve"> </w:t>
      </w:r>
      <w:r w:rsidR="00DB434D" w:rsidRPr="00C3557C">
        <w:rPr>
          <w:rFonts w:cs="Arial"/>
          <w:bCs/>
          <w:szCs w:val="22"/>
        </w:rPr>
        <w:t xml:space="preserve">are aimed at reinstating the applicant as an employee in the capacity of a professional </w:t>
      </w:r>
      <w:proofErr w:type="gramStart"/>
      <w:r w:rsidR="00DB434D" w:rsidRPr="00C3557C">
        <w:rPr>
          <w:rFonts w:cs="Arial"/>
          <w:bCs/>
          <w:szCs w:val="22"/>
        </w:rPr>
        <w:t>nurse..</w:t>
      </w:r>
      <w:proofErr w:type="gramEnd"/>
      <w:r w:rsidR="00DB434D" w:rsidRPr="00C3557C">
        <w:rPr>
          <w:rFonts w:cs="Arial"/>
          <w:bCs/>
          <w:szCs w:val="22"/>
        </w:rPr>
        <w:t xml:space="preserve"> The Labour Relations Act contains extensive provisions that govern legal aspects of the employer/employee relationship, such as a guarantee of freedom of association,</w:t>
      </w:r>
      <w:r w:rsidR="00DB434D">
        <w:rPr>
          <w:rStyle w:val="FootnoteReference"/>
          <w:rFonts w:cs="Arial"/>
          <w:bCs/>
          <w:szCs w:val="22"/>
        </w:rPr>
        <w:footnoteReference w:id="2"/>
      </w:r>
      <w:r w:rsidR="00DB434D" w:rsidRPr="00C3557C">
        <w:rPr>
          <w:rFonts w:cs="Arial"/>
          <w:bCs/>
          <w:szCs w:val="22"/>
        </w:rPr>
        <w:t xml:space="preserve"> collective bargaining,</w:t>
      </w:r>
      <w:r w:rsidR="00DB434D">
        <w:rPr>
          <w:rStyle w:val="FootnoteReference"/>
          <w:rFonts w:cs="Arial"/>
          <w:bCs/>
          <w:szCs w:val="22"/>
        </w:rPr>
        <w:footnoteReference w:id="3"/>
      </w:r>
      <w:r w:rsidR="00DB434D" w:rsidRPr="00C3557C">
        <w:rPr>
          <w:rFonts w:cs="Arial"/>
          <w:bCs/>
          <w:szCs w:val="22"/>
        </w:rPr>
        <w:t xml:space="preserve"> and, most importantly in the present matter, dispute resolution.</w:t>
      </w:r>
      <w:r w:rsidR="00DB434D">
        <w:rPr>
          <w:rStyle w:val="FootnoteReference"/>
          <w:rFonts w:cs="Arial"/>
          <w:bCs/>
          <w:szCs w:val="22"/>
        </w:rPr>
        <w:footnoteReference w:id="4"/>
      </w:r>
    </w:p>
    <w:p w14:paraId="6E9F2B1A" w14:textId="258E27B9" w:rsidR="00DB434D" w:rsidRPr="001F7239" w:rsidRDefault="00DB434D" w:rsidP="001F7239">
      <w:pPr>
        <w:widowControl w:val="0"/>
        <w:spacing w:before="240" w:after="240" w:line="360" w:lineRule="auto"/>
        <w:jc w:val="both"/>
        <w:rPr>
          <w:rFonts w:cs="Arial"/>
          <w:bCs/>
          <w:szCs w:val="22"/>
        </w:rPr>
      </w:pPr>
      <w:r w:rsidRPr="001F7239">
        <w:rPr>
          <w:rFonts w:cs="Arial"/>
          <w:bCs/>
          <w:szCs w:val="22"/>
        </w:rPr>
        <w:t>The Act provides for the establishment of the Commission for Conciliation, Mediation and Arbitration (CCMA)</w:t>
      </w:r>
      <w:r>
        <w:rPr>
          <w:rStyle w:val="FootnoteReference"/>
          <w:rFonts w:cs="Arial"/>
          <w:bCs/>
          <w:szCs w:val="22"/>
        </w:rPr>
        <w:footnoteReference w:id="5"/>
      </w:r>
      <w:r w:rsidRPr="001F7239">
        <w:rPr>
          <w:rFonts w:cs="Arial"/>
          <w:bCs/>
          <w:szCs w:val="22"/>
        </w:rPr>
        <w:t xml:space="preserve"> and the Labour Court.</w:t>
      </w:r>
      <w:r>
        <w:rPr>
          <w:rStyle w:val="FootnoteReference"/>
          <w:rFonts w:cs="Arial"/>
          <w:bCs/>
          <w:szCs w:val="22"/>
        </w:rPr>
        <w:footnoteReference w:id="6"/>
      </w:r>
      <w:r w:rsidRPr="001F7239">
        <w:rPr>
          <w:rFonts w:cs="Arial"/>
          <w:bCs/>
          <w:szCs w:val="22"/>
        </w:rPr>
        <w:t xml:space="preserve"> </w:t>
      </w:r>
      <w:r w:rsidR="00470EBD" w:rsidRPr="001F7239">
        <w:rPr>
          <w:rFonts w:cs="Arial"/>
          <w:bCs/>
          <w:szCs w:val="22"/>
        </w:rPr>
        <w:t xml:space="preserve">The </w:t>
      </w:r>
      <w:r w:rsidRPr="001F7239">
        <w:rPr>
          <w:rFonts w:cs="Arial"/>
          <w:bCs/>
          <w:szCs w:val="22"/>
        </w:rPr>
        <w:t xml:space="preserve">applicant has the machinery created by the </w:t>
      </w:r>
      <w:r w:rsidR="00470EBD">
        <w:rPr>
          <w:rFonts w:cs="Arial"/>
          <w:bCs/>
          <w:szCs w:val="22"/>
        </w:rPr>
        <w:t xml:space="preserve">Labourt Relations </w:t>
      </w:r>
      <w:r w:rsidRPr="001F7239">
        <w:rPr>
          <w:rFonts w:cs="Arial"/>
          <w:bCs/>
          <w:szCs w:val="22"/>
        </w:rPr>
        <w:t>Act at her disposal to deal with</w:t>
      </w:r>
      <w:r w:rsidR="00470EBD">
        <w:rPr>
          <w:rFonts w:cs="Arial"/>
          <w:bCs/>
          <w:szCs w:val="22"/>
        </w:rPr>
        <w:t xml:space="preserve"> unfair dismissal</w:t>
      </w:r>
      <w:r w:rsidRPr="001F7239">
        <w:rPr>
          <w:rFonts w:cs="Arial"/>
          <w:bCs/>
          <w:szCs w:val="22"/>
        </w:rPr>
        <w:t xml:space="preserve"> disputes before the CCMA. This is not the matter for the High Court to pronounce upon as the CCMA was created specifically to deal with labour -</w:t>
      </w:r>
      <w:r w:rsidR="00470EBD">
        <w:rPr>
          <w:rFonts w:cs="Arial"/>
          <w:bCs/>
          <w:szCs w:val="22"/>
        </w:rPr>
        <w:t xml:space="preserve"> </w:t>
      </w:r>
      <w:r w:rsidRPr="001F7239">
        <w:rPr>
          <w:rFonts w:cs="Arial"/>
          <w:bCs/>
          <w:szCs w:val="22"/>
        </w:rPr>
        <w:t>related disputes</w:t>
      </w:r>
      <w:r w:rsidR="001F7239">
        <w:rPr>
          <w:rFonts w:cs="Arial"/>
          <w:bCs/>
          <w:szCs w:val="22"/>
        </w:rPr>
        <w:t xml:space="preserve"> and the Labour Court has jurisdiction in terms of section 157 (1) of the Labour Relations Act.</w:t>
      </w:r>
    </w:p>
    <w:p w14:paraId="1F396095" w14:textId="17821A4C" w:rsidR="00E66E07" w:rsidRPr="00C3557C" w:rsidRDefault="00C3557C" w:rsidP="00C3557C">
      <w:pPr>
        <w:widowControl w:val="0"/>
        <w:tabs>
          <w:tab w:val="left" w:pos="567"/>
        </w:tabs>
        <w:spacing w:before="240" w:after="240" w:line="360" w:lineRule="auto"/>
        <w:jc w:val="both"/>
        <w:rPr>
          <w:rFonts w:cs="Arial"/>
          <w:bCs/>
          <w:szCs w:val="22"/>
        </w:rPr>
      </w:pPr>
      <w:r w:rsidRPr="00400755">
        <w:rPr>
          <w:rFonts w:cs="Arial"/>
          <w:bCs/>
          <w:szCs w:val="22"/>
        </w:rPr>
        <w:t>[10]</w:t>
      </w:r>
      <w:r w:rsidRPr="00400755">
        <w:rPr>
          <w:rFonts w:cs="Arial"/>
          <w:bCs/>
          <w:szCs w:val="22"/>
        </w:rPr>
        <w:tab/>
      </w:r>
      <w:r w:rsidR="00400755" w:rsidRPr="00C3557C">
        <w:rPr>
          <w:rFonts w:cs="Arial"/>
          <w:bCs/>
          <w:szCs w:val="22"/>
        </w:rPr>
        <w:t>I</w:t>
      </w:r>
      <w:r w:rsidR="001F7239" w:rsidRPr="00C3557C">
        <w:rPr>
          <w:rFonts w:cs="Arial"/>
          <w:bCs/>
          <w:szCs w:val="22"/>
        </w:rPr>
        <w:t xml:space="preserve"> find, on the assumption in favour of the applicant that this Court does enjoy jurisdiction,</w:t>
      </w:r>
      <w:r w:rsidR="00400755" w:rsidRPr="00C3557C">
        <w:rPr>
          <w:rFonts w:cs="Arial"/>
          <w:bCs/>
          <w:szCs w:val="22"/>
        </w:rPr>
        <w:t xml:space="preserve"> that the application is not urgent</w:t>
      </w:r>
      <w:r w:rsidR="00172E99" w:rsidRPr="00C3557C">
        <w:rPr>
          <w:rFonts w:cs="Arial"/>
          <w:bCs/>
          <w:szCs w:val="22"/>
        </w:rPr>
        <w:t>,</w:t>
      </w:r>
      <w:r w:rsidR="00400755" w:rsidRPr="00C3557C">
        <w:rPr>
          <w:rFonts w:cs="Arial"/>
          <w:bCs/>
          <w:szCs w:val="22"/>
        </w:rPr>
        <w:t xml:space="preserve"> that even on the applicant’s papers no case is made out for any extension of the order of 17 August </w:t>
      </w:r>
      <w:proofErr w:type="gramStart"/>
      <w:r w:rsidR="00400755" w:rsidRPr="00C3557C">
        <w:rPr>
          <w:rFonts w:cs="Arial"/>
          <w:bCs/>
          <w:szCs w:val="22"/>
        </w:rPr>
        <w:t>2023</w:t>
      </w:r>
      <w:r w:rsidR="00172E99" w:rsidRPr="00C3557C">
        <w:rPr>
          <w:rFonts w:cs="Arial"/>
          <w:bCs/>
          <w:szCs w:val="22"/>
        </w:rPr>
        <w:t>,  and</w:t>
      </w:r>
      <w:proofErr w:type="gramEnd"/>
      <w:r w:rsidR="00172E99" w:rsidRPr="00C3557C">
        <w:rPr>
          <w:rFonts w:cs="Arial"/>
          <w:bCs/>
          <w:szCs w:val="22"/>
        </w:rPr>
        <w:t xml:space="preserve"> that  the applicant is not  entitled to  reinstatement as a professional nurse.</w:t>
      </w:r>
    </w:p>
    <w:p w14:paraId="5AA88EA9" w14:textId="5A005490" w:rsidR="004D692E" w:rsidRPr="00C3557C" w:rsidRDefault="00C3557C" w:rsidP="00C3557C">
      <w:pPr>
        <w:keepNext/>
        <w:widowControl w:val="0"/>
        <w:tabs>
          <w:tab w:val="left" w:pos="567"/>
        </w:tabs>
        <w:spacing w:before="240" w:after="240" w:line="360" w:lineRule="auto"/>
        <w:jc w:val="both"/>
        <w:rPr>
          <w:rFonts w:cs="Arial"/>
          <w:bCs/>
          <w:szCs w:val="22"/>
        </w:rPr>
      </w:pPr>
      <w:r w:rsidRPr="00F43389">
        <w:rPr>
          <w:rFonts w:cs="Arial"/>
          <w:bCs/>
          <w:szCs w:val="22"/>
        </w:rPr>
        <w:lastRenderedPageBreak/>
        <w:t>[11]</w:t>
      </w:r>
      <w:r w:rsidRPr="00F43389">
        <w:rPr>
          <w:rFonts w:cs="Arial"/>
          <w:bCs/>
          <w:szCs w:val="22"/>
        </w:rPr>
        <w:tab/>
      </w:r>
      <w:r w:rsidR="00F43389" w:rsidRPr="00C3557C">
        <w:rPr>
          <w:rFonts w:cs="Arial"/>
          <w:bCs/>
          <w:szCs w:val="22"/>
        </w:rPr>
        <w:t>For t</w:t>
      </w:r>
      <w:r w:rsidR="00B15D12" w:rsidRPr="00C3557C">
        <w:rPr>
          <w:rFonts w:cs="Arial"/>
          <w:bCs/>
          <w:szCs w:val="22"/>
        </w:rPr>
        <w:t xml:space="preserve">he reasons as set out above I make the </w:t>
      </w:r>
      <w:r w:rsidR="00366937" w:rsidRPr="00C3557C">
        <w:rPr>
          <w:rFonts w:cs="Arial"/>
          <w:bCs/>
          <w:szCs w:val="22"/>
        </w:rPr>
        <w:t>o</w:t>
      </w:r>
      <w:r w:rsidR="00B15D12" w:rsidRPr="00C3557C">
        <w:rPr>
          <w:rFonts w:cs="Arial"/>
          <w:bCs/>
          <w:szCs w:val="22"/>
        </w:rPr>
        <w:t>rder in paragraph 1.</w:t>
      </w:r>
    </w:p>
    <w:p w14:paraId="5B7FD0E4" w14:textId="77777777" w:rsidR="00B15D12" w:rsidRPr="007811C6" w:rsidRDefault="00B15D12" w:rsidP="003A1D18">
      <w:pPr>
        <w:widowControl w:val="0"/>
        <w:tabs>
          <w:tab w:val="right" w:pos="0"/>
        </w:tabs>
        <w:spacing w:line="360" w:lineRule="auto"/>
        <w:contextualSpacing/>
        <w:jc w:val="right"/>
        <w:rPr>
          <w:rFonts w:cs="Arial"/>
          <w:b/>
          <w:szCs w:val="22"/>
        </w:rPr>
      </w:pPr>
    </w:p>
    <w:p w14:paraId="58DFDFC0" w14:textId="77777777" w:rsidR="00B15D12" w:rsidRDefault="00B15D12" w:rsidP="003A1D18">
      <w:pPr>
        <w:widowControl w:val="0"/>
        <w:tabs>
          <w:tab w:val="right" w:pos="0"/>
        </w:tabs>
        <w:spacing w:line="360" w:lineRule="auto"/>
        <w:contextualSpacing/>
        <w:jc w:val="right"/>
        <w:rPr>
          <w:rFonts w:cs="Arial"/>
          <w:b/>
          <w:szCs w:val="22"/>
        </w:rPr>
      </w:pPr>
    </w:p>
    <w:p w14:paraId="226D565D" w14:textId="77777777" w:rsidR="00E526BE" w:rsidRDefault="00E526BE" w:rsidP="003A1D18">
      <w:pPr>
        <w:widowControl w:val="0"/>
        <w:tabs>
          <w:tab w:val="right" w:pos="0"/>
        </w:tabs>
        <w:spacing w:line="360" w:lineRule="auto"/>
        <w:contextualSpacing/>
        <w:jc w:val="right"/>
        <w:rPr>
          <w:rFonts w:cs="Arial"/>
          <w:b/>
          <w:szCs w:val="22"/>
        </w:rPr>
      </w:pPr>
    </w:p>
    <w:p w14:paraId="558593E5" w14:textId="77777777" w:rsidR="00E526BE" w:rsidRPr="007811C6" w:rsidRDefault="00E526BE" w:rsidP="003A1D18">
      <w:pPr>
        <w:widowControl w:val="0"/>
        <w:tabs>
          <w:tab w:val="right" w:pos="0"/>
        </w:tabs>
        <w:spacing w:line="360" w:lineRule="auto"/>
        <w:contextualSpacing/>
        <w:jc w:val="right"/>
        <w:rPr>
          <w:rFonts w:cs="Arial"/>
          <w:b/>
          <w:szCs w:val="22"/>
        </w:rPr>
      </w:pPr>
    </w:p>
    <w:p w14:paraId="53CD27EE" w14:textId="517D8EE6" w:rsidR="00AE287F" w:rsidRPr="007811C6" w:rsidRDefault="00A649E6" w:rsidP="003A1D18">
      <w:pPr>
        <w:widowControl w:val="0"/>
        <w:tabs>
          <w:tab w:val="right" w:pos="0"/>
        </w:tabs>
        <w:spacing w:line="360" w:lineRule="auto"/>
        <w:contextualSpacing/>
        <w:jc w:val="right"/>
        <w:rPr>
          <w:rFonts w:cs="Arial"/>
          <w:b/>
          <w:szCs w:val="22"/>
        </w:rPr>
      </w:pPr>
      <w:r w:rsidRPr="007811C6">
        <w:rPr>
          <w:rFonts w:cs="Arial"/>
          <w:b/>
          <w:szCs w:val="22"/>
        </w:rPr>
        <w:t>______________</w:t>
      </w:r>
    </w:p>
    <w:p w14:paraId="0CCB9BFE" w14:textId="532F2776" w:rsidR="006C43D7" w:rsidRPr="007811C6" w:rsidRDefault="00E22FB3" w:rsidP="003A1D18">
      <w:pPr>
        <w:widowControl w:val="0"/>
        <w:tabs>
          <w:tab w:val="right" w:pos="0"/>
        </w:tabs>
        <w:spacing w:line="360" w:lineRule="auto"/>
        <w:contextualSpacing/>
        <w:jc w:val="right"/>
        <w:rPr>
          <w:rFonts w:cs="Arial"/>
          <w:b/>
          <w:szCs w:val="22"/>
        </w:rPr>
      </w:pPr>
      <w:r>
        <w:rPr>
          <w:rFonts w:cs="Arial"/>
          <w:b/>
          <w:szCs w:val="22"/>
        </w:rPr>
        <w:t>MOORCROFT AJ</w:t>
      </w:r>
    </w:p>
    <w:p w14:paraId="7A2C1059" w14:textId="77777777" w:rsidR="006C43D7" w:rsidRPr="007811C6" w:rsidRDefault="006C43D7" w:rsidP="003A1D18">
      <w:pPr>
        <w:widowControl w:val="0"/>
        <w:tabs>
          <w:tab w:val="right" w:pos="0"/>
        </w:tabs>
        <w:spacing w:line="360" w:lineRule="auto"/>
        <w:contextualSpacing/>
        <w:jc w:val="right"/>
        <w:rPr>
          <w:rFonts w:cs="Arial"/>
          <w:b/>
          <w:szCs w:val="22"/>
        </w:rPr>
      </w:pPr>
      <w:r w:rsidRPr="007811C6">
        <w:rPr>
          <w:rFonts w:cs="Arial"/>
          <w:b/>
          <w:szCs w:val="22"/>
        </w:rPr>
        <w:t>ACTING JUDGE OF THE HIGH COURT OF SOUTH AFRICA</w:t>
      </w:r>
    </w:p>
    <w:p w14:paraId="077C2590" w14:textId="7452355B" w:rsidR="006C43D7" w:rsidRPr="007811C6" w:rsidRDefault="006C43D7" w:rsidP="003A1D18">
      <w:pPr>
        <w:widowControl w:val="0"/>
        <w:tabs>
          <w:tab w:val="right" w:pos="0"/>
          <w:tab w:val="left" w:pos="4253"/>
        </w:tabs>
        <w:spacing w:line="360" w:lineRule="auto"/>
        <w:contextualSpacing/>
        <w:jc w:val="right"/>
        <w:rPr>
          <w:rFonts w:cs="Arial"/>
          <w:b/>
          <w:szCs w:val="22"/>
        </w:rPr>
      </w:pPr>
      <w:r w:rsidRPr="007811C6">
        <w:rPr>
          <w:rFonts w:cs="Arial"/>
          <w:b/>
          <w:szCs w:val="22"/>
        </w:rPr>
        <w:t>GAUTENG DIVISION</w:t>
      </w:r>
    </w:p>
    <w:p w14:paraId="40B9C946" w14:textId="77777777" w:rsidR="006C43D7" w:rsidRPr="007811C6" w:rsidRDefault="006C43D7" w:rsidP="0005282E">
      <w:pPr>
        <w:widowControl w:val="0"/>
        <w:tabs>
          <w:tab w:val="right" w:pos="0"/>
          <w:tab w:val="left" w:pos="4253"/>
        </w:tabs>
        <w:spacing w:line="360" w:lineRule="auto"/>
        <w:contextualSpacing/>
        <w:jc w:val="right"/>
        <w:rPr>
          <w:rFonts w:cs="Arial"/>
          <w:b/>
          <w:szCs w:val="22"/>
        </w:rPr>
      </w:pPr>
      <w:r w:rsidRPr="007811C6">
        <w:rPr>
          <w:rFonts w:cs="Arial"/>
          <w:b/>
          <w:szCs w:val="22"/>
        </w:rPr>
        <w:t>JOHANNESBURG</w:t>
      </w:r>
    </w:p>
    <w:p w14:paraId="326B529B" w14:textId="77777777" w:rsidR="006C43D7" w:rsidRPr="007811C6"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7811C6" w:rsidRDefault="006C43D7" w:rsidP="003A1D18">
      <w:pPr>
        <w:widowControl w:val="0"/>
        <w:spacing w:after="200" w:line="480" w:lineRule="auto"/>
        <w:contextualSpacing/>
        <w:jc w:val="right"/>
        <w:rPr>
          <w:rFonts w:cs="Arial"/>
          <w:b/>
          <w:i/>
          <w:iCs/>
          <w:szCs w:val="22"/>
        </w:rPr>
      </w:pPr>
      <w:r w:rsidRPr="007811C6">
        <w:rPr>
          <w:rFonts w:cs="Arial"/>
          <w:b/>
          <w:i/>
          <w:iCs/>
          <w:szCs w:val="22"/>
        </w:rPr>
        <w:t xml:space="preserve">Electronically </w:t>
      </w:r>
      <w:proofErr w:type="gramStart"/>
      <w:r w:rsidRPr="007811C6">
        <w:rPr>
          <w:rFonts w:cs="Arial"/>
          <w:b/>
          <w:i/>
          <w:iCs/>
          <w:szCs w:val="22"/>
        </w:rPr>
        <w:t>submitted</w:t>
      </w:r>
      <w:proofErr w:type="gramEnd"/>
    </w:p>
    <w:p w14:paraId="26A3FE4D" w14:textId="77777777" w:rsidR="00E526BE" w:rsidRDefault="00E526BE" w:rsidP="00A84915">
      <w:pPr>
        <w:widowControl w:val="0"/>
        <w:spacing w:after="200" w:line="360" w:lineRule="auto"/>
        <w:contextualSpacing/>
        <w:jc w:val="both"/>
        <w:rPr>
          <w:rFonts w:eastAsia="Arial Unicode MS" w:cs="Arial"/>
          <w:bCs/>
          <w:szCs w:val="22"/>
        </w:rPr>
      </w:pPr>
    </w:p>
    <w:p w14:paraId="7BF70E42" w14:textId="31D79BAB" w:rsidR="006C43D7" w:rsidRPr="007811C6" w:rsidRDefault="006C43D7" w:rsidP="00A84915">
      <w:pPr>
        <w:widowControl w:val="0"/>
        <w:spacing w:after="200" w:line="360" w:lineRule="auto"/>
        <w:contextualSpacing/>
        <w:jc w:val="both"/>
        <w:rPr>
          <w:rFonts w:eastAsia="Arial Unicode MS" w:cs="Arial"/>
          <w:b/>
          <w:szCs w:val="22"/>
        </w:rPr>
      </w:pPr>
      <w:r w:rsidRPr="007811C6">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7811C6">
        <w:rPr>
          <w:rFonts w:eastAsia="Arial Unicode MS" w:cs="Arial"/>
          <w:bCs/>
          <w:szCs w:val="22"/>
        </w:rPr>
        <w:t>CaseLines</w:t>
      </w:r>
      <w:proofErr w:type="spellEnd"/>
      <w:r w:rsidRPr="007811C6">
        <w:rPr>
          <w:rFonts w:eastAsia="Arial Unicode MS" w:cs="Arial"/>
          <w:bCs/>
          <w:szCs w:val="22"/>
        </w:rPr>
        <w:t>. The date of the judgment is deemed to be</w:t>
      </w:r>
      <w:r w:rsidR="00C460A0" w:rsidRPr="007811C6">
        <w:rPr>
          <w:rFonts w:eastAsia="Arial Unicode MS" w:cs="Arial"/>
          <w:b/>
          <w:szCs w:val="22"/>
        </w:rPr>
        <w:t xml:space="preserve"> </w:t>
      </w:r>
      <w:r w:rsidR="00E526BE">
        <w:rPr>
          <w:rFonts w:eastAsia="Arial Unicode MS" w:cs="Arial"/>
          <w:b/>
          <w:szCs w:val="22"/>
        </w:rPr>
        <w:t>27</w:t>
      </w:r>
      <w:r w:rsidR="00044778">
        <w:rPr>
          <w:rFonts w:eastAsia="Arial Unicode MS" w:cs="Arial"/>
          <w:b/>
          <w:szCs w:val="22"/>
        </w:rPr>
        <w:t xml:space="preserve"> March 2024</w:t>
      </w:r>
    </w:p>
    <w:p w14:paraId="74CD3952" w14:textId="77777777" w:rsidR="00A84915" w:rsidRPr="007811C6"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7811C6" w14:paraId="493AF0D7" w14:textId="77777777" w:rsidTr="00615F6B">
        <w:tc>
          <w:tcPr>
            <w:tcW w:w="4678" w:type="dxa"/>
          </w:tcPr>
          <w:p w14:paraId="6A05541A" w14:textId="5013C208"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404A52" w:rsidRPr="007811C6">
              <w:rPr>
                <w:rFonts w:cs="Arial"/>
                <w:szCs w:val="22"/>
              </w:rPr>
              <w:t>THE</w:t>
            </w:r>
            <w:r w:rsidR="000976D2" w:rsidRPr="007811C6">
              <w:rPr>
                <w:rFonts w:cs="Arial"/>
                <w:szCs w:val="22"/>
              </w:rPr>
              <w:t xml:space="preserve"> </w:t>
            </w:r>
            <w:r w:rsidR="008707F5">
              <w:rPr>
                <w:rFonts w:cs="Arial"/>
                <w:szCs w:val="22"/>
              </w:rPr>
              <w:t>APPLICANT</w:t>
            </w:r>
            <w:r w:rsidRPr="007811C6">
              <w:rPr>
                <w:rFonts w:cs="Arial"/>
                <w:szCs w:val="22"/>
              </w:rPr>
              <w:t>:</w:t>
            </w:r>
          </w:p>
        </w:tc>
        <w:tc>
          <w:tcPr>
            <w:tcW w:w="3935" w:type="dxa"/>
          </w:tcPr>
          <w:p w14:paraId="69785AA9" w14:textId="17C3EF56" w:rsidR="00DD2710" w:rsidRPr="007811C6" w:rsidRDefault="00E66E07" w:rsidP="00E66E07">
            <w:pPr>
              <w:tabs>
                <w:tab w:val="right" w:pos="0"/>
                <w:tab w:val="left" w:pos="567"/>
                <w:tab w:val="right" w:pos="2727"/>
                <w:tab w:val="left" w:pos="4253"/>
              </w:tabs>
              <w:spacing w:before="120" w:after="120"/>
              <w:jc w:val="right"/>
              <w:rPr>
                <w:rFonts w:cs="Arial"/>
                <w:szCs w:val="22"/>
              </w:rPr>
            </w:pPr>
            <w:r>
              <w:rPr>
                <w:rFonts w:cs="Arial"/>
                <w:szCs w:val="22"/>
              </w:rPr>
              <w:t>N A MOHOMANE</w:t>
            </w:r>
          </w:p>
        </w:tc>
      </w:tr>
      <w:tr w:rsidR="009D35B5" w:rsidRPr="007811C6" w14:paraId="183C176D" w14:textId="77777777" w:rsidTr="00615F6B">
        <w:tc>
          <w:tcPr>
            <w:tcW w:w="4678" w:type="dxa"/>
          </w:tcPr>
          <w:p w14:paraId="75365413" w14:textId="77EFB09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r w:rsidR="008707F5">
              <w:rPr>
                <w:rFonts w:cs="Arial"/>
                <w:szCs w:val="22"/>
              </w:rPr>
              <w:t>:</w:t>
            </w:r>
          </w:p>
        </w:tc>
        <w:tc>
          <w:tcPr>
            <w:tcW w:w="3935" w:type="dxa"/>
          </w:tcPr>
          <w:p w14:paraId="4044534A" w14:textId="798454BF" w:rsidR="00E10D04" w:rsidRPr="007811C6" w:rsidRDefault="00E66E07" w:rsidP="00A25AB4">
            <w:pPr>
              <w:tabs>
                <w:tab w:val="right" w:pos="0"/>
                <w:tab w:val="left" w:pos="4253"/>
              </w:tabs>
              <w:spacing w:before="120" w:after="120"/>
              <w:jc w:val="right"/>
              <w:rPr>
                <w:rFonts w:cs="Arial"/>
                <w:szCs w:val="22"/>
              </w:rPr>
            </w:pPr>
            <w:r>
              <w:rPr>
                <w:rFonts w:cs="Arial"/>
                <w:szCs w:val="22"/>
              </w:rPr>
              <w:t>DIBUSENG LEHOKO HLONI LEHOKO ATTORNEYS</w:t>
            </w:r>
          </w:p>
        </w:tc>
      </w:tr>
      <w:tr w:rsidR="009D35B5" w:rsidRPr="007811C6" w14:paraId="6E2BF966" w14:textId="77777777" w:rsidTr="00615F6B">
        <w:tc>
          <w:tcPr>
            <w:tcW w:w="4678" w:type="dxa"/>
          </w:tcPr>
          <w:p w14:paraId="545B6665" w14:textId="2742F3FB"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61036C" w:rsidRPr="007811C6">
              <w:rPr>
                <w:rFonts w:cs="Arial"/>
                <w:szCs w:val="22"/>
              </w:rPr>
              <w:t xml:space="preserve">THE </w:t>
            </w:r>
            <w:r w:rsidR="00027D19" w:rsidRPr="007811C6">
              <w:rPr>
                <w:rFonts w:cs="Arial"/>
                <w:szCs w:val="22"/>
              </w:rPr>
              <w:t>RESPONDENT</w:t>
            </w:r>
            <w:r w:rsidRPr="007811C6">
              <w:rPr>
                <w:rFonts w:cs="Arial"/>
                <w:szCs w:val="22"/>
              </w:rPr>
              <w:t>:</w:t>
            </w:r>
          </w:p>
        </w:tc>
        <w:tc>
          <w:tcPr>
            <w:tcW w:w="3935" w:type="dxa"/>
          </w:tcPr>
          <w:p w14:paraId="51741A90" w14:textId="0A6CAA18" w:rsidR="00E35391" w:rsidRPr="007811C6" w:rsidRDefault="00E66E07" w:rsidP="00D65571">
            <w:pPr>
              <w:tabs>
                <w:tab w:val="right" w:pos="0"/>
                <w:tab w:val="left" w:pos="4253"/>
              </w:tabs>
              <w:spacing w:before="120" w:after="120"/>
              <w:jc w:val="right"/>
              <w:rPr>
                <w:rFonts w:cs="Arial"/>
                <w:szCs w:val="22"/>
              </w:rPr>
            </w:pPr>
            <w:r>
              <w:rPr>
                <w:rFonts w:cs="Arial"/>
                <w:szCs w:val="22"/>
              </w:rPr>
              <w:t>T MLAMBO</w:t>
            </w:r>
          </w:p>
        </w:tc>
      </w:tr>
      <w:tr w:rsidR="009D35B5" w:rsidRPr="007811C6" w14:paraId="1EC4105A" w14:textId="77777777" w:rsidTr="00615F6B">
        <w:tc>
          <w:tcPr>
            <w:tcW w:w="4678" w:type="dxa"/>
          </w:tcPr>
          <w:p w14:paraId="184EC2ED" w14:textId="1E42F28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p>
        </w:tc>
        <w:tc>
          <w:tcPr>
            <w:tcW w:w="3935" w:type="dxa"/>
          </w:tcPr>
          <w:p w14:paraId="2098BE2A" w14:textId="1E2AA063" w:rsidR="009D35B5" w:rsidRPr="007811C6" w:rsidRDefault="00E66E07" w:rsidP="00A25AB4">
            <w:pPr>
              <w:tabs>
                <w:tab w:val="right" w:pos="0"/>
                <w:tab w:val="left" w:pos="4253"/>
              </w:tabs>
              <w:spacing w:before="120" w:after="120"/>
              <w:jc w:val="right"/>
              <w:rPr>
                <w:rFonts w:cs="Arial"/>
                <w:szCs w:val="22"/>
              </w:rPr>
            </w:pPr>
            <w:r>
              <w:rPr>
                <w:rFonts w:cs="Arial"/>
                <w:szCs w:val="22"/>
              </w:rPr>
              <w:t>MBA</w:t>
            </w:r>
            <w:r w:rsidR="00DD2710">
              <w:rPr>
                <w:rFonts w:cs="Arial"/>
                <w:szCs w:val="22"/>
              </w:rPr>
              <w:t xml:space="preserve"> INC</w:t>
            </w:r>
          </w:p>
        </w:tc>
      </w:tr>
      <w:tr w:rsidR="009D35B5" w:rsidRPr="007811C6" w14:paraId="2A3FE2B1" w14:textId="77777777" w:rsidTr="00615F6B">
        <w:tc>
          <w:tcPr>
            <w:tcW w:w="4678" w:type="dxa"/>
          </w:tcPr>
          <w:p w14:paraId="0767D0FE" w14:textId="61925A22"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DATE </w:t>
            </w:r>
            <w:r w:rsidR="00E57446" w:rsidRPr="007811C6">
              <w:rPr>
                <w:rFonts w:cs="Arial"/>
                <w:szCs w:val="22"/>
              </w:rPr>
              <w:t>OF ARGUMENT</w:t>
            </w:r>
            <w:r w:rsidRPr="007811C6">
              <w:rPr>
                <w:rFonts w:cs="Arial"/>
                <w:szCs w:val="22"/>
              </w:rPr>
              <w:t>:</w:t>
            </w:r>
          </w:p>
        </w:tc>
        <w:tc>
          <w:tcPr>
            <w:tcW w:w="3935" w:type="dxa"/>
          </w:tcPr>
          <w:p w14:paraId="34C95147" w14:textId="56642780" w:rsidR="009D35B5" w:rsidRPr="007811C6" w:rsidRDefault="00044778" w:rsidP="00A25AB4">
            <w:pPr>
              <w:tabs>
                <w:tab w:val="right" w:pos="0"/>
                <w:tab w:val="left" w:pos="4253"/>
              </w:tabs>
              <w:spacing w:before="120" w:after="120"/>
              <w:jc w:val="right"/>
              <w:rPr>
                <w:rFonts w:cs="Arial"/>
                <w:szCs w:val="22"/>
              </w:rPr>
            </w:pPr>
            <w:r>
              <w:rPr>
                <w:rFonts w:cs="Arial"/>
                <w:szCs w:val="22"/>
              </w:rPr>
              <w:t>2</w:t>
            </w:r>
            <w:r w:rsidR="00E66E07">
              <w:rPr>
                <w:rFonts w:cs="Arial"/>
                <w:szCs w:val="22"/>
              </w:rPr>
              <w:t>6</w:t>
            </w:r>
            <w:r>
              <w:rPr>
                <w:rFonts w:cs="Arial"/>
                <w:szCs w:val="22"/>
              </w:rPr>
              <w:t xml:space="preserve"> MARCH 2024</w:t>
            </w:r>
          </w:p>
        </w:tc>
      </w:tr>
      <w:tr w:rsidR="00A25AB4" w:rsidRPr="007811C6" w14:paraId="5ECDFF3A" w14:textId="77777777" w:rsidTr="00615F6B">
        <w:tc>
          <w:tcPr>
            <w:tcW w:w="4678" w:type="dxa"/>
          </w:tcPr>
          <w:p w14:paraId="1DF2AE9E" w14:textId="1FC539A4" w:rsidR="00A25AB4" w:rsidRPr="007811C6" w:rsidRDefault="00A25AB4" w:rsidP="00A25AB4">
            <w:pPr>
              <w:tabs>
                <w:tab w:val="right" w:pos="0"/>
                <w:tab w:val="left" w:pos="4253"/>
              </w:tabs>
              <w:spacing w:before="120" w:after="120"/>
              <w:rPr>
                <w:rFonts w:cs="Arial"/>
                <w:szCs w:val="22"/>
              </w:rPr>
            </w:pPr>
            <w:r w:rsidRPr="007811C6">
              <w:rPr>
                <w:rFonts w:cs="Arial"/>
                <w:szCs w:val="22"/>
              </w:rPr>
              <w:t>DATE OF JUDGMENT:</w:t>
            </w:r>
          </w:p>
        </w:tc>
        <w:tc>
          <w:tcPr>
            <w:tcW w:w="3935" w:type="dxa"/>
          </w:tcPr>
          <w:p w14:paraId="02219E99" w14:textId="4F71FEC2" w:rsidR="00A25AB4" w:rsidRPr="007811C6" w:rsidRDefault="00E66E07" w:rsidP="00A25AB4">
            <w:pPr>
              <w:tabs>
                <w:tab w:val="right" w:pos="0"/>
                <w:tab w:val="left" w:pos="4253"/>
              </w:tabs>
              <w:spacing w:before="120" w:after="120"/>
              <w:jc w:val="right"/>
              <w:rPr>
                <w:rFonts w:cs="Arial"/>
                <w:szCs w:val="22"/>
              </w:rPr>
            </w:pPr>
            <w:r>
              <w:rPr>
                <w:rFonts w:cs="Arial"/>
                <w:szCs w:val="22"/>
              </w:rPr>
              <w:t>27</w:t>
            </w:r>
            <w:r w:rsidR="00044778">
              <w:rPr>
                <w:rFonts w:cs="Arial"/>
                <w:szCs w:val="22"/>
              </w:rPr>
              <w:t xml:space="preserve"> MARCH 2024</w:t>
            </w:r>
          </w:p>
        </w:tc>
      </w:tr>
    </w:tbl>
    <w:p w14:paraId="1BD8F4EB" w14:textId="491B3C8F" w:rsidR="00A402F6" w:rsidRPr="007811C6" w:rsidRDefault="00A402F6" w:rsidP="008E2A22">
      <w:pPr>
        <w:widowControl w:val="0"/>
        <w:spacing w:before="480" w:after="480" w:line="360" w:lineRule="auto"/>
        <w:jc w:val="both"/>
        <w:rPr>
          <w:rFonts w:cs="Arial"/>
          <w:szCs w:val="22"/>
        </w:rPr>
      </w:pPr>
    </w:p>
    <w:sectPr w:rsidR="00A402F6" w:rsidRPr="007811C6" w:rsidSect="001C4A79">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315B6" w14:textId="77777777" w:rsidR="001C4A79" w:rsidRPr="008E2A22" w:rsidRDefault="001C4A79">
      <w:pPr>
        <w:rPr>
          <w:sz w:val="21"/>
          <w:szCs w:val="21"/>
        </w:rPr>
      </w:pPr>
      <w:r w:rsidRPr="008E2A22">
        <w:rPr>
          <w:sz w:val="21"/>
          <w:szCs w:val="21"/>
        </w:rPr>
        <w:separator/>
      </w:r>
    </w:p>
  </w:endnote>
  <w:endnote w:type="continuationSeparator" w:id="0">
    <w:p w14:paraId="66588816" w14:textId="77777777" w:rsidR="001C4A79" w:rsidRPr="008E2A22" w:rsidRDefault="001C4A79">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C6D3C" w14:textId="77777777" w:rsidR="001C4A79" w:rsidRPr="008E2A22" w:rsidRDefault="001C4A79">
      <w:pPr>
        <w:rPr>
          <w:sz w:val="21"/>
          <w:szCs w:val="21"/>
        </w:rPr>
      </w:pPr>
      <w:r w:rsidRPr="008E2A22">
        <w:rPr>
          <w:sz w:val="21"/>
          <w:szCs w:val="21"/>
        </w:rPr>
        <w:separator/>
      </w:r>
    </w:p>
  </w:footnote>
  <w:footnote w:type="continuationSeparator" w:id="0">
    <w:p w14:paraId="5106E6AA" w14:textId="77777777" w:rsidR="001C4A79" w:rsidRPr="008E2A22" w:rsidRDefault="001C4A79">
      <w:pPr>
        <w:rPr>
          <w:sz w:val="21"/>
          <w:szCs w:val="21"/>
        </w:rPr>
      </w:pPr>
      <w:r w:rsidRPr="008E2A22">
        <w:rPr>
          <w:sz w:val="21"/>
          <w:szCs w:val="21"/>
        </w:rPr>
        <w:continuationSeparator/>
      </w:r>
    </w:p>
  </w:footnote>
  <w:footnote w:id="1">
    <w:p w14:paraId="2B0DF4E6" w14:textId="5C049E18" w:rsidR="003D5560" w:rsidRPr="003D5560" w:rsidRDefault="003D5560">
      <w:pPr>
        <w:pStyle w:val="FootnoteText"/>
        <w:rPr>
          <w:lang w:val="en-GB"/>
        </w:rPr>
      </w:pPr>
      <w:r>
        <w:rPr>
          <w:rStyle w:val="FootnoteReference"/>
        </w:rPr>
        <w:footnoteRef/>
      </w:r>
      <w:r>
        <w:t xml:space="preserve"> </w:t>
      </w:r>
      <w:r>
        <w:rPr>
          <w:lang w:val="en-GB"/>
        </w:rPr>
        <w:tab/>
        <w:t xml:space="preserve">The review application is not before </w:t>
      </w:r>
      <w:proofErr w:type="gramStart"/>
      <w:r>
        <w:rPr>
          <w:lang w:val="en-GB"/>
        </w:rPr>
        <w:t>me</w:t>
      </w:r>
      <w:proofErr w:type="gramEnd"/>
      <w:r>
        <w:rPr>
          <w:lang w:val="en-GB"/>
        </w:rPr>
        <w:t xml:space="preserve"> and this judgment does not</w:t>
      </w:r>
      <w:r w:rsidR="008A13AF">
        <w:rPr>
          <w:lang w:val="en-GB"/>
        </w:rPr>
        <w:t xml:space="preserve"> pronounce on or</w:t>
      </w:r>
      <w:r>
        <w:rPr>
          <w:lang w:val="en-GB"/>
        </w:rPr>
        <w:t xml:space="preserve"> affect the review application.</w:t>
      </w:r>
    </w:p>
  </w:footnote>
  <w:footnote w:id="2">
    <w:p w14:paraId="0E7F9D6B" w14:textId="77777777" w:rsidR="00DB434D" w:rsidRDefault="00DB434D" w:rsidP="00DB434D">
      <w:pPr>
        <w:pStyle w:val="FootnoteText"/>
      </w:pPr>
      <w:r>
        <w:rPr>
          <w:rStyle w:val="FootnoteReference"/>
        </w:rPr>
        <w:footnoteRef/>
      </w:r>
      <w:r>
        <w:t xml:space="preserve"> </w:t>
      </w:r>
      <w:r>
        <w:tab/>
        <w:t>Chapter II.</w:t>
      </w:r>
    </w:p>
  </w:footnote>
  <w:footnote w:id="3">
    <w:p w14:paraId="50C6C053" w14:textId="77777777" w:rsidR="00DB434D" w:rsidRDefault="00DB434D" w:rsidP="00DB434D">
      <w:pPr>
        <w:pStyle w:val="FootnoteText"/>
      </w:pPr>
      <w:r>
        <w:rPr>
          <w:rStyle w:val="FootnoteReference"/>
        </w:rPr>
        <w:footnoteRef/>
      </w:r>
      <w:r>
        <w:t xml:space="preserve"> </w:t>
      </w:r>
      <w:r>
        <w:tab/>
        <w:t>Chapter III.</w:t>
      </w:r>
    </w:p>
  </w:footnote>
  <w:footnote w:id="4">
    <w:p w14:paraId="73CD21AA" w14:textId="77777777" w:rsidR="00DB434D" w:rsidRDefault="00DB434D" w:rsidP="00DB434D">
      <w:pPr>
        <w:pStyle w:val="FootnoteText"/>
      </w:pPr>
      <w:r>
        <w:rPr>
          <w:rStyle w:val="FootnoteReference"/>
        </w:rPr>
        <w:footnoteRef/>
      </w:r>
      <w:r>
        <w:t xml:space="preserve"> </w:t>
      </w:r>
      <w:r>
        <w:tab/>
        <w:t>Chapter VII.</w:t>
      </w:r>
    </w:p>
  </w:footnote>
  <w:footnote w:id="5">
    <w:p w14:paraId="6B456780" w14:textId="77777777" w:rsidR="00DB434D" w:rsidRDefault="00DB434D" w:rsidP="00DB434D">
      <w:pPr>
        <w:pStyle w:val="FootnoteText"/>
      </w:pPr>
      <w:r>
        <w:rPr>
          <w:rStyle w:val="FootnoteReference"/>
        </w:rPr>
        <w:footnoteRef/>
      </w:r>
      <w:r>
        <w:t xml:space="preserve"> </w:t>
      </w:r>
      <w:r>
        <w:tab/>
        <w:t>Section 112.</w:t>
      </w:r>
    </w:p>
  </w:footnote>
  <w:footnote w:id="6">
    <w:p w14:paraId="60A0786F" w14:textId="77777777" w:rsidR="00DB434D" w:rsidRDefault="00DB434D" w:rsidP="00DB434D">
      <w:pPr>
        <w:pStyle w:val="FootnoteText"/>
      </w:pPr>
      <w:r>
        <w:rPr>
          <w:rStyle w:val="FootnoteReference"/>
        </w:rPr>
        <w:footnoteRef/>
      </w:r>
      <w:r>
        <w:t xml:space="preserve"> </w:t>
      </w:r>
      <w:r>
        <w:tab/>
        <w:t>Section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69178988"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A62BAA">
      <w:rPr>
        <w:rFonts w:cs="Arial"/>
        <w:noProof/>
        <w:sz w:val="19"/>
        <w:szCs w:val="19"/>
        <w:lang w:val="en-GB"/>
      </w:rPr>
      <w:t>2</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A6AA7"/>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7423773">
    <w:abstractNumId w:val="7"/>
  </w:num>
  <w:num w:numId="2" w16cid:durableId="490758253">
    <w:abstractNumId w:val="2"/>
  </w:num>
  <w:num w:numId="3" w16cid:durableId="1422407751">
    <w:abstractNumId w:val="17"/>
  </w:num>
  <w:num w:numId="4" w16cid:durableId="1421753043">
    <w:abstractNumId w:val="9"/>
  </w:num>
  <w:num w:numId="5" w16cid:durableId="950865739">
    <w:abstractNumId w:val="15"/>
  </w:num>
  <w:num w:numId="6" w16cid:durableId="2042051437">
    <w:abstractNumId w:val="13"/>
  </w:num>
  <w:num w:numId="7" w16cid:durableId="1982344261">
    <w:abstractNumId w:val="0"/>
  </w:num>
  <w:num w:numId="8" w16cid:durableId="132659462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9254931">
    <w:abstractNumId w:val="11"/>
  </w:num>
  <w:num w:numId="10" w16cid:durableId="1368721815">
    <w:abstractNumId w:val="3"/>
  </w:num>
  <w:num w:numId="11" w16cid:durableId="567149162">
    <w:abstractNumId w:val="18"/>
  </w:num>
  <w:num w:numId="12" w16cid:durableId="609240893">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623075161">
    <w:abstractNumId w:val="14"/>
  </w:num>
  <w:num w:numId="14" w16cid:durableId="100338959">
    <w:abstractNumId w:val="12"/>
  </w:num>
  <w:num w:numId="15" w16cid:durableId="1320384249">
    <w:abstractNumId w:val="5"/>
  </w:num>
  <w:num w:numId="16" w16cid:durableId="415439965">
    <w:abstractNumId w:val="8"/>
  </w:num>
  <w:num w:numId="17" w16cid:durableId="1778673423">
    <w:abstractNumId w:val="4"/>
  </w:num>
  <w:num w:numId="18" w16cid:durableId="603616798">
    <w:abstractNumId w:val="1"/>
  </w:num>
  <w:num w:numId="19" w16cid:durableId="843980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wMDI2MrK0MLQ0MTBW0lEKTi0uzszPAykwrAUAT1MDEiwAAAA="/>
    <w:docVar w:name="dgnword-docGUID" w:val="{2C274488-81CE-4F89-B17B-03AAE1C12B4E}"/>
    <w:docVar w:name="dgnword-eventsink" w:val="2161435580128"/>
  </w:docVars>
  <w:rsids>
    <w:rsidRoot w:val="00C676F3"/>
    <w:rsid w:val="000004A3"/>
    <w:rsid w:val="00000AFE"/>
    <w:rsid w:val="00001138"/>
    <w:rsid w:val="000019D2"/>
    <w:rsid w:val="000045DF"/>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A26"/>
    <w:rsid w:val="00026D9A"/>
    <w:rsid w:val="00027D19"/>
    <w:rsid w:val="00030A89"/>
    <w:rsid w:val="000319AA"/>
    <w:rsid w:val="000325E2"/>
    <w:rsid w:val="00036508"/>
    <w:rsid w:val="00040CD3"/>
    <w:rsid w:val="000426C0"/>
    <w:rsid w:val="00042D0E"/>
    <w:rsid w:val="00044778"/>
    <w:rsid w:val="0004506F"/>
    <w:rsid w:val="0004508D"/>
    <w:rsid w:val="00045D03"/>
    <w:rsid w:val="00047F26"/>
    <w:rsid w:val="00050086"/>
    <w:rsid w:val="000504F1"/>
    <w:rsid w:val="00051A2B"/>
    <w:rsid w:val="0005282E"/>
    <w:rsid w:val="000528B3"/>
    <w:rsid w:val="000550EB"/>
    <w:rsid w:val="000554B8"/>
    <w:rsid w:val="0005636C"/>
    <w:rsid w:val="00060AF8"/>
    <w:rsid w:val="00063F7B"/>
    <w:rsid w:val="00066915"/>
    <w:rsid w:val="00066971"/>
    <w:rsid w:val="00072105"/>
    <w:rsid w:val="000737E1"/>
    <w:rsid w:val="00073E30"/>
    <w:rsid w:val="00077B2B"/>
    <w:rsid w:val="00077D11"/>
    <w:rsid w:val="000809A3"/>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A6EA3"/>
    <w:rsid w:val="000B0116"/>
    <w:rsid w:val="000B0A70"/>
    <w:rsid w:val="000B2102"/>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3298"/>
    <w:rsid w:val="000F430D"/>
    <w:rsid w:val="000F59F8"/>
    <w:rsid w:val="000F7813"/>
    <w:rsid w:val="00101890"/>
    <w:rsid w:val="001025B5"/>
    <w:rsid w:val="00104142"/>
    <w:rsid w:val="001053D6"/>
    <w:rsid w:val="00105F97"/>
    <w:rsid w:val="00107D26"/>
    <w:rsid w:val="00107D90"/>
    <w:rsid w:val="001114D8"/>
    <w:rsid w:val="001142D1"/>
    <w:rsid w:val="00117679"/>
    <w:rsid w:val="00120C79"/>
    <w:rsid w:val="00120FB1"/>
    <w:rsid w:val="00124ED2"/>
    <w:rsid w:val="00130253"/>
    <w:rsid w:val="001305E0"/>
    <w:rsid w:val="00130C4A"/>
    <w:rsid w:val="00133E81"/>
    <w:rsid w:val="001342B3"/>
    <w:rsid w:val="00140454"/>
    <w:rsid w:val="00140CED"/>
    <w:rsid w:val="00141AD1"/>
    <w:rsid w:val="00143E7B"/>
    <w:rsid w:val="0014628D"/>
    <w:rsid w:val="00147FF5"/>
    <w:rsid w:val="00151DA9"/>
    <w:rsid w:val="0015238F"/>
    <w:rsid w:val="00152899"/>
    <w:rsid w:val="00154961"/>
    <w:rsid w:val="00155A21"/>
    <w:rsid w:val="00155DAB"/>
    <w:rsid w:val="00156C9E"/>
    <w:rsid w:val="0015748A"/>
    <w:rsid w:val="00161057"/>
    <w:rsid w:val="00161392"/>
    <w:rsid w:val="0016589D"/>
    <w:rsid w:val="001671C1"/>
    <w:rsid w:val="0016738D"/>
    <w:rsid w:val="00171182"/>
    <w:rsid w:val="0017124B"/>
    <w:rsid w:val="00171D7F"/>
    <w:rsid w:val="00172763"/>
    <w:rsid w:val="00172DDF"/>
    <w:rsid w:val="00172E99"/>
    <w:rsid w:val="00173B8E"/>
    <w:rsid w:val="00175DDD"/>
    <w:rsid w:val="001802F8"/>
    <w:rsid w:val="00180CB6"/>
    <w:rsid w:val="001838CC"/>
    <w:rsid w:val="00183EB6"/>
    <w:rsid w:val="0018483D"/>
    <w:rsid w:val="00185ACF"/>
    <w:rsid w:val="00187BEB"/>
    <w:rsid w:val="00190579"/>
    <w:rsid w:val="00190F4E"/>
    <w:rsid w:val="001916C4"/>
    <w:rsid w:val="00191D41"/>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1F29"/>
    <w:rsid w:val="001C2233"/>
    <w:rsid w:val="001C2371"/>
    <w:rsid w:val="001C33E6"/>
    <w:rsid w:val="001C4A79"/>
    <w:rsid w:val="001C608F"/>
    <w:rsid w:val="001C7048"/>
    <w:rsid w:val="001D3CC2"/>
    <w:rsid w:val="001D46A3"/>
    <w:rsid w:val="001E0529"/>
    <w:rsid w:val="001E2EED"/>
    <w:rsid w:val="001E44D1"/>
    <w:rsid w:val="001E4691"/>
    <w:rsid w:val="001E518E"/>
    <w:rsid w:val="001F014C"/>
    <w:rsid w:val="001F09D1"/>
    <w:rsid w:val="001F0A29"/>
    <w:rsid w:val="001F0CE5"/>
    <w:rsid w:val="001F361F"/>
    <w:rsid w:val="001F3DBD"/>
    <w:rsid w:val="001F53E8"/>
    <w:rsid w:val="001F6466"/>
    <w:rsid w:val="001F648A"/>
    <w:rsid w:val="001F6F43"/>
    <w:rsid w:val="001F7239"/>
    <w:rsid w:val="00200B96"/>
    <w:rsid w:val="00201620"/>
    <w:rsid w:val="00203DA2"/>
    <w:rsid w:val="0020474A"/>
    <w:rsid w:val="00205392"/>
    <w:rsid w:val="00205E72"/>
    <w:rsid w:val="00206919"/>
    <w:rsid w:val="002104BF"/>
    <w:rsid w:val="002108B6"/>
    <w:rsid w:val="00211F49"/>
    <w:rsid w:val="00213738"/>
    <w:rsid w:val="00213F3E"/>
    <w:rsid w:val="00214877"/>
    <w:rsid w:val="00215824"/>
    <w:rsid w:val="00216BC8"/>
    <w:rsid w:val="002175BA"/>
    <w:rsid w:val="002200DC"/>
    <w:rsid w:val="0022218D"/>
    <w:rsid w:val="00226926"/>
    <w:rsid w:val="002302E3"/>
    <w:rsid w:val="00232528"/>
    <w:rsid w:val="0023405C"/>
    <w:rsid w:val="00235D20"/>
    <w:rsid w:val="00236E47"/>
    <w:rsid w:val="0023711D"/>
    <w:rsid w:val="002374DF"/>
    <w:rsid w:val="00237806"/>
    <w:rsid w:val="00237FF9"/>
    <w:rsid w:val="0024012B"/>
    <w:rsid w:val="00243D2F"/>
    <w:rsid w:val="00244FB9"/>
    <w:rsid w:val="00250164"/>
    <w:rsid w:val="002507AA"/>
    <w:rsid w:val="00251668"/>
    <w:rsid w:val="002535F0"/>
    <w:rsid w:val="00253F38"/>
    <w:rsid w:val="00253F72"/>
    <w:rsid w:val="002549D2"/>
    <w:rsid w:val="00260B0A"/>
    <w:rsid w:val="002625C5"/>
    <w:rsid w:val="00262819"/>
    <w:rsid w:val="00263A96"/>
    <w:rsid w:val="00270557"/>
    <w:rsid w:val="002709AE"/>
    <w:rsid w:val="00271246"/>
    <w:rsid w:val="00272B77"/>
    <w:rsid w:val="0027600C"/>
    <w:rsid w:val="00277491"/>
    <w:rsid w:val="00277B78"/>
    <w:rsid w:val="00285040"/>
    <w:rsid w:val="00285062"/>
    <w:rsid w:val="002909C8"/>
    <w:rsid w:val="0029196F"/>
    <w:rsid w:val="00292E3E"/>
    <w:rsid w:val="00293463"/>
    <w:rsid w:val="0029369B"/>
    <w:rsid w:val="00293C02"/>
    <w:rsid w:val="0029605B"/>
    <w:rsid w:val="00296DAF"/>
    <w:rsid w:val="002976B8"/>
    <w:rsid w:val="002A030C"/>
    <w:rsid w:val="002A4B7B"/>
    <w:rsid w:val="002B0355"/>
    <w:rsid w:val="002B05EA"/>
    <w:rsid w:val="002B12D6"/>
    <w:rsid w:val="002B463F"/>
    <w:rsid w:val="002B528D"/>
    <w:rsid w:val="002B782F"/>
    <w:rsid w:val="002C15AC"/>
    <w:rsid w:val="002C2E80"/>
    <w:rsid w:val="002C4687"/>
    <w:rsid w:val="002C48E7"/>
    <w:rsid w:val="002C4B84"/>
    <w:rsid w:val="002C4EF0"/>
    <w:rsid w:val="002D1EC7"/>
    <w:rsid w:val="002D2842"/>
    <w:rsid w:val="002D47B3"/>
    <w:rsid w:val="002E0E37"/>
    <w:rsid w:val="002E2648"/>
    <w:rsid w:val="002E2901"/>
    <w:rsid w:val="002E3586"/>
    <w:rsid w:val="002E5B57"/>
    <w:rsid w:val="002E612C"/>
    <w:rsid w:val="002E6CCA"/>
    <w:rsid w:val="002E6CD7"/>
    <w:rsid w:val="002E704D"/>
    <w:rsid w:val="002F1C4D"/>
    <w:rsid w:val="002F2881"/>
    <w:rsid w:val="002F41F8"/>
    <w:rsid w:val="002F4A5D"/>
    <w:rsid w:val="002F508A"/>
    <w:rsid w:val="002F72D3"/>
    <w:rsid w:val="002F774A"/>
    <w:rsid w:val="003014D9"/>
    <w:rsid w:val="00301F05"/>
    <w:rsid w:val="00302290"/>
    <w:rsid w:val="003023F9"/>
    <w:rsid w:val="00302C31"/>
    <w:rsid w:val="003031A1"/>
    <w:rsid w:val="00303919"/>
    <w:rsid w:val="00304705"/>
    <w:rsid w:val="003047C2"/>
    <w:rsid w:val="0030653F"/>
    <w:rsid w:val="00306B41"/>
    <w:rsid w:val="00307200"/>
    <w:rsid w:val="003102C8"/>
    <w:rsid w:val="0031117B"/>
    <w:rsid w:val="00312EBC"/>
    <w:rsid w:val="00313056"/>
    <w:rsid w:val="00315B17"/>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0253"/>
    <w:rsid w:val="0036253D"/>
    <w:rsid w:val="003633E0"/>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4770"/>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6F49"/>
    <w:rsid w:val="003C7FCC"/>
    <w:rsid w:val="003D1202"/>
    <w:rsid w:val="003D19C3"/>
    <w:rsid w:val="003D36F9"/>
    <w:rsid w:val="003D5560"/>
    <w:rsid w:val="003D77F1"/>
    <w:rsid w:val="003D7970"/>
    <w:rsid w:val="003E0159"/>
    <w:rsid w:val="003E449A"/>
    <w:rsid w:val="003E4A33"/>
    <w:rsid w:val="003E54E1"/>
    <w:rsid w:val="003E724B"/>
    <w:rsid w:val="003E7A60"/>
    <w:rsid w:val="003F1F49"/>
    <w:rsid w:val="003F23F0"/>
    <w:rsid w:val="003F44F4"/>
    <w:rsid w:val="003F4801"/>
    <w:rsid w:val="003F7448"/>
    <w:rsid w:val="00400755"/>
    <w:rsid w:val="0040197A"/>
    <w:rsid w:val="00404A52"/>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37EB4"/>
    <w:rsid w:val="00441422"/>
    <w:rsid w:val="00444ED6"/>
    <w:rsid w:val="00445DCB"/>
    <w:rsid w:val="00447235"/>
    <w:rsid w:val="004479C3"/>
    <w:rsid w:val="0045044C"/>
    <w:rsid w:val="00452B52"/>
    <w:rsid w:val="00460495"/>
    <w:rsid w:val="00460EEA"/>
    <w:rsid w:val="00462DE3"/>
    <w:rsid w:val="004630B6"/>
    <w:rsid w:val="00463106"/>
    <w:rsid w:val="00466A30"/>
    <w:rsid w:val="00467F5B"/>
    <w:rsid w:val="00470EBD"/>
    <w:rsid w:val="00472F97"/>
    <w:rsid w:val="00474607"/>
    <w:rsid w:val="00474910"/>
    <w:rsid w:val="004749AF"/>
    <w:rsid w:val="00474AF6"/>
    <w:rsid w:val="00475410"/>
    <w:rsid w:val="00475E80"/>
    <w:rsid w:val="004774FF"/>
    <w:rsid w:val="0048285C"/>
    <w:rsid w:val="00483F21"/>
    <w:rsid w:val="00484116"/>
    <w:rsid w:val="00484163"/>
    <w:rsid w:val="004841A8"/>
    <w:rsid w:val="0048424E"/>
    <w:rsid w:val="00484F8A"/>
    <w:rsid w:val="00486F42"/>
    <w:rsid w:val="00487D14"/>
    <w:rsid w:val="0049165E"/>
    <w:rsid w:val="004923A9"/>
    <w:rsid w:val="00494337"/>
    <w:rsid w:val="00494F1A"/>
    <w:rsid w:val="00495F7C"/>
    <w:rsid w:val="004976D5"/>
    <w:rsid w:val="004A10CD"/>
    <w:rsid w:val="004A11D9"/>
    <w:rsid w:val="004A1E3F"/>
    <w:rsid w:val="004A2C7E"/>
    <w:rsid w:val="004A5056"/>
    <w:rsid w:val="004A5AF5"/>
    <w:rsid w:val="004A6625"/>
    <w:rsid w:val="004A69D6"/>
    <w:rsid w:val="004A6E81"/>
    <w:rsid w:val="004A70AB"/>
    <w:rsid w:val="004A7DFE"/>
    <w:rsid w:val="004B085D"/>
    <w:rsid w:val="004B0DBA"/>
    <w:rsid w:val="004B21D9"/>
    <w:rsid w:val="004B255A"/>
    <w:rsid w:val="004B3A47"/>
    <w:rsid w:val="004B3CA9"/>
    <w:rsid w:val="004B6022"/>
    <w:rsid w:val="004C0CE3"/>
    <w:rsid w:val="004C1D86"/>
    <w:rsid w:val="004C368B"/>
    <w:rsid w:val="004C6239"/>
    <w:rsid w:val="004D1A31"/>
    <w:rsid w:val="004D1A91"/>
    <w:rsid w:val="004D2123"/>
    <w:rsid w:val="004D262A"/>
    <w:rsid w:val="004D2C6F"/>
    <w:rsid w:val="004D2E01"/>
    <w:rsid w:val="004D3237"/>
    <w:rsid w:val="004D3FD6"/>
    <w:rsid w:val="004D4E89"/>
    <w:rsid w:val="004D635C"/>
    <w:rsid w:val="004D692E"/>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148"/>
    <w:rsid w:val="004F5D23"/>
    <w:rsid w:val="005037B3"/>
    <w:rsid w:val="00504B53"/>
    <w:rsid w:val="00505FF7"/>
    <w:rsid w:val="0051015D"/>
    <w:rsid w:val="00511BB6"/>
    <w:rsid w:val="0051251A"/>
    <w:rsid w:val="0051292D"/>
    <w:rsid w:val="00514426"/>
    <w:rsid w:val="0051442D"/>
    <w:rsid w:val="00515FD8"/>
    <w:rsid w:val="0051622D"/>
    <w:rsid w:val="00517A09"/>
    <w:rsid w:val="005207B2"/>
    <w:rsid w:val="005219EB"/>
    <w:rsid w:val="00522CBE"/>
    <w:rsid w:val="005262C2"/>
    <w:rsid w:val="005263F0"/>
    <w:rsid w:val="0052705A"/>
    <w:rsid w:val="005272E3"/>
    <w:rsid w:val="00532E26"/>
    <w:rsid w:val="00533CD6"/>
    <w:rsid w:val="00534C3B"/>
    <w:rsid w:val="00537126"/>
    <w:rsid w:val="00537A72"/>
    <w:rsid w:val="005405F8"/>
    <w:rsid w:val="00542EAE"/>
    <w:rsid w:val="00546878"/>
    <w:rsid w:val="005509BE"/>
    <w:rsid w:val="00554ED3"/>
    <w:rsid w:val="0055674D"/>
    <w:rsid w:val="00560E18"/>
    <w:rsid w:val="005615BB"/>
    <w:rsid w:val="005621E7"/>
    <w:rsid w:val="00562B7E"/>
    <w:rsid w:val="00562CA5"/>
    <w:rsid w:val="00563355"/>
    <w:rsid w:val="00571E81"/>
    <w:rsid w:val="00573FF9"/>
    <w:rsid w:val="005743CA"/>
    <w:rsid w:val="005755B7"/>
    <w:rsid w:val="00576B16"/>
    <w:rsid w:val="00577427"/>
    <w:rsid w:val="005808E5"/>
    <w:rsid w:val="005875A9"/>
    <w:rsid w:val="005931FB"/>
    <w:rsid w:val="00593C34"/>
    <w:rsid w:val="005949BC"/>
    <w:rsid w:val="005971D5"/>
    <w:rsid w:val="005A0847"/>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2FA4"/>
    <w:rsid w:val="006041A4"/>
    <w:rsid w:val="0061036C"/>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6777"/>
    <w:rsid w:val="006479F9"/>
    <w:rsid w:val="00647DDD"/>
    <w:rsid w:val="00653548"/>
    <w:rsid w:val="00653BA4"/>
    <w:rsid w:val="006545D0"/>
    <w:rsid w:val="00656E2E"/>
    <w:rsid w:val="00657478"/>
    <w:rsid w:val="00657EDA"/>
    <w:rsid w:val="00657F9A"/>
    <w:rsid w:val="006609A2"/>
    <w:rsid w:val="00660C84"/>
    <w:rsid w:val="0066132D"/>
    <w:rsid w:val="0066194B"/>
    <w:rsid w:val="00661FC4"/>
    <w:rsid w:val="006630E1"/>
    <w:rsid w:val="00663229"/>
    <w:rsid w:val="00663C5F"/>
    <w:rsid w:val="00666D4D"/>
    <w:rsid w:val="00672205"/>
    <w:rsid w:val="00672E95"/>
    <w:rsid w:val="0067508C"/>
    <w:rsid w:val="006762B3"/>
    <w:rsid w:val="00677059"/>
    <w:rsid w:val="00680072"/>
    <w:rsid w:val="00680421"/>
    <w:rsid w:val="00681B06"/>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34C"/>
    <w:rsid w:val="006D193A"/>
    <w:rsid w:val="006D23FB"/>
    <w:rsid w:val="006D25DD"/>
    <w:rsid w:val="006D27E2"/>
    <w:rsid w:val="006D28A5"/>
    <w:rsid w:val="006D29AA"/>
    <w:rsid w:val="006D2C78"/>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4578"/>
    <w:rsid w:val="00734D0A"/>
    <w:rsid w:val="007351A5"/>
    <w:rsid w:val="0074214D"/>
    <w:rsid w:val="00742764"/>
    <w:rsid w:val="00745456"/>
    <w:rsid w:val="00746E92"/>
    <w:rsid w:val="00750950"/>
    <w:rsid w:val="00751452"/>
    <w:rsid w:val="0075156A"/>
    <w:rsid w:val="00751D8C"/>
    <w:rsid w:val="00751F90"/>
    <w:rsid w:val="0075204D"/>
    <w:rsid w:val="00752EF6"/>
    <w:rsid w:val="00753B4D"/>
    <w:rsid w:val="007543AA"/>
    <w:rsid w:val="00754BDD"/>
    <w:rsid w:val="00757143"/>
    <w:rsid w:val="007619C5"/>
    <w:rsid w:val="00761B26"/>
    <w:rsid w:val="00761C35"/>
    <w:rsid w:val="00762178"/>
    <w:rsid w:val="00765F62"/>
    <w:rsid w:val="00766026"/>
    <w:rsid w:val="007671E0"/>
    <w:rsid w:val="00772025"/>
    <w:rsid w:val="007726C0"/>
    <w:rsid w:val="007728F6"/>
    <w:rsid w:val="007744FD"/>
    <w:rsid w:val="00775AB7"/>
    <w:rsid w:val="00776B34"/>
    <w:rsid w:val="00781088"/>
    <w:rsid w:val="007811C6"/>
    <w:rsid w:val="00781AA0"/>
    <w:rsid w:val="00781CF7"/>
    <w:rsid w:val="00781D24"/>
    <w:rsid w:val="00782DE8"/>
    <w:rsid w:val="00786D45"/>
    <w:rsid w:val="00787202"/>
    <w:rsid w:val="00792E10"/>
    <w:rsid w:val="0079383D"/>
    <w:rsid w:val="007966EF"/>
    <w:rsid w:val="007A006B"/>
    <w:rsid w:val="007A1D60"/>
    <w:rsid w:val="007A34D1"/>
    <w:rsid w:val="007A5BDB"/>
    <w:rsid w:val="007A7102"/>
    <w:rsid w:val="007B165A"/>
    <w:rsid w:val="007B275E"/>
    <w:rsid w:val="007B2DAD"/>
    <w:rsid w:val="007B2DF7"/>
    <w:rsid w:val="007B7246"/>
    <w:rsid w:val="007B78C2"/>
    <w:rsid w:val="007C23FF"/>
    <w:rsid w:val="007C25B0"/>
    <w:rsid w:val="007C416B"/>
    <w:rsid w:val="007C4CB7"/>
    <w:rsid w:val="007C5008"/>
    <w:rsid w:val="007C6046"/>
    <w:rsid w:val="007C647E"/>
    <w:rsid w:val="007C658B"/>
    <w:rsid w:val="007D1E79"/>
    <w:rsid w:val="007D27CF"/>
    <w:rsid w:val="007D4DAF"/>
    <w:rsid w:val="007E1175"/>
    <w:rsid w:val="007E1BA6"/>
    <w:rsid w:val="007E220A"/>
    <w:rsid w:val="007E468A"/>
    <w:rsid w:val="007E54E5"/>
    <w:rsid w:val="007E58FC"/>
    <w:rsid w:val="007E6643"/>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2F2"/>
    <w:rsid w:val="008443A9"/>
    <w:rsid w:val="0084599C"/>
    <w:rsid w:val="008469B3"/>
    <w:rsid w:val="00847539"/>
    <w:rsid w:val="00851C84"/>
    <w:rsid w:val="008535CA"/>
    <w:rsid w:val="00856FA8"/>
    <w:rsid w:val="00856FF2"/>
    <w:rsid w:val="008578F4"/>
    <w:rsid w:val="00860576"/>
    <w:rsid w:val="00861120"/>
    <w:rsid w:val="008657EE"/>
    <w:rsid w:val="0086688C"/>
    <w:rsid w:val="008674AA"/>
    <w:rsid w:val="008675CC"/>
    <w:rsid w:val="008707F5"/>
    <w:rsid w:val="0087609B"/>
    <w:rsid w:val="00880850"/>
    <w:rsid w:val="0088094C"/>
    <w:rsid w:val="00881004"/>
    <w:rsid w:val="008824C8"/>
    <w:rsid w:val="00882C40"/>
    <w:rsid w:val="00885973"/>
    <w:rsid w:val="0089145D"/>
    <w:rsid w:val="008919D3"/>
    <w:rsid w:val="00891DC8"/>
    <w:rsid w:val="00891F55"/>
    <w:rsid w:val="00892908"/>
    <w:rsid w:val="00893C08"/>
    <w:rsid w:val="008942FC"/>
    <w:rsid w:val="0089562F"/>
    <w:rsid w:val="008957BF"/>
    <w:rsid w:val="00895BE0"/>
    <w:rsid w:val="0089629F"/>
    <w:rsid w:val="0089792C"/>
    <w:rsid w:val="008A082A"/>
    <w:rsid w:val="008A0CEA"/>
    <w:rsid w:val="008A13AF"/>
    <w:rsid w:val="008A32BD"/>
    <w:rsid w:val="008A389B"/>
    <w:rsid w:val="008A4DF4"/>
    <w:rsid w:val="008A7448"/>
    <w:rsid w:val="008B0950"/>
    <w:rsid w:val="008B1DA9"/>
    <w:rsid w:val="008B23D4"/>
    <w:rsid w:val="008B2C7C"/>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11C8"/>
    <w:rsid w:val="00913A4A"/>
    <w:rsid w:val="00914A6E"/>
    <w:rsid w:val="0091544C"/>
    <w:rsid w:val="00917D23"/>
    <w:rsid w:val="00921D03"/>
    <w:rsid w:val="00921DE6"/>
    <w:rsid w:val="00924CB6"/>
    <w:rsid w:val="0092546C"/>
    <w:rsid w:val="00925CD2"/>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1236"/>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6C6E"/>
    <w:rsid w:val="00A17DB2"/>
    <w:rsid w:val="00A2023B"/>
    <w:rsid w:val="00A21DEA"/>
    <w:rsid w:val="00A22A14"/>
    <w:rsid w:val="00A23A49"/>
    <w:rsid w:val="00A248B0"/>
    <w:rsid w:val="00A25AB4"/>
    <w:rsid w:val="00A26214"/>
    <w:rsid w:val="00A26566"/>
    <w:rsid w:val="00A265CB"/>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183D"/>
    <w:rsid w:val="00A5359C"/>
    <w:rsid w:val="00A539CB"/>
    <w:rsid w:val="00A57DA7"/>
    <w:rsid w:val="00A60542"/>
    <w:rsid w:val="00A60635"/>
    <w:rsid w:val="00A62BAA"/>
    <w:rsid w:val="00A63709"/>
    <w:rsid w:val="00A643AB"/>
    <w:rsid w:val="00A649E6"/>
    <w:rsid w:val="00A660AF"/>
    <w:rsid w:val="00A7021C"/>
    <w:rsid w:val="00A70814"/>
    <w:rsid w:val="00A70A95"/>
    <w:rsid w:val="00A70BDA"/>
    <w:rsid w:val="00A712D3"/>
    <w:rsid w:val="00A73E2C"/>
    <w:rsid w:val="00A740B6"/>
    <w:rsid w:val="00A7621E"/>
    <w:rsid w:val="00A76BE4"/>
    <w:rsid w:val="00A774BA"/>
    <w:rsid w:val="00A817D5"/>
    <w:rsid w:val="00A841B2"/>
    <w:rsid w:val="00A84915"/>
    <w:rsid w:val="00A84F01"/>
    <w:rsid w:val="00A85664"/>
    <w:rsid w:val="00A9029A"/>
    <w:rsid w:val="00A91332"/>
    <w:rsid w:val="00A93351"/>
    <w:rsid w:val="00A94A43"/>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0CA"/>
    <w:rsid w:val="00AC4165"/>
    <w:rsid w:val="00AC556A"/>
    <w:rsid w:val="00AC76EA"/>
    <w:rsid w:val="00AC7FB7"/>
    <w:rsid w:val="00AD0007"/>
    <w:rsid w:val="00AD04FB"/>
    <w:rsid w:val="00AD12F6"/>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21E"/>
    <w:rsid w:val="00B0366D"/>
    <w:rsid w:val="00B071FF"/>
    <w:rsid w:val="00B110BC"/>
    <w:rsid w:val="00B11505"/>
    <w:rsid w:val="00B1182B"/>
    <w:rsid w:val="00B11DC2"/>
    <w:rsid w:val="00B15142"/>
    <w:rsid w:val="00B15D12"/>
    <w:rsid w:val="00B16F69"/>
    <w:rsid w:val="00B1789D"/>
    <w:rsid w:val="00B207DD"/>
    <w:rsid w:val="00B20DD8"/>
    <w:rsid w:val="00B21CA9"/>
    <w:rsid w:val="00B21ECE"/>
    <w:rsid w:val="00B223FE"/>
    <w:rsid w:val="00B30FE0"/>
    <w:rsid w:val="00B3161A"/>
    <w:rsid w:val="00B3208F"/>
    <w:rsid w:val="00B3260E"/>
    <w:rsid w:val="00B36DB5"/>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62B08"/>
    <w:rsid w:val="00B664E5"/>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668"/>
    <w:rsid w:val="00B91F7E"/>
    <w:rsid w:val="00B924B4"/>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6E92"/>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236E"/>
    <w:rsid w:val="00C04139"/>
    <w:rsid w:val="00C0476F"/>
    <w:rsid w:val="00C0572E"/>
    <w:rsid w:val="00C105A1"/>
    <w:rsid w:val="00C1095B"/>
    <w:rsid w:val="00C1108E"/>
    <w:rsid w:val="00C120AB"/>
    <w:rsid w:val="00C14A51"/>
    <w:rsid w:val="00C14B1A"/>
    <w:rsid w:val="00C15C65"/>
    <w:rsid w:val="00C163C1"/>
    <w:rsid w:val="00C16519"/>
    <w:rsid w:val="00C16C1D"/>
    <w:rsid w:val="00C17853"/>
    <w:rsid w:val="00C17EE4"/>
    <w:rsid w:val="00C21656"/>
    <w:rsid w:val="00C21B3D"/>
    <w:rsid w:val="00C24267"/>
    <w:rsid w:val="00C243E6"/>
    <w:rsid w:val="00C24A82"/>
    <w:rsid w:val="00C26FA6"/>
    <w:rsid w:val="00C2788D"/>
    <w:rsid w:val="00C31D37"/>
    <w:rsid w:val="00C33398"/>
    <w:rsid w:val="00C34388"/>
    <w:rsid w:val="00C34C5B"/>
    <w:rsid w:val="00C3557C"/>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55FE"/>
    <w:rsid w:val="00C56E55"/>
    <w:rsid w:val="00C60DD4"/>
    <w:rsid w:val="00C60F27"/>
    <w:rsid w:val="00C610F2"/>
    <w:rsid w:val="00C61B5E"/>
    <w:rsid w:val="00C64A7F"/>
    <w:rsid w:val="00C676F3"/>
    <w:rsid w:val="00C711C8"/>
    <w:rsid w:val="00C71AB8"/>
    <w:rsid w:val="00C72641"/>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1989"/>
    <w:rsid w:val="00CE2E22"/>
    <w:rsid w:val="00CE35B4"/>
    <w:rsid w:val="00CE6301"/>
    <w:rsid w:val="00CF06D4"/>
    <w:rsid w:val="00CF1D94"/>
    <w:rsid w:val="00CF2008"/>
    <w:rsid w:val="00CF2496"/>
    <w:rsid w:val="00CF3649"/>
    <w:rsid w:val="00CF4188"/>
    <w:rsid w:val="00CF4E9E"/>
    <w:rsid w:val="00CF52CE"/>
    <w:rsid w:val="00CF7848"/>
    <w:rsid w:val="00D00B84"/>
    <w:rsid w:val="00D058FC"/>
    <w:rsid w:val="00D05AC1"/>
    <w:rsid w:val="00D06213"/>
    <w:rsid w:val="00D073D1"/>
    <w:rsid w:val="00D10010"/>
    <w:rsid w:val="00D11510"/>
    <w:rsid w:val="00D116EE"/>
    <w:rsid w:val="00D12BB7"/>
    <w:rsid w:val="00D12E8D"/>
    <w:rsid w:val="00D159D4"/>
    <w:rsid w:val="00D15C79"/>
    <w:rsid w:val="00D1641A"/>
    <w:rsid w:val="00D20E16"/>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AFB"/>
    <w:rsid w:val="00D352EE"/>
    <w:rsid w:val="00D35A03"/>
    <w:rsid w:val="00D36146"/>
    <w:rsid w:val="00D3725D"/>
    <w:rsid w:val="00D37377"/>
    <w:rsid w:val="00D4178A"/>
    <w:rsid w:val="00D41830"/>
    <w:rsid w:val="00D45B8C"/>
    <w:rsid w:val="00D56058"/>
    <w:rsid w:val="00D567E0"/>
    <w:rsid w:val="00D56A09"/>
    <w:rsid w:val="00D57976"/>
    <w:rsid w:val="00D61F2D"/>
    <w:rsid w:val="00D622E5"/>
    <w:rsid w:val="00D628B8"/>
    <w:rsid w:val="00D630DE"/>
    <w:rsid w:val="00D63DBC"/>
    <w:rsid w:val="00D645C6"/>
    <w:rsid w:val="00D6548A"/>
    <w:rsid w:val="00D65571"/>
    <w:rsid w:val="00D65905"/>
    <w:rsid w:val="00D65A71"/>
    <w:rsid w:val="00D66C66"/>
    <w:rsid w:val="00D67355"/>
    <w:rsid w:val="00D712C3"/>
    <w:rsid w:val="00D71B03"/>
    <w:rsid w:val="00D72349"/>
    <w:rsid w:val="00D7327A"/>
    <w:rsid w:val="00D74EC8"/>
    <w:rsid w:val="00D758EF"/>
    <w:rsid w:val="00D76F23"/>
    <w:rsid w:val="00D81AC9"/>
    <w:rsid w:val="00D849E3"/>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34D"/>
    <w:rsid w:val="00DB473D"/>
    <w:rsid w:val="00DB5727"/>
    <w:rsid w:val="00DB68CC"/>
    <w:rsid w:val="00DB72F1"/>
    <w:rsid w:val="00DC2E38"/>
    <w:rsid w:val="00DC2FBF"/>
    <w:rsid w:val="00DC4322"/>
    <w:rsid w:val="00DC52BC"/>
    <w:rsid w:val="00DC60C2"/>
    <w:rsid w:val="00DC61D2"/>
    <w:rsid w:val="00DC621D"/>
    <w:rsid w:val="00DC6A98"/>
    <w:rsid w:val="00DC6EF8"/>
    <w:rsid w:val="00DC7245"/>
    <w:rsid w:val="00DC730A"/>
    <w:rsid w:val="00DC7A0C"/>
    <w:rsid w:val="00DD074A"/>
    <w:rsid w:val="00DD12FC"/>
    <w:rsid w:val="00DD1ED6"/>
    <w:rsid w:val="00DD2710"/>
    <w:rsid w:val="00DD2B0D"/>
    <w:rsid w:val="00DE130A"/>
    <w:rsid w:val="00DE1F21"/>
    <w:rsid w:val="00DE2E1C"/>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2FB3"/>
    <w:rsid w:val="00E25706"/>
    <w:rsid w:val="00E25F47"/>
    <w:rsid w:val="00E264BB"/>
    <w:rsid w:val="00E267F5"/>
    <w:rsid w:val="00E276DF"/>
    <w:rsid w:val="00E27A89"/>
    <w:rsid w:val="00E30011"/>
    <w:rsid w:val="00E30596"/>
    <w:rsid w:val="00E31FF9"/>
    <w:rsid w:val="00E33434"/>
    <w:rsid w:val="00E33B23"/>
    <w:rsid w:val="00E35391"/>
    <w:rsid w:val="00E37B1B"/>
    <w:rsid w:val="00E37B97"/>
    <w:rsid w:val="00E417B9"/>
    <w:rsid w:val="00E41B67"/>
    <w:rsid w:val="00E43C23"/>
    <w:rsid w:val="00E4477A"/>
    <w:rsid w:val="00E45160"/>
    <w:rsid w:val="00E45E6A"/>
    <w:rsid w:val="00E50A42"/>
    <w:rsid w:val="00E526BE"/>
    <w:rsid w:val="00E52F6E"/>
    <w:rsid w:val="00E53930"/>
    <w:rsid w:val="00E54FA5"/>
    <w:rsid w:val="00E56D64"/>
    <w:rsid w:val="00E57446"/>
    <w:rsid w:val="00E61081"/>
    <w:rsid w:val="00E61788"/>
    <w:rsid w:val="00E65B18"/>
    <w:rsid w:val="00E65B9D"/>
    <w:rsid w:val="00E66E07"/>
    <w:rsid w:val="00E67F32"/>
    <w:rsid w:val="00E704E0"/>
    <w:rsid w:val="00E71CE6"/>
    <w:rsid w:val="00E71E16"/>
    <w:rsid w:val="00E728C6"/>
    <w:rsid w:val="00E73E65"/>
    <w:rsid w:val="00E75732"/>
    <w:rsid w:val="00E76641"/>
    <w:rsid w:val="00E77AC7"/>
    <w:rsid w:val="00E77FA2"/>
    <w:rsid w:val="00E83DA2"/>
    <w:rsid w:val="00E84575"/>
    <w:rsid w:val="00E851E8"/>
    <w:rsid w:val="00E856E9"/>
    <w:rsid w:val="00E862E7"/>
    <w:rsid w:val="00E86395"/>
    <w:rsid w:val="00E86A0D"/>
    <w:rsid w:val="00E86DF2"/>
    <w:rsid w:val="00E879EC"/>
    <w:rsid w:val="00E949F8"/>
    <w:rsid w:val="00E94A64"/>
    <w:rsid w:val="00E9538B"/>
    <w:rsid w:val="00E95703"/>
    <w:rsid w:val="00E95707"/>
    <w:rsid w:val="00E95C5F"/>
    <w:rsid w:val="00E95D75"/>
    <w:rsid w:val="00E964C2"/>
    <w:rsid w:val="00EA0297"/>
    <w:rsid w:val="00EA116B"/>
    <w:rsid w:val="00EA2C29"/>
    <w:rsid w:val="00EA2CB8"/>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D602B"/>
    <w:rsid w:val="00EE21F2"/>
    <w:rsid w:val="00EE3460"/>
    <w:rsid w:val="00EE50EE"/>
    <w:rsid w:val="00EE55F9"/>
    <w:rsid w:val="00EE62A5"/>
    <w:rsid w:val="00EE63DE"/>
    <w:rsid w:val="00EE64F9"/>
    <w:rsid w:val="00EE7598"/>
    <w:rsid w:val="00EF00EA"/>
    <w:rsid w:val="00EF0CBA"/>
    <w:rsid w:val="00EF34E1"/>
    <w:rsid w:val="00EF3688"/>
    <w:rsid w:val="00EF36A0"/>
    <w:rsid w:val="00EF524C"/>
    <w:rsid w:val="00EF681B"/>
    <w:rsid w:val="00EF6CC3"/>
    <w:rsid w:val="00F00D0F"/>
    <w:rsid w:val="00F0109E"/>
    <w:rsid w:val="00F03A0B"/>
    <w:rsid w:val="00F04AF8"/>
    <w:rsid w:val="00F11454"/>
    <w:rsid w:val="00F12E5A"/>
    <w:rsid w:val="00F2125A"/>
    <w:rsid w:val="00F221FC"/>
    <w:rsid w:val="00F23C89"/>
    <w:rsid w:val="00F24025"/>
    <w:rsid w:val="00F322F5"/>
    <w:rsid w:val="00F35033"/>
    <w:rsid w:val="00F35CAE"/>
    <w:rsid w:val="00F36EE7"/>
    <w:rsid w:val="00F4192F"/>
    <w:rsid w:val="00F41B64"/>
    <w:rsid w:val="00F41D9D"/>
    <w:rsid w:val="00F43389"/>
    <w:rsid w:val="00F44250"/>
    <w:rsid w:val="00F4468A"/>
    <w:rsid w:val="00F47653"/>
    <w:rsid w:val="00F47EFB"/>
    <w:rsid w:val="00F505CE"/>
    <w:rsid w:val="00F50BE9"/>
    <w:rsid w:val="00F5169E"/>
    <w:rsid w:val="00F51C0B"/>
    <w:rsid w:val="00F52F4E"/>
    <w:rsid w:val="00F57AFC"/>
    <w:rsid w:val="00F627E4"/>
    <w:rsid w:val="00F6494D"/>
    <w:rsid w:val="00F654D7"/>
    <w:rsid w:val="00F65A5D"/>
    <w:rsid w:val="00F65DBD"/>
    <w:rsid w:val="00F669B9"/>
    <w:rsid w:val="00F67D80"/>
    <w:rsid w:val="00F773E6"/>
    <w:rsid w:val="00F7797F"/>
    <w:rsid w:val="00F77DEE"/>
    <w:rsid w:val="00F80A07"/>
    <w:rsid w:val="00F80C1E"/>
    <w:rsid w:val="00F80CEE"/>
    <w:rsid w:val="00F81639"/>
    <w:rsid w:val="00F81C18"/>
    <w:rsid w:val="00F81F36"/>
    <w:rsid w:val="00F82613"/>
    <w:rsid w:val="00F83E85"/>
    <w:rsid w:val="00F8493C"/>
    <w:rsid w:val="00F85468"/>
    <w:rsid w:val="00F854C0"/>
    <w:rsid w:val="00F86A45"/>
    <w:rsid w:val="00F86BC7"/>
    <w:rsid w:val="00F907D4"/>
    <w:rsid w:val="00F913C7"/>
    <w:rsid w:val="00F9202F"/>
    <w:rsid w:val="00F92AA4"/>
    <w:rsid w:val="00F967E1"/>
    <w:rsid w:val="00FA2519"/>
    <w:rsid w:val="00FA456B"/>
    <w:rsid w:val="00FA625E"/>
    <w:rsid w:val="00FA6B1E"/>
    <w:rsid w:val="00FB4165"/>
    <w:rsid w:val="00FB48E1"/>
    <w:rsid w:val="00FB59A0"/>
    <w:rsid w:val="00FB740E"/>
    <w:rsid w:val="00FC1484"/>
    <w:rsid w:val="00FC1792"/>
    <w:rsid w:val="00FC1944"/>
    <w:rsid w:val="00FC42BD"/>
    <w:rsid w:val="00FD2E9B"/>
    <w:rsid w:val="00FD378D"/>
    <w:rsid w:val="00FD41A2"/>
    <w:rsid w:val="00FE065B"/>
    <w:rsid w:val="00FE06D8"/>
    <w:rsid w:val="00FE17D2"/>
    <w:rsid w:val="00FE2BF0"/>
    <w:rsid w:val="00FE43C6"/>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98FBBD5-5504-4A0A-BFBC-E507BA3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7026005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000D-863B-4D9E-A0E4-A5FD9D62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7</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2023-08-22T07:45:00Z</cp:lastPrinted>
  <dcterms:created xsi:type="dcterms:W3CDTF">2024-03-28T06:55:00Z</dcterms:created>
  <dcterms:modified xsi:type="dcterms:W3CDTF">2024-03-28T13:26:00Z</dcterms:modified>
</cp:coreProperties>
</file>