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8853B" w14:textId="77777777"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0AE93959" w:rsidR="00633CD8" w:rsidRDefault="00633CD8" w:rsidP="00633CD8">
      <w:pPr>
        <w:pStyle w:val="LegalTitle"/>
        <w:spacing w:after="0" w:line="360" w:lineRule="auto"/>
        <w:rPr>
          <w:u w:val="single"/>
        </w:rPr>
      </w:pPr>
      <w:r w:rsidRPr="00520591">
        <w:rPr>
          <w:u w:val="single"/>
        </w:rPr>
        <w:t xml:space="preserve">GAUTENG </w:t>
      </w:r>
      <w:r w:rsidR="008770E9">
        <w:rPr>
          <w:u w:val="single"/>
        </w:rPr>
        <w:t xml:space="preserve">LOCAL </w:t>
      </w:r>
      <w:r w:rsidRPr="00520591">
        <w:rPr>
          <w:u w:val="single"/>
        </w:rPr>
        <w:t xml:space="preserve">DIVISION, </w:t>
      </w:r>
      <w:r>
        <w:rPr>
          <w:u w:val="single"/>
        </w:rPr>
        <w:t>JOHANNESBURG</w:t>
      </w:r>
    </w:p>
    <w:p w14:paraId="26F92239" w14:textId="09774C68" w:rsidR="00633CD8" w:rsidRDefault="00633CD8" w:rsidP="00633CD8">
      <w:pPr>
        <w:pStyle w:val="LegalAnnexure"/>
        <w:spacing w:after="960" w:line="360" w:lineRule="auto"/>
        <w:rPr>
          <w:u w:val="single"/>
        </w:rP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069D7505" wp14:editId="4BA7DAC4">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2D93CB20" w:rsidR="00633CD8" w:rsidRDefault="000A0742" w:rsidP="000A074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6A35D0AF" w:rsidR="00633CD8" w:rsidRDefault="000A0742" w:rsidP="000A074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60D5193B" w:rsidR="00633CD8" w:rsidRDefault="000A0742" w:rsidP="000A074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5tFQIAACs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">
                <v:textbox>
                  <w:txbxContent>
                    <w:p w14:paraId="031C1BFF" w14:textId="2D93CB20" w:rsidR="00633CD8" w:rsidRDefault="000A0742" w:rsidP="000A074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6A35D0AF" w:rsidR="00633CD8" w:rsidRDefault="000A0742" w:rsidP="000A074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60D5193B" w:rsidR="00633CD8" w:rsidRDefault="000A0742" w:rsidP="000A074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3EBDF944" w:rsidR="00633CD8" w:rsidRPr="001C6F28" w:rsidRDefault="00633CD8" w:rsidP="00633CD8">
      <w:pPr>
        <w:pStyle w:val="LegalAnnexure"/>
        <w:spacing w:after="0" w:line="360" w:lineRule="auto"/>
      </w:pPr>
      <w:r w:rsidRPr="00633CD8">
        <w:t xml:space="preserve"> </w:t>
      </w:r>
      <w:r>
        <w:rPr>
          <w:u w:val="single"/>
        </w:rPr>
        <w:t>CASE</w:t>
      </w:r>
      <w:r w:rsidRPr="00A84826">
        <w:rPr>
          <w:u w:val="single"/>
        </w:rPr>
        <w:t xml:space="preserve"> NO</w:t>
      </w:r>
      <w:r w:rsidRPr="002D4810">
        <w:rPr>
          <w:b w:val="0"/>
        </w:rPr>
        <w:t>:</w:t>
      </w:r>
      <w:r w:rsidR="006E34E4">
        <w:rPr>
          <w:b w:val="0"/>
        </w:rPr>
        <w:t xml:space="preserve"> </w:t>
      </w:r>
      <w:r w:rsidR="003C2889">
        <w:rPr>
          <w:b w:val="0"/>
        </w:rPr>
        <w:t>2021/</w:t>
      </w:r>
      <w:r w:rsidR="008770E9">
        <w:rPr>
          <w:b w:val="0"/>
        </w:rPr>
        <w:t>25209</w:t>
      </w:r>
    </w:p>
    <w:p w14:paraId="017B14CF" w14:textId="352001A6"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454E90">
        <w:rPr>
          <w:b/>
        </w:rPr>
        <w:t>28 MARCH 2024</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765B0934" w:rsidR="006E34E4" w:rsidRPr="00D905E4" w:rsidRDefault="008770E9" w:rsidP="005545E1">
            <w:pPr>
              <w:pStyle w:val="Title"/>
              <w:rPr>
                <w:b/>
                <w:sz w:val="21"/>
              </w:rPr>
            </w:pPr>
            <w:r>
              <w:rPr>
                <w:b/>
                <w:sz w:val="21"/>
              </w:rPr>
              <w:t>ANCHEN VENTER</w:t>
            </w:r>
          </w:p>
        </w:tc>
        <w:tc>
          <w:tcPr>
            <w:tcW w:w="2606" w:type="dxa"/>
          </w:tcPr>
          <w:p w14:paraId="6476AE42" w14:textId="13EF784B" w:rsidR="006E34E4" w:rsidRPr="00D905E4" w:rsidRDefault="008770E9" w:rsidP="005545E1">
            <w:pPr>
              <w:pStyle w:val="Title"/>
              <w:spacing w:line="360" w:lineRule="auto"/>
              <w:jc w:val="right"/>
              <w:rPr>
                <w:sz w:val="21"/>
              </w:rPr>
            </w:pPr>
            <w:r>
              <w:rPr>
                <w:sz w:val="21"/>
              </w:rPr>
              <w:t xml:space="preserve">First </w:t>
            </w:r>
            <w:r w:rsidR="003F1E6B">
              <w:rPr>
                <w:sz w:val="21"/>
              </w:rPr>
              <w:t xml:space="preserve">Applicant </w:t>
            </w:r>
            <w:r w:rsidR="006E34E4" w:rsidRPr="00D905E4">
              <w:rPr>
                <w:sz w:val="21"/>
              </w:rPr>
              <w:t xml:space="preserve"> </w:t>
            </w:r>
          </w:p>
        </w:tc>
      </w:tr>
      <w:tr w:rsidR="006E34E4" w:rsidRPr="00D905E4" w14:paraId="457BF025" w14:textId="77777777" w:rsidTr="006E34E4">
        <w:tc>
          <w:tcPr>
            <w:tcW w:w="6204" w:type="dxa"/>
          </w:tcPr>
          <w:p w14:paraId="3E77B220" w14:textId="6D37226E" w:rsidR="006E34E4" w:rsidRPr="008770E9" w:rsidRDefault="008770E9" w:rsidP="005545E1">
            <w:pPr>
              <w:pStyle w:val="Title"/>
              <w:spacing w:line="360" w:lineRule="auto"/>
              <w:rPr>
                <w:b/>
                <w:bCs/>
                <w:sz w:val="21"/>
              </w:rPr>
            </w:pPr>
            <w:r>
              <w:rPr>
                <w:b/>
                <w:bCs/>
                <w:sz w:val="21"/>
              </w:rPr>
              <w:t>ANCHEN VENTER N.O.</w:t>
            </w:r>
          </w:p>
        </w:tc>
        <w:tc>
          <w:tcPr>
            <w:tcW w:w="2606" w:type="dxa"/>
          </w:tcPr>
          <w:p w14:paraId="10F94294" w14:textId="7B65D6C3" w:rsidR="006E34E4" w:rsidRPr="00D905E4" w:rsidRDefault="008770E9" w:rsidP="008770E9">
            <w:pPr>
              <w:pStyle w:val="Title"/>
              <w:spacing w:line="360" w:lineRule="auto"/>
              <w:jc w:val="right"/>
              <w:rPr>
                <w:sz w:val="21"/>
              </w:rPr>
            </w:pPr>
            <w:r>
              <w:rPr>
                <w:sz w:val="21"/>
              </w:rPr>
              <w:t xml:space="preserve">Second Applicant </w:t>
            </w:r>
          </w:p>
        </w:tc>
      </w:tr>
      <w:tr w:rsidR="008770E9" w:rsidRPr="00D905E4" w14:paraId="4ED0EE99" w14:textId="77777777" w:rsidTr="006E34E4">
        <w:tc>
          <w:tcPr>
            <w:tcW w:w="6204" w:type="dxa"/>
          </w:tcPr>
          <w:p w14:paraId="2D8E49E7" w14:textId="77777777" w:rsidR="008770E9" w:rsidRPr="00D905E4" w:rsidRDefault="008770E9" w:rsidP="005545E1">
            <w:pPr>
              <w:pStyle w:val="Title"/>
              <w:spacing w:line="360" w:lineRule="auto"/>
              <w:rPr>
                <w:sz w:val="21"/>
              </w:rPr>
            </w:pPr>
          </w:p>
        </w:tc>
        <w:tc>
          <w:tcPr>
            <w:tcW w:w="2606" w:type="dxa"/>
          </w:tcPr>
          <w:p w14:paraId="46B5FDA8" w14:textId="77777777" w:rsidR="008770E9" w:rsidRPr="00D905E4" w:rsidRDefault="008770E9" w:rsidP="005545E1">
            <w:pPr>
              <w:pStyle w:val="Title"/>
              <w:spacing w:line="360" w:lineRule="auto"/>
              <w:rPr>
                <w:sz w:val="21"/>
              </w:rPr>
            </w:pPr>
          </w:p>
        </w:tc>
      </w:tr>
      <w:tr w:rsidR="006E34E4" w:rsidRPr="00D905E4" w14:paraId="29265C62" w14:textId="77777777" w:rsidTr="006E34E4">
        <w:tc>
          <w:tcPr>
            <w:tcW w:w="6204" w:type="dxa"/>
          </w:tcPr>
          <w:p w14:paraId="3EB8A71D" w14:textId="77777777" w:rsidR="006E34E4" w:rsidRPr="00D905E4" w:rsidRDefault="006E34E4" w:rsidP="005545E1">
            <w:pPr>
              <w:pStyle w:val="Title"/>
              <w:spacing w:line="360" w:lineRule="auto"/>
              <w:rPr>
                <w:sz w:val="21"/>
              </w:rPr>
            </w:pPr>
            <w:r w:rsidRPr="00D905E4">
              <w:rPr>
                <w:sz w:val="21"/>
              </w:rPr>
              <w:t>and</w:t>
            </w: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1C169D2A" w:rsidR="006E34E4" w:rsidRPr="00D905E4" w:rsidRDefault="008770E9" w:rsidP="005545E1">
            <w:pPr>
              <w:pStyle w:val="Title"/>
              <w:rPr>
                <w:bCs/>
                <w:sz w:val="21"/>
              </w:rPr>
            </w:pPr>
            <w:r>
              <w:rPr>
                <w:b/>
                <w:sz w:val="21"/>
              </w:rPr>
              <w:t>ASTFIN (SA) (PTY) LIMITED</w:t>
            </w:r>
          </w:p>
        </w:tc>
        <w:tc>
          <w:tcPr>
            <w:tcW w:w="2606" w:type="dxa"/>
          </w:tcPr>
          <w:p w14:paraId="69B86802" w14:textId="60F659FD" w:rsidR="006E34E4" w:rsidRPr="00D905E4" w:rsidRDefault="008770E9" w:rsidP="005545E1">
            <w:pPr>
              <w:pStyle w:val="Title"/>
              <w:spacing w:line="360" w:lineRule="auto"/>
              <w:jc w:val="right"/>
              <w:rPr>
                <w:sz w:val="21"/>
              </w:rPr>
            </w:pPr>
            <w:r>
              <w:rPr>
                <w:sz w:val="21"/>
              </w:rPr>
              <w:t xml:space="preserve">First </w:t>
            </w:r>
            <w:r w:rsidR="006E34E4" w:rsidRPr="00D905E4">
              <w:rPr>
                <w:sz w:val="21"/>
              </w:rPr>
              <w:t>Respondent</w:t>
            </w:r>
            <w:r w:rsidR="003F1E6B">
              <w:rPr>
                <w:sz w:val="21"/>
              </w:rPr>
              <w:t xml:space="preserve"> </w:t>
            </w:r>
            <w:r w:rsidR="006E34E4" w:rsidRPr="00D905E4">
              <w:rPr>
                <w:sz w:val="21"/>
              </w:rPr>
              <w:t xml:space="preserve"> </w:t>
            </w:r>
          </w:p>
        </w:tc>
      </w:tr>
      <w:tr w:rsidR="008770E9" w:rsidRPr="00D905E4" w14:paraId="596EE9D8" w14:textId="77777777" w:rsidTr="006E34E4">
        <w:tc>
          <w:tcPr>
            <w:tcW w:w="6204" w:type="dxa"/>
          </w:tcPr>
          <w:p w14:paraId="0E91C72C" w14:textId="62864221" w:rsidR="008770E9" w:rsidRDefault="008770E9" w:rsidP="005545E1">
            <w:pPr>
              <w:pStyle w:val="Title"/>
              <w:rPr>
                <w:b/>
                <w:sz w:val="21"/>
              </w:rPr>
            </w:pPr>
            <w:r>
              <w:rPr>
                <w:b/>
                <w:sz w:val="21"/>
              </w:rPr>
              <w:t>JOHANNES GEORGE VENTER</w:t>
            </w:r>
          </w:p>
        </w:tc>
        <w:tc>
          <w:tcPr>
            <w:tcW w:w="2606" w:type="dxa"/>
          </w:tcPr>
          <w:p w14:paraId="0992A274" w14:textId="1FC67E82" w:rsidR="008770E9" w:rsidRDefault="008770E9" w:rsidP="005545E1">
            <w:pPr>
              <w:pStyle w:val="Title"/>
              <w:spacing w:line="360" w:lineRule="auto"/>
              <w:jc w:val="right"/>
              <w:rPr>
                <w:sz w:val="21"/>
              </w:rPr>
            </w:pPr>
            <w:r>
              <w:rPr>
                <w:sz w:val="21"/>
              </w:rPr>
              <w:t xml:space="preserve">Second Respondent </w:t>
            </w:r>
          </w:p>
        </w:tc>
      </w:tr>
      <w:tr w:rsidR="008770E9" w:rsidRPr="00D905E4" w14:paraId="15B29F4E" w14:textId="77777777" w:rsidTr="006E34E4">
        <w:tc>
          <w:tcPr>
            <w:tcW w:w="6204" w:type="dxa"/>
          </w:tcPr>
          <w:p w14:paraId="78E7F886" w14:textId="4FCDF900" w:rsidR="008770E9" w:rsidRDefault="008770E9" w:rsidP="005545E1">
            <w:pPr>
              <w:pStyle w:val="Title"/>
              <w:rPr>
                <w:b/>
                <w:sz w:val="21"/>
              </w:rPr>
            </w:pPr>
            <w:r>
              <w:rPr>
                <w:b/>
                <w:sz w:val="21"/>
              </w:rPr>
              <w:t>JOHANNES GEORGE VENTER N.O.</w:t>
            </w:r>
          </w:p>
        </w:tc>
        <w:tc>
          <w:tcPr>
            <w:tcW w:w="2606" w:type="dxa"/>
          </w:tcPr>
          <w:p w14:paraId="76362191" w14:textId="6C320A5F" w:rsidR="008770E9" w:rsidRDefault="008770E9" w:rsidP="005545E1">
            <w:pPr>
              <w:pStyle w:val="Title"/>
              <w:spacing w:line="360" w:lineRule="auto"/>
              <w:jc w:val="right"/>
              <w:rPr>
                <w:sz w:val="21"/>
              </w:rPr>
            </w:pPr>
            <w:r>
              <w:rPr>
                <w:sz w:val="21"/>
              </w:rPr>
              <w:t xml:space="preserve">Third Respondent </w:t>
            </w:r>
          </w:p>
        </w:tc>
      </w:tr>
      <w:tr w:rsidR="008770E9" w:rsidRPr="00D905E4" w14:paraId="2975E684" w14:textId="77777777" w:rsidTr="006E34E4">
        <w:tc>
          <w:tcPr>
            <w:tcW w:w="6204" w:type="dxa"/>
          </w:tcPr>
          <w:p w14:paraId="0E7FE456" w14:textId="4E3588C7" w:rsidR="008770E9" w:rsidRDefault="008770E9" w:rsidP="005545E1">
            <w:pPr>
              <w:pStyle w:val="Title"/>
              <w:rPr>
                <w:b/>
                <w:sz w:val="21"/>
              </w:rPr>
            </w:pPr>
            <w:r>
              <w:rPr>
                <w:b/>
                <w:sz w:val="21"/>
              </w:rPr>
              <w:t>JONATHAN BARON N.O.</w:t>
            </w:r>
          </w:p>
        </w:tc>
        <w:tc>
          <w:tcPr>
            <w:tcW w:w="2606" w:type="dxa"/>
          </w:tcPr>
          <w:p w14:paraId="5B676AB7" w14:textId="5B09E6B8" w:rsidR="008770E9" w:rsidRDefault="008770E9" w:rsidP="005545E1">
            <w:pPr>
              <w:pStyle w:val="Title"/>
              <w:spacing w:line="360" w:lineRule="auto"/>
              <w:jc w:val="right"/>
              <w:rPr>
                <w:sz w:val="21"/>
              </w:rPr>
            </w:pPr>
            <w:r>
              <w:rPr>
                <w:sz w:val="21"/>
              </w:rPr>
              <w:t xml:space="preserve">Fourth Respondent </w:t>
            </w:r>
          </w:p>
        </w:tc>
      </w:tr>
      <w:tr w:rsidR="008770E9" w:rsidRPr="00D905E4" w14:paraId="556247E5" w14:textId="77777777" w:rsidTr="006E34E4">
        <w:tc>
          <w:tcPr>
            <w:tcW w:w="6204" w:type="dxa"/>
          </w:tcPr>
          <w:p w14:paraId="48A08D7A" w14:textId="68F7AA4B" w:rsidR="008770E9" w:rsidRDefault="008770E9" w:rsidP="005545E1">
            <w:pPr>
              <w:pStyle w:val="Title"/>
              <w:rPr>
                <w:b/>
                <w:sz w:val="21"/>
              </w:rPr>
            </w:pPr>
            <w:r>
              <w:rPr>
                <w:b/>
                <w:sz w:val="21"/>
              </w:rPr>
              <w:t>SKIATHOS B2 PROPERTY INVESTMENTS CC</w:t>
            </w:r>
          </w:p>
        </w:tc>
        <w:tc>
          <w:tcPr>
            <w:tcW w:w="2606" w:type="dxa"/>
          </w:tcPr>
          <w:p w14:paraId="526059CF" w14:textId="05667C8F" w:rsidR="008770E9" w:rsidRDefault="008770E9" w:rsidP="005545E1">
            <w:pPr>
              <w:pStyle w:val="Title"/>
              <w:spacing w:line="360" w:lineRule="auto"/>
              <w:jc w:val="right"/>
              <w:rPr>
                <w:sz w:val="21"/>
              </w:rPr>
            </w:pPr>
            <w:r>
              <w:rPr>
                <w:sz w:val="21"/>
              </w:rPr>
              <w:t xml:space="preserve">Fifth Respondent </w:t>
            </w:r>
          </w:p>
        </w:tc>
      </w:tr>
      <w:tr w:rsidR="008770E9" w:rsidRPr="00D905E4" w14:paraId="281BC6EB" w14:textId="77777777" w:rsidTr="006E34E4">
        <w:tc>
          <w:tcPr>
            <w:tcW w:w="6204" w:type="dxa"/>
          </w:tcPr>
          <w:p w14:paraId="72AF8A09" w14:textId="6982501E" w:rsidR="008770E9" w:rsidRDefault="008770E9" w:rsidP="005545E1">
            <w:pPr>
              <w:pStyle w:val="Title"/>
              <w:rPr>
                <w:b/>
                <w:sz w:val="21"/>
              </w:rPr>
            </w:pPr>
            <w:r>
              <w:rPr>
                <w:b/>
                <w:sz w:val="21"/>
              </w:rPr>
              <w:t>NRB CAPITAL SOLUTIONS (PTY) LIMITED</w:t>
            </w:r>
          </w:p>
        </w:tc>
        <w:tc>
          <w:tcPr>
            <w:tcW w:w="2606" w:type="dxa"/>
          </w:tcPr>
          <w:p w14:paraId="534F667E" w14:textId="12E6F980" w:rsidR="008770E9" w:rsidRDefault="008770E9" w:rsidP="005545E1">
            <w:pPr>
              <w:pStyle w:val="Title"/>
              <w:spacing w:line="360" w:lineRule="auto"/>
              <w:jc w:val="right"/>
              <w:rPr>
                <w:sz w:val="21"/>
              </w:rPr>
            </w:pPr>
            <w:r>
              <w:rPr>
                <w:sz w:val="21"/>
              </w:rPr>
              <w:t xml:space="preserve">Sixth Respondent </w:t>
            </w:r>
          </w:p>
        </w:tc>
      </w:tr>
      <w:tr w:rsidR="008770E9" w:rsidRPr="00D905E4" w14:paraId="1A68A266" w14:textId="77777777" w:rsidTr="006E34E4">
        <w:tc>
          <w:tcPr>
            <w:tcW w:w="6204" w:type="dxa"/>
          </w:tcPr>
          <w:p w14:paraId="6C1ED682" w14:textId="4058ADAF" w:rsidR="008770E9" w:rsidRDefault="008770E9" w:rsidP="005545E1">
            <w:pPr>
              <w:pStyle w:val="Title"/>
              <w:rPr>
                <w:b/>
                <w:sz w:val="21"/>
              </w:rPr>
            </w:pPr>
            <w:r>
              <w:rPr>
                <w:b/>
                <w:sz w:val="21"/>
              </w:rPr>
              <w:t>FOREST DAWN SYSTEMS (PTY) LIMITED</w:t>
            </w:r>
          </w:p>
        </w:tc>
        <w:tc>
          <w:tcPr>
            <w:tcW w:w="2606" w:type="dxa"/>
          </w:tcPr>
          <w:p w14:paraId="761839A7" w14:textId="769FA26B" w:rsidR="008770E9" w:rsidRDefault="008770E9" w:rsidP="005545E1">
            <w:pPr>
              <w:pStyle w:val="Title"/>
              <w:spacing w:line="360" w:lineRule="auto"/>
              <w:jc w:val="right"/>
              <w:rPr>
                <w:sz w:val="21"/>
              </w:rPr>
            </w:pPr>
            <w:r>
              <w:rPr>
                <w:sz w:val="21"/>
              </w:rPr>
              <w:t xml:space="preserve">Seventh Respondent </w:t>
            </w:r>
          </w:p>
        </w:tc>
      </w:tr>
      <w:tr w:rsidR="008770E9" w:rsidRPr="00D905E4" w14:paraId="7136136C" w14:textId="77777777" w:rsidTr="006E34E4">
        <w:tc>
          <w:tcPr>
            <w:tcW w:w="6204" w:type="dxa"/>
          </w:tcPr>
          <w:p w14:paraId="76BBD74F" w14:textId="075B1404" w:rsidR="008770E9" w:rsidRDefault="008770E9" w:rsidP="005545E1">
            <w:pPr>
              <w:pStyle w:val="Title"/>
              <w:rPr>
                <w:b/>
                <w:sz w:val="21"/>
              </w:rPr>
            </w:pPr>
            <w:r>
              <w:rPr>
                <w:b/>
                <w:sz w:val="21"/>
              </w:rPr>
              <w:t>NRB SERVICES (PTY) LIMITED</w:t>
            </w:r>
          </w:p>
        </w:tc>
        <w:tc>
          <w:tcPr>
            <w:tcW w:w="2606" w:type="dxa"/>
          </w:tcPr>
          <w:p w14:paraId="1F3FE4B7" w14:textId="75A69272" w:rsidR="008770E9" w:rsidRDefault="008770E9" w:rsidP="005545E1">
            <w:pPr>
              <w:pStyle w:val="Title"/>
              <w:spacing w:line="360" w:lineRule="auto"/>
              <w:jc w:val="right"/>
              <w:rPr>
                <w:sz w:val="21"/>
              </w:rPr>
            </w:pPr>
            <w:r>
              <w:rPr>
                <w:sz w:val="21"/>
              </w:rPr>
              <w:t xml:space="preserve">Eighth Respondent </w:t>
            </w:r>
          </w:p>
        </w:tc>
      </w:tr>
      <w:tr w:rsidR="008770E9" w:rsidRPr="00D905E4" w14:paraId="27DA691B" w14:textId="77777777" w:rsidTr="006E34E4">
        <w:tc>
          <w:tcPr>
            <w:tcW w:w="6204" w:type="dxa"/>
          </w:tcPr>
          <w:p w14:paraId="4C66AE09" w14:textId="14B76B6F" w:rsidR="008770E9" w:rsidRDefault="008770E9" w:rsidP="005545E1">
            <w:pPr>
              <w:pStyle w:val="Title"/>
              <w:rPr>
                <w:b/>
                <w:sz w:val="21"/>
              </w:rPr>
            </w:pPr>
            <w:r>
              <w:rPr>
                <w:b/>
                <w:sz w:val="21"/>
              </w:rPr>
              <w:t>SHELF INVESTMENTS NO. 32 (PTY) LIMITED</w:t>
            </w:r>
          </w:p>
        </w:tc>
        <w:tc>
          <w:tcPr>
            <w:tcW w:w="2606" w:type="dxa"/>
          </w:tcPr>
          <w:p w14:paraId="1A2F68F6" w14:textId="7B33B74D" w:rsidR="008770E9" w:rsidRDefault="008770E9" w:rsidP="005545E1">
            <w:pPr>
              <w:pStyle w:val="Title"/>
              <w:spacing w:line="360" w:lineRule="auto"/>
              <w:jc w:val="right"/>
              <w:rPr>
                <w:sz w:val="21"/>
              </w:rPr>
            </w:pPr>
            <w:r>
              <w:rPr>
                <w:sz w:val="21"/>
              </w:rPr>
              <w:t xml:space="preserve">Ninth Respondent </w:t>
            </w:r>
          </w:p>
        </w:tc>
      </w:tr>
      <w:tr w:rsidR="008770E9" w:rsidRPr="00D905E4" w14:paraId="65DA6C4C" w14:textId="77777777" w:rsidTr="006E34E4">
        <w:tc>
          <w:tcPr>
            <w:tcW w:w="6204" w:type="dxa"/>
          </w:tcPr>
          <w:p w14:paraId="5B352CD8" w14:textId="5B00454C" w:rsidR="008770E9" w:rsidRDefault="008770E9" w:rsidP="005545E1">
            <w:pPr>
              <w:pStyle w:val="Title"/>
              <w:rPr>
                <w:b/>
                <w:sz w:val="21"/>
              </w:rPr>
            </w:pPr>
            <w:r>
              <w:rPr>
                <w:b/>
                <w:sz w:val="21"/>
              </w:rPr>
              <w:t>NRB RENTAL SOLUTIONS (PTY) LIMITED</w:t>
            </w:r>
          </w:p>
        </w:tc>
        <w:tc>
          <w:tcPr>
            <w:tcW w:w="2606" w:type="dxa"/>
          </w:tcPr>
          <w:p w14:paraId="220646E4" w14:textId="613131F1" w:rsidR="008770E9" w:rsidRDefault="008770E9" w:rsidP="005545E1">
            <w:pPr>
              <w:pStyle w:val="Title"/>
              <w:spacing w:line="360" w:lineRule="auto"/>
              <w:jc w:val="right"/>
              <w:rPr>
                <w:sz w:val="21"/>
              </w:rPr>
            </w:pPr>
            <w:r>
              <w:rPr>
                <w:sz w:val="21"/>
              </w:rPr>
              <w:t xml:space="preserve">Tenth Respondent </w:t>
            </w:r>
          </w:p>
        </w:tc>
      </w:tr>
      <w:tr w:rsidR="008770E9" w:rsidRPr="00D905E4" w14:paraId="41ABF5D7" w14:textId="77777777" w:rsidTr="006E34E4">
        <w:tc>
          <w:tcPr>
            <w:tcW w:w="6204" w:type="dxa"/>
          </w:tcPr>
          <w:p w14:paraId="7C9CA272" w14:textId="0F59E15C" w:rsidR="008770E9" w:rsidRDefault="008770E9" w:rsidP="005545E1">
            <w:pPr>
              <w:pStyle w:val="Title"/>
              <w:rPr>
                <w:b/>
                <w:sz w:val="21"/>
              </w:rPr>
            </w:pPr>
            <w:r>
              <w:rPr>
                <w:b/>
                <w:sz w:val="21"/>
              </w:rPr>
              <w:t>SCRAP</w:t>
            </w:r>
            <w:r w:rsidR="00BF2BEC">
              <w:rPr>
                <w:b/>
                <w:sz w:val="21"/>
              </w:rPr>
              <w:t>-</w:t>
            </w:r>
            <w:r>
              <w:rPr>
                <w:b/>
                <w:sz w:val="21"/>
              </w:rPr>
              <w:t>N4 AFRICA (PTY) LIMITED</w:t>
            </w:r>
          </w:p>
        </w:tc>
        <w:tc>
          <w:tcPr>
            <w:tcW w:w="2606" w:type="dxa"/>
          </w:tcPr>
          <w:p w14:paraId="2010DAF0" w14:textId="3B7BCC28" w:rsidR="008770E9" w:rsidRDefault="008770E9" w:rsidP="005545E1">
            <w:pPr>
              <w:pStyle w:val="Title"/>
              <w:spacing w:line="360" w:lineRule="auto"/>
              <w:jc w:val="right"/>
              <w:rPr>
                <w:sz w:val="21"/>
              </w:rPr>
            </w:pPr>
            <w:r>
              <w:rPr>
                <w:sz w:val="21"/>
              </w:rPr>
              <w:t xml:space="preserve">Eleventh Respondent </w:t>
            </w:r>
          </w:p>
        </w:tc>
      </w:tr>
      <w:tr w:rsidR="00BF2BEC" w:rsidRPr="00D905E4" w14:paraId="55499308" w14:textId="77777777" w:rsidTr="006E34E4">
        <w:tc>
          <w:tcPr>
            <w:tcW w:w="6204" w:type="dxa"/>
          </w:tcPr>
          <w:p w14:paraId="6EB8507C" w14:textId="086F1378" w:rsidR="00BF2BEC" w:rsidRDefault="00BF2BEC" w:rsidP="005545E1">
            <w:pPr>
              <w:pStyle w:val="Title"/>
              <w:rPr>
                <w:b/>
                <w:sz w:val="21"/>
              </w:rPr>
            </w:pPr>
            <w:r>
              <w:rPr>
                <w:b/>
                <w:sz w:val="21"/>
              </w:rPr>
              <w:t>J KWADRANT (PTY) LIMITED</w:t>
            </w:r>
          </w:p>
        </w:tc>
        <w:tc>
          <w:tcPr>
            <w:tcW w:w="2606" w:type="dxa"/>
          </w:tcPr>
          <w:p w14:paraId="2FF496CA" w14:textId="5DC9A4A6" w:rsidR="00BF2BEC" w:rsidRDefault="00BF2BEC" w:rsidP="005545E1">
            <w:pPr>
              <w:pStyle w:val="Title"/>
              <w:spacing w:line="360" w:lineRule="auto"/>
              <w:jc w:val="right"/>
              <w:rPr>
                <w:sz w:val="21"/>
              </w:rPr>
            </w:pPr>
            <w:r>
              <w:rPr>
                <w:sz w:val="21"/>
              </w:rPr>
              <w:t xml:space="preserve">Twelfth Respondent </w:t>
            </w:r>
          </w:p>
        </w:tc>
      </w:tr>
      <w:tr w:rsidR="00BF2BEC" w:rsidRPr="00D905E4" w14:paraId="3203DD41" w14:textId="77777777" w:rsidTr="006E34E4">
        <w:tc>
          <w:tcPr>
            <w:tcW w:w="6204" w:type="dxa"/>
          </w:tcPr>
          <w:p w14:paraId="345EEAF9" w14:textId="6BE83A0B" w:rsidR="00BF2BEC" w:rsidRDefault="00BF2BEC" w:rsidP="005545E1">
            <w:pPr>
              <w:pStyle w:val="Title"/>
              <w:rPr>
                <w:b/>
                <w:sz w:val="21"/>
              </w:rPr>
            </w:pPr>
            <w:r>
              <w:rPr>
                <w:b/>
                <w:sz w:val="21"/>
              </w:rPr>
              <w:t>PLANET FINANCE CORPORATION (PTY) LIMITED</w:t>
            </w:r>
          </w:p>
        </w:tc>
        <w:tc>
          <w:tcPr>
            <w:tcW w:w="2606" w:type="dxa"/>
          </w:tcPr>
          <w:p w14:paraId="386912D2" w14:textId="76D3BAE1" w:rsidR="00BF2BEC" w:rsidRDefault="00BF2BEC" w:rsidP="005545E1">
            <w:pPr>
              <w:pStyle w:val="Title"/>
              <w:spacing w:line="360" w:lineRule="auto"/>
              <w:jc w:val="right"/>
              <w:rPr>
                <w:sz w:val="21"/>
              </w:rPr>
            </w:pPr>
            <w:r>
              <w:rPr>
                <w:sz w:val="21"/>
              </w:rPr>
              <w:t xml:space="preserve">Thirteenth Respondent </w:t>
            </w:r>
          </w:p>
        </w:tc>
      </w:tr>
      <w:tr w:rsidR="00BF2BEC" w:rsidRPr="00D905E4" w14:paraId="2A275E3C" w14:textId="77777777" w:rsidTr="006E34E4">
        <w:tc>
          <w:tcPr>
            <w:tcW w:w="6204" w:type="dxa"/>
          </w:tcPr>
          <w:p w14:paraId="7570C81B" w14:textId="4C891322" w:rsidR="00BF2BEC" w:rsidRDefault="00BF2BEC" w:rsidP="005545E1">
            <w:pPr>
              <w:pStyle w:val="Title"/>
              <w:rPr>
                <w:b/>
                <w:sz w:val="21"/>
              </w:rPr>
            </w:pPr>
            <w:r>
              <w:rPr>
                <w:b/>
                <w:sz w:val="21"/>
              </w:rPr>
              <w:t>SOUTH AFRICAN REVENUE SERVICE</w:t>
            </w:r>
          </w:p>
        </w:tc>
        <w:tc>
          <w:tcPr>
            <w:tcW w:w="2606" w:type="dxa"/>
          </w:tcPr>
          <w:p w14:paraId="02B9BA29" w14:textId="1EBB94A8" w:rsidR="00BF2BEC" w:rsidRDefault="00BF2BEC" w:rsidP="005545E1">
            <w:pPr>
              <w:pStyle w:val="Title"/>
              <w:spacing w:line="360" w:lineRule="auto"/>
              <w:jc w:val="right"/>
              <w:rPr>
                <w:sz w:val="21"/>
              </w:rPr>
            </w:pPr>
            <w:r>
              <w:rPr>
                <w:sz w:val="21"/>
              </w:rPr>
              <w:t xml:space="preserve">Fourteenth Respondent </w:t>
            </w:r>
          </w:p>
        </w:tc>
      </w:tr>
    </w:tbl>
    <w:p w14:paraId="080B1F8B" w14:textId="77777777" w:rsidR="006E34E4" w:rsidRPr="00D905E4" w:rsidRDefault="006E34E4" w:rsidP="006E34E4">
      <w:pPr>
        <w:pStyle w:val="Title"/>
        <w:rPr>
          <w:sz w:val="21"/>
        </w:rPr>
      </w:pPr>
    </w:p>
    <w:p w14:paraId="12DFC443" w14:textId="49BF5CCC" w:rsidR="00633CD8" w:rsidRDefault="00633CD8" w:rsidP="006E34E4">
      <w:pPr>
        <w:tabs>
          <w:tab w:val="left" w:pos="1418"/>
        </w:tabs>
        <w:spacing w:before="120" w:after="120"/>
        <w:rPr>
          <w:rFonts w:cs="Arial"/>
        </w:rPr>
      </w:pPr>
      <w:r>
        <w:rPr>
          <w:rFonts w:cs="Arial"/>
          <w:b/>
          <w:bCs/>
        </w:rPr>
        <w:lastRenderedPageBreak/>
        <w:t>Coram:</w:t>
      </w:r>
      <w:r>
        <w:rPr>
          <w:rFonts w:cs="Arial"/>
        </w:rPr>
        <w:tab/>
      </w:r>
      <w:r w:rsidR="005910E7">
        <w:rPr>
          <w:rFonts w:cs="Arial"/>
        </w:rPr>
        <w:t xml:space="preserve">  Ternent AJ</w:t>
      </w:r>
    </w:p>
    <w:p w14:paraId="2D78F15E" w14:textId="028E6EC0"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E66BE1">
        <w:rPr>
          <w:rFonts w:cs="Arial"/>
        </w:rPr>
        <w:t>29 February 2024</w:t>
      </w:r>
    </w:p>
    <w:p w14:paraId="13D07160" w14:textId="1152DD3D" w:rsidR="00633CD8" w:rsidRDefault="00633CD8" w:rsidP="00633CD8">
      <w:pPr>
        <w:tabs>
          <w:tab w:val="left" w:pos="1418"/>
        </w:tabs>
        <w:spacing w:after="120"/>
        <w:ind w:left="1418" w:hanging="1418"/>
        <w:rPr>
          <w:rFonts w:cs="Arial"/>
        </w:rPr>
      </w:pPr>
      <w:r>
        <w:rPr>
          <w:rFonts w:cs="Arial"/>
          <w:b/>
        </w:rPr>
        <w:t>Delivered:</w:t>
      </w:r>
      <w:r>
        <w:rPr>
          <w:rFonts w:cs="Arial"/>
          <w:b/>
        </w:rPr>
        <w:tab/>
      </w:r>
      <w:r w:rsidR="00E66BE1" w:rsidRPr="00E66BE1">
        <w:rPr>
          <w:rFonts w:cs="Arial"/>
          <w:bCs/>
        </w:rPr>
        <w:t>28 March 2024</w:t>
      </w:r>
    </w:p>
    <w:p w14:paraId="3E9A3BA1" w14:textId="77777777" w:rsidR="00633CD8" w:rsidRDefault="00633CD8" w:rsidP="00633CD8">
      <w:pPr>
        <w:spacing w:after="240"/>
        <w:rPr>
          <w:rFonts w:cs="Arial"/>
          <w:b/>
          <w:bCs/>
        </w:rPr>
      </w:pPr>
      <w:r>
        <w:rPr>
          <w:rFonts w:cs="Arial"/>
          <w:b/>
          <w:bCs/>
        </w:rPr>
        <w:t>Summary:</w:t>
      </w:r>
      <w:r>
        <w:rPr>
          <w:rFonts w:cs="Arial"/>
          <w:b/>
          <w:bCs/>
        </w:rPr>
        <w:tab/>
      </w:r>
    </w:p>
    <w:p w14:paraId="1929717F" w14:textId="32A008F8" w:rsidR="00053C24" w:rsidRPr="006D6322" w:rsidRDefault="006D6322" w:rsidP="006D6322">
      <w:pPr>
        <w:spacing w:after="240"/>
        <w:ind w:left="1871" w:hanging="1871"/>
        <w:rPr>
          <w:rFonts w:cs="Arial"/>
          <w:i/>
          <w:iCs/>
        </w:rPr>
      </w:pPr>
      <w:r w:rsidRPr="006D6322">
        <w:rPr>
          <w:rFonts w:cs="Arial"/>
          <w:i/>
          <w:iCs/>
        </w:rPr>
        <w:t>Delivered:</w:t>
      </w:r>
      <w:r w:rsidRPr="006D6322">
        <w:rPr>
          <w:rFonts w:cs="Arial"/>
          <w:i/>
          <w:iCs/>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0A5BEE">
        <w:rPr>
          <w:rFonts w:cs="Arial"/>
          <w:i/>
          <w:iCs/>
        </w:rPr>
        <w:t xml:space="preserve"> at 15h00 </w:t>
      </w:r>
      <w:r w:rsidRPr="006D6322">
        <w:rPr>
          <w:rFonts w:cs="Arial"/>
          <w:i/>
          <w:iCs/>
        </w:rPr>
        <w:t xml:space="preserve">on </w:t>
      </w:r>
      <w:r>
        <w:rPr>
          <w:rFonts w:cs="Arial"/>
          <w:i/>
          <w:iCs/>
        </w:rPr>
        <w:t xml:space="preserve">28 March </w:t>
      </w:r>
      <w:r w:rsidRPr="006D6322">
        <w:rPr>
          <w:rFonts w:cs="Arial"/>
          <w:i/>
          <w:iCs/>
        </w:rPr>
        <w:t>2024.</w:t>
      </w:r>
    </w:p>
    <w:p w14:paraId="7C37C51C" w14:textId="26CC7D88" w:rsidR="00633CD8" w:rsidRPr="00A84826" w:rsidRDefault="00633CD8" w:rsidP="00633CD8">
      <w:pPr>
        <w:pStyle w:val="LegalTramLines"/>
        <w:spacing w:after="240"/>
      </w:pPr>
      <w:r>
        <w:t xml:space="preserve">JUDGMENT </w:t>
      </w:r>
      <w:r w:rsidR="00E168D5">
        <w:t xml:space="preserve"> -  LEAVE TO APPEAL</w:t>
      </w:r>
    </w:p>
    <w:p w14:paraId="1C8B327F" w14:textId="07BC19AB" w:rsidR="006F7C73" w:rsidRDefault="005F5D78" w:rsidP="00A34D30">
      <w:pPr>
        <w:pStyle w:val="Heading1"/>
        <w:keepNext/>
        <w:numPr>
          <w:ilvl w:val="0"/>
          <w:numId w:val="0"/>
        </w:numPr>
        <w:ind w:left="862" w:hanging="862"/>
      </w:pPr>
      <w:bookmarkStart w:id="0" w:name="_Hlk81386236"/>
      <w:bookmarkStart w:id="1" w:name="_Hlk81386419"/>
      <w:r w:rsidRPr="000460FA">
        <w:rPr>
          <w:b/>
          <w:bCs/>
          <w:u w:val="single"/>
        </w:rPr>
        <w:t>TERNENT</w:t>
      </w:r>
      <w:r w:rsidR="00833533" w:rsidRPr="000460FA">
        <w:rPr>
          <w:b/>
          <w:bCs/>
          <w:u w:val="single"/>
        </w:rPr>
        <w:t>, AJ</w:t>
      </w:r>
      <w:r w:rsidR="002A19E4" w:rsidRPr="005F5D78">
        <w:t>:</w:t>
      </w:r>
      <w:bookmarkEnd w:id="0"/>
    </w:p>
    <w:p w14:paraId="0AFC793E" w14:textId="5AE36636" w:rsidR="005910E7" w:rsidRDefault="000A0742" w:rsidP="000A0742">
      <w:pPr>
        <w:pStyle w:val="Heading1"/>
        <w:numPr>
          <w:ilvl w:val="0"/>
          <w:numId w:val="0"/>
        </w:numPr>
        <w:tabs>
          <w:tab w:val="left" w:pos="862"/>
        </w:tabs>
        <w:ind w:left="862" w:hanging="862"/>
      </w:pPr>
      <w:bookmarkStart w:id="2" w:name="_Hlk81386187"/>
      <w:r>
        <w:t>[1]</w:t>
      </w:r>
      <w:r>
        <w:tab/>
      </w:r>
      <w:r w:rsidR="005D4CE1">
        <w:t xml:space="preserve">As </w:t>
      </w:r>
      <w:r w:rsidR="000A5BEE">
        <w:t xml:space="preserve">referred to </w:t>
      </w:r>
      <w:r w:rsidR="005D4CE1">
        <w:t>in my judgment, both applicants brought an application for leave to appeal dated 10 November 2022</w:t>
      </w:r>
      <w:r w:rsidR="00A26159">
        <w:rPr>
          <w:rStyle w:val="FootnoteReference"/>
        </w:rPr>
        <w:footnoteReference w:id="1"/>
      </w:r>
      <w:r w:rsidR="005910E7">
        <w:t xml:space="preserve">. This </w:t>
      </w:r>
      <w:r w:rsidR="0021628D">
        <w:t>application</w:t>
      </w:r>
      <w:r w:rsidR="005910E7">
        <w:t xml:space="preserve"> sought leave to appeal</w:t>
      </w:r>
      <w:r w:rsidR="000A5BEE">
        <w:t xml:space="preserve"> the </w:t>
      </w:r>
      <w:r w:rsidR="005910E7">
        <w:t xml:space="preserve">order </w:t>
      </w:r>
      <w:r w:rsidR="00224E79">
        <w:t xml:space="preserve">dismissing the contention </w:t>
      </w:r>
      <w:r w:rsidR="005910E7">
        <w:t xml:space="preserve">that </w:t>
      </w:r>
      <w:r w:rsidR="0021628D">
        <w:t xml:space="preserve">the </w:t>
      </w:r>
      <w:r w:rsidR="00224E79">
        <w:t>application</w:t>
      </w:r>
      <w:r w:rsidR="0021628D">
        <w:t xml:space="preserve"> had become settled</w:t>
      </w:r>
      <w:r w:rsidR="005910E7">
        <w:t xml:space="preserve"> </w:t>
      </w:r>
      <w:r w:rsidR="000A5BEE">
        <w:t xml:space="preserve">between the applicants and </w:t>
      </w:r>
      <w:r w:rsidR="005910E7">
        <w:t>the first respondent</w:t>
      </w:r>
      <w:r w:rsidR="0021628D">
        <w:t>.</w:t>
      </w:r>
    </w:p>
    <w:p w14:paraId="41015C8F" w14:textId="6EE4CEEE" w:rsidR="00224E79" w:rsidRDefault="000A0742" w:rsidP="000A0742">
      <w:pPr>
        <w:pStyle w:val="Heading1"/>
        <w:numPr>
          <w:ilvl w:val="0"/>
          <w:numId w:val="0"/>
        </w:numPr>
        <w:tabs>
          <w:tab w:val="left" w:pos="862"/>
        </w:tabs>
        <w:ind w:left="862" w:hanging="862"/>
      </w:pPr>
      <w:r>
        <w:t>[2]</w:t>
      </w:r>
      <w:r>
        <w:tab/>
      </w:r>
      <w:r w:rsidR="0021628D">
        <w:t>Subsequently, a further application for leave to appeal was delivered</w:t>
      </w:r>
      <w:r w:rsidR="00FE3ABC">
        <w:t xml:space="preserve"> by the first applicant</w:t>
      </w:r>
      <w:r w:rsidR="005910E7">
        <w:t xml:space="preserve"> </w:t>
      </w:r>
      <w:r w:rsidR="00707BA0">
        <w:t>alone</w:t>
      </w:r>
      <w:r w:rsidR="00FE3ABC">
        <w:t xml:space="preserve"> dated 2 October 2023.</w:t>
      </w:r>
      <w:r w:rsidR="00FE3ABC">
        <w:rPr>
          <w:rStyle w:val="FootnoteReference"/>
        </w:rPr>
        <w:footnoteReference w:id="2"/>
      </w:r>
    </w:p>
    <w:p w14:paraId="3EEF7856" w14:textId="5A61A431" w:rsidR="005910E7" w:rsidRDefault="000A0742" w:rsidP="000A0742">
      <w:pPr>
        <w:pStyle w:val="Heading1"/>
        <w:numPr>
          <w:ilvl w:val="0"/>
          <w:numId w:val="0"/>
        </w:numPr>
        <w:tabs>
          <w:tab w:val="left" w:pos="862"/>
        </w:tabs>
        <w:ind w:left="862" w:hanging="862"/>
      </w:pPr>
      <w:r>
        <w:t>[3]</w:t>
      </w:r>
      <w:r>
        <w:tab/>
      </w:r>
      <w:r w:rsidR="00A26159">
        <w:t>Mr Thompson</w:t>
      </w:r>
      <w:r w:rsidR="00707BA0">
        <w:t>,</w:t>
      </w:r>
      <w:r w:rsidR="00A26159">
        <w:t xml:space="preserve"> who appeared in the application for leave to appeal</w:t>
      </w:r>
      <w:r w:rsidR="00707BA0">
        <w:t>,</w:t>
      </w:r>
      <w:r w:rsidR="00A26159">
        <w:t xml:space="preserve"> informed me that he was only </w:t>
      </w:r>
      <w:r w:rsidR="005910E7">
        <w:t xml:space="preserve">representing </w:t>
      </w:r>
      <w:r w:rsidR="00A26159">
        <w:t>the first applicant and</w:t>
      </w:r>
      <w:r w:rsidR="00707BA0">
        <w:t xml:space="preserve"> had only been briefed with the second application for leave to appeal. He informed me</w:t>
      </w:r>
      <w:r w:rsidR="00A26159">
        <w:t xml:space="preserve"> that I should</w:t>
      </w:r>
      <w:r w:rsidR="00707BA0">
        <w:t xml:space="preserve"> only have regard</w:t>
      </w:r>
      <w:r w:rsidR="00A26159">
        <w:t xml:space="preserve"> to th</w:t>
      </w:r>
      <w:r w:rsidR="00707BA0">
        <w:t>e second application for leave to appeal and that he was limiting his argument to only one</w:t>
      </w:r>
      <w:r w:rsidR="00A26159">
        <w:t xml:space="preserve"> </w:t>
      </w:r>
      <w:r w:rsidR="005910E7">
        <w:t>ground</w:t>
      </w:r>
      <w:r w:rsidR="0056050B">
        <w:t xml:space="preserve"> raised in </w:t>
      </w:r>
      <w:r w:rsidR="0056050B">
        <w:lastRenderedPageBreak/>
        <w:t>the</w:t>
      </w:r>
      <w:r w:rsidR="00224E79">
        <w:t xml:space="preserve"> </w:t>
      </w:r>
      <w:r w:rsidR="0056050B">
        <w:t>application for leave to appeal</w:t>
      </w:r>
      <w:r w:rsidR="0056050B">
        <w:rPr>
          <w:rStyle w:val="FootnoteReference"/>
        </w:rPr>
        <w:footnoteReference w:id="3"/>
      </w:r>
      <w:r w:rsidR="00FE3ABC">
        <w:t xml:space="preserve"> </w:t>
      </w:r>
      <w:r w:rsidR="0056050B">
        <w:t xml:space="preserve">and dealt with in his </w:t>
      </w:r>
      <w:r w:rsidR="006A54EC">
        <w:t>heads of argument</w:t>
      </w:r>
      <w:r w:rsidR="00707BA0">
        <w:t>, namely</w:t>
      </w:r>
      <w:r w:rsidR="006A54EC">
        <w:t xml:space="preserve"> that </w:t>
      </w:r>
      <w:r w:rsidR="005910E7">
        <w:t xml:space="preserve"> in the face of the material disputes of fact</w:t>
      </w:r>
      <w:r w:rsidR="006A54EC">
        <w:t xml:space="preserve"> the </w:t>
      </w:r>
      <w:r w:rsidR="005910E7">
        <w:t xml:space="preserve">Court </w:t>
      </w:r>
      <w:r w:rsidR="006A54EC">
        <w:rPr>
          <w:i/>
          <w:iCs/>
        </w:rPr>
        <w:t>“could rightfully (and should have) then and there have dismissed the application”</w:t>
      </w:r>
      <w:r w:rsidR="00255FF0">
        <w:t xml:space="preserve">.  </w:t>
      </w:r>
    </w:p>
    <w:p w14:paraId="370D0123" w14:textId="571BA3A4" w:rsidR="00EF1F63" w:rsidRDefault="000A0742" w:rsidP="000A0742">
      <w:pPr>
        <w:pStyle w:val="Heading1"/>
        <w:numPr>
          <w:ilvl w:val="0"/>
          <w:numId w:val="0"/>
        </w:numPr>
        <w:tabs>
          <w:tab w:val="left" w:pos="862"/>
        </w:tabs>
        <w:ind w:left="862" w:hanging="862"/>
      </w:pPr>
      <w:r>
        <w:t>[4]</w:t>
      </w:r>
      <w:r>
        <w:tab/>
      </w:r>
      <w:r w:rsidR="00255FF0">
        <w:t>In this regard reliance</w:t>
      </w:r>
      <w:r w:rsidR="005910E7">
        <w:t xml:space="preserve"> was placed</w:t>
      </w:r>
      <w:r w:rsidR="00255FF0">
        <w:t xml:space="preserve"> on </w:t>
      </w:r>
      <w:r w:rsidR="00255FF0">
        <w:rPr>
          <w:i/>
          <w:iCs/>
        </w:rPr>
        <w:t xml:space="preserve">Mashisane v </w:t>
      </w:r>
      <w:r w:rsidR="00B855BD">
        <w:rPr>
          <w:i/>
          <w:iCs/>
        </w:rPr>
        <w:t>Mhlauli</w:t>
      </w:r>
      <w:r w:rsidR="00B855BD" w:rsidRPr="00B855BD">
        <w:rPr>
          <w:rStyle w:val="FootnoteReference"/>
        </w:rPr>
        <w:footnoteReference w:id="4"/>
      </w:r>
      <w:r w:rsidR="00255FF0" w:rsidRPr="00B855BD">
        <w:t xml:space="preserve"> </w:t>
      </w:r>
      <w:r w:rsidR="00B855BD">
        <w:t>which</w:t>
      </w:r>
      <w:r w:rsidR="005910E7">
        <w:t xml:space="preserve"> is authority for the well-known principle that </w:t>
      </w:r>
      <w:r w:rsidR="00B855BD">
        <w:t>in the face of existing disputes of fact an application may well be dismissed rather than being referred to evidence or trial.</w:t>
      </w:r>
      <w:r w:rsidR="00C8377F">
        <w:t xml:space="preserve">  </w:t>
      </w:r>
    </w:p>
    <w:p w14:paraId="15BF45D7" w14:textId="21E7DD25" w:rsidR="00FE3ABC" w:rsidRPr="00416970" w:rsidRDefault="000A0742" w:rsidP="000A0742">
      <w:pPr>
        <w:pStyle w:val="Heading1"/>
        <w:numPr>
          <w:ilvl w:val="0"/>
          <w:numId w:val="0"/>
        </w:numPr>
        <w:tabs>
          <w:tab w:val="left" w:pos="862"/>
        </w:tabs>
        <w:ind w:left="862" w:hanging="862"/>
      </w:pPr>
      <w:r w:rsidRPr="00416970">
        <w:t>[5]</w:t>
      </w:r>
      <w:r w:rsidRPr="00416970">
        <w:tab/>
      </w:r>
      <w:r w:rsidR="00C8377F">
        <w:t xml:space="preserve">As submitted to me by </w:t>
      </w:r>
      <w:r w:rsidR="00EF1F63">
        <w:t xml:space="preserve">both </w:t>
      </w:r>
      <w:r w:rsidR="00C8377F">
        <w:t>counsel</w:t>
      </w:r>
      <w:r w:rsidR="00707BA0">
        <w:t>, representing the respective</w:t>
      </w:r>
      <w:r w:rsidR="00C8377F">
        <w:t xml:space="preserve"> respondents, the </w:t>
      </w:r>
      <w:r w:rsidR="000918CC">
        <w:t>first applicant cannot appeal the reasons for an order but only the order itself to the extent that it is contended that the order is wrong.  This is a trite principle succinctly set out in</w:t>
      </w:r>
      <w:r w:rsidR="00707BA0">
        <w:t xml:space="preserve"> a number of </w:t>
      </w:r>
      <w:r w:rsidR="00224E79">
        <w:t>cases</w:t>
      </w:r>
      <w:r w:rsidR="00707BA0">
        <w:t xml:space="preserve"> and</w:t>
      </w:r>
      <w:r w:rsidR="00224E79">
        <w:t>,</w:t>
      </w:r>
      <w:r w:rsidR="00707BA0">
        <w:t xml:space="preserve"> also in</w:t>
      </w:r>
      <w:r w:rsidR="000918CC">
        <w:t xml:space="preserve"> </w:t>
      </w:r>
      <w:r w:rsidR="00462EE1">
        <w:rPr>
          <w:i/>
          <w:iCs/>
        </w:rPr>
        <w:t>Mass Stores (Pty) Ltd v Pick n Pay Retailers (Pty) Ltd</w:t>
      </w:r>
      <w:r w:rsidR="00224E79">
        <w:rPr>
          <w:i/>
          <w:iCs/>
        </w:rPr>
        <w:t xml:space="preserve">, </w:t>
      </w:r>
      <w:r w:rsidR="00224E79">
        <w:t>as follows</w:t>
      </w:r>
      <w:r w:rsidR="00416970">
        <w:rPr>
          <w:i/>
          <w:iCs/>
        </w:rPr>
        <w:t>:</w:t>
      </w:r>
      <w:r w:rsidR="00462EE1" w:rsidRPr="00ED57B0">
        <w:rPr>
          <w:rStyle w:val="FootnoteReference"/>
        </w:rPr>
        <w:footnoteReference w:id="5"/>
      </w:r>
    </w:p>
    <w:p w14:paraId="1F6BD4BF" w14:textId="67B21BC5" w:rsidR="00416970" w:rsidRPr="00416970" w:rsidRDefault="00416970" w:rsidP="00416970">
      <w:pPr>
        <w:ind w:left="1871" w:hanging="1871"/>
        <w:rPr>
          <w:i/>
          <w:iCs/>
        </w:rPr>
      </w:pPr>
      <w:r>
        <w:tab/>
      </w:r>
      <w:r>
        <w:rPr>
          <w:i/>
          <w:iCs/>
        </w:rPr>
        <w:t>“</w:t>
      </w:r>
      <w:r w:rsidRPr="00416970">
        <w:rPr>
          <w:i/>
          <w:iCs/>
        </w:rPr>
        <w:t xml:space="preserve">[59] </w:t>
      </w:r>
      <w:r>
        <w:rPr>
          <w:i/>
          <w:iCs/>
        </w:rPr>
        <w:tab/>
      </w:r>
      <w:r w:rsidRPr="00416970">
        <w:rPr>
          <w:i/>
          <w:iCs/>
        </w:rPr>
        <w:t>Therefore, assuming that Masstores establishes that this Court has jurisdiction and that it is in the interest of justice to grant leave, the appeal can only succeed if it is shown that the order issued was not supported by the facts on record and the application of the relevant law to them.  A decision of a court is not overturned merely because wrong reasons were invoked to support it.  In our law no appeal lies against reasons in a judgment.</w:t>
      </w:r>
      <w:r w:rsidR="00ED57B0">
        <w:rPr>
          <w:i/>
          <w:iCs/>
        </w:rPr>
        <w:t xml:space="preserve"> </w:t>
      </w:r>
      <w:r w:rsidRPr="00ED57B0">
        <w:t>[</w:t>
      </w:r>
      <w:r w:rsidR="00ED57B0" w:rsidRPr="00ED57B0">
        <w:t>Footnote omitted</w:t>
      </w:r>
      <w:r w:rsidRPr="00ED57B0">
        <w:t>]</w:t>
      </w:r>
      <w:r w:rsidRPr="00416970">
        <w:rPr>
          <w:i/>
          <w:iCs/>
        </w:rPr>
        <w:t xml:space="preserve">  Instead, the appeal lies against an order.  Hence it often occurs that an appeal is dismissed but for reasons different from those advanced by the lower court whose judgment is the subject of an appeal.</w:t>
      </w:r>
      <w:r w:rsidR="00ED57B0">
        <w:rPr>
          <w:i/>
          <w:iCs/>
        </w:rPr>
        <w:t>”</w:t>
      </w:r>
    </w:p>
    <w:p w14:paraId="435F931E" w14:textId="4A9A70D8" w:rsidR="00EF1F63" w:rsidRDefault="000A0742" w:rsidP="000A0742">
      <w:pPr>
        <w:pStyle w:val="Heading1"/>
        <w:numPr>
          <w:ilvl w:val="0"/>
          <w:numId w:val="0"/>
        </w:numPr>
        <w:tabs>
          <w:tab w:val="left" w:pos="862"/>
        </w:tabs>
        <w:ind w:left="862" w:hanging="862"/>
      </w:pPr>
      <w:r>
        <w:lastRenderedPageBreak/>
        <w:t>[6]</w:t>
      </w:r>
      <w:r>
        <w:tab/>
      </w:r>
      <w:r w:rsidR="00EF1F63">
        <w:t xml:space="preserve">As </w:t>
      </w:r>
      <w:r w:rsidR="00224E79">
        <w:t xml:space="preserve">succinctly captured </w:t>
      </w:r>
      <w:r w:rsidR="00EF1F63">
        <w:t xml:space="preserve">by Mr Stadler the complaint appears to be that I should have dismissed the application </w:t>
      </w:r>
      <w:r w:rsidR="00224E79">
        <w:t>“</w:t>
      </w:r>
      <w:r w:rsidR="00EF1F63" w:rsidRPr="00224E79">
        <w:rPr>
          <w:i/>
          <w:iCs/>
        </w:rPr>
        <w:t xml:space="preserve">earlier </w:t>
      </w:r>
      <w:r w:rsidR="00707BA0" w:rsidRPr="00224E79">
        <w:rPr>
          <w:i/>
          <w:iCs/>
        </w:rPr>
        <w:t xml:space="preserve">rather </w:t>
      </w:r>
      <w:r w:rsidR="00EF1F63" w:rsidRPr="00224E79">
        <w:rPr>
          <w:i/>
          <w:iCs/>
        </w:rPr>
        <w:t>than later</w:t>
      </w:r>
      <w:r w:rsidR="00224E79">
        <w:t>”</w:t>
      </w:r>
      <w:r w:rsidR="00EF1F63">
        <w:t>. And</w:t>
      </w:r>
      <w:r w:rsidR="00224E79">
        <w:t xml:space="preserve"> </w:t>
      </w:r>
      <w:r w:rsidR="00707BA0">
        <w:t>logically</w:t>
      </w:r>
      <w:r w:rsidR="00EF1F63">
        <w:t xml:space="preserve"> having dismissed the application, the first applicant is armed with the very order that she s</w:t>
      </w:r>
      <w:r w:rsidR="00707BA0">
        <w:t>ought</w:t>
      </w:r>
      <w:r w:rsidR="00EF1F63">
        <w:t>.</w:t>
      </w:r>
    </w:p>
    <w:p w14:paraId="541E7BCA" w14:textId="4A30BB9E" w:rsidR="00EF1F63" w:rsidRDefault="000A0742" w:rsidP="000A0742">
      <w:pPr>
        <w:pStyle w:val="Heading1"/>
        <w:numPr>
          <w:ilvl w:val="0"/>
          <w:numId w:val="0"/>
        </w:numPr>
        <w:tabs>
          <w:tab w:val="left" w:pos="862"/>
        </w:tabs>
        <w:ind w:left="862" w:hanging="862"/>
      </w:pPr>
      <w:r>
        <w:t>[7]</w:t>
      </w:r>
      <w:r>
        <w:tab/>
      </w:r>
      <w:r w:rsidR="00EF1F63">
        <w:t>T</w:t>
      </w:r>
      <w:r w:rsidR="006C29F8">
        <w:t xml:space="preserve">he first applicant did not seek </w:t>
      </w:r>
      <w:r w:rsidR="00EF1F63">
        <w:t xml:space="preserve">leave </w:t>
      </w:r>
      <w:r w:rsidR="006C29F8">
        <w:t>to appeal the costs order that was made</w:t>
      </w:r>
      <w:r w:rsidR="00EF1F63">
        <w:t xml:space="preserve"> by me.</w:t>
      </w:r>
    </w:p>
    <w:p w14:paraId="65CA4C06" w14:textId="7E0CC00D" w:rsidR="00ED57B0" w:rsidRDefault="000A0742" w:rsidP="000A0742">
      <w:pPr>
        <w:pStyle w:val="Heading1"/>
        <w:numPr>
          <w:ilvl w:val="0"/>
          <w:numId w:val="0"/>
        </w:numPr>
        <w:tabs>
          <w:tab w:val="left" w:pos="862"/>
        </w:tabs>
        <w:ind w:left="862" w:hanging="862"/>
      </w:pPr>
      <w:r>
        <w:t>[8]</w:t>
      </w:r>
      <w:r>
        <w:tab/>
      </w:r>
      <w:r w:rsidR="006C29F8">
        <w:t xml:space="preserve">To the extent that it is contended by the first applicant that there were material disputes of fact </w:t>
      </w:r>
      <w:r w:rsidR="00A123A1">
        <w:t xml:space="preserve">and that in the face thereof, I should have not ventured into determining these disputes this is simply incorrect.  As set out in my judgment, the first applicant’s case </w:t>
      </w:r>
      <w:r w:rsidR="00EF1F63">
        <w:t>is</w:t>
      </w:r>
      <w:r w:rsidR="00A123A1">
        <w:t xml:space="preserve"> misconceived and </w:t>
      </w:r>
      <w:r w:rsidR="00224E79">
        <w:t xml:space="preserve">in the absence of </w:t>
      </w:r>
      <w:r w:rsidR="00224E79" w:rsidRPr="00475029">
        <w:rPr>
          <w:i/>
        </w:rPr>
        <w:t>bona fide</w:t>
      </w:r>
      <w:r w:rsidR="00224E79">
        <w:t xml:space="preserve"> disputes of fact</w:t>
      </w:r>
      <w:r w:rsidR="00707BA0">
        <w:t>,</w:t>
      </w:r>
      <w:r w:rsidR="00A123A1">
        <w:t xml:space="preserve"> in accordance with the </w:t>
      </w:r>
      <w:r w:rsidR="00A273DB">
        <w:rPr>
          <w:i/>
          <w:iCs/>
        </w:rPr>
        <w:t xml:space="preserve">Plascon-Evans </w:t>
      </w:r>
      <w:r w:rsidR="00A273DB">
        <w:t>Rule,</w:t>
      </w:r>
      <w:r w:rsidR="00224E79">
        <w:t xml:space="preserve"> </w:t>
      </w:r>
      <w:r w:rsidR="00A273DB">
        <w:t>the version of the first respondent</w:t>
      </w:r>
      <w:r w:rsidR="00EF1F63">
        <w:t xml:space="preserve"> was not only probable but decisive of the application</w:t>
      </w:r>
      <w:r w:rsidR="00A273DB">
        <w:t xml:space="preserve">, </w:t>
      </w:r>
      <w:r w:rsidR="00EF1F63">
        <w:t>and</w:t>
      </w:r>
      <w:r w:rsidR="00224E79">
        <w:t xml:space="preserve"> warranted a</w:t>
      </w:r>
      <w:r w:rsidR="00EF1F63">
        <w:t xml:space="preserve"> </w:t>
      </w:r>
      <w:r w:rsidR="00707BA0">
        <w:t xml:space="preserve">dismissal of the application. </w:t>
      </w:r>
      <w:r w:rsidR="00A273DB">
        <w:t>I</w:t>
      </w:r>
      <w:r w:rsidR="00EF1F63">
        <w:t xml:space="preserve"> do not agree that </w:t>
      </w:r>
      <w:r w:rsidR="00A273DB">
        <w:t>this Court simply rubberstamp</w:t>
      </w:r>
      <w:r w:rsidR="00EF1F63">
        <w:t>s</w:t>
      </w:r>
      <w:r w:rsidR="00A273DB">
        <w:t xml:space="preserve"> a referral to trial without a consideration of </w:t>
      </w:r>
      <w:r w:rsidR="00EF1F63">
        <w:t xml:space="preserve">the </w:t>
      </w:r>
      <w:r w:rsidR="00A273DB">
        <w:t>alleged disputes</w:t>
      </w:r>
      <w:r w:rsidR="004D37D7">
        <w:t>.</w:t>
      </w:r>
    </w:p>
    <w:p w14:paraId="122F5D08" w14:textId="7584ADCE" w:rsidR="000A5BEE" w:rsidRDefault="000A0742" w:rsidP="000A0742">
      <w:pPr>
        <w:pStyle w:val="Heading1"/>
        <w:numPr>
          <w:ilvl w:val="0"/>
          <w:numId w:val="0"/>
        </w:numPr>
        <w:tabs>
          <w:tab w:val="left" w:pos="862"/>
        </w:tabs>
        <w:ind w:left="862" w:hanging="862"/>
      </w:pPr>
      <w:r>
        <w:t>[9]</w:t>
      </w:r>
      <w:r>
        <w:tab/>
      </w:r>
      <w:r w:rsidR="00EF1F63">
        <w:t xml:space="preserve">As such, </w:t>
      </w:r>
      <w:r w:rsidR="00707BA0">
        <w:t xml:space="preserve"> I am of the view that </w:t>
      </w:r>
      <w:r w:rsidR="00EF1F63">
        <w:t xml:space="preserve">the </w:t>
      </w:r>
      <w:r w:rsidR="00690150">
        <w:t xml:space="preserve">application for leave to appeal </w:t>
      </w:r>
      <w:r w:rsidR="00EF1F63">
        <w:t>is equally</w:t>
      </w:r>
      <w:r w:rsidR="00690150">
        <w:t xml:space="preserve"> ill-considered and should not have been brought in the first place. </w:t>
      </w:r>
      <w:r w:rsidR="00224E79">
        <w:t>The application for leave to appeal is unmeritorious as a result.</w:t>
      </w:r>
      <w:r w:rsidR="00DF2F30">
        <w:t xml:space="preserve"> Although not submitted in argument, but rather in Mr Thompson’s heads of argument, there are also no compelling reasons  for leave to appeal be granted, as provided in section 17(1)(a)(ii) of the Supreme Court Act.</w:t>
      </w:r>
      <w:r w:rsidR="00224E79">
        <w:t xml:space="preserve">  Furthermore, there is also no practical effect in overturning the order in the face of th</w:t>
      </w:r>
      <w:r w:rsidR="00535990">
        <w:t>e</w:t>
      </w:r>
      <w:r w:rsidR="00224E79">
        <w:t xml:space="preserve"> concession.</w:t>
      </w:r>
    </w:p>
    <w:p w14:paraId="344EF017" w14:textId="67063DFB" w:rsidR="00C60BFC" w:rsidRDefault="000A0742" w:rsidP="000A0742">
      <w:pPr>
        <w:pStyle w:val="Heading1"/>
        <w:numPr>
          <w:ilvl w:val="0"/>
          <w:numId w:val="0"/>
        </w:numPr>
        <w:tabs>
          <w:tab w:val="left" w:pos="862"/>
        </w:tabs>
        <w:ind w:left="862" w:hanging="862"/>
      </w:pPr>
      <w:r>
        <w:t>[10]</w:t>
      </w:r>
      <w:r>
        <w:tab/>
      </w:r>
      <w:r w:rsidR="00CF6D9D">
        <w:t>The test, as provided for in section 17(1)(a)</w:t>
      </w:r>
      <w:r w:rsidR="00224E79">
        <w:t>(i) of the High Court Act</w:t>
      </w:r>
      <w:r w:rsidR="00CF6D9D">
        <w:t xml:space="preserve">, is that leave to appeal may only be granted where the Judge concerned is of the opinion that the appeal would have a </w:t>
      </w:r>
      <w:r w:rsidR="00CF6D9D" w:rsidRPr="00402157">
        <w:rPr>
          <w:i/>
          <w:iCs/>
        </w:rPr>
        <w:t>“reasonable prospect of success</w:t>
      </w:r>
      <w:r w:rsidR="00C60BFC">
        <w:rPr>
          <w:i/>
          <w:iCs/>
        </w:rPr>
        <w:t>.</w:t>
      </w:r>
      <w:r w:rsidR="00CF6D9D" w:rsidRPr="00402157">
        <w:rPr>
          <w:i/>
          <w:iCs/>
        </w:rPr>
        <w:t>”</w:t>
      </w:r>
      <w:r w:rsidR="00CF6D9D">
        <w:t xml:space="preserve"> </w:t>
      </w:r>
    </w:p>
    <w:p w14:paraId="042BC62B" w14:textId="6FC4ABF8" w:rsidR="00CF6D9D" w:rsidRDefault="000A0742" w:rsidP="000A0742">
      <w:pPr>
        <w:pStyle w:val="Heading1"/>
        <w:numPr>
          <w:ilvl w:val="0"/>
          <w:numId w:val="0"/>
        </w:numPr>
        <w:tabs>
          <w:tab w:val="left" w:pos="862"/>
        </w:tabs>
        <w:ind w:left="862" w:hanging="862"/>
      </w:pPr>
      <w:r>
        <w:lastRenderedPageBreak/>
        <w:t>[11]</w:t>
      </w:r>
      <w:r>
        <w:tab/>
      </w:r>
      <w:r w:rsidR="00CF6D9D">
        <w:t xml:space="preserve">In this regard the Supreme Court of Appeal in </w:t>
      </w:r>
      <w:r w:rsidR="00CF6D9D">
        <w:rPr>
          <w:b/>
          <w:bCs/>
          <w:i/>
          <w:iCs/>
        </w:rPr>
        <w:t>Notshokovu v S</w:t>
      </w:r>
      <w:r w:rsidR="00CF6D9D" w:rsidRPr="00402157">
        <w:rPr>
          <w:rStyle w:val="FootnoteReference"/>
        </w:rPr>
        <w:footnoteReference w:id="6"/>
      </w:r>
      <w:r w:rsidR="00CF6D9D" w:rsidRPr="00402157">
        <w:t xml:space="preserve"> confirm</w:t>
      </w:r>
      <w:r w:rsidR="00CF6D9D">
        <w:t xml:space="preserve">ed that </w:t>
      </w:r>
      <w:r w:rsidR="00CF6D9D">
        <w:rPr>
          <w:i/>
          <w:iCs/>
        </w:rPr>
        <w:t>“It is clear that the threshold for granting leave to appeal against the judgment of a High Court has been raised in the new Act.  The former test whether leave to appeal should be granted was a reasonable prospect that another Court might come to a different conclusion. The use of the word “would” in the new statute indicates a measure of certainty that another Court will differ from the Court whose judgment is sought to be appealed against.”</w:t>
      </w:r>
    </w:p>
    <w:p w14:paraId="1E5E0F5A" w14:textId="3553ED55" w:rsidR="00CF6D9D" w:rsidRDefault="000A0742" w:rsidP="000A0742">
      <w:pPr>
        <w:pStyle w:val="Heading1"/>
        <w:numPr>
          <w:ilvl w:val="0"/>
          <w:numId w:val="0"/>
        </w:numPr>
        <w:tabs>
          <w:tab w:val="left" w:pos="862"/>
        </w:tabs>
        <w:ind w:left="862" w:hanging="862"/>
      </w:pPr>
      <w:r>
        <w:t>[12]</w:t>
      </w:r>
      <w:r>
        <w:tab/>
      </w:r>
      <w:r w:rsidR="00CF6D9D">
        <w:t>The Supreme Court of Appeal has explained that the prospects of success must not be remote, but there must exist a reasonable chance of succeeding.  An applicant who applies for leave to appeal must show that there is a sound and rational basis for the conclusion that there are prospects of success.</w:t>
      </w:r>
      <w:r w:rsidR="00CF6D9D">
        <w:rPr>
          <w:rStyle w:val="FootnoteReference"/>
        </w:rPr>
        <w:footnoteReference w:id="7"/>
      </w:r>
      <w:r w:rsidR="00CF6D9D">
        <w:t xml:space="preserve">  An applicant must convince the Court on proper grounds that he has prospects of success on appeal and those prospects are not remote, but have a realistic chance of succeeding.</w:t>
      </w:r>
    </w:p>
    <w:p w14:paraId="197FBE39" w14:textId="751803BA" w:rsidR="00CF6D9D" w:rsidRDefault="000A0742" w:rsidP="000A0742">
      <w:pPr>
        <w:pStyle w:val="Heading1"/>
        <w:numPr>
          <w:ilvl w:val="0"/>
          <w:numId w:val="0"/>
        </w:numPr>
        <w:tabs>
          <w:tab w:val="left" w:pos="862"/>
        </w:tabs>
        <w:ind w:left="862" w:hanging="862"/>
      </w:pPr>
      <w:r>
        <w:t>[13]</w:t>
      </w:r>
      <w:r>
        <w:tab/>
      </w:r>
      <w:r w:rsidR="00CF6D9D">
        <w:t>More is required than a mere possibility of success, or that the case is arguable on appeal, or that the case cannot be categorised as hopeless.</w:t>
      </w:r>
      <w:r w:rsidR="00CF6D9D">
        <w:rPr>
          <w:rStyle w:val="FootnoteReference"/>
        </w:rPr>
        <w:footnoteReference w:id="8"/>
      </w:r>
      <w:r w:rsidR="00CF6D9D">
        <w:t xml:space="preserve">  In the decision of </w:t>
      </w:r>
      <w:r w:rsidR="00CF6D9D">
        <w:rPr>
          <w:b/>
          <w:bCs/>
          <w:i/>
          <w:iCs/>
        </w:rPr>
        <w:t>Dexgroup (Pty) Ltd v Trustco Group International (Pty) Ltd and Others</w:t>
      </w:r>
      <w:r w:rsidR="00CF6D9D" w:rsidRPr="00EF5740">
        <w:rPr>
          <w:rStyle w:val="FootnoteReference"/>
        </w:rPr>
        <w:footnoteReference w:id="9"/>
      </w:r>
      <w:r w:rsidR="00CF6D9D" w:rsidRPr="00EF5740">
        <w:t xml:space="preserve"> Wallis, JA</w:t>
      </w:r>
      <w:r w:rsidR="00CF6D9D">
        <w:t xml:space="preserve"> observed that a Court should not grant leave to appeal and indeed is under a duty not to do so where the threshold which warrants such leave has not been cleared by an applicant in an application for leave to appeal:</w:t>
      </w:r>
    </w:p>
    <w:p w14:paraId="54B151F8" w14:textId="77777777" w:rsidR="00CF6D9D" w:rsidRPr="00EF5740" w:rsidRDefault="00CF6D9D" w:rsidP="00CF6D9D">
      <w:pPr>
        <w:ind w:left="3022" w:hanging="3022"/>
        <w:rPr>
          <w:i/>
          <w:iCs/>
        </w:rPr>
      </w:pPr>
      <w:r>
        <w:tab/>
      </w:r>
      <w:r>
        <w:tab/>
      </w:r>
      <w:r>
        <w:rPr>
          <w:i/>
          <w:iCs/>
        </w:rPr>
        <w:t>“[24]</w:t>
      </w:r>
      <w:r>
        <w:rPr>
          <w:i/>
          <w:iCs/>
        </w:rPr>
        <w:tab/>
        <w:t xml:space="preserve">… </w:t>
      </w:r>
      <w:r w:rsidRPr="00EF5740">
        <w:rPr>
          <w:i/>
          <w:iCs/>
        </w:rPr>
        <w:t xml:space="preserve">The need to obtain leave to appeal is a valuable </w:t>
      </w:r>
      <w:r w:rsidRPr="00EF5740">
        <w:rPr>
          <w:i/>
          <w:iCs/>
        </w:rPr>
        <w:lastRenderedPageBreak/>
        <w:t>tool in ensuring that scarce judicial resources are not spent on appeals that lack merit. It should in this case have been deployed by refusing leave to appeal.</w:t>
      </w:r>
      <w:r>
        <w:rPr>
          <w:i/>
          <w:iCs/>
        </w:rPr>
        <w:t>”</w:t>
      </w:r>
    </w:p>
    <w:p w14:paraId="31A278F4" w14:textId="3773EB56" w:rsidR="00CF6D9D" w:rsidRDefault="000A0742" w:rsidP="000A0742">
      <w:pPr>
        <w:pStyle w:val="Heading1"/>
        <w:numPr>
          <w:ilvl w:val="0"/>
          <w:numId w:val="0"/>
        </w:numPr>
        <w:tabs>
          <w:tab w:val="left" w:pos="862"/>
        </w:tabs>
        <w:ind w:left="862" w:hanging="862"/>
      </w:pPr>
      <w:r>
        <w:t>[14]</w:t>
      </w:r>
      <w:r>
        <w:tab/>
      </w:r>
      <w:r w:rsidR="00CF6D9D">
        <w:t>Accordingly, it is required of a lower Court that it act as a filter to ensure that the Appeal Court’s time is spent only on hearing appeals that are truly deserving of its attention and that the test for the grant of leave to appeal should thus be scrupulously followed.</w:t>
      </w:r>
    </w:p>
    <w:p w14:paraId="11F39346" w14:textId="0AFA17E9" w:rsidR="000A5BEE" w:rsidRDefault="000A0742" w:rsidP="000A0742">
      <w:pPr>
        <w:pStyle w:val="Heading1"/>
        <w:numPr>
          <w:ilvl w:val="0"/>
          <w:numId w:val="0"/>
        </w:numPr>
        <w:tabs>
          <w:tab w:val="left" w:pos="862"/>
        </w:tabs>
        <w:ind w:left="862" w:hanging="862"/>
      </w:pPr>
      <w:r>
        <w:t>[15]</w:t>
      </w:r>
      <w:r>
        <w:tab/>
      </w:r>
      <w:r w:rsidR="00174D23">
        <w:t xml:space="preserve">Both counsel for the respondents sought that I make an order </w:t>
      </w:r>
      <w:r w:rsidR="00E8054B">
        <w:t>against the first applicant on a punitive scale, as I did in the main application.</w:t>
      </w:r>
    </w:p>
    <w:p w14:paraId="1619D70A" w14:textId="2F487D42" w:rsidR="000A5BEE" w:rsidRDefault="000A0742" w:rsidP="000A0742">
      <w:pPr>
        <w:pStyle w:val="Heading1"/>
        <w:numPr>
          <w:ilvl w:val="0"/>
          <w:numId w:val="0"/>
        </w:numPr>
        <w:tabs>
          <w:tab w:val="left" w:pos="862"/>
        </w:tabs>
        <w:ind w:left="862" w:hanging="862"/>
      </w:pPr>
      <w:r>
        <w:t>[16]</w:t>
      </w:r>
      <w:r>
        <w:tab/>
      </w:r>
      <w:r w:rsidR="00E8054B">
        <w:t>I am of the view that the application for leave to appeal has simply delayed the finality of the order that was given</w:t>
      </w:r>
      <w:r w:rsidR="000A5BEE">
        <w:t xml:space="preserve"> by me disposing of the</w:t>
      </w:r>
      <w:r w:rsidR="00D20827">
        <w:t xml:space="preserve"> main</w:t>
      </w:r>
      <w:r w:rsidR="000A5BEE">
        <w:t xml:space="preserve"> application once and for all.</w:t>
      </w:r>
      <w:r w:rsidR="00E8054B">
        <w:t xml:space="preserve"> </w:t>
      </w:r>
      <w:r w:rsidR="000A5BEE">
        <w:t>I</w:t>
      </w:r>
      <w:r w:rsidR="00E8054B">
        <w:t>n the light of the decision</w:t>
      </w:r>
      <w:r w:rsidR="000A5BEE">
        <w:t xml:space="preserve"> to raise a number of </w:t>
      </w:r>
      <w:r w:rsidR="00E8054B">
        <w:t xml:space="preserve"> ill-founded grounds of appeal</w:t>
      </w:r>
      <w:r w:rsidR="000A5BEE">
        <w:t>, which were correctly not pursued by Mr Thompson,</w:t>
      </w:r>
      <w:r w:rsidR="00E8054B">
        <w:t xml:space="preserve"> it seems to me that the respondents have been put to unnecessary time and costs, all of which </w:t>
      </w:r>
      <w:r w:rsidR="00DA541B">
        <w:t>could have been averted if this application for leave to appeal had not been brought</w:t>
      </w:r>
      <w:r w:rsidR="000A5BEE">
        <w:t xml:space="preserve"> or pursued</w:t>
      </w:r>
      <w:r w:rsidR="00DA541B">
        <w:t xml:space="preserve">.  </w:t>
      </w:r>
    </w:p>
    <w:p w14:paraId="3F1EFDE7" w14:textId="4E731063" w:rsidR="000A5BEE" w:rsidRDefault="000A0742" w:rsidP="000A0742">
      <w:pPr>
        <w:pStyle w:val="Heading1"/>
        <w:numPr>
          <w:ilvl w:val="0"/>
          <w:numId w:val="0"/>
        </w:numPr>
        <w:tabs>
          <w:tab w:val="left" w:pos="862"/>
        </w:tabs>
        <w:ind w:left="862" w:hanging="862"/>
      </w:pPr>
      <w:r>
        <w:t>[17]</w:t>
      </w:r>
      <w:r>
        <w:tab/>
      </w:r>
      <w:r w:rsidR="000A5BEE">
        <w:t>Mr Thompson</w:t>
      </w:r>
      <w:r w:rsidR="00DA541B">
        <w:t xml:space="preserve"> submitted to me that a punitive costs order should not be granted in that</w:t>
      </w:r>
      <w:r w:rsidR="000A5BEE">
        <w:t>, on reflection and a second opinion, the first applicant had been</w:t>
      </w:r>
      <w:r w:rsidR="00DA541B">
        <w:t xml:space="preserve"> given </w:t>
      </w:r>
      <w:r w:rsidR="000A5BEE">
        <w:t>s</w:t>
      </w:r>
      <w:r w:rsidR="00DA541B">
        <w:t>age advice</w:t>
      </w:r>
      <w:r w:rsidR="000A5BEE">
        <w:t>, which she accepted,</w:t>
      </w:r>
      <w:r w:rsidR="00DA541B">
        <w:t xml:space="preserve"> that the grounds raised were in the main </w:t>
      </w:r>
      <w:r w:rsidR="00915779">
        <w:t xml:space="preserve">inappropriate and </w:t>
      </w:r>
      <w:r w:rsidR="000A5BEE">
        <w:t>argument should</w:t>
      </w:r>
      <w:r w:rsidR="00915779">
        <w:t xml:space="preserve"> be limited to the </w:t>
      </w:r>
      <w:r w:rsidR="000A5BEE">
        <w:t>ground</w:t>
      </w:r>
      <w:r w:rsidR="00915779">
        <w:t xml:space="preserve"> raised above.  This </w:t>
      </w:r>
      <w:r w:rsidR="000A5BEE">
        <w:t>ground</w:t>
      </w:r>
      <w:r w:rsidR="00915779">
        <w:t xml:space="preserve"> however, </w:t>
      </w:r>
      <w:r w:rsidR="00D20827">
        <w:t>not only was not raised in the application for leave to appeal but in any event, also does</w:t>
      </w:r>
      <w:r w:rsidR="000A5BEE">
        <w:t xml:space="preserve"> not pass</w:t>
      </w:r>
      <w:r w:rsidR="00D20827">
        <w:t xml:space="preserve"> the threshold required.</w:t>
      </w:r>
      <w:r w:rsidR="000A5BEE">
        <w:t xml:space="preserve"> </w:t>
      </w:r>
      <w:r w:rsidR="00D20827">
        <w:t>P</w:t>
      </w:r>
      <w:r w:rsidR="00915779">
        <w:t>erhaps</w:t>
      </w:r>
      <w:r w:rsidR="00D06D19">
        <w:t xml:space="preserve">, </w:t>
      </w:r>
      <w:r w:rsidR="00915779">
        <w:t>it would have been appropriate</w:t>
      </w:r>
      <w:r w:rsidR="00D06D19">
        <w:t xml:space="preserve"> for the</w:t>
      </w:r>
      <w:r w:rsidR="00915779">
        <w:t xml:space="preserve"> first applicant </w:t>
      </w:r>
      <w:r w:rsidR="000A5BEE">
        <w:t>to</w:t>
      </w:r>
      <w:r w:rsidR="00D06D19">
        <w:t xml:space="preserve"> have </w:t>
      </w:r>
      <w:r w:rsidR="00915779">
        <w:t>not proceed</w:t>
      </w:r>
      <w:r w:rsidR="00D06D19">
        <w:t>ed</w:t>
      </w:r>
      <w:r w:rsidR="00915779">
        <w:t xml:space="preserve"> at all.  </w:t>
      </w:r>
    </w:p>
    <w:p w14:paraId="14F90ECF" w14:textId="6D14B510" w:rsidR="004D37D7" w:rsidRDefault="000A0742" w:rsidP="000A0742">
      <w:pPr>
        <w:pStyle w:val="Heading1"/>
        <w:numPr>
          <w:ilvl w:val="0"/>
          <w:numId w:val="0"/>
        </w:numPr>
        <w:tabs>
          <w:tab w:val="left" w:pos="862"/>
        </w:tabs>
        <w:ind w:left="862" w:hanging="862"/>
      </w:pPr>
      <w:r>
        <w:t>[18]</w:t>
      </w:r>
      <w:r>
        <w:tab/>
      </w:r>
      <w:r w:rsidR="00915779">
        <w:t>In these circumstances, I am of the view that the first applicant should bear the costs of th</w:t>
      </w:r>
      <w:r w:rsidR="00D06D19">
        <w:t>is</w:t>
      </w:r>
      <w:r w:rsidR="00D20827">
        <w:t xml:space="preserve"> hapless</w:t>
      </w:r>
      <w:r w:rsidR="00233F15">
        <w:t xml:space="preserve"> application for leave to appeal on an </w:t>
      </w:r>
      <w:r w:rsidR="00233F15">
        <w:lastRenderedPageBreak/>
        <w:t>attorney client basis</w:t>
      </w:r>
      <w:r w:rsidR="000A5BEE">
        <w:t>. As oft quoted</w:t>
      </w:r>
      <w:r w:rsidR="00EC11A5">
        <w:t>:</w:t>
      </w:r>
      <w:r w:rsidR="00233F15">
        <w:rPr>
          <w:rStyle w:val="FootnoteReference"/>
        </w:rPr>
        <w:footnoteReference w:id="10"/>
      </w:r>
    </w:p>
    <w:p w14:paraId="525371D4" w14:textId="65D3ADD3" w:rsidR="00EC11A5" w:rsidRPr="00EC11A5" w:rsidRDefault="00EC11A5" w:rsidP="00EC11A5">
      <w:pPr>
        <w:ind w:left="1871" w:hanging="1871"/>
        <w:rPr>
          <w:i/>
          <w:iCs/>
        </w:rPr>
      </w:pPr>
      <w:r>
        <w:tab/>
      </w:r>
      <w:r>
        <w:tab/>
      </w:r>
      <w:r>
        <w:rPr>
          <w:i/>
          <w:iCs/>
        </w:rPr>
        <w:t>“</w:t>
      </w:r>
      <w:r w:rsidRPr="00EC11A5">
        <w:rPr>
          <w:i/>
          <w:iCs/>
        </w:rPr>
        <w:t>An order is asked for that he pay the cost</w:t>
      </w:r>
      <w:r w:rsidR="00D20827">
        <w:rPr>
          <w:i/>
          <w:iCs/>
        </w:rPr>
        <w:t>s</w:t>
      </w:r>
      <w:r w:rsidRPr="00EC11A5">
        <w:rPr>
          <w:i/>
          <w:iCs/>
        </w:rPr>
        <w:t xml:space="preserve"> as between attorney and client. Now sometimes such an order is given because of something in the conduct of a party which the Court considers should be punished, malice</w:t>
      </w:r>
      <w:r>
        <w:rPr>
          <w:i/>
          <w:iCs/>
        </w:rPr>
        <w:t>,</w:t>
      </w:r>
      <w:r w:rsidRPr="00EC11A5">
        <w:rPr>
          <w:i/>
          <w:iCs/>
        </w:rPr>
        <w:t xml:space="preserve"> misleading the Court and things like that</w:t>
      </w:r>
      <w:r>
        <w:rPr>
          <w:i/>
          <w:iCs/>
        </w:rPr>
        <w:t>,</w:t>
      </w:r>
      <w:r w:rsidRPr="00EC11A5">
        <w:rPr>
          <w:i/>
          <w:iCs/>
        </w:rPr>
        <w:t xml:space="preserve"> but I think the order may also be granted without any reflection upon the party where the proceedings are vexatious</w:t>
      </w:r>
      <w:r>
        <w:rPr>
          <w:i/>
          <w:iCs/>
        </w:rPr>
        <w:t>,</w:t>
      </w:r>
      <w:r w:rsidRPr="00EC11A5">
        <w:rPr>
          <w:i/>
          <w:iCs/>
        </w:rPr>
        <w:t xml:space="preserve"> and by vexatious I mean where they have the effect of being vexatious</w:t>
      </w:r>
      <w:r>
        <w:rPr>
          <w:i/>
          <w:iCs/>
        </w:rPr>
        <w:t>,</w:t>
      </w:r>
      <w:r w:rsidRPr="00EC11A5">
        <w:rPr>
          <w:i/>
          <w:iCs/>
        </w:rPr>
        <w:t xml:space="preserve"> although the intent may not have been that they should be vexatious. There are people who enter into litigation with the most upright </w:t>
      </w:r>
      <w:r w:rsidR="009A7288">
        <w:rPr>
          <w:i/>
          <w:iCs/>
        </w:rPr>
        <w:t xml:space="preserve">purpose </w:t>
      </w:r>
      <w:r w:rsidRPr="00EC11A5">
        <w:rPr>
          <w:i/>
          <w:iCs/>
        </w:rPr>
        <w:t xml:space="preserve">and </w:t>
      </w:r>
      <w:r w:rsidR="009A7288">
        <w:rPr>
          <w:i/>
          <w:iCs/>
        </w:rPr>
        <w:t xml:space="preserve">the </w:t>
      </w:r>
      <w:r w:rsidRPr="00EC11A5">
        <w:rPr>
          <w:i/>
          <w:iCs/>
        </w:rPr>
        <w:t>most firm belief in the justice of the</w:t>
      </w:r>
      <w:r w:rsidR="009A7288">
        <w:rPr>
          <w:i/>
          <w:iCs/>
        </w:rPr>
        <w:t xml:space="preserve">ir case, </w:t>
      </w:r>
      <w:r w:rsidRPr="00EC11A5">
        <w:rPr>
          <w:i/>
          <w:iCs/>
        </w:rPr>
        <w:t xml:space="preserve">and yet </w:t>
      </w:r>
      <w:r w:rsidR="009A7288">
        <w:rPr>
          <w:i/>
          <w:iCs/>
        </w:rPr>
        <w:t xml:space="preserve">whose </w:t>
      </w:r>
      <w:r w:rsidRPr="00EC11A5">
        <w:rPr>
          <w:i/>
          <w:iCs/>
        </w:rPr>
        <w:t>proceedings may be regarded as vexatious when they put the other side to unnecessary trouble and expense which the other side ought not to bear.</w:t>
      </w:r>
      <w:r w:rsidR="009A7288">
        <w:rPr>
          <w:i/>
          <w:iCs/>
        </w:rPr>
        <w:t xml:space="preserve">  That I think is the position in the present case.</w:t>
      </w:r>
      <w:r w:rsidRPr="00EC11A5">
        <w:rPr>
          <w:i/>
          <w:iCs/>
        </w:rPr>
        <w:t>”</w:t>
      </w:r>
    </w:p>
    <w:p w14:paraId="767DBB0E" w14:textId="6CC55F65" w:rsidR="0050502F" w:rsidRDefault="000A0742" w:rsidP="000A0742">
      <w:pPr>
        <w:pStyle w:val="Heading1"/>
        <w:numPr>
          <w:ilvl w:val="0"/>
          <w:numId w:val="0"/>
        </w:numPr>
        <w:tabs>
          <w:tab w:val="left" w:pos="862"/>
        </w:tabs>
        <w:ind w:left="862" w:hanging="862"/>
      </w:pPr>
      <w:bookmarkStart w:id="3" w:name="_Hlk81386320"/>
      <w:bookmarkEnd w:id="2"/>
      <w:r>
        <w:t>[19]</w:t>
      </w:r>
      <w:r>
        <w:tab/>
      </w:r>
      <w:r w:rsidR="009A7288">
        <w:t>Accordingly, I make the following order:</w:t>
      </w:r>
    </w:p>
    <w:p w14:paraId="08A6890E" w14:textId="1940FA0C" w:rsidR="009A7288" w:rsidRDefault="000A0742" w:rsidP="000A0742">
      <w:pPr>
        <w:pStyle w:val="Heading2"/>
        <w:numPr>
          <w:ilvl w:val="0"/>
          <w:numId w:val="0"/>
        </w:numPr>
        <w:tabs>
          <w:tab w:val="left" w:pos="1871"/>
        </w:tabs>
        <w:ind w:left="1871" w:hanging="1009"/>
      </w:pPr>
      <w:r>
        <w:t>19.1</w:t>
      </w:r>
      <w:r>
        <w:tab/>
      </w:r>
      <w:r w:rsidR="009A7288">
        <w:t>The application for leave to appeal is dismissed.</w:t>
      </w:r>
    </w:p>
    <w:p w14:paraId="1CDB2186" w14:textId="46E6A47C" w:rsidR="009A7288" w:rsidRPr="00C63391" w:rsidRDefault="000A0742" w:rsidP="000A0742">
      <w:pPr>
        <w:pStyle w:val="Heading2"/>
        <w:numPr>
          <w:ilvl w:val="0"/>
          <w:numId w:val="0"/>
        </w:numPr>
        <w:tabs>
          <w:tab w:val="left" w:pos="1871"/>
        </w:tabs>
        <w:ind w:left="1871" w:hanging="1009"/>
      </w:pPr>
      <w:r w:rsidRPr="00C63391">
        <w:t>19.2</w:t>
      </w:r>
      <w:r w:rsidRPr="00C63391">
        <w:tab/>
      </w:r>
      <w:r w:rsidR="009A7288">
        <w:t xml:space="preserve">The first applicant is ordered to pay the costs of the </w:t>
      </w:r>
      <w:r w:rsidR="000A5BEE">
        <w:t xml:space="preserve">first to thirteenth </w:t>
      </w:r>
      <w:r w:rsidR="009A7288">
        <w:t>respondents on the attorney client scale.</w:t>
      </w:r>
    </w:p>
    <w:p w14:paraId="53743F67" w14:textId="10C42F70"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21C6E74A" w14:textId="7BEE5AE6" w:rsidR="006E34E4" w:rsidRPr="000A5BEE" w:rsidRDefault="006E34E4" w:rsidP="000A5BEE">
      <w:pPr>
        <w:spacing w:after="120"/>
        <w:jc w:val="right"/>
        <w:rPr>
          <w:rFonts w:cs="Arial"/>
          <w:i/>
        </w:rPr>
      </w:pPr>
      <w:r w:rsidRPr="0084771B">
        <w:rPr>
          <w:rFonts w:cs="Arial"/>
          <w:i/>
        </w:rPr>
        <w:t xml:space="preserve">Gauteng Division, </w:t>
      </w:r>
      <w:r>
        <w:rPr>
          <w:rFonts w:cs="Arial"/>
          <w:i/>
        </w:rPr>
        <w:t>Johannesburg</w:t>
      </w:r>
    </w:p>
    <w:p w14:paraId="66A3D0C8"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rsidTr="005545E1">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lastRenderedPageBreak/>
              <w:t>HEARD ON: </w:t>
            </w:r>
          </w:p>
        </w:tc>
        <w:tc>
          <w:tcPr>
            <w:tcW w:w="5208" w:type="dxa"/>
            <w:tcMar>
              <w:top w:w="32" w:type="dxa"/>
              <w:left w:w="108" w:type="dxa"/>
              <w:bottom w:w="32" w:type="dxa"/>
              <w:right w:w="108" w:type="dxa"/>
            </w:tcMar>
            <w:vAlign w:val="center"/>
            <w:hideMark/>
          </w:tcPr>
          <w:p w14:paraId="0D924218" w14:textId="06EE2AF2" w:rsidR="006E34E4" w:rsidRDefault="009A7288" w:rsidP="00C240DF">
            <w:pPr>
              <w:keepNext/>
              <w:spacing w:after="0" w:line="240" w:lineRule="auto"/>
              <w:rPr>
                <w:sz w:val="22"/>
                <w:szCs w:val="22"/>
              </w:rPr>
            </w:pPr>
            <w:r>
              <w:t>29 February 2024</w:t>
            </w:r>
          </w:p>
        </w:tc>
      </w:tr>
      <w:tr w:rsidR="006E34E4" w14:paraId="35A136C3" w14:textId="77777777" w:rsidTr="005545E1">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44EB0C21" w:rsidR="006E34E4" w:rsidRDefault="009A7288" w:rsidP="00C240DF">
            <w:pPr>
              <w:keepNext/>
              <w:spacing w:after="0" w:line="240" w:lineRule="auto"/>
            </w:pPr>
            <w:r>
              <w:t>28 March 2024</w:t>
            </w:r>
          </w:p>
        </w:tc>
      </w:tr>
      <w:tr w:rsidR="006E34E4" w14:paraId="0FEED89A" w14:textId="77777777" w:rsidTr="005545E1">
        <w:tc>
          <w:tcPr>
            <w:tcW w:w="3936" w:type="dxa"/>
            <w:tcMar>
              <w:top w:w="32" w:type="dxa"/>
              <w:left w:w="108" w:type="dxa"/>
              <w:bottom w:w="32" w:type="dxa"/>
              <w:right w:w="108" w:type="dxa"/>
            </w:tcMar>
            <w:vAlign w:val="center"/>
            <w:hideMark/>
          </w:tcPr>
          <w:p w14:paraId="04BEABD0" w14:textId="2BE8F04E" w:rsidR="006E34E4" w:rsidRDefault="006E34E4" w:rsidP="00143DA0">
            <w:pPr>
              <w:keepNext/>
              <w:spacing w:before="120" w:after="0" w:line="240" w:lineRule="auto"/>
              <w:ind w:right="-108"/>
              <w:jc w:val="left"/>
            </w:pPr>
            <w:r>
              <w:t xml:space="preserve">FOR </w:t>
            </w:r>
            <w:r w:rsidR="00143DA0">
              <w:t xml:space="preserve">FIRST </w:t>
            </w:r>
            <w:r w:rsidR="007154C1">
              <w:t>APPLICANT</w:t>
            </w:r>
            <w:r>
              <w:t>:</w:t>
            </w:r>
          </w:p>
        </w:tc>
        <w:tc>
          <w:tcPr>
            <w:tcW w:w="5208" w:type="dxa"/>
            <w:tcMar>
              <w:top w:w="32" w:type="dxa"/>
              <w:left w:w="108" w:type="dxa"/>
              <w:bottom w:w="32" w:type="dxa"/>
              <w:right w:w="108" w:type="dxa"/>
            </w:tcMar>
            <w:vAlign w:val="center"/>
            <w:hideMark/>
          </w:tcPr>
          <w:p w14:paraId="7A3DC197" w14:textId="5E977F91" w:rsidR="00DB42AA" w:rsidRDefault="00143DA0" w:rsidP="00C240DF">
            <w:pPr>
              <w:keepNext/>
              <w:spacing w:after="0" w:line="240" w:lineRule="auto"/>
            </w:pPr>
            <w:r>
              <w:t xml:space="preserve">Mr </w:t>
            </w:r>
            <w:r w:rsidR="009A7288">
              <w:t>C Thompson</w:t>
            </w:r>
          </w:p>
          <w:p w14:paraId="21D1FD4B" w14:textId="2C04088B" w:rsidR="00DB42AA" w:rsidRDefault="00DB42AA" w:rsidP="00C240DF">
            <w:pPr>
              <w:keepNext/>
              <w:spacing w:after="0" w:line="240" w:lineRule="auto"/>
            </w:pPr>
            <w:r>
              <w:t xml:space="preserve">E-mail: </w:t>
            </w:r>
          </w:p>
        </w:tc>
      </w:tr>
      <w:tr w:rsidR="009A7288" w14:paraId="3ACB0EB3" w14:textId="77777777" w:rsidTr="005545E1">
        <w:tc>
          <w:tcPr>
            <w:tcW w:w="3936" w:type="dxa"/>
            <w:tcMar>
              <w:top w:w="32" w:type="dxa"/>
              <w:left w:w="108" w:type="dxa"/>
              <w:bottom w:w="32" w:type="dxa"/>
              <w:right w:w="108" w:type="dxa"/>
            </w:tcMar>
            <w:vAlign w:val="center"/>
          </w:tcPr>
          <w:p w14:paraId="4D10EB45" w14:textId="12BC715E" w:rsidR="009A7288" w:rsidRDefault="009A7288" w:rsidP="00C240DF">
            <w:pPr>
              <w:keepNext/>
              <w:spacing w:before="120" w:after="0" w:line="240" w:lineRule="auto"/>
              <w:jc w:val="left"/>
            </w:pPr>
            <w:r>
              <w:t>FOR SECOND APPLICANT:</w:t>
            </w:r>
          </w:p>
        </w:tc>
        <w:tc>
          <w:tcPr>
            <w:tcW w:w="5208" w:type="dxa"/>
            <w:tcMar>
              <w:top w:w="32" w:type="dxa"/>
              <w:left w:w="108" w:type="dxa"/>
              <w:bottom w:w="32" w:type="dxa"/>
              <w:right w:w="108" w:type="dxa"/>
            </w:tcMar>
            <w:vAlign w:val="center"/>
          </w:tcPr>
          <w:p w14:paraId="1D1E9F1E" w14:textId="078FD2FD" w:rsidR="009A7288" w:rsidRDefault="009A7288" w:rsidP="00C240DF">
            <w:pPr>
              <w:keepNext/>
              <w:spacing w:after="0" w:line="240" w:lineRule="auto"/>
            </w:pPr>
            <w:r>
              <w:t>No appearance</w:t>
            </w:r>
          </w:p>
        </w:tc>
      </w:tr>
      <w:tr w:rsidR="009A7288" w14:paraId="1D26183B" w14:textId="77777777" w:rsidTr="005545E1">
        <w:tc>
          <w:tcPr>
            <w:tcW w:w="3936" w:type="dxa"/>
            <w:tcMar>
              <w:top w:w="32" w:type="dxa"/>
              <w:left w:w="108" w:type="dxa"/>
              <w:bottom w:w="32" w:type="dxa"/>
              <w:right w:w="108" w:type="dxa"/>
            </w:tcMar>
            <w:vAlign w:val="center"/>
          </w:tcPr>
          <w:p w14:paraId="5ECEEA2C" w14:textId="23BDE37A" w:rsidR="009A7288" w:rsidRDefault="002D4583" w:rsidP="00C240DF">
            <w:pPr>
              <w:keepNext/>
              <w:spacing w:before="120" w:after="0" w:line="240" w:lineRule="auto"/>
              <w:jc w:val="left"/>
            </w:pPr>
            <w:r>
              <w:t>INSTRUCTED BY:</w:t>
            </w:r>
          </w:p>
        </w:tc>
        <w:tc>
          <w:tcPr>
            <w:tcW w:w="5208" w:type="dxa"/>
            <w:tcMar>
              <w:top w:w="32" w:type="dxa"/>
              <w:left w:w="108" w:type="dxa"/>
              <w:bottom w:w="32" w:type="dxa"/>
              <w:right w:w="108" w:type="dxa"/>
            </w:tcMar>
            <w:vAlign w:val="center"/>
          </w:tcPr>
          <w:p w14:paraId="04C74B2D" w14:textId="77777777" w:rsidR="002D4583" w:rsidRDefault="002D4583" w:rsidP="00C240DF">
            <w:pPr>
              <w:keepNext/>
              <w:spacing w:after="0" w:line="240" w:lineRule="auto"/>
            </w:pPr>
            <w:r>
              <w:t xml:space="preserve">Mr Bihl </w:t>
            </w:r>
          </w:p>
          <w:p w14:paraId="2A2953DB" w14:textId="77777777" w:rsidR="009A7288" w:rsidRDefault="002D4583" w:rsidP="00C240DF">
            <w:pPr>
              <w:keepNext/>
              <w:spacing w:after="0" w:line="240" w:lineRule="auto"/>
            </w:pPr>
            <w:r>
              <w:t>Erasmus Motaung Inc.</w:t>
            </w:r>
          </w:p>
          <w:p w14:paraId="42FA734D" w14:textId="697F2B49" w:rsidR="002D4583" w:rsidRDefault="002D4583" w:rsidP="00C240DF">
            <w:pPr>
              <w:keepNext/>
              <w:spacing w:after="0" w:line="240" w:lineRule="auto"/>
            </w:pPr>
            <w:r>
              <w:t xml:space="preserve">E-mail: </w:t>
            </w:r>
            <w:hyperlink r:id="rId9" w:history="1">
              <w:r w:rsidR="00770578" w:rsidRPr="003C6A3F">
                <w:rPr>
                  <w:rStyle w:val="Hyperlink"/>
                </w:rPr>
                <w:t>emil@em.law.za</w:t>
              </w:r>
            </w:hyperlink>
            <w:r w:rsidR="00770578">
              <w:t xml:space="preserve"> / </w:t>
            </w:r>
            <w:hyperlink r:id="rId10" w:history="1">
              <w:r w:rsidR="00770578" w:rsidRPr="003C6A3F">
                <w:rPr>
                  <w:rStyle w:val="Hyperlink"/>
                </w:rPr>
                <w:t>sonja@em.law.za</w:t>
              </w:r>
            </w:hyperlink>
            <w:r w:rsidR="00770578">
              <w:t xml:space="preserve"> </w:t>
            </w:r>
          </w:p>
        </w:tc>
      </w:tr>
      <w:tr w:rsidR="006E34E4" w14:paraId="1DF258FF" w14:textId="77777777" w:rsidTr="005545E1">
        <w:tc>
          <w:tcPr>
            <w:tcW w:w="3936" w:type="dxa"/>
            <w:tcMar>
              <w:top w:w="32" w:type="dxa"/>
              <w:left w:w="108" w:type="dxa"/>
              <w:bottom w:w="32" w:type="dxa"/>
              <w:right w:w="108" w:type="dxa"/>
            </w:tcMar>
            <w:vAlign w:val="center"/>
            <w:hideMark/>
          </w:tcPr>
          <w:p w14:paraId="4420DF33" w14:textId="7AE6C828" w:rsidR="006E34E4" w:rsidRDefault="006E34E4" w:rsidP="00C240DF">
            <w:pPr>
              <w:keepNext/>
              <w:spacing w:before="120" w:after="0" w:line="240" w:lineRule="auto"/>
              <w:jc w:val="left"/>
              <w:rPr>
                <w:sz w:val="22"/>
                <w:szCs w:val="22"/>
              </w:rPr>
            </w:pPr>
            <w:r>
              <w:t xml:space="preserve">FOR </w:t>
            </w:r>
            <w:r w:rsidR="00143DA0">
              <w:t xml:space="preserve">FIRST </w:t>
            </w:r>
            <w:r>
              <w:t>RESPONDENT: </w:t>
            </w:r>
          </w:p>
        </w:tc>
        <w:tc>
          <w:tcPr>
            <w:tcW w:w="5208" w:type="dxa"/>
            <w:tcMar>
              <w:top w:w="32" w:type="dxa"/>
              <w:left w:w="108" w:type="dxa"/>
              <w:bottom w:w="32" w:type="dxa"/>
              <w:right w:w="108" w:type="dxa"/>
            </w:tcMar>
            <w:vAlign w:val="center"/>
            <w:hideMark/>
          </w:tcPr>
          <w:p w14:paraId="429FD972" w14:textId="2C38F01E" w:rsidR="006E34E4" w:rsidRDefault="00143DA0" w:rsidP="00C240DF">
            <w:pPr>
              <w:keepNext/>
              <w:spacing w:after="0" w:line="240" w:lineRule="auto"/>
            </w:pPr>
            <w:r>
              <w:t>Mr E Kromhout</w:t>
            </w:r>
          </w:p>
          <w:p w14:paraId="3C1F75AE" w14:textId="0C0B7177" w:rsidR="00C240DF" w:rsidRDefault="00C240DF" w:rsidP="00C240DF">
            <w:pPr>
              <w:keepNext/>
              <w:spacing w:after="0" w:line="240" w:lineRule="auto"/>
              <w:rPr>
                <w:sz w:val="22"/>
                <w:szCs w:val="22"/>
              </w:rPr>
            </w:pPr>
            <w:r>
              <w:rPr>
                <w:szCs w:val="22"/>
              </w:rPr>
              <w:t>E-mail:</w:t>
            </w:r>
            <w:r w:rsidR="00770578">
              <w:rPr>
                <w:szCs w:val="22"/>
              </w:rPr>
              <w:t xml:space="preserve"> </w:t>
            </w:r>
            <w:hyperlink r:id="rId11" w:history="1">
              <w:r w:rsidR="00770578" w:rsidRPr="003C6A3F">
                <w:rPr>
                  <w:rStyle w:val="Hyperlink"/>
                  <w:szCs w:val="22"/>
                </w:rPr>
                <w:t>kromhout@law.co.za</w:t>
              </w:r>
            </w:hyperlink>
            <w:r w:rsidR="00770578">
              <w:rPr>
                <w:szCs w:val="22"/>
              </w:rPr>
              <w:t xml:space="preserve"> </w:t>
            </w:r>
            <w:r>
              <w:rPr>
                <w:szCs w:val="22"/>
              </w:rPr>
              <w:t xml:space="preserve"> </w:t>
            </w:r>
          </w:p>
        </w:tc>
      </w:tr>
      <w:tr w:rsidR="006E34E4" w14:paraId="03D680E1" w14:textId="77777777" w:rsidTr="005545E1">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4015166F" w14:textId="77777777" w:rsidR="00770578" w:rsidRDefault="00143DA0" w:rsidP="00C240DF">
            <w:pPr>
              <w:keepNext/>
              <w:spacing w:after="0" w:line="240" w:lineRule="auto"/>
            </w:pPr>
            <w:r>
              <w:t>TWB – Tugendhaft Wapnick Banchetti</w:t>
            </w:r>
          </w:p>
          <w:p w14:paraId="3FED2A8B" w14:textId="040A6A48" w:rsidR="006E34E4" w:rsidRDefault="00143DA0" w:rsidP="00C240DF">
            <w:pPr>
              <w:keepNext/>
              <w:spacing w:after="0" w:line="240" w:lineRule="auto"/>
            </w:pPr>
            <w:r>
              <w:t>&amp; Partners</w:t>
            </w:r>
          </w:p>
          <w:p w14:paraId="25D552CE" w14:textId="4B57CC78" w:rsidR="007154C1" w:rsidRDefault="00C240DF" w:rsidP="00C240DF">
            <w:pPr>
              <w:keepNext/>
              <w:spacing w:after="0" w:line="240" w:lineRule="auto"/>
              <w:rPr>
                <w:sz w:val="22"/>
                <w:szCs w:val="22"/>
              </w:rPr>
            </w:pPr>
            <w:r>
              <w:t xml:space="preserve">E-mail: </w:t>
            </w:r>
            <w:hyperlink r:id="rId12" w:history="1">
              <w:r w:rsidR="00143DA0" w:rsidRPr="006C446C">
                <w:rPr>
                  <w:rStyle w:val="Hyperlink"/>
                </w:rPr>
                <w:t>oshy@twb.co.za</w:t>
              </w:r>
            </w:hyperlink>
            <w:r w:rsidR="00143DA0">
              <w:t xml:space="preserve"> / </w:t>
            </w:r>
            <w:hyperlink r:id="rId13" w:history="1">
              <w:r w:rsidR="00143DA0" w:rsidRPr="006C446C">
                <w:rPr>
                  <w:rStyle w:val="Hyperlink"/>
                </w:rPr>
                <w:t>helen@twb.co.za</w:t>
              </w:r>
            </w:hyperlink>
            <w:r w:rsidR="00143DA0">
              <w:t xml:space="preserve"> / </w:t>
            </w:r>
            <w:hyperlink r:id="rId14" w:history="1">
              <w:r w:rsidR="00143DA0" w:rsidRPr="006C446C">
                <w:rPr>
                  <w:rStyle w:val="Hyperlink"/>
                </w:rPr>
                <w:t>anabela@twb.co.za</w:t>
              </w:r>
            </w:hyperlink>
            <w:r w:rsidR="00143DA0">
              <w:t xml:space="preserve">  </w:t>
            </w:r>
            <w:hyperlink r:id="rId15" w:history="1">
              <w:r w:rsidR="00143DA0" w:rsidRPr="006C446C">
                <w:rPr>
                  <w:rStyle w:val="Hyperlink"/>
                </w:rPr>
                <w:t xml:space="preserve">      </w:t>
              </w:r>
            </w:hyperlink>
          </w:p>
        </w:tc>
      </w:tr>
      <w:tr w:rsidR="00143DA0" w14:paraId="32131538" w14:textId="77777777" w:rsidTr="005545E1">
        <w:tc>
          <w:tcPr>
            <w:tcW w:w="3936" w:type="dxa"/>
            <w:tcMar>
              <w:top w:w="32" w:type="dxa"/>
              <w:left w:w="108" w:type="dxa"/>
              <w:bottom w:w="32" w:type="dxa"/>
              <w:right w:w="108" w:type="dxa"/>
            </w:tcMar>
            <w:vAlign w:val="center"/>
          </w:tcPr>
          <w:p w14:paraId="5676538E" w14:textId="7D04D349" w:rsidR="00143DA0" w:rsidRDefault="00143DA0" w:rsidP="00CF7049">
            <w:pPr>
              <w:keepNext/>
              <w:spacing w:before="120" w:line="240" w:lineRule="auto"/>
            </w:pPr>
            <w:r>
              <w:t>FOR SECOND TO THIRTEENTH RESPONDENTS:</w:t>
            </w:r>
          </w:p>
        </w:tc>
        <w:tc>
          <w:tcPr>
            <w:tcW w:w="5208" w:type="dxa"/>
            <w:tcMar>
              <w:top w:w="32" w:type="dxa"/>
              <w:left w:w="108" w:type="dxa"/>
              <w:bottom w:w="32" w:type="dxa"/>
              <w:right w:w="108" w:type="dxa"/>
            </w:tcMar>
            <w:vAlign w:val="center"/>
          </w:tcPr>
          <w:p w14:paraId="147044FB" w14:textId="38F8D42F" w:rsidR="00143DA0" w:rsidRDefault="0085035B" w:rsidP="00C240DF">
            <w:pPr>
              <w:keepNext/>
              <w:spacing w:after="0" w:line="240" w:lineRule="auto"/>
            </w:pPr>
            <w:r>
              <w:t xml:space="preserve">Mr S M Stadler </w:t>
            </w:r>
          </w:p>
        </w:tc>
      </w:tr>
      <w:tr w:rsidR="00060B83" w14:paraId="39EDA95F" w14:textId="77777777" w:rsidTr="005545E1">
        <w:tc>
          <w:tcPr>
            <w:tcW w:w="3936" w:type="dxa"/>
            <w:tcMar>
              <w:top w:w="32" w:type="dxa"/>
              <w:left w:w="108" w:type="dxa"/>
              <w:bottom w:w="32" w:type="dxa"/>
              <w:right w:w="108" w:type="dxa"/>
            </w:tcMar>
            <w:vAlign w:val="center"/>
          </w:tcPr>
          <w:p w14:paraId="52C1C605" w14:textId="073E7EFB" w:rsidR="00060B83" w:rsidRDefault="00060B83" w:rsidP="00CF7049">
            <w:pPr>
              <w:keepNext/>
              <w:spacing w:before="120" w:line="240" w:lineRule="auto"/>
            </w:pPr>
            <w:r>
              <w:t>INSTRUCTED BY:</w:t>
            </w:r>
          </w:p>
        </w:tc>
        <w:tc>
          <w:tcPr>
            <w:tcW w:w="5208" w:type="dxa"/>
            <w:tcMar>
              <w:top w:w="32" w:type="dxa"/>
              <w:left w:w="108" w:type="dxa"/>
              <w:bottom w:w="32" w:type="dxa"/>
              <w:right w:w="108" w:type="dxa"/>
            </w:tcMar>
            <w:vAlign w:val="center"/>
          </w:tcPr>
          <w:p w14:paraId="24D571B1" w14:textId="77777777" w:rsidR="00060B83" w:rsidRDefault="00060B83" w:rsidP="00C240DF">
            <w:pPr>
              <w:keepNext/>
              <w:spacing w:after="0" w:line="240" w:lineRule="auto"/>
            </w:pPr>
            <w:r>
              <w:t>Adams &amp; Adams</w:t>
            </w:r>
          </w:p>
          <w:p w14:paraId="0264FF8A" w14:textId="77777777" w:rsidR="00060B83" w:rsidRDefault="00060B83" w:rsidP="00C240DF">
            <w:pPr>
              <w:keepNext/>
              <w:spacing w:after="0" w:line="240" w:lineRule="auto"/>
            </w:pPr>
            <w:r>
              <w:t>Ms S Van Niekerk</w:t>
            </w:r>
          </w:p>
          <w:p w14:paraId="6ED69A63" w14:textId="0D07DED6" w:rsidR="00060B83" w:rsidRDefault="00060B83" w:rsidP="00C240DF">
            <w:pPr>
              <w:keepNext/>
              <w:spacing w:after="0" w:line="240" w:lineRule="auto"/>
            </w:pPr>
            <w:r>
              <w:t xml:space="preserve">E-mail: </w:t>
            </w:r>
            <w:hyperlink r:id="rId16" w:history="1">
              <w:r w:rsidR="00454E90" w:rsidRPr="003C6A3F">
                <w:rPr>
                  <w:rStyle w:val="Hyperlink"/>
                </w:rPr>
                <w:t>Shani.vanniekerk@adams.africa</w:t>
              </w:r>
            </w:hyperlink>
            <w:r>
              <w:t xml:space="preserve"> </w:t>
            </w:r>
          </w:p>
        </w:tc>
      </w:tr>
      <w:bookmarkEnd w:id="1"/>
      <w:bookmarkEnd w:id="3"/>
    </w:tbl>
    <w:p w14:paraId="32C6E511" w14:textId="77777777" w:rsidR="006E34E4" w:rsidRPr="00964F05" w:rsidRDefault="006E34E4" w:rsidP="006E34E4">
      <w:pPr>
        <w:pStyle w:val="Heading2"/>
        <w:numPr>
          <w:ilvl w:val="0"/>
          <w:numId w:val="0"/>
        </w:numPr>
      </w:pPr>
    </w:p>
    <w:sectPr w:rsidR="006E34E4" w:rsidRPr="00964F05" w:rsidSect="00B84C4D">
      <w:headerReference w:type="even" r:id="rId17"/>
      <w:headerReference w:type="default" r:id="rId18"/>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BBF10" w14:textId="77777777" w:rsidR="00B84C4D" w:rsidRDefault="00B84C4D" w:rsidP="00B958BA">
      <w:pPr>
        <w:pStyle w:val="Title"/>
      </w:pPr>
      <w:r>
        <w:separator/>
      </w:r>
    </w:p>
  </w:endnote>
  <w:endnote w:type="continuationSeparator" w:id="0">
    <w:p w14:paraId="46BC4395" w14:textId="77777777" w:rsidR="00B84C4D" w:rsidRDefault="00B84C4D"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313B5" w14:textId="77777777" w:rsidR="00B84C4D" w:rsidRDefault="00B84C4D" w:rsidP="00B958BA">
      <w:pPr>
        <w:pStyle w:val="Title"/>
      </w:pPr>
      <w:r>
        <w:separator/>
      </w:r>
    </w:p>
  </w:footnote>
  <w:footnote w:type="continuationSeparator" w:id="0">
    <w:p w14:paraId="3CF5258C" w14:textId="77777777" w:rsidR="00B84C4D" w:rsidRDefault="00B84C4D" w:rsidP="00B958BA">
      <w:pPr>
        <w:pStyle w:val="Title"/>
      </w:pPr>
      <w:r>
        <w:continuationSeparator/>
      </w:r>
    </w:p>
  </w:footnote>
  <w:footnote w:id="1">
    <w:p w14:paraId="4A9D6488" w14:textId="52363DCF" w:rsidR="00A26159" w:rsidRDefault="00A26159">
      <w:pPr>
        <w:pStyle w:val="FootnoteText"/>
      </w:pPr>
      <w:r>
        <w:rPr>
          <w:rStyle w:val="FootnoteReference"/>
        </w:rPr>
        <w:footnoteRef/>
      </w:r>
      <w:r>
        <w:t xml:space="preserve"> </w:t>
      </w:r>
      <w:r>
        <w:tab/>
        <w:t>CaseLines, 037-1 to 037-4</w:t>
      </w:r>
    </w:p>
  </w:footnote>
  <w:footnote w:id="2">
    <w:p w14:paraId="6C714F66" w14:textId="05ACDAF6" w:rsidR="00FE3ABC" w:rsidRDefault="00FE3ABC">
      <w:pPr>
        <w:pStyle w:val="FootnoteText"/>
      </w:pPr>
      <w:r>
        <w:rPr>
          <w:rStyle w:val="FootnoteReference"/>
        </w:rPr>
        <w:footnoteRef/>
      </w:r>
      <w:r>
        <w:t xml:space="preserve"> </w:t>
      </w:r>
      <w:r>
        <w:tab/>
        <w:t>CaseLines, 037-6 to 037-12</w:t>
      </w:r>
    </w:p>
  </w:footnote>
  <w:footnote w:id="3">
    <w:p w14:paraId="52AAFAE7" w14:textId="22C245F0" w:rsidR="0056050B" w:rsidRDefault="0056050B" w:rsidP="0056050B">
      <w:pPr>
        <w:pStyle w:val="FootnoteText"/>
      </w:pPr>
      <w:r>
        <w:rPr>
          <w:rStyle w:val="FootnoteReference"/>
        </w:rPr>
        <w:footnoteRef/>
      </w:r>
      <w:r>
        <w:t xml:space="preserve"> </w:t>
      </w:r>
      <w:r>
        <w:tab/>
        <w:t>CaseLines, 037-7 at para 2</w:t>
      </w:r>
      <w:r w:rsidR="005910E7">
        <w:t xml:space="preserve"> </w:t>
      </w:r>
    </w:p>
  </w:footnote>
  <w:footnote w:id="4">
    <w:p w14:paraId="1004DDFE" w14:textId="388BFB62" w:rsidR="00B855BD" w:rsidRDefault="00B855BD">
      <w:pPr>
        <w:pStyle w:val="FootnoteText"/>
      </w:pPr>
      <w:r>
        <w:rPr>
          <w:rStyle w:val="FootnoteReference"/>
        </w:rPr>
        <w:footnoteRef/>
      </w:r>
      <w:r>
        <w:t xml:space="preserve"> </w:t>
      </w:r>
      <w:r>
        <w:tab/>
        <w:t>(903/2022) [2023] ZASCA 176 (14 December 2023) at para [26]</w:t>
      </w:r>
    </w:p>
  </w:footnote>
  <w:footnote w:id="5">
    <w:p w14:paraId="4F6CE892" w14:textId="6A3DFB43" w:rsidR="00462EE1" w:rsidRPr="00E9316E" w:rsidRDefault="00462EE1">
      <w:pPr>
        <w:pStyle w:val="FootnoteText"/>
      </w:pPr>
      <w:r>
        <w:rPr>
          <w:rStyle w:val="FootnoteReference"/>
        </w:rPr>
        <w:footnoteRef/>
      </w:r>
      <w:r>
        <w:t xml:space="preserve"> </w:t>
      </w:r>
      <w:r>
        <w:tab/>
        <w:t>2017 (1) SA 613 (CC)</w:t>
      </w:r>
      <w:r w:rsidR="00E9316E">
        <w:t xml:space="preserve"> </w:t>
      </w:r>
      <w:r w:rsidR="005C5F84">
        <w:t xml:space="preserve">at para </w:t>
      </w:r>
      <w:r w:rsidR="009126EE">
        <w:t>[</w:t>
      </w:r>
      <w:r w:rsidR="005C5F84">
        <w:t>59</w:t>
      </w:r>
      <w:r w:rsidR="009126EE">
        <w:t>]</w:t>
      </w:r>
      <w:r w:rsidR="005C5F84">
        <w:t xml:space="preserve"> </w:t>
      </w:r>
      <w:r w:rsidR="00E9316E">
        <w:t xml:space="preserve">and also </w:t>
      </w:r>
      <w:r w:rsidR="00E9316E">
        <w:rPr>
          <w:i/>
          <w:iCs/>
        </w:rPr>
        <w:t xml:space="preserve">South African Reserve Bank v Khumalo </w:t>
      </w:r>
      <w:r w:rsidR="00E9316E">
        <w:t xml:space="preserve">2010 (5) SA 449 (SCA) and </w:t>
      </w:r>
      <w:r w:rsidR="00E9316E">
        <w:rPr>
          <w:i/>
          <w:iCs/>
        </w:rPr>
        <w:t xml:space="preserve">Tecmed (Pty) Ltd v The Minister of Health </w:t>
      </w:r>
      <w:r w:rsidR="00E9316E">
        <w:t>2012 JDR 0821 (SCA)</w:t>
      </w:r>
      <w:r w:rsidR="00006D5A">
        <w:t xml:space="preserve"> </w:t>
      </w:r>
    </w:p>
  </w:footnote>
  <w:footnote w:id="6">
    <w:p w14:paraId="4106E4A9" w14:textId="794EEABE" w:rsidR="00CF6D9D" w:rsidRDefault="00CF6D9D" w:rsidP="00CF6D9D">
      <w:pPr>
        <w:pStyle w:val="FootnoteText"/>
      </w:pPr>
      <w:r>
        <w:rPr>
          <w:rStyle w:val="FootnoteReference"/>
        </w:rPr>
        <w:footnoteRef/>
      </w:r>
      <w:r>
        <w:t xml:space="preserve"> </w:t>
      </w:r>
      <w:r>
        <w:tab/>
        <w:t>[2016] ZASCA 112 (7 September 2016)</w:t>
      </w:r>
    </w:p>
  </w:footnote>
  <w:footnote w:id="7">
    <w:p w14:paraId="407EEDD4" w14:textId="77777777" w:rsidR="00CF6D9D" w:rsidRPr="001B2D8A" w:rsidRDefault="00CF6D9D" w:rsidP="00CF6D9D">
      <w:pPr>
        <w:pStyle w:val="FootnoteText"/>
      </w:pPr>
      <w:r>
        <w:rPr>
          <w:rStyle w:val="FootnoteReference"/>
        </w:rPr>
        <w:footnoteRef/>
      </w:r>
      <w:r>
        <w:t xml:space="preserve"> </w:t>
      </w:r>
      <w:r>
        <w:tab/>
      </w:r>
      <w:r>
        <w:rPr>
          <w:b/>
          <w:bCs/>
          <w:i/>
          <w:iCs/>
        </w:rPr>
        <w:t xml:space="preserve">Ramakatsa and Others v African National Congress and Another </w:t>
      </w:r>
      <w:r>
        <w:t>(724/29) [2021] ZASCA 31 (31 March 2021)</w:t>
      </w:r>
    </w:p>
  </w:footnote>
  <w:footnote w:id="8">
    <w:p w14:paraId="6076ADF6" w14:textId="77777777" w:rsidR="00CF6D9D" w:rsidRPr="00EF5740" w:rsidRDefault="00CF6D9D" w:rsidP="00CF6D9D">
      <w:pPr>
        <w:pStyle w:val="FootnoteText"/>
      </w:pPr>
      <w:r>
        <w:rPr>
          <w:rStyle w:val="FootnoteReference"/>
        </w:rPr>
        <w:footnoteRef/>
      </w:r>
      <w:r>
        <w:t xml:space="preserve"> </w:t>
      </w:r>
      <w:r>
        <w:tab/>
      </w:r>
      <w:r>
        <w:rPr>
          <w:b/>
          <w:bCs/>
          <w:i/>
          <w:iCs/>
        </w:rPr>
        <w:t xml:space="preserve">S v Smith </w:t>
      </w:r>
      <w:r>
        <w:t>2012 (1) SACR 567 (SCA)</w:t>
      </w:r>
    </w:p>
  </w:footnote>
  <w:footnote w:id="9">
    <w:p w14:paraId="43FCAF4D" w14:textId="77777777" w:rsidR="00CF6D9D" w:rsidRDefault="00CF6D9D" w:rsidP="00CF6D9D">
      <w:pPr>
        <w:pStyle w:val="FootnoteText"/>
      </w:pPr>
      <w:r>
        <w:rPr>
          <w:rStyle w:val="FootnoteReference"/>
        </w:rPr>
        <w:footnoteRef/>
      </w:r>
      <w:r>
        <w:t xml:space="preserve"> </w:t>
      </w:r>
      <w:r>
        <w:tab/>
      </w:r>
      <w:r>
        <w:rPr>
          <w:b/>
          <w:bCs/>
          <w:i/>
          <w:iCs/>
        </w:rPr>
        <w:t>Dexgroup (Pty) Ltd v Trustco Group International (Pty) Ltd and Others</w:t>
      </w:r>
      <w:r>
        <w:t xml:space="preserve"> 2013 (6) SA 520 (SCA)</w:t>
      </w:r>
    </w:p>
  </w:footnote>
  <w:footnote w:id="10">
    <w:p w14:paraId="75F8870E" w14:textId="571580B9" w:rsidR="00233F15" w:rsidRPr="00233F15" w:rsidRDefault="00233F15">
      <w:pPr>
        <w:pStyle w:val="FootnoteText"/>
      </w:pPr>
      <w:r>
        <w:rPr>
          <w:rStyle w:val="FootnoteReference"/>
        </w:rPr>
        <w:footnoteRef/>
      </w:r>
      <w:r>
        <w:t xml:space="preserve"> </w:t>
      </w:r>
      <w:r>
        <w:tab/>
      </w:r>
      <w:r w:rsidRPr="000A5BEE">
        <w:rPr>
          <w:i/>
          <w:iCs/>
        </w:rPr>
        <w:t xml:space="preserve">In </w:t>
      </w:r>
      <w:r w:rsidR="000A5BEE" w:rsidRPr="000A5BEE">
        <w:rPr>
          <w:i/>
          <w:iCs/>
        </w:rPr>
        <w:t>re</w:t>
      </w:r>
      <w:r w:rsidR="000A5BEE">
        <w:t xml:space="preserve"> </w:t>
      </w:r>
      <w:r>
        <w:rPr>
          <w:i/>
          <w:iCs/>
        </w:rPr>
        <w:t xml:space="preserve">Alluvial Creek </w:t>
      </w:r>
      <w:r>
        <w:t>1929 CPD 532</w:t>
      </w:r>
      <w:r w:rsidR="00957871">
        <w:t xml:space="preserve"> at 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7321655"/>
      <w:docPartObj>
        <w:docPartGallery w:val="Page Numbers (Top of Page)"/>
        <w:docPartUnique/>
      </w:docPartObj>
    </w:sdtPr>
    <w:sdtEndPr>
      <w:rPr>
        <w:noProof/>
      </w:rPr>
    </w:sdtEndPr>
    <w:sdtContent>
      <w:p w14:paraId="2A952557" w14:textId="51944CF9" w:rsidR="00CF7049" w:rsidRDefault="00CF7049">
        <w:pPr>
          <w:pStyle w:val="Header"/>
          <w:jc w:val="right"/>
        </w:pPr>
        <w:r>
          <w:fldChar w:fldCharType="begin"/>
        </w:r>
        <w:r>
          <w:instrText xml:space="preserve"> PAGE   \* MERGEFORMAT </w:instrText>
        </w:r>
        <w:r>
          <w:fldChar w:fldCharType="separate"/>
        </w:r>
        <w:r w:rsidR="00A80971">
          <w:rPr>
            <w:noProof/>
          </w:rPr>
          <w:t>7</w:t>
        </w:r>
        <w:r>
          <w:rPr>
            <w:noProof/>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6"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16cid:durableId="1579556842">
    <w:abstractNumId w:val="1"/>
  </w:num>
  <w:num w:numId="2" w16cid:durableId="479543094">
    <w:abstractNumId w:val="1"/>
  </w:num>
  <w:num w:numId="3" w16cid:durableId="443117898">
    <w:abstractNumId w:val="1"/>
  </w:num>
  <w:num w:numId="4" w16cid:durableId="2030328379">
    <w:abstractNumId w:val="1"/>
  </w:num>
  <w:num w:numId="5" w16cid:durableId="459618442">
    <w:abstractNumId w:val="1"/>
  </w:num>
  <w:num w:numId="6" w16cid:durableId="1848669907">
    <w:abstractNumId w:val="1"/>
  </w:num>
  <w:num w:numId="7" w16cid:durableId="665785680">
    <w:abstractNumId w:val="1"/>
  </w:num>
  <w:num w:numId="8" w16cid:durableId="1696034045">
    <w:abstractNumId w:val="1"/>
  </w:num>
  <w:num w:numId="9" w16cid:durableId="1367371712">
    <w:abstractNumId w:val="1"/>
  </w:num>
  <w:num w:numId="10" w16cid:durableId="852917711">
    <w:abstractNumId w:val="1"/>
  </w:num>
  <w:num w:numId="11" w16cid:durableId="549918984">
    <w:abstractNumId w:val="1"/>
  </w:num>
  <w:num w:numId="12" w16cid:durableId="611597757">
    <w:abstractNumId w:val="1"/>
  </w:num>
  <w:num w:numId="13" w16cid:durableId="718555881">
    <w:abstractNumId w:val="1"/>
  </w:num>
  <w:num w:numId="14" w16cid:durableId="1063799414">
    <w:abstractNumId w:val="1"/>
  </w:num>
  <w:num w:numId="15" w16cid:durableId="1594360831">
    <w:abstractNumId w:val="1"/>
  </w:num>
  <w:num w:numId="16" w16cid:durableId="1123036033">
    <w:abstractNumId w:val="1"/>
  </w:num>
  <w:num w:numId="17" w16cid:durableId="2050257984">
    <w:abstractNumId w:val="1"/>
  </w:num>
  <w:num w:numId="18" w16cid:durableId="1072389413">
    <w:abstractNumId w:val="1"/>
  </w:num>
  <w:num w:numId="19" w16cid:durableId="1654137595">
    <w:abstractNumId w:val="1"/>
  </w:num>
  <w:num w:numId="20" w16cid:durableId="1697074584">
    <w:abstractNumId w:val="1"/>
  </w:num>
  <w:num w:numId="21" w16cid:durableId="1262955916">
    <w:abstractNumId w:val="1"/>
  </w:num>
  <w:num w:numId="22" w16cid:durableId="1173640585">
    <w:abstractNumId w:val="1"/>
  </w:num>
  <w:num w:numId="23" w16cid:durableId="289826263">
    <w:abstractNumId w:val="1"/>
  </w:num>
  <w:num w:numId="24" w16cid:durableId="490953593">
    <w:abstractNumId w:val="1"/>
  </w:num>
  <w:num w:numId="25" w16cid:durableId="1073235534">
    <w:abstractNumId w:val="1"/>
  </w:num>
  <w:num w:numId="26" w16cid:durableId="1106388449">
    <w:abstractNumId w:val="1"/>
  </w:num>
  <w:num w:numId="27" w16cid:durableId="1411922368">
    <w:abstractNumId w:val="1"/>
  </w:num>
  <w:num w:numId="28" w16cid:durableId="1907180539">
    <w:abstractNumId w:val="1"/>
  </w:num>
  <w:num w:numId="29" w16cid:durableId="1470704449">
    <w:abstractNumId w:val="1"/>
  </w:num>
  <w:num w:numId="30" w16cid:durableId="1350713762">
    <w:abstractNumId w:val="1"/>
  </w:num>
  <w:num w:numId="31" w16cid:durableId="894656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5141934">
    <w:abstractNumId w:val="1"/>
  </w:num>
  <w:num w:numId="33" w16cid:durableId="2085298882">
    <w:abstractNumId w:val="1"/>
  </w:num>
  <w:num w:numId="34" w16cid:durableId="1207989331">
    <w:abstractNumId w:val="2"/>
  </w:num>
  <w:num w:numId="35" w16cid:durableId="1027095511">
    <w:abstractNumId w:val="4"/>
  </w:num>
  <w:num w:numId="36" w16cid:durableId="2100179914">
    <w:abstractNumId w:val="3"/>
  </w:num>
  <w:num w:numId="37" w16cid:durableId="1260600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9948364">
    <w:abstractNumId w:val="5"/>
  </w:num>
  <w:num w:numId="39" w16cid:durableId="833571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NjOyMDQ0tDQzszRT0lEKTi0uzszPAykwrAUARFySxCwAAAA="/>
  </w:docVars>
  <w:rsids>
    <w:rsidRoot w:val="00EA6CD4"/>
    <w:rsid w:val="00000058"/>
    <w:rsid w:val="00006720"/>
    <w:rsid w:val="00006D5A"/>
    <w:rsid w:val="00013916"/>
    <w:rsid w:val="00016FCE"/>
    <w:rsid w:val="000206B9"/>
    <w:rsid w:val="00021572"/>
    <w:rsid w:val="00024EC0"/>
    <w:rsid w:val="000269A0"/>
    <w:rsid w:val="000330AA"/>
    <w:rsid w:val="00033689"/>
    <w:rsid w:val="00035295"/>
    <w:rsid w:val="00035850"/>
    <w:rsid w:val="00040532"/>
    <w:rsid w:val="00045C2A"/>
    <w:rsid w:val="000460FA"/>
    <w:rsid w:val="00053C24"/>
    <w:rsid w:val="00056698"/>
    <w:rsid w:val="00060B83"/>
    <w:rsid w:val="00062E02"/>
    <w:rsid w:val="00064ABB"/>
    <w:rsid w:val="00076A3C"/>
    <w:rsid w:val="000806A3"/>
    <w:rsid w:val="00081824"/>
    <w:rsid w:val="00090BBB"/>
    <w:rsid w:val="000918CC"/>
    <w:rsid w:val="00096D51"/>
    <w:rsid w:val="000A0742"/>
    <w:rsid w:val="000A3B02"/>
    <w:rsid w:val="000A4A93"/>
    <w:rsid w:val="000A5255"/>
    <w:rsid w:val="000A5BEE"/>
    <w:rsid w:val="000A7277"/>
    <w:rsid w:val="000B0F7E"/>
    <w:rsid w:val="000B2270"/>
    <w:rsid w:val="000B57CF"/>
    <w:rsid w:val="000C3DC6"/>
    <w:rsid w:val="000C42FC"/>
    <w:rsid w:val="000C4BAD"/>
    <w:rsid w:val="000C6E46"/>
    <w:rsid w:val="000D17F5"/>
    <w:rsid w:val="000D45A1"/>
    <w:rsid w:val="000E201A"/>
    <w:rsid w:val="000E51FA"/>
    <w:rsid w:val="000E5E70"/>
    <w:rsid w:val="000F0879"/>
    <w:rsid w:val="000F50B7"/>
    <w:rsid w:val="000F562D"/>
    <w:rsid w:val="0010300F"/>
    <w:rsid w:val="0010379E"/>
    <w:rsid w:val="00117066"/>
    <w:rsid w:val="0012684E"/>
    <w:rsid w:val="00127FB4"/>
    <w:rsid w:val="001348C7"/>
    <w:rsid w:val="0013761F"/>
    <w:rsid w:val="00141EEC"/>
    <w:rsid w:val="00142F93"/>
    <w:rsid w:val="00143DA0"/>
    <w:rsid w:val="0014737C"/>
    <w:rsid w:val="00150259"/>
    <w:rsid w:val="00153383"/>
    <w:rsid w:val="00161D1A"/>
    <w:rsid w:val="00165DA8"/>
    <w:rsid w:val="001662A9"/>
    <w:rsid w:val="00171857"/>
    <w:rsid w:val="0017394F"/>
    <w:rsid w:val="001740EB"/>
    <w:rsid w:val="00174D23"/>
    <w:rsid w:val="00176C16"/>
    <w:rsid w:val="0018046C"/>
    <w:rsid w:val="00191E78"/>
    <w:rsid w:val="00193B63"/>
    <w:rsid w:val="00193BA1"/>
    <w:rsid w:val="00196B94"/>
    <w:rsid w:val="001B3615"/>
    <w:rsid w:val="001B4598"/>
    <w:rsid w:val="001B4819"/>
    <w:rsid w:val="001B48CB"/>
    <w:rsid w:val="001C1534"/>
    <w:rsid w:val="001C4CC1"/>
    <w:rsid w:val="001D151A"/>
    <w:rsid w:val="001D5D9B"/>
    <w:rsid w:val="001E3056"/>
    <w:rsid w:val="001E48C8"/>
    <w:rsid w:val="001E5695"/>
    <w:rsid w:val="001E6155"/>
    <w:rsid w:val="0020226C"/>
    <w:rsid w:val="00204CA6"/>
    <w:rsid w:val="00206B44"/>
    <w:rsid w:val="00207BCE"/>
    <w:rsid w:val="00210EF6"/>
    <w:rsid w:val="00211229"/>
    <w:rsid w:val="00212F35"/>
    <w:rsid w:val="00213776"/>
    <w:rsid w:val="0021628D"/>
    <w:rsid w:val="002167A8"/>
    <w:rsid w:val="002231BF"/>
    <w:rsid w:val="002238E5"/>
    <w:rsid w:val="00224E79"/>
    <w:rsid w:val="00233C3C"/>
    <w:rsid w:val="00233C6D"/>
    <w:rsid w:val="00233F15"/>
    <w:rsid w:val="002353BE"/>
    <w:rsid w:val="00244807"/>
    <w:rsid w:val="00245902"/>
    <w:rsid w:val="00247B19"/>
    <w:rsid w:val="0025399F"/>
    <w:rsid w:val="00255FF0"/>
    <w:rsid w:val="002754D8"/>
    <w:rsid w:val="002757F0"/>
    <w:rsid w:val="002800C5"/>
    <w:rsid w:val="00283838"/>
    <w:rsid w:val="00284C8A"/>
    <w:rsid w:val="00285FB4"/>
    <w:rsid w:val="002912A7"/>
    <w:rsid w:val="00292568"/>
    <w:rsid w:val="002929B8"/>
    <w:rsid w:val="00294E30"/>
    <w:rsid w:val="002A19E4"/>
    <w:rsid w:val="002A1E37"/>
    <w:rsid w:val="002A2729"/>
    <w:rsid w:val="002A3918"/>
    <w:rsid w:val="002A554A"/>
    <w:rsid w:val="002C6134"/>
    <w:rsid w:val="002D4583"/>
    <w:rsid w:val="002E1EEC"/>
    <w:rsid w:val="002F0615"/>
    <w:rsid w:val="002F30AA"/>
    <w:rsid w:val="00300F41"/>
    <w:rsid w:val="00310029"/>
    <w:rsid w:val="00311DAF"/>
    <w:rsid w:val="0031638A"/>
    <w:rsid w:val="00316597"/>
    <w:rsid w:val="003202ED"/>
    <w:rsid w:val="00324245"/>
    <w:rsid w:val="003366C1"/>
    <w:rsid w:val="00337192"/>
    <w:rsid w:val="00340B40"/>
    <w:rsid w:val="003414B0"/>
    <w:rsid w:val="00345C84"/>
    <w:rsid w:val="003470FF"/>
    <w:rsid w:val="003521B3"/>
    <w:rsid w:val="0035315B"/>
    <w:rsid w:val="00354DFA"/>
    <w:rsid w:val="00357F85"/>
    <w:rsid w:val="0037012A"/>
    <w:rsid w:val="0037230C"/>
    <w:rsid w:val="003724BA"/>
    <w:rsid w:val="00374A10"/>
    <w:rsid w:val="0038171B"/>
    <w:rsid w:val="00393E82"/>
    <w:rsid w:val="00395E13"/>
    <w:rsid w:val="003969E9"/>
    <w:rsid w:val="003A1760"/>
    <w:rsid w:val="003A4CE2"/>
    <w:rsid w:val="003B13EC"/>
    <w:rsid w:val="003B1EC4"/>
    <w:rsid w:val="003B42D5"/>
    <w:rsid w:val="003C2823"/>
    <w:rsid w:val="003C2889"/>
    <w:rsid w:val="003C3E35"/>
    <w:rsid w:val="003C6767"/>
    <w:rsid w:val="003C68E4"/>
    <w:rsid w:val="003C6B86"/>
    <w:rsid w:val="003D0EF9"/>
    <w:rsid w:val="003D30FA"/>
    <w:rsid w:val="003D5E64"/>
    <w:rsid w:val="003E2E2E"/>
    <w:rsid w:val="003E3B3D"/>
    <w:rsid w:val="003E4735"/>
    <w:rsid w:val="003E5F9A"/>
    <w:rsid w:val="003E6F1C"/>
    <w:rsid w:val="003F1E6B"/>
    <w:rsid w:val="003F4D15"/>
    <w:rsid w:val="003F7203"/>
    <w:rsid w:val="00401358"/>
    <w:rsid w:val="004031B7"/>
    <w:rsid w:val="00415AE9"/>
    <w:rsid w:val="00416970"/>
    <w:rsid w:val="00417C15"/>
    <w:rsid w:val="00421F93"/>
    <w:rsid w:val="00424920"/>
    <w:rsid w:val="004253C5"/>
    <w:rsid w:val="00426B56"/>
    <w:rsid w:val="00427341"/>
    <w:rsid w:val="00430D78"/>
    <w:rsid w:val="004363DF"/>
    <w:rsid w:val="004447F3"/>
    <w:rsid w:val="00446DF2"/>
    <w:rsid w:val="00447580"/>
    <w:rsid w:val="004521D0"/>
    <w:rsid w:val="00454E90"/>
    <w:rsid w:val="00462EE1"/>
    <w:rsid w:val="00463B1B"/>
    <w:rsid w:val="0046533B"/>
    <w:rsid w:val="00465FDC"/>
    <w:rsid w:val="00470040"/>
    <w:rsid w:val="00481C88"/>
    <w:rsid w:val="004845DF"/>
    <w:rsid w:val="00484D33"/>
    <w:rsid w:val="00484FE7"/>
    <w:rsid w:val="0049082C"/>
    <w:rsid w:val="0049324B"/>
    <w:rsid w:val="00496A2E"/>
    <w:rsid w:val="004A12A6"/>
    <w:rsid w:val="004A12D0"/>
    <w:rsid w:val="004A2102"/>
    <w:rsid w:val="004A4B36"/>
    <w:rsid w:val="004B214D"/>
    <w:rsid w:val="004C24E9"/>
    <w:rsid w:val="004D37D7"/>
    <w:rsid w:val="004D671B"/>
    <w:rsid w:val="004F18B2"/>
    <w:rsid w:val="004F2C82"/>
    <w:rsid w:val="00501216"/>
    <w:rsid w:val="00501614"/>
    <w:rsid w:val="00504A4D"/>
    <w:rsid w:val="0050502F"/>
    <w:rsid w:val="00505F6E"/>
    <w:rsid w:val="0051663B"/>
    <w:rsid w:val="0052278C"/>
    <w:rsid w:val="00535990"/>
    <w:rsid w:val="005361BD"/>
    <w:rsid w:val="00542D61"/>
    <w:rsid w:val="00545B8F"/>
    <w:rsid w:val="00552DA5"/>
    <w:rsid w:val="005546A8"/>
    <w:rsid w:val="00554864"/>
    <w:rsid w:val="00555319"/>
    <w:rsid w:val="005601A9"/>
    <w:rsid w:val="0056050B"/>
    <w:rsid w:val="00561695"/>
    <w:rsid w:val="0056639C"/>
    <w:rsid w:val="00586E1D"/>
    <w:rsid w:val="005910E7"/>
    <w:rsid w:val="005953BC"/>
    <w:rsid w:val="00597C6F"/>
    <w:rsid w:val="005A0D18"/>
    <w:rsid w:val="005A415D"/>
    <w:rsid w:val="005A5817"/>
    <w:rsid w:val="005A58D9"/>
    <w:rsid w:val="005A66C2"/>
    <w:rsid w:val="005B230A"/>
    <w:rsid w:val="005B3E15"/>
    <w:rsid w:val="005B6B8D"/>
    <w:rsid w:val="005C5F84"/>
    <w:rsid w:val="005C6062"/>
    <w:rsid w:val="005D08C4"/>
    <w:rsid w:val="005D4CE1"/>
    <w:rsid w:val="005E22C9"/>
    <w:rsid w:val="005E4649"/>
    <w:rsid w:val="005E7DCC"/>
    <w:rsid w:val="005F3902"/>
    <w:rsid w:val="005F4A06"/>
    <w:rsid w:val="005F58FB"/>
    <w:rsid w:val="005F5D78"/>
    <w:rsid w:val="005F5DEF"/>
    <w:rsid w:val="00601150"/>
    <w:rsid w:val="0061578A"/>
    <w:rsid w:val="006162C1"/>
    <w:rsid w:val="006211E1"/>
    <w:rsid w:val="0062734B"/>
    <w:rsid w:val="00633CD8"/>
    <w:rsid w:val="00636673"/>
    <w:rsid w:val="006435B6"/>
    <w:rsid w:val="00644462"/>
    <w:rsid w:val="006474D2"/>
    <w:rsid w:val="0065099B"/>
    <w:rsid w:val="00660DC9"/>
    <w:rsid w:val="00662EF2"/>
    <w:rsid w:val="00664022"/>
    <w:rsid w:val="0067053A"/>
    <w:rsid w:val="006714D1"/>
    <w:rsid w:val="00677A91"/>
    <w:rsid w:val="00682D44"/>
    <w:rsid w:val="0068303E"/>
    <w:rsid w:val="00683DBE"/>
    <w:rsid w:val="00684176"/>
    <w:rsid w:val="006844B0"/>
    <w:rsid w:val="00690150"/>
    <w:rsid w:val="00690157"/>
    <w:rsid w:val="00690B26"/>
    <w:rsid w:val="006923FD"/>
    <w:rsid w:val="006A09E7"/>
    <w:rsid w:val="006A0B4E"/>
    <w:rsid w:val="006A2B3F"/>
    <w:rsid w:val="006A31BB"/>
    <w:rsid w:val="006A54EC"/>
    <w:rsid w:val="006A5E45"/>
    <w:rsid w:val="006B19F7"/>
    <w:rsid w:val="006B5704"/>
    <w:rsid w:val="006B5DAC"/>
    <w:rsid w:val="006B6D95"/>
    <w:rsid w:val="006C2652"/>
    <w:rsid w:val="006C29F8"/>
    <w:rsid w:val="006D02DC"/>
    <w:rsid w:val="006D03AA"/>
    <w:rsid w:val="006D0E5D"/>
    <w:rsid w:val="006D4E2B"/>
    <w:rsid w:val="006D6322"/>
    <w:rsid w:val="006E05C3"/>
    <w:rsid w:val="006E2986"/>
    <w:rsid w:val="006E34E4"/>
    <w:rsid w:val="006E77C0"/>
    <w:rsid w:val="006F1EF6"/>
    <w:rsid w:val="006F7C73"/>
    <w:rsid w:val="00707BA0"/>
    <w:rsid w:val="00710FD9"/>
    <w:rsid w:val="00713C91"/>
    <w:rsid w:val="007154C1"/>
    <w:rsid w:val="00716A2D"/>
    <w:rsid w:val="00723EE1"/>
    <w:rsid w:val="00733979"/>
    <w:rsid w:val="00733E99"/>
    <w:rsid w:val="00741025"/>
    <w:rsid w:val="007425AB"/>
    <w:rsid w:val="00756B54"/>
    <w:rsid w:val="00757DB9"/>
    <w:rsid w:val="00760FFF"/>
    <w:rsid w:val="007619B3"/>
    <w:rsid w:val="00763C6D"/>
    <w:rsid w:val="00770578"/>
    <w:rsid w:val="00771A66"/>
    <w:rsid w:val="0077321B"/>
    <w:rsid w:val="00774612"/>
    <w:rsid w:val="00776F15"/>
    <w:rsid w:val="007773AC"/>
    <w:rsid w:val="00785236"/>
    <w:rsid w:val="00792018"/>
    <w:rsid w:val="00796047"/>
    <w:rsid w:val="007A04FD"/>
    <w:rsid w:val="007A2ABB"/>
    <w:rsid w:val="007A4FC5"/>
    <w:rsid w:val="007B2070"/>
    <w:rsid w:val="007B7744"/>
    <w:rsid w:val="007B7DE0"/>
    <w:rsid w:val="007B7E35"/>
    <w:rsid w:val="007C0237"/>
    <w:rsid w:val="007C3EBD"/>
    <w:rsid w:val="007C7824"/>
    <w:rsid w:val="007D03A3"/>
    <w:rsid w:val="007D63CE"/>
    <w:rsid w:val="007D7235"/>
    <w:rsid w:val="007E126A"/>
    <w:rsid w:val="007E1556"/>
    <w:rsid w:val="007F446F"/>
    <w:rsid w:val="007F5466"/>
    <w:rsid w:val="008150D5"/>
    <w:rsid w:val="008255C7"/>
    <w:rsid w:val="00825EB5"/>
    <w:rsid w:val="008326F1"/>
    <w:rsid w:val="00833533"/>
    <w:rsid w:val="00833792"/>
    <w:rsid w:val="00844404"/>
    <w:rsid w:val="00844EA1"/>
    <w:rsid w:val="00846E44"/>
    <w:rsid w:val="0085035B"/>
    <w:rsid w:val="0085264E"/>
    <w:rsid w:val="00853F12"/>
    <w:rsid w:val="00853FC4"/>
    <w:rsid w:val="008555DE"/>
    <w:rsid w:val="00860B9E"/>
    <w:rsid w:val="0086223F"/>
    <w:rsid w:val="0086270F"/>
    <w:rsid w:val="00864519"/>
    <w:rsid w:val="008653CC"/>
    <w:rsid w:val="00873D0F"/>
    <w:rsid w:val="008770E9"/>
    <w:rsid w:val="0088113C"/>
    <w:rsid w:val="00885048"/>
    <w:rsid w:val="00885F18"/>
    <w:rsid w:val="008923E1"/>
    <w:rsid w:val="008924CA"/>
    <w:rsid w:val="00895C40"/>
    <w:rsid w:val="00897206"/>
    <w:rsid w:val="008A129D"/>
    <w:rsid w:val="008A2E5B"/>
    <w:rsid w:val="008A78E7"/>
    <w:rsid w:val="008A7EC7"/>
    <w:rsid w:val="008B1DDB"/>
    <w:rsid w:val="008C0814"/>
    <w:rsid w:val="008C2196"/>
    <w:rsid w:val="008C4C23"/>
    <w:rsid w:val="008E129B"/>
    <w:rsid w:val="008E407B"/>
    <w:rsid w:val="008F63B3"/>
    <w:rsid w:val="008F6C0F"/>
    <w:rsid w:val="00902987"/>
    <w:rsid w:val="0090528A"/>
    <w:rsid w:val="00907BBD"/>
    <w:rsid w:val="009126EE"/>
    <w:rsid w:val="00912C24"/>
    <w:rsid w:val="00915779"/>
    <w:rsid w:val="00915EBA"/>
    <w:rsid w:val="0092135E"/>
    <w:rsid w:val="00922F8F"/>
    <w:rsid w:val="0092318D"/>
    <w:rsid w:val="00937FB2"/>
    <w:rsid w:val="00947A8C"/>
    <w:rsid w:val="0095600B"/>
    <w:rsid w:val="00957871"/>
    <w:rsid w:val="00964991"/>
    <w:rsid w:val="00964F05"/>
    <w:rsid w:val="00965FAA"/>
    <w:rsid w:val="009777C7"/>
    <w:rsid w:val="009874C6"/>
    <w:rsid w:val="00994CFE"/>
    <w:rsid w:val="009A0BD5"/>
    <w:rsid w:val="009A1259"/>
    <w:rsid w:val="009A4CDC"/>
    <w:rsid w:val="009A7288"/>
    <w:rsid w:val="009B12AD"/>
    <w:rsid w:val="009B7BD3"/>
    <w:rsid w:val="009C256C"/>
    <w:rsid w:val="009D4549"/>
    <w:rsid w:val="009E00E3"/>
    <w:rsid w:val="009E2CB7"/>
    <w:rsid w:val="009E65C0"/>
    <w:rsid w:val="009F0396"/>
    <w:rsid w:val="009F0AC2"/>
    <w:rsid w:val="009F2F16"/>
    <w:rsid w:val="00A00585"/>
    <w:rsid w:val="00A03C6A"/>
    <w:rsid w:val="00A10756"/>
    <w:rsid w:val="00A123A1"/>
    <w:rsid w:val="00A124D5"/>
    <w:rsid w:val="00A15DD5"/>
    <w:rsid w:val="00A1796E"/>
    <w:rsid w:val="00A26159"/>
    <w:rsid w:val="00A273DB"/>
    <w:rsid w:val="00A27FA6"/>
    <w:rsid w:val="00A3251B"/>
    <w:rsid w:val="00A34D30"/>
    <w:rsid w:val="00A34EE3"/>
    <w:rsid w:val="00A36EB9"/>
    <w:rsid w:val="00A42064"/>
    <w:rsid w:val="00A424AC"/>
    <w:rsid w:val="00A433AA"/>
    <w:rsid w:val="00A60DA6"/>
    <w:rsid w:val="00A629A8"/>
    <w:rsid w:val="00A7023E"/>
    <w:rsid w:val="00A70EDD"/>
    <w:rsid w:val="00A71CAA"/>
    <w:rsid w:val="00A802F7"/>
    <w:rsid w:val="00A80971"/>
    <w:rsid w:val="00A8182A"/>
    <w:rsid w:val="00A81DEE"/>
    <w:rsid w:val="00A91D4E"/>
    <w:rsid w:val="00A93999"/>
    <w:rsid w:val="00AA14E7"/>
    <w:rsid w:val="00AA282F"/>
    <w:rsid w:val="00AB4492"/>
    <w:rsid w:val="00AB65AA"/>
    <w:rsid w:val="00AC33C6"/>
    <w:rsid w:val="00AC3F61"/>
    <w:rsid w:val="00AC743C"/>
    <w:rsid w:val="00AD2B7D"/>
    <w:rsid w:val="00AD2B8A"/>
    <w:rsid w:val="00AD780A"/>
    <w:rsid w:val="00AE4675"/>
    <w:rsid w:val="00AF0C2E"/>
    <w:rsid w:val="00AF2E72"/>
    <w:rsid w:val="00AF5EAC"/>
    <w:rsid w:val="00AF72EB"/>
    <w:rsid w:val="00B0132A"/>
    <w:rsid w:val="00B17D38"/>
    <w:rsid w:val="00B21985"/>
    <w:rsid w:val="00B236D8"/>
    <w:rsid w:val="00B66B19"/>
    <w:rsid w:val="00B77395"/>
    <w:rsid w:val="00B77DE1"/>
    <w:rsid w:val="00B82DF7"/>
    <w:rsid w:val="00B84C4D"/>
    <w:rsid w:val="00B855BD"/>
    <w:rsid w:val="00B93E5F"/>
    <w:rsid w:val="00B958BA"/>
    <w:rsid w:val="00B96E0E"/>
    <w:rsid w:val="00BB1870"/>
    <w:rsid w:val="00BB4FFF"/>
    <w:rsid w:val="00BE2224"/>
    <w:rsid w:val="00BE33E3"/>
    <w:rsid w:val="00BE788A"/>
    <w:rsid w:val="00BF06A5"/>
    <w:rsid w:val="00BF2BEC"/>
    <w:rsid w:val="00BF34C6"/>
    <w:rsid w:val="00C01FF9"/>
    <w:rsid w:val="00C0292E"/>
    <w:rsid w:val="00C04B0E"/>
    <w:rsid w:val="00C050C9"/>
    <w:rsid w:val="00C05564"/>
    <w:rsid w:val="00C14F08"/>
    <w:rsid w:val="00C17582"/>
    <w:rsid w:val="00C240DF"/>
    <w:rsid w:val="00C24A03"/>
    <w:rsid w:val="00C25A16"/>
    <w:rsid w:val="00C35AE6"/>
    <w:rsid w:val="00C35F34"/>
    <w:rsid w:val="00C55EC2"/>
    <w:rsid w:val="00C60BFC"/>
    <w:rsid w:val="00C63194"/>
    <w:rsid w:val="00C63391"/>
    <w:rsid w:val="00C66445"/>
    <w:rsid w:val="00C74E36"/>
    <w:rsid w:val="00C76854"/>
    <w:rsid w:val="00C77169"/>
    <w:rsid w:val="00C77411"/>
    <w:rsid w:val="00C808A9"/>
    <w:rsid w:val="00C8377F"/>
    <w:rsid w:val="00C85248"/>
    <w:rsid w:val="00C860FB"/>
    <w:rsid w:val="00C8788C"/>
    <w:rsid w:val="00C906EC"/>
    <w:rsid w:val="00C956DF"/>
    <w:rsid w:val="00C96454"/>
    <w:rsid w:val="00CA268A"/>
    <w:rsid w:val="00CA78DD"/>
    <w:rsid w:val="00CB0D15"/>
    <w:rsid w:val="00CB2503"/>
    <w:rsid w:val="00CB3AFB"/>
    <w:rsid w:val="00CB4DB9"/>
    <w:rsid w:val="00CC17D9"/>
    <w:rsid w:val="00CC5BF0"/>
    <w:rsid w:val="00CD50F3"/>
    <w:rsid w:val="00CD6D6A"/>
    <w:rsid w:val="00CE6950"/>
    <w:rsid w:val="00CF3964"/>
    <w:rsid w:val="00CF6D9D"/>
    <w:rsid w:val="00CF7049"/>
    <w:rsid w:val="00CF7F6C"/>
    <w:rsid w:val="00D06D19"/>
    <w:rsid w:val="00D10CBB"/>
    <w:rsid w:val="00D134CE"/>
    <w:rsid w:val="00D20827"/>
    <w:rsid w:val="00D22F94"/>
    <w:rsid w:val="00D31952"/>
    <w:rsid w:val="00D31B6A"/>
    <w:rsid w:val="00D3360D"/>
    <w:rsid w:val="00D3373C"/>
    <w:rsid w:val="00D34D64"/>
    <w:rsid w:val="00D35902"/>
    <w:rsid w:val="00D43327"/>
    <w:rsid w:val="00D52B3B"/>
    <w:rsid w:val="00D52E36"/>
    <w:rsid w:val="00D552FC"/>
    <w:rsid w:val="00D65172"/>
    <w:rsid w:val="00D75DBC"/>
    <w:rsid w:val="00D905E4"/>
    <w:rsid w:val="00D90FD8"/>
    <w:rsid w:val="00D912C4"/>
    <w:rsid w:val="00D964BA"/>
    <w:rsid w:val="00D96639"/>
    <w:rsid w:val="00DA332F"/>
    <w:rsid w:val="00DA4E0C"/>
    <w:rsid w:val="00DA541B"/>
    <w:rsid w:val="00DB1590"/>
    <w:rsid w:val="00DB42AA"/>
    <w:rsid w:val="00DB4489"/>
    <w:rsid w:val="00DB7D1C"/>
    <w:rsid w:val="00DC027A"/>
    <w:rsid w:val="00DC0AD9"/>
    <w:rsid w:val="00DE0AE6"/>
    <w:rsid w:val="00DE3255"/>
    <w:rsid w:val="00DE41F0"/>
    <w:rsid w:val="00DF1F5C"/>
    <w:rsid w:val="00DF2F30"/>
    <w:rsid w:val="00E00E1B"/>
    <w:rsid w:val="00E02B6E"/>
    <w:rsid w:val="00E02C94"/>
    <w:rsid w:val="00E05230"/>
    <w:rsid w:val="00E13867"/>
    <w:rsid w:val="00E13A1D"/>
    <w:rsid w:val="00E156EB"/>
    <w:rsid w:val="00E168D5"/>
    <w:rsid w:val="00E23510"/>
    <w:rsid w:val="00E25969"/>
    <w:rsid w:val="00E26023"/>
    <w:rsid w:val="00E303AF"/>
    <w:rsid w:val="00E34CF6"/>
    <w:rsid w:val="00E36B92"/>
    <w:rsid w:val="00E50CC7"/>
    <w:rsid w:val="00E51266"/>
    <w:rsid w:val="00E53D8B"/>
    <w:rsid w:val="00E54DAA"/>
    <w:rsid w:val="00E55495"/>
    <w:rsid w:val="00E63CD1"/>
    <w:rsid w:val="00E66BE1"/>
    <w:rsid w:val="00E75408"/>
    <w:rsid w:val="00E77851"/>
    <w:rsid w:val="00E8054B"/>
    <w:rsid w:val="00E81456"/>
    <w:rsid w:val="00E82176"/>
    <w:rsid w:val="00E858B8"/>
    <w:rsid w:val="00E87D02"/>
    <w:rsid w:val="00E927E5"/>
    <w:rsid w:val="00E9316E"/>
    <w:rsid w:val="00E940B8"/>
    <w:rsid w:val="00E94884"/>
    <w:rsid w:val="00EA240C"/>
    <w:rsid w:val="00EA6B5D"/>
    <w:rsid w:val="00EA6CD4"/>
    <w:rsid w:val="00EA788F"/>
    <w:rsid w:val="00EB6F17"/>
    <w:rsid w:val="00EC11A5"/>
    <w:rsid w:val="00ED2946"/>
    <w:rsid w:val="00ED57B0"/>
    <w:rsid w:val="00EE1978"/>
    <w:rsid w:val="00EE1F1C"/>
    <w:rsid w:val="00EF1F63"/>
    <w:rsid w:val="00EF2ED0"/>
    <w:rsid w:val="00EF2F5C"/>
    <w:rsid w:val="00EF45EB"/>
    <w:rsid w:val="00EF5857"/>
    <w:rsid w:val="00F04A6E"/>
    <w:rsid w:val="00F0722B"/>
    <w:rsid w:val="00F07E82"/>
    <w:rsid w:val="00F11A88"/>
    <w:rsid w:val="00F15C35"/>
    <w:rsid w:val="00F334D0"/>
    <w:rsid w:val="00F44665"/>
    <w:rsid w:val="00F44D75"/>
    <w:rsid w:val="00F52248"/>
    <w:rsid w:val="00F554DB"/>
    <w:rsid w:val="00F606EA"/>
    <w:rsid w:val="00F851FE"/>
    <w:rsid w:val="00F95C27"/>
    <w:rsid w:val="00F97B1F"/>
    <w:rsid w:val="00FA13A5"/>
    <w:rsid w:val="00FA4706"/>
    <w:rsid w:val="00FA5336"/>
    <w:rsid w:val="00FB12E7"/>
    <w:rsid w:val="00FB42CF"/>
    <w:rsid w:val="00FB60F0"/>
    <w:rsid w:val="00FC4520"/>
    <w:rsid w:val="00FC48B7"/>
    <w:rsid w:val="00FC50BF"/>
    <w:rsid w:val="00FC52B8"/>
    <w:rsid w:val="00FD4554"/>
    <w:rsid w:val="00FD4C4B"/>
    <w:rsid w:val="00FE38D9"/>
    <w:rsid w:val="00FE3ABC"/>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yperlink" Target="mailto:helen@twb.co.za"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shy@twb.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hani.vanniekerk@adams.afri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omhout@law.co.za" TargetMode="External"/><Relationship Id="rId5" Type="http://schemas.openxmlformats.org/officeDocument/2006/relationships/footnotes" Target="footnotes.xml"/><Relationship Id="rId15" Type="http://schemas.openxmlformats.org/officeDocument/2006/relationships/hyperlink" Target="mailto:iana@phattorneys.co.za%20%20%20%20%20%20" TargetMode="External"/><Relationship Id="rId10" Type="http://schemas.openxmlformats.org/officeDocument/2006/relationships/hyperlink" Target="mailto:sonja@em.law.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em.law.za" TargetMode="External"/><Relationship Id="rId14" Type="http://schemas.openxmlformats.org/officeDocument/2006/relationships/hyperlink" Target="mailto:anabela@twb.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SGHC.dotx</Template>
  <TotalTime>6</TotalTime>
  <Pages>8</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sathish sarshan  mohan</cp:lastModifiedBy>
  <cp:revision>3</cp:revision>
  <cp:lastPrinted>2024-03-28T12:35:00Z</cp:lastPrinted>
  <dcterms:created xsi:type="dcterms:W3CDTF">2024-04-02T13:01:00Z</dcterms:created>
  <dcterms:modified xsi:type="dcterms:W3CDTF">2024-04-03T12:29:00Z</dcterms:modified>
</cp:coreProperties>
</file>