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981421" w14:textId="1F039A82" w:rsidR="006C43D7" w:rsidRPr="007811C6" w:rsidRDefault="00AD3D5D" w:rsidP="006F0330">
      <w:pPr>
        <w:spacing w:after="120" w:line="360" w:lineRule="auto"/>
        <w:jc w:val="center"/>
        <w:rPr>
          <w:rFonts w:cs="Arial"/>
          <w:b/>
          <w:bCs/>
          <w:szCs w:val="22"/>
        </w:rPr>
      </w:pPr>
      <w:r w:rsidRPr="007811C6">
        <w:rPr>
          <w:rFonts w:cs="Arial"/>
          <w:b/>
          <w:bCs/>
          <w:szCs w:val="22"/>
        </w:rPr>
        <w:t xml:space="preserve"> </w:t>
      </w:r>
      <w:r w:rsidR="006C43D7" w:rsidRPr="007811C6">
        <w:rPr>
          <w:rFonts w:cs="Arial"/>
          <w:b/>
          <w:bCs/>
          <w:noProof/>
          <w:szCs w:val="22"/>
          <w:lang w:eastAsia="en-ZA"/>
        </w:rPr>
        <w:drawing>
          <wp:inline distT="0" distB="0" distL="0" distR="0" wp14:anchorId="533B6FEC" wp14:editId="2A4182C8">
            <wp:extent cx="1536065" cy="1536065"/>
            <wp:effectExtent l="0" t="0" r="6985" b="6985"/>
            <wp:docPr id="2" name="Picture 2"/>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6065" cy="1536065"/>
                    </a:xfrm>
                    <a:prstGeom prst="rect">
                      <a:avLst/>
                    </a:prstGeom>
                    <a:noFill/>
                  </pic:spPr>
                </pic:pic>
              </a:graphicData>
            </a:graphic>
          </wp:inline>
        </w:drawing>
      </w:r>
    </w:p>
    <w:p w14:paraId="7E492062" w14:textId="77777777" w:rsidR="006C43D7" w:rsidRPr="007811C6" w:rsidRDefault="006C43D7" w:rsidP="00C74E97">
      <w:pPr>
        <w:spacing w:line="360" w:lineRule="auto"/>
        <w:jc w:val="center"/>
        <w:rPr>
          <w:rFonts w:cs="Arial"/>
          <w:b/>
          <w:szCs w:val="22"/>
        </w:rPr>
      </w:pPr>
      <w:r w:rsidRPr="007811C6">
        <w:rPr>
          <w:rFonts w:cs="Arial"/>
          <w:b/>
          <w:szCs w:val="22"/>
        </w:rPr>
        <w:t xml:space="preserve">IN THE HIGH COURT OF SOUTH AFRICA, </w:t>
      </w:r>
    </w:p>
    <w:p w14:paraId="566C4D1B" w14:textId="77777777" w:rsidR="006C43D7" w:rsidRPr="007811C6" w:rsidRDefault="006C43D7" w:rsidP="00C74E97">
      <w:pPr>
        <w:spacing w:line="360" w:lineRule="auto"/>
        <w:jc w:val="center"/>
        <w:rPr>
          <w:rFonts w:cs="Arial"/>
          <w:b/>
          <w:szCs w:val="22"/>
        </w:rPr>
      </w:pPr>
      <w:r w:rsidRPr="007811C6">
        <w:rPr>
          <w:rFonts w:cs="Arial"/>
          <w:b/>
          <w:szCs w:val="22"/>
        </w:rPr>
        <w:t>GAUTENG DIVISION, JOHANNESBURG</w:t>
      </w:r>
    </w:p>
    <w:p w14:paraId="13D6E83E" w14:textId="77777777" w:rsidR="006C43D7" w:rsidRPr="007811C6" w:rsidRDefault="006C43D7" w:rsidP="00C74E97">
      <w:pPr>
        <w:spacing w:line="360" w:lineRule="auto"/>
        <w:jc w:val="both"/>
        <w:rPr>
          <w:rFonts w:cs="Arial"/>
          <w:b/>
          <w:szCs w:val="22"/>
        </w:rPr>
      </w:pPr>
    </w:p>
    <w:p w14:paraId="084B5ECD" w14:textId="76F97060" w:rsidR="006C43D7" w:rsidRPr="007811C6" w:rsidRDefault="00F913C7" w:rsidP="00AD1989">
      <w:pPr>
        <w:spacing w:line="360" w:lineRule="auto"/>
        <w:jc w:val="right"/>
        <w:rPr>
          <w:rFonts w:cs="Arial"/>
          <w:szCs w:val="22"/>
        </w:rPr>
      </w:pPr>
      <w:r w:rsidRPr="007811C6">
        <w:rPr>
          <w:rFonts w:cs="Arial"/>
          <w:b/>
          <w:szCs w:val="22"/>
        </w:rPr>
        <w:t xml:space="preserve">CASE NO: </w:t>
      </w:r>
      <w:r w:rsidR="00A774BA">
        <w:rPr>
          <w:noProof/>
          <w:lang w:eastAsia="en-ZA"/>
        </w:rPr>
        <mc:AlternateContent>
          <mc:Choice Requires="wps">
            <w:drawing>
              <wp:anchor distT="0" distB="0" distL="114300" distR="114300" simplePos="0" relativeHeight="251659264" behindDoc="0" locked="0" layoutInCell="1" allowOverlap="1" wp14:anchorId="563837DC" wp14:editId="5A28E6DD">
                <wp:simplePos x="0" y="0"/>
                <wp:positionH relativeFrom="margin">
                  <wp:align>left</wp:align>
                </wp:positionH>
                <wp:positionV relativeFrom="paragraph">
                  <wp:posOffset>49530</wp:posOffset>
                </wp:positionV>
                <wp:extent cx="3314700" cy="1592580"/>
                <wp:effectExtent l="0" t="0" r="0" b="7620"/>
                <wp:wrapNone/>
                <wp:docPr id="99327831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592580"/>
                        </a:xfrm>
                        <a:prstGeom prst="rect">
                          <a:avLst/>
                        </a:prstGeom>
                        <a:solidFill>
                          <a:srgbClr val="FFFFFF"/>
                        </a:solidFill>
                        <a:ln w="9525">
                          <a:solidFill>
                            <a:srgbClr val="000000"/>
                          </a:solidFill>
                          <a:miter lim="800000"/>
                          <a:headEnd/>
                          <a:tailEnd/>
                        </a:ln>
                      </wps:spPr>
                      <wps:txbx>
                        <w:txbxContent>
                          <w:p w14:paraId="0EA4B470" w14:textId="77777777" w:rsidR="00893C08" w:rsidRPr="008E2A22" w:rsidRDefault="00893C08" w:rsidP="006C43D7">
                            <w:pPr>
                              <w:jc w:val="center"/>
                              <w:rPr>
                                <w:rFonts w:ascii="Century Gothic" w:hAnsi="Century Gothic"/>
                                <w:b/>
                                <w:sz w:val="19"/>
                                <w:szCs w:val="19"/>
                              </w:rPr>
                            </w:pPr>
                          </w:p>
                          <w:p w14:paraId="01FDAE28" w14:textId="5217D753" w:rsidR="00893C08" w:rsidRPr="008E2A22" w:rsidRDefault="00D45B31" w:rsidP="00D45B31">
                            <w:pPr>
                              <w:tabs>
                                <w:tab w:val="left" w:pos="900"/>
                              </w:tabs>
                              <w:ind w:left="900" w:hanging="720"/>
                              <w:rPr>
                                <w:rFonts w:ascii="Century Gothic" w:hAnsi="Century Gothic"/>
                                <w:sz w:val="19"/>
                                <w:szCs w:val="19"/>
                              </w:rPr>
                            </w:pPr>
                            <w:r w:rsidRPr="008E2A22">
                              <w:rPr>
                                <w:rFonts w:ascii="Century Gothic" w:hAnsi="Century Gothic"/>
                                <w:sz w:val="19"/>
                                <w:szCs w:val="19"/>
                              </w:rPr>
                              <w:t>(1)</w:t>
                            </w:r>
                            <w:r w:rsidRPr="008E2A22">
                              <w:rPr>
                                <w:rFonts w:ascii="Century Gothic" w:hAnsi="Century Gothic"/>
                                <w:sz w:val="19"/>
                                <w:szCs w:val="19"/>
                              </w:rPr>
                              <w:tab/>
                            </w:r>
                            <w:r w:rsidR="00893C08" w:rsidRPr="008E2A22">
                              <w:rPr>
                                <w:rFonts w:ascii="Century Gothic" w:hAnsi="Century Gothic"/>
                                <w:sz w:val="19"/>
                                <w:szCs w:val="19"/>
                              </w:rPr>
                              <w:t xml:space="preserve">REPORTABLE: </w:t>
                            </w:r>
                            <w:r w:rsidR="004F5D23" w:rsidRPr="008E2A22">
                              <w:rPr>
                                <w:rFonts w:ascii="Century Gothic" w:hAnsi="Century Gothic"/>
                                <w:sz w:val="19"/>
                                <w:szCs w:val="19"/>
                              </w:rPr>
                              <w:t>NO</w:t>
                            </w:r>
                          </w:p>
                          <w:p w14:paraId="3A4C7296" w14:textId="0ED6661B" w:rsidR="00893C08" w:rsidRPr="008E2A22" w:rsidRDefault="00D45B31" w:rsidP="00D45B31">
                            <w:pPr>
                              <w:tabs>
                                <w:tab w:val="left" w:pos="900"/>
                              </w:tabs>
                              <w:ind w:left="900" w:hanging="720"/>
                              <w:rPr>
                                <w:rFonts w:ascii="Century Gothic" w:hAnsi="Century Gothic"/>
                                <w:sz w:val="19"/>
                                <w:szCs w:val="19"/>
                              </w:rPr>
                            </w:pPr>
                            <w:r w:rsidRPr="008E2A22">
                              <w:rPr>
                                <w:rFonts w:ascii="Century Gothic" w:hAnsi="Century Gothic"/>
                                <w:sz w:val="19"/>
                                <w:szCs w:val="19"/>
                              </w:rPr>
                              <w:t>(2)</w:t>
                            </w:r>
                            <w:r w:rsidRPr="008E2A22">
                              <w:rPr>
                                <w:rFonts w:ascii="Century Gothic" w:hAnsi="Century Gothic"/>
                                <w:sz w:val="19"/>
                                <w:szCs w:val="19"/>
                              </w:rPr>
                              <w:tab/>
                            </w:r>
                            <w:r w:rsidR="00893C08" w:rsidRPr="008E2A22">
                              <w:rPr>
                                <w:rFonts w:ascii="Century Gothic" w:hAnsi="Century Gothic"/>
                                <w:sz w:val="19"/>
                                <w:szCs w:val="19"/>
                              </w:rPr>
                              <w:t xml:space="preserve">OF INTEREST TO OTHER JUDGES: </w:t>
                            </w:r>
                            <w:r w:rsidR="00AD1989">
                              <w:rPr>
                                <w:rFonts w:ascii="Century Gothic" w:hAnsi="Century Gothic"/>
                                <w:sz w:val="19"/>
                                <w:szCs w:val="19"/>
                              </w:rPr>
                              <w:t>NO</w:t>
                            </w:r>
                          </w:p>
                          <w:p w14:paraId="1545E4B8" w14:textId="74255A93" w:rsidR="00CA0F98" w:rsidRPr="008E2A22" w:rsidRDefault="00CA0F98" w:rsidP="004479C3">
                            <w:pPr>
                              <w:rPr>
                                <w:rFonts w:ascii="Century Gothic" w:hAnsi="Century Gothic"/>
                                <w:sz w:val="19"/>
                                <w:szCs w:val="19"/>
                              </w:rPr>
                            </w:pPr>
                          </w:p>
                          <w:p w14:paraId="21D4A71B" w14:textId="5B58BFC8" w:rsidR="00893C08" w:rsidRPr="008E2A22" w:rsidRDefault="00893C08" w:rsidP="001D3CC2">
                            <w:pPr>
                              <w:ind w:left="180"/>
                              <w:rPr>
                                <w:rFonts w:ascii="Century Gothic" w:hAnsi="Century Gothic"/>
                                <w:sz w:val="19"/>
                                <w:szCs w:val="19"/>
                              </w:rPr>
                            </w:pPr>
                          </w:p>
                          <w:p w14:paraId="761B7CA4" w14:textId="77777777" w:rsidR="00893C08" w:rsidRPr="008E2A22" w:rsidRDefault="00893C08" w:rsidP="006C43D7">
                            <w:pPr>
                              <w:rPr>
                                <w:rFonts w:ascii="Century Gothic" w:hAnsi="Century Gothic"/>
                                <w:b/>
                                <w:sz w:val="17"/>
                                <w:szCs w:val="17"/>
                              </w:rPr>
                            </w:pPr>
                          </w:p>
                          <w:p w14:paraId="0EC4BA5C" w14:textId="61945B0D" w:rsidR="00893C08" w:rsidRPr="008E2A22" w:rsidRDefault="00893C08" w:rsidP="001D3CC2">
                            <w:pPr>
                              <w:keepNext/>
                              <w:tabs>
                                <w:tab w:val="right" w:pos="0"/>
                              </w:tabs>
                              <w:contextualSpacing/>
                              <w:jc w:val="center"/>
                              <w:rPr>
                                <w:rFonts w:cs="Arial"/>
                                <w:sz w:val="31"/>
                                <w:szCs w:val="31"/>
                              </w:rPr>
                            </w:pPr>
                            <w:r w:rsidRPr="008E2A22">
                              <w:rPr>
                                <w:rFonts w:ascii="Century Gothic" w:hAnsi="Century Gothic"/>
                                <w:b/>
                                <w:sz w:val="17"/>
                                <w:szCs w:val="17"/>
                              </w:rPr>
                              <w:t xml:space="preserve">                        </w:t>
                            </w:r>
                            <w:r w:rsidRPr="008E2A22">
                              <w:rPr>
                                <w:rFonts w:ascii="Century Gothic" w:hAnsi="Century Gothic"/>
                                <w:b/>
                                <w:sz w:val="31"/>
                                <w:szCs w:val="31"/>
                              </w:rPr>
                              <w:t xml:space="preserve">  </w:t>
                            </w:r>
                          </w:p>
                          <w:p w14:paraId="11AD3C7B" w14:textId="4114C951" w:rsidR="00893C08" w:rsidRPr="008E2A22" w:rsidRDefault="00893C08" w:rsidP="001D3CC2">
                            <w:pPr>
                              <w:rPr>
                                <w:rFonts w:ascii="Century Gothic" w:hAnsi="Century Gothic"/>
                                <w:sz w:val="17"/>
                                <w:szCs w:val="17"/>
                              </w:rPr>
                            </w:pPr>
                            <w:r w:rsidRPr="008E2A22">
                              <w:rPr>
                                <w:rFonts w:ascii="Century Gothic" w:hAnsi="Century Gothic"/>
                                <w:b/>
                                <w:sz w:val="17"/>
                                <w:szCs w:val="17"/>
                              </w:rPr>
                              <w:t xml:space="preserve">       </w:t>
                            </w:r>
                            <w:r w:rsidRPr="008E2A22">
                              <w:rPr>
                                <w:rFonts w:ascii="Century Gothic" w:hAnsi="Century Gothic"/>
                                <w:sz w:val="17"/>
                                <w:szCs w:val="17"/>
                              </w:rPr>
                              <w:t xml:space="preserve">            DATE</w:t>
                            </w:r>
                            <w:r w:rsidRPr="008E2A22">
                              <w:rPr>
                                <w:rFonts w:ascii="Century Gothic" w:hAnsi="Century Gothic"/>
                                <w:sz w:val="17"/>
                                <w:szCs w:val="17"/>
                              </w:rPr>
                              <w:tab/>
                            </w:r>
                            <w:r w:rsidRPr="008E2A22">
                              <w:rPr>
                                <w:rFonts w:ascii="Century Gothic" w:hAnsi="Century Gothic"/>
                                <w:sz w:val="17"/>
                                <w:szCs w:val="17"/>
                              </w:rPr>
                              <w:tab/>
                            </w:r>
                            <w:r w:rsidRPr="008E2A22">
                              <w:rPr>
                                <w:rFonts w:ascii="Century Gothic" w:hAnsi="Century Gothic"/>
                                <w:sz w:val="17"/>
                                <w:szCs w:val="17"/>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3837DC" id="_x0000_t202" coordsize="21600,21600" o:spt="202" path="m,l,21600r21600,l21600,xe">
                <v:stroke joinstyle="miter"/>
                <v:path gradientshapeok="t" o:connecttype="rect"/>
              </v:shapetype>
              <v:shape id="Text Box 1" o:spid="_x0000_s1026" type="#_x0000_t202" style="position:absolute;left:0;text-align:left;margin-left:0;margin-top:3.9pt;width:261pt;height:125.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">
                <v:textbox>
                  <w:txbxContent>
                    <w:p w14:paraId="0EA4B470" w14:textId="77777777" w:rsidR="00893C08" w:rsidRPr="008E2A22" w:rsidRDefault="00893C08" w:rsidP="006C43D7">
                      <w:pPr>
                        <w:jc w:val="center"/>
                        <w:rPr>
                          <w:rFonts w:ascii="Century Gothic" w:hAnsi="Century Gothic"/>
                          <w:b/>
                          <w:sz w:val="19"/>
                          <w:szCs w:val="19"/>
                        </w:rPr>
                      </w:pPr>
                    </w:p>
                    <w:p w14:paraId="01FDAE28" w14:textId="5217D753" w:rsidR="00893C08" w:rsidRPr="008E2A22" w:rsidRDefault="00D45B31" w:rsidP="00D45B31">
                      <w:pPr>
                        <w:tabs>
                          <w:tab w:val="left" w:pos="900"/>
                        </w:tabs>
                        <w:ind w:left="900" w:hanging="720"/>
                        <w:rPr>
                          <w:rFonts w:ascii="Century Gothic" w:hAnsi="Century Gothic"/>
                          <w:sz w:val="19"/>
                          <w:szCs w:val="19"/>
                        </w:rPr>
                      </w:pPr>
                      <w:r w:rsidRPr="008E2A22">
                        <w:rPr>
                          <w:rFonts w:ascii="Century Gothic" w:hAnsi="Century Gothic"/>
                          <w:sz w:val="19"/>
                          <w:szCs w:val="19"/>
                        </w:rPr>
                        <w:t>(1)</w:t>
                      </w:r>
                      <w:r w:rsidRPr="008E2A22">
                        <w:rPr>
                          <w:rFonts w:ascii="Century Gothic" w:hAnsi="Century Gothic"/>
                          <w:sz w:val="19"/>
                          <w:szCs w:val="19"/>
                        </w:rPr>
                        <w:tab/>
                      </w:r>
                      <w:r w:rsidR="00893C08" w:rsidRPr="008E2A22">
                        <w:rPr>
                          <w:rFonts w:ascii="Century Gothic" w:hAnsi="Century Gothic"/>
                          <w:sz w:val="19"/>
                          <w:szCs w:val="19"/>
                        </w:rPr>
                        <w:t xml:space="preserve">REPORTABLE: </w:t>
                      </w:r>
                      <w:r w:rsidR="004F5D23" w:rsidRPr="008E2A22">
                        <w:rPr>
                          <w:rFonts w:ascii="Century Gothic" w:hAnsi="Century Gothic"/>
                          <w:sz w:val="19"/>
                          <w:szCs w:val="19"/>
                        </w:rPr>
                        <w:t>NO</w:t>
                      </w:r>
                    </w:p>
                    <w:p w14:paraId="3A4C7296" w14:textId="0ED6661B" w:rsidR="00893C08" w:rsidRPr="008E2A22" w:rsidRDefault="00D45B31" w:rsidP="00D45B31">
                      <w:pPr>
                        <w:tabs>
                          <w:tab w:val="left" w:pos="900"/>
                        </w:tabs>
                        <w:ind w:left="900" w:hanging="720"/>
                        <w:rPr>
                          <w:rFonts w:ascii="Century Gothic" w:hAnsi="Century Gothic"/>
                          <w:sz w:val="19"/>
                          <w:szCs w:val="19"/>
                        </w:rPr>
                      </w:pPr>
                      <w:r w:rsidRPr="008E2A22">
                        <w:rPr>
                          <w:rFonts w:ascii="Century Gothic" w:hAnsi="Century Gothic"/>
                          <w:sz w:val="19"/>
                          <w:szCs w:val="19"/>
                        </w:rPr>
                        <w:t>(2)</w:t>
                      </w:r>
                      <w:r w:rsidRPr="008E2A22">
                        <w:rPr>
                          <w:rFonts w:ascii="Century Gothic" w:hAnsi="Century Gothic"/>
                          <w:sz w:val="19"/>
                          <w:szCs w:val="19"/>
                        </w:rPr>
                        <w:tab/>
                      </w:r>
                      <w:r w:rsidR="00893C08" w:rsidRPr="008E2A22">
                        <w:rPr>
                          <w:rFonts w:ascii="Century Gothic" w:hAnsi="Century Gothic"/>
                          <w:sz w:val="19"/>
                          <w:szCs w:val="19"/>
                        </w:rPr>
                        <w:t xml:space="preserve">OF INTEREST TO OTHER JUDGES: </w:t>
                      </w:r>
                      <w:r w:rsidR="00AD1989">
                        <w:rPr>
                          <w:rFonts w:ascii="Century Gothic" w:hAnsi="Century Gothic"/>
                          <w:sz w:val="19"/>
                          <w:szCs w:val="19"/>
                        </w:rPr>
                        <w:t>NO</w:t>
                      </w:r>
                    </w:p>
                    <w:p w14:paraId="1545E4B8" w14:textId="74255A93" w:rsidR="00CA0F98" w:rsidRPr="008E2A22" w:rsidRDefault="00CA0F98" w:rsidP="004479C3">
                      <w:pPr>
                        <w:rPr>
                          <w:rFonts w:ascii="Century Gothic" w:hAnsi="Century Gothic"/>
                          <w:sz w:val="19"/>
                          <w:szCs w:val="19"/>
                        </w:rPr>
                      </w:pPr>
                    </w:p>
                    <w:p w14:paraId="21D4A71B" w14:textId="5B58BFC8" w:rsidR="00893C08" w:rsidRPr="008E2A22" w:rsidRDefault="00893C08" w:rsidP="001D3CC2">
                      <w:pPr>
                        <w:ind w:left="180"/>
                        <w:rPr>
                          <w:rFonts w:ascii="Century Gothic" w:hAnsi="Century Gothic"/>
                          <w:sz w:val="19"/>
                          <w:szCs w:val="19"/>
                        </w:rPr>
                      </w:pPr>
                    </w:p>
                    <w:p w14:paraId="761B7CA4" w14:textId="77777777" w:rsidR="00893C08" w:rsidRPr="008E2A22" w:rsidRDefault="00893C08" w:rsidP="006C43D7">
                      <w:pPr>
                        <w:rPr>
                          <w:rFonts w:ascii="Century Gothic" w:hAnsi="Century Gothic"/>
                          <w:b/>
                          <w:sz w:val="17"/>
                          <w:szCs w:val="17"/>
                        </w:rPr>
                      </w:pPr>
                    </w:p>
                    <w:p w14:paraId="0EC4BA5C" w14:textId="61945B0D" w:rsidR="00893C08" w:rsidRPr="008E2A22" w:rsidRDefault="00893C08" w:rsidP="001D3CC2">
                      <w:pPr>
                        <w:keepNext/>
                        <w:tabs>
                          <w:tab w:val="right" w:pos="0"/>
                        </w:tabs>
                        <w:contextualSpacing/>
                        <w:jc w:val="center"/>
                        <w:rPr>
                          <w:rFonts w:cs="Arial"/>
                          <w:sz w:val="31"/>
                          <w:szCs w:val="31"/>
                        </w:rPr>
                      </w:pPr>
                      <w:r w:rsidRPr="008E2A22">
                        <w:rPr>
                          <w:rFonts w:ascii="Century Gothic" w:hAnsi="Century Gothic"/>
                          <w:b/>
                          <w:sz w:val="17"/>
                          <w:szCs w:val="17"/>
                        </w:rPr>
                        <w:t xml:space="preserve">                        </w:t>
                      </w:r>
                      <w:r w:rsidRPr="008E2A22">
                        <w:rPr>
                          <w:rFonts w:ascii="Century Gothic" w:hAnsi="Century Gothic"/>
                          <w:b/>
                          <w:sz w:val="31"/>
                          <w:szCs w:val="31"/>
                        </w:rPr>
                        <w:t xml:space="preserve">  </w:t>
                      </w:r>
                    </w:p>
                    <w:p w14:paraId="11AD3C7B" w14:textId="4114C951" w:rsidR="00893C08" w:rsidRPr="008E2A22" w:rsidRDefault="00893C08" w:rsidP="001D3CC2">
                      <w:pPr>
                        <w:rPr>
                          <w:rFonts w:ascii="Century Gothic" w:hAnsi="Century Gothic"/>
                          <w:sz w:val="17"/>
                          <w:szCs w:val="17"/>
                        </w:rPr>
                      </w:pPr>
                      <w:r w:rsidRPr="008E2A22">
                        <w:rPr>
                          <w:rFonts w:ascii="Century Gothic" w:hAnsi="Century Gothic"/>
                          <w:b/>
                          <w:sz w:val="17"/>
                          <w:szCs w:val="17"/>
                        </w:rPr>
                        <w:t xml:space="preserve">       </w:t>
                      </w:r>
                      <w:r w:rsidRPr="008E2A22">
                        <w:rPr>
                          <w:rFonts w:ascii="Century Gothic" w:hAnsi="Century Gothic"/>
                          <w:sz w:val="17"/>
                          <w:szCs w:val="17"/>
                        </w:rPr>
                        <w:t xml:space="preserve">            DATE</w:t>
                      </w:r>
                      <w:r w:rsidRPr="008E2A22">
                        <w:rPr>
                          <w:rFonts w:ascii="Century Gothic" w:hAnsi="Century Gothic"/>
                          <w:sz w:val="17"/>
                          <w:szCs w:val="17"/>
                        </w:rPr>
                        <w:tab/>
                      </w:r>
                      <w:r w:rsidRPr="008E2A22">
                        <w:rPr>
                          <w:rFonts w:ascii="Century Gothic" w:hAnsi="Century Gothic"/>
                          <w:sz w:val="17"/>
                          <w:szCs w:val="17"/>
                        </w:rPr>
                        <w:tab/>
                      </w:r>
                      <w:r w:rsidRPr="008E2A22">
                        <w:rPr>
                          <w:rFonts w:ascii="Century Gothic" w:hAnsi="Century Gothic"/>
                          <w:sz w:val="17"/>
                          <w:szCs w:val="17"/>
                        </w:rPr>
                        <w:tab/>
                        <w:t xml:space="preserve">        SIGNATURE</w:t>
                      </w:r>
                    </w:p>
                  </w:txbxContent>
                </v:textbox>
                <w10:wrap anchorx="margin"/>
              </v:shape>
            </w:pict>
          </mc:Fallback>
        </mc:AlternateContent>
      </w:r>
      <w:r w:rsidR="00236E47" w:rsidRPr="007811C6">
        <w:rPr>
          <w:rFonts w:cs="Arial"/>
          <w:b/>
          <w:szCs w:val="22"/>
        </w:rPr>
        <w:t>20</w:t>
      </w:r>
      <w:r w:rsidR="001F6466">
        <w:rPr>
          <w:rFonts w:cs="Arial"/>
          <w:b/>
          <w:szCs w:val="22"/>
        </w:rPr>
        <w:t>24</w:t>
      </w:r>
      <w:r w:rsidR="00515FD8" w:rsidRPr="007811C6">
        <w:rPr>
          <w:rFonts w:cs="Arial"/>
          <w:b/>
          <w:szCs w:val="22"/>
        </w:rPr>
        <w:t xml:space="preserve"> - </w:t>
      </w:r>
      <w:r w:rsidR="00AD1989">
        <w:rPr>
          <w:rFonts w:cs="Arial"/>
          <w:b/>
          <w:szCs w:val="22"/>
        </w:rPr>
        <w:t>027703</w:t>
      </w:r>
    </w:p>
    <w:p w14:paraId="4E808D74" w14:textId="77777777" w:rsidR="006C43D7" w:rsidRPr="007811C6" w:rsidRDefault="006C43D7" w:rsidP="00C74E97">
      <w:pPr>
        <w:spacing w:line="360" w:lineRule="auto"/>
        <w:jc w:val="both"/>
        <w:rPr>
          <w:rFonts w:cs="Arial"/>
          <w:szCs w:val="22"/>
        </w:rPr>
      </w:pPr>
    </w:p>
    <w:p w14:paraId="34BF70B6" w14:textId="77777777" w:rsidR="006C43D7" w:rsidRPr="007811C6" w:rsidRDefault="006C43D7" w:rsidP="00C74E97">
      <w:pPr>
        <w:spacing w:line="360" w:lineRule="auto"/>
        <w:jc w:val="both"/>
        <w:rPr>
          <w:rFonts w:cs="Arial"/>
          <w:szCs w:val="22"/>
        </w:rPr>
      </w:pPr>
    </w:p>
    <w:p w14:paraId="2F53BA3A" w14:textId="7CE26CA8" w:rsidR="006C43D7" w:rsidRPr="007811C6" w:rsidRDefault="00C56E55" w:rsidP="00C74E97">
      <w:pPr>
        <w:spacing w:line="360" w:lineRule="auto"/>
        <w:jc w:val="both"/>
        <w:rPr>
          <w:rFonts w:cs="Arial"/>
          <w:szCs w:val="22"/>
        </w:rPr>
      </w:pPr>
      <w:r w:rsidRPr="007811C6">
        <w:rPr>
          <w:rFonts w:cs="Arial"/>
          <w:szCs w:val="22"/>
        </w:rPr>
        <w:t xml:space="preserve">                        </w:t>
      </w:r>
    </w:p>
    <w:p w14:paraId="3A1C212E" w14:textId="77777777" w:rsidR="006C43D7" w:rsidRPr="007811C6" w:rsidRDefault="006C43D7" w:rsidP="00C74E97">
      <w:pPr>
        <w:spacing w:line="360" w:lineRule="auto"/>
        <w:jc w:val="both"/>
        <w:rPr>
          <w:rFonts w:cs="Arial"/>
          <w:szCs w:val="22"/>
        </w:rPr>
      </w:pPr>
    </w:p>
    <w:p w14:paraId="04919B1B" w14:textId="77777777" w:rsidR="001D3CC2" w:rsidRPr="007811C6" w:rsidRDefault="001D3CC2" w:rsidP="00C74E97">
      <w:pPr>
        <w:spacing w:line="360" w:lineRule="auto"/>
        <w:jc w:val="both"/>
        <w:rPr>
          <w:rFonts w:cs="Arial"/>
          <w:szCs w:val="22"/>
        </w:rPr>
      </w:pPr>
    </w:p>
    <w:p w14:paraId="045D3852" w14:textId="77777777" w:rsidR="00E57446" w:rsidRPr="007811C6" w:rsidRDefault="00E57446" w:rsidP="00C74E97">
      <w:pPr>
        <w:spacing w:line="360" w:lineRule="auto"/>
        <w:jc w:val="both"/>
        <w:rPr>
          <w:rFonts w:cs="Arial"/>
          <w:szCs w:val="22"/>
        </w:rPr>
      </w:pPr>
    </w:p>
    <w:p w14:paraId="5108EB75" w14:textId="77777777" w:rsidR="00AD1989" w:rsidRDefault="00AD1989" w:rsidP="00C74E97">
      <w:pPr>
        <w:spacing w:line="360" w:lineRule="auto"/>
        <w:jc w:val="both"/>
        <w:rPr>
          <w:rFonts w:cs="Arial"/>
          <w:szCs w:val="22"/>
        </w:rPr>
      </w:pPr>
    </w:p>
    <w:p w14:paraId="2804C32A" w14:textId="035AE4D2" w:rsidR="00E57446" w:rsidRPr="007811C6" w:rsidRDefault="00E57446" w:rsidP="00C74E97">
      <w:pPr>
        <w:spacing w:line="360" w:lineRule="auto"/>
        <w:jc w:val="both"/>
        <w:rPr>
          <w:rFonts w:cs="Arial"/>
          <w:szCs w:val="22"/>
        </w:rPr>
      </w:pPr>
      <w:r w:rsidRPr="007811C6">
        <w:rPr>
          <w:rFonts w:cs="Arial"/>
          <w:szCs w:val="22"/>
        </w:rPr>
        <w:t>In the application by</w:t>
      </w:r>
    </w:p>
    <w:p w14:paraId="4521E045" w14:textId="77777777" w:rsidR="00D33A54" w:rsidRPr="007811C6" w:rsidRDefault="00D33A54" w:rsidP="00C74E97">
      <w:pPr>
        <w:spacing w:line="360" w:lineRule="auto"/>
        <w:jc w:val="both"/>
        <w:rPr>
          <w:rFonts w:cs="Arial"/>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23"/>
        <w:gridCol w:w="2318"/>
      </w:tblGrid>
      <w:tr w:rsidR="006D2C78" w:rsidRPr="007811C6" w14:paraId="45DDD515" w14:textId="77777777" w:rsidTr="00430142">
        <w:tc>
          <w:tcPr>
            <w:tcW w:w="6223" w:type="dxa"/>
          </w:tcPr>
          <w:p w14:paraId="1D80B320" w14:textId="72AAF652" w:rsidR="006D2C78" w:rsidRPr="007811C6" w:rsidRDefault="00AD1989" w:rsidP="004D692E">
            <w:pPr>
              <w:tabs>
                <w:tab w:val="right" w:pos="9070"/>
              </w:tabs>
              <w:spacing w:before="120" w:after="120"/>
              <w:rPr>
                <w:rFonts w:cs="Arial"/>
                <w:b/>
                <w:szCs w:val="22"/>
              </w:rPr>
            </w:pPr>
            <w:r>
              <w:rPr>
                <w:rFonts w:cs="Arial"/>
                <w:b/>
                <w:szCs w:val="22"/>
              </w:rPr>
              <w:t>TUHF LTD</w:t>
            </w:r>
          </w:p>
        </w:tc>
        <w:tc>
          <w:tcPr>
            <w:tcW w:w="2318" w:type="dxa"/>
          </w:tcPr>
          <w:p w14:paraId="6D648F64" w14:textId="4E6D899E" w:rsidR="006D2C78" w:rsidRPr="007811C6" w:rsidRDefault="00D628B8" w:rsidP="004D692E">
            <w:pPr>
              <w:spacing w:before="120" w:after="120"/>
              <w:rPr>
                <w:rFonts w:cs="Arial"/>
                <w:szCs w:val="22"/>
              </w:rPr>
            </w:pPr>
            <w:r>
              <w:rPr>
                <w:rFonts w:cs="Arial"/>
                <w:szCs w:val="22"/>
              </w:rPr>
              <w:t>Applicant</w:t>
            </w:r>
          </w:p>
        </w:tc>
      </w:tr>
      <w:tr w:rsidR="006D2C78" w:rsidRPr="007811C6" w14:paraId="24559D6E" w14:textId="77777777" w:rsidTr="00430142">
        <w:tc>
          <w:tcPr>
            <w:tcW w:w="6223" w:type="dxa"/>
          </w:tcPr>
          <w:p w14:paraId="72B12A05" w14:textId="08ED186A" w:rsidR="006D2C78" w:rsidRPr="007811C6" w:rsidRDefault="007E6643" w:rsidP="004D692E">
            <w:pPr>
              <w:tabs>
                <w:tab w:val="right" w:pos="9070"/>
              </w:tabs>
              <w:spacing w:before="120" w:after="120"/>
              <w:rPr>
                <w:rFonts w:cs="Arial"/>
                <w:b/>
                <w:szCs w:val="22"/>
              </w:rPr>
            </w:pPr>
            <w:r w:rsidRPr="007811C6">
              <w:rPr>
                <w:rFonts w:cs="Arial"/>
                <w:b/>
                <w:szCs w:val="22"/>
              </w:rPr>
              <w:t>A</w:t>
            </w:r>
            <w:r w:rsidR="00DD074A" w:rsidRPr="007811C6">
              <w:rPr>
                <w:rFonts w:cs="Arial"/>
                <w:b/>
                <w:szCs w:val="22"/>
              </w:rPr>
              <w:t>nd</w:t>
            </w:r>
          </w:p>
        </w:tc>
        <w:tc>
          <w:tcPr>
            <w:tcW w:w="2318" w:type="dxa"/>
          </w:tcPr>
          <w:p w14:paraId="11A5E52D" w14:textId="77777777" w:rsidR="006D2C78" w:rsidRPr="007811C6" w:rsidRDefault="006D2C78" w:rsidP="004D692E">
            <w:pPr>
              <w:spacing w:before="120" w:after="120"/>
              <w:rPr>
                <w:rFonts w:cs="Arial"/>
                <w:szCs w:val="22"/>
              </w:rPr>
            </w:pPr>
          </w:p>
        </w:tc>
      </w:tr>
      <w:tr w:rsidR="006D2C78" w:rsidRPr="007811C6" w14:paraId="30F9C0CD" w14:textId="77777777" w:rsidTr="00430142">
        <w:tc>
          <w:tcPr>
            <w:tcW w:w="6223" w:type="dxa"/>
          </w:tcPr>
          <w:p w14:paraId="3CDB657A" w14:textId="6E00FCA7" w:rsidR="006D2C78" w:rsidRPr="007811C6" w:rsidRDefault="00AD1989" w:rsidP="004D692E">
            <w:pPr>
              <w:tabs>
                <w:tab w:val="right" w:pos="9070"/>
              </w:tabs>
              <w:spacing w:before="120" w:after="120"/>
              <w:rPr>
                <w:rFonts w:cs="Arial"/>
                <w:b/>
                <w:szCs w:val="22"/>
              </w:rPr>
            </w:pPr>
            <w:r>
              <w:rPr>
                <w:rFonts w:cs="Arial"/>
                <w:b/>
                <w:szCs w:val="22"/>
              </w:rPr>
              <w:t>FARBER, MARK MORRIS</w:t>
            </w:r>
          </w:p>
        </w:tc>
        <w:tc>
          <w:tcPr>
            <w:tcW w:w="2318" w:type="dxa"/>
          </w:tcPr>
          <w:p w14:paraId="47D0D149" w14:textId="4CC3CD5A" w:rsidR="001F6466" w:rsidRPr="007811C6" w:rsidRDefault="001F6466" w:rsidP="001F6466">
            <w:pPr>
              <w:spacing w:before="120" w:after="120"/>
              <w:rPr>
                <w:rFonts w:cs="Arial"/>
                <w:szCs w:val="22"/>
              </w:rPr>
            </w:pPr>
            <w:r>
              <w:rPr>
                <w:rFonts w:cs="Arial"/>
                <w:szCs w:val="22"/>
              </w:rPr>
              <w:t xml:space="preserve">First </w:t>
            </w:r>
            <w:r w:rsidR="006D2C78" w:rsidRPr="007811C6">
              <w:rPr>
                <w:rFonts w:cs="Arial"/>
                <w:szCs w:val="22"/>
              </w:rPr>
              <w:t>Respondent</w:t>
            </w:r>
          </w:p>
        </w:tc>
      </w:tr>
      <w:tr w:rsidR="001F6466" w:rsidRPr="007811C6" w14:paraId="4271074D" w14:textId="77777777" w:rsidTr="00430142">
        <w:tc>
          <w:tcPr>
            <w:tcW w:w="6223" w:type="dxa"/>
          </w:tcPr>
          <w:p w14:paraId="3B8087A0" w14:textId="28548EE4" w:rsidR="001F6466" w:rsidRDefault="00AD1989" w:rsidP="004D692E">
            <w:pPr>
              <w:tabs>
                <w:tab w:val="right" w:pos="9070"/>
              </w:tabs>
              <w:spacing w:before="120" w:after="120"/>
              <w:rPr>
                <w:rFonts w:cs="Arial"/>
                <w:b/>
                <w:szCs w:val="22"/>
              </w:rPr>
            </w:pPr>
            <w:r>
              <w:rPr>
                <w:rFonts w:cs="Arial"/>
                <w:b/>
                <w:szCs w:val="22"/>
              </w:rPr>
              <w:t>28 ESSELEN STREET HILLBROW CC</w:t>
            </w:r>
          </w:p>
        </w:tc>
        <w:tc>
          <w:tcPr>
            <w:tcW w:w="2318" w:type="dxa"/>
          </w:tcPr>
          <w:p w14:paraId="4CDFD812" w14:textId="41B91D82" w:rsidR="001F6466" w:rsidRPr="007811C6" w:rsidRDefault="001F6466" w:rsidP="001F6466">
            <w:pPr>
              <w:spacing w:before="120" w:after="120"/>
              <w:rPr>
                <w:rFonts w:cs="Arial"/>
                <w:szCs w:val="22"/>
              </w:rPr>
            </w:pPr>
            <w:r>
              <w:rPr>
                <w:rFonts w:cs="Arial"/>
                <w:szCs w:val="22"/>
              </w:rPr>
              <w:t>Second Respondent</w:t>
            </w:r>
          </w:p>
        </w:tc>
      </w:tr>
      <w:tr w:rsidR="00AD1989" w:rsidRPr="007811C6" w14:paraId="31A8CA49" w14:textId="77777777" w:rsidTr="00430142">
        <w:tc>
          <w:tcPr>
            <w:tcW w:w="6223" w:type="dxa"/>
          </w:tcPr>
          <w:p w14:paraId="27A66171" w14:textId="225A7EB9" w:rsidR="00AD1989" w:rsidRDefault="00AD1989" w:rsidP="004D692E">
            <w:pPr>
              <w:tabs>
                <w:tab w:val="right" w:pos="9070"/>
              </w:tabs>
              <w:spacing w:before="120" w:after="120"/>
              <w:rPr>
                <w:rFonts w:cs="Arial"/>
                <w:b/>
                <w:szCs w:val="22"/>
              </w:rPr>
            </w:pPr>
            <w:r>
              <w:rPr>
                <w:rFonts w:cs="Arial"/>
                <w:b/>
                <w:szCs w:val="22"/>
              </w:rPr>
              <w:t>HILLBROW CONSOLIDATED INVESTMENTS CC</w:t>
            </w:r>
          </w:p>
        </w:tc>
        <w:tc>
          <w:tcPr>
            <w:tcW w:w="2318" w:type="dxa"/>
          </w:tcPr>
          <w:p w14:paraId="34F4E2AD" w14:textId="58E0FE72" w:rsidR="00AD1989" w:rsidRDefault="00AD1989" w:rsidP="001F6466">
            <w:pPr>
              <w:spacing w:before="120" w:after="120"/>
              <w:rPr>
                <w:rFonts w:cs="Arial"/>
                <w:szCs w:val="22"/>
              </w:rPr>
            </w:pPr>
            <w:r>
              <w:rPr>
                <w:rFonts w:cs="Arial"/>
                <w:szCs w:val="22"/>
              </w:rPr>
              <w:t>Third Respondent</w:t>
            </w:r>
          </w:p>
        </w:tc>
      </w:tr>
      <w:tr w:rsidR="00AD1989" w:rsidRPr="007811C6" w14:paraId="68E63A74" w14:textId="77777777" w:rsidTr="00430142">
        <w:tc>
          <w:tcPr>
            <w:tcW w:w="6223" w:type="dxa"/>
          </w:tcPr>
          <w:p w14:paraId="5B6624CA" w14:textId="33A3AAA2" w:rsidR="00AD1989" w:rsidRDefault="00AD1989" w:rsidP="004D692E">
            <w:pPr>
              <w:tabs>
                <w:tab w:val="right" w:pos="9070"/>
              </w:tabs>
              <w:spacing w:before="120" w:after="120"/>
              <w:rPr>
                <w:rFonts w:cs="Arial"/>
                <w:b/>
                <w:szCs w:val="22"/>
              </w:rPr>
            </w:pPr>
            <w:r>
              <w:rPr>
                <w:rFonts w:cs="Arial"/>
                <w:b/>
                <w:szCs w:val="22"/>
              </w:rPr>
              <w:t>HCI INNER CITY PROPERTIES (PTY) LTD</w:t>
            </w:r>
          </w:p>
        </w:tc>
        <w:tc>
          <w:tcPr>
            <w:tcW w:w="2318" w:type="dxa"/>
          </w:tcPr>
          <w:p w14:paraId="789E3864" w14:textId="66745EBA" w:rsidR="00AD1989" w:rsidRDefault="00AD1989" w:rsidP="001F6466">
            <w:pPr>
              <w:spacing w:before="120" w:after="120"/>
              <w:rPr>
                <w:rFonts w:cs="Arial"/>
                <w:szCs w:val="22"/>
              </w:rPr>
            </w:pPr>
            <w:r>
              <w:rPr>
                <w:rFonts w:cs="Arial"/>
                <w:szCs w:val="22"/>
              </w:rPr>
              <w:t>Fourth Respondent</w:t>
            </w:r>
          </w:p>
        </w:tc>
      </w:tr>
      <w:tr w:rsidR="00AD1989" w:rsidRPr="007811C6" w14:paraId="3C051A13" w14:textId="77777777" w:rsidTr="00430142">
        <w:tc>
          <w:tcPr>
            <w:tcW w:w="6223" w:type="dxa"/>
          </w:tcPr>
          <w:p w14:paraId="3BE84154" w14:textId="0DD4FCD3" w:rsidR="00AD1989" w:rsidRDefault="00AD1989" w:rsidP="004D692E">
            <w:pPr>
              <w:tabs>
                <w:tab w:val="right" w:pos="9070"/>
              </w:tabs>
              <w:spacing w:before="120" w:after="120"/>
              <w:rPr>
                <w:rFonts w:cs="Arial"/>
                <w:b/>
                <w:szCs w:val="22"/>
              </w:rPr>
            </w:pPr>
            <w:r>
              <w:rPr>
                <w:rFonts w:cs="Arial"/>
                <w:b/>
                <w:szCs w:val="22"/>
              </w:rPr>
              <w:t>10 FIFE AVENUE BEREA (PTY) LTD</w:t>
            </w:r>
          </w:p>
        </w:tc>
        <w:tc>
          <w:tcPr>
            <w:tcW w:w="2318" w:type="dxa"/>
          </w:tcPr>
          <w:p w14:paraId="581F18BE" w14:textId="65D84472" w:rsidR="00AD1989" w:rsidRDefault="00AD1989" w:rsidP="001F6466">
            <w:pPr>
              <w:spacing w:before="120" w:after="120"/>
              <w:rPr>
                <w:rFonts w:cs="Arial"/>
                <w:szCs w:val="22"/>
              </w:rPr>
            </w:pPr>
            <w:r>
              <w:rPr>
                <w:rFonts w:cs="Arial"/>
                <w:szCs w:val="22"/>
              </w:rPr>
              <w:t>Fifth Respondent</w:t>
            </w:r>
          </w:p>
        </w:tc>
      </w:tr>
      <w:tr w:rsidR="00AD1989" w:rsidRPr="007811C6" w14:paraId="12EECA2A" w14:textId="77777777" w:rsidTr="00430142">
        <w:tc>
          <w:tcPr>
            <w:tcW w:w="6223" w:type="dxa"/>
          </w:tcPr>
          <w:p w14:paraId="08408798" w14:textId="7A6001E9" w:rsidR="00AD1989" w:rsidRDefault="00AD1989" w:rsidP="004D692E">
            <w:pPr>
              <w:tabs>
                <w:tab w:val="right" w:pos="9070"/>
              </w:tabs>
              <w:spacing w:before="120" w:after="120"/>
              <w:rPr>
                <w:rFonts w:cs="Arial"/>
                <w:b/>
                <w:szCs w:val="22"/>
              </w:rPr>
            </w:pPr>
            <w:r>
              <w:rPr>
                <w:rFonts w:cs="Arial"/>
                <w:b/>
                <w:szCs w:val="22"/>
              </w:rPr>
              <w:t>68 WOLMERANS STREET JOHANNESBURG (PTY) LTD</w:t>
            </w:r>
          </w:p>
        </w:tc>
        <w:tc>
          <w:tcPr>
            <w:tcW w:w="2318" w:type="dxa"/>
          </w:tcPr>
          <w:p w14:paraId="2E9E88B1" w14:textId="337E36C0" w:rsidR="00AD1989" w:rsidRDefault="00AD1989" w:rsidP="001F6466">
            <w:pPr>
              <w:spacing w:before="120" w:after="120"/>
              <w:rPr>
                <w:rFonts w:cs="Arial"/>
                <w:szCs w:val="22"/>
              </w:rPr>
            </w:pPr>
            <w:r>
              <w:rPr>
                <w:rFonts w:cs="Arial"/>
                <w:szCs w:val="22"/>
              </w:rPr>
              <w:t>Sixth Respondent</w:t>
            </w:r>
          </w:p>
        </w:tc>
      </w:tr>
      <w:tr w:rsidR="00AD1989" w:rsidRPr="007811C6" w14:paraId="052217C4" w14:textId="77777777" w:rsidTr="00430142">
        <w:tc>
          <w:tcPr>
            <w:tcW w:w="6223" w:type="dxa"/>
          </w:tcPr>
          <w:p w14:paraId="6ECD067E" w14:textId="1F80DFE2" w:rsidR="00AD1989" w:rsidRDefault="00AD1989" w:rsidP="004D692E">
            <w:pPr>
              <w:tabs>
                <w:tab w:val="right" w:pos="9070"/>
              </w:tabs>
              <w:spacing w:before="120" w:after="120"/>
              <w:rPr>
                <w:rFonts w:cs="Arial"/>
                <w:b/>
                <w:szCs w:val="22"/>
              </w:rPr>
            </w:pPr>
            <w:r>
              <w:rPr>
                <w:rFonts w:cs="Arial"/>
                <w:b/>
                <w:szCs w:val="22"/>
              </w:rPr>
              <w:t>THE SHERIFF OF THE HIGH COURT, JOHANNESBURG CENTRAL</w:t>
            </w:r>
          </w:p>
        </w:tc>
        <w:tc>
          <w:tcPr>
            <w:tcW w:w="2318" w:type="dxa"/>
          </w:tcPr>
          <w:p w14:paraId="4A7EFFA4" w14:textId="30AB7A8F" w:rsidR="00AD1989" w:rsidRDefault="00AD1989" w:rsidP="001F6466">
            <w:pPr>
              <w:spacing w:before="120" w:after="120"/>
              <w:rPr>
                <w:rFonts w:cs="Arial"/>
                <w:szCs w:val="22"/>
              </w:rPr>
            </w:pPr>
            <w:r>
              <w:rPr>
                <w:rFonts w:cs="Arial"/>
                <w:szCs w:val="22"/>
              </w:rPr>
              <w:t>Seventh Respondent</w:t>
            </w:r>
          </w:p>
        </w:tc>
      </w:tr>
    </w:tbl>
    <w:p w14:paraId="67781CE9" w14:textId="77777777" w:rsidR="0023405C" w:rsidRPr="007811C6" w:rsidRDefault="0023405C" w:rsidP="00C74E97">
      <w:pPr>
        <w:pBdr>
          <w:bottom w:val="single" w:sz="4" w:space="1" w:color="auto"/>
        </w:pBdr>
        <w:spacing w:line="360" w:lineRule="auto"/>
        <w:jc w:val="both"/>
        <w:rPr>
          <w:rFonts w:cs="Arial"/>
          <w:szCs w:val="22"/>
        </w:rPr>
      </w:pPr>
    </w:p>
    <w:p w14:paraId="58DE5549" w14:textId="77777777" w:rsidR="006C43D7" w:rsidRPr="007811C6" w:rsidRDefault="006C43D7" w:rsidP="00C74E97">
      <w:pPr>
        <w:spacing w:line="360" w:lineRule="auto"/>
        <w:jc w:val="both"/>
        <w:rPr>
          <w:rFonts w:cs="Arial"/>
          <w:szCs w:val="22"/>
        </w:rPr>
      </w:pPr>
    </w:p>
    <w:p w14:paraId="647AB70C" w14:textId="77777777" w:rsidR="006C43D7" w:rsidRPr="007811C6" w:rsidRDefault="006C43D7" w:rsidP="00C74E97">
      <w:pPr>
        <w:keepNext/>
        <w:spacing w:line="360" w:lineRule="auto"/>
        <w:jc w:val="center"/>
        <w:outlineLvl w:val="1"/>
        <w:rPr>
          <w:rFonts w:cs="Arial"/>
          <w:b/>
          <w:bCs/>
          <w:szCs w:val="22"/>
        </w:rPr>
      </w:pPr>
      <w:r w:rsidRPr="007811C6">
        <w:rPr>
          <w:rFonts w:cs="Arial"/>
          <w:b/>
          <w:bCs/>
          <w:szCs w:val="22"/>
        </w:rPr>
        <w:t>JUDGMENT</w:t>
      </w:r>
    </w:p>
    <w:p w14:paraId="52CD25EB" w14:textId="77777777" w:rsidR="006C43D7" w:rsidRPr="007811C6" w:rsidRDefault="006C43D7" w:rsidP="00C74E97">
      <w:pPr>
        <w:pBdr>
          <w:bottom w:val="single" w:sz="4" w:space="1" w:color="auto"/>
        </w:pBdr>
        <w:spacing w:line="360" w:lineRule="auto"/>
        <w:jc w:val="both"/>
        <w:rPr>
          <w:rFonts w:cs="Arial"/>
          <w:szCs w:val="22"/>
        </w:rPr>
      </w:pPr>
    </w:p>
    <w:p w14:paraId="5BD82EFE" w14:textId="3EF3D73C" w:rsidR="00BE6AB8" w:rsidRPr="007811C6" w:rsidRDefault="006D134C" w:rsidP="00C74E97">
      <w:pPr>
        <w:spacing w:after="480" w:line="360" w:lineRule="auto"/>
        <w:jc w:val="both"/>
        <w:rPr>
          <w:rFonts w:cs="Arial"/>
          <w:b/>
          <w:szCs w:val="22"/>
        </w:rPr>
      </w:pPr>
      <w:r>
        <w:rPr>
          <w:rFonts w:cs="Arial"/>
          <w:b/>
          <w:szCs w:val="22"/>
        </w:rPr>
        <w:lastRenderedPageBreak/>
        <w:t>MOORCROFT</w:t>
      </w:r>
      <w:r w:rsidR="006C43D7" w:rsidRPr="007811C6">
        <w:rPr>
          <w:rFonts w:cs="Arial"/>
          <w:b/>
          <w:szCs w:val="22"/>
        </w:rPr>
        <w:t xml:space="preserve"> AJ:</w:t>
      </w:r>
      <w:r w:rsidR="00AD1989">
        <w:rPr>
          <w:rFonts w:cs="Arial"/>
          <w:b/>
          <w:szCs w:val="22"/>
        </w:rPr>
        <w:tab/>
      </w:r>
    </w:p>
    <w:p w14:paraId="5B9302F1" w14:textId="4DE0F352" w:rsidR="001F361F" w:rsidRDefault="00C460A0" w:rsidP="00C74E97">
      <w:pPr>
        <w:keepNext/>
        <w:spacing w:after="480" w:line="360" w:lineRule="auto"/>
        <w:jc w:val="both"/>
        <w:rPr>
          <w:rFonts w:cs="Arial"/>
          <w:bCs/>
          <w:i/>
          <w:iCs/>
          <w:szCs w:val="22"/>
          <w:u w:val="single"/>
        </w:rPr>
      </w:pPr>
      <w:r w:rsidRPr="007811C6">
        <w:rPr>
          <w:rFonts w:cs="Arial"/>
          <w:bCs/>
          <w:i/>
          <w:iCs/>
          <w:szCs w:val="22"/>
          <w:u w:val="single"/>
        </w:rPr>
        <w:t>Summar</w:t>
      </w:r>
      <w:r w:rsidR="00026A26" w:rsidRPr="007811C6">
        <w:rPr>
          <w:rFonts w:cs="Arial"/>
          <w:bCs/>
          <w:i/>
          <w:iCs/>
          <w:szCs w:val="22"/>
          <w:u w:val="single"/>
        </w:rPr>
        <w:t>y</w:t>
      </w:r>
    </w:p>
    <w:p w14:paraId="69DDFB71" w14:textId="5F3C56B2" w:rsidR="006642A0" w:rsidRDefault="006642A0" w:rsidP="00C74E97">
      <w:pPr>
        <w:keepNext/>
        <w:spacing w:after="480" w:line="360" w:lineRule="auto"/>
        <w:jc w:val="both"/>
        <w:rPr>
          <w:rFonts w:cs="Arial"/>
          <w:bCs/>
          <w:i/>
          <w:iCs/>
          <w:szCs w:val="22"/>
        </w:rPr>
      </w:pPr>
      <w:r>
        <w:rPr>
          <w:rFonts w:cs="Arial"/>
          <w:bCs/>
          <w:i/>
          <w:iCs/>
          <w:szCs w:val="22"/>
        </w:rPr>
        <w:t>Order of court – can not be ignored because party believes the order is wrong  and should be rescinded because of a finding envisaged in a related case</w:t>
      </w:r>
      <w:r w:rsidR="00161436">
        <w:rPr>
          <w:rFonts w:cs="Arial"/>
          <w:bCs/>
          <w:i/>
          <w:iCs/>
          <w:szCs w:val="22"/>
        </w:rPr>
        <w:t xml:space="preserve"> – order even if indeed wrong is valid until set aside</w:t>
      </w:r>
    </w:p>
    <w:p w14:paraId="0A891751" w14:textId="4DBB21FE" w:rsidR="006642A0" w:rsidRPr="006642A0" w:rsidRDefault="006642A0" w:rsidP="00C74E97">
      <w:pPr>
        <w:keepNext/>
        <w:spacing w:after="480" w:line="360" w:lineRule="auto"/>
        <w:jc w:val="both"/>
        <w:rPr>
          <w:rFonts w:cs="Arial"/>
          <w:bCs/>
          <w:i/>
          <w:iCs/>
          <w:szCs w:val="22"/>
        </w:rPr>
      </w:pPr>
      <w:r>
        <w:rPr>
          <w:rFonts w:cs="Arial"/>
          <w:bCs/>
          <w:i/>
          <w:iCs/>
          <w:szCs w:val="22"/>
        </w:rPr>
        <w:t>Contempt of court – wilful refusal to obey existing order on ground that Supreme Court of Appeal might reach a different conclusion in a related matter</w:t>
      </w:r>
      <w:r w:rsidR="0038325B">
        <w:rPr>
          <w:rFonts w:cs="Arial"/>
          <w:bCs/>
          <w:i/>
          <w:iCs/>
          <w:szCs w:val="22"/>
        </w:rPr>
        <w:t xml:space="preserve"> – amounts to contempt</w:t>
      </w:r>
    </w:p>
    <w:p w14:paraId="18AFD427" w14:textId="7B3D0B7D" w:rsidR="00BE6AB8" w:rsidRPr="007811C6" w:rsidRDefault="00BE6AB8" w:rsidP="00C74E97">
      <w:pPr>
        <w:keepNext/>
        <w:spacing w:after="480" w:line="360" w:lineRule="auto"/>
        <w:jc w:val="both"/>
        <w:rPr>
          <w:rFonts w:cs="Arial"/>
          <w:bCs/>
          <w:szCs w:val="22"/>
          <w:u w:val="single"/>
        </w:rPr>
      </w:pPr>
      <w:r w:rsidRPr="007811C6">
        <w:rPr>
          <w:rFonts w:cs="Arial"/>
          <w:bCs/>
          <w:szCs w:val="22"/>
          <w:u w:val="single"/>
        </w:rPr>
        <w:t>Order</w:t>
      </w:r>
    </w:p>
    <w:p w14:paraId="10D7811C" w14:textId="2EABC5F7" w:rsidR="004D5B5D" w:rsidRDefault="00D45B31" w:rsidP="00D45B31">
      <w:pPr>
        <w:tabs>
          <w:tab w:val="left" w:pos="567"/>
        </w:tabs>
        <w:spacing w:before="240" w:after="240" w:line="360" w:lineRule="auto"/>
        <w:jc w:val="both"/>
        <w:rPr>
          <w:rFonts w:cs="Arial"/>
          <w:i/>
          <w:iCs/>
          <w:szCs w:val="22"/>
        </w:rPr>
      </w:pPr>
      <w:r>
        <w:rPr>
          <w:rFonts w:cs="Arial"/>
          <w:iCs/>
          <w:szCs w:val="22"/>
        </w:rPr>
        <w:t>[1]</w:t>
      </w:r>
      <w:r>
        <w:rPr>
          <w:rFonts w:cs="Arial"/>
          <w:iCs/>
          <w:szCs w:val="22"/>
        </w:rPr>
        <w:tab/>
      </w:r>
      <w:r w:rsidR="003B4100" w:rsidRPr="007811C6">
        <w:rPr>
          <w:rFonts w:cs="Arial"/>
          <w:bCs/>
          <w:szCs w:val="22"/>
        </w:rPr>
        <w:t xml:space="preserve">In this </w:t>
      </w:r>
      <w:r w:rsidR="00B56906" w:rsidRPr="007811C6">
        <w:rPr>
          <w:rFonts w:cs="Arial"/>
          <w:bCs/>
          <w:szCs w:val="22"/>
        </w:rPr>
        <w:t xml:space="preserve">matter </w:t>
      </w:r>
      <w:r w:rsidR="00C460A0" w:rsidRPr="007811C6">
        <w:rPr>
          <w:rFonts w:cs="Arial"/>
          <w:bCs/>
          <w:szCs w:val="22"/>
        </w:rPr>
        <w:t>I ma</w:t>
      </w:r>
      <w:r w:rsidR="00E06F15">
        <w:rPr>
          <w:rFonts w:cs="Arial"/>
          <w:bCs/>
          <w:szCs w:val="22"/>
        </w:rPr>
        <w:t>d</w:t>
      </w:r>
      <w:r w:rsidR="00DC6EF8" w:rsidRPr="007811C6">
        <w:rPr>
          <w:rFonts w:cs="Arial"/>
          <w:bCs/>
          <w:szCs w:val="22"/>
        </w:rPr>
        <w:t>e</w:t>
      </w:r>
      <w:r w:rsidR="00C460A0" w:rsidRPr="007811C6">
        <w:rPr>
          <w:rFonts w:cs="Arial"/>
          <w:bCs/>
          <w:szCs w:val="22"/>
        </w:rPr>
        <w:t xml:space="preserve"> the following order</w:t>
      </w:r>
      <w:r w:rsidR="00E06F15">
        <w:rPr>
          <w:rFonts w:cs="Arial"/>
          <w:bCs/>
          <w:szCs w:val="22"/>
        </w:rPr>
        <w:t xml:space="preserve"> on Thursday, 28 March 2024</w:t>
      </w:r>
      <w:r w:rsidR="000976D2" w:rsidRPr="007811C6">
        <w:rPr>
          <w:rFonts w:cs="Arial"/>
          <w:bCs/>
          <w:szCs w:val="22"/>
        </w:rPr>
        <w:t>:</w:t>
      </w:r>
    </w:p>
    <w:p w14:paraId="77540441" w14:textId="77777777" w:rsidR="00D1564F" w:rsidRDefault="00D1564F" w:rsidP="00D1564F">
      <w:pPr>
        <w:spacing w:before="240" w:after="240" w:line="360" w:lineRule="auto"/>
        <w:jc w:val="both"/>
        <w:rPr>
          <w:rFonts w:cs="Arial"/>
          <w:i/>
          <w:iCs/>
          <w:szCs w:val="22"/>
        </w:rPr>
      </w:pPr>
    </w:p>
    <w:p w14:paraId="2D6E181A" w14:textId="77777777" w:rsidR="00D1564F" w:rsidRPr="008208C8" w:rsidRDefault="00D1564F" w:rsidP="008208C8">
      <w:pPr>
        <w:spacing w:before="240" w:after="240" w:line="360" w:lineRule="auto"/>
        <w:jc w:val="both"/>
        <w:rPr>
          <w:b/>
          <w:bCs/>
          <w:i/>
          <w:iCs/>
        </w:rPr>
      </w:pPr>
      <w:r w:rsidRPr="008208C8">
        <w:rPr>
          <w:b/>
          <w:bCs/>
          <w:i/>
          <w:iCs/>
        </w:rPr>
        <w:t>Contempt of Court: The first, second and third respondents</w:t>
      </w:r>
    </w:p>
    <w:p w14:paraId="739F7569" w14:textId="5467D6E4" w:rsidR="00D1564F" w:rsidRPr="00D45B31" w:rsidRDefault="00D45B31" w:rsidP="00D45B31">
      <w:pPr>
        <w:spacing w:before="240" w:after="240" w:line="360" w:lineRule="auto"/>
        <w:ind w:left="360" w:hanging="360"/>
        <w:jc w:val="both"/>
        <w:rPr>
          <w:i/>
          <w:iCs/>
        </w:rPr>
      </w:pPr>
      <w:r w:rsidRPr="008208C8">
        <w:rPr>
          <w:i/>
          <w:iCs/>
        </w:rPr>
        <w:t>1.</w:t>
      </w:r>
      <w:r w:rsidRPr="008208C8">
        <w:rPr>
          <w:i/>
          <w:iCs/>
        </w:rPr>
        <w:tab/>
      </w:r>
      <w:r w:rsidR="00D1564F" w:rsidRPr="00D45B31">
        <w:rPr>
          <w:i/>
          <w:iCs/>
        </w:rPr>
        <w:t>Mark Morris Farber (“the first respondent”), 28 Esselen Street Hillbrow CC (“the second respondent”) and Hillbrow Consolidated Investments CC (“the third respondent”), are declared to be in contempt of the court order handed down by the above court under case number 44393/2020 (“the 44393 Court Order”) on 12 August 2022 in –</w:t>
      </w:r>
    </w:p>
    <w:p w14:paraId="00B0C301" w14:textId="7B6F7C47" w:rsidR="00D1564F" w:rsidRPr="00D45B31" w:rsidRDefault="00D45B31" w:rsidP="00D45B31">
      <w:pPr>
        <w:spacing w:before="240" w:after="240" w:line="360" w:lineRule="auto"/>
        <w:ind w:left="792" w:hanging="432"/>
        <w:jc w:val="both"/>
        <w:rPr>
          <w:i/>
          <w:iCs/>
        </w:rPr>
      </w:pPr>
      <w:bookmarkStart w:id="0" w:name="_Ref160697556"/>
      <w:r w:rsidRPr="008208C8">
        <w:rPr>
          <w:i/>
          <w:iCs/>
        </w:rPr>
        <w:t>1.1.</w:t>
      </w:r>
      <w:r w:rsidRPr="008208C8">
        <w:rPr>
          <w:i/>
          <w:iCs/>
        </w:rPr>
        <w:tab/>
      </w:r>
      <w:r w:rsidR="00D1564F" w:rsidRPr="00D45B31">
        <w:rPr>
          <w:i/>
          <w:iCs/>
        </w:rPr>
        <w:t>interfering with TUHF’s rights to collect rentals from the Waldorf Heights Tenants;</w:t>
      </w:r>
    </w:p>
    <w:p w14:paraId="5CB471F6" w14:textId="72243DE2" w:rsidR="00D1564F" w:rsidRPr="00D45B31" w:rsidRDefault="00D45B31" w:rsidP="00D45B31">
      <w:pPr>
        <w:spacing w:before="240" w:after="240" w:line="360" w:lineRule="auto"/>
        <w:ind w:left="792" w:hanging="432"/>
        <w:jc w:val="both"/>
        <w:rPr>
          <w:i/>
          <w:iCs/>
        </w:rPr>
      </w:pPr>
      <w:r w:rsidRPr="008208C8">
        <w:rPr>
          <w:i/>
          <w:iCs/>
        </w:rPr>
        <w:t>1.2.</w:t>
      </w:r>
      <w:r w:rsidRPr="008208C8">
        <w:rPr>
          <w:i/>
          <w:iCs/>
        </w:rPr>
        <w:tab/>
      </w:r>
      <w:r w:rsidR="00D1564F" w:rsidRPr="00D45B31">
        <w:rPr>
          <w:i/>
          <w:iCs/>
        </w:rPr>
        <w:t>refusing to provide TUHF with the names and contact information of the Waldorf Heights tenants, together with copies of written lease agreements concluded with the Waldorf Height tenants and particularity in respect of the terms of any implied and/or oral terms of any lease agreement; and</w:t>
      </w:r>
    </w:p>
    <w:p w14:paraId="2F914DFF" w14:textId="7DD47780" w:rsidR="00D1564F" w:rsidRPr="00D45B31" w:rsidRDefault="00D45B31" w:rsidP="00D45B31">
      <w:pPr>
        <w:spacing w:before="240" w:after="240" w:line="360" w:lineRule="auto"/>
        <w:ind w:left="792" w:hanging="432"/>
        <w:jc w:val="both"/>
        <w:rPr>
          <w:i/>
          <w:iCs/>
        </w:rPr>
      </w:pPr>
      <w:r w:rsidRPr="008208C8">
        <w:rPr>
          <w:i/>
          <w:iCs/>
        </w:rPr>
        <w:t>1.3.</w:t>
      </w:r>
      <w:r w:rsidRPr="008208C8">
        <w:rPr>
          <w:i/>
          <w:iCs/>
        </w:rPr>
        <w:tab/>
      </w:r>
      <w:r w:rsidR="00D1564F" w:rsidRPr="00D45B31">
        <w:rPr>
          <w:i/>
          <w:iCs/>
        </w:rPr>
        <w:t>failing to sign all documents necessary to facilitate the cession;</w:t>
      </w:r>
    </w:p>
    <w:bookmarkEnd w:id="0"/>
    <w:p w14:paraId="2C159B8D" w14:textId="2CF5EC87" w:rsidR="00D1564F" w:rsidRPr="00D45B31" w:rsidRDefault="00D45B31" w:rsidP="00D45B31">
      <w:pPr>
        <w:spacing w:before="240" w:after="240" w:line="360" w:lineRule="auto"/>
        <w:ind w:left="360" w:hanging="360"/>
        <w:jc w:val="both"/>
        <w:rPr>
          <w:i/>
          <w:iCs/>
        </w:rPr>
      </w:pPr>
      <w:r w:rsidRPr="008208C8">
        <w:rPr>
          <w:i/>
          <w:iCs/>
        </w:rPr>
        <w:t>2.</w:t>
      </w:r>
      <w:r w:rsidRPr="008208C8">
        <w:rPr>
          <w:i/>
          <w:iCs/>
        </w:rPr>
        <w:tab/>
      </w:r>
      <w:r w:rsidR="00D1564F" w:rsidRPr="00D45B31">
        <w:rPr>
          <w:i/>
          <w:iCs/>
        </w:rPr>
        <w:t>The first, second and third respondents are declared to be in breach of the 44393 Court Order.</w:t>
      </w:r>
    </w:p>
    <w:p w14:paraId="53FD299E" w14:textId="3840EEBA" w:rsidR="00D1564F" w:rsidRPr="00D45B31" w:rsidRDefault="00D45B31" w:rsidP="00D45B31">
      <w:pPr>
        <w:spacing w:before="240" w:after="240" w:line="360" w:lineRule="auto"/>
        <w:ind w:left="360" w:hanging="360"/>
        <w:jc w:val="both"/>
        <w:rPr>
          <w:i/>
          <w:iCs/>
        </w:rPr>
      </w:pPr>
      <w:r w:rsidRPr="008208C8">
        <w:rPr>
          <w:i/>
          <w:iCs/>
        </w:rPr>
        <w:t>3.</w:t>
      </w:r>
      <w:r w:rsidRPr="008208C8">
        <w:rPr>
          <w:i/>
          <w:iCs/>
        </w:rPr>
        <w:tab/>
      </w:r>
      <w:r w:rsidR="00D1564F" w:rsidRPr="00D45B31">
        <w:rPr>
          <w:i/>
          <w:iCs/>
        </w:rPr>
        <w:t xml:space="preserve">The applicant is granted leave to approach the Court on amplified papers for an order for the committal to prison of the first respondent and of identified representatives of </w:t>
      </w:r>
      <w:r w:rsidR="00D1564F" w:rsidRPr="00D45B31">
        <w:rPr>
          <w:i/>
          <w:iCs/>
        </w:rPr>
        <w:lastRenderedPageBreak/>
        <w:t xml:space="preserve">the second and third respondents in the event of the first, second and third respondents failing to comply with the 44393 order </w:t>
      </w:r>
    </w:p>
    <w:p w14:paraId="3232717C" w14:textId="6607FD16" w:rsidR="00D1564F" w:rsidRPr="00D45B31" w:rsidRDefault="00D45B31" w:rsidP="00D45B31">
      <w:pPr>
        <w:spacing w:before="240" w:after="240" w:line="360" w:lineRule="auto"/>
        <w:ind w:left="792" w:hanging="432"/>
        <w:jc w:val="both"/>
        <w:rPr>
          <w:i/>
          <w:iCs/>
        </w:rPr>
      </w:pPr>
      <w:r w:rsidRPr="008208C8">
        <w:rPr>
          <w:i/>
          <w:iCs/>
        </w:rPr>
        <w:t>3.1.</w:t>
      </w:r>
      <w:r w:rsidRPr="008208C8">
        <w:rPr>
          <w:i/>
          <w:iCs/>
        </w:rPr>
        <w:tab/>
      </w:r>
      <w:r w:rsidR="00D1564F" w:rsidRPr="00D45B31">
        <w:rPr>
          <w:i/>
          <w:iCs/>
        </w:rPr>
        <w:t xml:space="preserve">by 1 April 2024 in respect of paragraph </w:t>
      </w:r>
      <w:r w:rsidR="008208C8" w:rsidRPr="00D45B31">
        <w:rPr>
          <w:i/>
          <w:iCs/>
        </w:rPr>
        <w:t>1</w:t>
      </w:r>
      <w:r w:rsidR="00D1564F" w:rsidRPr="00D45B31">
        <w:rPr>
          <w:i/>
          <w:iCs/>
        </w:rPr>
        <w:t>.1 above;</w:t>
      </w:r>
    </w:p>
    <w:p w14:paraId="543868C7" w14:textId="19495349" w:rsidR="00D1564F" w:rsidRPr="00D45B31" w:rsidRDefault="00D45B31" w:rsidP="00D45B31">
      <w:pPr>
        <w:spacing w:before="240" w:after="240" w:line="360" w:lineRule="auto"/>
        <w:ind w:left="792" w:hanging="432"/>
        <w:jc w:val="both"/>
        <w:rPr>
          <w:i/>
          <w:iCs/>
        </w:rPr>
      </w:pPr>
      <w:r w:rsidRPr="008208C8">
        <w:rPr>
          <w:i/>
          <w:iCs/>
        </w:rPr>
        <w:t>3.2.</w:t>
      </w:r>
      <w:r w:rsidRPr="008208C8">
        <w:rPr>
          <w:i/>
          <w:iCs/>
        </w:rPr>
        <w:tab/>
      </w:r>
      <w:r w:rsidR="00D1564F" w:rsidRPr="00D45B31">
        <w:rPr>
          <w:i/>
          <w:iCs/>
        </w:rPr>
        <w:t xml:space="preserve">by 5 April 2024 in respect of paragraphs </w:t>
      </w:r>
      <w:r w:rsidR="008208C8" w:rsidRPr="00D45B31">
        <w:rPr>
          <w:i/>
          <w:iCs/>
        </w:rPr>
        <w:t>1</w:t>
      </w:r>
      <w:r w:rsidR="00D1564F" w:rsidRPr="00D45B31">
        <w:rPr>
          <w:i/>
          <w:iCs/>
        </w:rPr>
        <w:t xml:space="preserve">.2 and </w:t>
      </w:r>
      <w:r w:rsidR="008208C8" w:rsidRPr="00D45B31">
        <w:rPr>
          <w:i/>
          <w:iCs/>
        </w:rPr>
        <w:t>1</w:t>
      </w:r>
      <w:r w:rsidR="00D1564F" w:rsidRPr="00D45B31">
        <w:rPr>
          <w:i/>
          <w:iCs/>
        </w:rPr>
        <w:t>.3 above.</w:t>
      </w:r>
    </w:p>
    <w:p w14:paraId="1318861E" w14:textId="77777777" w:rsidR="00D1564F" w:rsidRPr="008208C8" w:rsidRDefault="00D1564F" w:rsidP="008208C8">
      <w:pPr>
        <w:spacing w:before="240" w:after="240" w:line="360" w:lineRule="auto"/>
        <w:jc w:val="both"/>
        <w:rPr>
          <w:b/>
          <w:bCs/>
          <w:i/>
          <w:iCs/>
        </w:rPr>
      </w:pPr>
      <w:r w:rsidRPr="008208C8">
        <w:rPr>
          <w:b/>
          <w:bCs/>
          <w:i/>
          <w:iCs/>
        </w:rPr>
        <w:t>Interim Interdict: The first to sixth respondents</w:t>
      </w:r>
    </w:p>
    <w:p w14:paraId="2EDDEEFD" w14:textId="1ED437EA" w:rsidR="00D1564F" w:rsidRPr="00D45B31" w:rsidRDefault="00D45B31" w:rsidP="00D45B31">
      <w:pPr>
        <w:spacing w:before="240" w:after="240" w:line="360" w:lineRule="auto"/>
        <w:ind w:left="360" w:hanging="360"/>
        <w:jc w:val="both"/>
        <w:rPr>
          <w:i/>
          <w:iCs/>
        </w:rPr>
      </w:pPr>
      <w:r w:rsidRPr="008208C8">
        <w:rPr>
          <w:i/>
          <w:iCs/>
        </w:rPr>
        <w:t>4.</w:t>
      </w:r>
      <w:r w:rsidRPr="008208C8">
        <w:rPr>
          <w:i/>
          <w:iCs/>
        </w:rPr>
        <w:tab/>
      </w:r>
      <w:r w:rsidR="00D1564F" w:rsidRPr="00D45B31">
        <w:rPr>
          <w:i/>
          <w:iCs/>
        </w:rPr>
        <w:t>Pending the sale in execution of the second respondent’s immovable property situated at Erf 3209 Johannesburg Township, Registration Division I.R., Province of Gauteng, with street address 28 Esselen Street, Hillbrow, Johannesburg, comprising 12 storeys, 44 bachelor units, 1 penthouse unit and 3 retail ground floor units (“Waldorf Heights”), alternatively the finalisation of the respondents’ application in terms of uniform rule 45A, under case number 2024-021574 (“the rule 45A Application”) –</w:t>
      </w:r>
    </w:p>
    <w:p w14:paraId="37F340EE" w14:textId="3C9FA471" w:rsidR="00D1564F" w:rsidRPr="00D45B31" w:rsidRDefault="00D45B31" w:rsidP="00D45B31">
      <w:pPr>
        <w:spacing w:before="240" w:after="240" w:line="360" w:lineRule="auto"/>
        <w:ind w:left="792" w:hanging="432"/>
        <w:jc w:val="both"/>
        <w:rPr>
          <w:i/>
          <w:iCs/>
        </w:rPr>
      </w:pPr>
      <w:r w:rsidRPr="008208C8">
        <w:rPr>
          <w:i/>
          <w:iCs/>
        </w:rPr>
        <w:t>4.1.</w:t>
      </w:r>
      <w:r w:rsidRPr="008208C8">
        <w:rPr>
          <w:i/>
          <w:iCs/>
        </w:rPr>
        <w:tab/>
      </w:r>
      <w:r w:rsidR="00D1564F" w:rsidRPr="00D45B31">
        <w:rPr>
          <w:i/>
          <w:iCs/>
        </w:rPr>
        <w:t xml:space="preserve">the first to fourth respondents, and any of their employees, agents or representatives, are forthwith interdicted and restrained from – </w:t>
      </w:r>
    </w:p>
    <w:p w14:paraId="71432A06" w14:textId="766DBD9E" w:rsidR="00D1564F" w:rsidRPr="00D45B31" w:rsidRDefault="00D45B31" w:rsidP="00D45B31">
      <w:pPr>
        <w:spacing w:before="240" w:after="240" w:line="360" w:lineRule="auto"/>
        <w:ind w:left="1224" w:hanging="504"/>
        <w:jc w:val="both"/>
        <w:rPr>
          <w:i/>
          <w:iCs/>
        </w:rPr>
      </w:pPr>
      <w:bookmarkStart w:id="1" w:name="_Hlk160700183"/>
      <w:bookmarkStart w:id="2" w:name="_Hlk160706851"/>
      <w:r w:rsidRPr="008208C8">
        <w:rPr>
          <w:i/>
          <w:iCs/>
        </w:rPr>
        <w:t>4.1.1.</w:t>
      </w:r>
      <w:r w:rsidRPr="008208C8">
        <w:rPr>
          <w:i/>
          <w:iCs/>
        </w:rPr>
        <w:tab/>
      </w:r>
      <w:r w:rsidR="00D1564F" w:rsidRPr="00D45B31">
        <w:rPr>
          <w:i/>
          <w:iCs/>
        </w:rPr>
        <w:t>collecting rental from the Waldorf Heights tenants;</w:t>
      </w:r>
    </w:p>
    <w:p w14:paraId="587A4FD0" w14:textId="2A712518" w:rsidR="00D1564F" w:rsidRPr="00D45B31" w:rsidRDefault="00D45B31" w:rsidP="00D45B31">
      <w:pPr>
        <w:spacing w:before="240" w:after="240" w:line="360" w:lineRule="auto"/>
        <w:ind w:left="1224" w:hanging="504"/>
        <w:jc w:val="both"/>
        <w:rPr>
          <w:i/>
          <w:iCs/>
        </w:rPr>
      </w:pPr>
      <w:r w:rsidRPr="008208C8">
        <w:rPr>
          <w:i/>
          <w:iCs/>
        </w:rPr>
        <w:t>4.1.2.</w:t>
      </w:r>
      <w:r w:rsidRPr="008208C8">
        <w:rPr>
          <w:i/>
          <w:iCs/>
        </w:rPr>
        <w:tab/>
      </w:r>
      <w:r w:rsidR="00D1564F" w:rsidRPr="00D45B31">
        <w:rPr>
          <w:i/>
          <w:iCs/>
        </w:rPr>
        <w:t>attending at and accessing Waldorf Heights for purposes of interfering with the tenants or the collection of rental;</w:t>
      </w:r>
    </w:p>
    <w:p w14:paraId="3B4F5544" w14:textId="4C3B64F7" w:rsidR="00D1564F" w:rsidRPr="00D45B31" w:rsidRDefault="00D45B31" w:rsidP="00D45B31">
      <w:pPr>
        <w:spacing w:before="240" w:after="240" w:line="360" w:lineRule="auto"/>
        <w:ind w:left="1224" w:hanging="504"/>
        <w:jc w:val="both"/>
        <w:rPr>
          <w:i/>
          <w:iCs/>
        </w:rPr>
      </w:pPr>
      <w:r w:rsidRPr="008208C8">
        <w:rPr>
          <w:i/>
          <w:iCs/>
        </w:rPr>
        <w:t>4.1.3.</w:t>
      </w:r>
      <w:r w:rsidRPr="008208C8">
        <w:rPr>
          <w:i/>
          <w:iCs/>
        </w:rPr>
        <w:tab/>
      </w:r>
      <w:r w:rsidR="00D1564F" w:rsidRPr="00D45B31">
        <w:rPr>
          <w:i/>
          <w:iCs/>
        </w:rPr>
        <w:t>interfering with TUHF, its employees, agents or representatives in respect of the collection of rentals at Waldorf Heights;</w:t>
      </w:r>
    </w:p>
    <w:p w14:paraId="6D5D15C7" w14:textId="5A39CBC6" w:rsidR="00D1564F" w:rsidRPr="00D45B31" w:rsidRDefault="00D45B31" w:rsidP="00D45B31">
      <w:pPr>
        <w:spacing w:before="240" w:after="240" w:line="360" w:lineRule="auto"/>
        <w:ind w:left="1224" w:hanging="504"/>
        <w:jc w:val="both"/>
        <w:rPr>
          <w:i/>
          <w:iCs/>
        </w:rPr>
      </w:pPr>
      <w:r w:rsidRPr="008208C8">
        <w:rPr>
          <w:i/>
          <w:iCs/>
        </w:rPr>
        <w:t>4.1.4.</w:t>
      </w:r>
      <w:r w:rsidRPr="008208C8">
        <w:rPr>
          <w:i/>
          <w:iCs/>
        </w:rPr>
        <w:tab/>
      </w:r>
      <w:r w:rsidR="00D1564F" w:rsidRPr="00D45B31">
        <w:rPr>
          <w:i/>
          <w:iCs/>
        </w:rPr>
        <w:t>preventing TUHF, its employees, agents or representatives from gaining access to Waldorf Heights or the tenants of Waldorf Heights;</w:t>
      </w:r>
    </w:p>
    <w:p w14:paraId="11E19565" w14:textId="74E41D23" w:rsidR="00D1564F" w:rsidRPr="00D45B31" w:rsidRDefault="00D45B31" w:rsidP="00D45B31">
      <w:pPr>
        <w:spacing w:before="240" w:after="240" w:line="360" w:lineRule="auto"/>
        <w:ind w:left="1224" w:hanging="504"/>
        <w:jc w:val="both"/>
        <w:rPr>
          <w:i/>
          <w:iCs/>
        </w:rPr>
      </w:pPr>
      <w:r w:rsidRPr="008208C8">
        <w:rPr>
          <w:i/>
          <w:iCs/>
        </w:rPr>
        <w:t>4.1.5.</w:t>
      </w:r>
      <w:r w:rsidRPr="008208C8">
        <w:rPr>
          <w:i/>
          <w:iCs/>
        </w:rPr>
        <w:tab/>
      </w:r>
      <w:r w:rsidR="00D1564F" w:rsidRPr="00D45B31">
        <w:rPr>
          <w:i/>
          <w:iCs/>
        </w:rPr>
        <w:t>contacting tenants of Waldorf Heights without the written consent of TUHF and ordering the respondents to advise TUHF in writing forthwith if any tenants contact them;</w:t>
      </w:r>
    </w:p>
    <w:p w14:paraId="54D3ECA6" w14:textId="524CA7E4" w:rsidR="00D1564F" w:rsidRPr="00D45B31" w:rsidRDefault="00D45B31" w:rsidP="00D45B31">
      <w:pPr>
        <w:spacing w:before="240" w:after="240" w:line="360" w:lineRule="auto"/>
        <w:ind w:left="1224" w:hanging="504"/>
        <w:jc w:val="both"/>
        <w:rPr>
          <w:i/>
          <w:iCs/>
        </w:rPr>
      </w:pPr>
      <w:r w:rsidRPr="008208C8">
        <w:rPr>
          <w:i/>
          <w:iCs/>
        </w:rPr>
        <w:t>4.1.6.</w:t>
      </w:r>
      <w:r w:rsidRPr="008208C8">
        <w:rPr>
          <w:i/>
          <w:iCs/>
        </w:rPr>
        <w:tab/>
      </w:r>
      <w:r w:rsidR="00D1564F" w:rsidRPr="00D45B31">
        <w:rPr>
          <w:i/>
          <w:iCs/>
        </w:rPr>
        <w:t>soliciting payment of any amounts of money, including rentals, from tenants at Waldorf Heights; and</w:t>
      </w:r>
    </w:p>
    <w:p w14:paraId="3481E0EF" w14:textId="5AC70749" w:rsidR="00D1564F" w:rsidRPr="00D45B31" w:rsidRDefault="00D45B31" w:rsidP="00D45B31">
      <w:pPr>
        <w:spacing w:before="240" w:after="240" w:line="360" w:lineRule="auto"/>
        <w:ind w:left="1224" w:hanging="504"/>
        <w:jc w:val="both"/>
        <w:rPr>
          <w:i/>
          <w:iCs/>
        </w:rPr>
      </w:pPr>
      <w:r w:rsidRPr="008208C8">
        <w:rPr>
          <w:i/>
          <w:iCs/>
        </w:rPr>
        <w:t>4.1.7.</w:t>
      </w:r>
      <w:r w:rsidRPr="008208C8">
        <w:rPr>
          <w:i/>
          <w:iCs/>
        </w:rPr>
        <w:tab/>
      </w:r>
      <w:r w:rsidR="00D1564F" w:rsidRPr="00D45B31">
        <w:rPr>
          <w:i/>
          <w:iCs/>
        </w:rPr>
        <w:t>interfering with TUHF’s rights to collect rentals from the tenants of Waldorf Heights in any manner whatsoever.</w:t>
      </w:r>
    </w:p>
    <w:bookmarkEnd w:id="1"/>
    <w:bookmarkEnd w:id="2"/>
    <w:p w14:paraId="70635932" w14:textId="140D1081" w:rsidR="00D1564F" w:rsidRPr="00D45B31" w:rsidRDefault="00D45B31" w:rsidP="00D45B31">
      <w:pPr>
        <w:spacing w:before="240" w:after="240" w:line="360" w:lineRule="auto"/>
        <w:ind w:left="360" w:hanging="360"/>
        <w:jc w:val="both"/>
        <w:rPr>
          <w:i/>
          <w:iCs/>
        </w:rPr>
      </w:pPr>
      <w:r w:rsidRPr="008208C8">
        <w:rPr>
          <w:i/>
          <w:iCs/>
        </w:rPr>
        <w:lastRenderedPageBreak/>
        <w:t>5.</w:t>
      </w:r>
      <w:r w:rsidRPr="008208C8">
        <w:rPr>
          <w:i/>
          <w:iCs/>
        </w:rPr>
        <w:tab/>
      </w:r>
      <w:r w:rsidR="00D1564F" w:rsidRPr="00D45B31">
        <w:rPr>
          <w:i/>
          <w:iCs/>
        </w:rPr>
        <w:t>The Sheriff of the Court (“the seventh respondent”), or his lawfully appointed Deputy, are authorised and directed –</w:t>
      </w:r>
    </w:p>
    <w:p w14:paraId="789D9E69" w14:textId="20318CB0" w:rsidR="00D1564F" w:rsidRPr="00D45B31" w:rsidRDefault="00D45B31" w:rsidP="00D45B31">
      <w:pPr>
        <w:spacing w:before="240" w:after="240" w:line="360" w:lineRule="auto"/>
        <w:ind w:left="792" w:hanging="432"/>
        <w:jc w:val="both"/>
        <w:rPr>
          <w:i/>
          <w:iCs/>
        </w:rPr>
      </w:pPr>
      <w:r w:rsidRPr="008208C8">
        <w:rPr>
          <w:i/>
          <w:iCs/>
        </w:rPr>
        <w:t>5.1.</w:t>
      </w:r>
      <w:r w:rsidRPr="008208C8">
        <w:rPr>
          <w:i/>
          <w:iCs/>
        </w:rPr>
        <w:tab/>
      </w:r>
      <w:r w:rsidR="00D1564F" w:rsidRPr="00D45B31">
        <w:rPr>
          <w:i/>
          <w:iCs/>
        </w:rPr>
        <w:t>to notify the Waldorf Heights tenants of this Order; and</w:t>
      </w:r>
    </w:p>
    <w:p w14:paraId="2C329E25" w14:textId="367AF35D" w:rsidR="00D1564F" w:rsidRPr="00D45B31" w:rsidRDefault="00D45B31" w:rsidP="00D45B31">
      <w:pPr>
        <w:spacing w:before="240" w:after="240" w:line="360" w:lineRule="auto"/>
        <w:ind w:left="792" w:hanging="432"/>
        <w:jc w:val="both"/>
        <w:rPr>
          <w:i/>
          <w:iCs/>
        </w:rPr>
      </w:pPr>
      <w:r w:rsidRPr="008208C8">
        <w:rPr>
          <w:i/>
          <w:iCs/>
        </w:rPr>
        <w:t>5.2.</w:t>
      </w:r>
      <w:r w:rsidRPr="008208C8">
        <w:rPr>
          <w:i/>
          <w:iCs/>
        </w:rPr>
        <w:tab/>
      </w:r>
      <w:r w:rsidR="00D1564F" w:rsidRPr="00D45B31">
        <w:rPr>
          <w:i/>
          <w:iCs/>
        </w:rPr>
        <w:t>to notify the Waldorf Heights tenants that as from 1 April 2024 their rent must be paid into a bank account that the applicant will provide to the Sheriff.</w:t>
      </w:r>
    </w:p>
    <w:p w14:paraId="2047F968" w14:textId="0DE1BB73" w:rsidR="00D1564F" w:rsidRPr="00D45B31" w:rsidRDefault="00D45B31" w:rsidP="00D45B31">
      <w:pPr>
        <w:spacing w:before="240" w:after="240" w:line="360" w:lineRule="auto"/>
        <w:ind w:left="792" w:hanging="432"/>
        <w:jc w:val="both"/>
        <w:rPr>
          <w:i/>
          <w:iCs/>
        </w:rPr>
      </w:pPr>
      <w:r w:rsidRPr="008208C8">
        <w:rPr>
          <w:i/>
          <w:iCs/>
        </w:rPr>
        <w:t>5.3.</w:t>
      </w:r>
      <w:r w:rsidRPr="008208C8">
        <w:rPr>
          <w:i/>
          <w:iCs/>
        </w:rPr>
        <w:tab/>
      </w:r>
      <w:r w:rsidR="00D1564F" w:rsidRPr="00D45B31">
        <w:rPr>
          <w:i/>
          <w:iCs/>
        </w:rPr>
        <w:t>the applicant, and its duly appointed agents, are authorised unfettered access to Waldorf Heights for purposes of –</w:t>
      </w:r>
    </w:p>
    <w:p w14:paraId="6E2DE63C" w14:textId="63A48D12" w:rsidR="00D1564F" w:rsidRPr="00D45B31" w:rsidRDefault="00D45B31" w:rsidP="00D45B31">
      <w:pPr>
        <w:spacing w:before="240" w:after="240" w:line="360" w:lineRule="auto"/>
        <w:ind w:left="1224" w:hanging="504"/>
        <w:jc w:val="both"/>
        <w:rPr>
          <w:i/>
          <w:iCs/>
        </w:rPr>
      </w:pPr>
      <w:r w:rsidRPr="008208C8">
        <w:rPr>
          <w:i/>
          <w:iCs/>
        </w:rPr>
        <w:t>5.3.1.</w:t>
      </w:r>
      <w:r w:rsidRPr="008208C8">
        <w:rPr>
          <w:i/>
          <w:iCs/>
        </w:rPr>
        <w:tab/>
      </w:r>
      <w:r w:rsidR="00D1564F" w:rsidRPr="00D45B31">
        <w:rPr>
          <w:i/>
          <w:iCs/>
        </w:rPr>
        <w:t>giving effect to this Order; and</w:t>
      </w:r>
    </w:p>
    <w:p w14:paraId="326AE6C8" w14:textId="54423A5C" w:rsidR="00D1564F" w:rsidRPr="00D45B31" w:rsidRDefault="00D45B31" w:rsidP="00D45B31">
      <w:pPr>
        <w:spacing w:before="240" w:after="240" w:line="360" w:lineRule="auto"/>
        <w:ind w:left="1224" w:hanging="504"/>
        <w:jc w:val="both"/>
        <w:rPr>
          <w:i/>
          <w:iCs/>
        </w:rPr>
      </w:pPr>
      <w:r w:rsidRPr="008208C8">
        <w:rPr>
          <w:i/>
          <w:iCs/>
        </w:rPr>
        <w:t>5.3.2.</w:t>
      </w:r>
      <w:r w:rsidRPr="008208C8">
        <w:rPr>
          <w:i/>
          <w:iCs/>
        </w:rPr>
        <w:tab/>
      </w:r>
      <w:r w:rsidR="00D1564F" w:rsidRPr="00D45B31">
        <w:rPr>
          <w:i/>
          <w:iCs/>
        </w:rPr>
        <w:t xml:space="preserve">collecting rental from the Waldorf Heights tenants. </w:t>
      </w:r>
    </w:p>
    <w:p w14:paraId="7115341E" w14:textId="47086D40" w:rsidR="00D1564F" w:rsidRPr="00D45B31" w:rsidRDefault="00D45B31" w:rsidP="00D45B31">
      <w:pPr>
        <w:spacing w:before="240" w:after="240" w:line="360" w:lineRule="auto"/>
        <w:ind w:left="360" w:hanging="360"/>
        <w:jc w:val="both"/>
        <w:rPr>
          <w:i/>
          <w:iCs/>
        </w:rPr>
      </w:pPr>
      <w:r w:rsidRPr="008208C8">
        <w:rPr>
          <w:i/>
          <w:iCs/>
        </w:rPr>
        <w:t>6.</w:t>
      </w:r>
      <w:r w:rsidRPr="008208C8">
        <w:rPr>
          <w:i/>
          <w:iCs/>
        </w:rPr>
        <w:tab/>
      </w:r>
      <w:r w:rsidR="00D1564F" w:rsidRPr="00D45B31">
        <w:rPr>
          <w:i/>
          <w:iCs/>
        </w:rPr>
        <w:t>The first to sixth respondents are ordered to pay the costs of this application, jointly and severally, the one paying the other to be absolved, on an attorney and client scale, including the costs of two counsel, one of whom is senior counsel, on scale C.</w:t>
      </w:r>
    </w:p>
    <w:p w14:paraId="05767B8A" w14:textId="77777777" w:rsidR="00D1564F" w:rsidRPr="00D1564F" w:rsidRDefault="00D1564F" w:rsidP="00D1564F">
      <w:pPr>
        <w:spacing w:before="240" w:after="240" w:line="360" w:lineRule="auto"/>
        <w:jc w:val="both"/>
        <w:rPr>
          <w:rFonts w:cs="Arial"/>
          <w:i/>
          <w:iCs/>
          <w:szCs w:val="22"/>
        </w:rPr>
      </w:pPr>
    </w:p>
    <w:p w14:paraId="653F3FAB" w14:textId="12FC7234" w:rsidR="008707F5" w:rsidRPr="00D45B31" w:rsidRDefault="00D45B31" w:rsidP="00D45B31">
      <w:pPr>
        <w:widowControl w:val="0"/>
        <w:tabs>
          <w:tab w:val="left" w:pos="567"/>
        </w:tabs>
        <w:spacing w:before="240" w:after="240" w:line="360" w:lineRule="auto"/>
        <w:jc w:val="both"/>
        <w:rPr>
          <w:rFonts w:cs="Arial"/>
          <w:bCs/>
          <w:szCs w:val="22"/>
          <w:u w:val="single"/>
        </w:rPr>
      </w:pPr>
      <w:r w:rsidRPr="007A7B06">
        <w:rPr>
          <w:rFonts w:cs="Arial"/>
          <w:bCs/>
          <w:szCs w:val="22"/>
        </w:rPr>
        <w:t>[2]</w:t>
      </w:r>
      <w:r w:rsidRPr="007A7B06">
        <w:rPr>
          <w:rFonts w:cs="Arial"/>
          <w:bCs/>
          <w:szCs w:val="22"/>
        </w:rPr>
        <w:tab/>
      </w:r>
      <w:r w:rsidR="004A5AF5" w:rsidRPr="00D45B31">
        <w:rPr>
          <w:rFonts w:cs="Arial"/>
          <w:bCs/>
          <w:szCs w:val="22"/>
        </w:rPr>
        <w:t xml:space="preserve">The </w:t>
      </w:r>
      <w:r w:rsidR="00573FF9" w:rsidRPr="00D45B31">
        <w:rPr>
          <w:rFonts w:cs="Arial"/>
          <w:bCs/>
          <w:szCs w:val="22"/>
        </w:rPr>
        <w:t xml:space="preserve">reasons for the order </w:t>
      </w:r>
      <w:r w:rsidR="00A63709" w:rsidRPr="00D45B31">
        <w:rPr>
          <w:rFonts w:cs="Arial"/>
          <w:bCs/>
          <w:szCs w:val="22"/>
        </w:rPr>
        <w:t>follow</w:t>
      </w:r>
      <w:r w:rsidR="00573FF9" w:rsidRPr="00D45B31">
        <w:rPr>
          <w:rFonts w:cs="Arial"/>
          <w:bCs/>
          <w:szCs w:val="22"/>
        </w:rPr>
        <w:t xml:space="preserve"> below.</w:t>
      </w:r>
    </w:p>
    <w:p w14:paraId="6D22C0DB" w14:textId="77777777" w:rsidR="00044778" w:rsidRDefault="00044778" w:rsidP="004F41E9">
      <w:pPr>
        <w:keepNext/>
        <w:widowControl w:val="0"/>
        <w:spacing w:before="240" w:after="240" w:line="360" w:lineRule="auto"/>
        <w:jc w:val="both"/>
        <w:rPr>
          <w:rFonts w:cs="Arial"/>
          <w:bCs/>
          <w:szCs w:val="22"/>
          <w:u w:val="single"/>
        </w:rPr>
      </w:pPr>
    </w:p>
    <w:p w14:paraId="43E08786" w14:textId="27651D53" w:rsidR="008707F5" w:rsidRPr="008707F5" w:rsidRDefault="008707F5" w:rsidP="004F41E9">
      <w:pPr>
        <w:keepNext/>
        <w:widowControl w:val="0"/>
        <w:spacing w:before="240" w:after="240" w:line="360" w:lineRule="auto"/>
        <w:jc w:val="both"/>
        <w:rPr>
          <w:rFonts w:cs="Arial"/>
          <w:bCs/>
          <w:szCs w:val="22"/>
          <w:u w:val="single"/>
        </w:rPr>
      </w:pPr>
      <w:r w:rsidRPr="008707F5">
        <w:rPr>
          <w:rFonts w:cs="Arial"/>
          <w:bCs/>
          <w:szCs w:val="22"/>
          <w:u w:val="single"/>
        </w:rPr>
        <w:t>Introduction</w:t>
      </w:r>
    </w:p>
    <w:p w14:paraId="1B323739" w14:textId="5CDEEF63" w:rsidR="004D5B5D" w:rsidRPr="00D45B31" w:rsidRDefault="00D45B31" w:rsidP="00D45B31">
      <w:pPr>
        <w:widowControl w:val="0"/>
        <w:tabs>
          <w:tab w:val="left" w:pos="567"/>
        </w:tabs>
        <w:spacing w:before="240" w:after="240" w:line="360" w:lineRule="auto"/>
        <w:jc w:val="both"/>
        <w:rPr>
          <w:rFonts w:cs="Arial"/>
          <w:bCs/>
          <w:szCs w:val="22"/>
        </w:rPr>
      </w:pPr>
      <w:r>
        <w:rPr>
          <w:rFonts w:cs="Arial"/>
          <w:bCs/>
          <w:szCs w:val="22"/>
        </w:rPr>
        <w:t>[3]</w:t>
      </w:r>
      <w:r>
        <w:rPr>
          <w:rFonts w:cs="Arial"/>
          <w:bCs/>
          <w:szCs w:val="22"/>
        </w:rPr>
        <w:tab/>
      </w:r>
      <w:r w:rsidR="001F53E8" w:rsidRPr="00D45B31">
        <w:rPr>
          <w:rFonts w:cs="Arial"/>
          <w:bCs/>
          <w:szCs w:val="22"/>
        </w:rPr>
        <w:t xml:space="preserve">This is a judgement in the urgent court. </w:t>
      </w:r>
      <w:r w:rsidR="007A7B06" w:rsidRPr="00D45B31">
        <w:rPr>
          <w:rFonts w:cs="Arial"/>
          <w:bCs/>
          <w:szCs w:val="22"/>
        </w:rPr>
        <w:t xml:space="preserve">The application is opposed by the first to sixth respondents and </w:t>
      </w:r>
      <w:r w:rsidR="00146AFF" w:rsidRPr="00D45B31">
        <w:rPr>
          <w:rFonts w:cs="Arial"/>
          <w:bCs/>
          <w:szCs w:val="22"/>
        </w:rPr>
        <w:t xml:space="preserve">unless otherwise indicated by the context </w:t>
      </w:r>
      <w:r w:rsidR="007A7B06" w:rsidRPr="00D45B31">
        <w:rPr>
          <w:rFonts w:cs="Arial"/>
          <w:bCs/>
          <w:szCs w:val="22"/>
        </w:rPr>
        <w:t>they are referred to in this judgement as “the respondents”. The application is not opposed by the seventh respondent</w:t>
      </w:r>
      <w:r w:rsidR="008208C8" w:rsidRPr="00D45B31">
        <w:rPr>
          <w:rFonts w:cs="Arial"/>
          <w:bCs/>
          <w:szCs w:val="22"/>
        </w:rPr>
        <w:t>, the Sheriff.</w:t>
      </w:r>
    </w:p>
    <w:p w14:paraId="78BA40B6" w14:textId="57A320F6" w:rsidR="004D5B5D" w:rsidRPr="00D45B31" w:rsidRDefault="00D45B31" w:rsidP="00D45B31">
      <w:pPr>
        <w:widowControl w:val="0"/>
        <w:tabs>
          <w:tab w:val="left" w:pos="567"/>
        </w:tabs>
        <w:spacing w:before="240" w:after="240" w:line="360" w:lineRule="auto"/>
        <w:jc w:val="both"/>
        <w:rPr>
          <w:rFonts w:cs="Arial"/>
          <w:bCs/>
          <w:szCs w:val="22"/>
        </w:rPr>
      </w:pPr>
      <w:r>
        <w:rPr>
          <w:rFonts w:cs="Arial"/>
          <w:bCs/>
          <w:szCs w:val="22"/>
        </w:rPr>
        <w:t>[4]</w:t>
      </w:r>
      <w:r>
        <w:rPr>
          <w:rFonts w:cs="Arial"/>
          <w:bCs/>
          <w:szCs w:val="22"/>
        </w:rPr>
        <w:tab/>
      </w:r>
      <w:r w:rsidR="004D5B5D" w:rsidRPr="00D45B31">
        <w:rPr>
          <w:rFonts w:cs="Arial"/>
          <w:bCs/>
          <w:szCs w:val="22"/>
        </w:rPr>
        <w:t xml:space="preserve">The applicant and the second respondent, represented by the first respondent entered into a written loan agreement in terms of which the applicant lent and advanced money to the </w:t>
      </w:r>
      <w:r w:rsidR="008208C8" w:rsidRPr="00D45B31">
        <w:rPr>
          <w:rFonts w:cs="Arial"/>
          <w:bCs/>
          <w:szCs w:val="22"/>
        </w:rPr>
        <w:t>second</w:t>
      </w:r>
      <w:r w:rsidR="004D5B5D" w:rsidRPr="00D45B31">
        <w:rPr>
          <w:rFonts w:cs="Arial"/>
          <w:bCs/>
          <w:szCs w:val="22"/>
        </w:rPr>
        <w:t xml:space="preserve"> respondent. The first respondent and three companies, namely the third and fifth respondents together with 266 Bree Street Johannesburg (Pty) Ltd [in liquidation] provided suretyships and the second respondent furnished the applicant with a mortgage bond </w:t>
      </w:r>
      <w:r w:rsidR="00DA3789" w:rsidRPr="00D45B31">
        <w:rPr>
          <w:rFonts w:cs="Arial"/>
          <w:bCs/>
          <w:szCs w:val="22"/>
        </w:rPr>
        <w:t xml:space="preserve">over its building known as Waldorf Heights </w:t>
      </w:r>
      <w:r w:rsidR="004D5B5D" w:rsidRPr="00D45B31">
        <w:rPr>
          <w:rFonts w:cs="Arial"/>
          <w:bCs/>
          <w:szCs w:val="22"/>
        </w:rPr>
        <w:t xml:space="preserve">which included a </w:t>
      </w:r>
      <w:r w:rsidR="004602F5" w:rsidRPr="00D45B31">
        <w:rPr>
          <w:rFonts w:cs="Arial"/>
          <w:bCs/>
          <w:szCs w:val="22"/>
        </w:rPr>
        <w:t>cession</w:t>
      </w:r>
      <w:r w:rsidR="004D5B5D" w:rsidRPr="00D45B31">
        <w:rPr>
          <w:rFonts w:cs="Arial"/>
          <w:bCs/>
          <w:szCs w:val="22"/>
        </w:rPr>
        <w:t xml:space="preserve"> of rentals. The loan amount of R9,980,700.00 was advanced during April to August 2017</w:t>
      </w:r>
      <w:r w:rsidR="008208C8" w:rsidRPr="00D45B31">
        <w:rPr>
          <w:rFonts w:cs="Arial"/>
          <w:bCs/>
          <w:szCs w:val="22"/>
        </w:rPr>
        <w:t xml:space="preserve"> to the principal debtor, the second respondent.</w:t>
      </w:r>
    </w:p>
    <w:p w14:paraId="40745656" w14:textId="28D6D1EB" w:rsidR="005C5F00" w:rsidRPr="00161436" w:rsidRDefault="005C5F00" w:rsidP="00161436">
      <w:pPr>
        <w:widowControl w:val="0"/>
        <w:spacing w:before="240" w:after="240" w:line="360" w:lineRule="auto"/>
        <w:jc w:val="both"/>
        <w:rPr>
          <w:rFonts w:cs="Arial"/>
          <w:bCs/>
          <w:szCs w:val="22"/>
        </w:rPr>
      </w:pPr>
      <w:r w:rsidRPr="00161436">
        <w:rPr>
          <w:rFonts w:cs="Arial"/>
          <w:bCs/>
          <w:szCs w:val="22"/>
        </w:rPr>
        <w:t>The first respondent is the sole shareholder of the 2</w:t>
      </w:r>
      <w:r w:rsidRPr="00161436">
        <w:rPr>
          <w:rFonts w:cs="Arial"/>
          <w:bCs/>
          <w:szCs w:val="22"/>
          <w:vertAlign w:val="superscript"/>
        </w:rPr>
        <w:t>nd</w:t>
      </w:r>
      <w:r w:rsidRPr="00161436">
        <w:rPr>
          <w:rFonts w:cs="Arial"/>
          <w:bCs/>
          <w:szCs w:val="22"/>
        </w:rPr>
        <w:t xml:space="preserve"> to 6</w:t>
      </w:r>
      <w:r w:rsidRPr="00161436">
        <w:rPr>
          <w:rFonts w:cs="Arial"/>
          <w:bCs/>
          <w:szCs w:val="22"/>
          <w:vertAlign w:val="superscript"/>
        </w:rPr>
        <w:t>th</w:t>
      </w:r>
      <w:r w:rsidRPr="00161436">
        <w:rPr>
          <w:rFonts w:cs="Arial"/>
          <w:bCs/>
          <w:szCs w:val="22"/>
        </w:rPr>
        <w:t xml:space="preserve"> respondents.</w:t>
      </w:r>
      <w:r w:rsidR="008208C8" w:rsidRPr="00161436">
        <w:rPr>
          <w:rFonts w:cs="Arial"/>
          <w:bCs/>
          <w:szCs w:val="22"/>
        </w:rPr>
        <w:t xml:space="preserve"> </w:t>
      </w:r>
    </w:p>
    <w:p w14:paraId="52716079" w14:textId="22F8F197" w:rsidR="00B045B8" w:rsidRPr="00D45B31" w:rsidRDefault="00D45B31" w:rsidP="00D45B31">
      <w:pPr>
        <w:widowControl w:val="0"/>
        <w:tabs>
          <w:tab w:val="left" w:pos="567"/>
        </w:tabs>
        <w:spacing w:before="240" w:after="240" w:line="360" w:lineRule="auto"/>
        <w:jc w:val="both"/>
        <w:rPr>
          <w:rFonts w:cs="Arial"/>
          <w:bCs/>
          <w:szCs w:val="22"/>
        </w:rPr>
      </w:pPr>
      <w:r w:rsidRPr="00B045B8">
        <w:rPr>
          <w:rFonts w:cs="Arial"/>
          <w:bCs/>
          <w:szCs w:val="22"/>
        </w:rPr>
        <w:lastRenderedPageBreak/>
        <w:t>[5]</w:t>
      </w:r>
      <w:r w:rsidRPr="00B045B8">
        <w:rPr>
          <w:rFonts w:cs="Arial"/>
          <w:bCs/>
          <w:szCs w:val="22"/>
        </w:rPr>
        <w:tab/>
      </w:r>
      <w:r w:rsidR="005C5F00" w:rsidRPr="00D45B31">
        <w:rPr>
          <w:lang w:val="en-GB"/>
        </w:rPr>
        <w:t xml:space="preserve">The applicant </w:t>
      </w:r>
      <w:r w:rsidR="00161436" w:rsidRPr="00D45B31">
        <w:rPr>
          <w:lang w:val="en-GB"/>
        </w:rPr>
        <w:t xml:space="preserve">initially </w:t>
      </w:r>
      <w:r w:rsidR="005C5F00" w:rsidRPr="00D45B31">
        <w:rPr>
          <w:lang w:val="en-GB"/>
        </w:rPr>
        <w:t xml:space="preserve">launched an application under case number case number 2020/7843 in March 2020 </w:t>
      </w:r>
      <w:r w:rsidR="00B92A68" w:rsidRPr="00D45B31">
        <w:rPr>
          <w:lang w:val="en-GB"/>
        </w:rPr>
        <w:t xml:space="preserve">against the respondents and this application </w:t>
      </w:r>
      <w:r w:rsidR="005C5F00" w:rsidRPr="00D45B31">
        <w:rPr>
          <w:lang w:val="en-GB"/>
        </w:rPr>
        <w:t>was dismissed by Senyatsi J for reasons that are not now material.</w:t>
      </w:r>
      <w:r w:rsidR="00B92A68" w:rsidRPr="00D45B31">
        <w:rPr>
          <w:lang w:val="en-GB"/>
        </w:rPr>
        <w:t xml:space="preserve"> The applicant was successful in an appeal</w:t>
      </w:r>
      <w:r w:rsidR="00B045B8" w:rsidRPr="00D45B31">
        <w:rPr>
          <w:lang w:val="en-GB"/>
        </w:rPr>
        <w:t xml:space="preserve"> and the respondents applied for special leave to appeal to the Supreme Court of Appeal.</w:t>
      </w:r>
      <w:r w:rsidR="00B92A68" w:rsidRPr="00D45B31">
        <w:rPr>
          <w:lang w:val="en-GB"/>
        </w:rPr>
        <w:t xml:space="preserve"> </w:t>
      </w:r>
      <w:r w:rsidR="00B045B8" w:rsidRPr="00D45B31">
        <w:rPr>
          <w:lang w:val="en-GB"/>
        </w:rPr>
        <w:t>The application for special leave was referred to oral argument</w:t>
      </w:r>
      <w:r w:rsidR="00B93377" w:rsidRPr="00D45B31">
        <w:rPr>
          <w:lang w:val="en-GB"/>
        </w:rPr>
        <w:t xml:space="preserve"> on 5 April 2023</w:t>
      </w:r>
      <w:r w:rsidR="00B045B8" w:rsidRPr="00D45B31">
        <w:rPr>
          <w:lang w:val="en-GB"/>
        </w:rPr>
        <w:t>.</w:t>
      </w:r>
      <w:r w:rsidR="00B045B8">
        <w:rPr>
          <w:rStyle w:val="FootnoteReference"/>
          <w:lang w:val="en-GB"/>
        </w:rPr>
        <w:footnoteReference w:id="1"/>
      </w:r>
      <w:r w:rsidR="00B045B8" w:rsidRPr="00D45B31">
        <w:rPr>
          <w:lang w:val="en-GB"/>
        </w:rPr>
        <w:t xml:space="preserve">  </w:t>
      </w:r>
    </w:p>
    <w:p w14:paraId="4EFF97DA" w14:textId="7FE262BE" w:rsidR="00DA3789" w:rsidRPr="00D45B31" w:rsidRDefault="00D45B31" w:rsidP="00D45B31">
      <w:pPr>
        <w:widowControl w:val="0"/>
        <w:tabs>
          <w:tab w:val="left" w:pos="567"/>
        </w:tabs>
        <w:spacing w:before="240" w:after="240" w:line="360" w:lineRule="auto"/>
        <w:jc w:val="both"/>
        <w:rPr>
          <w:rFonts w:cs="Arial"/>
          <w:bCs/>
          <w:szCs w:val="22"/>
        </w:rPr>
      </w:pPr>
      <w:r w:rsidRPr="00DA3789">
        <w:rPr>
          <w:rFonts w:cs="Arial"/>
          <w:bCs/>
          <w:szCs w:val="22"/>
        </w:rPr>
        <w:t>[6]</w:t>
      </w:r>
      <w:r w:rsidRPr="00DA3789">
        <w:rPr>
          <w:rFonts w:cs="Arial"/>
          <w:bCs/>
          <w:szCs w:val="22"/>
        </w:rPr>
        <w:tab/>
      </w:r>
      <w:r w:rsidR="00B045B8" w:rsidRPr="00D45B31">
        <w:rPr>
          <w:lang w:val="en-GB"/>
        </w:rPr>
        <w:t>I</w:t>
      </w:r>
      <w:r w:rsidR="00B92A68" w:rsidRPr="00D45B31">
        <w:rPr>
          <w:lang w:val="en-GB"/>
        </w:rPr>
        <w:t>n this first application the respondents contended that the suretyships referred to above are void due to non-compliance with section 45 of the Companies Act 71 of 2008.</w:t>
      </w:r>
      <w:r w:rsidR="00DA3789" w:rsidRPr="00D45B31">
        <w:rPr>
          <w:lang w:val="en-GB"/>
        </w:rPr>
        <w:t xml:space="preserve"> </w:t>
      </w:r>
      <w:r w:rsidR="00DA3789" w:rsidRPr="00D45B31">
        <w:rPr>
          <w:rFonts w:cs="Arial"/>
          <w:bCs/>
          <w:iCs/>
          <w:szCs w:val="22"/>
        </w:rPr>
        <w:t xml:space="preserve">The section deals with the validity of loans or other forms of financial assistance to directors of companies. </w:t>
      </w:r>
    </w:p>
    <w:p w14:paraId="7614103A" w14:textId="58DE4EEB" w:rsidR="004D5B5D" w:rsidRPr="00D45B31" w:rsidRDefault="00D45B31" w:rsidP="00D45B31">
      <w:pPr>
        <w:widowControl w:val="0"/>
        <w:tabs>
          <w:tab w:val="left" w:pos="567"/>
        </w:tabs>
        <w:spacing w:before="240" w:after="240" w:line="360" w:lineRule="auto"/>
        <w:jc w:val="both"/>
        <w:rPr>
          <w:rFonts w:cs="Arial"/>
          <w:bCs/>
          <w:szCs w:val="22"/>
        </w:rPr>
      </w:pPr>
      <w:r>
        <w:rPr>
          <w:rFonts w:cs="Arial"/>
          <w:bCs/>
          <w:szCs w:val="22"/>
        </w:rPr>
        <w:t>[7]</w:t>
      </w:r>
      <w:r>
        <w:rPr>
          <w:rFonts w:cs="Arial"/>
          <w:bCs/>
          <w:szCs w:val="22"/>
        </w:rPr>
        <w:tab/>
      </w:r>
      <w:r w:rsidR="00B045B8" w:rsidRPr="00D45B31">
        <w:rPr>
          <w:rFonts w:cs="Arial"/>
          <w:bCs/>
          <w:szCs w:val="22"/>
        </w:rPr>
        <w:t xml:space="preserve">The applicant brought a second application </w:t>
      </w:r>
      <w:r w:rsidR="004D5B5D" w:rsidRPr="00D45B31">
        <w:rPr>
          <w:rFonts w:cs="Arial"/>
          <w:bCs/>
          <w:szCs w:val="22"/>
        </w:rPr>
        <w:t>and on 12 August 2022 Senyatsi J sitting in the Gauteng Division in Johannesburg granted an order under case number 2020/44393 (</w:t>
      </w:r>
      <w:r w:rsidR="00832217" w:rsidRPr="00D45B31">
        <w:rPr>
          <w:rFonts w:cs="Arial"/>
          <w:bCs/>
          <w:szCs w:val="22"/>
        </w:rPr>
        <w:t xml:space="preserve">the </w:t>
      </w:r>
      <w:r w:rsidR="00DA3789" w:rsidRPr="00D45B31">
        <w:rPr>
          <w:rFonts w:cs="Arial"/>
          <w:bCs/>
          <w:szCs w:val="22"/>
        </w:rPr>
        <w:t>“</w:t>
      </w:r>
      <w:r w:rsidR="004D5B5D" w:rsidRPr="00D45B31">
        <w:rPr>
          <w:rFonts w:cs="Arial"/>
          <w:bCs/>
          <w:szCs w:val="22"/>
        </w:rPr>
        <w:t>44393</w:t>
      </w:r>
      <w:r w:rsidR="00B93377" w:rsidRPr="00D45B31">
        <w:rPr>
          <w:rFonts w:cs="Arial"/>
          <w:bCs/>
          <w:szCs w:val="22"/>
        </w:rPr>
        <w:t xml:space="preserve"> application” and “44393</w:t>
      </w:r>
      <w:r w:rsidR="004D5B5D" w:rsidRPr="00D45B31">
        <w:rPr>
          <w:rFonts w:cs="Arial"/>
          <w:bCs/>
          <w:szCs w:val="22"/>
        </w:rPr>
        <w:t xml:space="preserve"> order”). </w:t>
      </w:r>
      <w:r w:rsidR="00B92A68" w:rsidRPr="00D45B31">
        <w:rPr>
          <w:rFonts w:cs="Arial"/>
          <w:bCs/>
          <w:szCs w:val="22"/>
        </w:rPr>
        <w:t>The applicant adopted the attitude that the respondents</w:t>
      </w:r>
      <w:r w:rsidR="00DA3789" w:rsidRPr="00D45B31">
        <w:rPr>
          <w:rFonts w:cs="Arial"/>
          <w:bCs/>
          <w:szCs w:val="22"/>
        </w:rPr>
        <w:t>’</w:t>
      </w:r>
      <w:r w:rsidR="00B92A68" w:rsidRPr="00D45B31">
        <w:rPr>
          <w:rFonts w:cs="Arial"/>
          <w:bCs/>
          <w:szCs w:val="22"/>
        </w:rPr>
        <w:t xml:space="preserve"> allegation</w:t>
      </w:r>
      <w:r w:rsidR="00832217" w:rsidRPr="00D45B31">
        <w:rPr>
          <w:rFonts w:cs="Arial"/>
          <w:bCs/>
          <w:szCs w:val="22"/>
        </w:rPr>
        <w:t xml:space="preserve"> in the earlier application under case number </w:t>
      </w:r>
      <w:r w:rsidR="00832217" w:rsidRPr="00D45B31">
        <w:rPr>
          <w:lang w:val="en-GB"/>
        </w:rPr>
        <w:t>2020/7843</w:t>
      </w:r>
      <w:r w:rsidR="00832217" w:rsidRPr="00D45B31">
        <w:rPr>
          <w:rFonts w:cs="Arial"/>
          <w:bCs/>
          <w:szCs w:val="22"/>
        </w:rPr>
        <w:t xml:space="preserve"> </w:t>
      </w:r>
      <w:r w:rsidR="00B92A68" w:rsidRPr="00D45B31">
        <w:rPr>
          <w:rFonts w:cs="Arial"/>
          <w:bCs/>
          <w:szCs w:val="22"/>
        </w:rPr>
        <w:t xml:space="preserve"> that the suretyships were void amounted to a repudiation and was an event of default in terms of the loan agreement. </w:t>
      </w:r>
      <w:r w:rsidR="004D5B5D" w:rsidRPr="00D45B31">
        <w:rPr>
          <w:rFonts w:cs="Arial"/>
          <w:bCs/>
          <w:szCs w:val="22"/>
        </w:rPr>
        <w:t>In terms of the order the second respondent and the sureties were ordered jointly and severally to pay the amount of R9,198,953.702</w:t>
      </w:r>
      <w:r w:rsidR="00DA3789" w:rsidRPr="00D45B31">
        <w:rPr>
          <w:rFonts w:cs="Arial"/>
          <w:bCs/>
          <w:szCs w:val="22"/>
        </w:rPr>
        <w:t xml:space="preserve"> to</w:t>
      </w:r>
      <w:r w:rsidR="004D5B5D" w:rsidRPr="00D45B31">
        <w:rPr>
          <w:rFonts w:cs="Arial"/>
          <w:bCs/>
          <w:szCs w:val="22"/>
        </w:rPr>
        <w:t xml:space="preserve"> the applicant</w:t>
      </w:r>
      <w:r w:rsidR="00CB3AC1" w:rsidRPr="00D45B31">
        <w:rPr>
          <w:rFonts w:cs="Arial"/>
          <w:bCs/>
          <w:szCs w:val="22"/>
        </w:rPr>
        <w:t xml:space="preserve"> together with interest calculated from 1 November 2022 </w:t>
      </w:r>
      <w:r w:rsidR="00DA3789" w:rsidRPr="00D45B31">
        <w:rPr>
          <w:rFonts w:cs="Arial"/>
          <w:bCs/>
          <w:szCs w:val="22"/>
        </w:rPr>
        <w:t xml:space="preserve">to </w:t>
      </w:r>
      <w:r w:rsidR="00CB3AC1" w:rsidRPr="00D45B31">
        <w:rPr>
          <w:rFonts w:cs="Arial"/>
          <w:bCs/>
          <w:szCs w:val="22"/>
        </w:rPr>
        <w:t xml:space="preserve">date of payment, together with legal costs </w:t>
      </w:r>
      <w:r w:rsidR="00832217" w:rsidRPr="00D45B31">
        <w:rPr>
          <w:rFonts w:cs="Arial"/>
          <w:bCs/>
          <w:szCs w:val="22"/>
        </w:rPr>
        <w:t>on</w:t>
      </w:r>
      <w:r w:rsidR="00CB3AC1" w:rsidRPr="00D45B31">
        <w:rPr>
          <w:rFonts w:cs="Arial"/>
          <w:bCs/>
          <w:szCs w:val="22"/>
        </w:rPr>
        <w:t xml:space="preserve"> the attorney and client scale. The applicant was also authorised with immediate effect to take </w:t>
      </w:r>
      <w:r w:rsidR="00DA3789" w:rsidRPr="00D45B31">
        <w:rPr>
          <w:rFonts w:cs="Arial"/>
          <w:bCs/>
          <w:szCs w:val="22"/>
        </w:rPr>
        <w:t>c</w:t>
      </w:r>
      <w:r w:rsidR="00CB3AC1" w:rsidRPr="00D45B31">
        <w:rPr>
          <w:rFonts w:cs="Arial"/>
          <w:bCs/>
          <w:szCs w:val="22"/>
        </w:rPr>
        <w:t xml:space="preserve">ession of any rental amounts payable to the second respondent or to any of the sureties or their agents by every tenant occupying the building known as Waldorf Heights. </w:t>
      </w:r>
    </w:p>
    <w:p w14:paraId="4B52DA64" w14:textId="063773D8" w:rsidR="00AB24D5" w:rsidRPr="00D45B31" w:rsidRDefault="00D45B31" w:rsidP="00D45B31">
      <w:pPr>
        <w:widowControl w:val="0"/>
        <w:tabs>
          <w:tab w:val="left" w:pos="567"/>
        </w:tabs>
        <w:spacing w:before="240" w:after="240" w:line="360" w:lineRule="auto"/>
        <w:jc w:val="both"/>
        <w:rPr>
          <w:rFonts w:cs="Arial"/>
          <w:szCs w:val="22"/>
        </w:rPr>
      </w:pPr>
      <w:r>
        <w:rPr>
          <w:rFonts w:cs="Arial"/>
          <w:szCs w:val="22"/>
        </w:rPr>
        <w:t>[8]</w:t>
      </w:r>
      <w:r>
        <w:rPr>
          <w:rFonts w:cs="Arial"/>
          <w:szCs w:val="22"/>
        </w:rPr>
        <w:tab/>
      </w:r>
      <w:r w:rsidR="00AB24D5" w:rsidRPr="00D45B31">
        <w:rPr>
          <w:rFonts w:cs="Arial"/>
          <w:szCs w:val="22"/>
        </w:rPr>
        <w:t>It is not clear from the papers whether reliance on voidness by the third and fifth respondents would be construed as an event of default in terms of the loan agreement between the second respondent and the applicant even if the second and fifth respondents were correct in the view they now adopted that the suretyships were indeed void.</w:t>
      </w:r>
    </w:p>
    <w:p w14:paraId="0E679EBE" w14:textId="1AF17DEB" w:rsidR="00CB3AC1" w:rsidRPr="00D45B31" w:rsidRDefault="00D45B31" w:rsidP="00D45B31">
      <w:pPr>
        <w:widowControl w:val="0"/>
        <w:tabs>
          <w:tab w:val="left" w:pos="567"/>
        </w:tabs>
        <w:spacing w:before="240" w:after="240" w:line="360" w:lineRule="auto"/>
        <w:jc w:val="both"/>
        <w:rPr>
          <w:rFonts w:cs="Arial"/>
          <w:szCs w:val="22"/>
        </w:rPr>
      </w:pPr>
      <w:r w:rsidRPr="00AB24D5">
        <w:rPr>
          <w:rFonts w:cs="Arial"/>
          <w:szCs w:val="22"/>
        </w:rPr>
        <w:t>[9]</w:t>
      </w:r>
      <w:r w:rsidRPr="00AB24D5">
        <w:rPr>
          <w:rFonts w:cs="Arial"/>
          <w:szCs w:val="22"/>
        </w:rPr>
        <w:tab/>
      </w:r>
      <w:r w:rsidR="00CB3AC1" w:rsidRPr="00D45B31">
        <w:rPr>
          <w:rFonts w:cs="Arial"/>
          <w:bCs/>
          <w:szCs w:val="22"/>
        </w:rPr>
        <w:t xml:space="preserve">The second respondent and alternatively the sureties were ordered to sign all documents necessary to facilitate the </w:t>
      </w:r>
      <w:r w:rsidR="004602F5" w:rsidRPr="00D45B31">
        <w:rPr>
          <w:rFonts w:cs="Arial"/>
          <w:bCs/>
          <w:szCs w:val="22"/>
        </w:rPr>
        <w:t>c</w:t>
      </w:r>
      <w:r w:rsidR="00CB3AC1" w:rsidRPr="00D45B31">
        <w:rPr>
          <w:rFonts w:cs="Arial"/>
          <w:bCs/>
          <w:szCs w:val="22"/>
        </w:rPr>
        <w:t xml:space="preserve">ession, failing which the </w:t>
      </w:r>
      <w:r w:rsidR="004602F5" w:rsidRPr="00D45B31">
        <w:rPr>
          <w:rFonts w:cs="Arial"/>
          <w:bCs/>
          <w:szCs w:val="22"/>
        </w:rPr>
        <w:t xml:space="preserve">Sheriff </w:t>
      </w:r>
      <w:r w:rsidR="00CB3AC1" w:rsidRPr="00D45B31">
        <w:rPr>
          <w:rFonts w:cs="Arial"/>
          <w:bCs/>
          <w:szCs w:val="22"/>
        </w:rPr>
        <w:t xml:space="preserve">was authorised to sign these documents. The applicant was authorised also to take the necessary steps for purposes of collecting rental from the tenants of the building and the second respondent, and alternatively the sureties, were ordered to furnish the applicant with the names and contact information of every tenant occupying the building together with copies of lease agreements, particularity in respect of oral terms of such agreement, and copies of </w:t>
      </w:r>
      <w:r w:rsidR="00CB3AC1" w:rsidRPr="00D45B31">
        <w:rPr>
          <w:rFonts w:cs="Arial"/>
          <w:bCs/>
          <w:szCs w:val="22"/>
        </w:rPr>
        <w:lastRenderedPageBreak/>
        <w:t>existing property management agreements in respect of the building.</w:t>
      </w:r>
    </w:p>
    <w:p w14:paraId="7AE82D39" w14:textId="06C689A7" w:rsidR="00CB3AC1" w:rsidRPr="00D45B31" w:rsidRDefault="00D45B31" w:rsidP="00D45B31">
      <w:pPr>
        <w:widowControl w:val="0"/>
        <w:tabs>
          <w:tab w:val="left" w:pos="567"/>
        </w:tabs>
        <w:spacing w:before="240" w:after="240" w:line="360" w:lineRule="auto"/>
        <w:jc w:val="both"/>
        <w:rPr>
          <w:rFonts w:cs="Arial"/>
          <w:bCs/>
          <w:szCs w:val="22"/>
        </w:rPr>
      </w:pPr>
      <w:r>
        <w:rPr>
          <w:rFonts w:cs="Arial"/>
          <w:bCs/>
          <w:szCs w:val="22"/>
        </w:rPr>
        <w:t>[10]</w:t>
      </w:r>
      <w:r>
        <w:rPr>
          <w:rFonts w:cs="Arial"/>
          <w:bCs/>
          <w:szCs w:val="22"/>
        </w:rPr>
        <w:tab/>
      </w:r>
      <w:r w:rsidR="00CB3AC1" w:rsidRPr="00D45B31">
        <w:rPr>
          <w:rFonts w:cs="Arial"/>
          <w:bCs/>
          <w:szCs w:val="22"/>
        </w:rPr>
        <w:t>An application for leave to appeal</w:t>
      </w:r>
      <w:r w:rsidR="004602F5" w:rsidRPr="00D45B31">
        <w:rPr>
          <w:rFonts w:cs="Arial"/>
          <w:bCs/>
          <w:szCs w:val="22"/>
        </w:rPr>
        <w:t xml:space="preserve"> the judgment in the 443993 application</w:t>
      </w:r>
      <w:r w:rsidR="00CB3AC1" w:rsidRPr="00D45B31">
        <w:rPr>
          <w:rFonts w:cs="Arial"/>
          <w:bCs/>
          <w:szCs w:val="22"/>
        </w:rPr>
        <w:t xml:space="preserve"> by the second respondent and the sureties was refused. An application for leave to appeal made to the Supreme Court of Appeal was also refused, as was an application to the Supreme Court of Appeal for reconsideration. An application for leave to appeal was made to the Constitutional Court under case number CCT 211/23. This application was refused on 12 February 2024.</w:t>
      </w:r>
    </w:p>
    <w:p w14:paraId="1EA78E8D" w14:textId="546E67E4" w:rsidR="00CB3AC1" w:rsidRPr="00D45B31" w:rsidRDefault="00D45B31" w:rsidP="00D45B31">
      <w:pPr>
        <w:widowControl w:val="0"/>
        <w:tabs>
          <w:tab w:val="left" w:pos="567"/>
        </w:tabs>
        <w:spacing w:before="240" w:after="240" w:line="360" w:lineRule="auto"/>
        <w:jc w:val="both"/>
        <w:rPr>
          <w:rFonts w:cs="Arial"/>
          <w:bCs/>
          <w:szCs w:val="22"/>
        </w:rPr>
      </w:pPr>
      <w:r>
        <w:rPr>
          <w:rFonts w:cs="Arial"/>
          <w:bCs/>
          <w:szCs w:val="22"/>
        </w:rPr>
        <w:t>[11]</w:t>
      </w:r>
      <w:r>
        <w:rPr>
          <w:rFonts w:cs="Arial"/>
          <w:bCs/>
          <w:szCs w:val="22"/>
        </w:rPr>
        <w:tab/>
      </w:r>
      <w:r w:rsidR="007A7B06" w:rsidRPr="00D45B31">
        <w:rPr>
          <w:rFonts w:cs="Arial"/>
          <w:bCs/>
          <w:szCs w:val="22"/>
        </w:rPr>
        <w:t>The applicant’s attorneys wrote to the respondents on 15 February 2024 informing them of the orde</w:t>
      </w:r>
      <w:r w:rsidR="004602F5" w:rsidRPr="00D45B31">
        <w:rPr>
          <w:rFonts w:cs="Arial"/>
          <w:bCs/>
          <w:szCs w:val="22"/>
        </w:rPr>
        <w:t>r</w:t>
      </w:r>
      <w:r w:rsidR="007A7B06" w:rsidRPr="00D45B31">
        <w:rPr>
          <w:rFonts w:cs="Arial"/>
          <w:bCs/>
          <w:szCs w:val="22"/>
        </w:rPr>
        <w:t xml:space="preserve"> by the</w:t>
      </w:r>
      <w:r w:rsidR="004602F5" w:rsidRPr="00D45B31">
        <w:rPr>
          <w:rFonts w:cs="Arial"/>
          <w:bCs/>
          <w:szCs w:val="22"/>
        </w:rPr>
        <w:t xml:space="preserve"> Constitutional Court </w:t>
      </w:r>
      <w:r w:rsidR="007A7B06" w:rsidRPr="00D45B31">
        <w:rPr>
          <w:rFonts w:cs="Arial"/>
          <w:bCs/>
          <w:szCs w:val="22"/>
        </w:rPr>
        <w:t xml:space="preserve">and of the applicant’s rights to collect rental for March 2024. The applicant also demanded compliance with the 44393 order. No response was received. On 19 February 2024 a notice of </w:t>
      </w:r>
      <w:r w:rsidR="004602F5" w:rsidRPr="00D45B31">
        <w:rPr>
          <w:rFonts w:cs="Arial"/>
          <w:bCs/>
          <w:szCs w:val="22"/>
        </w:rPr>
        <w:t>c</w:t>
      </w:r>
      <w:r w:rsidR="007A7B06" w:rsidRPr="00D45B31">
        <w:rPr>
          <w:rFonts w:cs="Arial"/>
          <w:bCs/>
          <w:szCs w:val="22"/>
        </w:rPr>
        <w:t xml:space="preserve">ession was delivered to every room in the building. The rent was due by 1 March 2024 and by 4 March 2024 it was clear that no rent was being received despite the </w:t>
      </w:r>
      <w:r w:rsidR="004602F5" w:rsidRPr="00D45B31">
        <w:rPr>
          <w:rFonts w:cs="Arial"/>
          <w:bCs/>
          <w:szCs w:val="22"/>
        </w:rPr>
        <w:t>cession</w:t>
      </w:r>
      <w:r w:rsidR="007A7B06" w:rsidRPr="00D45B31">
        <w:rPr>
          <w:rFonts w:cs="Arial"/>
          <w:bCs/>
          <w:szCs w:val="22"/>
        </w:rPr>
        <w:t xml:space="preserve"> notice. The applicant then learned that the respondents had informed the tenant</w:t>
      </w:r>
      <w:r w:rsidR="00505BD9" w:rsidRPr="00D45B31">
        <w:rPr>
          <w:rFonts w:cs="Arial"/>
          <w:bCs/>
          <w:szCs w:val="22"/>
        </w:rPr>
        <w:t>s</w:t>
      </w:r>
      <w:r w:rsidR="007A7B06" w:rsidRPr="00D45B31">
        <w:rPr>
          <w:rFonts w:cs="Arial"/>
          <w:bCs/>
          <w:szCs w:val="22"/>
        </w:rPr>
        <w:t xml:space="preserve"> in writing and on a letterhead reflecting the details of the third respondent </w:t>
      </w:r>
      <w:r w:rsidR="004602F5" w:rsidRPr="00D45B31">
        <w:rPr>
          <w:rFonts w:cs="Arial"/>
          <w:bCs/>
          <w:szCs w:val="22"/>
        </w:rPr>
        <w:t xml:space="preserve">(but with the name of a related company) </w:t>
      </w:r>
      <w:r w:rsidR="007A7B06" w:rsidRPr="00D45B31">
        <w:rPr>
          <w:rFonts w:cs="Arial"/>
          <w:bCs/>
          <w:szCs w:val="22"/>
        </w:rPr>
        <w:t xml:space="preserve">that: </w:t>
      </w:r>
    </w:p>
    <w:p w14:paraId="4214CD7C" w14:textId="7A3A0601" w:rsidR="007A7B06" w:rsidRDefault="007A7B06" w:rsidP="007A7B06">
      <w:pPr>
        <w:widowControl w:val="0"/>
        <w:spacing w:before="240" w:after="240" w:line="360" w:lineRule="auto"/>
        <w:ind w:left="1440"/>
        <w:jc w:val="both"/>
        <w:rPr>
          <w:rFonts w:cs="Arial"/>
          <w:bCs/>
          <w:i/>
          <w:iCs/>
          <w:szCs w:val="22"/>
        </w:rPr>
      </w:pPr>
      <w:r w:rsidRPr="007A7B06">
        <w:rPr>
          <w:rFonts w:cs="Arial"/>
          <w:bCs/>
          <w:i/>
          <w:iCs/>
          <w:szCs w:val="22"/>
        </w:rPr>
        <w:t>“</w:t>
      </w:r>
      <w:r>
        <w:rPr>
          <w:rFonts w:cs="Arial"/>
          <w:bCs/>
          <w:i/>
          <w:iCs/>
          <w:szCs w:val="22"/>
        </w:rPr>
        <w:t xml:space="preserve">we are aware of the letter sent to you </w:t>
      </w:r>
      <w:r w:rsidR="004602F5">
        <w:rPr>
          <w:rFonts w:cs="Arial"/>
          <w:bCs/>
          <w:i/>
          <w:iCs/>
          <w:szCs w:val="22"/>
        </w:rPr>
        <w:t>…</w:t>
      </w:r>
      <w:r>
        <w:rPr>
          <w:rFonts w:cs="Arial"/>
          <w:bCs/>
          <w:i/>
          <w:iCs/>
          <w:szCs w:val="22"/>
        </w:rPr>
        <w:t xml:space="preserve">on behalf of </w:t>
      </w:r>
      <w:r w:rsidR="004602F5">
        <w:rPr>
          <w:rFonts w:cs="Arial"/>
          <w:bCs/>
          <w:i/>
          <w:iCs/>
          <w:szCs w:val="22"/>
        </w:rPr>
        <w:t>…</w:t>
      </w:r>
      <w:r>
        <w:rPr>
          <w:rFonts w:cs="Arial"/>
          <w:bCs/>
          <w:i/>
          <w:iCs/>
          <w:szCs w:val="22"/>
        </w:rPr>
        <w:t xml:space="preserve"> Tuhf.</w:t>
      </w:r>
    </w:p>
    <w:p w14:paraId="72E92C45" w14:textId="77777777" w:rsidR="007A7B06" w:rsidRDefault="007A7B06" w:rsidP="007A7B06">
      <w:pPr>
        <w:widowControl w:val="0"/>
        <w:spacing w:before="240" w:after="240" w:line="360" w:lineRule="auto"/>
        <w:ind w:left="1440"/>
        <w:jc w:val="both"/>
        <w:rPr>
          <w:rFonts w:cs="Arial"/>
          <w:bCs/>
          <w:i/>
          <w:iCs/>
          <w:szCs w:val="22"/>
        </w:rPr>
      </w:pPr>
      <w:r>
        <w:rPr>
          <w:rFonts w:cs="Arial"/>
          <w:bCs/>
          <w:i/>
          <w:iCs/>
          <w:szCs w:val="22"/>
        </w:rPr>
        <w:t>Our lawyers are dealing with this matter.</w:t>
      </w:r>
    </w:p>
    <w:p w14:paraId="377E5676" w14:textId="297506CA" w:rsidR="00CB3AC1" w:rsidRPr="007A7B06" w:rsidRDefault="007A7B06" w:rsidP="007A7B06">
      <w:pPr>
        <w:widowControl w:val="0"/>
        <w:spacing w:before="240" w:after="240" w:line="360" w:lineRule="auto"/>
        <w:ind w:left="1440"/>
        <w:jc w:val="both"/>
        <w:rPr>
          <w:rFonts w:cs="Arial"/>
          <w:bCs/>
          <w:i/>
          <w:iCs/>
          <w:szCs w:val="22"/>
        </w:rPr>
      </w:pPr>
      <w:r>
        <w:rPr>
          <w:rFonts w:cs="Arial"/>
          <w:bCs/>
          <w:i/>
          <w:iCs/>
          <w:szCs w:val="22"/>
        </w:rPr>
        <w:t>In terms of your lease agreement please continue to pay your rent as per your statement.”</w:t>
      </w:r>
    </w:p>
    <w:p w14:paraId="7E3BDA9E" w14:textId="39D701CA" w:rsidR="00CF4A66" w:rsidRPr="00D45B31" w:rsidRDefault="00D45B31" w:rsidP="00D45B31">
      <w:pPr>
        <w:widowControl w:val="0"/>
        <w:tabs>
          <w:tab w:val="left" w:pos="567"/>
        </w:tabs>
        <w:spacing w:before="240" w:after="240" w:line="360" w:lineRule="auto"/>
        <w:jc w:val="both"/>
        <w:rPr>
          <w:rFonts w:cs="Arial"/>
          <w:bCs/>
          <w:szCs w:val="22"/>
        </w:rPr>
      </w:pPr>
      <w:r>
        <w:rPr>
          <w:rFonts w:cs="Arial"/>
          <w:bCs/>
          <w:szCs w:val="22"/>
        </w:rPr>
        <w:t>[12]</w:t>
      </w:r>
      <w:r>
        <w:rPr>
          <w:rFonts w:cs="Arial"/>
          <w:bCs/>
          <w:szCs w:val="22"/>
        </w:rPr>
        <w:tab/>
      </w:r>
      <w:r w:rsidR="00577B5F" w:rsidRPr="00D45B31">
        <w:rPr>
          <w:rFonts w:cs="Arial"/>
          <w:bCs/>
          <w:szCs w:val="22"/>
        </w:rPr>
        <w:t>The applicant submits that t</w:t>
      </w:r>
      <w:r w:rsidR="007A7B06" w:rsidRPr="00D45B31">
        <w:rPr>
          <w:rFonts w:cs="Arial"/>
          <w:bCs/>
          <w:szCs w:val="22"/>
        </w:rPr>
        <w:t xml:space="preserve">he inference to be drawn from this letter is that the first and third respondents distributed the notice to tenants of the building and in doing so interfered with the applicant’s rights to collect rentals. </w:t>
      </w:r>
      <w:r w:rsidR="00505BD9" w:rsidRPr="00D45B31">
        <w:rPr>
          <w:rFonts w:cs="Arial"/>
          <w:bCs/>
          <w:szCs w:val="22"/>
        </w:rPr>
        <w:t xml:space="preserve">The right to collect rental arise from the 44393 court order. </w:t>
      </w:r>
      <w:r w:rsidR="007A7B06" w:rsidRPr="00D45B31">
        <w:rPr>
          <w:rFonts w:cs="Arial"/>
          <w:bCs/>
          <w:szCs w:val="22"/>
        </w:rPr>
        <w:t xml:space="preserve">They also failed to comply with the 44393 court order by refusing to provide the applicant’s with the details and documentation required and by refusing to sign the documents necessary to effect the </w:t>
      </w:r>
      <w:r w:rsidR="004602F5" w:rsidRPr="00D45B31">
        <w:rPr>
          <w:rFonts w:cs="Arial"/>
          <w:bCs/>
          <w:szCs w:val="22"/>
        </w:rPr>
        <w:t>cession</w:t>
      </w:r>
      <w:r w:rsidR="007A7B06" w:rsidRPr="00D45B31">
        <w:rPr>
          <w:rFonts w:cs="Arial"/>
          <w:bCs/>
          <w:szCs w:val="22"/>
        </w:rPr>
        <w:t>.</w:t>
      </w:r>
      <w:r w:rsidR="00CF4A66" w:rsidRPr="00D45B31">
        <w:rPr>
          <w:rFonts w:cs="Arial"/>
          <w:bCs/>
          <w:szCs w:val="22"/>
        </w:rPr>
        <w:t xml:space="preserve"> </w:t>
      </w:r>
    </w:p>
    <w:p w14:paraId="4ADAF40E" w14:textId="59A9E6BB" w:rsidR="00B16EB5" w:rsidRPr="00D45B31" w:rsidRDefault="00D45B31" w:rsidP="00D45B31">
      <w:pPr>
        <w:widowControl w:val="0"/>
        <w:tabs>
          <w:tab w:val="left" w:pos="567"/>
        </w:tabs>
        <w:spacing w:before="240" w:after="240" w:line="360" w:lineRule="auto"/>
        <w:jc w:val="both"/>
        <w:rPr>
          <w:rFonts w:cs="Arial"/>
          <w:bCs/>
          <w:szCs w:val="22"/>
        </w:rPr>
      </w:pPr>
      <w:r>
        <w:rPr>
          <w:rFonts w:cs="Arial"/>
          <w:bCs/>
          <w:szCs w:val="22"/>
        </w:rPr>
        <w:t>[13]</w:t>
      </w:r>
      <w:r>
        <w:rPr>
          <w:rFonts w:cs="Arial"/>
          <w:bCs/>
          <w:szCs w:val="22"/>
        </w:rPr>
        <w:tab/>
      </w:r>
      <w:r w:rsidR="003D1CC9" w:rsidRPr="00D45B31">
        <w:rPr>
          <w:rFonts w:cs="Arial"/>
          <w:bCs/>
          <w:szCs w:val="22"/>
        </w:rPr>
        <w:t>The attorneys acting for the respondents confirmed to on 6 March 2024 that the respondents refused to provide the undertakings sought and made a with prejudice offer to pay the gross rental receipts less the monthly disbursements of the building into the respondents attorneys trust account. The applicant rejected this offer.</w:t>
      </w:r>
    </w:p>
    <w:p w14:paraId="0544BEF5" w14:textId="0FDD459E" w:rsidR="003D1CC9" w:rsidRPr="00D45B31" w:rsidRDefault="00D45B31" w:rsidP="00D45B31">
      <w:pPr>
        <w:widowControl w:val="0"/>
        <w:tabs>
          <w:tab w:val="left" w:pos="567"/>
        </w:tabs>
        <w:spacing w:before="240" w:after="240" w:line="360" w:lineRule="auto"/>
        <w:jc w:val="both"/>
        <w:rPr>
          <w:rFonts w:cs="Arial"/>
          <w:bCs/>
          <w:szCs w:val="22"/>
        </w:rPr>
      </w:pPr>
      <w:r>
        <w:rPr>
          <w:rFonts w:cs="Arial"/>
          <w:bCs/>
          <w:szCs w:val="22"/>
        </w:rPr>
        <w:t>[14]</w:t>
      </w:r>
      <w:r>
        <w:rPr>
          <w:rFonts w:cs="Arial"/>
          <w:bCs/>
          <w:szCs w:val="22"/>
        </w:rPr>
        <w:tab/>
      </w:r>
      <w:r w:rsidR="003D1CC9" w:rsidRPr="00D45B31">
        <w:rPr>
          <w:rFonts w:cs="Arial"/>
          <w:bCs/>
          <w:szCs w:val="22"/>
        </w:rPr>
        <w:t xml:space="preserve">The respondents based their refusal to comply with the court order on the pending rule 45A application dealt with below. </w:t>
      </w:r>
    </w:p>
    <w:p w14:paraId="202A6D2D" w14:textId="5C2B44CE" w:rsidR="00B16EB5" w:rsidRPr="00D45B31" w:rsidRDefault="00D45B31" w:rsidP="00D45B31">
      <w:pPr>
        <w:widowControl w:val="0"/>
        <w:tabs>
          <w:tab w:val="left" w:pos="567"/>
        </w:tabs>
        <w:spacing w:before="240" w:after="240" w:line="360" w:lineRule="auto"/>
        <w:jc w:val="both"/>
        <w:rPr>
          <w:rFonts w:cs="Arial"/>
          <w:bCs/>
          <w:szCs w:val="22"/>
        </w:rPr>
      </w:pPr>
      <w:r>
        <w:rPr>
          <w:rFonts w:cs="Arial"/>
          <w:bCs/>
          <w:szCs w:val="22"/>
        </w:rPr>
        <w:lastRenderedPageBreak/>
        <w:t>[15]</w:t>
      </w:r>
      <w:r>
        <w:rPr>
          <w:rFonts w:cs="Arial"/>
          <w:bCs/>
          <w:szCs w:val="22"/>
        </w:rPr>
        <w:tab/>
      </w:r>
      <w:r w:rsidR="003D1CC9" w:rsidRPr="00D45B31">
        <w:rPr>
          <w:rFonts w:cs="Arial"/>
          <w:bCs/>
          <w:szCs w:val="22"/>
        </w:rPr>
        <w:t xml:space="preserve">The parties were involved in other litigation before the </w:t>
      </w:r>
      <w:r w:rsidR="003D2793" w:rsidRPr="00D45B31">
        <w:rPr>
          <w:rFonts w:cs="Arial"/>
          <w:bCs/>
          <w:szCs w:val="22"/>
        </w:rPr>
        <w:t xml:space="preserve">Supreme </w:t>
      </w:r>
      <w:r w:rsidR="003D1CC9" w:rsidRPr="00D45B31">
        <w:rPr>
          <w:rFonts w:cs="Arial"/>
          <w:bCs/>
          <w:szCs w:val="22"/>
        </w:rPr>
        <w:t xml:space="preserve">Court of Appeal </w:t>
      </w:r>
      <w:r w:rsidR="00832217" w:rsidRPr="00D45B31">
        <w:rPr>
          <w:rFonts w:cs="Arial"/>
          <w:bCs/>
          <w:szCs w:val="22"/>
        </w:rPr>
        <w:t xml:space="preserve">in Bloemfontein </w:t>
      </w:r>
      <w:r w:rsidR="003D1CC9" w:rsidRPr="00D45B31">
        <w:rPr>
          <w:rFonts w:cs="Arial"/>
          <w:bCs/>
          <w:szCs w:val="22"/>
        </w:rPr>
        <w:t>and the applicant only responded on 12 March 2024</w:t>
      </w:r>
      <w:r w:rsidR="00832217" w:rsidRPr="00D45B31">
        <w:rPr>
          <w:rFonts w:cs="Arial"/>
          <w:bCs/>
          <w:szCs w:val="22"/>
        </w:rPr>
        <w:t xml:space="preserve">. He </w:t>
      </w:r>
      <w:r w:rsidR="003D1CC9" w:rsidRPr="00D45B31">
        <w:rPr>
          <w:rFonts w:cs="Arial"/>
          <w:bCs/>
          <w:szCs w:val="22"/>
        </w:rPr>
        <w:t>reject the offer made. The offer was rejected for a number of reasons primarily because it contradicted the express terms of the 44393 order as the applicant is entitled to the payment of all the rentals and not the rentals subject to deductions at the discretion of the first respondent.</w:t>
      </w:r>
    </w:p>
    <w:p w14:paraId="1EB6757A" w14:textId="5B1BCD6E" w:rsidR="00D80925" w:rsidRPr="00D45B31" w:rsidRDefault="00D45B31" w:rsidP="00D45B31">
      <w:pPr>
        <w:widowControl w:val="0"/>
        <w:tabs>
          <w:tab w:val="left" w:pos="567"/>
        </w:tabs>
        <w:spacing w:before="240" w:after="240" w:line="360" w:lineRule="auto"/>
        <w:jc w:val="both"/>
        <w:rPr>
          <w:rFonts w:cs="Arial"/>
          <w:bCs/>
          <w:szCs w:val="22"/>
        </w:rPr>
      </w:pPr>
      <w:r>
        <w:rPr>
          <w:rFonts w:cs="Arial"/>
          <w:bCs/>
          <w:szCs w:val="22"/>
        </w:rPr>
        <w:t>[16]</w:t>
      </w:r>
      <w:r>
        <w:rPr>
          <w:rFonts w:cs="Arial"/>
          <w:bCs/>
          <w:szCs w:val="22"/>
        </w:rPr>
        <w:tab/>
      </w:r>
      <w:r w:rsidR="003D1CC9" w:rsidRPr="00D45B31">
        <w:rPr>
          <w:rFonts w:cs="Arial"/>
          <w:bCs/>
          <w:szCs w:val="22"/>
        </w:rPr>
        <w:t xml:space="preserve">The applicant argues that the application is urgent </w:t>
      </w:r>
      <w:r w:rsidR="003D1CC9" w:rsidRPr="00D45B31">
        <w:rPr>
          <w:rFonts w:cs="Arial"/>
          <w:bCs/>
          <w:i/>
          <w:iCs/>
          <w:szCs w:val="22"/>
        </w:rPr>
        <w:t>inter alia</w:t>
      </w:r>
      <w:r w:rsidR="003D1CC9" w:rsidRPr="00D45B31">
        <w:rPr>
          <w:rFonts w:cs="Arial"/>
          <w:bCs/>
          <w:szCs w:val="22"/>
        </w:rPr>
        <w:t xml:space="preserve"> because rental </w:t>
      </w:r>
      <w:r w:rsidR="003D2793" w:rsidRPr="00D45B31">
        <w:rPr>
          <w:rFonts w:cs="Arial"/>
          <w:bCs/>
          <w:szCs w:val="22"/>
        </w:rPr>
        <w:t>is</w:t>
      </w:r>
      <w:r w:rsidR="003D1CC9" w:rsidRPr="00D45B31">
        <w:rPr>
          <w:rFonts w:cs="Arial"/>
          <w:bCs/>
          <w:szCs w:val="22"/>
        </w:rPr>
        <w:t xml:space="preserve"> payable by tenants on 1 April 2024 and unless an order was granted before the end of March 2024 the respondents would continue their practice of collecting the rental</w:t>
      </w:r>
      <w:r w:rsidR="00832217" w:rsidRPr="00D45B31">
        <w:rPr>
          <w:rFonts w:cs="Arial"/>
          <w:bCs/>
          <w:szCs w:val="22"/>
        </w:rPr>
        <w:t xml:space="preserve"> in wilful disregard of the 44393 order</w:t>
      </w:r>
      <w:r w:rsidR="003D1CC9" w:rsidRPr="00D45B31">
        <w:rPr>
          <w:rFonts w:cs="Arial"/>
          <w:bCs/>
          <w:szCs w:val="22"/>
        </w:rPr>
        <w:t xml:space="preserve">. </w:t>
      </w:r>
    </w:p>
    <w:p w14:paraId="7EA904B9" w14:textId="3FD1582E" w:rsidR="00CB3AC1" w:rsidRPr="00D45B31" w:rsidRDefault="00D45B31" w:rsidP="00D45B31">
      <w:pPr>
        <w:widowControl w:val="0"/>
        <w:tabs>
          <w:tab w:val="left" w:pos="567"/>
        </w:tabs>
        <w:spacing w:before="240" w:after="240" w:line="360" w:lineRule="auto"/>
        <w:jc w:val="both"/>
        <w:rPr>
          <w:rFonts w:cs="Arial"/>
          <w:bCs/>
          <w:szCs w:val="22"/>
        </w:rPr>
      </w:pPr>
      <w:r>
        <w:rPr>
          <w:rFonts w:cs="Arial"/>
          <w:bCs/>
          <w:szCs w:val="22"/>
        </w:rPr>
        <w:t>[17]</w:t>
      </w:r>
      <w:r>
        <w:rPr>
          <w:rFonts w:cs="Arial"/>
          <w:bCs/>
          <w:szCs w:val="22"/>
        </w:rPr>
        <w:tab/>
      </w:r>
      <w:r w:rsidR="00CF4A66" w:rsidRPr="00D45B31">
        <w:rPr>
          <w:rFonts w:cs="Arial"/>
          <w:bCs/>
          <w:szCs w:val="22"/>
        </w:rPr>
        <w:t xml:space="preserve">The applicant </w:t>
      </w:r>
      <w:r w:rsidR="003D2793" w:rsidRPr="00D45B31">
        <w:rPr>
          <w:rFonts w:cs="Arial"/>
          <w:bCs/>
          <w:szCs w:val="22"/>
        </w:rPr>
        <w:t xml:space="preserve">then </w:t>
      </w:r>
      <w:r w:rsidR="00CF4A66" w:rsidRPr="00D45B31">
        <w:rPr>
          <w:rFonts w:cs="Arial"/>
          <w:bCs/>
          <w:szCs w:val="22"/>
        </w:rPr>
        <w:t xml:space="preserve">brought an urgent application seeking to hold the </w:t>
      </w:r>
      <w:r w:rsidR="00182F3E" w:rsidRPr="00D45B31">
        <w:rPr>
          <w:rFonts w:cs="Arial"/>
          <w:bCs/>
          <w:szCs w:val="22"/>
        </w:rPr>
        <w:t>f</w:t>
      </w:r>
      <w:r w:rsidR="00CF4A66" w:rsidRPr="00D45B31">
        <w:rPr>
          <w:rFonts w:cs="Arial"/>
          <w:bCs/>
          <w:szCs w:val="22"/>
        </w:rPr>
        <w:t>irst</w:t>
      </w:r>
      <w:r w:rsidR="00182F3E" w:rsidRPr="00D45B31">
        <w:rPr>
          <w:rFonts w:cs="Arial"/>
          <w:bCs/>
          <w:szCs w:val="22"/>
        </w:rPr>
        <w:t xml:space="preserve">, </w:t>
      </w:r>
      <w:r w:rsidR="00CF4A66" w:rsidRPr="00D45B31">
        <w:rPr>
          <w:rFonts w:cs="Arial"/>
          <w:bCs/>
          <w:szCs w:val="22"/>
        </w:rPr>
        <w:t xml:space="preserve">second </w:t>
      </w:r>
      <w:r w:rsidR="00182F3E" w:rsidRPr="00D45B31">
        <w:rPr>
          <w:rFonts w:cs="Arial"/>
          <w:bCs/>
          <w:szCs w:val="22"/>
        </w:rPr>
        <w:t xml:space="preserve">and third </w:t>
      </w:r>
      <w:r w:rsidR="00CF4A66" w:rsidRPr="00D45B31">
        <w:rPr>
          <w:rFonts w:cs="Arial"/>
          <w:bCs/>
          <w:szCs w:val="22"/>
        </w:rPr>
        <w:t>respondent</w:t>
      </w:r>
      <w:r w:rsidR="00182F3E" w:rsidRPr="00D45B31">
        <w:rPr>
          <w:rFonts w:cs="Arial"/>
          <w:bCs/>
          <w:szCs w:val="22"/>
        </w:rPr>
        <w:t>s</w:t>
      </w:r>
      <w:r w:rsidR="00CF4A66" w:rsidRPr="00D45B31">
        <w:rPr>
          <w:rFonts w:cs="Arial"/>
          <w:bCs/>
          <w:szCs w:val="22"/>
        </w:rPr>
        <w:t xml:space="preserve"> and alternatively also the </w:t>
      </w:r>
      <w:r w:rsidR="00182F3E" w:rsidRPr="00D45B31">
        <w:rPr>
          <w:rFonts w:cs="Arial"/>
          <w:bCs/>
          <w:szCs w:val="22"/>
        </w:rPr>
        <w:t>fourth</w:t>
      </w:r>
      <w:r w:rsidR="00CF4A66" w:rsidRPr="00D45B31">
        <w:rPr>
          <w:rFonts w:cs="Arial"/>
          <w:bCs/>
          <w:szCs w:val="22"/>
        </w:rPr>
        <w:t xml:space="preserve"> respondent in </w:t>
      </w:r>
      <w:r w:rsidR="00182F3E" w:rsidRPr="00D45B31">
        <w:rPr>
          <w:rFonts w:cs="Arial"/>
          <w:bCs/>
          <w:szCs w:val="22"/>
        </w:rPr>
        <w:t>contempt</w:t>
      </w:r>
      <w:r w:rsidR="00CF4A66" w:rsidRPr="00D45B31">
        <w:rPr>
          <w:rFonts w:cs="Arial"/>
          <w:bCs/>
          <w:szCs w:val="22"/>
        </w:rPr>
        <w:t xml:space="preserve"> of the 44393 order, alternatively that they are in breach of the 44393 order, interdicting the respondents and any of their employees, agents or representatives from collecting rental from the tenants, attending at the building for the purpose of interfering with the tenants or the collection of rental, contacting the tenants, soliciting payment of any amounts from tenants, interfering with the applicant’s rights to collect rental, and related relief.</w:t>
      </w:r>
    </w:p>
    <w:p w14:paraId="5E1D4850" w14:textId="6614ED64" w:rsidR="00CF4A66" w:rsidRPr="00D45B31" w:rsidRDefault="00D45B31" w:rsidP="00D45B31">
      <w:pPr>
        <w:widowControl w:val="0"/>
        <w:tabs>
          <w:tab w:val="left" w:pos="567"/>
        </w:tabs>
        <w:spacing w:before="240" w:after="240" w:line="360" w:lineRule="auto"/>
        <w:jc w:val="both"/>
        <w:rPr>
          <w:rFonts w:cs="Arial"/>
          <w:bCs/>
          <w:szCs w:val="22"/>
        </w:rPr>
      </w:pPr>
      <w:r>
        <w:rPr>
          <w:rFonts w:cs="Arial"/>
          <w:bCs/>
          <w:szCs w:val="22"/>
        </w:rPr>
        <w:t>[18]</w:t>
      </w:r>
      <w:r>
        <w:rPr>
          <w:rFonts w:cs="Arial"/>
          <w:bCs/>
          <w:szCs w:val="22"/>
        </w:rPr>
        <w:tab/>
      </w:r>
      <w:r w:rsidR="00CF4A66" w:rsidRPr="00D45B31">
        <w:rPr>
          <w:rFonts w:cs="Arial"/>
          <w:bCs/>
          <w:szCs w:val="22"/>
        </w:rPr>
        <w:t xml:space="preserve">An unsigned copy of the application was served and the respondents on 12 March 2024 and a signed copy was served the next day. The respondents were required to file the notice of opposition on or before 14 March 2024 and to file answering affidavits by 19 March 2024. A notice to oppose was filed on 20 March 2024 and an answering affidavit and the day of the hearing, 27 March 2024. The applicant adopted the view that no defences were raised and elected not to file a replying affidavit. </w:t>
      </w:r>
    </w:p>
    <w:p w14:paraId="2289E0B0" w14:textId="0D10395C" w:rsidR="003D2793" w:rsidRPr="00D45B31" w:rsidRDefault="00D45B31" w:rsidP="00D45B31">
      <w:pPr>
        <w:widowControl w:val="0"/>
        <w:tabs>
          <w:tab w:val="left" w:pos="567"/>
        </w:tabs>
        <w:spacing w:before="240" w:after="240" w:line="360" w:lineRule="auto"/>
        <w:jc w:val="both"/>
        <w:rPr>
          <w:rFonts w:cs="Arial"/>
          <w:bCs/>
          <w:szCs w:val="22"/>
        </w:rPr>
      </w:pPr>
      <w:r>
        <w:rPr>
          <w:rFonts w:cs="Arial"/>
          <w:bCs/>
          <w:szCs w:val="22"/>
        </w:rPr>
        <w:t>[19]</w:t>
      </w:r>
      <w:r>
        <w:rPr>
          <w:rFonts w:cs="Arial"/>
          <w:bCs/>
          <w:szCs w:val="22"/>
        </w:rPr>
        <w:tab/>
      </w:r>
      <w:r w:rsidR="00CF4A66" w:rsidRPr="00D45B31">
        <w:rPr>
          <w:rFonts w:cs="Arial"/>
          <w:bCs/>
          <w:iCs/>
          <w:szCs w:val="22"/>
        </w:rPr>
        <w:t>An urgent application must be brought as soon as possible and an applicant is expected to provide cogent reasons for any delay.</w:t>
      </w:r>
      <w:r w:rsidR="00CF4A66">
        <w:rPr>
          <w:rStyle w:val="FootnoteReference"/>
          <w:rFonts w:cs="Arial"/>
          <w:bCs/>
          <w:iCs/>
          <w:szCs w:val="22"/>
        </w:rPr>
        <w:footnoteReference w:id="2"/>
      </w:r>
      <w:r w:rsidR="00CF4A66" w:rsidRPr="00D45B31">
        <w:rPr>
          <w:rFonts w:cs="Arial"/>
          <w:bCs/>
          <w:iCs/>
          <w:szCs w:val="22"/>
        </w:rPr>
        <w:t xml:space="preserve"> </w:t>
      </w:r>
      <w:r w:rsidR="003D2793" w:rsidRPr="00D45B31">
        <w:rPr>
          <w:rFonts w:cs="Arial"/>
          <w:bCs/>
          <w:szCs w:val="22"/>
        </w:rPr>
        <w:t>An applicant should not be penalised for making attempts to resolve the dispute before launching the application.</w:t>
      </w:r>
      <w:r w:rsidR="003D2793">
        <w:rPr>
          <w:rStyle w:val="FootnoteReference"/>
          <w:rFonts w:cs="Arial"/>
          <w:bCs/>
          <w:szCs w:val="22"/>
        </w:rPr>
        <w:footnoteReference w:id="3"/>
      </w:r>
    </w:p>
    <w:p w14:paraId="64196628" w14:textId="54D6063A" w:rsidR="003D2793" w:rsidRPr="00D45B31" w:rsidRDefault="00D45B31" w:rsidP="00D45B31">
      <w:pPr>
        <w:widowControl w:val="0"/>
        <w:tabs>
          <w:tab w:val="left" w:pos="567"/>
        </w:tabs>
        <w:spacing w:before="240" w:after="240" w:line="360" w:lineRule="auto"/>
        <w:jc w:val="both"/>
        <w:rPr>
          <w:rFonts w:cs="Arial"/>
          <w:bCs/>
          <w:color w:val="000000" w:themeColor="text1"/>
          <w:szCs w:val="22"/>
        </w:rPr>
      </w:pPr>
      <w:r w:rsidRPr="003D2793">
        <w:rPr>
          <w:rFonts w:cs="Arial"/>
          <w:bCs/>
          <w:szCs w:val="22"/>
        </w:rPr>
        <w:t>[20]</w:t>
      </w:r>
      <w:r w:rsidRPr="003D2793">
        <w:rPr>
          <w:rFonts w:cs="Arial"/>
          <w:bCs/>
          <w:szCs w:val="22"/>
        </w:rPr>
        <w:tab/>
      </w:r>
      <w:r w:rsidR="00CF4A66" w:rsidRPr="00D45B31">
        <w:rPr>
          <w:rFonts w:cs="Arial"/>
          <w:bCs/>
          <w:iCs/>
          <w:szCs w:val="22"/>
        </w:rPr>
        <w:t xml:space="preserve">The applicant wasted no time in approaching the court and the only reason why the answering affidavit was only filed on the day </w:t>
      </w:r>
      <w:r w:rsidR="003D2793" w:rsidRPr="00D45B31">
        <w:rPr>
          <w:rFonts w:cs="Arial"/>
          <w:bCs/>
          <w:iCs/>
          <w:szCs w:val="22"/>
        </w:rPr>
        <w:t>prior to</w:t>
      </w:r>
      <w:r w:rsidR="00CF4A66" w:rsidRPr="00D45B31">
        <w:rPr>
          <w:rFonts w:cs="Arial"/>
          <w:bCs/>
          <w:iCs/>
          <w:szCs w:val="22"/>
        </w:rPr>
        <w:t xml:space="preserve"> the hearing </w:t>
      </w:r>
      <w:r w:rsidR="003D2793" w:rsidRPr="00D45B31">
        <w:rPr>
          <w:rFonts w:cs="Arial"/>
          <w:bCs/>
          <w:iCs/>
          <w:szCs w:val="22"/>
        </w:rPr>
        <w:t xml:space="preserve">(and one day after the set down date) </w:t>
      </w:r>
      <w:r w:rsidR="00CF4A66" w:rsidRPr="00D45B31">
        <w:rPr>
          <w:rFonts w:cs="Arial"/>
          <w:bCs/>
          <w:iCs/>
          <w:szCs w:val="22"/>
        </w:rPr>
        <w:t>was because the respondents took the time between 13 March and 27 March 2024 to do so. The respondents had sufficient time, namely 14 calendar days to comply with the time periods imposed by the applicant</w:t>
      </w:r>
      <w:r w:rsidR="00E201D9" w:rsidRPr="00D45B31">
        <w:rPr>
          <w:rFonts w:cs="Arial"/>
          <w:bCs/>
          <w:iCs/>
          <w:szCs w:val="22"/>
        </w:rPr>
        <w:t>.</w:t>
      </w:r>
    </w:p>
    <w:p w14:paraId="746F3B2B" w14:textId="37B3FECD" w:rsidR="00CF4A66" w:rsidRPr="00D45B31" w:rsidRDefault="00D45B31" w:rsidP="00D45B31">
      <w:pPr>
        <w:widowControl w:val="0"/>
        <w:tabs>
          <w:tab w:val="left" w:pos="567"/>
        </w:tabs>
        <w:spacing w:before="240" w:after="240" w:line="360" w:lineRule="auto"/>
        <w:jc w:val="both"/>
        <w:rPr>
          <w:rFonts w:cs="Arial"/>
          <w:bCs/>
          <w:color w:val="000000" w:themeColor="text1"/>
          <w:szCs w:val="22"/>
        </w:rPr>
      </w:pPr>
      <w:r w:rsidRPr="00E201D9">
        <w:rPr>
          <w:rFonts w:cs="Arial"/>
          <w:bCs/>
          <w:szCs w:val="22"/>
        </w:rPr>
        <w:lastRenderedPageBreak/>
        <w:t>[21]</w:t>
      </w:r>
      <w:r w:rsidRPr="00E201D9">
        <w:rPr>
          <w:rFonts w:cs="Arial"/>
          <w:bCs/>
          <w:szCs w:val="22"/>
        </w:rPr>
        <w:tab/>
      </w:r>
      <w:r w:rsidR="0047499C" w:rsidRPr="00D45B31">
        <w:rPr>
          <w:rFonts w:cs="Arial"/>
          <w:bCs/>
          <w:color w:val="000000" w:themeColor="text1"/>
          <w:szCs w:val="22"/>
        </w:rPr>
        <w:t xml:space="preserve">I do not intend to traverse the wealth of </w:t>
      </w:r>
      <w:r w:rsidR="00832217" w:rsidRPr="00D45B31">
        <w:rPr>
          <w:rFonts w:cs="Arial"/>
          <w:bCs/>
          <w:color w:val="000000" w:themeColor="text1"/>
          <w:szCs w:val="22"/>
        </w:rPr>
        <w:t>learning</w:t>
      </w:r>
      <w:r w:rsidR="00E201D9" w:rsidRPr="00D45B31">
        <w:rPr>
          <w:rFonts w:cs="Arial"/>
          <w:bCs/>
          <w:color w:val="000000" w:themeColor="text1"/>
          <w:szCs w:val="22"/>
        </w:rPr>
        <w:t xml:space="preserve"> reflected by the case law and academic writings on the subject of the correct approach to urgent applications.</w:t>
      </w:r>
      <w:r w:rsidR="00E201D9">
        <w:rPr>
          <w:rStyle w:val="FootnoteReference"/>
          <w:rFonts w:cs="Arial"/>
          <w:bCs/>
          <w:color w:val="000000" w:themeColor="text1"/>
          <w:szCs w:val="22"/>
        </w:rPr>
        <w:footnoteReference w:id="4"/>
      </w:r>
      <w:r w:rsidR="00E201D9" w:rsidRPr="00D45B31">
        <w:rPr>
          <w:rFonts w:cs="Arial"/>
          <w:bCs/>
          <w:color w:val="000000" w:themeColor="text1"/>
          <w:szCs w:val="22"/>
        </w:rPr>
        <w:t xml:space="preserve"> I determine the matter of urgency on the applicant’s papers and on the allegations made it is apparent that the respondents do not intend to comply with the 44393 order but do intend to continue to collect rentals. A proper case has been made out for the invocation of rule 6 (12). </w:t>
      </w:r>
    </w:p>
    <w:p w14:paraId="1426CE50" w14:textId="08F5AB5E" w:rsidR="009B48A7" w:rsidRPr="00D45B31" w:rsidRDefault="00D45B31" w:rsidP="00D45B31">
      <w:pPr>
        <w:widowControl w:val="0"/>
        <w:tabs>
          <w:tab w:val="left" w:pos="567"/>
        </w:tabs>
        <w:spacing w:before="240" w:after="240" w:line="360" w:lineRule="auto"/>
        <w:jc w:val="both"/>
        <w:rPr>
          <w:rFonts w:cs="Arial"/>
          <w:bCs/>
          <w:szCs w:val="22"/>
        </w:rPr>
      </w:pPr>
      <w:r>
        <w:rPr>
          <w:rFonts w:cs="Arial"/>
          <w:bCs/>
          <w:szCs w:val="22"/>
        </w:rPr>
        <w:t>[22]</w:t>
      </w:r>
      <w:r>
        <w:rPr>
          <w:rFonts w:cs="Arial"/>
          <w:bCs/>
          <w:szCs w:val="22"/>
        </w:rPr>
        <w:tab/>
      </w:r>
      <w:r w:rsidR="00E201D9" w:rsidRPr="00D45B31">
        <w:rPr>
          <w:rFonts w:cs="Arial"/>
          <w:bCs/>
          <w:szCs w:val="22"/>
        </w:rPr>
        <w:t>The applicant fears that if the respondents continue to collect rental and even if  rental were paid over to the applicant after the deduction of amounts believed to be due to the respondents as a management fee and disbursements, it will still be out of pocket as a similar problem was experienced in the past when excessive maintenance fees and disbursements were deducted. It is also a cause for concern</w:t>
      </w:r>
      <w:r w:rsidR="003D2793" w:rsidRPr="00D45B31">
        <w:rPr>
          <w:rFonts w:cs="Arial"/>
          <w:bCs/>
          <w:szCs w:val="22"/>
        </w:rPr>
        <w:t xml:space="preserve"> for the first applicant</w:t>
      </w:r>
      <w:r w:rsidR="00E201D9" w:rsidRPr="00D45B31">
        <w:rPr>
          <w:rFonts w:cs="Arial"/>
          <w:bCs/>
          <w:szCs w:val="22"/>
        </w:rPr>
        <w:t xml:space="preserve"> that the first respondent had formed a new entity, HCI Co, in response to judgements that were taken against the third respondent – a company with a similar name.</w:t>
      </w:r>
    </w:p>
    <w:p w14:paraId="25B1064F" w14:textId="37FC6B21" w:rsidR="009B48A7" w:rsidRPr="00D45B31" w:rsidRDefault="00D45B31" w:rsidP="00D45B31">
      <w:pPr>
        <w:widowControl w:val="0"/>
        <w:tabs>
          <w:tab w:val="left" w:pos="567"/>
        </w:tabs>
        <w:spacing w:before="240" w:after="240" w:line="360" w:lineRule="auto"/>
        <w:jc w:val="both"/>
        <w:rPr>
          <w:rFonts w:cs="Arial"/>
          <w:bCs/>
          <w:szCs w:val="22"/>
        </w:rPr>
      </w:pPr>
      <w:r>
        <w:rPr>
          <w:rFonts w:cs="Arial"/>
          <w:bCs/>
          <w:szCs w:val="22"/>
        </w:rPr>
        <w:t>[23]</w:t>
      </w:r>
      <w:r>
        <w:rPr>
          <w:rFonts w:cs="Arial"/>
          <w:bCs/>
          <w:szCs w:val="22"/>
        </w:rPr>
        <w:tab/>
      </w:r>
      <w:r w:rsidR="009B48A7" w:rsidRPr="00D45B31">
        <w:rPr>
          <w:rFonts w:cs="Arial"/>
          <w:bCs/>
          <w:szCs w:val="22"/>
        </w:rPr>
        <w:t>A party is in contempt of court when it wilfully and in bad faith disobeyed an order of court that had been brought to its notice.</w:t>
      </w:r>
      <w:r w:rsidR="009B48A7">
        <w:rPr>
          <w:rStyle w:val="FootnoteReference"/>
          <w:rFonts w:cs="Arial"/>
          <w:bCs/>
          <w:szCs w:val="22"/>
        </w:rPr>
        <w:footnoteReference w:id="5"/>
      </w:r>
      <w:r w:rsidR="009B48A7" w:rsidRPr="00D45B31">
        <w:rPr>
          <w:rFonts w:cs="Arial"/>
          <w:bCs/>
          <w:szCs w:val="22"/>
        </w:rPr>
        <w:t xml:space="preserve"> The applicant bears the onus to prove the facts to substantiate these requirements and once it has done so an evidentiary onus (an onus of rebuttal or ‘weerleggingslas’) is cast </w:t>
      </w:r>
      <w:r w:rsidR="003D2793" w:rsidRPr="00D45B31">
        <w:rPr>
          <w:rFonts w:cs="Arial"/>
          <w:bCs/>
          <w:szCs w:val="22"/>
        </w:rPr>
        <w:t>on</w:t>
      </w:r>
      <w:r w:rsidR="009B48A7" w:rsidRPr="00D45B31">
        <w:rPr>
          <w:rFonts w:cs="Arial"/>
          <w:bCs/>
          <w:szCs w:val="22"/>
        </w:rPr>
        <w:t xml:space="preserve"> the respondent. </w:t>
      </w:r>
      <w:r w:rsidR="003D2793" w:rsidRPr="00286410">
        <w:t xml:space="preserve">A declarator and other </w:t>
      </w:r>
      <w:r w:rsidR="003D2793">
        <w:t>civil</w:t>
      </w:r>
      <w:r w:rsidR="003D2793" w:rsidRPr="00286410">
        <w:t xml:space="preserve"> remedies </w:t>
      </w:r>
      <w:r w:rsidR="003D2793">
        <w:t>are</w:t>
      </w:r>
      <w:r w:rsidR="003D2793" w:rsidRPr="00286410">
        <w:t xml:space="preserve"> available on proof on a balance of probabilities</w:t>
      </w:r>
      <w:r w:rsidR="003D2793">
        <w:rPr>
          <w:rStyle w:val="FootnoteReference"/>
          <w:rFonts w:cs="Arial"/>
          <w:bCs/>
          <w:szCs w:val="22"/>
        </w:rPr>
        <w:footnoteReference w:id="6"/>
      </w:r>
      <w:r w:rsidR="003D2793" w:rsidRPr="00D45B31">
        <w:rPr>
          <w:rFonts w:cs="Arial"/>
          <w:bCs/>
          <w:szCs w:val="22"/>
        </w:rPr>
        <w:t xml:space="preserve"> but t</w:t>
      </w:r>
      <w:r w:rsidR="009B48A7" w:rsidRPr="00D45B31">
        <w:rPr>
          <w:rFonts w:cs="Arial"/>
          <w:bCs/>
          <w:szCs w:val="22"/>
        </w:rPr>
        <w:t xml:space="preserve">he criminal standard of proof applies </w:t>
      </w:r>
      <w:r w:rsidR="003D2793" w:rsidRPr="00D45B31">
        <w:rPr>
          <w:rFonts w:cs="Arial"/>
          <w:bCs/>
          <w:szCs w:val="22"/>
        </w:rPr>
        <w:t>in respect of a finding of contempt. T</w:t>
      </w:r>
      <w:r w:rsidR="009B48A7" w:rsidRPr="00D45B31">
        <w:rPr>
          <w:rFonts w:cs="Arial"/>
          <w:bCs/>
          <w:szCs w:val="22"/>
        </w:rPr>
        <w:t xml:space="preserve">he case </w:t>
      </w:r>
      <w:r w:rsidR="00B76F30" w:rsidRPr="00D45B31">
        <w:rPr>
          <w:rFonts w:cs="Arial"/>
          <w:bCs/>
          <w:szCs w:val="22"/>
        </w:rPr>
        <w:t xml:space="preserve">for contempt </w:t>
      </w:r>
      <w:r w:rsidR="009B48A7" w:rsidRPr="00D45B31">
        <w:rPr>
          <w:rFonts w:cs="Arial"/>
          <w:bCs/>
          <w:szCs w:val="22"/>
        </w:rPr>
        <w:t>against the respondent must be proved beyond reasonable doubt.</w:t>
      </w:r>
      <w:r w:rsidR="00B76F30" w:rsidRPr="00D45B31">
        <w:rPr>
          <w:rFonts w:cs="Arial"/>
          <w:bCs/>
          <w:szCs w:val="22"/>
        </w:rPr>
        <w:t xml:space="preserve"> </w:t>
      </w:r>
      <w:r w:rsidR="008A60E6" w:rsidRPr="00D45B31">
        <w:rPr>
          <w:rFonts w:cs="Arial"/>
          <w:bCs/>
          <w:szCs w:val="22"/>
        </w:rPr>
        <w:t>In</w:t>
      </w:r>
      <w:r w:rsidR="002424F3" w:rsidRPr="00D45B31">
        <w:rPr>
          <w:rFonts w:cs="Arial"/>
          <w:bCs/>
          <w:szCs w:val="22"/>
        </w:rPr>
        <w:t xml:space="preserve"> the</w:t>
      </w:r>
      <w:r w:rsidR="008A60E6" w:rsidRPr="00D45B31">
        <w:rPr>
          <w:rFonts w:cs="Arial"/>
          <w:bCs/>
          <w:szCs w:val="22"/>
        </w:rPr>
        <w:t xml:space="preserve"> </w:t>
      </w:r>
      <w:r w:rsidR="008A60E6" w:rsidRPr="00D45B31">
        <w:rPr>
          <w:rFonts w:cs="Arial"/>
          <w:bCs/>
          <w:i/>
          <w:iCs/>
          <w:szCs w:val="22"/>
        </w:rPr>
        <w:t>Fakie</w:t>
      </w:r>
      <w:r w:rsidR="008A60E6" w:rsidRPr="00D45B31">
        <w:rPr>
          <w:rFonts w:cs="Arial"/>
          <w:bCs/>
          <w:szCs w:val="22"/>
        </w:rPr>
        <w:t xml:space="preserve"> </w:t>
      </w:r>
      <w:r w:rsidR="002424F3" w:rsidRPr="00D45B31">
        <w:rPr>
          <w:rFonts w:cs="Arial"/>
          <w:bCs/>
          <w:szCs w:val="22"/>
        </w:rPr>
        <w:t>case, Cameron JA remarked:</w:t>
      </w:r>
    </w:p>
    <w:p w14:paraId="583D6BD7" w14:textId="255EC949" w:rsidR="002424F3" w:rsidRPr="002424F3" w:rsidRDefault="002424F3" w:rsidP="002424F3">
      <w:pPr>
        <w:widowControl w:val="0"/>
        <w:spacing w:before="240" w:after="240" w:line="360" w:lineRule="auto"/>
        <w:ind w:left="1440"/>
        <w:jc w:val="both"/>
        <w:rPr>
          <w:rFonts w:cs="Arial"/>
          <w:bCs/>
          <w:szCs w:val="22"/>
        </w:rPr>
      </w:pPr>
      <w:r w:rsidRPr="002424F3">
        <w:rPr>
          <w:rFonts w:cs="Arial"/>
          <w:i/>
          <w:iCs/>
        </w:rPr>
        <w:t xml:space="preserve">“[6] It is a crime unlawfully and intentionally to disobey a court order. This type of contempt of court is part of a broader offence, which can take many forms, but the essence of which lies in violating the dignity, repute or authority of the court. The offence has, in general terms, received a constitutional 'stamp of approval', since the rule of law - a founding value of the Constitution - 'requires that the dignity and authority of the courts, as well as their capacity to carry out their functions, should always be </w:t>
      </w:r>
      <w:r w:rsidRPr="002424F3">
        <w:rPr>
          <w:rFonts w:cs="Arial"/>
          <w:i/>
          <w:iCs/>
        </w:rPr>
        <w:lastRenderedPageBreak/>
        <w:t>maintained'.</w:t>
      </w:r>
      <w:r>
        <w:rPr>
          <w:rFonts w:cs="Arial"/>
          <w:i/>
          <w:iCs/>
        </w:rPr>
        <w:t>”</w:t>
      </w:r>
      <w:r w:rsidRPr="002424F3">
        <w:rPr>
          <w:rFonts w:cs="Arial"/>
          <w:i/>
          <w:iCs/>
        </w:rPr>
        <w:t xml:space="preserve"> </w:t>
      </w:r>
      <w:r w:rsidRPr="002424F3">
        <w:rPr>
          <w:rFonts w:cs="Arial"/>
        </w:rPr>
        <w:t>[footnotes omitted]</w:t>
      </w:r>
    </w:p>
    <w:p w14:paraId="705F92A3" w14:textId="639F13A2" w:rsidR="00B76F30" w:rsidRPr="00D45B31" w:rsidRDefault="00D45B31" w:rsidP="00D45B31">
      <w:pPr>
        <w:widowControl w:val="0"/>
        <w:tabs>
          <w:tab w:val="left" w:pos="567"/>
        </w:tabs>
        <w:spacing w:before="240" w:after="240" w:line="360" w:lineRule="auto"/>
        <w:jc w:val="both"/>
        <w:rPr>
          <w:rFonts w:cs="Arial"/>
          <w:bCs/>
          <w:szCs w:val="22"/>
        </w:rPr>
      </w:pPr>
      <w:r>
        <w:rPr>
          <w:rFonts w:cs="Arial"/>
          <w:bCs/>
          <w:szCs w:val="22"/>
        </w:rPr>
        <w:t>[24]</w:t>
      </w:r>
      <w:r>
        <w:rPr>
          <w:rFonts w:cs="Arial"/>
          <w:bCs/>
          <w:szCs w:val="22"/>
        </w:rPr>
        <w:tab/>
      </w:r>
      <w:r w:rsidR="00B76F30" w:rsidRPr="00D45B31">
        <w:rPr>
          <w:rFonts w:cs="Arial"/>
          <w:bCs/>
          <w:szCs w:val="22"/>
        </w:rPr>
        <w:t>Only a natural person may be committed to prison. A company can not be imprison</w:t>
      </w:r>
      <w:r w:rsidR="00E73479" w:rsidRPr="00D45B31">
        <w:rPr>
          <w:rFonts w:cs="Arial"/>
          <w:bCs/>
          <w:szCs w:val="22"/>
        </w:rPr>
        <w:t>ed</w:t>
      </w:r>
      <w:r w:rsidR="00B76F30" w:rsidRPr="00D45B31">
        <w:rPr>
          <w:rFonts w:cs="Arial"/>
          <w:bCs/>
          <w:szCs w:val="22"/>
        </w:rPr>
        <w:t xml:space="preserve"> and an order for committal must be brought against a named individual. </w:t>
      </w:r>
    </w:p>
    <w:p w14:paraId="787633BF" w14:textId="2B8A4F5B" w:rsidR="00F42D18" w:rsidRPr="00D45B31" w:rsidRDefault="00D45B31" w:rsidP="00D45B31">
      <w:pPr>
        <w:widowControl w:val="0"/>
        <w:tabs>
          <w:tab w:val="left" w:pos="567"/>
        </w:tabs>
        <w:spacing w:before="240" w:after="240" w:line="360" w:lineRule="auto"/>
        <w:jc w:val="both"/>
        <w:rPr>
          <w:rFonts w:cs="Arial"/>
          <w:bCs/>
          <w:szCs w:val="22"/>
        </w:rPr>
      </w:pPr>
      <w:r>
        <w:rPr>
          <w:rFonts w:cs="Arial"/>
          <w:bCs/>
          <w:szCs w:val="22"/>
        </w:rPr>
        <w:t>[25]</w:t>
      </w:r>
      <w:r>
        <w:rPr>
          <w:rFonts w:cs="Arial"/>
          <w:bCs/>
          <w:szCs w:val="22"/>
        </w:rPr>
        <w:tab/>
      </w:r>
      <w:r w:rsidR="00F42D18" w:rsidRPr="00D45B31">
        <w:rPr>
          <w:rFonts w:cs="Arial"/>
          <w:bCs/>
          <w:i/>
          <w:iCs/>
          <w:szCs w:val="22"/>
        </w:rPr>
        <w:t>Dolus eventualis</w:t>
      </w:r>
      <w:r w:rsidR="00F42D18" w:rsidRPr="00D45B31">
        <w:rPr>
          <w:rFonts w:cs="Arial"/>
          <w:bCs/>
          <w:szCs w:val="22"/>
        </w:rPr>
        <w:t xml:space="preserve"> is sufficient and </w:t>
      </w:r>
      <w:r w:rsidR="00F42D18" w:rsidRPr="00D45B31">
        <w:rPr>
          <w:rFonts w:cs="Arial"/>
          <w:bCs/>
          <w:i/>
          <w:iCs/>
          <w:szCs w:val="22"/>
        </w:rPr>
        <w:t>dolus directus</w:t>
      </w:r>
      <w:r w:rsidR="00F42D18" w:rsidRPr="00D45B31">
        <w:rPr>
          <w:rFonts w:cs="Arial"/>
          <w:bCs/>
          <w:szCs w:val="22"/>
        </w:rPr>
        <w:t xml:space="preserve"> or </w:t>
      </w:r>
      <w:r w:rsidR="00F42D18" w:rsidRPr="00D45B31">
        <w:rPr>
          <w:rFonts w:cs="Arial"/>
          <w:bCs/>
          <w:i/>
          <w:iCs/>
          <w:szCs w:val="22"/>
        </w:rPr>
        <w:t>indirectus</w:t>
      </w:r>
      <w:r w:rsidR="00F42D18" w:rsidRPr="00D45B31">
        <w:rPr>
          <w:rFonts w:cs="Arial"/>
          <w:bCs/>
          <w:szCs w:val="22"/>
        </w:rPr>
        <w:t xml:space="preserve"> need not be proved.</w:t>
      </w:r>
      <w:r w:rsidR="00F42D18">
        <w:rPr>
          <w:rStyle w:val="FootnoteReference"/>
          <w:rFonts w:cs="Arial"/>
          <w:bCs/>
          <w:szCs w:val="22"/>
        </w:rPr>
        <w:footnoteReference w:id="7"/>
      </w:r>
      <w:r w:rsidR="00F42D18" w:rsidRPr="00D45B31">
        <w:rPr>
          <w:rFonts w:cs="Arial"/>
          <w:bCs/>
          <w:szCs w:val="22"/>
        </w:rPr>
        <w:t xml:space="preserve"> in evaluating the conduct and the subjective insight of a respondent in a contempt of court application it is in my view important to determine whether or not the respondent had access to legal advice</w:t>
      </w:r>
      <w:r w:rsidR="00E73479" w:rsidRPr="00D45B31">
        <w:rPr>
          <w:rFonts w:cs="Arial"/>
          <w:bCs/>
          <w:szCs w:val="22"/>
        </w:rPr>
        <w:t>.</w:t>
      </w:r>
    </w:p>
    <w:p w14:paraId="2BFA09CB" w14:textId="1C4C3080" w:rsidR="008A60E6" w:rsidRPr="00D45B31" w:rsidRDefault="00D45B31" w:rsidP="00D45B31">
      <w:pPr>
        <w:widowControl w:val="0"/>
        <w:tabs>
          <w:tab w:val="left" w:pos="567"/>
        </w:tabs>
        <w:spacing w:before="240" w:after="240" w:line="360" w:lineRule="auto"/>
        <w:jc w:val="both"/>
        <w:rPr>
          <w:rFonts w:cs="Arial"/>
          <w:bCs/>
          <w:szCs w:val="22"/>
        </w:rPr>
      </w:pPr>
      <w:r>
        <w:rPr>
          <w:rFonts w:cs="Arial"/>
          <w:bCs/>
          <w:szCs w:val="22"/>
        </w:rPr>
        <w:t>[26]</w:t>
      </w:r>
      <w:r>
        <w:rPr>
          <w:rFonts w:cs="Arial"/>
          <w:bCs/>
          <w:szCs w:val="22"/>
        </w:rPr>
        <w:tab/>
      </w:r>
      <w:r w:rsidR="009B48A7" w:rsidRPr="00D45B31">
        <w:rPr>
          <w:rFonts w:cs="Arial"/>
          <w:bCs/>
          <w:szCs w:val="22"/>
        </w:rPr>
        <w:t>No party is expected to know all of the law but any party venturing into a specific field of law is required</w:t>
      </w:r>
      <w:r w:rsidR="008A60E6" w:rsidRPr="00D45B31">
        <w:rPr>
          <w:rFonts w:cs="Arial"/>
          <w:bCs/>
          <w:szCs w:val="22"/>
        </w:rPr>
        <w:t xml:space="preserve"> </w:t>
      </w:r>
      <w:r w:rsidR="00E73479" w:rsidRPr="00D45B31">
        <w:rPr>
          <w:rFonts w:cs="Arial"/>
          <w:bCs/>
          <w:szCs w:val="22"/>
        </w:rPr>
        <w:t xml:space="preserve">to familiarise itself </w:t>
      </w:r>
      <w:r w:rsidR="008A60E6" w:rsidRPr="00D45B31">
        <w:rPr>
          <w:rFonts w:cs="Arial"/>
          <w:bCs/>
          <w:szCs w:val="22"/>
        </w:rPr>
        <w:t>with the legal principles applicable to the field. This applies also to attorneys</w:t>
      </w:r>
      <w:r w:rsidR="00E73479" w:rsidRPr="00D45B31">
        <w:rPr>
          <w:rFonts w:cs="Arial"/>
          <w:bCs/>
          <w:szCs w:val="22"/>
        </w:rPr>
        <w:t>.</w:t>
      </w:r>
    </w:p>
    <w:p w14:paraId="377874D5" w14:textId="4574E3DE" w:rsidR="00EE21A3" w:rsidRPr="00D45B31" w:rsidRDefault="00D45B31" w:rsidP="00D45B31">
      <w:pPr>
        <w:widowControl w:val="0"/>
        <w:tabs>
          <w:tab w:val="left" w:pos="567"/>
        </w:tabs>
        <w:spacing w:before="240" w:after="240" w:line="360" w:lineRule="auto"/>
        <w:jc w:val="both"/>
        <w:rPr>
          <w:rFonts w:cs="Arial"/>
          <w:bCs/>
          <w:szCs w:val="22"/>
        </w:rPr>
      </w:pPr>
      <w:r>
        <w:rPr>
          <w:rFonts w:cs="Arial"/>
          <w:bCs/>
          <w:szCs w:val="22"/>
        </w:rPr>
        <w:t>[27]</w:t>
      </w:r>
      <w:r>
        <w:rPr>
          <w:rFonts w:cs="Arial"/>
          <w:bCs/>
          <w:szCs w:val="22"/>
        </w:rPr>
        <w:tab/>
      </w:r>
      <w:r w:rsidR="008A60E6" w:rsidRPr="00D45B31">
        <w:rPr>
          <w:rFonts w:cs="Arial"/>
          <w:bCs/>
          <w:szCs w:val="22"/>
        </w:rPr>
        <w:t>Court orders must be complied with even when they are wrong or believed to be wrong</w:t>
      </w:r>
      <w:r w:rsidR="009B48A7" w:rsidRPr="00D45B31">
        <w:rPr>
          <w:rFonts w:cs="Arial"/>
          <w:bCs/>
          <w:szCs w:val="22"/>
        </w:rPr>
        <w:t>.</w:t>
      </w:r>
      <w:r w:rsidR="008A60E6" w:rsidRPr="00D45B31">
        <w:rPr>
          <w:rFonts w:cs="Arial"/>
          <w:bCs/>
          <w:szCs w:val="22"/>
        </w:rPr>
        <w:t xml:space="preserve"> A party cannot unilaterally decide that it disagrees with a court judgement and then ignore it.</w:t>
      </w:r>
      <w:r w:rsidR="002424F3" w:rsidRPr="00D45B31">
        <w:rPr>
          <w:rFonts w:cs="Arial"/>
          <w:bCs/>
          <w:szCs w:val="22"/>
        </w:rPr>
        <w:t xml:space="preserve"> A party can be in contempt of an order that</w:t>
      </w:r>
      <w:r w:rsidR="00F42D18" w:rsidRPr="00D45B31">
        <w:rPr>
          <w:rFonts w:cs="Arial"/>
          <w:bCs/>
          <w:szCs w:val="22"/>
        </w:rPr>
        <w:t xml:space="preserve"> is wrong</w:t>
      </w:r>
      <w:r w:rsidR="00F42D18">
        <w:rPr>
          <w:rStyle w:val="FootnoteReference"/>
          <w:rFonts w:cs="Arial"/>
          <w:bCs/>
          <w:szCs w:val="22"/>
        </w:rPr>
        <w:footnoteReference w:id="8"/>
      </w:r>
      <w:r w:rsidR="00EE21A3" w:rsidRPr="00D45B31">
        <w:rPr>
          <w:rFonts w:cs="Arial"/>
          <w:bCs/>
          <w:szCs w:val="22"/>
        </w:rPr>
        <w:t xml:space="preserve"> </w:t>
      </w:r>
      <w:r w:rsidR="00832217" w:rsidRPr="00D45B31">
        <w:rPr>
          <w:rFonts w:cs="Arial"/>
          <w:bCs/>
          <w:szCs w:val="22"/>
        </w:rPr>
        <w:t xml:space="preserve"> or that is subjectively believes to be wrong.</w:t>
      </w:r>
    </w:p>
    <w:p w14:paraId="229CC741" w14:textId="65736E11" w:rsidR="00F9624D" w:rsidRPr="00D45B31" w:rsidRDefault="00D45B31" w:rsidP="00D45B31">
      <w:pPr>
        <w:widowControl w:val="0"/>
        <w:tabs>
          <w:tab w:val="left" w:pos="567"/>
        </w:tabs>
        <w:spacing w:before="240" w:after="240" w:line="360" w:lineRule="auto"/>
        <w:jc w:val="both"/>
        <w:rPr>
          <w:rFonts w:cs="Arial"/>
          <w:bCs/>
          <w:szCs w:val="22"/>
        </w:rPr>
      </w:pPr>
      <w:r>
        <w:rPr>
          <w:rFonts w:cs="Arial"/>
          <w:bCs/>
          <w:szCs w:val="22"/>
        </w:rPr>
        <w:t>[28]</w:t>
      </w:r>
      <w:r>
        <w:rPr>
          <w:rFonts w:cs="Arial"/>
          <w:bCs/>
          <w:szCs w:val="22"/>
        </w:rPr>
        <w:tab/>
      </w:r>
      <w:r w:rsidR="00EE21A3" w:rsidRPr="00D45B31">
        <w:rPr>
          <w:rFonts w:cs="Arial"/>
          <w:bCs/>
          <w:szCs w:val="22"/>
        </w:rPr>
        <w:t xml:space="preserve">The respondents are in effect saying that they are entitled to ignore the 44393 order because they </w:t>
      </w:r>
      <w:r w:rsidR="00E73479" w:rsidRPr="00D45B31">
        <w:rPr>
          <w:rFonts w:cs="Arial"/>
          <w:bCs/>
          <w:szCs w:val="22"/>
        </w:rPr>
        <w:t>believe the order is wrong and because they believe the</w:t>
      </w:r>
      <w:r w:rsidR="00D14F68" w:rsidRPr="00D45B31">
        <w:rPr>
          <w:rFonts w:cs="Arial"/>
          <w:bCs/>
          <w:szCs w:val="22"/>
        </w:rPr>
        <w:t>y</w:t>
      </w:r>
      <w:r w:rsidR="00E73479" w:rsidRPr="00D45B31">
        <w:rPr>
          <w:rFonts w:cs="Arial"/>
          <w:bCs/>
          <w:szCs w:val="22"/>
        </w:rPr>
        <w:t xml:space="preserve"> will be able to obtain special leave to appeal to the Supreme Court of Appeal in the mat</w:t>
      </w:r>
      <w:r w:rsidR="00D14F68" w:rsidRPr="00D45B31">
        <w:rPr>
          <w:rFonts w:cs="Arial"/>
          <w:bCs/>
          <w:szCs w:val="22"/>
        </w:rPr>
        <w:t>t</w:t>
      </w:r>
      <w:r w:rsidR="00E73479" w:rsidRPr="00D45B31">
        <w:rPr>
          <w:rFonts w:cs="Arial"/>
          <w:bCs/>
          <w:szCs w:val="22"/>
        </w:rPr>
        <w:t>er under</w:t>
      </w:r>
      <w:r w:rsidR="00D14F68" w:rsidRPr="00D45B31">
        <w:rPr>
          <w:rFonts w:cs="Arial"/>
          <w:bCs/>
          <w:szCs w:val="22"/>
        </w:rPr>
        <w:t xml:space="preserve"> case number </w:t>
      </w:r>
      <w:r w:rsidR="00D14F68" w:rsidRPr="00D45B31">
        <w:rPr>
          <w:lang w:val="en-GB"/>
        </w:rPr>
        <w:t>2020/7843, and will then be able to obtain a judgement to the effect that suretyships are void</w:t>
      </w:r>
      <w:r w:rsidR="00E73479" w:rsidRPr="00D45B31">
        <w:rPr>
          <w:rFonts w:cs="Arial"/>
          <w:bCs/>
          <w:szCs w:val="22"/>
        </w:rPr>
        <w:t xml:space="preserve">. </w:t>
      </w:r>
      <w:r w:rsidR="00D14F68" w:rsidRPr="00D45B31">
        <w:rPr>
          <w:rFonts w:cs="Arial"/>
          <w:bCs/>
          <w:szCs w:val="22"/>
        </w:rPr>
        <w:t>There will then be, so the argument goes</w:t>
      </w:r>
      <w:r w:rsidR="00015F98" w:rsidRPr="00D45B31">
        <w:rPr>
          <w:rFonts w:cs="Arial"/>
          <w:bCs/>
          <w:szCs w:val="22"/>
        </w:rPr>
        <w:t xml:space="preserve"> and as in the thought experiment involving Schrödinger’s cat</w:t>
      </w:r>
      <w:r w:rsidR="00D14F68" w:rsidRPr="00D45B31">
        <w:rPr>
          <w:rFonts w:cs="Arial"/>
          <w:bCs/>
          <w:szCs w:val="22"/>
        </w:rPr>
        <w:t xml:space="preserve">, two judgements – one in the Supreme Court of Appeal in terms of which the suretyships will be void and one by the Full Bench in the 44393 application terms of which the suretyships are valid. </w:t>
      </w:r>
    </w:p>
    <w:p w14:paraId="3F07BDFD" w14:textId="7012A8FD" w:rsidR="00177C70" w:rsidRPr="00D45B31" w:rsidRDefault="00D45B31" w:rsidP="00D45B31">
      <w:pPr>
        <w:widowControl w:val="0"/>
        <w:tabs>
          <w:tab w:val="left" w:pos="567"/>
        </w:tabs>
        <w:spacing w:before="240" w:after="240" w:line="360" w:lineRule="auto"/>
        <w:jc w:val="both"/>
        <w:rPr>
          <w:rFonts w:cs="Arial"/>
          <w:bCs/>
          <w:szCs w:val="22"/>
        </w:rPr>
      </w:pPr>
      <w:r w:rsidRPr="00177C70">
        <w:rPr>
          <w:rFonts w:cs="Arial"/>
          <w:bCs/>
          <w:szCs w:val="22"/>
        </w:rPr>
        <w:t>[29]</w:t>
      </w:r>
      <w:r w:rsidRPr="00177C70">
        <w:rPr>
          <w:rFonts w:cs="Arial"/>
          <w:bCs/>
          <w:szCs w:val="22"/>
        </w:rPr>
        <w:tab/>
      </w:r>
      <w:r w:rsidR="00E06F15" w:rsidRPr="00D45B31">
        <w:rPr>
          <w:rFonts w:cs="Arial"/>
          <w:bCs/>
          <w:szCs w:val="22"/>
        </w:rPr>
        <w:t>The respondents submit that they will then be</w:t>
      </w:r>
      <w:r w:rsidR="00D14F68" w:rsidRPr="00D45B31">
        <w:rPr>
          <w:rFonts w:cs="Arial"/>
          <w:bCs/>
          <w:szCs w:val="22"/>
        </w:rPr>
        <w:t xml:space="preserve"> able to obtain a rescission of the 44393 order</w:t>
      </w:r>
      <w:r w:rsidR="00E06F15" w:rsidRPr="00D45B31">
        <w:rPr>
          <w:rFonts w:cs="Arial"/>
          <w:bCs/>
          <w:szCs w:val="22"/>
        </w:rPr>
        <w:t xml:space="preserve"> or alternative relief with the same effect.</w:t>
      </w:r>
      <w:r w:rsidR="00F9624D" w:rsidRPr="00D45B31">
        <w:rPr>
          <w:rFonts w:cs="Arial"/>
          <w:bCs/>
          <w:szCs w:val="22"/>
        </w:rPr>
        <w:t xml:space="preserve"> </w:t>
      </w:r>
      <w:r w:rsidR="00015F98" w:rsidRPr="00D45B31">
        <w:rPr>
          <w:lang w:val="en-GB"/>
        </w:rPr>
        <w:t>In support of these submissions the respondents rely on</w:t>
      </w:r>
      <w:r w:rsidR="00F9624D" w:rsidRPr="00D45B31">
        <w:rPr>
          <w:lang w:val="en-GB"/>
        </w:rPr>
        <w:t xml:space="preserve"> you</w:t>
      </w:r>
      <w:r w:rsidR="00015F98" w:rsidRPr="00D45B31">
        <w:rPr>
          <w:lang w:val="en-GB"/>
        </w:rPr>
        <w:t xml:space="preserve"> </w:t>
      </w:r>
      <w:r w:rsidR="00015F98" w:rsidRPr="00D45B31">
        <w:rPr>
          <w:i/>
          <w:iCs/>
        </w:rPr>
        <w:t>CTP LTD and Others v Argus Holdings Ltd and Another</w:t>
      </w:r>
      <w:r w:rsidR="00015F98">
        <w:t xml:space="preserve"> and </w:t>
      </w:r>
      <w:r w:rsidR="00015F98" w:rsidRPr="00D45B31">
        <w:rPr>
          <w:i/>
          <w:iCs/>
        </w:rPr>
        <w:t>CTP Ltd and Others v Independent Newspapers Holdings Ltd.</w:t>
      </w:r>
      <w:r w:rsidR="00015F98">
        <w:rPr>
          <w:rStyle w:val="FootnoteReference"/>
          <w:i/>
          <w:iCs/>
        </w:rPr>
        <w:footnoteReference w:id="9"/>
      </w:r>
      <w:r w:rsidR="00015F98" w:rsidRPr="00D45B31">
        <w:rPr>
          <w:i/>
          <w:iCs/>
        </w:rPr>
        <w:t xml:space="preserve"> </w:t>
      </w:r>
    </w:p>
    <w:p w14:paraId="6307CB3D" w14:textId="2E2D3F6D" w:rsidR="00015F98" w:rsidRPr="00D45B31" w:rsidRDefault="00D45B31" w:rsidP="00D45B31">
      <w:pPr>
        <w:widowControl w:val="0"/>
        <w:tabs>
          <w:tab w:val="left" w:pos="567"/>
        </w:tabs>
        <w:spacing w:before="240" w:after="240" w:line="360" w:lineRule="auto"/>
        <w:jc w:val="both"/>
        <w:rPr>
          <w:rFonts w:cs="Arial"/>
          <w:bCs/>
          <w:szCs w:val="22"/>
        </w:rPr>
      </w:pPr>
      <w:r w:rsidRPr="00F9624D">
        <w:rPr>
          <w:rFonts w:cs="Arial"/>
          <w:bCs/>
          <w:szCs w:val="22"/>
        </w:rPr>
        <w:t>[30]</w:t>
      </w:r>
      <w:r w:rsidRPr="00F9624D">
        <w:rPr>
          <w:rFonts w:cs="Arial"/>
          <w:bCs/>
          <w:szCs w:val="22"/>
        </w:rPr>
        <w:tab/>
      </w:r>
      <w:r w:rsidR="00015F98" w:rsidRPr="00D45B31">
        <w:rPr>
          <w:i/>
          <w:iCs/>
        </w:rPr>
        <w:t xml:space="preserve"> </w:t>
      </w:r>
      <w:r w:rsidR="00177C70" w:rsidRPr="00D45B31">
        <w:rPr>
          <w:iCs/>
        </w:rPr>
        <w:t>I</w:t>
      </w:r>
      <w:r w:rsidR="00015F98" w:rsidRPr="00D45B31">
        <w:rPr>
          <w:iCs/>
        </w:rPr>
        <w:t xml:space="preserve">t is doubtful whether the two cases are authority for the argument that the 44393 judgement should be rescinded on the basis of </w:t>
      </w:r>
      <w:r w:rsidR="00B44ADE" w:rsidRPr="00D45B31">
        <w:rPr>
          <w:iCs/>
        </w:rPr>
        <w:t xml:space="preserve">a subsequent finding in the </w:t>
      </w:r>
      <w:r w:rsidR="00177C70" w:rsidRPr="00D45B31">
        <w:rPr>
          <w:iCs/>
        </w:rPr>
        <w:t>Supreme</w:t>
      </w:r>
      <w:r w:rsidR="00B44ADE" w:rsidRPr="00D45B31">
        <w:rPr>
          <w:iCs/>
        </w:rPr>
        <w:t xml:space="preserve"> </w:t>
      </w:r>
      <w:r w:rsidR="00B44ADE" w:rsidRPr="00D45B31">
        <w:rPr>
          <w:iCs/>
        </w:rPr>
        <w:lastRenderedPageBreak/>
        <w:t xml:space="preserve">Court of Appeal in a different matter between the same parties. These judgements involved restraint of trade agreements. The Appellate Division as it then was stated in the </w:t>
      </w:r>
      <w:r w:rsidR="00B44ADE" w:rsidRPr="00D45B31">
        <w:rPr>
          <w:i/>
        </w:rPr>
        <w:t>Argus</w:t>
      </w:r>
      <w:r w:rsidR="00B44ADE" w:rsidRPr="00D45B31">
        <w:rPr>
          <w:iCs/>
        </w:rPr>
        <w:t xml:space="preserve"> case that a court can include in its order a provision that the defendant be grant</w:t>
      </w:r>
      <w:r w:rsidR="00177C70" w:rsidRPr="00D45B31">
        <w:rPr>
          <w:iCs/>
        </w:rPr>
        <w:t>ed</w:t>
      </w:r>
      <w:r w:rsidR="00B44ADE" w:rsidRPr="00D45B31">
        <w:rPr>
          <w:iCs/>
        </w:rPr>
        <w:t xml:space="preserve"> leave to approach the court for an order amending or rescinding the interdict </w:t>
      </w:r>
      <w:r w:rsidR="00177C70" w:rsidRPr="00D45B31">
        <w:rPr>
          <w:iCs/>
        </w:rPr>
        <w:t>on good</w:t>
      </w:r>
      <w:r w:rsidR="00B44ADE" w:rsidRPr="00D45B31">
        <w:rPr>
          <w:iCs/>
        </w:rPr>
        <w:t xml:space="preserve"> cause being shown that circumstances have materially changed. </w:t>
      </w:r>
      <w:r w:rsidR="00B5342C" w:rsidRPr="00D45B31">
        <w:rPr>
          <w:iCs/>
        </w:rPr>
        <w:t xml:space="preserve">In the </w:t>
      </w:r>
      <w:r w:rsidR="00B5342C" w:rsidRPr="00D45B31">
        <w:rPr>
          <w:i/>
        </w:rPr>
        <w:t>Independent Newspapers</w:t>
      </w:r>
      <w:r w:rsidR="00B5342C" w:rsidRPr="00D45B31">
        <w:rPr>
          <w:iCs/>
        </w:rPr>
        <w:t xml:space="preserve"> case it was held that  a  defendant or respondent  can</w:t>
      </w:r>
      <w:r w:rsidR="00F9624D" w:rsidRPr="00D45B31">
        <w:rPr>
          <w:iCs/>
        </w:rPr>
        <w:t xml:space="preserve"> in proceedings to enforce an interdict</w:t>
      </w:r>
      <w:r w:rsidR="00B5342C" w:rsidRPr="00D45B31">
        <w:rPr>
          <w:iCs/>
        </w:rPr>
        <w:t xml:space="preserve"> again rely on facts and circumstances raised by him in the proceedings</w:t>
      </w:r>
      <w:r w:rsidR="00F9624D" w:rsidRPr="00D45B31">
        <w:rPr>
          <w:iCs/>
        </w:rPr>
        <w:t xml:space="preserve"> which culminated in the interdict being granted if such facts and circumstances  were relevant  or </w:t>
      </w:r>
      <w:r w:rsidR="00177C70" w:rsidRPr="00D45B31">
        <w:rPr>
          <w:iCs/>
        </w:rPr>
        <w:t>of</w:t>
      </w:r>
      <w:r w:rsidR="00F9624D" w:rsidRPr="00D45B31">
        <w:rPr>
          <w:iCs/>
        </w:rPr>
        <w:t xml:space="preserve"> significance because of other facts and circumstances  which arose after  the interdict was given.</w:t>
      </w:r>
      <w:r w:rsidR="00F9624D">
        <w:rPr>
          <w:rStyle w:val="FootnoteReference"/>
          <w:iCs/>
        </w:rPr>
        <w:footnoteReference w:id="10"/>
      </w:r>
      <w:r w:rsidR="00F9624D" w:rsidRPr="00D45B31">
        <w:rPr>
          <w:iCs/>
        </w:rPr>
        <w:t xml:space="preserve"> In short, when a court grants an interdict  on the basis of certain facts and the facts had changed by the time the interdict is enforced then the defendant or respondent will be entitled to place these new facts before the court.</w:t>
      </w:r>
    </w:p>
    <w:p w14:paraId="7FB68C98" w14:textId="03B2F11C" w:rsidR="00E73479" w:rsidRPr="00D45B31" w:rsidRDefault="00D45B31" w:rsidP="00D45B31">
      <w:pPr>
        <w:widowControl w:val="0"/>
        <w:tabs>
          <w:tab w:val="left" w:pos="567"/>
        </w:tabs>
        <w:spacing w:before="240" w:after="240" w:line="360" w:lineRule="auto"/>
        <w:jc w:val="both"/>
        <w:rPr>
          <w:rFonts w:cs="Arial"/>
          <w:bCs/>
          <w:szCs w:val="22"/>
        </w:rPr>
      </w:pPr>
      <w:r>
        <w:rPr>
          <w:rFonts w:cs="Arial"/>
          <w:bCs/>
          <w:szCs w:val="22"/>
        </w:rPr>
        <w:t>[31]</w:t>
      </w:r>
      <w:r>
        <w:rPr>
          <w:rFonts w:cs="Arial"/>
          <w:bCs/>
          <w:szCs w:val="22"/>
        </w:rPr>
        <w:tab/>
      </w:r>
      <w:r w:rsidR="00E73479" w:rsidRPr="00D45B31">
        <w:rPr>
          <w:rFonts w:cs="Arial"/>
          <w:bCs/>
          <w:szCs w:val="22"/>
        </w:rPr>
        <w:t>On 27 February 2024 the respondents issued an application to stay the execution of the 44394 order in terms of rule 45A</w:t>
      </w:r>
      <w:r w:rsidR="00E73479">
        <w:rPr>
          <w:rStyle w:val="FootnoteReference"/>
          <w:rFonts w:cs="Arial"/>
          <w:bCs/>
          <w:szCs w:val="22"/>
        </w:rPr>
        <w:footnoteReference w:id="11"/>
      </w:r>
      <w:r w:rsidR="00E73479" w:rsidRPr="00D45B31">
        <w:rPr>
          <w:rFonts w:cs="Arial"/>
          <w:bCs/>
          <w:szCs w:val="22"/>
        </w:rPr>
        <w:t xml:space="preserve"> under case number 2024/021574. The rule provides that:</w:t>
      </w:r>
    </w:p>
    <w:p w14:paraId="193CB0E9" w14:textId="77777777" w:rsidR="00E73479" w:rsidRDefault="00E73479" w:rsidP="00E73479">
      <w:pPr>
        <w:widowControl w:val="0"/>
        <w:spacing w:before="240" w:after="240" w:line="360" w:lineRule="auto"/>
        <w:ind w:left="1440"/>
        <w:jc w:val="both"/>
        <w:rPr>
          <w:i/>
          <w:iCs/>
          <w:lang w:eastAsia="en-ZA"/>
        </w:rPr>
      </w:pPr>
      <w:r w:rsidRPr="00434055">
        <w:rPr>
          <w:i/>
          <w:iCs/>
          <w:lang w:eastAsia="en-ZA"/>
        </w:rPr>
        <w:t>“The court may, on application, suspend the operation and execution of any order for such period as it may deem fit: Provided that in the case of appeal, such suspension is in compliance with section 18 of the Act.”</w:t>
      </w:r>
    </w:p>
    <w:p w14:paraId="485BA0B4" w14:textId="77777777" w:rsidR="00E73479" w:rsidRPr="00434055" w:rsidRDefault="00E73479" w:rsidP="00E73479">
      <w:pPr>
        <w:widowControl w:val="0"/>
        <w:spacing w:before="240" w:after="240" w:line="360" w:lineRule="auto"/>
        <w:ind w:left="1440"/>
        <w:jc w:val="both"/>
        <w:rPr>
          <w:rFonts w:cs="Arial"/>
          <w:bCs/>
          <w:i/>
          <w:iCs/>
          <w:szCs w:val="22"/>
        </w:rPr>
      </w:pPr>
    </w:p>
    <w:p w14:paraId="11DB29AC" w14:textId="2E91D2D7" w:rsidR="00CB3AC1" w:rsidRPr="00D45B31" w:rsidRDefault="00D45B31" w:rsidP="00D45B31">
      <w:pPr>
        <w:widowControl w:val="0"/>
        <w:tabs>
          <w:tab w:val="left" w:pos="567"/>
        </w:tabs>
        <w:spacing w:before="240" w:after="240" w:line="360" w:lineRule="auto"/>
        <w:jc w:val="both"/>
        <w:rPr>
          <w:rFonts w:cs="Arial"/>
          <w:bCs/>
          <w:szCs w:val="22"/>
        </w:rPr>
      </w:pPr>
      <w:r>
        <w:rPr>
          <w:rFonts w:cs="Arial"/>
          <w:bCs/>
          <w:szCs w:val="22"/>
        </w:rPr>
        <w:t>[32]</w:t>
      </w:r>
      <w:r>
        <w:rPr>
          <w:rFonts w:cs="Arial"/>
          <w:bCs/>
          <w:szCs w:val="22"/>
        </w:rPr>
        <w:tab/>
      </w:r>
      <w:r w:rsidR="00E73479" w:rsidRPr="00D45B31">
        <w:rPr>
          <w:rFonts w:cs="Arial"/>
          <w:bCs/>
          <w:szCs w:val="22"/>
        </w:rPr>
        <w:t>The rule 454A application was brought in the ordinary course. The applicant served a notice of intention to oppose on 12 March 2024 and the answering affidavit will be due on 5 April 2024.</w:t>
      </w:r>
    </w:p>
    <w:p w14:paraId="3586AD85" w14:textId="7CAA83CB" w:rsidR="005D0162" w:rsidRPr="00D45B31" w:rsidRDefault="00D45B31" w:rsidP="00D45B31">
      <w:pPr>
        <w:widowControl w:val="0"/>
        <w:tabs>
          <w:tab w:val="left" w:pos="567"/>
        </w:tabs>
        <w:spacing w:before="240" w:after="240" w:line="360" w:lineRule="auto"/>
        <w:jc w:val="both"/>
        <w:rPr>
          <w:rFonts w:cs="Arial"/>
          <w:bCs/>
          <w:szCs w:val="22"/>
        </w:rPr>
      </w:pPr>
      <w:r>
        <w:rPr>
          <w:rFonts w:cs="Arial"/>
          <w:bCs/>
          <w:szCs w:val="22"/>
        </w:rPr>
        <w:t>[33]</w:t>
      </w:r>
      <w:r>
        <w:rPr>
          <w:rFonts w:cs="Arial"/>
          <w:bCs/>
          <w:szCs w:val="22"/>
        </w:rPr>
        <w:tab/>
      </w:r>
      <w:r w:rsidR="005D0162" w:rsidRPr="00D45B31">
        <w:rPr>
          <w:rFonts w:cs="Arial"/>
          <w:bCs/>
          <w:szCs w:val="22"/>
        </w:rPr>
        <w:t xml:space="preserve">The respondents also point out that any relief granted pending an envisaged liquidation application would imply that the applicant was preferring itself above other creditors and would amount to a voidable disposition or undue preference. </w:t>
      </w:r>
    </w:p>
    <w:p w14:paraId="654D9BCA" w14:textId="2DFEE284" w:rsidR="00434055" w:rsidRPr="00D45B31" w:rsidRDefault="00D45B31" w:rsidP="00D45B31">
      <w:pPr>
        <w:widowControl w:val="0"/>
        <w:tabs>
          <w:tab w:val="left" w:pos="567"/>
        </w:tabs>
        <w:spacing w:before="240" w:after="240" w:line="360" w:lineRule="auto"/>
        <w:jc w:val="both"/>
        <w:rPr>
          <w:rFonts w:cs="Arial"/>
          <w:bCs/>
          <w:szCs w:val="22"/>
        </w:rPr>
      </w:pPr>
      <w:r>
        <w:rPr>
          <w:rFonts w:cs="Arial"/>
          <w:bCs/>
          <w:szCs w:val="22"/>
        </w:rPr>
        <w:t>[34]</w:t>
      </w:r>
      <w:r>
        <w:rPr>
          <w:rFonts w:cs="Arial"/>
          <w:bCs/>
          <w:szCs w:val="22"/>
        </w:rPr>
        <w:tab/>
      </w:r>
      <w:r w:rsidR="005D0162" w:rsidRPr="00D45B31">
        <w:rPr>
          <w:rFonts w:cs="Arial"/>
          <w:bCs/>
          <w:szCs w:val="22"/>
        </w:rPr>
        <w:t xml:space="preserve">The possibility </w:t>
      </w:r>
      <w:r w:rsidR="00E06F15" w:rsidRPr="00D45B31">
        <w:rPr>
          <w:rFonts w:cs="Arial"/>
          <w:bCs/>
          <w:szCs w:val="22"/>
        </w:rPr>
        <w:t xml:space="preserve">(if it existed at all) </w:t>
      </w:r>
      <w:r w:rsidR="005D0162" w:rsidRPr="00D45B31">
        <w:rPr>
          <w:rFonts w:cs="Arial"/>
          <w:bCs/>
          <w:szCs w:val="22"/>
        </w:rPr>
        <w:t>that the 44393 order will be rescinded at some future point in time in terms of the common law or rule 42 does not mean that the respondents are at liberty to</w:t>
      </w:r>
      <w:r w:rsidR="00E06F15" w:rsidRPr="00D45B31">
        <w:rPr>
          <w:rFonts w:cs="Arial"/>
          <w:bCs/>
          <w:szCs w:val="22"/>
        </w:rPr>
        <w:t xml:space="preserve"> wilfully </w:t>
      </w:r>
      <w:r w:rsidR="005D0162" w:rsidRPr="00D45B31">
        <w:rPr>
          <w:rFonts w:cs="Arial"/>
          <w:bCs/>
          <w:szCs w:val="22"/>
        </w:rPr>
        <w:t xml:space="preserve">ignore the order at present. </w:t>
      </w:r>
      <w:r w:rsidR="00E06F15" w:rsidRPr="00D45B31">
        <w:rPr>
          <w:rFonts w:cs="Arial"/>
          <w:bCs/>
          <w:szCs w:val="22"/>
        </w:rPr>
        <w:t>Their</w:t>
      </w:r>
      <w:r w:rsidR="005D0162" w:rsidRPr="00D45B31">
        <w:rPr>
          <w:rFonts w:cs="Arial"/>
          <w:bCs/>
          <w:szCs w:val="22"/>
        </w:rPr>
        <w:t xml:space="preserve"> intentional and unilateral disregard of the order is not supported by any authority. The applicant is </w:t>
      </w:r>
      <w:r w:rsidR="005D0162" w:rsidRPr="00D45B31">
        <w:rPr>
          <w:rFonts w:cs="Arial"/>
          <w:bCs/>
          <w:szCs w:val="22"/>
        </w:rPr>
        <w:lastRenderedPageBreak/>
        <w:t xml:space="preserve">therefore entitled to the relief sought. </w:t>
      </w:r>
      <w:r w:rsidR="00E06F15" w:rsidRPr="00D45B31">
        <w:rPr>
          <w:rFonts w:cs="Arial"/>
          <w:bCs/>
          <w:szCs w:val="22"/>
        </w:rPr>
        <w:t>I am also of the view that  the respondent’s conduct  by ignoring  correspondence in March and then refusing to be bound by the court order merited a punitive cost order. The applicant was represented by two counsel, including a senior counsel, and the respondent by a senior junior. The cost of senior counsel is therefore justified.</w:t>
      </w:r>
    </w:p>
    <w:p w14:paraId="5C67E23D" w14:textId="2680435B" w:rsidR="00D849E3" w:rsidRPr="00C105A1" w:rsidRDefault="00D849E3" w:rsidP="004F41E9">
      <w:pPr>
        <w:widowControl w:val="0"/>
        <w:spacing w:before="240" w:after="240" w:line="360" w:lineRule="auto"/>
        <w:jc w:val="both"/>
        <w:rPr>
          <w:rFonts w:cs="Arial"/>
          <w:bCs/>
          <w:szCs w:val="22"/>
        </w:rPr>
      </w:pPr>
    </w:p>
    <w:p w14:paraId="154C20F6" w14:textId="6C2EEE88" w:rsidR="00BD6E92" w:rsidRPr="007811C6" w:rsidRDefault="00BD6E92" w:rsidP="004F41E9">
      <w:pPr>
        <w:keepNext/>
        <w:widowControl w:val="0"/>
        <w:spacing w:before="240" w:after="240" w:line="360" w:lineRule="auto"/>
        <w:jc w:val="both"/>
        <w:rPr>
          <w:rFonts w:cs="Arial"/>
          <w:bCs/>
          <w:szCs w:val="22"/>
          <w:u w:val="single"/>
        </w:rPr>
      </w:pPr>
      <w:r w:rsidRPr="007811C6">
        <w:rPr>
          <w:rFonts w:cs="Arial"/>
          <w:bCs/>
          <w:szCs w:val="22"/>
          <w:u w:val="single"/>
        </w:rPr>
        <w:t>Conclusion</w:t>
      </w:r>
    </w:p>
    <w:p w14:paraId="14970950" w14:textId="35ECED9A" w:rsidR="00177C70" w:rsidRPr="00D45B31" w:rsidRDefault="00D45B31" w:rsidP="00D45B31">
      <w:pPr>
        <w:keepNext/>
        <w:widowControl w:val="0"/>
        <w:tabs>
          <w:tab w:val="left" w:pos="567"/>
        </w:tabs>
        <w:spacing w:before="240" w:after="240" w:line="360" w:lineRule="auto"/>
        <w:jc w:val="both"/>
        <w:rPr>
          <w:rFonts w:cs="Arial"/>
          <w:bCs/>
          <w:szCs w:val="22"/>
        </w:rPr>
      </w:pPr>
      <w:r>
        <w:rPr>
          <w:rFonts w:cs="Arial"/>
          <w:bCs/>
          <w:szCs w:val="22"/>
        </w:rPr>
        <w:t>[35]</w:t>
      </w:r>
      <w:r>
        <w:rPr>
          <w:rFonts w:cs="Arial"/>
          <w:bCs/>
          <w:szCs w:val="22"/>
        </w:rPr>
        <w:tab/>
      </w:r>
      <w:r w:rsidR="00F43389" w:rsidRPr="00D45B31">
        <w:rPr>
          <w:rFonts w:cs="Arial"/>
          <w:bCs/>
          <w:szCs w:val="22"/>
        </w:rPr>
        <w:t>For t</w:t>
      </w:r>
      <w:r w:rsidR="00B15D12" w:rsidRPr="00D45B31">
        <w:rPr>
          <w:rFonts w:cs="Arial"/>
          <w:bCs/>
          <w:szCs w:val="22"/>
        </w:rPr>
        <w:t xml:space="preserve">he reasons as set out above I make the </w:t>
      </w:r>
      <w:r w:rsidR="00366937" w:rsidRPr="00D45B31">
        <w:rPr>
          <w:rFonts w:cs="Arial"/>
          <w:bCs/>
          <w:szCs w:val="22"/>
        </w:rPr>
        <w:t>o</w:t>
      </w:r>
      <w:r w:rsidR="00B15D12" w:rsidRPr="00D45B31">
        <w:rPr>
          <w:rFonts w:cs="Arial"/>
          <w:bCs/>
          <w:szCs w:val="22"/>
        </w:rPr>
        <w:t>rder in paragraph 1.</w:t>
      </w:r>
      <w:r w:rsidR="00E06F15" w:rsidRPr="00D45B31">
        <w:rPr>
          <w:rFonts w:cs="Arial"/>
          <w:bCs/>
          <w:szCs w:val="22"/>
        </w:rPr>
        <w:t xml:space="preserve"> </w:t>
      </w:r>
    </w:p>
    <w:p w14:paraId="5AA88EA9" w14:textId="1CA72089" w:rsidR="004D692E" w:rsidRPr="00D45B31" w:rsidRDefault="00D45B31" w:rsidP="00D45B31">
      <w:pPr>
        <w:keepNext/>
        <w:widowControl w:val="0"/>
        <w:tabs>
          <w:tab w:val="left" w:pos="567"/>
        </w:tabs>
        <w:spacing w:before="240" w:after="240" w:line="360" w:lineRule="auto"/>
        <w:jc w:val="both"/>
        <w:rPr>
          <w:rFonts w:cs="Arial"/>
          <w:bCs/>
          <w:szCs w:val="22"/>
        </w:rPr>
      </w:pPr>
      <w:r w:rsidRPr="00F43389">
        <w:rPr>
          <w:rFonts w:cs="Arial"/>
          <w:bCs/>
          <w:szCs w:val="22"/>
        </w:rPr>
        <w:t>[36]</w:t>
      </w:r>
      <w:r w:rsidRPr="00F43389">
        <w:rPr>
          <w:rFonts w:cs="Arial"/>
          <w:bCs/>
          <w:szCs w:val="22"/>
        </w:rPr>
        <w:tab/>
      </w:r>
      <w:r w:rsidR="00E06F15" w:rsidRPr="00D45B31">
        <w:rPr>
          <w:rFonts w:cs="Arial"/>
          <w:bCs/>
          <w:szCs w:val="22"/>
        </w:rPr>
        <w:t xml:space="preserve">The order was furnished to the parties on a court day and this being an urgent application </w:t>
      </w:r>
      <w:r w:rsidR="00177C70" w:rsidRPr="00D45B31">
        <w:rPr>
          <w:rFonts w:cs="Arial"/>
          <w:bCs/>
          <w:szCs w:val="22"/>
        </w:rPr>
        <w:t>the</w:t>
      </w:r>
      <w:r w:rsidR="00E06F15" w:rsidRPr="00D45B31">
        <w:rPr>
          <w:rFonts w:cs="Arial"/>
          <w:bCs/>
          <w:szCs w:val="22"/>
        </w:rPr>
        <w:t xml:space="preserve"> judgement will be emailed and published on Easter Friday</w:t>
      </w:r>
      <w:r w:rsidR="00177C70" w:rsidRPr="00D45B31">
        <w:rPr>
          <w:rFonts w:cs="Arial"/>
          <w:bCs/>
          <w:szCs w:val="22"/>
        </w:rPr>
        <w:t xml:space="preserve"> but on the basis that the deemed date of publication will be 2 April 2024.</w:t>
      </w:r>
    </w:p>
    <w:p w14:paraId="5B7FD0E4" w14:textId="77777777" w:rsidR="00B15D12" w:rsidRPr="007811C6" w:rsidRDefault="00B15D12" w:rsidP="003A1D18">
      <w:pPr>
        <w:widowControl w:val="0"/>
        <w:tabs>
          <w:tab w:val="right" w:pos="0"/>
        </w:tabs>
        <w:spacing w:line="360" w:lineRule="auto"/>
        <w:contextualSpacing/>
        <w:jc w:val="right"/>
        <w:rPr>
          <w:rFonts w:cs="Arial"/>
          <w:b/>
          <w:szCs w:val="22"/>
        </w:rPr>
      </w:pPr>
    </w:p>
    <w:p w14:paraId="58DFDFC0" w14:textId="77777777" w:rsidR="00B15D12" w:rsidRPr="007811C6" w:rsidRDefault="00B15D12" w:rsidP="003A1D18">
      <w:pPr>
        <w:widowControl w:val="0"/>
        <w:tabs>
          <w:tab w:val="right" w:pos="0"/>
        </w:tabs>
        <w:spacing w:line="360" w:lineRule="auto"/>
        <w:contextualSpacing/>
        <w:jc w:val="right"/>
        <w:rPr>
          <w:rFonts w:cs="Arial"/>
          <w:b/>
          <w:szCs w:val="22"/>
        </w:rPr>
      </w:pPr>
    </w:p>
    <w:p w14:paraId="53CD27EE" w14:textId="517D8EE6" w:rsidR="00AE287F" w:rsidRPr="007811C6" w:rsidRDefault="00A649E6" w:rsidP="003A1D18">
      <w:pPr>
        <w:widowControl w:val="0"/>
        <w:tabs>
          <w:tab w:val="right" w:pos="0"/>
        </w:tabs>
        <w:spacing w:line="360" w:lineRule="auto"/>
        <w:contextualSpacing/>
        <w:jc w:val="right"/>
        <w:rPr>
          <w:rFonts w:cs="Arial"/>
          <w:b/>
          <w:szCs w:val="22"/>
        </w:rPr>
      </w:pPr>
      <w:r w:rsidRPr="007811C6">
        <w:rPr>
          <w:rFonts w:cs="Arial"/>
          <w:b/>
          <w:szCs w:val="22"/>
        </w:rPr>
        <w:t>______________</w:t>
      </w:r>
    </w:p>
    <w:p w14:paraId="0CCB9BFE" w14:textId="532F2776" w:rsidR="006C43D7" w:rsidRPr="007811C6" w:rsidRDefault="00E22FB3" w:rsidP="003A1D18">
      <w:pPr>
        <w:widowControl w:val="0"/>
        <w:tabs>
          <w:tab w:val="right" w:pos="0"/>
        </w:tabs>
        <w:spacing w:line="360" w:lineRule="auto"/>
        <w:contextualSpacing/>
        <w:jc w:val="right"/>
        <w:rPr>
          <w:rFonts w:cs="Arial"/>
          <w:b/>
          <w:szCs w:val="22"/>
        </w:rPr>
      </w:pPr>
      <w:r>
        <w:rPr>
          <w:rFonts w:cs="Arial"/>
          <w:b/>
          <w:szCs w:val="22"/>
        </w:rPr>
        <w:t>MOORCROFT AJ</w:t>
      </w:r>
    </w:p>
    <w:p w14:paraId="7A2C1059" w14:textId="77777777" w:rsidR="006C43D7" w:rsidRPr="007811C6" w:rsidRDefault="006C43D7" w:rsidP="003A1D18">
      <w:pPr>
        <w:widowControl w:val="0"/>
        <w:tabs>
          <w:tab w:val="right" w:pos="0"/>
        </w:tabs>
        <w:spacing w:line="360" w:lineRule="auto"/>
        <w:contextualSpacing/>
        <w:jc w:val="right"/>
        <w:rPr>
          <w:rFonts w:cs="Arial"/>
          <w:b/>
          <w:szCs w:val="22"/>
        </w:rPr>
      </w:pPr>
      <w:r w:rsidRPr="007811C6">
        <w:rPr>
          <w:rFonts w:cs="Arial"/>
          <w:b/>
          <w:szCs w:val="22"/>
        </w:rPr>
        <w:t>ACTING JUDGE OF THE HIGH COURT OF SOUTH AFRICA</w:t>
      </w:r>
    </w:p>
    <w:p w14:paraId="077C2590" w14:textId="7452355B" w:rsidR="006C43D7" w:rsidRPr="007811C6" w:rsidRDefault="006C43D7" w:rsidP="003A1D18">
      <w:pPr>
        <w:widowControl w:val="0"/>
        <w:tabs>
          <w:tab w:val="right" w:pos="0"/>
          <w:tab w:val="left" w:pos="4253"/>
        </w:tabs>
        <w:spacing w:line="360" w:lineRule="auto"/>
        <w:contextualSpacing/>
        <w:jc w:val="right"/>
        <w:rPr>
          <w:rFonts w:cs="Arial"/>
          <w:b/>
          <w:szCs w:val="22"/>
        </w:rPr>
      </w:pPr>
      <w:r w:rsidRPr="007811C6">
        <w:rPr>
          <w:rFonts w:cs="Arial"/>
          <w:b/>
          <w:szCs w:val="22"/>
        </w:rPr>
        <w:t>GAUTENG DIVISION</w:t>
      </w:r>
    </w:p>
    <w:p w14:paraId="40B9C946" w14:textId="77777777" w:rsidR="006C43D7" w:rsidRPr="007811C6" w:rsidRDefault="006C43D7" w:rsidP="0005282E">
      <w:pPr>
        <w:widowControl w:val="0"/>
        <w:tabs>
          <w:tab w:val="right" w:pos="0"/>
          <w:tab w:val="left" w:pos="4253"/>
        </w:tabs>
        <w:spacing w:line="360" w:lineRule="auto"/>
        <w:contextualSpacing/>
        <w:jc w:val="right"/>
        <w:rPr>
          <w:rFonts w:cs="Arial"/>
          <w:b/>
          <w:szCs w:val="22"/>
        </w:rPr>
      </w:pPr>
      <w:r w:rsidRPr="007811C6">
        <w:rPr>
          <w:rFonts w:cs="Arial"/>
          <w:b/>
          <w:szCs w:val="22"/>
        </w:rPr>
        <w:t>JOHANNESBURG</w:t>
      </w:r>
    </w:p>
    <w:p w14:paraId="326B529B" w14:textId="77777777" w:rsidR="006C43D7" w:rsidRPr="007811C6" w:rsidRDefault="006C43D7" w:rsidP="003A1D18">
      <w:pPr>
        <w:widowControl w:val="0"/>
        <w:tabs>
          <w:tab w:val="right" w:pos="0"/>
          <w:tab w:val="left" w:pos="4253"/>
        </w:tabs>
        <w:spacing w:line="360" w:lineRule="auto"/>
        <w:contextualSpacing/>
        <w:jc w:val="center"/>
        <w:rPr>
          <w:rFonts w:cs="Arial"/>
          <w:b/>
          <w:szCs w:val="22"/>
        </w:rPr>
      </w:pPr>
    </w:p>
    <w:p w14:paraId="5A4CC56C" w14:textId="051C4E22" w:rsidR="006C43D7" w:rsidRPr="007811C6" w:rsidRDefault="006C43D7" w:rsidP="003A1D18">
      <w:pPr>
        <w:widowControl w:val="0"/>
        <w:spacing w:after="200" w:line="480" w:lineRule="auto"/>
        <w:contextualSpacing/>
        <w:jc w:val="right"/>
        <w:rPr>
          <w:rFonts w:cs="Arial"/>
          <w:b/>
          <w:i/>
          <w:iCs/>
          <w:szCs w:val="22"/>
        </w:rPr>
      </w:pPr>
      <w:r w:rsidRPr="007811C6">
        <w:rPr>
          <w:rFonts w:cs="Arial"/>
          <w:b/>
          <w:i/>
          <w:iCs/>
          <w:szCs w:val="22"/>
        </w:rPr>
        <w:t>Electronically submitted</w:t>
      </w:r>
    </w:p>
    <w:p w14:paraId="482DDF6E" w14:textId="5B301D2C" w:rsidR="006C43D7" w:rsidRPr="007811C6" w:rsidRDefault="006C43D7" w:rsidP="00A84915">
      <w:pPr>
        <w:widowControl w:val="0"/>
        <w:spacing w:after="200" w:line="360" w:lineRule="auto"/>
        <w:contextualSpacing/>
        <w:jc w:val="both"/>
        <w:rPr>
          <w:rFonts w:eastAsia="Arial Unicode MS" w:cs="Arial"/>
          <w:b/>
          <w:szCs w:val="22"/>
        </w:rPr>
      </w:pPr>
      <w:r w:rsidRPr="007811C6">
        <w:rPr>
          <w:rFonts w:eastAsia="Arial Unicode MS" w:cs="Arial"/>
          <w:bCs/>
          <w:szCs w:val="22"/>
        </w:rPr>
        <w:t>Delivered: This judgement was prepared and authored by the Acting Judge whose name is reflected and is handed down electronically by circulation to the Parties / their legal representatives by email and by uploading it to the electronic file of this matter on CaseLines. The date of the judgment is deemed to be</w:t>
      </w:r>
      <w:r w:rsidR="00C460A0" w:rsidRPr="007811C6">
        <w:rPr>
          <w:rFonts w:eastAsia="Arial Unicode MS" w:cs="Arial"/>
          <w:b/>
          <w:szCs w:val="22"/>
        </w:rPr>
        <w:t xml:space="preserve"> </w:t>
      </w:r>
      <w:r w:rsidR="00177C70">
        <w:rPr>
          <w:rFonts w:eastAsia="Arial Unicode MS" w:cs="Arial"/>
          <w:b/>
          <w:szCs w:val="22"/>
        </w:rPr>
        <w:t>2</w:t>
      </w:r>
      <w:r w:rsidR="00044778">
        <w:rPr>
          <w:rFonts w:eastAsia="Arial Unicode MS" w:cs="Arial"/>
          <w:b/>
          <w:szCs w:val="22"/>
        </w:rPr>
        <w:t xml:space="preserve"> </w:t>
      </w:r>
      <w:r w:rsidR="00177C70">
        <w:rPr>
          <w:rFonts w:eastAsia="Arial Unicode MS" w:cs="Arial"/>
          <w:b/>
          <w:szCs w:val="22"/>
        </w:rPr>
        <w:t xml:space="preserve">APRIL </w:t>
      </w:r>
      <w:r w:rsidR="00044778">
        <w:rPr>
          <w:rFonts w:eastAsia="Arial Unicode MS" w:cs="Arial"/>
          <w:b/>
          <w:szCs w:val="22"/>
        </w:rPr>
        <w:t>2024</w:t>
      </w:r>
    </w:p>
    <w:p w14:paraId="74CD3952" w14:textId="77777777" w:rsidR="00A84915" w:rsidRPr="007811C6" w:rsidRDefault="00A84915" w:rsidP="00A84915">
      <w:pPr>
        <w:widowControl w:val="0"/>
        <w:spacing w:after="200" w:line="360" w:lineRule="auto"/>
        <w:contextualSpacing/>
        <w:jc w:val="both"/>
        <w:rPr>
          <w:rFonts w:cs="Arial"/>
          <w:b/>
          <w:szCs w:val="22"/>
        </w:rPr>
      </w:pPr>
    </w:p>
    <w:tbl>
      <w:tblPr>
        <w:tblStyle w:val="TableGrid"/>
        <w:tblW w:w="861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992"/>
        <w:gridCol w:w="2943"/>
      </w:tblGrid>
      <w:tr w:rsidR="009D35B5" w:rsidRPr="007811C6" w14:paraId="493AF0D7" w14:textId="77777777" w:rsidTr="00615F6B">
        <w:tc>
          <w:tcPr>
            <w:tcW w:w="4678" w:type="dxa"/>
          </w:tcPr>
          <w:p w14:paraId="6A05541A" w14:textId="5013C208" w:rsidR="009D35B5" w:rsidRPr="007811C6" w:rsidRDefault="009D35B5" w:rsidP="00A25AB4">
            <w:pPr>
              <w:tabs>
                <w:tab w:val="right" w:pos="0"/>
                <w:tab w:val="left" w:pos="4253"/>
              </w:tabs>
              <w:spacing w:before="120" w:after="120"/>
              <w:rPr>
                <w:rFonts w:cs="Arial"/>
                <w:szCs w:val="22"/>
              </w:rPr>
            </w:pPr>
            <w:r w:rsidRPr="007811C6">
              <w:rPr>
                <w:rFonts w:cs="Arial"/>
                <w:szCs w:val="22"/>
              </w:rPr>
              <w:t xml:space="preserve">COUNSEL FOR </w:t>
            </w:r>
            <w:r w:rsidR="00404A52" w:rsidRPr="007811C6">
              <w:rPr>
                <w:rFonts w:cs="Arial"/>
                <w:szCs w:val="22"/>
              </w:rPr>
              <w:t>THE</w:t>
            </w:r>
            <w:r w:rsidR="000976D2" w:rsidRPr="007811C6">
              <w:rPr>
                <w:rFonts w:cs="Arial"/>
                <w:szCs w:val="22"/>
              </w:rPr>
              <w:t xml:space="preserve"> </w:t>
            </w:r>
            <w:r w:rsidR="008707F5">
              <w:rPr>
                <w:rFonts w:cs="Arial"/>
                <w:szCs w:val="22"/>
              </w:rPr>
              <w:t>APPLICANT</w:t>
            </w:r>
            <w:r w:rsidRPr="007811C6">
              <w:rPr>
                <w:rFonts w:cs="Arial"/>
                <w:szCs w:val="22"/>
              </w:rPr>
              <w:t>:</w:t>
            </w:r>
          </w:p>
        </w:tc>
        <w:tc>
          <w:tcPr>
            <w:tcW w:w="3935" w:type="dxa"/>
            <w:gridSpan w:val="2"/>
          </w:tcPr>
          <w:p w14:paraId="284B67B6" w14:textId="77777777" w:rsidR="00DD2710" w:rsidRDefault="00AD1989" w:rsidP="00EF0D9E">
            <w:pPr>
              <w:tabs>
                <w:tab w:val="right" w:pos="0"/>
                <w:tab w:val="left" w:pos="567"/>
                <w:tab w:val="right" w:pos="2727"/>
                <w:tab w:val="left" w:pos="4253"/>
              </w:tabs>
              <w:spacing w:before="120" w:after="120"/>
              <w:jc w:val="right"/>
              <w:rPr>
                <w:rFonts w:cs="Arial"/>
                <w:szCs w:val="22"/>
              </w:rPr>
            </w:pPr>
            <w:r>
              <w:rPr>
                <w:rFonts w:cs="Arial"/>
                <w:szCs w:val="22"/>
              </w:rPr>
              <w:t>AC BOTHA SC</w:t>
            </w:r>
          </w:p>
          <w:p w14:paraId="69785AA9" w14:textId="456E2183" w:rsidR="00AD1989" w:rsidRPr="007811C6" w:rsidRDefault="00AD1989" w:rsidP="00EF0D9E">
            <w:pPr>
              <w:tabs>
                <w:tab w:val="right" w:pos="0"/>
                <w:tab w:val="left" w:pos="567"/>
                <w:tab w:val="right" w:pos="2727"/>
                <w:tab w:val="left" w:pos="4253"/>
              </w:tabs>
              <w:spacing w:before="120" w:after="120"/>
              <w:jc w:val="right"/>
              <w:rPr>
                <w:rFonts w:cs="Arial"/>
                <w:szCs w:val="22"/>
              </w:rPr>
            </w:pPr>
            <w:r>
              <w:rPr>
                <w:rFonts w:cs="Arial"/>
                <w:szCs w:val="22"/>
              </w:rPr>
              <w:t>E EKSTEEN</w:t>
            </w:r>
          </w:p>
        </w:tc>
      </w:tr>
      <w:tr w:rsidR="009D35B5" w:rsidRPr="007811C6" w14:paraId="183C176D" w14:textId="77777777" w:rsidTr="00615F6B">
        <w:tc>
          <w:tcPr>
            <w:tcW w:w="4678" w:type="dxa"/>
          </w:tcPr>
          <w:p w14:paraId="75365413" w14:textId="77EFB09A" w:rsidR="009D35B5" w:rsidRPr="007811C6" w:rsidRDefault="009D35B5" w:rsidP="00A25AB4">
            <w:pPr>
              <w:tabs>
                <w:tab w:val="right" w:pos="0"/>
                <w:tab w:val="left" w:pos="4253"/>
              </w:tabs>
              <w:spacing w:before="120" w:after="120"/>
              <w:rPr>
                <w:rFonts w:cs="Arial"/>
                <w:szCs w:val="22"/>
              </w:rPr>
            </w:pPr>
            <w:r w:rsidRPr="007811C6">
              <w:rPr>
                <w:rFonts w:cs="Arial"/>
                <w:szCs w:val="22"/>
              </w:rPr>
              <w:t>INSTRUCTED BY</w:t>
            </w:r>
            <w:r w:rsidR="008707F5">
              <w:rPr>
                <w:rFonts w:cs="Arial"/>
                <w:szCs w:val="22"/>
              </w:rPr>
              <w:t>:</w:t>
            </w:r>
          </w:p>
        </w:tc>
        <w:tc>
          <w:tcPr>
            <w:tcW w:w="3935" w:type="dxa"/>
            <w:gridSpan w:val="2"/>
          </w:tcPr>
          <w:p w14:paraId="4044534A" w14:textId="7355C85A" w:rsidR="00E10D04" w:rsidRPr="007811C6" w:rsidRDefault="004066F9" w:rsidP="00A25AB4">
            <w:pPr>
              <w:tabs>
                <w:tab w:val="right" w:pos="0"/>
                <w:tab w:val="left" w:pos="4253"/>
              </w:tabs>
              <w:spacing w:before="120" w:after="120"/>
              <w:jc w:val="right"/>
              <w:rPr>
                <w:rFonts w:cs="Arial"/>
                <w:szCs w:val="22"/>
              </w:rPr>
            </w:pPr>
            <w:r>
              <w:rPr>
                <w:rFonts w:cs="Arial"/>
                <w:szCs w:val="22"/>
              </w:rPr>
              <w:t>SCHINDLERS ATTORNEYS</w:t>
            </w:r>
          </w:p>
        </w:tc>
      </w:tr>
      <w:tr w:rsidR="009D35B5" w:rsidRPr="007811C6" w14:paraId="6E2BF966" w14:textId="77777777" w:rsidTr="00EF0D9E">
        <w:tc>
          <w:tcPr>
            <w:tcW w:w="5670" w:type="dxa"/>
            <w:gridSpan w:val="2"/>
          </w:tcPr>
          <w:p w14:paraId="545B6665" w14:textId="6E3E3CC3" w:rsidR="009D35B5" w:rsidRPr="007811C6" w:rsidRDefault="009D35B5" w:rsidP="00A25AB4">
            <w:pPr>
              <w:tabs>
                <w:tab w:val="right" w:pos="0"/>
                <w:tab w:val="left" w:pos="4253"/>
              </w:tabs>
              <w:spacing w:before="120" w:after="120"/>
              <w:rPr>
                <w:rFonts w:cs="Arial"/>
                <w:szCs w:val="22"/>
              </w:rPr>
            </w:pPr>
            <w:r w:rsidRPr="007811C6">
              <w:rPr>
                <w:rFonts w:cs="Arial"/>
                <w:szCs w:val="22"/>
              </w:rPr>
              <w:t xml:space="preserve">COUNSEL FOR </w:t>
            </w:r>
            <w:r w:rsidR="0061036C" w:rsidRPr="007811C6">
              <w:rPr>
                <w:rFonts w:cs="Arial"/>
                <w:szCs w:val="22"/>
              </w:rPr>
              <w:t xml:space="preserve">THE </w:t>
            </w:r>
            <w:r w:rsidR="004066F9">
              <w:rPr>
                <w:rFonts w:cs="Arial"/>
                <w:szCs w:val="22"/>
              </w:rPr>
              <w:t>1</w:t>
            </w:r>
            <w:r w:rsidR="004066F9" w:rsidRPr="004066F9">
              <w:rPr>
                <w:rFonts w:cs="Arial"/>
                <w:szCs w:val="22"/>
                <w:vertAlign w:val="superscript"/>
              </w:rPr>
              <w:t>st</w:t>
            </w:r>
            <w:r w:rsidR="004066F9">
              <w:rPr>
                <w:rFonts w:cs="Arial"/>
                <w:szCs w:val="22"/>
              </w:rPr>
              <w:t xml:space="preserve"> TO 6</w:t>
            </w:r>
            <w:r w:rsidR="004066F9" w:rsidRPr="004066F9">
              <w:rPr>
                <w:rFonts w:cs="Arial"/>
                <w:szCs w:val="22"/>
                <w:vertAlign w:val="superscript"/>
              </w:rPr>
              <w:t>th</w:t>
            </w:r>
            <w:r w:rsidR="00EF0D9E">
              <w:rPr>
                <w:rFonts w:cs="Arial"/>
                <w:szCs w:val="22"/>
              </w:rPr>
              <w:t xml:space="preserve"> </w:t>
            </w:r>
            <w:r w:rsidR="00027D19" w:rsidRPr="007811C6">
              <w:rPr>
                <w:rFonts w:cs="Arial"/>
                <w:szCs w:val="22"/>
              </w:rPr>
              <w:t>RESPONDENT</w:t>
            </w:r>
            <w:r w:rsidR="004066F9">
              <w:rPr>
                <w:rFonts w:cs="Arial"/>
                <w:szCs w:val="22"/>
              </w:rPr>
              <w:t>S</w:t>
            </w:r>
            <w:r w:rsidR="00EF0D9E">
              <w:rPr>
                <w:rFonts w:cs="Arial"/>
                <w:szCs w:val="22"/>
              </w:rPr>
              <w:t>:</w:t>
            </w:r>
          </w:p>
        </w:tc>
        <w:tc>
          <w:tcPr>
            <w:tcW w:w="2943" w:type="dxa"/>
          </w:tcPr>
          <w:p w14:paraId="51741A90" w14:textId="5D888758" w:rsidR="00E35391" w:rsidRPr="007811C6" w:rsidRDefault="00AD1989" w:rsidP="00D65571">
            <w:pPr>
              <w:tabs>
                <w:tab w:val="right" w:pos="0"/>
                <w:tab w:val="left" w:pos="4253"/>
              </w:tabs>
              <w:spacing w:before="120" w:after="120"/>
              <w:jc w:val="right"/>
              <w:rPr>
                <w:rFonts w:cs="Arial"/>
                <w:szCs w:val="22"/>
              </w:rPr>
            </w:pPr>
            <w:r>
              <w:rPr>
                <w:rFonts w:cs="Arial"/>
                <w:szCs w:val="22"/>
              </w:rPr>
              <w:t>L FRANCK</w:t>
            </w:r>
          </w:p>
        </w:tc>
      </w:tr>
      <w:tr w:rsidR="009D35B5" w:rsidRPr="007811C6" w14:paraId="1EC4105A" w14:textId="77777777" w:rsidTr="00615F6B">
        <w:tc>
          <w:tcPr>
            <w:tcW w:w="4678" w:type="dxa"/>
          </w:tcPr>
          <w:p w14:paraId="184EC2ED" w14:textId="1E42F28A" w:rsidR="009D35B5" w:rsidRPr="007811C6" w:rsidRDefault="009D35B5" w:rsidP="00A25AB4">
            <w:pPr>
              <w:tabs>
                <w:tab w:val="right" w:pos="0"/>
                <w:tab w:val="left" w:pos="4253"/>
              </w:tabs>
              <w:spacing w:before="120" w:after="120"/>
              <w:rPr>
                <w:rFonts w:cs="Arial"/>
                <w:szCs w:val="22"/>
              </w:rPr>
            </w:pPr>
            <w:r w:rsidRPr="007811C6">
              <w:rPr>
                <w:rFonts w:cs="Arial"/>
                <w:szCs w:val="22"/>
              </w:rPr>
              <w:t>INSTRUCTED BY:</w:t>
            </w:r>
          </w:p>
        </w:tc>
        <w:tc>
          <w:tcPr>
            <w:tcW w:w="3935" w:type="dxa"/>
            <w:gridSpan w:val="2"/>
          </w:tcPr>
          <w:p w14:paraId="2098BE2A" w14:textId="42BE87BD" w:rsidR="009D35B5" w:rsidRPr="007811C6" w:rsidRDefault="004066F9" w:rsidP="00A25AB4">
            <w:pPr>
              <w:tabs>
                <w:tab w:val="right" w:pos="0"/>
                <w:tab w:val="left" w:pos="4253"/>
              </w:tabs>
              <w:spacing w:before="120" w:after="120"/>
              <w:jc w:val="right"/>
              <w:rPr>
                <w:rFonts w:cs="Arial"/>
                <w:szCs w:val="22"/>
              </w:rPr>
            </w:pPr>
            <w:r>
              <w:rPr>
                <w:rFonts w:cs="Arial"/>
                <w:szCs w:val="22"/>
              </w:rPr>
              <w:t>SWARTZ WEIL VAN DER MERWE GREENBERG INC</w:t>
            </w:r>
          </w:p>
        </w:tc>
      </w:tr>
      <w:tr w:rsidR="009D35B5" w:rsidRPr="007811C6" w14:paraId="2A3FE2B1" w14:textId="77777777" w:rsidTr="00615F6B">
        <w:tc>
          <w:tcPr>
            <w:tcW w:w="4678" w:type="dxa"/>
          </w:tcPr>
          <w:p w14:paraId="0767D0FE" w14:textId="23F2037D" w:rsidR="009D35B5" w:rsidRPr="007811C6" w:rsidRDefault="009D35B5" w:rsidP="00A25AB4">
            <w:pPr>
              <w:tabs>
                <w:tab w:val="right" w:pos="0"/>
                <w:tab w:val="left" w:pos="4253"/>
              </w:tabs>
              <w:spacing w:before="120" w:after="120"/>
              <w:rPr>
                <w:rFonts w:cs="Arial"/>
                <w:szCs w:val="22"/>
              </w:rPr>
            </w:pPr>
            <w:r w:rsidRPr="007811C6">
              <w:rPr>
                <w:rFonts w:cs="Arial"/>
                <w:szCs w:val="22"/>
              </w:rPr>
              <w:t xml:space="preserve">DATE </w:t>
            </w:r>
            <w:r w:rsidR="00E57446" w:rsidRPr="007811C6">
              <w:rPr>
                <w:rFonts w:cs="Arial"/>
                <w:szCs w:val="22"/>
              </w:rPr>
              <w:t>OF ARGUMENT</w:t>
            </w:r>
            <w:r w:rsidRPr="007811C6">
              <w:rPr>
                <w:rFonts w:cs="Arial"/>
                <w:szCs w:val="22"/>
              </w:rPr>
              <w:t>:</w:t>
            </w:r>
          </w:p>
        </w:tc>
        <w:tc>
          <w:tcPr>
            <w:tcW w:w="3935" w:type="dxa"/>
            <w:gridSpan w:val="2"/>
          </w:tcPr>
          <w:p w14:paraId="34C95147" w14:textId="43F6F66A" w:rsidR="009D35B5" w:rsidRPr="007811C6" w:rsidRDefault="00044778" w:rsidP="00A25AB4">
            <w:pPr>
              <w:tabs>
                <w:tab w:val="right" w:pos="0"/>
                <w:tab w:val="left" w:pos="4253"/>
              </w:tabs>
              <w:spacing w:before="120" w:after="120"/>
              <w:jc w:val="right"/>
              <w:rPr>
                <w:rFonts w:cs="Arial"/>
                <w:szCs w:val="22"/>
              </w:rPr>
            </w:pPr>
            <w:r>
              <w:rPr>
                <w:rFonts w:cs="Arial"/>
                <w:szCs w:val="22"/>
              </w:rPr>
              <w:t>2</w:t>
            </w:r>
            <w:r w:rsidR="00AD1989">
              <w:rPr>
                <w:rFonts w:cs="Arial"/>
                <w:szCs w:val="22"/>
              </w:rPr>
              <w:t>7</w:t>
            </w:r>
            <w:r>
              <w:rPr>
                <w:rFonts w:cs="Arial"/>
                <w:szCs w:val="22"/>
              </w:rPr>
              <w:t xml:space="preserve"> MARCH 2024</w:t>
            </w:r>
          </w:p>
        </w:tc>
      </w:tr>
      <w:tr w:rsidR="00A25AB4" w:rsidRPr="007811C6" w14:paraId="5ECDFF3A" w14:textId="77777777" w:rsidTr="00615F6B">
        <w:tc>
          <w:tcPr>
            <w:tcW w:w="4678" w:type="dxa"/>
          </w:tcPr>
          <w:p w14:paraId="1DF2AE9E" w14:textId="1FC539A4" w:rsidR="00A25AB4" w:rsidRPr="007811C6" w:rsidRDefault="00A25AB4" w:rsidP="00A25AB4">
            <w:pPr>
              <w:tabs>
                <w:tab w:val="right" w:pos="0"/>
                <w:tab w:val="left" w:pos="4253"/>
              </w:tabs>
              <w:spacing w:before="120" w:after="120"/>
              <w:rPr>
                <w:rFonts w:cs="Arial"/>
                <w:szCs w:val="22"/>
              </w:rPr>
            </w:pPr>
            <w:r w:rsidRPr="007811C6">
              <w:rPr>
                <w:rFonts w:cs="Arial"/>
                <w:szCs w:val="22"/>
              </w:rPr>
              <w:lastRenderedPageBreak/>
              <w:t>DATE OF JUDGMENT:</w:t>
            </w:r>
          </w:p>
        </w:tc>
        <w:tc>
          <w:tcPr>
            <w:tcW w:w="3935" w:type="dxa"/>
            <w:gridSpan w:val="2"/>
          </w:tcPr>
          <w:p w14:paraId="02219E99" w14:textId="34CDED3F" w:rsidR="00A25AB4" w:rsidRPr="007811C6" w:rsidRDefault="00E06F15" w:rsidP="00A25AB4">
            <w:pPr>
              <w:tabs>
                <w:tab w:val="right" w:pos="0"/>
                <w:tab w:val="left" w:pos="4253"/>
              </w:tabs>
              <w:spacing w:before="120" w:after="120"/>
              <w:jc w:val="right"/>
              <w:rPr>
                <w:rFonts w:cs="Arial"/>
                <w:szCs w:val="22"/>
              </w:rPr>
            </w:pPr>
            <w:r>
              <w:rPr>
                <w:rFonts w:cs="Arial"/>
                <w:szCs w:val="22"/>
              </w:rPr>
              <w:t>29</w:t>
            </w:r>
            <w:r w:rsidR="00044778">
              <w:rPr>
                <w:rFonts w:cs="Arial"/>
                <w:szCs w:val="22"/>
              </w:rPr>
              <w:t xml:space="preserve"> MARCH 2024</w:t>
            </w:r>
          </w:p>
        </w:tc>
      </w:tr>
    </w:tbl>
    <w:p w14:paraId="1BD8F4EB" w14:textId="5D75CEF0" w:rsidR="00A402F6" w:rsidRPr="007811C6" w:rsidRDefault="00A402F6" w:rsidP="008E2A22">
      <w:pPr>
        <w:widowControl w:val="0"/>
        <w:spacing w:before="480" w:after="480" w:line="360" w:lineRule="auto"/>
        <w:jc w:val="both"/>
        <w:rPr>
          <w:rFonts w:cs="Arial"/>
          <w:szCs w:val="22"/>
        </w:rPr>
      </w:pPr>
    </w:p>
    <w:sectPr w:rsidR="00A402F6" w:rsidRPr="007811C6" w:rsidSect="00CC47C7">
      <w:headerReference w:type="even" r:id="rId9"/>
      <w:headerReference w:type="default" r:id="rId10"/>
      <w:footerReference w:type="even" r:id="rId11"/>
      <w:footerReference w:type="default" r:id="rId12"/>
      <w:headerReference w:type="first" r:id="rId13"/>
      <w:footerReference w:type="first" r:id="rId14"/>
      <w:pgSz w:w="11906" w:h="16838"/>
      <w:pgMar w:top="1440" w:right="1558" w:bottom="1276"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44F102" w14:textId="77777777" w:rsidR="00CC47C7" w:rsidRPr="008E2A22" w:rsidRDefault="00CC47C7">
      <w:pPr>
        <w:rPr>
          <w:sz w:val="21"/>
          <w:szCs w:val="21"/>
        </w:rPr>
      </w:pPr>
      <w:r w:rsidRPr="008E2A22">
        <w:rPr>
          <w:sz w:val="21"/>
          <w:szCs w:val="21"/>
        </w:rPr>
        <w:separator/>
      </w:r>
    </w:p>
  </w:endnote>
  <w:endnote w:type="continuationSeparator" w:id="0">
    <w:p w14:paraId="58263B2E" w14:textId="77777777" w:rsidR="00CC47C7" w:rsidRPr="008E2A22" w:rsidRDefault="00CC47C7">
      <w:pPr>
        <w:rPr>
          <w:sz w:val="21"/>
          <w:szCs w:val="21"/>
        </w:rPr>
      </w:pPr>
      <w:r w:rsidRPr="008E2A22">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EE1B9C" w14:textId="77777777" w:rsidR="000151E5" w:rsidRDefault="000151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4CF760" w14:textId="77777777" w:rsidR="000151E5" w:rsidRDefault="000151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296CF0" w14:textId="77777777" w:rsidR="000151E5" w:rsidRDefault="000151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98C41D" w14:textId="77777777" w:rsidR="00CC47C7" w:rsidRPr="008E2A22" w:rsidRDefault="00CC47C7">
      <w:pPr>
        <w:rPr>
          <w:sz w:val="21"/>
          <w:szCs w:val="21"/>
        </w:rPr>
      </w:pPr>
      <w:r w:rsidRPr="008E2A22">
        <w:rPr>
          <w:sz w:val="21"/>
          <w:szCs w:val="21"/>
        </w:rPr>
        <w:separator/>
      </w:r>
    </w:p>
  </w:footnote>
  <w:footnote w:type="continuationSeparator" w:id="0">
    <w:p w14:paraId="5F632067" w14:textId="77777777" w:rsidR="00CC47C7" w:rsidRPr="008E2A22" w:rsidRDefault="00CC47C7">
      <w:pPr>
        <w:rPr>
          <w:sz w:val="21"/>
          <w:szCs w:val="21"/>
        </w:rPr>
      </w:pPr>
      <w:r w:rsidRPr="008E2A22">
        <w:rPr>
          <w:sz w:val="21"/>
          <w:szCs w:val="21"/>
        </w:rPr>
        <w:continuationSeparator/>
      </w:r>
    </w:p>
  </w:footnote>
  <w:footnote w:id="1">
    <w:p w14:paraId="450FFC97" w14:textId="65783A8D" w:rsidR="00B045B8" w:rsidRPr="00B045B8" w:rsidRDefault="00B045B8">
      <w:pPr>
        <w:pStyle w:val="FootnoteText"/>
        <w:rPr>
          <w:lang w:val="en-GB"/>
        </w:rPr>
      </w:pPr>
      <w:r>
        <w:rPr>
          <w:rStyle w:val="FootnoteReference"/>
        </w:rPr>
        <w:footnoteRef/>
      </w:r>
      <w:r>
        <w:t xml:space="preserve"> </w:t>
      </w:r>
      <w:r>
        <w:rPr>
          <w:lang w:val="en-GB"/>
        </w:rPr>
        <w:tab/>
        <w:t>See sections 16 (1) (b) and 17 (2) (d) of the Superior Courts Act 10 of 2013.</w:t>
      </w:r>
    </w:p>
  </w:footnote>
  <w:footnote w:id="2">
    <w:p w14:paraId="5881BE83" w14:textId="77777777" w:rsidR="00CF4A66" w:rsidRDefault="00CF4A66" w:rsidP="00CF4A66">
      <w:pPr>
        <w:pStyle w:val="FootnoteText"/>
      </w:pPr>
      <w:r>
        <w:rPr>
          <w:rStyle w:val="FootnoteReference"/>
        </w:rPr>
        <w:footnoteRef/>
      </w:r>
      <w:r>
        <w:t xml:space="preserve"> </w:t>
      </w:r>
      <w:r>
        <w:tab/>
      </w:r>
      <w:r w:rsidRPr="004764EE">
        <w:rPr>
          <w:rFonts w:cs="Arial"/>
          <w:i/>
          <w:iCs/>
          <w:color w:val="000000" w:themeColor="text1"/>
        </w:rPr>
        <w:t>Nelson Mandela Metropolitan Municipality v Greyvenouw CC </w:t>
      </w:r>
      <w:hyperlink r:id="rId1" w:anchor="y2004v2SApg81" w:history="1">
        <w:r w:rsidRPr="004764EE">
          <w:rPr>
            <w:rStyle w:val="Hyperlink"/>
            <w:rFonts w:cs="Arial"/>
            <w:color w:val="000000" w:themeColor="text1"/>
            <w:u w:val="none"/>
          </w:rPr>
          <w:t>2004 (2) SA 81 (SE)</w:t>
        </w:r>
      </w:hyperlink>
      <w:r w:rsidRPr="004764EE">
        <w:rPr>
          <w:rFonts w:cs="Arial"/>
          <w:color w:val="000000" w:themeColor="text1"/>
        </w:rPr>
        <w:t>  94C–D</w:t>
      </w:r>
      <w:r w:rsidRPr="004764EE">
        <w:rPr>
          <w:rFonts w:cs="Arial"/>
          <w:i/>
          <w:iCs/>
          <w:color w:val="000000" w:themeColor="text1"/>
        </w:rPr>
        <w:t>; Stock v Minister of Housing </w:t>
      </w:r>
      <w:hyperlink r:id="rId2" w:anchor="y2007v2SApg9" w:history="1">
        <w:r w:rsidRPr="004764EE">
          <w:rPr>
            <w:rStyle w:val="Hyperlink"/>
            <w:rFonts w:cs="Arial"/>
            <w:color w:val="000000" w:themeColor="text1"/>
            <w:u w:val="none"/>
          </w:rPr>
          <w:t>2007 (2) SA 9 (C)</w:t>
        </w:r>
      </w:hyperlink>
      <w:r w:rsidRPr="004764EE">
        <w:rPr>
          <w:rFonts w:cs="Arial"/>
          <w:color w:val="000000" w:themeColor="text1"/>
        </w:rPr>
        <w:t> 12I–13A</w:t>
      </w:r>
      <w:r w:rsidRPr="004764EE">
        <w:rPr>
          <w:rFonts w:cs="Arial"/>
          <w:i/>
          <w:iCs/>
          <w:color w:val="000000" w:themeColor="text1"/>
        </w:rPr>
        <w:t>; Kumah v Minister of Home Affairs </w:t>
      </w:r>
      <w:hyperlink r:id="rId3" w:anchor="y2018v2SApg510" w:history="1">
        <w:r w:rsidRPr="004764EE">
          <w:rPr>
            <w:rStyle w:val="Hyperlink"/>
            <w:rFonts w:cs="Arial"/>
            <w:color w:val="000000" w:themeColor="text1"/>
            <w:u w:val="none"/>
          </w:rPr>
          <w:t>2018 (2) SA 510 (GJ)</w:t>
        </w:r>
      </w:hyperlink>
      <w:r w:rsidRPr="004764EE">
        <w:rPr>
          <w:rFonts w:cs="Arial"/>
          <w:color w:val="000000" w:themeColor="text1"/>
        </w:rPr>
        <w:t>  511D–E</w:t>
      </w:r>
      <w:r>
        <w:rPr>
          <w:rFonts w:cs="Arial"/>
          <w:color w:val="000000" w:themeColor="text1"/>
        </w:rPr>
        <w:t>.</w:t>
      </w:r>
    </w:p>
  </w:footnote>
  <w:footnote w:id="3">
    <w:p w14:paraId="51874FBA" w14:textId="77777777" w:rsidR="003D2793" w:rsidRDefault="003D2793" w:rsidP="003D2793">
      <w:pPr>
        <w:pStyle w:val="FootnoteText"/>
      </w:pPr>
      <w:r>
        <w:rPr>
          <w:rStyle w:val="FootnoteReference"/>
        </w:rPr>
        <w:footnoteRef/>
      </w:r>
      <w:r>
        <w:t xml:space="preserve"> </w:t>
      </w:r>
      <w:r>
        <w:tab/>
      </w:r>
      <w:r w:rsidRPr="003D1CC9">
        <w:rPr>
          <w:i/>
          <w:iCs/>
        </w:rPr>
        <w:t>Transnet Ltd v Rubinstein</w:t>
      </w:r>
      <w:r>
        <w:t xml:space="preserve"> 2006 (1) SA 591 (SCA) paragraphs 21 to 33.</w:t>
      </w:r>
    </w:p>
  </w:footnote>
  <w:footnote w:id="4">
    <w:p w14:paraId="6807B657" w14:textId="4DCAB9C9" w:rsidR="00E201D9" w:rsidRPr="00E201D9" w:rsidRDefault="00E201D9">
      <w:pPr>
        <w:pStyle w:val="FootnoteText"/>
        <w:rPr>
          <w:lang w:val="en-GB"/>
        </w:rPr>
      </w:pPr>
      <w:r>
        <w:rPr>
          <w:rStyle w:val="FootnoteReference"/>
        </w:rPr>
        <w:footnoteRef/>
      </w:r>
      <w:r>
        <w:t xml:space="preserve"> </w:t>
      </w:r>
      <w:r>
        <w:tab/>
      </w:r>
      <w:r w:rsidRPr="00005344">
        <w:rPr>
          <w:i/>
          <w:iCs/>
        </w:rPr>
        <w:t>Republikeinse Publikasies (Edms) Bpk v Afrikaanse Pers Publikasies (Edms) Bpk</w:t>
      </w:r>
      <w:r>
        <w:t xml:space="preserve"> </w:t>
      </w:r>
      <w:r w:rsidRPr="00005344">
        <w:t>1972 (1) SA 773 (A)</w:t>
      </w:r>
      <w:r>
        <w:t xml:space="preserve">, </w:t>
      </w:r>
      <w:r w:rsidR="00C61526" w:rsidRPr="00D80925">
        <w:rPr>
          <w:i/>
          <w:iCs/>
        </w:rPr>
        <w:t xml:space="preserve">Luna Meubelvervaardigers (Edms) Bpk v Makin </w:t>
      </w:r>
      <w:r w:rsidR="00D80925" w:rsidRPr="00D80925">
        <w:rPr>
          <w:i/>
          <w:iCs/>
        </w:rPr>
        <w:t>and Another t/a Makin’s Furniture Manufacturers</w:t>
      </w:r>
      <w:r w:rsidR="00D80925">
        <w:t xml:space="preserve"> </w:t>
      </w:r>
      <w:r w:rsidR="00C61526">
        <w:t xml:space="preserve">1977 (4) SA 135 (W) </w:t>
      </w:r>
      <w:r w:rsidRPr="00005344">
        <w:rPr>
          <w:i/>
          <w:iCs/>
        </w:rPr>
        <w:t>East Rock Trading 7 (Pty) Ltd v Eagle Valley Granite (Pty) Ltd</w:t>
      </w:r>
      <w:r>
        <w:t xml:space="preserve"> </w:t>
      </w:r>
      <w:r w:rsidRPr="00005344">
        <w:t>2011 JDR 1832 (GSJ)</w:t>
      </w:r>
      <w:r>
        <w:t>,</w:t>
      </w:r>
      <w:r w:rsidR="00D80925">
        <w:t xml:space="preserve"> </w:t>
      </w:r>
      <w:r w:rsidR="00D80925" w:rsidRPr="00CC0E4A">
        <w:rPr>
          <w:i/>
          <w:iCs/>
        </w:rPr>
        <w:t>Siyakhula Sonke Empowerment Corporation (Pty) Ltd v Redpath Mining (South Africa) (Pty) Ltd and Others</w:t>
      </w:r>
      <w:r w:rsidR="00D80925">
        <w:t xml:space="preserve"> </w:t>
      </w:r>
      <w:r w:rsidR="00D80925" w:rsidRPr="0099203D">
        <w:t>2022 JDR 1148 (GJ)</w:t>
      </w:r>
      <w:r w:rsidR="00D80925">
        <w:t xml:space="preserve"> paras 7 and 8,</w:t>
      </w:r>
      <w:r>
        <w:t xml:space="preserve"> </w:t>
      </w:r>
      <w:r w:rsidR="00C61526" w:rsidRPr="00C61526">
        <w:rPr>
          <w:i/>
          <w:iCs/>
        </w:rPr>
        <w:t>Allmed Healthcare Professionals (Pty) Ltd v Gauteng Department of Health</w:t>
      </w:r>
      <w:r w:rsidR="00C61526">
        <w:t xml:space="preserve"> 2023 JDR 3410 (GJ), </w:t>
      </w:r>
      <w:r w:rsidRPr="00005344">
        <w:t xml:space="preserve">Van Loggerenberg Erasmus: </w:t>
      </w:r>
      <w:r w:rsidRPr="00005344">
        <w:rPr>
          <w:i/>
          <w:iCs/>
        </w:rPr>
        <w:t>Superior Court Practice</w:t>
      </w:r>
      <w:r w:rsidRPr="00005344">
        <w:t xml:space="preserve"> 2023</w:t>
      </w:r>
      <w:r>
        <w:t xml:space="preserve"> vol 2 D1 Rule 6-1.</w:t>
      </w:r>
    </w:p>
  </w:footnote>
  <w:footnote w:id="5">
    <w:p w14:paraId="3209C991" w14:textId="43561069" w:rsidR="009B48A7" w:rsidRDefault="009B48A7">
      <w:pPr>
        <w:pStyle w:val="FootnoteText"/>
      </w:pPr>
      <w:r>
        <w:rPr>
          <w:rStyle w:val="FootnoteReference"/>
        </w:rPr>
        <w:footnoteRef/>
      </w:r>
      <w:r>
        <w:t xml:space="preserve"> </w:t>
      </w:r>
      <w:r>
        <w:tab/>
      </w:r>
      <w:r w:rsidRPr="00B76F30">
        <w:rPr>
          <w:i/>
          <w:iCs/>
        </w:rPr>
        <w:t>Fakie NO v CCII Systems (Pty) Ltd</w:t>
      </w:r>
      <w:r>
        <w:t xml:space="preserve"> 2006 (4) SA 326 (SCA)</w:t>
      </w:r>
      <w:r w:rsidR="00B76F30">
        <w:t xml:space="preserve"> paras 6 to 42.</w:t>
      </w:r>
    </w:p>
  </w:footnote>
  <w:footnote w:id="6">
    <w:p w14:paraId="7D64BD0C" w14:textId="77777777" w:rsidR="003D2793" w:rsidRDefault="003D2793" w:rsidP="003D2793">
      <w:pPr>
        <w:pStyle w:val="FootnoteText"/>
      </w:pPr>
      <w:r>
        <w:rPr>
          <w:rStyle w:val="FootnoteReference"/>
        </w:rPr>
        <w:footnoteRef/>
      </w:r>
      <w:r>
        <w:t xml:space="preserve"> </w:t>
      </w:r>
      <w:r>
        <w:tab/>
        <w:t>Para 42.</w:t>
      </w:r>
    </w:p>
  </w:footnote>
  <w:footnote w:id="7">
    <w:p w14:paraId="6D60F022" w14:textId="437D1E28" w:rsidR="00F42D18" w:rsidRDefault="00F42D18">
      <w:pPr>
        <w:pStyle w:val="FootnoteText"/>
      </w:pPr>
      <w:r>
        <w:rPr>
          <w:rStyle w:val="FootnoteReference"/>
        </w:rPr>
        <w:footnoteRef/>
      </w:r>
      <w:r>
        <w:t xml:space="preserve"> </w:t>
      </w:r>
      <w:r>
        <w:tab/>
      </w:r>
      <w:r w:rsidRPr="00173DEB">
        <w:rPr>
          <w:i/>
          <w:iCs/>
        </w:rPr>
        <w:t>HEG Consulting Enterprises (Pty) Ltd and Others v Siegwart and Others</w:t>
      </w:r>
      <w:r>
        <w:t xml:space="preserve"> </w:t>
      </w:r>
      <w:r w:rsidRPr="00173DEB">
        <w:t>2000 (1) SA 507 (C)</w:t>
      </w:r>
      <w:r>
        <w:t xml:space="preserve"> 518H.</w:t>
      </w:r>
    </w:p>
  </w:footnote>
  <w:footnote w:id="8">
    <w:p w14:paraId="443D7FFE" w14:textId="77B73565" w:rsidR="00F42D18" w:rsidRDefault="00F42D18">
      <w:pPr>
        <w:pStyle w:val="FootnoteText"/>
      </w:pPr>
      <w:r>
        <w:rPr>
          <w:rStyle w:val="FootnoteReference"/>
        </w:rPr>
        <w:footnoteRef/>
      </w:r>
      <w:r>
        <w:t xml:space="preserve"> </w:t>
      </w:r>
      <w:r>
        <w:tab/>
        <w:t xml:space="preserve">See </w:t>
      </w:r>
      <w:r w:rsidRPr="001506CE">
        <w:rPr>
          <w:i/>
          <w:iCs/>
        </w:rPr>
        <w:t>Department of Transport and Others v Tasima (Pty) Ltd</w:t>
      </w:r>
      <w:r>
        <w:t xml:space="preserve"> </w:t>
      </w:r>
      <w:r w:rsidRPr="001506CE">
        <w:t>2017 (2) SA 622 (CC)</w:t>
      </w:r>
      <w:r>
        <w:t xml:space="preserve"> paras 178 to 182 and 198.</w:t>
      </w:r>
    </w:p>
  </w:footnote>
  <w:footnote w:id="9">
    <w:p w14:paraId="702EBCD7" w14:textId="45E951CD" w:rsidR="00015F98" w:rsidRPr="00015F98" w:rsidRDefault="00015F98">
      <w:pPr>
        <w:pStyle w:val="FootnoteText"/>
        <w:rPr>
          <w:lang w:val="en-GB"/>
        </w:rPr>
      </w:pPr>
      <w:r>
        <w:rPr>
          <w:rStyle w:val="FootnoteReference"/>
        </w:rPr>
        <w:footnoteRef/>
      </w:r>
      <w:r>
        <w:t xml:space="preserve"> </w:t>
      </w:r>
      <w:r>
        <w:tab/>
      </w:r>
      <w:r w:rsidRPr="00C35681">
        <w:rPr>
          <w:i/>
          <w:iCs/>
        </w:rPr>
        <w:t>CTP LTD and Others v Argus Holdings Ltd and Another</w:t>
      </w:r>
      <w:r>
        <w:t xml:space="preserve"> </w:t>
      </w:r>
      <w:r w:rsidRPr="004D0FDF">
        <w:t>1995 (4) SA 774 (A)</w:t>
      </w:r>
      <w:r>
        <w:t xml:space="preserve"> and </w:t>
      </w:r>
      <w:r w:rsidRPr="00C35681">
        <w:rPr>
          <w:i/>
          <w:iCs/>
        </w:rPr>
        <w:t>CTP Ltd and Others v Independent Newspapers Holdings Ltd</w:t>
      </w:r>
      <w:r>
        <w:t xml:space="preserve"> </w:t>
      </w:r>
      <w:r w:rsidRPr="00C35681">
        <w:t>1999 (1) SA 452 (W)</w:t>
      </w:r>
    </w:p>
  </w:footnote>
  <w:footnote w:id="10">
    <w:p w14:paraId="743C06C5" w14:textId="20277A48" w:rsidR="00F9624D" w:rsidRPr="00F9624D" w:rsidRDefault="00F9624D">
      <w:pPr>
        <w:pStyle w:val="FootnoteText"/>
        <w:rPr>
          <w:lang w:val="en-GB"/>
        </w:rPr>
      </w:pPr>
      <w:r>
        <w:rPr>
          <w:rStyle w:val="FootnoteReference"/>
        </w:rPr>
        <w:footnoteRef/>
      </w:r>
      <w:r>
        <w:t xml:space="preserve"> </w:t>
      </w:r>
      <w:r>
        <w:rPr>
          <w:lang w:val="en-GB"/>
        </w:rPr>
        <w:tab/>
        <w:t>465F-G.</w:t>
      </w:r>
    </w:p>
  </w:footnote>
  <w:footnote w:id="11">
    <w:p w14:paraId="35FB9B19" w14:textId="77777777" w:rsidR="00E73479" w:rsidRDefault="00E73479" w:rsidP="00E73479">
      <w:pPr>
        <w:pStyle w:val="FootnoteText"/>
      </w:pPr>
      <w:r>
        <w:rPr>
          <w:rStyle w:val="FootnoteReference"/>
        </w:rPr>
        <w:footnoteRef/>
      </w:r>
      <w:r>
        <w:t xml:space="preserve"> </w:t>
      </w:r>
      <w:r>
        <w:tab/>
        <w:t xml:space="preserve">See </w:t>
      </w:r>
      <w:r w:rsidRPr="00EC74DA">
        <w:rPr>
          <w:i/>
          <w:iCs/>
        </w:rPr>
        <w:t>MEC, Department of Public Works and Others v Ikamva Architects and Others</w:t>
      </w:r>
      <w:r>
        <w:t xml:space="preserve"> </w:t>
      </w:r>
      <w:r w:rsidRPr="00EC74DA">
        <w:t>2022 (6) SA 275 (ECB)</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7BA923" w14:textId="77777777" w:rsidR="000151E5" w:rsidRDefault="000151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C68A9B" w14:textId="6465CCB0" w:rsidR="00893C08" w:rsidRPr="008E2A22" w:rsidRDefault="00EF0D9E" w:rsidP="004B21D9">
    <w:pPr>
      <w:tabs>
        <w:tab w:val="center" w:pos="4153"/>
        <w:tab w:val="right" w:pos="8306"/>
      </w:tabs>
      <w:spacing w:line="276" w:lineRule="auto"/>
      <w:rPr>
        <w:rFonts w:cs="Arial"/>
        <w:sz w:val="19"/>
        <w:szCs w:val="19"/>
        <w:lang w:val="en-GB"/>
      </w:rPr>
    </w:pPr>
    <w:r>
      <w:rPr>
        <w:rFonts w:cs="Arial"/>
        <w:sz w:val="19"/>
        <w:szCs w:val="19"/>
        <w:lang w:val="en-GB"/>
      </w:rPr>
      <w:t>R</w:t>
    </w:r>
    <w:r w:rsidR="00893C08" w:rsidRPr="008E2A22">
      <w:rPr>
        <w:rFonts w:cs="Arial"/>
        <w:sz w:val="19"/>
        <w:szCs w:val="19"/>
        <w:lang w:val="en-GB"/>
      </w:rPr>
      <w:fldChar w:fldCharType="begin"/>
    </w:r>
    <w:r w:rsidR="00893C08" w:rsidRPr="008E2A22">
      <w:rPr>
        <w:rFonts w:cs="Arial"/>
        <w:sz w:val="19"/>
        <w:szCs w:val="19"/>
        <w:lang w:val="en-GB"/>
      </w:rPr>
      <w:instrText xml:space="preserve"> PAGE </w:instrText>
    </w:r>
    <w:r w:rsidR="00893C08" w:rsidRPr="008E2A22">
      <w:rPr>
        <w:rFonts w:cs="Arial"/>
        <w:sz w:val="19"/>
        <w:szCs w:val="19"/>
        <w:lang w:val="en-GB"/>
      </w:rPr>
      <w:fldChar w:fldCharType="separate"/>
    </w:r>
    <w:r w:rsidR="00B87764">
      <w:rPr>
        <w:rFonts w:cs="Arial"/>
        <w:noProof/>
        <w:sz w:val="19"/>
        <w:szCs w:val="19"/>
        <w:lang w:val="en-GB"/>
      </w:rPr>
      <w:t>2</w:t>
    </w:r>
    <w:r w:rsidR="00893C08" w:rsidRPr="008E2A22">
      <w:rPr>
        <w:rFonts w:cs="Arial"/>
        <w:sz w:val="19"/>
        <w:szCs w:val="19"/>
        <w:lang w:val="en-GB"/>
      </w:rPr>
      <w:fldChar w:fldCharType="end"/>
    </w:r>
  </w:p>
  <w:p w14:paraId="08C008E5" w14:textId="77777777" w:rsidR="00893C08" w:rsidRPr="008E2A22" w:rsidRDefault="00893C08" w:rsidP="006C43D7">
    <w:pPr>
      <w:tabs>
        <w:tab w:val="center" w:pos="4153"/>
        <w:tab w:val="right" w:pos="8306"/>
      </w:tabs>
      <w:spacing w:line="276" w:lineRule="auto"/>
      <w:jc w:val="right"/>
      <w:rPr>
        <w:rFonts w:cs="Arial"/>
        <w:sz w:val="21"/>
        <w:szCs w:val="21"/>
        <w:lang w:val="en-US"/>
      </w:rPr>
    </w:pPr>
  </w:p>
  <w:p w14:paraId="4A21EF97" w14:textId="77777777" w:rsidR="00893C08" w:rsidRPr="008E2A22" w:rsidRDefault="00893C08" w:rsidP="006C43D7">
    <w:pPr>
      <w:pStyle w:val="Header"/>
      <w:rPr>
        <w:sz w:val="21"/>
        <w:szCs w:val="2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59E035" w14:textId="77777777" w:rsidR="000151E5" w:rsidRDefault="000151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01149B"/>
    <w:multiLevelType w:val="multilevel"/>
    <w:tmpl w:val="BB262BC0"/>
    <w:lvl w:ilvl="0">
      <w:start w:val="1"/>
      <w:numFmt w:val="decimal"/>
      <w:lvlText w:val="%1."/>
      <w:lvlJc w:val="left"/>
      <w:pPr>
        <w:ind w:left="1701" w:hanging="567"/>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 w15:restartNumberingAfterBreak="0">
    <w:nsid w:val="0A0D50CD"/>
    <w:multiLevelType w:val="hybridMultilevel"/>
    <w:tmpl w:val="9DC04716"/>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3" w15:restartNumberingAfterBreak="0">
    <w:nsid w:val="1395632B"/>
    <w:multiLevelType w:val="multilevel"/>
    <w:tmpl w:val="18D4C7F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 w15:restartNumberingAfterBreak="0">
    <w:nsid w:val="14576F93"/>
    <w:multiLevelType w:val="hybridMultilevel"/>
    <w:tmpl w:val="64068F0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5DE0EEF"/>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8DD7D02"/>
    <w:multiLevelType w:val="multilevel"/>
    <w:tmpl w:val="DF0C55CC"/>
    <w:lvl w:ilvl="0">
      <w:start w:val="1"/>
      <w:numFmt w:val="decimal"/>
      <w:pStyle w:val="AFUaffidavitnumbering"/>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7" w15:restartNumberingAfterBreak="0">
    <w:nsid w:val="2F1317D2"/>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FFC1874"/>
    <w:multiLevelType w:val="multilevel"/>
    <w:tmpl w:val="1228ED04"/>
    <w:lvl w:ilvl="0">
      <w:start w:val="1"/>
      <w:numFmt w:val="decimal"/>
      <w:lvlText w:val="[%1]"/>
      <w:lvlJc w:val="left"/>
      <w:pPr>
        <w:tabs>
          <w:tab w:val="num" w:pos="567"/>
        </w:tabs>
        <w:ind w:left="0" w:firstLine="0"/>
      </w:pPr>
      <w:rPr>
        <w:rFonts w:hint="default"/>
        <w:b w:val="0"/>
        <w:i w:val="0"/>
        <w:color w:val="auto"/>
      </w:rPr>
    </w:lvl>
    <w:lvl w:ilvl="1">
      <w:start w:val="1"/>
      <w:numFmt w:val="decimal"/>
      <w:lvlText w:val="%1.%2"/>
      <w:lvlJc w:val="left"/>
      <w:pPr>
        <w:tabs>
          <w:tab w:val="num" w:pos="1418"/>
        </w:tabs>
        <w:ind w:left="1418" w:hanging="851"/>
      </w:pPr>
      <w:rPr>
        <w:rFonts w:hint="default"/>
        <w:b w:val="0"/>
        <w:color w:val="auto"/>
      </w:rPr>
    </w:lvl>
    <w:lvl w:ilvl="2">
      <w:start w:val="1"/>
      <w:numFmt w:val="decimal"/>
      <w:lvlText w:val="%1.%2.%3"/>
      <w:lvlJc w:val="left"/>
      <w:pPr>
        <w:tabs>
          <w:tab w:val="num" w:pos="2268"/>
        </w:tabs>
        <w:ind w:left="2268" w:hanging="850"/>
      </w:pPr>
      <w:rPr>
        <w:rFonts w:hint="default"/>
        <w:color w:val="auto"/>
      </w:rPr>
    </w:lvl>
    <w:lvl w:ilvl="3">
      <w:start w:val="1"/>
      <w:numFmt w:val="decimal"/>
      <w:lvlText w:val="%1.%2.%3.%4."/>
      <w:lvlJc w:val="left"/>
      <w:pPr>
        <w:tabs>
          <w:tab w:val="num" w:pos="3402"/>
        </w:tabs>
        <w:ind w:left="3402" w:hanging="1134"/>
      </w:pPr>
      <w:rPr>
        <w:rFonts w:hint="default"/>
      </w:rPr>
    </w:lvl>
    <w:lvl w:ilvl="4">
      <w:start w:val="1"/>
      <w:numFmt w:val="decimal"/>
      <w:lvlText w:val="%1.%2.%3.%4.%5."/>
      <w:lvlJc w:val="left"/>
      <w:pPr>
        <w:tabs>
          <w:tab w:val="num" w:pos="4820"/>
        </w:tabs>
        <w:ind w:left="4820" w:hanging="1418"/>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31263977"/>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1CA61CD"/>
    <w:multiLevelType w:val="multilevel"/>
    <w:tmpl w:val="3058E7CA"/>
    <w:lvl w:ilvl="0">
      <w:start w:val="1"/>
      <w:numFmt w:val="decimal"/>
      <w:lvlText w:val="%1."/>
      <w:lvlJc w:val="left"/>
      <w:pPr>
        <w:tabs>
          <w:tab w:val="num" w:pos="1701"/>
        </w:tabs>
        <w:ind w:left="1701" w:hanging="567"/>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1" w15:restartNumberingAfterBreak="0">
    <w:nsid w:val="384B5003"/>
    <w:multiLevelType w:val="multilevel"/>
    <w:tmpl w:val="BA7E0772"/>
    <w:lvl w:ilvl="0">
      <w:start w:val="8"/>
      <w:numFmt w:val="decimal"/>
      <w:lvlText w:val="%1"/>
      <w:lvlJc w:val="left"/>
      <w:pPr>
        <w:ind w:left="360" w:hanging="360"/>
      </w:pPr>
    </w:lvl>
    <w:lvl w:ilvl="1">
      <w:start w:val="1"/>
      <w:numFmt w:val="decimal"/>
      <w:lvlText w:val="%2."/>
      <w:lvlJc w:val="left"/>
      <w:pPr>
        <w:ind w:left="1440" w:hanging="360"/>
      </w:pPr>
      <w:rPr>
        <w:rFonts w:ascii="Arial" w:eastAsia="Times New Roman" w:hAnsi="Arial" w:cs="Arial"/>
        <w:b w:val="0"/>
      </w:rPr>
    </w:lvl>
    <w:lvl w:ilvl="2">
      <w:start w:val="1"/>
      <w:numFmt w:val="decimal"/>
      <w:lvlText w:val="%1.%2.%3"/>
      <w:lvlJc w:val="left"/>
      <w:pPr>
        <w:ind w:left="2880" w:hanging="720"/>
      </w:pPr>
      <w:rPr>
        <w:b w:val="0"/>
      </w:rPr>
    </w:lvl>
    <w:lvl w:ilvl="3">
      <w:start w:val="1"/>
      <w:numFmt w:val="decimal"/>
      <w:lvlText w:val="%1.%2.%3.%4"/>
      <w:lvlJc w:val="left"/>
      <w:pPr>
        <w:ind w:left="4320" w:hanging="1080"/>
      </w:pPr>
      <w:rPr>
        <w:b w:val="0"/>
      </w:r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7920" w:hanging="1440"/>
      </w:pPr>
    </w:lvl>
    <w:lvl w:ilvl="7">
      <w:start w:val="1"/>
      <w:numFmt w:val="decimal"/>
      <w:lvlText w:val="%1.%2.%3.%4.%5.%6.%7.%8"/>
      <w:lvlJc w:val="left"/>
      <w:pPr>
        <w:ind w:left="9360" w:hanging="1800"/>
      </w:pPr>
    </w:lvl>
    <w:lvl w:ilvl="8">
      <w:start w:val="1"/>
      <w:numFmt w:val="decimal"/>
      <w:lvlText w:val="%1.%2.%3.%4.%5.%6.%7.%8.%9"/>
      <w:lvlJc w:val="left"/>
      <w:pPr>
        <w:ind w:left="10440" w:hanging="1800"/>
      </w:pPr>
    </w:lvl>
  </w:abstractNum>
  <w:abstractNum w:abstractNumId="12" w15:restartNumberingAfterBreak="0">
    <w:nsid w:val="3F8F0C59"/>
    <w:multiLevelType w:val="hybridMultilevel"/>
    <w:tmpl w:val="FCCCA750"/>
    <w:lvl w:ilvl="0" w:tplc="F6887E70">
      <w:start w:val="1"/>
      <w:numFmt w:val="decimal"/>
      <w:lvlText w:val="%1."/>
      <w:lvlJc w:val="left"/>
      <w:pPr>
        <w:ind w:left="1650" w:hanging="564"/>
      </w:pPr>
      <w:rPr>
        <w:rFonts w:hint="default"/>
      </w:rPr>
    </w:lvl>
    <w:lvl w:ilvl="1" w:tplc="1C090019">
      <w:start w:val="1"/>
      <w:numFmt w:val="lowerLetter"/>
      <w:lvlText w:val="%2."/>
      <w:lvlJc w:val="left"/>
      <w:pPr>
        <w:ind w:left="2166" w:hanging="360"/>
      </w:pPr>
    </w:lvl>
    <w:lvl w:ilvl="2" w:tplc="1C09001B" w:tentative="1">
      <w:start w:val="1"/>
      <w:numFmt w:val="lowerRoman"/>
      <w:lvlText w:val="%3."/>
      <w:lvlJc w:val="right"/>
      <w:pPr>
        <w:ind w:left="2886" w:hanging="180"/>
      </w:pPr>
    </w:lvl>
    <w:lvl w:ilvl="3" w:tplc="1C09000F" w:tentative="1">
      <w:start w:val="1"/>
      <w:numFmt w:val="decimal"/>
      <w:lvlText w:val="%4."/>
      <w:lvlJc w:val="left"/>
      <w:pPr>
        <w:ind w:left="3606" w:hanging="360"/>
      </w:pPr>
    </w:lvl>
    <w:lvl w:ilvl="4" w:tplc="1C090019" w:tentative="1">
      <w:start w:val="1"/>
      <w:numFmt w:val="lowerLetter"/>
      <w:lvlText w:val="%5."/>
      <w:lvlJc w:val="left"/>
      <w:pPr>
        <w:ind w:left="4326" w:hanging="360"/>
      </w:pPr>
    </w:lvl>
    <w:lvl w:ilvl="5" w:tplc="1C09001B" w:tentative="1">
      <w:start w:val="1"/>
      <w:numFmt w:val="lowerRoman"/>
      <w:lvlText w:val="%6."/>
      <w:lvlJc w:val="right"/>
      <w:pPr>
        <w:ind w:left="5046" w:hanging="180"/>
      </w:pPr>
    </w:lvl>
    <w:lvl w:ilvl="6" w:tplc="1C09000F" w:tentative="1">
      <w:start w:val="1"/>
      <w:numFmt w:val="decimal"/>
      <w:lvlText w:val="%7."/>
      <w:lvlJc w:val="left"/>
      <w:pPr>
        <w:ind w:left="5766" w:hanging="360"/>
      </w:pPr>
    </w:lvl>
    <w:lvl w:ilvl="7" w:tplc="1C090019" w:tentative="1">
      <w:start w:val="1"/>
      <w:numFmt w:val="lowerLetter"/>
      <w:lvlText w:val="%8."/>
      <w:lvlJc w:val="left"/>
      <w:pPr>
        <w:ind w:left="6486" w:hanging="360"/>
      </w:pPr>
    </w:lvl>
    <w:lvl w:ilvl="8" w:tplc="1C09001B" w:tentative="1">
      <w:start w:val="1"/>
      <w:numFmt w:val="lowerRoman"/>
      <w:lvlText w:val="%9."/>
      <w:lvlJc w:val="right"/>
      <w:pPr>
        <w:ind w:left="7206" w:hanging="180"/>
      </w:pPr>
    </w:lvl>
  </w:abstractNum>
  <w:abstractNum w:abstractNumId="13" w15:restartNumberingAfterBreak="0">
    <w:nsid w:val="439C0D19"/>
    <w:multiLevelType w:val="multilevel"/>
    <w:tmpl w:val="1228ED04"/>
    <w:lvl w:ilvl="0">
      <w:start w:val="1"/>
      <w:numFmt w:val="decimal"/>
      <w:lvlText w:val="[%1]"/>
      <w:lvlJc w:val="left"/>
      <w:pPr>
        <w:tabs>
          <w:tab w:val="num" w:pos="567"/>
        </w:tabs>
        <w:ind w:left="0" w:firstLine="0"/>
      </w:pPr>
      <w:rPr>
        <w:rFonts w:hint="default"/>
        <w:b w:val="0"/>
        <w:i w:val="0"/>
        <w:color w:val="auto"/>
      </w:rPr>
    </w:lvl>
    <w:lvl w:ilvl="1">
      <w:start w:val="1"/>
      <w:numFmt w:val="decimal"/>
      <w:lvlText w:val="%1.%2"/>
      <w:lvlJc w:val="left"/>
      <w:pPr>
        <w:tabs>
          <w:tab w:val="num" w:pos="1418"/>
        </w:tabs>
        <w:ind w:left="1418" w:hanging="851"/>
      </w:pPr>
      <w:rPr>
        <w:rFonts w:hint="default"/>
        <w:b w:val="0"/>
        <w:color w:val="auto"/>
      </w:rPr>
    </w:lvl>
    <w:lvl w:ilvl="2">
      <w:start w:val="1"/>
      <w:numFmt w:val="decimal"/>
      <w:lvlText w:val="%1.%2.%3"/>
      <w:lvlJc w:val="left"/>
      <w:pPr>
        <w:tabs>
          <w:tab w:val="num" w:pos="2268"/>
        </w:tabs>
        <w:ind w:left="2268" w:hanging="850"/>
      </w:pPr>
      <w:rPr>
        <w:rFonts w:hint="default"/>
        <w:color w:val="auto"/>
      </w:rPr>
    </w:lvl>
    <w:lvl w:ilvl="3">
      <w:start w:val="1"/>
      <w:numFmt w:val="decimal"/>
      <w:lvlText w:val="%1.%2.%3.%4."/>
      <w:lvlJc w:val="left"/>
      <w:pPr>
        <w:tabs>
          <w:tab w:val="num" w:pos="3402"/>
        </w:tabs>
        <w:ind w:left="3402" w:hanging="1134"/>
      </w:pPr>
      <w:rPr>
        <w:rFonts w:hint="default"/>
      </w:rPr>
    </w:lvl>
    <w:lvl w:ilvl="4">
      <w:start w:val="1"/>
      <w:numFmt w:val="decimal"/>
      <w:lvlText w:val="%1.%2.%3.%4.%5."/>
      <w:lvlJc w:val="left"/>
      <w:pPr>
        <w:tabs>
          <w:tab w:val="num" w:pos="4820"/>
        </w:tabs>
        <w:ind w:left="4820" w:hanging="1418"/>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15:restartNumberingAfterBreak="0">
    <w:nsid w:val="462F3097"/>
    <w:multiLevelType w:val="multilevel"/>
    <w:tmpl w:val="B54A59FE"/>
    <w:lvl w:ilvl="0">
      <w:start w:val="1"/>
      <w:numFmt w:val="decimal"/>
      <w:lvlText w:val="%1."/>
      <w:lvlJc w:val="left"/>
      <w:pPr>
        <w:tabs>
          <w:tab w:val="num" w:pos="1701"/>
        </w:tabs>
        <w:ind w:left="1701" w:hanging="567"/>
      </w:pPr>
      <w:rPr>
        <w:rFonts w:hint="default"/>
      </w:rPr>
    </w:lvl>
    <w:lvl w:ilvl="1">
      <w:start w:val="1"/>
      <w:numFmt w:val="decimal"/>
      <w:lvlText w:val="%1.%2."/>
      <w:lvlJc w:val="left"/>
      <w:pPr>
        <w:tabs>
          <w:tab w:val="num" w:pos="2438"/>
        </w:tabs>
        <w:ind w:left="2438" w:hanging="73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9950EAD"/>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34C2701"/>
    <w:multiLevelType w:val="multilevel"/>
    <w:tmpl w:val="B54A59FE"/>
    <w:lvl w:ilvl="0">
      <w:start w:val="1"/>
      <w:numFmt w:val="decimal"/>
      <w:lvlText w:val="%1."/>
      <w:lvlJc w:val="left"/>
      <w:pPr>
        <w:tabs>
          <w:tab w:val="num" w:pos="1701"/>
        </w:tabs>
        <w:ind w:left="1701" w:hanging="567"/>
      </w:pPr>
      <w:rPr>
        <w:rFonts w:hint="default"/>
      </w:rPr>
    </w:lvl>
    <w:lvl w:ilvl="1">
      <w:start w:val="1"/>
      <w:numFmt w:val="decimal"/>
      <w:lvlText w:val="%1.%2."/>
      <w:lvlJc w:val="left"/>
      <w:pPr>
        <w:tabs>
          <w:tab w:val="num" w:pos="2438"/>
        </w:tabs>
        <w:ind w:left="2438" w:hanging="73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82A6AA7"/>
    <w:multiLevelType w:val="multilevel"/>
    <w:tmpl w:val="1228ED04"/>
    <w:lvl w:ilvl="0">
      <w:start w:val="1"/>
      <w:numFmt w:val="decimal"/>
      <w:lvlText w:val="[%1]"/>
      <w:lvlJc w:val="left"/>
      <w:pPr>
        <w:tabs>
          <w:tab w:val="num" w:pos="567"/>
        </w:tabs>
        <w:ind w:left="0" w:firstLine="0"/>
      </w:pPr>
      <w:rPr>
        <w:rFonts w:hint="default"/>
        <w:b w:val="0"/>
        <w:i w:val="0"/>
        <w:color w:val="auto"/>
      </w:rPr>
    </w:lvl>
    <w:lvl w:ilvl="1">
      <w:start w:val="1"/>
      <w:numFmt w:val="decimal"/>
      <w:lvlText w:val="%1.%2"/>
      <w:lvlJc w:val="left"/>
      <w:pPr>
        <w:tabs>
          <w:tab w:val="num" w:pos="1418"/>
        </w:tabs>
        <w:ind w:left="1418" w:hanging="851"/>
      </w:pPr>
      <w:rPr>
        <w:rFonts w:hint="default"/>
        <w:b w:val="0"/>
        <w:color w:val="auto"/>
      </w:rPr>
    </w:lvl>
    <w:lvl w:ilvl="2">
      <w:start w:val="1"/>
      <w:numFmt w:val="decimal"/>
      <w:lvlText w:val="%1.%2.%3"/>
      <w:lvlJc w:val="left"/>
      <w:pPr>
        <w:tabs>
          <w:tab w:val="num" w:pos="2268"/>
        </w:tabs>
        <w:ind w:left="2268" w:hanging="850"/>
      </w:pPr>
      <w:rPr>
        <w:rFonts w:hint="default"/>
        <w:color w:val="auto"/>
      </w:rPr>
    </w:lvl>
    <w:lvl w:ilvl="3">
      <w:start w:val="1"/>
      <w:numFmt w:val="decimal"/>
      <w:lvlText w:val="%1.%2.%3.%4."/>
      <w:lvlJc w:val="left"/>
      <w:pPr>
        <w:tabs>
          <w:tab w:val="num" w:pos="3402"/>
        </w:tabs>
        <w:ind w:left="3402" w:hanging="1134"/>
      </w:pPr>
      <w:rPr>
        <w:rFonts w:hint="default"/>
      </w:rPr>
    </w:lvl>
    <w:lvl w:ilvl="4">
      <w:start w:val="1"/>
      <w:numFmt w:val="decimal"/>
      <w:lvlText w:val="%1.%2.%3.%4.%5."/>
      <w:lvlJc w:val="left"/>
      <w:pPr>
        <w:tabs>
          <w:tab w:val="num" w:pos="4820"/>
        </w:tabs>
        <w:ind w:left="4820" w:hanging="1418"/>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15:restartNumberingAfterBreak="0">
    <w:nsid w:val="6900780E"/>
    <w:multiLevelType w:val="multilevel"/>
    <w:tmpl w:val="3058E7CA"/>
    <w:lvl w:ilvl="0">
      <w:start w:val="1"/>
      <w:numFmt w:val="decimal"/>
      <w:lvlText w:val="%1."/>
      <w:lvlJc w:val="left"/>
      <w:pPr>
        <w:tabs>
          <w:tab w:val="num" w:pos="1701"/>
        </w:tabs>
        <w:ind w:left="1701" w:hanging="567"/>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9" w15:restartNumberingAfterBreak="0">
    <w:nsid w:val="77EE27AA"/>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488089133">
    <w:abstractNumId w:val="8"/>
  </w:num>
  <w:num w:numId="2" w16cid:durableId="1345782307">
    <w:abstractNumId w:val="2"/>
  </w:num>
  <w:num w:numId="3" w16cid:durableId="387344756">
    <w:abstractNumId w:val="18"/>
  </w:num>
  <w:num w:numId="4" w16cid:durableId="811213315">
    <w:abstractNumId w:val="10"/>
  </w:num>
  <w:num w:numId="5" w16cid:durableId="462502779">
    <w:abstractNumId w:val="16"/>
  </w:num>
  <w:num w:numId="6" w16cid:durableId="1491940524">
    <w:abstractNumId w:val="14"/>
  </w:num>
  <w:num w:numId="7" w16cid:durableId="1100638551">
    <w:abstractNumId w:val="0"/>
  </w:num>
  <w:num w:numId="8" w16cid:durableId="1281574249">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26927299">
    <w:abstractNumId w:val="12"/>
  </w:num>
  <w:num w:numId="10" w16cid:durableId="1454596241">
    <w:abstractNumId w:val="3"/>
  </w:num>
  <w:num w:numId="11" w16cid:durableId="1958365558">
    <w:abstractNumId w:val="19"/>
  </w:num>
  <w:num w:numId="12" w16cid:durableId="320695700">
    <w:abstractNumId w:val="6"/>
    <w:lvlOverride w:ilvl="0">
      <w:lvl w:ilvl="0">
        <w:start w:val="1"/>
        <w:numFmt w:val="decimal"/>
        <w:pStyle w:val="AFUaffidavitnumbering"/>
        <w:lvlText w:val="%1"/>
        <w:lvlJc w:val="left"/>
        <w:pPr>
          <w:tabs>
            <w:tab w:val="num" w:pos="567"/>
          </w:tabs>
          <w:ind w:left="567" w:hanging="567"/>
        </w:pPr>
        <w:rPr>
          <w:rFonts w:hint="default"/>
        </w:rPr>
      </w:lvl>
    </w:lvlOverride>
    <w:lvlOverride w:ilvl="1">
      <w:lvl w:ilvl="1">
        <w:start w:val="1"/>
        <w:numFmt w:val="decimal"/>
        <w:lvlText w:val="%1.%2"/>
        <w:lvlJc w:val="left"/>
        <w:pPr>
          <w:tabs>
            <w:tab w:val="num" w:pos="1418"/>
          </w:tabs>
          <w:ind w:left="1418" w:hanging="851"/>
        </w:pPr>
        <w:rPr>
          <w:rFonts w:hint="default"/>
        </w:rPr>
      </w:lvl>
    </w:lvlOverride>
    <w:lvlOverride w:ilvl="2">
      <w:lvl w:ilvl="2">
        <w:start w:val="1"/>
        <w:numFmt w:val="decimal"/>
        <w:lvlText w:val="%1.%2.%3"/>
        <w:lvlJc w:val="left"/>
        <w:pPr>
          <w:tabs>
            <w:tab w:val="num" w:pos="2268"/>
          </w:tabs>
          <w:ind w:left="2268" w:hanging="850"/>
        </w:pPr>
        <w:rPr>
          <w:rFonts w:hint="default"/>
          <w:b w:val="0"/>
        </w:rPr>
      </w:lvl>
    </w:lvlOverride>
    <w:lvlOverride w:ilvl="3">
      <w:lvl w:ilvl="3">
        <w:start w:val="1"/>
        <w:numFmt w:val="decimal"/>
        <w:lvlText w:val="%1.%2.%3.%4"/>
        <w:lvlJc w:val="left"/>
        <w:pPr>
          <w:tabs>
            <w:tab w:val="num" w:pos="141"/>
          </w:tabs>
          <w:ind w:left="2409" w:hanging="567"/>
        </w:pPr>
        <w:rPr>
          <w:rFonts w:hint="default"/>
          <w:b w:val="0"/>
        </w:rPr>
      </w:lvl>
    </w:lvlOverride>
    <w:lvlOverride w:ilvl="4">
      <w:lvl w:ilvl="4">
        <w:start w:val="1"/>
        <w:numFmt w:val="decimal"/>
        <w:lvlText w:val="%1.%2.%3.%4.%5."/>
        <w:lvlJc w:val="left"/>
        <w:pPr>
          <w:tabs>
            <w:tab w:val="num" w:pos="0"/>
          </w:tabs>
          <w:ind w:left="2835" w:hanging="567"/>
        </w:pPr>
        <w:rPr>
          <w:rFonts w:hint="default"/>
        </w:rPr>
      </w:lvl>
    </w:lvlOverride>
    <w:lvlOverride w:ilvl="5">
      <w:lvl w:ilvl="5">
        <w:start w:val="1"/>
        <w:numFmt w:val="decimal"/>
        <w:lvlText w:val="%1.%2.%3.%4.%5.%6."/>
        <w:lvlJc w:val="left"/>
        <w:pPr>
          <w:tabs>
            <w:tab w:val="num" w:pos="0"/>
          </w:tabs>
          <w:ind w:left="3402" w:hanging="567"/>
        </w:pPr>
        <w:rPr>
          <w:rFonts w:hint="default"/>
        </w:rPr>
      </w:lvl>
    </w:lvlOverride>
    <w:lvlOverride w:ilvl="6">
      <w:lvl w:ilvl="6">
        <w:start w:val="1"/>
        <w:numFmt w:val="decimal"/>
        <w:lvlText w:val="%1.%2.%3.%4.%5.%6.%7."/>
        <w:lvlJc w:val="left"/>
        <w:pPr>
          <w:tabs>
            <w:tab w:val="num" w:pos="0"/>
          </w:tabs>
          <w:ind w:left="3969" w:hanging="567"/>
        </w:pPr>
        <w:rPr>
          <w:rFonts w:hint="default"/>
        </w:rPr>
      </w:lvl>
    </w:lvlOverride>
    <w:lvlOverride w:ilvl="7">
      <w:lvl w:ilvl="7">
        <w:start w:val="1"/>
        <w:numFmt w:val="decimal"/>
        <w:lvlText w:val="%1.%2.%3.%4.%5.%6.%7.%8."/>
        <w:lvlJc w:val="left"/>
        <w:pPr>
          <w:tabs>
            <w:tab w:val="num" w:pos="0"/>
          </w:tabs>
          <w:ind w:left="4536" w:hanging="567"/>
        </w:pPr>
        <w:rPr>
          <w:rFonts w:hint="default"/>
        </w:rPr>
      </w:lvl>
    </w:lvlOverride>
    <w:lvlOverride w:ilvl="8">
      <w:lvl w:ilvl="8">
        <w:start w:val="1"/>
        <w:numFmt w:val="decimal"/>
        <w:lvlText w:val="%1.%2.%3.%4.%5.%6.%7.%8.%9."/>
        <w:lvlJc w:val="left"/>
        <w:pPr>
          <w:tabs>
            <w:tab w:val="num" w:pos="0"/>
          </w:tabs>
          <w:ind w:left="5103" w:hanging="567"/>
        </w:pPr>
        <w:rPr>
          <w:rFonts w:hint="default"/>
        </w:rPr>
      </w:lvl>
    </w:lvlOverride>
  </w:num>
  <w:num w:numId="13" w16cid:durableId="514618800">
    <w:abstractNumId w:val="15"/>
  </w:num>
  <w:num w:numId="14" w16cid:durableId="1830825481">
    <w:abstractNumId w:val="13"/>
  </w:num>
  <w:num w:numId="15" w16cid:durableId="82000608">
    <w:abstractNumId w:val="5"/>
  </w:num>
  <w:num w:numId="16" w16cid:durableId="1962684187">
    <w:abstractNumId w:val="9"/>
  </w:num>
  <w:num w:numId="17" w16cid:durableId="2031644493">
    <w:abstractNumId w:val="4"/>
  </w:num>
  <w:num w:numId="18" w16cid:durableId="1971280731">
    <w:abstractNumId w:val="1"/>
  </w:num>
  <w:num w:numId="19" w16cid:durableId="1586183560">
    <w:abstractNumId w:val="17"/>
  </w:num>
  <w:num w:numId="20" w16cid:durableId="19429524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doNotDisplayPageBoundaries/>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M1Njc1NzC1NDawMLVQ0lEKTi0uzszPAykwrAUAXLMJJCwAAAA="/>
    <w:docVar w:name="dgnword-docGUID" w:val="{08082843-E69B-45C0-8CFB-5354001371B4}"/>
    <w:docVar w:name="dgnword-eventsink" w:val="2161304470976"/>
  </w:docVars>
  <w:rsids>
    <w:rsidRoot w:val="00C676F3"/>
    <w:rsid w:val="000004A3"/>
    <w:rsid w:val="00000AFE"/>
    <w:rsid w:val="00001138"/>
    <w:rsid w:val="000019D2"/>
    <w:rsid w:val="000045DF"/>
    <w:rsid w:val="00005CDD"/>
    <w:rsid w:val="00006113"/>
    <w:rsid w:val="0001111B"/>
    <w:rsid w:val="0001140A"/>
    <w:rsid w:val="00011522"/>
    <w:rsid w:val="00013B7F"/>
    <w:rsid w:val="00013F00"/>
    <w:rsid w:val="000151E5"/>
    <w:rsid w:val="0001593E"/>
    <w:rsid w:val="00015D74"/>
    <w:rsid w:val="00015F98"/>
    <w:rsid w:val="00022ACD"/>
    <w:rsid w:val="00024A29"/>
    <w:rsid w:val="00025815"/>
    <w:rsid w:val="000262B3"/>
    <w:rsid w:val="000264AE"/>
    <w:rsid w:val="00026A26"/>
    <w:rsid w:val="00026D9A"/>
    <w:rsid w:val="00027D19"/>
    <w:rsid w:val="00030A89"/>
    <w:rsid w:val="000319AA"/>
    <w:rsid w:val="000325E2"/>
    <w:rsid w:val="00036508"/>
    <w:rsid w:val="00040CD3"/>
    <w:rsid w:val="000426C0"/>
    <w:rsid w:val="00042D0E"/>
    <w:rsid w:val="00044778"/>
    <w:rsid w:val="0004506F"/>
    <w:rsid w:val="0004508D"/>
    <w:rsid w:val="00045D03"/>
    <w:rsid w:val="00047F26"/>
    <w:rsid w:val="00050086"/>
    <w:rsid w:val="000504F1"/>
    <w:rsid w:val="00051A2B"/>
    <w:rsid w:val="0005282E"/>
    <w:rsid w:val="000528B3"/>
    <w:rsid w:val="000550EB"/>
    <w:rsid w:val="000554B8"/>
    <w:rsid w:val="0005636C"/>
    <w:rsid w:val="00060AF8"/>
    <w:rsid w:val="00063F7B"/>
    <w:rsid w:val="00066915"/>
    <w:rsid w:val="00066971"/>
    <w:rsid w:val="00072105"/>
    <w:rsid w:val="000737E1"/>
    <w:rsid w:val="00073E30"/>
    <w:rsid w:val="00077B2B"/>
    <w:rsid w:val="00077D11"/>
    <w:rsid w:val="000809A3"/>
    <w:rsid w:val="00081716"/>
    <w:rsid w:val="00082EDC"/>
    <w:rsid w:val="000833BB"/>
    <w:rsid w:val="000835BE"/>
    <w:rsid w:val="00085288"/>
    <w:rsid w:val="00087AE6"/>
    <w:rsid w:val="000906B5"/>
    <w:rsid w:val="00090FFC"/>
    <w:rsid w:val="00092591"/>
    <w:rsid w:val="00093237"/>
    <w:rsid w:val="0009429D"/>
    <w:rsid w:val="0009488C"/>
    <w:rsid w:val="0009540B"/>
    <w:rsid w:val="000956E5"/>
    <w:rsid w:val="00096A67"/>
    <w:rsid w:val="000976D2"/>
    <w:rsid w:val="00097968"/>
    <w:rsid w:val="000A0D65"/>
    <w:rsid w:val="000A6AD8"/>
    <w:rsid w:val="000A6EA3"/>
    <w:rsid w:val="000B0116"/>
    <w:rsid w:val="000B0A70"/>
    <w:rsid w:val="000B2102"/>
    <w:rsid w:val="000B21DA"/>
    <w:rsid w:val="000B39D7"/>
    <w:rsid w:val="000C7A3D"/>
    <w:rsid w:val="000C7E41"/>
    <w:rsid w:val="000D01E0"/>
    <w:rsid w:val="000D21E7"/>
    <w:rsid w:val="000D2265"/>
    <w:rsid w:val="000D415C"/>
    <w:rsid w:val="000D4E84"/>
    <w:rsid w:val="000D53F5"/>
    <w:rsid w:val="000D5760"/>
    <w:rsid w:val="000D71C5"/>
    <w:rsid w:val="000D7D6A"/>
    <w:rsid w:val="000E1EC8"/>
    <w:rsid w:val="000E2EAC"/>
    <w:rsid w:val="000E3EE8"/>
    <w:rsid w:val="000E4985"/>
    <w:rsid w:val="000E5343"/>
    <w:rsid w:val="000F00EF"/>
    <w:rsid w:val="000F3298"/>
    <w:rsid w:val="000F430D"/>
    <w:rsid w:val="000F59F8"/>
    <w:rsid w:val="000F7813"/>
    <w:rsid w:val="00101890"/>
    <w:rsid w:val="001025B5"/>
    <w:rsid w:val="00104142"/>
    <w:rsid w:val="001053D6"/>
    <w:rsid w:val="00105F97"/>
    <w:rsid w:val="00107D26"/>
    <w:rsid w:val="00107D90"/>
    <w:rsid w:val="001114D8"/>
    <w:rsid w:val="001142D1"/>
    <w:rsid w:val="00117679"/>
    <w:rsid w:val="00120C79"/>
    <w:rsid w:val="00120FB1"/>
    <w:rsid w:val="00124ED2"/>
    <w:rsid w:val="00130253"/>
    <w:rsid w:val="001305E0"/>
    <w:rsid w:val="00130C4A"/>
    <w:rsid w:val="00133E81"/>
    <w:rsid w:val="001342B3"/>
    <w:rsid w:val="00140454"/>
    <w:rsid w:val="00140CED"/>
    <w:rsid w:val="00141595"/>
    <w:rsid w:val="00141AD1"/>
    <w:rsid w:val="00143E7B"/>
    <w:rsid w:val="0014628D"/>
    <w:rsid w:val="00146AFF"/>
    <w:rsid w:val="00147FF5"/>
    <w:rsid w:val="00151DA9"/>
    <w:rsid w:val="0015238F"/>
    <w:rsid w:val="00152899"/>
    <w:rsid w:val="0015477E"/>
    <w:rsid w:val="00154961"/>
    <w:rsid w:val="00155A21"/>
    <w:rsid w:val="00155DAB"/>
    <w:rsid w:val="00156C9E"/>
    <w:rsid w:val="0015748A"/>
    <w:rsid w:val="00161057"/>
    <w:rsid w:val="00161392"/>
    <w:rsid w:val="00161436"/>
    <w:rsid w:val="0016589D"/>
    <w:rsid w:val="001671C1"/>
    <w:rsid w:val="0016738D"/>
    <w:rsid w:val="00171182"/>
    <w:rsid w:val="0017124B"/>
    <w:rsid w:val="00171D7F"/>
    <w:rsid w:val="00172763"/>
    <w:rsid w:val="00172DDF"/>
    <w:rsid w:val="00173B8E"/>
    <w:rsid w:val="00175DDD"/>
    <w:rsid w:val="00177C70"/>
    <w:rsid w:val="001802F8"/>
    <w:rsid w:val="00180CB6"/>
    <w:rsid w:val="00182F3E"/>
    <w:rsid w:val="001838CC"/>
    <w:rsid w:val="00183EB6"/>
    <w:rsid w:val="0018483D"/>
    <w:rsid w:val="00185ACF"/>
    <w:rsid w:val="00187BEB"/>
    <w:rsid w:val="00190579"/>
    <w:rsid w:val="00190F4E"/>
    <w:rsid w:val="001916C4"/>
    <w:rsid w:val="00191D41"/>
    <w:rsid w:val="0019236B"/>
    <w:rsid w:val="001923E3"/>
    <w:rsid w:val="00192613"/>
    <w:rsid w:val="00192F78"/>
    <w:rsid w:val="00193DDD"/>
    <w:rsid w:val="00195810"/>
    <w:rsid w:val="001966E8"/>
    <w:rsid w:val="00196E14"/>
    <w:rsid w:val="001A2608"/>
    <w:rsid w:val="001A5145"/>
    <w:rsid w:val="001A522A"/>
    <w:rsid w:val="001A7904"/>
    <w:rsid w:val="001B1550"/>
    <w:rsid w:val="001B1D39"/>
    <w:rsid w:val="001B35C2"/>
    <w:rsid w:val="001B4217"/>
    <w:rsid w:val="001B47D8"/>
    <w:rsid w:val="001B4812"/>
    <w:rsid w:val="001B4893"/>
    <w:rsid w:val="001B5D3E"/>
    <w:rsid w:val="001B5E58"/>
    <w:rsid w:val="001B606B"/>
    <w:rsid w:val="001B7889"/>
    <w:rsid w:val="001C0755"/>
    <w:rsid w:val="001C0C80"/>
    <w:rsid w:val="001C1F29"/>
    <w:rsid w:val="001C2233"/>
    <w:rsid w:val="001C2371"/>
    <w:rsid w:val="001C33E6"/>
    <w:rsid w:val="001C608F"/>
    <w:rsid w:val="001C7048"/>
    <w:rsid w:val="001D3CC2"/>
    <w:rsid w:val="001D46A3"/>
    <w:rsid w:val="001E0529"/>
    <w:rsid w:val="001E2EED"/>
    <w:rsid w:val="001E44D1"/>
    <w:rsid w:val="001E4691"/>
    <w:rsid w:val="001E518E"/>
    <w:rsid w:val="001F014C"/>
    <w:rsid w:val="001F09D1"/>
    <w:rsid w:val="001F0A29"/>
    <w:rsid w:val="001F0CE5"/>
    <w:rsid w:val="001F361F"/>
    <w:rsid w:val="001F3DBD"/>
    <w:rsid w:val="001F53E8"/>
    <w:rsid w:val="001F6466"/>
    <w:rsid w:val="001F648A"/>
    <w:rsid w:val="001F6F43"/>
    <w:rsid w:val="00200B96"/>
    <w:rsid w:val="00201620"/>
    <w:rsid w:val="00203DA2"/>
    <w:rsid w:val="0020474A"/>
    <w:rsid w:val="00205392"/>
    <w:rsid w:val="00205E72"/>
    <w:rsid w:val="00206919"/>
    <w:rsid w:val="002104BF"/>
    <w:rsid w:val="002108B6"/>
    <w:rsid w:val="00211F49"/>
    <w:rsid w:val="00213738"/>
    <w:rsid w:val="00213F3E"/>
    <w:rsid w:val="00214877"/>
    <w:rsid w:val="00215824"/>
    <w:rsid w:val="00216BC8"/>
    <w:rsid w:val="002175BA"/>
    <w:rsid w:val="002200DC"/>
    <w:rsid w:val="0022218D"/>
    <w:rsid w:val="00226926"/>
    <w:rsid w:val="002302E3"/>
    <w:rsid w:val="00232528"/>
    <w:rsid w:val="0023405C"/>
    <w:rsid w:val="00235D20"/>
    <w:rsid w:val="00236E47"/>
    <w:rsid w:val="0023711D"/>
    <w:rsid w:val="002374DF"/>
    <w:rsid w:val="00237806"/>
    <w:rsid w:val="00237FF9"/>
    <w:rsid w:val="0024012B"/>
    <w:rsid w:val="002424F3"/>
    <w:rsid w:val="00243D2F"/>
    <w:rsid w:val="00244FB9"/>
    <w:rsid w:val="00250164"/>
    <w:rsid w:val="002507AA"/>
    <w:rsid w:val="00251668"/>
    <w:rsid w:val="002535F0"/>
    <w:rsid w:val="00253F38"/>
    <w:rsid w:val="00253F72"/>
    <w:rsid w:val="002549D2"/>
    <w:rsid w:val="00260B0A"/>
    <w:rsid w:val="002625C5"/>
    <w:rsid w:val="00262819"/>
    <w:rsid w:val="00263A96"/>
    <w:rsid w:val="00270557"/>
    <w:rsid w:val="002709AE"/>
    <w:rsid w:val="00271246"/>
    <w:rsid w:val="00272B77"/>
    <w:rsid w:val="0027600C"/>
    <w:rsid w:val="00277491"/>
    <w:rsid w:val="00277B78"/>
    <w:rsid w:val="00285040"/>
    <w:rsid w:val="00285062"/>
    <w:rsid w:val="0029196F"/>
    <w:rsid w:val="00292E3E"/>
    <w:rsid w:val="00293463"/>
    <w:rsid w:val="0029369B"/>
    <w:rsid w:val="00293C02"/>
    <w:rsid w:val="0029605B"/>
    <w:rsid w:val="00296DAF"/>
    <w:rsid w:val="002976B8"/>
    <w:rsid w:val="002A030C"/>
    <w:rsid w:val="002A4B7B"/>
    <w:rsid w:val="002B0355"/>
    <w:rsid w:val="002B05EA"/>
    <w:rsid w:val="002B12D6"/>
    <w:rsid w:val="002B463F"/>
    <w:rsid w:val="002B528D"/>
    <w:rsid w:val="002B782F"/>
    <w:rsid w:val="002C15AC"/>
    <w:rsid w:val="002C2E80"/>
    <w:rsid w:val="002C4687"/>
    <w:rsid w:val="002C48E7"/>
    <w:rsid w:val="002C4B84"/>
    <w:rsid w:val="002C4EF0"/>
    <w:rsid w:val="002D1EC7"/>
    <w:rsid w:val="002D2842"/>
    <w:rsid w:val="002D47B3"/>
    <w:rsid w:val="002E0E37"/>
    <w:rsid w:val="002E2648"/>
    <w:rsid w:val="002E2901"/>
    <w:rsid w:val="002E3586"/>
    <w:rsid w:val="002E5B57"/>
    <w:rsid w:val="002E612C"/>
    <w:rsid w:val="002E6CCA"/>
    <w:rsid w:val="002E6CD7"/>
    <w:rsid w:val="002E704D"/>
    <w:rsid w:val="002F1C4D"/>
    <w:rsid w:val="002F2881"/>
    <w:rsid w:val="002F41F8"/>
    <w:rsid w:val="002F4A5D"/>
    <w:rsid w:val="002F508A"/>
    <w:rsid w:val="002F72D3"/>
    <w:rsid w:val="002F774A"/>
    <w:rsid w:val="003014D9"/>
    <w:rsid w:val="00301F05"/>
    <w:rsid w:val="00302290"/>
    <w:rsid w:val="003023F9"/>
    <w:rsid w:val="00302C31"/>
    <w:rsid w:val="003031A1"/>
    <w:rsid w:val="00303919"/>
    <w:rsid w:val="00304705"/>
    <w:rsid w:val="003047C2"/>
    <w:rsid w:val="0030653F"/>
    <w:rsid w:val="00306B41"/>
    <w:rsid w:val="00307200"/>
    <w:rsid w:val="003102C8"/>
    <w:rsid w:val="0031117B"/>
    <w:rsid w:val="00312EBC"/>
    <w:rsid w:val="00313056"/>
    <w:rsid w:val="00315B17"/>
    <w:rsid w:val="00321DF8"/>
    <w:rsid w:val="00323058"/>
    <w:rsid w:val="00324EDF"/>
    <w:rsid w:val="003312BF"/>
    <w:rsid w:val="003313A2"/>
    <w:rsid w:val="00335170"/>
    <w:rsid w:val="00337135"/>
    <w:rsid w:val="0034147B"/>
    <w:rsid w:val="00342E02"/>
    <w:rsid w:val="003448B1"/>
    <w:rsid w:val="003463D6"/>
    <w:rsid w:val="00346D31"/>
    <w:rsid w:val="00346DE6"/>
    <w:rsid w:val="00347E19"/>
    <w:rsid w:val="0035170A"/>
    <w:rsid w:val="003541F6"/>
    <w:rsid w:val="00354395"/>
    <w:rsid w:val="003543C5"/>
    <w:rsid w:val="00354EF2"/>
    <w:rsid w:val="00355BEB"/>
    <w:rsid w:val="00357081"/>
    <w:rsid w:val="00357D35"/>
    <w:rsid w:val="00360253"/>
    <w:rsid w:val="0036253D"/>
    <w:rsid w:val="00363FCD"/>
    <w:rsid w:val="00364C43"/>
    <w:rsid w:val="00364E6A"/>
    <w:rsid w:val="00364E80"/>
    <w:rsid w:val="003653FF"/>
    <w:rsid w:val="00365FEF"/>
    <w:rsid w:val="00366937"/>
    <w:rsid w:val="00366E5C"/>
    <w:rsid w:val="003676CF"/>
    <w:rsid w:val="00367720"/>
    <w:rsid w:val="00367778"/>
    <w:rsid w:val="0037029D"/>
    <w:rsid w:val="00371332"/>
    <w:rsid w:val="00372A48"/>
    <w:rsid w:val="00373181"/>
    <w:rsid w:val="00375E93"/>
    <w:rsid w:val="003761BD"/>
    <w:rsid w:val="00377123"/>
    <w:rsid w:val="00377CD6"/>
    <w:rsid w:val="00380919"/>
    <w:rsid w:val="00381213"/>
    <w:rsid w:val="0038325B"/>
    <w:rsid w:val="003832F7"/>
    <w:rsid w:val="00383EAF"/>
    <w:rsid w:val="003840EC"/>
    <w:rsid w:val="00384770"/>
    <w:rsid w:val="00385DBA"/>
    <w:rsid w:val="00386938"/>
    <w:rsid w:val="0038715A"/>
    <w:rsid w:val="00390C3F"/>
    <w:rsid w:val="00393127"/>
    <w:rsid w:val="003940DD"/>
    <w:rsid w:val="00394A1A"/>
    <w:rsid w:val="00395873"/>
    <w:rsid w:val="003959D1"/>
    <w:rsid w:val="003A1D18"/>
    <w:rsid w:val="003A62CC"/>
    <w:rsid w:val="003A649B"/>
    <w:rsid w:val="003A7864"/>
    <w:rsid w:val="003A7CA2"/>
    <w:rsid w:val="003B0559"/>
    <w:rsid w:val="003B0845"/>
    <w:rsid w:val="003B0C56"/>
    <w:rsid w:val="003B11F4"/>
    <w:rsid w:val="003B1882"/>
    <w:rsid w:val="003B4100"/>
    <w:rsid w:val="003B6C02"/>
    <w:rsid w:val="003B75AD"/>
    <w:rsid w:val="003C067B"/>
    <w:rsid w:val="003C0ED8"/>
    <w:rsid w:val="003C1488"/>
    <w:rsid w:val="003C1A16"/>
    <w:rsid w:val="003C1E91"/>
    <w:rsid w:val="003C5536"/>
    <w:rsid w:val="003C6F49"/>
    <w:rsid w:val="003C7FCC"/>
    <w:rsid w:val="003D1202"/>
    <w:rsid w:val="003D19C3"/>
    <w:rsid w:val="003D1CC9"/>
    <w:rsid w:val="003D2793"/>
    <w:rsid w:val="003D36F9"/>
    <w:rsid w:val="003D77F1"/>
    <w:rsid w:val="003D7970"/>
    <w:rsid w:val="003E0159"/>
    <w:rsid w:val="003E449A"/>
    <w:rsid w:val="003E4A33"/>
    <w:rsid w:val="003E54E1"/>
    <w:rsid w:val="003E724B"/>
    <w:rsid w:val="003E7A60"/>
    <w:rsid w:val="003F1F49"/>
    <w:rsid w:val="003F23F0"/>
    <w:rsid w:val="003F44F4"/>
    <w:rsid w:val="003F4801"/>
    <w:rsid w:val="003F7448"/>
    <w:rsid w:val="0040197A"/>
    <w:rsid w:val="00404A52"/>
    <w:rsid w:val="004066F9"/>
    <w:rsid w:val="00407B85"/>
    <w:rsid w:val="00407F28"/>
    <w:rsid w:val="00410BA9"/>
    <w:rsid w:val="0041100A"/>
    <w:rsid w:val="0041262D"/>
    <w:rsid w:val="004131C5"/>
    <w:rsid w:val="0041363D"/>
    <w:rsid w:val="00413D9B"/>
    <w:rsid w:val="00415439"/>
    <w:rsid w:val="0042161A"/>
    <w:rsid w:val="0042423E"/>
    <w:rsid w:val="00424BA6"/>
    <w:rsid w:val="004274E7"/>
    <w:rsid w:val="00430142"/>
    <w:rsid w:val="00430B04"/>
    <w:rsid w:val="00431ABD"/>
    <w:rsid w:val="004339E6"/>
    <w:rsid w:val="00434055"/>
    <w:rsid w:val="00434796"/>
    <w:rsid w:val="0043683A"/>
    <w:rsid w:val="00437EB1"/>
    <w:rsid w:val="00437EB4"/>
    <w:rsid w:val="00441422"/>
    <w:rsid w:val="00444ED6"/>
    <w:rsid w:val="00445DCB"/>
    <w:rsid w:val="00447235"/>
    <w:rsid w:val="004479C3"/>
    <w:rsid w:val="0045044C"/>
    <w:rsid w:val="00452B52"/>
    <w:rsid w:val="004602F5"/>
    <w:rsid w:val="00460495"/>
    <w:rsid w:val="00460EEA"/>
    <w:rsid w:val="00462DE3"/>
    <w:rsid w:val="004630B6"/>
    <w:rsid w:val="00463106"/>
    <w:rsid w:val="00466A30"/>
    <w:rsid w:val="00467F5B"/>
    <w:rsid w:val="00472F97"/>
    <w:rsid w:val="00474607"/>
    <w:rsid w:val="00474910"/>
    <w:rsid w:val="0047499C"/>
    <w:rsid w:val="004749AF"/>
    <w:rsid w:val="00474AF6"/>
    <w:rsid w:val="00475410"/>
    <w:rsid w:val="00475E80"/>
    <w:rsid w:val="004774FF"/>
    <w:rsid w:val="0048285C"/>
    <w:rsid w:val="00483F21"/>
    <w:rsid w:val="00484116"/>
    <w:rsid w:val="00484163"/>
    <w:rsid w:val="004841A8"/>
    <w:rsid w:val="0048424E"/>
    <w:rsid w:val="00484629"/>
    <w:rsid w:val="00484F8A"/>
    <w:rsid w:val="00486ACC"/>
    <w:rsid w:val="00486F42"/>
    <w:rsid w:val="00487D14"/>
    <w:rsid w:val="0049165E"/>
    <w:rsid w:val="004923A9"/>
    <w:rsid w:val="00494337"/>
    <w:rsid w:val="00494F1A"/>
    <w:rsid w:val="00495F7C"/>
    <w:rsid w:val="004976D5"/>
    <w:rsid w:val="004A10CD"/>
    <w:rsid w:val="004A11D9"/>
    <w:rsid w:val="004A1E3F"/>
    <w:rsid w:val="004A2C7E"/>
    <w:rsid w:val="004A5056"/>
    <w:rsid w:val="004A5AF5"/>
    <w:rsid w:val="004A6625"/>
    <w:rsid w:val="004A69D6"/>
    <w:rsid w:val="004A6E81"/>
    <w:rsid w:val="004A70AB"/>
    <w:rsid w:val="004A7DFE"/>
    <w:rsid w:val="004B085D"/>
    <w:rsid w:val="004B0DBA"/>
    <w:rsid w:val="004B21D9"/>
    <w:rsid w:val="004B255A"/>
    <w:rsid w:val="004B3A47"/>
    <w:rsid w:val="004B3CA9"/>
    <w:rsid w:val="004B6022"/>
    <w:rsid w:val="004C0CE3"/>
    <w:rsid w:val="004C1D86"/>
    <w:rsid w:val="004C368B"/>
    <w:rsid w:val="004C6239"/>
    <w:rsid w:val="004D1A31"/>
    <w:rsid w:val="004D1A91"/>
    <w:rsid w:val="004D2123"/>
    <w:rsid w:val="004D262A"/>
    <w:rsid w:val="004D2C6F"/>
    <w:rsid w:val="004D2E01"/>
    <w:rsid w:val="004D3237"/>
    <w:rsid w:val="004D3FD6"/>
    <w:rsid w:val="004D4E89"/>
    <w:rsid w:val="004D5B5D"/>
    <w:rsid w:val="004D635C"/>
    <w:rsid w:val="004D692E"/>
    <w:rsid w:val="004E0F3F"/>
    <w:rsid w:val="004E1191"/>
    <w:rsid w:val="004E1349"/>
    <w:rsid w:val="004E1AF1"/>
    <w:rsid w:val="004E3305"/>
    <w:rsid w:val="004E3D0E"/>
    <w:rsid w:val="004E4AEA"/>
    <w:rsid w:val="004E568C"/>
    <w:rsid w:val="004E5AD8"/>
    <w:rsid w:val="004E61DE"/>
    <w:rsid w:val="004F0806"/>
    <w:rsid w:val="004F12D8"/>
    <w:rsid w:val="004F2189"/>
    <w:rsid w:val="004F22A6"/>
    <w:rsid w:val="004F41E9"/>
    <w:rsid w:val="004F4A37"/>
    <w:rsid w:val="004F5148"/>
    <w:rsid w:val="004F5D23"/>
    <w:rsid w:val="005037B3"/>
    <w:rsid w:val="00504B53"/>
    <w:rsid w:val="00505BD9"/>
    <w:rsid w:val="00505FF7"/>
    <w:rsid w:val="0051015D"/>
    <w:rsid w:val="00511BB6"/>
    <w:rsid w:val="0051251A"/>
    <w:rsid w:val="0051292D"/>
    <w:rsid w:val="00514426"/>
    <w:rsid w:val="0051442D"/>
    <w:rsid w:val="00515FD8"/>
    <w:rsid w:val="0051622D"/>
    <w:rsid w:val="00517A09"/>
    <w:rsid w:val="005207B2"/>
    <w:rsid w:val="005219EB"/>
    <w:rsid w:val="00522CBE"/>
    <w:rsid w:val="005262C2"/>
    <w:rsid w:val="005263F0"/>
    <w:rsid w:val="0052705A"/>
    <w:rsid w:val="005272E3"/>
    <w:rsid w:val="00532E26"/>
    <w:rsid w:val="00533CD6"/>
    <w:rsid w:val="00534C3B"/>
    <w:rsid w:val="00537126"/>
    <w:rsid w:val="00537A72"/>
    <w:rsid w:val="005405F8"/>
    <w:rsid w:val="00542EAE"/>
    <w:rsid w:val="00546878"/>
    <w:rsid w:val="005509BE"/>
    <w:rsid w:val="00554ED3"/>
    <w:rsid w:val="0055674D"/>
    <w:rsid w:val="00560E18"/>
    <w:rsid w:val="005615BB"/>
    <w:rsid w:val="005621E7"/>
    <w:rsid w:val="00562B7E"/>
    <w:rsid w:val="00562CA5"/>
    <w:rsid w:val="00563355"/>
    <w:rsid w:val="00571E81"/>
    <w:rsid w:val="00573FF9"/>
    <w:rsid w:val="005743CA"/>
    <w:rsid w:val="005755B7"/>
    <w:rsid w:val="00576B16"/>
    <w:rsid w:val="00577427"/>
    <w:rsid w:val="00577B5F"/>
    <w:rsid w:val="005808E5"/>
    <w:rsid w:val="00584DFE"/>
    <w:rsid w:val="00585E43"/>
    <w:rsid w:val="005875A9"/>
    <w:rsid w:val="00593C34"/>
    <w:rsid w:val="005949BC"/>
    <w:rsid w:val="005971D5"/>
    <w:rsid w:val="005A0847"/>
    <w:rsid w:val="005A20B0"/>
    <w:rsid w:val="005A313A"/>
    <w:rsid w:val="005A35EB"/>
    <w:rsid w:val="005A3B73"/>
    <w:rsid w:val="005A3C69"/>
    <w:rsid w:val="005A5582"/>
    <w:rsid w:val="005A680F"/>
    <w:rsid w:val="005A70F0"/>
    <w:rsid w:val="005A747A"/>
    <w:rsid w:val="005B07CB"/>
    <w:rsid w:val="005B2B27"/>
    <w:rsid w:val="005B2FF9"/>
    <w:rsid w:val="005B380D"/>
    <w:rsid w:val="005B3F1C"/>
    <w:rsid w:val="005B696E"/>
    <w:rsid w:val="005B6D81"/>
    <w:rsid w:val="005B7767"/>
    <w:rsid w:val="005B7DD3"/>
    <w:rsid w:val="005C11DA"/>
    <w:rsid w:val="005C1E41"/>
    <w:rsid w:val="005C5F00"/>
    <w:rsid w:val="005C7FC2"/>
    <w:rsid w:val="005D0162"/>
    <w:rsid w:val="005D1F92"/>
    <w:rsid w:val="005D2137"/>
    <w:rsid w:val="005D2408"/>
    <w:rsid w:val="005D32A9"/>
    <w:rsid w:val="005D6122"/>
    <w:rsid w:val="005D6E80"/>
    <w:rsid w:val="005E02FB"/>
    <w:rsid w:val="005E03B3"/>
    <w:rsid w:val="005E0B20"/>
    <w:rsid w:val="005E2936"/>
    <w:rsid w:val="005E2F7B"/>
    <w:rsid w:val="005E3C94"/>
    <w:rsid w:val="005E5C01"/>
    <w:rsid w:val="005E6A9D"/>
    <w:rsid w:val="005E7118"/>
    <w:rsid w:val="005E7B14"/>
    <w:rsid w:val="005E7E9F"/>
    <w:rsid w:val="005F1CDA"/>
    <w:rsid w:val="005F35C5"/>
    <w:rsid w:val="005F37A4"/>
    <w:rsid w:val="005F561B"/>
    <w:rsid w:val="005F7E15"/>
    <w:rsid w:val="00601270"/>
    <w:rsid w:val="00602403"/>
    <w:rsid w:val="00602FA4"/>
    <w:rsid w:val="006041A4"/>
    <w:rsid w:val="0061036C"/>
    <w:rsid w:val="00610873"/>
    <w:rsid w:val="006109EC"/>
    <w:rsid w:val="00610F53"/>
    <w:rsid w:val="00611D8A"/>
    <w:rsid w:val="006122AB"/>
    <w:rsid w:val="0061430D"/>
    <w:rsid w:val="006150CE"/>
    <w:rsid w:val="00615ED4"/>
    <w:rsid w:val="00615F6B"/>
    <w:rsid w:val="006165F4"/>
    <w:rsid w:val="006245EC"/>
    <w:rsid w:val="00626ABB"/>
    <w:rsid w:val="00627F73"/>
    <w:rsid w:val="006309D5"/>
    <w:rsid w:val="006376C5"/>
    <w:rsid w:val="006407E9"/>
    <w:rsid w:val="00641F4F"/>
    <w:rsid w:val="00642664"/>
    <w:rsid w:val="00644BBE"/>
    <w:rsid w:val="006466DA"/>
    <w:rsid w:val="00646711"/>
    <w:rsid w:val="00646777"/>
    <w:rsid w:val="006479F9"/>
    <w:rsid w:val="00647DDD"/>
    <w:rsid w:val="00653548"/>
    <w:rsid w:val="00653BA4"/>
    <w:rsid w:val="006545D0"/>
    <w:rsid w:val="00656E2E"/>
    <w:rsid w:val="00657478"/>
    <w:rsid w:val="00657EDA"/>
    <w:rsid w:val="00657F9A"/>
    <w:rsid w:val="006609A2"/>
    <w:rsid w:val="00660C84"/>
    <w:rsid w:val="0066132D"/>
    <w:rsid w:val="0066194B"/>
    <w:rsid w:val="00661FC4"/>
    <w:rsid w:val="006630E1"/>
    <w:rsid w:val="00663229"/>
    <w:rsid w:val="006642A0"/>
    <w:rsid w:val="00666A58"/>
    <w:rsid w:val="00666D4D"/>
    <w:rsid w:val="00672205"/>
    <w:rsid w:val="00672E95"/>
    <w:rsid w:val="0067508C"/>
    <w:rsid w:val="006762B3"/>
    <w:rsid w:val="00676D6C"/>
    <w:rsid w:val="00677059"/>
    <w:rsid w:val="00680072"/>
    <w:rsid w:val="00680421"/>
    <w:rsid w:val="00681B06"/>
    <w:rsid w:val="00684E71"/>
    <w:rsid w:val="006858DA"/>
    <w:rsid w:val="00686C3F"/>
    <w:rsid w:val="00687C4C"/>
    <w:rsid w:val="006902F1"/>
    <w:rsid w:val="006918E9"/>
    <w:rsid w:val="00692A13"/>
    <w:rsid w:val="006951CE"/>
    <w:rsid w:val="00695B2C"/>
    <w:rsid w:val="006A1F2C"/>
    <w:rsid w:val="006A3B6B"/>
    <w:rsid w:val="006A438B"/>
    <w:rsid w:val="006A4F20"/>
    <w:rsid w:val="006A5A46"/>
    <w:rsid w:val="006A6039"/>
    <w:rsid w:val="006B1E87"/>
    <w:rsid w:val="006B514A"/>
    <w:rsid w:val="006C1EA3"/>
    <w:rsid w:val="006C1EDF"/>
    <w:rsid w:val="006C2AB0"/>
    <w:rsid w:val="006C2B5F"/>
    <w:rsid w:val="006C31B7"/>
    <w:rsid w:val="006C3CE1"/>
    <w:rsid w:val="006C4213"/>
    <w:rsid w:val="006C43D7"/>
    <w:rsid w:val="006C49F6"/>
    <w:rsid w:val="006C53ED"/>
    <w:rsid w:val="006C5694"/>
    <w:rsid w:val="006D11AD"/>
    <w:rsid w:val="006D134C"/>
    <w:rsid w:val="006D193A"/>
    <w:rsid w:val="006D23FB"/>
    <w:rsid w:val="006D25DD"/>
    <w:rsid w:val="006D27E2"/>
    <w:rsid w:val="006D28A5"/>
    <w:rsid w:val="006D29AA"/>
    <w:rsid w:val="006D2C78"/>
    <w:rsid w:val="006D3D1D"/>
    <w:rsid w:val="006D4128"/>
    <w:rsid w:val="006D4C1B"/>
    <w:rsid w:val="006D5E45"/>
    <w:rsid w:val="006D5E57"/>
    <w:rsid w:val="006E0B4D"/>
    <w:rsid w:val="006E2083"/>
    <w:rsid w:val="006E2725"/>
    <w:rsid w:val="006E3064"/>
    <w:rsid w:val="006E361B"/>
    <w:rsid w:val="006E405E"/>
    <w:rsid w:val="006E68E6"/>
    <w:rsid w:val="006E73D0"/>
    <w:rsid w:val="006F0330"/>
    <w:rsid w:val="006F042A"/>
    <w:rsid w:val="006F0C74"/>
    <w:rsid w:val="006F1875"/>
    <w:rsid w:val="006F2187"/>
    <w:rsid w:val="006F25E5"/>
    <w:rsid w:val="006F2FCE"/>
    <w:rsid w:val="006F36B9"/>
    <w:rsid w:val="006F415C"/>
    <w:rsid w:val="006F489F"/>
    <w:rsid w:val="00700C86"/>
    <w:rsid w:val="00703C49"/>
    <w:rsid w:val="0070560F"/>
    <w:rsid w:val="007112CA"/>
    <w:rsid w:val="00714728"/>
    <w:rsid w:val="007202BD"/>
    <w:rsid w:val="007205BF"/>
    <w:rsid w:val="00721AE9"/>
    <w:rsid w:val="007237D1"/>
    <w:rsid w:val="007241D4"/>
    <w:rsid w:val="00724D82"/>
    <w:rsid w:val="00730BF2"/>
    <w:rsid w:val="00732A6F"/>
    <w:rsid w:val="00734578"/>
    <w:rsid w:val="007351A5"/>
    <w:rsid w:val="0074214D"/>
    <w:rsid w:val="00742764"/>
    <w:rsid w:val="00745456"/>
    <w:rsid w:val="00746E92"/>
    <w:rsid w:val="00750950"/>
    <w:rsid w:val="00751452"/>
    <w:rsid w:val="0075156A"/>
    <w:rsid w:val="00751D8C"/>
    <w:rsid w:val="00751F90"/>
    <w:rsid w:val="0075204D"/>
    <w:rsid w:val="00752EF6"/>
    <w:rsid w:val="00753B4D"/>
    <w:rsid w:val="007543AA"/>
    <w:rsid w:val="00754BDD"/>
    <w:rsid w:val="00757143"/>
    <w:rsid w:val="007619C5"/>
    <w:rsid w:val="00761B26"/>
    <w:rsid w:val="00761C35"/>
    <w:rsid w:val="00762178"/>
    <w:rsid w:val="00765F62"/>
    <w:rsid w:val="00766026"/>
    <w:rsid w:val="007671E0"/>
    <w:rsid w:val="00772025"/>
    <w:rsid w:val="007726C0"/>
    <w:rsid w:val="007728F6"/>
    <w:rsid w:val="007744FD"/>
    <w:rsid w:val="00775AB7"/>
    <w:rsid w:val="00776B34"/>
    <w:rsid w:val="00781088"/>
    <w:rsid w:val="007811C6"/>
    <w:rsid w:val="00781AA0"/>
    <w:rsid w:val="00781CF7"/>
    <w:rsid w:val="00781D24"/>
    <w:rsid w:val="00782DE8"/>
    <w:rsid w:val="00786D45"/>
    <w:rsid w:val="00787202"/>
    <w:rsid w:val="00792E10"/>
    <w:rsid w:val="0079383D"/>
    <w:rsid w:val="007966EF"/>
    <w:rsid w:val="007A006B"/>
    <w:rsid w:val="007A1D60"/>
    <w:rsid w:val="007A34D1"/>
    <w:rsid w:val="007A5BDB"/>
    <w:rsid w:val="007A7102"/>
    <w:rsid w:val="007A7B06"/>
    <w:rsid w:val="007B165A"/>
    <w:rsid w:val="007B275E"/>
    <w:rsid w:val="007B2DAD"/>
    <w:rsid w:val="007B2DF7"/>
    <w:rsid w:val="007B7246"/>
    <w:rsid w:val="007B78C2"/>
    <w:rsid w:val="007C23FF"/>
    <w:rsid w:val="007C25B0"/>
    <w:rsid w:val="007C416B"/>
    <w:rsid w:val="007C4CB7"/>
    <w:rsid w:val="007C5008"/>
    <w:rsid w:val="007C6046"/>
    <w:rsid w:val="007C647E"/>
    <w:rsid w:val="007C658B"/>
    <w:rsid w:val="007D069D"/>
    <w:rsid w:val="007D1E79"/>
    <w:rsid w:val="007D27CF"/>
    <w:rsid w:val="007D4DAF"/>
    <w:rsid w:val="007E1175"/>
    <w:rsid w:val="007E1BA6"/>
    <w:rsid w:val="007E220A"/>
    <w:rsid w:val="007E468A"/>
    <w:rsid w:val="007E54E5"/>
    <w:rsid w:val="007E58FC"/>
    <w:rsid w:val="007E6643"/>
    <w:rsid w:val="007E7463"/>
    <w:rsid w:val="007F07D4"/>
    <w:rsid w:val="007F1517"/>
    <w:rsid w:val="007F207F"/>
    <w:rsid w:val="007F5B91"/>
    <w:rsid w:val="007F7DAA"/>
    <w:rsid w:val="00800BE5"/>
    <w:rsid w:val="008019A7"/>
    <w:rsid w:val="00803CEC"/>
    <w:rsid w:val="008040B5"/>
    <w:rsid w:val="00804B15"/>
    <w:rsid w:val="008076A4"/>
    <w:rsid w:val="00807DC2"/>
    <w:rsid w:val="0081003E"/>
    <w:rsid w:val="00810CA3"/>
    <w:rsid w:val="008112DE"/>
    <w:rsid w:val="00811776"/>
    <w:rsid w:val="008200A7"/>
    <w:rsid w:val="008208C8"/>
    <w:rsid w:val="00822050"/>
    <w:rsid w:val="008304EC"/>
    <w:rsid w:val="00830952"/>
    <w:rsid w:val="00830F84"/>
    <w:rsid w:val="00832217"/>
    <w:rsid w:val="00832522"/>
    <w:rsid w:val="00833453"/>
    <w:rsid w:val="0084184E"/>
    <w:rsid w:val="00841B33"/>
    <w:rsid w:val="00841C01"/>
    <w:rsid w:val="00843EFD"/>
    <w:rsid w:val="008442F2"/>
    <w:rsid w:val="008443A9"/>
    <w:rsid w:val="0084599C"/>
    <w:rsid w:val="008469B3"/>
    <w:rsid w:val="00847539"/>
    <w:rsid w:val="00851C84"/>
    <w:rsid w:val="008535CA"/>
    <w:rsid w:val="00856FA8"/>
    <w:rsid w:val="00856FF2"/>
    <w:rsid w:val="008578F4"/>
    <w:rsid w:val="00860576"/>
    <w:rsid w:val="00861120"/>
    <w:rsid w:val="008657EE"/>
    <w:rsid w:val="0086688C"/>
    <w:rsid w:val="008674AA"/>
    <w:rsid w:val="008675CC"/>
    <w:rsid w:val="008707F5"/>
    <w:rsid w:val="0087609B"/>
    <w:rsid w:val="00880850"/>
    <w:rsid w:val="0088094C"/>
    <w:rsid w:val="00881004"/>
    <w:rsid w:val="008824C8"/>
    <w:rsid w:val="00882C40"/>
    <w:rsid w:val="00885973"/>
    <w:rsid w:val="0089145D"/>
    <w:rsid w:val="008919D3"/>
    <w:rsid w:val="00891DC8"/>
    <w:rsid w:val="00891F55"/>
    <w:rsid w:val="00892908"/>
    <w:rsid w:val="00893C08"/>
    <w:rsid w:val="008942FC"/>
    <w:rsid w:val="0089562F"/>
    <w:rsid w:val="008957BF"/>
    <w:rsid w:val="00895BE0"/>
    <w:rsid w:val="0089629F"/>
    <w:rsid w:val="008A082A"/>
    <w:rsid w:val="008A0CEA"/>
    <w:rsid w:val="008A1413"/>
    <w:rsid w:val="008A32BD"/>
    <w:rsid w:val="008A389B"/>
    <w:rsid w:val="008A4DF4"/>
    <w:rsid w:val="008A60E6"/>
    <w:rsid w:val="008A7448"/>
    <w:rsid w:val="008B0950"/>
    <w:rsid w:val="008B1DA9"/>
    <w:rsid w:val="008B23D4"/>
    <w:rsid w:val="008B2C7C"/>
    <w:rsid w:val="008B571D"/>
    <w:rsid w:val="008B6162"/>
    <w:rsid w:val="008C3710"/>
    <w:rsid w:val="008C3EBC"/>
    <w:rsid w:val="008C4AE0"/>
    <w:rsid w:val="008C57F6"/>
    <w:rsid w:val="008C68A7"/>
    <w:rsid w:val="008C7019"/>
    <w:rsid w:val="008D2A7F"/>
    <w:rsid w:val="008D33A3"/>
    <w:rsid w:val="008D4715"/>
    <w:rsid w:val="008D5B23"/>
    <w:rsid w:val="008D6F1D"/>
    <w:rsid w:val="008E03A3"/>
    <w:rsid w:val="008E1B11"/>
    <w:rsid w:val="008E2A22"/>
    <w:rsid w:val="008E2ACD"/>
    <w:rsid w:val="008E2D8C"/>
    <w:rsid w:val="008E53BA"/>
    <w:rsid w:val="008E7E5E"/>
    <w:rsid w:val="008E7F87"/>
    <w:rsid w:val="008E7FB3"/>
    <w:rsid w:val="008F0CC7"/>
    <w:rsid w:val="008F11CF"/>
    <w:rsid w:val="008F14EA"/>
    <w:rsid w:val="008F189C"/>
    <w:rsid w:val="008F1FE1"/>
    <w:rsid w:val="008F32FF"/>
    <w:rsid w:val="008F4486"/>
    <w:rsid w:val="008F4FC6"/>
    <w:rsid w:val="008F6436"/>
    <w:rsid w:val="008F72CD"/>
    <w:rsid w:val="009015D3"/>
    <w:rsid w:val="00902179"/>
    <w:rsid w:val="00903877"/>
    <w:rsid w:val="0090677E"/>
    <w:rsid w:val="009111C8"/>
    <w:rsid w:val="00913A4A"/>
    <w:rsid w:val="00914A6E"/>
    <w:rsid w:val="0091544C"/>
    <w:rsid w:val="00917D23"/>
    <w:rsid w:val="00921D03"/>
    <w:rsid w:val="00921DE6"/>
    <w:rsid w:val="00924CB6"/>
    <w:rsid w:val="0092546C"/>
    <w:rsid w:val="00925CD2"/>
    <w:rsid w:val="00932559"/>
    <w:rsid w:val="00933065"/>
    <w:rsid w:val="00933569"/>
    <w:rsid w:val="00934918"/>
    <w:rsid w:val="009365B1"/>
    <w:rsid w:val="0093799C"/>
    <w:rsid w:val="009422A1"/>
    <w:rsid w:val="00943484"/>
    <w:rsid w:val="00944804"/>
    <w:rsid w:val="009449FB"/>
    <w:rsid w:val="0094634F"/>
    <w:rsid w:val="009473D8"/>
    <w:rsid w:val="00947F51"/>
    <w:rsid w:val="00954386"/>
    <w:rsid w:val="009564B5"/>
    <w:rsid w:val="0095655A"/>
    <w:rsid w:val="00957513"/>
    <w:rsid w:val="00960ADF"/>
    <w:rsid w:val="009623DA"/>
    <w:rsid w:val="00963A0C"/>
    <w:rsid w:val="009661A4"/>
    <w:rsid w:val="009661B5"/>
    <w:rsid w:val="009725C0"/>
    <w:rsid w:val="009727D8"/>
    <w:rsid w:val="009729BD"/>
    <w:rsid w:val="009729D5"/>
    <w:rsid w:val="00974A92"/>
    <w:rsid w:val="00974C91"/>
    <w:rsid w:val="00975270"/>
    <w:rsid w:val="00975BA1"/>
    <w:rsid w:val="00976F39"/>
    <w:rsid w:val="009809DD"/>
    <w:rsid w:val="009835E3"/>
    <w:rsid w:val="009837A6"/>
    <w:rsid w:val="009839B9"/>
    <w:rsid w:val="00983C64"/>
    <w:rsid w:val="009869F2"/>
    <w:rsid w:val="00987CDB"/>
    <w:rsid w:val="009A087C"/>
    <w:rsid w:val="009A2613"/>
    <w:rsid w:val="009A2726"/>
    <w:rsid w:val="009A30E0"/>
    <w:rsid w:val="009A3619"/>
    <w:rsid w:val="009A57B9"/>
    <w:rsid w:val="009A66D0"/>
    <w:rsid w:val="009A739F"/>
    <w:rsid w:val="009B08AF"/>
    <w:rsid w:val="009B0AC9"/>
    <w:rsid w:val="009B10F4"/>
    <w:rsid w:val="009B3DFC"/>
    <w:rsid w:val="009B48A7"/>
    <w:rsid w:val="009B53BC"/>
    <w:rsid w:val="009B793E"/>
    <w:rsid w:val="009C1EA6"/>
    <w:rsid w:val="009C37B9"/>
    <w:rsid w:val="009C38E7"/>
    <w:rsid w:val="009D31FA"/>
    <w:rsid w:val="009D32BD"/>
    <w:rsid w:val="009D33F1"/>
    <w:rsid w:val="009D35B5"/>
    <w:rsid w:val="009D3771"/>
    <w:rsid w:val="009D37BD"/>
    <w:rsid w:val="009D4486"/>
    <w:rsid w:val="009D7128"/>
    <w:rsid w:val="009D7613"/>
    <w:rsid w:val="009E088E"/>
    <w:rsid w:val="009E1236"/>
    <w:rsid w:val="009E21DE"/>
    <w:rsid w:val="009E6174"/>
    <w:rsid w:val="009F1DC7"/>
    <w:rsid w:val="009F211E"/>
    <w:rsid w:val="009F2572"/>
    <w:rsid w:val="009F294E"/>
    <w:rsid w:val="009F30F1"/>
    <w:rsid w:val="009F37C7"/>
    <w:rsid w:val="009F50AB"/>
    <w:rsid w:val="00A005F6"/>
    <w:rsid w:val="00A03986"/>
    <w:rsid w:val="00A040E3"/>
    <w:rsid w:val="00A0424F"/>
    <w:rsid w:val="00A051FB"/>
    <w:rsid w:val="00A0659C"/>
    <w:rsid w:val="00A07164"/>
    <w:rsid w:val="00A10039"/>
    <w:rsid w:val="00A100BA"/>
    <w:rsid w:val="00A103FF"/>
    <w:rsid w:val="00A121B5"/>
    <w:rsid w:val="00A16C6E"/>
    <w:rsid w:val="00A17DB2"/>
    <w:rsid w:val="00A2023B"/>
    <w:rsid w:val="00A21DEA"/>
    <w:rsid w:val="00A22A14"/>
    <w:rsid w:val="00A23A49"/>
    <w:rsid w:val="00A248B0"/>
    <w:rsid w:val="00A25AB4"/>
    <w:rsid w:val="00A26214"/>
    <w:rsid w:val="00A26566"/>
    <w:rsid w:val="00A27A51"/>
    <w:rsid w:val="00A31837"/>
    <w:rsid w:val="00A31D70"/>
    <w:rsid w:val="00A33018"/>
    <w:rsid w:val="00A3310D"/>
    <w:rsid w:val="00A3484C"/>
    <w:rsid w:val="00A351B3"/>
    <w:rsid w:val="00A35CE6"/>
    <w:rsid w:val="00A37BA4"/>
    <w:rsid w:val="00A402F6"/>
    <w:rsid w:val="00A406B4"/>
    <w:rsid w:val="00A42167"/>
    <w:rsid w:val="00A429D5"/>
    <w:rsid w:val="00A434B9"/>
    <w:rsid w:val="00A43739"/>
    <w:rsid w:val="00A444DD"/>
    <w:rsid w:val="00A45A3C"/>
    <w:rsid w:val="00A47150"/>
    <w:rsid w:val="00A471EF"/>
    <w:rsid w:val="00A47466"/>
    <w:rsid w:val="00A47815"/>
    <w:rsid w:val="00A47A18"/>
    <w:rsid w:val="00A47A3D"/>
    <w:rsid w:val="00A47CD6"/>
    <w:rsid w:val="00A5183D"/>
    <w:rsid w:val="00A5359C"/>
    <w:rsid w:val="00A539CB"/>
    <w:rsid w:val="00A57DA7"/>
    <w:rsid w:val="00A60542"/>
    <w:rsid w:val="00A60635"/>
    <w:rsid w:val="00A63709"/>
    <w:rsid w:val="00A643AB"/>
    <w:rsid w:val="00A649E6"/>
    <w:rsid w:val="00A660AF"/>
    <w:rsid w:val="00A7021C"/>
    <w:rsid w:val="00A70814"/>
    <w:rsid w:val="00A70A95"/>
    <w:rsid w:val="00A70BDA"/>
    <w:rsid w:val="00A712D3"/>
    <w:rsid w:val="00A73E2C"/>
    <w:rsid w:val="00A740B6"/>
    <w:rsid w:val="00A7621E"/>
    <w:rsid w:val="00A76BE4"/>
    <w:rsid w:val="00A774BA"/>
    <w:rsid w:val="00A817D5"/>
    <w:rsid w:val="00A841B2"/>
    <w:rsid w:val="00A84915"/>
    <w:rsid w:val="00A84F01"/>
    <w:rsid w:val="00A85664"/>
    <w:rsid w:val="00A9029A"/>
    <w:rsid w:val="00A91332"/>
    <w:rsid w:val="00A93351"/>
    <w:rsid w:val="00A94A43"/>
    <w:rsid w:val="00A95538"/>
    <w:rsid w:val="00A97CCE"/>
    <w:rsid w:val="00AA0013"/>
    <w:rsid w:val="00AA26FF"/>
    <w:rsid w:val="00AA43EC"/>
    <w:rsid w:val="00AA4C92"/>
    <w:rsid w:val="00AA4E77"/>
    <w:rsid w:val="00AA6E8C"/>
    <w:rsid w:val="00AA6F19"/>
    <w:rsid w:val="00AA75E6"/>
    <w:rsid w:val="00AA79A8"/>
    <w:rsid w:val="00AA7A76"/>
    <w:rsid w:val="00AA7C2E"/>
    <w:rsid w:val="00AB0286"/>
    <w:rsid w:val="00AB0DD9"/>
    <w:rsid w:val="00AB24D5"/>
    <w:rsid w:val="00AB404E"/>
    <w:rsid w:val="00AB4C6D"/>
    <w:rsid w:val="00AB53F2"/>
    <w:rsid w:val="00AB55F7"/>
    <w:rsid w:val="00AB6E29"/>
    <w:rsid w:val="00AB7162"/>
    <w:rsid w:val="00AC022F"/>
    <w:rsid w:val="00AC114D"/>
    <w:rsid w:val="00AC2893"/>
    <w:rsid w:val="00AC2995"/>
    <w:rsid w:val="00AC2F6A"/>
    <w:rsid w:val="00AC38A4"/>
    <w:rsid w:val="00AC40CA"/>
    <w:rsid w:val="00AC4165"/>
    <w:rsid w:val="00AC556A"/>
    <w:rsid w:val="00AC76EA"/>
    <w:rsid w:val="00AC7FB7"/>
    <w:rsid w:val="00AD0007"/>
    <w:rsid w:val="00AD04FB"/>
    <w:rsid w:val="00AD12F6"/>
    <w:rsid w:val="00AD1989"/>
    <w:rsid w:val="00AD23B3"/>
    <w:rsid w:val="00AD23BF"/>
    <w:rsid w:val="00AD25B6"/>
    <w:rsid w:val="00AD2631"/>
    <w:rsid w:val="00AD2C31"/>
    <w:rsid w:val="00AD3D5D"/>
    <w:rsid w:val="00AD4080"/>
    <w:rsid w:val="00AD40E8"/>
    <w:rsid w:val="00AD5A05"/>
    <w:rsid w:val="00AD662C"/>
    <w:rsid w:val="00AE1220"/>
    <w:rsid w:val="00AE287F"/>
    <w:rsid w:val="00AE39F3"/>
    <w:rsid w:val="00AE4006"/>
    <w:rsid w:val="00AE4875"/>
    <w:rsid w:val="00AE5118"/>
    <w:rsid w:val="00AE63BD"/>
    <w:rsid w:val="00AF0B2B"/>
    <w:rsid w:val="00AF20DB"/>
    <w:rsid w:val="00AF2914"/>
    <w:rsid w:val="00AF345A"/>
    <w:rsid w:val="00AF363F"/>
    <w:rsid w:val="00AF3E4F"/>
    <w:rsid w:val="00AF71E5"/>
    <w:rsid w:val="00AF7988"/>
    <w:rsid w:val="00B00DA5"/>
    <w:rsid w:val="00B0321E"/>
    <w:rsid w:val="00B0366D"/>
    <w:rsid w:val="00B045B8"/>
    <w:rsid w:val="00B071FF"/>
    <w:rsid w:val="00B110BC"/>
    <w:rsid w:val="00B11505"/>
    <w:rsid w:val="00B1182B"/>
    <w:rsid w:val="00B11DC2"/>
    <w:rsid w:val="00B15142"/>
    <w:rsid w:val="00B15D12"/>
    <w:rsid w:val="00B16EB5"/>
    <w:rsid w:val="00B16F69"/>
    <w:rsid w:val="00B1789D"/>
    <w:rsid w:val="00B207DD"/>
    <w:rsid w:val="00B20DD8"/>
    <w:rsid w:val="00B21CA9"/>
    <w:rsid w:val="00B21ECE"/>
    <w:rsid w:val="00B223FE"/>
    <w:rsid w:val="00B26919"/>
    <w:rsid w:val="00B30FE0"/>
    <w:rsid w:val="00B3161A"/>
    <w:rsid w:val="00B3208F"/>
    <w:rsid w:val="00B3260E"/>
    <w:rsid w:val="00B36DB5"/>
    <w:rsid w:val="00B36F2F"/>
    <w:rsid w:val="00B413BD"/>
    <w:rsid w:val="00B42807"/>
    <w:rsid w:val="00B428A6"/>
    <w:rsid w:val="00B43340"/>
    <w:rsid w:val="00B4461C"/>
    <w:rsid w:val="00B44ADE"/>
    <w:rsid w:val="00B46D68"/>
    <w:rsid w:val="00B5342C"/>
    <w:rsid w:val="00B53913"/>
    <w:rsid w:val="00B554D4"/>
    <w:rsid w:val="00B5572D"/>
    <w:rsid w:val="00B55F3A"/>
    <w:rsid w:val="00B56906"/>
    <w:rsid w:val="00B569F1"/>
    <w:rsid w:val="00B6007E"/>
    <w:rsid w:val="00B61484"/>
    <w:rsid w:val="00B6179E"/>
    <w:rsid w:val="00B62B08"/>
    <w:rsid w:val="00B664E5"/>
    <w:rsid w:val="00B71CB5"/>
    <w:rsid w:val="00B71F16"/>
    <w:rsid w:val="00B72922"/>
    <w:rsid w:val="00B72A13"/>
    <w:rsid w:val="00B72ADA"/>
    <w:rsid w:val="00B7473A"/>
    <w:rsid w:val="00B74A39"/>
    <w:rsid w:val="00B75819"/>
    <w:rsid w:val="00B75CDA"/>
    <w:rsid w:val="00B76F30"/>
    <w:rsid w:val="00B76FD7"/>
    <w:rsid w:val="00B81526"/>
    <w:rsid w:val="00B819E4"/>
    <w:rsid w:val="00B84042"/>
    <w:rsid w:val="00B84DD5"/>
    <w:rsid w:val="00B87764"/>
    <w:rsid w:val="00B903CC"/>
    <w:rsid w:val="00B9165A"/>
    <w:rsid w:val="00B91668"/>
    <w:rsid w:val="00B91F7E"/>
    <w:rsid w:val="00B924B4"/>
    <w:rsid w:val="00B92A68"/>
    <w:rsid w:val="00B93377"/>
    <w:rsid w:val="00B9487E"/>
    <w:rsid w:val="00B95910"/>
    <w:rsid w:val="00B9692A"/>
    <w:rsid w:val="00BA0848"/>
    <w:rsid w:val="00BA29E7"/>
    <w:rsid w:val="00BA304F"/>
    <w:rsid w:val="00BA33AF"/>
    <w:rsid w:val="00BA3A4C"/>
    <w:rsid w:val="00BA61FA"/>
    <w:rsid w:val="00BA67FC"/>
    <w:rsid w:val="00BB0F20"/>
    <w:rsid w:val="00BB17D2"/>
    <w:rsid w:val="00BB1DC5"/>
    <w:rsid w:val="00BB2328"/>
    <w:rsid w:val="00BB3264"/>
    <w:rsid w:val="00BB50D7"/>
    <w:rsid w:val="00BB7F08"/>
    <w:rsid w:val="00BC0623"/>
    <w:rsid w:val="00BC35CD"/>
    <w:rsid w:val="00BC3C54"/>
    <w:rsid w:val="00BC415B"/>
    <w:rsid w:val="00BC5B96"/>
    <w:rsid w:val="00BD2C66"/>
    <w:rsid w:val="00BD2CDE"/>
    <w:rsid w:val="00BD3D16"/>
    <w:rsid w:val="00BD41CF"/>
    <w:rsid w:val="00BD6E92"/>
    <w:rsid w:val="00BD75F3"/>
    <w:rsid w:val="00BE0164"/>
    <w:rsid w:val="00BE12BD"/>
    <w:rsid w:val="00BE2ED7"/>
    <w:rsid w:val="00BE3498"/>
    <w:rsid w:val="00BE5A3E"/>
    <w:rsid w:val="00BE6AB8"/>
    <w:rsid w:val="00BF040B"/>
    <w:rsid w:val="00BF086D"/>
    <w:rsid w:val="00BF1C99"/>
    <w:rsid w:val="00BF2167"/>
    <w:rsid w:val="00BF32CE"/>
    <w:rsid w:val="00BF43BC"/>
    <w:rsid w:val="00BF4DDA"/>
    <w:rsid w:val="00BF55C7"/>
    <w:rsid w:val="00BF7ED8"/>
    <w:rsid w:val="00C00A14"/>
    <w:rsid w:val="00C0222C"/>
    <w:rsid w:val="00C0236E"/>
    <w:rsid w:val="00C04139"/>
    <w:rsid w:val="00C0476F"/>
    <w:rsid w:val="00C0572E"/>
    <w:rsid w:val="00C105A1"/>
    <w:rsid w:val="00C1095B"/>
    <w:rsid w:val="00C1108E"/>
    <w:rsid w:val="00C120AB"/>
    <w:rsid w:val="00C14A51"/>
    <w:rsid w:val="00C14B1A"/>
    <w:rsid w:val="00C15C65"/>
    <w:rsid w:val="00C163C1"/>
    <w:rsid w:val="00C16519"/>
    <w:rsid w:val="00C16C1D"/>
    <w:rsid w:val="00C17853"/>
    <w:rsid w:val="00C17EE4"/>
    <w:rsid w:val="00C21656"/>
    <w:rsid w:val="00C21B3D"/>
    <w:rsid w:val="00C24267"/>
    <w:rsid w:val="00C243E6"/>
    <w:rsid w:val="00C24A82"/>
    <w:rsid w:val="00C26FA6"/>
    <w:rsid w:val="00C2788D"/>
    <w:rsid w:val="00C31D37"/>
    <w:rsid w:val="00C33398"/>
    <w:rsid w:val="00C34388"/>
    <w:rsid w:val="00C34C5B"/>
    <w:rsid w:val="00C361F6"/>
    <w:rsid w:val="00C3669A"/>
    <w:rsid w:val="00C371D5"/>
    <w:rsid w:val="00C423E3"/>
    <w:rsid w:val="00C428AB"/>
    <w:rsid w:val="00C42D18"/>
    <w:rsid w:val="00C44BAC"/>
    <w:rsid w:val="00C45626"/>
    <w:rsid w:val="00C458AF"/>
    <w:rsid w:val="00C46041"/>
    <w:rsid w:val="00C460A0"/>
    <w:rsid w:val="00C46244"/>
    <w:rsid w:val="00C4720D"/>
    <w:rsid w:val="00C47768"/>
    <w:rsid w:val="00C50068"/>
    <w:rsid w:val="00C50180"/>
    <w:rsid w:val="00C51C4B"/>
    <w:rsid w:val="00C51EE9"/>
    <w:rsid w:val="00C52108"/>
    <w:rsid w:val="00C539A5"/>
    <w:rsid w:val="00C53DFA"/>
    <w:rsid w:val="00C549F4"/>
    <w:rsid w:val="00C555FE"/>
    <w:rsid w:val="00C56E55"/>
    <w:rsid w:val="00C60DD4"/>
    <w:rsid w:val="00C60F27"/>
    <w:rsid w:val="00C610F2"/>
    <w:rsid w:val="00C61526"/>
    <w:rsid w:val="00C61B5E"/>
    <w:rsid w:val="00C64A7F"/>
    <w:rsid w:val="00C676F3"/>
    <w:rsid w:val="00C711C8"/>
    <w:rsid w:val="00C71AB8"/>
    <w:rsid w:val="00C72641"/>
    <w:rsid w:val="00C73E8B"/>
    <w:rsid w:val="00C74E97"/>
    <w:rsid w:val="00C75909"/>
    <w:rsid w:val="00C75D70"/>
    <w:rsid w:val="00C767D5"/>
    <w:rsid w:val="00C76EB2"/>
    <w:rsid w:val="00C77219"/>
    <w:rsid w:val="00C77EFD"/>
    <w:rsid w:val="00C809AF"/>
    <w:rsid w:val="00C81A10"/>
    <w:rsid w:val="00C81F39"/>
    <w:rsid w:val="00C829DF"/>
    <w:rsid w:val="00C82F5A"/>
    <w:rsid w:val="00C84021"/>
    <w:rsid w:val="00C85B7F"/>
    <w:rsid w:val="00C86AEA"/>
    <w:rsid w:val="00C86F14"/>
    <w:rsid w:val="00C875AE"/>
    <w:rsid w:val="00C90B1C"/>
    <w:rsid w:val="00C90CE6"/>
    <w:rsid w:val="00C91925"/>
    <w:rsid w:val="00C93030"/>
    <w:rsid w:val="00C9310B"/>
    <w:rsid w:val="00C937FB"/>
    <w:rsid w:val="00CA0F98"/>
    <w:rsid w:val="00CA2964"/>
    <w:rsid w:val="00CA696D"/>
    <w:rsid w:val="00CA6B5A"/>
    <w:rsid w:val="00CB1536"/>
    <w:rsid w:val="00CB3907"/>
    <w:rsid w:val="00CB3AC1"/>
    <w:rsid w:val="00CB3B51"/>
    <w:rsid w:val="00CB46F0"/>
    <w:rsid w:val="00CB5B24"/>
    <w:rsid w:val="00CB6167"/>
    <w:rsid w:val="00CC0C54"/>
    <w:rsid w:val="00CC1016"/>
    <w:rsid w:val="00CC32A0"/>
    <w:rsid w:val="00CC3829"/>
    <w:rsid w:val="00CC47C7"/>
    <w:rsid w:val="00CC585C"/>
    <w:rsid w:val="00CD0D1D"/>
    <w:rsid w:val="00CD1673"/>
    <w:rsid w:val="00CD1721"/>
    <w:rsid w:val="00CD25F1"/>
    <w:rsid w:val="00CD4DDC"/>
    <w:rsid w:val="00CD6592"/>
    <w:rsid w:val="00CE0808"/>
    <w:rsid w:val="00CE1989"/>
    <w:rsid w:val="00CE2E22"/>
    <w:rsid w:val="00CE35B4"/>
    <w:rsid w:val="00CE6301"/>
    <w:rsid w:val="00CF06D4"/>
    <w:rsid w:val="00CF1D94"/>
    <w:rsid w:val="00CF2008"/>
    <w:rsid w:val="00CF2496"/>
    <w:rsid w:val="00CF3649"/>
    <w:rsid w:val="00CF4188"/>
    <w:rsid w:val="00CF4A66"/>
    <w:rsid w:val="00CF4E9E"/>
    <w:rsid w:val="00CF52CE"/>
    <w:rsid w:val="00CF7848"/>
    <w:rsid w:val="00D00B84"/>
    <w:rsid w:val="00D058FC"/>
    <w:rsid w:val="00D05AC1"/>
    <w:rsid w:val="00D06213"/>
    <w:rsid w:val="00D073D1"/>
    <w:rsid w:val="00D10010"/>
    <w:rsid w:val="00D11510"/>
    <w:rsid w:val="00D116EE"/>
    <w:rsid w:val="00D12BB7"/>
    <w:rsid w:val="00D12E8D"/>
    <w:rsid w:val="00D14F68"/>
    <w:rsid w:val="00D1564F"/>
    <w:rsid w:val="00D159D4"/>
    <w:rsid w:val="00D15C79"/>
    <w:rsid w:val="00D1641A"/>
    <w:rsid w:val="00D20E16"/>
    <w:rsid w:val="00D21601"/>
    <w:rsid w:val="00D2164A"/>
    <w:rsid w:val="00D21AA7"/>
    <w:rsid w:val="00D22F1C"/>
    <w:rsid w:val="00D2345D"/>
    <w:rsid w:val="00D23D75"/>
    <w:rsid w:val="00D256F0"/>
    <w:rsid w:val="00D26D4B"/>
    <w:rsid w:val="00D31882"/>
    <w:rsid w:val="00D31BAB"/>
    <w:rsid w:val="00D31D27"/>
    <w:rsid w:val="00D32109"/>
    <w:rsid w:val="00D330B3"/>
    <w:rsid w:val="00D336A4"/>
    <w:rsid w:val="00D33A54"/>
    <w:rsid w:val="00D34AFB"/>
    <w:rsid w:val="00D352EE"/>
    <w:rsid w:val="00D35A03"/>
    <w:rsid w:val="00D3725D"/>
    <w:rsid w:val="00D37377"/>
    <w:rsid w:val="00D4178A"/>
    <w:rsid w:val="00D41830"/>
    <w:rsid w:val="00D42270"/>
    <w:rsid w:val="00D45B31"/>
    <w:rsid w:val="00D45B8C"/>
    <w:rsid w:val="00D56058"/>
    <w:rsid w:val="00D567E0"/>
    <w:rsid w:val="00D56A09"/>
    <w:rsid w:val="00D57976"/>
    <w:rsid w:val="00D61F2D"/>
    <w:rsid w:val="00D622E5"/>
    <w:rsid w:val="00D628B8"/>
    <w:rsid w:val="00D630DE"/>
    <w:rsid w:val="00D63DBC"/>
    <w:rsid w:val="00D645C6"/>
    <w:rsid w:val="00D6548A"/>
    <w:rsid w:val="00D65571"/>
    <w:rsid w:val="00D65905"/>
    <w:rsid w:val="00D65A71"/>
    <w:rsid w:val="00D66C66"/>
    <w:rsid w:val="00D67355"/>
    <w:rsid w:val="00D712C3"/>
    <w:rsid w:val="00D71B03"/>
    <w:rsid w:val="00D72349"/>
    <w:rsid w:val="00D7327A"/>
    <w:rsid w:val="00D74EC8"/>
    <w:rsid w:val="00D76F23"/>
    <w:rsid w:val="00D80925"/>
    <w:rsid w:val="00D81AC9"/>
    <w:rsid w:val="00D849E3"/>
    <w:rsid w:val="00D858CC"/>
    <w:rsid w:val="00D9086C"/>
    <w:rsid w:val="00D91172"/>
    <w:rsid w:val="00D922E1"/>
    <w:rsid w:val="00D92C84"/>
    <w:rsid w:val="00D93AAA"/>
    <w:rsid w:val="00D93ECC"/>
    <w:rsid w:val="00D94745"/>
    <w:rsid w:val="00D94921"/>
    <w:rsid w:val="00D95DFF"/>
    <w:rsid w:val="00D963D5"/>
    <w:rsid w:val="00D96C96"/>
    <w:rsid w:val="00DA2201"/>
    <w:rsid w:val="00DA3789"/>
    <w:rsid w:val="00DA41B2"/>
    <w:rsid w:val="00DA5D06"/>
    <w:rsid w:val="00DA62C4"/>
    <w:rsid w:val="00DA7B20"/>
    <w:rsid w:val="00DB049D"/>
    <w:rsid w:val="00DB473D"/>
    <w:rsid w:val="00DB5727"/>
    <w:rsid w:val="00DB68CC"/>
    <w:rsid w:val="00DB72F1"/>
    <w:rsid w:val="00DC2E38"/>
    <w:rsid w:val="00DC2FBF"/>
    <w:rsid w:val="00DC4322"/>
    <w:rsid w:val="00DC52BC"/>
    <w:rsid w:val="00DC60C2"/>
    <w:rsid w:val="00DC61D2"/>
    <w:rsid w:val="00DC621D"/>
    <w:rsid w:val="00DC6A98"/>
    <w:rsid w:val="00DC6EF8"/>
    <w:rsid w:val="00DC7245"/>
    <w:rsid w:val="00DC730A"/>
    <w:rsid w:val="00DC7A0C"/>
    <w:rsid w:val="00DD074A"/>
    <w:rsid w:val="00DD12FC"/>
    <w:rsid w:val="00DD1ED6"/>
    <w:rsid w:val="00DD2710"/>
    <w:rsid w:val="00DD2B0D"/>
    <w:rsid w:val="00DE130A"/>
    <w:rsid w:val="00DE1F21"/>
    <w:rsid w:val="00DE2E1C"/>
    <w:rsid w:val="00DE3369"/>
    <w:rsid w:val="00DE33DB"/>
    <w:rsid w:val="00DE38B2"/>
    <w:rsid w:val="00DF2C9A"/>
    <w:rsid w:val="00DF32E5"/>
    <w:rsid w:val="00DF5291"/>
    <w:rsid w:val="00DF6AC1"/>
    <w:rsid w:val="00E010C4"/>
    <w:rsid w:val="00E03EBC"/>
    <w:rsid w:val="00E05572"/>
    <w:rsid w:val="00E06927"/>
    <w:rsid w:val="00E06AB6"/>
    <w:rsid w:val="00E06F15"/>
    <w:rsid w:val="00E10D04"/>
    <w:rsid w:val="00E1217F"/>
    <w:rsid w:val="00E16292"/>
    <w:rsid w:val="00E166FD"/>
    <w:rsid w:val="00E17143"/>
    <w:rsid w:val="00E201D9"/>
    <w:rsid w:val="00E20294"/>
    <w:rsid w:val="00E221E9"/>
    <w:rsid w:val="00E22FB3"/>
    <w:rsid w:val="00E25706"/>
    <w:rsid w:val="00E25F47"/>
    <w:rsid w:val="00E264BB"/>
    <w:rsid w:val="00E267F5"/>
    <w:rsid w:val="00E276DF"/>
    <w:rsid w:val="00E27A89"/>
    <w:rsid w:val="00E30011"/>
    <w:rsid w:val="00E30596"/>
    <w:rsid w:val="00E31FF9"/>
    <w:rsid w:val="00E33434"/>
    <w:rsid w:val="00E33B23"/>
    <w:rsid w:val="00E35391"/>
    <w:rsid w:val="00E36274"/>
    <w:rsid w:val="00E37B1B"/>
    <w:rsid w:val="00E37B97"/>
    <w:rsid w:val="00E417B9"/>
    <w:rsid w:val="00E41B67"/>
    <w:rsid w:val="00E43C23"/>
    <w:rsid w:val="00E4477A"/>
    <w:rsid w:val="00E45160"/>
    <w:rsid w:val="00E45E6A"/>
    <w:rsid w:val="00E50A42"/>
    <w:rsid w:val="00E50ABF"/>
    <w:rsid w:val="00E52F6E"/>
    <w:rsid w:val="00E53930"/>
    <w:rsid w:val="00E54FA5"/>
    <w:rsid w:val="00E56D64"/>
    <w:rsid w:val="00E57446"/>
    <w:rsid w:val="00E61081"/>
    <w:rsid w:val="00E61788"/>
    <w:rsid w:val="00E65B18"/>
    <w:rsid w:val="00E65B9D"/>
    <w:rsid w:val="00E67F32"/>
    <w:rsid w:val="00E704E0"/>
    <w:rsid w:val="00E71CE6"/>
    <w:rsid w:val="00E71E16"/>
    <w:rsid w:val="00E728C6"/>
    <w:rsid w:val="00E73479"/>
    <w:rsid w:val="00E73E65"/>
    <w:rsid w:val="00E75732"/>
    <w:rsid w:val="00E76641"/>
    <w:rsid w:val="00E77AC7"/>
    <w:rsid w:val="00E77FA2"/>
    <w:rsid w:val="00E83DA2"/>
    <w:rsid w:val="00E84575"/>
    <w:rsid w:val="00E851E8"/>
    <w:rsid w:val="00E856E9"/>
    <w:rsid w:val="00E862E7"/>
    <w:rsid w:val="00E86395"/>
    <w:rsid w:val="00E86A0D"/>
    <w:rsid w:val="00E86DF2"/>
    <w:rsid w:val="00E879EC"/>
    <w:rsid w:val="00E949F8"/>
    <w:rsid w:val="00E94A64"/>
    <w:rsid w:val="00E94ACA"/>
    <w:rsid w:val="00E9538B"/>
    <w:rsid w:val="00E95703"/>
    <w:rsid w:val="00E95707"/>
    <w:rsid w:val="00E95C5F"/>
    <w:rsid w:val="00E95D75"/>
    <w:rsid w:val="00E964C2"/>
    <w:rsid w:val="00EA0297"/>
    <w:rsid w:val="00EA116B"/>
    <w:rsid w:val="00EA2C29"/>
    <w:rsid w:val="00EA2CB8"/>
    <w:rsid w:val="00EA3F05"/>
    <w:rsid w:val="00EA5E85"/>
    <w:rsid w:val="00EB0B07"/>
    <w:rsid w:val="00EB0C6A"/>
    <w:rsid w:val="00EB144E"/>
    <w:rsid w:val="00EB1B82"/>
    <w:rsid w:val="00EB2F49"/>
    <w:rsid w:val="00EB3E4C"/>
    <w:rsid w:val="00EB462A"/>
    <w:rsid w:val="00EB545A"/>
    <w:rsid w:val="00EB635D"/>
    <w:rsid w:val="00EB6554"/>
    <w:rsid w:val="00EB6AA6"/>
    <w:rsid w:val="00EC00AF"/>
    <w:rsid w:val="00EC0354"/>
    <w:rsid w:val="00EC5A70"/>
    <w:rsid w:val="00EC5B97"/>
    <w:rsid w:val="00EC692F"/>
    <w:rsid w:val="00EC6BED"/>
    <w:rsid w:val="00EC70BC"/>
    <w:rsid w:val="00ED018E"/>
    <w:rsid w:val="00ED044F"/>
    <w:rsid w:val="00ED07AD"/>
    <w:rsid w:val="00ED2A04"/>
    <w:rsid w:val="00ED370F"/>
    <w:rsid w:val="00ED3804"/>
    <w:rsid w:val="00ED39D5"/>
    <w:rsid w:val="00ED3B36"/>
    <w:rsid w:val="00ED46B4"/>
    <w:rsid w:val="00ED602B"/>
    <w:rsid w:val="00EE21A3"/>
    <w:rsid w:val="00EE21F2"/>
    <w:rsid w:val="00EE3460"/>
    <w:rsid w:val="00EE50EE"/>
    <w:rsid w:val="00EE55F9"/>
    <w:rsid w:val="00EE62A5"/>
    <w:rsid w:val="00EE63DE"/>
    <w:rsid w:val="00EE64F9"/>
    <w:rsid w:val="00EE7598"/>
    <w:rsid w:val="00EF00EA"/>
    <w:rsid w:val="00EF0CBA"/>
    <w:rsid w:val="00EF0D9E"/>
    <w:rsid w:val="00EF10D2"/>
    <w:rsid w:val="00EF34E1"/>
    <w:rsid w:val="00EF3688"/>
    <w:rsid w:val="00EF36A0"/>
    <w:rsid w:val="00EF524C"/>
    <w:rsid w:val="00EF64A7"/>
    <w:rsid w:val="00EF681B"/>
    <w:rsid w:val="00EF6CC3"/>
    <w:rsid w:val="00F00D0F"/>
    <w:rsid w:val="00F0109E"/>
    <w:rsid w:val="00F03A0B"/>
    <w:rsid w:val="00F04AF8"/>
    <w:rsid w:val="00F11454"/>
    <w:rsid w:val="00F12E5A"/>
    <w:rsid w:val="00F2125A"/>
    <w:rsid w:val="00F221FC"/>
    <w:rsid w:val="00F23C89"/>
    <w:rsid w:val="00F24025"/>
    <w:rsid w:val="00F322F5"/>
    <w:rsid w:val="00F35033"/>
    <w:rsid w:val="00F35CAE"/>
    <w:rsid w:val="00F36EE7"/>
    <w:rsid w:val="00F4044B"/>
    <w:rsid w:val="00F4192F"/>
    <w:rsid w:val="00F41B64"/>
    <w:rsid w:val="00F41D9D"/>
    <w:rsid w:val="00F42D18"/>
    <w:rsid w:val="00F43389"/>
    <w:rsid w:val="00F44250"/>
    <w:rsid w:val="00F4468A"/>
    <w:rsid w:val="00F47653"/>
    <w:rsid w:val="00F47EFB"/>
    <w:rsid w:val="00F505CE"/>
    <w:rsid w:val="00F50BE9"/>
    <w:rsid w:val="00F5169E"/>
    <w:rsid w:val="00F51C0B"/>
    <w:rsid w:val="00F52F4E"/>
    <w:rsid w:val="00F57AFC"/>
    <w:rsid w:val="00F627E4"/>
    <w:rsid w:val="00F6494D"/>
    <w:rsid w:val="00F654D7"/>
    <w:rsid w:val="00F65A5D"/>
    <w:rsid w:val="00F65DBD"/>
    <w:rsid w:val="00F669B9"/>
    <w:rsid w:val="00F67D80"/>
    <w:rsid w:val="00F773E6"/>
    <w:rsid w:val="00F7797F"/>
    <w:rsid w:val="00F77DEE"/>
    <w:rsid w:val="00F80A07"/>
    <w:rsid w:val="00F80C1E"/>
    <w:rsid w:val="00F80CEE"/>
    <w:rsid w:val="00F81639"/>
    <w:rsid w:val="00F81C18"/>
    <w:rsid w:val="00F81F36"/>
    <w:rsid w:val="00F82613"/>
    <w:rsid w:val="00F83E85"/>
    <w:rsid w:val="00F8493C"/>
    <w:rsid w:val="00F85468"/>
    <w:rsid w:val="00F854C0"/>
    <w:rsid w:val="00F86A45"/>
    <w:rsid w:val="00F86BC7"/>
    <w:rsid w:val="00F907D4"/>
    <w:rsid w:val="00F913C7"/>
    <w:rsid w:val="00F9202F"/>
    <w:rsid w:val="00F92AA4"/>
    <w:rsid w:val="00F9624D"/>
    <w:rsid w:val="00F967E1"/>
    <w:rsid w:val="00FA2519"/>
    <w:rsid w:val="00FA456B"/>
    <w:rsid w:val="00FA625E"/>
    <w:rsid w:val="00FA6B1E"/>
    <w:rsid w:val="00FB4165"/>
    <w:rsid w:val="00FB48E1"/>
    <w:rsid w:val="00FB59A0"/>
    <w:rsid w:val="00FB740E"/>
    <w:rsid w:val="00FC1484"/>
    <w:rsid w:val="00FC1792"/>
    <w:rsid w:val="00FC1944"/>
    <w:rsid w:val="00FC42BD"/>
    <w:rsid w:val="00FD2E9B"/>
    <w:rsid w:val="00FD378D"/>
    <w:rsid w:val="00FD41A2"/>
    <w:rsid w:val="00FE065B"/>
    <w:rsid w:val="00FE06D8"/>
    <w:rsid w:val="00FE17D2"/>
    <w:rsid w:val="00FE28DF"/>
    <w:rsid w:val="00FE2BF0"/>
    <w:rsid w:val="00FE43C6"/>
    <w:rsid w:val="00FE7835"/>
    <w:rsid w:val="00FF4148"/>
    <w:rsid w:val="00FF5A86"/>
    <w:rsid w:val="00FF6D2A"/>
    <w:rsid w:val="00FF7F4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457696"/>
  <w15:docId w15:val="{598FBBD5-5504-4A0A-BFBC-E507BA32B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69A"/>
    <w:rPr>
      <w:rFonts w:ascii="Arial" w:hAnsi="Arial"/>
      <w:sz w:val="22"/>
      <w:szCs w:val="24"/>
      <w:lang w:eastAsia="en-US"/>
    </w:rPr>
  </w:style>
  <w:style w:type="paragraph" w:styleId="Heading1">
    <w:name w:val="heading 1"/>
    <w:basedOn w:val="Normal"/>
    <w:next w:val="Normal"/>
    <w:qFormat/>
    <w:pPr>
      <w:keepNext/>
      <w:spacing w:line="480" w:lineRule="auto"/>
      <w:jc w:val="both"/>
      <w:outlineLvl w:val="0"/>
    </w:pPr>
    <w:rPr>
      <w:rFonts w:cs="Arial"/>
      <w:b/>
      <w:bCs/>
    </w:rPr>
  </w:style>
  <w:style w:type="paragraph" w:styleId="Heading2">
    <w:name w:val="heading 2"/>
    <w:basedOn w:val="Normal"/>
    <w:next w:val="Normal"/>
    <w:qFormat/>
    <w:rsid w:val="009B08AF"/>
    <w:pPr>
      <w:keepNext/>
      <w:spacing w:after="480" w:line="480" w:lineRule="auto"/>
      <w:outlineLvl w:val="1"/>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84021"/>
    <w:pPr>
      <w:keepNext/>
      <w:widowControl w:val="0"/>
      <w:spacing w:before="360" w:after="240"/>
    </w:pPr>
    <w:rPr>
      <w:rFonts w:cs="Arial"/>
      <w:b/>
      <w:bCs/>
    </w:rPr>
  </w:style>
  <w:style w:type="paragraph" w:styleId="Header">
    <w:name w:val="header"/>
    <w:basedOn w:val="Normal"/>
    <w:semiHidden/>
    <w:pPr>
      <w:tabs>
        <w:tab w:val="center" w:pos="4153"/>
        <w:tab w:val="right" w:pos="8306"/>
      </w:tabs>
    </w:pPr>
    <w:rPr>
      <w:lang w:val="en-GB"/>
    </w:rPr>
  </w:style>
  <w:style w:type="character" w:styleId="PageNumber">
    <w:name w:val="page number"/>
    <w:basedOn w:val="DefaultParagraphFont"/>
    <w:semiHidden/>
  </w:style>
  <w:style w:type="paragraph" w:styleId="BodyText">
    <w:name w:val="Body Text"/>
    <w:basedOn w:val="Normal"/>
    <w:semiHidden/>
    <w:pPr>
      <w:jc w:val="both"/>
    </w:pPr>
    <w:rPr>
      <w:bCs/>
    </w:rPr>
  </w:style>
  <w:style w:type="paragraph" w:styleId="Footer">
    <w:name w:val="footer"/>
    <w:basedOn w:val="Normal"/>
    <w:link w:val="FooterChar"/>
    <w:uiPriority w:val="99"/>
    <w:unhideWhenUsed/>
    <w:rsid w:val="008B1DA9"/>
    <w:pPr>
      <w:tabs>
        <w:tab w:val="center" w:pos="4513"/>
        <w:tab w:val="right" w:pos="9026"/>
      </w:tabs>
    </w:pPr>
  </w:style>
  <w:style w:type="character" w:customStyle="1" w:styleId="FooterChar">
    <w:name w:val="Footer Char"/>
    <w:basedOn w:val="DefaultParagraphFont"/>
    <w:link w:val="Footer"/>
    <w:uiPriority w:val="99"/>
    <w:rsid w:val="008B1DA9"/>
    <w:rPr>
      <w:sz w:val="24"/>
      <w:szCs w:val="24"/>
      <w:lang w:eastAsia="en-US"/>
    </w:rPr>
  </w:style>
  <w:style w:type="paragraph" w:styleId="BalloonText">
    <w:name w:val="Balloon Text"/>
    <w:basedOn w:val="Normal"/>
    <w:link w:val="BalloonTextChar"/>
    <w:uiPriority w:val="99"/>
    <w:semiHidden/>
    <w:unhideWhenUsed/>
    <w:rsid w:val="006C43D7"/>
    <w:rPr>
      <w:rFonts w:ascii="Tahoma" w:hAnsi="Tahoma" w:cs="Tahoma"/>
      <w:sz w:val="16"/>
      <w:szCs w:val="16"/>
    </w:rPr>
  </w:style>
  <w:style w:type="character" w:customStyle="1" w:styleId="BalloonTextChar">
    <w:name w:val="Balloon Text Char"/>
    <w:basedOn w:val="DefaultParagraphFont"/>
    <w:link w:val="BalloonText"/>
    <w:uiPriority w:val="99"/>
    <w:semiHidden/>
    <w:rsid w:val="006C43D7"/>
    <w:rPr>
      <w:rFonts w:ascii="Tahoma" w:hAnsi="Tahoma" w:cs="Tahoma"/>
      <w:sz w:val="16"/>
      <w:szCs w:val="16"/>
      <w:lang w:eastAsia="en-US"/>
    </w:rPr>
  </w:style>
  <w:style w:type="paragraph" w:styleId="FootnoteText">
    <w:name w:val="footnote text"/>
    <w:basedOn w:val="Normal"/>
    <w:link w:val="FootnoteTextChar"/>
    <w:uiPriority w:val="99"/>
    <w:unhideWhenUsed/>
    <w:rsid w:val="009869F2"/>
    <w:pPr>
      <w:ind w:left="340" w:hanging="340"/>
      <w:jc w:val="both"/>
    </w:pPr>
    <w:rPr>
      <w:sz w:val="20"/>
      <w:szCs w:val="20"/>
    </w:rPr>
  </w:style>
  <w:style w:type="character" w:customStyle="1" w:styleId="FootnoteTextChar">
    <w:name w:val="Footnote Text Char"/>
    <w:basedOn w:val="DefaultParagraphFont"/>
    <w:link w:val="FootnoteText"/>
    <w:uiPriority w:val="99"/>
    <w:rsid w:val="009869F2"/>
    <w:rPr>
      <w:rFonts w:ascii="Arial" w:hAnsi="Arial"/>
      <w:lang w:eastAsia="en-US"/>
    </w:rPr>
  </w:style>
  <w:style w:type="character" w:styleId="FootnoteReference">
    <w:name w:val="footnote reference"/>
    <w:basedOn w:val="DefaultParagraphFont"/>
    <w:uiPriority w:val="99"/>
    <w:semiHidden/>
    <w:unhideWhenUsed/>
    <w:rsid w:val="00AD2631"/>
    <w:rPr>
      <w:vertAlign w:val="superscript"/>
    </w:rPr>
  </w:style>
  <w:style w:type="paragraph" w:styleId="ListParagraph">
    <w:name w:val="List Paragraph"/>
    <w:basedOn w:val="Normal"/>
    <w:uiPriority w:val="34"/>
    <w:qFormat/>
    <w:rsid w:val="00504B53"/>
    <w:pPr>
      <w:ind w:left="720"/>
      <w:contextualSpacing/>
    </w:pPr>
  </w:style>
  <w:style w:type="paragraph" w:styleId="Quote">
    <w:name w:val="Quote"/>
    <w:basedOn w:val="Normal"/>
    <w:next w:val="Normal"/>
    <w:link w:val="QuoteChar"/>
    <w:uiPriority w:val="29"/>
    <w:qFormat/>
    <w:rsid w:val="00933065"/>
    <w:pPr>
      <w:spacing w:before="200" w:after="160"/>
      <w:ind w:left="864" w:right="864"/>
    </w:pPr>
    <w:rPr>
      <w:i/>
      <w:iCs/>
      <w:color w:val="000000" w:themeColor="text1"/>
    </w:rPr>
  </w:style>
  <w:style w:type="character" w:customStyle="1" w:styleId="QuoteChar">
    <w:name w:val="Quote Char"/>
    <w:basedOn w:val="DefaultParagraphFont"/>
    <w:link w:val="Quote"/>
    <w:uiPriority w:val="29"/>
    <w:rsid w:val="00933065"/>
    <w:rPr>
      <w:rFonts w:ascii="Arial" w:hAnsi="Arial"/>
      <w:i/>
      <w:iCs/>
      <w:color w:val="000000" w:themeColor="text1"/>
      <w:sz w:val="22"/>
      <w:szCs w:val="24"/>
      <w:lang w:eastAsia="en-US"/>
    </w:rPr>
  </w:style>
  <w:style w:type="paragraph" w:customStyle="1" w:styleId="lrpara">
    <w:name w:val="lrpara"/>
    <w:basedOn w:val="Normal"/>
    <w:rsid w:val="00EA3F05"/>
    <w:pPr>
      <w:spacing w:before="100" w:beforeAutospacing="1" w:after="100" w:afterAutospacing="1"/>
    </w:pPr>
    <w:rPr>
      <w:rFonts w:ascii="Times New Roman" w:hAnsi="Times New Roman"/>
      <w:sz w:val="24"/>
      <w:lang w:eastAsia="en-ZA"/>
    </w:rPr>
  </w:style>
  <w:style w:type="paragraph" w:customStyle="1" w:styleId="pageno">
    <w:name w:val="pageno"/>
    <w:basedOn w:val="Normal"/>
    <w:rsid w:val="00EA3F05"/>
    <w:pPr>
      <w:spacing w:before="100" w:beforeAutospacing="1" w:after="100" w:afterAutospacing="1"/>
    </w:pPr>
    <w:rPr>
      <w:rFonts w:ascii="Times New Roman" w:hAnsi="Times New Roman"/>
      <w:sz w:val="24"/>
      <w:lang w:eastAsia="en-ZA"/>
    </w:rPr>
  </w:style>
  <w:style w:type="paragraph" w:customStyle="1" w:styleId="lrjudgecont">
    <w:name w:val="lrjudgecont"/>
    <w:basedOn w:val="Normal"/>
    <w:rsid w:val="00EA3F05"/>
    <w:pPr>
      <w:spacing w:before="100" w:beforeAutospacing="1" w:after="100" w:afterAutospacing="1"/>
    </w:pPr>
    <w:rPr>
      <w:rFonts w:ascii="Times New Roman" w:hAnsi="Times New Roman"/>
      <w:sz w:val="24"/>
      <w:lang w:eastAsia="en-ZA"/>
    </w:rPr>
  </w:style>
  <w:style w:type="paragraph" w:styleId="NormalWeb">
    <w:name w:val="Normal (Web)"/>
    <w:basedOn w:val="Normal"/>
    <w:uiPriority w:val="99"/>
    <w:semiHidden/>
    <w:unhideWhenUsed/>
    <w:rsid w:val="00EA3F05"/>
    <w:pPr>
      <w:spacing w:before="100" w:beforeAutospacing="1" w:after="100" w:afterAutospacing="1"/>
    </w:pPr>
    <w:rPr>
      <w:rFonts w:ascii="Times New Roman" w:hAnsi="Times New Roman"/>
      <w:sz w:val="24"/>
      <w:lang w:eastAsia="en-ZA"/>
    </w:rPr>
  </w:style>
  <w:style w:type="character" w:customStyle="1" w:styleId="mc">
    <w:name w:val="mc"/>
    <w:basedOn w:val="DefaultParagraphFont"/>
    <w:rsid w:val="00EA3F05"/>
  </w:style>
  <w:style w:type="character" w:customStyle="1" w:styleId="italic">
    <w:name w:val="italic"/>
    <w:basedOn w:val="DefaultParagraphFont"/>
    <w:rsid w:val="008675CC"/>
  </w:style>
  <w:style w:type="character" w:styleId="Hyperlink">
    <w:name w:val="Hyperlink"/>
    <w:basedOn w:val="DefaultParagraphFont"/>
    <w:uiPriority w:val="99"/>
    <w:unhideWhenUsed/>
    <w:rsid w:val="008675CC"/>
    <w:rPr>
      <w:color w:val="0000FF"/>
      <w:u w:val="single"/>
    </w:rPr>
  </w:style>
  <w:style w:type="paragraph" w:customStyle="1" w:styleId="normaltext">
    <w:name w:val="normaltext"/>
    <w:basedOn w:val="Normal"/>
    <w:rsid w:val="002A030C"/>
    <w:pPr>
      <w:spacing w:before="100" w:beforeAutospacing="1" w:after="100" w:afterAutospacing="1"/>
    </w:pPr>
    <w:rPr>
      <w:rFonts w:ascii="Times New Roman" w:hAnsi="Times New Roman"/>
      <w:sz w:val="24"/>
      <w:lang w:eastAsia="en-ZA"/>
    </w:rPr>
  </w:style>
  <w:style w:type="table" w:styleId="TableGrid">
    <w:name w:val="Table Grid"/>
    <w:basedOn w:val="TableNormal"/>
    <w:uiPriority w:val="59"/>
    <w:rsid w:val="002104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030A89"/>
    <w:rPr>
      <w:sz w:val="20"/>
      <w:szCs w:val="20"/>
    </w:rPr>
  </w:style>
  <w:style w:type="character" w:customStyle="1" w:styleId="EndnoteTextChar">
    <w:name w:val="Endnote Text Char"/>
    <w:basedOn w:val="DefaultParagraphFont"/>
    <w:link w:val="EndnoteText"/>
    <w:uiPriority w:val="99"/>
    <w:semiHidden/>
    <w:rsid w:val="00030A89"/>
    <w:rPr>
      <w:rFonts w:ascii="Arial" w:hAnsi="Arial"/>
      <w:lang w:eastAsia="en-US"/>
    </w:rPr>
  </w:style>
  <w:style w:type="character" w:styleId="EndnoteReference">
    <w:name w:val="endnote reference"/>
    <w:basedOn w:val="DefaultParagraphFont"/>
    <w:uiPriority w:val="99"/>
    <w:semiHidden/>
    <w:unhideWhenUsed/>
    <w:rsid w:val="00030A89"/>
    <w:rPr>
      <w:vertAlign w:val="superscript"/>
    </w:rPr>
  </w:style>
  <w:style w:type="character" w:customStyle="1" w:styleId="footnoteanchor">
    <w:name w:val="footnoteanchor"/>
    <w:basedOn w:val="DefaultParagraphFont"/>
    <w:rsid w:val="00BF7ED8"/>
  </w:style>
  <w:style w:type="character" w:customStyle="1" w:styleId="AFUBodytextCharChar">
    <w:name w:val="AFU Body text Char Char"/>
    <w:basedOn w:val="DefaultParagraphFont"/>
    <w:link w:val="AFUBodytext"/>
    <w:locked/>
    <w:rsid w:val="007A1D60"/>
    <w:rPr>
      <w:rFonts w:ascii="Arial" w:hAnsi="Arial" w:cs="Arial"/>
      <w:sz w:val="22"/>
      <w:szCs w:val="22"/>
      <w:lang w:eastAsia="en-GB"/>
    </w:rPr>
  </w:style>
  <w:style w:type="paragraph" w:customStyle="1" w:styleId="AFUBodytext">
    <w:name w:val="AFU Body text"/>
    <w:basedOn w:val="Normal"/>
    <w:link w:val="AFUBodytextCharChar"/>
    <w:rsid w:val="007A1D60"/>
    <w:pPr>
      <w:spacing w:before="120" w:after="120" w:line="480" w:lineRule="auto"/>
      <w:jc w:val="both"/>
    </w:pPr>
    <w:rPr>
      <w:rFonts w:cs="Arial"/>
      <w:szCs w:val="22"/>
      <w:lang w:eastAsia="en-GB"/>
    </w:rPr>
  </w:style>
  <w:style w:type="paragraph" w:customStyle="1" w:styleId="AFUaffidavitnumbering">
    <w:name w:val="AFU affidavit numbering"/>
    <w:basedOn w:val="Normal"/>
    <w:link w:val="AFUaffidavitnumberingCharChar"/>
    <w:uiPriority w:val="99"/>
    <w:qFormat/>
    <w:rsid w:val="00E61081"/>
    <w:pPr>
      <w:numPr>
        <w:numId w:val="12"/>
      </w:numPr>
      <w:spacing w:before="240" w:after="240" w:line="480" w:lineRule="auto"/>
      <w:jc w:val="both"/>
    </w:pPr>
    <w:rPr>
      <w:rFonts w:eastAsia="Calibri"/>
      <w:szCs w:val="22"/>
    </w:rPr>
  </w:style>
  <w:style w:type="character" w:customStyle="1" w:styleId="AFUaffidavitnumberingCharChar">
    <w:name w:val="AFU affidavit numbering Char Char"/>
    <w:basedOn w:val="DefaultParagraphFont"/>
    <w:link w:val="AFUaffidavitnumbering"/>
    <w:uiPriority w:val="99"/>
    <w:rsid w:val="00E61081"/>
    <w:rPr>
      <w:rFonts w:ascii="Arial" w:eastAsia="Calibri" w:hAnsi="Arial"/>
      <w:sz w:val="22"/>
      <w:szCs w:val="22"/>
      <w:lang w:eastAsia="en-US"/>
    </w:rPr>
  </w:style>
  <w:style w:type="paragraph" w:customStyle="1" w:styleId="Default">
    <w:name w:val="Default"/>
    <w:rsid w:val="00A434B9"/>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B20DD8"/>
  </w:style>
  <w:style w:type="character" w:customStyle="1" w:styleId="searchhit">
    <w:name w:val="searchhit"/>
    <w:basedOn w:val="DefaultParagraphFont"/>
    <w:rsid w:val="005A20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854104">
      <w:bodyDiv w:val="1"/>
      <w:marLeft w:val="0"/>
      <w:marRight w:val="0"/>
      <w:marTop w:val="0"/>
      <w:marBottom w:val="0"/>
      <w:divBdr>
        <w:top w:val="none" w:sz="0" w:space="0" w:color="auto"/>
        <w:left w:val="none" w:sz="0" w:space="0" w:color="auto"/>
        <w:bottom w:val="none" w:sz="0" w:space="0" w:color="auto"/>
        <w:right w:val="none" w:sz="0" w:space="0" w:color="auto"/>
      </w:divBdr>
    </w:div>
    <w:div w:id="163209253">
      <w:bodyDiv w:val="1"/>
      <w:marLeft w:val="0"/>
      <w:marRight w:val="0"/>
      <w:marTop w:val="0"/>
      <w:marBottom w:val="0"/>
      <w:divBdr>
        <w:top w:val="none" w:sz="0" w:space="0" w:color="auto"/>
        <w:left w:val="none" w:sz="0" w:space="0" w:color="auto"/>
        <w:bottom w:val="none" w:sz="0" w:space="0" w:color="auto"/>
        <w:right w:val="none" w:sz="0" w:space="0" w:color="auto"/>
      </w:divBdr>
      <w:divsChild>
        <w:div w:id="559486776">
          <w:marLeft w:val="0"/>
          <w:marRight w:val="0"/>
          <w:marTop w:val="120"/>
          <w:marBottom w:val="0"/>
          <w:divBdr>
            <w:top w:val="none" w:sz="0" w:space="0" w:color="auto"/>
            <w:left w:val="none" w:sz="0" w:space="0" w:color="auto"/>
            <w:bottom w:val="none" w:sz="0" w:space="0" w:color="auto"/>
            <w:right w:val="none" w:sz="0" w:space="0" w:color="auto"/>
          </w:divBdr>
        </w:div>
        <w:div w:id="1238244361">
          <w:marLeft w:val="0"/>
          <w:marRight w:val="0"/>
          <w:marTop w:val="240"/>
          <w:marBottom w:val="0"/>
          <w:divBdr>
            <w:top w:val="none" w:sz="0" w:space="0" w:color="auto"/>
            <w:left w:val="none" w:sz="0" w:space="0" w:color="auto"/>
            <w:bottom w:val="none" w:sz="0" w:space="0" w:color="auto"/>
            <w:right w:val="none" w:sz="0" w:space="0" w:color="auto"/>
          </w:divBdr>
        </w:div>
        <w:div w:id="1412848520">
          <w:marLeft w:val="567"/>
          <w:marRight w:val="567"/>
          <w:marTop w:val="20"/>
          <w:marBottom w:val="20"/>
          <w:divBdr>
            <w:top w:val="none" w:sz="0" w:space="0" w:color="auto"/>
            <w:left w:val="none" w:sz="0" w:space="0" w:color="auto"/>
            <w:bottom w:val="none" w:sz="0" w:space="0" w:color="auto"/>
            <w:right w:val="none" w:sz="0" w:space="0" w:color="auto"/>
          </w:divBdr>
        </w:div>
      </w:divsChild>
    </w:div>
    <w:div w:id="302393966">
      <w:bodyDiv w:val="1"/>
      <w:marLeft w:val="0"/>
      <w:marRight w:val="0"/>
      <w:marTop w:val="0"/>
      <w:marBottom w:val="0"/>
      <w:divBdr>
        <w:top w:val="none" w:sz="0" w:space="0" w:color="auto"/>
        <w:left w:val="none" w:sz="0" w:space="0" w:color="auto"/>
        <w:bottom w:val="none" w:sz="0" w:space="0" w:color="auto"/>
        <w:right w:val="none" w:sz="0" w:space="0" w:color="auto"/>
      </w:divBdr>
      <w:divsChild>
        <w:div w:id="315837348">
          <w:marLeft w:val="0"/>
          <w:marRight w:val="0"/>
          <w:marTop w:val="180"/>
          <w:marBottom w:val="60"/>
          <w:divBdr>
            <w:top w:val="single" w:sz="8" w:space="1" w:color="808080"/>
            <w:left w:val="none" w:sz="0" w:space="0" w:color="auto"/>
            <w:bottom w:val="none" w:sz="0" w:space="0" w:color="auto"/>
            <w:right w:val="none" w:sz="0" w:space="0" w:color="auto"/>
          </w:divBdr>
        </w:div>
        <w:div w:id="1121724181">
          <w:marLeft w:val="1134"/>
          <w:marRight w:val="0"/>
          <w:marTop w:val="60"/>
          <w:marBottom w:val="0"/>
          <w:divBdr>
            <w:top w:val="none" w:sz="0" w:space="0" w:color="auto"/>
            <w:left w:val="none" w:sz="0" w:space="0" w:color="auto"/>
            <w:bottom w:val="none" w:sz="0" w:space="0" w:color="auto"/>
            <w:right w:val="none" w:sz="0" w:space="0" w:color="auto"/>
          </w:divBdr>
        </w:div>
        <w:div w:id="1205827785">
          <w:marLeft w:val="0"/>
          <w:marRight w:val="0"/>
          <w:marTop w:val="120"/>
          <w:marBottom w:val="0"/>
          <w:divBdr>
            <w:top w:val="none" w:sz="0" w:space="0" w:color="auto"/>
            <w:left w:val="none" w:sz="0" w:space="0" w:color="auto"/>
            <w:bottom w:val="none" w:sz="0" w:space="0" w:color="auto"/>
            <w:right w:val="none" w:sz="0" w:space="0" w:color="auto"/>
          </w:divBdr>
        </w:div>
        <w:div w:id="1577285130">
          <w:marLeft w:val="0"/>
          <w:marRight w:val="0"/>
          <w:marTop w:val="120"/>
          <w:marBottom w:val="0"/>
          <w:divBdr>
            <w:top w:val="none" w:sz="0" w:space="0" w:color="auto"/>
            <w:left w:val="none" w:sz="0" w:space="0" w:color="auto"/>
            <w:bottom w:val="none" w:sz="0" w:space="0" w:color="auto"/>
            <w:right w:val="none" w:sz="0" w:space="0" w:color="auto"/>
          </w:divBdr>
        </w:div>
        <w:div w:id="1627590018">
          <w:marLeft w:val="0"/>
          <w:marRight w:val="0"/>
          <w:marTop w:val="120"/>
          <w:marBottom w:val="0"/>
          <w:divBdr>
            <w:top w:val="none" w:sz="0" w:space="0" w:color="auto"/>
            <w:left w:val="none" w:sz="0" w:space="0" w:color="auto"/>
            <w:bottom w:val="none" w:sz="0" w:space="0" w:color="auto"/>
            <w:right w:val="none" w:sz="0" w:space="0" w:color="auto"/>
          </w:divBdr>
        </w:div>
        <w:div w:id="1653682268">
          <w:marLeft w:val="1134"/>
          <w:marRight w:val="0"/>
          <w:marTop w:val="60"/>
          <w:marBottom w:val="0"/>
          <w:divBdr>
            <w:top w:val="none" w:sz="0" w:space="0" w:color="auto"/>
            <w:left w:val="none" w:sz="0" w:space="0" w:color="auto"/>
            <w:bottom w:val="none" w:sz="0" w:space="0" w:color="auto"/>
            <w:right w:val="none" w:sz="0" w:space="0" w:color="auto"/>
          </w:divBdr>
        </w:div>
        <w:div w:id="1819493354">
          <w:marLeft w:val="0"/>
          <w:marRight w:val="0"/>
          <w:marTop w:val="180"/>
          <w:marBottom w:val="60"/>
          <w:divBdr>
            <w:top w:val="single" w:sz="8" w:space="1" w:color="808080"/>
            <w:left w:val="none" w:sz="0" w:space="0" w:color="auto"/>
            <w:bottom w:val="none" w:sz="0" w:space="0" w:color="auto"/>
            <w:right w:val="none" w:sz="0" w:space="0" w:color="auto"/>
          </w:divBdr>
        </w:div>
        <w:div w:id="1977877299">
          <w:marLeft w:val="1134"/>
          <w:marRight w:val="0"/>
          <w:marTop w:val="60"/>
          <w:marBottom w:val="0"/>
          <w:divBdr>
            <w:top w:val="none" w:sz="0" w:space="0" w:color="auto"/>
            <w:left w:val="none" w:sz="0" w:space="0" w:color="auto"/>
            <w:bottom w:val="none" w:sz="0" w:space="0" w:color="auto"/>
            <w:right w:val="none" w:sz="0" w:space="0" w:color="auto"/>
          </w:divBdr>
        </w:div>
        <w:div w:id="2013219642">
          <w:marLeft w:val="0"/>
          <w:marRight w:val="0"/>
          <w:marTop w:val="120"/>
          <w:marBottom w:val="0"/>
          <w:divBdr>
            <w:top w:val="none" w:sz="0" w:space="0" w:color="auto"/>
            <w:left w:val="none" w:sz="0" w:space="0" w:color="auto"/>
            <w:bottom w:val="none" w:sz="0" w:space="0" w:color="auto"/>
            <w:right w:val="none" w:sz="0" w:space="0" w:color="auto"/>
          </w:divBdr>
        </w:div>
        <w:div w:id="2123844857">
          <w:marLeft w:val="0"/>
          <w:marRight w:val="0"/>
          <w:marTop w:val="120"/>
          <w:marBottom w:val="0"/>
          <w:divBdr>
            <w:top w:val="none" w:sz="0" w:space="0" w:color="auto"/>
            <w:left w:val="none" w:sz="0" w:space="0" w:color="auto"/>
            <w:bottom w:val="none" w:sz="0" w:space="0" w:color="auto"/>
            <w:right w:val="none" w:sz="0" w:space="0" w:color="auto"/>
          </w:divBdr>
        </w:div>
      </w:divsChild>
    </w:div>
    <w:div w:id="305014019">
      <w:bodyDiv w:val="1"/>
      <w:marLeft w:val="0"/>
      <w:marRight w:val="0"/>
      <w:marTop w:val="0"/>
      <w:marBottom w:val="0"/>
      <w:divBdr>
        <w:top w:val="none" w:sz="0" w:space="0" w:color="auto"/>
        <w:left w:val="none" w:sz="0" w:space="0" w:color="auto"/>
        <w:bottom w:val="none" w:sz="0" w:space="0" w:color="auto"/>
        <w:right w:val="none" w:sz="0" w:space="0" w:color="auto"/>
      </w:divBdr>
    </w:div>
    <w:div w:id="339508733">
      <w:bodyDiv w:val="1"/>
      <w:marLeft w:val="0"/>
      <w:marRight w:val="0"/>
      <w:marTop w:val="0"/>
      <w:marBottom w:val="0"/>
      <w:divBdr>
        <w:top w:val="none" w:sz="0" w:space="0" w:color="auto"/>
        <w:left w:val="none" w:sz="0" w:space="0" w:color="auto"/>
        <w:bottom w:val="none" w:sz="0" w:space="0" w:color="auto"/>
        <w:right w:val="none" w:sz="0" w:space="0" w:color="auto"/>
      </w:divBdr>
    </w:div>
    <w:div w:id="352655753">
      <w:bodyDiv w:val="1"/>
      <w:marLeft w:val="0"/>
      <w:marRight w:val="0"/>
      <w:marTop w:val="0"/>
      <w:marBottom w:val="0"/>
      <w:divBdr>
        <w:top w:val="none" w:sz="0" w:space="0" w:color="auto"/>
        <w:left w:val="none" w:sz="0" w:space="0" w:color="auto"/>
        <w:bottom w:val="none" w:sz="0" w:space="0" w:color="auto"/>
        <w:right w:val="none" w:sz="0" w:space="0" w:color="auto"/>
      </w:divBdr>
      <w:divsChild>
        <w:div w:id="543565086">
          <w:marLeft w:val="0"/>
          <w:marRight w:val="0"/>
          <w:marTop w:val="60"/>
          <w:marBottom w:val="0"/>
          <w:divBdr>
            <w:top w:val="none" w:sz="0" w:space="0" w:color="auto"/>
            <w:left w:val="none" w:sz="0" w:space="0" w:color="auto"/>
            <w:bottom w:val="none" w:sz="0" w:space="0" w:color="auto"/>
            <w:right w:val="none" w:sz="0" w:space="0" w:color="auto"/>
          </w:divBdr>
        </w:div>
        <w:div w:id="795026512">
          <w:marLeft w:val="0"/>
          <w:marRight w:val="0"/>
          <w:marTop w:val="120"/>
          <w:marBottom w:val="0"/>
          <w:divBdr>
            <w:top w:val="none" w:sz="0" w:space="0" w:color="auto"/>
            <w:left w:val="none" w:sz="0" w:space="0" w:color="auto"/>
            <w:bottom w:val="none" w:sz="0" w:space="0" w:color="auto"/>
            <w:right w:val="none" w:sz="0" w:space="0" w:color="auto"/>
          </w:divBdr>
        </w:div>
      </w:divsChild>
    </w:div>
    <w:div w:id="538202760">
      <w:bodyDiv w:val="1"/>
      <w:marLeft w:val="0"/>
      <w:marRight w:val="0"/>
      <w:marTop w:val="0"/>
      <w:marBottom w:val="0"/>
      <w:divBdr>
        <w:top w:val="none" w:sz="0" w:space="0" w:color="auto"/>
        <w:left w:val="none" w:sz="0" w:space="0" w:color="auto"/>
        <w:bottom w:val="none" w:sz="0" w:space="0" w:color="auto"/>
        <w:right w:val="none" w:sz="0" w:space="0" w:color="auto"/>
      </w:divBdr>
    </w:div>
    <w:div w:id="552427858">
      <w:bodyDiv w:val="1"/>
      <w:marLeft w:val="0"/>
      <w:marRight w:val="0"/>
      <w:marTop w:val="0"/>
      <w:marBottom w:val="0"/>
      <w:divBdr>
        <w:top w:val="none" w:sz="0" w:space="0" w:color="auto"/>
        <w:left w:val="none" w:sz="0" w:space="0" w:color="auto"/>
        <w:bottom w:val="none" w:sz="0" w:space="0" w:color="auto"/>
        <w:right w:val="none" w:sz="0" w:space="0" w:color="auto"/>
      </w:divBdr>
    </w:div>
    <w:div w:id="570697089">
      <w:bodyDiv w:val="1"/>
      <w:marLeft w:val="0"/>
      <w:marRight w:val="0"/>
      <w:marTop w:val="0"/>
      <w:marBottom w:val="0"/>
      <w:divBdr>
        <w:top w:val="none" w:sz="0" w:space="0" w:color="auto"/>
        <w:left w:val="none" w:sz="0" w:space="0" w:color="auto"/>
        <w:bottom w:val="none" w:sz="0" w:space="0" w:color="auto"/>
        <w:right w:val="none" w:sz="0" w:space="0" w:color="auto"/>
      </w:divBdr>
    </w:div>
    <w:div w:id="670260059">
      <w:bodyDiv w:val="1"/>
      <w:marLeft w:val="0"/>
      <w:marRight w:val="0"/>
      <w:marTop w:val="0"/>
      <w:marBottom w:val="0"/>
      <w:divBdr>
        <w:top w:val="none" w:sz="0" w:space="0" w:color="auto"/>
        <w:left w:val="none" w:sz="0" w:space="0" w:color="auto"/>
        <w:bottom w:val="none" w:sz="0" w:space="0" w:color="auto"/>
        <w:right w:val="none" w:sz="0" w:space="0" w:color="auto"/>
      </w:divBdr>
    </w:div>
    <w:div w:id="813523022">
      <w:bodyDiv w:val="1"/>
      <w:marLeft w:val="0"/>
      <w:marRight w:val="0"/>
      <w:marTop w:val="0"/>
      <w:marBottom w:val="0"/>
      <w:divBdr>
        <w:top w:val="none" w:sz="0" w:space="0" w:color="auto"/>
        <w:left w:val="none" w:sz="0" w:space="0" w:color="auto"/>
        <w:bottom w:val="none" w:sz="0" w:space="0" w:color="auto"/>
        <w:right w:val="none" w:sz="0" w:space="0" w:color="auto"/>
      </w:divBdr>
    </w:div>
    <w:div w:id="900557229">
      <w:bodyDiv w:val="1"/>
      <w:marLeft w:val="0"/>
      <w:marRight w:val="0"/>
      <w:marTop w:val="0"/>
      <w:marBottom w:val="0"/>
      <w:divBdr>
        <w:top w:val="none" w:sz="0" w:space="0" w:color="auto"/>
        <w:left w:val="none" w:sz="0" w:space="0" w:color="auto"/>
        <w:bottom w:val="none" w:sz="0" w:space="0" w:color="auto"/>
        <w:right w:val="none" w:sz="0" w:space="0" w:color="auto"/>
      </w:divBdr>
    </w:div>
    <w:div w:id="1026834901">
      <w:bodyDiv w:val="1"/>
      <w:marLeft w:val="0"/>
      <w:marRight w:val="0"/>
      <w:marTop w:val="0"/>
      <w:marBottom w:val="0"/>
      <w:divBdr>
        <w:top w:val="none" w:sz="0" w:space="0" w:color="auto"/>
        <w:left w:val="none" w:sz="0" w:space="0" w:color="auto"/>
        <w:bottom w:val="none" w:sz="0" w:space="0" w:color="auto"/>
        <w:right w:val="none" w:sz="0" w:space="0" w:color="auto"/>
      </w:divBdr>
    </w:div>
    <w:div w:id="1150560590">
      <w:bodyDiv w:val="1"/>
      <w:marLeft w:val="0"/>
      <w:marRight w:val="0"/>
      <w:marTop w:val="0"/>
      <w:marBottom w:val="0"/>
      <w:divBdr>
        <w:top w:val="none" w:sz="0" w:space="0" w:color="auto"/>
        <w:left w:val="none" w:sz="0" w:space="0" w:color="auto"/>
        <w:bottom w:val="none" w:sz="0" w:space="0" w:color="auto"/>
        <w:right w:val="none" w:sz="0" w:space="0" w:color="auto"/>
      </w:divBdr>
    </w:div>
    <w:div w:id="1170483299">
      <w:bodyDiv w:val="1"/>
      <w:marLeft w:val="0"/>
      <w:marRight w:val="0"/>
      <w:marTop w:val="0"/>
      <w:marBottom w:val="0"/>
      <w:divBdr>
        <w:top w:val="none" w:sz="0" w:space="0" w:color="auto"/>
        <w:left w:val="none" w:sz="0" w:space="0" w:color="auto"/>
        <w:bottom w:val="none" w:sz="0" w:space="0" w:color="auto"/>
        <w:right w:val="none" w:sz="0" w:space="0" w:color="auto"/>
      </w:divBdr>
    </w:div>
    <w:div w:id="1174035608">
      <w:bodyDiv w:val="1"/>
      <w:marLeft w:val="0"/>
      <w:marRight w:val="0"/>
      <w:marTop w:val="0"/>
      <w:marBottom w:val="0"/>
      <w:divBdr>
        <w:top w:val="none" w:sz="0" w:space="0" w:color="auto"/>
        <w:left w:val="none" w:sz="0" w:space="0" w:color="auto"/>
        <w:bottom w:val="none" w:sz="0" w:space="0" w:color="auto"/>
        <w:right w:val="none" w:sz="0" w:space="0" w:color="auto"/>
      </w:divBdr>
    </w:div>
    <w:div w:id="1197696140">
      <w:bodyDiv w:val="1"/>
      <w:marLeft w:val="0"/>
      <w:marRight w:val="0"/>
      <w:marTop w:val="0"/>
      <w:marBottom w:val="0"/>
      <w:divBdr>
        <w:top w:val="none" w:sz="0" w:space="0" w:color="auto"/>
        <w:left w:val="none" w:sz="0" w:space="0" w:color="auto"/>
        <w:bottom w:val="none" w:sz="0" w:space="0" w:color="auto"/>
        <w:right w:val="none" w:sz="0" w:space="0" w:color="auto"/>
      </w:divBdr>
      <w:divsChild>
        <w:div w:id="1878808815">
          <w:marLeft w:val="675"/>
          <w:marRight w:val="0"/>
          <w:marTop w:val="0"/>
          <w:marBottom w:val="0"/>
          <w:divBdr>
            <w:top w:val="none" w:sz="0" w:space="0" w:color="auto"/>
            <w:left w:val="none" w:sz="0" w:space="0" w:color="auto"/>
            <w:bottom w:val="none" w:sz="0" w:space="0" w:color="auto"/>
            <w:right w:val="none" w:sz="0" w:space="0" w:color="auto"/>
          </w:divBdr>
        </w:div>
        <w:div w:id="1892958996">
          <w:marLeft w:val="675"/>
          <w:marRight w:val="0"/>
          <w:marTop w:val="0"/>
          <w:marBottom w:val="0"/>
          <w:divBdr>
            <w:top w:val="none" w:sz="0" w:space="0" w:color="auto"/>
            <w:left w:val="none" w:sz="0" w:space="0" w:color="auto"/>
            <w:bottom w:val="none" w:sz="0" w:space="0" w:color="auto"/>
            <w:right w:val="none" w:sz="0" w:space="0" w:color="auto"/>
          </w:divBdr>
        </w:div>
        <w:div w:id="1937789993">
          <w:marLeft w:val="675"/>
          <w:marRight w:val="0"/>
          <w:marTop w:val="0"/>
          <w:marBottom w:val="0"/>
          <w:divBdr>
            <w:top w:val="none" w:sz="0" w:space="0" w:color="auto"/>
            <w:left w:val="none" w:sz="0" w:space="0" w:color="auto"/>
            <w:bottom w:val="none" w:sz="0" w:space="0" w:color="auto"/>
            <w:right w:val="none" w:sz="0" w:space="0" w:color="auto"/>
          </w:divBdr>
        </w:div>
      </w:divsChild>
    </w:div>
    <w:div w:id="1338922163">
      <w:bodyDiv w:val="1"/>
      <w:marLeft w:val="0"/>
      <w:marRight w:val="0"/>
      <w:marTop w:val="0"/>
      <w:marBottom w:val="0"/>
      <w:divBdr>
        <w:top w:val="none" w:sz="0" w:space="0" w:color="auto"/>
        <w:left w:val="none" w:sz="0" w:space="0" w:color="auto"/>
        <w:bottom w:val="none" w:sz="0" w:space="0" w:color="auto"/>
        <w:right w:val="none" w:sz="0" w:space="0" w:color="auto"/>
      </w:divBdr>
    </w:div>
    <w:div w:id="1558584358">
      <w:bodyDiv w:val="1"/>
      <w:marLeft w:val="0"/>
      <w:marRight w:val="0"/>
      <w:marTop w:val="0"/>
      <w:marBottom w:val="0"/>
      <w:divBdr>
        <w:top w:val="none" w:sz="0" w:space="0" w:color="auto"/>
        <w:left w:val="none" w:sz="0" w:space="0" w:color="auto"/>
        <w:bottom w:val="none" w:sz="0" w:space="0" w:color="auto"/>
        <w:right w:val="none" w:sz="0" w:space="0" w:color="auto"/>
      </w:divBdr>
    </w:div>
    <w:div w:id="1658531569">
      <w:bodyDiv w:val="1"/>
      <w:marLeft w:val="0"/>
      <w:marRight w:val="0"/>
      <w:marTop w:val="0"/>
      <w:marBottom w:val="0"/>
      <w:divBdr>
        <w:top w:val="none" w:sz="0" w:space="0" w:color="auto"/>
        <w:left w:val="none" w:sz="0" w:space="0" w:color="auto"/>
        <w:bottom w:val="none" w:sz="0" w:space="0" w:color="auto"/>
        <w:right w:val="none" w:sz="0" w:space="0" w:color="auto"/>
      </w:divBdr>
    </w:div>
    <w:div w:id="1670987435">
      <w:bodyDiv w:val="1"/>
      <w:marLeft w:val="0"/>
      <w:marRight w:val="0"/>
      <w:marTop w:val="0"/>
      <w:marBottom w:val="0"/>
      <w:divBdr>
        <w:top w:val="none" w:sz="0" w:space="0" w:color="auto"/>
        <w:left w:val="none" w:sz="0" w:space="0" w:color="auto"/>
        <w:bottom w:val="none" w:sz="0" w:space="0" w:color="auto"/>
        <w:right w:val="none" w:sz="0" w:space="0" w:color="auto"/>
      </w:divBdr>
    </w:div>
    <w:div w:id="1767656935">
      <w:bodyDiv w:val="1"/>
      <w:marLeft w:val="0"/>
      <w:marRight w:val="0"/>
      <w:marTop w:val="0"/>
      <w:marBottom w:val="0"/>
      <w:divBdr>
        <w:top w:val="none" w:sz="0" w:space="0" w:color="auto"/>
        <w:left w:val="none" w:sz="0" w:space="0" w:color="auto"/>
        <w:bottom w:val="none" w:sz="0" w:space="0" w:color="auto"/>
        <w:right w:val="none" w:sz="0" w:space="0" w:color="auto"/>
      </w:divBdr>
    </w:div>
    <w:div w:id="1782408303">
      <w:bodyDiv w:val="1"/>
      <w:marLeft w:val="0"/>
      <w:marRight w:val="0"/>
      <w:marTop w:val="0"/>
      <w:marBottom w:val="0"/>
      <w:divBdr>
        <w:top w:val="none" w:sz="0" w:space="0" w:color="auto"/>
        <w:left w:val="none" w:sz="0" w:space="0" w:color="auto"/>
        <w:bottom w:val="none" w:sz="0" w:space="0" w:color="auto"/>
        <w:right w:val="none" w:sz="0" w:space="0" w:color="auto"/>
      </w:divBdr>
    </w:div>
    <w:div w:id="1796942867">
      <w:bodyDiv w:val="1"/>
      <w:marLeft w:val="0"/>
      <w:marRight w:val="0"/>
      <w:marTop w:val="0"/>
      <w:marBottom w:val="0"/>
      <w:divBdr>
        <w:top w:val="none" w:sz="0" w:space="0" w:color="auto"/>
        <w:left w:val="none" w:sz="0" w:space="0" w:color="auto"/>
        <w:bottom w:val="none" w:sz="0" w:space="0" w:color="auto"/>
        <w:right w:val="none" w:sz="0" w:space="0" w:color="auto"/>
      </w:divBdr>
      <w:divsChild>
        <w:div w:id="180821449">
          <w:marLeft w:val="0"/>
          <w:marRight w:val="0"/>
          <w:marTop w:val="120"/>
          <w:marBottom w:val="0"/>
          <w:divBdr>
            <w:top w:val="none" w:sz="0" w:space="0" w:color="auto"/>
            <w:left w:val="none" w:sz="0" w:space="0" w:color="auto"/>
            <w:bottom w:val="none" w:sz="0" w:space="0" w:color="auto"/>
            <w:right w:val="none" w:sz="0" w:space="0" w:color="auto"/>
          </w:divBdr>
        </w:div>
        <w:div w:id="1104307864">
          <w:marLeft w:val="0"/>
          <w:marRight w:val="0"/>
          <w:marTop w:val="60"/>
          <w:marBottom w:val="0"/>
          <w:divBdr>
            <w:top w:val="none" w:sz="0" w:space="0" w:color="auto"/>
            <w:left w:val="none" w:sz="0" w:space="0" w:color="auto"/>
            <w:bottom w:val="none" w:sz="0" w:space="0" w:color="auto"/>
            <w:right w:val="none" w:sz="0" w:space="0" w:color="auto"/>
          </w:divBdr>
        </w:div>
      </w:divsChild>
    </w:div>
    <w:div w:id="19398727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app.jutastatevolve.co.za/y2018v2SApg510" TargetMode="External"/><Relationship Id="rId2" Type="http://schemas.openxmlformats.org/officeDocument/2006/relationships/hyperlink" Target="https://app.jutastatevolve.co.za/y2007v2SApg9" TargetMode="External"/><Relationship Id="rId1" Type="http://schemas.openxmlformats.org/officeDocument/2006/relationships/hyperlink" Target="https://app.jutastatevolve.co.za/y2004v2SApg8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Judgment%20Act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CDB6A1-5762-4F75-B805-9B85B48FE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Acting.dotx</Template>
  <TotalTime>6</TotalTime>
  <Pages>12</Pages>
  <Words>3190</Words>
  <Characters>18188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JUDGMENT</vt:lpstr>
    </vt:vector>
  </TitlesOfParts>
  <Company>Group21</Company>
  <LinksUpToDate>false</LinksUpToDate>
  <CharactersWithSpaces>21336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dc:title>
  <dc:subject/>
  <dc:creator>JR TYPING SERVICES</dc:creator>
  <cp:keywords>JOHAN MOORCROFT</cp:keywords>
  <dc:description/>
  <cp:lastModifiedBy>sathish sarshan  mohan</cp:lastModifiedBy>
  <cp:revision>3</cp:revision>
  <cp:lastPrinted>2023-08-22T07:45:00Z</cp:lastPrinted>
  <dcterms:created xsi:type="dcterms:W3CDTF">2024-04-02T13:22:00Z</dcterms:created>
  <dcterms:modified xsi:type="dcterms:W3CDTF">2024-04-03T12:51:00Z</dcterms:modified>
</cp:coreProperties>
</file>