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D67F50" w14:textId="77777777" w:rsidR="00D5134D" w:rsidRPr="00D42335" w:rsidRDefault="00D5134D" w:rsidP="00D5134D">
      <w:pPr>
        <w:spacing w:line="240" w:lineRule="auto"/>
        <w:jc w:val="center"/>
        <w:rPr>
          <w:rFonts w:ascii="Arial" w:eastAsia="Times New Roman" w:hAnsi="Arial" w:cs="Arial"/>
          <w:sz w:val="24"/>
          <w:szCs w:val="24"/>
          <w:lang w:eastAsia="en-ZA"/>
        </w:rPr>
      </w:pPr>
      <w:r w:rsidRPr="00D42335">
        <w:rPr>
          <w:rFonts w:ascii="Arial" w:eastAsia="Times New Roman" w:hAnsi="Arial" w:cs="Arial"/>
          <w:noProof/>
          <w:sz w:val="24"/>
          <w:szCs w:val="24"/>
          <w:lang w:val="en-ZA" w:eastAsia="en-ZA"/>
        </w:rPr>
        <w:drawing>
          <wp:inline distT="0" distB="0" distL="0" distR="0" wp14:anchorId="2A6509FD" wp14:editId="013CEF5A">
            <wp:extent cx="1392865" cy="1413510"/>
            <wp:effectExtent l="0" t="0" r="4445" b="0"/>
            <wp:docPr id="4" name="Picture 4" descr="A logo of the judicial syste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the judicial syste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2865" cy="1413510"/>
                    </a:xfrm>
                    <a:prstGeom prst="rect">
                      <a:avLst/>
                    </a:prstGeom>
                  </pic:spPr>
                </pic:pic>
              </a:graphicData>
            </a:graphic>
          </wp:inline>
        </w:drawing>
      </w:r>
    </w:p>
    <w:p w14:paraId="45DF067D" w14:textId="77777777" w:rsidR="00D5134D" w:rsidRPr="00D42335" w:rsidRDefault="00D5134D" w:rsidP="00D5134D">
      <w:pPr>
        <w:spacing w:line="240" w:lineRule="auto"/>
        <w:jc w:val="center"/>
        <w:rPr>
          <w:rFonts w:ascii="Arial" w:eastAsia="Times New Roman" w:hAnsi="Arial" w:cs="Arial"/>
          <w:b/>
          <w:bCs/>
          <w:sz w:val="24"/>
          <w:szCs w:val="24"/>
          <w:lang w:eastAsia="en-ZA"/>
        </w:rPr>
      </w:pPr>
      <w:r w:rsidRPr="00D42335">
        <w:rPr>
          <w:rFonts w:ascii="Arial" w:eastAsia="Times New Roman" w:hAnsi="Arial" w:cs="Arial"/>
          <w:b/>
          <w:bCs/>
          <w:sz w:val="24"/>
          <w:szCs w:val="24"/>
          <w:lang w:eastAsia="en-ZA"/>
        </w:rPr>
        <w:t>IN THE HIGH COURT OF SOUTH AFRICA</w:t>
      </w:r>
    </w:p>
    <w:p w14:paraId="1808CEDE" w14:textId="77777777" w:rsidR="00D5134D" w:rsidRPr="00D42335" w:rsidRDefault="00D5134D" w:rsidP="00D5134D">
      <w:pPr>
        <w:spacing w:line="240" w:lineRule="auto"/>
        <w:jc w:val="center"/>
        <w:rPr>
          <w:rFonts w:ascii="Arial" w:eastAsia="Times New Roman" w:hAnsi="Arial" w:cs="Arial"/>
          <w:b/>
          <w:bCs/>
          <w:sz w:val="24"/>
          <w:szCs w:val="24"/>
          <w:lang w:eastAsia="en-ZA"/>
        </w:rPr>
      </w:pPr>
      <w:r w:rsidRPr="00D42335">
        <w:rPr>
          <w:rFonts w:ascii="Arial" w:eastAsia="Times New Roman" w:hAnsi="Arial" w:cs="Arial"/>
          <w:b/>
          <w:bCs/>
          <w:sz w:val="24"/>
          <w:szCs w:val="24"/>
          <w:lang w:eastAsia="en-ZA"/>
        </w:rPr>
        <w:t>GAUTENG DIVISION, JOHANNESBURG</w:t>
      </w:r>
    </w:p>
    <w:p w14:paraId="24F4CBE1" w14:textId="77777777" w:rsidR="00D5134D" w:rsidRPr="00D42335" w:rsidRDefault="00D5134D" w:rsidP="00D5134D">
      <w:pPr>
        <w:spacing w:line="240" w:lineRule="auto"/>
      </w:pPr>
    </w:p>
    <w:p w14:paraId="5E3E372D" w14:textId="6D680455" w:rsidR="00D5134D" w:rsidRDefault="00D5134D" w:rsidP="00D5134D">
      <w:pPr>
        <w:tabs>
          <w:tab w:val="right" w:pos="9029"/>
        </w:tabs>
        <w:spacing w:line="240" w:lineRule="auto"/>
        <w:rPr>
          <w:rFonts w:ascii="Arial" w:hAnsi="Arial" w:cs="Arial"/>
          <w:sz w:val="24"/>
          <w:szCs w:val="21"/>
        </w:rPr>
      </w:pPr>
      <w:r w:rsidRPr="00D42335">
        <w:tab/>
      </w:r>
      <w:r w:rsidRPr="00D42335">
        <w:rPr>
          <w:rFonts w:ascii="Arial" w:hAnsi="Arial" w:cs="Arial"/>
          <w:b/>
          <w:bCs/>
          <w:sz w:val="24"/>
          <w:szCs w:val="21"/>
        </w:rPr>
        <w:t>Case NO:</w:t>
      </w:r>
      <w:r w:rsidRPr="00D42335">
        <w:rPr>
          <w:rFonts w:ascii="Arial" w:hAnsi="Arial" w:cs="Arial"/>
          <w:sz w:val="24"/>
          <w:szCs w:val="21"/>
        </w:rPr>
        <w:t xml:space="preserve"> A2023-050651</w:t>
      </w:r>
    </w:p>
    <w:p w14:paraId="4A7B22C5" w14:textId="749BB36D" w:rsidR="00460060" w:rsidRDefault="00460060" w:rsidP="00D5134D">
      <w:pPr>
        <w:tabs>
          <w:tab w:val="right" w:pos="9029"/>
        </w:tabs>
        <w:spacing w:line="240" w:lineRule="auto"/>
        <w:rPr>
          <w:rFonts w:ascii="Arial" w:hAnsi="Arial" w:cs="Arial"/>
          <w:sz w:val="24"/>
          <w:szCs w:val="21"/>
        </w:rPr>
      </w:pPr>
      <w:r>
        <w:rPr>
          <w:noProof/>
          <w:lang w:val="en-ZA" w:eastAsia="en-ZA"/>
        </w:rPr>
        <mc:AlternateContent>
          <mc:Choice Requires="wps">
            <w:drawing>
              <wp:anchor distT="0" distB="0" distL="114300" distR="114300" simplePos="0" relativeHeight="251659264" behindDoc="0" locked="0" layoutInCell="1" allowOverlap="1" wp14:anchorId="145B3331" wp14:editId="3701BD62">
                <wp:simplePos x="0" y="0"/>
                <wp:positionH relativeFrom="margin">
                  <wp:posOffset>25400</wp:posOffset>
                </wp:positionH>
                <wp:positionV relativeFrom="paragraph">
                  <wp:posOffset>29845</wp:posOffset>
                </wp:positionV>
                <wp:extent cx="3282950" cy="1155700"/>
                <wp:effectExtent l="0" t="0" r="127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0" cy="1155700"/>
                        </a:xfrm>
                        <a:prstGeom prst="rect">
                          <a:avLst/>
                        </a:prstGeom>
                        <a:solidFill>
                          <a:srgbClr val="FFFFFF"/>
                        </a:solidFill>
                        <a:ln w="9525">
                          <a:solidFill>
                            <a:srgbClr val="000000"/>
                          </a:solidFill>
                          <a:miter lim="800000"/>
                          <a:headEnd/>
                          <a:tailEnd/>
                        </a:ln>
                      </wps:spPr>
                      <wps:txbx>
                        <w:txbxContent>
                          <w:p w14:paraId="44FDAC5F" w14:textId="23002145" w:rsidR="00460060" w:rsidRPr="003B746C" w:rsidRDefault="00AE5B99" w:rsidP="00AE5B99">
                            <w:pPr>
                              <w:tabs>
                                <w:tab w:val="left" w:pos="900"/>
                              </w:tabs>
                              <w:spacing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460060" w:rsidRPr="003B746C">
                              <w:rPr>
                                <w:rFonts w:cs="Arial"/>
                                <w:sz w:val="18"/>
                                <w:szCs w:val="20"/>
                              </w:rPr>
                              <w:t xml:space="preserve">REPORTABLE: </w:t>
                            </w:r>
                            <w:r w:rsidR="00460060">
                              <w:rPr>
                                <w:rFonts w:cs="Arial"/>
                                <w:sz w:val="18"/>
                                <w:szCs w:val="20"/>
                              </w:rPr>
                              <w:t>YES</w:t>
                            </w:r>
                          </w:p>
                          <w:p w14:paraId="52CA926D" w14:textId="18237304" w:rsidR="00460060" w:rsidRPr="003B746C" w:rsidRDefault="00AE5B99" w:rsidP="00AE5B99">
                            <w:pPr>
                              <w:tabs>
                                <w:tab w:val="left" w:pos="900"/>
                              </w:tabs>
                              <w:spacing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460060" w:rsidRPr="003B746C">
                              <w:rPr>
                                <w:rFonts w:cs="Arial"/>
                                <w:sz w:val="18"/>
                                <w:szCs w:val="20"/>
                              </w:rPr>
                              <w:t xml:space="preserve">OF INTEREST TO OTHER JUDGES: </w:t>
                            </w:r>
                            <w:r w:rsidR="00460060" w:rsidRPr="00A523D9">
                              <w:rPr>
                                <w:rFonts w:cs="Arial"/>
                                <w:sz w:val="18"/>
                                <w:szCs w:val="20"/>
                              </w:rPr>
                              <w:t>YES</w:t>
                            </w:r>
                            <w:r w:rsidR="00460060">
                              <w:rPr>
                                <w:rFonts w:cs="Arial"/>
                                <w:sz w:val="18"/>
                                <w:szCs w:val="20"/>
                              </w:rPr>
                              <w:t xml:space="preserve"> </w:t>
                            </w:r>
                          </w:p>
                          <w:p w14:paraId="4060383D" w14:textId="088CAF08" w:rsidR="00460060" w:rsidRDefault="00AE5B99" w:rsidP="00AE5B99">
                            <w:pPr>
                              <w:tabs>
                                <w:tab w:val="left" w:pos="900"/>
                              </w:tabs>
                              <w:spacing w:line="240" w:lineRule="auto"/>
                              <w:ind w:left="900" w:hanging="720"/>
                              <w:jc w:val="left"/>
                              <w:rPr>
                                <w:rFonts w:cs="Arial"/>
                                <w:sz w:val="18"/>
                                <w:szCs w:val="20"/>
                              </w:rPr>
                            </w:pPr>
                            <w:r>
                              <w:rPr>
                                <w:rFonts w:cs="Arial"/>
                                <w:sz w:val="18"/>
                                <w:szCs w:val="20"/>
                              </w:rPr>
                              <w:t>(3)</w:t>
                            </w:r>
                            <w:r>
                              <w:rPr>
                                <w:rFonts w:cs="Arial"/>
                                <w:sz w:val="18"/>
                                <w:szCs w:val="20"/>
                              </w:rPr>
                              <w:tab/>
                            </w:r>
                            <w:r w:rsidR="00460060" w:rsidRPr="003B746C">
                              <w:rPr>
                                <w:rFonts w:cs="Arial"/>
                                <w:sz w:val="18"/>
                                <w:szCs w:val="20"/>
                              </w:rPr>
                              <w:t xml:space="preserve">REVISED: </w:t>
                            </w:r>
                            <w:r w:rsidR="00460060">
                              <w:rPr>
                                <w:rFonts w:cs="Arial"/>
                                <w:sz w:val="18"/>
                                <w:szCs w:val="20"/>
                              </w:rPr>
                              <w:t>NO</w:t>
                            </w:r>
                          </w:p>
                          <w:p w14:paraId="212B9AF1" w14:textId="77777777" w:rsidR="00460060" w:rsidRDefault="00460060" w:rsidP="00460060">
                            <w:pPr>
                              <w:spacing w:line="240" w:lineRule="auto"/>
                              <w:ind w:left="900"/>
                              <w:jc w:val="left"/>
                              <w:rPr>
                                <w:rFonts w:cs="Arial"/>
                                <w:sz w:val="18"/>
                                <w:szCs w:val="20"/>
                              </w:rPr>
                            </w:pPr>
                          </w:p>
                          <w:p w14:paraId="465A516E" w14:textId="7032C613" w:rsidR="00460060" w:rsidRPr="003B746C" w:rsidRDefault="00460060" w:rsidP="00460060">
                            <w:pPr>
                              <w:spacing w:before="240"/>
                              <w:rPr>
                                <w:rFonts w:cs="Arial"/>
                                <w:b/>
                                <w:sz w:val="18"/>
                                <w:szCs w:val="20"/>
                              </w:rPr>
                            </w:pPr>
                            <w:r>
                              <w:rPr>
                                <w:rFonts w:cs="Arial"/>
                                <w:b/>
                                <w:sz w:val="18"/>
                                <w:szCs w:val="20"/>
                              </w:rPr>
                              <w:t>15 APRIL 2024</w:t>
                            </w:r>
                            <w:r w:rsidRPr="003B746C">
                              <w:rPr>
                                <w:rFonts w:cs="Arial"/>
                                <w:b/>
                                <w:sz w:val="18"/>
                                <w:szCs w:val="20"/>
                              </w:rPr>
                              <w:tab/>
                              <w:t>_________________________</w:t>
                            </w:r>
                          </w:p>
                          <w:p w14:paraId="11F2B790" w14:textId="64A88695" w:rsidR="00460060" w:rsidRPr="003B746C" w:rsidRDefault="00460060" w:rsidP="00460060">
                            <w:pPr>
                              <w:rPr>
                                <w:rFonts w:cs="Arial"/>
                                <w:sz w:val="18"/>
                                <w:szCs w:val="20"/>
                              </w:rPr>
                            </w:pPr>
                            <w:r>
                              <w:rPr>
                                <w:rFonts w:cs="Arial"/>
                                <w:sz w:val="18"/>
                                <w:szCs w:val="20"/>
                              </w:rPr>
                              <w:t>DATE</w:t>
                            </w:r>
                            <w:r>
                              <w:rPr>
                                <w:rFonts w:cs="Arial"/>
                                <w:sz w:val="18"/>
                                <w:szCs w:val="20"/>
                              </w:rPr>
                              <w:tab/>
                            </w:r>
                            <w:r>
                              <w:rPr>
                                <w:rFonts w:cs="Arial"/>
                                <w:sz w:val="18"/>
                                <w:szCs w:val="20"/>
                              </w:rPr>
                              <w:tab/>
                            </w:r>
                            <w:r w:rsidRPr="003B746C">
                              <w:rPr>
                                <w:rFonts w:cs="Arial"/>
                                <w:sz w:val="18"/>
                                <w:szCs w:val="20"/>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B3331" id="_x0000_t202" coordsize="21600,21600" o:spt="202" path="m,l,21600r21600,l21600,xe">
                <v:stroke joinstyle="miter"/>
                <v:path gradientshapeok="t" o:connecttype="rect"/>
              </v:shapetype>
              <v:shape id="Text Box 1" o:spid="_x0000_s1026" type="#_x0000_t202" style="position:absolute;left:0;text-align:left;margin-left:2pt;margin-top:2.35pt;width:258.5pt;height:9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">
                <v:textbox>
                  <w:txbxContent>
                    <w:p w14:paraId="44FDAC5F" w14:textId="23002145" w:rsidR="00460060" w:rsidRPr="003B746C" w:rsidRDefault="00AE5B99" w:rsidP="00AE5B99">
                      <w:pPr>
                        <w:tabs>
                          <w:tab w:val="left" w:pos="900"/>
                        </w:tabs>
                        <w:spacing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460060" w:rsidRPr="003B746C">
                        <w:rPr>
                          <w:rFonts w:cs="Arial"/>
                          <w:sz w:val="18"/>
                          <w:szCs w:val="20"/>
                        </w:rPr>
                        <w:t xml:space="preserve">REPORTABLE: </w:t>
                      </w:r>
                      <w:r w:rsidR="00460060">
                        <w:rPr>
                          <w:rFonts w:cs="Arial"/>
                          <w:sz w:val="18"/>
                          <w:szCs w:val="20"/>
                        </w:rPr>
                        <w:t>YES</w:t>
                      </w:r>
                    </w:p>
                    <w:p w14:paraId="52CA926D" w14:textId="18237304" w:rsidR="00460060" w:rsidRPr="003B746C" w:rsidRDefault="00AE5B99" w:rsidP="00AE5B99">
                      <w:pPr>
                        <w:tabs>
                          <w:tab w:val="left" w:pos="900"/>
                        </w:tabs>
                        <w:spacing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460060" w:rsidRPr="003B746C">
                        <w:rPr>
                          <w:rFonts w:cs="Arial"/>
                          <w:sz w:val="18"/>
                          <w:szCs w:val="20"/>
                        </w:rPr>
                        <w:t xml:space="preserve">OF INTEREST TO OTHER JUDGES: </w:t>
                      </w:r>
                      <w:r w:rsidR="00460060" w:rsidRPr="00A523D9">
                        <w:rPr>
                          <w:rFonts w:cs="Arial"/>
                          <w:sz w:val="18"/>
                          <w:szCs w:val="20"/>
                        </w:rPr>
                        <w:t>YES</w:t>
                      </w:r>
                      <w:r w:rsidR="00460060">
                        <w:rPr>
                          <w:rFonts w:cs="Arial"/>
                          <w:sz w:val="18"/>
                          <w:szCs w:val="20"/>
                        </w:rPr>
                        <w:t xml:space="preserve"> </w:t>
                      </w:r>
                    </w:p>
                    <w:p w14:paraId="4060383D" w14:textId="088CAF08" w:rsidR="00460060" w:rsidRDefault="00AE5B99" w:rsidP="00AE5B99">
                      <w:pPr>
                        <w:tabs>
                          <w:tab w:val="left" w:pos="900"/>
                        </w:tabs>
                        <w:spacing w:line="240" w:lineRule="auto"/>
                        <w:ind w:left="900" w:hanging="720"/>
                        <w:jc w:val="left"/>
                        <w:rPr>
                          <w:rFonts w:cs="Arial"/>
                          <w:sz w:val="18"/>
                          <w:szCs w:val="20"/>
                        </w:rPr>
                      </w:pPr>
                      <w:r>
                        <w:rPr>
                          <w:rFonts w:cs="Arial"/>
                          <w:sz w:val="18"/>
                          <w:szCs w:val="20"/>
                        </w:rPr>
                        <w:t>(3)</w:t>
                      </w:r>
                      <w:r>
                        <w:rPr>
                          <w:rFonts w:cs="Arial"/>
                          <w:sz w:val="18"/>
                          <w:szCs w:val="20"/>
                        </w:rPr>
                        <w:tab/>
                      </w:r>
                      <w:r w:rsidR="00460060" w:rsidRPr="003B746C">
                        <w:rPr>
                          <w:rFonts w:cs="Arial"/>
                          <w:sz w:val="18"/>
                          <w:szCs w:val="20"/>
                        </w:rPr>
                        <w:t xml:space="preserve">REVISED: </w:t>
                      </w:r>
                      <w:r w:rsidR="00460060">
                        <w:rPr>
                          <w:rFonts w:cs="Arial"/>
                          <w:sz w:val="18"/>
                          <w:szCs w:val="20"/>
                        </w:rPr>
                        <w:t>NO</w:t>
                      </w:r>
                    </w:p>
                    <w:p w14:paraId="212B9AF1" w14:textId="77777777" w:rsidR="00460060" w:rsidRDefault="00460060" w:rsidP="00460060">
                      <w:pPr>
                        <w:spacing w:line="240" w:lineRule="auto"/>
                        <w:ind w:left="900"/>
                        <w:jc w:val="left"/>
                        <w:rPr>
                          <w:rFonts w:cs="Arial"/>
                          <w:sz w:val="18"/>
                          <w:szCs w:val="20"/>
                        </w:rPr>
                      </w:pPr>
                    </w:p>
                    <w:p w14:paraId="465A516E" w14:textId="7032C613" w:rsidR="00460060" w:rsidRPr="003B746C" w:rsidRDefault="00460060" w:rsidP="00460060">
                      <w:pPr>
                        <w:spacing w:before="240"/>
                        <w:rPr>
                          <w:rFonts w:cs="Arial"/>
                          <w:b/>
                          <w:sz w:val="18"/>
                          <w:szCs w:val="20"/>
                        </w:rPr>
                      </w:pPr>
                      <w:r>
                        <w:rPr>
                          <w:rFonts w:cs="Arial"/>
                          <w:b/>
                          <w:sz w:val="18"/>
                          <w:szCs w:val="20"/>
                        </w:rPr>
                        <w:t>15 APRIL 2024</w:t>
                      </w:r>
                      <w:r w:rsidRPr="003B746C">
                        <w:rPr>
                          <w:rFonts w:cs="Arial"/>
                          <w:b/>
                          <w:sz w:val="18"/>
                          <w:szCs w:val="20"/>
                        </w:rPr>
                        <w:tab/>
                        <w:t>_________________________</w:t>
                      </w:r>
                    </w:p>
                    <w:p w14:paraId="11F2B790" w14:textId="64A88695" w:rsidR="00460060" w:rsidRPr="003B746C" w:rsidRDefault="00460060" w:rsidP="00460060">
                      <w:pPr>
                        <w:rPr>
                          <w:rFonts w:cs="Arial"/>
                          <w:sz w:val="18"/>
                          <w:szCs w:val="20"/>
                        </w:rPr>
                      </w:pPr>
                      <w:r>
                        <w:rPr>
                          <w:rFonts w:cs="Arial"/>
                          <w:sz w:val="18"/>
                          <w:szCs w:val="20"/>
                        </w:rPr>
                        <w:t>DATE</w:t>
                      </w:r>
                      <w:r>
                        <w:rPr>
                          <w:rFonts w:cs="Arial"/>
                          <w:sz w:val="18"/>
                          <w:szCs w:val="20"/>
                        </w:rPr>
                        <w:tab/>
                      </w:r>
                      <w:r>
                        <w:rPr>
                          <w:rFonts w:cs="Arial"/>
                          <w:sz w:val="18"/>
                          <w:szCs w:val="20"/>
                        </w:rPr>
                        <w:tab/>
                      </w:r>
                      <w:r w:rsidRPr="003B746C">
                        <w:rPr>
                          <w:rFonts w:cs="Arial"/>
                          <w:sz w:val="18"/>
                          <w:szCs w:val="20"/>
                        </w:rPr>
                        <w:t>SIGNATURE</w:t>
                      </w:r>
                    </w:p>
                  </w:txbxContent>
                </v:textbox>
                <w10:wrap anchorx="margin"/>
              </v:shape>
            </w:pict>
          </mc:Fallback>
        </mc:AlternateContent>
      </w:r>
    </w:p>
    <w:p w14:paraId="5E0B0A09" w14:textId="688CE165" w:rsidR="00460060" w:rsidRDefault="00460060" w:rsidP="00D5134D">
      <w:pPr>
        <w:tabs>
          <w:tab w:val="right" w:pos="9029"/>
        </w:tabs>
        <w:spacing w:line="240" w:lineRule="auto"/>
        <w:rPr>
          <w:rFonts w:ascii="Arial" w:hAnsi="Arial" w:cs="Arial"/>
          <w:sz w:val="24"/>
          <w:szCs w:val="21"/>
        </w:rPr>
      </w:pPr>
    </w:p>
    <w:p w14:paraId="7FAFCFA1" w14:textId="7C8769FF" w:rsidR="00460060" w:rsidRDefault="00460060" w:rsidP="00D5134D">
      <w:pPr>
        <w:tabs>
          <w:tab w:val="right" w:pos="9029"/>
        </w:tabs>
        <w:spacing w:line="240" w:lineRule="auto"/>
        <w:rPr>
          <w:rFonts w:ascii="Arial" w:hAnsi="Arial" w:cs="Arial"/>
          <w:sz w:val="24"/>
          <w:szCs w:val="21"/>
        </w:rPr>
      </w:pPr>
    </w:p>
    <w:p w14:paraId="7A62A679" w14:textId="19B94BC0" w:rsidR="00460060" w:rsidRDefault="00460060" w:rsidP="00D5134D">
      <w:pPr>
        <w:tabs>
          <w:tab w:val="right" w:pos="9029"/>
        </w:tabs>
        <w:spacing w:line="240" w:lineRule="auto"/>
        <w:rPr>
          <w:rFonts w:ascii="Arial" w:hAnsi="Arial" w:cs="Arial"/>
          <w:sz w:val="24"/>
          <w:szCs w:val="21"/>
        </w:rPr>
      </w:pPr>
    </w:p>
    <w:p w14:paraId="590F1679" w14:textId="7BC4AE9B" w:rsidR="00460060" w:rsidRDefault="00460060" w:rsidP="00D5134D">
      <w:pPr>
        <w:tabs>
          <w:tab w:val="right" w:pos="9029"/>
        </w:tabs>
        <w:spacing w:line="240" w:lineRule="auto"/>
        <w:rPr>
          <w:rFonts w:ascii="Arial" w:hAnsi="Arial" w:cs="Arial"/>
          <w:sz w:val="24"/>
          <w:szCs w:val="21"/>
        </w:rPr>
      </w:pPr>
    </w:p>
    <w:p w14:paraId="436B7C80" w14:textId="3E3FACDB" w:rsidR="00460060" w:rsidRDefault="00460060" w:rsidP="00D5134D">
      <w:pPr>
        <w:tabs>
          <w:tab w:val="right" w:pos="9029"/>
        </w:tabs>
        <w:spacing w:line="240" w:lineRule="auto"/>
        <w:rPr>
          <w:rFonts w:ascii="Arial" w:hAnsi="Arial" w:cs="Arial"/>
          <w:sz w:val="24"/>
          <w:szCs w:val="21"/>
        </w:rPr>
      </w:pPr>
    </w:p>
    <w:p w14:paraId="0402A91C" w14:textId="67939337" w:rsidR="00460060" w:rsidRPr="00D42335" w:rsidRDefault="00460060" w:rsidP="00D5134D">
      <w:pPr>
        <w:tabs>
          <w:tab w:val="right" w:pos="9029"/>
        </w:tabs>
        <w:spacing w:line="240" w:lineRule="auto"/>
        <w:rPr>
          <w:rFonts w:ascii="Arial" w:hAnsi="Arial" w:cs="Arial"/>
          <w:sz w:val="24"/>
          <w:szCs w:val="21"/>
        </w:rPr>
      </w:pPr>
    </w:p>
    <w:p w14:paraId="13D79B48" w14:textId="77777777" w:rsidR="00D5134D" w:rsidRPr="00D42335" w:rsidRDefault="00D5134D" w:rsidP="00D5134D">
      <w:pPr>
        <w:tabs>
          <w:tab w:val="left" w:pos="8998"/>
        </w:tabs>
        <w:spacing w:line="240" w:lineRule="auto"/>
        <w:rPr>
          <w:rFonts w:ascii="Arial" w:hAnsi="Arial" w:cs="Arial"/>
          <w:sz w:val="24"/>
          <w:szCs w:val="21"/>
        </w:rPr>
      </w:pPr>
    </w:p>
    <w:p w14:paraId="516CDC24" w14:textId="77777777" w:rsidR="00D5134D" w:rsidRPr="00D42335" w:rsidRDefault="00D5134D" w:rsidP="00D5134D">
      <w:pPr>
        <w:tabs>
          <w:tab w:val="left" w:pos="8998"/>
        </w:tabs>
        <w:spacing w:line="240" w:lineRule="auto"/>
        <w:rPr>
          <w:rFonts w:ascii="Arial" w:hAnsi="Arial" w:cs="Arial"/>
          <w:sz w:val="24"/>
          <w:szCs w:val="21"/>
        </w:rPr>
      </w:pPr>
      <w:r w:rsidRPr="00D42335">
        <w:rPr>
          <w:rFonts w:ascii="Arial" w:hAnsi="Arial" w:cs="Arial"/>
          <w:sz w:val="24"/>
          <w:szCs w:val="21"/>
        </w:rPr>
        <w:t>In the matter between:</w:t>
      </w:r>
    </w:p>
    <w:p w14:paraId="584639C0" w14:textId="77777777" w:rsidR="00D5134D" w:rsidRPr="00D42335" w:rsidRDefault="00D5134D" w:rsidP="00D5134D">
      <w:pPr>
        <w:tabs>
          <w:tab w:val="left" w:pos="8998"/>
        </w:tabs>
        <w:spacing w:line="240" w:lineRule="auto"/>
        <w:rPr>
          <w:rFonts w:ascii="Arial" w:hAnsi="Arial" w:cs="Arial"/>
          <w:sz w:val="24"/>
          <w:szCs w:val="21"/>
        </w:rPr>
      </w:pPr>
    </w:p>
    <w:p w14:paraId="19227170" w14:textId="77777777" w:rsidR="00D5134D" w:rsidRPr="00D42335" w:rsidRDefault="00D5134D" w:rsidP="00D5134D">
      <w:pPr>
        <w:tabs>
          <w:tab w:val="right" w:pos="9029"/>
        </w:tabs>
        <w:spacing w:line="240" w:lineRule="auto"/>
        <w:rPr>
          <w:rFonts w:ascii="Arial" w:hAnsi="Arial" w:cs="Arial"/>
          <w:sz w:val="24"/>
          <w:szCs w:val="24"/>
        </w:rPr>
      </w:pPr>
      <w:r w:rsidRPr="00D42335">
        <w:rPr>
          <w:rFonts w:ascii="Arial" w:hAnsi="Arial" w:cs="Arial"/>
          <w:b/>
          <w:bCs/>
          <w:sz w:val="24"/>
          <w:szCs w:val="24"/>
        </w:rPr>
        <w:t>MALAKITE BODY CORPORATE</w:t>
      </w:r>
      <w:r w:rsidRPr="00D42335">
        <w:rPr>
          <w:rFonts w:ascii="Arial" w:hAnsi="Arial" w:cs="Arial"/>
          <w:b/>
          <w:bCs/>
          <w:sz w:val="24"/>
          <w:szCs w:val="24"/>
        </w:rPr>
        <w:tab/>
      </w:r>
      <w:r w:rsidRPr="00D42335">
        <w:rPr>
          <w:rFonts w:ascii="Arial" w:hAnsi="Arial" w:cs="Arial"/>
          <w:sz w:val="24"/>
          <w:szCs w:val="24"/>
        </w:rPr>
        <w:t>First Appellant</w:t>
      </w:r>
    </w:p>
    <w:p w14:paraId="5966A4BC" w14:textId="77777777" w:rsidR="00D5134D" w:rsidRPr="00D42335" w:rsidRDefault="00D5134D" w:rsidP="00D5134D">
      <w:pPr>
        <w:tabs>
          <w:tab w:val="right" w:pos="9029"/>
        </w:tabs>
        <w:spacing w:line="240" w:lineRule="auto"/>
        <w:rPr>
          <w:rFonts w:ascii="Arial" w:hAnsi="Arial" w:cs="Arial"/>
          <w:b/>
          <w:bCs/>
          <w:sz w:val="24"/>
          <w:szCs w:val="24"/>
        </w:rPr>
      </w:pPr>
    </w:p>
    <w:p w14:paraId="51CAB256" w14:textId="77777777" w:rsidR="00D5134D" w:rsidRPr="00D42335" w:rsidRDefault="00D5134D" w:rsidP="00D5134D">
      <w:pPr>
        <w:tabs>
          <w:tab w:val="right" w:pos="9029"/>
        </w:tabs>
        <w:spacing w:line="240" w:lineRule="auto"/>
        <w:rPr>
          <w:rFonts w:ascii="Arial" w:hAnsi="Arial" w:cs="Arial"/>
          <w:sz w:val="24"/>
          <w:szCs w:val="24"/>
        </w:rPr>
      </w:pPr>
      <w:r w:rsidRPr="00D42335">
        <w:rPr>
          <w:rFonts w:ascii="Arial" w:hAnsi="Arial" w:cs="Arial"/>
          <w:b/>
          <w:bCs/>
          <w:sz w:val="24"/>
          <w:szCs w:val="24"/>
        </w:rPr>
        <w:t>GREENSTONE CREST BODY CORPORATE</w:t>
      </w:r>
      <w:r w:rsidRPr="00D42335">
        <w:rPr>
          <w:rFonts w:ascii="Arial" w:hAnsi="Arial" w:cs="Arial"/>
          <w:sz w:val="24"/>
          <w:szCs w:val="24"/>
        </w:rPr>
        <w:tab/>
        <w:t>Second Appellant</w:t>
      </w:r>
    </w:p>
    <w:p w14:paraId="6828789D" w14:textId="77777777" w:rsidR="00D5134D" w:rsidRPr="00D42335" w:rsidRDefault="00D5134D" w:rsidP="00D5134D">
      <w:pPr>
        <w:tabs>
          <w:tab w:val="right" w:pos="9029"/>
        </w:tabs>
        <w:spacing w:line="240" w:lineRule="auto"/>
        <w:rPr>
          <w:rFonts w:ascii="Arial" w:hAnsi="Arial" w:cs="Arial"/>
          <w:sz w:val="24"/>
          <w:szCs w:val="24"/>
        </w:rPr>
      </w:pPr>
    </w:p>
    <w:p w14:paraId="73A80409" w14:textId="77777777" w:rsidR="00D5134D" w:rsidRPr="00D42335" w:rsidRDefault="00D5134D" w:rsidP="00D5134D">
      <w:pPr>
        <w:spacing w:line="240" w:lineRule="auto"/>
        <w:rPr>
          <w:rFonts w:ascii="Arial" w:hAnsi="Arial" w:cs="Arial"/>
          <w:sz w:val="24"/>
          <w:szCs w:val="24"/>
        </w:rPr>
      </w:pPr>
      <w:r w:rsidRPr="00D42335">
        <w:rPr>
          <w:rFonts w:ascii="Arial" w:hAnsi="Arial" w:cs="Arial"/>
          <w:sz w:val="24"/>
          <w:szCs w:val="24"/>
        </w:rPr>
        <w:t>and</w:t>
      </w:r>
    </w:p>
    <w:p w14:paraId="0FAFC7C8" w14:textId="77777777" w:rsidR="00D5134D" w:rsidRPr="00D42335" w:rsidRDefault="00D5134D" w:rsidP="00D5134D">
      <w:pPr>
        <w:spacing w:line="240" w:lineRule="auto"/>
        <w:rPr>
          <w:rFonts w:ascii="Arial" w:hAnsi="Arial" w:cs="Arial"/>
          <w:sz w:val="24"/>
          <w:szCs w:val="24"/>
        </w:rPr>
      </w:pPr>
    </w:p>
    <w:p w14:paraId="658FF688" w14:textId="77777777" w:rsidR="00D5134D" w:rsidRPr="00D42335" w:rsidRDefault="00D5134D" w:rsidP="00D5134D">
      <w:pPr>
        <w:tabs>
          <w:tab w:val="right" w:pos="9029"/>
        </w:tabs>
        <w:spacing w:line="240" w:lineRule="auto"/>
        <w:rPr>
          <w:rFonts w:ascii="Arial" w:hAnsi="Arial" w:cs="Arial"/>
          <w:b/>
          <w:bCs/>
          <w:sz w:val="24"/>
          <w:szCs w:val="24"/>
        </w:rPr>
      </w:pPr>
      <w:r w:rsidRPr="00D42335">
        <w:rPr>
          <w:rFonts w:ascii="Arial" w:hAnsi="Arial" w:cs="Arial"/>
          <w:b/>
          <w:bCs/>
          <w:sz w:val="24"/>
          <w:szCs w:val="24"/>
        </w:rPr>
        <w:t xml:space="preserve">CITY OF JOHANNESBURG </w:t>
      </w:r>
    </w:p>
    <w:p w14:paraId="5EF1A60E" w14:textId="77777777" w:rsidR="00D5134D" w:rsidRPr="00D42335" w:rsidRDefault="00D5134D" w:rsidP="00D5134D">
      <w:pPr>
        <w:tabs>
          <w:tab w:val="right" w:pos="9029"/>
        </w:tabs>
        <w:spacing w:line="240" w:lineRule="auto"/>
        <w:rPr>
          <w:rFonts w:ascii="Arial" w:hAnsi="Arial" w:cs="Arial"/>
          <w:b/>
          <w:bCs/>
          <w:sz w:val="24"/>
          <w:szCs w:val="24"/>
        </w:rPr>
      </w:pPr>
      <w:r w:rsidRPr="00D42335">
        <w:rPr>
          <w:rFonts w:ascii="Arial" w:hAnsi="Arial" w:cs="Arial"/>
          <w:b/>
          <w:bCs/>
          <w:sz w:val="24"/>
          <w:szCs w:val="24"/>
        </w:rPr>
        <w:t>METROPOLITAN MUNICIPALITY</w:t>
      </w:r>
      <w:r w:rsidRPr="00D42335">
        <w:rPr>
          <w:rFonts w:ascii="Arial" w:hAnsi="Arial" w:cs="Arial"/>
          <w:b/>
          <w:bCs/>
          <w:sz w:val="24"/>
          <w:szCs w:val="24"/>
        </w:rPr>
        <w:tab/>
      </w:r>
      <w:r w:rsidRPr="00D42335">
        <w:rPr>
          <w:rFonts w:ascii="Arial" w:hAnsi="Arial" w:cs="Arial"/>
          <w:sz w:val="24"/>
          <w:szCs w:val="24"/>
        </w:rPr>
        <w:t>First Respondent</w:t>
      </w:r>
    </w:p>
    <w:p w14:paraId="777C6171" w14:textId="77777777" w:rsidR="00D5134D" w:rsidRPr="00D42335" w:rsidRDefault="00D5134D" w:rsidP="00D5134D">
      <w:pPr>
        <w:tabs>
          <w:tab w:val="right" w:pos="9029"/>
        </w:tabs>
        <w:spacing w:line="240" w:lineRule="auto"/>
        <w:rPr>
          <w:rFonts w:ascii="Arial" w:hAnsi="Arial" w:cs="Arial"/>
          <w:b/>
          <w:bCs/>
          <w:sz w:val="24"/>
          <w:szCs w:val="24"/>
        </w:rPr>
      </w:pPr>
    </w:p>
    <w:p w14:paraId="79B31DA4" w14:textId="77777777" w:rsidR="00D5134D" w:rsidRPr="00D42335" w:rsidRDefault="00D5134D" w:rsidP="00D5134D">
      <w:pPr>
        <w:tabs>
          <w:tab w:val="right" w:pos="9029"/>
        </w:tabs>
        <w:spacing w:line="240" w:lineRule="auto"/>
        <w:rPr>
          <w:rFonts w:ascii="Arial" w:hAnsi="Arial" w:cs="Arial"/>
          <w:sz w:val="24"/>
          <w:szCs w:val="24"/>
        </w:rPr>
      </w:pPr>
      <w:r w:rsidRPr="00D42335">
        <w:rPr>
          <w:rFonts w:ascii="Arial" w:hAnsi="Arial" w:cs="Arial"/>
          <w:b/>
          <w:bCs/>
          <w:sz w:val="24"/>
          <w:szCs w:val="24"/>
        </w:rPr>
        <w:t>CITY POWER JOHANNESBURG SOC LTD</w:t>
      </w:r>
      <w:r w:rsidRPr="00D42335">
        <w:rPr>
          <w:rFonts w:ascii="Arial" w:hAnsi="Arial" w:cs="Arial"/>
          <w:sz w:val="24"/>
          <w:szCs w:val="24"/>
        </w:rPr>
        <w:tab/>
        <w:t>Second Respondent</w:t>
      </w:r>
    </w:p>
    <w:p w14:paraId="67850480" w14:textId="77777777" w:rsidR="00D5134D" w:rsidRPr="00D42335" w:rsidRDefault="00D5134D" w:rsidP="00D5134D">
      <w:pPr>
        <w:tabs>
          <w:tab w:val="right" w:pos="9029"/>
        </w:tabs>
        <w:spacing w:line="240" w:lineRule="auto"/>
        <w:rPr>
          <w:szCs w:val="26"/>
        </w:rPr>
      </w:pPr>
    </w:p>
    <w:p w14:paraId="750AA04D" w14:textId="77777777" w:rsidR="00D5134D" w:rsidRPr="00D42335" w:rsidRDefault="00D5134D" w:rsidP="00D5134D">
      <w:pPr>
        <w:tabs>
          <w:tab w:val="right" w:pos="9029"/>
        </w:tabs>
        <w:spacing w:line="240" w:lineRule="auto"/>
        <w:rPr>
          <w:szCs w:val="26"/>
        </w:rPr>
      </w:pPr>
    </w:p>
    <w:p w14:paraId="33B4A934" w14:textId="77777777" w:rsidR="00D5134D" w:rsidRPr="00D42335" w:rsidRDefault="00D5134D" w:rsidP="00D5134D">
      <w:pPr>
        <w:keepNext/>
        <w:pBdr>
          <w:top w:val="single" w:sz="4" w:space="1" w:color="auto"/>
          <w:bottom w:val="single" w:sz="4" w:space="1" w:color="auto"/>
        </w:pBdr>
        <w:spacing w:line="240" w:lineRule="auto"/>
        <w:jc w:val="center"/>
        <w:rPr>
          <w:lang w:eastAsia="zh-TW"/>
        </w:rPr>
      </w:pPr>
    </w:p>
    <w:p w14:paraId="34CBF3DA" w14:textId="77777777" w:rsidR="00D5134D" w:rsidRPr="00D42335" w:rsidRDefault="00D5134D" w:rsidP="00D5134D">
      <w:pPr>
        <w:keepNext/>
        <w:pBdr>
          <w:top w:val="single" w:sz="4" w:space="1" w:color="auto"/>
          <w:bottom w:val="single" w:sz="4" w:space="1" w:color="auto"/>
        </w:pBdr>
        <w:spacing w:line="240" w:lineRule="auto"/>
        <w:jc w:val="center"/>
        <w:outlineLvl w:val="0"/>
        <w:rPr>
          <w:rFonts w:ascii="Arial" w:hAnsi="Arial" w:cs="Arial"/>
          <w:b/>
          <w:sz w:val="24"/>
          <w:szCs w:val="21"/>
          <w:lang w:eastAsia="zh-TW"/>
        </w:rPr>
      </w:pPr>
      <w:r w:rsidRPr="00D42335">
        <w:rPr>
          <w:rFonts w:ascii="Arial" w:hAnsi="Arial" w:cs="Arial"/>
          <w:b/>
          <w:sz w:val="24"/>
          <w:szCs w:val="21"/>
          <w:lang w:eastAsia="zh-TW"/>
        </w:rPr>
        <w:t>ORDER</w:t>
      </w:r>
    </w:p>
    <w:p w14:paraId="0F56C25F" w14:textId="77777777" w:rsidR="00D5134D" w:rsidRPr="00D42335" w:rsidRDefault="00D5134D" w:rsidP="00D5134D">
      <w:pPr>
        <w:pBdr>
          <w:top w:val="single" w:sz="4" w:space="1" w:color="auto"/>
          <w:bottom w:val="single" w:sz="4" w:space="1" w:color="auto"/>
        </w:pBdr>
        <w:spacing w:line="240" w:lineRule="auto"/>
        <w:jc w:val="center"/>
        <w:rPr>
          <w:rFonts w:ascii="Arial" w:hAnsi="Arial" w:cs="Arial"/>
          <w:sz w:val="24"/>
          <w:szCs w:val="21"/>
          <w:lang w:eastAsia="zh-TW"/>
        </w:rPr>
      </w:pPr>
    </w:p>
    <w:p w14:paraId="0E6B77A1" w14:textId="77777777" w:rsidR="00D5134D" w:rsidRPr="00D42335" w:rsidRDefault="00D5134D" w:rsidP="00D5134D">
      <w:pPr>
        <w:spacing w:line="240" w:lineRule="auto"/>
        <w:rPr>
          <w:lang w:eastAsia="zh-TW"/>
        </w:rPr>
      </w:pPr>
    </w:p>
    <w:p w14:paraId="1C7499CA" w14:textId="7AFA4B18" w:rsidR="00D5134D" w:rsidRDefault="00D5134D" w:rsidP="00D5134D">
      <w:pPr>
        <w:pStyle w:val="JudgmentNumbered0"/>
        <w:ind w:left="0" w:firstLine="0"/>
        <w:rPr>
          <w:spacing w:val="-2"/>
          <w:szCs w:val="24"/>
        </w:rPr>
      </w:pPr>
      <w:r w:rsidRPr="00D42335">
        <w:rPr>
          <w:spacing w:val="-2"/>
          <w:szCs w:val="24"/>
        </w:rPr>
        <w:t>On appeal from the from the High Court of South Africa, Gauteng Division, Johannesburg (Van Der Berg AJ sitting as court of first instance):</w:t>
      </w:r>
    </w:p>
    <w:p w14:paraId="646EB47B" w14:textId="774E0A06" w:rsidR="007C25BF" w:rsidRPr="00D42335" w:rsidRDefault="007C25BF" w:rsidP="00D5134D">
      <w:pPr>
        <w:pStyle w:val="JudgmentNumbered0"/>
        <w:ind w:left="0" w:firstLine="0"/>
        <w:rPr>
          <w:spacing w:val="-2"/>
          <w:szCs w:val="24"/>
        </w:rPr>
      </w:pPr>
      <w:r>
        <w:rPr>
          <w:spacing w:val="-2"/>
          <w:szCs w:val="24"/>
        </w:rPr>
        <w:t xml:space="preserve">The appeal is dismissed with costs which include the costs of two counsel where so employed. </w:t>
      </w:r>
    </w:p>
    <w:p w14:paraId="238F6228" w14:textId="77777777" w:rsidR="00D5134D" w:rsidRPr="00D42335" w:rsidRDefault="00D5134D" w:rsidP="00D5134D">
      <w:pPr>
        <w:pStyle w:val="JUDGMENTNUMBERED"/>
        <w:spacing w:line="240" w:lineRule="auto"/>
        <w:rPr>
          <w:lang w:eastAsia="zh-TW"/>
        </w:rPr>
      </w:pPr>
    </w:p>
    <w:p w14:paraId="2D719BBB" w14:textId="77777777" w:rsidR="00D5134D" w:rsidRPr="00D42335" w:rsidRDefault="00D5134D" w:rsidP="00D5134D">
      <w:pPr>
        <w:pStyle w:val="JUDGMENTCONTINUED"/>
        <w:rPr>
          <w:lang w:eastAsia="zh-TW"/>
        </w:rPr>
      </w:pPr>
    </w:p>
    <w:p w14:paraId="18DBFA73" w14:textId="70FCCDD7" w:rsidR="00D5134D" w:rsidRPr="00D42335" w:rsidRDefault="00D5134D" w:rsidP="00D5134D">
      <w:pPr>
        <w:pStyle w:val="JUDGMENTNUMBERED"/>
        <w:rPr>
          <w:lang w:eastAsia="zh-TW"/>
        </w:rPr>
        <w:sectPr w:rsidR="00D5134D" w:rsidRPr="00D42335" w:rsidSect="0017524A">
          <w:headerReference w:type="default" r:id="rId9"/>
          <w:footerReference w:type="even" r:id="rId10"/>
          <w:footerReference w:type="default" r:id="rId11"/>
          <w:footerReference w:type="first" r:id="rId12"/>
          <w:pgSz w:w="11907" w:h="16839" w:code="9"/>
          <w:pgMar w:top="1440" w:right="1440" w:bottom="1440" w:left="1440" w:header="708" w:footer="708" w:gutter="0"/>
          <w:pgNumType w:start="1"/>
          <w:cols w:space="708"/>
          <w:titlePg/>
          <w:docGrid w:linePitch="360"/>
        </w:sectPr>
      </w:pPr>
    </w:p>
    <w:p w14:paraId="4A23BE68" w14:textId="77777777" w:rsidR="00D5134D" w:rsidRPr="00D42335" w:rsidRDefault="00D5134D" w:rsidP="00D5134D">
      <w:pPr>
        <w:keepNext/>
        <w:pBdr>
          <w:top w:val="single" w:sz="4" w:space="1" w:color="auto"/>
          <w:bottom w:val="single" w:sz="4" w:space="1" w:color="auto"/>
        </w:pBdr>
        <w:spacing w:line="240" w:lineRule="auto"/>
        <w:jc w:val="center"/>
        <w:rPr>
          <w:lang w:eastAsia="zh-TW"/>
        </w:rPr>
      </w:pPr>
    </w:p>
    <w:p w14:paraId="584C7133" w14:textId="77777777" w:rsidR="00D5134D" w:rsidRPr="00D42335" w:rsidRDefault="00D5134D" w:rsidP="00D5134D">
      <w:pPr>
        <w:keepNext/>
        <w:pBdr>
          <w:top w:val="single" w:sz="4" w:space="1" w:color="auto"/>
          <w:bottom w:val="single" w:sz="4" w:space="1" w:color="auto"/>
        </w:pBdr>
        <w:spacing w:line="240" w:lineRule="auto"/>
        <w:jc w:val="center"/>
        <w:outlineLvl w:val="0"/>
        <w:rPr>
          <w:rFonts w:ascii="Arial" w:hAnsi="Arial" w:cs="Arial"/>
          <w:b/>
          <w:sz w:val="24"/>
          <w:szCs w:val="21"/>
          <w:lang w:eastAsia="zh-TW"/>
        </w:rPr>
      </w:pPr>
      <w:r w:rsidRPr="00D42335">
        <w:rPr>
          <w:rFonts w:ascii="Arial" w:hAnsi="Arial" w:cs="Arial"/>
          <w:b/>
          <w:sz w:val="24"/>
          <w:szCs w:val="21"/>
          <w:lang w:eastAsia="zh-TW"/>
        </w:rPr>
        <w:t>JUDGMENT</w:t>
      </w:r>
    </w:p>
    <w:p w14:paraId="079F8E11" w14:textId="77777777" w:rsidR="00D5134D" w:rsidRPr="00D42335" w:rsidRDefault="00D5134D" w:rsidP="00D5134D">
      <w:pPr>
        <w:pBdr>
          <w:top w:val="single" w:sz="4" w:space="1" w:color="auto"/>
          <w:bottom w:val="single" w:sz="4" w:space="1" w:color="auto"/>
        </w:pBdr>
        <w:spacing w:line="240" w:lineRule="auto"/>
        <w:jc w:val="center"/>
        <w:rPr>
          <w:lang w:eastAsia="zh-TW"/>
        </w:rPr>
      </w:pPr>
    </w:p>
    <w:p w14:paraId="0F19E22B" w14:textId="77777777" w:rsidR="00D5134D" w:rsidRPr="00D42335" w:rsidRDefault="00D5134D" w:rsidP="00D5134D">
      <w:pPr>
        <w:spacing w:line="240" w:lineRule="auto"/>
        <w:outlineLvl w:val="0"/>
      </w:pPr>
    </w:p>
    <w:p w14:paraId="6F0643BD" w14:textId="77777777" w:rsidR="00D5134D" w:rsidRPr="00D42335" w:rsidRDefault="00D5134D" w:rsidP="00D5134D">
      <w:pPr>
        <w:spacing w:line="240" w:lineRule="auto"/>
        <w:outlineLvl w:val="0"/>
        <w:rPr>
          <w:rFonts w:ascii="Arial" w:hAnsi="Arial" w:cs="Arial"/>
          <w:sz w:val="24"/>
          <w:szCs w:val="21"/>
        </w:rPr>
      </w:pPr>
      <w:r w:rsidRPr="00D42335">
        <w:rPr>
          <w:rFonts w:ascii="Arial" w:hAnsi="Arial" w:cs="Arial"/>
          <w:sz w:val="24"/>
          <w:szCs w:val="21"/>
        </w:rPr>
        <w:t>WINDELL J:</w:t>
      </w:r>
    </w:p>
    <w:p w14:paraId="5E61ABBC" w14:textId="77777777" w:rsidR="00D5134D" w:rsidRPr="00D42335" w:rsidRDefault="00D5134D" w:rsidP="00D5134D">
      <w:pPr>
        <w:spacing w:line="240" w:lineRule="auto"/>
        <w:outlineLvl w:val="0"/>
        <w:rPr>
          <w:rFonts w:ascii="Arial" w:hAnsi="Arial" w:cs="Arial"/>
          <w:sz w:val="24"/>
          <w:szCs w:val="21"/>
        </w:rPr>
      </w:pPr>
    </w:p>
    <w:p w14:paraId="640631B9" w14:textId="77777777" w:rsidR="00D5134D" w:rsidRPr="007C25BF" w:rsidRDefault="00D5134D" w:rsidP="00D5134D">
      <w:pPr>
        <w:pStyle w:val="HEADING"/>
        <w:rPr>
          <w:rFonts w:ascii="Arial" w:hAnsi="Arial" w:cs="Arial"/>
          <w:sz w:val="24"/>
          <w:szCs w:val="21"/>
        </w:rPr>
      </w:pPr>
      <w:r w:rsidRPr="007C25BF">
        <w:rPr>
          <w:rFonts w:ascii="Arial" w:hAnsi="Arial" w:cs="Arial"/>
          <w:sz w:val="24"/>
          <w:szCs w:val="21"/>
        </w:rPr>
        <w:t>Introduction</w:t>
      </w:r>
    </w:p>
    <w:p w14:paraId="7D52585E" w14:textId="61800D57" w:rsidR="00A622D5" w:rsidRPr="00D42335" w:rsidRDefault="00AE5B99" w:rsidP="00AE5B99">
      <w:pPr>
        <w:pStyle w:val="JudgmentNumbered0"/>
        <w:ind w:left="0" w:firstLine="0"/>
        <w:rPr>
          <w:spacing w:val="-2"/>
          <w:szCs w:val="24"/>
        </w:rPr>
      </w:pPr>
      <w:r w:rsidRPr="00D42335">
        <w:rPr>
          <w:color w:val="000000"/>
          <w:szCs w:val="24"/>
        </w:rPr>
        <w:t>[1]</w:t>
      </w:r>
      <w:r w:rsidRPr="00D42335">
        <w:rPr>
          <w:color w:val="000000"/>
          <w:szCs w:val="24"/>
        </w:rPr>
        <w:tab/>
      </w:r>
      <w:r w:rsidR="00A622D5" w:rsidRPr="00D42335">
        <w:t>This is an appeal against the order and judgment of Van Der Berg AJ, dismissing the appellants’</w:t>
      </w:r>
      <w:r w:rsidR="00A51835" w:rsidRPr="00D42335">
        <w:t xml:space="preserve"> </w:t>
      </w:r>
      <w:r w:rsidR="00A622D5" w:rsidRPr="00D42335">
        <w:t xml:space="preserve">application for an order directing the respondents, City of Johannesburg Metropolitan Municipality </w:t>
      </w:r>
      <w:r w:rsidR="00E24DB4" w:rsidRPr="00D42335">
        <w:t>(</w:t>
      </w:r>
      <w:r w:rsidR="006B0969">
        <w:t xml:space="preserve">the </w:t>
      </w:r>
      <w:r w:rsidR="00E24DB4" w:rsidRPr="00D42335">
        <w:t xml:space="preserve">Municipality) </w:t>
      </w:r>
      <w:r w:rsidR="00A622D5" w:rsidRPr="00D42335">
        <w:t>and City Power Johannesburg SOC Ltd</w:t>
      </w:r>
      <w:r w:rsidR="00F95419" w:rsidRPr="00D42335">
        <w:t>,</w:t>
      </w:r>
      <w:r w:rsidR="00A622D5" w:rsidRPr="00D42335">
        <w:t xml:space="preserve"> to align and </w:t>
      </w:r>
      <w:r w:rsidR="00D83BAD" w:rsidRPr="00D42335">
        <w:t>rectify</w:t>
      </w:r>
      <w:r w:rsidR="00A622D5" w:rsidRPr="00D42335">
        <w:t xml:space="preserve"> their billing records to reflect the appellants</w:t>
      </w:r>
      <w:r w:rsidR="002B71CF" w:rsidRPr="00D42335">
        <w:t>’</w:t>
      </w:r>
      <w:r w:rsidR="00A622D5" w:rsidRPr="00D42335">
        <w:t xml:space="preserve"> propert</w:t>
      </w:r>
      <w:r w:rsidR="001D1144" w:rsidRPr="00D42335">
        <w:t>ies</w:t>
      </w:r>
      <w:r w:rsidR="00A622D5" w:rsidRPr="00D42335">
        <w:t xml:space="preserve"> as residential properties for the purpose of valuation and billing of electricity and municipal services, along with an interdict restraining the respondents from disconnecting municipal services pending compliance.</w:t>
      </w:r>
    </w:p>
    <w:p w14:paraId="6B3A4DCE" w14:textId="2CB2C6C4" w:rsidR="00A622D5" w:rsidRPr="00D42335" w:rsidRDefault="00AE5B99" w:rsidP="00AE5B99">
      <w:pPr>
        <w:pStyle w:val="JudgmentNumbered0"/>
        <w:ind w:left="0" w:firstLine="0"/>
        <w:rPr>
          <w:spacing w:val="-2"/>
          <w:szCs w:val="24"/>
        </w:rPr>
      </w:pPr>
      <w:r w:rsidRPr="00D42335">
        <w:rPr>
          <w:color w:val="000000"/>
          <w:szCs w:val="24"/>
        </w:rPr>
        <w:t>[2]</w:t>
      </w:r>
      <w:r w:rsidRPr="00D42335">
        <w:rPr>
          <w:color w:val="000000"/>
          <w:szCs w:val="24"/>
        </w:rPr>
        <w:tab/>
      </w:r>
      <w:r w:rsidR="00A622D5" w:rsidRPr="00D42335">
        <w:t xml:space="preserve">The thrust of </w:t>
      </w:r>
      <w:r w:rsidR="00C83DCA" w:rsidRPr="00D42335">
        <w:t>the appellant</w:t>
      </w:r>
      <w:r w:rsidR="002B71CF" w:rsidRPr="00D42335">
        <w:t>s’</w:t>
      </w:r>
      <w:r w:rsidR="00A622D5" w:rsidRPr="00D42335">
        <w:t xml:space="preserve"> appeal is that the court a quo erred in its interpretation and application of the relevant legislation, policies, and tariff determinations in classifying the appellants as </w:t>
      </w:r>
      <w:r w:rsidR="00913435" w:rsidRPr="00D42335">
        <w:t>‘</w:t>
      </w:r>
      <w:r w:rsidR="00A622D5" w:rsidRPr="00D42335">
        <w:t>mixed domestic and non-domestic loads</w:t>
      </w:r>
      <w:r w:rsidR="00913435" w:rsidRPr="00D42335">
        <w:t>’</w:t>
      </w:r>
      <w:r w:rsidR="002B606A" w:rsidRPr="00D42335">
        <w:t xml:space="preserve"> (</w:t>
      </w:r>
      <w:r w:rsidR="000F15C3" w:rsidRPr="00D42335">
        <w:t xml:space="preserve">which is subject to commercial/business </w:t>
      </w:r>
      <w:r w:rsidR="00FD5825">
        <w:t xml:space="preserve">property </w:t>
      </w:r>
      <w:r w:rsidR="00F02486">
        <w:t xml:space="preserve">electricity </w:t>
      </w:r>
      <w:r w:rsidR="000F15C3" w:rsidRPr="00D42335">
        <w:t>tariffs</w:t>
      </w:r>
      <w:r w:rsidR="00D83BAD" w:rsidRPr="00D42335">
        <w:t xml:space="preserve"> in terms of section 5(10) of the City of Johannesburg Electricity By- laws (the ‘By-laws’))</w:t>
      </w:r>
      <w:r w:rsidR="000F15C3" w:rsidRPr="00D42335">
        <w:t>,</w:t>
      </w:r>
      <w:r w:rsidR="006B0969">
        <w:rPr>
          <w:rStyle w:val="FootnoteReference"/>
        </w:rPr>
        <w:footnoteReference w:id="1"/>
      </w:r>
      <w:r w:rsidR="000F15C3" w:rsidRPr="00D42335">
        <w:t xml:space="preserve"> </w:t>
      </w:r>
      <w:r w:rsidR="00A622D5" w:rsidRPr="00D42335">
        <w:t xml:space="preserve">due to the presence of a </w:t>
      </w:r>
      <w:r w:rsidR="004C72FE" w:rsidRPr="00D42335">
        <w:t xml:space="preserve">restaurant and gym (Lifestyle Centres) </w:t>
      </w:r>
      <w:r w:rsidR="00A622D5" w:rsidRPr="00D42335">
        <w:t xml:space="preserve">within the estates.  </w:t>
      </w:r>
      <w:r w:rsidR="00B22851">
        <w:t>In particular, the appellants are contesting the court a quo's determination that their Lifestyle Centres</w:t>
      </w:r>
      <w:r w:rsidR="006B0969">
        <w:t xml:space="preserve"> </w:t>
      </w:r>
      <w:r w:rsidR="00B22851">
        <w:t xml:space="preserve">cannot be </w:t>
      </w:r>
      <w:r w:rsidR="00FD5825">
        <w:t>classified as</w:t>
      </w:r>
      <w:r w:rsidR="00B22851">
        <w:t xml:space="preserve"> ‘ancillary’ for residential </w:t>
      </w:r>
      <w:r w:rsidR="00FD5825">
        <w:t>use</w:t>
      </w:r>
      <w:r w:rsidR="006B0969">
        <w:t xml:space="preserve"> and</w:t>
      </w:r>
      <w:r w:rsidR="00FD5825">
        <w:t xml:space="preserve">, as such, be subject to </w:t>
      </w:r>
      <w:r w:rsidR="006B0969">
        <w:t xml:space="preserve">domestic </w:t>
      </w:r>
      <w:r w:rsidR="00FD5825">
        <w:t xml:space="preserve">property </w:t>
      </w:r>
      <w:r w:rsidR="006B0969">
        <w:t>electricity tariffs.</w:t>
      </w:r>
      <w:r w:rsidR="00B22851">
        <w:t xml:space="preserve">  </w:t>
      </w:r>
    </w:p>
    <w:p w14:paraId="5487D68C" w14:textId="13F3C885" w:rsidR="00A622D5" w:rsidRPr="00D42335" w:rsidRDefault="00A622D5" w:rsidP="00A622D5">
      <w:pPr>
        <w:pStyle w:val="HEADING"/>
        <w:rPr>
          <w:rFonts w:ascii="Arial" w:hAnsi="Arial" w:cs="Arial"/>
          <w:sz w:val="24"/>
          <w:szCs w:val="21"/>
        </w:rPr>
      </w:pPr>
      <w:r w:rsidRPr="00D42335">
        <w:rPr>
          <w:rFonts w:ascii="Arial" w:hAnsi="Arial" w:cs="Arial"/>
          <w:sz w:val="24"/>
          <w:szCs w:val="21"/>
        </w:rPr>
        <w:t>Background</w:t>
      </w:r>
    </w:p>
    <w:p w14:paraId="52CD2841" w14:textId="104B1D61" w:rsidR="006E3A4F" w:rsidRPr="00D42335" w:rsidRDefault="00AE5B99" w:rsidP="00AE5B99">
      <w:pPr>
        <w:pStyle w:val="JudgmentNumbered0"/>
        <w:ind w:left="0" w:firstLine="0"/>
        <w:rPr>
          <w:spacing w:val="-2"/>
          <w:szCs w:val="24"/>
        </w:rPr>
      </w:pPr>
      <w:r w:rsidRPr="00D42335">
        <w:rPr>
          <w:color w:val="000000"/>
          <w:szCs w:val="24"/>
        </w:rPr>
        <w:t>[3]</w:t>
      </w:r>
      <w:r w:rsidRPr="00D42335">
        <w:rPr>
          <w:color w:val="000000"/>
          <w:szCs w:val="24"/>
        </w:rPr>
        <w:tab/>
      </w:r>
      <w:r w:rsidR="00A82E8B" w:rsidRPr="00D42335">
        <w:rPr>
          <w:spacing w:val="-2"/>
          <w:szCs w:val="24"/>
        </w:rPr>
        <w:t xml:space="preserve">The appellants, </w:t>
      </w:r>
      <w:r w:rsidR="00A82E8B" w:rsidRPr="00D42335">
        <w:t>Malakite Body Corporate and Greenstone Crest Body Corporate</w:t>
      </w:r>
      <w:r w:rsidR="00A82E8B">
        <w:t>,</w:t>
      </w:r>
      <w:r w:rsidR="00A51835" w:rsidRPr="00D42335">
        <w:t xml:space="preserve"> are </w:t>
      </w:r>
      <w:r w:rsidR="00A14176" w:rsidRPr="00D42335">
        <w:rPr>
          <w:spacing w:val="-2"/>
          <w:szCs w:val="24"/>
        </w:rPr>
        <w:t xml:space="preserve">residential </w:t>
      </w:r>
      <w:r w:rsidR="00FD5825">
        <w:rPr>
          <w:spacing w:val="-2"/>
          <w:szCs w:val="24"/>
        </w:rPr>
        <w:t>estates</w:t>
      </w:r>
      <w:r w:rsidR="00A14176" w:rsidRPr="00D42335">
        <w:rPr>
          <w:spacing w:val="-2"/>
          <w:szCs w:val="24"/>
        </w:rPr>
        <w:t xml:space="preserve"> </w:t>
      </w:r>
      <w:r w:rsidR="00B22851">
        <w:rPr>
          <w:spacing w:val="-2"/>
          <w:szCs w:val="24"/>
        </w:rPr>
        <w:t>containing</w:t>
      </w:r>
      <w:r w:rsidR="00A14176" w:rsidRPr="00D42335">
        <w:rPr>
          <w:spacing w:val="-2"/>
          <w:szCs w:val="24"/>
        </w:rPr>
        <w:t xml:space="preserve"> </w:t>
      </w:r>
      <w:r w:rsidR="00D83BAD" w:rsidRPr="00D42335">
        <w:rPr>
          <w:spacing w:val="-2"/>
          <w:szCs w:val="24"/>
        </w:rPr>
        <w:t>29</w:t>
      </w:r>
      <w:r w:rsidR="00A662E1" w:rsidRPr="00D42335">
        <w:rPr>
          <w:spacing w:val="-2"/>
          <w:szCs w:val="24"/>
        </w:rPr>
        <w:t>1 and 620</w:t>
      </w:r>
      <w:r w:rsidR="00A14176" w:rsidRPr="00D42335">
        <w:rPr>
          <w:spacing w:val="-2"/>
          <w:szCs w:val="24"/>
        </w:rPr>
        <w:t xml:space="preserve"> </w:t>
      </w:r>
      <w:r w:rsidR="00B22851">
        <w:rPr>
          <w:spacing w:val="-2"/>
          <w:szCs w:val="24"/>
        </w:rPr>
        <w:t>dwelling</w:t>
      </w:r>
      <w:r w:rsidR="00A14176" w:rsidRPr="00D42335">
        <w:rPr>
          <w:spacing w:val="-2"/>
          <w:szCs w:val="24"/>
        </w:rPr>
        <w:t xml:space="preserve"> units</w:t>
      </w:r>
      <w:r w:rsidR="00A662E1" w:rsidRPr="00D42335">
        <w:rPr>
          <w:spacing w:val="-2"/>
          <w:szCs w:val="24"/>
        </w:rPr>
        <w:t xml:space="preserve"> respectively</w:t>
      </w:r>
      <w:r w:rsidR="00A14176" w:rsidRPr="00D42335">
        <w:rPr>
          <w:spacing w:val="-2"/>
          <w:szCs w:val="24"/>
        </w:rPr>
        <w:t xml:space="preserve">. </w:t>
      </w:r>
      <w:r w:rsidR="006E3A4F" w:rsidRPr="00D42335">
        <w:rPr>
          <w:spacing w:val="-2"/>
          <w:szCs w:val="24"/>
        </w:rPr>
        <w:t xml:space="preserve">The </w:t>
      </w:r>
      <w:r w:rsidR="00FD5825">
        <w:rPr>
          <w:spacing w:val="-2"/>
          <w:szCs w:val="24"/>
        </w:rPr>
        <w:t>estates</w:t>
      </w:r>
      <w:r w:rsidR="006E3A4F" w:rsidRPr="00D42335">
        <w:rPr>
          <w:spacing w:val="-2"/>
          <w:szCs w:val="24"/>
        </w:rPr>
        <w:t xml:space="preserve"> are zoned as </w:t>
      </w:r>
      <w:r w:rsidR="00D42335">
        <w:rPr>
          <w:spacing w:val="-2"/>
          <w:szCs w:val="24"/>
        </w:rPr>
        <w:t>‘</w:t>
      </w:r>
      <w:r w:rsidR="006E3A4F" w:rsidRPr="00D42335">
        <w:rPr>
          <w:spacing w:val="-2"/>
          <w:szCs w:val="24"/>
        </w:rPr>
        <w:t>Residential 3</w:t>
      </w:r>
      <w:r w:rsidR="00D42335">
        <w:rPr>
          <w:spacing w:val="-2"/>
          <w:szCs w:val="24"/>
        </w:rPr>
        <w:t>’</w:t>
      </w:r>
      <w:r w:rsidR="006E3A4F" w:rsidRPr="00D42335">
        <w:rPr>
          <w:spacing w:val="-2"/>
          <w:szCs w:val="24"/>
        </w:rPr>
        <w:t xml:space="preserve"> which allows for ancillary uses </w:t>
      </w:r>
      <w:r w:rsidR="00B22851">
        <w:rPr>
          <w:spacing w:val="-2"/>
          <w:szCs w:val="24"/>
        </w:rPr>
        <w:t xml:space="preserve">such as </w:t>
      </w:r>
      <w:r w:rsidR="006E3A4F" w:rsidRPr="00D42335">
        <w:rPr>
          <w:spacing w:val="-2"/>
          <w:szCs w:val="24"/>
        </w:rPr>
        <w:t>taverns and recreation clubs</w:t>
      </w:r>
      <w:r w:rsidR="00A82E8B">
        <w:rPr>
          <w:spacing w:val="-2"/>
          <w:szCs w:val="24"/>
        </w:rPr>
        <w:t xml:space="preserve"> in the </w:t>
      </w:r>
      <w:r w:rsidR="00FD5825">
        <w:rPr>
          <w:spacing w:val="-2"/>
          <w:szCs w:val="24"/>
        </w:rPr>
        <w:t>estates</w:t>
      </w:r>
      <w:r w:rsidR="00A82E8B">
        <w:rPr>
          <w:spacing w:val="-2"/>
          <w:szCs w:val="24"/>
        </w:rPr>
        <w:t xml:space="preserve"> without the </w:t>
      </w:r>
      <w:r w:rsidR="00B22851">
        <w:rPr>
          <w:spacing w:val="-2"/>
          <w:szCs w:val="24"/>
        </w:rPr>
        <w:t xml:space="preserve">requirement for a unique zoning. </w:t>
      </w:r>
      <w:r w:rsidR="006E3A4F" w:rsidRPr="00D42335">
        <w:rPr>
          <w:spacing w:val="-2"/>
          <w:szCs w:val="24"/>
        </w:rPr>
        <w:t xml:space="preserve">It is common cause between the parties that within the two residential </w:t>
      </w:r>
      <w:r w:rsidR="00FD5825">
        <w:rPr>
          <w:spacing w:val="-2"/>
          <w:szCs w:val="24"/>
        </w:rPr>
        <w:t>estates</w:t>
      </w:r>
      <w:r w:rsidR="006E3A4F" w:rsidRPr="00D42335">
        <w:rPr>
          <w:spacing w:val="-2"/>
          <w:szCs w:val="24"/>
        </w:rPr>
        <w:t xml:space="preserve">, there are 1 or 2 units that are used as Lifestyle </w:t>
      </w:r>
      <w:r w:rsidR="00FB6D57">
        <w:rPr>
          <w:spacing w:val="-2"/>
          <w:szCs w:val="24"/>
        </w:rPr>
        <w:t>C</w:t>
      </w:r>
      <w:r w:rsidR="006E3A4F" w:rsidRPr="00D42335">
        <w:rPr>
          <w:spacing w:val="-2"/>
          <w:szCs w:val="24"/>
        </w:rPr>
        <w:t xml:space="preserve">entres. </w:t>
      </w:r>
    </w:p>
    <w:p w14:paraId="6532E283" w14:textId="7D49B900" w:rsidR="00FD5825" w:rsidRPr="00FD5825" w:rsidRDefault="00AE5B99" w:rsidP="00AE5B99">
      <w:pPr>
        <w:pStyle w:val="JudgmentNumbered0"/>
        <w:ind w:left="0" w:firstLine="0"/>
        <w:rPr>
          <w:spacing w:val="-2"/>
          <w:szCs w:val="24"/>
        </w:rPr>
      </w:pPr>
      <w:r w:rsidRPr="00FD5825">
        <w:rPr>
          <w:color w:val="000000"/>
          <w:szCs w:val="24"/>
        </w:rPr>
        <w:lastRenderedPageBreak/>
        <w:t>[4]</w:t>
      </w:r>
      <w:r w:rsidRPr="00FD5825">
        <w:rPr>
          <w:color w:val="000000"/>
          <w:szCs w:val="24"/>
        </w:rPr>
        <w:tab/>
      </w:r>
      <w:r w:rsidR="00B22851">
        <w:rPr>
          <w:spacing w:val="-2"/>
          <w:szCs w:val="24"/>
        </w:rPr>
        <w:t>The</w:t>
      </w:r>
      <w:r w:rsidR="00A82E8B" w:rsidRPr="00D42335">
        <w:rPr>
          <w:spacing w:val="-2"/>
          <w:szCs w:val="24"/>
        </w:rPr>
        <w:t xml:space="preserve"> appellants</w:t>
      </w:r>
      <w:r w:rsidR="00A662E1" w:rsidRPr="00D42335">
        <w:rPr>
          <w:spacing w:val="-2"/>
          <w:szCs w:val="24"/>
        </w:rPr>
        <w:t xml:space="preserve"> are sectional title schemes</w:t>
      </w:r>
      <w:r w:rsidR="00A82E8B">
        <w:rPr>
          <w:spacing w:val="-2"/>
          <w:szCs w:val="24"/>
        </w:rPr>
        <w:t xml:space="preserve">. </w:t>
      </w:r>
      <w:r w:rsidR="00FD5825">
        <w:rPr>
          <w:spacing w:val="-2"/>
          <w:szCs w:val="24"/>
        </w:rPr>
        <w:t>I</w:t>
      </w:r>
      <w:r w:rsidR="00A662E1" w:rsidRPr="00D42335">
        <w:rPr>
          <w:spacing w:val="-2"/>
          <w:szCs w:val="24"/>
        </w:rPr>
        <w:t>ndividual charges such as rates and refuse are billed directly to the specific section of the sectional title and electricity is billed on one account to the</w:t>
      </w:r>
      <w:r w:rsidR="00A82E8B">
        <w:rPr>
          <w:spacing w:val="-2"/>
          <w:szCs w:val="24"/>
        </w:rPr>
        <w:t xml:space="preserve"> </w:t>
      </w:r>
      <w:r w:rsidR="00A662E1" w:rsidRPr="00D42335">
        <w:rPr>
          <w:spacing w:val="-2"/>
          <w:szCs w:val="24"/>
        </w:rPr>
        <w:t xml:space="preserve">sectional title </w:t>
      </w:r>
      <w:r w:rsidR="00B22851" w:rsidRPr="00D42335">
        <w:rPr>
          <w:spacing w:val="-2"/>
          <w:szCs w:val="24"/>
        </w:rPr>
        <w:t>scheme</w:t>
      </w:r>
      <w:r w:rsidR="00A662E1" w:rsidRPr="00D42335">
        <w:rPr>
          <w:spacing w:val="-2"/>
          <w:szCs w:val="24"/>
        </w:rPr>
        <w:t>.</w:t>
      </w:r>
      <w:r w:rsidR="00A662E1" w:rsidRPr="00D42335">
        <w:t xml:space="preserve"> </w:t>
      </w:r>
      <w:r w:rsidR="008222E9" w:rsidRPr="00D42335">
        <w:t>The determination of how the sectional title scheme</w:t>
      </w:r>
      <w:r w:rsidR="008222E9" w:rsidRPr="00AA044B">
        <w:t xml:space="preserve"> invoice</w:t>
      </w:r>
      <w:r w:rsidR="0030143B" w:rsidRPr="00AA044B">
        <w:t>s</w:t>
      </w:r>
      <w:r w:rsidR="008222E9" w:rsidRPr="00AA044B">
        <w:t xml:space="preserve"> </w:t>
      </w:r>
      <w:r w:rsidR="008222E9" w:rsidRPr="00D42335">
        <w:t>its members is an internal matter and has nothing to do with the respondents.</w:t>
      </w:r>
    </w:p>
    <w:p w14:paraId="7EEE5FD7" w14:textId="7A6B3128" w:rsidR="00D23B96" w:rsidRPr="00D42335" w:rsidRDefault="00AE5B99" w:rsidP="00AE5B99">
      <w:pPr>
        <w:pStyle w:val="JudgmentNumbered0"/>
        <w:ind w:left="0" w:firstLine="0"/>
        <w:rPr>
          <w:spacing w:val="-2"/>
          <w:szCs w:val="24"/>
        </w:rPr>
      </w:pPr>
      <w:r w:rsidRPr="00D42335">
        <w:rPr>
          <w:color w:val="000000"/>
          <w:szCs w:val="24"/>
        </w:rPr>
        <w:t>[5]</w:t>
      </w:r>
      <w:r w:rsidRPr="00D42335">
        <w:rPr>
          <w:color w:val="000000"/>
          <w:szCs w:val="24"/>
        </w:rPr>
        <w:tab/>
      </w:r>
      <w:r w:rsidR="008222E9" w:rsidRPr="00D42335">
        <w:t xml:space="preserve"> </w:t>
      </w:r>
      <w:r w:rsidR="00A622D5" w:rsidRPr="00D42335">
        <w:rPr>
          <w:spacing w:val="-2"/>
          <w:szCs w:val="24"/>
        </w:rPr>
        <w:t xml:space="preserve">At the heart of the parties’ acrimony is the respondents’ </w:t>
      </w:r>
      <w:r w:rsidR="00D23B96" w:rsidRPr="00D42335">
        <w:rPr>
          <w:spacing w:val="-2"/>
          <w:szCs w:val="24"/>
        </w:rPr>
        <w:t>decision to charge</w:t>
      </w:r>
      <w:r w:rsidR="00A622D5" w:rsidRPr="00D42335">
        <w:rPr>
          <w:spacing w:val="-2"/>
          <w:szCs w:val="24"/>
        </w:rPr>
        <w:t xml:space="preserve"> the owners of the residential </w:t>
      </w:r>
      <w:r w:rsidR="002E34FE">
        <w:rPr>
          <w:spacing w:val="-2"/>
          <w:szCs w:val="24"/>
        </w:rPr>
        <w:t>dwellings</w:t>
      </w:r>
      <w:r w:rsidR="00A622D5" w:rsidRPr="00D42335">
        <w:rPr>
          <w:spacing w:val="-2"/>
          <w:szCs w:val="24"/>
        </w:rPr>
        <w:t xml:space="preserve"> within the estates a commercial property tariff for </w:t>
      </w:r>
      <w:r w:rsidR="008222E9" w:rsidRPr="00D42335">
        <w:rPr>
          <w:spacing w:val="-2"/>
          <w:szCs w:val="24"/>
        </w:rPr>
        <w:t>electricity</w:t>
      </w:r>
      <w:r w:rsidR="00A622D5" w:rsidRPr="00D42335">
        <w:rPr>
          <w:spacing w:val="-2"/>
          <w:szCs w:val="24"/>
        </w:rPr>
        <w:t>.</w:t>
      </w:r>
      <w:r w:rsidR="00C95B8C" w:rsidRPr="00D42335">
        <w:rPr>
          <w:spacing w:val="-2"/>
          <w:szCs w:val="24"/>
        </w:rPr>
        <w:t xml:space="preserve"> </w:t>
      </w:r>
      <w:r w:rsidR="00A622D5" w:rsidRPr="00AA044B">
        <w:rPr>
          <w:spacing w:val="-2"/>
          <w:szCs w:val="24"/>
        </w:rPr>
        <w:t>The</w:t>
      </w:r>
      <w:r w:rsidR="00A51835" w:rsidRPr="00AA044B">
        <w:rPr>
          <w:spacing w:val="-2"/>
          <w:szCs w:val="24"/>
        </w:rPr>
        <w:t xml:space="preserve"> </w:t>
      </w:r>
      <w:r w:rsidR="00716F95" w:rsidRPr="00AA044B">
        <w:rPr>
          <w:spacing w:val="-2"/>
          <w:szCs w:val="24"/>
        </w:rPr>
        <w:t>rational</w:t>
      </w:r>
      <w:r w:rsidR="002F5F19" w:rsidRPr="00AA044B">
        <w:rPr>
          <w:spacing w:val="-2"/>
          <w:szCs w:val="24"/>
        </w:rPr>
        <w:t>e</w:t>
      </w:r>
      <w:r w:rsidR="00D262BF" w:rsidRPr="00AA044B">
        <w:rPr>
          <w:spacing w:val="-2"/>
          <w:szCs w:val="24"/>
        </w:rPr>
        <w:t xml:space="preserve"> for</w:t>
      </w:r>
      <w:r w:rsidR="00A51835" w:rsidRPr="00D42335">
        <w:rPr>
          <w:spacing w:val="-2"/>
          <w:szCs w:val="24"/>
        </w:rPr>
        <w:t xml:space="preserve"> </w:t>
      </w:r>
      <w:r w:rsidR="00A622D5" w:rsidRPr="00D42335">
        <w:rPr>
          <w:spacing w:val="-2"/>
          <w:szCs w:val="24"/>
        </w:rPr>
        <w:t xml:space="preserve">billing the appellants on a commercial/business tariff, </w:t>
      </w:r>
      <w:r w:rsidR="00A51835" w:rsidRPr="00D42335">
        <w:rPr>
          <w:spacing w:val="-2"/>
          <w:szCs w:val="24"/>
        </w:rPr>
        <w:t xml:space="preserve">is </w:t>
      </w:r>
      <w:r w:rsidR="00D262BF" w:rsidRPr="00D42335">
        <w:rPr>
          <w:spacing w:val="-2"/>
          <w:szCs w:val="24"/>
        </w:rPr>
        <w:t xml:space="preserve">that </w:t>
      </w:r>
      <w:r w:rsidR="00716F95">
        <w:rPr>
          <w:spacing w:val="-2"/>
          <w:szCs w:val="24"/>
        </w:rPr>
        <w:t xml:space="preserve">the </w:t>
      </w:r>
      <w:r w:rsidR="002E34FE">
        <w:rPr>
          <w:spacing w:val="-2"/>
          <w:szCs w:val="24"/>
        </w:rPr>
        <w:t>estates</w:t>
      </w:r>
      <w:r w:rsidR="00A51835" w:rsidRPr="00D42335">
        <w:rPr>
          <w:spacing w:val="-2"/>
          <w:szCs w:val="24"/>
        </w:rPr>
        <w:t xml:space="preserve"> fall under ‘</w:t>
      </w:r>
      <w:r w:rsidR="00A622D5" w:rsidRPr="00D42335">
        <w:rPr>
          <w:spacing w:val="-2"/>
          <w:szCs w:val="24"/>
        </w:rPr>
        <w:t>mixed domestic and non-domestic loads</w:t>
      </w:r>
      <w:r w:rsidR="00A51835" w:rsidRPr="00D42335">
        <w:rPr>
          <w:spacing w:val="-2"/>
          <w:szCs w:val="24"/>
        </w:rPr>
        <w:t>’</w:t>
      </w:r>
      <w:r w:rsidR="00A622D5" w:rsidRPr="00D42335">
        <w:rPr>
          <w:spacing w:val="-2"/>
          <w:szCs w:val="24"/>
        </w:rPr>
        <w:t xml:space="preserve"> due to the presence of </w:t>
      </w:r>
      <w:r w:rsidR="00D23B96" w:rsidRPr="00D42335">
        <w:rPr>
          <w:spacing w:val="-2"/>
          <w:szCs w:val="24"/>
        </w:rPr>
        <w:t>the Lifestyles</w:t>
      </w:r>
      <w:r w:rsidR="00A622D5" w:rsidRPr="00D42335">
        <w:rPr>
          <w:spacing w:val="-2"/>
          <w:szCs w:val="24"/>
        </w:rPr>
        <w:t xml:space="preserve"> </w:t>
      </w:r>
      <w:r w:rsidR="00D23B96" w:rsidRPr="00D42335">
        <w:rPr>
          <w:spacing w:val="-2"/>
          <w:szCs w:val="24"/>
        </w:rPr>
        <w:t>C</w:t>
      </w:r>
      <w:r w:rsidR="00A622D5" w:rsidRPr="00D42335">
        <w:rPr>
          <w:spacing w:val="-2"/>
          <w:szCs w:val="24"/>
        </w:rPr>
        <w:t>entre</w:t>
      </w:r>
      <w:r w:rsidR="00D23B96" w:rsidRPr="00D42335">
        <w:rPr>
          <w:spacing w:val="-2"/>
          <w:szCs w:val="24"/>
        </w:rPr>
        <w:t>s</w:t>
      </w:r>
      <w:r w:rsidR="00A622D5" w:rsidRPr="00D42335">
        <w:rPr>
          <w:spacing w:val="-2"/>
          <w:szCs w:val="24"/>
        </w:rPr>
        <w:t xml:space="preserve"> within the </w:t>
      </w:r>
      <w:r w:rsidR="00FD5825">
        <w:rPr>
          <w:spacing w:val="-2"/>
          <w:szCs w:val="24"/>
        </w:rPr>
        <w:t>estates</w:t>
      </w:r>
      <w:r w:rsidR="00A622D5" w:rsidRPr="00D42335">
        <w:rPr>
          <w:spacing w:val="-2"/>
          <w:szCs w:val="24"/>
        </w:rPr>
        <w:t>.</w:t>
      </w:r>
    </w:p>
    <w:p w14:paraId="17AF3622" w14:textId="2DA3A7DA" w:rsidR="00A622D5" w:rsidRPr="00D42335" w:rsidRDefault="00AE5B99" w:rsidP="00AE5B99">
      <w:pPr>
        <w:pStyle w:val="JudgmentNumbered0"/>
        <w:ind w:left="0" w:firstLine="0"/>
        <w:rPr>
          <w:spacing w:val="-2"/>
          <w:szCs w:val="24"/>
        </w:rPr>
      </w:pPr>
      <w:r w:rsidRPr="00D42335">
        <w:rPr>
          <w:color w:val="000000"/>
          <w:szCs w:val="24"/>
        </w:rPr>
        <w:t>[6]</w:t>
      </w:r>
      <w:r w:rsidRPr="00D42335">
        <w:rPr>
          <w:color w:val="000000"/>
          <w:szCs w:val="24"/>
        </w:rPr>
        <w:tab/>
      </w:r>
      <w:r w:rsidR="00A622D5" w:rsidRPr="00D42335">
        <w:rPr>
          <w:spacing w:val="-2"/>
          <w:szCs w:val="24"/>
        </w:rPr>
        <w:t xml:space="preserve">  </w:t>
      </w:r>
      <w:r w:rsidR="00FD5825">
        <w:rPr>
          <w:spacing w:val="-2"/>
          <w:szCs w:val="24"/>
        </w:rPr>
        <w:t>In the court a quo the</w:t>
      </w:r>
      <w:r w:rsidR="00D23B96" w:rsidRPr="00D42335">
        <w:rPr>
          <w:spacing w:val="-2"/>
          <w:szCs w:val="24"/>
        </w:rPr>
        <w:t xml:space="preserve"> appellants </w:t>
      </w:r>
      <w:r w:rsidR="00EB7B9F" w:rsidRPr="00D42335">
        <w:rPr>
          <w:spacing w:val="-2"/>
          <w:szCs w:val="24"/>
        </w:rPr>
        <w:t>submit</w:t>
      </w:r>
      <w:r w:rsidR="008B20D3">
        <w:rPr>
          <w:spacing w:val="-2"/>
          <w:szCs w:val="24"/>
        </w:rPr>
        <w:t>ted</w:t>
      </w:r>
      <w:r w:rsidR="00D23B96" w:rsidRPr="00D42335">
        <w:rPr>
          <w:spacing w:val="-2"/>
          <w:szCs w:val="24"/>
        </w:rPr>
        <w:t xml:space="preserve"> </w:t>
      </w:r>
      <w:r w:rsidR="00A622D5" w:rsidRPr="00D42335">
        <w:rPr>
          <w:spacing w:val="-2"/>
          <w:szCs w:val="24"/>
        </w:rPr>
        <w:t xml:space="preserve">that </w:t>
      </w:r>
      <w:r w:rsidR="00991711" w:rsidRPr="00D42335">
        <w:rPr>
          <w:spacing w:val="-2"/>
          <w:szCs w:val="24"/>
        </w:rPr>
        <w:t xml:space="preserve">their </w:t>
      </w:r>
      <w:r w:rsidR="00A622D5" w:rsidRPr="00D42335">
        <w:rPr>
          <w:spacing w:val="-2"/>
          <w:szCs w:val="24"/>
        </w:rPr>
        <w:t>sole purpose is to provide housing to homeowners</w:t>
      </w:r>
      <w:r w:rsidR="0053419E">
        <w:rPr>
          <w:spacing w:val="-2"/>
          <w:szCs w:val="24"/>
        </w:rPr>
        <w:t>. They argue</w:t>
      </w:r>
      <w:r w:rsidR="008B20D3">
        <w:rPr>
          <w:spacing w:val="-2"/>
          <w:szCs w:val="24"/>
        </w:rPr>
        <w:t>d</w:t>
      </w:r>
      <w:r w:rsidR="0053419E">
        <w:rPr>
          <w:spacing w:val="-2"/>
          <w:szCs w:val="24"/>
        </w:rPr>
        <w:t xml:space="preserve"> </w:t>
      </w:r>
      <w:r w:rsidR="00991711" w:rsidRPr="00D42335">
        <w:rPr>
          <w:spacing w:val="-2"/>
          <w:szCs w:val="24"/>
        </w:rPr>
        <w:t>that the</w:t>
      </w:r>
      <w:r w:rsidR="00A622D5" w:rsidRPr="00D42335">
        <w:rPr>
          <w:spacing w:val="-2"/>
          <w:szCs w:val="24"/>
        </w:rPr>
        <w:t xml:space="preserve"> </w:t>
      </w:r>
      <w:r w:rsidR="003714D5" w:rsidRPr="00D42335">
        <w:rPr>
          <w:spacing w:val="-2"/>
          <w:szCs w:val="24"/>
        </w:rPr>
        <w:t>Lifestyle Centres</w:t>
      </w:r>
      <w:r w:rsidR="002E34FE">
        <w:rPr>
          <w:spacing w:val="-2"/>
          <w:szCs w:val="24"/>
        </w:rPr>
        <w:t xml:space="preserve"> </w:t>
      </w:r>
      <w:r w:rsidR="00BF3FF6" w:rsidRPr="00D42335">
        <w:rPr>
          <w:spacing w:val="-2"/>
          <w:szCs w:val="24"/>
        </w:rPr>
        <w:t>are</w:t>
      </w:r>
      <w:r w:rsidR="00A622D5" w:rsidRPr="00D42335">
        <w:rPr>
          <w:spacing w:val="-2"/>
          <w:szCs w:val="24"/>
        </w:rPr>
        <w:t xml:space="preserve"> ancillary to the estates' primary residential purpose</w:t>
      </w:r>
      <w:r w:rsidR="00991711" w:rsidRPr="00D42335">
        <w:rPr>
          <w:spacing w:val="-2"/>
          <w:szCs w:val="24"/>
        </w:rPr>
        <w:t xml:space="preserve"> and </w:t>
      </w:r>
      <w:r w:rsidR="0053419E">
        <w:rPr>
          <w:spacing w:val="-2"/>
          <w:szCs w:val="24"/>
        </w:rPr>
        <w:t>therefore do</w:t>
      </w:r>
      <w:r w:rsidR="00991711" w:rsidRPr="00D42335">
        <w:rPr>
          <w:spacing w:val="-2"/>
          <w:szCs w:val="24"/>
        </w:rPr>
        <w:t xml:space="preserve"> not warrant a commercial tariff. </w:t>
      </w:r>
      <w:r w:rsidR="0053419E">
        <w:rPr>
          <w:spacing w:val="-2"/>
          <w:szCs w:val="24"/>
        </w:rPr>
        <w:t xml:space="preserve">The </w:t>
      </w:r>
      <w:r w:rsidR="00991711" w:rsidRPr="00D42335">
        <w:rPr>
          <w:spacing w:val="-2"/>
          <w:szCs w:val="24"/>
        </w:rPr>
        <w:t>appellants</w:t>
      </w:r>
      <w:r w:rsidR="00A622D5" w:rsidRPr="00D42335">
        <w:rPr>
          <w:spacing w:val="-2"/>
          <w:szCs w:val="24"/>
        </w:rPr>
        <w:t xml:space="preserve"> derive no commercial benefit from these facilities</w:t>
      </w:r>
      <w:r w:rsidR="00991711" w:rsidRPr="00D42335">
        <w:rPr>
          <w:spacing w:val="-2"/>
          <w:szCs w:val="24"/>
        </w:rPr>
        <w:t xml:space="preserve"> and p</w:t>
      </w:r>
      <w:r w:rsidR="00A622D5" w:rsidRPr="00D42335">
        <w:rPr>
          <w:spacing w:val="-2"/>
          <w:szCs w:val="24"/>
        </w:rPr>
        <w:t xml:space="preserve">ublic access to the gym and restaurant is restricted to residents only.  </w:t>
      </w:r>
      <w:r w:rsidR="0053419E">
        <w:rPr>
          <w:spacing w:val="-2"/>
          <w:szCs w:val="24"/>
        </w:rPr>
        <w:t>Furthermore, the</w:t>
      </w:r>
      <w:r w:rsidR="00A622D5" w:rsidRPr="00D42335">
        <w:rPr>
          <w:spacing w:val="-2"/>
          <w:szCs w:val="24"/>
        </w:rPr>
        <w:t xml:space="preserve"> gym equipment is owned outright, and no rental income is derived from the restaurant</w:t>
      </w:r>
      <w:r w:rsidR="00991711" w:rsidRPr="00D42335">
        <w:rPr>
          <w:spacing w:val="-2"/>
          <w:szCs w:val="24"/>
        </w:rPr>
        <w:t xml:space="preserve">. </w:t>
      </w:r>
      <w:r w:rsidR="00A622D5" w:rsidRPr="00D42335">
        <w:rPr>
          <w:spacing w:val="-2"/>
          <w:szCs w:val="24"/>
        </w:rPr>
        <w:t xml:space="preserve"> </w:t>
      </w:r>
    </w:p>
    <w:p w14:paraId="003680C0" w14:textId="0C1F73A1" w:rsidR="00716F95" w:rsidRDefault="00AE5B99" w:rsidP="00AE5B99">
      <w:pPr>
        <w:pStyle w:val="JudgmentNumbered0"/>
        <w:ind w:left="0" w:firstLine="0"/>
        <w:rPr>
          <w:spacing w:val="-2"/>
          <w:szCs w:val="24"/>
        </w:rPr>
      </w:pPr>
      <w:r>
        <w:rPr>
          <w:color w:val="000000"/>
          <w:szCs w:val="24"/>
        </w:rPr>
        <w:t>[7]</w:t>
      </w:r>
      <w:r>
        <w:rPr>
          <w:color w:val="000000"/>
          <w:szCs w:val="24"/>
        </w:rPr>
        <w:tab/>
      </w:r>
      <w:r w:rsidR="00A622D5" w:rsidRPr="00D42335">
        <w:rPr>
          <w:spacing w:val="-2"/>
          <w:szCs w:val="24"/>
        </w:rPr>
        <w:t>The respondents contend</w:t>
      </w:r>
      <w:r w:rsidR="008B20D3">
        <w:rPr>
          <w:spacing w:val="-2"/>
          <w:szCs w:val="24"/>
        </w:rPr>
        <w:t>ed</w:t>
      </w:r>
      <w:r w:rsidR="00A622D5" w:rsidRPr="00D42335">
        <w:rPr>
          <w:spacing w:val="-2"/>
          <w:szCs w:val="24"/>
        </w:rPr>
        <w:t xml:space="preserve"> that </w:t>
      </w:r>
      <w:r w:rsidR="003537FA" w:rsidRPr="00D42335">
        <w:rPr>
          <w:spacing w:val="-2"/>
          <w:szCs w:val="24"/>
        </w:rPr>
        <w:t>in terms of the Local Government: Municipal Finance Management Act</w:t>
      </w:r>
      <w:r w:rsidR="003537FA" w:rsidRPr="00D42335">
        <w:rPr>
          <w:rStyle w:val="FootnoteReference"/>
          <w:spacing w:val="-2"/>
          <w:szCs w:val="24"/>
        </w:rPr>
        <w:footnoteReference w:id="2"/>
      </w:r>
      <w:r w:rsidR="003537FA" w:rsidRPr="00D42335">
        <w:rPr>
          <w:spacing w:val="-2"/>
          <w:szCs w:val="24"/>
        </w:rPr>
        <w:t xml:space="preserve"> (the MFMA) and the Local Government Municipal Systems Act</w:t>
      </w:r>
      <w:r w:rsidR="003537FA" w:rsidRPr="00D42335">
        <w:rPr>
          <w:rStyle w:val="FootnoteReference"/>
          <w:spacing w:val="-2"/>
          <w:szCs w:val="24"/>
        </w:rPr>
        <w:footnoteReference w:id="3"/>
      </w:r>
      <w:r w:rsidR="003537FA" w:rsidRPr="00D42335">
        <w:rPr>
          <w:spacing w:val="-2"/>
          <w:szCs w:val="24"/>
        </w:rPr>
        <w:t xml:space="preserve"> (the Systems Act) together with their prevailing rates policy, a municipality may levy rates on a property based on its use. The relevant legislation imposes different tariffs for domestic use and non- domestic use in respect of electricity. It </w:t>
      </w:r>
      <w:r w:rsidR="008B20D3">
        <w:rPr>
          <w:spacing w:val="-2"/>
          <w:szCs w:val="24"/>
        </w:rPr>
        <w:t>was</w:t>
      </w:r>
      <w:r w:rsidR="003537FA" w:rsidRPr="00D42335">
        <w:rPr>
          <w:spacing w:val="-2"/>
          <w:szCs w:val="24"/>
        </w:rPr>
        <w:t xml:space="preserve"> argued that si</w:t>
      </w:r>
      <w:r w:rsidR="00A622D5" w:rsidRPr="00D42335">
        <w:rPr>
          <w:spacing w:val="-2"/>
          <w:szCs w:val="24"/>
        </w:rPr>
        <w:t xml:space="preserve">nce the gym and restaurant </w:t>
      </w:r>
      <w:r w:rsidR="003537FA" w:rsidRPr="00D42335">
        <w:rPr>
          <w:spacing w:val="-2"/>
          <w:szCs w:val="24"/>
        </w:rPr>
        <w:t>are not residential</w:t>
      </w:r>
      <w:r w:rsidR="00A622D5" w:rsidRPr="00D42335">
        <w:rPr>
          <w:spacing w:val="-2"/>
          <w:szCs w:val="24"/>
        </w:rPr>
        <w:t>,</w:t>
      </w:r>
      <w:r w:rsidR="000936F2" w:rsidRPr="00D42335">
        <w:rPr>
          <w:spacing w:val="-2"/>
          <w:szCs w:val="24"/>
        </w:rPr>
        <w:t xml:space="preserve"> the </w:t>
      </w:r>
      <w:r w:rsidR="00FD5825">
        <w:rPr>
          <w:spacing w:val="-2"/>
          <w:szCs w:val="24"/>
        </w:rPr>
        <w:t>estates</w:t>
      </w:r>
      <w:r w:rsidR="008B20D3">
        <w:rPr>
          <w:spacing w:val="-2"/>
          <w:szCs w:val="24"/>
        </w:rPr>
        <w:t xml:space="preserve"> </w:t>
      </w:r>
      <w:r w:rsidR="00D339AD" w:rsidRPr="00D42335">
        <w:rPr>
          <w:spacing w:val="-2"/>
          <w:szCs w:val="24"/>
        </w:rPr>
        <w:t>contain both domestic and non-domestic use</w:t>
      </w:r>
      <w:r w:rsidR="00D262BF" w:rsidRPr="00D42335">
        <w:rPr>
          <w:spacing w:val="-2"/>
          <w:szCs w:val="24"/>
        </w:rPr>
        <w:t xml:space="preserve">. In </w:t>
      </w:r>
      <w:r w:rsidR="008B20D3">
        <w:rPr>
          <w:spacing w:val="-2"/>
          <w:szCs w:val="24"/>
        </w:rPr>
        <w:t>such cases</w:t>
      </w:r>
      <w:r w:rsidR="00D339AD" w:rsidRPr="00D42335">
        <w:rPr>
          <w:spacing w:val="-2"/>
          <w:szCs w:val="24"/>
        </w:rPr>
        <w:t xml:space="preserve"> the legislation provides that a non- domestic/business/commercial tariff is </w:t>
      </w:r>
      <w:r w:rsidR="002E34FE" w:rsidRPr="00D42335">
        <w:rPr>
          <w:spacing w:val="-2"/>
          <w:szCs w:val="24"/>
        </w:rPr>
        <w:t>imposed unless</w:t>
      </w:r>
      <w:r w:rsidR="00D339AD" w:rsidRPr="00D42335">
        <w:rPr>
          <w:spacing w:val="-2"/>
          <w:szCs w:val="24"/>
        </w:rPr>
        <w:t xml:space="preserve"> the </w:t>
      </w:r>
      <w:r w:rsidR="008B20D3">
        <w:rPr>
          <w:spacing w:val="-2"/>
          <w:szCs w:val="24"/>
        </w:rPr>
        <w:t>consumer (in this instance the Body Corporate</w:t>
      </w:r>
      <w:r w:rsidR="002E34FE">
        <w:rPr>
          <w:spacing w:val="-2"/>
          <w:szCs w:val="24"/>
        </w:rPr>
        <w:t>s</w:t>
      </w:r>
      <w:r w:rsidR="008B20D3">
        <w:rPr>
          <w:spacing w:val="-2"/>
          <w:szCs w:val="24"/>
        </w:rPr>
        <w:t>)</w:t>
      </w:r>
      <w:r w:rsidR="00D339AD" w:rsidRPr="00D42335">
        <w:rPr>
          <w:spacing w:val="-2"/>
          <w:szCs w:val="24"/>
        </w:rPr>
        <w:t xml:space="preserve"> installs a </w:t>
      </w:r>
      <w:r w:rsidR="00D262BF" w:rsidRPr="00D42335">
        <w:rPr>
          <w:spacing w:val="-2"/>
          <w:szCs w:val="24"/>
        </w:rPr>
        <w:t>‘</w:t>
      </w:r>
      <w:r w:rsidR="00D339AD" w:rsidRPr="00D42335">
        <w:rPr>
          <w:spacing w:val="-2"/>
          <w:szCs w:val="24"/>
        </w:rPr>
        <w:t>split meter</w:t>
      </w:r>
      <w:r w:rsidR="00D262BF" w:rsidRPr="00D42335">
        <w:rPr>
          <w:spacing w:val="-2"/>
          <w:szCs w:val="24"/>
        </w:rPr>
        <w:t>’</w:t>
      </w:r>
      <w:r w:rsidR="00D339AD" w:rsidRPr="00D42335">
        <w:rPr>
          <w:spacing w:val="-2"/>
          <w:szCs w:val="24"/>
        </w:rPr>
        <w:t>. The split supply connection will then allow for the separate measuring of domestic and non-domestic uses</w:t>
      </w:r>
      <w:r w:rsidR="00D262BF" w:rsidRPr="00D42335">
        <w:rPr>
          <w:spacing w:val="-2"/>
          <w:szCs w:val="24"/>
        </w:rPr>
        <w:t xml:space="preserve"> and the respondents will then bill accordingly, as </w:t>
      </w:r>
      <w:r w:rsidR="00D262BF" w:rsidRPr="00AA044B">
        <w:rPr>
          <w:spacing w:val="-2"/>
          <w:szCs w:val="24"/>
        </w:rPr>
        <w:t>the tariff</w:t>
      </w:r>
      <w:r w:rsidR="002F5F19" w:rsidRPr="00AA044B">
        <w:rPr>
          <w:spacing w:val="-2"/>
          <w:szCs w:val="24"/>
        </w:rPr>
        <w:t>s</w:t>
      </w:r>
      <w:r w:rsidR="00D262BF" w:rsidRPr="00D42335">
        <w:rPr>
          <w:spacing w:val="-2"/>
          <w:szCs w:val="24"/>
        </w:rPr>
        <w:t xml:space="preserve"> differ</w:t>
      </w:r>
      <w:r w:rsidR="00D339AD" w:rsidRPr="00D42335">
        <w:rPr>
          <w:spacing w:val="-2"/>
          <w:szCs w:val="24"/>
        </w:rPr>
        <w:t>.</w:t>
      </w:r>
      <w:r w:rsidR="00FB6D57" w:rsidRPr="00FB6D57">
        <w:t xml:space="preserve"> </w:t>
      </w:r>
      <w:r w:rsidR="00FB6D57" w:rsidRPr="00FB6D57">
        <w:rPr>
          <w:spacing w:val="-2"/>
          <w:szCs w:val="24"/>
        </w:rPr>
        <w:t xml:space="preserve">The </w:t>
      </w:r>
      <w:r w:rsidR="00FB6D57">
        <w:rPr>
          <w:spacing w:val="-2"/>
          <w:szCs w:val="24"/>
        </w:rPr>
        <w:t xml:space="preserve">respondents’ </w:t>
      </w:r>
      <w:r w:rsidR="00FB6D57" w:rsidRPr="00FB6D57">
        <w:rPr>
          <w:spacing w:val="-2"/>
          <w:szCs w:val="24"/>
        </w:rPr>
        <w:t xml:space="preserve">position is that </w:t>
      </w:r>
      <w:r w:rsidR="00FB6D57">
        <w:rPr>
          <w:spacing w:val="-2"/>
          <w:szCs w:val="24"/>
        </w:rPr>
        <w:t>they are</w:t>
      </w:r>
      <w:r w:rsidR="00FB6D57" w:rsidRPr="00FB6D57">
        <w:rPr>
          <w:spacing w:val="-2"/>
          <w:szCs w:val="24"/>
        </w:rPr>
        <w:t xml:space="preserve"> lawfully entitled, in terms of its by-laws and electricity tariffs, to levy electricity charges on the </w:t>
      </w:r>
      <w:r w:rsidR="00FB6D57">
        <w:rPr>
          <w:spacing w:val="-2"/>
          <w:szCs w:val="24"/>
        </w:rPr>
        <w:t>appellants’ a</w:t>
      </w:r>
      <w:r w:rsidR="00FB6D57" w:rsidRPr="00FB6D57">
        <w:rPr>
          <w:spacing w:val="-2"/>
          <w:szCs w:val="24"/>
        </w:rPr>
        <w:t xml:space="preserve">ccounts on the non- residential tariff, until such time that the </w:t>
      </w:r>
      <w:r w:rsidR="00FB6D57">
        <w:rPr>
          <w:spacing w:val="-2"/>
          <w:szCs w:val="24"/>
        </w:rPr>
        <w:t>appellants</w:t>
      </w:r>
      <w:r w:rsidR="00FB6D57" w:rsidRPr="00FB6D57">
        <w:rPr>
          <w:spacing w:val="-2"/>
          <w:szCs w:val="24"/>
        </w:rPr>
        <w:t xml:space="preserve"> either stop operating the lifestyle centres or apply and pay for a split meter </w:t>
      </w:r>
      <w:r w:rsidR="00FB6D57" w:rsidRPr="00FB6D57">
        <w:rPr>
          <w:spacing w:val="-2"/>
          <w:szCs w:val="24"/>
        </w:rPr>
        <w:lastRenderedPageBreak/>
        <w:t>electricity supply</w:t>
      </w:r>
      <w:r w:rsidR="008B20D3">
        <w:rPr>
          <w:spacing w:val="-2"/>
          <w:szCs w:val="24"/>
        </w:rPr>
        <w:t>. They further assert</w:t>
      </w:r>
      <w:r w:rsidR="00FB6D57">
        <w:rPr>
          <w:spacing w:val="-2"/>
          <w:szCs w:val="24"/>
        </w:rPr>
        <w:t>ed</w:t>
      </w:r>
      <w:r w:rsidR="008B20D3">
        <w:rPr>
          <w:spacing w:val="-2"/>
          <w:szCs w:val="24"/>
        </w:rPr>
        <w:t xml:space="preserve"> that the appellants </w:t>
      </w:r>
      <w:r w:rsidR="00FB6D57">
        <w:rPr>
          <w:spacing w:val="-2"/>
          <w:szCs w:val="24"/>
        </w:rPr>
        <w:t xml:space="preserve">were </w:t>
      </w:r>
      <w:r w:rsidR="008B20D3">
        <w:rPr>
          <w:spacing w:val="-2"/>
          <w:szCs w:val="24"/>
        </w:rPr>
        <w:t>fully cognizant of this fact, as evidenced by the initial relief sought.</w:t>
      </w:r>
    </w:p>
    <w:p w14:paraId="236A2AF3" w14:textId="6CEE46CF" w:rsidR="002873CA" w:rsidRPr="00D42335" w:rsidRDefault="00AE5B99" w:rsidP="00AE5B99">
      <w:pPr>
        <w:pStyle w:val="JudgmentNumbered0"/>
        <w:ind w:left="0" w:firstLine="0"/>
        <w:rPr>
          <w:spacing w:val="-2"/>
          <w:szCs w:val="24"/>
        </w:rPr>
      </w:pPr>
      <w:r w:rsidRPr="00D42335">
        <w:rPr>
          <w:color w:val="000000"/>
          <w:szCs w:val="24"/>
        </w:rPr>
        <w:t>[8]</w:t>
      </w:r>
      <w:r w:rsidRPr="00D42335">
        <w:rPr>
          <w:color w:val="000000"/>
          <w:szCs w:val="24"/>
        </w:rPr>
        <w:tab/>
      </w:r>
      <w:r w:rsidR="007214EC" w:rsidRPr="00D42335">
        <w:rPr>
          <w:spacing w:val="-2"/>
          <w:szCs w:val="24"/>
        </w:rPr>
        <w:t xml:space="preserve"> </w:t>
      </w:r>
      <w:r w:rsidR="00AB7656" w:rsidRPr="00D42335">
        <w:rPr>
          <w:spacing w:val="-2"/>
          <w:szCs w:val="24"/>
        </w:rPr>
        <w:t xml:space="preserve"> </w:t>
      </w:r>
      <w:r w:rsidR="00716F95">
        <w:rPr>
          <w:spacing w:val="-2"/>
          <w:szCs w:val="24"/>
        </w:rPr>
        <w:t>The respondents appended a proposed draft order to the answering affidavit, which outlined measures to implement a split meter and require the Municipality to re-read and re-bill the appellants for electricity consumed since 2016 and 2015, respectively, on a residential tariff, in addition to charging for electricity already consumed. Although the appellants declined the proposal, they did not raise any objections to its inclusion in the record.</w:t>
      </w:r>
    </w:p>
    <w:p w14:paraId="4CB26EB6" w14:textId="5C02A7DA" w:rsidR="00A622D5" w:rsidRPr="00D42335" w:rsidRDefault="00AE5B99" w:rsidP="00AE5B99">
      <w:pPr>
        <w:pStyle w:val="JudgmentNumbered0"/>
        <w:ind w:left="0" w:firstLine="0"/>
        <w:rPr>
          <w:spacing w:val="-2"/>
          <w:szCs w:val="24"/>
        </w:rPr>
      </w:pPr>
      <w:r w:rsidRPr="00D42335">
        <w:rPr>
          <w:color w:val="000000"/>
          <w:szCs w:val="24"/>
        </w:rPr>
        <w:t>[9]</w:t>
      </w:r>
      <w:r w:rsidRPr="00D42335">
        <w:rPr>
          <w:color w:val="000000"/>
          <w:szCs w:val="24"/>
        </w:rPr>
        <w:tab/>
      </w:r>
      <w:r w:rsidR="000936F2" w:rsidRPr="00D42335">
        <w:rPr>
          <w:spacing w:val="-2"/>
          <w:szCs w:val="24"/>
        </w:rPr>
        <w:t xml:space="preserve"> </w:t>
      </w:r>
      <w:r w:rsidR="00A622D5" w:rsidRPr="00D42335">
        <w:rPr>
          <w:spacing w:val="-2"/>
          <w:szCs w:val="24"/>
        </w:rPr>
        <w:t>The court a quo dismissed the application</w:t>
      </w:r>
      <w:r w:rsidR="002C7E96">
        <w:rPr>
          <w:spacing w:val="-2"/>
          <w:szCs w:val="24"/>
        </w:rPr>
        <w:t>. It found</w:t>
      </w:r>
      <w:r w:rsidR="00A622D5" w:rsidRPr="00D42335">
        <w:rPr>
          <w:spacing w:val="-2"/>
          <w:szCs w:val="24"/>
        </w:rPr>
        <w:t xml:space="preserve"> that the </w:t>
      </w:r>
      <w:r w:rsidR="007214EC" w:rsidRPr="00D42335">
        <w:rPr>
          <w:spacing w:val="-2"/>
          <w:szCs w:val="24"/>
        </w:rPr>
        <w:t>L</w:t>
      </w:r>
      <w:r w:rsidR="00A622D5" w:rsidRPr="00D42335">
        <w:rPr>
          <w:spacing w:val="-2"/>
          <w:szCs w:val="24"/>
        </w:rPr>
        <w:t xml:space="preserve">ifestyle </w:t>
      </w:r>
      <w:r w:rsidR="00FB6D57">
        <w:rPr>
          <w:spacing w:val="-2"/>
          <w:szCs w:val="24"/>
        </w:rPr>
        <w:t>C</w:t>
      </w:r>
      <w:r w:rsidR="00A622D5" w:rsidRPr="00D42335">
        <w:rPr>
          <w:spacing w:val="-2"/>
          <w:szCs w:val="24"/>
        </w:rPr>
        <w:t xml:space="preserve">entres cannot be viewed as ancillary to the appellants' purpose and should be classified as domestic and non-domestic per the respondents' 2015/2016 tariff.  Effectively, each homeowner within the </w:t>
      </w:r>
      <w:r w:rsidR="00FD5825">
        <w:rPr>
          <w:spacing w:val="-2"/>
          <w:szCs w:val="24"/>
        </w:rPr>
        <w:t>estates</w:t>
      </w:r>
      <w:r w:rsidR="00A622D5" w:rsidRPr="00D42335">
        <w:rPr>
          <w:spacing w:val="-2"/>
          <w:szCs w:val="24"/>
        </w:rPr>
        <w:t xml:space="preserve"> must pay for electricity on a commercial or business tariff </w:t>
      </w:r>
      <w:r w:rsidR="002C7E96">
        <w:rPr>
          <w:spacing w:val="-2"/>
          <w:szCs w:val="24"/>
        </w:rPr>
        <w:t>instead of</w:t>
      </w:r>
      <w:r w:rsidR="00A622D5" w:rsidRPr="00D42335">
        <w:rPr>
          <w:spacing w:val="-2"/>
          <w:szCs w:val="24"/>
        </w:rPr>
        <w:t xml:space="preserve"> a residential tariff</w:t>
      </w:r>
      <w:r w:rsidR="007214EC" w:rsidRPr="00D42335">
        <w:rPr>
          <w:spacing w:val="-2"/>
          <w:szCs w:val="24"/>
        </w:rPr>
        <w:t>, unless a split meter is installed</w:t>
      </w:r>
      <w:r w:rsidR="00A622D5" w:rsidRPr="00D42335">
        <w:rPr>
          <w:spacing w:val="-2"/>
          <w:szCs w:val="24"/>
        </w:rPr>
        <w:t>.</w:t>
      </w:r>
    </w:p>
    <w:p w14:paraId="0D2561BE" w14:textId="2263716A" w:rsidR="007214EC" w:rsidRPr="00D42335" w:rsidRDefault="00AE5B99" w:rsidP="00AE5B99">
      <w:pPr>
        <w:pStyle w:val="JudgmentNumbered0"/>
        <w:ind w:left="0" w:firstLine="0"/>
        <w:rPr>
          <w:spacing w:val="-2"/>
          <w:szCs w:val="24"/>
        </w:rPr>
      </w:pPr>
      <w:r w:rsidRPr="00D42335">
        <w:rPr>
          <w:color w:val="000000"/>
          <w:szCs w:val="24"/>
        </w:rPr>
        <w:t>[10]</w:t>
      </w:r>
      <w:r w:rsidRPr="00D42335">
        <w:rPr>
          <w:color w:val="000000"/>
          <w:szCs w:val="24"/>
        </w:rPr>
        <w:tab/>
      </w:r>
      <w:r w:rsidR="008222E9" w:rsidRPr="00D42335">
        <w:rPr>
          <w:spacing w:val="-2"/>
          <w:szCs w:val="24"/>
        </w:rPr>
        <w:t xml:space="preserve">Although the appellants </w:t>
      </w:r>
      <w:r w:rsidR="00F4447B">
        <w:rPr>
          <w:spacing w:val="-2"/>
          <w:szCs w:val="24"/>
        </w:rPr>
        <w:t xml:space="preserve">also </w:t>
      </w:r>
      <w:r w:rsidR="008222E9" w:rsidRPr="00D42335">
        <w:rPr>
          <w:spacing w:val="-2"/>
          <w:szCs w:val="24"/>
        </w:rPr>
        <w:t xml:space="preserve">argued that the respondents’ </w:t>
      </w:r>
      <w:r w:rsidR="001B7DA2">
        <w:rPr>
          <w:spacing w:val="-2"/>
          <w:szCs w:val="24"/>
        </w:rPr>
        <w:t xml:space="preserve">tariff </w:t>
      </w:r>
      <w:r w:rsidR="008222E9" w:rsidRPr="00D42335">
        <w:rPr>
          <w:spacing w:val="-2"/>
          <w:szCs w:val="24"/>
        </w:rPr>
        <w:t xml:space="preserve">policy is unfair and </w:t>
      </w:r>
      <w:r w:rsidR="00C20D64" w:rsidRPr="00D42335">
        <w:rPr>
          <w:spacing w:val="-2"/>
          <w:szCs w:val="24"/>
        </w:rPr>
        <w:t>discriminatory</w:t>
      </w:r>
      <w:r w:rsidR="008222E9" w:rsidRPr="00D42335">
        <w:rPr>
          <w:spacing w:val="-2"/>
          <w:szCs w:val="24"/>
        </w:rPr>
        <w:t xml:space="preserve">, the court a quo was not called upon to review the </w:t>
      </w:r>
      <w:r w:rsidR="001B7DA2">
        <w:rPr>
          <w:spacing w:val="-2"/>
          <w:szCs w:val="24"/>
        </w:rPr>
        <w:t>Municipality’s</w:t>
      </w:r>
      <w:r w:rsidR="00C20D64" w:rsidRPr="00D42335">
        <w:rPr>
          <w:spacing w:val="-2"/>
          <w:szCs w:val="24"/>
        </w:rPr>
        <w:t>’</w:t>
      </w:r>
      <w:r w:rsidR="008222E9" w:rsidRPr="00D42335">
        <w:rPr>
          <w:spacing w:val="-2"/>
          <w:szCs w:val="24"/>
        </w:rPr>
        <w:t xml:space="preserve"> policies and tariffs and to determine </w:t>
      </w:r>
      <w:r w:rsidR="00502813" w:rsidRPr="00D42335">
        <w:rPr>
          <w:spacing w:val="-2"/>
          <w:szCs w:val="24"/>
        </w:rPr>
        <w:t>whether</w:t>
      </w:r>
      <w:r w:rsidR="008222E9" w:rsidRPr="00D42335">
        <w:rPr>
          <w:spacing w:val="-2"/>
          <w:szCs w:val="24"/>
        </w:rPr>
        <w:t xml:space="preserve"> same is fair. </w:t>
      </w:r>
      <w:r w:rsidR="00507050" w:rsidRPr="00D42335">
        <w:rPr>
          <w:spacing w:val="-2"/>
          <w:szCs w:val="24"/>
        </w:rPr>
        <w:t>The</w:t>
      </w:r>
      <w:r w:rsidR="008F6569" w:rsidRPr="00D42335">
        <w:rPr>
          <w:spacing w:val="-2"/>
          <w:szCs w:val="24"/>
        </w:rPr>
        <w:t xml:space="preserve"> </w:t>
      </w:r>
      <w:r w:rsidR="007F1E32" w:rsidRPr="00D42335">
        <w:rPr>
          <w:spacing w:val="-2"/>
          <w:szCs w:val="24"/>
        </w:rPr>
        <w:t xml:space="preserve">only </w:t>
      </w:r>
      <w:r w:rsidR="008F6569" w:rsidRPr="00D42335">
        <w:rPr>
          <w:spacing w:val="-2"/>
          <w:szCs w:val="24"/>
        </w:rPr>
        <w:t xml:space="preserve">issue </w:t>
      </w:r>
      <w:r w:rsidR="00507050" w:rsidRPr="00D42335">
        <w:rPr>
          <w:spacing w:val="-2"/>
          <w:szCs w:val="24"/>
        </w:rPr>
        <w:t xml:space="preserve">that </w:t>
      </w:r>
      <w:r w:rsidR="008F6569" w:rsidRPr="00D42335">
        <w:rPr>
          <w:spacing w:val="-2"/>
          <w:szCs w:val="24"/>
        </w:rPr>
        <w:t>this appeal</w:t>
      </w:r>
      <w:r w:rsidR="00507050" w:rsidRPr="00D42335">
        <w:rPr>
          <w:spacing w:val="-2"/>
          <w:szCs w:val="24"/>
        </w:rPr>
        <w:t xml:space="preserve"> thus </w:t>
      </w:r>
      <w:r w:rsidR="008F6569" w:rsidRPr="00D42335">
        <w:rPr>
          <w:spacing w:val="-2"/>
          <w:szCs w:val="24"/>
        </w:rPr>
        <w:t>turns on is a determination of whether the appellants, as residential sectional title schemes with supplementary Lifestyle Centre amenities, should be billed at residential or commercial tariff rates for electricity</w:t>
      </w:r>
      <w:r w:rsidR="007F1E32" w:rsidRPr="00D42335">
        <w:rPr>
          <w:spacing w:val="-2"/>
          <w:szCs w:val="24"/>
        </w:rPr>
        <w:t xml:space="preserve"> </w:t>
      </w:r>
      <w:r w:rsidR="008F6569" w:rsidRPr="00D42335">
        <w:rPr>
          <w:spacing w:val="-2"/>
          <w:szCs w:val="24"/>
        </w:rPr>
        <w:t>based on the applicable policies, by-laws and the nature of the facilities in question.</w:t>
      </w:r>
      <w:r w:rsidR="00D83BAD" w:rsidRPr="00D42335">
        <w:t xml:space="preserve"> </w:t>
      </w:r>
    </w:p>
    <w:p w14:paraId="13F67C64" w14:textId="0363223E" w:rsidR="002873CA" w:rsidRPr="00D42335" w:rsidRDefault="002873CA" w:rsidP="007214EC">
      <w:pPr>
        <w:pStyle w:val="JudgmentNumbered0"/>
        <w:ind w:left="0" w:firstLine="0"/>
        <w:rPr>
          <w:i/>
          <w:iCs/>
          <w:spacing w:val="-2"/>
          <w:szCs w:val="24"/>
        </w:rPr>
      </w:pPr>
      <w:r w:rsidRPr="00D42335">
        <w:rPr>
          <w:i/>
          <w:iCs/>
          <w:spacing w:val="-2"/>
          <w:szCs w:val="24"/>
        </w:rPr>
        <w:t>Applicable legislation</w:t>
      </w:r>
    </w:p>
    <w:p w14:paraId="07E105C6" w14:textId="3A8BDB28" w:rsidR="002B3B5A" w:rsidRDefault="00AE5B99" w:rsidP="00AE5B99">
      <w:pPr>
        <w:pStyle w:val="JudgmentNumbered0"/>
        <w:ind w:left="0" w:firstLine="0"/>
        <w:rPr>
          <w:spacing w:val="-2"/>
          <w:szCs w:val="24"/>
        </w:rPr>
      </w:pPr>
      <w:r>
        <w:rPr>
          <w:color w:val="000000"/>
          <w:szCs w:val="24"/>
        </w:rPr>
        <w:t>[11]</w:t>
      </w:r>
      <w:r>
        <w:rPr>
          <w:color w:val="000000"/>
          <w:szCs w:val="24"/>
        </w:rPr>
        <w:tab/>
      </w:r>
      <w:r w:rsidR="00874633">
        <w:rPr>
          <w:spacing w:val="-2"/>
          <w:szCs w:val="24"/>
        </w:rPr>
        <w:t>As required by</w:t>
      </w:r>
      <w:r w:rsidR="007C25BF" w:rsidRPr="00D42335">
        <w:rPr>
          <w:spacing w:val="-2"/>
          <w:szCs w:val="24"/>
        </w:rPr>
        <w:t xml:space="preserve"> section 74 of the Systems </w:t>
      </w:r>
      <w:r w:rsidR="007C25BF" w:rsidRPr="00AA044B">
        <w:rPr>
          <w:spacing w:val="-2"/>
          <w:szCs w:val="24"/>
        </w:rPr>
        <w:t xml:space="preserve">Act, </w:t>
      </w:r>
      <w:r w:rsidR="002F5F19" w:rsidRPr="00AA044B">
        <w:rPr>
          <w:spacing w:val="-2"/>
          <w:szCs w:val="24"/>
        </w:rPr>
        <w:t xml:space="preserve">a </w:t>
      </w:r>
      <w:r w:rsidR="007C25BF" w:rsidRPr="00AA044B">
        <w:rPr>
          <w:spacing w:val="-2"/>
          <w:szCs w:val="24"/>
        </w:rPr>
        <w:t>municipal</w:t>
      </w:r>
      <w:r w:rsidR="007C25BF" w:rsidRPr="00D42335">
        <w:rPr>
          <w:spacing w:val="-2"/>
          <w:szCs w:val="24"/>
        </w:rPr>
        <w:t xml:space="preserve"> council must adopt and implement tariff policy on the levying of fees for municipal services provided by the municipality. </w:t>
      </w:r>
      <w:r w:rsidR="00874633">
        <w:rPr>
          <w:spacing w:val="-2"/>
          <w:szCs w:val="24"/>
        </w:rPr>
        <w:t>In</w:t>
      </w:r>
      <w:r w:rsidR="007C25BF" w:rsidRPr="00D42335">
        <w:rPr>
          <w:spacing w:val="-2"/>
          <w:szCs w:val="24"/>
        </w:rPr>
        <w:t xml:space="preserve"> accordance with section 74(3) of the Systems Act, tariff policies may differentiate between the different categories of users, debtors, service providers, services, service standards, geographical </w:t>
      </w:r>
      <w:r w:rsidR="002E34FE" w:rsidRPr="00D42335">
        <w:rPr>
          <w:spacing w:val="-2"/>
          <w:szCs w:val="24"/>
        </w:rPr>
        <w:t>areas,</w:t>
      </w:r>
      <w:r w:rsidR="007C25BF" w:rsidRPr="00D42335">
        <w:rPr>
          <w:spacing w:val="-2"/>
          <w:szCs w:val="24"/>
        </w:rPr>
        <w:t xml:space="preserve"> and other matters as long as the differentiation does not amount to unfair discrimination</w:t>
      </w:r>
      <w:r w:rsidR="00BC527C" w:rsidRPr="00D42335">
        <w:rPr>
          <w:spacing w:val="-2"/>
          <w:szCs w:val="24"/>
        </w:rPr>
        <w:t>. In accordance with the Electricity Regulation Act</w:t>
      </w:r>
      <w:r w:rsidR="00FB6D57">
        <w:rPr>
          <w:rStyle w:val="FootnoteReference"/>
          <w:spacing w:val="-2"/>
          <w:szCs w:val="24"/>
        </w:rPr>
        <w:footnoteReference w:id="4"/>
      </w:r>
      <w:r w:rsidR="00BC527C" w:rsidRPr="00D42335">
        <w:rPr>
          <w:spacing w:val="-2"/>
          <w:szCs w:val="24"/>
        </w:rPr>
        <w:t xml:space="preserve"> (ERA), the National Energy Regulator of South Africa (NERSA) possesses broad authority to oversee the pricing and tariffs imposed by </w:t>
      </w:r>
      <w:r w:rsidR="00BC527C" w:rsidRPr="00D42335">
        <w:rPr>
          <w:spacing w:val="-2"/>
          <w:szCs w:val="24"/>
        </w:rPr>
        <w:lastRenderedPageBreak/>
        <w:t>licensees in the electricity sector.</w:t>
      </w:r>
      <w:r w:rsidR="00502813" w:rsidRPr="00D42335">
        <w:t xml:space="preserve"> </w:t>
      </w:r>
      <w:r w:rsidR="00502813" w:rsidRPr="00D42335">
        <w:rPr>
          <w:spacing w:val="-2"/>
          <w:szCs w:val="24"/>
        </w:rPr>
        <w:t xml:space="preserve">The </w:t>
      </w:r>
      <w:r w:rsidR="00BC527C" w:rsidRPr="00D42335">
        <w:rPr>
          <w:spacing w:val="-2"/>
          <w:szCs w:val="24"/>
        </w:rPr>
        <w:t>Municipality</w:t>
      </w:r>
      <w:r w:rsidR="00502813" w:rsidRPr="00D42335">
        <w:rPr>
          <w:spacing w:val="-2"/>
          <w:szCs w:val="24"/>
        </w:rPr>
        <w:t xml:space="preserve"> as a licensee in terms of ERA </w:t>
      </w:r>
      <w:r w:rsidR="00502813" w:rsidRPr="00AA044B">
        <w:rPr>
          <w:spacing w:val="-2"/>
          <w:szCs w:val="24"/>
        </w:rPr>
        <w:t>therefore impose</w:t>
      </w:r>
      <w:r w:rsidR="002F5F19" w:rsidRPr="00AA044B">
        <w:rPr>
          <w:spacing w:val="-2"/>
          <w:szCs w:val="24"/>
        </w:rPr>
        <w:t>s</w:t>
      </w:r>
      <w:r w:rsidR="00502813" w:rsidRPr="00AA044B">
        <w:rPr>
          <w:spacing w:val="-2"/>
          <w:szCs w:val="24"/>
        </w:rPr>
        <w:t xml:space="preserve"> electricity</w:t>
      </w:r>
      <w:r w:rsidR="00502813" w:rsidRPr="00D42335">
        <w:rPr>
          <w:spacing w:val="-2"/>
          <w:szCs w:val="24"/>
        </w:rPr>
        <w:t xml:space="preserve"> tariffs which are approved by NERSA.</w:t>
      </w:r>
    </w:p>
    <w:p w14:paraId="3BAB8C55" w14:textId="14AFE25E" w:rsidR="007C25BF" w:rsidRPr="002B3B5A" w:rsidRDefault="00AE5B99" w:rsidP="00AE5B99">
      <w:pPr>
        <w:pStyle w:val="JudgmentNumbered0"/>
        <w:ind w:left="0" w:firstLine="0"/>
        <w:rPr>
          <w:spacing w:val="-2"/>
          <w:szCs w:val="24"/>
        </w:rPr>
      </w:pPr>
      <w:r w:rsidRPr="002B3B5A">
        <w:rPr>
          <w:color w:val="000000"/>
          <w:szCs w:val="24"/>
        </w:rPr>
        <w:t>[12]</w:t>
      </w:r>
      <w:r w:rsidRPr="002B3B5A">
        <w:rPr>
          <w:color w:val="000000"/>
          <w:szCs w:val="24"/>
        </w:rPr>
        <w:tab/>
      </w:r>
      <w:r w:rsidR="00DB426F">
        <w:rPr>
          <w:spacing w:val="-2"/>
          <w:szCs w:val="24"/>
        </w:rPr>
        <w:t>S</w:t>
      </w:r>
      <w:r w:rsidR="007C25BF" w:rsidRPr="002B3B5A">
        <w:rPr>
          <w:spacing w:val="-2"/>
          <w:szCs w:val="24"/>
        </w:rPr>
        <w:t>ection 11(</w:t>
      </w:r>
      <w:r w:rsidR="002B3B5A" w:rsidRPr="002B3B5A">
        <w:rPr>
          <w:spacing w:val="-2"/>
          <w:szCs w:val="24"/>
        </w:rPr>
        <w:t>3</w:t>
      </w:r>
      <w:r w:rsidR="007C25BF" w:rsidRPr="002B3B5A">
        <w:rPr>
          <w:spacing w:val="-2"/>
          <w:szCs w:val="24"/>
        </w:rPr>
        <w:t>) of the Systems Act</w:t>
      </w:r>
      <w:r w:rsidR="002B3B5A">
        <w:rPr>
          <w:rStyle w:val="FootnoteReference"/>
          <w:spacing w:val="-2"/>
          <w:szCs w:val="24"/>
        </w:rPr>
        <w:footnoteReference w:id="5"/>
      </w:r>
      <w:r w:rsidR="007C25BF" w:rsidRPr="002B3B5A">
        <w:rPr>
          <w:spacing w:val="-2"/>
          <w:szCs w:val="24"/>
        </w:rPr>
        <w:t xml:space="preserve"> and section 156 (2) of the Constitution empowers </w:t>
      </w:r>
      <w:r w:rsidR="002E34FE">
        <w:rPr>
          <w:spacing w:val="-2"/>
          <w:szCs w:val="24"/>
        </w:rPr>
        <w:t>municipalities</w:t>
      </w:r>
      <w:r w:rsidR="007C25BF" w:rsidRPr="002B3B5A">
        <w:rPr>
          <w:spacing w:val="-2"/>
          <w:szCs w:val="24"/>
        </w:rPr>
        <w:t xml:space="preserve"> to </w:t>
      </w:r>
      <w:r w:rsidR="00DB426F">
        <w:rPr>
          <w:spacing w:val="-2"/>
          <w:szCs w:val="24"/>
        </w:rPr>
        <w:t>establish and enforce</w:t>
      </w:r>
      <w:r w:rsidR="007C25BF" w:rsidRPr="002B3B5A">
        <w:rPr>
          <w:spacing w:val="-2"/>
          <w:szCs w:val="24"/>
        </w:rPr>
        <w:t xml:space="preserve"> by-laws ‘for the effective administration of the matters which it has the right to administer’.</w:t>
      </w:r>
      <w:r w:rsidR="007C25BF">
        <w:rPr>
          <w:rStyle w:val="FootnoteReference"/>
          <w:spacing w:val="-2"/>
          <w:szCs w:val="24"/>
        </w:rPr>
        <w:footnoteReference w:id="6"/>
      </w:r>
      <w:r w:rsidR="007C25BF" w:rsidRPr="002B3B5A">
        <w:rPr>
          <w:spacing w:val="-2"/>
          <w:szCs w:val="24"/>
        </w:rPr>
        <w:t xml:space="preserve"> </w:t>
      </w:r>
      <w:r w:rsidR="00FB6D57">
        <w:rPr>
          <w:spacing w:val="-2"/>
          <w:szCs w:val="24"/>
        </w:rPr>
        <w:t>In 2000 t</w:t>
      </w:r>
      <w:r w:rsidR="00DB426F">
        <w:rPr>
          <w:spacing w:val="-2"/>
          <w:szCs w:val="24"/>
        </w:rPr>
        <w:t xml:space="preserve">he Municipality enacted by-laws in </w:t>
      </w:r>
      <w:r w:rsidR="00DB426F" w:rsidRPr="00AA044B">
        <w:rPr>
          <w:spacing w:val="-2"/>
          <w:szCs w:val="24"/>
        </w:rPr>
        <w:t xml:space="preserve">adherence </w:t>
      </w:r>
      <w:r w:rsidR="008419A0" w:rsidRPr="00AA044B">
        <w:rPr>
          <w:spacing w:val="-2"/>
          <w:szCs w:val="24"/>
        </w:rPr>
        <w:t>with</w:t>
      </w:r>
      <w:r w:rsidR="00DB426F" w:rsidRPr="00AA044B">
        <w:rPr>
          <w:spacing w:val="-2"/>
          <w:szCs w:val="24"/>
        </w:rPr>
        <w:t xml:space="preserve"> the </w:t>
      </w:r>
      <w:r w:rsidR="00DB426F">
        <w:rPr>
          <w:spacing w:val="-2"/>
          <w:szCs w:val="24"/>
        </w:rPr>
        <w:t>aforementioned provisions and in accordance with section 11(3)(m) of the Systems Act.</w:t>
      </w:r>
    </w:p>
    <w:p w14:paraId="7EE53598" w14:textId="5F3523EB" w:rsidR="001B0CA5" w:rsidRPr="001B0CA5" w:rsidRDefault="00AE5B99" w:rsidP="00AE5B99">
      <w:pPr>
        <w:pStyle w:val="JudgmentNumbered0"/>
        <w:spacing w:after="0"/>
        <w:ind w:left="0" w:firstLine="0"/>
        <w:rPr>
          <w:spacing w:val="-2"/>
          <w:szCs w:val="24"/>
        </w:rPr>
      </w:pPr>
      <w:r w:rsidRPr="001B0CA5">
        <w:rPr>
          <w:color w:val="000000"/>
          <w:szCs w:val="24"/>
        </w:rPr>
        <w:t>[13]</w:t>
      </w:r>
      <w:r w:rsidRPr="001B0CA5">
        <w:rPr>
          <w:color w:val="000000"/>
          <w:szCs w:val="24"/>
        </w:rPr>
        <w:tab/>
      </w:r>
      <w:r w:rsidR="001B0CA5">
        <w:rPr>
          <w:spacing w:val="-2"/>
          <w:szCs w:val="24"/>
        </w:rPr>
        <w:t xml:space="preserve">Section 11 </w:t>
      </w:r>
      <w:r w:rsidR="002B3B5A">
        <w:rPr>
          <w:spacing w:val="-2"/>
          <w:szCs w:val="24"/>
        </w:rPr>
        <w:t>(1</w:t>
      </w:r>
      <w:r w:rsidR="001B0CA5">
        <w:rPr>
          <w:spacing w:val="-2"/>
          <w:szCs w:val="24"/>
        </w:rPr>
        <w:t>0</w:t>
      </w:r>
      <w:r w:rsidR="002B3B5A">
        <w:rPr>
          <w:spacing w:val="-2"/>
          <w:szCs w:val="24"/>
        </w:rPr>
        <w:t xml:space="preserve">) of the By-Laws </w:t>
      </w:r>
      <w:r w:rsidR="001B0CA5">
        <w:rPr>
          <w:spacing w:val="-2"/>
          <w:szCs w:val="24"/>
        </w:rPr>
        <w:t>states that</w:t>
      </w:r>
      <w:r w:rsidR="00D42335" w:rsidRPr="001B0CA5">
        <w:rPr>
          <w:spacing w:val="-2"/>
          <w:szCs w:val="24"/>
        </w:rPr>
        <w:t xml:space="preserve"> ‘Communal loads for both domestic and non-domestic use which cannot be separated shall be metered at the appropriate non-domestic charge as determined by council from time to time.’</w:t>
      </w:r>
      <w:r w:rsidR="001B0CA5">
        <w:rPr>
          <w:spacing w:val="-2"/>
          <w:szCs w:val="24"/>
        </w:rPr>
        <w:t xml:space="preserve"> Section 11(9) provides that</w:t>
      </w:r>
      <w:r w:rsidR="00DB426F">
        <w:rPr>
          <w:spacing w:val="-2"/>
          <w:szCs w:val="24"/>
        </w:rPr>
        <w:t xml:space="preserve"> t</w:t>
      </w:r>
      <w:r w:rsidR="00BC527C" w:rsidRPr="001B0CA5">
        <w:rPr>
          <w:spacing w:val="-2"/>
          <w:szCs w:val="24"/>
        </w:rPr>
        <w:t xml:space="preserve">he </w:t>
      </w:r>
      <w:r w:rsidR="00DB426F">
        <w:rPr>
          <w:spacing w:val="-2"/>
          <w:szCs w:val="24"/>
        </w:rPr>
        <w:t>‘</w:t>
      </w:r>
      <w:r w:rsidR="00BC527C" w:rsidRPr="001B0CA5">
        <w:rPr>
          <w:spacing w:val="-2"/>
          <w:szCs w:val="24"/>
        </w:rPr>
        <w:t>owner shall be responsible for a</w:t>
      </w:r>
      <w:r w:rsidR="001B0CA5" w:rsidRPr="001B0CA5">
        <w:rPr>
          <w:spacing w:val="-2"/>
          <w:szCs w:val="24"/>
        </w:rPr>
        <w:t>ll</w:t>
      </w:r>
      <w:r w:rsidR="00BC527C" w:rsidRPr="001B0CA5">
        <w:rPr>
          <w:spacing w:val="-2"/>
          <w:szCs w:val="24"/>
        </w:rPr>
        <w:t xml:space="preserve"> costs of alterations to provide meters to register communal </w:t>
      </w:r>
      <w:r w:rsidR="00DB426F" w:rsidRPr="001B0CA5">
        <w:rPr>
          <w:spacing w:val="-2"/>
          <w:szCs w:val="24"/>
        </w:rPr>
        <w:t>loads</w:t>
      </w:r>
      <w:r w:rsidR="00DB426F">
        <w:rPr>
          <w:spacing w:val="-2"/>
          <w:szCs w:val="24"/>
        </w:rPr>
        <w:t>.’</w:t>
      </w:r>
    </w:p>
    <w:p w14:paraId="2A4DF989" w14:textId="77777777" w:rsidR="001B0CA5" w:rsidRDefault="001B0CA5" w:rsidP="001B0CA5">
      <w:pPr>
        <w:pStyle w:val="JudgmentNumbered0"/>
        <w:spacing w:after="0"/>
        <w:ind w:left="0" w:firstLine="0"/>
        <w:rPr>
          <w:spacing w:val="-2"/>
          <w:szCs w:val="24"/>
        </w:rPr>
      </w:pPr>
    </w:p>
    <w:p w14:paraId="50BFA405" w14:textId="031F34B1" w:rsidR="00670642" w:rsidRPr="00670642" w:rsidRDefault="00AE5B99" w:rsidP="00AE5B99">
      <w:pPr>
        <w:pStyle w:val="JudgmentNumbered0"/>
        <w:spacing w:after="0"/>
        <w:ind w:left="0" w:firstLine="0"/>
        <w:rPr>
          <w:spacing w:val="-2"/>
          <w:szCs w:val="24"/>
        </w:rPr>
      </w:pPr>
      <w:r w:rsidRPr="00670642">
        <w:rPr>
          <w:color w:val="000000"/>
          <w:szCs w:val="24"/>
        </w:rPr>
        <w:t>[14]</w:t>
      </w:r>
      <w:r w:rsidRPr="00670642">
        <w:rPr>
          <w:color w:val="000000"/>
          <w:szCs w:val="24"/>
        </w:rPr>
        <w:tab/>
      </w:r>
      <w:r w:rsidR="00502813" w:rsidRPr="00D42335">
        <w:rPr>
          <w:spacing w:val="-2"/>
          <w:szCs w:val="24"/>
        </w:rPr>
        <w:t xml:space="preserve">ln terms of the </w:t>
      </w:r>
      <w:r w:rsidR="002E34FE">
        <w:rPr>
          <w:spacing w:val="-2"/>
          <w:szCs w:val="24"/>
        </w:rPr>
        <w:t xml:space="preserve">Municipality’s </w:t>
      </w:r>
      <w:r w:rsidR="0044448F">
        <w:rPr>
          <w:spacing w:val="-2"/>
          <w:szCs w:val="24"/>
        </w:rPr>
        <w:t>‘</w:t>
      </w:r>
      <w:r w:rsidR="00502813" w:rsidRPr="00D42335">
        <w:rPr>
          <w:spacing w:val="-2"/>
          <w:szCs w:val="24"/>
        </w:rPr>
        <w:t>tariff policy</w:t>
      </w:r>
      <w:r w:rsidR="0044448F">
        <w:rPr>
          <w:spacing w:val="-2"/>
          <w:szCs w:val="24"/>
        </w:rPr>
        <w:t>’</w:t>
      </w:r>
      <w:r w:rsidR="00502813" w:rsidRPr="00D42335">
        <w:rPr>
          <w:spacing w:val="-2"/>
          <w:szCs w:val="24"/>
        </w:rPr>
        <w:t>,</w:t>
      </w:r>
      <w:r w:rsidR="00CD269F">
        <w:rPr>
          <w:rStyle w:val="FootnoteReference"/>
          <w:spacing w:val="-2"/>
          <w:szCs w:val="24"/>
        </w:rPr>
        <w:footnoteReference w:id="7"/>
      </w:r>
      <w:r w:rsidR="00502813" w:rsidRPr="00D42335">
        <w:rPr>
          <w:spacing w:val="-2"/>
          <w:szCs w:val="24"/>
        </w:rPr>
        <w:t xml:space="preserve"> domestic </w:t>
      </w:r>
      <w:r w:rsidR="00670642">
        <w:rPr>
          <w:spacing w:val="-2"/>
          <w:szCs w:val="24"/>
        </w:rPr>
        <w:t xml:space="preserve">and business </w:t>
      </w:r>
      <w:r w:rsidR="00502813" w:rsidRPr="00D42335">
        <w:rPr>
          <w:spacing w:val="-2"/>
          <w:szCs w:val="24"/>
        </w:rPr>
        <w:t>tariff</w:t>
      </w:r>
      <w:r w:rsidR="0044448F">
        <w:rPr>
          <w:spacing w:val="-2"/>
          <w:szCs w:val="24"/>
        </w:rPr>
        <w:t>s</w:t>
      </w:r>
      <w:r w:rsidR="00502813" w:rsidRPr="00D42335">
        <w:rPr>
          <w:spacing w:val="-2"/>
          <w:szCs w:val="24"/>
        </w:rPr>
        <w:t xml:space="preserve"> for electricity </w:t>
      </w:r>
      <w:r w:rsidR="002E34FE">
        <w:rPr>
          <w:spacing w:val="-2"/>
          <w:szCs w:val="24"/>
        </w:rPr>
        <w:t xml:space="preserve">are defined </w:t>
      </w:r>
      <w:r w:rsidR="00502813" w:rsidRPr="00D42335">
        <w:rPr>
          <w:spacing w:val="-2"/>
          <w:szCs w:val="24"/>
        </w:rPr>
        <w:t>as follows:</w:t>
      </w:r>
    </w:p>
    <w:p w14:paraId="07C45991" w14:textId="1187FCF6" w:rsidR="00502813" w:rsidRPr="00670642" w:rsidRDefault="00670642" w:rsidP="00670642">
      <w:pPr>
        <w:pStyle w:val="JudgmentNumbered0"/>
        <w:ind w:left="0" w:firstLine="0"/>
        <w:rPr>
          <w:spacing w:val="-2"/>
          <w:sz w:val="22"/>
        </w:rPr>
      </w:pPr>
      <w:r w:rsidRPr="00670642">
        <w:rPr>
          <w:b/>
          <w:bCs/>
          <w:spacing w:val="-2"/>
          <w:sz w:val="22"/>
        </w:rPr>
        <w:t>‘Domestic tariff</w:t>
      </w:r>
      <w:r w:rsidR="00F90AAD">
        <w:rPr>
          <w:b/>
          <w:bCs/>
          <w:spacing w:val="-2"/>
          <w:sz w:val="22"/>
        </w:rPr>
        <w:t>s</w:t>
      </w:r>
      <w:r w:rsidRPr="00670642">
        <w:rPr>
          <w:spacing w:val="-2"/>
          <w:sz w:val="22"/>
        </w:rPr>
        <w:t>: ‘</w:t>
      </w:r>
      <w:r w:rsidR="00502813" w:rsidRPr="00670642">
        <w:rPr>
          <w:spacing w:val="-2"/>
          <w:sz w:val="22"/>
        </w:rPr>
        <w:t xml:space="preserve">The tariff is applicable to private houses, dwelling units, flats, boarding houses, hostels, residences or homes run by charitable institutions, premises for public worship including halls or other buildings used </w:t>
      </w:r>
      <w:r w:rsidR="00CD269F">
        <w:rPr>
          <w:spacing w:val="-2"/>
          <w:sz w:val="22"/>
        </w:rPr>
        <w:t>in</w:t>
      </w:r>
      <w:r w:rsidR="00502813" w:rsidRPr="00670642">
        <w:rPr>
          <w:spacing w:val="-2"/>
          <w:sz w:val="22"/>
        </w:rPr>
        <w:t xml:space="preserve"> religious purposes, prisons</w:t>
      </w:r>
      <w:r w:rsidR="00CD269F">
        <w:rPr>
          <w:spacing w:val="-2"/>
          <w:sz w:val="22"/>
        </w:rPr>
        <w:t xml:space="preserve"> and</w:t>
      </w:r>
      <w:r w:rsidR="00502813" w:rsidRPr="00670642">
        <w:rPr>
          <w:spacing w:val="-2"/>
          <w:sz w:val="22"/>
        </w:rPr>
        <w:t xml:space="preserve"> caravan parks. There are, however, certain rules applicable which may change the status of these consumers.</w:t>
      </w:r>
    </w:p>
    <w:p w14:paraId="12ACB8BD" w14:textId="7A8A18DE" w:rsidR="00502813" w:rsidRPr="00670642" w:rsidRDefault="00670642" w:rsidP="00670642">
      <w:pPr>
        <w:pStyle w:val="JudgmentNumbered0"/>
        <w:ind w:left="0" w:firstLine="0"/>
        <w:rPr>
          <w:spacing w:val="-2"/>
          <w:sz w:val="22"/>
        </w:rPr>
      </w:pPr>
      <w:r w:rsidRPr="00670642">
        <w:rPr>
          <w:b/>
          <w:bCs/>
          <w:spacing w:val="-2"/>
          <w:sz w:val="22"/>
        </w:rPr>
        <w:t>Business tariff</w:t>
      </w:r>
      <w:r w:rsidRPr="00670642">
        <w:rPr>
          <w:spacing w:val="-2"/>
          <w:sz w:val="22"/>
        </w:rPr>
        <w:t xml:space="preserve">: </w:t>
      </w:r>
      <w:r w:rsidR="00502813" w:rsidRPr="00670642">
        <w:rPr>
          <w:spacing w:val="-2"/>
          <w:sz w:val="22"/>
        </w:rPr>
        <w:t xml:space="preserve">The tariff is applicable to supplies not exceeding capacity </w:t>
      </w:r>
      <w:r w:rsidR="00CD269F">
        <w:rPr>
          <w:spacing w:val="-2"/>
          <w:sz w:val="22"/>
        </w:rPr>
        <w:t>of 100kVA. Applicable</w:t>
      </w:r>
      <w:r w:rsidR="00502813" w:rsidRPr="00670642">
        <w:rPr>
          <w:spacing w:val="-2"/>
          <w:sz w:val="22"/>
        </w:rPr>
        <w:t xml:space="preserve"> for business purposes, industrial purposes, nursing </w:t>
      </w:r>
      <w:r w:rsidR="00CD269F">
        <w:rPr>
          <w:spacing w:val="-2"/>
          <w:sz w:val="22"/>
        </w:rPr>
        <w:t xml:space="preserve">homes and </w:t>
      </w:r>
      <w:r w:rsidR="00502813" w:rsidRPr="00670642">
        <w:rPr>
          <w:spacing w:val="-2"/>
          <w:sz w:val="22"/>
        </w:rPr>
        <w:t>clinics, hospitals, hotels, recreation halls and clubs, educational institutions, (including schools and registered creches), supporting facilities, b</w:t>
      </w:r>
      <w:r w:rsidR="00CD269F">
        <w:rPr>
          <w:spacing w:val="-2"/>
          <w:sz w:val="22"/>
        </w:rPr>
        <w:t>ed</w:t>
      </w:r>
      <w:r w:rsidR="00502813" w:rsidRPr="00670642">
        <w:rPr>
          <w:spacing w:val="-2"/>
          <w:sz w:val="22"/>
        </w:rPr>
        <w:t xml:space="preserve"> and breakfast houses, </w:t>
      </w:r>
      <w:r w:rsidR="00502813" w:rsidRPr="0044448F">
        <w:rPr>
          <w:b/>
          <w:bCs/>
          <w:spacing w:val="-2"/>
          <w:sz w:val="22"/>
        </w:rPr>
        <w:t>mixed domestic and non-domestic loads</w:t>
      </w:r>
      <w:r w:rsidR="00F8362E">
        <w:rPr>
          <w:spacing w:val="-2"/>
          <w:sz w:val="22"/>
        </w:rPr>
        <w:t>,</w:t>
      </w:r>
      <w:r w:rsidR="00502813" w:rsidRPr="00670642">
        <w:rPr>
          <w:spacing w:val="-2"/>
          <w:sz w:val="22"/>
        </w:rPr>
        <w:t xml:space="preserve"> welfare organisations of commercial nature and premises used for public worship and religious purposes</w:t>
      </w:r>
      <w:r>
        <w:rPr>
          <w:spacing w:val="-2"/>
          <w:sz w:val="22"/>
        </w:rPr>
        <w:t>.</w:t>
      </w:r>
      <w:r w:rsidR="00502813" w:rsidRPr="00670642">
        <w:rPr>
          <w:spacing w:val="-2"/>
          <w:sz w:val="22"/>
        </w:rPr>
        <w:t>’</w:t>
      </w:r>
      <w:r w:rsidR="0044448F">
        <w:rPr>
          <w:spacing w:val="-2"/>
          <w:sz w:val="22"/>
        </w:rPr>
        <w:t xml:space="preserve"> (Emphasis added)</w:t>
      </w:r>
    </w:p>
    <w:p w14:paraId="086B12B2" w14:textId="620208F9" w:rsidR="00502813" w:rsidRPr="00F02486" w:rsidRDefault="00AE5B99" w:rsidP="00AE5B99">
      <w:pPr>
        <w:pStyle w:val="JudgmentNumbered0"/>
        <w:ind w:left="0" w:firstLine="0"/>
        <w:rPr>
          <w:spacing w:val="-2"/>
          <w:szCs w:val="24"/>
        </w:rPr>
      </w:pPr>
      <w:r w:rsidRPr="00F02486">
        <w:rPr>
          <w:color w:val="000000"/>
          <w:szCs w:val="24"/>
        </w:rPr>
        <w:lastRenderedPageBreak/>
        <w:t>[15]</w:t>
      </w:r>
      <w:r w:rsidRPr="00F02486">
        <w:rPr>
          <w:color w:val="000000"/>
          <w:szCs w:val="24"/>
        </w:rPr>
        <w:tab/>
      </w:r>
      <w:r w:rsidR="00CD269F">
        <w:rPr>
          <w:spacing w:val="-2"/>
          <w:szCs w:val="24"/>
        </w:rPr>
        <w:t>Although the tariff policy does not sta</w:t>
      </w:r>
      <w:r w:rsidR="0044448F">
        <w:rPr>
          <w:spacing w:val="-2"/>
          <w:szCs w:val="24"/>
        </w:rPr>
        <w:t>te</w:t>
      </w:r>
      <w:r w:rsidR="00CD269F">
        <w:rPr>
          <w:spacing w:val="-2"/>
          <w:szCs w:val="24"/>
        </w:rPr>
        <w:t xml:space="preserve"> what the rules are that may change the status of domestic consumers, p</w:t>
      </w:r>
      <w:r w:rsidR="00502813" w:rsidRPr="00D42335">
        <w:rPr>
          <w:spacing w:val="-2"/>
          <w:szCs w:val="24"/>
        </w:rPr>
        <w:t xml:space="preserve">aragraph 1.2 of </w:t>
      </w:r>
      <w:r w:rsidR="00F02486">
        <w:rPr>
          <w:spacing w:val="-2"/>
          <w:szCs w:val="24"/>
        </w:rPr>
        <w:t xml:space="preserve">the Municipality’s </w:t>
      </w:r>
      <w:r w:rsidR="00F02486" w:rsidRPr="00D42335">
        <w:rPr>
          <w:spacing w:val="-2"/>
          <w:szCs w:val="24"/>
        </w:rPr>
        <w:t>2020</w:t>
      </w:r>
      <w:r w:rsidR="00502813" w:rsidRPr="00D42335">
        <w:rPr>
          <w:spacing w:val="-2"/>
          <w:szCs w:val="24"/>
        </w:rPr>
        <w:t xml:space="preserve">/2021 electricity tariff </w:t>
      </w:r>
      <w:r w:rsidR="00F02486">
        <w:rPr>
          <w:spacing w:val="-2"/>
          <w:szCs w:val="24"/>
        </w:rPr>
        <w:t xml:space="preserve">states that the domestic </w:t>
      </w:r>
      <w:r w:rsidR="00716F95">
        <w:rPr>
          <w:spacing w:val="-2"/>
          <w:szCs w:val="24"/>
        </w:rPr>
        <w:t xml:space="preserve">tariff </w:t>
      </w:r>
      <w:r w:rsidR="00716F95" w:rsidRPr="00D42335">
        <w:rPr>
          <w:spacing w:val="-2"/>
          <w:szCs w:val="24"/>
        </w:rPr>
        <w:t>‘</w:t>
      </w:r>
      <w:r w:rsidR="00502813" w:rsidRPr="00D42335">
        <w:rPr>
          <w:spacing w:val="-2"/>
          <w:szCs w:val="24"/>
        </w:rPr>
        <w:t xml:space="preserve">is not applicable to properties owned as residential but used for business </w:t>
      </w:r>
      <w:r w:rsidR="00F8362E" w:rsidRPr="00D42335">
        <w:rPr>
          <w:spacing w:val="-2"/>
          <w:szCs w:val="24"/>
        </w:rPr>
        <w:t>purposes</w:t>
      </w:r>
      <w:r w:rsidR="00502813" w:rsidRPr="00D42335">
        <w:rPr>
          <w:spacing w:val="-2"/>
          <w:szCs w:val="24"/>
        </w:rPr>
        <w:t>.</w:t>
      </w:r>
      <w:r w:rsidR="00F8362E">
        <w:rPr>
          <w:spacing w:val="-2"/>
          <w:szCs w:val="24"/>
        </w:rPr>
        <w:t>’</w:t>
      </w:r>
      <w:r w:rsidR="00F02486">
        <w:rPr>
          <w:spacing w:val="-2"/>
          <w:szCs w:val="24"/>
        </w:rPr>
        <w:t xml:space="preserve"> </w:t>
      </w:r>
      <w:r w:rsidR="00502813" w:rsidRPr="00F02486">
        <w:rPr>
          <w:spacing w:val="-2"/>
          <w:szCs w:val="24"/>
        </w:rPr>
        <w:t>Further, paragraph 1.5 of the same tariff reads: ‘Mixed use reseller customers will not qualify for residential tariffs unless split metering is implemented to isolate metering of supplies to residential end customers in which case end supply to the residential customers will qualify for the residential reseller tariff’.</w:t>
      </w:r>
    </w:p>
    <w:p w14:paraId="6596F805" w14:textId="0FABE56F" w:rsidR="002873CA" w:rsidRPr="00F02486" w:rsidRDefault="004525B0" w:rsidP="00F02486">
      <w:pPr>
        <w:pStyle w:val="JudgmentNumbered0"/>
        <w:ind w:left="0" w:firstLine="0"/>
        <w:rPr>
          <w:i/>
          <w:iCs/>
          <w:spacing w:val="-2"/>
          <w:szCs w:val="24"/>
        </w:rPr>
      </w:pPr>
      <w:r>
        <w:rPr>
          <w:i/>
          <w:iCs/>
          <w:spacing w:val="-2"/>
          <w:szCs w:val="24"/>
        </w:rPr>
        <w:t>Application to adduce evidence</w:t>
      </w:r>
      <w:r w:rsidR="00CC30CF">
        <w:rPr>
          <w:i/>
          <w:iCs/>
          <w:spacing w:val="-2"/>
          <w:szCs w:val="24"/>
        </w:rPr>
        <w:t>.</w:t>
      </w:r>
    </w:p>
    <w:p w14:paraId="715C824C" w14:textId="0A4707C7" w:rsidR="00CC30CF" w:rsidRDefault="00AE5B99" w:rsidP="00AE5B99">
      <w:pPr>
        <w:pStyle w:val="JudgmentNumbered0"/>
        <w:ind w:left="0" w:firstLine="0"/>
        <w:rPr>
          <w:spacing w:val="-2"/>
          <w:szCs w:val="24"/>
        </w:rPr>
      </w:pPr>
      <w:r>
        <w:rPr>
          <w:color w:val="000000"/>
          <w:szCs w:val="24"/>
        </w:rPr>
        <w:t>[16]</w:t>
      </w:r>
      <w:r>
        <w:rPr>
          <w:color w:val="000000"/>
          <w:szCs w:val="24"/>
        </w:rPr>
        <w:tab/>
      </w:r>
      <w:r w:rsidR="00CC30CF">
        <w:rPr>
          <w:spacing w:val="-2"/>
          <w:szCs w:val="24"/>
        </w:rPr>
        <w:t xml:space="preserve">The appellants </w:t>
      </w:r>
      <w:r w:rsidR="00F8362E">
        <w:rPr>
          <w:spacing w:val="-2"/>
          <w:szCs w:val="24"/>
        </w:rPr>
        <w:t>applied</w:t>
      </w:r>
      <w:r w:rsidR="00CC30CF">
        <w:rPr>
          <w:spacing w:val="-2"/>
          <w:szCs w:val="24"/>
        </w:rPr>
        <w:t xml:space="preserve"> to present additional evidence that would refute the notion that the Lifestyle Centres are operated for profit. T</w:t>
      </w:r>
      <w:r w:rsidR="00CC30CF" w:rsidRPr="00CC30CF">
        <w:rPr>
          <w:spacing w:val="-2"/>
          <w:szCs w:val="24"/>
        </w:rPr>
        <w:t>he test for the hearing of further evidence on appeal is well established. The requirements are: (a) There should be some reasonably sufficient explanation, based on a</w:t>
      </w:r>
      <w:r w:rsidR="00CC30CF">
        <w:rPr>
          <w:spacing w:val="-2"/>
          <w:szCs w:val="24"/>
        </w:rPr>
        <w:t>llegations</w:t>
      </w:r>
      <w:r w:rsidR="00CC30CF" w:rsidRPr="00CC30CF">
        <w:rPr>
          <w:spacing w:val="-2"/>
          <w:szCs w:val="24"/>
        </w:rPr>
        <w:t xml:space="preserve"> which may be true, why the evidence which it is sought to lead was not led at the trial; (b) There should be a prima facie likelihood of the truth of the evidence; </w:t>
      </w:r>
      <w:r w:rsidR="00F8362E">
        <w:rPr>
          <w:spacing w:val="-2"/>
          <w:szCs w:val="24"/>
        </w:rPr>
        <w:t xml:space="preserve">and </w:t>
      </w:r>
      <w:r w:rsidR="00CC30CF" w:rsidRPr="00CC30CF">
        <w:rPr>
          <w:spacing w:val="-2"/>
          <w:szCs w:val="24"/>
        </w:rPr>
        <w:t>(c) The evidence should be materially relevant to the outcome of the trial.</w:t>
      </w:r>
      <w:r w:rsidR="00CC30CF">
        <w:rPr>
          <w:rStyle w:val="FootnoteReference"/>
          <w:spacing w:val="-2"/>
          <w:szCs w:val="24"/>
        </w:rPr>
        <w:footnoteReference w:id="8"/>
      </w:r>
    </w:p>
    <w:p w14:paraId="23ACC072" w14:textId="71E21B87" w:rsidR="00CC30CF" w:rsidRDefault="00AE5B99" w:rsidP="00AE5B99">
      <w:pPr>
        <w:pStyle w:val="JudgmentNumbered0"/>
        <w:ind w:left="0" w:firstLine="0"/>
        <w:rPr>
          <w:spacing w:val="-2"/>
          <w:szCs w:val="24"/>
        </w:rPr>
      </w:pPr>
      <w:r>
        <w:rPr>
          <w:color w:val="000000"/>
          <w:szCs w:val="24"/>
        </w:rPr>
        <w:t>[17]</w:t>
      </w:r>
      <w:r>
        <w:rPr>
          <w:color w:val="000000"/>
          <w:szCs w:val="24"/>
        </w:rPr>
        <w:tab/>
      </w:r>
      <w:r w:rsidR="003328B4" w:rsidRPr="004525B0">
        <w:rPr>
          <w:spacing w:val="-2"/>
          <w:szCs w:val="24"/>
        </w:rPr>
        <w:t>Electricity is a service</w:t>
      </w:r>
      <w:r w:rsidR="003328B4">
        <w:rPr>
          <w:spacing w:val="-2"/>
          <w:szCs w:val="24"/>
        </w:rPr>
        <w:t>. The</w:t>
      </w:r>
      <w:r w:rsidR="003328B4" w:rsidRPr="004525B0">
        <w:rPr>
          <w:spacing w:val="-2"/>
          <w:szCs w:val="24"/>
        </w:rPr>
        <w:t xml:space="preserve"> tariff for </w:t>
      </w:r>
      <w:r w:rsidR="003328B4">
        <w:rPr>
          <w:spacing w:val="-2"/>
          <w:szCs w:val="24"/>
        </w:rPr>
        <w:t xml:space="preserve">such </w:t>
      </w:r>
      <w:r w:rsidR="003328B4" w:rsidRPr="004525B0">
        <w:rPr>
          <w:spacing w:val="-2"/>
          <w:szCs w:val="24"/>
        </w:rPr>
        <w:t xml:space="preserve">service </w:t>
      </w:r>
      <w:r w:rsidR="003328B4">
        <w:rPr>
          <w:spacing w:val="-2"/>
          <w:szCs w:val="24"/>
        </w:rPr>
        <w:t>is</w:t>
      </w:r>
      <w:r w:rsidR="003328B4" w:rsidRPr="004525B0">
        <w:rPr>
          <w:spacing w:val="-2"/>
          <w:szCs w:val="24"/>
        </w:rPr>
        <w:t xml:space="preserve"> determined in accordance with the </w:t>
      </w:r>
      <w:r w:rsidR="003328B4" w:rsidRPr="00AA044B">
        <w:rPr>
          <w:spacing w:val="-2"/>
          <w:szCs w:val="24"/>
        </w:rPr>
        <w:t>usage</w:t>
      </w:r>
      <w:r w:rsidR="003328B4" w:rsidRPr="004525B0">
        <w:rPr>
          <w:spacing w:val="-2"/>
          <w:szCs w:val="24"/>
        </w:rPr>
        <w:t xml:space="preserve"> for such service.</w:t>
      </w:r>
      <w:r w:rsidR="003328B4" w:rsidRPr="004525B0">
        <w:t xml:space="preserve"> </w:t>
      </w:r>
      <w:r w:rsidR="003328B4">
        <w:t>The respondents</w:t>
      </w:r>
      <w:r w:rsidR="003328B4" w:rsidRPr="00347E85">
        <w:rPr>
          <w:b/>
          <w:bCs/>
          <w:color w:val="FF0000"/>
        </w:rPr>
        <w:t xml:space="preserve"> </w:t>
      </w:r>
      <w:r w:rsidR="003328B4" w:rsidRPr="00AA044B">
        <w:t>charge</w:t>
      </w:r>
      <w:r w:rsidR="003328B4" w:rsidRPr="00347E85">
        <w:rPr>
          <w:color w:val="FF0000"/>
        </w:rPr>
        <w:t xml:space="preserve"> </w:t>
      </w:r>
      <w:r w:rsidR="003328B4">
        <w:t>the appellants i</w:t>
      </w:r>
      <w:r w:rsidR="003328B4" w:rsidRPr="004525B0">
        <w:rPr>
          <w:spacing w:val="-2"/>
          <w:szCs w:val="24"/>
        </w:rPr>
        <w:t xml:space="preserve">n terms of the tariffs, which </w:t>
      </w:r>
      <w:r w:rsidR="003328B4">
        <w:rPr>
          <w:spacing w:val="-2"/>
          <w:szCs w:val="24"/>
        </w:rPr>
        <w:t>are not subject to dispute.</w:t>
      </w:r>
      <w:r w:rsidR="003328B4" w:rsidRPr="004525B0">
        <w:rPr>
          <w:spacing w:val="-2"/>
          <w:szCs w:val="24"/>
        </w:rPr>
        <w:t xml:space="preserve"> </w:t>
      </w:r>
      <w:r w:rsidR="003328B4">
        <w:rPr>
          <w:spacing w:val="-2"/>
          <w:szCs w:val="24"/>
        </w:rPr>
        <w:t xml:space="preserve">Whether the appellants administer the Lifestyle </w:t>
      </w:r>
      <w:r w:rsidR="00FB6D57">
        <w:rPr>
          <w:spacing w:val="-2"/>
          <w:szCs w:val="24"/>
        </w:rPr>
        <w:t>C</w:t>
      </w:r>
      <w:r w:rsidR="003328B4">
        <w:rPr>
          <w:spacing w:val="-2"/>
          <w:szCs w:val="24"/>
        </w:rPr>
        <w:t>entres for profit or have entered into internal commercial arrangements with service providers or individuals who use the premises for commercial purposes has no bearing on the dispute.</w:t>
      </w:r>
      <w:r w:rsidR="00CC30CF">
        <w:rPr>
          <w:spacing w:val="-2"/>
          <w:szCs w:val="24"/>
        </w:rPr>
        <w:t xml:space="preserve"> </w:t>
      </w:r>
      <w:r w:rsidR="004525B0" w:rsidRPr="004525B0">
        <w:rPr>
          <w:spacing w:val="-2"/>
          <w:szCs w:val="24"/>
        </w:rPr>
        <w:t>The allegation that it is not the Body Corporate that runs the restaurant does</w:t>
      </w:r>
      <w:r w:rsidR="003328B4">
        <w:rPr>
          <w:spacing w:val="-2"/>
          <w:szCs w:val="24"/>
        </w:rPr>
        <w:t xml:space="preserve"> therefore</w:t>
      </w:r>
      <w:r w:rsidR="004525B0" w:rsidRPr="004525B0">
        <w:rPr>
          <w:spacing w:val="-2"/>
          <w:szCs w:val="24"/>
        </w:rPr>
        <w:t xml:space="preserve"> not assist the appellants or take the matter </w:t>
      </w:r>
      <w:r w:rsidR="003328B4">
        <w:rPr>
          <w:spacing w:val="-2"/>
          <w:szCs w:val="24"/>
        </w:rPr>
        <w:t>further</w:t>
      </w:r>
      <w:r w:rsidR="004525B0" w:rsidRPr="004525B0">
        <w:rPr>
          <w:spacing w:val="-2"/>
          <w:szCs w:val="24"/>
        </w:rPr>
        <w:t>.</w:t>
      </w:r>
    </w:p>
    <w:p w14:paraId="28FEC334" w14:textId="43D23257" w:rsidR="003714D5" w:rsidRPr="005D6A6F" w:rsidRDefault="00AE5B99" w:rsidP="00AE5B99">
      <w:pPr>
        <w:pStyle w:val="JudgmentNumbered0"/>
        <w:ind w:left="0" w:firstLine="0"/>
        <w:rPr>
          <w:spacing w:val="-2"/>
          <w:szCs w:val="24"/>
        </w:rPr>
      </w:pPr>
      <w:r w:rsidRPr="005D6A6F">
        <w:rPr>
          <w:color w:val="000000"/>
          <w:szCs w:val="24"/>
        </w:rPr>
        <w:t>[18]</w:t>
      </w:r>
      <w:r w:rsidRPr="005D6A6F">
        <w:rPr>
          <w:color w:val="000000"/>
          <w:szCs w:val="24"/>
        </w:rPr>
        <w:tab/>
      </w:r>
      <w:r w:rsidR="004525B0" w:rsidRPr="00B804ED">
        <w:rPr>
          <w:spacing w:val="-2"/>
          <w:szCs w:val="24"/>
        </w:rPr>
        <w:t xml:space="preserve">  The appellants </w:t>
      </w:r>
      <w:r w:rsidR="00CC30CF" w:rsidRPr="00B804ED">
        <w:rPr>
          <w:spacing w:val="-2"/>
          <w:szCs w:val="24"/>
        </w:rPr>
        <w:t xml:space="preserve">further </w:t>
      </w:r>
      <w:r w:rsidR="004525B0" w:rsidRPr="00B804ED">
        <w:rPr>
          <w:spacing w:val="-2"/>
          <w:szCs w:val="24"/>
        </w:rPr>
        <w:t xml:space="preserve">make </w:t>
      </w:r>
      <w:r w:rsidR="004525B0" w:rsidRPr="00AA044B">
        <w:rPr>
          <w:spacing w:val="-2"/>
          <w:szCs w:val="24"/>
        </w:rPr>
        <w:t>the b</w:t>
      </w:r>
      <w:r w:rsidR="00836CE8" w:rsidRPr="00AA044B">
        <w:rPr>
          <w:spacing w:val="-2"/>
          <w:szCs w:val="24"/>
        </w:rPr>
        <w:t>a</w:t>
      </w:r>
      <w:r w:rsidR="004525B0" w:rsidRPr="00AA044B">
        <w:rPr>
          <w:spacing w:val="-2"/>
          <w:szCs w:val="24"/>
        </w:rPr>
        <w:t>ld allegation</w:t>
      </w:r>
      <w:r w:rsidR="004525B0" w:rsidRPr="00B804ED">
        <w:rPr>
          <w:spacing w:val="-2"/>
          <w:szCs w:val="24"/>
        </w:rPr>
        <w:t xml:space="preserve"> that the meals </w:t>
      </w:r>
      <w:r w:rsidR="00CC30CF" w:rsidRPr="00B804ED">
        <w:rPr>
          <w:spacing w:val="-2"/>
          <w:szCs w:val="24"/>
        </w:rPr>
        <w:t xml:space="preserve">sold </w:t>
      </w:r>
      <w:r w:rsidR="004525B0" w:rsidRPr="00B804ED">
        <w:rPr>
          <w:spacing w:val="-2"/>
          <w:szCs w:val="24"/>
        </w:rPr>
        <w:t>at the restaurant are not overly expensive</w:t>
      </w:r>
      <w:r w:rsidR="003328B4">
        <w:rPr>
          <w:spacing w:val="-2"/>
          <w:szCs w:val="24"/>
        </w:rPr>
        <w:t xml:space="preserve">. The fact that patrons ultimately pay the restaurant for their meals and beverages is not a point of contention among the respondents. </w:t>
      </w:r>
      <w:r w:rsidR="0044448F">
        <w:rPr>
          <w:spacing w:val="-2"/>
          <w:szCs w:val="24"/>
        </w:rPr>
        <w:t>Once more, this issue fails to advance the dispute.</w:t>
      </w:r>
    </w:p>
    <w:p w14:paraId="77411C1A" w14:textId="766CB7C0" w:rsidR="00CC30CF" w:rsidRPr="005D6A6F" w:rsidRDefault="00AE5B99" w:rsidP="00AE5B99">
      <w:pPr>
        <w:pStyle w:val="JudgmentNumbered0"/>
        <w:ind w:left="0" w:firstLine="0"/>
        <w:rPr>
          <w:spacing w:val="-2"/>
          <w:szCs w:val="24"/>
        </w:rPr>
      </w:pPr>
      <w:r w:rsidRPr="005D6A6F">
        <w:rPr>
          <w:color w:val="000000"/>
          <w:szCs w:val="24"/>
        </w:rPr>
        <w:t>[19]</w:t>
      </w:r>
      <w:r w:rsidRPr="005D6A6F">
        <w:rPr>
          <w:color w:val="000000"/>
          <w:szCs w:val="24"/>
        </w:rPr>
        <w:tab/>
      </w:r>
      <w:r w:rsidR="005D6A6F" w:rsidRPr="00DF4C3F">
        <w:rPr>
          <w:rFonts w:eastAsia="Times New Roman"/>
          <w:color w:val="000000"/>
          <w:szCs w:val="24"/>
          <w:lang w:eastAsia="en-ZA"/>
        </w:rPr>
        <w:t>In terms of s</w:t>
      </w:r>
      <w:r w:rsidR="005D6A6F" w:rsidRPr="005D6A6F">
        <w:rPr>
          <w:rFonts w:eastAsia="Times New Roman"/>
          <w:color w:val="000000"/>
          <w:szCs w:val="24"/>
          <w:lang w:eastAsia="en-ZA"/>
        </w:rPr>
        <w:t xml:space="preserve">ection </w:t>
      </w:r>
      <w:r w:rsidR="005D6A6F" w:rsidRPr="00DF4C3F">
        <w:rPr>
          <w:rFonts w:eastAsia="Times New Roman"/>
          <w:color w:val="000000"/>
          <w:szCs w:val="24"/>
          <w:lang w:eastAsia="en-ZA"/>
        </w:rPr>
        <w:t>19 of the Superior Courts Act</w:t>
      </w:r>
      <w:r w:rsidR="00347E85">
        <w:rPr>
          <w:rFonts w:eastAsia="Times New Roman"/>
          <w:color w:val="000000"/>
          <w:szCs w:val="24"/>
          <w:lang w:eastAsia="en-ZA"/>
        </w:rPr>
        <w:t>,</w:t>
      </w:r>
      <w:r w:rsidR="0044448F">
        <w:rPr>
          <w:rStyle w:val="FootnoteReference"/>
          <w:rFonts w:eastAsia="Times New Roman"/>
          <w:color w:val="000000"/>
          <w:szCs w:val="24"/>
          <w:lang w:eastAsia="en-ZA"/>
        </w:rPr>
        <w:footnoteReference w:id="9"/>
      </w:r>
      <w:r w:rsidR="00347E85">
        <w:rPr>
          <w:rFonts w:eastAsia="Times New Roman"/>
          <w:color w:val="000000"/>
          <w:szCs w:val="24"/>
          <w:lang w:eastAsia="en-ZA"/>
        </w:rPr>
        <w:t xml:space="preserve"> </w:t>
      </w:r>
      <w:r w:rsidR="005D6A6F" w:rsidRPr="00DF4C3F">
        <w:rPr>
          <w:rFonts w:eastAsia="Times New Roman"/>
          <w:color w:val="000000"/>
          <w:szCs w:val="24"/>
          <w:lang w:eastAsia="en-ZA"/>
        </w:rPr>
        <w:t xml:space="preserve">a court is afforded powers, on hearing an appeal, to receive further evidence. </w:t>
      </w:r>
      <w:r w:rsidR="005D6A6F" w:rsidRPr="005D6A6F">
        <w:rPr>
          <w:rFonts w:eastAsia="Times New Roman"/>
          <w:color w:val="000000"/>
          <w:szCs w:val="24"/>
          <w:lang w:eastAsia="en-ZA"/>
        </w:rPr>
        <w:t>In</w:t>
      </w:r>
      <w:r w:rsidR="005D6A6F" w:rsidRPr="00DF4C3F">
        <w:rPr>
          <w:rFonts w:eastAsia="Times New Roman"/>
          <w:color w:val="000000"/>
          <w:szCs w:val="24"/>
          <w:lang w:eastAsia="en-ZA"/>
        </w:rPr>
        <w:t xml:space="preserve"> the interests of finality, such </w:t>
      </w:r>
      <w:r w:rsidR="005D6A6F" w:rsidRPr="00DF4C3F">
        <w:rPr>
          <w:rFonts w:eastAsia="Times New Roman"/>
          <w:color w:val="000000"/>
          <w:szCs w:val="24"/>
          <w:lang w:eastAsia="en-ZA"/>
        </w:rPr>
        <w:lastRenderedPageBreak/>
        <w:t>powers must be exercised sparingly and in exceptional circumstances.</w:t>
      </w:r>
      <w:r w:rsidR="005D6A6F" w:rsidRPr="005D6A6F">
        <w:rPr>
          <w:rStyle w:val="FootnoteReference"/>
          <w:rFonts w:eastAsia="Times New Roman"/>
          <w:color w:val="000000"/>
          <w:szCs w:val="24"/>
          <w:lang w:eastAsia="en-ZA"/>
        </w:rPr>
        <w:footnoteReference w:id="10"/>
      </w:r>
      <w:r w:rsidR="005D6A6F" w:rsidRPr="00DF4C3F">
        <w:rPr>
          <w:rFonts w:eastAsia="Times New Roman"/>
          <w:color w:val="000000"/>
          <w:szCs w:val="24"/>
          <w:lang w:eastAsia="en-ZA"/>
        </w:rPr>
        <w:t xml:space="preserve"> </w:t>
      </w:r>
      <w:r w:rsidR="00B804ED" w:rsidRPr="005D6A6F">
        <w:rPr>
          <w:color w:val="000000"/>
          <w:szCs w:val="24"/>
        </w:rPr>
        <w:t xml:space="preserve">Considering the aforementioned factors, it is evident </w:t>
      </w:r>
      <w:r w:rsidR="00CC30CF" w:rsidRPr="005D6A6F">
        <w:rPr>
          <w:color w:val="000000"/>
          <w:szCs w:val="24"/>
        </w:rPr>
        <w:t>that the app</w:t>
      </w:r>
      <w:r w:rsidR="00B804ED" w:rsidRPr="005D6A6F">
        <w:rPr>
          <w:color w:val="000000"/>
          <w:szCs w:val="24"/>
        </w:rPr>
        <w:t>ellants have</w:t>
      </w:r>
      <w:r w:rsidR="00CC30CF" w:rsidRPr="005D6A6F">
        <w:rPr>
          <w:color w:val="000000"/>
          <w:szCs w:val="24"/>
        </w:rPr>
        <w:t xml:space="preserve"> not made out a satisfactory case to </w:t>
      </w:r>
      <w:r w:rsidR="00B804ED" w:rsidRPr="005D6A6F">
        <w:rPr>
          <w:color w:val="000000"/>
          <w:szCs w:val="24"/>
        </w:rPr>
        <w:t>adduce</w:t>
      </w:r>
      <w:r w:rsidR="00CC30CF" w:rsidRPr="005D6A6F">
        <w:rPr>
          <w:color w:val="000000"/>
          <w:szCs w:val="24"/>
        </w:rPr>
        <w:t xml:space="preserve"> further evidence. The application is accordingly refused.</w:t>
      </w:r>
    </w:p>
    <w:p w14:paraId="24CD852D" w14:textId="1A87DB2B" w:rsidR="00B804ED" w:rsidRPr="00B804ED" w:rsidRDefault="00B804ED" w:rsidP="00B804ED">
      <w:pPr>
        <w:pStyle w:val="JudgmentNumbered0"/>
        <w:ind w:left="0" w:firstLine="0"/>
        <w:rPr>
          <w:i/>
          <w:iCs/>
          <w:spacing w:val="-2"/>
          <w:szCs w:val="24"/>
        </w:rPr>
      </w:pPr>
      <w:r w:rsidRPr="00B804ED">
        <w:rPr>
          <w:i/>
          <w:iCs/>
          <w:color w:val="000000"/>
          <w:szCs w:val="24"/>
        </w:rPr>
        <w:t>Conclusion</w:t>
      </w:r>
    </w:p>
    <w:p w14:paraId="2C44A0B3" w14:textId="30FF3F72" w:rsidR="003975CB" w:rsidRPr="00D96E1C" w:rsidRDefault="00AE5B99" w:rsidP="00AE5B99">
      <w:pPr>
        <w:pStyle w:val="JudgmentNumbered0"/>
        <w:ind w:left="0" w:firstLine="0"/>
        <w:rPr>
          <w:spacing w:val="-2"/>
          <w:szCs w:val="24"/>
        </w:rPr>
      </w:pPr>
      <w:r w:rsidRPr="00D96E1C">
        <w:rPr>
          <w:color w:val="000000"/>
          <w:szCs w:val="24"/>
        </w:rPr>
        <w:t>[20]</w:t>
      </w:r>
      <w:r w:rsidRPr="00D96E1C">
        <w:rPr>
          <w:color w:val="000000"/>
          <w:szCs w:val="24"/>
        </w:rPr>
        <w:tab/>
      </w:r>
      <w:r w:rsidR="00D96E1C" w:rsidRPr="00D96E1C">
        <w:rPr>
          <w:spacing w:val="-2"/>
          <w:szCs w:val="24"/>
        </w:rPr>
        <w:t xml:space="preserve">The appellants submit that they satisfy the definition of Domestic Tariff under the respondents' Tariff Determination Policy for electricity, as </w:t>
      </w:r>
      <w:r w:rsidR="003975CB" w:rsidRPr="00D42335">
        <w:rPr>
          <w:spacing w:val="-2"/>
          <w:szCs w:val="24"/>
        </w:rPr>
        <w:t xml:space="preserve">the </w:t>
      </w:r>
      <w:r w:rsidR="00D96E1C">
        <w:rPr>
          <w:spacing w:val="-2"/>
          <w:szCs w:val="24"/>
        </w:rPr>
        <w:t>L</w:t>
      </w:r>
      <w:r w:rsidR="003975CB" w:rsidRPr="00D42335">
        <w:rPr>
          <w:spacing w:val="-2"/>
          <w:szCs w:val="24"/>
        </w:rPr>
        <w:t xml:space="preserve">ifestyle </w:t>
      </w:r>
      <w:r w:rsidR="00D96E1C">
        <w:rPr>
          <w:spacing w:val="-2"/>
          <w:szCs w:val="24"/>
        </w:rPr>
        <w:t>C</w:t>
      </w:r>
      <w:r w:rsidR="003975CB" w:rsidRPr="00D42335">
        <w:rPr>
          <w:spacing w:val="-2"/>
          <w:szCs w:val="24"/>
        </w:rPr>
        <w:t xml:space="preserve">entres within their residential estates are ancillary to the main purpose of providing housing to homeowners. </w:t>
      </w:r>
      <w:r w:rsidR="00CD269F">
        <w:rPr>
          <w:spacing w:val="-2"/>
          <w:szCs w:val="24"/>
        </w:rPr>
        <w:t xml:space="preserve">The Merriam-Webster dictionary describe </w:t>
      </w:r>
      <w:r w:rsidR="002D7A37">
        <w:rPr>
          <w:spacing w:val="-2"/>
          <w:szCs w:val="24"/>
        </w:rPr>
        <w:t>‘</w:t>
      </w:r>
      <w:r w:rsidR="00CD269F" w:rsidRPr="00CD269F">
        <w:rPr>
          <w:spacing w:val="-2"/>
          <w:szCs w:val="24"/>
        </w:rPr>
        <w:t>ancillary</w:t>
      </w:r>
      <w:r w:rsidR="002D7A37">
        <w:rPr>
          <w:spacing w:val="-2"/>
          <w:szCs w:val="24"/>
        </w:rPr>
        <w:t>’</w:t>
      </w:r>
      <w:r w:rsidR="00CD269F" w:rsidRPr="00CD269F">
        <w:rPr>
          <w:spacing w:val="-2"/>
          <w:szCs w:val="24"/>
        </w:rPr>
        <w:t xml:space="preserve"> </w:t>
      </w:r>
      <w:r w:rsidR="00CD269F">
        <w:rPr>
          <w:spacing w:val="-2"/>
          <w:szCs w:val="24"/>
        </w:rPr>
        <w:t>as</w:t>
      </w:r>
      <w:r w:rsidR="00CD269F" w:rsidRPr="00CD269F">
        <w:rPr>
          <w:spacing w:val="-2"/>
          <w:szCs w:val="24"/>
        </w:rPr>
        <w:t xml:space="preserve"> the notion of providing aid or support in a way that supplements something else. In particular, the word often describes something that is in a position of secondar</w:t>
      </w:r>
      <w:r w:rsidR="00A14AF0">
        <w:rPr>
          <w:spacing w:val="-2"/>
          <w:szCs w:val="24"/>
        </w:rPr>
        <w:t>y</w:t>
      </w:r>
      <w:r w:rsidR="00CD269F" w:rsidRPr="00CD269F">
        <w:rPr>
          <w:spacing w:val="-2"/>
          <w:szCs w:val="24"/>
        </w:rPr>
        <w:t xml:space="preserve"> im</w:t>
      </w:r>
      <w:r w:rsidR="00CD269F">
        <w:rPr>
          <w:spacing w:val="-2"/>
          <w:szCs w:val="24"/>
        </w:rPr>
        <w:t>p</w:t>
      </w:r>
      <w:r w:rsidR="00CD269F" w:rsidRPr="00CD269F">
        <w:rPr>
          <w:spacing w:val="-2"/>
          <w:szCs w:val="24"/>
        </w:rPr>
        <w:t>ortance.</w:t>
      </w:r>
      <w:r w:rsidR="003975CB" w:rsidRPr="00D42335">
        <w:rPr>
          <w:spacing w:val="-2"/>
          <w:szCs w:val="24"/>
        </w:rPr>
        <w:t xml:space="preserve"> The</w:t>
      </w:r>
      <w:r w:rsidR="00CD269F">
        <w:rPr>
          <w:spacing w:val="-2"/>
          <w:szCs w:val="24"/>
        </w:rPr>
        <w:t xml:space="preserve"> appellants contend that the Lifestyle Centres are </w:t>
      </w:r>
      <w:r w:rsidR="00A14AF0">
        <w:rPr>
          <w:spacing w:val="-2"/>
          <w:szCs w:val="24"/>
        </w:rPr>
        <w:t xml:space="preserve">of </w:t>
      </w:r>
      <w:r w:rsidR="00CD269F">
        <w:rPr>
          <w:spacing w:val="-2"/>
          <w:szCs w:val="24"/>
        </w:rPr>
        <w:t xml:space="preserve">secondary </w:t>
      </w:r>
      <w:r w:rsidR="00CD269F" w:rsidRPr="00D42335">
        <w:rPr>
          <w:spacing w:val="-2"/>
          <w:szCs w:val="24"/>
        </w:rPr>
        <w:t xml:space="preserve">importance </w:t>
      </w:r>
      <w:r w:rsidR="00A14AF0">
        <w:rPr>
          <w:spacing w:val="-2"/>
          <w:szCs w:val="24"/>
        </w:rPr>
        <w:t>as the</w:t>
      </w:r>
      <w:r w:rsidR="003975CB" w:rsidRPr="00D42335">
        <w:rPr>
          <w:spacing w:val="-2"/>
          <w:szCs w:val="24"/>
        </w:rPr>
        <w:t xml:space="preserve"> facilities are provided solely for the benefit of the resident homeowners, and the appellants do not operate them as commercial ventures or derive any commercial benefit from them. </w:t>
      </w:r>
      <w:r w:rsidR="002D7A37">
        <w:rPr>
          <w:spacing w:val="-2"/>
          <w:szCs w:val="24"/>
        </w:rPr>
        <w:t>They argue that the</w:t>
      </w:r>
      <w:r w:rsidR="003975CB" w:rsidRPr="00D96E1C">
        <w:rPr>
          <w:spacing w:val="-2"/>
          <w:szCs w:val="24"/>
        </w:rPr>
        <w:t xml:space="preserve"> respondents' classification of the appellants as mixed domestic and non-domestic loads subject to a Business Tariff is therefore incorrect</w:t>
      </w:r>
      <w:r w:rsidR="00D96E1C">
        <w:rPr>
          <w:spacing w:val="-2"/>
          <w:szCs w:val="24"/>
        </w:rPr>
        <w:t xml:space="preserve">. </w:t>
      </w:r>
    </w:p>
    <w:p w14:paraId="603EE12A" w14:textId="2AC70B0A" w:rsidR="00D96E1C" w:rsidRPr="00D42335" w:rsidRDefault="00AE5B99" w:rsidP="00AE5B99">
      <w:pPr>
        <w:pStyle w:val="JudgmentNumbered0"/>
        <w:ind w:left="0" w:firstLine="0"/>
        <w:rPr>
          <w:spacing w:val="-2"/>
          <w:szCs w:val="24"/>
        </w:rPr>
      </w:pPr>
      <w:r w:rsidRPr="00D42335">
        <w:rPr>
          <w:color w:val="000000"/>
          <w:szCs w:val="24"/>
        </w:rPr>
        <w:t>[21]</w:t>
      </w:r>
      <w:r w:rsidRPr="00D42335">
        <w:rPr>
          <w:color w:val="000000"/>
          <w:szCs w:val="24"/>
        </w:rPr>
        <w:tab/>
      </w:r>
      <w:r w:rsidR="002D7A37">
        <w:rPr>
          <w:spacing w:val="-2"/>
          <w:szCs w:val="24"/>
        </w:rPr>
        <w:t xml:space="preserve">The appellants’ argument is not persuasive. </w:t>
      </w:r>
      <w:r w:rsidR="00D96E1C">
        <w:rPr>
          <w:spacing w:val="-2"/>
          <w:szCs w:val="24"/>
        </w:rPr>
        <w:t>Firstly, the</w:t>
      </w:r>
      <w:r w:rsidR="00D96E1C" w:rsidRPr="00D42335">
        <w:rPr>
          <w:spacing w:val="-2"/>
          <w:szCs w:val="24"/>
        </w:rPr>
        <w:t xml:space="preserve"> tariff policy, the </w:t>
      </w:r>
      <w:r w:rsidR="00A14AF0">
        <w:rPr>
          <w:spacing w:val="-2"/>
          <w:szCs w:val="24"/>
        </w:rPr>
        <w:t>By-Laws</w:t>
      </w:r>
      <w:r w:rsidR="00D96E1C" w:rsidRPr="00D42335">
        <w:rPr>
          <w:spacing w:val="-2"/>
          <w:szCs w:val="24"/>
        </w:rPr>
        <w:t xml:space="preserve"> and the applicable electricity tariffs have been approved by the </w:t>
      </w:r>
      <w:r w:rsidR="00D96E1C">
        <w:rPr>
          <w:spacing w:val="-2"/>
          <w:szCs w:val="24"/>
        </w:rPr>
        <w:t>Municipality’s</w:t>
      </w:r>
      <w:r w:rsidR="00D96E1C" w:rsidRPr="00D42335">
        <w:rPr>
          <w:spacing w:val="-2"/>
          <w:szCs w:val="24"/>
        </w:rPr>
        <w:t xml:space="preserve"> council as part of the city's executive and legislative powers. Neither the policy, </w:t>
      </w:r>
      <w:r w:rsidR="002D7A37">
        <w:rPr>
          <w:spacing w:val="-2"/>
          <w:szCs w:val="24"/>
        </w:rPr>
        <w:t>B</w:t>
      </w:r>
      <w:r w:rsidR="00D96E1C" w:rsidRPr="00D42335">
        <w:rPr>
          <w:spacing w:val="-2"/>
          <w:szCs w:val="24"/>
        </w:rPr>
        <w:t>y-law</w:t>
      </w:r>
      <w:r w:rsidR="002D7A37">
        <w:rPr>
          <w:spacing w:val="-2"/>
          <w:szCs w:val="24"/>
        </w:rPr>
        <w:t>s</w:t>
      </w:r>
      <w:r w:rsidR="00D96E1C" w:rsidRPr="00D42335">
        <w:rPr>
          <w:spacing w:val="-2"/>
          <w:szCs w:val="24"/>
        </w:rPr>
        <w:t xml:space="preserve"> nor tariffs have been challenged by the appellants</w:t>
      </w:r>
      <w:r w:rsidR="00D96E1C">
        <w:rPr>
          <w:spacing w:val="-2"/>
          <w:szCs w:val="24"/>
        </w:rPr>
        <w:t xml:space="preserve">. </w:t>
      </w:r>
      <w:r w:rsidR="00D96E1C" w:rsidRPr="00D42335">
        <w:rPr>
          <w:spacing w:val="-2"/>
          <w:szCs w:val="24"/>
        </w:rPr>
        <w:t xml:space="preserve"> </w:t>
      </w:r>
    </w:p>
    <w:p w14:paraId="15B71F29" w14:textId="28A05AC5" w:rsidR="002943ED" w:rsidRDefault="00AE5B99" w:rsidP="00AE5B99">
      <w:pPr>
        <w:pStyle w:val="JudgmentNumbered0"/>
        <w:ind w:left="0" w:firstLine="0"/>
        <w:rPr>
          <w:spacing w:val="-2"/>
          <w:szCs w:val="24"/>
        </w:rPr>
      </w:pPr>
      <w:r>
        <w:rPr>
          <w:color w:val="000000"/>
          <w:szCs w:val="24"/>
        </w:rPr>
        <w:t>[22]</w:t>
      </w:r>
      <w:r>
        <w:rPr>
          <w:color w:val="000000"/>
          <w:szCs w:val="24"/>
        </w:rPr>
        <w:tab/>
      </w:r>
      <w:r w:rsidR="002943ED" w:rsidRPr="002943ED">
        <w:rPr>
          <w:spacing w:val="-2"/>
          <w:szCs w:val="24"/>
        </w:rPr>
        <w:t xml:space="preserve">Secondly, </w:t>
      </w:r>
      <w:r w:rsidR="00003100">
        <w:rPr>
          <w:spacing w:val="-2"/>
          <w:szCs w:val="24"/>
        </w:rPr>
        <w:t xml:space="preserve">there can be no dispute that the restaurant is a business. It sells food to residents and their guests at a profit. </w:t>
      </w:r>
      <w:r w:rsidR="00A14AF0">
        <w:rPr>
          <w:spacing w:val="-2"/>
          <w:szCs w:val="24"/>
        </w:rPr>
        <w:t xml:space="preserve">The fact that a business is </w:t>
      </w:r>
      <w:r w:rsidR="002D7A37">
        <w:rPr>
          <w:spacing w:val="-2"/>
          <w:szCs w:val="24"/>
        </w:rPr>
        <w:t xml:space="preserve">located </w:t>
      </w:r>
      <w:r w:rsidR="00A14AF0">
        <w:rPr>
          <w:spacing w:val="-2"/>
          <w:szCs w:val="24"/>
        </w:rPr>
        <w:t xml:space="preserve">in an estate surrounded by residential </w:t>
      </w:r>
      <w:r w:rsidR="00535758">
        <w:rPr>
          <w:spacing w:val="-2"/>
          <w:szCs w:val="24"/>
        </w:rPr>
        <w:t xml:space="preserve">dwelling units </w:t>
      </w:r>
      <w:r w:rsidR="00A14AF0">
        <w:rPr>
          <w:spacing w:val="-2"/>
          <w:szCs w:val="24"/>
        </w:rPr>
        <w:t xml:space="preserve">does not make it ancillary to the residential use. It is merely convenient </w:t>
      </w:r>
      <w:r w:rsidR="002D7A37">
        <w:rPr>
          <w:spacing w:val="-2"/>
          <w:szCs w:val="24"/>
        </w:rPr>
        <w:t>for</w:t>
      </w:r>
      <w:r w:rsidR="00A14AF0">
        <w:rPr>
          <w:spacing w:val="-2"/>
          <w:szCs w:val="24"/>
        </w:rPr>
        <w:t xml:space="preserve"> the </w:t>
      </w:r>
      <w:r w:rsidR="00535758">
        <w:rPr>
          <w:spacing w:val="-2"/>
          <w:szCs w:val="24"/>
        </w:rPr>
        <w:t>residents</w:t>
      </w:r>
      <w:r w:rsidR="00A14AF0">
        <w:rPr>
          <w:spacing w:val="-2"/>
          <w:szCs w:val="24"/>
        </w:rPr>
        <w:t xml:space="preserve"> of the dwelling units to have a restaurant </w:t>
      </w:r>
      <w:r w:rsidR="00535758">
        <w:rPr>
          <w:spacing w:val="-2"/>
          <w:szCs w:val="24"/>
        </w:rPr>
        <w:t>in the estate</w:t>
      </w:r>
      <w:r w:rsidR="00A14AF0">
        <w:rPr>
          <w:spacing w:val="-2"/>
          <w:szCs w:val="24"/>
        </w:rPr>
        <w:t xml:space="preserve">. It does not </w:t>
      </w:r>
      <w:r w:rsidR="00535758">
        <w:rPr>
          <w:spacing w:val="-2"/>
          <w:szCs w:val="24"/>
        </w:rPr>
        <w:t>change</w:t>
      </w:r>
      <w:r w:rsidR="00A14AF0">
        <w:rPr>
          <w:spacing w:val="-2"/>
          <w:szCs w:val="24"/>
        </w:rPr>
        <w:t xml:space="preserve"> the </w:t>
      </w:r>
      <w:r w:rsidR="00535758">
        <w:rPr>
          <w:spacing w:val="-2"/>
          <w:szCs w:val="24"/>
        </w:rPr>
        <w:t>s</w:t>
      </w:r>
      <w:r w:rsidR="00A14AF0">
        <w:rPr>
          <w:spacing w:val="-2"/>
          <w:szCs w:val="24"/>
        </w:rPr>
        <w:t>tatus of the restaurant</w:t>
      </w:r>
      <w:r w:rsidR="00535758">
        <w:rPr>
          <w:spacing w:val="-2"/>
          <w:szCs w:val="24"/>
        </w:rPr>
        <w:t xml:space="preserve"> from non-domestic to domestic. To have a restaurant in an estate </w:t>
      </w:r>
      <w:r w:rsidR="002D7A37">
        <w:rPr>
          <w:spacing w:val="-2"/>
          <w:szCs w:val="24"/>
        </w:rPr>
        <w:t>is clearly</w:t>
      </w:r>
      <w:r w:rsidR="00535758">
        <w:rPr>
          <w:spacing w:val="-2"/>
          <w:szCs w:val="24"/>
        </w:rPr>
        <w:t xml:space="preserve"> a </w:t>
      </w:r>
      <w:r w:rsidR="002943ED" w:rsidRPr="00003100">
        <w:rPr>
          <w:spacing w:val="-2"/>
          <w:szCs w:val="24"/>
        </w:rPr>
        <w:t>‘perk’</w:t>
      </w:r>
      <w:r w:rsidR="00535758">
        <w:rPr>
          <w:spacing w:val="-2"/>
          <w:szCs w:val="24"/>
        </w:rPr>
        <w:t>,</w:t>
      </w:r>
      <w:r w:rsidR="002943ED" w:rsidRPr="00003100">
        <w:rPr>
          <w:spacing w:val="-2"/>
          <w:szCs w:val="24"/>
        </w:rPr>
        <w:t xml:space="preserve"> but at the end of the day </w:t>
      </w:r>
      <w:r w:rsidR="002D7A37">
        <w:rPr>
          <w:spacing w:val="-2"/>
          <w:szCs w:val="24"/>
        </w:rPr>
        <w:t xml:space="preserve">the restaurant </w:t>
      </w:r>
      <w:r w:rsidR="002943ED" w:rsidRPr="00003100">
        <w:rPr>
          <w:spacing w:val="-2"/>
          <w:szCs w:val="24"/>
        </w:rPr>
        <w:t xml:space="preserve">is commercial in </w:t>
      </w:r>
      <w:r w:rsidR="00003100" w:rsidRPr="00003100">
        <w:rPr>
          <w:spacing w:val="-2"/>
          <w:szCs w:val="24"/>
        </w:rPr>
        <w:t xml:space="preserve">nature </w:t>
      </w:r>
      <w:r w:rsidR="00003100">
        <w:rPr>
          <w:spacing w:val="-2"/>
          <w:szCs w:val="24"/>
        </w:rPr>
        <w:t xml:space="preserve">and non-domestic. It </w:t>
      </w:r>
      <w:r w:rsidR="002943ED" w:rsidRPr="00003100">
        <w:rPr>
          <w:spacing w:val="-2"/>
          <w:szCs w:val="24"/>
        </w:rPr>
        <w:t xml:space="preserve">is not merely </w:t>
      </w:r>
      <w:r w:rsidR="00003100">
        <w:rPr>
          <w:spacing w:val="-2"/>
          <w:szCs w:val="24"/>
        </w:rPr>
        <w:t>‘</w:t>
      </w:r>
      <w:r w:rsidR="002943ED" w:rsidRPr="00003100">
        <w:rPr>
          <w:spacing w:val="-2"/>
          <w:szCs w:val="24"/>
        </w:rPr>
        <w:t>ancillary</w:t>
      </w:r>
      <w:r w:rsidR="00003100">
        <w:rPr>
          <w:spacing w:val="-2"/>
          <w:szCs w:val="24"/>
        </w:rPr>
        <w:t>’</w:t>
      </w:r>
      <w:r w:rsidR="002943ED" w:rsidRPr="00003100">
        <w:rPr>
          <w:spacing w:val="-2"/>
          <w:szCs w:val="24"/>
        </w:rPr>
        <w:t xml:space="preserve"> to the residential units. </w:t>
      </w:r>
    </w:p>
    <w:p w14:paraId="6CB6EC68" w14:textId="1B94702E" w:rsidR="00535758" w:rsidRPr="00535758" w:rsidRDefault="00AE5B99" w:rsidP="00AE5B99">
      <w:pPr>
        <w:pStyle w:val="JudgmentNumbered0"/>
        <w:ind w:left="0" w:firstLine="0"/>
        <w:rPr>
          <w:spacing w:val="-2"/>
          <w:szCs w:val="24"/>
        </w:rPr>
      </w:pPr>
      <w:r w:rsidRPr="00535758">
        <w:rPr>
          <w:color w:val="000000"/>
          <w:szCs w:val="24"/>
        </w:rPr>
        <w:lastRenderedPageBreak/>
        <w:t>[23]</w:t>
      </w:r>
      <w:r w:rsidRPr="00535758">
        <w:rPr>
          <w:color w:val="000000"/>
          <w:szCs w:val="24"/>
        </w:rPr>
        <w:tab/>
      </w:r>
      <w:r w:rsidR="002D7A37">
        <w:t>Thirdly, t</w:t>
      </w:r>
      <w:r w:rsidR="00535758" w:rsidRPr="00D8270A">
        <w:t xml:space="preserve">he </w:t>
      </w:r>
      <w:r w:rsidR="002D7A37">
        <w:t>L</w:t>
      </w:r>
      <w:r w:rsidR="00535758" w:rsidRPr="00D8270A">
        <w:t xml:space="preserve">ifestyle centres </w:t>
      </w:r>
      <w:r w:rsidR="002D7A37">
        <w:t xml:space="preserve">within the </w:t>
      </w:r>
      <w:r w:rsidR="009C4579">
        <w:t xml:space="preserve">estates do not serve as residential components, as they are not intended for habitation. The tariff applied is determined by the nature of the service availed. For instance, if a property designated for </w:t>
      </w:r>
      <w:r w:rsidR="0084559D">
        <w:t>residential</w:t>
      </w:r>
      <w:r w:rsidR="009C4579">
        <w:t xml:space="preserve"> use is utilized for commercial purposes, such as operating a law practice, the appropriate commercial tariff would be applied due to the </w:t>
      </w:r>
      <w:r w:rsidR="0084559D">
        <w:t>electricity</w:t>
      </w:r>
      <w:r w:rsidR="009C4579">
        <w:t xml:space="preserve"> consumption </w:t>
      </w:r>
      <w:r w:rsidR="0084559D">
        <w:t>associated</w:t>
      </w:r>
      <w:r w:rsidR="009C4579">
        <w:t xml:space="preserve"> with activities like operating </w:t>
      </w:r>
      <w:r w:rsidR="0084559D">
        <w:t>photocopy</w:t>
      </w:r>
      <w:r w:rsidR="009C4579">
        <w:t xml:space="preserve"> </w:t>
      </w:r>
      <w:r w:rsidR="0084559D">
        <w:t>machines</w:t>
      </w:r>
      <w:r w:rsidR="009C4579">
        <w:t xml:space="preserve">, computer services, printers, and other </w:t>
      </w:r>
      <w:r w:rsidR="0084559D">
        <w:t>business-related</w:t>
      </w:r>
      <w:r w:rsidR="009C4579">
        <w:t xml:space="preserve"> equipment</w:t>
      </w:r>
      <w:r w:rsidR="0084559D">
        <w:t>.</w:t>
      </w:r>
      <w:r w:rsidR="009C4579">
        <w:t xml:space="preserve"> Similarly, the electricity usage patterns of establishments like gyms or restaurants differ from </w:t>
      </w:r>
      <w:r w:rsidR="0084559D">
        <w:t>those</w:t>
      </w:r>
      <w:r w:rsidR="009C4579">
        <w:t xml:space="preserve"> of residential dwellings, thereby warranting </w:t>
      </w:r>
      <w:r w:rsidR="0084559D">
        <w:t xml:space="preserve">disparate </w:t>
      </w:r>
      <w:r w:rsidR="009C4579">
        <w:t>tariff s</w:t>
      </w:r>
      <w:r w:rsidR="0084559D">
        <w:t>tructures</w:t>
      </w:r>
      <w:r w:rsidR="00535758" w:rsidRPr="00D8270A">
        <w:t xml:space="preserve">. </w:t>
      </w:r>
    </w:p>
    <w:p w14:paraId="489908EE" w14:textId="78742AA2" w:rsidR="00003100" w:rsidRDefault="00AE5B99" w:rsidP="00AE5B99">
      <w:pPr>
        <w:pStyle w:val="JudgmentNumbered0"/>
        <w:ind w:left="0" w:firstLine="0"/>
        <w:rPr>
          <w:spacing w:val="-2"/>
          <w:szCs w:val="24"/>
        </w:rPr>
      </w:pPr>
      <w:r>
        <w:rPr>
          <w:color w:val="000000"/>
          <w:szCs w:val="24"/>
        </w:rPr>
        <w:t>[24]</w:t>
      </w:r>
      <w:r>
        <w:rPr>
          <w:color w:val="000000"/>
          <w:szCs w:val="24"/>
        </w:rPr>
        <w:tab/>
      </w:r>
      <w:r w:rsidR="00A47DF7">
        <w:rPr>
          <w:spacing w:val="-2"/>
          <w:szCs w:val="24"/>
        </w:rPr>
        <w:t xml:space="preserve">Fourthly, </w:t>
      </w:r>
      <w:r w:rsidR="00003100">
        <w:rPr>
          <w:spacing w:val="-2"/>
          <w:szCs w:val="24"/>
        </w:rPr>
        <w:t xml:space="preserve">the By-laws and the tariff policy are clear in their wording. </w:t>
      </w:r>
      <w:r w:rsidR="00003100" w:rsidRPr="001B0CA5">
        <w:rPr>
          <w:spacing w:val="-2"/>
          <w:szCs w:val="24"/>
        </w:rPr>
        <w:t>Communal loads for both domestic and non-domestic use which cannot be separated shall be metered at the appropriate non-domestic charge as determined by council from time to time.’</w:t>
      </w:r>
      <w:r w:rsidR="00003100">
        <w:rPr>
          <w:spacing w:val="-2"/>
          <w:szCs w:val="24"/>
        </w:rPr>
        <w:t xml:space="preserve"> In addition, i</w:t>
      </w:r>
      <w:r w:rsidR="00452F59" w:rsidRPr="00003100">
        <w:rPr>
          <w:spacing w:val="-2"/>
          <w:szCs w:val="24"/>
        </w:rPr>
        <w:t xml:space="preserve">n terms of the 2020/2021 tariff, (which is in line with the </w:t>
      </w:r>
      <w:r w:rsidR="00003100">
        <w:rPr>
          <w:spacing w:val="-2"/>
          <w:szCs w:val="24"/>
        </w:rPr>
        <w:t>B</w:t>
      </w:r>
      <w:r w:rsidR="00452F59" w:rsidRPr="00003100">
        <w:rPr>
          <w:spacing w:val="-2"/>
          <w:szCs w:val="24"/>
        </w:rPr>
        <w:t>y-laws)</w:t>
      </w:r>
      <w:r w:rsidR="007942A4">
        <w:rPr>
          <w:spacing w:val="-2"/>
          <w:szCs w:val="24"/>
        </w:rPr>
        <w:t xml:space="preserve">, </w:t>
      </w:r>
      <w:r w:rsidR="00003100" w:rsidRPr="00003100">
        <w:rPr>
          <w:spacing w:val="-2"/>
          <w:szCs w:val="24"/>
        </w:rPr>
        <w:t>a</w:t>
      </w:r>
      <w:r w:rsidR="00452F59" w:rsidRPr="00003100">
        <w:rPr>
          <w:spacing w:val="-2"/>
          <w:szCs w:val="24"/>
        </w:rPr>
        <w:t xml:space="preserve"> residential tariff is not applicable to: </w:t>
      </w:r>
      <w:r w:rsidR="00003100" w:rsidRPr="00003100">
        <w:rPr>
          <w:spacing w:val="-2"/>
          <w:szCs w:val="24"/>
        </w:rPr>
        <w:t xml:space="preserve">(a) </w:t>
      </w:r>
      <w:r w:rsidR="00452F59" w:rsidRPr="00003100">
        <w:rPr>
          <w:spacing w:val="-2"/>
          <w:szCs w:val="24"/>
        </w:rPr>
        <w:t xml:space="preserve">properties zoned as residential but used for business purposes (section 1.2); </w:t>
      </w:r>
      <w:r w:rsidR="00003100" w:rsidRPr="00003100">
        <w:rPr>
          <w:spacing w:val="-2"/>
          <w:szCs w:val="24"/>
        </w:rPr>
        <w:t>and (b)</w:t>
      </w:r>
      <w:r w:rsidR="00452F59" w:rsidRPr="00003100">
        <w:rPr>
          <w:spacing w:val="-2"/>
          <w:szCs w:val="24"/>
        </w:rPr>
        <w:t xml:space="preserve"> mixed use reseller customers (unless a split meter is installed) (section 1.5). </w:t>
      </w:r>
      <w:r w:rsidR="00003100">
        <w:rPr>
          <w:spacing w:val="-2"/>
          <w:szCs w:val="24"/>
        </w:rPr>
        <w:t>Further the</w:t>
      </w:r>
      <w:r w:rsidR="00452F59" w:rsidRPr="00003100">
        <w:rPr>
          <w:spacing w:val="-2"/>
          <w:szCs w:val="24"/>
        </w:rPr>
        <w:t xml:space="preserve"> tariff specifically makes provision for mixed loads on non-residential and residential to be billed on the business tariff (section 3.1.9).</w:t>
      </w:r>
      <w:r w:rsidR="00807A4C" w:rsidRPr="00003100">
        <w:rPr>
          <w:spacing w:val="-2"/>
          <w:szCs w:val="24"/>
        </w:rPr>
        <w:t xml:space="preserve"> </w:t>
      </w:r>
    </w:p>
    <w:p w14:paraId="38D3425E" w14:textId="77399E20" w:rsidR="00003100" w:rsidRPr="00003100" w:rsidRDefault="00AE5B99" w:rsidP="00AE5B99">
      <w:pPr>
        <w:pStyle w:val="JudgmentNumbered0"/>
        <w:ind w:left="0" w:firstLine="0"/>
        <w:rPr>
          <w:spacing w:val="-2"/>
          <w:szCs w:val="24"/>
        </w:rPr>
      </w:pPr>
      <w:r w:rsidRPr="00003100">
        <w:rPr>
          <w:color w:val="000000"/>
          <w:szCs w:val="24"/>
        </w:rPr>
        <w:t>[25]</w:t>
      </w:r>
      <w:r w:rsidRPr="00003100">
        <w:rPr>
          <w:color w:val="000000"/>
          <w:szCs w:val="24"/>
        </w:rPr>
        <w:tab/>
      </w:r>
      <w:r w:rsidR="00003100" w:rsidRPr="00003100">
        <w:rPr>
          <w:spacing w:val="-2"/>
          <w:szCs w:val="24"/>
        </w:rPr>
        <w:t xml:space="preserve">The respondents are </w:t>
      </w:r>
      <w:r w:rsidR="00A47DF7">
        <w:rPr>
          <w:spacing w:val="-2"/>
          <w:szCs w:val="24"/>
        </w:rPr>
        <w:t xml:space="preserve">therefore justified in invoicing the appellants under a </w:t>
      </w:r>
      <w:r w:rsidR="007942A4">
        <w:rPr>
          <w:spacing w:val="-2"/>
          <w:szCs w:val="24"/>
        </w:rPr>
        <w:t>b</w:t>
      </w:r>
      <w:r w:rsidR="00A47DF7">
        <w:rPr>
          <w:spacing w:val="-2"/>
          <w:szCs w:val="24"/>
        </w:rPr>
        <w:t xml:space="preserve">usiness/commercial tariff. This determination stems from the electricity consumption resulting from the operation of restaurants and gyms within the Lifestyle Centres, which aligns with the mixed-use classification outlined in the tariff policy. </w:t>
      </w:r>
    </w:p>
    <w:p w14:paraId="2187B4C8" w14:textId="2876F8F5" w:rsidR="00452F59" w:rsidRDefault="00AE5B99" w:rsidP="00AE5B99">
      <w:pPr>
        <w:pStyle w:val="JudgmentNumbered0"/>
        <w:ind w:left="0" w:firstLine="0"/>
        <w:rPr>
          <w:spacing w:val="-2"/>
          <w:szCs w:val="24"/>
        </w:rPr>
      </w:pPr>
      <w:r>
        <w:rPr>
          <w:color w:val="000000"/>
          <w:szCs w:val="24"/>
        </w:rPr>
        <w:t>[26]</w:t>
      </w:r>
      <w:r>
        <w:rPr>
          <w:color w:val="000000"/>
          <w:szCs w:val="24"/>
        </w:rPr>
        <w:tab/>
      </w:r>
      <w:r w:rsidR="00003100">
        <w:rPr>
          <w:spacing w:val="-2"/>
          <w:szCs w:val="24"/>
        </w:rPr>
        <w:t>In the result the following order is made:</w:t>
      </w:r>
    </w:p>
    <w:p w14:paraId="135D7214" w14:textId="5B38ADF8" w:rsidR="00A47DF7" w:rsidRPr="00A47DF7" w:rsidRDefault="00AE5B99" w:rsidP="00AE5B99">
      <w:pPr>
        <w:pStyle w:val="JudgmentNumbered0"/>
        <w:ind w:left="720" w:hanging="360"/>
        <w:rPr>
          <w:spacing w:val="-2"/>
          <w:szCs w:val="24"/>
        </w:rPr>
      </w:pPr>
      <w:r w:rsidRPr="00A47DF7">
        <w:rPr>
          <w:spacing w:val="-2"/>
          <w:szCs w:val="24"/>
        </w:rPr>
        <w:t>1.</w:t>
      </w:r>
      <w:r w:rsidRPr="00A47DF7">
        <w:rPr>
          <w:spacing w:val="-2"/>
          <w:szCs w:val="24"/>
        </w:rPr>
        <w:tab/>
      </w:r>
      <w:r w:rsidR="00003100">
        <w:rPr>
          <w:spacing w:val="-2"/>
          <w:szCs w:val="24"/>
        </w:rPr>
        <w:t>The appeal is dismissed with costs, which include the costs of two counsel where so employed.</w:t>
      </w:r>
    </w:p>
    <w:p w14:paraId="1FA32FB3" w14:textId="77777777" w:rsidR="00A47DF7" w:rsidRPr="00C95FEB" w:rsidRDefault="00A47DF7" w:rsidP="00A47DF7">
      <w:pPr>
        <w:pStyle w:val="ListParagraph"/>
        <w:spacing w:before="240"/>
        <w:rPr>
          <w:rFonts w:ascii="Arial" w:hAnsi="Arial" w:cs="Arial"/>
          <w:sz w:val="24"/>
          <w:szCs w:val="24"/>
        </w:rPr>
      </w:pPr>
    </w:p>
    <w:p w14:paraId="52699F43" w14:textId="77777777" w:rsidR="00A47DF7" w:rsidRPr="00C95FEB" w:rsidRDefault="00A47DF7" w:rsidP="00A47DF7">
      <w:pPr>
        <w:jc w:val="right"/>
        <w:rPr>
          <w:rFonts w:ascii="Arial" w:hAnsi="Arial" w:cs="Arial"/>
          <w:b/>
          <w:sz w:val="24"/>
        </w:rPr>
      </w:pPr>
      <w:r w:rsidRPr="00C95FEB">
        <w:rPr>
          <w:rFonts w:ascii="Arial" w:hAnsi="Arial" w:cs="Arial"/>
          <w:b/>
          <w:sz w:val="24"/>
        </w:rPr>
        <w:t>________________________</w:t>
      </w:r>
    </w:p>
    <w:p w14:paraId="390FB59A" w14:textId="77777777" w:rsidR="00A47DF7" w:rsidRPr="00C95FEB" w:rsidRDefault="00A47DF7" w:rsidP="00A47DF7">
      <w:pPr>
        <w:jc w:val="right"/>
        <w:rPr>
          <w:rFonts w:ascii="Arial" w:hAnsi="Arial" w:cs="Arial"/>
          <w:b/>
          <w:sz w:val="24"/>
        </w:rPr>
      </w:pPr>
      <w:r w:rsidRPr="00C95FEB">
        <w:rPr>
          <w:rFonts w:ascii="Arial" w:hAnsi="Arial" w:cs="Arial"/>
          <w:b/>
          <w:sz w:val="24"/>
        </w:rPr>
        <w:t>L WINDELL</w:t>
      </w:r>
    </w:p>
    <w:p w14:paraId="2AB6B874" w14:textId="77777777" w:rsidR="00A47DF7" w:rsidRPr="00C95FEB" w:rsidRDefault="00A47DF7" w:rsidP="00A47DF7">
      <w:pPr>
        <w:jc w:val="right"/>
        <w:rPr>
          <w:rFonts w:ascii="Arial" w:hAnsi="Arial" w:cs="Arial"/>
          <w:b/>
          <w:sz w:val="24"/>
        </w:rPr>
      </w:pPr>
      <w:r w:rsidRPr="00C95FEB">
        <w:rPr>
          <w:rFonts w:ascii="Arial" w:hAnsi="Arial" w:cs="Arial"/>
          <w:b/>
          <w:sz w:val="24"/>
        </w:rPr>
        <w:t>JUDGE OF THE HIGH COURT GAUTENG LOCAL DIVISION</w:t>
      </w:r>
    </w:p>
    <w:p w14:paraId="3ECEF602" w14:textId="77777777" w:rsidR="00A47DF7" w:rsidRPr="00C95FEB" w:rsidRDefault="00A47DF7" w:rsidP="00A47DF7">
      <w:pPr>
        <w:jc w:val="right"/>
        <w:rPr>
          <w:rFonts w:ascii="Arial" w:hAnsi="Arial" w:cs="Arial"/>
          <w:b/>
          <w:sz w:val="24"/>
        </w:rPr>
      </w:pPr>
    </w:p>
    <w:p w14:paraId="24C08996" w14:textId="77777777" w:rsidR="00A47DF7" w:rsidRPr="00C95FEB" w:rsidRDefault="00A47DF7" w:rsidP="00A47DF7">
      <w:pPr>
        <w:jc w:val="right"/>
        <w:rPr>
          <w:rFonts w:ascii="Arial" w:hAnsi="Arial" w:cs="Arial"/>
          <w:b/>
          <w:sz w:val="24"/>
        </w:rPr>
      </w:pPr>
      <w:r w:rsidRPr="00C95FEB">
        <w:rPr>
          <w:rFonts w:ascii="Arial" w:hAnsi="Arial" w:cs="Arial"/>
          <w:b/>
          <w:sz w:val="24"/>
        </w:rPr>
        <w:lastRenderedPageBreak/>
        <w:t>I agree</w:t>
      </w:r>
    </w:p>
    <w:p w14:paraId="096B17B0" w14:textId="77777777" w:rsidR="00A47DF7" w:rsidRPr="00C95FEB" w:rsidRDefault="00A47DF7" w:rsidP="00A47DF7">
      <w:pPr>
        <w:jc w:val="right"/>
        <w:rPr>
          <w:rFonts w:ascii="Arial" w:hAnsi="Arial" w:cs="Arial"/>
          <w:b/>
          <w:sz w:val="24"/>
        </w:rPr>
      </w:pPr>
    </w:p>
    <w:p w14:paraId="6C786665" w14:textId="77777777" w:rsidR="00A47DF7" w:rsidRPr="00C95FEB" w:rsidRDefault="00A47DF7" w:rsidP="00A47DF7">
      <w:pPr>
        <w:jc w:val="right"/>
        <w:rPr>
          <w:rFonts w:ascii="Arial" w:hAnsi="Arial" w:cs="Arial"/>
          <w:b/>
          <w:sz w:val="24"/>
        </w:rPr>
      </w:pPr>
      <w:r w:rsidRPr="00C95FEB">
        <w:rPr>
          <w:rFonts w:ascii="Arial" w:hAnsi="Arial" w:cs="Arial"/>
          <w:b/>
          <w:sz w:val="24"/>
        </w:rPr>
        <w:t>________________________</w:t>
      </w:r>
    </w:p>
    <w:p w14:paraId="3DCE3769" w14:textId="3C351378" w:rsidR="00176C7F" w:rsidRPr="00AE5B99" w:rsidRDefault="00AE5B99" w:rsidP="00AE5B99">
      <w:pPr>
        <w:ind w:left="6740" w:hanging="360"/>
        <w:jc w:val="right"/>
        <w:rPr>
          <w:rFonts w:ascii="Arial" w:hAnsi="Arial" w:cs="Arial"/>
          <w:b/>
          <w:sz w:val="24"/>
        </w:rPr>
      </w:pPr>
      <w:r w:rsidRPr="00A47DF7">
        <w:rPr>
          <w:rFonts w:ascii="Arial" w:hAnsi="Arial" w:cs="Arial"/>
          <w:b/>
          <w:sz w:val="24"/>
        </w:rPr>
        <w:t>A.</w:t>
      </w:r>
      <w:r w:rsidRPr="00A47DF7">
        <w:rPr>
          <w:rFonts w:ascii="Arial" w:hAnsi="Arial" w:cs="Arial"/>
          <w:b/>
          <w:sz w:val="24"/>
        </w:rPr>
        <w:tab/>
      </w:r>
      <w:r w:rsidR="00176C7F" w:rsidRPr="00AE5B99">
        <w:rPr>
          <w:rFonts w:ascii="Arial" w:hAnsi="Arial" w:cs="Arial"/>
          <w:b/>
          <w:sz w:val="24"/>
        </w:rPr>
        <w:t>MAIER-FRAWLEY</w:t>
      </w:r>
    </w:p>
    <w:p w14:paraId="458F3DE0" w14:textId="77777777" w:rsidR="00A47DF7" w:rsidRPr="00C95FEB" w:rsidRDefault="00A47DF7" w:rsidP="00A47DF7">
      <w:pPr>
        <w:jc w:val="right"/>
        <w:rPr>
          <w:rFonts w:ascii="Arial" w:hAnsi="Arial" w:cs="Arial"/>
          <w:b/>
          <w:sz w:val="24"/>
        </w:rPr>
      </w:pPr>
      <w:r w:rsidRPr="00C95FEB">
        <w:rPr>
          <w:rFonts w:ascii="Arial" w:hAnsi="Arial" w:cs="Arial"/>
          <w:b/>
          <w:sz w:val="24"/>
        </w:rPr>
        <w:t>JUDGE OF THE HIGH COURT GAUTENG LOCAL DIVISION</w:t>
      </w:r>
    </w:p>
    <w:p w14:paraId="23458DD9" w14:textId="77777777" w:rsidR="00A47DF7" w:rsidRPr="00C95FEB" w:rsidRDefault="00A47DF7" w:rsidP="00A47DF7">
      <w:pPr>
        <w:jc w:val="right"/>
        <w:rPr>
          <w:rFonts w:ascii="Arial" w:hAnsi="Arial" w:cs="Arial"/>
          <w:b/>
          <w:sz w:val="24"/>
        </w:rPr>
      </w:pPr>
    </w:p>
    <w:p w14:paraId="3E5F7EA5" w14:textId="77777777" w:rsidR="00A47DF7" w:rsidRPr="00C95FEB" w:rsidRDefault="00A47DF7" w:rsidP="00A47DF7">
      <w:pPr>
        <w:jc w:val="right"/>
        <w:rPr>
          <w:rFonts w:ascii="Arial" w:hAnsi="Arial" w:cs="Arial"/>
          <w:b/>
          <w:sz w:val="24"/>
        </w:rPr>
      </w:pPr>
      <w:r w:rsidRPr="00C95FEB">
        <w:rPr>
          <w:rFonts w:ascii="Arial" w:hAnsi="Arial" w:cs="Arial"/>
          <w:b/>
          <w:sz w:val="24"/>
        </w:rPr>
        <w:t>I agree</w:t>
      </w:r>
    </w:p>
    <w:p w14:paraId="708A5E59" w14:textId="77777777" w:rsidR="00A47DF7" w:rsidRPr="00C95FEB" w:rsidRDefault="00A47DF7" w:rsidP="00A47DF7">
      <w:pPr>
        <w:jc w:val="right"/>
        <w:rPr>
          <w:rFonts w:ascii="Arial" w:hAnsi="Arial" w:cs="Arial"/>
          <w:b/>
          <w:sz w:val="24"/>
        </w:rPr>
      </w:pPr>
    </w:p>
    <w:p w14:paraId="07527771" w14:textId="77777777" w:rsidR="00A47DF7" w:rsidRPr="00C95FEB" w:rsidRDefault="00A47DF7" w:rsidP="00A47DF7">
      <w:pPr>
        <w:jc w:val="right"/>
        <w:rPr>
          <w:rFonts w:ascii="Arial" w:hAnsi="Arial" w:cs="Arial"/>
          <w:b/>
          <w:sz w:val="24"/>
        </w:rPr>
      </w:pPr>
      <w:r w:rsidRPr="00C95FEB">
        <w:rPr>
          <w:rFonts w:ascii="Arial" w:hAnsi="Arial" w:cs="Arial"/>
          <w:b/>
          <w:sz w:val="24"/>
        </w:rPr>
        <w:t>________________________</w:t>
      </w:r>
    </w:p>
    <w:p w14:paraId="0C36A9A1" w14:textId="7D40A604" w:rsidR="00A47DF7" w:rsidRPr="00A47DF7" w:rsidRDefault="00176C7F" w:rsidP="00176C7F">
      <w:pPr>
        <w:pStyle w:val="ListParagraph"/>
        <w:ind w:left="6740"/>
        <w:rPr>
          <w:rFonts w:ascii="Arial" w:hAnsi="Arial" w:cs="Arial"/>
          <w:b/>
          <w:sz w:val="24"/>
        </w:rPr>
      </w:pPr>
      <w:r>
        <w:rPr>
          <w:rFonts w:ascii="Arial" w:hAnsi="Arial" w:cs="Arial"/>
          <w:b/>
          <w:sz w:val="24"/>
        </w:rPr>
        <w:t>A. CRUTCHFIELD</w:t>
      </w:r>
    </w:p>
    <w:p w14:paraId="480F38BF" w14:textId="77777777" w:rsidR="00A47DF7" w:rsidRPr="00C95FEB" w:rsidRDefault="00A47DF7" w:rsidP="00A47DF7">
      <w:pPr>
        <w:jc w:val="right"/>
        <w:rPr>
          <w:rFonts w:ascii="Arial" w:hAnsi="Arial" w:cs="Arial"/>
          <w:b/>
          <w:sz w:val="24"/>
        </w:rPr>
      </w:pPr>
      <w:r w:rsidRPr="00C95FEB">
        <w:rPr>
          <w:rFonts w:ascii="Arial" w:hAnsi="Arial" w:cs="Arial"/>
          <w:b/>
          <w:sz w:val="24"/>
        </w:rPr>
        <w:t>JUDGE OF THE HIGH COURT GAUTENG LOCAL DIVISION</w:t>
      </w:r>
    </w:p>
    <w:p w14:paraId="0B00CE62" w14:textId="77777777" w:rsidR="00A47DF7" w:rsidRPr="00C95FEB" w:rsidRDefault="00A47DF7" w:rsidP="00A47DF7">
      <w:pPr>
        <w:rPr>
          <w:sz w:val="24"/>
        </w:rPr>
      </w:pPr>
    </w:p>
    <w:p w14:paraId="38FA4BA9" w14:textId="238F66FE" w:rsidR="00A47DF7" w:rsidRPr="00176C7F" w:rsidRDefault="00A47DF7" w:rsidP="00A47DF7">
      <w:pPr>
        <w:spacing w:after="198" w:line="360" w:lineRule="auto"/>
        <w:ind w:left="-5"/>
        <w:rPr>
          <w:rFonts w:ascii="Arial" w:hAnsi="Arial" w:cs="Arial"/>
          <w:sz w:val="24"/>
          <w:szCs w:val="24"/>
        </w:rPr>
      </w:pPr>
      <w:r w:rsidRPr="00176C7F">
        <w:rPr>
          <w:rFonts w:ascii="Arial" w:hAnsi="Arial" w:cs="Arial"/>
          <w:sz w:val="24"/>
          <w:szCs w:val="24"/>
        </w:rPr>
        <w:t xml:space="preserve">Delivered:  This judgement was prepared and authored by the Judges whose name are reflected and is handed down electronically by circulation to the Parties/their legal representatives by email and by uploading it to the electronic file of this matter on CaseLines.  The date for hand-down is deemed to be </w:t>
      </w:r>
      <w:r w:rsidR="00AA044B">
        <w:rPr>
          <w:rFonts w:ascii="Arial" w:hAnsi="Arial" w:cs="Arial"/>
          <w:sz w:val="24"/>
          <w:szCs w:val="24"/>
        </w:rPr>
        <w:t xml:space="preserve">15 </w:t>
      </w:r>
      <w:r w:rsidRPr="00176C7F">
        <w:rPr>
          <w:rFonts w:ascii="Arial" w:hAnsi="Arial" w:cs="Arial"/>
          <w:sz w:val="24"/>
          <w:szCs w:val="24"/>
        </w:rPr>
        <w:t>April 2024</w:t>
      </w:r>
      <w:r w:rsidR="00B41597">
        <w:rPr>
          <w:rFonts w:ascii="Arial" w:hAnsi="Arial" w:cs="Arial"/>
          <w:sz w:val="24"/>
          <w:szCs w:val="24"/>
        </w:rPr>
        <w:t>.</w:t>
      </w:r>
      <w:r w:rsidRPr="00176C7F">
        <w:rPr>
          <w:rFonts w:ascii="Arial" w:hAnsi="Arial" w:cs="Arial"/>
          <w:b/>
          <w:i/>
          <w:sz w:val="24"/>
          <w:szCs w:val="24"/>
        </w:rPr>
        <w:t xml:space="preserve"> </w:t>
      </w:r>
    </w:p>
    <w:p w14:paraId="753565DD" w14:textId="77777777" w:rsidR="00A47DF7" w:rsidRPr="00C95FEB" w:rsidRDefault="00A47DF7" w:rsidP="00A47DF7">
      <w:pPr>
        <w:spacing w:line="240" w:lineRule="auto"/>
        <w:rPr>
          <w:rFonts w:cs="Arial"/>
          <w:u w:val="single"/>
        </w:rPr>
      </w:pPr>
    </w:p>
    <w:p w14:paraId="6DF688CC" w14:textId="77777777" w:rsidR="00AA044B" w:rsidRPr="00C95FEB" w:rsidRDefault="00AA044B" w:rsidP="00AA044B">
      <w:pPr>
        <w:spacing w:line="240" w:lineRule="auto"/>
        <w:rPr>
          <w:rFonts w:cs="Arial"/>
          <w:u w:val="single"/>
        </w:rPr>
      </w:pPr>
    </w:p>
    <w:p w14:paraId="25EAFC30" w14:textId="77777777" w:rsidR="00AA044B" w:rsidRPr="00C95FEB" w:rsidRDefault="00AA044B" w:rsidP="00AA044B">
      <w:pPr>
        <w:spacing w:before="240"/>
        <w:rPr>
          <w:rFonts w:ascii="Arial" w:hAnsi="Arial" w:cs="Arial"/>
          <w:sz w:val="24"/>
          <w:szCs w:val="24"/>
          <w:u w:val="single"/>
        </w:rPr>
      </w:pPr>
      <w:r w:rsidRPr="00C95FEB">
        <w:rPr>
          <w:rFonts w:ascii="Arial" w:hAnsi="Arial" w:cs="Arial"/>
          <w:sz w:val="24"/>
          <w:szCs w:val="24"/>
          <w:u w:val="single"/>
        </w:rPr>
        <w:t>APPEARANCES</w:t>
      </w:r>
    </w:p>
    <w:p w14:paraId="42D97D80" w14:textId="77777777" w:rsidR="00AA044B" w:rsidRPr="00C95FEB" w:rsidRDefault="00AA044B" w:rsidP="00AA044B">
      <w:pPr>
        <w:spacing w:before="240"/>
        <w:rPr>
          <w:rFonts w:ascii="Arial" w:hAnsi="Arial" w:cs="Arial"/>
          <w:sz w:val="24"/>
          <w:szCs w:val="24"/>
        </w:rPr>
      </w:pPr>
      <w:r w:rsidRPr="00C95FEB">
        <w:rPr>
          <w:rFonts w:ascii="Arial" w:hAnsi="Arial" w:cs="Arial"/>
          <w:sz w:val="24"/>
          <w:szCs w:val="24"/>
        </w:rPr>
        <w:t>Appellant</w:t>
      </w:r>
      <w:r>
        <w:rPr>
          <w:rFonts w:ascii="Arial" w:hAnsi="Arial" w:cs="Arial"/>
          <w:sz w:val="24"/>
          <w:szCs w:val="24"/>
        </w:rPr>
        <w:t>s</w:t>
      </w:r>
      <w:r w:rsidRPr="00C95FEB">
        <w:rPr>
          <w:rFonts w:ascii="Arial" w:hAnsi="Arial" w:cs="Arial"/>
          <w:sz w:val="24"/>
          <w:szCs w:val="24"/>
        </w:rPr>
        <w:t>’ Attorneys:</w:t>
      </w:r>
      <w:r w:rsidRPr="00C95FEB">
        <w:rPr>
          <w:rFonts w:ascii="Arial" w:hAnsi="Arial" w:cs="Arial"/>
          <w:sz w:val="24"/>
          <w:szCs w:val="24"/>
        </w:rPr>
        <w:tab/>
        <w:t xml:space="preserve">    </w:t>
      </w:r>
      <w:r>
        <w:rPr>
          <w:rFonts w:ascii="Arial" w:hAnsi="Arial" w:cs="Arial"/>
          <w:sz w:val="24"/>
          <w:szCs w:val="24"/>
        </w:rPr>
        <w:t>Jurgens Bekker Attorneys</w:t>
      </w:r>
      <w:r w:rsidRPr="00C95FEB">
        <w:rPr>
          <w:rFonts w:ascii="Arial" w:hAnsi="Arial" w:cs="Arial"/>
          <w:sz w:val="24"/>
          <w:szCs w:val="24"/>
        </w:rPr>
        <w:t xml:space="preserve">        </w:t>
      </w:r>
      <w:r w:rsidRPr="00C95FEB">
        <w:rPr>
          <w:rFonts w:ascii="Arial" w:hAnsi="Arial" w:cs="Arial"/>
          <w:sz w:val="24"/>
          <w:szCs w:val="24"/>
        </w:rPr>
        <w:tab/>
      </w:r>
    </w:p>
    <w:p w14:paraId="2CB07CF4" w14:textId="77777777" w:rsidR="00AA044B" w:rsidRDefault="00AA044B" w:rsidP="00AA044B">
      <w:pPr>
        <w:spacing w:before="240"/>
        <w:rPr>
          <w:rFonts w:ascii="Arial" w:hAnsi="Arial" w:cs="Arial"/>
          <w:sz w:val="24"/>
          <w:szCs w:val="24"/>
        </w:rPr>
      </w:pPr>
      <w:r w:rsidRPr="00C95FEB">
        <w:rPr>
          <w:rFonts w:ascii="Arial" w:hAnsi="Arial" w:cs="Arial"/>
          <w:sz w:val="24"/>
          <w:szCs w:val="24"/>
        </w:rPr>
        <w:t>Counsel for Appellant</w:t>
      </w:r>
      <w:r>
        <w:rPr>
          <w:rFonts w:ascii="Arial" w:hAnsi="Arial" w:cs="Arial"/>
          <w:sz w:val="24"/>
          <w:szCs w:val="24"/>
        </w:rPr>
        <w:t>s</w:t>
      </w:r>
      <w:r w:rsidRPr="00C95FEB">
        <w:rPr>
          <w:rFonts w:ascii="Arial" w:hAnsi="Arial" w:cs="Arial"/>
          <w:sz w:val="24"/>
          <w:szCs w:val="24"/>
        </w:rPr>
        <w:t xml:space="preserve">: </w:t>
      </w:r>
      <w:r w:rsidRPr="00C95FEB">
        <w:rPr>
          <w:rFonts w:ascii="Arial" w:hAnsi="Arial" w:cs="Arial"/>
          <w:sz w:val="24"/>
          <w:szCs w:val="24"/>
        </w:rPr>
        <w:tab/>
      </w:r>
      <w:r>
        <w:rPr>
          <w:rFonts w:ascii="Arial" w:hAnsi="Arial" w:cs="Arial"/>
          <w:sz w:val="24"/>
          <w:szCs w:val="24"/>
        </w:rPr>
        <w:t xml:space="preserve">    Adv G Kairinos SC</w:t>
      </w:r>
    </w:p>
    <w:p w14:paraId="09B6743C" w14:textId="77777777" w:rsidR="00AA044B" w:rsidRDefault="00AA044B" w:rsidP="00AA044B">
      <w:pPr>
        <w:spacing w:before="240"/>
        <w:rPr>
          <w:rFonts w:ascii="Arial" w:hAnsi="Arial" w:cs="Arial"/>
          <w:sz w:val="24"/>
          <w:szCs w:val="24"/>
        </w:rPr>
      </w:pPr>
      <w:r>
        <w:rPr>
          <w:rFonts w:ascii="Arial" w:hAnsi="Arial" w:cs="Arial"/>
          <w:sz w:val="24"/>
          <w:szCs w:val="24"/>
        </w:rPr>
        <w:t xml:space="preserve">                                               Adv B Stevens</w:t>
      </w:r>
      <w:r w:rsidRPr="00C95FEB">
        <w:rPr>
          <w:rFonts w:ascii="Arial" w:hAnsi="Arial" w:cs="Arial"/>
          <w:sz w:val="24"/>
          <w:szCs w:val="24"/>
        </w:rPr>
        <w:t xml:space="preserve">  </w:t>
      </w:r>
    </w:p>
    <w:p w14:paraId="3795E23C" w14:textId="77777777" w:rsidR="00AA044B" w:rsidRPr="00C95FEB" w:rsidRDefault="00AA044B" w:rsidP="00AA044B">
      <w:pPr>
        <w:spacing w:before="240"/>
        <w:rPr>
          <w:rFonts w:ascii="Arial" w:hAnsi="Arial" w:cs="Arial"/>
          <w:sz w:val="24"/>
          <w:szCs w:val="24"/>
        </w:rPr>
      </w:pPr>
      <w:r>
        <w:rPr>
          <w:rFonts w:ascii="Arial" w:hAnsi="Arial" w:cs="Arial"/>
          <w:sz w:val="24"/>
          <w:szCs w:val="24"/>
        </w:rPr>
        <w:t xml:space="preserve">                                              Adv K Madlwabinga</w:t>
      </w:r>
    </w:p>
    <w:p w14:paraId="0C14F9BB" w14:textId="77777777" w:rsidR="00AA044B" w:rsidRDefault="00AA044B" w:rsidP="00AA044B">
      <w:pPr>
        <w:keepNext/>
        <w:widowControl w:val="0"/>
        <w:spacing w:before="240"/>
        <w:rPr>
          <w:rFonts w:ascii="Arial" w:hAnsi="Arial" w:cs="Arial"/>
          <w:sz w:val="24"/>
          <w:szCs w:val="24"/>
        </w:rPr>
      </w:pPr>
      <w:r w:rsidRPr="00C95FEB">
        <w:rPr>
          <w:rFonts w:ascii="Arial" w:hAnsi="Arial" w:cs="Arial"/>
          <w:sz w:val="24"/>
          <w:szCs w:val="24"/>
        </w:rPr>
        <w:lastRenderedPageBreak/>
        <w:t>Respondents</w:t>
      </w:r>
      <w:r>
        <w:rPr>
          <w:rFonts w:ascii="Arial" w:hAnsi="Arial" w:cs="Arial"/>
          <w:sz w:val="24"/>
          <w:szCs w:val="24"/>
        </w:rPr>
        <w:t>’</w:t>
      </w:r>
      <w:r w:rsidRPr="00C95FEB">
        <w:rPr>
          <w:rFonts w:ascii="Arial" w:hAnsi="Arial" w:cs="Arial"/>
          <w:sz w:val="24"/>
          <w:szCs w:val="24"/>
        </w:rPr>
        <w:t xml:space="preserve"> Attorneys:         </w:t>
      </w:r>
      <w:r>
        <w:rPr>
          <w:rFonts w:ascii="Arial" w:hAnsi="Arial" w:cs="Arial"/>
          <w:sz w:val="24"/>
          <w:szCs w:val="24"/>
        </w:rPr>
        <w:t>Moodie &amp; Robertson</w:t>
      </w:r>
    </w:p>
    <w:p w14:paraId="1BBD3DEC" w14:textId="77777777" w:rsidR="00AA044B" w:rsidRPr="00C95FEB" w:rsidRDefault="00AA044B" w:rsidP="00AA044B">
      <w:pPr>
        <w:keepNext/>
        <w:widowControl w:val="0"/>
        <w:spacing w:before="240"/>
        <w:rPr>
          <w:rFonts w:ascii="Arial" w:hAnsi="Arial" w:cs="Arial"/>
          <w:sz w:val="24"/>
          <w:szCs w:val="24"/>
        </w:rPr>
      </w:pPr>
      <w:r>
        <w:rPr>
          <w:rFonts w:ascii="Arial" w:hAnsi="Arial" w:cs="Arial"/>
          <w:sz w:val="24"/>
          <w:szCs w:val="24"/>
        </w:rPr>
        <w:t>C</w:t>
      </w:r>
      <w:r w:rsidRPr="00C95FEB">
        <w:rPr>
          <w:rFonts w:ascii="Arial" w:hAnsi="Arial" w:cs="Arial"/>
          <w:sz w:val="24"/>
          <w:szCs w:val="24"/>
        </w:rPr>
        <w:t>ounsel for Respondent</w:t>
      </w:r>
      <w:r>
        <w:rPr>
          <w:rFonts w:ascii="Arial" w:hAnsi="Arial" w:cs="Arial"/>
          <w:sz w:val="24"/>
          <w:szCs w:val="24"/>
        </w:rPr>
        <w:t>s</w:t>
      </w:r>
      <w:r w:rsidRPr="00C95FEB">
        <w:rPr>
          <w:rFonts w:ascii="Arial" w:hAnsi="Arial" w:cs="Arial"/>
          <w:sz w:val="24"/>
          <w:szCs w:val="24"/>
        </w:rPr>
        <w:t xml:space="preserve">: </w:t>
      </w:r>
      <w:r>
        <w:rPr>
          <w:rFonts w:ascii="Arial" w:hAnsi="Arial" w:cs="Arial"/>
          <w:sz w:val="24"/>
          <w:szCs w:val="24"/>
        </w:rPr>
        <w:t xml:space="preserve">      Adv S Jackson</w:t>
      </w:r>
    </w:p>
    <w:p w14:paraId="45FD490C" w14:textId="77777777" w:rsidR="00AA044B" w:rsidRPr="00C95FEB" w:rsidRDefault="00AA044B" w:rsidP="00AA044B">
      <w:pPr>
        <w:spacing w:before="240"/>
        <w:rPr>
          <w:rFonts w:ascii="Arial" w:hAnsi="Arial" w:cs="Arial"/>
          <w:sz w:val="24"/>
          <w:szCs w:val="24"/>
        </w:rPr>
      </w:pPr>
      <w:r w:rsidRPr="00C95FEB">
        <w:rPr>
          <w:rFonts w:ascii="Arial" w:hAnsi="Arial" w:cs="Arial"/>
          <w:sz w:val="24"/>
          <w:szCs w:val="24"/>
        </w:rPr>
        <w:t>Date of hearing:</w:t>
      </w:r>
      <w:r w:rsidRPr="00C95FEB">
        <w:rPr>
          <w:rFonts w:ascii="Arial" w:hAnsi="Arial" w:cs="Arial"/>
          <w:sz w:val="24"/>
          <w:szCs w:val="24"/>
        </w:rPr>
        <w:tab/>
        <w:t xml:space="preserve">                </w:t>
      </w:r>
      <w:r>
        <w:rPr>
          <w:rFonts w:ascii="Arial" w:hAnsi="Arial" w:cs="Arial"/>
          <w:sz w:val="24"/>
          <w:szCs w:val="24"/>
        </w:rPr>
        <w:t>22</w:t>
      </w:r>
      <w:r w:rsidRPr="00C95FEB">
        <w:rPr>
          <w:rFonts w:ascii="Arial" w:hAnsi="Arial" w:cs="Arial"/>
          <w:sz w:val="24"/>
          <w:szCs w:val="24"/>
        </w:rPr>
        <w:t xml:space="preserve"> </w:t>
      </w:r>
      <w:r>
        <w:rPr>
          <w:rFonts w:ascii="Arial" w:hAnsi="Arial" w:cs="Arial"/>
          <w:sz w:val="24"/>
          <w:szCs w:val="24"/>
        </w:rPr>
        <w:t>November 2023</w:t>
      </w:r>
      <w:r w:rsidRPr="00C95FEB">
        <w:rPr>
          <w:rFonts w:ascii="Arial" w:hAnsi="Arial" w:cs="Arial"/>
          <w:sz w:val="24"/>
          <w:szCs w:val="24"/>
        </w:rPr>
        <w:t xml:space="preserve">                                                        </w:t>
      </w:r>
    </w:p>
    <w:p w14:paraId="20E821AF" w14:textId="09F16AC5" w:rsidR="00AA044B" w:rsidRPr="00397F0B" w:rsidRDefault="00AA044B" w:rsidP="00AA044B">
      <w:pPr>
        <w:spacing w:before="240"/>
        <w:rPr>
          <w:rFonts w:ascii="Arial" w:hAnsi="Arial" w:cs="Arial"/>
          <w:sz w:val="24"/>
          <w:szCs w:val="24"/>
        </w:rPr>
      </w:pPr>
      <w:r w:rsidRPr="00C95FEB">
        <w:rPr>
          <w:rFonts w:ascii="Arial" w:hAnsi="Arial" w:cs="Arial"/>
          <w:sz w:val="24"/>
          <w:szCs w:val="24"/>
        </w:rPr>
        <w:t>Date of judgment:</w:t>
      </w:r>
      <w:r w:rsidRPr="00C95FEB">
        <w:rPr>
          <w:rFonts w:ascii="Arial" w:hAnsi="Arial" w:cs="Arial"/>
          <w:sz w:val="24"/>
          <w:szCs w:val="24"/>
        </w:rPr>
        <w:tab/>
      </w:r>
      <w:r>
        <w:rPr>
          <w:rFonts w:ascii="Arial" w:hAnsi="Arial" w:cs="Arial"/>
          <w:sz w:val="24"/>
          <w:szCs w:val="24"/>
        </w:rPr>
        <w:t xml:space="preserve">                15 </w:t>
      </w:r>
      <w:r w:rsidRPr="00C95FEB">
        <w:rPr>
          <w:rFonts w:ascii="Arial" w:hAnsi="Arial" w:cs="Arial"/>
          <w:sz w:val="24"/>
          <w:szCs w:val="24"/>
        </w:rPr>
        <w:t>April 2024</w:t>
      </w:r>
      <w:r w:rsidRPr="00397F0B">
        <w:rPr>
          <w:rFonts w:ascii="Arial" w:hAnsi="Arial" w:cs="Arial"/>
          <w:sz w:val="24"/>
          <w:szCs w:val="24"/>
        </w:rPr>
        <w:t xml:space="preserve"> </w:t>
      </w:r>
    </w:p>
    <w:p w14:paraId="68BF4491" w14:textId="77777777" w:rsidR="00A47DF7" w:rsidRPr="001D31BF" w:rsidRDefault="00A47DF7" w:rsidP="00A47DF7">
      <w:pPr>
        <w:pStyle w:val="ListParagraph"/>
        <w:spacing w:before="240"/>
        <w:rPr>
          <w:rFonts w:ascii="Arial" w:hAnsi="Arial" w:cs="Arial"/>
          <w:sz w:val="24"/>
          <w:szCs w:val="24"/>
        </w:rPr>
      </w:pPr>
    </w:p>
    <w:p w14:paraId="03A658A4" w14:textId="77777777" w:rsidR="00A47DF7" w:rsidRPr="00D42335" w:rsidRDefault="00A47DF7" w:rsidP="00A47DF7">
      <w:pPr>
        <w:pStyle w:val="JudgmentNumbered0"/>
        <w:rPr>
          <w:spacing w:val="-2"/>
          <w:szCs w:val="24"/>
        </w:rPr>
      </w:pPr>
    </w:p>
    <w:p w14:paraId="570FF644" w14:textId="77777777" w:rsidR="00CC30CF" w:rsidRPr="003714D5" w:rsidRDefault="00CC30CF" w:rsidP="00003100">
      <w:pPr>
        <w:pStyle w:val="JudgmentNumbered0"/>
        <w:ind w:left="0" w:firstLine="0"/>
        <w:rPr>
          <w:spacing w:val="-2"/>
          <w:szCs w:val="24"/>
        </w:rPr>
      </w:pPr>
    </w:p>
    <w:sectPr w:rsidR="00CC30CF" w:rsidRPr="003714D5" w:rsidSect="0017524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0E7AA7" w14:textId="77777777" w:rsidR="0017524A" w:rsidRPr="00D42335" w:rsidRDefault="0017524A" w:rsidP="003714D5">
      <w:pPr>
        <w:spacing w:line="240" w:lineRule="auto"/>
      </w:pPr>
      <w:r w:rsidRPr="00D42335">
        <w:separator/>
      </w:r>
    </w:p>
  </w:endnote>
  <w:endnote w:type="continuationSeparator" w:id="0">
    <w:p w14:paraId="269788AD" w14:textId="77777777" w:rsidR="0017524A" w:rsidRPr="00D42335" w:rsidRDefault="0017524A" w:rsidP="003714D5">
      <w:pPr>
        <w:spacing w:line="240" w:lineRule="auto"/>
      </w:pPr>
      <w:r w:rsidRPr="00D4233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39515948"/>
      <w:docPartObj>
        <w:docPartGallery w:val="Page Numbers (Bottom of Page)"/>
        <w:docPartUnique/>
      </w:docPartObj>
    </w:sdtPr>
    <w:sdtContent>
      <w:p w14:paraId="63663E1D" w14:textId="77777777" w:rsidR="00C32B86" w:rsidRPr="00D42335" w:rsidRDefault="001F4ECF" w:rsidP="00375A7E">
        <w:pPr>
          <w:pStyle w:val="Footer"/>
          <w:framePr w:wrap="none" w:vAnchor="text" w:hAnchor="margin" w:xAlign="right" w:y="1"/>
          <w:rPr>
            <w:rStyle w:val="PageNumber"/>
          </w:rPr>
        </w:pPr>
        <w:r w:rsidRPr="00D42335">
          <w:rPr>
            <w:rStyle w:val="PageNumber"/>
          </w:rPr>
          <w:fldChar w:fldCharType="begin"/>
        </w:r>
        <w:r w:rsidRPr="00D42335">
          <w:rPr>
            <w:rStyle w:val="PageNumber"/>
          </w:rPr>
          <w:instrText xml:space="preserve"> PAGE </w:instrText>
        </w:r>
        <w:r w:rsidRPr="00D42335">
          <w:rPr>
            <w:rStyle w:val="PageNumber"/>
          </w:rPr>
          <w:fldChar w:fldCharType="end"/>
        </w:r>
      </w:p>
    </w:sdtContent>
  </w:sdt>
  <w:p w14:paraId="6469BD81" w14:textId="77777777" w:rsidR="00C32B86" w:rsidRPr="00D42335" w:rsidRDefault="00C32B86" w:rsidP="000062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sz w:val="24"/>
        <w:szCs w:val="21"/>
      </w:rPr>
      <w:id w:val="501014805"/>
      <w:docPartObj>
        <w:docPartGallery w:val="Page Numbers (Bottom of Page)"/>
        <w:docPartUnique/>
      </w:docPartObj>
    </w:sdtPr>
    <w:sdtContent>
      <w:p w14:paraId="2B6B15D3" w14:textId="4D893B64" w:rsidR="00C32B86" w:rsidRPr="00D42335" w:rsidRDefault="001F4ECF" w:rsidP="00375A7E">
        <w:pPr>
          <w:pStyle w:val="Footer"/>
          <w:framePr w:wrap="none" w:vAnchor="text" w:hAnchor="margin" w:xAlign="right" w:y="1"/>
          <w:rPr>
            <w:rStyle w:val="PageNumber"/>
            <w:rFonts w:ascii="Arial" w:hAnsi="Arial" w:cs="Arial"/>
            <w:sz w:val="24"/>
            <w:szCs w:val="21"/>
          </w:rPr>
        </w:pPr>
        <w:r w:rsidRPr="00D42335">
          <w:rPr>
            <w:rStyle w:val="PageNumber"/>
            <w:rFonts w:ascii="Arial" w:hAnsi="Arial" w:cs="Arial"/>
            <w:sz w:val="24"/>
            <w:szCs w:val="21"/>
          </w:rPr>
          <w:fldChar w:fldCharType="begin"/>
        </w:r>
        <w:r w:rsidRPr="00D42335">
          <w:rPr>
            <w:rStyle w:val="PageNumber"/>
            <w:rFonts w:ascii="Arial" w:hAnsi="Arial" w:cs="Arial"/>
            <w:sz w:val="24"/>
            <w:szCs w:val="21"/>
          </w:rPr>
          <w:instrText xml:space="preserve"> PAGE </w:instrText>
        </w:r>
        <w:r w:rsidRPr="00D42335">
          <w:rPr>
            <w:rStyle w:val="PageNumber"/>
            <w:rFonts w:ascii="Arial" w:hAnsi="Arial" w:cs="Arial"/>
            <w:sz w:val="24"/>
            <w:szCs w:val="21"/>
          </w:rPr>
          <w:fldChar w:fldCharType="separate"/>
        </w:r>
        <w:r w:rsidR="00351069">
          <w:rPr>
            <w:rStyle w:val="PageNumber"/>
            <w:rFonts w:ascii="Arial" w:hAnsi="Arial" w:cs="Arial"/>
            <w:noProof/>
            <w:sz w:val="24"/>
            <w:szCs w:val="21"/>
          </w:rPr>
          <w:t>9</w:t>
        </w:r>
        <w:r w:rsidRPr="00D42335">
          <w:rPr>
            <w:rStyle w:val="PageNumber"/>
            <w:rFonts w:ascii="Arial" w:hAnsi="Arial" w:cs="Arial"/>
            <w:sz w:val="24"/>
            <w:szCs w:val="21"/>
          </w:rPr>
          <w:fldChar w:fldCharType="end"/>
        </w:r>
      </w:p>
    </w:sdtContent>
  </w:sdt>
  <w:p w14:paraId="4631166B" w14:textId="77777777" w:rsidR="00C32B86" w:rsidRPr="00D42335" w:rsidRDefault="00C32B86" w:rsidP="0087217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EA14A" w14:textId="77777777" w:rsidR="00C32B86" w:rsidRPr="00D42335" w:rsidRDefault="00C32B86" w:rsidP="00F859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9A250" w14:textId="77777777" w:rsidR="0017524A" w:rsidRPr="00D42335" w:rsidRDefault="0017524A" w:rsidP="003714D5">
      <w:pPr>
        <w:spacing w:line="240" w:lineRule="auto"/>
      </w:pPr>
      <w:r w:rsidRPr="00D42335">
        <w:separator/>
      </w:r>
    </w:p>
  </w:footnote>
  <w:footnote w:type="continuationSeparator" w:id="0">
    <w:p w14:paraId="3D4950FE" w14:textId="77777777" w:rsidR="0017524A" w:rsidRPr="00D42335" w:rsidRDefault="0017524A" w:rsidP="003714D5">
      <w:pPr>
        <w:spacing w:line="240" w:lineRule="auto"/>
      </w:pPr>
      <w:r w:rsidRPr="00D42335">
        <w:continuationSeparator/>
      </w:r>
    </w:p>
  </w:footnote>
  <w:footnote w:id="1">
    <w:p w14:paraId="32A7FD9C" w14:textId="2EDD37D7" w:rsidR="006B0969" w:rsidRPr="006B0969" w:rsidRDefault="006B0969">
      <w:pPr>
        <w:pStyle w:val="FootnoteText"/>
        <w:rPr>
          <w:rFonts w:ascii="Arial" w:hAnsi="Arial" w:cs="Arial"/>
        </w:rPr>
      </w:pPr>
      <w:r w:rsidRPr="006B0969">
        <w:rPr>
          <w:rStyle w:val="FootnoteReference"/>
          <w:rFonts w:ascii="Arial" w:hAnsi="Arial" w:cs="Arial"/>
        </w:rPr>
        <w:footnoteRef/>
      </w:r>
      <w:r w:rsidRPr="006B0969">
        <w:rPr>
          <w:rFonts w:ascii="Arial" w:hAnsi="Arial" w:cs="Arial"/>
        </w:rPr>
        <w:t xml:space="preserve"> Provincial Gazettes No 16 Notice No 1610 of 1999</w:t>
      </w:r>
      <w:r w:rsidR="002E34FE">
        <w:rPr>
          <w:rFonts w:ascii="Arial" w:hAnsi="Arial" w:cs="Arial"/>
        </w:rPr>
        <w:t>.</w:t>
      </w:r>
      <w:r w:rsidRPr="006B0969">
        <w:rPr>
          <w:rFonts w:ascii="Arial" w:hAnsi="Arial" w:cs="Arial"/>
        </w:rPr>
        <w:t xml:space="preserve"> </w:t>
      </w:r>
    </w:p>
  </w:footnote>
  <w:footnote w:id="2">
    <w:p w14:paraId="4C00AA43" w14:textId="77777777" w:rsidR="003537FA" w:rsidRPr="00D42335" w:rsidRDefault="003537FA" w:rsidP="003537FA">
      <w:pPr>
        <w:pStyle w:val="FootnoteText"/>
        <w:rPr>
          <w:rFonts w:ascii="Arial" w:hAnsi="Arial" w:cs="Arial"/>
        </w:rPr>
      </w:pPr>
      <w:r w:rsidRPr="00D42335">
        <w:rPr>
          <w:rStyle w:val="FootnoteReference"/>
          <w:rFonts w:ascii="Arial" w:hAnsi="Arial" w:cs="Arial"/>
        </w:rPr>
        <w:footnoteRef/>
      </w:r>
      <w:r w:rsidRPr="00D42335">
        <w:rPr>
          <w:rFonts w:ascii="Arial" w:hAnsi="Arial" w:cs="Arial"/>
        </w:rPr>
        <w:t xml:space="preserve"> 56 of 2003.</w:t>
      </w:r>
    </w:p>
  </w:footnote>
  <w:footnote w:id="3">
    <w:p w14:paraId="5090BBE8" w14:textId="77777777" w:rsidR="003537FA" w:rsidRDefault="003537FA" w:rsidP="003537FA">
      <w:pPr>
        <w:pStyle w:val="FootnoteText"/>
      </w:pPr>
      <w:r w:rsidRPr="00D42335">
        <w:rPr>
          <w:rStyle w:val="FootnoteReference"/>
          <w:rFonts w:ascii="Arial" w:hAnsi="Arial" w:cs="Arial"/>
        </w:rPr>
        <w:footnoteRef/>
      </w:r>
      <w:r w:rsidRPr="00D42335">
        <w:rPr>
          <w:rFonts w:ascii="Arial" w:hAnsi="Arial" w:cs="Arial"/>
        </w:rPr>
        <w:t xml:space="preserve"> 32 of 2000.</w:t>
      </w:r>
    </w:p>
  </w:footnote>
  <w:footnote w:id="4">
    <w:p w14:paraId="7C203C05" w14:textId="77B40BBE" w:rsidR="00FB6D57" w:rsidRPr="002E34FE" w:rsidRDefault="00FB6D57">
      <w:pPr>
        <w:pStyle w:val="FootnoteText"/>
        <w:rPr>
          <w:rFonts w:ascii="Arial" w:hAnsi="Arial" w:cs="Arial"/>
        </w:rPr>
      </w:pPr>
      <w:r w:rsidRPr="002E34FE">
        <w:rPr>
          <w:rStyle w:val="FootnoteReference"/>
          <w:rFonts w:ascii="Arial" w:hAnsi="Arial" w:cs="Arial"/>
        </w:rPr>
        <w:footnoteRef/>
      </w:r>
      <w:r w:rsidRPr="002E34FE">
        <w:rPr>
          <w:rFonts w:ascii="Arial" w:hAnsi="Arial" w:cs="Arial"/>
        </w:rPr>
        <w:t xml:space="preserve"> </w:t>
      </w:r>
      <w:r w:rsidRPr="002E34FE">
        <w:rPr>
          <w:rFonts w:ascii="Arial" w:hAnsi="Arial" w:cs="Arial"/>
          <w:spacing w:val="-2"/>
          <w:szCs w:val="24"/>
        </w:rPr>
        <w:t>4 of 2006</w:t>
      </w:r>
      <w:r w:rsidR="002E34FE">
        <w:rPr>
          <w:rFonts w:ascii="Arial" w:hAnsi="Arial" w:cs="Arial"/>
          <w:spacing w:val="-2"/>
          <w:szCs w:val="24"/>
        </w:rPr>
        <w:t>.</w:t>
      </w:r>
    </w:p>
  </w:footnote>
  <w:footnote w:id="5">
    <w:p w14:paraId="05B98168" w14:textId="5B99DD91" w:rsidR="002B3B5A" w:rsidRPr="00CD269F" w:rsidRDefault="002B3B5A">
      <w:pPr>
        <w:pStyle w:val="FootnoteText"/>
        <w:rPr>
          <w:rFonts w:ascii="Arial" w:hAnsi="Arial" w:cs="Arial"/>
        </w:rPr>
      </w:pPr>
      <w:r>
        <w:rPr>
          <w:rStyle w:val="FootnoteReference"/>
        </w:rPr>
        <w:footnoteRef/>
      </w:r>
      <w:r>
        <w:t xml:space="preserve"> </w:t>
      </w:r>
      <w:r w:rsidR="001B0CA5" w:rsidRPr="00CD269F">
        <w:rPr>
          <w:rFonts w:ascii="Arial" w:hAnsi="Arial" w:cs="Arial"/>
        </w:rPr>
        <w:t>Section 156 (2) of the Constitution states:</w:t>
      </w:r>
      <w:r w:rsidR="001B7DA2" w:rsidRPr="00CD269F">
        <w:rPr>
          <w:rFonts w:ascii="Arial" w:hAnsi="Arial" w:cs="Arial"/>
          <w:color w:val="1F1F1F"/>
          <w:shd w:val="clear" w:color="auto" w:fill="FFFFFF"/>
        </w:rPr>
        <w:t xml:space="preserve"> P</w:t>
      </w:r>
      <w:r w:rsidR="001B7DA2" w:rsidRPr="00CD269F">
        <w:rPr>
          <w:rStyle w:val="d9fyld"/>
          <w:rFonts w:ascii="Arial" w:hAnsi="Arial" w:cs="Arial"/>
          <w:color w:val="1F1F1F"/>
          <w:shd w:val="clear" w:color="auto" w:fill="FFFFFF"/>
        </w:rPr>
        <w:t>owers and functions of municipalities</w:t>
      </w:r>
      <w:r w:rsidR="001B7DA2" w:rsidRPr="00CD269F">
        <w:rPr>
          <w:rStyle w:val="hgkelc"/>
          <w:rFonts w:ascii="Arial" w:hAnsi="Arial" w:cs="Arial"/>
          <w:color w:val="1F1F1F"/>
          <w:shd w:val="clear" w:color="auto" w:fill="FFFFFF"/>
        </w:rPr>
        <w:t>156. (1) A municipality has executive authority in respect of, and has the right to administer— (a) the local government matters listed in Part B of Schedule 4 and Part B of Schedule 5; and (b) any other matter assigned to it by national or provincial legislation.</w:t>
      </w:r>
    </w:p>
  </w:footnote>
  <w:footnote w:id="6">
    <w:p w14:paraId="384C67CA" w14:textId="6D0E5DF1" w:rsidR="007C25BF" w:rsidRPr="00CD269F" w:rsidRDefault="007C25BF">
      <w:pPr>
        <w:pStyle w:val="FootnoteText"/>
        <w:rPr>
          <w:rFonts w:ascii="Arial" w:hAnsi="Arial" w:cs="Arial"/>
        </w:rPr>
      </w:pPr>
      <w:r w:rsidRPr="00CD269F">
        <w:rPr>
          <w:rStyle w:val="FootnoteReference"/>
          <w:rFonts w:ascii="Arial" w:hAnsi="Arial" w:cs="Arial"/>
        </w:rPr>
        <w:footnoteRef/>
      </w:r>
      <w:r w:rsidRPr="00CD269F">
        <w:rPr>
          <w:rFonts w:ascii="Arial" w:hAnsi="Arial" w:cs="Arial"/>
        </w:rPr>
        <w:t xml:space="preserve"> </w:t>
      </w:r>
      <w:r w:rsidR="002B3B5A" w:rsidRPr="00CD269F">
        <w:rPr>
          <w:rFonts w:ascii="Arial" w:hAnsi="Arial" w:cs="Arial"/>
        </w:rPr>
        <w:t>Section 11(3)(m) of the Systems Act 32 of 2000  provides that a municipality exercises its executive authority by inter alia: (e) Implementing applicable national and provincial legislation and</w:t>
      </w:r>
      <w:r w:rsidR="001B0CA5" w:rsidRPr="00CD269F">
        <w:rPr>
          <w:rFonts w:ascii="Arial" w:hAnsi="Arial" w:cs="Arial"/>
        </w:rPr>
        <w:t xml:space="preserve"> </w:t>
      </w:r>
      <w:r w:rsidR="002B3B5A" w:rsidRPr="00CD269F">
        <w:rPr>
          <w:rFonts w:ascii="Arial" w:hAnsi="Arial" w:cs="Arial"/>
        </w:rPr>
        <w:t>its by- laws ... (i) imposing and recovering rates, taxes, levies, duties, service fees and surcharges on fees including setting and implementing tariffs, rates and taxes and debt collection policies and ... (m) passing by-laws and taking decisions on any of the abovementioned matters.</w:t>
      </w:r>
    </w:p>
  </w:footnote>
  <w:footnote w:id="7">
    <w:p w14:paraId="50BB5276" w14:textId="5B36E1CE" w:rsidR="00CD269F" w:rsidRDefault="00CD269F">
      <w:pPr>
        <w:pStyle w:val="FootnoteText"/>
      </w:pPr>
      <w:r w:rsidRPr="00CD269F">
        <w:rPr>
          <w:rStyle w:val="FootnoteReference"/>
          <w:rFonts w:ascii="Arial" w:hAnsi="Arial" w:cs="Arial"/>
        </w:rPr>
        <w:footnoteRef/>
      </w:r>
      <w:r w:rsidRPr="00CD269F">
        <w:rPr>
          <w:rFonts w:ascii="Arial" w:hAnsi="Arial" w:cs="Arial"/>
        </w:rPr>
        <w:t xml:space="preserve"> As approved by the City Council in September 2008.</w:t>
      </w:r>
    </w:p>
  </w:footnote>
  <w:footnote w:id="8">
    <w:p w14:paraId="576D74D0" w14:textId="32D6E6E4" w:rsidR="00CC30CF" w:rsidRPr="0044448F" w:rsidRDefault="00CC30CF" w:rsidP="005D6A6F">
      <w:pPr>
        <w:spacing w:line="240" w:lineRule="auto"/>
        <w:jc w:val="left"/>
        <w:rPr>
          <w:rFonts w:ascii="Arial" w:eastAsia="Times New Roman" w:hAnsi="Arial" w:cs="Arial"/>
          <w:color w:val="000000"/>
          <w:sz w:val="20"/>
          <w:szCs w:val="20"/>
          <w:lang w:val="en-ZA" w:eastAsia="en-ZA"/>
        </w:rPr>
      </w:pPr>
      <w:r w:rsidRPr="0044448F">
        <w:rPr>
          <w:rStyle w:val="FootnoteReference"/>
          <w:rFonts w:ascii="Arial" w:hAnsi="Arial" w:cs="Arial"/>
          <w:sz w:val="20"/>
          <w:szCs w:val="20"/>
        </w:rPr>
        <w:footnoteRef/>
      </w:r>
      <w:r w:rsidRPr="0044448F">
        <w:rPr>
          <w:rFonts w:ascii="Arial" w:hAnsi="Arial" w:cs="Arial"/>
          <w:sz w:val="20"/>
          <w:szCs w:val="20"/>
        </w:rPr>
        <w:t xml:space="preserve"> </w:t>
      </w:r>
      <w:r w:rsidRPr="0044448F">
        <w:rPr>
          <w:rFonts w:ascii="Arial" w:hAnsi="Arial" w:cs="Arial"/>
          <w:i/>
          <w:iCs/>
          <w:spacing w:val="-2"/>
          <w:sz w:val="20"/>
          <w:szCs w:val="20"/>
        </w:rPr>
        <w:t>S v de Jager</w:t>
      </w:r>
      <w:r w:rsidRPr="0044448F">
        <w:rPr>
          <w:rFonts w:ascii="Arial" w:hAnsi="Arial" w:cs="Arial"/>
          <w:spacing w:val="-2"/>
          <w:sz w:val="20"/>
          <w:szCs w:val="20"/>
        </w:rPr>
        <w:t xml:space="preserve"> 1965 (2) SA 612 (A) at 613C-D; </w:t>
      </w:r>
      <w:r w:rsidRPr="0044448F">
        <w:rPr>
          <w:rFonts w:ascii="Arial" w:hAnsi="Arial" w:cs="Arial"/>
          <w:i/>
          <w:iCs/>
          <w:spacing w:val="-2"/>
          <w:sz w:val="20"/>
          <w:szCs w:val="20"/>
        </w:rPr>
        <w:t>S v Ndweni &amp; others</w:t>
      </w:r>
      <w:r w:rsidRPr="0044448F">
        <w:rPr>
          <w:rFonts w:ascii="Arial" w:hAnsi="Arial" w:cs="Arial"/>
          <w:spacing w:val="-2"/>
          <w:sz w:val="20"/>
          <w:szCs w:val="20"/>
        </w:rPr>
        <w:t xml:space="preserve"> 1999 (4) SA 877 (SCA) at 880D</w:t>
      </w:r>
      <w:r w:rsidR="005D6A6F" w:rsidRPr="0044448F">
        <w:rPr>
          <w:rFonts w:ascii="Arial" w:hAnsi="Arial" w:cs="Arial"/>
          <w:spacing w:val="-2"/>
          <w:sz w:val="20"/>
          <w:szCs w:val="20"/>
        </w:rPr>
        <w:t xml:space="preserve">. See also </w:t>
      </w:r>
      <w:r w:rsidR="005D6A6F" w:rsidRPr="0044448F">
        <w:rPr>
          <w:rFonts w:ascii="Arial" w:hAnsi="Arial" w:cs="Arial"/>
          <w:i/>
          <w:iCs/>
          <w:spacing w:val="-2"/>
          <w:sz w:val="20"/>
          <w:szCs w:val="20"/>
        </w:rPr>
        <w:t>S v Liesching and Others</w:t>
      </w:r>
      <w:r w:rsidR="005D6A6F" w:rsidRPr="0044448F">
        <w:rPr>
          <w:rFonts w:ascii="Arial" w:hAnsi="Arial" w:cs="Arial"/>
          <w:spacing w:val="-2"/>
          <w:sz w:val="20"/>
          <w:szCs w:val="20"/>
        </w:rPr>
        <w:t xml:space="preserve"> 2019 (4) SA 219 (CC) at 63 B-D.</w:t>
      </w:r>
      <w:r w:rsidR="005D6A6F" w:rsidRPr="0044448F">
        <w:rPr>
          <w:rFonts w:ascii="Arial" w:hAnsi="Arial" w:cs="Arial"/>
          <w:color w:val="000000"/>
          <w:sz w:val="20"/>
          <w:szCs w:val="20"/>
        </w:rPr>
        <w:t xml:space="preserve"> </w:t>
      </w:r>
    </w:p>
  </w:footnote>
  <w:footnote w:id="9">
    <w:p w14:paraId="515F8F50" w14:textId="31EA8F51" w:rsidR="0044448F" w:rsidRDefault="0044448F">
      <w:pPr>
        <w:pStyle w:val="FootnoteText"/>
      </w:pPr>
      <w:r w:rsidRPr="0044448F">
        <w:rPr>
          <w:rStyle w:val="FootnoteReference"/>
          <w:rFonts w:ascii="Arial" w:hAnsi="Arial" w:cs="Arial"/>
        </w:rPr>
        <w:footnoteRef/>
      </w:r>
      <w:r w:rsidRPr="0044448F">
        <w:rPr>
          <w:rFonts w:ascii="Arial" w:hAnsi="Arial" w:cs="Arial"/>
        </w:rPr>
        <w:t xml:space="preserve"> </w:t>
      </w:r>
      <w:r w:rsidRPr="0044448F">
        <w:rPr>
          <w:rFonts w:ascii="Arial" w:eastAsia="Times New Roman" w:hAnsi="Arial" w:cs="Arial"/>
          <w:color w:val="000000"/>
          <w:szCs w:val="24"/>
          <w:lang w:eastAsia="en-ZA"/>
        </w:rPr>
        <w:t>10 of 2013</w:t>
      </w:r>
      <w:r>
        <w:rPr>
          <w:rFonts w:ascii="Arial" w:eastAsia="Times New Roman" w:hAnsi="Arial" w:cs="Arial"/>
          <w:color w:val="000000"/>
          <w:szCs w:val="24"/>
          <w:lang w:eastAsia="en-ZA"/>
        </w:rPr>
        <w:t>.</w:t>
      </w:r>
    </w:p>
  </w:footnote>
  <w:footnote w:id="10">
    <w:p w14:paraId="7703FF24" w14:textId="177BF803" w:rsidR="005D6A6F" w:rsidRPr="005D6A6F" w:rsidRDefault="005D6A6F" w:rsidP="005D6A6F">
      <w:pPr>
        <w:spacing w:line="240" w:lineRule="auto"/>
        <w:jc w:val="left"/>
        <w:rPr>
          <w:rFonts w:ascii="Arial" w:eastAsia="Times New Roman" w:hAnsi="Arial" w:cs="Arial"/>
          <w:color w:val="000000"/>
          <w:sz w:val="20"/>
          <w:szCs w:val="20"/>
          <w:lang w:val="en-ZA" w:eastAsia="en-ZA"/>
        </w:rPr>
      </w:pPr>
      <w:r w:rsidRPr="005D6A6F">
        <w:rPr>
          <w:rStyle w:val="FootnoteReference"/>
          <w:rFonts w:ascii="Arial" w:hAnsi="Arial" w:cs="Arial"/>
          <w:sz w:val="20"/>
          <w:szCs w:val="20"/>
        </w:rPr>
        <w:footnoteRef/>
      </w:r>
      <w:r w:rsidRPr="005D6A6F">
        <w:rPr>
          <w:rFonts w:ascii="Arial" w:hAnsi="Arial" w:cs="Arial"/>
          <w:sz w:val="20"/>
          <w:szCs w:val="20"/>
        </w:rPr>
        <w:t xml:space="preserve"> </w:t>
      </w:r>
      <w:r w:rsidRPr="002D7A37">
        <w:rPr>
          <w:rFonts w:ascii="Arial" w:eastAsia="Times New Roman" w:hAnsi="Arial" w:cs="Arial"/>
          <w:i/>
          <w:iCs/>
          <w:color w:val="000000"/>
          <w:sz w:val="20"/>
          <w:szCs w:val="20"/>
          <w:lang w:val="en-ZA" w:eastAsia="en-ZA"/>
        </w:rPr>
        <w:t>Koch NO and Another v Ad Hoc Central Authority, Sout</w:t>
      </w:r>
      <w:r w:rsidR="00E44F68">
        <w:rPr>
          <w:rFonts w:ascii="Arial" w:eastAsia="Times New Roman" w:hAnsi="Arial" w:cs="Arial"/>
          <w:i/>
          <w:iCs/>
          <w:color w:val="000000"/>
          <w:sz w:val="20"/>
          <w:szCs w:val="20"/>
          <w:lang w:val="en-ZA" w:eastAsia="en-ZA"/>
        </w:rPr>
        <w:t>h</w:t>
      </w:r>
      <w:r w:rsidRPr="002D7A37">
        <w:rPr>
          <w:rFonts w:ascii="Arial" w:eastAsia="Times New Roman" w:hAnsi="Arial" w:cs="Arial"/>
          <w:i/>
          <w:iCs/>
          <w:color w:val="000000"/>
          <w:sz w:val="20"/>
          <w:szCs w:val="20"/>
          <w:lang w:val="en-ZA" w:eastAsia="en-ZA"/>
        </w:rPr>
        <w:t xml:space="preserve"> Africa and Another</w:t>
      </w:r>
      <w:r>
        <w:rPr>
          <w:rFonts w:ascii="Arial" w:eastAsia="Times New Roman" w:hAnsi="Arial" w:cs="Arial"/>
          <w:color w:val="000000"/>
          <w:sz w:val="20"/>
          <w:szCs w:val="20"/>
          <w:lang w:val="en-ZA" w:eastAsia="en-ZA"/>
        </w:rPr>
        <w:t xml:space="preserve"> </w:t>
      </w:r>
      <w:r w:rsidRPr="005D6A6F">
        <w:rPr>
          <w:rFonts w:ascii="Arial" w:eastAsia="Times New Roman" w:hAnsi="Arial" w:cs="Arial"/>
          <w:color w:val="000000"/>
          <w:sz w:val="20"/>
          <w:szCs w:val="20"/>
          <w:lang w:val="en-ZA" w:eastAsia="en-ZA"/>
        </w:rPr>
        <w:t xml:space="preserve">2022 (6) SA 323 (SCA) para [25] </w:t>
      </w:r>
    </w:p>
    <w:p w14:paraId="4DF2BE8D" w14:textId="6F5FF5FF" w:rsidR="005D6A6F" w:rsidRDefault="005D6A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70B44" w14:textId="77777777" w:rsidR="00C32B86" w:rsidRPr="00D42335" w:rsidRDefault="00C32B86" w:rsidP="00CA56F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620AD"/>
    <w:multiLevelType w:val="hybridMultilevel"/>
    <w:tmpl w:val="C5003346"/>
    <w:lvl w:ilvl="0" w:tplc="1C090015">
      <w:start w:val="1"/>
      <w:numFmt w:val="upperLetter"/>
      <w:lvlText w:val="%1."/>
      <w:lvlJc w:val="left"/>
      <w:pPr>
        <w:ind w:left="6740" w:hanging="360"/>
      </w:pPr>
      <w:rPr>
        <w:rFonts w:hint="default"/>
      </w:rPr>
    </w:lvl>
    <w:lvl w:ilvl="1" w:tplc="1C090019" w:tentative="1">
      <w:start w:val="1"/>
      <w:numFmt w:val="lowerLetter"/>
      <w:lvlText w:val="%2."/>
      <w:lvlJc w:val="left"/>
      <w:pPr>
        <w:ind w:left="7460" w:hanging="360"/>
      </w:pPr>
    </w:lvl>
    <w:lvl w:ilvl="2" w:tplc="1C09001B" w:tentative="1">
      <w:start w:val="1"/>
      <w:numFmt w:val="lowerRoman"/>
      <w:lvlText w:val="%3."/>
      <w:lvlJc w:val="right"/>
      <w:pPr>
        <w:ind w:left="8180" w:hanging="180"/>
      </w:pPr>
    </w:lvl>
    <w:lvl w:ilvl="3" w:tplc="1C09000F" w:tentative="1">
      <w:start w:val="1"/>
      <w:numFmt w:val="decimal"/>
      <w:lvlText w:val="%4."/>
      <w:lvlJc w:val="left"/>
      <w:pPr>
        <w:ind w:left="8900" w:hanging="360"/>
      </w:pPr>
    </w:lvl>
    <w:lvl w:ilvl="4" w:tplc="1C090019" w:tentative="1">
      <w:start w:val="1"/>
      <w:numFmt w:val="lowerLetter"/>
      <w:lvlText w:val="%5."/>
      <w:lvlJc w:val="left"/>
      <w:pPr>
        <w:ind w:left="9620" w:hanging="360"/>
      </w:pPr>
    </w:lvl>
    <w:lvl w:ilvl="5" w:tplc="1C09001B" w:tentative="1">
      <w:start w:val="1"/>
      <w:numFmt w:val="lowerRoman"/>
      <w:lvlText w:val="%6."/>
      <w:lvlJc w:val="right"/>
      <w:pPr>
        <w:ind w:left="10340" w:hanging="180"/>
      </w:pPr>
    </w:lvl>
    <w:lvl w:ilvl="6" w:tplc="1C09000F" w:tentative="1">
      <w:start w:val="1"/>
      <w:numFmt w:val="decimal"/>
      <w:lvlText w:val="%7."/>
      <w:lvlJc w:val="left"/>
      <w:pPr>
        <w:ind w:left="11060" w:hanging="360"/>
      </w:pPr>
    </w:lvl>
    <w:lvl w:ilvl="7" w:tplc="1C090019" w:tentative="1">
      <w:start w:val="1"/>
      <w:numFmt w:val="lowerLetter"/>
      <w:lvlText w:val="%8."/>
      <w:lvlJc w:val="left"/>
      <w:pPr>
        <w:ind w:left="11780" w:hanging="360"/>
      </w:pPr>
    </w:lvl>
    <w:lvl w:ilvl="8" w:tplc="1C09001B" w:tentative="1">
      <w:start w:val="1"/>
      <w:numFmt w:val="lowerRoman"/>
      <w:lvlText w:val="%9."/>
      <w:lvlJc w:val="right"/>
      <w:pPr>
        <w:ind w:left="12500" w:hanging="180"/>
      </w:pPr>
    </w:lvl>
  </w:abstractNum>
  <w:abstractNum w:abstractNumId="1" w15:restartNumberingAfterBreak="0">
    <w:nsid w:val="095A7A26"/>
    <w:multiLevelType w:val="hybridMultilevel"/>
    <w:tmpl w:val="08BEC55A"/>
    <w:lvl w:ilvl="0" w:tplc="C958F2CC">
      <w:start w:val="1"/>
      <w:numFmt w:val="decimal"/>
      <w:lvlText w:val="[%1]"/>
      <w:lvlJc w:val="left"/>
      <w:pPr>
        <w:ind w:left="63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3EB561DA"/>
    <w:multiLevelType w:val="hybridMultilevel"/>
    <w:tmpl w:val="C5003346"/>
    <w:lvl w:ilvl="0" w:tplc="FFFFFFFF">
      <w:start w:val="1"/>
      <w:numFmt w:val="upperLetter"/>
      <w:lvlText w:val="%1."/>
      <w:lvlJc w:val="left"/>
      <w:pPr>
        <w:ind w:left="6740" w:hanging="360"/>
      </w:pPr>
      <w:rPr>
        <w:rFonts w:hint="default"/>
      </w:rPr>
    </w:lvl>
    <w:lvl w:ilvl="1" w:tplc="FFFFFFFF" w:tentative="1">
      <w:start w:val="1"/>
      <w:numFmt w:val="lowerLetter"/>
      <w:lvlText w:val="%2."/>
      <w:lvlJc w:val="left"/>
      <w:pPr>
        <w:ind w:left="7460" w:hanging="360"/>
      </w:pPr>
    </w:lvl>
    <w:lvl w:ilvl="2" w:tplc="FFFFFFFF" w:tentative="1">
      <w:start w:val="1"/>
      <w:numFmt w:val="lowerRoman"/>
      <w:lvlText w:val="%3."/>
      <w:lvlJc w:val="right"/>
      <w:pPr>
        <w:ind w:left="8180" w:hanging="180"/>
      </w:pPr>
    </w:lvl>
    <w:lvl w:ilvl="3" w:tplc="FFFFFFFF" w:tentative="1">
      <w:start w:val="1"/>
      <w:numFmt w:val="decimal"/>
      <w:lvlText w:val="%4."/>
      <w:lvlJc w:val="left"/>
      <w:pPr>
        <w:ind w:left="8900" w:hanging="360"/>
      </w:pPr>
    </w:lvl>
    <w:lvl w:ilvl="4" w:tplc="FFFFFFFF" w:tentative="1">
      <w:start w:val="1"/>
      <w:numFmt w:val="lowerLetter"/>
      <w:lvlText w:val="%5."/>
      <w:lvlJc w:val="left"/>
      <w:pPr>
        <w:ind w:left="9620" w:hanging="360"/>
      </w:pPr>
    </w:lvl>
    <w:lvl w:ilvl="5" w:tplc="FFFFFFFF" w:tentative="1">
      <w:start w:val="1"/>
      <w:numFmt w:val="lowerRoman"/>
      <w:lvlText w:val="%6."/>
      <w:lvlJc w:val="right"/>
      <w:pPr>
        <w:ind w:left="10340" w:hanging="180"/>
      </w:pPr>
    </w:lvl>
    <w:lvl w:ilvl="6" w:tplc="FFFFFFFF" w:tentative="1">
      <w:start w:val="1"/>
      <w:numFmt w:val="decimal"/>
      <w:lvlText w:val="%7."/>
      <w:lvlJc w:val="left"/>
      <w:pPr>
        <w:ind w:left="11060" w:hanging="360"/>
      </w:pPr>
    </w:lvl>
    <w:lvl w:ilvl="7" w:tplc="FFFFFFFF" w:tentative="1">
      <w:start w:val="1"/>
      <w:numFmt w:val="lowerLetter"/>
      <w:lvlText w:val="%8."/>
      <w:lvlJc w:val="left"/>
      <w:pPr>
        <w:ind w:left="11780" w:hanging="360"/>
      </w:pPr>
    </w:lvl>
    <w:lvl w:ilvl="8" w:tplc="FFFFFFFF" w:tentative="1">
      <w:start w:val="1"/>
      <w:numFmt w:val="lowerRoman"/>
      <w:lvlText w:val="%9."/>
      <w:lvlJc w:val="right"/>
      <w:pPr>
        <w:ind w:left="12500" w:hanging="180"/>
      </w:pPr>
    </w:lvl>
  </w:abstractNum>
  <w:abstractNum w:abstractNumId="4" w15:restartNumberingAfterBreak="0">
    <w:nsid w:val="48342D0D"/>
    <w:multiLevelType w:val="hybridMultilevel"/>
    <w:tmpl w:val="29CA99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622958259">
    <w:abstractNumId w:val="1"/>
  </w:num>
  <w:num w:numId="2" w16cid:durableId="2099134578">
    <w:abstractNumId w:val="4"/>
  </w:num>
  <w:num w:numId="3" w16cid:durableId="673533190">
    <w:abstractNumId w:val="0"/>
  </w:num>
  <w:num w:numId="4" w16cid:durableId="40060399">
    <w:abstractNumId w:val="3"/>
  </w:num>
  <w:num w:numId="5" w16cid:durableId="247078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4D"/>
    <w:rsid w:val="00002A22"/>
    <w:rsid w:val="00003100"/>
    <w:rsid w:val="00006BB7"/>
    <w:rsid w:val="00013E03"/>
    <w:rsid w:val="00022D50"/>
    <w:rsid w:val="00030C9A"/>
    <w:rsid w:val="00036E64"/>
    <w:rsid w:val="000404EC"/>
    <w:rsid w:val="000478B4"/>
    <w:rsid w:val="000550D2"/>
    <w:rsid w:val="00060F53"/>
    <w:rsid w:val="000703BF"/>
    <w:rsid w:val="00082CBF"/>
    <w:rsid w:val="00087858"/>
    <w:rsid w:val="00092772"/>
    <w:rsid w:val="000936F2"/>
    <w:rsid w:val="0009412D"/>
    <w:rsid w:val="000B4B1C"/>
    <w:rsid w:val="000B61DC"/>
    <w:rsid w:val="000D4BA0"/>
    <w:rsid w:val="000E2B92"/>
    <w:rsid w:val="000E4100"/>
    <w:rsid w:val="000F15C3"/>
    <w:rsid w:val="0010731E"/>
    <w:rsid w:val="001075DA"/>
    <w:rsid w:val="001118B7"/>
    <w:rsid w:val="00122C80"/>
    <w:rsid w:val="00127C9D"/>
    <w:rsid w:val="001334D9"/>
    <w:rsid w:val="0014313D"/>
    <w:rsid w:val="00143319"/>
    <w:rsid w:val="0014618C"/>
    <w:rsid w:val="00151D98"/>
    <w:rsid w:val="0017524A"/>
    <w:rsid w:val="00176C7F"/>
    <w:rsid w:val="00177AA7"/>
    <w:rsid w:val="001847A6"/>
    <w:rsid w:val="00185618"/>
    <w:rsid w:val="0019585F"/>
    <w:rsid w:val="001A1752"/>
    <w:rsid w:val="001A27B7"/>
    <w:rsid w:val="001A2935"/>
    <w:rsid w:val="001A5818"/>
    <w:rsid w:val="001B0CA5"/>
    <w:rsid w:val="001B1C17"/>
    <w:rsid w:val="001B7DA2"/>
    <w:rsid w:val="001C50A0"/>
    <w:rsid w:val="001D1144"/>
    <w:rsid w:val="001D74CE"/>
    <w:rsid w:val="001F4ECF"/>
    <w:rsid w:val="002047C6"/>
    <w:rsid w:val="002138FE"/>
    <w:rsid w:val="00220BA2"/>
    <w:rsid w:val="002245AF"/>
    <w:rsid w:val="0023016C"/>
    <w:rsid w:val="00231C85"/>
    <w:rsid w:val="00244C8A"/>
    <w:rsid w:val="00245DAE"/>
    <w:rsid w:val="00257616"/>
    <w:rsid w:val="002711F0"/>
    <w:rsid w:val="00276379"/>
    <w:rsid w:val="002873CA"/>
    <w:rsid w:val="002943ED"/>
    <w:rsid w:val="002B3B5A"/>
    <w:rsid w:val="002B606A"/>
    <w:rsid w:val="002B6A68"/>
    <w:rsid w:val="002B71CF"/>
    <w:rsid w:val="002C0726"/>
    <w:rsid w:val="002C25BD"/>
    <w:rsid w:val="002C7673"/>
    <w:rsid w:val="002C7E96"/>
    <w:rsid w:val="002D0C8A"/>
    <w:rsid w:val="002D7A37"/>
    <w:rsid w:val="002E34FE"/>
    <w:rsid w:val="002F5F19"/>
    <w:rsid w:val="0030143B"/>
    <w:rsid w:val="00312DF6"/>
    <w:rsid w:val="003321C1"/>
    <w:rsid w:val="003328B4"/>
    <w:rsid w:val="0033432B"/>
    <w:rsid w:val="00335EA0"/>
    <w:rsid w:val="003467A1"/>
    <w:rsid w:val="00347E85"/>
    <w:rsid w:val="00350849"/>
    <w:rsid w:val="00351069"/>
    <w:rsid w:val="003537FA"/>
    <w:rsid w:val="00363EE9"/>
    <w:rsid w:val="003656AF"/>
    <w:rsid w:val="00366028"/>
    <w:rsid w:val="00367683"/>
    <w:rsid w:val="003714D5"/>
    <w:rsid w:val="00376701"/>
    <w:rsid w:val="00381925"/>
    <w:rsid w:val="003975CB"/>
    <w:rsid w:val="003B2421"/>
    <w:rsid w:val="003D3DF7"/>
    <w:rsid w:val="003D4538"/>
    <w:rsid w:val="003D51F3"/>
    <w:rsid w:val="003D552B"/>
    <w:rsid w:val="003F37E7"/>
    <w:rsid w:val="003F63A5"/>
    <w:rsid w:val="003F68B4"/>
    <w:rsid w:val="003F7E3C"/>
    <w:rsid w:val="0040531F"/>
    <w:rsid w:val="0041560A"/>
    <w:rsid w:val="0044448F"/>
    <w:rsid w:val="00445488"/>
    <w:rsid w:val="004525B0"/>
    <w:rsid w:val="00452F59"/>
    <w:rsid w:val="00460060"/>
    <w:rsid w:val="0046291B"/>
    <w:rsid w:val="004632A2"/>
    <w:rsid w:val="0047138C"/>
    <w:rsid w:val="00471E27"/>
    <w:rsid w:val="00484857"/>
    <w:rsid w:val="004A2A81"/>
    <w:rsid w:val="004A4260"/>
    <w:rsid w:val="004B1122"/>
    <w:rsid w:val="004B125B"/>
    <w:rsid w:val="004B710A"/>
    <w:rsid w:val="004C2D0C"/>
    <w:rsid w:val="004C72FE"/>
    <w:rsid w:val="004E24D5"/>
    <w:rsid w:val="004E3583"/>
    <w:rsid w:val="004F472D"/>
    <w:rsid w:val="00502813"/>
    <w:rsid w:val="00507050"/>
    <w:rsid w:val="00517361"/>
    <w:rsid w:val="00521E78"/>
    <w:rsid w:val="0053419E"/>
    <w:rsid w:val="00535758"/>
    <w:rsid w:val="00550E09"/>
    <w:rsid w:val="005571C6"/>
    <w:rsid w:val="005608D9"/>
    <w:rsid w:val="00563FA2"/>
    <w:rsid w:val="00573792"/>
    <w:rsid w:val="0058469F"/>
    <w:rsid w:val="00590F49"/>
    <w:rsid w:val="005924CF"/>
    <w:rsid w:val="00594F29"/>
    <w:rsid w:val="005B0295"/>
    <w:rsid w:val="005B2BC6"/>
    <w:rsid w:val="005B596B"/>
    <w:rsid w:val="005C27B0"/>
    <w:rsid w:val="005C44FF"/>
    <w:rsid w:val="005D12DD"/>
    <w:rsid w:val="005D6A6F"/>
    <w:rsid w:val="00610B7F"/>
    <w:rsid w:val="00624646"/>
    <w:rsid w:val="00640710"/>
    <w:rsid w:val="00652401"/>
    <w:rsid w:val="00654785"/>
    <w:rsid w:val="006578A4"/>
    <w:rsid w:val="00670642"/>
    <w:rsid w:val="00674B2B"/>
    <w:rsid w:val="00680534"/>
    <w:rsid w:val="00694FBB"/>
    <w:rsid w:val="006B0969"/>
    <w:rsid w:val="006C384F"/>
    <w:rsid w:val="006C5BC2"/>
    <w:rsid w:val="006D2A93"/>
    <w:rsid w:val="006E3A4F"/>
    <w:rsid w:val="006E717B"/>
    <w:rsid w:val="00700C9C"/>
    <w:rsid w:val="00712170"/>
    <w:rsid w:val="00716F95"/>
    <w:rsid w:val="007214EC"/>
    <w:rsid w:val="00725ADA"/>
    <w:rsid w:val="007267F5"/>
    <w:rsid w:val="00731F08"/>
    <w:rsid w:val="00736E97"/>
    <w:rsid w:val="00743A3A"/>
    <w:rsid w:val="00750834"/>
    <w:rsid w:val="00750D49"/>
    <w:rsid w:val="0076092F"/>
    <w:rsid w:val="00764E02"/>
    <w:rsid w:val="007659CC"/>
    <w:rsid w:val="00786695"/>
    <w:rsid w:val="007942A4"/>
    <w:rsid w:val="007942C0"/>
    <w:rsid w:val="00794BCD"/>
    <w:rsid w:val="00795D5A"/>
    <w:rsid w:val="007A0E34"/>
    <w:rsid w:val="007B34D4"/>
    <w:rsid w:val="007B3553"/>
    <w:rsid w:val="007C03A8"/>
    <w:rsid w:val="007C0D14"/>
    <w:rsid w:val="007C25BF"/>
    <w:rsid w:val="007D4DB4"/>
    <w:rsid w:val="007F1E32"/>
    <w:rsid w:val="007F4DA0"/>
    <w:rsid w:val="0080180B"/>
    <w:rsid w:val="008078B0"/>
    <w:rsid w:val="00807A4C"/>
    <w:rsid w:val="008105BD"/>
    <w:rsid w:val="00810619"/>
    <w:rsid w:val="008222E9"/>
    <w:rsid w:val="0082556B"/>
    <w:rsid w:val="00831834"/>
    <w:rsid w:val="00836CE8"/>
    <w:rsid w:val="008419A0"/>
    <w:rsid w:val="008439F9"/>
    <w:rsid w:val="0084559D"/>
    <w:rsid w:val="0084719A"/>
    <w:rsid w:val="008513C8"/>
    <w:rsid w:val="0085286F"/>
    <w:rsid w:val="008561BB"/>
    <w:rsid w:val="00863376"/>
    <w:rsid w:val="00874041"/>
    <w:rsid w:val="00874633"/>
    <w:rsid w:val="0088312A"/>
    <w:rsid w:val="0089208B"/>
    <w:rsid w:val="0089249F"/>
    <w:rsid w:val="008B15D5"/>
    <w:rsid w:val="008B20D3"/>
    <w:rsid w:val="008B531D"/>
    <w:rsid w:val="008C661C"/>
    <w:rsid w:val="008D48BF"/>
    <w:rsid w:val="008E09C3"/>
    <w:rsid w:val="008F33BC"/>
    <w:rsid w:val="008F37C9"/>
    <w:rsid w:val="008F6553"/>
    <w:rsid w:val="008F6569"/>
    <w:rsid w:val="008F7009"/>
    <w:rsid w:val="00913435"/>
    <w:rsid w:val="009218D1"/>
    <w:rsid w:val="0092193D"/>
    <w:rsid w:val="00925D19"/>
    <w:rsid w:val="00926651"/>
    <w:rsid w:val="009360B4"/>
    <w:rsid w:val="00937141"/>
    <w:rsid w:val="00961FB4"/>
    <w:rsid w:val="00972953"/>
    <w:rsid w:val="00976888"/>
    <w:rsid w:val="0098062C"/>
    <w:rsid w:val="00991711"/>
    <w:rsid w:val="00991977"/>
    <w:rsid w:val="00994A1E"/>
    <w:rsid w:val="009A3C55"/>
    <w:rsid w:val="009B2893"/>
    <w:rsid w:val="009C4579"/>
    <w:rsid w:val="009E582C"/>
    <w:rsid w:val="009F13A7"/>
    <w:rsid w:val="00A0145D"/>
    <w:rsid w:val="00A06336"/>
    <w:rsid w:val="00A11D2E"/>
    <w:rsid w:val="00A14176"/>
    <w:rsid w:val="00A14AF0"/>
    <w:rsid w:val="00A14E78"/>
    <w:rsid w:val="00A33474"/>
    <w:rsid w:val="00A4119B"/>
    <w:rsid w:val="00A43485"/>
    <w:rsid w:val="00A44157"/>
    <w:rsid w:val="00A47334"/>
    <w:rsid w:val="00A47DF7"/>
    <w:rsid w:val="00A51835"/>
    <w:rsid w:val="00A622D5"/>
    <w:rsid w:val="00A66158"/>
    <w:rsid w:val="00A662E1"/>
    <w:rsid w:val="00A7317E"/>
    <w:rsid w:val="00A73DBA"/>
    <w:rsid w:val="00A8102D"/>
    <w:rsid w:val="00A82E8B"/>
    <w:rsid w:val="00A85072"/>
    <w:rsid w:val="00A86241"/>
    <w:rsid w:val="00AA044B"/>
    <w:rsid w:val="00AA50F3"/>
    <w:rsid w:val="00AB5FBE"/>
    <w:rsid w:val="00AB7656"/>
    <w:rsid w:val="00AC2842"/>
    <w:rsid w:val="00AC5486"/>
    <w:rsid w:val="00AE084B"/>
    <w:rsid w:val="00AE4958"/>
    <w:rsid w:val="00AE5B99"/>
    <w:rsid w:val="00AE764E"/>
    <w:rsid w:val="00B059E3"/>
    <w:rsid w:val="00B22851"/>
    <w:rsid w:val="00B2425D"/>
    <w:rsid w:val="00B24778"/>
    <w:rsid w:val="00B259AC"/>
    <w:rsid w:val="00B36C9F"/>
    <w:rsid w:val="00B41597"/>
    <w:rsid w:val="00B5256F"/>
    <w:rsid w:val="00B549FC"/>
    <w:rsid w:val="00B64263"/>
    <w:rsid w:val="00B66B71"/>
    <w:rsid w:val="00B804ED"/>
    <w:rsid w:val="00B81AAA"/>
    <w:rsid w:val="00B909C4"/>
    <w:rsid w:val="00B91CAF"/>
    <w:rsid w:val="00B9226A"/>
    <w:rsid w:val="00BA4F54"/>
    <w:rsid w:val="00BA79E8"/>
    <w:rsid w:val="00BB0519"/>
    <w:rsid w:val="00BB0EFE"/>
    <w:rsid w:val="00BB1E66"/>
    <w:rsid w:val="00BC527C"/>
    <w:rsid w:val="00BE3FDE"/>
    <w:rsid w:val="00BF3FF6"/>
    <w:rsid w:val="00C20D64"/>
    <w:rsid w:val="00C32B86"/>
    <w:rsid w:val="00C33F39"/>
    <w:rsid w:val="00C3460D"/>
    <w:rsid w:val="00C40352"/>
    <w:rsid w:val="00C4233C"/>
    <w:rsid w:val="00C4706B"/>
    <w:rsid w:val="00C62183"/>
    <w:rsid w:val="00C6281F"/>
    <w:rsid w:val="00C6358E"/>
    <w:rsid w:val="00C67184"/>
    <w:rsid w:val="00C83547"/>
    <w:rsid w:val="00C83DCA"/>
    <w:rsid w:val="00C87AF4"/>
    <w:rsid w:val="00C909DA"/>
    <w:rsid w:val="00C95B8C"/>
    <w:rsid w:val="00CA6ACB"/>
    <w:rsid w:val="00CC30CF"/>
    <w:rsid w:val="00CD269F"/>
    <w:rsid w:val="00CD4589"/>
    <w:rsid w:val="00CD7B2D"/>
    <w:rsid w:val="00CE300B"/>
    <w:rsid w:val="00CE6603"/>
    <w:rsid w:val="00CE6F14"/>
    <w:rsid w:val="00D02318"/>
    <w:rsid w:val="00D04A46"/>
    <w:rsid w:val="00D153D2"/>
    <w:rsid w:val="00D23B96"/>
    <w:rsid w:val="00D248FC"/>
    <w:rsid w:val="00D262BF"/>
    <w:rsid w:val="00D339AD"/>
    <w:rsid w:val="00D42335"/>
    <w:rsid w:val="00D43171"/>
    <w:rsid w:val="00D43395"/>
    <w:rsid w:val="00D5134D"/>
    <w:rsid w:val="00D53C94"/>
    <w:rsid w:val="00D573DA"/>
    <w:rsid w:val="00D57528"/>
    <w:rsid w:val="00D577A9"/>
    <w:rsid w:val="00D60E72"/>
    <w:rsid w:val="00D83BAD"/>
    <w:rsid w:val="00D85C4C"/>
    <w:rsid w:val="00D901F6"/>
    <w:rsid w:val="00D96E1C"/>
    <w:rsid w:val="00DA103C"/>
    <w:rsid w:val="00DA57E4"/>
    <w:rsid w:val="00DA6BF7"/>
    <w:rsid w:val="00DB3D9D"/>
    <w:rsid w:val="00DB426F"/>
    <w:rsid w:val="00DB4371"/>
    <w:rsid w:val="00DB71A9"/>
    <w:rsid w:val="00DC2B14"/>
    <w:rsid w:val="00DC50BD"/>
    <w:rsid w:val="00DD0E06"/>
    <w:rsid w:val="00DD221A"/>
    <w:rsid w:val="00DD6A90"/>
    <w:rsid w:val="00DE1951"/>
    <w:rsid w:val="00DE756E"/>
    <w:rsid w:val="00DE7DBC"/>
    <w:rsid w:val="00DF3F3A"/>
    <w:rsid w:val="00E03C42"/>
    <w:rsid w:val="00E04C3D"/>
    <w:rsid w:val="00E07692"/>
    <w:rsid w:val="00E21BCC"/>
    <w:rsid w:val="00E24DB4"/>
    <w:rsid w:val="00E256EC"/>
    <w:rsid w:val="00E447A7"/>
    <w:rsid w:val="00E44F68"/>
    <w:rsid w:val="00E606B4"/>
    <w:rsid w:val="00E80BC5"/>
    <w:rsid w:val="00E80C49"/>
    <w:rsid w:val="00E81C44"/>
    <w:rsid w:val="00E82DB2"/>
    <w:rsid w:val="00E95044"/>
    <w:rsid w:val="00E97E25"/>
    <w:rsid w:val="00EB1104"/>
    <w:rsid w:val="00EB5CEF"/>
    <w:rsid w:val="00EB7B9F"/>
    <w:rsid w:val="00EF3BA1"/>
    <w:rsid w:val="00EF4D30"/>
    <w:rsid w:val="00F02486"/>
    <w:rsid w:val="00F076CD"/>
    <w:rsid w:val="00F11F73"/>
    <w:rsid w:val="00F17642"/>
    <w:rsid w:val="00F2071B"/>
    <w:rsid w:val="00F23D14"/>
    <w:rsid w:val="00F2765C"/>
    <w:rsid w:val="00F276B4"/>
    <w:rsid w:val="00F42498"/>
    <w:rsid w:val="00F4447B"/>
    <w:rsid w:val="00F5016B"/>
    <w:rsid w:val="00F513EE"/>
    <w:rsid w:val="00F8362E"/>
    <w:rsid w:val="00F86044"/>
    <w:rsid w:val="00F8762E"/>
    <w:rsid w:val="00F90AAD"/>
    <w:rsid w:val="00F9216F"/>
    <w:rsid w:val="00F95419"/>
    <w:rsid w:val="00FA3342"/>
    <w:rsid w:val="00FB50B3"/>
    <w:rsid w:val="00FB6D57"/>
    <w:rsid w:val="00FD5825"/>
    <w:rsid w:val="00FF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A8FE"/>
  <w15:docId w15:val="{E9160034-45DC-4B07-B7A0-F17364F8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34D"/>
    <w:pPr>
      <w:spacing w:line="480" w:lineRule="auto"/>
      <w:jc w:val="both"/>
    </w:pPr>
    <w:rPr>
      <w:rFonts w:ascii="Times New Roman" w:eastAsia="Calibri" w:hAnsi="Times New Roman" w:cs="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next w:val="JUDGMENTCONTINUED"/>
    <w:link w:val="JUDGMENTNUMBEREDChar"/>
    <w:qFormat/>
    <w:rsid w:val="00D5134D"/>
    <w:pPr>
      <w:spacing w:line="360" w:lineRule="auto"/>
    </w:pPr>
  </w:style>
  <w:style w:type="paragraph" w:customStyle="1" w:styleId="JUDGMENTCONTINUED">
    <w:name w:val="JUDGMENT CONTINUED"/>
    <w:basedOn w:val="JUDGMENTNUMBERED"/>
    <w:next w:val="JUDGMENTNUMBERED"/>
    <w:qFormat/>
    <w:rsid w:val="00D5134D"/>
  </w:style>
  <w:style w:type="paragraph" w:styleId="Header">
    <w:name w:val="header"/>
    <w:basedOn w:val="Normal"/>
    <w:link w:val="HeaderChar"/>
    <w:unhideWhenUsed/>
    <w:rsid w:val="00D5134D"/>
    <w:pPr>
      <w:tabs>
        <w:tab w:val="center" w:pos="4680"/>
        <w:tab w:val="right" w:pos="9360"/>
      </w:tabs>
      <w:spacing w:line="240" w:lineRule="auto"/>
    </w:pPr>
  </w:style>
  <w:style w:type="character" w:customStyle="1" w:styleId="HeaderChar">
    <w:name w:val="Header Char"/>
    <w:basedOn w:val="DefaultParagraphFont"/>
    <w:link w:val="Header"/>
    <w:rsid w:val="00D5134D"/>
    <w:rPr>
      <w:rFonts w:ascii="Times New Roman" w:eastAsia="Calibri" w:hAnsi="Times New Roman" w:cs="Times New Roman"/>
      <w:sz w:val="26"/>
      <w:szCs w:val="22"/>
    </w:rPr>
  </w:style>
  <w:style w:type="paragraph" w:styleId="Footer">
    <w:name w:val="footer"/>
    <w:basedOn w:val="Normal"/>
    <w:link w:val="FooterChar"/>
    <w:uiPriority w:val="99"/>
    <w:unhideWhenUsed/>
    <w:rsid w:val="00D5134D"/>
    <w:pPr>
      <w:tabs>
        <w:tab w:val="center" w:pos="4680"/>
        <w:tab w:val="right" w:pos="9360"/>
      </w:tabs>
      <w:spacing w:line="240" w:lineRule="auto"/>
    </w:pPr>
  </w:style>
  <w:style w:type="character" w:customStyle="1" w:styleId="FooterChar">
    <w:name w:val="Footer Char"/>
    <w:basedOn w:val="DefaultParagraphFont"/>
    <w:link w:val="Footer"/>
    <w:uiPriority w:val="99"/>
    <w:rsid w:val="00D5134D"/>
    <w:rPr>
      <w:rFonts w:ascii="Times New Roman" w:eastAsia="Calibri" w:hAnsi="Times New Roman" w:cs="Times New Roman"/>
      <w:sz w:val="26"/>
      <w:szCs w:val="22"/>
    </w:rPr>
  </w:style>
  <w:style w:type="paragraph" w:customStyle="1" w:styleId="HEADING">
    <w:name w:val="HEADING"/>
    <w:basedOn w:val="JUDGMENTNUMBERED"/>
    <w:next w:val="JUDGMENTNUMBERED"/>
    <w:link w:val="HEADINGChar"/>
    <w:qFormat/>
    <w:rsid w:val="00D5134D"/>
    <w:pPr>
      <w:keepNext/>
      <w:spacing w:after="120"/>
    </w:pPr>
    <w:rPr>
      <w:i/>
    </w:rPr>
  </w:style>
  <w:style w:type="character" w:customStyle="1" w:styleId="JUDGMENTNUMBEREDChar">
    <w:name w:val="JUDGMENT NUMBERED Char"/>
    <w:basedOn w:val="DefaultParagraphFont"/>
    <w:link w:val="JUDGMENTNUMBERED"/>
    <w:rsid w:val="00D5134D"/>
    <w:rPr>
      <w:rFonts w:ascii="Times New Roman" w:eastAsia="Calibri" w:hAnsi="Times New Roman" w:cs="Times New Roman"/>
      <w:sz w:val="26"/>
      <w:szCs w:val="22"/>
    </w:rPr>
  </w:style>
  <w:style w:type="character" w:customStyle="1" w:styleId="HEADINGChar">
    <w:name w:val="HEADING Char"/>
    <w:basedOn w:val="JUDGMENTNUMBEREDChar"/>
    <w:link w:val="HEADING"/>
    <w:rsid w:val="00D5134D"/>
    <w:rPr>
      <w:rFonts w:ascii="Times New Roman" w:eastAsia="Calibri" w:hAnsi="Times New Roman" w:cs="Times New Roman"/>
      <w:i/>
      <w:sz w:val="26"/>
      <w:szCs w:val="22"/>
    </w:rPr>
  </w:style>
  <w:style w:type="paragraph" w:customStyle="1" w:styleId="JudgmentNumbered0">
    <w:name w:val="Judgment Numbered"/>
    <w:basedOn w:val="Normal"/>
    <w:link w:val="JudgmentNumberedChar0"/>
    <w:qFormat/>
    <w:rsid w:val="00D5134D"/>
    <w:pPr>
      <w:spacing w:after="240" w:line="360" w:lineRule="auto"/>
      <w:ind w:left="567" w:hanging="567"/>
    </w:pPr>
    <w:rPr>
      <w:rFonts w:ascii="Arial" w:eastAsiaTheme="minorHAnsi" w:hAnsi="Arial" w:cs="Arial"/>
      <w:sz w:val="24"/>
    </w:rPr>
  </w:style>
  <w:style w:type="character" w:customStyle="1" w:styleId="JudgmentNumberedChar0">
    <w:name w:val="Judgment Numbered Char"/>
    <w:basedOn w:val="DefaultParagraphFont"/>
    <w:link w:val="JudgmentNumbered0"/>
    <w:rsid w:val="00D5134D"/>
    <w:rPr>
      <w:rFonts w:ascii="Arial" w:hAnsi="Arial" w:cs="Arial"/>
      <w:szCs w:val="22"/>
    </w:rPr>
  </w:style>
  <w:style w:type="character" w:styleId="PageNumber">
    <w:name w:val="page number"/>
    <w:basedOn w:val="DefaultParagraphFont"/>
    <w:uiPriority w:val="99"/>
    <w:semiHidden/>
    <w:unhideWhenUsed/>
    <w:rsid w:val="00D5134D"/>
  </w:style>
  <w:style w:type="paragraph" w:styleId="FootnoteText">
    <w:name w:val="footnote text"/>
    <w:basedOn w:val="Normal"/>
    <w:link w:val="FootnoteTextChar"/>
    <w:uiPriority w:val="99"/>
    <w:semiHidden/>
    <w:unhideWhenUsed/>
    <w:rsid w:val="0092193D"/>
    <w:pPr>
      <w:spacing w:line="240" w:lineRule="auto"/>
    </w:pPr>
    <w:rPr>
      <w:sz w:val="20"/>
      <w:szCs w:val="20"/>
    </w:rPr>
  </w:style>
  <w:style w:type="character" w:customStyle="1" w:styleId="FootnoteTextChar">
    <w:name w:val="Footnote Text Char"/>
    <w:basedOn w:val="DefaultParagraphFont"/>
    <w:link w:val="FootnoteText"/>
    <w:uiPriority w:val="99"/>
    <w:semiHidden/>
    <w:rsid w:val="0092193D"/>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92193D"/>
    <w:rPr>
      <w:vertAlign w:val="superscript"/>
    </w:rPr>
  </w:style>
  <w:style w:type="paragraph" w:styleId="ListParagraph">
    <w:name w:val="List Paragraph"/>
    <w:basedOn w:val="Normal"/>
    <w:uiPriority w:val="34"/>
    <w:qFormat/>
    <w:rsid w:val="00670642"/>
    <w:pPr>
      <w:ind w:left="720"/>
      <w:contextualSpacing/>
    </w:pPr>
  </w:style>
  <w:style w:type="character" w:customStyle="1" w:styleId="d9fyld">
    <w:name w:val="d9fyld"/>
    <w:basedOn w:val="DefaultParagraphFont"/>
    <w:rsid w:val="001B7DA2"/>
  </w:style>
  <w:style w:type="character" w:customStyle="1" w:styleId="hgkelc">
    <w:name w:val="hgkelc"/>
    <w:basedOn w:val="DefaultParagraphFont"/>
    <w:rsid w:val="001B7DA2"/>
  </w:style>
  <w:style w:type="character" w:customStyle="1" w:styleId="mc">
    <w:name w:val="mc"/>
    <w:basedOn w:val="DefaultParagraphFont"/>
    <w:rsid w:val="00CC30CF"/>
  </w:style>
  <w:style w:type="paragraph" w:styleId="BalloonText">
    <w:name w:val="Balloon Text"/>
    <w:basedOn w:val="Normal"/>
    <w:link w:val="BalloonTextChar"/>
    <w:uiPriority w:val="99"/>
    <w:semiHidden/>
    <w:unhideWhenUsed/>
    <w:rsid w:val="002F5F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F1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9116257">
      <w:bodyDiv w:val="1"/>
      <w:marLeft w:val="0"/>
      <w:marRight w:val="0"/>
      <w:marTop w:val="0"/>
      <w:marBottom w:val="0"/>
      <w:divBdr>
        <w:top w:val="none" w:sz="0" w:space="0" w:color="auto"/>
        <w:left w:val="none" w:sz="0" w:space="0" w:color="auto"/>
        <w:bottom w:val="none" w:sz="0" w:space="0" w:color="auto"/>
        <w:right w:val="none" w:sz="0" w:space="0" w:color="auto"/>
      </w:divBdr>
    </w:div>
    <w:div w:id="2024821767">
      <w:bodyDiv w:val="1"/>
      <w:marLeft w:val="0"/>
      <w:marRight w:val="0"/>
      <w:marTop w:val="0"/>
      <w:marBottom w:val="0"/>
      <w:divBdr>
        <w:top w:val="none" w:sz="0" w:space="0" w:color="auto"/>
        <w:left w:val="none" w:sz="0" w:space="0" w:color="auto"/>
        <w:bottom w:val="none" w:sz="0" w:space="0" w:color="auto"/>
        <w:right w:val="none" w:sz="0" w:space="0" w:color="auto"/>
      </w:divBdr>
      <w:divsChild>
        <w:div w:id="101372347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7E4D6D-26DA-4A96-89CA-7BC68114A89B}">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29E6F-883D-4E7C-9D7E-1E28D0A2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Yonga Madikizela</dc:creator>
  <cp:lastModifiedBy>sathish sarshan  mohan</cp:lastModifiedBy>
  <cp:revision>3</cp:revision>
  <dcterms:created xsi:type="dcterms:W3CDTF">2024-04-24T10:25:00Z</dcterms:created>
  <dcterms:modified xsi:type="dcterms:W3CDTF">2024-04-26T18:36:00Z</dcterms:modified>
</cp:coreProperties>
</file>