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A2039BF" w14:textId="77777777" w:rsidR="00F05338" w:rsidRDefault="00F05338" w:rsidP="00C82197">
      <w:pPr>
        <w:pStyle w:val="Title"/>
        <w:rPr>
          <w:sz w:val="24"/>
          <w:szCs w:val="24"/>
        </w:rPr>
      </w:pPr>
    </w:p>
    <w:p w14:paraId="4D7B82B3" w14:textId="59562D99" w:rsidR="00C82197" w:rsidRDefault="00C82197" w:rsidP="00C82197">
      <w:pPr>
        <w:pStyle w:val="Title"/>
        <w:rPr>
          <w:sz w:val="24"/>
          <w:szCs w:val="24"/>
        </w:rPr>
      </w:pPr>
      <w:r>
        <w:rPr>
          <w:sz w:val="24"/>
          <w:szCs w:val="24"/>
        </w:rPr>
        <w:t>IN THE HIGH COURT OF SOUTH AFRICA</w:t>
      </w:r>
    </w:p>
    <w:p w14:paraId="66EA89AB" w14:textId="1183BAA0" w:rsidR="00BA0C0C" w:rsidRPr="003B7BDC" w:rsidRDefault="00C82197" w:rsidP="00006CF8">
      <w:pPr>
        <w:pStyle w:val="Title"/>
        <w:rPr>
          <w:sz w:val="24"/>
          <w:szCs w:val="24"/>
        </w:rPr>
      </w:pPr>
      <w:r>
        <w:rPr>
          <w:sz w:val="24"/>
          <w:szCs w:val="24"/>
        </w:rPr>
        <w:t>(</w:t>
      </w:r>
      <w:r w:rsidR="00B16DB4">
        <w:rPr>
          <w:sz w:val="24"/>
          <w:szCs w:val="24"/>
        </w:rPr>
        <w:t xml:space="preserve">GAUTENG </w:t>
      </w:r>
      <w:r w:rsidR="004E6A3D">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73612A8C" w:rsidR="006F2A2D" w:rsidRDefault="00810F89" w:rsidP="00810F8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066A4B">
                              <w:rPr>
                                <w:rFonts w:ascii="Century Gothic" w:hAnsi="Century Gothic"/>
                                <w:sz w:val="20"/>
                                <w:szCs w:val="20"/>
                              </w:rPr>
                              <w:t>Yes</w:t>
                            </w:r>
                          </w:p>
                          <w:p w14:paraId="300C0173" w14:textId="38F03D01" w:rsidR="006F2A2D" w:rsidRDefault="00810F89" w:rsidP="00810F8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w:t>
                            </w:r>
                            <w:r w:rsidR="00B05A02">
                              <w:rPr>
                                <w:rFonts w:ascii="Century Gothic" w:hAnsi="Century Gothic"/>
                                <w:sz w:val="20"/>
                                <w:szCs w:val="20"/>
                              </w:rPr>
                              <w:t>Yes</w:t>
                            </w:r>
                          </w:p>
                          <w:p w14:paraId="57A058C4" w14:textId="7BC7BED0" w:rsidR="006F2A2D" w:rsidRDefault="00810F89" w:rsidP="00810F8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41C266AF" w:rsidR="006F2A2D" w:rsidRDefault="006F2A2D" w:rsidP="006D4C73">
                            <w:pPr>
                              <w:rPr>
                                <w:noProof/>
                                <w:lang w:val="en-US"/>
                              </w:rPr>
                            </w:pPr>
                            <w:r>
                              <w:rPr>
                                <w:rFonts w:ascii="Century Gothic" w:hAnsi="Century Gothic"/>
                                <w:b/>
                                <w:sz w:val="18"/>
                                <w:szCs w:val="18"/>
                              </w:rPr>
                              <w:t xml:space="preserve"> </w:t>
                            </w:r>
                          </w:p>
                          <w:p w14:paraId="59EA1E44" w14:textId="79B38A27" w:rsidR="00A87C43" w:rsidRDefault="00A87C43" w:rsidP="006D4C73">
                            <w:pPr>
                              <w:rPr>
                                <w:rFonts w:ascii="Century Gothic" w:hAnsi="Century Gothic"/>
                                <w:b/>
                                <w:noProof/>
                                <w:sz w:val="18"/>
                                <w:szCs w:val="18"/>
                              </w:rPr>
                            </w:pPr>
                          </w:p>
                          <w:p w14:paraId="77C7E6BC" w14:textId="77777777" w:rsidR="00A87C43" w:rsidRDefault="00A87C43"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43D5D6E6"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2253EE">
                              <w:rPr>
                                <w:rFonts w:ascii="Century Gothic" w:hAnsi="Century Gothic"/>
                                <w:sz w:val="18"/>
                                <w:szCs w:val="18"/>
                              </w:rPr>
                              <w:t xml:space="preserve"> </w:t>
                            </w:r>
                            <w:r w:rsidR="00B05A02">
                              <w:rPr>
                                <w:rFonts w:ascii="Century Gothic" w:hAnsi="Century Gothic"/>
                                <w:sz w:val="18"/>
                                <w:szCs w:val="18"/>
                              </w:rPr>
                              <w:t xml:space="preserve">22 </w:t>
                            </w:r>
                            <w:r w:rsidR="002253EE">
                              <w:rPr>
                                <w:rFonts w:ascii="Century Gothic" w:hAnsi="Century Gothic"/>
                                <w:sz w:val="18"/>
                                <w:szCs w:val="18"/>
                              </w:rPr>
                              <w:t>April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">
                <v:textbox>
                  <w:txbxContent>
                    <w:p w14:paraId="56D477FD" w14:textId="73612A8C" w:rsidR="006F2A2D" w:rsidRDefault="00810F89" w:rsidP="00810F8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066A4B">
                        <w:rPr>
                          <w:rFonts w:ascii="Century Gothic" w:hAnsi="Century Gothic"/>
                          <w:sz w:val="20"/>
                          <w:szCs w:val="20"/>
                        </w:rPr>
                        <w:t>Yes</w:t>
                      </w:r>
                    </w:p>
                    <w:p w14:paraId="300C0173" w14:textId="38F03D01" w:rsidR="006F2A2D" w:rsidRDefault="00810F89" w:rsidP="00810F89">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w:t>
                      </w:r>
                      <w:r w:rsidR="00B05A02">
                        <w:rPr>
                          <w:rFonts w:ascii="Century Gothic" w:hAnsi="Century Gothic"/>
                          <w:sz w:val="20"/>
                          <w:szCs w:val="20"/>
                        </w:rPr>
                        <w:t>Yes</w:t>
                      </w:r>
                    </w:p>
                    <w:p w14:paraId="57A058C4" w14:textId="7BC7BED0" w:rsidR="006F2A2D" w:rsidRDefault="00810F89" w:rsidP="00810F89">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41C266AF" w:rsidR="006F2A2D" w:rsidRDefault="006F2A2D" w:rsidP="006D4C73">
                      <w:pPr>
                        <w:rPr>
                          <w:noProof/>
                          <w:lang w:val="en-US"/>
                        </w:rPr>
                      </w:pPr>
                      <w:r>
                        <w:rPr>
                          <w:rFonts w:ascii="Century Gothic" w:hAnsi="Century Gothic"/>
                          <w:b/>
                          <w:sz w:val="18"/>
                          <w:szCs w:val="18"/>
                        </w:rPr>
                        <w:t xml:space="preserve"> </w:t>
                      </w:r>
                    </w:p>
                    <w:p w14:paraId="59EA1E44" w14:textId="79B38A27" w:rsidR="00A87C43" w:rsidRDefault="00A87C43" w:rsidP="006D4C73">
                      <w:pPr>
                        <w:rPr>
                          <w:rFonts w:ascii="Century Gothic" w:hAnsi="Century Gothic"/>
                          <w:b/>
                          <w:noProof/>
                          <w:sz w:val="18"/>
                          <w:szCs w:val="18"/>
                        </w:rPr>
                      </w:pPr>
                    </w:p>
                    <w:p w14:paraId="77C7E6BC" w14:textId="77777777" w:rsidR="00A87C43" w:rsidRDefault="00A87C43"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43D5D6E6"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2253EE">
                        <w:rPr>
                          <w:rFonts w:ascii="Century Gothic" w:hAnsi="Century Gothic"/>
                          <w:sz w:val="18"/>
                          <w:szCs w:val="18"/>
                        </w:rPr>
                        <w:t xml:space="preserve"> </w:t>
                      </w:r>
                      <w:r w:rsidR="00B05A02">
                        <w:rPr>
                          <w:rFonts w:ascii="Century Gothic" w:hAnsi="Century Gothic"/>
                          <w:sz w:val="18"/>
                          <w:szCs w:val="18"/>
                        </w:rPr>
                        <w:t xml:space="preserve">22 </w:t>
                      </w:r>
                      <w:r w:rsidR="002253EE">
                        <w:rPr>
                          <w:rFonts w:ascii="Century Gothic" w:hAnsi="Century Gothic"/>
                          <w:sz w:val="18"/>
                          <w:szCs w:val="18"/>
                        </w:rPr>
                        <w:t>April 2024</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6FA109AC"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663670">
        <w:rPr>
          <w:rFonts w:cs="Arial"/>
          <w:b w:val="0"/>
          <w:sz w:val="24"/>
          <w:szCs w:val="24"/>
          <w:lang w:val="en-US"/>
        </w:rPr>
        <w:t>20</w:t>
      </w:r>
      <w:r w:rsidR="00B05A02">
        <w:rPr>
          <w:rFonts w:cs="Arial"/>
          <w:b w:val="0"/>
          <w:sz w:val="24"/>
          <w:szCs w:val="24"/>
          <w:lang w:val="en-US"/>
        </w:rPr>
        <w:t>22</w:t>
      </w:r>
      <w:r w:rsidR="00663670">
        <w:rPr>
          <w:rFonts w:cs="Arial"/>
          <w:b w:val="0"/>
          <w:sz w:val="24"/>
          <w:szCs w:val="24"/>
          <w:lang w:val="en-US"/>
        </w:rPr>
        <w:t>-</w:t>
      </w:r>
      <w:r w:rsidR="00B05A02">
        <w:rPr>
          <w:rFonts w:cs="Arial"/>
          <w:b w:val="0"/>
          <w:sz w:val="24"/>
          <w:szCs w:val="24"/>
          <w:lang w:val="en-US"/>
        </w:rPr>
        <w:t>18404</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4517CBB" w14:textId="53668E4B" w:rsidR="00760139" w:rsidRDefault="00B05A02" w:rsidP="00D261C3">
      <w:pPr>
        <w:tabs>
          <w:tab w:val="right" w:pos="8646"/>
        </w:tabs>
        <w:rPr>
          <w:rFonts w:ascii="Arial" w:hAnsi="Arial"/>
        </w:rPr>
      </w:pPr>
      <w:r>
        <w:rPr>
          <w:rFonts w:ascii="Arial" w:hAnsi="Arial"/>
          <w:b/>
        </w:rPr>
        <w:t>LUCKY EPHRAIM MASHAVHA</w:t>
      </w:r>
      <w:r w:rsidR="002253EE">
        <w:rPr>
          <w:rFonts w:ascii="Arial" w:hAnsi="Arial"/>
          <w:b/>
        </w:rPr>
        <w:t xml:space="preserve"> </w:t>
      </w:r>
      <w:r w:rsidR="00D7474F">
        <w:rPr>
          <w:rFonts w:ascii="Arial" w:hAnsi="Arial"/>
        </w:rPr>
        <w:tab/>
      </w:r>
      <w:r w:rsidR="00591B12">
        <w:rPr>
          <w:rFonts w:ascii="Arial" w:hAnsi="Arial"/>
        </w:rPr>
        <w:t>Applicant</w:t>
      </w:r>
    </w:p>
    <w:p w14:paraId="5B7783DA" w14:textId="44F5577C" w:rsidR="003A1020" w:rsidRDefault="003A1020" w:rsidP="00D261C3">
      <w:pPr>
        <w:tabs>
          <w:tab w:val="right" w:pos="8646"/>
        </w:tabs>
        <w:rPr>
          <w:rFonts w:ascii="Arial" w:hAnsi="Arial"/>
          <w:bCs/>
        </w:rPr>
      </w:pPr>
    </w:p>
    <w:p w14:paraId="132A192D" w14:textId="6B1380F2" w:rsidR="003A1020" w:rsidRDefault="003A1020" w:rsidP="00D261C3">
      <w:pPr>
        <w:tabs>
          <w:tab w:val="right" w:pos="8646"/>
        </w:tabs>
        <w:rPr>
          <w:rFonts w:ascii="Arial" w:hAnsi="Arial"/>
          <w:bCs/>
        </w:rPr>
      </w:pPr>
      <w:r>
        <w:rPr>
          <w:rFonts w:ascii="Arial" w:hAnsi="Arial"/>
          <w:bCs/>
        </w:rPr>
        <w:t>and</w:t>
      </w:r>
    </w:p>
    <w:p w14:paraId="01FB6C3E" w14:textId="77777777" w:rsidR="00AC2DC6" w:rsidRDefault="00AC2DC6" w:rsidP="00D261C3">
      <w:pPr>
        <w:tabs>
          <w:tab w:val="right" w:pos="8646"/>
        </w:tabs>
        <w:rPr>
          <w:rFonts w:ascii="Arial" w:hAnsi="Arial"/>
          <w:bCs/>
        </w:rPr>
      </w:pPr>
    </w:p>
    <w:p w14:paraId="75B13161" w14:textId="77FB2F8F" w:rsidR="00AC2DC6" w:rsidRDefault="00B05A02" w:rsidP="00D261C3">
      <w:pPr>
        <w:tabs>
          <w:tab w:val="right" w:pos="8646"/>
        </w:tabs>
        <w:rPr>
          <w:rFonts w:ascii="Arial" w:hAnsi="Arial"/>
          <w:bCs/>
        </w:rPr>
      </w:pPr>
      <w:r>
        <w:rPr>
          <w:rFonts w:ascii="Arial" w:hAnsi="Arial"/>
          <w:b/>
        </w:rPr>
        <w:t>ENAEX AFRICA (PTY) LTD</w:t>
      </w:r>
      <w:r w:rsidR="00AC2DC6">
        <w:rPr>
          <w:rFonts w:ascii="Arial" w:hAnsi="Arial"/>
          <w:bCs/>
        </w:rPr>
        <w:tab/>
      </w:r>
      <w:r w:rsidR="00591B12">
        <w:rPr>
          <w:rFonts w:ascii="Arial" w:hAnsi="Arial"/>
          <w:bCs/>
        </w:rPr>
        <w:t>First Respondent</w:t>
      </w:r>
    </w:p>
    <w:p w14:paraId="70FC78B0" w14:textId="1026CE50" w:rsidR="00591B12" w:rsidRDefault="00591B12" w:rsidP="00D261C3">
      <w:pPr>
        <w:tabs>
          <w:tab w:val="right" w:pos="8646"/>
        </w:tabs>
        <w:rPr>
          <w:rFonts w:ascii="Arial" w:hAnsi="Arial"/>
          <w:bCs/>
        </w:rPr>
      </w:pPr>
    </w:p>
    <w:p w14:paraId="3BC59F1E" w14:textId="01131801" w:rsidR="00591B12" w:rsidRDefault="00B05A02" w:rsidP="00D261C3">
      <w:pPr>
        <w:tabs>
          <w:tab w:val="right" w:pos="8646"/>
        </w:tabs>
        <w:rPr>
          <w:rFonts w:ascii="Arial" w:hAnsi="Arial"/>
          <w:bCs/>
        </w:rPr>
      </w:pPr>
      <w:r>
        <w:rPr>
          <w:rFonts w:ascii="Arial" w:hAnsi="Arial"/>
          <w:b/>
          <w:bCs/>
        </w:rPr>
        <w:t>SASOL LIMITED</w:t>
      </w:r>
      <w:r w:rsidR="00591B12">
        <w:rPr>
          <w:rFonts w:ascii="Arial" w:hAnsi="Arial"/>
          <w:bCs/>
        </w:rPr>
        <w:tab/>
        <w:t>Second Respondent</w:t>
      </w:r>
    </w:p>
    <w:p w14:paraId="5B36029C" w14:textId="77777777" w:rsidR="002253EE" w:rsidRDefault="002253EE" w:rsidP="00D261C3">
      <w:pPr>
        <w:tabs>
          <w:tab w:val="right" w:pos="8646"/>
        </w:tabs>
        <w:rPr>
          <w:rFonts w:ascii="Arial" w:hAnsi="Arial"/>
          <w:bCs/>
        </w:rPr>
      </w:pPr>
    </w:p>
    <w:p w14:paraId="539EAD90" w14:textId="53C688E4" w:rsidR="002253EE" w:rsidRDefault="00B05A02" w:rsidP="00D261C3">
      <w:pPr>
        <w:tabs>
          <w:tab w:val="right" w:pos="8646"/>
        </w:tabs>
        <w:rPr>
          <w:rFonts w:ascii="Arial" w:hAnsi="Arial"/>
          <w:bCs/>
        </w:rPr>
      </w:pPr>
      <w:r>
        <w:rPr>
          <w:rFonts w:ascii="Arial" w:hAnsi="Arial"/>
          <w:b/>
        </w:rPr>
        <w:t>AFRICA ARISING CAPITAL (PTY) LTD</w:t>
      </w:r>
      <w:r w:rsidR="002253EE">
        <w:rPr>
          <w:rFonts w:ascii="Arial" w:hAnsi="Arial"/>
          <w:bCs/>
        </w:rPr>
        <w:tab/>
        <w:t>Third Respondent</w:t>
      </w:r>
    </w:p>
    <w:p w14:paraId="16BA64CA" w14:textId="77777777" w:rsidR="002253EE" w:rsidRDefault="002253EE" w:rsidP="00D261C3">
      <w:pPr>
        <w:tabs>
          <w:tab w:val="right" w:pos="8646"/>
        </w:tabs>
        <w:rPr>
          <w:rFonts w:ascii="Arial" w:hAnsi="Arial"/>
          <w:bCs/>
        </w:rPr>
      </w:pPr>
    </w:p>
    <w:p w14:paraId="493CBC97" w14:textId="6C1D0D62" w:rsidR="00663670" w:rsidRDefault="00B05A02" w:rsidP="00D261C3">
      <w:pPr>
        <w:tabs>
          <w:tab w:val="right" w:pos="8646"/>
        </w:tabs>
        <w:rPr>
          <w:rFonts w:ascii="Arial" w:hAnsi="Arial"/>
          <w:bCs/>
        </w:rPr>
      </w:pPr>
      <w:r>
        <w:rPr>
          <w:rFonts w:ascii="Arial" w:hAnsi="Arial"/>
          <w:b/>
          <w:bCs/>
        </w:rPr>
        <w:t>ENTERPRISE OUTSOURCING</w:t>
      </w:r>
      <w:r w:rsidR="002253EE">
        <w:rPr>
          <w:rFonts w:ascii="Arial" w:hAnsi="Arial"/>
          <w:bCs/>
        </w:rPr>
        <w:tab/>
        <w:t>Fourth Respondent</w:t>
      </w:r>
    </w:p>
    <w:p w14:paraId="338A44A2" w14:textId="47F894CC" w:rsidR="00663670" w:rsidRDefault="00663670" w:rsidP="00D261C3">
      <w:pPr>
        <w:tabs>
          <w:tab w:val="right" w:pos="8646"/>
        </w:tabs>
        <w:rPr>
          <w:rFonts w:ascii="Arial" w:hAnsi="Arial"/>
          <w:bCs/>
        </w:rPr>
      </w:pPr>
    </w:p>
    <w:p w14:paraId="2671289B" w14:textId="1F450A13" w:rsidR="00663670" w:rsidRDefault="00B05A02" w:rsidP="00D261C3">
      <w:pPr>
        <w:tabs>
          <w:tab w:val="right" w:pos="8646"/>
        </w:tabs>
        <w:rPr>
          <w:rFonts w:ascii="Arial" w:hAnsi="Arial"/>
          <w:bCs/>
        </w:rPr>
      </w:pPr>
      <w:r>
        <w:rPr>
          <w:rFonts w:ascii="Arial" w:hAnsi="Arial"/>
          <w:b/>
          <w:bCs/>
        </w:rPr>
        <w:t>EOH NETWORK SOLUTIONS</w:t>
      </w:r>
      <w:r w:rsidR="00663670">
        <w:rPr>
          <w:rFonts w:ascii="Arial" w:hAnsi="Arial"/>
          <w:bCs/>
        </w:rPr>
        <w:tab/>
      </w:r>
      <w:r>
        <w:rPr>
          <w:rFonts w:ascii="Arial" w:hAnsi="Arial"/>
          <w:bCs/>
        </w:rPr>
        <w:t>Fifth</w:t>
      </w:r>
      <w:r w:rsidR="00663670">
        <w:rPr>
          <w:rFonts w:ascii="Arial" w:hAnsi="Arial"/>
          <w:bCs/>
        </w:rPr>
        <w:t xml:space="preserve"> Respondent</w:t>
      </w:r>
    </w:p>
    <w:p w14:paraId="661333EF" w14:textId="05013F48" w:rsidR="00373B4D" w:rsidRDefault="00373B4D" w:rsidP="00D261C3">
      <w:pPr>
        <w:tabs>
          <w:tab w:val="right" w:pos="8646"/>
        </w:tabs>
        <w:rPr>
          <w:rFonts w:ascii="Arial" w:hAnsi="Arial"/>
          <w:bCs/>
        </w:rPr>
      </w:pPr>
    </w:p>
    <w:p w14:paraId="4B73A49B" w14:textId="610982AC" w:rsidR="00373B4D" w:rsidRDefault="00373B4D" w:rsidP="00D261C3">
      <w:pPr>
        <w:tabs>
          <w:tab w:val="right" w:pos="8646"/>
        </w:tabs>
        <w:rPr>
          <w:rFonts w:ascii="Arial" w:hAnsi="Arial"/>
          <w:bCs/>
          <w:u w:val="single"/>
        </w:rPr>
      </w:pPr>
      <w:r w:rsidRPr="00373B4D">
        <w:rPr>
          <w:rFonts w:ascii="Arial" w:hAnsi="Arial"/>
          <w:bCs/>
          <w:u w:val="single"/>
        </w:rPr>
        <w:t>Summary</w:t>
      </w:r>
    </w:p>
    <w:p w14:paraId="60228FC5" w14:textId="77777777" w:rsidR="00373B4D" w:rsidRPr="00373B4D" w:rsidRDefault="00373B4D" w:rsidP="00D261C3">
      <w:pPr>
        <w:tabs>
          <w:tab w:val="right" w:pos="8646"/>
        </w:tabs>
        <w:rPr>
          <w:rFonts w:ascii="Arial" w:hAnsi="Arial"/>
          <w:bCs/>
          <w:u w:val="single"/>
        </w:rPr>
      </w:pPr>
    </w:p>
    <w:p w14:paraId="1698B81A" w14:textId="20370666" w:rsidR="00373B4D" w:rsidRDefault="00373B4D" w:rsidP="00D261C3">
      <w:pPr>
        <w:tabs>
          <w:tab w:val="right" w:pos="8646"/>
        </w:tabs>
        <w:rPr>
          <w:rFonts w:ascii="Arial" w:hAnsi="Arial"/>
          <w:bCs/>
        </w:rPr>
      </w:pPr>
      <w:r>
        <w:rPr>
          <w:rFonts w:ascii="Arial" w:hAnsi="Arial"/>
          <w:bCs/>
        </w:rPr>
        <w:t xml:space="preserve">Rule 67A – meaning and application discussed. </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6898CB7" w14:textId="77777777" w:rsidR="00F05338" w:rsidRDefault="00F05338" w:rsidP="006D186E">
      <w:pPr>
        <w:spacing w:before="240" w:line="360" w:lineRule="auto"/>
        <w:contextualSpacing/>
        <w:jc w:val="both"/>
        <w:rPr>
          <w:rFonts w:ascii="Arial" w:eastAsia="Calibri" w:hAnsi="Arial" w:cs="Arial"/>
          <w:b/>
          <w:bCs/>
          <w:color w:val="000000" w:themeColor="text1"/>
          <w:u w:val="single"/>
        </w:rPr>
      </w:pPr>
    </w:p>
    <w:p w14:paraId="45769597" w14:textId="77777777" w:rsidR="00F05338" w:rsidRDefault="00F05338" w:rsidP="006D186E">
      <w:pPr>
        <w:spacing w:before="240" w:line="360" w:lineRule="auto"/>
        <w:contextualSpacing/>
        <w:jc w:val="both"/>
        <w:rPr>
          <w:rFonts w:ascii="Arial" w:eastAsia="Calibri" w:hAnsi="Arial" w:cs="Arial"/>
          <w:b/>
          <w:bCs/>
          <w:color w:val="000000" w:themeColor="text1"/>
          <w:u w:val="single"/>
        </w:rPr>
      </w:pPr>
    </w:p>
    <w:p w14:paraId="6089C58C" w14:textId="77777777" w:rsidR="00F05338" w:rsidRDefault="00F05338" w:rsidP="006D186E">
      <w:pPr>
        <w:spacing w:before="240" w:line="360" w:lineRule="auto"/>
        <w:contextualSpacing/>
        <w:jc w:val="both"/>
        <w:rPr>
          <w:rFonts w:ascii="Arial" w:eastAsia="Calibri" w:hAnsi="Arial" w:cs="Arial"/>
          <w:b/>
          <w:bCs/>
          <w:color w:val="000000" w:themeColor="text1"/>
          <w:u w:val="single"/>
        </w:rPr>
      </w:pPr>
    </w:p>
    <w:p w14:paraId="6A4FFB19" w14:textId="552DFE83" w:rsidR="002273FD" w:rsidRPr="00BA0C0C" w:rsidRDefault="00B16DB4" w:rsidP="006D186E">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lastRenderedPageBreak/>
        <w:t>WILSON J</w:t>
      </w:r>
      <w:r w:rsidR="003A1020" w:rsidRPr="003A1020">
        <w:rPr>
          <w:rFonts w:ascii="Arial" w:eastAsia="Calibri" w:hAnsi="Arial" w:cs="Arial"/>
          <w:b/>
          <w:bCs/>
          <w:color w:val="000000" w:themeColor="text1"/>
        </w:rPr>
        <w:t>:</w:t>
      </w:r>
    </w:p>
    <w:p w14:paraId="5D3BA4D2" w14:textId="77777777" w:rsidR="00582991" w:rsidRPr="00BA0C0C" w:rsidRDefault="00582991" w:rsidP="00582991">
      <w:pPr>
        <w:spacing w:line="360" w:lineRule="auto"/>
        <w:contextualSpacing/>
        <w:jc w:val="both"/>
        <w:rPr>
          <w:rFonts w:ascii="Arial" w:eastAsia="Calibri" w:hAnsi="Arial" w:cs="Arial"/>
          <w:b/>
          <w:bCs/>
          <w:color w:val="000000" w:themeColor="text1"/>
        </w:rPr>
      </w:pPr>
    </w:p>
    <w:p w14:paraId="2738CF0D" w14:textId="4BB1B709" w:rsidR="00B05A02" w:rsidRPr="00430DF8" w:rsidRDefault="00810F89" w:rsidP="00810F89">
      <w:pPr>
        <w:pStyle w:val="Paragraph12pt"/>
        <w:tabs>
          <w:tab w:val="left" w:pos="851"/>
        </w:tabs>
        <w:ind w:left="851" w:hanging="851"/>
        <w:rPr>
          <w:bCs/>
        </w:rPr>
      </w:pPr>
      <w:r w:rsidRPr="00430DF8">
        <w:rPr>
          <w:rFonts w:cs="Arial"/>
          <w:bCs/>
          <w:color w:val="000000"/>
          <w:szCs w:val="24"/>
        </w:rPr>
        <w:t>1</w:t>
      </w:r>
      <w:r w:rsidRPr="00430DF8">
        <w:rPr>
          <w:rFonts w:cs="Arial"/>
          <w:bCs/>
          <w:color w:val="000000"/>
          <w:szCs w:val="24"/>
        </w:rPr>
        <w:tab/>
      </w:r>
      <w:r w:rsidR="00B05A02">
        <w:rPr>
          <w:bCs/>
        </w:rPr>
        <w:t xml:space="preserve">On 16 April 2024, I gave judgment </w:t>
      </w:r>
      <w:r w:rsidR="00B05A02" w:rsidRPr="00A81E5B">
        <w:rPr>
          <w:bCs/>
          <w:i/>
          <w:iCs/>
        </w:rPr>
        <w:t>ex tempore</w:t>
      </w:r>
      <w:r w:rsidR="00B05A02">
        <w:rPr>
          <w:bCs/>
        </w:rPr>
        <w:t xml:space="preserve"> </w:t>
      </w:r>
      <w:r w:rsidR="00812ABD">
        <w:rPr>
          <w:bCs/>
        </w:rPr>
        <w:t xml:space="preserve">in my opposed motion court </w:t>
      </w:r>
      <w:r w:rsidR="00B05A02">
        <w:rPr>
          <w:bCs/>
        </w:rPr>
        <w:t>dismissing this application</w:t>
      </w:r>
      <w:r w:rsidR="00A81E5B">
        <w:rPr>
          <w:bCs/>
        </w:rPr>
        <w:t>. I came to my decision in part because I lacked jurisdiction to decide the application</w:t>
      </w:r>
      <w:r w:rsidR="005031DD">
        <w:rPr>
          <w:bCs/>
        </w:rPr>
        <w:t>,</w:t>
      </w:r>
      <w:r w:rsidR="00A81E5B">
        <w:rPr>
          <w:bCs/>
        </w:rPr>
        <w:t xml:space="preserve"> and in part because the applicant lacked standing to bring it</w:t>
      </w:r>
      <w:r w:rsidR="005031DD">
        <w:rPr>
          <w:bCs/>
        </w:rPr>
        <w:t>. Most of the applicant’s claim fell within the exclusive jurisdiction of the Labour Court. T</w:t>
      </w:r>
      <w:r w:rsidR="00A81E5B">
        <w:rPr>
          <w:bCs/>
        </w:rPr>
        <w:t xml:space="preserve">he rest of the claim was an attack on the first respondent’s award of a contract to the fourth respondent, </w:t>
      </w:r>
      <w:r w:rsidR="00812ABD">
        <w:rPr>
          <w:bCs/>
        </w:rPr>
        <w:t xml:space="preserve">which was </w:t>
      </w:r>
      <w:r w:rsidR="00A81E5B">
        <w:rPr>
          <w:bCs/>
        </w:rPr>
        <w:t>a decision in which the applicant could show no legal interest. I ordered the applicant</w:t>
      </w:r>
      <w:r w:rsidR="00B757C7">
        <w:rPr>
          <w:bCs/>
        </w:rPr>
        <w:t>, Mr. Mashavha,</w:t>
      </w:r>
      <w:r w:rsidR="00A81E5B">
        <w:rPr>
          <w:bCs/>
        </w:rPr>
        <w:t xml:space="preserve"> to pay the costs of the application, on the party and party scale. </w:t>
      </w:r>
    </w:p>
    <w:p w14:paraId="0BD09A2C" w14:textId="1A1250C8" w:rsidR="00822A34" w:rsidRDefault="00810F89" w:rsidP="00810F89">
      <w:pPr>
        <w:pStyle w:val="Paragraph12pt"/>
        <w:tabs>
          <w:tab w:val="left" w:pos="851"/>
        </w:tabs>
        <w:ind w:left="851" w:hanging="851"/>
        <w:rPr>
          <w:bCs/>
        </w:rPr>
      </w:pPr>
      <w:r>
        <w:rPr>
          <w:rFonts w:cs="Arial"/>
          <w:bCs/>
          <w:color w:val="000000"/>
          <w:szCs w:val="24"/>
        </w:rPr>
        <w:t>2</w:t>
      </w:r>
      <w:r>
        <w:rPr>
          <w:rFonts w:cs="Arial"/>
          <w:bCs/>
          <w:color w:val="000000"/>
          <w:szCs w:val="24"/>
        </w:rPr>
        <w:tab/>
      </w:r>
      <w:r w:rsidR="00A81E5B">
        <w:rPr>
          <w:bCs/>
        </w:rPr>
        <w:t>After I had given judgment, but before I called the next case, Mr. Coertze, who appeared for the fourth respondent,</w:t>
      </w:r>
      <w:r w:rsidR="00B757C7">
        <w:rPr>
          <w:bCs/>
        </w:rPr>
        <w:t xml:space="preserve"> Enterprise,</w:t>
      </w:r>
      <w:r w:rsidR="00A81E5B">
        <w:rPr>
          <w:bCs/>
        </w:rPr>
        <w:t xml:space="preserve"> pointed out that, on 12 April 2024, </w:t>
      </w:r>
      <w:r w:rsidR="0021490A">
        <w:rPr>
          <w:bCs/>
        </w:rPr>
        <w:t>r</w:t>
      </w:r>
      <w:r w:rsidR="00A81E5B">
        <w:rPr>
          <w:bCs/>
        </w:rPr>
        <w:t>ule 67A of the Uniform Rules of Court had come into effect. Rule 67A (3) (a) now requires that party and party costs in the High Court be awarded on one of three scales: “A”, “B”, or “C”. In light of the fact that none of the parties had made out a case under the new rule, I afforded them until 19 April 2024 to make written submission</w:t>
      </w:r>
      <w:r w:rsidR="001759E4">
        <w:rPr>
          <w:bCs/>
        </w:rPr>
        <w:t>s</w:t>
      </w:r>
      <w:r w:rsidR="00A81E5B">
        <w:rPr>
          <w:bCs/>
        </w:rPr>
        <w:t xml:space="preserve"> on whether </w:t>
      </w:r>
      <w:r w:rsidR="0021490A">
        <w:rPr>
          <w:bCs/>
        </w:rPr>
        <w:t>r</w:t>
      </w:r>
      <w:r w:rsidR="00A81E5B">
        <w:rPr>
          <w:bCs/>
        </w:rPr>
        <w:t>ule 67A applies to this case, and</w:t>
      </w:r>
      <w:r w:rsidR="001759E4">
        <w:rPr>
          <w:bCs/>
        </w:rPr>
        <w:t>, if it does,</w:t>
      </w:r>
      <w:r w:rsidR="00812ABD">
        <w:rPr>
          <w:bCs/>
        </w:rPr>
        <w:t xml:space="preserve"> the scale</w:t>
      </w:r>
      <w:r w:rsidR="001759E4">
        <w:rPr>
          <w:bCs/>
        </w:rPr>
        <w:t xml:space="preserve"> on which I should award costs. Before addressing those </w:t>
      </w:r>
      <w:r w:rsidR="00491006">
        <w:rPr>
          <w:bCs/>
        </w:rPr>
        <w:t>submissions</w:t>
      </w:r>
      <w:r w:rsidR="001759E4">
        <w:rPr>
          <w:bCs/>
        </w:rPr>
        <w:t xml:space="preserve">, I shall briefly outline the purpose and scope of the new rule. </w:t>
      </w:r>
    </w:p>
    <w:p w14:paraId="527244A5" w14:textId="0447A642" w:rsidR="001759E4" w:rsidRPr="001759E4" w:rsidRDefault="001759E4" w:rsidP="001759E4">
      <w:pPr>
        <w:pStyle w:val="Paragraph12pt"/>
        <w:rPr>
          <w:b/>
        </w:rPr>
      </w:pPr>
      <w:r w:rsidRPr="001759E4">
        <w:rPr>
          <w:b/>
        </w:rPr>
        <w:t>Rule 67A</w:t>
      </w:r>
    </w:p>
    <w:p w14:paraId="5234491F" w14:textId="7C3BB817" w:rsidR="00371F6B" w:rsidRDefault="00810F89" w:rsidP="00810F89">
      <w:pPr>
        <w:pStyle w:val="Paragraph12pt"/>
        <w:tabs>
          <w:tab w:val="left" w:pos="851"/>
        </w:tabs>
        <w:ind w:left="851" w:hanging="851"/>
        <w:rPr>
          <w:bCs/>
        </w:rPr>
      </w:pPr>
      <w:r>
        <w:rPr>
          <w:rFonts w:cs="Arial"/>
          <w:bCs/>
          <w:color w:val="000000"/>
          <w:szCs w:val="24"/>
        </w:rPr>
        <w:t>3</w:t>
      </w:r>
      <w:r>
        <w:rPr>
          <w:rFonts w:cs="Arial"/>
          <w:bCs/>
          <w:color w:val="000000"/>
          <w:szCs w:val="24"/>
        </w:rPr>
        <w:tab/>
      </w:r>
      <w:r w:rsidR="005B2DDA">
        <w:rPr>
          <w:bCs/>
        </w:rPr>
        <w:t>C</w:t>
      </w:r>
      <w:r w:rsidR="00371F6B">
        <w:rPr>
          <w:bCs/>
        </w:rPr>
        <w:t xml:space="preserve">osts orders in civil proceedings are made on one of two scales: the “party and party” scale, </w:t>
      </w:r>
      <w:r w:rsidR="00DD417F">
        <w:rPr>
          <w:bCs/>
        </w:rPr>
        <w:t>or</w:t>
      </w:r>
      <w:r w:rsidR="00371F6B">
        <w:rPr>
          <w:bCs/>
        </w:rPr>
        <w:t xml:space="preserve"> the “attorney and client” scale. A costs award on the party </w:t>
      </w:r>
      <w:r w:rsidR="00371F6B">
        <w:rPr>
          <w:bCs/>
        </w:rPr>
        <w:lastRenderedPageBreak/>
        <w:t xml:space="preserve">and party scale allows the person in favour of whom it is made to recover the costs they had to incur in bringing or defending a civil suit, but only to the extent allowed by a set of tariffs designed to keep recoverable costs within reasonable limits. Those tariffs rarely keep pace with the actual cost of legal services, meaning that </w:t>
      </w:r>
      <w:r w:rsidR="00DD417F">
        <w:rPr>
          <w:bCs/>
        </w:rPr>
        <w:t xml:space="preserve">a </w:t>
      </w:r>
      <w:r w:rsidR="00371F6B">
        <w:rPr>
          <w:bCs/>
        </w:rPr>
        <w:t>party and party costs order seldom permit</w:t>
      </w:r>
      <w:r w:rsidR="00DD417F">
        <w:rPr>
          <w:bCs/>
        </w:rPr>
        <w:t>s</w:t>
      </w:r>
      <w:r w:rsidR="00371F6B">
        <w:rPr>
          <w:bCs/>
        </w:rPr>
        <w:t xml:space="preserve"> the recovery of the legal costs really incurred by the party in favour of whom it is made. </w:t>
      </w:r>
    </w:p>
    <w:p w14:paraId="65CEF00F" w14:textId="414E8471" w:rsidR="00371F6B" w:rsidRDefault="00810F89" w:rsidP="00810F89">
      <w:pPr>
        <w:pStyle w:val="Paragraph12pt"/>
        <w:tabs>
          <w:tab w:val="left" w:pos="851"/>
        </w:tabs>
        <w:ind w:left="851" w:hanging="851"/>
        <w:rPr>
          <w:bCs/>
        </w:rPr>
      </w:pPr>
      <w:r>
        <w:rPr>
          <w:rFonts w:cs="Arial"/>
          <w:bCs/>
          <w:color w:val="000000"/>
          <w:szCs w:val="24"/>
        </w:rPr>
        <w:t>4</w:t>
      </w:r>
      <w:r>
        <w:rPr>
          <w:rFonts w:cs="Arial"/>
          <w:bCs/>
          <w:color w:val="000000"/>
          <w:szCs w:val="24"/>
        </w:rPr>
        <w:tab/>
      </w:r>
      <w:r w:rsidR="00371F6B">
        <w:rPr>
          <w:bCs/>
        </w:rPr>
        <w:t>Attorney and client costs</w:t>
      </w:r>
      <w:r w:rsidR="00DD417F">
        <w:rPr>
          <w:bCs/>
        </w:rPr>
        <w:t xml:space="preserve"> orders</w:t>
      </w:r>
      <w:r w:rsidR="00371F6B">
        <w:rPr>
          <w:bCs/>
        </w:rPr>
        <w:t xml:space="preserve">, on the other hand, </w:t>
      </w:r>
      <w:r w:rsidR="00AC465B">
        <w:rPr>
          <w:bCs/>
        </w:rPr>
        <w:t xml:space="preserve">allow the party to whom they are awarded to recover an amount much closer to the actual costs of the legal services they purchased to participate in the suit. These orders </w:t>
      </w:r>
      <w:r w:rsidR="00371F6B">
        <w:rPr>
          <w:bCs/>
        </w:rPr>
        <w:t>are generally</w:t>
      </w:r>
      <w:r w:rsidR="00C35F3A">
        <w:rPr>
          <w:bCs/>
        </w:rPr>
        <w:t xml:space="preserve"> made</w:t>
      </w:r>
      <w:r w:rsidR="00371F6B">
        <w:rPr>
          <w:bCs/>
        </w:rPr>
        <w:t xml:space="preserve"> against a party that has misconducted themselves in the course of the litigation;</w:t>
      </w:r>
      <w:r w:rsidR="00C35F3A">
        <w:rPr>
          <w:bCs/>
        </w:rPr>
        <w:t xml:space="preserve"> against a party that</w:t>
      </w:r>
      <w:r w:rsidR="00371F6B">
        <w:rPr>
          <w:bCs/>
        </w:rPr>
        <w:t xml:space="preserve"> has brought a suit or raise</w:t>
      </w:r>
      <w:r w:rsidR="00C35F3A">
        <w:rPr>
          <w:bCs/>
        </w:rPr>
        <w:t xml:space="preserve">d a defence which was so devoid of merit as to be a waste of the court’s time; or against a party who has agreed that, if they are successfully sued in a particular set of circumstances, they will pay costs on the attorney and client scale. However, the amounts recovered under </w:t>
      </w:r>
      <w:r w:rsidR="00AC465B">
        <w:rPr>
          <w:bCs/>
        </w:rPr>
        <w:t>an attorney and client</w:t>
      </w:r>
      <w:r w:rsidR="00C35F3A">
        <w:rPr>
          <w:bCs/>
        </w:rPr>
        <w:t xml:space="preserve"> order must still, in the opinion of the taxing master, have been reasonably incurred, meaning that even an attorney and client costs order might not reimburse a litigant for everything they spent. </w:t>
      </w:r>
    </w:p>
    <w:p w14:paraId="007C3BC8" w14:textId="5AD89164" w:rsidR="009220FA" w:rsidRDefault="00810F89" w:rsidP="00810F89">
      <w:pPr>
        <w:pStyle w:val="Paragraph12pt"/>
        <w:tabs>
          <w:tab w:val="left" w:pos="851"/>
        </w:tabs>
        <w:ind w:left="851" w:hanging="851"/>
        <w:rPr>
          <w:bCs/>
        </w:rPr>
      </w:pPr>
      <w:r>
        <w:rPr>
          <w:rFonts w:cs="Arial"/>
          <w:bCs/>
          <w:color w:val="000000"/>
          <w:szCs w:val="24"/>
        </w:rPr>
        <w:t>5</w:t>
      </w:r>
      <w:r>
        <w:rPr>
          <w:rFonts w:cs="Arial"/>
          <w:bCs/>
          <w:color w:val="000000"/>
          <w:szCs w:val="24"/>
        </w:rPr>
        <w:tab/>
      </w:r>
      <w:r w:rsidR="00096424">
        <w:rPr>
          <w:bCs/>
        </w:rPr>
        <w:t xml:space="preserve">Rule 67A addresses itself only to awards of costs as between party and party. </w:t>
      </w:r>
      <w:r w:rsidR="0021490A">
        <w:rPr>
          <w:bCs/>
        </w:rPr>
        <w:t xml:space="preserve">Its purpose is to permit a court to exercise control over the maximum rate at which counsel’s fees can be recovered under </w:t>
      </w:r>
      <w:r w:rsidR="00017F96">
        <w:rPr>
          <w:bCs/>
        </w:rPr>
        <w:t>such an award</w:t>
      </w:r>
      <w:r w:rsidR="0021490A">
        <w:rPr>
          <w:bCs/>
        </w:rPr>
        <w:t xml:space="preserve">. </w:t>
      </w:r>
      <w:r w:rsidR="009220FA">
        <w:rPr>
          <w:bCs/>
        </w:rPr>
        <w:t xml:space="preserve">“Counsel” in this context should be understood to mean any legal practitioner, whether a referral advocate, a trust account advocate or an attorney with higher </w:t>
      </w:r>
      <w:r w:rsidR="009220FA">
        <w:rPr>
          <w:bCs/>
        </w:rPr>
        <w:lastRenderedPageBreak/>
        <w:t xml:space="preserve">appearance rights, who actually does the work of counsel. The focus is accordingly on assigning a maximum value that may be recovered in respect of the work done in the presentation of the case before court. The professional affiliation of the person </w:t>
      </w:r>
      <w:r w:rsidR="00DD417F">
        <w:rPr>
          <w:bCs/>
        </w:rPr>
        <w:t xml:space="preserve">undertaking </w:t>
      </w:r>
      <w:r w:rsidR="009220FA">
        <w:rPr>
          <w:bCs/>
        </w:rPr>
        <w:t>the work does not matter.</w:t>
      </w:r>
    </w:p>
    <w:p w14:paraId="6F62CB3C" w14:textId="43FCF890" w:rsidR="00096424" w:rsidRPr="00812ABD" w:rsidRDefault="00810F89" w:rsidP="00810F89">
      <w:pPr>
        <w:pStyle w:val="Paragraph12pt"/>
        <w:tabs>
          <w:tab w:val="left" w:pos="851"/>
        </w:tabs>
        <w:ind w:left="851" w:hanging="851"/>
        <w:rPr>
          <w:bCs/>
        </w:rPr>
      </w:pPr>
      <w:r w:rsidRPr="00812ABD">
        <w:rPr>
          <w:rFonts w:cs="Arial"/>
          <w:bCs/>
          <w:color w:val="000000"/>
          <w:szCs w:val="24"/>
        </w:rPr>
        <w:t>6</w:t>
      </w:r>
      <w:r w:rsidRPr="00812ABD">
        <w:rPr>
          <w:rFonts w:cs="Arial"/>
          <w:bCs/>
          <w:color w:val="000000"/>
          <w:szCs w:val="24"/>
        </w:rPr>
        <w:tab/>
      </w:r>
      <w:r w:rsidR="00AF3BE7">
        <w:rPr>
          <w:bCs/>
        </w:rPr>
        <w:t xml:space="preserve">The court </w:t>
      </w:r>
      <w:r w:rsidR="009220FA">
        <w:rPr>
          <w:bCs/>
        </w:rPr>
        <w:t>sets a maximum recoverable rate for that work</w:t>
      </w:r>
      <w:r w:rsidR="00AF3BE7">
        <w:rPr>
          <w:bCs/>
        </w:rPr>
        <w:t xml:space="preserve"> having regard to the importance, value and complexity of the matter</w:t>
      </w:r>
      <w:r w:rsidR="00812ABD">
        <w:rPr>
          <w:bCs/>
        </w:rPr>
        <w:t xml:space="preserve"> (Rule 67A</w:t>
      </w:r>
      <w:r w:rsidR="00C917BC">
        <w:rPr>
          <w:bCs/>
        </w:rPr>
        <w:t xml:space="preserve"> (3)</w:t>
      </w:r>
      <w:r w:rsidR="00812ABD">
        <w:rPr>
          <w:bCs/>
        </w:rPr>
        <w:t xml:space="preserve"> (b))</w:t>
      </w:r>
      <w:r w:rsidR="00017F96">
        <w:rPr>
          <w:bCs/>
        </w:rPr>
        <w:t>. The court may also take into account</w:t>
      </w:r>
      <w:r w:rsidR="00AF3BE7">
        <w:rPr>
          <w:bCs/>
        </w:rPr>
        <w:t xml:space="preserve"> any failure to observe the provisions of </w:t>
      </w:r>
      <w:r w:rsidR="00575F26">
        <w:rPr>
          <w:bCs/>
        </w:rPr>
        <w:t>r</w:t>
      </w:r>
      <w:r w:rsidR="00AF3BE7">
        <w:rPr>
          <w:bCs/>
        </w:rPr>
        <w:t>ules 30A, 37,</w:t>
      </w:r>
      <w:r w:rsidR="00575F26">
        <w:rPr>
          <w:bCs/>
        </w:rPr>
        <w:t xml:space="preserve"> </w:t>
      </w:r>
      <w:r w:rsidR="00AF3BE7">
        <w:rPr>
          <w:bCs/>
        </w:rPr>
        <w:t>37A</w:t>
      </w:r>
      <w:r w:rsidR="00575F26">
        <w:rPr>
          <w:bCs/>
        </w:rPr>
        <w:t xml:space="preserve"> and 41A</w:t>
      </w:r>
      <w:r w:rsidR="00AF3BE7">
        <w:rPr>
          <w:bCs/>
        </w:rPr>
        <w:t xml:space="preserve">; any over-long written argument, oral argument, examination or cross-examination of witnesses; </w:t>
      </w:r>
      <w:r w:rsidR="005B2DDA">
        <w:rPr>
          <w:bCs/>
        </w:rPr>
        <w:t xml:space="preserve"> or </w:t>
      </w:r>
      <w:r w:rsidR="00AF3BE7">
        <w:rPr>
          <w:bCs/>
        </w:rPr>
        <w:t>any other misconduct that might justify a personal costs order</w:t>
      </w:r>
      <w:r w:rsidR="00C35F3A">
        <w:rPr>
          <w:bCs/>
        </w:rPr>
        <w:t xml:space="preserve"> (a costs order made against a person other than one of the litigants – usually a legal representative</w:t>
      </w:r>
      <w:r w:rsidR="00A02800">
        <w:rPr>
          <w:bCs/>
        </w:rPr>
        <w:t>,</w:t>
      </w:r>
      <w:r w:rsidR="00C35F3A">
        <w:rPr>
          <w:bCs/>
        </w:rPr>
        <w:t xml:space="preserve"> or </w:t>
      </w:r>
      <w:r w:rsidR="00DD417F">
        <w:rPr>
          <w:bCs/>
        </w:rPr>
        <w:t>someone else acting in an o</w:t>
      </w:r>
      <w:r w:rsidR="00C35F3A">
        <w:rPr>
          <w:bCs/>
        </w:rPr>
        <w:t xml:space="preserve">fficial </w:t>
      </w:r>
      <w:r w:rsidR="00A02800">
        <w:rPr>
          <w:bCs/>
        </w:rPr>
        <w:t xml:space="preserve">capacity, </w:t>
      </w:r>
      <w:r w:rsidR="00C35F3A">
        <w:rPr>
          <w:bCs/>
        </w:rPr>
        <w:t>who has seriously misconducted themselves)</w:t>
      </w:r>
      <w:r w:rsidR="005B2DDA">
        <w:rPr>
          <w:bCs/>
        </w:rPr>
        <w:t xml:space="preserve">. </w:t>
      </w:r>
      <w:r w:rsidR="00AF3BE7">
        <w:rPr>
          <w:bCs/>
        </w:rPr>
        <w:t xml:space="preserve"> </w:t>
      </w:r>
      <w:r w:rsidR="005B2DDA">
        <w:rPr>
          <w:bCs/>
        </w:rPr>
        <w:t>It may also be relevant that the case fell within the jurisdiction of t</w:t>
      </w:r>
      <w:r w:rsidR="00AF3BE7">
        <w:rPr>
          <w:bCs/>
        </w:rPr>
        <w:t>he Magistrate’s Court</w:t>
      </w:r>
      <w:r w:rsidR="005B2DDA">
        <w:rPr>
          <w:bCs/>
        </w:rPr>
        <w:t>, and might have been better determined there</w:t>
      </w:r>
      <w:r w:rsidR="00AF3BE7">
        <w:rPr>
          <w:bCs/>
        </w:rPr>
        <w:t xml:space="preserve">. </w:t>
      </w:r>
      <w:r w:rsidR="00096424" w:rsidRPr="00812ABD">
        <w:rPr>
          <w:bCs/>
        </w:rPr>
        <w:t xml:space="preserve">Rule 67A (2) </w:t>
      </w:r>
      <w:r w:rsidR="00AF3BE7" w:rsidRPr="00812ABD">
        <w:rPr>
          <w:bCs/>
        </w:rPr>
        <w:t>identifies the</w:t>
      </w:r>
      <w:r w:rsidR="00812ABD">
        <w:rPr>
          <w:bCs/>
        </w:rPr>
        <w:t>se</w:t>
      </w:r>
      <w:r w:rsidR="00AF3BE7" w:rsidRPr="00812ABD">
        <w:rPr>
          <w:bCs/>
        </w:rPr>
        <w:t xml:space="preserve"> </w:t>
      </w:r>
      <w:r w:rsidR="00D04DD0">
        <w:rPr>
          <w:bCs/>
        </w:rPr>
        <w:t>considerations</w:t>
      </w:r>
      <w:r w:rsidR="00812ABD">
        <w:rPr>
          <w:bCs/>
        </w:rPr>
        <w:t xml:space="preserve">, </w:t>
      </w:r>
      <w:r w:rsidR="00575F26" w:rsidRPr="00812ABD">
        <w:rPr>
          <w:bCs/>
        </w:rPr>
        <w:t>and emphasises their relevance to the making of a costs order under the rule.</w:t>
      </w:r>
    </w:p>
    <w:p w14:paraId="18C3C78A" w14:textId="075ADDD5" w:rsidR="0021490A" w:rsidRDefault="00810F89" w:rsidP="00810F89">
      <w:pPr>
        <w:pStyle w:val="Paragraph12pt"/>
        <w:tabs>
          <w:tab w:val="left" w:pos="851"/>
        </w:tabs>
        <w:ind w:left="851" w:hanging="851"/>
        <w:rPr>
          <w:bCs/>
        </w:rPr>
      </w:pPr>
      <w:r>
        <w:rPr>
          <w:rFonts w:cs="Arial"/>
          <w:bCs/>
          <w:color w:val="000000"/>
          <w:szCs w:val="24"/>
        </w:rPr>
        <w:t>7</w:t>
      </w:r>
      <w:r>
        <w:rPr>
          <w:rFonts w:cs="Arial"/>
          <w:bCs/>
          <w:color w:val="000000"/>
          <w:szCs w:val="24"/>
        </w:rPr>
        <w:tab/>
      </w:r>
      <w:r w:rsidR="00812ABD">
        <w:rPr>
          <w:bCs/>
        </w:rPr>
        <w:t>Rule 67A (3) provides that</w:t>
      </w:r>
      <w:r w:rsidR="00096424">
        <w:rPr>
          <w:bCs/>
        </w:rPr>
        <w:t xml:space="preserve"> a court “shall”, when making a party and party costs order,</w:t>
      </w:r>
      <w:r w:rsidR="0021490A">
        <w:rPr>
          <w:bCs/>
        </w:rPr>
        <w:t xml:space="preserve"> “indicate </w:t>
      </w:r>
      <w:r w:rsidR="0021490A" w:rsidRPr="0021490A">
        <w:rPr>
          <w:bCs/>
        </w:rPr>
        <w:t>the scale in terms of rule 69, under which costs have been granted</w:t>
      </w:r>
      <w:r w:rsidR="0021490A">
        <w:rPr>
          <w:bCs/>
        </w:rPr>
        <w:t>”</w:t>
      </w:r>
      <w:r w:rsidR="0021490A" w:rsidRPr="0021490A">
        <w:rPr>
          <w:bCs/>
        </w:rPr>
        <w:t>.</w:t>
      </w:r>
      <w:r w:rsidR="0021490A">
        <w:rPr>
          <w:bCs/>
        </w:rPr>
        <w:t xml:space="preserve"> Those scales ha</w:t>
      </w:r>
      <w:r w:rsidR="00812ABD">
        <w:rPr>
          <w:bCs/>
        </w:rPr>
        <w:t>ve</w:t>
      </w:r>
      <w:r w:rsidR="0021490A">
        <w:rPr>
          <w:bCs/>
        </w:rPr>
        <w:t xml:space="preserve"> been inserted into rule 69</w:t>
      </w:r>
      <w:r w:rsidR="00812ABD">
        <w:rPr>
          <w:bCs/>
        </w:rPr>
        <w:t xml:space="preserve"> (7)</w:t>
      </w:r>
      <w:r w:rsidR="0021490A">
        <w:rPr>
          <w:bCs/>
        </w:rPr>
        <w:t xml:space="preserve"> under the </w:t>
      </w:r>
      <w:r w:rsidR="00017F96">
        <w:rPr>
          <w:bCs/>
        </w:rPr>
        <w:t>amendment that created rule 67A</w:t>
      </w:r>
      <w:r w:rsidR="0021490A">
        <w:rPr>
          <w:bCs/>
        </w:rPr>
        <w:t>. They are scale</w:t>
      </w:r>
      <w:r w:rsidR="00017F96">
        <w:rPr>
          <w:bCs/>
        </w:rPr>
        <w:t>s</w:t>
      </w:r>
      <w:r w:rsidR="0021490A">
        <w:rPr>
          <w:bCs/>
        </w:rPr>
        <w:t xml:space="preserve"> “A”, “B”, and “C”. They set the maximum rate at which counsel’s fees may be </w:t>
      </w:r>
      <w:r w:rsidR="009220FA">
        <w:rPr>
          <w:bCs/>
        </w:rPr>
        <w:t>recovered</w:t>
      </w:r>
      <w:r w:rsidR="0021490A">
        <w:rPr>
          <w:bCs/>
        </w:rPr>
        <w:t xml:space="preserve"> on a party and party bill. Scale </w:t>
      </w:r>
      <w:r w:rsidR="00381E34">
        <w:rPr>
          <w:bCs/>
        </w:rPr>
        <w:t>“</w:t>
      </w:r>
      <w:r w:rsidR="0021490A">
        <w:rPr>
          <w:bCs/>
        </w:rPr>
        <w:t>A</w:t>
      </w:r>
      <w:r w:rsidR="00381E34">
        <w:rPr>
          <w:bCs/>
        </w:rPr>
        <w:t>”</w:t>
      </w:r>
      <w:r w:rsidR="0021490A">
        <w:rPr>
          <w:bCs/>
        </w:rPr>
        <w:t xml:space="preserve"> provides a maximum tariff of R375 per quarter hour; scale </w:t>
      </w:r>
      <w:r w:rsidR="00381E34">
        <w:rPr>
          <w:bCs/>
        </w:rPr>
        <w:t>“</w:t>
      </w:r>
      <w:r w:rsidR="0021490A">
        <w:rPr>
          <w:bCs/>
        </w:rPr>
        <w:t>B</w:t>
      </w:r>
      <w:r w:rsidR="00381E34">
        <w:rPr>
          <w:bCs/>
        </w:rPr>
        <w:t>”</w:t>
      </w:r>
      <w:r w:rsidR="0021490A">
        <w:rPr>
          <w:bCs/>
        </w:rPr>
        <w:t xml:space="preserve"> </w:t>
      </w:r>
      <w:r w:rsidR="009220FA">
        <w:rPr>
          <w:bCs/>
        </w:rPr>
        <w:t xml:space="preserve">sets a maximum </w:t>
      </w:r>
      <w:r w:rsidR="0021490A">
        <w:rPr>
          <w:bCs/>
        </w:rPr>
        <w:t xml:space="preserve">tariff of R750 per quarter hour; and scale </w:t>
      </w:r>
      <w:r w:rsidR="00381E34">
        <w:rPr>
          <w:bCs/>
        </w:rPr>
        <w:t>“</w:t>
      </w:r>
      <w:r w:rsidR="0021490A">
        <w:rPr>
          <w:bCs/>
        </w:rPr>
        <w:t>C</w:t>
      </w:r>
      <w:r w:rsidR="00381E34">
        <w:rPr>
          <w:bCs/>
        </w:rPr>
        <w:t>”</w:t>
      </w:r>
      <w:r w:rsidR="0021490A">
        <w:rPr>
          <w:bCs/>
        </w:rPr>
        <w:t xml:space="preserve"> </w:t>
      </w:r>
      <w:r w:rsidR="009220FA">
        <w:rPr>
          <w:bCs/>
        </w:rPr>
        <w:t xml:space="preserve">sets a maximum </w:t>
      </w:r>
      <w:r w:rsidR="0021490A">
        <w:rPr>
          <w:bCs/>
        </w:rPr>
        <w:t xml:space="preserve"> tariff of R1125</w:t>
      </w:r>
      <w:r w:rsidR="009220FA">
        <w:rPr>
          <w:bCs/>
        </w:rPr>
        <w:t xml:space="preserve"> per quarter hour</w:t>
      </w:r>
      <w:r w:rsidR="0021490A">
        <w:rPr>
          <w:bCs/>
        </w:rPr>
        <w:t xml:space="preserve">. </w:t>
      </w:r>
    </w:p>
    <w:p w14:paraId="442E588C" w14:textId="22DCB00E" w:rsidR="009220FA" w:rsidRDefault="00810F89" w:rsidP="00810F89">
      <w:pPr>
        <w:pStyle w:val="Paragraph12pt"/>
        <w:tabs>
          <w:tab w:val="left" w:pos="851"/>
        </w:tabs>
        <w:ind w:left="851" w:hanging="851"/>
        <w:rPr>
          <w:bCs/>
        </w:rPr>
      </w:pPr>
      <w:r>
        <w:rPr>
          <w:rFonts w:cs="Arial"/>
          <w:bCs/>
          <w:color w:val="000000"/>
          <w:szCs w:val="24"/>
        </w:rPr>
        <w:lastRenderedPageBreak/>
        <w:t>8</w:t>
      </w:r>
      <w:r>
        <w:rPr>
          <w:rFonts w:cs="Arial"/>
          <w:bCs/>
          <w:color w:val="000000"/>
          <w:szCs w:val="24"/>
        </w:rPr>
        <w:tab/>
      </w:r>
      <w:r w:rsidR="0021490A">
        <w:rPr>
          <w:bCs/>
        </w:rPr>
        <w:t xml:space="preserve">Rule 67A </w:t>
      </w:r>
      <w:r w:rsidR="009220FA">
        <w:rPr>
          <w:bCs/>
        </w:rPr>
        <w:t xml:space="preserve">(3) </w:t>
      </w:r>
      <w:r w:rsidR="0021490A">
        <w:rPr>
          <w:bCs/>
        </w:rPr>
        <w:t>(c) states that</w:t>
      </w:r>
      <w:r w:rsidR="008722F8">
        <w:rPr>
          <w:bCs/>
        </w:rPr>
        <w:t xml:space="preserve"> if a court declines to indicate a scale in its order, the lowest scale – scale </w:t>
      </w:r>
      <w:r w:rsidR="00381E34">
        <w:rPr>
          <w:bCs/>
        </w:rPr>
        <w:t>“</w:t>
      </w:r>
      <w:r w:rsidR="008722F8">
        <w:rPr>
          <w:bCs/>
        </w:rPr>
        <w:t>A</w:t>
      </w:r>
      <w:r w:rsidR="00381E34">
        <w:rPr>
          <w:bCs/>
        </w:rPr>
        <w:t>”</w:t>
      </w:r>
      <w:r w:rsidR="008722F8">
        <w:rPr>
          <w:bCs/>
        </w:rPr>
        <w:t xml:space="preserve"> – </w:t>
      </w:r>
      <w:r w:rsidR="00A02800">
        <w:rPr>
          <w:bCs/>
        </w:rPr>
        <w:t>applies</w:t>
      </w:r>
      <w:r w:rsidR="008722F8">
        <w:rPr>
          <w:bCs/>
        </w:rPr>
        <w:t xml:space="preserve">. </w:t>
      </w:r>
    </w:p>
    <w:p w14:paraId="2A4794D6" w14:textId="7FBA22F9" w:rsidR="008722F8" w:rsidRPr="00562BDB" w:rsidRDefault="00810F89" w:rsidP="00810F89">
      <w:pPr>
        <w:pStyle w:val="Paragraph12pt"/>
        <w:tabs>
          <w:tab w:val="left" w:pos="851"/>
        </w:tabs>
        <w:ind w:left="851" w:hanging="851"/>
        <w:rPr>
          <w:bCs/>
        </w:rPr>
      </w:pPr>
      <w:r w:rsidRPr="00562BDB">
        <w:rPr>
          <w:rFonts w:cs="Arial"/>
          <w:bCs/>
          <w:color w:val="000000"/>
          <w:szCs w:val="24"/>
        </w:rPr>
        <w:t>9</w:t>
      </w:r>
      <w:r w:rsidRPr="00562BDB">
        <w:rPr>
          <w:rFonts w:cs="Arial"/>
          <w:bCs/>
          <w:color w:val="000000"/>
          <w:szCs w:val="24"/>
        </w:rPr>
        <w:tab/>
      </w:r>
      <w:r w:rsidR="008722F8" w:rsidRPr="009220FA">
        <w:rPr>
          <w:bCs/>
        </w:rPr>
        <w:t xml:space="preserve">Rule 67A (4) provides for </w:t>
      </w:r>
      <w:r w:rsidR="00562BDB">
        <w:rPr>
          <w:bCs/>
        </w:rPr>
        <w:t>the</w:t>
      </w:r>
      <w:r w:rsidR="00D04DD0">
        <w:rPr>
          <w:bCs/>
        </w:rPr>
        <w:t xml:space="preserve"> right</w:t>
      </w:r>
      <w:r w:rsidR="008722F8" w:rsidRPr="009220FA">
        <w:rPr>
          <w:bCs/>
        </w:rPr>
        <w:t xml:space="preserve"> to apply for an order determining which parts of the proceedings, if any, </w:t>
      </w:r>
      <w:r w:rsidR="00562BDB">
        <w:rPr>
          <w:bCs/>
        </w:rPr>
        <w:t xml:space="preserve">were </w:t>
      </w:r>
      <w:r w:rsidR="008722F8" w:rsidRPr="00562BDB">
        <w:rPr>
          <w:bCs/>
        </w:rPr>
        <w:t>urgent, and whether the costs of more than one counsel may be recovered. The effect of that subrule is, notionally,</w:t>
      </w:r>
      <w:r w:rsidR="009220FA" w:rsidRPr="00562BDB">
        <w:rPr>
          <w:bCs/>
        </w:rPr>
        <w:t xml:space="preserve"> that</w:t>
      </w:r>
      <w:r w:rsidR="008722F8" w:rsidRPr="00562BDB">
        <w:rPr>
          <w:bCs/>
        </w:rPr>
        <w:t xml:space="preserve"> a different scale could be assigned to the services of each counsel whose fees are allowed under the rule. Given that each of the parties in this case was represented </w:t>
      </w:r>
      <w:r w:rsidR="00562BDB">
        <w:rPr>
          <w:bCs/>
        </w:rPr>
        <w:t xml:space="preserve">only </w:t>
      </w:r>
      <w:r w:rsidR="008722F8" w:rsidRPr="00562BDB">
        <w:rPr>
          <w:bCs/>
        </w:rPr>
        <w:t>by one counsel, I leave</w:t>
      </w:r>
      <w:r w:rsidR="00675EE4" w:rsidRPr="00562BDB">
        <w:rPr>
          <w:bCs/>
        </w:rPr>
        <w:t xml:space="preserve"> open</w:t>
      </w:r>
      <w:r w:rsidR="008722F8" w:rsidRPr="00562BDB">
        <w:rPr>
          <w:bCs/>
        </w:rPr>
        <w:t xml:space="preserve"> th</w:t>
      </w:r>
      <w:r w:rsidR="00675EE4" w:rsidRPr="00562BDB">
        <w:rPr>
          <w:bCs/>
        </w:rPr>
        <w:t>e question of whether, when and how such an order should be made</w:t>
      </w:r>
      <w:r w:rsidR="008722F8" w:rsidRPr="00562BDB">
        <w:rPr>
          <w:bCs/>
        </w:rPr>
        <w:t xml:space="preserve">. </w:t>
      </w:r>
    </w:p>
    <w:p w14:paraId="0E226865" w14:textId="6F648E75" w:rsidR="008722F8" w:rsidRDefault="00810F89" w:rsidP="00810F89">
      <w:pPr>
        <w:pStyle w:val="Paragraph12pt"/>
        <w:tabs>
          <w:tab w:val="left" w:pos="851"/>
        </w:tabs>
        <w:ind w:left="851" w:hanging="851"/>
        <w:rPr>
          <w:bCs/>
        </w:rPr>
      </w:pPr>
      <w:r>
        <w:rPr>
          <w:rFonts w:cs="Arial"/>
          <w:bCs/>
          <w:color w:val="000000"/>
          <w:szCs w:val="24"/>
        </w:rPr>
        <w:t>10</w:t>
      </w:r>
      <w:r>
        <w:rPr>
          <w:rFonts w:cs="Arial"/>
          <w:bCs/>
          <w:color w:val="000000"/>
          <w:szCs w:val="24"/>
        </w:rPr>
        <w:tab/>
      </w:r>
      <w:r w:rsidR="008722F8">
        <w:rPr>
          <w:bCs/>
        </w:rPr>
        <w:t xml:space="preserve">Rules 67A </w:t>
      </w:r>
      <w:r w:rsidR="00812ABD">
        <w:rPr>
          <w:bCs/>
        </w:rPr>
        <w:t xml:space="preserve">(1), </w:t>
      </w:r>
      <w:r w:rsidR="008722F8">
        <w:rPr>
          <w:bCs/>
        </w:rPr>
        <w:t xml:space="preserve">(5) and (6) </w:t>
      </w:r>
      <w:r w:rsidR="00A02800">
        <w:rPr>
          <w:bCs/>
        </w:rPr>
        <w:t>instruct</w:t>
      </w:r>
      <w:r w:rsidR="008722F8">
        <w:rPr>
          <w:bCs/>
        </w:rPr>
        <w:t xml:space="preserve"> the taxing master </w:t>
      </w:r>
      <w:r w:rsidR="00A02800">
        <w:rPr>
          <w:bCs/>
        </w:rPr>
        <w:t>o</w:t>
      </w:r>
      <w:r w:rsidR="008722F8">
        <w:rPr>
          <w:bCs/>
        </w:rPr>
        <w:t xml:space="preserve">n the performance of their duties under the new rule. </w:t>
      </w:r>
    </w:p>
    <w:p w14:paraId="4F433554" w14:textId="08CE5A22" w:rsidR="00AF3BE7" w:rsidRDefault="00810F89" w:rsidP="00810F89">
      <w:pPr>
        <w:pStyle w:val="Paragraph12pt"/>
        <w:tabs>
          <w:tab w:val="left" w:pos="851"/>
        </w:tabs>
        <w:ind w:left="851" w:hanging="851"/>
        <w:rPr>
          <w:bCs/>
        </w:rPr>
      </w:pPr>
      <w:r>
        <w:rPr>
          <w:rFonts w:cs="Arial"/>
          <w:bCs/>
          <w:color w:val="000000"/>
          <w:szCs w:val="24"/>
        </w:rPr>
        <w:t>11</w:t>
      </w:r>
      <w:r>
        <w:rPr>
          <w:rFonts w:cs="Arial"/>
          <w:bCs/>
          <w:color w:val="000000"/>
          <w:szCs w:val="24"/>
        </w:rPr>
        <w:tab/>
      </w:r>
      <w:r w:rsidR="00AF3BE7">
        <w:rPr>
          <w:bCs/>
        </w:rPr>
        <w:t>It seems to me, therefore, that the approach to setting a scale of costs under Rule 67A (3) should be</w:t>
      </w:r>
      <w:r w:rsidR="00A02800">
        <w:rPr>
          <w:bCs/>
        </w:rPr>
        <w:t>, first,</w:t>
      </w:r>
      <w:r w:rsidR="00AF3BE7">
        <w:rPr>
          <w:bCs/>
        </w:rPr>
        <w:t xml:space="preserve"> to identify the appropriate scale (“A”, “B” or “C”) in light of the importance, value and complexity of the case, and then consider whether, because of inartful or unethical conduct of the nature identified in Rule </w:t>
      </w:r>
      <w:r w:rsidR="00575F26">
        <w:rPr>
          <w:bCs/>
        </w:rPr>
        <w:t>67A (2)</w:t>
      </w:r>
      <w:r w:rsidR="00CC152B">
        <w:rPr>
          <w:bCs/>
        </w:rPr>
        <w:t>,</w:t>
      </w:r>
      <w:r w:rsidR="00575F26">
        <w:rPr>
          <w:bCs/>
        </w:rPr>
        <w:t xml:space="preserve"> that scale should be reduced, such that the successful party should not be able to recover counsel’s costs to the extent that they would otherwise </w:t>
      </w:r>
      <w:r w:rsidR="00562BDB">
        <w:rPr>
          <w:bCs/>
        </w:rPr>
        <w:t xml:space="preserve">have </w:t>
      </w:r>
      <w:r w:rsidR="00575F26">
        <w:rPr>
          <w:bCs/>
        </w:rPr>
        <w:t>be</w:t>
      </w:r>
      <w:r w:rsidR="00562BDB">
        <w:rPr>
          <w:bCs/>
        </w:rPr>
        <w:t>en</w:t>
      </w:r>
      <w:r w:rsidR="00575F26">
        <w:rPr>
          <w:bCs/>
        </w:rPr>
        <w:t xml:space="preserve"> entitled. </w:t>
      </w:r>
    </w:p>
    <w:p w14:paraId="67F78BD3" w14:textId="1338BFC7" w:rsidR="00575F26" w:rsidRPr="00575F26" w:rsidRDefault="00575F26" w:rsidP="00575F26">
      <w:pPr>
        <w:pStyle w:val="Paragraph12pt"/>
        <w:rPr>
          <w:b/>
        </w:rPr>
      </w:pPr>
      <w:r w:rsidRPr="00575F26">
        <w:rPr>
          <w:b/>
        </w:rPr>
        <w:t>The application of the rule to pending cases</w:t>
      </w:r>
    </w:p>
    <w:p w14:paraId="09208211" w14:textId="4C342DD0" w:rsidR="00575F26" w:rsidRDefault="00810F89" w:rsidP="00810F89">
      <w:pPr>
        <w:pStyle w:val="Paragraph12pt"/>
        <w:tabs>
          <w:tab w:val="left" w:pos="851"/>
        </w:tabs>
        <w:ind w:left="851" w:hanging="851"/>
        <w:rPr>
          <w:bCs/>
        </w:rPr>
      </w:pPr>
      <w:r>
        <w:rPr>
          <w:rFonts w:cs="Arial"/>
          <w:bCs/>
          <w:color w:val="000000"/>
          <w:szCs w:val="24"/>
        </w:rPr>
        <w:t>12</w:t>
      </w:r>
      <w:r>
        <w:rPr>
          <w:rFonts w:cs="Arial"/>
          <w:bCs/>
          <w:color w:val="000000"/>
          <w:szCs w:val="24"/>
        </w:rPr>
        <w:tab/>
      </w:r>
      <w:r w:rsidR="00CC152B">
        <w:rPr>
          <w:bCs/>
        </w:rPr>
        <w:t xml:space="preserve">It seems to me </w:t>
      </w:r>
      <w:r w:rsidR="00A02800">
        <w:rPr>
          <w:bCs/>
        </w:rPr>
        <w:t xml:space="preserve">that </w:t>
      </w:r>
      <w:r w:rsidR="00CC152B">
        <w:rPr>
          <w:bCs/>
        </w:rPr>
        <w:t xml:space="preserve">the 12 April 2024 amendments can only apply prospectively. This means that a costs order under Rule 67A (3) </w:t>
      </w:r>
      <w:r w:rsidR="00562BDB">
        <w:rPr>
          <w:bCs/>
        </w:rPr>
        <w:t xml:space="preserve">should </w:t>
      </w:r>
      <w:r w:rsidR="00CC152B">
        <w:rPr>
          <w:bCs/>
        </w:rPr>
        <w:t xml:space="preserve">be made on cases instituted before 12 April 2024 but heard thereafter. </w:t>
      </w:r>
      <w:r w:rsidR="00A02800">
        <w:rPr>
          <w:bCs/>
        </w:rPr>
        <w:t>T</w:t>
      </w:r>
      <w:r w:rsidR="00CC152B">
        <w:rPr>
          <w:bCs/>
        </w:rPr>
        <w:t xml:space="preserve">he </w:t>
      </w:r>
      <w:r w:rsidR="00675EE4">
        <w:rPr>
          <w:bCs/>
        </w:rPr>
        <w:t>scale nominated in the order</w:t>
      </w:r>
      <w:r w:rsidR="00CC152B">
        <w:rPr>
          <w:bCs/>
        </w:rPr>
        <w:t xml:space="preserve"> will only apply to work done on the matter after 12 April </w:t>
      </w:r>
      <w:r w:rsidR="00CC152B">
        <w:rPr>
          <w:bCs/>
        </w:rPr>
        <w:lastRenderedPageBreak/>
        <w:t xml:space="preserve">2024. Take, for example, a motion instituted in 2023, in which written argument was filed in January 2024, and </w:t>
      </w:r>
      <w:r w:rsidR="004645BC">
        <w:rPr>
          <w:bCs/>
        </w:rPr>
        <w:t xml:space="preserve">in </w:t>
      </w:r>
      <w:r w:rsidR="00CC152B">
        <w:rPr>
          <w:bCs/>
        </w:rPr>
        <w:t>which oral argument was presented on 15 April 2024. A party and party costs order on the “C” scale is made</w:t>
      </w:r>
      <w:r w:rsidR="00373B4D">
        <w:rPr>
          <w:bCs/>
        </w:rPr>
        <w:t xml:space="preserve"> on 15 April 2024</w:t>
      </w:r>
      <w:r w:rsidR="00CC152B">
        <w:rPr>
          <w:bCs/>
        </w:rPr>
        <w:t>. The “C” scale will only apply to counsel’s preparation and attendance</w:t>
      </w:r>
      <w:r w:rsidR="00B757C7">
        <w:rPr>
          <w:bCs/>
        </w:rPr>
        <w:t>s</w:t>
      </w:r>
      <w:r w:rsidR="00CC152B">
        <w:rPr>
          <w:bCs/>
        </w:rPr>
        <w:t xml:space="preserve"> (if they are otherwise recoverable) after 12 April 2024, to the </w:t>
      </w:r>
      <w:r w:rsidR="00B757C7">
        <w:rPr>
          <w:bCs/>
        </w:rPr>
        <w:t>appearance</w:t>
      </w:r>
      <w:r w:rsidR="00CC152B">
        <w:rPr>
          <w:bCs/>
        </w:rPr>
        <w:t xml:space="preserve"> itself, and to any recoverable post-hearing attendances. </w:t>
      </w:r>
      <w:r w:rsidR="00373B4D">
        <w:rPr>
          <w:bCs/>
        </w:rPr>
        <w:t xml:space="preserve">Fees for work done before 12 April 2024 will be recoverable under the rules </w:t>
      </w:r>
      <w:r w:rsidR="00675EE4">
        <w:rPr>
          <w:bCs/>
        </w:rPr>
        <w:t xml:space="preserve">applicable to the taxation of </w:t>
      </w:r>
      <w:r w:rsidR="009220FA">
        <w:rPr>
          <w:bCs/>
        </w:rPr>
        <w:t>counsel’s</w:t>
      </w:r>
      <w:r w:rsidR="00675EE4">
        <w:rPr>
          <w:bCs/>
        </w:rPr>
        <w:t xml:space="preserve"> costs </w:t>
      </w:r>
      <w:r w:rsidR="00373B4D">
        <w:rPr>
          <w:bCs/>
        </w:rPr>
        <w:t>as they</w:t>
      </w:r>
      <w:r w:rsidR="00675EE4">
        <w:rPr>
          <w:bCs/>
        </w:rPr>
        <w:t xml:space="preserve"> were then</w:t>
      </w:r>
      <w:r w:rsidR="00373B4D">
        <w:rPr>
          <w:bCs/>
        </w:rPr>
        <w:t xml:space="preserve">. </w:t>
      </w:r>
    </w:p>
    <w:p w14:paraId="53DFE030" w14:textId="2B7F42D8" w:rsidR="00CC152B" w:rsidRDefault="00810F89" w:rsidP="00810F89">
      <w:pPr>
        <w:pStyle w:val="Paragraph12pt"/>
        <w:tabs>
          <w:tab w:val="left" w:pos="851"/>
        </w:tabs>
        <w:ind w:left="851" w:hanging="851"/>
        <w:rPr>
          <w:bCs/>
        </w:rPr>
      </w:pPr>
      <w:r>
        <w:rPr>
          <w:rFonts w:cs="Arial"/>
          <w:bCs/>
          <w:color w:val="000000"/>
          <w:szCs w:val="24"/>
        </w:rPr>
        <w:t>13</w:t>
      </w:r>
      <w:r>
        <w:rPr>
          <w:rFonts w:cs="Arial"/>
          <w:bCs/>
          <w:color w:val="000000"/>
          <w:szCs w:val="24"/>
        </w:rPr>
        <w:tab/>
      </w:r>
      <w:r w:rsidR="00CC152B">
        <w:rPr>
          <w:bCs/>
        </w:rPr>
        <w:t xml:space="preserve">To hold otherwise would </w:t>
      </w:r>
      <w:r w:rsidR="00373B4D">
        <w:rPr>
          <w:bCs/>
        </w:rPr>
        <w:t>either fail to give effect to the rule, or retrospectively revalue legal services purchased under a different dispensation</w:t>
      </w:r>
      <w:r w:rsidR="00675EE4">
        <w:rPr>
          <w:bCs/>
        </w:rPr>
        <w:t xml:space="preserve"> and </w:t>
      </w:r>
      <w:r w:rsidR="00812ABD">
        <w:rPr>
          <w:bCs/>
        </w:rPr>
        <w:t xml:space="preserve">structure of </w:t>
      </w:r>
      <w:r w:rsidR="00373B4D">
        <w:rPr>
          <w:bCs/>
        </w:rPr>
        <w:t xml:space="preserve">expectations. </w:t>
      </w:r>
      <w:r w:rsidR="004645BC">
        <w:rPr>
          <w:bCs/>
        </w:rPr>
        <w:t xml:space="preserve">Neither of these alternatives is desirable. </w:t>
      </w:r>
    </w:p>
    <w:p w14:paraId="48CDA35E" w14:textId="0D4008AF" w:rsidR="00373B4D" w:rsidRPr="00373B4D" w:rsidRDefault="00373B4D" w:rsidP="00373B4D">
      <w:pPr>
        <w:pStyle w:val="Paragraph12pt"/>
        <w:rPr>
          <w:b/>
        </w:rPr>
      </w:pPr>
      <w:r w:rsidRPr="00373B4D">
        <w:rPr>
          <w:b/>
        </w:rPr>
        <w:t xml:space="preserve">The application of </w:t>
      </w:r>
      <w:r>
        <w:rPr>
          <w:b/>
        </w:rPr>
        <w:t xml:space="preserve">Rule 67A </w:t>
      </w:r>
      <w:r w:rsidRPr="00373B4D">
        <w:rPr>
          <w:b/>
        </w:rPr>
        <w:t>to this case</w:t>
      </w:r>
    </w:p>
    <w:p w14:paraId="69615653" w14:textId="5A0C78B3" w:rsidR="00017F96" w:rsidRDefault="00810F89" w:rsidP="00810F89">
      <w:pPr>
        <w:pStyle w:val="Paragraph12pt"/>
        <w:tabs>
          <w:tab w:val="left" w:pos="851"/>
        </w:tabs>
        <w:ind w:left="851" w:hanging="851"/>
        <w:rPr>
          <w:bCs/>
        </w:rPr>
      </w:pPr>
      <w:r>
        <w:rPr>
          <w:rFonts w:cs="Arial"/>
          <w:bCs/>
          <w:color w:val="000000"/>
          <w:szCs w:val="24"/>
        </w:rPr>
        <w:t>14</w:t>
      </w:r>
      <w:r>
        <w:rPr>
          <w:rFonts w:cs="Arial"/>
          <w:bCs/>
          <w:color w:val="000000"/>
          <w:szCs w:val="24"/>
        </w:rPr>
        <w:tab/>
      </w:r>
      <w:r w:rsidR="00017F96">
        <w:rPr>
          <w:bCs/>
        </w:rPr>
        <w:t xml:space="preserve">Despite its brevity, Rule 67A contains a potentially sophisticated mechanism for placing a value on advocacy. Although it has no direct impact on what counsel will be able to recover from their attorney or client, it has the potential to send a message to the parties about the importance of their case, and how artfully and ethically counsel for the winning side has pressed the case entrusted to them. When setting a scale under the rule, a court will generally be careful to say whether its decision has been influenced only by the nature or complexity of the matter, or also by the way the case was presented to it. </w:t>
      </w:r>
    </w:p>
    <w:p w14:paraId="420E3111" w14:textId="2D922119" w:rsidR="0054699E" w:rsidRDefault="00810F89" w:rsidP="00810F89">
      <w:pPr>
        <w:pStyle w:val="Paragraph12pt"/>
        <w:tabs>
          <w:tab w:val="left" w:pos="851"/>
        </w:tabs>
        <w:ind w:left="851" w:hanging="851"/>
        <w:rPr>
          <w:bCs/>
        </w:rPr>
      </w:pPr>
      <w:r>
        <w:rPr>
          <w:rFonts w:cs="Arial"/>
          <w:bCs/>
          <w:color w:val="000000"/>
          <w:szCs w:val="24"/>
        </w:rPr>
        <w:t>15</w:t>
      </w:r>
      <w:r>
        <w:rPr>
          <w:rFonts w:cs="Arial"/>
          <w:bCs/>
          <w:color w:val="000000"/>
          <w:szCs w:val="24"/>
        </w:rPr>
        <w:tab/>
      </w:r>
      <w:r w:rsidR="00017F96">
        <w:rPr>
          <w:bCs/>
        </w:rPr>
        <w:t xml:space="preserve">It </w:t>
      </w:r>
      <w:r w:rsidR="009220FA">
        <w:rPr>
          <w:bCs/>
        </w:rPr>
        <w:t xml:space="preserve">also </w:t>
      </w:r>
      <w:r w:rsidR="00017F96">
        <w:rPr>
          <w:bCs/>
        </w:rPr>
        <w:t xml:space="preserve">seems to me that the rule implies that </w:t>
      </w:r>
      <w:r w:rsidR="009220FA">
        <w:rPr>
          <w:bCs/>
        </w:rPr>
        <w:t>the</w:t>
      </w:r>
      <w:r w:rsidR="00017F96">
        <w:rPr>
          <w:bCs/>
        </w:rPr>
        <w:t xml:space="preserve"> power</w:t>
      </w:r>
      <w:r w:rsidR="009220FA">
        <w:rPr>
          <w:bCs/>
        </w:rPr>
        <w:t xml:space="preserve"> to reduce the scale on which counsel’s costs are awarded</w:t>
      </w:r>
      <w:r w:rsidR="00017F96">
        <w:rPr>
          <w:bCs/>
        </w:rPr>
        <w:t xml:space="preserve"> should be exercised sparingly, and only where a case for its exercise has been made out. </w:t>
      </w:r>
      <w:r w:rsidR="0054699E">
        <w:rPr>
          <w:bCs/>
        </w:rPr>
        <w:t xml:space="preserve">A Judge generally approaches a case on the assumption that it has been competently litigated, </w:t>
      </w:r>
      <w:r w:rsidR="0054699E">
        <w:rPr>
          <w:bCs/>
        </w:rPr>
        <w:lastRenderedPageBreak/>
        <w:t>that counsel has done what is with</w:t>
      </w:r>
      <w:r w:rsidR="00BC21F7">
        <w:rPr>
          <w:bCs/>
        </w:rPr>
        <w:t>in</w:t>
      </w:r>
      <w:r w:rsidR="0054699E">
        <w:rPr>
          <w:bCs/>
        </w:rPr>
        <w:t xml:space="preserve"> their power to ensure substantial compliance with the applicable rules, and that argument and evidence has taken as long as it needs to take. It is only where there has been a marked departure from these norms that a court should consider lowering the scale on which counsel’s costs are awarded.</w:t>
      </w:r>
    </w:p>
    <w:p w14:paraId="465FEF04" w14:textId="3609B5D9" w:rsidR="00017F96" w:rsidRPr="0054699E" w:rsidRDefault="00810F89" w:rsidP="00810F89">
      <w:pPr>
        <w:pStyle w:val="Paragraph12pt"/>
        <w:tabs>
          <w:tab w:val="left" w:pos="851"/>
        </w:tabs>
        <w:ind w:left="851" w:hanging="851"/>
        <w:rPr>
          <w:bCs/>
        </w:rPr>
      </w:pPr>
      <w:r w:rsidRPr="0054699E">
        <w:rPr>
          <w:rFonts w:cs="Arial"/>
          <w:bCs/>
          <w:color w:val="000000"/>
          <w:szCs w:val="24"/>
        </w:rPr>
        <w:t>16</w:t>
      </w:r>
      <w:r w:rsidRPr="0054699E">
        <w:rPr>
          <w:rFonts w:cs="Arial"/>
          <w:bCs/>
          <w:color w:val="000000"/>
          <w:szCs w:val="24"/>
        </w:rPr>
        <w:tab/>
      </w:r>
      <w:r w:rsidR="0054699E">
        <w:rPr>
          <w:bCs/>
        </w:rPr>
        <w:t>Likewise, the</w:t>
      </w:r>
      <w:r w:rsidR="00017F96">
        <w:rPr>
          <w:bCs/>
        </w:rPr>
        <w:t xml:space="preserve"> default position set under the rule is that</w:t>
      </w:r>
      <w:r w:rsidR="0054699E">
        <w:rPr>
          <w:bCs/>
        </w:rPr>
        <w:t xml:space="preserve">, in the absence of contrary indication, </w:t>
      </w:r>
      <w:r w:rsidR="00017F96">
        <w:rPr>
          <w:bCs/>
        </w:rPr>
        <w:t xml:space="preserve"> </w:t>
      </w:r>
      <w:r w:rsidR="0054699E">
        <w:rPr>
          <w:bCs/>
        </w:rPr>
        <w:t>counsel’s costs will be</w:t>
      </w:r>
      <w:r w:rsidR="00017F96">
        <w:rPr>
          <w:bCs/>
        </w:rPr>
        <w:t xml:space="preserve"> recovered on scale “A”. Scale </w:t>
      </w:r>
      <w:r w:rsidR="0054699E">
        <w:rPr>
          <w:bCs/>
        </w:rPr>
        <w:t>“</w:t>
      </w:r>
      <w:r w:rsidR="00017F96">
        <w:rPr>
          <w:bCs/>
        </w:rPr>
        <w:t>A</w:t>
      </w:r>
      <w:r w:rsidR="0054699E">
        <w:rPr>
          <w:bCs/>
        </w:rPr>
        <w:t>”</w:t>
      </w:r>
      <w:r w:rsidR="00017F96">
        <w:rPr>
          <w:bCs/>
        </w:rPr>
        <w:t xml:space="preserve">, it seems to me, is the appropriate scale on which to make an award unless the application of a higher scale has been justified by careful reference to </w:t>
      </w:r>
      <w:r w:rsidR="0054699E">
        <w:rPr>
          <w:bCs/>
        </w:rPr>
        <w:t xml:space="preserve">clearly identified </w:t>
      </w:r>
      <w:r w:rsidR="00017F96">
        <w:rPr>
          <w:bCs/>
        </w:rPr>
        <w:t xml:space="preserve">features of the case that mark it out as unusually complex, important or valuable. </w:t>
      </w:r>
      <w:r w:rsidR="0054699E">
        <w:rPr>
          <w:bCs/>
        </w:rPr>
        <w:t>Run-of-the-mill cases, which must be the vast majority of cases in the High Court, should not attract an order on the B or C scales.</w:t>
      </w:r>
    </w:p>
    <w:p w14:paraId="0B987C88" w14:textId="36A6BF67" w:rsidR="00016093" w:rsidRDefault="00810F89" w:rsidP="00810F89">
      <w:pPr>
        <w:pStyle w:val="Paragraph12pt"/>
        <w:tabs>
          <w:tab w:val="left" w:pos="851"/>
        </w:tabs>
        <w:ind w:left="851" w:hanging="851"/>
        <w:rPr>
          <w:bCs/>
        </w:rPr>
      </w:pPr>
      <w:r>
        <w:rPr>
          <w:rFonts w:cs="Arial"/>
          <w:bCs/>
          <w:color w:val="000000"/>
          <w:szCs w:val="24"/>
        </w:rPr>
        <w:t>17</w:t>
      </w:r>
      <w:r>
        <w:rPr>
          <w:rFonts w:cs="Arial"/>
          <w:bCs/>
          <w:color w:val="000000"/>
          <w:szCs w:val="24"/>
        </w:rPr>
        <w:tab/>
      </w:r>
      <w:r w:rsidR="00373B4D">
        <w:rPr>
          <w:bCs/>
        </w:rPr>
        <w:t xml:space="preserve">In </w:t>
      </w:r>
      <w:r w:rsidR="0054699E">
        <w:rPr>
          <w:bCs/>
        </w:rPr>
        <w:t>the</w:t>
      </w:r>
      <w:r w:rsidR="00373B4D">
        <w:rPr>
          <w:bCs/>
        </w:rPr>
        <w:t xml:space="preserve"> case</w:t>
      </w:r>
      <w:r w:rsidR="0054699E">
        <w:rPr>
          <w:bCs/>
        </w:rPr>
        <w:t xml:space="preserve"> presently before me</w:t>
      </w:r>
      <w:r w:rsidR="00373B4D">
        <w:rPr>
          <w:bCs/>
        </w:rPr>
        <w:t xml:space="preserve">, the issues were uncomplicated. </w:t>
      </w:r>
      <w:r w:rsidR="005B7036">
        <w:rPr>
          <w:bCs/>
        </w:rPr>
        <w:t xml:space="preserve">The entire case was determined on the bases of jurisdiction and standing. The merits never became relevant. The hearing lasted well under an hour. </w:t>
      </w:r>
      <w:r w:rsidR="00812ABD">
        <w:rPr>
          <w:bCs/>
        </w:rPr>
        <w:t>The case was competently and ethically pursued by all concerned.</w:t>
      </w:r>
      <w:r w:rsidR="00016093">
        <w:rPr>
          <w:bCs/>
        </w:rPr>
        <w:t xml:space="preserve"> </w:t>
      </w:r>
      <w:r w:rsidR="005B7036" w:rsidRPr="00016093">
        <w:rPr>
          <w:bCs/>
        </w:rPr>
        <w:t xml:space="preserve">The “A” scale is plainly applicable. </w:t>
      </w:r>
    </w:p>
    <w:p w14:paraId="48E7FE22" w14:textId="46DA100E" w:rsidR="00864AEA" w:rsidRDefault="00810F89" w:rsidP="00810F89">
      <w:pPr>
        <w:pStyle w:val="Paragraph12pt"/>
        <w:tabs>
          <w:tab w:val="left" w:pos="851"/>
        </w:tabs>
        <w:ind w:left="851" w:hanging="851"/>
        <w:rPr>
          <w:bCs/>
        </w:rPr>
      </w:pPr>
      <w:r>
        <w:rPr>
          <w:rFonts w:cs="Arial"/>
          <w:bCs/>
          <w:color w:val="000000"/>
          <w:szCs w:val="24"/>
        </w:rPr>
        <w:t>18</w:t>
      </w:r>
      <w:r>
        <w:rPr>
          <w:rFonts w:cs="Arial"/>
          <w:bCs/>
          <w:color w:val="000000"/>
          <w:szCs w:val="24"/>
        </w:rPr>
        <w:tab/>
      </w:r>
      <w:r w:rsidR="00016093">
        <w:rPr>
          <w:bCs/>
        </w:rPr>
        <w:t>Perhaps predictably,</w:t>
      </w:r>
      <w:r w:rsidR="0003732A">
        <w:rPr>
          <w:bCs/>
        </w:rPr>
        <w:t xml:space="preserve"> both</w:t>
      </w:r>
      <w:r w:rsidR="00016093">
        <w:rPr>
          <w:bCs/>
        </w:rPr>
        <w:t xml:space="preserve"> counsel for the</w:t>
      </w:r>
      <w:r w:rsidR="00B757C7">
        <w:rPr>
          <w:bCs/>
        </w:rPr>
        <w:t xml:space="preserve"> first respondent, Ena</w:t>
      </w:r>
      <w:r w:rsidR="00614A0F">
        <w:rPr>
          <w:bCs/>
        </w:rPr>
        <w:t>e</w:t>
      </w:r>
      <w:r w:rsidR="00B757C7">
        <w:rPr>
          <w:bCs/>
        </w:rPr>
        <w:t>x,</w:t>
      </w:r>
      <w:r w:rsidR="00016093">
        <w:rPr>
          <w:bCs/>
        </w:rPr>
        <w:t xml:space="preserve"> and</w:t>
      </w:r>
      <w:r w:rsidR="00B757C7">
        <w:rPr>
          <w:bCs/>
        </w:rPr>
        <w:t xml:space="preserve"> </w:t>
      </w:r>
      <w:r w:rsidR="0003732A">
        <w:rPr>
          <w:bCs/>
        </w:rPr>
        <w:t>Mr. Coertze,</w:t>
      </w:r>
      <w:r w:rsidR="00B757C7">
        <w:rPr>
          <w:bCs/>
        </w:rPr>
        <w:t xml:space="preserve"> </w:t>
      </w:r>
      <w:r w:rsidR="00016093">
        <w:rPr>
          <w:bCs/>
        </w:rPr>
        <w:t>motivated for an order on the “C” scale. Mr. A</w:t>
      </w:r>
      <w:r w:rsidR="00BF190D">
        <w:rPr>
          <w:bCs/>
        </w:rPr>
        <w:t>ll</w:t>
      </w:r>
      <w:r w:rsidR="00016093">
        <w:rPr>
          <w:bCs/>
        </w:rPr>
        <w:t>i, who appeared for</w:t>
      </w:r>
      <w:r w:rsidR="00B757C7">
        <w:rPr>
          <w:bCs/>
        </w:rPr>
        <w:t xml:space="preserve"> </w:t>
      </w:r>
      <w:r w:rsidR="00016093">
        <w:rPr>
          <w:bCs/>
        </w:rPr>
        <w:t>Ena</w:t>
      </w:r>
      <w:r w:rsidR="00614A0F">
        <w:rPr>
          <w:bCs/>
        </w:rPr>
        <w:t>e</w:t>
      </w:r>
      <w:r w:rsidR="00016093">
        <w:rPr>
          <w:bCs/>
        </w:rPr>
        <w:t>x</w:t>
      </w:r>
      <w:r w:rsidR="00B757C7">
        <w:rPr>
          <w:bCs/>
        </w:rPr>
        <w:t>,</w:t>
      </w:r>
      <w:r w:rsidR="00016093">
        <w:rPr>
          <w:bCs/>
        </w:rPr>
        <w:t xml:space="preserve"> emphasised </w:t>
      </w:r>
      <w:r w:rsidR="00864AEA">
        <w:rPr>
          <w:bCs/>
        </w:rPr>
        <w:t>that Mr. Itzkin, who drew Ena</w:t>
      </w:r>
      <w:r w:rsidR="00614A0F">
        <w:rPr>
          <w:bCs/>
        </w:rPr>
        <w:t>e</w:t>
      </w:r>
      <w:r w:rsidR="00864AEA">
        <w:rPr>
          <w:bCs/>
        </w:rPr>
        <w:t>x’s heads but did not appear at the hearing, had asked for an attorney and client costs order in his written submissions. Mr. A</w:t>
      </w:r>
      <w:r w:rsidR="00BF190D">
        <w:rPr>
          <w:bCs/>
        </w:rPr>
        <w:t>l</w:t>
      </w:r>
      <w:r w:rsidR="00864AEA">
        <w:rPr>
          <w:bCs/>
        </w:rPr>
        <w:t xml:space="preserve">li did not press for that order at the hearing, however, and I would not have been inclined to grant it if he had. </w:t>
      </w:r>
    </w:p>
    <w:p w14:paraId="67C2B047" w14:textId="12B1B784" w:rsidR="00016093" w:rsidRDefault="00810F89" w:rsidP="00810F89">
      <w:pPr>
        <w:pStyle w:val="Paragraph12pt"/>
        <w:tabs>
          <w:tab w:val="left" w:pos="851"/>
        </w:tabs>
        <w:ind w:left="851" w:hanging="851"/>
        <w:rPr>
          <w:bCs/>
        </w:rPr>
      </w:pPr>
      <w:r>
        <w:rPr>
          <w:rFonts w:cs="Arial"/>
          <w:bCs/>
          <w:color w:val="000000"/>
          <w:szCs w:val="24"/>
        </w:rPr>
        <w:lastRenderedPageBreak/>
        <w:t>19</w:t>
      </w:r>
      <w:r>
        <w:rPr>
          <w:rFonts w:cs="Arial"/>
          <w:bCs/>
          <w:color w:val="000000"/>
          <w:szCs w:val="24"/>
        </w:rPr>
        <w:tab/>
      </w:r>
      <w:r w:rsidR="00864AEA">
        <w:rPr>
          <w:bCs/>
        </w:rPr>
        <w:t>There mere fact that punitive costs were sought by the successful party does not mean that a higher scale of counsel’s costs ought to be awarded on the party and party scale. The focus of Rule 67A is not on the conduct of the losing party. It is primarily on the nature of the case, and, secondarily</w:t>
      </w:r>
      <w:r w:rsidR="00DE56FB">
        <w:rPr>
          <w:bCs/>
        </w:rPr>
        <w:t>,</w:t>
      </w:r>
      <w:r w:rsidR="00864AEA">
        <w:rPr>
          <w:bCs/>
        </w:rPr>
        <w:t xml:space="preserve"> on the way that </w:t>
      </w:r>
      <w:r w:rsidR="009220FA">
        <w:rPr>
          <w:bCs/>
        </w:rPr>
        <w:t xml:space="preserve">the </w:t>
      </w:r>
      <w:r w:rsidR="00864AEA">
        <w:rPr>
          <w:bCs/>
        </w:rPr>
        <w:t>successful party presented it. The misconduct of the unsuccessful party, if any, is irrelevant</w:t>
      </w:r>
      <w:r w:rsidR="000F618F">
        <w:rPr>
          <w:bCs/>
        </w:rPr>
        <w:t xml:space="preserve"> once a court has declined to award a punitive costs order against them. </w:t>
      </w:r>
    </w:p>
    <w:p w14:paraId="40EFB083" w14:textId="5F35169F" w:rsidR="00864AEA" w:rsidRPr="009220FA" w:rsidRDefault="00810F89" w:rsidP="00810F89">
      <w:pPr>
        <w:pStyle w:val="Paragraph12pt"/>
        <w:tabs>
          <w:tab w:val="left" w:pos="851"/>
        </w:tabs>
        <w:ind w:left="851" w:hanging="851"/>
        <w:rPr>
          <w:bCs/>
        </w:rPr>
      </w:pPr>
      <w:r w:rsidRPr="009220FA">
        <w:rPr>
          <w:rFonts w:cs="Arial"/>
          <w:bCs/>
          <w:color w:val="000000"/>
          <w:szCs w:val="24"/>
        </w:rPr>
        <w:t>20</w:t>
      </w:r>
      <w:r w:rsidRPr="009220FA">
        <w:rPr>
          <w:rFonts w:cs="Arial"/>
          <w:bCs/>
          <w:color w:val="000000"/>
          <w:szCs w:val="24"/>
        </w:rPr>
        <w:tab/>
      </w:r>
      <w:r w:rsidR="00864AEA">
        <w:rPr>
          <w:bCs/>
        </w:rPr>
        <w:t>Mr. A</w:t>
      </w:r>
      <w:r w:rsidR="00BF190D">
        <w:rPr>
          <w:bCs/>
        </w:rPr>
        <w:t>l</w:t>
      </w:r>
      <w:r w:rsidR="00864AEA">
        <w:rPr>
          <w:bCs/>
        </w:rPr>
        <w:t xml:space="preserve">li also </w:t>
      </w:r>
      <w:r w:rsidR="00A44845">
        <w:rPr>
          <w:bCs/>
        </w:rPr>
        <w:t>submitted that the “C” scale is appropriate because the matter was one of considerable importance to Ena</w:t>
      </w:r>
      <w:r w:rsidR="00614A0F">
        <w:rPr>
          <w:bCs/>
        </w:rPr>
        <w:t>e</w:t>
      </w:r>
      <w:r w:rsidR="00A44845">
        <w:rPr>
          <w:bCs/>
        </w:rPr>
        <w:t>x. There are two reasons why that submission cannot be accepted. The first is that there is no information on the papers that tells me just how important the case really is to Ena</w:t>
      </w:r>
      <w:r w:rsidR="00614A0F">
        <w:rPr>
          <w:bCs/>
        </w:rPr>
        <w:t>e</w:t>
      </w:r>
      <w:r w:rsidR="00A44845">
        <w:rPr>
          <w:bCs/>
        </w:rPr>
        <w:t xml:space="preserve">x. I am happy to accept that litigation is </w:t>
      </w:r>
      <w:r w:rsidR="00A44845" w:rsidRPr="00A44845">
        <w:rPr>
          <w:bCs/>
          <w:i/>
          <w:iCs/>
        </w:rPr>
        <w:t>per se</w:t>
      </w:r>
      <w:r w:rsidR="00A44845">
        <w:rPr>
          <w:bCs/>
        </w:rPr>
        <w:t xml:space="preserve"> important to the parties </w:t>
      </w:r>
      <w:r w:rsidR="00DE56FB">
        <w:rPr>
          <w:bCs/>
        </w:rPr>
        <w:t>embroiled in</w:t>
      </w:r>
      <w:r w:rsidR="00A44845">
        <w:rPr>
          <w:bCs/>
        </w:rPr>
        <w:t xml:space="preserve"> it, but the facts necessary to draw the inference that this case is particularly important to Ena</w:t>
      </w:r>
      <w:r w:rsidR="00614A0F">
        <w:rPr>
          <w:bCs/>
        </w:rPr>
        <w:t>e</w:t>
      </w:r>
      <w:r w:rsidR="00A44845">
        <w:rPr>
          <w:bCs/>
        </w:rPr>
        <w:t>x are not on the papers.</w:t>
      </w:r>
      <w:r w:rsidR="00381E34">
        <w:rPr>
          <w:bCs/>
        </w:rPr>
        <w:t xml:space="preserve"> The second reason is that the importance of a case must be assessed objectively. Whatever Ena</w:t>
      </w:r>
      <w:r w:rsidR="00614A0F">
        <w:rPr>
          <w:bCs/>
        </w:rPr>
        <w:t>e</w:t>
      </w:r>
      <w:r w:rsidR="00381E34">
        <w:rPr>
          <w:bCs/>
        </w:rPr>
        <w:t>x subjectively believes about the case, t</w:t>
      </w:r>
      <w:r w:rsidR="00A44845">
        <w:rPr>
          <w:bCs/>
        </w:rPr>
        <w:t xml:space="preserve">he facts on the papers suggest that this litigation </w:t>
      </w:r>
      <w:r w:rsidR="009220FA">
        <w:rPr>
          <w:bCs/>
        </w:rPr>
        <w:t xml:space="preserve">– </w:t>
      </w:r>
      <w:r w:rsidR="00A44845" w:rsidRPr="009220FA">
        <w:rPr>
          <w:bCs/>
        </w:rPr>
        <w:t>a claim brought by a disgruntled ex-employee – is</w:t>
      </w:r>
      <w:r w:rsidR="009220FA" w:rsidRPr="009220FA">
        <w:rPr>
          <w:bCs/>
        </w:rPr>
        <w:t xml:space="preserve"> an ordinary business </w:t>
      </w:r>
      <w:r w:rsidR="009220FA">
        <w:rPr>
          <w:bCs/>
        </w:rPr>
        <w:t>hazard. It is</w:t>
      </w:r>
      <w:r w:rsidR="00A44845" w:rsidRPr="009220FA">
        <w:rPr>
          <w:bCs/>
        </w:rPr>
        <w:t xml:space="preserve"> the sort of case </w:t>
      </w:r>
      <w:r w:rsidR="009220FA">
        <w:rPr>
          <w:bCs/>
        </w:rPr>
        <w:t xml:space="preserve">that </w:t>
      </w:r>
      <w:r w:rsidR="00A44845" w:rsidRPr="009220FA">
        <w:rPr>
          <w:bCs/>
        </w:rPr>
        <w:t>any corporate entity ought at some point to expect</w:t>
      </w:r>
      <w:r w:rsidR="009220FA">
        <w:rPr>
          <w:bCs/>
        </w:rPr>
        <w:t xml:space="preserve"> to have to fight. </w:t>
      </w:r>
      <w:r w:rsidR="00381E34">
        <w:rPr>
          <w:bCs/>
        </w:rPr>
        <w:t>Objectively, it is neither important nor unusual.</w:t>
      </w:r>
    </w:p>
    <w:p w14:paraId="1541F938" w14:textId="0AAB0D97" w:rsidR="00A44845" w:rsidRPr="0072231B" w:rsidRDefault="00810F89" w:rsidP="00810F89">
      <w:pPr>
        <w:pStyle w:val="Paragraph12pt"/>
        <w:tabs>
          <w:tab w:val="left" w:pos="851"/>
        </w:tabs>
        <w:ind w:left="851" w:hanging="851"/>
        <w:rPr>
          <w:bCs/>
          <w:i/>
          <w:iCs/>
        </w:rPr>
      </w:pPr>
      <w:r w:rsidRPr="0072231B">
        <w:rPr>
          <w:rFonts w:cs="Arial"/>
          <w:bCs/>
          <w:iCs/>
          <w:color w:val="000000"/>
          <w:szCs w:val="24"/>
        </w:rPr>
        <w:t>21</w:t>
      </w:r>
      <w:r w:rsidRPr="0072231B">
        <w:rPr>
          <w:rFonts w:cs="Arial"/>
          <w:bCs/>
          <w:iCs/>
          <w:color w:val="000000"/>
          <w:szCs w:val="24"/>
        </w:rPr>
        <w:tab/>
      </w:r>
      <w:r w:rsidR="00A44845">
        <w:rPr>
          <w:bCs/>
        </w:rPr>
        <w:t>Finally, Mr. A</w:t>
      </w:r>
      <w:r w:rsidR="00BF190D">
        <w:rPr>
          <w:bCs/>
        </w:rPr>
        <w:t>l</w:t>
      </w:r>
      <w:r w:rsidR="00A44845">
        <w:rPr>
          <w:bCs/>
        </w:rPr>
        <w:t xml:space="preserve">li submitted that the matter was one of some complexity. Perhaps there might have been complex questions had I reached the merits. But the bases on which I dismissed the claim were far from complicated. I accept that a litigant who takes a </w:t>
      </w:r>
      <w:r w:rsidR="00460664">
        <w:rPr>
          <w:bCs/>
        </w:rPr>
        <w:t xml:space="preserve">simple </w:t>
      </w:r>
      <w:r w:rsidR="00A44845">
        <w:rPr>
          <w:bCs/>
        </w:rPr>
        <w:t xml:space="preserve">point </w:t>
      </w:r>
      <w:r w:rsidR="00A44845" w:rsidRPr="00A44845">
        <w:rPr>
          <w:bCs/>
          <w:i/>
          <w:iCs/>
        </w:rPr>
        <w:t>in limine</w:t>
      </w:r>
      <w:r w:rsidR="00A44845">
        <w:rPr>
          <w:bCs/>
        </w:rPr>
        <w:t>, such as the absence of standing or the</w:t>
      </w:r>
      <w:r w:rsidR="00DE56FB">
        <w:rPr>
          <w:bCs/>
        </w:rPr>
        <w:t xml:space="preserve"> court’s</w:t>
      </w:r>
      <w:r w:rsidR="00A44845">
        <w:rPr>
          <w:bCs/>
        </w:rPr>
        <w:t xml:space="preserve"> lack of jurisdiction, will generally plead over and deal </w:t>
      </w:r>
      <w:r w:rsidR="00A44845">
        <w:rPr>
          <w:bCs/>
        </w:rPr>
        <w:lastRenderedPageBreak/>
        <w:t xml:space="preserve">with the </w:t>
      </w:r>
      <w:r w:rsidR="00381E34">
        <w:rPr>
          <w:bCs/>
        </w:rPr>
        <w:t>matter</w:t>
      </w:r>
      <w:r w:rsidR="00A44845">
        <w:rPr>
          <w:bCs/>
        </w:rPr>
        <w:t xml:space="preserve"> on </w:t>
      </w:r>
      <w:r w:rsidR="00381E34">
        <w:rPr>
          <w:bCs/>
        </w:rPr>
        <w:t>its</w:t>
      </w:r>
      <w:r w:rsidR="00460664">
        <w:rPr>
          <w:bCs/>
        </w:rPr>
        <w:t xml:space="preserve"> more complex </w:t>
      </w:r>
      <w:r w:rsidR="00A44845">
        <w:rPr>
          <w:bCs/>
        </w:rPr>
        <w:t xml:space="preserve">merits just in case </w:t>
      </w:r>
      <w:r w:rsidR="00460664">
        <w:rPr>
          <w:bCs/>
        </w:rPr>
        <w:t>the</w:t>
      </w:r>
      <w:r w:rsidR="00DE56FB">
        <w:rPr>
          <w:bCs/>
        </w:rPr>
        <w:t>ir</w:t>
      </w:r>
      <w:r w:rsidR="00A44845">
        <w:rPr>
          <w:bCs/>
        </w:rPr>
        <w:t xml:space="preserve"> submissions </w:t>
      </w:r>
      <w:r w:rsidR="00A44845" w:rsidRPr="00A44845">
        <w:rPr>
          <w:bCs/>
          <w:i/>
          <w:iCs/>
        </w:rPr>
        <w:t>in limine</w:t>
      </w:r>
      <w:r w:rsidR="00A44845">
        <w:rPr>
          <w:bCs/>
        </w:rPr>
        <w:t xml:space="preserve"> fail. However, what counts under Rule 67A is the complexity of the argument that actually had to be advanced by counsel, rather than the potential complexity of the case in all its facets. In this case, the argument that had to be advanced was short and straightforward</w:t>
      </w:r>
      <w:r w:rsidR="00460664">
        <w:rPr>
          <w:bCs/>
        </w:rPr>
        <w:t xml:space="preserve">. </w:t>
      </w:r>
    </w:p>
    <w:p w14:paraId="4F30BF66" w14:textId="4E1EB24D" w:rsidR="0072231B" w:rsidRPr="0072231B" w:rsidRDefault="00810F89" w:rsidP="00810F89">
      <w:pPr>
        <w:pStyle w:val="Paragraph12pt"/>
        <w:tabs>
          <w:tab w:val="left" w:pos="851"/>
        </w:tabs>
        <w:ind w:left="851" w:hanging="851"/>
        <w:rPr>
          <w:bCs/>
          <w:i/>
          <w:iCs/>
        </w:rPr>
      </w:pPr>
      <w:r w:rsidRPr="0072231B">
        <w:rPr>
          <w:rFonts w:cs="Arial"/>
          <w:bCs/>
          <w:iCs/>
          <w:color w:val="000000"/>
          <w:szCs w:val="24"/>
        </w:rPr>
        <w:t>22</w:t>
      </w:r>
      <w:r w:rsidRPr="0072231B">
        <w:rPr>
          <w:rFonts w:cs="Arial"/>
          <w:bCs/>
          <w:iCs/>
          <w:color w:val="000000"/>
          <w:szCs w:val="24"/>
        </w:rPr>
        <w:tab/>
      </w:r>
      <w:r w:rsidR="0072231B">
        <w:rPr>
          <w:bCs/>
        </w:rPr>
        <w:t xml:space="preserve">Mr. </w:t>
      </w:r>
      <w:r w:rsidR="0072231B">
        <w:t xml:space="preserve">Coertze also suggested that this is a particularly complex case. For the reasons I have already given, that submission must be rejected. </w:t>
      </w:r>
    </w:p>
    <w:p w14:paraId="21BA7115" w14:textId="5905C9E1" w:rsidR="00CF5770" w:rsidRDefault="00810F89" w:rsidP="00810F89">
      <w:pPr>
        <w:pStyle w:val="Paragraph12pt"/>
        <w:tabs>
          <w:tab w:val="left" w:pos="851"/>
        </w:tabs>
        <w:ind w:left="851" w:hanging="851"/>
        <w:rPr>
          <w:bCs/>
          <w:i/>
          <w:iCs/>
        </w:rPr>
      </w:pPr>
      <w:r>
        <w:rPr>
          <w:rFonts w:cs="Arial"/>
          <w:bCs/>
          <w:iCs/>
          <w:color w:val="000000"/>
          <w:szCs w:val="24"/>
        </w:rPr>
        <w:t>23</w:t>
      </w:r>
      <w:r>
        <w:rPr>
          <w:rFonts w:cs="Arial"/>
          <w:bCs/>
          <w:iCs/>
          <w:color w:val="000000"/>
          <w:szCs w:val="24"/>
        </w:rPr>
        <w:tab/>
      </w:r>
      <w:r w:rsidR="0072231B">
        <w:t xml:space="preserve">Mr. Coertze finally </w:t>
      </w:r>
      <w:r w:rsidR="00D04DD0">
        <w:t>argued</w:t>
      </w:r>
      <w:r w:rsidR="0072231B">
        <w:t xml:space="preserve"> that the amount of damages Mr. Mashavha claimed in the event of success (</w:t>
      </w:r>
      <w:r w:rsidR="00460664">
        <w:t>some</w:t>
      </w:r>
      <w:r w:rsidR="0072231B">
        <w:t xml:space="preserve"> R27 million), also took the case out of the ordinary. It seems that Mr. Coertze may have overlooked that the claim for damages was never advanced against his client. It follows that, formidable though they no doubt are, Mr. Coertze’s skills, and the maximum that may be recovered to remunerate them, cannot be assessed in light of the size of Mr. Mashavha’s damages claim.</w:t>
      </w:r>
    </w:p>
    <w:p w14:paraId="29C70A87" w14:textId="7015F6D4" w:rsidR="00CF5770" w:rsidRPr="00CF5770" w:rsidRDefault="00CF5770" w:rsidP="00CF5770">
      <w:pPr>
        <w:pStyle w:val="Paragraph12pt"/>
        <w:rPr>
          <w:b/>
        </w:rPr>
      </w:pPr>
      <w:r w:rsidRPr="00CF5770">
        <w:rPr>
          <w:b/>
        </w:rPr>
        <w:t>No order necessary</w:t>
      </w:r>
    </w:p>
    <w:p w14:paraId="550CC9FE" w14:textId="38BA2AB9" w:rsidR="00CF5770" w:rsidRDefault="00810F89" w:rsidP="00810F89">
      <w:pPr>
        <w:pStyle w:val="Paragraph12pt"/>
        <w:tabs>
          <w:tab w:val="left" w:pos="851"/>
        </w:tabs>
        <w:ind w:left="851" w:hanging="851"/>
      </w:pPr>
      <w:r>
        <w:rPr>
          <w:rFonts w:cs="Arial"/>
          <w:color w:val="000000"/>
          <w:szCs w:val="24"/>
        </w:rPr>
        <w:t>24</w:t>
      </w:r>
      <w:r>
        <w:rPr>
          <w:rFonts w:cs="Arial"/>
          <w:color w:val="000000"/>
          <w:szCs w:val="24"/>
        </w:rPr>
        <w:tab/>
      </w:r>
      <w:r w:rsidR="0072231B">
        <w:t>Over a decade ago</w:t>
      </w:r>
      <w:r w:rsidR="00CF5770">
        <w:t>, the Constitutional Court expressed “disquiet” at how “counsel's fees have burgeoned in recent years</w:t>
      </w:r>
      <w:r w:rsidR="00460664">
        <w:t>”.</w:t>
      </w:r>
      <w:r w:rsidR="00CF5770">
        <w:t xml:space="preserve"> </w:t>
      </w:r>
      <w:r w:rsidR="00460664">
        <w:t>“</w:t>
      </w:r>
      <w:r w:rsidR="00CF5770">
        <w:t>To say that they have skyrocketed</w:t>
      </w:r>
      <w:r w:rsidR="00460664">
        <w:t>” the Court held, “</w:t>
      </w:r>
      <w:r w:rsidR="00CF5770">
        <w:t>is no loose metaphor</w:t>
      </w:r>
      <w:r w:rsidR="00460664">
        <w:t>”</w:t>
      </w:r>
      <w:r w:rsidR="00CF5770">
        <w:t xml:space="preserve">. </w:t>
      </w:r>
      <w:r w:rsidR="00460664">
        <w:t>“</w:t>
      </w:r>
      <w:r w:rsidR="00CF5770">
        <w:t>No matter the complexity of the issues</w:t>
      </w:r>
      <w:r w:rsidR="00460664">
        <w:t>” the Court could</w:t>
      </w:r>
      <w:r w:rsidR="00CF5770">
        <w:t xml:space="preserve"> </w:t>
      </w:r>
      <w:r w:rsidR="00460664">
        <w:t>“</w:t>
      </w:r>
      <w:r w:rsidR="00CF5770">
        <w:t xml:space="preserve">find no justification, in a country where disparities are gross and poverty is rife, to countenance appellate advocates charging hundreds of thousands of rands to argue an appeal” </w:t>
      </w:r>
      <w:r w:rsidR="003528AD">
        <w:t xml:space="preserve">(see </w:t>
      </w:r>
      <w:r w:rsidR="00CF5770" w:rsidRPr="00CF5770">
        <w:rPr>
          <w:i/>
          <w:iCs/>
        </w:rPr>
        <w:t xml:space="preserve">Camps Bay Ratepayers and Residents Association v Harrison </w:t>
      </w:r>
      <w:r w:rsidR="00CF5770" w:rsidRPr="00CF5770">
        <w:t>2012 (11) BCLR 1143 (CC)</w:t>
      </w:r>
      <w:r w:rsidR="003528AD">
        <w:t xml:space="preserve"> at paragraph 10)</w:t>
      </w:r>
      <w:r w:rsidR="00CF5770">
        <w:t xml:space="preserve">. </w:t>
      </w:r>
    </w:p>
    <w:p w14:paraId="493495EA" w14:textId="63C5DCF2" w:rsidR="00CF5770" w:rsidRDefault="00810F89" w:rsidP="00810F89">
      <w:pPr>
        <w:pStyle w:val="Paragraph12pt"/>
        <w:tabs>
          <w:tab w:val="left" w:pos="851"/>
        </w:tabs>
        <w:ind w:left="851" w:hanging="851"/>
      </w:pPr>
      <w:r>
        <w:rPr>
          <w:rFonts w:cs="Arial"/>
          <w:color w:val="000000"/>
          <w:szCs w:val="24"/>
        </w:rPr>
        <w:lastRenderedPageBreak/>
        <w:t>25</w:t>
      </w:r>
      <w:r>
        <w:rPr>
          <w:rFonts w:cs="Arial"/>
          <w:color w:val="000000"/>
          <w:szCs w:val="24"/>
        </w:rPr>
        <w:tab/>
      </w:r>
      <w:r w:rsidR="00CF5770">
        <w:t xml:space="preserve">There is no </w:t>
      </w:r>
      <w:r w:rsidR="00DE56FB">
        <w:t>indication that</w:t>
      </w:r>
      <w:r w:rsidR="00CF5770">
        <w:t xml:space="preserve"> fee inflation has checked itself since then. Rule 67A is perhaps a</w:t>
      </w:r>
      <w:r w:rsidR="003528AD">
        <w:t xml:space="preserve">n acknowledgement </w:t>
      </w:r>
      <w:r w:rsidR="00CF5770">
        <w:t xml:space="preserve">of this reality. An advocate remunerated at the top end of scale </w:t>
      </w:r>
      <w:r w:rsidR="00381E34">
        <w:t>“</w:t>
      </w:r>
      <w:r w:rsidR="00CF5770">
        <w:t>C</w:t>
      </w:r>
      <w:r w:rsidR="00381E34">
        <w:t>”</w:t>
      </w:r>
      <w:r w:rsidR="00CF5770">
        <w:t xml:space="preserve"> will be able to charge R4500 per hour (R45000 per day </w:t>
      </w:r>
      <w:r w:rsidR="00460664">
        <w:t>under</w:t>
      </w:r>
      <w:r w:rsidR="00CF5770">
        <w:t xml:space="preserve"> the ten</w:t>
      </w:r>
      <w:r w:rsidR="00DE56FB">
        <w:t>-</w:t>
      </w:r>
      <w:r w:rsidR="00CF5770">
        <w:t>hour per day billing system on which the</w:t>
      </w:r>
      <w:r w:rsidR="00DE56FB">
        <w:t xml:space="preserve"> referral</w:t>
      </w:r>
      <w:r w:rsidR="00CF5770">
        <w:t xml:space="preserve"> bar operates).</w:t>
      </w:r>
      <w:r w:rsidR="00066A4B">
        <w:t xml:space="preserve"> At the top end of scale “B”, the figures are R3000 per hour and R30000 per day.</w:t>
      </w:r>
      <w:r w:rsidR="00CF5770">
        <w:t xml:space="preserve"> I emphasise that </w:t>
      </w:r>
      <w:r w:rsidR="00066A4B">
        <w:t>these figures</w:t>
      </w:r>
      <w:r w:rsidR="00CF5770">
        <w:t xml:space="preserve"> </w:t>
      </w:r>
      <w:r w:rsidR="00066A4B">
        <w:t>are</w:t>
      </w:r>
      <w:r w:rsidR="00CF5770">
        <w:t xml:space="preserve"> the maximum that can be recovered </w:t>
      </w:r>
      <w:r w:rsidR="00066A4B">
        <w:t xml:space="preserve">on these scales </w:t>
      </w:r>
      <w:r w:rsidR="00CF5770">
        <w:t xml:space="preserve">from the losing party for </w:t>
      </w:r>
      <w:r w:rsidR="00066A4B">
        <w:t xml:space="preserve">the winning party’s </w:t>
      </w:r>
      <w:r w:rsidR="00CF5770">
        <w:t xml:space="preserve">counsel’s fees on </w:t>
      </w:r>
      <w:r w:rsidR="00066A4B">
        <w:t>the</w:t>
      </w:r>
      <w:r w:rsidR="00CF5770">
        <w:t xml:space="preserve"> party and party scale. </w:t>
      </w:r>
      <w:r w:rsidR="00460664">
        <w:t>They do</w:t>
      </w:r>
      <w:r w:rsidR="00CF5770">
        <w:t xml:space="preserve"> not represent what may actually be charged. At the upper end of the commercial bar</w:t>
      </w:r>
      <w:r w:rsidR="00841A98">
        <w:t xml:space="preserve">, counsel’s day </w:t>
      </w:r>
      <w:r w:rsidR="00CF5770">
        <w:t>fee is often much higher</w:t>
      </w:r>
      <w:r w:rsidR="003528AD">
        <w:t xml:space="preserve"> than the top end of scale “C”</w:t>
      </w:r>
      <w:r w:rsidR="00841A98">
        <w:t xml:space="preserve"> would allow</w:t>
      </w:r>
      <w:r w:rsidR="003528AD">
        <w:t xml:space="preserve">. </w:t>
      </w:r>
      <w:r w:rsidR="00841A98">
        <w:t>As a result, and n</w:t>
      </w:r>
      <w:r w:rsidR="00460664">
        <w:t xml:space="preserve">otwithstanding the Constitutional Court’s strictures, </w:t>
      </w:r>
      <w:r w:rsidR="00683A1A">
        <w:t xml:space="preserve">counsel’s </w:t>
      </w:r>
      <w:r w:rsidR="003528AD">
        <w:t xml:space="preserve">fees in contested matters </w:t>
      </w:r>
      <w:r w:rsidR="00841A98">
        <w:t>in the High Court</w:t>
      </w:r>
      <w:r w:rsidR="003528AD">
        <w:t xml:space="preserve"> regularly run to the “hundreds of thousands </w:t>
      </w:r>
      <w:r w:rsidR="00893D2F">
        <w:t>of</w:t>
      </w:r>
      <w:r w:rsidR="003528AD">
        <w:t xml:space="preserve"> rands”. </w:t>
      </w:r>
    </w:p>
    <w:p w14:paraId="0167FC91" w14:textId="356AF856" w:rsidR="00CF5770" w:rsidRDefault="00810F89" w:rsidP="00810F89">
      <w:pPr>
        <w:pStyle w:val="Paragraph12pt"/>
        <w:tabs>
          <w:tab w:val="left" w:pos="851"/>
        </w:tabs>
        <w:ind w:left="851" w:hanging="851"/>
      </w:pPr>
      <w:r>
        <w:rPr>
          <w:rFonts w:cs="Arial"/>
          <w:color w:val="000000"/>
          <w:szCs w:val="24"/>
        </w:rPr>
        <w:t>26</w:t>
      </w:r>
      <w:r>
        <w:rPr>
          <w:rFonts w:cs="Arial"/>
          <w:color w:val="000000"/>
          <w:szCs w:val="24"/>
        </w:rPr>
        <w:tab/>
      </w:r>
      <w:r w:rsidR="0090313E">
        <w:t xml:space="preserve">Twelve years after the judgment in </w:t>
      </w:r>
      <w:r w:rsidR="0090313E" w:rsidRPr="0090313E">
        <w:rPr>
          <w:i/>
          <w:iCs/>
        </w:rPr>
        <w:t>Camps Bay</w:t>
      </w:r>
      <w:r w:rsidR="0090313E">
        <w:t>, t</w:t>
      </w:r>
      <w:r w:rsidR="00CF5770">
        <w:t xml:space="preserve">hese levels of remuneration </w:t>
      </w:r>
      <w:r w:rsidR="0090313E">
        <w:t xml:space="preserve">remain unimaginable to all but a tiny minority of the most privileged in our society. They </w:t>
      </w:r>
      <w:r w:rsidR="00CF5770">
        <w:t>are handsome rewards for long hours of sometime</w:t>
      </w:r>
      <w:r w:rsidR="00066A4B">
        <w:t>s</w:t>
      </w:r>
      <w:r w:rsidR="00CF5770">
        <w:t xml:space="preserve"> very hard work in matters tha</w:t>
      </w:r>
      <w:r w:rsidR="00D80844">
        <w:t>t</w:t>
      </w:r>
      <w:r w:rsidR="00CF5770">
        <w:t xml:space="preserve"> can be forensically challenging. </w:t>
      </w:r>
      <w:r w:rsidR="00066A4B">
        <w:t xml:space="preserve">But when </w:t>
      </w:r>
      <w:r w:rsidR="00381E34">
        <w:t>Judges are</w:t>
      </w:r>
      <w:r w:rsidR="00066A4B">
        <w:t xml:space="preserve"> required to </w:t>
      </w:r>
      <w:r w:rsidR="00460664">
        <w:t xml:space="preserve">assign a maximum recoverable </w:t>
      </w:r>
      <w:r w:rsidR="00066A4B">
        <w:t xml:space="preserve">value </w:t>
      </w:r>
      <w:r w:rsidR="00381E34">
        <w:t xml:space="preserve">to </w:t>
      </w:r>
      <w:r w:rsidR="00460664">
        <w:t>counsel’s</w:t>
      </w:r>
      <w:r w:rsidR="00066A4B">
        <w:t xml:space="preserve"> </w:t>
      </w:r>
      <w:r w:rsidR="00460664">
        <w:t>work</w:t>
      </w:r>
      <w:r w:rsidR="00066A4B">
        <w:t>, which is what rule 67A now requires us to do, we would do substantial injustice if we were help inflate fees</w:t>
      </w:r>
      <w:r w:rsidR="00F225E4">
        <w:t xml:space="preserve"> still further</w:t>
      </w:r>
      <w:r w:rsidR="00066A4B">
        <w:t xml:space="preserve"> by allowing parties to recover on the </w:t>
      </w:r>
      <w:r w:rsidR="00381E34">
        <w:t>“</w:t>
      </w:r>
      <w:r w:rsidR="00066A4B">
        <w:t>B</w:t>
      </w:r>
      <w:r w:rsidR="00381E34">
        <w:t>”</w:t>
      </w:r>
      <w:r w:rsidR="00066A4B">
        <w:t xml:space="preserve"> and </w:t>
      </w:r>
      <w:r w:rsidR="00381E34">
        <w:t>“</w:t>
      </w:r>
      <w:r w:rsidR="00066A4B">
        <w:t>C</w:t>
      </w:r>
      <w:r w:rsidR="00381E34">
        <w:t>”</w:t>
      </w:r>
      <w:r w:rsidR="00066A4B">
        <w:t xml:space="preserve"> scales in anything but truly important, complex or valuable cases. The “duty of diffidence” that the Constitutional Court urged on </w:t>
      </w:r>
      <w:r w:rsidR="003528AD">
        <w:t>the legal profession</w:t>
      </w:r>
      <w:r w:rsidR="00066A4B">
        <w:t xml:space="preserve"> in </w:t>
      </w:r>
      <w:r w:rsidR="00066A4B" w:rsidRPr="00460664">
        <w:rPr>
          <w:i/>
          <w:iCs/>
        </w:rPr>
        <w:t>Camps Bay</w:t>
      </w:r>
      <w:r w:rsidR="00066A4B">
        <w:t xml:space="preserve"> </w:t>
      </w:r>
      <w:r w:rsidR="003528AD">
        <w:t xml:space="preserve">(at paragraph 11) </w:t>
      </w:r>
      <w:r w:rsidR="00066A4B">
        <w:t xml:space="preserve">ought also, in my view, to be observed by Judges </w:t>
      </w:r>
      <w:r w:rsidR="00CA4858">
        <w:t xml:space="preserve">in </w:t>
      </w:r>
      <w:r w:rsidR="00066A4B">
        <w:t>applying rule 67A.</w:t>
      </w:r>
      <w:r w:rsidR="00F05338">
        <w:t xml:space="preserve"> </w:t>
      </w:r>
    </w:p>
    <w:p w14:paraId="3A2C62EF" w14:textId="30C94BBA" w:rsidR="00F05338" w:rsidRDefault="00810F89" w:rsidP="00810F89">
      <w:pPr>
        <w:pStyle w:val="Paragraph12pt"/>
        <w:tabs>
          <w:tab w:val="left" w:pos="851"/>
        </w:tabs>
        <w:ind w:left="851" w:hanging="851"/>
      </w:pPr>
      <w:r>
        <w:rPr>
          <w:rFonts w:cs="Arial"/>
          <w:color w:val="000000"/>
          <w:szCs w:val="24"/>
        </w:rPr>
        <w:lastRenderedPageBreak/>
        <w:t>27</w:t>
      </w:r>
      <w:r>
        <w:rPr>
          <w:rFonts w:cs="Arial"/>
          <w:color w:val="000000"/>
          <w:szCs w:val="24"/>
        </w:rPr>
        <w:tab/>
      </w:r>
      <w:r w:rsidR="00F05338">
        <w:t>To do otherwise would surely push the cost of legal services</w:t>
      </w:r>
      <w:r w:rsidR="00381E34">
        <w:t xml:space="preserve"> still</w:t>
      </w:r>
      <w:r w:rsidR="00F05338">
        <w:t xml:space="preserve"> further beyond the means of the vast majority of South Africans. In a society based on constitutional rules and a supreme law bill of rights underwritten by an independent judiciary, the courts should ideally be accessible to everyone on equal terms. </w:t>
      </w:r>
      <w:r w:rsidR="00683A1A">
        <w:t>We do not live in a society marked by equal access to justice for all, and there</w:t>
      </w:r>
      <w:r w:rsidR="00F05338">
        <w:t xml:space="preserve"> are limits to what a Judge can</w:t>
      </w:r>
      <w:r w:rsidR="00CA4858">
        <w:t xml:space="preserve"> do to</w:t>
      </w:r>
      <w:r w:rsidR="00F05338">
        <w:t xml:space="preserve"> </w:t>
      </w:r>
      <w:r w:rsidR="00683A1A">
        <w:t>create one.</w:t>
      </w:r>
      <w:r w:rsidR="00F05338">
        <w:t xml:space="preserve"> </w:t>
      </w:r>
      <w:r w:rsidR="00683A1A">
        <w:t xml:space="preserve">But the </w:t>
      </w:r>
      <w:r w:rsidR="00F05338">
        <w:t xml:space="preserve">least that can be expected of us is to exercise the powers we do have in a manner that avoids making things worse. </w:t>
      </w:r>
    </w:p>
    <w:p w14:paraId="3F2FDE5E" w14:textId="02DE9A12" w:rsidR="00373B4D" w:rsidRPr="00066A4B" w:rsidRDefault="00810F89" w:rsidP="00810F89">
      <w:pPr>
        <w:pStyle w:val="Paragraph12pt"/>
        <w:tabs>
          <w:tab w:val="left" w:pos="851"/>
        </w:tabs>
        <w:ind w:left="851" w:hanging="851"/>
        <w:rPr>
          <w:bCs/>
          <w:i/>
          <w:iCs/>
        </w:rPr>
      </w:pPr>
      <w:r w:rsidRPr="00066A4B">
        <w:rPr>
          <w:rFonts w:cs="Arial"/>
          <w:bCs/>
          <w:iCs/>
          <w:color w:val="000000"/>
          <w:szCs w:val="24"/>
        </w:rPr>
        <w:t>28</w:t>
      </w:r>
      <w:r w:rsidRPr="00066A4B">
        <w:rPr>
          <w:rFonts w:cs="Arial"/>
          <w:bCs/>
          <w:iCs/>
          <w:color w:val="000000"/>
          <w:szCs w:val="24"/>
        </w:rPr>
        <w:tab/>
      </w:r>
      <w:r w:rsidR="00066A4B" w:rsidRPr="00066A4B">
        <w:rPr>
          <w:bCs/>
        </w:rPr>
        <w:t>In this case</w:t>
      </w:r>
      <w:r w:rsidR="00066A4B">
        <w:rPr>
          <w:bCs/>
        </w:rPr>
        <w:t>,</w:t>
      </w:r>
      <w:r w:rsidR="007400D2">
        <w:rPr>
          <w:bCs/>
        </w:rPr>
        <w:t xml:space="preserve"> recovery of counsel’s fees on</w:t>
      </w:r>
      <w:r w:rsidR="00066A4B">
        <w:rPr>
          <w:bCs/>
        </w:rPr>
        <w:t xml:space="preserve"> scale </w:t>
      </w:r>
      <w:r w:rsidR="00381E34">
        <w:rPr>
          <w:bCs/>
        </w:rPr>
        <w:t>“</w:t>
      </w:r>
      <w:r w:rsidR="00066A4B">
        <w:rPr>
          <w:bCs/>
        </w:rPr>
        <w:t>A</w:t>
      </w:r>
      <w:r w:rsidR="00381E34">
        <w:rPr>
          <w:bCs/>
        </w:rPr>
        <w:t>”</w:t>
      </w:r>
      <w:r w:rsidR="00066A4B">
        <w:rPr>
          <w:bCs/>
        </w:rPr>
        <w:t xml:space="preserve"> is </w:t>
      </w:r>
      <w:r w:rsidR="003528AD">
        <w:rPr>
          <w:bCs/>
        </w:rPr>
        <w:t>more than</w:t>
      </w:r>
      <w:r w:rsidR="00066A4B">
        <w:rPr>
          <w:bCs/>
        </w:rPr>
        <w:t xml:space="preserve"> sufficient. </w:t>
      </w:r>
      <w:r w:rsidR="005B7036" w:rsidRPr="00066A4B">
        <w:rPr>
          <w:bCs/>
        </w:rPr>
        <w:t>Given that, under Rule 67A</w:t>
      </w:r>
      <w:r w:rsidR="00BB6AF5">
        <w:rPr>
          <w:bCs/>
        </w:rPr>
        <w:t xml:space="preserve"> (3)</w:t>
      </w:r>
      <w:r w:rsidR="005B7036" w:rsidRPr="00066A4B">
        <w:rPr>
          <w:bCs/>
        </w:rPr>
        <w:t xml:space="preserve"> (c), </w:t>
      </w:r>
      <w:r w:rsidR="003528AD">
        <w:rPr>
          <w:bCs/>
        </w:rPr>
        <w:t xml:space="preserve">the application of </w:t>
      </w:r>
      <w:r w:rsidR="00381E34">
        <w:rPr>
          <w:bCs/>
        </w:rPr>
        <w:t>the “A”</w:t>
      </w:r>
      <w:r w:rsidR="003528AD">
        <w:rPr>
          <w:bCs/>
        </w:rPr>
        <w:t xml:space="preserve"> scale</w:t>
      </w:r>
      <w:r w:rsidR="005B7036" w:rsidRPr="00066A4B">
        <w:rPr>
          <w:bCs/>
        </w:rPr>
        <w:t xml:space="preserve"> is the effect of my judgment as it currently stands, I decline to make any further order. </w:t>
      </w:r>
    </w:p>
    <w:p w14:paraId="312EFD3E" w14:textId="5183C50E" w:rsidR="005243F1" w:rsidRDefault="005243F1" w:rsidP="00A90F4D">
      <w:pPr>
        <w:pStyle w:val="Paragraph12pt"/>
        <w:spacing w:after="0" w:line="240" w:lineRule="auto"/>
        <w:ind w:left="851"/>
        <w:jc w:val="right"/>
        <w:rPr>
          <w:b/>
          <w:noProof/>
          <w:lang w:val="en-US" w:eastAsia="en-US"/>
        </w:rPr>
      </w:pPr>
    </w:p>
    <w:p w14:paraId="472B8C18" w14:textId="77777777" w:rsidR="00A87C43" w:rsidRDefault="00A87C43" w:rsidP="00A90F4D">
      <w:pPr>
        <w:pStyle w:val="Paragraph12pt"/>
        <w:spacing w:after="0" w:line="240" w:lineRule="auto"/>
        <w:ind w:left="851"/>
        <w:jc w:val="right"/>
        <w:rPr>
          <w:b/>
        </w:rPr>
      </w:pPr>
    </w:p>
    <w:p w14:paraId="72B5FB3A" w14:textId="77777777" w:rsidR="005243F1" w:rsidRPr="00FE593E" w:rsidRDefault="005243F1" w:rsidP="005243F1">
      <w:pPr>
        <w:pStyle w:val="Paragraph12pt"/>
        <w:spacing w:after="0" w:line="240" w:lineRule="auto"/>
        <w:ind w:left="851"/>
        <w:jc w:val="right"/>
        <w:rPr>
          <w:b/>
          <w:bCs/>
        </w:rPr>
      </w:pPr>
      <w:r w:rsidRPr="00FE593E">
        <w:rPr>
          <w:b/>
          <w:bCs/>
        </w:rPr>
        <w:t>S D J WILSON</w:t>
      </w:r>
    </w:p>
    <w:p w14:paraId="04573C8B" w14:textId="3B3860EF" w:rsidR="005243F1" w:rsidRDefault="005243F1" w:rsidP="00A71FF7">
      <w:pPr>
        <w:pStyle w:val="Paragraph12pt"/>
        <w:spacing w:after="0" w:line="240" w:lineRule="auto"/>
        <w:ind w:left="851"/>
        <w:jc w:val="right"/>
      </w:pPr>
      <w:r w:rsidRPr="00FE593E">
        <w:t>Judge of the High Court</w:t>
      </w:r>
    </w:p>
    <w:p w14:paraId="5003B235" w14:textId="77777777" w:rsidR="005243F1" w:rsidRDefault="005243F1" w:rsidP="005243F1">
      <w:pPr>
        <w:pStyle w:val="Paragraph12pt"/>
        <w:spacing w:after="0" w:line="240" w:lineRule="auto"/>
        <w:ind w:left="851"/>
        <w:jc w:val="right"/>
        <w:rPr>
          <w:b/>
          <w:bCs/>
        </w:rPr>
      </w:pPr>
    </w:p>
    <w:p w14:paraId="55D0B03C" w14:textId="77777777" w:rsidR="00AF5F62" w:rsidRDefault="00AF5F62" w:rsidP="00A51101">
      <w:pPr>
        <w:pStyle w:val="Paragraph12pt"/>
        <w:spacing w:after="0" w:line="240" w:lineRule="auto"/>
      </w:pPr>
    </w:p>
    <w:p w14:paraId="540D0176" w14:textId="20727E0E"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Caselines, and by publication of the judgment to the South African Legal Information Institute. The dat</w:t>
      </w:r>
      <w:r>
        <w:t xml:space="preserve">e </w:t>
      </w:r>
      <w:r w:rsidR="00DF7C7F">
        <w:t xml:space="preserve">for hand-down is deemed to be </w:t>
      </w:r>
      <w:r w:rsidR="00663670">
        <w:t>22</w:t>
      </w:r>
      <w:r w:rsidR="002253EE">
        <w:t xml:space="preserve"> April</w:t>
      </w:r>
      <w:r w:rsidR="00A667E7">
        <w:t xml:space="preserve"> 2024.</w:t>
      </w:r>
    </w:p>
    <w:p w14:paraId="6E86AD12" w14:textId="77777777" w:rsidR="00590AC6" w:rsidRDefault="00590AC6" w:rsidP="00D46FD0">
      <w:pPr>
        <w:pStyle w:val="Paragraph12pt"/>
        <w:spacing w:after="0" w:line="240" w:lineRule="auto"/>
        <w:jc w:val="left"/>
      </w:pPr>
    </w:p>
    <w:p w14:paraId="72DA417B" w14:textId="593647D9" w:rsidR="00663670" w:rsidRDefault="00B05A02" w:rsidP="004F6A2D">
      <w:pPr>
        <w:pStyle w:val="Paragraph12pt"/>
        <w:spacing w:after="0" w:line="240" w:lineRule="auto"/>
        <w:ind w:left="3600" w:hanging="3600"/>
        <w:jc w:val="left"/>
      </w:pPr>
      <w:r>
        <w:t>HEARD ON:</w:t>
      </w:r>
      <w:r>
        <w:tab/>
        <w:t>16 April 2024</w:t>
      </w:r>
    </w:p>
    <w:p w14:paraId="296E43AE" w14:textId="77777777" w:rsidR="00B03E19" w:rsidRDefault="00B03E19" w:rsidP="00B05A02">
      <w:pPr>
        <w:pStyle w:val="Paragraph12pt"/>
        <w:spacing w:after="0" w:line="240" w:lineRule="auto"/>
        <w:jc w:val="left"/>
      </w:pPr>
    </w:p>
    <w:p w14:paraId="3E05798E" w14:textId="1D5C006A" w:rsidR="00B06BF0" w:rsidRDefault="00104CBB" w:rsidP="00A31389">
      <w:pPr>
        <w:pStyle w:val="Paragraph12pt"/>
        <w:spacing w:after="0" w:line="240" w:lineRule="auto"/>
        <w:jc w:val="left"/>
      </w:pPr>
      <w:r>
        <w:t>DECIDED ON</w:t>
      </w:r>
      <w:r w:rsidR="00B06BF0">
        <w:t>:</w:t>
      </w:r>
      <w:r w:rsidR="00B06BF0">
        <w:tab/>
      </w:r>
      <w:r w:rsidR="00B06BF0">
        <w:tab/>
      </w:r>
      <w:r w:rsidR="00B06BF0">
        <w:tab/>
      </w:r>
      <w:r w:rsidR="00663670">
        <w:t>22</w:t>
      </w:r>
      <w:r w:rsidR="002253EE">
        <w:t xml:space="preserve"> April </w:t>
      </w:r>
      <w:r w:rsidR="00591B12">
        <w:t>2024</w:t>
      </w:r>
    </w:p>
    <w:p w14:paraId="0D0089FF" w14:textId="77777777" w:rsidR="004F4C87" w:rsidRDefault="004F4C87" w:rsidP="006210A1">
      <w:pPr>
        <w:pStyle w:val="Paragraph12pt"/>
        <w:spacing w:after="0" w:line="240" w:lineRule="auto"/>
        <w:jc w:val="left"/>
      </w:pPr>
    </w:p>
    <w:p w14:paraId="6AEAAC50" w14:textId="7C837A3A" w:rsidR="006210A1" w:rsidRDefault="0051403A" w:rsidP="00B05A02">
      <w:pPr>
        <w:pStyle w:val="Paragraph12pt"/>
        <w:spacing w:after="0" w:line="240" w:lineRule="auto"/>
        <w:ind w:left="3600" w:hanging="3600"/>
        <w:jc w:val="left"/>
      </w:pPr>
      <w:r>
        <w:t>For the</w:t>
      </w:r>
      <w:r w:rsidR="00226B2D">
        <w:t xml:space="preserve"> </w:t>
      </w:r>
      <w:r w:rsidR="00591B12">
        <w:t>Applicant</w:t>
      </w:r>
      <w:r>
        <w:t xml:space="preserve">: </w:t>
      </w:r>
      <w:r>
        <w:tab/>
      </w:r>
      <w:r w:rsidR="00B05A02">
        <w:t>Z Buthelezi</w:t>
      </w:r>
    </w:p>
    <w:p w14:paraId="3F536663" w14:textId="6AE1AE75" w:rsidR="00B05A02" w:rsidRDefault="00B05A02" w:rsidP="002253EE">
      <w:pPr>
        <w:pStyle w:val="Paragraph12pt"/>
        <w:spacing w:after="0" w:line="240" w:lineRule="auto"/>
        <w:jc w:val="left"/>
      </w:pPr>
      <w:r>
        <w:tab/>
      </w:r>
      <w:r>
        <w:tab/>
      </w:r>
      <w:r>
        <w:tab/>
      </w:r>
      <w:r>
        <w:tab/>
      </w:r>
      <w:r>
        <w:tab/>
        <w:t>Instructed by Letheba Makgato and Associates</w:t>
      </w:r>
    </w:p>
    <w:p w14:paraId="4B3EBF8B" w14:textId="77777777" w:rsidR="000F77C7" w:rsidRDefault="000F77C7" w:rsidP="00B06BF0">
      <w:pPr>
        <w:pStyle w:val="Paragraph12pt"/>
        <w:spacing w:after="0" w:line="240" w:lineRule="auto"/>
        <w:jc w:val="left"/>
      </w:pPr>
    </w:p>
    <w:p w14:paraId="1088EE33" w14:textId="305CE782" w:rsidR="00B05A02" w:rsidRDefault="000F77C7" w:rsidP="00B05A02">
      <w:pPr>
        <w:pStyle w:val="Paragraph12pt"/>
        <w:spacing w:after="0" w:line="240" w:lineRule="auto"/>
        <w:ind w:left="3600" w:hanging="3600"/>
        <w:jc w:val="left"/>
      </w:pPr>
      <w:r>
        <w:t xml:space="preserve">For </w:t>
      </w:r>
      <w:r w:rsidR="00185A98">
        <w:t xml:space="preserve">the </w:t>
      </w:r>
      <w:r w:rsidR="00B05A02">
        <w:t>First R</w:t>
      </w:r>
      <w:r w:rsidR="00591B12">
        <w:t>espondent</w:t>
      </w:r>
      <w:r w:rsidR="003A1020">
        <w:t>:</w:t>
      </w:r>
      <w:r w:rsidR="003A1020">
        <w:tab/>
      </w:r>
      <w:r w:rsidR="00B05A02">
        <w:t>Y A</w:t>
      </w:r>
      <w:r w:rsidR="00BF190D">
        <w:t>l</w:t>
      </w:r>
      <w:r w:rsidR="00B05A02">
        <w:t>li (heads of argument on the merits  having been drawn by R Itzkin)</w:t>
      </w:r>
    </w:p>
    <w:p w14:paraId="33D36840" w14:textId="43EDB015" w:rsidR="0024496A" w:rsidRDefault="00663670" w:rsidP="00B05A02">
      <w:pPr>
        <w:pStyle w:val="Paragraph12pt"/>
        <w:spacing w:after="0" w:line="240" w:lineRule="auto"/>
        <w:ind w:left="3600"/>
        <w:jc w:val="left"/>
      </w:pPr>
      <w:r>
        <w:t xml:space="preserve">Instructed by </w:t>
      </w:r>
      <w:r w:rsidR="00B05A02">
        <w:t xml:space="preserve">Webber Wentzel </w:t>
      </w:r>
    </w:p>
    <w:p w14:paraId="368B6AB1" w14:textId="77777777" w:rsidR="00B05A02" w:rsidRDefault="00B05A02" w:rsidP="00B05A02">
      <w:pPr>
        <w:pStyle w:val="Paragraph12pt"/>
        <w:spacing w:after="0" w:line="240" w:lineRule="auto"/>
        <w:jc w:val="left"/>
      </w:pPr>
    </w:p>
    <w:p w14:paraId="24B7AF04" w14:textId="0CAB87B7" w:rsidR="00B05A02" w:rsidRDefault="00B05A02" w:rsidP="00B05A02">
      <w:pPr>
        <w:pStyle w:val="Paragraph12pt"/>
        <w:spacing w:after="0" w:line="240" w:lineRule="auto"/>
        <w:jc w:val="left"/>
      </w:pPr>
      <w:r>
        <w:t>For the Fourth Respondent</w:t>
      </w:r>
      <w:r>
        <w:tab/>
        <w:t>A Coertze</w:t>
      </w:r>
    </w:p>
    <w:p w14:paraId="3E742B1F" w14:textId="7BA5C25A" w:rsidR="00B05A02" w:rsidRPr="00D46FD0" w:rsidRDefault="00B05A02" w:rsidP="00B05A02">
      <w:pPr>
        <w:pStyle w:val="Paragraph12pt"/>
        <w:spacing w:after="0" w:line="240" w:lineRule="auto"/>
        <w:jc w:val="left"/>
      </w:pPr>
      <w:r>
        <w:tab/>
      </w:r>
      <w:r>
        <w:tab/>
      </w:r>
      <w:r>
        <w:tab/>
      </w:r>
      <w:r>
        <w:tab/>
      </w:r>
      <w:r>
        <w:tab/>
        <w:t>Instructed by Pritchard Attorneys Inc</w:t>
      </w:r>
    </w:p>
    <w:sectPr w:rsidR="00B05A02" w:rsidRPr="00D46FD0" w:rsidSect="00DE0213">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8F46B" w14:textId="77777777" w:rsidR="00DE0213" w:rsidRDefault="00DE0213" w:rsidP="00023136">
      <w:r>
        <w:separator/>
      </w:r>
    </w:p>
  </w:endnote>
  <w:endnote w:type="continuationSeparator" w:id="0">
    <w:p w14:paraId="30212671" w14:textId="77777777" w:rsidR="00DE0213" w:rsidRDefault="00DE0213"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357904"/>
      <w:docPartObj>
        <w:docPartGallery w:val="Page Numbers (Bottom of Page)"/>
        <w:docPartUnique/>
      </w:docPartObj>
    </w:sdtPr>
    <w:sdtEndPr>
      <w:rPr>
        <w:noProof/>
        <w:sz w:val="24"/>
        <w:szCs w:val="24"/>
      </w:rPr>
    </w:sdtEndPr>
    <w:sdtContent>
      <w:p w14:paraId="526B1D6E" w14:textId="2AEC3443"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474700">
          <w:rPr>
            <w:noProof/>
            <w:sz w:val="24"/>
            <w:szCs w:val="24"/>
          </w:rPr>
          <w:t>11</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562D4" w14:textId="77777777" w:rsidR="00DE0213" w:rsidRDefault="00DE0213" w:rsidP="00023136">
      <w:r>
        <w:separator/>
      </w:r>
    </w:p>
  </w:footnote>
  <w:footnote w:type="continuationSeparator" w:id="0">
    <w:p w14:paraId="57CE0D0F" w14:textId="77777777" w:rsidR="00DE0213" w:rsidRDefault="00DE0213"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0969591">
    <w:abstractNumId w:val="16"/>
  </w:num>
  <w:num w:numId="2" w16cid:durableId="912087798">
    <w:abstractNumId w:val="7"/>
  </w:num>
  <w:num w:numId="3" w16cid:durableId="1394425839">
    <w:abstractNumId w:val="15"/>
  </w:num>
  <w:num w:numId="4" w16cid:durableId="1556164729">
    <w:abstractNumId w:val="10"/>
  </w:num>
  <w:num w:numId="5" w16cid:durableId="526992570">
    <w:abstractNumId w:val="32"/>
  </w:num>
  <w:num w:numId="6" w16cid:durableId="1147282045">
    <w:abstractNumId w:val="19"/>
  </w:num>
  <w:num w:numId="7" w16cid:durableId="555747658">
    <w:abstractNumId w:val="22"/>
  </w:num>
  <w:num w:numId="8" w16cid:durableId="2110930632">
    <w:abstractNumId w:val="3"/>
  </w:num>
  <w:num w:numId="9" w16cid:durableId="921916779">
    <w:abstractNumId w:val="20"/>
  </w:num>
  <w:num w:numId="10" w16cid:durableId="2030327372">
    <w:abstractNumId w:val="28"/>
  </w:num>
  <w:num w:numId="11" w16cid:durableId="1985886287">
    <w:abstractNumId w:val="33"/>
  </w:num>
  <w:num w:numId="12" w16cid:durableId="180432635">
    <w:abstractNumId w:val="24"/>
  </w:num>
  <w:num w:numId="13" w16cid:durableId="50495430">
    <w:abstractNumId w:val="27"/>
  </w:num>
  <w:num w:numId="14" w16cid:durableId="1095050491">
    <w:abstractNumId w:val="40"/>
  </w:num>
  <w:num w:numId="15" w16cid:durableId="127494338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419719598">
    <w:abstractNumId w:val="30"/>
  </w:num>
  <w:num w:numId="17" w16cid:durableId="1245146574">
    <w:abstractNumId w:val="34"/>
  </w:num>
  <w:num w:numId="18" w16cid:durableId="195126114">
    <w:abstractNumId w:val="18"/>
  </w:num>
  <w:num w:numId="19" w16cid:durableId="816337050">
    <w:abstractNumId w:val="39"/>
  </w:num>
  <w:num w:numId="20" w16cid:durableId="13633659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7521433">
    <w:abstractNumId w:val="29"/>
  </w:num>
  <w:num w:numId="22" w16cid:durableId="1156334855">
    <w:abstractNumId w:val="17"/>
  </w:num>
  <w:num w:numId="23" w16cid:durableId="1957637971">
    <w:abstractNumId w:val="11"/>
  </w:num>
  <w:num w:numId="24" w16cid:durableId="14251064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3442069">
    <w:abstractNumId w:val="4"/>
  </w:num>
  <w:num w:numId="26" w16cid:durableId="1836918368">
    <w:abstractNumId w:val="21"/>
  </w:num>
  <w:num w:numId="27" w16cid:durableId="470904524">
    <w:abstractNumId w:val="0"/>
  </w:num>
  <w:num w:numId="28" w16cid:durableId="432408847">
    <w:abstractNumId w:val="2"/>
  </w:num>
  <w:num w:numId="29" w16cid:durableId="9620056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468522">
    <w:abstractNumId w:val="26"/>
  </w:num>
  <w:num w:numId="31" w16cid:durableId="1077439455">
    <w:abstractNumId w:val="37"/>
  </w:num>
  <w:num w:numId="32" w16cid:durableId="1337884385">
    <w:abstractNumId w:val="35"/>
  </w:num>
  <w:num w:numId="33" w16cid:durableId="32267072">
    <w:abstractNumId w:val="25"/>
  </w:num>
  <w:num w:numId="34" w16cid:durableId="1817335016">
    <w:abstractNumId w:val="5"/>
  </w:num>
  <w:num w:numId="35" w16cid:durableId="1822693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6641506">
    <w:abstractNumId w:val="8"/>
  </w:num>
  <w:num w:numId="37" w16cid:durableId="2060932810">
    <w:abstractNumId w:val="23"/>
  </w:num>
  <w:num w:numId="38" w16cid:durableId="89664281">
    <w:abstractNumId w:val="12"/>
  </w:num>
  <w:num w:numId="39" w16cid:durableId="1540581757">
    <w:abstractNumId w:val="38"/>
  </w:num>
  <w:num w:numId="40" w16cid:durableId="1394088014">
    <w:abstractNumId w:val="36"/>
  </w:num>
  <w:num w:numId="41" w16cid:durableId="1137187553">
    <w:abstractNumId w:val="14"/>
  </w:num>
  <w:num w:numId="42" w16cid:durableId="1122840410">
    <w:abstractNumId w:val="9"/>
  </w:num>
  <w:num w:numId="43" w16cid:durableId="1055544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5EF1"/>
    <w:rsid w:val="000069E0"/>
    <w:rsid w:val="00006CF8"/>
    <w:rsid w:val="000078CF"/>
    <w:rsid w:val="00007909"/>
    <w:rsid w:val="000104F0"/>
    <w:rsid w:val="0001207E"/>
    <w:rsid w:val="000133B7"/>
    <w:rsid w:val="000142F6"/>
    <w:rsid w:val="000151A5"/>
    <w:rsid w:val="00016093"/>
    <w:rsid w:val="000164CA"/>
    <w:rsid w:val="00016E1D"/>
    <w:rsid w:val="000175D2"/>
    <w:rsid w:val="00017F96"/>
    <w:rsid w:val="00020AAC"/>
    <w:rsid w:val="000227EB"/>
    <w:rsid w:val="000228BF"/>
    <w:rsid w:val="00022A59"/>
    <w:rsid w:val="00023136"/>
    <w:rsid w:val="000242E6"/>
    <w:rsid w:val="00025BD3"/>
    <w:rsid w:val="00025CAF"/>
    <w:rsid w:val="0002712A"/>
    <w:rsid w:val="000271F7"/>
    <w:rsid w:val="0002756E"/>
    <w:rsid w:val="0002759A"/>
    <w:rsid w:val="000315F7"/>
    <w:rsid w:val="00031CBD"/>
    <w:rsid w:val="00031ED4"/>
    <w:rsid w:val="00032CF6"/>
    <w:rsid w:val="00032FF8"/>
    <w:rsid w:val="0003308F"/>
    <w:rsid w:val="00033B1C"/>
    <w:rsid w:val="00034C50"/>
    <w:rsid w:val="00035741"/>
    <w:rsid w:val="00035C84"/>
    <w:rsid w:val="00035D43"/>
    <w:rsid w:val="0003732A"/>
    <w:rsid w:val="00037B84"/>
    <w:rsid w:val="000419C2"/>
    <w:rsid w:val="000420E9"/>
    <w:rsid w:val="0004228E"/>
    <w:rsid w:val="000438D7"/>
    <w:rsid w:val="00044F54"/>
    <w:rsid w:val="00044F81"/>
    <w:rsid w:val="00045076"/>
    <w:rsid w:val="000458A6"/>
    <w:rsid w:val="00046872"/>
    <w:rsid w:val="00047880"/>
    <w:rsid w:val="0004799B"/>
    <w:rsid w:val="000528BA"/>
    <w:rsid w:val="0005299D"/>
    <w:rsid w:val="00053C2B"/>
    <w:rsid w:val="00054B4E"/>
    <w:rsid w:val="00055586"/>
    <w:rsid w:val="00055865"/>
    <w:rsid w:val="000559FB"/>
    <w:rsid w:val="00056363"/>
    <w:rsid w:val="000607DF"/>
    <w:rsid w:val="000608FF"/>
    <w:rsid w:val="000610BF"/>
    <w:rsid w:val="00061450"/>
    <w:rsid w:val="00062E83"/>
    <w:rsid w:val="0006303F"/>
    <w:rsid w:val="000647C6"/>
    <w:rsid w:val="000649FE"/>
    <w:rsid w:val="00066A4B"/>
    <w:rsid w:val="00066C64"/>
    <w:rsid w:val="000712B5"/>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3C9"/>
    <w:rsid w:val="00092644"/>
    <w:rsid w:val="00092C7B"/>
    <w:rsid w:val="00093580"/>
    <w:rsid w:val="00094A3E"/>
    <w:rsid w:val="0009563B"/>
    <w:rsid w:val="00096424"/>
    <w:rsid w:val="0009673F"/>
    <w:rsid w:val="0009694D"/>
    <w:rsid w:val="00097961"/>
    <w:rsid w:val="000A002D"/>
    <w:rsid w:val="000A108F"/>
    <w:rsid w:val="000A17A7"/>
    <w:rsid w:val="000A2F1E"/>
    <w:rsid w:val="000A346F"/>
    <w:rsid w:val="000A5154"/>
    <w:rsid w:val="000A5C36"/>
    <w:rsid w:val="000A5D41"/>
    <w:rsid w:val="000A63B7"/>
    <w:rsid w:val="000A67F2"/>
    <w:rsid w:val="000A6CCE"/>
    <w:rsid w:val="000A6DE9"/>
    <w:rsid w:val="000A7A01"/>
    <w:rsid w:val="000A7E6C"/>
    <w:rsid w:val="000B0260"/>
    <w:rsid w:val="000B0F27"/>
    <w:rsid w:val="000B1437"/>
    <w:rsid w:val="000B1A09"/>
    <w:rsid w:val="000B23EA"/>
    <w:rsid w:val="000B2FAA"/>
    <w:rsid w:val="000B433A"/>
    <w:rsid w:val="000B562F"/>
    <w:rsid w:val="000B6B3F"/>
    <w:rsid w:val="000B7560"/>
    <w:rsid w:val="000C0419"/>
    <w:rsid w:val="000C111B"/>
    <w:rsid w:val="000C1A4F"/>
    <w:rsid w:val="000C3FD5"/>
    <w:rsid w:val="000C520A"/>
    <w:rsid w:val="000C6EE4"/>
    <w:rsid w:val="000C7667"/>
    <w:rsid w:val="000D0125"/>
    <w:rsid w:val="000D0844"/>
    <w:rsid w:val="000D1822"/>
    <w:rsid w:val="000D1A91"/>
    <w:rsid w:val="000D4AB1"/>
    <w:rsid w:val="000D4D49"/>
    <w:rsid w:val="000D54BF"/>
    <w:rsid w:val="000D5651"/>
    <w:rsid w:val="000D5AC6"/>
    <w:rsid w:val="000D716E"/>
    <w:rsid w:val="000D7679"/>
    <w:rsid w:val="000E0FCE"/>
    <w:rsid w:val="000E118F"/>
    <w:rsid w:val="000E15F1"/>
    <w:rsid w:val="000E16C7"/>
    <w:rsid w:val="000E2B7C"/>
    <w:rsid w:val="000E3412"/>
    <w:rsid w:val="000E5827"/>
    <w:rsid w:val="000E6565"/>
    <w:rsid w:val="000E799F"/>
    <w:rsid w:val="000F0A27"/>
    <w:rsid w:val="000F1501"/>
    <w:rsid w:val="000F3365"/>
    <w:rsid w:val="000F341A"/>
    <w:rsid w:val="000F4D80"/>
    <w:rsid w:val="000F4FA4"/>
    <w:rsid w:val="000F618F"/>
    <w:rsid w:val="000F6594"/>
    <w:rsid w:val="000F77C7"/>
    <w:rsid w:val="00102D51"/>
    <w:rsid w:val="0010320B"/>
    <w:rsid w:val="001049AD"/>
    <w:rsid w:val="00104CBB"/>
    <w:rsid w:val="00104DCE"/>
    <w:rsid w:val="001052DD"/>
    <w:rsid w:val="00105EBE"/>
    <w:rsid w:val="00106B33"/>
    <w:rsid w:val="001070F0"/>
    <w:rsid w:val="0011043D"/>
    <w:rsid w:val="00112426"/>
    <w:rsid w:val="0011340A"/>
    <w:rsid w:val="00113C1D"/>
    <w:rsid w:val="0011443E"/>
    <w:rsid w:val="00116D9A"/>
    <w:rsid w:val="00117216"/>
    <w:rsid w:val="00120072"/>
    <w:rsid w:val="00120C42"/>
    <w:rsid w:val="00121815"/>
    <w:rsid w:val="00121FF8"/>
    <w:rsid w:val="001223D9"/>
    <w:rsid w:val="00123586"/>
    <w:rsid w:val="00123BF9"/>
    <w:rsid w:val="00124B72"/>
    <w:rsid w:val="001252A4"/>
    <w:rsid w:val="00125B5D"/>
    <w:rsid w:val="00127B1D"/>
    <w:rsid w:val="00130083"/>
    <w:rsid w:val="001308DE"/>
    <w:rsid w:val="00131A9D"/>
    <w:rsid w:val="0013238A"/>
    <w:rsid w:val="00132BB9"/>
    <w:rsid w:val="00134F23"/>
    <w:rsid w:val="00135544"/>
    <w:rsid w:val="00135E43"/>
    <w:rsid w:val="00136002"/>
    <w:rsid w:val="00136040"/>
    <w:rsid w:val="00137BDE"/>
    <w:rsid w:val="00137E50"/>
    <w:rsid w:val="001401D9"/>
    <w:rsid w:val="00140EDC"/>
    <w:rsid w:val="00141DF2"/>
    <w:rsid w:val="001446DD"/>
    <w:rsid w:val="001462AA"/>
    <w:rsid w:val="0014691E"/>
    <w:rsid w:val="00147552"/>
    <w:rsid w:val="00147C5C"/>
    <w:rsid w:val="00147CF8"/>
    <w:rsid w:val="001505EB"/>
    <w:rsid w:val="00150CA8"/>
    <w:rsid w:val="0015187C"/>
    <w:rsid w:val="00153FE3"/>
    <w:rsid w:val="00154598"/>
    <w:rsid w:val="00155605"/>
    <w:rsid w:val="001559B6"/>
    <w:rsid w:val="00156C9A"/>
    <w:rsid w:val="00157307"/>
    <w:rsid w:val="00157DC4"/>
    <w:rsid w:val="0016022C"/>
    <w:rsid w:val="00160B29"/>
    <w:rsid w:val="001619C7"/>
    <w:rsid w:val="001620B5"/>
    <w:rsid w:val="0016237E"/>
    <w:rsid w:val="001625DC"/>
    <w:rsid w:val="001625E9"/>
    <w:rsid w:val="00164C5B"/>
    <w:rsid w:val="00165757"/>
    <w:rsid w:val="00165D2C"/>
    <w:rsid w:val="00166B77"/>
    <w:rsid w:val="00166BF8"/>
    <w:rsid w:val="00167627"/>
    <w:rsid w:val="00167FFD"/>
    <w:rsid w:val="0017083E"/>
    <w:rsid w:val="00170977"/>
    <w:rsid w:val="001716CF"/>
    <w:rsid w:val="00174375"/>
    <w:rsid w:val="00174EB2"/>
    <w:rsid w:val="0017523E"/>
    <w:rsid w:val="001759E4"/>
    <w:rsid w:val="00175BBE"/>
    <w:rsid w:val="0017623F"/>
    <w:rsid w:val="00176D1F"/>
    <w:rsid w:val="00177EE4"/>
    <w:rsid w:val="00181A11"/>
    <w:rsid w:val="00183089"/>
    <w:rsid w:val="00183346"/>
    <w:rsid w:val="0018353F"/>
    <w:rsid w:val="00183D43"/>
    <w:rsid w:val="00185028"/>
    <w:rsid w:val="00185A98"/>
    <w:rsid w:val="00186021"/>
    <w:rsid w:val="00186C6C"/>
    <w:rsid w:val="00186F26"/>
    <w:rsid w:val="00186FF2"/>
    <w:rsid w:val="0019057E"/>
    <w:rsid w:val="00190FE0"/>
    <w:rsid w:val="0019383E"/>
    <w:rsid w:val="00193C5C"/>
    <w:rsid w:val="0019419A"/>
    <w:rsid w:val="001951AD"/>
    <w:rsid w:val="001A07D0"/>
    <w:rsid w:val="001A143C"/>
    <w:rsid w:val="001A15F9"/>
    <w:rsid w:val="001A16EA"/>
    <w:rsid w:val="001A1D01"/>
    <w:rsid w:val="001A3CEE"/>
    <w:rsid w:val="001A4104"/>
    <w:rsid w:val="001A4353"/>
    <w:rsid w:val="001A462C"/>
    <w:rsid w:val="001A4DA6"/>
    <w:rsid w:val="001A532C"/>
    <w:rsid w:val="001A5F4D"/>
    <w:rsid w:val="001A6922"/>
    <w:rsid w:val="001B011B"/>
    <w:rsid w:val="001B0CD4"/>
    <w:rsid w:val="001B29BB"/>
    <w:rsid w:val="001B3D27"/>
    <w:rsid w:val="001B50EB"/>
    <w:rsid w:val="001B595B"/>
    <w:rsid w:val="001B5B75"/>
    <w:rsid w:val="001B5F23"/>
    <w:rsid w:val="001C0737"/>
    <w:rsid w:val="001C0CE2"/>
    <w:rsid w:val="001C1F4D"/>
    <w:rsid w:val="001C2122"/>
    <w:rsid w:val="001C2236"/>
    <w:rsid w:val="001C30FF"/>
    <w:rsid w:val="001C324E"/>
    <w:rsid w:val="001C3C7F"/>
    <w:rsid w:val="001C3CEE"/>
    <w:rsid w:val="001C4DBE"/>
    <w:rsid w:val="001C4F4C"/>
    <w:rsid w:val="001C63A0"/>
    <w:rsid w:val="001D04E6"/>
    <w:rsid w:val="001D248E"/>
    <w:rsid w:val="001D2DAF"/>
    <w:rsid w:val="001D351D"/>
    <w:rsid w:val="001D46BA"/>
    <w:rsid w:val="001D54BC"/>
    <w:rsid w:val="001D7682"/>
    <w:rsid w:val="001E0372"/>
    <w:rsid w:val="001E0C36"/>
    <w:rsid w:val="001E0D76"/>
    <w:rsid w:val="001E1412"/>
    <w:rsid w:val="001E1A23"/>
    <w:rsid w:val="001E3C28"/>
    <w:rsid w:val="001E4132"/>
    <w:rsid w:val="001E4400"/>
    <w:rsid w:val="001E450F"/>
    <w:rsid w:val="001E4520"/>
    <w:rsid w:val="001E4F79"/>
    <w:rsid w:val="001E5AF5"/>
    <w:rsid w:val="001E5F6A"/>
    <w:rsid w:val="001E60BF"/>
    <w:rsid w:val="001E699D"/>
    <w:rsid w:val="001E7C8D"/>
    <w:rsid w:val="001E7CC4"/>
    <w:rsid w:val="001F0ED5"/>
    <w:rsid w:val="001F2896"/>
    <w:rsid w:val="001F28EE"/>
    <w:rsid w:val="001F3A43"/>
    <w:rsid w:val="001F4149"/>
    <w:rsid w:val="001F43C8"/>
    <w:rsid w:val="001F4842"/>
    <w:rsid w:val="001F684B"/>
    <w:rsid w:val="001F6B3A"/>
    <w:rsid w:val="001F727F"/>
    <w:rsid w:val="001F799C"/>
    <w:rsid w:val="0020076B"/>
    <w:rsid w:val="002007D2"/>
    <w:rsid w:val="00200C95"/>
    <w:rsid w:val="00202681"/>
    <w:rsid w:val="00202EA7"/>
    <w:rsid w:val="00204A99"/>
    <w:rsid w:val="00204F2B"/>
    <w:rsid w:val="002055DF"/>
    <w:rsid w:val="00205984"/>
    <w:rsid w:val="00207C68"/>
    <w:rsid w:val="002113E2"/>
    <w:rsid w:val="002115A6"/>
    <w:rsid w:val="002115E1"/>
    <w:rsid w:val="002115F6"/>
    <w:rsid w:val="00211ABF"/>
    <w:rsid w:val="00211AFF"/>
    <w:rsid w:val="002121FA"/>
    <w:rsid w:val="00213078"/>
    <w:rsid w:val="00213365"/>
    <w:rsid w:val="00213807"/>
    <w:rsid w:val="00213931"/>
    <w:rsid w:val="0021490A"/>
    <w:rsid w:val="002155A7"/>
    <w:rsid w:val="00215B41"/>
    <w:rsid w:val="00217A4E"/>
    <w:rsid w:val="00220654"/>
    <w:rsid w:val="0022152D"/>
    <w:rsid w:val="00222181"/>
    <w:rsid w:val="00224200"/>
    <w:rsid w:val="0022500C"/>
    <w:rsid w:val="002253EE"/>
    <w:rsid w:val="00225614"/>
    <w:rsid w:val="00225EF9"/>
    <w:rsid w:val="00226B2D"/>
    <w:rsid w:val="00226CB5"/>
    <w:rsid w:val="002273FD"/>
    <w:rsid w:val="00230148"/>
    <w:rsid w:val="00230F5F"/>
    <w:rsid w:val="00234E2A"/>
    <w:rsid w:val="00235ED1"/>
    <w:rsid w:val="00236DD8"/>
    <w:rsid w:val="00237058"/>
    <w:rsid w:val="002377F5"/>
    <w:rsid w:val="002378F9"/>
    <w:rsid w:val="00237B58"/>
    <w:rsid w:val="00240752"/>
    <w:rsid w:val="0024077C"/>
    <w:rsid w:val="00241005"/>
    <w:rsid w:val="002410B1"/>
    <w:rsid w:val="002413DB"/>
    <w:rsid w:val="002420C3"/>
    <w:rsid w:val="00242AA9"/>
    <w:rsid w:val="00242C0C"/>
    <w:rsid w:val="00243197"/>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61FB6"/>
    <w:rsid w:val="002627EC"/>
    <w:rsid w:val="00262D8F"/>
    <w:rsid w:val="00266D36"/>
    <w:rsid w:val="002671BD"/>
    <w:rsid w:val="002704AE"/>
    <w:rsid w:val="00271ACD"/>
    <w:rsid w:val="002739CC"/>
    <w:rsid w:val="00275F50"/>
    <w:rsid w:val="00276034"/>
    <w:rsid w:val="0027631F"/>
    <w:rsid w:val="0027676E"/>
    <w:rsid w:val="002769E1"/>
    <w:rsid w:val="00276C1E"/>
    <w:rsid w:val="00276E67"/>
    <w:rsid w:val="00277325"/>
    <w:rsid w:val="00280563"/>
    <w:rsid w:val="00281207"/>
    <w:rsid w:val="00281E6E"/>
    <w:rsid w:val="0028361E"/>
    <w:rsid w:val="00283797"/>
    <w:rsid w:val="00283D24"/>
    <w:rsid w:val="0028424E"/>
    <w:rsid w:val="00287FDE"/>
    <w:rsid w:val="00290383"/>
    <w:rsid w:val="00290C1B"/>
    <w:rsid w:val="00291174"/>
    <w:rsid w:val="00291B14"/>
    <w:rsid w:val="00292C2F"/>
    <w:rsid w:val="002937B0"/>
    <w:rsid w:val="00294B0B"/>
    <w:rsid w:val="002950CC"/>
    <w:rsid w:val="00295341"/>
    <w:rsid w:val="0029536E"/>
    <w:rsid w:val="00295FD3"/>
    <w:rsid w:val="00297345"/>
    <w:rsid w:val="002A0B81"/>
    <w:rsid w:val="002A1DE8"/>
    <w:rsid w:val="002A2188"/>
    <w:rsid w:val="002A30D3"/>
    <w:rsid w:val="002A33F4"/>
    <w:rsid w:val="002A35B8"/>
    <w:rsid w:val="002A5C0E"/>
    <w:rsid w:val="002A6607"/>
    <w:rsid w:val="002B021B"/>
    <w:rsid w:val="002B0351"/>
    <w:rsid w:val="002B12D9"/>
    <w:rsid w:val="002B30C6"/>
    <w:rsid w:val="002B3669"/>
    <w:rsid w:val="002B3B93"/>
    <w:rsid w:val="002B4772"/>
    <w:rsid w:val="002B485D"/>
    <w:rsid w:val="002B4A76"/>
    <w:rsid w:val="002B6285"/>
    <w:rsid w:val="002B68C3"/>
    <w:rsid w:val="002B6DE9"/>
    <w:rsid w:val="002C0728"/>
    <w:rsid w:val="002C14FA"/>
    <w:rsid w:val="002C16B4"/>
    <w:rsid w:val="002C1A93"/>
    <w:rsid w:val="002C1FCB"/>
    <w:rsid w:val="002C2A8D"/>
    <w:rsid w:val="002C4C5A"/>
    <w:rsid w:val="002C58DD"/>
    <w:rsid w:val="002C6C6E"/>
    <w:rsid w:val="002C6CD2"/>
    <w:rsid w:val="002D00E0"/>
    <w:rsid w:val="002D0141"/>
    <w:rsid w:val="002D15D0"/>
    <w:rsid w:val="002D1911"/>
    <w:rsid w:val="002D21D8"/>
    <w:rsid w:val="002D250B"/>
    <w:rsid w:val="002D30C4"/>
    <w:rsid w:val="002D4B37"/>
    <w:rsid w:val="002D5667"/>
    <w:rsid w:val="002D701F"/>
    <w:rsid w:val="002D7817"/>
    <w:rsid w:val="002E2969"/>
    <w:rsid w:val="002E2B97"/>
    <w:rsid w:val="002E2CCC"/>
    <w:rsid w:val="002E3BAC"/>
    <w:rsid w:val="002E3F5D"/>
    <w:rsid w:val="002E52E8"/>
    <w:rsid w:val="002E5C39"/>
    <w:rsid w:val="002E62BD"/>
    <w:rsid w:val="002E6649"/>
    <w:rsid w:val="002E7E63"/>
    <w:rsid w:val="002F0B00"/>
    <w:rsid w:val="002F0C59"/>
    <w:rsid w:val="002F216B"/>
    <w:rsid w:val="002F229A"/>
    <w:rsid w:val="002F2C49"/>
    <w:rsid w:val="002F456D"/>
    <w:rsid w:val="002F4D5D"/>
    <w:rsid w:val="002F529B"/>
    <w:rsid w:val="002F5702"/>
    <w:rsid w:val="002F623B"/>
    <w:rsid w:val="002F6526"/>
    <w:rsid w:val="002F6ECB"/>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441B"/>
    <w:rsid w:val="00314920"/>
    <w:rsid w:val="0031589B"/>
    <w:rsid w:val="0031632A"/>
    <w:rsid w:val="003178C5"/>
    <w:rsid w:val="0032090C"/>
    <w:rsid w:val="003211A0"/>
    <w:rsid w:val="00321A27"/>
    <w:rsid w:val="003239E3"/>
    <w:rsid w:val="00323B03"/>
    <w:rsid w:val="00323CC5"/>
    <w:rsid w:val="00324ABF"/>
    <w:rsid w:val="003251B1"/>
    <w:rsid w:val="003257D4"/>
    <w:rsid w:val="00326F0F"/>
    <w:rsid w:val="0032710A"/>
    <w:rsid w:val="00330567"/>
    <w:rsid w:val="00331120"/>
    <w:rsid w:val="00331296"/>
    <w:rsid w:val="00331601"/>
    <w:rsid w:val="00331ACF"/>
    <w:rsid w:val="00335B03"/>
    <w:rsid w:val="00336589"/>
    <w:rsid w:val="00336644"/>
    <w:rsid w:val="00336D7B"/>
    <w:rsid w:val="00336EBA"/>
    <w:rsid w:val="003379AB"/>
    <w:rsid w:val="003404EA"/>
    <w:rsid w:val="003407E0"/>
    <w:rsid w:val="003422F0"/>
    <w:rsid w:val="00342A82"/>
    <w:rsid w:val="003441A3"/>
    <w:rsid w:val="00344CEA"/>
    <w:rsid w:val="0034660F"/>
    <w:rsid w:val="003466C4"/>
    <w:rsid w:val="00350762"/>
    <w:rsid w:val="00351249"/>
    <w:rsid w:val="0035142E"/>
    <w:rsid w:val="003517FE"/>
    <w:rsid w:val="003528AD"/>
    <w:rsid w:val="003537AA"/>
    <w:rsid w:val="00353A14"/>
    <w:rsid w:val="00354248"/>
    <w:rsid w:val="00354471"/>
    <w:rsid w:val="0035508F"/>
    <w:rsid w:val="003554E6"/>
    <w:rsid w:val="00355802"/>
    <w:rsid w:val="00355CE6"/>
    <w:rsid w:val="00355D85"/>
    <w:rsid w:val="0035659E"/>
    <w:rsid w:val="00357647"/>
    <w:rsid w:val="00360569"/>
    <w:rsid w:val="003610CA"/>
    <w:rsid w:val="003617C7"/>
    <w:rsid w:val="00361B23"/>
    <w:rsid w:val="00364F74"/>
    <w:rsid w:val="003662CF"/>
    <w:rsid w:val="0036653D"/>
    <w:rsid w:val="00366969"/>
    <w:rsid w:val="00366ECC"/>
    <w:rsid w:val="00370D52"/>
    <w:rsid w:val="00371110"/>
    <w:rsid w:val="00371284"/>
    <w:rsid w:val="00371F6B"/>
    <w:rsid w:val="00372C1E"/>
    <w:rsid w:val="00372FE2"/>
    <w:rsid w:val="00373B4D"/>
    <w:rsid w:val="00374AAA"/>
    <w:rsid w:val="00375125"/>
    <w:rsid w:val="0037538A"/>
    <w:rsid w:val="00376473"/>
    <w:rsid w:val="00377ADF"/>
    <w:rsid w:val="00377BF0"/>
    <w:rsid w:val="00377C65"/>
    <w:rsid w:val="00380795"/>
    <w:rsid w:val="00380EB9"/>
    <w:rsid w:val="00381046"/>
    <w:rsid w:val="0038112D"/>
    <w:rsid w:val="00381E34"/>
    <w:rsid w:val="00381FD3"/>
    <w:rsid w:val="00382F43"/>
    <w:rsid w:val="0038320D"/>
    <w:rsid w:val="003834BD"/>
    <w:rsid w:val="003855A0"/>
    <w:rsid w:val="003857A0"/>
    <w:rsid w:val="00385A3D"/>
    <w:rsid w:val="00385CE3"/>
    <w:rsid w:val="00385EB8"/>
    <w:rsid w:val="00386B8D"/>
    <w:rsid w:val="0038727F"/>
    <w:rsid w:val="0038751A"/>
    <w:rsid w:val="00387983"/>
    <w:rsid w:val="003900FB"/>
    <w:rsid w:val="003908EC"/>
    <w:rsid w:val="00390E92"/>
    <w:rsid w:val="00391980"/>
    <w:rsid w:val="0039223B"/>
    <w:rsid w:val="00392DB5"/>
    <w:rsid w:val="00392E7A"/>
    <w:rsid w:val="00393310"/>
    <w:rsid w:val="00393838"/>
    <w:rsid w:val="003947B5"/>
    <w:rsid w:val="00394E57"/>
    <w:rsid w:val="003955FF"/>
    <w:rsid w:val="00396145"/>
    <w:rsid w:val="003966CC"/>
    <w:rsid w:val="00396EED"/>
    <w:rsid w:val="00396FC9"/>
    <w:rsid w:val="00397140"/>
    <w:rsid w:val="00397185"/>
    <w:rsid w:val="00397540"/>
    <w:rsid w:val="003A1020"/>
    <w:rsid w:val="003A12FA"/>
    <w:rsid w:val="003A31EC"/>
    <w:rsid w:val="003A417E"/>
    <w:rsid w:val="003A4575"/>
    <w:rsid w:val="003A6862"/>
    <w:rsid w:val="003A6A44"/>
    <w:rsid w:val="003A6D47"/>
    <w:rsid w:val="003B1DBF"/>
    <w:rsid w:val="003B2A56"/>
    <w:rsid w:val="003B3858"/>
    <w:rsid w:val="003B4433"/>
    <w:rsid w:val="003B58F0"/>
    <w:rsid w:val="003B6CA9"/>
    <w:rsid w:val="003C0ED3"/>
    <w:rsid w:val="003C16CF"/>
    <w:rsid w:val="003C1DE8"/>
    <w:rsid w:val="003C3125"/>
    <w:rsid w:val="003C3366"/>
    <w:rsid w:val="003C34B9"/>
    <w:rsid w:val="003C499A"/>
    <w:rsid w:val="003C5B1A"/>
    <w:rsid w:val="003C5BCF"/>
    <w:rsid w:val="003C7B79"/>
    <w:rsid w:val="003C7F90"/>
    <w:rsid w:val="003D1021"/>
    <w:rsid w:val="003D1CC4"/>
    <w:rsid w:val="003D3AF7"/>
    <w:rsid w:val="003D3CB5"/>
    <w:rsid w:val="003D3EEF"/>
    <w:rsid w:val="003D413C"/>
    <w:rsid w:val="003D4D89"/>
    <w:rsid w:val="003D505A"/>
    <w:rsid w:val="003D54F8"/>
    <w:rsid w:val="003D6095"/>
    <w:rsid w:val="003D62A3"/>
    <w:rsid w:val="003D7413"/>
    <w:rsid w:val="003E0BF9"/>
    <w:rsid w:val="003E1C14"/>
    <w:rsid w:val="003E3D71"/>
    <w:rsid w:val="003E447A"/>
    <w:rsid w:val="003E4CA1"/>
    <w:rsid w:val="003E4F7C"/>
    <w:rsid w:val="003E53E5"/>
    <w:rsid w:val="003E5957"/>
    <w:rsid w:val="003E6414"/>
    <w:rsid w:val="003E6E82"/>
    <w:rsid w:val="003F1DB2"/>
    <w:rsid w:val="003F232F"/>
    <w:rsid w:val="003F2743"/>
    <w:rsid w:val="003F3E0D"/>
    <w:rsid w:val="003F4D3A"/>
    <w:rsid w:val="003F54CC"/>
    <w:rsid w:val="003F614A"/>
    <w:rsid w:val="003F65F3"/>
    <w:rsid w:val="003F73A7"/>
    <w:rsid w:val="003F75BB"/>
    <w:rsid w:val="0040019C"/>
    <w:rsid w:val="0040054A"/>
    <w:rsid w:val="00400C55"/>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5E12"/>
    <w:rsid w:val="00416719"/>
    <w:rsid w:val="004207D2"/>
    <w:rsid w:val="0042093E"/>
    <w:rsid w:val="00421357"/>
    <w:rsid w:val="0042272B"/>
    <w:rsid w:val="0042290C"/>
    <w:rsid w:val="004230E5"/>
    <w:rsid w:val="00423481"/>
    <w:rsid w:val="00424137"/>
    <w:rsid w:val="004244E1"/>
    <w:rsid w:val="0042478B"/>
    <w:rsid w:val="00425A7B"/>
    <w:rsid w:val="00426F8B"/>
    <w:rsid w:val="00430DF8"/>
    <w:rsid w:val="00431651"/>
    <w:rsid w:val="00433EBD"/>
    <w:rsid w:val="00434EBF"/>
    <w:rsid w:val="00435892"/>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12"/>
    <w:rsid w:val="0045186E"/>
    <w:rsid w:val="00451AF2"/>
    <w:rsid w:val="00451E8D"/>
    <w:rsid w:val="00453B1F"/>
    <w:rsid w:val="00453DDF"/>
    <w:rsid w:val="00454560"/>
    <w:rsid w:val="004545EC"/>
    <w:rsid w:val="004546BC"/>
    <w:rsid w:val="00456455"/>
    <w:rsid w:val="0046049B"/>
    <w:rsid w:val="00460664"/>
    <w:rsid w:val="004607C2"/>
    <w:rsid w:val="00460B46"/>
    <w:rsid w:val="00460DD7"/>
    <w:rsid w:val="004618D9"/>
    <w:rsid w:val="00462885"/>
    <w:rsid w:val="004645BC"/>
    <w:rsid w:val="0046468D"/>
    <w:rsid w:val="0046498E"/>
    <w:rsid w:val="004656AB"/>
    <w:rsid w:val="00466647"/>
    <w:rsid w:val="00466803"/>
    <w:rsid w:val="00467186"/>
    <w:rsid w:val="004701EE"/>
    <w:rsid w:val="00470703"/>
    <w:rsid w:val="00470862"/>
    <w:rsid w:val="00472029"/>
    <w:rsid w:val="00472782"/>
    <w:rsid w:val="004728FC"/>
    <w:rsid w:val="00473766"/>
    <w:rsid w:val="00473C00"/>
    <w:rsid w:val="004740CD"/>
    <w:rsid w:val="00474482"/>
    <w:rsid w:val="00474700"/>
    <w:rsid w:val="00474D78"/>
    <w:rsid w:val="00475201"/>
    <w:rsid w:val="004756FD"/>
    <w:rsid w:val="00477028"/>
    <w:rsid w:val="00477127"/>
    <w:rsid w:val="00477E1E"/>
    <w:rsid w:val="0048014C"/>
    <w:rsid w:val="00482253"/>
    <w:rsid w:val="004824E3"/>
    <w:rsid w:val="0048392D"/>
    <w:rsid w:val="00485754"/>
    <w:rsid w:val="00486242"/>
    <w:rsid w:val="00487342"/>
    <w:rsid w:val="00490019"/>
    <w:rsid w:val="00491006"/>
    <w:rsid w:val="004914A5"/>
    <w:rsid w:val="00491A30"/>
    <w:rsid w:val="00492262"/>
    <w:rsid w:val="00492A06"/>
    <w:rsid w:val="00493E5D"/>
    <w:rsid w:val="00493F3D"/>
    <w:rsid w:val="004945EF"/>
    <w:rsid w:val="00494D5A"/>
    <w:rsid w:val="00496DF0"/>
    <w:rsid w:val="0049771D"/>
    <w:rsid w:val="00497AFE"/>
    <w:rsid w:val="004A105A"/>
    <w:rsid w:val="004A2C32"/>
    <w:rsid w:val="004A2C8C"/>
    <w:rsid w:val="004A3209"/>
    <w:rsid w:val="004A32DC"/>
    <w:rsid w:val="004A424C"/>
    <w:rsid w:val="004A4575"/>
    <w:rsid w:val="004A487D"/>
    <w:rsid w:val="004A49E6"/>
    <w:rsid w:val="004B0356"/>
    <w:rsid w:val="004B0906"/>
    <w:rsid w:val="004B1002"/>
    <w:rsid w:val="004B2125"/>
    <w:rsid w:val="004B36F4"/>
    <w:rsid w:val="004B5424"/>
    <w:rsid w:val="004B615F"/>
    <w:rsid w:val="004B631C"/>
    <w:rsid w:val="004B6C09"/>
    <w:rsid w:val="004B72E9"/>
    <w:rsid w:val="004B739B"/>
    <w:rsid w:val="004C0A7B"/>
    <w:rsid w:val="004C318D"/>
    <w:rsid w:val="004C4010"/>
    <w:rsid w:val="004C6FAC"/>
    <w:rsid w:val="004C7405"/>
    <w:rsid w:val="004D0A7F"/>
    <w:rsid w:val="004D0FB8"/>
    <w:rsid w:val="004D10BB"/>
    <w:rsid w:val="004D37DE"/>
    <w:rsid w:val="004D52B7"/>
    <w:rsid w:val="004D59F1"/>
    <w:rsid w:val="004D5A6B"/>
    <w:rsid w:val="004D6A6F"/>
    <w:rsid w:val="004D7372"/>
    <w:rsid w:val="004D7B86"/>
    <w:rsid w:val="004E02F6"/>
    <w:rsid w:val="004E435D"/>
    <w:rsid w:val="004E4384"/>
    <w:rsid w:val="004E4A9F"/>
    <w:rsid w:val="004E4AF7"/>
    <w:rsid w:val="004E5254"/>
    <w:rsid w:val="004E55CB"/>
    <w:rsid w:val="004E6A3D"/>
    <w:rsid w:val="004F0635"/>
    <w:rsid w:val="004F17B7"/>
    <w:rsid w:val="004F1F85"/>
    <w:rsid w:val="004F2C17"/>
    <w:rsid w:val="004F3214"/>
    <w:rsid w:val="004F351A"/>
    <w:rsid w:val="004F4C87"/>
    <w:rsid w:val="004F4F7E"/>
    <w:rsid w:val="004F5028"/>
    <w:rsid w:val="004F54C9"/>
    <w:rsid w:val="004F5837"/>
    <w:rsid w:val="004F5B65"/>
    <w:rsid w:val="004F5CD6"/>
    <w:rsid w:val="004F6614"/>
    <w:rsid w:val="004F6A2D"/>
    <w:rsid w:val="004F6B70"/>
    <w:rsid w:val="005000FC"/>
    <w:rsid w:val="0050027D"/>
    <w:rsid w:val="00500760"/>
    <w:rsid w:val="00502297"/>
    <w:rsid w:val="00502403"/>
    <w:rsid w:val="005025D7"/>
    <w:rsid w:val="00502BC7"/>
    <w:rsid w:val="00503094"/>
    <w:rsid w:val="005031DD"/>
    <w:rsid w:val="00505088"/>
    <w:rsid w:val="005050A7"/>
    <w:rsid w:val="005130D8"/>
    <w:rsid w:val="00513645"/>
    <w:rsid w:val="0051403A"/>
    <w:rsid w:val="005151C4"/>
    <w:rsid w:val="005152CE"/>
    <w:rsid w:val="00515D76"/>
    <w:rsid w:val="00520077"/>
    <w:rsid w:val="00520C15"/>
    <w:rsid w:val="0052100F"/>
    <w:rsid w:val="00521333"/>
    <w:rsid w:val="00522B30"/>
    <w:rsid w:val="00522C54"/>
    <w:rsid w:val="00522CAD"/>
    <w:rsid w:val="00523907"/>
    <w:rsid w:val="0052406F"/>
    <w:rsid w:val="005240A6"/>
    <w:rsid w:val="005243F1"/>
    <w:rsid w:val="00524A8D"/>
    <w:rsid w:val="00526D55"/>
    <w:rsid w:val="005271E9"/>
    <w:rsid w:val="00527861"/>
    <w:rsid w:val="00530AD8"/>
    <w:rsid w:val="00531F76"/>
    <w:rsid w:val="00533AFF"/>
    <w:rsid w:val="005342E1"/>
    <w:rsid w:val="00534EEF"/>
    <w:rsid w:val="00534FF1"/>
    <w:rsid w:val="00535725"/>
    <w:rsid w:val="005357B8"/>
    <w:rsid w:val="00536282"/>
    <w:rsid w:val="0053646E"/>
    <w:rsid w:val="00541924"/>
    <w:rsid w:val="005425DC"/>
    <w:rsid w:val="00542E2F"/>
    <w:rsid w:val="0054429F"/>
    <w:rsid w:val="00544704"/>
    <w:rsid w:val="00544A2E"/>
    <w:rsid w:val="005457EA"/>
    <w:rsid w:val="00545F51"/>
    <w:rsid w:val="005461E8"/>
    <w:rsid w:val="0054699E"/>
    <w:rsid w:val="00547146"/>
    <w:rsid w:val="0055038F"/>
    <w:rsid w:val="00550CAE"/>
    <w:rsid w:val="00551283"/>
    <w:rsid w:val="005524F3"/>
    <w:rsid w:val="00553141"/>
    <w:rsid w:val="00553322"/>
    <w:rsid w:val="005537EC"/>
    <w:rsid w:val="005539D4"/>
    <w:rsid w:val="0055516E"/>
    <w:rsid w:val="00555925"/>
    <w:rsid w:val="0055620E"/>
    <w:rsid w:val="005571D2"/>
    <w:rsid w:val="00557A6D"/>
    <w:rsid w:val="00557C67"/>
    <w:rsid w:val="005607C0"/>
    <w:rsid w:val="00560C58"/>
    <w:rsid w:val="00561119"/>
    <w:rsid w:val="00561816"/>
    <w:rsid w:val="0056218B"/>
    <w:rsid w:val="00562BDB"/>
    <w:rsid w:val="00562C44"/>
    <w:rsid w:val="0056353E"/>
    <w:rsid w:val="00563CAD"/>
    <w:rsid w:val="0056532E"/>
    <w:rsid w:val="00566ABA"/>
    <w:rsid w:val="00567057"/>
    <w:rsid w:val="005672F3"/>
    <w:rsid w:val="0057054B"/>
    <w:rsid w:val="0057137B"/>
    <w:rsid w:val="0057277F"/>
    <w:rsid w:val="0057332F"/>
    <w:rsid w:val="0057449F"/>
    <w:rsid w:val="00575F26"/>
    <w:rsid w:val="00576C1A"/>
    <w:rsid w:val="00576E3E"/>
    <w:rsid w:val="00580400"/>
    <w:rsid w:val="0058158A"/>
    <w:rsid w:val="00581DDF"/>
    <w:rsid w:val="00582991"/>
    <w:rsid w:val="00582AC3"/>
    <w:rsid w:val="0058373C"/>
    <w:rsid w:val="00583C1D"/>
    <w:rsid w:val="005852DE"/>
    <w:rsid w:val="00585A9C"/>
    <w:rsid w:val="00586023"/>
    <w:rsid w:val="0058603A"/>
    <w:rsid w:val="00586068"/>
    <w:rsid w:val="005861E0"/>
    <w:rsid w:val="005867B9"/>
    <w:rsid w:val="0058697E"/>
    <w:rsid w:val="00587A48"/>
    <w:rsid w:val="00587D3E"/>
    <w:rsid w:val="005901C0"/>
    <w:rsid w:val="005906E6"/>
    <w:rsid w:val="00590AC6"/>
    <w:rsid w:val="00590BC1"/>
    <w:rsid w:val="00590FA8"/>
    <w:rsid w:val="00591864"/>
    <w:rsid w:val="00591B12"/>
    <w:rsid w:val="00591D2F"/>
    <w:rsid w:val="00592870"/>
    <w:rsid w:val="00593432"/>
    <w:rsid w:val="0059468A"/>
    <w:rsid w:val="00594DE5"/>
    <w:rsid w:val="0059713B"/>
    <w:rsid w:val="005A032A"/>
    <w:rsid w:val="005A0910"/>
    <w:rsid w:val="005A2316"/>
    <w:rsid w:val="005A4B43"/>
    <w:rsid w:val="005A4F5B"/>
    <w:rsid w:val="005A6856"/>
    <w:rsid w:val="005A6E16"/>
    <w:rsid w:val="005A6F5A"/>
    <w:rsid w:val="005A7F6E"/>
    <w:rsid w:val="005A7F81"/>
    <w:rsid w:val="005B06DE"/>
    <w:rsid w:val="005B175E"/>
    <w:rsid w:val="005B2DDA"/>
    <w:rsid w:val="005B3125"/>
    <w:rsid w:val="005B37C1"/>
    <w:rsid w:val="005B3FB7"/>
    <w:rsid w:val="005B43A5"/>
    <w:rsid w:val="005B577C"/>
    <w:rsid w:val="005B6074"/>
    <w:rsid w:val="005B7036"/>
    <w:rsid w:val="005B7564"/>
    <w:rsid w:val="005B7F63"/>
    <w:rsid w:val="005C1859"/>
    <w:rsid w:val="005C25C6"/>
    <w:rsid w:val="005C36D6"/>
    <w:rsid w:val="005C3847"/>
    <w:rsid w:val="005C429C"/>
    <w:rsid w:val="005C4A01"/>
    <w:rsid w:val="005C5D6D"/>
    <w:rsid w:val="005C73B3"/>
    <w:rsid w:val="005C7429"/>
    <w:rsid w:val="005D0973"/>
    <w:rsid w:val="005D170D"/>
    <w:rsid w:val="005D21C1"/>
    <w:rsid w:val="005D2223"/>
    <w:rsid w:val="005D2E79"/>
    <w:rsid w:val="005D2EA5"/>
    <w:rsid w:val="005D4360"/>
    <w:rsid w:val="005D4A9F"/>
    <w:rsid w:val="005D6269"/>
    <w:rsid w:val="005D7499"/>
    <w:rsid w:val="005D758A"/>
    <w:rsid w:val="005D7A48"/>
    <w:rsid w:val="005E108F"/>
    <w:rsid w:val="005E1572"/>
    <w:rsid w:val="005E3A9A"/>
    <w:rsid w:val="005E3B15"/>
    <w:rsid w:val="005E481C"/>
    <w:rsid w:val="005E4B3D"/>
    <w:rsid w:val="005E4E43"/>
    <w:rsid w:val="005E661B"/>
    <w:rsid w:val="005F0D75"/>
    <w:rsid w:val="005F2031"/>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5139"/>
    <w:rsid w:val="00606A42"/>
    <w:rsid w:val="0061057F"/>
    <w:rsid w:val="006114B3"/>
    <w:rsid w:val="00611631"/>
    <w:rsid w:val="00611B2A"/>
    <w:rsid w:val="006127D0"/>
    <w:rsid w:val="00612A04"/>
    <w:rsid w:val="00612A17"/>
    <w:rsid w:val="00612BDE"/>
    <w:rsid w:val="00612DD1"/>
    <w:rsid w:val="00612F21"/>
    <w:rsid w:val="006141E3"/>
    <w:rsid w:val="00614A0F"/>
    <w:rsid w:val="00614D8C"/>
    <w:rsid w:val="00616283"/>
    <w:rsid w:val="0061661E"/>
    <w:rsid w:val="00616C95"/>
    <w:rsid w:val="006170C0"/>
    <w:rsid w:val="00617EFF"/>
    <w:rsid w:val="00620788"/>
    <w:rsid w:val="006210A1"/>
    <w:rsid w:val="00621553"/>
    <w:rsid w:val="00622C6A"/>
    <w:rsid w:val="00623177"/>
    <w:rsid w:val="00623E41"/>
    <w:rsid w:val="006243C2"/>
    <w:rsid w:val="00625E6F"/>
    <w:rsid w:val="00626069"/>
    <w:rsid w:val="00626FB6"/>
    <w:rsid w:val="00627EA9"/>
    <w:rsid w:val="0063031C"/>
    <w:rsid w:val="0063564C"/>
    <w:rsid w:val="00635C1A"/>
    <w:rsid w:val="00636146"/>
    <w:rsid w:val="00636596"/>
    <w:rsid w:val="006368E3"/>
    <w:rsid w:val="00637737"/>
    <w:rsid w:val="00640A3B"/>
    <w:rsid w:val="00640A59"/>
    <w:rsid w:val="006413AF"/>
    <w:rsid w:val="006414D1"/>
    <w:rsid w:val="006420FB"/>
    <w:rsid w:val="00644C72"/>
    <w:rsid w:val="006454F7"/>
    <w:rsid w:val="00645C75"/>
    <w:rsid w:val="006473F3"/>
    <w:rsid w:val="006478AB"/>
    <w:rsid w:val="00647F82"/>
    <w:rsid w:val="00650E2B"/>
    <w:rsid w:val="0065107D"/>
    <w:rsid w:val="00651D8A"/>
    <w:rsid w:val="006520E4"/>
    <w:rsid w:val="00652BD1"/>
    <w:rsid w:val="00655D46"/>
    <w:rsid w:val="00655F2A"/>
    <w:rsid w:val="00656231"/>
    <w:rsid w:val="006562CB"/>
    <w:rsid w:val="00656306"/>
    <w:rsid w:val="0065650F"/>
    <w:rsid w:val="00657395"/>
    <w:rsid w:val="00657EEC"/>
    <w:rsid w:val="00661258"/>
    <w:rsid w:val="0066135C"/>
    <w:rsid w:val="00661BD9"/>
    <w:rsid w:val="00661F2A"/>
    <w:rsid w:val="0066201A"/>
    <w:rsid w:val="00663670"/>
    <w:rsid w:val="006644DC"/>
    <w:rsid w:val="006649BB"/>
    <w:rsid w:val="00664D3D"/>
    <w:rsid w:val="006666C9"/>
    <w:rsid w:val="00666F66"/>
    <w:rsid w:val="00667036"/>
    <w:rsid w:val="00667A20"/>
    <w:rsid w:val="00667B82"/>
    <w:rsid w:val="00667FED"/>
    <w:rsid w:val="00667FFB"/>
    <w:rsid w:val="006710E5"/>
    <w:rsid w:val="00671776"/>
    <w:rsid w:val="00671CD5"/>
    <w:rsid w:val="00672DEE"/>
    <w:rsid w:val="0067480A"/>
    <w:rsid w:val="00675417"/>
    <w:rsid w:val="006758CC"/>
    <w:rsid w:val="00675EE4"/>
    <w:rsid w:val="006761B3"/>
    <w:rsid w:val="00676666"/>
    <w:rsid w:val="006775AE"/>
    <w:rsid w:val="00680256"/>
    <w:rsid w:val="006808D7"/>
    <w:rsid w:val="00680F44"/>
    <w:rsid w:val="006814DC"/>
    <w:rsid w:val="00681608"/>
    <w:rsid w:val="00683A1A"/>
    <w:rsid w:val="00684366"/>
    <w:rsid w:val="00687164"/>
    <w:rsid w:val="0068743B"/>
    <w:rsid w:val="0068746C"/>
    <w:rsid w:val="00687831"/>
    <w:rsid w:val="006918A4"/>
    <w:rsid w:val="00692473"/>
    <w:rsid w:val="00692F19"/>
    <w:rsid w:val="00693824"/>
    <w:rsid w:val="00693B36"/>
    <w:rsid w:val="00693E50"/>
    <w:rsid w:val="00695D5F"/>
    <w:rsid w:val="006960BB"/>
    <w:rsid w:val="00696305"/>
    <w:rsid w:val="0069648D"/>
    <w:rsid w:val="00697231"/>
    <w:rsid w:val="00697BD8"/>
    <w:rsid w:val="006A0935"/>
    <w:rsid w:val="006A14D2"/>
    <w:rsid w:val="006A27F4"/>
    <w:rsid w:val="006A4261"/>
    <w:rsid w:val="006A4E0E"/>
    <w:rsid w:val="006A4E7F"/>
    <w:rsid w:val="006A4ED2"/>
    <w:rsid w:val="006B0063"/>
    <w:rsid w:val="006B0082"/>
    <w:rsid w:val="006B0801"/>
    <w:rsid w:val="006B0C30"/>
    <w:rsid w:val="006B0DF2"/>
    <w:rsid w:val="006B0E86"/>
    <w:rsid w:val="006B0ED5"/>
    <w:rsid w:val="006B1FFC"/>
    <w:rsid w:val="006B3475"/>
    <w:rsid w:val="006B367A"/>
    <w:rsid w:val="006B501E"/>
    <w:rsid w:val="006B590D"/>
    <w:rsid w:val="006B6CE8"/>
    <w:rsid w:val="006C0642"/>
    <w:rsid w:val="006C0A44"/>
    <w:rsid w:val="006C1853"/>
    <w:rsid w:val="006C1C90"/>
    <w:rsid w:val="006C2E9D"/>
    <w:rsid w:val="006C3436"/>
    <w:rsid w:val="006C35D9"/>
    <w:rsid w:val="006C4BCE"/>
    <w:rsid w:val="006C54B6"/>
    <w:rsid w:val="006C5589"/>
    <w:rsid w:val="006C5F7B"/>
    <w:rsid w:val="006C7D43"/>
    <w:rsid w:val="006D05B3"/>
    <w:rsid w:val="006D08BA"/>
    <w:rsid w:val="006D186E"/>
    <w:rsid w:val="006D1F21"/>
    <w:rsid w:val="006D2A53"/>
    <w:rsid w:val="006D3FDA"/>
    <w:rsid w:val="006D4C73"/>
    <w:rsid w:val="006D4EC3"/>
    <w:rsid w:val="006D4EE0"/>
    <w:rsid w:val="006D5834"/>
    <w:rsid w:val="006D5AF1"/>
    <w:rsid w:val="006D6155"/>
    <w:rsid w:val="006D6598"/>
    <w:rsid w:val="006D6652"/>
    <w:rsid w:val="006D7DF0"/>
    <w:rsid w:val="006E026B"/>
    <w:rsid w:val="006E0D14"/>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5DC3"/>
    <w:rsid w:val="0070606A"/>
    <w:rsid w:val="007063D0"/>
    <w:rsid w:val="00707B54"/>
    <w:rsid w:val="00711265"/>
    <w:rsid w:val="00711F5C"/>
    <w:rsid w:val="007121C8"/>
    <w:rsid w:val="00715419"/>
    <w:rsid w:val="00716602"/>
    <w:rsid w:val="00717B12"/>
    <w:rsid w:val="00717EF5"/>
    <w:rsid w:val="007201FA"/>
    <w:rsid w:val="0072092A"/>
    <w:rsid w:val="00720B37"/>
    <w:rsid w:val="00720F65"/>
    <w:rsid w:val="00722091"/>
    <w:rsid w:val="00722319"/>
    <w:rsid w:val="0072231B"/>
    <w:rsid w:val="00724671"/>
    <w:rsid w:val="00724768"/>
    <w:rsid w:val="0072657E"/>
    <w:rsid w:val="0072759C"/>
    <w:rsid w:val="00730AF6"/>
    <w:rsid w:val="0073155E"/>
    <w:rsid w:val="007320BC"/>
    <w:rsid w:val="00733A21"/>
    <w:rsid w:val="00733BE5"/>
    <w:rsid w:val="007367FA"/>
    <w:rsid w:val="007369BE"/>
    <w:rsid w:val="00736E02"/>
    <w:rsid w:val="00736EF6"/>
    <w:rsid w:val="00737554"/>
    <w:rsid w:val="00737601"/>
    <w:rsid w:val="007400D2"/>
    <w:rsid w:val="0074149D"/>
    <w:rsid w:val="007416C3"/>
    <w:rsid w:val="00741BD4"/>
    <w:rsid w:val="00743443"/>
    <w:rsid w:val="0074351B"/>
    <w:rsid w:val="00746354"/>
    <w:rsid w:val="007466AB"/>
    <w:rsid w:val="0074692A"/>
    <w:rsid w:val="00747128"/>
    <w:rsid w:val="0074720E"/>
    <w:rsid w:val="007517F4"/>
    <w:rsid w:val="00751A42"/>
    <w:rsid w:val="00751E09"/>
    <w:rsid w:val="00752B69"/>
    <w:rsid w:val="0075333F"/>
    <w:rsid w:val="00753655"/>
    <w:rsid w:val="007540F4"/>
    <w:rsid w:val="007543B2"/>
    <w:rsid w:val="00754474"/>
    <w:rsid w:val="00754D03"/>
    <w:rsid w:val="00755AE8"/>
    <w:rsid w:val="00760139"/>
    <w:rsid w:val="00760570"/>
    <w:rsid w:val="00763191"/>
    <w:rsid w:val="007636D3"/>
    <w:rsid w:val="00764527"/>
    <w:rsid w:val="0076589A"/>
    <w:rsid w:val="0076704A"/>
    <w:rsid w:val="0076756F"/>
    <w:rsid w:val="0077312E"/>
    <w:rsid w:val="007734E2"/>
    <w:rsid w:val="007759ED"/>
    <w:rsid w:val="00780BBC"/>
    <w:rsid w:val="007815BA"/>
    <w:rsid w:val="00781F23"/>
    <w:rsid w:val="00782AA7"/>
    <w:rsid w:val="007843FF"/>
    <w:rsid w:val="007846C9"/>
    <w:rsid w:val="00784EF3"/>
    <w:rsid w:val="007860D2"/>
    <w:rsid w:val="0078645E"/>
    <w:rsid w:val="00786BA3"/>
    <w:rsid w:val="00786C3D"/>
    <w:rsid w:val="00790628"/>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0E2A"/>
    <w:rsid w:val="007A1D31"/>
    <w:rsid w:val="007A1EA1"/>
    <w:rsid w:val="007A287F"/>
    <w:rsid w:val="007A3683"/>
    <w:rsid w:val="007A4AC2"/>
    <w:rsid w:val="007A6F2B"/>
    <w:rsid w:val="007A7DD2"/>
    <w:rsid w:val="007B09C5"/>
    <w:rsid w:val="007B1EBD"/>
    <w:rsid w:val="007B278B"/>
    <w:rsid w:val="007B2D51"/>
    <w:rsid w:val="007B3D57"/>
    <w:rsid w:val="007B4E46"/>
    <w:rsid w:val="007B5277"/>
    <w:rsid w:val="007B5296"/>
    <w:rsid w:val="007B5EE5"/>
    <w:rsid w:val="007B6692"/>
    <w:rsid w:val="007B683A"/>
    <w:rsid w:val="007B7B1B"/>
    <w:rsid w:val="007C0693"/>
    <w:rsid w:val="007C0887"/>
    <w:rsid w:val="007C2104"/>
    <w:rsid w:val="007C218C"/>
    <w:rsid w:val="007C3780"/>
    <w:rsid w:val="007C5784"/>
    <w:rsid w:val="007C6957"/>
    <w:rsid w:val="007C7AD4"/>
    <w:rsid w:val="007C7EA4"/>
    <w:rsid w:val="007D016A"/>
    <w:rsid w:val="007D1939"/>
    <w:rsid w:val="007D29D7"/>
    <w:rsid w:val="007D3FB2"/>
    <w:rsid w:val="007D53AE"/>
    <w:rsid w:val="007D544D"/>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E7757"/>
    <w:rsid w:val="007F0A2B"/>
    <w:rsid w:val="007F0DF6"/>
    <w:rsid w:val="007F1345"/>
    <w:rsid w:val="007F1736"/>
    <w:rsid w:val="007F223E"/>
    <w:rsid w:val="007F2F6C"/>
    <w:rsid w:val="007F3DEC"/>
    <w:rsid w:val="007F4887"/>
    <w:rsid w:val="007F48CC"/>
    <w:rsid w:val="007F5485"/>
    <w:rsid w:val="007F623D"/>
    <w:rsid w:val="007F63C6"/>
    <w:rsid w:val="007F650D"/>
    <w:rsid w:val="007F6AE7"/>
    <w:rsid w:val="007F6B2D"/>
    <w:rsid w:val="007F7122"/>
    <w:rsid w:val="0080019C"/>
    <w:rsid w:val="00800694"/>
    <w:rsid w:val="00800EBB"/>
    <w:rsid w:val="00800F69"/>
    <w:rsid w:val="008010E8"/>
    <w:rsid w:val="008023C4"/>
    <w:rsid w:val="0080314D"/>
    <w:rsid w:val="00803CFC"/>
    <w:rsid w:val="008050E5"/>
    <w:rsid w:val="0080570F"/>
    <w:rsid w:val="00806946"/>
    <w:rsid w:val="00806985"/>
    <w:rsid w:val="0080791B"/>
    <w:rsid w:val="008101B5"/>
    <w:rsid w:val="00810F89"/>
    <w:rsid w:val="00812ABD"/>
    <w:rsid w:val="0081435E"/>
    <w:rsid w:val="008162BC"/>
    <w:rsid w:val="00817F36"/>
    <w:rsid w:val="008210A5"/>
    <w:rsid w:val="00821CB9"/>
    <w:rsid w:val="0082202A"/>
    <w:rsid w:val="00822A34"/>
    <w:rsid w:val="00822C4A"/>
    <w:rsid w:val="008231D9"/>
    <w:rsid w:val="00823FA1"/>
    <w:rsid w:val="00827EA0"/>
    <w:rsid w:val="0083030A"/>
    <w:rsid w:val="00831D7F"/>
    <w:rsid w:val="008330E4"/>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1A98"/>
    <w:rsid w:val="00842C7D"/>
    <w:rsid w:val="00844F54"/>
    <w:rsid w:val="00845020"/>
    <w:rsid w:val="00845722"/>
    <w:rsid w:val="008462DB"/>
    <w:rsid w:val="00846418"/>
    <w:rsid w:val="00846425"/>
    <w:rsid w:val="00846EB8"/>
    <w:rsid w:val="008507F9"/>
    <w:rsid w:val="0085245B"/>
    <w:rsid w:val="00852A7C"/>
    <w:rsid w:val="00852D55"/>
    <w:rsid w:val="00854F39"/>
    <w:rsid w:val="00856BDB"/>
    <w:rsid w:val="008570E7"/>
    <w:rsid w:val="00857DE5"/>
    <w:rsid w:val="008601DB"/>
    <w:rsid w:val="008604BF"/>
    <w:rsid w:val="0086140B"/>
    <w:rsid w:val="00861518"/>
    <w:rsid w:val="0086193A"/>
    <w:rsid w:val="00862400"/>
    <w:rsid w:val="00862CD3"/>
    <w:rsid w:val="00862F42"/>
    <w:rsid w:val="008630E7"/>
    <w:rsid w:val="00864AEA"/>
    <w:rsid w:val="00865FF4"/>
    <w:rsid w:val="00866B56"/>
    <w:rsid w:val="00866C7F"/>
    <w:rsid w:val="00867E4A"/>
    <w:rsid w:val="008722F8"/>
    <w:rsid w:val="0087282C"/>
    <w:rsid w:val="00872C4B"/>
    <w:rsid w:val="0087324F"/>
    <w:rsid w:val="008735D2"/>
    <w:rsid w:val="008741FA"/>
    <w:rsid w:val="00874CAA"/>
    <w:rsid w:val="00875E25"/>
    <w:rsid w:val="00875ED9"/>
    <w:rsid w:val="00877096"/>
    <w:rsid w:val="00877941"/>
    <w:rsid w:val="00880918"/>
    <w:rsid w:val="008822F2"/>
    <w:rsid w:val="008826E4"/>
    <w:rsid w:val="008849AB"/>
    <w:rsid w:val="008853F7"/>
    <w:rsid w:val="00885BA8"/>
    <w:rsid w:val="00886E9D"/>
    <w:rsid w:val="00887DE3"/>
    <w:rsid w:val="00890991"/>
    <w:rsid w:val="00890A21"/>
    <w:rsid w:val="00890F54"/>
    <w:rsid w:val="008916BB"/>
    <w:rsid w:val="00892484"/>
    <w:rsid w:val="008925E0"/>
    <w:rsid w:val="00892F89"/>
    <w:rsid w:val="00893D2F"/>
    <w:rsid w:val="00894C54"/>
    <w:rsid w:val="00897213"/>
    <w:rsid w:val="00897915"/>
    <w:rsid w:val="008979E4"/>
    <w:rsid w:val="008A05DA"/>
    <w:rsid w:val="008A0FE1"/>
    <w:rsid w:val="008A142E"/>
    <w:rsid w:val="008A208A"/>
    <w:rsid w:val="008A2236"/>
    <w:rsid w:val="008A2E3E"/>
    <w:rsid w:val="008A3DA7"/>
    <w:rsid w:val="008A464C"/>
    <w:rsid w:val="008A4966"/>
    <w:rsid w:val="008A49B2"/>
    <w:rsid w:val="008A68E9"/>
    <w:rsid w:val="008B0C49"/>
    <w:rsid w:val="008B2CCA"/>
    <w:rsid w:val="008B47CA"/>
    <w:rsid w:val="008B486E"/>
    <w:rsid w:val="008B4C2B"/>
    <w:rsid w:val="008B5654"/>
    <w:rsid w:val="008B7385"/>
    <w:rsid w:val="008B7929"/>
    <w:rsid w:val="008C0C5D"/>
    <w:rsid w:val="008C134E"/>
    <w:rsid w:val="008C14C9"/>
    <w:rsid w:val="008C32EC"/>
    <w:rsid w:val="008C3766"/>
    <w:rsid w:val="008C4E45"/>
    <w:rsid w:val="008C6275"/>
    <w:rsid w:val="008C64D2"/>
    <w:rsid w:val="008C6579"/>
    <w:rsid w:val="008D2B4C"/>
    <w:rsid w:val="008D31D3"/>
    <w:rsid w:val="008D35F4"/>
    <w:rsid w:val="008D3AFF"/>
    <w:rsid w:val="008D3C4E"/>
    <w:rsid w:val="008D3D6B"/>
    <w:rsid w:val="008D46C8"/>
    <w:rsid w:val="008D7E79"/>
    <w:rsid w:val="008E02B5"/>
    <w:rsid w:val="008E15EE"/>
    <w:rsid w:val="008E1837"/>
    <w:rsid w:val="008E38E8"/>
    <w:rsid w:val="008E3D27"/>
    <w:rsid w:val="008E3E12"/>
    <w:rsid w:val="008E4F41"/>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4486"/>
    <w:rsid w:val="008F5371"/>
    <w:rsid w:val="008F5D3B"/>
    <w:rsid w:val="00900A71"/>
    <w:rsid w:val="00902986"/>
    <w:rsid w:val="00903008"/>
    <w:rsid w:val="0090313E"/>
    <w:rsid w:val="00903953"/>
    <w:rsid w:val="00903A5F"/>
    <w:rsid w:val="00903C32"/>
    <w:rsid w:val="00904073"/>
    <w:rsid w:val="0090487F"/>
    <w:rsid w:val="0090553F"/>
    <w:rsid w:val="00905861"/>
    <w:rsid w:val="00906076"/>
    <w:rsid w:val="009073C7"/>
    <w:rsid w:val="009103A3"/>
    <w:rsid w:val="009105F0"/>
    <w:rsid w:val="00911535"/>
    <w:rsid w:val="0091274D"/>
    <w:rsid w:val="00912B3A"/>
    <w:rsid w:val="00914F33"/>
    <w:rsid w:val="00915B38"/>
    <w:rsid w:val="00916043"/>
    <w:rsid w:val="00916692"/>
    <w:rsid w:val="009174E9"/>
    <w:rsid w:val="00917BA1"/>
    <w:rsid w:val="00920540"/>
    <w:rsid w:val="00920778"/>
    <w:rsid w:val="00920DC1"/>
    <w:rsid w:val="00921FEB"/>
    <w:rsid w:val="009220FA"/>
    <w:rsid w:val="00922321"/>
    <w:rsid w:val="009229D4"/>
    <w:rsid w:val="00925406"/>
    <w:rsid w:val="00925A62"/>
    <w:rsid w:val="00926422"/>
    <w:rsid w:val="009267EE"/>
    <w:rsid w:val="009268FB"/>
    <w:rsid w:val="00930618"/>
    <w:rsid w:val="009307EB"/>
    <w:rsid w:val="00932C73"/>
    <w:rsid w:val="00932FF8"/>
    <w:rsid w:val="0093370D"/>
    <w:rsid w:val="00933D47"/>
    <w:rsid w:val="00936B91"/>
    <w:rsid w:val="00937D20"/>
    <w:rsid w:val="00941666"/>
    <w:rsid w:val="0094247E"/>
    <w:rsid w:val="00942487"/>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57F93"/>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B62"/>
    <w:rsid w:val="00973E9F"/>
    <w:rsid w:val="00975D3C"/>
    <w:rsid w:val="009772F7"/>
    <w:rsid w:val="00980FA6"/>
    <w:rsid w:val="009811E9"/>
    <w:rsid w:val="00983D90"/>
    <w:rsid w:val="00984F1D"/>
    <w:rsid w:val="009855BD"/>
    <w:rsid w:val="00985C2E"/>
    <w:rsid w:val="00985C74"/>
    <w:rsid w:val="0098734C"/>
    <w:rsid w:val="0098747C"/>
    <w:rsid w:val="00990090"/>
    <w:rsid w:val="00990143"/>
    <w:rsid w:val="009922DE"/>
    <w:rsid w:val="009929E4"/>
    <w:rsid w:val="00993618"/>
    <w:rsid w:val="00993963"/>
    <w:rsid w:val="00995341"/>
    <w:rsid w:val="00995B83"/>
    <w:rsid w:val="009969EB"/>
    <w:rsid w:val="00997867"/>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301E"/>
    <w:rsid w:val="009C5523"/>
    <w:rsid w:val="009C5F46"/>
    <w:rsid w:val="009C6A0C"/>
    <w:rsid w:val="009C6A7E"/>
    <w:rsid w:val="009C70E6"/>
    <w:rsid w:val="009D1B25"/>
    <w:rsid w:val="009D1B40"/>
    <w:rsid w:val="009D1F6B"/>
    <w:rsid w:val="009D277B"/>
    <w:rsid w:val="009D3680"/>
    <w:rsid w:val="009D3D53"/>
    <w:rsid w:val="009D4303"/>
    <w:rsid w:val="009D4331"/>
    <w:rsid w:val="009D59D2"/>
    <w:rsid w:val="009D5A8E"/>
    <w:rsid w:val="009D629D"/>
    <w:rsid w:val="009D7040"/>
    <w:rsid w:val="009E0560"/>
    <w:rsid w:val="009E08BF"/>
    <w:rsid w:val="009E1568"/>
    <w:rsid w:val="009E1C09"/>
    <w:rsid w:val="009E52E1"/>
    <w:rsid w:val="009E5532"/>
    <w:rsid w:val="009E5EF1"/>
    <w:rsid w:val="009E65B8"/>
    <w:rsid w:val="009E7D4F"/>
    <w:rsid w:val="009F0548"/>
    <w:rsid w:val="009F1CE6"/>
    <w:rsid w:val="009F3DC3"/>
    <w:rsid w:val="009F4389"/>
    <w:rsid w:val="009F4620"/>
    <w:rsid w:val="009F4872"/>
    <w:rsid w:val="009F6E29"/>
    <w:rsid w:val="009F6F21"/>
    <w:rsid w:val="009F75C6"/>
    <w:rsid w:val="00A004E2"/>
    <w:rsid w:val="00A0093D"/>
    <w:rsid w:val="00A00DAC"/>
    <w:rsid w:val="00A00E46"/>
    <w:rsid w:val="00A01416"/>
    <w:rsid w:val="00A0142A"/>
    <w:rsid w:val="00A02800"/>
    <w:rsid w:val="00A02B2D"/>
    <w:rsid w:val="00A048F5"/>
    <w:rsid w:val="00A054F1"/>
    <w:rsid w:val="00A06130"/>
    <w:rsid w:val="00A069C9"/>
    <w:rsid w:val="00A12D12"/>
    <w:rsid w:val="00A12D4A"/>
    <w:rsid w:val="00A139DC"/>
    <w:rsid w:val="00A1421F"/>
    <w:rsid w:val="00A15B8D"/>
    <w:rsid w:val="00A15D6A"/>
    <w:rsid w:val="00A1786A"/>
    <w:rsid w:val="00A2166C"/>
    <w:rsid w:val="00A23587"/>
    <w:rsid w:val="00A2403C"/>
    <w:rsid w:val="00A24A88"/>
    <w:rsid w:val="00A24C2A"/>
    <w:rsid w:val="00A24DEF"/>
    <w:rsid w:val="00A252E9"/>
    <w:rsid w:val="00A26727"/>
    <w:rsid w:val="00A271C4"/>
    <w:rsid w:val="00A27923"/>
    <w:rsid w:val="00A30CFC"/>
    <w:rsid w:val="00A3119C"/>
    <w:rsid w:val="00A31389"/>
    <w:rsid w:val="00A32E29"/>
    <w:rsid w:val="00A40C93"/>
    <w:rsid w:val="00A423C7"/>
    <w:rsid w:val="00A4269B"/>
    <w:rsid w:val="00A42FCC"/>
    <w:rsid w:val="00A43653"/>
    <w:rsid w:val="00A43B07"/>
    <w:rsid w:val="00A43DBC"/>
    <w:rsid w:val="00A44845"/>
    <w:rsid w:val="00A44BA6"/>
    <w:rsid w:val="00A450A0"/>
    <w:rsid w:val="00A4512F"/>
    <w:rsid w:val="00A455C0"/>
    <w:rsid w:val="00A45B89"/>
    <w:rsid w:val="00A51101"/>
    <w:rsid w:val="00A5147D"/>
    <w:rsid w:val="00A517DE"/>
    <w:rsid w:val="00A5410E"/>
    <w:rsid w:val="00A56307"/>
    <w:rsid w:val="00A56920"/>
    <w:rsid w:val="00A56B65"/>
    <w:rsid w:val="00A578D2"/>
    <w:rsid w:val="00A621C2"/>
    <w:rsid w:val="00A64B11"/>
    <w:rsid w:val="00A64B7B"/>
    <w:rsid w:val="00A667E7"/>
    <w:rsid w:val="00A66E81"/>
    <w:rsid w:val="00A67A51"/>
    <w:rsid w:val="00A67BF0"/>
    <w:rsid w:val="00A70D8F"/>
    <w:rsid w:val="00A70F50"/>
    <w:rsid w:val="00A71FF7"/>
    <w:rsid w:val="00A746DF"/>
    <w:rsid w:val="00A74A02"/>
    <w:rsid w:val="00A74A8A"/>
    <w:rsid w:val="00A75587"/>
    <w:rsid w:val="00A760AA"/>
    <w:rsid w:val="00A76795"/>
    <w:rsid w:val="00A77A2A"/>
    <w:rsid w:val="00A80B07"/>
    <w:rsid w:val="00A81BD7"/>
    <w:rsid w:val="00A81E5B"/>
    <w:rsid w:val="00A81F29"/>
    <w:rsid w:val="00A82474"/>
    <w:rsid w:val="00A825C7"/>
    <w:rsid w:val="00A82827"/>
    <w:rsid w:val="00A82EB4"/>
    <w:rsid w:val="00A83DD8"/>
    <w:rsid w:val="00A848F2"/>
    <w:rsid w:val="00A850AC"/>
    <w:rsid w:val="00A8547C"/>
    <w:rsid w:val="00A85E3D"/>
    <w:rsid w:val="00A86324"/>
    <w:rsid w:val="00A87C43"/>
    <w:rsid w:val="00A90483"/>
    <w:rsid w:val="00A90EF3"/>
    <w:rsid w:val="00A90F4D"/>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59EE"/>
    <w:rsid w:val="00AA6575"/>
    <w:rsid w:val="00AA68D5"/>
    <w:rsid w:val="00AA7F56"/>
    <w:rsid w:val="00AB0A05"/>
    <w:rsid w:val="00AB0BE5"/>
    <w:rsid w:val="00AB115D"/>
    <w:rsid w:val="00AB31FE"/>
    <w:rsid w:val="00AB321F"/>
    <w:rsid w:val="00AB4344"/>
    <w:rsid w:val="00AB6440"/>
    <w:rsid w:val="00AB741C"/>
    <w:rsid w:val="00AB7D63"/>
    <w:rsid w:val="00AC1BE1"/>
    <w:rsid w:val="00AC1D1B"/>
    <w:rsid w:val="00AC2AB0"/>
    <w:rsid w:val="00AC2DC6"/>
    <w:rsid w:val="00AC465B"/>
    <w:rsid w:val="00AC64A8"/>
    <w:rsid w:val="00AD06EB"/>
    <w:rsid w:val="00AD1A65"/>
    <w:rsid w:val="00AD2906"/>
    <w:rsid w:val="00AD31A7"/>
    <w:rsid w:val="00AD34F6"/>
    <w:rsid w:val="00AD3DE5"/>
    <w:rsid w:val="00AD3E6D"/>
    <w:rsid w:val="00AD4280"/>
    <w:rsid w:val="00AD4747"/>
    <w:rsid w:val="00AD6331"/>
    <w:rsid w:val="00AD7277"/>
    <w:rsid w:val="00AE0199"/>
    <w:rsid w:val="00AE05B9"/>
    <w:rsid w:val="00AE060F"/>
    <w:rsid w:val="00AE0C6B"/>
    <w:rsid w:val="00AE1309"/>
    <w:rsid w:val="00AE1599"/>
    <w:rsid w:val="00AE202F"/>
    <w:rsid w:val="00AE21FF"/>
    <w:rsid w:val="00AE2AE0"/>
    <w:rsid w:val="00AE4B81"/>
    <w:rsid w:val="00AE546D"/>
    <w:rsid w:val="00AE57DE"/>
    <w:rsid w:val="00AE69F7"/>
    <w:rsid w:val="00AE7456"/>
    <w:rsid w:val="00AF0017"/>
    <w:rsid w:val="00AF0322"/>
    <w:rsid w:val="00AF07D8"/>
    <w:rsid w:val="00AF0847"/>
    <w:rsid w:val="00AF0AF6"/>
    <w:rsid w:val="00AF106C"/>
    <w:rsid w:val="00AF1812"/>
    <w:rsid w:val="00AF2620"/>
    <w:rsid w:val="00AF2C07"/>
    <w:rsid w:val="00AF30DB"/>
    <w:rsid w:val="00AF316D"/>
    <w:rsid w:val="00AF3BE7"/>
    <w:rsid w:val="00AF3F82"/>
    <w:rsid w:val="00AF4861"/>
    <w:rsid w:val="00AF4A12"/>
    <w:rsid w:val="00AF4CB2"/>
    <w:rsid w:val="00AF537A"/>
    <w:rsid w:val="00AF5F62"/>
    <w:rsid w:val="00AF739D"/>
    <w:rsid w:val="00AF76DD"/>
    <w:rsid w:val="00B00409"/>
    <w:rsid w:val="00B01C1B"/>
    <w:rsid w:val="00B02891"/>
    <w:rsid w:val="00B02F42"/>
    <w:rsid w:val="00B0332F"/>
    <w:rsid w:val="00B03855"/>
    <w:rsid w:val="00B03E19"/>
    <w:rsid w:val="00B0514D"/>
    <w:rsid w:val="00B05A02"/>
    <w:rsid w:val="00B05AED"/>
    <w:rsid w:val="00B06BF0"/>
    <w:rsid w:val="00B06C58"/>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544"/>
    <w:rsid w:val="00B26CE3"/>
    <w:rsid w:val="00B27EC5"/>
    <w:rsid w:val="00B30976"/>
    <w:rsid w:val="00B35360"/>
    <w:rsid w:val="00B355DC"/>
    <w:rsid w:val="00B3660C"/>
    <w:rsid w:val="00B36FEB"/>
    <w:rsid w:val="00B37175"/>
    <w:rsid w:val="00B3738E"/>
    <w:rsid w:val="00B37A24"/>
    <w:rsid w:val="00B40E4A"/>
    <w:rsid w:val="00B418D7"/>
    <w:rsid w:val="00B42C25"/>
    <w:rsid w:val="00B42D40"/>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3458"/>
    <w:rsid w:val="00B54367"/>
    <w:rsid w:val="00B54E78"/>
    <w:rsid w:val="00B54F13"/>
    <w:rsid w:val="00B56037"/>
    <w:rsid w:val="00B56188"/>
    <w:rsid w:val="00B568A2"/>
    <w:rsid w:val="00B577D1"/>
    <w:rsid w:val="00B601CB"/>
    <w:rsid w:val="00B62A9A"/>
    <w:rsid w:val="00B63217"/>
    <w:rsid w:val="00B63551"/>
    <w:rsid w:val="00B637A8"/>
    <w:rsid w:val="00B667C4"/>
    <w:rsid w:val="00B66C2B"/>
    <w:rsid w:val="00B67971"/>
    <w:rsid w:val="00B70059"/>
    <w:rsid w:val="00B70EC8"/>
    <w:rsid w:val="00B721FA"/>
    <w:rsid w:val="00B74666"/>
    <w:rsid w:val="00B74AD9"/>
    <w:rsid w:val="00B74DF6"/>
    <w:rsid w:val="00B75125"/>
    <w:rsid w:val="00B757C7"/>
    <w:rsid w:val="00B76648"/>
    <w:rsid w:val="00B77551"/>
    <w:rsid w:val="00B80948"/>
    <w:rsid w:val="00B81059"/>
    <w:rsid w:val="00B81D62"/>
    <w:rsid w:val="00B838F6"/>
    <w:rsid w:val="00B83CA4"/>
    <w:rsid w:val="00B84243"/>
    <w:rsid w:val="00B85517"/>
    <w:rsid w:val="00B9033C"/>
    <w:rsid w:val="00B90D01"/>
    <w:rsid w:val="00B92B28"/>
    <w:rsid w:val="00B92E44"/>
    <w:rsid w:val="00B93010"/>
    <w:rsid w:val="00B934CE"/>
    <w:rsid w:val="00B93BD3"/>
    <w:rsid w:val="00B93BD9"/>
    <w:rsid w:val="00B93E36"/>
    <w:rsid w:val="00B94BE4"/>
    <w:rsid w:val="00B94DA4"/>
    <w:rsid w:val="00B9532E"/>
    <w:rsid w:val="00B954DB"/>
    <w:rsid w:val="00B95BF2"/>
    <w:rsid w:val="00B96F28"/>
    <w:rsid w:val="00B97346"/>
    <w:rsid w:val="00B9737E"/>
    <w:rsid w:val="00BA0987"/>
    <w:rsid w:val="00BA0C0C"/>
    <w:rsid w:val="00BA314A"/>
    <w:rsid w:val="00BA3322"/>
    <w:rsid w:val="00BA3C3B"/>
    <w:rsid w:val="00BA4860"/>
    <w:rsid w:val="00BA4E4A"/>
    <w:rsid w:val="00BA4ED8"/>
    <w:rsid w:val="00BA74A1"/>
    <w:rsid w:val="00BA7A07"/>
    <w:rsid w:val="00BA7B84"/>
    <w:rsid w:val="00BA7FE0"/>
    <w:rsid w:val="00BB0A10"/>
    <w:rsid w:val="00BB0AB1"/>
    <w:rsid w:val="00BB10E0"/>
    <w:rsid w:val="00BB277F"/>
    <w:rsid w:val="00BB2936"/>
    <w:rsid w:val="00BB30E7"/>
    <w:rsid w:val="00BB36D2"/>
    <w:rsid w:val="00BB3F72"/>
    <w:rsid w:val="00BB42CF"/>
    <w:rsid w:val="00BB4D83"/>
    <w:rsid w:val="00BB5682"/>
    <w:rsid w:val="00BB572D"/>
    <w:rsid w:val="00BB5A11"/>
    <w:rsid w:val="00BB5B8B"/>
    <w:rsid w:val="00BB6378"/>
    <w:rsid w:val="00BB658B"/>
    <w:rsid w:val="00BB6AF5"/>
    <w:rsid w:val="00BC1CB6"/>
    <w:rsid w:val="00BC1E9B"/>
    <w:rsid w:val="00BC21F7"/>
    <w:rsid w:val="00BC2520"/>
    <w:rsid w:val="00BC35EB"/>
    <w:rsid w:val="00BC3DEB"/>
    <w:rsid w:val="00BC5867"/>
    <w:rsid w:val="00BC5A8D"/>
    <w:rsid w:val="00BC7797"/>
    <w:rsid w:val="00BC7BA1"/>
    <w:rsid w:val="00BC7FA5"/>
    <w:rsid w:val="00BD0276"/>
    <w:rsid w:val="00BD03B3"/>
    <w:rsid w:val="00BD079A"/>
    <w:rsid w:val="00BD0FD8"/>
    <w:rsid w:val="00BD2183"/>
    <w:rsid w:val="00BD2827"/>
    <w:rsid w:val="00BD4942"/>
    <w:rsid w:val="00BD50A8"/>
    <w:rsid w:val="00BD7083"/>
    <w:rsid w:val="00BD712F"/>
    <w:rsid w:val="00BE0B1D"/>
    <w:rsid w:val="00BE1868"/>
    <w:rsid w:val="00BE2ADD"/>
    <w:rsid w:val="00BE38C4"/>
    <w:rsid w:val="00BE3BA6"/>
    <w:rsid w:val="00BE40B7"/>
    <w:rsid w:val="00BE6DA1"/>
    <w:rsid w:val="00BE76EF"/>
    <w:rsid w:val="00BF14AB"/>
    <w:rsid w:val="00BF190D"/>
    <w:rsid w:val="00BF19F2"/>
    <w:rsid w:val="00BF245D"/>
    <w:rsid w:val="00BF2D91"/>
    <w:rsid w:val="00BF34BE"/>
    <w:rsid w:val="00BF37A0"/>
    <w:rsid w:val="00BF472A"/>
    <w:rsid w:val="00BF472D"/>
    <w:rsid w:val="00BF666F"/>
    <w:rsid w:val="00C00ED7"/>
    <w:rsid w:val="00C00F8A"/>
    <w:rsid w:val="00C02878"/>
    <w:rsid w:val="00C02B96"/>
    <w:rsid w:val="00C035B9"/>
    <w:rsid w:val="00C0480B"/>
    <w:rsid w:val="00C04A6C"/>
    <w:rsid w:val="00C05E69"/>
    <w:rsid w:val="00C0605D"/>
    <w:rsid w:val="00C10321"/>
    <w:rsid w:val="00C11FA6"/>
    <w:rsid w:val="00C142AB"/>
    <w:rsid w:val="00C1467F"/>
    <w:rsid w:val="00C15596"/>
    <w:rsid w:val="00C15A80"/>
    <w:rsid w:val="00C16AD3"/>
    <w:rsid w:val="00C173CA"/>
    <w:rsid w:val="00C205A5"/>
    <w:rsid w:val="00C20CC8"/>
    <w:rsid w:val="00C21428"/>
    <w:rsid w:val="00C21AE5"/>
    <w:rsid w:val="00C21B44"/>
    <w:rsid w:val="00C22AD2"/>
    <w:rsid w:val="00C23942"/>
    <w:rsid w:val="00C23CA1"/>
    <w:rsid w:val="00C24059"/>
    <w:rsid w:val="00C25F74"/>
    <w:rsid w:val="00C2609F"/>
    <w:rsid w:val="00C26372"/>
    <w:rsid w:val="00C2709A"/>
    <w:rsid w:val="00C30C15"/>
    <w:rsid w:val="00C32013"/>
    <w:rsid w:val="00C3204F"/>
    <w:rsid w:val="00C32B32"/>
    <w:rsid w:val="00C32C91"/>
    <w:rsid w:val="00C34842"/>
    <w:rsid w:val="00C35E38"/>
    <w:rsid w:val="00C35F3A"/>
    <w:rsid w:val="00C3796E"/>
    <w:rsid w:val="00C4001E"/>
    <w:rsid w:val="00C40F21"/>
    <w:rsid w:val="00C414CB"/>
    <w:rsid w:val="00C416FC"/>
    <w:rsid w:val="00C45553"/>
    <w:rsid w:val="00C45F6A"/>
    <w:rsid w:val="00C46E74"/>
    <w:rsid w:val="00C471C1"/>
    <w:rsid w:val="00C515DE"/>
    <w:rsid w:val="00C5328F"/>
    <w:rsid w:val="00C53BE7"/>
    <w:rsid w:val="00C54F90"/>
    <w:rsid w:val="00C57C38"/>
    <w:rsid w:val="00C603D3"/>
    <w:rsid w:val="00C6099C"/>
    <w:rsid w:val="00C60A02"/>
    <w:rsid w:val="00C61B1F"/>
    <w:rsid w:val="00C61E71"/>
    <w:rsid w:val="00C625AA"/>
    <w:rsid w:val="00C6267E"/>
    <w:rsid w:val="00C62BE7"/>
    <w:rsid w:val="00C62EE5"/>
    <w:rsid w:val="00C6570F"/>
    <w:rsid w:val="00C670E9"/>
    <w:rsid w:val="00C67196"/>
    <w:rsid w:val="00C67440"/>
    <w:rsid w:val="00C70310"/>
    <w:rsid w:val="00C70405"/>
    <w:rsid w:val="00C704B8"/>
    <w:rsid w:val="00C709C4"/>
    <w:rsid w:val="00C71314"/>
    <w:rsid w:val="00C7153F"/>
    <w:rsid w:val="00C723F0"/>
    <w:rsid w:val="00C73727"/>
    <w:rsid w:val="00C76221"/>
    <w:rsid w:val="00C80708"/>
    <w:rsid w:val="00C80FD9"/>
    <w:rsid w:val="00C81706"/>
    <w:rsid w:val="00C82197"/>
    <w:rsid w:val="00C8226A"/>
    <w:rsid w:val="00C8343B"/>
    <w:rsid w:val="00C8472E"/>
    <w:rsid w:val="00C850CB"/>
    <w:rsid w:val="00C851E7"/>
    <w:rsid w:val="00C853EF"/>
    <w:rsid w:val="00C85731"/>
    <w:rsid w:val="00C86DE5"/>
    <w:rsid w:val="00C86E08"/>
    <w:rsid w:val="00C87B4D"/>
    <w:rsid w:val="00C87C7D"/>
    <w:rsid w:val="00C90BA1"/>
    <w:rsid w:val="00C917BC"/>
    <w:rsid w:val="00C92DF1"/>
    <w:rsid w:val="00C92DFC"/>
    <w:rsid w:val="00C92E8B"/>
    <w:rsid w:val="00C93224"/>
    <w:rsid w:val="00C96147"/>
    <w:rsid w:val="00C96F60"/>
    <w:rsid w:val="00CA08EC"/>
    <w:rsid w:val="00CA15BD"/>
    <w:rsid w:val="00CA195F"/>
    <w:rsid w:val="00CA4858"/>
    <w:rsid w:val="00CA4C81"/>
    <w:rsid w:val="00CA670F"/>
    <w:rsid w:val="00CA7E0F"/>
    <w:rsid w:val="00CB0F9E"/>
    <w:rsid w:val="00CB1B53"/>
    <w:rsid w:val="00CB2319"/>
    <w:rsid w:val="00CB279F"/>
    <w:rsid w:val="00CB2917"/>
    <w:rsid w:val="00CB2C1D"/>
    <w:rsid w:val="00CB349A"/>
    <w:rsid w:val="00CB4E27"/>
    <w:rsid w:val="00CB5317"/>
    <w:rsid w:val="00CB5563"/>
    <w:rsid w:val="00CB5B82"/>
    <w:rsid w:val="00CB5BB3"/>
    <w:rsid w:val="00CB6A5E"/>
    <w:rsid w:val="00CB7B58"/>
    <w:rsid w:val="00CC0657"/>
    <w:rsid w:val="00CC105C"/>
    <w:rsid w:val="00CC152B"/>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D6B53"/>
    <w:rsid w:val="00CE04DA"/>
    <w:rsid w:val="00CE066A"/>
    <w:rsid w:val="00CE0C3B"/>
    <w:rsid w:val="00CE1473"/>
    <w:rsid w:val="00CE2896"/>
    <w:rsid w:val="00CE57E8"/>
    <w:rsid w:val="00CE6FCF"/>
    <w:rsid w:val="00CE7694"/>
    <w:rsid w:val="00CE7D3A"/>
    <w:rsid w:val="00CF0005"/>
    <w:rsid w:val="00CF09F1"/>
    <w:rsid w:val="00CF12BC"/>
    <w:rsid w:val="00CF2941"/>
    <w:rsid w:val="00CF296C"/>
    <w:rsid w:val="00CF362F"/>
    <w:rsid w:val="00CF3632"/>
    <w:rsid w:val="00CF4547"/>
    <w:rsid w:val="00CF5770"/>
    <w:rsid w:val="00CF66B7"/>
    <w:rsid w:val="00CF76B6"/>
    <w:rsid w:val="00CF7D82"/>
    <w:rsid w:val="00CF7E2E"/>
    <w:rsid w:val="00D001DF"/>
    <w:rsid w:val="00D01AE5"/>
    <w:rsid w:val="00D01D01"/>
    <w:rsid w:val="00D01D08"/>
    <w:rsid w:val="00D02672"/>
    <w:rsid w:val="00D026CD"/>
    <w:rsid w:val="00D0395E"/>
    <w:rsid w:val="00D04512"/>
    <w:rsid w:val="00D0461D"/>
    <w:rsid w:val="00D047EB"/>
    <w:rsid w:val="00D04DD0"/>
    <w:rsid w:val="00D04F00"/>
    <w:rsid w:val="00D05EB3"/>
    <w:rsid w:val="00D070B7"/>
    <w:rsid w:val="00D072D9"/>
    <w:rsid w:val="00D101DC"/>
    <w:rsid w:val="00D11493"/>
    <w:rsid w:val="00D11A3E"/>
    <w:rsid w:val="00D11FE3"/>
    <w:rsid w:val="00D12313"/>
    <w:rsid w:val="00D12AB0"/>
    <w:rsid w:val="00D14278"/>
    <w:rsid w:val="00D1447F"/>
    <w:rsid w:val="00D15B65"/>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3EEF"/>
    <w:rsid w:val="00D349EE"/>
    <w:rsid w:val="00D34E7E"/>
    <w:rsid w:val="00D366AF"/>
    <w:rsid w:val="00D36A21"/>
    <w:rsid w:val="00D37705"/>
    <w:rsid w:val="00D37AB6"/>
    <w:rsid w:val="00D402FC"/>
    <w:rsid w:val="00D43135"/>
    <w:rsid w:val="00D4345D"/>
    <w:rsid w:val="00D435D6"/>
    <w:rsid w:val="00D45CE1"/>
    <w:rsid w:val="00D461C5"/>
    <w:rsid w:val="00D46FD0"/>
    <w:rsid w:val="00D512F2"/>
    <w:rsid w:val="00D5173A"/>
    <w:rsid w:val="00D5212B"/>
    <w:rsid w:val="00D53629"/>
    <w:rsid w:val="00D54764"/>
    <w:rsid w:val="00D56BD2"/>
    <w:rsid w:val="00D62B7C"/>
    <w:rsid w:val="00D62F55"/>
    <w:rsid w:val="00D63747"/>
    <w:rsid w:val="00D648EA"/>
    <w:rsid w:val="00D6496D"/>
    <w:rsid w:val="00D65DDB"/>
    <w:rsid w:val="00D67153"/>
    <w:rsid w:val="00D67E23"/>
    <w:rsid w:val="00D70241"/>
    <w:rsid w:val="00D7024B"/>
    <w:rsid w:val="00D70920"/>
    <w:rsid w:val="00D70C62"/>
    <w:rsid w:val="00D70FD3"/>
    <w:rsid w:val="00D7184F"/>
    <w:rsid w:val="00D71E5E"/>
    <w:rsid w:val="00D725E0"/>
    <w:rsid w:val="00D7474F"/>
    <w:rsid w:val="00D747FF"/>
    <w:rsid w:val="00D749D2"/>
    <w:rsid w:val="00D7559B"/>
    <w:rsid w:val="00D76077"/>
    <w:rsid w:val="00D76220"/>
    <w:rsid w:val="00D762ED"/>
    <w:rsid w:val="00D76554"/>
    <w:rsid w:val="00D76C62"/>
    <w:rsid w:val="00D80621"/>
    <w:rsid w:val="00D80844"/>
    <w:rsid w:val="00D809A9"/>
    <w:rsid w:val="00D80C52"/>
    <w:rsid w:val="00D8192D"/>
    <w:rsid w:val="00D819EF"/>
    <w:rsid w:val="00D81A61"/>
    <w:rsid w:val="00D831DD"/>
    <w:rsid w:val="00D83677"/>
    <w:rsid w:val="00D83BB0"/>
    <w:rsid w:val="00D83E62"/>
    <w:rsid w:val="00D83EBD"/>
    <w:rsid w:val="00D84DA7"/>
    <w:rsid w:val="00D84E09"/>
    <w:rsid w:val="00D8506C"/>
    <w:rsid w:val="00D85110"/>
    <w:rsid w:val="00D8685F"/>
    <w:rsid w:val="00D87B09"/>
    <w:rsid w:val="00D87FE0"/>
    <w:rsid w:val="00D906B2"/>
    <w:rsid w:val="00D9115E"/>
    <w:rsid w:val="00D94595"/>
    <w:rsid w:val="00D956E1"/>
    <w:rsid w:val="00D95F56"/>
    <w:rsid w:val="00D9606E"/>
    <w:rsid w:val="00D97B78"/>
    <w:rsid w:val="00D97FD0"/>
    <w:rsid w:val="00DA0431"/>
    <w:rsid w:val="00DA06DA"/>
    <w:rsid w:val="00DA2200"/>
    <w:rsid w:val="00DA378B"/>
    <w:rsid w:val="00DA56E9"/>
    <w:rsid w:val="00DA787C"/>
    <w:rsid w:val="00DB0D8C"/>
    <w:rsid w:val="00DB0F30"/>
    <w:rsid w:val="00DB1749"/>
    <w:rsid w:val="00DB200D"/>
    <w:rsid w:val="00DB411E"/>
    <w:rsid w:val="00DB4519"/>
    <w:rsid w:val="00DB4710"/>
    <w:rsid w:val="00DB495C"/>
    <w:rsid w:val="00DB4BD1"/>
    <w:rsid w:val="00DB5220"/>
    <w:rsid w:val="00DB535E"/>
    <w:rsid w:val="00DB55DC"/>
    <w:rsid w:val="00DB5B86"/>
    <w:rsid w:val="00DB7598"/>
    <w:rsid w:val="00DB76B8"/>
    <w:rsid w:val="00DC01BD"/>
    <w:rsid w:val="00DC11CB"/>
    <w:rsid w:val="00DC1AF3"/>
    <w:rsid w:val="00DC1B7D"/>
    <w:rsid w:val="00DC22F7"/>
    <w:rsid w:val="00DC369C"/>
    <w:rsid w:val="00DC3C53"/>
    <w:rsid w:val="00DC4667"/>
    <w:rsid w:val="00DC5125"/>
    <w:rsid w:val="00DD0000"/>
    <w:rsid w:val="00DD0092"/>
    <w:rsid w:val="00DD0842"/>
    <w:rsid w:val="00DD0E55"/>
    <w:rsid w:val="00DD250C"/>
    <w:rsid w:val="00DD2524"/>
    <w:rsid w:val="00DD3864"/>
    <w:rsid w:val="00DD417F"/>
    <w:rsid w:val="00DD5F98"/>
    <w:rsid w:val="00DD70EA"/>
    <w:rsid w:val="00DD7321"/>
    <w:rsid w:val="00DD7E93"/>
    <w:rsid w:val="00DE0006"/>
    <w:rsid w:val="00DE0213"/>
    <w:rsid w:val="00DE0275"/>
    <w:rsid w:val="00DE040B"/>
    <w:rsid w:val="00DE08A8"/>
    <w:rsid w:val="00DE294D"/>
    <w:rsid w:val="00DE3ECC"/>
    <w:rsid w:val="00DE55B4"/>
    <w:rsid w:val="00DE56FB"/>
    <w:rsid w:val="00DE5E79"/>
    <w:rsid w:val="00DE60BE"/>
    <w:rsid w:val="00DE715C"/>
    <w:rsid w:val="00DE7272"/>
    <w:rsid w:val="00DE77C4"/>
    <w:rsid w:val="00DE7D66"/>
    <w:rsid w:val="00DF0563"/>
    <w:rsid w:val="00DF12E5"/>
    <w:rsid w:val="00DF1B16"/>
    <w:rsid w:val="00DF3F5A"/>
    <w:rsid w:val="00DF55AB"/>
    <w:rsid w:val="00DF5ABD"/>
    <w:rsid w:val="00DF61C7"/>
    <w:rsid w:val="00DF70AF"/>
    <w:rsid w:val="00DF7C7F"/>
    <w:rsid w:val="00E00072"/>
    <w:rsid w:val="00E0123E"/>
    <w:rsid w:val="00E012A7"/>
    <w:rsid w:val="00E014A2"/>
    <w:rsid w:val="00E01596"/>
    <w:rsid w:val="00E01B06"/>
    <w:rsid w:val="00E02C47"/>
    <w:rsid w:val="00E02C74"/>
    <w:rsid w:val="00E04D40"/>
    <w:rsid w:val="00E05DEB"/>
    <w:rsid w:val="00E062CE"/>
    <w:rsid w:val="00E0650B"/>
    <w:rsid w:val="00E0666C"/>
    <w:rsid w:val="00E06E9E"/>
    <w:rsid w:val="00E104C0"/>
    <w:rsid w:val="00E1079B"/>
    <w:rsid w:val="00E108DD"/>
    <w:rsid w:val="00E10E47"/>
    <w:rsid w:val="00E12C4C"/>
    <w:rsid w:val="00E1345E"/>
    <w:rsid w:val="00E13F69"/>
    <w:rsid w:val="00E1405B"/>
    <w:rsid w:val="00E14983"/>
    <w:rsid w:val="00E14DCD"/>
    <w:rsid w:val="00E15639"/>
    <w:rsid w:val="00E15C2F"/>
    <w:rsid w:val="00E1626C"/>
    <w:rsid w:val="00E17181"/>
    <w:rsid w:val="00E20B3E"/>
    <w:rsid w:val="00E20C71"/>
    <w:rsid w:val="00E2179B"/>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17E"/>
    <w:rsid w:val="00E42E9C"/>
    <w:rsid w:val="00E43305"/>
    <w:rsid w:val="00E434FE"/>
    <w:rsid w:val="00E440B1"/>
    <w:rsid w:val="00E469B4"/>
    <w:rsid w:val="00E46DD6"/>
    <w:rsid w:val="00E46EA0"/>
    <w:rsid w:val="00E47A33"/>
    <w:rsid w:val="00E50A0B"/>
    <w:rsid w:val="00E50F24"/>
    <w:rsid w:val="00E510FF"/>
    <w:rsid w:val="00E513D5"/>
    <w:rsid w:val="00E52D10"/>
    <w:rsid w:val="00E54332"/>
    <w:rsid w:val="00E5504F"/>
    <w:rsid w:val="00E55143"/>
    <w:rsid w:val="00E55B50"/>
    <w:rsid w:val="00E60EB5"/>
    <w:rsid w:val="00E62B5B"/>
    <w:rsid w:val="00E65692"/>
    <w:rsid w:val="00E66D95"/>
    <w:rsid w:val="00E67D87"/>
    <w:rsid w:val="00E70467"/>
    <w:rsid w:val="00E706C3"/>
    <w:rsid w:val="00E706D7"/>
    <w:rsid w:val="00E70DA0"/>
    <w:rsid w:val="00E71468"/>
    <w:rsid w:val="00E7203C"/>
    <w:rsid w:val="00E7367D"/>
    <w:rsid w:val="00E74645"/>
    <w:rsid w:val="00E76643"/>
    <w:rsid w:val="00E76C98"/>
    <w:rsid w:val="00E80CF5"/>
    <w:rsid w:val="00E80EE3"/>
    <w:rsid w:val="00E821D8"/>
    <w:rsid w:val="00E831B2"/>
    <w:rsid w:val="00E83E1E"/>
    <w:rsid w:val="00E83EDD"/>
    <w:rsid w:val="00E8577A"/>
    <w:rsid w:val="00E86BED"/>
    <w:rsid w:val="00E86DD7"/>
    <w:rsid w:val="00E86E06"/>
    <w:rsid w:val="00E926CA"/>
    <w:rsid w:val="00E9302A"/>
    <w:rsid w:val="00E9353D"/>
    <w:rsid w:val="00E93A1D"/>
    <w:rsid w:val="00E93C50"/>
    <w:rsid w:val="00E943EC"/>
    <w:rsid w:val="00E95A89"/>
    <w:rsid w:val="00E9614F"/>
    <w:rsid w:val="00E96FC2"/>
    <w:rsid w:val="00E97A76"/>
    <w:rsid w:val="00E97B90"/>
    <w:rsid w:val="00EA0F27"/>
    <w:rsid w:val="00EA25C8"/>
    <w:rsid w:val="00EA36A7"/>
    <w:rsid w:val="00EA6B7E"/>
    <w:rsid w:val="00EA6D62"/>
    <w:rsid w:val="00EA6FA2"/>
    <w:rsid w:val="00EA7284"/>
    <w:rsid w:val="00EA74AF"/>
    <w:rsid w:val="00EA76F1"/>
    <w:rsid w:val="00EA7D53"/>
    <w:rsid w:val="00EA7DA3"/>
    <w:rsid w:val="00EB07E9"/>
    <w:rsid w:val="00EB2FF4"/>
    <w:rsid w:val="00EB3E67"/>
    <w:rsid w:val="00EB44CC"/>
    <w:rsid w:val="00EB4686"/>
    <w:rsid w:val="00EB6084"/>
    <w:rsid w:val="00EC045D"/>
    <w:rsid w:val="00EC1063"/>
    <w:rsid w:val="00EC1695"/>
    <w:rsid w:val="00EC21CF"/>
    <w:rsid w:val="00EC4024"/>
    <w:rsid w:val="00EC4C07"/>
    <w:rsid w:val="00EC4DDE"/>
    <w:rsid w:val="00EC4E76"/>
    <w:rsid w:val="00EC4F0A"/>
    <w:rsid w:val="00EC579E"/>
    <w:rsid w:val="00EC6DDA"/>
    <w:rsid w:val="00EC700B"/>
    <w:rsid w:val="00ED0136"/>
    <w:rsid w:val="00ED0DA9"/>
    <w:rsid w:val="00ED3275"/>
    <w:rsid w:val="00ED329F"/>
    <w:rsid w:val="00ED49C2"/>
    <w:rsid w:val="00ED6B80"/>
    <w:rsid w:val="00EE0A20"/>
    <w:rsid w:val="00EE2F5F"/>
    <w:rsid w:val="00EE33C5"/>
    <w:rsid w:val="00EE3528"/>
    <w:rsid w:val="00EE4245"/>
    <w:rsid w:val="00EE4A48"/>
    <w:rsid w:val="00EE6D64"/>
    <w:rsid w:val="00EF0376"/>
    <w:rsid w:val="00EF5E2A"/>
    <w:rsid w:val="00EF64B1"/>
    <w:rsid w:val="00EF6548"/>
    <w:rsid w:val="00EF71A8"/>
    <w:rsid w:val="00EF7510"/>
    <w:rsid w:val="00EF7C9C"/>
    <w:rsid w:val="00F00D98"/>
    <w:rsid w:val="00F00E6D"/>
    <w:rsid w:val="00F017D9"/>
    <w:rsid w:val="00F01BC4"/>
    <w:rsid w:val="00F02574"/>
    <w:rsid w:val="00F02C61"/>
    <w:rsid w:val="00F0444E"/>
    <w:rsid w:val="00F05338"/>
    <w:rsid w:val="00F05966"/>
    <w:rsid w:val="00F05E3C"/>
    <w:rsid w:val="00F06D0F"/>
    <w:rsid w:val="00F07248"/>
    <w:rsid w:val="00F07B0D"/>
    <w:rsid w:val="00F07C34"/>
    <w:rsid w:val="00F10664"/>
    <w:rsid w:val="00F10E38"/>
    <w:rsid w:val="00F11CA0"/>
    <w:rsid w:val="00F12C0F"/>
    <w:rsid w:val="00F1367B"/>
    <w:rsid w:val="00F146B3"/>
    <w:rsid w:val="00F14C98"/>
    <w:rsid w:val="00F157CE"/>
    <w:rsid w:val="00F17944"/>
    <w:rsid w:val="00F22196"/>
    <w:rsid w:val="00F225E4"/>
    <w:rsid w:val="00F23143"/>
    <w:rsid w:val="00F24423"/>
    <w:rsid w:val="00F24680"/>
    <w:rsid w:val="00F248EB"/>
    <w:rsid w:val="00F252A6"/>
    <w:rsid w:val="00F25FA6"/>
    <w:rsid w:val="00F2730E"/>
    <w:rsid w:val="00F27B9B"/>
    <w:rsid w:val="00F311C0"/>
    <w:rsid w:val="00F31375"/>
    <w:rsid w:val="00F319AC"/>
    <w:rsid w:val="00F31F4A"/>
    <w:rsid w:val="00F335BE"/>
    <w:rsid w:val="00F34E44"/>
    <w:rsid w:val="00F373D4"/>
    <w:rsid w:val="00F37427"/>
    <w:rsid w:val="00F37B55"/>
    <w:rsid w:val="00F41947"/>
    <w:rsid w:val="00F42672"/>
    <w:rsid w:val="00F44A9F"/>
    <w:rsid w:val="00F44E00"/>
    <w:rsid w:val="00F4658C"/>
    <w:rsid w:val="00F474A5"/>
    <w:rsid w:val="00F47DCF"/>
    <w:rsid w:val="00F510D8"/>
    <w:rsid w:val="00F528DD"/>
    <w:rsid w:val="00F54574"/>
    <w:rsid w:val="00F54B47"/>
    <w:rsid w:val="00F5784C"/>
    <w:rsid w:val="00F57E0A"/>
    <w:rsid w:val="00F60713"/>
    <w:rsid w:val="00F61938"/>
    <w:rsid w:val="00F62B76"/>
    <w:rsid w:val="00F632F2"/>
    <w:rsid w:val="00F65366"/>
    <w:rsid w:val="00F660A6"/>
    <w:rsid w:val="00F71ABB"/>
    <w:rsid w:val="00F72DC3"/>
    <w:rsid w:val="00F73F8E"/>
    <w:rsid w:val="00F741FB"/>
    <w:rsid w:val="00F751B5"/>
    <w:rsid w:val="00F75EAA"/>
    <w:rsid w:val="00F769AB"/>
    <w:rsid w:val="00F7734F"/>
    <w:rsid w:val="00F806EE"/>
    <w:rsid w:val="00F80D46"/>
    <w:rsid w:val="00F816DF"/>
    <w:rsid w:val="00F81BCC"/>
    <w:rsid w:val="00F828D3"/>
    <w:rsid w:val="00F83C2B"/>
    <w:rsid w:val="00F83E07"/>
    <w:rsid w:val="00F84117"/>
    <w:rsid w:val="00F84386"/>
    <w:rsid w:val="00F84FD8"/>
    <w:rsid w:val="00F8617A"/>
    <w:rsid w:val="00F86C8F"/>
    <w:rsid w:val="00F86D9B"/>
    <w:rsid w:val="00F901AD"/>
    <w:rsid w:val="00F904BB"/>
    <w:rsid w:val="00F9173C"/>
    <w:rsid w:val="00F91C33"/>
    <w:rsid w:val="00F92A93"/>
    <w:rsid w:val="00F94B18"/>
    <w:rsid w:val="00F9501A"/>
    <w:rsid w:val="00F96F84"/>
    <w:rsid w:val="00F97379"/>
    <w:rsid w:val="00F97E5B"/>
    <w:rsid w:val="00FA00B4"/>
    <w:rsid w:val="00FA0C61"/>
    <w:rsid w:val="00FA170C"/>
    <w:rsid w:val="00FA18B9"/>
    <w:rsid w:val="00FA3DB8"/>
    <w:rsid w:val="00FA42CC"/>
    <w:rsid w:val="00FA4357"/>
    <w:rsid w:val="00FA4A20"/>
    <w:rsid w:val="00FA4CF4"/>
    <w:rsid w:val="00FA51DC"/>
    <w:rsid w:val="00FA5831"/>
    <w:rsid w:val="00FA594A"/>
    <w:rsid w:val="00FA5D44"/>
    <w:rsid w:val="00FA7C19"/>
    <w:rsid w:val="00FB0692"/>
    <w:rsid w:val="00FB083C"/>
    <w:rsid w:val="00FB0CE8"/>
    <w:rsid w:val="00FB1ED9"/>
    <w:rsid w:val="00FB2651"/>
    <w:rsid w:val="00FB3154"/>
    <w:rsid w:val="00FB31AB"/>
    <w:rsid w:val="00FB42BD"/>
    <w:rsid w:val="00FB6614"/>
    <w:rsid w:val="00FB6BBA"/>
    <w:rsid w:val="00FC27CC"/>
    <w:rsid w:val="00FC2AEC"/>
    <w:rsid w:val="00FC3A61"/>
    <w:rsid w:val="00FC4772"/>
    <w:rsid w:val="00FC58E0"/>
    <w:rsid w:val="00FC5D59"/>
    <w:rsid w:val="00FC6173"/>
    <w:rsid w:val="00FC61A7"/>
    <w:rsid w:val="00FC6303"/>
    <w:rsid w:val="00FC6E4D"/>
    <w:rsid w:val="00FC6EE9"/>
    <w:rsid w:val="00FC7028"/>
    <w:rsid w:val="00FC728E"/>
    <w:rsid w:val="00FC7C35"/>
    <w:rsid w:val="00FD1A59"/>
    <w:rsid w:val="00FD2AD0"/>
    <w:rsid w:val="00FD42CD"/>
    <w:rsid w:val="00FD4871"/>
    <w:rsid w:val="00FD4AF3"/>
    <w:rsid w:val="00FD5DB5"/>
    <w:rsid w:val="00FD6FEC"/>
    <w:rsid w:val="00FD7FC2"/>
    <w:rsid w:val="00FE339D"/>
    <w:rsid w:val="00FE4935"/>
    <w:rsid w:val="00FE593E"/>
    <w:rsid w:val="00FE596A"/>
    <w:rsid w:val="00FE5AB2"/>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6750743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13168436">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698968249">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080448686">
      <w:bodyDiv w:val="1"/>
      <w:marLeft w:val="0"/>
      <w:marRight w:val="0"/>
      <w:marTop w:val="0"/>
      <w:marBottom w:val="0"/>
      <w:divBdr>
        <w:top w:val="none" w:sz="0" w:space="0" w:color="auto"/>
        <w:left w:val="none" w:sz="0" w:space="0" w:color="auto"/>
        <w:bottom w:val="none" w:sz="0" w:space="0" w:color="auto"/>
        <w:right w:val="none" w:sz="0" w:space="0" w:color="auto"/>
      </w:divBdr>
    </w:div>
    <w:div w:id="1149785410">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279138180">
      <w:bodyDiv w:val="1"/>
      <w:marLeft w:val="0"/>
      <w:marRight w:val="0"/>
      <w:marTop w:val="0"/>
      <w:marBottom w:val="0"/>
      <w:divBdr>
        <w:top w:val="none" w:sz="0" w:space="0" w:color="auto"/>
        <w:left w:val="none" w:sz="0" w:space="0" w:color="auto"/>
        <w:bottom w:val="none" w:sz="0" w:space="0" w:color="auto"/>
        <w:right w:val="none" w:sz="0" w:space="0" w:color="auto"/>
      </w:divBdr>
    </w:div>
    <w:div w:id="1302343037">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92464513">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891182703">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04761-32AB-46DD-9AA4-FF8593D341DD}">
  <ds:schemaRefs>
    <ds:schemaRef ds:uri="http://schemas.openxmlformats.org/officeDocument/2006/bibliography"/>
  </ds:schemaRefs>
</ds:datastoreItem>
</file>

<file path=customXml/itemProps2.xml><?xml version="1.0" encoding="utf-8"?>
<ds:datastoreItem xmlns:ds="http://schemas.openxmlformats.org/officeDocument/2006/customXml" ds:itemID="{80C51558-3403-418C-8E39-CA100E3D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57806-C752-4A00-9D86-7496DD1BF3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E9072-6424-4E56-9B52-5BE8317C2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sathish sarshan  mohan</cp:lastModifiedBy>
  <cp:revision>3</cp:revision>
  <cp:lastPrinted>2024-04-12T06:15:00Z</cp:lastPrinted>
  <dcterms:created xsi:type="dcterms:W3CDTF">2024-04-24T08:16:00Z</dcterms:created>
  <dcterms:modified xsi:type="dcterms:W3CDTF">2024-04-26T19:51:00Z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