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654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5DFAE6B3"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7D714AA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14FB0C2" wp14:editId="193CE48F">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E4AAD07"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11DCF230"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6443CCAA"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180F7C90" w14:textId="77777777" w:rsidR="007B7F59" w:rsidRPr="007B7F59" w:rsidRDefault="007B7F59" w:rsidP="007B7F59">
      <w:pPr>
        <w:spacing w:after="0" w:line="240" w:lineRule="auto"/>
        <w:ind w:left="0"/>
        <w:rPr>
          <w:rFonts w:eastAsia="Times New Roman" w:cs="Arial"/>
          <w:szCs w:val="24"/>
          <w:lang w:val="en-ZA"/>
        </w:rPr>
      </w:pPr>
    </w:p>
    <w:p w14:paraId="252A5BE2" w14:textId="77777777" w:rsidR="007B7F59" w:rsidRPr="007B7F59" w:rsidRDefault="007B7F59" w:rsidP="007B7F59">
      <w:pPr>
        <w:spacing w:after="0" w:line="240" w:lineRule="auto"/>
        <w:ind w:left="0"/>
        <w:rPr>
          <w:rFonts w:eastAsia="Times New Roman" w:cs="Arial"/>
          <w:szCs w:val="24"/>
          <w:lang w:val="en-ZA"/>
        </w:rPr>
      </w:pPr>
    </w:p>
    <w:p w14:paraId="6513B016"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2109BE">
        <w:t>2013/45428</w:t>
      </w:r>
    </w:p>
    <w:p w14:paraId="3F5724AB"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501912F2" wp14:editId="6CF8B550">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017E027" w14:textId="77777777"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1B48C8">
                              <w:rPr>
                                <w:rFonts w:cs="Arial"/>
                                <w:sz w:val="18"/>
                                <w:szCs w:val="20"/>
                              </w:rPr>
                              <w:t xml:space="preserve"> NO</w:t>
                            </w:r>
                          </w:p>
                          <w:p w14:paraId="2EFED5C4" w14:textId="77777777"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1B48C8">
                              <w:rPr>
                                <w:rFonts w:cs="Arial"/>
                                <w:sz w:val="18"/>
                                <w:szCs w:val="20"/>
                              </w:rPr>
                              <w:t>NO</w:t>
                            </w:r>
                          </w:p>
                          <w:p w14:paraId="015B9062" w14:textId="127ADDCB" w:rsidR="00223B20" w:rsidRPr="003B746C" w:rsidRDefault="009B61D3" w:rsidP="002B448C">
                            <w:pPr>
                              <w:spacing w:before="240" w:after="0"/>
                              <w:rPr>
                                <w:rFonts w:cs="Arial"/>
                                <w:b/>
                                <w:sz w:val="18"/>
                                <w:szCs w:val="20"/>
                              </w:rPr>
                            </w:pPr>
                            <w:r>
                              <w:rPr>
                                <w:rFonts w:cs="Arial"/>
                                <w:b/>
                                <w:sz w:val="18"/>
                                <w:szCs w:val="20"/>
                              </w:rPr>
                              <w:t xml:space="preserve">21 </w:t>
                            </w:r>
                            <w:r w:rsidR="008D4D2B">
                              <w:rPr>
                                <w:rFonts w:cs="Arial"/>
                                <w:b/>
                                <w:sz w:val="18"/>
                                <w:szCs w:val="20"/>
                              </w:rPr>
                              <w:t xml:space="preserve">February </w:t>
                            </w:r>
                            <w:r w:rsidR="00E10803">
                              <w:rPr>
                                <w:rFonts w:cs="Arial"/>
                                <w:b/>
                                <w:sz w:val="18"/>
                                <w:szCs w:val="20"/>
                              </w:rPr>
                              <w:t>202</w:t>
                            </w:r>
                            <w:r w:rsidR="008D4D2B">
                              <w:rPr>
                                <w:rFonts w:cs="Arial"/>
                                <w:b/>
                                <w:sz w:val="18"/>
                                <w:szCs w:val="20"/>
                              </w:rPr>
                              <w:t>4</w:t>
                            </w:r>
                            <w:r w:rsidR="00E10803">
                              <w:rPr>
                                <w:rFonts w:cs="Arial"/>
                                <w:b/>
                                <w:sz w:val="18"/>
                                <w:szCs w:val="20"/>
                              </w:rPr>
                              <w:t xml:space="preserve">   </w:t>
                            </w:r>
                            <w:r w:rsidR="00223B20" w:rsidRPr="003B746C">
                              <w:rPr>
                                <w:rFonts w:cs="Arial"/>
                                <w:b/>
                                <w:sz w:val="18"/>
                                <w:szCs w:val="20"/>
                              </w:rPr>
                              <w:t>_________________________</w:t>
                            </w:r>
                          </w:p>
                          <w:p w14:paraId="30BEA7FD"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1912F2"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0017E027" w14:textId="77777777"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1B48C8">
                        <w:rPr>
                          <w:rFonts w:cs="Arial"/>
                          <w:sz w:val="18"/>
                          <w:szCs w:val="20"/>
                        </w:rPr>
                        <w:t xml:space="preserve"> NO</w:t>
                      </w:r>
                    </w:p>
                    <w:p w14:paraId="2EFED5C4" w14:textId="77777777"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1B48C8">
                        <w:rPr>
                          <w:rFonts w:cs="Arial"/>
                          <w:sz w:val="18"/>
                          <w:szCs w:val="20"/>
                        </w:rPr>
                        <w:t>NO</w:t>
                      </w:r>
                    </w:p>
                    <w:p w14:paraId="015B9062" w14:textId="127ADDCB" w:rsidR="00223B20" w:rsidRPr="003B746C" w:rsidRDefault="009B61D3" w:rsidP="002B448C">
                      <w:pPr>
                        <w:spacing w:before="240" w:after="0"/>
                        <w:rPr>
                          <w:rFonts w:cs="Arial"/>
                          <w:b/>
                          <w:sz w:val="18"/>
                          <w:szCs w:val="20"/>
                        </w:rPr>
                      </w:pPr>
                      <w:r>
                        <w:rPr>
                          <w:rFonts w:cs="Arial"/>
                          <w:b/>
                          <w:sz w:val="18"/>
                          <w:szCs w:val="20"/>
                        </w:rPr>
                        <w:t xml:space="preserve">21 </w:t>
                      </w:r>
                      <w:r w:rsidR="008D4D2B">
                        <w:rPr>
                          <w:rFonts w:cs="Arial"/>
                          <w:b/>
                          <w:sz w:val="18"/>
                          <w:szCs w:val="20"/>
                        </w:rPr>
                        <w:t xml:space="preserve">February </w:t>
                      </w:r>
                      <w:r w:rsidR="00E10803">
                        <w:rPr>
                          <w:rFonts w:cs="Arial"/>
                          <w:b/>
                          <w:sz w:val="18"/>
                          <w:szCs w:val="20"/>
                        </w:rPr>
                        <w:t>202</w:t>
                      </w:r>
                      <w:r w:rsidR="008D4D2B">
                        <w:rPr>
                          <w:rFonts w:cs="Arial"/>
                          <w:b/>
                          <w:sz w:val="18"/>
                          <w:szCs w:val="20"/>
                        </w:rPr>
                        <w:t>4</w:t>
                      </w:r>
                      <w:r w:rsidR="00E10803">
                        <w:rPr>
                          <w:rFonts w:cs="Arial"/>
                          <w:b/>
                          <w:sz w:val="18"/>
                          <w:szCs w:val="20"/>
                        </w:rPr>
                        <w:t xml:space="preserve">   </w:t>
                      </w:r>
                      <w:r w:rsidR="00223B20" w:rsidRPr="003B746C">
                        <w:rPr>
                          <w:rFonts w:cs="Arial"/>
                          <w:b/>
                          <w:sz w:val="18"/>
                          <w:szCs w:val="20"/>
                        </w:rPr>
                        <w:t>_________________________</w:t>
                      </w:r>
                    </w:p>
                    <w:p w14:paraId="30BEA7FD"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0D268473"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19B3D877"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238418E9"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1DBC67A8"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5FE156AB"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2C6D8A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17171A8"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821F359"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49819BD0"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C4350F5"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D858B0B" w14:textId="721F73D4" w:rsidR="00B14E4D" w:rsidRDefault="00632A04" w:rsidP="008B546F">
      <w:pPr>
        <w:pStyle w:val="JudgmentNumbered"/>
        <w:numPr>
          <w:ilvl w:val="0"/>
          <w:numId w:val="0"/>
        </w:numPr>
      </w:pPr>
      <w:r w:rsidRPr="002109BE">
        <w:rPr>
          <w:b/>
        </w:rPr>
        <w:t>RODNEY WOLME</w:t>
      </w:r>
      <w:bookmarkStart w:id="0" w:name="_GoBack"/>
      <w:bookmarkEnd w:id="0"/>
      <w:r w:rsidRPr="002109BE">
        <w:rPr>
          <w:b/>
        </w:rPr>
        <w:t>R</w:t>
      </w:r>
      <w:r w:rsidR="002109BE">
        <w:tab/>
      </w:r>
      <w:r w:rsidR="002109BE">
        <w:tab/>
      </w:r>
      <w:r>
        <w:tab/>
      </w:r>
      <w:r>
        <w:tab/>
      </w:r>
      <w:r>
        <w:tab/>
      </w:r>
      <w:r>
        <w:tab/>
      </w:r>
      <w:r w:rsidR="00B14E4D">
        <w:t>Applicant</w:t>
      </w:r>
      <w:r w:rsidR="009B61D3">
        <w:t>/Defendant</w:t>
      </w:r>
      <w:r w:rsidR="00B14E4D">
        <w:t xml:space="preserve"> </w:t>
      </w:r>
    </w:p>
    <w:p w14:paraId="5733D5C6" w14:textId="77777777" w:rsidR="00B14E4D" w:rsidRDefault="00B14E4D" w:rsidP="008B546F">
      <w:pPr>
        <w:pStyle w:val="JudgmentNumbered"/>
        <w:numPr>
          <w:ilvl w:val="0"/>
          <w:numId w:val="0"/>
        </w:numPr>
      </w:pPr>
      <w:r>
        <w:t xml:space="preserve">and </w:t>
      </w:r>
    </w:p>
    <w:p w14:paraId="7A9CF048" w14:textId="313F95E5" w:rsidR="00B14E4D" w:rsidRDefault="00632A04" w:rsidP="008B546F">
      <w:pPr>
        <w:pStyle w:val="JudgmentNumbered"/>
        <w:numPr>
          <w:ilvl w:val="0"/>
          <w:numId w:val="0"/>
        </w:numPr>
      </w:pPr>
      <w:r w:rsidRPr="002109BE">
        <w:rPr>
          <w:b/>
        </w:rPr>
        <w:t>MASTERTRADE 286 (PROPRIETARY) LIMITED</w:t>
      </w:r>
      <w:r w:rsidR="002109BE">
        <w:tab/>
      </w:r>
      <w:r w:rsidR="002109BE">
        <w:tab/>
      </w:r>
      <w:r w:rsidR="00B14E4D">
        <w:t>Respondent</w:t>
      </w:r>
      <w:r w:rsidR="009B61D3">
        <w:t>/Plaintiff</w:t>
      </w:r>
      <w:r w:rsidR="00B14E4D">
        <w:t xml:space="preserve"> </w:t>
      </w:r>
    </w:p>
    <w:p w14:paraId="71BAF4D0"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2C4EB6BE" w14:textId="77777777" w:rsidR="007B7F59" w:rsidRPr="007B7F59" w:rsidRDefault="007B7F59" w:rsidP="007B7F59">
      <w:pPr>
        <w:spacing w:after="0" w:line="240" w:lineRule="auto"/>
        <w:ind w:left="1440" w:hanging="1440"/>
        <w:jc w:val="left"/>
        <w:rPr>
          <w:rFonts w:cs="Arial"/>
          <w:b/>
          <w:szCs w:val="24"/>
        </w:rPr>
      </w:pPr>
    </w:p>
    <w:p w14:paraId="62C54F25"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2360081" w14:textId="58B3BD74" w:rsidR="00981480" w:rsidRDefault="008D4D2B" w:rsidP="008D4D2B">
      <w:pPr>
        <w:pStyle w:val="JudgmentNumbered"/>
        <w:numPr>
          <w:ilvl w:val="0"/>
          <w:numId w:val="0"/>
        </w:numPr>
        <w:spacing w:after="0"/>
        <w:ind w:left="567" w:hanging="567"/>
      </w:pPr>
      <w:r>
        <w:t>[1]</w:t>
      </w:r>
      <w:r>
        <w:tab/>
        <w:t xml:space="preserve">The applicant </w:t>
      </w:r>
      <w:r w:rsidR="0051028E">
        <w:t xml:space="preserve">and defendant in the trial seeks to </w:t>
      </w:r>
      <w:r w:rsidR="00A451D5">
        <w:t xml:space="preserve">an order that the </w:t>
      </w:r>
      <w:r w:rsidR="008B3D79">
        <w:t xml:space="preserve">defendant’s special plea of </w:t>
      </w:r>
      <w:r w:rsidR="00685F0C" w:rsidRPr="00685F0C">
        <w:rPr>
          <w:i/>
          <w:iCs/>
        </w:rPr>
        <w:t>l</w:t>
      </w:r>
      <w:r w:rsidR="008B3D79" w:rsidRPr="00685F0C">
        <w:rPr>
          <w:i/>
          <w:iCs/>
        </w:rPr>
        <w:t>ocus standi</w:t>
      </w:r>
      <w:r w:rsidR="008B3D79">
        <w:t xml:space="preserve"> be determined separately </w:t>
      </w:r>
      <w:r w:rsidR="00F63119">
        <w:t xml:space="preserve">in terms of the provisions of rule 33(4) of the Uniform Rules of Court. </w:t>
      </w:r>
      <w:r w:rsidR="00685F0C">
        <w:t xml:space="preserve">The remainder of the issues are to be stayed until </w:t>
      </w:r>
      <w:r w:rsidR="00A86F58">
        <w:t xml:space="preserve">the special please is determined. </w:t>
      </w:r>
      <w:r w:rsidR="00981480">
        <w:t>The application is opposed</w:t>
      </w:r>
      <w:r w:rsidR="002B054F">
        <w:t xml:space="preserve"> by the respondent</w:t>
      </w:r>
      <w:r w:rsidR="00981480">
        <w:t>.</w:t>
      </w:r>
      <w:r w:rsidR="004D4D19">
        <w:t xml:space="preserve"> I shall refer to the parties as in  this </w:t>
      </w:r>
      <w:r w:rsidR="00782B2D">
        <w:t>application after their description below.</w:t>
      </w:r>
    </w:p>
    <w:p w14:paraId="50642E03" w14:textId="77777777" w:rsidR="00981480" w:rsidRDefault="00981480" w:rsidP="008D4D2B">
      <w:pPr>
        <w:pStyle w:val="JudgmentNumbered"/>
        <w:numPr>
          <w:ilvl w:val="0"/>
          <w:numId w:val="0"/>
        </w:numPr>
        <w:spacing w:after="0"/>
        <w:ind w:left="567" w:hanging="567"/>
      </w:pPr>
    </w:p>
    <w:p w14:paraId="467A1A27" w14:textId="3647DDDC" w:rsidR="00482911" w:rsidRDefault="00981480" w:rsidP="00340935">
      <w:pPr>
        <w:pStyle w:val="JudgmentNumbered"/>
        <w:numPr>
          <w:ilvl w:val="0"/>
          <w:numId w:val="0"/>
        </w:numPr>
        <w:spacing w:after="0"/>
        <w:ind w:left="567" w:hanging="567"/>
      </w:pPr>
      <w:r>
        <w:lastRenderedPageBreak/>
        <w:t>[2]</w:t>
      </w:r>
      <w:r>
        <w:tab/>
      </w:r>
      <w:r w:rsidR="00527C18">
        <w:t xml:space="preserve">The background </w:t>
      </w:r>
      <w:r w:rsidR="004D4D19">
        <w:t>to</w:t>
      </w:r>
      <w:r w:rsidR="00527C18">
        <w:t xml:space="preserve"> the matter is as follows. </w:t>
      </w:r>
      <w:r w:rsidR="00163982">
        <w:t xml:space="preserve">The applicant and defendant is an adult male businessman, who has </w:t>
      </w:r>
      <w:r w:rsidR="00325311">
        <w:t>his</w:t>
      </w:r>
      <w:r w:rsidR="00163982">
        <w:t xml:space="preserve"> chosen service address as Allan Allschwang and Associates Incorporated of 58 Peter Place, Bull and Bear House, Lyme Park Bryanston.</w:t>
      </w:r>
      <w:r w:rsidR="00340935">
        <w:t xml:space="preserve"> </w:t>
      </w:r>
      <w:r w:rsidR="00527C18">
        <w:t xml:space="preserve">The </w:t>
      </w:r>
      <w:r w:rsidR="00CD0BB8">
        <w:t xml:space="preserve">respondent and plaintiff in the main application is Mastertrade </w:t>
      </w:r>
      <w:r w:rsidR="00424952">
        <w:t>286 (</w:t>
      </w:r>
      <w:r w:rsidR="00CD0BB8">
        <w:t>Proprietary</w:t>
      </w:r>
      <w:r w:rsidR="00424952">
        <w:t>)</w:t>
      </w:r>
      <w:r w:rsidR="00CD0BB8">
        <w:t xml:space="preserve"> Limited</w:t>
      </w:r>
      <w:r w:rsidR="008D745D">
        <w:t xml:space="preserve">, a private company with limited liability registered and incorporated in accordance with the company laws </w:t>
      </w:r>
      <w:r w:rsidR="00D976DC">
        <w:t xml:space="preserve">of the Republic of South Africa, with its principal place of business </w:t>
      </w:r>
      <w:r w:rsidR="00D714A9">
        <w:t xml:space="preserve">at 121B Rivonia Road, Athol, Johannesburg. </w:t>
      </w:r>
    </w:p>
    <w:p w14:paraId="5EF9692D" w14:textId="77777777" w:rsidR="00E8118C" w:rsidRDefault="00E8118C" w:rsidP="00340935">
      <w:pPr>
        <w:pStyle w:val="JudgmentNumbered"/>
        <w:numPr>
          <w:ilvl w:val="0"/>
          <w:numId w:val="0"/>
        </w:numPr>
        <w:spacing w:after="0"/>
        <w:ind w:left="567" w:hanging="567"/>
      </w:pPr>
    </w:p>
    <w:p w14:paraId="211C1A31" w14:textId="77777777" w:rsidR="00CB5A27" w:rsidRDefault="00E8118C" w:rsidP="00340935">
      <w:pPr>
        <w:pStyle w:val="JudgmentNumbered"/>
        <w:numPr>
          <w:ilvl w:val="0"/>
          <w:numId w:val="0"/>
        </w:numPr>
        <w:spacing w:after="0"/>
        <w:ind w:left="567" w:hanging="567"/>
      </w:pPr>
      <w:r>
        <w:t>[3]</w:t>
      </w:r>
      <w:r>
        <w:tab/>
        <w:t>The respondent and Not</w:t>
      </w:r>
      <w:r w:rsidR="00EF5E04">
        <w:t>ylia</w:t>
      </w:r>
      <w:r w:rsidR="00FD7899">
        <w:t xml:space="preserve"> CC</w:t>
      </w:r>
      <w:r w:rsidR="001A2F2E">
        <w:t>( the shareholders)</w:t>
      </w:r>
      <w:r w:rsidR="00FD7899">
        <w:t xml:space="preserve"> were the shareholders</w:t>
      </w:r>
      <w:r w:rsidR="001A2F2E">
        <w:t xml:space="preserve"> of Zafra (Pty) Ltd</w:t>
      </w:r>
      <w:r w:rsidR="00342366">
        <w:t xml:space="preserve"> (Zafra), </w:t>
      </w:r>
      <w:r w:rsidR="00C25706">
        <w:t xml:space="preserve"> a profit company, duly incorporated in accordance with the company laws of South Africa. </w:t>
      </w:r>
      <w:r w:rsidR="00AC4468">
        <w:t>Mr IT Zackon was a director of Zafra and a shareholder of the respondent</w:t>
      </w:r>
      <w:r w:rsidR="00BA3A5D">
        <w:t xml:space="preserve"> at all relevant times</w:t>
      </w:r>
      <w:r w:rsidR="00AC4468">
        <w:t xml:space="preserve">. </w:t>
      </w:r>
      <w:r w:rsidR="002A7DC9">
        <w:t xml:space="preserve">Zafra was the registered title owner of two units, </w:t>
      </w:r>
      <w:r w:rsidR="00130249">
        <w:t>6 and 20 in the sectional title scheme known as Twindale Sectional Tit</w:t>
      </w:r>
      <w:r w:rsidR="006A4303">
        <w:t>le</w:t>
      </w:r>
      <w:r w:rsidR="002C54B3">
        <w:t xml:space="preserve"> Scheme </w:t>
      </w:r>
      <w:r w:rsidR="00B70A45">
        <w:t>SS245/1984, situated at 75 Maude Street</w:t>
      </w:r>
      <w:r w:rsidR="007616FD">
        <w:t>, Sandton</w:t>
      </w:r>
      <w:r w:rsidR="00EA5CC4">
        <w:t xml:space="preserve">. </w:t>
      </w:r>
    </w:p>
    <w:p w14:paraId="1035539B" w14:textId="77777777" w:rsidR="00CB5A27" w:rsidRDefault="00CB5A27" w:rsidP="00340935">
      <w:pPr>
        <w:pStyle w:val="JudgmentNumbered"/>
        <w:numPr>
          <w:ilvl w:val="0"/>
          <w:numId w:val="0"/>
        </w:numPr>
        <w:spacing w:after="0"/>
        <w:ind w:left="567" w:hanging="567"/>
      </w:pPr>
    </w:p>
    <w:p w14:paraId="5B62B39B" w14:textId="1B157169" w:rsidR="008F3D53" w:rsidRDefault="00CB5A27" w:rsidP="00340935">
      <w:pPr>
        <w:pStyle w:val="JudgmentNumbered"/>
        <w:numPr>
          <w:ilvl w:val="0"/>
          <w:numId w:val="0"/>
        </w:numPr>
        <w:spacing w:after="0"/>
        <w:ind w:left="567" w:hanging="567"/>
      </w:pPr>
      <w:r>
        <w:t>[4]</w:t>
      </w:r>
      <w:r>
        <w:tab/>
      </w:r>
      <w:r w:rsidR="00E52759">
        <w:t xml:space="preserve">The applicant was the </w:t>
      </w:r>
      <w:r w:rsidR="00F15CDB">
        <w:t>director and in control of Exdev</w:t>
      </w:r>
      <w:r w:rsidR="00F30E88">
        <w:t xml:space="preserve"> (Pty) </w:t>
      </w:r>
      <w:r w:rsidR="00D95734">
        <w:t>Limited (</w:t>
      </w:r>
      <w:r w:rsidR="00F30E88">
        <w:t>Exd</w:t>
      </w:r>
      <w:r w:rsidR="005F53FD">
        <w:t>ev)</w:t>
      </w:r>
      <w:r w:rsidR="00F15CDB">
        <w:t>.</w:t>
      </w:r>
      <w:r w:rsidR="00211455">
        <w:t xml:space="preserve"> </w:t>
      </w:r>
      <w:r>
        <w:t>Exdev acquired the</w:t>
      </w:r>
      <w:r w:rsidR="00F34C63">
        <w:t xml:space="preserve"> r</w:t>
      </w:r>
      <w:r>
        <w:t>emaining units in Twindale Sectional Title Scheme</w:t>
      </w:r>
      <w:r w:rsidR="00A95B34">
        <w:t xml:space="preserve"> that belonged to Zafra</w:t>
      </w:r>
      <w:r>
        <w:t xml:space="preserve">. </w:t>
      </w:r>
      <w:r w:rsidR="00E647BD">
        <w:t xml:space="preserve">It also wished to </w:t>
      </w:r>
      <w:r w:rsidR="00A54116">
        <w:t xml:space="preserve">purchase the two units belonging to </w:t>
      </w:r>
      <w:r w:rsidR="00E647BD">
        <w:t>Zafra</w:t>
      </w:r>
      <w:r w:rsidR="002853E5">
        <w:t xml:space="preserve">. </w:t>
      </w:r>
      <w:r w:rsidR="00545FE2">
        <w:t>The respondent conducted their own busin</w:t>
      </w:r>
      <w:r w:rsidR="00FD35B2">
        <w:t xml:space="preserve">ess from the two units and refused to sell. </w:t>
      </w:r>
    </w:p>
    <w:p w14:paraId="7C01A386" w14:textId="77777777" w:rsidR="008F3D53" w:rsidRDefault="008F3D53" w:rsidP="00340935">
      <w:pPr>
        <w:pStyle w:val="JudgmentNumbered"/>
        <w:numPr>
          <w:ilvl w:val="0"/>
          <w:numId w:val="0"/>
        </w:numPr>
        <w:spacing w:after="0"/>
        <w:ind w:left="567" w:hanging="567"/>
      </w:pPr>
    </w:p>
    <w:p w14:paraId="64F46A43" w14:textId="1A5D762B" w:rsidR="004B685D" w:rsidRDefault="008F3D53" w:rsidP="00340935">
      <w:pPr>
        <w:pStyle w:val="JudgmentNumbered"/>
        <w:numPr>
          <w:ilvl w:val="0"/>
          <w:numId w:val="0"/>
        </w:numPr>
        <w:spacing w:after="0"/>
        <w:ind w:left="567" w:hanging="567"/>
      </w:pPr>
      <w:r>
        <w:t>[4]</w:t>
      </w:r>
      <w:r>
        <w:tab/>
        <w:t xml:space="preserve">On 2 December 2005, </w:t>
      </w:r>
      <w:r w:rsidR="00C7729F">
        <w:t>Zafra and Exdev concluded a</w:t>
      </w:r>
      <w:r w:rsidR="00A72F11">
        <w:t xml:space="preserve"> written agreement</w:t>
      </w:r>
      <w:r w:rsidR="005700E1">
        <w:t xml:space="preserve"> </w:t>
      </w:r>
      <w:r w:rsidR="00A72F11">
        <w:t xml:space="preserve"> of sale</w:t>
      </w:r>
      <w:r w:rsidR="00B708A0">
        <w:t xml:space="preserve"> (the Zafra agreement)</w:t>
      </w:r>
      <w:r w:rsidR="00A72F11">
        <w:t xml:space="preserve"> in terms of which Exdev purchased from Zafra</w:t>
      </w:r>
      <w:r w:rsidR="00915463">
        <w:t>, the two sectional title unit</w:t>
      </w:r>
      <w:r w:rsidR="005700E1">
        <w:t>s</w:t>
      </w:r>
      <w:r w:rsidR="00915463">
        <w:t xml:space="preserve"> 6 and 20</w:t>
      </w:r>
      <w:r w:rsidR="005064CD">
        <w:t>, together with an undivided share in the property</w:t>
      </w:r>
      <w:r w:rsidR="00915463">
        <w:t>.</w:t>
      </w:r>
      <w:r w:rsidR="00341B87">
        <w:t xml:space="preserve"> </w:t>
      </w:r>
      <w:r w:rsidR="00BD56B6">
        <w:t>The agreement was subject- to material express terms</w:t>
      </w:r>
      <w:r w:rsidR="003A3BA5">
        <w:t>,</w:t>
      </w:r>
      <w:r w:rsidR="00341B87">
        <w:t xml:space="preserve"> which included that th</w:t>
      </w:r>
      <w:r w:rsidR="003F1A92">
        <w:t xml:space="preserve">e applicant would develop </w:t>
      </w:r>
      <w:r w:rsidR="00AC4FA4">
        <w:t xml:space="preserve">the property. The respondent would be allocated office space in the development </w:t>
      </w:r>
      <w:r w:rsidR="00D56A97">
        <w:t xml:space="preserve">in accordance with certain </w:t>
      </w:r>
      <w:r w:rsidR="003A3BA5">
        <w:t>specifications</w:t>
      </w:r>
      <w:r w:rsidR="00D56A97">
        <w:t xml:space="preserve"> agreed upon. </w:t>
      </w:r>
      <w:r w:rsidR="00AD03BE">
        <w:t xml:space="preserve">The purchase price for the office space was agreed at the price of </w:t>
      </w:r>
      <w:r w:rsidR="008F31EF">
        <w:t xml:space="preserve">R3 150 000. </w:t>
      </w:r>
      <w:r w:rsidR="007E28C1">
        <w:t xml:space="preserve"> In the event </w:t>
      </w:r>
      <w:r w:rsidR="003A3BA5">
        <w:t xml:space="preserve">that </w:t>
      </w:r>
      <w:r w:rsidR="007E28C1">
        <w:t>the applicant failed to deliver the units</w:t>
      </w:r>
      <w:r w:rsidR="003A3BA5">
        <w:t xml:space="preserve">, </w:t>
      </w:r>
      <w:r w:rsidR="007E28C1">
        <w:t xml:space="preserve"> the applicant was to pay damages of R 500 </w:t>
      </w:r>
      <w:r w:rsidR="00BA184E">
        <w:t>per day from the date of completion to the date of occupation.</w:t>
      </w:r>
    </w:p>
    <w:p w14:paraId="278AA02C" w14:textId="77777777" w:rsidR="004B685D" w:rsidRDefault="004B685D" w:rsidP="00340935">
      <w:pPr>
        <w:pStyle w:val="JudgmentNumbered"/>
        <w:numPr>
          <w:ilvl w:val="0"/>
          <w:numId w:val="0"/>
        </w:numPr>
        <w:spacing w:after="0"/>
        <w:ind w:left="567" w:hanging="567"/>
      </w:pPr>
    </w:p>
    <w:p w14:paraId="38B660C6" w14:textId="1ADBFCE5" w:rsidR="00595ADF" w:rsidRDefault="004B685D" w:rsidP="00340935">
      <w:pPr>
        <w:pStyle w:val="JudgmentNumbered"/>
        <w:numPr>
          <w:ilvl w:val="0"/>
          <w:numId w:val="0"/>
        </w:numPr>
        <w:spacing w:after="0"/>
        <w:ind w:left="567" w:hanging="567"/>
      </w:pPr>
      <w:r>
        <w:t>[5]</w:t>
      </w:r>
      <w:r>
        <w:tab/>
        <w:t>T</w:t>
      </w:r>
      <w:r w:rsidR="00A45E49">
        <w:t xml:space="preserve">he applicant failed to provide a written agreement </w:t>
      </w:r>
      <w:r w:rsidR="0027094B">
        <w:t xml:space="preserve">within thirty </w:t>
      </w:r>
      <w:r>
        <w:t xml:space="preserve">days </w:t>
      </w:r>
      <w:r w:rsidR="0027094B">
        <w:t xml:space="preserve">from the date the applicant and the respondent agreed to the </w:t>
      </w:r>
      <w:r w:rsidR="00A67436">
        <w:t>Zafra agreement</w:t>
      </w:r>
      <w:r w:rsidR="005C080A">
        <w:t>. T</w:t>
      </w:r>
      <w:r w:rsidR="00A67436">
        <w:t xml:space="preserve">he </w:t>
      </w:r>
      <w:r w:rsidR="00A67436">
        <w:lastRenderedPageBreak/>
        <w:t xml:space="preserve">respondent informed the applicant that </w:t>
      </w:r>
      <w:r w:rsidR="00C224EF">
        <w:t xml:space="preserve">the agreement had lapsed and would not be </w:t>
      </w:r>
      <w:r w:rsidR="00E1173A">
        <w:t xml:space="preserve">revived unless the suspensive condition </w:t>
      </w:r>
      <w:r w:rsidR="0008635D">
        <w:t>was fulfilled. The agreement was revived</w:t>
      </w:r>
      <w:r w:rsidR="005C080A">
        <w:t xml:space="preserve">. </w:t>
      </w:r>
      <w:r w:rsidR="00894348">
        <w:t>T</w:t>
      </w:r>
      <w:r w:rsidR="0008635D">
        <w:t xml:space="preserve">he </w:t>
      </w:r>
      <w:r w:rsidR="00894348">
        <w:t xml:space="preserve">respondent </w:t>
      </w:r>
      <w:r w:rsidR="003D1065">
        <w:t xml:space="preserve">was nominated to purchase one unit </w:t>
      </w:r>
      <w:r w:rsidR="00894348">
        <w:t xml:space="preserve">only as </w:t>
      </w:r>
      <w:r w:rsidR="003D1065">
        <w:t xml:space="preserve">the second unit was no longer required </w:t>
      </w:r>
      <w:r w:rsidR="00B54E7F">
        <w:t xml:space="preserve">because the respondent’s </w:t>
      </w:r>
      <w:r w:rsidR="00E94176">
        <w:t xml:space="preserve">co-shareholder had passed away. </w:t>
      </w:r>
    </w:p>
    <w:p w14:paraId="119D9415" w14:textId="77777777" w:rsidR="00595ADF" w:rsidRDefault="00595ADF" w:rsidP="00340935">
      <w:pPr>
        <w:pStyle w:val="JudgmentNumbered"/>
        <w:numPr>
          <w:ilvl w:val="0"/>
          <w:numId w:val="0"/>
        </w:numPr>
        <w:spacing w:after="0"/>
        <w:ind w:left="567" w:hanging="567"/>
      </w:pPr>
    </w:p>
    <w:p w14:paraId="64CD12FC" w14:textId="47BB40D5" w:rsidR="007C6B8C" w:rsidRDefault="00595ADF" w:rsidP="00340935">
      <w:pPr>
        <w:pStyle w:val="JudgmentNumbered"/>
        <w:numPr>
          <w:ilvl w:val="0"/>
          <w:numId w:val="0"/>
        </w:numPr>
        <w:spacing w:after="0"/>
        <w:ind w:left="567" w:hanging="567"/>
      </w:pPr>
      <w:r>
        <w:t>[</w:t>
      </w:r>
      <w:r w:rsidR="00B54E7F">
        <w:t>6</w:t>
      </w:r>
      <w:r>
        <w:t>]</w:t>
      </w:r>
      <w:r>
        <w:tab/>
        <w:t>The parties</w:t>
      </w:r>
      <w:r w:rsidR="003E6043">
        <w:t>, therefore, concluded a further agreement</w:t>
      </w:r>
      <w:r>
        <w:t xml:space="preserve"> known as the Maude Street agreement. </w:t>
      </w:r>
      <w:r w:rsidR="00A771BB">
        <w:t>In terms of this agreement, t</w:t>
      </w:r>
      <w:r w:rsidR="00F97D28">
        <w:t xml:space="preserve">he purchase price was agreed upon and reflected in clause 8 of the agreement. </w:t>
      </w:r>
      <w:r w:rsidR="00A771BB">
        <w:t>In the event that the unit was not available</w:t>
      </w:r>
      <w:r w:rsidR="0016216C">
        <w:t xml:space="preserve"> for occupation</w:t>
      </w:r>
      <w:r w:rsidR="00A771BB">
        <w:t>, t</w:t>
      </w:r>
      <w:r w:rsidR="00F97D28">
        <w:t xml:space="preserve">he </w:t>
      </w:r>
      <w:r w:rsidR="004A4AA6">
        <w:t xml:space="preserve">purchase price would </w:t>
      </w:r>
      <w:r w:rsidR="00000CBF">
        <w:t>be reduced</w:t>
      </w:r>
      <w:r w:rsidR="004A4AA6">
        <w:t xml:space="preserve"> by R250 per day</w:t>
      </w:r>
      <w:r w:rsidR="00971FF6">
        <w:t xml:space="preserve"> for each day that occupation </w:t>
      </w:r>
      <w:r w:rsidR="0016216C">
        <w:t>wa</w:t>
      </w:r>
      <w:r w:rsidR="00971FF6">
        <w:t xml:space="preserve">s delayed </w:t>
      </w:r>
      <w:r w:rsidR="00000CBF">
        <w:t>beyond 31 December 2008.</w:t>
      </w:r>
      <w:r w:rsidR="000561A9">
        <w:t xml:space="preserve"> The transfer of the units from the respondent to the applicant took place on </w:t>
      </w:r>
      <w:r w:rsidR="006B7B19">
        <w:t xml:space="preserve">5 May 2006, after the revival of the </w:t>
      </w:r>
      <w:r w:rsidR="00784D41">
        <w:t xml:space="preserve">suspensive condition </w:t>
      </w:r>
      <w:r w:rsidR="006C7581">
        <w:t xml:space="preserve">in the </w:t>
      </w:r>
      <w:r w:rsidR="006B7B19">
        <w:t xml:space="preserve">Zafra agreement. </w:t>
      </w:r>
    </w:p>
    <w:p w14:paraId="7B6CD7DD" w14:textId="77777777" w:rsidR="007C6B8C" w:rsidRDefault="007C6B8C" w:rsidP="00340935">
      <w:pPr>
        <w:pStyle w:val="JudgmentNumbered"/>
        <w:numPr>
          <w:ilvl w:val="0"/>
          <w:numId w:val="0"/>
        </w:numPr>
        <w:spacing w:after="0"/>
        <w:ind w:left="567" w:hanging="567"/>
      </w:pPr>
    </w:p>
    <w:p w14:paraId="6CB86DAC" w14:textId="6527D258" w:rsidR="0043318B" w:rsidRDefault="007C6B8C" w:rsidP="00340935">
      <w:pPr>
        <w:pStyle w:val="JudgmentNumbered"/>
        <w:numPr>
          <w:ilvl w:val="0"/>
          <w:numId w:val="0"/>
        </w:numPr>
        <w:spacing w:after="0"/>
        <w:ind w:left="567" w:hanging="567"/>
      </w:pPr>
      <w:r>
        <w:t>[7]</w:t>
      </w:r>
      <w:r>
        <w:tab/>
      </w:r>
      <w:r w:rsidR="006933B4">
        <w:t xml:space="preserve">On 7 December 2005, the applicant concluded an agreement </w:t>
      </w:r>
      <w:r w:rsidR="00AC48C0">
        <w:t>with Firefly Investments 74 (Pty) Ltd</w:t>
      </w:r>
      <w:r w:rsidR="008A54BD">
        <w:t xml:space="preserve"> for the sale of all units in Twindale Scheme including the units</w:t>
      </w:r>
      <w:r w:rsidR="00732C52">
        <w:t xml:space="preserve"> sold in terms of the Zafra agreement. </w:t>
      </w:r>
      <w:r w:rsidR="006F361C">
        <w:t xml:space="preserve">The respondent maintains this agreement was a fraudulent transaction and </w:t>
      </w:r>
      <w:r w:rsidR="00937DEC">
        <w:t xml:space="preserve">was </w:t>
      </w:r>
      <w:r w:rsidR="006F361C">
        <w:t>concluded</w:t>
      </w:r>
      <w:r w:rsidR="00DE5511">
        <w:t xml:space="preserve"> knowing the Zafra agreement was binding</w:t>
      </w:r>
      <w:r w:rsidR="00E01DB2">
        <w:t xml:space="preserve">. </w:t>
      </w:r>
      <w:r w:rsidR="00C67E95">
        <w:t>The subsequent Maude</w:t>
      </w:r>
      <w:r w:rsidR="00937DEC">
        <w:t xml:space="preserve"> Street </w:t>
      </w:r>
      <w:r w:rsidR="00C67E95">
        <w:t xml:space="preserve">transaction </w:t>
      </w:r>
      <w:r w:rsidR="00937DEC">
        <w:t xml:space="preserve">was </w:t>
      </w:r>
      <w:r w:rsidR="00C67E95">
        <w:t>concluded whilst the applicant was aware it had</w:t>
      </w:r>
      <w:r w:rsidR="00E01DB2">
        <w:t xml:space="preserve"> sold </w:t>
      </w:r>
      <w:r w:rsidR="00334D06">
        <w:t>the entire scheme to Firefly Investments</w:t>
      </w:r>
      <w:r w:rsidR="00DE5511">
        <w:t xml:space="preserve"> </w:t>
      </w:r>
      <w:r w:rsidR="00334D06">
        <w:t>74 (Pty) Ltd</w:t>
      </w:r>
      <w:r w:rsidR="00656511">
        <w:t xml:space="preserve"> and would not be able to deliver occupation of the unit to the respondent</w:t>
      </w:r>
      <w:r w:rsidR="00334D06">
        <w:t>.</w:t>
      </w:r>
      <w:r w:rsidR="00DE5511">
        <w:t xml:space="preserve"> </w:t>
      </w:r>
      <w:r w:rsidR="006F361C">
        <w:t xml:space="preserve"> </w:t>
      </w:r>
      <w:r w:rsidR="00D50E75">
        <w:t xml:space="preserve">The applicant was placed under final winding up </w:t>
      </w:r>
      <w:r w:rsidR="000E4E4B">
        <w:t>on 25 September 2012</w:t>
      </w:r>
      <w:r w:rsidR="0029113F">
        <w:t xml:space="preserve">. The respondent acquired knowledge of the facts in </w:t>
      </w:r>
      <w:r w:rsidR="0024636E">
        <w:t>March or April  2013.</w:t>
      </w:r>
      <w:r w:rsidR="00276E84">
        <w:t xml:space="preserve"> </w:t>
      </w:r>
    </w:p>
    <w:p w14:paraId="0DC3047C" w14:textId="77777777" w:rsidR="0043318B" w:rsidRDefault="0043318B" w:rsidP="00340935">
      <w:pPr>
        <w:pStyle w:val="JudgmentNumbered"/>
        <w:numPr>
          <w:ilvl w:val="0"/>
          <w:numId w:val="0"/>
        </w:numPr>
        <w:spacing w:after="0"/>
        <w:ind w:left="567" w:hanging="567"/>
      </w:pPr>
    </w:p>
    <w:p w14:paraId="05CF3F9C" w14:textId="77777777" w:rsidR="002D6763" w:rsidRDefault="0043318B" w:rsidP="00340935">
      <w:pPr>
        <w:pStyle w:val="JudgmentNumbered"/>
        <w:numPr>
          <w:ilvl w:val="0"/>
          <w:numId w:val="0"/>
        </w:numPr>
        <w:spacing w:after="0"/>
        <w:ind w:left="567" w:hanging="567"/>
      </w:pPr>
      <w:r>
        <w:t>[</w:t>
      </w:r>
      <w:r w:rsidR="00592873">
        <w:t>8</w:t>
      </w:r>
      <w:r>
        <w:t>]</w:t>
      </w:r>
      <w:r>
        <w:tab/>
      </w:r>
      <w:r w:rsidR="00276E84">
        <w:t xml:space="preserve">The respondent </w:t>
      </w:r>
      <w:r w:rsidR="00C67E95">
        <w:t>maintains</w:t>
      </w:r>
      <w:r w:rsidR="00276E84">
        <w:t xml:space="preserve"> that the applicant </w:t>
      </w:r>
      <w:r w:rsidR="005B30CE">
        <w:t xml:space="preserve">knew that </w:t>
      </w:r>
      <w:r w:rsidR="00AC1404">
        <w:t>the Maude Street agreement constituted a double sale agreement as it was sold by Exdev to Fi</w:t>
      </w:r>
      <w:r w:rsidR="003524D7">
        <w:t xml:space="preserve">refly. The applicant never intended that Zafra or the respondent </w:t>
      </w:r>
      <w:r w:rsidR="00233DC1">
        <w:t xml:space="preserve">would acquire ownership in the new development. </w:t>
      </w:r>
      <w:r w:rsidR="00A9766E">
        <w:t xml:space="preserve">Had the respondent been aware of the true position that Exdev had entered into an agreement </w:t>
      </w:r>
      <w:r w:rsidR="00E236AB">
        <w:t xml:space="preserve">of sale with Firefly to sell all of the units in Twindale </w:t>
      </w:r>
      <w:r w:rsidR="004A30FB">
        <w:t xml:space="preserve">Sectional Title scheme with no provision made for the </w:t>
      </w:r>
      <w:r w:rsidR="00C52277">
        <w:t>pre-emption</w:t>
      </w:r>
      <w:r w:rsidR="004A30FB">
        <w:t xml:space="preserve"> right </w:t>
      </w:r>
      <w:r w:rsidR="006F7AD5">
        <w:t xml:space="preserve">of Zafra or its nominee, </w:t>
      </w:r>
      <w:r w:rsidR="00C52277">
        <w:t xml:space="preserve">it would not </w:t>
      </w:r>
      <w:r w:rsidR="00987350">
        <w:t xml:space="preserve">have </w:t>
      </w:r>
      <w:r w:rsidR="00C52277">
        <w:t xml:space="preserve">entered into the agreement. </w:t>
      </w:r>
      <w:r w:rsidR="00DA33BB">
        <w:t xml:space="preserve"> It would also </w:t>
      </w:r>
      <w:r w:rsidR="00F128C9">
        <w:t xml:space="preserve">not have </w:t>
      </w:r>
      <w:r w:rsidR="005D58CC">
        <w:t>disposed of its major asset had it known that</w:t>
      </w:r>
      <w:r w:rsidR="00AE2BAD">
        <w:t xml:space="preserve"> </w:t>
      </w:r>
      <w:r w:rsidR="008713AD">
        <w:t xml:space="preserve">the applicant intended disposing of the sectional title scheme. </w:t>
      </w:r>
      <w:r w:rsidR="00C04B23">
        <w:t xml:space="preserve">It maintains that </w:t>
      </w:r>
      <w:r w:rsidR="00C04B23">
        <w:lastRenderedPageBreak/>
        <w:t xml:space="preserve">the applicant is </w:t>
      </w:r>
      <w:r w:rsidR="00071C37">
        <w:t xml:space="preserve">personally liable </w:t>
      </w:r>
      <w:r w:rsidR="00926EA1">
        <w:t xml:space="preserve">to the respondent as the shareholder and nominee of </w:t>
      </w:r>
      <w:r w:rsidR="009506BD">
        <w:t xml:space="preserve">Zafra </w:t>
      </w:r>
      <w:r w:rsidR="00C04B23">
        <w:t>for</w:t>
      </w:r>
      <w:r w:rsidR="009506BD">
        <w:t xml:space="preserve"> personal </w:t>
      </w:r>
      <w:r w:rsidR="00833EAC">
        <w:t xml:space="preserve">liability being damages in terms of the common law or in terms of section 424 of the Companies Act </w:t>
      </w:r>
      <w:r w:rsidR="00964545">
        <w:t xml:space="preserve">1973 and section 22 of the Companies Act </w:t>
      </w:r>
      <w:r w:rsidR="00FD2B27">
        <w:t>of 2008 read with section 218(b)</w:t>
      </w:r>
      <w:r w:rsidR="00ED6E28">
        <w:t xml:space="preserve"> for</w:t>
      </w:r>
      <w:r w:rsidR="00FD2B27">
        <w:t xml:space="preserve"> </w:t>
      </w:r>
      <w:r w:rsidR="00C04B23">
        <w:t xml:space="preserve"> losses </w:t>
      </w:r>
      <w:r w:rsidR="00AE2BAD">
        <w:t xml:space="preserve">It has suffered as a result of the </w:t>
      </w:r>
      <w:r w:rsidR="00534EFC">
        <w:t>applicant’s conduct</w:t>
      </w:r>
      <w:r w:rsidR="002D6763">
        <w:t>,</w:t>
      </w:r>
      <w:r w:rsidR="00534EFC">
        <w:t xml:space="preserve"> in the sum of R 5 894</w:t>
      </w:r>
      <w:r w:rsidR="009E4170">
        <w:t> </w:t>
      </w:r>
      <w:r w:rsidR="00534EFC">
        <w:t>000</w:t>
      </w:r>
      <w:r w:rsidR="009E4170">
        <w:t xml:space="preserve"> with interest </w:t>
      </w:r>
      <w:r w:rsidR="00D856D4">
        <w:t xml:space="preserve">at the rate of 15.5% </w:t>
      </w:r>
      <w:r w:rsidR="009E4170">
        <w:t>from the date of judgment.</w:t>
      </w:r>
    </w:p>
    <w:p w14:paraId="4665EE04" w14:textId="77777777" w:rsidR="002D6763" w:rsidRDefault="002D6763" w:rsidP="00340935">
      <w:pPr>
        <w:pStyle w:val="JudgmentNumbered"/>
        <w:numPr>
          <w:ilvl w:val="0"/>
          <w:numId w:val="0"/>
        </w:numPr>
        <w:spacing w:after="0"/>
        <w:ind w:left="567" w:hanging="567"/>
      </w:pPr>
    </w:p>
    <w:p w14:paraId="2D2681E7" w14:textId="11564097" w:rsidR="00981F47" w:rsidRDefault="002D6763" w:rsidP="00FA1DC9">
      <w:pPr>
        <w:pStyle w:val="JudgmentNumbered"/>
        <w:numPr>
          <w:ilvl w:val="0"/>
          <w:numId w:val="0"/>
        </w:numPr>
        <w:spacing w:after="0"/>
        <w:ind w:left="567" w:hanging="567"/>
      </w:pPr>
      <w:r>
        <w:t>[9]</w:t>
      </w:r>
      <w:r>
        <w:tab/>
        <w:t xml:space="preserve">The applicant </w:t>
      </w:r>
      <w:r w:rsidR="00FE657F">
        <w:t xml:space="preserve">raised a special plea in response </w:t>
      </w:r>
      <w:r w:rsidR="0057485E">
        <w:t xml:space="preserve">to the claim. </w:t>
      </w:r>
      <w:r w:rsidR="00D2733C">
        <w:t>It seeks to have the issues raised below be determined separately.</w:t>
      </w:r>
    </w:p>
    <w:p w14:paraId="5D98982A" w14:textId="691656D4" w:rsidR="0048207E" w:rsidRPr="003C14AB" w:rsidRDefault="00D2733C" w:rsidP="00D93F0E">
      <w:pPr>
        <w:autoSpaceDE w:val="0"/>
        <w:autoSpaceDN w:val="0"/>
        <w:adjustRightInd w:val="0"/>
        <w:spacing w:after="0"/>
        <w:ind w:left="1437" w:hanging="870"/>
        <w:jc w:val="left"/>
        <w:rPr>
          <w:rFonts w:cs="Arial"/>
          <w:color w:val="080808"/>
          <w:sz w:val="22"/>
          <w:lang w:val="en-ZA"/>
        </w:rPr>
      </w:pPr>
      <w:r>
        <w:rPr>
          <w:rFonts w:cs="Arial"/>
          <w:color w:val="080808"/>
          <w:sz w:val="22"/>
          <w:lang w:val="en-ZA"/>
        </w:rPr>
        <w:t>‘’</w:t>
      </w:r>
      <w:r w:rsidR="00D93F0E">
        <w:rPr>
          <w:rFonts w:cs="Arial"/>
          <w:color w:val="080808"/>
          <w:sz w:val="22"/>
          <w:lang w:val="en-ZA"/>
        </w:rPr>
        <w:t>1.</w:t>
      </w:r>
      <w:r w:rsidR="00D93F0E">
        <w:rPr>
          <w:rFonts w:cs="Arial"/>
          <w:color w:val="080808"/>
          <w:sz w:val="22"/>
          <w:lang w:val="en-ZA"/>
        </w:rPr>
        <w:tab/>
      </w:r>
      <w:r w:rsidR="0048207E" w:rsidRPr="003C14AB">
        <w:rPr>
          <w:rFonts w:cs="Arial"/>
          <w:color w:val="080808"/>
          <w:sz w:val="22"/>
          <w:lang w:val="en-ZA"/>
        </w:rPr>
        <w:t>The Plaintiff seeks to hold the Defendant personally liable for the debts of Exdev</w:t>
      </w:r>
      <w:r w:rsidR="00D93F0E">
        <w:rPr>
          <w:rFonts w:cs="Arial"/>
          <w:color w:val="080808"/>
          <w:sz w:val="22"/>
          <w:lang w:val="en-ZA"/>
        </w:rPr>
        <w:t xml:space="preserve"> </w:t>
      </w:r>
      <w:r w:rsidR="0048207E" w:rsidRPr="003C14AB">
        <w:rPr>
          <w:rFonts w:cs="Arial"/>
          <w:color w:val="080808"/>
          <w:sz w:val="22"/>
          <w:lang w:val="en-ZA"/>
        </w:rPr>
        <w:t>(Pty) Ltd (“</w:t>
      </w:r>
      <w:r w:rsidR="0048207E" w:rsidRPr="003C14AB">
        <w:rPr>
          <w:rFonts w:cs="Arial"/>
          <w:b/>
          <w:bCs/>
          <w:color w:val="080808"/>
          <w:sz w:val="22"/>
          <w:lang w:val="en-ZA"/>
        </w:rPr>
        <w:t>Exdev</w:t>
      </w:r>
      <w:r w:rsidR="0048207E" w:rsidRPr="003C14AB">
        <w:rPr>
          <w:rFonts w:cs="Arial"/>
          <w:color w:val="080808"/>
          <w:sz w:val="22"/>
          <w:lang w:val="en-ZA"/>
        </w:rPr>
        <w:t>”) in terms of Section 424 of the Companies Act 61 of 1973.</w:t>
      </w:r>
    </w:p>
    <w:p w14:paraId="42126005" w14:textId="220AA984" w:rsidR="0048207E" w:rsidRPr="003C14AB" w:rsidRDefault="0048207E" w:rsidP="00D93F0E">
      <w:pPr>
        <w:autoSpaceDE w:val="0"/>
        <w:autoSpaceDN w:val="0"/>
        <w:adjustRightInd w:val="0"/>
        <w:spacing w:after="0"/>
        <w:ind w:left="0" w:firstLine="567"/>
        <w:jc w:val="left"/>
        <w:rPr>
          <w:rFonts w:cs="Arial"/>
          <w:color w:val="080808"/>
          <w:sz w:val="22"/>
          <w:lang w:val="en-ZA"/>
        </w:rPr>
      </w:pPr>
      <w:r w:rsidRPr="003C14AB">
        <w:rPr>
          <w:rFonts w:cs="Arial"/>
          <w:color w:val="080808"/>
          <w:sz w:val="22"/>
          <w:lang w:val="en-ZA"/>
        </w:rPr>
        <w:t xml:space="preserve">2. </w:t>
      </w:r>
      <w:r w:rsidR="00D93F0E">
        <w:rPr>
          <w:rFonts w:cs="Arial"/>
          <w:color w:val="080808"/>
          <w:sz w:val="22"/>
          <w:lang w:val="en-ZA"/>
        </w:rPr>
        <w:tab/>
      </w:r>
      <w:r w:rsidRPr="003C14AB">
        <w:rPr>
          <w:rFonts w:cs="Arial"/>
          <w:color w:val="080808"/>
          <w:sz w:val="22"/>
          <w:lang w:val="en-ZA"/>
        </w:rPr>
        <w:t>The Plaintiff pleads at paragraph 29 of the particulars of claim that “arising out</w:t>
      </w:r>
    </w:p>
    <w:p w14:paraId="045C3C3E" w14:textId="3EC36B97" w:rsidR="0048207E" w:rsidRPr="003C14AB" w:rsidRDefault="0048207E" w:rsidP="00D60C8F">
      <w:pPr>
        <w:autoSpaceDE w:val="0"/>
        <w:autoSpaceDN w:val="0"/>
        <w:adjustRightInd w:val="0"/>
        <w:spacing w:after="0"/>
        <w:ind w:left="1440"/>
        <w:jc w:val="left"/>
        <w:rPr>
          <w:rFonts w:cs="Arial"/>
          <w:color w:val="080808"/>
          <w:sz w:val="22"/>
          <w:lang w:val="en-ZA"/>
        </w:rPr>
      </w:pPr>
      <w:r w:rsidRPr="003C14AB">
        <w:rPr>
          <w:rFonts w:cs="Arial"/>
          <w:color w:val="080808"/>
          <w:sz w:val="22"/>
          <w:lang w:val="en-ZA"/>
        </w:rPr>
        <w:t>of the Defendant’s conduct” the Plaintiff “as shareholder and nominee of Zafra”</w:t>
      </w:r>
      <w:r w:rsidR="00D60C8F">
        <w:rPr>
          <w:rFonts w:cs="Arial"/>
          <w:color w:val="080808"/>
          <w:sz w:val="22"/>
          <w:lang w:val="en-ZA"/>
        </w:rPr>
        <w:t xml:space="preserve"> </w:t>
      </w:r>
      <w:r w:rsidRPr="003C14AB">
        <w:rPr>
          <w:rFonts w:cs="Arial"/>
          <w:color w:val="080808"/>
          <w:sz w:val="22"/>
          <w:lang w:val="en-ZA"/>
        </w:rPr>
        <w:t>has suffered damages in the sum of R5 894 000.00, being the cost of</w:t>
      </w:r>
    </w:p>
    <w:p w14:paraId="617FCCFF" w14:textId="77777777" w:rsidR="0048207E" w:rsidRPr="003C14AB" w:rsidRDefault="0048207E" w:rsidP="00D60C8F">
      <w:pPr>
        <w:autoSpaceDE w:val="0"/>
        <w:autoSpaceDN w:val="0"/>
        <w:adjustRightInd w:val="0"/>
        <w:spacing w:after="0"/>
        <w:ind w:left="720" w:firstLine="720"/>
        <w:jc w:val="left"/>
        <w:rPr>
          <w:rFonts w:cs="Arial"/>
          <w:color w:val="080808"/>
          <w:sz w:val="22"/>
          <w:lang w:val="en-ZA"/>
        </w:rPr>
      </w:pPr>
      <w:r w:rsidRPr="003C14AB">
        <w:rPr>
          <w:rFonts w:cs="Arial"/>
          <w:color w:val="080808"/>
          <w:sz w:val="22"/>
          <w:lang w:val="en-ZA"/>
        </w:rPr>
        <w:t>purchasing alternative premises to those owned by Zafra in a similar type and</w:t>
      </w:r>
    </w:p>
    <w:p w14:paraId="7EE82E7F" w14:textId="77777777" w:rsidR="0048207E" w:rsidRPr="003C14AB" w:rsidRDefault="0048207E" w:rsidP="00D60C8F">
      <w:pPr>
        <w:autoSpaceDE w:val="0"/>
        <w:autoSpaceDN w:val="0"/>
        <w:adjustRightInd w:val="0"/>
        <w:spacing w:after="0"/>
        <w:ind w:left="720" w:firstLine="720"/>
        <w:jc w:val="left"/>
        <w:rPr>
          <w:rFonts w:cs="Arial"/>
          <w:color w:val="080808"/>
          <w:sz w:val="22"/>
          <w:lang w:val="en-ZA"/>
        </w:rPr>
      </w:pPr>
      <w:r w:rsidRPr="003C14AB">
        <w:rPr>
          <w:rFonts w:cs="Arial"/>
          <w:color w:val="080808"/>
          <w:sz w:val="22"/>
          <w:lang w:val="en-ZA"/>
        </w:rPr>
        <w:t>positioned location in Sandown, alternatively Sandton.</w:t>
      </w:r>
    </w:p>
    <w:p w14:paraId="2C4CB280" w14:textId="7553944B" w:rsidR="0048207E" w:rsidRPr="003C14AB" w:rsidRDefault="0048207E" w:rsidP="00D60C8F">
      <w:pPr>
        <w:autoSpaceDE w:val="0"/>
        <w:autoSpaceDN w:val="0"/>
        <w:adjustRightInd w:val="0"/>
        <w:spacing w:after="0"/>
        <w:jc w:val="left"/>
        <w:rPr>
          <w:rFonts w:cs="Arial"/>
          <w:color w:val="080808"/>
          <w:sz w:val="22"/>
          <w:lang w:val="en-ZA"/>
        </w:rPr>
      </w:pPr>
      <w:r w:rsidRPr="003C14AB">
        <w:rPr>
          <w:rFonts w:cs="Arial"/>
          <w:color w:val="080808"/>
          <w:sz w:val="22"/>
          <w:lang w:val="en-ZA"/>
        </w:rPr>
        <w:t xml:space="preserve">3. </w:t>
      </w:r>
      <w:r w:rsidR="00204B71">
        <w:rPr>
          <w:rFonts w:cs="Arial"/>
          <w:color w:val="080808"/>
          <w:sz w:val="22"/>
          <w:lang w:val="en-ZA"/>
        </w:rPr>
        <w:tab/>
      </w:r>
      <w:r w:rsidRPr="003C14AB">
        <w:rPr>
          <w:rFonts w:cs="Arial"/>
          <w:color w:val="080808"/>
          <w:sz w:val="22"/>
          <w:lang w:val="en-ZA"/>
        </w:rPr>
        <w:t>To the extent that the damages arise out of Exdev’s breach of the “Zafra</w:t>
      </w:r>
    </w:p>
    <w:p w14:paraId="3CF22B91" w14:textId="592E27E4" w:rsidR="0048207E" w:rsidRPr="003C14AB" w:rsidRDefault="0048207E" w:rsidP="00D2733C">
      <w:pPr>
        <w:autoSpaceDE w:val="0"/>
        <w:autoSpaceDN w:val="0"/>
        <w:adjustRightInd w:val="0"/>
        <w:spacing w:after="0"/>
        <w:ind w:left="1440"/>
        <w:jc w:val="left"/>
        <w:rPr>
          <w:rFonts w:cs="Arial"/>
          <w:sz w:val="22"/>
        </w:rPr>
      </w:pPr>
      <w:r w:rsidRPr="003C14AB">
        <w:rPr>
          <w:rFonts w:cs="Arial"/>
          <w:color w:val="080808"/>
          <w:sz w:val="22"/>
          <w:lang w:val="en-ZA"/>
        </w:rPr>
        <w:t>Agreement” for which damages the Defendant is alleged to be personally liable</w:t>
      </w:r>
      <w:r w:rsidR="00204B71">
        <w:rPr>
          <w:rFonts w:cs="Arial"/>
          <w:color w:val="080808"/>
          <w:sz w:val="22"/>
          <w:lang w:val="en-ZA"/>
        </w:rPr>
        <w:t xml:space="preserve">- </w:t>
      </w:r>
      <w:r w:rsidRPr="003C14AB">
        <w:rPr>
          <w:rFonts w:cs="Arial"/>
          <w:color w:val="080808"/>
          <w:sz w:val="22"/>
          <w:lang w:val="en-ZA"/>
        </w:rPr>
        <w:t>or for a fraudulent misrepresentation made by the Defendant to Zafra, such</w:t>
      </w:r>
      <w:r w:rsidR="00D2733C">
        <w:rPr>
          <w:rFonts w:cs="Arial"/>
          <w:color w:val="080808"/>
          <w:sz w:val="22"/>
          <w:lang w:val="en-ZA"/>
        </w:rPr>
        <w:t xml:space="preserve"> </w:t>
      </w:r>
      <w:r w:rsidRPr="003C14AB">
        <w:rPr>
          <w:rFonts w:cs="Arial"/>
          <w:color w:val="080808"/>
          <w:sz w:val="22"/>
          <w:lang w:val="en-ZA"/>
        </w:rPr>
        <w:t>damages claim belongs to Zafra.</w:t>
      </w:r>
    </w:p>
    <w:p w14:paraId="436682D7" w14:textId="5ABD2B3F" w:rsidR="00440505" w:rsidRPr="00E20548" w:rsidRDefault="00440505" w:rsidP="00440505">
      <w:pPr>
        <w:pStyle w:val="JudgmentNumbered"/>
        <w:numPr>
          <w:ilvl w:val="0"/>
          <w:numId w:val="0"/>
        </w:numPr>
        <w:spacing w:after="0"/>
        <w:ind w:left="1437" w:hanging="870"/>
        <w:rPr>
          <w:sz w:val="22"/>
        </w:rPr>
      </w:pPr>
      <w:r w:rsidRPr="00E20548">
        <w:rPr>
          <w:sz w:val="22"/>
        </w:rPr>
        <w:t>4.</w:t>
      </w:r>
      <w:r w:rsidRPr="00E20548">
        <w:rPr>
          <w:sz w:val="22"/>
        </w:rPr>
        <w:tab/>
      </w:r>
      <w:r w:rsidR="00981F47" w:rsidRPr="00E20548">
        <w:rPr>
          <w:sz w:val="22"/>
        </w:rPr>
        <w:t>The Plaintiff, as the shareholder of Zafra, has no locus standi to claim damages from the Defendant by virtue of the legal principles set out in Foss v Harbottle.</w:t>
      </w:r>
    </w:p>
    <w:p w14:paraId="67C9AD33" w14:textId="4EB65B87" w:rsidR="00E8118C" w:rsidRPr="00E20548" w:rsidRDefault="00981F47" w:rsidP="00440505">
      <w:pPr>
        <w:pStyle w:val="JudgmentNumbered"/>
        <w:numPr>
          <w:ilvl w:val="0"/>
          <w:numId w:val="0"/>
        </w:numPr>
        <w:spacing w:after="0"/>
        <w:ind w:left="1437" w:hanging="870"/>
        <w:rPr>
          <w:sz w:val="22"/>
        </w:rPr>
      </w:pPr>
      <w:r w:rsidRPr="00E20548">
        <w:rPr>
          <w:sz w:val="22"/>
        </w:rPr>
        <w:t xml:space="preserve"> 5.</w:t>
      </w:r>
      <w:r w:rsidR="00440505" w:rsidRPr="00E20548">
        <w:rPr>
          <w:sz w:val="22"/>
        </w:rPr>
        <w:tab/>
      </w:r>
      <w:r w:rsidRPr="00E20548">
        <w:rPr>
          <w:sz w:val="22"/>
        </w:rPr>
        <w:t xml:space="preserve"> Zafra’s purported “nomination” of the Plaintiff as “the purchaser of one of the units in the proposed development”, as alleged in paragraph 9.2 is invalid in that, inter alia:-</w:t>
      </w:r>
      <w:r w:rsidR="002D6763" w:rsidRPr="00E20548">
        <w:rPr>
          <w:sz w:val="22"/>
        </w:rPr>
        <w:t xml:space="preserve">  </w:t>
      </w:r>
      <w:r w:rsidR="009E4170" w:rsidRPr="00E20548">
        <w:rPr>
          <w:sz w:val="22"/>
        </w:rPr>
        <w:t xml:space="preserve"> </w:t>
      </w:r>
      <w:r w:rsidR="006B7B19" w:rsidRPr="00E20548">
        <w:rPr>
          <w:sz w:val="22"/>
        </w:rPr>
        <w:t xml:space="preserve"> </w:t>
      </w:r>
      <w:r w:rsidR="00000CBF" w:rsidRPr="00E20548">
        <w:rPr>
          <w:sz w:val="22"/>
        </w:rPr>
        <w:t xml:space="preserve"> </w:t>
      </w:r>
      <w:r w:rsidR="004A4AA6" w:rsidRPr="00E20548">
        <w:rPr>
          <w:sz w:val="22"/>
        </w:rPr>
        <w:t xml:space="preserve"> </w:t>
      </w:r>
      <w:r w:rsidR="00CC26FB" w:rsidRPr="00E20548">
        <w:rPr>
          <w:sz w:val="22"/>
        </w:rPr>
        <w:t>“</w:t>
      </w:r>
    </w:p>
    <w:p w14:paraId="6988F180" w14:textId="77777777" w:rsidR="00440505" w:rsidRPr="00E20548" w:rsidRDefault="00CC26FB" w:rsidP="00440505">
      <w:pPr>
        <w:pStyle w:val="JudgmentNumbered"/>
        <w:numPr>
          <w:ilvl w:val="0"/>
          <w:numId w:val="0"/>
        </w:numPr>
        <w:spacing w:after="0"/>
        <w:ind w:left="1437"/>
        <w:rPr>
          <w:sz w:val="22"/>
        </w:rPr>
      </w:pPr>
      <w:r w:rsidRPr="00E20548">
        <w:rPr>
          <w:sz w:val="22"/>
        </w:rPr>
        <w:t xml:space="preserve">5.1. It fails to comply with the provisions of the Alienation of Land Act 68 of 1981; and </w:t>
      </w:r>
    </w:p>
    <w:p w14:paraId="498F777F" w14:textId="77777777" w:rsidR="00E20548" w:rsidRPr="00E20548" w:rsidRDefault="00CC26FB" w:rsidP="00440505">
      <w:pPr>
        <w:pStyle w:val="JudgmentNumbered"/>
        <w:numPr>
          <w:ilvl w:val="0"/>
          <w:numId w:val="0"/>
        </w:numPr>
        <w:spacing w:after="0"/>
        <w:ind w:left="1437"/>
        <w:rPr>
          <w:sz w:val="22"/>
        </w:rPr>
      </w:pPr>
      <w:r w:rsidRPr="00E20548">
        <w:rPr>
          <w:sz w:val="22"/>
        </w:rPr>
        <w:t xml:space="preserve">5.2. In any event, such “nomination” occurred after the Zafra Agreement had lapsed. </w:t>
      </w:r>
    </w:p>
    <w:p w14:paraId="2B19299B" w14:textId="77777777" w:rsidR="00E20548" w:rsidRPr="00E20548" w:rsidRDefault="00CC26FB" w:rsidP="00E20548">
      <w:pPr>
        <w:pStyle w:val="JudgmentNumbered"/>
        <w:numPr>
          <w:ilvl w:val="0"/>
          <w:numId w:val="0"/>
        </w:numPr>
        <w:spacing w:after="0"/>
        <w:ind w:left="1437" w:hanging="870"/>
        <w:rPr>
          <w:sz w:val="22"/>
        </w:rPr>
      </w:pPr>
      <w:r w:rsidRPr="00E20548">
        <w:rPr>
          <w:sz w:val="22"/>
        </w:rPr>
        <w:t xml:space="preserve">6. </w:t>
      </w:r>
      <w:r w:rsidR="00E20548" w:rsidRPr="00E20548">
        <w:rPr>
          <w:sz w:val="22"/>
        </w:rPr>
        <w:tab/>
      </w:r>
      <w:r w:rsidRPr="00E20548">
        <w:rPr>
          <w:sz w:val="22"/>
        </w:rPr>
        <w:t xml:space="preserve">The Plaintiff was accordingly not “nominated” by Zafra under and in terms of the Zafra Agreement, and has no locus standi to claim damages from the Defendant. </w:t>
      </w:r>
    </w:p>
    <w:p w14:paraId="19FAC8ED" w14:textId="59411C5E" w:rsidR="00E20548" w:rsidRDefault="00CC26FB" w:rsidP="00E20548">
      <w:pPr>
        <w:pStyle w:val="JudgmentNumbered"/>
        <w:numPr>
          <w:ilvl w:val="0"/>
          <w:numId w:val="0"/>
        </w:numPr>
        <w:spacing w:after="0"/>
        <w:ind w:left="1437" w:hanging="870"/>
        <w:rPr>
          <w:sz w:val="22"/>
        </w:rPr>
      </w:pPr>
      <w:r w:rsidRPr="00E20548">
        <w:rPr>
          <w:sz w:val="22"/>
        </w:rPr>
        <w:t xml:space="preserve">7. </w:t>
      </w:r>
      <w:r w:rsidR="00E20548" w:rsidRPr="00E20548">
        <w:rPr>
          <w:sz w:val="22"/>
        </w:rPr>
        <w:tab/>
      </w:r>
      <w:r w:rsidRPr="00E20548">
        <w:rPr>
          <w:sz w:val="22"/>
        </w:rPr>
        <w:t>Accordingly, the Plaintiff has no claim against the Defendant, whether in its capacity as shareholder or alleged “nominee” of Zafra.</w:t>
      </w:r>
      <w:r w:rsidR="00E20548" w:rsidRPr="00E20548">
        <w:rPr>
          <w:sz w:val="22"/>
        </w:rPr>
        <w:t>”</w:t>
      </w:r>
    </w:p>
    <w:p w14:paraId="01E35350" w14:textId="77777777" w:rsidR="004A4A4B" w:rsidRDefault="004A4A4B" w:rsidP="00E20548">
      <w:pPr>
        <w:pStyle w:val="JudgmentNumbered"/>
        <w:numPr>
          <w:ilvl w:val="0"/>
          <w:numId w:val="0"/>
        </w:numPr>
        <w:spacing w:after="0"/>
        <w:ind w:left="567" w:hanging="567"/>
        <w:rPr>
          <w:szCs w:val="24"/>
        </w:rPr>
      </w:pPr>
    </w:p>
    <w:p w14:paraId="4B8033A1" w14:textId="15F68CBC" w:rsidR="00F97592" w:rsidRDefault="00265941" w:rsidP="00E20548">
      <w:pPr>
        <w:pStyle w:val="JudgmentNumbered"/>
        <w:numPr>
          <w:ilvl w:val="0"/>
          <w:numId w:val="0"/>
        </w:numPr>
        <w:spacing w:after="0"/>
        <w:ind w:left="567" w:hanging="567"/>
        <w:rPr>
          <w:szCs w:val="24"/>
        </w:rPr>
      </w:pPr>
      <w:r>
        <w:rPr>
          <w:szCs w:val="24"/>
        </w:rPr>
        <w:lastRenderedPageBreak/>
        <w:t>[10]</w:t>
      </w:r>
      <w:r>
        <w:rPr>
          <w:szCs w:val="24"/>
        </w:rPr>
        <w:tab/>
        <w:t xml:space="preserve">The applicant </w:t>
      </w:r>
      <w:r w:rsidR="00AD54DE">
        <w:rPr>
          <w:szCs w:val="24"/>
        </w:rPr>
        <w:t>requests that the issue</w:t>
      </w:r>
      <w:r w:rsidR="000974D0">
        <w:rPr>
          <w:szCs w:val="24"/>
        </w:rPr>
        <w:t xml:space="preserve"> of locus standi be determined separately </w:t>
      </w:r>
      <w:r w:rsidR="00AB7ADB">
        <w:rPr>
          <w:szCs w:val="24"/>
        </w:rPr>
        <w:t>from the main action</w:t>
      </w:r>
      <w:r w:rsidR="00AD54DE">
        <w:rPr>
          <w:szCs w:val="24"/>
        </w:rPr>
        <w:t xml:space="preserve"> in terms of rule 33(4) of the </w:t>
      </w:r>
      <w:r w:rsidR="00D0050A">
        <w:rPr>
          <w:szCs w:val="24"/>
        </w:rPr>
        <w:t>U</w:t>
      </w:r>
      <w:r w:rsidR="00A25087">
        <w:rPr>
          <w:szCs w:val="24"/>
        </w:rPr>
        <w:t>niform rules of court</w:t>
      </w:r>
      <w:r w:rsidR="00354044">
        <w:rPr>
          <w:szCs w:val="24"/>
        </w:rPr>
        <w:t xml:space="preserve"> and that the remainder of the issues be stayed until the issues </w:t>
      </w:r>
      <w:r w:rsidR="00204CF1">
        <w:rPr>
          <w:szCs w:val="24"/>
        </w:rPr>
        <w:t xml:space="preserve">defined in the order for separation </w:t>
      </w:r>
      <w:r w:rsidR="00354044">
        <w:rPr>
          <w:szCs w:val="24"/>
        </w:rPr>
        <w:t>are dealt with.</w:t>
      </w:r>
    </w:p>
    <w:p w14:paraId="42FF54A4" w14:textId="77777777" w:rsidR="005D298F" w:rsidRDefault="005D298F" w:rsidP="00E20548">
      <w:pPr>
        <w:pStyle w:val="JudgmentNumbered"/>
        <w:numPr>
          <w:ilvl w:val="0"/>
          <w:numId w:val="0"/>
        </w:numPr>
        <w:spacing w:after="0"/>
        <w:ind w:left="567" w:hanging="567"/>
        <w:rPr>
          <w:szCs w:val="24"/>
        </w:rPr>
      </w:pPr>
    </w:p>
    <w:p w14:paraId="2D4EF1B6" w14:textId="579C8B0A" w:rsidR="00F97592" w:rsidRDefault="00F97592" w:rsidP="00E20548">
      <w:pPr>
        <w:pStyle w:val="JudgmentNumbered"/>
        <w:numPr>
          <w:ilvl w:val="0"/>
          <w:numId w:val="0"/>
        </w:numPr>
        <w:spacing w:after="0"/>
        <w:ind w:left="567" w:hanging="567"/>
        <w:rPr>
          <w:szCs w:val="24"/>
        </w:rPr>
      </w:pPr>
      <w:r>
        <w:rPr>
          <w:szCs w:val="24"/>
        </w:rPr>
        <w:t>[11]</w:t>
      </w:r>
      <w:r>
        <w:rPr>
          <w:szCs w:val="24"/>
        </w:rPr>
        <w:tab/>
        <w:t xml:space="preserve">The rule provides that </w:t>
      </w:r>
      <w:r w:rsidR="001271E0">
        <w:rPr>
          <w:szCs w:val="24"/>
        </w:rPr>
        <w:t>:</w:t>
      </w:r>
    </w:p>
    <w:p w14:paraId="22B74442" w14:textId="60543A4F" w:rsidR="001271E0" w:rsidRDefault="001271E0" w:rsidP="005B2EEE">
      <w:pPr>
        <w:pStyle w:val="JudgmentNumbered"/>
        <w:numPr>
          <w:ilvl w:val="0"/>
          <w:numId w:val="0"/>
        </w:numPr>
        <w:spacing w:after="0"/>
        <w:ind w:left="2160" w:hanging="720"/>
        <w:rPr>
          <w:szCs w:val="24"/>
        </w:rPr>
      </w:pPr>
      <w:r>
        <w:rPr>
          <w:szCs w:val="24"/>
        </w:rPr>
        <w:t>“</w:t>
      </w:r>
      <w:r w:rsidR="005B2EEE">
        <w:rPr>
          <w:szCs w:val="24"/>
        </w:rPr>
        <w:t>33(4)</w:t>
      </w:r>
      <w:r w:rsidR="005B2EEE">
        <w:rPr>
          <w:szCs w:val="24"/>
        </w:rPr>
        <w:tab/>
      </w:r>
      <w:r>
        <w:rPr>
          <w:szCs w:val="24"/>
        </w:rPr>
        <w:t>If</w:t>
      </w:r>
      <w:r w:rsidR="004F1548">
        <w:rPr>
          <w:szCs w:val="24"/>
        </w:rPr>
        <w:t>,</w:t>
      </w:r>
      <w:r>
        <w:rPr>
          <w:szCs w:val="24"/>
        </w:rPr>
        <w:t xml:space="preserve"> in any pending action,</w:t>
      </w:r>
      <w:r w:rsidR="007610A6">
        <w:rPr>
          <w:szCs w:val="24"/>
        </w:rPr>
        <w:t xml:space="preserve"> </w:t>
      </w:r>
      <w:r w:rsidR="004F1548">
        <w:rPr>
          <w:szCs w:val="24"/>
        </w:rPr>
        <w:t>it appears to the court mero moto that there is a question of law or fact</w:t>
      </w:r>
      <w:r w:rsidR="007610A6">
        <w:rPr>
          <w:szCs w:val="24"/>
        </w:rPr>
        <w:t xml:space="preserve"> which may conveniently be  decided before any </w:t>
      </w:r>
      <w:r w:rsidR="0007444A">
        <w:rPr>
          <w:szCs w:val="24"/>
        </w:rPr>
        <w:t>evidence is led or separately from any other question</w:t>
      </w:r>
      <w:r w:rsidR="00C77EEF">
        <w:rPr>
          <w:szCs w:val="24"/>
        </w:rPr>
        <w:t>, the court may make an order directing the disposal</w:t>
      </w:r>
      <w:r w:rsidR="00DC1550">
        <w:rPr>
          <w:szCs w:val="24"/>
        </w:rPr>
        <w:t xml:space="preserve"> of such question in such manner</w:t>
      </w:r>
      <w:r>
        <w:rPr>
          <w:szCs w:val="24"/>
        </w:rPr>
        <w:t xml:space="preserve"> </w:t>
      </w:r>
      <w:r w:rsidR="00DC1550">
        <w:rPr>
          <w:szCs w:val="24"/>
        </w:rPr>
        <w:t>as it may deem fit</w:t>
      </w:r>
      <w:r w:rsidR="00534ADA">
        <w:rPr>
          <w:szCs w:val="24"/>
        </w:rPr>
        <w:t xml:space="preserve"> and may order that all further proceedings be stayed until such question </w:t>
      </w:r>
      <w:r w:rsidR="00646504">
        <w:rPr>
          <w:szCs w:val="24"/>
        </w:rPr>
        <w:t xml:space="preserve"> has been disposed of, and the court shall</w:t>
      </w:r>
      <w:r w:rsidR="003331F2">
        <w:rPr>
          <w:szCs w:val="24"/>
        </w:rPr>
        <w:t xml:space="preserve"> have on the application of any party </w:t>
      </w:r>
      <w:r w:rsidR="00D80F4C">
        <w:rPr>
          <w:szCs w:val="24"/>
        </w:rPr>
        <w:t xml:space="preserve">make such order unless it appears </w:t>
      </w:r>
      <w:r w:rsidR="00612085">
        <w:rPr>
          <w:szCs w:val="24"/>
        </w:rPr>
        <w:t>that the questions cannot conveniently be decided separately.”</w:t>
      </w:r>
    </w:p>
    <w:p w14:paraId="7DDC235F" w14:textId="77777777" w:rsidR="00681A92" w:rsidRDefault="00681A92" w:rsidP="00E20548">
      <w:pPr>
        <w:pStyle w:val="JudgmentNumbered"/>
        <w:numPr>
          <w:ilvl w:val="0"/>
          <w:numId w:val="0"/>
        </w:numPr>
        <w:spacing w:after="0"/>
        <w:ind w:left="567" w:hanging="567"/>
        <w:rPr>
          <w:szCs w:val="24"/>
        </w:rPr>
      </w:pPr>
    </w:p>
    <w:p w14:paraId="745D8CC4" w14:textId="1CDC7C8E" w:rsidR="00B00965" w:rsidRDefault="00681A92" w:rsidP="00E20548">
      <w:pPr>
        <w:pStyle w:val="JudgmentNumbered"/>
        <w:numPr>
          <w:ilvl w:val="0"/>
          <w:numId w:val="0"/>
        </w:numPr>
        <w:spacing w:after="0"/>
        <w:ind w:left="567" w:hanging="567"/>
        <w:rPr>
          <w:szCs w:val="24"/>
        </w:rPr>
      </w:pPr>
      <w:r>
        <w:rPr>
          <w:szCs w:val="24"/>
        </w:rPr>
        <w:t>[12]</w:t>
      </w:r>
      <w:r>
        <w:rPr>
          <w:szCs w:val="24"/>
        </w:rPr>
        <w:tab/>
        <w:t xml:space="preserve">Counsel for the applicant argued that a separation </w:t>
      </w:r>
      <w:r w:rsidR="00C142DE">
        <w:rPr>
          <w:szCs w:val="24"/>
        </w:rPr>
        <w:t>sh</w:t>
      </w:r>
      <w:r w:rsidR="00593D5C">
        <w:rPr>
          <w:szCs w:val="24"/>
        </w:rPr>
        <w:t xml:space="preserve">ould be granted unless </w:t>
      </w:r>
      <w:r w:rsidR="001A48DE">
        <w:rPr>
          <w:szCs w:val="24"/>
        </w:rPr>
        <w:t>it appeared that issues could not be determined separately.</w:t>
      </w:r>
      <w:r w:rsidR="00C81DCA">
        <w:rPr>
          <w:szCs w:val="24"/>
        </w:rPr>
        <w:t xml:space="preserve"> It was for the applicant to delineate the issues to be determined separately</w:t>
      </w:r>
      <w:r w:rsidR="000C40EA">
        <w:rPr>
          <w:szCs w:val="24"/>
        </w:rPr>
        <w:t xml:space="preserve"> and this would not be possible where the issues were inextricably linked with the main issues.</w:t>
      </w:r>
      <w:r w:rsidR="0078320F">
        <w:rPr>
          <w:szCs w:val="24"/>
        </w:rPr>
        <w:t xml:space="preserve"> </w:t>
      </w:r>
      <w:r w:rsidR="00EF4EED">
        <w:rPr>
          <w:szCs w:val="24"/>
        </w:rPr>
        <w:t xml:space="preserve">The submission was that the issue of </w:t>
      </w:r>
      <w:r w:rsidR="00EF4EED" w:rsidRPr="00C142DE">
        <w:rPr>
          <w:i/>
          <w:iCs/>
          <w:szCs w:val="24"/>
        </w:rPr>
        <w:t>locus standi</w:t>
      </w:r>
      <w:r w:rsidR="00EF4EED">
        <w:rPr>
          <w:szCs w:val="24"/>
        </w:rPr>
        <w:t xml:space="preserve"> was </w:t>
      </w:r>
      <w:r w:rsidR="006A3D53">
        <w:rPr>
          <w:szCs w:val="24"/>
        </w:rPr>
        <w:t xml:space="preserve">sufficiently </w:t>
      </w:r>
      <w:r w:rsidR="00EF4EED">
        <w:rPr>
          <w:szCs w:val="24"/>
        </w:rPr>
        <w:t xml:space="preserve">discrete and separate </w:t>
      </w:r>
      <w:r w:rsidR="006A3D53">
        <w:rPr>
          <w:szCs w:val="24"/>
        </w:rPr>
        <w:t xml:space="preserve">to enable it to be determined apart from the </w:t>
      </w:r>
      <w:r w:rsidR="00B97D5A">
        <w:rPr>
          <w:szCs w:val="24"/>
        </w:rPr>
        <w:t xml:space="preserve">issues to be determined </w:t>
      </w:r>
      <w:r w:rsidR="006F6525">
        <w:rPr>
          <w:szCs w:val="24"/>
        </w:rPr>
        <w:t xml:space="preserve">in the main action </w:t>
      </w:r>
      <w:r w:rsidR="00B97D5A">
        <w:rPr>
          <w:szCs w:val="24"/>
        </w:rPr>
        <w:t>at trial. Counsel</w:t>
      </w:r>
      <w:r w:rsidR="00191FEB">
        <w:rPr>
          <w:szCs w:val="24"/>
        </w:rPr>
        <w:t xml:space="preserve"> f</w:t>
      </w:r>
      <w:r w:rsidR="00B97D5A">
        <w:rPr>
          <w:szCs w:val="24"/>
        </w:rPr>
        <w:t xml:space="preserve">or the applicant submitted that </w:t>
      </w:r>
      <w:r w:rsidR="00CC11D6">
        <w:rPr>
          <w:szCs w:val="24"/>
        </w:rPr>
        <w:t>hypothetically</w:t>
      </w:r>
      <w:r w:rsidR="00191FEB">
        <w:rPr>
          <w:szCs w:val="24"/>
        </w:rPr>
        <w:t>,</w:t>
      </w:r>
      <w:r w:rsidR="00CC11D6">
        <w:rPr>
          <w:szCs w:val="24"/>
        </w:rPr>
        <w:t xml:space="preserve"> </w:t>
      </w:r>
      <w:r w:rsidR="00B97D5A">
        <w:rPr>
          <w:szCs w:val="24"/>
        </w:rPr>
        <w:t>even if the respondent</w:t>
      </w:r>
      <w:r w:rsidR="00CC11D6">
        <w:rPr>
          <w:szCs w:val="24"/>
        </w:rPr>
        <w:t>’</w:t>
      </w:r>
      <w:r w:rsidR="00B97D5A">
        <w:rPr>
          <w:szCs w:val="24"/>
        </w:rPr>
        <w:t xml:space="preserve">s version </w:t>
      </w:r>
      <w:r w:rsidR="00191FEB">
        <w:rPr>
          <w:szCs w:val="24"/>
        </w:rPr>
        <w:t>was</w:t>
      </w:r>
      <w:r w:rsidR="00B97D5A">
        <w:rPr>
          <w:szCs w:val="24"/>
        </w:rPr>
        <w:t xml:space="preserve"> </w:t>
      </w:r>
      <w:r w:rsidR="00CC11D6">
        <w:rPr>
          <w:szCs w:val="24"/>
        </w:rPr>
        <w:t xml:space="preserve">considered </w:t>
      </w:r>
      <w:r w:rsidR="00DC2AA1">
        <w:rPr>
          <w:szCs w:val="24"/>
        </w:rPr>
        <w:t xml:space="preserve">based </w:t>
      </w:r>
      <w:r w:rsidR="00B97D5A">
        <w:rPr>
          <w:szCs w:val="24"/>
        </w:rPr>
        <w:t xml:space="preserve">on the </w:t>
      </w:r>
      <w:r w:rsidR="00CC11D6">
        <w:rPr>
          <w:szCs w:val="24"/>
        </w:rPr>
        <w:t xml:space="preserve">misrepresentation </w:t>
      </w:r>
      <w:r w:rsidR="00DC2AA1">
        <w:rPr>
          <w:szCs w:val="24"/>
        </w:rPr>
        <w:t xml:space="preserve">which purported to cause the loss in delict, the issue </w:t>
      </w:r>
      <w:r w:rsidR="00191FEB">
        <w:rPr>
          <w:szCs w:val="24"/>
        </w:rPr>
        <w:t>that</w:t>
      </w:r>
      <w:r w:rsidR="00DC2AA1">
        <w:rPr>
          <w:szCs w:val="24"/>
        </w:rPr>
        <w:t xml:space="preserve"> the respondent was required to prove was that it had </w:t>
      </w:r>
      <w:r w:rsidR="00DC2AA1" w:rsidRPr="00F36D11">
        <w:rPr>
          <w:i/>
          <w:iCs/>
          <w:szCs w:val="24"/>
        </w:rPr>
        <w:t>locus standi</w:t>
      </w:r>
      <w:r w:rsidR="00DC2AA1">
        <w:rPr>
          <w:szCs w:val="24"/>
        </w:rPr>
        <w:t xml:space="preserve">. </w:t>
      </w:r>
      <w:r w:rsidR="009C46FA">
        <w:rPr>
          <w:szCs w:val="24"/>
        </w:rPr>
        <w:t xml:space="preserve">On the discrete issue </w:t>
      </w:r>
      <w:r w:rsidR="00482073">
        <w:rPr>
          <w:szCs w:val="24"/>
        </w:rPr>
        <w:t xml:space="preserve">of </w:t>
      </w:r>
      <w:r w:rsidR="00482073" w:rsidRPr="00F36D11">
        <w:rPr>
          <w:i/>
          <w:iCs/>
          <w:szCs w:val="24"/>
        </w:rPr>
        <w:t>locus standi</w:t>
      </w:r>
      <w:r w:rsidR="00482073">
        <w:rPr>
          <w:szCs w:val="24"/>
        </w:rPr>
        <w:t>, the respondent had to show it could sue the applicant in delict for a wrong</w:t>
      </w:r>
      <w:r w:rsidR="008A1290">
        <w:rPr>
          <w:szCs w:val="24"/>
        </w:rPr>
        <w:t xml:space="preserve"> </w:t>
      </w:r>
      <w:r w:rsidR="004B0BD7">
        <w:rPr>
          <w:szCs w:val="24"/>
        </w:rPr>
        <w:t>the applicant had committed to the company in which the respondent was</w:t>
      </w:r>
      <w:r w:rsidR="005F3480">
        <w:rPr>
          <w:szCs w:val="24"/>
        </w:rPr>
        <w:t xml:space="preserve"> a shareholder</w:t>
      </w:r>
      <w:r w:rsidR="00BE0C59">
        <w:rPr>
          <w:szCs w:val="24"/>
        </w:rPr>
        <w:t xml:space="preserve">. </w:t>
      </w:r>
      <w:r w:rsidR="00B00965">
        <w:rPr>
          <w:szCs w:val="24"/>
        </w:rPr>
        <w:t xml:space="preserve">Counsel submitted that the decision in </w:t>
      </w:r>
      <w:r w:rsidR="0029238D" w:rsidRPr="003735DA">
        <w:rPr>
          <w:i/>
          <w:iCs/>
          <w:szCs w:val="24"/>
        </w:rPr>
        <w:t xml:space="preserve">Hlumisa Investment Holdings RT </w:t>
      </w:r>
      <w:r w:rsidR="00554ACC" w:rsidRPr="003735DA">
        <w:rPr>
          <w:i/>
          <w:iCs/>
          <w:szCs w:val="24"/>
        </w:rPr>
        <w:t>Ltd v Kirkinis and Others</w:t>
      </w:r>
      <w:r w:rsidR="00C2185E">
        <w:rPr>
          <w:rStyle w:val="FootnoteReference"/>
          <w:szCs w:val="24"/>
        </w:rPr>
        <w:footnoteReference w:id="1"/>
      </w:r>
      <w:r w:rsidR="00554ACC">
        <w:rPr>
          <w:szCs w:val="24"/>
        </w:rPr>
        <w:t xml:space="preserve"> </w:t>
      </w:r>
      <w:r w:rsidR="00B00965">
        <w:rPr>
          <w:szCs w:val="24"/>
        </w:rPr>
        <w:t>was instructive in the matter at paragraph 21</w:t>
      </w:r>
      <w:r w:rsidR="004B0BD7">
        <w:rPr>
          <w:szCs w:val="24"/>
        </w:rPr>
        <w:t>,</w:t>
      </w:r>
      <w:r w:rsidR="00C92B68">
        <w:rPr>
          <w:szCs w:val="24"/>
        </w:rPr>
        <w:t xml:space="preserve"> where the Court said</w:t>
      </w:r>
      <w:r w:rsidR="00B00965">
        <w:rPr>
          <w:szCs w:val="24"/>
        </w:rPr>
        <w:t>:</w:t>
      </w:r>
    </w:p>
    <w:p w14:paraId="424DF6C7" w14:textId="51C73330" w:rsidR="00C92B68" w:rsidRPr="00C92B68" w:rsidRDefault="00C92B68" w:rsidP="00C92B68">
      <w:pPr>
        <w:pStyle w:val="JudgmentNumbered"/>
        <w:numPr>
          <w:ilvl w:val="0"/>
          <w:numId w:val="0"/>
        </w:numPr>
        <w:spacing w:after="0"/>
        <w:ind w:left="1440"/>
        <w:rPr>
          <w:sz w:val="22"/>
        </w:rPr>
      </w:pPr>
      <w:r w:rsidRPr="00C92B68">
        <w:rPr>
          <w:sz w:val="22"/>
        </w:rPr>
        <w:lastRenderedPageBreak/>
        <w:t>“[21] In considering whether the essential conclusions of the court below are correct it is necessary, at the outset, to deal with the contention by the appellants, near the commencement of their heads of argument, that the directors' reliance on the legally recognised bar against a reflective loss claim is nowhere to be found in their exceptions and, consequently, the court below erred in having regard to submissions in that regard. This was all the more so, it was contended, if regard is had to rule 23(3) of the Uniform Rules of Court, which provides that the grounds upon which an exception is founded 'shall be clearly and concisely stated'. That contention can be disposed of briefly. The rule against claims for reflective loss will be examined in some detail later in this judgment. For present purposes it suffices to state its essentials: Where a wrong is done to a company, only the company may sue for damage caused to it. This does not mean that the shareholders of a company do not consequently suffer any loss, for any negative impact the wrongdoing may have on the company is likely also to affect its net asset value and thus the value of its shares. The shareholders, however, do not have a direct cause of action against the wrongdoer. The company alone has a right of action. In their exceptions, the directors contended that ABIL and/or African Bank ought to have brought an action, if one was sustainable, and not the appellants as shareholders in ABIL. The exceptions accordingly encompassed the no-loss principle. There is thus no merit in this point.</w:t>
      </w:r>
    </w:p>
    <w:p w14:paraId="317A09F6" w14:textId="77777777" w:rsidR="00307B71" w:rsidRDefault="00307B71" w:rsidP="00E20548">
      <w:pPr>
        <w:pStyle w:val="JudgmentNumbered"/>
        <w:numPr>
          <w:ilvl w:val="0"/>
          <w:numId w:val="0"/>
        </w:numPr>
        <w:spacing w:after="0"/>
        <w:ind w:left="567" w:hanging="567"/>
        <w:rPr>
          <w:szCs w:val="24"/>
        </w:rPr>
      </w:pPr>
    </w:p>
    <w:p w14:paraId="0556247D" w14:textId="6A441983" w:rsidR="00681A92" w:rsidRDefault="00307B71" w:rsidP="00E20548">
      <w:pPr>
        <w:pStyle w:val="JudgmentNumbered"/>
        <w:numPr>
          <w:ilvl w:val="0"/>
          <w:numId w:val="0"/>
        </w:numPr>
        <w:spacing w:after="0"/>
        <w:ind w:left="567" w:hanging="567"/>
        <w:rPr>
          <w:szCs w:val="24"/>
        </w:rPr>
      </w:pPr>
      <w:r>
        <w:rPr>
          <w:szCs w:val="24"/>
        </w:rPr>
        <w:t>[13]</w:t>
      </w:r>
      <w:r>
        <w:rPr>
          <w:szCs w:val="24"/>
        </w:rPr>
        <w:tab/>
      </w:r>
      <w:r w:rsidR="00AE7AE6">
        <w:rPr>
          <w:szCs w:val="24"/>
        </w:rPr>
        <w:t>Counsel continued that t</w:t>
      </w:r>
      <w:r w:rsidR="009E5050">
        <w:rPr>
          <w:szCs w:val="24"/>
        </w:rPr>
        <w:t xml:space="preserve">he evidence relating to the main action was comprehensive and would entail expert evidence relating to the replacement of properties among the issues, with intense cross-examination about the </w:t>
      </w:r>
      <w:r w:rsidR="00647CBF">
        <w:rPr>
          <w:szCs w:val="24"/>
        </w:rPr>
        <w:t>intentions of the parties and misrepresentations</w:t>
      </w:r>
      <w:r w:rsidR="009B471B">
        <w:rPr>
          <w:szCs w:val="24"/>
        </w:rPr>
        <w:t>.</w:t>
      </w:r>
      <w:r w:rsidR="000C2653">
        <w:rPr>
          <w:szCs w:val="24"/>
        </w:rPr>
        <w:t xml:space="preserve"> </w:t>
      </w:r>
      <w:r w:rsidR="009B471B">
        <w:rPr>
          <w:szCs w:val="24"/>
        </w:rPr>
        <w:t>T</w:t>
      </w:r>
      <w:r w:rsidR="000C2653">
        <w:rPr>
          <w:szCs w:val="24"/>
        </w:rPr>
        <w:t xml:space="preserve">he issue relating to </w:t>
      </w:r>
      <w:r w:rsidR="000C2653" w:rsidRPr="009B3F4A">
        <w:rPr>
          <w:i/>
          <w:iCs/>
          <w:szCs w:val="24"/>
        </w:rPr>
        <w:t>locus standi</w:t>
      </w:r>
      <w:r w:rsidR="000C2653">
        <w:rPr>
          <w:szCs w:val="24"/>
        </w:rPr>
        <w:t xml:space="preserve"> </w:t>
      </w:r>
      <w:r w:rsidR="00701730">
        <w:rPr>
          <w:szCs w:val="24"/>
        </w:rPr>
        <w:t xml:space="preserve">could be determined with documentary evidence </w:t>
      </w:r>
      <w:r w:rsidR="00191FEB">
        <w:rPr>
          <w:szCs w:val="24"/>
        </w:rPr>
        <w:t>and little oral testimony.</w:t>
      </w:r>
      <w:r w:rsidR="00DC110A">
        <w:rPr>
          <w:szCs w:val="24"/>
        </w:rPr>
        <w:t xml:space="preserve"> </w:t>
      </w:r>
      <w:r w:rsidR="00245EE5">
        <w:rPr>
          <w:szCs w:val="24"/>
        </w:rPr>
        <w:t xml:space="preserve">The applicant’s contention was </w:t>
      </w:r>
      <w:r w:rsidR="00DC110A">
        <w:rPr>
          <w:szCs w:val="24"/>
        </w:rPr>
        <w:t xml:space="preserve">that Zafra had </w:t>
      </w:r>
      <w:r w:rsidR="00DC110A" w:rsidRPr="009B3F4A">
        <w:rPr>
          <w:i/>
          <w:iCs/>
          <w:szCs w:val="24"/>
        </w:rPr>
        <w:t>locus standi</w:t>
      </w:r>
      <w:r w:rsidR="00696896">
        <w:rPr>
          <w:szCs w:val="24"/>
        </w:rPr>
        <w:t xml:space="preserve"> and not the respondent.</w:t>
      </w:r>
      <w:r w:rsidR="00191FEB">
        <w:rPr>
          <w:szCs w:val="24"/>
        </w:rPr>
        <w:t xml:space="preserve"> </w:t>
      </w:r>
      <w:r w:rsidR="00C33F0C">
        <w:rPr>
          <w:szCs w:val="24"/>
        </w:rPr>
        <w:t xml:space="preserve">This was not required to be determined in this application. But demonstrated the </w:t>
      </w:r>
      <w:r w:rsidR="006444A0">
        <w:rPr>
          <w:szCs w:val="24"/>
        </w:rPr>
        <w:t>discreteness of the application.</w:t>
      </w:r>
      <w:r w:rsidR="00E50244">
        <w:rPr>
          <w:szCs w:val="24"/>
        </w:rPr>
        <w:t xml:space="preserve"> </w:t>
      </w:r>
      <w:r w:rsidR="0055728B">
        <w:rPr>
          <w:szCs w:val="24"/>
        </w:rPr>
        <w:t xml:space="preserve"> </w:t>
      </w:r>
      <w:r w:rsidR="00DC2AA1">
        <w:rPr>
          <w:szCs w:val="24"/>
        </w:rPr>
        <w:t>Th</w:t>
      </w:r>
      <w:r w:rsidR="00787C85">
        <w:rPr>
          <w:szCs w:val="24"/>
        </w:rPr>
        <w:t xml:space="preserve">us </w:t>
      </w:r>
      <w:r w:rsidR="00DC2AA1">
        <w:rPr>
          <w:szCs w:val="24"/>
        </w:rPr>
        <w:t>i</w:t>
      </w:r>
      <w:r w:rsidR="00245EE5">
        <w:rPr>
          <w:szCs w:val="24"/>
        </w:rPr>
        <w:t>t</w:t>
      </w:r>
      <w:r w:rsidR="00DC2AA1">
        <w:rPr>
          <w:szCs w:val="24"/>
        </w:rPr>
        <w:t xml:space="preserve"> </w:t>
      </w:r>
      <w:r w:rsidR="004B0BD7">
        <w:rPr>
          <w:szCs w:val="24"/>
        </w:rPr>
        <w:t xml:space="preserve">was appropriate to </w:t>
      </w:r>
      <w:r w:rsidR="0096409A">
        <w:rPr>
          <w:szCs w:val="24"/>
        </w:rPr>
        <w:t xml:space="preserve">grant a separation </w:t>
      </w:r>
      <w:r w:rsidR="007F3F09">
        <w:rPr>
          <w:szCs w:val="24"/>
        </w:rPr>
        <w:t xml:space="preserve">for this issue of </w:t>
      </w:r>
      <w:r w:rsidR="007F3F09" w:rsidRPr="00C33F0C">
        <w:rPr>
          <w:i/>
          <w:iCs/>
          <w:szCs w:val="24"/>
        </w:rPr>
        <w:t>locus standi</w:t>
      </w:r>
      <w:r w:rsidR="007F3F09">
        <w:rPr>
          <w:szCs w:val="24"/>
        </w:rPr>
        <w:t xml:space="preserve"> </w:t>
      </w:r>
      <w:r w:rsidR="00696896">
        <w:rPr>
          <w:szCs w:val="24"/>
        </w:rPr>
        <w:t>to be determined</w:t>
      </w:r>
      <w:r w:rsidR="00245EE5">
        <w:rPr>
          <w:szCs w:val="24"/>
        </w:rPr>
        <w:t xml:space="preserve"> separately prior to the main action.</w:t>
      </w:r>
      <w:r w:rsidR="00A10FF0">
        <w:rPr>
          <w:szCs w:val="24"/>
        </w:rPr>
        <w:t xml:space="preserve"> In </w:t>
      </w:r>
      <w:r w:rsidR="00F739A9">
        <w:rPr>
          <w:szCs w:val="24"/>
        </w:rPr>
        <w:t xml:space="preserve">support of the submission it </w:t>
      </w:r>
      <w:r w:rsidR="006444A0">
        <w:rPr>
          <w:szCs w:val="24"/>
        </w:rPr>
        <w:t>wa</w:t>
      </w:r>
      <w:r w:rsidR="00F739A9">
        <w:rPr>
          <w:szCs w:val="24"/>
        </w:rPr>
        <w:t>s highlighted that the respondent accepts there is a problem</w:t>
      </w:r>
      <w:r w:rsidR="00DE7DED">
        <w:rPr>
          <w:szCs w:val="24"/>
        </w:rPr>
        <w:t xml:space="preserve"> with it particulars of claim</w:t>
      </w:r>
      <w:r w:rsidR="00F739A9">
        <w:rPr>
          <w:szCs w:val="24"/>
        </w:rPr>
        <w:t xml:space="preserve"> in that </w:t>
      </w:r>
      <w:r w:rsidR="00CA7865">
        <w:rPr>
          <w:szCs w:val="24"/>
        </w:rPr>
        <w:t xml:space="preserve">it submits that the applicant ought to </w:t>
      </w:r>
      <w:r w:rsidR="00B87974">
        <w:rPr>
          <w:szCs w:val="24"/>
        </w:rPr>
        <w:t>had delivered</w:t>
      </w:r>
      <w:r w:rsidR="00CA7865">
        <w:rPr>
          <w:szCs w:val="24"/>
        </w:rPr>
        <w:t xml:space="preserve"> an exception</w:t>
      </w:r>
      <w:r w:rsidR="00EF4F19">
        <w:rPr>
          <w:szCs w:val="24"/>
        </w:rPr>
        <w:t xml:space="preserve">, conceding </w:t>
      </w:r>
      <w:r w:rsidR="00B87974">
        <w:rPr>
          <w:szCs w:val="24"/>
        </w:rPr>
        <w:t xml:space="preserve">there are errors. It states that </w:t>
      </w:r>
      <w:r w:rsidR="00EF4F19">
        <w:rPr>
          <w:szCs w:val="24"/>
        </w:rPr>
        <w:t xml:space="preserve">mistakes occur </w:t>
      </w:r>
      <w:r w:rsidR="00EF4F19">
        <w:rPr>
          <w:szCs w:val="24"/>
        </w:rPr>
        <w:lastRenderedPageBreak/>
        <w:t xml:space="preserve">and </w:t>
      </w:r>
      <w:r w:rsidR="002E6F66">
        <w:rPr>
          <w:szCs w:val="24"/>
        </w:rPr>
        <w:t>indicat</w:t>
      </w:r>
      <w:r w:rsidR="00B87974">
        <w:rPr>
          <w:szCs w:val="24"/>
        </w:rPr>
        <w:t>es</w:t>
      </w:r>
      <w:r w:rsidR="002E6F66">
        <w:rPr>
          <w:szCs w:val="24"/>
        </w:rPr>
        <w:t xml:space="preserve"> it would have amended its papers </w:t>
      </w:r>
      <w:r w:rsidR="00F74A75">
        <w:rPr>
          <w:szCs w:val="24"/>
        </w:rPr>
        <w:t xml:space="preserve">upon receipt of the applicant’s exception </w:t>
      </w:r>
      <w:r w:rsidR="002E6F66">
        <w:rPr>
          <w:szCs w:val="24"/>
        </w:rPr>
        <w:t xml:space="preserve">which it intends to do in due in future. </w:t>
      </w:r>
    </w:p>
    <w:p w14:paraId="44BC1F0F" w14:textId="77777777" w:rsidR="00DB62F8" w:rsidRDefault="00DB62F8" w:rsidP="00E20548">
      <w:pPr>
        <w:pStyle w:val="JudgmentNumbered"/>
        <w:numPr>
          <w:ilvl w:val="0"/>
          <w:numId w:val="0"/>
        </w:numPr>
        <w:spacing w:after="0"/>
        <w:ind w:left="567" w:hanging="567"/>
        <w:rPr>
          <w:szCs w:val="24"/>
        </w:rPr>
      </w:pPr>
    </w:p>
    <w:p w14:paraId="54419847" w14:textId="77777777" w:rsidR="001569C9" w:rsidRDefault="00DB62F8" w:rsidP="00E20548">
      <w:pPr>
        <w:pStyle w:val="JudgmentNumbered"/>
        <w:numPr>
          <w:ilvl w:val="0"/>
          <w:numId w:val="0"/>
        </w:numPr>
        <w:spacing w:after="0"/>
        <w:ind w:left="567" w:hanging="567"/>
        <w:rPr>
          <w:szCs w:val="24"/>
        </w:rPr>
      </w:pPr>
      <w:r>
        <w:rPr>
          <w:szCs w:val="24"/>
        </w:rPr>
        <w:t>[14]</w:t>
      </w:r>
      <w:r>
        <w:rPr>
          <w:szCs w:val="24"/>
        </w:rPr>
        <w:tab/>
        <w:t>In opposing the application counsel for the respondent ref</w:t>
      </w:r>
      <w:r w:rsidR="007E6823">
        <w:rPr>
          <w:szCs w:val="24"/>
        </w:rPr>
        <w:t xml:space="preserve">erred to the decision in </w:t>
      </w:r>
      <w:r w:rsidR="007E6823" w:rsidRPr="00DD5D44">
        <w:rPr>
          <w:i/>
          <w:iCs/>
          <w:szCs w:val="24"/>
        </w:rPr>
        <w:t xml:space="preserve">Denel(Edms) Bpk v </w:t>
      </w:r>
      <w:r w:rsidR="00DD5D44" w:rsidRPr="00DD5D44">
        <w:rPr>
          <w:i/>
          <w:iCs/>
          <w:szCs w:val="24"/>
        </w:rPr>
        <w:t>Vorster</w:t>
      </w:r>
      <w:r w:rsidR="00DD5D44">
        <w:rPr>
          <w:szCs w:val="24"/>
        </w:rPr>
        <w:t xml:space="preserve"> </w:t>
      </w:r>
      <w:r w:rsidR="00DD5D44">
        <w:rPr>
          <w:rStyle w:val="FootnoteReference"/>
          <w:szCs w:val="24"/>
        </w:rPr>
        <w:footnoteReference w:id="2"/>
      </w:r>
      <w:r w:rsidR="00F03895">
        <w:rPr>
          <w:szCs w:val="24"/>
        </w:rPr>
        <w:t xml:space="preserve"> where the Court said:</w:t>
      </w:r>
    </w:p>
    <w:p w14:paraId="56934C56" w14:textId="3C3CCA7B" w:rsidR="00DB62F8" w:rsidRPr="0090753E" w:rsidRDefault="001569C9" w:rsidP="00CE76AA">
      <w:pPr>
        <w:pStyle w:val="JudgmentNumbered"/>
        <w:numPr>
          <w:ilvl w:val="0"/>
          <w:numId w:val="0"/>
        </w:numPr>
        <w:spacing w:after="0"/>
        <w:ind w:left="1440"/>
        <w:rPr>
          <w:sz w:val="22"/>
        </w:rPr>
      </w:pPr>
      <w:r w:rsidRPr="0090753E">
        <w:rPr>
          <w:sz w:val="22"/>
        </w:rPr>
        <w:t>“ In many cases, once properly considered</w:t>
      </w:r>
      <w:r w:rsidR="00CE76AA" w:rsidRPr="0090753E">
        <w:rPr>
          <w:sz w:val="22"/>
        </w:rPr>
        <w:t>, the issues will be found to be inextricably linked</w:t>
      </w:r>
      <w:r w:rsidR="003949E0" w:rsidRPr="0090753E">
        <w:rPr>
          <w:sz w:val="22"/>
        </w:rPr>
        <w:t>, even though at first sight, they appear to be discrete.</w:t>
      </w:r>
      <w:r w:rsidR="003771E1" w:rsidRPr="0090753E">
        <w:rPr>
          <w:sz w:val="22"/>
        </w:rPr>
        <w:t xml:space="preserve"> And even when the issues are discrete, expeditious disposal of the litigation</w:t>
      </w:r>
      <w:r w:rsidR="006C1C5F" w:rsidRPr="0090753E">
        <w:rPr>
          <w:sz w:val="22"/>
        </w:rPr>
        <w:t xml:space="preserve"> is best served by ventilating all the issues at one hearing</w:t>
      </w:r>
      <w:r w:rsidR="00A6500C" w:rsidRPr="0090753E">
        <w:rPr>
          <w:sz w:val="22"/>
        </w:rPr>
        <w:t xml:space="preserve">, particularly when there is more than one issue that might </w:t>
      </w:r>
      <w:r w:rsidR="00C838F9" w:rsidRPr="0090753E">
        <w:rPr>
          <w:sz w:val="22"/>
        </w:rPr>
        <w:t>readily be dispositive of the matter.</w:t>
      </w:r>
      <w:r w:rsidR="00E74746" w:rsidRPr="0090753E">
        <w:rPr>
          <w:sz w:val="22"/>
        </w:rPr>
        <w:t xml:space="preserve"> It is only after careful thought has been given to the anticipated course</w:t>
      </w:r>
      <w:r w:rsidR="00973E17" w:rsidRPr="0090753E">
        <w:rPr>
          <w:sz w:val="22"/>
        </w:rPr>
        <w:t xml:space="preserve"> of the litigation as a whole that it will be possible </w:t>
      </w:r>
      <w:r w:rsidR="00A664C2" w:rsidRPr="0090753E">
        <w:rPr>
          <w:sz w:val="22"/>
        </w:rPr>
        <w:t xml:space="preserve">properly to determine whether it is convenient to </w:t>
      </w:r>
      <w:r w:rsidR="003075AD" w:rsidRPr="0090753E">
        <w:rPr>
          <w:sz w:val="22"/>
        </w:rPr>
        <w:t xml:space="preserve">try an issue separately. But, where the trial Court is satisfied </w:t>
      </w:r>
      <w:r w:rsidR="00A675D4" w:rsidRPr="0090753E">
        <w:rPr>
          <w:sz w:val="22"/>
        </w:rPr>
        <w:t>that it is proper to make such an order</w:t>
      </w:r>
      <w:r w:rsidR="00AD3D2B" w:rsidRPr="0090753E">
        <w:rPr>
          <w:sz w:val="22"/>
        </w:rPr>
        <w:t xml:space="preserve"> and, in all cases, it must be so satisfied before it does so</w:t>
      </w:r>
      <w:r w:rsidR="00D35A64" w:rsidRPr="0090753E">
        <w:rPr>
          <w:sz w:val="22"/>
        </w:rPr>
        <w:t xml:space="preserve"> it is the duty of the Court to ensure to ensure that the issues </w:t>
      </w:r>
      <w:r w:rsidR="009E27B9" w:rsidRPr="0090753E">
        <w:rPr>
          <w:sz w:val="22"/>
        </w:rPr>
        <w:t>to be tried are clearly circumscribed in its order so as to avoid confusion</w:t>
      </w:r>
      <w:r w:rsidR="0090753E">
        <w:rPr>
          <w:sz w:val="22"/>
        </w:rPr>
        <w:t>…</w:t>
      </w:r>
      <w:r w:rsidR="0090753E" w:rsidRPr="0090753E">
        <w:rPr>
          <w:sz w:val="22"/>
        </w:rPr>
        <w:t>”</w:t>
      </w:r>
      <w:r w:rsidR="00D35A64" w:rsidRPr="0090753E">
        <w:rPr>
          <w:sz w:val="22"/>
        </w:rPr>
        <w:t xml:space="preserve"> </w:t>
      </w:r>
      <w:r w:rsidR="003075AD" w:rsidRPr="0090753E">
        <w:rPr>
          <w:sz w:val="22"/>
        </w:rPr>
        <w:t xml:space="preserve"> </w:t>
      </w:r>
      <w:r w:rsidR="00CE76AA" w:rsidRPr="0090753E">
        <w:rPr>
          <w:sz w:val="22"/>
        </w:rPr>
        <w:t xml:space="preserve"> </w:t>
      </w:r>
      <w:r w:rsidR="00DB62F8" w:rsidRPr="0090753E">
        <w:rPr>
          <w:sz w:val="22"/>
        </w:rPr>
        <w:tab/>
      </w:r>
    </w:p>
    <w:p w14:paraId="45C1EB5F" w14:textId="489BA1B7" w:rsidR="00E20548" w:rsidRDefault="00F97592" w:rsidP="00E20548">
      <w:pPr>
        <w:pStyle w:val="JudgmentNumbered"/>
        <w:numPr>
          <w:ilvl w:val="0"/>
          <w:numId w:val="0"/>
        </w:numPr>
        <w:spacing w:after="0"/>
        <w:ind w:left="567" w:hanging="567"/>
        <w:rPr>
          <w:szCs w:val="24"/>
        </w:rPr>
      </w:pPr>
      <w:r>
        <w:rPr>
          <w:szCs w:val="24"/>
        </w:rPr>
        <w:tab/>
      </w:r>
      <w:r w:rsidR="00354044">
        <w:rPr>
          <w:szCs w:val="24"/>
        </w:rPr>
        <w:t xml:space="preserve"> </w:t>
      </w:r>
    </w:p>
    <w:p w14:paraId="2BDBA1C3" w14:textId="231B07B1" w:rsidR="006600E1" w:rsidRDefault="0090753E" w:rsidP="00E20548">
      <w:pPr>
        <w:pStyle w:val="JudgmentNumbered"/>
        <w:numPr>
          <w:ilvl w:val="0"/>
          <w:numId w:val="0"/>
        </w:numPr>
        <w:spacing w:after="0"/>
        <w:ind w:left="567" w:hanging="567"/>
        <w:rPr>
          <w:szCs w:val="24"/>
        </w:rPr>
      </w:pPr>
      <w:r>
        <w:rPr>
          <w:szCs w:val="24"/>
        </w:rPr>
        <w:t>[15]</w:t>
      </w:r>
      <w:r>
        <w:rPr>
          <w:szCs w:val="24"/>
        </w:rPr>
        <w:tab/>
      </w:r>
      <w:r w:rsidR="00D63C10">
        <w:rPr>
          <w:szCs w:val="24"/>
        </w:rPr>
        <w:t>Counsel</w:t>
      </w:r>
      <w:r w:rsidR="00CB678C">
        <w:rPr>
          <w:szCs w:val="24"/>
        </w:rPr>
        <w:t xml:space="preserve"> for the respondent,</w:t>
      </w:r>
      <w:r w:rsidR="00D63C10">
        <w:rPr>
          <w:szCs w:val="24"/>
        </w:rPr>
        <w:t xml:space="preserve"> submitted that even where issues may be discrete</w:t>
      </w:r>
      <w:r w:rsidR="00B00BA2">
        <w:rPr>
          <w:szCs w:val="24"/>
        </w:rPr>
        <w:t xml:space="preserve">, the expeditious disposal of </w:t>
      </w:r>
      <w:r w:rsidR="0014000F">
        <w:rPr>
          <w:szCs w:val="24"/>
        </w:rPr>
        <w:t xml:space="preserve">the litigation is best </w:t>
      </w:r>
      <w:r w:rsidR="00CB678C">
        <w:rPr>
          <w:szCs w:val="24"/>
        </w:rPr>
        <w:t>served by</w:t>
      </w:r>
      <w:r w:rsidR="00BB56B9">
        <w:rPr>
          <w:szCs w:val="24"/>
        </w:rPr>
        <w:t xml:space="preserve"> ventilating al the issues at one hearing.</w:t>
      </w:r>
      <w:r w:rsidR="00D2500E">
        <w:rPr>
          <w:szCs w:val="24"/>
        </w:rPr>
        <w:t xml:space="preserve"> This </w:t>
      </w:r>
      <w:r w:rsidR="00D961A0">
        <w:rPr>
          <w:szCs w:val="24"/>
        </w:rPr>
        <w:t xml:space="preserve">is </w:t>
      </w:r>
      <w:r w:rsidR="00D2500E">
        <w:rPr>
          <w:szCs w:val="24"/>
        </w:rPr>
        <w:t>more so when there is more than one issue for determination</w:t>
      </w:r>
      <w:r w:rsidR="00D4689F">
        <w:rPr>
          <w:szCs w:val="24"/>
        </w:rPr>
        <w:t xml:space="preserve"> to dispose of the matter. </w:t>
      </w:r>
      <w:r w:rsidR="00CE7535">
        <w:rPr>
          <w:szCs w:val="24"/>
        </w:rPr>
        <w:t xml:space="preserve">Counsel </w:t>
      </w:r>
      <w:r w:rsidR="00542363">
        <w:rPr>
          <w:szCs w:val="24"/>
        </w:rPr>
        <w:t xml:space="preserve">emphasised that it was the duty of the court to be satisfied that the issue to be </w:t>
      </w:r>
      <w:r w:rsidR="00F11F93">
        <w:rPr>
          <w:szCs w:val="24"/>
        </w:rPr>
        <w:t>tried was clearly circumscribed to avoid confusion</w:t>
      </w:r>
      <w:r w:rsidR="00D30F9E">
        <w:rPr>
          <w:szCs w:val="24"/>
        </w:rPr>
        <w:t xml:space="preserve"> when it considered making an order for separation which counsel argued was not the position in the present matter. </w:t>
      </w:r>
      <w:r w:rsidR="00CE7535">
        <w:rPr>
          <w:szCs w:val="24"/>
        </w:rPr>
        <w:t xml:space="preserve"> </w:t>
      </w:r>
      <w:r w:rsidR="00D63C10">
        <w:rPr>
          <w:szCs w:val="24"/>
        </w:rPr>
        <w:t xml:space="preserve"> </w:t>
      </w:r>
      <w:r w:rsidR="00B53C21">
        <w:rPr>
          <w:szCs w:val="24"/>
        </w:rPr>
        <w:t xml:space="preserve">Counsel submitted that the decision in </w:t>
      </w:r>
      <w:r w:rsidR="00B53C21" w:rsidRPr="000F1FA3">
        <w:rPr>
          <w:i/>
          <w:iCs/>
          <w:szCs w:val="24"/>
        </w:rPr>
        <w:t xml:space="preserve">Pieters </w:t>
      </w:r>
      <w:r w:rsidR="006E7967" w:rsidRPr="000F1FA3">
        <w:rPr>
          <w:i/>
          <w:iCs/>
          <w:szCs w:val="24"/>
        </w:rPr>
        <w:t>NO v Absa Bank Limited</w:t>
      </w:r>
      <w:r w:rsidR="000F1FA3">
        <w:rPr>
          <w:rStyle w:val="FootnoteReference"/>
          <w:szCs w:val="24"/>
        </w:rPr>
        <w:footnoteReference w:id="3"/>
      </w:r>
      <w:r w:rsidR="006E7967">
        <w:rPr>
          <w:szCs w:val="24"/>
        </w:rPr>
        <w:t xml:space="preserve"> </w:t>
      </w:r>
      <w:r w:rsidR="000F1FA3">
        <w:rPr>
          <w:szCs w:val="24"/>
        </w:rPr>
        <w:t xml:space="preserve"> was </w:t>
      </w:r>
      <w:r w:rsidR="00A62351">
        <w:rPr>
          <w:szCs w:val="24"/>
        </w:rPr>
        <w:t xml:space="preserve">different in that </w:t>
      </w:r>
      <w:r w:rsidR="00D465E5">
        <w:rPr>
          <w:szCs w:val="24"/>
        </w:rPr>
        <w:t>the</w:t>
      </w:r>
      <w:r w:rsidR="003D36BD">
        <w:rPr>
          <w:szCs w:val="24"/>
        </w:rPr>
        <w:t xml:space="preserve"> matter there was a narrow issue which bore no relation to the merits of the claim</w:t>
      </w:r>
      <w:r w:rsidR="005D5ECF">
        <w:rPr>
          <w:szCs w:val="24"/>
        </w:rPr>
        <w:t xml:space="preserve"> of damages</w:t>
      </w:r>
      <w:r w:rsidR="003D36BD">
        <w:rPr>
          <w:szCs w:val="24"/>
        </w:rPr>
        <w:t>.</w:t>
      </w:r>
    </w:p>
    <w:p w14:paraId="0FE331ED" w14:textId="77777777" w:rsidR="006600E1" w:rsidRDefault="006600E1" w:rsidP="00E20548">
      <w:pPr>
        <w:pStyle w:val="JudgmentNumbered"/>
        <w:numPr>
          <w:ilvl w:val="0"/>
          <w:numId w:val="0"/>
        </w:numPr>
        <w:spacing w:after="0"/>
        <w:ind w:left="567" w:hanging="567"/>
        <w:rPr>
          <w:szCs w:val="24"/>
        </w:rPr>
      </w:pPr>
    </w:p>
    <w:p w14:paraId="7BA35884" w14:textId="1F5285F5" w:rsidR="0090753E" w:rsidRDefault="006600E1" w:rsidP="00E20548">
      <w:pPr>
        <w:pStyle w:val="JudgmentNumbered"/>
        <w:numPr>
          <w:ilvl w:val="0"/>
          <w:numId w:val="0"/>
        </w:numPr>
        <w:spacing w:after="0"/>
        <w:ind w:left="567" w:hanging="567"/>
        <w:rPr>
          <w:szCs w:val="24"/>
        </w:rPr>
      </w:pPr>
      <w:r>
        <w:rPr>
          <w:szCs w:val="24"/>
        </w:rPr>
        <w:t>[16]</w:t>
      </w:r>
      <w:r>
        <w:rPr>
          <w:szCs w:val="24"/>
        </w:rPr>
        <w:tab/>
      </w:r>
      <w:r w:rsidR="00D46819">
        <w:rPr>
          <w:szCs w:val="24"/>
        </w:rPr>
        <w:t>I</w:t>
      </w:r>
      <w:r w:rsidR="00D725C9">
        <w:rPr>
          <w:szCs w:val="24"/>
        </w:rPr>
        <w:t xml:space="preserve">n </w:t>
      </w:r>
      <w:r w:rsidR="00D46819">
        <w:rPr>
          <w:szCs w:val="24"/>
        </w:rPr>
        <w:t xml:space="preserve">advancing his </w:t>
      </w:r>
      <w:r w:rsidR="00D725C9">
        <w:rPr>
          <w:szCs w:val="24"/>
        </w:rPr>
        <w:t xml:space="preserve">argument that the Pieters matter was distinguishable from the present matter </w:t>
      </w:r>
      <w:r w:rsidR="00F7724D">
        <w:rPr>
          <w:szCs w:val="24"/>
        </w:rPr>
        <w:t xml:space="preserve">counsel </w:t>
      </w:r>
      <w:r w:rsidR="00D725C9">
        <w:rPr>
          <w:szCs w:val="24"/>
        </w:rPr>
        <w:t xml:space="preserve">submitted that it was necessary to consider whether </w:t>
      </w:r>
      <w:r w:rsidR="00D862FF">
        <w:rPr>
          <w:szCs w:val="24"/>
        </w:rPr>
        <w:t xml:space="preserve">it would be fair to separate the issues, whether there would be any prejudice, and </w:t>
      </w:r>
      <w:r w:rsidR="00D862FF">
        <w:rPr>
          <w:szCs w:val="24"/>
        </w:rPr>
        <w:lastRenderedPageBreak/>
        <w:t>whether there was the possibility of a duplication of evidence</w:t>
      </w:r>
      <w:r w:rsidR="006E5D6B">
        <w:rPr>
          <w:szCs w:val="24"/>
        </w:rPr>
        <w:t>.</w:t>
      </w:r>
      <w:r w:rsidR="00F7724D">
        <w:rPr>
          <w:szCs w:val="24"/>
        </w:rPr>
        <w:t xml:space="preserve"> He </w:t>
      </w:r>
      <w:r w:rsidR="00703B90">
        <w:rPr>
          <w:szCs w:val="24"/>
        </w:rPr>
        <w:t>referred to para 14 of the Pieter decision where Van Der Linde J said</w:t>
      </w:r>
      <w:r w:rsidR="00D9561C">
        <w:rPr>
          <w:szCs w:val="24"/>
        </w:rPr>
        <w:t>:</w:t>
      </w:r>
    </w:p>
    <w:p w14:paraId="241CEF83" w14:textId="18DC0761" w:rsidR="00D9561C" w:rsidRDefault="00D9561C" w:rsidP="00D9561C">
      <w:pPr>
        <w:pStyle w:val="JudgmentNumbered"/>
        <w:numPr>
          <w:ilvl w:val="0"/>
          <w:numId w:val="0"/>
        </w:numPr>
        <w:spacing w:after="0"/>
        <w:ind w:left="1440"/>
        <w:rPr>
          <w:sz w:val="22"/>
        </w:rPr>
      </w:pPr>
      <w:r>
        <w:rPr>
          <w:szCs w:val="24"/>
        </w:rPr>
        <w:t>“</w:t>
      </w:r>
      <w:r w:rsidRPr="00D9561C">
        <w:rPr>
          <w:sz w:val="22"/>
        </w:rPr>
        <w:t xml:space="preserve">[14] I accept, with respect, the defendant's submissions about the principles that should be applied in applications such as these. Separation is all about the convenient and expeditious disposal of litigation, and the sobering dicta of the Supreme Court of Appeal in </w:t>
      </w:r>
      <w:r w:rsidRPr="00F41CA0">
        <w:rPr>
          <w:i/>
          <w:iCs/>
          <w:sz w:val="22"/>
        </w:rPr>
        <w:t>Denel (Edms) Bpk v Vorster</w:t>
      </w:r>
      <w:r w:rsidRPr="00D9561C">
        <w:rPr>
          <w:sz w:val="22"/>
        </w:rPr>
        <w:t xml:space="preserve"> are certainly telling considerations against over-ready separation orders. Convenience is the password; so says the rule. I would venture that, as is so often the case with rules of Procedural Law, at the heart of the rule lies respect for the administration of justice, and the rule of law. Cases should not be unduly delayed; that famously or perhaps infamously denies justice.</w:t>
      </w:r>
      <w:r>
        <w:rPr>
          <w:sz w:val="22"/>
        </w:rPr>
        <w:t>”</w:t>
      </w:r>
    </w:p>
    <w:p w14:paraId="36D8A785" w14:textId="73DC77BE" w:rsidR="0057390C" w:rsidRDefault="0057390C" w:rsidP="00312C06">
      <w:pPr>
        <w:pStyle w:val="JudgmentNumbered"/>
        <w:numPr>
          <w:ilvl w:val="0"/>
          <w:numId w:val="0"/>
        </w:numPr>
        <w:spacing w:after="0"/>
        <w:ind w:left="567"/>
        <w:rPr>
          <w:sz w:val="22"/>
        </w:rPr>
      </w:pPr>
      <w:r>
        <w:rPr>
          <w:sz w:val="22"/>
        </w:rPr>
        <w:t>And at [16]</w:t>
      </w:r>
    </w:p>
    <w:p w14:paraId="24D794FE" w14:textId="4717E258" w:rsidR="0057390C" w:rsidRPr="0057390C" w:rsidRDefault="0057390C" w:rsidP="00312C06">
      <w:pPr>
        <w:pStyle w:val="JudgmentNumbered"/>
        <w:numPr>
          <w:ilvl w:val="0"/>
          <w:numId w:val="0"/>
        </w:numPr>
        <w:spacing w:after="0"/>
        <w:ind w:left="1440"/>
        <w:rPr>
          <w:sz w:val="22"/>
        </w:rPr>
      </w:pPr>
      <w:r>
        <w:rPr>
          <w:sz w:val="22"/>
        </w:rPr>
        <w:t>“</w:t>
      </w:r>
      <w:r w:rsidRPr="0057390C">
        <w:rPr>
          <w:sz w:val="22"/>
        </w:rPr>
        <w:t>[16] Moving on to more practical considerations, the quintessential separable issue is a narrow but discrete point, involving little documentary or viva voce evidence, which finally decides the case one way or the other. Generally, absent other considerations, a challenge to the locus standi of one of the parties qualifies as a separable issue. The other considerations raised here are the appeal point, the unavailability of evidence point, and the case management agreement point. I believe that the first two of these were appropriately answered by the plaintiff in her riposte, to which I have already referred above</w:t>
      </w:r>
      <w:r>
        <w:rPr>
          <w:sz w:val="22"/>
        </w:rPr>
        <w:t>”</w:t>
      </w:r>
    </w:p>
    <w:p w14:paraId="3F08CAAF" w14:textId="77777777" w:rsidR="007A71DB" w:rsidRDefault="007A71DB" w:rsidP="00485D8F">
      <w:pPr>
        <w:pStyle w:val="JudgmentNumbered"/>
        <w:numPr>
          <w:ilvl w:val="0"/>
          <w:numId w:val="0"/>
        </w:numPr>
        <w:spacing w:after="0"/>
        <w:ind w:left="567" w:hanging="567"/>
        <w:rPr>
          <w:szCs w:val="24"/>
        </w:rPr>
      </w:pPr>
    </w:p>
    <w:p w14:paraId="5338852C" w14:textId="77777777" w:rsidR="00117F2F" w:rsidRDefault="00485D8F" w:rsidP="00485D8F">
      <w:pPr>
        <w:pStyle w:val="JudgmentNumbered"/>
        <w:numPr>
          <w:ilvl w:val="0"/>
          <w:numId w:val="0"/>
        </w:numPr>
        <w:spacing w:after="0"/>
        <w:ind w:left="567" w:hanging="567"/>
        <w:rPr>
          <w:szCs w:val="24"/>
        </w:rPr>
      </w:pPr>
      <w:r w:rsidRPr="0057390C">
        <w:rPr>
          <w:szCs w:val="24"/>
        </w:rPr>
        <w:t>[17]</w:t>
      </w:r>
      <w:r w:rsidR="00E67A95">
        <w:rPr>
          <w:szCs w:val="24"/>
        </w:rPr>
        <w:tab/>
      </w:r>
      <w:r w:rsidR="007E1044">
        <w:rPr>
          <w:szCs w:val="24"/>
        </w:rPr>
        <w:t>I am indebted</w:t>
      </w:r>
      <w:r w:rsidR="00FE490E">
        <w:rPr>
          <w:szCs w:val="24"/>
        </w:rPr>
        <w:t xml:space="preserve">, </w:t>
      </w:r>
      <w:r w:rsidR="002B6D76">
        <w:rPr>
          <w:szCs w:val="24"/>
        </w:rPr>
        <w:t xml:space="preserve">to </w:t>
      </w:r>
      <w:r w:rsidR="007E1044">
        <w:rPr>
          <w:szCs w:val="24"/>
        </w:rPr>
        <w:t xml:space="preserve">both </w:t>
      </w:r>
      <w:r w:rsidR="002B6D76">
        <w:rPr>
          <w:szCs w:val="24"/>
        </w:rPr>
        <w:t xml:space="preserve">counsel for their </w:t>
      </w:r>
      <w:r w:rsidR="007E1044">
        <w:rPr>
          <w:szCs w:val="24"/>
        </w:rPr>
        <w:t xml:space="preserve">submission </w:t>
      </w:r>
      <w:r w:rsidR="002B6D76">
        <w:rPr>
          <w:szCs w:val="24"/>
        </w:rPr>
        <w:t xml:space="preserve">which </w:t>
      </w:r>
      <w:r w:rsidR="007E1044">
        <w:rPr>
          <w:szCs w:val="24"/>
        </w:rPr>
        <w:t>have afford</w:t>
      </w:r>
      <w:r w:rsidR="002B6D76">
        <w:rPr>
          <w:szCs w:val="24"/>
        </w:rPr>
        <w:t>ed</w:t>
      </w:r>
      <w:r w:rsidR="007E1044">
        <w:rPr>
          <w:szCs w:val="24"/>
        </w:rPr>
        <w:t xml:space="preserve"> me the opportunity to consider the matter </w:t>
      </w:r>
      <w:r w:rsidR="00117F2F">
        <w:rPr>
          <w:szCs w:val="24"/>
        </w:rPr>
        <w:t xml:space="preserve">thoroughly </w:t>
      </w:r>
      <w:r w:rsidR="007E1044">
        <w:rPr>
          <w:szCs w:val="24"/>
        </w:rPr>
        <w:t xml:space="preserve">with the benefit of their </w:t>
      </w:r>
      <w:r w:rsidR="00770A41">
        <w:rPr>
          <w:szCs w:val="24"/>
        </w:rPr>
        <w:t>authori</w:t>
      </w:r>
      <w:r w:rsidR="00117F2F">
        <w:rPr>
          <w:szCs w:val="24"/>
        </w:rPr>
        <w:t>ti</w:t>
      </w:r>
      <w:r w:rsidR="00770A41">
        <w:rPr>
          <w:szCs w:val="24"/>
        </w:rPr>
        <w:t>es</w:t>
      </w:r>
      <w:r w:rsidR="00117F2F">
        <w:rPr>
          <w:szCs w:val="24"/>
        </w:rPr>
        <w:t xml:space="preserve"> readily </w:t>
      </w:r>
      <w:r w:rsidR="00770A41">
        <w:rPr>
          <w:szCs w:val="24"/>
        </w:rPr>
        <w:t xml:space="preserve">available. </w:t>
      </w:r>
    </w:p>
    <w:p w14:paraId="222EF7D5" w14:textId="77777777" w:rsidR="00117F2F" w:rsidRDefault="00117F2F" w:rsidP="00485D8F">
      <w:pPr>
        <w:pStyle w:val="JudgmentNumbered"/>
        <w:numPr>
          <w:ilvl w:val="0"/>
          <w:numId w:val="0"/>
        </w:numPr>
        <w:spacing w:after="0"/>
        <w:ind w:left="567" w:hanging="567"/>
        <w:rPr>
          <w:szCs w:val="24"/>
        </w:rPr>
      </w:pPr>
    </w:p>
    <w:p w14:paraId="5F0E1B08" w14:textId="035113D2" w:rsidR="00141F89" w:rsidRDefault="00117F2F" w:rsidP="006D1088">
      <w:pPr>
        <w:pStyle w:val="JudgmentNumbered"/>
        <w:numPr>
          <w:ilvl w:val="0"/>
          <w:numId w:val="0"/>
        </w:numPr>
        <w:spacing w:after="0"/>
        <w:ind w:left="567" w:hanging="567"/>
        <w:rPr>
          <w:szCs w:val="24"/>
        </w:rPr>
      </w:pPr>
      <w:r>
        <w:rPr>
          <w:szCs w:val="24"/>
        </w:rPr>
        <w:t>[18]</w:t>
      </w:r>
      <w:r>
        <w:rPr>
          <w:szCs w:val="24"/>
        </w:rPr>
        <w:tab/>
        <w:t>Having considered the submissions made</w:t>
      </w:r>
      <w:r w:rsidR="00696289">
        <w:rPr>
          <w:szCs w:val="24"/>
        </w:rPr>
        <w:t xml:space="preserve">, </w:t>
      </w:r>
      <w:r w:rsidR="00FE490E">
        <w:rPr>
          <w:szCs w:val="24"/>
        </w:rPr>
        <w:t>I am of the view that the</w:t>
      </w:r>
      <w:r w:rsidR="00643F8F">
        <w:rPr>
          <w:szCs w:val="24"/>
        </w:rPr>
        <w:t xml:space="preserve"> </w:t>
      </w:r>
      <w:r w:rsidR="000A1B39">
        <w:rPr>
          <w:szCs w:val="24"/>
        </w:rPr>
        <w:t>application for a separation of the issue</w:t>
      </w:r>
      <w:r w:rsidR="00AF054E">
        <w:rPr>
          <w:szCs w:val="24"/>
        </w:rPr>
        <w:t xml:space="preserve"> </w:t>
      </w:r>
      <w:r w:rsidR="0040056D">
        <w:rPr>
          <w:szCs w:val="24"/>
        </w:rPr>
        <w:t xml:space="preserve">regarding </w:t>
      </w:r>
      <w:r w:rsidR="0040056D" w:rsidRPr="007E1044">
        <w:rPr>
          <w:i/>
          <w:iCs/>
          <w:szCs w:val="24"/>
        </w:rPr>
        <w:t>locus standi</w:t>
      </w:r>
      <w:r w:rsidR="0040056D">
        <w:rPr>
          <w:szCs w:val="24"/>
        </w:rPr>
        <w:t xml:space="preserve"> is </w:t>
      </w:r>
      <w:r w:rsidR="00D872A3">
        <w:rPr>
          <w:szCs w:val="24"/>
        </w:rPr>
        <w:t xml:space="preserve">a narrow and discrete issue as compared to the issues that may be traversed in the main action. </w:t>
      </w:r>
      <w:r w:rsidR="002C1EC2">
        <w:rPr>
          <w:szCs w:val="24"/>
        </w:rPr>
        <w:t xml:space="preserve">The determination of the </w:t>
      </w:r>
      <w:r w:rsidR="004265D1">
        <w:rPr>
          <w:szCs w:val="24"/>
        </w:rPr>
        <w:t xml:space="preserve">discrete </w:t>
      </w:r>
      <w:r w:rsidR="00C22C37">
        <w:rPr>
          <w:szCs w:val="24"/>
        </w:rPr>
        <w:t xml:space="preserve">issue of </w:t>
      </w:r>
      <w:r w:rsidR="002C1EC2" w:rsidRPr="00696289">
        <w:rPr>
          <w:i/>
          <w:iCs/>
          <w:szCs w:val="24"/>
        </w:rPr>
        <w:t>locus standi</w:t>
      </w:r>
      <w:r w:rsidR="002C1EC2">
        <w:rPr>
          <w:szCs w:val="24"/>
        </w:rPr>
        <w:t xml:space="preserve"> </w:t>
      </w:r>
      <w:r w:rsidR="00C22C37">
        <w:rPr>
          <w:szCs w:val="24"/>
        </w:rPr>
        <w:t>may resolve the issues in the main action.</w:t>
      </w:r>
      <w:r w:rsidR="006D1088">
        <w:rPr>
          <w:szCs w:val="24"/>
        </w:rPr>
        <w:t xml:space="preserve"> The issue of costs follow the outcome. </w:t>
      </w:r>
    </w:p>
    <w:p w14:paraId="3686BAA1" w14:textId="77777777" w:rsidR="00141F89" w:rsidRDefault="00141F89" w:rsidP="00485D8F">
      <w:pPr>
        <w:pStyle w:val="JudgmentNumbered"/>
        <w:numPr>
          <w:ilvl w:val="0"/>
          <w:numId w:val="0"/>
        </w:numPr>
        <w:spacing w:after="0"/>
        <w:ind w:left="567" w:hanging="567"/>
        <w:rPr>
          <w:szCs w:val="24"/>
        </w:rPr>
      </w:pPr>
    </w:p>
    <w:p w14:paraId="41BA82BB" w14:textId="49211443" w:rsidR="00EC6346" w:rsidRDefault="00141F89" w:rsidP="00485D8F">
      <w:pPr>
        <w:pStyle w:val="JudgmentNumbered"/>
        <w:numPr>
          <w:ilvl w:val="0"/>
          <w:numId w:val="0"/>
        </w:numPr>
        <w:spacing w:after="0"/>
        <w:ind w:left="567" w:hanging="567"/>
        <w:rPr>
          <w:szCs w:val="24"/>
        </w:rPr>
      </w:pPr>
      <w:r>
        <w:rPr>
          <w:szCs w:val="24"/>
        </w:rPr>
        <w:t>[19]</w:t>
      </w:r>
      <w:r>
        <w:rPr>
          <w:szCs w:val="24"/>
        </w:rPr>
        <w:tab/>
      </w:r>
      <w:r w:rsidR="00A56245">
        <w:rPr>
          <w:szCs w:val="24"/>
        </w:rPr>
        <w:t>In the result</w:t>
      </w:r>
      <w:r w:rsidR="00873C87">
        <w:rPr>
          <w:szCs w:val="24"/>
        </w:rPr>
        <w:t>,</w:t>
      </w:r>
      <w:r w:rsidR="00A56245">
        <w:rPr>
          <w:szCs w:val="24"/>
        </w:rPr>
        <w:t xml:space="preserve"> I make the following </w:t>
      </w:r>
      <w:r w:rsidR="00814E67">
        <w:rPr>
          <w:szCs w:val="24"/>
        </w:rPr>
        <w:t>order on the separation application</w:t>
      </w:r>
      <w:r w:rsidR="00EC6346">
        <w:rPr>
          <w:szCs w:val="24"/>
        </w:rPr>
        <w:t>:</w:t>
      </w:r>
    </w:p>
    <w:p w14:paraId="4BFE7628" w14:textId="1DC7DE0E" w:rsidR="00DA7CC9" w:rsidRDefault="00EC6346" w:rsidP="00227EE1">
      <w:pPr>
        <w:pStyle w:val="JudgmentNumbered"/>
        <w:numPr>
          <w:ilvl w:val="0"/>
          <w:numId w:val="0"/>
        </w:numPr>
        <w:spacing w:after="0"/>
        <w:ind w:left="1440" w:hanging="870"/>
      </w:pPr>
      <w:r>
        <w:rPr>
          <w:szCs w:val="24"/>
        </w:rPr>
        <w:t>1.</w:t>
      </w:r>
      <w:r w:rsidRPr="00EC6346">
        <w:t xml:space="preserve"> </w:t>
      </w:r>
      <w:r w:rsidR="00227EE1">
        <w:tab/>
      </w:r>
      <w:r>
        <w:t xml:space="preserve">That the </w:t>
      </w:r>
      <w:r w:rsidR="00227EE1">
        <w:t>applicant/defendant’s</w:t>
      </w:r>
      <w:r>
        <w:t xml:space="preserve"> special plea of </w:t>
      </w:r>
      <w:r w:rsidR="00227EE1">
        <w:t>l</w:t>
      </w:r>
      <w:r>
        <w:t xml:space="preserve">ocus </w:t>
      </w:r>
      <w:r w:rsidR="00227EE1">
        <w:t>s</w:t>
      </w:r>
      <w:r>
        <w:t xml:space="preserve">tandi, as articulated in </w:t>
      </w:r>
      <w:r w:rsidR="00227EE1">
        <w:t>p</w:t>
      </w:r>
      <w:r>
        <w:t xml:space="preserve">aragraphs 1 to 7 of the </w:t>
      </w:r>
      <w:r w:rsidR="00227EE1">
        <w:t>s</w:t>
      </w:r>
      <w:r>
        <w:t xml:space="preserve">pecial </w:t>
      </w:r>
      <w:r w:rsidR="00227EE1">
        <w:t>p</w:t>
      </w:r>
      <w:r>
        <w:t xml:space="preserve">lea, be determined as a </w:t>
      </w:r>
      <w:r w:rsidR="00873C87">
        <w:t>separate</w:t>
      </w:r>
      <w:r>
        <w:t xml:space="preserve"> </w:t>
      </w:r>
      <w:r>
        <w:lastRenderedPageBreak/>
        <w:t xml:space="preserve">issue in terms of the provisions of rule 33(4) of the Uniform Rules of Court. </w:t>
      </w:r>
    </w:p>
    <w:p w14:paraId="09A48D90" w14:textId="6136F90C" w:rsidR="00227EE1" w:rsidRDefault="00EC6346" w:rsidP="00227EE1">
      <w:pPr>
        <w:pStyle w:val="JudgmentNumbered"/>
        <w:numPr>
          <w:ilvl w:val="0"/>
          <w:numId w:val="0"/>
        </w:numPr>
        <w:spacing w:after="0"/>
        <w:ind w:left="1440" w:hanging="870"/>
      </w:pPr>
      <w:r>
        <w:t xml:space="preserve">2. </w:t>
      </w:r>
      <w:r w:rsidR="00DA7CC9">
        <w:tab/>
      </w:r>
      <w:r>
        <w:t xml:space="preserve">The remainder of the issues in the action shall be stayed until the </w:t>
      </w:r>
      <w:r w:rsidR="00DA7CC9">
        <w:t>s</w:t>
      </w:r>
      <w:r>
        <w:t xml:space="preserve">pecial </w:t>
      </w:r>
      <w:r w:rsidR="00DA7CC9">
        <w:t>p</w:t>
      </w:r>
      <w:r>
        <w:t>lea has been dispensed with.</w:t>
      </w:r>
    </w:p>
    <w:p w14:paraId="4EE38D79" w14:textId="753D7962" w:rsidR="00485D8F" w:rsidRPr="0057390C" w:rsidRDefault="00DA7CC9" w:rsidP="00DA7CC9">
      <w:pPr>
        <w:pStyle w:val="JudgmentNumbered"/>
        <w:numPr>
          <w:ilvl w:val="0"/>
          <w:numId w:val="0"/>
        </w:numPr>
        <w:spacing w:after="0"/>
        <w:ind w:left="1440" w:hanging="870"/>
        <w:rPr>
          <w:szCs w:val="24"/>
        </w:rPr>
      </w:pPr>
      <w:r>
        <w:t>3.</w:t>
      </w:r>
      <w:r>
        <w:tab/>
      </w:r>
      <w:r w:rsidR="009B66E1">
        <w:t xml:space="preserve">The </w:t>
      </w:r>
      <w:r w:rsidR="004A2E7D">
        <w:t>respondent plaintiff is directed to pay the costs of the application.</w:t>
      </w:r>
      <w:r w:rsidR="00643F8F">
        <w:rPr>
          <w:szCs w:val="24"/>
        </w:rPr>
        <w:t xml:space="preserve"> </w:t>
      </w:r>
      <w:r w:rsidR="00E67A95">
        <w:rPr>
          <w:szCs w:val="24"/>
        </w:rPr>
        <w:t xml:space="preserve"> </w:t>
      </w:r>
    </w:p>
    <w:p w14:paraId="554A3098" w14:textId="77777777" w:rsidR="00482911" w:rsidRDefault="00482911" w:rsidP="00EB01DA">
      <w:pPr>
        <w:pStyle w:val="JudgmentNumbered"/>
        <w:numPr>
          <w:ilvl w:val="0"/>
          <w:numId w:val="0"/>
        </w:numPr>
        <w:spacing w:after="0"/>
        <w:ind w:left="567" w:hanging="567"/>
        <w:jc w:val="right"/>
      </w:pPr>
    </w:p>
    <w:p w14:paraId="1A371CAD" w14:textId="77777777" w:rsidR="00B14E4D" w:rsidRDefault="00B14E4D" w:rsidP="00EB01DA">
      <w:pPr>
        <w:pStyle w:val="JudgmentNumbered"/>
        <w:numPr>
          <w:ilvl w:val="0"/>
          <w:numId w:val="0"/>
        </w:numPr>
        <w:spacing w:after="0"/>
        <w:ind w:left="567" w:hanging="567"/>
        <w:jc w:val="right"/>
      </w:pPr>
    </w:p>
    <w:p w14:paraId="245FB0A2" w14:textId="77777777" w:rsidR="000F1E92" w:rsidRDefault="000F1E92" w:rsidP="00EB01DA">
      <w:pPr>
        <w:pStyle w:val="JudgmentNumbered"/>
        <w:numPr>
          <w:ilvl w:val="0"/>
          <w:numId w:val="0"/>
        </w:numPr>
        <w:spacing w:after="0"/>
        <w:ind w:left="567" w:hanging="567"/>
        <w:jc w:val="right"/>
      </w:pPr>
    </w:p>
    <w:p w14:paraId="4F53CA13" w14:textId="77777777" w:rsidR="00B14E4D" w:rsidRDefault="00B14E4D" w:rsidP="00EB01DA">
      <w:pPr>
        <w:pStyle w:val="JudgmentNumbered"/>
        <w:numPr>
          <w:ilvl w:val="0"/>
          <w:numId w:val="0"/>
        </w:numPr>
        <w:spacing w:after="0"/>
        <w:ind w:left="567" w:hanging="567"/>
        <w:jc w:val="right"/>
      </w:pPr>
    </w:p>
    <w:p w14:paraId="5C7C21B4"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2125D853" w14:textId="77777777" w:rsidR="002B448C" w:rsidRDefault="00A27C6D" w:rsidP="00EB01DA">
      <w:pPr>
        <w:pStyle w:val="JudgmentNumbered"/>
        <w:numPr>
          <w:ilvl w:val="0"/>
          <w:numId w:val="0"/>
        </w:numPr>
        <w:spacing w:after="0"/>
        <w:ind w:left="567" w:hanging="567"/>
        <w:jc w:val="right"/>
        <w:rPr>
          <w:b/>
        </w:rPr>
      </w:pPr>
      <w:r>
        <w:rPr>
          <w:b/>
        </w:rPr>
        <w:t xml:space="preserve">SC Mia </w:t>
      </w:r>
    </w:p>
    <w:p w14:paraId="43E8AB23"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4FFA4664" w14:textId="77777777" w:rsidR="00EB01DA" w:rsidRDefault="002B448C" w:rsidP="00EB01DA">
      <w:pPr>
        <w:pStyle w:val="JudgmentNumbered"/>
        <w:numPr>
          <w:ilvl w:val="0"/>
          <w:numId w:val="0"/>
        </w:numPr>
        <w:spacing w:after="0"/>
        <w:ind w:left="567" w:hanging="567"/>
        <w:jc w:val="right"/>
        <w:rPr>
          <w:b/>
        </w:rPr>
        <w:sectPr w:rsidR="00EB01DA" w:rsidSect="00404AEB">
          <w:headerReference w:type="default" r:id="rId10"/>
          <w:pgSz w:w="11906" w:h="16838"/>
          <w:pgMar w:top="1440" w:right="1440" w:bottom="1440" w:left="1440" w:header="708" w:footer="708" w:gutter="0"/>
          <w:cols w:space="708"/>
          <w:docGrid w:linePitch="360"/>
        </w:sectPr>
      </w:pPr>
      <w:r>
        <w:rPr>
          <w:b/>
        </w:rPr>
        <w:t>JOHANNESBURG</w:t>
      </w:r>
    </w:p>
    <w:p w14:paraId="4F6B3AA7" w14:textId="77777777" w:rsidR="00EB01DA" w:rsidRDefault="00EB01DA" w:rsidP="00EB01DA">
      <w:pPr>
        <w:pStyle w:val="JudgmentNumbered"/>
        <w:numPr>
          <w:ilvl w:val="0"/>
          <w:numId w:val="0"/>
        </w:numPr>
        <w:spacing w:after="0"/>
        <w:ind w:left="567" w:hanging="567"/>
        <w:jc w:val="right"/>
        <w:rPr>
          <w:b/>
        </w:rPr>
        <w:sectPr w:rsidR="00EB01DA" w:rsidSect="00404AEB">
          <w:type w:val="continuous"/>
          <w:pgSz w:w="11906" w:h="16838"/>
          <w:pgMar w:top="1440" w:right="1440" w:bottom="1440" w:left="1440" w:header="708" w:footer="708" w:gutter="0"/>
          <w:cols w:space="708"/>
          <w:docGrid w:linePitch="360"/>
        </w:sectPr>
      </w:pPr>
    </w:p>
    <w:p w14:paraId="5FB5E7B7"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60874985" w14:textId="77777777" w:rsidR="00EB01DA" w:rsidRPr="003673B7" w:rsidRDefault="00EB01DA" w:rsidP="00EB01DA">
      <w:pPr>
        <w:spacing w:after="0" w:line="240" w:lineRule="auto"/>
        <w:ind w:left="0"/>
        <w:rPr>
          <w:rFonts w:eastAsia="Times New Roman" w:cs="Arial"/>
          <w:szCs w:val="24"/>
          <w:lang w:val="en-ZA"/>
        </w:rPr>
      </w:pPr>
    </w:p>
    <w:p w14:paraId="411C5EB0" w14:textId="77777777" w:rsidR="00EB01DA" w:rsidRPr="003673B7" w:rsidRDefault="00EB01DA" w:rsidP="00EB01DA">
      <w:pPr>
        <w:spacing w:after="0" w:line="240" w:lineRule="auto"/>
        <w:ind w:left="0"/>
        <w:rPr>
          <w:rFonts w:eastAsia="Times New Roman" w:cs="Arial"/>
          <w:szCs w:val="24"/>
          <w:lang w:val="en-ZA"/>
        </w:rPr>
      </w:pPr>
    </w:p>
    <w:p w14:paraId="78696AF0"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p>
    <w:p w14:paraId="7F3873B1" w14:textId="77777777" w:rsidR="00E10803"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2109BE">
        <w:t>J M Hoffman</w:t>
      </w:r>
    </w:p>
    <w:p w14:paraId="33BB4CE8" w14:textId="77777777" w:rsidR="00EB01DA" w:rsidRPr="003673B7" w:rsidRDefault="008B546F" w:rsidP="00EB01DA">
      <w:pPr>
        <w:spacing w:after="0" w:line="240" w:lineRule="auto"/>
        <w:ind w:left="0"/>
        <w:rPr>
          <w:rFonts w:eastAsia="Times New Roman" w:cs="Arial"/>
          <w:szCs w:val="24"/>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0E57D1">
        <w:rPr>
          <w:rFonts w:eastAsia="Times New Roman" w:cs="Arial"/>
          <w:szCs w:val="24"/>
          <w:lang w:val="en-ZA"/>
        </w:rPr>
        <w:t>Alan Allschwang and Associates Inc</w:t>
      </w:r>
    </w:p>
    <w:p w14:paraId="338220A5" w14:textId="77777777" w:rsidR="00EB01DA" w:rsidRPr="003673B7" w:rsidRDefault="00EB01DA" w:rsidP="00EB01DA">
      <w:pPr>
        <w:spacing w:after="0" w:line="240" w:lineRule="auto"/>
        <w:ind w:left="0"/>
        <w:rPr>
          <w:rFonts w:eastAsia="Times New Roman" w:cs="Arial"/>
          <w:szCs w:val="24"/>
          <w:lang w:val="en-ZA"/>
        </w:rPr>
      </w:pPr>
    </w:p>
    <w:p w14:paraId="222B34E8" w14:textId="77777777" w:rsidR="002109BE" w:rsidRDefault="002109BE" w:rsidP="00EB01DA">
      <w:pPr>
        <w:spacing w:after="0" w:line="240" w:lineRule="auto"/>
        <w:ind w:left="0"/>
        <w:rPr>
          <w:rFonts w:cs="Arial"/>
          <w:szCs w:val="24"/>
        </w:rPr>
      </w:pPr>
      <w:r>
        <w:t>T Ossin</w:t>
      </w:r>
    </w:p>
    <w:p w14:paraId="6E996F63" w14:textId="77777777" w:rsidR="002B448C" w:rsidRDefault="008B546F" w:rsidP="00EB01DA">
      <w:pPr>
        <w:spacing w:after="0" w:line="240" w:lineRule="auto"/>
        <w:ind w:left="0"/>
        <w:rPr>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0E57D1">
        <w:rPr>
          <w:rFonts w:eastAsia="Times New Roman" w:cs="Arial"/>
          <w:szCs w:val="24"/>
          <w:lang w:val="en-ZA"/>
        </w:rPr>
        <w:t>Roy Sutter Attorneys</w:t>
      </w:r>
    </w:p>
    <w:p w14:paraId="0F531145" w14:textId="77777777" w:rsidR="008B546F" w:rsidRDefault="008B546F" w:rsidP="008B546F">
      <w:pPr>
        <w:pStyle w:val="JudgmentNumbered"/>
        <w:numPr>
          <w:ilvl w:val="0"/>
          <w:numId w:val="0"/>
        </w:numPr>
        <w:ind w:left="567" w:hanging="567"/>
        <w:rPr>
          <w:lang w:val="en-ZA"/>
        </w:rPr>
      </w:pPr>
    </w:p>
    <w:p w14:paraId="00CA318D" w14:textId="77777777" w:rsidR="008B546F" w:rsidRDefault="002109BE" w:rsidP="008B546F">
      <w:pPr>
        <w:pStyle w:val="JudgmentNumbered"/>
        <w:numPr>
          <w:ilvl w:val="0"/>
          <w:numId w:val="0"/>
        </w:numPr>
        <w:ind w:left="567" w:hanging="567"/>
        <w:rPr>
          <w:lang w:val="en-ZA"/>
        </w:rPr>
      </w:pPr>
      <w:r>
        <w:rPr>
          <w:lang w:val="en-ZA"/>
        </w:rPr>
        <w:t>Heard:</w:t>
      </w:r>
      <w:r>
        <w:rPr>
          <w:lang w:val="en-ZA"/>
        </w:rPr>
        <w:tab/>
        <w:t>11 August 2023</w:t>
      </w:r>
    </w:p>
    <w:p w14:paraId="67DBAB83" w14:textId="553868BD" w:rsidR="008B546F" w:rsidRPr="008B546F" w:rsidRDefault="008B546F" w:rsidP="008B546F">
      <w:pPr>
        <w:pStyle w:val="JudgmentNumbered"/>
        <w:numPr>
          <w:ilvl w:val="0"/>
          <w:numId w:val="0"/>
        </w:numPr>
        <w:ind w:left="567" w:hanging="567"/>
        <w:rPr>
          <w:lang w:val="en-ZA"/>
        </w:rPr>
      </w:pPr>
      <w:r>
        <w:rPr>
          <w:lang w:val="en-ZA"/>
        </w:rPr>
        <w:t>Delivered:</w:t>
      </w:r>
      <w:r>
        <w:rPr>
          <w:lang w:val="en-ZA"/>
        </w:rPr>
        <w:tab/>
      </w:r>
      <w:r w:rsidR="00BE6DFA">
        <w:rPr>
          <w:lang w:val="en-ZA"/>
        </w:rPr>
        <w:t>21 February 2024</w:t>
      </w:r>
    </w:p>
    <w:sectPr w:rsidR="008B546F" w:rsidRPr="008B546F" w:rsidSect="00404AEB">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A8C1F" w14:textId="77777777" w:rsidR="00B67899" w:rsidRDefault="00B67899" w:rsidP="00DF2E74">
      <w:pPr>
        <w:spacing w:after="0" w:line="240" w:lineRule="auto"/>
      </w:pPr>
      <w:r>
        <w:separator/>
      </w:r>
    </w:p>
  </w:endnote>
  <w:endnote w:type="continuationSeparator" w:id="0">
    <w:p w14:paraId="6A8240AB" w14:textId="77777777" w:rsidR="00B67899" w:rsidRDefault="00B67899" w:rsidP="00DF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20D65" w14:textId="77777777" w:rsidR="00B67899" w:rsidRDefault="00B67899" w:rsidP="00DF2E74">
      <w:pPr>
        <w:spacing w:after="0" w:line="240" w:lineRule="auto"/>
      </w:pPr>
      <w:r>
        <w:separator/>
      </w:r>
    </w:p>
  </w:footnote>
  <w:footnote w:type="continuationSeparator" w:id="0">
    <w:p w14:paraId="492DF0F9" w14:textId="77777777" w:rsidR="00B67899" w:rsidRDefault="00B67899" w:rsidP="00DF2E74">
      <w:pPr>
        <w:spacing w:after="0" w:line="240" w:lineRule="auto"/>
      </w:pPr>
      <w:r>
        <w:continuationSeparator/>
      </w:r>
    </w:p>
  </w:footnote>
  <w:footnote w:id="1">
    <w:p w14:paraId="444EC8D9" w14:textId="53172F66" w:rsidR="00C2185E" w:rsidRDefault="00C2185E">
      <w:pPr>
        <w:pStyle w:val="FootnoteText"/>
      </w:pPr>
      <w:r>
        <w:rPr>
          <w:rStyle w:val="FootnoteReference"/>
        </w:rPr>
        <w:footnoteRef/>
      </w:r>
      <w:r>
        <w:t xml:space="preserve"> </w:t>
      </w:r>
      <w:r w:rsidR="003735DA" w:rsidRPr="003735DA">
        <w:rPr>
          <w:i/>
          <w:iCs/>
          <w:szCs w:val="24"/>
        </w:rPr>
        <w:t>Hlumisa Investment Holdings RT Ltd v Kirkinis and Others</w:t>
      </w:r>
      <w:r w:rsidR="003735DA">
        <w:t xml:space="preserve"> </w:t>
      </w:r>
      <w:r>
        <w:t>2020(5)</w:t>
      </w:r>
      <w:r w:rsidR="003735DA">
        <w:t xml:space="preserve"> SA 419 (SCA)</w:t>
      </w:r>
    </w:p>
  </w:footnote>
  <w:footnote w:id="2">
    <w:p w14:paraId="571D7605" w14:textId="52C42B18" w:rsidR="00DD5D44" w:rsidRDefault="00DD5D44">
      <w:pPr>
        <w:pStyle w:val="FootnoteText"/>
      </w:pPr>
      <w:r>
        <w:rPr>
          <w:rStyle w:val="FootnoteReference"/>
        </w:rPr>
        <w:footnoteRef/>
      </w:r>
      <w:r>
        <w:t xml:space="preserve"> </w:t>
      </w:r>
      <w:r w:rsidR="00F03895" w:rsidRPr="00DD5D44">
        <w:rPr>
          <w:i/>
          <w:iCs/>
          <w:szCs w:val="24"/>
        </w:rPr>
        <w:t>Denel(Edms) Bpk v Vorster</w:t>
      </w:r>
      <w:r w:rsidR="00F03895">
        <w:t xml:space="preserve"> </w:t>
      </w:r>
      <w:r>
        <w:t>2004(4) SA 481</w:t>
      </w:r>
      <w:r w:rsidR="00F03895">
        <w:t xml:space="preserve"> (SCA) para 3</w:t>
      </w:r>
    </w:p>
  </w:footnote>
  <w:footnote w:id="3">
    <w:p w14:paraId="4B8B5617" w14:textId="4DD1B7C7" w:rsidR="000F1FA3" w:rsidRDefault="000F1FA3">
      <w:pPr>
        <w:pStyle w:val="FootnoteText"/>
      </w:pPr>
      <w:r>
        <w:rPr>
          <w:rStyle w:val="FootnoteReference"/>
        </w:rPr>
        <w:footnoteRef/>
      </w:r>
      <w:r>
        <w:t xml:space="preserve"> </w:t>
      </w:r>
      <w:r w:rsidRPr="000F1FA3">
        <w:rPr>
          <w:i/>
          <w:iCs/>
          <w:szCs w:val="24"/>
        </w:rPr>
        <w:t>Pieters NO v Absa Bank Limited</w:t>
      </w:r>
      <w:r>
        <w:t xml:space="preserve"> 2017 JDR 0341 (GJ)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54680"/>
      <w:docPartObj>
        <w:docPartGallery w:val="Page Numbers (Top of Page)"/>
        <w:docPartUnique/>
      </w:docPartObj>
    </w:sdtPr>
    <w:sdtEndPr>
      <w:rPr>
        <w:noProof/>
      </w:rPr>
    </w:sdtEndPr>
    <w:sdtContent>
      <w:p w14:paraId="37EFF106" w14:textId="347309A6" w:rsidR="000F1E92" w:rsidRDefault="000F1E92">
        <w:pPr>
          <w:pStyle w:val="Header"/>
          <w:jc w:val="center"/>
        </w:pPr>
        <w:r>
          <w:fldChar w:fldCharType="begin"/>
        </w:r>
        <w:r>
          <w:instrText xml:space="preserve"> PAGE   \* MERGEFORMAT </w:instrText>
        </w:r>
        <w:r>
          <w:fldChar w:fldCharType="separate"/>
        </w:r>
        <w:r w:rsidR="00D16568">
          <w:rPr>
            <w:noProof/>
          </w:rPr>
          <w:t>1</w:t>
        </w:r>
        <w:r>
          <w:rPr>
            <w:noProof/>
          </w:rPr>
          <w:fldChar w:fldCharType="end"/>
        </w:r>
      </w:p>
    </w:sdtContent>
  </w:sdt>
  <w:p w14:paraId="0693C81D" w14:textId="77777777" w:rsidR="000F1E92" w:rsidRDefault="000F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2C223DB7"/>
    <w:multiLevelType w:val="multilevel"/>
    <w:tmpl w:val="A70E33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49E2A55"/>
    <w:multiLevelType w:val="multilevel"/>
    <w:tmpl w:val="696A6CF2"/>
    <w:lvl w:ilvl="0">
      <w:start w:val="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1800" w:hanging="1800"/>
      </w:pPr>
      <w:rPr>
        <w:rFonts w:hint="default"/>
      </w:rPr>
    </w:lvl>
  </w:abstractNum>
  <w:abstractNum w:abstractNumId="6" w15:restartNumberingAfterBreak="0">
    <w:nsid w:val="4D9C0DC4"/>
    <w:multiLevelType w:val="multilevel"/>
    <w:tmpl w:val="8612E6F2"/>
    <w:lvl w:ilvl="0">
      <w:start w:val="5"/>
      <w:numFmt w:val="decimal"/>
      <w:lvlText w:val="%1"/>
      <w:lvlJc w:val="left"/>
      <w:pPr>
        <w:ind w:left="530" w:hanging="530"/>
      </w:pPr>
      <w:rPr>
        <w:rFonts w:hint="default"/>
      </w:rPr>
    </w:lvl>
    <w:lvl w:ilvl="1">
      <w:start w:val="3"/>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0"/>
  </w:num>
  <w:num w:numId="4">
    <w:abstractNumId w:val="1"/>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0MDUwM7A0MTSyNDVW0lEKTi0uzszPAykwrAUAwzEeKCwAAAA="/>
    <w:docVar w:name="dgnword-docGUID" w:val="{AA37F322-35F3-4134-B72F-9777E3B69AA9}"/>
    <w:docVar w:name="dgnword-eventsink" w:val="1905079123744"/>
  </w:docVars>
  <w:rsids>
    <w:rsidRoot w:val="007B37BE"/>
    <w:rsid w:val="000001CA"/>
    <w:rsid w:val="00000CBF"/>
    <w:rsid w:val="00011B53"/>
    <w:rsid w:val="00030893"/>
    <w:rsid w:val="00050073"/>
    <w:rsid w:val="000561A9"/>
    <w:rsid w:val="0006164C"/>
    <w:rsid w:val="00066606"/>
    <w:rsid w:val="00071C37"/>
    <w:rsid w:val="0007444A"/>
    <w:rsid w:val="0008097A"/>
    <w:rsid w:val="00080A22"/>
    <w:rsid w:val="0008635D"/>
    <w:rsid w:val="00094540"/>
    <w:rsid w:val="000974D0"/>
    <w:rsid w:val="000A1B39"/>
    <w:rsid w:val="000B1D63"/>
    <w:rsid w:val="000B75F9"/>
    <w:rsid w:val="000C2653"/>
    <w:rsid w:val="000C40EA"/>
    <w:rsid w:val="000D7736"/>
    <w:rsid w:val="000E4E4B"/>
    <w:rsid w:val="000E57D1"/>
    <w:rsid w:val="000F1E92"/>
    <w:rsid w:val="000F1FA3"/>
    <w:rsid w:val="000F775B"/>
    <w:rsid w:val="001073FF"/>
    <w:rsid w:val="00112111"/>
    <w:rsid w:val="00114B39"/>
    <w:rsid w:val="00117F2F"/>
    <w:rsid w:val="001271E0"/>
    <w:rsid w:val="00130249"/>
    <w:rsid w:val="0013227E"/>
    <w:rsid w:val="0014000F"/>
    <w:rsid w:val="00141F89"/>
    <w:rsid w:val="001569C9"/>
    <w:rsid w:val="0016216C"/>
    <w:rsid w:val="00163982"/>
    <w:rsid w:val="00170765"/>
    <w:rsid w:val="00190E26"/>
    <w:rsid w:val="00191FEB"/>
    <w:rsid w:val="00193277"/>
    <w:rsid w:val="00197DDD"/>
    <w:rsid w:val="001A12C4"/>
    <w:rsid w:val="001A2F2E"/>
    <w:rsid w:val="001A48DE"/>
    <w:rsid w:val="001A5EB9"/>
    <w:rsid w:val="001B48C8"/>
    <w:rsid w:val="001B6BCF"/>
    <w:rsid w:val="001C1C3F"/>
    <w:rsid w:val="001C3576"/>
    <w:rsid w:val="001C5042"/>
    <w:rsid w:val="001C7CC3"/>
    <w:rsid w:val="001D03CA"/>
    <w:rsid w:val="001F2ED9"/>
    <w:rsid w:val="00204B71"/>
    <w:rsid w:val="00204CF1"/>
    <w:rsid w:val="002109BE"/>
    <w:rsid w:val="00211455"/>
    <w:rsid w:val="002119B0"/>
    <w:rsid w:val="00223B20"/>
    <w:rsid w:val="00227EE1"/>
    <w:rsid w:val="00231F7B"/>
    <w:rsid w:val="002339AD"/>
    <w:rsid w:val="00233DC1"/>
    <w:rsid w:val="00245EE5"/>
    <w:rsid w:val="0024636E"/>
    <w:rsid w:val="002573B0"/>
    <w:rsid w:val="00265941"/>
    <w:rsid w:val="0027094B"/>
    <w:rsid w:val="00276E84"/>
    <w:rsid w:val="002853E5"/>
    <w:rsid w:val="00285C64"/>
    <w:rsid w:val="0029113F"/>
    <w:rsid w:val="0029238D"/>
    <w:rsid w:val="0029320A"/>
    <w:rsid w:val="002A7DC9"/>
    <w:rsid w:val="002B054F"/>
    <w:rsid w:val="002B448C"/>
    <w:rsid w:val="002B6D76"/>
    <w:rsid w:val="002C1EC2"/>
    <w:rsid w:val="002C25B3"/>
    <w:rsid w:val="002C54B3"/>
    <w:rsid w:val="002D43B7"/>
    <w:rsid w:val="002D5F2A"/>
    <w:rsid w:val="002D6763"/>
    <w:rsid w:val="002E37B0"/>
    <w:rsid w:val="002E6F66"/>
    <w:rsid w:val="00300542"/>
    <w:rsid w:val="003075AD"/>
    <w:rsid w:val="00307B71"/>
    <w:rsid w:val="00307D21"/>
    <w:rsid w:val="00312C06"/>
    <w:rsid w:val="0031507E"/>
    <w:rsid w:val="00325311"/>
    <w:rsid w:val="003331F2"/>
    <w:rsid w:val="00334D06"/>
    <w:rsid w:val="003367D3"/>
    <w:rsid w:val="003371F4"/>
    <w:rsid w:val="00340935"/>
    <w:rsid w:val="00341B87"/>
    <w:rsid w:val="00342366"/>
    <w:rsid w:val="00342C28"/>
    <w:rsid w:val="00344901"/>
    <w:rsid w:val="003524D7"/>
    <w:rsid w:val="00354044"/>
    <w:rsid w:val="00365771"/>
    <w:rsid w:val="003673B7"/>
    <w:rsid w:val="003735DA"/>
    <w:rsid w:val="003771E1"/>
    <w:rsid w:val="00377EA5"/>
    <w:rsid w:val="003949E0"/>
    <w:rsid w:val="00395DD6"/>
    <w:rsid w:val="003A3BA5"/>
    <w:rsid w:val="003B0BEA"/>
    <w:rsid w:val="003B23EE"/>
    <w:rsid w:val="003B5A57"/>
    <w:rsid w:val="003C14AB"/>
    <w:rsid w:val="003D1065"/>
    <w:rsid w:val="003D36BD"/>
    <w:rsid w:val="003D43E8"/>
    <w:rsid w:val="003E1F8E"/>
    <w:rsid w:val="003E4DA7"/>
    <w:rsid w:val="003E6043"/>
    <w:rsid w:val="003F1A92"/>
    <w:rsid w:val="0040056D"/>
    <w:rsid w:val="00404AEB"/>
    <w:rsid w:val="004076A7"/>
    <w:rsid w:val="004150AA"/>
    <w:rsid w:val="00424952"/>
    <w:rsid w:val="00424F72"/>
    <w:rsid w:val="0042514F"/>
    <w:rsid w:val="004265D1"/>
    <w:rsid w:val="0043318B"/>
    <w:rsid w:val="00434F9B"/>
    <w:rsid w:val="0043516E"/>
    <w:rsid w:val="00440505"/>
    <w:rsid w:val="004409D5"/>
    <w:rsid w:val="00482073"/>
    <w:rsid w:val="0048207E"/>
    <w:rsid w:val="00482911"/>
    <w:rsid w:val="00485D8F"/>
    <w:rsid w:val="004A2E7D"/>
    <w:rsid w:val="004A30FB"/>
    <w:rsid w:val="004A4A4B"/>
    <w:rsid w:val="004A4AA6"/>
    <w:rsid w:val="004A7F7E"/>
    <w:rsid w:val="004B0BD7"/>
    <w:rsid w:val="004B685D"/>
    <w:rsid w:val="004C38A8"/>
    <w:rsid w:val="004D4D19"/>
    <w:rsid w:val="004D60D9"/>
    <w:rsid w:val="004D73A0"/>
    <w:rsid w:val="004E643D"/>
    <w:rsid w:val="004F1548"/>
    <w:rsid w:val="004F6706"/>
    <w:rsid w:val="005064CD"/>
    <w:rsid w:val="005101A1"/>
    <w:rsid w:val="0051028E"/>
    <w:rsid w:val="00513994"/>
    <w:rsid w:val="005278D5"/>
    <w:rsid w:val="00527C18"/>
    <w:rsid w:val="00531BFF"/>
    <w:rsid w:val="00534A35"/>
    <w:rsid w:val="00534ADA"/>
    <w:rsid w:val="00534EFC"/>
    <w:rsid w:val="00542363"/>
    <w:rsid w:val="00545FE2"/>
    <w:rsid w:val="00551A39"/>
    <w:rsid w:val="005527CE"/>
    <w:rsid w:val="00554ACC"/>
    <w:rsid w:val="0055728B"/>
    <w:rsid w:val="00564947"/>
    <w:rsid w:val="005700E1"/>
    <w:rsid w:val="0057390C"/>
    <w:rsid w:val="0057485E"/>
    <w:rsid w:val="005830F9"/>
    <w:rsid w:val="0058513B"/>
    <w:rsid w:val="00585A02"/>
    <w:rsid w:val="00592873"/>
    <w:rsid w:val="00593D5C"/>
    <w:rsid w:val="00595ADF"/>
    <w:rsid w:val="00596FD5"/>
    <w:rsid w:val="00597AAD"/>
    <w:rsid w:val="005B2EEE"/>
    <w:rsid w:val="005B30CE"/>
    <w:rsid w:val="005C080A"/>
    <w:rsid w:val="005D298F"/>
    <w:rsid w:val="005D58CC"/>
    <w:rsid w:val="005D5ECF"/>
    <w:rsid w:val="005D66AF"/>
    <w:rsid w:val="005E4560"/>
    <w:rsid w:val="005E5608"/>
    <w:rsid w:val="005F3480"/>
    <w:rsid w:val="005F53FD"/>
    <w:rsid w:val="00612085"/>
    <w:rsid w:val="006127B2"/>
    <w:rsid w:val="00632A04"/>
    <w:rsid w:val="00643F8F"/>
    <w:rsid w:val="006441F6"/>
    <w:rsid w:val="006444A0"/>
    <w:rsid w:val="00646504"/>
    <w:rsid w:val="00647CBF"/>
    <w:rsid w:val="006544DF"/>
    <w:rsid w:val="00656511"/>
    <w:rsid w:val="006600E1"/>
    <w:rsid w:val="0066070B"/>
    <w:rsid w:val="006615C8"/>
    <w:rsid w:val="00662D97"/>
    <w:rsid w:val="00672321"/>
    <w:rsid w:val="00680A51"/>
    <w:rsid w:val="00681A92"/>
    <w:rsid w:val="00685F0C"/>
    <w:rsid w:val="006933B4"/>
    <w:rsid w:val="00695EAF"/>
    <w:rsid w:val="00696289"/>
    <w:rsid w:val="00696896"/>
    <w:rsid w:val="006A3D53"/>
    <w:rsid w:val="006A4303"/>
    <w:rsid w:val="006A52C9"/>
    <w:rsid w:val="006B7B19"/>
    <w:rsid w:val="006C09CC"/>
    <w:rsid w:val="006C1C5F"/>
    <w:rsid w:val="006C7581"/>
    <w:rsid w:val="006D1088"/>
    <w:rsid w:val="006E5D6B"/>
    <w:rsid w:val="006E7967"/>
    <w:rsid w:val="006F0237"/>
    <w:rsid w:val="006F361C"/>
    <w:rsid w:val="006F6525"/>
    <w:rsid w:val="006F7AD5"/>
    <w:rsid w:val="00701730"/>
    <w:rsid w:val="00703B90"/>
    <w:rsid w:val="00713DF4"/>
    <w:rsid w:val="00732C52"/>
    <w:rsid w:val="007610A6"/>
    <w:rsid w:val="007616FD"/>
    <w:rsid w:val="00763CEC"/>
    <w:rsid w:val="00764630"/>
    <w:rsid w:val="00766783"/>
    <w:rsid w:val="00770A41"/>
    <w:rsid w:val="00782B2D"/>
    <w:rsid w:val="0078320F"/>
    <w:rsid w:val="00784238"/>
    <w:rsid w:val="00784D41"/>
    <w:rsid w:val="00787C85"/>
    <w:rsid w:val="00792A8C"/>
    <w:rsid w:val="00794DCB"/>
    <w:rsid w:val="007A71DB"/>
    <w:rsid w:val="007B351D"/>
    <w:rsid w:val="007B37BE"/>
    <w:rsid w:val="007B664E"/>
    <w:rsid w:val="007B7F59"/>
    <w:rsid w:val="007C54E5"/>
    <w:rsid w:val="007C6B8C"/>
    <w:rsid w:val="007E1044"/>
    <w:rsid w:val="007E28C1"/>
    <w:rsid w:val="007E5C59"/>
    <w:rsid w:val="007E6823"/>
    <w:rsid w:val="007F3F09"/>
    <w:rsid w:val="007F6ABF"/>
    <w:rsid w:val="00814E67"/>
    <w:rsid w:val="00824601"/>
    <w:rsid w:val="00833EAC"/>
    <w:rsid w:val="008477DE"/>
    <w:rsid w:val="00853EA1"/>
    <w:rsid w:val="00860017"/>
    <w:rsid w:val="008679D6"/>
    <w:rsid w:val="008713AD"/>
    <w:rsid w:val="00873C87"/>
    <w:rsid w:val="00894348"/>
    <w:rsid w:val="008A1290"/>
    <w:rsid w:val="008A54BD"/>
    <w:rsid w:val="008B3D79"/>
    <w:rsid w:val="008B546F"/>
    <w:rsid w:val="008C2466"/>
    <w:rsid w:val="008C5445"/>
    <w:rsid w:val="008C56EA"/>
    <w:rsid w:val="008D4D2B"/>
    <w:rsid w:val="008D745D"/>
    <w:rsid w:val="008E3020"/>
    <w:rsid w:val="008F0242"/>
    <w:rsid w:val="008F31EF"/>
    <w:rsid w:val="008F3D53"/>
    <w:rsid w:val="0090753E"/>
    <w:rsid w:val="009136F2"/>
    <w:rsid w:val="00915463"/>
    <w:rsid w:val="009236E5"/>
    <w:rsid w:val="00926EA1"/>
    <w:rsid w:val="00937DEC"/>
    <w:rsid w:val="00942BD3"/>
    <w:rsid w:val="009506BD"/>
    <w:rsid w:val="00960C24"/>
    <w:rsid w:val="0096409A"/>
    <w:rsid w:val="00964545"/>
    <w:rsid w:val="00964587"/>
    <w:rsid w:val="00971FF6"/>
    <w:rsid w:val="00973E17"/>
    <w:rsid w:val="00975ACA"/>
    <w:rsid w:val="00981480"/>
    <w:rsid w:val="00981F47"/>
    <w:rsid w:val="00987350"/>
    <w:rsid w:val="0099102B"/>
    <w:rsid w:val="00992458"/>
    <w:rsid w:val="009B0B15"/>
    <w:rsid w:val="009B3F4A"/>
    <w:rsid w:val="009B471B"/>
    <w:rsid w:val="009B61D3"/>
    <w:rsid w:val="009B66E1"/>
    <w:rsid w:val="009C01F6"/>
    <w:rsid w:val="009C08C0"/>
    <w:rsid w:val="009C34D1"/>
    <w:rsid w:val="009C46FA"/>
    <w:rsid w:val="009E27B9"/>
    <w:rsid w:val="009E4170"/>
    <w:rsid w:val="009E5050"/>
    <w:rsid w:val="009E5516"/>
    <w:rsid w:val="00A065BF"/>
    <w:rsid w:val="00A10FF0"/>
    <w:rsid w:val="00A1341C"/>
    <w:rsid w:val="00A1739D"/>
    <w:rsid w:val="00A17452"/>
    <w:rsid w:val="00A23A71"/>
    <w:rsid w:val="00A25087"/>
    <w:rsid w:val="00A27C6D"/>
    <w:rsid w:val="00A451D5"/>
    <w:rsid w:val="00A45E49"/>
    <w:rsid w:val="00A54116"/>
    <w:rsid w:val="00A56245"/>
    <w:rsid w:val="00A62351"/>
    <w:rsid w:val="00A6487B"/>
    <w:rsid w:val="00A64F28"/>
    <w:rsid w:val="00A6500C"/>
    <w:rsid w:val="00A664C2"/>
    <w:rsid w:val="00A67436"/>
    <w:rsid w:val="00A675D4"/>
    <w:rsid w:val="00A72F11"/>
    <w:rsid w:val="00A771BB"/>
    <w:rsid w:val="00A83A79"/>
    <w:rsid w:val="00A86F58"/>
    <w:rsid w:val="00A95B34"/>
    <w:rsid w:val="00A9766E"/>
    <w:rsid w:val="00AA68EA"/>
    <w:rsid w:val="00AB7ADB"/>
    <w:rsid w:val="00AC1404"/>
    <w:rsid w:val="00AC4468"/>
    <w:rsid w:val="00AC48C0"/>
    <w:rsid w:val="00AC4FA4"/>
    <w:rsid w:val="00AC53FA"/>
    <w:rsid w:val="00AD03BE"/>
    <w:rsid w:val="00AD2323"/>
    <w:rsid w:val="00AD3D2B"/>
    <w:rsid w:val="00AD54DE"/>
    <w:rsid w:val="00AE2BAD"/>
    <w:rsid w:val="00AE3679"/>
    <w:rsid w:val="00AE4B98"/>
    <w:rsid w:val="00AE7AE6"/>
    <w:rsid w:val="00AF054E"/>
    <w:rsid w:val="00AF54E9"/>
    <w:rsid w:val="00B00965"/>
    <w:rsid w:val="00B00BA2"/>
    <w:rsid w:val="00B14E4D"/>
    <w:rsid w:val="00B30124"/>
    <w:rsid w:val="00B330C8"/>
    <w:rsid w:val="00B40BF7"/>
    <w:rsid w:val="00B53C21"/>
    <w:rsid w:val="00B547AB"/>
    <w:rsid w:val="00B54E7F"/>
    <w:rsid w:val="00B57750"/>
    <w:rsid w:val="00B67899"/>
    <w:rsid w:val="00B708A0"/>
    <w:rsid w:val="00B70A45"/>
    <w:rsid w:val="00B87974"/>
    <w:rsid w:val="00B97D5A"/>
    <w:rsid w:val="00BA184E"/>
    <w:rsid w:val="00BA1D07"/>
    <w:rsid w:val="00BA3A5D"/>
    <w:rsid w:val="00BA6B7B"/>
    <w:rsid w:val="00BA6C85"/>
    <w:rsid w:val="00BB5126"/>
    <w:rsid w:val="00BB56B9"/>
    <w:rsid w:val="00BB6F4A"/>
    <w:rsid w:val="00BC3D6E"/>
    <w:rsid w:val="00BC6406"/>
    <w:rsid w:val="00BD02B8"/>
    <w:rsid w:val="00BD56B6"/>
    <w:rsid w:val="00BE06DF"/>
    <w:rsid w:val="00BE0C59"/>
    <w:rsid w:val="00BE6DFA"/>
    <w:rsid w:val="00BE77E5"/>
    <w:rsid w:val="00C01026"/>
    <w:rsid w:val="00C04B23"/>
    <w:rsid w:val="00C05214"/>
    <w:rsid w:val="00C142DE"/>
    <w:rsid w:val="00C2185E"/>
    <w:rsid w:val="00C224EF"/>
    <w:rsid w:val="00C22C37"/>
    <w:rsid w:val="00C249E2"/>
    <w:rsid w:val="00C25706"/>
    <w:rsid w:val="00C33D44"/>
    <w:rsid w:val="00C33F0C"/>
    <w:rsid w:val="00C41C24"/>
    <w:rsid w:val="00C43791"/>
    <w:rsid w:val="00C465D4"/>
    <w:rsid w:val="00C52277"/>
    <w:rsid w:val="00C53875"/>
    <w:rsid w:val="00C67E95"/>
    <w:rsid w:val="00C7729F"/>
    <w:rsid w:val="00C77EEF"/>
    <w:rsid w:val="00C81DCA"/>
    <w:rsid w:val="00C8275F"/>
    <w:rsid w:val="00C83319"/>
    <w:rsid w:val="00C838F9"/>
    <w:rsid w:val="00C92B68"/>
    <w:rsid w:val="00CA7865"/>
    <w:rsid w:val="00CB4683"/>
    <w:rsid w:val="00CB5A27"/>
    <w:rsid w:val="00CB678C"/>
    <w:rsid w:val="00CC0535"/>
    <w:rsid w:val="00CC11D6"/>
    <w:rsid w:val="00CC26FB"/>
    <w:rsid w:val="00CD0BB8"/>
    <w:rsid w:val="00CE6FA5"/>
    <w:rsid w:val="00CE7535"/>
    <w:rsid w:val="00CE76AA"/>
    <w:rsid w:val="00CF08CA"/>
    <w:rsid w:val="00D0050A"/>
    <w:rsid w:val="00D041BE"/>
    <w:rsid w:val="00D16191"/>
    <w:rsid w:val="00D16568"/>
    <w:rsid w:val="00D24343"/>
    <w:rsid w:val="00D24460"/>
    <w:rsid w:val="00D2500E"/>
    <w:rsid w:val="00D2538F"/>
    <w:rsid w:val="00D2733C"/>
    <w:rsid w:val="00D30F9E"/>
    <w:rsid w:val="00D35A64"/>
    <w:rsid w:val="00D43384"/>
    <w:rsid w:val="00D43BE8"/>
    <w:rsid w:val="00D465E5"/>
    <w:rsid w:val="00D46819"/>
    <w:rsid w:val="00D4689F"/>
    <w:rsid w:val="00D50E75"/>
    <w:rsid w:val="00D522A5"/>
    <w:rsid w:val="00D56A97"/>
    <w:rsid w:val="00D60C8F"/>
    <w:rsid w:val="00D63C10"/>
    <w:rsid w:val="00D714A9"/>
    <w:rsid w:val="00D725C9"/>
    <w:rsid w:val="00D80F4C"/>
    <w:rsid w:val="00D856D4"/>
    <w:rsid w:val="00D862FF"/>
    <w:rsid w:val="00D872A3"/>
    <w:rsid w:val="00D93F0E"/>
    <w:rsid w:val="00D9561C"/>
    <w:rsid w:val="00D95734"/>
    <w:rsid w:val="00D95D0C"/>
    <w:rsid w:val="00D961A0"/>
    <w:rsid w:val="00D976DC"/>
    <w:rsid w:val="00DA33BB"/>
    <w:rsid w:val="00DA5B7D"/>
    <w:rsid w:val="00DA7CC9"/>
    <w:rsid w:val="00DB62F8"/>
    <w:rsid w:val="00DC086C"/>
    <w:rsid w:val="00DC110A"/>
    <w:rsid w:val="00DC1550"/>
    <w:rsid w:val="00DC2AA1"/>
    <w:rsid w:val="00DD0444"/>
    <w:rsid w:val="00DD5D44"/>
    <w:rsid w:val="00DE5511"/>
    <w:rsid w:val="00DE7DED"/>
    <w:rsid w:val="00DF2E74"/>
    <w:rsid w:val="00E01DB2"/>
    <w:rsid w:val="00E10803"/>
    <w:rsid w:val="00E108BA"/>
    <w:rsid w:val="00E1173A"/>
    <w:rsid w:val="00E12177"/>
    <w:rsid w:val="00E20548"/>
    <w:rsid w:val="00E236AB"/>
    <w:rsid w:val="00E2715D"/>
    <w:rsid w:val="00E31E92"/>
    <w:rsid w:val="00E41ABB"/>
    <w:rsid w:val="00E50244"/>
    <w:rsid w:val="00E52759"/>
    <w:rsid w:val="00E52981"/>
    <w:rsid w:val="00E647BD"/>
    <w:rsid w:val="00E67A95"/>
    <w:rsid w:val="00E74746"/>
    <w:rsid w:val="00E80023"/>
    <w:rsid w:val="00E8118C"/>
    <w:rsid w:val="00E94176"/>
    <w:rsid w:val="00EA5CC4"/>
    <w:rsid w:val="00EB01DA"/>
    <w:rsid w:val="00EC00BE"/>
    <w:rsid w:val="00EC4A1A"/>
    <w:rsid w:val="00EC6346"/>
    <w:rsid w:val="00ED6E28"/>
    <w:rsid w:val="00ED7E1D"/>
    <w:rsid w:val="00EF1142"/>
    <w:rsid w:val="00EF169E"/>
    <w:rsid w:val="00EF4EED"/>
    <w:rsid w:val="00EF4F19"/>
    <w:rsid w:val="00EF5E04"/>
    <w:rsid w:val="00F00E56"/>
    <w:rsid w:val="00F03895"/>
    <w:rsid w:val="00F07766"/>
    <w:rsid w:val="00F11F93"/>
    <w:rsid w:val="00F128C9"/>
    <w:rsid w:val="00F15CDB"/>
    <w:rsid w:val="00F30E88"/>
    <w:rsid w:val="00F34C63"/>
    <w:rsid w:val="00F36D11"/>
    <w:rsid w:val="00F40F22"/>
    <w:rsid w:val="00F41CA0"/>
    <w:rsid w:val="00F52BEE"/>
    <w:rsid w:val="00F531FE"/>
    <w:rsid w:val="00F5577A"/>
    <w:rsid w:val="00F63119"/>
    <w:rsid w:val="00F720DC"/>
    <w:rsid w:val="00F739A9"/>
    <w:rsid w:val="00F73C51"/>
    <w:rsid w:val="00F74A75"/>
    <w:rsid w:val="00F7684D"/>
    <w:rsid w:val="00F7724D"/>
    <w:rsid w:val="00F941FE"/>
    <w:rsid w:val="00F97592"/>
    <w:rsid w:val="00F97D28"/>
    <w:rsid w:val="00FA1DC9"/>
    <w:rsid w:val="00FA2724"/>
    <w:rsid w:val="00FB086B"/>
    <w:rsid w:val="00FD2B27"/>
    <w:rsid w:val="00FD2D13"/>
    <w:rsid w:val="00FD35B2"/>
    <w:rsid w:val="00FD7270"/>
    <w:rsid w:val="00FD7899"/>
    <w:rsid w:val="00FE490E"/>
    <w:rsid w:val="00FE657F"/>
    <w:rsid w:val="00FF6A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D89A2"/>
  <w15:chartTrackingRefBased/>
  <w15:docId w15:val="{1570BEFD-46C5-4027-80D8-81346E4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DF2E74"/>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DF2E74"/>
    <w:rPr>
      <w:rFonts w:ascii="Arial" w:hAnsi="Arial"/>
      <w:sz w:val="20"/>
      <w:szCs w:val="20"/>
      <w:lang w:val="en-GB"/>
    </w:rPr>
  </w:style>
  <w:style w:type="character" w:styleId="FootnoteReference">
    <w:name w:val="footnote reference"/>
    <w:basedOn w:val="DefaultParagraphFont"/>
    <w:uiPriority w:val="99"/>
    <w:rsid w:val="00DF2E74"/>
    <w:rPr>
      <w:rFonts w:cs="Times New Roman"/>
      <w:vertAlign w:val="superscript"/>
    </w:rPr>
  </w:style>
  <w:style w:type="paragraph" w:customStyle="1" w:styleId="1">
    <w:name w:val="1"/>
    <w:basedOn w:val="BodyText"/>
    <w:link w:val="1Char"/>
    <w:qFormat/>
    <w:rsid w:val="00231F7B"/>
    <w:pPr>
      <w:numPr>
        <w:numId w:val="8"/>
      </w:numPr>
      <w:spacing w:before="480" w:after="0" w:line="480" w:lineRule="auto"/>
    </w:pPr>
    <w:rPr>
      <w:rFonts w:eastAsia="Times New Roman"/>
      <w:iCs/>
      <w:color w:val="000000"/>
    </w:rPr>
  </w:style>
  <w:style w:type="paragraph" w:customStyle="1" w:styleId="3">
    <w:name w:val="3"/>
    <w:basedOn w:val="2"/>
    <w:qFormat/>
    <w:rsid w:val="00231F7B"/>
    <w:pPr>
      <w:numPr>
        <w:ilvl w:val="2"/>
      </w:numPr>
      <w:tabs>
        <w:tab w:val="clear" w:pos="2552"/>
        <w:tab w:val="num" w:pos="360"/>
        <w:tab w:val="num" w:pos="1701"/>
        <w:tab w:val="num" w:pos="1980"/>
      </w:tabs>
      <w:ind w:left="1980" w:hanging="180"/>
    </w:pPr>
  </w:style>
  <w:style w:type="paragraph" w:customStyle="1" w:styleId="4">
    <w:name w:val="4"/>
    <w:basedOn w:val="2"/>
    <w:qFormat/>
    <w:rsid w:val="00231F7B"/>
    <w:pPr>
      <w:numPr>
        <w:ilvl w:val="3"/>
      </w:numPr>
      <w:tabs>
        <w:tab w:val="clear" w:pos="3062"/>
        <w:tab w:val="num" w:pos="360"/>
        <w:tab w:val="num" w:pos="2700"/>
      </w:tabs>
      <w:ind w:left="2700" w:hanging="360"/>
    </w:pPr>
    <w:rPr>
      <w:iCs w:val="0"/>
    </w:rPr>
  </w:style>
  <w:style w:type="paragraph" w:customStyle="1" w:styleId="5">
    <w:name w:val="5"/>
    <w:basedOn w:val="4"/>
    <w:qFormat/>
    <w:rsid w:val="00231F7B"/>
    <w:pPr>
      <w:numPr>
        <w:ilvl w:val="4"/>
      </w:numPr>
      <w:tabs>
        <w:tab w:val="clear" w:pos="3515"/>
        <w:tab w:val="num" w:pos="360"/>
        <w:tab w:val="num" w:pos="2700"/>
        <w:tab w:val="num" w:pos="3420"/>
      </w:tabs>
      <w:ind w:left="3420" w:hanging="360"/>
    </w:pPr>
    <w:rPr>
      <w:iCs/>
      <w:szCs w:val="16"/>
      <w:lang w:eastAsia="en-ZA"/>
    </w:rPr>
  </w:style>
  <w:style w:type="paragraph" w:customStyle="1" w:styleId="2">
    <w:name w:val="2"/>
    <w:basedOn w:val="1"/>
    <w:qFormat/>
    <w:rsid w:val="00231F7B"/>
    <w:pPr>
      <w:numPr>
        <w:ilvl w:val="1"/>
      </w:numPr>
      <w:tabs>
        <w:tab w:val="clear" w:pos="1588"/>
        <w:tab w:val="num" w:pos="360"/>
      </w:tabs>
      <w:spacing w:before="240"/>
      <w:ind w:left="1134" w:hanging="567"/>
    </w:pPr>
  </w:style>
  <w:style w:type="character" w:customStyle="1" w:styleId="1Char">
    <w:name w:val="1 Char"/>
    <w:basedOn w:val="DefaultParagraphFont"/>
    <w:link w:val="1"/>
    <w:rsid w:val="00231F7B"/>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231F7B"/>
    <w:pPr>
      <w:spacing w:after="120"/>
    </w:pPr>
  </w:style>
  <w:style w:type="character" w:customStyle="1" w:styleId="BodyTextChar">
    <w:name w:val="Body Text Char"/>
    <w:basedOn w:val="DefaultParagraphFont"/>
    <w:link w:val="BodyText"/>
    <w:uiPriority w:val="99"/>
    <w:semiHidden/>
    <w:rsid w:val="00231F7B"/>
    <w:rPr>
      <w:rFonts w:ascii="Arial" w:hAnsi="Arial"/>
      <w:sz w:val="24"/>
      <w:lang w:val="en-GB"/>
    </w:rPr>
  </w:style>
  <w:style w:type="paragraph" w:styleId="Header">
    <w:name w:val="header"/>
    <w:basedOn w:val="Normal"/>
    <w:link w:val="HeaderChar"/>
    <w:uiPriority w:val="99"/>
    <w:unhideWhenUsed/>
    <w:rsid w:val="000F1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E92"/>
    <w:rPr>
      <w:rFonts w:ascii="Arial" w:hAnsi="Arial"/>
      <w:sz w:val="24"/>
      <w:lang w:val="en-GB"/>
    </w:rPr>
  </w:style>
  <w:style w:type="paragraph" w:styleId="Footer">
    <w:name w:val="footer"/>
    <w:basedOn w:val="Normal"/>
    <w:link w:val="FooterChar"/>
    <w:uiPriority w:val="99"/>
    <w:unhideWhenUsed/>
    <w:rsid w:val="000F1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E92"/>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375610">
      <w:bodyDiv w:val="1"/>
      <w:marLeft w:val="0"/>
      <w:marRight w:val="0"/>
      <w:marTop w:val="0"/>
      <w:marBottom w:val="0"/>
      <w:divBdr>
        <w:top w:val="none" w:sz="0" w:space="0" w:color="auto"/>
        <w:left w:val="none" w:sz="0" w:space="0" w:color="auto"/>
        <w:bottom w:val="none" w:sz="0" w:space="0" w:color="auto"/>
        <w:right w:val="none" w:sz="0" w:space="0" w:color="auto"/>
      </w:divBdr>
      <w:divsChild>
        <w:div w:id="117796664">
          <w:marLeft w:val="0"/>
          <w:marRight w:val="0"/>
          <w:marTop w:val="120"/>
          <w:marBottom w:val="0"/>
          <w:divBdr>
            <w:top w:val="none" w:sz="0" w:space="0" w:color="auto"/>
            <w:left w:val="none" w:sz="0" w:space="0" w:color="auto"/>
            <w:bottom w:val="none" w:sz="0" w:space="0" w:color="auto"/>
            <w:right w:val="none" w:sz="0" w:space="0" w:color="auto"/>
          </w:divBdr>
        </w:div>
        <w:div w:id="1855731501">
          <w:marLeft w:val="0"/>
          <w:marRight w:val="0"/>
          <w:marTop w:val="240"/>
          <w:marBottom w:val="24"/>
          <w:divBdr>
            <w:top w:val="none" w:sz="0" w:space="0" w:color="auto"/>
            <w:left w:val="none" w:sz="0" w:space="0" w:color="auto"/>
            <w:bottom w:val="none" w:sz="0" w:space="0" w:color="auto"/>
            <w:right w:val="none" w:sz="0" w:space="0" w:color="auto"/>
          </w:divBdr>
        </w:div>
        <w:div w:id="1254777597">
          <w:marLeft w:val="0"/>
          <w:marRight w:val="0"/>
          <w:marTop w:val="120"/>
          <w:marBottom w:val="0"/>
          <w:divBdr>
            <w:top w:val="none" w:sz="0" w:space="0" w:color="auto"/>
            <w:left w:val="none" w:sz="0" w:space="0" w:color="auto"/>
            <w:bottom w:val="none" w:sz="0" w:space="0" w:color="auto"/>
            <w:right w:val="none" w:sz="0" w:space="0" w:color="auto"/>
          </w:divBdr>
        </w:div>
      </w:divsChild>
    </w:div>
    <w:div w:id="1176380728">
      <w:bodyDiv w:val="1"/>
      <w:marLeft w:val="0"/>
      <w:marRight w:val="0"/>
      <w:marTop w:val="0"/>
      <w:marBottom w:val="0"/>
      <w:divBdr>
        <w:top w:val="none" w:sz="0" w:space="0" w:color="auto"/>
        <w:left w:val="none" w:sz="0" w:space="0" w:color="auto"/>
        <w:bottom w:val="none" w:sz="0" w:space="0" w:color="auto"/>
        <w:right w:val="none" w:sz="0" w:space="0" w:color="auto"/>
      </w:divBdr>
      <w:divsChild>
        <w:div w:id="197663851">
          <w:marLeft w:val="0"/>
          <w:marRight w:val="0"/>
          <w:marTop w:val="120"/>
          <w:marBottom w:val="0"/>
          <w:divBdr>
            <w:top w:val="none" w:sz="0" w:space="0" w:color="auto"/>
            <w:left w:val="none" w:sz="0" w:space="0" w:color="auto"/>
            <w:bottom w:val="none" w:sz="0" w:space="0" w:color="auto"/>
            <w:right w:val="none" w:sz="0" w:space="0" w:color="auto"/>
          </w:divBdr>
        </w:div>
        <w:div w:id="1005743391">
          <w:marLeft w:val="0"/>
          <w:marRight w:val="0"/>
          <w:marTop w:val="240"/>
          <w:marBottom w:val="24"/>
          <w:divBdr>
            <w:top w:val="none" w:sz="0" w:space="0" w:color="auto"/>
            <w:left w:val="none" w:sz="0" w:space="0" w:color="auto"/>
            <w:bottom w:val="none" w:sz="0" w:space="0" w:color="auto"/>
            <w:right w:val="none" w:sz="0" w:space="0" w:color="auto"/>
          </w:divBdr>
        </w:div>
        <w:div w:id="16278148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OneDrive%20-%20judiciary.org.za\Documents\Judgments%202023\Orkin%20v%20Goldleaf%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02A1-AD25-48FC-AB03-1DD4346D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Orkin v Goldleaf New Template</Template>
  <TotalTime>0</TotalTime>
  <Pages>10</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Tshwarelo Mabina</cp:lastModifiedBy>
  <cp:revision>2</cp:revision>
  <dcterms:created xsi:type="dcterms:W3CDTF">2024-02-21T10:33:00Z</dcterms:created>
  <dcterms:modified xsi:type="dcterms:W3CDTF">2024-02-21T10:33:00Z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a1c72afcd36c9bd3c298ab9d95c550e1b29c4bc3975fe8e1ce2eacdc4aa514db</vt:lpwstr>
  </property>
</Properties>
</file>