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571" w14:textId="77777777" w:rsidR="001E2697" w:rsidRDefault="001E2697" w:rsidP="001E2697">
      <w:pPr>
        <w:spacing w:line="360" w:lineRule="auto"/>
        <w:ind w:leftChars="-38" w:left="-91"/>
        <w:jc w:val="center"/>
        <w:rPr>
          <w:rFonts w:cs="Arial"/>
          <w:b/>
        </w:rPr>
      </w:pPr>
      <w:bookmarkStart w:id="0" w:name="_GoBack"/>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104B9B65" w:rsidR="001E2697" w:rsidRPr="00840C12" w:rsidRDefault="001E2697" w:rsidP="00382F38">
      <w:pPr>
        <w:tabs>
          <w:tab w:val="left" w:pos="-720"/>
        </w:tabs>
        <w:suppressAutoHyphens/>
        <w:jc w:val="right"/>
        <w:rPr>
          <w:rFonts w:cs="Arial"/>
          <w:b/>
          <w:bCs/>
          <w:spacing w:val="-3"/>
        </w:rPr>
      </w:pPr>
      <w:r>
        <w:rPr>
          <w:rFonts w:cs="Arial"/>
          <w:b/>
          <w:bCs/>
          <w:spacing w:val="-3"/>
        </w:rPr>
        <w:t>CASE NUMBER:</w:t>
      </w:r>
      <w:r w:rsidR="00B210FC">
        <w:rPr>
          <w:rFonts w:cs="Arial"/>
          <w:b/>
          <w:bCs/>
          <w:spacing w:val="-3"/>
        </w:rPr>
        <w:t xml:space="preserve"> A2023/</w:t>
      </w:r>
      <w:r w:rsidR="001755E1">
        <w:rPr>
          <w:rFonts w:cs="Arial"/>
          <w:b/>
          <w:bCs/>
          <w:spacing w:val="-3"/>
        </w:rPr>
        <w:t>055189</w:t>
      </w:r>
      <w:r w:rsidR="00B976D8">
        <w:rPr>
          <w:rFonts w:cs="Arial"/>
          <w:b/>
          <w:bCs/>
          <w:spacing w:val="-3"/>
        </w:rPr>
        <w:t xml:space="preserve">  </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ED0134">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ED0134">
            <w:pPr>
              <w:jc w:val="both"/>
              <w:rPr>
                <w:rFonts w:cs="Arial"/>
                <w:sz w:val="16"/>
                <w:szCs w:val="16"/>
              </w:rPr>
            </w:pPr>
          </w:p>
          <w:p w14:paraId="367F2BD7" w14:textId="77777777" w:rsidR="001E2697" w:rsidRPr="008B170D" w:rsidRDefault="001E2697" w:rsidP="00ED0134">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ED0134">
            <w:pPr>
              <w:ind w:left="180"/>
              <w:jc w:val="center"/>
              <w:rPr>
                <w:rFonts w:cs="Arial"/>
                <w:b/>
                <w:bCs/>
                <w:color w:val="FF0000"/>
                <w:sz w:val="18"/>
                <w:szCs w:val="18"/>
                <w:u w:val="single"/>
              </w:rPr>
            </w:pPr>
          </w:p>
          <w:p w14:paraId="6D072193" w14:textId="671524F7" w:rsidR="001E2697" w:rsidRPr="008B170D" w:rsidRDefault="001E2697" w:rsidP="00ED0134">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B25B6F">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73DA75FD" w:rsidR="001E2697" w:rsidRPr="008B170D" w:rsidRDefault="001E2697" w:rsidP="00ED0134">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25B6F">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24E6769D" w14:textId="7659F644" w:rsidR="001E2697" w:rsidRPr="008B170D" w:rsidRDefault="001E2697" w:rsidP="00ED0134">
            <w:pPr>
              <w:spacing w:line="480" w:lineRule="auto"/>
              <w:ind w:left="180"/>
              <w:jc w:val="both"/>
              <w:rPr>
                <w:rFonts w:cs="Arial"/>
                <w:bCs/>
                <w:color w:val="FF0000"/>
                <w:sz w:val="18"/>
                <w:szCs w:val="18"/>
              </w:rPr>
            </w:pPr>
            <w:r w:rsidRPr="008B170D">
              <w:rPr>
                <w:rFonts w:cs="Arial"/>
                <w:bCs/>
                <w:color w:val="FF0000"/>
                <w:sz w:val="18"/>
                <w:szCs w:val="18"/>
              </w:rPr>
              <w:t>3.REVISED</w:t>
            </w:r>
            <w:r w:rsidR="00B25B6F">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ED0134">
            <w:pPr>
              <w:spacing w:line="360" w:lineRule="auto"/>
              <w:ind w:left="180"/>
              <w:jc w:val="both"/>
              <w:rPr>
                <w:rFonts w:cs="Arial"/>
                <w:bCs/>
                <w:color w:val="FF0000"/>
                <w:sz w:val="18"/>
                <w:szCs w:val="18"/>
              </w:rPr>
            </w:pPr>
          </w:p>
          <w:p w14:paraId="047C9726" w14:textId="431E3B88" w:rsidR="001E2697" w:rsidRPr="00F04BA1" w:rsidRDefault="001E2697" w:rsidP="00ED0134">
            <w:pPr>
              <w:spacing w:line="360" w:lineRule="auto"/>
              <w:ind w:left="180"/>
              <w:jc w:val="both"/>
              <w:rPr>
                <w:rFonts w:cs="Arial"/>
                <w:sz w:val="16"/>
                <w:szCs w:val="16"/>
              </w:rPr>
            </w:pPr>
            <w:r w:rsidRPr="008B170D">
              <w:rPr>
                <w:rFonts w:cs="Arial"/>
                <w:b/>
                <w:bCs/>
                <w:color w:val="FF0000"/>
                <w:sz w:val="18"/>
                <w:szCs w:val="18"/>
              </w:rPr>
              <w:t xml:space="preserve"> </w:t>
            </w:r>
            <w:r w:rsidR="000F6063">
              <w:rPr>
                <w:rFonts w:cs="Arial"/>
                <w:b/>
                <w:bCs/>
                <w:color w:val="FF0000"/>
                <w:sz w:val="18"/>
                <w:szCs w:val="18"/>
              </w:rPr>
              <w:t>21 FEBRUARY 2024</w:t>
            </w: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49E9401F" w14:textId="4FAF44A0" w:rsidR="00382F38" w:rsidRPr="00382F38" w:rsidRDefault="00B210FC" w:rsidP="001E2697">
      <w:pPr>
        <w:widowControl w:val="0"/>
        <w:tabs>
          <w:tab w:val="right" w:pos="9356"/>
        </w:tabs>
        <w:jc w:val="both"/>
        <w:rPr>
          <w:b/>
        </w:rPr>
      </w:pPr>
      <w:r>
        <w:rPr>
          <w:b/>
        </w:rPr>
        <w:t>KA</w:t>
      </w:r>
      <w:r w:rsidR="00382F38">
        <w:rPr>
          <w:b/>
        </w:rPr>
        <w:t xml:space="preserve"> </w:t>
      </w:r>
      <w:r w:rsidR="00382F38" w:rsidRPr="00382F38">
        <w:rPr>
          <w:b/>
        </w:rPr>
        <w:t xml:space="preserve">    </w:t>
      </w:r>
      <w:r>
        <w:rPr>
          <w:b/>
        </w:rPr>
        <w:tab/>
      </w:r>
      <w:r w:rsidR="00382F38" w:rsidRPr="00382F38">
        <w:rPr>
          <w:b/>
        </w:rPr>
        <w:t xml:space="preserve">                                                                  APPELLANT </w:t>
      </w:r>
    </w:p>
    <w:p w14:paraId="659D26B0" w14:textId="77777777" w:rsidR="00382F38" w:rsidRDefault="00382F38" w:rsidP="001E2697">
      <w:pPr>
        <w:widowControl w:val="0"/>
        <w:tabs>
          <w:tab w:val="right" w:pos="9356"/>
        </w:tabs>
        <w:jc w:val="both"/>
      </w:pPr>
    </w:p>
    <w:p w14:paraId="1E7B7449" w14:textId="77777777" w:rsidR="00382F38" w:rsidRDefault="00382F38" w:rsidP="001E2697">
      <w:pPr>
        <w:widowControl w:val="0"/>
        <w:tabs>
          <w:tab w:val="right" w:pos="9356"/>
        </w:tabs>
        <w:jc w:val="both"/>
      </w:pPr>
      <w:r>
        <w:t xml:space="preserve">and </w:t>
      </w:r>
    </w:p>
    <w:p w14:paraId="44903A91" w14:textId="77777777" w:rsidR="00382F38" w:rsidRDefault="00382F38" w:rsidP="001E2697">
      <w:pPr>
        <w:widowControl w:val="0"/>
        <w:tabs>
          <w:tab w:val="right" w:pos="9356"/>
        </w:tabs>
        <w:jc w:val="both"/>
      </w:pPr>
    </w:p>
    <w:p w14:paraId="21CF8FA0" w14:textId="28496A9C" w:rsidR="001E2697" w:rsidRPr="00382F38" w:rsidRDefault="00B210FC" w:rsidP="001E2697">
      <w:pPr>
        <w:widowControl w:val="0"/>
        <w:tabs>
          <w:tab w:val="right" w:pos="9356"/>
        </w:tabs>
        <w:jc w:val="both"/>
        <w:rPr>
          <w:b/>
        </w:rPr>
      </w:pPr>
      <w:r>
        <w:rPr>
          <w:b/>
        </w:rPr>
        <w:t>K</w:t>
      </w:r>
      <w:r w:rsidR="001755E1">
        <w:rPr>
          <w:b/>
        </w:rPr>
        <w:t xml:space="preserve">N </w:t>
      </w:r>
      <w:r w:rsidR="001755E1" w:rsidRPr="00382F38">
        <w:rPr>
          <w:b/>
        </w:rPr>
        <w:tab/>
      </w:r>
      <w:r w:rsidR="00382F38" w:rsidRPr="00382F38">
        <w:rPr>
          <w:b/>
        </w:rPr>
        <w:t>RESPONDENT</w:t>
      </w:r>
      <w:r w:rsidR="00382F38" w:rsidRPr="00382F38">
        <w:rPr>
          <w:b/>
        </w:rPr>
        <w:tab/>
      </w:r>
      <w:r w:rsidR="001E2697" w:rsidRPr="00382F38">
        <w:rPr>
          <w:b/>
        </w:rPr>
        <w:tab/>
        <w:t xml:space="preserve">   </w:t>
      </w:r>
    </w:p>
    <w:p w14:paraId="32C5C398" w14:textId="2052A283" w:rsidR="001E2697" w:rsidRPr="000F64D9" w:rsidRDefault="001E2697" w:rsidP="001E2697">
      <w:pPr>
        <w:pStyle w:val="Tramlines"/>
        <w:rPr>
          <w:rFonts w:cs="Arial"/>
          <w:lang w:val="en-US"/>
        </w:rPr>
      </w:pPr>
      <w:r>
        <w:rPr>
          <w:rFonts w:cs="Arial"/>
          <w:lang w:val="en-US"/>
        </w:rPr>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54A5FD4D" w14:textId="5E55516F" w:rsidR="001E2697" w:rsidRPr="00382F38" w:rsidRDefault="001E2697" w:rsidP="00382F38">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w:t>
      </w:r>
      <w:r w:rsidR="007E45C6">
        <w:rPr>
          <w:rFonts w:cs="Arial"/>
        </w:rPr>
        <w:t xml:space="preserve"> and by uploading it to the electronic case file </w:t>
      </w:r>
      <w:r w:rsidR="007E45C6">
        <w:rPr>
          <w:rFonts w:cs="Arial"/>
        </w:rPr>
        <w:lastRenderedPageBreak/>
        <w:t>system</w:t>
      </w:r>
      <w:r w:rsidRPr="003E152F">
        <w:rPr>
          <w:rFonts w:cs="Arial"/>
        </w:rPr>
        <w:t xml:space="preserve">. The date and time for hand-down is deemed to be 10h00 on the </w:t>
      </w:r>
      <w:r w:rsidR="000F6063">
        <w:rPr>
          <w:rFonts w:cs="Arial"/>
        </w:rPr>
        <w:t>21</w:t>
      </w:r>
      <w:r w:rsidR="000F6063">
        <w:rPr>
          <w:rFonts w:cs="Arial"/>
          <w:vertAlign w:val="superscript"/>
        </w:rPr>
        <w:t>st</w:t>
      </w:r>
      <w:r w:rsidR="00383D1C">
        <w:rPr>
          <w:rFonts w:cs="Arial"/>
        </w:rPr>
        <w:t xml:space="preserve"> </w:t>
      </w:r>
      <w:r w:rsidR="00B210FC">
        <w:rPr>
          <w:rFonts w:cs="Arial"/>
        </w:rPr>
        <w:t>of FEBRUARY</w:t>
      </w:r>
      <w:r>
        <w:rPr>
          <w:rFonts w:cs="Arial"/>
        </w:rPr>
        <w:t xml:space="preserve"> </w:t>
      </w:r>
      <w:r w:rsidRPr="003E152F">
        <w:rPr>
          <w:rFonts w:cs="Arial"/>
        </w:rPr>
        <w:t>202</w:t>
      </w:r>
      <w:r w:rsidR="00B976D8">
        <w:rPr>
          <w:rFonts w:cs="Arial"/>
        </w:rPr>
        <w:t>4</w:t>
      </w:r>
      <w:r w:rsidRPr="003E152F">
        <w:rPr>
          <w:rFonts w:cs="Arial"/>
        </w:rPr>
        <w:t>.</w:t>
      </w: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3774D053" w14:textId="13DE6CE2" w:rsidR="00C45D70" w:rsidRPr="00C45D70" w:rsidRDefault="00C45D70" w:rsidP="00C45D70">
      <w:pPr>
        <w:ind w:left="1440" w:hanging="1440"/>
        <w:jc w:val="both"/>
        <w:rPr>
          <w:rFonts w:cs="Arial"/>
          <w:kern w:val="0"/>
          <w:lang w:eastAsia="en-US"/>
        </w:rPr>
      </w:pPr>
      <w:r>
        <w:rPr>
          <w:rFonts w:cs="Arial"/>
          <w:b/>
        </w:rPr>
        <w:t>Summary:</w:t>
      </w:r>
      <w:r w:rsidRPr="003E152F">
        <w:rPr>
          <w:rFonts w:cs="Arial"/>
          <w:b/>
        </w:rPr>
        <w:tab/>
      </w:r>
      <w:r w:rsidRPr="00C45D70">
        <w:rPr>
          <w:rFonts w:cs="Arial"/>
        </w:rPr>
        <w:t xml:space="preserve">Appeal from </w:t>
      </w:r>
      <w:r w:rsidR="00A10EC7">
        <w:rPr>
          <w:rFonts w:cs="Arial"/>
        </w:rPr>
        <w:t xml:space="preserve">a contact </w:t>
      </w:r>
      <w:r>
        <w:rPr>
          <w:rFonts w:cs="Arial"/>
        </w:rPr>
        <w:t>order granted by the Children’s Court –</w:t>
      </w:r>
      <w:r w:rsidR="00DF7774">
        <w:rPr>
          <w:rFonts w:cs="Arial"/>
        </w:rPr>
        <w:t xml:space="preserve"> </w:t>
      </w:r>
      <w:r w:rsidR="00A10EC7">
        <w:rPr>
          <w:rFonts w:cs="Arial"/>
        </w:rPr>
        <w:t>condonation sought</w:t>
      </w:r>
      <w:r w:rsidR="00DF7774">
        <w:rPr>
          <w:rFonts w:cs="Arial"/>
        </w:rPr>
        <w:t xml:space="preserve"> –</w:t>
      </w:r>
      <w:r w:rsidR="000D1A66">
        <w:rPr>
          <w:rFonts w:cs="Arial"/>
        </w:rPr>
        <w:t xml:space="preserve"> </w:t>
      </w:r>
      <w:r w:rsidR="00A10EC7">
        <w:rPr>
          <w:rFonts w:cs="Arial"/>
        </w:rPr>
        <w:t xml:space="preserve">two applications to lead further evidence on appeal </w:t>
      </w:r>
      <w:r w:rsidR="00123C1F">
        <w:rPr>
          <w:rFonts w:cs="Arial"/>
        </w:rPr>
        <w:t>–</w:t>
      </w:r>
      <w:r>
        <w:rPr>
          <w:rFonts w:cs="Arial"/>
        </w:rPr>
        <w:t xml:space="preserve"> </w:t>
      </w:r>
      <w:r w:rsidR="00123C1F">
        <w:rPr>
          <w:rFonts w:cs="Arial"/>
        </w:rPr>
        <w:t xml:space="preserve">s19 (b) of the Superior Courts Act 2013 – condonation application – pending litigation in High Court – </w:t>
      </w:r>
      <w:r w:rsidR="00035455">
        <w:rPr>
          <w:rFonts w:cs="Arial"/>
        </w:rPr>
        <w:t xml:space="preserve">mootness of appeal as subsequent events overtook appeal and </w:t>
      </w:r>
      <w:r w:rsidR="00123C1F">
        <w:rPr>
          <w:rFonts w:cs="Arial"/>
        </w:rPr>
        <w:t xml:space="preserve">appeal will have no practical effect </w:t>
      </w:r>
      <w:r w:rsidR="00035455">
        <w:rPr>
          <w:rFonts w:cs="Arial"/>
        </w:rPr>
        <w:t xml:space="preserve">– not in minor child’s best interests to remit matter back to Children’s Court for hearing </w:t>
      </w:r>
      <w:r w:rsidR="00035455" w:rsidRPr="00035455">
        <w:rPr>
          <w:rFonts w:cs="Arial"/>
          <w:i/>
        </w:rPr>
        <w:t>de novo</w:t>
      </w:r>
      <w:r w:rsidR="00035455">
        <w:rPr>
          <w:rFonts w:cs="Arial"/>
          <w:i/>
        </w:rPr>
        <w:t xml:space="preserve"> – </w:t>
      </w:r>
      <w:r w:rsidR="00035455">
        <w:rPr>
          <w:rFonts w:cs="Arial"/>
          <w:i/>
        </w:rPr>
        <w:softHyphen/>
      </w:r>
      <w:r w:rsidR="00035455">
        <w:rPr>
          <w:rFonts w:cs="Arial"/>
        </w:rPr>
        <w:t>exercise of true discretion by Children’s Court –</w:t>
      </w:r>
      <w:r w:rsidR="005A3AA9">
        <w:rPr>
          <w:rFonts w:cs="Arial"/>
        </w:rPr>
        <w:t xml:space="preserve"> </w:t>
      </w:r>
      <w:r w:rsidR="00035455">
        <w:rPr>
          <w:rFonts w:cs="Arial"/>
        </w:rPr>
        <w:t xml:space="preserve">no cogent basis to interfere with </w:t>
      </w:r>
      <w:r w:rsidR="000D1A66">
        <w:rPr>
          <w:rFonts w:cs="Arial"/>
        </w:rPr>
        <w:t xml:space="preserve">exercise of discretion or </w:t>
      </w:r>
      <w:r w:rsidR="00C74C0B">
        <w:rPr>
          <w:rFonts w:cs="Arial"/>
        </w:rPr>
        <w:t>order granted - a</w:t>
      </w:r>
      <w:r w:rsidRPr="00C45D70">
        <w:rPr>
          <w:rFonts w:cs="Arial"/>
        </w:rPr>
        <w:t>ppeal dismissed with costs</w:t>
      </w:r>
    </w:p>
    <w:p w14:paraId="405713D5" w14:textId="77777777" w:rsidR="00C45D70" w:rsidRDefault="00C45D70" w:rsidP="001E2697">
      <w:pPr>
        <w:tabs>
          <w:tab w:val="left" w:pos="-720"/>
        </w:tabs>
        <w:suppressAutoHyphens/>
        <w:spacing w:line="360" w:lineRule="auto"/>
        <w:jc w:val="both"/>
        <w:rPr>
          <w:rFonts w:cs="Arial"/>
          <w:b/>
          <w:bCs/>
          <w:spacing w:val="-3"/>
          <w:u w:val="single"/>
        </w:rPr>
      </w:pPr>
    </w:p>
    <w:p w14:paraId="619EAAFB" w14:textId="77777777" w:rsidR="00C45D70" w:rsidRDefault="00C45D70" w:rsidP="001E2697">
      <w:pPr>
        <w:tabs>
          <w:tab w:val="left" w:pos="-720"/>
        </w:tabs>
        <w:suppressAutoHyphens/>
        <w:spacing w:line="360" w:lineRule="auto"/>
        <w:jc w:val="both"/>
        <w:rPr>
          <w:rFonts w:cs="Arial"/>
          <w:b/>
          <w:bCs/>
          <w:spacing w:val="-3"/>
          <w:u w:val="single"/>
        </w:rPr>
      </w:pPr>
    </w:p>
    <w:p w14:paraId="557AC8E2" w14:textId="60C84391"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sidR="00C45D70">
        <w:rPr>
          <w:rFonts w:cs="Arial"/>
          <w:b/>
          <w:bCs/>
          <w:spacing w:val="-3"/>
          <w:u w:val="single"/>
        </w:rPr>
        <w:t xml:space="preserve"> (et G</w:t>
      </w:r>
      <w:r w:rsidR="005A3AA9">
        <w:rPr>
          <w:rFonts w:cs="Arial"/>
          <w:b/>
          <w:bCs/>
          <w:spacing w:val="-3"/>
          <w:u w:val="single"/>
        </w:rPr>
        <w:t>O</w:t>
      </w:r>
      <w:r w:rsidR="00C45D70">
        <w:rPr>
          <w:rFonts w:cs="Arial"/>
          <w:b/>
          <w:bCs/>
          <w:spacing w:val="-3"/>
          <w:u w:val="single"/>
        </w:rPr>
        <w:t>ODMAN AJ CONCURRING)</w:t>
      </w:r>
      <w:r>
        <w:rPr>
          <w:rFonts w:cs="Arial"/>
          <w:b/>
          <w:bCs/>
          <w:spacing w:val="-3"/>
        </w:rPr>
        <w:t>:</w:t>
      </w:r>
    </w:p>
    <w:p w14:paraId="210BEE89" w14:textId="66DD6BC0" w:rsidR="0039420D" w:rsidRDefault="0039420D" w:rsidP="0039420D">
      <w:pPr>
        <w:pStyle w:val="level1"/>
        <w:numPr>
          <w:ilvl w:val="0"/>
          <w:numId w:val="0"/>
        </w:numPr>
        <w:spacing w:after="480" w:line="360" w:lineRule="auto"/>
        <w:ind w:left="720" w:hanging="360"/>
        <w:jc w:val="both"/>
        <w:rPr>
          <w:lang w:val="en-US"/>
        </w:rPr>
      </w:pPr>
    </w:p>
    <w:p w14:paraId="56159443" w14:textId="79AE25BE" w:rsidR="006616E5" w:rsidRDefault="00104E3D" w:rsidP="00104E3D">
      <w:pPr>
        <w:pStyle w:val="level1"/>
        <w:numPr>
          <w:ilvl w:val="0"/>
          <w:numId w:val="0"/>
        </w:numPr>
        <w:spacing w:after="480" w:line="360" w:lineRule="auto"/>
        <w:jc w:val="both"/>
        <w:rPr>
          <w:lang w:val="en-US"/>
        </w:rPr>
        <w:pPrChange w:id="1" w:author="Sathish" w:date="2024-02-21T16:06:00Z">
          <w:pPr>
            <w:pStyle w:val="level1"/>
            <w:spacing w:after="480" w:line="360" w:lineRule="auto"/>
            <w:ind w:left="0" w:firstLine="0"/>
            <w:jc w:val="both"/>
          </w:pPr>
        </w:pPrChange>
      </w:pPr>
      <w:r>
        <w:rPr>
          <w:lang w:val="en-US"/>
        </w:rPr>
        <w:t>[1]</w:t>
      </w:r>
      <w:r>
        <w:rPr>
          <w:lang w:val="en-US"/>
        </w:rPr>
        <w:tab/>
      </w:r>
      <w:r w:rsidR="00557D37">
        <w:rPr>
          <w:lang w:val="en-US"/>
        </w:rPr>
        <w:t>T</w:t>
      </w:r>
      <w:r w:rsidR="00D11040">
        <w:rPr>
          <w:lang w:val="en-US"/>
        </w:rPr>
        <w:t>his appeal concerns a</w:t>
      </w:r>
      <w:r w:rsidR="00D5299E">
        <w:rPr>
          <w:lang w:val="en-US"/>
        </w:rPr>
        <w:t xml:space="preserve"> co</w:t>
      </w:r>
      <w:r w:rsidR="00D11040">
        <w:rPr>
          <w:lang w:val="en-US"/>
        </w:rPr>
        <w:t>n</w:t>
      </w:r>
      <w:r w:rsidR="00D5299E">
        <w:rPr>
          <w:lang w:val="en-US"/>
        </w:rPr>
        <w:t>tact</w:t>
      </w:r>
      <w:r w:rsidR="00D11040">
        <w:rPr>
          <w:lang w:val="en-US"/>
        </w:rPr>
        <w:t xml:space="preserve"> order granted </w:t>
      </w:r>
      <w:r w:rsidR="00282DCD">
        <w:rPr>
          <w:lang w:val="en-US"/>
        </w:rPr>
        <w:t xml:space="preserve">on 16 May 2023 </w:t>
      </w:r>
      <w:r w:rsidR="00D11040">
        <w:rPr>
          <w:lang w:val="en-US"/>
        </w:rPr>
        <w:t>in the Children’s Court</w:t>
      </w:r>
      <w:r w:rsidR="00B94849">
        <w:rPr>
          <w:lang w:val="en-US"/>
        </w:rPr>
        <w:t>, Randburg</w:t>
      </w:r>
      <w:r w:rsidR="00D52056">
        <w:rPr>
          <w:lang w:val="en-US"/>
        </w:rPr>
        <w:t xml:space="preserve"> </w:t>
      </w:r>
      <w:r w:rsidR="00453CC9">
        <w:rPr>
          <w:lang w:val="en-US"/>
        </w:rPr>
        <w:t xml:space="preserve">(“the court </w:t>
      </w:r>
      <w:r w:rsidR="00453CC9" w:rsidRPr="005A3AA9">
        <w:rPr>
          <w:i/>
          <w:lang w:val="en-US"/>
        </w:rPr>
        <w:t>a quo</w:t>
      </w:r>
      <w:r w:rsidR="00453CC9">
        <w:rPr>
          <w:lang w:val="en-US"/>
        </w:rPr>
        <w:t>”)</w:t>
      </w:r>
      <w:r w:rsidR="00D5299E">
        <w:rPr>
          <w:lang w:val="en-US"/>
        </w:rPr>
        <w:t xml:space="preserve">, </w:t>
      </w:r>
      <w:r w:rsidR="00D11040">
        <w:rPr>
          <w:lang w:val="en-US"/>
        </w:rPr>
        <w:t xml:space="preserve">relating to the </w:t>
      </w:r>
      <w:r w:rsidR="0080149F">
        <w:rPr>
          <w:lang w:val="en-US"/>
        </w:rPr>
        <w:t xml:space="preserve">respondent’s </w:t>
      </w:r>
      <w:r w:rsidR="00D11040">
        <w:rPr>
          <w:lang w:val="en-US"/>
        </w:rPr>
        <w:t xml:space="preserve">contact </w:t>
      </w:r>
      <w:r w:rsidR="0080149F">
        <w:rPr>
          <w:lang w:val="en-US"/>
        </w:rPr>
        <w:t>with</w:t>
      </w:r>
      <w:r w:rsidR="00D11040">
        <w:rPr>
          <w:lang w:val="en-US"/>
        </w:rPr>
        <w:t xml:space="preserve"> the parties’ minor son, </w:t>
      </w:r>
      <w:r w:rsidR="00282DCD">
        <w:rPr>
          <w:lang w:val="en-US"/>
        </w:rPr>
        <w:t>K</w:t>
      </w:r>
      <w:r w:rsidR="00D52056">
        <w:rPr>
          <w:lang w:val="en-US"/>
        </w:rPr>
        <w:t xml:space="preserve"> who is presently two years old</w:t>
      </w:r>
      <w:r w:rsidR="00D11040">
        <w:rPr>
          <w:lang w:val="en-US"/>
        </w:rPr>
        <w:t>.</w:t>
      </w:r>
      <w:r w:rsidR="00D52056">
        <w:rPr>
          <w:lang w:val="en-US"/>
        </w:rPr>
        <w:t xml:space="preserve"> </w:t>
      </w:r>
      <w:r w:rsidR="00FA0A5F">
        <w:rPr>
          <w:lang w:val="en-US"/>
        </w:rPr>
        <w:t xml:space="preserve">At the time of the proceedings before the court </w:t>
      </w:r>
      <w:r w:rsidR="00FA0A5F" w:rsidRPr="00FA0A5F">
        <w:rPr>
          <w:i/>
          <w:lang w:val="en-US"/>
        </w:rPr>
        <w:t xml:space="preserve">a quo </w:t>
      </w:r>
      <w:r w:rsidR="00FA0A5F">
        <w:rPr>
          <w:lang w:val="en-US"/>
        </w:rPr>
        <w:t xml:space="preserve">he was some seventeen months of age. </w:t>
      </w:r>
      <w:r w:rsidR="00D52056">
        <w:rPr>
          <w:lang w:val="en-US"/>
        </w:rPr>
        <w:t xml:space="preserve">The parties </w:t>
      </w:r>
      <w:r w:rsidR="0080149F">
        <w:rPr>
          <w:lang w:val="en-US"/>
        </w:rPr>
        <w:t xml:space="preserve">are the biological parents of </w:t>
      </w:r>
      <w:r w:rsidR="00A00636">
        <w:rPr>
          <w:lang w:val="en-US"/>
        </w:rPr>
        <w:t>K</w:t>
      </w:r>
      <w:r w:rsidR="00282DCD">
        <w:rPr>
          <w:lang w:val="en-US"/>
        </w:rPr>
        <w:t>, respectively his mother and father,</w:t>
      </w:r>
      <w:r w:rsidR="0080149F">
        <w:rPr>
          <w:lang w:val="en-US"/>
        </w:rPr>
        <w:t xml:space="preserve"> who </w:t>
      </w:r>
      <w:r w:rsidR="00D52056">
        <w:rPr>
          <w:lang w:val="en-US"/>
        </w:rPr>
        <w:t xml:space="preserve">were never married and </w:t>
      </w:r>
      <w:r w:rsidR="0080149F">
        <w:rPr>
          <w:lang w:val="en-US"/>
        </w:rPr>
        <w:t>whose</w:t>
      </w:r>
      <w:r w:rsidR="00D52056">
        <w:rPr>
          <w:lang w:val="en-US"/>
        </w:rPr>
        <w:t xml:space="preserve"> relationship has ter</w:t>
      </w:r>
      <w:r w:rsidR="0080149F">
        <w:rPr>
          <w:lang w:val="en-US"/>
        </w:rPr>
        <w:t>m</w:t>
      </w:r>
      <w:r w:rsidR="00D52056">
        <w:rPr>
          <w:lang w:val="en-US"/>
        </w:rPr>
        <w:t>inated.</w:t>
      </w:r>
    </w:p>
    <w:p w14:paraId="08040E10" w14:textId="247D6591" w:rsidR="00D15DAD" w:rsidRDefault="00104E3D" w:rsidP="00104E3D">
      <w:pPr>
        <w:pStyle w:val="level1"/>
        <w:numPr>
          <w:ilvl w:val="0"/>
          <w:numId w:val="0"/>
        </w:numPr>
        <w:spacing w:after="480" w:line="360" w:lineRule="auto"/>
        <w:jc w:val="both"/>
        <w:rPr>
          <w:lang w:val="en-US"/>
        </w:rPr>
        <w:pPrChange w:id="2" w:author="Sathish" w:date="2024-02-21T16:06:00Z">
          <w:pPr>
            <w:pStyle w:val="level1"/>
            <w:spacing w:after="480" w:line="360" w:lineRule="auto"/>
            <w:ind w:left="0" w:firstLine="0"/>
            <w:jc w:val="both"/>
          </w:pPr>
        </w:pPrChange>
      </w:pPr>
      <w:r>
        <w:rPr>
          <w:lang w:val="en-US"/>
        </w:rPr>
        <w:t>[2]</w:t>
      </w:r>
      <w:r>
        <w:rPr>
          <w:lang w:val="en-US"/>
        </w:rPr>
        <w:tab/>
      </w:r>
      <w:r w:rsidR="0080149F" w:rsidRPr="00D15DAD">
        <w:rPr>
          <w:lang w:val="en-US"/>
        </w:rPr>
        <w:t xml:space="preserve">The court </w:t>
      </w:r>
      <w:r w:rsidR="00FE5F64" w:rsidRPr="00D15DAD">
        <w:rPr>
          <w:i/>
          <w:lang w:val="en-US"/>
        </w:rPr>
        <w:t xml:space="preserve">a quo </w:t>
      </w:r>
      <w:r w:rsidR="0080149F" w:rsidRPr="00D15DAD">
        <w:rPr>
          <w:lang w:val="en-US"/>
        </w:rPr>
        <w:t>had regard to the recommendations of the Family Advocate who</w:t>
      </w:r>
      <w:r w:rsidR="00A271BA" w:rsidRPr="00D15DAD">
        <w:rPr>
          <w:lang w:val="en-US"/>
        </w:rPr>
        <w:t>, after conducting investigations, pro</w:t>
      </w:r>
      <w:r w:rsidR="0080149F" w:rsidRPr="00D15DAD">
        <w:rPr>
          <w:lang w:val="en-US"/>
        </w:rPr>
        <w:t>duced a report dated 20 April 2023</w:t>
      </w:r>
      <w:r w:rsidR="00A271BA" w:rsidRPr="00D15DAD">
        <w:rPr>
          <w:lang w:val="en-US"/>
        </w:rPr>
        <w:t xml:space="preserve">. Reliance was placed by the Family Advocate on the </w:t>
      </w:r>
      <w:r w:rsidR="0080149F" w:rsidRPr="00D15DAD">
        <w:rPr>
          <w:lang w:val="en-US"/>
        </w:rPr>
        <w:t>investigat</w:t>
      </w:r>
      <w:r w:rsidR="00376DA8" w:rsidRPr="00D15DAD">
        <w:rPr>
          <w:lang w:val="en-US"/>
        </w:rPr>
        <w:t>i</w:t>
      </w:r>
      <w:r w:rsidR="0080149F" w:rsidRPr="00D15DAD">
        <w:rPr>
          <w:lang w:val="en-US"/>
        </w:rPr>
        <w:t>ons</w:t>
      </w:r>
      <w:r w:rsidR="00A271BA" w:rsidRPr="00D15DAD">
        <w:rPr>
          <w:lang w:val="en-US"/>
        </w:rPr>
        <w:t xml:space="preserve"> and</w:t>
      </w:r>
      <w:r w:rsidR="0080149F" w:rsidRPr="00D15DAD">
        <w:rPr>
          <w:lang w:val="en-US"/>
        </w:rPr>
        <w:t xml:space="preserve"> report by a </w:t>
      </w:r>
      <w:r w:rsidR="00376DA8" w:rsidRPr="00D15DAD">
        <w:rPr>
          <w:lang w:val="en-US"/>
        </w:rPr>
        <w:t xml:space="preserve">duly appointed </w:t>
      </w:r>
      <w:r w:rsidR="002D61F0">
        <w:rPr>
          <w:lang w:val="en-US"/>
        </w:rPr>
        <w:t>F</w:t>
      </w:r>
      <w:r w:rsidR="00376DA8" w:rsidRPr="00D15DAD">
        <w:rPr>
          <w:lang w:val="en-US"/>
        </w:rPr>
        <w:t xml:space="preserve">amily </w:t>
      </w:r>
      <w:r w:rsidR="002D61F0">
        <w:rPr>
          <w:lang w:val="en-US"/>
        </w:rPr>
        <w:t>C</w:t>
      </w:r>
      <w:r w:rsidR="00376DA8" w:rsidRPr="00D15DAD">
        <w:rPr>
          <w:lang w:val="en-US"/>
        </w:rPr>
        <w:t>oun</w:t>
      </w:r>
      <w:r w:rsidR="002D61F0">
        <w:rPr>
          <w:lang w:val="en-US"/>
        </w:rPr>
        <w:t>se</w:t>
      </w:r>
      <w:r w:rsidR="00376DA8" w:rsidRPr="00D15DAD">
        <w:rPr>
          <w:lang w:val="en-US"/>
        </w:rPr>
        <w:t xml:space="preserve">llor. </w:t>
      </w:r>
      <w:r w:rsidR="00123C1F" w:rsidRPr="00D15DAD">
        <w:rPr>
          <w:i/>
          <w:lang w:val="en-US"/>
        </w:rPr>
        <w:t>Inter alia</w:t>
      </w:r>
      <w:r w:rsidR="00123C1F" w:rsidRPr="00D15DAD">
        <w:rPr>
          <w:lang w:val="en-US"/>
        </w:rPr>
        <w:t xml:space="preserve">, a </w:t>
      </w:r>
      <w:r w:rsidR="00376DA8" w:rsidRPr="00D15DAD">
        <w:rPr>
          <w:lang w:val="en-US"/>
        </w:rPr>
        <w:t>measure</w:t>
      </w:r>
      <w:r w:rsidR="00123C1F" w:rsidRPr="00D15DAD">
        <w:rPr>
          <w:lang w:val="en-US"/>
        </w:rPr>
        <w:t>d</w:t>
      </w:r>
      <w:r w:rsidR="00376DA8" w:rsidRPr="00D15DAD">
        <w:rPr>
          <w:lang w:val="en-US"/>
        </w:rPr>
        <w:t xml:space="preserve"> phased</w:t>
      </w:r>
      <w:r w:rsidR="00D5299E" w:rsidRPr="00D15DAD">
        <w:rPr>
          <w:lang w:val="en-US"/>
        </w:rPr>
        <w:t>-</w:t>
      </w:r>
      <w:r w:rsidR="00376DA8" w:rsidRPr="00D15DAD">
        <w:rPr>
          <w:lang w:val="en-US"/>
        </w:rPr>
        <w:t xml:space="preserve">in contact </w:t>
      </w:r>
      <w:r w:rsidR="00D5299E" w:rsidRPr="00D15DAD">
        <w:rPr>
          <w:lang w:val="en-US"/>
        </w:rPr>
        <w:t xml:space="preserve">regime </w:t>
      </w:r>
      <w:r w:rsidR="000D1A66">
        <w:rPr>
          <w:lang w:val="en-US"/>
        </w:rPr>
        <w:t xml:space="preserve">was recommended </w:t>
      </w:r>
      <w:r w:rsidR="00123C1F" w:rsidRPr="00D15DAD">
        <w:rPr>
          <w:lang w:val="en-US"/>
        </w:rPr>
        <w:t>introducing sleep</w:t>
      </w:r>
      <w:r w:rsidR="00320A4E">
        <w:rPr>
          <w:lang w:val="en-US"/>
        </w:rPr>
        <w:t>-</w:t>
      </w:r>
      <w:r w:rsidR="00123C1F" w:rsidRPr="00D15DAD">
        <w:rPr>
          <w:lang w:val="en-US"/>
        </w:rPr>
        <w:t xml:space="preserve">over contact </w:t>
      </w:r>
      <w:r w:rsidR="000D1A66">
        <w:rPr>
          <w:lang w:val="en-US"/>
        </w:rPr>
        <w:t>on certain terms</w:t>
      </w:r>
      <w:r w:rsidR="00376DA8" w:rsidRPr="00D15DAD">
        <w:rPr>
          <w:lang w:val="en-US"/>
        </w:rPr>
        <w:t>.</w:t>
      </w:r>
      <w:r w:rsidR="00D5299E" w:rsidRPr="00D15DAD">
        <w:rPr>
          <w:lang w:val="en-US"/>
        </w:rPr>
        <w:t xml:space="preserve"> </w:t>
      </w:r>
      <w:r w:rsidR="00D15DAD" w:rsidRPr="00D15DAD">
        <w:rPr>
          <w:lang w:val="en-US"/>
        </w:rPr>
        <w:t>At the hearing</w:t>
      </w:r>
      <w:r w:rsidR="00320A4E">
        <w:rPr>
          <w:lang w:val="en-US"/>
        </w:rPr>
        <w:t xml:space="preserve"> before the court </w:t>
      </w:r>
      <w:r w:rsidR="00320A4E">
        <w:rPr>
          <w:i/>
          <w:iCs/>
          <w:lang w:val="en-US"/>
        </w:rPr>
        <w:t>a quo</w:t>
      </w:r>
      <w:r w:rsidR="00D15DAD" w:rsidRPr="00D15DAD">
        <w:rPr>
          <w:lang w:val="en-US"/>
        </w:rPr>
        <w:t>, the appellant made certain submissions expressing her dissatisfaction with the Family Advocate’s report and recommendations.</w:t>
      </w:r>
      <w:r w:rsidR="00123C1F" w:rsidRPr="00D15DAD">
        <w:rPr>
          <w:lang w:val="en-US"/>
        </w:rPr>
        <w:t xml:space="preserve"> </w:t>
      </w:r>
    </w:p>
    <w:p w14:paraId="28F42F73" w14:textId="0933D4F5" w:rsidR="00D15DAD" w:rsidRPr="00D15DAD" w:rsidRDefault="00104E3D" w:rsidP="00104E3D">
      <w:pPr>
        <w:pStyle w:val="level1"/>
        <w:numPr>
          <w:ilvl w:val="0"/>
          <w:numId w:val="0"/>
        </w:numPr>
        <w:spacing w:after="480" w:line="360" w:lineRule="auto"/>
        <w:jc w:val="both"/>
        <w:rPr>
          <w:lang w:val="en-US"/>
        </w:rPr>
        <w:pPrChange w:id="3" w:author="Sathish" w:date="2024-02-21T16:06:00Z">
          <w:pPr>
            <w:pStyle w:val="level1"/>
            <w:spacing w:after="480" w:line="360" w:lineRule="auto"/>
            <w:ind w:left="0" w:firstLine="0"/>
            <w:jc w:val="both"/>
          </w:pPr>
        </w:pPrChange>
      </w:pPr>
      <w:r w:rsidRPr="00D15DAD">
        <w:rPr>
          <w:lang w:val="en-US"/>
        </w:rPr>
        <w:t>[3]</w:t>
      </w:r>
      <w:r w:rsidRPr="00D15DAD">
        <w:rPr>
          <w:lang w:val="en-US"/>
        </w:rPr>
        <w:tab/>
      </w:r>
      <w:r w:rsidR="00D15DAD">
        <w:rPr>
          <w:lang w:val="en-US"/>
        </w:rPr>
        <w:t xml:space="preserve">The court </w:t>
      </w:r>
      <w:r w:rsidR="00D15DAD" w:rsidRPr="002D61F0">
        <w:rPr>
          <w:i/>
          <w:lang w:val="en-US"/>
        </w:rPr>
        <w:t xml:space="preserve">a quo </w:t>
      </w:r>
      <w:r w:rsidR="00D15DAD">
        <w:rPr>
          <w:lang w:val="en-US"/>
        </w:rPr>
        <w:t xml:space="preserve">accepted those recommendations with certain time modifications granted at the behest of the respondent. </w:t>
      </w:r>
      <w:r w:rsidR="00123C1F" w:rsidRPr="00D15DAD">
        <w:rPr>
          <w:lang w:val="en-US"/>
        </w:rPr>
        <w:t xml:space="preserve">In her reasons for judgment, the court </w:t>
      </w:r>
      <w:r w:rsidR="00123C1F" w:rsidRPr="00D15DAD">
        <w:rPr>
          <w:i/>
          <w:lang w:val="en-US"/>
        </w:rPr>
        <w:t xml:space="preserve">a quo </w:t>
      </w:r>
      <w:r w:rsidR="00123C1F" w:rsidRPr="00D15DAD">
        <w:rPr>
          <w:lang w:val="en-US"/>
        </w:rPr>
        <w:t xml:space="preserve">stated: </w:t>
      </w:r>
    </w:p>
    <w:p w14:paraId="0256DE11" w14:textId="10A338C0" w:rsidR="0080149F" w:rsidRDefault="00123C1F" w:rsidP="00D15DAD">
      <w:pPr>
        <w:pStyle w:val="level1"/>
        <w:numPr>
          <w:ilvl w:val="0"/>
          <w:numId w:val="0"/>
        </w:numPr>
        <w:spacing w:after="480" w:line="360" w:lineRule="auto"/>
        <w:ind w:left="360"/>
        <w:jc w:val="both"/>
        <w:rPr>
          <w:i/>
          <w:sz w:val="20"/>
          <w:szCs w:val="20"/>
          <w:lang w:val="en-US"/>
        </w:rPr>
      </w:pPr>
      <w:r w:rsidRPr="00D15DAD">
        <w:rPr>
          <w:i/>
          <w:sz w:val="20"/>
          <w:szCs w:val="20"/>
          <w:lang w:val="en-US"/>
        </w:rPr>
        <w:lastRenderedPageBreak/>
        <w:t>“</w:t>
      </w:r>
      <w:r w:rsidR="00D15DAD" w:rsidRPr="00D15DAD">
        <w:rPr>
          <w:i/>
          <w:sz w:val="20"/>
          <w:szCs w:val="20"/>
          <w:lang w:val="en-US"/>
        </w:rPr>
        <w:t>T</w:t>
      </w:r>
      <w:r w:rsidRPr="00D15DAD">
        <w:rPr>
          <w:i/>
          <w:sz w:val="20"/>
          <w:szCs w:val="20"/>
          <w:lang w:val="en-US"/>
        </w:rPr>
        <w:t>he court took into account the comprehensive Family Advocate’s Report, and found no cogent nor compelling reasons to deviate from the recommendations”.</w:t>
      </w:r>
    </w:p>
    <w:p w14:paraId="3178B12D" w14:textId="4DEFF26B" w:rsidR="003751FF" w:rsidRDefault="00104E3D" w:rsidP="00104E3D">
      <w:pPr>
        <w:pStyle w:val="level1"/>
        <w:numPr>
          <w:ilvl w:val="0"/>
          <w:numId w:val="0"/>
        </w:numPr>
        <w:spacing w:after="480" w:line="360" w:lineRule="auto"/>
        <w:jc w:val="both"/>
        <w:rPr>
          <w:lang w:val="en-US"/>
        </w:rPr>
        <w:pPrChange w:id="4" w:author="Sathish" w:date="2024-02-21T16:06:00Z">
          <w:pPr>
            <w:pStyle w:val="level1"/>
            <w:spacing w:after="480" w:line="360" w:lineRule="auto"/>
            <w:ind w:left="0" w:firstLine="0"/>
            <w:jc w:val="both"/>
          </w:pPr>
        </w:pPrChange>
      </w:pPr>
      <w:r>
        <w:rPr>
          <w:lang w:val="en-US"/>
        </w:rPr>
        <w:t>[4]</w:t>
      </w:r>
      <w:r>
        <w:rPr>
          <w:lang w:val="en-US"/>
        </w:rPr>
        <w:tab/>
      </w:r>
      <w:r w:rsidR="00E71E7C" w:rsidRPr="002D61F0">
        <w:rPr>
          <w:lang w:val="en-US"/>
        </w:rPr>
        <w:t xml:space="preserve">The appellant’s case is that the nub of the appeal is that the Children’s Court did not exercise its discretion appropriately under s 7 of the Children’s Act, </w:t>
      </w:r>
      <w:r w:rsidR="002D61F0" w:rsidRPr="002D61F0">
        <w:rPr>
          <w:lang w:val="en-US"/>
        </w:rPr>
        <w:t xml:space="preserve">2005, </w:t>
      </w:r>
      <w:r w:rsidR="00E71E7C" w:rsidRPr="002D61F0">
        <w:rPr>
          <w:lang w:val="en-US"/>
        </w:rPr>
        <w:t>did not apply a child centric approach in considering the matter and did not take proper account of the facts placed before it by the appellant</w:t>
      </w:r>
      <w:r w:rsidR="003751FF">
        <w:rPr>
          <w:lang w:val="en-US"/>
        </w:rPr>
        <w:t>, but rather rubber</w:t>
      </w:r>
      <w:r w:rsidR="008507B2">
        <w:rPr>
          <w:lang w:val="en-US"/>
        </w:rPr>
        <w:t>-</w:t>
      </w:r>
      <w:r w:rsidR="003751FF">
        <w:rPr>
          <w:lang w:val="en-US"/>
        </w:rPr>
        <w:t>stamped the recommendations of the Family Advocate</w:t>
      </w:r>
      <w:r w:rsidR="00E71E7C" w:rsidRPr="002D61F0">
        <w:rPr>
          <w:lang w:val="en-US"/>
        </w:rPr>
        <w:t xml:space="preserve">.  </w:t>
      </w:r>
    </w:p>
    <w:p w14:paraId="4B0B37AD" w14:textId="6A836614" w:rsidR="00E71E7C" w:rsidRPr="002D61F0" w:rsidRDefault="00104E3D" w:rsidP="00104E3D">
      <w:pPr>
        <w:pStyle w:val="level1"/>
        <w:numPr>
          <w:ilvl w:val="0"/>
          <w:numId w:val="0"/>
        </w:numPr>
        <w:spacing w:after="480" w:line="360" w:lineRule="auto"/>
        <w:jc w:val="both"/>
        <w:rPr>
          <w:lang w:val="en-US"/>
        </w:rPr>
        <w:pPrChange w:id="5" w:author="Sathish" w:date="2024-02-21T16:06:00Z">
          <w:pPr>
            <w:pStyle w:val="level1"/>
            <w:spacing w:after="480" w:line="360" w:lineRule="auto"/>
            <w:ind w:left="0" w:firstLine="0"/>
            <w:jc w:val="both"/>
          </w:pPr>
        </w:pPrChange>
      </w:pPr>
      <w:r w:rsidRPr="002D61F0">
        <w:rPr>
          <w:lang w:val="en-US"/>
        </w:rPr>
        <w:t>[5]</w:t>
      </w:r>
      <w:r w:rsidRPr="002D61F0">
        <w:rPr>
          <w:lang w:val="en-US"/>
        </w:rPr>
        <w:tab/>
      </w:r>
      <w:r w:rsidR="00E71E7C" w:rsidRPr="002D61F0">
        <w:rPr>
          <w:lang w:val="en-US"/>
        </w:rPr>
        <w:t>The appellant s</w:t>
      </w:r>
      <w:r w:rsidR="002D61F0">
        <w:rPr>
          <w:lang w:val="en-US"/>
        </w:rPr>
        <w:t>ought</w:t>
      </w:r>
      <w:r w:rsidR="00E71E7C" w:rsidRPr="002D61F0">
        <w:rPr>
          <w:lang w:val="en-US"/>
        </w:rPr>
        <w:t xml:space="preserve"> the setting aside of the </w:t>
      </w:r>
      <w:r w:rsidR="002D61F0" w:rsidRPr="002D61F0">
        <w:rPr>
          <w:lang w:val="en-US"/>
        </w:rPr>
        <w:t>court</w:t>
      </w:r>
      <w:r w:rsidR="002D61F0" w:rsidRPr="002D61F0">
        <w:rPr>
          <w:i/>
          <w:lang w:val="en-US"/>
        </w:rPr>
        <w:t xml:space="preserve"> a quo’s </w:t>
      </w:r>
      <w:r w:rsidR="00E71E7C" w:rsidRPr="002D61F0">
        <w:rPr>
          <w:lang w:val="en-US"/>
        </w:rPr>
        <w:t xml:space="preserve">order and a remittal of the matter back to the Children’s </w:t>
      </w:r>
      <w:r w:rsidR="002D61F0" w:rsidRPr="002D61F0">
        <w:rPr>
          <w:lang w:val="en-US"/>
        </w:rPr>
        <w:t>C</w:t>
      </w:r>
      <w:r w:rsidR="00E71E7C" w:rsidRPr="002D61F0">
        <w:rPr>
          <w:lang w:val="en-US"/>
        </w:rPr>
        <w:t xml:space="preserve">ourt for a hearing </w:t>
      </w:r>
      <w:r w:rsidR="00E71E7C" w:rsidRPr="002D61F0">
        <w:rPr>
          <w:i/>
          <w:lang w:val="en-US"/>
        </w:rPr>
        <w:t>de novo</w:t>
      </w:r>
      <w:r w:rsidR="00E71E7C" w:rsidRPr="002D61F0">
        <w:rPr>
          <w:lang w:val="en-US"/>
        </w:rPr>
        <w:t xml:space="preserve">. </w:t>
      </w:r>
      <w:r w:rsidR="002D61F0" w:rsidRPr="002D61F0">
        <w:rPr>
          <w:lang w:val="en-US"/>
        </w:rPr>
        <w:t>A</w:t>
      </w:r>
      <w:r w:rsidR="00E71E7C" w:rsidRPr="002D61F0">
        <w:rPr>
          <w:lang w:val="en-US"/>
        </w:rPr>
        <w:t xml:space="preserve">t the hearing, </w:t>
      </w:r>
      <w:r w:rsidR="002D61F0" w:rsidRPr="002D61F0">
        <w:rPr>
          <w:lang w:val="en-US"/>
        </w:rPr>
        <w:t xml:space="preserve">the appellant further sought an interim contact order pending </w:t>
      </w:r>
      <w:r w:rsidR="00320A4E">
        <w:rPr>
          <w:lang w:val="en-US"/>
        </w:rPr>
        <w:t xml:space="preserve">the outcome of </w:t>
      </w:r>
      <w:r w:rsidR="002D61F0" w:rsidRPr="002D61F0">
        <w:rPr>
          <w:lang w:val="en-US"/>
        </w:rPr>
        <w:t xml:space="preserve">those </w:t>
      </w:r>
      <w:r w:rsidR="00320A4E">
        <w:rPr>
          <w:lang w:val="en-US"/>
        </w:rPr>
        <w:t xml:space="preserve">remitted </w:t>
      </w:r>
      <w:r w:rsidR="002D61F0" w:rsidRPr="002D61F0">
        <w:rPr>
          <w:lang w:val="en-US"/>
        </w:rPr>
        <w:t xml:space="preserve">proceedings, first raised in the </w:t>
      </w:r>
      <w:r w:rsidR="000D1A66">
        <w:rPr>
          <w:lang w:val="en-US"/>
        </w:rPr>
        <w:t xml:space="preserve">parties’ </w:t>
      </w:r>
      <w:r w:rsidR="002D61F0" w:rsidRPr="002D61F0">
        <w:rPr>
          <w:lang w:val="en-US"/>
        </w:rPr>
        <w:t>joint practice note</w:t>
      </w:r>
      <w:r w:rsidR="000D1A66">
        <w:rPr>
          <w:lang w:val="en-US"/>
        </w:rPr>
        <w:t xml:space="preserve"> delivered shortly before the hearing</w:t>
      </w:r>
      <w:r w:rsidR="002D61F0">
        <w:rPr>
          <w:lang w:val="en-US"/>
        </w:rPr>
        <w:t>.</w:t>
      </w:r>
    </w:p>
    <w:p w14:paraId="3838C2E4" w14:textId="22BA9218" w:rsidR="002D61F0" w:rsidRDefault="00104E3D" w:rsidP="00104E3D">
      <w:pPr>
        <w:pStyle w:val="level1"/>
        <w:numPr>
          <w:ilvl w:val="0"/>
          <w:numId w:val="0"/>
        </w:numPr>
        <w:spacing w:after="480" w:line="360" w:lineRule="auto"/>
        <w:jc w:val="both"/>
        <w:rPr>
          <w:lang w:val="en-US"/>
        </w:rPr>
        <w:pPrChange w:id="6" w:author="Sathish" w:date="2024-02-21T16:06:00Z">
          <w:pPr>
            <w:pStyle w:val="level1"/>
            <w:spacing w:after="480" w:line="360" w:lineRule="auto"/>
            <w:ind w:left="0" w:firstLine="0"/>
            <w:jc w:val="both"/>
          </w:pPr>
        </w:pPrChange>
      </w:pPr>
      <w:r>
        <w:rPr>
          <w:lang w:val="en-US"/>
        </w:rPr>
        <w:t>[6]</w:t>
      </w:r>
      <w:r>
        <w:rPr>
          <w:lang w:val="en-US"/>
        </w:rPr>
        <w:tab/>
      </w:r>
      <w:r w:rsidR="002D61F0">
        <w:rPr>
          <w:lang w:val="en-US"/>
        </w:rPr>
        <w:t>The respondent’s case is that events subsequent to the appeal and pending litigation in the High Court have rendered the appeal moot, thus justifying its dismissal in terms of s16 (2)(a)(i) of the</w:t>
      </w:r>
      <w:r w:rsidR="00320A4E">
        <w:rPr>
          <w:lang w:val="en-US"/>
        </w:rPr>
        <w:t xml:space="preserve"> </w:t>
      </w:r>
      <w:r w:rsidR="008507B2" w:rsidRPr="001D2E31">
        <w:rPr>
          <w:lang w:val="en-US"/>
        </w:rPr>
        <w:t>Superior Courts Act</w:t>
      </w:r>
      <w:r w:rsidR="008507B2">
        <w:rPr>
          <w:rStyle w:val="FootnoteReference"/>
          <w:lang w:val="en-US"/>
        </w:rPr>
        <w:footnoteReference w:id="1"/>
      </w:r>
      <w:r w:rsidR="008507B2">
        <w:rPr>
          <w:lang w:val="en-US"/>
        </w:rPr>
        <w:t xml:space="preserve"> (“the Act”)</w:t>
      </w:r>
      <w:r w:rsidR="00B30017">
        <w:rPr>
          <w:lang w:val="en-US"/>
        </w:rPr>
        <w:t>, as the order would have no practical effect</w:t>
      </w:r>
      <w:r w:rsidR="002D61F0">
        <w:rPr>
          <w:lang w:val="en-US"/>
        </w:rPr>
        <w:t xml:space="preserve">. </w:t>
      </w:r>
      <w:r w:rsidR="003751FF">
        <w:rPr>
          <w:lang w:val="en-US"/>
        </w:rPr>
        <w:t>It is argued</w:t>
      </w:r>
      <w:r w:rsidR="002D61F0">
        <w:rPr>
          <w:lang w:val="en-US"/>
        </w:rPr>
        <w:t xml:space="preserve"> that the court </w:t>
      </w:r>
      <w:r w:rsidR="002D61F0" w:rsidRPr="002D61F0">
        <w:rPr>
          <w:i/>
          <w:lang w:val="en-US"/>
        </w:rPr>
        <w:t>a quo</w:t>
      </w:r>
      <w:r w:rsidR="002D61F0">
        <w:rPr>
          <w:lang w:val="en-US"/>
        </w:rPr>
        <w:t xml:space="preserve"> exercised its discretion</w:t>
      </w:r>
      <w:r w:rsidR="003751FF">
        <w:rPr>
          <w:lang w:val="en-US"/>
        </w:rPr>
        <w:t xml:space="preserve"> as upper guardian in the best interests of the minor child and did not err and</w:t>
      </w:r>
      <w:r w:rsidR="002D61F0">
        <w:rPr>
          <w:lang w:val="en-US"/>
        </w:rPr>
        <w:t xml:space="preserve"> that there </w:t>
      </w:r>
      <w:r w:rsidR="003751FF">
        <w:rPr>
          <w:lang w:val="en-US"/>
        </w:rPr>
        <w:t>i</w:t>
      </w:r>
      <w:r w:rsidR="002D61F0">
        <w:rPr>
          <w:lang w:val="en-US"/>
        </w:rPr>
        <w:t>s no legitimate basis to interfere with the exercise of that discretion. The respondent further contends that</w:t>
      </w:r>
      <w:r w:rsidR="003751FF">
        <w:rPr>
          <w:lang w:val="en-US"/>
        </w:rPr>
        <w:t xml:space="preserve"> the office of the Family Advocate conducted a thorough investigation and took all relevant information provided by both parties into account before a recommendation was made and that the court </w:t>
      </w:r>
      <w:r w:rsidR="003751FF" w:rsidRPr="003751FF">
        <w:rPr>
          <w:i/>
          <w:lang w:val="en-US"/>
        </w:rPr>
        <w:t>a quo</w:t>
      </w:r>
      <w:r w:rsidR="003751FF">
        <w:rPr>
          <w:lang w:val="en-US"/>
        </w:rPr>
        <w:t xml:space="preserve"> discharged its statutory duty in carefully considering those recommendations and the submissions of the parties without mere rubber-stamping.</w:t>
      </w:r>
      <w:r w:rsidR="002D61F0">
        <w:rPr>
          <w:lang w:val="en-US"/>
        </w:rPr>
        <w:t xml:space="preserve"> </w:t>
      </w:r>
    </w:p>
    <w:p w14:paraId="083B0913" w14:textId="1927B0E9" w:rsidR="002A05C1" w:rsidRDefault="00104E3D" w:rsidP="00104E3D">
      <w:pPr>
        <w:pStyle w:val="level1"/>
        <w:numPr>
          <w:ilvl w:val="0"/>
          <w:numId w:val="0"/>
        </w:numPr>
        <w:spacing w:after="480" w:line="360" w:lineRule="auto"/>
        <w:jc w:val="both"/>
        <w:rPr>
          <w:lang w:val="en-US"/>
        </w:rPr>
        <w:pPrChange w:id="7" w:author="Sathish" w:date="2024-02-21T16:06:00Z">
          <w:pPr>
            <w:pStyle w:val="level1"/>
            <w:spacing w:after="480" w:line="360" w:lineRule="auto"/>
            <w:ind w:left="0" w:firstLine="0"/>
            <w:jc w:val="both"/>
          </w:pPr>
        </w:pPrChange>
      </w:pPr>
      <w:r>
        <w:rPr>
          <w:lang w:val="en-US"/>
        </w:rPr>
        <w:lastRenderedPageBreak/>
        <w:t>[7]</w:t>
      </w:r>
      <w:r>
        <w:rPr>
          <w:lang w:val="en-US"/>
        </w:rPr>
        <w:tab/>
      </w:r>
      <w:r w:rsidR="002A05C1">
        <w:rPr>
          <w:lang w:val="en-US"/>
        </w:rPr>
        <w:t xml:space="preserve">The present appeal is somewhat unusual, considering the events which transpired after the proceedings before the court </w:t>
      </w:r>
      <w:r w:rsidR="002A05C1" w:rsidRPr="00D15DAD">
        <w:rPr>
          <w:i/>
          <w:lang w:val="en-US"/>
        </w:rPr>
        <w:t>a quo</w:t>
      </w:r>
      <w:r w:rsidR="002A05C1">
        <w:rPr>
          <w:lang w:val="en-US"/>
        </w:rPr>
        <w:t xml:space="preserve">. </w:t>
      </w:r>
      <w:r w:rsidR="002A05C1" w:rsidRPr="002633DB">
        <w:rPr>
          <w:lang w:val="en-US"/>
        </w:rPr>
        <w:t>Since the lodging of the appeal</w:t>
      </w:r>
      <w:r w:rsidR="002A05C1">
        <w:rPr>
          <w:lang w:val="en-US"/>
        </w:rPr>
        <w:t xml:space="preserve"> by the appellant</w:t>
      </w:r>
      <w:r w:rsidR="002A05C1" w:rsidRPr="002633DB">
        <w:rPr>
          <w:lang w:val="en-US"/>
        </w:rPr>
        <w:t xml:space="preserve">, the parties have been involved in </w:t>
      </w:r>
      <w:r w:rsidR="002A05C1">
        <w:rPr>
          <w:lang w:val="en-US"/>
        </w:rPr>
        <w:t xml:space="preserve">extensive </w:t>
      </w:r>
      <w:r w:rsidR="002A05C1" w:rsidRPr="002633DB">
        <w:rPr>
          <w:lang w:val="en-US"/>
        </w:rPr>
        <w:t xml:space="preserve">litigation in the High Court. </w:t>
      </w:r>
    </w:p>
    <w:p w14:paraId="5BD7C670" w14:textId="24D4F780" w:rsidR="002A05C1" w:rsidRDefault="00104E3D" w:rsidP="00104E3D">
      <w:pPr>
        <w:pStyle w:val="level1"/>
        <w:numPr>
          <w:ilvl w:val="0"/>
          <w:numId w:val="0"/>
        </w:numPr>
        <w:spacing w:after="480" w:line="360" w:lineRule="auto"/>
        <w:jc w:val="both"/>
        <w:rPr>
          <w:lang w:val="en-US"/>
        </w:rPr>
        <w:pPrChange w:id="8" w:author="Sathish" w:date="2024-02-21T16:06:00Z">
          <w:pPr>
            <w:pStyle w:val="level1"/>
            <w:spacing w:after="480" w:line="360" w:lineRule="auto"/>
            <w:ind w:left="0" w:firstLine="0"/>
            <w:jc w:val="both"/>
          </w:pPr>
        </w:pPrChange>
      </w:pPr>
      <w:r>
        <w:rPr>
          <w:lang w:val="en-US"/>
        </w:rPr>
        <w:t>[8]</w:t>
      </w:r>
      <w:r>
        <w:rPr>
          <w:lang w:val="en-US"/>
        </w:rPr>
        <w:tab/>
      </w:r>
      <w:r w:rsidR="002A05C1" w:rsidRPr="002633DB">
        <w:rPr>
          <w:lang w:val="en-US"/>
        </w:rPr>
        <w:t xml:space="preserve">It was undisputed that after the lodging of the </w:t>
      </w:r>
      <w:r w:rsidR="002A05C1">
        <w:rPr>
          <w:lang w:val="en-US"/>
        </w:rPr>
        <w:t xml:space="preserve">present </w:t>
      </w:r>
      <w:r w:rsidR="002A05C1" w:rsidRPr="002633DB">
        <w:rPr>
          <w:lang w:val="en-US"/>
        </w:rPr>
        <w:t xml:space="preserve">appeal and during July 2023, the respondent launched an application </w:t>
      </w:r>
      <w:r w:rsidR="002A05C1">
        <w:rPr>
          <w:lang w:val="en-US"/>
        </w:rPr>
        <w:t xml:space="preserve">under case number 2023-059941 </w:t>
      </w:r>
      <w:r w:rsidR="002A05C1" w:rsidRPr="002633DB">
        <w:rPr>
          <w:lang w:val="en-US"/>
        </w:rPr>
        <w:t xml:space="preserve">aimed at enforcement of the court </w:t>
      </w:r>
      <w:r w:rsidR="002A05C1" w:rsidRPr="002633DB">
        <w:rPr>
          <w:i/>
          <w:lang w:val="en-US"/>
        </w:rPr>
        <w:t xml:space="preserve">a quo’s </w:t>
      </w:r>
      <w:r w:rsidR="002A05C1" w:rsidRPr="002633DB">
        <w:rPr>
          <w:lang w:val="en-US"/>
        </w:rPr>
        <w:t xml:space="preserve">order, which ultimately resulted in an interim contact order being granted </w:t>
      </w:r>
      <w:r w:rsidR="002A05C1">
        <w:rPr>
          <w:lang w:val="en-US"/>
        </w:rPr>
        <w:t xml:space="preserve">by Carrim AJ </w:t>
      </w:r>
      <w:r w:rsidR="002A05C1" w:rsidRPr="002633DB">
        <w:rPr>
          <w:lang w:val="en-US"/>
        </w:rPr>
        <w:t>pending the determination of the appeal</w:t>
      </w:r>
      <w:r w:rsidR="002A05C1">
        <w:rPr>
          <w:lang w:val="en-US"/>
        </w:rPr>
        <w:t xml:space="preserve"> (“the Carrim order”)</w:t>
      </w:r>
      <w:r w:rsidR="002A05C1" w:rsidRPr="002633DB">
        <w:rPr>
          <w:lang w:val="en-US"/>
        </w:rPr>
        <w:t xml:space="preserve">. </w:t>
      </w:r>
    </w:p>
    <w:p w14:paraId="7FE49ACA" w14:textId="293657D9" w:rsidR="002A05C1" w:rsidRPr="002633DB" w:rsidRDefault="00104E3D" w:rsidP="00104E3D">
      <w:pPr>
        <w:pStyle w:val="level1"/>
        <w:numPr>
          <w:ilvl w:val="0"/>
          <w:numId w:val="0"/>
        </w:numPr>
        <w:spacing w:after="480" w:line="360" w:lineRule="auto"/>
        <w:jc w:val="both"/>
        <w:rPr>
          <w:lang w:val="en-US"/>
        </w:rPr>
        <w:pPrChange w:id="9" w:author="Sathish" w:date="2024-02-21T16:06:00Z">
          <w:pPr>
            <w:pStyle w:val="level1"/>
            <w:spacing w:after="480" w:line="360" w:lineRule="auto"/>
            <w:ind w:left="0" w:firstLine="0"/>
            <w:jc w:val="both"/>
          </w:pPr>
        </w:pPrChange>
      </w:pPr>
      <w:r w:rsidRPr="002633DB">
        <w:rPr>
          <w:lang w:val="en-US"/>
        </w:rPr>
        <w:t>[9]</w:t>
      </w:r>
      <w:r w:rsidRPr="002633DB">
        <w:rPr>
          <w:lang w:val="en-US"/>
        </w:rPr>
        <w:tab/>
      </w:r>
      <w:r w:rsidR="002A05C1" w:rsidRPr="002633DB">
        <w:rPr>
          <w:lang w:val="en-US"/>
        </w:rPr>
        <w:t xml:space="preserve">It was further undisputed that </w:t>
      </w:r>
      <w:r w:rsidR="002A05C1">
        <w:rPr>
          <w:lang w:val="en-US"/>
        </w:rPr>
        <w:t xml:space="preserve">pursuant to the appellant launching an application for leave to appeal against the Carrim order, </w:t>
      </w:r>
      <w:r w:rsidR="002A05C1" w:rsidRPr="002633DB">
        <w:rPr>
          <w:lang w:val="en-US"/>
        </w:rPr>
        <w:t xml:space="preserve">the respondent launched a </w:t>
      </w:r>
      <w:r w:rsidR="002A05C1">
        <w:rPr>
          <w:lang w:val="en-US"/>
        </w:rPr>
        <w:t>further</w:t>
      </w:r>
      <w:r w:rsidR="002A05C1" w:rsidRPr="002633DB">
        <w:rPr>
          <w:lang w:val="en-US"/>
        </w:rPr>
        <w:t xml:space="preserve"> application </w:t>
      </w:r>
      <w:r w:rsidR="002A05C1">
        <w:rPr>
          <w:lang w:val="en-US"/>
        </w:rPr>
        <w:t xml:space="preserve">under case number 2023 – 055941, </w:t>
      </w:r>
      <w:r w:rsidR="002A05C1" w:rsidRPr="002633DB">
        <w:rPr>
          <w:lang w:val="en-US"/>
        </w:rPr>
        <w:t xml:space="preserve">in which </w:t>
      </w:r>
      <w:r w:rsidR="002A05C1">
        <w:rPr>
          <w:lang w:val="en-US"/>
        </w:rPr>
        <w:t xml:space="preserve">contempt relief, </w:t>
      </w:r>
      <w:r w:rsidR="002A05C1" w:rsidRPr="002633DB">
        <w:rPr>
          <w:lang w:val="en-US"/>
        </w:rPr>
        <w:t>a declaratory order and enforcement of the interim contact order was sought</w:t>
      </w:r>
      <w:r w:rsidR="002A05C1">
        <w:rPr>
          <w:lang w:val="en-US"/>
        </w:rPr>
        <w:t>. That application</w:t>
      </w:r>
      <w:r w:rsidR="002A05C1" w:rsidRPr="002633DB">
        <w:rPr>
          <w:lang w:val="en-US"/>
        </w:rPr>
        <w:t xml:space="preserve"> </w:t>
      </w:r>
      <w:r w:rsidR="002A05C1">
        <w:rPr>
          <w:lang w:val="en-US"/>
        </w:rPr>
        <w:t xml:space="preserve">resulted in </w:t>
      </w:r>
      <w:r w:rsidR="002A05C1" w:rsidRPr="002633DB">
        <w:rPr>
          <w:lang w:val="en-US"/>
        </w:rPr>
        <w:t xml:space="preserve">a consent order </w:t>
      </w:r>
      <w:r w:rsidR="002A05C1">
        <w:rPr>
          <w:lang w:val="en-US"/>
        </w:rPr>
        <w:t xml:space="preserve">being </w:t>
      </w:r>
      <w:r w:rsidR="002A05C1" w:rsidRPr="002633DB">
        <w:rPr>
          <w:lang w:val="en-US"/>
        </w:rPr>
        <w:t xml:space="preserve">granted by Liebenberg AJ </w:t>
      </w:r>
      <w:r w:rsidR="002A05C1">
        <w:rPr>
          <w:lang w:val="en-US"/>
        </w:rPr>
        <w:t xml:space="preserve">on 12 October 2023 (“the Liebenberg order”) </w:t>
      </w:r>
      <w:r w:rsidR="002A05C1" w:rsidRPr="002633DB">
        <w:rPr>
          <w:lang w:val="en-US"/>
        </w:rPr>
        <w:t xml:space="preserve">pertaining </w:t>
      </w:r>
      <w:r w:rsidR="002A05C1" w:rsidRPr="00D15DAD">
        <w:rPr>
          <w:i/>
          <w:lang w:val="en-US"/>
        </w:rPr>
        <w:t>inter alia</w:t>
      </w:r>
      <w:r w:rsidR="002A05C1">
        <w:rPr>
          <w:lang w:val="en-US"/>
        </w:rPr>
        <w:t xml:space="preserve"> </w:t>
      </w:r>
      <w:r w:rsidR="002A05C1" w:rsidRPr="002633DB">
        <w:rPr>
          <w:lang w:val="en-US"/>
        </w:rPr>
        <w:t xml:space="preserve">to an interim </w:t>
      </w:r>
      <w:r w:rsidR="002A05C1">
        <w:rPr>
          <w:lang w:val="en-US"/>
        </w:rPr>
        <w:t xml:space="preserve">contact </w:t>
      </w:r>
      <w:r w:rsidR="002A05C1" w:rsidRPr="002633DB">
        <w:rPr>
          <w:lang w:val="en-US"/>
        </w:rPr>
        <w:t>arrangement pending the finalisation of the pending appeal</w:t>
      </w:r>
      <w:r w:rsidR="002A05C1">
        <w:rPr>
          <w:lang w:val="en-US"/>
        </w:rPr>
        <w:t xml:space="preserve"> or the provision of a forensic report, whichever occurred first</w:t>
      </w:r>
      <w:r w:rsidR="002A05C1" w:rsidRPr="002633DB">
        <w:rPr>
          <w:lang w:val="en-US"/>
        </w:rPr>
        <w:t xml:space="preserve">. </w:t>
      </w:r>
      <w:r w:rsidR="002A05C1">
        <w:rPr>
          <w:lang w:val="en-US"/>
        </w:rPr>
        <w:t>I</w:t>
      </w:r>
      <w:r w:rsidR="002A05C1" w:rsidRPr="002633DB">
        <w:rPr>
          <w:lang w:val="en-US"/>
        </w:rPr>
        <w:t xml:space="preserve">n terms of the Liebenberg order, a </w:t>
      </w:r>
      <w:r w:rsidR="002A05C1">
        <w:rPr>
          <w:lang w:val="en-US"/>
        </w:rPr>
        <w:t xml:space="preserve">forensic </w:t>
      </w:r>
      <w:r w:rsidR="002A05C1" w:rsidRPr="002633DB">
        <w:rPr>
          <w:lang w:val="en-US"/>
        </w:rPr>
        <w:t xml:space="preserve">psychologist </w:t>
      </w:r>
      <w:r w:rsidR="002A05C1">
        <w:rPr>
          <w:lang w:val="en-US"/>
        </w:rPr>
        <w:t>wa</w:t>
      </w:r>
      <w:r w:rsidR="002A05C1" w:rsidRPr="002633DB">
        <w:rPr>
          <w:lang w:val="en-US"/>
        </w:rPr>
        <w:t xml:space="preserve">s appointed to </w:t>
      </w:r>
      <w:r w:rsidR="002A05C1">
        <w:rPr>
          <w:lang w:val="en-US"/>
        </w:rPr>
        <w:t xml:space="preserve">conduct a forensic assessment of the minor child and to </w:t>
      </w:r>
      <w:r w:rsidR="002A05C1" w:rsidRPr="002633DB">
        <w:rPr>
          <w:lang w:val="en-US"/>
        </w:rPr>
        <w:t xml:space="preserve">provide a written report and recommendations to the court pertaining to care and contact in the best interests of </w:t>
      </w:r>
      <w:r w:rsidR="000D1A66">
        <w:rPr>
          <w:lang w:val="en-US"/>
        </w:rPr>
        <w:t>the minor child</w:t>
      </w:r>
      <w:r w:rsidR="002A05C1" w:rsidRPr="002633DB">
        <w:rPr>
          <w:lang w:val="en-US"/>
        </w:rPr>
        <w:t>.</w:t>
      </w:r>
      <w:r w:rsidR="002A05C1">
        <w:rPr>
          <w:lang w:val="en-US"/>
        </w:rPr>
        <w:t xml:space="preserve"> Those proceedings remain pending.</w:t>
      </w:r>
    </w:p>
    <w:p w14:paraId="4F67EAD8" w14:textId="425A9C98" w:rsidR="00E71E7C" w:rsidRDefault="00104E3D" w:rsidP="00104E3D">
      <w:pPr>
        <w:pStyle w:val="level1"/>
        <w:numPr>
          <w:ilvl w:val="0"/>
          <w:numId w:val="0"/>
        </w:numPr>
        <w:spacing w:after="480" w:line="360" w:lineRule="auto"/>
        <w:jc w:val="both"/>
        <w:rPr>
          <w:lang w:val="en-US"/>
        </w:rPr>
        <w:pPrChange w:id="10" w:author="Sathish" w:date="2024-02-21T16:06:00Z">
          <w:pPr>
            <w:pStyle w:val="level1"/>
            <w:spacing w:after="480" w:line="360" w:lineRule="auto"/>
            <w:ind w:left="0" w:firstLine="0"/>
            <w:jc w:val="both"/>
          </w:pPr>
        </w:pPrChange>
      </w:pPr>
      <w:r>
        <w:rPr>
          <w:lang w:val="en-US"/>
        </w:rPr>
        <w:t>[10]</w:t>
      </w:r>
      <w:r>
        <w:rPr>
          <w:lang w:val="en-US"/>
        </w:rPr>
        <w:tab/>
      </w:r>
      <w:r w:rsidR="002A05C1">
        <w:rPr>
          <w:lang w:val="en-US"/>
        </w:rPr>
        <w:t>There are various p</w:t>
      </w:r>
      <w:r w:rsidR="001D2E31">
        <w:rPr>
          <w:lang w:val="en-US"/>
        </w:rPr>
        <w:t>reliminary issues</w:t>
      </w:r>
      <w:r w:rsidR="002A05C1">
        <w:rPr>
          <w:lang w:val="en-US"/>
        </w:rPr>
        <w:t xml:space="preserve"> which should conveniently be dealt with first.</w:t>
      </w:r>
    </w:p>
    <w:p w14:paraId="2A9D819B" w14:textId="774C3A04" w:rsidR="00A10EC7" w:rsidRDefault="00104E3D" w:rsidP="00104E3D">
      <w:pPr>
        <w:pStyle w:val="level1"/>
        <w:numPr>
          <w:ilvl w:val="0"/>
          <w:numId w:val="0"/>
        </w:numPr>
        <w:spacing w:after="480" w:line="360" w:lineRule="auto"/>
        <w:jc w:val="both"/>
        <w:rPr>
          <w:lang w:val="en-US"/>
        </w:rPr>
        <w:pPrChange w:id="11" w:author="Sathish" w:date="2024-02-21T16:06:00Z">
          <w:pPr>
            <w:pStyle w:val="level1"/>
            <w:spacing w:after="480" w:line="360" w:lineRule="auto"/>
            <w:ind w:left="0" w:firstLine="0"/>
            <w:jc w:val="both"/>
          </w:pPr>
        </w:pPrChange>
      </w:pPr>
      <w:r>
        <w:rPr>
          <w:lang w:val="en-US"/>
        </w:rPr>
        <w:t>[11]</w:t>
      </w:r>
      <w:r>
        <w:rPr>
          <w:lang w:val="en-US"/>
        </w:rPr>
        <w:tab/>
      </w:r>
      <w:r w:rsidR="002A05C1">
        <w:rPr>
          <w:lang w:val="en-US"/>
        </w:rPr>
        <w:t>First, t</w:t>
      </w:r>
      <w:r w:rsidR="00A10EC7">
        <w:rPr>
          <w:lang w:val="en-US"/>
        </w:rPr>
        <w:t>he appellant sought condonation for the failure to timeously lodge the appeal record</w:t>
      </w:r>
      <w:r w:rsidR="00C44FAD">
        <w:rPr>
          <w:lang w:val="en-US"/>
        </w:rPr>
        <w:t xml:space="preserve"> and reinstatement of the appeal</w:t>
      </w:r>
      <w:r w:rsidR="00A10EC7">
        <w:rPr>
          <w:lang w:val="en-US"/>
        </w:rPr>
        <w:t>. Th</w:t>
      </w:r>
      <w:r w:rsidR="00F51A59">
        <w:rPr>
          <w:lang w:val="en-US"/>
        </w:rPr>
        <w:t>at application was not opposed. Th</w:t>
      </w:r>
      <w:r w:rsidR="00A10EC7">
        <w:rPr>
          <w:lang w:val="en-US"/>
        </w:rPr>
        <w:t xml:space="preserve">e explanation proffered </w:t>
      </w:r>
      <w:r w:rsidR="00C44FAD">
        <w:rPr>
          <w:lang w:val="en-US"/>
        </w:rPr>
        <w:t>wa</w:t>
      </w:r>
      <w:r w:rsidR="00A10EC7">
        <w:rPr>
          <w:lang w:val="en-US"/>
        </w:rPr>
        <w:t xml:space="preserve">s that there were issues in procuring the full record from the </w:t>
      </w:r>
      <w:r w:rsidR="00C44FAD">
        <w:rPr>
          <w:lang w:val="en-US"/>
        </w:rPr>
        <w:t>C</w:t>
      </w:r>
      <w:r w:rsidR="00A10EC7">
        <w:rPr>
          <w:lang w:val="en-US"/>
        </w:rPr>
        <w:t xml:space="preserve">hildren’s </w:t>
      </w:r>
      <w:r w:rsidR="00C44FAD">
        <w:rPr>
          <w:lang w:val="en-US"/>
        </w:rPr>
        <w:t>C</w:t>
      </w:r>
      <w:r w:rsidR="00A10EC7">
        <w:rPr>
          <w:lang w:val="en-US"/>
        </w:rPr>
        <w:t xml:space="preserve">ourt occasioned by circumstances beyond the appellant’s control. </w:t>
      </w:r>
      <w:r w:rsidR="00C44FAD">
        <w:rPr>
          <w:lang w:val="en-US"/>
        </w:rPr>
        <w:t>C</w:t>
      </w:r>
      <w:r w:rsidR="002A05C1">
        <w:rPr>
          <w:lang w:val="en-US"/>
        </w:rPr>
        <w:t>onsidering the facts, c</w:t>
      </w:r>
      <w:r w:rsidR="00C44FAD">
        <w:rPr>
          <w:lang w:val="en-US"/>
        </w:rPr>
        <w:t xml:space="preserve">ondonation </w:t>
      </w:r>
      <w:r w:rsidR="00F51A59">
        <w:rPr>
          <w:lang w:val="en-US"/>
        </w:rPr>
        <w:t>is to be granted, with costs to be costs in the appeal</w:t>
      </w:r>
      <w:r w:rsidR="00C44FAD">
        <w:rPr>
          <w:lang w:val="en-US"/>
        </w:rPr>
        <w:t>.</w:t>
      </w:r>
    </w:p>
    <w:p w14:paraId="1A81BA7B" w14:textId="4E0A2C24" w:rsidR="00557D37" w:rsidRPr="001D2E31" w:rsidRDefault="00104E3D" w:rsidP="00104E3D">
      <w:pPr>
        <w:pStyle w:val="level1"/>
        <w:numPr>
          <w:ilvl w:val="0"/>
          <w:numId w:val="0"/>
        </w:numPr>
        <w:spacing w:after="480" w:line="360" w:lineRule="auto"/>
        <w:jc w:val="both"/>
        <w:rPr>
          <w:lang w:val="en-US"/>
        </w:rPr>
        <w:pPrChange w:id="12" w:author="Sathish" w:date="2024-02-21T16:06:00Z">
          <w:pPr>
            <w:pStyle w:val="level1"/>
            <w:spacing w:after="480" w:line="360" w:lineRule="auto"/>
            <w:ind w:left="0" w:firstLine="0"/>
            <w:jc w:val="both"/>
          </w:pPr>
        </w:pPrChange>
      </w:pPr>
      <w:r w:rsidRPr="001D2E31">
        <w:rPr>
          <w:lang w:val="en-US"/>
        </w:rPr>
        <w:lastRenderedPageBreak/>
        <w:t>[12]</w:t>
      </w:r>
      <w:r w:rsidRPr="001D2E31">
        <w:rPr>
          <w:lang w:val="en-US"/>
        </w:rPr>
        <w:tab/>
      </w:r>
      <w:r w:rsidR="001D2E31" w:rsidRPr="001D2E31">
        <w:rPr>
          <w:lang w:val="en-US"/>
        </w:rPr>
        <w:t xml:space="preserve">Second, </w:t>
      </w:r>
      <w:r w:rsidR="00C44FAD" w:rsidRPr="001D2E31">
        <w:rPr>
          <w:lang w:val="en-US"/>
        </w:rPr>
        <w:t>t</w:t>
      </w:r>
      <w:r w:rsidR="00D52056" w:rsidRPr="001D2E31">
        <w:rPr>
          <w:lang w:val="en-US"/>
        </w:rPr>
        <w:t>he appellant launched two applications to adduce further evidence on appeal in terms of s19</w:t>
      </w:r>
      <w:r w:rsidR="009B011C" w:rsidRPr="001D2E31">
        <w:rPr>
          <w:lang w:val="en-US"/>
        </w:rPr>
        <w:t xml:space="preserve">(b) </w:t>
      </w:r>
      <w:r w:rsidR="00D52056" w:rsidRPr="001D2E31">
        <w:rPr>
          <w:lang w:val="en-US"/>
        </w:rPr>
        <w:t xml:space="preserve">of the </w:t>
      </w:r>
      <w:r w:rsidR="001D2E31">
        <w:rPr>
          <w:lang w:val="en-US"/>
        </w:rPr>
        <w:t>Act</w:t>
      </w:r>
      <w:r w:rsidR="00D52056" w:rsidRPr="001D2E31">
        <w:rPr>
          <w:lang w:val="en-US"/>
        </w:rPr>
        <w:t xml:space="preserve">. </w:t>
      </w:r>
      <w:r w:rsidR="001D2E31">
        <w:rPr>
          <w:lang w:val="en-US"/>
        </w:rPr>
        <w:t xml:space="preserve"> </w:t>
      </w:r>
      <w:r w:rsidR="00D52056" w:rsidRPr="001D2E31">
        <w:rPr>
          <w:lang w:val="en-US"/>
        </w:rPr>
        <w:t xml:space="preserve">The first, to introduce an affidavit dealing with the </w:t>
      </w:r>
      <w:r w:rsidR="000139FD" w:rsidRPr="001D2E31">
        <w:rPr>
          <w:lang w:val="en-US"/>
        </w:rPr>
        <w:t>submissions</w:t>
      </w:r>
      <w:r w:rsidR="00D52056" w:rsidRPr="001D2E31">
        <w:rPr>
          <w:lang w:val="en-US"/>
        </w:rPr>
        <w:t xml:space="preserve"> placed before the Children’s </w:t>
      </w:r>
      <w:r w:rsidR="00C44FAD" w:rsidRPr="001D2E31">
        <w:rPr>
          <w:lang w:val="en-US"/>
        </w:rPr>
        <w:t>C</w:t>
      </w:r>
      <w:r w:rsidR="00D52056" w:rsidRPr="001D2E31">
        <w:rPr>
          <w:lang w:val="en-US"/>
        </w:rPr>
        <w:t>ourt by the appellant</w:t>
      </w:r>
      <w:r w:rsidR="000139FD" w:rsidRPr="001D2E31">
        <w:rPr>
          <w:lang w:val="en-US"/>
        </w:rPr>
        <w:t xml:space="preserve"> during the hearing on 16 May 2023</w:t>
      </w:r>
      <w:r w:rsidR="00D52056" w:rsidRPr="001D2E31">
        <w:rPr>
          <w:lang w:val="en-US"/>
        </w:rPr>
        <w:t>. The respondent abides th</w:t>
      </w:r>
      <w:r w:rsidR="009B011C" w:rsidRPr="001D2E31">
        <w:rPr>
          <w:lang w:val="en-US"/>
        </w:rPr>
        <w:t xml:space="preserve">e decision of the </w:t>
      </w:r>
      <w:r w:rsidR="000D1A66">
        <w:rPr>
          <w:lang w:val="en-US"/>
        </w:rPr>
        <w:t>C</w:t>
      </w:r>
      <w:r w:rsidR="009B011C" w:rsidRPr="001D2E31">
        <w:rPr>
          <w:lang w:val="en-US"/>
        </w:rPr>
        <w:t>ourt.</w:t>
      </w:r>
      <w:r w:rsidR="00D52056" w:rsidRPr="001D2E31">
        <w:rPr>
          <w:lang w:val="en-US"/>
        </w:rPr>
        <w:t xml:space="preserve"> </w:t>
      </w:r>
      <w:r w:rsidR="009B011C" w:rsidRPr="001D2E31">
        <w:rPr>
          <w:lang w:val="en-US"/>
        </w:rPr>
        <w:t>Considering the fact</w:t>
      </w:r>
      <w:r w:rsidR="002A05C1">
        <w:rPr>
          <w:lang w:val="en-US"/>
        </w:rPr>
        <w:t>s</w:t>
      </w:r>
      <w:r w:rsidR="009B011C" w:rsidRPr="001D2E31">
        <w:rPr>
          <w:lang w:val="en-US"/>
        </w:rPr>
        <w:t>, i</w:t>
      </w:r>
      <w:r w:rsidR="00D52056" w:rsidRPr="001D2E31">
        <w:rPr>
          <w:lang w:val="en-US"/>
        </w:rPr>
        <w:t xml:space="preserve">t is in the interests of justice to allow the introduction of the affidavit, given that it simply deals with the information placed before the </w:t>
      </w:r>
      <w:r w:rsidR="002A05C1">
        <w:rPr>
          <w:lang w:val="en-US"/>
        </w:rPr>
        <w:t>c</w:t>
      </w:r>
      <w:r w:rsidR="00D52056" w:rsidRPr="001D2E31">
        <w:rPr>
          <w:lang w:val="en-US"/>
        </w:rPr>
        <w:t>ourt</w:t>
      </w:r>
      <w:r w:rsidR="009B011C" w:rsidRPr="002A05C1">
        <w:rPr>
          <w:i/>
          <w:lang w:val="en-US"/>
        </w:rPr>
        <w:t xml:space="preserve"> </w:t>
      </w:r>
      <w:r w:rsidR="002A05C1" w:rsidRPr="002A05C1">
        <w:rPr>
          <w:i/>
          <w:lang w:val="en-US"/>
        </w:rPr>
        <w:t xml:space="preserve">a quo </w:t>
      </w:r>
      <w:r w:rsidR="009B011C" w:rsidRPr="001D2E31">
        <w:rPr>
          <w:lang w:val="en-US"/>
        </w:rPr>
        <w:t>which was considered by it</w:t>
      </w:r>
      <w:r w:rsidR="00C44FAD" w:rsidRPr="001D2E31">
        <w:rPr>
          <w:lang w:val="en-US"/>
        </w:rPr>
        <w:t xml:space="preserve"> in granting the order that forms the subject matter of the appeal</w:t>
      </w:r>
      <w:r w:rsidR="00D52056" w:rsidRPr="001D2E31">
        <w:rPr>
          <w:lang w:val="en-US"/>
        </w:rPr>
        <w:t>.</w:t>
      </w:r>
    </w:p>
    <w:p w14:paraId="0C84A969" w14:textId="78E3964E" w:rsidR="00D52056" w:rsidRDefault="00104E3D" w:rsidP="00104E3D">
      <w:pPr>
        <w:pStyle w:val="level1"/>
        <w:numPr>
          <w:ilvl w:val="0"/>
          <w:numId w:val="0"/>
        </w:numPr>
        <w:spacing w:after="480" w:line="360" w:lineRule="auto"/>
        <w:jc w:val="both"/>
        <w:rPr>
          <w:lang w:val="en-US"/>
        </w:rPr>
        <w:pPrChange w:id="13" w:author="Sathish" w:date="2024-02-21T16:06:00Z">
          <w:pPr>
            <w:pStyle w:val="level1"/>
            <w:spacing w:after="480" w:line="360" w:lineRule="auto"/>
            <w:ind w:left="0" w:firstLine="0"/>
            <w:jc w:val="both"/>
          </w:pPr>
        </w:pPrChange>
      </w:pPr>
      <w:r>
        <w:rPr>
          <w:lang w:val="en-US"/>
        </w:rPr>
        <w:t>[13]</w:t>
      </w:r>
      <w:r>
        <w:rPr>
          <w:lang w:val="en-US"/>
        </w:rPr>
        <w:tab/>
      </w:r>
      <w:r w:rsidR="00D52056">
        <w:rPr>
          <w:lang w:val="en-US"/>
        </w:rPr>
        <w:t xml:space="preserve">The second application is more contentious and is opposed by the respondent. It relates to events which occurred on 6 December 2023, well after the lodging of the appeal on </w:t>
      </w:r>
      <w:r w:rsidR="009E59AF">
        <w:rPr>
          <w:lang w:val="en-US"/>
        </w:rPr>
        <w:t>8 June 2023</w:t>
      </w:r>
      <w:r w:rsidR="002A05C1">
        <w:rPr>
          <w:lang w:val="en-US"/>
        </w:rPr>
        <w:t>, thus well after the hearing before the court</w:t>
      </w:r>
      <w:r w:rsidR="002A05C1" w:rsidRPr="002A05C1">
        <w:rPr>
          <w:i/>
          <w:lang w:val="en-US"/>
        </w:rPr>
        <w:t xml:space="preserve"> a quo</w:t>
      </w:r>
      <w:r w:rsidR="009E59AF">
        <w:rPr>
          <w:lang w:val="en-US"/>
        </w:rPr>
        <w:t>. T</w:t>
      </w:r>
      <w:r w:rsidR="00D52056">
        <w:rPr>
          <w:lang w:val="en-US"/>
        </w:rPr>
        <w:t>he respondent delivered an answering affidavit in response</w:t>
      </w:r>
      <w:r w:rsidR="00C44FAD">
        <w:rPr>
          <w:lang w:val="en-US"/>
        </w:rPr>
        <w:t>, particularising his version of those events</w:t>
      </w:r>
      <w:r w:rsidR="00D52056">
        <w:rPr>
          <w:lang w:val="en-US"/>
        </w:rPr>
        <w:t>.</w:t>
      </w:r>
      <w:r w:rsidR="002A05C1">
        <w:rPr>
          <w:lang w:val="en-US"/>
        </w:rPr>
        <w:t xml:space="preserve"> There are numerous disputes on the papers.</w:t>
      </w:r>
      <w:r w:rsidR="00D52056">
        <w:rPr>
          <w:lang w:val="en-US"/>
        </w:rPr>
        <w:t xml:space="preserve"> The appellant elected not to deliver a replying affidavit.</w:t>
      </w:r>
      <w:r w:rsidR="00C44FAD">
        <w:rPr>
          <w:lang w:val="en-US"/>
        </w:rPr>
        <w:t xml:space="preserve"> I</w:t>
      </w:r>
      <w:r w:rsidR="002A05C1">
        <w:rPr>
          <w:lang w:val="en-US"/>
        </w:rPr>
        <w:t>n argument, i</w:t>
      </w:r>
      <w:r w:rsidR="00C44FAD">
        <w:rPr>
          <w:lang w:val="en-US"/>
        </w:rPr>
        <w:t>t was contended that, given that the respondent admitted the occurrence of the events of 6 December 2023, it was not necessary to do so.</w:t>
      </w:r>
    </w:p>
    <w:p w14:paraId="388A738F" w14:textId="504B6EB9" w:rsidR="002A05C1" w:rsidRDefault="00104E3D" w:rsidP="00104E3D">
      <w:pPr>
        <w:pStyle w:val="level1"/>
        <w:numPr>
          <w:ilvl w:val="0"/>
          <w:numId w:val="0"/>
        </w:numPr>
        <w:spacing w:after="480" w:line="360" w:lineRule="auto"/>
        <w:jc w:val="both"/>
        <w:rPr>
          <w:lang w:val="en-US"/>
        </w:rPr>
        <w:pPrChange w:id="14" w:author="Sathish" w:date="2024-02-21T16:06:00Z">
          <w:pPr>
            <w:pStyle w:val="level1"/>
            <w:spacing w:after="480" w:line="360" w:lineRule="auto"/>
            <w:ind w:left="0" w:firstLine="0"/>
            <w:jc w:val="both"/>
          </w:pPr>
        </w:pPrChange>
      </w:pPr>
      <w:r>
        <w:rPr>
          <w:lang w:val="en-US"/>
        </w:rPr>
        <w:t>[14]</w:t>
      </w:r>
      <w:r>
        <w:rPr>
          <w:lang w:val="en-US"/>
        </w:rPr>
        <w:tab/>
      </w:r>
      <w:r w:rsidR="00751EF5" w:rsidRPr="002A05C1">
        <w:rPr>
          <w:lang w:val="en-US"/>
        </w:rPr>
        <w:t xml:space="preserve">Considering the affidavits filed by the respective parties, it cannot be concluded that there are special circumstances justifying the introduction of the </w:t>
      </w:r>
      <w:r w:rsidR="00346BF5">
        <w:rPr>
          <w:lang w:val="en-US"/>
        </w:rPr>
        <w:t xml:space="preserve">relevant </w:t>
      </w:r>
      <w:r w:rsidR="00751EF5" w:rsidRPr="002A05C1">
        <w:rPr>
          <w:lang w:val="en-US"/>
        </w:rPr>
        <w:t>evidence on appeal</w:t>
      </w:r>
      <w:r w:rsidR="00751EF5">
        <w:rPr>
          <w:lang w:val="en-US"/>
        </w:rPr>
        <w:t xml:space="preserve"> </w:t>
      </w:r>
      <w:r w:rsidR="00D73F7E">
        <w:rPr>
          <w:lang w:val="en-US"/>
        </w:rPr>
        <w:t>under s19(b) of the Act.</w:t>
      </w:r>
      <w:r w:rsidR="00FF62EB">
        <w:rPr>
          <w:lang w:val="en-US"/>
        </w:rPr>
        <w:t xml:space="preserve"> </w:t>
      </w:r>
      <w:r w:rsidR="00E038DD">
        <w:rPr>
          <w:lang w:val="en-US"/>
        </w:rPr>
        <w:t>The requirements are trite and do not have to be repeated herein.</w:t>
      </w:r>
      <w:r w:rsidR="00E038DD">
        <w:rPr>
          <w:rStyle w:val="FootnoteReference"/>
          <w:lang w:val="en-US"/>
        </w:rPr>
        <w:footnoteReference w:id="2"/>
      </w:r>
      <w:r w:rsidR="001D2E31">
        <w:rPr>
          <w:lang w:val="en-US"/>
        </w:rPr>
        <w:t xml:space="preserve"> </w:t>
      </w:r>
    </w:p>
    <w:p w14:paraId="2B760ED5" w14:textId="64E8C145" w:rsidR="001F6553" w:rsidRDefault="00104E3D" w:rsidP="00104E3D">
      <w:pPr>
        <w:pStyle w:val="level1"/>
        <w:numPr>
          <w:ilvl w:val="0"/>
          <w:numId w:val="0"/>
        </w:numPr>
        <w:spacing w:after="480" w:line="360" w:lineRule="auto"/>
        <w:jc w:val="both"/>
        <w:rPr>
          <w:lang w:val="en-US"/>
        </w:rPr>
        <w:pPrChange w:id="15" w:author="Sathish" w:date="2024-02-21T16:06:00Z">
          <w:pPr>
            <w:pStyle w:val="level1"/>
            <w:spacing w:after="480" w:line="360" w:lineRule="auto"/>
            <w:ind w:left="0" w:firstLine="0"/>
            <w:jc w:val="both"/>
          </w:pPr>
        </w:pPrChange>
      </w:pPr>
      <w:r>
        <w:rPr>
          <w:lang w:val="en-US"/>
        </w:rPr>
        <w:t>[15]</w:t>
      </w:r>
      <w:r>
        <w:rPr>
          <w:lang w:val="en-US"/>
        </w:rPr>
        <w:tab/>
      </w:r>
      <w:r w:rsidR="00E038DD" w:rsidRPr="002A05C1">
        <w:rPr>
          <w:lang w:val="en-US"/>
        </w:rPr>
        <w:t xml:space="preserve"> </w:t>
      </w:r>
      <w:r w:rsidR="00FF62EB" w:rsidRPr="002A05C1">
        <w:rPr>
          <w:lang w:val="en-US"/>
        </w:rPr>
        <w:t xml:space="preserve">The averments </w:t>
      </w:r>
      <w:r w:rsidR="00346BF5">
        <w:rPr>
          <w:lang w:val="en-US"/>
        </w:rPr>
        <w:t xml:space="preserve">now sought to be introduced </w:t>
      </w:r>
      <w:r w:rsidR="00FF62EB" w:rsidRPr="002A05C1">
        <w:rPr>
          <w:lang w:val="en-US"/>
        </w:rPr>
        <w:t xml:space="preserve">were not placed before the court </w:t>
      </w:r>
      <w:r w:rsidR="00FF62EB" w:rsidRPr="002A05C1">
        <w:rPr>
          <w:i/>
          <w:lang w:val="en-US"/>
        </w:rPr>
        <w:t>a quo</w:t>
      </w:r>
      <w:r w:rsidR="00FF62EB" w:rsidRPr="002A05C1">
        <w:rPr>
          <w:lang w:val="en-US"/>
        </w:rPr>
        <w:t xml:space="preserve"> and it did not take such averments into consideration in exercising its discretion as the events had not yet occurred.</w:t>
      </w:r>
    </w:p>
    <w:p w14:paraId="01A9B812" w14:textId="3A8A40E7" w:rsidR="00FF62EB" w:rsidRPr="002A05C1" w:rsidRDefault="00104E3D" w:rsidP="00104E3D">
      <w:pPr>
        <w:pStyle w:val="level1"/>
        <w:numPr>
          <w:ilvl w:val="0"/>
          <w:numId w:val="0"/>
        </w:numPr>
        <w:spacing w:after="480" w:line="360" w:lineRule="auto"/>
        <w:jc w:val="both"/>
        <w:rPr>
          <w:lang w:val="en-US"/>
        </w:rPr>
        <w:pPrChange w:id="16" w:author="Sathish" w:date="2024-02-21T16:06:00Z">
          <w:pPr>
            <w:pStyle w:val="level1"/>
            <w:spacing w:after="480" w:line="360" w:lineRule="auto"/>
            <w:ind w:left="0" w:firstLine="0"/>
            <w:jc w:val="both"/>
          </w:pPr>
        </w:pPrChange>
      </w:pPr>
      <w:r w:rsidRPr="002A05C1">
        <w:rPr>
          <w:lang w:val="en-US"/>
        </w:rPr>
        <w:t>[16]</w:t>
      </w:r>
      <w:r w:rsidRPr="002A05C1">
        <w:rPr>
          <w:lang w:val="en-US"/>
        </w:rPr>
        <w:tab/>
      </w:r>
      <w:r w:rsidR="00FF62EB" w:rsidRPr="002A05C1">
        <w:rPr>
          <w:lang w:val="en-US"/>
        </w:rPr>
        <w:t xml:space="preserve">Materially, what is to be made of the events which transpired on 6 December 2023 </w:t>
      </w:r>
      <w:r w:rsidR="001F6553">
        <w:rPr>
          <w:lang w:val="en-US"/>
        </w:rPr>
        <w:t>is</w:t>
      </w:r>
      <w:r w:rsidR="00FF62EB" w:rsidRPr="002A05C1">
        <w:rPr>
          <w:lang w:val="en-US"/>
        </w:rPr>
        <w:t xml:space="preserve"> in dispute between the parties</w:t>
      </w:r>
      <w:r w:rsidR="00D52056" w:rsidRPr="002A05C1">
        <w:rPr>
          <w:lang w:val="en-US"/>
        </w:rPr>
        <w:t xml:space="preserve">. </w:t>
      </w:r>
      <w:r w:rsidR="00FF62EB" w:rsidRPr="002A05C1">
        <w:rPr>
          <w:lang w:val="en-US"/>
        </w:rPr>
        <w:t xml:space="preserve">It cannot be concluded in the circumstances that the evidence sought to be presented by the appellant is such, that if adduced, would be </w:t>
      </w:r>
      <w:r w:rsidR="00FF62EB" w:rsidRPr="002A05C1">
        <w:rPr>
          <w:lang w:val="en-US"/>
        </w:rPr>
        <w:lastRenderedPageBreak/>
        <w:t>practically conclusive</w:t>
      </w:r>
      <w:r w:rsidR="00FF62EB">
        <w:rPr>
          <w:rStyle w:val="FootnoteReference"/>
          <w:lang w:val="en-US"/>
        </w:rPr>
        <w:footnoteReference w:id="3"/>
      </w:r>
      <w:r w:rsidR="002A05C1" w:rsidRPr="002A05C1">
        <w:rPr>
          <w:lang w:val="en-US"/>
        </w:rPr>
        <w:t>, nor</w:t>
      </w:r>
      <w:r w:rsidR="00E038DD" w:rsidRPr="002A05C1">
        <w:rPr>
          <w:lang w:val="en-US"/>
        </w:rPr>
        <w:t xml:space="preserve"> that the evidence is materially relevant to the outcome of the appeal, albeit that such evidence may be relevant to whatever is ultimately determined by a court to be in the minor child’s best interests.</w:t>
      </w:r>
    </w:p>
    <w:p w14:paraId="08B93705" w14:textId="14B68EA0" w:rsidR="000139FD" w:rsidRDefault="00104E3D" w:rsidP="00104E3D">
      <w:pPr>
        <w:pStyle w:val="level1"/>
        <w:numPr>
          <w:ilvl w:val="0"/>
          <w:numId w:val="0"/>
        </w:numPr>
        <w:spacing w:after="480" w:line="360" w:lineRule="auto"/>
        <w:jc w:val="both"/>
        <w:rPr>
          <w:lang w:val="en-US"/>
        </w:rPr>
        <w:pPrChange w:id="17" w:author="Sathish" w:date="2024-02-21T16:06:00Z">
          <w:pPr>
            <w:pStyle w:val="level1"/>
            <w:spacing w:after="480" w:line="360" w:lineRule="auto"/>
            <w:ind w:left="0" w:firstLine="0"/>
            <w:jc w:val="both"/>
          </w:pPr>
        </w:pPrChange>
      </w:pPr>
      <w:r>
        <w:rPr>
          <w:lang w:val="en-US"/>
        </w:rPr>
        <w:t>[17]</w:t>
      </w:r>
      <w:r>
        <w:rPr>
          <w:lang w:val="en-US"/>
        </w:rPr>
        <w:tab/>
      </w:r>
      <w:r w:rsidR="00D52056">
        <w:rPr>
          <w:lang w:val="en-US"/>
        </w:rPr>
        <w:t>Th</w:t>
      </w:r>
      <w:r w:rsidR="00346BF5">
        <w:rPr>
          <w:lang w:val="en-US"/>
        </w:rPr>
        <w:t>os</w:t>
      </w:r>
      <w:r w:rsidR="00D52056">
        <w:rPr>
          <w:lang w:val="en-US"/>
        </w:rPr>
        <w:t>e subsequent events</w:t>
      </w:r>
      <w:r w:rsidR="00367F05">
        <w:rPr>
          <w:lang w:val="en-US"/>
        </w:rPr>
        <w:t xml:space="preserve"> are matters which will undoubtedly be considered and dealt with by the </w:t>
      </w:r>
      <w:r w:rsidR="001F6553">
        <w:rPr>
          <w:lang w:val="en-US"/>
        </w:rPr>
        <w:t xml:space="preserve">forensic </w:t>
      </w:r>
      <w:r w:rsidR="000139FD">
        <w:rPr>
          <w:lang w:val="en-US"/>
        </w:rPr>
        <w:t>psychologist</w:t>
      </w:r>
      <w:r w:rsidR="00367F05">
        <w:rPr>
          <w:lang w:val="en-US"/>
        </w:rPr>
        <w:t xml:space="preserve"> </w:t>
      </w:r>
      <w:r w:rsidR="000139FD">
        <w:rPr>
          <w:lang w:val="en-US"/>
        </w:rPr>
        <w:t xml:space="preserve">in her report and </w:t>
      </w:r>
      <w:r w:rsidR="00367F05">
        <w:rPr>
          <w:lang w:val="en-US"/>
        </w:rPr>
        <w:t>the parties in the pending litigation in the High Court</w:t>
      </w:r>
      <w:r w:rsidR="000139FD">
        <w:rPr>
          <w:lang w:val="en-US"/>
        </w:rPr>
        <w:t xml:space="preserve"> to which the Liebenberg order relates</w:t>
      </w:r>
      <w:r w:rsidR="00367F05">
        <w:rPr>
          <w:lang w:val="en-US"/>
        </w:rPr>
        <w:t xml:space="preserve">. </w:t>
      </w:r>
    </w:p>
    <w:p w14:paraId="3C38DEF1" w14:textId="6CE47DAF" w:rsidR="00367F05" w:rsidRDefault="00104E3D" w:rsidP="00104E3D">
      <w:pPr>
        <w:pStyle w:val="level1"/>
        <w:numPr>
          <w:ilvl w:val="0"/>
          <w:numId w:val="0"/>
        </w:numPr>
        <w:spacing w:after="480" w:line="360" w:lineRule="auto"/>
        <w:jc w:val="both"/>
        <w:rPr>
          <w:lang w:val="en-US"/>
        </w:rPr>
        <w:pPrChange w:id="18" w:author="Sathish" w:date="2024-02-21T16:06:00Z">
          <w:pPr>
            <w:pStyle w:val="level1"/>
            <w:spacing w:after="480" w:line="360" w:lineRule="auto"/>
            <w:ind w:left="0" w:firstLine="0"/>
            <w:jc w:val="both"/>
          </w:pPr>
        </w:pPrChange>
      </w:pPr>
      <w:r>
        <w:rPr>
          <w:lang w:val="en-US"/>
        </w:rPr>
        <w:t>[18]</w:t>
      </w:r>
      <w:r>
        <w:rPr>
          <w:lang w:val="en-US"/>
        </w:rPr>
        <w:tab/>
      </w:r>
      <w:r w:rsidR="000D1A66">
        <w:rPr>
          <w:lang w:val="en-US"/>
        </w:rPr>
        <w:t>The affidavit</w:t>
      </w:r>
      <w:r w:rsidR="00367F05">
        <w:rPr>
          <w:lang w:val="en-US"/>
        </w:rPr>
        <w:t xml:space="preserve"> does not materially contribute to answering the question whether the </w:t>
      </w:r>
      <w:r w:rsidR="00D73F7E">
        <w:rPr>
          <w:lang w:val="en-US"/>
        </w:rPr>
        <w:t>C</w:t>
      </w:r>
      <w:r w:rsidR="00367F05">
        <w:rPr>
          <w:lang w:val="en-US"/>
        </w:rPr>
        <w:t xml:space="preserve">hildren’s </w:t>
      </w:r>
      <w:r w:rsidR="00D73F7E">
        <w:rPr>
          <w:lang w:val="en-US"/>
        </w:rPr>
        <w:t>C</w:t>
      </w:r>
      <w:r w:rsidR="00367F05">
        <w:rPr>
          <w:lang w:val="en-US"/>
        </w:rPr>
        <w:t xml:space="preserve">ourt on </w:t>
      </w:r>
      <w:r w:rsidR="000D1A66">
        <w:rPr>
          <w:lang w:val="en-US"/>
        </w:rPr>
        <w:t>16</w:t>
      </w:r>
      <w:r w:rsidR="009E59AF">
        <w:rPr>
          <w:lang w:val="en-US"/>
        </w:rPr>
        <w:t xml:space="preserve"> May 2023 </w:t>
      </w:r>
      <w:r w:rsidR="00367F05">
        <w:rPr>
          <w:lang w:val="en-US"/>
        </w:rPr>
        <w:t>properly exercised its discretion and applied the relevant principles in s 7 of the Children’s Act, as contended by the appellant.</w:t>
      </w:r>
    </w:p>
    <w:p w14:paraId="4C28D61C" w14:textId="5E548E50" w:rsidR="00D52056" w:rsidRDefault="00104E3D" w:rsidP="00104E3D">
      <w:pPr>
        <w:pStyle w:val="level1"/>
        <w:numPr>
          <w:ilvl w:val="0"/>
          <w:numId w:val="0"/>
        </w:numPr>
        <w:spacing w:after="480" w:line="360" w:lineRule="auto"/>
        <w:jc w:val="both"/>
        <w:rPr>
          <w:lang w:val="en-US"/>
        </w:rPr>
        <w:pPrChange w:id="19" w:author="Sathish" w:date="2024-02-21T16:06:00Z">
          <w:pPr>
            <w:pStyle w:val="level1"/>
            <w:spacing w:after="480" w:line="360" w:lineRule="auto"/>
            <w:ind w:left="0" w:firstLine="0"/>
            <w:jc w:val="both"/>
          </w:pPr>
        </w:pPrChange>
      </w:pPr>
      <w:r>
        <w:rPr>
          <w:lang w:val="en-US"/>
        </w:rPr>
        <w:t>[19]</w:t>
      </w:r>
      <w:r>
        <w:rPr>
          <w:lang w:val="en-US"/>
        </w:rPr>
        <w:tab/>
      </w:r>
      <w:r w:rsidR="00367F05">
        <w:rPr>
          <w:lang w:val="en-US"/>
        </w:rPr>
        <w:t>In the result, the second application to introduce evidence on appeal, dated</w:t>
      </w:r>
      <w:r w:rsidR="00D73F7E">
        <w:rPr>
          <w:lang w:val="en-US"/>
        </w:rPr>
        <w:t xml:space="preserve"> </w:t>
      </w:r>
      <w:r w:rsidR="009E59AF">
        <w:rPr>
          <w:lang w:val="en-US"/>
        </w:rPr>
        <w:t>23 January 2024</w:t>
      </w:r>
      <w:r w:rsidR="00346BF5">
        <w:rPr>
          <w:lang w:val="en-US"/>
        </w:rPr>
        <w:t>,</w:t>
      </w:r>
      <w:r w:rsidR="009E59AF">
        <w:rPr>
          <w:lang w:val="en-US"/>
        </w:rPr>
        <w:t xml:space="preserve"> f</w:t>
      </w:r>
      <w:r w:rsidR="00367F05">
        <w:rPr>
          <w:lang w:val="en-US"/>
        </w:rPr>
        <w:t>alls to be dismissed. There is no reason to deviate from the normal principle that costs follow the result.</w:t>
      </w:r>
      <w:r w:rsidR="00D52056">
        <w:rPr>
          <w:lang w:val="en-US"/>
        </w:rPr>
        <w:t xml:space="preserve"> </w:t>
      </w:r>
    </w:p>
    <w:p w14:paraId="3D93C4F0" w14:textId="615393A8" w:rsidR="00035455" w:rsidRDefault="00104E3D" w:rsidP="00104E3D">
      <w:pPr>
        <w:pStyle w:val="level1"/>
        <w:numPr>
          <w:ilvl w:val="0"/>
          <w:numId w:val="0"/>
        </w:numPr>
        <w:spacing w:after="480" w:line="360" w:lineRule="auto"/>
        <w:jc w:val="both"/>
        <w:rPr>
          <w:lang w:val="en-US"/>
        </w:rPr>
        <w:pPrChange w:id="20" w:author="Sathish" w:date="2024-02-21T16:06:00Z">
          <w:pPr>
            <w:pStyle w:val="level1"/>
            <w:spacing w:after="480" w:line="360" w:lineRule="auto"/>
            <w:ind w:left="0" w:firstLine="0"/>
            <w:jc w:val="both"/>
          </w:pPr>
        </w:pPrChange>
      </w:pPr>
      <w:r>
        <w:rPr>
          <w:lang w:val="en-US"/>
        </w:rPr>
        <w:t>[20]</w:t>
      </w:r>
      <w:r>
        <w:rPr>
          <w:lang w:val="en-US"/>
        </w:rPr>
        <w:tab/>
      </w:r>
      <w:r w:rsidR="001F6553">
        <w:rPr>
          <w:lang w:val="en-US"/>
        </w:rPr>
        <w:t>Third, a</w:t>
      </w:r>
      <w:r w:rsidR="00035455">
        <w:rPr>
          <w:lang w:val="en-US"/>
        </w:rPr>
        <w:t xml:space="preserve">s </w:t>
      </w:r>
      <w:r w:rsidR="001F6553">
        <w:rPr>
          <w:lang w:val="en-US"/>
        </w:rPr>
        <w:t xml:space="preserve">a </w:t>
      </w:r>
      <w:r w:rsidR="00035455">
        <w:rPr>
          <w:lang w:val="en-US"/>
        </w:rPr>
        <w:t xml:space="preserve">point </w:t>
      </w:r>
      <w:r w:rsidR="00035455" w:rsidRPr="00D5299E">
        <w:rPr>
          <w:i/>
          <w:lang w:val="en-US"/>
        </w:rPr>
        <w:t>in limine,</w:t>
      </w:r>
      <w:r w:rsidR="00035455">
        <w:rPr>
          <w:lang w:val="en-US"/>
        </w:rPr>
        <w:t xml:space="preserve"> the respondent raised the </w:t>
      </w:r>
      <w:r w:rsidR="001F6553">
        <w:rPr>
          <w:lang w:val="en-US"/>
        </w:rPr>
        <w:t>issue</w:t>
      </w:r>
      <w:r w:rsidR="00035455">
        <w:rPr>
          <w:lang w:val="en-US"/>
        </w:rPr>
        <w:t xml:space="preserve"> that the notice of appeal is fatally defective as it is generic in nature, does not specify whether the appeal is on a point of law, or fact, or both and does not state what order the court a quo should have granted. It </w:t>
      </w:r>
      <w:r w:rsidR="001F6553">
        <w:rPr>
          <w:lang w:val="en-US"/>
        </w:rPr>
        <w:t xml:space="preserve">was </w:t>
      </w:r>
      <w:r w:rsidR="00035455">
        <w:rPr>
          <w:lang w:val="en-US"/>
        </w:rPr>
        <w:t>argued that the notice of appeal did not comply with r 50 (2) or with r 51(7) of the Magistrates Court Rules and thus, that the notice of appeal and therefore the appeal was invalid</w:t>
      </w:r>
      <w:r w:rsidR="00035455">
        <w:rPr>
          <w:rStyle w:val="FootnoteReference"/>
          <w:lang w:val="en-US"/>
        </w:rPr>
        <w:footnoteReference w:id="4"/>
      </w:r>
      <w:r w:rsidR="00035455">
        <w:rPr>
          <w:lang w:val="en-US"/>
        </w:rPr>
        <w:t xml:space="preserve"> as those requirements are peremptory</w:t>
      </w:r>
      <w:r w:rsidR="00035455">
        <w:rPr>
          <w:rStyle w:val="FootnoteReference"/>
          <w:lang w:val="en-US"/>
        </w:rPr>
        <w:footnoteReference w:id="5"/>
      </w:r>
      <w:r w:rsidR="00035455">
        <w:rPr>
          <w:lang w:val="en-US"/>
        </w:rPr>
        <w:t xml:space="preserve">. </w:t>
      </w:r>
    </w:p>
    <w:p w14:paraId="68F7028D" w14:textId="56965BFB" w:rsidR="00035455" w:rsidRDefault="00104E3D" w:rsidP="00104E3D">
      <w:pPr>
        <w:pStyle w:val="level1"/>
        <w:numPr>
          <w:ilvl w:val="0"/>
          <w:numId w:val="0"/>
        </w:numPr>
        <w:spacing w:after="480" w:line="360" w:lineRule="auto"/>
        <w:jc w:val="both"/>
        <w:rPr>
          <w:lang w:val="en-US"/>
        </w:rPr>
        <w:pPrChange w:id="21" w:author="Sathish" w:date="2024-02-21T16:06:00Z">
          <w:pPr>
            <w:pStyle w:val="level1"/>
            <w:spacing w:after="480" w:line="360" w:lineRule="auto"/>
            <w:ind w:left="0" w:firstLine="0"/>
            <w:jc w:val="both"/>
          </w:pPr>
        </w:pPrChange>
      </w:pPr>
      <w:r>
        <w:rPr>
          <w:lang w:val="en-US"/>
        </w:rPr>
        <w:t>[21]</w:t>
      </w:r>
      <w:r>
        <w:rPr>
          <w:lang w:val="en-US"/>
        </w:rPr>
        <w:tab/>
      </w:r>
      <w:r w:rsidR="00035455">
        <w:rPr>
          <w:lang w:val="en-US"/>
        </w:rPr>
        <w:t xml:space="preserve">Although there is merit in these contentions, </w:t>
      </w:r>
      <w:r w:rsidR="00ED0134">
        <w:rPr>
          <w:lang w:val="en-US"/>
        </w:rPr>
        <w:t>we are not persuaded to dismiss the appeal on this basis</w:t>
      </w:r>
      <w:r w:rsidR="00CA5F5C">
        <w:rPr>
          <w:lang w:val="en-US"/>
        </w:rPr>
        <w:t xml:space="preserve"> alone</w:t>
      </w:r>
      <w:r w:rsidR="00ED0134">
        <w:rPr>
          <w:lang w:val="en-US"/>
        </w:rPr>
        <w:t>.</w:t>
      </w:r>
      <w:r w:rsidR="00035455">
        <w:rPr>
          <w:lang w:val="en-US"/>
        </w:rPr>
        <w:t xml:space="preserve"> </w:t>
      </w:r>
      <w:r w:rsidR="00CA5F5C">
        <w:rPr>
          <w:lang w:val="en-US"/>
        </w:rPr>
        <w:t>The</w:t>
      </w:r>
      <w:r w:rsidR="00035455">
        <w:rPr>
          <w:lang w:val="en-US"/>
        </w:rPr>
        <w:t xml:space="preserve"> merits of the appeal </w:t>
      </w:r>
      <w:r w:rsidR="00CA5F5C">
        <w:rPr>
          <w:lang w:val="en-US"/>
        </w:rPr>
        <w:t xml:space="preserve">must be considered </w:t>
      </w:r>
      <w:r w:rsidR="00035455">
        <w:rPr>
          <w:lang w:val="en-US"/>
        </w:rPr>
        <w:t>against the backdrop of these defects.</w:t>
      </w:r>
    </w:p>
    <w:p w14:paraId="4895F892" w14:textId="3643801B" w:rsidR="001F6553" w:rsidRDefault="00104E3D" w:rsidP="00104E3D">
      <w:pPr>
        <w:pStyle w:val="level1"/>
        <w:numPr>
          <w:ilvl w:val="0"/>
          <w:numId w:val="0"/>
        </w:numPr>
        <w:spacing w:after="480" w:line="360" w:lineRule="auto"/>
        <w:jc w:val="both"/>
        <w:rPr>
          <w:lang w:val="en-US"/>
        </w:rPr>
        <w:pPrChange w:id="22" w:author="Sathish" w:date="2024-02-21T16:06:00Z">
          <w:pPr>
            <w:pStyle w:val="level1"/>
            <w:spacing w:after="480" w:line="360" w:lineRule="auto"/>
            <w:ind w:left="0" w:firstLine="0"/>
            <w:jc w:val="both"/>
          </w:pPr>
        </w:pPrChange>
      </w:pPr>
      <w:r>
        <w:rPr>
          <w:lang w:val="en-US"/>
        </w:rPr>
        <w:lastRenderedPageBreak/>
        <w:t>[22]</w:t>
      </w:r>
      <w:r>
        <w:rPr>
          <w:lang w:val="en-US"/>
        </w:rPr>
        <w:tab/>
      </w:r>
      <w:r w:rsidR="001F6553">
        <w:rPr>
          <w:lang w:val="en-US"/>
        </w:rPr>
        <w:t>T</w:t>
      </w:r>
      <w:r w:rsidR="00D73F7E">
        <w:rPr>
          <w:lang w:val="en-US"/>
        </w:rPr>
        <w:t xml:space="preserve">he basis for the appellant’s complaint is that the court </w:t>
      </w:r>
      <w:r w:rsidR="00D73F7E" w:rsidRPr="005413FD">
        <w:rPr>
          <w:i/>
          <w:lang w:val="en-US"/>
        </w:rPr>
        <w:t>a quo</w:t>
      </w:r>
      <w:r w:rsidR="00D73F7E">
        <w:rPr>
          <w:lang w:val="en-US"/>
        </w:rPr>
        <w:t xml:space="preserve"> did not take into consideration the issues raised by he</w:t>
      </w:r>
      <w:r w:rsidR="000139FD">
        <w:rPr>
          <w:lang w:val="en-US"/>
        </w:rPr>
        <w:t>r</w:t>
      </w:r>
      <w:r w:rsidR="00185BE1">
        <w:rPr>
          <w:lang w:val="en-US"/>
        </w:rPr>
        <w:t xml:space="preserve"> and failed to properly weigh up and consider her conce</w:t>
      </w:r>
      <w:r w:rsidR="00D73F7E">
        <w:rPr>
          <w:lang w:val="en-US"/>
        </w:rPr>
        <w:t>r</w:t>
      </w:r>
      <w:r w:rsidR="00185BE1">
        <w:rPr>
          <w:lang w:val="en-US"/>
        </w:rPr>
        <w:t>ns</w:t>
      </w:r>
      <w:r w:rsidR="00D73F7E">
        <w:rPr>
          <w:lang w:val="en-US"/>
        </w:rPr>
        <w:t>, but rather blindly followed the recommendations by the Family Advocate</w:t>
      </w:r>
      <w:r w:rsidR="00117B3E">
        <w:rPr>
          <w:lang w:val="en-US"/>
        </w:rPr>
        <w:t xml:space="preserve"> and did not take the real life experience of </w:t>
      </w:r>
      <w:r w:rsidR="001F6553">
        <w:rPr>
          <w:lang w:val="en-US"/>
        </w:rPr>
        <w:t>the minor child</w:t>
      </w:r>
      <w:r w:rsidR="00117B3E">
        <w:rPr>
          <w:lang w:val="en-US"/>
        </w:rPr>
        <w:t xml:space="preserve"> into account</w:t>
      </w:r>
      <w:r w:rsidR="00D73F7E">
        <w:rPr>
          <w:lang w:val="en-US"/>
        </w:rPr>
        <w:t xml:space="preserve">. </w:t>
      </w:r>
      <w:r w:rsidR="00185BE1">
        <w:rPr>
          <w:lang w:val="en-US"/>
        </w:rPr>
        <w:t xml:space="preserve"> It is argued that </w:t>
      </w:r>
      <w:r w:rsidR="001F6553">
        <w:rPr>
          <w:lang w:val="en-US"/>
        </w:rPr>
        <w:t>the minor child</w:t>
      </w:r>
      <w:r w:rsidR="00185BE1">
        <w:rPr>
          <w:lang w:val="en-US"/>
        </w:rPr>
        <w:t xml:space="preserve">’s tender age, </w:t>
      </w:r>
      <w:r w:rsidR="001F6553">
        <w:rPr>
          <w:lang w:val="en-US"/>
        </w:rPr>
        <w:t xml:space="preserve">his </w:t>
      </w:r>
      <w:r w:rsidR="00185BE1">
        <w:rPr>
          <w:lang w:val="en-US"/>
        </w:rPr>
        <w:t xml:space="preserve">attachment to the appellant as primary caregiver and the need for stability and routine </w:t>
      </w:r>
      <w:r w:rsidR="000139FD">
        <w:rPr>
          <w:lang w:val="en-US"/>
        </w:rPr>
        <w:t xml:space="preserve">should have been taken </w:t>
      </w:r>
      <w:r w:rsidR="00185BE1">
        <w:rPr>
          <w:lang w:val="en-US"/>
        </w:rPr>
        <w:t xml:space="preserve">into account. According to the appellant, the court </w:t>
      </w:r>
      <w:r w:rsidR="00185BE1" w:rsidRPr="00185BE1">
        <w:rPr>
          <w:i/>
          <w:lang w:val="en-US"/>
        </w:rPr>
        <w:t xml:space="preserve">a quo </w:t>
      </w:r>
      <w:r w:rsidR="00185BE1">
        <w:rPr>
          <w:lang w:val="en-US"/>
        </w:rPr>
        <w:t xml:space="preserve">adopted an approach which favoured the respondent and failed to consider her objections and concerns adequately and that the imbalance produced a result which was not in </w:t>
      </w:r>
      <w:r w:rsidR="001F6553">
        <w:rPr>
          <w:lang w:val="en-US"/>
        </w:rPr>
        <w:t>the minor child’s</w:t>
      </w:r>
      <w:r w:rsidR="00185BE1">
        <w:rPr>
          <w:lang w:val="en-US"/>
        </w:rPr>
        <w:t xml:space="preserve"> best interests.</w:t>
      </w:r>
      <w:r w:rsidR="001F6553">
        <w:rPr>
          <w:lang w:val="en-US"/>
        </w:rPr>
        <w:t xml:space="preserve"> </w:t>
      </w:r>
    </w:p>
    <w:p w14:paraId="46139733" w14:textId="27530069" w:rsidR="004141A2" w:rsidRDefault="00104E3D" w:rsidP="00104E3D">
      <w:pPr>
        <w:pStyle w:val="level1"/>
        <w:numPr>
          <w:ilvl w:val="0"/>
          <w:numId w:val="0"/>
        </w:numPr>
        <w:spacing w:after="480" w:line="360" w:lineRule="auto"/>
        <w:jc w:val="both"/>
        <w:rPr>
          <w:lang w:val="en-US"/>
        </w:rPr>
        <w:pPrChange w:id="23" w:author="Sathish" w:date="2024-02-21T16:06:00Z">
          <w:pPr>
            <w:pStyle w:val="level1"/>
            <w:spacing w:after="480" w:line="360" w:lineRule="auto"/>
            <w:ind w:left="0" w:firstLine="0"/>
            <w:jc w:val="both"/>
          </w:pPr>
        </w:pPrChange>
      </w:pPr>
      <w:r>
        <w:rPr>
          <w:lang w:val="en-US"/>
        </w:rPr>
        <w:t>[23]</w:t>
      </w:r>
      <w:r>
        <w:rPr>
          <w:lang w:val="en-US"/>
        </w:rPr>
        <w:tab/>
      </w:r>
      <w:r w:rsidR="001F6553">
        <w:rPr>
          <w:lang w:val="en-US"/>
        </w:rPr>
        <w:t xml:space="preserve">To support this conclusion, reliance was </w:t>
      </w:r>
      <w:r w:rsidR="001F6553" w:rsidRPr="001F6553">
        <w:rPr>
          <w:i/>
          <w:lang w:val="en-US"/>
        </w:rPr>
        <w:t xml:space="preserve">inter alia </w:t>
      </w:r>
      <w:r w:rsidR="001F6553">
        <w:rPr>
          <w:lang w:val="en-US"/>
        </w:rPr>
        <w:t xml:space="preserve">placed on </w:t>
      </w:r>
      <w:r w:rsidR="004141A2">
        <w:rPr>
          <w:lang w:val="en-US"/>
        </w:rPr>
        <w:t xml:space="preserve">(i) </w:t>
      </w:r>
      <w:r w:rsidR="001F6553">
        <w:rPr>
          <w:lang w:val="en-US"/>
        </w:rPr>
        <w:t xml:space="preserve">the failure in the order of the court </w:t>
      </w:r>
      <w:r w:rsidR="001F6553" w:rsidRPr="001F6553">
        <w:rPr>
          <w:i/>
          <w:lang w:val="en-US"/>
        </w:rPr>
        <w:t>a quo</w:t>
      </w:r>
      <w:r w:rsidR="001F6553">
        <w:rPr>
          <w:lang w:val="en-US"/>
        </w:rPr>
        <w:t xml:space="preserve"> to make provision for the appellant to have contact with the minor child on Christian holidays and Mother’s </w:t>
      </w:r>
      <w:r w:rsidR="00346BF5">
        <w:rPr>
          <w:lang w:val="en-US"/>
        </w:rPr>
        <w:t>D</w:t>
      </w:r>
      <w:r w:rsidR="001F6553">
        <w:rPr>
          <w:lang w:val="en-US"/>
        </w:rPr>
        <w:t xml:space="preserve">ays whereas the respondent was afforded contact on Hindu holidays and Father’s </w:t>
      </w:r>
      <w:r w:rsidR="00346BF5">
        <w:rPr>
          <w:lang w:val="en-US"/>
        </w:rPr>
        <w:t>D</w:t>
      </w:r>
      <w:r w:rsidR="001F6553">
        <w:rPr>
          <w:lang w:val="en-US"/>
        </w:rPr>
        <w:t>ays</w:t>
      </w:r>
      <w:r w:rsidR="004141A2">
        <w:rPr>
          <w:lang w:val="en-US"/>
        </w:rPr>
        <w:t xml:space="preserve"> and (ii) the fact the respondent was awarded contact on every public holiday despite the appellant’s objection that this precludes her from ever sharing public holidays with the child.</w:t>
      </w:r>
    </w:p>
    <w:p w14:paraId="5A9C4A4C" w14:textId="67C5B8E4" w:rsidR="00F22568" w:rsidRPr="004141A2" w:rsidRDefault="00104E3D" w:rsidP="00104E3D">
      <w:pPr>
        <w:pStyle w:val="level1"/>
        <w:numPr>
          <w:ilvl w:val="0"/>
          <w:numId w:val="0"/>
        </w:numPr>
        <w:spacing w:after="480" w:line="360" w:lineRule="auto"/>
        <w:jc w:val="both"/>
        <w:rPr>
          <w:lang w:val="en-US"/>
        </w:rPr>
        <w:pPrChange w:id="24" w:author="Sathish" w:date="2024-02-21T16:06:00Z">
          <w:pPr>
            <w:pStyle w:val="level1"/>
            <w:spacing w:after="480" w:line="360" w:lineRule="auto"/>
            <w:ind w:left="0" w:firstLine="0"/>
            <w:jc w:val="both"/>
          </w:pPr>
        </w:pPrChange>
      </w:pPr>
      <w:r w:rsidRPr="004141A2">
        <w:rPr>
          <w:lang w:val="en-US"/>
        </w:rPr>
        <w:t>[24]</w:t>
      </w:r>
      <w:r w:rsidRPr="004141A2">
        <w:rPr>
          <w:lang w:val="en-US"/>
        </w:rPr>
        <w:tab/>
      </w:r>
      <w:r w:rsidR="001F6553" w:rsidRPr="004141A2">
        <w:rPr>
          <w:lang w:val="en-US"/>
        </w:rPr>
        <w:t xml:space="preserve"> </w:t>
      </w:r>
      <w:r w:rsidR="00D73F7E" w:rsidRPr="004141A2">
        <w:rPr>
          <w:lang w:val="en-US"/>
        </w:rPr>
        <w:t xml:space="preserve"> </w:t>
      </w:r>
      <w:r w:rsidR="00E94559" w:rsidRPr="004141A2">
        <w:rPr>
          <w:lang w:val="en-US"/>
        </w:rPr>
        <w:t xml:space="preserve"> </w:t>
      </w:r>
      <w:r w:rsidR="00F22568" w:rsidRPr="004141A2">
        <w:rPr>
          <w:lang w:val="en-US"/>
        </w:rPr>
        <w:t>It appears that the appellant’s primary complaint is aimed at the commencement of sleepover contact when the child was two years old. This is to commence during March 2024</w:t>
      </w:r>
      <w:r w:rsidR="008E4E6B" w:rsidRPr="004141A2">
        <w:rPr>
          <w:lang w:val="en-US"/>
        </w:rPr>
        <w:t xml:space="preserve"> in terms of the order of the court </w:t>
      </w:r>
      <w:r w:rsidR="008E4E6B" w:rsidRPr="004141A2">
        <w:rPr>
          <w:i/>
          <w:lang w:val="en-US"/>
        </w:rPr>
        <w:t>a quo</w:t>
      </w:r>
      <w:r w:rsidR="00CE31DD">
        <w:rPr>
          <w:rStyle w:val="FootnoteReference"/>
          <w:i/>
          <w:lang w:val="en-US"/>
        </w:rPr>
        <w:footnoteReference w:id="6"/>
      </w:r>
      <w:r w:rsidR="00F22568" w:rsidRPr="004141A2">
        <w:rPr>
          <w:lang w:val="en-US"/>
        </w:rPr>
        <w:t xml:space="preserve">. The </w:t>
      </w:r>
      <w:r w:rsidR="0018664B">
        <w:rPr>
          <w:lang w:val="en-US"/>
        </w:rPr>
        <w:t xml:space="preserve">appellant’s </w:t>
      </w:r>
      <w:r w:rsidR="00F22568" w:rsidRPr="004141A2">
        <w:rPr>
          <w:lang w:val="en-US"/>
        </w:rPr>
        <w:t>complaint regarding the recommendation made wh</w:t>
      </w:r>
      <w:r w:rsidR="000139FD" w:rsidRPr="004141A2">
        <w:rPr>
          <w:lang w:val="en-US"/>
        </w:rPr>
        <w:t>en</w:t>
      </w:r>
      <w:r w:rsidR="00F22568" w:rsidRPr="004141A2">
        <w:rPr>
          <w:lang w:val="en-US"/>
        </w:rPr>
        <w:t xml:space="preserve"> the ch</w:t>
      </w:r>
      <w:r w:rsidR="000139FD" w:rsidRPr="004141A2">
        <w:rPr>
          <w:lang w:val="en-US"/>
        </w:rPr>
        <w:t>i</w:t>
      </w:r>
      <w:r w:rsidR="00F22568" w:rsidRPr="004141A2">
        <w:rPr>
          <w:lang w:val="en-US"/>
        </w:rPr>
        <w:t xml:space="preserve">ld was </w:t>
      </w:r>
      <w:r w:rsidR="009A215A">
        <w:rPr>
          <w:lang w:val="en-US"/>
        </w:rPr>
        <w:t>seventeen</w:t>
      </w:r>
      <w:r w:rsidR="00F22568" w:rsidRPr="004141A2">
        <w:rPr>
          <w:lang w:val="en-US"/>
        </w:rPr>
        <w:t xml:space="preserve"> months old</w:t>
      </w:r>
      <w:r w:rsidR="008E4E6B" w:rsidRPr="004141A2">
        <w:rPr>
          <w:lang w:val="en-US"/>
        </w:rPr>
        <w:t>,</w:t>
      </w:r>
      <w:r w:rsidR="00F22568" w:rsidRPr="004141A2">
        <w:rPr>
          <w:lang w:val="en-US"/>
        </w:rPr>
        <w:t xml:space="preserve"> was that he was a co-sleeper (with the appellant) and still breastfeeds</w:t>
      </w:r>
      <w:r w:rsidR="00E02110" w:rsidRPr="004141A2">
        <w:rPr>
          <w:lang w:val="en-US"/>
        </w:rPr>
        <w:t>.</w:t>
      </w:r>
      <w:r w:rsidR="004141A2" w:rsidRPr="004141A2">
        <w:rPr>
          <w:lang w:val="en-US"/>
        </w:rPr>
        <w:t xml:space="preserve">  </w:t>
      </w:r>
    </w:p>
    <w:p w14:paraId="1081A238" w14:textId="44EA337A" w:rsidR="0018664B" w:rsidRDefault="00104E3D" w:rsidP="00104E3D">
      <w:pPr>
        <w:pStyle w:val="level1"/>
        <w:numPr>
          <w:ilvl w:val="0"/>
          <w:numId w:val="0"/>
        </w:numPr>
        <w:spacing w:after="480" w:line="360" w:lineRule="auto"/>
        <w:jc w:val="both"/>
        <w:rPr>
          <w:lang w:val="en-US"/>
        </w:rPr>
        <w:pPrChange w:id="25" w:author="Sathish" w:date="2024-02-21T16:06:00Z">
          <w:pPr>
            <w:pStyle w:val="level1"/>
            <w:spacing w:after="480" w:line="360" w:lineRule="auto"/>
            <w:ind w:left="0" w:firstLine="0"/>
            <w:jc w:val="both"/>
          </w:pPr>
        </w:pPrChange>
      </w:pPr>
      <w:r>
        <w:rPr>
          <w:lang w:val="en-US"/>
        </w:rPr>
        <w:t>[25]</w:t>
      </w:r>
      <w:r>
        <w:rPr>
          <w:lang w:val="en-US"/>
        </w:rPr>
        <w:tab/>
      </w:r>
      <w:r w:rsidR="004141A2">
        <w:rPr>
          <w:lang w:val="en-US"/>
        </w:rPr>
        <w:t xml:space="preserve">It was not disputed that the court </w:t>
      </w:r>
      <w:r w:rsidR="004141A2" w:rsidRPr="005A3AA9">
        <w:rPr>
          <w:i/>
          <w:lang w:val="en-US"/>
        </w:rPr>
        <w:t>a quo</w:t>
      </w:r>
      <w:r w:rsidR="004141A2">
        <w:rPr>
          <w:lang w:val="en-US"/>
        </w:rPr>
        <w:t xml:space="preserve"> was exercising a discretion in the true sense in granting the impugned order. The relevant principles </w:t>
      </w:r>
      <w:r w:rsidR="0018664B">
        <w:rPr>
          <w:lang w:val="en-US"/>
        </w:rPr>
        <w:t>pertaining to discretions</w:t>
      </w:r>
      <w:r w:rsidR="004141A2">
        <w:rPr>
          <w:lang w:val="en-US"/>
        </w:rPr>
        <w:t xml:space="preserve"> are </w:t>
      </w:r>
      <w:r w:rsidR="0018664B">
        <w:rPr>
          <w:lang w:val="en-US"/>
        </w:rPr>
        <w:t>well established</w:t>
      </w:r>
      <w:r w:rsidR="004141A2">
        <w:rPr>
          <w:rStyle w:val="FootnoteReference"/>
          <w:lang w:val="en-US"/>
        </w:rPr>
        <w:footnoteReference w:id="7"/>
      </w:r>
      <w:r w:rsidR="004141A2">
        <w:rPr>
          <w:lang w:val="en-US"/>
        </w:rPr>
        <w:t xml:space="preserve"> and do not require repetition. It is not disputed that the court </w:t>
      </w:r>
      <w:r w:rsidR="004141A2" w:rsidRPr="00D37AB0">
        <w:rPr>
          <w:i/>
          <w:lang w:val="en-US"/>
        </w:rPr>
        <w:t>a quo</w:t>
      </w:r>
      <w:r w:rsidR="004141A2">
        <w:rPr>
          <w:lang w:val="en-US"/>
        </w:rPr>
        <w:t xml:space="preserve"> </w:t>
      </w:r>
      <w:r w:rsidR="004141A2">
        <w:rPr>
          <w:lang w:val="en-US"/>
        </w:rPr>
        <w:lastRenderedPageBreak/>
        <w:t>was exercising a discretion in the true sense where it had a range of equally permissible options open to it.</w:t>
      </w:r>
      <w:r w:rsidR="00ED1F48" w:rsidRPr="00ED1F48">
        <w:rPr>
          <w:lang w:val="en-US"/>
        </w:rPr>
        <w:t xml:space="preserve"> </w:t>
      </w:r>
    </w:p>
    <w:p w14:paraId="30C60693" w14:textId="7694C8D9" w:rsidR="004141A2" w:rsidRDefault="00104E3D" w:rsidP="00104E3D">
      <w:pPr>
        <w:pStyle w:val="level1"/>
        <w:numPr>
          <w:ilvl w:val="0"/>
          <w:numId w:val="0"/>
        </w:numPr>
        <w:spacing w:after="480" w:line="360" w:lineRule="auto"/>
        <w:jc w:val="both"/>
        <w:rPr>
          <w:lang w:val="en-US"/>
        </w:rPr>
        <w:pPrChange w:id="26" w:author="Sathish" w:date="2024-02-21T16:06:00Z">
          <w:pPr>
            <w:pStyle w:val="level1"/>
            <w:spacing w:after="480" w:line="360" w:lineRule="auto"/>
            <w:ind w:left="0" w:firstLine="0"/>
            <w:jc w:val="both"/>
          </w:pPr>
        </w:pPrChange>
      </w:pPr>
      <w:r>
        <w:rPr>
          <w:lang w:val="en-US"/>
        </w:rPr>
        <w:t>[26]</w:t>
      </w:r>
      <w:r>
        <w:rPr>
          <w:lang w:val="en-US"/>
        </w:rPr>
        <w:tab/>
      </w:r>
      <w:r w:rsidR="00ED1F48" w:rsidRPr="0099740C">
        <w:rPr>
          <w:lang w:val="en-US"/>
        </w:rPr>
        <w:t>It is trite that an appellate court will only interfere with the exercise of a true discretion in circumscribed circumstances</w:t>
      </w:r>
      <w:r w:rsidR="00ED1F48">
        <w:rPr>
          <w:rStyle w:val="FootnoteReference"/>
          <w:lang w:val="en-US"/>
        </w:rPr>
        <w:footnoteReference w:id="8"/>
      </w:r>
      <w:r w:rsidR="00ED1F48" w:rsidRPr="0099740C">
        <w:rPr>
          <w:lang w:val="en-US"/>
        </w:rPr>
        <w:t>. The circumstances in which such interference will be justified are cases of vitiation by misdirection or irregularity, or the absence of grounds on which a court, acting reasonably could have made the order in question.</w:t>
      </w:r>
      <w:r w:rsidR="00ED1F48">
        <w:rPr>
          <w:rStyle w:val="FootnoteReference"/>
          <w:lang w:val="en-US"/>
        </w:rPr>
        <w:footnoteReference w:id="9"/>
      </w:r>
    </w:p>
    <w:p w14:paraId="3416DF4B" w14:textId="4602DAE8" w:rsidR="004141A2" w:rsidRPr="00ED1F48" w:rsidRDefault="00104E3D" w:rsidP="00104E3D">
      <w:pPr>
        <w:pStyle w:val="level1"/>
        <w:numPr>
          <w:ilvl w:val="0"/>
          <w:numId w:val="0"/>
        </w:numPr>
        <w:spacing w:after="480" w:line="360" w:lineRule="auto"/>
        <w:jc w:val="both"/>
        <w:rPr>
          <w:lang w:val="en-US"/>
        </w:rPr>
        <w:pPrChange w:id="27" w:author="Sathish" w:date="2024-02-21T16:06:00Z">
          <w:pPr>
            <w:pStyle w:val="level1"/>
            <w:spacing w:after="480" w:line="360" w:lineRule="auto"/>
            <w:ind w:left="0" w:firstLine="0"/>
            <w:jc w:val="both"/>
          </w:pPr>
        </w:pPrChange>
      </w:pPr>
      <w:r w:rsidRPr="00ED1F48">
        <w:rPr>
          <w:lang w:val="en-US"/>
        </w:rPr>
        <w:t>[27]</w:t>
      </w:r>
      <w:r w:rsidRPr="00ED1F48">
        <w:rPr>
          <w:lang w:val="en-US"/>
        </w:rPr>
        <w:tab/>
      </w:r>
      <w:r w:rsidR="00ED1F48" w:rsidRPr="00ED1F48">
        <w:rPr>
          <w:lang w:val="en-US"/>
        </w:rPr>
        <w:t xml:space="preserve">On a contextual, purposive and grammatical interpretation of the order of the court </w:t>
      </w:r>
      <w:r w:rsidR="00ED1F48" w:rsidRPr="005A3AA9">
        <w:rPr>
          <w:i/>
          <w:lang w:val="en-US"/>
        </w:rPr>
        <w:t>a quo,</w:t>
      </w:r>
      <w:r w:rsidR="00ED1F48" w:rsidRPr="00ED1F48">
        <w:rPr>
          <w:lang w:val="en-US"/>
        </w:rPr>
        <w:t xml:space="preserve"> it</w:t>
      </w:r>
      <w:r w:rsidR="00451605">
        <w:rPr>
          <w:lang w:val="en-US"/>
        </w:rPr>
        <w:t xml:space="preserve"> did not disregard the appellant’s parity of rights as contended by her and did not preclude the appellant from exercising contact to the minor child on Christian holidays or Mother’s day, given that the order expressly</w:t>
      </w:r>
      <w:r w:rsidR="0018664B">
        <w:rPr>
          <w:lang w:val="en-US"/>
        </w:rPr>
        <w:t xml:space="preserve"> regulated the specific occasions on which the respondent could exercise access to the minor child</w:t>
      </w:r>
      <w:r w:rsidR="000D1A66">
        <w:rPr>
          <w:lang w:val="en-US"/>
        </w:rPr>
        <w:t xml:space="preserve">, rather than delineate the </w:t>
      </w:r>
      <w:r w:rsidR="005A3AA9">
        <w:rPr>
          <w:lang w:val="en-US"/>
        </w:rPr>
        <w:t xml:space="preserve">parties’ respective </w:t>
      </w:r>
      <w:r w:rsidR="000D1A66">
        <w:rPr>
          <w:lang w:val="en-US"/>
        </w:rPr>
        <w:t>contact</w:t>
      </w:r>
      <w:r w:rsidR="005A3AA9">
        <w:rPr>
          <w:lang w:val="en-US"/>
        </w:rPr>
        <w:t xml:space="preserve"> rights</w:t>
      </w:r>
      <w:r w:rsidR="0018664B">
        <w:rPr>
          <w:lang w:val="en-US"/>
        </w:rPr>
        <w:t>.</w:t>
      </w:r>
      <w:r w:rsidR="00451605">
        <w:rPr>
          <w:lang w:val="en-US"/>
        </w:rPr>
        <w:t xml:space="preserve"> </w:t>
      </w:r>
    </w:p>
    <w:p w14:paraId="2E29D276" w14:textId="1542FD79" w:rsidR="0018664B" w:rsidRDefault="00104E3D" w:rsidP="00104E3D">
      <w:pPr>
        <w:pStyle w:val="level1"/>
        <w:numPr>
          <w:ilvl w:val="0"/>
          <w:numId w:val="0"/>
        </w:numPr>
        <w:spacing w:after="480" w:line="360" w:lineRule="auto"/>
        <w:jc w:val="both"/>
        <w:rPr>
          <w:lang w:val="en-US"/>
        </w:rPr>
        <w:pPrChange w:id="28" w:author="Sathish" w:date="2024-02-21T16:06:00Z">
          <w:pPr>
            <w:pStyle w:val="level1"/>
            <w:spacing w:after="480" w:line="360" w:lineRule="auto"/>
            <w:ind w:left="0" w:firstLine="0"/>
            <w:jc w:val="both"/>
          </w:pPr>
        </w:pPrChange>
      </w:pPr>
      <w:r>
        <w:rPr>
          <w:lang w:val="en-US"/>
        </w:rPr>
        <w:t>[28]</w:t>
      </w:r>
      <w:r>
        <w:rPr>
          <w:lang w:val="en-US"/>
        </w:rPr>
        <w:tab/>
      </w:r>
      <w:r w:rsidR="0018664B">
        <w:rPr>
          <w:lang w:val="en-US"/>
        </w:rPr>
        <w:t xml:space="preserve">From the Family Advocate’s report it is clear that the emails from the appellant providing her input regarding the contact and care issues, were considered by the Family Advocate. The correspondence received from the parties were </w:t>
      </w:r>
      <w:r w:rsidR="00346BF5">
        <w:rPr>
          <w:lang w:val="en-US"/>
        </w:rPr>
        <w:t xml:space="preserve">summarised in and </w:t>
      </w:r>
      <w:r w:rsidR="0018664B">
        <w:rPr>
          <w:lang w:val="en-US"/>
        </w:rPr>
        <w:t>attached to the Family Advocate’s report</w:t>
      </w:r>
      <w:r w:rsidR="00346BF5">
        <w:rPr>
          <w:lang w:val="en-US"/>
        </w:rPr>
        <w:t>,</w:t>
      </w:r>
      <w:r w:rsidR="00CA5F5C">
        <w:rPr>
          <w:lang w:val="en-US"/>
        </w:rPr>
        <w:t xml:space="preserve"> and placed before the court </w:t>
      </w:r>
      <w:r w:rsidR="00CA5F5C" w:rsidRPr="00CA5F5C">
        <w:rPr>
          <w:i/>
          <w:lang w:val="en-US"/>
        </w:rPr>
        <w:t>a quo</w:t>
      </w:r>
      <w:r w:rsidR="0018664B">
        <w:rPr>
          <w:lang w:val="en-US"/>
        </w:rPr>
        <w:t xml:space="preserve">. The fact that the appellant’s concerns were not all expressly dealt with in the report does not equate to a conclusion that they were not taken into consideration. It can also not be concluded that the court </w:t>
      </w:r>
      <w:r w:rsidR="0018664B" w:rsidRPr="008E4E6B">
        <w:rPr>
          <w:i/>
          <w:lang w:val="en-US"/>
        </w:rPr>
        <w:t xml:space="preserve">a quo </w:t>
      </w:r>
      <w:r w:rsidR="0018664B">
        <w:rPr>
          <w:lang w:val="en-US"/>
        </w:rPr>
        <w:t xml:space="preserve">did not take all the information placed before her into account, including the submissions of the appellant made at the hearing, in making her determination. From the available evidence, it can further not be concluded that the court </w:t>
      </w:r>
      <w:r w:rsidR="0018664B" w:rsidRPr="005A3AA9">
        <w:rPr>
          <w:i/>
          <w:lang w:val="en-US"/>
        </w:rPr>
        <w:t>a quo</w:t>
      </w:r>
      <w:r w:rsidR="0018664B">
        <w:rPr>
          <w:lang w:val="en-US"/>
        </w:rPr>
        <w:t xml:space="preserve"> favoured the respondent, as contended by the appellant.  </w:t>
      </w:r>
    </w:p>
    <w:p w14:paraId="059A1C95" w14:textId="61304E91" w:rsidR="0018664B" w:rsidRDefault="00104E3D" w:rsidP="00104E3D">
      <w:pPr>
        <w:pStyle w:val="level1"/>
        <w:numPr>
          <w:ilvl w:val="0"/>
          <w:numId w:val="0"/>
        </w:numPr>
        <w:spacing w:after="480" w:line="360" w:lineRule="auto"/>
        <w:jc w:val="both"/>
        <w:rPr>
          <w:lang w:val="en-US"/>
        </w:rPr>
        <w:pPrChange w:id="29" w:author="Sathish" w:date="2024-02-21T16:06:00Z">
          <w:pPr>
            <w:pStyle w:val="level1"/>
            <w:spacing w:after="480" w:line="360" w:lineRule="auto"/>
            <w:ind w:left="0" w:firstLine="0"/>
            <w:jc w:val="both"/>
          </w:pPr>
        </w:pPrChange>
      </w:pPr>
      <w:r>
        <w:rPr>
          <w:lang w:val="en-US"/>
        </w:rPr>
        <w:lastRenderedPageBreak/>
        <w:t>[29]</w:t>
      </w:r>
      <w:r>
        <w:rPr>
          <w:lang w:val="en-US"/>
        </w:rPr>
        <w:tab/>
      </w:r>
      <w:r w:rsidR="0018664B" w:rsidRPr="00ED1F48">
        <w:rPr>
          <w:lang w:val="en-US"/>
        </w:rPr>
        <w:t xml:space="preserve">Given the present facts, </w:t>
      </w:r>
      <w:r w:rsidR="0018664B">
        <w:rPr>
          <w:lang w:val="en-US"/>
        </w:rPr>
        <w:t>i</w:t>
      </w:r>
      <w:r w:rsidR="0018664B" w:rsidRPr="00ED1F48">
        <w:rPr>
          <w:lang w:val="en-US"/>
        </w:rPr>
        <w:t xml:space="preserve">t cannot be concluded that the court </w:t>
      </w:r>
      <w:r w:rsidR="0018664B" w:rsidRPr="00ED1F48">
        <w:rPr>
          <w:i/>
          <w:lang w:val="en-US"/>
        </w:rPr>
        <w:t>a quo</w:t>
      </w:r>
      <w:r w:rsidR="0018664B" w:rsidRPr="00ED1F48">
        <w:rPr>
          <w:lang w:val="en-US"/>
        </w:rPr>
        <w:t xml:space="preserve"> did not judicially exercise its discretion, nor that it was influenced by wrong principles or material misdirections of fact. </w:t>
      </w:r>
      <w:r w:rsidR="0018664B">
        <w:rPr>
          <w:lang w:val="en-US"/>
        </w:rPr>
        <w:t xml:space="preserve">As such there is no basis to interfere with the exercise of the court </w:t>
      </w:r>
      <w:r w:rsidR="0018664B" w:rsidRPr="0018664B">
        <w:rPr>
          <w:i/>
          <w:lang w:val="en-US"/>
        </w:rPr>
        <w:t>a quo’s</w:t>
      </w:r>
      <w:r w:rsidR="0018664B">
        <w:rPr>
          <w:lang w:val="en-US"/>
        </w:rPr>
        <w:t xml:space="preserve"> discretion.</w:t>
      </w:r>
    </w:p>
    <w:p w14:paraId="16FD2AE6" w14:textId="5A7BF9F0" w:rsidR="00CA5F5C" w:rsidRDefault="00104E3D" w:rsidP="00104E3D">
      <w:pPr>
        <w:pStyle w:val="level1"/>
        <w:numPr>
          <w:ilvl w:val="0"/>
          <w:numId w:val="0"/>
        </w:numPr>
        <w:spacing w:after="480" w:line="360" w:lineRule="auto"/>
        <w:jc w:val="both"/>
        <w:rPr>
          <w:lang w:val="en-US"/>
        </w:rPr>
        <w:pPrChange w:id="30" w:author="Sathish" w:date="2024-02-21T16:06:00Z">
          <w:pPr>
            <w:pStyle w:val="level1"/>
            <w:spacing w:after="480" w:line="360" w:lineRule="auto"/>
            <w:ind w:left="0" w:firstLine="0"/>
            <w:jc w:val="both"/>
          </w:pPr>
        </w:pPrChange>
      </w:pPr>
      <w:r>
        <w:rPr>
          <w:lang w:val="en-US"/>
        </w:rPr>
        <w:t>[30]</w:t>
      </w:r>
      <w:r>
        <w:rPr>
          <w:lang w:val="en-US"/>
        </w:rPr>
        <w:tab/>
      </w:r>
      <w:r w:rsidR="0018664B">
        <w:rPr>
          <w:lang w:val="en-US"/>
        </w:rPr>
        <w:t xml:space="preserve">Moreover, </w:t>
      </w:r>
      <w:r w:rsidR="000C48D7">
        <w:rPr>
          <w:lang w:val="en-US"/>
        </w:rPr>
        <w:t xml:space="preserve">given the history of the litigation, </w:t>
      </w:r>
      <w:r w:rsidR="0018664B">
        <w:rPr>
          <w:lang w:val="en-US"/>
        </w:rPr>
        <w:t>there is merit in the respondent’s contention that the appeal would have no practical effect or result as envisaged by s 16(2)(a)(i) of the Act a</w:t>
      </w:r>
      <w:r w:rsidR="000C48D7">
        <w:rPr>
          <w:lang w:val="en-US"/>
        </w:rPr>
        <w:t>s</w:t>
      </w:r>
      <w:r w:rsidR="0018664B">
        <w:rPr>
          <w:lang w:val="en-US"/>
        </w:rPr>
        <w:t xml:space="preserve"> the appeal </w:t>
      </w:r>
      <w:r w:rsidR="00346BF5">
        <w:rPr>
          <w:lang w:val="en-US"/>
        </w:rPr>
        <w:t xml:space="preserve">has been </w:t>
      </w:r>
      <w:r w:rsidR="0018664B">
        <w:rPr>
          <w:lang w:val="en-US"/>
        </w:rPr>
        <w:t>overtaken by the subsequent events already referred to, which culminated in the Liebenberg order</w:t>
      </w:r>
      <w:r w:rsidR="00CA5F5C">
        <w:rPr>
          <w:lang w:val="en-US"/>
        </w:rPr>
        <w:t>, justifying the dismissal of the appeal</w:t>
      </w:r>
      <w:r w:rsidR="0018664B">
        <w:rPr>
          <w:lang w:val="en-US"/>
        </w:rPr>
        <w:t xml:space="preserve">. </w:t>
      </w:r>
    </w:p>
    <w:p w14:paraId="45469A8F" w14:textId="73673C2A" w:rsidR="0018664B" w:rsidRDefault="00104E3D" w:rsidP="00104E3D">
      <w:pPr>
        <w:pStyle w:val="level1"/>
        <w:numPr>
          <w:ilvl w:val="0"/>
          <w:numId w:val="0"/>
        </w:numPr>
        <w:spacing w:after="480" w:line="360" w:lineRule="auto"/>
        <w:jc w:val="both"/>
        <w:rPr>
          <w:lang w:val="en-US"/>
        </w:rPr>
        <w:pPrChange w:id="31" w:author="Sathish" w:date="2024-02-21T16:06:00Z">
          <w:pPr>
            <w:pStyle w:val="level1"/>
            <w:spacing w:after="480" w:line="360" w:lineRule="auto"/>
            <w:ind w:left="0" w:firstLine="0"/>
            <w:jc w:val="both"/>
          </w:pPr>
        </w:pPrChange>
      </w:pPr>
      <w:r>
        <w:rPr>
          <w:lang w:val="en-US"/>
        </w:rPr>
        <w:t>[31]</w:t>
      </w:r>
      <w:r>
        <w:rPr>
          <w:lang w:val="en-US"/>
        </w:rPr>
        <w:tab/>
      </w:r>
      <w:r w:rsidR="000C48D7">
        <w:rPr>
          <w:lang w:val="en-US"/>
        </w:rPr>
        <w:t xml:space="preserve">Considering the present pending forensic investigation of the minor child, a </w:t>
      </w:r>
      <w:r w:rsidR="0018664B">
        <w:rPr>
          <w:lang w:val="en-US"/>
        </w:rPr>
        <w:t xml:space="preserve">referral back </w:t>
      </w:r>
      <w:r w:rsidR="000C48D7">
        <w:rPr>
          <w:lang w:val="en-US"/>
        </w:rPr>
        <w:t xml:space="preserve">to </w:t>
      </w:r>
      <w:r w:rsidR="0018664B">
        <w:rPr>
          <w:lang w:val="en-US"/>
        </w:rPr>
        <w:t xml:space="preserve">the Children’s Court </w:t>
      </w:r>
      <w:r w:rsidR="000C48D7">
        <w:rPr>
          <w:lang w:val="en-US"/>
        </w:rPr>
        <w:t xml:space="preserve">for a </w:t>
      </w:r>
      <w:r w:rsidR="000C48D7" w:rsidRPr="000C48D7">
        <w:rPr>
          <w:i/>
          <w:lang w:val="en-US"/>
        </w:rPr>
        <w:t>de novo</w:t>
      </w:r>
      <w:r w:rsidR="000C48D7">
        <w:rPr>
          <w:lang w:val="en-US"/>
        </w:rPr>
        <w:t xml:space="preserve"> investigation </w:t>
      </w:r>
      <w:r w:rsidR="0018664B">
        <w:rPr>
          <w:lang w:val="en-US"/>
        </w:rPr>
        <w:t xml:space="preserve">would </w:t>
      </w:r>
      <w:r w:rsidR="000C48D7">
        <w:rPr>
          <w:lang w:val="en-US"/>
        </w:rPr>
        <w:t>cause</w:t>
      </w:r>
      <w:r w:rsidR="0018664B">
        <w:rPr>
          <w:lang w:val="en-US"/>
        </w:rPr>
        <w:t xml:space="preserve"> unnecessary </w:t>
      </w:r>
      <w:r w:rsidR="000C48D7">
        <w:rPr>
          <w:lang w:val="en-US"/>
        </w:rPr>
        <w:t xml:space="preserve">delays </w:t>
      </w:r>
      <w:r w:rsidR="0018664B">
        <w:rPr>
          <w:lang w:val="en-US"/>
        </w:rPr>
        <w:t xml:space="preserve">and a duplication of process, given that the </w:t>
      </w:r>
      <w:r w:rsidR="000C48D7">
        <w:rPr>
          <w:lang w:val="en-US"/>
        </w:rPr>
        <w:t>H</w:t>
      </w:r>
      <w:r w:rsidR="0018664B">
        <w:rPr>
          <w:lang w:val="en-US"/>
        </w:rPr>
        <w:t xml:space="preserve">igh </w:t>
      </w:r>
      <w:r w:rsidR="000C48D7">
        <w:rPr>
          <w:lang w:val="en-US"/>
        </w:rPr>
        <w:t>C</w:t>
      </w:r>
      <w:r w:rsidR="0018664B">
        <w:rPr>
          <w:lang w:val="en-US"/>
        </w:rPr>
        <w:t xml:space="preserve">ourt is seized with </w:t>
      </w:r>
      <w:r w:rsidR="000C48D7">
        <w:rPr>
          <w:lang w:val="en-US"/>
        </w:rPr>
        <w:t xml:space="preserve">receipt of the forensic report pertaining to the </w:t>
      </w:r>
      <w:r w:rsidR="0018664B">
        <w:rPr>
          <w:lang w:val="en-US"/>
        </w:rPr>
        <w:t xml:space="preserve">issue of care and contact with </w:t>
      </w:r>
      <w:r w:rsidR="000C48D7">
        <w:rPr>
          <w:lang w:val="en-US"/>
        </w:rPr>
        <w:t>the minor child and his best interests</w:t>
      </w:r>
      <w:r w:rsidR="0018664B">
        <w:rPr>
          <w:lang w:val="en-US"/>
        </w:rPr>
        <w:t>.</w:t>
      </w:r>
      <w:r w:rsidR="000C48D7" w:rsidRPr="000C48D7">
        <w:rPr>
          <w:lang w:val="en-US"/>
        </w:rPr>
        <w:t xml:space="preserve"> </w:t>
      </w:r>
    </w:p>
    <w:p w14:paraId="786C1EFD" w14:textId="17856458" w:rsidR="0018664B" w:rsidRDefault="00104E3D" w:rsidP="00104E3D">
      <w:pPr>
        <w:pStyle w:val="level1"/>
        <w:numPr>
          <w:ilvl w:val="0"/>
          <w:numId w:val="0"/>
        </w:numPr>
        <w:spacing w:after="480" w:line="360" w:lineRule="auto"/>
        <w:jc w:val="both"/>
        <w:rPr>
          <w:lang w:val="en-US"/>
        </w:rPr>
        <w:pPrChange w:id="32" w:author="Sathish" w:date="2024-02-21T16:06:00Z">
          <w:pPr>
            <w:pStyle w:val="level1"/>
            <w:spacing w:after="480" w:line="360" w:lineRule="auto"/>
            <w:ind w:left="0" w:firstLine="0"/>
            <w:jc w:val="both"/>
          </w:pPr>
        </w:pPrChange>
      </w:pPr>
      <w:r>
        <w:rPr>
          <w:lang w:val="en-US"/>
        </w:rPr>
        <w:t>[32]</w:t>
      </w:r>
      <w:r>
        <w:rPr>
          <w:lang w:val="en-US"/>
        </w:rPr>
        <w:tab/>
      </w:r>
      <w:r w:rsidR="000C48D7">
        <w:rPr>
          <w:lang w:val="en-US"/>
        </w:rPr>
        <w:t xml:space="preserve">The </w:t>
      </w:r>
      <w:r w:rsidR="0018664B" w:rsidRPr="00C47079">
        <w:rPr>
          <w:lang w:val="en-US"/>
        </w:rPr>
        <w:t>appellant</w:t>
      </w:r>
      <w:r w:rsidR="000C48D7">
        <w:rPr>
          <w:lang w:val="en-US"/>
        </w:rPr>
        <w:t>’s contentions</w:t>
      </w:r>
      <w:r w:rsidR="0018664B" w:rsidRPr="00C47079">
        <w:rPr>
          <w:lang w:val="en-US"/>
        </w:rPr>
        <w:t xml:space="preserve"> that the appeal has </w:t>
      </w:r>
      <w:r w:rsidR="000C48D7">
        <w:rPr>
          <w:lang w:val="en-US"/>
        </w:rPr>
        <w:t xml:space="preserve">not </w:t>
      </w:r>
      <w:r w:rsidR="0018664B" w:rsidRPr="00C47079">
        <w:rPr>
          <w:lang w:val="en-US"/>
        </w:rPr>
        <w:t xml:space="preserve">been rendered moot and that the High </w:t>
      </w:r>
      <w:r w:rsidR="000C48D7">
        <w:rPr>
          <w:lang w:val="en-US"/>
        </w:rPr>
        <w:t>C</w:t>
      </w:r>
      <w:r w:rsidR="0018664B" w:rsidRPr="00C47079">
        <w:rPr>
          <w:lang w:val="en-US"/>
        </w:rPr>
        <w:t>ourt is not seized with the issue of care and contact, given that the proceedings before Liebenberg J related to contempt and the interim contact order was granted only pending the appeal</w:t>
      </w:r>
      <w:r w:rsidR="000C48D7">
        <w:rPr>
          <w:lang w:val="en-US"/>
        </w:rPr>
        <w:t>, do not pass muster</w:t>
      </w:r>
      <w:r w:rsidR="0018664B" w:rsidRPr="00C47079">
        <w:rPr>
          <w:lang w:val="en-US"/>
        </w:rPr>
        <w:t>.</w:t>
      </w:r>
      <w:r w:rsidR="000C48D7">
        <w:rPr>
          <w:lang w:val="en-US"/>
        </w:rPr>
        <w:t xml:space="preserve"> Although the papers in that application were not placed before this Court, the respondent’s contention that that application included declaratory and other relief in addition to contempt relief, was not disputed. </w:t>
      </w:r>
    </w:p>
    <w:p w14:paraId="37DFCB04" w14:textId="099AED11" w:rsidR="000139FD" w:rsidRDefault="00104E3D" w:rsidP="00104E3D">
      <w:pPr>
        <w:pStyle w:val="level1"/>
        <w:numPr>
          <w:ilvl w:val="0"/>
          <w:numId w:val="0"/>
        </w:numPr>
        <w:spacing w:after="480" w:line="360" w:lineRule="auto"/>
        <w:jc w:val="both"/>
        <w:rPr>
          <w:lang w:val="en-US"/>
        </w:rPr>
        <w:pPrChange w:id="33" w:author="Sathish" w:date="2024-02-21T16:06:00Z">
          <w:pPr>
            <w:pStyle w:val="level1"/>
            <w:spacing w:after="480" w:line="360" w:lineRule="auto"/>
            <w:ind w:left="0" w:firstLine="0"/>
            <w:jc w:val="both"/>
          </w:pPr>
        </w:pPrChange>
      </w:pPr>
      <w:r>
        <w:rPr>
          <w:lang w:val="en-US"/>
        </w:rPr>
        <w:t>[33]</w:t>
      </w:r>
      <w:r>
        <w:rPr>
          <w:lang w:val="en-US"/>
        </w:rPr>
        <w:tab/>
      </w:r>
      <w:r w:rsidR="000139FD">
        <w:rPr>
          <w:lang w:val="en-US"/>
        </w:rPr>
        <w:t xml:space="preserve">The Family Advocate’s report was produced during April </w:t>
      </w:r>
      <w:r w:rsidR="00BC2591">
        <w:rPr>
          <w:lang w:val="en-US"/>
        </w:rPr>
        <w:t>20</w:t>
      </w:r>
      <w:r w:rsidR="000139FD">
        <w:rPr>
          <w:lang w:val="en-US"/>
        </w:rPr>
        <w:t>23, when the minor child was some seventeen months old. The investigation into his best interests</w:t>
      </w:r>
      <w:r w:rsidR="00BC2591">
        <w:rPr>
          <w:lang w:val="en-US"/>
        </w:rPr>
        <w:t>,</w:t>
      </w:r>
      <w:r w:rsidR="000139FD">
        <w:rPr>
          <w:lang w:val="en-US"/>
        </w:rPr>
        <w:t xml:space="preserve"> which will be undertaken by the psychologist</w:t>
      </w:r>
      <w:r w:rsidR="00BC2591">
        <w:rPr>
          <w:lang w:val="en-US"/>
        </w:rPr>
        <w:t>,</w:t>
      </w:r>
      <w:r w:rsidR="000139FD">
        <w:rPr>
          <w:lang w:val="en-US"/>
        </w:rPr>
        <w:t xml:space="preserve"> is due to commence during April 2024, a year later. It is inevitable that the circumstances will have changed, given that the child is older</w:t>
      </w:r>
      <w:r w:rsidR="00041ACF">
        <w:rPr>
          <w:lang w:val="en-US"/>
        </w:rPr>
        <w:t xml:space="preserve"> and that a determination must be made based on the present circumstances and best interests of the minor child.</w:t>
      </w:r>
    </w:p>
    <w:p w14:paraId="7B5B66C8" w14:textId="74C02010" w:rsidR="00BC13C2" w:rsidRDefault="00104E3D" w:rsidP="00104E3D">
      <w:pPr>
        <w:pStyle w:val="level1"/>
        <w:numPr>
          <w:ilvl w:val="0"/>
          <w:numId w:val="0"/>
        </w:numPr>
        <w:spacing w:after="480" w:line="360" w:lineRule="auto"/>
        <w:jc w:val="both"/>
        <w:rPr>
          <w:lang w:val="en-US"/>
        </w:rPr>
        <w:pPrChange w:id="34" w:author="Sathish" w:date="2024-02-21T16:06:00Z">
          <w:pPr>
            <w:pStyle w:val="level1"/>
            <w:spacing w:after="480" w:line="360" w:lineRule="auto"/>
            <w:ind w:left="0" w:firstLine="0"/>
            <w:jc w:val="both"/>
          </w:pPr>
        </w:pPrChange>
      </w:pPr>
      <w:r>
        <w:rPr>
          <w:lang w:val="en-US"/>
        </w:rPr>
        <w:lastRenderedPageBreak/>
        <w:t>[34]</w:t>
      </w:r>
      <w:r>
        <w:rPr>
          <w:lang w:val="en-US"/>
        </w:rPr>
        <w:tab/>
      </w:r>
      <w:r w:rsidR="00BC13C2">
        <w:rPr>
          <w:lang w:val="en-US"/>
        </w:rPr>
        <w:t>I</w:t>
      </w:r>
      <w:r w:rsidR="00041ACF">
        <w:rPr>
          <w:lang w:val="en-US"/>
        </w:rPr>
        <w:t xml:space="preserve">n </w:t>
      </w:r>
      <w:r w:rsidR="00BC13C2">
        <w:rPr>
          <w:lang w:val="en-US"/>
        </w:rPr>
        <w:t xml:space="preserve">the parties’ joint practice note, </w:t>
      </w:r>
      <w:r w:rsidR="00041ACF">
        <w:rPr>
          <w:lang w:val="en-US"/>
        </w:rPr>
        <w:t xml:space="preserve">this </w:t>
      </w:r>
      <w:r w:rsidR="00CA5F5C">
        <w:rPr>
          <w:lang w:val="en-US"/>
        </w:rPr>
        <w:t>C</w:t>
      </w:r>
      <w:r w:rsidR="00041ACF">
        <w:rPr>
          <w:lang w:val="en-US"/>
        </w:rPr>
        <w:t xml:space="preserve">ourt was notified that </w:t>
      </w:r>
      <w:r w:rsidR="00BC13C2">
        <w:rPr>
          <w:lang w:val="en-US"/>
        </w:rPr>
        <w:t xml:space="preserve">the appellant </w:t>
      </w:r>
      <w:r w:rsidR="00041ACF">
        <w:rPr>
          <w:lang w:val="en-US"/>
        </w:rPr>
        <w:t>would seek</w:t>
      </w:r>
      <w:r w:rsidR="00BC13C2">
        <w:rPr>
          <w:lang w:val="en-US"/>
        </w:rPr>
        <w:t xml:space="preserve"> certain interim relief</w:t>
      </w:r>
      <w:r w:rsidR="00041ACF">
        <w:rPr>
          <w:lang w:val="en-US"/>
        </w:rPr>
        <w:t xml:space="preserve"> pertaining to the respondent’s contact to the minor child. The proposed</w:t>
      </w:r>
      <w:r w:rsidR="00BC13C2">
        <w:rPr>
          <w:lang w:val="en-US"/>
        </w:rPr>
        <w:t xml:space="preserve"> relief would grant the respondent less contact to the minor child than that ordered by the court </w:t>
      </w:r>
      <w:r w:rsidR="00BC13C2" w:rsidRPr="00041ACF">
        <w:rPr>
          <w:i/>
          <w:lang w:val="en-US"/>
        </w:rPr>
        <w:t xml:space="preserve">a quo </w:t>
      </w:r>
      <w:r w:rsidR="00BC13C2">
        <w:rPr>
          <w:lang w:val="en-US"/>
        </w:rPr>
        <w:t xml:space="preserve">and less relief than agreed to in terms of the Liebenberg consent order. </w:t>
      </w:r>
    </w:p>
    <w:p w14:paraId="4E2AE8B8" w14:textId="5E797666" w:rsidR="00722784" w:rsidRDefault="00104E3D" w:rsidP="00104E3D">
      <w:pPr>
        <w:pStyle w:val="level1"/>
        <w:numPr>
          <w:ilvl w:val="0"/>
          <w:numId w:val="0"/>
        </w:numPr>
        <w:spacing w:after="480" w:line="360" w:lineRule="auto"/>
        <w:jc w:val="both"/>
        <w:rPr>
          <w:lang w:val="en-US"/>
        </w:rPr>
        <w:pPrChange w:id="35" w:author="Sathish" w:date="2024-02-21T16:06:00Z">
          <w:pPr>
            <w:pStyle w:val="level1"/>
            <w:spacing w:after="480" w:line="360" w:lineRule="auto"/>
            <w:ind w:left="0" w:firstLine="0"/>
            <w:jc w:val="both"/>
          </w:pPr>
        </w:pPrChange>
      </w:pPr>
      <w:r>
        <w:rPr>
          <w:lang w:val="en-US"/>
        </w:rPr>
        <w:t>[35]</w:t>
      </w:r>
      <w:r>
        <w:rPr>
          <w:lang w:val="en-US"/>
        </w:rPr>
        <w:tab/>
      </w:r>
      <w:r w:rsidR="00722784">
        <w:rPr>
          <w:lang w:val="en-US"/>
        </w:rPr>
        <w:t>On a proper contextual and purposive interpretation of the Liebenberg order, the appointment of the forensic psychologist and the provision of a report to the High Court containing findings and recommendations regarding the issue of care and contact is a final order</w:t>
      </w:r>
      <w:r w:rsidR="00CB774B">
        <w:rPr>
          <w:lang w:val="en-US"/>
        </w:rPr>
        <w:t>. The only order of an interim nature is the contact regime agreed to in paragraph 9 of th</w:t>
      </w:r>
      <w:r w:rsidR="00041ACF">
        <w:rPr>
          <w:lang w:val="en-US"/>
        </w:rPr>
        <w:t>at</w:t>
      </w:r>
      <w:r w:rsidR="00CB774B">
        <w:rPr>
          <w:lang w:val="en-US"/>
        </w:rPr>
        <w:t xml:space="preserve"> order.</w:t>
      </w:r>
    </w:p>
    <w:p w14:paraId="5F527BDD" w14:textId="5DCB61F2" w:rsidR="00411F3C" w:rsidRDefault="00104E3D" w:rsidP="00104E3D">
      <w:pPr>
        <w:pStyle w:val="level1"/>
        <w:numPr>
          <w:ilvl w:val="0"/>
          <w:numId w:val="0"/>
        </w:numPr>
        <w:spacing w:after="480" w:line="360" w:lineRule="auto"/>
        <w:jc w:val="both"/>
        <w:rPr>
          <w:lang w:val="en-US"/>
        </w:rPr>
        <w:pPrChange w:id="36" w:author="Sathish" w:date="2024-02-21T16:06:00Z">
          <w:pPr>
            <w:pStyle w:val="level1"/>
            <w:spacing w:after="480" w:line="360" w:lineRule="auto"/>
            <w:ind w:left="0" w:firstLine="0"/>
            <w:jc w:val="both"/>
          </w:pPr>
        </w:pPrChange>
      </w:pPr>
      <w:r>
        <w:rPr>
          <w:lang w:val="en-US"/>
        </w:rPr>
        <w:t>[36]</w:t>
      </w:r>
      <w:r>
        <w:rPr>
          <w:lang w:val="en-US"/>
        </w:rPr>
        <w:tab/>
      </w:r>
      <w:r w:rsidR="00BC13C2">
        <w:rPr>
          <w:lang w:val="en-US"/>
        </w:rPr>
        <w:t xml:space="preserve">It was argued that </w:t>
      </w:r>
      <w:r w:rsidR="00CB774B">
        <w:rPr>
          <w:lang w:val="en-US"/>
        </w:rPr>
        <w:t xml:space="preserve">there is no other court seized with the care and contact of K and that </w:t>
      </w:r>
      <w:r w:rsidR="00BC13C2">
        <w:rPr>
          <w:lang w:val="en-US"/>
        </w:rPr>
        <w:t>a court has inherent jurisdiction as the upper</w:t>
      </w:r>
      <w:r w:rsidR="00722784">
        <w:rPr>
          <w:lang w:val="en-US"/>
        </w:rPr>
        <w:t xml:space="preserve"> </w:t>
      </w:r>
      <w:r w:rsidR="00BC13C2">
        <w:rPr>
          <w:lang w:val="en-US"/>
        </w:rPr>
        <w:t>guardian of min</w:t>
      </w:r>
      <w:r w:rsidR="00722784">
        <w:rPr>
          <w:lang w:val="en-US"/>
        </w:rPr>
        <w:t>o</w:t>
      </w:r>
      <w:r w:rsidR="00BC13C2">
        <w:rPr>
          <w:lang w:val="en-US"/>
        </w:rPr>
        <w:t xml:space="preserve">r children to grant such relief. </w:t>
      </w:r>
      <w:r w:rsidR="00411F3C">
        <w:rPr>
          <w:lang w:val="en-US"/>
        </w:rPr>
        <w:t xml:space="preserve">Reliance was placed on </w:t>
      </w:r>
      <w:r w:rsidR="00411F3C" w:rsidRPr="00411F3C">
        <w:rPr>
          <w:i/>
          <w:lang w:val="en-US"/>
        </w:rPr>
        <w:t>AD</w:t>
      </w:r>
      <w:r w:rsidR="00411F3C">
        <w:rPr>
          <w:rStyle w:val="FootnoteReference"/>
          <w:lang w:val="en-US"/>
        </w:rPr>
        <w:footnoteReference w:id="10"/>
      </w:r>
      <w:r w:rsidR="00411F3C">
        <w:rPr>
          <w:lang w:val="en-US"/>
        </w:rPr>
        <w:t xml:space="preserve">, in arguing that an overly technical approach should not be adopted. I am not persuaded that </w:t>
      </w:r>
      <w:r w:rsidR="00411F3C" w:rsidRPr="00411F3C">
        <w:rPr>
          <w:i/>
          <w:lang w:val="en-US"/>
        </w:rPr>
        <w:t>AD</w:t>
      </w:r>
      <w:r w:rsidR="00411F3C">
        <w:rPr>
          <w:lang w:val="en-US"/>
        </w:rPr>
        <w:t xml:space="preserve"> avails the appellant in the present context or affords an appeal court such broad powers to simply make interim orders pertaining to matters which are not the subject matter of an appeal.   </w:t>
      </w:r>
    </w:p>
    <w:p w14:paraId="39923761" w14:textId="45B77F25" w:rsidR="00411F3C" w:rsidRDefault="00104E3D" w:rsidP="00104E3D">
      <w:pPr>
        <w:pStyle w:val="level1"/>
        <w:numPr>
          <w:ilvl w:val="0"/>
          <w:numId w:val="0"/>
        </w:numPr>
        <w:spacing w:after="480" w:line="360" w:lineRule="auto"/>
        <w:jc w:val="both"/>
        <w:rPr>
          <w:lang w:val="en-US"/>
        </w:rPr>
        <w:pPrChange w:id="37" w:author="Sathish" w:date="2024-02-21T16:06:00Z">
          <w:pPr>
            <w:pStyle w:val="level1"/>
            <w:spacing w:after="480" w:line="360" w:lineRule="auto"/>
            <w:ind w:left="0" w:firstLine="0"/>
            <w:jc w:val="both"/>
          </w:pPr>
        </w:pPrChange>
      </w:pPr>
      <w:r>
        <w:rPr>
          <w:lang w:val="en-US"/>
        </w:rPr>
        <w:t>[37]</w:t>
      </w:r>
      <w:r>
        <w:rPr>
          <w:lang w:val="en-US"/>
        </w:rPr>
        <w:tab/>
      </w:r>
      <w:r w:rsidR="00411F3C">
        <w:rPr>
          <w:lang w:val="en-US"/>
        </w:rPr>
        <w:t>Th</w:t>
      </w:r>
      <w:r w:rsidR="00722784">
        <w:rPr>
          <w:lang w:val="en-US"/>
        </w:rPr>
        <w:t xml:space="preserve">is </w:t>
      </w:r>
      <w:r w:rsidR="00CA5F5C">
        <w:rPr>
          <w:lang w:val="en-US"/>
        </w:rPr>
        <w:t>C</w:t>
      </w:r>
      <w:r w:rsidR="00722784">
        <w:rPr>
          <w:lang w:val="en-US"/>
        </w:rPr>
        <w:t>ourt is constituted as an appeal court and not as a court of first instance</w:t>
      </w:r>
      <w:r w:rsidR="00411F3C">
        <w:rPr>
          <w:lang w:val="en-US"/>
        </w:rPr>
        <w:t xml:space="preserve"> and has the powers prescribed in s 19 of the Act.</w:t>
      </w:r>
      <w:r w:rsidR="00722784">
        <w:rPr>
          <w:lang w:val="en-US"/>
        </w:rPr>
        <w:t xml:space="preserve"> </w:t>
      </w:r>
      <w:r w:rsidR="00411F3C">
        <w:rPr>
          <w:lang w:val="en-US"/>
        </w:rPr>
        <w:t>The interim relief sought by the appellant does not fall within the ambit of those powers. It was not raised on the papers, but for the first time in the joint practice note.</w:t>
      </w:r>
    </w:p>
    <w:p w14:paraId="7110F81F" w14:textId="70429769" w:rsidR="00BC13C2" w:rsidRDefault="00104E3D" w:rsidP="00104E3D">
      <w:pPr>
        <w:pStyle w:val="level1"/>
        <w:numPr>
          <w:ilvl w:val="0"/>
          <w:numId w:val="0"/>
        </w:numPr>
        <w:spacing w:after="480" w:line="360" w:lineRule="auto"/>
        <w:jc w:val="both"/>
        <w:rPr>
          <w:lang w:val="en-US"/>
        </w:rPr>
        <w:pPrChange w:id="38" w:author="Sathish" w:date="2024-02-21T16:06:00Z">
          <w:pPr>
            <w:pStyle w:val="level1"/>
            <w:spacing w:after="480" w:line="360" w:lineRule="auto"/>
            <w:ind w:left="0" w:firstLine="0"/>
            <w:jc w:val="both"/>
          </w:pPr>
        </w:pPrChange>
      </w:pPr>
      <w:r>
        <w:rPr>
          <w:lang w:val="en-US"/>
        </w:rPr>
        <w:t>[38]</w:t>
      </w:r>
      <w:r>
        <w:rPr>
          <w:lang w:val="en-US"/>
        </w:rPr>
        <w:tab/>
      </w:r>
      <w:r w:rsidR="00722784">
        <w:rPr>
          <w:lang w:val="en-US"/>
        </w:rPr>
        <w:t>Moreover, it cannot be correct, as the appellant argues, that the issue of care and contact is not presently pending before the High Court in other proceedings. The parties have remedies at their disposal to have th</w:t>
      </w:r>
      <w:r w:rsidR="00CA5F5C">
        <w:rPr>
          <w:lang w:val="en-US"/>
        </w:rPr>
        <w:t>ose</w:t>
      </w:r>
      <w:r w:rsidR="00722784">
        <w:rPr>
          <w:lang w:val="en-US"/>
        </w:rPr>
        <w:t xml:space="preserve"> issue</w:t>
      </w:r>
      <w:r w:rsidR="00CA5F5C">
        <w:rPr>
          <w:lang w:val="en-US"/>
        </w:rPr>
        <w:t>s</w:t>
      </w:r>
      <w:r w:rsidR="00722784">
        <w:rPr>
          <w:lang w:val="en-US"/>
        </w:rPr>
        <w:t xml:space="preserve"> finally determined by the High </w:t>
      </w:r>
      <w:r w:rsidR="00CA5F5C">
        <w:rPr>
          <w:lang w:val="en-US"/>
        </w:rPr>
        <w:t>C</w:t>
      </w:r>
      <w:r w:rsidR="00722784">
        <w:rPr>
          <w:lang w:val="en-US"/>
        </w:rPr>
        <w:t xml:space="preserve">ourt </w:t>
      </w:r>
      <w:r w:rsidR="00722784">
        <w:rPr>
          <w:lang w:val="en-US"/>
        </w:rPr>
        <w:lastRenderedPageBreak/>
        <w:t xml:space="preserve">in the current pending proceedings, </w:t>
      </w:r>
      <w:r w:rsidR="00041ACF">
        <w:rPr>
          <w:lang w:val="en-US"/>
        </w:rPr>
        <w:t>for example</w:t>
      </w:r>
      <w:r w:rsidR="00722784">
        <w:rPr>
          <w:lang w:val="en-US"/>
        </w:rPr>
        <w:t xml:space="preserve"> by way of </w:t>
      </w:r>
      <w:r w:rsidR="00041ACF">
        <w:rPr>
          <w:lang w:val="en-US"/>
        </w:rPr>
        <w:t xml:space="preserve">an </w:t>
      </w:r>
      <w:r w:rsidR="00722784">
        <w:rPr>
          <w:lang w:val="en-US"/>
        </w:rPr>
        <w:t xml:space="preserve">amendment </w:t>
      </w:r>
      <w:r w:rsidR="00041ACF">
        <w:rPr>
          <w:lang w:val="en-US"/>
        </w:rPr>
        <w:t xml:space="preserve">to the relief sought </w:t>
      </w:r>
      <w:r w:rsidR="00722784">
        <w:rPr>
          <w:lang w:val="en-US"/>
        </w:rPr>
        <w:t>and supplementation of the papers filed of record</w:t>
      </w:r>
      <w:r w:rsidR="00D37AB0">
        <w:rPr>
          <w:lang w:val="en-US"/>
        </w:rPr>
        <w:t>, if deemed necessary</w:t>
      </w:r>
      <w:r w:rsidR="00722784">
        <w:rPr>
          <w:lang w:val="en-US"/>
        </w:rPr>
        <w:t>.</w:t>
      </w:r>
    </w:p>
    <w:p w14:paraId="37BEB12D" w14:textId="5339ECE9" w:rsidR="00557D37" w:rsidRDefault="00104E3D" w:rsidP="00104E3D">
      <w:pPr>
        <w:pStyle w:val="level1"/>
        <w:numPr>
          <w:ilvl w:val="0"/>
          <w:numId w:val="0"/>
        </w:numPr>
        <w:spacing w:after="480" w:line="360" w:lineRule="auto"/>
        <w:jc w:val="both"/>
        <w:rPr>
          <w:lang w:val="en-US"/>
        </w:rPr>
        <w:pPrChange w:id="39" w:author="Sathish" w:date="2024-02-21T16:06:00Z">
          <w:pPr>
            <w:pStyle w:val="level1"/>
            <w:spacing w:after="480" w:line="360" w:lineRule="auto"/>
            <w:ind w:left="0" w:firstLine="0"/>
            <w:jc w:val="both"/>
          </w:pPr>
        </w:pPrChange>
      </w:pPr>
      <w:r>
        <w:rPr>
          <w:lang w:val="en-US"/>
        </w:rPr>
        <w:t>[39]</w:t>
      </w:r>
      <w:r>
        <w:rPr>
          <w:lang w:val="en-US"/>
        </w:rPr>
        <w:tab/>
      </w:r>
      <w:r w:rsidR="00557D37">
        <w:rPr>
          <w:lang w:val="en-US"/>
        </w:rPr>
        <w:t>T</w:t>
      </w:r>
      <w:r w:rsidR="00041ACF">
        <w:rPr>
          <w:lang w:val="en-US"/>
        </w:rPr>
        <w:t xml:space="preserve">he granting of any interim relief </w:t>
      </w:r>
      <w:r w:rsidR="00CA5F5C">
        <w:rPr>
          <w:lang w:val="en-US"/>
        </w:rPr>
        <w:t>as</w:t>
      </w:r>
      <w:r w:rsidR="00041ACF">
        <w:rPr>
          <w:lang w:val="en-US"/>
        </w:rPr>
        <w:t xml:space="preserve"> proposed </w:t>
      </w:r>
      <w:r w:rsidR="00CA5F5C">
        <w:rPr>
          <w:lang w:val="en-US"/>
        </w:rPr>
        <w:t>by the appellant</w:t>
      </w:r>
      <w:r w:rsidR="00041ACF">
        <w:rPr>
          <w:lang w:val="en-US"/>
        </w:rPr>
        <w:t xml:space="preserve"> would </w:t>
      </w:r>
      <w:r w:rsidR="00CA5F5C">
        <w:rPr>
          <w:lang w:val="en-US"/>
        </w:rPr>
        <w:t xml:space="preserve">not </w:t>
      </w:r>
      <w:r w:rsidR="00041ACF">
        <w:rPr>
          <w:lang w:val="en-US"/>
        </w:rPr>
        <w:t xml:space="preserve">be </w:t>
      </w:r>
      <w:r w:rsidR="00CA5F5C">
        <w:rPr>
          <w:lang w:val="en-US"/>
        </w:rPr>
        <w:t xml:space="preserve">competent or </w:t>
      </w:r>
      <w:r w:rsidR="00041ACF">
        <w:rPr>
          <w:lang w:val="en-US"/>
        </w:rPr>
        <w:t>appropriate.</w:t>
      </w:r>
    </w:p>
    <w:p w14:paraId="0A651C54" w14:textId="46695DA2" w:rsidR="00557D37" w:rsidRDefault="00104E3D" w:rsidP="00104E3D">
      <w:pPr>
        <w:pStyle w:val="level1"/>
        <w:numPr>
          <w:ilvl w:val="0"/>
          <w:numId w:val="0"/>
        </w:numPr>
        <w:spacing w:after="480" w:line="360" w:lineRule="auto"/>
        <w:jc w:val="both"/>
        <w:rPr>
          <w:lang w:val="en-US"/>
        </w:rPr>
        <w:pPrChange w:id="40" w:author="Sathish" w:date="2024-02-21T16:06:00Z">
          <w:pPr>
            <w:pStyle w:val="level1"/>
            <w:spacing w:after="480" w:line="360" w:lineRule="auto"/>
            <w:ind w:left="0" w:firstLine="0"/>
            <w:jc w:val="both"/>
          </w:pPr>
        </w:pPrChange>
      </w:pPr>
      <w:r>
        <w:rPr>
          <w:lang w:val="en-US"/>
        </w:rPr>
        <w:t>[40]</w:t>
      </w:r>
      <w:r>
        <w:rPr>
          <w:lang w:val="en-US"/>
        </w:rPr>
        <w:tab/>
      </w:r>
      <w:r w:rsidR="00041ACF">
        <w:rPr>
          <w:lang w:val="en-US"/>
        </w:rPr>
        <w:t>For all these reasons, the appeal is doomed to failure.</w:t>
      </w:r>
      <w:r w:rsidR="00D37AB0">
        <w:rPr>
          <w:lang w:val="en-US"/>
        </w:rPr>
        <w:t xml:space="preserve"> </w:t>
      </w:r>
    </w:p>
    <w:p w14:paraId="5F36024B" w14:textId="64A26E2B" w:rsidR="00557D37" w:rsidRDefault="00104E3D" w:rsidP="00104E3D">
      <w:pPr>
        <w:pStyle w:val="level1"/>
        <w:numPr>
          <w:ilvl w:val="0"/>
          <w:numId w:val="0"/>
        </w:numPr>
        <w:spacing w:after="480" w:line="360" w:lineRule="auto"/>
        <w:jc w:val="both"/>
        <w:rPr>
          <w:lang w:val="en-US"/>
        </w:rPr>
        <w:pPrChange w:id="41" w:author="Sathish" w:date="2024-02-21T16:06:00Z">
          <w:pPr>
            <w:pStyle w:val="level1"/>
            <w:spacing w:after="480" w:line="360" w:lineRule="auto"/>
            <w:ind w:left="0" w:firstLine="0"/>
            <w:jc w:val="both"/>
          </w:pPr>
        </w:pPrChange>
      </w:pPr>
      <w:r>
        <w:rPr>
          <w:lang w:val="en-US"/>
        </w:rPr>
        <w:t>[41]</w:t>
      </w:r>
      <w:r>
        <w:rPr>
          <w:lang w:val="en-US"/>
        </w:rPr>
        <w:tab/>
      </w:r>
      <w:r w:rsidR="00041ACF">
        <w:rPr>
          <w:lang w:val="en-US"/>
        </w:rPr>
        <w:t>Considering all the facts, there is no reason to deviate from the normal principle that costs follow the result. Although it is open to this court to direct each party to pay its own costs, given that it is a minor child’s best interests at stake, what tips the scales in favour of the granting of a costs order is the appellant’s persistence with the appeal, despite the subsequent developments</w:t>
      </w:r>
      <w:r w:rsidR="007A3908">
        <w:rPr>
          <w:lang w:val="en-US"/>
        </w:rPr>
        <w:t xml:space="preserve"> and pending litigation already referred to</w:t>
      </w:r>
      <w:r w:rsidR="00041ACF">
        <w:rPr>
          <w:lang w:val="en-US"/>
        </w:rPr>
        <w:t xml:space="preserve">. </w:t>
      </w:r>
    </w:p>
    <w:p w14:paraId="4A0D4545" w14:textId="457CED25" w:rsidR="00C45D70" w:rsidRDefault="00104E3D" w:rsidP="00104E3D">
      <w:pPr>
        <w:pStyle w:val="level1"/>
        <w:numPr>
          <w:ilvl w:val="0"/>
          <w:numId w:val="0"/>
        </w:numPr>
        <w:spacing w:after="480" w:line="360" w:lineRule="auto"/>
        <w:jc w:val="both"/>
        <w:rPr>
          <w:lang w:val="en-US"/>
        </w:rPr>
        <w:pPrChange w:id="42" w:author="Sathish" w:date="2024-02-21T16:06:00Z">
          <w:pPr>
            <w:pStyle w:val="level1"/>
            <w:spacing w:after="480" w:line="360" w:lineRule="auto"/>
            <w:ind w:left="0" w:firstLine="0"/>
            <w:jc w:val="both"/>
          </w:pPr>
        </w:pPrChange>
      </w:pPr>
      <w:r>
        <w:rPr>
          <w:lang w:val="en-US"/>
        </w:rPr>
        <w:t>[42]</w:t>
      </w:r>
      <w:r>
        <w:rPr>
          <w:lang w:val="en-US"/>
        </w:rPr>
        <w:tab/>
      </w:r>
      <w:r w:rsidR="00C45D70">
        <w:rPr>
          <w:lang w:val="en-US"/>
        </w:rPr>
        <w:t>In the result, the following order is granted:</w:t>
      </w:r>
    </w:p>
    <w:p w14:paraId="78C6F030" w14:textId="6C22539B" w:rsidR="00F51A59" w:rsidRDefault="00F51A59" w:rsidP="007A3908">
      <w:pPr>
        <w:pStyle w:val="level1"/>
        <w:numPr>
          <w:ilvl w:val="0"/>
          <w:numId w:val="0"/>
        </w:numPr>
        <w:spacing w:after="480" w:line="360" w:lineRule="auto"/>
        <w:ind w:left="360"/>
        <w:jc w:val="both"/>
        <w:rPr>
          <w:lang w:val="en-US"/>
        </w:rPr>
      </w:pPr>
      <w:r>
        <w:rPr>
          <w:lang w:val="en-US"/>
        </w:rPr>
        <w:t>[1] The applicant’s condonation application for the late delivery of the appeal record</w:t>
      </w:r>
      <w:r w:rsidR="007A3908">
        <w:rPr>
          <w:lang w:val="en-US"/>
        </w:rPr>
        <w:t xml:space="preserve"> is granted</w:t>
      </w:r>
      <w:r>
        <w:rPr>
          <w:lang w:val="en-US"/>
        </w:rPr>
        <w:t>, costs to be costs in the appeal;</w:t>
      </w:r>
    </w:p>
    <w:p w14:paraId="64B423FB" w14:textId="12B0CD62" w:rsidR="00367F05" w:rsidRDefault="00367F05" w:rsidP="007A3908">
      <w:pPr>
        <w:pStyle w:val="level1"/>
        <w:numPr>
          <w:ilvl w:val="0"/>
          <w:numId w:val="0"/>
        </w:numPr>
        <w:spacing w:after="480" w:line="360" w:lineRule="auto"/>
        <w:ind w:left="360"/>
        <w:jc w:val="both"/>
        <w:rPr>
          <w:lang w:val="en-US"/>
        </w:rPr>
      </w:pPr>
      <w:r>
        <w:rPr>
          <w:lang w:val="en-US"/>
        </w:rPr>
        <w:t>[</w:t>
      </w:r>
      <w:r w:rsidR="00F51A59">
        <w:rPr>
          <w:lang w:val="en-US"/>
        </w:rPr>
        <w:t>2</w:t>
      </w:r>
      <w:r>
        <w:rPr>
          <w:lang w:val="en-US"/>
        </w:rPr>
        <w:t xml:space="preserve">] The </w:t>
      </w:r>
      <w:r w:rsidR="001C2FBB">
        <w:rPr>
          <w:lang w:val="en-US"/>
        </w:rPr>
        <w:t xml:space="preserve">appellant’s </w:t>
      </w:r>
      <w:r>
        <w:rPr>
          <w:lang w:val="en-US"/>
        </w:rPr>
        <w:t xml:space="preserve">application to introduce </w:t>
      </w:r>
      <w:r w:rsidR="001C2FBB">
        <w:rPr>
          <w:lang w:val="en-US"/>
        </w:rPr>
        <w:t xml:space="preserve">the appellant’s written statement into </w:t>
      </w:r>
      <w:r>
        <w:rPr>
          <w:lang w:val="en-US"/>
        </w:rPr>
        <w:t>evidence dated</w:t>
      </w:r>
      <w:r w:rsidR="001C2FBB">
        <w:rPr>
          <w:lang w:val="en-US"/>
        </w:rPr>
        <w:t xml:space="preserve"> 16 October 2023 </w:t>
      </w:r>
      <w:r>
        <w:rPr>
          <w:lang w:val="en-US"/>
        </w:rPr>
        <w:t>is granted</w:t>
      </w:r>
      <w:r w:rsidR="001C2FBB">
        <w:rPr>
          <w:lang w:val="en-US"/>
        </w:rPr>
        <w:t xml:space="preserve">, costs to be </w:t>
      </w:r>
      <w:r>
        <w:rPr>
          <w:lang w:val="en-US"/>
        </w:rPr>
        <w:t>costs</w:t>
      </w:r>
      <w:r w:rsidR="001C2FBB">
        <w:rPr>
          <w:lang w:val="en-US"/>
        </w:rPr>
        <w:t xml:space="preserve"> in the appeal</w:t>
      </w:r>
      <w:r>
        <w:rPr>
          <w:lang w:val="en-US"/>
        </w:rPr>
        <w:t>;</w:t>
      </w:r>
    </w:p>
    <w:p w14:paraId="6A27EB11" w14:textId="77777777" w:rsidR="00C73AAB" w:rsidRDefault="00367F05" w:rsidP="007A3908">
      <w:pPr>
        <w:pStyle w:val="level1"/>
        <w:numPr>
          <w:ilvl w:val="0"/>
          <w:numId w:val="0"/>
        </w:numPr>
        <w:spacing w:after="480" w:line="360" w:lineRule="auto"/>
        <w:ind w:left="360"/>
        <w:jc w:val="both"/>
        <w:rPr>
          <w:lang w:val="en-US"/>
        </w:rPr>
      </w:pPr>
      <w:r>
        <w:rPr>
          <w:lang w:val="en-US"/>
        </w:rPr>
        <w:t>[</w:t>
      </w:r>
      <w:r w:rsidR="00F51A59">
        <w:rPr>
          <w:lang w:val="en-US"/>
        </w:rPr>
        <w:t>3</w:t>
      </w:r>
      <w:r>
        <w:rPr>
          <w:lang w:val="en-US"/>
        </w:rPr>
        <w:t xml:space="preserve">] </w:t>
      </w:r>
      <w:r w:rsidR="001C2FBB">
        <w:rPr>
          <w:lang w:val="en-US"/>
        </w:rPr>
        <w:t>T</w:t>
      </w:r>
      <w:r>
        <w:rPr>
          <w:lang w:val="en-US"/>
        </w:rPr>
        <w:t xml:space="preserve">he </w:t>
      </w:r>
      <w:r w:rsidR="001C2FBB">
        <w:rPr>
          <w:lang w:val="en-US"/>
        </w:rPr>
        <w:t xml:space="preserve">appellant’s </w:t>
      </w:r>
      <w:r>
        <w:rPr>
          <w:lang w:val="en-US"/>
        </w:rPr>
        <w:t xml:space="preserve">application to introduce </w:t>
      </w:r>
      <w:r w:rsidR="001C2FBB">
        <w:rPr>
          <w:lang w:val="en-US"/>
        </w:rPr>
        <w:t xml:space="preserve">further </w:t>
      </w:r>
      <w:r>
        <w:rPr>
          <w:lang w:val="en-US"/>
        </w:rPr>
        <w:t>evidence on appeal dated</w:t>
      </w:r>
      <w:r w:rsidR="001C2FBB">
        <w:rPr>
          <w:lang w:val="en-US"/>
        </w:rPr>
        <w:t xml:space="preserve"> 23 January 2024 is</w:t>
      </w:r>
      <w:r>
        <w:rPr>
          <w:lang w:val="en-US"/>
        </w:rPr>
        <w:t xml:space="preserve"> dismissed with costs</w:t>
      </w:r>
      <w:r w:rsidR="00BC2591">
        <w:rPr>
          <w:lang w:val="en-US"/>
        </w:rPr>
        <w:t>;</w:t>
      </w:r>
    </w:p>
    <w:p w14:paraId="45E689A3" w14:textId="044BC742" w:rsidR="001E2697" w:rsidRDefault="00367F05" w:rsidP="007A3908">
      <w:pPr>
        <w:pStyle w:val="level1"/>
        <w:numPr>
          <w:ilvl w:val="0"/>
          <w:numId w:val="0"/>
        </w:numPr>
        <w:spacing w:after="480" w:line="360" w:lineRule="auto"/>
        <w:ind w:left="360"/>
        <w:jc w:val="both"/>
        <w:rPr>
          <w:lang w:val="en-US"/>
        </w:rPr>
      </w:pPr>
      <w:r>
        <w:rPr>
          <w:lang w:val="en-US"/>
        </w:rPr>
        <w:t>[</w:t>
      </w:r>
      <w:r w:rsidR="007A3908">
        <w:rPr>
          <w:lang w:val="en-US"/>
        </w:rPr>
        <w:t>4</w:t>
      </w:r>
      <w:r>
        <w:rPr>
          <w:lang w:val="en-US"/>
        </w:rPr>
        <w:t xml:space="preserve">] </w:t>
      </w:r>
      <w:r w:rsidR="00557D37">
        <w:rPr>
          <w:lang w:val="en-US"/>
        </w:rPr>
        <w:t>T</w:t>
      </w:r>
      <w:r w:rsidR="00C45D70">
        <w:rPr>
          <w:lang w:val="en-US"/>
        </w:rPr>
        <w:t>he appeal is dismissed with costs</w:t>
      </w:r>
      <w:r w:rsidR="00BC2591">
        <w:rPr>
          <w:lang w:val="en-US"/>
        </w:rPr>
        <w:t>.</w:t>
      </w:r>
    </w:p>
    <w:p w14:paraId="25EFD798" w14:textId="77777777" w:rsidR="00525AC3" w:rsidRDefault="00525AC3" w:rsidP="001E2697">
      <w:pPr>
        <w:spacing w:line="360" w:lineRule="auto"/>
        <w:ind w:left="2880" w:firstLine="720"/>
      </w:pPr>
    </w:p>
    <w:p w14:paraId="1732602D" w14:textId="1F19E880" w:rsidR="00525AC3" w:rsidRDefault="00525AC3" w:rsidP="001E2697">
      <w:pPr>
        <w:spacing w:line="360" w:lineRule="auto"/>
        <w:ind w:left="2880" w:firstLine="720"/>
      </w:pPr>
    </w:p>
    <w:p w14:paraId="3FF92974" w14:textId="77777777" w:rsidR="00C73AAB" w:rsidRDefault="00C73AAB" w:rsidP="001E2697">
      <w:pPr>
        <w:spacing w:line="360" w:lineRule="auto"/>
        <w:ind w:left="2880" w:firstLine="720"/>
      </w:pPr>
    </w:p>
    <w:p w14:paraId="383AFE0B" w14:textId="588F941F" w:rsidR="001E2697" w:rsidRDefault="001E2697" w:rsidP="001E2697">
      <w:pPr>
        <w:spacing w:line="360" w:lineRule="auto"/>
        <w:ind w:left="2880" w:firstLine="720"/>
      </w:pPr>
      <w:r>
        <w:lastRenderedPageBreak/>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JUDGE OF THE HIGH COURT JOHANNESBURG</w:t>
      </w:r>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60D397A7"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382F38">
        <w:t xml:space="preserve"> </w:t>
      </w:r>
      <w:r w:rsidR="00C73AAB">
        <w:t xml:space="preserve"> </w:t>
      </w:r>
      <w:r w:rsidR="000D1A66">
        <w:t>0</w:t>
      </w:r>
      <w:r w:rsidR="00382F38">
        <w:t>1</w:t>
      </w:r>
      <w:r w:rsidR="00A71A0F">
        <w:t xml:space="preserve"> </w:t>
      </w:r>
      <w:r w:rsidR="00B210FC">
        <w:t>FEBRUARY</w:t>
      </w:r>
      <w:r w:rsidR="00B976D8">
        <w:t xml:space="preserve"> 2024</w:t>
      </w:r>
    </w:p>
    <w:p w14:paraId="345B4D09" w14:textId="77777777" w:rsidR="001E2697" w:rsidRPr="008B170D" w:rsidRDefault="001E2697" w:rsidP="001E2697">
      <w:pPr>
        <w:rPr>
          <w:b/>
        </w:rPr>
      </w:pPr>
    </w:p>
    <w:p w14:paraId="2DA72A9D" w14:textId="16F957C0"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382F38">
        <w:t xml:space="preserve"> </w:t>
      </w:r>
      <w:r w:rsidR="00C73AAB">
        <w:t>21</w:t>
      </w:r>
      <w:r w:rsidR="00382F38">
        <w:t xml:space="preserve"> FEBRUARY</w:t>
      </w:r>
      <w:r w:rsidR="00B976D8">
        <w:t xml:space="preserve"> 2024</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0D42DA6F" w14:textId="4D280360" w:rsidR="000604E8" w:rsidRDefault="00382F38" w:rsidP="00AC1337">
      <w:pPr>
        <w:pStyle w:val="ListParagraph"/>
        <w:spacing w:line="240" w:lineRule="auto"/>
        <w:ind w:left="0"/>
      </w:pPr>
      <w:r>
        <w:rPr>
          <w:b/>
        </w:rPr>
        <w:t>APPELLANT’S COUNSEL</w:t>
      </w:r>
      <w:r>
        <w:rPr>
          <w:b/>
        </w:rPr>
        <w:tab/>
      </w:r>
      <w:r>
        <w:rPr>
          <w:b/>
        </w:rPr>
        <w:tab/>
      </w:r>
      <w:r>
        <w:rPr>
          <w:b/>
        </w:rPr>
        <w:tab/>
      </w:r>
      <w:r w:rsidR="001E2697" w:rsidRPr="008B170D">
        <w:t>:</w:t>
      </w:r>
      <w:r w:rsidR="001E2697">
        <w:t xml:space="preserve">  </w:t>
      </w:r>
      <w:r w:rsidR="0039420D">
        <w:t>Adv</w:t>
      </w:r>
      <w:r w:rsidR="00B210FC">
        <w:t xml:space="preserve">. S. Muchet </w:t>
      </w:r>
      <w:r w:rsidR="00A71A0F">
        <w:t xml:space="preserve"> </w:t>
      </w:r>
    </w:p>
    <w:p w14:paraId="3E04B418" w14:textId="77777777" w:rsidR="001E2697" w:rsidRDefault="001E2697" w:rsidP="001E2697">
      <w:pPr>
        <w:pStyle w:val="ListParagraph"/>
        <w:spacing w:line="240" w:lineRule="auto"/>
        <w:ind w:left="0"/>
        <w:rPr>
          <w:b/>
          <w:bCs/>
        </w:rPr>
      </w:pPr>
    </w:p>
    <w:p w14:paraId="2E72E660" w14:textId="361A7137" w:rsidR="0011321B" w:rsidRDefault="00382F38" w:rsidP="004A3B8E">
      <w:pPr>
        <w:pStyle w:val="ListParagraph"/>
        <w:spacing w:line="240" w:lineRule="auto"/>
        <w:ind w:left="0"/>
      </w:pPr>
      <w:r>
        <w:rPr>
          <w:b/>
          <w:bCs/>
        </w:rPr>
        <w:t>APPELLANT’</w:t>
      </w:r>
      <w:r w:rsidR="001E2697" w:rsidRPr="000F64D9">
        <w:rPr>
          <w:b/>
          <w:bCs/>
        </w:rPr>
        <w:t>S ATTORNEYS</w:t>
      </w:r>
      <w:r w:rsidR="001E2697">
        <w:tab/>
      </w:r>
      <w:r w:rsidR="001E2697">
        <w:tab/>
      </w:r>
      <w:r w:rsidR="001E2697">
        <w:tab/>
        <w:t xml:space="preserve">:  </w:t>
      </w:r>
      <w:r w:rsidR="00B210FC">
        <w:t>AKA Attorneys Inc.</w:t>
      </w:r>
    </w:p>
    <w:p w14:paraId="5BAE9D44" w14:textId="77777777" w:rsidR="00FE1115" w:rsidRDefault="001E2697" w:rsidP="005A0267">
      <w:pPr>
        <w:pStyle w:val="ListParagraph"/>
        <w:spacing w:line="240" w:lineRule="auto"/>
        <w:ind w:left="0"/>
      </w:pPr>
      <w:r>
        <w:tab/>
      </w:r>
      <w:r>
        <w:tab/>
      </w:r>
      <w:r>
        <w:tab/>
      </w:r>
      <w:r>
        <w:tab/>
      </w:r>
      <w:bookmarkStart w:id="43" w:name="_Hlk67555944"/>
    </w:p>
    <w:p w14:paraId="066F64E2" w14:textId="4B5B6FCE" w:rsidR="0011321B" w:rsidRPr="00FE1115" w:rsidRDefault="000604E8" w:rsidP="00AC1337">
      <w:pPr>
        <w:pStyle w:val="ListParagraph"/>
        <w:spacing w:line="240" w:lineRule="auto"/>
        <w:ind w:left="0"/>
      </w:pPr>
      <w:r>
        <w:rPr>
          <w:b/>
        </w:rPr>
        <w:t>RESPONDENT’</w:t>
      </w:r>
      <w:r w:rsidR="001E2697">
        <w:rPr>
          <w:b/>
        </w:rPr>
        <w:t>S COUNSEL</w:t>
      </w:r>
      <w:r w:rsidR="00FE1115">
        <w:rPr>
          <w:b/>
        </w:rPr>
        <w:tab/>
      </w:r>
      <w:r w:rsidR="001E2697">
        <w:rPr>
          <w:b/>
        </w:rPr>
        <w:tab/>
      </w:r>
      <w:r w:rsidR="004A3B8E">
        <w:rPr>
          <w:b/>
        </w:rPr>
        <w:tab/>
      </w:r>
      <w:r w:rsidR="001E2697" w:rsidRPr="00B27F3B">
        <w:t>:</w:t>
      </w:r>
      <w:r w:rsidR="001E2697">
        <w:t xml:space="preserve"> </w:t>
      </w:r>
      <w:r w:rsidR="0039420D">
        <w:t xml:space="preserve"> </w:t>
      </w:r>
      <w:r w:rsidR="00382F38">
        <w:t xml:space="preserve">Adv. </w:t>
      </w:r>
      <w:r w:rsidR="00B210FC">
        <w:t xml:space="preserve">F. Bezuidenhout </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742B99FC" w14:textId="37EC75F1" w:rsidR="0039420D" w:rsidRPr="00FE1115" w:rsidRDefault="000604E8" w:rsidP="0039420D">
      <w:pPr>
        <w:pStyle w:val="ListParagraph"/>
        <w:spacing w:line="240" w:lineRule="auto"/>
        <w:ind w:left="0"/>
        <w:rPr>
          <w:b/>
        </w:rPr>
      </w:pPr>
      <w:r>
        <w:rPr>
          <w:b/>
        </w:rPr>
        <w:t>RESPONDENT</w:t>
      </w:r>
      <w:r w:rsidR="001E2697">
        <w:rPr>
          <w:b/>
        </w:rPr>
        <w:t>’S ATTORNEYS</w:t>
      </w:r>
      <w:r w:rsidR="001E2697">
        <w:rPr>
          <w:b/>
        </w:rPr>
        <w:tab/>
      </w:r>
      <w:r w:rsidR="0039420D">
        <w:rPr>
          <w:b/>
        </w:rPr>
        <w:tab/>
      </w:r>
      <w:r w:rsidR="001E2697">
        <w:rPr>
          <w:b/>
        </w:rPr>
        <w:tab/>
      </w:r>
      <w:r w:rsidR="001E2697" w:rsidRPr="00B27F3B">
        <w:t>:</w:t>
      </w:r>
      <w:r w:rsidR="0011321B">
        <w:t xml:space="preserve"> </w:t>
      </w:r>
      <w:r w:rsidR="00A71A0F">
        <w:t xml:space="preserve"> </w:t>
      </w:r>
      <w:r w:rsidR="00B210FC">
        <w:t xml:space="preserve">Ulrich Roux and Associates </w:t>
      </w:r>
    </w:p>
    <w:p w14:paraId="3E765195" w14:textId="1A6E2DB1" w:rsidR="005A0267" w:rsidRDefault="00F44AF4" w:rsidP="005A0267">
      <w:pPr>
        <w:pStyle w:val="ListParagraph"/>
        <w:spacing w:line="240" w:lineRule="auto"/>
        <w:ind w:left="0"/>
      </w:pPr>
      <w:r>
        <w:tab/>
      </w:r>
      <w:bookmarkEnd w:id="43"/>
      <w:bookmarkEnd w:id="0"/>
    </w:p>
    <w:sectPr w:rsidR="005A0267" w:rsidSect="00ED013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CC90" w14:textId="77777777" w:rsidR="009C4B56" w:rsidRDefault="009C4B56">
      <w:r>
        <w:separator/>
      </w:r>
    </w:p>
  </w:endnote>
  <w:endnote w:type="continuationSeparator" w:id="0">
    <w:p w14:paraId="5397AEA5" w14:textId="77777777" w:rsidR="009C4B56" w:rsidRDefault="009C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2BBD" w14:textId="77777777" w:rsidR="009C4B56" w:rsidRDefault="009C4B56">
      <w:r>
        <w:separator/>
      </w:r>
    </w:p>
  </w:footnote>
  <w:footnote w:type="continuationSeparator" w:id="0">
    <w:p w14:paraId="4EF2D516" w14:textId="77777777" w:rsidR="009C4B56" w:rsidRDefault="009C4B56">
      <w:r>
        <w:continuationSeparator/>
      </w:r>
    </w:p>
  </w:footnote>
  <w:footnote w:id="1">
    <w:p w14:paraId="7818BAF9" w14:textId="77777777" w:rsidR="008507B2" w:rsidRPr="00D52056" w:rsidRDefault="008507B2" w:rsidP="008507B2">
      <w:pPr>
        <w:pStyle w:val="FootnoteText"/>
        <w:rPr>
          <w:lang w:val="en-GB"/>
        </w:rPr>
      </w:pPr>
      <w:r>
        <w:rPr>
          <w:rStyle w:val="FootnoteReference"/>
        </w:rPr>
        <w:footnoteRef/>
      </w:r>
      <w:r>
        <w:t xml:space="preserve"> </w:t>
      </w:r>
      <w:r>
        <w:rPr>
          <w:lang w:val="en-GB"/>
        </w:rPr>
        <w:t>10 of 2013</w:t>
      </w:r>
    </w:p>
  </w:footnote>
  <w:footnote w:id="2">
    <w:p w14:paraId="08A33AAC" w14:textId="6A0CC404" w:rsidR="00ED0134" w:rsidRDefault="00ED0134">
      <w:pPr>
        <w:pStyle w:val="FootnoteText"/>
      </w:pPr>
      <w:r>
        <w:rPr>
          <w:rStyle w:val="FootnoteReference"/>
        </w:rPr>
        <w:footnoteRef/>
      </w:r>
      <w:r>
        <w:t xml:space="preserve"> Putco (Pty) Ltd v City of Johannesburg Metropolitan Municipality and Others [2023] 2 All SA 601 (SCA</w:t>
      </w:r>
      <w:r w:rsidR="00F33874">
        <w:t>)</w:t>
      </w:r>
      <w:r>
        <w:t xml:space="preserve"> para [14]</w:t>
      </w:r>
    </w:p>
  </w:footnote>
  <w:footnote w:id="3">
    <w:p w14:paraId="123CCB00" w14:textId="2572FCB3" w:rsidR="00ED0134" w:rsidRDefault="00ED0134">
      <w:pPr>
        <w:pStyle w:val="FootnoteText"/>
      </w:pPr>
      <w:r>
        <w:rPr>
          <w:rStyle w:val="FootnoteReference"/>
        </w:rPr>
        <w:footnoteRef/>
      </w:r>
      <w:r>
        <w:t xml:space="preserve"> Colam v Dunbar 1933 AD 141 at 162</w:t>
      </w:r>
    </w:p>
  </w:footnote>
  <w:footnote w:id="4">
    <w:p w14:paraId="4AA303FA" w14:textId="7C3B10ED" w:rsidR="00ED0134" w:rsidRDefault="00ED0134" w:rsidP="00035455">
      <w:pPr>
        <w:pStyle w:val="FootnoteText"/>
      </w:pPr>
      <w:r>
        <w:rPr>
          <w:rStyle w:val="FootnoteReference"/>
        </w:rPr>
        <w:footnoteRef/>
      </w:r>
      <w:r>
        <w:t xml:space="preserve"> S</w:t>
      </w:r>
      <w:r w:rsidR="00F33874">
        <w:t>c</w:t>
      </w:r>
      <w:r>
        <w:t>ott-King (Pty) Ltd v Cohen 1999 (1) SA 806 (W) at 810F</w:t>
      </w:r>
    </w:p>
  </w:footnote>
  <w:footnote w:id="5">
    <w:p w14:paraId="6ADC760B" w14:textId="77777777" w:rsidR="00ED0134" w:rsidRDefault="00ED0134" w:rsidP="00035455">
      <w:pPr>
        <w:pStyle w:val="FootnoteText"/>
      </w:pPr>
      <w:r>
        <w:rPr>
          <w:rStyle w:val="FootnoteReference"/>
        </w:rPr>
        <w:footnoteRef/>
      </w:r>
      <w:r>
        <w:t xml:space="preserve"> Leeuw v First National Bank Ltd 2010 (3) SA 410 (SCA) 413D-E</w:t>
      </w:r>
    </w:p>
  </w:footnote>
  <w:footnote w:id="6">
    <w:p w14:paraId="4F723FBE" w14:textId="64F6052D" w:rsidR="00ED0134" w:rsidRDefault="00ED0134">
      <w:pPr>
        <w:pStyle w:val="FootnoteText"/>
      </w:pPr>
      <w:r>
        <w:rPr>
          <w:rStyle w:val="FootnoteReference"/>
        </w:rPr>
        <w:footnoteRef/>
      </w:r>
      <w:r>
        <w:t xml:space="preserve"> Based on the recommendations in the report of the Family Counsellor paragraphs </w:t>
      </w:r>
    </w:p>
  </w:footnote>
  <w:footnote w:id="7">
    <w:p w14:paraId="37F707C0" w14:textId="2FD756DB" w:rsidR="004141A2" w:rsidRDefault="004141A2" w:rsidP="004141A2">
      <w:pPr>
        <w:pStyle w:val="FootnoteText"/>
      </w:pPr>
      <w:r>
        <w:rPr>
          <w:rStyle w:val="FootnoteReference"/>
        </w:rPr>
        <w:footnoteRef/>
      </w:r>
      <w:r>
        <w:t xml:space="preserve"> Trencon Construction (Pty) Ltd v Industrial De</w:t>
      </w:r>
      <w:r w:rsidR="00346BF5">
        <w:t>v</w:t>
      </w:r>
      <w:r>
        <w:t>elopment Corporation of South Africa Ltd 2015 (5) SA 245 (CC) par [85]</w:t>
      </w:r>
    </w:p>
  </w:footnote>
  <w:footnote w:id="8">
    <w:p w14:paraId="39B2AD67" w14:textId="4C2CD4EB" w:rsidR="00ED1F48" w:rsidRDefault="00ED1F48" w:rsidP="00ED1F48">
      <w:pPr>
        <w:pStyle w:val="FootnoteText"/>
      </w:pPr>
      <w:r>
        <w:rPr>
          <w:rStyle w:val="FootnoteReference"/>
        </w:rPr>
        <w:footnoteRef/>
      </w:r>
      <w:r>
        <w:t xml:space="preserve"> Public Protector</w:t>
      </w:r>
      <w:r w:rsidR="00346BF5">
        <w:t xml:space="preserve"> </w:t>
      </w:r>
      <w:r>
        <w:t>v Commissioner for the South African Revenue Service and Others [2020] ZACC 28                                                 paras [31]-[33]; Biowatch Trust v Registrar Genetic Resources &amp; Others 2009 (6) SA 232 (CC) paras [29]-[30] with reference to the principle in Attorney-General, Eastern Cape v Blom &amp; Others 1988 (4) SA 645 A at 670</w:t>
      </w:r>
      <w:r w:rsidR="00B24DC6">
        <w:t xml:space="preserve"> </w:t>
      </w:r>
      <w:r>
        <w:t>D-F</w:t>
      </w:r>
    </w:p>
  </w:footnote>
  <w:footnote w:id="9">
    <w:p w14:paraId="16B32794" w14:textId="22A49375" w:rsidR="00ED1F48" w:rsidRDefault="00ED1F48" w:rsidP="00ED1F48">
      <w:pPr>
        <w:pStyle w:val="FootnoteText"/>
      </w:pPr>
      <w:r>
        <w:rPr>
          <w:rStyle w:val="FootnoteReference"/>
        </w:rPr>
        <w:footnoteRef/>
      </w:r>
      <w:r>
        <w:t xml:space="preserve"> Biowatch Trust v Registrar Genetic Resources &amp; Others 2009 (6) SA 232 (CC) paras [29]-[30] with reference to the principle in Attorney-General, Eastern Cape v Blom &amp; Others 1988 (4) SA 645 A at 670</w:t>
      </w:r>
      <w:r w:rsidR="00B24DC6">
        <w:t xml:space="preserve"> </w:t>
      </w:r>
      <w:r>
        <w:t>D-F</w:t>
      </w:r>
    </w:p>
  </w:footnote>
  <w:footnote w:id="10">
    <w:p w14:paraId="65F53A74" w14:textId="20936BD4" w:rsidR="00ED0134" w:rsidRDefault="00ED0134">
      <w:pPr>
        <w:pStyle w:val="FootnoteText"/>
      </w:pPr>
      <w:r>
        <w:rPr>
          <w:rStyle w:val="FootnoteReference"/>
        </w:rPr>
        <w:footnoteRef/>
      </w:r>
      <w:r>
        <w:t xml:space="preserve"> AD and Another v DW and Others 2008 (3) SA 183 (CC) par [55]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648665"/>
      <w:docPartObj>
        <w:docPartGallery w:val="Page Numbers (Top of Page)"/>
        <w:docPartUnique/>
      </w:docPartObj>
    </w:sdtPr>
    <w:sdtEndPr>
      <w:rPr>
        <w:noProof/>
      </w:rPr>
    </w:sdtEndPr>
    <w:sdtContent>
      <w:p w14:paraId="2D7BF175" w14:textId="34F165E7" w:rsidR="00ED0134" w:rsidRDefault="00ED0134">
        <w:pPr>
          <w:pStyle w:val="Header"/>
          <w:jc w:val="right"/>
        </w:pPr>
        <w:r>
          <w:fldChar w:fldCharType="begin"/>
        </w:r>
        <w:r>
          <w:instrText xml:space="preserve"> PAGE   \* MERGEFORMAT </w:instrText>
        </w:r>
        <w:r>
          <w:fldChar w:fldCharType="separate"/>
        </w:r>
        <w:r w:rsidR="00104E3D">
          <w:rPr>
            <w:noProof/>
          </w:rPr>
          <w:t>11</w:t>
        </w:r>
        <w:r>
          <w:rPr>
            <w:noProof/>
          </w:rPr>
          <w:fldChar w:fldCharType="end"/>
        </w:r>
      </w:p>
    </w:sdtContent>
  </w:sdt>
  <w:p w14:paraId="0BA12F91" w14:textId="77777777" w:rsidR="00ED0134" w:rsidRDefault="00ED01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hish">
    <w15:presenceInfo w15:providerId="None" w15:userId="Sath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U1MbU0NzYzMDRX0lEKTi0uzszPAykwrAUA3/ZgqCwAAAA="/>
  </w:docVars>
  <w:rsids>
    <w:rsidRoot w:val="001E2697"/>
    <w:rsid w:val="000139FD"/>
    <w:rsid w:val="00035455"/>
    <w:rsid w:val="00035A47"/>
    <w:rsid w:val="00041ACF"/>
    <w:rsid w:val="00045763"/>
    <w:rsid w:val="000464BE"/>
    <w:rsid w:val="000604E8"/>
    <w:rsid w:val="0008411F"/>
    <w:rsid w:val="000B66AC"/>
    <w:rsid w:val="000C48D7"/>
    <w:rsid w:val="000D1A66"/>
    <w:rsid w:val="000F6063"/>
    <w:rsid w:val="00103BE2"/>
    <w:rsid w:val="00104E3D"/>
    <w:rsid w:val="0011321B"/>
    <w:rsid w:val="00113EEB"/>
    <w:rsid w:val="00117B3E"/>
    <w:rsid w:val="00123C1F"/>
    <w:rsid w:val="001455EE"/>
    <w:rsid w:val="00167A0B"/>
    <w:rsid w:val="001755E1"/>
    <w:rsid w:val="00185BE1"/>
    <w:rsid w:val="0018664B"/>
    <w:rsid w:val="001A045E"/>
    <w:rsid w:val="001A1D3E"/>
    <w:rsid w:val="001C2FBB"/>
    <w:rsid w:val="001D2E31"/>
    <w:rsid w:val="001E2697"/>
    <w:rsid w:val="001F6553"/>
    <w:rsid w:val="002101A8"/>
    <w:rsid w:val="00237065"/>
    <w:rsid w:val="00245037"/>
    <w:rsid w:val="002633DB"/>
    <w:rsid w:val="00282DCD"/>
    <w:rsid w:val="002A05C1"/>
    <w:rsid w:val="002D61F0"/>
    <w:rsid w:val="00304AA7"/>
    <w:rsid w:val="00320A4E"/>
    <w:rsid w:val="00323F4C"/>
    <w:rsid w:val="00346BF5"/>
    <w:rsid w:val="00367F05"/>
    <w:rsid w:val="003751FF"/>
    <w:rsid w:val="00376DA8"/>
    <w:rsid w:val="00382F38"/>
    <w:rsid w:val="00383D1C"/>
    <w:rsid w:val="0039420D"/>
    <w:rsid w:val="003C4109"/>
    <w:rsid w:val="003D2F27"/>
    <w:rsid w:val="00411F3C"/>
    <w:rsid w:val="004141A2"/>
    <w:rsid w:val="0044622C"/>
    <w:rsid w:val="00446B44"/>
    <w:rsid w:val="00451605"/>
    <w:rsid w:val="00453CC9"/>
    <w:rsid w:val="00456FA9"/>
    <w:rsid w:val="004A2E67"/>
    <w:rsid w:val="004A3B8E"/>
    <w:rsid w:val="004D55A8"/>
    <w:rsid w:val="004E41B6"/>
    <w:rsid w:val="004E44ED"/>
    <w:rsid w:val="00503815"/>
    <w:rsid w:val="00525AC3"/>
    <w:rsid w:val="00527DDC"/>
    <w:rsid w:val="005413FD"/>
    <w:rsid w:val="00545539"/>
    <w:rsid w:val="00557D37"/>
    <w:rsid w:val="0056207D"/>
    <w:rsid w:val="005839CB"/>
    <w:rsid w:val="00595286"/>
    <w:rsid w:val="005A0267"/>
    <w:rsid w:val="005A3AA9"/>
    <w:rsid w:val="006224E5"/>
    <w:rsid w:val="00637A37"/>
    <w:rsid w:val="006616E5"/>
    <w:rsid w:val="006E7160"/>
    <w:rsid w:val="007075A3"/>
    <w:rsid w:val="00722784"/>
    <w:rsid w:val="0072529C"/>
    <w:rsid w:val="00732694"/>
    <w:rsid w:val="00751EF5"/>
    <w:rsid w:val="007703BA"/>
    <w:rsid w:val="00772D6C"/>
    <w:rsid w:val="007A3908"/>
    <w:rsid w:val="007E45C6"/>
    <w:rsid w:val="0080149F"/>
    <w:rsid w:val="00822D1C"/>
    <w:rsid w:val="00823D1D"/>
    <w:rsid w:val="00840C12"/>
    <w:rsid w:val="008507B2"/>
    <w:rsid w:val="00877A1D"/>
    <w:rsid w:val="00880CB2"/>
    <w:rsid w:val="008C2A94"/>
    <w:rsid w:val="008E4E6B"/>
    <w:rsid w:val="00900064"/>
    <w:rsid w:val="00951327"/>
    <w:rsid w:val="00964D11"/>
    <w:rsid w:val="009845B6"/>
    <w:rsid w:val="009A0274"/>
    <w:rsid w:val="009A215A"/>
    <w:rsid w:val="009B011C"/>
    <w:rsid w:val="009B1931"/>
    <w:rsid w:val="009B4A5F"/>
    <w:rsid w:val="009C4B56"/>
    <w:rsid w:val="009E11DF"/>
    <w:rsid w:val="009E59AF"/>
    <w:rsid w:val="009E5EA6"/>
    <w:rsid w:val="009F238F"/>
    <w:rsid w:val="00A00636"/>
    <w:rsid w:val="00A10EC7"/>
    <w:rsid w:val="00A217DD"/>
    <w:rsid w:val="00A271BA"/>
    <w:rsid w:val="00A326BA"/>
    <w:rsid w:val="00A36E24"/>
    <w:rsid w:val="00A71A0F"/>
    <w:rsid w:val="00AC1337"/>
    <w:rsid w:val="00AC26CF"/>
    <w:rsid w:val="00AE1680"/>
    <w:rsid w:val="00AF401B"/>
    <w:rsid w:val="00B210FC"/>
    <w:rsid w:val="00B24DC6"/>
    <w:rsid w:val="00B25B6F"/>
    <w:rsid w:val="00B30017"/>
    <w:rsid w:val="00B40203"/>
    <w:rsid w:val="00B51B36"/>
    <w:rsid w:val="00B56867"/>
    <w:rsid w:val="00B767A4"/>
    <w:rsid w:val="00B94849"/>
    <w:rsid w:val="00B948AF"/>
    <w:rsid w:val="00B976D8"/>
    <w:rsid w:val="00BA26F8"/>
    <w:rsid w:val="00BC13C2"/>
    <w:rsid w:val="00BC2591"/>
    <w:rsid w:val="00BD17F1"/>
    <w:rsid w:val="00BE076F"/>
    <w:rsid w:val="00BE3AA8"/>
    <w:rsid w:val="00BF4AEE"/>
    <w:rsid w:val="00C03CD3"/>
    <w:rsid w:val="00C150C9"/>
    <w:rsid w:val="00C15987"/>
    <w:rsid w:val="00C26EF3"/>
    <w:rsid w:val="00C44FAD"/>
    <w:rsid w:val="00C45D70"/>
    <w:rsid w:val="00C47079"/>
    <w:rsid w:val="00C54FD6"/>
    <w:rsid w:val="00C560C2"/>
    <w:rsid w:val="00C73AAB"/>
    <w:rsid w:val="00C74C0B"/>
    <w:rsid w:val="00C83782"/>
    <w:rsid w:val="00C853FE"/>
    <w:rsid w:val="00CA5F5C"/>
    <w:rsid w:val="00CB6636"/>
    <w:rsid w:val="00CB774B"/>
    <w:rsid w:val="00CE31DD"/>
    <w:rsid w:val="00CE41BD"/>
    <w:rsid w:val="00D06735"/>
    <w:rsid w:val="00D11040"/>
    <w:rsid w:val="00D15DAD"/>
    <w:rsid w:val="00D37AB0"/>
    <w:rsid w:val="00D51E11"/>
    <w:rsid w:val="00D52056"/>
    <w:rsid w:val="00D5299E"/>
    <w:rsid w:val="00D5427D"/>
    <w:rsid w:val="00D73F7E"/>
    <w:rsid w:val="00D7472D"/>
    <w:rsid w:val="00D758B5"/>
    <w:rsid w:val="00D94D09"/>
    <w:rsid w:val="00DC4E32"/>
    <w:rsid w:val="00DD3104"/>
    <w:rsid w:val="00DE6841"/>
    <w:rsid w:val="00DF7774"/>
    <w:rsid w:val="00E02110"/>
    <w:rsid w:val="00E038DD"/>
    <w:rsid w:val="00E0427C"/>
    <w:rsid w:val="00E14BC3"/>
    <w:rsid w:val="00E35A5B"/>
    <w:rsid w:val="00E36A52"/>
    <w:rsid w:val="00E71E7C"/>
    <w:rsid w:val="00E94559"/>
    <w:rsid w:val="00ED0134"/>
    <w:rsid w:val="00ED1F48"/>
    <w:rsid w:val="00ED2AC9"/>
    <w:rsid w:val="00F22568"/>
    <w:rsid w:val="00F33874"/>
    <w:rsid w:val="00F37DB4"/>
    <w:rsid w:val="00F44AF4"/>
    <w:rsid w:val="00F47CAE"/>
    <w:rsid w:val="00F51A59"/>
    <w:rsid w:val="00F900E8"/>
    <w:rsid w:val="00F9647D"/>
    <w:rsid w:val="00F97CCA"/>
    <w:rsid w:val="00FA0A5F"/>
    <w:rsid w:val="00FD32D7"/>
    <w:rsid w:val="00FE1115"/>
    <w:rsid w:val="00FE5F64"/>
    <w:rsid w:val="00FF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basedOn w:val="Normal"/>
    <w:link w:val="FootnoteTextChar"/>
    <w:uiPriority w:val="99"/>
    <w:unhideWhenUsed/>
    <w:rsid w:val="00383D1C"/>
    <w:rPr>
      <w:sz w:val="20"/>
      <w:szCs w:val="20"/>
    </w:rPr>
  </w:style>
  <w:style w:type="character" w:customStyle="1" w:styleId="FootnoteTextChar">
    <w:name w:val="Footnote Text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Heading 6 Char1,do not use4 Char1,Footnote symbol,(NECG) Footnote Reference,Style 12,Footnote,Footnotes refss,Appel note de bas de page,fr,SFG_Footnote_Reference,Nota,Appel note de bas de p,o,-E Fußnotenzeichen"/>
    <w:basedOn w:val="DefaultParagraphFont"/>
    <w:uiPriority w:val="99"/>
    <w:unhideWhenUsed/>
    <w:qFormat/>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paragraph" w:styleId="Footer">
    <w:name w:val="footer"/>
    <w:basedOn w:val="Normal"/>
    <w:link w:val="FooterChar"/>
    <w:uiPriority w:val="99"/>
    <w:unhideWhenUsed/>
    <w:rsid w:val="00964D11"/>
    <w:pPr>
      <w:tabs>
        <w:tab w:val="center" w:pos="4513"/>
        <w:tab w:val="right" w:pos="9026"/>
      </w:tabs>
    </w:pPr>
  </w:style>
  <w:style w:type="character" w:customStyle="1" w:styleId="FooterChar">
    <w:name w:val="Footer Char"/>
    <w:basedOn w:val="DefaultParagraphFont"/>
    <w:link w:val="Footer"/>
    <w:uiPriority w:val="99"/>
    <w:rsid w:val="00964D11"/>
    <w:rPr>
      <w:rFonts w:ascii="Arial" w:eastAsia="Times New Roman" w:hAnsi="Arial" w:cs="Times New Roman"/>
      <w:kern w:val="28"/>
      <w:sz w:val="24"/>
      <w:szCs w:val="24"/>
      <w:lang w:val="en-ZA" w:eastAsia="en-GB"/>
    </w:rPr>
  </w:style>
  <w:style w:type="paragraph" w:styleId="Revision">
    <w:name w:val="Revision"/>
    <w:hidden/>
    <w:uiPriority w:val="99"/>
    <w:semiHidden/>
    <w:rsid w:val="00DF7774"/>
    <w:pPr>
      <w:spacing w:after="0" w:line="240" w:lineRule="auto"/>
    </w:pPr>
    <w:rPr>
      <w:rFonts w:ascii="Arial" w:eastAsia="Times New Roman" w:hAnsi="Arial" w:cs="Times New Roman"/>
      <w:kern w:val="28"/>
      <w:sz w:val="24"/>
      <w:szCs w:val="24"/>
      <w:lang w:val="en-ZA" w:eastAsia="en-GB"/>
    </w:rPr>
  </w:style>
  <w:style w:type="paragraph" w:styleId="BalloonText">
    <w:name w:val="Balloon Text"/>
    <w:basedOn w:val="Normal"/>
    <w:link w:val="BalloonTextChar"/>
    <w:uiPriority w:val="99"/>
    <w:semiHidden/>
    <w:unhideWhenUsed/>
    <w:rsid w:val="00D37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B0"/>
    <w:rPr>
      <w:rFonts w:ascii="Segoe UI" w:eastAsia="Times New Roman" w:hAnsi="Segoe UI" w:cs="Segoe UI"/>
      <w:kern w:val="28"/>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E101-D21B-4C37-BEB1-A30A82FC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Sathish</cp:lastModifiedBy>
  <cp:revision>3</cp:revision>
  <dcterms:created xsi:type="dcterms:W3CDTF">2024-02-21T10:43:00Z</dcterms:created>
  <dcterms:modified xsi:type="dcterms:W3CDTF">2024-02-21T14:06:00Z</dcterms:modified>
</cp:coreProperties>
</file>