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222F8" w14:textId="77777777" w:rsidR="0091760B" w:rsidRDefault="00021646">
      <w:pPr>
        <w:spacing w:line="360" w:lineRule="auto"/>
        <w:jc w:val="center"/>
        <w:rPr>
          <w:sz w:val="36"/>
        </w:rPr>
      </w:pPr>
      <w:r>
        <w:rPr>
          <w:b/>
          <w:bCs/>
          <w:sz w:val="36"/>
          <w:u w:val="single"/>
        </w:rPr>
        <w:t>IN THE HIGH COURT OF SOUTH AFRICA</w:t>
      </w:r>
    </w:p>
    <w:p w14:paraId="10447E01" w14:textId="77777777" w:rsidR="0091760B" w:rsidRDefault="00021646">
      <w:pPr>
        <w:spacing w:line="360" w:lineRule="auto"/>
        <w:jc w:val="center"/>
        <w:rPr>
          <w:sz w:val="36"/>
        </w:rPr>
      </w:pPr>
      <w:r>
        <w:rPr>
          <w:b/>
          <w:bCs/>
          <w:sz w:val="36"/>
          <w:u w:val="single"/>
        </w:rPr>
        <w:t>GAUTENG DIVISION, JOHANNESBURG</w:t>
      </w:r>
    </w:p>
    <w:p w14:paraId="2EA2B439" w14:textId="77777777" w:rsidR="0091760B" w:rsidRDefault="0091760B">
      <w:pPr>
        <w:spacing w:line="360" w:lineRule="auto"/>
        <w:jc w:val="center"/>
      </w:pPr>
    </w:p>
    <w:p w14:paraId="32E8A99A" w14:textId="77777777" w:rsidR="0091760B" w:rsidRDefault="0091760B">
      <w:pPr>
        <w:spacing w:line="360" w:lineRule="auto"/>
        <w:jc w:val="center"/>
      </w:pPr>
    </w:p>
    <w:p w14:paraId="22BF49F2" w14:textId="77777777" w:rsidR="0091760B" w:rsidRDefault="00F36C3E">
      <w:pPr>
        <w:spacing w:line="360" w:lineRule="auto"/>
        <w:jc w:val="right"/>
      </w:pPr>
      <w:r>
        <w:rPr>
          <w:noProof/>
          <w:lang w:eastAsia="en-ZA"/>
        </w:rPr>
        <mc:AlternateContent>
          <mc:Choice Requires="wps">
            <w:drawing>
              <wp:anchor distT="5080" distB="5080" distL="5080" distR="5080" simplePos="0" relativeHeight="3" behindDoc="0" locked="0" layoutInCell="0" allowOverlap="1" wp14:anchorId="18727BCA" wp14:editId="7B03B737">
                <wp:simplePos x="0" y="0"/>
                <wp:positionH relativeFrom="margin">
                  <wp:posOffset>0</wp:posOffset>
                </wp:positionH>
                <wp:positionV relativeFrom="paragraph">
                  <wp:posOffset>69215</wp:posOffset>
                </wp:positionV>
                <wp:extent cx="3314700" cy="14884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14884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EDF9127" w14:textId="77777777" w:rsidR="0091760B" w:rsidRDefault="0091760B">
                            <w:pPr>
                              <w:pStyle w:val="FrameContents"/>
                              <w:jc w:val="center"/>
                              <w:rPr>
                                <w:rFonts w:ascii="Century Gothic" w:hAnsi="Century Gothic"/>
                                <w:b/>
                                <w:sz w:val="2"/>
                                <w:szCs w:val="18"/>
                              </w:rPr>
                            </w:pPr>
                          </w:p>
                          <w:p w14:paraId="21D05CD6" w14:textId="77777777" w:rsidR="0091760B" w:rsidRDefault="00021646">
                            <w:pPr>
                              <w:pStyle w:val="FrameContents"/>
                              <w:spacing w:after="60" w:line="240" w:lineRule="auto"/>
                              <w:ind w:left="181"/>
                              <w:jc w:val="left"/>
                              <w:rPr>
                                <w:sz w:val="18"/>
                                <w:szCs w:val="18"/>
                              </w:rPr>
                            </w:pPr>
                            <w:r>
                              <w:rPr>
                                <w:color w:val="000000"/>
                                <w:sz w:val="18"/>
                                <w:szCs w:val="18"/>
                              </w:rPr>
                              <w:t>[1]</w:t>
                            </w:r>
                            <w:r>
                              <w:rPr>
                                <w:color w:val="000000"/>
                                <w:sz w:val="18"/>
                                <w:szCs w:val="18"/>
                              </w:rPr>
                              <w:tab/>
                              <w:t>REPORTABLE: NO</w:t>
                            </w:r>
                          </w:p>
                          <w:p w14:paraId="51864526" w14:textId="77777777" w:rsidR="0091760B" w:rsidRDefault="00021646">
                            <w:pPr>
                              <w:pStyle w:val="FrameContents"/>
                              <w:spacing w:after="60" w:line="240" w:lineRule="auto"/>
                              <w:ind w:left="181"/>
                              <w:jc w:val="left"/>
                              <w:rPr>
                                <w:sz w:val="18"/>
                                <w:szCs w:val="18"/>
                              </w:rPr>
                            </w:pPr>
                            <w:r>
                              <w:rPr>
                                <w:color w:val="000000"/>
                                <w:sz w:val="18"/>
                                <w:szCs w:val="18"/>
                              </w:rPr>
                              <w:t>[2]</w:t>
                            </w:r>
                            <w:r>
                              <w:rPr>
                                <w:color w:val="000000"/>
                                <w:sz w:val="18"/>
                                <w:szCs w:val="18"/>
                              </w:rPr>
                              <w:tab/>
                              <w:t>OF INTEREST TO OTHER JUDGES: NO</w:t>
                            </w:r>
                          </w:p>
                          <w:p w14:paraId="2717A09E" w14:textId="77777777" w:rsidR="0091760B" w:rsidRDefault="00021646">
                            <w:pPr>
                              <w:pStyle w:val="FrameContents"/>
                              <w:spacing w:line="240" w:lineRule="auto"/>
                              <w:ind w:left="180"/>
                              <w:jc w:val="left"/>
                              <w:rPr>
                                <w:sz w:val="18"/>
                                <w:szCs w:val="18"/>
                              </w:rPr>
                            </w:pPr>
                            <w:r>
                              <w:rPr>
                                <w:color w:val="000000"/>
                                <w:sz w:val="18"/>
                                <w:szCs w:val="18"/>
                              </w:rPr>
                              <w:t>[3]</w:t>
                            </w:r>
                            <w:r>
                              <w:rPr>
                                <w:color w:val="000000"/>
                                <w:sz w:val="18"/>
                                <w:szCs w:val="18"/>
                              </w:rPr>
                              <w:tab/>
                              <w:t>REVISED: NO</w:t>
                            </w:r>
                          </w:p>
                          <w:p w14:paraId="507990C2" w14:textId="77777777" w:rsidR="0091760B" w:rsidRDefault="0091760B">
                            <w:pPr>
                              <w:pStyle w:val="FrameContents"/>
                              <w:spacing w:line="240" w:lineRule="auto"/>
                              <w:jc w:val="left"/>
                              <w:rPr>
                                <w:rFonts w:ascii="Century Gothic" w:hAnsi="Century Gothic"/>
                                <w:sz w:val="18"/>
                                <w:szCs w:val="18"/>
                              </w:rPr>
                            </w:pPr>
                          </w:p>
                          <w:p w14:paraId="62B347A1" w14:textId="77777777" w:rsidR="0091760B" w:rsidRDefault="0091760B">
                            <w:pPr>
                              <w:pStyle w:val="FrameContents"/>
                              <w:spacing w:line="240" w:lineRule="auto"/>
                              <w:jc w:val="left"/>
                              <w:rPr>
                                <w:rFonts w:ascii="Century Gothic" w:hAnsi="Century Gothic"/>
                                <w:sz w:val="18"/>
                                <w:szCs w:val="18"/>
                              </w:rPr>
                            </w:pPr>
                          </w:p>
                          <w:p w14:paraId="12CFCD93" w14:textId="77777777" w:rsidR="0091760B" w:rsidRDefault="0091760B">
                            <w:pPr>
                              <w:pStyle w:val="FrameContents"/>
                              <w:spacing w:line="240" w:lineRule="auto"/>
                              <w:jc w:val="left"/>
                              <w:rPr>
                                <w:rFonts w:ascii="Century Gothic" w:hAnsi="Century Gothic"/>
                                <w:sz w:val="18"/>
                                <w:szCs w:val="18"/>
                              </w:rPr>
                            </w:pPr>
                          </w:p>
                          <w:p w14:paraId="490E2AF6" w14:textId="77777777" w:rsidR="0091760B" w:rsidRDefault="00021646">
                            <w:pPr>
                              <w:pStyle w:val="FrameContents"/>
                              <w:tabs>
                                <w:tab w:val="left" w:pos="2835"/>
                              </w:tabs>
                              <w:ind w:right="-43"/>
                              <w:rPr>
                                <w:rFonts w:ascii="Century Gothic" w:hAnsi="Century Gothic"/>
                                <w:b/>
                                <w:sz w:val="18"/>
                                <w:szCs w:val="18"/>
                              </w:rPr>
                            </w:pPr>
                            <w:r>
                              <w:rPr>
                                <w:rFonts w:ascii="Century Gothic" w:hAnsi="Century Gothic"/>
                                <w:b/>
                                <w:color w:val="000000"/>
                                <w:sz w:val="18"/>
                                <w:szCs w:val="18"/>
                              </w:rPr>
                              <w:t>SIGNATURE</w:t>
                            </w:r>
                            <w:r>
                              <w:rPr>
                                <w:rFonts w:ascii="Century Gothic" w:hAnsi="Century Gothic"/>
                                <w:b/>
                                <w:color w:val="000000"/>
                                <w:sz w:val="18"/>
                                <w:szCs w:val="18"/>
                              </w:rPr>
                              <w:tab/>
                              <w:t xml:space="preserve">DATE: </w:t>
                            </w:r>
                            <w:r w:rsidR="009B5F97">
                              <w:rPr>
                                <w:rFonts w:ascii="Century Gothic" w:hAnsi="Century Gothic"/>
                                <w:b/>
                                <w:color w:val="000000"/>
                                <w:sz w:val="18"/>
                                <w:szCs w:val="18"/>
                              </w:rPr>
                              <w:t>06 MAY</w:t>
                            </w:r>
                            <w:r w:rsidR="00CE09FB">
                              <w:rPr>
                                <w:rFonts w:ascii="Century Gothic" w:hAnsi="Century Gothic"/>
                                <w:b/>
                                <w:color w:val="000000"/>
                                <w:sz w:val="18"/>
                                <w:szCs w:val="18"/>
                              </w:rPr>
                              <w:t xml:space="preserve"> </w:t>
                            </w:r>
                            <w:r>
                              <w:rPr>
                                <w:color w:val="000000"/>
                                <w:sz w:val="18"/>
                                <w:szCs w:val="18"/>
                              </w:rPr>
                              <w:t>2024</w:t>
                            </w:r>
                          </w:p>
                          <w:p w14:paraId="3F92FFCD" w14:textId="77777777" w:rsidR="0091760B" w:rsidRDefault="0091760B">
                            <w:pPr>
                              <w:pStyle w:val="FrameContents"/>
                              <w:rPr>
                                <w:rFonts w:ascii="Century Gothic" w:hAnsi="Century Gothic"/>
                                <w:b/>
                                <w:sz w:val="2"/>
                                <w:szCs w:val="18"/>
                              </w:rPr>
                            </w:pPr>
                          </w:p>
                        </w:txbxContent>
                      </wps:txbx>
                      <wps:bodyPr anchor="t" upright="1">
                        <a:noAutofit/>
                      </wps:bodyPr>
                    </wps:wsp>
                  </a:graphicData>
                </a:graphic>
                <wp14:sizeRelH relativeFrom="page">
                  <wp14:pctWidth>0</wp14:pctWidth>
                </wp14:sizeRelH>
                <wp14:sizeRelV relativeFrom="page">
                  <wp14:pctHeight>0</wp14:pctHeight>
                </wp14:sizeRelV>
              </wp:anchor>
            </w:drawing>
          </mc:Choice>
          <mc:Fallback>
            <w:pict>
              <v:rect w14:anchorId="18727BCA" id="Rectangle 1" o:spid="_x0000_s1026" style="position:absolute;left:0;text-align:left;margin-left:0;margin-top:5.45pt;width:261pt;height:117.2pt;z-index:3;visibility:visible;mso-wrap-style:square;mso-width-percent:0;mso-height-percent:0;mso-wrap-distance-left:.4pt;mso-wrap-distance-top:.4pt;mso-wrap-distance-right:.4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" o:allowincell="f">
                <v:path arrowok="t"/>
                <v:textbox>
                  <w:txbxContent>
                    <w:p w14:paraId="3EDF9127" w14:textId="77777777" w:rsidR="0091760B" w:rsidRDefault="0091760B">
                      <w:pPr>
                        <w:pStyle w:val="FrameContents"/>
                        <w:jc w:val="center"/>
                        <w:rPr>
                          <w:rFonts w:ascii="Century Gothic" w:hAnsi="Century Gothic"/>
                          <w:b/>
                          <w:sz w:val="2"/>
                          <w:szCs w:val="18"/>
                        </w:rPr>
                      </w:pPr>
                    </w:p>
                    <w:p w14:paraId="21D05CD6" w14:textId="77777777" w:rsidR="0091760B" w:rsidRDefault="00021646">
                      <w:pPr>
                        <w:pStyle w:val="FrameContents"/>
                        <w:spacing w:after="60" w:line="240" w:lineRule="auto"/>
                        <w:ind w:left="181"/>
                        <w:jc w:val="left"/>
                        <w:rPr>
                          <w:sz w:val="18"/>
                          <w:szCs w:val="18"/>
                        </w:rPr>
                      </w:pPr>
                      <w:r>
                        <w:rPr>
                          <w:color w:val="000000"/>
                          <w:sz w:val="18"/>
                          <w:szCs w:val="18"/>
                        </w:rPr>
                        <w:t>[1]</w:t>
                      </w:r>
                      <w:r>
                        <w:rPr>
                          <w:color w:val="000000"/>
                          <w:sz w:val="18"/>
                          <w:szCs w:val="18"/>
                        </w:rPr>
                        <w:tab/>
                        <w:t>REPORTABLE: NO</w:t>
                      </w:r>
                    </w:p>
                    <w:p w14:paraId="51864526" w14:textId="77777777" w:rsidR="0091760B" w:rsidRDefault="00021646">
                      <w:pPr>
                        <w:pStyle w:val="FrameContents"/>
                        <w:spacing w:after="60" w:line="240" w:lineRule="auto"/>
                        <w:ind w:left="181"/>
                        <w:jc w:val="left"/>
                        <w:rPr>
                          <w:sz w:val="18"/>
                          <w:szCs w:val="18"/>
                        </w:rPr>
                      </w:pPr>
                      <w:r>
                        <w:rPr>
                          <w:color w:val="000000"/>
                          <w:sz w:val="18"/>
                          <w:szCs w:val="18"/>
                        </w:rPr>
                        <w:t>[2]</w:t>
                      </w:r>
                      <w:r>
                        <w:rPr>
                          <w:color w:val="000000"/>
                          <w:sz w:val="18"/>
                          <w:szCs w:val="18"/>
                        </w:rPr>
                        <w:tab/>
                        <w:t>OF INTEREST TO OTHER JUDGES: NO</w:t>
                      </w:r>
                    </w:p>
                    <w:p w14:paraId="2717A09E" w14:textId="77777777" w:rsidR="0091760B" w:rsidRDefault="00021646">
                      <w:pPr>
                        <w:pStyle w:val="FrameContents"/>
                        <w:spacing w:line="240" w:lineRule="auto"/>
                        <w:ind w:left="180"/>
                        <w:jc w:val="left"/>
                        <w:rPr>
                          <w:sz w:val="18"/>
                          <w:szCs w:val="18"/>
                        </w:rPr>
                      </w:pPr>
                      <w:r>
                        <w:rPr>
                          <w:color w:val="000000"/>
                          <w:sz w:val="18"/>
                          <w:szCs w:val="18"/>
                        </w:rPr>
                        <w:t>[3]</w:t>
                      </w:r>
                      <w:r>
                        <w:rPr>
                          <w:color w:val="000000"/>
                          <w:sz w:val="18"/>
                          <w:szCs w:val="18"/>
                        </w:rPr>
                        <w:tab/>
                        <w:t>REVISED: NO</w:t>
                      </w:r>
                    </w:p>
                    <w:p w14:paraId="507990C2" w14:textId="77777777" w:rsidR="0091760B" w:rsidRDefault="0091760B">
                      <w:pPr>
                        <w:pStyle w:val="FrameContents"/>
                        <w:spacing w:line="240" w:lineRule="auto"/>
                        <w:jc w:val="left"/>
                        <w:rPr>
                          <w:rFonts w:ascii="Century Gothic" w:hAnsi="Century Gothic"/>
                          <w:sz w:val="18"/>
                          <w:szCs w:val="18"/>
                        </w:rPr>
                      </w:pPr>
                    </w:p>
                    <w:p w14:paraId="62B347A1" w14:textId="77777777" w:rsidR="0091760B" w:rsidRDefault="0091760B">
                      <w:pPr>
                        <w:pStyle w:val="FrameContents"/>
                        <w:spacing w:line="240" w:lineRule="auto"/>
                        <w:jc w:val="left"/>
                        <w:rPr>
                          <w:rFonts w:ascii="Century Gothic" w:hAnsi="Century Gothic"/>
                          <w:sz w:val="18"/>
                          <w:szCs w:val="18"/>
                        </w:rPr>
                      </w:pPr>
                    </w:p>
                    <w:p w14:paraId="12CFCD93" w14:textId="77777777" w:rsidR="0091760B" w:rsidRDefault="0091760B">
                      <w:pPr>
                        <w:pStyle w:val="FrameContents"/>
                        <w:spacing w:line="240" w:lineRule="auto"/>
                        <w:jc w:val="left"/>
                        <w:rPr>
                          <w:rFonts w:ascii="Century Gothic" w:hAnsi="Century Gothic"/>
                          <w:sz w:val="18"/>
                          <w:szCs w:val="18"/>
                        </w:rPr>
                      </w:pPr>
                    </w:p>
                    <w:p w14:paraId="490E2AF6" w14:textId="77777777" w:rsidR="0091760B" w:rsidRDefault="00021646">
                      <w:pPr>
                        <w:pStyle w:val="FrameContents"/>
                        <w:tabs>
                          <w:tab w:val="left" w:pos="2835"/>
                        </w:tabs>
                        <w:ind w:right="-43"/>
                        <w:rPr>
                          <w:rFonts w:ascii="Century Gothic" w:hAnsi="Century Gothic"/>
                          <w:b/>
                          <w:sz w:val="18"/>
                          <w:szCs w:val="18"/>
                        </w:rPr>
                      </w:pPr>
                      <w:r>
                        <w:rPr>
                          <w:rFonts w:ascii="Century Gothic" w:hAnsi="Century Gothic"/>
                          <w:b/>
                          <w:color w:val="000000"/>
                          <w:sz w:val="18"/>
                          <w:szCs w:val="18"/>
                        </w:rPr>
                        <w:t>SIGNATURE</w:t>
                      </w:r>
                      <w:r>
                        <w:rPr>
                          <w:rFonts w:ascii="Century Gothic" w:hAnsi="Century Gothic"/>
                          <w:b/>
                          <w:color w:val="000000"/>
                          <w:sz w:val="18"/>
                          <w:szCs w:val="18"/>
                        </w:rPr>
                        <w:tab/>
                        <w:t xml:space="preserve">DATE: </w:t>
                      </w:r>
                      <w:r w:rsidR="009B5F97">
                        <w:rPr>
                          <w:rFonts w:ascii="Century Gothic" w:hAnsi="Century Gothic"/>
                          <w:b/>
                          <w:color w:val="000000"/>
                          <w:sz w:val="18"/>
                          <w:szCs w:val="18"/>
                        </w:rPr>
                        <w:t>06 MAY</w:t>
                      </w:r>
                      <w:r w:rsidR="00CE09FB">
                        <w:rPr>
                          <w:rFonts w:ascii="Century Gothic" w:hAnsi="Century Gothic"/>
                          <w:b/>
                          <w:color w:val="000000"/>
                          <w:sz w:val="18"/>
                          <w:szCs w:val="18"/>
                        </w:rPr>
                        <w:t xml:space="preserve"> </w:t>
                      </w:r>
                      <w:r>
                        <w:rPr>
                          <w:color w:val="000000"/>
                          <w:sz w:val="18"/>
                          <w:szCs w:val="18"/>
                        </w:rPr>
                        <w:t>2024</w:t>
                      </w:r>
                    </w:p>
                    <w:p w14:paraId="3F92FFCD" w14:textId="77777777" w:rsidR="0091760B" w:rsidRDefault="0091760B">
                      <w:pPr>
                        <w:pStyle w:val="FrameContents"/>
                        <w:rPr>
                          <w:rFonts w:ascii="Century Gothic" w:hAnsi="Century Gothic"/>
                          <w:b/>
                          <w:sz w:val="2"/>
                          <w:szCs w:val="18"/>
                        </w:rPr>
                      </w:pPr>
                    </w:p>
                  </w:txbxContent>
                </v:textbox>
                <w10:wrap anchorx="margin"/>
              </v:rect>
            </w:pict>
          </mc:Fallback>
        </mc:AlternateContent>
      </w:r>
      <w:r w:rsidR="00662E1B">
        <w:t xml:space="preserve">Case number: </w:t>
      </w:r>
      <w:r w:rsidR="00662E1B">
        <w:rPr>
          <w:lang w:val="af-ZA"/>
        </w:rPr>
        <w:t>2022/060092</w:t>
      </w:r>
    </w:p>
    <w:p w14:paraId="1F8489F4" w14:textId="77777777" w:rsidR="0091760B" w:rsidRDefault="0091760B">
      <w:pPr>
        <w:spacing w:line="360" w:lineRule="auto"/>
        <w:jc w:val="left"/>
        <w:rPr>
          <w:b/>
        </w:rPr>
      </w:pPr>
    </w:p>
    <w:p w14:paraId="3AAD2298" w14:textId="77777777" w:rsidR="0091760B" w:rsidRDefault="0091760B"/>
    <w:p w14:paraId="1F14E99A" w14:textId="77777777" w:rsidR="0091760B" w:rsidRDefault="0091760B"/>
    <w:p w14:paraId="00527E42" w14:textId="77777777" w:rsidR="0091760B" w:rsidRDefault="0091760B"/>
    <w:p w14:paraId="77C25E20" w14:textId="77777777" w:rsidR="0091760B" w:rsidRDefault="0091760B"/>
    <w:p w14:paraId="76A1DBA6" w14:textId="77777777" w:rsidR="0091760B" w:rsidRDefault="0091760B">
      <w:pPr>
        <w:tabs>
          <w:tab w:val="right" w:pos="8931"/>
        </w:tabs>
        <w:spacing w:line="360" w:lineRule="auto"/>
      </w:pPr>
    </w:p>
    <w:p w14:paraId="3A74586E" w14:textId="77777777" w:rsidR="0091760B" w:rsidRDefault="00021646">
      <w:pPr>
        <w:tabs>
          <w:tab w:val="right" w:pos="8931"/>
        </w:tabs>
        <w:spacing w:line="360" w:lineRule="auto"/>
      </w:pPr>
      <w:r>
        <w:t xml:space="preserve">In the matter between: </w:t>
      </w:r>
    </w:p>
    <w:p w14:paraId="1C7147CF" w14:textId="77777777" w:rsidR="0091760B" w:rsidRDefault="0091760B">
      <w:pPr>
        <w:tabs>
          <w:tab w:val="right" w:pos="8931"/>
        </w:tabs>
        <w:spacing w:line="360" w:lineRule="auto"/>
      </w:pPr>
    </w:p>
    <w:p w14:paraId="40DC8D7E" w14:textId="77777777" w:rsidR="0091760B" w:rsidRDefault="0091760B">
      <w:pPr>
        <w:tabs>
          <w:tab w:val="right" w:pos="8931"/>
        </w:tabs>
        <w:spacing w:line="360" w:lineRule="auto"/>
        <w:rPr>
          <w:b/>
          <w:bCs/>
          <w:lang w:val="af-ZA"/>
        </w:rPr>
      </w:pPr>
    </w:p>
    <w:p w14:paraId="682CE493" w14:textId="77777777" w:rsidR="0091760B" w:rsidRDefault="00021646">
      <w:pPr>
        <w:tabs>
          <w:tab w:val="right" w:pos="8931"/>
        </w:tabs>
        <w:spacing w:line="360" w:lineRule="auto"/>
        <w:rPr>
          <w:b/>
          <w:spacing w:val="-3"/>
        </w:rPr>
      </w:pPr>
      <w:r>
        <w:rPr>
          <w:b/>
          <w:bCs/>
          <w:lang w:val="af-ZA"/>
        </w:rPr>
        <w:t>SUPREME POULTRY (PTY) LTD</w:t>
      </w:r>
      <w:r>
        <w:rPr>
          <w:b/>
          <w:spacing w:val="-3"/>
        </w:rPr>
        <w:tab/>
      </w:r>
      <w:r>
        <w:rPr>
          <w:bCs/>
          <w:spacing w:val="-3"/>
        </w:rPr>
        <w:t>First Applicant / First Defendant</w:t>
      </w:r>
    </w:p>
    <w:p w14:paraId="1D49D863" w14:textId="77777777" w:rsidR="0091760B" w:rsidRDefault="0091760B">
      <w:pPr>
        <w:tabs>
          <w:tab w:val="right" w:pos="8931"/>
        </w:tabs>
        <w:spacing w:line="360" w:lineRule="auto"/>
        <w:rPr>
          <w:bCs/>
          <w:spacing w:val="-3"/>
        </w:rPr>
      </w:pPr>
    </w:p>
    <w:p w14:paraId="34FF008B" w14:textId="77777777" w:rsidR="0091760B" w:rsidRDefault="0091760B">
      <w:pPr>
        <w:tabs>
          <w:tab w:val="right" w:pos="8931"/>
        </w:tabs>
        <w:spacing w:line="360" w:lineRule="auto"/>
        <w:rPr>
          <w:bCs/>
          <w:spacing w:val="-3"/>
        </w:rPr>
      </w:pPr>
    </w:p>
    <w:p w14:paraId="35C49F47" w14:textId="77777777" w:rsidR="0091760B" w:rsidRDefault="00021646">
      <w:pPr>
        <w:tabs>
          <w:tab w:val="right" w:pos="8931"/>
        </w:tabs>
        <w:spacing w:line="360" w:lineRule="auto"/>
        <w:rPr>
          <w:b/>
          <w:spacing w:val="-3"/>
        </w:rPr>
      </w:pPr>
      <w:r>
        <w:rPr>
          <w:b/>
          <w:bCs/>
          <w:lang w:val="af-ZA"/>
        </w:rPr>
        <w:t>NUTRI FEEDS (PTY) LTD</w:t>
      </w:r>
      <w:r>
        <w:rPr>
          <w:b/>
          <w:spacing w:val="-3"/>
        </w:rPr>
        <w:tab/>
      </w:r>
      <w:r>
        <w:rPr>
          <w:bCs/>
          <w:spacing w:val="-3"/>
        </w:rPr>
        <w:t>Second Applicant / Second Defendant</w:t>
      </w:r>
    </w:p>
    <w:p w14:paraId="531F24E8" w14:textId="77777777" w:rsidR="0091760B" w:rsidRDefault="0091760B">
      <w:pPr>
        <w:tabs>
          <w:tab w:val="right" w:pos="8931"/>
        </w:tabs>
        <w:spacing w:line="360" w:lineRule="auto"/>
        <w:rPr>
          <w:b/>
          <w:bCs/>
          <w:lang w:val="af-ZA"/>
        </w:rPr>
      </w:pPr>
    </w:p>
    <w:p w14:paraId="6CD7C85F" w14:textId="77777777" w:rsidR="0091760B" w:rsidRDefault="0091760B">
      <w:pPr>
        <w:tabs>
          <w:tab w:val="right" w:pos="8931"/>
        </w:tabs>
        <w:spacing w:line="360" w:lineRule="auto"/>
        <w:rPr>
          <w:b/>
          <w:bCs/>
          <w:lang w:val="af-ZA"/>
        </w:rPr>
      </w:pPr>
    </w:p>
    <w:p w14:paraId="2D2EDA86" w14:textId="77777777" w:rsidR="0091760B" w:rsidRDefault="00021646">
      <w:pPr>
        <w:tabs>
          <w:tab w:val="right" w:pos="8931"/>
        </w:tabs>
        <w:spacing w:line="360" w:lineRule="auto"/>
        <w:rPr>
          <w:b/>
          <w:spacing w:val="-3"/>
        </w:rPr>
      </w:pPr>
      <w:r>
        <w:rPr>
          <w:b/>
          <w:bCs/>
          <w:lang w:val="af-ZA"/>
        </w:rPr>
        <w:t>ARBOUR ACRES (PTY) LTD</w:t>
      </w:r>
      <w:r>
        <w:rPr>
          <w:b/>
          <w:spacing w:val="-3"/>
        </w:rPr>
        <w:tab/>
      </w:r>
      <w:r>
        <w:rPr>
          <w:bCs/>
          <w:spacing w:val="-3"/>
        </w:rPr>
        <w:t>Third Applicant / Third Defendant</w:t>
      </w:r>
    </w:p>
    <w:p w14:paraId="798223D0" w14:textId="77777777" w:rsidR="0091760B" w:rsidRDefault="0091760B">
      <w:pPr>
        <w:tabs>
          <w:tab w:val="right" w:pos="8931"/>
        </w:tabs>
        <w:spacing w:line="360" w:lineRule="auto"/>
        <w:rPr>
          <w:bCs/>
          <w:spacing w:val="-3"/>
        </w:rPr>
      </w:pPr>
    </w:p>
    <w:p w14:paraId="10A4DA4D" w14:textId="77777777" w:rsidR="0091760B" w:rsidRDefault="0091760B">
      <w:pPr>
        <w:tabs>
          <w:tab w:val="right" w:pos="8931"/>
        </w:tabs>
        <w:spacing w:line="360" w:lineRule="auto"/>
        <w:rPr>
          <w:bCs/>
          <w:spacing w:val="-3"/>
        </w:rPr>
      </w:pPr>
    </w:p>
    <w:p w14:paraId="1F5779A4" w14:textId="77777777" w:rsidR="00EB60A6" w:rsidRDefault="00EB60A6">
      <w:pPr>
        <w:tabs>
          <w:tab w:val="right" w:pos="8931"/>
        </w:tabs>
        <w:spacing w:line="360" w:lineRule="auto"/>
        <w:rPr>
          <w:bCs/>
          <w:spacing w:val="-3"/>
        </w:rPr>
      </w:pPr>
    </w:p>
    <w:p w14:paraId="79E24EDC" w14:textId="77777777" w:rsidR="0091760B" w:rsidRDefault="00021646">
      <w:pPr>
        <w:tabs>
          <w:tab w:val="right" w:pos="8931"/>
        </w:tabs>
        <w:spacing w:line="360" w:lineRule="auto"/>
        <w:rPr>
          <w:bCs/>
          <w:spacing w:val="-3"/>
        </w:rPr>
      </w:pPr>
      <w:r>
        <w:rPr>
          <w:bCs/>
          <w:spacing w:val="-3"/>
        </w:rPr>
        <w:t>and</w:t>
      </w:r>
    </w:p>
    <w:p w14:paraId="79F8364B" w14:textId="77777777" w:rsidR="0091760B" w:rsidRDefault="0091760B">
      <w:pPr>
        <w:tabs>
          <w:tab w:val="right" w:pos="8931"/>
        </w:tabs>
        <w:spacing w:line="360" w:lineRule="auto"/>
        <w:rPr>
          <w:bCs/>
          <w:spacing w:val="-3"/>
        </w:rPr>
      </w:pPr>
    </w:p>
    <w:p w14:paraId="4247DC7F" w14:textId="77777777" w:rsidR="0091760B" w:rsidRDefault="0091760B">
      <w:pPr>
        <w:tabs>
          <w:tab w:val="right" w:pos="8931"/>
        </w:tabs>
        <w:spacing w:line="360" w:lineRule="auto"/>
        <w:rPr>
          <w:bCs/>
          <w:spacing w:val="-3"/>
        </w:rPr>
      </w:pPr>
    </w:p>
    <w:p w14:paraId="59E2DAB6" w14:textId="77777777" w:rsidR="0091760B" w:rsidRDefault="0091760B">
      <w:pPr>
        <w:tabs>
          <w:tab w:val="right" w:pos="8931"/>
        </w:tabs>
        <w:spacing w:line="360" w:lineRule="auto"/>
        <w:rPr>
          <w:bCs/>
          <w:spacing w:val="-3"/>
        </w:rPr>
      </w:pPr>
    </w:p>
    <w:p w14:paraId="6EED6B81" w14:textId="77777777" w:rsidR="0091760B" w:rsidRDefault="00021646">
      <w:pPr>
        <w:tabs>
          <w:tab w:val="right" w:pos="8931"/>
        </w:tabs>
        <w:spacing w:line="360" w:lineRule="auto"/>
        <w:rPr>
          <w:bCs/>
          <w:spacing w:val="-3"/>
        </w:rPr>
      </w:pPr>
      <w:r>
        <w:rPr>
          <w:b/>
          <w:bCs/>
          <w:lang w:val="af-ZA"/>
        </w:rPr>
        <w:t>SHAWN WILLIAMS N.O.</w:t>
      </w:r>
      <w:r>
        <w:rPr>
          <w:bCs/>
          <w:spacing w:val="-3"/>
        </w:rPr>
        <w:tab/>
        <w:t>First Respondent / First Plaintiff</w:t>
      </w:r>
    </w:p>
    <w:p w14:paraId="25422994" w14:textId="77777777" w:rsidR="0091760B" w:rsidRDefault="0091760B">
      <w:pPr>
        <w:tabs>
          <w:tab w:val="right" w:pos="8931"/>
        </w:tabs>
        <w:spacing w:line="360" w:lineRule="auto"/>
        <w:rPr>
          <w:bCs/>
          <w:spacing w:val="-3"/>
        </w:rPr>
      </w:pPr>
    </w:p>
    <w:p w14:paraId="7641D406" w14:textId="77777777" w:rsidR="001440DE" w:rsidRDefault="001440DE">
      <w:pPr>
        <w:tabs>
          <w:tab w:val="right" w:pos="8931"/>
        </w:tabs>
        <w:spacing w:line="360" w:lineRule="auto"/>
        <w:rPr>
          <w:bCs/>
          <w:spacing w:val="-3"/>
        </w:rPr>
      </w:pPr>
    </w:p>
    <w:p w14:paraId="566FF266" w14:textId="77777777" w:rsidR="0091760B" w:rsidRDefault="00021646">
      <w:pPr>
        <w:tabs>
          <w:tab w:val="right" w:pos="8931"/>
        </w:tabs>
        <w:spacing w:line="360" w:lineRule="auto"/>
        <w:rPr>
          <w:bCs/>
          <w:spacing w:val="-3"/>
        </w:rPr>
      </w:pPr>
      <w:r>
        <w:rPr>
          <w:b/>
          <w:bCs/>
          <w:lang w:val="af-ZA"/>
        </w:rPr>
        <w:t>JANINE ADELE SNYDERS N.O.</w:t>
      </w:r>
      <w:r>
        <w:rPr>
          <w:bCs/>
          <w:spacing w:val="-3"/>
        </w:rPr>
        <w:tab/>
        <w:t>Second Respondent / Second Plaintiff</w:t>
      </w:r>
    </w:p>
    <w:p w14:paraId="1FB31596" w14:textId="77777777" w:rsidR="0091760B" w:rsidRDefault="0091760B">
      <w:pPr>
        <w:tabs>
          <w:tab w:val="right" w:pos="8931"/>
        </w:tabs>
        <w:spacing w:line="360" w:lineRule="auto"/>
        <w:rPr>
          <w:b/>
          <w:bCs/>
          <w:lang w:val="af-ZA"/>
        </w:rPr>
      </w:pPr>
    </w:p>
    <w:p w14:paraId="344FEFDD" w14:textId="77777777" w:rsidR="001440DE" w:rsidRDefault="001440DE">
      <w:pPr>
        <w:tabs>
          <w:tab w:val="right" w:pos="8931"/>
        </w:tabs>
        <w:spacing w:line="360" w:lineRule="auto"/>
        <w:rPr>
          <w:b/>
          <w:bCs/>
          <w:lang w:val="af-ZA"/>
        </w:rPr>
      </w:pPr>
    </w:p>
    <w:p w14:paraId="79B1B8FD" w14:textId="77777777" w:rsidR="0091760B" w:rsidRDefault="00021646">
      <w:pPr>
        <w:tabs>
          <w:tab w:val="right" w:pos="8931"/>
        </w:tabs>
        <w:spacing w:line="360" w:lineRule="auto"/>
        <w:rPr>
          <w:bCs/>
          <w:spacing w:val="-3"/>
        </w:rPr>
      </w:pPr>
      <w:r>
        <w:rPr>
          <w:b/>
          <w:bCs/>
          <w:lang w:val="af-ZA"/>
        </w:rPr>
        <w:t>ZIYAD SONPRANO N.O.</w:t>
      </w:r>
      <w:r>
        <w:rPr>
          <w:bCs/>
          <w:spacing w:val="-3"/>
        </w:rPr>
        <w:tab/>
        <w:t>Third Respondent / Third Plaintiff</w:t>
      </w:r>
    </w:p>
    <w:p w14:paraId="3212BB98" w14:textId="77777777" w:rsidR="0091760B" w:rsidRDefault="0091760B">
      <w:pPr>
        <w:tabs>
          <w:tab w:val="right" w:pos="8931"/>
        </w:tabs>
        <w:spacing w:line="360" w:lineRule="auto"/>
        <w:rPr>
          <w:lang w:val="en-GB"/>
        </w:rPr>
      </w:pPr>
    </w:p>
    <w:p w14:paraId="13B38F76" w14:textId="77777777" w:rsidR="0091760B" w:rsidRDefault="0091760B">
      <w:pPr>
        <w:tabs>
          <w:tab w:val="right" w:pos="8931"/>
        </w:tabs>
        <w:spacing w:line="360" w:lineRule="auto"/>
        <w:rPr>
          <w:lang w:val="en-GB"/>
        </w:rPr>
      </w:pPr>
    </w:p>
    <w:p w14:paraId="6A936227" w14:textId="77777777" w:rsidR="0091760B" w:rsidRDefault="00021646">
      <w:pPr>
        <w:tabs>
          <w:tab w:val="right" w:pos="8931"/>
        </w:tabs>
        <w:spacing w:line="360" w:lineRule="auto"/>
        <w:rPr>
          <w:i/>
          <w:iCs/>
          <w:lang w:val="en-GB"/>
        </w:rPr>
      </w:pPr>
      <w:r>
        <w:rPr>
          <w:i/>
          <w:iCs/>
          <w:lang w:val="en-GB"/>
        </w:rPr>
        <w:t>Summary:</w:t>
      </w:r>
    </w:p>
    <w:p w14:paraId="33296C87" w14:textId="77777777" w:rsidR="0091760B" w:rsidRDefault="0091760B">
      <w:pPr>
        <w:tabs>
          <w:tab w:val="right" w:pos="8931"/>
        </w:tabs>
        <w:spacing w:line="360" w:lineRule="auto"/>
        <w:rPr>
          <w:lang w:val="en-GB"/>
        </w:rPr>
      </w:pPr>
    </w:p>
    <w:p w14:paraId="57354245" w14:textId="77777777" w:rsidR="0091760B" w:rsidRDefault="00021646">
      <w:pPr>
        <w:tabs>
          <w:tab w:val="right" w:pos="8931"/>
        </w:tabs>
        <w:spacing w:line="360" w:lineRule="auto"/>
        <w:ind w:left="709"/>
        <w:rPr>
          <w:i/>
          <w:iCs/>
          <w:sz w:val="20"/>
          <w:szCs w:val="20"/>
          <w:lang w:val="en-GB"/>
        </w:rPr>
      </w:pPr>
      <w:r>
        <w:rPr>
          <w:b/>
          <w:bCs/>
          <w:i/>
          <w:iCs/>
          <w:sz w:val="20"/>
          <w:szCs w:val="20"/>
          <w:lang w:val="en-GB"/>
        </w:rPr>
        <w:t xml:space="preserve">Rule </w:t>
      </w:r>
      <w:proofErr w:type="gramStart"/>
      <w:r>
        <w:rPr>
          <w:b/>
          <w:bCs/>
          <w:i/>
          <w:iCs/>
          <w:sz w:val="20"/>
          <w:szCs w:val="20"/>
          <w:lang w:val="en-GB"/>
        </w:rPr>
        <w:t xml:space="preserve">47 </w:t>
      </w:r>
      <w:r>
        <w:rPr>
          <w:i/>
          <w:iCs/>
          <w:sz w:val="20"/>
          <w:szCs w:val="20"/>
          <w:lang w:val="en-GB"/>
        </w:rPr>
        <w:t xml:space="preserve"> –</w:t>
      </w:r>
      <w:proofErr w:type="gramEnd"/>
      <w:r>
        <w:rPr>
          <w:i/>
          <w:iCs/>
          <w:sz w:val="20"/>
          <w:szCs w:val="20"/>
          <w:lang w:val="en-GB"/>
        </w:rPr>
        <w:t xml:space="preserve"> Security for Costs </w:t>
      </w:r>
      <w:r w:rsidR="007D414D">
        <w:rPr>
          <w:i/>
          <w:iCs/>
          <w:sz w:val="20"/>
          <w:szCs w:val="20"/>
          <w:lang w:val="en-GB"/>
        </w:rPr>
        <w:t>against</w:t>
      </w:r>
      <w:r>
        <w:rPr>
          <w:i/>
          <w:iCs/>
          <w:sz w:val="20"/>
          <w:szCs w:val="20"/>
          <w:lang w:val="en-GB"/>
        </w:rPr>
        <w:t xml:space="preserve"> liquidators – abuse of process – </w:t>
      </w:r>
      <w:r w:rsidR="007D414D">
        <w:rPr>
          <w:i/>
          <w:iCs/>
          <w:sz w:val="20"/>
          <w:szCs w:val="20"/>
          <w:lang w:val="en-GB"/>
        </w:rPr>
        <w:t>Prescription</w:t>
      </w:r>
    </w:p>
    <w:p w14:paraId="313C38FE" w14:textId="6FE28DC1" w:rsidR="007D414D" w:rsidRPr="00846D47" w:rsidRDefault="00846D47" w:rsidP="00846D47">
      <w:pPr>
        <w:spacing w:line="360" w:lineRule="auto"/>
        <w:ind w:left="1701" w:hanging="257"/>
        <w:rPr>
          <w:i/>
          <w:iCs/>
          <w:sz w:val="20"/>
          <w:szCs w:val="20"/>
          <w:lang w:val="en-GB"/>
        </w:rPr>
      </w:pPr>
      <w:r>
        <w:rPr>
          <w:iCs/>
          <w:sz w:val="20"/>
          <w:szCs w:val="20"/>
          <w:lang w:val="en-GB"/>
        </w:rPr>
        <w:t>-</w:t>
      </w:r>
      <w:r>
        <w:rPr>
          <w:iCs/>
          <w:sz w:val="20"/>
          <w:szCs w:val="20"/>
          <w:lang w:val="en-GB"/>
        </w:rPr>
        <w:tab/>
      </w:r>
      <w:r w:rsidR="007D414D" w:rsidRPr="00846D47">
        <w:rPr>
          <w:i/>
          <w:iCs/>
          <w:sz w:val="20"/>
          <w:szCs w:val="20"/>
          <w:lang w:val="en-GB"/>
        </w:rPr>
        <w:t>Section 31 of the Insolvency Act – Collusive dealing before sequestration</w:t>
      </w:r>
    </w:p>
    <w:p w14:paraId="6E633FA3" w14:textId="77777777" w:rsidR="0091760B" w:rsidRDefault="0091760B">
      <w:pPr>
        <w:tabs>
          <w:tab w:val="right" w:pos="8931"/>
        </w:tabs>
        <w:spacing w:line="360" w:lineRule="auto"/>
        <w:ind w:left="709"/>
        <w:rPr>
          <w:i/>
          <w:iCs/>
          <w:sz w:val="20"/>
          <w:szCs w:val="20"/>
          <w:lang w:val="en-GB"/>
        </w:rPr>
      </w:pPr>
    </w:p>
    <w:p w14:paraId="708D4879" w14:textId="77777777" w:rsidR="00EB60A6" w:rsidRDefault="00EB60A6">
      <w:pPr>
        <w:tabs>
          <w:tab w:val="right" w:pos="8931"/>
        </w:tabs>
        <w:spacing w:line="360" w:lineRule="auto"/>
        <w:ind w:left="709"/>
        <w:rPr>
          <w:i/>
          <w:iCs/>
          <w:sz w:val="20"/>
          <w:szCs w:val="20"/>
          <w:lang w:val="en-GB"/>
        </w:rPr>
      </w:pPr>
    </w:p>
    <w:p w14:paraId="77223853" w14:textId="77777777" w:rsidR="0091760B" w:rsidRDefault="0091760B">
      <w:pPr>
        <w:tabs>
          <w:tab w:val="right" w:pos="8931"/>
        </w:tabs>
        <w:spacing w:line="360" w:lineRule="auto"/>
        <w:rPr>
          <w:lang w:val="en-GB"/>
        </w:rPr>
      </w:pPr>
    </w:p>
    <w:p w14:paraId="76D7B76B" w14:textId="77777777" w:rsidR="0091760B" w:rsidRDefault="0091760B">
      <w:pPr>
        <w:pBdr>
          <w:top w:val="single" w:sz="4" w:space="1" w:color="000000"/>
        </w:pBdr>
        <w:spacing w:line="240" w:lineRule="auto"/>
      </w:pPr>
    </w:p>
    <w:p w14:paraId="4CA47A08" w14:textId="77777777" w:rsidR="00EB60A6" w:rsidRDefault="00EB60A6">
      <w:pPr>
        <w:spacing w:line="240" w:lineRule="auto"/>
        <w:jc w:val="center"/>
        <w:rPr>
          <w:b/>
        </w:rPr>
      </w:pPr>
    </w:p>
    <w:p w14:paraId="5CEA6FFA" w14:textId="77777777" w:rsidR="0091760B" w:rsidRDefault="00021646">
      <w:pPr>
        <w:spacing w:line="240" w:lineRule="auto"/>
        <w:jc w:val="center"/>
        <w:rPr>
          <w:b/>
        </w:rPr>
      </w:pPr>
      <w:r>
        <w:rPr>
          <w:b/>
        </w:rPr>
        <w:t>JUDGEMENT</w:t>
      </w:r>
    </w:p>
    <w:p w14:paraId="28D6B951" w14:textId="77777777" w:rsidR="00EB60A6" w:rsidRDefault="00EB60A6">
      <w:pPr>
        <w:spacing w:line="240" w:lineRule="auto"/>
        <w:jc w:val="center"/>
      </w:pPr>
    </w:p>
    <w:p w14:paraId="509016B1" w14:textId="77777777" w:rsidR="0091760B" w:rsidRDefault="0091760B">
      <w:pPr>
        <w:pBdr>
          <w:bottom w:val="single" w:sz="4" w:space="1" w:color="000000"/>
        </w:pBdr>
        <w:spacing w:line="240" w:lineRule="auto"/>
      </w:pPr>
    </w:p>
    <w:p w14:paraId="42C35BF8" w14:textId="77777777" w:rsidR="0091760B" w:rsidRDefault="0091760B"/>
    <w:p w14:paraId="5BAC0080" w14:textId="77777777" w:rsidR="0091760B" w:rsidRDefault="00021646">
      <w:pPr>
        <w:rPr>
          <w:b/>
          <w:bCs/>
          <w:u w:val="single"/>
        </w:rPr>
      </w:pPr>
      <w:r>
        <w:rPr>
          <w:b/>
          <w:bCs/>
          <w:u w:val="single"/>
        </w:rPr>
        <w:t>Z KHAN AJ</w:t>
      </w:r>
    </w:p>
    <w:p w14:paraId="709C0C4F" w14:textId="77777777" w:rsidR="0091760B" w:rsidRDefault="0091760B"/>
    <w:p w14:paraId="2D911C6D" w14:textId="77777777" w:rsidR="00EB60A6" w:rsidRPr="00AA39F1" w:rsidRDefault="00AA39F1">
      <w:pPr>
        <w:rPr>
          <w:u w:val="single"/>
        </w:rPr>
      </w:pPr>
      <w:r w:rsidRPr="00AA39F1">
        <w:rPr>
          <w:u w:val="single"/>
        </w:rPr>
        <w:t>BACKGROUND</w:t>
      </w:r>
    </w:p>
    <w:p w14:paraId="32FC4077" w14:textId="77777777" w:rsidR="00AA39F1" w:rsidRDefault="00AA39F1"/>
    <w:p w14:paraId="1241D7EB" w14:textId="43693C4C" w:rsidR="00A02018" w:rsidRDefault="00846D47" w:rsidP="00846D47">
      <w:pPr>
        <w:pStyle w:val="NUM1"/>
        <w:numPr>
          <w:ilvl w:val="0"/>
          <w:numId w:val="0"/>
        </w:numPr>
        <w:tabs>
          <w:tab w:val="left" w:pos="720"/>
        </w:tabs>
        <w:ind w:left="720" w:hanging="720"/>
      </w:pPr>
      <w:r>
        <w:rPr>
          <w:caps/>
        </w:rPr>
        <w:t>[1]</w:t>
      </w:r>
      <w:r>
        <w:rPr>
          <w:caps/>
        </w:rPr>
        <w:tab/>
      </w:r>
      <w:r w:rsidR="00A02018">
        <w:t xml:space="preserve">The Applicants seek security for costs in terms of Uniform Rule 47. The </w:t>
      </w:r>
      <w:r w:rsidR="00FD2383">
        <w:t xml:space="preserve">Applicants </w:t>
      </w:r>
      <w:r w:rsidR="00A02018">
        <w:t xml:space="preserve">request for security for costs is premised on the Respondents action </w:t>
      </w:r>
      <w:r w:rsidR="00215DB5">
        <w:t xml:space="preserve">against them </w:t>
      </w:r>
      <w:r w:rsidR="00A02018">
        <w:t>be</w:t>
      </w:r>
      <w:r w:rsidR="00FD2383">
        <w:t>ing</w:t>
      </w:r>
      <w:r w:rsidR="00A02018">
        <w:t xml:space="preserve"> </w:t>
      </w:r>
      <w:r w:rsidR="00A91FEC">
        <w:t>a</w:t>
      </w:r>
      <w:r w:rsidR="00A02018">
        <w:t xml:space="preserve">n abuse of Court. </w:t>
      </w:r>
      <w:r w:rsidR="001B47E8">
        <w:t xml:space="preserve">The Respondents refuse both the request for security and </w:t>
      </w:r>
      <w:r w:rsidR="00EB60A6">
        <w:t xml:space="preserve">the </w:t>
      </w:r>
      <w:r w:rsidR="001B47E8">
        <w:t xml:space="preserve">amount </w:t>
      </w:r>
      <w:r w:rsidR="00CF0E45">
        <w:t xml:space="preserve">of R1’500’000.00 </w:t>
      </w:r>
      <w:r w:rsidR="00EB60A6">
        <w:t xml:space="preserve">demanded by Applicants, </w:t>
      </w:r>
      <w:r w:rsidR="001B47E8">
        <w:t>for security.</w:t>
      </w:r>
    </w:p>
    <w:p w14:paraId="03051F2D" w14:textId="77777777" w:rsidR="00891F23" w:rsidRDefault="00891F23" w:rsidP="00891F23">
      <w:pPr>
        <w:pStyle w:val="NUM1"/>
        <w:numPr>
          <w:ilvl w:val="0"/>
          <w:numId w:val="0"/>
        </w:numPr>
        <w:ind w:left="720"/>
      </w:pPr>
    </w:p>
    <w:p w14:paraId="7689BBCA" w14:textId="34D0A57B" w:rsidR="00CF0E45" w:rsidRDefault="00846D47" w:rsidP="00846D47">
      <w:pPr>
        <w:pStyle w:val="NUM1"/>
        <w:numPr>
          <w:ilvl w:val="0"/>
          <w:numId w:val="0"/>
        </w:numPr>
        <w:tabs>
          <w:tab w:val="left" w:pos="720"/>
        </w:tabs>
        <w:ind w:left="720" w:hanging="720"/>
      </w:pPr>
      <w:r>
        <w:rPr>
          <w:caps/>
        </w:rPr>
        <w:t>[2]</w:t>
      </w:r>
      <w:r>
        <w:rPr>
          <w:caps/>
        </w:rPr>
        <w:tab/>
      </w:r>
      <w:r w:rsidR="00891F23">
        <w:t>Mike’s Chicken (Pty) Ltd was placed under voluntary business rescue on 1 July 2016.  The business rescue practitioner, who is cited as a Defendant in the principal litigation, later concluded that there was no reasonable prospect of rescuing the business</w:t>
      </w:r>
      <w:r w:rsidR="00632C77">
        <w:t xml:space="preserve">. The </w:t>
      </w:r>
      <w:r w:rsidR="00891F23">
        <w:t xml:space="preserve">business rescue proceedings were </w:t>
      </w:r>
      <w:proofErr w:type="gramStart"/>
      <w:r w:rsidR="00891F23">
        <w:t>discontinued</w:t>
      </w:r>
      <w:proofErr w:type="gramEnd"/>
      <w:r w:rsidR="00891F23">
        <w:t xml:space="preserve"> and the Company </w:t>
      </w:r>
      <w:r w:rsidR="00CF4232">
        <w:t xml:space="preserve">was </w:t>
      </w:r>
      <w:r w:rsidR="00891F23">
        <w:t xml:space="preserve">placed in </w:t>
      </w:r>
      <w:r w:rsidR="00A57FC8">
        <w:t>liquidation on</w:t>
      </w:r>
      <w:r w:rsidR="00632C77">
        <w:t xml:space="preserve"> 16 July 2019</w:t>
      </w:r>
      <w:r w:rsidR="00891F23">
        <w:t>.</w:t>
      </w:r>
      <w:r w:rsidR="00CF0E45">
        <w:t xml:space="preserve"> </w:t>
      </w:r>
      <w:r w:rsidR="00891F23">
        <w:t xml:space="preserve">The Respondents were appointed as </w:t>
      </w:r>
      <w:r w:rsidR="00CF0E45">
        <w:t xml:space="preserve">joint </w:t>
      </w:r>
      <w:r w:rsidR="00891F23">
        <w:t>liquidators on 13 November 2019.</w:t>
      </w:r>
    </w:p>
    <w:p w14:paraId="1CF6284D" w14:textId="77777777" w:rsidR="00CF0E45" w:rsidRDefault="00CF0E45" w:rsidP="00CF0E45">
      <w:pPr>
        <w:pStyle w:val="NUM1"/>
        <w:numPr>
          <w:ilvl w:val="0"/>
          <w:numId w:val="0"/>
        </w:numPr>
        <w:ind w:left="720"/>
      </w:pPr>
    </w:p>
    <w:p w14:paraId="2A74DC61" w14:textId="643DE03E" w:rsidR="000E3CEB" w:rsidRDefault="00846D47" w:rsidP="00846D47">
      <w:pPr>
        <w:pStyle w:val="NUM1"/>
        <w:numPr>
          <w:ilvl w:val="0"/>
          <w:numId w:val="0"/>
        </w:numPr>
        <w:tabs>
          <w:tab w:val="left" w:pos="720"/>
        </w:tabs>
        <w:ind w:left="720" w:hanging="720"/>
      </w:pPr>
      <w:r>
        <w:rPr>
          <w:caps/>
        </w:rPr>
        <w:t>[3]</w:t>
      </w:r>
      <w:r>
        <w:rPr>
          <w:caps/>
        </w:rPr>
        <w:tab/>
      </w:r>
      <w:r w:rsidR="00891F23">
        <w:t xml:space="preserve"> </w:t>
      </w:r>
      <w:r w:rsidR="00662E1B">
        <w:t>A</w:t>
      </w:r>
      <w:r w:rsidR="00891F23">
        <w:t xml:space="preserve"> summons </w:t>
      </w:r>
      <w:r w:rsidR="00662E1B">
        <w:t xml:space="preserve">was issued </w:t>
      </w:r>
      <w:r w:rsidR="00891F23">
        <w:t xml:space="preserve">against the Applicants </w:t>
      </w:r>
      <w:r w:rsidR="00FD0742">
        <w:t xml:space="preserve">(and other parties not seeking security in this application) </w:t>
      </w:r>
      <w:r w:rsidR="00662E1B">
        <w:t xml:space="preserve">on </w:t>
      </w:r>
      <w:r w:rsidR="00891F23">
        <w:t xml:space="preserve">15 December 2022 </w:t>
      </w:r>
      <w:r w:rsidR="00662E1B">
        <w:t>and served</w:t>
      </w:r>
      <w:r w:rsidR="00891F23">
        <w:t xml:space="preserve"> on the Applicants on 19 January 2023. </w:t>
      </w:r>
      <w:r w:rsidR="000E3CEB">
        <w:t xml:space="preserve">The relief sought in the summons is for, </w:t>
      </w:r>
      <w:r w:rsidR="000E3CEB" w:rsidRPr="00265503">
        <w:rPr>
          <w:i/>
          <w:iCs/>
        </w:rPr>
        <w:t>inter alia</w:t>
      </w:r>
      <w:r w:rsidR="00265503">
        <w:rPr>
          <w:i/>
          <w:iCs/>
        </w:rPr>
        <w:t>,</w:t>
      </w:r>
    </w:p>
    <w:p w14:paraId="603736E0" w14:textId="77777777" w:rsidR="000E3CEB" w:rsidRDefault="000E3CEB" w:rsidP="000E3CEB">
      <w:r>
        <w:t>“</w:t>
      </w:r>
    </w:p>
    <w:p w14:paraId="41410DB6" w14:textId="133E9DF1" w:rsidR="000E3CEB" w:rsidRPr="00846D47" w:rsidRDefault="00846D47" w:rsidP="00846D47">
      <w:pPr>
        <w:ind w:left="1418" w:right="1088" w:hanging="698"/>
        <w:rPr>
          <w:rFonts w:ascii="Times New Roman" w:hAnsi="Times New Roman" w:cs="Times New Roman"/>
        </w:rPr>
      </w:pPr>
      <w:proofErr w:type="spellStart"/>
      <w:r w:rsidRPr="00520C0B">
        <w:rPr>
          <w:rFonts w:ascii="Times New Roman" w:hAnsi="Times New Roman" w:cs="Times New Roman"/>
        </w:rPr>
        <w:t>i</w:t>
      </w:r>
      <w:proofErr w:type="spellEnd"/>
      <w:r w:rsidRPr="00520C0B">
        <w:rPr>
          <w:rFonts w:ascii="Times New Roman" w:hAnsi="Times New Roman" w:cs="Times New Roman"/>
        </w:rPr>
        <w:t>)</w:t>
      </w:r>
      <w:r w:rsidRPr="00520C0B">
        <w:rPr>
          <w:rFonts w:ascii="Times New Roman" w:hAnsi="Times New Roman" w:cs="Times New Roman"/>
        </w:rPr>
        <w:tab/>
      </w:r>
      <w:r w:rsidR="000E3CEB" w:rsidRPr="00846D47">
        <w:rPr>
          <w:rFonts w:ascii="Times New Roman" w:hAnsi="Times New Roman" w:cs="Times New Roman"/>
        </w:rPr>
        <w:t xml:space="preserve">To the extent necessary, for the </w:t>
      </w:r>
      <w:r w:rsidR="00530B65" w:rsidRPr="00846D47">
        <w:rPr>
          <w:rFonts w:ascii="Times New Roman" w:hAnsi="Times New Roman" w:cs="Times New Roman"/>
        </w:rPr>
        <w:t>Day-Old</w:t>
      </w:r>
      <w:r w:rsidR="000E3CEB" w:rsidRPr="00846D47">
        <w:rPr>
          <w:rFonts w:ascii="Times New Roman" w:hAnsi="Times New Roman" w:cs="Times New Roman"/>
        </w:rPr>
        <w:t xml:space="preserve"> Chick agreement (…) to be set </w:t>
      </w:r>
      <w:proofErr w:type="gramStart"/>
      <w:r w:rsidR="000E3CEB" w:rsidRPr="00846D47">
        <w:rPr>
          <w:rFonts w:ascii="Times New Roman" w:hAnsi="Times New Roman" w:cs="Times New Roman"/>
        </w:rPr>
        <w:t>aside;</w:t>
      </w:r>
      <w:proofErr w:type="gramEnd"/>
    </w:p>
    <w:p w14:paraId="77B7CCE4" w14:textId="5743A064" w:rsidR="000E3CEB" w:rsidRPr="00846D47" w:rsidRDefault="00846D47" w:rsidP="00846D47">
      <w:pPr>
        <w:ind w:left="1418" w:right="1088" w:hanging="698"/>
        <w:rPr>
          <w:rFonts w:ascii="Times New Roman" w:hAnsi="Times New Roman" w:cs="Times New Roman"/>
        </w:rPr>
      </w:pPr>
      <w:r w:rsidRPr="00520C0B">
        <w:rPr>
          <w:rFonts w:ascii="Times New Roman" w:hAnsi="Times New Roman" w:cs="Times New Roman"/>
        </w:rPr>
        <w:t>ii)</w:t>
      </w:r>
      <w:r w:rsidRPr="00520C0B">
        <w:rPr>
          <w:rFonts w:ascii="Times New Roman" w:hAnsi="Times New Roman" w:cs="Times New Roman"/>
        </w:rPr>
        <w:tab/>
      </w:r>
      <w:r w:rsidR="000E3CEB" w:rsidRPr="00846D47">
        <w:rPr>
          <w:rFonts w:ascii="Times New Roman" w:hAnsi="Times New Roman" w:cs="Times New Roman"/>
        </w:rPr>
        <w:t>Against the fourth defendant, payment of the amount of R7,</w:t>
      </w:r>
      <w:proofErr w:type="gramStart"/>
      <w:r w:rsidR="000E3CEB" w:rsidRPr="00846D47">
        <w:rPr>
          <w:rFonts w:ascii="Times New Roman" w:hAnsi="Times New Roman" w:cs="Times New Roman"/>
        </w:rPr>
        <w:t>056,000.00;</w:t>
      </w:r>
      <w:proofErr w:type="gramEnd"/>
    </w:p>
    <w:p w14:paraId="613C357F" w14:textId="7CA3269A" w:rsidR="000E3CEB" w:rsidRPr="00846D47" w:rsidRDefault="00846D47" w:rsidP="00846D47">
      <w:pPr>
        <w:ind w:left="1418" w:right="1088" w:hanging="698"/>
        <w:rPr>
          <w:rFonts w:ascii="Times New Roman" w:hAnsi="Times New Roman" w:cs="Times New Roman"/>
        </w:rPr>
      </w:pPr>
      <w:r w:rsidRPr="00520C0B">
        <w:rPr>
          <w:rFonts w:ascii="Times New Roman" w:hAnsi="Times New Roman" w:cs="Times New Roman"/>
        </w:rPr>
        <w:t>iii)</w:t>
      </w:r>
      <w:r w:rsidRPr="00520C0B">
        <w:rPr>
          <w:rFonts w:ascii="Times New Roman" w:hAnsi="Times New Roman" w:cs="Times New Roman"/>
        </w:rPr>
        <w:tab/>
      </w:r>
      <w:r w:rsidR="000E3CEB" w:rsidRPr="00846D47">
        <w:rPr>
          <w:rFonts w:ascii="Times New Roman" w:hAnsi="Times New Roman" w:cs="Times New Roman"/>
        </w:rPr>
        <w:t>Against the third defendant, payment of the amount of R21,2450,000.00</w:t>
      </w:r>
    </w:p>
    <w:p w14:paraId="5DDD2DEA" w14:textId="77777777" w:rsidR="000E3CEB" w:rsidRDefault="000E3CEB" w:rsidP="000E3CEB">
      <w:pPr>
        <w:pStyle w:val="NUM1"/>
        <w:numPr>
          <w:ilvl w:val="0"/>
          <w:numId w:val="0"/>
        </w:numPr>
        <w:ind w:left="720"/>
        <w:jc w:val="right"/>
      </w:pPr>
      <w:r>
        <w:t>“</w:t>
      </w:r>
    </w:p>
    <w:p w14:paraId="09374F9D" w14:textId="77777777" w:rsidR="00265503" w:rsidRPr="00265503" w:rsidRDefault="00265503" w:rsidP="00265503"/>
    <w:p w14:paraId="29F5F934" w14:textId="1ABBC691" w:rsidR="00FD2383" w:rsidRDefault="00846D47" w:rsidP="00846D47">
      <w:pPr>
        <w:pStyle w:val="NUM1"/>
        <w:numPr>
          <w:ilvl w:val="0"/>
          <w:numId w:val="0"/>
        </w:numPr>
        <w:tabs>
          <w:tab w:val="left" w:pos="720"/>
        </w:tabs>
        <w:ind w:left="720" w:hanging="720"/>
      </w:pPr>
      <w:r>
        <w:rPr>
          <w:caps/>
        </w:rPr>
        <w:t>[4]</w:t>
      </w:r>
      <w:r>
        <w:rPr>
          <w:caps/>
        </w:rPr>
        <w:tab/>
      </w:r>
      <w:r w:rsidR="00FD2383">
        <w:t xml:space="preserve">The Respondents </w:t>
      </w:r>
      <w:r w:rsidR="00265503">
        <w:t>firstly seek</w:t>
      </w:r>
      <w:r w:rsidR="00FD2383">
        <w:t xml:space="preserve"> the setting aside of an agreement dated 19 September 2016, concluded between the Applicants and the Business Rescue Practitioner of the now liquidated </w:t>
      </w:r>
      <w:r w:rsidR="00530B65">
        <w:t>C</w:t>
      </w:r>
      <w:r w:rsidR="00FD2383">
        <w:t xml:space="preserve">ompany. The Respondents allege that the </w:t>
      </w:r>
      <w:r w:rsidR="00FD2383">
        <w:lastRenderedPageBreak/>
        <w:t>agreement is the product of collusion</w:t>
      </w:r>
      <w:r w:rsidR="008A7D28">
        <w:t>,</w:t>
      </w:r>
      <w:r w:rsidR="00520C0B">
        <w:rPr>
          <w:rStyle w:val="FootnoteReference"/>
        </w:rPr>
        <w:footnoteReference w:id="1"/>
      </w:r>
      <w:r w:rsidR="00FD2383">
        <w:t xml:space="preserve"> to the detriment of the body of creditors of the liquidated Company. The </w:t>
      </w:r>
      <w:r w:rsidR="00265503">
        <w:t xml:space="preserve">further relief for the payment of monies is predicated </w:t>
      </w:r>
      <w:r w:rsidR="00C67F5D">
        <w:t>upon</w:t>
      </w:r>
      <w:r w:rsidR="00265503">
        <w:t xml:space="preserve"> the </w:t>
      </w:r>
      <w:r w:rsidR="00FD2383">
        <w:t>agreement</w:t>
      </w:r>
      <w:r w:rsidR="00215DB5">
        <w:t xml:space="preserve"> to be expunged</w:t>
      </w:r>
      <w:r w:rsidR="00265503">
        <w:t>.</w:t>
      </w:r>
    </w:p>
    <w:p w14:paraId="5C65F816" w14:textId="77777777" w:rsidR="00FD2383" w:rsidRDefault="00FD2383" w:rsidP="00FD2383">
      <w:pPr>
        <w:pStyle w:val="NUM1"/>
        <w:numPr>
          <w:ilvl w:val="0"/>
          <w:numId w:val="0"/>
        </w:numPr>
        <w:ind w:left="720"/>
      </w:pPr>
    </w:p>
    <w:p w14:paraId="4EEB46AC" w14:textId="23554EC6" w:rsidR="00CF0E45" w:rsidRDefault="00846D47" w:rsidP="00846D47">
      <w:pPr>
        <w:pStyle w:val="NUM1"/>
        <w:numPr>
          <w:ilvl w:val="0"/>
          <w:numId w:val="0"/>
        </w:numPr>
        <w:tabs>
          <w:tab w:val="left" w:pos="720"/>
        </w:tabs>
        <w:ind w:left="720" w:hanging="720"/>
      </w:pPr>
      <w:r>
        <w:rPr>
          <w:caps/>
        </w:rPr>
        <w:t>[5]</w:t>
      </w:r>
      <w:r>
        <w:rPr>
          <w:caps/>
        </w:rPr>
        <w:tab/>
      </w:r>
      <w:r w:rsidR="00B81D94">
        <w:t xml:space="preserve">The Applicants </w:t>
      </w:r>
      <w:r w:rsidR="00530B65">
        <w:t>retort by way of special plea</w:t>
      </w:r>
      <w:r w:rsidR="00B81D94">
        <w:t xml:space="preserve"> that the claims against them have become prescribed in terms of section 11</w:t>
      </w:r>
      <w:r w:rsidR="009E7F80">
        <w:t>(d)</w:t>
      </w:r>
      <w:r w:rsidR="00B81D94">
        <w:t xml:space="preserve"> of the Prescription Act, 68 of 1969. Applicants assert that the Respondents persistence with the prescribed claim is an abuse of the </w:t>
      </w:r>
      <w:r w:rsidR="00530B65">
        <w:t>c</w:t>
      </w:r>
      <w:r w:rsidR="00B81D94">
        <w:t xml:space="preserve">ourt process and warrants security for costs. </w:t>
      </w:r>
    </w:p>
    <w:p w14:paraId="330316CB" w14:textId="77777777" w:rsidR="00CF0E45" w:rsidRDefault="00CF0E45" w:rsidP="00CF0E45">
      <w:pPr>
        <w:pStyle w:val="NUM1"/>
        <w:numPr>
          <w:ilvl w:val="0"/>
          <w:numId w:val="0"/>
        </w:numPr>
        <w:ind w:left="720"/>
      </w:pPr>
    </w:p>
    <w:p w14:paraId="188E2937" w14:textId="56D7794C" w:rsidR="00B81D94" w:rsidRDefault="00846D47" w:rsidP="00846D47">
      <w:pPr>
        <w:pStyle w:val="NUM1"/>
        <w:numPr>
          <w:ilvl w:val="0"/>
          <w:numId w:val="0"/>
        </w:numPr>
        <w:tabs>
          <w:tab w:val="left" w:pos="720"/>
        </w:tabs>
        <w:ind w:left="720" w:hanging="720"/>
      </w:pPr>
      <w:r>
        <w:rPr>
          <w:caps/>
        </w:rPr>
        <w:t>[6]</w:t>
      </w:r>
      <w:r>
        <w:rPr>
          <w:caps/>
        </w:rPr>
        <w:tab/>
      </w:r>
      <w:r w:rsidR="00B81D94">
        <w:t xml:space="preserve">Applicants also refer to the report of the </w:t>
      </w:r>
      <w:r w:rsidR="009E7F80">
        <w:t>Respondents</w:t>
      </w:r>
      <w:r w:rsidR="00530B65">
        <w:t xml:space="preserve"> as liquidators</w:t>
      </w:r>
      <w:r w:rsidR="003C5C40">
        <w:t>,</w:t>
      </w:r>
      <w:r w:rsidR="00B81D94">
        <w:t xml:space="preserve"> issued in terms of section 402 of the Companies Act, 1973, that the </w:t>
      </w:r>
      <w:r w:rsidR="00C67F5D">
        <w:t>C</w:t>
      </w:r>
      <w:r w:rsidR="00B81D94">
        <w:t>ompany has no assets</w:t>
      </w:r>
      <w:r w:rsidR="009E7F80">
        <w:t xml:space="preserve">. </w:t>
      </w:r>
      <w:r w:rsidR="001E2371">
        <w:t xml:space="preserve">It is </w:t>
      </w:r>
      <w:r w:rsidR="009E7F80">
        <w:t>conclude</w:t>
      </w:r>
      <w:r w:rsidR="001E2371">
        <w:t>d</w:t>
      </w:r>
      <w:r w:rsidR="009E7F80">
        <w:t xml:space="preserve"> that </w:t>
      </w:r>
      <w:r w:rsidR="00C67F5D">
        <w:t xml:space="preserve">the </w:t>
      </w:r>
      <w:r w:rsidR="009E7F80">
        <w:t>Respondent</w:t>
      </w:r>
      <w:r w:rsidR="00530B65">
        <w:t>s</w:t>
      </w:r>
      <w:r w:rsidR="009E7F80">
        <w:t xml:space="preserve"> can</w:t>
      </w:r>
      <w:r w:rsidR="00B81D94">
        <w:t xml:space="preserve">not satisfy any cost order that might be granted in favour of the Applicants, </w:t>
      </w:r>
      <w:proofErr w:type="gramStart"/>
      <w:r w:rsidR="00B81D94">
        <w:t>in the event that</w:t>
      </w:r>
      <w:proofErr w:type="gramEnd"/>
      <w:r w:rsidR="00B81D94">
        <w:t xml:space="preserve"> Applicants are finally successful in the main litigation. </w:t>
      </w:r>
    </w:p>
    <w:p w14:paraId="20CFD0B0" w14:textId="77777777" w:rsidR="00B81D94" w:rsidRPr="00B81D94" w:rsidRDefault="00B81D94" w:rsidP="00B81D94"/>
    <w:p w14:paraId="5F85C222" w14:textId="1E30F298" w:rsidR="00530B65" w:rsidRDefault="00846D47" w:rsidP="00846D47">
      <w:pPr>
        <w:pStyle w:val="NUM1"/>
        <w:numPr>
          <w:ilvl w:val="0"/>
          <w:numId w:val="0"/>
        </w:numPr>
        <w:tabs>
          <w:tab w:val="left" w:pos="720"/>
        </w:tabs>
        <w:ind w:left="720" w:hanging="720"/>
      </w:pPr>
      <w:r>
        <w:rPr>
          <w:caps/>
        </w:rPr>
        <w:t>[7]</w:t>
      </w:r>
      <w:r>
        <w:rPr>
          <w:caps/>
        </w:rPr>
        <w:tab/>
      </w:r>
      <w:r w:rsidR="00021646">
        <w:t xml:space="preserve">The Respondents replicated by referring to section 32(3) of the Insolvency Act, 24 of 1936 which allows for the recovery of any property, including a </w:t>
      </w:r>
      <w:proofErr w:type="gramStart"/>
      <w:r w:rsidR="00021646">
        <w:t>debt, once</w:t>
      </w:r>
      <w:proofErr w:type="gramEnd"/>
      <w:r w:rsidR="00021646">
        <w:t xml:space="preserve"> a court sets aside an unlawful disposition.  Hence, Respondents argue that prescription </w:t>
      </w:r>
      <w:r w:rsidR="003C5C40">
        <w:t xml:space="preserve">(for the claiming of the monies) </w:t>
      </w:r>
      <w:r w:rsidR="00021646">
        <w:t xml:space="preserve">will only commence in terms of section 12 of the Prescription </w:t>
      </w:r>
      <w:proofErr w:type="gramStart"/>
      <w:r w:rsidR="00021646">
        <w:t>Act</w:t>
      </w:r>
      <w:r w:rsidR="00A02018">
        <w:t xml:space="preserve">, </w:t>
      </w:r>
      <w:r w:rsidR="00021646">
        <w:t>once</w:t>
      </w:r>
      <w:proofErr w:type="gramEnd"/>
      <w:r w:rsidR="00021646">
        <w:t xml:space="preserve"> a disposition is set aside by a court and not before. </w:t>
      </w:r>
    </w:p>
    <w:p w14:paraId="29757628" w14:textId="77777777" w:rsidR="00530B65" w:rsidRPr="00530B65" w:rsidRDefault="00530B65" w:rsidP="00530B65"/>
    <w:p w14:paraId="1A42B446" w14:textId="6A92D637" w:rsidR="0091760B" w:rsidRDefault="00846D47" w:rsidP="00846D47">
      <w:pPr>
        <w:pStyle w:val="NUM1"/>
        <w:numPr>
          <w:ilvl w:val="0"/>
          <w:numId w:val="0"/>
        </w:numPr>
        <w:tabs>
          <w:tab w:val="left" w:pos="720"/>
        </w:tabs>
        <w:ind w:left="720" w:hanging="720"/>
      </w:pPr>
      <w:r>
        <w:rPr>
          <w:caps/>
        </w:rPr>
        <w:lastRenderedPageBreak/>
        <w:t>[8]</w:t>
      </w:r>
      <w:r>
        <w:rPr>
          <w:caps/>
        </w:rPr>
        <w:tab/>
      </w:r>
      <w:r w:rsidR="001060D4">
        <w:t xml:space="preserve">The setting aside of the agreement is the first prayer in the particulars of claim and this </w:t>
      </w:r>
      <w:r w:rsidR="003C5C40">
        <w:t>is the precursor for</w:t>
      </w:r>
      <w:r w:rsidR="001060D4">
        <w:t xml:space="preserve"> the remaining relief for payment of monies.</w:t>
      </w:r>
    </w:p>
    <w:p w14:paraId="0C0AAFCF" w14:textId="77777777" w:rsidR="0091760B" w:rsidRDefault="0091760B"/>
    <w:p w14:paraId="11074B87" w14:textId="6E3E6418" w:rsidR="000E3CEB" w:rsidRDefault="00846D47" w:rsidP="00846D47">
      <w:pPr>
        <w:pStyle w:val="NUM1"/>
        <w:numPr>
          <w:ilvl w:val="0"/>
          <w:numId w:val="0"/>
        </w:numPr>
        <w:tabs>
          <w:tab w:val="left" w:pos="720"/>
        </w:tabs>
        <w:ind w:left="720" w:hanging="720"/>
      </w:pPr>
      <w:r>
        <w:rPr>
          <w:caps/>
        </w:rPr>
        <w:t>[9]</w:t>
      </w:r>
      <w:r>
        <w:rPr>
          <w:caps/>
        </w:rPr>
        <w:tab/>
      </w:r>
      <w:r w:rsidR="000E3CEB">
        <w:t xml:space="preserve">In the answering affidavit to the application for security, the Respondents </w:t>
      </w:r>
      <w:r w:rsidR="00280653">
        <w:t>take the view that the prayer for the setting aside of the agreement does not constitute a debt</w:t>
      </w:r>
      <w:r w:rsidR="00D4557B">
        <w:t xml:space="preserve"> and is thus not susceptible to prescription</w:t>
      </w:r>
      <w:r w:rsidR="00280653">
        <w:t xml:space="preserve">. They </w:t>
      </w:r>
      <w:r w:rsidR="000E3CEB">
        <w:t>say</w:t>
      </w:r>
      <w:r w:rsidR="00D132B4">
        <w:t>:</w:t>
      </w:r>
      <w:r w:rsidR="000E3CEB">
        <w:t xml:space="preserve"> </w:t>
      </w:r>
    </w:p>
    <w:p w14:paraId="5FE93DC7" w14:textId="77777777" w:rsidR="000E3CEB" w:rsidRDefault="000E3CEB" w:rsidP="000E3CEB">
      <w:pPr>
        <w:pStyle w:val="NUM1"/>
        <w:numPr>
          <w:ilvl w:val="0"/>
          <w:numId w:val="0"/>
        </w:numPr>
        <w:ind w:left="720"/>
      </w:pPr>
    </w:p>
    <w:p w14:paraId="11F3DCED" w14:textId="77777777" w:rsidR="0091760B" w:rsidRPr="00E73E58" w:rsidRDefault="000E3CEB" w:rsidP="00E73E58">
      <w:pPr>
        <w:pStyle w:val="NUM1"/>
        <w:numPr>
          <w:ilvl w:val="0"/>
          <w:numId w:val="0"/>
        </w:numPr>
        <w:ind w:left="1134" w:right="662" w:hanging="414"/>
        <w:rPr>
          <w:rFonts w:ascii="Times New Roman" w:hAnsi="Times New Roman" w:cs="Times New Roman"/>
        </w:rPr>
      </w:pPr>
      <w:r w:rsidRPr="00E73E58">
        <w:rPr>
          <w:rFonts w:ascii="Times New Roman" w:hAnsi="Times New Roman" w:cs="Times New Roman"/>
        </w:rPr>
        <w:t>’13. It is denied that a collusive disposition which requires this Court to declare such disposition to have occurred (as a declaration of rights) can prescribe.’</w:t>
      </w:r>
    </w:p>
    <w:p w14:paraId="536F3D93" w14:textId="77777777" w:rsidR="000E3CEB" w:rsidRDefault="000E3CEB" w:rsidP="000E3CEB"/>
    <w:p w14:paraId="6D9A0332" w14:textId="26FDB611" w:rsidR="00CF0E45" w:rsidRDefault="00846D47" w:rsidP="00846D47">
      <w:pPr>
        <w:pStyle w:val="NUM1"/>
        <w:numPr>
          <w:ilvl w:val="0"/>
          <w:numId w:val="0"/>
        </w:numPr>
        <w:tabs>
          <w:tab w:val="left" w:pos="720"/>
        </w:tabs>
        <w:ind w:left="720" w:hanging="720"/>
      </w:pPr>
      <w:r>
        <w:rPr>
          <w:caps/>
        </w:rPr>
        <w:t>[10]</w:t>
      </w:r>
      <w:r>
        <w:rPr>
          <w:caps/>
        </w:rPr>
        <w:tab/>
      </w:r>
      <w:r w:rsidR="00CF0E45">
        <w:t>The Applicants, in addition to the prescription argument, also raise a complaint that there is no cause of action pleaded by the Respondents.</w:t>
      </w:r>
    </w:p>
    <w:p w14:paraId="48798A5A" w14:textId="77777777" w:rsidR="00CF0E45" w:rsidRDefault="00CF0E45" w:rsidP="00CF0E45">
      <w:pPr>
        <w:pStyle w:val="NUM1"/>
        <w:numPr>
          <w:ilvl w:val="0"/>
          <w:numId w:val="0"/>
        </w:numPr>
      </w:pPr>
    </w:p>
    <w:p w14:paraId="79BD7BD4" w14:textId="77777777" w:rsidR="007B54B9" w:rsidRDefault="007B54B9" w:rsidP="007B54B9">
      <w:pPr>
        <w:pStyle w:val="NUM1"/>
        <w:numPr>
          <w:ilvl w:val="0"/>
          <w:numId w:val="0"/>
        </w:numPr>
      </w:pPr>
    </w:p>
    <w:p w14:paraId="75446BC0" w14:textId="77777777" w:rsidR="00AA39F1" w:rsidRPr="00AA39F1" w:rsidRDefault="00AA39F1" w:rsidP="00AA39F1">
      <w:pPr>
        <w:rPr>
          <w:u w:val="single"/>
        </w:rPr>
      </w:pPr>
      <w:r w:rsidRPr="00AA39F1">
        <w:rPr>
          <w:u w:val="single"/>
        </w:rPr>
        <w:t>THE LAW</w:t>
      </w:r>
    </w:p>
    <w:p w14:paraId="5CE688C7" w14:textId="77777777" w:rsidR="00AA39F1" w:rsidRPr="00AA39F1" w:rsidRDefault="00AA39F1" w:rsidP="00AA39F1"/>
    <w:p w14:paraId="131A2704" w14:textId="2DAB7D96" w:rsidR="009843BD" w:rsidRDefault="00846D47" w:rsidP="00846D47">
      <w:pPr>
        <w:pStyle w:val="NUM1"/>
        <w:numPr>
          <w:ilvl w:val="0"/>
          <w:numId w:val="0"/>
        </w:numPr>
        <w:tabs>
          <w:tab w:val="left" w:pos="720"/>
        </w:tabs>
        <w:ind w:left="720" w:hanging="720"/>
      </w:pPr>
      <w:r>
        <w:rPr>
          <w:caps/>
        </w:rPr>
        <w:t>[11]</w:t>
      </w:r>
      <w:r>
        <w:rPr>
          <w:caps/>
        </w:rPr>
        <w:tab/>
      </w:r>
      <w:r w:rsidR="00866249" w:rsidRPr="00866249">
        <w:t>The power to grant security for costs is based on the residual discretion of courts</w:t>
      </w:r>
      <w:r w:rsidR="00F340B9">
        <w:t>,</w:t>
      </w:r>
      <w:r w:rsidR="00866249" w:rsidRPr="00866249">
        <w:t xml:space="preserve"> arising from their inherent jurisdiction to regulate their proceedings</w:t>
      </w:r>
      <w:r w:rsidR="008A7D28">
        <w:t>.</w:t>
      </w:r>
      <w:r w:rsidR="00582751">
        <w:rPr>
          <w:rStyle w:val="FootnoteReference"/>
        </w:rPr>
        <w:footnoteReference w:id="2"/>
      </w:r>
      <w:r w:rsidR="00866249" w:rsidRPr="00866249">
        <w:t xml:space="preserve">  </w:t>
      </w:r>
      <w:r w:rsidR="006F765E">
        <w:t xml:space="preserve">This </w:t>
      </w:r>
      <w:r w:rsidR="00866249" w:rsidRPr="00866249">
        <w:t xml:space="preserve">discretion must be exercised sparingly and with due regard </w:t>
      </w:r>
      <w:r w:rsidR="00B64745" w:rsidRPr="00866249">
        <w:t>to Constitutional</w:t>
      </w:r>
      <w:r w:rsidR="006F765E">
        <w:t xml:space="preserve"> rights</w:t>
      </w:r>
      <w:r w:rsidR="00866249" w:rsidRPr="00866249">
        <w:t>.</w:t>
      </w:r>
    </w:p>
    <w:p w14:paraId="6D578D6E" w14:textId="77777777" w:rsidR="00866249" w:rsidRPr="00866249" w:rsidRDefault="00866249" w:rsidP="00866249"/>
    <w:p w14:paraId="52D9B204" w14:textId="4304E3FF" w:rsidR="00AA39F1" w:rsidRDefault="00846D47" w:rsidP="00846D47">
      <w:pPr>
        <w:pStyle w:val="NUM1"/>
        <w:numPr>
          <w:ilvl w:val="0"/>
          <w:numId w:val="0"/>
        </w:numPr>
        <w:tabs>
          <w:tab w:val="left" w:pos="720"/>
        </w:tabs>
        <w:ind w:left="720" w:hanging="720"/>
      </w:pPr>
      <w:r>
        <w:rPr>
          <w:caps/>
        </w:rPr>
        <w:t>[12]</w:t>
      </w:r>
      <w:r>
        <w:rPr>
          <w:caps/>
        </w:rPr>
        <w:tab/>
      </w:r>
      <w:r w:rsidR="00021646">
        <w:t>The inability to pay costs to a successful party in litigation is not</w:t>
      </w:r>
      <w:r w:rsidR="00FB1C56">
        <w:t>,</w:t>
      </w:r>
      <w:r w:rsidR="00021646">
        <w:t xml:space="preserve"> by itself</w:t>
      </w:r>
      <w:r w:rsidR="00FB1C56">
        <w:t>,</w:t>
      </w:r>
      <w:r w:rsidR="00021646">
        <w:t xml:space="preserve"> grounds for the granting of security. There </w:t>
      </w:r>
      <w:proofErr w:type="gramStart"/>
      <w:r w:rsidR="00021646">
        <w:t>has to</w:t>
      </w:r>
      <w:proofErr w:type="gramEnd"/>
      <w:r w:rsidR="00021646">
        <w:t xml:space="preserve"> be more</w:t>
      </w:r>
      <w:r w:rsidR="00377001">
        <w:t>,</w:t>
      </w:r>
      <w:r w:rsidR="00FB1C56">
        <w:t xml:space="preserve"> </w:t>
      </w:r>
      <w:r w:rsidR="00377001">
        <w:t xml:space="preserve">in that </w:t>
      </w:r>
      <w:r w:rsidR="00B56521">
        <w:t>the litigation</w:t>
      </w:r>
      <w:r w:rsidR="00FB1C56">
        <w:t xml:space="preserve"> </w:t>
      </w:r>
      <w:r w:rsidR="00B56521">
        <w:lastRenderedPageBreak/>
        <w:t>must</w:t>
      </w:r>
      <w:r w:rsidR="00377001">
        <w:t xml:space="preserve"> amount </w:t>
      </w:r>
      <w:r w:rsidR="00B56521">
        <w:t xml:space="preserve">to </w:t>
      </w:r>
      <w:r w:rsidR="00FB1C56">
        <w:t>abuse</w:t>
      </w:r>
      <w:r w:rsidR="008A7D28">
        <w:t>.</w:t>
      </w:r>
      <w:r w:rsidR="00FB1C56">
        <w:rPr>
          <w:rStyle w:val="FootnoteReference"/>
        </w:rPr>
        <w:footnoteReference w:id="3"/>
      </w:r>
      <w:r w:rsidR="00021646">
        <w:t xml:space="preserve"> </w:t>
      </w:r>
      <w:r w:rsidR="00FB1C56">
        <w:t xml:space="preserve">An unsustainable action would constitute </w:t>
      </w:r>
      <w:r w:rsidR="00377001">
        <w:t xml:space="preserve">such </w:t>
      </w:r>
      <w:r w:rsidR="00FB1C56">
        <w:t>an abuse.</w:t>
      </w:r>
      <w:r w:rsidR="001D04EF">
        <w:t xml:space="preserve"> This </w:t>
      </w:r>
      <w:r w:rsidR="00A27F51">
        <w:t>consideration</w:t>
      </w:r>
      <w:r w:rsidR="001D04EF" w:rsidRPr="001D04EF">
        <w:t xml:space="preserve"> deter</w:t>
      </w:r>
      <w:r w:rsidR="001D04EF">
        <w:t>s</w:t>
      </w:r>
      <w:r w:rsidR="001D04EF" w:rsidRPr="001D04EF">
        <w:t xml:space="preserve"> would-be plaintiffs from instituting proceedings vexatiously or in circumstances where their prospects of success are poor.</w:t>
      </w:r>
    </w:p>
    <w:p w14:paraId="048F2371" w14:textId="77777777" w:rsidR="00AA39F1" w:rsidRPr="00AA39F1" w:rsidRDefault="00AA39F1" w:rsidP="00AA39F1"/>
    <w:p w14:paraId="024F4D51" w14:textId="7A5FA9E0" w:rsidR="00BB21B5" w:rsidRDefault="00846D47" w:rsidP="00846D47">
      <w:pPr>
        <w:pStyle w:val="NUM1"/>
        <w:numPr>
          <w:ilvl w:val="0"/>
          <w:numId w:val="0"/>
        </w:numPr>
        <w:tabs>
          <w:tab w:val="left" w:pos="720"/>
        </w:tabs>
        <w:ind w:left="720" w:hanging="720"/>
      </w:pPr>
      <w:r>
        <w:rPr>
          <w:caps/>
        </w:rPr>
        <w:t>[13]</w:t>
      </w:r>
      <w:r>
        <w:rPr>
          <w:caps/>
        </w:rPr>
        <w:tab/>
      </w:r>
      <w:r w:rsidR="00BB21B5" w:rsidRPr="00BB21B5">
        <w:t xml:space="preserve">The test to be applied is one of a ‘preponderance of </w:t>
      </w:r>
      <w:proofErr w:type="gramStart"/>
      <w:r w:rsidR="008A7D28" w:rsidRPr="00BB21B5">
        <w:t>probabilities</w:t>
      </w:r>
      <w:r w:rsidR="008A7D28">
        <w:t>’</w:t>
      </w:r>
      <w:proofErr w:type="gramEnd"/>
      <w:r w:rsidR="008A7D28">
        <w:t>.</w:t>
      </w:r>
      <w:r w:rsidR="00BB21B5">
        <w:rPr>
          <w:rStyle w:val="FootnoteReference"/>
        </w:rPr>
        <w:footnoteReference w:id="4"/>
      </w:r>
      <w:r w:rsidR="00BB21B5" w:rsidRPr="00BB21B5">
        <w:t xml:space="preserve"> A court deciding upon security for costs walks a tightrope in that it must not finally decide the merits of the matter</w:t>
      </w:r>
      <w:r w:rsidR="00BB21B5">
        <w:t>,</w:t>
      </w:r>
      <w:r w:rsidR="00BB21B5" w:rsidRPr="00BB21B5">
        <w:t xml:space="preserve"> whilst at the same time casting a view upon the prospects of success of the matter.</w:t>
      </w:r>
      <w:r w:rsidR="00BB21B5">
        <w:t xml:space="preserve"> As Streicher JA stated in </w:t>
      </w:r>
      <w:proofErr w:type="spellStart"/>
      <w:r w:rsidR="00BB21B5" w:rsidRPr="00BB21B5">
        <w:t>Zietsman</w:t>
      </w:r>
      <w:proofErr w:type="spellEnd"/>
      <w:r w:rsidR="00BB21B5" w:rsidRPr="00BB21B5">
        <w:t xml:space="preserve"> v Electronic Media Network Ltd and Another</w:t>
      </w:r>
      <w:r w:rsidR="00BB21B5">
        <w:rPr>
          <w:rStyle w:val="FootnoteReference"/>
        </w:rPr>
        <w:footnoteReference w:id="5"/>
      </w:r>
    </w:p>
    <w:p w14:paraId="3755D6CC" w14:textId="77777777" w:rsidR="00BB21B5" w:rsidRDefault="00BB21B5" w:rsidP="00BB21B5"/>
    <w:p w14:paraId="731E16B1" w14:textId="77777777" w:rsidR="00BB21B5" w:rsidRPr="00BB21B5" w:rsidRDefault="00BB21B5" w:rsidP="00E73E58">
      <w:pPr>
        <w:ind w:left="1276" w:right="662" w:hanging="567"/>
        <w:rPr>
          <w:rFonts w:ascii="Times New Roman" w:hAnsi="Times New Roman" w:cs="Times New Roman"/>
        </w:rPr>
      </w:pPr>
      <w:r w:rsidRPr="00BB21B5">
        <w:rPr>
          <w:rFonts w:ascii="Times New Roman" w:hAnsi="Times New Roman" w:cs="Times New Roman"/>
        </w:rPr>
        <w:t xml:space="preserve">[21] I am not suggesting that a court should in an application for security attempt to resolve the dispute between the parties. Such a requirement would frustrate the purpose for which security is sought. The extent to which it is practicable to </w:t>
      </w:r>
      <w:proofErr w:type="gramStart"/>
      <w:r w:rsidRPr="00BB21B5">
        <w:rPr>
          <w:rFonts w:ascii="Times New Roman" w:hAnsi="Times New Roman" w:cs="Times New Roman"/>
        </w:rPr>
        <w:t>make an assessment of</w:t>
      </w:r>
      <w:proofErr w:type="gramEnd"/>
      <w:r w:rsidRPr="00BB21B5">
        <w:rPr>
          <w:rFonts w:ascii="Times New Roman" w:hAnsi="Times New Roman" w:cs="Times New Roman"/>
        </w:rPr>
        <w:t xml:space="preserve"> a party's prospects of success would depend on the nature of the dispute in each case.</w:t>
      </w:r>
    </w:p>
    <w:p w14:paraId="64597930" w14:textId="77777777" w:rsidR="00BB21B5" w:rsidRPr="00BB21B5" w:rsidRDefault="00BB21B5" w:rsidP="00BB21B5"/>
    <w:p w14:paraId="578B0E10" w14:textId="77777777" w:rsidR="00BB21B5" w:rsidRDefault="00BB21B5" w:rsidP="00BB21B5">
      <w:pPr>
        <w:pStyle w:val="NUM1"/>
        <w:numPr>
          <w:ilvl w:val="0"/>
          <w:numId w:val="0"/>
        </w:numPr>
        <w:ind w:left="720"/>
      </w:pPr>
    </w:p>
    <w:p w14:paraId="0CA75DAC" w14:textId="36DDE9D0" w:rsidR="001C7CA0" w:rsidRDefault="00846D47" w:rsidP="00846D47">
      <w:pPr>
        <w:pStyle w:val="NUM1"/>
        <w:numPr>
          <w:ilvl w:val="0"/>
          <w:numId w:val="0"/>
        </w:numPr>
        <w:tabs>
          <w:tab w:val="left" w:pos="720"/>
        </w:tabs>
        <w:ind w:left="720" w:hanging="720"/>
      </w:pPr>
      <w:r>
        <w:rPr>
          <w:caps/>
        </w:rPr>
        <w:t>[14]</w:t>
      </w:r>
      <w:r>
        <w:rPr>
          <w:caps/>
        </w:rPr>
        <w:tab/>
      </w:r>
      <w:r w:rsidR="001C7CA0">
        <w:t xml:space="preserve">The Constitutional Court, in </w:t>
      </w:r>
      <w:proofErr w:type="spellStart"/>
      <w:r w:rsidR="001C7CA0">
        <w:t>Giddey</w:t>
      </w:r>
      <w:proofErr w:type="spellEnd"/>
      <w:r w:rsidR="001C7CA0">
        <w:t xml:space="preserve"> NO v JC Barnard and Partners, in considering the purpose of section 13 of Act 61 of 1973</w:t>
      </w:r>
      <w:r w:rsidR="00FB0AC9">
        <w:t xml:space="preserve"> (as it then was)</w:t>
      </w:r>
      <w:r w:rsidR="00BB21B5">
        <w:t>,</w:t>
      </w:r>
      <w:r w:rsidR="00582751">
        <w:t xml:space="preserve"> </w:t>
      </w:r>
      <w:r w:rsidR="001C7CA0">
        <w:t xml:space="preserve">with </w:t>
      </w:r>
      <w:r w:rsidR="001C7CA0">
        <w:lastRenderedPageBreak/>
        <w:t>the view to clarify the proper application of the statutory provision, stated as follows:</w:t>
      </w:r>
    </w:p>
    <w:p w14:paraId="0BC14B81" w14:textId="77777777" w:rsidR="001C7CA0" w:rsidRDefault="001C7CA0" w:rsidP="001C7CA0">
      <w:pPr>
        <w:pStyle w:val="NUM1"/>
        <w:numPr>
          <w:ilvl w:val="0"/>
          <w:numId w:val="0"/>
        </w:numPr>
        <w:ind w:left="720"/>
      </w:pPr>
    </w:p>
    <w:p w14:paraId="117A5A4D" w14:textId="77777777" w:rsidR="00A81F52" w:rsidRPr="00BB21B5" w:rsidRDefault="001C7CA0" w:rsidP="00E73E58">
      <w:pPr>
        <w:pStyle w:val="NUM1"/>
        <w:numPr>
          <w:ilvl w:val="0"/>
          <w:numId w:val="0"/>
        </w:numPr>
        <w:ind w:left="720" w:right="662"/>
        <w:rPr>
          <w:rFonts w:ascii="Times New Roman" w:hAnsi="Times New Roman" w:cs="Times New Roman"/>
        </w:rPr>
      </w:pPr>
      <w:r w:rsidRPr="00BB21B5">
        <w:rPr>
          <w:rFonts w:ascii="Times New Roman" w:hAnsi="Times New Roman" w:cs="Times New Roman"/>
        </w:rPr>
        <w:t xml:space="preserve">“A salutary effect of the ordinary rule of costs – that unsuccessful litigants must pay the costs of their opponents – is to deter would-be plaintiffs from instituting proceedings vexatiously or in circumstances where their prospects of success are poor. Where a limited liability company will be unable to pay its debts, that salutary effect may well be attenuated. </w:t>
      </w:r>
      <w:r w:rsidR="00530B65" w:rsidRPr="00BB21B5">
        <w:rPr>
          <w:rFonts w:ascii="Times New Roman" w:hAnsi="Times New Roman" w:cs="Times New Roman"/>
        </w:rPr>
        <w:t>Thus,</w:t>
      </w:r>
      <w:r w:rsidRPr="00BB21B5">
        <w:rPr>
          <w:rFonts w:ascii="Times New Roman" w:hAnsi="Times New Roman" w:cs="Times New Roman"/>
        </w:rPr>
        <w:t xml:space="preserve"> the main purpose of section 13 is to ensure that companies, who are unlikely to be able to pay costs and therefore not effectively at risk of an adverse costs order if unsuccessful, do not institute litigation vexatiously or in circumstances where they have no prospects of success thus causing their opponents unnecessary and irrecoverable legal expense.”</w:t>
      </w:r>
    </w:p>
    <w:p w14:paraId="1DE6E58F" w14:textId="77777777" w:rsidR="00A81F52" w:rsidRDefault="00A81F52" w:rsidP="00FB1C56">
      <w:pPr>
        <w:pStyle w:val="NUM1"/>
        <w:numPr>
          <w:ilvl w:val="0"/>
          <w:numId w:val="0"/>
        </w:numPr>
        <w:ind w:left="720"/>
      </w:pPr>
    </w:p>
    <w:p w14:paraId="3E017185" w14:textId="616D3D84" w:rsidR="00221425" w:rsidRDefault="00846D47" w:rsidP="00846D47">
      <w:pPr>
        <w:pStyle w:val="NUM1"/>
        <w:numPr>
          <w:ilvl w:val="0"/>
          <w:numId w:val="0"/>
        </w:numPr>
        <w:tabs>
          <w:tab w:val="left" w:pos="720"/>
        </w:tabs>
        <w:ind w:left="720" w:hanging="720"/>
      </w:pPr>
      <w:r>
        <w:rPr>
          <w:caps/>
        </w:rPr>
        <w:t>[15]</w:t>
      </w:r>
      <w:r>
        <w:rPr>
          <w:caps/>
        </w:rPr>
        <w:tab/>
      </w:r>
      <w:r w:rsidR="00221425">
        <w:t>A</w:t>
      </w:r>
      <w:r w:rsidR="00221425" w:rsidRPr="00221425">
        <w:t xml:space="preserve"> </w:t>
      </w:r>
      <w:r w:rsidR="00221425">
        <w:t>C</w:t>
      </w:r>
      <w:r w:rsidR="00221425" w:rsidRPr="00221425">
        <w:t>ourt’s discretion ought not to be fettered by preconceived points of departure</w:t>
      </w:r>
      <w:r w:rsidR="00221425">
        <w:t xml:space="preserve"> in an enquiry as to whether security should be awarded.</w:t>
      </w:r>
      <w:r w:rsidR="00221425">
        <w:rPr>
          <w:rStyle w:val="FootnoteReference"/>
        </w:rPr>
        <w:footnoteReference w:id="6"/>
      </w:r>
      <w:r w:rsidR="00221425">
        <w:t xml:space="preserve"> T</w:t>
      </w:r>
      <w:r w:rsidR="00221425" w:rsidRPr="00221425">
        <w:t xml:space="preserve">he Court may take into consideration the nature of the claim and the </w:t>
      </w:r>
      <w:r w:rsidR="00E73E58" w:rsidRPr="00221425">
        <w:t>defence;</w:t>
      </w:r>
      <w:r w:rsidR="00221425" w:rsidRPr="00221425">
        <w:t xml:space="preserve"> </w:t>
      </w:r>
      <w:r w:rsidR="00221425">
        <w:t>however</w:t>
      </w:r>
      <w:r w:rsidR="00BB3D0A">
        <w:t>,</w:t>
      </w:r>
      <w:r w:rsidR="00221425" w:rsidRPr="00221425">
        <w:t xml:space="preserve"> the </w:t>
      </w:r>
      <w:r w:rsidR="00BB3D0A">
        <w:t xml:space="preserve">ultimate </w:t>
      </w:r>
      <w:r w:rsidR="00221425" w:rsidRPr="00221425">
        <w:t xml:space="preserve">merits of the </w:t>
      </w:r>
      <w:r w:rsidR="00E73E58">
        <w:t>parties’</w:t>
      </w:r>
      <w:r w:rsidR="00221425">
        <w:t xml:space="preserve"> cases</w:t>
      </w:r>
      <w:r w:rsidR="00221425" w:rsidRPr="00221425">
        <w:t xml:space="preserve"> are </w:t>
      </w:r>
      <w:r w:rsidR="00221425">
        <w:t>usually</w:t>
      </w:r>
      <w:r w:rsidR="00221425" w:rsidRPr="00221425">
        <w:t xml:space="preserve"> irrelevant in deciding whether a </w:t>
      </w:r>
      <w:r w:rsidR="00221425">
        <w:t>security</w:t>
      </w:r>
      <w:r w:rsidR="00221425" w:rsidRPr="00221425">
        <w:t xml:space="preserve"> should be ordered. </w:t>
      </w:r>
      <w:r w:rsidR="00221425">
        <w:t>T</w:t>
      </w:r>
      <w:r w:rsidR="00221425" w:rsidRPr="00221425">
        <w:t xml:space="preserve">he Court considering </w:t>
      </w:r>
      <w:proofErr w:type="gramStart"/>
      <w:r w:rsidR="00221425" w:rsidRPr="00221425">
        <w:t>whether or not</w:t>
      </w:r>
      <w:proofErr w:type="gramEnd"/>
      <w:r w:rsidR="00221425" w:rsidRPr="00221425">
        <w:t xml:space="preserve"> security should be ordered should also have regard to considerations of equity and fairness to both parties.</w:t>
      </w:r>
      <w:r w:rsidR="00221425">
        <w:rPr>
          <w:rStyle w:val="FootnoteReference"/>
        </w:rPr>
        <w:footnoteReference w:id="7"/>
      </w:r>
    </w:p>
    <w:p w14:paraId="586CDB99" w14:textId="77777777" w:rsidR="00221425" w:rsidRDefault="00221425" w:rsidP="00221425">
      <w:pPr>
        <w:pStyle w:val="NUM1"/>
        <w:numPr>
          <w:ilvl w:val="0"/>
          <w:numId w:val="0"/>
        </w:numPr>
        <w:ind w:left="720"/>
      </w:pPr>
    </w:p>
    <w:p w14:paraId="63316614" w14:textId="75DE04DB" w:rsidR="005A1B44" w:rsidRDefault="00846D47" w:rsidP="00846D47">
      <w:pPr>
        <w:pStyle w:val="NUM1"/>
        <w:numPr>
          <w:ilvl w:val="0"/>
          <w:numId w:val="0"/>
        </w:numPr>
        <w:tabs>
          <w:tab w:val="left" w:pos="720"/>
        </w:tabs>
        <w:ind w:left="720" w:hanging="720"/>
      </w:pPr>
      <w:r>
        <w:rPr>
          <w:caps/>
        </w:rPr>
        <w:lastRenderedPageBreak/>
        <w:t>[16]</w:t>
      </w:r>
      <w:r>
        <w:rPr>
          <w:caps/>
        </w:rPr>
        <w:tab/>
      </w:r>
      <w:r w:rsidR="00991F41">
        <w:t>A</w:t>
      </w:r>
      <w:r w:rsidR="00B24788">
        <w:t xml:space="preserve"> claim by </w:t>
      </w:r>
      <w:r w:rsidR="00991F41">
        <w:t>a</w:t>
      </w:r>
      <w:r w:rsidR="00B24788">
        <w:t xml:space="preserve"> liquidation to set aside a</w:t>
      </w:r>
      <w:r w:rsidR="003C5C40">
        <w:t>n</w:t>
      </w:r>
      <w:r w:rsidR="00B24788">
        <w:t xml:space="preserve"> impeachable transaction </w:t>
      </w:r>
      <w:r w:rsidR="00991F41">
        <w:t xml:space="preserve">ordinarily </w:t>
      </w:r>
      <w:r w:rsidR="00B24788">
        <w:t>begins to run from the date of appointment of the liquidator.</w:t>
      </w:r>
      <w:r w:rsidR="00BC7F4A">
        <w:rPr>
          <w:rStyle w:val="FootnoteReference"/>
        </w:rPr>
        <w:footnoteReference w:id="8"/>
      </w:r>
      <w:r w:rsidR="00BC7F4A">
        <w:t xml:space="preserve"> </w:t>
      </w:r>
      <w:r w:rsidR="00063BCB">
        <w:t xml:space="preserve">In the present matter, the Respondents hold the view that the claim against the Applicants </w:t>
      </w:r>
      <w:r w:rsidR="005A1B44">
        <w:t xml:space="preserve">for the payment of the monies, </w:t>
      </w:r>
      <w:r w:rsidR="00063BCB">
        <w:t>will</w:t>
      </w:r>
      <w:r w:rsidR="00530B65">
        <w:t xml:space="preserve"> only </w:t>
      </w:r>
      <w:r w:rsidR="00063BCB">
        <w:t>begin running once the Court grants them relief in terms of their first prayer to set aside the implicated agreement due to collusion</w:t>
      </w:r>
      <w:r w:rsidR="00FB1C56">
        <w:t>.</w:t>
      </w:r>
      <w:r w:rsidR="002E50D2">
        <w:t xml:space="preserve"> </w:t>
      </w:r>
      <w:r w:rsidR="005A1B44">
        <w:t>The Respondent</w:t>
      </w:r>
      <w:r w:rsidR="002E50D2">
        <w:t>s</w:t>
      </w:r>
      <w:r w:rsidR="005A1B44">
        <w:t xml:space="preserve"> </w:t>
      </w:r>
      <w:r w:rsidR="00D336CE">
        <w:t>view</w:t>
      </w:r>
      <w:r w:rsidR="005A1B44">
        <w:t xml:space="preserve"> the money </w:t>
      </w:r>
      <w:r w:rsidR="002E50D2">
        <w:t xml:space="preserve">portion of the </w:t>
      </w:r>
      <w:r w:rsidR="005A1B44">
        <w:t xml:space="preserve">claim as being the debt. </w:t>
      </w:r>
    </w:p>
    <w:p w14:paraId="792603E0" w14:textId="77777777" w:rsidR="005A1B44" w:rsidRDefault="005A1B44" w:rsidP="005A1B44">
      <w:pPr>
        <w:pStyle w:val="NUM1"/>
        <w:numPr>
          <w:ilvl w:val="0"/>
          <w:numId w:val="0"/>
        </w:numPr>
        <w:ind w:left="720"/>
      </w:pPr>
    </w:p>
    <w:p w14:paraId="426F96D2" w14:textId="478C8BDA" w:rsidR="00063BCB" w:rsidRDefault="00846D47" w:rsidP="00846D47">
      <w:pPr>
        <w:pStyle w:val="NUM1"/>
        <w:numPr>
          <w:ilvl w:val="0"/>
          <w:numId w:val="0"/>
        </w:numPr>
        <w:tabs>
          <w:tab w:val="left" w:pos="720"/>
        </w:tabs>
        <w:ind w:left="720" w:hanging="720"/>
      </w:pPr>
      <w:r>
        <w:rPr>
          <w:caps/>
        </w:rPr>
        <w:t>[17]</w:t>
      </w:r>
      <w:r>
        <w:rPr>
          <w:caps/>
        </w:rPr>
        <w:tab/>
      </w:r>
      <w:r w:rsidR="002E50D2">
        <w:t xml:space="preserve">The Applicants argued in accordance with </w:t>
      </w:r>
      <w:r w:rsidR="00063BCB">
        <w:rPr>
          <w:i/>
          <w:iCs/>
        </w:rPr>
        <w:t>Duet</w:t>
      </w:r>
      <w:r w:rsidR="00063BCB">
        <w:t xml:space="preserve">, </w:t>
      </w:r>
      <w:r w:rsidR="002E50D2">
        <w:t xml:space="preserve">where </w:t>
      </w:r>
      <w:r w:rsidR="00063BCB">
        <w:t xml:space="preserve">the </w:t>
      </w:r>
      <w:r w:rsidR="001D5CBC">
        <w:t>Court stated</w:t>
      </w:r>
      <w:r w:rsidR="00063BCB">
        <w:t>:</w:t>
      </w:r>
    </w:p>
    <w:p w14:paraId="4DF9C63D" w14:textId="77777777" w:rsidR="00063BCB" w:rsidRDefault="00063BCB" w:rsidP="00063BCB"/>
    <w:p w14:paraId="0236E4BC" w14:textId="77777777" w:rsidR="00530B65" w:rsidRDefault="00BB3D0A" w:rsidP="00E73E58">
      <w:pPr>
        <w:ind w:left="851" w:right="662" w:hanging="709"/>
        <w:rPr>
          <w:rFonts w:ascii="Times New Roman" w:hAnsi="Times New Roman" w:cs="Times New Roman"/>
          <w:sz w:val="26"/>
          <w:szCs w:val="26"/>
        </w:rPr>
      </w:pPr>
      <w:r>
        <w:rPr>
          <w:rFonts w:ascii="Times New Roman" w:hAnsi="Times New Roman" w:cs="Times New Roman"/>
          <w:sz w:val="26"/>
          <w:szCs w:val="26"/>
        </w:rPr>
        <w:t>‘</w:t>
      </w:r>
      <w:r w:rsidR="00C436F0" w:rsidRPr="00BB3D0A">
        <w:rPr>
          <w:rFonts w:ascii="Times New Roman" w:hAnsi="Times New Roman" w:cs="Times New Roman"/>
          <w:sz w:val="26"/>
          <w:szCs w:val="26"/>
        </w:rPr>
        <w:t xml:space="preserve">[12] The sections of the Insolvency Act with which we are concerned are not merely a novel procedure for enforcing existing debts. They create for liquidators a remedy in addition to any remedies that might be available at common law. It might be that the liquidators have a claim against Mr Koster for recovery of a present debt under the common law remedies for fraud, or under the </w:t>
      </w:r>
      <w:proofErr w:type="spellStart"/>
      <w:r w:rsidR="00C436F0" w:rsidRPr="00BB3D0A">
        <w:rPr>
          <w:rFonts w:ascii="Times New Roman" w:hAnsi="Times New Roman" w:cs="Times New Roman"/>
          <w:i/>
          <w:iCs/>
          <w:sz w:val="26"/>
          <w:szCs w:val="26"/>
        </w:rPr>
        <w:t>actio</w:t>
      </w:r>
      <w:proofErr w:type="spellEnd"/>
      <w:r w:rsidR="00C436F0" w:rsidRPr="00BB3D0A">
        <w:rPr>
          <w:rFonts w:ascii="Times New Roman" w:hAnsi="Times New Roman" w:cs="Times New Roman"/>
          <w:i/>
          <w:iCs/>
          <w:sz w:val="26"/>
          <w:szCs w:val="26"/>
        </w:rPr>
        <w:t xml:space="preserve"> </w:t>
      </w:r>
      <w:proofErr w:type="spellStart"/>
      <w:r w:rsidR="00C436F0" w:rsidRPr="00BB3D0A">
        <w:rPr>
          <w:rFonts w:ascii="Times New Roman" w:hAnsi="Times New Roman" w:cs="Times New Roman"/>
          <w:i/>
          <w:iCs/>
          <w:sz w:val="26"/>
          <w:szCs w:val="26"/>
        </w:rPr>
        <w:t>Pauliana</w:t>
      </w:r>
      <w:proofErr w:type="spellEnd"/>
      <w:r w:rsidR="00C436F0" w:rsidRPr="00BB3D0A">
        <w:rPr>
          <w:rFonts w:ascii="Times New Roman" w:hAnsi="Times New Roman" w:cs="Times New Roman"/>
          <w:sz w:val="26"/>
          <w:szCs w:val="26"/>
        </w:rPr>
        <w:t xml:space="preserve">, but they are not pursuing remedies of that kind. In addition to those remedies the Insolvency Act creates a different and wider remedy that is given to liquidators to recover assets that have been removed from an estate before insolvency. </w:t>
      </w:r>
      <w:r>
        <w:rPr>
          <w:rFonts w:ascii="Times New Roman" w:hAnsi="Times New Roman" w:cs="Times New Roman"/>
          <w:sz w:val="26"/>
          <w:szCs w:val="26"/>
        </w:rPr>
        <w:t>‘</w:t>
      </w:r>
    </w:p>
    <w:p w14:paraId="0EF1BA38" w14:textId="77777777" w:rsidR="002E50D2" w:rsidRPr="002E50D2" w:rsidRDefault="002E50D2" w:rsidP="002E50D2"/>
    <w:p w14:paraId="6A81B97B" w14:textId="3C2DE3E5" w:rsidR="005A1B44" w:rsidRDefault="00846D47" w:rsidP="00846D47">
      <w:pPr>
        <w:pStyle w:val="NUM1"/>
        <w:numPr>
          <w:ilvl w:val="0"/>
          <w:numId w:val="0"/>
        </w:numPr>
        <w:tabs>
          <w:tab w:val="left" w:pos="720"/>
        </w:tabs>
        <w:ind w:left="720" w:hanging="720"/>
      </w:pPr>
      <w:r>
        <w:rPr>
          <w:caps/>
        </w:rPr>
        <w:t>[18]</w:t>
      </w:r>
      <w:r>
        <w:rPr>
          <w:caps/>
        </w:rPr>
        <w:tab/>
      </w:r>
      <w:r w:rsidR="005A1B44">
        <w:t xml:space="preserve">Counsel for Respondent </w:t>
      </w:r>
      <w:r w:rsidR="002E50D2">
        <w:t xml:space="preserve">also </w:t>
      </w:r>
      <w:r w:rsidR="005A1B44">
        <w:t xml:space="preserve">made submissions relating to the </w:t>
      </w:r>
      <w:proofErr w:type="spellStart"/>
      <w:r w:rsidR="005A1B44">
        <w:t>Makate</w:t>
      </w:r>
      <w:proofErr w:type="spellEnd"/>
      <w:r w:rsidR="0094710C">
        <w:rPr>
          <w:rStyle w:val="FootnoteReference"/>
        </w:rPr>
        <w:footnoteReference w:id="9"/>
      </w:r>
      <w:r w:rsidR="005A1B44">
        <w:t xml:space="preserve"> matter and when the ‘debt’ might begin to run. </w:t>
      </w:r>
      <w:r w:rsidR="005A1B44" w:rsidRPr="001D51D3">
        <w:t xml:space="preserve">Jafta J referred to the decision of </w:t>
      </w:r>
      <w:r w:rsidR="005A1B44">
        <w:t>D</w:t>
      </w:r>
      <w:r w:rsidR="005A1B44" w:rsidRPr="001D51D3">
        <w:t xml:space="preserve">esai </w:t>
      </w:r>
      <w:r w:rsidR="005A1B44" w:rsidRPr="001D51D3">
        <w:lastRenderedPageBreak/>
        <w:t>NO v Desai</w:t>
      </w:r>
      <w:r w:rsidR="005A1B44">
        <w:rPr>
          <w:rStyle w:val="FootnoteReference"/>
        </w:rPr>
        <w:footnoteReference w:id="10"/>
      </w:r>
      <w:r w:rsidR="005A1B44" w:rsidRPr="001D51D3">
        <w:t xml:space="preserve"> and similar decisions holding that the word “debt” had a wide meaning, extending even to a claim for the enforcement of an obligation to do something or refrain from doing something</w:t>
      </w:r>
      <w:r w:rsidR="005A1B44">
        <w:t xml:space="preserve"> and the enforcement of a right. </w:t>
      </w:r>
    </w:p>
    <w:p w14:paraId="0DB58AF0" w14:textId="77777777" w:rsidR="005A1B44" w:rsidRDefault="005A1B44" w:rsidP="005A1B44">
      <w:pPr>
        <w:pStyle w:val="NUM1"/>
        <w:numPr>
          <w:ilvl w:val="0"/>
          <w:numId w:val="0"/>
        </w:numPr>
        <w:ind w:left="720"/>
      </w:pPr>
    </w:p>
    <w:p w14:paraId="089FD835" w14:textId="6AF7B6D4" w:rsidR="00873AED" w:rsidRDefault="00846D47" w:rsidP="00846D47">
      <w:pPr>
        <w:pStyle w:val="NUM1"/>
        <w:numPr>
          <w:ilvl w:val="0"/>
          <w:numId w:val="0"/>
        </w:numPr>
        <w:tabs>
          <w:tab w:val="left" w:pos="720"/>
        </w:tabs>
        <w:ind w:left="720" w:hanging="720"/>
      </w:pPr>
      <w:r>
        <w:rPr>
          <w:caps/>
        </w:rPr>
        <w:t>[19]</w:t>
      </w:r>
      <w:r>
        <w:rPr>
          <w:caps/>
        </w:rPr>
        <w:tab/>
      </w:r>
      <w:r w:rsidR="00607F4D">
        <w:t>The Legislator creates a right, distinct from common law rights, for a liquidator</w:t>
      </w:r>
      <w:r w:rsidR="00A50772">
        <w:t xml:space="preserve"> that appear in section 31</w:t>
      </w:r>
      <w:r w:rsidR="00FB4F84">
        <w:t xml:space="preserve"> and section 32</w:t>
      </w:r>
      <w:r w:rsidR="00A50772">
        <w:t xml:space="preserve"> of the Insolvency Act</w:t>
      </w:r>
      <w:r w:rsidR="00607F4D">
        <w:t xml:space="preserve">. </w:t>
      </w:r>
      <w:r w:rsidR="00474F8F">
        <w:t xml:space="preserve">The effect </w:t>
      </w:r>
      <w:r w:rsidR="00A50772">
        <w:t xml:space="preserve">of the successful exercise of the right </w:t>
      </w:r>
      <w:r w:rsidR="00474F8F">
        <w:t>is to create an indebtedness where no</w:t>
      </w:r>
      <w:r w:rsidR="00544B75">
        <w:t>ne</w:t>
      </w:r>
      <w:r w:rsidR="00474F8F">
        <w:t xml:space="preserve"> exists</w:t>
      </w:r>
      <w:r w:rsidR="008A7D28">
        <w:t>.</w:t>
      </w:r>
      <w:r w:rsidR="00D846F2">
        <w:rPr>
          <w:rStyle w:val="FootnoteReference"/>
        </w:rPr>
        <w:footnoteReference w:id="11"/>
      </w:r>
      <w:r w:rsidR="00474F8F">
        <w:t xml:space="preserve"> </w:t>
      </w:r>
    </w:p>
    <w:p w14:paraId="77361383" w14:textId="77777777" w:rsidR="00873AED" w:rsidRDefault="00873AED" w:rsidP="00873AED">
      <w:pPr>
        <w:pStyle w:val="NUM1"/>
        <w:numPr>
          <w:ilvl w:val="0"/>
          <w:numId w:val="0"/>
        </w:numPr>
        <w:ind w:left="720"/>
      </w:pPr>
    </w:p>
    <w:p w14:paraId="70977383" w14:textId="071FD33E" w:rsidR="005A1B44" w:rsidRDefault="00846D47" w:rsidP="00846D47">
      <w:pPr>
        <w:pStyle w:val="NUM1"/>
        <w:numPr>
          <w:ilvl w:val="0"/>
          <w:numId w:val="0"/>
        </w:numPr>
        <w:tabs>
          <w:tab w:val="left" w:pos="720"/>
        </w:tabs>
        <w:ind w:left="720" w:hanging="720"/>
      </w:pPr>
      <w:r>
        <w:rPr>
          <w:caps/>
        </w:rPr>
        <w:t>[20]</w:t>
      </w:r>
      <w:r>
        <w:rPr>
          <w:caps/>
        </w:rPr>
        <w:tab/>
      </w:r>
      <w:r w:rsidR="00544B75">
        <w:t>It is the right to set aside the agreement that is being exercised</w:t>
      </w:r>
      <w:r w:rsidR="00A50772">
        <w:t xml:space="preserve"> </w:t>
      </w:r>
      <w:r w:rsidR="00873AED">
        <w:t xml:space="preserve">by the Respondents, </w:t>
      </w:r>
      <w:r w:rsidR="00A50772">
        <w:t>before any claim for monies</w:t>
      </w:r>
      <w:r w:rsidR="00544B75">
        <w:t xml:space="preserve">. </w:t>
      </w:r>
      <w:r w:rsidR="00607F4D">
        <w:t xml:space="preserve">This right </w:t>
      </w:r>
      <w:r w:rsidR="00A50772">
        <w:t xml:space="preserve">to set aside the agreement </w:t>
      </w:r>
      <w:r w:rsidR="00FF799A">
        <w:t xml:space="preserve">(or put differently when did the ‘right of action’ arise) </w:t>
      </w:r>
      <w:r w:rsidR="00607F4D">
        <w:t xml:space="preserve">is the subject </w:t>
      </w:r>
      <w:r w:rsidR="00544B75">
        <w:t xml:space="preserve">matter </w:t>
      </w:r>
      <w:r w:rsidR="00607F4D">
        <w:t xml:space="preserve">of </w:t>
      </w:r>
      <w:r w:rsidR="00A50772">
        <w:t xml:space="preserve">the </w:t>
      </w:r>
      <w:r w:rsidR="00607F4D">
        <w:t>prescription</w:t>
      </w:r>
      <w:r w:rsidR="00A50772">
        <w:t xml:space="preserve"> complaint</w:t>
      </w:r>
      <w:r w:rsidR="00873AED">
        <w:t xml:space="preserve"> and will in due course be determined</w:t>
      </w:r>
      <w:r w:rsidR="00607F4D">
        <w:t>.</w:t>
      </w:r>
      <w:r w:rsidR="00A50772">
        <w:t xml:space="preserve"> </w:t>
      </w:r>
      <w:r w:rsidR="002E50D2">
        <w:t xml:space="preserve"> It is not for this Court to speculate upon the ultimate success of these arguments.</w:t>
      </w:r>
    </w:p>
    <w:p w14:paraId="7D374A38" w14:textId="77777777" w:rsidR="005A1B44" w:rsidRDefault="005A1B44" w:rsidP="005A1B44">
      <w:pPr>
        <w:pStyle w:val="NUM1"/>
        <w:numPr>
          <w:ilvl w:val="0"/>
          <w:numId w:val="0"/>
        </w:numPr>
        <w:ind w:left="720"/>
      </w:pPr>
    </w:p>
    <w:p w14:paraId="4D273A42" w14:textId="3DF5508C" w:rsidR="00006A2A" w:rsidRPr="00006A2A" w:rsidRDefault="00846D47" w:rsidP="00846D47">
      <w:pPr>
        <w:pStyle w:val="NUM1"/>
        <w:numPr>
          <w:ilvl w:val="0"/>
          <w:numId w:val="0"/>
        </w:numPr>
        <w:tabs>
          <w:tab w:val="left" w:pos="720"/>
        </w:tabs>
        <w:ind w:left="720" w:hanging="720"/>
        <w:rPr>
          <w:u w:val="single"/>
        </w:rPr>
      </w:pPr>
      <w:r w:rsidRPr="00006A2A">
        <w:rPr>
          <w:caps/>
        </w:rPr>
        <w:t>[21]</w:t>
      </w:r>
      <w:r w:rsidRPr="00006A2A">
        <w:rPr>
          <w:caps/>
        </w:rPr>
        <w:tab/>
      </w:r>
      <w:r w:rsidR="009354FF">
        <w:t>I have considered the submissions and the papers before me</w:t>
      </w:r>
      <w:r w:rsidR="00454A43">
        <w:t xml:space="preserve"> and applied all the information placed before me as well as considered equity and fairness to both parties</w:t>
      </w:r>
      <w:r w:rsidR="008A7D28">
        <w:t>.</w:t>
      </w:r>
      <w:r w:rsidR="00D846F2">
        <w:rPr>
          <w:rStyle w:val="FootnoteReference"/>
        </w:rPr>
        <w:footnoteReference w:id="12"/>
      </w:r>
      <w:r w:rsidR="009354FF">
        <w:t xml:space="preserve"> </w:t>
      </w:r>
      <w:r w:rsidR="00873AED">
        <w:t xml:space="preserve">At this interim stage, </w:t>
      </w:r>
      <w:r w:rsidR="001D51D3">
        <w:t xml:space="preserve">I am of the view that the Applicants have satisfied the minimum requirement </w:t>
      </w:r>
      <w:r w:rsidR="005A1B44">
        <w:t>for the granting of security</w:t>
      </w:r>
      <w:r w:rsidR="00873AED">
        <w:t xml:space="preserve"> and must thus be successful in their application</w:t>
      </w:r>
      <w:r w:rsidR="001D51D3">
        <w:t>.</w:t>
      </w:r>
    </w:p>
    <w:p w14:paraId="74F2CFD0" w14:textId="77777777" w:rsidR="00006A2A" w:rsidRDefault="00006A2A" w:rsidP="00006A2A">
      <w:pPr>
        <w:pStyle w:val="NUM1"/>
        <w:numPr>
          <w:ilvl w:val="0"/>
          <w:numId w:val="0"/>
        </w:numPr>
        <w:ind w:left="720"/>
        <w:rPr>
          <w:u w:val="single"/>
        </w:rPr>
      </w:pPr>
    </w:p>
    <w:p w14:paraId="221B569A" w14:textId="77777777" w:rsidR="00D846F2" w:rsidRPr="00D846F2" w:rsidRDefault="00D846F2" w:rsidP="00D846F2"/>
    <w:p w14:paraId="0DD60520" w14:textId="77777777" w:rsidR="00006A2A" w:rsidRDefault="00006A2A" w:rsidP="00006A2A">
      <w:pPr>
        <w:pStyle w:val="NUM1"/>
        <w:numPr>
          <w:ilvl w:val="0"/>
          <w:numId w:val="0"/>
        </w:numPr>
        <w:ind w:left="720" w:hanging="720"/>
        <w:rPr>
          <w:u w:val="single"/>
        </w:rPr>
      </w:pPr>
    </w:p>
    <w:p w14:paraId="668F526C" w14:textId="77777777" w:rsidR="00F340B9" w:rsidRPr="00AA39F1" w:rsidRDefault="00F340B9" w:rsidP="00006A2A">
      <w:pPr>
        <w:pStyle w:val="NUM1"/>
        <w:numPr>
          <w:ilvl w:val="0"/>
          <w:numId w:val="0"/>
        </w:numPr>
        <w:ind w:left="720" w:hanging="720"/>
        <w:rPr>
          <w:u w:val="single"/>
        </w:rPr>
      </w:pPr>
      <w:r w:rsidRPr="00AA39F1">
        <w:rPr>
          <w:u w:val="single"/>
        </w:rPr>
        <w:t>NO CAUSE OF ACTION</w:t>
      </w:r>
    </w:p>
    <w:p w14:paraId="2359E31C" w14:textId="77777777" w:rsidR="00F340B9" w:rsidRPr="00CF0E45" w:rsidRDefault="00F340B9" w:rsidP="00F340B9"/>
    <w:p w14:paraId="4A6A75E6" w14:textId="12B82878" w:rsidR="00F340B9" w:rsidRDefault="00846D47" w:rsidP="00846D47">
      <w:pPr>
        <w:pStyle w:val="NUM1"/>
        <w:numPr>
          <w:ilvl w:val="0"/>
          <w:numId w:val="0"/>
        </w:numPr>
        <w:tabs>
          <w:tab w:val="left" w:pos="720"/>
        </w:tabs>
        <w:ind w:left="720" w:hanging="720"/>
      </w:pPr>
      <w:r>
        <w:rPr>
          <w:caps/>
        </w:rPr>
        <w:t>[22]</w:t>
      </w:r>
      <w:r>
        <w:rPr>
          <w:caps/>
        </w:rPr>
        <w:tab/>
      </w:r>
      <w:r w:rsidR="00F340B9">
        <w:t xml:space="preserve">Applicants </w:t>
      </w:r>
      <w:r w:rsidR="00BB3D0A">
        <w:t xml:space="preserve">also </w:t>
      </w:r>
      <w:r w:rsidR="00F340B9">
        <w:t xml:space="preserve">say that the Respondents claim is an abuse because there is no cause of action. They say that the Respondents have alleged a collusion without saying more in the Applicants papers. Put differently, the Particulars of Claim and the affidavits do not lay bare the details of collusion. The act of a ‘collusion’ has been pleaded tersely without further detail. </w:t>
      </w:r>
    </w:p>
    <w:p w14:paraId="7139D264" w14:textId="77777777" w:rsidR="00F340B9" w:rsidRDefault="00F340B9" w:rsidP="00F340B9">
      <w:pPr>
        <w:pStyle w:val="NUM1"/>
        <w:numPr>
          <w:ilvl w:val="0"/>
          <w:numId w:val="0"/>
        </w:numPr>
        <w:ind w:left="720"/>
      </w:pPr>
    </w:p>
    <w:p w14:paraId="52493E5D" w14:textId="6DD80156" w:rsidR="00F340B9" w:rsidRDefault="00846D47" w:rsidP="00846D47">
      <w:pPr>
        <w:pStyle w:val="NUM1"/>
        <w:numPr>
          <w:ilvl w:val="0"/>
          <w:numId w:val="0"/>
        </w:numPr>
        <w:tabs>
          <w:tab w:val="left" w:pos="720"/>
        </w:tabs>
        <w:ind w:left="720" w:hanging="720"/>
      </w:pPr>
      <w:r>
        <w:rPr>
          <w:caps/>
        </w:rPr>
        <w:t>[23]</w:t>
      </w:r>
      <w:r>
        <w:rPr>
          <w:caps/>
        </w:rPr>
        <w:tab/>
      </w:r>
      <w:r w:rsidR="00F340B9">
        <w:t xml:space="preserve">I do not speculate, and neither is this court allowed to, as to the </w:t>
      </w:r>
      <w:proofErr w:type="gramStart"/>
      <w:r w:rsidR="00F340B9">
        <w:t>manner in which</w:t>
      </w:r>
      <w:proofErr w:type="gramEnd"/>
      <w:r w:rsidR="00F340B9">
        <w:t xml:space="preserve"> the evidence in this matter may unfold at trial. Respondents argue that one would have expected the Applicants to complain of a lack of detail, by way of exception. Absent a determination of this step, the complaint that the claim against Applicants is vexatious or abusive cannot pass muster.  </w:t>
      </w:r>
    </w:p>
    <w:p w14:paraId="5EEA4F53" w14:textId="77777777" w:rsidR="00F340B9" w:rsidRPr="009843BD" w:rsidRDefault="00F340B9" w:rsidP="00F340B9"/>
    <w:p w14:paraId="5DF1FF50" w14:textId="5974B887" w:rsidR="00F340B9" w:rsidRDefault="00846D47" w:rsidP="00846D47">
      <w:pPr>
        <w:pStyle w:val="NUM1"/>
        <w:numPr>
          <w:ilvl w:val="0"/>
          <w:numId w:val="0"/>
        </w:numPr>
        <w:tabs>
          <w:tab w:val="left" w:pos="720"/>
        </w:tabs>
        <w:ind w:left="720" w:hanging="720"/>
      </w:pPr>
      <w:r>
        <w:rPr>
          <w:caps/>
        </w:rPr>
        <w:t>[24]</w:t>
      </w:r>
      <w:r>
        <w:rPr>
          <w:caps/>
        </w:rPr>
        <w:tab/>
      </w:r>
      <w:r w:rsidR="00F340B9">
        <w:t xml:space="preserve">The Respondents papers set out various transactions that the Business Rescue Practitioner </w:t>
      </w:r>
      <w:proofErr w:type="gramStart"/>
      <w:r w:rsidR="00F340B9">
        <w:t>concluded</w:t>
      </w:r>
      <w:proofErr w:type="gramEnd"/>
      <w:r w:rsidR="00F340B9">
        <w:t xml:space="preserve"> and th</w:t>
      </w:r>
      <w:r w:rsidR="00BB3D0A">
        <w:t>ese</w:t>
      </w:r>
      <w:r w:rsidR="00F340B9">
        <w:t xml:space="preserve"> will be interrogated at trial. I therefore agree with Respondents in their submissions that this complaint by the Respondent has no merit for purposes of this application for security. </w:t>
      </w:r>
    </w:p>
    <w:p w14:paraId="27DC89F0" w14:textId="77777777" w:rsidR="0091760B" w:rsidRDefault="0091760B"/>
    <w:p w14:paraId="52A488EA" w14:textId="77777777" w:rsidR="0091760B" w:rsidRDefault="00021646">
      <w:pPr>
        <w:rPr>
          <w:u w:val="single"/>
        </w:rPr>
      </w:pPr>
      <w:r w:rsidRPr="00AF2725">
        <w:rPr>
          <w:u w:val="single"/>
        </w:rPr>
        <w:t>RESIDUAL DISCRETION</w:t>
      </w:r>
    </w:p>
    <w:p w14:paraId="0D2552DA" w14:textId="77777777" w:rsidR="006F1C8E" w:rsidRPr="00AF2725" w:rsidRDefault="006F1C8E">
      <w:pPr>
        <w:rPr>
          <w:u w:val="single"/>
        </w:rPr>
      </w:pPr>
    </w:p>
    <w:p w14:paraId="6BE82080" w14:textId="25EB930A" w:rsidR="00AF2725" w:rsidRDefault="00846D47" w:rsidP="00846D47">
      <w:pPr>
        <w:pStyle w:val="NUM1"/>
        <w:numPr>
          <w:ilvl w:val="0"/>
          <w:numId w:val="0"/>
        </w:numPr>
        <w:tabs>
          <w:tab w:val="left" w:pos="720"/>
        </w:tabs>
        <w:ind w:left="720" w:hanging="720"/>
      </w:pPr>
      <w:r>
        <w:rPr>
          <w:caps/>
        </w:rPr>
        <w:lastRenderedPageBreak/>
        <w:t>[25]</w:t>
      </w:r>
      <w:r>
        <w:rPr>
          <w:caps/>
        </w:rPr>
        <w:tab/>
      </w:r>
      <w:r w:rsidR="006F1C8E">
        <w:t>Courts have a judicial discretion</w:t>
      </w:r>
      <w:r w:rsidR="007B54B9">
        <w:rPr>
          <w:rStyle w:val="FootnoteReference"/>
        </w:rPr>
        <w:footnoteReference w:id="13"/>
      </w:r>
      <w:r w:rsidR="006F1C8E">
        <w:t xml:space="preserve"> whether to order security be lodged, having regard to relevant facts and consideration of equity and fairness. </w:t>
      </w:r>
    </w:p>
    <w:p w14:paraId="4333CE41" w14:textId="77777777" w:rsidR="00AF2725" w:rsidRDefault="00AF2725" w:rsidP="00AF2725">
      <w:pPr>
        <w:pStyle w:val="NUM1"/>
        <w:numPr>
          <w:ilvl w:val="0"/>
          <w:numId w:val="0"/>
        </w:numPr>
        <w:ind w:left="720"/>
      </w:pPr>
    </w:p>
    <w:p w14:paraId="357C61EA" w14:textId="6559179B" w:rsidR="00AF2725" w:rsidRDefault="00846D47" w:rsidP="00846D47">
      <w:pPr>
        <w:pStyle w:val="NUM1"/>
        <w:numPr>
          <w:ilvl w:val="0"/>
          <w:numId w:val="0"/>
        </w:numPr>
        <w:tabs>
          <w:tab w:val="left" w:pos="720"/>
        </w:tabs>
        <w:ind w:left="720" w:hanging="720"/>
      </w:pPr>
      <w:r>
        <w:rPr>
          <w:caps/>
        </w:rPr>
        <w:t>[26]</w:t>
      </w:r>
      <w:r>
        <w:rPr>
          <w:caps/>
        </w:rPr>
        <w:tab/>
      </w:r>
      <w:r w:rsidR="00021646">
        <w:t xml:space="preserve">In considering factors that bear upon the exercise of a judicial discretion, attention is drawn to </w:t>
      </w:r>
      <w:proofErr w:type="spellStart"/>
      <w:r w:rsidR="00021646">
        <w:t>Giddey</w:t>
      </w:r>
      <w:proofErr w:type="spellEnd"/>
      <w:r w:rsidR="00021646">
        <w:t xml:space="preserve"> NO v J C Barnard and Partners</w:t>
      </w:r>
      <w:r w:rsidR="008A7D28">
        <w:t>,</w:t>
      </w:r>
      <w:r w:rsidR="005A1B44">
        <w:rPr>
          <w:rStyle w:val="FootnoteReference"/>
        </w:rPr>
        <w:footnoteReference w:id="14"/>
      </w:r>
      <w:r w:rsidR="00021646">
        <w:t xml:space="preserve"> where the apex court discussed the prejudice to a litigant who wishes to pursue a legitimate claim against the prejudice to a successful opposing party who would not be able to recover costs. </w:t>
      </w:r>
    </w:p>
    <w:p w14:paraId="7FC520BA" w14:textId="77777777" w:rsidR="00AF2725" w:rsidRDefault="00AF2725" w:rsidP="00AF2725">
      <w:pPr>
        <w:pStyle w:val="NUM1"/>
        <w:numPr>
          <w:ilvl w:val="0"/>
          <w:numId w:val="0"/>
        </w:numPr>
        <w:ind w:left="720"/>
      </w:pPr>
    </w:p>
    <w:p w14:paraId="48856DCA" w14:textId="05E2B57C" w:rsidR="0091760B" w:rsidRDefault="00846D47" w:rsidP="00846D47">
      <w:pPr>
        <w:pStyle w:val="NUM1"/>
        <w:numPr>
          <w:ilvl w:val="0"/>
          <w:numId w:val="0"/>
        </w:numPr>
        <w:tabs>
          <w:tab w:val="left" w:pos="720"/>
        </w:tabs>
        <w:ind w:left="720" w:hanging="720"/>
      </w:pPr>
      <w:r>
        <w:rPr>
          <w:caps/>
        </w:rPr>
        <w:t>[27]</w:t>
      </w:r>
      <w:r>
        <w:rPr>
          <w:caps/>
        </w:rPr>
        <w:tab/>
      </w:r>
      <w:proofErr w:type="spellStart"/>
      <w:r w:rsidR="008A7D28">
        <w:t>Giddey</w:t>
      </w:r>
      <w:proofErr w:type="spellEnd"/>
      <w:r w:rsidR="001B47E8">
        <w:rPr>
          <w:rStyle w:val="FootnoteReference"/>
        </w:rPr>
        <w:footnoteReference w:id="15"/>
      </w:r>
      <w:r w:rsidR="00B4795B">
        <w:t xml:space="preserve"> </w:t>
      </w:r>
      <w:r w:rsidR="008A7D28">
        <w:t>calls for</w:t>
      </w:r>
      <w:r w:rsidR="00B4795B">
        <w:t xml:space="preserve"> a </w:t>
      </w:r>
      <w:r w:rsidR="007B54B9">
        <w:t>balance need</w:t>
      </w:r>
      <w:r w:rsidR="00B4795B">
        <w:t xml:space="preserve"> be attained between the interests of parties</w:t>
      </w:r>
      <w:r w:rsidR="00FF799A">
        <w:t>:</w:t>
      </w:r>
    </w:p>
    <w:p w14:paraId="41D1BFB7" w14:textId="77777777" w:rsidR="00B4795B" w:rsidRDefault="00B4795B" w:rsidP="00B4795B"/>
    <w:p w14:paraId="26B4A773" w14:textId="77777777" w:rsidR="00B4795B" w:rsidRPr="00BB3D0A" w:rsidRDefault="00B4795B" w:rsidP="00AF2725">
      <w:pPr>
        <w:ind w:left="567" w:right="662"/>
        <w:rPr>
          <w:rFonts w:ascii="Times New Roman" w:hAnsi="Times New Roman" w:cs="Times New Roman"/>
        </w:rPr>
      </w:pPr>
      <w:r w:rsidRPr="00BB3D0A">
        <w:rPr>
          <w:rFonts w:ascii="Times New Roman" w:hAnsi="Times New Roman" w:cs="Times New Roman"/>
        </w:rPr>
        <w:t>‘[8]… (Courts) need to balance the potential injustice to a plaintiff if it is prevented from pursuing a legitimate claim as a result of an order requiring it to pay security for costs, on the one hand, against the potential injustice to a defendant who successfully defends the claim, and yet may well have to pay all its own costs in the litigation.</w:t>
      </w:r>
      <w:r w:rsidR="005B5E00">
        <w:rPr>
          <w:rFonts w:ascii="Times New Roman" w:hAnsi="Times New Roman" w:cs="Times New Roman"/>
        </w:rPr>
        <w:t xml:space="preserve"> </w:t>
      </w:r>
      <w:r w:rsidRPr="00BB3D0A">
        <w:rPr>
          <w:rFonts w:ascii="Times New Roman" w:hAnsi="Times New Roman" w:cs="Times New Roman"/>
        </w:rPr>
        <w:t xml:space="preserve">To do this balancing exercise correctly, a court needs to be apprised of all the relevant information. An applicant for security will therefore need to show that there is a probability that the plaintiff company will be unable to pay costs. The respondent company, on the other hand, must establish that the order for costs might well result in its being unable to pursue the litigation </w:t>
      </w:r>
      <w:r w:rsidRPr="00BB3D0A">
        <w:rPr>
          <w:rFonts w:ascii="Times New Roman" w:hAnsi="Times New Roman" w:cs="Times New Roman"/>
        </w:rPr>
        <w:lastRenderedPageBreak/>
        <w:t xml:space="preserve">and should indicate the nature and importance of the litigation to rebut a suggestion that it may be vexatious or without prospects of success. </w:t>
      </w:r>
      <w:r w:rsidR="005B5E00">
        <w:rPr>
          <w:rFonts w:ascii="Times New Roman" w:hAnsi="Times New Roman" w:cs="Times New Roman"/>
        </w:rPr>
        <w:t>‘</w:t>
      </w:r>
    </w:p>
    <w:p w14:paraId="7B88A3B1" w14:textId="77777777" w:rsidR="0091760B" w:rsidRDefault="0091760B">
      <w:pPr>
        <w:pStyle w:val="NUM1"/>
        <w:numPr>
          <w:ilvl w:val="0"/>
          <w:numId w:val="0"/>
        </w:numPr>
        <w:ind w:left="720"/>
      </w:pPr>
    </w:p>
    <w:p w14:paraId="43FCB0FD" w14:textId="77777777" w:rsidR="005B5E00" w:rsidRDefault="005B5E00" w:rsidP="005B5E00">
      <w:pPr>
        <w:pStyle w:val="NUM1"/>
        <w:numPr>
          <w:ilvl w:val="0"/>
          <w:numId w:val="0"/>
        </w:numPr>
        <w:ind w:left="720"/>
      </w:pPr>
    </w:p>
    <w:p w14:paraId="501EC522" w14:textId="77777777" w:rsidR="005B5E00" w:rsidRDefault="005B5E00" w:rsidP="005B5E00">
      <w:pPr>
        <w:pStyle w:val="NUM1"/>
        <w:numPr>
          <w:ilvl w:val="0"/>
          <w:numId w:val="0"/>
        </w:numPr>
        <w:ind w:left="720"/>
      </w:pPr>
    </w:p>
    <w:p w14:paraId="477D806B" w14:textId="60144D34" w:rsidR="00AF2725" w:rsidRDefault="00846D47" w:rsidP="00846D47">
      <w:pPr>
        <w:pStyle w:val="NUM1"/>
        <w:numPr>
          <w:ilvl w:val="0"/>
          <w:numId w:val="0"/>
        </w:numPr>
        <w:tabs>
          <w:tab w:val="left" w:pos="720"/>
        </w:tabs>
        <w:ind w:left="720" w:hanging="720"/>
      </w:pPr>
      <w:r>
        <w:rPr>
          <w:caps/>
        </w:rPr>
        <w:t>[28]</w:t>
      </w:r>
      <w:r>
        <w:rPr>
          <w:caps/>
        </w:rPr>
        <w:tab/>
      </w:r>
      <w:r w:rsidR="00B4795B">
        <w:t xml:space="preserve">Such relevant considerations include </w:t>
      </w:r>
      <w:r w:rsidR="00B4795B" w:rsidRPr="00B4795B">
        <w:t>the likelihood that the effect of an order to furnish security will be to terminate the plaintiff’s action; the attempts the plaintiff has made to find financial assistance from its shareholders or creditors; the question whether it is the conduct of the defendant that has caused the financial difficulties of the plaintiff; as well as the nature of the plaintiff’s action</w:t>
      </w:r>
      <w:r w:rsidR="00B4795B">
        <w:t>.</w:t>
      </w:r>
    </w:p>
    <w:p w14:paraId="34B46542" w14:textId="77777777" w:rsidR="00AF2725" w:rsidRDefault="00AF2725" w:rsidP="00AF2725"/>
    <w:p w14:paraId="079D6D65" w14:textId="0E409EAF" w:rsidR="00F44BCA" w:rsidRDefault="00846D47" w:rsidP="00846D47">
      <w:pPr>
        <w:pStyle w:val="NUM1"/>
        <w:numPr>
          <w:ilvl w:val="0"/>
          <w:numId w:val="0"/>
        </w:numPr>
        <w:tabs>
          <w:tab w:val="left" w:pos="720"/>
        </w:tabs>
        <w:ind w:left="720" w:hanging="720"/>
      </w:pPr>
      <w:r>
        <w:rPr>
          <w:caps/>
        </w:rPr>
        <w:t>[29]</w:t>
      </w:r>
      <w:r>
        <w:rPr>
          <w:caps/>
        </w:rPr>
        <w:tab/>
      </w:r>
      <w:r w:rsidR="00B55554">
        <w:t>The Applicants have demonstrated that the insolvent company owns no assets.</w:t>
      </w:r>
      <w:r w:rsidR="00605EA2">
        <w:t xml:space="preserve"> The first requirement of </w:t>
      </w:r>
      <w:r w:rsidR="00D620B6">
        <w:t>a</w:t>
      </w:r>
      <w:r w:rsidR="00605EA2">
        <w:t xml:space="preserve"> </w:t>
      </w:r>
      <w:r w:rsidR="00D620B6">
        <w:t>two-stage</w:t>
      </w:r>
      <w:r w:rsidR="00605EA2">
        <w:t xml:space="preserve"> test is </w:t>
      </w:r>
      <w:r w:rsidR="00D620B6">
        <w:t xml:space="preserve">thus </w:t>
      </w:r>
      <w:r w:rsidR="00605EA2">
        <w:t>satisfied.</w:t>
      </w:r>
      <w:r w:rsidR="00605EA2">
        <w:rPr>
          <w:rStyle w:val="FootnoteReference"/>
        </w:rPr>
        <w:footnoteReference w:id="16"/>
      </w:r>
      <w:r w:rsidR="00B55554">
        <w:t xml:space="preserve"> </w:t>
      </w:r>
      <w:r w:rsidR="002C7E43">
        <w:t>Applicants</w:t>
      </w:r>
      <w:r w:rsidR="00B55554">
        <w:t xml:space="preserve"> point to the Respondents being funded in their litigation by a (presumably secured) creditor of the insolvent company in terms of section 32(1)(b) of the Insolvency Act</w:t>
      </w:r>
      <w:r w:rsidR="00F44BCA">
        <w:t>.</w:t>
      </w:r>
      <w:r w:rsidR="00F66EED">
        <w:t xml:space="preserve"> The Respondents did not engage these allegations meaningfully</w:t>
      </w:r>
      <w:r w:rsidR="00787313">
        <w:t xml:space="preserve"> or fully</w:t>
      </w:r>
      <w:r w:rsidR="00F66EED">
        <w:t>.</w:t>
      </w:r>
    </w:p>
    <w:p w14:paraId="3D7A7C0E" w14:textId="77777777" w:rsidR="00F44BCA" w:rsidRDefault="00F44BCA" w:rsidP="00F44BCA">
      <w:pPr>
        <w:pStyle w:val="NUM1"/>
        <w:numPr>
          <w:ilvl w:val="0"/>
          <w:numId w:val="0"/>
        </w:numPr>
        <w:ind w:left="720"/>
      </w:pPr>
    </w:p>
    <w:p w14:paraId="1EF6000D" w14:textId="30AC3999" w:rsidR="00D620B6" w:rsidRDefault="00846D47" w:rsidP="00846D47">
      <w:pPr>
        <w:pStyle w:val="NUM1"/>
        <w:numPr>
          <w:ilvl w:val="0"/>
          <w:numId w:val="0"/>
        </w:numPr>
        <w:tabs>
          <w:tab w:val="left" w:pos="720"/>
        </w:tabs>
        <w:ind w:left="720" w:hanging="720"/>
      </w:pPr>
      <w:r>
        <w:rPr>
          <w:caps/>
        </w:rPr>
        <w:t>[30]</w:t>
      </w:r>
      <w:r>
        <w:rPr>
          <w:caps/>
        </w:rPr>
        <w:tab/>
      </w:r>
      <w:r w:rsidR="00D620B6">
        <w:t xml:space="preserve">This Court can only consider the information presented before it and is not privy to all the information that will be placed before a trial Court, </w:t>
      </w:r>
      <w:r w:rsidR="00AF2725">
        <w:t>which will have</w:t>
      </w:r>
      <w:r w:rsidR="00D620B6">
        <w:t xml:space="preserve"> the benefit of full discovery of documentation and cross examination.</w:t>
      </w:r>
    </w:p>
    <w:p w14:paraId="5E6CB9D4" w14:textId="77777777" w:rsidR="00D620B6" w:rsidRDefault="00D620B6" w:rsidP="00D620B6">
      <w:pPr>
        <w:pStyle w:val="NUM1"/>
        <w:numPr>
          <w:ilvl w:val="0"/>
          <w:numId w:val="0"/>
        </w:numPr>
        <w:ind w:left="720"/>
      </w:pPr>
      <w:r>
        <w:t xml:space="preserve"> </w:t>
      </w:r>
    </w:p>
    <w:p w14:paraId="0C21E252" w14:textId="393B3D52" w:rsidR="001B47E8" w:rsidRDefault="00846D47" w:rsidP="00846D47">
      <w:pPr>
        <w:pStyle w:val="NUM1"/>
        <w:numPr>
          <w:ilvl w:val="0"/>
          <w:numId w:val="0"/>
        </w:numPr>
        <w:tabs>
          <w:tab w:val="left" w:pos="720"/>
        </w:tabs>
        <w:ind w:left="720" w:hanging="720"/>
      </w:pPr>
      <w:r>
        <w:rPr>
          <w:caps/>
        </w:rPr>
        <w:lastRenderedPageBreak/>
        <w:t>[31]</w:t>
      </w:r>
      <w:r>
        <w:rPr>
          <w:caps/>
        </w:rPr>
        <w:tab/>
      </w:r>
      <w:r w:rsidR="00D620B6">
        <w:t xml:space="preserve">Having regard to what the Respondents have placed before me, I draw from the </w:t>
      </w:r>
      <w:r w:rsidR="0007700B">
        <w:t xml:space="preserve">sentiments of </w:t>
      </w:r>
      <w:r w:rsidR="0007700B" w:rsidRPr="0007700B">
        <w:t>Boost Sports Africa (Pty) Limited v South Africa Breweries (Pty) Limited 2015 (5) SA 38 (SCA)</w:t>
      </w:r>
      <w:r w:rsidR="0007700B">
        <w:t xml:space="preserve"> at [27]</w:t>
      </w:r>
      <w:r w:rsidR="00D620B6">
        <w:t>:</w:t>
      </w:r>
      <w:r w:rsidR="0007700B">
        <w:t xml:space="preserve"> </w:t>
      </w:r>
    </w:p>
    <w:p w14:paraId="0AF41146" w14:textId="77777777" w:rsidR="0007700B" w:rsidRDefault="0007700B" w:rsidP="0007700B"/>
    <w:p w14:paraId="504767B8" w14:textId="77777777" w:rsidR="0007700B" w:rsidRPr="00D620B6" w:rsidRDefault="0007700B" w:rsidP="0007700B">
      <w:pPr>
        <w:ind w:left="567" w:right="521"/>
        <w:rPr>
          <w:rFonts w:ascii="Times New Roman" w:hAnsi="Times New Roman" w:cs="Times New Roman"/>
          <w:sz w:val="26"/>
          <w:szCs w:val="26"/>
        </w:rPr>
      </w:pPr>
      <w:r w:rsidRPr="00D620B6">
        <w:rPr>
          <w:rFonts w:ascii="Times New Roman" w:hAnsi="Times New Roman" w:cs="Times New Roman"/>
          <w:sz w:val="26"/>
          <w:szCs w:val="26"/>
        </w:rPr>
        <w:t>[27] In the language of Lombard (at 877), when a company has everything to gain and nothing to lose, it would be putting a premium upon vexatious and speculative actions if such practice (namely, compelling security) were not adopted.</w:t>
      </w:r>
    </w:p>
    <w:p w14:paraId="5E62EE03" w14:textId="77777777" w:rsidR="00F44BCA" w:rsidRPr="00F44BCA" w:rsidRDefault="00F44BCA" w:rsidP="00F44BCA"/>
    <w:p w14:paraId="1451BFB6" w14:textId="2853FDC5" w:rsidR="00F66EED" w:rsidRDefault="00846D47" w:rsidP="00846D47">
      <w:pPr>
        <w:pStyle w:val="NUM1"/>
        <w:numPr>
          <w:ilvl w:val="0"/>
          <w:numId w:val="0"/>
        </w:numPr>
        <w:tabs>
          <w:tab w:val="left" w:pos="720"/>
        </w:tabs>
        <w:ind w:left="720" w:hanging="720"/>
      </w:pPr>
      <w:r>
        <w:rPr>
          <w:caps/>
        </w:rPr>
        <w:t>[32]</w:t>
      </w:r>
      <w:r>
        <w:rPr>
          <w:caps/>
        </w:rPr>
        <w:tab/>
      </w:r>
      <w:r w:rsidR="00F66EED">
        <w:t xml:space="preserve">In an alternative exercise of applying a discretion, I come to the same conclusion </w:t>
      </w:r>
      <w:r w:rsidR="005B5E00">
        <w:t xml:space="preserve">as I do above, </w:t>
      </w:r>
      <w:r w:rsidR="00873AED">
        <w:t xml:space="preserve">that the Applicants are entitled to </w:t>
      </w:r>
      <w:r w:rsidR="002C7E43">
        <w:t xml:space="preserve">the </w:t>
      </w:r>
      <w:r w:rsidR="00873AED">
        <w:t>relief</w:t>
      </w:r>
      <w:r w:rsidR="002C7E43">
        <w:t xml:space="preserve"> that they seek</w:t>
      </w:r>
      <w:r w:rsidR="00F66EED">
        <w:t>.</w:t>
      </w:r>
    </w:p>
    <w:p w14:paraId="1F345BB2" w14:textId="77777777" w:rsidR="00F66EED" w:rsidRPr="00F66EED" w:rsidRDefault="00F66EED" w:rsidP="00F66EED"/>
    <w:p w14:paraId="36AE8672" w14:textId="01E4245F" w:rsidR="007726D6" w:rsidRDefault="00846D47" w:rsidP="00846D47">
      <w:pPr>
        <w:pStyle w:val="NUM1"/>
        <w:numPr>
          <w:ilvl w:val="0"/>
          <w:numId w:val="0"/>
        </w:numPr>
        <w:tabs>
          <w:tab w:val="left" w:pos="720"/>
        </w:tabs>
        <w:ind w:left="720" w:hanging="720"/>
      </w:pPr>
      <w:r>
        <w:rPr>
          <w:caps/>
        </w:rPr>
        <w:t>[33]</w:t>
      </w:r>
      <w:r>
        <w:rPr>
          <w:caps/>
        </w:rPr>
        <w:tab/>
      </w:r>
      <w:r w:rsidR="007726D6">
        <w:t xml:space="preserve">There is no cogent reason to deviate from the </w:t>
      </w:r>
      <w:r w:rsidR="004255B9">
        <w:t>principle</w:t>
      </w:r>
      <w:r w:rsidR="007726D6">
        <w:t xml:space="preserve"> that costs follow the successful party.</w:t>
      </w:r>
    </w:p>
    <w:p w14:paraId="60688187" w14:textId="77777777" w:rsidR="007726D6" w:rsidRDefault="007726D6" w:rsidP="007726D6">
      <w:pPr>
        <w:pStyle w:val="NUM1"/>
        <w:numPr>
          <w:ilvl w:val="0"/>
          <w:numId w:val="0"/>
        </w:numPr>
        <w:ind w:left="720"/>
      </w:pPr>
    </w:p>
    <w:p w14:paraId="243E0823" w14:textId="1F4A5679" w:rsidR="0091760B" w:rsidRDefault="00846D47" w:rsidP="00846D47">
      <w:pPr>
        <w:pStyle w:val="NUM1"/>
        <w:numPr>
          <w:ilvl w:val="0"/>
          <w:numId w:val="0"/>
        </w:numPr>
        <w:tabs>
          <w:tab w:val="left" w:pos="720"/>
        </w:tabs>
        <w:ind w:left="720" w:hanging="720"/>
      </w:pPr>
      <w:r>
        <w:rPr>
          <w:caps/>
        </w:rPr>
        <w:t>[34]</w:t>
      </w:r>
      <w:r>
        <w:rPr>
          <w:caps/>
        </w:rPr>
        <w:tab/>
      </w:r>
      <w:r w:rsidR="00021646">
        <w:t>In the result the following order is made:</w:t>
      </w:r>
    </w:p>
    <w:p w14:paraId="7ACAF65C" w14:textId="77777777" w:rsidR="0091760B" w:rsidRDefault="0091760B"/>
    <w:p w14:paraId="575A2AD8" w14:textId="63D28BCE" w:rsidR="00F44BCA" w:rsidRDefault="00846D47" w:rsidP="00846D47">
      <w:pPr>
        <w:pStyle w:val="NUM1TAB"/>
        <w:tabs>
          <w:tab w:val="left" w:pos="0"/>
        </w:tabs>
        <w:ind w:left="1440" w:hanging="360"/>
      </w:pPr>
      <w:r>
        <w:t>1.</w:t>
      </w:r>
      <w:r>
        <w:tab/>
      </w:r>
      <w:r w:rsidR="00021646">
        <w:t xml:space="preserve">The </w:t>
      </w:r>
      <w:r w:rsidR="00F44BCA">
        <w:t xml:space="preserve">Respondents are ordered to furnish security for the Applicants legal costs in the action instituted under the above case </w:t>
      </w:r>
      <w:proofErr w:type="gramStart"/>
      <w:r w:rsidR="00F44BCA">
        <w:t>number;</w:t>
      </w:r>
      <w:proofErr w:type="gramEnd"/>
    </w:p>
    <w:p w14:paraId="392A9163" w14:textId="77777777" w:rsidR="00F44BCA" w:rsidRDefault="00F44BCA" w:rsidP="00F44BCA">
      <w:pPr>
        <w:pStyle w:val="NUM1TAB"/>
        <w:ind w:left="1440"/>
      </w:pPr>
    </w:p>
    <w:p w14:paraId="3118528A" w14:textId="3C1DF1D0" w:rsidR="00F44BCA" w:rsidRDefault="00846D47" w:rsidP="00846D47">
      <w:pPr>
        <w:pStyle w:val="NUM1TAB"/>
        <w:tabs>
          <w:tab w:val="left" w:pos="0"/>
        </w:tabs>
        <w:ind w:left="1440" w:hanging="360"/>
      </w:pPr>
      <w:r>
        <w:t>2.</w:t>
      </w:r>
      <w:r>
        <w:tab/>
      </w:r>
      <w:r w:rsidR="00F44BCA">
        <w:t xml:space="preserve">The form, amount and manner of security to be provided by the Respondents shall be determined by the Registrar of this Court, on application by the </w:t>
      </w:r>
      <w:proofErr w:type="gramStart"/>
      <w:r w:rsidR="00F44BCA">
        <w:t>Applicants;</w:t>
      </w:r>
      <w:proofErr w:type="gramEnd"/>
    </w:p>
    <w:p w14:paraId="0D234E3B" w14:textId="77777777" w:rsidR="00F44BCA" w:rsidRDefault="00F44BCA" w:rsidP="00F44BCA">
      <w:pPr>
        <w:pStyle w:val="ListParagraph"/>
      </w:pPr>
    </w:p>
    <w:p w14:paraId="1E7CD599" w14:textId="1657A9E8" w:rsidR="00235771" w:rsidRDefault="00846D47" w:rsidP="00846D47">
      <w:pPr>
        <w:pStyle w:val="NUM1TAB"/>
        <w:tabs>
          <w:tab w:val="left" w:pos="0"/>
        </w:tabs>
        <w:ind w:left="1440" w:hanging="360"/>
      </w:pPr>
      <w:r>
        <w:lastRenderedPageBreak/>
        <w:t>3.</w:t>
      </w:r>
      <w:r>
        <w:tab/>
      </w:r>
      <w:r w:rsidR="00F44BCA">
        <w:t xml:space="preserve">In the event that the Respondents fail to provide security as determined by the Registrar within </w:t>
      </w:r>
      <w:r w:rsidR="00E66BDF">
        <w:t>9</w:t>
      </w:r>
      <w:r w:rsidR="00F44BCA">
        <w:t xml:space="preserve">0 days of the Registrars determination, the Respondents action shall be </w:t>
      </w:r>
      <w:proofErr w:type="gramStart"/>
      <w:r w:rsidR="00F44BCA">
        <w:t>stayed</w:t>
      </w:r>
      <w:proofErr w:type="gramEnd"/>
      <w:r w:rsidR="00235771">
        <w:t xml:space="preserve"> and the Applicants are authorised to apply for the dismissal of the Respondents action;</w:t>
      </w:r>
    </w:p>
    <w:p w14:paraId="361B0FD8" w14:textId="77777777" w:rsidR="00235771" w:rsidRDefault="00235771" w:rsidP="00235771">
      <w:pPr>
        <w:pStyle w:val="ListParagraph"/>
      </w:pPr>
    </w:p>
    <w:p w14:paraId="473BB353" w14:textId="342BFB62" w:rsidR="00235771" w:rsidRDefault="00846D47" w:rsidP="00846D47">
      <w:pPr>
        <w:pStyle w:val="NUM1TAB"/>
        <w:tabs>
          <w:tab w:val="left" w:pos="0"/>
        </w:tabs>
        <w:ind w:left="1440" w:hanging="360"/>
      </w:pPr>
      <w:r>
        <w:t>4.</w:t>
      </w:r>
      <w:r>
        <w:tab/>
      </w:r>
      <w:r w:rsidR="00235771">
        <w:t xml:space="preserve">The Respondents are to pay the costs of this application including the costs occasioned </w:t>
      </w:r>
      <w:proofErr w:type="gramStart"/>
      <w:r w:rsidR="00235771">
        <w:t>by the use of</w:t>
      </w:r>
      <w:proofErr w:type="gramEnd"/>
      <w:r w:rsidR="00235771">
        <w:t xml:space="preserve"> two Counsel.</w:t>
      </w:r>
    </w:p>
    <w:p w14:paraId="585B5988" w14:textId="77777777" w:rsidR="0091760B" w:rsidRDefault="0091760B"/>
    <w:p w14:paraId="4386A334" w14:textId="77777777" w:rsidR="00AF2725" w:rsidRDefault="00AF2725"/>
    <w:p w14:paraId="1F2FD1D7" w14:textId="77777777" w:rsidR="00E66BDF" w:rsidRDefault="00E66BDF"/>
    <w:p w14:paraId="0891F7AE" w14:textId="77777777" w:rsidR="00E66BDF" w:rsidRDefault="00E66BDF"/>
    <w:p w14:paraId="62D78821" w14:textId="77777777" w:rsidR="0091760B" w:rsidRDefault="00021646">
      <w:pPr>
        <w:keepNext/>
        <w:shd w:val="clear" w:color="auto" w:fill="FFFFFF"/>
        <w:spacing w:line="240" w:lineRule="auto"/>
        <w:jc w:val="right"/>
        <w:rPr>
          <w:rFonts w:ascii="Verdana" w:hAnsi="Verdana" w:cs="Times New Roman"/>
          <w:color w:val="242121"/>
          <w:sz w:val="27"/>
          <w:szCs w:val="27"/>
          <w:lang w:eastAsia="en-ZA"/>
        </w:rPr>
      </w:pPr>
      <w:r>
        <w:rPr>
          <w:color w:val="242121"/>
          <w:lang w:eastAsia="en-ZA"/>
        </w:rPr>
        <w:t>_</w:t>
      </w:r>
      <w:r w:rsidR="00F727A8">
        <w:rPr>
          <w:color w:val="242121"/>
          <w:lang w:eastAsia="en-ZA"/>
        </w:rPr>
        <w:t>___</w:t>
      </w:r>
      <w:r>
        <w:rPr>
          <w:color w:val="242121"/>
          <w:lang w:eastAsia="en-ZA"/>
        </w:rPr>
        <w:t>____________________________</w:t>
      </w:r>
    </w:p>
    <w:p w14:paraId="018E437E" w14:textId="77777777" w:rsidR="0091760B" w:rsidRDefault="00021646">
      <w:pPr>
        <w:keepNext/>
        <w:shd w:val="clear" w:color="auto" w:fill="FFFFFF"/>
        <w:spacing w:line="360" w:lineRule="auto"/>
        <w:jc w:val="right"/>
        <w:rPr>
          <w:rFonts w:ascii="Verdana" w:hAnsi="Verdana" w:cs="Times New Roman"/>
          <w:color w:val="242121"/>
          <w:sz w:val="27"/>
          <w:szCs w:val="27"/>
          <w:lang w:eastAsia="en-ZA"/>
        </w:rPr>
      </w:pPr>
      <w:r>
        <w:rPr>
          <w:b/>
          <w:bCs/>
          <w:color w:val="242121"/>
          <w:lang w:eastAsia="en-ZA"/>
        </w:rPr>
        <w:t>Z KHAN</w:t>
      </w:r>
    </w:p>
    <w:p w14:paraId="49BFE2A8" w14:textId="77777777" w:rsidR="0091760B" w:rsidRDefault="00021646">
      <w:pPr>
        <w:keepNext/>
        <w:shd w:val="clear" w:color="auto" w:fill="FFFFFF"/>
        <w:spacing w:line="360" w:lineRule="auto"/>
        <w:jc w:val="right"/>
        <w:rPr>
          <w:rFonts w:ascii="Verdana" w:hAnsi="Verdana" w:cs="Times New Roman"/>
          <w:color w:val="242121"/>
          <w:sz w:val="27"/>
          <w:szCs w:val="27"/>
          <w:lang w:eastAsia="en-ZA"/>
        </w:rPr>
      </w:pPr>
      <w:r>
        <w:rPr>
          <w:color w:val="242121"/>
          <w:lang w:eastAsia="en-ZA"/>
        </w:rPr>
        <w:t>ACTING JUDGE OF THE HIGH COURT</w:t>
      </w:r>
    </w:p>
    <w:p w14:paraId="6167357A" w14:textId="77777777" w:rsidR="0091760B" w:rsidRDefault="00021646">
      <w:pPr>
        <w:keepNext/>
        <w:shd w:val="clear" w:color="auto" w:fill="FFFFFF"/>
        <w:spacing w:line="360" w:lineRule="auto"/>
        <w:jc w:val="right"/>
        <w:rPr>
          <w:color w:val="242121"/>
          <w:lang w:eastAsia="en-ZA"/>
        </w:rPr>
      </w:pPr>
      <w:r>
        <w:rPr>
          <w:color w:val="242121"/>
          <w:lang w:eastAsia="en-ZA"/>
        </w:rPr>
        <w:t>GAUTENG DIVISION, JOHANNESBURG</w:t>
      </w:r>
    </w:p>
    <w:p w14:paraId="4F7B6495" w14:textId="77777777" w:rsidR="0091760B" w:rsidRDefault="0091760B">
      <w:pPr>
        <w:rPr>
          <w:lang w:eastAsia="en-ZA"/>
        </w:rPr>
      </w:pPr>
    </w:p>
    <w:p w14:paraId="4BCE8B1C" w14:textId="77777777" w:rsidR="0091760B" w:rsidRDefault="00021646">
      <w:pPr>
        <w:spacing w:line="240" w:lineRule="auto"/>
        <w:rPr>
          <w:rFonts w:ascii="Verdana" w:hAnsi="Verdana" w:cs="Times New Roman"/>
          <w:color w:val="242121"/>
          <w:sz w:val="27"/>
          <w:szCs w:val="27"/>
          <w:lang w:eastAsia="en-ZA"/>
        </w:rPr>
      </w:pPr>
      <w:r>
        <w:rPr>
          <w:i/>
          <w:iCs/>
          <w:color w:val="242121"/>
          <w:lang w:eastAsia="en-ZA"/>
        </w:rPr>
        <w:t xml:space="preserve">This judgment was handed down electronically by circulation to the parties’ and/or parties’ representatives by email and by being uploaded to </w:t>
      </w:r>
      <w:proofErr w:type="spellStart"/>
      <w:r>
        <w:rPr>
          <w:i/>
          <w:iCs/>
          <w:color w:val="242121"/>
          <w:lang w:eastAsia="en-ZA"/>
        </w:rPr>
        <w:t>Caseline</w:t>
      </w:r>
      <w:proofErr w:type="spellEnd"/>
      <w:r>
        <w:rPr>
          <w:i/>
          <w:iCs/>
          <w:color w:val="242121"/>
          <w:lang w:eastAsia="en-ZA"/>
        </w:rPr>
        <w:t xml:space="preserve">. The date and time for hand-down is deemed to as reflected on the </w:t>
      </w:r>
      <w:proofErr w:type="spellStart"/>
      <w:r>
        <w:rPr>
          <w:i/>
          <w:iCs/>
          <w:color w:val="242121"/>
          <w:lang w:eastAsia="en-ZA"/>
        </w:rPr>
        <w:t>Caseline</w:t>
      </w:r>
      <w:proofErr w:type="spellEnd"/>
      <w:r>
        <w:rPr>
          <w:i/>
          <w:iCs/>
          <w:color w:val="242121"/>
          <w:lang w:eastAsia="en-ZA"/>
        </w:rPr>
        <w:t xml:space="preserve"> computer system.</w:t>
      </w:r>
    </w:p>
    <w:p w14:paraId="4DBB88FD" w14:textId="77777777" w:rsidR="0091760B" w:rsidRDefault="0091760B">
      <w:pPr>
        <w:rPr>
          <w:lang w:eastAsia="en-ZA"/>
        </w:rPr>
      </w:pPr>
    </w:p>
    <w:p w14:paraId="2E832741" w14:textId="77777777" w:rsidR="00F727A8" w:rsidRDefault="00F727A8">
      <w:pPr>
        <w:rPr>
          <w:lang w:eastAsia="en-ZA"/>
        </w:rPr>
      </w:pPr>
    </w:p>
    <w:p w14:paraId="7885BE2E" w14:textId="77777777" w:rsidR="0091760B" w:rsidRDefault="00021646">
      <w:pPr>
        <w:rPr>
          <w:rFonts w:ascii="Verdana" w:hAnsi="Verdana" w:cs="Times New Roman"/>
          <w:b/>
          <w:bCs/>
          <w:color w:val="242121"/>
          <w:sz w:val="27"/>
          <w:szCs w:val="27"/>
          <w:lang w:eastAsia="en-ZA"/>
        </w:rPr>
      </w:pPr>
      <w:r>
        <w:rPr>
          <w:b/>
          <w:bCs/>
          <w:color w:val="242121"/>
          <w:lang w:eastAsia="en-ZA"/>
        </w:rPr>
        <w:t>DATE OF HEARING</w:t>
      </w:r>
      <w:r w:rsidR="00E41052">
        <w:rPr>
          <w:b/>
          <w:bCs/>
          <w:color w:val="242121"/>
          <w:lang w:eastAsia="en-ZA"/>
        </w:rPr>
        <w:tab/>
      </w:r>
      <w:r>
        <w:rPr>
          <w:b/>
          <w:bCs/>
          <w:color w:val="242121"/>
          <w:lang w:eastAsia="en-ZA"/>
        </w:rPr>
        <w:t>:</w:t>
      </w:r>
      <w:r>
        <w:rPr>
          <w:b/>
          <w:bCs/>
          <w:color w:val="242121"/>
          <w:lang w:eastAsia="en-ZA"/>
        </w:rPr>
        <w:tab/>
      </w:r>
      <w:r w:rsidR="00E41052">
        <w:rPr>
          <w:b/>
          <w:bCs/>
          <w:color w:val="242121"/>
          <w:lang w:eastAsia="en-ZA"/>
        </w:rPr>
        <w:t>23</w:t>
      </w:r>
      <w:r>
        <w:rPr>
          <w:b/>
          <w:bCs/>
        </w:rPr>
        <w:t xml:space="preserve"> FEBRUARY 2024</w:t>
      </w:r>
    </w:p>
    <w:p w14:paraId="3DDDD52F" w14:textId="77777777" w:rsidR="00E41052" w:rsidRDefault="00E41052" w:rsidP="00E41052">
      <w:pPr>
        <w:rPr>
          <w:rFonts w:ascii="Verdana" w:hAnsi="Verdana" w:cs="Times New Roman"/>
          <w:b/>
          <w:bCs/>
          <w:color w:val="242121"/>
          <w:sz w:val="27"/>
          <w:szCs w:val="27"/>
          <w:lang w:eastAsia="en-ZA"/>
        </w:rPr>
      </w:pPr>
      <w:r>
        <w:rPr>
          <w:b/>
          <w:bCs/>
          <w:color w:val="242121"/>
          <w:lang w:eastAsia="en-ZA"/>
        </w:rPr>
        <w:t>DATE OF JUDGMENT</w:t>
      </w:r>
      <w:r>
        <w:rPr>
          <w:b/>
          <w:bCs/>
          <w:color w:val="242121"/>
          <w:lang w:eastAsia="en-ZA"/>
        </w:rPr>
        <w:tab/>
        <w:t>:</w:t>
      </w:r>
      <w:r>
        <w:rPr>
          <w:b/>
          <w:bCs/>
          <w:color w:val="242121"/>
          <w:lang w:eastAsia="en-ZA"/>
        </w:rPr>
        <w:tab/>
      </w:r>
      <w:r w:rsidR="009B5F97">
        <w:rPr>
          <w:b/>
          <w:bCs/>
          <w:color w:val="242121"/>
          <w:lang w:eastAsia="en-ZA"/>
        </w:rPr>
        <w:t>06</w:t>
      </w:r>
      <w:r>
        <w:rPr>
          <w:b/>
          <w:bCs/>
          <w:color w:val="242121"/>
          <w:lang w:eastAsia="en-ZA"/>
        </w:rPr>
        <w:t xml:space="preserve"> </w:t>
      </w:r>
      <w:r w:rsidR="009B5F97">
        <w:rPr>
          <w:b/>
          <w:bCs/>
          <w:color w:val="242121"/>
          <w:lang w:eastAsia="en-ZA"/>
        </w:rPr>
        <w:t>MAY</w:t>
      </w:r>
      <w:r>
        <w:rPr>
          <w:b/>
          <w:bCs/>
          <w:color w:val="242121"/>
          <w:lang w:eastAsia="en-ZA"/>
        </w:rPr>
        <w:t xml:space="preserve"> 202</w:t>
      </w:r>
      <w:r w:rsidR="00081921">
        <w:rPr>
          <w:b/>
          <w:bCs/>
          <w:color w:val="242121"/>
          <w:lang w:eastAsia="en-ZA"/>
        </w:rPr>
        <w:t>4</w:t>
      </w:r>
    </w:p>
    <w:p w14:paraId="02484A43" w14:textId="77777777" w:rsidR="0091760B" w:rsidRDefault="0091760B">
      <w:pPr>
        <w:rPr>
          <w:lang w:eastAsia="en-ZA"/>
        </w:rPr>
      </w:pPr>
    </w:p>
    <w:p w14:paraId="2A55AC2E" w14:textId="77777777" w:rsidR="0091760B" w:rsidRDefault="0091760B">
      <w:pPr>
        <w:rPr>
          <w:lang w:eastAsia="en-ZA"/>
        </w:rPr>
      </w:pPr>
    </w:p>
    <w:p w14:paraId="33BB3143" w14:textId="77777777" w:rsidR="0091760B" w:rsidRDefault="0091760B">
      <w:pPr>
        <w:rPr>
          <w:lang w:eastAsia="en-ZA"/>
        </w:rPr>
      </w:pPr>
    </w:p>
    <w:p w14:paraId="2F5DABEF" w14:textId="77777777" w:rsidR="0091760B" w:rsidRDefault="00021646">
      <w:pPr>
        <w:keepNext/>
        <w:tabs>
          <w:tab w:val="left" w:pos="4253"/>
        </w:tabs>
        <w:rPr>
          <w:rFonts w:ascii="Verdana" w:hAnsi="Verdana" w:cs="Times New Roman"/>
          <w:b/>
          <w:bCs/>
          <w:color w:val="242121"/>
          <w:sz w:val="27"/>
          <w:szCs w:val="27"/>
          <w:lang w:eastAsia="en-ZA"/>
        </w:rPr>
      </w:pPr>
      <w:r w:rsidRPr="008A7D28">
        <w:rPr>
          <w:b/>
          <w:bCs/>
          <w:color w:val="242121"/>
          <w:u w:val="single"/>
          <w:lang w:eastAsia="en-ZA"/>
        </w:rPr>
        <w:lastRenderedPageBreak/>
        <w:t>APPEARANCES</w:t>
      </w:r>
      <w:r>
        <w:rPr>
          <w:b/>
          <w:bCs/>
          <w:color w:val="242121"/>
          <w:lang w:eastAsia="en-ZA"/>
        </w:rPr>
        <w:t>:</w:t>
      </w:r>
    </w:p>
    <w:p w14:paraId="3799CC70" w14:textId="77777777" w:rsidR="0091760B" w:rsidRDefault="0091760B">
      <w:pPr>
        <w:keepNext/>
        <w:tabs>
          <w:tab w:val="left" w:pos="5812"/>
        </w:tabs>
        <w:rPr>
          <w:b/>
          <w:bCs/>
          <w:color w:val="242121"/>
          <w:lang w:eastAsia="en-ZA"/>
        </w:rPr>
      </w:pPr>
    </w:p>
    <w:p w14:paraId="2244ABA6" w14:textId="77777777" w:rsidR="0091760B" w:rsidRDefault="00021646">
      <w:pPr>
        <w:tabs>
          <w:tab w:val="left" w:pos="5812"/>
        </w:tabs>
        <w:rPr>
          <w:b/>
          <w:bCs/>
          <w:color w:val="242121"/>
          <w:lang w:eastAsia="en-ZA"/>
        </w:rPr>
      </w:pPr>
      <w:r>
        <w:rPr>
          <w:b/>
          <w:bCs/>
          <w:color w:val="242121"/>
          <w:lang w:eastAsia="en-ZA"/>
        </w:rPr>
        <w:t>COUNSEL FOR THE APPLICANTS:</w:t>
      </w:r>
      <w:r>
        <w:rPr>
          <w:b/>
          <w:bCs/>
          <w:color w:val="242121"/>
          <w:lang w:eastAsia="en-ZA"/>
        </w:rPr>
        <w:tab/>
        <w:t>PT ROOD SC</w:t>
      </w:r>
    </w:p>
    <w:p w14:paraId="3F79B34E" w14:textId="77777777" w:rsidR="0091760B" w:rsidRDefault="00021646">
      <w:pPr>
        <w:tabs>
          <w:tab w:val="left" w:pos="5812"/>
        </w:tabs>
        <w:rPr>
          <w:b/>
          <w:bCs/>
          <w:color w:val="242121"/>
          <w:lang w:eastAsia="en-ZA"/>
        </w:rPr>
      </w:pPr>
      <w:r>
        <w:rPr>
          <w:b/>
          <w:bCs/>
          <w:color w:val="242121"/>
          <w:lang w:eastAsia="en-ZA"/>
        </w:rPr>
        <w:tab/>
        <w:t>MTA COSTA</w:t>
      </w:r>
    </w:p>
    <w:p w14:paraId="3AE0936C" w14:textId="77777777" w:rsidR="0091760B" w:rsidRDefault="0091760B">
      <w:pPr>
        <w:tabs>
          <w:tab w:val="left" w:pos="5812"/>
        </w:tabs>
        <w:rPr>
          <w:b/>
          <w:bCs/>
          <w:color w:val="242121"/>
          <w:lang w:eastAsia="en-ZA"/>
        </w:rPr>
      </w:pPr>
    </w:p>
    <w:p w14:paraId="54847924" w14:textId="77777777" w:rsidR="0091760B" w:rsidRDefault="00021646">
      <w:pPr>
        <w:tabs>
          <w:tab w:val="left" w:pos="5812"/>
        </w:tabs>
        <w:rPr>
          <w:b/>
          <w:bCs/>
        </w:rPr>
      </w:pPr>
      <w:r>
        <w:rPr>
          <w:b/>
          <w:bCs/>
          <w:color w:val="242121"/>
          <w:lang w:eastAsia="en-ZA"/>
        </w:rPr>
        <w:t>ATTORNEY FOR THE APPLICANTS:</w:t>
      </w:r>
      <w:r>
        <w:rPr>
          <w:b/>
          <w:bCs/>
          <w:color w:val="242121"/>
          <w:lang w:eastAsia="en-ZA"/>
        </w:rPr>
        <w:tab/>
      </w:r>
      <w:r w:rsidR="00E41052">
        <w:rPr>
          <w:b/>
          <w:bCs/>
          <w:color w:val="242121"/>
          <w:lang w:eastAsia="en-ZA"/>
        </w:rPr>
        <w:t>KERN &amp; PARTNERS</w:t>
      </w:r>
    </w:p>
    <w:p w14:paraId="79282AEC" w14:textId="77777777" w:rsidR="0091760B" w:rsidRDefault="0091760B">
      <w:pPr>
        <w:keepNext/>
        <w:tabs>
          <w:tab w:val="left" w:pos="5812"/>
        </w:tabs>
        <w:rPr>
          <w:b/>
          <w:bCs/>
          <w:color w:val="242121"/>
          <w:lang w:eastAsia="en-ZA"/>
        </w:rPr>
      </w:pPr>
    </w:p>
    <w:p w14:paraId="15039F91" w14:textId="77777777" w:rsidR="0091760B" w:rsidRDefault="0091760B">
      <w:pPr>
        <w:keepNext/>
        <w:tabs>
          <w:tab w:val="left" w:pos="5812"/>
        </w:tabs>
        <w:rPr>
          <w:b/>
          <w:bCs/>
          <w:color w:val="242121"/>
          <w:lang w:eastAsia="en-ZA"/>
        </w:rPr>
      </w:pPr>
    </w:p>
    <w:p w14:paraId="470D2CA8" w14:textId="77777777" w:rsidR="0091760B" w:rsidRDefault="00021646">
      <w:pPr>
        <w:keepNext/>
        <w:tabs>
          <w:tab w:val="left" w:pos="5812"/>
        </w:tabs>
        <w:rPr>
          <w:b/>
          <w:bCs/>
          <w:color w:val="242121"/>
          <w:lang w:eastAsia="en-ZA"/>
        </w:rPr>
      </w:pPr>
      <w:r>
        <w:rPr>
          <w:b/>
          <w:bCs/>
          <w:color w:val="242121"/>
          <w:lang w:eastAsia="en-ZA"/>
        </w:rPr>
        <w:t>COUNSEL FOR THE RESPONDENTS:</w:t>
      </w:r>
      <w:r>
        <w:rPr>
          <w:b/>
          <w:bCs/>
          <w:color w:val="242121"/>
          <w:lang w:eastAsia="en-ZA"/>
        </w:rPr>
        <w:tab/>
        <w:t>J DANIELS SC</w:t>
      </w:r>
      <w:r>
        <w:rPr>
          <w:b/>
          <w:bCs/>
          <w:color w:val="242121"/>
          <w:lang w:eastAsia="en-ZA"/>
        </w:rPr>
        <w:tab/>
      </w:r>
    </w:p>
    <w:p w14:paraId="5F76FE99" w14:textId="77777777" w:rsidR="0091760B" w:rsidRDefault="00021646">
      <w:pPr>
        <w:keepNext/>
        <w:tabs>
          <w:tab w:val="left" w:pos="5812"/>
        </w:tabs>
        <w:rPr>
          <w:b/>
          <w:bCs/>
        </w:rPr>
      </w:pPr>
      <w:r>
        <w:rPr>
          <w:b/>
          <w:bCs/>
          <w:color w:val="242121"/>
          <w:lang w:eastAsia="en-ZA"/>
        </w:rPr>
        <w:tab/>
        <w:t>M DESAI</w:t>
      </w:r>
    </w:p>
    <w:p w14:paraId="73121E0D" w14:textId="77777777" w:rsidR="0091760B" w:rsidRDefault="00021646">
      <w:pPr>
        <w:keepNext/>
        <w:tabs>
          <w:tab w:val="left" w:pos="5812"/>
        </w:tabs>
        <w:rPr>
          <w:rFonts w:ascii="Verdana" w:hAnsi="Verdana" w:cs="Times New Roman"/>
          <w:b/>
          <w:bCs/>
          <w:color w:val="242121"/>
          <w:sz w:val="27"/>
          <w:szCs w:val="27"/>
          <w:lang w:eastAsia="en-ZA"/>
        </w:rPr>
      </w:pPr>
      <w:r>
        <w:rPr>
          <w:b/>
          <w:bCs/>
        </w:rPr>
        <w:tab/>
      </w:r>
    </w:p>
    <w:p w14:paraId="1917DD33" w14:textId="77777777" w:rsidR="0091760B" w:rsidRDefault="00021646">
      <w:pPr>
        <w:tabs>
          <w:tab w:val="left" w:pos="5812"/>
        </w:tabs>
        <w:rPr>
          <w:rFonts w:ascii="Verdana" w:hAnsi="Verdana" w:cs="Times New Roman"/>
          <w:b/>
          <w:bCs/>
          <w:color w:val="242121"/>
          <w:sz w:val="27"/>
          <w:szCs w:val="27"/>
          <w:lang w:eastAsia="en-ZA"/>
        </w:rPr>
      </w:pPr>
      <w:r>
        <w:rPr>
          <w:b/>
          <w:bCs/>
          <w:color w:val="242121"/>
          <w:lang w:eastAsia="en-ZA"/>
        </w:rPr>
        <w:t>ATTORNEY FOR THE RESPONDENTS:</w:t>
      </w:r>
      <w:r>
        <w:rPr>
          <w:b/>
          <w:bCs/>
          <w:color w:val="242121"/>
          <w:lang w:eastAsia="en-ZA"/>
        </w:rPr>
        <w:tab/>
      </w:r>
      <w:r w:rsidR="00E41052">
        <w:rPr>
          <w:b/>
          <w:bCs/>
          <w:color w:val="242121"/>
          <w:lang w:eastAsia="en-ZA"/>
        </w:rPr>
        <w:t xml:space="preserve">COX YEATS ATTORNEYS </w:t>
      </w:r>
    </w:p>
    <w:p w14:paraId="438DA666" w14:textId="77777777" w:rsidR="0091760B" w:rsidRDefault="0091760B">
      <w:pPr>
        <w:tabs>
          <w:tab w:val="left" w:pos="5812"/>
        </w:tabs>
        <w:rPr>
          <w:b/>
          <w:bCs/>
          <w:color w:val="242121"/>
          <w:lang w:eastAsia="en-ZA"/>
        </w:rPr>
      </w:pPr>
    </w:p>
    <w:p w14:paraId="2C356BBA" w14:textId="77777777" w:rsidR="0091760B" w:rsidRDefault="0091760B">
      <w:pPr>
        <w:tabs>
          <w:tab w:val="left" w:pos="5812"/>
        </w:tabs>
        <w:rPr>
          <w:b/>
          <w:bCs/>
          <w:color w:val="242121"/>
          <w:lang w:eastAsia="en-ZA"/>
        </w:rPr>
      </w:pPr>
    </w:p>
    <w:sectPr w:rsidR="0091760B">
      <w:headerReference w:type="default" r:id="rId11"/>
      <w:headerReference w:type="first" r:id="rId12"/>
      <w:pgSz w:w="11906" w:h="16838"/>
      <w:pgMar w:top="1440" w:right="1440" w:bottom="1440" w:left="1440"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0F39E" w14:textId="77777777" w:rsidR="008110F4" w:rsidRDefault="008110F4">
      <w:pPr>
        <w:spacing w:line="240" w:lineRule="auto"/>
      </w:pPr>
      <w:r>
        <w:separator/>
      </w:r>
    </w:p>
  </w:endnote>
  <w:endnote w:type="continuationSeparator" w:id="0">
    <w:p w14:paraId="628703C1" w14:textId="77777777" w:rsidR="008110F4" w:rsidRDefault="00811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AEBFC" w14:textId="77777777" w:rsidR="008110F4" w:rsidRDefault="008110F4">
      <w:pPr>
        <w:rPr>
          <w:sz w:val="12"/>
        </w:rPr>
      </w:pPr>
      <w:r>
        <w:separator/>
      </w:r>
    </w:p>
  </w:footnote>
  <w:footnote w:type="continuationSeparator" w:id="0">
    <w:p w14:paraId="366523F3" w14:textId="77777777" w:rsidR="008110F4" w:rsidRDefault="008110F4">
      <w:pPr>
        <w:rPr>
          <w:sz w:val="12"/>
        </w:rPr>
      </w:pPr>
      <w:r>
        <w:continuationSeparator/>
      </w:r>
    </w:p>
  </w:footnote>
  <w:footnote w:id="1">
    <w:p w14:paraId="57232481" w14:textId="77777777" w:rsidR="00520C0B" w:rsidRDefault="00520C0B">
      <w:pPr>
        <w:pStyle w:val="FootnoteText"/>
      </w:pPr>
      <w:r>
        <w:rPr>
          <w:rStyle w:val="FootnoteReference"/>
        </w:rPr>
        <w:footnoteRef/>
      </w:r>
      <w:r>
        <w:t xml:space="preserve"> </w:t>
      </w:r>
      <w:r w:rsidR="00474F8F" w:rsidRPr="00474F8F">
        <w:t>Finn’s Trustee v Prior 1919 EDL 133 at 137 approved in Gert de Jager (</w:t>
      </w:r>
      <w:proofErr w:type="spellStart"/>
      <w:r w:rsidR="00474F8F" w:rsidRPr="00474F8F">
        <w:t>Edms</w:t>
      </w:r>
      <w:proofErr w:type="spellEnd"/>
      <w:r w:rsidR="00474F8F" w:rsidRPr="00474F8F">
        <w:t xml:space="preserve">) </w:t>
      </w:r>
      <w:proofErr w:type="spellStart"/>
      <w:r w:rsidR="00474F8F" w:rsidRPr="00474F8F">
        <w:t>Bpk</w:t>
      </w:r>
      <w:proofErr w:type="spellEnd"/>
      <w:r w:rsidR="00474F8F" w:rsidRPr="00474F8F">
        <w:t xml:space="preserve"> v Jones NO </w:t>
      </w:r>
      <w:proofErr w:type="spellStart"/>
      <w:r w:rsidR="00474F8F" w:rsidRPr="00474F8F">
        <w:t>en</w:t>
      </w:r>
      <w:proofErr w:type="spellEnd"/>
      <w:r w:rsidR="00474F8F" w:rsidRPr="00474F8F">
        <w:t xml:space="preserve"> McHardy NO 1964 (3) SA 325 (A) 331A.</w:t>
      </w:r>
    </w:p>
  </w:footnote>
  <w:footnote w:id="2">
    <w:p w14:paraId="7A3C5B47" w14:textId="77777777" w:rsidR="00582751" w:rsidRDefault="00582751">
      <w:pPr>
        <w:pStyle w:val="FootnoteText"/>
      </w:pPr>
      <w:r>
        <w:rPr>
          <w:rStyle w:val="FootnoteReference"/>
        </w:rPr>
        <w:footnoteRef/>
      </w:r>
      <w:r>
        <w:t xml:space="preserve"> Ecker v Dean 1937 AD 254</w:t>
      </w:r>
    </w:p>
  </w:footnote>
  <w:footnote w:id="3">
    <w:p w14:paraId="78869AA4" w14:textId="77777777" w:rsidR="00FB1C56" w:rsidRDefault="00FB1C56">
      <w:pPr>
        <w:pStyle w:val="FootnoteText"/>
      </w:pPr>
      <w:r>
        <w:rPr>
          <w:rStyle w:val="FootnoteReference"/>
        </w:rPr>
        <w:footnoteRef/>
      </w:r>
      <w:r>
        <w:t xml:space="preserve">  African Farms and Townships Ltd v Cape Town Municipality 1963 (2) SA 555 (A)</w:t>
      </w:r>
    </w:p>
    <w:p w14:paraId="5EE77C7D" w14:textId="77777777" w:rsidR="00FB1C56" w:rsidRDefault="00FB1C56">
      <w:pPr>
        <w:pStyle w:val="FootnoteText"/>
      </w:pPr>
    </w:p>
  </w:footnote>
  <w:footnote w:id="4">
    <w:p w14:paraId="719FAB70" w14:textId="77777777" w:rsidR="00BB21B5" w:rsidRDefault="00BB21B5">
      <w:pPr>
        <w:pStyle w:val="FootnoteText"/>
      </w:pPr>
      <w:r>
        <w:rPr>
          <w:rStyle w:val="FootnoteReference"/>
        </w:rPr>
        <w:footnoteRef/>
      </w:r>
      <w:r>
        <w:t xml:space="preserve"> </w:t>
      </w:r>
      <w:r w:rsidRPr="00BB21B5">
        <w:t>Golden International Navigation SA v Zeba Maritime Comp</w:t>
      </w:r>
      <w:r>
        <w:t>a</w:t>
      </w:r>
      <w:r w:rsidRPr="00BB21B5">
        <w:t xml:space="preserve">ny Limited, Zeba Maritime Company Limited v </w:t>
      </w:r>
      <w:proofErr w:type="spellStart"/>
      <w:r w:rsidRPr="00BB21B5">
        <w:t>Visvliet</w:t>
      </w:r>
      <w:proofErr w:type="spellEnd"/>
      <w:r w:rsidRPr="00BB21B5">
        <w:t xml:space="preserve"> 2008 (3) SA 10 (C)</w:t>
      </w:r>
    </w:p>
    <w:p w14:paraId="1580D456" w14:textId="77777777" w:rsidR="00BB21B5" w:rsidRDefault="00BB21B5">
      <w:pPr>
        <w:pStyle w:val="FootnoteText"/>
      </w:pPr>
    </w:p>
  </w:footnote>
  <w:footnote w:id="5">
    <w:p w14:paraId="0A5EA968" w14:textId="77777777" w:rsidR="00BB21B5" w:rsidRDefault="00BB21B5">
      <w:pPr>
        <w:pStyle w:val="FootnoteText"/>
      </w:pPr>
      <w:r>
        <w:rPr>
          <w:rStyle w:val="FootnoteReference"/>
        </w:rPr>
        <w:footnoteRef/>
      </w:r>
      <w:r>
        <w:t xml:space="preserve">  2008 (4) SA 1 (SCA) para 21</w:t>
      </w:r>
    </w:p>
  </w:footnote>
  <w:footnote w:id="6">
    <w:p w14:paraId="6C95BD2A" w14:textId="77777777" w:rsidR="00221425" w:rsidRDefault="00221425">
      <w:pPr>
        <w:pStyle w:val="FootnoteText"/>
      </w:pPr>
      <w:r>
        <w:rPr>
          <w:rStyle w:val="FootnoteReference"/>
        </w:rPr>
        <w:footnoteRef/>
      </w:r>
      <w:r>
        <w:t xml:space="preserve"> </w:t>
      </w:r>
      <w:r w:rsidRPr="00221425">
        <w:t xml:space="preserve">Cooper NNO v Mutual and Federal </w:t>
      </w:r>
      <w:proofErr w:type="spellStart"/>
      <w:r w:rsidRPr="00221425">
        <w:t>Versekeringsmaatskappy</w:t>
      </w:r>
      <w:proofErr w:type="spellEnd"/>
      <w:r w:rsidRPr="00221425">
        <w:t xml:space="preserve"> </w:t>
      </w:r>
      <w:proofErr w:type="spellStart"/>
      <w:r w:rsidRPr="00221425">
        <w:t>Bpk</w:t>
      </w:r>
      <w:proofErr w:type="spellEnd"/>
      <w:r w:rsidRPr="00221425">
        <w:t xml:space="preserve"> 2002 (2) SA 863 (O) 874B-C</w:t>
      </w:r>
    </w:p>
    <w:p w14:paraId="4786F1EA" w14:textId="77777777" w:rsidR="00221425" w:rsidRDefault="00221425">
      <w:pPr>
        <w:pStyle w:val="FootnoteText"/>
      </w:pPr>
    </w:p>
  </w:footnote>
  <w:footnote w:id="7">
    <w:p w14:paraId="1EFB6903" w14:textId="77777777" w:rsidR="00221425" w:rsidRDefault="00221425">
      <w:pPr>
        <w:pStyle w:val="FootnoteText"/>
      </w:pPr>
      <w:r>
        <w:rPr>
          <w:rStyle w:val="FootnoteReference"/>
        </w:rPr>
        <w:footnoteRef/>
      </w:r>
      <w:r>
        <w:t xml:space="preserve"> </w:t>
      </w:r>
      <w:r w:rsidRPr="00221425">
        <w:t>Waste-Tech (Pty) Ltd v Van Zyl and Glanville 2000 (2) SA 400 (SE) at 404C 404G-</w:t>
      </w:r>
      <w:proofErr w:type="gramStart"/>
      <w:r w:rsidRPr="00221425">
        <w:t>H</w:t>
      </w:r>
      <w:proofErr w:type="gramEnd"/>
    </w:p>
    <w:p w14:paraId="2DF86B1D" w14:textId="77777777" w:rsidR="00221425" w:rsidRDefault="00221425">
      <w:pPr>
        <w:pStyle w:val="FootnoteText"/>
      </w:pPr>
    </w:p>
  </w:footnote>
  <w:footnote w:id="8">
    <w:p w14:paraId="2E31F4E7" w14:textId="77777777" w:rsidR="00BC7F4A" w:rsidRDefault="00BC7F4A">
      <w:pPr>
        <w:pStyle w:val="FootnoteText"/>
      </w:pPr>
      <w:r>
        <w:rPr>
          <w:rStyle w:val="FootnoteReference"/>
        </w:rPr>
        <w:footnoteRef/>
      </w:r>
      <w:r>
        <w:t xml:space="preserve"> </w:t>
      </w:r>
      <w:r w:rsidRPr="00B24788">
        <w:t xml:space="preserve">Duet and Magnum Financial Services CC and Liquidation v Koster 2010 </w:t>
      </w:r>
      <w:r>
        <w:t>(</w:t>
      </w:r>
      <w:r w:rsidRPr="00B24788">
        <w:t>4</w:t>
      </w:r>
      <w:r>
        <w:t>)</w:t>
      </w:r>
      <w:r w:rsidRPr="00B24788">
        <w:t xml:space="preserve"> SA </w:t>
      </w:r>
      <w:r>
        <w:t>499</w:t>
      </w:r>
      <w:r w:rsidRPr="00B24788">
        <w:t xml:space="preserve"> (SCA)</w:t>
      </w:r>
    </w:p>
  </w:footnote>
  <w:footnote w:id="9">
    <w:p w14:paraId="4D8D12B1" w14:textId="77777777" w:rsidR="0094710C" w:rsidRDefault="0094710C">
      <w:pPr>
        <w:pStyle w:val="FootnoteText"/>
      </w:pPr>
      <w:r>
        <w:rPr>
          <w:rStyle w:val="FootnoteReference"/>
        </w:rPr>
        <w:footnoteRef/>
      </w:r>
      <w:r>
        <w:t xml:space="preserve">  </w:t>
      </w:r>
      <w:proofErr w:type="spellStart"/>
      <w:r w:rsidRPr="004F4628">
        <w:t>Makate</w:t>
      </w:r>
      <w:proofErr w:type="spellEnd"/>
      <w:r w:rsidRPr="004F4628">
        <w:t xml:space="preserve"> v Vodacom (Pty) Ltd 2016 (4) SA 121 (CC)</w:t>
      </w:r>
    </w:p>
    <w:p w14:paraId="3812E2CC" w14:textId="77777777" w:rsidR="0094710C" w:rsidRDefault="0094710C">
      <w:pPr>
        <w:pStyle w:val="FootnoteText"/>
      </w:pPr>
    </w:p>
  </w:footnote>
  <w:footnote w:id="10">
    <w:p w14:paraId="4793856C" w14:textId="77777777" w:rsidR="005A1B44" w:rsidRDefault="005A1B44" w:rsidP="000D6C0F">
      <w:pPr>
        <w:pStyle w:val="FootnoteText"/>
      </w:pPr>
      <w:r>
        <w:rPr>
          <w:rStyle w:val="FootnoteReference"/>
        </w:rPr>
        <w:footnoteRef/>
      </w:r>
      <w:r>
        <w:t xml:space="preserve"> </w:t>
      </w:r>
      <w:r w:rsidRPr="002C2735">
        <w:t>1996 (1) SA 141 (A)</w:t>
      </w:r>
    </w:p>
  </w:footnote>
  <w:footnote w:id="11">
    <w:p w14:paraId="01726DDC" w14:textId="77777777" w:rsidR="00D846F2" w:rsidRDefault="00D846F2" w:rsidP="00D73D52">
      <w:pPr>
        <w:pStyle w:val="FootnoteText"/>
        <w:ind w:left="0" w:firstLine="0"/>
      </w:pPr>
      <w:r>
        <w:rPr>
          <w:rStyle w:val="FootnoteReference"/>
        </w:rPr>
        <w:footnoteRef/>
      </w:r>
      <w:r>
        <w:t xml:space="preserve"> </w:t>
      </w:r>
      <w:r w:rsidRPr="00474F8F">
        <w:t>AON South Africa (Pty) Ltd v Van den Heever NO (615/2016) 2017 ZASCA 66 (30 May 2017)</w:t>
      </w:r>
    </w:p>
    <w:p w14:paraId="1DED3A6F" w14:textId="77777777" w:rsidR="00D846F2" w:rsidRDefault="00D846F2">
      <w:pPr>
        <w:pStyle w:val="FootnoteText"/>
      </w:pPr>
    </w:p>
  </w:footnote>
  <w:footnote w:id="12">
    <w:p w14:paraId="30E77FEE" w14:textId="77777777" w:rsidR="00D846F2" w:rsidRDefault="00D846F2">
      <w:pPr>
        <w:pStyle w:val="FootnoteText"/>
      </w:pPr>
      <w:r>
        <w:rPr>
          <w:rStyle w:val="FootnoteReference"/>
        </w:rPr>
        <w:footnoteRef/>
      </w:r>
      <w:r>
        <w:t xml:space="preserve"> Magida v Minister of Police 1987 (1) SA 1 (A) at 14E</w:t>
      </w:r>
    </w:p>
  </w:footnote>
  <w:footnote w:id="13">
    <w:p w14:paraId="3C239701" w14:textId="77777777" w:rsidR="007B54B9" w:rsidRDefault="007B54B9" w:rsidP="006D0144">
      <w:pPr>
        <w:pStyle w:val="FootnoteText"/>
      </w:pPr>
      <w:r>
        <w:rPr>
          <w:rStyle w:val="FootnoteReference"/>
        </w:rPr>
        <w:footnoteRef/>
      </w:r>
      <w:r>
        <w:t xml:space="preserve"> </w:t>
      </w:r>
      <w:r w:rsidRPr="007B54B9">
        <w:t xml:space="preserve">Mystic River Investments 45 (Pty) Ltd and Another v </w:t>
      </w:r>
      <w:proofErr w:type="spellStart"/>
      <w:r w:rsidRPr="007B54B9">
        <w:t>Zayeed</w:t>
      </w:r>
      <w:proofErr w:type="spellEnd"/>
      <w:r w:rsidRPr="007B54B9">
        <w:t xml:space="preserve"> </w:t>
      </w:r>
      <w:proofErr w:type="spellStart"/>
      <w:r w:rsidRPr="007B54B9">
        <w:t>Paruk</w:t>
      </w:r>
      <w:proofErr w:type="spellEnd"/>
      <w:r w:rsidRPr="007B54B9">
        <w:t xml:space="preserve"> Incorporated and Others 2023 (4) SA 500 (SCA</w:t>
      </w:r>
      <w:r w:rsidR="006D0144">
        <w:t>)</w:t>
      </w:r>
    </w:p>
  </w:footnote>
  <w:footnote w:id="14">
    <w:p w14:paraId="3C64D2C6" w14:textId="77777777" w:rsidR="005A1B44" w:rsidRDefault="005A1B44">
      <w:pPr>
        <w:pStyle w:val="FootnoteText"/>
        <w:rPr>
          <w:lang w:val="en-ZA"/>
        </w:rPr>
      </w:pPr>
      <w:r>
        <w:rPr>
          <w:rStyle w:val="FootnoteReference"/>
        </w:rPr>
        <w:footnoteRef/>
      </w:r>
      <w:r>
        <w:t xml:space="preserve"> </w:t>
      </w:r>
      <w:r w:rsidRPr="005A1B44">
        <w:rPr>
          <w:lang w:val="en-ZA"/>
        </w:rPr>
        <w:t>2007 (5) SA 525 (CC) at para [30]</w:t>
      </w:r>
    </w:p>
    <w:p w14:paraId="02F6CA27" w14:textId="77777777" w:rsidR="005A1B44" w:rsidRDefault="005A1B44">
      <w:pPr>
        <w:pStyle w:val="FootnoteText"/>
      </w:pPr>
    </w:p>
  </w:footnote>
  <w:footnote w:id="15">
    <w:p w14:paraId="50B5F3F0" w14:textId="77777777" w:rsidR="001B47E8" w:rsidRDefault="001B47E8">
      <w:pPr>
        <w:pStyle w:val="FootnoteText"/>
      </w:pPr>
      <w:r>
        <w:rPr>
          <w:rStyle w:val="FootnoteReference"/>
        </w:rPr>
        <w:footnoteRef/>
      </w:r>
      <w:r>
        <w:t xml:space="preserve"> </w:t>
      </w:r>
      <w:r w:rsidR="0059565E">
        <w:t>c</w:t>
      </w:r>
      <w:r>
        <w:t xml:space="preserve">iting with approval </w:t>
      </w:r>
      <w:r w:rsidRPr="001B47E8">
        <w:t>Shepstone &amp; Wylie &amp; Others v Geyser NO  1998 (3) SA 1036 (SCA) at 1046B</w:t>
      </w:r>
      <w:r w:rsidR="00C033DD">
        <w:t xml:space="preserve"> and</w:t>
      </w:r>
      <w:r w:rsidRPr="001B47E8">
        <w:t xml:space="preserve"> the English case</w:t>
      </w:r>
      <w:r w:rsidR="006A03D5">
        <w:t xml:space="preserve"> of </w:t>
      </w:r>
      <w:r w:rsidRPr="001B47E8">
        <w:t>Keary Developments v Tarmac Construction Ltd and Another [1995] 3 All</w:t>
      </w:r>
      <w:r w:rsidR="00A71B2A">
        <w:t>-</w:t>
      </w:r>
      <w:r w:rsidRPr="001B47E8">
        <w:t>ER 534 (CA) at 540a–b</w:t>
      </w:r>
    </w:p>
  </w:footnote>
  <w:footnote w:id="16">
    <w:p w14:paraId="6F5C19C0" w14:textId="77777777" w:rsidR="00605EA2" w:rsidRDefault="00605EA2">
      <w:pPr>
        <w:pStyle w:val="FootnoteText"/>
      </w:pPr>
      <w:r>
        <w:rPr>
          <w:rStyle w:val="FootnoteReference"/>
        </w:rPr>
        <w:footnoteRef/>
      </w:r>
      <w:r>
        <w:t xml:space="preserve"> </w:t>
      </w:r>
      <w:proofErr w:type="spellStart"/>
      <w:r w:rsidRPr="00605EA2">
        <w:t>Montcommerce</w:t>
      </w:r>
      <w:proofErr w:type="spellEnd"/>
      <w:r w:rsidRPr="00605EA2">
        <w:t xml:space="preserve"> d.o.o. vs Murray and Roberts Ltd (020727/2023) [2024] ZAGPJHC 357 (12 April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6304223"/>
      <w:docPartObj>
        <w:docPartGallery w:val="Page Numbers (Top of Page)"/>
        <w:docPartUnique/>
      </w:docPartObj>
    </w:sdtPr>
    <w:sdtContent>
      <w:p w14:paraId="2ABDA497" w14:textId="77777777" w:rsidR="0091760B" w:rsidRDefault="00021646">
        <w:pPr>
          <w:pStyle w:val="Header"/>
          <w:spacing w:after="600" w:line="240" w:lineRule="auto"/>
          <w:jc w:val="center"/>
          <w:rPr>
            <w:b w:val="0"/>
          </w:rPr>
        </w:pPr>
        <w:r>
          <w:rPr>
            <w:b w:val="0"/>
          </w:rPr>
          <w:fldChar w:fldCharType="begin"/>
        </w:r>
        <w:r>
          <w:rPr>
            <w:b w:val="0"/>
          </w:rPr>
          <w:instrText xml:space="preserve"> PAGE </w:instrText>
        </w:r>
        <w:r>
          <w:rPr>
            <w:b w:val="0"/>
          </w:rPr>
          <w:fldChar w:fldCharType="separate"/>
        </w:r>
        <w:r w:rsidR="008B1978">
          <w:rPr>
            <w:b w:val="0"/>
            <w:noProof/>
          </w:rPr>
          <w:t>2</w:t>
        </w:r>
        <w:r>
          <w:rPr>
            <w:b w:val="0"/>
          </w:rPr>
          <w:fldChar w:fldCharType="end"/>
        </w:r>
      </w:p>
      <w:p w14:paraId="485FEE40" w14:textId="77777777" w:rsidR="0091760B" w:rsidRDefault="00000000">
        <w:pPr>
          <w:pStyle w:val="Header"/>
          <w:spacing w:line="240" w:lineRule="auto"/>
          <w:jc w:val="right"/>
          <w:rPr>
            <w:sz w:val="2"/>
            <w:szCs w:val="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E65F9" w14:textId="77777777" w:rsidR="0091760B" w:rsidRDefault="00021646">
    <w:pPr>
      <w:pStyle w:val="Header"/>
      <w:jc w:val="center"/>
    </w:pPr>
    <w:r>
      <w:rPr>
        <w:noProof/>
        <w:lang w:eastAsia="en-ZA"/>
      </w:rPr>
      <w:drawing>
        <wp:inline distT="0" distB="0" distL="0" distR="0" wp14:anchorId="231BFD2D" wp14:editId="03CC7EA5">
          <wp:extent cx="1473200" cy="1473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1473200" cy="147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3E4DE8"/>
    <w:multiLevelType w:val="multilevel"/>
    <w:tmpl w:val="EE1AEA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4D13D4"/>
    <w:multiLevelType w:val="multilevel"/>
    <w:tmpl w:val="DBB6938E"/>
    <w:lvl w:ilvl="0">
      <w:start w:val="1"/>
      <w:numFmt w:val="decimal"/>
      <w:lvlText w:val="[%1]"/>
      <w:lvlJc w:val="left"/>
      <w:pPr>
        <w:tabs>
          <w:tab w:val="num" w:pos="720"/>
        </w:tabs>
        <w:ind w:left="720" w:hanging="720"/>
      </w:pPr>
      <w:rPr>
        <w:rFonts w:ascii="Arial" w:hAnsi="Arial"/>
        <w:b w:val="0"/>
        <w:i w:val="0"/>
        <w:caps/>
        <w:strike w:val="0"/>
        <w:dstrike w:val="0"/>
        <w:vanish w:val="0"/>
        <w:position w:val="0"/>
        <w:sz w:val="24"/>
        <w:u w:val="none"/>
        <w:vertAlign w:val="baseline"/>
      </w:rPr>
    </w:lvl>
    <w:lvl w:ilvl="1">
      <w:start w:val="1"/>
      <w:numFmt w:val="decimal"/>
      <w:lvlText w:val="[%1.%2]"/>
      <w:lvlJc w:val="left"/>
      <w:pPr>
        <w:tabs>
          <w:tab w:val="num" w:pos="1701"/>
        </w:tabs>
        <w:ind w:left="1701" w:hanging="981"/>
      </w:pPr>
      <w:rPr>
        <w:b w:val="0"/>
        <w:i w:val="0"/>
      </w:rPr>
    </w:lvl>
    <w:lvl w:ilvl="2">
      <w:start w:val="1"/>
      <w:numFmt w:val="decimal"/>
      <w:lvlText w:val="[%1.%2.%3]"/>
      <w:lvlJc w:val="left"/>
      <w:pPr>
        <w:tabs>
          <w:tab w:val="num" w:pos="2835"/>
        </w:tabs>
        <w:ind w:left="2835" w:hanging="113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4B1C24E1"/>
    <w:multiLevelType w:val="multilevel"/>
    <w:tmpl w:val="09F2DD80"/>
    <w:lvl w:ilvl="0">
      <w:start w:val="1"/>
      <w:numFmt w:val="decimal"/>
      <w:lvlText w:val="[%1]"/>
      <w:lvlJc w:val="left"/>
      <w:pPr>
        <w:tabs>
          <w:tab w:val="num" w:pos="720"/>
        </w:tabs>
        <w:ind w:left="720" w:hanging="720"/>
      </w:pPr>
      <w:rPr>
        <w:rFonts w:ascii="Arial" w:hAnsi="Arial"/>
        <w:b w:val="0"/>
        <w:i w:val="0"/>
        <w:caps/>
        <w:strike w:val="0"/>
        <w:dstrike w:val="0"/>
        <w:vanish w:val="0"/>
        <w:position w:val="0"/>
        <w:sz w:val="24"/>
        <w:u w:val="none"/>
        <w:vertAlign w:val="baseline"/>
      </w:rPr>
    </w:lvl>
    <w:lvl w:ilvl="1">
      <w:start w:val="1"/>
      <w:numFmt w:val="decimal"/>
      <w:lvlText w:val="[%1.%2]"/>
      <w:lvlJc w:val="left"/>
      <w:pPr>
        <w:tabs>
          <w:tab w:val="num" w:pos="1701"/>
        </w:tabs>
        <w:ind w:left="1701" w:hanging="981"/>
      </w:pPr>
      <w:rPr>
        <w:b w:val="0"/>
        <w:i w:val="0"/>
      </w:rPr>
    </w:lvl>
    <w:lvl w:ilvl="2">
      <w:start w:val="1"/>
      <w:numFmt w:val="decimal"/>
      <w:lvlText w:val="[%1.%2.%3]"/>
      <w:lvlJc w:val="left"/>
      <w:pPr>
        <w:tabs>
          <w:tab w:val="num" w:pos="2835"/>
        </w:tabs>
        <w:ind w:left="2835" w:hanging="113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6F17036B"/>
    <w:multiLevelType w:val="hybridMultilevel"/>
    <w:tmpl w:val="4336CAFA"/>
    <w:lvl w:ilvl="0" w:tplc="9AB46F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6F7FB0"/>
    <w:multiLevelType w:val="multilevel"/>
    <w:tmpl w:val="C9B8276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766975F6"/>
    <w:multiLevelType w:val="hybridMultilevel"/>
    <w:tmpl w:val="FC4ECF74"/>
    <w:lvl w:ilvl="0" w:tplc="2C901514">
      <w:start w:val="1"/>
      <w:numFmt w:val="bullet"/>
      <w:lvlText w:val="-"/>
      <w:lvlJc w:val="left"/>
      <w:pPr>
        <w:ind w:left="1804" w:hanging="360"/>
      </w:pPr>
      <w:rPr>
        <w:rFonts w:ascii="Arial" w:eastAsia="Times New Roman" w:hAnsi="Arial" w:cs="Aria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6" w15:restartNumberingAfterBreak="0">
    <w:nsid w:val="7A5A12FD"/>
    <w:multiLevelType w:val="multilevel"/>
    <w:tmpl w:val="69A45656"/>
    <w:lvl w:ilvl="0">
      <w:start w:val="1"/>
      <w:numFmt w:val="decimal"/>
      <w:pStyle w:val="NUM1"/>
      <w:lvlText w:val="[%1]"/>
      <w:lvlJc w:val="left"/>
      <w:pPr>
        <w:tabs>
          <w:tab w:val="num" w:pos="720"/>
        </w:tabs>
        <w:ind w:left="720" w:hanging="720"/>
      </w:pPr>
      <w:rPr>
        <w:rFonts w:ascii="Arial" w:hAnsi="Arial"/>
        <w:b w:val="0"/>
        <w:i w:val="0"/>
        <w:caps/>
        <w:strike w:val="0"/>
        <w:dstrike w:val="0"/>
        <w:vanish w:val="0"/>
        <w:position w:val="0"/>
        <w:sz w:val="24"/>
        <w:u w:val="none"/>
        <w:vertAlign w:val="baseline"/>
      </w:rPr>
    </w:lvl>
    <w:lvl w:ilvl="1">
      <w:start w:val="1"/>
      <w:numFmt w:val="decimal"/>
      <w:pStyle w:val="NUM2"/>
      <w:lvlText w:val="[%1.%2]"/>
      <w:lvlJc w:val="left"/>
      <w:pPr>
        <w:tabs>
          <w:tab w:val="num" w:pos="1701"/>
        </w:tabs>
        <w:ind w:left="1701" w:hanging="981"/>
      </w:pPr>
      <w:rPr>
        <w:b w:val="0"/>
        <w:i w:val="0"/>
      </w:rPr>
    </w:lvl>
    <w:lvl w:ilvl="2">
      <w:start w:val="1"/>
      <w:numFmt w:val="decimal"/>
      <w:lvlText w:val="[%1.%2.%3]"/>
      <w:lvlJc w:val="left"/>
      <w:pPr>
        <w:tabs>
          <w:tab w:val="num" w:pos="2835"/>
        </w:tabs>
        <w:ind w:left="2835" w:hanging="113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398753012">
    <w:abstractNumId w:val="6"/>
  </w:num>
  <w:num w:numId="2" w16cid:durableId="1578828695">
    <w:abstractNumId w:val="4"/>
  </w:num>
  <w:num w:numId="3" w16cid:durableId="756366581">
    <w:abstractNumId w:val="2"/>
  </w:num>
  <w:num w:numId="4" w16cid:durableId="276377329">
    <w:abstractNumId w:val="1"/>
  </w:num>
  <w:num w:numId="5" w16cid:durableId="272516949">
    <w:abstractNumId w:val="0"/>
  </w:num>
  <w:num w:numId="6" w16cid:durableId="924149415">
    <w:abstractNumId w:val="6"/>
  </w:num>
  <w:num w:numId="7" w16cid:durableId="1038629290">
    <w:abstractNumId w:val="6"/>
  </w:num>
  <w:num w:numId="8" w16cid:durableId="2022268744">
    <w:abstractNumId w:val="3"/>
  </w:num>
  <w:num w:numId="9" w16cid:durableId="1850295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AyNjcwNzAxNzUztjRW0lEKTi0uzszPAykwrAUAkAHXoCwAAAA="/>
    <w:docVar w:name="dgnword-docGUID" w:val="{A74ECF4C-F99B-4080-ADCB-F99F59C80B0A}"/>
    <w:docVar w:name="dgnword-eventsink" w:val="2175692273344"/>
  </w:docVars>
  <w:rsids>
    <w:rsidRoot w:val="0091760B"/>
    <w:rsid w:val="00001DB0"/>
    <w:rsid w:val="00006A2A"/>
    <w:rsid w:val="00021646"/>
    <w:rsid w:val="00030501"/>
    <w:rsid w:val="00063BCB"/>
    <w:rsid w:val="0007700B"/>
    <w:rsid w:val="00081921"/>
    <w:rsid w:val="000B6CE3"/>
    <w:rsid w:val="000D6C0F"/>
    <w:rsid w:val="000E3CEB"/>
    <w:rsid w:val="001060D4"/>
    <w:rsid w:val="001124E4"/>
    <w:rsid w:val="001440DE"/>
    <w:rsid w:val="001A0E70"/>
    <w:rsid w:val="001A7A2A"/>
    <w:rsid w:val="001B47E8"/>
    <w:rsid w:val="001C7CA0"/>
    <w:rsid w:val="001D04EF"/>
    <w:rsid w:val="001D4125"/>
    <w:rsid w:val="001D51D3"/>
    <w:rsid w:val="001D5CBC"/>
    <w:rsid w:val="001E2371"/>
    <w:rsid w:val="00215AED"/>
    <w:rsid w:val="00215DB5"/>
    <w:rsid w:val="00221425"/>
    <w:rsid w:val="00235771"/>
    <w:rsid w:val="00240257"/>
    <w:rsid w:val="00262C25"/>
    <w:rsid w:val="00265503"/>
    <w:rsid w:val="00280653"/>
    <w:rsid w:val="002C2735"/>
    <w:rsid w:val="002C7E43"/>
    <w:rsid w:val="002D270E"/>
    <w:rsid w:val="002E50D2"/>
    <w:rsid w:val="00306958"/>
    <w:rsid w:val="00377001"/>
    <w:rsid w:val="003A51B8"/>
    <w:rsid w:val="003C5C40"/>
    <w:rsid w:val="004255B9"/>
    <w:rsid w:val="00454A43"/>
    <w:rsid w:val="00472423"/>
    <w:rsid w:val="00474F8F"/>
    <w:rsid w:val="0047776C"/>
    <w:rsid w:val="00477D5A"/>
    <w:rsid w:val="004C62D9"/>
    <w:rsid w:val="004F397A"/>
    <w:rsid w:val="004F4628"/>
    <w:rsid w:val="005169DC"/>
    <w:rsid w:val="00520C0B"/>
    <w:rsid w:val="00530B65"/>
    <w:rsid w:val="00544B75"/>
    <w:rsid w:val="00561E2B"/>
    <w:rsid w:val="00571929"/>
    <w:rsid w:val="00582751"/>
    <w:rsid w:val="0059565E"/>
    <w:rsid w:val="005A1B44"/>
    <w:rsid w:val="005B5E00"/>
    <w:rsid w:val="005F3561"/>
    <w:rsid w:val="00601EE3"/>
    <w:rsid w:val="00605EA2"/>
    <w:rsid w:val="00607F4D"/>
    <w:rsid w:val="00624DE1"/>
    <w:rsid w:val="00632C77"/>
    <w:rsid w:val="00647181"/>
    <w:rsid w:val="00662E1B"/>
    <w:rsid w:val="006A03D5"/>
    <w:rsid w:val="006B16A9"/>
    <w:rsid w:val="006D0144"/>
    <w:rsid w:val="006D5470"/>
    <w:rsid w:val="006E41D1"/>
    <w:rsid w:val="006F1C8E"/>
    <w:rsid w:val="006F4D54"/>
    <w:rsid w:val="006F765E"/>
    <w:rsid w:val="00755B9C"/>
    <w:rsid w:val="007726D6"/>
    <w:rsid w:val="00773C47"/>
    <w:rsid w:val="007809BA"/>
    <w:rsid w:val="00787313"/>
    <w:rsid w:val="007A05C6"/>
    <w:rsid w:val="007B54B9"/>
    <w:rsid w:val="007D3446"/>
    <w:rsid w:val="007D414D"/>
    <w:rsid w:val="007F3B9C"/>
    <w:rsid w:val="008110F4"/>
    <w:rsid w:val="00841128"/>
    <w:rsid w:val="00846D47"/>
    <w:rsid w:val="00857C30"/>
    <w:rsid w:val="00866249"/>
    <w:rsid w:val="00873AED"/>
    <w:rsid w:val="00891F23"/>
    <w:rsid w:val="008A7D28"/>
    <w:rsid w:val="008B1978"/>
    <w:rsid w:val="008B3D3E"/>
    <w:rsid w:val="00902365"/>
    <w:rsid w:val="0091760B"/>
    <w:rsid w:val="00925C00"/>
    <w:rsid w:val="009354FF"/>
    <w:rsid w:val="0094710C"/>
    <w:rsid w:val="0095104B"/>
    <w:rsid w:val="00970DE7"/>
    <w:rsid w:val="009843BD"/>
    <w:rsid w:val="00984BAE"/>
    <w:rsid w:val="00991F41"/>
    <w:rsid w:val="00993966"/>
    <w:rsid w:val="009B5F97"/>
    <w:rsid w:val="009E7F80"/>
    <w:rsid w:val="00A02018"/>
    <w:rsid w:val="00A27F51"/>
    <w:rsid w:val="00A402E9"/>
    <w:rsid w:val="00A50772"/>
    <w:rsid w:val="00A57FC8"/>
    <w:rsid w:val="00A71B2A"/>
    <w:rsid w:val="00A81F52"/>
    <w:rsid w:val="00A91FEC"/>
    <w:rsid w:val="00AA39F1"/>
    <w:rsid w:val="00AC6D1F"/>
    <w:rsid w:val="00AC76BE"/>
    <w:rsid w:val="00AF2725"/>
    <w:rsid w:val="00B23015"/>
    <w:rsid w:val="00B24788"/>
    <w:rsid w:val="00B40645"/>
    <w:rsid w:val="00B4795B"/>
    <w:rsid w:val="00B55554"/>
    <w:rsid w:val="00B56521"/>
    <w:rsid w:val="00B63AA2"/>
    <w:rsid w:val="00B64745"/>
    <w:rsid w:val="00B81D94"/>
    <w:rsid w:val="00B93DEF"/>
    <w:rsid w:val="00BA4AA2"/>
    <w:rsid w:val="00BB21B5"/>
    <w:rsid w:val="00BB3D0A"/>
    <w:rsid w:val="00BC7F4A"/>
    <w:rsid w:val="00C033DD"/>
    <w:rsid w:val="00C277B0"/>
    <w:rsid w:val="00C436F0"/>
    <w:rsid w:val="00C55311"/>
    <w:rsid w:val="00C67F5D"/>
    <w:rsid w:val="00CA6AEA"/>
    <w:rsid w:val="00CE09FB"/>
    <w:rsid w:val="00CF0E45"/>
    <w:rsid w:val="00CF4232"/>
    <w:rsid w:val="00D132B4"/>
    <w:rsid w:val="00D336CE"/>
    <w:rsid w:val="00D429B2"/>
    <w:rsid w:val="00D4557B"/>
    <w:rsid w:val="00D46498"/>
    <w:rsid w:val="00D620B6"/>
    <w:rsid w:val="00D73D52"/>
    <w:rsid w:val="00D76CC5"/>
    <w:rsid w:val="00D846F2"/>
    <w:rsid w:val="00DB6BD4"/>
    <w:rsid w:val="00E41052"/>
    <w:rsid w:val="00E66BDF"/>
    <w:rsid w:val="00E73E58"/>
    <w:rsid w:val="00EA6BED"/>
    <w:rsid w:val="00EB60A6"/>
    <w:rsid w:val="00EF3949"/>
    <w:rsid w:val="00F340B9"/>
    <w:rsid w:val="00F36C3E"/>
    <w:rsid w:val="00F4049E"/>
    <w:rsid w:val="00F44BCA"/>
    <w:rsid w:val="00F66EED"/>
    <w:rsid w:val="00F727A8"/>
    <w:rsid w:val="00FA0349"/>
    <w:rsid w:val="00FB0AC9"/>
    <w:rsid w:val="00FB1C56"/>
    <w:rsid w:val="00FB4F84"/>
    <w:rsid w:val="00FD0742"/>
    <w:rsid w:val="00FD2383"/>
    <w:rsid w:val="00FF799A"/>
  </w:rsids>
  <m:mathPr>
    <m:mathFont m:val="Cambria Math"/>
    <m:brkBin m:val="before"/>
    <m:brkBinSub m:val="--"/>
    <m:smallFrac m:val="0"/>
    <m:dispDef/>
    <m:lMargin m:val="0"/>
    <m:rMargin m:val="0"/>
    <m:defJc m:val="centerGroup"/>
    <m:wrapIndent m:val="1440"/>
    <m:intLim m:val="subSup"/>
    <m:naryLim m:val="undOvr"/>
  </m:mathPr>
  <w:themeFontLang w:val="en-ZA"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1E71"/>
  <w15:docId w15:val="{3A1F019F-D758-4B14-B529-5318EE78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Z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qFormat/>
    <w:rsid w:val="00F500D5"/>
    <w:rPr>
      <w:rFonts w:ascii="Arial" w:eastAsia="Times New Roman" w:hAnsi="Arial" w:cs="Times New Roman"/>
      <w:b/>
      <w:bCs/>
      <w:sz w:val="24"/>
      <w:szCs w:val="24"/>
      <w:lang w:eastAsia="en-ZA"/>
    </w:rPr>
  </w:style>
  <w:style w:type="character" w:customStyle="1" w:styleId="BodyTextChar">
    <w:name w:val="Body Text Char"/>
    <w:basedOn w:val="DefaultParagraphFont"/>
    <w:link w:val="BodyText"/>
    <w:uiPriority w:val="99"/>
    <w:semiHidden/>
    <w:qFormat/>
    <w:rsid w:val="00BA7DA5"/>
    <w:rPr>
      <w:rFonts w:ascii="Times New Roman" w:eastAsia="Times New Roman" w:hAnsi="Times New Roman" w:cs="Times New Roman"/>
      <w:b/>
      <w:bCs/>
      <w:sz w:val="24"/>
      <w:szCs w:val="20"/>
      <w:lang w:eastAsia="en-ZA"/>
    </w:rPr>
  </w:style>
  <w:style w:type="character" w:customStyle="1" w:styleId="BodyText3Char">
    <w:name w:val="Body Text 3 Char"/>
    <w:basedOn w:val="DefaultParagraphFont"/>
    <w:link w:val="BodyText3"/>
    <w:uiPriority w:val="99"/>
    <w:semiHidden/>
    <w:qFormat/>
    <w:rsid w:val="00BA7DA5"/>
    <w:rPr>
      <w:rFonts w:ascii="Times New Roman" w:eastAsia="Times New Roman" w:hAnsi="Times New Roman" w:cs="Times New Roman"/>
      <w:b/>
      <w:bCs/>
      <w:sz w:val="24"/>
      <w:szCs w:val="20"/>
      <w:lang w:eastAsia="en-ZA"/>
    </w:rPr>
  </w:style>
  <w:style w:type="character" w:customStyle="1" w:styleId="FootnoteCharacters">
    <w:name w:val="Footnote Characters"/>
    <w:uiPriority w:val="99"/>
    <w:unhideWhenUsed/>
    <w:qFormat/>
    <w:rsid w:val="00461D1B"/>
    <w:rPr>
      <w:rFonts w:ascii="Arial" w:hAnsi="Arial"/>
      <w:sz w:val="16"/>
      <w:vertAlign w:val="superscript"/>
    </w:rPr>
  </w:style>
  <w:style w:type="character" w:styleId="FootnoteReference">
    <w:name w:val="footnote reference"/>
    <w:rPr>
      <w:rFonts w:ascii="Arial" w:hAnsi="Arial"/>
      <w:sz w:val="16"/>
      <w:vertAlign w:val="superscript"/>
    </w:rPr>
  </w:style>
  <w:style w:type="character" w:customStyle="1" w:styleId="FootnoteTextChar">
    <w:name w:val="Footnote Text Char"/>
    <w:basedOn w:val="DefaultParagraphFont"/>
    <w:link w:val="FootnoteText"/>
    <w:uiPriority w:val="99"/>
    <w:qFormat/>
    <w:rsid w:val="00004382"/>
    <w:rPr>
      <w:rFonts w:ascii="Arial" w:eastAsia="Times New Roman" w:hAnsi="Arial" w:cs="Arial"/>
      <w:lang w:val="en-US"/>
    </w:rPr>
  </w:style>
  <w:style w:type="character" w:styleId="Hyperlink">
    <w:name w:val="Hyperlink"/>
    <w:basedOn w:val="DefaultParagraphFont"/>
    <w:uiPriority w:val="99"/>
    <w:unhideWhenUsed/>
    <w:rsid w:val="004A602F"/>
    <w:rPr>
      <w:color w:val="1A69AB"/>
      <w:u w:val="single"/>
    </w:rPr>
  </w:style>
  <w:style w:type="character" w:styleId="Emphasis">
    <w:name w:val="Emphasis"/>
    <w:basedOn w:val="DefaultParagraphFont"/>
    <w:uiPriority w:val="20"/>
    <w:qFormat/>
    <w:rsid w:val="006B4F86"/>
    <w:rPr>
      <w:b/>
      <w:bCs/>
      <w:i w:val="0"/>
      <w:iCs w:val="0"/>
    </w:rPr>
  </w:style>
  <w:style w:type="character" w:customStyle="1" w:styleId="HeaderChar">
    <w:name w:val="Header Char"/>
    <w:basedOn w:val="DefaultParagraphFont"/>
    <w:link w:val="Header"/>
    <w:qFormat/>
    <w:rsid w:val="00F500D5"/>
    <w:rPr>
      <w:rFonts w:ascii="Arial" w:eastAsia="Times New Roman" w:hAnsi="Arial" w:cs="Arial"/>
      <w:b/>
      <w:sz w:val="24"/>
      <w:szCs w:val="24"/>
    </w:rPr>
  </w:style>
  <w:style w:type="character" w:customStyle="1" w:styleId="FooterChar">
    <w:name w:val="Footer Char"/>
    <w:basedOn w:val="DefaultParagraphFont"/>
    <w:link w:val="Footer"/>
    <w:uiPriority w:val="99"/>
    <w:qFormat/>
    <w:rsid w:val="00391BBA"/>
    <w:rPr>
      <w:rFonts w:ascii="Arial" w:eastAsia="Times New Roman" w:hAnsi="Arial" w:cs="Arial"/>
      <w:sz w:val="24"/>
      <w:szCs w:val="24"/>
    </w:rPr>
  </w:style>
  <w:style w:type="character" w:customStyle="1" w:styleId="BalloonTextChar">
    <w:name w:val="Balloon Text Char"/>
    <w:basedOn w:val="DefaultParagraphFont"/>
    <w:link w:val="BalloonText"/>
    <w:uiPriority w:val="99"/>
    <w:semiHidden/>
    <w:qFormat/>
    <w:rsid w:val="009B262E"/>
    <w:rPr>
      <w:rFonts w:ascii="Segoe UI" w:eastAsia="Times New Roman" w:hAnsi="Segoe UI" w:cs="Segoe UI"/>
      <w:sz w:val="18"/>
      <w:szCs w:val="18"/>
    </w:rPr>
  </w:style>
  <w:style w:type="character" w:customStyle="1" w:styleId="g1">
    <w:name w:val="g1"/>
    <w:basedOn w:val="DefaultParagraphFont"/>
    <w:qFormat/>
    <w:rsid w:val="00CE7667"/>
  </w:style>
  <w:style w:type="character" w:customStyle="1" w:styleId="apple-converted-space">
    <w:name w:val="apple-converted-space"/>
    <w:basedOn w:val="DefaultParagraphFont"/>
    <w:qFormat/>
    <w:rsid w:val="00CE7667"/>
  </w:style>
  <w:style w:type="character" w:customStyle="1" w:styleId="mc">
    <w:name w:val="mc"/>
    <w:basedOn w:val="DefaultParagraphFont"/>
    <w:qFormat/>
    <w:rsid w:val="00CE7667"/>
  </w:style>
  <w:style w:type="character" w:customStyle="1" w:styleId="UnresolvedMention1">
    <w:name w:val="Unresolved Mention1"/>
    <w:basedOn w:val="DefaultParagraphFont"/>
    <w:uiPriority w:val="99"/>
    <w:semiHidden/>
    <w:unhideWhenUsed/>
    <w:qFormat/>
    <w:rsid w:val="0029228E"/>
    <w:rPr>
      <w:color w:val="605E5C"/>
      <w:shd w:val="clear" w:color="auto" w:fill="E1DFDD"/>
    </w:rPr>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1"/>
    <w:qFormat/>
    <w:rsid w:val="00305208"/>
    <w:pPr>
      <w:ind w:left="720"/>
      <w:contextualSpacing/>
    </w:pPr>
  </w:style>
  <w:style w:type="paragraph" w:customStyle="1" w:styleId="NUM1">
    <w:name w:val="NUM1"/>
    <w:basedOn w:val="ListParagraph"/>
    <w:next w:val="Normal"/>
    <w:qFormat/>
    <w:rsid w:val="00A665EB"/>
    <w:pPr>
      <w:numPr>
        <w:numId w:val="1"/>
      </w:numPr>
      <w:contextualSpacing w:val="0"/>
    </w:pPr>
  </w:style>
  <w:style w:type="paragraph" w:customStyle="1" w:styleId="NUM2">
    <w:name w:val="NUM2"/>
    <w:basedOn w:val="ListParagraph"/>
    <w:next w:val="Normal"/>
    <w:qFormat/>
    <w:rsid w:val="00A665EB"/>
    <w:pPr>
      <w:numPr>
        <w:ilvl w:val="1"/>
        <w:numId w:val="1"/>
      </w:numPr>
      <w:contextualSpacing w:val="0"/>
    </w:pPr>
  </w:style>
  <w:style w:type="paragraph" w:styleId="BodyText3">
    <w:name w:val="Body Text 3"/>
    <w:basedOn w:val="Normal"/>
    <w:link w:val="BodyText3Char"/>
    <w:uiPriority w:val="99"/>
    <w:semiHidden/>
    <w:unhideWhenUsed/>
    <w:qFormat/>
    <w:rsid w:val="00BA7DA5"/>
    <w:pPr>
      <w:overflowPunct w:val="0"/>
      <w:jc w:val="center"/>
    </w:pPr>
    <w:rPr>
      <w:rFonts w:ascii="Times New Roman" w:hAnsi="Times New Roman" w:cs="Times New Roman"/>
      <w:b/>
      <w:bCs/>
      <w:lang w:eastAsia="en-ZA"/>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paragraph" w:styleId="NormalWeb">
    <w:name w:val="Normal (Web)"/>
    <w:basedOn w:val="Normal"/>
    <w:uiPriority w:val="99"/>
    <w:semiHidden/>
    <w:unhideWhenUsed/>
    <w:qFormat/>
    <w:rsid w:val="00BB4A33"/>
    <w:pPr>
      <w:spacing w:before="144" w:after="288" w:line="240" w:lineRule="auto"/>
      <w:jc w:val="left"/>
    </w:pPr>
    <w:rPr>
      <w:rFonts w:ascii="Times New Roman" w:hAnsi="Times New Roman" w:cs="Times New Roman"/>
      <w:lang w:eastAsia="en-ZA"/>
    </w:rPr>
  </w:style>
  <w:style w:type="paragraph" w:customStyle="1" w:styleId="HeaderandFooter">
    <w:name w:val="Header and Footer"/>
    <w:basedOn w:val="Normal"/>
    <w:qFormat/>
  </w:style>
  <w:style w:type="paragraph" w:styleId="Header">
    <w:name w:val="header"/>
    <w:basedOn w:val="Normal"/>
    <w:link w:val="HeaderChar"/>
    <w:qFormat/>
    <w:rsid w:val="00F500D5"/>
    <w:pPr>
      <w:tabs>
        <w:tab w:val="center" w:pos="4320"/>
        <w:tab w:val="right" w:pos="8640"/>
      </w:tabs>
    </w:pPr>
    <w:rPr>
      <w:b/>
    </w:rPr>
  </w:style>
  <w:style w:type="paragraph" w:customStyle="1" w:styleId="NUM1TAB">
    <w:name w:val="NUM1 TAB"/>
    <w:basedOn w:val="Normal"/>
    <w:qFormat/>
    <w:rsid w:val="00CB3C3F"/>
    <w:pPr>
      <w:tabs>
        <w:tab w:val="left" w:pos="720"/>
      </w:tabs>
      <w:ind w:left="720"/>
    </w:p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paragraph" w:customStyle="1" w:styleId="NUM3">
    <w:name w:val="NUM3"/>
    <w:basedOn w:val="NUM2"/>
    <w:next w:val="Normal"/>
    <w:qFormat/>
    <w:rsid w:val="0067472C"/>
  </w:style>
  <w:style w:type="paragraph" w:styleId="BalloonText">
    <w:name w:val="Balloon Text"/>
    <w:basedOn w:val="Normal"/>
    <w:link w:val="BalloonTextChar"/>
    <w:uiPriority w:val="99"/>
    <w:semiHidden/>
    <w:unhideWhenUsed/>
    <w:qFormat/>
    <w:rsid w:val="009B262E"/>
    <w:pPr>
      <w:spacing w:line="240" w:lineRule="auto"/>
    </w:pPr>
    <w:rPr>
      <w:rFonts w:ascii="Segoe UI" w:hAnsi="Segoe UI" w:cs="Segoe UI"/>
      <w:sz w:val="18"/>
      <w:szCs w:val="18"/>
    </w:rPr>
  </w:style>
  <w:style w:type="paragraph" w:customStyle="1" w:styleId="NUM4">
    <w:name w:val="NUM4"/>
    <w:basedOn w:val="NUM3"/>
    <w:next w:val="Normal"/>
    <w:qFormat/>
    <w:rsid w:val="00F500D5"/>
    <w:p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paragraph" w:styleId="Revision">
    <w:name w:val="Revision"/>
    <w:uiPriority w:val="99"/>
    <w:semiHidden/>
    <w:qFormat/>
    <w:rsid w:val="00CC2761"/>
    <w:rPr>
      <w:rFonts w:ascii="Arial" w:eastAsia="Times New Roman" w:hAnsi="Arial" w:cs="Arial"/>
      <w:sz w:val="24"/>
      <w:szCs w:val="24"/>
    </w:rPr>
  </w:style>
  <w:style w:type="paragraph" w:customStyle="1" w:styleId="FrameContents">
    <w:name w:val="Frame Contents"/>
    <w:basedOn w:val="Normal"/>
    <w:qFormat/>
  </w:style>
  <w:style w:type="table" w:customStyle="1" w:styleId="TableNormal1">
    <w:name w:val="Table Normal1"/>
    <w:uiPriority w:val="2"/>
    <w:semiHidden/>
    <w:unhideWhenUsed/>
    <w:qFormat/>
    <w:rsid w:val="00D21FF6"/>
    <w:rPr>
      <w:sz w:val="22"/>
      <w:szCs w:val="22"/>
      <w:lang w:val="en-US"/>
    </w:rPr>
    <w:tblPr>
      <w:tblCellMar>
        <w:top w:w="0" w:type="dxa"/>
        <w:left w:w="0" w:type="dxa"/>
        <w:bottom w:w="0" w:type="dxa"/>
        <w:right w:w="0" w:type="dxa"/>
      </w:tblCellMar>
    </w:tblPr>
  </w:style>
  <w:style w:type="table" w:styleId="TableGrid">
    <w:name w:val="Table Grid"/>
    <w:basedOn w:val="TableNormal"/>
    <w:uiPriority w:val="39"/>
    <w:rsid w:val="00C97449"/>
    <w:rPr>
      <w:color w:val="000000" w:themeColor="text1"/>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C7F4A"/>
    <w:pPr>
      <w:spacing w:line="240" w:lineRule="auto"/>
    </w:pPr>
    <w:rPr>
      <w:sz w:val="20"/>
      <w:szCs w:val="20"/>
    </w:rPr>
  </w:style>
  <w:style w:type="character" w:customStyle="1" w:styleId="EndnoteTextChar">
    <w:name w:val="Endnote Text Char"/>
    <w:basedOn w:val="DefaultParagraphFont"/>
    <w:link w:val="EndnoteText"/>
    <w:uiPriority w:val="99"/>
    <w:semiHidden/>
    <w:rsid w:val="00BC7F4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7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0A420C994E814BA1C35AC06495B87A" ma:contentTypeVersion="12" ma:contentTypeDescription="Create a new document." ma:contentTypeScope="" ma:versionID="0051167eb182034f7b91f7d7a2705ecd">
  <xsd:schema xmlns:xsd="http://www.w3.org/2001/XMLSchema" xmlns:xs="http://www.w3.org/2001/XMLSchema" xmlns:p="http://schemas.microsoft.com/office/2006/metadata/properties" xmlns:ns3="b03779ab-8f9e-444a-a0a6-3a6c36ceaffe" xmlns:ns4="4d9ecb02-87b4-42b5-9369-1d1c79930345" targetNamespace="http://schemas.microsoft.com/office/2006/metadata/properties" ma:root="true" ma:fieldsID="209e167331ffe69df9c71f81a79919b8" ns3:_="" ns4:_="">
    <xsd:import namespace="b03779ab-8f9e-444a-a0a6-3a6c36ceaffe"/>
    <xsd:import namespace="4d9ecb02-87b4-42b5-9369-1d1c799303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779ab-8f9e-444a-a0a6-3a6c36cea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ecb02-87b4-42b5-9369-1d1c799303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D4C39-D856-4B0B-86E9-9E925F5219A4}">
  <ds:schemaRefs>
    <ds:schemaRef ds:uri="http://schemas.openxmlformats.org/officeDocument/2006/bibliography"/>
  </ds:schemaRefs>
</ds:datastoreItem>
</file>

<file path=customXml/itemProps2.xml><?xml version="1.0" encoding="utf-8"?>
<ds:datastoreItem xmlns:ds="http://schemas.openxmlformats.org/officeDocument/2006/customXml" ds:itemID="{56A7EA70-44AF-4392-B4ED-2EEF1DA61B3C}">
  <ds:schemaRefs>
    <ds:schemaRef ds:uri="http://schemas.microsoft.com/sharepoint/v3/contenttype/forms"/>
  </ds:schemaRefs>
</ds:datastoreItem>
</file>

<file path=customXml/itemProps3.xml><?xml version="1.0" encoding="utf-8"?>
<ds:datastoreItem xmlns:ds="http://schemas.openxmlformats.org/officeDocument/2006/customXml" ds:itemID="{049D6992-55DE-4848-A016-7CCB3885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779ab-8f9e-444a-a0a6-3a6c36ceaffe"/>
    <ds:schemaRef ds:uri="4d9ecb02-87b4-42b5-9369-1d1c7993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80ABE-D6BB-496A-BF0E-9B3DEF231B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Werksmans</dc:creator>
  <dc:description/>
  <cp:lastModifiedBy>sathish sarshan  mohan</cp:lastModifiedBy>
  <cp:revision>3</cp:revision>
  <cp:lastPrinted>2023-10-13T10:08:00Z</cp:lastPrinted>
  <dcterms:created xsi:type="dcterms:W3CDTF">2024-05-15T13:12:00Z</dcterms:created>
  <dcterms:modified xsi:type="dcterms:W3CDTF">2024-05-16T12:35:00Z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0x010100A40A420C994E814BA1C35AC06495B87A</vt:lpwstr>
  </property>
</Properties>
</file>