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01715" w14:textId="77777777" w:rsidR="005F78BE" w:rsidRPr="00792163" w:rsidRDefault="005F78BE" w:rsidP="00F17809">
      <w:pPr>
        <w:tabs>
          <w:tab w:val="left" w:pos="2342"/>
          <w:tab w:val="center" w:pos="4513"/>
        </w:tabs>
        <w:spacing w:after="0" w:line="360" w:lineRule="auto"/>
        <w:jc w:val="center"/>
        <w:outlineLvl w:val="0"/>
        <w:rPr>
          <w:rFonts w:ascii="Times New Roman" w:eastAsia="Times New Roman" w:hAnsi="Times New Roman" w:cs="Times New Roman"/>
          <w:b/>
          <w:noProof/>
          <w:sz w:val="28"/>
          <w:szCs w:val="28"/>
          <w:lang w:eastAsia="en-ZA"/>
        </w:rPr>
      </w:pPr>
      <w:r w:rsidRPr="00792163">
        <w:rPr>
          <w:rFonts w:ascii="Times New Roman" w:eastAsia="Times New Roman" w:hAnsi="Times New Roman" w:cs="Times New Roman"/>
          <w:b/>
          <w:noProof/>
          <w:sz w:val="28"/>
          <w:szCs w:val="28"/>
          <w:lang w:eastAsia="en-ZA"/>
        </w:rPr>
        <w:t>REPUBLIC OF SOUTH AFRICA</w:t>
      </w:r>
    </w:p>
    <w:p w14:paraId="553266C1" w14:textId="77777777" w:rsidR="005F78BE" w:rsidRPr="00792163" w:rsidRDefault="005F78BE" w:rsidP="00F17809">
      <w:pPr>
        <w:tabs>
          <w:tab w:val="left" w:pos="2342"/>
          <w:tab w:val="center" w:pos="4513"/>
        </w:tabs>
        <w:spacing w:after="0" w:line="360" w:lineRule="auto"/>
        <w:jc w:val="center"/>
        <w:outlineLvl w:val="0"/>
        <w:rPr>
          <w:rFonts w:ascii="Times New Roman" w:eastAsia="Times New Roman" w:hAnsi="Times New Roman" w:cs="Times New Roman"/>
          <w:b/>
          <w:noProof/>
          <w:sz w:val="28"/>
          <w:szCs w:val="28"/>
          <w:lang w:eastAsia="en-ZA"/>
        </w:rPr>
      </w:pPr>
    </w:p>
    <w:p w14:paraId="099CEA0F" w14:textId="77777777" w:rsidR="005F78BE" w:rsidRPr="00792163" w:rsidRDefault="005F78BE" w:rsidP="00F17809">
      <w:pPr>
        <w:tabs>
          <w:tab w:val="left" w:pos="2342"/>
          <w:tab w:val="center" w:pos="4513"/>
        </w:tabs>
        <w:spacing w:after="0" w:line="360" w:lineRule="auto"/>
        <w:jc w:val="center"/>
        <w:outlineLvl w:val="0"/>
        <w:rPr>
          <w:rFonts w:ascii="Times New Roman" w:eastAsia="Times New Roman" w:hAnsi="Times New Roman" w:cs="Times New Roman"/>
          <w:sz w:val="28"/>
          <w:szCs w:val="28"/>
        </w:rPr>
      </w:pPr>
      <w:r w:rsidRPr="00792163">
        <w:rPr>
          <w:rFonts w:ascii="Times New Roman" w:eastAsia="Times New Roman" w:hAnsi="Times New Roman" w:cs="Times New Roman"/>
          <w:noProof/>
          <w:sz w:val="28"/>
          <w:szCs w:val="28"/>
          <w:lang w:eastAsia="en-ZA"/>
        </w:rPr>
        <w:drawing>
          <wp:inline distT="0" distB="0" distL="0" distR="0" wp14:anchorId="0E7CB2C2" wp14:editId="60E27772">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3CC0329" w14:textId="77777777" w:rsidR="005F78BE" w:rsidRPr="00792163" w:rsidRDefault="005F78BE" w:rsidP="00F17809">
      <w:pPr>
        <w:spacing w:after="0" w:line="360" w:lineRule="auto"/>
        <w:jc w:val="center"/>
        <w:outlineLvl w:val="0"/>
        <w:rPr>
          <w:rFonts w:ascii="Times New Roman" w:eastAsia="Times New Roman" w:hAnsi="Times New Roman" w:cs="Times New Roman"/>
          <w:b/>
          <w:sz w:val="28"/>
          <w:szCs w:val="28"/>
        </w:rPr>
      </w:pPr>
    </w:p>
    <w:p w14:paraId="24A22133" w14:textId="77777777" w:rsidR="005F78BE" w:rsidRPr="00792163" w:rsidRDefault="005F78BE" w:rsidP="00F17809">
      <w:pPr>
        <w:spacing w:after="0" w:line="360" w:lineRule="auto"/>
        <w:jc w:val="center"/>
        <w:outlineLvl w:val="0"/>
        <w:rPr>
          <w:rFonts w:ascii="Times New Roman" w:eastAsia="Times New Roman" w:hAnsi="Times New Roman" w:cs="Times New Roman"/>
          <w:b/>
          <w:sz w:val="28"/>
          <w:szCs w:val="28"/>
        </w:rPr>
      </w:pPr>
      <w:r w:rsidRPr="00792163">
        <w:rPr>
          <w:rFonts w:ascii="Times New Roman" w:eastAsia="Times New Roman" w:hAnsi="Times New Roman" w:cs="Times New Roman"/>
          <w:b/>
          <w:sz w:val="28"/>
          <w:szCs w:val="28"/>
        </w:rPr>
        <w:t>IN THE HIGH COURT OF SOUTH AFRICA</w:t>
      </w:r>
    </w:p>
    <w:p w14:paraId="7AE06B2E" w14:textId="77777777" w:rsidR="005F78BE" w:rsidRPr="00792163" w:rsidRDefault="005F78BE" w:rsidP="00F17809">
      <w:pPr>
        <w:spacing w:after="0" w:line="360" w:lineRule="auto"/>
        <w:jc w:val="center"/>
        <w:outlineLvl w:val="0"/>
        <w:rPr>
          <w:rFonts w:ascii="Times New Roman" w:eastAsia="Times New Roman" w:hAnsi="Times New Roman" w:cs="Times New Roman"/>
          <w:b/>
          <w:sz w:val="28"/>
          <w:szCs w:val="28"/>
        </w:rPr>
      </w:pPr>
      <w:r w:rsidRPr="00792163">
        <w:rPr>
          <w:rFonts w:ascii="Times New Roman" w:eastAsia="Times New Roman" w:hAnsi="Times New Roman" w:cs="Times New Roman"/>
          <w:b/>
          <w:sz w:val="28"/>
          <w:szCs w:val="28"/>
        </w:rPr>
        <w:t>GAUTENG LOCAL DIVISION, JOHANNESBURG</w:t>
      </w:r>
    </w:p>
    <w:p w14:paraId="03079E1F" w14:textId="77777777" w:rsidR="005F78BE" w:rsidRDefault="005F78BE" w:rsidP="00F17809">
      <w:pPr>
        <w:spacing w:line="360" w:lineRule="auto"/>
        <w:rPr>
          <w:rFonts w:ascii="Times New Roman" w:eastAsia="Times New Roman" w:hAnsi="Times New Roman" w:cs="Times New Roman"/>
          <w:b/>
          <w:bCs/>
          <w:sz w:val="28"/>
          <w:szCs w:val="28"/>
        </w:rPr>
      </w:pPr>
    </w:p>
    <w:p w14:paraId="6F1C3BA4" w14:textId="63F53BDD" w:rsidR="00CC464E" w:rsidRPr="008A779E" w:rsidRDefault="00F2507B" w:rsidP="00F17809">
      <w:pPr>
        <w:spacing w:line="360" w:lineRule="auto"/>
        <w:ind w:left="5760"/>
        <w:rPr>
          <w:rFonts w:ascii="Times New Roman" w:eastAsia="Calibri" w:hAnsi="Times New Roman" w:cs="Times New Roman"/>
          <w:b/>
          <w:bCs/>
          <w:sz w:val="28"/>
          <w:szCs w:val="28"/>
          <w:lang w:val="en-GB"/>
        </w:rPr>
      </w:pPr>
      <w:r w:rsidRPr="00C35E2B">
        <w:rPr>
          <w:rFonts w:ascii="Times New Roman" w:hAnsi="Times New Roman" w:cs="Times New Roman"/>
          <w:noProof/>
          <w:sz w:val="28"/>
          <w:szCs w:val="28"/>
          <w:lang w:eastAsia="en-ZA"/>
        </w:rPr>
        <mc:AlternateContent>
          <mc:Choice Requires="wps">
            <w:drawing>
              <wp:anchor distT="0" distB="0" distL="114300" distR="114300" simplePos="0" relativeHeight="251659264" behindDoc="0" locked="0" layoutInCell="1" allowOverlap="1" wp14:anchorId="6F97D08D" wp14:editId="332BC48D">
                <wp:simplePos x="0" y="0"/>
                <wp:positionH relativeFrom="margin">
                  <wp:align>left</wp:align>
                </wp:positionH>
                <wp:positionV relativeFrom="paragraph">
                  <wp:posOffset>403861</wp:posOffset>
                </wp:positionV>
                <wp:extent cx="3057525" cy="1181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81100"/>
                        </a:xfrm>
                        <a:prstGeom prst="rect">
                          <a:avLst/>
                        </a:prstGeom>
                        <a:solidFill>
                          <a:srgbClr val="FFFFFF"/>
                        </a:solidFill>
                        <a:ln w="9525">
                          <a:solidFill>
                            <a:srgbClr val="000000"/>
                          </a:solidFill>
                          <a:miter lim="800000"/>
                          <a:headEnd/>
                          <a:tailEnd/>
                        </a:ln>
                      </wps:spPr>
                      <wps:txbx>
                        <w:txbxContent>
                          <w:p w14:paraId="1FEE1C3D" w14:textId="136220F9" w:rsidR="00F2507B" w:rsidRPr="003B746C" w:rsidRDefault="00482211" w:rsidP="00482211">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F2507B" w:rsidRPr="003B746C">
                              <w:rPr>
                                <w:rFonts w:cs="Arial"/>
                                <w:sz w:val="18"/>
                                <w:szCs w:val="20"/>
                              </w:rPr>
                              <w:t xml:space="preserve">REPORTABLE: </w:t>
                            </w:r>
                            <w:r w:rsidR="00F2507B" w:rsidRPr="0054161A">
                              <w:rPr>
                                <w:rFonts w:cs="Arial"/>
                                <w:sz w:val="18"/>
                                <w:szCs w:val="20"/>
                              </w:rPr>
                              <w:t>YES / NO</w:t>
                            </w:r>
                          </w:p>
                          <w:p w14:paraId="0CBE06F0" w14:textId="5048C95F" w:rsidR="00F2507B" w:rsidRPr="003B746C" w:rsidRDefault="00482211" w:rsidP="00482211">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F2507B" w:rsidRPr="003B746C">
                              <w:rPr>
                                <w:rFonts w:cs="Arial"/>
                                <w:sz w:val="18"/>
                                <w:szCs w:val="20"/>
                              </w:rPr>
                              <w:t xml:space="preserve">OF INTEREST TO OTHER JUDGES: </w:t>
                            </w:r>
                            <w:r w:rsidR="00F2507B" w:rsidRPr="0054161A">
                              <w:rPr>
                                <w:rFonts w:cs="Arial"/>
                                <w:sz w:val="18"/>
                                <w:szCs w:val="20"/>
                              </w:rPr>
                              <w:t>YES/NO</w:t>
                            </w:r>
                          </w:p>
                          <w:p w14:paraId="711CD032" w14:textId="14D1D0ED" w:rsidR="00F2507B" w:rsidRDefault="00482211" w:rsidP="00482211">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F2507B" w:rsidRPr="003B746C">
                              <w:rPr>
                                <w:rFonts w:cs="Arial"/>
                                <w:sz w:val="18"/>
                                <w:szCs w:val="20"/>
                              </w:rPr>
                              <w:t xml:space="preserve">REVISED: </w:t>
                            </w:r>
                            <w:r w:rsidR="00F2507B" w:rsidRPr="0054161A">
                              <w:rPr>
                                <w:rFonts w:cs="Arial"/>
                                <w:sz w:val="18"/>
                                <w:szCs w:val="20"/>
                              </w:rPr>
                              <w:t>YES/NO</w:t>
                            </w:r>
                          </w:p>
                          <w:p w14:paraId="796BF20A" w14:textId="2C51BD0E" w:rsidR="00F2507B" w:rsidRPr="003B746C" w:rsidRDefault="00F2507B" w:rsidP="00F2507B">
                            <w:pPr>
                              <w:spacing w:before="240" w:after="0"/>
                              <w:rPr>
                                <w:rFonts w:cs="Arial"/>
                                <w:b/>
                                <w:sz w:val="18"/>
                                <w:szCs w:val="20"/>
                              </w:rPr>
                            </w:pPr>
                            <w:r>
                              <w:rPr>
                                <w:rFonts w:cs="Arial"/>
                                <w:b/>
                                <w:sz w:val="18"/>
                                <w:szCs w:val="20"/>
                              </w:rPr>
                              <w:t xml:space="preserve">08 MAY 2024                         </w:t>
                            </w:r>
                            <w:r w:rsidRPr="003B746C">
                              <w:rPr>
                                <w:rFonts w:cs="Arial"/>
                                <w:b/>
                                <w:sz w:val="18"/>
                                <w:szCs w:val="20"/>
                              </w:rPr>
                              <w:tab/>
                            </w:r>
                            <w:r>
                              <w:rPr>
                                <w:rFonts w:cs="Arial"/>
                                <w:b/>
                                <w:sz w:val="18"/>
                                <w:szCs w:val="20"/>
                              </w:rPr>
                              <w:t xml:space="preserve">       ML SENYATSI</w:t>
                            </w:r>
                          </w:p>
                          <w:p w14:paraId="3D316EC8" w14:textId="77777777" w:rsidR="00F2507B" w:rsidRPr="003B746C" w:rsidRDefault="00F2507B" w:rsidP="00F2507B">
                            <w:pPr>
                              <w:rPr>
                                <w:rFonts w:cs="Arial"/>
                                <w:sz w:val="18"/>
                                <w:szCs w:val="20"/>
                              </w:rPr>
                            </w:pPr>
                            <w:r>
                              <w:rPr>
                                <w:rFonts w:cs="Arial"/>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7D08D" id="_x0000_t202" coordsize="21600,21600" o:spt="202" path="m,l,21600r21600,l21600,xe">
                <v:stroke joinstyle="miter"/>
                <v:path gradientshapeok="t" o:connecttype="rect"/>
              </v:shapetype>
              <v:shape id="Text Box 2" o:spid="_x0000_s1026" type="#_x0000_t202" style="position:absolute;left:0;text-align:left;margin-left:0;margin-top:31.8pt;width:240.75pt;height: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">
                <v:textbox>
                  <w:txbxContent>
                    <w:p w14:paraId="1FEE1C3D" w14:textId="136220F9" w:rsidR="00F2507B" w:rsidRPr="003B746C" w:rsidRDefault="00482211" w:rsidP="00482211">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F2507B" w:rsidRPr="003B746C">
                        <w:rPr>
                          <w:rFonts w:cs="Arial"/>
                          <w:sz w:val="18"/>
                          <w:szCs w:val="20"/>
                        </w:rPr>
                        <w:t xml:space="preserve">REPORTABLE: </w:t>
                      </w:r>
                      <w:r w:rsidR="00F2507B" w:rsidRPr="0054161A">
                        <w:rPr>
                          <w:rFonts w:cs="Arial"/>
                          <w:sz w:val="18"/>
                          <w:szCs w:val="20"/>
                        </w:rPr>
                        <w:t>YES / NO</w:t>
                      </w:r>
                    </w:p>
                    <w:p w14:paraId="0CBE06F0" w14:textId="5048C95F" w:rsidR="00F2507B" w:rsidRPr="003B746C" w:rsidRDefault="00482211" w:rsidP="00482211">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F2507B" w:rsidRPr="003B746C">
                        <w:rPr>
                          <w:rFonts w:cs="Arial"/>
                          <w:sz w:val="18"/>
                          <w:szCs w:val="20"/>
                        </w:rPr>
                        <w:t xml:space="preserve">OF INTEREST TO OTHER JUDGES: </w:t>
                      </w:r>
                      <w:r w:rsidR="00F2507B" w:rsidRPr="0054161A">
                        <w:rPr>
                          <w:rFonts w:cs="Arial"/>
                          <w:sz w:val="18"/>
                          <w:szCs w:val="20"/>
                        </w:rPr>
                        <w:t>YES/NO</w:t>
                      </w:r>
                    </w:p>
                    <w:p w14:paraId="711CD032" w14:textId="14D1D0ED" w:rsidR="00F2507B" w:rsidRDefault="00482211" w:rsidP="00482211">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F2507B" w:rsidRPr="003B746C">
                        <w:rPr>
                          <w:rFonts w:cs="Arial"/>
                          <w:sz w:val="18"/>
                          <w:szCs w:val="20"/>
                        </w:rPr>
                        <w:t xml:space="preserve">REVISED: </w:t>
                      </w:r>
                      <w:r w:rsidR="00F2507B" w:rsidRPr="0054161A">
                        <w:rPr>
                          <w:rFonts w:cs="Arial"/>
                          <w:sz w:val="18"/>
                          <w:szCs w:val="20"/>
                        </w:rPr>
                        <w:t>YES/NO</w:t>
                      </w:r>
                    </w:p>
                    <w:p w14:paraId="796BF20A" w14:textId="2C51BD0E" w:rsidR="00F2507B" w:rsidRPr="003B746C" w:rsidRDefault="00F2507B" w:rsidP="00F2507B">
                      <w:pPr>
                        <w:spacing w:before="240" w:after="0"/>
                        <w:rPr>
                          <w:rFonts w:cs="Arial"/>
                          <w:b/>
                          <w:sz w:val="18"/>
                          <w:szCs w:val="20"/>
                        </w:rPr>
                      </w:pPr>
                      <w:r>
                        <w:rPr>
                          <w:rFonts w:cs="Arial"/>
                          <w:b/>
                          <w:sz w:val="18"/>
                          <w:szCs w:val="20"/>
                        </w:rPr>
                        <w:t xml:space="preserve">08 MAY 2024                         </w:t>
                      </w:r>
                      <w:r w:rsidRPr="003B746C">
                        <w:rPr>
                          <w:rFonts w:cs="Arial"/>
                          <w:b/>
                          <w:sz w:val="18"/>
                          <w:szCs w:val="20"/>
                        </w:rPr>
                        <w:tab/>
                      </w:r>
                      <w:r>
                        <w:rPr>
                          <w:rFonts w:cs="Arial"/>
                          <w:b/>
                          <w:sz w:val="18"/>
                          <w:szCs w:val="20"/>
                        </w:rPr>
                        <w:t xml:space="preserve">       ML SENYATSI</w:t>
                      </w:r>
                    </w:p>
                    <w:p w14:paraId="3D316EC8" w14:textId="77777777" w:rsidR="00F2507B" w:rsidRPr="003B746C" w:rsidRDefault="00F2507B" w:rsidP="00F2507B">
                      <w:pPr>
                        <w:rPr>
                          <w:rFonts w:cs="Arial"/>
                          <w:sz w:val="18"/>
                          <w:szCs w:val="20"/>
                        </w:rPr>
                      </w:pPr>
                      <w:r>
                        <w:rPr>
                          <w:rFonts w:cs="Arial"/>
                          <w:sz w:val="18"/>
                          <w:szCs w:val="20"/>
                        </w:rPr>
                        <w:t xml:space="preserve">     </w:t>
                      </w:r>
                      <w:r w:rsidRPr="003B746C">
                        <w:rPr>
                          <w:rFonts w:cs="Arial"/>
                          <w:sz w:val="18"/>
                          <w:szCs w:val="20"/>
                        </w:rPr>
                        <w:t>DATE</w:t>
                      </w:r>
                      <w:r w:rsidRPr="003B746C">
                        <w:rPr>
                          <w:rFonts w:cs="Arial"/>
                          <w:sz w:val="18"/>
                          <w:szCs w:val="20"/>
                        </w:rPr>
                        <w:tab/>
                      </w:r>
                      <w:r w:rsidRPr="003B746C">
                        <w:rPr>
                          <w:rFonts w:cs="Arial"/>
                          <w:sz w:val="18"/>
                          <w:szCs w:val="20"/>
                        </w:rPr>
                        <w:tab/>
                        <w:t xml:space="preserve"> </w:t>
                      </w:r>
                      <w:r>
                        <w:rPr>
                          <w:rFonts w:cs="Arial"/>
                          <w:sz w:val="18"/>
                          <w:szCs w:val="20"/>
                        </w:rPr>
                        <w:t xml:space="preserve">                          </w:t>
                      </w:r>
                      <w:r w:rsidRPr="003B746C">
                        <w:rPr>
                          <w:rFonts w:cs="Arial"/>
                          <w:sz w:val="18"/>
                          <w:szCs w:val="20"/>
                        </w:rPr>
                        <w:t>SIGNATURE</w:t>
                      </w:r>
                    </w:p>
                  </w:txbxContent>
                </v:textbox>
                <w10:wrap anchorx="margin"/>
              </v:shape>
            </w:pict>
          </mc:Fallback>
        </mc:AlternateContent>
      </w:r>
      <w:r w:rsidR="004C1B46">
        <w:rPr>
          <w:rFonts w:ascii="Times New Roman" w:eastAsia="Times New Roman" w:hAnsi="Times New Roman" w:cs="Times New Roman"/>
          <w:b/>
          <w:bCs/>
          <w:sz w:val="28"/>
          <w:szCs w:val="28"/>
        </w:rPr>
        <w:t xml:space="preserve">       </w:t>
      </w:r>
      <w:r w:rsidR="00CC464E" w:rsidRPr="008A779E">
        <w:rPr>
          <w:rFonts w:ascii="Times New Roman" w:eastAsia="Times New Roman" w:hAnsi="Times New Roman" w:cs="Times New Roman"/>
          <w:b/>
          <w:bCs/>
          <w:sz w:val="28"/>
          <w:szCs w:val="28"/>
        </w:rPr>
        <w:t>CASE NO</w:t>
      </w:r>
      <w:r w:rsidR="00CC464E" w:rsidRPr="008A779E">
        <w:rPr>
          <w:rFonts w:ascii="Times New Roman" w:eastAsia="Times New Roman" w:hAnsi="Times New Roman" w:cs="Times New Roman"/>
          <w:sz w:val="28"/>
          <w:szCs w:val="28"/>
        </w:rPr>
        <w:t xml:space="preserve">: </w:t>
      </w:r>
      <w:r w:rsidR="0023541B">
        <w:rPr>
          <w:rFonts w:ascii="Times New Roman" w:eastAsia="Calibri" w:hAnsi="Times New Roman" w:cs="Times New Roman"/>
          <w:b/>
          <w:bCs/>
          <w:sz w:val="28"/>
          <w:szCs w:val="28"/>
          <w:lang w:val="en-GB"/>
        </w:rPr>
        <w:t>55896</w:t>
      </w:r>
      <w:r w:rsidR="001946C5">
        <w:rPr>
          <w:rFonts w:ascii="Times New Roman" w:eastAsia="Calibri" w:hAnsi="Times New Roman" w:cs="Times New Roman"/>
          <w:b/>
          <w:bCs/>
          <w:sz w:val="28"/>
          <w:szCs w:val="28"/>
          <w:lang w:val="en-GB"/>
        </w:rPr>
        <w:t>/2021</w:t>
      </w:r>
    </w:p>
    <w:p w14:paraId="0D3088E1" w14:textId="6F45CDCE" w:rsidR="005F78BE" w:rsidRPr="00C35E2B" w:rsidRDefault="005F78BE" w:rsidP="00F17809">
      <w:pPr>
        <w:tabs>
          <w:tab w:val="left" w:pos="8998"/>
        </w:tabs>
        <w:spacing w:after="0" w:line="360" w:lineRule="auto"/>
        <w:rPr>
          <w:rFonts w:ascii="Times New Roman" w:eastAsia="Times New Roman" w:hAnsi="Times New Roman" w:cs="Times New Roman"/>
          <w:sz w:val="28"/>
          <w:szCs w:val="28"/>
        </w:rPr>
      </w:pPr>
    </w:p>
    <w:p w14:paraId="7C5925A0" w14:textId="77777777" w:rsidR="005F78BE" w:rsidRDefault="005F78BE" w:rsidP="00F17809">
      <w:pPr>
        <w:suppressAutoHyphens/>
        <w:spacing w:after="0" w:line="360" w:lineRule="auto"/>
        <w:jc w:val="both"/>
        <w:rPr>
          <w:rFonts w:ascii="Times New Roman" w:eastAsia="Times New Roman" w:hAnsi="Times New Roman" w:cs="Times New Roman"/>
          <w:sz w:val="28"/>
          <w:szCs w:val="28"/>
        </w:rPr>
      </w:pPr>
    </w:p>
    <w:p w14:paraId="152E6173" w14:textId="77777777" w:rsidR="00F2507B" w:rsidRDefault="00F2507B" w:rsidP="00F17809">
      <w:pPr>
        <w:suppressAutoHyphens/>
        <w:spacing w:after="0" w:line="360" w:lineRule="auto"/>
        <w:jc w:val="both"/>
        <w:rPr>
          <w:rFonts w:ascii="Times New Roman" w:eastAsia="Times New Roman" w:hAnsi="Times New Roman" w:cs="Times New Roman"/>
          <w:sz w:val="28"/>
          <w:szCs w:val="28"/>
        </w:rPr>
      </w:pPr>
    </w:p>
    <w:p w14:paraId="256060D0" w14:textId="77777777" w:rsidR="00F2507B" w:rsidRDefault="00F2507B" w:rsidP="00F17809">
      <w:pPr>
        <w:suppressAutoHyphens/>
        <w:spacing w:after="0" w:line="360" w:lineRule="auto"/>
        <w:jc w:val="both"/>
        <w:rPr>
          <w:rFonts w:ascii="Times New Roman" w:eastAsia="Times New Roman" w:hAnsi="Times New Roman" w:cs="Times New Roman"/>
          <w:sz w:val="28"/>
          <w:szCs w:val="28"/>
        </w:rPr>
      </w:pPr>
    </w:p>
    <w:p w14:paraId="4E43B026" w14:textId="77777777" w:rsidR="00F2507B" w:rsidRDefault="00F2507B" w:rsidP="00F17809">
      <w:pPr>
        <w:suppressAutoHyphens/>
        <w:spacing w:after="0" w:line="360" w:lineRule="auto"/>
        <w:jc w:val="both"/>
        <w:rPr>
          <w:rFonts w:ascii="Times New Roman" w:eastAsia="Times New Roman" w:hAnsi="Times New Roman" w:cs="Times New Roman"/>
          <w:sz w:val="28"/>
          <w:szCs w:val="28"/>
        </w:rPr>
      </w:pPr>
    </w:p>
    <w:p w14:paraId="626F5943" w14:textId="56CE9555" w:rsidR="00CC464E" w:rsidRDefault="00CC464E" w:rsidP="00F17809">
      <w:pPr>
        <w:suppressAutoHyphens/>
        <w:spacing w:after="0" w:line="360" w:lineRule="auto"/>
        <w:jc w:val="both"/>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p w14:paraId="3471B0F7" w14:textId="66F85811" w:rsidR="004C1B46" w:rsidRDefault="004C1B46" w:rsidP="00F17809">
      <w:pPr>
        <w:suppressAutoHyphens/>
        <w:spacing w:after="0" w:line="360" w:lineRule="auto"/>
        <w:jc w:val="both"/>
        <w:rPr>
          <w:rFonts w:ascii="Times New Roman" w:eastAsia="Times New Roman" w:hAnsi="Times New Roman" w:cs="Times New Roman"/>
          <w:sz w:val="28"/>
          <w:szCs w:val="28"/>
        </w:rPr>
      </w:pPr>
      <w:r w:rsidRPr="00F17809">
        <w:rPr>
          <w:rFonts w:ascii="Times New Roman" w:eastAsia="Times New Roman" w:hAnsi="Times New Roman" w:cs="Times New Roman"/>
          <w:b/>
          <w:bCs/>
          <w:sz w:val="28"/>
          <w:szCs w:val="28"/>
        </w:rPr>
        <w:t>SIYAKHULA SONKE EMPOWERMENT</w:t>
      </w:r>
      <w:r>
        <w:rPr>
          <w:rFonts w:ascii="Times New Roman" w:eastAsia="Times New Roman" w:hAnsi="Times New Roman" w:cs="Times New Roman"/>
          <w:sz w:val="28"/>
          <w:szCs w:val="28"/>
        </w:rPr>
        <w:t xml:space="preserve">                                 First Applicant</w:t>
      </w:r>
    </w:p>
    <w:p w14:paraId="34B93882" w14:textId="418DC1AE" w:rsidR="004C1B46" w:rsidRPr="00F17809" w:rsidRDefault="004C1B46" w:rsidP="000E589B">
      <w:pPr>
        <w:suppressAutoHyphens/>
        <w:spacing w:after="0" w:line="360" w:lineRule="auto"/>
        <w:jc w:val="both"/>
        <w:rPr>
          <w:rFonts w:ascii="Times New Roman" w:eastAsia="Times New Roman" w:hAnsi="Times New Roman" w:cs="Times New Roman"/>
          <w:b/>
          <w:bCs/>
          <w:sz w:val="28"/>
          <w:szCs w:val="28"/>
        </w:rPr>
      </w:pPr>
      <w:r w:rsidRPr="00F17809">
        <w:rPr>
          <w:rFonts w:ascii="Times New Roman" w:eastAsia="Times New Roman" w:hAnsi="Times New Roman" w:cs="Times New Roman"/>
          <w:b/>
          <w:bCs/>
          <w:sz w:val="28"/>
          <w:szCs w:val="28"/>
        </w:rPr>
        <w:t>CORPORATION PROPRIETARY LIMITED</w:t>
      </w:r>
    </w:p>
    <w:p w14:paraId="620127E0" w14:textId="77777777" w:rsidR="000E589B" w:rsidRDefault="000E589B" w:rsidP="00F17809">
      <w:pPr>
        <w:suppressAutoHyphens/>
        <w:spacing w:after="0" w:line="360" w:lineRule="auto"/>
        <w:jc w:val="both"/>
        <w:rPr>
          <w:rFonts w:ascii="Times New Roman" w:eastAsia="Times New Roman" w:hAnsi="Times New Roman" w:cs="Times New Roman"/>
          <w:sz w:val="28"/>
          <w:szCs w:val="28"/>
        </w:rPr>
      </w:pPr>
    </w:p>
    <w:p w14:paraId="737F4CB4" w14:textId="7A119F67" w:rsidR="004C1B46" w:rsidRDefault="004C1B46" w:rsidP="000E589B">
      <w:pPr>
        <w:suppressAutoHyphens/>
        <w:spacing w:after="0" w:line="360" w:lineRule="auto"/>
        <w:jc w:val="both"/>
        <w:rPr>
          <w:rFonts w:ascii="Times New Roman" w:eastAsia="Times New Roman" w:hAnsi="Times New Roman" w:cs="Times New Roman"/>
          <w:sz w:val="28"/>
          <w:szCs w:val="28"/>
        </w:rPr>
      </w:pPr>
      <w:r w:rsidRPr="00F17809">
        <w:rPr>
          <w:rFonts w:ascii="Times New Roman" w:eastAsia="Times New Roman" w:hAnsi="Times New Roman" w:cs="Times New Roman"/>
          <w:b/>
          <w:bCs/>
          <w:sz w:val="28"/>
          <w:szCs w:val="28"/>
        </w:rPr>
        <w:t>FREDERICK ARENDSE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Second Applicant </w:t>
      </w:r>
    </w:p>
    <w:p w14:paraId="0FFAD797" w14:textId="77777777" w:rsidR="000E589B" w:rsidRDefault="000E589B" w:rsidP="00F17809">
      <w:pPr>
        <w:suppressAutoHyphens/>
        <w:spacing w:after="0" w:line="360" w:lineRule="auto"/>
        <w:jc w:val="both"/>
        <w:rPr>
          <w:rFonts w:ascii="Times New Roman" w:eastAsia="Times New Roman" w:hAnsi="Times New Roman" w:cs="Times New Roman"/>
          <w:sz w:val="28"/>
          <w:szCs w:val="28"/>
        </w:rPr>
      </w:pPr>
    </w:p>
    <w:p w14:paraId="3251D827" w14:textId="2EF7870F" w:rsidR="004C1B46" w:rsidRDefault="000E589B" w:rsidP="000E589B">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4C1B46">
        <w:rPr>
          <w:rFonts w:ascii="Times New Roman" w:eastAsia="Times New Roman" w:hAnsi="Times New Roman" w:cs="Times New Roman"/>
          <w:sz w:val="28"/>
          <w:szCs w:val="28"/>
        </w:rPr>
        <w:t xml:space="preserve">nd </w:t>
      </w:r>
    </w:p>
    <w:p w14:paraId="2C2CCAF4" w14:textId="77777777" w:rsidR="000E589B" w:rsidRDefault="000E589B" w:rsidP="00F17809">
      <w:pPr>
        <w:suppressAutoHyphens/>
        <w:spacing w:after="0" w:line="360" w:lineRule="auto"/>
        <w:jc w:val="both"/>
        <w:rPr>
          <w:rFonts w:ascii="Times New Roman" w:eastAsia="Times New Roman" w:hAnsi="Times New Roman" w:cs="Times New Roman"/>
          <w:sz w:val="28"/>
          <w:szCs w:val="28"/>
        </w:rPr>
      </w:pPr>
    </w:p>
    <w:p w14:paraId="71175B5A" w14:textId="15752D53" w:rsidR="004C1B46" w:rsidRDefault="004C1B46" w:rsidP="00F17809">
      <w:pPr>
        <w:suppressAutoHyphens/>
        <w:spacing w:after="0" w:line="360" w:lineRule="auto"/>
        <w:jc w:val="both"/>
        <w:rPr>
          <w:rFonts w:ascii="Times New Roman" w:eastAsia="Times New Roman" w:hAnsi="Times New Roman" w:cs="Times New Roman"/>
          <w:sz w:val="28"/>
          <w:szCs w:val="28"/>
        </w:rPr>
      </w:pPr>
      <w:r w:rsidRPr="00F17809">
        <w:rPr>
          <w:rFonts w:ascii="Times New Roman" w:eastAsia="Times New Roman" w:hAnsi="Times New Roman" w:cs="Times New Roman"/>
          <w:b/>
          <w:bCs/>
          <w:sz w:val="28"/>
          <w:szCs w:val="28"/>
        </w:rPr>
        <w:t>REDPATH AFRICA LIMITED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Respondent </w:t>
      </w:r>
    </w:p>
    <w:p w14:paraId="4CE81D1F" w14:textId="77777777" w:rsidR="004C1B46" w:rsidRDefault="004C1B46" w:rsidP="00F17809">
      <w:pPr>
        <w:suppressAutoHyphens/>
        <w:spacing w:after="0" w:line="360" w:lineRule="auto"/>
        <w:jc w:val="both"/>
        <w:rPr>
          <w:rFonts w:ascii="Times New Roman" w:eastAsia="Times New Roman" w:hAnsi="Times New Roman" w:cs="Times New Roman"/>
          <w:sz w:val="28"/>
          <w:szCs w:val="28"/>
        </w:rPr>
      </w:pPr>
    </w:p>
    <w:p w14:paraId="4640F8BD" w14:textId="55F3F136" w:rsidR="004C1B46" w:rsidRDefault="004C1B46" w:rsidP="00F17809">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re:</w:t>
      </w:r>
    </w:p>
    <w:p w14:paraId="7CE9F37A" w14:textId="5BA33E96" w:rsidR="004C1B46" w:rsidRDefault="004C1B46" w:rsidP="000E589B">
      <w:pPr>
        <w:suppressAutoHyphens/>
        <w:spacing w:after="0" w:line="360" w:lineRule="auto"/>
        <w:jc w:val="both"/>
        <w:rPr>
          <w:rFonts w:ascii="Times New Roman" w:eastAsia="Times New Roman" w:hAnsi="Times New Roman" w:cs="Times New Roman"/>
          <w:sz w:val="28"/>
          <w:szCs w:val="28"/>
        </w:rPr>
      </w:pPr>
      <w:r w:rsidRPr="00F17809">
        <w:rPr>
          <w:rFonts w:ascii="Times New Roman" w:eastAsia="Times New Roman" w:hAnsi="Times New Roman" w:cs="Times New Roman"/>
          <w:b/>
          <w:bCs/>
          <w:sz w:val="28"/>
          <w:szCs w:val="28"/>
        </w:rPr>
        <w:lastRenderedPageBreak/>
        <w:t>REDPATH AFRICA LIMITED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Applicant </w:t>
      </w:r>
    </w:p>
    <w:p w14:paraId="347704FD" w14:textId="77777777" w:rsidR="000E589B" w:rsidRDefault="000E589B" w:rsidP="00F17809">
      <w:pPr>
        <w:suppressAutoHyphens/>
        <w:spacing w:after="0" w:line="360" w:lineRule="auto"/>
        <w:jc w:val="both"/>
        <w:rPr>
          <w:rFonts w:ascii="Times New Roman" w:eastAsia="Times New Roman" w:hAnsi="Times New Roman" w:cs="Times New Roman"/>
          <w:sz w:val="28"/>
          <w:szCs w:val="28"/>
        </w:rPr>
      </w:pPr>
    </w:p>
    <w:p w14:paraId="016C7504" w14:textId="38B950A0" w:rsidR="000E589B" w:rsidRDefault="000E589B" w:rsidP="000E589B">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4C1B46">
        <w:rPr>
          <w:rFonts w:ascii="Times New Roman" w:eastAsia="Times New Roman" w:hAnsi="Times New Roman" w:cs="Times New Roman"/>
          <w:sz w:val="28"/>
          <w:szCs w:val="28"/>
        </w:rPr>
        <w:t>nd</w:t>
      </w:r>
    </w:p>
    <w:p w14:paraId="39D1D541" w14:textId="429C4E16" w:rsidR="004C1B46" w:rsidRDefault="004C1B46" w:rsidP="00F17809">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F2B4490" w14:textId="205F82D0" w:rsidR="004C1B46" w:rsidRDefault="004C1B46" w:rsidP="00F17809">
      <w:pPr>
        <w:suppressAutoHyphens/>
        <w:spacing w:after="0" w:line="360" w:lineRule="auto"/>
        <w:jc w:val="both"/>
        <w:rPr>
          <w:rFonts w:ascii="Times New Roman" w:eastAsia="Times New Roman" w:hAnsi="Times New Roman" w:cs="Times New Roman"/>
          <w:sz w:val="28"/>
          <w:szCs w:val="28"/>
        </w:rPr>
      </w:pPr>
      <w:r w:rsidRPr="00F17809">
        <w:rPr>
          <w:rFonts w:ascii="Times New Roman" w:eastAsia="Times New Roman" w:hAnsi="Times New Roman" w:cs="Times New Roman"/>
          <w:b/>
          <w:bCs/>
          <w:sz w:val="28"/>
          <w:szCs w:val="28"/>
        </w:rPr>
        <w:t>SIYAKHULA SONKE EMPOWERMENT</w:t>
      </w:r>
      <w:r>
        <w:rPr>
          <w:rFonts w:ascii="Times New Roman" w:eastAsia="Times New Roman" w:hAnsi="Times New Roman" w:cs="Times New Roman"/>
          <w:sz w:val="28"/>
          <w:szCs w:val="28"/>
        </w:rPr>
        <w:t xml:space="preserve">                             </w:t>
      </w:r>
      <w:r w:rsidR="00B62AA0">
        <w:rPr>
          <w:rFonts w:ascii="Times New Roman" w:eastAsia="Times New Roman" w:hAnsi="Times New Roman" w:cs="Times New Roman"/>
          <w:sz w:val="28"/>
          <w:szCs w:val="28"/>
        </w:rPr>
        <w:t xml:space="preserve">  First</w:t>
      </w:r>
      <w:r>
        <w:rPr>
          <w:rFonts w:ascii="Times New Roman" w:eastAsia="Times New Roman" w:hAnsi="Times New Roman" w:cs="Times New Roman"/>
          <w:sz w:val="28"/>
          <w:szCs w:val="28"/>
        </w:rPr>
        <w:t xml:space="preserve"> Respondent</w:t>
      </w:r>
    </w:p>
    <w:p w14:paraId="38DCE9CF" w14:textId="2621F11A" w:rsidR="004C1B46" w:rsidRPr="00F17809" w:rsidRDefault="004C1B46" w:rsidP="00F17809">
      <w:pPr>
        <w:suppressAutoHyphens/>
        <w:spacing w:after="0" w:line="360" w:lineRule="auto"/>
        <w:jc w:val="both"/>
        <w:rPr>
          <w:rFonts w:ascii="Times New Roman" w:eastAsia="Times New Roman" w:hAnsi="Times New Roman" w:cs="Times New Roman"/>
          <w:b/>
          <w:bCs/>
          <w:sz w:val="28"/>
          <w:szCs w:val="28"/>
        </w:rPr>
      </w:pPr>
      <w:r w:rsidRPr="00F17809">
        <w:rPr>
          <w:rFonts w:ascii="Times New Roman" w:eastAsia="Times New Roman" w:hAnsi="Times New Roman" w:cs="Times New Roman"/>
          <w:b/>
          <w:bCs/>
          <w:sz w:val="28"/>
          <w:szCs w:val="28"/>
        </w:rPr>
        <w:t xml:space="preserve">CORPORATION PROPRIETARY LIMITED </w:t>
      </w:r>
    </w:p>
    <w:p w14:paraId="46EAABB5" w14:textId="77777777" w:rsidR="004C1B46" w:rsidRDefault="004C1B46" w:rsidP="00F17809">
      <w:pPr>
        <w:suppressAutoHyphens/>
        <w:spacing w:after="0" w:line="360" w:lineRule="auto"/>
        <w:jc w:val="both"/>
        <w:rPr>
          <w:rFonts w:ascii="Times New Roman" w:eastAsia="Times New Roman" w:hAnsi="Times New Roman" w:cs="Times New Roman"/>
          <w:sz w:val="28"/>
          <w:szCs w:val="28"/>
        </w:rPr>
      </w:pPr>
    </w:p>
    <w:p w14:paraId="350E4232" w14:textId="3CDD4B8D" w:rsidR="004C1B46" w:rsidRDefault="004C1B46" w:rsidP="00F17809">
      <w:pPr>
        <w:suppressAutoHyphens/>
        <w:spacing w:after="0" w:line="360" w:lineRule="auto"/>
        <w:jc w:val="both"/>
        <w:rPr>
          <w:rFonts w:ascii="Times New Roman" w:eastAsia="Times New Roman" w:hAnsi="Times New Roman" w:cs="Times New Roman"/>
          <w:sz w:val="28"/>
          <w:szCs w:val="28"/>
        </w:rPr>
      </w:pPr>
      <w:r w:rsidRPr="00F17809">
        <w:rPr>
          <w:rFonts w:ascii="Times New Roman" w:eastAsia="Times New Roman" w:hAnsi="Times New Roman" w:cs="Times New Roman"/>
          <w:b/>
          <w:bCs/>
          <w:sz w:val="28"/>
          <w:szCs w:val="28"/>
        </w:rPr>
        <w:t xml:space="preserve">REDPATH MINING (SOUTH </w:t>
      </w:r>
      <w:r w:rsidR="001B64EE" w:rsidRPr="00F17809">
        <w:rPr>
          <w:rFonts w:ascii="Times New Roman" w:eastAsia="Times New Roman" w:hAnsi="Times New Roman" w:cs="Times New Roman"/>
          <w:b/>
          <w:bCs/>
          <w:sz w:val="28"/>
          <w:szCs w:val="28"/>
        </w:rPr>
        <w:t>AFRICA)</w:t>
      </w:r>
      <w:r w:rsidR="001B64EE">
        <w:rPr>
          <w:rFonts w:ascii="Times New Roman" w:eastAsia="Times New Roman" w:hAnsi="Times New Roman" w:cs="Times New Roman"/>
          <w:sz w:val="28"/>
          <w:szCs w:val="28"/>
        </w:rPr>
        <w:t xml:space="preserve">  </w:t>
      </w:r>
      <w:r w:rsidR="00B62AA0">
        <w:rPr>
          <w:rFonts w:ascii="Times New Roman" w:eastAsia="Times New Roman" w:hAnsi="Times New Roman" w:cs="Times New Roman"/>
          <w:sz w:val="28"/>
          <w:szCs w:val="28"/>
        </w:rPr>
        <w:t xml:space="preserve">                 </w:t>
      </w:r>
      <w:r w:rsidR="001B64EE">
        <w:rPr>
          <w:rFonts w:ascii="Times New Roman" w:eastAsia="Times New Roman" w:hAnsi="Times New Roman" w:cs="Times New Roman"/>
          <w:sz w:val="28"/>
          <w:szCs w:val="28"/>
        </w:rPr>
        <w:t xml:space="preserve">  </w:t>
      </w:r>
      <w:r w:rsidR="00B62AA0">
        <w:rPr>
          <w:rFonts w:ascii="Times New Roman" w:eastAsia="Times New Roman" w:hAnsi="Times New Roman" w:cs="Times New Roman"/>
          <w:sz w:val="28"/>
          <w:szCs w:val="28"/>
        </w:rPr>
        <w:t xml:space="preserve">         Second Respondent </w:t>
      </w:r>
    </w:p>
    <w:p w14:paraId="562534B8" w14:textId="7DA16E37" w:rsidR="004C1B46" w:rsidRPr="00F17809" w:rsidRDefault="004C1B46" w:rsidP="00F17809">
      <w:pPr>
        <w:suppressAutoHyphens/>
        <w:spacing w:after="0" w:line="360" w:lineRule="auto"/>
        <w:jc w:val="both"/>
        <w:rPr>
          <w:rFonts w:ascii="Times New Roman" w:eastAsia="Times New Roman" w:hAnsi="Times New Roman" w:cs="Times New Roman"/>
          <w:b/>
          <w:bCs/>
          <w:sz w:val="28"/>
          <w:szCs w:val="28"/>
        </w:rPr>
      </w:pPr>
      <w:r w:rsidRPr="00F17809">
        <w:rPr>
          <w:rFonts w:ascii="Times New Roman" w:eastAsia="Times New Roman" w:hAnsi="Times New Roman" w:cs="Times New Roman"/>
          <w:b/>
          <w:bCs/>
          <w:sz w:val="28"/>
          <w:szCs w:val="28"/>
        </w:rPr>
        <w:t>PROPRIETARY LIMITED</w:t>
      </w:r>
    </w:p>
    <w:p w14:paraId="0CF761CF" w14:textId="342B1F6F" w:rsidR="00B62AA0" w:rsidRDefault="00B62AA0" w:rsidP="00F17809">
      <w:pPr>
        <w:suppressAutoHyphens/>
        <w:spacing w:after="0" w:line="360" w:lineRule="auto"/>
        <w:jc w:val="both"/>
        <w:rPr>
          <w:rFonts w:ascii="Times New Roman" w:eastAsia="Times New Roman" w:hAnsi="Times New Roman" w:cs="Times New Roman"/>
          <w:sz w:val="28"/>
          <w:szCs w:val="28"/>
        </w:rPr>
      </w:pPr>
    </w:p>
    <w:p w14:paraId="1D1DB7EF" w14:textId="76023C53" w:rsidR="001B64EE" w:rsidRPr="008A779E" w:rsidRDefault="001B64EE" w:rsidP="00F17809">
      <w:pPr>
        <w:suppressAutoHyphens/>
        <w:spacing w:after="0" w:line="360" w:lineRule="auto"/>
        <w:jc w:val="both"/>
        <w:rPr>
          <w:rFonts w:ascii="Times New Roman" w:eastAsia="Times New Roman" w:hAnsi="Times New Roman" w:cs="Times New Roman"/>
          <w:sz w:val="28"/>
          <w:szCs w:val="28"/>
        </w:rPr>
      </w:pPr>
      <w:r w:rsidRPr="00F17809">
        <w:rPr>
          <w:rFonts w:ascii="Times New Roman" w:eastAsia="Times New Roman" w:hAnsi="Times New Roman" w:cs="Times New Roman"/>
          <w:b/>
          <w:bCs/>
          <w:sz w:val="28"/>
          <w:szCs w:val="28"/>
        </w:rPr>
        <w:t xml:space="preserve">FRED ARENDSE                                                                     </w:t>
      </w:r>
      <w:r>
        <w:rPr>
          <w:rFonts w:ascii="Times New Roman" w:eastAsia="Times New Roman" w:hAnsi="Times New Roman" w:cs="Times New Roman"/>
          <w:sz w:val="28"/>
          <w:szCs w:val="28"/>
        </w:rPr>
        <w:t>Third Respondent</w:t>
      </w:r>
    </w:p>
    <w:p w14:paraId="36519C55" w14:textId="77777777" w:rsidR="00E36E69" w:rsidRPr="00EF68F2" w:rsidRDefault="00E36E69" w:rsidP="00E36E69">
      <w:pPr>
        <w:pBdr>
          <w:bottom w:val="single" w:sz="12" w:space="1" w:color="auto"/>
        </w:pBdr>
        <w:spacing w:after="0" w:line="240" w:lineRule="auto"/>
        <w:rPr>
          <w:rFonts w:ascii="Times New Roman" w:hAnsi="Times New Roman" w:cs="Times New Roman"/>
          <w:b/>
          <w:sz w:val="28"/>
          <w:szCs w:val="32"/>
        </w:rPr>
      </w:pPr>
    </w:p>
    <w:p w14:paraId="73E73514" w14:textId="77777777" w:rsidR="00E36E69" w:rsidRPr="00EF68F2" w:rsidRDefault="00E36E69" w:rsidP="00E36E69">
      <w:pPr>
        <w:spacing w:after="0" w:line="240" w:lineRule="auto"/>
        <w:ind w:left="1440" w:hanging="1440"/>
        <w:rPr>
          <w:rFonts w:ascii="Times New Roman" w:hAnsi="Times New Roman" w:cs="Times New Roman"/>
          <w:b/>
          <w:sz w:val="28"/>
          <w:szCs w:val="32"/>
        </w:rPr>
      </w:pPr>
    </w:p>
    <w:p w14:paraId="07EC360F" w14:textId="77777777" w:rsidR="00E36E69" w:rsidRPr="00EF68F2" w:rsidRDefault="00E36E69" w:rsidP="00E36E69">
      <w:pPr>
        <w:pBdr>
          <w:bottom w:val="single" w:sz="12" w:space="1" w:color="auto"/>
        </w:pBdr>
        <w:spacing w:line="480" w:lineRule="auto"/>
        <w:jc w:val="center"/>
        <w:rPr>
          <w:rFonts w:ascii="Times New Roman" w:hAnsi="Times New Roman" w:cs="Times New Roman"/>
          <w:b/>
          <w:sz w:val="28"/>
          <w:szCs w:val="32"/>
        </w:rPr>
      </w:pPr>
      <w:r w:rsidRPr="00EF68F2">
        <w:rPr>
          <w:rFonts w:ascii="Times New Roman" w:hAnsi="Times New Roman" w:cs="Times New Roman"/>
          <w:b/>
          <w:sz w:val="28"/>
          <w:szCs w:val="32"/>
        </w:rPr>
        <w:t>JUDGMENT</w:t>
      </w:r>
    </w:p>
    <w:p w14:paraId="3BBC4623" w14:textId="77777777" w:rsidR="00E47B1E" w:rsidRDefault="00E47B1E" w:rsidP="006778B7">
      <w:pPr>
        <w:pStyle w:val="NoSpacing"/>
        <w:rPr>
          <w:rFonts w:ascii="Times New Roman" w:hAnsi="Times New Roman" w:cs="Times New Roman"/>
          <w:b/>
          <w:bCs/>
          <w:sz w:val="28"/>
          <w:szCs w:val="28"/>
        </w:rPr>
      </w:pPr>
    </w:p>
    <w:p w14:paraId="4F75D0A1" w14:textId="206A50E0" w:rsidR="00931681" w:rsidRPr="00F17809" w:rsidRDefault="00E36E69" w:rsidP="00F17809">
      <w:pPr>
        <w:pStyle w:val="NoSpacing"/>
        <w:rPr>
          <w:rFonts w:ascii="Times New Roman" w:eastAsia="Times New Roman" w:hAnsi="Times New Roman" w:cs="Times New Roman"/>
          <w:b/>
          <w:bCs/>
          <w:i/>
          <w:iCs/>
          <w:sz w:val="28"/>
          <w:szCs w:val="36"/>
        </w:rPr>
      </w:pPr>
      <w:r w:rsidRPr="00F17809">
        <w:rPr>
          <w:rFonts w:ascii="Times New Roman" w:hAnsi="Times New Roman" w:cs="Times New Roman"/>
          <w:b/>
          <w:bCs/>
          <w:sz w:val="28"/>
          <w:szCs w:val="28"/>
        </w:rPr>
        <w:t>SENYATSI, J</w:t>
      </w:r>
    </w:p>
    <w:p w14:paraId="4A585A34" w14:textId="77777777" w:rsidR="00394EC9" w:rsidRDefault="00394EC9" w:rsidP="00F17809">
      <w:pPr>
        <w:spacing w:line="360" w:lineRule="auto"/>
        <w:jc w:val="both"/>
        <w:rPr>
          <w:rFonts w:ascii="Times New Roman" w:eastAsia="Calibri" w:hAnsi="Times New Roman" w:cs="Times New Roman"/>
          <w:i/>
          <w:iCs/>
          <w:sz w:val="28"/>
          <w:szCs w:val="28"/>
          <w:lang w:val="en-GB"/>
        </w:rPr>
      </w:pPr>
    </w:p>
    <w:p w14:paraId="01083390" w14:textId="29AD6543" w:rsidR="00064CE7" w:rsidRPr="00F17809" w:rsidRDefault="00C97150" w:rsidP="00F17809">
      <w:pPr>
        <w:spacing w:line="360" w:lineRule="auto"/>
        <w:ind w:left="720" w:hanging="720"/>
        <w:jc w:val="both"/>
        <w:rPr>
          <w:rFonts w:ascii="Times New Roman" w:eastAsia="Calibri" w:hAnsi="Times New Roman" w:cs="Times New Roman"/>
          <w:i/>
          <w:iCs/>
          <w:sz w:val="28"/>
          <w:szCs w:val="28"/>
          <w:lang w:val="en-GB"/>
        </w:rPr>
      </w:pPr>
      <w:r>
        <w:rPr>
          <w:rFonts w:ascii="Times New Roman" w:eastAsia="Calibri" w:hAnsi="Times New Roman" w:cs="Times New Roman"/>
          <w:i/>
          <w:iCs/>
          <w:sz w:val="28"/>
          <w:szCs w:val="28"/>
          <w:lang w:val="en-GB"/>
        </w:rPr>
        <w:t xml:space="preserve">Introduction </w:t>
      </w:r>
    </w:p>
    <w:p w14:paraId="32AECEA4" w14:textId="500CC441" w:rsidR="00064CE7"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[1]</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 xml:space="preserve">This is application for amendment of the application to include certain relief and the application to file a supplementary affidavit in support of the relief. The application is opposed and in addition, the respondents have filed a </w:t>
      </w:r>
      <w:r w:rsidR="00376A48" w:rsidRPr="00376A48">
        <w:rPr>
          <w:rFonts w:ascii="Times New Roman" w:hAnsi="Times New Roman" w:cs="Times New Roman"/>
          <w:sz w:val="28"/>
          <w:szCs w:val="24"/>
        </w:rPr>
        <w:t>counterclaim</w:t>
      </w:r>
      <w:r w:rsidR="00064CE7" w:rsidRPr="00F17809">
        <w:rPr>
          <w:rFonts w:ascii="Times New Roman" w:hAnsi="Times New Roman" w:cs="Times New Roman"/>
          <w:sz w:val="28"/>
          <w:szCs w:val="24"/>
        </w:rPr>
        <w:t xml:space="preserve"> for consolidation of the underlying application with the action proceedings brought by the respondents.</w:t>
      </w:r>
      <w:r w:rsidR="00064CE7" w:rsidRPr="00F17809">
        <w:rPr>
          <w:rFonts w:ascii="Times New Roman" w:hAnsi="Times New Roman" w:cs="Times New Roman"/>
          <w:sz w:val="28"/>
          <w:szCs w:val="24"/>
        </w:rPr>
        <w:tab/>
      </w:r>
    </w:p>
    <w:p w14:paraId="618ED8CD" w14:textId="77777777" w:rsidR="006778B7" w:rsidRDefault="006778B7" w:rsidP="006778B7">
      <w:pPr>
        <w:spacing w:line="360" w:lineRule="auto"/>
        <w:ind w:left="720" w:hanging="720"/>
        <w:jc w:val="both"/>
        <w:rPr>
          <w:rFonts w:ascii="Times New Roman" w:eastAsia="Calibri" w:hAnsi="Times New Roman" w:cs="Times New Roman"/>
          <w:i/>
          <w:iCs/>
          <w:sz w:val="28"/>
          <w:szCs w:val="28"/>
          <w:lang w:val="en-GB"/>
        </w:rPr>
      </w:pPr>
    </w:p>
    <w:p w14:paraId="773A2D50" w14:textId="3DCC4C10" w:rsidR="00064CE7" w:rsidRPr="00064CE7" w:rsidRDefault="00064CE7" w:rsidP="000E589B">
      <w:pPr>
        <w:spacing w:line="360" w:lineRule="auto"/>
        <w:ind w:left="720" w:hanging="720"/>
        <w:jc w:val="both"/>
        <w:rPr>
          <w:rFonts w:ascii="Times New Roman" w:eastAsia="Calibri" w:hAnsi="Times New Roman" w:cs="Times New Roman"/>
          <w:i/>
          <w:iCs/>
          <w:sz w:val="28"/>
          <w:szCs w:val="28"/>
          <w:lang w:val="en-GB"/>
        </w:rPr>
      </w:pPr>
      <w:r w:rsidRPr="00064CE7">
        <w:rPr>
          <w:rFonts w:ascii="Times New Roman" w:eastAsia="Calibri" w:hAnsi="Times New Roman" w:cs="Times New Roman"/>
          <w:i/>
          <w:iCs/>
          <w:sz w:val="28"/>
          <w:szCs w:val="28"/>
          <w:lang w:val="en-GB"/>
        </w:rPr>
        <w:t>Background</w:t>
      </w:r>
    </w:p>
    <w:p w14:paraId="42C29ACB" w14:textId="0B442359" w:rsidR="00C631FE"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[2]</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 xml:space="preserve">On 26 November 2021, the applicant (“RAL”) launched an application under the above-mentioned case number (“the deemed offer application”). </w:t>
      </w:r>
      <w:r w:rsidR="00064CE7" w:rsidRPr="00F17809">
        <w:rPr>
          <w:rFonts w:ascii="Times New Roman" w:hAnsi="Times New Roman" w:cs="Times New Roman"/>
          <w:sz w:val="28"/>
          <w:szCs w:val="24"/>
        </w:rPr>
        <w:lastRenderedPageBreak/>
        <w:t xml:space="preserve">At that stage, the basis of the application was that the first respondent (“SSC”), through the third respondent (“Arendse”), had allegedly engaged in a series of orchestrated and unlawful acts which constituted material breaches of a shareholding agreement (“the agreement”) in relation to the second respondent (“RMSA”), to which SSC and RAL are parties.  The legal consequence of the conduct of SSC and Arendse, so contends RAL, was that SSC is deemed to have offered its entire shareholding in RMSA for sale to RAL in terms of various provisions of the agreement. RAL seeks a declaratory order to this effect, coupled with ancillary relief designed </w:t>
      </w:r>
      <w:r w:rsidR="00FD55CC" w:rsidRPr="00FD55CC">
        <w:rPr>
          <w:rFonts w:ascii="Times New Roman" w:hAnsi="Times New Roman" w:cs="Times New Roman"/>
          <w:sz w:val="28"/>
          <w:szCs w:val="24"/>
        </w:rPr>
        <w:t>to give</w:t>
      </w:r>
      <w:r w:rsidR="00064CE7" w:rsidRPr="00F17809">
        <w:rPr>
          <w:rFonts w:ascii="Times New Roman" w:hAnsi="Times New Roman" w:cs="Times New Roman"/>
          <w:sz w:val="28"/>
          <w:szCs w:val="24"/>
        </w:rPr>
        <w:t xml:space="preserve"> effect to the deemed offer (“the deemed offer relief”).</w:t>
      </w:r>
    </w:p>
    <w:p w14:paraId="0731E94D" w14:textId="57524C40" w:rsidR="00FD55CC" w:rsidRPr="00F17809" w:rsidRDefault="00482211" w:rsidP="00482211">
      <w:pPr>
        <w:pStyle w:val="JudgmentNumbered"/>
        <w:numPr>
          <w:ilvl w:val="0"/>
          <w:numId w:val="0"/>
        </w:numPr>
        <w:ind w:left="567" w:hanging="567"/>
        <w:rPr>
          <w:rFonts w:ascii="Times New Roman" w:hAnsi="Times New Roman" w:cs="Times New Roman"/>
          <w:sz w:val="28"/>
          <w:szCs w:val="28"/>
        </w:rPr>
      </w:pPr>
      <w:r w:rsidRPr="00F17809">
        <w:rPr>
          <w:rFonts w:ascii="Times New Roman" w:hAnsi="Times New Roman" w:cs="Times New Roman"/>
          <w:sz w:val="28"/>
          <w:szCs w:val="24"/>
        </w:rPr>
        <w:t>[3]</w:t>
      </w:r>
      <w:r w:rsidRPr="00F17809">
        <w:rPr>
          <w:rFonts w:ascii="Times New Roman" w:hAnsi="Times New Roman" w:cs="Times New Roman"/>
          <w:sz w:val="28"/>
          <w:szCs w:val="24"/>
        </w:rPr>
        <w:tab/>
      </w:r>
      <w:r w:rsidR="00064CE7" w:rsidRPr="00F17809">
        <w:rPr>
          <w:rFonts w:ascii="Times New Roman" w:eastAsia="Calibri" w:hAnsi="Times New Roman" w:cs="Times New Roman"/>
          <w:sz w:val="28"/>
          <w:szCs w:val="28"/>
        </w:rPr>
        <w:t>The</w:t>
      </w:r>
      <w:r w:rsidR="00064CE7" w:rsidRPr="00F17809">
        <w:rPr>
          <w:rFonts w:ascii="Times New Roman" w:hAnsi="Times New Roman" w:cs="Times New Roman"/>
          <w:sz w:val="28"/>
          <w:szCs w:val="28"/>
        </w:rPr>
        <w:t xml:space="preserve"> basis for the deemed offer relief and all the background facts, are set out in the founding affidavit. The first and third respondents have opposed the application and delivered an answering affidavit and filed a counter-application</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in which they seek an order dismissing the deemed offer application,</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alternatively referring it to trial</w:t>
      </w:r>
      <w:r w:rsidR="00064CE7" w:rsidRPr="00F17809">
        <w:rPr>
          <w:rFonts w:ascii="Times New Roman" w:eastAsia="Calibri" w:hAnsi="Times New Roman" w:cs="Times New Roman"/>
          <w:sz w:val="28"/>
          <w:szCs w:val="28"/>
        </w:rPr>
        <w:t>.</w:t>
      </w:r>
      <w:r w:rsidR="00064CE7" w:rsidRPr="00F17809">
        <w:rPr>
          <w:rFonts w:ascii="Times New Roman" w:eastAsia="Calibri" w:hAnsi="Times New Roman" w:cs="Times New Roman"/>
          <w:b/>
          <w:bCs/>
          <w:sz w:val="28"/>
          <w:szCs w:val="28"/>
          <w:u w:val="single"/>
        </w:rPr>
        <w:t xml:space="preserve"> </w:t>
      </w:r>
    </w:p>
    <w:p w14:paraId="0F5CE10E" w14:textId="00083E7F" w:rsidR="00FD55CC" w:rsidRPr="00F17809" w:rsidRDefault="00482211" w:rsidP="00482211">
      <w:pPr>
        <w:pStyle w:val="JudgmentNumbered"/>
        <w:numPr>
          <w:ilvl w:val="0"/>
          <w:numId w:val="0"/>
        </w:numPr>
        <w:ind w:left="567" w:hanging="567"/>
        <w:rPr>
          <w:rFonts w:ascii="Times New Roman" w:hAnsi="Times New Roman" w:cs="Times New Roman"/>
          <w:color w:val="000000"/>
          <w:sz w:val="28"/>
          <w:szCs w:val="28"/>
        </w:rPr>
      </w:pPr>
      <w:r w:rsidRPr="00F17809">
        <w:rPr>
          <w:rFonts w:ascii="Times New Roman" w:hAnsi="Times New Roman" w:cs="Times New Roman"/>
          <w:color w:val="000000"/>
          <w:sz w:val="28"/>
          <w:szCs w:val="24"/>
        </w:rPr>
        <w:t>[4]</w:t>
      </w:r>
      <w:r w:rsidRPr="00F17809">
        <w:rPr>
          <w:rFonts w:ascii="Times New Roman" w:hAnsi="Times New Roman" w:cs="Times New Roman"/>
          <w:color w:val="000000"/>
          <w:sz w:val="28"/>
          <w:szCs w:val="24"/>
        </w:rPr>
        <w:tab/>
      </w:r>
      <w:r w:rsidR="00064CE7" w:rsidRPr="00F17809">
        <w:rPr>
          <w:rFonts w:ascii="Times New Roman" w:hAnsi="Times New Roman" w:cs="Times New Roman"/>
          <w:color w:val="000000"/>
          <w:sz w:val="28"/>
          <w:szCs w:val="28"/>
        </w:rPr>
        <w:t>It is important to note at this stage that RAL contends that it wishes the application to be determined on the papers and does not seek a referral to trial.</w:t>
      </w:r>
      <w:r w:rsidR="002E6E93" w:rsidRPr="00F17809">
        <w:rPr>
          <w:rFonts w:ascii="Times New Roman" w:hAnsi="Times New Roman" w:cs="Times New Roman"/>
          <w:color w:val="000000"/>
          <w:sz w:val="28"/>
          <w:szCs w:val="28"/>
        </w:rPr>
        <w:t xml:space="preserve"> </w:t>
      </w:r>
      <w:r w:rsidR="00064CE7" w:rsidRPr="00F17809">
        <w:rPr>
          <w:rFonts w:ascii="Times New Roman" w:hAnsi="Times New Roman" w:cs="Times New Roman"/>
          <w:color w:val="000000"/>
          <w:sz w:val="28"/>
          <w:szCs w:val="28"/>
        </w:rPr>
        <w:t xml:space="preserve">RAL contends that, it therefore will seek, when the main application is heard, a final order on the basis that there are no relevant disputes of fact. If it fails in this regard, then it will be held to its election, as </w:t>
      </w:r>
      <w:r w:rsidR="00064CE7" w:rsidRPr="00F17809">
        <w:rPr>
          <w:rFonts w:ascii="Times New Roman" w:hAnsi="Times New Roman" w:cs="Times New Roman"/>
          <w:i/>
          <w:iCs/>
          <w:color w:val="000000"/>
          <w:sz w:val="28"/>
          <w:szCs w:val="28"/>
        </w:rPr>
        <w:t>dominis litis</w:t>
      </w:r>
      <w:r w:rsidR="00064CE7" w:rsidRPr="00F17809">
        <w:rPr>
          <w:rFonts w:ascii="Times New Roman" w:hAnsi="Times New Roman" w:cs="Times New Roman"/>
          <w:color w:val="000000"/>
          <w:sz w:val="28"/>
          <w:szCs w:val="28"/>
        </w:rPr>
        <w:t>.</w:t>
      </w:r>
    </w:p>
    <w:p w14:paraId="305EF5B9" w14:textId="1515CA8D" w:rsidR="00FD55CC" w:rsidRPr="00F17809" w:rsidRDefault="00482211" w:rsidP="00482211">
      <w:pPr>
        <w:pStyle w:val="JudgmentNumbered"/>
        <w:numPr>
          <w:ilvl w:val="0"/>
          <w:numId w:val="0"/>
        </w:numPr>
        <w:ind w:left="567" w:hanging="567"/>
        <w:rPr>
          <w:rFonts w:ascii="Times New Roman" w:hAnsi="Times New Roman" w:cs="Times New Roman"/>
          <w:sz w:val="28"/>
          <w:szCs w:val="28"/>
        </w:rPr>
      </w:pPr>
      <w:r w:rsidRPr="00F17809">
        <w:rPr>
          <w:rFonts w:ascii="Times New Roman" w:hAnsi="Times New Roman" w:cs="Times New Roman"/>
          <w:sz w:val="28"/>
          <w:szCs w:val="24"/>
        </w:rPr>
        <w:t>[5]</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Subsequent to the launching of the deemed offer application, RAL alleges that SSC repudiated the agreement by refusing to pay the purchase price (which</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was, in terms of the agreement, due for payment no later than 1 January 2022).</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RAL accepted SSC’s repudiation and cancelled the agreement. However, the</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parties are engaged in various disputes relating to SSC’s shareholding in</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 xml:space="preserve">RMSA and it was anticipated by RAL that SSC would dispute RAL’s entitlement to cancel the agreement. RAL states that </w:t>
      </w:r>
      <w:r w:rsidR="00064CE7" w:rsidRPr="00F17809">
        <w:rPr>
          <w:rFonts w:ascii="Times New Roman" w:hAnsi="Times New Roman" w:cs="Times New Roman"/>
          <w:sz w:val="28"/>
          <w:szCs w:val="28"/>
        </w:rPr>
        <w:lastRenderedPageBreak/>
        <w:t>it was accordingly considered appropriate to seek declaratory relief from this Court to the effect that SSC did indeed repudiate the agreement and, therefore, that RAL was entitled to cancel it (“the cancellation relief”). True to form, SSC has disputed the validity of the cancellation, contending that, in the circumstances, its refusal to pay does not constitute a repudiation.</w:t>
      </w:r>
    </w:p>
    <w:p w14:paraId="1C2EC265" w14:textId="02551510" w:rsidR="0035669F" w:rsidRPr="00F17809" w:rsidRDefault="00482211" w:rsidP="00482211">
      <w:pPr>
        <w:pStyle w:val="JudgmentNumbered"/>
        <w:numPr>
          <w:ilvl w:val="0"/>
          <w:numId w:val="0"/>
        </w:numPr>
        <w:ind w:left="567" w:hanging="567"/>
        <w:rPr>
          <w:rFonts w:ascii="Times New Roman" w:hAnsi="Times New Roman" w:cs="Times New Roman"/>
          <w:sz w:val="28"/>
          <w:szCs w:val="28"/>
        </w:rPr>
      </w:pPr>
      <w:r w:rsidRPr="00F17809">
        <w:rPr>
          <w:rFonts w:ascii="Times New Roman" w:hAnsi="Times New Roman" w:cs="Times New Roman"/>
          <w:sz w:val="28"/>
          <w:szCs w:val="24"/>
        </w:rPr>
        <w:t>[6]</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On 3 March 2022, RAL filed a rule 28 notice in which it sought to amend its notice of motion in the deemed offer application to include a prayer that SSC</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has repudiated the agreement. Together with the rule 28 notice, it filed a</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supplementary affidavit in which it explained its basis for seeking the</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amendment and elaborated on its allegations supporting the cancellation</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relief. The amended notice of motion will, so submits RAL, if this amendment</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application is granted, render the cancellation relief into RAL’s primary cause</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of action, with the deemed-offer relief sought in the alternative.</w:t>
      </w:r>
    </w:p>
    <w:p w14:paraId="6DAE2D89" w14:textId="2EE0D4EB" w:rsidR="0035669F" w:rsidRPr="00F17809" w:rsidRDefault="00482211" w:rsidP="00482211">
      <w:pPr>
        <w:pStyle w:val="JudgmentNumbered"/>
        <w:numPr>
          <w:ilvl w:val="0"/>
          <w:numId w:val="0"/>
        </w:numPr>
        <w:ind w:left="567" w:hanging="567"/>
        <w:rPr>
          <w:rFonts w:ascii="Times New Roman" w:hAnsi="Times New Roman" w:cs="Times New Roman"/>
          <w:sz w:val="28"/>
          <w:szCs w:val="28"/>
        </w:rPr>
      </w:pPr>
      <w:r w:rsidRPr="00F17809">
        <w:rPr>
          <w:rFonts w:ascii="Times New Roman" w:hAnsi="Times New Roman" w:cs="Times New Roman"/>
          <w:sz w:val="28"/>
          <w:szCs w:val="24"/>
        </w:rPr>
        <w:t>[7]</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SSC and Arendse filed a notice in which they objected to the proposed</w:t>
      </w:r>
      <w:r w:rsidR="0035669F">
        <w:rPr>
          <w:rFonts w:ascii="Times New Roman" w:hAnsi="Times New Roman" w:cs="Times New Roman"/>
          <w:sz w:val="28"/>
          <w:szCs w:val="28"/>
        </w:rPr>
        <w:t xml:space="preserve"> </w:t>
      </w:r>
      <w:r w:rsidR="00064CE7" w:rsidRPr="00F17809">
        <w:rPr>
          <w:rFonts w:ascii="Times New Roman" w:hAnsi="Times New Roman" w:cs="Times New Roman"/>
          <w:sz w:val="28"/>
          <w:szCs w:val="28"/>
        </w:rPr>
        <w:t>amendment. It therefore became necessary, so contends RAL, for it to bring the present application for leave to amend its notice of motion to introduce the cancellation relief. In this application, RAL also seeks an order admitting a supplementary affidavit which explains its claim for the cancellation relief.</w:t>
      </w:r>
    </w:p>
    <w:p w14:paraId="132EFA73" w14:textId="54BB4206" w:rsidR="00E87328" w:rsidRPr="00F17809" w:rsidRDefault="00482211" w:rsidP="00482211">
      <w:pPr>
        <w:pStyle w:val="JudgmentNumbered"/>
        <w:numPr>
          <w:ilvl w:val="0"/>
          <w:numId w:val="0"/>
        </w:numPr>
        <w:ind w:left="567" w:hanging="567"/>
        <w:rPr>
          <w:rFonts w:ascii="Times New Roman" w:hAnsi="Times New Roman" w:cs="Times New Roman"/>
          <w:sz w:val="28"/>
          <w:szCs w:val="28"/>
        </w:rPr>
      </w:pPr>
      <w:r w:rsidRPr="00F17809">
        <w:rPr>
          <w:rFonts w:ascii="Times New Roman" w:hAnsi="Times New Roman" w:cs="Times New Roman"/>
          <w:sz w:val="28"/>
          <w:szCs w:val="24"/>
        </w:rPr>
        <w:t>[8]</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The question whether SSC has repudiated the agreement is closely linked to</w:t>
      </w:r>
      <w:r w:rsidR="002E6E93"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8"/>
        </w:rPr>
        <w:t>the deemed offer application. The cancellation of the agreement, if valid,</w:t>
      </w:r>
      <w:r w:rsidR="0035669F">
        <w:rPr>
          <w:rFonts w:ascii="Times New Roman" w:hAnsi="Times New Roman" w:cs="Times New Roman"/>
          <w:sz w:val="28"/>
          <w:szCs w:val="28"/>
        </w:rPr>
        <w:t xml:space="preserve"> </w:t>
      </w:r>
      <w:r w:rsidR="00064CE7" w:rsidRPr="00F17809">
        <w:rPr>
          <w:rFonts w:ascii="Times New Roman" w:hAnsi="Times New Roman" w:cs="Times New Roman"/>
          <w:sz w:val="28"/>
          <w:szCs w:val="28"/>
        </w:rPr>
        <w:t xml:space="preserve">so argues RAL, overtakes the relief sought in the deemed offer application and renders it moot. If the cancellation is not valid, then it is still necessary to determine the deemed offer relief. RAL furthermore submits that it would therefore be inconvenient and give rise to the potential of different judgments covering similar subject-matter, for the cancellation relief to be addressed in separate proceedings. For the reasons given below, it is </w:t>
      </w:r>
      <w:r w:rsidR="00064CE7" w:rsidRPr="00F17809">
        <w:rPr>
          <w:rFonts w:ascii="Times New Roman" w:hAnsi="Times New Roman" w:cs="Times New Roman"/>
          <w:sz w:val="28"/>
          <w:szCs w:val="28"/>
        </w:rPr>
        <w:lastRenderedPageBreak/>
        <w:t>therefore submitted that RAL should be given leave to amend its notice of motion and to file its supplementary affidavit explaining its application based on SSC’s repudiation.</w:t>
      </w:r>
    </w:p>
    <w:p w14:paraId="742E29F2" w14:textId="5AD5BCDD" w:rsidR="00064CE7" w:rsidRPr="00F17809" w:rsidRDefault="00482211" w:rsidP="00482211">
      <w:pPr>
        <w:pStyle w:val="JudgmentNumbered"/>
        <w:numPr>
          <w:ilvl w:val="0"/>
          <w:numId w:val="0"/>
        </w:numPr>
        <w:ind w:left="567" w:hanging="567"/>
        <w:rPr>
          <w:rFonts w:ascii="Times New Roman" w:eastAsia="MS Mincho" w:hAnsi="Times New Roman" w:cs="Times New Roman"/>
          <w:sz w:val="28"/>
          <w:szCs w:val="28"/>
          <w:lang w:eastAsia="ja-JP"/>
        </w:rPr>
      </w:pPr>
      <w:r w:rsidRPr="00F17809">
        <w:rPr>
          <w:rFonts w:ascii="Times New Roman" w:eastAsia="MS Mincho" w:hAnsi="Times New Roman" w:cs="Times New Roman"/>
          <w:sz w:val="28"/>
          <w:szCs w:val="24"/>
          <w:lang w:eastAsia="ja-JP"/>
        </w:rPr>
        <w:t>[9]</w:t>
      </w:r>
      <w:r w:rsidRPr="00F17809">
        <w:rPr>
          <w:rFonts w:ascii="Times New Roman" w:eastAsia="MS Mincho" w:hAnsi="Times New Roman" w:cs="Times New Roman"/>
          <w:sz w:val="28"/>
          <w:szCs w:val="24"/>
          <w:lang w:eastAsia="ja-JP"/>
        </w:rPr>
        <w:tab/>
      </w:r>
      <w:r w:rsidR="00064CE7" w:rsidRPr="00F17809">
        <w:rPr>
          <w:rFonts w:ascii="Times New Roman" w:eastAsia="MS Mincho" w:hAnsi="Times New Roman" w:cs="Times New Roman"/>
          <w:sz w:val="28"/>
          <w:szCs w:val="28"/>
          <w:lang w:eastAsia="ja-JP"/>
        </w:rPr>
        <w:t>With respect to the deemed offer relief in underlying action, it is important to sketch some relevant clause of the shareholder agreement concluded between the parties. The are the following:</w:t>
      </w:r>
    </w:p>
    <w:p w14:paraId="463B9A1D" w14:textId="11C8AE5C" w:rsidR="00064CE7" w:rsidRPr="00482211" w:rsidRDefault="00482211" w:rsidP="00482211">
      <w:pPr>
        <w:ind w:left="1134" w:hanging="567"/>
        <w:jc w:val="both"/>
        <w:rPr>
          <w:rFonts w:ascii="Times New Roman" w:hAnsi="Times New Roman" w:cs="Times New Roman"/>
          <w:sz w:val="28"/>
          <w:szCs w:val="28"/>
        </w:rPr>
      </w:pPr>
      <w:r>
        <w:rPr>
          <w:rFonts w:ascii="Times New Roman" w:hAnsi="Times New Roman" w:cs="Times New Roman"/>
          <w:sz w:val="28"/>
          <w:szCs w:val="24"/>
        </w:rPr>
        <w:t>a.</w:t>
      </w:r>
      <w:r>
        <w:rPr>
          <w:rFonts w:ascii="Times New Roman" w:hAnsi="Times New Roman" w:cs="Times New Roman"/>
          <w:sz w:val="28"/>
          <w:szCs w:val="24"/>
        </w:rPr>
        <w:tab/>
      </w:r>
      <w:r w:rsidR="00064CE7" w:rsidRPr="00482211">
        <w:rPr>
          <w:rFonts w:ascii="Times New Roman" w:hAnsi="Times New Roman" w:cs="Times New Roman"/>
          <w:sz w:val="28"/>
          <w:szCs w:val="28"/>
        </w:rPr>
        <w:t>Clause 13.2.5 of the agreement prohibits SSC from encouraging or</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enticing or inciting or persuading or inducing any prescribed supplier or</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prescribed customer to terminate its relationship with RMSA.</w:t>
      </w:r>
    </w:p>
    <w:p w14:paraId="58519F62" w14:textId="77777777" w:rsidR="00FC5D03" w:rsidRPr="00F17809" w:rsidRDefault="00FC5D03" w:rsidP="00F17809">
      <w:pPr>
        <w:pStyle w:val="ListParagraph"/>
        <w:ind w:left="1134"/>
        <w:jc w:val="both"/>
        <w:rPr>
          <w:rFonts w:ascii="Times New Roman" w:hAnsi="Times New Roman" w:cs="Times New Roman"/>
          <w:sz w:val="28"/>
          <w:szCs w:val="28"/>
        </w:rPr>
      </w:pPr>
    </w:p>
    <w:p w14:paraId="06D94C91" w14:textId="45D95F89" w:rsidR="00064CE7" w:rsidRPr="00482211" w:rsidRDefault="00482211" w:rsidP="00482211">
      <w:pPr>
        <w:autoSpaceDE w:val="0"/>
        <w:autoSpaceDN w:val="0"/>
        <w:adjustRightInd w:val="0"/>
        <w:spacing w:after="0" w:line="360" w:lineRule="auto"/>
        <w:ind w:left="1134" w:hanging="567"/>
        <w:jc w:val="both"/>
        <w:rPr>
          <w:rFonts w:ascii="Times New Roman" w:hAnsi="Times New Roman" w:cs="Times New Roman"/>
          <w:sz w:val="28"/>
          <w:szCs w:val="28"/>
        </w:rPr>
      </w:pPr>
      <w:r w:rsidRPr="00F17809">
        <w:rPr>
          <w:rFonts w:ascii="Times New Roman" w:hAnsi="Times New Roman" w:cs="Times New Roman"/>
          <w:sz w:val="28"/>
          <w:szCs w:val="24"/>
        </w:rPr>
        <w:t>b.</w:t>
      </w:r>
      <w:r w:rsidRPr="00F17809">
        <w:rPr>
          <w:rFonts w:ascii="Times New Roman" w:hAnsi="Times New Roman" w:cs="Times New Roman"/>
          <w:sz w:val="28"/>
          <w:szCs w:val="24"/>
        </w:rPr>
        <w:tab/>
      </w:r>
      <w:r w:rsidR="00064CE7" w:rsidRPr="00482211">
        <w:rPr>
          <w:rFonts w:ascii="Times New Roman" w:hAnsi="Times New Roman" w:cs="Times New Roman"/>
          <w:sz w:val="28"/>
          <w:szCs w:val="28"/>
        </w:rPr>
        <w:t>Clause 13.2.6 of the agreement prohibits SSC from furnishing any</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information or advice to any prescribed supplier or customer or use any</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other means or take any other action which is directly or indirectly</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designed to result in the supplier or customer terminating its association</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with the company or moving its business elsewhere.</w:t>
      </w:r>
    </w:p>
    <w:p w14:paraId="38F3AA85" w14:textId="77777777" w:rsidR="00FC5D03" w:rsidRDefault="00064CE7" w:rsidP="00FC5D03">
      <w:pPr>
        <w:autoSpaceDE w:val="0"/>
        <w:autoSpaceDN w:val="0"/>
        <w:adjustRightInd w:val="0"/>
        <w:spacing w:after="0" w:line="360" w:lineRule="auto"/>
        <w:jc w:val="both"/>
        <w:rPr>
          <w:rFonts w:ascii="Times New Roman" w:hAnsi="Times New Roman" w:cs="Times New Roman"/>
          <w:sz w:val="28"/>
          <w:szCs w:val="28"/>
        </w:rPr>
      </w:pPr>
      <w:r w:rsidRPr="00064CE7">
        <w:rPr>
          <w:rFonts w:ascii="Times New Roman" w:hAnsi="Times New Roman" w:cs="Times New Roman"/>
          <w:sz w:val="28"/>
          <w:szCs w:val="28"/>
        </w:rPr>
        <w:t xml:space="preserve">    </w:t>
      </w:r>
      <w:r w:rsidR="00E945E6">
        <w:rPr>
          <w:rFonts w:ascii="Times New Roman" w:hAnsi="Times New Roman" w:cs="Times New Roman"/>
          <w:sz w:val="28"/>
          <w:szCs w:val="28"/>
        </w:rPr>
        <w:tab/>
      </w:r>
    </w:p>
    <w:p w14:paraId="627B2657" w14:textId="30D57F92" w:rsidR="00064CE7" w:rsidRPr="00482211" w:rsidRDefault="00482211" w:rsidP="00482211">
      <w:pPr>
        <w:autoSpaceDE w:val="0"/>
        <w:autoSpaceDN w:val="0"/>
        <w:adjustRightInd w:val="0"/>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4"/>
        </w:rPr>
        <w:t>c.</w:t>
      </w:r>
      <w:r>
        <w:rPr>
          <w:rFonts w:ascii="Times New Roman" w:hAnsi="Times New Roman" w:cs="Times New Roman"/>
          <w:sz w:val="28"/>
          <w:szCs w:val="24"/>
        </w:rPr>
        <w:tab/>
      </w:r>
      <w:r w:rsidR="00064CE7" w:rsidRPr="00482211">
        <w:rPr>
          <w:rFonts w:ascii="Times New Roman" w:hAnsi="Times New Roman" w:cs="Times New Roman"/>
          <w:sz w:val="28"/>
          <w:szCs w:val="28"/>
        </w:rPr>
        <w:t>In terms of clauses 12 and 14 of the agreement, a breach of these</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obligations means that SSC is deemed to have offered its entire</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shareholding in RMSA to RAL for sale. There is then a system to identify the</w:t>
      </w:r>
      <w:r w:rsidR="00E945E6"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purchase price of the shares in terms of a valuation methodology.</w:t>
      </w:r>
    </w:p>
    <w:p w14:paraId="791F9F69" w14:textId="77777777" w:rsidR="00FC5D03" w:rsidRPr="00F17809" w:rsidRDefault="00FC5D03" w:rsidP="00F17809">
      <w:pPr>
        <w:pStyle w:val="ListParagraph"/>
        <w:autoSpaceDE w:val="0"/>
        <w:autoSpaceDN w:val="0"/>
        <w:adjustRightInd w:val="0"/>
        <w:spacing w:after="0" w:line="360" w:lineRule="auto"/>
        <w:ind w:left="1134"/>
        <w:jc w:val="both"/>
        <w:rPr>
          <w:rFonts w:ascii="Times New Roman" w:hAnsi="Times New Roman" w:cs="Times New Roman"/>
          <w:sz w:val="28"/>
          <w:szCs w:val="28"/>
        </w:rPr>
      </w:pPr>
    </w:p>
    <w:p w14:paraId="2145532D" w14:textId="1680052E" w:rsidR="00064CE7" w:rsidRPr="00482211" w:rsidRDefault="00482211" w:rsidP="00482211">
      <w:pPr>
        <w:autoSpaceDE w:val="0"/>
        <w:autoSpaceDN w:val="0"/>
        <w:adjustRightInd w:val="0"/>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4"/>
        </w:rPr>
        <w:t>d.</w:t>
      </w:r>
      <w:r>
        <w:rPr>
          <w:rFonts w:ascii="Times New Roman" w:hAnsi="Times New Roman" w:cs="Times New Roman"/>
          <w:sz w:val="28"/>
          <w:szCs w:val="24"/>
        </w:rPr>
        <w:tab/>
      </w:r>
      <w:r w:rsidR="00064CE7" w:rsidRPr="00482211">
        <w:rPr>
          <w:rFonts w:ascii="Times New Roman" w:hAnsi="Times New Roman" w:cs="Times New Roman"/>
          <w:sz w:val="28"/>
          <w:szCs w:val="28"/>
        </w:rPr>
        <w:t>In the founding affidavit in the deemed offer application, RAL has set</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out details of a series of letters sent by Arendse on behalf of SSC to</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various customers and stakeholders in RMSA, either interfering with the</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relationship between RMSA and its service providers or customers or</w:t>
      </w:r>
      <w:r w:rsidR="00FC5D03"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interfering with the banking relationship between RMSA and its bank.</w:t>
      </w:r>
    </w:p>
    <w:p w14:paraId="6B27C79B" w14:textId="77777777" w:rsidR="00F30646" w:rsidRPr="00F17809" w:rsidRDefault="00F30646" w:rsidP="00F17809">
      <w:pPr>
        <w:pStyle w:val="ListParagraph"/>
        <w:autoSpaceDE w:val="0"/>
        <w:autoSpaceDN w:val="0"/>
        <w:adjustRightInd w:val="0"/>
        <w:spacing w:after="0" w:line="360" w:lineRule="auto"/>
        <w:ind w:left="1134"/>
        <w:jc w:val="both"/>
        <w:rPr>
          <w:rFonts w:ascii="Times New Roman" w:hAnsi="Times New Roman" w:cs="Times New Roman"/>
          <w:sz w:val="28"/>
          <w:szCs w:val="28"/>
        </w:rPr>
      </w:pPr>
    </w:p>
    <w:p w14:paraId="0562576C" w14:textId="5DEE9605" w:rsidR="00064CE7" w:rsidRDefault="00064CE7" w:rsidP="00F17809">
      <w:pPr>
        <w:autoSpaceDE w:val="0"/>
        <w:autoSpaceDN w:val="0"/>
        <w:adjustRightInd w:val="0"/>
        <w:spacing w:after="0" w:line="360" w:lineRule="auto"/>
        <w:ind w:left="567"/>
        <w:jc w:val="both"/>
        <w:rPr>
          <w:rFonts w:ascii="Times New Roman" w:hAnsi="Times New Roman" w:cs="Times New Roman"/>
          <w:sz w:val="28"/>
          <w:szCs w:val="28"/>
        </w:rPr>
      </w:pPr>
      <w:r w:rsidRPr="00064CE7">
        <w:rPr>
          <w:rFonts w:ascii="Times New Roman" w:hAnsi="Times New Roman" w:cs="Times New Roman"/>
          <w:sz w:val="28"/>
          <w:szCs w:val="28"/>
        </w:rPr>
        <w:t>On the basis of these various letters, RAL contends that the deemed</w:t>
      </w:r>
      <w:r w:rsidR="00187961">
        <w:rPr>
          <w:rFonts w:ascii="Times New Roman" w:hAnsi="Times New Roman" w:cs="Times New Roman"/>
          <w:sz w:val="28"/>
          <w:szCs w:val="28"/>
        </w:rPr>
        <w:t xml:space="preserve"> </w:t>
      </w:r>
      <w:r w:rsidRPr="00064CE7">
        <w:rPr>
          <w:rFonts w:ascii="Times New Roman" w:hAnsi="Times New Roman" w:cs="Times New Roman"/>
          <w:sz w:val="28"/>
          <w:szCs w:val="28"/>
        </w:rPr>
        <w:t>offer provisions of the agreement have been triggered. All of this is addressed in</w:t>
      </w:r>
      <w:r w:rsidR="00E945E6">
        <w:rPr>
          <w:rFonts w:ascii="Times New Roman" w:hAnsi="Times New Roman" w:cs="Times New Roman"/>
          <w:sz w:val="28"/>
          <w:szCs w:val="28"/>
        </w:rPr>
        <w:t xml:space="preserve"> </w:t>
      </w:r>
      <w:r w:rsidRPr="00064CE7">
        <w:rPr>
          <w:rFonts w:ascii="Times New Roman" w:hAnsi="Times New Roman" w:cs="Times New Roman"/>
          <w:sz w:val="28"/>
          <w:szCs w:val="28"/>
        </w:rPr>
        <w:t>the application which was launched in November 2021.</w:t>
      </w:r>
    </w:p>
    <w:p w14:paraId="73530504" w14:textId="77777777" w:rsidR="0062069F" w:rsidRPr="00064CE7" w:rsidRDefault="0062069F" w:rsidP="00FC5D03">
      <w:pPr>
        <w:spacing w:after="0" w:line="360" w:lineRule="auto"/>
        <w:ind w:left="720" w:hanging="720"/>
        <w:jc w:val="both"/>
        <w:rPr>
          <w:rFonts w:ascii="Times New Roman" w:eastAsia="MS Mincho" w:hAnsi="Times New Roman" w:cs="Times New Roman"/>
          <w:sz w:val="28"/>
          <w:szCs w:val="28"/>
          <w:lang w:val="en-GB" w:eastAsia="ja-JP"/>
        </w:rPr>
      </w:pPr>
    </w:p>
    <w:p w14:paraId="28C06ECD" w14:textId="1A8B627A" w:rsidR="00064CE7"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[10]</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Regarding the cancellation relief:</w:t>
      </w:r>
    </w:p>
    <w:p w14:paraId="18D587F5" w14:textId="65D43F40" w:rsidR="00064CE7" w:rsidRPr="00482211" w:rsidRDefault="00482211" w:rsidP="00482211">
      <w:pPr>
        <w:autoSpaceDE w:val="0"/>
        <w:autoSpaceDN w:val="0"/>
        <w:adjustRightInd w:val="0"/>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4"/>
        </w:rPr>
        <w:t>a.</w:t>
      </w:r>
      <w:r>
        <w:rPr>
          <w:rFonts w:ascii="Times New Roman" w:hAnsi="Times New Roman" w:cs="Times New Roman"/>
          <w:sz w:val="28"/>
          <w:szCs w:val="24"/>
        </w:rPr>
        <w:tab/>
      </w:r>
      <w:r w:rsidR="00064CE7" w:rsidRPr="00482211">
        <w:rPr>
          <w:rFonts w:ascii="Times New Roman" w:hAnsi="Times New Roman" w:cs="Times New Roman"/>
          <w:sz w:val="28"/>
          <w:szCs w:val="28"/>
        </w:rPr>
        <w:t>In terms of clause 4.2.5 of the agreement, SSC became obliged to pay</w:t>
      </w:r>
      <w:r w:rsidR="0062069F" w:rsidRPr="00482211">
        <w:rPr>
          <w:rFonts w:ascii="Times New Roman" w:hAnsi="Times New Roman" w:cs="Times New Roman"/>
          <w:sz w:val="28"/>
          <w:szCs w:val="28"/>
        </w:rPr>
        <w:t xml:space="preserve"> t</w:t>
      </w:r>
      <w:r w:rsidR="00064CE7" w:rsidRPr="00482211">
        <w:rPr>
          <w:rFonts w:ascii="Times New Roman" w:hAnsi="Times New Roman" w:cs="Times New Roman"/>
          <w:sz w:val="28"/>
          <w:szCs w:val="28"/>
        </w:rPr>
        <w:t xml:space="preserve">he </w:t>
      </w:r>
      <w:r w:rsidR="0062069F" w:rsidRPr="00482211">
        <w:rPr>
          <w:rFonts w:ascii="Times New Roman" w:hAnsi="Times New Roman" w:cs="Times New Roman"/>
          <w:sz w:val="28"/>
          <w:szCs w:val="28"/>
        </w:rPr>
        <w:t>purchases</w:t>
      </w:r>
      <w:r w:rsidR="00064CE7" w:rsidRPr="00482211">
        <w:rPr>
          <w:rFonts w:ascii="Times New Roman" w:hAnsi="Times New Roman" w:cs="Times New Roman"/>
          <w:sz w:val="28"/>
          <w:szCs w:val="28"/>
        </w:rPr>
        <w:t xml:space="preserve"> price of its shares in RMSA by no later than 1 January</w:t>
      </w:r>
      <w:r w:rsidR="0062069F"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2022.</w:t>
      </w:r>
    </w:p>
    <w:p w14:paraId="426274A1" w14:textId="5FBB3651" w:rsidR="0062069F" w:rsidRDefault="0062069F" w:rsidP="00F17809">
      <w:pPr>
        <w:pStyle w:val="ListParagraph"/>
        <w:autoSpaceDE w:val="0"/>
        <w:autoSpaceDN w:val="0"/>
        <w:adjustRightInd w:val="0"/>
        <w:spacing w:after="0" w:line="360" w:lineRule="auto"/>
        <w:ind w:left="1134"/>
        <w:jc w:val="both"/>
        <w:rPr>
          <w:rFonts w:ascii="Times New Roman" w:hAnsi="Times New Roman" w:cs="Times New Roman"/>
          <w:sz w:val="28"/>
          <w:szCs w:val="28"/>
        </w:rPr>
      </w:pPr>
    </w:p>
    <w:p w14:paraId="6703F153" w14:textId="7D9A06FD" w:rsidR="0062069F" w:rsidRPr="00482211" w:rsidRDefault="00482211" w:rsidP="00482211">
      <w:pPr>
        <w:autoSpaceDE w:val="0"/>
        <w:autoSpaceDN w:val="0"/>
        <w:adjustRightInd w:val="0"/>
        <w:spacing w:after="0" w:line="360" w:lineRule="auto"/>
        <w:ind w:left="1134" w:hanging="567"/>
        <w:jc w:val="both"/>
        <w:rPr>
          <w:rFonts w:ascii="Times New Roman" w:eastAsia="Times New Roman" w:hAnsi="Times New Roman" w:cs="Times New Roman"/>
          <w:bCs/>
          <w:sz w:val="28"/>
          <w:szCs w:val="28"/>
          <w:lang w:val="en-US"/>
        </w:rPr>
      </w:pPr>
      <w:r w:rsidRPr="00F17809">
        <w:rPr>
          <w:rFonts w:ascii="Times New Roman" w:eastAsia="Times New Roman" w:hAnsi="Times New Roman" w:cs="Times New Roman"/>
          <w:bCs/>
          <w:sz w:val="28"/>
          <w:szCs w:val="24"/>
          <w:lang w:val="en-US"/>
        </w:rPr>
        <w:t>b.</w:t>
      </w:r>
      <w:r w:rsidRPr="00F17809">
        <w:rPr>
          <w:rFonts w:ascii="Times New Roman" w:eastAsia="Times New Roman" w:hAnsi="Times New Roman" w:cs="Times New Roman"/>
          <w:bCs/>
          <w:sz w:val="28"/>
          <w:szCs w:val="24"/>
          <w:lang w:val="en-US"/>
        </w:rPr>
        <w:tab/>
      </w:r>
      <w:r w:rsidR="00064CE7" w:rsidRPr="00482211">
        <w:rPr>
          <w:rFonts w:ascii="Times New Roman" w:hAnsi="Times New Roman" w:cs="Times New Roman"/>
          <w:sz w:val="28"/>
          <w:szCs w:val="28"/>
        </w:rPr>
        <w:t>On 31 December 2021, SSC’s attorneys wrote to RAL’s attorneys. For</w:t>
      </w:r>
      <w:r w:rsidR="0062069F"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reasons that will be ventilated in due course (in this application, if th</w:t>
      </w:r>
      <w:r w:rsidR="0062069F" w:rsidRPr="00482211">
        <w:rPr>
          <w:rFonts w:ascii="Times New Roman" w:hAnsi="Times New Roman" w:cs="Times New Roman"/>
          <w:sz w:val="28"/>
          <w:szCs w:val="28"/>
        </w:rPr>
        <w:t xml:space="preserve">e </w:t>
      </w:r>
      <w:r w:rsidR="00064CE7" w:rsidRPr="00482211">
        <w:rPr>
          <w:rFonts w:ascii="Times New Roman" w:hAnsi="Times New Roman" w:cs="Times New Roman"/>
          <w:sz w:val="28"/>
          <w:szCs w:val="28"/>
        </w:rPr>
        <w:t xml:space="preserve">amendment is granted), SSC conveyed its decision not to pay the                                                purchase price to </w:t>
      </w:r>
      <w:r w:rsidR="0062069F" w:rsidRPr="00482211">
        <w:rPr>
          <w:rFonts w:ascii="Times New Roman" w:hAnsi="Times New Roman" w:cs="Times New Roman"/>
          <w:sz w:val="28"/>
          <w:szCs w:val="28"/>
        </w:rPr>
        <w:t>RAL but</w:t>
      </w:r>
      <w:r w:rsidR="00064CE7" w:rsidRPr="00482211">
        <w:rPr>
          <w:rFonts w:ascii="Times New Roman" w:hAnsi="Times New Roman" w:cs="Times New Roman"/>
          <w:sz w:val="28"/>
          <w:szCs w:val="28"/>
        </w:rPr>
        <w:t xml:space="preserve"> rather to pay it into the trust account</w:t>
      </w:r>
      <w:r w:rsidR="0062069F" w:rsidRPr="00482211">
        <w:rPr>
          <w:rFonts w:ascii="Times New Roman" w:hAnsi="Times New Roman" w:cs="Times New Roman"/>
          <w:sz w:val="28"/>
          <w:szCs w:val="28"/>
        </w:rPr>
        <w:t xml:space="preserve"> </w:t>
      </w:r>
      <w:r w:rsidR="00064CE7" w:rsidRPr="00482211">
        <w:rPr>
          <w:rFonts w:ascii="Times New Roman" w:hAnsi="Times New Roman" w:cs="Times New Roman"/>
          <w:sz w:val="28"/>
          <w:szCs w:val="28"/>
        </w:rPr>
        <w:t>operated by Cliffe Dekker Hofmeyr, the attorneys acting for SSC</w:t>
      </w:r>
      <w:r w:rsidR="00064CE7" w:rsidRPr="00482211">
        <w:rPr>
          <w:rFonts w:ascii="Times New Roman" w:hAnsi="Times New Roman" w:cs="Times New Roman"/>
          <w:sz w:val="24"/>
          <w:szCs w:val="24"/>
        </w:rPr>
        <w:t>.</w:t>
      </w:r>
      <w:r w:rsidR="00064CE7" w:rsidRPr="00482211">
        <w:rPr>
          <w:rFonts w:ascii="Times New Roman" w:eastAsia="MS Mincho" w:hAnsi="Times New Roman" w:cs="Times New Roman"/>
          <w:sz w:val="28"/>
          <w:szCs w:val="28"/>
          <w:lang w:val="en-GB" w:eastAsia="ja-JP"/>
        </w:rPr>
        <w:tab/>
        <w:t xml:space="preserve"> </w:t>
      </w:r>
    </w:p>
    <w:p w14:paraId="1D4DD964" w14:textId="77777777" w:rsidR="0062069F" w:rsidRPr="00F17809" w:rsidRDefault="0062069F" w:rsidP="00F17809">
      <w:pPr>
        <w:pStyle w:val="ListParagraph"/>
        <w:rPr>
          <w:rFonts w:ascii="Times New Roman" w:eastAsia="Times New Roman" w:hAnsi="Times New Roman" w:cs="Times New Roman"/>
          <w:bCs/>
          <w:sz w:val="28"/>
          <w:szCs w:val="28"/>
          <w:lang w:val="en-US"/>
        </w:rPr>
      </w:pPr>
    </w:p>
    <w:p w14:paraId="028D300E" w14:textId="47065913" w:rsidR="00FA7E97" w:rsidRPr="00F17809" w:rsidRDefault="00482211" w:rsidP="00482211">
      <w:pPr>
        <w:pStyle w:val="JudgmentNumbered"/>
        <w:numPr>
          <w:ilvl w:val="0"/>
          <w:numId w:val="0"/>
        </w:numPr>
        <w:ind w:left="567" w:hanging="567"/>
        <w:rPr>
          <w:rFonts w:ascii="Times New Roman" w:eastAsia="Times New Roman" w:hAnsi="Times New Roman" w:cs="Times New Roman"/>
          <w:bCs/>
          <w:sz w:val="28"/>
          <w:szCs w:val="24"/>
          <w:lang w:val="en-US"/>
        </w:rPr>
      </w:pPr>
      <w:r w:rsidRPr="00F17809">
        <w:rPr>
          <w:rFonts w:ascii="Times New Roman" w:eastAsia="Times New Roman" w:hAnsi="Times New Roman" w:cs="Times New Roman"/>
          <w:bCs/>
          <w:sz w:val="28"/>
          <w:szCs w:val="24"/>
          <w:lang w:val="en-US"/>
        </w:rPr>
        <w:t>[11]</w:t>
      </w:r>
      <w:r w:rsidRPr="00F17809">
        <w:rPr>
          <w:rFonts w:ascii="Times New Roman" w:eastAsia="Times New Roman" w:hAnsi="Times New Roman" w:cs="Times New Roman"/>
          <w:bCs/>
          <w:sz w:val="28"/>
          <w:szCs w:val="24"/>
          <w:lang w:val="en-US"/>
        </w:rPr>
        <w:tab/>
      </w:r>
      <w:r w:rsidR="00064CE7" w:rsidRPr="00F17809">
        <w:rPr>
          <w:rFonts w:ascii="Times New Roman" w:hAnsi="Times New Roman" w:cs="Times New Roman"/>
          <w:sz w:val="28"/>
          <w:szCs w:val="24"/>
        </w:rPr>
        <w:t>RAL contends that because of the various disputes between the parties, it considered it appropriate to seek declaratory relief from this Court to the effect that the non-payment of the purchase price by SSC was indeed a repudiation of the agreement justifying RAL’s decision to cancel it. The purpose of the amendment application is to amend the notice of motion to seek this relief as the primary relief in this application, with the deemed offer relief sought in the alternative.</w:t>
      </w:r>
    </w:p>
    <w:p w14:paraId="42C3F701" w14:textId="2F2C069C" w:rsidR="00FA7E97" w:rsidRPr="00F17809" w:rsidRDefault="00482211" w:rsidP="00482211">
      <w:pPr>
        <w:pStyle w:val="JudgmentNumbered"/>
        <w:numPr>
          <w:ilvl w:val="0"/>
          <w:numId w:val="0"/>
        </w:numPr>
        <w:ind w:left="567" w:hanging="567"/>
        <w:rPr>
          <w:rFonts w:ascii="Times New Roman" w:eastAsia="Calibri" w:hAnsi="Times New Roman" w:cs="Times New Roman"/>
          <w:sz w:val="28"/>
          <w:szCs w:val="28"/>
          <w:lang w:val="en-US"/>
        </w:rPr>
      </w:pPr>
      <w:r w:rsidRPr="00F17809">
        <w:rPr>
          <w:rFonts w:ascii="Times New Roman" w:eastAsia="Calibri" w:hAnsi="Times New Roman" w:cs="Times New Roman"/>
          <w:sz w:val="28"/>
          <w:szCs w:val="24"/>
          <w:lang w:val="en-US"/>
        </w:rPr>
        <w:t>[12]</w:t>
      </w:r>
      <w:r w:rsidRPr="00F17809">
        <w:rPr>
          <w:rFonts w:ascii="Times New Roman" w:eastAsia="Calibri" w:hAnsi="Times New Roman" w:cs="Times New Roman"/>
          <w:sz w:val="28"/>
          <w:szCs w:val="24"/>
          <w:lang w:val="en-US"/>
        </w:rPr>
        <w:tab/>
      </w:r>
      <w:r w:rsidR="00064CE7" w:rsidRPr="00F17809">
        <w:rPr>
          <w:rFonts w:ascii="Times New Roman" w:eastAsia="Calibri" w:hAnsi="Times New Roman" w:cs="Times New Roman"/>
          <w:sz w:val="28"/>
          <w:szCs w:val="28"/>
          <w:lang w:val="en-US"/>
        </w:rPr>
        <w:t>SSC and Arendse, in opposing the amendment,</w:t>
      </w:r>
      <w:r w:rsidR="00064CE7" w:rsidRPr="00F17809">
        <w:rPr>
          <w:rFonts w:ascii="Times New Roman" w:hAnsi="Times New Roman" w:cs="Times New Roman"/>
        </w:rPr>
        <w:t xml:space="preserve"> </w:t>
      </w:r>
      <w:r w:rsidR="00064CE7" w:rsidRPr="00F17809">
        <w:rPr>
          <w:rFonts w:ascii="Times New Roman" w:hAnsi="Times New Roman" w:cs="Times New Roman"/>
          <w:sz w:val="28"/>
          <w:szCs w:val="28"/>
        </w:rPr>
        <w:t xml:space="preserve">first, contend that the amendment RAL seeks to introduce is </w:t>
      </w:r>
      <w:r w:rsidR="00FA7E97" w:rsidRPr="00FA7E97">
        <w:rPr>
          <w:rFonts w:ascii="Times New Roman" w:hAnsi="Times New Roman" w:cs="Times New Roman"/>
          <w:sz w:val="28"/>
          <w:szCs w:val="28"/>
        </w:rPr>
        <w:t>expiable</w:t>
      </w:r>
      <w:r w:rsidR="00064CE7" w:rsidRPr="00F17809">
        <w:rPr>
          <w:rFonts w:ascii="Times New Roman" w:hAnsi="Times New Roman" w:cs="Times New Roman"/>
          <w:sz w:val="28"/>
          <w:szCs w:val="28"/>
        </w:rPr>
        <w:t xml:space="preserve"> as it hopes to introduce a new cause of action which wholly contradicts the relief originally pursued by it in the main application. They furthermore state that had RAL pursued the amended relief in a fresh application, it would not be able to simultaneously pursue the main application, as it would not be entitled to </w:t>
      </w:r>
      <w:r w:rsidR="00064CE7" w:rsidRPr="00F17809">
        <w:rPr>
          <w:rFonts w:ascii="Times New Roman" w:hAnsi="Times New Roman" w:cs="Times New Roman"/>
          <w:sz w:val="28"/>
          <w:szCs w:val="28"/>
        </w:rPr>
        <w:lastRenderedPageBreak/>
        <w:t>seek cancellation of an agreement in one proceeding while attempting to specifically enforce the agreement in another. RAL cannot so approbate and reprobate.</w:t>
      </w:r>
    </w:p>
    <w:p w14:paraId="262FC61C" w14:textId="10BC9EFD" w:rsidR="00064CE7" w:rsidRPr="00F17809" w:rsidRDefault="00482211" w:rsidP="00482211">
      <w:pPr>
        <w:pStyle w:val="JudgmentNumbered"/>
        <w:numPr>
          <w:ilvl w:val="0"/>
          <w:numId w:val="0"/>
        </w:numPr>
        <w:ind w:left="567" w:hanging="567"/>
        <w:rPr>
          <w:rFonts w:ascii="Times New Roman" w:eastAsia="Calibri" w:hAnsi="Times New Roman" w:cs="Times New Roman"/>
          <w:sz w:val="28"/>
          <w:szCs w:val="28"/>
        </w:rPr>
      </w:pPr>
      <w:r w:rsidRPr="00F17809">
        <w:rPr>
          <w:rFonts w:ascii="Times New Roman" w:eastAsia="Calibri" w:hAnsi="Times New Roman" w:cs="Times New Roman"/>
          <w:sz w:val="28"/>
          <w:szCs w:val="24"/>
        </w:rPr>
        <w:t>[13]</w:t>
      </w:r>
      <w:r w:rsidRPr="00F17809">
        <w:rPr>
          <w:rFonts w:ascii="Times New Roman" w:eastAsia="Calibri" w:hAnsi="Times New Roman" w:cs="Times New Roman"/>
          <w:sz w:val="28"/>
          <w:szCs w:val="24"/>
        </w:rPr>
        <w:tab/>
      </w:r>
      <w:r w:rsidR="00064CE7" w:rsidRPr="00F17809">
        <w:rPr>
          <w:rFonts w:ascii="Times New Roman" w:hAnsi="Times New Roman" w:cs="Times New Roman"/>
          <w:sz w:val="28"/>
          <w:szCs w:val="28"/>
        </w:rPr>
        <w:t>Second, the SSC and Arendse are further prejudiced by RAL seeking to file a further affidavit enclosing fresh facts in support of the amended relief where its founding affidavit is lacking. RAL seeks the amendment having the benefit of the SSC and Arendse’s answering affidavit and counter application in the main application which preceded the RPA’s request for the proposed amendment.</w:t>
      </w:r>
      <w:r w:rsidR="00064CE7" w:rsidRPr="00F17809">
        <w:rPr>
          <w:rFonts w:ascii="Times New Roman" w:eastAsia="Calibri" w:hAnsi="Times New Roman" w:cs="Times New Roman"/>
          <w:sz w:val="28"/>
          <w:szCs w:val="28"/>
        </w:rPr>
        <w:t xml:space="preserve"> </w:t>
      </w:r>
    </w:p>
    <w:p w14:paraId="668D1854" w14:textId="77777777" w:rsidR="00FA7E97" w:rsidRDefault="00FA7E97" w:rsidP="000E589B">
      <w:pPr>
        <w:spacing w:line="360" w:lineRule="auto"/>
        <w:ind w:left="720" w:hanging="720"/>
        <w:jc w:val="both"/>
        <w:rPr>
          <w:rFonts w:ascii="Times New Roman" w:eastAsia="Calibri" w:hAnsi="Times New Roman" w:cs="Times New Roman"/>
          <w:i/>
          <w:iCs/>
          <w:sz w:val="28"/>
          <w:szCs w:val="28"/>
          <w:lang w:val="en-GB"/>
        </w:rPr>
      </w:pPr>
    </w:p>
    <w:p w14:paraId="11CFF61E" w14:textId="7562B37F" w:rsidR="00064CE7" w:rsidRPr="00064CE7" w:rsidRDefault="00064CE7" w:rsidP="000E589B">
      <w:pPr>
        <w:spacing w:line="360" w:lineRule="auto"/>
        <w:ind w:left="720" w:hanging="720"/>
        <w:jc w:val="both"/>
        <w:rPr>
          <w:rFonts w:ascii="Times New Roman" w:eastAsia="Calibri" w:hAnsi="Times New Roman" w:cs="Times New Roman"/>
          <w:i/>
          <w:iCs/>
          <w:sz w:val="28"/>
          <w:szCs w:val="28"/>
          <w:lang w:val="en-GB"/>
        </w:rPr>
      </w:pPr>
      <w:r w:rsidRPr="00064CE7">
        <w:rPr>
          <w:rFonts w:ascii="Times New Roman" w:eastAsia="Calibri" w:hAnsi="Times New Roman" w:cs="Times New Roman"/>
          <w:i/>
          <w:iCs/>
          <w:sz w:val="28"/>
          <w:szCs w:val="28"/>
          <w:lang w:val="en-GB"/>
        </w:rPr>
        <w:t>Issues for determination</w:t>
      </w:r>
    </w:p>
    <w:p w14:paraId="72219D7C" w14:textId="03D4AB4F" w:rsidR="00064CE7"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[14]</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The issue for determination is whether the amendment raises a triable issue and whether the proposed amendment will not cause prejudice the other parties.</w:t>
      </w:r>
    </w:p>
    <w:p w14:paraId="4ABE342E" w14:textId="77777777" w:rsidR="003E396B" w:rsidRDefault="003E396B" w:rsidP="000E589B">
      <w:pPr>
        <w:spacing w:line="360" w:lineRule="auto"/>
        <w:ind w:left="720" w:hanging="720"/>
        <w:jc w:val="both"/>
        <w:rPr>
          <w:rFonts w:ascii="Times New Roman" w:eastAsia="Calibri" w:hAnsi="Times New Roman" w:cs="Times New Roman"/>
          <w:i/>
          <w:iCs/>
          <w:sz w:val="28"/>
          <w:szCs w:val="28"/>
          <w:lang w:val="en-GB"/>
        </w:rPr>
      </w:pPr>
    </w:p>
    <w:p w14:paraId="0EA38DEB" w14:textId="05092432" w:rsidR="00064CE7" w:rsidRPr="00064CE7" w:rsidRDefault="00064CE7" w:rsidP="000E589B">
      <w:pPr>
        <w:spacing w:line="360" w:lineRule="auto"/>
        <w:ind w:left="720" w:hanging="720"/>
        <w:jc w:val="both"/>
        <w:rPr>
          <w:rFonts w:ascii="Times New Roman" w:eastAsia="Calibri" w:hAnsi="Times New Roman" w:cs="Times New Roman"/>
          <w:i/>
          <w:iCs/>
          <w:sz w:val="28"/>
          <w:szCs w:val="28"/>
          <w:lang w:val="en-GB"/>
        </w:rPr>
      </w:pPr>
      <w:r w:rsidRPr="00064CE7">
        <w:rPr>
          <w:rFonts w:ascii="Times New Roman" w:eastAsia="Calibri" w:hAnsi="Times New Roman" w:cs="Times New Roman"/>
          <w:i/>
          <w:iCs/>
          <w:sz w:val="28"/>
          <w:szCs w:val="28"/>
          <w:lang w:val="en-GB"/>
        </w:rPr>
        <w:t>Legal principles</w:t>
      </w:r>
    </w:p>
    <w:p w14:paraId="609E7BBF" w14:textId="79E5E6D0" w:rsidR="00245E63" w:rsidRPr="00064CE7" w:rsidRDefault="00482211" w:rsidP="00482211">
      <w:pPr>
        <w:pStyle w:val="JudgmentNumbered"/>
        <w:numPr>
          <w:ilvl w:val="0"/>
          <w:numId w:val="0"/>
        </w:numPr>
        <w:ind w:left="567" w:hanging="567"/>
      </w:pPr>
      <w:r w:rsidRPr="00064CE7">
        <w:rPr>
          <w:rFonts w:ascii="Times New Roman" w:hAnsi="Times New Roman" w:cs="Times New Roman"/>
          <w:sz w:val="28"/>
          <w:szCs w:val="24"/>
        </w:rPr>
        <w:t>[15]</w:t>
      </w:r>
      <w:r w:rsidRPr="00064CE7">
        <w:rPr>
          <w:rFonts w:ascii="Times New Roman" w:hAnsi="Times New Roman" w:cs="Times New Roman"/>
          <w:sz w:val="28"/>
          <w:szCs w:val="24"/>
        </w:rPr>
        <w:tab/>
      </w:r>
      <w:r w:rsidR="00064CE7" w:rsidRPr="00F17809">
        <w:rPr>
          <w:rFonts w:ascii="Times New Roman" w:hAnsi="Times New Roman" w:cs="Times New Roman"/>
          <w:sz w:val="28"/>
          <w:szCs w:val="24"/>
        </w:rPr>
        <w:t xml:space="preserve">The cardinal legal principle in this application is Uniform Rule 28 </w:t>
      </w:r>
      <w:r w:rsidR="00B44F4C" w:rsidRPr="00B44F4C">
        <w:rPr>
          <w:rFonts w:ascii="Times New Roman" w:hAnsi="Times New Roman" w:cs="Times New Roman"/>
          <w:sz w:val="28"/>
          <w:szCs w:val="24"/>
        </w:rPr>
        <w:t>itself which</w:t>
      </w:r>
      <w:r w:rsidR="00064CE7" w:rsidRPr="00F17809">
        <w:rPr>
          <w:rFonts w:ascii="Times New Roman" w:hAnsi="Times New Roman" w:cs="Times New Roman"/>
          <w:sz w:val="28"/>
          <w:szCs w:val="24"/>
        </w:rPr>
        <w:t xml:space="preserve"> reads as </w:t>
      </w:r>
      <w:r w:rsidR="00B44F4C" w:rsidRPr="00B44F4C">
        <w:rPr>
          <w:rFonts w:ascii="Times New Roman" w:hAnsi="Times New Roman" w:cs="Times New Roman"/>
          <w:sz w:val="28"/>
          <w:szCs w:val="24"/>
        </w:rPr>
        <w:t>follows: -</w:t>
      </w:r>
    </w:p>
    <w:p w14:paraId="09EDC0D5" w14:textId="181A0917" w:rsidR="00064CE7" w:rsidRPr="00F17809" w:rsidRDefault="00064CE7" w:rsidP="00F17809">
      <w:pPr>
        <w:spacing w:line="360" w:lineRule="auto"/>
        <w:ind w:left="720" w:hanging="153"/>
        <w:jc w:val="both"/>
        <w:rPr>
          <w:rFonts w:ascii="Times New Roman" w:hAnsi="Times New Roman" w:cs="Times New Roman"/>
          <w:color w:val="000000"/>
          <w:sz w:val="26"/>
          <w:szCs w:val="26"/>
          <w:lang w:val="en-GB" w:eastAsia="en-GB"/>
        </w:rPr>
      </w:pPr>
      <w:r w:rsidRPr="00F17809">
        <w:rPr>
          <w:rFonts w:ascii="Times New Roman" w:eastAsia="Times New Roman" w:hAnsi="Times New Roman" w:cs="Times New Roman"/>
          <w:sz w:val="26"/>
          <w:szCs w:val="26"/>
          <w:lang w:val="en-US"/>
        </w:rPr>
        <w:t>“</w:t>
      </w:r>
      <w:r w:rsidRPr="00F17809">
        <w:rPr>
          <w:rFonts w:ascii="Times New Roman" w:hAnsi="Times New Roman" w:cs="Times New Roman"/>
          <w:color w:val="000000"/>
          <w:sz w:val="26"/>
          <w:szCs w:val="26"/>
          <w:lang w:val="en-GB" w:eastAsia="en-GB"/>
        </w:rPr>
        <w:t>(1) Any party desiring to amend any pleading or document other than a sworn statement, filed in connection with any proceedings, shall notify all other parties of his intention to amend and shall furnish particulars of the amendment.</w:t>
      </w:r>
    </w:p>
    <w:p w14:paraId="010B708B" w14:textId="1BE88C6B" w:rsidR="00064CE7" w:rsidRPr="00F17809" w:rsidRDefault="00064CE7" w:rsidP="00F17809">
      <w:pPr>
        <w:spacing w:after="0" w:line="360" w:lineRule="auto"/>
        <w:ind w:left="567" w:firstLine="21"/>
        <w:jc w:val="both"/>
        <w:rPr>
          <w:rFonts w:ascii="Times New Roman" w:hAnsi="Times New Roman" w:cs="Times New Roman"/>
          <w:color w:val="000000"/>
          <w:sz w:val="26"/>
          <w:szCs w:val="26"/>
          <w:lang w:val="en-GB" w:eastAsia="en-GB"/>
        </w:rPr>
      </w:pPr>
      <w:r w:rsidRPr="00F17809">
        <w:rPr>
          <w:rFonts w:ascii="Times New Roman" w:hAnsi="Times New Roman" w:cs="Times New Roman"/>
          <w:color w:val="000000"/>
          <w:sz w:val="26"/>
          <w:szCs w:val="26"/>
          <w:lang w:val="en-GB" w:eastAsia="en-GB"/>
        </w:rPr>
        <w:t>(2) The notice referred to in subrule (1) shall state that unless written objection to the  proposed amendment is delivered within 10 days of delivery of the notice, the amendment will be effected.</w:t>
      </w:r>
    </w:p>
    <w:p w14:paraId="15ED22DF" w14:textId="77777777" w:rsidR="00B44F4C" w:rsidRDefault="00064CE7" w:rsidP="000E589B">
      <w:pPr>
        <w:spacing w:after="0" w:line="360" w:lineRule="auto"/>
        <w:jc w:val="both"/>
        <w:rPr>
          <w:rFonts w:ascii="Times New Roman" w:hAnsi="Times New Roman" w:cs="Times New Roman"/>
          <w:color w:val="000000"/>
          <w:sz w:val="26"/>
          <w:szCs w:val="26"/>
          <w:lang w:val="en-GB" w:eastAsia="en-GB"/>
        </w:rPr>
      </w:pPr>
      <w:r w:rsidRPr="00F17809">
        <w:rPr>
          <w:rFonts w:ascii="Times New Roman" w:hAnsi="Times New Roman" w:cs="Times New Roman"/>
          <w:color w:val="000000"/>
          <w:sz w:val="26"/>
          <w:szCs w:val="26"/>
          <w:lang w:val="en-GB" w:eastAsia="en-GB"/>
        </w:rPr>
        <w:t xml:space="preserve">        </w:t>
      </w:r>
    </w:p>
    <w:p w14:paraId="2EE92AB6" w14:textId="0E19FC35" w:rsidR="00064CE7" w:rsidRPr="00F17809" w:rsidRDefault="00064CE7" w:rsidP="00F17809">
      <w:pPr>
        <w:spacing w:after="0" w:line="360" w:lineRule="auto"/>
        <w:ind w:left="567"/>
        <w:jc w:val="both"/>
        <w:rPr>
          <w:rFonts w:ascii="Times New Roman" w:hAnsi="Times New Roman" w:cs="Times New Roman"/>
          <w:color w:val="000000"/>
          <w:sz w:val="26"/>
          <w:szCs w:val="26"/>
          <w:lang w:val="en-GB" w:eastAsia="en-GB"/>
        </w:rPr>
      </w:pPr>
      <w:r w:rsidRPr="00F17809">
        <w:rPr>
          <w:rFonts w:ascii="Times New Roman" w:hAnsi="Times New Roman" w:cs="Times New Roman"/>
          <w:color w:val="000000"/>
          <w:sz w:val="26"/>
          <w:szCs w:val="26"/>
          <w:lang w:val="en-GB" w:eastAsia="en-GB"/>
        </w:rPr>
        <w:lastRenderedPageBreak/>
        <w:t>(3) An objection to a proposed amendment shall clearly and concisely state the grounds upon which the objection is founded.</w:t>
      </w:r>
    </w:p>
    <w:p w14:paraId="42185405" w14:textId="77777777" w:rsidR="00064CE7" w:rsidRDefault="00064CE7" w:rsidP="00B44F4C">
      <w:pPr>
        <w:spacing w:after="0" w:line="360" w:lineRule="auto"/>
        <w:ind w:firstLine="567"/>
        <w:jc w:val="both"/>
        <w:rPr>
          <w:rFonts w:ascii="Times New Roman" w:hAnsi="Times New Roman" w:cs="Times New Roman"/>
          <w:color w:val="000000"/>
          <w:sz w:val="26"/>
          <w:szCs w:val="26"/>
          <w:lang w:val="en-GB" w:eastAsia="en-GB"/>
        </w:rPr>
      </w:pPr>
      <w:r w:rsidRPr="00F17809">
        <w:rPr>
          <w:rFonts w:ascii="Times New Roman" w:hAnsi="Times New Roman" w:cs="Times New Roman"/>
          <w:color w:val="000000"/>
          <w:sz w:val="26"/>
          <w:szCs w:val="26"/>
          <w:lang w:val="en-GB" w:eastAsia="en-GB"/>
        </w:rPr>
        <w:t>…</w:t>
      </w:r>
    </w:p>
    <w:p w14:paraId="24DC98B2" w14:textId="77777777" w:rsidR="00B44F4C" w:rsidRPr="00F17809" w:rsidRDefault="00B44F4C" w:rsidP="00F17809">
      <w:pPr>
        <w:spacing w:after="0" w:line="360" w:lineRule="auto"/>
        <w:ind w:firstLine="567"/>
        <w:jc w:val="both"/>
        <w:rPr>
          <w:rFonts w:ascii="Times New Roman" w:hAnsi="Times New Roman" w:cs="Times New Roman"/>
          <w:color w:val="000000"/>
          <w:sz w:val="26"/>
          <w:szCs w:val="26"/>
          <w:lang w:val="en-GB" w:eastAsia="en-GB"/>
        </w:rPr>
      </w:pPr>
    </w:p>
    <w:p w14:paraId="3A5C293C" w14:textId="435F9F8A" w:rsidR="00064CE7" w:rsidRDefault="00064CE7" w:rsidP="00B44F4C">
      <w:pPr>
        <w:spacing w:after="0" w:line="360" w:lineRule="auto"/>
        <w:ind w:left="567" w:firstLine="21"/>
        <w:jc w:val="both"/>
        <w:rPr>
          <w:rFonts w:ascii="Times New Roman" w:hAnsi="Times New Roman" w:cs="Times New Roman"/>
          <w:color w:val="000000"/>
          <w:sz w:val="26"/>
          <w:szCs w:val="26"/>
          <w:lang w:val="en-GB" w:eastAsia="en-GB"/>
        </w:rPr>
      </w:pPr>
      <w:r w:rsidRPr="00F17809">
        <w:rPr>
          <w:rFonts w:ascii="Times New Roman" w:hAnsi="Times New Roman" w:cs="Times New Roman"/>
          <w:color w:val="000000"/>
          <w:sz w:val="26"/>
          <w:szCs w:val="26"/>
          <w:lang w:val="en-GB" w:eastAsia="en-GB"/>
        </w:rPr>
        <w:t>(9) A party giving notice of amendment in terms of subrule (1) shall, unless the court otherwise directs, be liable for the costs thereby occasioned to any other party.</w:t>
      </w:r>
    </w:p>
    <w:p w14:paraId="2BB3D103" w14:textId="77777777" w:rsidR="00B44F4C" w:rsidRPr="00F17809" w:rsidRDefault="00B44F4C" w:rsidP="00F17809">
      <w:pPr>
        <w:spacing w:after="0" w:line="360" w:lineRule="auto"/>
        <w:ind w:left="567" w:firstLine="21"/>
        <w:jc w:val="both"/>
        <w:rPr>
          <w:rFonts w:ascii="Times New Roman" w:hAnsi="Times New Roman" w:cs="Times New Roman"/>
          <w:color w:val="000000"/>
          <w:sz w:val="26"/>
          <w:szCs w:val="26"/>
          <w:lang w:val="en-GB" w:eastAsia="en-GB"/>
        </w:rPr>
      </w:pPr>
    </w:p>
    <w:p w14:paraId="7CA6A3AE" w14:textId="46785397" w:rsidR="00064CE7" w:rsidRPr="00F17809" w:rsidRDefault="00064CE7" w:rsidP="00F17809">
      <w:pPr>
        <w:spacing w:after="0" w:line="360" w:lineRule="auto"/>
        <w:ind w:left="567" w:firstLine="21"/>
        <w:jc w:val="both"/>
        <w:rPr>
          <w:rFonts w:ascii="Times New Roman" w:eastAsia="Times New Roman" w:hAnsi="Times New Roman" w:cs="Times New Roman"/>
          <w:sz w:val="26"/>
          <w:szCs w:val="26"/>
          <w:lang w:val="en-US"/>
        </w:rPr>
      </w:pPr>
      <w:r w:rsidRPr="00F17809">
        <w:rPr>
          <w:rFonts w:ascii="Times New Roman" w:hAnsi="Times New Roman" w:cs="Times New Roman"/>
          <w:color w:val="000000"/>
          <w:sz w:val="26"/>
          <w:szCs w:val="26"/>
          <w:lang w:val="en-GB" w:eastAsia="en-GB"/>
        </w:rPr>
        <w:t xml:space="preserve">(10) </w:t>
      </w:r>
      <w:r w:rsidRPr="00F17809">
        <w:rPr>
          <w:rFonts w:ascii="Times New Roman" w:hAnsi="Times New Roman" w:cs="Times New Roman"/>
          <w:color w:val="000000"/>
          <w:sz w:val="26"/>
          <w:szCs w:val="26"/>
          <w:u w:val="single"/>
          <w:lang w:val="en-GB" w:eastAsia="en-GB"/>
        </w:rPr>
        <w:t>The court may, notwithstanding anything to the contrary in this rule, at any stage before judgment grant leave to amend any pleading or document on such other terms as to costs or other matters as it deems fit.</w:t>
      </w:r>
      <w:r w:rsidRPr="00F17809">
        <w:rPr>
          <w:rFonts w:ascii="Times New Roman" w:hAnsi="Times New Roman" w:cs="Times New Roman"/>
          <w:sz w:val="26"/>
          <w:szCs w:val="26"/>
          <w:lang w:val="en-US"/>
        </w:rPr>
        <w:t xml:space="preserve">”   </w:t>
      </w:r>
      <w:r w:rsidRPr="00F17809">
        <w:rPr>
          <w:rFonts w:ascii="Times New Roman" w:hAnsi="Times New Roman" w:cs="Times New Roman"/>
          <w:color w:val="000000"/>
          <w:sz w:val="26"/>
          <w:szCs w:val="26"/>
          <w:lang w:val="en-GB" w:eastAsia="en-GB"/>
        </w:rPr>
        <w:t>[underlining added for emphasis]</w:t>
      </w:r>
      <w:r w:rsidRPr="00F17809">
        <w:rPr>
          <w:rFonts w:ascii="Times New Roman" w:eastAsia="Times New Roman" w:hAnsi="Times New Roman" w:cs="Times New Roman"/>
          <w:sz w:val="26"/>
          <w:szCs w:val="26"/>
          <w:lang w:val="en-US"/>
        </w:rPr>
        <w:t>. In this part, the Uniform Rule refers to “at any stage before judgment” regarding the timing of (or stage until when it is conventionally permissible for the Court to grant) leave to amend.</w:t>
      </w:r>
      <w:r w:rsidRPr="00F17809">
        <w:rPr>
          <w:rFonts w:ascii="Times New Roman" w:eastAsia="Times New Roman" w:hAnsi="Times New Roman" w:cs="Times New Roman"/>
          <w:sz w:val="26"/>
          <w:szCs w:val="26"/>
          <w:vertAlign w:val="superscript"/>
          <w:lang w:val="en-US"/>
        </w:rPr>
        <w:footnoteReference w:id="1"/>
      </w:r>
      <w:r w:rsidRPr="00F17809">
        <w:rPr>
          <w:rFonts w:ascii="Times New Roman" w:eastAsia="Times New Roman" w:hAnsi="Times New Roman" w:cs="Times New Roman"/>
          <w:sz w:val="26"/>
          <w:szCs w:val="26"/>
          <w:lang w:val="en-US"/>
        </w:rPr>
        <w:t xml:space="preserve"> </w:t>
      </w:r>
    </w:p>
    <w:p w14:paraId="0712DA50" w14:textId="77777777" w:rsidR="0055016F" w:rsidRPr="00F17809" w:rsidRDefault="0055016F" w:rsidP="000E589B">
      <w:pPr>
        <w:spacing w:after="0" w:line="360" w:lineRule="auto"/>
        <w:jc w:val="both"/>
        <w:rPr>
          <w:rFonts w:ascii="Times New Roman" w:eastAsia="Times New Roman" w:hAnsi="Times New Roman" w:cs="Times New Roman"/>
          <w:sz w:val="26"/>
          <w:szCs w:val="26"/>
          <w:lang w:val="en-US"/>
        </w:rPr>
      </w:pPr>
    </w:p>
    <w:p w14:paraId="4EA06C70" w14:textId="11E42ED9" w:rsidR="008E6A33" w:rsidRPr="00F17809" w:rsidRDefault="00482211" w:rsidP="00482211">
      <w:pPr>
        <w:pStyle w:val="JudgmentNumbered"/>
        <w:numPr>
          <w:ilvl w:val="0"/>
          <w:numId w:val="0"/>
        </w:numPr>
        <w:ind w:left="567" w:hanging="567"/>
        <w:rPr>
          <w:rFonts w:ascii="Times New Roman" w:hAnsi="Times New Roman" w:cs="Times New Roman"/>
          <w:sz w:val="28"/>
          <w:szCs w:val="28"/>
        </w:rPr>
      </w:pPr>
      <w:r w:rsidRPr="00F17809">
        <w:rPr>
          <w:rFonts w:ascii="Times New Roman" w:hAnsi="Times New Roman" w:cs="Times New Roman"/>
          <w:sz w:val="28"/>
          <w:szCs w:val="24"/>
        </w:rPr>
        <w:t>[16]</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 xml:space="preserve">An application for amendment will always be allowed unless it is made </w:t>
      </w:r>
      <w:r w:rsidR="00064CE7" w:rsidRPr="00F17809">
        <w:rPr>
          <w:rFonts w:ascii="Times New Roman" w:hAnsi="Times New Roman" w:cs="Times New Roman"/>
          <w:i/>
          <w:iCs/>
          <w:sz w:val="28"/>
          <w:szCs w:val="28"/>
        </w:rPr>
        <w:t>mala fide</w:t>
      </w:r>
      <w:r w:rsidR="00064CE7" w:rsidRPr="00F17809">
        <w:rPr>
          <w:rFonts w:ascii="Times New Roman" w:hAnsi="Times New Roman" w:cs="Times New Roman"/>
          <w:sz w:val="28"/>
          <w:szCs w:val="28"/>
        </w:rPr>
        <w:t xml:space="preserve"> or would cause prejudice to the other party which cannot be compensated for by an order for costs or by some other suitable order such as a postponement.</w:t>
      </w:r>
      <w:r w:rsidR="00064CE7" w:rsidRPr="00F17809">
        <w:rPr>
          <w:rFonts w:ascii="Times New Roman" w:hAnsi="Times New Roman" w:cs="Times New Roman"/>
          <w:sz w:val="28"/>
          <w:szCs w:val="28"/>
          <w:vertAlign w:val="superscript"/>
        </w:rPr>
        <w:footnoteReference w:id="2"/>
      </w:r>
    </w:p>
    <w:p w14:paraId="0806EA89" w14:textId="65D0AF5B" w:rsidR="001B0A7B" w:rsidRPr="00F17809" w:rsidRDefault="00482211" w:rsidP="00482211">
      <w:pPr>
        <w:pStyle w:val="JudgmentNumbered"/>
        <w:numPr>
          <w:ilvl w:val="0"/>
          <w:numId w:val="0"/>
        </w:numPr>
        <w:ind w:left="567" w:hanging="567"/>
        <w:rPr>
          <w:rFonts w:ascii="Times New Roman" w:eastAsia="Times New Roman" w:hAnsi="Times New Roman" w:cs="Times New Roman"/>
          <w:color w:val="000000"/>
          <w:sz w:val="28"/>
          <w:szCs w:val="28"/>
          <w:lang w:val="en-US"/>
        </w:rPr>
      </w:pPr>
      <w:r w:rsidRPr="00F17809">
        <w:rPr>
          <w:rFonts w:ascii="Times New Roman" w:eastAsia="Times New Roman" w:hAnsi="Times New Roman" w:cs="Times New Roman"/>
          <w:color w:val="000000"/>
          <w:sz w:val="28"/>
          <w:szCs w:val="24"/>
          <w:lang w:val="en-US"/>
        </w:rPr>
        <w:t>[17]</w:t>
      </w:r>
      <w:r w:rsidRPr="00F17809">
        <w:rPr>
          <w:rFonts w:ascii="Times New Roman" w:eastAsia="Times New Roman" w:hAnsi="Times New Roman" w:cs="Times New Roman"/>
          <w:color w:val="000000"/>
          <w:sz w:val="28"/>
          <w:szCs w:val="24"/>
          <w:lang w:val="en-US"/>
        </w:rPr>
        <w:tab/>
      </w:r>
      <w:r w:rsidR="00064CE7" w:rsidRPr="00F17809">
        <w:rPr>
          <w:rFonts w:ascii="Times New Roman" w:eastAsia="Times New Roman" w:hAnsi="Times New Roman" w:cs="Times New Roman"/>
          <w:color w:val="000000"/>
          <w:sz w:val="28"/>
          <w:szCs w:val="28"/>
          <w:lang w:val="en-US"/>
        </w:rPr>
        <w:t xml:space="preserve">In </w:t>
      </w:r>
      <w:r w:rsidR="00064CE7" w:rsidRPr="00F17809">
        <w:rPr>
          <w:rFonts w:ascii="Times New Roman" w:eastAsia="Times New Roman" w:hAnsi="Times New Roman" w:cs="Times New Roman"/>
          <w:i/>
          <w:iCs/>
          <w:color w:val="000000"/>
          <w:sz w:val="28"/>
          <w:szCs w:val="28"/>
          <w:lang w:val="en-US"/>
        </w:rPr>
        <w:t>Trans-Drakensberg Bank Ltd (Under Judicial Management) v     Combined Engineering (Pty) Ltd and another</w:t>
      </w:r>
      <w:r w:rsidR="00064CE7" w:rsidRPr="00064CE7">
        <w:rPr>
          <w:vertAlign w:val="superscript"/>
        </w:rPr>
        <w:footnoteReference w:id="3"/>
      </w:r>
      <w:r w:rsidR="00064CE7" w:rsidRPr="00F17809">
        <w:rPr>
          <w:rFonts w:ascii="Times New Roman" w:eastAsia="Times New Roman" w:hAnsi="Times New Roman" w:cs="Times New Roman"/>
          <w:i/>
          <w:iCs/>
          <w:color w:val="000000"/>
          <w:sz w:val="28"/>
          <w:szCs w:val="28"/>
          <w:lang w:val="en-US"/>
        </w:rPr>
        <w:t xml:space="preserve"> </w:t>
      </w:r>
      <w:r w:rsidR="00064CE7" w:rsidRPr="00F17809">
        <w:rPr>
          <w:rFonts w:ascii="Times New Roman" w:eastAsia="Times New Roman" w:hAnsi="Times New Roman" w:cs="Times New Roman"/>
          <w:color w:val="000000"/>
          <w:sz w:val="28"/>
          <w:szCs w:val="28"/>
          <w:lang w:val="en-US"/>
        </w:rPr>
        <w:t xml:space="preserve">and </w:t>
      </w:r>
      <w:r w:rsidR="00064CE7" w:rsidRPr="00F17809">
        <w:rPr>
          <w:rFonts w:ascii="Times New Roman" w:eastAsia="Times New Roman" w:hAnsi="Times New Roman" w:cs="Times New Roman"/>
          <w:i/>
          <w:iCs/>
          <w:sz w:val="28"/>
          <w:szCs w:val="28"/>
          <w:lang w:val="en-US"/>
        </w:rPr>
        <w:t>Commercial Union    Assurance Co Ltd v Waymark NO</w:t>
      </w:r>
      <w:r w:rsidR="00064CE7" w:rsidRPr="00F17809">
        <w:rPr>
          <w:rFonts w:ascii="Times New Roman" w:eastAsia="Times New Roman" w:hAnsi="Times New Roman" w:cs="Times New Roman"/>
          <w:sz w:val="28"/>
          <w:szCs w:val="28"/>
          <w:lang w:val="en-US"/>
        </w:rPr>
        <w:t>,</w:t>
      </w:r>
      <w:r w:rsidR="00064CE7" w:rsidRPr="00064CE7">
        <w:rPr>
          <w:vertAlign w:val="superscript"/>
        </w:rPr>
        <w:footnoteReference w:id="4"/>
      </w:r>
      <w:r w:rsidR="00064CE7" w:rsidRPr="00F17809">
        <w:rPr>
          <w:rFonts w:ascii="Times New Roman" w:eastAsia="Times New Roman" w:hAnsi="Times New Roman" w:cs="Times New Roman"/>
          <w:i/>
          <w:iCs/>
          <w:sz w:val="28"/>
          <w:szCs w:val="28"/>
          <w:lang w:val="en-US"/>
        </w:rPr>
        <w:t xml:space="preserve"> </w:t>
      </w:r>
      <w:r w:rsidR="00064CE7" w:rsidRPr="00F17809">
        <w:rPr>
          <w:rFonts w:ascii="Times New Roman" w:eastAsia="Times New Roman" w:hAnsi="Times New Roman" w:cs="Times New Roman"/>
          <w:sz w:val="28"/>
          <w:szCs w:val="28"/>
          <w:lang w:val="en-US"/>
        </w:rPr>
        <w:t xml:space="preserve">the </w:t>
      </w:r>
      <w:r w:rsidR="00064CE7" w:rsidRPr="00F17809">
        <w:rPr>
          <w:rFonts w:ascii="Times New Roman" w:eastAsia="Times New Roman" w:hAnsi="Times New Roman" w:cs="Times New Roman"/>
          <w:color w:val="000000"/>
          <w:sz w:val="28"/>
          <w:szCs w:val="28"/>
          <w:lang w:val="en-US"/>
        </w:rPr>
        <w:t>basic principles to affect the exercise of  the discretion of the Court whether to grant or refuse leave to amend were  accurately summarized.</w:t>
      </w:r>
      <w:r w:rsidR="00064CE7" w:rsidRPr="00064CE7">
        <w:rPr>
          <w:vertAlign w:val="superscript"/>
        </w:rPr>
        <w:footnoteReference w:id="5"/>
      </w:r>
      <w:r w:rsidR="00064CE7" w:rsidRPr="00F17809">
        <w:rPr>
          <w:rFonts w:ascii="Times New Roman" w:eastAsia="Times New Roman" w:hAnsi="Times New Roman" w:cs="Times New Roman"/>
          <w:color w:val="000000"/>
          <w:sz w:val="28"/>
          <w:szCs w:val="28"/>
          <w:lang w:val="en-US"/>
        </w:rPr>
        <w:t xml:space="preserve"> It is trite that the discretion – as always – is to be </w:t>
      </w:r>
      <w:r w:rsidR="00064CE7" w:rsidRPr="00F17809">
        <w:rPr>
          <w:rFonts w:ascii="Times New Roman" w:eastAsia="Times New Roman" w:hAnsi="Times New Roman" w:cs="Times New Roman"/>
          <w:color w:val="000000"/>
          <w:sz w:val="28"/>
          <w:szCs w:val="28"/>
          <w:lang w:val="en-US"/>
        </w:rPr>
        <w:lastRenderedPageBreak/>
        <w:t>exercised judicially in the light of all the facts and circumstances before a Court.</w:t>
      </w:r>
      <w:r w:rsidR="00064CE7" w:rsidRPr="00064CE7">
        <w:rPr>
          <w:vertAlign w:val="superscript"/>
        </w:rPr>
        <w:footnoteReference w:id="6"/>
      </w:r>
      <w:r w:rsidR="00064CE7" w:rsidRPr="00F17809">
        <w:rPr>
          <w:rFonts w:ascii="Times New Roman" w:eastAsia="Times New Roman" w:hAnsi="Times New Roman" w:cs="Times New Roman"/>
          <w:color w:val="000000"/>
          <w:sz w:val="28"/>
          <w:szCs w:val="28"/>
          <w:lang w:val="en-US"/>
        </w:rPr>
        <w:t xml:space="preserve"> </w:t>
      </w:r>
    </w:p>
    <w:p w14:paraId="76940E0B" w14:textId="4547929F" w:rsidR="005E36E7" w:rsidRPr="00F17809" w:rsidRDefault="00482211" w:rsidP="00482211">
      <w:pPr>
        <w:pStyle w:val="JudgmentNumbered"/>
        <w:numPr>
          <w:ilvl w:val="0"/>
          <w:numId w:val="0"/>
        </w:numPr>
        <w:ind w:left="567" w:hanging="567"/>
        <w:rPr>
          <w:rFonts w:ascii="Times New Roman" w:eastAsia="Times New Roman" w:hAnsi="Times New Roman" w:cs="Times New Roman"/>
          <w:sz w:val="28"/>
          <w:szCs w:val="28"/>
          <w:lang w:val="en-US"/>
        </w:rPr>
      </w:pPr>
      <w:r w:rsidRPr="00F17809">
        <w:rPr>
          <w:rFonts w:ascii="Times New Roman" w:eastAsia="Times New Roman" w:hAnsi="Times New Roman" w:cs="Times New Roman"/>
          <w:sz w:val="28"/>
          <w:szCs w:val="24"/>
          <w:lang w:val="en-US"/>
        </w:rPr>
        <w:t>[18]</w:t>
      </w:r>
      <w:r w:rsidRPr="00F17809">
        <w:rPr>
          <w:rFonts w:ascii="Times New Roman" w:eastAsia="Times New Roman" w:hAnsi="Times New Roman" w:cs="Times New Roman"/>
          <w:sz w:val="28"/>
          <w:szCs w:val="24"/>
          <w:lang w:val="en-US"/>
        </w:rPr>
        <w:tab/>
      </w:r>
      <w:r w:rsidR="00064CE7" w:rsidRPr="00F17809">
        <w:rPr>
          <w:rFonts w:ascii="Times New Roman" w:eastAsia="Times New Roman" w:hAnsi="Times New Roman" w:cs="Times New Roman"/>
          <w:sz w:val="28"/>
          <w:szCs w:val="28"/>
          <w:lang w:val="en-US"/>
        </w:rPr>
        <w:t>An amendment application will be refused if the amendment would introduce a pleading which is excipiable – either because it is impermissibly vague or because it discloses no cause of action.</w:t>
      </w:r>
      <w:r w:rsidR="00064CE7" w:rsidRPr="00064CE7">
        <w:rPr>
          <w:vertAlign w:val="superscript"/>
        </w:rPr>
        <w:footnoteReference w:id="7"/>
      </w:r>
      <w:r w:rsidR="00064CE7" w:rsidRPr="00F17809">
        <w:rPr>
          <w:rFonts w:ascii="Times New Roman" w:eastAsia="Times New Roman" w:hAnsi="Times New Roman" w:cs="Times New Roman"/>
          <w:sz w:val="28"/>
          <w:szCs w:val="28"/>
          <w:lang w:val="en-US"/>
        </w:rPr>
        <w:t xml:space="preserve"> Another example of prejudice is where a party, through an amendment, seeks to withdraw an admission.</w:t>
      </w:r>
      <w:r w:rsidR="00064CE7" w:rsidRPr="00064CE7">
        <w:rPr>
          <w:vertAlign w:val="superscript"/>
        </w:rPr>
        <w:footnoteReference w:id="8"/>
      </w:r>
    </w:p>
    <w:p w14:paraId="6A2E5F4F" w14:textId="38558E79" w:rsidR="00A8649D" w:rsidRPr="00F17809" w:rsidRDefault="00482211" w:rsidP="00482211">
      <w:pPr>
        <w:pStyle w:val="JudgmentNumbered"/>
        <w:numPr>
          <w:ilvl w:val="0"/>
          <w:numId w:val="0"/>
        </w:numPr>
        <w:ind w:left="567" w:hanging="567"/>
        <w:rPr>
          <w:rFonts w:ascii="Times New Roman" w:eastAsia="Times New Roman" w:hAnsi="Times New Roman" w:cs="Times New Roman"/>
          <w:sz w:val="28"/>
          <w:szCs w:val="28"/>
          <w:lang w:val="en-US"/>
        </w:rPr>
      </w:pPr>
      <w:r w:rsidRPr="00F17809">
        <w:rPr>
          <w:rFonts w:ascii="Times New Roman" w:eastAsia="Times New Roman" w:hAnsi="Times New Roman" w:cs="Times New Roman"/>
          <w:sz w:val="28"/>
          <w:szCs w:val="24"/>
          <w:lang w:val="en-US"/>
        </w:rPr>
        <w:t>[19]</w:t>
      </w:r>
      <w:r w:rsidRPr="00F17809">
        <w:rPr>
          <w:rFonts w:ascii="Times New Roman" w:eastAsia="Times New Roman" w:hAnsi="Times New Roman" w:cs="Times New Roman"/>
          <w:sz w:val="28"/>
          <w:szCs w:val="24"/>
          <w:lang w:val="en-US"/>
        </w:rPr>
        <w:tab/>
      </w:r>
      <w:r w:rsidR="00064CE7" w:rsidRPr="00F17809">
        <w:rPr>
          <w:rFonts w:ascii="Times New Roman" w:eastAsia="Times New Roman" w:hAnsi="Times New Roman" w:cs="Times New Roman"/>
          <w:sz w:val="28"/>
          <w:szCs w:val="28"/>
          <w:lang w:val="en-US"/>
        </w:rPr>
        <w:t xml:space="preserve">The example of the type of prejudice falling into this category given in </w:t>
      </w:r>
      <w:r w:rsidR="00064CE7" w:rsidRPr="00F17809">
        <w:rPr>
          <w:rFonts w:ascii="Times New Roman" w:eastAsia="Times New Roman" w:hAnsi="Times New Roman" w:cs="Times New Roman"/>
          <w:i/>
          <w:iCs/>
          <w:sz w:val="28"/>
          <w:szCs w:val="28"/>
          <w:lang w:val="en-US"/>
        </w:rPr>
        <w:t>Imperial Bank Ltd v Barnard and others NNO</w:t>
      </w:r>
      <w:r w:rsidR="00064CE7" w:rsidRPr="00064CE7">
        <w:rPr>
          <w:i/>
          <w:iCs/>
          <w:szCs w:val="24"/>
          <w:vertAlign w:val="superscript"/>
        </w:rPr>
        <w:footnoteReference w:id="9"/>
      </w:r>
      <w:r w:rsidR="00064CE7" w:rsidRPr="00F17809">
        <w:rPr>
          <w:rFonts w:ascii="Times New Roman" w:eastAsia="Times New Roman" w:hAnsi="Times New Roman" w:cs="Times New Roman"/>
          <w:sz w:val="28"/>
          <w:szCs w:val="28"/>
          <w:lang w:val="en-US"/>
        </w:rPr>
        <w:t>, was an amendment which seeks to introduce a claim which has prescribed. Another example of prejudice which would lead to the refusal of an amendment is if the amendment would introduce a pleading which is excipiable – either because it is impermissibly vague or because it discloses no cause of action.</w:t>
      </w:r>
      <w:r w:rsidR="00064CE7" w:rsidRPr="00064CE7">
        <w:rPr>
          <w:vertAlign w:val="superscript"/>
        </w:rPr>
        <w:footnoteReference w:id="10"/>
      </w:r>
      <w:r w:rsidR="00064CE7" w:rsidRPr="00F17809">
        <w:rPr>
          <w:rFonts w:ascii="Times New Roman" w:eastAsia="Times New Roman" w:hAnsi="Times New Roman" w:cs="Times New Roman"/>
          <w:sz w:val="28"/>
          <w:szCs w:val="28"/>
          <w:lang w:val="en-US"/>
        </w:rPr>
        <w:t xml:space="preserve"> Another example of prejudice is where a party, through an amendment, seeks to withdraw an admission</w:t>
      </w:r>
      <w:r w:rsidR="00064CE7" w:rsidRPr="00064CE7">
        <w:rPr>
          <w:vertAlign w:val="superscript"/>
        </w:rPr>
        <w:footnoteReference w:id="11"/>
      </w:r>
      <w:r w:rsidR="00064CE7" w:rsidRPr="00F17809">
        <w:rPr>
          <w:rFonts w:ascii="Times New Roman" w:eastAsia="Times New Roman" w:hAnsi="Times New Roman" w:cs="Times New Roman"/>
          <w:sz w:val="28"/>
          <w:szCs w:val="28"/>
          <w:lang w:val="en-US"/>
        </w:rPr>
        <w:t xml:space="preserve"> (but even then only in limited cases; for example where the plaintiff for some reason no longer has access to the evidence to prove its response to a fact previously admitted by the defendant).</w:t>
      </w:r>
    </w:p>
    <w:p w14:paraId="7A869831" w14:textId="0E8FA910" w:rsidR="00064CE7"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lastRenderedPageBreak/>
        <w:t>[20]</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 xml:space="preserve">In </w:t>
      </w:r>
      <w:r w:rsidR="00064CE7" w:rsidRPr="00F17809">
        <w:rPr>
          <w:rFonts w:ascii="Times New Roman" w:hAnsi="Times New Roman" w:cs="Times New Roman"/>
          <w:i/>
          <w:iCs/>
          <w:sz w:val="28"/>
          <w:szCs w:val="24"/>
        </w:rPr>
        <w:t>Man in One CC v Zyka Trade 100 CC</w:t>
      </w:r>
      <w:r w:rsidR="00064CE7" w:rsidRPr="00F17809">
        <w:rPr>
          <w:rFonts w:ascii="Times New Roman" w:hAnsi="Times New Roman" w:cs="Times New Roman"/>
          <w:i/>
          <w:iCs/>
          <w:sz w:val="28"/>
          <w:szCs w:val="24"/>
          <w:vertAlign w:val="superscript"/>
        </w:rPr>
        <w:footnoteReference w:id="12"/>
      </w:r>
      <w:r w:rsidR="00064CE7" w:rsidRPr="00F17809">
        <w:rPr>
          <w:rFonts w:ascii="Times New Roman" w:hAnsi="Times New Roman" w:cs="Times New Roman"/>
          <w:sz w:val="28"/>
          <w:szCs w:val="24"/>
        </w:rPr>
        <w:t>, the Court said the following in regard to amendment of pleadings:</w:t>
      </w:r>
    </w:p>
    <w:p w14:paraId="18898B49" w14:textId="2DE6551D" w:rsidR="00064CE7" w:rsidRPr="00F17809" w:rsidRDefault="00064CE7" w:rsidP="00F17809">
      <w:pPr>
        <w:spacing w:after="0" w:line="360" w:lineRule="auto"/>
        <w:ind w:left="567"/>
        <w:jc w:val="both"/>
        <w:textAlignment w:val="baseline"/>
        <w:rPr>
          <w:rFonts w:ascii="Times New Roman" w:eastAsia="Times New Roman" w:hAnsi="Times New Roman" w:cs="Times New Roman"/>
          <w:sz w:val="26"/>
          <w:szCs w:val="26"/>
          <w:lang w:val="en-US"/>
        </w:rPr>
      </w:pPr>
      <w:r w:rsidRPr="00F17809">
        <w:rPr>
          <w:rFonts w:ascii="Times New Roman" w:eastAsia="Times New Roman" w:hAnsi="Times New Roman" w:cs="Times New Roman"/>
          <w:sz w:val="26"/>
          <w:szCs w:val="26"/>
          <w:lang w:val="en-US"/>
        </w:rPr>
        <w:t xml:space="preserve">“The respondents have argued that a party seeking an amendment at a late stage does not do so as a matter of </w:t>
      </w:r>
      <w:r w:rsidR="009A416E" w:rsidRPr="009A416E">
        <w:rPr>
          <w:rFonts w:ascii="Times New Roman" w:eastAsia="Times New Roman" w:hAnsi="Times New Roman" w:cs="Times New Roman"/>
          <w:sz w:val="26"/>
          <w:szCs w:val="26"/>
          <w:lang w:val="en-US"/>
        </w:rPr>
        <w:t>right but</w:t>
      </w:r>
      <w:r w:rsidRPr="00F17809">
        <w:rPr>
          <w:rFonts w:ascii="Times New Roman" w:eastAsia="Times New Roman" w:hAnsi="Times New Roman" w:cs="Times New Roman"/>
          <w:sz w:val="26"/>
          <w:szCs w:val="26"/>
          <w:lang w:val="en-US"/>
        </w:rPr>
        <w:t xml:space="preserve"> is seeking an indulgence from the court and there is no justification to do so after a seven-year delay. It has however been held that in the absence of prejudice to an opponent, an amendment may be granted an any stage before judgment, despite such delay and however careless the mistake or omission may have been (</w:t>
      </w:r>
      <w:r w:rsidRPr="00F17809">
        <w:rPr>
          <w:rFonts w:ascii="Times New Roman" w:eastAsia="Times New Roman" w:hAnsi="Times New Roman" w:cs="Times New Roman"/>
          <w:i/>
          <w:iCs/>
          <w:sz w:val="26"/>
          <w:szCs w:val="26"/>
          <w:lang w:val="en-US"/>
        </w:rPr>
        <w:t>Krogman v</w:t>
      </w:r>
      <w:r w:rsidRPr="00F17809">
        <w:rPr>
          <w:rFonts w:ascii="Times New Roman" w:eastAsia="Times New Roman" w:hAnsi="Times New Roman" w:cs="Times New Roman"/>
          <w:sz w:val="26"/>
          <w:szCs w:val="26"/>
          <w:lang w:val="en-US"/>
        </w:rPr>
        <w:t xml:space="preserve"> </w:t>
      </w:r>
      <w:r w:rsidRPr="00F17809">
        <w:rPr>
          <w:rFonts w:ascii="Times New Roman" w:eastAsia="Times New Roman" w:hAnsi="Times New Roman" w:cs="Times New Roman"/>
          <w:i/>
          <w:iCs/>
          <w:sz w:val="26"/>
          <w:szCs w:val="26"/>
          <w:lang w:val="en-US"/>
        </w:rPr>
        <w:t>Van Reenen [1926 OPD 191]).</w:t>
      </w:r>
      <w:r w:rsidRPr="00F17809">
        <w:rPr>
          <w:rFonts w:ascii="Times New Roman" w:eastAsia="Times New Roman" w:hAnsi="Times New Roman" w:cs="Times New Roman"/>
          <w:sz w:val="26"/>
          <w:szCs w:val="26"/>
          <w:lang w:val="en-US"/>
        </w:rPr>
        <w:t xml:space="preserve"> It is also my view that although the trial has commenced, the parties are not 'deep' into the trial in that it was on its first day and the applicant was leading evidence in chief from its first witness when it sought a postponement for purposes hereof. In </w:t>
      </w:r>
      <w:r w:rsidRPr="00F17809">
        <w:rPr>
          <w:rFonts w:ascii="Times New Roman" w:eastAsia="Times New Roman" w:hAnsi="Times New Roman" w:cs="Times New Roman"/>
          <w:i/>
          <w:iCs/>
          <w:sz w:val="26"/>
          <w:szCs w:val="26"/>
          <w:lang w:val="en-US"/>
        </w:rPr>
        <w:t>Trans-Drakensberg Bank Ltd (under Judicial Management) v Combined Engineering (Pty) Ltd and Another [1967 (3) SA 632 (D) at 642H]</w:t>
      </w:r>
      <w:r w:rsidRPr="00F17809">
        <w:rPr>
          <w:rFonts w:ascii="Times New Roman" w:eastAsia="Times New Roman" w:hAnsi="Times New Roman" w:cs="Times New Roman"/>
          <w:sz w:val="26"/>
          <w:szCs w:val="26"/>
          <w:lang w:val="en-US"/>
        </w:rPr>
        <w:t xml:space="preserve"> the court held that: ‘In my judgment, if a litigant has delayed in bringing forward his amendment, this in itself, there being no prejudice to his opponent not remediable in the manner I have indicated, is no ground for refusing the amendment.’’’</w:t>
      </w:r>
    </w:p>
    <w:p w14:paraId="6FB1302E" w14:textId="77777777" w:rsidR="00064CE7" w:rsidRPr="00064CE7" w:rsidRDefault="00064CE7" w:rsidP="000E589B">
      <w:pPr>
        <w:spacing w:after="0" w:line="360" w:lineRule="auto"/>
        <w:jc w:val="both"/>
        <w:textAlignment w:val="baseline"/>
        <w:rPr>
          <w:rFonts w:ascii="Times New Roman" w:eastAsia="Times New Roman" w:hAnsi="Times New Roman" w:cs="Times New Roman"/>
          <w:sz w:val="24"/>
          <w:szCs w:val="24"/>
          <w:lang w:val="en-US"/>
        </w:rPr>
      </w:pPr>
    </w:p>
    <w:p w14:paraId="7D57B7AD" w14:textId="658A87FC" w:rsidR="00D27C19" w:rsidRPr="00F17809" w:rsidRDefault="00482211" w:rsidP="00482211">
      <w:pPr>
        <w:pStyle w:val="JudgmentNumbered"/>
        <w:numPr>
          <w:ilvl w:val="0"/>
          <w:numId w:val="0"/>
        </w:numPr>
        <w:ind w:left="567" w:hanging="567"/>
      </w:pPr>
      <w:r w:rsidRPr="00F17809">
        <w:rPr>
          <w:rFonts w:ascii="Times New Roman" w:hAnsi="Times New Roman" w:cs="Times New Roman"/>
          <w:sz w:val="28"/>
          <w:szCs w:val="24"/>
        </w:rPr>
        <w:t>[21]</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 xml:space="preserve">In </w:t>
      </w:r>
      <w:r w:rsidR="00064CE7" w:rsidRPr="00F17809">
        <w:rPr>
          <w:rFonts w:ascii="Times New Roman" w:hAnsi="Times New Roman" w:cs="Times New Roman"/>
          <w:i/>
          <w:iCs/>
          <w:sz w:val="28"/>
          <w:szCs w:val="28"/>
        </w:rPr>
        <w:t xml:space="preserve">Summer Season </w:t>
      </w:r>
      <w:r w:rsidR="00064CE7" w:rsidRPr="00F17809">
        <w:rPr>
          <w:rFonts w:ascii="Times New Roman" w:hAnsi="Times New Roman" w:cs="Times New Roman"/>
          <w:sz w:val="28"/>
          <w:szCs w:val="28"/>
        </w:rPr>
        <w:t xml:space="preserve">Trading </w:t>
      </w:r>
      <w:r w:rsidR="00064CE7" w:rsidRPr="00F17809">
        <w:rPr>
          <w:rFonts w:ascii="Times New Roman" w:hAnsi="Times New Roman" w:cs="Times New Roman"/>
          <w:i/>
          <w:iCs/>
          <w:sz w:val="28"/>
          <w:szCs w:val="28"/>
        </w:rPr>
        <w:t xml:space="preserve">v City of Twane </w:t>
      </w:r>
      <w:r w:rsidR="00064CE7" w:rsidRPr="00F17809">
        <w:rPr>
          <w:rFonts w:ascii="Times New Roman" w:hAnsi="Times New Roman" w:cs="Times New Roman"/>
          <w:i/>
          <w:iCs/>
          <w:sz w:val="28"/>
          <w:szCs w:val="28"/>
          <w:vertAlign w:val="superscript"/>
        </w:rPr>
        <w:footnoteReference w:id="13"/>
      </w:r>
      <w:r w:rsidR="00064CE7" w:rsidRPr="00F17809">
        <w:rPr>
          <w:rFonts w:ascii="Times New Roman" w:hAnsi="Times New Roman" w:cs="Times New Roman"/>
          <w:sz w:val="28"/>
          <w:szCs w:val="28"/>
        </w:rPr>
        <w:t>, Basson J pointed out that</w:t>
      </w:r>
      <w:r w:rsidR="00D27C19">
        <w:rPr>
          <w:rFonts w:ascii="Times New Roman" w:hAnsi="Times New Roman" w:cs="Times New Roman"/>
          <w:sz w:val="28"/>
          <w:szCs w:val="28"/>
        </w:rPr>
        <w:t>:</w:t>
      </w:r>
    </w:p>
    <w:p w14:paraId="7B924B8B" w14:textId="4E3B98B7" w:rsidR="00064CE7" w:rsidRPr="00F17809" w:rsidRDefault="00064CE7" w:rsidP="00F17809">
      <w:pPr>
        <w:pStyle w:val="JudgmentNumbered"/>
        <w:numPr>
          <w:ilvl w:val="0"/>
          <w:numId w:val="0"/>
        </w:numPr>
        <w:ind w:left="567"/>
        <w:rPr>
          <w:rFonts w:ascii="Times New Roman" w:hAnsi="Times New Roman" w:cs="Times New Roman"/>
          <w:sz w:val="26"/>
          <w:szCs w:val="26"/>
        </w:rPr>
      </w:pPr>
      <w:r w:rsidRPr="00064CE7">
        <w:rPr>
          <w:sz w:val="28"/>
          <w:szCs w:val="28"/>
        </w:rPr>
        <w:t xml:space="preserve"> </w:t>
      </w:r>
      <w:r w:rsidRPr="00F17809">
        <w:rPr>
          <w:rFonts w:ascii="Times New Roman" w:hAnsi="Times New Roman" w:cs="Times New Roman"/>
          <w:sz w:val="26"/>
          <w:szCs w:val="26"/>
        </w:rPr>
        <w:t xml:space="preserve">“the decision of </w:t>
      </w:r>
      <w:r w:rsidRPr="00F17809">
        <w:rPr>
          <w:rFonts w:ascii="Times New Roman" w:hAnsi="Times New Roman" w:cs="Times New Roman"/>
          <w:i/>
          <w:iCs/>
          <w:sz w:val="26"/>
          <w:szCs w:val="26"/>
        </w:rPr>
        <w:t>Affordable Medicines Trust and Others v Minister of Health and Others</w:t>
      </w:r>
      <w:r w:rsidRPr="00F17809">
        <w:rPr>
          <w:rFonts w:ascii="Times New Roman" w:hAnsi="Times New Roman" w:cs="Times New Roman"/>
          <w:i/>
          <w:iCs/>
          <w:sz w:val="26"/>
          <w:szCs w:val="26"/>
          <w:vertAlign w:val="superscript"/>
        </w:rPr>
        <w:footnoteReference w:id="14"/>
      </w:r>
      <w:r w:rsidRPr="00F17809">
        <w:rPr>
          <w:rFonts w:ascii="Times New Roman" w:hAnsi="Times New Roman" w:cs="Times New Roman"/>
          <w:sz w:val="26"/>
          <w:szCs w:val="26"/>
        </w:rPr>
        <w:t xml:space="preserve">, the Constitutional Court echoed the well-known principles developed over many years but added that the question ultimately should always be ‘what do the interest of justice demand?’” As the Court said in Affordable Medicines: “The principles governing the granting or refusal of an amendment have been set out in a number of cases. There is a useful collection of these cases and the governing principles in </w:t>
      </w:r>
      <w:r w:rsidRPr="00F17809">
        <w:rPr>
          <w:rFonts w:ascii="Times New Roman" w:hAnsi="Times New Roman" w:cs="Times New Roman"/>
          <w:i/>
          <w:iCs/>
          <w:sz w:val="26"/>
          <w:szCs w:val="26"/>
        </w:rPr>
        <w:t>Commercial Union Assurance Co</w:t>
      </w:r>
      <w:r w:rsidRPr="00F17809">
        <w:rPr>
          <w:rFonts w:ascii="Times New Roman" w:hAnsi="Times New Roman" w:cs="Times New Roman"/>
          <w:sz w:val="26"/>
          <w:szCs w:val="26"/>
        </w:rPr>
        <w:t xml:space="preserve"> </w:t>
      </w:r>
      <w:r w:rsidRPr="00F17809">
        <w:rPr>
          <w:rFonts w:ascii="Times New Roman" w:hAnsi="Times New Roman" w:cs="Times New Roman"/>
          <w:i/>
          <w:iCs/>
          <w:sz w:val="26"/>
          <w:szCs w:val="26"/>
        </w:rPr>
        <w:t>Ltd v Waymark NO</w:t>
      </w:r>
      <w:r w:rsidRPr="00F17809">
        <w:rPr>
          <w:rFonts w:ascii="Times New Roman" w:hAnsi="Times New Roman" w:cs="Times New Roman"/>
          <w:i/>
          <w:iCs/>
          <w:sz w:val="26"/>
          <w:szCs w:val="26"/>
          <w:vertAlign w:val="superscript"/>
        </w:rPr>
        <w:footnoteReference w:id="15"/>
      </w:r>
      <w:r w:rsidRPr="00F17809">
        <w:rPr>
          <w:rFonts w:ascii="Times New Roman" w:hAnsi="Times New Roman" w:cs="Times New Roman"/>
          <w:sz w:val="26"/>
          <w:szCs w:val="26"/>
        </w:rPr>
        <w:t xml:space="preserve">. The practical </w:t>
      </w:r>
      <w:r w:rsidRPr="00F17809">
        <w:rPr>
          <w:rFonts w:ascii="Times New Roman" w:hAnsi="Times New Roman" w:cs="Times New Roman"/>
          <w:sz w:val="26"/>
          <w:szCs w:val="26"/>
        </w:rPr>
        <w:lastRenderedPageBreak/>
        <w:t>rule that emerges from these cases is that amendments will always be allowed unless the amendment is mala fide (made in bad faith) or unless the amendment will cause an injustice to the other side which cannot be cured by an appropriate order for costs, or 'unless the parties cannot be put back for the purposes of justice in the same position as they were when the pleading which it is sought to amend was filed'. These principles apply equally to a notice of motion. The question in each case, therefore, is, what do the interests of justice demand?"</w:t>
      </w:r>
    </w:p>
    <w:p w14:paraId="366916FF" w14:textId="77777777" w:rsidR="00064CE7" w:rsidRPr="00064CE7" w:rsidRDefault="00064CE7" w:rsidP="000E589B">
      <w:pPr>
        <w:spacing w:after="0" w:line="360" w:lineRule="auto"/>
        <w:jc w:val="both"/>
        <w:textAlignment w:val="baseline"/>
        <w:rPr>
          <w:rFonts w:ascii="Times New Roman" w:eastAsia="Times New Roman" w:hAnsi="Times New Roman" w:cs="Times New Roman"/>
          <w:sz w:val="24"/>
          <w:szCs w:val="24"/>
          <w:lang w:val="en-US"/>
        </w:rPr>
      </w:pPr>
    </w:p>
    <w:p w14:paraId="78A40615" w14:textId="77777777" w:rsidR="00064CE7" w:rsidRPr="00064CE7" w:rsidRDefault="00064CE7" w:rsidP="000E589B">
      <w:pPr>
        <w:spacing w:after="0" w:line="360" w:lineRule="auto"/>
        <w:jc w:val="both"/>
        <w:textAlignment w:val="baseline"/>
        <w:rPr>
          <w:rFonts w:ascii="Times New Roman" w:eastAsia="Times New Roman" w:hAnsi="Times New Roman" w:cs="Times New Roman"/>
          <w:i/>
          <w:iCs/>
          <w:sz w:val="28"/>
          <w:szCs w:val="28"/>
          <w:lang w:val="en-US"/>
        </w:rPr>
      </w:pPr>
      <w:r w:rsidRPr="00064CE7">
        <w:rPr>
          <w:rFonts w:ascii="Times New Roman" w:eastAsia="Times New Roman" w:hAnsi="Times New Roman" w:cs="Times New Roman"/>
          <w:i/>
          <w:iCs/>
          <w:sz w:val="28"/>
          <w:szCs w:val="28"/>
          <w:lang w:val="en-US"/>
        </w:rPr>
        <w:t>Reasons</w:t>
      </w:r>
    </w:p>
    <w:p w14:paraId="478A3E7A" w14:textId="77777777" w:rsidR="00064CE7" w:rsidRPr="00064CE7" w:rsidRDefault="00064CE7" w:rsidP="000E589B">
      <w:pPr>
        <w:spacing w:after="0" w:line="360" w:lineRule="auto"/>
        <w:jc w:val="both"/>
        <w:textAlignment w:val="baseline"/>
        <w:rPr>
          <w:rFonts w:ascii="Times New Roman" w:eastAsia="Times New Roman" w:hAnsi="Times New Roman" w:cs="Times New Roman"/>
          <w:sz w:val="24"/>
          <w:szCs w:val="24"/>
          <w:lang w:val="en-US"/>
        </w:rPr>
      </w:pPr>
    </w:p>
    <w:p w14:paraId="4191BA3F" w14:textId="0C77A891" w:rsidR="00216ECC" w:rsidRDefault="00482211" w:rsidP="00482211">
      <w:pPr>
        <w:pStyle w:val="JudgmentNumbered"/>
        <w:numPr>
          <w:ilvl w:val="0"/>
          <w:numId w:val="0"/>
        </w:numPr>
        <w:ind w:left="567" w:hanging="567"/>
      </w:pPr>
      <w:r>
        <w:rPr>
          <w:rFonts w:ascii="Times New Roman" w:hAnsi="Times New Roman" w:cs="Times New Roman"/>
          <w:sz w:val="28"/>
          <w:szCs w:val="24"/>
        </w:rPr>
        <w:t>[22]</w:t>
      </w:r>
      <w:r>
        <w:rPr>
          <w:rFonts w:ascii="Times New Roman" w:hAnsi="Times New Roman" w:cs="Times New Roman"/>
          <w:sz w:val="28"/>
          <w:szCs w:val="24"/>
        </w:rPr>
        <w:tab/>
      </w:r>
      <w:r w:rsidR="00064CE7" w:rsidRPr="00F17809">
        <w:rPr>
          <w:rFonts w:ascii="Times New Roman" w:hAnsi="Times New Roman" w:cs="Times New Roman"/>
          <w:sz w:val="28"/>
          <w:szCs w:val="24"/>
        </w:rPr>
        <w:t>SSC and Arendse state that RAL’s approach prejudices them. They argue that the main application was instituted on 26 November 2021. SSC filed its answering affidavit and counter application in the main application on 17 January 2022. RAL went on to claim that SCC had allegedly repudiated the shareholders agreement on 31 December 2021, in a letter dated 10 February 2022, weeks after SSC had filed its papers, and even more so after the repudiation had allegedly occurred</w:t>
      </w:r>
      <w:r w:rsidR="00064CE7"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4"/>
        </w:rPr>
        <w:t>I do not see how SSC and Arendse are prejudiced. This is so because the amendment sought is way before the judgment and in accordance with the authorities quoted above. What our law permits is an amendment of pleadings before the trial is finalized. There is therefore no basis for suggesting that SSC and Arendse are prejudiced.</w:t>
      </w:r>
    </w:p>
    <w:p w14:paraId="22FEC45A" w14:textId="15201FFB" w:rsidR="00994CBC" w:rsidRPr="00FA2349" w:rsidRDefault="00482211" w:rsidP="00482211">
      <w:pPr>
        <w:pStyle w:val="JudgmentNumbered"/>
        <w:numPr>
          <w:ilvl w:val="0"/>
          <w:numId w:val="0"/>
        </w:numPr>
        <w:ind w:left="567" w:hanging="567"/>
      </w:pPr>
      <w:r w:rsidRPr="00FA2349">
        <w:rPr>
          <w:rFonts w:ascii="Times New Roman" w:hAnsi="Times New Roman" w:cs="Times New Roman"/>
          <w:sz w:val="28"/>
          <w:szCs w:val="24"/>
        </w:rPr>
        <w:t>[23]</w:t>
      </w:r>
      <w:r w:rsidRPr="00FA2349">
        <w:rPr>
          <w:rFonts w:ascii="Times New Roman" w:hAnsi="Times New Roman" w:cs="Times New Roman"/>
          <w:sz w:val="28"/>
          <w:szCs w:val="24"/>
        </w:rPr>
        <w:tab/>
      </w:r>
      <w:r w:rsidR="00064CE7" w:rsidRPr="00F17809">
        <w:rPr>
          <w:rFonts w:ascii="Times New Roman" w:eastAsia="Times New Roman" w:hAnsi="Times New Roman" w:cs="Times New Roman"/>
          <w:sz w:val="28"/>
          <w:szCs w:val="28"/>
          <w:lang w:val="en-US"/>
        </w:rPr>
        <w:t xml:space="preserve">SSC and Arendse also contend that the proposed amendment is excipiable. RAL would not be able to seek the cancellation relief in a new application because it cannot enforce the agreement (ie, the premise of the deemed offer application) and accept SSC’s alleged repudiation at the same time. They furthermore contend that the facts underpinning the two causes of action are different does not change the fact that RAL can only have “a single intent”. It cannot make its intent conditional – ie, by asking for the relief in the </w:t>
      </w:r>
      <w:r w:rsidR="00064CE7" w:rsidRPr="00F17809">
        <w:rPr>
          <w:rFonts w:ascii="Times New Roman" w:eastAsia="Times New Roman" w:hAnsi="Times New Roman" w:cs="Times New Roman"/>
          <w:sz w:val="28"/>
          <w:szCs w:val="28"/>
          <w:lang w:val="en-US"/>
        </w:rPr>
        <w:lastRenderedPageBreak/>
        <w:t>alternative. It either wants to cancel the agreement or enforce it, but it cannot do both</w:t>
      </w:r>
      <w:r w:rsidR="00064CE7" w:rsidRPr="00F17809">
        <w:rPr>
          <w:rFonts w:ascii="Times New Roman" w:eastAsia="Times New Roman" w:hAnsi="Times New Roman" w:cs="Times New Roman"/>
          <w:szCs w:val="24"/>
          <w:lang w:val="en-US"/>
        </w:rPr>
        <w:t>.</w:t>
      </w:r>
    </w:p>
    <w:p w14:paraId="37398EA0" w14:textId="415280B3" w:rsidR="009E1526" w:rsidRPr="00F17809" w:rsidRDefault="00482211" w:rsidP="00482211">
      <w:pPr>
        <w:pStyle w:val="JudgmentNumbered"/>
        <w:numPr>
          <w:ilvl w:val="0"/>
          <w:numId w:val="0"/>
        </w:numPr>
        <w:ind w:left="567" w:hanging="567"/>
        <w:rPr>
          <w:rFonts w:ascii="Times New Roman" w:eastAsia="Times New Roman" w:hAnsi="Times New Roman" w:cs="Times New Roman"/>
          <w:sz w:val="28"/>
          <w:szCs w:val="28"/>
          <w:lang w:val="en-US"/>
        </w:rPr>
      </w:pPr>
      <w:r w:rsidRPr="00F17809">
        <w:rPr>
          <w:rFonts w:ascii="Times New Roman" w:eastAsia="Times New Roman" w:hAnsi="Times New Roman" w:cs="Times New Roman"/>
          <w:sz w:val="28"/>
          <w:szCs w:val="24"/>
          <w:lang w:val="en-US"/>
        </w:rPr>
        <w:t>[24]</w:t>
      </w:r>
      <w:r w:rsidRPr="00F17809">
        <w:rPr>
          <w:rFonts w:ascii="Times New Roman" w:eastAsia="Times New Roman" w:hAnsi="Times New Roman" w:cs="Times New Roman"/>
          <w:sz w:val="28"/>
          <w:szCs w:val="24"/>
          <w:lang w:val="en-US"/>
        </w:rPr>
        <w:tab/>
      </w:r>
      <w:r w:rsidR="00064CE7" w:rsidRPr="00F17809">
        <w:rPr>
          <w:rFonts w:ascii="Times New Roman" w:eastAsia="Times New Roman" w:hAnsi="Times New Roman" w:cs="Times New Roman"/>
          <w:sz w:val="28"/>
          <w:szCs w:val="28"/>
          <w:lang w:val="en-US"/>
        </w:rPr>
        <w:t xml:space="preserve">SSC and Arendse, so they contend furthermore, have been prejudiced by the fact that, by the time RAL wrote to them to inform them that it accepted their repudiation – ie, on 10 February 2022 – they had already filed their answering affidavit and counter-application in the deemed offer application. Having already done so, they could not then be called upon to answer the cancellation cause of action which is mutually destructive of the deemed-offer relief. They say that this prejudice arises from the fact that the cancellation </w:t>
      </w:r>
      <w:r w:rsidR="00751BD6" w:rsidRPr="00F17809">
        <w:rPr>
          <w:rFonts w:ascii="Times New Roman" w:eastAsia="Times New Roman" w:hAnsi="Times New Roman" w:cs="Times New Roman"/>
          <w:color w:val="000000" w:themeColor="text1"/>
          <w:sz w:val="28"/>
          <w:szCs w:val="28"/>
          <w:lang w:val="en-US"/>
        </w:rPr>
        <w:t xml:space="preserve">of the </w:t>
      </w:r>
      <w:r w:rsidR="00064CE7" w:rsidRPr="00F17809">
        <w:rPr>
          <w:rFonts w:ascii="Times New Roman" w:eastAsia="Times New Roman" w:hAnsi="Times New Roman" w:cs="Times New Roman"/>
          <w:sz w:val="28"/>
          <w:szCs w:val="28"/>
          <w:lang w:val="en-US"/>
        </w:rPr>
        <w:t>cause of action was formulated by RAL having already seen the answering affidavit in the deemed-offer application. They say that they would have presented their case differently had the cancellation cause of action been introduced timeously. They say that RAL’s approach “also destroys our right to bring a counter application in response to the cancellation cause of action it if had been brought by way of a separate application [</w:t>
      </w:r>
      <w:r w:rsidR="00064CE7" w:rsidRPr="00F17809">
        <w:rPr>
          <w:rFonts w:ascii="Times New Roman" w:eastAsia="Times New Roman" w:hAnsi="Times New Roman" w:cs="Times New Roman"/>
          <w:i/>
          <w:iCs/>
          <w:sz w:val="28"/>
          <w:szCs w:val="28"/>
          <w:lang w:val="en-US"/>
        </w:rPr>
        <w:t>sic</w:t>
      </w:r>
      <w:r w:rsidR="00064CE7" w:rsidRPr="00F17809">
        <w:rPr>
          <w:rFonts w:ascii="Times New Roman" w:eastAsia="Times New Roman" w:hAnsi="Times New Roman" w:cs="Times New Roman"/>
          <w:sz w:val="28"/>
          <w:szCs w:val="28"/>
          <w:lang w:val="en-US"/>
        </w:rPr>
        <w:t>]”.</w:t>
      </w:r>
    </w:p>
    <w:p w14:paraId="555DC61A" w14:textId="729460CD" w:rsidR="00064CE7"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[25]</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 xml:space="preserve">The contentions by SSC and Arendse are premised on the notion of allegedly inconsistent remedies as if this were impermissible as a rule of law. On that score, </w:t>
      </w:r>
      <w:r w:rsidR="00064CE7" w:rsidRPr="00F17809">
        <w:rPr>
          <w:rFonts w:ascii="Times New Roman" w:hAnsi="Times New Roman" w:cs="Times New Roman"/>
          <w:i/>
          <w:iCs/>
          <w:sz w:val="28"/>
          <w:szCs w:val="24"/>
        </w:rPr>
        <w:t>Christie</w:t>
      </w:r>
      <w:r w:rsidR="00064CE7" w:rsidRPr="00F17809">
        <w:rPr>
          <w:rFonts w:ascii="Times New Roman" w:hAnsi="Times New Roman" w:cs="Times New Roman"/>
          <w:i/>
          <w:iCs/>
          <w:sz w:val="28"/>
          <w:szCs w:val="24"/>
          <w:vertAlign w:val="superscript"/>
        </w:rPr>
        <w:footnoteReference w:id="16"/>
      </w:r>
      <w:r w:rsidR="00064CE7" w:rsidRPr="00F17809">
        <w:rPr>
          <w:rFonts w:ascii="Times New Roman" w:hAnsi="Times New Roman" w:cs="Times New Roman"/>
          <w:sz w:val="28"/>
          <w:szCs w:val="24"/>
        </w:rPr>
        <w:t xml:space="preserve"> summarises the legal position of election as follows:</w:t>
      </w:r>
    </w:p>
    <w:p w14:paraId="0985BADA" w14:textId="290F0BC8" w:rsidR="00064CE7" w:rsidRPr="00F17809" w:rsidRDefault="00064CE7" w:rsidP="003E11EB">
      <w:pPr>
        <w:spacing w:after="0" w:line="360" w:lineRule="auto"/>
        <w:ind w:left="720"/>
        <w:jc w:val="both"/>
        <w:textAlignment w:val="baseline"/>
        <w:rPr>
          <w:rFonts w:ascii="Times New Roman" w:eastAsia="Times New Roman" w:hAnsi="Times New Roman" w:cs="Times New Roman"/>
          <w:sz w:val="26"/>
          <w:szCs w:val="26"/>
          <w:lang w:val="en-US"/>
        </w:rPr>
      </w:pPr>
      <w:r w:rsidRPr="00F17809">
        <w:rPr>
          <w:rFonts w:ascii="Times New Roman" w:eastAsia="Times New Roman" w:hAnsi="Times New Roman" w:cs="Times New Roman"/>
          <w:sz w:val="26"/>
          <w:szCs w:val="26"/>
          <w:lang w:val="en-US"/>
        </w:rPr>
        <w:t xml:space="preserve">“The innocent party’s choice is subject to what is usually known as the doctrine of election. Enforcement and cancellation being inconsistent with each other, or mutually exclusive, the non-defaulting party must make an election between them; and cannot both approbate and reprobate the contract by seeking to enforce both remedies simultaneously. The doctrine is stated by Watermeyer AJ </w:t>
      </w:r>
      <w:r w:rsidRPr="00F17809">
        <w:rPr>
          <w:rFonts w:ascii="Times New Roman" w:eastAsia="Times New Roman" w:hAnsi="Times New Roman" w:cs="Times New Roman"/>
          <w:i/>
          <w:iCs/>
          <w:sz w:val="26"/>
          <w:szCs w:val="26"/>
          <w:lang w:val="en-US"/>
        </w:rPr>
        <w:t>in Segal v Mazzur</w:t>
      </w:r>
      <w:r w:rsidRPr="00F17809">
        <w:rPr>
          <w:rFonts w:ascii="Times New Roman" w:eastAsia="Times New Roman" w:hAnsi="Times New Roman" w:cs="Times New Roman"/>
          <w:i/>
          <w:iCs/>
          <w:sz w:val="26"/>
          <w:szCs w:val="26"/>
          <w:vertAlign w:val="superscript"/>
          <w:lang w:val="en-US"/>
        </w:rPr>
        <w:footnoteReference w:id="17"/>
      </w:r>
      <w:r w:rsidRPr="00F17809">
        <w:rPr>
          <w:rFonts w:ascii="Times New Roman" w:eastAsia="Times New Roman" w:hAnsi="Times New Roman" w:cs="Times New Roman"/>
          <w:sz w:val="26"/>
          <w:szCs w:val="26"/>
          <w:lang w:val="en-US"/>
        </w:rPr>
        <w:t xml:space="preserve">: ‘Now, when an event occurs which entitles one party to a contract </w:t>
      </w:r>
      <w:r w:rsidRPr="00F17809">
        <w:rPr>
          <w:rFonts w:ascii="Times New Roman" w:eastAsia="Times New Roman" w:hAnsi="Times New Roman" w:cs="Times New Roman"/>
          <w:sz w:val="26"/>
          <w:szCs w:val="26"/>
          <w:lang w:val="en-US"/>
        </w:rPr>
        <w:lastRenderedPageBreak/>
        <w:t xml:space="preserve">to refuse to carry out his part of the contract, that party has a choice of two courses. He can either elect to take advantage of the event or he can elect not to do so. He is entitled to a reasonable time in which to make up his mind, but when once he has made his election he is bound by that election and cannot afterwards change his mind. Whether he has made an election one way or the other is a question of fact to be decided by the evidence. If, with knowledge of the breach, he does an unequivocal act which necessarily implies that he has made his election one way, he will be held to have made his election that way; this is, however, not a rule of law, but a necessary inference of fact from his conduct: see </w:t>
      </w:r>
      <w:r w:rsidRPr="00F17809">
        <w:rPr>
          <w:rFonts w:ascii="Times New Roman" w:eastAsia="Times New Roman" w:hAnsi="Times New Roman" w:cs="Times New Roman"/>
          <w:i/>
          <w:iCs/>
          <w:sz w:val="26"/>
          <w:szCs w:val="26"/>
          <w:lang w:val="en-US"/>
        </w:rPr>
        <w:t xml:space="preserve">Croft v Lumley (1858) 6 HLC 672 at p 705 </w:t>
      </w:r>
      <w:r w:rsidRPr="00F17809">
        <w:rPr>
          <w:rFonts w:ascii="Times New Roman" w:eastAsia="Times New Roman" w:hAnsi="Times New Roman" w:cs="Times New Roman"/>
          <w:sz w:val="26"/>
          <w:szCs w:val="26"/>
          <w:lang w:val="en-US"/>
        </w:rPr>
        <w:t xml:space="preserve">per Bramwell B; Angehrn and </w:t>
      </w:r>
      <w:r w:rsidRPr="00F17809">
        <w:rPr>
          <w:rFonts w:ascii="Times New Roman" w:eastAsia="Times New Roman" w:hAnsi="Times New Roman" w:cs="Times New Roman"/>
          <w:i/>
          <w:iCs/>
          <w:sz w:val="26"/>
          <w:szCs w:val="26"/>
          <w:lang w:val="en-US"/>
        </w:rPr>
        <w:t>Piel v Federal</w:t>
      </w:r>
      <w:r w:rsidRPr="00F17809">
        <w:rPr>
          <w:rFonts w:ascii="Times New Roman" w:eastAsia="Times New Roman" w:hAnsi="Times New Roman" w:cs="Times New Roman"/>
          <w:sz w:val="26"/>
          <w:szCs w:val="26"/>
          <w:lang w:val="en-US"/>
        </w:rPr>
        <w:t xml:space="preserve"> </w:t>
      </w:r>
      <w:r w:rsidRPr="00F17809">
        <w:rPr>
          <w:rFonts w:ascii="Times New Roman" w:eastAsia="Times New Roman" w:hAnsi="Times New Roman" w:cs="Times New Roman"/>
          <w:i/>
          <w:iCs/>
          <w:sz w:val="26"/>
          <w:szCs w:val="26"/>
          <w:lang w:val="en-US"/>
        </w:rPr>
        <w:t xml:space="preserve">Cold Storage Co Ltd 1908 TS 761 </w:t>
      </w:r>
      <w:r w:rsidRPr="00F17809">
        <w:rPr>
          <w:rFonts w:ascii="Times New Roman" w:eastAsia="Times New Roman" w:hAnsi="Times New Roman" w:cs="Times New Roman"/>
          <w:sz w:val="26"/>
          <w:szCs w:val="26"/>
          <w:lang w:val="en-US"/>
        </w:rPr>
        <w:t xml:space="preserve">at </w:t>
      </w:r>
      <w:r w:rsidRPr="00F17809">
        <w:rPr>
          <w:rFonts w:ascii="Times New Roman" w:eastAsia="Times New Roman" w:hAnsi="Times New Roman" w:cs="Times New Roman"/>
          <w:i/>
          <w:iCs/>
          <w:sz w:val="26"/>
          <w:szCs w:val="26"/>
          <w:lang w:val="en-US"/>
        </w:rPr>
        <w:t>p 786</w:t>
      </w:r>
      <w:r w:rsidRPr="00F17809">
        <w:rPr>
          <w:rFonts w:ascii="Times New Roman" w:eastAsia="Times New Roman" w:hAnsi="Times New Roman" w:cs="Times New Roman"/>
          <w:sz w:val="26"/>
          <w:szCs w:val="26"/>
          <w:lang w:val="en-US"/>
        </w:rPr>
        <w:t xml:space="preserve"> per Bristowe J. As already stated, the question whether a party has elected not to take advantage of a breach is a question of fact to be decided on the evidence, but it may be that he has done an act which, though not necessarily conclusive proof that he has elected to overlook the breach, is of such a character as to lead the other party to believe that he has elected to condone the breach, and the other party may have acted on such belief. In such a case an estoppel by conduct arises and the party entitled to elect is not allowed to say that he did not condone the breach.’ This passage makes clear the true nature of the doctrine of election. It is not a mechanical rule of law but a combination of waiver and estoppel – the onus is on the defendant to prove that, as a question of fact, the plaintiff has waived the relief claimed or, failing such proof, that the plaintiff is estopped from claiming it – reinforced by a logical bar to claiming inconsistent remedies, but only if the claims are truly inconsistent. So the double-barrelled procedure of claiming enforcement with an alternative claim for cancellation and damages is permissible, more especially when the plaintiff, through no fault on its part, is not aware of the full facts, since the doctrine of election presupposes full knowledge of all the relevant facts. It is also permissible to claim cancellation or alternatively enforcement, or vice versa, on different factual averments, that is on the basis that the main factual averment may not be proved. The question expressly left open in </w:t>
      </w:r>
      <w:r w:rsidRPr="00F17809">
        <w:rPr>
          <w:rFonts w:ascii="Times New Roman" w:eastAsia="Times New Roman" w:hAnsi="Times New Roman" w:cs="Times New Roman"/>
          <w:i/>
          <w:iCs/>
          <w:sz w:val="26"/>
          <w:szCs w:val="26"/>
          <w:lang w:val="en-US"/>
        </w:rPr>
        <w:t>Tillett v Willcox 1941 AD 100 at 108</w:t>
      </w:r>
      <w:r w:rsidRPr="00F17809">
        <w:rPr>
          <w:rFonts w:ascii="Times New Roman" w:eastAsia="Times New Roman" w:hAnsi="Times New Roman" w:cs="Times New Roman"/>
          <w:sz w:val="26"/>
          <w:szCs w:val="26"/>
          <w:lang w:val="en-US"/>
        </w:rPr>
        <w:t xml:space="preserve"> - whether the issue </w:t>
      </w:r>
      <w:r w:rsidRPr="00F17809">
        <w:rPr>
          <w:rFonts w:ascii="Times New Roman" w:eastAsia="Times New Roman" w:hAnsi="Times New Roman" w:cs="Times New Roman"/>
          <w:sz w:val="26"/>
          <w:szCs w:val="26"/>
          <w:lang w:val="en-US"/>
        </w:rPr>
        <w:lastRenderedPageBreak/>
        <w:t>of a summons claiming a particular type of relief necessarily bars a subsequent claim for inconsistent relief - can, on the principles considered in the previous paragraph, be answered with a fair measure of certainty. It will normally act as such a bar because it is strong evidence of waiver of the inconsistent remedy, but a summons for specific performance does not bar a subsequent claim for cancellation and damages if the plaintiff's change of mind follows the defendant's persistence in his refusal to perform. Similarly, a summons for cancellation and damages, issued in the mistaken belief that the defendant has repudiated, does not bar a claim for enforcement after the mistake has been discovered. In neither case is waiver proved, but the issue of summons in such a case might give rise to an estoppel. A plaintiff who carries his summons for specific performance through to judgment has irrevocably elected not to cancel, and a subsequent claim for cancellation must fail.”</w:t>
      </w:r>
    </w:p>
    <w:p w14:paraId="6A5DE3C8" w14:textId="77777777" w:rsidR="00064CE7" w:rsidRPr="00064CE7" w:rsidRDefault="00064CE7" w:rsidP="000E589B">
      <w:pPr>
        <w:spacing w:after="0" w:line="360" w:lineRule="auto"/>
        <w:jc w:val="both"/>
        <w:textAlignment w:val="baseline"/>
        <w:rPr>
          <w:rFonts w:ascii="Times New Roman" w:eastAsia="Times New Roman" w:hAnsi="Times New Roman" w:cs="Times New Roman"/>
          <w:sz w:val="24"/>
          <w:szCs w:val="24"/>
          <w:lang w:val="en-US"/>
        </w:rPr>
      </w:pPr>
    </w:p>
    <w:p w14:paraId="22A01665" w14:textId="7CBCD06A" w:rsidR="001C4E8F"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[26]</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In the instant case it is important to note that cancellation relief and the deemed offer relief are based on different set of facts</w:t>
      </w:r>
      <w:r w:rsidR="00064CE7"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4"/>
        </w:rPr>
        <w:t xml:space="preserve">The facts alleged for cancellation relate to the averments that SSC through Arendse has committed which according to RAL are in breach of the shareholders agreement. As to the deemed offer, this relates to the fact that as a result of the alleged breaches of the shareholders agreement, SSC is deemed to have offered its entire shareholding in RMSA for sale to RAL.  </w:t>
      </w:r>
    </w:p>
    <w:p w14:paraId="04876C16" w14:textId="3E0C6649" w:rsidR="00064CE7" w:rsidRPr="00F17809" w:rsidRDefault="00482211" w:rsidP="00482211">
      <w:pPr>
        <w:pStyle w:val="JudgmentNumbered"/>
        <w:numPr>
          <w:ilvl w:val="0"/>
          <w:numId w:val="0"/>
        </w:numPr>
        <w:ind w:left="567" w:hanging="567"/>
        <w:rPr>
          <w:rFonts w:ascii="Times New Roman" w:hAnsi="Times New Roman" w:cs="Times New Roman"/>
          <w:i/>
          <w:iCs/>
          <w:sz w:val="28"/>
          <w:szCs w:val="28"/>
        </w:rPr>
      </w:pPr>
      <w:r w:rsidRPr="00F17809">
        <w:rPr>
          <w:rFonts w:ascii="Times New Roman" w:hAnsi="Times New Roman" w:cs="Times New Roman"/>
          <w:sz w:val="28"/>
          <w:szCs w:val="24"/>
        </w:rPr>
        <w:t>[27]</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It is thus a principle in our law that claim for repudiation does not bar a later enforcement claim.</w:t>
      </w:r>
      <w:r w:rsidR="00064CE7" w:rsidRPr="00F17809">
        <w:rPr>
          <w:rFonts w:ascii="Times New Roman" w:hAnsi="Times New Roman" w:cs="Times New Roman"/>
          <w:sz w:val="28"/>
          <w:szCs w:val="24"/>
          <w:vertAlign w:val="superscript"/>
        </w:rPr>
        <w:footnoteReference w:id="18"/>
      </w:r>
      <w:r w:rsidR="00064CE7" w:rsidRPr="00F17809">
        <w:rPr>
          <w:rFonts w:ascii="Times New Roman" w:hAnsi="Times New Roman" w:cs="Times New Roman"/>
          <w:sz w:val="28"/>
          <w:szCs w:val="24"/>
        </w:rPr>
        <w:t xml:space="preserve"> In emphasizing this principle the Court in </w:t>
      </w:r>
      <w:r w:rsidR="00064CE7" w:rsidRPr="00F17809">
        <w:rPr>
          <w:rFonts w:ascii="Times New Roman" w:hAnsi="Times New Roman" w:cs="Times New Roman"/>
          <w:i/>
          <w:iCs/>
          <w:sz w:val="28"/>
          <w:szCs w:val="28"/>
        </w:rPr>
        <w:t>Le Roux v Autovend (Pty) Ltd</w:t>
      </w:r>
      <w:r w:rsidR="00064CE7" w:rsidRPr="00F17809">
        <w:rPr>
          <w:rFonts w:ascii="Times New Roman" w:hAnsi="Times New Roman" w:cs="Times New Roman"/>
          <w:i/>
          <w:iCs/>
          <w:sz w:val="28"/>
          <w:szCs w:val="28"/>
          <w:vertAlign w:val="superscript"/>
        </w:rPr>
        <w:footnoteReference w:id="19"/>
      </w:r>
      <w:r w:rsidR="00064CE7" w:rsidRPr="00F17809">
        <w:rPr>
          <w:rFonts w:ascii="Times New Roman" w:hAnsi="Times New Roman" w:cs="Times New Roman"/>
          <w:i/>
          <w:iCs/>
          <w:sz w:val="28"/>
          <w:szCs w:val="28"/>
        </w:rPr>
        <w:t xml:space="preserve">  </w:t>
      </w:r>
      <w:r w:rsidR="00064CE7" w:rsidRPr="00F17809">
        <w:rPr>
          <w:rFonts w:ascii="Times New Roman" w:hAnsi="Times New Roman" w:cs="Times New Roman"/>
          <w:sz w:val="28"/>
          <w:szCs w:val="24"/>
        </w:rPr>
        <w:t>said the following</w:t>
      </w:r>
      <w:r w:rsidR="00064CE7" w:rsidRPr="00F17809">
        <w:rPr>
          <w:rFonts w:ascii="Times New Roman" w:hAnsi="Times New Roman" w:cs="Times New Roman"/>
          <w:i/>
          <w:iCs/>
          <w:sz w:val="28"/>
          <w:szCs w:val="28"/>
        </w:rPr>
        <w:t>:</w:t>
      </w:r>
    </w:p>
    <w:p w14:paraId="68942BB9" w14:textId="741F2736" w:rsidR="00751BD6" w:rsidRPr="00F17809" w:rsidRDefault="00064CE7" w:rsidP="00F17809">
      <w:pPr>
        <w:spacing w:after="0" w:line="360" w:lineRule="auto"/>
        <w:ind w:left="567"/>
        <w:jc w:val="both"/>
        <w:textAlignment w:val="baseline"/>
        <w:rPr>
          <w:rFonts w:ascii="Times New Roman" w:eastAsia="Times New Roman" w:hAnsi="Times New Roman" w:cs="Times New Roman"/>
          <w:sz w:val="26"/>
          <w:szCs w:val="26"/>
          <w:lang w:val="en-US"/>
        </w:rPr>
      </w:pPr>
      <w:r w:rsidRPr="00F17809">
        <w:rPr>
          <w:rFonts w:ascii="Times New Roman" w:eastAsia="Times New Roman" w:hAnsi="Times New Roman" w:cs="Times New Roman"/>
          <w:sz w:val="26"/>
          <w:szCs w:val="26"/>
          <w:lang w:val="en-US"/>
        </w:rPr>
        <w:t xml:space="preserve">“…what the defendant has failed to appreciate is that the plaintiff is not seeking to rely on inconsistent remedies arising from the same set of </w:t>
      </w:r>
      <w:r w:rsidR="00B210A3" w:rsidRPr="00B210A3">
        <w:rPr>
          <w:rFonts w:ascii="Times New Roman" w:eastAsia="Times New Roman" w:hAnsi="Times New Roman" w:cs="Times New Roman"/>
          <w:sz w:val="26"/>
          <w:szCs w:val="26"/>
          <w:lang w:val="en-US"/>
        </w:rPr>
        <w:t>facts but</w:t>
      </w:r>
      <w:r w:rsidRPr="00F17809">
        <w:rPr>
          <w:rFonts w:ascii="Times New Roman" w:eastAsia="Times New Roman" w:hAnsi="Times New Roman" w:cs="Times New Roman"/>
          <w:sz w:val="26"/>
          <w:szCs w:val="26"/>
          <w:lang w:val="en-US"/>
        </w:rPr>
        <w:t xml:space="preserve"> relies in the </w:t>
      </w:r>
      <w:r w:rsidRPr="00F17809">
        <w:rPr>
          <w:rFonts w:ascii="Times New Roman" w:eastAsia="Times New Roman" w:hAnsi="Times New Roman" w:cs="Times New Roman"/>
          <w:sz w:val="26"/>
          <w:szCs w:val="26"/>
          <w:lang w:val="en-US"/>
        </w:rPr>
        <w:lastRenderedPageBreak/>
        <w:t>alternative on different remedies based upon different factual averments. (</w:t>
      </w:r>
      <w:r w:rsidRPr="00F17809">
        <w:rPr>
          <w:rFonts w:ascii="Times New Roman" w:eastAsia="Times New Roman" w:hAnsi="Times New Roman" w:cs="Times New Roman"/>
          <w:i/>
          <w:iCs/>
          <w:sz w:val="26"/>
          <w:szCs w:val="26"/>
          <w:lang w:val="en-US"/>
        </w:rPr>
        <w:t>See Glenn v Bickel 1928 TPD</w:t>
      </w:r>
      <w:r w:rsidRPr="00F17809">
        <w:rPr>
          <w:rFonts w:ascii="Times New Roman" w:eastAsia="Times New Roman" w:hAnsi="Times New Roman" w:cs="Times New Roman"/>
          <w:sz w:val="26"/>
          <w:szCs w:val="26"/>
          <w:lang w:val="en-US"/>
        </w:rPr>
        <w:t xml:space="preserve"> </w:t>
      </w:r>
      <w:r w:rsidRPr="00F17809">
        <w:rPr>
          <w:rFonts w:ascii="Times New Roman" w:eastAsia="Times New Roman" w:hAnsi="Times New Roman" w:cs="Times New Roman"/>
          <w:i/>
          <w:iCs/>
          <w:sz w:val="26"/>
          <w:szCs w:val="26"/>
          <w:lang w:val="en-US"/>
        </w:rPr>
        <w:t>186.)</w:t>
      </w:r>
      <w:r w:rsidRPr="00F17809">
        <w:rPr>
          <w:rFonts w:ascii="Times New Roman" w:eastAsia="Times New Roman" w:hAnsi="Times New Roman" w:cs="Times New Roman"/>
          <w:sz w:val="26"/>
          <w:szCs w:val="26"/>
          <w:lang w:val="en-US"/>
        </w:rPr>
        <w:t xml:space="preserve">”  </w:t>
      </w:r>
    </w:p>
    <w:p w14:paraId="158D12B2" w14:textId="77777777" w:rsidR="00751BD6" w:rsidRDefault="00751BD6" w:rsidP="000E589B">
      <w:pPr>
        <w:spacing w:after="0" w:line="360" w:lineRule="auto"/>
        <w:jc w:val="both"/>
        <w:textAlignment w:val="baseline"/>
        <w:rPr>
          <w:rFonts w:ascii="Times New Roman" w:eastAsia="Times New Roman" w:hAnsi="Times New Roman" w:cs="Times New Roman"/>
          <w:sz w:val="24"/>
          <w:szCs w:val="24"/>
          <w:lang w:val="en-US"/>
        </w:rPr>
      </w:pPr>
    </w:p>
    <w:p w14:paraId="5A4A4BA7" w14:textId="175E3E69" w:rsidR="00064CE7" w:rsidRPr="00064CE7" w:rsidRDefault="00064CE7" w:rsidP="00F17809">
      <w:pPr>
        <w:spacing w:after="0" w:line="360" w:lineRule="auto"/>
        <w:ind w:left="567"/>
        <w:jc w:val="both"/>
        <w:textAlignment w:val="baseline"/>
        <w:rPr>
          <w:rFonts w:ascii="Times New Roman" w:eastAsia="Times New Roman" w:hAnsi="Times New Roman" w:cs="Times New Roman"/>
          <w:sz w:val="28"/>
          <w:szCs w:val="28"/>
          <w:lang w:val="en-US"/>
        </w:rPr>
      </w:pPr>
      <w:r w:rsidRPr="00064CE7">
        <w:rPr>
          <w:rFonts w:ascii="Times New Roman" w:eastAsia="Times New Roman" w:hAnsi="Times New Roman" w:cs="Times New Roman"/>
          <w:sz w:val="28"/>
          <w:szCs w:val="28"/>
          <w:lang w:val="en-US"/>
        </w:rPr>
        <w:t>In my view therefore, it is thus permissible to claim cancellation based on the repudiation facts and in the alternative, if that is not established, enforcement on the basis of the deemed offer facts. In such a case, there can be no question of RAL having “elected”, as argued by SSC and Arendse, to pursue an incompetent inconsistent remedy.</w:t>
      </w:r>
    </w:p>
    <w:p w14:paraId="6F452054" w14:textId="77777777" w:rsidR="00064CE7" w:rsidRPr="00064CE7" w:rsidRDefault="00064CE7" w:rsidP="000E589B">
      <w:pPr>
        <w:spacing w:after="0" w:line="360" w:lineRule="auto"/>
        <w:jc w:val="both"/>
        <w:textAlignment w:val="baseline"/>
        <w:rPr>
          <w:rFonts w:ascii="Times New Roman" w:eastAsia="Times New Roman" w:hAnsi="Times New Roman" w:cs="Times New Roman"/>
          <w:sz w:val="28"/>
          <w:szCs w:val="28"/>
          <w:lang w:val="en-US"/>
        </w:rPr>
      </w:pPr>
    </w:p>
    <w:p w14:paraId="26C400A3" w14:textId="6F5CAF7C" w:rsidR="002D4FEE"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[28]</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 xml:space="preserve">Accordingly, it follows that there is thus nothing excipiable about the cancellation cause of action, as reflected in the proposed amended notice of motion. </w:t>
      </w:r>
      <w:r w:rsidR="00064CE7" w:rsidRPr="00F17809">
        <w:rPr>
          <w:rFonts w:ascii="Times New Roman" w:hAnsi="Times New Roman" w:cs="Times New Roman"/>
          <w:sz w:val="28"/>
          <w:szCs w:val="28"/>
        </w:rPr>
        <w:t xml:space="preserve"> </w:t>
      </w:r>
      <w:r w:rsidR="00064CE7" w:rsidRPr="00F17809">
        <w:rPr>
          <w:rFonts w:ascii="Times New Roman" w:hAnsi="Times New Roman" w:cs="Times New Roman"/>
          <w:sz w:val="28"/>
          <w:szCs w:val="24"/>
        </w:rPr>
        <w:t>The deemed offer application, as shown above, was launched in November 2021. It was based on facts which unfolded during the course of April and October 2021. It was launched at a time when SSC and Arendse had not yet repudiated the agreement by failing to pay the purchase price.  Subsequent to that application being launched, only on 1 January 2022, SSC repudiated the agreement by failing to pay the purchase price. RAL has made its stance clear – it considers the failure to pay the purchase price to be a repudiation and it accepts that repudiation. In no sense does it approbate and reprobate. However, it has also explained that it does not wish to take the law into its own hands and has accordingly sought this Court’s intervention by way of leave to amend and of its interpretation of SSC’s conduct. It is entirely logical, and certainly not contradictory, for RAL to take the stance that the agreement has been repudiated but that, if this Court disagrees, fall back on its deemed-offer application. This is why, in the amended notice of motion, the deemed offer relief is sought in the alternative to the cancellation relief.</w:t>
      </w:r>
    </w:p>
    <w:p w14:paraId="2A0674BD" w14:textId="71373E44" w:rsidR="009575A3" w:rsidRPr="00F17809" w:rsidRDefault="00482211" w:rsidP="00482211">
      <w:pPr>
        <w:pStyle w:val="JudgmentNumbered"/>
        <w:numPr>
          <w:ilvl w:val="0"/>
          <w:numId w:val="0"/>
        </w:numPr>
        <w:ind w:left="567" w:hanging="567"/>
        <w:rPr>
          <w:rFonts w:ascii="Times New Roman" w:hAnsi="Times New Roman" w:cs="Times New Roman"/>
          <w:sz w:val="28"/>
          <w:szCs w:val="24"/>
        </w:rPr>
      </w:pPr>
      <w:r w:rsidRPr="00F17809">
        <w:rPr>
          <w:rFonts w:ascii="Times New Roman" w:hAnsi="Times New Roman" w:cs="Times New Roman"/>
          <w:sz w:val="28"/>
          <w:szCs w:val="24"/>
        </w:rPr>
        <w:t>[29]</w:t>
      </w:r>
      <w:r w:rsidRPr="00F17809">
        <w:rPr>
          <w:rFonts w:ascii="Times New Roman" w:hAnsi="Times New Roman" w:cs="Times New Roman"/>
          <w:sz w:val="28"/>
          <w:szCs w:val="24"/>
        </w:rPr>
        <w:tab/>
      </w:r>
      <w:r w:rsidR="00064CE7" w:rsidRPr="00F17809">
        <w:rPr>
          <w:rFonts w:ascii="Times New Roman" w:hAnsi="Times New Roman" w:cs="Times New Roman"/>
          <w:sz w:val="28"/>
          <w:szCs w:val="24"/>
        </w:rPr>
        <w:t xml:space="preserve">Furthermore, the alleged repudiation took place after the deemed offer claim and after the opposing affidavit had been filed by SSC and Arendse. There </w:t>
      </w:r>
      <w:r w:rsidR="00064CE7" w:rsidRPr="00F17809">
        <w:rPr>
          <w:rFonts w:ascii="Times New Roman" w:hAnsi="Times New Roman" w:cs="Times New Roman"/>
          <w:sz w:val="28"/>
          <w:szCs w:val="24"/>
        </w:rPr>
        <w:lastRenderedPageBreak/>
        <w:t>can therefore be no prejudice as alleged by SSC and Arendse. Either RAL is correct on the alleged deemed offer and if not, the shareholders agreement remains in place in which case an alternative relief will be sought. There cannot be any question of probating and abrogating as alleged by SSC and Arendse.</w:t>
      </w:r>
    </w:p>
    <w:p w14:paraId="2F8AC888" w14:textId="5D967C9B" w:rsidR="00064CE7" w:rsidRPr="00F17809" w:rsidRDefault="00482211" w:rsidP="00482211">
      <w:pPr>
        <w:pStyle w:val="JudgmentNumbered"/>
        <w:numPr>
          <w:ilvl w:val="0"/>
          <w:numId w:val="0"/>
        </w:numPr>
        <w:ind w:left="567" w:hanging="567"/>
        <w:rPr>
          <w:rFonts w:ascii="Times New Roman" w:hAnsi="Times New Roman" w:cs="Times New Roman"/>
          <w:sz w:val="28"/>
          <w:szCs w:val="28"/>
        </w:rPr>
      </w:pPr>
      <w:r w:rsidRPr="00F17809">
        <w:rPr>
          <w:rFonts w:ascii="Times New Roman" w:hAnsi="Times New Roman" w:cs="Times New Roman"/>
          <w:sz w:val="28"/>
          <w:szCs w:val="24"/>
        </w:rPr>
        <w:t>[30]</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 xml:space="preserve">It is in my view, in the interest of justice that the amendment should be permitted to ensure that all the issues between the parties are properly ventilated.  </w:t>
      </w:r>
    </w:p>
    <w:p w14:paraId="07A7562D" w14:textId="12A06A8F" w:rsidR="00064CE7" w:rsidRPr="00064CE7" w:rsidRDefault="00064CE7" w:rsidP="000E589B">
      <w:pPr>
        <w:spacing w:line="360" w:lineRule="auto"/>
        <w:jc w:val="both"/>
        <w:rPr>
          <w:rFonts w:ascii="Times New Roman" w:eastAsia="Calibri" w:hAnsi="Times New Roman" w:cs="Times New Roman"/>
          <w:color w:val="242121"/>
          <w:sz w:val="28"/>
          <w:szCs w:val="28"/>
          <w:shd w:val="clear" w:color="auto" w:fill="FFFFFF"/>
          <w:lang w:val="en-GB"/>
        </w:rPr>
      </w:pPr>
    </w:p>
    <w:p w14:paraId="39A1B1D9" w14:textId="760400D2" w:rsidR="00064CE7" w:rsidRPr="00064CE7" w:rsidRDefault="00064CE7" w:rsidP="000E589B">
      <w:pPr>
        <w:spacing w:line="360" w:lineRule="auto"/>
        <w:jc w:val="both"/>
        <w:rPr>
          <w:rFonts w:ascii="Times New Roman" w:eastAsia="Calibri" w:hAnsi="Times New Roman" w:cs="Times New Roman"/>
          <w:i/>
          <w:iCs/>
          <w:color w:val="242121"/>
          <w:sz w:val="28"/>
          <w:szCs w:val="28"/>
          <w:shd w:val="clear" w:color="auto" w:fill="FFFFFF"/>
          <w:lang w:val="en-GB"/>
        </w:rPr>
      </w:pPr>
      <w:r w:rsidRPr="00064CE7">
        <w:rPr>
          <w:rFonts w:ascii="Times New Roman" w:eastAsia="Calibri" w:hAnsi="Times New Roman" w:cs="Times New Roman"/>
          <w:i/>
          <w:iCs/>
          <w:color w:val="242121"/>
          <w:sz w:val="28"/>
          <w:szCs w:val="28"/>
          <w:shd w:val="clear" w:color="auto" w:fill="FFFFFF"/>
          <w:lang w:val="en-GB"/>
        </w:rPr>
        <w:t>O</w:t>
      </w:r>
      <w:r w:rsidR="00E945E6">
        <w:rPr>
          <w:rFonts w:ascii="Times New Roman" w:eastAsia="Calibri" w:hAnsi="Times New Roman" w:cs="Times New Roman"/>
          <w:i/>
          <w:iCs/>
          <w:color w:val="242121"/>
          <w:sz w:val="28"/>
          <w:szCs w:val="28"/>
          <w:shd w:val="clear" w:color="auto" w:fill="FFFFFF"/>
          <w:lang w:val="en-GB"/>
        </w:rPr>
        <w:t>rder</w:t>
      </w:r>
    </w:p>
    <w:p w14:paraId="405ED915" w14:textId="4A37E69A" w:rsidR="00A8746F" w:rsidRPr="00F17809" w:rsidRDefault="00482211" w:rsidP="00482211">
      <w:pPr>
        <w:pStyle w:val="JudgmentNumbered"/>
        <w:numPr>
          <w:ilvl w:val="0"/>
          <w:numId w:val="0"/>
        </w:numPr>
        <w:ind w:left="567" w:hanging="567"/>
        <w:rPr>
          <w:rFonts w:ascii="Times New Roman" w:hAnsi="Times New Roman" w:cs="Times New Roman"/>
          <w:sz w:val="28"/>
          <w:szCs w:val="24"/>
          <w:shd w:val="clear" w:color="auto" w:fill="FFFFFF"/>
        </w:rPr>
      </w:pPr>
      <w:r w:rsidRPr="00F17809">
        <w:rPr>
          <w:rFonts w:ascii="Times New Roman" w:hAnsi="Times New Roman" w:cs="Times New Roman"/>
          <w:sz w:val="28"/>
          <w:szCs w:val="24"/>
        </w:rPr>
        <w:t>[31]</w:t>
      </w:r>
      <w:r w:rsidRPr="00F17809">
        <w:rPr>
          <w:rFonts w:ascii="Times New Roman" w:hAnsi="Times New Roman" w:cs="Times New Roman"/>
          <w:sz w:val="28"/>
          <w:szCs w:val="24"/>
        </w:rPr>
        <w:tab/>
      </w:r>
      <w:r w:rsidR="00064CE7" w:rsidRPr="00F17809">
        <w:rPr>
          <w:rFonts w:ascii="Times New Roman" w:hAnsi="Times New Roman" w:cs="Times New Roman"/>
          <w:sz w:val="28"/>
          <w:szCs w:val="24"/>
          <w:shd w:val="clear" w:color="auto" w:fill="FFFFFF"/>
        </w:rPr>
        <w:t>The following order is made:</w:t>
      </w:r>
    </w:p>
    <w:p w14:paraId="20720450" w14:textId="3A437DA5" w:rsidR="00A8746F" w:rsidRPr="00F17809" w:rsidRDefault="00482211" w:rsidP="00482211">
      <w:pPr>
        <w:pStyle w:val="JudgmentNumbered"/>
        <w:numPr>
          <w:ilvl w:val="0"/>
          <w:numId w:val="0"/>
        </w:numPr>
        <w:ind w:left="1134" w:hanging="567"/>
        <w:rPr>
          <w:rFonts w:ascii="Times New Roman" w:hAnsi="Times New Roman" w:cs="Times New Roman"/>
          <w:sz w:val="28"/>
          <w:szCs w:val="28"/>
        </w:rPr>
      </w:pPr>
      <w:r w:rsidRPr="00F17809">
        <w:rPr>
          <w:rFonts w:ascii="Times New Roman" w:hAnsi="Times New Roman" w:cs="Times New Roman"/>
          <w:sz w:val="28"/>
          <w:szCs w:val="24"/>
        </w:rPr>
        <w:t>a.</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 xml:space="preserve">the applicant is granted leave to amend its notice of motion by including the relief contained in prayer 2 of the amended notice of motion attached to its notice in terms of Uniform Rule 28; </w:t>
      </w:r>
    </w:p>
    <w:p w14:paraId="0F64A814" w14:textId="1D1E9B96" w:rsidR="00A8746F" w:rsidRPr="00F17809" w:rsidRDefault="00482211" w:rsidP="00482211">
      <w:pPr>
        <w:pStyle w:val="JudgmentNumbered"/>
        <w:numPr>
          <w:ilvl w:val="0"/>
          <w:numId w:val="0"/>
        </w:numPr>
        <w:ind w:left="1134" w:hanging="567"/>
        <w:rPr>
          <w:rFonts w:ascii="Times New Roman" w:hAnsi="Times New Roman" w:cs="Times New Roman"/>
          <w:sz w:val="28"/>
          <w:szCs w:val="28"/>
        </w:rPr>
      </w:pPr>
      <w:r w:rsidRPr="00F17809">
        <w:rPr>
          <w:rFonts w:ascii="Times New Roman" w:hAnsi="Times New Roman" w:cs="Times New Roman"/>
          <w:sz w:val="28"/>
          <w:szCs w:val="24"/>
        </w:rPr>
        <w:t>b.</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the applicant shall deliver its amended notice of motion within five days of this order;</w:t>
      </w:r>
    </w:p>
    <w:p w14:paraId="6B4F51DD" w14:textId="66927EFD" w:rsidR="00A8746F" w:rsidRPr="00F17809" w:rsidRDefault="00482211" w:rsidP="00482211">
      <w:pPr>
        <w:pStyle w:val="JudgmentNumbered"/>
        <w:numPr>
          <w:ilvl w:val="0"/>
          <w:numId w:val="0"/>
        </w:numPr>
        <w:ind w:left="1134" w:hanging="567"/>
        <w:rPr>
          <w:rFonts w:ascii="Times New Roman" w:hAnsi="Times New Roman" w:cs="Times New Roman"/>
          <w:sz w:val="28"/>
          <w:szCs w:val="28"/>
        </w:rPr>
      </w:pPr>
      <w:r w:rsidRPr="00F17809">
        <w:rPr>
          <w:rFonts w:ascii="Times New Roman" w:hAnsi="Times New Roman" w:cs="Times New Roman"/>
          <w:sz w:val="28"/>
          <w:szCs w:val="24"/>
        </w:rPr>
        <w:t>c.</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the applicant is granted leave to deliver its supplementary affidavit dated 3 March 2022, simultaneously with its amended notice of motion</w:t>
      </w:r>
      <w:r w:rsidR="00672C0E">
        <w:rPr>
          <w:rFonts w:ascii="Times New Roman" w:hAnsi="Times New Roman" w:cs="Times New Roman"/>
          <w:sz w:val="28"/>
          <w:szCs w:val="28"/>
        </w:rPr>
        <w:t>;</w:t>
      </w:r>
    </w:p>
    <w:p w14:paraId="2C5DBDF8" w14:textId="48B86F4B" w:rsidR="00064CE7" w:rsidRPr="00F17809" w:rsidRDefault="00482211" w:rsidP="00482211">
      <w:pPr>
        <w:pStyle w:val="JudgmentNumbered"/>
        <w:numPr>
          <w:ilvl w:val="0"/>
          <w:numId w:val="0"/>
        </w:numPr>
        <w:ind w:left="1134" w:hanging="567"/>
        <w:rPr>
          <w:rFonts w:ascii="Times New Roman" w:hAnsi="Times New Roman" w:cs="Times New Roman"/>
        </w:rPr>
      </w:pPr>
      <w:r w:rsidRPr="00F17809">
        <w:rPr>
          <w:rFonts w:ascii="Times New Roman" w:hAnsi="Times New Roman" w:cs="Times New Roman"/>
          <w:sz w:val="28"/>
          <w:szCs w:val="24"/>
        </w:rPr>
        <w:t>d.</w:t>
      </w:r>
      <w:r w:rsidRPr="00F17809">
        <w:rPr>
          <w:rFonts w:ascii="Times New Roman" w:hAnsi="Times New Roman" w:cs="Times New Roman"/>
          <w:sz w:val="28"/>
          <w:szCs w:val="24"/>
        </w:rPr>
        <w:tab/>
      </w:r>
      <w:r w:rsidR="00064CE7" w:rsidRPr="00F17809">
        <w:rPr>
          <w:rFonts w:ascii="Times New Roman" w:hAnsi="Times New Roman" w:cs="Times New Roman"/>
          <w:sz w:val="28"/>
          <w:szCs w:val="28"/>
        </w:rPr>
        <w:t>the first and third respondents shall pay the costs of the application jointly and severally, the one paying and the other to be absolved</w:t>
      </w:r>
      <w:r w:rsidR="00AF481A">
        <w:rPr>
          <w:rFonts w:ascii="Times New Roman" w:hAnsi="Times New Roman" w:cs="Times New Roman"/>
        </w:rPr>
        <w:t>.</w:t>
      </w:r>
    </w:p>
    <w:p w14:paraId="234DA7C4" w14:textId="77777777" w:rsidR="00064CE7" w:rsidRPr="00064CE7" w:rsidRDefault="00064CE7" w:rsidP="00F17809">
      <w:pPr>
        <w:widowControl w:val="0"/>
        <w:autoSpaceDE w:val="0"/>
        <w:autoSpaceDN w:val="0"/>
        <w:spacing w:before="9" w:after="0" w:line="360" w:lineRule="auto"/>
        <w:rPr>
          <w:rFonts w:ascii="Times New Roman" w:eastAsia="Arial" w:hAnsi="Times New Roman" w:cs="Times New Roman"/>
          <w:color w:val="000000"/>
          <w:sz w:val="28"/>
          <w:szCs w:val="28"/>
          <w:lang w:val="en-US"/>
        </w:rPr>
      </w:pPr>
    </w:p>
    <w:p w14:paraId="2AA8E861" w14:textId="77777777" w:rsidR="00CC464E" w:rsidRPr="00064CE7" w:rsidRDefault="00CC464E" w:rsidP="00F17809">
      <w:pPr>
        <w:suppressAutoHyphens/>
        <w:spacing w:before="320" w:after="320" w:line="360" w:lineRule="auto"/>
        <w:jc w:val="both"/>
        <w:outlineLvl w:val="0"/>
        <w:rPr>
          <w:rFonts w:ascii="Times New Roman" w:eastAsia="Times New Roman" w:hAnsi="Times New Roman" w:cs="Times New Roman"/>
          <w:bCs/>
          <w:color w:val="FF0000"/>
          <w:sz w:val="28"/>
          <w:szCs w:val="28"/>
        </w:rPr>
      </w:pPr>
    </w:p>
    <w:p w14:paraId="2CE7ACA7" w14:textId="77777777" w:rsidR="00CC464E" w:rsidRPr="008A779E" w:rsidRDefault="00CC464E" w:rsidP="00F17809">
      <w:pPr>
        <w:suppressAutoHyphens/>
        <w:spacing w:before="320" w:after="320" w:line="360" w:lineRule="auto"/>
        <w:jc w:val="both"/>
        <w:outlineLvl w:val="0"/>
        <w:rPr>
          <w:rFonts w:ascii="Times New Roman" w:eastAsia="Times New Roman" w:hAnsi="Times New Roman" w:cs="Times New Roman"/>
          <w:bCs/>
          <w:sz w:val="28"/>
          <w:szCs w:val="28"/>
        </w:rPr>
      </w:pPr>
    </w:p>
    <w:p w14:paraId="71D7CC56" w14:textId="5190C777" w:rsidR="001901D2" w:rsidRPr="003E4C14" w:rsidRDefault="001901D2" w:rsidP="000E589B">
      <w:pPr>
        <w:pStyle w:val="JudgmentNumbered"/>
        <w:numPr>
          <w:ilvl w:val="0"/>
          <w:numId w:val="0"/>
        </w:numPr>
        <w:ind w:left="567" w:hanging="567"/>
      </w:pPr>
    </w:p>
    <w:p w14:paraId="10478455" w14:textId="77777777" w:rsidR="00F2507B" w:rsidRDefault="001901D2" w:rsidP="00F17809">
      <w:pPr>
        <w:spacing w:after="0" w:line="360" w:lineRule="auto"/>
        <w:ind w:hanging="567"/>
        <w:jc w:val="right"/>
        <w:rPr>
          <w:rFonts w:ascii="Times New Roman" w:hAnsi="Times New Roman" w:cs="Times New Roman"/>
          <w:sz w:val="28"/>
          <w:szCs w:val="28"/>
        </w:rPr>
      </w:pPr>
      <w:r w:rsidRPr="00261A8B">
        <w:rPr>
          <w:rFonts w:ascii="Times New Roman" w:hAnsi="Times New Roman" w:cs="Times New Roman"/>
          <w:sz w:val="28"/>
          <w:szCs w:val="28"/>
        </w:rPr>
        <w:t>_</w:t>
      </w:r>
    </w:p>
    <w:p w14:paraId="4C0B57CA" w14:textId="77777777" w:rsidR="00F2507B" w:rsidRDefault="00F2507B" w:rsidP="00F17809">
      <w:pPr>
        <w:spacing w:after="0" w:line="360" w:lineRule="auto"/>
        <w:ind w:hanging="567"/>
        <w:jc w:val="right"/>
        <w:rPr>
          <w:rFonts w:ascii="Times New Roman" w:hAnsi="Times New Roman" w:cs="Times New Roman"/>
          <w:sz w:val="28"/>
          <w:szCs w:val="28"/>
        </w:rPr>
      </w:pPr>
    </w:p>
    <w:p w14:paraId="5D0053F0" w14:textId="77777777" w:rsidR="00F2507B" w:rsidRDefault="00F2507B" w:rsidP="00F17809">
      <w:pPr>
        <w:spacing w:after="0" w:line="360" w:lineRule="auto"/>
        <w:ind w:hanging="567"/>
        <w:jc w:val="right"/>
        <w:rPr>
          <w:rFonts w:ascii="Times New Roman" w:hAnsi="Times New Roman" w:cs="Times New Roman"/>
          <w:sz w:val="28"/>
          <w:szCs w:val="28"/>
        </w:rPr>
      </w:pPr>
    </w:p>
    <w:p w14:paraId="7EC6FDA5" w14:textId="6A33B6FF" w:rsidR="001901D2" w:rsidRPr="00261A8B" w:rsidRDefault="001901D2" w:rsidP="00F17809">
      <w:pPr>
        <w:spacing w:after="0" w:line="360" w:lineRule="auto"/>
        <w:ind w:hanging="567"/>
        <w:jc w:val="right"/>
        <w:rPr>
          <w:rFonts w:ascii="Times New Roman" w:hAnsi="Times New Roman" w:cs="Times New Roman"/>
          <w:sz w:val="28"/>
          <w:szCs w:val="28"/>
        </w:rPr>
      </w:pPr>
      <w:r w:rsidRPr="00261A8B">
        <w:rPr>
          <w:rFonts w:ascii="Times New Roman" w:hAnsi="Times New Roman" w:cs="Times New Roman"/>
          <w:sz w:val="28"/>
          <w:szCs w:val="28"/>
        </w:rPr>
        <w:t>_________________________</w:t>
      </w:r>
    </w:p>
    <w:p w14:paraId="32FD8D44" w14:textId="77777777" w:rsidR="001901D2" w:rsidRPr="00261A8B" w:rsidRDefault="001901D2" w:rsidP="00F17809">
      <w:pPr>
        <w:spacing w:after="0" w:line="360" w:lineRule="auto"/>
        <w:ind w:hanging="567"/>
        <w:jc w:val="right"/>
        <w:rPr>
          <w:rFonts w:ascii="Times New Roman" w:hAnsi="Times New Roman" w:cs="Times New Roman"/>
          <w:b/>
          <w:sz w:val="28"/>
          <w:szCs w:val="28"/>
        </w:rPr>
      </w:pPr>
      <w:r w:rsidRPr="00261A8B">
        <w:rPr>
          <w:rFonts w:ascii="Times New Roman" w:hAnsi="Times New Roman" w:cs="Times New Roman"/>
          <w:b/>
          <w:sz w:val="28"/>
          <w:szCs w:val="28"/>
        </w:rPr>
        <w:t>ML SENYATSI</w:t>
      </w:r>
    </w:p>
    <w:p w14:paraId="442139F4" w14:textId="77777777" w:rsidR="001901D2" w:rsidRPr="00261A8B" w:rsidRDefault="001901D2" w:rsidP="00F17809">
      <w:pPr>
        <w:spacing w:after="0" w:line="360" w:lineRule="auto"/>
        <w:ind w:hanging="567"/>
        <w:jc w:val="right"/>
        <w:rPr>
          <w:rFonts w:ascii="Times New Roman" w:hAnsi="Times New Roman" w:cs="Times New Roman"/>
          <w:b/>
          <w:sz w:val="28"/>
          <w:szCs w:val="28"/>
        </w:rPr>
      </w:pPr>
      <w:r w:rsidRPr="00261A8B">
        <w:rPr>
          <w:rFonts w:ascii="Times New Roman" w:hAnsi="Times New Roman" w:cs="Times New Roman"/>
          <w:b/>
          <w:sz w:val="28"/>
          <w:szCs w:val="28"/>
        </w:rPr>
        <w:t>JUDGE OF THE HIGH COURT</w:t>
      </w:r>
    </w:p>
    <w:p w14:paraId="49B90DB9" w14:textId="77777777" w:rsidR="001901D2" w:rsidRPr="00261A8B" w:rsidRDefault="001901D2" w:rsidP="00F17809">
      <w:pPr>
        <w:spacing w:after="0" w:line="360" w:lineRule="auto"/>
        <w:ind w:hanging="567"/>
        <w:jc w:val="right"/>
        <w:rPr>
          <w:rFonts w:ascii="Times New Roman" w:hAnsi="Times New Roman" w:cs="Times New Roman"/>
          <w:b/>
          <w:sz w:val="28"/>
          <w:szCs w:val="28"/>
        </w:rPr>
      </w:pPr>
      <w:r w:rsidRPr="00261A8B">
        <w:rPr>
          <w:rFonts w:ascii="Times New Roman" w:hAnsi="Times New Roman" w:cs="Times New Roman"/>
          <w:b/>
          <w:sz w:val="28"/>
          <w:szCs w:val="28"/>
        </w:rPr>
        <w:t>GAUTENG DIVISION, JOHANNESBURG</w:t>
      </w:r>
    </w:p>
    <w:p w14:paraId="60F16B4A" w14:textId="77777777" w:rsidR="00186CE9" w:rsidRPr="00261A8B" w:rsidRDefault="00186CE9" w:rsidP="00F17809">
      <w:pPr>
        <w:spacing w:after="0" w:line="360" w:lineRule="auto"/>
        <w:rPr>
          <w:rFonts w:ascii="Times New Roman" w:hAnsi="Times New Roman" w:cs="Times New Roman"/>
          <w:sz w:val="28"/>
          <w:szCs w:val="28"/>
        </w:rPr>
      </w:pPr>
    </w:p>
    <w:p w14:paraId="2ACA7D0D" w14:textId="532EB21B" w:rsidR="001901D2" w:rsidRPr="00261A8B" w:rsidRDefault="001901D2" w:rsidP="00F17809">
      <w:pPr>
        <w:suppressAutoHyphens/>
        <w:spacing w:before="120" w:after="120" w:line="360" w:lineRule="auto"/>
        <w:rPr>
          <w:rFonts w:ascii="Times New Roman" w:eastAsia="Arial Unicode MS" w:hAnsi="Times New Roman" w:cs="Times New Roman"/>
          <w:bCs/>
          <w:sz w:val="28"/>
          <w:szCs w:val="28"/>
        </w:rPr>
      </w:pPr>
      <w:r w:rsidRPr="00261A8B">
        <w:rPr>
          <w:rFonts w:ascii="Times New Roman" w:eastAsia="Arial Unicode MS" w:hAnsi="Times New Roman" w:cs="Times New Roman"/>
          <w:bCs/>
          <w:sz w:val="28"/>
          <w:szCs w:val="28"/>
        </w:rPr>
        <w:t>Delivered: This Judgment was handed down electronically by circulation to the parties/ their legal representatives by email and by uploading to the electronic file on Case Lines. The date for hand-down is deemed to be</w:t>
      </w:r>
      <w:r w:rsidR="00F2507B">
        <w:rPr>
          <w:rFonts w:ascii="Times New Roman" w:eastAsia="Arial Unicode MS" w:hAnsi="Times New Roman" w:cs="Times New Roman"/>
          <w:bCs/>
          <w:sz w:val="28"/>
          <w:szCs w:val="28"/>
        </w:rPr>
        <w:t xml:space="preserve"> 08</w:t>
      </w:r>
      <w:r>
        <w:rPr>
          <w:rFonts w:ascii="Times New Roman" w:eastAsia="Arial Unicode MS" w:hAnsi="Times New Roman" w:cs="Times New Roman"/>
          <w:bCs/>
          <w:sz w:val="28"/>
          <w:szCs w:val="28"/>
        </w:rPr>
        <w:t xml:space="preserve"> </w:t>
      </w:r>
      <w:r w:rsidR="00186CE9">
        <w:rPr>
          <w:rFonts w:ascii="Times New Roman" w:eastAsia="Arial Unicode MS" w:hAnsi="Times New Roman" w:cs="Times New Roman"/>
          <w:bCs/>
          <w:sz w:val="28"/>
          <w:szCs w:val="28"/>
        </w:rPr>
        <w:t>May</w:t>
      </w:r>
      <w:r w:rsidRPr="00261A8B">
        <w:rPr>
          <w:rFonts w:ascii="Times New Roman" w:eastAsia="Arial Unicode MS" w:hAnsi="Times New Roman" w:cs="Times New Roman"/>
          <w:bCs/>
          <w:sz w:val="28"/>
          <w:szCs w:val="28"/>
        </w:rPr>
        <w:t xml:space="preserve"> 2024.</w:t>
      </w:r>
    </w:p>
    <w:p w14:paraId="352C26A7" w14:textId="77777777" w:rsidR="001901D2" w:rsidRPr="00261A8B" w:rsidRDefault="001901D2" w:rsidP="00F17809">
      <w:pPr>
        <w:keepNext/>
        <w:widowControl w:val="0"/>
        <w:spacing w:before="240" w:after="120" w:line="360" w:lineRule="auto"/>
        <w:rPr>
          <w:rFonts w:ascii="Times New Roman" w:eastAsia="Times New Roman" w:hAnsi="Times New Roman" w:cs="Times New Roman"/>
          <w:sz w:val="28"/>
          <w:szCs w:val="28"/>
          <w:u w:val="single"/>
          <w:lang w:eastAsia="en-ZA"/>
        </w:rPr>
      </w:pPr>
      <w:r w:rsidRPr="00261A8B">
        <w:rPr>
          <w:rFonts w:ascii="Times New Roman" w:eastAsia="Times New Roman" w:hAnsi="Times New Roman" w:cs="Times New Roman"/>
          <w:sz w:val="28"/>
          <w:szCs w:val="28"/>
          <w:u w:val="single"/>
          <w:lang w:eastAsia="en-ZA"/>
        </w:rPr>
        <w:t>Appearances:</w:t>
      </w:r>
    </w:p>
    <w:p w14:paraId="79D3A0B8" w14:textId="2143FF3C" w:rsidR="001901D2" w:rsidRDefault="001901D2" w:rsidP="00F17809">
      <w:pPr>
        <w:keepNext/>
        <w:widowControl w:val="0"/>
        <w:tabs>
          <w:tab w:val="left" w:pos="3686"/>
        </w:tabs>
        <w:spacing w:before="240" w:after="120" w:line="360" w:lineRule="auto"/>
        <w:ind w:left="3686" w:hanging="3686"/>
        <w:rPr>
          <w:rFonts w:ascii="Times New Roman" w:eastAsia="Times New Roman" w:hAnsi="Times New Roman" w:cs="Times New Roman"/>
          <w:sz w:val="28"/>
          <w:szCs w:val="28"/>
          <w:lang w:eastAsia="en-ZA"/>
        </w:rPr>
      </w:pPr>
      <w:r w:rsidRPr="00261A8B">
        <w:rPr>
          <w:rFonts w:ascii="Times New Roman" w:eastAsia="Times New Roman" w:hAnsi="Times New Roman" w:cs="Times New Roman"/>
          <w:sz w:val="28"/>
          <w:szCs w:val="28"/>
          <w:lang w:eastAsia="en-ZA"/>
        </w:rPr>
        <w:t xml:space="preserve">For the applicant: Adv </w:t>
      </w:r>
      <w:r w:rsidR="00186CE9">
        <w:rPr>
          <w:rFonts w:ascii="Times New Roman" w:eastAsia="Times New Roman" w:hAnsi="Times New Roman" w:cs="Times New Roman"/>
          <w:sz w:val="28"/>
          <w:szCs w:val="28"/>
          <w:lang w:eastAsia="en-ZA"/>
        </w:rPr>
        <w:t>J Blou</w:t>
      </w:r>
    </w:p>
    <w:p w14:paraId="47903BA8" w14:textId="67A7F8F7" w:rsidR="00186CE9" w:rsidRPr="00261A8B" w:rsidRDefault="00186CE9" w:rsidP="00F17809">
      <w:pPr>
        <w:keepNext/>
        <w:widowControl w:val="0"/>
        <w:tabs>
          <w:tab w:val="left" w:pos="3686"/>
        </w:tabs>
        <w:spacing w:before="240" w:after="120" w:line="360" w:lineRule="auto"/>
        <w:ind w:left="3686" w:hanging="3686"/>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 xml:space="preserve">                               Adv A Friedman</w:t>
      </w:r>
    </w:p>
    <w:p w14:paraId="46C99AB2" w14:textId="3B406B47" w:rsidR="001901D2" w:rsidRPr="00261A8B" w:rsidRDefault="001901D2" w:rsidP="00F17809">
      <w:pPr>
        <w:keepNext/>
        <w:widowControl w:val="0"/>
        <w:tabs>
          <w:tab w:val="left" w:pos="3686"/>
        </w:tabs>
        <w:spacing w:before="240" w:after="120" w:line="360" w:lineRule="auto"/>
        <w:ind w:left="3686" w:hanging="3686"/>
        <w:rPr>
          <w:rFonts w:ascii="Times New Roman" w:eastAsia="Times New Roman" w:hAnsi="Times New Roman" w:cs="Times New Roman"/>
          <w:sz w:val="28"/>
          <w:szCs w:val="28"/>
          <w:lang w:eastAsia="en-ZA"/>
        </w:rPr>
      </w:pPr>
      <w:r w:rsidRPr="00261A8B">
        <w:rPr>
          <w:rFonts w:ascii="Times New Roman" w:eastAsia="Times New Roman" w:hAnsi="Times New Roman" w:cs="Times New Roman"/>
          <w:sz w:val="28"/>
          <w:szCs w:val="28"/>
          <w:lang w:eastAsia="en-ZA"/>
        </w:rPr>
        <w:t xml:space="preserve">Instructed by </w:t>
      </w:r>
      <w:r w:rsidR="00186CE9">
        <w:rPr>
          <w:rFonts w:ascii="Times New Roman" w:eastAsia="Times New Roman" w:hAnsi="Times New Roman" w:cs="Times New Roman"/>
          <w:sz w:val="28"/>
          <w:szCs w:val="28"/>
          <w:lang w:eastAsia="en-ZA"/>
        </w:rPr>
        <w:t>Cliffe Dekker Hofmeyer Inc</w:t>
      </w:r>
    </w:p>
    <w:p w14:paraId="3F406F36" w14:textId="77777777" w:rsidR="001901D2" w:rsidRDefault="001901D2" w:rsidP="00F17809">
      <w:pPr>
        <w:tabs>
          <w:tab w:val="left" w:pos="3686"/>
        </w:tabs>
        <w:spacing w:after="120" w:line="360" w:lineRule="auto"/>
        <w:ind w:left="3686" w:hanging="3686"/>
        <w:rPr>
          <w:rFonts w:ascii="Times New Roman" w:eastAsia="Times New Roman" w:hAnsi="Times New Roman" w:cs="Times New Roman"/>
          <w:sz w:val="28"/>
          <w:szCs w:val="28"/>
          <w:lang w:eastAsia="en-ZA"/>
        </w:rPr>
      </w:pPr>
    </w:p>
    <w:p w14:paraId="25F74E93" w14:textId="474E4899" w:rsidR="001901D2" w:rsidRDefault="001901D2" w:rsidP="00F17809">
      <w:pPr>
        <w:tabs>
          <w:tab w:val="left" w:pos="3686"/>
        </w:tabs>
        <w:spacing w:after="120" w:line="360" w:lineRule="auto"/>
        <w:ind w:left="3686" w:hanging="3686"/>
        <w:rPr>
          <w:rFonts w:ascii="Times New Roman" w:eastAsia="Times New Roman" w:hAnsi="Times New Roman" w:cs="Times New Roman"/>
          <w:sz w:val="28"/>
          <w:szCs w:val="28"/>
          <w:lang w:eastAsia="en-ZA"/>
        </w:rPr>
      </w:pPr>
      <w:r w:rsidRPr="00261A8B">
        <w:rPr>
          <w:rFonts w:ascii="Times New Roman" w:eastAsia="Times New Roman" w:hAnsi="Times New Roman" w:cs="Times New Roman"/>
          <w:sz w:val="28"/>
          <w:szCs w:val="28"/>
          <w:lang w:eastAsia="en-ZA"/>
        </w:rPr>
        <w:t xml:space="preserve">For the </w:t>
      </w:r>
      <w:r w:rsidR="00F2507B">
        <w:rPr>
          <w:rFonts w:ascii="Times New Roman" w:eastAsia="Times New Roman" w:hAnsi="Times New Roman" w:cs="Times New Roman"/>
          <w:sz w:val="28"/>
          <w:szCs w:val="28"/>
          <w:lang w:eastAsia="en-ZA"/>
        </w:rPr>
        <w:t xml:space="preserve">First and Third </w:t>
      </w:r>
      <w:r w:rsidRPr="00261A8B">
        <w:rPr>
          <w:rFonts w:ascii="Times New Roman" w:eastAsia="Times New Roman" w:hAnsi="Times New Roman" w:cs="Times New Roman"/>
          <w:sz w:val="28"/>
          <w:szCs w:val="28"/>
          <w:lang w:eastAsia="en-ZA"/>
        </w:rPr>
        <w:t>respondent</w:t>
      </w:r>
      <w:r w:rsidR="00F2507B">
        <w:rPr>
          <w:rFonts w:ascii="Times New Roman" w:eastAsia="Times New Roman" w:hAnsi="Times New Roman" w:cs="Times New Roman"/>
          <w:sz w:val="28"/>
          <w:szCs w:val="28"/>
          <w:lang w:eastAsia="en-ZA"/>
        </w:rPr>
        <w:t>s</w:t>
      </w:r>
      <w:r w:rsidRPr="00261A8B">
        <w:rPr>
          <w:rFonts w:ascii="Times New Roman" w:eastAsia="Times New Roman" w:hAnsi="Times New Roman" w:cs="Times New Roman"/>
          <w:sz w:val="28"/>
          <w:szCs w:val="28"/>
          <w:lang w:eastAsia="en-ZA"/>
        </w:rPr>
        <w:t>: Adv</w:t>
      </w:r>
      <w:r w:rsidR="00186CE9">
        <w:rPr>
          <w:rFonts w:ascii="Times New Roman" w:eastAsia="Times New Roman" w:hAnsi="Times New Roman" w:cs="Times New Roman"/>
          <w:sz w:val="28"/>
          <w:szCs w:val="28"/>
          <w:lang w:eastAsia="en-ZA"/>
        </w:rPr>
        <w:t xml:space="preserve"> AE Bham SC</w:t>
      </w:r>
    </w:p>
    <w:p w14:paraId="1C1F411C" w14:textId="12A33606" w:rsidR="00186CE9" w:rsidRDefault="00186CE9" w:rsidP="00F17809">
      <w:pPr>
        <w:tabs>
          <w:tab w:val="left" w:pos="3686"/>
        </w:tabs>
        <w:spacing w:after="120" w:line="360" w:lineRule="auto"/>
        <w:ind w:left="3686" w:hanging="3686"/>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 xml:space="preserve">                                Adv T Scott</w:t>
      </w:r>
    </w:p>
    <w:p w14:paraId="62569118" w14:textId="31008586" w:rsidR="00186CE9" w:rsidRPr="00261A8B" w:rsidRDefault="00186CE9" w:rsidP="00F17809">
      <w:pPr>
        <w:tabs>
          <w:tab w:val="left" w:pos="3686"/>
        </w:tabs>
        <w:spacing w:after="120" w:line="360" w:lineRule="auto"/>
        <w:ind w:left="3686" w:hanging="3686"/>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 xml:space="preserve">                                Adv T Pooe</w:t>
      </w:r>
    </w:p>
    <w:p w14:paraId="35F084FA" w14:textId="5E969DC0" w:rsidR="001901D2" w:rsidRDefault="001901D2" w:rsidP="00F2507B">
      <w:pPr>
        <w:tabs>
          <w:tab w:val="left" w:pos="3686"/>
        </w:tabs>
        <w:spacing w:after="120" w:line="360" w:lineRule="auto"/>
        <w:ind w:left="3686" w:hanging="3686"/>
        <w:rPr>
          <w:rFonts w:ascii="Times New Roman" w:hAnsi="Times New Roman" w:cs="Times New Roman"/>
          <w:sz w:val="28"/>
          <w:szCs w:val="28"/>
          <w:lang w:eastAsia="en-ZA"/>
        </w:rPr>
      </w:pPr>
      <w:r w:rsidRPr="00261A8B">
        <w:rPr>
          <w:rFonts w:ascii="Times New Roman" w:hAnsi="Times New Roman" w:cs="Times New Roman"/>
          <w:sz w:val="28"/>
          <w:szCs w:val="28"/>
          <w:lang w:eastAsia="en-ZA"/>
        </w:rPr>
        <w:t xml:space="preserve">Instructed by </w:t>
      </w:r>
      <w:r w:rsidR="00186CE9">
        <w:rPr>
          <w:rFonts w:ascii="Times New Roman" w:hAnsi="Times New Roman" w:cs="Times New Roman"/>
          <w:sz w:val="28"/>
          <w:szCs w:val="28"/>
          <w:lang w:eastAsia="en-ZA"/>
        </w:rPr>
        <w:t>Werksmans Attorneys</w:t>
      </w:r>
    </w:p>
    <w:p w14:paraId="7BBA1DEA" w14:textId="77777777" w:rsidR="00F2507B" w:rsidRPr="00261A8B" w:rsidRDefault="00F2507B" w:rsidP="00F2507B">
      <w:pPr>
        <w:tabs>
          <w:tab w:val="left" w:pos="3686"/>
        </w:tabs>
        <w:spacing w:after="120" w:line="360" w:lineRule="auto"/>
        <w:ind w:left="3686" w:hanging="3686"/>
        <w:rPr>
          <w:rFonts w:ascii="Times New Roman" w:hAnsi="Times New Roman" w:cs="Times New Roman"/>
          <w:sz w:val="28"/>
          <w:szCs w:val="28"/>
          <w:lang w:eastAsia="en-ZA"/>
        </w:rPr>
      </w:pPr>
    </w:p>
    <w:p w14:paraId="5BAFD808" w14:textId="151D484E" w:rsidR="001901D2" w:rsidRPr="00261A8B" w:rsidRDefault="001901D2" w:rsidP="00F17809">
      <w:pPr>
        <w:spacing w:after="0" w:line="360" w:lineRule="auto"/>
        <w:rPr>
          <w:rFonts w:ascii="Times New Roman" w:eastAsia="Times New Roman" w:hAnsi="Times New Roman" w:cs="Times New Roman"/>
          <w:sz w:val="28"/>
          <w:szCs w:val="28"/>
          <w:lang w:eastAsia="en-GB"/>
        </w:rPr>
      </w:pPr>
      <w:r w:rsidRPr="00261A8B">
        <w:rPr>
          <w:rFonts w:ascii="Times New Roman" w:eastAsia="Times New Roman" w:hAnsi="Times New Roman" w:cs="Times New Roman"/>
          <w:sz w:val="28"/>
          <w:szCs w:val="28"/>
          <w:lang w:eastAsia="en-GB"/>
        </w:rPr>
        <w:t>Date of Hearing</w:t>
      </w:r>
      <w:r w:rsidR="00186CE9">
        <w:rPr>
          <w:rFonts w:ascii="Times New Roman" w:eastAsia="Times New Roman" w:hAnsi="Times New Roman" w:cs="Times New Roman"/>
          <w:sz w:val="28"/>
          <w:szCs w:val="28"/>
          <w:lang w:eastAsia="en-GB"/>
        </w:rPr>
        <w:t>: 10 November</w:t>
      </w:r>
      <w:r w:rsidRPr="00261A8B">
        <w:rPr>
          <w:rFonts w:ascii="Times New Roman" w:eastAsia="Times New Roman" w:hAnsi="Times New Roman" w:cs="Times New Roman"/>
          <w:sz w:val="28"/>
          <w:szCs w:val="28"/>
          <w:lang w:eastAsia="en-GB"/>
        </w:rPr>
        <w:t xml:space="preserve"> 2023</w:t>
      </w:r>
    </w:p>
    <w:p w14:paraId="03FF89B2" w14:textId="366BBF4C" w:rsidR="001901D2" w:rsidRPr="00261A8B" w:rsidRDefault="001901D2" w:rsidP="00F17809">
      <w:pPr>
        <w:spacing w:after="0" w:line="360" w:lineRule="auto"/>
        <w:rPr>
          <w:rFonts w:ascii="Times New Roman" w:eastAsia="Times New Roman" w:hAnsi="Times New Roman" w:cs="Times New Roman"/>
          <w:sz w:val="28"/>
          <w:szCs w:val="28"/>
          <w:lang w:eastAsia="en-GB"/>
        </w:rPr>
        <w:sectPr w:rsidR="001901D2" w:rsidRPr="00261A8B" w:rsidSect="00E8621D">
          <w:footerReference w:type="default" r:id="rId13"/>
          <w:pgSz w:w="11906" w:h="16838"/>
          <w:pgMar w:top="1440" w:right="1440" w:bottom="1440" w:left="1440" w:header="708" w:footer="708" w:gutter="0"/>
          <w:cols w:space="708"/>
          <w:titlePg/>
          <w:docGrid w:linePitch="360"/>
        </w:sectPr>
      </w:pPr>
      <w:r w:rsidRPr="00261A8B">
        <w:rPr>
          <w:rFonts w:ascii="Times New Roman" w:eastAsia="Times New Roman" w:hAnsi="Times New Roman" w:cs="Times New Roman"/>
          <w:sz w:val="28"/>
          <w:szCs w:val="28"/>
          <w:lang w:eastAsia="en-GB"/>
        </w:rPr>
        <w:t>Date of Judgment:</w:t>
      </w:r>
      <w:r w:rsidR="00F2507B">
        <w:rPr>
          <w:rFonts w:ascii="Times New Roman" w:eastAsia="Times New Roman" w:hAnsi="Times New Roman" w:cs="Times New Roman"/>
          <w:sz w:val="28"/>
          <w:szCs w:val="28"/>
          <w:lang w:eastAsia="en-GB"/>
        </w:rPr>
        <w:t xml:space="preserve"> 08</w:t>
      </w:r>
      <w:r w:rsidRPr="00261A8B">
        <w:rPr>
          <w:rFonts w:ascii="Times New Roman" w:eastAsia="Times New Roman" w:hAnsi="Times New Roman" w:cs="Times New Roman"/>
          <w:sz w:val="28"/>
          <w:szCs w:val="28"/>
          <w:lang w:eastAsia="en-GB"/>
        </w:rPr>
        <w:t xml:space="preserve">  </w:t>
      </w:r>
      <w:r w:rsidR="00186CE9">
        <w:rPr>
          <w:rFonts w:ascii="Times New Roman" w:eastAsia="Times New Roman" w:hAnsi="Times New Roman" w:cs="Times New Roman"/>
          <w:sz w:val="28"/>
          <w:szCs w:val="28"/>
          <w:lang w:eastAsia="en-GB"/>
        </w:rPr>
        <w:t>May</w:t>
      </w:r>
      <w:r w:rsidRPr="00261A8B">
        <w:rPr>
          <w:rFonts w:ascii="Times New Roman" w:eastAsia="Times New Roman" w:hAnsi="Times New Roman" w:cs="Times New Roman"/>
          <w:sz w:val="28"/>
          <w:szCs w:val="28"/>
          <w:lang w:eastAsia="en-GB"/>
        </w:rPr>
        <w:t xml:space="preserve"> 2024</w:t>
      </w:r>
    </w:p>
    <w:p w14:paraId="7D521C85" w14:textId="77777777" w:rsidR="001901D2" w:rsidRPr="00261A8B" w:rsidRDefault="001901D2" w:rsidP="000E589B">
      <w:pPr>
        <w:pStyle w:val="JudgmentNumbered"/>
        <w:numPr>
          <w:ilvl w:val="0"/>
          <w:numId w:val="0"/>
        </w:numPr>
        <w:spacing w:after="0"/>
        <w:rPr>
          <w:rFonts w:ascii="Times New Roman" w:hAnsi="Times New Roman" w:cs="Times New Roman"/>
          <w:b/>
          <w:sz w:val="28"/>
          <w:szCs w:val="28"/>
        </w:rPr>
        <w:sectPr w:rsidR="001901D2" w:rsidRPr="00261A8B" w:rsidSect="00E8621D">
          <w:type w:val="continuous"/>
          <w:pgSz w:w="11906" w:h="16838"/>
          <w:pgMar w:top="1440" w:right="1440" w:bottom="1440" w:left="1440" w:header="708" w:footer="708" w:gutter="0"/>
          <w:cols w:space="708"/>
          <w:docGrid w:linePitch="360"/>
        </w:sectPr>
      </w:pPr>
    </w:p>
    <w:p w14:paraId="68ECC763" w14:textId="77777777" w:rsidR="00445DE0" w:rsidRPr="008A779E" w:rsidRDefault="00445DE0" w:rsidP="00F17809">
      <w:pPr>
        <w:spacing w:line="360" w:lineRule="auto"/>
        <w:rPr>
          <w:rFonts w:ascii="Times New Roman" w:hAnsi="Times New Roman" w:cs="Times New Roman"/>
          <w:sz w:val="28"/>
          <w:szCs w:val="28"/>
        </w:rPr>
      </w:pPr>
    </w:p>
    <w:sectPr w:rsidR="00445DE0" w:rsidRPr="008A779E">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957FA" w14:textId="77777777" w:rsidR="00D07C63" w:rsidRDefault="00D07C63" w:rsidP="00CC464E">
      <w:pPr>
        <w:spacing w:after="0" w:line="240" w:lineRule="auto"/>
      </w:pPr>
      <w:r>
        <w:separator/>
      </w:r>
    </w:p>
  </w:endnote>
  <w:endnote w:type="continuationSeparator" w:id="0">
    <w:p w14:paraId="7B2F3FAA" w14:textId="77777777" w:rsidR="00D07C63" w:rsidRDefault="00D07C63"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618750"/>
      <w:docPartObj>
        <w:docPartGallery w:val="Page Numbers (Bottom of Page)"/>
        <w:docPartUnique/>
      </w:docPartObj>
    </w:sdtPr>
    <w:sdtEndPr>
      <w:rPr>
        <w:noProof/>
      </w:rPr>
    </w:sdtEndPr>
    <w:sdtContent>
      <w:p w14:paraId="521D169F" w14:textId="470AAA57" w:rsidR="001901D2" w:rsidRDefault="001901D2" w:rsidP="00E469E1">
        <w:pPr>
          <w:pStyle w:val="Footer"/>
          <w:jc w:val="right"/>
        </w:pPr>
        <w:r>
          <w:fldChar w:fldCharType="begin"/>
        </w:r>
        <w:r>
          <w:instrText xml:space="preserve"> PAGE   \* MERGEFORMAT </w:instrText>
        </w:r>
        <w:r>
          <w:fldChar w:fldCharType="separate"/>
        </w:r>
        <w:r w:rsidR="0084739D">
          <w:rPr>
            <w:noProof/>
          </w:rPr>
          <w:t>17</w:t>
        </w:r>
        <w:r>
          <w:rPr>
            <w:noProof/>
          </w:rPr>
          <w:fldChar w:fldCharType="end"/>
        </w:r>
      </w:p>
    </w:sdtContent>
  </w:sdt>
  <w:p w14:paraId="40F9B8CA" w14:textId="77777777" w:rsidR="001901D2" w:rsidRDefault="0019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30DE5" w14:textId="77777777" w:rsidR="00D07C63" w:rsidRDefault="00D07C63" w:rsidP="00CC464E">
      <w:pPr>
        <w:spacing w:after="0" w:line="240" w:lineRule="auto"/>
      </w:pPr>
      <w:r>
        <w:separator/>
      </w:r>
    </w:p>
  </w:footnote>
  <w:footnote w:type="continuationSeparator" w:id="0">
    <w:p w14:paraId="44436794" w14:textId="77777777" w:rsidR="00D07C63" w:rsidRDefault="00D07C63" w:rsidP="00CC464E">
      <w:pPr>
        <w:spacing w:after="0" w:line="240" w:lineRule="auto"/>
      </w:pPr>
      <w:r>
        <w:continuationSeparator/>
      </w:r>
    </w:p>
  </w:footnote>
  <w:footnote w:id="1">
    <w:p w14:paraId="5ED43D12" w14:textId="7657028E" w:rsidR="00064CE7" w:rsidRPr="00F17809" w:rsidRDefault="00064CE7" w:rsidP="00F17809">
      <w:pPr>
        <w:pStyle w:val="NoSpacing"/>
        <w:rPr>
          <w:rFonts w:ascii="Times New Roman" w:hAnsi="Times New Roman" w:cs="Times New Roman"/>
          <w:sz w:val="24"/>
          <w:szCs w:val="24"/>
        </w:rPr>
      </w:pPr>
      <w:r w:rsidRPr="00F17809">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Pr="00F17809">
        <w:rPr>
          <w:rFonts w:ascii="Times New Roman" w:hAnsi="Times New Roman" w:cs="Times New Roman"/>
          <w:bCs/>
          <w:i/>
          <w:iCs/>
          <w:sz w:val="24"/>
          <w:szCs w:val="24"/>
        </w:rPr>
        <w:t xml:space="preserve">PKX Capital (Pty) Ltd v Isago At N12 Development (Pty) </w:t>
      </w:r>
      <w:r w:rsidR="008E6A33" w:rsidRPr="00F17809">
        <w:rPr>
          <w:rFonts w:ascii="Times New Roman" w:hAnsi="Times New Roman" w:cs="Times New Roman"/>
          <w:bCs/>
          <w:i/>
          <w:iCs/>
          <w:sz w:val="24"/>
          <w:szCs w:val="24"/>
        </w:rPr>
        <w:t>Ltd</w:t>
      </w:r>
      <w:r w:rsidR="008E6A33" w:rsidRPr="008E6A33">
        <w:rPr>
          <w:rFonts w:ascii="Times New Roman" w:hAnsi="Times New Roman" w:cs="Times New Roman"/>
          <w:bCs/>
          <w:sz w:val="24"/>
          <w:szCs w:val="24"/>
        </w:rPr>
        <w:t xml:space="preserve"> </w:t>
      </w:r>
      <w:r w:rsidRPr="00F17809">
        <w:rPr>
          <w:rFonts w:ascii="Times New Roman" w:hAnsi="Times New Roman" w:cs="Times New Roman"/>
          <w:sz w:val="24"/>
          <w:szCs w:val="24"/>
          <w:lang w:eastAsia="en-ZA"/>
        </w:rPr>
        <w:t>[2023] ZAGPPHC 646 (7 August 2023) at para 23</w:t>
      </w:r>
      <w:r w:rsidR="008E6A33">
        <w:rPr>
          <w:rFonts w:ascii="Times New Roman" w:hAnsi="Times New Roman" w:cs="Times New Roman"/>
          <w:sz w:val="24"/>
          <w:szCs w:val="24"/>
          <w:lang w:eastAsia="en-ZA"/>
        </w:rPr>
        <w:t>.</w:t>
      </w:r>
    </w:p>
  </w:footnote>
  <w:footnote w:id="2">
    <w:p w14:paraId="0F37B648" w14:textId="2C9AF10A" w:rsidR="00064CE7" w:rsidRPr="00F17809" w:rsidRDefault="00064CE7" w:rsidP="00F17809">
      <w:pPr>
        <w:pStyle w:val="NoSpacing"/>
        <w:rPr>
          <w:rFonts w:ascii="Times New Roman" w:hAnsi="Times New Roman" w:cs="Times New Roman"/>
          <w:sz w:val="24"/>
          <w:szCs w:val="24"/>
        </w:rPr>
      </w:pPr>
      <w:r w:rsidRPr="008E6A33">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Pr="00F17809">
        <w:rPr>
          <w:rFonts w:ascii="Times New Roman" w:hAnsi="Times New Roman" w:cs="Times New Roman"/>
          <w:i/>
          <w:iCs/>
          <w:sz w:val="24"/>
          <w:szCs w:val="24"/>
        </w:rPr>
        <w:t>Imperial Bank Ltd v Barnard and others NNO</w:t>
      </w:r>
      <w:r w:rsidRPr="00F17809">
        <w:rPr>
          <w:rFonts w:ascii="Times New Roman" w:hAnsi="Times New Roman" w:cs="Times New Roman"/>
          <w:sz w:val="24"/>
          <w:szCs w:val="24"/>
        </w:rPr>
        <w:t xml:space="preserve"> 2013 (5) SA 612 (SCA) at para 8</w:t>
      </w:r>
      <w:r w:rsidR="008E6A33">
        <w:rPr>
          <w:rFonts w:ascii="Times New Roman" w:hAnsi="Times New Roman" w:cs="Times New Roman"/>
          <w:sz w:val="24"/>
          <w:szCs w:val="24"/>
        </w:rPr>
        <w:t>.</w:t>
      </w:r>
      <w:r w:rsidRPr="00F17809">
        <w:rPr>
          <w:rFonts w:ascii="Times New Roman" w:hAnsi="Times New Roman" w:cs="Times New Roman"/>
          <w:sz w:val="24"/>
          <w:szCs w:val="24"/>
        </w:rPr>
        <w:t xml:space="preserve"> </w:t>
      </w:r>
    </w:p>
  </w:footnote>
  <w:footnote w:id="3">
    <w:p w14:paraId="67589A5B" w14:textId="77777777" w:rsidR="00064CE7" w:rsidRPr="00F17809" w:rsidRDefault="00064CE7" w:rsidP="00F17809">
      <w:pPr>
        <w:pStyle w:val="NoSpacing"/>
        <w:rPr>
          <w:rFonts w:ascii="Times New Roman" w:hAnsi="Times New Roman" w:cs="Times New Roman"/>
          <w:sz w:val="24"/>
          <w:szCs w:val="24"/>
        </w:rPr>
      </w:pPr>
      <w:r w:rsidRPr="00F17809">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1967 (3) SA 632 (D) at 640H-641C.</w:t>
      </w:r>
    </w:p>
  </w:footnote>
  <w:footnote w:id="4">
    <w:p w14:paraId="4D2689B9" w14:textId="77777777" w:rsidR="00064CE7" w:rsidRDefault="00064CE7" w:rsidP="00F17809">
      <w:pPr>
        <w:pStyle w:val="NoSpacing"/>
      </w:pPr>
      <w:r w:rsidRPr="00F17809">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hyperlink r:id="rId1" w:tgtFrame="main" w:history="1">
        <w:r w:rsidRPr="00F17809">
          <w:rPr>
            <w:rStyle w:val="Hyperlink"/>
            <w:rFonts w:ascii="Times New Roman" w:hAnsi="Times New Roman" w:cs="Times New Roman"/>
            <w:color w:val="000000" w:themeColor="text1"/>
            <w:sz w:val="24"/>
            <w:szCs w:val="24"/>
            <w:u w:val="none"/>
          </w:rPr>
          <w:t>1995 (2) SA 73 (Tk)</w:t>
        </w:r>
      </w:hyperlink>
      <w:r w:rsidRPr="00F17809">
        <w:rPr>
          <w:rFonts w:ascii="Times New Roman" w:hAnsi="Times New Roman" w:cs="Times New Roman"/>
          <w:sz w:val="24"/>
          <w:szCs w:val="24"/>
        </w:rPr>
        <w:t> at 77F-I.</w:t>
      </w:r>
    </w:p>
  </w:footnote>
  <w:footnote w:id="5">
    <w:p w14:paraId="5A7E50ED" w14:textId="77777777" w:rsidR="00064CE7" w:rsidRPr="00F17809" w:rsidRDefault="00064CE7" w:rsidP="00F17809">
      <w:pPr>
        <w:pStyle w:val="NoSpacing"/>
        <w:rPr>
          <w:rFonts w:ascii="Times New Roman" w:hAnsi="Times New Roman" w:cs="Times New Roman"/>
          <w:sz w:val="24"/>
          <w:szCs w:val="24"/>
        </w:rPr>
      </w:pPr>
      <w:r w:rsidRPr="005E36E7">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Pr="00F17809">
        <w:rPr>
          <w:rFonts w:ascii="Times New Roman" w:hAnsi="Times New Roman" w:cs="Times New Roman"/>
          <w:i/>
          <w:iCs/>
          <w:sz w:val="24"/>
          <w:szCs w:val="24"/>
        </w:rPr>
        <w:t>Caxton Ltd and others v Reeva Forman (Pty) Ltd and another</w:t>
      </w:r>
      <w:r w:rsidRPr="00F17809">
        <w:rPr>
          <w:rFonts w:ascii="Times New Roman" w:hAnsi="Times New Roman" w:cs="Times New Roman"/>
          <w:sz w:val="24"/>
          <w:szCs w:val="24"/>
        </w:rPr>
        <w:t xml:space="preserve"> 1990 (3) SA 547 (A) at 565G and </w:t>
      </w:r>
      <w:r w:rsidRPr="00F17809">
        <w:rPr>
          <w:rFonts w:ascii="Times New Roman" w:hAnsi="Times New Roman" w:cs="Times New Roman"/>
          <w:i/>
          <w:iCs/>
          <w:sz w:val="24"/>
          <w:szCs w:val="24"/>
        </w:rPr>
        <w:t>Benjamin v Sobac South African Building and Construction (Pty) Ltd</w:t>
      </w:r>
      <w:r w:rsidRPr="00F17809">
        <w:rPr>
          <w:rFonts w:ascii="Times New Roman" w:hAnsi="Times New Roman" w:cs="Times New Roman"/>
          <w:sz w:val="24"/>
          <w:szCs w:val="24"/>
        </w:rPr>
        <w:t xml:space="preserve"> 1989 (4) SA 940 (C) at 957G-H. See </w:t>
      </w:r>
      <w:r w:rsidRPr="00F17809">
        <w:rPr>
          <w:rFonts w:ascii="Times New Roman" w:hAnsi="Times New Roman" w:cs="Times New Roman"/>
          <w:sz w:val="24"/>
          <w:szCs w:val="24"/>
          <w:lang w:eastAsia="en-GB"/>
        </w:rPr>
        <w:t xml:space="preserve">generally </w:t>
      </w:r>
      <w:r w:rsidRPr="00F17809">
        <w:rPr>
          <w:rFonts w:ascii="Times New Roman" w:hAnsi="Times New Roman" w:cs="Times New Roman"/>
          <w:sz w:val="24"/>
          <w:szCs w:val="24"/>
          <w:lang w:val="en-US"/>
        </w:rPr>
        <w:t xml:space="preserve">Cilliers, AC, Loots, C and Nel, HC. Herbstein and Van Winsen: </w:t>
      </w:r>
      <w:r w:rsidRPr="00F17809">
        <w:rPr>
          <w:rFonts w:ascii="Times New Roman" w:hAnsi="Times New Roman" w:cs="Times New Roman"/>
          <w:sz w:val="24"/>
          <w:szCs w:val="24"/>
        </w:rPr>
        <w:t>Civil Practice of the High Courts and the Supreme Court of Appeal of South Africa,</w:t>
      </w:r>
      <w:r w:rsidRPr="00F17809">
        <w:rPr>
          <w:rFonts w:ascii="Times New Roman" w:hAnsi="Times New Roman" w:cs="Times New Roman"/>
          <w:sz w:val="24"/>
          <w:szCs w:val="24"/>
          <w:lang w:val="en-US"/>
        </w:rPr>
        <w:t xml:space="preserve"> 5</w:t>
      </w:r>
      <w:r w:rsidRPr="00F17809">
        <w:rPr>
          <w:rFonts w:ascii="Times New Roman" w:hAnsi="Times New Roman" w:cs="Times New Roman"/>
          <w:sz w:val="24"/>
          <w:szCs w:val="24"/>
          <w:vertAlign w:val="superscript"/>
          <w:lang w:val="en-US"/>
        </w:rPr>
        <w:t>th</w:t>
      </w:r>
      <w:r w:rsidRPr="00F17809">
        <w:rPr>
          <w:rFonts w:ascii="Times New Roman" w:hAnsi="Times New Roman" w:cs="Times New Roman"/>
          <w:sz w:val="24"/>
          <w:szCs w:val="24"/>
          <w:lang w:val="en-US"/>
        </w:rPr>
        <w:t xml:space="preserve"> edition, Jutastat e-publications (last updated: 30 November 2021) (hereafter Herbstein &amp; Van Winsen </w:t>
      </w:r>
      <w:r w:rsidRPr="00F17809">
        <w:rPr>
          <w:rFonts w:ascii="Times New Roman" w:hAnsi="Times New Roman" w:cs="Times New Roman"/>
          <w:sz w:val="24"/>
          <w:szCs w:val="24"/>
        </w:rPr>
        <w:t>Civil Practice) at 675-693.</w:t>
      </w:r>
    </w:p>
  </w:footnote>
  <w:footnote w:id="6">
    <w:p w14:paraId="3AF38251" w14:textId="77777777" w:rsidR="00064CE7" w:rsidRPr="00F17809" w:rsidRDefault="00064CE7" w:rsidP="00F17809">
      <w:pPr>
        <w:pStyle w:val="NoSpacing"/>
        <w:rPr>
          <w:rFonts w:ascii="Times New Roman" w:hAnsi="Times New Roman" w:cs="Times New Roman"/>
          <w:sz w:val="24"/>
          <w:szCs w:val="24"/>
        </w:rPr>
      </w:pPr>
      <w:r w:rsidRPr="005E36E7">
        <w:rPr>
          <w:rStyle w:val="FootnoteReference"/>
          <w:rFonts w:ascii="Times New Roman" w:hAnsi="Times New Roman" w:cs="Times New Roman"/>
          <w:sz w:val="24"/>
          <w:szCs w:val="24"/>
        </w:rPr>
        <w:footnoteRef/>
      </w:r>
      <w:r w:rsidRPr="00F17809">
        <w:rPr>
          <w:rFonts w:ascii="Times New Roman" w:hAnsi="Times New Roman" w:cs="Times New Roman"/>
          <w:sz w:val="24"/>
          <w:szCs w:val="24"/>
          <w:lang w:eastAsia="en-GB"/>
        </w:rPr>
        <w:t> </w:t>
      </w:r>
      <w:r w:rsidRPr="00F17809">
        <w:rPr>
          <w:rFonts w:ascii="Times New Roman" w:hAnsi="Times New Roman" w:cs="Times New Roman"/>
          <w:i/>
          <w:iCs/>
          <w:sz w:val="24"/>
          <w:szCs w:val="24"/>
        </w:rPr>
        <w:t>GMF Kontrakteurs (Edms) Bpk and another v Pretoria City Council</w:t>
      </w:r>
      <w:r w:rsidRPr="00F17809">
        <w:rPr>
          <w:rFonts w:ascii="Times New Roman" w:hAnsi="Times New Roman" w:cs="Times New Roman"/>
          <w:sz w:val="24"/>
          <w:szCs w:val="24"/>
        </w:rPr>
        <w:t xml:space="preserve"> 1978 (2) SA 219 (T)</w:t>
      </w:r>
      <w:r w:rsidRPr="00F17809">
        <w:rPr>
          <w:rFonts w:ascii="Times New Roman" w:hAnsi="Times New Roman" w:cs="Times New Roman"/>
          <w:sz w:val="24"/>
          <w:szCs w:val="24"/>
          <w:lang w:eastAsia="en-GB"/>
        </w:rPr>
        <w:t> at 222B–D; </w:t>
      </w:r>
      <w:r w:rsidRPr="00F17809">
        <w:rPr>
          <w:rFonts w:ascii="Times New Roman" w:hAnsi="Times New Roman" w:cs="Times New Roman"/>
          <w:i/>
          <w:iCs/>
          <w:sz w:val="24"/>
          <w:szCs w:val="24"/>
        </w:rPr>
        <w:t>Ciba-Geigy (Pty) Ltd v Lushof Farms (Pty) Ltd en 'n ander</w:t>
      </w:r>
      <w:r w:rsidRPr="00F17809">
        <w:rPr>
          <w:rFonts w:ascii="Times New Roman" w:hAnsi="Times New Roman" w:cs="Times New Roman"/>
          <w:sz w:val="24"/>
          <w:szCs w:val="24"/>
        </w:rPr>
        <w:t xml:space="preserve"> 2002 (2) SA 447 (SCA) </w:t>
      </w:r>
      <w:r w:rsidRPr="00F17809">
        <w:rPr>
          <w:rFonts w:ascii="Times New Roman" w:hAnsi="Times New Roman" w:cs="Times New Roman"/>
          <w:i/>
          <w:iCs/>
          <w:sz w:val="24"/>
          <w:szCs w:val="24"/>
          <w:lang w:eastAsia="en-GB"/>
        </w:rPr>
        <w:t>Ciba-Geigy (Pty) Ltd v Lushof Farms (Pty) Ltd</w:t>
      </w:r>
      <w:r w:rsidRPr="00F17809">
        <w:rPr>
          <w:rFonts w:ascii="Times New Roman" w:hAnsi="Times New Roman" w:cs="Times New Roman"/>
          <w:sz w:val="24"/>
          <w:szCs w:val="24"/>
          <w:lang w:eastAsia="en-GB"/>
        </w:rPr>
        <w:t xml:space="preserve"> 2002 SA 447 (SCA) at par 33. See generally </w:t>
      </w:r>
      <w:r w:rsidRPr="00F17809">
        <w:rPr>
          <w:rFonts w:ascii="Times New Roman" w:hAnsi="Times New Roman" w:cs="Times New Roman"/>
          <w:sz w:val="24"/>
          <w:szCs w:val="24"/>
          <w:lang w:val="en-US"/>
        </w:rPr>
        <w:t xml:space="preserve">Herbstein &amp; Van Winsen </w:t>
      </w:r>
      <w:r w:rsidRPr="00F17809">
        <w:rPr>
          <w:rFonts w:ascii="Times New Roman" w:hAnsi="Times New Roman" w:cs="Times New Roman"/>
          <w:sz w:val="24"/>
          <w:szCs w:val="24"/>
        </w:rPr>
        <w:t>Civil Practice at 676.</w:t>
      </w:r>
    </w:p>
  </w:footnote>
  <w:footnote w:id="7">
    <w:p w14:paraId="2ADB3EAF" w14:textId="07E8416F" w:rsidR="00064CE7" w:rsidRPr="00F17809" w:rsidRDefault="00064CE7" w:rsidP="00F17809">
      <w:pPr>
        <w:pStyle w:val="NoSpacing"/>
        <w:rPr>
          <w:rFonts w:ascii="Times New Roman" w:hAnsi="Times New Roman" w:cs="Times New Roman"/>
          <w:sz w:val="24"/>
          <w:szCs w:val="24"/>
        </w:rPr>
      </w:pPr>
      <w:r w:rsidRPr="005E36E7">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005E36E7" w:rsidRPr="00EF68F2">
        <w:rPr>
          <w:rFonts w:ascii="Times New Roman" w:hAnsi="Times New Roman" w:cs="Times New Roman"/>
          <w:i/>
          <w:iCs/>
          <w:sz w:val="24"/>
          <w:szCs w:val="24"/>
        </w:rPr>
        <w:t>Imperial Bank Ltd v Barnard and others NNO</w:t>
      </w:r>
      <w:r w:rsidR="005E36E7" w:rsidRPr="00EF68F2">
        <w:rPr>
          <w:rFonts w:ascii="Times New Roman" w:hAnsi="Times New Roman" w:cs="Times New Roman"/>
          <w:sz w:val="24"/>
          <w:szCs w:val="24"/>
        </w:rPr>
        <w:t xml:space="preserve"> 2013 (5) SA 612 (SCA) </w:t>
      </w:r>
      <w:r w:rsidRPr="00F17809">
        <w:rPr>
          <w:rFonts w:ascii="Times New Roman" w:hAnsi="Times New Roman" w:cs="Times New Roman"/>
          <w:sz w:val="24"/>
          <w:szCs w:val="24"/>
        </w:rPr>
        <w:t>para 8</w:t>
      </w:r>
      <w:r w:rsidR="005E36E7">
        <w:rPr>
          <w:rFonts w:ascii="Times New Roman" w:hAnsi="Times New Roman" w:cs="Times New Roman"/>
          <w:sz w:val="24"/>
          <w:szCs w:val="24"/>
        </w:rPr>
        <w:t>.</w:t>
      </w:r>
    </w:p>
  </w:footnote>
  <w:footnote w:id="8">
    <w:p w14:paraId="38009093" w14:textId="77777777" w:rsidR="00064CE7" w:rsidRPr="00F17809" w:rsidRDefault="00064CE7" w:rsidP="00F17809">
      <w:pPr>
        <w:pStyle w:val="NoSpacing"/>
        <w:rPr>
          <w:rFonts w:ascii="Times New Roman" w:hAnsi="Times New Roman" w:cs="Times New Roman"/>
          <w:sz w:val="24"/>
          <w:szCs w:val="24"/>
        </w:rPr>
      </w:pPr>
      <w:r w:rsidRPr="005E36E7">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Pr="00F17809">
        <w:rPr>
          <w:rFonts w:ascii="Times New Roman" w:hAnsi="Times New Roman" w:cs="Times New Roman"/>
          <w:i/>
          <w:iCs/>
          <w:sz w:val="24"/>
          <w:szCs w:val="24"/>
        </w:rPr>
        <w:t>Small Enterprise Finance Agency Soc v Razoscan (Pty) Ltd</w:t>
      </w:r>
      <w:r w:rsidRPr="00F17809">
        <w:rPr>
          <w:rFonts w:ascii="Times New Roman" w:hAnsi="Times New Roman" w:cs="Times New Roman"/>
          <w:sz w:val="24"/>
          <w:szCs w:val="24"/>
        </w:rPr>
        <w:t xml:space="preserve"> 2022 JDR 0508 (GP) at para 6.9 </w:t>
      </w:r>
    </w:p>
  </w:footnote>
  <w:footnote w:id="9">
    <w:p w14:paraId="08B71872" w14:textId="7422E89B" w:rsidR="00064CE7" w:rsidRPr="00F17809" w:rsidRDefault="00064CE7" w:rsidP="00F17809">
      <w:pPr>
        <w:pStyle w:val="NoSpacing"/>
        <w:rPr>
          <w:rFonts w:ascii="Times New Roman" w:hAnsi="Times New Roman" w:cs="Times New Roman"/>
          <w:sz w:val="24"/>
          <w:szCs w:val="24"/>
        </w:rPr>
      </w:pPr>
      <w:r w:rsidRPr="00F17809">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005E36E7" w:rsidRPr="00EF68F2">
        <w:rPr>
          <w:rFonts w:ascii="Times New Roman" w:hAnsi="Times New Roman" w:cs="Times New Roman"/>
          <w:i/>
          <w:iCs/>
          <w:sz w:val="24"/>
          <w:szCs w:val="24"/>
        </w:rPr>
        <w:t>Imperial Bank Ltd v Barnard and others NNO</w:t>
      </w:r>
      <w:r w:rsidR="005E36E7" w:rsidRPr="00EF68F2">
        <w:rPr>
          <w:rFonts w:ascii="Times New Roman" w:hAnsi="Times New Roman" w:cs="Times New Roman"/>
          <w:sz w:val="24"/>
          <w:szCs w:val="24"/>
        </w:rPr>
        <w:t xml:space="preserve"> 2013 (5) SA 612 (SCA)</w:t>
      </w:r>
      <w:r w:rsidR="005E36E7">
        <w:rPr>
          <w:rFonts w:ascii="Times New Roman" w:hAnsi="Times New Roman" w:cs="Times New Roman"/>
          <w:sz w:val="24"/>
          <w:szCs w:val="24"/>
        </w:rPr>
        <w:t>.</w:t>
      </w:r>
    </w:p>
  </w:footnote>
  <w:footnote w:id="10">
    <w:p w14:paraId="73317400" w14:textId="77777777" w:rsidR="00064CE7" w:rsidRPr="00F17809" w:rsidRDefault="00064CE7" w:rsidP="00F17809">
      <w:pPr>
        <w:pStyle w:val="NoSpacing"/>
        <w:rPr>
          <w:rFonts w:ascii="Times New Roman" w:hAnsi="Times New Roman" w:cs="Times New Roman"/>
          <w:sz w:val="24"/>
          <w:szCs w:val="24"/>
        </w:rPr>
      </w:pPr>
      <w:r w:rsidRPr="005E36E7">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Pr="00F17809">
        <w:rPr>
          <w:rFonts w:ascii="Times New Roman" w:hAnsi="Times New Roman" w:cs="Times New Roman"/>
          <w:i/>
          <w:iCs/>
          <w:sz w:val="24"/>
          <w:szCs w:val="24"/>
        </w:rPr>
        <w:t>Recycling and Economic Development Initiative of South Africa v Electronic Media Network</w:t>
      </w:r>
      <w:r w:rsidRPr="00F17809">
        <w:rPr>
          <w:rFonts w:ascii="Times New Roman" w:hAnsi="Times New Roman" w:cs="Times New Roman"/>
          <w:sz w:val="24"/>
          <w:szCs w:val="24"/>
        </w:rPr>
        <w:t xml:space="preserve"> 2022 JDR 0456 (GJ) at para 8</w:t>
      </w:r>
    </w:p>
  </w:footnote>
  <w:footnote w:id="11">
    <w:p w14:paraId="4B3C12BE" w14:textId="77777777" w:rsidR="00064CE7" w:rsidRPr="001E3D21" w:rsidRDefault="00064CE7" w:rsidP="00F17809">
      <w:pPr>
        <w:pStyle w:val="NoSpacing"/>
        <w:rPr>
          <w:rFonts w:cs="Times New Roman"/>
        </w:rPr>
      </w:pPr>
      <w:r w:rsidRPr="005E36E7">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Pr="00F17809">
        <w:rPr>
          <w:rFonts w:ascii="Times New Roman" w:hAnsi="Times New Roman" w:cs="Times New Roman"/>
          <w:i/>
          <w:iCs/>
          <w:sz w:val="24"/>
          <w:szCs w:val="24"/>
        </w:rPr>
        <w:t>Small Enterprise Finance Agency Soc v Razoscan (Pty) Ltd</w:t>
      </w:r>
      <w:r w:rsidRPr="00F17809">
        <w:rPr>
          <w:rFonts w:ascii="Times New Roman" w:hAnsi="Times New Roman" w:cs="Times New Roman"/>
          <w:sz w:val="24"/>
          <w:szCs w:val="24"/>
        </w:rPr>
        <w:t xml:space="preserve"> 2022 JDR 0508 (GP) at para 6.9</w:t>
      </w:r>
    </w:p>
  </w:footnote>
  <w:footnote w:id="12">
    <w:p w14:paraId="5AA7EED8" w14:textId="219AC003" w:rsidR="00064CE7" w:rsidRPr="00D27C19" w:rsidRDefault="00064CE7" w:rsidP="00064CE7">
      <w:pPr>
        <w:pStyle w:val="FootnoteText"/>
        <w:rPr>
          <w:rFonts w:ascii="Times New Roman" w:hAnsi="Times New Roman" w:cs="Times New Roman"/>
          <w:sz w:val="24"/>
          <w:szCs w:val="24"/>
        </w:rPr>
      </w:pPr>
      <w:r w:rsidRPr="00D27C19">
        <w:rPr>
          <w:rStyle w:val="FootnoteReference"/>
          <w:rFonts w:ascii="Times New Roman" w:hAnsi="Times New Roman" w:cs="Times New Roman"/>
          <w:sz w:val="24"/>
          <w:szCs w:val="24"/>
        </w:rPr>
        <w:footnoteRef/>
      </w:r>
      <w:r w:rsidRPr="00D27C19">
        <w:rPr>
          <w:rFonts w:ascii="Times New Roman" w:hAnsi="Times New Roman" w:cs="Times New Roman"/>
          <w:sz w:val="24"/>
          <w:szCs w:val="24"/>
        </w:rPr>
        <w:t xml:space="preserve"> 2022 JDR 0704 (FB) at para 14</w:t>
      </w:r>
      <w:r w:rsidR="00D27C19" w:rsidRPr="00D27C19">
        <w:rPr>
          <w:rFonts w:ascii="Times New Roman" w:hAnsi="Times New Roman" w:cs="Times New Roman"/>
          <w:sz w:val="24"/>
          <w:szCs w:val="24"/>
        </w:rPr>
        <w:t>.</w:t>
      </w:r>
    </w:p>
  </w:footnote>
  <w:footnote w:id="13">
    <w:p w14:paraId="7782BCEA" w14:textId="76EA98D6" w:rsidR="00064CE7" w:rsidRPr="00D27C19" w:rsidRDefault="00064CE7" w:rsidP="00064CE7">
      <w:pPr>
        <w:pStyle w:val="FootnoteText"/>
        <w:rPr>
          <w:rFonts w:ascii="Times New Roman" w:hAnsi="Times New Roman" w:cs="Times New Roman"/>
          <w:sz w:val="24"/>
          <w:szCs w:val="24"/>
        </w:rPr>
      </w:pPr>
      <w:r w:rsidRPr="00D27C19">
        <w:rPr>
          <w:rStyle w:val="FootnoteReference"/>
          <w:rFonts w:ascii="Times New Roman" w:hAnsi="Times New Roman" w:cs="Times New Roman"/>
          <w:sz w:val="24"/>
          <w:szCs w:val="24"/>
        </w:rPr>
        <w:footnoteRef/>
      </w:r>
      <w:r w:rsidRPr="00D27C19">
        <w:rPr>
          <w:rFonts w:ascii="Times New Roman" w:hAnsi="Times New Roman" w:cs="Times New Roman"/>
          <w:sz w:val="24"/>
          <w:szCs w:val="24"/>
        </w:rPr>
        <w:t xml:space="preserve"> 2021 JDR 0291 (GP)</w:t>
      </w:r>
      <w:r w:rsidR="00D27C19" w:rsidRPr="00D27C19">
        <w:rPr>
          <w:rFonts w:ascii="Times New Roman" w:hAnsi="Times New Roman" w:cs="Times New Roman"/>
          <w:sz w:val="24"/>
          <w:szCs w:val="24"/>
        </w:rPr>
        <w:t>.</w:t>
      </w:r>
    </w:p>
  </w:footnote>
  <w:footnote w:id="14">
    <w:p w14:paraId="6D966526" w14:textId="2CEC9859" w:rsidR="00064CE7" w:rsidRPr="00905364" w:rsidRDefault="00064CE7" w:rsidP="00064CE7">
      <w:pPr>
        <w:pStyle w:val="FootnoteText"/>
        <w:rPr>
          <w:rFonts w:ascii="Times New Roman" w:hAnsi="Times New Roman" w:cs="Times New Roman"/>
          <w:sz w:val="24"/>
          <w:szCs w:val="24"/>
        </w:rPr>
      </w:pPr>
      <w:r w:rsidRPr="00D27C19">
        <w:rPr>
          <w:rStyle w:val="FootnoteReference"/>
          <w:rFonts w:ascii="Times New Roman" w:hAnsi="Times New Roman" w:cs="Times New Roman"/>
          <w:sz w:val="24"/>
          <w:szCs w:val="24"/>
        </w:rPr>
        <w:footnoteRef/>
      </w:r>
      <w:r w:rsidRPr="00D27C19">
        <w:rPr>
          <w:rFonts w:ascii="Times New Roman" w:hAnsi="Times New Roman" w:cs="Times New Roman"/>
          <w:sz w:val="24"/>
          <w:szCs w:val="24"/>
        </w:rPr>
        <w:t xml:space="preserve"> 2006 (3) SA 247 (CC) at para 9</w:t>
      </w:r>
      <w:r w:rsidR="00D27C19" w:rsidRPr="00D27C19">
        <w:rPr>
          <w:rFonts w:ascii="Times New Roman" w:hAnsi="Times New Roman" w:cs="Times New Roman"/>
          <w:sz w:val="24"/>
          <w:szCs w:val="24"/>
        </w:rPr>
        <w:t>.</w:t>
      </w:r>
    </w:p>
  </w:footnote>
  <w:footnote w:id="15">
    <w:p w14:paraId="3DB364A8" w14:textId="77777777" w:rsidR="00064CE7" w:rsidRPr="004F3249" w:rsidRDefault="00064CE7" w:rsidP="00064CE7">
      <w:pPr>
        <w:shd w:val="clear" w:color="auto" w:fill="FFFFFF"/>
        <w:rPr>
          <w:rFonts w:ascii="Times New Roman" w:eastAsia="Times New Roman" w:hAnsi="Times New Roman" w:cs="Times New Roman"/>
          <w:sz w:val="24"/>
          <w:szCs w:val="24"/>
          <w:lang w:val="en" w:eastAsia="en-ZA"/>
        </w:rPr>
      </w:pPr>
      <w:r w:rsidRPr="004F3249">
        <w:rPr>
          <w:rStyle w:val="FootnoteReference"/>
          <w:rFonts w:ascii="Times New Roman" w:hAnsi="Times New Roman" w:cs="Times New Roman"/>
          <w:sz w:val="24"/>
          <w:szCs w:val="24"/>
        </w:rPr>
        <w:footnoteRef/>
      </w:r>
      <w:r w:rsidRPr="004F3249">
        <w:rPr>
          <w:rFonts w:ascii="Times New Roman" w:hAnsi="Times New Roman" w:cs="Times New Roman"/>
          <w:sz w:val="24"/>
          <w:szCs w:val="24"/>
        </w:rPr>
        <w:t xml:space="preserve"> </w:t>
      </w:r>
      <w:r w:rsidRPr="004F3249">
        <w:rPr>
          <w:rFonts w:ascii="Times New Roman" w:eastAsia="Times New Roman" w:hAnsi="Times New Roman" w:cs="Times New Roman"/>
          <w:sz w:val="24"/>
          <w:szCs w:val="24"/>
          <w:lang w:val="en" w:eastAsia="en-ZA"/>
        </w:rPr>
        <w:t>NO 1995 (2) SA 73 (TkGD) </w:t>
      </w:r>
    </w:p>
    <w:p w14:paraId="262952A1" w14:textId="77777777" w:rsidR="00064CE7" w:rsidRDefault="00064CE7" w:rsidP="00064CE7">
      <w:pPr>
        <w:pStyle w:val="FootnoteText"/>
      </w:pPr>
    </w:p>
  </w:footnote>
  <w:footnote w:id="16">
    <w:p w14:paraId="1A53BCE9" w14:textId="0622AB11" w:rsidR="00064CE7" w:rsidRPr="00050652" w:rsidRDefault="00064CE7" w:rsidP="00064CE7">
      <w:pPr>
        <w:pStyle w:val="FootnoteText"/>
        <w:rPr>
          <w:rFonts w:ascii="Times New Roman" w:hAnsi="Times New Roman" w:cs="Times New Roman"/>
          <w:sz w:val="24"/>
          <w:szCs w:val="24"/>
        </w:rPr>
      </w:pPr>
      <w:r w:rsidRPr="00050652">
        <w:rPr>
          <w:rStyle w:val="FootnoteReference"/>
          <w:rFonts w:ascii="Times New Roman" w:hAnsi="Times New Roman" w:cs="Times New Roman"/>
          <w:sz w:val="24"/>
          <w:szCs w:val="24"/>
        </w:rPr>
        <w:footnoteRef/>
      </w:r>
      <w:r w:rsidRPr="00050652">
        <w:rPr>
          <w:rFonts w:ascii="Times New Roman" w:hAnsi="Times New Roman" w:cs="Times New Roman"/>
          <w:sz w:val="24"/>
          <w:szCs w:val="24"/>
        </w:rPr>
        <w:t xml:space="preserve"> Christie Law of Contract in South Africa 8th Ed at para 14</w:t>
      </w:r>
      <w:r w:rsidR="001E7F68">
        <w:rPr>
          <w:rFonts w:ascii="Times New Roman" w:hAnsi="Times New Roman" w:cs="Times New Roman"/>
          <w:sz w:val="24"/>
          <w:szCs w:val="24"/>
        </w:rPr>
        <w:t>.</w:t>
      </w:r>
    </w:p>
  </w:footnote>
  <w:footnote w:id="17">
    <w:p w14:paraId="198308FE" w14:textId="77777777" w:rsidR="00064CE7" w:rsidRPr="00F17809" w:rsidRDefault="00064CE7" w:rsidP="00F17809">
      <w:pPr>
        <w:rPr>
          <w:rFonts w:ascii="Times New Roman" w:hAnsi="Times New Roman" w:cs="Times New Roman"/>
          <w:sz w:val="24"/>
          <w:szCs w:val="24"/>
        </w:rPr>
      </w:pPr>
      <w:r w:rsidRPr="003E11EB">
        <w:rPr>
          <w:rStyle w:val="FootnoteReference"/>
          <w:rFonts w:ascii="Times New Roman" w:hAnsi="Times New Roman" w:cs="Times New Roman"/>
          <w:sz w:val="24"/>
          <w:szCs w:val="24"/>
        </w:rPr>
        <w:footnoteRef/>
      </w:r>
      <w:r w:rsidRPr="00F17809">
        <w:rPr>
          <w:rFonts w:ascii="Times New Roman" w:hAnsi="Times New Roman" w:cs="Times New Roman"/>
          <w:sz w:val="24"/>
          <w:szCs w:val="24"/>
        </w:rPr>
        <w:t xml:space="preserve"> </w:t>
      </w:r>
      <w:r w:rsidRPr="00F17809">
        <w:rPr>
          <w:rFonts w:ascii="Times New Roman" w:hAnsi="Times New Roman" w:cs="Times New Roman"/>
          <w:sz w:val="24"/>
          <w:szCs w:val="24"/>
          <w:shd w:val="clear" w:color="auto" w:fill="FFFFFF"/>
        </w:rPr>
        <w:t>1920 CPD 634 at 644 - 645</w:t>
      </w:r>
    </w:p>
  </w:footnote>
  <w:footnote w:id="18">
    <w:p w14:paraId="52FCC3A7" w14:textId="74038DC6" w:rsidR="00064CE7" w:rsidRPr="00AF6CBF" w:rsidRDefault="00064CE7" w:rsidP="00064CE7">
      <w:pPr>
        <w:pStyle w:val="FootnoteText"/>
        <w:rPr>
          <w:rFonts w:ascii="Times New Roman" w:hAnsi="Times New Roman" w:cs="Times New Roman"/>
          <w:sz w:val="24"/>
          <w:szCs w:val="24"/>
        </w:rPr>
      </w:pPr>
      <w:r w:rsidRPr="00F17809">
        <w:rPr>
          <w:rStyle w:val="FootnoteReference"/>
          <w:rFonts w:ascii="Times New Roman" w:hAnsi="Times New Roman" w:cs="Times New Roman"/>
          <w:i/>
          <w:iCs/>
          <w:sz w:val="24"/>
          <w:szCs w:val="24"/>
        </w:rPr>
        <w:footnoteRef/>
      </w:r>
      <w:r w:rsidRPr="00F17809">
        <w:rPr>
          <w:rFonts w:ascii="Times New Roman" w:hAnsi="Times New Roman" w:cs="Times New Roman"/>
          <w:i/>
          <w:iCs/>
          <w:sz w:val="24"/>
          <w:szCs w:val="24"/>
        </w:rPr>
        <w:t xml:space="preserve"> Consol Ltd t/a Consol Glass v Twee Jonge Gezellen (Pty) Ltd and Another</w:t>
      </w:r>
      <w:r w:rsidRPr="00AF6CBF">
        <w:rPr>
          <w:rFonts w:ascii="Times New Roman" w:hAnsi="Times New Roman" w:cs="Times New Roman"/>
          <w:sz w:val="24"/>
          <w:szCs w:val="24"/>
        </w:rPr>
        <w:t xml:space="preserve"> (2) 2005 (6) SA 23 (C) at para 35</w:t>
      </w:r>
      <w:r w:rsidR="00FF55A3">
        <w:rPr>
          <w:rFonts w:ascii="Times New Roman" w:hAnsi="Times New Roman" w:cs="Times New Roman"/>
          <w:sz w:val="24"/>
          <w:szCs w:val="24"/>
        </w:rPr>
        <w:t>.</w:t>
      </w:r>
    </w:p>
  </w:footnote>
  <w:footnote w:id="19">
    <w:p w14:paraId="45EAAD2B" w14:textId="4FA9B207" w:rsidR="00064CE7" w:rsidRPr="007A39B5" w:rsidRDefault="00064CE7" w:rsidP="00064CE7">
      <w:pPr>
        <w:pStyle w:val="FootnoteText"/>
        <w:rPr>
          <w:rFonts w:ascii="Times New Roman" w:hAnsi="Times New Roman" w:cs="Times New Roman"/>
          <w:sz w:val="24"/>
          <w:szCs w:val="24"/>
        </w:rPr>
      </w:pPr>
      <w:r w:rsidRPr="007A39B5">
        <w:rPr>
          <w:rStyle w:val="FootnoteReference"/>
          <w:rFonts w:ascii="Times New Roman" w:hAnsi="Times New Roman" w:cs="Times New Roman"/>
          <w:sz w:val="24"/>
          <w:szCs w:val="24"/>
        </w:rPr>
        <w:footnoteRef/>
      </w:r>
      <w:r w:rsidRPr="007A39B5">
        <w:rPr>
          <w:rFonts w:ascii="Times New Roman" w:hAnsi="Times New Roman" w:cs="Times New Roman"/>
          <w:sz w:val="24"/>
          <w:szCs w:val="24"/>
        </w:rPr>
        <w:t xml:space="preserve"> 1981 (4) SA 890 (N) at 893A</w:t>
      </w:r>
      <w:r w:rsidR="00FF55A3">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2C56B" w14:textId="77777777"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F45473B"/>
    <w:multiLevelType w:val="multilevel"/>
    <w:tmpl w:val="40DCBF12"/>
    <w:lvl w:ilvl="0">
      <w:start w:val="1"/>
      <w:numFmt w:val="decimal"/>
      <w:pStyle w:val="JudgmentNumbered"/>
      <w:lvlText w:val="[%1]"/>
      <w:lvlJc w:val="left"/>
      <w:pPr>
        <w:ind w:left="1197" w:hanging="567"/>
      </w:pPr>
      <w:rPr>
        <w:rFonts w:ascii="Times New Roman" w:hAnsi="Times New Roman" w:cs="Times New Roman" w:hint="default"/>
        <w:i w:val="0"/>
        <w:iCs w:val="0"/>
        <w:sz w:val="28"/>
        <w:szCs w:val="24"/>
      </w:rPr>
    </w:lvl>
    <w:lvl w:ilvl="1">
      <w:start w:val="1"/>
      <w:numFmt w:val="lowerLetter"/>
      <w:lvlText w:val="%2."/>
      <w:lvlJc w:val="left"/>
      <w:pPr>
        <w:ind w:left="1134" w:hanging="567"/>
      </w:pPr>
      <w:rPr>
        <w:rFonts w:hint="default"/>
        <w:sz w:val="28"/>
        <w:szCs w:val="24"/>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1603416967">
    <w:abstractNumId w:val="3"/>
  </w:num>
  <w:num w:numId="2" w16cid:durableId="184371090">
    <w:abstractNumId w:val="1"/>
  </w:num>
  <w:num w:numId="3" w16cid:durableId="1512792037">
    <w:abstractNumId w:val="0"/>
  </w:num>
  <w:num w:numId="4" w16cid:durableId="2033725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2MjAxMjewNDWxMDZW0lEKTi0uzszPAykwrAUAT+1Y7CwAAAA="/>
  </w:docVars>
  <w:rsids>
    <w:rsidRoot w:val="00CC464E"/>
    <w:rsid w:val="00013F9E"/>
    <w:rsid w:val="00031159"/>
    <w:rsid w:val="00052F95"/>
    <w:rsid w:val="0005667D"/>
    <w:rsid w:val="00062118"/>
    <w:rsid w:val="00062B8C"/>
    <w:rsid w:val="00064CE7"/>
    <w:rsid w:val="00074567"/>
    <w:rsid w:val="00076337"/>
    <w:rsid w:val="0008149C"/>
    <w:rsid w:val="000876FC"/>
    <w:rsid w:val="000A0C30"/>
    <w:rsid w:val="000A2914"/>
    <w:rsid w:val="000A3CF0"/>
    <w:rsid w:val="000C0976"/>
    <w:rsid w:val="000C4352"/>
    <w:rsid w:val="000C658C"/>
    <w:rsid w:val="000D2ED0"/>
    <w:rsid w:val="000D31BC"/>
    <w:rsid w:val="000D4484"/>
    <w:rsid w:val="000E1700"/>
    <w:rsid w:val="000E343E"/>
    <w:rsid w:val="000E589B"/>
    <w:rsid w:val="000E73FE"/>
    <w:rsid w:val="000F0174"/>
    <w:rsid w:val="000F30DC"/>
    <w:rsid w:val="000F3A8F"/>
    <w:rsid w:val="000F69E7"/>
    <w:rsid w:val="00100FF8"/>
    <w:rsid w:val="00106391"/>
    <w:rsid w:val="00107EF4"/>
    <w:rsid w:val="001127E4"/>
    <w:rsid w:val="00125C75"/>
    <w:rsid w:val="0013043F"/>
    <w:rsid w:val="0013589F"/>
    <w:rsid w:val="00142190"/>
    <w:rsid w:val="00150989"/>
    <w:rsid w:val="00154664"/>
    <w:rsid w:val="00175CC7"/>
    <w:rsid w:val="00185EF9"/>
    <w:rsid w:val="00186CE9"/>
    <w:rsid w:val="00187961"/>
    <w:rsid w:val="001901D2"/>
    <w:rsid w:val="001946C5"/>
    <w:rsid w:val="00196878"/>
    <w:rsid w:val="001A7028"/>
    <w:rsid w:val="001B0A7B"/>
    <w:rsid w:val="001B227F"/>
    <w:rsid w:val="001B5CAE"/>
    <w:rsid w:val="001B64EE"/>
    <w:rsid w:val="001C0717"/>
    <w:rsid w:val="001C4E8F"/>
    <w:rsid w:val="001E0B82"/>
    <w:rsid w:val="001E7781"/>
    <w:rsid w:val="001E7F68"/>
    <w:rsid w:val="001F6650"/>
    <w:rsid w:val="002046C8"/>
    <w:rsid w:val="00206052"/>
    <w:rsid w:val="002060F9"/>
    <w:rsid w:val="00216ECC"/>
    <w:rsid w:val="00231B71"/>
    <w:rsid w:val="0023541B"/>
    <w:rsid w:val="002355F7"/>
    <w:rsid w:val="00245E63"/>
    <w:rsid w:val="002506C8"/>
    <w:rsid w:val="00251DD2"/>
    <w:rsid w:val="00252682"/>
    <w:rsid w:val="00254DD6"/>
    <w:rsid w:val="002631FA"/>
    <w:rsid w:val="00263699"/>
    <w:rsid w:val="002637A5"/>
    <w:rsid w:val="002647BA"/>
    <w:rsid w:val="00272DA9"/>
    <w:rsid w:val="002769DD"/>
    <w:rsid w:val="00282C2C"/>
    <w:rsid w:val="002869DE"/>
    <w:rsid w:val="002878D4"/>
    <w:rsid w:val="0029287D"/>
    <w:rsid w:val="002932EB"/>
    <w:rsid w:val="002A107A"/>
    <w:rsid w:val="002A78A0"/>
    <w:rsid w:val="002B6EC6"/>
    <w:rsid w:val="002D1DBF"/>
    <w:rsid w:val="002D4FEE"/>
    <w:rsid w:val="002D77DA"/>
    <w:rsid w:val="002E4300"/>
    <w:rsid w:val="002E6E93"/>
    <w:rsid w:val="003014F1"/>
    <w:rsid w:val="003049FF"/>
    <w:rsid w:val="00334965"/>
    <w:rsid w:val="003546BD"/>
    <w:rsid w:val="0035506B"/>
    <w:rsid w:val="0035669F"/>
    <w:rsid w:val="00357B4E"/>
    <w:rsid w:val="00365E0A"/>
    <w:rsid w:val="00373311"/>
    <w:rsid w:val="00376A48"/>
    <w:rsid w:val="00384019"/>
    <w:rsid w:val="00391771"/>
    <w:rsid w:val="00394EC9"/>
    <w:rsid w:val="003A7DF1"/>
    <w:rsid w:val="003C5338"/>
    <w:rsid w:val="003D1D46"/>
    <w:rsid w:val="003D42C4"/>
    <w:rsid w:val="003D704C"/>
    <w:rsid w:val="003E11EB"/>
    <w:rsid w:val="003E2321"/>
    <w:rsid w:val="003E396B"/>
    <w:rsid w:val="003E765B"/>
    <w:rsid w:val="003E7E46"/>
    <w:rsid w:val="003F7A1B"/>
    <w:rsid w:val="00405DA1"/>
    <w:rsid w:val="00414210"/>
    <w:rsid w:val="00434D81"/>
    <w:rsid w:val="00440906"/>
    <w:rsid w:val="0044508F"/>
    <w:rsid w:val="00445DE0"/>
    <w:rsid w:val="0044720F"/>
    <w:rsid w:val="004519D0"/>
    <w:rsid w:val="004538C3"/>
    <w:rsid w:val="00467716"/>
    <w:rsid w:val="00473838"/>
    <w:rsid w:val="00480156"/>
    <w:rsid w:val="00482211"/>
    <w:rsid w:val="00483DA1"/>
    <w:rsid w:val="00485645"/>
    <w:rsid w:val="004A4841"/>
    <w:rsid w:val="004A51AF"/>
    <w:rsid w:val="004C00C2"/>
    <w:rsid w:val="004C09BF"/>
    <w:rsid w:val="004C1B46"/>
    <w:rsid w:val="004C6ECC"/>
    <w:rsid w:val="004D2D37"/>
    <w:rsid w:val="004E623B"/>
    <w:rsid w:val="004F1EBB"/>
    <w:rsid w:val="004F6FD9"/>
    <w:rsid w:val="00500127"/>
    <w:rsid w:val="00515DFC"/>
    <w:rsid w:val="00522FCA"/>
    <w:rsid w:val="00527449"/>
    <w:rsid w:val="00530427"/>
    <w:rsid w:val="00530E4D"/>
    <w:rsid w:val="005324FD"/>
    <w:rsid w:val="005349AB"/>
    <w:rsid w:val="00537437"/>
    <w:rsid w:val="0055016F"/>
    <w:rsid w:val="00550385"/>
    <w:rsid w:val="00556D43"/>
    <w:rsid w:val="00564A7F"/>
    <w:rsid w:val="00573A79"/>
    <w:rsid w:val="005773CA"/>
    <w:rsid w:val="0057788A"/>
    <w:rsid w:val="00586818"/>
    <w:rsid w:val="00586A15"/>
    <w:rsid w:val="00593C38"/>
    <w:rsid w:val="00594663"/>
    <w:rsid w:val="005A5034"/>
    <w:rsid w:val="005A5563"/>
    <w:rsid w:val="005C22CD"/>
    <w:rsid w:val="005C7954"/>
    <w:rsid w:val="005D2A7B"/>
    <w:rsid w:val="005E36E7"/>
    <w:rsid w:val="005E49E6"/>
    <w:rsid w:val="005E7891"/>
    <w:rsid w:val="005F78BE"/>
    <w:rsid w:val="0061149B"/>
    <w:rsid w:val="00614CBE"/>
    <w:rsid w:val="0062069F"/>
    <w:rsid w:val="00630B24"/>
    <w:rsid w:val="00641825"/>
    <w:rsid w:val="00644355"/>
    <w:rsid w:val="00644E0C"/>
    <w:rsid w:val="00656052"/>
    <w:rsid w:val="0066010A"/>
    <w:rsid w:val="00666F8B"/>
    <w:rsid w:val="00672C0E"/>
    <w:rsid w:val="0067591B"/>
    <w:rsid w:val="006778B7"/>
    <w:rsid w:val="00686993"/>
    <w:rsid w:val="006A063C"/>
    <w:rsid w:val="006B0D75"/>
    <w:rsid w:val="006B2B2D"/>
    <w:rsid w:val="006C0AC3"/>
    <w:rsid w:val="006C10E7"/>
    <w:rsid w:val="006C1D90"/>
    <w:rsid w:val="006C2300"/>
    <w:rsid w:val="006F2F34"/>
    <w:rsid w:val="006F6587"/>
    <w:rsid w:val="007019DA"/>
    <w:rsid w:val="00701EEC"/>
    <w:rsid w:val="0070767C"/>
    <w:rsid w:val="00707848"/>
    <w:rsid w:val="007303A9"/>
    <w:rsid w:val="00745005"/>
    <w:rsid w:val="00746448"/>
    <w:rsid w:val="00747FEE"/>
    <w:rsid w:val="00750975"/>
    <w:rsid w:val="00751BD6"/>
    <w:rsid w:val="00753B82"/>
    <w:rsid w:val="007570CD"/>
    <w:rsid w:val="00764393"/>
    <w:rsid w:val="00766D74"/>
    <w:rsid w:val="00766F0D"/>
    <w:rsid w:val="007732C0"/>
    <w:rsid w:val="00773F82"/>
    <w:rsid w:val="007829A0"/>
    <w:rsid w:val="0078418C"/>
    <w:rsid w:val="00795950"/>
    <w:rsid w:val="007A0D14"/>
    <w:rsid w:val="007A48AB"/>
    <w:rsid w:val="007A4B45"/>
    <w:rsid w:val="007A7067"/>
    <w:rsid w:val="007B0A13"/>
    <w:rsid w:val="007B2553"/>
    <w:rsid w:val="007C206A"/>
    <w:rsid w:val="007C5D1E"/>
    <w:rsid w:val="007D083D"/>
    <w:rsid w:val="007D11BC"/>
    <w:rsid w:val="007E7D17"/>
    <w:rsid w:val="007F14D3"/>
    <w:rsid w:val="0081099D"/>
    <w:rsid w:val="00832E4C"/>
    <w:rsid w:val="0084739D"/>
    <w:rsid w:val="00847AF5"/>
    <w:rsid w:val="0087191E"/>
    <w:rsid w:val="00892B57"/>
    <w:rsid w:val="008A226A"/>
    <w:rsid w:val="008A2B45"/>
    <w:rsid w:val="008A779E"/>
    <w:rsid w:val="008C79D5"/>
    <w:rsid w:val="008D384F"/>
    <w:rsid w:val="008E19AE"/>
    <w:rsid w:val="008E6A33"/>
    <w:rsid w:val="008F6C6E"/>
    <w:rsid w:val="00913D30"/>
    <w:rsid w:val="00931681"/>
    <w:rsid w:val="00932E2D"/>
    <w:rsid w:val="009346F3"/>
    <w:rsid w:val="00937F31"/>
    <w:rsid w:val="00944924"/>
    <w:rsid w:val="009575A3"/>
    <w:rsid w:val="0095771E"/>
    <w:rsid w:val="009673F1"/>
    <w:rsid w:val="00967E03"/>
    <w:rsid w:val="00971CF0"/>
    <w:rsid w:val="00994CBC"/>
    <w:rsid w:val="009A1B3A"/>
    <w:rsid w:val="009A416E"/>
    <w:rsid w:val="009A6BEB"/>
    <w:rsid w:val="009C1682"/>
    <w:rsid w:val="009C6525"/>
    <w:rsid w:val="009D11FA"/>
    <w:rsid w:val="009E1526"/>
    <w:rsid w:val="009F01BC"/>
    <w:rsid w:val="00A01E4B"/>
    <w:rsid w:val="00A0383D"/>
    <w:rsid w:val="00A10A68"/>
    <w:rsid w:val="00A112A7"/>
    <w:rsid w:val="00A141BB"/>
    <w:rsid w:val="00A16FD2"/>
    <w:rsid w:val="00A21361"/>
    <w:rsid w:val="00A3210D"/>
    <w:rsid w:val="00A35B35"/>
    <w:rsid w:val="00A44AC1"/>
    <w:rsid w:val="00A54C21"/>
    <w:rsid w:val="00A633F3"/>
    <w:rsid w:val="00A70008"/>
    <w:rsid w:val="00A73403"/>
    <w:rsid w:val="00A80C4F"/>
    <w:rsid w:val="00A8649D"/>
    <w:rsid w:val="00A872CA"/>
    <w:rsid w:val="00A8746F"/>
    <w:rsid w:val="00AA21CE"/>
    <w:rsid w:val="00AA42FC"/>
    <w:rsid w:val="00AA7D73"/>
    <w:rsid w:val="00AB5F1F"/>
    <w:rsid w:val="00AD1F2D"/>
    <w:rsid w:val="00AF3B7D"/>
    <w:rsid w:val="00AF481A"/>
    <w:rsid w:val="00AF6247"/>
    <w:rsid w:val="00B04605"/>
    <w:rsid w:val="00B175A1"/>
    <w:rsid w:val="00B210A3"/>
    <w:rsid w:val="00B238E1"/>
    <w:rsid w:val="00B23D19"/>
    <w:rsid w:val="00B30E34"/>
    <w:rsid w:val="00B32263"/>
    <w:rsid w:val="00B41412"/>
    <w:rsid w:val="00B44F4C"/>
    <w:rsid w:val="00B57152"/>
    <w:rsid w:val="00B62AA0"/>
    <w:rsid w:val="00BA4D66"/>
    <w:rsid w:val="00BB080D"/>
    <w:rsid w:val="00BB2ECE"/>
    <w:rsid w:val="00BB332A"/>
    <w:rsid w:val="00BC323D"/>
    <w:rsid w:val="00BD1671"/>
    <w:rsid w:val="00BD1A64"/>
    <w:rsid w:val="00BD5455"/>
    <w:rsid w:val="00BE1DEF"/>
    <w:rsid w:val="00C2138D"/>
    <w:rsid w:val="00C32E34"/>
    <w:rsid w:val="00C53F1E"/>
    <w:rsid w:val="00C631FE"/>
    <w:rsid w:val="00C64F35"/>
    <w:rsid w:val="00C75344"/>
    <w:rsid w:val="00C92097"/>
    <w:rsid w:val="00C97150"/>
    <w:rsid w:val="00CB466B"/>
    <w:rsid w:val="00CC464E"/>
    <w:rsid w:val="00CD031A"/>
    <w:rsid w:val="00CD6A31"/>
    <w:rsid w:val="00CE05F2"/>
    <w:rsid w:val="00CF2136"/>
    <w:rsid w:val="00CF3AB9"/>
    <w:rsid w:val="00CF6F0C"/>
    <w:rsid w:val="00D05C6F"/>
    <w:rsid w:val="00D05DED"/>
    <w:rsid w:val="00D07C63"/>
    <w:rsid w:val="00D1332B"/>
    <w:rsid w:val="00D240CB"/>
    <w:rsid w:val="00D27C19"/>
    <w:rsid w:val="00D43F4D"/>
    <w:rsid w:val="00D44DAF"/>
    <w:rsid w:val="00D632C1"/>
    <w:rsid w:val="00D676ED"/>
    <w:rsid w:val="00D97274"/>
    <w:rsid w:val="00DB2187"/>
    <w:rsid w:val="00DD7788"/>
    <w:rsid w:val="00DE43F1"/>
    <w:rsid w:val="00DE7BF0"/>
    <w:rsid w:val="00E055B9"/>
    <w:rsid w:val="00E10901"/>
    <w:rsid w:val="00E14B8F"/>
    <w:rsid w:val="00E152DC"/>
    <w:rsid w:val="00E157FC"/>
    <w:rsid w:val="00E23D17"/>
    <w:rsid w:val="00E36E69"/>
    <w:rsid w:val="00E47B1E"/>
    <w:rsid w:val="00E70501"/>
    <w:rsid w:val="00E70696"/>
    <w:rsid w:val="00E7276D"/>
    <w:rsid w:val="00E757A4"/>
    <w:rsid w:val="00E82428"/>
    <w:rsid w:val="00E829C4"/>
    <w:rsid w:val="00E829D7"/>
    <w:rsid w:val="00E8621D"/>
    <w:rsid w:val="00E86A73"/>
    <w:rsid w:val="00E87328"/>
    <w:rsid w:val="00E91CEE"/>
    <w:rsid w:val="00E945E6"/>
    <w:rsid w:val="00E97380"/>
    <w:rsid w:val="00EA078E"/>
    <w:rsid w:val="00EA1509"/>
    <w:rsid w:val="00EA59C7"/>
    <w:rsid w:val="00ED4EA2"/>
    <w:rsid w:val="00F17809"/>
    <w:rsid w:val="00F2507B"/>
    <w:rsid w:val="00F252FC"/>
    <w:rsid w:val="00F261CF"/>
    <w:rsid w:val="00F27CB1"/>
    <w:rsid w:val="00F30646"/>
    <w:rsid w:val="00F319C4"/>
    <w:rsid w:val="00F50DDC"/>
    <w:rsid w:val="00FA2349"/>
    <w:rsid w:val="00FA5C61"/>
    <w:rsid w:val="00FA7E97"/>
    <w:rsid w:val="00FC5D03"/>
    <w:rsid w:val="00FD55CC"/>
    <w:rsid w:val="00FE3D70"/>
    <w:rsid w:val="00FF1ABA"/>
    <w:rsid w:val="00FF55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BB9724E4-D9D1-4B6C-9CEB-917FBD4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4C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character" w:styleId="Hyperlink">
    <w:name w:val="Hyperlink"/>
    <w:basedOn w:val="DefaultParagraphFont"/>
    <w:uiPriority w:val="99"/>
    <w:semiHidden/>
    <w:unhideWhenUsed/>
    <w:rsid w:val="004C00C2"/>
    <w:rPr>
      <w:color w:val="0000FF"/>
      <w:u w:val="single"/>
    </w:rPr>
  </w:style>
  <w:style w:type="paragraph" w:customStyle="1" w:styleId="JudgmentNumbered">
    <w:name w:val="Judgment Numbered"/>
    <w:basedOn w:val="Normal"/>
    <w:link w:val="JudgmentNumberedChar"/>
    <w:qFormat/>
    <w:rsid w:val="001901D2"/>
    <w:pPr>
      <w:numPr>
        <w:numId w:val="4"/>
      </w:numPr>
      <w:spacing w:after="240" w:line="360" w:lineRule="auto"/>
      <w:ind w:left="567"/>
      <w:jc w:val="both"/>
    </w:pPr>
    <w:rPr>
      <w:rFonts w:ascii="Arial" w:hAnsi="Arial" w:cs="Arial"/>
      <w:sz w:val="24"/>
      <w:lang w:val="en-GB"/>
    </w:rPr>
  </w:style>
  <w:style w:type="character" w:customStyle="1" w:styleId="JudgmentNumberedChar">
    <w:name w:val="Judgment Numbered Char"/>
    <w:basedOn w:val="DefaultParagraphFont"/>
    <w:link w:val="JudgmentNumbered"/>
    <w:rsid w:val="001901D2"/>
    <w:rPr>
      <w:rFonts w:ascii="Arial" w:hAnsi="Arial" w:cs="Arial"/>
      <w:sz w:val="24"/>
      <w:lang w:val="en-GB"/>
    </w:rPr>
  </w:style>
  <w:style w:type="paragraph" w:styleId="Footer">
    <w:name w:val="footer"/>
    <w:basedOn w:val="Normal"/>
    <w:link w:val="FooterChar"/>
    <w:uiPriority w:val="99"/>
    <w:unhideWhenUsed/>
    <w:rsid w:val="0019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1D2"/>
  </w:style>
  <w:style w:type="paragraph" w:styleId="ListParagraph">
    <w:name w:val="List Paragraph"/>
    <w:basedOn w:val="Normal"/>
    <w:uiPriority w:val="34"/>
    <w:qFormat/>
    <w:rsid w:val="00064CE7"/>
    <w:pPr>
      <w:ind w:left="720"/>
      <w:contextualSpacing/>
    </w:pPr>
  </w:style>
  <w:style w:type="character" w:customStyle="1" w:styleId="Heading2Char">
    <w:name w:val="Heading 2 Char"/>
    <w:basedOn w:val="DefaultParagraphFont"/>
    <w:link w:val="Heading2"/>
    <w:uiPriority w:val="9"/>
    <w:rsid w:val="00064CE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B5F1F"/>
    <w:pPr>
      <w:spacing w:after="0" w:line="240" w:lineRule="auto"/>
    </w:pPr>
  </w:style>
  <w:style w:type="paragraph" w:styleId="NoSpacing">
    <w:name w:val="No Spacing"/>
    <w:uiPriority w:val="1"/>
    <w:qFormat/>
    <w:rsid w:val="006778B7"/>
    <w:pPr>
      <w:spacing w:after="0" w:line="240" w:lineRule="auto"/>
    </w:pPr>
  </w:style>
  <w:style w:type="character" w:styleId="CommentReference">
    <w:name w:val="annotation reference"/>
    <w:basedOn w:val="DefaultParagraphFont"/>
    <w:uiPriority w:val="99"/>
    <w:semiHidden/>
    <w:unhideWhenUsed/>
    <w:rsid w:val="00052F95"/>
    <w:rPr>
      <w:sz w:val="16"/>
      <w:szCs w:val="16"/>
    </w:rPr>
  </w:style>
  <w:style w:type="paragraph" w:styleId="CommentText">
    <w:name w:val="annotation text"/>
    <w:basedOn w:val="Normal"/>
    <w:link w:val="CommentTextChar"/>
    <w:uiPriority w:val="99"/>
    <w:unhideWhenUsed/>
    <w:rsid w:val="00052F95"/>
    <w:pPr>
      <w:spacing w:line="240" w:lineRule="auto"/>
    </w:pPr>
    <w:rPr>
      <w:sz w:val="20"/>
      <w:szCs w:val="20"/>
    </w:rPr>
  </w:style>
  <w:style w:type="character" w:customStyle="1" w:styleId="CommentTextChar">
    <w:name w:val="Comment Text Char"/>
    <w:basedOn w:val="DefaultParagraphFont"/>
    <w:link w:val="CommentText"/>
    <w:uiPriority w:val="99"/>
    <w:rsid w:val="00052F95"/>
    <w:rPr>
      <w:sz w:val="20"/>
      <w:szCs w:val="20"/>
    </w:rPr>
  </w:style>
  <w:style w:type="paragraph" w:styleId="CommentSubject">
    <w:name w:val="annotation subject"/>
    <w:basedOn w:val="CommentText"/>
    <w:next w:val="CommentText"/>
    <w:link w:val="CommentSubjectChar"/>
    <w:uiPriority w:val="99"/>
    <w:semiHidden/>
    <w:unhideWhenUsed/>
    <w:rsid w:val="00052F95"/>
    <w:rPr>
      <w:b/>
      <w:bCs/>
    </w:rPr>
  </w:style>
  <w:style w:type="character" w:customStyle="1" w:styleId="CommentSubjectChar">
    <w:name w:val="Comment Subject Char"/>
    <w:basedOn w:val="CommentTextChar"/>
    <w:link w:val="CommentSubject"/>
    <w:uiPriority w:val="99"/>
    <w:semiHidden/>
    <w:rsid w:val="00052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0-jutastat-juta-co-za.oasis.unisa.ac.za/nxt/foliolinks.asp?f=xhitlist&amp;xhitlist_x=Advanced&amp;xhitlist_vpc=first&amp;xhitlist_xsl=querylink.xsl&amp;xhitlist_sel=title;path;content-type;home-title&amp;xhitlist_d=%7bsalr%7d&amp;xhitlist_q=%5bfield%20folio-destination-name:%2795273%27%5d&amp;xhitlist_md=target-id=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6" ma:contentTypeDescription="Create a new document." ma:contentTypeScope="" ma:versionID="5fbc84934f19a25fa2c3c248aefba5da">
  <xsd:schema xmlns:xsd="http://www.w3.org/2001/XMLSchema" xmlns:xs="http://www.w3.org/2001/XMLSchema" xmlns:p="http://schemas.microsoft.com/office/2006/metadata/properties" xmlns:ns3="068c6b3d-be1e-4467-bdef-3b2882ff4aae" targetNamespace="http://schemas.microsoft.com/office/2006/metadata/properties" ma:root="true" ma:fieldsID="1de9898d771b31617d69ecbe503bda66"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7D13-8899-4252-B234-7220ACA4A92E}">
  <ds:schemaRefs>
    <ds:schemaRef ds:uri="http://schemas.microsoft.com/office/2006/metadata/properties"/>
    <ds:schemaRef ds:uri="http://schemas.microsoft.com/office/infopath/2007/PartnerControls"/>
    <ds:schemaRef ds:uri="068c6b3d-be1e-4467-bdef-3b2882ff4aae"/>
  </ds:schemaRefs>
</ds:datastoreItem>
</file>

<file path=customXml/itemProps2.xml><?xml version="1.0" encoding="utf-8"?>
<ds:datastoreItem xmlns:ds="http://schemas.openxmlformats.org/officeDocument/2006/customXml" ds:itemID="{B8B4E65E-6BE6-4DCC-B397-A4D864D85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939C2-6A28-494E-986D-D507EFB6135D}">
  <ds:schemaRefs>
    <ds:schemaRef ds:uri="http://schemas.microsoft.com/sharepoint/v3/contenttype/forms"/>
  </ds:schemaRefs>
</ds:datastoreItem>
</file>

<file path=customXml/itemProps4.xml><?xml version="1.0" encoding="utf-8"?>
<ds:datastoreItem xmlns:ds="http://schemas.openxmlformats.org/officeDocument/2006/customXml" ds:itemID="{8BA2BB5F-5BA6-45BC-8657-550BFCC0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sathish sarshan  mohan</cp:lastModifiedBy>
  <cp:revision>3</cp:revision>
  <cp:lastPrinted>2024-05-08T09:18:00Z</cp:lastPrinted>
  <dcterms:created xsi:type="dcterms:W3CDTF">2024-05-16T08:38:00Z</dcterms:created>
  <dcterms:modified xsi:type="dcterms:W3CDTF">2024-05-16T13:00:00Z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