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B08F3" w14:textId="77777777" w:rsidR="00D17811" w:rsidRPr="007F1D40" w:rsidRDefault="00D17811" w:rsidP="00D17811">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r w:rsidRPr="007F1D40">
        <w:rPr>
          <w:rFonts w:ascii="Times New Roman" w:eastAsia="Times New Roman" w:hAnsi="Times New Roman" w:cs="Times New Roman"/>
          <w:b/>
          <w:noProof/>
          <w:sz w:val="28"/>
          <w:szCs w:val="28"/>
          <w:lang w:eastAsia="en-ZA"/>
        </w:rPr>
        <w:t>REPUBLIC OF SOUTH AFRICA</w:t>
      </w:r>
    </w:p>
    <w:p w14:paraId="00C30B74" w14:textId="77777777" w:rsidR="00D17811" w:rsidRPr="007F1D40" w:rsidRDefault="00D17811" w:rsidP="00D17811">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p>
    <w:p w14:paraId="559B04F5" w14:textId="77777777" w:rsidR="00D17811" w:rsidRPr="007F1D40" w:rsidRDefault="00D17811" w:rsidP="00D17811">
      <w:pPr>
        <w:tabs>
          <w:tab w:val="left" w:pos="2342"/>
          <w:tab w:val="center" w:pos="4513"/>
        </w:tabs>
        <w:spacing w:after="0" w:line="240" w:lineRule="auto"/>
        <w:jc w:val="center"/>
        <w:outlineLvl w:val="0"/>
        <w:rPr>
          <w:rFonts w:ascii="Times New Roman" w:eastAsia="Times New Roman" w:hAnsi="Times New Roman" w:cs="Times New Roman"/>
          <w:sz w:val="28"/>
          <w:szCs w:val="28"/>
        </w:rPr>
      </w:pPr>
      <w:r w:rsidRPr="007F1D40">
        <w:rPr>
          <w:rFonts w:ascii="Times New Roman" w:eastAsia="Times New Roman" w:hAnsi="Times New Roman" w:cs="Times New Roman"/>
          <w:noProof/>
          <w:sz w:val="28"/>
          <w:szCs w:val="28"/>
          <w:lang w:eastAsia="en-ZA"/>
        </w:rPr>
        <w:drawing>
          <wp:inline distT="0" distB="0" distL="0" distR="0" wp14:anchorId="55577033" wp14:editId="1678278D">
            <wp:extent cx="1350645" cy="1350645"/>
            <wp:effectExtent l="0" t="0" r="1905" b="1905"/>
            <wp:docPr id="9392317" name="Picture 9392317"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719FE1A" w14:textId="77777777" w:rsidR="00D17811" w:rsidRPr="007F1D40" w:rsidRDefault="00D17811" w:rsidP="00D17811">
      <w:pPr>
        <w:spacing w:after="0" w:line="240" w:lineRule="auto"/>
        <w:jc w:val="center"/>
        <w:outlineLvl w:val="0"/>
        <w:rPr>
          <w:rFonts w:ascii="Times New Roman" w:eastAsia="Times New Roman" w:hAnsi="Times New Roman" w:cs="Times New Roman"/>
          <w:b/>
          <w:sz w:val="28"/>
          <w:szCs w:val="28"/>
        </w:rPr>
      </w:pPr>
    </w:p>
    <w:p w14:paraId="7B35FB3E" w14:textId="77777777" w:rsidR="00D17811" w:rsidRPr="007F1D40" w:rsidRDefault="00D17811" w:rsidP="00D17811">
      <w:pPr>
        <w:spacing w:after="0" w:line="240" w:lineRule="auto"/>
        <w:jc w:val="center"/>
        <w:outlineLvl w:val="0"/>
        <w:rPr>
          <w:rFonts w:ascii="Times New Roman" w:eastAsia="Times New Roman" w:hAnsi="Times New Roman" w:cs="Times New Roman"/>
          <w:b/>
          <w:sz w:val="28"/>
          <w:szCs w:val="28"/>
        </w:rPr>
      </w:pPr>
      <w:r w:rsidRPr="007F1D40">
        <w:rPr>
          <w:rFonts w:ascii="Times New Roman" w:eastAsia="Times New Roman" w:hAnsi="Times New Roman" w:cs="Times New Roman"/>
          <w:b/>
          <w:sz w:val="28"/>
          <w:szCs w:val="28"/>
        </w:rPr>
        <w:t>IN THE HIGH COURT OF SOUTH AFRICA</w:t>
      </w:r>
    </w:p>
    <w:p w14:paraId="60F46485" w14:textId="77777777" w:rsidR="00D17811" w:rsidRPr="007F1D40" w:rsidRDefault="00D17811" w:rsidP="00D17811">
      <w:pPr>
        <w:spacing w:after="0" w:line="240" w:lineRule="auto"/>
        <w:jc w:val="center"/>
        <w:outlineLvl w:val="0"/>
        <w:rPr>
          <w:rFonts w:ascii="Times New Roman" w:eastAsia="Times New Roman" w:hAnsi="Times New Roman" w:cs="Times New Roman"/>
          <w:b/>
          <w:sz w:val="28"/>
          <w:szCs w:val="28"/>
        </w:rPr>
      </w:pPr>
      <w:r w:rsidRPr="007F1D40">
        <w:rPr>
          <w:rFonts w:ascii="Times New Roman" w:eastAsia="Times New Roman" w:hAnsi="Times New Roman" w:cs="Times New Roman"/>
          <w:b/>
          <w:sz w:val="28"/>
          <w:szCs w:val="28"/>
        </w:rPr>
        <w:t>GAUTENG LOCAL DIVISION, JOHANNESBURG</w:t>
      </w:r>
    </w:p>
    <w:p w14:paraId="1AC12AD8" w14:textId="77777777" w:rsidR="00D17811" w:rsidRPr="007F1D40" w:rsidRDefault="00D17811" w:rsidP="00D17811">
      <w:pPr>
        <w:spacing w:after="0" w:line="240" w:lineRule="auto"/>
        <w:rPr>
          <w:rFonts w:ascii="Times New Roman" w:eastAsia="Times New Roman" w:hAnsi="Times New Roman" w:cs="Times New Roman"/>
          <w:sz w:val="28"/>
          <w:szCs w:val="28"/>
        </w:rPr>
      </w:pPr>
    </w:p>
    <w:p w14:paraId="7F9562DA" w14:textId="77777777" w:rsidR="00D17811" w:rsidRPr="007F1D40" w:rsidRDefault="00D17811" w:rsidP="00D17811">
      <w:pPr>
        <w:spacing w:after="0" w:line="240" w:lineRule="auto"/>
        <w:rPr>
          <w:rFonts w:ascii="Times New Roman" w:eastAsia="Times New Roman" w:hAnsi="Times New Roman" w:cs="Times New Roman"/>
          <w:sz w:val="28"/>
          <w:szCs w:val="28"/>
        </w:rPr>
      </w:pPr>
    </w:p>
    <w:p w14:paraId="20FE42DA" w14:textId="11B9C88F" w:rsidR="00D17811" w:rsidRDefault="00D17811" w:rsidP="00D17811">
      <w:pPr>
        <w:tabs>
          <w:tab w:val="right" w:pos="9029"/>
        </w:tabs>
        <w:spacing w:after="0" w:line="240" w:lineRule="auto"/>
        <w:rPr>
          <w:rFonts w:ascii="Times New Roman" w:eastAsia="Calibri" w:hAnsi="Times New Roman" w:cs="Times New Roman"/>
          <w:b/>
          <w:bCs/>
          <w:sz w:val="28"/>
          <w:szCs w:val="28"/>
          <w:lang w:val="en-GB"/>
        </w:rPr>
      </w:pPr>
      <w:r w:rsidRPr="007F1D40">
        <w:rPr>
          <w:rFonts w:ascii="Times New Roman" w:eastAsia="Times New Roman" w:hAnsi="Times New Roman" w:cs="Times New Roman"/>
          <w:sz w:val="28"/>
          <w:szCs w:val="28"/>
        </w:rPr>
        <w:tab/>
      </w:r>
      <w:r w:rsidRPr="007F1D40">
        <w:rPr>
          <w:rFonts w:ascii="Times New Roman" w:eastAsia="Times New Roman" w:hAnsi="Times New Roman" w:cs="Times New Roman"/>
          <w:bCs/>
          <w:sz w:val="28"/>
          <w:szCs w:val="28"/>
        </w:rPr>
        <w:t>Case Number:</w:t>
      </w:r>
      <w:r>
        <w:rPr>
          <w:rFonts w:ascii="Times New Roman" w:eastAsia="Times New Roman" w:hAnsi="Times New Roman" w:cs="Times New Roman"/>
          <w:bCs/>
          <w:sz w:val="28"/>
          <w:szCs w:val="28"/>
        </w:rPr>
        <w:t xml:space="preserve"> </w:t>
      </w:r>
      <w:r>
        <w:rPr>
          <w:rFonts w:ascii="Times New Roman" w:eastAsia="Times New Roman" w:hAnsi="Times New Roman" w:cs="Times New Roman"/>
          <w:b/>
          <w:sz w:val="28"/>
          <w:szCs w:val="28"/>
        </w:rPr>
        <w:t>51959/2021</w:t>
      </w:r>
    </w:p>
    <w:p w14:paraId="5EE3C0FB" w14:textId="684C04EA" w:rsidR="00CC464E" w:rsidRPr="00CC464E" w:rsidRDefault="00CC464E" w:rsidP="00CC464E">
      <w:pPr>
        <w:suppressAutoHyphens/>
        <w:spacing w:after="0" w:line="480" w:lineRule="auto"/>
        <w:jc w:val="both"/>
        <w:rPr>
          <w:rFonts w:ascii="Arial" w:eastAsia="Times New Roman" w:hAnsi="Arial" w:cs="Times New Roman"/>
          <w:sz w:val="24"/>
          <w:szCs w:val="20"/>
        </w:rPr>
      </w:pPr>
    </w:p>
    <w:p w14:paraId="1C88984F" w14:textId="4BD752FA" w:rsidR="00CC464E" w:rsidRPr="008A779E" w:rsidRDefault="008A60FA" w:rsidP="00CC464E">
      <w:pPr>
        <w:suppressAutoHyphens/>
        <w:spacing w:after="0" w:line="480" w:lineRule="auto"/>
        <w:rPr>
          <w:rFonts w:ascii="Times New Roman" w:eastAsia="Times New Roman" w:hAnsi="Times New Roman" w:cs="Times New Roman"/>
          <w:sz w:val="28"/>
          <w:szCs w:val="28"/>
        </w:rPr>
      </w:pPr>
      <w:r>
        <w:rPr>
          <w:rFonts w:ascii="Arial" w:eastAsia="Times New Roman" w:hAnsi="Arial" w:cs="Times New Roman"/>
          <w:noProof/>
          <w:sz w:val="24"/>
          <w:szCs w:val="20"/>
        </w:rPr>
        <mc:AlternateContent>
          <mc:Choice Requires="wps">
            <w:drawing>
              <wp:anchor distT="0" distB="0" distL="114300" distR="114300" simplePos="0" relativeHeight="251658752" behindDoc="0" locked="0" layoutInCell="1" allowOverlap="1" wp14:anchorId="182F2CD2" wp14:editId="259B2496">
                <wp:simplePos x="0" y="0"/>
                <wp:positionH relativeFrom="margin">
                  <wp:align>left</wp:align>
                </wp:positionH>
                <wp:positionV relativeFrom="paragraph">
                  <wp:posOffset>7620</wp:posOffset>
                </wp:positionV>
                <wp:extent cx="2790825" cy="1031875"/>
                <wp:effectExtent l="0" t="0" r="9525" b="0"/>
                <wp:wrapNone/>
                <wp:docPr id="13851665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31875"/>
                        </a:xfrm>
                        <a:prstGeom prst="rect">
                          <a:avLst/>
                        </a:prstGeom>
                        <a:solidFill>
                          <a:srgbClr val="FFFFFF"/>
                        </a:solidFill>
                        <a:ln w="9525">
                          <a:solidFill>
                            <a:srgbClr val="000000"/>
                          </a:solidFill>
                          <a:miter lim="800000"/>
                          <a:headEnd/>
                          <a:tailEnd/>
                        </a:ln>
                      </wps:spPr>
                      <wps:txbx>
                        <w:txbxContent>
                          <w:p w14:paraId="3C49E99D" w14:textId="77777777" w:rsidR="00D17811" w:rsidRPr="003B746C" w:rsidRDefault="00D17811" w:rsidP="00D17811">
                            <w:pPr>
                              <w:numPr>
                                <w:ilvl w:val="0"/>
                                <w:numId w:val="3"/>
                              </w:numPr>
                              <w:spacing w:after="0" w:line="240" w:lineRule="auto"/>
                              <w:rPr>
                                <w:rFonts w:cs="Arial"/>
                                <w:sz w:val="18"/>
                                <w:szCs w:val="20"/>
                              </w:rPr>
                            </w:pPr>
                            <w:r w:rsidRPr="003B746C">
                              <w:rPr>
                                <w:rFonts w:cs="Arial"/>
                                <w:sz w:val="18"/>
                                <w:szCs w:val="20"/>
                              </w:rPr>
                              <w:t xml:space="preserve">REPORTABLE: </w:t>
                            </w:r>
                            <w:r w:rsidRPr="0054161A">
                              <w:rPr>
                                <w:rFonts w:cs="Arial"/>
                                <w:sz w:val="18"/>
                                <w:szCs w:val="20"/>
                              </w:rPr>
                              <w:t>YES / NO</w:t>
                            </w:r>
                          </w:p>
                          <w:p w14:paraId="7A9404F9" w14:textId="77777777" w:rsidR="00D17811" w:rsidRPr="003B746C" w:rsidRDefault="00D17811" w:rsidP="00D17811">
                            <w:pPr>
                              <w:numPr>
                                <w:ilvl w:val="0"/>
                                <w:numId w:val="3"/>
                              </w:numPr>
                              <w:spacing w:after="0" w:line="240" w:lineRule="auto"/>
                              <w:rPr>
                                <w:rFonts w:cs="Arial"/>
                                <w:sz w:val="18"/>
                                <w:szCs w:val="20"/>
                              </w:rPr>
                            </w:pPr>
                            <w:r w:rsidRPr="003B746C">
                              <w:rPr>
                                <w:rFonts w:cs="Arial"/>
                                <w:sz w:val="18"/>
                                <w:szCs w:val="20"/>
                              </w:rPr>
                              <w:t xml:space="preserve">OF INTEREST TO OTHER JUDGES: </w:t>
                            </w:r>
                            <w:r w:rsidRPr="0054161A">
                              <w:rPr>
                                <w:rFonts w:cs="Arial"/>
                                <w:sz w:val="18"/>
                                <w:szCs w:val="20"/>
                              </w:rPr>
                              <w:t>YES/NO</w:t>
                            </w:r>
                          </w:p>
                          <w:p w14:paraId="1B8FB59A" w14:textId="77777777" w:rsidR="00D17811" w:rsidRDefault="00D17811" w:rsidP="00D17811">
                            <w:pPr>
                              <w:numPr>
                                <w:ilvl w:val="0"/>
                                <w:numId w:val="3"/>
                              </w:numPr>
                              <w:spacing w:after="0" w:line="240" w:lineRule="auto"/>
                              <w:rPr>
                                <w:rFonts w:cs="Arial"/>
                                <w:sz w:val="18"/>
                                <w:szCs w:val="20"/>
                              </w:rPr>
                            </w:pPr>
                            <w:r w:rsidRPr="003B746C">
                              <w:rPr>
                                <w:rFonts w:cs="Arial"/>
                                <w:sz w:val="18"/>
                                <w:szCs w:val="20"/>
                              </w:rPr>
                              <w:t xml:space="preserve">REVISED: </w:t>
                            </w:r>
                            <w:r w:rsidRPr="0054161A">
                              <w:rPr>
                                <w:rFonts w:cs="Arial"/>
                                <w:sz w:val="18"/>
                                <w:szCs w:val="20"/>
                              </w:rPr>
                              <w:t>YES/NO</w:t>
                            </w:r>
                          </w:p>
                          <w:p w14:paraId="73369335" w14:textId="77777777" w:rsidR="00D17811" w:rsidRPr="003B746C" w:rsidRDefault="00D17811" w:rsidP="00D17811">
                            <w:pPr>
                              <w:spacing w:before="240" w:after="0"/>
                              <w:rPr>
                                <w:rFonts w:cs="Arial"/>
                                <w:b/>
                                <w:sz w:val="18"/>
                                <w:szCs w:val="20"/>
                              </w:rPr>
                            </w:pPr>
                            <w:r>
                              <w:rPr>
                                <w:rFonts w:cs="Arial"/>
                                <w:b/>
                                <w:sz w:val="18"/>
                                <w:szCs w:val="20"/>
                              </w:rPr>
                              <w:t xml:space="preserve"> 17 MAY 2024                         </w:t>
                            </w:r>
                            <w:r w:rsidRPr="003B746C">
                              <w:rPr>
                                <w:rFonts w:cs="Arial"/>
                                <w:b/>
                                <w:sz w:val="18"/>
                                <w:szCs w:val="20"/>
                              </w:rPr>
                              <w:tab/>
                            </w:r>
                            <w:r>
                              <w:rPr>
                                <w:rFonts w:cs="Arial"/>
                                <w:b/>
                                <w:sz w:val="18"/>
                                <w:szCs w:val="20"/>
                              </w:rPr>
                              <w:t xml:space="preserve">       ML SENYATSI</w:t>
                            </w:r>
                          </w:p>
                          <w:p w14:paraId="0FBA5649" w14:textId="77777777" w:rsidR="00D17811" w:rsidRPr="003B746C" w:rsidRDefault="00D17811" w:rsidP="00D17811">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F2CD2" id="_x0000_t202" coordsize="21600,21600" o:spt="202" path="m,l,21600r21600,l21600,xe">
                <v:stroke joinstyle="miter"/>
                <v:path gradientshapeok="t" o:connecttype="rect"/>
              </v:shapetype>
              <v:shape id="Text Box 1" o:spid="_x0000_s1026" type="#_x0000_t202" style="position:absolute;margin-left:0;margin-top:.6pt;width:219.75pt;height:81.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">
                <v:textbox>
                  <w:txbxContent>
                    <w:p w14:paraId="3C49E99D" w14:textId="77777777" w:rsidR="00D17811" w:rsidRPr="003B746C" w:rsidRDefault="00D17811" w:rsidP="00D17811">
                      <w:pPr>
                        <w:numPr>
                          <w:ilvl w:val="0"/>
                          <w:numId w:val="3"/>
                        </w:numPr>
                        <w:spacing w:after="0" w:line="240" w:lineRule="auto"/>
                        <w:rPr>
                          <w:rFonts w:cs="Arial"/>
                          <w:sz w:val="18"/>
                          <w:szCs w:val="20"/>
                        </w:rPr>
                      </w:pPr>
                      <w:r w:rsidRPr="003B746C">
                        <w:rPr>
                          <w:rFonts w:cs="Arial"/>
                          <w:sz w:val="18"/>
                          <w:szCs w:val="20"/>
                        </w:rPr>
                        <w:t xml:space="preserve">REPORTABLE: </w:t>
                      </w:r>
                      <w:r w:rsidRPr="0054161A">
                        <w:rPr>
                          <w:rFonts w:cs="Arial"/>
                          <w:sz w:val="18"/>
                          <w:szCs w:val="20"/>
                        </w:rPr>
                        <w:t>YES / NO</w:t>
                      </w:r>
                    </w:p>
                    <w:p w14:paraId="7A9404F9" w14:textId="77777777" w:rsidR="00D17811" w:rsidRPr="003B746C" w:rsidRDefault="00D17811" w:rsidP="00D17811">
                      <w:pPr>
                        <w:numPr>
                          <w:ilvl w:val="0"/>
                          <w:numId w:val="3"/>
                        </w:numPr>
                        <w:spacing w:after="0" w:line="240" w:lineRule="auto"/>
                        <w:rPr>
                          <w:rFonts w:cs="Arial"/>
                          <w:sz w:val="18"/>
                          <w:szCs w:val="20"/>
                        </w:rPr>
                      </w:pPr>
                      <w:r w:rsidRPr="003B746C">
                        <w:rPr>
                          <w:rFonts w:cs="Arial"/>
                          <w:sz w:val="18"/>
                          <w:szCs w:val="20"/>
                        </w:rPr>
                        <w:t xml:space="preserve">OF INTEREST TO OTHER JUDGES: </w:t>
                      </w:r>
                      <w:r w:rsidRPr="0054161A">
                        <w:rPr>
                          <w:rFonts w:cs="Arial"/>
                          <w:sz w:val="18"/>
                          <w:szCs w:val="20"/>
                        </w:rPr>
                        <w:t>YES/NO</w:t>
                      </w:r>
                    </w:p>
                    <w:p w14:paraId="1B8FB59A" w14:textId="77777777" w:rsidR="00D17811" w:rsidRDefault="00D17811" w:rsidP="00D17811">
                      <w:pPr>
                        <w:numPr>
                          <w:ilvl w:val="0"/>
                          <w:numId w:val="3"/>
                        </w:numPr>
                        <w:spacing w:after="0" w:line="240" w:lineRule="auto"/>
                        <w:rPr>
                          <w:rFonts w:cs="Arial"/>
                          <w:sz w:val="18"/>
                          <w:szCs w:val="20"/>
                        </w:rPr>
                      </w:pPr>
                      <w:r w:rsidRPr="003B746C">
                        <w:rPr>
                          <w:rFonts w:cs="Arial"/>
                          <w:sz w:val="18"/>
                          <w:szCs w:val="20"/>
                        </w:rPr>
                        <w:t xml:space="preserve">REVISED: </w:t>
                      </w:r>
                      <w:r w:rsidRPr="0054161A">
                        <w:rPr>
                          <w:rFonts w:cs="Arial"/>
                          <w:sz w:val="18"/>
                          <w:szCs w:val="20"/>
                        </w:rPr>
                        <w:t>YES/NO</w:t>
                      </w:r>
                    </w:p>
                    <w:p w14:paraId="73369335" w14:textId="77777777" w:rsidR="00D17811" w:rsidRPr="003B746C" w:rsidRDefault="00D17811" w:rsidP="00D17811">
                      <w:pPr>
                        <w:spacing w:before="240" w:after="0"/>
                        <w:rPr>
                          <w:rFonts w:cs="Arial"/>
                          <w:b/>
                          <w:sz w:val="18"/>
                          <w:szCs w:val="20"/>
                        </w:rPr>
                      </w:pPr>
                      <w:r>
                        <w:rPr>
                          <w:rFonts w:cs="Arial"/>
                          <w:b/>
                          <w:sz w:val="18"/>
                          <w:szCs w:val="20"/>
                        </w:rPr>
                        <w:t xml:space="preserve"> 17 MAY 2024                         </w:t>
                      </w:r>
                      <w:r w:rsidRPr="003B746C">
                        <w:rPr>
                          <w:rFonts w:cs="Arial"/>
                          <w:b/>
                          <w:sz w:val="18"/>
                          <w:szCs w:val="20"/>
                        </w:rPr>
                        <w:tab/>
                      </w:r>
                      <w:r>
                        <w:rPr>
                          <w:rFonts w:cs="Arial"/>
                          <w:b/>
                          <w:sz w:val="18"/>
                          <w:szCs w:val="20"/>
                        </w:rPr>
                        <w:t xml:space="preserve">       ML SENYATSI</w:t>
                      </w:r>
                    </w:p>
                    <w:p w14:paraId="0FBA5649" w14:textId="77777777" w:rsidR="00D17811" w:rsidRPr="003B746C" w:rsidRDefault="00D17811" w:rsidP="00D17811">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v:textbox>
                <w10:wrap anchorx="margin"/>
              </v:shape>
            </w:pict>
          </mc:Fallback>
        </mc:AlternateContent>
      </w:r>
    </w:p>
    <w:p w14:paraId="26364A7C" w14:textId="77777777" w:rsidR="00D17811" w:rsidRDefault="00D17811" w:rsidP="00CC464E">
      <w:pPr>
        <w:suppressAutoHyphens/>
        <w:spacing w:after="0" w:line="480" w:lineRule="auto"/>
        <w:rPr>
          <w:rFonts w:ascii="Times New Roman" w:eastAsia="Times New Roman" w:hAnsi="Times New Roman" w:cs="Times New Roman"/>
          <w:sz w:val="28"/>
          <w:szCs w:val="28"/>
        </w:rPr>
      </w:pPr>
    </w:p>
    <w:p w14:paraId="531D42AB" w14:textId="77777777" w:rsidR="00D17811" w:rsidRDefault="00D17811" w:rsidP="00CC464E">
      <w:pPr>
        <w:suppressAutoHyphens/>
        <w:spacing w:after="0" w:line="480" w:lineRule="auto"/>
        <w:rPr>
          <w:rFonts w:ascii="Times New Roman" w:eastAsia="Times New Roman" w:hAnsi="Times New Roman" w:cs="Times New Roman"/>
          <w:sz w:val="28"/>
          <w:szCs w:val="28"/>
        </w:rPr>
      </w:pPr>
    </w:p>
    <w:p w14:paraId="626F5943" w14:textId="4DD08222"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59CB2EBA" w14:textId="77777777" w:rsidR="00EF1DE4" w:rsidRPr="00EF1DE4" w:rsidRDefault="00EF1DE4" w:rsidP="00EF1DE4">
            <w:pPr>
              <w:autoSpaceDE w:val="0"/>
              <w:autoSpaceDN w:val="0"/>
              <w:adjustRightInd w:val="0"/>
              <w:spacing w:after="0" w:line="240" w:lineRule="auto"/>
              <w:rPr>
                <w:rFonts w:ascii="Times New Roman" w:hAnsi="Times New Roman" w:cs="Times New Roman"/>
                <w:b/>
                <w:bCs/>
                <w:sz w:val="28"/>
                <w:szCs w:val="28"/>
              </w:rPr>
            </w:pPr>
            <w:r w:rsidRPr="00EF1DE4">
              <w:rPr>
                <w:rFonts w:ascii="Times New Roman" w:hAnsi="Times New Roman" w:cs="Times New Roman"/>
                <w:b/>
                <w:bCs/>
                <w:sz w:val="28"/>
                <w:szCs w:val="28"/>
              </w:rPr>
              <w:t>BETAPOINT MANAGEMENT CONSULTANTS</w:t>
            </w:r>
          </w:p>
          <w:p w14:paraId="597E8DEF" w14:textId="2338D146" w:rsidR="00EF1DE4" w:rsidRDefault="00EF1DE4" w:rsidP="00EF1DE4">
            <w:pPr>
              <w:autoSpaceDE w:val="0"/>
              <w:autoSpaceDN w:val="0"/>
              <w:adjustRightInd w:val="0"/>
              <w:spacing w:after="0" w:line="240" w:lineRule="auto"/>
              <w:rPr>
                <w:rFonts w:ascii="Times New Roman" w:hAnsi="Times New Roman" w:cs="Times New Roman"/>
                <w:sz w:val="28"/>
                <w:szCs w:val="28"/>
              </w:rPr>
            </w:pPr>
            <w:r w:rsidRPr="00EF1DE4">
              <w:rPr>
                <w:rFonts w:ascii="Times New Roman" w:hAnsi="Times New Roman" w:cs="Times New Roman"/>
                <w:b/>
                <w:bCs/>
                <w:sz w:val="28"/>
                <w:szCs w:val="28"/>
              </w:rPr>
              <w:t>(PTY) LTD</w:t>
            </w:r>
            <w:r w:rsidR="00D17811">
              <w:rPr>
                <w:rFonts w:ascii="Times New Roman" w:hAnsi="Times New Roman" w:cs="Times New Roman"/>
                <w:b/>
                <w:bCs/>
                <w:sz w:val="28"/>
                <w:szCs w:val="28"/>
              </w:rPr>
              <w:t xml:space="preserve">                                                               </w:t>
            </w:r>
          </w:p>
          <w:p w14:paraId="6F51402C" w14:textId="77777777" w:rsidR="00D17811" w:rsidRPr="00D17811" w:rsidRDefault="00D17811" w:rsidP="00EF1DE4">
            <w:pPr>
              <w:autoSpaceDE w:val="0"/>
              <w:autoSpaceDN w:val="0"/>
              <w:adjustRightInd w:val="0"/>
              <w:spacing w:after="0" w:line="240" w:lineRule="auto"/>
              <w:rPr>
                <w:rFonts w:ascii="Times New Roman" w:hAnsi="Times New Roman" w:cs="Times New Roman"/>
                <w:b/>
                <w:bCs/>
                <w:sz w:val="28"/>
                <w:szCs w:val="28"/>
              </w:rPr>
            </w:pPr>
          </w:p>
          <w:p w14:paraId="6717EF5A" w14:textId="77777777" w:rsidR="00EF1DE4" w:rsidRPr="00EF1DE4" w:rsidRDefault="00EF1DE4" w:rsidP="00EF1DE4">
            <w:pPr>
              <w:autoSpaceDE w:val="0"/>
              <w:autoSpaceDN w:val="0"/>
              <w:adjustRightInd w:val="0"/>
              <w:spacing w:after="0" w:line="240" w:lineRule="auto"/>
              <w:rPr>
                <w:rFonts w:ascii="Times New Roman" w:hAnsi="Times New Roman" w:cs="Times New Roman"/>
                <w:b/>
                <w:bCs/>
                <w:sz w:val="28"/>
                <w:szCs w:val="28"/>
              </w:rPr>
            </w:pPr>
            <w:r w:rsidRPr="00EF1DE4">
              <w:rPr>
                <w:rFonts w:ascii="Times New Roman" w:hAnsi="Times New Roman" w:cs="Times New Roman"/>
                <w:b/>
                <w:bCs/>
                <w:sz w:val="28"/>
                <w:szCs w:val="28"/>
              </w:rPr>
              <w:t>and</w:t>
            </w:r>
          </w:p>
          <w:p w14:paraId="71A6A040" w14:textId="77777777" w:rsidR="00D17811" w:rsidRDefault="00D17811" w:rsidP="00EF1DE4">
            <w:pPr>
              <w:widowControl w:val="0"/>
              <w:suppressAutoHyphens/>
              <w:spacing w:after="120" w:line="480" w:lineRule="auto"/>
              <w:jc w:val="both"/>
              <w:rPr>
                <w:rFonts w:ascii="Times New Roman" w:hAnsi="Times New Roman" w:cs="Times New Roman"/>
                <w:b/>
                <w:bCs/>
                <w:sz w:val="28"/>
                <w:szCs w:val="28"/>
              </w:rPr>
            </w:pPr>
          </w:p>
          <w:p w14:paraId="7907BDDC" w14:textId="77777777" w:rsidR="00D17811" w:rsidRDefault="00EF1DE4" w:rsidP="00D17811">
            <w:pPr>
              <w:widowControl w:val="0"/>
              <w:suppressAutoHyphens/>
              <w:spacing w:after="120" w:line="240" w:lineRule="auto"/>
              <w:jc w:val="both"/>
              <w:rPr>
                <w:rFonts w:ascii="Times New Roman" w:hAnsi="Times New Roman" w:cs="Times New Roman"/>
                <w:b/>
                <w:bCs/>
                <w:sz w:val="28"/>
                <w:szCs w:val="28"/>
              </w:rPr>
            </w:pPr>
            <w:r w:rsidRPr="00EF1DE4">
              <w:rPr>
                <w:rFonts w:ascii="Times New Roman" w:hAnsi="Times New Roman" w:cs="Times New Roman"/>
                <w:b/>
                <w:bCs/>
                <w:sz w:val="28"/>
                <w:szCs w:val="28"/>
              </w:rPr>
              <w:t xml:space="preserve">KPMG SERVICES (PTY) </w:t>
            </w:r>
          </w:p>
          <w:p w14:paraId="1A68E525" w14:textId="77777777" w:rsidR="00CC464E" w:rsidRDefault="00EF1DE4" w:rsidP="00D17811">
            <w:pPr>
              <w:widowControl w:val="0"/>
              <w:suppressAutoHyphens/>
              <w:spacing w:after="120" w:line="240" w:lineRule="auto"/>
              <w:jc w:val="both"/>
              <w:rPr>
                <w:rFonts w:ascii="Times New Roman" w:hAnsi="Times New Roman" w:cs="Times New Roman"/>
                <w:b/>
                <w:bCs/>
                <w:sz w:val="28"/>
                <w:szCs w:val="28"/>
              </w:rPr>
            </w:pPr>
            <w:r w:rsidRPr="00EF1DE4">
              <w:rPr>
                <w:rFonts w:ascii="Times New Roman" w:hAnsi="Times New Roman" w:cs="Times New Roman"/>
                <w:b/>
                <w:bCs/>
                <w:sz w:val="28"/>
                <w:szCs w:val="28"/>
              </w:rPr>
              <w:t xml:space="preserve">LIMITED SA </w:t>
            </w:r>
          </w:p>
          <w:p w14:paraId="74E74335" w14:textId="32260E84" w:rsidR="008E4E23" w:rsidRPr="00EF1DE4" w:rsidRDefault="008E4E23" w:rsidP="00D17811">
            <w:pPr>
              <w:widowControl w:val="0"/>
              <w:suppressAutoHyphens/>
              <w:spacing w:after="120" w:line="240" w:lineRule="auto"/>
              <w:jc w:val="both"/>
              <w:rPr>
                <w:rFonts w:ascii="Times New Roman" w:eastAsia="Times New Roman" w:hAnsi="Times New Roman" w:cs="Times New Roman"/>
                <w:b/>
                <w:sz w:val="28"/>
                <w:szCs w:val="28"/>
                <w:lang w:val="en-US"/>
              </w:rPr>
            </w:pPr>
          </w:p>
        </w:tc>
        <w:tc>
          <w:tcPr>
            <w:tcW w:w="3435" w:type="dxa"/>
          </w:tcPr>
          <w:p w14:paraId="797AA176" w14:textId="77777777" w:rsidR="00CC464E" w:rsidRDefault="00D17811"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Plaintiff/Respondent</w:t>
            </w:r>
          </w:p>
          <w:p w14:paraId="0C23A290" w14:textId="77777777" w:rsidR="00D17811" w:rsidRDefault="00D17811" w:rsidP="00B57152">
            <w:pPr>
              <w:widowControl w:val="0"/>
              <w:suppressAutoHyphens/>
              <w:spacing w:after="0" w:line="480" w:lineRule="auto"/>
              <w:rPr>
                <w:rFonts w:ascii="Times New Roman" w:eastAsia="Times New Roman" w:hAnsi="Times New Roman" w:cs="Times New Roman"/>
                <w:sz w:val="28"/>
                <w:szCs w:val="28"/>
                <w:lang w:val="en-US"/>
              </w:rPr>
            </w:pPr>
          </w:p>
          <w:p w14:paraId="781E8732" w14:textId="77777777" w:rsidR="00D17811" w:rsidRDefault="00D17811" w:rsidP="00B57152">
            <w:pPr>
              <w:widowControl w:val="0"/>
              <w:suppressAutoHyphens/>
              <w:spacing w:after="0" w:line="480" w:lineRule="auto"/>
              <w:rPr>
                <w:rFonts w:ascii="Times New Roman" w:eastAsia="Times New Roman" w:hAnsi="Times New Roman" w:cs="Times New Roman"/>
                <w:sz w:val="28"/>
                <w:szCs w:val="28"/>
                <w:lang w:val="en-US"/>
              </w:rPr>
            </w:pPr>
          </w:p>
          <w:p w14:paraId="6877DF83" w14:textId="77777777" w:rsidR="00D17811" w:rsidRDefault="00D17811" w:rsidP="00B57152">
            <w:pPr>
              <w:widowControl w:val="0"/>
              <w:suppressAutoHyphens/>
              <w:spacing w:after="0" w:line="480" w:lineRule="auto"/>
              <w:rPr>
                <w:rFonts w:ascii="Times New Roman" w:eastAsia="Times New Roman" w:hAnsi="Times New Roman" w:cs="Times New Roman"/>
                <w:sz w:val="28"/>
                <w:szCs w:val="28"/>
                <w:lang w:val="en-US"/>
              </w:rPr>
            </w:pPr>
          </w:p>
          <w:p w14:paraId="0F53CECB" w14:textId="40EF009F" w:rsidR="00D17811" w:rsidRPr="008A779E" w:rsidRDefault="00D17811"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Defendant/Excipient</w:t>
            </w:r>
          </w:p>
        </w:tc>
      </w:tr>
    </w:tbl>
    <w:p w14:paraId="2BF4029D" w14:textId="28D606CD" w:rsidR="00CC464E" w:rsidRDefault="00CC464E" w:rsidP="00D17811">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t>JUDGMEN</w:t>
      </w:r>
      <w:r w:rsidR="00630B24" w:rsidRPr="008A779E">
        <w:rPr>
          <w:rFonts w:ascii="Times New Roman" w:eastAsia="Arial Unicode MS" w:hAnsi="Times New Roman" w:cs="Times New Roman"/>
          <w:b/>
          <w:sz w:val="28"/>
          <w:szCs w:val="28"/>
        </w:rPr>
        <w:t>T</w:t>
      </w:r>
    </w:p>
    <w:p w14:paraId="0B513B7C" w14:textId="74452662" w:rsidR="00D17811" w:rsidRPr="008A779E" w:rsidRDefault="00D17811" w:rsidP="00D17811">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(Leave to Appeal Application)</w:t>
      </w:r>
    </w:p>
    <w:p w14:paraId="7A138CF7" w14:textId="77777777" w:rsidR="00F841E0" w:rsidRDefault="00F841E0" w:rsidP="00F841E0">
      <w:pPr>
        <w:suppressAutoHyphens/>
        <w:spacing w:before="320" w:after="320" w:line="480" w:lineRule="auto"/>
        <w:ind w:left="720" w:hanging="720"/>
        <w:jc w:val="both"/>
        <w:outlineLvl w:val="0"/>
        <w:rPr>
          <w:rFonts w:ascii="Times New Roman" w:eastAsia="Times New Roman" w:hAnsi="Times New Roman" w:cs="Times New Roman"/>
          <w:b/>
          <w:sz w:val="28"/>
          <w:szCs w:val="28"/>
        </w:rPr>
      </w:pPr>
    </w:p>
    <w:p w14:paraId="25A4F870" w14:textId="77777777" w:rsidR="00F841E0" w:rsidRDefault="00F841E0" w:rsidP="00F841E0">
      <w:pPr>
        <w:suppressAutoHyphens/>
        <w:spacing w:before="320" w:after="320" w:line="480" w:lineRule="auto"/>
        <w:ind w:left="720" w:hanging="720"/>
        <w:jc w:val="both"/>
        <w:outlineLvl w:val="0"/>
        <w:rPr>
          <w:rFonts w:ascii="Times New Roman" w:eastAsia="Times New Roman" w:hAnsi="Times New Roman" w:cs="Times New Roman"/>
          <w:b/>
          <w:sz w:val="28"/>
          <w:szCs w:val="28"/>
        </w:rPr>
      </w:pPr>
    </w:p>
    <w:p w14:paraId="4B14FF9A" w14:textId="5B13E780" w:rsidR="00CC464E" w:rsidRPr="00F841E0" w:rsidRDefault="00CC464E" w:rsidP="00F841E0">
      <w:pPr>
        <w:suppressAutoHyphens/>
        <w:spacing w:before="320" w:after="320" w:line="480" w:lineRule="auto"/>
        <w:ind w:left="720" w:hanging="720"/>
        <w:jc w:val="both"/>
        <w:outlineLvl w:val="0"/>
        <w:rPr>
          <w:rFonts w:ascii="Times New Roman" w:eastAsia="Times New Roman" w:hAnsi="Times New Roman" w:cs="Times New Roman"/>
          <w:bCs/>
          <w:sz w:val="28"/>
          <w:szCs w:val="28"/>
        </w:rPr>
      </w:pPr>
      <w:r w:rsidRPr="00F841E0">
        <w:rPr>
          <w:rFonts w:ascii="Times New Roman" w:eastAsia="Times New Roman" w:hAnsi="Times New Roman" w:cs="Times New Roman"/>
          <w:b/>
          <w:sz w:val="28"/>
          <w:szCs w:val="28"/>
        </w:rPr>
        <w:t>SENYATSI</w:t>
      </w:r>
      <w:r w:rsidR="00F841E0" w:rsidRPr="00F841E0">
        <w:rPr>
          <w:rFonts w:ascii="Times New Roman" w:eastAsia="Times New Roman" w:hAnsi="Times New Roman" w:cs="Times New Roman"/>
          <w:b/>
          <w:sz w:val="28"/>
          <w:szCs w:val="28"/>
        </w:rPr>
        <w:t>,</w:t>
      </w:r>
      <w:r w:rsidRPr="00F841E0">
        <w:rPr>
          <w:rFonts w:ascii="Times New Roman" w:eastAsia="Times New Roman" w:hAnsi="Times New Roman" w:cs="Times New Roman"/>
          <w:b/>
          <w:sz w:val="28"/>
          <w:szCs w:val="28"/>
        </w:rPr>
        <w:t xml:space="preserve"> J</w:t>
      </w:r>
    </w:p>
    <w:p w14:paraId="17F57629" w14:textId="763D4AF7" w:rsidR="00EF1DE4" w:rsidRPr="00F841E0" w:rsidRDefault="00CC464E" w:rsidP="00F841E0">
      <w:pPr>
        <w:autoSpaceDE w:val="0"/>
        <w:autoSpaceDN w:val="0"/>
        <w:adjustRightInd w:val="0"/>
        <w:spacing w:after="0" w:line="360" w:lineRule="auto"/>
        <w:ind w:left="720" w:hanging="650"/>
        <w:jc w:val="both"/>
        <w:rPr>
          <w:rFonts w:ascii="Times New Roman" w:hAnsi="Times New Roman" w:cs="Times New Roman"/>
          <w:sz w:val="28"/>
          <w:szCs w:val="28"/>
        </w:rPr>
      </w:pPr>
      <w:r w:rsidRPr="008A779E">
        <w:rPr>
          <w:rFonts w:ascii="Times New Roman" w:eastAsia="Calibri" w:hAnsi="Times New Roman" w:cs="Times New Roman"/>
          <w:sz w:val="28"/>
          <w:szCs w:val="28"/>
          <w:lang w:val="en-GB"/>
        </w:rPr>
        <w:t>[1</w:t>
      </w:r>
      <w:r w:rsidR="00565E83" w:rsidRPr="008A779E">
        <w:rPr>
          <w:rFonts w:ascii="Times New Roman" w:eastAsia="Calibri" w:hAnsi="Times New Roman" w:cs="Times New Roman"/>
          <w:sz w:val="28"/>
          <w:szCs w:val="28"/>
          <w:lang w:val="en-GB"/>
        </w:rPr>
        <w:t>]</w:t>
      </w:r>
      <w:r w:rsidR="00565E83">
        <w:rPr>
          <w:rFonts w:ascii="Times New Roman" w:eastAsia="Calibri" w:hAnsi="Times New Roman" w:cs="Times New Roman"/>
          <w:sz w:val="28"/>
          <w:szCs w:val="28"/>
          <w:lang w:val="en-GB"/>
        </w:rPr>
        <w:t xml:space="preserve"> </w:t>
      </w:r>
      <w:r w:rsidR="00565E83" w:rsidRPr="008A779E">
        <w:rPr>
          <w:rFonts w:ascii="Times New Roman" w:eastAsia="Calibri" w:hAnsi="Times New Roman" w:cs="Times New Roman"/>
          <w:sz w:val="28"/>
          <w:szCs w:val="28"/>
          <w:lang w:val="en-GB"/>
        </w:rPr>
        <w:tab/>
      </w:r>
      <w:r w:rsidR="00EF1DE4" w:rsidRPr="00F841E0">
        <w:rPr>
          <w:rFonts w:ascii="Times New Roman" w:eastAsia="Calibri" w:hAnsi="Times New Roman" w:cs="Times New Roman"/>
          <w:sz w:val="28"/>
          <w:szCs w:val="28"/>
          <w:lang w:val="en-GB"/>
        </w:rPr>
        <w:t xml:space="preserve">This is an application for leave to appeal </w:t>
      </w:r>
      <w:r w:rsidR="00EF1DE4" w:rsidRPr="00F841E0">
        <w:rPr>
          <w:rFonts w:ascii="Times New Roman" w:hAnsi="Times New Roman" w:cs="Times New Roman"/>
          <w:sz w:val="28"/>
          <w:szCs w:val="28"/>
        </w:rPr>
        <w:t>to the Supreme Court of Appeal alternatively the Full Court against</w:t>
      </w:r>
      <w:r w:rsidR="00F841E0" w:rsidRPr="00F841E0">
        <w:rPr>
          <w:rFonts w:ascii="Times New Roman" w:hAnsi="Times New Roman" w:cs="Times New Roman"/>
          <w:sz w:val="28"/>
          <w:szCs w:val="28"/>
        </w:rPr>
        <w:t xml:space="preserve"> </w:t>
      </w:r>
      <w:r w:rsidR="00EF1DE4" w:rsidRPr="00F841E0">
        <w:rPr>
          <w:rFonts w:ascii="Times New Roman" w:hAnsi="Times New Roman" w:cs="Times New Roman"/>
          <w:sz w:val="28"/>
          <w:szCs w:val="28"/>
        </w:rPr>
        <w:t>paragraphs 1 and 3 of the order I granted on 24 January 2024, in which I upheld the defendant’s first ground of exception and directed that there would be no order as to costs.</w:t>
      </w:r>
    </w:p>
    <w:p w14:paraId="14612B91" w14:textId="3EC2BE17" w:rsidR="00EF1DE4" w:rsidRPr="00F841E0" w:rsidRDefault="00EF1DE4" w:rsidP="00F841E0">
      <w:pPr>
        <w:autoSpaceDE w:val="0"/>
        <w:autoSpaceDN w:val="0"/>
        <w:adjustRightInd w:val="0"/>
        <w:spacing w:after="0" w:line="360" w:lineRule="auto"/>
        <w:rPr>
          <w:rFonts w:ascii="Times New Roman" w:hAnsi="Times New Roman" w:cs="Times New Roman"/>
          <w:sz w:val="28"/>
          <w:szCs w:val="28"/>
        </w:rPr>
      </w:pPr>
    </w:p>
    <w:p w14:paraId="6238E192" w14:textId="52BB0CD4" w:rsidR="000D31BC" w:rsidRPr="00F841E0" w:rsidRDefault="00F252FC" w:rsidP="00E166B0">
      <w:pPr>
        <w:spacing w:line="360" w:lineRule="auto"/>
        <w:ind w:left="720" w:hanging="720"/>
        <w:jc w:val="both"/>
        <w:rPr>
          <w:rFonts w:ascii="Times New Roman" w:eastAsia="Calibri" w:hAnsi="Times New Roman" w:cs="Times New Roman"/>
          <w:sz w:val="28"/>
          <w:szCs w:val="28"/>
          <w:lang w:val="en-GB"/>
        </w:rPr>
      </w:pPr>
      <w:r w:rsidRPr="00F841E0">
        <w:rPr>
          <w:rFonts w:ascii="Times New Roman" w:eastAsia="Calibri" w:hAnsi="Times New Roman" w:cs="Times New Roman"/>
          <w:sz w:val="28"/>
          <w:szCs w:val="28"/>
          <w:lang w:val="en-GB"/>
        </w:rPr>
        <w:t xml:space="preserve">[2] </w:t>
      </w:r>
      <w:r w:rsidR="00F841E0" w:rsidRPr="00F841E0">
        <w:rPr>
          <w:rFonts w:ascii="Times New Roman" w:eastAsia="Calibri" w:hAnsi="Times New Roman" w:cs="Times New Roman"/>
          <w:sz w:val="28"/>
          <w:szCs w:val="28"/>
          <w:lang w:val="en-GB"/>
        </w:rPr>
        <w:tab/>
      </w:r>
      <w:r w:rsidR="00EF1DE4" w:rsidRPr="00F841E0">
        <w:rPr>
          <w:rFonts w:ascii="Times New Roman" w:eastAsia="Calibri" w:hAnsi="Times New Roman" w:cs="Times New Roman"/>
          <w:sz w:val="28"/>
          <w:szCs w:val="28"/>
          <w:lang w:val="en-GB"/>
        </w:rPr>
        <w:t xml:space="preserve">The applicant raises </w:t>
      </w:r>
      <w:r w:rsidR="008E4E23">
        <w:rPr>
          <w:rFonts w:ascii="Times New Roman" w:eastAsia="Calibri" w:hAnsi="Times New Roman" w:cs="Times New Roman"/>
          <w:sz w:val="28"/>
          <w:szCs w:val="28"/>
          <w:lang w:val="en-GB"/>
        </w:rPr>
        <w:t>various</w:t>
      </w:r>
      <w:r w:rsidR="00E166B0">
        <w:rPr>
          <w:rFonts w:ascii="Times New Roman" w:eastAsia="Calibri" w:hAnsi="Times New Roman" w:cs="Times New Roman"/>
          <w:sz w:val="28"/>
          <w:szCs w:val="28"/>
          <w:lang w:val="en-GB"/>
        </w:rPr>
        <w:t xml:space="preserve"> </w:t>
      </w:r>
      <w:r w:rsidR="00EF1DE4" w:rsidRPr="00F841E0">
        <w:rPr>
          <w:rFonts w:ascii="Times New Roman" w:eastAsia="Calibri" w:hAnsi="Times New Roman" w:cs="Times New Roman"/>
          <w:sz w:val="28"/>
          <w:szCs w:val="28"/>
          <w:lang w:val="en-GB"/>
        </w:rPr>
        <w:t>grounds for leave to appeal the judgment</w:t>
      </w:r>
      <w:r w:rsidR="00C64EC4" w:rsidRPr="00F841E0">
        <w:rPr>
          <w:rFonts w:ascii="Times New Roman" w:eastAsia="Calibri" w:hAnsi="Times New Roman" w:cs="Times New Roman"/>
          <w:sz w:val="28"/>
          <w:szCs w:val="28"/>
          <w:lang w:val="en-GB"/>
        </w:rPr>
        <w:t xml:space="preserve"> and contends that there are reasonable prospects that the appeal would succeed as envisaged by </w:t>
      </w:r>
      <w:r w:rsidR="00C64EC4" w:rsidRPr="00F841E0">
        <w:rPr>
          <w:rFonts w:ascii="Times New Roman" w:eastAsia="Times New Roman" w:hAnsi="Times New Roman" w:cs="Times New Roman"/>
          <w:bCs/>
          <w:sz w:val="28"/>
          <w:szCs w:val="28"/>
          <w:lang w:val="en-US"/>
        </w:rPr>
        <w:t>section 17(1)(a) of the Superior Courts Act No. 10 of 2013.</w:t>
      </w:r>
      <w:r w:rsidR="00DB6072" w:rsidRPr="00F841E0">
        <w:rPr>
          <w:rFonts w:ascii="Times New Roman" w:eastAsia="Times New Roman" w:hAnsi="Times New Roman" w:cs="Times New Roman"/>
          <w:bCs/>
          <w:sz w:val="28"/>
          <w:szCs w:val="28"/>
          <w:lang w:val="en-US"/>
        </w:rPr>
        <w:t xml:space="preserve"> The grounds of leave to appeal will not be repeated in this judgment.</w:t>
      </w:r>
    </w:p>
    <w:p w14:paraId="7F3F768B" w14:textId="01646EDB" w:rsidR="00CC464E" w:rsidRPr="00F841E0" w:rsidRDefault="00CC464E" w:rsidP="00F841E0">
      <w:pPr>
        <w:spacing w:line="360" w:lineRule="auto"/>
        <w:ind w:left="720" w:hanging="660"/>
        <w:jc w:val="both"/>
        <w:rPr>
          <w:rFonts w:ascii="Times New Roman" w:eastAsia="Calibri" w:hAnsi="Times New Roman" w:cs="Times New Roman"/>
          <w:sz w:val="28"/>
          <w:szCs w:val="28"/>
          <w:lang w:val="en-GB"/>
        </w:rPr>
      </w:pPr>
      <w:r w:rsidRPr="00F841E0">
        <w:rPr>
          <w:rFonts w:ascii="Times New Roman" w:eastAsia="Calibri" w:hAnsi="Times New Roman" w:cs="Times New Roman"/>
          <w:sz w:val="28"/>
          <w:szCs w:val="28"/>
          <w:lang w:val="en-GB"/>
        </w:rPr>
        <w:t>[</w:t>
      </w:r>
      <w:r w:rsidR="00C64EC4" w:rsidRPr="00F841E0">
        <w:rPr>
          <w:rFonts w:ascii="Times New Roman" w:eastAsia="Calibri" w:hAnsi="Times New Roman" w:cs="Times New Roman"/>
          <w:sz w:val="28"/>
          <w:szCs w:val="28"/>
          <w:lang w:val="en-GB"/>
        </w:rPr>
        <w:t>3</w:t>
      </w:r>
      <w:r w:rsidRPr="00F841E0">
        <w:rPr>
          <w:rFonts w:ascii="Times New Roman" w:eastAsia="Calibri" w:hAnsi="Times New Roman" w:cs="Times New Roman"/>
          <w:sz w:val="28"/>
          <w:szCs w:val="28"/>
          <w:lang w:val="en-GB"/>
        </w:rPr>
        <w:t>]</w:t>
      </w:r>
      <w:r w:rsidRPr="00F841E0">
        <w:rPr>
          <w:rFonts w:ascii="Times New Roman" w:eastAsia="Calibri" w:hAnsi="Times New Roman" w:cs="Times New Roman"/>
          <w:sz w:val="28"/>
          <w:szCs w:val="28"/>
          <w:lang w:val="en-GB"/>
        </w:rPr>
        <w:tab/>
      </w:r>
      <w:r w:rsidR="00DB6072" w:rsidRPr="00F841E0">
        <w:rPr>
          <w:rFonts w:ascii="Times New Roman" w:eastAsia="Calibri" w:hAnsi="Times New Roman" w:cs="Times New Roman"/>
          <w:sz w:val="28"/>
          <w:szCs w:val="28"/>
          <w:lang w:val="en-GB"/>
        </w:rPr>
        <w:t xml:space="preserve">The applicant contends that I ought to grant leave to appeal because there are reasonable prospects that the appeal would succeed </w:t>
      </w:r>
      <w:r w:rsidR="00DB6072" w:rsidRPr="00F841E0">
        <w:rPr>
          <w:rFonts w:ascii="Times New Roman" w:hAnsi="Times New Roman" w:cs="Times New Roman"/>
          <w:sz w:val="28"/>
          <w:szCs w:val="28"/>
        </w:rPr>
        <w:t xml:space="preserve">as contemplated by s 17(1)(i) of the Superior Courts Act, 10 of 2013 (the Act).  </w:t>
      </w:r>
    </w:p>
    <w:p w14:paraId="6ABA6DEE" w14:textId="6FC3D195" w:rsidR="00DB6072" w:rsidRPr="00F841E0" w:rsidRDefault="00CC464E" w:rsidP="00F841E0">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F841E0">
        <w:rPr>
          <w:rFonts w:ascii="Times New Roman" w:eastAsia="Calibri" w:hAnsi="Times New Roman" w:cs="Times New Roman"/>
          <w:sz w:val="28"/>
          <w:szCs w:val="28"/>
          <w:lang w:val="en-GB"/>
        </w:rPr>
        <w:t>[</w:t>
      </w:r>
      <w:r w:rsidR="00C64EC4" w:rsidRPr="00F841E0">
        <w:rPr>
          <w:rFonts w:ascii="Times New Roman" w:eastAsia="Calibri" w:hAnsi="Times New Roman" w:cs="Times New Roman"/>
          <w:sz w:val="28"/>
          <w:szCs w:val="28"/>
          <w:lang w:val="en-GB"/>
        </w:rPr>
        <w:t>4</w:t>
      </w:r>
      <w:r w:rsidR="00565E83" w:rsidRPr="00F841E0">
        <w:rPr>
          <w:rFonts w:ascii="Times New Roman" w:eastAsia="Calibri" w:hAnsi="Times New Roman" w:cs="Times New Roman"/>
          <w:sz w:val="28"/>
          <w:szCs w:val="28"/>
          <w:lang w:val="en-GB"/>
        </w:rPr>
        <w:t xml:space="preserve">] </w:t>
      </w:r>
      <w:r w:rsidR="00565E83" w:rsidRPr="00F841E0">
        <w:rPr>
          <w:rFonts w:ascii="Times New Roman" w:eastAsia="Calibri" w:hAnsi="Times New Roman" w:cs="Times New Roman"/>
          <w:sz w:val="28"/>
          <w:szCs w:val="28"/>
          <w:lang w:val="en-GB"/>
        </w:rPr>
        <w:tab/>
      </w:r>
      <w:r w:rsidR="00DB6072" w:rsidRPr="00F841E0">
        <w:rPr>
          <w:rFonts w:ascii="Times New Roman" w:eastAsia="Times New Roman" w:hAnsi="Times New Roman" w:cs="Times New Roman"/>
          <w:bCs/>
          <w:sz w:val="28"/>
          <w:szCs w:val="28"/>
          <w:lang w:val="en-US"/>
        </w:rPr>
        <w:t>The requirement and the test for granting leave to appeal are regulated by section 17(1)(a) of the Superior Courts Act No. 10 of 2013 which states as follows:</w:t>
      </w:r>
    </w:p>
    <w:p w14:paraId="0D182F49" w14:textId="77777777" w:rsidR="00DB6072" w:rsidRPr="00F841E0" w:rsidRDefault="00DB6072" w:rsidP="00F841E0">
      <w:pPr>
        <w:suppressAutoHyphens/>
        <w:spacing w:after="320" w:line="360" w:lineRule="auto"/>
        <w:ind w:left="2160" w:hanging="720"/>
        <w:jc w:val="both"/>
        <w:outlineLvl w:val="0"/>
        <w:rPr>
          <w:rFonts w:ascii="Times New Roman" w:eastAsia="Times New Roman" w:hAnsi="Times New Roman" w:cs="Times New Roman"/>
          <w:bCs/>
          <w:sz w:val="28"/>
          <w:szCs w:val="28"/>
          <w:lang w:val="en-US"/>
        </w:rPr>
      </w:pPr>
      <w:r w:rsidRPr="00F841E0">
        <w:rPr>
          <w:rFonts w:ascii="Times New Roman" w:eastAsia="Times New Roman" w:hAnsi="Times New Roman" w:cs="Times New Roman"/>
          <w:bCs/>
          <w:sz w:val="28"/>
          <w:szCs w:val="28"/>
          <w:lang w:val="en-US"/>
        </w:rPr>
        <w:t xml:space="preserve">“(1) </w:t>
      </w:r>
      <w:r w:rsidRPr="00F841E0">
        <w:rPr>
          <w:rFonts w:ascii="Times New Roman" w:eastAsia="Times New Roman" w:hAnsi="Times New Roman" w:cs="Times New Roman"/>
          <w:bCs/>
          <w:sz w:val="28"/>
          <w:szCs w:val="28"/>
          <w:lang w:val="en-US"/>
        </w:rPr>
        <w:tab/>
        <w:t>Leave to appeal may only be given where the judge or judges concerned are the opinion that –</w:t>
      </w:r>
    </w:p>
    <w:p w14:paraId="73DAC59A" w14:textId="379BF7C0" w:rsidR="00DB6072" w:rsidRPr="00F841E0" w:rsidRDefault="00DB6072" w:rsidP="00F841E0">
      <w:pPr>
        <w:suppressAutoHyphens/>
        <w:spacing w:after="320" w:line="360" w:lineRule="auto"/>
        <w:ind w:left="2160"/>
        <w:jc w:val="both"/>
        <w:outlineLvl w:val="0"/>
        <w:rPr>
          <w:rFonts w:ascii="Times New Roman" w:eastAsia="Times New Roman" w:hAnsi="Times New Roman" w:cs="Times New Roman"/>
          <w:bCs/>
          <w:sz w:val="28"/>
          <w:szCs w:val="28"/>
          <w:lang w:val="en-US"/>
        </w:rPr>
      </w:pPr>
      <w:r w:rsidRPr="00F841E0">
        <w:rPr>
          <w:rFonts w:ascii="Times New Roman" w:eastAsia="Times New Roman" w:hAnsi="Times New Roman" w:cs="Times New Roman"/>
          <w:bCs/>
          <w:sz w:val="28"/>
          <w:szCs w:val="28"/>
          <w:lang w:val="en-US"/>
        </w:rPr>
        <w:t xml:space="preserve">(a)(i) the appeal would have a reasonable prospect of success or                             </w:t>
      </w:r>
    </w:p>
    <w:p w14:paraId="2ADBAD17" w14:textId="77777777" w:rsidR="00DB6072" w:rsidRPr="00F841E0" w:rsidRDefault="00DB6072" w:rsidP="00F841E0">
      <w:pPr>
        <w:suppressAutoHyphens/>
        <w:spacing w:after="320" w:line="360" w:lineRule="auto"/>
        <w:ind w:left="2160"/>
        <w:jc w:val="both"/>
        <w:outlineLvl w:val="0"/>
        <w:rPr>
          <w:rFonts w:ascii="Times New Roman" w:eastAsia="Times New Roman" w:hAnsi="Times New Roman" w:cs="Times New Roman"/>
          <w:bCs/>
          <w:sz w:val="28"/>
          <w:szCs w:val="28"/>
          <w:lang w:val="en-US"/>
        </w:rPr>
      </w:pPr>
      <w:r w:rsidRPr="00F841E0">
        <w:rPr>
          <w:rFonts w:ascii="Times New Roman" w:eastAsia="Times New Roman" w:hAnsi="Times New Roman" w:cs="Times New Roman"/>
          <w:bCs/>
          <w:sz w:val="28"/>
          <w:szCs w:val="28"/>
          <w:lang w:val="en-US"/>
        </w:rPr>
        <w:lastRenderedPageBreak/>
        <w:t>(ii) there is some other compelling reason why the appeal should be heard, including conflicting judgments on the matter under consideration.”</w:t>
      </w:r>
    </w:p>
    <w:p w14:paraId="703C0394" w14:textId="4590C314" w:rsidR="00DB6072" w:rsidRPr="00F841E0" w:rsidRDefault="00CC464E" w:rsidP="00F841E0">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F841E0">
        <w:rPr>
          <w:rFonts w:ascii="Times New Roman" w:eastAsia="Calibri" w:hAnsi="Times New Roman" w:cs="Times New Roman"/>
          <w:sz w:val="28"/>
          <w:szCs w:val="28"/>
          <w:lang w:val="en-GB"/>
        </w:rPr>
        <w:t>[</w:t>
      </w:r>
      <w:r w:rsidR="00C64EC4" w:rsidRPr="00F841E0">
        <w:rPr>
          <w:rFonts w:ascii="Times New Roman" w:eastAsia="Calibri" w:hAnsi="Times New Roman" w:cs="Times New Roman"/>
          <w:sz w:val="28"/>
          <w:szCs w:val="28"/>
          <w:lang w:val="en-GB"/>
        </w:rPr>
        <w:t>5</w:t>
      </w:r>
      <w:r w:rsidRPr="00F841E0">
        <w:rPr>
          <w:rFonts w:ascii="Times New Roman" w:eastAsia="Calibri" w:hAnsi="Times New Roman" w:cs="Times New Roman"/>
          <w:sz w:val="28"/>
          <w:szCs w:val="28"/>
          <w:lang w:val="en-GB"/>
        </w:rPr>
        <w:t xml:space="preserve">] </w:t>
      </w:r>
      <w:r w:rsidRPr="00F841E0">
        <w:rPr>
          <w:rFonts w:ascii="Times New Roman" w:eastAsia="Calibri" w:hAnsi="Times New Roman" w:cs="Times New Roman"/>
          <w:sz w:val="28"/>
          <w:szCs w:val="28"/>
          <w:lang w:val="en-GB"/>
        </w:rPr>
        <w:tab/>
      </w:r>
      <w:r w:rsidR="00DB6072" w:rsidRPr="00F841E0">
        <w:rPr>
          <w:rFonts w:ascii="Times New Roman" w:eastAsia="Times New Roman" w:hAnsi="Times New Roman" w:cs="Times New Roman"/>
          <w:bCs/>
          <w:sz w:val="28"/>
          <w:szCs w:val="28"/>
          <w:lang w:val="en-US"/>
        </w:rPr>
        <w:t xml:space="preserve">In </w:t>
      </w:r>
      <w:r w:rsidR="00DB6072" w:rsidRPr="00F841E0">
        <w:rPr>
          <w:rFonts w:ascii="Times New Roman" w:eastAsia="Times New Roman" w:hAnsi="Times New Roman" w:cs="Times New Roman"/>
          <w:bCs/>
          <w:i/>
          <w:iCs/>
          <w:sz w:val="28"/>
          <w:szCs w:val="28"/>
          <w:lang w:val="en-US"/>
        </w:rPr>
        <w:t>Mont Chevaux Trust v Goosen and Others</w:t>
      </w:r>
      <w:r w:rsidR="00DB6072" w:rsidRPr="00F841E0">
        <w:rPr>
          <w:rFonts w:ascii="Times New Roman" w:eastAsia="Times New Roman" w:hAnsi="Times New Roman" w:cs="Times New Roman"/>
          <w:bCs/>
          <w:sz w:val="28"/>
          <w:szCs w:val="28"/>
          <w:u w:val="single"/>
          <w:vertAlign w:val="superscript"/>
          <w:lang w:val="en-US"/>
        </w:rPr>
        <w:footnoteReference w:id="1"/>
      </w:r>
      <w:r w:rsidR="00DB6072" w:rsidRPr="00F841E0">
        <w:rPr>
          <w:rFonts w:ascii="Times New Roman" w:eastAsia="Times New Roman" w:hAnsi="Times New Roman" w:cs="Times New Roman"/>
          <w:bCs/>
          <w:sz w:val="28"/>
          <w:szCs w:val="28"/>
          <w:lang w:val="en-US"/>
        </w:rPr>
        <w:t xml:space="preserve"> Bertelsman J interpreted the test as follows:</w:t>
      </w:r>
    </w:p>
    <w:p w14:paraId="49623276" w14:textId="77777777" w:rsidR="00DB6072" w:rsidRPr="00F841E0" w:rsidRDefault="00DB6072" w:rsidP="00F841E0">
      <w:pPr>
        <w:suppressAutoHyphens/>
        <w:spacing w:before="320" w:after="320" w:line="360" w:lineRule="auto"/>
        <w:ind w:left="720"/>
        <w:jc w:val="both"/>
        <w:outlineLvl w:val="0"/>
        <w:rPr>
          <w:rFonts w:ascii="Times New Roman" w:eastAsia="Times New Roman" w:hAnsi="Times New Roman" w:cs="Times New Roman"/>
          <w:bCs/>
          <w:sz w:val="24"/>
          <w:szCs w:val="24"/>
          <w:lang w:val="en-US"/>
        </w:rPr>
      </w:pPr>
      <w:r w:rsidRPr="00F841E0">
        <w:rPr>
          <w:rFonts w:ascii="Times New Roman" w:eastAsia="Times New Roman" w:hAnsi="Times New Roman" w:cs="Times New Roman"/>
          <w:bCs/>
          <w:sz w:val="24"/>
          <w:szCs w:val="24"/>
          <w:lang w:val="en-US"/>
        </w:rPr>
        <w:t>“It is clear that the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court will differ from the court whose judgment is sought to be appealed against.”</w:t>
      </w:r>
    </w:p>
    <w:p w14:paraId="6E284DC5" w14:textId="0A98F896" w:rsidR="00CC464E" w:rsidRPr="00F841E0" w:rsidRDefault="00CC464E" w:rsidP="00F841E0">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F841E0">
        <w:rPr>
          <w:rFonts w:ascii="Times New Roman" w:eastAsia="Times New Roman" w:hAnsi="Times New Roman" w:cs="Times New Roman"/>
          <w:bCs/>
          <w:sz w:val="28"/>
          <w:szCs w:val="28"/>
        </w:rPr>
        <w:t>[</w:t>
      </w:r>
      <w:r w:rsidR="00C64EC4" w:rsidRPr="00F841E0">
        <w:rPr>
          <w:rFonts w:ascii="Times New Roman" w:eastAsia="Times New Roman" w:hAnsi="Times New Roman" w:cs="Times New Roman"/>
          <w:bCs/>
          <w:sz w:val="28"/>
          <w:szCs w:val="28"/>
        </w:rPr>
        <w:t>6</w:t>
      </w:r>
      <w:r w:rsidRPr="00F841E0">
        <w:rPr>
          <w:rFonts w:ascii="Times New Roman" w:eastAsia="Times New Roman" w:hAnsi="Times New Roman" w:cs="Times New Roman"/>
          <w:bCs/>
          <w:sz w:val="28"/>
          <w:szCs w:val="28"/>
        </w:rPr>
        <w:t xml:space="preserve">] </w:t>
      </w:r>
      <w:r w:rsidRPr="00F841E0">
        <w:rPr>
          <w:rFonts w:ascii="Times New Roman" w:eastAsia="Times New Roman" w:hAnsi="Times New Roman" w:cs="Times New Roman"/>
          <w:bCs/>
          <w:sz w:val="28"/>
          <w:szCs w:val="28"/>
        </w:rPr>
        <w:tab/>
      </w:r>
      <w:r w:rsidR="00DB6072" w:rsidRPr="00F841E0">
        <w:rPr>
          <w:rFonts w:ascii="Times New Roman" w:eastAsia="Times New Roman" w:hAnsi="Times New Roman" w:cs="Times New Roman"/>
          <w:bCs/>
          <w:sz w:val="28"/>
          <w:szCs w:val="28"/>
          <w:lang w:val="en-US"/>
        </w:rPr>
        <w:t xml:space="preserve">In </w:t>
      </w:r>
      <w:r w:rsidR="00DB6072" w:rsidRPr="00F841E0">
        <w:rPr>
          <w:rFonts w:ascii="Times New Roman" w:eastAsia="Times New Roman" w:hAnsi="Times New Roman" w:cs="Times New Roman"/>
          <w:bCs/>
          <w:i/>
          <w:iCs/>
          <w:sz w:val="28"/>
          <w:szCs w:val="28"/>
          <w:lang w:val="en-US"/>
        </w:rPr>
        <w:t>Acting National Director of Public Prosecutions and Others v Democratic Alliance: In re: Democratic Alliance v Acting National Director of Public Prosecutions</w:t>
      </w:r>
      <w:r w:rsidR="00DB6072" w:rsidRPr="00F841E0">
        <w:rPr>
          <w:rFonts w:ascii="Times New Roman" w:eastAsia="Times New Roman" w:hAnsi="Times New Roman" w:cs="Times New Roman"/>
          <w:bCs/>
          <w:sz w:val="28"/>
          <w:szCs w:val="28"/>
          <w:vertAlign w:val="superscript"/>
          <w:lang w:val="en-US"/>
        </w:rPr>
        <w:footnoteReference w:id="2"/>
      </w:r>
      <w:r w:rsidR="00DB6072" w:rsidRPr="00F841E0">
        <w:rPr>
          <w:rFonts w:ascii="Times New Roman" w:eastAsia="Times New Roman" w:hAnsi="Times New Roman" w:cs="Times New Roman"/>
          <w:bCs/>
          <w:sz w:val="28"/>
          <w:szCs w:val="28"/>
          <w:lang w:val="en-US"/>
        </w:rPr>
        <w:t xml:space="preserve"> the court acknowledged the test by Bestertsman  J.</w:t>
      </w:r>
    </w:p>
    <w:p w14:paraId="710DE613" w14:textId="459A9C72" w:rsidR="00DB6072" w:rsidRPr="00F841E0" w:rsidRDefault="00CC464E" w:rsidP="00F841E0">
      <w:pPr>
        <w:suppressAutoHyphens/>
        <w:spacing w:before="320" w:after="320" w:line="360" w:lineRule="auto"/>
        <w:ind w:left="567" w:hanging="567"/>
        <w:jc w:val="both"/>
        <w:outlineLvl w:val="0"/>
        <w:rPr>
          <w:rFonts w:ascii="Times New Roman" w:eastAsia="Times New Roman" w:hAnsi="Times New Roman" w:cs="Times New Roman"/>
          <w:bCs/>
          <w:sz w:val="28"/>
          <w:szCs w:val="28"/>
          <w:lang w:val="en-US"/>
        </w:rPr>
      </w:pPr>
      <w:r w:rsidRPr="00F841E0">
        <w:rPr>
          <w:rFonts w:ascii="Times New Roman" w:eastAsia="MS Mincho" w:hAnsi="Times New Roman" w:cs="Times New Roman"/>
          <w:sz w:val="28"/>
          <w:szCs w:val="28"/>
          <w:lang w:val="en-GB" w:eastAsia="ja-JP"/>
        </w:rPr>
        <w:t>[</w:t>
      </w:r>
      <w:r w:rsidR="00DB6072" w:rsidRPr="00F841E0">
        <w:rPr>
          <w:rFonts w:ascii="Times New Roman" w:eastAsia="MS Mincho" w:hAnsi="Times New Roman" w:cs="Times New Roman"/>
          <w:sz w:val="28"/>
          <w:szCs w:val="28"/>
          <w:lang w:val="en-GB" w:eastAsia="ja-JP"/>
        </w:rPr>
        <w:t>7</w:t>
      </w:r>
      <w:r w:rsidR="00565E83" w:rsidRPr="00F841E0">
        <w:rPr>
          <w:rFonts w:ascii="Times New Roman" w:eastAsia="MS Mincho" w:hAnsi="Times New Roman" w:cs="Times New Roman"/>
          <w:sz w:val="28"/>
          <w:szCs w:val="28"/>
          <w:lang w:val="en-GB" w:eastAsia="ja-JP"/>
        </w:rPr>
        <w:t xml:space="preserve">] </w:t>
      </w:r>
      <w:r w:rsidR="00565E83" w:rsidRPr="00F841E0">
        <w:rPr>
          <w:rFonts w:ascii="Times New Roman" w:eastAsia="MS Mincho" w:hAnsi="Times New Roman" w:cs="Times New Roman"/>
          <w:sz w:val="28"/>
          <w:szCs w:val="28"/>
          <w:lang w:val="en-GB" w:eastAsia="ja-JP"/>
        </w:rPr>
        <w:tab/>
      </w:r>
      <w:r w:rsidR="00DB6072" w:rsidRPr="00F841E0">
        <w:rPr>
          <w:rFonts w:ascii="Times New Roman" w:eastAsia="Times New Roman" w:hAnsi="Times New Roman" w:cs="Times New Roman"/>
          <w:bCs/>
          <w:sz w:val="28"/>
          <w:szCs w:val="28"/>
          <w:lang w:val="en-US"/>
        </w:rPr>
        <w:t xml:space="preserve">In </w:t>
      </w:r>
      <w:r w:rsidR="00DB6072" w:rsidRPr="00F841E0">
        <w:rPr>
          <w:rFonts w:ascii="Times New Roman" w:eastAsia="Times New Roman" w:hAnsi="Times New Roman" w:cs="Times New Roman"/>
          <w:bCs/>
          <w:i/>
          <w:iCs/>
          <w:sz w:val="28"/>
          <w:szCs w:val="28"/>
          <w:lang w:val="en-US"/>
        </w:rPr>
        <w:t>Mothule Inc Attorneys v The Law Society of the Northern Provinces and Another</w:t>
      </w:r>
      <w:r w:rsidR="00DB6072" w:rsidRPr="00F841E0">
        <w:rPr>
          <w:rFonts w:ascii="Times New Roman" w:eastAsia="Times New Roman" w:hAnsi="Times New Roman" w:cs="Times New Roman"/>
          <w:bCs/>
          <w:sz w:val="28"/>
          <w:szCs w:val="28"/>
          <w:vertAlign w:val="superscript"/>
          <w:lang w:val="en-US"/>
        </w:rPr>
        <w:footnoteReference w:id="3"/>
      </w:r>
      <w:r w:rsidR="00DB6072" w:rsidRPr="00F841E0">
        <w:rPr>
          <w:rFonts w:ascii="Times New Roman" w:eastAsia="Times New Roman" w:hAnsi="Times New Roman" w:cs="Times New Roman"/>
          <w:bCs/>
          <w:sz w:val="28"/>
          <w:szCs w:val="28"/>
          <w:lang w:val="en-US"/>
        </w:rPr>
        <w:t>, the Supreme Court of Appeal stated as follows regarding the trial court’s liberal approach on granting leave to appeal:</w:t>
      </w:r>
    </w:p>
    <w:p w14:paraId="4E745045" w14:textId="77777777" w:rsidR="00DB6072" w:rsidRPr="00F841E0" w:rsidRDefault="00DB6072" w:rsidP="00F841E0">
      <w:pPr>
        <w:suppressAutoHyphens/>
        <w:spacing w:before="320" w:after="320" w:line="360" w:lineRule="auto"/>
        <w:ind w:left="567" w:hanging="567"/>
        <w:jc w:val="both"/>
        <w:outlineLvl w:val="0"/>
        <w:rPr>
          <w:rFonts w:ascii="Times New Roman" w:eastAsia="Times New Roman" w:hAnsi="Times New Roman" w:cs="Times New Roman"/>
          <w:bCs/>
          <w:sz w:val="24"/>
          <w:szCs w:val="24"/>
        </w:rPr>
      </w:pPr>
      <w:r w:rsidRPr="00F841E0">
        <w:rPr>
          <w:rFonts w:ascii="Times New Roman" w:eastAsia="Times New Roman" w:hAnsi="Times New Roman" w:cs="Times New Roman"/>
          <w:bCs/>
          <w:sz w:val="28"/>
          <w:szCs w:val="28"/>
          <w:lang w:val="en-US"/>
        </w:rPr>
        <w:tab/>
      </w:r>
      <w:r w:rsidRPr="00F841E0">
        <w:rPr>
          <w:rFonts w:ascii="Times New Roman" w:eastAsia="Times New Roman" w:hAnsi="Times New Roman" w:cs="Times New Roman"/>
          <w:bCs/>
          <w:sz w:val="24"/>
          <w:szCs w:val="24"/>
          <w:lang w:val="en-US"/>
        </w:rPr>
        <w:t>“It is important to mention my dissatisfaction with the court a quo’s granting of leave to appeal to this court. The test is simply whether there are any reasonable prospects of success in an appeal. It is not whether a litigant has an arguable case or mere possible of success.”</w:t>
      </w:r>
    </w:p>
    <w:p w14:paraId="3B14192A" w14:textId="77777777" w:rsidR="00D35EAF" w:rsidRPr="00F841E0" w:rsidRDefault="00CC464E" w:rsidP="00F841E0">
      <w:pPr>
        <w:spacing w:after="200" w:line="360" w:lineRule="auto"/>
        <w:ind w:left="720" w:hanging="720"/>
        <w:jc w:val="both"/>
        <w:rPr>
          <w:rFonts w:ascii="Times New Roman" w:eastAsia="MS Mincho" w:hAnsi="Times New Roman" w:cs="Times New Roman"/>
          <w:sz w:val="28"/>
          <w:szCs w:val="28"/>
          <w:lang w:val="en-GB" w:eastAsia="ja-JP"/>
        </w:rPr>
      </w:pPr>
      <w:r w:rsidRPr="00F841E0">
        <w:rPr>
          <w:rFonts w:ascii="Times New Roman" w:eastAsia="MS Mincho" w:hAnsi="Times New Roman" w:cs="Times New Roman"/>
          <w:sz w:val="28"/>
          <w:szCs w:val="28"/>
          <w:lang w:val="en-GB" w:eastAsia="ja-JP"/>
        </w:rPr>
        <w:t>[</w:t>
      </w:r>
      <w:r w:rsidR="00C64EC4" w:rsidRPr="00F841E0">
        <w:rPr>
          <w:rFonts w:ascii="Times New Roman" w:eastAsia="MS Mincho" w:hAnsi="Times New Roman" w:cs="Times New Roman"/>
          <w:sz w:val="28"/>
          <w:szCs w:val="28"/>
          <w:lang w:val="en-GB" w:eastAsia="ja-JP"/>
        </w:rPr>
        <w:t>8</w:t>
      </w:r>
      <w:r w:rsidRPr="00F841E0">
        <w:rPr>
          <w:rFonts w:ascii="Times New Roman" w:eastAsia="MS Mincho" w:hAnsi="Times New Roman" w:cs="Times New Roman"/>
          <w:sz w:val="28"/>
          <w:szCs w:val="28"/>
          <w:lang w:val="en-GB" w:eastAsia="ja-JP"/>
        </w:rPr>
        <w:t xml:space="preserve">] </w:t>
      </w:r>
      <w:r w:rsidRPr="00F841E0">
        <w:rPr>
          <w:rFonts w:ascii="Times New Roman" w:eastAsia="MS Mincho" w:hAnsi="Times New Roman" w:cs="Times New Roman"/>
          <w:sz w:val="28"/>
          <w:szCs w:val="28"/>
          <w:lang w:val="en-GB" w:eastAsia="ja-JP"/>
        </w:rPr>
        <w:tab/>
      </w:r>
      <w:r w:rsidR="00D35EAF" w:rsidRPr="00F841E0">
        <w:rPr>
          <w:rFonts w:ascii="Times New Roman" w:eastAsia="MS Mincho" w:hAnsi="Times New Roman" w:cs="Times New Roman"/>
          <w:sz w:val="28"/>
          <w:szCs w:val="28"/>
          <w:lang w:val="en-GB" w:eastAsia="ja-JP"/>
        </w:rPr>
        <w:t xml:space="preserve">In </w:t>
      </w:r>
      <w:r w:rsidR="00D35EAF" w:rsidRPr="00F841E0">
        <w:rPr>
          <w:rFonts w:ascii="Times New Roman" w:eastAsia="MS Mincho" w:hAnsi="Times New Roman" w:cs="Times New Roman"/>
          <w:i/>
          <w:sz w:val="28"/>
          <w:szCs w:val="28"/>
          <w:lang w:val="en-GB" w:eastAsia="ja-JP"/>
        </w:rPr>
        <w:t>Matoto v Free State Gambling and Liquor Authority</w:t>
      </w:r>
      <w:r w:rsidR="00D35EAF" w:rsidRPr="00F841E0">
        <w:rPr>
          <w:rFonts w:ascii="Times New Roman" w:eastAsia="MS Mincho" w:hAnsi="Times New Roman" w:cs="Times New Roman"/>
          <w:sz w:val="28"/>
          <w:szCs w:val="28"/>
          <w:vertAlign w:val="superscript"/>
          <w:lang w:val="en-GB" w:eastAsia="ja-JP"/>
        </w:rPr>
        <w:footnoteReference w:id="4"/>
      </w:r>
      <w:r w:rsidR="00D35EAF" w:rsidRPr="00F841E0">
        <w:rPr>
          <w:rFonts w:ascii="Times New Roman" w:eastAsia="MS Mincho" w:hAnsi="Times New Roman" w:cs="Times New Roman"/>
          <w:sz w:val="28"/>
          <w:szCs w:val="28"/>
          <w:lang w:val="en-GB" w:eastAsia="ja-JP"/>
        </w:rPr>
        <w:t xml:space="preserve">, the court referred to </w:t>
      </w:r>
      <w:r w:rsidR="00D35EAF" w:rsidRPr="00E166B0">
        <w:rPr>
          <w:rFonts w:ascii="Times New Roman" w:eastAsia="MS Mincho" w:hAnsi="Times New Roman" w:cs="Times New Roman"/>
          <w:i/>
          <w:iCs/>
          <w:sz w:val="28"/>
          <w:szCs w:val="28"/>
          <w:lang w:val="en-GB" w:eastAsia="ja-JP"/>
        </w:rPr>
        <w:t>Mount Chevaux Trust</w:t>
      </w:r>
      <w:r w:rsidR="00D35EAF" w:rsidRPr="00E166B0">
        <w:rPr>
          <w:rFonts w:ascii="Times New Roman" w:eastAsia="MS Mincho" w:hAnsi="Times New Roman" w:cs="Times New Roman"/>
          <w:sz w:val="28"/>
          <w:szCs w:val="28"/>
          <w:lang w:val="en-GB" w:eastAsia="ja-JP"/>
        </w:rPr>
        <w:t xml:space="preserve"> </w:t>
      </w:r>
      <w:r w:rsidR="00D35EAF" w:rsidRPr="00F841E0">
        <w:rPr>
          <w:rFonts w:ascii="Times New Roman" w:eastAsia="MS Mincho" w:hAnsi="Times New Roman" w:cs="Times New Roman"/>
          <w:sz w:val="28"/>
          <w:szCs w:val="28"/>
          <w:lang w:val="en-GB" w:eastAsia="ja-JP"/>
        </w:rPr>
        <w:t>with approval and said that:</w:t>
      </w:r>
    </w:p>
    <w:p w14:paraId="567F5AC2" w14:textId="6CE805F1" w:rsidR="00CC464E" w:rsidRPr="00E166B0" w:rsidRDefault="00D35EAF" w:rsidP="00E166B0">
      <w:pPr>
        <w:spacing w:after="200" w:line="360" w:lineRule="auto"/>
        <w:ind w:left="1440"/>
        <w:jc w:val="both"/>
        <w:rPr>
          <w:rFonts w:ascii="Times New Roman" w:eastAsia="MS Mincho" w:hAnsi="Times New Roman" w:cs="Times New Roman"/>
          <w:iCs/>
          <w:lang w:val="en-GB" w:eastAsia="ja-JP"/>
        </w:rPr>
      </w:pPr>
      <w:r w:rsidRPr="00F841E0">
        <w:rPr>
          <w:rFonts w:ascii="Times New Roman" w:eastAsia="MS Mincho" w:hAnsi="Times New Roman" w:cs="Times New Roman"/>
          <w:i/>
          <w:lang w:val="en-GB" w:eastAsia="ja-JP"/>
        </w:rPr>
        <w:lastRenderedPageBreak/>
        <w:t>“…</w:t>
      </w:r>
      <w:r w:rsidRPr="00F841E0">
        <w:rPr>
          <w:rFonts w:ascii="Times New Roman" w:eastAsia="MS Mincho" w:hAnsi="Times New Roman" w:cs="Times New Roman"/>
          <w:iCs/>
          <w:lang w:val="en-GB" w:eastAsia="ja-JP"/>
        </w:rPr>
        <w:t>there can be no doubt that the bar for granting leave to appeal has been raised. The use by the legislature of the word ‘only’ … is a further indication of a more stringent test.”</w:t>
      </w:r>
    </w:p>
    <w:p w14:paraId="4FE14AA4" w14:textId="77777777" w:rsidR="00D35EAF" w:rsidRPr="00F841E0" w:rsidRDefault="00CC464E" w:rsidP="00F841E0">
      <w:pPr>
        <w:spacing w:after="200" w:line="360" w:lineRule="auto"/>
        <w:jc w:val="both"/>
        <w:rPr>
          <w:rFonts w:ascii="Times New Roman" w:eastAsia="MS Mincho" w:hAnsi="Times New Roman" w:cs="Times New Roman"/>
          <w:sz w:val="28"/>
          <w:szCs w:val="28"/>
          <w:lang w:val="en-GB" w:eastAsia="ja-JP"/>
        </w:rPr>
      </w:pPr>
      <w:r w:rsidRPr="00F841E0">
        <w:rPr>
          <w:rFonts w:ascii="Times New Roman" w:eastAsia="MS Mincho" w:hAnsi="Times New Roman" w:cs="Times New Roman"/>
          <w:sz w:val="28"/>
          <w:szCs w:val="28"/>
          <w:lang w:val="en-GB" w:eastAsia="ja-JP"/>
        </w:rPr>
        <w:t>[</w:t>
      </w:r>
      <w:r w:rsidR="00C64EC4" w:rsidRPr="00F841E0">
        <w:rPr>
          <w:rFonts w:ascii="Times New Roman" w:eastAsia="MS Mincho" w:hAnsi="Times New Roman" w:cs="Times New Roman"/>
          <w:sz w:val="28"/>
          <w:szCs w:val="28"/>
          <w:lang w:val="en-GB" w:eastAsia="ja-JP"/>
        </w:rPr>
        <w:t>9</w:t>
      </w:r>
      <w:r w:rsidRPr="00F841E0">
        <w:rPr>
          <w:rFonts w:ascii="Times New Roman" w:eastAsia="MS Mincho" w:hAnsi="Times New Roman" w:cs="Times New Roman"/>
          <w:sz w:val="28"/>
          <w:szCs w:val="28"/>
          <w:lang w:val="en-GB" w:eastAsia="ja-JP"/>
        </w:rPr>
        <w:t xml:space="preserve">] </w:t>
      </w:r>
      <w:r w:rsidRPr="00F841E0">
        <w:rPr>
          <w:rFonts w:ascii="Times New Roman" w:eastAsia="MS Mincho" w:hAnsi="Times New Roman" w:cs="Times New Roman"/>
          <w:sz w:val="28"/>
          <w:szCs w:val="28"/>
          <w:lang w:val="en-GB" w:eastAsia="ja-JP"/>
        </w:rPr>
        <w:tab/>
      </w:r>
      <w:r w:rsidR="00D35EAF" w:rsidRPr="00F841E0">
        <w:rPr>
          <w:rFonts w:ascii="Times New Roman" w:eastAsia="MS Mincho" w:hAnsi="Times New Roman" w:cs="Times New Roman"/>
          <w:sz w:val="28"/>
          <w:szCs w:val="28"/>
          <w:lang w:val="en-GB" w:eastAsia="ja-JP"/>
        </w:rPr>
        <w:t xml:space="preserve">In </w:t>
      </w:r>
      <w:r w:rsidR="00D35EAF" w:rsidRPr="00F841E0">
        <w:rPr>
          <w:rFonts w:ascii="Times New Roman" w:eastAsia="MS Mincho" w:hAnsi="Times New Roman" w:cs="Times New Roman"/>
          <w:i/>
          <w:sz w:val="28"/>
          <w:szCs w:val="28"/>
          <w:lang w:val="en-GB" w:eastAsia="ja-JP"/>
        </w:rPr>
        <w:t>S v Notshokovu</w:t>
      </w:r>
      <w:r w:rsidR="00D35EAF" w:rsidRPr="00F841E0">
        <w:rPr>
          <w:rFonts w:ascii="Times New Roman" w:eastAsia="MS Mincho" w:hAnsi="Times New Roman" w:cs="Times New Roman"/>
          <w:sz w:val="28"/>
          <w:szCs w:val="28"/>
          <w:vertAlign w:val="superscript"/>
          <w:lang w:val="en-GB" w:eastAsia="ja-JP"/>
        </w:rPr>
        <w:footnoteReference w:id="5"/>
      </w:r>
      <w:r w:rsidR="00D35EAF" w:rsidRPr="00F841E0">
        <w:rPr>
          <w:rFonts w:ascii="Times New Roman" w:eastAsia="MS Mincho" w:hAnsi="Times New Roman" w:cs="Times New Roman"/>
          <w:sz w:val="28"/>
          <w:szCs w:val="28"/>
          <w:lang w:val="en-GB" w:eastAsia="ja-JP"/>
        </w:rPr>
        <w:t xml:space="preserve"> the Supreme Court of Appeal reaffirmed that:</w:t>
      </w:r>
    </w:p>
    <w:p w14:paraId="47586045" w14:textId="082EDFE5" w:rsidR="00CC464E" w:rsidRPr="00F841E0" w:rsidRDefault="00D35EAF" w:rsidP="00F841E0">
      <w:pPr>
        <w:spacing w:after="200" w:line="360" w:lineRule="auto"/>
        <w:ind w:left="1440"/>
        <w:rPr>
          <w:rFonts w:ascii="Times New Roman" w:eastAsia="MS Mincho" w:hAnsi="Times New Roman" w:cs="Times New Roman"/>
          <w:iCs/>
          <w:sz w:val="24"/>
          <w:szCs w:val="24"/>
          <w:lang w:val="en-GB" w:eastAsia="ja-JP"/>
        </w:rPr>
      </w:pPr>
      <w:r w:rsidRPr="00F841E0">
        <w:rPr>
          <w:rFonts w:ascii="Times New Roman" w:eastAsia="MS Mincho" w:hAnsi="Times New Roman" w:cs="Times New Roman"/>
          <w:i/>
          <w:sz w:val="24"/>
          <w:szCs w:val="24"/>
          <w:lang w:val="en-GB" w:eastAsia="ja-JP"/>
        </w:rPr>
        <w:t>“</w:t>
      </w:r>
      <w:r w:rsidRPr="00F841E0">
        <w:rPr>
          <w:rFonts w:ascii="Times New Roman" w:eastAsia="MS Mincho" w:hAnsi="Times New Roman" w:cs="Times New Roman"/>
          <w:iCs/>
          <w:sz w:val="24"/>
          <w:szCs w:val="24"/>
          <w:lang w:val="en-GB" w:eastAsia="ja-JP"/>
        </w:rPr>
        <w:t>an appellant …faces a higher and stringent threshold in terms of the Act compared to the provisions of the repealed Supreme Court Act 59 of 1959”</w:t>
      </w:r>
    </w:p>
    <w:p w14:paraId="5AE88697" w14:textId="77777777" w:rsidR="00D35EAF" w:rsidRPr="00F841E0" w:rsidRDefault="00CC464E" w:rsidP="00F841E0">
      <w:pPr>
        <w:spacing w:after="200" w:line="360" w:lineRule="auto"/>
        <w:ind w:left="720" w:hanging="720"/>
        <w:jc w:val="both"/>
        <w:rPr>
          <w:rFonts w:ascii="Times New Roman" w:eastAsia="MS Mincho" w:hAnsi="Times New Roman" w:cs="Times New Roman"/>
          <w:sz w:val="28"/>
          <w:szCs w:val="28"/>
          <w:lang w:val="en-GB" w:eastAsia="ja-JP"/>
        </w:rPr>
      </w:pPr>
      <w:r w:rsidRPr="00F841E0">
        <w:rPr>
          <w:rFonts w:ascii="Times New Roman" w:eastAsia="MS Mincho" w:hAnsi="Times New Roman" w:cs="Times New Roman"/>
          <w:sz w:val="28"/>
          <w:szCs w:val="28"/>
          <w:lang w:val="en-GB" w:eastAsia="ja-JP"/>
        </w:rPr>
        <w:t>[</w:t>
      </w:r>
      <w:r w:rsidR="00C64EC4" w:rsidRPr="00F841E0">
        <w:rPr>
          <w:rFonts w:ascii="Times New Roman" w:eastAsia="MS Mincho" w:hAnsi="Times New Roman" w:cs="Times New Roman"/>
          <w:sz w:val="28"/>
          <w:szCs w:val="28"/>
          <w:lang w:val="en-GB" w:eastAsia="ja-JP"/>
        </w:rPr>
        <w:t>10</w:t>
      </w:r>
      <w:r w:rsidRPr="00F841E0">
        <w:rPr>
          <w:rFonts w:ascii="Times New Roman" w:eastAsia="MS Mincho" w:hAnsi="Times New Roman" w:cs="Times New Roman"/>
          <w:sz w:val="28"/>
          <w:szCs w:val="28"/>
          <w:lang w:val="en-GB" w:eastAsia="ja-JP"/>
        </w:rPr>
        <w:t xml:space="preserve">] </w:t>
      </w:r>
      <w:r w:rsidRPr="00F841E0">
        <w:rPr>
          <w:rFonts w:ascii="Times New Roman" w:eastAsia="MS Mincho" w:hAnsi="Times New Roman" w:cs="Times New Roman"/>
          <w:sz w:val="28"/>
          <w:szCs w:val="28"/>
          <w:lang w:val="en-GB" w:eastAsia="ja-JP"/>
        </w:rPr>
        <w:tab/>
      </w:r>
      <w:r w:rsidR="00D35EAF" w:rsidRPr="00F841E0">
        <w:rPr>
          <w:rFonts w:ascii="Times New Roman" w:eastAsia="MS Mincho" w:hAnsi="Times New Roman" w:cs="Times New Roman"/>
          <w:sz w:val="28"/>
          <w:szCs w:val="28"/>
          <w:lang w:val="en-GB" w:eastAsia="ja-JP"/>
        </w:rPr>
        <w:t xml:space="preserve">In </w:t>
      </w:r>
      <w:r w:rsidR="00D35EAF" w:rsidRPr="00F841E0">
        <w:rPr>
          <w:rFonts w:ascii="Times New Roman" w:eastAsia="MS Mincho" w:hAnsi="Times New Roman" w:cs="Times New Roman"/>
          <w:i/>
          <w:sz w:val="28"/>
          <w:szCs w:val="28"/>
          <w:lang w:val="en-GB" w:eastAsia="ja-JP"/>
        </w:rPr>
        <w:t>S v Smith</w:t>
      </w:r>
      <w:r w:rsidR="00D35EAF" w:rsidRPr="00F841E0">
        <w:rPr>
          <w:rFonts w:ascii="Times New Roman" w:eastAsia="MS Mincho" w:hAnsi="Times New Roman" w:cs="Times New Roman"/>
          <w:sz w:val="28"/>
          <w:szCs w:val="28"/>
          <w:lang w:val="en-GB" w:eastAsia="ja-JP"/>
        </w:rPr>
        <w:t xml:space="preserve"> Plasket</w:t>
      </w:r>
      <w:r w:rsidR="00D35EAF" w:rsidRPr="00F841E0">
        <w:rPr>
          <w:rFonts w:ascii="Times New Roman" w:eastAsia="MS Mincho" w:hAnsi="Times New Roman" w:cs="Times New Roman"/>
          <w:sz w:val="28"/>
          <w:szCs w:val="28"/>
          <w:vertAlign w:val="superscript"/>
          <w:lang w:val="en-GB" w:eastAsia="ja-JP"/>
        </w:rPr>
        <w:footnoteReference w:id="6"/>
      </w:r>
      <w:r w:rsidR="00D35EAF" w:rsidRPr="00F841E0">
        <w:rPr>
          <w:rFonts w:ascii="Times New Roman" w:eastAsia="MS Mincho" w:hAnsi="Times New Roman" w:cs="Times New Roman"/>
          <w:sz w:val="28"/>
          <w:szCs w:val="28"/>
          <w:lang w:val="en-GB" w:eastAsia="ja-JP"/>
        </w:rPr>
        <w:t xml:space="preserve"> AJA explained the meaning of ‘a reasonable prospect of success’ as follows:</w:t>
      </w:r>
    </w:p>
    <w:p w14:paraId="6AE2FE9E" w14:textId="5983524D" w:rsidR="00D35EAF" w:rsidRPr="00F841E0" w:rsidRDefault="00D35EAF" w:rsidP="00F841E0">
      <w:pPr>
        <w:spacing w:after="0" w:line="360" w:lineRule="auto"/>
        <w:ind w:left="720"/>
        <w:jc w:val="both"/>
        <w:rPr>
          <w:rFonts w:ascii="Times New Roman" w:eastAsia="MS Mincho" w:hAnsi="Times New Roman" w:cs="Times New Roman"/>
          <w:iCs/>
          <w:sz w:val="24"/>
          <w:szCs w:val="24"/>
          <w:lang w:val="en-GB" w:eastAsia="ja-JP"/>
        </w:rPr>
      </w:pPr>
      <w:r w:rsidRPr="00F841E0">
        <w:rPr>
          <w:rFonts w:ascii="Times New Roman" w:eastAsia="MS Mincho" w:hAnsi="Times New Roman" w:cs="Times New Roman"/>
          <w:i/>
          <w:sz w:val="24"/>
          <w:szCs w:val="24"/>
          <w:lang w:val="en-GB" w:eastAsia="ja-JP"/>
        </w:rPr>
        <w:t>“</w:t>
      </w:r>
      <w:r w:rsidRPr="00F841E0">
        <w:rPr>
          <w:rFonts w:ascii="Times New Roman" w:eastAsia="MS Mincho" w:hAnsi="Times New Roman" w:cs="Times New Roman"/>
          <w:iCs/>
          <w:sz w:val="24"/>
          <w:szCs w:val="24"/>
          <w:lang w:val="en-GB" w:eastAsia="ja-JP"/>
        </w:rPr>
        <w:t>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remote</w:t>
      </w:r>
      <w:r w:rsidR="00F841E0">
        <w:rPr>
          <w:rFonts w:ascii="Times New Roman" w:eastAsia="MS Mincho" w:hAnsi="Times New Roman" w:cs="Times New Roman"/>
          <w:iCs/>
          <w:sz w:val="24"/>
          <w:szCs w:val="24"/>
          <w:lang w:val="en-GB" w:eastAsia="ja-JP"/>
        </w:rPr>
        <w:t xml:space="preserve"> </w:t>
      </w:r>
      <w:r w:rsidRPr="00F841E0">
        <w:rPr>
          <w:rFonts w:ascii="Times New Roman" w:eastAsia="MS Mincho" w:hAnsi="Times New Roman" w:cs="Times New Roman"/>
          <w:iCs/>
          <w:sz w:val="24"/>
          <w:szCs w:val="24"/>
          <w:lang w:val="en-GB" w:eastAsia="ja-JP"/>
        </w:rPr>
        <w:t>but have a realistic</w:t>
      </w:r>
      <w:r w:rsidRPr="00F841E0">
        <w:rPr>
          <w:rFonts w:ascii="Times New Roman" w:eastAsia="MS Mincho" w:hAnsi="Times New Roman" w:cs="Times New Roman"/>
          <w:i/>
          <w:sz w:val="24"/>
          <w:szCs w:val="24"/>
          <w:lang w:val="en-GB" w:eastAsia="ja-JP"/>
        </w:rPr>
        <w:t xml:space="preserve"> </w:t>
      </w:r>
      <w:r w:rsidRPr="00F841E0">
        <w:rPr>
          <w:rFonts w:ascii="Times New Roman" w:eastAsia="MS Mincho" w:hAnsi="Times New Roman" w:cs="Times New Roman"/>
          <w:iCs/>
          <w:sz w:val="24"/>
          <w:szCs w:val="24"/>
          <w:lang w:val="en-GB" w:eastAsia="ja-JP"/>
        </w:rPr>
        <w:t>chance of succeeding. More is required to be established than there is mere possibility of success, that the case</w:t>
      </w:r>
      <w:r w:rsidRPr="00F841E0">
        <w:rPr>
          <w:rFonts w:ascii="Times New Roman" w:eastAsia="MS Mincho" w:hAnsi="Times New Roman" w:cs="Times New Roman"/>
          <w:i/>
          <w:sz w:val="24"/>
          <w:szCs w:val="24"/>
          <w:lang w:val="en-GB" w:eastAsia="ja-JP"/>
        </w:rPr>
        <w:t xml:space="preserve"> </w:t>
      </w:r>
      <w:r w:rsidRPr="00F841E0">
        <w:rPr>
          <w:rFonts w:ascii="Times New Roman" w:eastAsia="MS Mincho" w:hAnsi="Times New Roman" w:cs="Times New Roman"/>
          <w:iCs/>
          <w:sz w:val="24"/>
          <w:szCs w:val="24"/>
          <w:lang w:val="en-GB" w:eastAsia="ja-JP"/>
        </w:rPr>
        <w:t>is arguable on appeal or that</w:t>
      </w:r>
      <w:r w:rsidRPr="00F841E0">
        <w:rPr>
          <w:rFonts w:ascii="Times New Roman" w:eastAsia="MS Mincho" w:hAnsi="Times New Roman" w:cs="Times New Roman"/>
          <w:i/>
          <w:sz w:val="24"/>
          <w:szCs w:val="24"/>
          <w:lang w:val="en-GB" w:eastAsia="ja-JP"/>
        </w:rPr>
        <w:t xml:space="preserve"> </w:t>
      </w:r>
      <w:r w:rsidRPr="00F841E0">
        <w:rPr>
          <w:rFonts w:ascii="Times New Roman" w:eastAsia="MS Mincho" w:hAnsi="Times New Roman" w:cs="Times New Roman"/>
          <w:iCs/>
          <w:sz w:val="24"/>
          <w:szCs w:val="24"/>
          <w:lang w:val="en-GB" w:eastAsia="ja-JP"/>
        </w:rPr>
        <w:t>the case cannot be categorised as hopeless. There must, in other words, be a sound, rational basis for the conclusion that there are prospects of success on appeal.”</w:t>
      </w:r>
    </w:p>
    <w:p w14:paraId="29301505" w14:textId="77777777" w:rsidR="00F841E0" w:rsidRPr="00F841E0" w:rsidRDefault="00F841E0" w:rsidP="00F841E0">
      <w:pPr>
        <w:spacing w:after="0" w:line="360" w:lineRule="auto"/>
        <w:ind w:left="720"/>
        <w:rPr>
          <w:rFonts w:ascii="Times New Roman" w:eastAsia="Calibri" w:hAnsi="Times New Roman" w:cs="Times New Roman"/>
          <w:sz w:val="28"/>
          <w:szCs w:val="28"/>
          <w:lang w:eastAsia="en-ZA"/>
        </w:rPr>
      </w:pPr>
    </w:p>
    <w:p w14:paraId="46F73FA0" w14:textId="77777777" w:rsidR="00D35EAF" w:rsidRPr="00F841E0" w:rsidRDefault="00CC464E" w:rsidP="00F841E0">
      <w:pPr>
        <w:spacing w:after="200" w:line="360" w:lineRule="auto"/>
        <w:ind w:left="720" w:hanging="720"/>
        <w:jc w:val="both"/>
        <w:rPr>
          <w:rFonts w:ascii="Times New Roman" w:eastAsia="MS Mincho" w:hAnsi="Times New Roman" w:cs="Times New Roman"/>
          <w:sz w:val="28"/>
          <w:szCs w:val="28"/>
          <w:lang w:val="en-GB" w:eastAsia="ja-JP"/>
        </w:rPr>
      </w:pPr>
      <w:r w:rsidRPr="00F841E0">
        <w:rPr>
          <w:rFonts w:ascii="Times New Roman" w:eastAsia="MS Mincho" w:hAnsi="Times New Roman" w:cs="Times New Roman"/>
          <w:sz w:val="28"/>
          <w:szCs w:val="28"/>
          <w:lang w:val="en-GB" w:eastAsia="ja-JP"/>
        </w:rPr>
        <w:t>[1</w:t>
      </w:r>
      <w:r w:rsidR="00C64EC4" w:rsidRPr="00F841E0">
        <w:rPr>
          <w:rFonts w:ascii="Times New Roman" w:eastAsia="MS Mincho" w:hAnsi="Times New Roman" w:cs="Times New Roman"/>
          <w:sz w:val="28"/>
          <w:szCs w:val="28"/>
          <w:lang w:val="en-GB" w:eastAsia="ja-JP"/>
        </w:rPr>
        <w:t>1</w:t>
      </w:r>
      <w:r w:rsidRPr="00F841E0">
        <w:rPr>
          <w:rFonts w:ascii="Times New Roman" w:eastAsia="MS Mincho" w:hAnsi="Times New Roman" w:cs="Times New Roman"/>
          <w:sz w:val="28"/>
          <w:szCs w:val="28"/>
          <w:lang w:val="en-GB" w:eastAsia="ja-JP"/>
        </w:rPr>
        <w:t xml:space="preserve">] </w:t>
      </w:r>
      <w:r w:rsidR="00D35EAF" w:rsidRPr="00F841E0">
        <w:rPr>
          <w:rFonts w:ascii="Times New Roman" w:eastAsia="MS Mincho" w:hAnsi="Times New Roman" w:cs="Times New Roman"/>
          <w:sz w:val="28"/>
          <w:szCs w:val="28"/>
          <w:lang w:val="en-GB" w:eastAsia="ja-JP"/>
        </w:rPr>
        <w:tab/>
        <w:t xml:space="preserve">In </w:t>
      </w:r>
      <w:r w:rsidR="00D35EAF" w:rsidRPr="00F841E0">
        <w:rPr>
          <w:rFonts w:ascii="Times New Roman" w:eastAsia="MS Mincho" w:hAnsi="Times New Roman" w:cs="Times New Roman"/>
          <w:i/>
          <w:sz w:val="28"/>
          <w:szCs w:val="28"/>
          <w:lang w:val="en-GB" w:eastAsia="ja-JP"/>
        </w:rPr>
        <w:t>Pretoria Society of Advocates and Others v Nthai</w:t>
      </w:r>
      <w:r w:rsidR="00D35EAF" w:rsidRPr="00F841E0">
        <w:rPr>
          <w:rFonts w:ascii="Times New Roman" w:eastAsia="MS Mincho" w:hAnsi="Times New Roman" w:cs="Times New Roman"/>
          <w:i/>
          <w:sz w:val="28"/>
          <w:szCs w:val="28"/>
          <w:vertAlign w:val="superscript"/>
          <w:lang w:val="en-GB" w:eastAsia="ja-JP"/>
        </w:rPr>
        <w:footnoteReference w:id="7"/>
      </w:r>
      <w:r w:rsidR="00D35EAF" w:rsidRPr="00F841E0">
        <w:rPr>
          <w:rFonts w:ascii="Times New Roman" w:eastAsia="MS Mincho" w:hAnsi="Times New Roman" w:cs="Times New Roman"/>
          <w:sz w:val="28"/>
          <w:szCs w:val="28"/>
          <w:lang w:val="en-GB" w:eastAsia="ja-JP"/>
        </w:rPr>
        <w:t xml:space="preserve"> the court held that:</w:t>
      </w:r>
    </w:p>
    <w:p w14:paraId="1650BB63" w14:textId="77777777" w:rsidR="00D35EAF" w:rsidRPr="00F841E0" w:rsidRDefault="00D35EAF" w:rsidP="00F841E0">
      <w:pPr>
        <w:spacing w:after="200" w:line="360" w:lineRule="auto"/>
        <w:ind w:left="1440"/>
        <w:jc w:val="both"/>
        <w:rPr>
          <w:rFonts w:ascii="Times New Roman" w:eastAsia="MS Mincho" w:hAnsi="Times New Roman" w:cs="Times New Roman"/>
          <w:iCs/>
          <w:sz w:val="24"/>
          <w:szCs w:val="24"/>
          <w:lang w:val="en-GB" w:eastAsia="ja-JP"/>
        </w:rPr>
      </w:pPr>
      <w:r w:rsidRPr="00F841E0">
        <w:rPr>
          <w:rFonts w:ascii="Times New Roman" w:eastAsia="MS Mincho" w:hAnsi="Times New Roman" w:cs="Times New Roman"/>
          <w:i/>
          <w:sz w:val="24"/>
          <w:szCs w:val="24"/>
          <w:lang w:val="en-GB" w:eastAsia="ja-JP"/>
        </w:rPr>
        <w:t>“</w:t>
      </w:r>
      <w:r w:rsidRPr="00F841E0">
        <w:rPr>
          <w:rFonts w:ascii="Times New Roman" w:eastAsia="MS Mincho" w:hAnsi="Times New Roman" w:cs="Times New Roman"/>
          <w:iCs/>
          <w:sz w:val="24"/>
          <w:szCs w:val="24"/>
          <w:lang w:val="en-GB" w:eastAsia="ja-JP"/>
        </w:rPr>
        <w:t>The enquiry as to whether leave should be granted is twofold. The first step that a court seized with such application should do is to investigate whether there are any reasonable prospects that another court seized with the same set of facts would reach a different conclusion. If the answer is in the positive the court should grant leave to appeal. But if the answer is negative, the next step of the enquiry is to determine the existence of any compelling reason why the appeal should be heard.”</w:t>
      </w:r>
    </w:p>
    <w:p w14:paraId="6C3DF6B7" w14:textId="32318BC6" w:rsidR="00CC464E" w:rsidRPr="00F841E0" w:rsidRDefault="00CC464E" w:rsidP="00F841E0">
      <w:pPr>
        <w:spacing w:after="200" w:line="360" w:lineRule="auto"/>
        <w:ind w:left="720" w:hanging="720"/>
        <w:jc w:val="both"/>
        <w:rPr>
          <w:rFonts w:ascii="Times New Roman" w:eastAsia="MS Mincho" w:hAnsi="Times New Roman" w:cs="Times New Roman"/>
          <w:sz w:val="28"/>
          <w:szCs w:val="28"/>
          <w:lang w:val="en-GB" w:eastAsia="ja-JP"/>
        </w:rPr>
      </w:pPr>
      <w:r w:rsidRPr="00F841E0">
        <w:rPr>
          <w:rFonts w:ascii="Times New Roman" w:eastAsia="MS Mincho" w:hAnsi="Times New Roman" w:cs="Times New Roman"/>
          <w:sz w:val="28"/>
          <w:szCs w:val="28"/>
          <w:lang w:val="en-GB" w:eastAsia="ja-JP"/>
        </w:rPr>
        <w:tab/>
        <w:t xml:space="preserve"> </w:t>
      </w:r>
    </w:p>
    <w:p w14:paraId="2543F00C" w14:textId="77777777" w:rsidR="00D35EAF" w:rsidRPr="00F841E0" w:rsidRDefault="00CC464E" w:rsidP="00F841E0">
      <w:pPr>
        <w:spacing w:after="200" w:line="360" w:lineRule="auto"/>
        <w:ind w:left="720" w:hanging="720"/>
        <w:jc w:val="both"/>
        <w:rPr>
          <w:rFonts w:ascii="Times New Roman" w:eastAsia="MS Mincho" w:hAnsi="Times New Roman" w:cs="Times New Roman"/>
          <w:sz w:val="28"/>
          <w:szCs w:val="28"/>
          <w:lang w:val="en-GB" w:eastAsia="ja-JP"/>
        </w:rPr>
      </w:pPr>
      <w:r w:rsidRPr="00F841E0">
        <w:rPr>
          <w:rFonts w:ascii="Times New Roman" w:eastAsia="Times New Roman" w:hAnsi="Times New Roman" w:cs="Times New Roman"/>
          <w:bCs/>
          <w:sz w:val="28"/>
          <w:szCs w:val="28"/>
          <w:lang w:val="en-US"/>
        </w:rPr>
        <w:lastRenderedPageBreak/>
        <w:t>[</w:t>
      </w:r>
      <w:r w:rsidR="00D35EAF" w:rsidRPr="00F841E0">
        <w:rPr>
          <w:rFonts w:ascii="Times New Roman" w:eastAsia="Times New Roman" w:hAnsi="Times New Roman" w:cs="Times New Roman"/>
          <w:bCs/>
          <w:sz w:val="28"/>
          <w:szCs w:val="28"/>
          <w:lang w:val="en-US"/>
        </w:rPr>
        <w:t>12</w:t>
      </w:r>
      <w:r w:rsidRPr="00F841E0">
        <w:rPr>
          <w:rFonts w:ascii="Times New Roman" w:eastAsia="Times New Roman" w:hAnsi="Times New Roman" w:cs="Times New Roman"/>
          <w:bCs/>
          <w:sz w:val="28"/>
          <w:szCs w:val="28"/>
          <w:lang w:val="en-US"/>
        </w:rPr>
        <w:t xml:space="preserve">] </w:t>
      </w:r>
      <w:r w:rsidRPr="00F841E0">
        <w:rPr>
          <w:rFonts w:ascii="Times New Roman" w:eastAsia="Times New Roman" w:hAnsi="Times New Roman" w:cs="Times New Roman"/>
          <w:bCs/>
          <w:sz w:val="28"/>
          <w:szCs w:val="28"/>
          <w:lang w:val="en-US"/>
        </w:rPr>
        <w:tab/>
      </w:r>
      <w:r w:rsidR="00D35EAF" w:rsidRPr="00F841E0">
        <w:rPr>
          <w:rFonts w:ascii="Times New Roman" w:eastAsia="MS Mincho" w:hAnsi="Times New Roman" w:cs="Times New Roman"/>
          <w:sz w:val="28"/>
          <w:szCs w:val="28"/>
          <w:lang w:val="en-GB" w:eastAsia="ja-JP"/>
        </w:rPr>
        <w:t>Based on the authorities referred to above it is apparent that our courts have been consistent in the application of the test on whether leave to appeal should be granted.</w:t>
      </w:r>
    </w:p>
    <w:p w14:paraId="057D2CBA" w14:textId="6ACC6871" w:rsidR="00CC464E" w:rsidRPr="00F841E0" w:rsidRDefault="00CC464E" w:rsidP="00F841E0">
      <w:pPr>
        <w:spacing w:line="360" w:lineRule="auto"/>
        <w:ind w:left="720" w:hanging="720"/>
        <w:jc w:val="both"/>
        <w:rPr>
          <w:rFonts w:ascii="Times New Roman" w:eastAsia="Calibri" w:hAnsi="Times New Roman" w:cs="Times New Roman"/>
          <w:sz w:val="28"/>
          <w:szCs w:val="28"/>
          <w:lang w:val="en-US"/>
        </w:rPr>
      </w:pPr>
      <w:r w:rsidRPr="00F841E0">
        <w:rPr>
          <w:rFonts w:ascii="Times New Roman" w:eastAsia="Calibri" w:hAnsi="Times New Roman" w:cs="Times New Roman"/>
          <w:sz w:val="28"/>
          <w:szCs w:val="28"/>
          <w:lang w:val="en-US"/>
        </w:rPr>
        <w:t>[</w:t>
      </w:r>
      <w:r w:rsidR="00D35EAF" w:rsidRPr="00F841E0">
        <w:rPr>
          <w:rFonts w:ascii="Times New Roman" w:eastAsia="Calibri" w:hAnsi="Times New Roman" w:cs="Times New Roman"/>
          <w:sz w:val="28"/>
          <w:szCs w:val="28"/>
          <w:lang w:val="en-US"/>
        </w:rPr>
        <w:t>13</w:t>
      </w:r>
      <w:r w:rsidRPr="00F841E0">
        <w:rPr>
          <w:rFonts w:ascii="Times New Roman" w:eastAsia="Calibri" w:hAnsi="Times New Roman" w:cs="Times New Roman"/>
          <w:sz w:val="28"/>
          <w:szCs w:val="28"/>
          <w:lang w:val="en-US"/>
        </w:rPr>
        <w:t xml:space="preserve">] </w:t>
      </w:r>
      <w:r w:rsidR="00D35EAF" w:rsidRPr="00F841E0">
        <w:rPr>
          <w:rFonts w:ascii="Times New Roman" w:eastAsia="Times New Roman" w:hAnsi="Times New Roman" w:cs="Times New Roman"/>
          <w:bCs/>
          <w:sz w:val="28"/>
          <w:szCs w:val="28"/>
          <w:lang w:val="en-US"/>
        </w:rPr>
        <w:tab/>
      </w:r>
      <w:r w:rsidR="00D35EAF" w:rsidRPr="00F841E0">
        <w:rPr>
          <w:rFonts w:ascii="Times New Roman" w:eastAsia="MS Mincho" w:hAnsi="Times New Roman" w:cs="Times New Roman"/>
          <w:sz w:val="28"/>
          <w:szCs w:val="28"/>
          <w:lang w:val="en-GB" w:eastAsia="ja-JP"/>
        </w:rPr>
        <w:t>Having regard to the grounds of appeal by the applicants and supplemented on the heads of argument filed of record, as well as the reasons advanced in the judgment, the court is not persuaded that there is a reasonable prospect that the appeal would succeed.</w:t>
      </w:r>
      <w:r w:rsidR="00463E56" w:rsidRPr="00F841E0">
        <w:rPr>
          <w:rFonts w:ascii="Times New Roman" w:eastAsia="MS Mincho" w:hAnsi="Times New Roman" w:cs="Times New Roman"/>
          <w:sz w:val="28"/>
          <w:szCs w:val="28"/>
          <w:lang w:val="en-GB" w:eastAsia="ja-JP"/>
        </w:rPr>
        <w:t xml:space="preserve"> The application for leave to appeal must therefore fail.</w:t>
      </w:r>
      <w:r w:rsidRPr="00F841E0">
        <w:rPr>
          <w:rFonts w:ascii="Times New Roman" w:eastAsia="Calibri" w:hAnsi="Times New Roman" w:cs="Times New Roman"/>
          <w:sz w:val="28"/>
          <w:szCs w:val="28"/>
          <w:lang w:val="en-US"/>
        </w:rPr>
        <w:tab/>
      </w:r>
      <w:r w:rsidRPr="00F841E0">
        <w:rPr>
          <w:rFonts w:ascii="Times New Roman" w:eastAsia="Calibri" w:hAnsi="Times New Roman" w:cs="Times New Roman"/>
          <w:sz w:val="28"/>
          <w:szCs w:val="28"/>
          <w:lang w:val="en-GB"/>
        </w:rPr>
        <w:tab/>
      </w:r>
    </w:p>
    <w:p w14:paraId="0C5E9CA6" w14:textId="207A5BF5" w:rsidR="00CC464E" w:rsidRPr="00F841E0" w:rsidRDefault="00CC464E" w:rsidP="00F841E0">
      <w:pPr>
        <w:spacing w:line="360" w:lineRule="auto"/>
        <w:jc w:val="both"/>
        <w:rPr>
          <w:rFonts w:ascii="Times New Roman" w:eastAsia="Calibri" w:hAnsi="Times New Roman" w:cs="Times New Roman"/>
          <w:i/>
          <w:iCs/>
          <w:color w:val="242121"/>
          <w:sz w:val="28"/>
          <w:szCs w:val="28"/>
          <w:shd w:val="clear" w:color="auto" w:fill="FFFFFF"/>
          <w:lang w:val="en-GB"/>
        </w:rPr>
      </w:pPr>
      <w:r w:rsidRPr="00F841E0">
        <w:rPr>
          <w:rFonts w:ascii="Times New Roman" w:eastAsia="Calibri" w:hAnsi="Times New Roman" w:cs="Times New Roman"/>
          <w:i/>
          <w:iCs/>
          <w:color w:val="242121"/>
          <w:sz w:val="28"/>
          <w:szCs w:val="28"/>
          <w:shd w:val="clear" w:color="auto" w:fill="FFFFFF"/>
          <w:lang w:val="en-GB"/>
        </w:rPr>
        <w:t>O</w:t>
      </w:r>
      <w:r w:rsidR="00F841E0" w:rsidRPr="00F841E0">
        <w:rPr>
          <w:rFonts w:ascii="Times New Roman" w:eastAsia="Calibri" w:hAnsi="Times New Roman" w:cs="Times New Roman"/>
          <w:i/>
          <w:iCs/>
          <w:color w:val="242121"/>
          <w:sz w:val="28"/>
          <w:szCs w:val="28"/>
          <w:shd w:val="clear" w:color="auto" w:fill="FFFFFF"/>
          <w:lang w:val="en-GB"/>
        </w:rPr>
        <w:t>rder</w:t>
      </w:r>
    </w:p>
    <w:p w14:paraId="097D656E" w14:textId="5E1F0D60" w:rsidR="00CC464E" w:rsidRPr="00F841E0" w:rsidRDefault="00CC464E" w:rsidP="00F841E0">
      <w:pPr>
        <w:spacing w:line="360" w:lineRule="auto"/>
        <w:jc w:val="both"/>
        <w:rPr>
          <w:rFonts w:ascii="Times New Roman" w:eastAsia="Calibri" w:hAnsi="Times New Roman" w:cs="Times New Roman"/>
          <w:color w:val="242121"/>
          <w:sz w:val="28"/>
          <w:szCs w:val="28"/>
          <w:shd w:val="clear" w:color="auto" w:fill="FFFFFF"/>
          <w:lang w:val="en-GB"/>
        </w:rPr>
      </w:pPr>
      <w:r w:rsidRPr="00F841E0">
        <w:rPr>
          <w:rFonts w:ascii="Times New Roman" w:eastAsia="Calibri" w:hAnsi="Times New Roman" w:cs="Times New Roman"/>
          <w:color w:val="242121"/>
          <w:sz w:val="28"/>
          <w:szCs w:val="28"/>
          <w:shd w:val="clear" w:color="auto" w:fill="FFFFFF"/>
          <w:lang w:val="en-GB"/>
        </w:rPr>
        <w:t xml:space="preserve">[15] </w:t>
      </w:r>
      <w:r w:rsidRPr="00F841E0">
        <w:rPr>
          <w:rFonts w:ascii="Times New Roman" w:eastAsia="Calibri" w:hAnsi="Times New Roman" w:cs="Times New Roman"/>
          <w:color w:val="242121"/>
          <w:sz w:val="28"/>
          <w:szCs w:val="28"/>
          <w:shd w:val="clear" w:color="auto" w:fill="FFFFFF"/>
          <w:lang w:val="en-GB"/>
        </w:rPr>
        <w:tab/>
      </w:r>
      <w:r w:rsidR="00463E56" w:rsidRPr="00F841E0">
        <w:rPr>
          <w:rFonts w:ascii="Times New Roman" w:eastAsia="Calibri" w:hAnsi="Times New Roman" w:cs="Times New Roman"/>
          <w:color w:val="242121"/>
          <w:sz w:val="28"/>
          <w:szCs w:val="28"/>
          <w:shd w:val="clear" w:color="auto" w:fill="FFFFFF"/>
          <w:lang w:val="en-GB"/>
        </w:rPr>
        <w:t>The following order is made:</w:t>
      </w:r>
    </w:p>
    <w:p w14:paraId="2CE7ACA7" w14:textId="6F790A91" w:rsidR="00CC464E" w:rsidRDefault="00463E56" w:rsidP="00F841E0">
      <w:pPr>
        <w:spacing w:line="360" w:lineRule="auto"/>
        <w:jc w:val="both"/>
        <w:rPr>
          <w:rFonts w:ascii="Times New Roman" w:eastAsia="Calibri" w:hAnsi="Times New Roman" w:cs="Times New Roman"/>
          <w:color w:val="242121"/>
          <w:sz w:val="28"/>
          <w:szCs w:val="28"/>
          <w:shd w:val="clear" w:color="auto" w:fill="FFFFFF"/>
          <w:lang w:val="en-GB"/>
        </w:rPr>
      </w:pPr>
      <w:r w:rsidRPr="00F841E0">
        <w:rPr>
          <w:rFonts w:ascii="Times New Roman" w:eastAsia="Calibri" w:hAnsi="Times New Roman" w:cs="Times New Roman"/>
          <w:color w:val="242121"/>
          <w:sz w:val="28"/>
          <w:szCs w:val="28"/>
          <w:shd w:val="clear" w:color="auto" w:fill="FFFFFF"/>
          <w:lang w:val="en-GB"/>
        </w:rPr>
        <w:t xml:space="preserve">          (a) Application for leave to appeal is dismissed with costs.</w:t>
      </w:r>
    </w:p>
    <w:p w14:paraId="5903BA10"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75E727DC" w14:textId="2AF19496" w:rsidR="008E4E23" w:rsidRDefault="008E4E23" w:rsidP="008E4E23">
      <w:pPr>
        <w:spacing w:line="360" w:lineRule="auto"/>
        <w:ind w:left="1440" w:hanging="720"/>
        <w:jc w:val="both"/>
        <w:rPr>
          <w:rFonts w:ascii="Times New Roman" w:eastAsia="Calibri" w:hAnsi="Times New Roman" w:cs="Times New Roman"/>
          <w:color w:val="242121"/>
          <w:sz w:val="28"/>
          <w:szCs w:val="28"/>
          <w:shd w:val="clear" w:color="auto" w:fill="FFFFFF"/>
          <w:lang w:val="en-GB"/>
        </w:rPr>
      </w:pPr>
    </w:p>
    <w:p w14:paraId="4D4669CA" w14:textId="2AF2E534" w:rsidR="00E166B0" w:rsidRDefault="00E166B0" w:rsidP="008E4E23">
      <w:pPr>
        <w:spacing w:line="360" w:lineRule="auto"/>
        <w:ind w:left="1440" w:hanging="720"/>
        <w:jc w:val="both"/>
        <w:rPr>
          <w:rFonts w:ascii="Times New Roman" w:eastAsia="Calibri" w:hAnsi="Times New Roman" w:cs="Times New Roman"/>
          <w:color w:val="242121"/>
          <w:sz w:val="28"/>
          <w:szCs w:val="28"/>
          <w:shd w:val="clear" w:color="auto" w:fill="FFFFFF"/>
          <w:lang w:val="en-GB"/>
        </w:rPr>
      </w:pPr>
    </w:p>
    <w:p w14:paraId="3FF128D9" w14:textId="77777777" w:rsidR="008E4E23" w:rsidRPr="00DC061E" w:rsidRDefault="008E4E23" w:rsidP="008E4E23">
      <w:pPr>
        <w:spacing w:line="360" w:lineRule="auto"/>
        <w:ind w:left="1440" w:hanging="720"/>
        <w:jc w:val="both"/>
        <w:rPr>
          <w:rFonts w:ascii="Times New Roman" w:eastAsia="Calibri" w:hAnsi="Times New Roman" w:cs="Times New Roman"/>
          <w:color w:val="242121"/>
          <w:sz w:val="28"/>
          <w:szCs w:val="28"/>
          <w:shd w:val="clear" w:color="auto" w:fill="FFFFFF"/>
          <w:lang w:val="en-GB"/>
        </w:rPr>
      </w:pPr>
    </w:p>
    <w:p w14:paraId="21B8DE6E" w14:textId="77777777" w:rsidR="008E4E23" w:rsidRPr="00261A8B" w:rsidRDefault="008E4E23" w:rsidP="008E4E23">
      <w:pPr>
        <w:spacing w:after="0" w:line="360" w:lineRule="auto"/>
        <w:ind w:left="5040"/>
        <w:jc w:val="both"/>
        <w:rPr>
          <w:rFonts w:ascii="Times New Roman" w:hAnsi="Times New Roman" w:cs="Times New Roman"/>
          <w:sz w:val="28"/>
          <w:szCs w:val="28"/>
        </w:rPr>
      </w:pPr>
      <w:r>
        <w:rPr>
          <w:rFonts w:ascii="Times New Roman" w:hAnsi="Times New Roman" w:cs="Times New Roman"/>
          <w:sz w:val="28"/>
          <w:szCs w:val="28"/>
        </w:rPr>
        <w:t xml:space="preserve">    </w:t>
      </w:r>
      <w:r w:rsidRPr="00261A8B">
        <w:rPr>
          <w:rFonts w:ascii="Times New Roman" w:hAnsi="Times New Roman" w:cs="Times New Roman"/>
          <w:sz w:val="28"/>
          <w:szCs w:val="28"/>
        </w:rPr>
        <w:t>__________________________</w:t>
      </w:r>
    </w:p>
    <w:p w14:paraId="4C39F462" w14:textId="77777777" w:rsidR="008E4E23" w:rsidRPr="00261A8B" w:rsidRDefault="008E4E23" w:rsidP="008E4E23">
      <w:pPr>
        <w:spacing w:after="0" w:line="36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261A8B">
        <w:rPr>
          <w:rFonts w:ascii="Times New Roman" w:hAnsi="Times New Roman" w:cs="Times New Roman"/>
          <w:b/>
          <w:sz w:val="28"/>
          <w:szCs w:val="28"/>
        </w:rPr>
        <w:t>ML SENYATSI</w:t>
      </w:r>
    </w:p>
    <w:p w14:paraId="666125F2" w14:textId="77777777" w:rsidR="008E4E23" w:rsidRPr="00261A8B" w:rsidRDefault="008E4E23" w:rsidP="008E4E23">
      <w:pPr>
        <w:spacing w:after="0" w:line="36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1A8B">
        <w:rPr>
          <w:rFonts w:ascii="Times New Roman" w:hAnsi="Times New Roman" w:cs="Times New Roman"/>
          <w:b/>
          <w:sz w:val="28"/>
          <w:szCs w:val="28"/>
        </w:rPr>
        <w:t>JUDGE OF THE HIGH COURT</w:t>
      </w:r>
    </w:p>
    <w:p w14:paraId="37F9A6A8" w14:textId="77777777" w:rsidR="008E4E23" w:rsidRPr="00ED171C" w:rsidRDefault="008E4E23" w:rsidP="008E4E23">
      <w:pPr>
        <w:spacing w:after="0" w:line="36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1A8B">
        <w:rPr>
          <w:rFonts w:ascii="Times New Roman" w:hAnsi="Times New Roman" w:cs="Times New Roman"/>
          <w:b/>
          <w:sz w:val="28"/>
          <w:szCs w:val="28"/>
        </w:rPr>
        <w:t>GAUTENG DIVISION, JOHANNESBURG</w:t>
      </w:r>
    </w:p>
    <w:p w14:paraId="1D9F0176"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6A8D456B"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306723C3"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7843A888"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60AB31F1" w14:textId="77777777" w:rsidR="008E4E23" w:rsidRDefault="008E4E23" w:rsidP="00F841E0">
      <w:pPr>
        <w:spacing w:line="360" w:lineRule="auto"/>
        <w:jc w:val="both"/>
        <w:rPr>
          <w:rFonts w:ascii="Times New Roman" w:eastAsia="Calibri" w:hAnsi="Times New Roman" w:cs="Times New Roman"/>
          <w:color w:val="242121"/>
          <w:sz w:val="28"/>
          <w:szCs w:val="28"/>
          <w:shd w:val="clear" w:color="auto" w:fill="FFFFFF"/>
          <w:lang w:val="en-GB"/>
        </w:rPr>
      </w:pPr>
    </w:p>
    <w:p w14:paraId="7D42D5C8" w14:textId="77777777" w:rsidR="00F841E0" w:rsidRPr="00F841E0" w:rsidRDefault="00F841E0" w:rsidP="00F841E0">
      <w:pPr>
        <w:spacing w:line="360" w:lineRule="auto"/>
        <w:jc w:val="both"/>
        <w:rPr>
          <w:rFonts w:ascii="Times New Roman" w:eastAsia="Calibri" w:hAnsi="Times New Roman" w:cs="Times New Roman"/>
          <w:color w:val="242121"/>
          <w:sz w:val="28"/>
          <w:szCs w:val="28"/>
          <w:shd w:val="clear" w:color="auto" w:fill="FFFFFF"/>
          <w:lang w:val="en-GB"/>
        </w:rPr>
      </w:pPr>
    </w:p>
    <w:p w14:paraId="71ABFA47" w14:textId="77777777" w:rsidR="00F841E0" w:rsidRPr="00423916" w:rsidRDefault="00F841E0" w:rsidP="00F841E0">
      <w:pPr>
        <w:keepNext/>
        <w:widowControl w:val="0"/>
        <w:spacing w:before="240" w:after="120"/>
        <w:rPr>
          <w:rFonts w:ascii="Times New Roman" w:eastAsia="Times New Roman" w:hAnsi="Times New Roman" w:cs="Times New Roman"/>
          <w:sz w:val="28"/>
          <w:szCs w:val="28"/>
          <w:u w:val="single"/>
          <w:lang w:eastAsia="en-ZA"/>
        </w:rPr>
      </w:pPr>
      <w:r w:rsidRPr="00423916">
        <w:rPr>
          <w:rFonts w:ascii="Times New Roman" w:eastAsia="Times New Roman" w:hAnsi="Times New Roman" w:cs="Times New Roman"/>
          <w:sz w:val="28"/>
          <w:szCs w:val="28"/>
          <w:u w:val="single"/>
          <w:lang w:eastAsia="en-ZA"/>
        </w:rPr>
        <w:t>Appearances:</w:t>
      </w:r>
    </w:p>
    <w:p w14:paraId="6DAD618A" w14:textId="42646C88" w:rsidR="00F841E0" w:rsidRPr="00423916" w:rsidRDefault="00F841E0" w:rsidP="008E4E23">
      <w:pPr>
        <w:tabs>
          <w:tab w:val="left" w:pos="3686"/>
        </w:tabs>
        <w:spacing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For the applicants: Ad</w:t>
      </w:r>
      <w:r w:rsidR="008E4E23">
        <w:rPr>
          <w:rFonts w:ascii="Times New Roman" w:eastAsia="Times New Roman" w:hAnsi="Times New Roman" w:cs="Times New Roman"/>
          <w:sz w:val="28"/>
          <w:szCs w:val="28"/>
          <w:lang w:eastAsia="en-ZA"/>
        </w:rPr>
        <w:t>v G Marcus SC</w:t>
      </w:r>
    </w:p>
    <w:p w14:paraId="6E5348C0" w14:textId="56A5547A" w:rsidR="00F841E0" w:rsidRPr="00423916" w:rsidRDefault="00F841E0" w:rsidP="008E4E23">
      <w:pPr>
        <w:tabs>
          <w:tab w:val="left" w:pos="3686"/>
        </w:tabs>
        <w:spacing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 xml:space="preserve">                                Adv </w:t>
      </w:r>
      <w:r w:rsidR="008E4E23">
        <w:rPr>
          <w:rFonts w:ascii="Times New Roman" w:eastAsia="Times New Roman" w:hAnsi="Times New Roman" w:cs="Times New Roman"/>
          <w:sz w:val="28"/>
          <w:szCs w:val="28"/>
          <w:lang w:eastAsia="en-ZA"/>
        </w:rPr>
        <w:t>D Watson</w:t>
      </w:r>
      <w:r w:rsidRPr="00423916">
        <w:rPr>
          <w:rFonts w:ascii="Times New Roman" w:eastAsia="Times New Roman" w:hAnsi="Times New Roman" w:cs="Times New Roman"/>
          <w:sz w:val="28"/>
          <w:szCs w:val="28"/>
          <w:lang w:eastAsia="en-ZA"/>
        </w:rPr>
        <w:t xml:space="preserve">             </w:t>
      </w:r>
    </w:p>
    <w:p w14:paraId="0C1AEDE2" w14:textId="7A674EEB" w:rsidR="00F841E0" w:rsidRPr="00423916" w:rsidRDefault="00F841E0" w:rsidP="00F841E0">
      <w:pPr>
        <w:tabs>
          <w:tab w:val="left" w:pos="3686"/>
        </w:tabs>
        <w:spacing w:after="120"/>
        <w:ind w:left="3686" w:hanging="3686"/>
        <w:rPr>
          <w:rFonts w:ascii="Times New Roman" w:hAnsi="Times New Roman" w:cs="Times New Roman"/>
          <w:sz w:val="28"/>
          <w:szCs w:val="28"/>
          <w:lang w:eastAsia="en-ZA"/>
        </w:rPr>
      </w:pPr>
      <w:bookmarkStart w:id="0" w:name="_Hlk166838137"/>
      <w:r w:rsidRPr="00423916">
        <w:rPr>
          <w:rFonts w:ascii="Times New Roman" w:hAnsi="Times New Roman" w:cs="Times New Roman"/>
          <w:sz w:val="28"/>
          <w:szCs w:val="28"/>
          <w:lang w:eastAsia="en-ZA"/>
        </w:rPr>
        <w:t xml:space="preserve">Instructed by </w:t>
      </w:r>
      <w:r w:rsidR="008E4E23">
        <w:rPr>
          <w:rFonts w:ascii="Times New Roman" w:hAnsi="Times New Roman" w:cs="Times New Roman"/>
          <w:sz w:val="28"/>
          <w:szCs w:val="28"/>
          <w:lang w:eastAsia="en-ZA"/>
        </w:rPr>
        <w:t>Harris Nupen Molebatsi Inc</w:t>
      </w:r>
    </w:p>
    <w:bookmarkEnd w:id="0"/>
    <w:p w14:paraId="00249B99" w14:textId="77777777" w:rsidR="00F841E0" w:rsidRPr="00423916" w:rsidRDefault="00F841E0" w:rsidP="00F841E0">
      <w:pPr>
        <w:tabs>
          <w:tab w:val="left" w:pos="3686"/>
        </w:tabs>
        <w:spacing w:after="120"/>
        <w:ind w:left="3686" w:hanging="3686"/>
        <w:rPr>
          <w:rFonts w:ascii="Times New Roman" w:hAnsi="Times New Roman" w:cs="Times New Roman"/>
          <w:sz w:val="28"/>
          <w:szCs w:val="28"/>
          <w:lang w:eastAsia="en-ZA"/>
        </w:rPr>
      </w:pPr>
    </w:p>
    <w:p w14:paraId="1771DB4E" w14:textId="2B2C947D" w:rsidR="00F841E0" w:rsidRPr="00423916" w:rsidRDefault="00F841E0" w:rsidP="00F841E0">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 xml:space="preserve">For the respondent: Adv </w:t>
      </w:r>
      <w:r w:rsidR="008E4E23">
        <w:rPr>
          <w:rFonts w:ascii="Times New Roman" w:eastAsia="Times New Roman" w:hAnsi="Times New Roman" w:cs="Times New Roman"/>
          <w:sz w:val="28"/>
          <w:szCs w:val="28"/>
          <w:lang w:eastAsia="en-ZA"/>
        </w:rPr>
        <w:t>D Linde</w:t>
      </w:r>
    </w:p>
    <w:p w14:paraId="797DC5FF" w14:textId="7519FB57" w:rsidR="008E4E23" w:rsidRPr="00423916" w:rsidRDefault="008E4E23" w:rsidP="008E4E23">
      <w:pPr>
        <w:tabs>
          <w:tab w:val="left" w:pos="3686"/>
        </w:tabs>
        <w:spacing w:after="120"/>
        <w:ind w:left="3686" w:hanging="3686"/>
        <w:rPr>
          <w:rFonts w:ascii="Times New Roman" w:hAnsi="Times New Roman" w:cs="Times New Roman"/>
          <w:sz w:val="28"/>
          <w:szCs w:val="28"/>
          <w:lang w:eastAsia="en-ZA"/>
        </w:rPr>
      </w:pPr>
      <w:r w:rsidRPr="00423916">
        <w:rPr>
          <w:rFonts w:ascii="Times New Roman" w:hAnsi="Times New Roman" w:cs="Times New Roman"/>
          <w:sz w:val="28"/>
          <w:szCs w:val="28"/>
          <w:lang w:eastAsia="en-ZA"/>
        </w:rPr>
        <w:t xml:space="preserve">Instructed by </w:t>
      </w:r>
      <w:r>
        <w:rPr>
          <w:rFonts w:ascii="Times New Roman" w:hAnsi="Times New Roman" w:cs="Times New Roman"/>
          <w:sz w:val="28"/>
          <w:szCs w:val="28"/>
          <w:lang w:eastAsia="en-ZA"/>
        </w:rPr>
        <w:t>Bowmans Gilfillan</w:t>
      </w:r>
    </w:p>
    <w:p w14:paraId="05F704F3" w14:textId="6921B913" w:rsidR="00F841E0" w:rsidRPr="00423916" w:rsidRDefault="00F841E0" w:rsidP="00F841E0">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 xml:space="preserve">                           </w:t>
      </w:r>
    </w:p>
    <w:p w14:paraId="5445ED62" w14:textId="5FDB7302" w:rsidR="00F841E0" w:rsidRDefault="00F841E0" w:rsidP="00F841E0">
      <w:pPr>
        <w:spacing w:after="0" w:line="240" w:lineRule="auto"/>
        <w:rPr>
          <w:rFonts w:ascii="Times New Roman" w:eastAsia="Times New Roman" w:hAnsi="Times New Roman" w:cs="Times New Roman"/>
          <w:sz w:val="28"/>
          <w:szCs w:val="28"/>
          <w:lang w:eastAsia="en-GB"/>
        </w:rPr>
      </w:pPr>
      <w:r w:rsidRPr="00423916">
        <w:rPr>
          <w:rFonts w:ascii="Times New Roman" w:eastAsia="Times New Roman" w:hAnsi="Times New Roman" w:cs="Times New Roman"/>
          <w:sz w:val="28"/>
          <w:szCs w:val="28"/>
          <w:lang w:eastAsia="en-GB"/>
        </w:rPr>
        <w:t xml:space="preserve">Date of </w:t>
      </w:r>
      <w:r>
        <w:rPr>
          <w:rFonts w:ascii="Times New Roman" w:eastAsia="Times New Roman" w:hAnsi="Times New Roman" w:cs="Times New Roman"/>
          <w:sz w:val="28"/>
          <w:szCs w:val="28"/>
          <w:lang w:eastAsia="en-GB"/>
        </w:rPr>
        <w:t>Judgment reserved</w:t>
      </w:r>
      <w:r w:rsidRPr="00423916">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008E4E23">
        <w:rPr>
          <w:rFonts w:ascii="Times New Roman" w:eastAsia="Times New Roman" w:hAnsi="Times New Roman" w:cs="Times New Roman"/>
          <w:sz w:val="28"/>
          <w:szCs w:val="28"/>
          <w:lang w:eastAsia="en-GB"/>
        </w:rPr>
        <w:t>6 March</w:t>
      </w:r>
      <w:r>
        <w:rPr>
          <w:rFonts w:ascii="Times New Roman" w:eastAsia="Times New Roman" w:hAnsi="Times New Roman" w:cs="Times New Roman"/>
          <w:sz w:val="28"/>
          <w:szCs w:val="28"/>
          <w:lang w:eastAsia="en-GB"/>
        </w:rPr>
        <w:t xml:space="preserve"> 2024</w:t>
      </w:r>
    </w:p>
    <w:p w14:paraId="19B0A464" w14:textId="77777777" w:rsidR="00F841E0" w:rsidRPr="00423916" w:rsidRDefault="00F841E0" w:rsidP="00F841E0">
      <w:pPr>
        <w:spacing w:after="0" w:line="240" w:lineRule="auto"/>
        <w:rPr>
          <w:rFonts w:ascii="Times New Roman" w:eastAsia="Times New Roman" w:hAnsi="Times New Roman" w:cs="Times New Roman"/>
          <w:sz w:val="28"/>
          <w:szCs w:val="28"/>
          <w:lang w:eastAsia="en-GB"/>
        </w:rPr>
      </w:pPr>
    </w:p>
    <w:p w14:paraId="289F575D" w14:textId="0E768639" w:rsidR="00F841E0" w:rsidRPr="00423916" w:rsidRDefault="00F841E0" w:rsidP="00F841E0">
      <w:pPr>
        <w:spacing w:after="0" w:line="240" w:lineRule="auto"/>
        <w:rPr>
          <w:rFonts w:ascii="Times New Roman" w:eastAsia="Times New Roman" w:hAnsi="Times New Roman" w:cs="Times New Roman"/>
          <w:sz w:val="28"/>
          <w:szCs w:val="28"/>
          <w:lang w:eastAsia="en-GB"/>
        </w:rPr>
        <w:sectPr w:rsidR="00F841E0" w:rsidRPr="00423916" w:rsidSect="00F841E0">
          <w:footerReference w:type="default" r:id="rId13"/>
          <w:pgSz w:w="11906" w:h="16838"/>
          <w:pgMar w:top="1440" w:right="1440" w:bottom="1440" w:left="1440" w:header="708" w:footer="708" w:gutter="0"/>
          <w:cols w:space="708"/>
          <w:titlePg/>
          <w:docGrid w:linePitch="360"/>
        </w:sectPr>
      </w:pPr>
      <w:r w:rsidRPr="00423916">
        <w:rPr>
          <w:rFonts w:ascii="Times New Roman" w:eastAsia="Times New Roman" w:hAnsi="Times New Roman" w:cs="Times New Roman"/>
          <w:sz w:val="28"/>
          <w:szCs w:val="28"/>
          <w:lang w:eastAsia="en-GB"/>
        </w:rPr>
        <w:t xml:space="preserve">Date </w:t>
      </w:r>
      <w:r>
        <w:rPr>
          <w:rFonts w:ascii="Times New Roman" w:eastAsia="Times New Roman" w:hAnsi="Times New Roman" w:cs="Times New Roman"/>
          <w:sz w:val="28"/>
          <w:szCs w:val="28"/>
          <w:lang w:eastAsia="en-GB"/>
        </w:rPr>
        <w:t xml:space="preserve">of </w:t>
      </w:r>
      <w:r w:rsidRPr="00423916">
        <w:rPr>
          <w:rFonts w:ascii="Times New Roman" w:eastAsia="Times New Roman" w:hAnsi="Times New Roman" w:cs="Times New Roman"/>
          <w:sz w:val="28"/>
          <w:szCs w:val="28"/>
          <w:lang w:eastAsia="en-GB"/>
        </w:rPr>
        <w:t xml:space="preserve">Judgment: </w:t>
      </w:r>
      <w:r>
        <w:rPr>
          <w:rFonts w:ascii="Times New Roman" w:eastAsia="Times New Roman" w:hAnsi="Times New Roman" w:cs="Times New Roman"/>
          <w:sz w:val="28"/>
          <w:szCs w:val="28"/>
          <w:lang w:eastAsia="en-GB"/>
        </w:rPr>
        <w:t xml:space="preserve"> </w:t>
      </w:r>
      <w:r w:rsidR="008E4E23">
        <w:rPr>
          <w:rFonts w:ascii="Times New Roman" w:eastAsia="Times New Roman" w:hAnsi="Times New Roman" w:cs="Times New Roman"/>
          <w:sz w:val="28"/>
          <w:szCs w:val="28"/>
          <w:lang w:eastAsia="en-GB"/>
        </w:rPr>
        <w:t>17</w:t>
      </w:r>
      <w:r>
        <w:rPr>
          <w:rFonts w:ascii="Times New Roman" w:eastAsia="Times New Roman" w:hAnsi="Times New Roman" w:cs="Times New Roman"/>
          <w:sz w:val="28"/>
          <w:szCs w:val="28"/>
          <w:lang w:eastAsia="en-GB"/>
        </w:rPr>
        <w:t xml:space="preserve"> May</w:t>
      </w:r>
      <w:r w:rsidRPr="00423916">
        <w:rPr>
          <w:rFonts w:ascii="Times New Roman" w:eastAsia="Times New Roman" w:hAnsi="Times New Roman" w:cs="Times New Roman"/>
          <w:sz w:val="28"/>
          <w:szCs w:val="28"/>
          <w:lang w:eastAsia="en-GB"/>
        </w:rPr>
        <w:t xml:space="preserve"> 20</w:t>
      </w:r>
      <w:r>
        <w:rPr>
          <w:rFonts w:ascii="Times New Roman" w:eastAsia="Times New Roman" w:hAnsi="Times New Roman" w:cs="Times New Roman"/>
          <w:sz w:val="28"/>
          <w:szCs w:val="28"/>
          <w:lang w:eastAsia="en-GB"/>
        </w:rPr>
        <w:t>24</w:t>
      </w:r>
    </w:p>
    <w:p w14:paraId="5A6BD514" w14:textId="77777777" w:rsidR="00F841E0" w:rsidRPr="008A779E" w:rsidRDefault="00F841E0" w:rsidP="00F841E0">
      <w:pPr>
        <w:rPr>
          <w:rFonts w:ascii="Times New Roman" w:eastAsia="Calibri" w:hAnsi="Times New Roman" w:cs="Times New Roman"/>
          <w:sz w:val="28"/>
          <w:szCs w:val="28"/>
          <w:lang w:val="en-US"/>
        </w:rPr>
      </w:pPr>
    </w:p>
    <w:p w14:paraId="75DA438B" w14:textId="77777777" w:rsidR="00F841E0" w:rsidRPr="008A779E" w:rsidRDefault="00F841E0" w:rsidP="00F841E0">
      <w:pPr>
        <w:rPr>
          <w:rFonts w:ascii="Times New Roman" w:eastAsia="Calibri" w:hAnsi="Times New Roman" w:cs="Times New Roman"/>
          <w:sz w:val="28"/>
          <w:szCs w:val="28"/>
          <w:lang w:val="en-US"/>
        </w:rPr>
      </w:pPr>
    </w:p>
    <w:p w14:paraId="515E1F2F" w14:textId="77777777" w:rsidR="00F841E0" w:rsidRPr="008A779E" w:rsidRDefault="00F841E0" w:rsidP="00F841E0">
      <w:pPr>
        <w:rPr>
          <w:rFonts w:ascii="Times New Roman" w:eastAsia="Calibri" w:hAnsi="Times New Roman" w:cs="Times New Roman"/>
          <w:sz w:val="28"/>
          <w:szCs w:val="28"/>
          <w:lang w:val="en-US"/>
        </w:rPr>
      </w:pPr>
    </w:p>
    <w:p w14:paraId="22DF394C" w14:textId="77777777" w:rsidR="00F841E0" w:rsidRPr="008A779E" w:rsidRDefault="00F841E0" w:rsidP="00F841E0">
      <w:pPr>
        <w:rPr>
          <w:rFonts w:ascii="Times New Roman" w:hAnsi="Times New Roman" w:cs="Times New Roman"/>
          <w:sz w:val="28"/>
          <w:szCs w:val="28"/>
        </w:rPr>
      </w:pPr>
    </w:p>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D83B" w14:textId="77777777" w:rsidR="009777F0" w:rsidRDefault="009777F0" w:rsidP="00CC464E">
      <w:pPr>
        <w:spacing w:after="0" w:line="240" w:lineRule="auto"/>
      </w:pPr>
      <w:r>
        <w:separator/>
      </w:r>
    </w:p>
  </w:endnote>
  <w:endnote w:type="continuationSeparator" w:id="0">
    <w:p w14:paraId="584F0A7D" w14:textId="77777777" w:rsidR="009777F0" w:rsidRDefault="009777F0"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18750"/>
      <w:docPartObj>
        <w:docPartGallery w:val="Page Numbers (Bottom of Page)"/>
        <w:docPartUnique/>
      </w:docPartObj>
    </w:sdtPr>
    <w:sdtEndPr>
      <w:rPr>
        <w:noProof/>
      </w:rPr>
    </w:sdtEndPr>
    <w:sdtContent>
      <w:p w14:paraId="68A5EFAD" w14:textId="77777777" w:rsidR="00F841E0" w:rsidRDefault="00F841E0" w:rsidP="00E46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89C3C" w14:textId="77777777" w:rsidR="00F841E0" w:rsidRDefault="00F8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4B9F1" w14:textId="77777777" w:rsidR="009777F0" w:rsidRDefault="009777F0" w:rsidP="00CC464E">
      <w:pPr>
        <w:spacing w:after="0" w:line="240" w:lineRule="auto"/>
      </w:pPr>
      <w:r>
        <w:separator/>
      </w:r>
    </w:p>
  </w:footnote>
  <w:footnote w:type="continuationSeparator" w:id="0">
    <w:p w14:paraId="5A660813" w14:textId="77777777" w:rsidR="009777F0" w:rsidRDefault="009777F0" w:rsidP="00CC464E">
      <w:pPr>
        <w:spacing w:after="0" w:line="240" w:lineRule="auto"/>
      </w:pPr>
      <w:r>
        <w:continuationSeparator/>
      </w:r>
    </w:p>
  </w:footnote>
  <w:footnote w:id="1">
    <w:p w14:paraId="67FFA099" w14:textId="77777777" w:rsidR="00DB6072" w:rsidRPr="00F841E0" w:rsidRDefault="00DB6072" w:rsidP="00DB6072">
      <w:pPr>
        <w:pStyle w:val="FootnoteText"/>
        <w:rPr>
          <w:rFonts w:ascii="Times New Roman" w:hAnsi="Times New Roman" w:cs="Times New Roman"/>
          <w:sz w:val="22"/>
          <w:szCs w:val="22"/>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w:t>
      </w:r>
      <w:r w:rsidRPr="00F841E0">
        <w:rPr>
          <w:rFonts w:ascii="Times New Roman" w:hAnsi="Times New Roman" w:cs="Times New Roman"/>
          <w:sz w:val="22"/>
          <w:szCs w:val="22"/>
        </w:rPr>
        <w:t>2014 2325 (LCC)</w:t>
      </w:r>
    </w:p>
  </w:footnote>
  <w:footnote w:id="2">
    <w:p w14:paraId="77DEADAA" w14:textId="77777777" w:rsidR="00DB6072" w:rsidRPr="00F841E0" w:rsidRDefault="00DB6072" w:rsidP="00DB6072">
      <w:pPr>
        <w:pStyle w:val="FootnoteText"/>
        <w:rPr>
          <w:rFonts w:ascii="Times New Roman" w:hAnsi="Times New Roman" w:cs="Times New Roman"/>
          <w:sz w:val="22"/>
          <w:szCs w:val="22"/>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w:t>
      </w:r>
      <w:r w:rsidRPr="00F841E0">
        <w:rPr>
          <w:rFonts w:ascii="Times New Roman" w:hAnsi="Times New Roman" w:cs="Times New Roman"/>
          <w:sz w:val="22"/>
          <w:szCs w:val="22"/>
        </w:rPr>
        <w:t>Case no: 19577/09) ZAGPPHC 489 at para 25</w:t>
      </w:r>
    </w:p>
  </w:footnote>
  <w:footnote w:id="3">
    <w:p w14:paraId="6A86CB24" w14:textId="77777777" w:rsidR="00DB6072" w:rsidRPr="00F841E0" w:rsidRDefault="00DB6072" w:rsidP="00DB6072">
      <w:pPr>
        <w:pStyle w:val="FootnoteText"/>
        <w:rPr>
          <w:rFonts w:ascii="Times New Roman" w:hAnsi="Times New Roman" w:cs="Times New Roman"/>
          <w:sz w:val="22"/>
          <w:szCs w:val="22"/>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w:t>
      </w:r>
      <w:r w:rsidRPr="00F841E0">
        <w:rPr>
          <w:rFonts w:ascii="Times New Roman" w:hAnsi="Times New Roman" w:cs="Times New Roman"/>
          <w:sz w:val="22"/>
          <w:szCs w:val="22"/>
        </w:rPr>
        <w:t>213/16) [2017] ZASCA 17 (22 March 2017)</w:t>
      </w:r>
    </w:p>
  </w:footnote>
  <w:footnote w:id="4">
    <w:p w14:paraId="274F8707" w14:textId="77777777" w:rsidR="00D35EAF" w:rsidRPr="00F841E0" w:rsidRDefault="00D35EAF" w:rsidP="00D35EAF">
      <w:pPr>
        <w:pStyle w:val="FootnoteText"/>
        <w:rPr>
          <w:rFonts w:ascii="Times New Roman" w:hAnsi="Times New Roman" w:cs="Times New Roman"/>
          <w:sz w:val="22"/>
          <w:szCs w:val="22"/>
        </w:rPr>
      </w:pPr>
      <w:r>
        <w:rPr>
          <w:rStyle w:val="FootnoteReference"/>
        </w:rPr>
        <w:footnoteRef/>
      </w:r>
      <w:r>
        <w:t xml:space="preserve"> [</w:t>
      </w:r>
      <w:r w:rsidRPr="00F841E0">
        <w:rPr>
          <w:rFonts w:ascii="Times New Roman" w:hAnsi="Times New Roman" w:cs="Times New Roman"/>
          <w:sz w:val="22"/>
          <w:szCs w:val="22"/>
        </w:rPr>
        <w:t>2017] ZAFSHC 80 at para 5</w:t>
      </w:r>
    </w:p>
  </w:footnote>
  <w:footnote w:id="5">
    <w:p w14:paraId="41AF3272" w14:textId="77777777" w:rsidR="00D35EAF" w:rsidRPr="00F841E0" w:rsidRDefault="00D35EAF" w:rsidP="00D35EAF">
      <w:pPr>
        <w:pStyle w:val="FootnoteText"/>
        <w:rPr>
          <w:rFonts w:ascii="Times New Roman" w:hAnsi="Times New Roman" w:cs="Times New Roman"/>
        </w:rPr>
      </w:pPr>
      <w:r>
        <w:rPr>
          <w:rStyle w:val="FootnoteReference"/>
        </w:rPr>
        <w:footnoteRef/>
      </w:r>
      <w:r>
        <w:t xml:space="preserve"> [</w:t>
      </w:r>
      <w:r w:rsidRPr="00F841E0">
        <w:rPr>
          <w:rFonts w:ascii="Times New Roman" w:hAnsi="Times New Roman" w:cs="Times New Roman"/>
        </w:rPr>
        <w:t>2016] ZASCA 112 para 2</w:t>
      </w:r>
    </w:p>
  </w:footnote>
  <w:footnote w:id="6">
    <w:p w14:paraId="75679231" w14:textId="77777777" w:rsidR="00D35EAF" w:rsidRDefault="00D35EAF" w:rsidP="00D35EAF">
      <w:pPr>
        <w:pStyle w:val="FootnoteText"/>
        <w:rPr>
          <w:rFonts w:ascii="Calibri" w:hAnsi="Calibri"/>
          <w:lang w:val="en-US"/>
        </w:rPr>
      </w:pPr>
      <w:r>
        <w:rPr>
          <w:rStyle w:val="FootnoteReference"/>
        </w:rPr>
        <w:footnoteRef/>
      </w:r>
      <w:r>
        <w:t xml:space="preserve"> </w:t>
      </w:r>
      <w:r w:rsidRPr="00F841E0">
        <w:rPr>
          <w:rFonts w:ascii="Times New Roman" w:hAnsi="Times New Roman" w:cs="Times New Roman"/>
          <w:lang w:val="en-US"/>
        </w:rPr>
        <w:t>2012 (1) SACR 567 (SCA) at para 7</w:t>
      </w:r>
    </w:p>
  </w:footnote>
  <w:footnote w:id="7">
    <w:p w14:paraId="31CBF75C" w14:textId="77777777" w:rsidR="00D35EAF" w:rsidRPr="00F841E0" w:rsidRDefault="00D35EAF" w:rsidP="00D35EAF">
      <w:pPr>
        <w:pStyle w:val="FootnoteText"/>
        <w:rPr>
          <w:rFonts w:ascii="Times New Roman" w:eastAsia="Calibri" w:hAnsi="Times New Roman" w:cs="Times New Roman"/>
          <w:lang w:val="en-US"/>
        </w:rPr>
      </w:pPr>
      <w:r>
        <w:rPr>
          <w:rStyle w:val="FootnoteReference"/>
        </w:rPr>
        <w:footnoteRef/>
      </w:r>
      <w:r>
        <w:t xml:space="preserve"> </w:t>
      </w:r>
      <w:r w:rsidRPr="00F841E0">
        <w:rPr>
          <w:rFonts w:ascii="Times New Roman" w:hAnsi="Times New Roman" w:cs="Times New Roman"/>
          <w:lang w:val="en-US"/>
        </w:rPr>
        <w:t>2020 (1) SA 267 (LP)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2C56B" w14:textId="77777777"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895896957">
    <w:abstractNumId w:val="2"/>
  </w:num>
  <w:num w:numId="2" w16cid:durableId="63374861">
    <w:abstractNumId w:val="1"/>
  </w:num>
  <w:num w:numId="3" w16cid:durableId="157315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4E"/>
    <w:rsid w:val="00013F9E"/>
    <w:rsid w:val="00031159"/>
    <w:rsid w:val="00074567"/>
    <w:rsid w:val="0008149C"/>
    <w:rsid w:val="000876FC"/>
    <w:rsid w:val="000A2914"/>
    <w:rsid w:val="000D2ED0"/>
    <w:rsid w:val="000D31BC"/>
    <w:rsid w:val="000E1700"/>
    <w:rsid w:val="000F0174"/>
    <w:rsid w:val="00107EF4"/>
    <w:rsid w:val="00125C75"/>
    <w:rsid w:val="0013043F"/>
    <w:rsid w:val="00135FA2"/>
    <w:rsid w:val="00154664"/>
    <w:rsid w:val="001946C5"/>
    <w:rsid w:val="001A312C"/>
    <w:rsid w:val="002046C8"/>
    <w:rsid w:val="00211E56"/>
    <w:rsid w:val="00231B71"/>
    <w:rsid w:val="00251DD2"/>
    <w:rsid w:val="002631FA"/>
    <w:rsid w:val="00263699"/>
    <w:rsid w:val="00282C2C"/>
    <w:rsid w:val="002878D4"/>
    <w:rsid w:val="002958F6"/>
    <w:rsid w:val="002D1DBF"/>
    <w:rsid w:val="002D77DA"/>
    <w:rsid w:val="002E4300"/>
    <w:rsid w:val="003546BD"/>
    <w:rsid w:val="0035506B"/>
    <w:rsid w:val="00373311"/>
    <w:rsid w:val="003A7DF1"/>
    <w:rsid w:val="003D42C4"/>
    <w:rsid w:val="003E765B"/>
    <w:rsid w:val="003E7E46"/>
    <w:rsid w:val="004304DD"/>
    <w:rsid w:val="00445DE0"/>
    <w:rsid w:val="00463E56"/>
    <w:rsid w:val="00485645"/>
    <w:rsid w:val="004A4841"/>
    <w:rsid w:val="004A51AF"/>
    <w:rsid w:val="004C6ECC"/>
    <w:rsid w:val="00500127"/>
    <w:rsid w:val="00527449"/>
    <w:rsid w:val="00530427"/>
    <w:rsid w:val="00556D43"/>
    <w:rsid w:val="00564A7F"/>
    <w:rsid w:val="00565E83"/>
    <w:rsid w:val="005773CA"/>
    <w:rsid w:val="00630B24"/>
    <w:rsid w:val="00686993"/>
    <w:rsid w:val="006A063C"/>
    <w:rsid w:val="006B0D75"/>
    <w:rsid w:val="006F2F34"/>
    <w:rsid w:val="007019DA"/>
    <w:rsid w:val="00701EEC"/>
    <w:rsid w:val="00746448"/>
    <w:rsid w:val="00753B82"/>
    <w:rsid w:val="00764393"/>
    <w:rsid w:val="00766F0D"/>
    <w:rsid w:val="00773F82"/>
    <w:rsid w:val="00795950"/>
    <w:rsid w:val="007A4B45"/>
    <w:rsid w:val="007B0A13"/>
    <w:rsid w:val="007C206A"/>
    <w:rsid w:val="007D083D"/>
    <w:rsid w:val="00801692"/>
    <w:rsid w:val="0081099D"/>
    <w:rsid w:val="00822F32"/>
    <w:rsid w:val="00832E4C"/>
    <w:rsid w:val="008A60FA"/>
    <w:rsid w:val="008A779E"/>
    <w:rsid w:val="008A79F6"/>
    <w:rsid w:val="008E19AE"/>
    <w:rsid w:val="008E4E23"/>
    <w:rsid w:val="008F247D"/>
    <w:rsid w:val="00944924"/>
    <w:rsid w:val="00967E03"/>
    <w:rsid w:val="00971CF0"/>
    <w:rsid w:val="00974462"/>
    <w:rsid w:val="009777F0"/>
    <w:rsid w:val="009A6BEB"/>
    <w:rsid w:val="009C6525"/>
    <w:rsid w:val="009D11FA"/>
    <w:rsid w:val="009F01BC"/>
    <w:rsid w:val="00A21361"/>
    <w:rsid w:val="00A54C21"/>
    <w:rsid w:val="00AA7D73"/>
    <w:rsid w:val="00B30E34"/>
    <w:rsid w:val="00B57152"/>
    <w:rsid w:val="00BB332A"/>
    <w:rsid w:val="00BC323D"/>
    <w:rsid w:val="00C64EC4"/>
    <w:rsid w:val="00C75344"/>
    <w:rsid w:val="00CC464E"/>
    <w:rsid w:val="00D17811"/>
    <w:rsid w:val="00D25E38"/>
    <w:rsid w:val="00D35EAF"/>
    <w:rsid w:val="00D44DAF"/>
    <w:rsid w:val="00DB6072"/>
    <w:rsid w:val="00DE7BF0"/>
    <w:rsid w:val="00E14B8F"/>
    <w:rsid w:val="00E15475"/>
    <w:rsid w:val="00E166B0"/>
    <w:rsid w:val="00E23D17"/>
    <w:rsid w:val="00E70696"/>
    <w:rsid w:val="00E86A73"/>
    <w:rsid w:val="00E91CEE"/>
    <w:rsid w:val="00E97380"/>
    <w:rsid w:val="00EF1DE4"/>
    <w:rsid w:val="00F252FC"/>
    <w:rsid w:val="00F841E0"/>
    <w:rsid w:val="00FE3D70"/>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8986DB4B-9623-4C4C-8352-CB680D6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paragraph" w:styleId="Footer">
    <w:name w:val="footer"/>
    <w:basedOn w:val="Normal"/>
    <w:link w:val="FooterChar"/>
    <w:uiPriority w:val="99"/>
    <w:semiHidden/>
    <w:unhideWhenUsed/>
    <w:rsid w:val="00F84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74964">
      <w:bodyDiv w:val="1"/>
      <w:marLeft w:val="0"/>
      <w:marRight w:val="0"/>
      <w:marTop w:val="0"/>
      <w:marBottom w:val="0"/>
      <w:divBdr>
        <w:top w:val="none" w:sz="0" w:space="0" w:color="auto"/>
        <w:left w:val="none" w:sz="0" w:space="0" w:color="auto"/>
        <w:bottom w:val="none" w:sz="0" w:space="0" w:color="auto"/>
        <w:right w:val="none" w:sz="0" w:space="0" w:color="auto"/>
      </w:divBdr>
    </w:div>
    <w:div w:id="1051924719">
      <w:bodyDiv w:val="1"/>
      <w:marLeft w:val="0"/>
      <w:marRight w:val="0"/>
      <w:marTop w:val="0"/>
      <w:marBottom w:val="0"/>
      <w:divBdr>
        <w:top w:val="none" w:sz="0" w:space="0" w:color="auto"/>
        <w:left w:val="none" w:sz="0" w:space="0" w:color="auto"/>
        <w:bottom w:val="none" w:sz="0" w:space="0" w:color="auto"/>
        <w:right w:val="none" w:sz="0" w:space="0" w:color="auto"/>
      </w:divBdr>
    </w:div>
    <w:div w:id="1281261119">
      <w:bodyDiv w:val="1"/>
      <w:marLeft w:val="0"/>
      <w:marRight w:val="0"/>
      <w:marTop w:val="0"/>
      <w:marBottom w:val="0"/>
      <w:divBdr>
        <w:top w:val="none" w:sz="0" w:space="0" w:color="auto"/>
        <w:left w:val="none" w:sz="0" w:space="0" w:color="auto"/>
        <w:bottom w:val="none" w:sz="0" w:space="0" w:color="auto"/>
        <w:right w:val="none" w:sz="0" w:space="0" w:color="auto"/>
      </w:divBdr>
    </w:div>
    <w:div w:id="133903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6" ma:contentTypeDescription="Create a new document." ma:contentTypeScope="" ma:versionID="5fbc84934f19a25fa2c3c248aefba5da">
  <xsd:schema xmlns:xsd="http://www.w3.org/2001/XMLSchema" xmlns:xs="http://www.w3.org/2001/XMLSchema" xmlns:p="http://schemas.microsoft.com/office/2006/metadata/properties" xmlns:ns3="068c6b3d-be1e-4467-bdef-3b2882ff4aae" targetNamespace="http://schemas.microsoft.com/office/2006/metadata/properties" ma:root="true" ma:fieldsID="1de9898d771b31617d69ecbe503bda66"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84E2-7BDA-49FF-B9AA-6BB90C40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F8838-EA05-4EAB-B904-1BBAFB35D0B1}">
  <ds:schemaRefs>
    <ds:schemaRef ds:uri="http://schemas.microsoft.com/sharepoint/v3/contenttype/forms"/>
  </ds:schemaRefs>
</ds:datastoreItem>
</file>

<file path=customXml/itemProps3.xml><?xml version="1.0" encoding="utf-8"?>
<ds:datastoreItem xmlns:ds="http://schemas.openxmlformats.org/officeDocument/2006/customXml" ds:itemID="{ED914BEB-026E-4B5F-895E-794DC0BE55DA}">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19A75B8C-AE53-468D-B71D-108419F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Bongiwe Mhlongo</cp:lastModifiedBy>
  <cp:revision>2</cp:revision>
  <cp:lastPrinted>2024-05-17T09:41:00Z</cp:lastPrinted>
  <dcterms:created xsi:type="dcterms:W3CDTF">2024-05-23T12:56:00Z</dcterms:created>
  <dcterms:modified xsi:type="dcterms:W3CDTF">2024-05-23T12:56:00Z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