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81421" w14:textId="7EC20192" w:rsidR="006C43D7" w:rsidRPr="007811C6" w:rsidRDefault="006C43D7" w:rsidP="006F0330">
      <w:pPr>
        <w:spacing w:after="120" w:line="360" w:lineRule="auto"/>
        <w:jc w:val="center"/>
        <w:rPr>
          <w:rFonts w:cs="Arial"/>
          <w:b/>
          <w:bCs/>
          <w:szCs w:val="22"/>
        </w:rPr>
      </w:pPr>
      <w:r w:rsidRPr="007811C6">
        <w:rPr>
          <w:rFonts w:cs="Arial"/>
          <w:b/>
          <w:bCs/>
          <w:noProof/>
          <w:szCs w:val="22"/>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7811C6" w:rsidRDefault="006C43D7" w:rsidP="00C74E97">
      <w:pPr>
        <w:spacing w:line="360" w:lineRule="auto"/>
        <w:jc w:val="center"/>
        <w:rPr>
          <w:rFonts w:cs="Arial"/>
          <w:b/>
          <w:szCs w:val="22"/>
        </w:rPr>
      </w:pPr>
      <w:r w:rsidRPr="007811C6">
        <w:rPr>
          <w:rFonts w:cs="Arial"/>
          <w:b/>
          <w:szCs w:val="22"/>
        </w:rPr>
        <w:t xml:space="preserve">IN THE HIGH COURT OF SOUTH AFRICA, </w:t>
      </w:r>
    </w:p>
    <w:p w14:paraId="566C4D1B" w14:textId="77777777" w:rsidR="006C43D7" w:rsidRPr="007811C6" w:rsidRDefault="006C43D7" w:rsidP="00C74E97">
      <w:pPr>
        <w:spacing w:line="360" w:lineRule="auto"/>
        <w:jc w:val="center"/>
        <w:rPr>
          <w:rFonts w:cs="Arial"/>
          <w:b/>
          <w:szCs w:val="22"/>
        </w:rPr>
      </w:pPr>
      <w:r w:rsidRPr="007811C6">
        <w:rPr>
          <w:rFonts w:cs="Arial"/>
          <w:b/>
          <w:szCs w:val="22"/>
        </w:rPr>
        <w:t>GAUTENG DIVISION, JOHANNESBURG</w:t>
      </w:r>
    </w:p>
    <w:p w14:paraId="13D6E83E" w14:textId="77777777" w:rsidR="006C43D7" w:rsidRPr="007811C6" w:rsidRDefault="006C43D7" w:rsidP="00C74E97">
      <w:pPr>
        <w:spacing w:line="360" w:lineRule="auto"/>
        <w:jc w:val="both"/>
        <w:rPr>
          <w:rFonts w:cs="Arial"/>
          <w:b/>
          <w:szCs w:val="22"/>
        </w:rPr>
      </w:pPr>
    </w:p>
    <w:p w14:paraId="0AF8DD38" w14:textId="46DD38D2" w:rsidR="006C43D7" w:rsidRPr="007811C6" w:rsidRDefault="00F913C7" w:rsidP="00C74E97">
      <w:pPr>
        <w:spacing w:line="360" w:lineRule="auto"/>
        <w:jc w:val="right"/>
        <w:rPr>
          <w:rFonts w:cs="Arial"/>
          <w:b/>
          <w:szCs w:val="22"/>
        </w:rPr>
      </w:pPr>
      <w:r w:rsidRPr="007811C6">
        <w:rPr>
          <w:rFonts w:cs="Arial"/>
          <w:b/>
          <w:szCs w:val="22"/>
        </w:rPr>
        <w:t xml:space="preserve">CASE NO: </w:t>
      </w:r>
      <w:r w:rsidR="00A774BA">
        <w:rPr>
          <w:noProof/>
        </w:rPr>
        <mc:AlternateContent>
          <mc:Choice Requires="wps">
            <w:drawing>
              <wp:anchor distT="0" distB="0" distL="114300" distR="114300" simplePos="0" relativeHeight="251659264" behindDoc="0" locked="0" layoutInCell="1" allowOverlap="1" wp14:anchorId="563837DC" wp14:editId="5A28E6DD">
                <wp:simplePos x="0" y="0"/>
                <wp:positionH relativeFrom="margin">
                  <wp:align>left</wp:align>
                </wp:positionH>
                <wp:positionV relativeFrom="paragraph">
                  <wp:posOffset>49530</wp:posOffset>
                </wp:positionV>
                <wp:extent cx="3314700" cy="1592580"/>
                <wp:effectExtent l="0" t="0" r="0" b="7620"/>
                <wp:wrapNone/>
                <wp:docPr id="9932783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893C08" w:rsidRPr="008E2A22" w:rsidRDefault="00893C08" w:rsidP="006C43D7">
                            <w:pPr>
                              <w:jc w:val="center"/>
                              <w:rPr>
                                <w:rFonts w:ascii="Century Gothic" w:hAnsi="Century Gothic"/>
                                <w:b/>
                                <w:sz w:val="19"/>
                                <w:szCs w:val="19"/>
                              </w:rPr>
                            </w:pPr>
                          </w:p>
                          <w:p w14:paraId="01FDAE28" w14:textId="058CFA30" w:rsidR="00893C08" w:rsidRPr="008E2A22" w:rsidRDefault="00E562CD" w:rsidP="00E562CD">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485F27F7" w:rsidR="00893C08" w:rsidRPr="008E2A22" w:rsidRDefault="00E562CD" w:rsidP="00E562CD">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747D1C">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837DC"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">
                <v:textbox>
                  <w:txbxContent>
                    <w:p w14:paraId="0EA4B470" w14:textId="77777777" w:rsidR="00893C08" w:rsidRPr="008E2A22" w:rsidRDefault="00893C08" w:rsidP="006C43D7">
                      <w:pPr>
                        <w:jc w:val="center"/>
                        <w:rPr>
                          <w:rFonts w:ascii="Century Gothic" w:hAnsi="Century Gothic"/>
                          <w:b/>
                          <w:sz w:val="19"/>
                          <w:szCs w:val="19"/>
                        </w:rPr>
                      </w:pPr>
                    </w:p>
                    <w:p w14:paraId="01FDAE28" w14:textId="058CFA30" w:rsidR="00893C08" w:rsidRPr="008E2A22" w:rsidRDefault="00E562CD" w:rsidP="00E562CD">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485F27F7" w:rsidR="00893C08" w:rsidRPr="008E2A22" w:rsidRDefault="00E562CD" w:rsidP="00E562CD">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747D1C">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v:textbox>
                <w10:wrap anchorx="margin"/>
              </v:shape>
            </w:pict>
          </mc:Fallback>
        </mc:AlternateContent>
      </w:r>
      <w:r w:rsidR="00236E47" w:rsidRPr="007811C6">
        <w:rPr>
          <w:rFonts w:cs="Arial"/>
          <w:b/>
          <w:szCs w:val="22"/>
        </w:rPr>
        <w:t>2</w:t>
      </w:r>
      <w:r w:rsidR="00747D1C">
        <w:rPr>
          <w:rFonts w:cs="Arial"/>
          <w:b/>
          <w:szCs w:val="22"/>
        </w:rPr>
        <w:t>022-554</w:t>
      </w:r>
    </w:p>
    <w:p w14:paraId="084B5ECD" w14:textId="77777777" w:rsidR="006C43D7" w:rsidRPr="007811C6" w:rsidRDefault="006C43D7" w:rsidP="00C74E97">
      <w:pPr>
        <w:spacing w:line="360" w:lineRule="auto"/>
        <w:jc w:val="both"/>
        <w:rPr>
          <w:rFonts w:cs="Arial"/>
          <w:szCs w:val="22"/>
        </w:rPr>
      </w:pPr>
    </w:p>
    <w:p w14:paraId="4E808D74" w14:textId="77777777" w:rsidR="006C43D7" w:rsidRPr="007811C6" w:rsidRDefault="006C43D7" w:rsidP="00C74E97">
      <w:pPr>
        <w:spacing w:line="360" w:lineRule="auto"/>
        <w:jc w:val="both"/>
        <w:rPr>
          <w:rFonts w:cs="Arial"/>
          <w:szCs w:val="22"/>
        </w:rPr>
      </w:pPr>
    </w:p>
    <w:p w14:paraId="34BF70B6" w14:textId="77777777" w:rsidR="006C43D7" w:rsidRPr="007811C6" w:rsidRDefault="006C43D7" w:rsidP="00C74E97">
      <w:pPr>
        <w:spacing w:line="360" w:lineRule="auto"/>
        <w:jc w:val="both"/>
        <w:rPr>
          <w:rFonts w:cs="Arial"/>
          <w:szCs w:val="22"/>
        </w:rPr>
      </w:pPr>
    </w:p>
    <w:p w14:paraId="2F53BA3A" w14:textId="7CE26CA8" w:rsidR="006C43D7" w:rsidRPr="007811C6" w:rsidRDefault="00C56E55" w:rsidP="00C74E97">
      <w:pPr>
        <w:spacing w:line="360" w:lineRule="auto"/>
        <w:jc w:val="both"/>
        <w:rPr>
          <w:rFonts w:cs="Arial"/>
          <w:szCs w:val="22"/>
        </w:rPr>
      </w:pPr>
      <w:r w:rsidRPr="007811C6">
        <w:rPr>
          <w:rFonts w:cs="Arial"/>
          <w:szCs w:val="22"/>
        </w:rPr>
        <w:t xml:space="preserve">                        </w:t>
      </w:r>
    </w:p>
    <w:p w14:paraId="3A1C212E" w14:textId="77777777" w:rsidR="006C43D7" w:rsidRPr="007811C6" w:rsidRDefault="006C43D7" w:rsidP="00C74E97">
      <w:pPr>
        <w:spacing w:line="360" w:lineRule="auto"/>
        <w:jc w:val="both"/>
        <w:rPr>
          <w:rFonts w:cs="Arial"/>
          <w:szCs w:val="22"/>
        </w:rPr>
      </w:pPr>
    </w:p>
    <w:p w14:paraId="045D3852" w14:textId="79FB1698" w:rsidR="00E57446" w:rsidRPr="007811C6" w:rsidRDefault="00E57446" w:rsidP="00C74E97">
      <w:pPr>
        <w:spacing w:line="360" w:lineRule="auto"/>
        <w:jc w:val="both"/>
        <w:rPr>
          <w:rFonts w:cs="Arial"/>
          <w:szCs w:val="22"/>
        </w:rPr>
      </w:pPr>
    </w:p>
    <w:p w14:paraId="2804C32A" w14:textId="6C8D50AF" w:rsidR="00E57446" w:rsidRPr="007811C6" w:rsidRDefault="00E57446" w:rsidP="00C74E97">
      <w:pPr>
        <w:spacing w:line="360" w:lineRule="auto"/>
        <w:jc w:val="both"/>
        <w:rPr>
          <w:rFonts w:cs="Arial"/>
          <w:szCs w:val="22"/>
        </w:rPr>
      </w:pPr>
      <w:r w:rsidRPr="007811C6">
        <w:rPr>
          <w:rFonts w:cs="Arial"/>
          <w:szCs w:val="22"/>
        </w:rPr>
        <w:t>In the application by</w:t>
      </w:r>
    </w:p>
    <w:p w14:paraId="4521E045" w14:textId="77777777" w:rsidR="00D33A54" w:rsidRPr="007811C6" w:rsidRDefault="00D33A54" w:rsidP="00C74E97">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438"/>
      </w:tblGrid>
      <w:tr w:rsidR="006D2C78" w:rsidRPr="007811C6" w14:paraId="45DDD515" w14:textId="77777777" w:rsidTr="00385B67">
        <w:tc>
          <w:tcPr>
            <w:tcW w:w="5103" w:type="dxa"/>
          </w:tcPr>
          <w:p w14:paraId="1D80B320" w14:textId="69BBDD68" w:rsidR="006D2C78" w:rsidRPr="007811C6" w:rsidRDefault="00385B67" w:rsidP="004D692E">
            <w:pPr>
              <w:tabs>
                <w:tab w:val="right" w:pos="9070"/>
              </w:tabs>
              <w:spacing w:before="120" w:after="120"/>
              <w:rPr>
                <w:rFonts w:cs="Arial"/>
                <w:b/>
                <w:szCs w:val="22"/>
              </w:rPr>
            </w:pPr>
            <w:r>
              <w:rPr>
                <w:rFonts w:cs="Arial"/>
                <w:b/>
                <w:szCs w:val="22"/>
              </w:rPr>
              <w:t>MOKHATLA, ROSAH</w:t>
            </w:r>
          </w:p>
        </w:tc>
        <w:tc>
          <w:tcPr>
            <w:tcW w:w="3438" w:type="dxa"/>
          </w:tcPr>
          <w:p w14:paraId="6D648F64" w14:textId="41F95337" w:rsidR="006D2C78" w:rsidRPr="007811C6" w:rsidRDefault="00385B67" w:rsidP="004D692E">
            <w:pPr>
              <w:spacing w:before="120" w:after="120"/>
              <w:rPr>
                <w:rFonts w:cs="Arial"/>
                <w:szCs w:val="22"/>
              </w:rPr>
            </w:pPr>
            <w:r>
              <w:rPr>
                <w:rFonts w:cs="Arial"/>
                <w:szCs w:val="22"/>
              </w:rPr>
              <w:t>FIRST APPLICANT</w:t>
            </w:r>
          </w:p>
        </w:tc>
      </w:tr>
      <w:tr w:rsidR="006D2C78" w:rsidRPr="007811C6" w14:paraId="24559D6E" w14:textId="77777777" w:rsidTr="00385B67">
        <w:tc>
          <w:tcPr>
            <w:tcW w:w="5103" w:type="dxa"/>
          </w:tcPr>
          <w:p w14:paraId="72B12A05" w14:textId="58CBF698" w:rsidR="006D2C78" w:rsidRPr="007811C6" w:rsidRDefault="00385B67" w:rsidP="004D692E">
            <w:pPr>
              <w:tabs>
                <w:tab w:val="right" w:pos="9070"/>
              </w:tabs>
              <w:spacing w:before="120" w:after="120"/>
              <w:rPr>
                <w:rFonts w:cs="Arial"/>
                <w:b/>
                <w:szCs w:val="22"/>
              </w:rPr>
            </w:pPr>
            <w:r>
              <w:rPr>
                <w:rFonts w:cs="Arial"/>
                <w:b/>
                <w:szCs w:val="22"/>
              </w:rPr>
              <w:t>MOKHATLA, MOSES</w:t>
            </w:r>
          </w:p>
        </w:tc>
        <w:tc>
          <w:tcPr>
            <w:tcW w:w="3438" w:type="dxa"/>
          </w:tcPr>
          <w:p w14:paraId="11A5E52D" w14:textId="4FFA4DE4" w:rsidR="006D2C78" w:rsidRPr="007811C6" w:rsidRDefault="00385B67" w:rsidP="004D692E">
            <w:pPr>
              <w:spacing w:before="120" w:after="120"/>
              <w:rPr>
                <w:rFonts w:cs="Arial"/>
                <w:szCs w:val="22"/>
              </w:rPr>
            </w:pPr>
            <w:r>
              <w:rPr>
                <w:rFonts w:cs="Arial"/>
                <w:szCs w:val="22"/>
              </w:rPr>
              <w:t>SECOND APPLICANT</w:t>
            </w:r>
          </w:p>
        </w:tc>
      </w:tr>
      <w:tr w:rsidR="006D2C78" w:rsidRPr="007811C6" w14:paraId="30F9C0CD" w14:textId="77777777" w:rsidTr="00385B67">
        <w:tc>
          <w:tcPr>
            <w:tcW w:w="5103" w:type="dxa"/>
          </w:tcPr>
          <w:p w14:paraId="3CDB657A" w14:textId="10C2C697" w:rsidR="006D2C78" w:rsidRPr="007811C6" w:rsidRDefault="00385B67" w:rsidP="004D692E">
            <w:pPr>
              <w:tabs>
                <w:tab w:val="right" w:pos="9070"/>
              </w:tabs>
              <w:spacing w:before="120" w:after="120"/>
              <w:rPr>
                <w:rFonts w:cs="Arial"/>
                <w:b/>
                <w:szCs w:val="22"/>
              </w:rPr>
            </w:pPr>
            <w:r>
              <w:rPr>
                <w:rFonts w:cs="Arial"/>
                <w:b/>
                <w:szCs w:val="22"/>
              </w:rPr>
              <w:t>MAMADUMO, MONARENG AGNECIOUS</w:t>
            </w:r>
          </w:p>
        </w:tc>
        <w:tc>
          <w:tcPr>
            <w:tcW w:w="3438" w:type="dxa"/>
          </w:tcPr>
          <w:p w14:paraId="47D0D149" w14:textId="187D7F65" w:rsidR="001F6466" w:rsidRPr="007811C6" w:rsidRDefault="00385B67" w:rsidP="001F6466">
            <w:pPr>
              <w:spacing w:before="120" w:after="120"/>
              <w:rPr>
                <w:rFonts w:cs="Arial"/>
                <w:szCs w:val="22"/>
              </w:rPr>
            </w:pPr>
            <w:r>
              <w:rPr>
                <w:rFonts w:cs="Arial"/>
                <w:szCs w:val="22"/>
              </w:rPr>
              <w:t>THIRD APPLICANT</w:t>
            </w:r>
          </w:p>
        </w:tc>
      </w:tr>
      <w:tr w:rsidR="00385B67" w:rsidRPr="007811C6" w14:paraId="0721E093" w14:textId="77777777" w:rsidTr="00385B67">
        <w:tc>
          <w:tcPr>
            <w:tcW w:w="5103" w:type="dxa"/>
          </w:tcPr>
          <w:p w14:paraId="733B3BF3" w14:textId="33C74283" w:rsidR="00385B67" w:rsidRDefault="00385B67" w:rsidP="004D692E">
            <w:pPr>
              <w:tabs>
                <w:tab w:val="right" w:pos="9070"/>
              </w:tabs>
              <w:spacing w:before="120" w:after="120"/>
              <w:rPr>
                <w:rFonts w:cs="Arial"/>
                <w:b/>
                <w:szCs w:val="22"/>
              </w:rPr>
            </w:pPr>
            <w:r>
              <w:rPr>
                <w:rFonts w:cs="Arial"/>
                <w:b/>
                <w:szCs w:val="22"/>
              </w:rPr>
              <w:t>MATHOBELA, LUCKY</w:t>
            </w:r>
          </w:p>
        </w:tc>
        <w:tc>
          <w:tcPr>
            <w:tcW w:w="3438" w:type="dxa"/>
          </w:tcPr>
          <w:p w14:paraId="4277C087" w14:textId="4677591B" w:rsidR="00385B67" w:rsidRDefault="00385B67" w:rsidP="001F6466">
            <w:pPr>
              <w:spacing w:before="120" w:after="120"/>
              <w:rPr>
                <w:rFonts w:cs="Arial"/>
                <w:szCs w:val="22"/>
              </w:rPr>
            </w:pPr>
            <w:r>
              <w:rPr>
                <w:rFonts w:cs="Arial"/>
                <w:szCs w:val="22"/>
              </w:rPr>
              <w:t>FOURTH APPLICANT</w:t>
            </w:r>
          </w:p>
        </w:tc>
      </w:tr>
      <w:tr w:rsidR="00385B67" w:rsidRPr="007811C6" w14:paraId="5D5B0A94" w14:textId="77777777" w:rsidTr="00385B67">
        <w:tc>
          <w:tcPr>
            <w:tcW w:w="5103" w:type="dxa"/>
          </w:tcPr>
          <w:p w14:paraId="42F371DB" w14:textId="48376B53" w:rsidR="00385B67" w:rsidRDefault="00385B67" w:rsidP="004D692E">
            <w:pPr>
              <w:tabs>
                <w:tab w:val="right" w:pos="9070"/>
              </w:tabs>
              <w:spacing w:before="120" w:after="120"/>
              <w:rPr>
                <w:rFonts w:cs="Arial"/>
                <w:b/>
                <w:szCs w:val="22"/>
              </w:rPr>
            </w:pPr>
            <w:r>
              <w:rPr>
                <w:rFonts w:cs="Arial"/>
                <w:b/>
                <w:szCs w:val="22"/>
              </w:rPr>
              <w:t>SEHURUTSI, MABE JACOB</w:t>
            </w:r>
          </w:p>
        </w:tc>
        <w:tc>
          <w:tcPr>
            <w:tcW w:w="3438" w:type="dxa"/>
          </w:tcPr>
          <w:p w14:paraId="1063BD1F" w14:textId="3421E979" w:rsidR="00385B67" w:rsidRDefault="00385B67" w:rsidP="001F6466">
            <w:pPr>
              <w:spacing w:before="120" w:after="120"/>
              <w:rPr>
                <w:rFonts w:cs="Arial"/>
                <w:szCs w:val="22"/>
              </w:rPr>
            </w:pPr>
            <w:r>
              <w:rPr>
                <w:rFonts w:cs="Arial"/>
                <w:szCs w:val="22"/>
              </w:rPr>
              <w:t>FIFTH APPLICANT</w:t>
            </w:r>
          </w:p>
        </w:tc>
      </w:tr>
      <w:tr w:rsidR="00385B67" w:rsidRPr="007811C6" w14:paraId="6CE322A4" w14:textId="77777777" w:rsidTr="00385B67">
        <w:tc>
          <w:tcPr>
            <w:tcW w:w="5103" w:type="dxa"/>
          </w:tcPr>
          <w:p w14:paraId="56780D26" w14:textId="78BFFAB1" w:rsidR="00385B67" w:rsidRDefault="00385B67" w:rsidP="004D692E">
            <w:pPr>
              <w:tabs>
                <w:tab w:val="right" w:pos="9070"/>
              </w:tabs>
              <w:spacing w:before="120" w:after="120"/>
              <w:rPr>
                <w:rFonts w:cs="Arial"/>
                <w:b/>
                <w:szCs w:val="22"/>
              </w:rPr>
            </w:pPr>
            <w:r>
              <w:rPr>
                <w:rFonts w:cs="Arial"/>
                <w:b/>
                <w:szCs w:val="22"/>
              </w:rPr>
              <w:t>MOABELO, CHOENE</w:t>
            </w:r>
          </w:p>
        </w:tc>
        <w:tc>
          <w:tcPr>
            <w:tcW w:w="3438" w:type="dxa"/>
          </w:tcPr>
          <w:p w14:paraId="569D556D" w14:textId="5151F06A" w:rsidR="00385B67" w:rsidRDefault="00385B67" w:rsidP="001F6466">
            <w:pPr>
              <w:spacing w:before="120" w:after="120"/>
              <w:rPr>
                <w:rFonts w:cs="Arial"/>
                <w:szCs w:val="22"/>
              </w:rPr>
            </w:pPr>
            <w:r>
              <w:rPr>
                <w:rFonts w:cs="Arial"/>
                <w:szCs w:val="22"/>
              </w:rPr>
              <w:t>SIXTH APPLICANT</w:t>
            </w:r>
          </w:p>
        </w:tc>
      </w:tr>
      <w:tr w:rsidR="00385B67" w:rsidRPr="007811C6" w14:paraId="4BD8C991" w14:textId="77777777" w:rsidTr="00385B67">
        <w:tc>
          <w:tcPr>
            <w:tcW w:w="5103" w:type="dxa"/>
          </w:tcPr>
          <w:p w14:paraId="48B40DEA" w14:textId="2CD0E472" w:rsidR="00385B67" w:rsidRDefault="003F77A7" w:rsidP="004D692E">
            <w:pPr>
              <w:tabs>
                <w:tab w:val="right" w:pos="9070"/>
              </w:tabs>
              <w:spacing w:before="120" w:after="120"/>
              <w:rPr>
                <w:rFonts w:cs="Arial"/>
                <w:b/>
                <w:szCs w:val="22"/>
              </w:rPr>
            </w:pPr>
            <w:r>
              <w:rPr>
                <w:rFonts w:cs="Arial"/>
                <w:b/>
                <w:szCs w:val="22"/>
              </w:rPr>
              <w:t>a</w:t>
            </w:r>
            <w:r w:rsidR="00385B67">
              <w:rPr>
                <w:rFonts w:cs="Arial"/>
                <w:b/>
                <w:szCs w:val="22"/>
              </w:rPr>
              <w:t>nd other interested parties</w:t>
            </w:r>
          </w:p>
        </w:tc>
        <w:tc>
          <w:tcPr>
            <w:tcW w:w="3438" w:type="dxa"/>
          </w:tcPr>
          <w:p w14:paraId="3E869396" w14:textId="77777777" w:rsidR="00385B67" w:rsidRDefault="00385B67" w:rsidP="001F6466">
            <w:pPr>
              <w:spacing w:before="120" w:after="120"/>
              <w:rPr>
                <w:rFonts w:cs="Arial"/>
                <w:szCs w:val="22"/>
              </w:rPr>
            </w:pPr>
          </w:p>
        </w:tc>
      </w:tr>
      <w:tr w:rsidR="00385B67" w:rsidRPr="007811C6" w14:paraId="35F5FCAC" w14:textId="77777777" w:rsidTr="00385B67">
        <w:tc>
          <w:tcPr>
            <w:tcW w:w="5103" w:type="dxa"/>
          </w:tcPr>
          <w:p w14:paraId="6CEC108B" w14:textId="65F63DC4" w:rsidR="00385B67" w:rsidRDefault="003F77A7" w:rsidP="004D692E">
            <w:pPr>
              <w:tabs>
                <w:tab w:val="right" w:pos="9070"/>
              </w:tabs>
              <w:spacing w:before="120" w:after="120"/>
              <w:rPr>
                <w:rFonts w:cs="Arial"/>
                <w:b/>
                <w:szCs w:val="22"/>
              </w:rPr>
            </w:pPr>
            <w:r>
              <w:rPr>
                <w:rFonts w:cs="Arial"/>
                <w:b/>
                <w:szCs w:val="22"/>
              </w:rPr>
              <w:t>a</w:t>
            </w:r>
            <w:r w:rsidR="00385B67">
              <w:rPr>
                <w:rFonts w:cs="Arial"/>
                <w:b/>
                <w:szCs w:val="22"/>
              </w:rPr>
              <w:t>nd</w:t>
            </w:r>
          </w:p>
        </w:tc>
        <w:tc>
          <w:tcPr>
            <w:tcW w:w="3438" w:type="dxa"/>
          </w:tcPr>
          <w:p w14:paraId="37438FF2" w14:textId="77777777" w:rsidR="00385B67" w:rsidRDefault="00385B67" w:rsidP="001F6466">
            <w:pPr>
              <w:spacing w:before="120" w:after="120"/>
              <w:rPr>
                <w:rFonts w:cs="Arial"/>
                <w:szCs w:val="22"/>
              </w:rPr>
            </w:pPr>
          </w:p>
        </w:tc>
      </w:tr>
      <w:tr w:rsidR="00385B67" w:rsidRPr="007811C6" w14:paraId="70510F38" w14:textId="77777777" w:rsidTr="00385B67">
        <w:tc>
          <w:tcPr>
            <w:tcW w:w="5103" w:type="dxa"/>
          </w:tcPr>
          <w:p w14:paraId="2CC693FD" w14:textId="16720A2C" w:rsidR="00385B67" w:rsidRDefault="00385B67" w:rsidP="004D692E">
            <w:pPr>
              <w:tabs>
                <w:tab w:val="right" w:pos="9070"/>
              </w:tabs>
              <w:spacing w:before="120" w:after="120"/>
              <w:rPr>
                <w:rFonts w:cs="Arial"/>
                <w:b/>
                <w:szCs w:val="22"/>
              </w:rPr>
            </w:pPr>
            <w:r>
              <w:rPr>
                <w:rFonts w:cs="Arial"/>
                <w:b/>
                <w:szCs w:val="22"/>
              </w:rPr>
              <w:t>NTSUSENG, SOLLY</w:t>
            </w:r>
          </w:p>
        </w:tc>
        <w:tc>
          <w:tcPr>
            <w:tcW w:w="3438" w:type="dxa"/>
          </w:tcPr>
          <w:p w14:paraId="59280B94" w14:textId="17F28ECA" w:rsidR="00385B67" w:rsidRDefault="00385B67" w:rsidP="001F6466">
            <w:pPr>
              <w:spacing w:before="120" w:after="120"/>
              <w:rPr>
                <w:rFonts w:cs="Arial"/>
                <w:szCs w:val="22"/>
              </w:rPr>
            </w:pPr>
            <w:r>
              <w:rPr>
                <w:rFonts w:cs="Arial"/>
                <w:szCs w:val="22"/>
              </w:rPr>
              <w:t>FIRST RESPONDENT</w:t>
            </w:r>
          </w:p>
        </w:tc>
      </w:tr>
      <w:tr w:rsidR="00385B67" w:rsidRPr="007811C6" w14:paraId="6E3A7012" w14:textId="77777777" w:rsidTr="00385B67">
        <w:tc>
          <w:tcPr>
            <w:tcW w:w="5103" w:type="dxa"/>
          </w:tcPr>
          <w:p w14:paraId="6902F06B" w14:textId="22ADB07B" w:rsidR="00385B67" w:rsidRDefault="00385B67" w:rsidP="004D692E">
            <w:pPr>
              <w:tabs>
                <w:tab w:val="right" w:pos="9070"/>
              </w:tabs>
              <w:spacing w:before="120" w:after="120"/>
              <w:rPr>
                <w:rFonts w:cs="Arial"/>
                <w:b/>
                <w:szCs w:val="22"/>
              </w:rPr>
            </w:pPr>
            <w:r>
              <w:rPr>
                <w:rFonts w:cs="Arial"/>
                <w:b/>
                <w:szCs w:val="22"/>
              </w:rPr>
              <w:t>MAHLANGU, PINKY</w:t>
            </w:r>
          </w:p>
        </w:tc>
        <w:tc>
          <w:tcPr>
            <w:tcW w:w="3438" w:type="dxa"/>
          </w:tcPr>
          <w:p w14:paraId="30CE1CFA" w14:textId="6C9A4675" w:rsidR="00385B67" w:rsidRDefault="00385B67" w:rsidP="001F6466">
            <w:pPr>
              <w:spacing w:before="120" w:after="120"/>
              <w:rPr>
                <w:rFonts w:cs="Arial"/>
                <w:szCs w:val="22"/>
              </w:rPr>
            </w:pPr>
            <w:r>
              <w:rPr>
                <w:rFonts w:cs="Arial"/>
                <w:szCs w:val="22"/>
              </w:rPr>
              <w:t>SECOND RESPONDENT</w:t>
            </w:r>
          </w:p>
        </w:tc>
      </w:tr>
      <w:tr w:rsidR="00385B67" w:rsidRPr="007811C6" w14:paraId="6441BF08" w14:textId="77777777" w:rsidTr="00385B67">
        <w:tc>
          <w:tcPr>
            <w:tcW w:w="5103" w:type="dxa"/>
          </w:tcPr>
          <w:p w14:paraId="102175F1" w14:textId="1C156818" w:rsidR="00385B67" w:rsidRDefault="00385B67" w:rsidP="004D692E">
            <w:pPr>
              <w:tabs>
                <w:tab w:val="right" w:pos="9070"/>
              </w:tabs>
              <w:spacing w:before="120" w:after="120"/>
              <w:rPr>
                <w:rFonts w:cs="Arial"/>
                <w:b/>
                <w:szCs w:val="22"/>
              </w:rPr>
            </w:pPr>
            <w:r>
              <w:rPr>
                <w:rFonts w:cs="Arial"/>
                <w:b/>
                <w:szCs w:val="22"/>
              </w:rPr>
              <w:t>MASHAMAITE, LAWRENCE</w:t>
            </w:r>
          </w:p>
        </w:tc>
        <w:tc>
          <w:tcPr>
            <w:tcW w:w="3438" w:type="dxa"/>
          </w:tcPr>
          <w:p w14:paraId="6EB65758" w14:textId="533B1C6F" w:rsidR="00385B67" w:rsidRDefault="00385B67" w:rsidP="001F6466">
            <w:pPr>
              <w:spacing w:before="120" w:after="120"/>
              <w:rPr>
                <w:rFonts w:cs="Arial"/>
                <w:szCs w:val="22"/>
              </w:rPr>
            </w:pPr>
            <w:r>
              <w:rPr>
                <w:rFonts w:cs="Arial"/>
                <w:szCs w:val="22"/>
              </w:rPr>
              <w:t>THIRD RESPONDENT</w:t>
            </w:r>
          </w:p>
        </w:tc>
      </w:tr>
      <w:tr w:rsidR="00385B67" w:rsidRPr="007811C6" w14:paraId="261988AC" w14:textId="77777777" w:rsidTr="00385B67">
        <w:tc>
          <w:tcPr>
            <w:tcW w:w="5103" w:type="dxa"/>
          </w:tcPr>
          <w:p w14:paraId="7E829E1D" w14:textId="0A6BE319" w:rsidR="00385B67" w:rsidRDefault="00385B67" w:rsidP="004D692E">
            <w:pPr>
              <w:tabs>
                <w:tab w:val="right" w:pos="9070"/>
              </w:tabs>
              <w:spacing w:before="120" w:after="120"/>
              <w:rPr>
                <w:rFonts w:cs="Arial"/>
                <w:b/>
                <w:szCs w:val="22"/>
              </w:rPr>
            </w:pPr>
            <w:r>
              <w:rPr>
                <w:rFonts w:cs="Arial"/>
                <w:b/>
                <w:szCs w:val="22"/>
              </w:rPr>
              <w:t>SHERIFF OF TEMBISA</w:t>
            </w:r>
          </w:p>
        </w:tc>
        <w:tc>
          <w:tcPr>
            <w:tcW w:w="3438" w:type="dxa"/>
          </w:tcPr>
          <w:p w14:paraId="73F8AD34" w14:textId="31EDF41C" w:rsidR="00385B67" w:rsidRDefault="00385B67" w:rsidP="001F6466">
            <w:pPr>
              <w:spacing w:before="120" w:after="120"/>
              <w:rPr>
                <w:rFonts w:cs="Arial"/>
                <w:szCs w:val="22"/>
              </w:rPr>
            </w:pPr>
            <w:r>
              <w:rPr>
                <w:rFonts w:cs="Arial"/>
                <w:szCs w:val="22"/>
              </w:rPr>
              <w:t>FOURTH RESPONDENT</w:t>
            </w:r>
          </w:p>
        </w:tc>
      </w:tr>
    </w:tbl>
    <w:p w14:paraId="67781CE9" w14:textId="77777777" w:rsidR="0023405C" w:rsidRDefault="0023405C" w:rsidP="00C74E97">
      <w:pPr>
        <w:pBdr>
          <w:bottom w:val="single" w:sz="4" w:space="1" w:color="auto"/>
        </w:pBdr>
        <w:spacing w:line="360" w:lineRule="auto"/>
        <w:jc w:val="both"/>
        <w:rPr>
          <w:rFonts w:cs="Arial"/>
          <w:szCs w:val="22"/>
        </w:rPr>
      </w:pPr>
    </w:p>
    <w:p w14:paraId="58CC6C7F" w14:textId="77777777" w:rsidR="002C4404" w:rsidRDefault="002C4404" w:rsidP="00C74E97">
      <w:pPr>
        <w:pBdr>
          <w:bottom w:val="single" w:sz="4" w:space="1" w:color="auto"/>
        </w:pBdr>
        <w:spacing w:line="360" w:lineRule="auto"/>
        <w:jc w:val="both"/>
        <w:rPr>
          <w:rFonts w:cs="Arial"/>
          <w:szCs w:val="22"/>
        </w:rPr>
      </w:pPr>
    </w:p>
    <w:p w14:paraId="6D55045B" w14:textId="77777777" w:rsidR="002C4404" w:rsidRPr="007811C6" w:rsidRDefault="002C4404" w:rsidP="00C74E97">
      <w:pPr>
        <w:pBdr>
          <w:bottom w:val="single" w:sz="4" w:space="1" w:color="auto"/>
        </w:pBdr>
        <w:spacing w:line="360" w:lineRule="auto"/>
        <w:jc w:val="both"/>
        <w:rPr>
          <w:rFonts w:cs="Arial"/>
          <w:szCs w:val="22"/>
        </w:rPr>
      </w:pPr>
    </w:p>
    <w:p w14:paraId="58DE5549" w14:textId="77777777" w:rsidR="006C43D7" w:rsidRPr="007811C6" w:rsidRDefault="006C43D7" w:rsidP="00C74E97">
      <w:pPr>
        <w:spacing w:line="360" w:lineRule="auto"/>
        <w:jc w:val="both"/>
        <w:rPr>
          <w:rFonts w:cs="Arial"/>
          <w:szCs w:val="22"/>
        </w:rPr>
      </w:pPr>
    </w:p>
    <w:p w14:paraId="647AB70C" w14:textId="77777777" w:rsidR="006C43D7" w:rsidRPr="007811C6" w:rsidRDefault="006C43D7" w:rsidP="00C74E97">
      <w:pPr>
        <w:keepNext/>
        <w:spacing w:line="360" w:lineRule="auto"/>
        <w:jc w:val="center"/>
        <w:outlineLvl w:val="1"/>
        <w:rPr>
          <w:rFonts w:cs="Arial"/>
          <w:b/>
          <w:bCs/>
          <w:szCs w:val="22"/>
        </w:rPr>
      </w:pPr>
      <w:r w:rsidRPr="007811C6">
        <w:rPr>
          <w:rFonts w:cs="Arial"/>
          <w:b/>
          <w:bCs/>
          <w:szCs w:val="22"/>
        </w:rPr>
        <w:t>JUDGMENT</w:t>
      </w:r>
    </w:p>
    <w:p w14:paraId="52CD25EB" w14:textId="77777777" w:rsidR="006C43D7" w:rsidRPr="007811C6" w:rsidRDefault="006C43D7" w:rsidP="00C74E97">
      <w:pPr>
        <w:pBdr>
          <w:bottom w:val="single" w:sz="4" w:space="1" w:color="auto"/>
        </w:pBdr>
        <w:spacing w:line="360" w:lineRule="auto"/>
        <w:jc w:val="both"/>
        <w:rPr>
          <w:rFonts w:cs="Arial"/>
          <w:szCs w:val="22"/>
        </w:rPr>
      </w:pPr>
    </w:p>
    <w:p w14:paraId="5BD82EFE" w14:textId="1F885AC0" w:rsidR="00BE6AB8" w:rsidRPr="007811C6" w:rsidRDefault="006D134C" w:rsidP="00C74E97">
      <w:pPr>
        <w:spacing w:after="480" w:line="360" w:lineRule="auto"/>
        <w:jc w:val="both"/>
        <w:rPr>
          <w:rFonts w:cs="Arial"/>
          <w:b/>
          <w:szCs w:val="22"/>
        </w:rPr>
      </w:pPr>
      <w:r>
        <w:rPr>
          <w:rFonts w:cs="Arial"/>
          <w:b/>
          <w:szCs w:val="22"/>
        </w:rPr>
        <w:t>MOORCROFT</w:t>
      </w:r>
      <w:r w:rsidR="006C43D7" w:rsidRPr="007811C6">
        <w:rPr>
          <w:rFonts w:cs="Arial"/>
          <w:b/>
          <w:szCs w:val="22"/>
        </w:rPr>
        <w:t xml:space="preserve"> AJ:</w:t>
      </w:r>
    </w:p>
    <w:p w14:paraId="5B9302F1" w14:textId="4DE0F352" w:rsidR="001F361F" w:rsidRPr="0051104A" w:rsidRDefault="00C460A0" w:rsidP="00C74E97">
      <w:pPr>
        <w:keepNext/>
        <w:spacing w:after="480" w:line="360" w:lineRule="auto"/>
        <w:jc w:val="both"/>
        <w:rPr>
          <w:rFonts w:cs="Arial"/>
          <w:bCs/>
          <w:i/>
          <w:iCs/>
          <w:szCs w:val="22"/>
          <w:u w:val="single"/>
        </w:rPr>
      </w:pPr>
      <w:r w:rsidRPr="007811C6">
        <w:rPr>
          <w:rFonts w:cs="Arial"/>
          <w:bCs/>
          <w:i/>
          <w:iCs/>
          <w:szCs w:val="22"/>
          <w:u w:val="single"/>
        </w:rPr>
        <w:t>Summar</w:t>
      </w:r>
      <w:r w:rsidR="00026A26" w:rsidRPr="007811C6">
        <w:rPr>
          <w:rFonts w:cs="Arial"/>
          <w:bCs/>
          <w:i/>
          <w:iCs/>
          <w:szCs w:val="22"/>
          <w:u w:val="single"/>
        </w:rPr>
        <w:t>y</w:t>
      </w:r>
    </w:p>
    <w:p w14:paraId="4C268033" w14:textId="77777777" w:rsidR="00102161" w:rsidRDefault="00B543CC" w:rsidP="00C74E97">
      <w:pPr>
        <w:keepNext/>
        <w:spacing w:after="480" w:line="360" w:lineRule="auto"/>
        <w:jc w:val="both"/>
        <w:rPr>
          <w:rFonts w:cs="Arial"/>
          <w:bCs/>
          <w:i/>
          <w:iCs/>
          <w:szCs w:val="22"/>
        </w:rPr>
      </w:pPr>
      <w:r w:rsidRPr="0051104A">
        <w:rPr>
          <w:rFonts w:cs="Arial"/>
          <w:bCs/>
          <w:i/>
          <w:iCs/>
          <w:szCs w:val="22"/>
        </w:rPr>
        <w:t>Urgent applications – rule 6 (12) –</w:t>
      </w:r>
      <w:r w:rsidR="00296F09" w:rsidRPr="0051104A">
        <w:rPr>
          <w:rFonts w:cs="Arial"/>
          <w:bCs/>
          <w:i/>
          <w:iCs/>
          <w:szCs w:val="22"/>
        </w:rPr>
        <w:t xml:space="preserve"> papers defective and presented in shambolic and disorganised fashion – </w:t>
      </w:r>
      <w:r w:rsidR="00102161">
        <w:rPr>
          <w:rFonts w:cs="Arial"/>
          <w:bCs/>
          <w:i/>
          <w:iCs/>
          <w:szCs w:val="22"/>
        </w:rPr>
        <w:t>Non–compliance with requirements</w:t>
      </w:r>
    </w:p>
    <w:p w14:paraId="6AF4A4A4" w14:textId="4D3785D9" w:rsidR="0051104A" w:rsidRPr="0051104A" w:rsidRDefault="00102161" w:rsidP="00C74E97">
      <w:pPr>
        <w:keepNext/>
        <w:spacing w:after="480" w:line="360" w:lineRule="auto"/>
        <w:jc w:val="both"/>
        <w:rPr>
          <w:rFonts w:cs="Arial"/>
          <w:bCs/>
          <w:i/>
          <w:szCs w:val="22"/>
        </w:rPr>
      </w:pPr>
      <w:r>
        <w:rPr>
          <w:rFonts w:cs="Arial"/>
          <w:bCs/>
          <w:i/>
          <w:iCs/>
          <w:szCs w:val="22"/>
        </w:rPr>
        <w:t xml:space="preserve">Requirements - </w:t>
      </w:r>
      <w:r w:rsidR="0051104A" w:rsidRPr="0051104A">
        <w:rPr>
          <w:rFonts w:cs="Arial"/>
          <w:bCs/>
          <w:i/>
          <w:iCs/>
          <w:szCs w:val="22"/>
        </w:rPr>
        <w:t xml:space="preserve">Consolidated Practice Directive 1 of 2024 </w:t>
      </w:r>
      <w:r w:rsidR="0051104A">
        <w:rPr>
          <w:rFonts w:cs="Arial"/>
          <w:bCs/>
          <w:i/>
          <w:iCs/>
          <w:szCs w:val="22"/>
        </w:rPr>
        <w:t>–</w:t>
      </w:r>
      <w:r w:rsidR="0051104A" w:rsidRPr="0051104A">
        <w:rPr>
          <w:rFonts w:cs="Arial"/>
          <w:bCs/>
          <w:i/>
          <w:iCs/>
          <w:szCs w:val="22"/>
        </w:rPr>
        <w:t xml:space="preserve"> </w:t>
      </w:r>
      <w:r w:rsidR="0051104A">
        <w:rPr>
          <w:rFonts w:cs="Arial"/>
          <w:bCs/>
          <w:i/>
          <w:szCs w:val="22"/>
        </w:rPr>
        <w:t xml:space="preserve">Deputy Judge President’s </w:t>
      </w:r>
      <w:r w:rsidR="0051104A" w:rsidRPr="00034741">
        <w:rPr>
          <w:rFonts w:cs="Arial"/>
          <w:bCs/>
          <w:i/>
          <w:szCs w:val="22"/>
        </w:rPr>
        <w:t>Notice to Legal Practitioners about the Urgent Motion Court, Johannesburg</w:t>
      </w:r>
      <w:r w:rsidR="0051104A">
        <w:rPr>
          <w:rFonts w:cs="Arial"/>
          <w:bCs/>
          <w:i/>
          <w:szCs w:val="22"/>
        </w:rPr>
        <w:t xml:space="preserve"> </w:t>
      </w:r>
      <w:r w:rsidR="0051104A" w:rsidRPr="0051104A">
        <w:rPr>
          <w:rFonts w:cs="Arial"/>
          <w:bCs/>
          <w:i/>
          <w:szCs w:val="22"/>
        </w:rPr>
        <w:t>of 4 October 2021</w:t>
      </w:r>
      <w:r>
        <w:rPr>
          <w:rFonts w:cs="Arial"/>
          <w:bCs/>
          <w:i/>
          <w:szCs w:val="22"/>
        </w:rPr>
        <w:t xml:space="preserve"> - </w:t>
      </w:r>
      <w:r w:rsidRPr="00354315">
        <w:rPr>
          <w:i/>
          <w:iCs/>
        </w:rPr>
        <w:t xml:space="preserve">In re Several Matters on the </w:t>
      </w:r>
      <w:r w:rsidRPr="00102161">
        <w:rPr>
          <w:i/>
          <w:iCs/>
        </w:rPr>
        <w:t>Urgent Court Roll 2013 (1) SA 549 (GSJ)</w:t>
      </w:r>
    </w:p>
    <w:p w14:paraId="63614762" w14:textId="423A807E" w:rsidR="00385B67" w:rsidRDefault="0051104A" w:rsidP="00C74E97">
      <w:pPr>
        <w:keepNext/>
        <w:spacing w:after="480" w:line="360" w:lineRule="auto"/>
        <w:jc w:val="both"/>
        <w:rPr>
          <w:rFonts w:cs="Arial"/>
          <w:bCs/>
          <w:i/>
          <w:iCs/>
          <w:szCs w:val="22"/>
        </w:rPr>
      </w:pPr>
      <w:r>
        <w:rPr>
          <w:rFonts w:cs="Arial"/>
          <w:bCs/>
          <w:i/>
          <w:iCs/>
          <w:szCs w:val="22"/>
        </w:rPr>
        <w:t>A</w:t>
      </w:r>
      <w:r w:rsidR="00296F09">
        <w:rPr>
          <w:rFonts w:cs="Arial"/>
          <w:bCs/>
          <w:i/>
          <w:iCs/>
          <w:szCs w:val="22"/>
        </w:rPr>
        <w:t xml:space="preserve">pplication </w:t>
      </w:r>
      <w:r>
        <w:rPr>
          <w:rFonts w:cs="Arial"/>
          <w:bCs/>
          <w:i/>
          <w:iCs/>
          <w:szCs w:val="22"/>
        </w:rPr>
        <w:t>not capable of regularisation – application dismissed</w:t>
      </w:r>
    </w:p>
    <w:p w14:paraId="6CB6FEE6" w14:textId="25FC65FA" w:rsidR="00B543CC" w:rsidRPr="00B543CC" w:rsidRDefault="00B543CC" w:rsidP="00C74E97">
      <w:pPr>
        <w:keepNext/>
        <w:spacing w:after="480" w:line="360" w:lineRule="auto"/>
        <w:jc w:val="both"/>
        <w:rPr>
          <w:rFonts w:cs="Arial"/>
          <w:bCs/>
          <w:i/>
          <w:iCs/>
          <w:szCs w:val="22"/>
        </w:rPr>
      </w:pPr>
    </w:p>
    <w:p w14:paraId="18AFD427" w14:textId="7B3D0B7D" w:rsidR="00BE6AB8" w:rsidRPr="007811C6" w:rsidRDefault="00BE6AB8" w:rsidP="00C74E97">
      <w:pPr>
        <w:keepNext/>
        <w:spacing w:after="480" w:line="360" w:lineRule="auto"/>
        <w:jc w:val="both"/>
        <w:rPr>
          <w:rFonts w:cs="Arial"/>
          <w:bCs/>
          <w:szCs w:val="22"/>
          <w:u w:val="single"/>
        </w:rPr>
      </w:pPr>
      <w:r w:rsidRPr="007811C6">
        <w:rPr>
          <w:rFonts w:cs="Arial"/>
          <w:bCs/>
          <w:szCs w:val="22"/>
          <w:u w:val="single"/>
        </w:rPr>
        <w:t>Order</w:t>
      </w:r>
    </w:p>
    <w:p w14:paraId="63515C87" w14:textId="6D935635" w:rsidR="004E3D0E" w:rsidRPr="007811C6" w:rsidRDefault="00E562CD" w:rsidP="00E562CD">
      <w:pPr>
        <w:tabs>
          <w:tab w:val="left" w:pos="567"/>
        </w:tabs>
        <w:spacing w:before="240" w:after="240" w:line="360" w:lineRule="auto"/>
        <w:jc w:val="both"/>
        <w:rPr>
          <w:rFonts w:cs="Arial"/>
          <w:i/>
          <w:iCs/>
          <w:szCs w:val="22"/>
        </w:rPr>
      </w:pPr>
      <w:r w:rsidRPr="007811C6">
        <w:rPr>
          <w:rFonts w:cs="Arial"/>
          <w:iCs/>
          <w:szCs w:val="22"/>
        </w:rPr>
        <w:t>[1]</w:t>
      </w:r>
      <w:r w:rsidRPr="007811C6">
        <w:rPr>
          <w:rFonts w:cs="Arial"/>
          <w:iCs/>
          <w:szCs w:val="22"/>
        </w:rPr>
        <w:tab/>
      </w:r>
      <w:r w:rsidR="003B4100" w:rsidRPr="007811C6">
        <w:rPr>
          <w:rFonts w:cs="Arial"/>
          <w:bCs/>
          <w:szCs w:val="22"/>
        </w:rPr>
        <w:t xml:space="preserve">In this </w:t>
      </w:r>
      <w:r w:rsidR="00B56906" w:rsidRPr="007811C6">
        <w:rPr>
          <w:rFonts w:cs="Arial"/>
          <w:bCs/>
          <w:szCs w:val="22"/>
        </w:rPr>
        <w:t xml:space="preserve">matter </w:t>
      </w:r>
      <w:r w:rsidR="00C460A0" w:rsidRPr="007811C6">
        <w:rPr>
          <w:rFonts w:cs="Arial"/>
          <w:bCs/>
          <w:szCs w:val="22"/>
        </w:rPr>
        <w:t>I ma</w:t>
      </w:r>
      <w:r w:rsidR="00385B67">
        <w:rPr>
          <w:rFonts w:cs="Arial"/>
          <w:bCs/>
          <w:szCs w:val="22"/>
        </w:rPr>
        <w:t>k</w:t>
      </w:r>
      <w:r w:rsidR="00DC6EF8" w:rsidRPr="007811C6">
        <w:rPr>
          <w:rFonts w:cs="Arial"/>
          <w:bCs/>
          <w:szCs w:val="22"/>
        </w:rPr>
        <w:t>e</w:t>
      </w:r>
      <w:r w:rsidR="00C460A0" w:rsidRPr="007811C6">
        <w:rPr>
          <w:rFonts w:cs="Arial"/>
          <w:bCs/>
          <w:szCs w:val="22"/>
        </w:rPr>
        <w:t xml:space="preserve"> the following order</w:t>
      </w:r>
      <w:r w:rsidR="00385B67">
        <w:rPr>
          <w:rFonts w:cs="Arial"/>
          <w:bCs/>
          <w:szCs w:val="22"/>
        </w:rPr>
        <w:t>:</w:t>
      </w:r>
    </w:p>
    <w:p w14:paraId="7D154FA4" w14:textId="6FC50CEC" w:rsidR="00385B67" w:rsidRPr="00E562CD" w:rsidRDefault="00E562CD" w:rsidP="00E562CD">
      <w:pPr>
        <w:spacing w:before="120" w:after="120" w:line="360" w:lineRule="auto"/>
        <w:ind w:left="1080" w:hanging="360"/>
        <w:jc w:val="both"/>
        <w:rPr>
          <w:i/>
          <w:iCs/>
        </w:rPr>
      </w:pPr>
      <w:bookmarkStart w:id="0" w:name="_Hlk29472612"/>
      <w:r>
        <w:rPr>
          <w:i/>
          <w:iCs/>
        </w:rPr>
        <w:t>1.</w:t>
      </w:r>
      <w:r>
        <w:rPr>
          <w:i/>
          <w:iCs/>
        </w:rPr>
        <w:tab/>
      </w:r>
      <w:r w:rsidR="00385B67" w:rsidRPr="00E562CD">
        <w:rPr>
          <w:i/>
          <w:iCs/>
        </w:rPr>
        <w:t xml:space="preserve">The application is </w:t>
      </w:r>
      <w:r w:rsidR="003F77A7" w:rsidRPr="00E562CD">
        <w:rPr>
          <w:i/>
          <w:iCs/>
        </w:rPr>
        <w:t>dismissed</w:t>
      </w:r>
      <w:r w:rsidR="00385B67" w:rsidRPr="00E562CD">
        <w:rPr>
          <w:i/>
          <w:iCs/>
        </w:rPr>
        <w:t>;</w:t>
      </w:r>
    </w:p>
    <w:p w14:paraId="7D5CF0E9" w14:textId="2232B30D" w:rsidR="00385B67" w:rsidRPr="00E562CD" w:rsidRDefault="00E562CD" w:rsidP="00E562CD">
      <w:pPr>
        <w:spacing w:before="120" w:after="120" w:line="360" w:lineRule="auto"/>
        <w:ind w:left="1080" w:hanging="360"/>
        <w:jc w:val="both"/>
        <w:rPr>
          <w:i/>
          <w:iCs/>
        </w:rPr>
      </w:pPr>
      <w:r>
        <w:rPr>
          <w:i/>
          <w:iCs/>
        </w:rPr>
        <w:t>2.</w:t>
      </w:r>
      <w:r>
        <w:rPr>
          <w:i/>
          <w:iCs/>
        </w:rPr>
        <w:tab/>
      </w:r>
      <w:r w:rsidR="00385B67" w:rsidRPr="00E562CD">
        <w:rPr>
          <w:i/>
          <w:iCs/>
        </w:rPr>
        <w:t>The applicants are ordered to pay the respondents’ cost on the scale as between attorney and client, being not lower than scale C;</w:t>
      </w:r>
    </w:p>
    <w:p w14:paraId="544D1F67" w14:textId="47E48DB2" w:rsidR="00BD3854" w:rsidRPr="00E562CD" w:rsidRDefault="00E562CD" w:rsidP="00E562CD">
      <w:pPr>
        <w:spacing w:before="120" w:after="120" w:line="360" w:lineRule="auto"/>
        <w:ind w:left="1080" w:hanging="360"/>
        <w:jc w:val="both"/>
        <w:rPr>
          <w:i/>
          <w:iCs/>
        </w:rPr>
      </w:pPr>
      <w:r w:rsidRPr="00681CF6">
        <w:rPr>
          <w:i/>
          <w:iCs/>
        </w:rPr>
        <w:t>3.</w:t>
      </w:r>
      <w:r w:rsidRPr="00681CF6">
        <w:rPr>
          <w:i/>
          <w:iCs/>
        </w:rPr>
        <w:tab/>
      </w:r>
      <w:r w:rsidR="00BD3854" w:rsidRPr="00E562CD">
        <w:rPr>
          <w:i/>
          <w:iCs/>
        </w:rPr>
        <w:t>The applicants’ counsel and attorney</w:t>
      </w:r>
      <w:r w:rsidR="00A056B2" w:rsidRPr="00E562CD">
        <w:rPr>
          <w:rFonts w:cs="Arial"/>
          <w:i/>
          <w:iCs/>
          <w:lang w:eastAsia="en-ZA"/>
        </w:rPr>
        <w:t xml:space="preserve"> shall not to be paid any fees arising from the prosecution of the application launched under the above case number in April 2024;</w:t>
      </w:r>
    </w:p>
    <w:p w14:paraId="3949F1D5" w14:textId="5C9F8F3B" w:rsidR="00681CF6" w:rsidRPr="00E562CD" w:rsidRDefault="00E562CD" w:rsidP="00E562CD">
      <w:pPr>
        <w:spacing w:before="120" w:after="120" w:line="360" w:lineRule="auto"/>
        <w:ind w:left="1080" w:hanging="360"/>
        <w:jc w:val="both"/>
        <w:rPr>
          <w:i/>
          <w:iCs/>
        </w:rPr>
      </w:pPr>
      <w:r>
        <w:rPr>
          <w:i/>
          <w:iCs/>
        </w:rPr>
        <w:t>4.</w:t>
      </w:r>
      <w:r>
        <w:rPr>
          <w:i/>
          <w:iCs/>
        </w:rPr>
        <w:tab/>
      </w:r>
      <w:r w:rsidR="00681CF6" w:rsidRPr="00E562CD">
        <w:rPr>
          <w:i/>
          <w:iCs/>
        </w:rPr>
        <w:t>The costs of the City of Ekurhuleni Metropolitan Municipality, the respondent in the main application, are reserved</w:t>
      </w:r>
      <w:r w:rsidR="00296F09" w:rsidRPr="00E562CD">
        <w:rPr>
          <w:i/>
          <w:iCs/>
        </w:rPr>
        <w:t>;</w:t>
      </w:r>
    </w:p>
    <w:p w14:paraId="723007DE" w14:textId="2C8DE8C4" w:rsidR="00760C15" w:rsidRPr="00E562CD" w:rsidRDefault="00E562CD" w:rsidP="00E562CD">
      <w:pPr>
        <w:spacing w:before="120" w:after="120" w:line="360" w:lineRule="auto"/>
        <w:ind w:left="1080" w:hanging="360"/>
        <w:jc w:val="both"/>
        <w:rPr>
          <w:i/>
          <w:iCs/>
        </w:rPr>
      </w:pPr>
      <w:r>
        <w:rPr>
          <w:i/>
          <w:iCs/>
        </w:rPr>
        <w:t>5.</w:t>
      </w:r>
      <w:r>
        <w:rPr>
          <w:i/>
          <w:iCs/>
        </w:rPr>
        <w:tab/>
      </w:r>
      <w:r w:rsidR="00760C15" w:rsidRPr="00E562CD">
        <w:rPr>
          <w:i/>
          <w:iCs/>
        </w:rPr>
        <w:t>The Registrar is requested to furnish a copy of this judgment to the Legal Practice Council.</w:t>
      </w:r>
    </w:p>
    <w:bookmarkEnd w:id="0"/>
    <w:p w14:paraId="115774C9" w14:textId="77777777" w:rsidR="0040197A" w:rsidRPr="007811C6" w:rsidRDefault="0040197A" w:rsidP="00307200">
      <w:pPr>
        <w:widowControl w:val="0"/>
        <w:spacing w:before="240" w:after="240" w:line="360" w:lineRule="auto"/>
        <w:jc w:val="both"/>
        <w:rPr>
          <w:rFonts w:cs="Arial"/>
          <w:bCs/>
          <w:szCs w:val="22"/>
          <w:u w:val="single"/>
        </w:rPr>
      </w:pPr>
    </w:p>
    <w:p w14:paraId="653F3FAB" w14:textId="5A43119D" w:rsidR="008707F5" w:rsidRPr="00E562CD" w:rsidRDefault="00E562CD" w:rsidP="00E562CD">
      <w:pPr>
        <w:widowControl w:val="0"/>
        <w:tabs>
          <w:tab w:val="left" w:pos="567"/>
        </w:tabs>
        <w:spacing w:before="240" w:after="240" w:line="360" w:lineRule="auto"/>
        <w:jc w:val="both"/>
        <w:rPr>
          <w:rFonts w:cs="Arial"/>
          <w:bCs/>
          <w:szCs w:val="22"/>
          <w:u w:val="single"/>
        </w:rPr>
      </w:pPr>
      <w:r w:rsidRPr="008707F5">
        <w:rPr>
          <w:rFonts w:cs="Arial"/>
          <w:bCs/>
          <w:szCs w:val="22"/>
        </w:rPr>
        <w:t>[2]</w:t>
      </w:r>
      <w:r w:rsidRPr="008707F5">
        <w:rPr>
          <w:rFonts w:cs="Arial"/>
          <w:bCs/>
          <w:szCs w:val="22"/>
        </w:rPr>
        <w:tab/>
      </w:r>
      <w:r w:rsidR="004A5AF5" w:rsidRPr="00E562CD">
        <w:rPr>
          <w:rFonts w:cs="Arial"/>
          <w:bCs/>
          <w:szCs w:val="22"/>
        </w:rPr>
        <w:t xml:space="preserve">The </w:t>
      </w:r>
      <w:r w:rsidR="00573FF9" w:rsidRPr="00E562CD">
        <w:rPr>
          <w:rFonts w:cs="Arial"/>
          <w:bCs/>
          <w:szCs w:val="22"/>
        </w:rPr>
        <w:t xml:space="preserve">reasons for the order </w:t>
      </w:r>
      <w:r w:rsidR="00A63709" w:rsidRPr="00E562CD">
        <w:rPr>
          <w:rFonts w:cs="Arial"/>
          <w:bCs/>
          <w:szCs w:val="22"/>
        </w:rPr>
        <w:t>follow</w:t>
      </w:r>
      <w:r w:rsidR="00573FF9" w:rsidRPr="00E562CD">
        <w:rPr>
          <w:rFonts w:cs="Arial"/>
          <w:bCs/>
          <w:szCs w:val="22"/>
        </w:rPr>
        <w:t xml:space="preserve"> below.</w:t>
      </w:r>
    </w:p>
    <w:p w14:paraId="6D22C0DB" w14:textId="77777777" w:rsidR="00044778" w:rsidRDefault="00044778" w:rsidP="004F41E9">
      <w:pPr>
        <w:keepNext/>
        <w:widowControl w:val="0"/>
        <w:spacing w:before="240" w:after="240" w:line="360" w:lineRule="auto"/>
        <w:jc w:val="both"/>
        <w:rPr>
          <w:rFonts w:cs="Arial"/>
          <w:bCs/>
          <w:szCs w:val="22"/>
          <w:u w:val="single"/>
        </w:rPr>
      </w:pPr>
    </w:p>
    <w:p w14:paraId="43E08786" w14:textId="27651D53" w:rsidR="008707F5" w:rsidRPr="008707F5" w:rsidRDefault="008707F5" w:rsidP="004F41E9">
      <w:pPr>
        <w:keepNext/>
        <w:widowControl w:val="0"/>
        <w:spacing w:before="240" w:after="240" w:line="360" w:lineRule="auto"/>
        <w:jc w:val="both"/>
        <w:rPr>
          <w:rFonts w:cs="Arial"/>
          <w:bCs/>
          <w:szCs w:val="22"/>
          <w:u w:val="single"/>
        </w:rPr>
      </w:pPr>
      <w:r w:rsidRPr="008707F5">
        <w:rPr>
          <w:rFonts w:cs="Arial"/>
          <w:bCs/>
          <w:szCs w:val="22"/>
          <w:u w:val="single"/>
        </w:rPr>
        <w:t>Introduction</w:t>
      </w:r>
    </w:p>
    <w:p w14:paraId="04875C40" w14:textId="79442C65" w:rsidR="002C4404" w:rsidRPr="00E562CD" w:rsidRDefault="00E562CD" w:rsidP="00E562CD">
      <w:pPr>
        <w:widowControl w:val="0"/>
        <w:tabs>
          <w:tab w:val="left" w:pos="567"/>
        </w:tabs>
        <w:spacing w:before="240" w:after="240" w:line="360" w:lineRule="auto"/>
        <w:jc w:val="both"/>
        <w:rPr>
          <w:rFonts w:cs="Arial"/>
          <w:bCs/>
          <w:szCs w:val="22"/>
        </w:rPr>
      </w:pPr>
      <w:r>
        <w:rPr>
          <w:rFonts w:cs="Arial"/>
          <w:bCs/>
          <w:szCs w:val="22"/>
        </w:rPr>
        <w:t>[3]</w:t>
      </w:r>
      <w:r>
        <w:rPr>
          <w:rFonts w:cs="Arial"/>
          <w:bCs/>
          <w:szCs w:val="22"/>
        </w:rPr>
        <w:tab/>
      </w:r>
      <w:r w:rsidR="001F53E8" w:rsidRPr="00E562CD">
        <w:rPr>
          <w:rFonts w:cs="Arial"/>
          <w:bCs/>
          <w:szCs w:val="22"/>
        </w:rPr>
        <w:t xml:space="preserve">This is a judgement in the urgent court. </w:t>
      </w:r>
      <w:r w:rsidR="00684196" w:rsidRPr="00E562CD">
        <w:rPr>
          <w:rFonts w:cs="Arial"/>
          <w:bCs/>
          <w:szCs w:val="22"/>
        </w:rPr>
        <w:t xml:space="preserve">The applicants bring a spoliation application against the respondents. </w:t>
      </w:r>
    </w:p>
    <w:p w14:paraId="62A5ED68" w14:textId="530DA657" w:rsidR="007D4644" w:rsidRPr="00E562CD" w:rsidRDefault="00E562CD" w:rsidP="00E562CD">
      <w:pPr>
        <w:widowControl w:val="0"/>
        <w:tabs>
          <w:tab w:val="left" w:pos="567"/>
        </w:tabs>
        <w:spacing w:before="240" w:after="240" w:line="360" w:lineRule="auto"/>
        <w:jc w:val="both"/>
        <w:rPr>
          <w:rFonts w:cs="Arial"/>
          <w:bCs/>
          <w:szCs w:val="22"/>
        </w:rPr>
      </w:pPr>
      <w:r>
        <w:rPr>
          <w:rFonts w:cs="Arial"/>
          <w:bCs/>
          <w:szCs w:val="22"/>
        </w:rPr>
        <w:t>[4]</w:t>
      </w:r>
      <w:r>
        <w:rPr>
          <w:rFonts w:cs="Arial"/>
          <w:bCs/>
          <w:szCs w:val="22"/>
        </w:rPr>
        <w:tab/>
      </w:r>
      <w:r w:rsidR="00684196" w:rsidRPr="00E562CD">
        <w:rPr>
          <w:rFonts w:cs="Arial"/>
          <w:bCs/>
          <w:szCs w:val="22"/>
        </w:rPr>
        <w:t>The papers in this application are shambolic</w:t>
      </w:r>
      <w:r w:rsidR="007D4644" w:rsidRPr="00E562CD">
        <w:rPr>
          <w:rFonts w:cs="Arial"/>
          <w:bCs/>
          <w:szCs w:val="22"/>
        </w:rPr>
        <w:t>. I list a few of the shortcomings and will elaborate further below:</w:t>
      </w:r>
    </w:p>
    <w:p w14:paraId="34952217" w14:textId="2A531E59" w:rsidR="007D4644" w:rsidRPr="00E562CD" w:rsidRDefault="00E562CD" w:rsidP="00E562CD">
      <w:pPr>
        <w:widowControl w:val="0"/>
        <w:tabs>
          <w:tab w:val="left" w:pos="1418"/>
        </w:tabs>
        <w:spacing w:before="240" w:after="240" w:line="360" w:lineRule="auto"/>
        <w:ind w:left="1418" w:hanging="851"/>
        <w:jc w:val="both"/>
        <w:rPr>
          <w:rFonts w:cs="Arial"/>
          <w:bCs/>
          <w:szCs w:val="22"/>
        </w:rPr>
      </w:pPr>
      <w:r>
        <w:rPr>
          <w:rFonts w:cs="Arial"/>
          <w:bCs/>
          <w:szCs w:val="22"/>
        </w:rPr>
        <w:t>4.1</w:t>
      </w:r>
      <w:r>
        <w:rPr>
          <w:rFonts w:cs="Arial"/>
          <w:bCs/>
          <w:szCs w:val="22"/>
        </w:rPr>
        <w:tab/>
      </w:r>
      <w:r w:rsidR="007D4644" w:rsidRPr="00E562CD">
        <w:rPr>
          <w:rFonts w:cs="Arial"/>
          <w:bCs/>
          <w:szCs w:val="22"/>
        </w:rPr>
        <w:t>The papers are not indexed and do not follow any logical sequence</w:t>
      </w:r>
      <w:r w:rsidR="003F77A7" w:rsidRPr="00E562CD">
        <w:rPr>
          <w:rFonts w:cs="Arial"/>
          <w:bCs/>
          <w:szCs w:val="22"/>
        </w:rPr>
        <w:t>, with information scattered throughout the Caselines bundle.</w:t>
      </w:r>
    </w:p>
    <w:p w14:paraId="5467D5BF" w14:textId="5657F44E" w:rsidR="007D4644" w:rsidRPr="00E562CD" w:rsidRDefault="00E562CD" w:rsidP="00E562CD">
      <w:pPr>
        <w:widowControl w:val="0"/>
        <w:tabs>
          <w:tab w:val="left" w:pos="1418"/>
        </w:tabs>
        <w:spacing w:before="240" w:after="240" w:line="360" w:lineRule="auto"/>
        <w:ind w:left="1418" w:hanging="851"/>
        <w:jc w:val="both"/>
        <w:rPr>
          <w:rFonts w:cs="Arial"/>
          <w:bCs/>
          <w:szCs w:val="22"/>
        </w:rPr>
      </w:pPr>
      <w:r>
        <w:rPr>
          <w:rFonts w:cs="Arial"/>
          <w:bCs/>
          <w:szCs w:val="22"/>
        </w:rPr>
        <w:t>4.2</w:t>
      </w:r>
      <w:r>
        <w:rPr>
          <w:rFonts w:cs="Arial"/>
          <w:bCs/>
          <w:szCs w:val="22"/>
        </w:rPr>
        <w:tab/>
      </w:r>
      <w:r w:rsidR="007D4644" w:rsidRPr="00E562CD">
        <w:rPr>
          <w:rFonts w:cs="Arial"/>
          <w:bCs/>
          <w:szCs w:val="22"/>
        </w:rPr>
        <w:t>Certain page numbers are duplicated a number of times which makes finding a particular page difficult.</w:t>
      </w:r>
      <w:r w:rsidR="007F7364">
        <w:rPr>
          <w:rStyle w:val="FootnoteReference"/>
          <w:rFonts w:cs="Arial"/>
          <w:bCs/>
          <w:szCs w:val="22"/>
        </w:rPr>
        <w:footnoteReference w:id="1"/>
      </w:r>
    </w:p>
    <w:p w14:paraId="17712C08" w14:textId="11175AC0" w:rsidR="00394CA9" w:rsidRPr="00E562CD" w:rsidRDefault="00E562CD" w:rsidP="00E562CD">
      <w:pPr>
        <w:keepNext/>
        <w:widowControl w:val="0"/>
        <w:tabs>
          <w:tab w:val="left" w:pos="1418"/>
        </w:tabs>
        <w:spacing w:before="240" w:after="240" w:line="360" w:lineRule="auto"/>
        <w:ind w:left="1418" w:hanging="851"/>
        <w:jc w:val="both"/>
        <w:rPr>
          <w:rFonts w:cs="Arial"/>
          <w:bCs/>
          <w:szCs w:val="22"/>
        </w:rPr>
      </w:pPr>
      <w:r>
        <w:rPr>
          <w:rFonts w:cs="Arial"/>
          <w:bCs/>
          <w:szCs w:val="22"/>
        </w:rPr>
        <w:t>4.3</w:t>
      </w:r>
      <w:r>
        <w:rPr>
          <w:rFonts w:cs="Arial"/>
          <w:bCs/>
          <w:szCs w:val="22"/>
        </w:rPr>
        <w:tab/>
      </w:r>
      <w:r w:rsidR="007D4644" w:rsidRPr="00E562CD">
        <w:rPr>
          <w:rFonts w:cs="Arial"/>
          <w:bCs/>
          <w:szCs w:val="22"/>
        </w:rPr>
        <w:t xml:space="preserve">Annexures to affidavits are not annexed to the affidavits </w:t>
      </w:r>
      <w:r w:rsidR="00394CA9" w:rsidRPr="00E562CD">
        <w:rPr>
          <w:rFonts w:cs="Arial"/>
          <w:bCs/>
          <w:szCs w:val="22"/>
        </w:rPr>
        <w:t>but</w:t>
      </w:r>
      <w:r w:rsidR="007D4644" w:rsidRPr="00E562CD">
        <w:rPr>
          <w:rFonts w:cs="Arial"/>
          <w:bCs/>
          <w:szCs w:val="22"/>
        </w:rPr>
        <w:t xml:space="preserve"> appear to have been uploaded haphazardly under different headings.</w:t>
      </w:r>
      <w:r w:rsidR="00394CA9" w:rsidRPr="00E562CD">
        <w:rPr>
          <w:rFonts w:cs="Arial"/>
          <w:bCs/>
          <w:szCs w:val="22"/>
        </w:rPr>
        <w:t xml:space="preserve"> </w:t>
      </w:r>
    </w:p>
    <w:p w14:paraId="2CE48784" w14:textId="48BB8509" w:rsidR="007D4644" w:rsidRPr="00E562CD" w:rsidRDefault="00E562CD" w:rsidP="00E562CD">
      <w:pPr>
        <w:widowControl w:val="0"/>
        <w:tabs>
          <w:tab w:val="left" w:pos="1418"/>
        </w:tabs>
        <w:spacing w:before="240" w:after="240" w:line="360" w:lineRule="auto"/>
        <w:ind w:left="1418" w:hanging="851"/>
        <w:jc w:val="both"/>
        <w:rPr>
          <w:rFonts w:cs="Arial"/>
          <w:bCs/>
          <w:szCs w:val="22"/>
        </w:rPr>
      </w:pPr>
      <w:r>
        <w:rPr>
          <w:rFonts w:cs="Arial"/>
          <w:bCs/>
          <w:szCs w:val="22"/>
        </w:rPr>
        <w:t>4.4</w:t>
      </w:r>
      <w:r>
        <w:rPr>
          <w:rFonts w:cs="Arial"/>
          <w:bCs/>
          <w:szCs w:val="22"/>
        </w:rPr>
        <w:tab/>
      </w:r>
      <w:r w:rsidR="007D4644" w:rsidRPr="00E562CD">
        <w:rPr>
          <w:rFonts w:cs="Arial"/>
          <w:bCs/>
          <w:szCs w:val="22"/>
        </w:rPr>
        <w:t>Many pages do not follow sequentially.</w:t>
      </w:r>
    </w:p>
    <w:p w14:paraId="192B322F" w14:textId="58302716" w:rsidR="007D4644" w:rsidRPr="00E562CD" w:rsidRDefault="00E562CD" w:rsidP="00E562CD">
      <w:pPr>
        <w:widowControl w:val="0"/>
        <w:tabs>
          <w:tab w:val="left" w:pos="1418"/>
        </w:tabs>
        <w:spacing w:before="240" w:after="240" w:line="360" w:lineRule="auto"/>
        <w:ind w:left="1418" w:hanging="851"/>
        <w:jc w:val="both"/>
        <w:rPr>
          <w:rFonts w:cs="Arial"/>
          <w:bCs/>
          <w:szCs w:val="22"/>
        </w:rPr>
      </w:pPr>
      <w:r>
        <w:rPr>
          <w:rFonts w:cs="Arial"/>
          <w:bCs/>
          <w:szCs w:val="22"/>
        </w:rPr>
        <w:t>4.5</w:t>
      </w:r>
      <w:r>
        <w:rPr>
          <w:rFonts w:cs="Arial"/>
          <w:bCs/>
          <w:szCs w:val="22"/>
        </w:rPr>
        <w:tab/>
      </w:r>
      <w:r w:rsidR="007D4644" w:rsidRPr="00E562CD">
        <w:rPr>
          <w:rFonts w:cs="Arial"/>
          <w:bCs/>
          <w:szCs w:val="22"/>
        </w:rPr>
        <w:t>The applicants and respondents cited in the notice of motion are not the same individuals listed in the application as originally issued in 2022 but there is no application for joinder nor for leave to intervene.</w:t>
      </w:r>
    </w:p>
    <w:p w14:paraId="34F5E4EF" w14:textId="6C3D3F6E" w:rsidR="007D4644" w:rsidRPr="00E562CD" w:rsidRDefault="00E562CD" w:rsidP="00E562CD">
      <w:pPr>
        <w:widowControl w:val="0"/>
        <w:tabs>
          <w:tab w:val="left" w:pos="1418"/>
        </w:tabs>
        <w:spacing w:before="240" w:after="240" w:line="360" w:lineRule="auto"/>
        <w:ind w:left="1418" w:hanging="851"/>
        <w:jc w:val="both"/>
        <w:rPr>
          <w:rFonts w:cs="Arial"/>
          <w:bCs/>
          <w:szCs w:val="22"/>
        </w:rPr>
      </w:pPr>
      <w:r>
        <w:rPr>
          <w:rFonts w:cs="Arial"/>
          <w:bCs/>
          <w:szCs w:val="22"/>
        </w:rPr>
        <w:t>4.6</w:t>
      </w:r>
      <w:r>
        <w:rPr>
          <w:rFonts w:cs="Arial"/>
          <w:bCs/>
          <w:szCs w:val="22"/>
        </w:rPr>
        <w:tab/>
      </w:r>
      <w:r w:rsidR="007D4644" w:rsidRPr="00E562CD">
        <w:rPr>
          <w:rFonts w:cs="Arial"/>
          <w:bCs/>
          <w:szCs w:val="22"/>
        </w:rPr>
        <w:t>It is not possible to identify all the parties from the papers as uploaded.</w:t>
      </w:r>
      <w:r w:rsidR="00394CA9">
        <w:rPr>
          <w:rStyle w:val="FootnoteReference"/>
          <w:rFonts w:cs="Arial"/>
          <w:bCs/>
          <w:szCs w:val="22"/>
        </w:rPr>
        <w:footnoteReference w:id="2"/>
      </w:r>
    </w:p>
    <w:p w14:paraId="131E27F2" w14:textId="7B89FEFC" w:rsidR="00AA1F8B" w:rsidRPr="00E562CD" w:rsidRDefault="00E562CD" w:rsidP="00E562CD">
      <w:pPr>
        <w:widowControl w:val="0"/>
        <w:tabs>
          <w:tab w:val="left" w:pos="1418"/>
        </w:tabs>
        <w:spacing w:before="240" w:after="240" w:line="360" w:lineRule="auto"/>
        <w:ind w:left="1418" w:hanging="851"/>
        <w:jc w:val="both"/>
        <w:rPr>
          <w:rFonts w:cs="Arial"/>
          <w:bCs/>
          <w:szCs w:val="22"/>
        </w:rPr>
      </w:pPr>
      <w:r>
        <w:rPr>
          <w:rFonts w:cs="Arial"/>
          <w:bCs/>
          <w:szCs w:val="22"/>
        </w:rPr>
        <w:t>4.7</w:t>
      </w:r>
      <w:r>
        <w:rPr>
          <w:rFonts w:cs="Arial"/>
          <w:bCs/>
          <w:szCs w:val="22"/>
        </w:rPr>
        <w:tab/>
      </w:r>
      <w:r w:rsidR="00AA1F8B" w:rsidRPr="00E562CD">
        <w:rPr>
          <w:rFonts w:cs="Arial"/>
          <w:bCs/>
          <w:szCs w:val="22"/>
        </w:rPr>
        <w:t>There are no returns of service or service affidavits.</w:t>
      </w:r>
    </w:p>
    <w:p w14:paraId="58AE835B" w14:textId="091CB398" w:rsidR="00AA1F8B" w:rsidRPr="00E562CD" w:rsidRDefault="00E562CD" w:rsidP="00E562CD">
      <w:pPr>
        <w:widowControl w:val="0"/>
        <w:tabs>
          <w:tab w:val="left" w:pos="1418"/>
        </w:tabs>
        <w:spacing w:before="240" w:after="240" w:line="360" w:lineRule="auto"/>
        <w:ind w:left="1418" w:hanging="851"/>
        <w:jc w:val="both"/>
        <w:rPr>
          <w:rFonts w:cs="Arial"/>
          <w:bCs/>
          <w:szCs w:val="22"/>
        </w:rPr>
      </w:pPr>
      <w:r>
        <w:rPr>
          <w:rFonts w:cs="Arial"/>
          <w:bCs/>
          <w:szCs w:val="22"/>
        </w:rPr>
        <w:t>4.8</w:t>
      </w:r>
      <w:r>
        <w:rPr>
          <w:rFonts w:cs="Arial"/>
          <w:bCs/>
          <w:szCs w:val="22"/>
        </w:rPr>
        <w:tab/>
      </w:r>
      <w:r w:rsidR="00AA1F8B" w:rsidRPr="00E562CD">
        <w:rPr>
          <w:rFonts w:cs="Arial"/>
          <w:bCs/>
          <w:szCs w:val="22"/>
        </w:rPr>
        <w:t>The notice of motion is unsigned.</w:t>
      </w:r>
    </w:p>
    <w:p w14:paraId="14D584D9" w14:textId="12AC8E52" w:rsidR="007F7364" w:rsidRPr="00E562CD" w:rsidRDefault="00E562CD" w:rsidP="00E562CD">
      <w:pPr>
        <w:widowControl w:val="0"/>
        <w:tabs>
          <w:tab w:val="left" w:pos="1418"/>
        </w:tabs>
        <w:spacing w:before="240" w:after="240" w:line="360" w:lineRule="auto"/>
        <w:ind w:left="1418" w:hanging="851"/>
        <w:jc w:val="both"/>
        <w:rPr>
          <w:rFonts w:cs="Arial"/>
          <w:bCs/>
          <w:szCs w:val="22"/>
        </w:rPr>
      </w:pPr>
      <w:r>
        <w:rPr>
          <w:rFonts w:cs="Arial"/>
          <w:bCs/>
          <w:szCs w:val="22"/>
        </w:rPr>
        <w:lastRenderedPageBreak/>
        <w:t>4.9</w:t>
      </w:r>
      <w:r>
        <w:rPr>
          <w:rFonts w:cs="Arial"/>
          <w:bCs/>
          <w:szCs w:val="22"/>
        </w:rPr>
        <w:tab/>
      </w:r>
      <w:r w:rsidR="007F7364" w:rsidRPr="00E562CD">
        <w:rPr>
          <w:rFonts w:cs="Arial"/>
          <w:bCs/>
          <w:szCs w:val="22"/>
        </w:rPr>
        <w:t>It is not clear when exactly the alleged spoliation occurred,</w:t>
      </w:r>
      <w:r w:rsidR="007F7364">
        <w:rPr>
          <w:rStyle w:val="FootnoteReference"/>
          <w:rFonts w:cs="Arial"/>
          <w:bCs/>
          <w:szCs w:val="22"/>
        </w:rPr>
        <w:footnoteReference w:id="3"/>
      </w:r>
      <w:r w:rsidR="007F7364" w:rsidRPr="00E562CD">
        <w:rPr>
          <w:rFonts w:cs="Arial"/>
          <w:bCs/>
          <w:szCs w:val="22"/>
        </w:rPr>
        <w:t xml:space="preserve"> and by whom.</w:t>
      </w:r>
      <w:r w:rsidR="00394CA9">
        <w:rPr>
          <w:rStyle w:val="FootnoteReference"/>
          <w:rFonts w:cs="Arial"/>
          <w:bCs/>
          <w:szCs w:val="22"/>
        </w:rPr>
        <w:footnoteReference w:id="4"/>
      </w:r>
    </w:p>
    <w:p w14:paraId="4C4FCE8E" w14:textId="3B099B04" w:rsidR="00684196" w:rsidRPr="00E562CD" w:rsidRDefault="00E562CD" w:rsidP="00E562CD">
      <w:pPr>
        <w:widowControl w:val="0"/>
        <w:tabs>
          <w:tab w:val="left" w:pos="567"/>
        </w:tabs>
        <w:spacing w:before="240" w:after="240" w:line="360" w:lineRule="auto"/>
        <w:jc w:val="both"/>
        <w:rPr>
          <w:rFonts w:cs="Arial"/>
          <w:bCs/>
          <w:szCs w:val="22"/>
        </w:rPr>
      </w:pPr>
      <w:r>
        <w:rPr>
          <w:rFonts w:cs="Arial"/>
          <w:bCs/>
          <w:szCs w:val="22"/>
        </w:rPr>
        <w:t>[5]</w:t>
      </w:r>
      <w:r>
        <w:rPr>
          <w:rFonts w:cs="Arial"/>
          <w:bCs/>
          <w:szCs w:val="22"/>
        </w:rPr>
        <w:tab/>
      </w:r>
      <w:r w:rsidR="00684196" w:rsidRPr="00E562CD">
        <w:rPr>
          <w:rFonts w:cs="Arial"/>
          <w:bCs/>
          <w:szCs w:val="22"/>
        </w:rPr>
        <w:t xml:space="preserve"> </w:t>
      </w:r>
      <w:r w:rsidR="0024329E" w:rsidRPr="00E562CD">
        <w:rPr>
          <w:rFonts w:cs="Arial"/>
          <w:bCs/>
          <w:szCs w:val="22"/>
        </w:rPr>
        <w:t xml:space="preserve">In April 2022 </w:t>
      </w:r>
      <w:r w:rsidR="008C091E" w:rsidRPr="00E562CD">
        <w:rPr>
          <w:rFonts w:cs="Arial"/>
          <w:bCs/>
          <w:szCs w:val="22"/>
        </w:rPr>
        <w:t xml:space="preserve">Mr </w:t>
      </w:r>
      <w:r w:rsidR="0024329E" w:rsidRPr="00E562CD">
        <w:rPr>
          <w:rFonts w:cs="Arial"/>
          <w:bCs/>
          <w:szCs w:val="22"/>
        </w:rPr>
        <w:t xml:space="preserve">Phinius Kheswa brought an application against the </w:t>
      </w:r>
      <w:r w:rsidR="005761E9" w:rsidRPr="00E562CD">
        <w:rPr>
          <w:rFonts w:cs="Arial"/>
          <w:bCs/>
          <w:szCs w:val="22"/>
        </w:rPr>
        <w:t xml:space="preserve">City of </w:t>
      </w:r>
      <w:r w:rsidR="0024329E" w:rsidRPr="00E562CD">
        <w:rPr>
          <w:rFonts w:cs="Arial"/>
          <w:bCs/>
          <w:szCs w:val="22"/>
        </w:rPr>
        <w:t xml:space="preserve">Ekurhuleni Metropolitan Municipality </w:t>
      </w:r>
      <w:r w:rsidR="005761E9" w:rsidRPr="00E562CD">
        <w:rPr>
          <w:rFonts w:cs="Arial"/>
          <w:bCs/>
          <w:szCs w:val="22"/>
        </w:rPr>
        <w:t xml:space="preserve">(“the Municipality”) </w:t>
      </w:r>
      <w:r w:rsidR="0024329E" w:rsidRPr="00E562CD">
        <w:rPr>
          <w:rFonts w:cs="Arial"/>
          <w:bCs/>
          <w:szCs w:val="22"/>
        </w:rPr>
        <w:t>on behalf of himself and 278</w:t>
      </w:r>
      <w:r w:rsidR="00810A83" w:rsidRPr="00E562CD">
        <w:rPr>
          <w:rFonts w:cs="Arial"/>
          <w:bCs/>
          <w:szCs w:val="22"/>
        </w:rPr>
        <w:t xml:space="preserve"> other</w:t>
      </w:r>
      <w:r w:rsidR="0024329E" w:rsidRPr="00E562CD">
        <w:rPr>
          <w:rFonts w:cs="Arial"/>
          <w:bCs/>
          <w:szCs w:val="22"/>
        </w:rPr>
        <w:t xml:space="preserve"> individuals. The applicants sought restoration of possession of Moroleng, Tembisa, Johannesburg, Gauteng Province.</w:t>
      </w:r>
      <w:r w:rsidR="003F77A7" w:rsidRPr="00E562CD">
        <w:rPr>
          <w:rFonts w:cs="Arial"/>
          <w:bCs/>
          <w:szCs w:val="22"/>
        </w:rPr>
        <w:t xml:space="preserve"> I refer to the 2022 application as the main application in the body of this judgment, and to the present application under the same case number as ‘the application’. It is not an interlocutory application pending the finalisation of the main application.</w:t>
      </w:r>
    </w:p>
    <w:p w14:paraId="4DED09B3" w14:textId="4052A03B" w:rsidR="003F77A7" w:rsidRPr="00E562CD" w:rsidRDefault="00E562CD" w:rsidP="00E562CD">
      <w:pPr>
        <w:keepNext/>
        <w:widowControl w:val="0"/>
        <w:tabs>
          <w:tab w:val="left" w:pos="567"/>
        </w:tabs>
        <w:spacing w:before="240" w:after="240" w:line="360" w:lineRule="auto"/>
        <w:jc w:val="both"/>
        <w:rPr>
          <w:rFonts w:cs="Arial"/>
          <w:bCs/>
          <w:szCs w:val="22"/>
        </w:rPr>
      </w:pPr>
      <w:r>
        <w:rPr>
          <w:rFonts w:cs="Arial"/>
          <w:bCs/>
          <w:szCs w:val="22"/>
        </w:rPr>
        <w:t>[6]</w:t>
      </w:r>
      <w:r>
        <w:rPr>
          <w:rFonts w:cs="Arial"/>
          <w:bCs/>
          <w:szCs w:val="22"/>
        </w:rPr>
        <w:tab/>
      </w:r>
      <w:r w:rsidR="0060254C" w:rsidRPr="00E562CD">
        <w:rPr>
          <w:rFonts w:cs="Arial"/>
          <w:bCs/>
          <w:szCs w:val="22"/>
        </w:rPr>
        <w:t>The</w:t>
      </w:r>
      <w:r w:rsidR="003F77A7" w:rsidRPr="00E562CD">
        <w:rPr>
          <w:rFonts w:cs="Arial"/>
          <w:bCs/>
          <w:szCs w:val="22"/>
        </w:rPr>
        <w:t xml:space="preserve"> main</w:t>
      </w:r>
      <w:r w:rsidR="0060254C" w:rsidRPr="00E562CD">
        <w:rPr>
          <w:rFonts w:cs="Arial"/>
          <w:bCs/>
          <w:szCs w:val="22"/>
        </w:rPr>
        <w:t xml:space="preserve"> application came before Wright J. The learne</w:t>
      </w:r>
      <w:r w:rsidR="00BA4892" w:rsidRPr="00E562CD">
        <w:rPr>
          <w:rFonts w:cs="Arial"/>
          <w:bCs/>
          <w:szCs w:val="22"/>
        </w:rPr>
        <w:t>d</w:t>
      </w:r>
      <w:r w:rsidR="0060254C" w:rsidRPr="00E562CD">
        <w:rPr>
          <w:rFonts w:cs="Arial"/>
          <w:bCs/>
          <w:szCs w:val="22"/>
        </w:rPr>
        <w:t xml:space="preserve"> judge granted an order in the form of a rule </w:t>
      </w:r>
      <w:r w:rsidR="0060254C" w:rsidRPr="00E562CD">
        <w:rPr>
          <w:rFonts w:cs="Arial"/>
          <w:bCs/>
          <w:i/>
          <w:iCs/>
          <w:szCs w:val="22"/>
        </w:rPr>
        <w:t>nisi</w:t>
      </w:r>
      <w:r w:rsidR="0060254C" w:rsidRPr="00E562CD">
        <w:rPr>
          <w:rFonts w:cs="Arial"/>
          <w:bCs/>
          <w:szCs w:val="22"/>
        </w:rPr>
        <w:t xml:space="preserve"> on 28 April 2022</w:t>
      </w:r>
      <w:r w:rsidR="005761E9" w:rsidRPr="00E562CD">
        <w:rPr>
          <w:rFonts w:cs="Arial"/>
          <w:bCs/>
          <w:szCs w:val="22"/>
        </w:rPr>
        <w:t>.</w:t>
      </w:r>
      <w:r w:rsidR="0060254C" w:rsidRPr="00E562CD">
        <w:rPr>
          <w:rFonts w:cs="Arial"/>
          <w:bCs/>
          <w:szCs w:val="22"/>
        </w:rPr>
        <w:t xml:space="preserve"> Wright J</w:t>
      </w:r>
      <w:r w:rsidR="005761E9" w:rsidRPr="00E562CD">
        <w:rPr>
          <w:rFonts w:cs="Arial"/>
          <w:bCs/>
          <w:szCs w:val="22"/>
        </w:rPr>
        <w:t xml:space="preserve"> </w:t>
      </w:r>
      <w:r w:rsidR="00BA4892" w:rsidRPr="00E562CD">
        <w:rPr>
          <w:rFonts w:cs="Arial"/>
          <w:bCs/>
          <w:szCs w:val="22"/>
        </w:rPr>
        <w:t xml:space="preserve">granted interim relief and </w:t>
      </w:r>
      <w:r w:rsidR="005761E9" w:rsidRPr="00E562CD">
        <w:rPr>
          <w:rFonts w:cs="Arial"/>
          <w:bCs/>
          <w:szCs w:val="22"/>
        </w:rPr>
        <w:t xml:space="preserve">ordered </w:t>
      </w:r>
      <w:r w:rsidR="008C091E" w:rsidRPr="00E562CD">
        <w:rPr>
          <w:rFonts w:cs="Arial"/>
          <w:bCs/>
          <w:szCs w:val="22"/>
        </w:rPr>
        <w:t>the</w:t>
      </w:r>
      <w:r w:rsidR="005761E9" w:rsidRPr="00E562CD">
        <w:rPr>
          <w:rFonts w:cs="Arial"/>
          <w:bCs/>
          <w:szCs w:val="22"/>
        </w:rPr>
        <w:t xml:space="preserve"> Municipality </w:t>
      </w:r>
      <w:r w:rsidR="0060254C" w:rsidRPr="00E562CD">
        <w:rPr>
          <w:rFonts w:cs="Arial"/>
          <w:bCs/>
          <w:szCs w:val="22"/>
        </w:rPr>
        <w:t xml:space="preserve">to show cause on 8 August 2022 why a final order interdicting the Municipality from destroying the shacks </w:t>
      </w:r>
      <w:r w:rsidR="005761E9" w:rsidRPr="00E562CD">
        <w:rPr>
          <w:rFonts w:cs="Arial"/>
          <w:bCs/>
          <w:szCs w:val="22"/>
        </w:rPr>
        <w:t xml:space="preserve">erected by </w:t>
      </w:r>
      <w:r w:rsidR="0060254C" w:rsidRPr="00E562CD">
        <w:rPr>
          <w:rFonts w:cs="Arial"/>
          <w:bCs/>
          <w:szCs w:val="22"/>
        </w:rPr>
        <w:t>the applicants should not be made.</w:t>
      </w:r>
      <w:r w:rsidR="0060254C">
        <w:rPr>
          <w:rStyle w:val="FootnoteReference"/>
          <w:rFonts w:cs="Arial"/>
          <w:bCs/>
          <w:szCs w:val="22"/>
        </w:rPr>
        <w:footnoteReference w:id="5"/>
      </w:r>
      <w:r w:rsidR="0060254C" w:rsidRPr="00E562CD">
        <w:rPr>
          <w:rFonts w:cs="Arial"/>
          <w:bCs/>
          <w:szCs w:val="22"/>
        </w:rPr>
        <w:t xml:space="preserve"> </w:t>
      </w:r>
    </w:p>
    <w:p w14:paraId="74777193" w14:textId="7DF57DEE" w:rsidR="0060254C" w:rsidRPr="003F77A7" w:rsidRDefault="0060254C" w:rsidP="003F77A7">
      <w:pPr>
        <w:keepNext/>
        <w:widowControl w:val="0"/>
        <w:spacing w:before="240" w:after="240" w:line="360" w:lineRule="auto"/>
        <w:jc w:val="both"/>
        <w:rPr>
          <w:rFonts w:cs="Arial"/>
          <w:bCs/>
          <w:szCs w:val="22"/>
        </w:rPr>
      </w:pPr>
      <w:r w:rsidRPr="003F77A7">
        <w:rPr>
          <w:rFonts w:cs="Arial"/>
          <w:bCs/>
          <w:szCs w:val="22"/>
        </w:rPr>
        <w:t>The order made</w:t>
      </w:r>
      <w:r w:rsidR="005761E9" w:rsidRPr="003F77A7">
        <w:rPr>
          <w:rFonts w:cs="Arial"/>
          <w:bCs/>
          <w:szCs w:val="22"/>
        </w:rPr>
        <w:t xml:space="preserve"> by Wright J</w:t>
      </w:r>
      <w:r w:rsidRPr="003F77A7">
        <w:rPr>
          <w:rFonts w:cs="Arial"/>
          <w:bCs/>
          <w:szCs w:val="22"/>
        </w:rPr>
        <w:t xml:space="preserve"> lapsed on 8 August 2022 when Maier-Frawley J ordered</w:t>
      </w:r>
      <w:r>
        <w:rPr>
          <w:rStyle w:val="FootnoteReference"/>
          <w:rFonts w:cs="Arial"/>
          <w:bCs/>
          <w:szCs w:val="22"/>
        </w:rPr>
        <w:footnoteReference w:id="6"/>
      </w:r>
      <w:r w:rsidRPr="003F77A7">
        <w:rPr>
          <w:rFonts w:cs="Arial"/>
          <w:bCs/>
          <w:szCs w:val="22"/>
        </w:rPr>
        <w:t xml:space="preserve"> that the application be removed from the urgent court role and that the attorneys then acting for the applicants (BM Mudzuli Attorneys) be ordered and directed to file an affidavit on or before 22 August 2022 to give reasons or grounds why the attorneys should not be ordered to pay costs </w:t>
      </w:r>
      <w:r w:rsidRPr="003F77A7">
        <w:rPr>
          <w:rFonts w:cs="Arial"/>
          <w:bCs/>
          <w:i/>
          <w:iCs/>
          <w:szCs w:val="22"/>
        </w:rPr>
        <w:t xml:space="preserve">de bonis proprius. </w:t>
      </w:r>
    </w:p>
    <w:p w14:paraId="77204676" w14:textId="62B94EAF" w:rsidR="0060254C" w:rsidRPr="00E562CD" w:rsidRDefault="00E562CD" w:rsidP="00E562CD">
      <w:pPr>
        <w:keepNext/>
        <w:widowControl w:val="0"/>
        <w:tabs>
          <w:tab w:val="left" w:pos="567"/>
        </w:tabs>
        <w:spacing w:before="240" w:after="240" w:line="360" w:lineRule="auto"/>
        <w:jc w:val="both"/>
        <w:rPr>
          <w:rFonts w:cs="Arial"/>
          <w:bCs/>
          <w:szCs w:val="22"/>
        </w:rPr>
      </w:pPr>
      <w:r>
        <w:rPr>
          <w:rFonts w:cs="Arial"/>
          <w:bCs/>
          <w:szCs w:val="22"/>
        </w:rPr>
        <w:t>[7]</w:t>
      </w:r>
      <w:r>
        <w:rPr>
          <w:rFonts w:cs="Arial"/>
          <w:bCs/>
          <w:szCs w:val="22"/>
        </w:rPr>
        <w:tab/>
      </w:r>
      <w:r w:rsidR="0060254C" w:rsidRPr="00E562CD">
        <w:rPr>
          <w:rFonts w:cs="Arial"/>
          <w:bCs/>
          <w:szCs w:val="22"/>
        </w:rPr>
        <w:t xml:space="preserve">Counsel appearing for the applicants in this matter before me submitted that the interim order granted by Wright J was still of force and effect </w:t>
      </w:r>
      <w:r w:rsidR="00BA4892" w:rsidRPr="00E562CD">
        <w:rPr>
          <w:rFonts w:cs="Arial"/>
          <w:bCs/>
          <w:szCs w:val="22"/>
        </w:rPr>
        <w:t>but</w:t>
      </w:r>
      <w:r w:rsidR="0060254C" w:rsidRPr="00E562CD">
        <w:rPr>
          <w:rFonts w:cs="Arial"/>
          <w:bCs/>
          <w:szCs w:val="22"/>
        </w:rPr>
        <w:t xml:space="preserve"> could not present any argument</w:t>
      </w:r>
      <w:r w:rsidR="003F77A7" w:rsidRPr="00E562CD">
        <w:rPr>
          <w:rFonts w:cs="Arial"/>
          <w:bCs/>
          <w:szCs w:val="22"/>
        </w:rPr>
        <w:t xml:space="preserve"> in support of this</w:t>
      </w:r>
      <w:r w:rsidR="0060254C" w:rsidRPr="00E562CD">
        <w:rPr>
          <w:rFonts w:cs="Arial"/>
          <w:bCs/>
          <w:szCs w:val="22"/>
        </w:rPr>
        <w:t xml:space="preserve"> submission. </w:t>
      </w:r>
      <w:r w:rsidR="005761E9" w:rsidRPr="00E562CD">
        <w:rPr>
          <w:rFonts w:cs="Arial"/>
          <w:bCs/>
          <w:szCs w:val="22"/>
        </w:rPr>
        <w:t xml:space="preserve">The rule </w:t>
      </w:r>
      <w:r w:rsidR="005761E9" w:rsidRPr="00E562CD">
        <w:rPr>
          <w:rFonts w:cs="Arial"/>
          <w:bCs/>
          <w:i/>
          <w:iCs/>
          <w:szCs w:val="22"/>
        </w:rPr>
        <w:t>nisi</w:t>
      </w:r>
      <w:r w:rsidR="005761E9" w:rsidRPr="00E562CD">
        <w:rPr>
          <w:rFonts w:cs="Arial"/>
          <w:bCs/>
          <w:szCs w:val="22"/>
        </w:rPr>
        <w:t xml:space="preserve"> was not extended on 8 August 2022. </w:t>
      </w:r>
      <w:r w:rsidR="0060254C" w:rsidRPr="00E562CD">
        <w:rPr>
          <w:rFonts w:cs="Arial"/>
          <w:bCs/>
          <w:szCs w:val="22"/>
        </w:rPr>
        <w:t>It has clearly lapsed and th</w:t>
      </w:r>
      <w:r w:rsidR="005761E9" w:rsidRPr="00E562CD">
        <w:rPr>
          <w:rFonts w:cs="Arial"/>
          <w:bCs/>
          <w:szCs w:val="22"/>
        </w:rPr>
        <w:t>e</w:t>
      </w:r>
      <w:r w:rsidR="0060254C" w:rsidRPr="00E562CD">
        <w:rPr>
          <w:rFonts w:cs="Arial"/>
          <w:bCs/>
          <w:szCs w:val="22"/>
        </w:rPr>
        <w:t xml:space="preserve"> </w:t>
      </w:r>
      <w:r w:rsidR="005761E9" w:rsidRPr="00E562CD">
        <w:rPr>
          <w:rFonts w:cs="Arial"/>
          <w:bCs/>
          <w:szCs w:val="22"/>
        </w:rPr>
        <w:t>sub</w:t>
      </w:r>
      <w:r w:rsidR="0060254C" w:rsidRPr="00E562CD">
        <w:rPr>
          <w:rFonts w:cs="Arial"/>
          <w:bCs/>
          <w:szCs w:val="22"/>
        </w:rPr>
        <w:t xml:space="preserve">mission </w:t>
      </w:r>
      <w:r w:rsidR="005761E9" w:rsidRPr="00E562CD">
        <w:rPr>
          <w:rFonts w:cs="Arial"/>
          <w:bCs/>
          <w:szCs w:val="22"/>
        </w:rPr>
        <w:t xml:space="preserve">made by the applicant’s counsel </w:t>
      </w:r>
      <w:r w:rsidR="0060254C" w:rsidRPr="00E562CD">
        <w:rPr>
          <w:rFonts w:cs="Arial"/>
          <w:bCs/>
          <w:szCs w:val="22"/>
        </w:rPr>
        <w:t>is rejected.</w:t>
      </w:r>
    </w:p>
    <w:p w14:paraId="23CBCDF9" w14:textId="13335240" w:rsidR="00BD3854" w:rsidRPr="00E562CD" w:rsidRDefault="00E562CD" w:rsidP="00E562CD">
      <w:pPr>
        <w:keepNext/>
        <w:widowControl w:val="0"/>
        <w:tabs>
          <w:tab w:val="left" w:pos="567"/>
        </w:tabs>
        <w:spacing w:before="240" w:after="240" w:line="360" w:lineRule="auto"/>
        <w:jc w:val="both"/>
        <w:rPr>
          <w:rFonts w:cs="Arial"/>
          <w:bCs/>
          <w:szCs w:val="22"/>
        </w:rPr>
      </w:pPr>
      <w:r>
        <w:rPr>
          <w:rFonts w:cs="Arial"/>
          <w:bCs/>
          <w:szCs w:val="22"/>
        </w:rPr>
        <w:t>[8]</w:t>
      </w:r>
      <w:r>
        <w:rPr>
          <w:rFonts w:cs="Arial"/>
          <w:bCs/>
          <w:szCs w:val="22"/>
        </w:rPr>
        <w:tab/>
      </w:r>
      <w:r w:rsidR="00BD3854" w:rsidRPr="00E562CD">
        <w:rPr>
          <w:rFonts w:cs="Arial"/>
          <w:bCs/>
          <w:szCs w:val="22"/>
        </w:rPr>
        <w:t xml:space="preserve"> The </w:t>
      </w:r>
      <w:r w:rsidR="003F77A7" w:rsidRPr="00E562CD">
        <w:rPr>
          <w:rFonts w:cs="Arial"/>
          <w:bCs/>
          <w:szCs w:val="22"/>
        </w:rPr>
        <w:t xml:space="preserve">main </w:t>
      </w:r>
      <w:r w:rsidR="00BD3854" w:rsidRPr="00E562CD">
        <w:rPr>
          <w:rFonts w:cs="Arial"/>
          <w:bCs/>
          <w:szCs w:val="22"/>
        </w:rPr>
        <w:t>application</w:t>
      </w:r>
      <w:r w:rsidR="003F77A7" w:rsidRPr="00E562CD">
        <w:rPr>
          <w:rFonts w:cs="Arial"/>
          <w:bCs/>
          <w:szCs w:val="22"/>
        </w:rPr>
        <w:t xml:space="preserve"> then</w:t>
      </w:r>
      <w:r w:rsidR="00BD3854" w:rsidRPr="00E562CD">
        <w:rPr>
          <w:rFonts w:cs="Arial"/>
          <w:bCs/>
          <w:szCs w:val="22"/>
        </w:rPr>
        <w:t xml:space="preserve"> served before Manoim J on 6 September 2022. The learned judge made an order that the application be removed from the rol</w:t>
      </w:r>
      <w:r w:rsidR="00A056B2" w:rsidRPr="00E562CD">
        <w:rPr>
          <w:rFonts w:cs="Arial"/>
          <w:bCs/>
          <w:szCs w:val="22"/>
        </w:rPr>
        <w:t>l</w:t>
      </w:r>
      <w:r w:rsidR="00BD3854" w:rsidRPr="00E562CD">
        <w:rPr>
          <w:rFonts w:cs="Arial"/>
          <w:bCs/>
          <w:szCs w:val="22"/>
        </w:rPr>
        <w:t xml:space="preserve"> of the urgent court,</w:t>
      </w:r>
      <w:r w:rsidR="00BA4892" w:rsidRPr="00E562CD">
        <w:rPr>
          <w:rFonts w:cs="Arial"/>
          <w:bCs/>
          <w:szCs w:val="22"/>
        </w:rPr>
        <w:t xml:space="preserve"> and</w:t>
      </w:r>
      <w:r w:rsidR="00BD3854" w:rsidRPr="00E562CD">
        <w:rPr>
          <w:rFonts w:cs="Arial"/>
          <w:bCs/>
          <w:szCs w:val="22"/>
        </w:rPr>
        <w:t xml:space="preserve"> that the applicants if so advised deliver their replying affidavit on or before 15 </w:t>
      </w:r>
      <w:r w:rsidR="00BD3854" w:rsidRPr="00E562CD">
        <w:rPr>
          <w:rFonts w:cs="Arial"/>
          <w:bCs/>
          <w:szCs w:val="22"/>
        </w:rPr>
        <w:lastRenderedPageBreak/>
        <w:t xml:space="preserve">September 2022, </w:t>
      </w:r>
      <w:r w:rsidR="00A056B2" w:rsidRPr="00E562CD">
        <w:rPr>
          <w:rFonts w:cs="Arial"/>
          <w:bCs/>
          <w:szCs w:val="22"/>
        </w:rPr>
        <w:t xml:space="preserve">The applicant’s </w:t>
      </w:r>
      <w:r w:rsidR="00BD3854" w:rsidRPr="00E562CD">
        <w:rPr>
          <w:rFonts w:cs="Arial"/>
          <w:bCs/>
          <w:szCs w:val="22"/>
        </w:rPr>
        <w:t xml:space="preserve">heads of argument, practice notes and chronology had to be delivered by 23 September 2022 and </w:t>
      </w:r>
      <w:r w:rsidR="00A056B2" w:rsidRPr="00E562CD">
        <w:rPr>
          <w:rFonts w:cs="Arial"/>
          <w:bCs/>
          <w:szCs w:val="22"/>
        </w:rPr>
        <w:t xml:space="preserve">the respondent’s on </w:t>
      </w:r>
      <w:r w:rsidR="00BD3854" w:rsidRPr="00E562CD">
        <w:rPr>
          <w:rFonts w:cs="Arial"/>
          <w:bCs/>
          <w:szCs w:val="22"/>
        </w:rPr>
        <w:t>30 September 2022 respectively</w:t>
      </w:r>
      <w:r w:rsidR="00A056B2" w:rsidRPr="00E562CD">
        <w:rPr>
          <w:rFonts w:cs="Arial"/>
          <w:bCs/>
          <w:szCs w:val="22"/>
        </w:rPr>
        <w:t>. A</w:t>
      </w:r>
      <w:r w:rsidR="00BD3854" w:rsidRPr="00E562CD">
        <w:rPr>
          <w:rFonts w:cs="Arial"/>
          <w:bCs/>
          <w:szCs w:val="22"/>
        </w:rPr>
        <w:t xml:space="preserve"> joint practice note </w:t>
      </w:r>
      <w:r w:rsidR="00BA4892" w:rsidRPr="00E562CD">
        <w:rPr>
          <w:rFonts w:cs="Arial"/>
          <w:bCs/>
          <w:szCs w:val="22"/>
        </w:rPr>
        <w:t>had to</w:t>
      </w:r>
      <w:r w:rsidR="00BD3854" w:rsidRPr="00E562CD">
        <w:rPr>
          <w:rFonts w:cs="Arial"/>
          <w:bCs/>
          <w:szCs w:val="22"/>
        </w:rPr>
        <w:t xml:space="preserve"> be filed by no later than 7 October 2022.</w:t>
      </w:r>
      <w:r w:rsidR="00BD3854">
        <w:rPr>
          <w:rStyle w:val="FootnoteReference"/>
          <w:rFonts w:cs="Arial"/>
          <w:bCs/>
          <w:szCs w:val="22"/>
        </w:rPr>
        <w:footnoteReference w:id="7"/>
      </w:r>
      <w:r w:rsidR="00BD3854" w:rsidRPr="00E562CD">
        <w:rPr>
          <w:rFonts w:cs="Arial"/>
          <w:bCs/>
          <w:szCs w:val="22"/>
        </w:rPr>
        <w:t xml:space="preserve"> The costs were reserved.</w:t>
      </w:r>
    </w:p>
    <w:p w14:paraId="65599647" w14:textId="636CFDA5" w:rsidR="0060254C" w:rsidRPr="00E562CD" w:rsidRDefault="00E562CD" w:rsidP="00E562CD">
      <w:pPr>
        <w:widowControl w:val="0"/>
        <w:tabs>
          <w:tab w:val="left" w:pos="567"/>
        </w:tabs>
        <w:spacing w:before="240" w:after="240" w:line="360" w:lineRule="auto"/>
        <w:jc w:val="both"/>
        <w:rPr>
          <w:rFonts w:cs="Arial"/>
          <w:bCs/>
          <w:szCs w:val="22"/>
        </w:rPr>
      </w:pPr>
      <w:r w:rsidRPr="00010C88">
        <w:rPr>
          <w:rFonts w:cs="Arial"/>
          <w:bCs/>
          <w:szCs w:val="22"/>
        </w:rPr>
        <w:t>[9]</w:t>
      </w:r>
      <w:r w:rsidRPr="00010C88">
        <w:rPr>
          <w:rFonts w:cs="Arial"/>
          <w:bCs/>
          <w:szCs w:val="22"/>
        </w:rPr>
        <w:tab/>
      </w:r>
      <w:r w:rsidR="0060254C" w:rsidRPr="00E562CD">
        <w:rPr>
          <w:rFonts w:cs="Arial"/>
          <w:bCs/>
          <w:szCs w:val="22"/>
        </w:rPr>
        <w:t xml:space="preserve">On 20 September 2022 a </w:t>
      </w:r>
      <w:r w:rsidR="00BA4892" w:rsidRPr="00E562CD">
        <w:rPr>
          <w:rFonts w:cs="Arial"/>
          <w:bCs/>
          <w:szCs w:val="22"/>
        </w:rPr>
        <w:t xml:space="preserve">different </w:t>
      </w:r>
      <w:r w:rsidR="0060254C" w:rsidRPr="00E562CD">
        <w:rPr>
          <w:rFonts w:cs="Arial"/>
          <w:bCs/>
          <w:szCs w:val="22"/>
        </w:rPr>
        <w:t>matter between the Ekurhuleni Municipality as respondent and one thousand applicants from the Esselen Park Community extension 1 (Tembisa) and the Mashudu Mathimba Section under case number 2022/24043</w:t>
      </w:r>
      <w:r w:rsidR="00010C88" w:rsidRPr="00E562CD">
        <w:rPr>
          <w:rFonts w:cs="Arial"/>
          <w:bCs/>
          <w:szCs w:val="22"/>
        </w:rPr>
        <w:t xml:space="preserve"> came before Vally J. The learne</w:t>
      </w:r>
      <w:r w:rsidR="00BA4892" w:rsidRPr="00E562CD">
        <w:rPr>
          <w:rFonts w:cs="Arial"/>
          <w:bCs/>
          <w:szCs w:val="22"/>
        </w:rPr>
        <w:t xml:space="preserve">d </w:t>
      </w:r>
      <w:r w:rsidR="00010C88" w:rsidRPr="00E562CD">
        <w:rPr>
          <w:rFonts w:cs="Arial"/>
          <w:bCs/>
          <w:szCs w:val="22"/>
        </w:rPr>
        <w:t>justice raised concerns relating to the conduct of the applicant’s counsel</w:t>
      </w:r>
      <w:r w:rsidR="005761E9" w:rsidRPr="00E562CD">
        <w:rPr>
          <w:rFonts w:cs="Arial"/>
          <w:bCs/>
          <w:szCs w:val="22"/>
        </w:rPr>
        <w:t>,</w:t>
      </w:r>
      <w:r w:rsidR="00010C88" w:rsidRPr="00E562CD">
        <w:rPr>
          <w:rFonts w:cs="Arial"/>
          <w:bCs/>
          <w:szCs w:val="22"/>
        </w:rPr>
        <w:t xml:space="preserve"> Mr Mkhize</w:t>
      </w:r>
      <w:r w:rsidR="005761E9" w:rsidRPr="00E562CD">
        <w:rPr>
          <w:rFonts w:cs="Arial"/>
          <w:bCs/>
          <w:szCs w:val="22"/>
        </w:rPr>
        <w:t>,</w:t>
      </w:r>
      <w:r w:rsidR="00010C88" w:rsidRPr="00E562CD">
        <w:rPr>
          <w:rFonts w:cs="Arial"/>
          <w:bCs/>
          <w:szCs w:val="22"/>
        </w:rPr>
        <w:t xml:space="preserve"> and a Senior member of the Bar offered to assist the </w:t>
      </w:r>
      <w:r w:rsidR="005761E9" w:rsidRPr="00E562CD">
        <w:rPr>
          <w:rFonts w:cs="Arial"/>
          <w:bCs/>
          <w:szCs w:val="22"/>
        </w:rPr>
        <w:t>counsel</w:t>
      </w:r>
      <w:r w:rsidR="00010C88" w:rsidRPr="00E562CD">
        <w:rPr>
          <w:rFonts w:cs="Arial"/>
          <w:bCs/>
          <w:szCs w:val="22"/>
        </w:rPr>
        <w:t>. Mr Mkhize then proposed an order after consultation with his clients. In terms of the order</w:t>
      </w:r>
      <w:r w:rsidR="00010C88">
        <w:rPr>
          <w:rStyle w:val="FootnoteReference"/>
          <w:rFonts w:cs="Arial"/>
          <w:bCs/>
          <w:szCs w:val="22"/>
        </w:rPr>
        <w:footnoteReference w:id="8"/>
      </w:r>
      <w:r w:rsidR="00010C88" w:rsidRPr="00E562CD">
        <w:rPr>
          <w:rFonts w:cs="Arial"/>
          <w:bCs/>
          <w:szCs w:val="22"/>
        </w:rPr>
        <w:t xml:space="preserve"> the application was withdrawn and Mr Mkhize was </w:t>
      </w:r>
      <w:r w:rsidR="00010C88" w:rsidRPr="00E562CD">
        <w:rPr>
          <w:rFonts w:cs="Arial"/>
          <w:bCs/>
          <w:i/>
          <w:iCs/>
          <w:szCs w:val="22"/>
        </w:rPr>
        <w:t>“barred and undertakes not to act for or on behalf of the applicants in the following matters 55475/2021; 5396/2022; 554/2022; 22417/2022 and 22418/2022”.</w:t>
      </w:r>
    </w:p>
    <w:p w14:paraId="2C413AA3" w14:textId="4226A3F0" w:rsidR="007D2EA8" w:rsidRPr="00E562CD" w:rsidRDefault="00E562CD" w:rsidP="00E562CD">
      <w:pPr>
        <w:widowControl w:val="0"/>
        <w:tabs>
          <w:tab w:val="left" w:pos="567"/>
        </w:tabs>
        <w:spacing w:before="240" w:after="240" w:line="360" w:lineRule="auto"/>
        <w:jc w:val="both"/>
        <w:rPr>
          <w:rFonts w:cs="Arial"/>
          <w:bCs/>
          <w:szCs w:val="22"/>
        </w:rPr>
      </w:pPr>
      <w:r>
        <w:rPr>
          <w:rFonts w:cs="Arial"/>
          <w:bCs/>
          <w:szCs w:val="22"/>
        </w:rPr>
        <w:t>[10]</w:t>
      </w:r>
      <w:r>
        <w:rPr>
          <w:rFonts w:cs="Arial"/>
          <w:bCs/>
          <w:szCs w:val="22"/>
        </w:rPr>
        <w:tab/>
      </w:r>
      <w:r w:rsidR="00810A83" w:rsidRPr="00E562CD">
        <w:rPr>
          <w:rFonts w:cs="Arial"/>
          <w:bCs/>
          <w:szCs w:val="22"/>
        </w:rPr>
        <w:t>This then brings me to the present application</w:t>
      </w:r>
      <w:r w:rsidR="005761E9" w:rsidRPr="00E562CD">
        <w:rPr>
          <w:rFonts w:cs="Arial"/>
          <w:bCs/>
          <w:szCs w:val="22"/>
        </w:rPr>
        <w:t xml:space="preserve"> under case number 554/2022</w:t>
      </w:r>
      <w:r w:rsidR="00810A83" w:rsidRPr="00E562CD">
        <w:rPr>
          <w:rFonts w:cs="Arial"/>
          <w:bCs/>
          <w:szCs w:val="22"/>
        </w:rPr>
        <w:t xml:space="preserve">. </w:t>
      </w:r>
      <w:r w:rsidR="00010C88" w:rsidRPr="00E562CD">
        <w:rPr>
          <w:rFonts w:cs="Arial"/>
          <w:bCs/>
          <w:szCs w:val="22"/>
        </w:rPr>
        <w:t xml:space="preserve">In the present application Mr Mkhize again acts on behalf of the applicants in case number 554/2022 despite his undertaking </w:t>
      </w:r>
      <w:r w:rsidR="00810A83" w:rsidRPr="00E562CD">
        <w:rPr>
          <w:rFonts w:cs="Arial"/>
          <w:bCs/>
          <w:szCs w:val="22"/>
        </w:rPr>
        <w:t xml:space="preserve">given </w:t>
      </w:r>
      <w:r w:rsidR="00010C88" w:rsidRPr="00E562CD">
        <w:rPr>
          <w:rFonts w:cs="Arial"/>
          <w:bCs/>
          <w:szCs w:val="22"/>
        </w:rPr>
        <w:t xml:space="preserve">in case number 24043/2022. </w:t>
      </w:r>
      <w:r w:rsidR="00810A83" w:rsidRPr="00E562CD">
        <w:rPr>
          <w:rFonts w:cs="Arial"/>
          <w:bCs/>
          <w:szCs w:val="22"/>
        </w:rPr>
        <w:t xml:space="preserve">He submitted </w:t>
      </w:r>
      <w:r w:rsidR="003F77A7" w:rsidRPr="00E562CD">
        <w:rPr>
          <w:rFonts w:cs="Arial"/>
          <w:bCs/>
          <w:szCs w:val="22"/>
        </w:rPr>
        <w:t xml:space="preserve">however </w:t>
      </w:r>
      <w:r w:rsidR="005761E9" w:rsidRPr="00E562CD">
        <w:rPr>
          <w:rFonts w:cs="Arial"/>
          <w:bCs/>
          <w:szCs w:val="22"/>
        </w:rPr>
        <w:t>that he is not precluded from acting as the present applicants are not among the 279 applicants in the matter under case number 554/2022 or the applicants under case number 24043/2022.</w:t>
      </w:r>
      <w:r w:rsidR="00A056B2" w:rsidRPr="00E562CD">
        <w:rPr>
          <w:rFonts w:cs="Arial"/>
          <w:bCs/>
          <w:szCs w:val="22"/>
        </w:rPr>
        <w:t xml:space="preserve"> </w:t>
      </w:r>
      <w:r w:rsidR="00AA1F8B" w:rsidRPr="00E562CD">
        <w:rPr>
          <w:rFonts w:cs="Arial"/>
          <w:bCs/>
          <w:szCs w:val="22"/>
        </w:rPr>
        <w:t xml:space="preserve">This then raises </w:t>
      </w:r>
      <w:r w:rsidR="003F77A7" w:rsidRPr="00E562CD">
        <w:rPr>
          <w:rFonts w:cs="Arial"/>
          <w:bCs/>
          <w:szCs w:val="22"/>
        </w:rPr>
        <w:t>two</w:t>
      </w:r>
      <w:r w:rsidR="00AA1F8B" w:rsidRPr="00E562CD">
        <w:rPr>
          <w:rFonts w:cs="Arial"/>
          <w:bCs/>
          <w:szCs w:val="22"/>
        </w:rPr>
        <w:t xml:space="preserve"> question</w:t>
      </w:r>
      <w:r w:rsidR="003F77A7" w:rsidRPr="00E562CD">
        <w:rPr>
          <w:rFonts w:cs="Arial"/>
          <w:bCs/>
          <w:szCs w:val="22"/>
        </w:rPr>
        <w:t xml:space="preserve">s, firstly </w:t>
      </w:r>
      <w:r w:rsidR="00AA1F8B" w:rsidRPr="00E562CD">
        <w:rPr>
          <w:rFonts w:cs="Arial"/>
          <w:bCs/>
          <w:szCs w:val="22"/>
        </w:rPr>
        <w:t xml:space="preserve">why </w:t>
      </w:r>
      <w:r w:rsidR="003F77A7" w:rsidRPr="00E562CD">
        <w:rPr>
          <w:rFonts w:cs="Arial"/>
          <w:bCs/>
          <w:szCs w:val="22"/>
        </w:rPr>
        <w:t xml:space="preserve">the parties can  not be identified by reading the application and also why </w:t>
      </w:r>
      <w:r w:rsidR="00AA1F8B" w:rsidRPr="00E562CD">
        <w:rPr>
          <w:rFonts w:cs="Arial"/>
          <w:bCs/>
          <w:szCs w:val="22"/>
        </w:rPr>
        <w:t>this application was brought under an existing case number from 2022.</w:t>
      </w:r>
    </w:p>
    <w:p w14:paraId="29CDC713" w14:textId="41EEC09A" w:rsidR="00CC49BD" w:rsidRPr="0051104A" w:rsidRDefault="005761E9" w:rsidP="0051104A">
      <w:pPr>
        <w:widowControl w:val="0"/>
        <w:spacing w:before="240" w:after="240" w:line="360" w:lineRule="auto"/>
        <w:jc w:val="both"/>
        <w:rPr>
          <w:rFonts w:cs="Arial"/>
          <w:bCs/>
          <w:szCs w:val="22"/>
        </w:rPr>
      </w:pPr>
      <w:r w:rsidRPr="0051104A">
        <w:rPr>
          <w:rFonts w:cs="Arial"/>
          <w:bCs/>
          <w:szCs w:val="22"/>
        </w:rPr>
        <w:t>It is not clear from the papers what the commonality, if any, is between the 279 applicants in the application launched in 2022 and the present applicants</w:t>
      </w:r>
      <w:r w:rsidR="0055643B" w:rsidRPr="0051104A">
        <w:rPr>
          <w:rFonts w:cs="Arial"/>
          <w:bCs/>
          <w:szCs w:val="22"/>
        </w:rPr>
        <w:t xml:space="preserve">. Six applicants are listed in the notice of motion but reference is also made to </w:t>
      </w:r>
      <w:r w:rsidR="0055643B" w:rsidRPr="0051104A">
        <w:rPr>
          <w:rFonts w:cs="Arial"/>
          <w:bCs/>
          <w:i/>
          <w:iCs/>
          <w:szCs w:val="22"/>
        </w:rPr>
        <w:t xml:space="preserve">“other interested parties” </w:t>
      </w:r>
      <w:r w:rsidR="0055643B" w:rsidRPr="0051104A">
        <w:rPr>
          <w:rFonts w:cs="Arial"/>
          <w:bCs/>
          <w:szCs w:val="22"/>
        </w:rPr>
        <w:t>who are not named but who are also alleged to be applicants. In paragraph 2 of the founding affidavit reference is made to a list of applicants in an annexure but the annexure is not annexed to the founding affidavit nor is it annexed to the supplementary</w:t>
      </w:r>
      <w:r w:rsidR="0055643B">
        <w:rPr>
          <w:rStyle w:val="FootnoteReference"/>
          <w:rFonts w:cs="Arial"/>
          <w:bCs/>
          <w:szCs w:val="22"/>
        </w:rPr>
        <w:footnoteReference w:id="9"/>
      </w:r>
      <w:r w:rsidR="0055643B" w:rsidRPr="0051104A">
        <w:rPr>
          <w:rFonts w:cs="Arial"/>
          <w:bCs/>
          <w:szCs w:val="22"/>
        </w:rPr>
        <w:t xml:space="preserve"> founding affidavit deposed to subsequently and that was annexed to </w:t>
      </w:r>
      <w:r w:rsidR="00AA1F8B" w:rsidRPr="0051104A">
        <w:rPr>
          <w:rFonts w:cs="Arial"/>
          <w:bCs/>
          <w:szCs w:val="22"/>
        </w:rPr>
        <w:t>a</w:t>
      </w:r>
      <w:r w:rsidR="0055643B" w:rsidRPr="0051104A">
        <w:rPr>
          <w:rFonts w:cs="Arial"/>
          <w:bCs/>
          <w:szCs w:val="22"/>
        </w:rPr>
        <w:t xml:space="preserve"> revised notice of motion of 25 April 2024. The applicants have however uploaded powers of attorney</w:t>
      </w:r>
      <w:r w:rsidR="0055643B">
        <w:rPr>
          <w:rStyle w:val="FootnoteReference"/>
          <w:rFonts w:cs="Arial"/>
          <w:bCs/>
          <w:szCs w:val="22"/>
        </w:rPr>
        <w:footnoteReference w:id="10"/>
      </w:r>
      <w:r w:rsidR="0055643B" w:rsidRPr="0051104A">
        <w:rPr>
          <w:rFonts w:cs="Arial"/>
          <w:bCs/>
          <w:szCs w:val="22"/>
        </w:rPr>
        <w:t xml:space="preserve"> </w:t>
      </w:r>
      <w:r w:rsidR="00AA1F8B" w:rsidRPr="0051104A">
        <w:rPr>
          <w:rFonts w:cs="Arial"/>
          <w:bCs/>
          <w:szCs w:val="22"/>
        </w:rPr>
        <w:t xml:space="preserve">and other documents </w:t>
      </w:r>
      <w:r w:rsidR="0055643B" w:rsidRPr="0051104A">
        <w:rPr>
          <w:rFonts w:cs="Arial"/>
          <w:bCs/>
          <w:szCs w:val="22"/>
        </w:rPr>
        <w:t xml:space="preserve">that they say reflect the details of the applicants.  Certain details also appear in confirmatory affidavits annexed to the supplementary affidavit albeit that the pages do not all follow sequentially. The confirmatory affidavits were also not all deposed to before </w:t>
      </w:r>
      <w:r w:rsidR="0055643B" w:rsidRPr="0051104A">
        <w:rPr>
          <w:rFonts w:cs="Arial"/>
          <w:bCs/>
          <w:szCs w:val="22"/>
        </w:rPr>
        <w:lastRenderedPageBreak/>
        <w:t>a commissioner of oaths.</w:t>
      </w:r>
    </w:p>
    <w:p w14:paraId="744FE7B5" w14:textId="1058616A" w:rsidR="0051104A" w:rsidRPr="00E562CD" w:rsidRDefault="00E562CD" w:rsidP="00E562CD">
      <w:pPr>
        <w:widowControl w:val="0"/>
        <w:tabs>
          <w:tab w:val="left" w:pos="567"/>
        </w:tabs>
        <w:spacing w:before="240" w:after="240" w:line="360" w:lineRule="auto"/>
        <w:jc w:val="both"/>
        <w:rPr>
          <w:rFonts w:cs="Arial"/>
          <w:bCs/>
          <w:szCs w:val="22"/>
        </w:rPr>
      </w:pPr>
      <w:r>
        <w:rPr>
          <w:rFonts w:cs="Arial"/>
          <w:bCs/>
          <w:szCs w:val="22"/>
        </w:rPr>
        <w:t>[11]</w:t>
      </w:r>
      <w:r>
        <w:rPr>
          <w:rFonts w:cs="Arial"/>
          <w:bCs/>
          <w:szCs w:val="22"/>
        </w:rPr>
        <w:tab/>
      </w:r>
      <w:r w:rsidR="007D2EA8" w:rsidRPr="00E562CD">
        <w:rPr>
          <w:rFonts w:cs="Arial"/>
          <w:bCs/>
          <w:szCs w:val="22"/>
        </w:rPr>
        <w:t xml:space="preserve"> It is therefore not possible to identify all the applicants</w:t>
      </w:r>
      <w:r w:rsidR="00AA1F8B" w:rsidRPr="00E562CD">
        <w:rPr>
          <w:rFonts w:cs="Arial"/>
          <w:bCs/>
          <w:szCs w:val="22"/>
        </w:rPr>
        <w:t xml:space="preserve"> in the 2022 or the 2024 applications under the same case number with any degree of certainty. </w:t>
      </w:r>
      <w:r w:rsidR="007D2EA8" w:rsidRPr="00E562CD">
        <w:rPr>
          <w:rFonts w:cs="Arial"/>
          <w:bCs/>
          <w:szCs w:val="22"/>
        </w:rPr>
        <w:t>The applicants’ deponent</w:t>
      </w:r>
      <w:r w:rsidR="00AA1F8B" w:rsidRPr="00E562CD">
        <w:rPr>
          <w:rFonts w:cs="Arial"/>
          <w:bCs/>
          <w:szCs w:val="22"/>
        </w:rPr>
        <w:t xml:space="preserve"> in the founding and supplementary affidavit in the April 2024 </w:t>
      </w:r>
      <w:r w:rsidR="0051104A" w:rsidRPr="00E562CD">
        <w:rPr>
          <w:rFonts w:cs="Arial"/>
          <w:bCs/>
          <w:szCs w:val="22"/>
        </w:rPr>
        <w:t xml:space="preserve">application </w:t>
      </w:r>
      <w:r w:rsidR="007D2EA8" w:rsidRPr="00E562CD">
        <w:rPr>
          <w:rFonts w:cs="Arial"/>
          <w:bCs/>
          <w:szCs w:val="22"/>
        </w:rPr>
        <w:t xml:space="preserve">refers to the applicants as </w:t>
      </w:r>
      <w:r w:rsidR="007D2EA8" w:rsidRPr="00E562CD">
        <w:rPr>
          <w:rFonts w:cs="Arial"/>
          <w:bCs/>
          <w:i/>
          <w:iCs/>
          <w:szCs w:val="22"/>
        </w:rPr>
        <w:t xml:space="preserve">“the aggrieved </w:t>
      </w:r>
      <w:r w:rsidR="00034741" w:rsidRPr="00E562CD">
        <w:rPr>
          <w:rFonts w:cs="Arial"/>
          <w:bCs/>
          <w:i/>
          <w:iCs/>
          <w:szCs w:val="22"/>
        </w:rPr>
        <w:t xml:space="preserve">group </w:t>
      </w:r>
      <w:r w:rsidR="007D2EA8" w:rsidRPr="00E562CD">
        <w:rPr>
          <w:rFonts w:cs="Arial"/>
          <w:bCs/>
          <w:i/>
          <w:iCs/>
          <w:szCs w:val="22"/>
        </w:rPr>
        <w:t>members of Morol</w:t>
      </w:r>
      <w:r w:rsidR="008C091E" w:rsidRPr="00E562CD">
        <w:rPr>
          <w:rFonts w:cs="Arial"/>
          <w:bCs/>
          <w:i/>
          <w:iCs/>
          <w:szCs w:val="22"/>
        </w:rPr>
        <w:t>e</w:t>
      </w:r>
      <w:r w:rsidR="007D2EA8" w:rsidRPr="00E562CD">
        <w:rPr>
          <w:rFonts w:cs="Arial"/>
          <w:bCs/>
          <w:i/>
          <w:iCs/>
          <w:szCs w:val="22"/>
        </w:rPr>
        <w:t xml:space="preserve">ng Section, Tembisa” </w:t>
      </w:r>
      <w:r w:rsidR="007D2EA8" w:rsidRPr="00E562CD">
        <w:rPr>
          <w:rFonts w:cs="Arial"/>
          <w:bCs/>
          <w:szCs w:val="22"/>
        </w:rPr>
        <w:t xml:space="preserve">and she refers to herself as the chairperson of this organisation. </w:t>
      </w:r>
    </w:p>
    <w:p w14:paraId="04777845" w14:textId="0D3CE5FE" w:rsidR="007D2EA8" w:rsidRPr="0051104A" w:rsidRDefault="00AA1F8B" w:rsidP="0051104A">
      <w:pPr>
        <w:widowControl w:val="0"/>
        <w:spacing w:before="240" w:after="240" w:line="360" w:lineRule="auto"/>
        <w:jc w:val="both"/>
        <w:rPr>
          <w:rFonts w:cs="Arial"/>
          <w:bCs/>
          <w:szCs w:val="22"/>
        </w:rPr>
      </w:pPr>
      <w:r w:rsidRPr="0051104A">
        <w:rPr>
          <w:rFonts w:cs="Arial"/>
          <w:bCs/>
          <w:szCs w:val="22"/>
        </w:rPr>
        <w:t>The respondents deny her status.</w:t>
      </w:r>
      <w:r w:rsidR="00681CF6" w:rsidRPr="0051104A">
        <w:rPr>
          <w:rFonts w:cs="Arial"/>
          <w:bCs/>
          <w:szCs w:val="22"/>
        </w:rPr>
        <w:t xml:space="preserve"> In paragraph 16 of the answering affidavit the first respondent states that the “applicant community” did not give instructions to the present applicants and their legal representatives to launch these proceedings. The residents of Moroleng Section are in fact (according to the respondents) represented by the respondent’s attorneys.</w:t>
      </w:r>
    </w:p>
    <w:p w14:paraId="2C42BFB2" w14:textId="31B63774" w:rsidR="00AA1F8B" w:rsidRPr="00E562CD" w:rsidRDefault="00E562CD" w:rsidP="00E562CD">
      <w:pPr>
        <w:widowControl w:val="0"/>
        <w:tabs>
          <w:tab w:val="left" w:pos="567"/>
        </w:tabs>
        <w:spacing w:before="240" w:after="240" w:line="360" w:lineRule="auto"/>
        <w:jc w:val="both"/>
        <w:rPr>
          <w:rFonts w:cs="Arial"/>
          <w:bCs/>
          <w:szCs w:val="22"/>
        </w:rPr>
      </w:pPr>
      <w:r>
        <w:rPr>
          <w:rFonts w:cs="Arial"/>
          <w:bCs/>
          <w:szCs w:val="22"/>
        </w:rPr>
        <w:t>[12]</w:t>
      </w:r>
      <w:r>
        <w:rPr>
          <w:rFonts w:cs="Arial"/>
          <w:bCs/>
          <w:szCs w:val="22"/>
        </w:rPr>
        <w:tab/>
      </w:r>
      <w:r w:rsidR="00CE02AA" w:rsidRPr="00E562CD">
        <w:rPr>
          <w:rFonts w:cs="Arial"/>
          <w:bCs/>
          <w:szCs w:val="22"/>
        </w:rPr>
        <w:t xml:space="preserve">The Municipality is the only respondent in the application as issued in 2022. Six respondents are now cited but no mention is made of the Municipality. </w:t>
      </w:r>
      <w:r w:rsidR="0051104A" w:rsidRPr="00E562CD">
        <w:rPr>
          <w:rFonts w:cs="Arial"/>
          <w:bCs/>
          <w:szCs w:val="22"/>
        </w:rPr>
        <w:t>The application was also not served on the Municipality even though it is a party to the main application.</w:t>
      </w:r>
    </w:p>
    <w:p w14:paraId="4876FE26" w14:textId="19078025" w:rsidR="005761E9" w:rsidRPr="00E562CD" w:rsidRDefault="00E562CD" w:rsidP="00E562CD">
      <w:pPr>
        <w:widowControl w:val="0"/>
        <w:tabs>
          <w:tab w:val="left" w:pos="567"/>
        </w:tabs>
        <w:spacing w:before="240" w:after="240" w:line="360" w:lineRule="auto"/>
        <w:jc w:val="both"/>
        <w:rPr>
          <w:rFonts w:cs="Arial"/>
          <w:bCs/>
          <w:szCs w:val="22"/>
        </w:rPr>
      </w:pPr>
      <w:r w:rsidRPr="00810A83">
        <w:rPr>
          <w:rFonts w:cs="Arial"/>
          <w:bCs/>
          <w:szCs w:val="22"/>
        </w:rPr>
        <w:t>[13]</w:t>
      </w:r>
      <w:r w:rsidRPr="00810A83">
        <w:rPr>
          <w:rFonts w:cs="Arial"/>
          <w:bCs/>
          <w:szCs w:val="22"/>
        </w:rPr>
        <w:tab/>
      </w:r>
      <w:r w:rsidR="00AA1F8B" w:rsidRPr="00E562CD">
        <w:rPr>
          <w:rFonts w:cs="Arial"/>
          <w:bCs/>
          <w:szCs w:val="22"/>
        </w:rPr>
        <w:t>To summarise, t</w:t>
      </w:r>
      <w:r w:rsidR="00CE02AA" w:rsidRPr="00E562CD">
        <w:rPr>
          <w:rFonts w:cs="Arial"/>
          <w:bCs/>
          <w:szCs w:val="22"/>
        </w:rPr>
        <w:t>he parties to the present application as launched under case number 554/2022 in 2024 are not the parties cited in 2022. It is not clear why the application was brought under the case number of 2022 as the present application is not an interlocutory application or one pending the final outcome of the application between the 279 applicants and the Municipality. There is also no application for intervention by any new applicants nor an application by the 279 applicants  to join new respondents. For this reason among others the application is fatally defective and constitutes an abuse.</w:t>
      </w:r>
    </w:p>
    <w:p w14:paraId="1B992B90" w14:textId="227AF4EF" w:rsidR="00CE02AA" w:rsidRPr="00E562CD" w:rsidRDefault="00E562CD" w:rsidP="00E562CD">
      <w:pPr>
        <w:widowControl w:val="0"/>
        <w:tabs>
          <w:tab w:val="left" w:pos="567"/>
        </w:tabs>
        <w:spacing w:before="240" w:after="240" w:line="360" w:lineRule="auto"/>
        <w:jc w:val="both"/>
        <w:rPr>
          <w:rFonts w:cs="Arial"/>
          <w:bCs/>
          <w:szCs w:val="22"/>
        </w:rPr>
      </w:pPr>
      <w:r>
        <w:rPr>
          <w:rFonts w:cs="Arial"/>
          <w:bCs/>
          <w:szCs w:val="22"/>
        </w:rPr>
        <w:t>[14]</w:t>
      </w:r>
      <w:r>
        <w:rPr>
          <w:rFonts w:cs="Arial"/>
          <w:bCs/>
          <w:szCs w:val="22"/>
        </w:rPr>
        <w:tab/>
      </w:r>
      <w:r w:rsidR="00810A83" w:rsidRPr="00E562CD">
        <w:rPr>
          <w:rFonts w:cs="Arial"/>
          <w:bCs/>
          <w:szCs w:val="22"/>
        </w:rPr>
        <w:t>This application</w:t>
      </w:r>
      <w:r w:rsidR="00AA1F8B" w:rsidRPr="00E562CD">
        <w:rPr>
          <w:rFonts w:cs="Arial"/>
          <w:bCs/>
          <w:szCs w:val="22"/>
        </w:rPr>
        <w:t xml:space="preserve"> of 2024</w:t>
      </w:r>
      <w:r w:rsidR="00810A83" w:rsidRPr="00E562CD">
        <w:rPr>
          <w:rFonts w:cs="Arial"/>
          <w:bCs/>
          <w:szCs w:val="22"/>
        </w:rPr>
        <w:t xml:space="preserve"> was initially brought by way of a notice of motion dated 16 April 2024 (with a set down date of 23 April 2024) </w:t>
      </w:r>
      <w:r w:rsidR="00CE02AA" w:rsidRPr="00E562CD">
        <w:rPr>
          <w:rFonts w:cs="Arial"/>
          <w:bCs/>
          <w:szCs w:val="22"/>
        </w:rPr>
        <w:t xml:space="preserve"> with a founding affidavit </w:t>
      </w:r>
      <w:r w:rsidR="00810A83" w:rsidRPr="00E562CD">
        <w:rPr>
          <w:rFonts w:cs="Arial"/>
          <w:bCs/>
          <w:szCs w:val="22"/>
        </w:rPr>
        <w:t xml:space="preserve">and an amended notice of motion was signed on 25 April 2024 with a set down date of 30 April 2024, </w:t>
      </w:r>
      <w:r w:rsidR="00CE02AA" w:rsidRPr="00E562CD">
        <w:rPr>
          <w:rFonts w:cs="Arial"/>
          <w:bCs/>
          <w:szCs w:val="22"/>
        </w:rPr>
        <w:t xml:space="preserve"> together with a supplementary  affidavit.  </w:t>
      </w:r>
    </w:p>
    <w:p w14:paraId="13D90472" w14:textId="09F2EFF5" w:rsidR="004D25C1" w:rsidRPr="00E562CD" w:rsidRDefault="00E562CD" w:rsidP="00E562CD">
      <w:pPr>
        <w:widowControl w:val="0"/>
        <w:tabs>
          <w:tab w:val="left" w:pos="567"/>
        </w:tabs>
        <w:spacing w:before="240" w:after="240" w:line="360" w:lineRule="auto"/>
        <w:jc w:val="both"/>
        <w:rPr>
          <w:rFonts w:cs="Arial"/>
          <w:bCs/>
          <w:szCs w:val="22"/>
        </w:rPr>
      </w:pPr>
      <w:r>
        <w:rPr>
          <w:rFonts w:cs="Arial"/>
          <w:bCs/>
          <w:szCs w:val="22"/>
        </w:rPr>
        <w:t>[15]</w:t>
      </w:r>
      <w:r>
        <w:rPr>
          <w:rFonts w:cs="Arial"/>
          <w:bCs/>
          <w:szCs w:val="22"/>
        </w:rPr>
        <w:tab/>
      </w:r>
      <w:r w:rsidR="00810A83" w:rsidRPr="00E562CD">
        <w:rPr>
          <w:rFonts w:cs="Arial"/>
          <w:bCs/>
          <w:szCs w:val="22"/>
        </w:rPr>
        <w:t>T</w:t>
      </w:r>
      <w:r w:rsidR="00D14173" w:rsidRPr="00E562CD">
        <w:rPr>
          <w:rFonts w:cs="Arial"/>
          <w:bCs/>
          <w:szCs w:val="22"/>
        </w:rPr>
        <w:t>he applicants seek an order that they be</w:t>
      </w:r>
      <w:r w:rsidR="00CE02AA" w:rsidRPr="00E562CD">
        <w:rPr>
          <w:rFonts w:cs="Arial"/>
          <w:bCs/>
          <w:szCs w:val="22"/>
        </w:rPr>
        <w:t xml:space="preserve"> </w:t>
      </w:r>
      <w:r w:rsidR="00CE02AA" w:rsidRPr="00E562CD">
        <w:rPr>
          <w:rFonts w:cs="Arial"/>
          <w:bCs/>
          <w:i/>
          <w:iCs/>
          <w:szCs w:val="22"/>
        </w:rPr>
        <w:t>“forthwith granted an order to gain immediate occupation of their set properties/or land as described MOROLONG SECTION</w:t>
      </w:r>
      <w:r w:rsidR="0065242A" w:rsidRPr="00E562CD">
        <w:rPr>
          <w:rFonts w:cs="Arial"/>
          <w:bCs/>
          <w:i/>
          <w:iCs/>
          <w:szCs w:val="22"/>
        </w:rPr>
        <w:t>,</w:t>
      </w:r>
      <w:r w:rsidR="00CE02AA" w:rsidRPr="00E562CD">
        <w:rPr>
          <w:rFonts w:cs="Arial"/>
          <w:bCs/>
          <w:i/>
          <w:iCs/>
          <w:szCs w:val="22"/>
        </w:rPr>
        <w:t xml:space="preserve"> Tembisa”</w:t>
      </w:r>
      <w:r w:rsidR="00CE02AA" w:rsidRPr="00E562CD">
        <w:rPr>
          <w:rFonts w:cs="Arial"/>
          <w:bCs/>
          <w:szCs w:val="22"/>
        </w:rPr>
        <w:t xml:space="preserve"> and that they be</w:t>
      </w:r>
      <w:r w:rsidR="00D14173" w:rsidRPr="00E562CD">
        <w:rPr>
          <w:rFonts w:cs="Arial"/>
          <w:bCs/>
          <w:szCs w:val="22"/>
        </w:rPr>
        <w:t xml:space="preserve"> </w:t>
      </w:r>
      <w:r w:rsidR="00D14173" w:rsidRPr="00E562CD">
        <w:rPr>
          <w:rFonts w:cs="Arial"/>
          <w:bCs/>
          <w:i/>
          <w:iCs/>
          <w:szCs w:val="22"/>
        </w:rPr>
        <w:t>“</w:t>
      </w:r>
      <w:r w:rsidR="00E32985" w:rsidRPr="00E562CD">
        <w:rPr>
          <w:rFonts w:cs="Arial"/>
          <w:bCs/>
          <w:i/>
          <w:iCs/>
          <w:szCs w:val="22"/>
        </w:rPr>
        <w:t>spoliated back into their properties with immediate effect”</w:t>
      </w:r>
      <w:r w:rsidR="00E32985" w:rsidRPr="00E562CD">
        <w:rPr>
          <w:rFonts w:cs="Arial"/>
          <w:bCs/>
          <w:szCs w:val="22"/>
        </w:rPr>
        <w:t xml:space="preserve"> and that the respondents be interdicted from evicting the applicants</w:t>
      </w:r>
      <w:r w:rsidR="003847A7" w:rsidRPr="00E562CD">
        <w:rPr>
          <w:rFonts w:cs="Arial"/>
          <w:bCs/>
          <w:szCs w:val="22"/>
        </w:rPr>
        <w:t xml:space="preserve"> from property or land described as Moroleng Section, Tembisa, Gauteng</w:t>
      </w:r>
      <w:r w:rsidR="00E32985" w:rsidRPr="00E562CD">
        <w:rPr>
          <w:rFonts w:cs="Arial"/>
          <w:bCs/>
          <w:szCs w:val="22"/>
        </w:rPr>
        <w:t xml:space="preserve">. I interpret the </w:t>
      </w:r>
      <w:r w:rsidR="004D25C1" w:rsidRPr="00E562CD">
        <w:rPr>
          <w:rFonts w:cs="Arial"/>
          <w:bCs/>
          <w:szCs w:val="22"/>
        </w:rPr>
        <w:t>prayer</w:t>
      </w:r>
      <w:r w:rsidR="007D2EA8" w:rsidRPr="00E562CD">
        <w:rPr>
          <w:rFonts w:cs="Arial"/>
          <w:bCs/>
          <w:szCs w:val="22"/>
        </w:rPr>
        <w:t>s</w:t>
      </w:r>
      <w:r w:rsidR="0051104A" w:rsidRPr="00E562CD">
        <w:rPr>
          <w:rFonts w:cs="Arial"/>
          <w:bCs/>
          <w:szCs w:val="22"/>
        </w:rPr>
        <w:t xml:space="preserve"> read with the affidavits</w:t>
      </w:r>
      <w:r w:rsidR="00E32985" w:rsidRPr="00E562CD">
        <w:rPr>
          <w:rFonts w:cs="Arial"/>
          <w:bCs/>
          <w:szCs w:val="22"/>
        </w:rPr>
        <w:t xml:space="preserve"> to mean that the applicants seek an order that occupation o</w:t>
      </w:r>
      <w:r w:rsidR="0051104A" w:rsidRPr="00E562CD">
        <w:rPr>
          <w:rFonts w:cs="Arial"/>
          <w:bCs/>
          <w:szCs w:val="22"/>
        </w:rPr>
        <w:t>f vacant land</w:t>
      </w:r>
      <w:r w:rsidR="00E32985" w:rsidRPr="00E562CD">
        <w:rPr>
          <w:rFonts w:cs="Arial"/>
          <w:bCs/>
          <w:szCs w:val="22"/>
        </w:rPr>
        <w:t xml:space="preserve"> be restored to them. </w:t>
      </w:r>
      <w:r w:rsidR="007D2EA8" w:rsidRPr="00E562CD">
        <w:rPr>
          <w:rFonts w:cs="Arial"/>
          <w:bCs/>
          <w:szCs w:val="22"/>
        </w:rPr>
        <w:t>It is</w:t>
      </w:r>
      <w:r w:rsidR="00AA1F8B" w:rsidRPr="00E562CD">
        <w:rPr>
          <w:rFonts w:cs="Arial"/>
          <w:bCs/>
          <w:szCs w:val="22"/>
        </w:rPr>
        <w:t xml:space="preserve"> however</w:t>
      </w:r>
      <w:r w:rsidR="007D2EA8" w:rsidRPr="00E562CD">
        <w:rPr>
          <w:rFonts w:cs="Arial"/>
          <w:bCs/>
          <w:szCs w:val="22"/>
        </w:rPr>
        <w:t xml:space="preserve"> not possible to properly identify the property with which the application is concerned.</w:t>
      </w:r>
    </w:p>
    <w:p w14:paraId="3A74D57A" w14:textId="26151C47" w:rsidR="0051104A" w:rsidRPr="00E562CD" w:rsidRDefault="00E562CD" w:rsidP="00E562CD">
      <w:pPr>
        <w:keepNext/>
        <w:widowControl w:val="0"/>
        <w:tabs>
          <w:tab w:val="left" w:pos="567"/>
        </w:tabs>
        <w:spacing w:before="240" w:after="240" w:line="360" w:lineRule="auto"/>
        <w:jc w:val="both"/>
        <w:rPr>
          <w:rFonts w:cs="Arial"/>
          <w:bCs/>
          <w:szCs w:val="22"/>
        </w:rPr>
      </w:pPr>
      <w:r>
        <w:rPr>
          <w:rFonts w:cs="Arial"/>
          <w:bCs/>
          <w:szCs w:val="22"/>
        </w:rPr>
        <w:lastRenderedPageBreak/>
        <w:t>[16]</w:t>
      </w:r>
      <w:r>
        <w:rPr>
          <w:rFonts w:cs="Arial"/>
          <w:bCs/>
          <w:szCs w:val="22"/>
        </w:rPr>
        <w:tab/>
      </w:r>
      <w:r w:rsidR="00773472" w:rsidRPr="00E562CD">
        <w:rPr>
          <w:rFonts w:cs="Arial"/>
          <w:bCs/>
          <w:szCs w:val="22"/>
        </w:rPr>
        <w:t xml:space="preserve">The respondents are cited in paragraphs 3 to 6 of the founding as well as the supplementary affidavit but it is stated that their </w:t>
      </w:r>
      <w:r w:rsidR="00773472" w:rsidRPr="00E562CD">
        <w:rPr>
          <w:rFonts w:cs="Arial"/>
          <w:bCs/>
          <w:i/>
          <w:iCs/>
          <w:szCs w:val="22"/>
        </w:rPr>
        <w:t>“full and further particulars are unknown.”</w:t>
      </w:r>
      <w:r w:rsidR="00773472" w:rsidRPr="00E562CD">
        <w:rPr>
          <w:rFonts w:cs="Arial"/>
          <w:bCs/>
          <w:szCs w:val="22"/>
        </w:rPr>
        <w:t xml:space="preserve"> This begs the question whether the application could be served at all without the prior approach to court for an order of substituted service. </w:t>
      </w:r>
    </w:p>
    <w:p w14:paraId="6E97EE29" w14:textId="16947F57" w:rsidR="002167FD" w:rsidRPr="00E562CD" w:rsidRDefault="00E562CD" w:rsidP="00E562CD">
      <w:pPr>
        <w:keepNext/>
        <w:widowControl w:val="0"/>
        <w:tabs>
          <w:tab w:val="left" w:pos="567"/>
        </w:tabs>
        <w:spacing w:before="240" w:after="240" w:line="360" w:lineRule="auto"/>
        <w:jc w:val="both"/>
        <w:rPr>
          <w:rFonts w:cs="Arial"/>
          <w:bCs/>
          <w:szCs w:val="22"/>
        </w:rPr>
      </w:pPr>
      <w:r>
        <w:rPr>
          <w:rFonts w:cs="Arial"/>
          <w:bCs/>
          <w:szCs w:val="22"/>
        </w:rPr>
        <w:t>[17]</w:t>
      </w:r>
      <w:r>
        <w:rPr>
          <w:rFonts w:cs="Arial"/>
          <w:bCs/>
          <w:szCs w:val="22"/>
        </w:rPr>
        <w:tab/>
      </w:r>
      <w:r w:rsidR="00773472" w:rsidRPr="00E562CD">
        <w:rPr>
          <w:rFonts w:cs="Arial"/>
          <w:bCs/>
          <w:szCs w:val="22"/>
        </w:rPr>
        <w:t>The applicants also failed to attach any return of service or service affidavit to the papers before the court and the parties are not in agreement as to when exactly the application was served.</w:t>
      </w:r>
      <w:r w:rsidR="001D26E5" w:rsidRPr="00E562CD">
        <w:rPr>
          <w:rFonts w:cs="Arial"/>
          <w:bCs/>
          <w:szCs w:val="22"/>
        </w:rPr>
        <w:t xml:space="preserve"> </w:t>
      </w:r>
    </w:p>
    <w:p w14:paraId="5B465709" w14:textId="3C5C3840" w:rsidR="002167FD" w:rsidRPr="0051104A" w:rsidRDefault="002167FD" w:rsidP="0051104A">
      <w:pPr>
        <w:keepNext/>
        <w:widowControl w:val="0"/>
        <w:spacing w:before="240" w:after="240" w:line="360" w:lineRule="auto"/>
        <w:jc w:val="both"/>
        <w:rPr>
          <w:rFonts w:cs="Arial"/>
          <w:bCs/>
          <w:szCs w:val="22"/>
        </w:rPr>
      </w:pPr>
      <w:r w:rsidRPr="0051104A">
        <w:rPr>
          <w:rFonts w:cs="Arial"/>
          <w:bCs/>
          <w:szCs w:val="22"/>
        </w:rPr>
        <w:t xml:space="preserve">Consolidated Practice Directive 1 of 2024 </w:t>
      </w:r>
      <w:r w:rsidR="00AD2767" w:rsidRPr="0051104A">
        <w:rPr>
          <w:rFonts w:cs="Arial"/>
          <w:bCs/>
          <w:szCs w:val="22"/>
        </w:rPr>
        <w:t>was</w:t>
      </w:r>
      <w:r w:rsidR="00AA1F8B" w:rsidRPr="0051104A">
        <w:rPr>
          <w:rFonts w:cs="Arial"/>
          <w:bCs/>
          <w:szCs w:val="22"/>
        </w:rPr>
        <w:t xml:space="preserve"> therefore</w:t>
      </w:r>
      <w:r w:rsidR="00AD2767" w:rsidRPr="0051104A">
        <w:rPr>
          <w:rFonts w:cs="Arial"/>
          <w:bCs/>
          <w:szCs w:val="22"/>
        </w:rPr>
        <w:t xml:space="preserve"> not complied with. The Directive </w:t>
      </w:r>
      <w:r w:rsidRPr="0051104A">
        <w:rPr>
          <w:rFonts w:cs="Arial"/>
          <w:bCs/>
          <w:szCs w:val="22"/>
        </w:rPr>
        <w:t>provides as follows:</w:t>
      </w:r>
    </w:p>
    <w:p w14:paraId="16B1F936" w14:textId="26A5F224" w:rsidR="002167FD" w:rsidRPr="00AD2767" w:rsidRDefault="00AD2767" w:rsidP="00AD2767">
      <w:pPr>
        <w:keepNext/>
        <w:widowControl w:val="0"/>
        <w:spacing w:before="240" w:after="240" w:line="360" w:lineRule="auto"/>
        <w:ind w:left="720"/>
        <w:jc w:val="both"/>
        <w:rPr>
          <w:rFonts w:cs="Arial"/>
          <w:bCs/>
          <w:i/>
          <w:iCs/>
          <w:szCs w:val="22"/>
        </w:rPr>
      </w:pPr>
      <w:r w:rsidRPr="00AD2767">
        <w:rPr>
          <w:rFonts w:cs="Arial"/>
          <w:i/>
          <w:iCs/>
          <w:lang w:eastAsia="en-ZA"/>
        </w:rPr>
        <w:t>“</w:t>
      </w:r>
      <w:r w:rsidRPr="004D2FDD">
        <w:rPr>
          <w:rFonts w:cs="Arial"/>
          <w:i/>
          <w:iCs/>
          <w:lang w:eastAsia="en-ZA"/>
        </w:rPr>
        <w:t>28.9.     Service of process in all urgent matters shall comply with the Uniform Rules of Court. Save where required by legislation, where agreement can be reached by the representatives of all parties to vary the requirements of the rules to facilitate a wholly electronic exchange of papers, condonation shall be granted ipso facto.</w:t>
      </w:r>
      <w:r w:rsidRPr="00AD2767">
        <w:rPr>
          <w:rFonts w:cs="Arial"/>
          <w:i/>
          <w:iCs/>
          <w:lang w:eastAsia="en-ZA"/>
        </w:rPr>
        <w:t>”</w:t>
      </w:r>
    </w:p>
    <w:p w14:paraId="2302B4A9" w14:textId="088DEC8B" w:rsidR="002A2099" w:rsidRPr="0051104A" w:rsidRDefault="002A2099" w:rsidP="0051104A">
      <w:pPr>
        <w:keepNext/>
        <w:widowControl w:val="0"/>
        <w:spacing w:before="240" w:after="240" w:line="360" w:lineRule="auto"/>
        <w:jc w:val="both"/>
        <w:rPr>
          <w:rFonts w:cs="Arial"/>
          <w:bCs/>
          <w:szCs w:val="22"/>
        </w:rPr>
      </w:pPr>
      <w:r w:rsidRPr="0051104A">
        <w:rPr>
          <w:rFonts w:cs="Arial"/>
          <w:bCs/>
          <w:szCs w:val="22"/>
        </w:rPr>
        <w:t>In terms of rule 6 (12) the Court may condone non-compliance with the rules as to service but it should only do so when it knows what was done to bring the application to the notice of the respondents</w:t>
      </w:r>
      <w:r w:rsidR="00636B5F">
        <w:rPr>
          <w:rFonts w:cs="Arial"/>
          <w:bCs/>
          <w:szCs w:val="22"/>
        </w:rPr>
        <w:t xml:space="preserve">, or the Court intends to grant an </w:t>
      </w:r>
      <w:r w:rsidR="00636B5F" w:rsidRPr="00636B5F">
        <w:rPr>
          <w:rFonts w:cs="Arial"/>
          <w:bCs/>
          <w:i/>
          <w:iCs/>
          <w:szCs w:val="22"/>
        </w:rPr>
        <w:t>ex parte</w:t>
      </w:r>
      <w:r w:rsidR="00636B5F">
        <w:rPr>
          <w:rFonts w:cs="Arial"/>
          <w:bCs/>
          <w:szCs w:val="22"/>
        </w:rPr>
        <w:t xml:space="preserve"> order for which is case is made out in the founding papers</w:t>
      </w:r>
      <w:r w:rsidRPr="0051104A">
        <w:rPr>
          <w:rFonts w:cs="Arial"/>
          <w:bCs/>
          <w:szCs w:val="22"/>
        </w:rPr>
        <w:t>. Deviation from the rules must be kept to a minimum</w:t>
      </w:r>
      <w:r w:rsidR="0051104A" w:rsidRPr="0051104A">
        <w:rPr>
          <w:rFonts w:cs="Arial"/>
          <w:bCs/>
          <w:szCs w:val="22"/>
        </w:rPr>
        <w:t xml:space="preserve"> and must be justified.</w:t>
      </w:r>
    </w:p>
    <w:p w14:paraId="4798CA1B" w14:textId="246BD327" w:rsidR="0051104A" w:rsidRPr="00E562CD" w:rsidRDefault="00E562CD" w:rsidP="00E562CD">
      <w:pPr>
        <w:keepNext/>
        <w:widowControl w:val="0"/>
        <w:tabs>
          <w:tab w:val="left" w:pos="567"/>
        </w:tabs>
        <w:spacing w:before="240" w:after="240" w:line="360" w:lineRule="auto"/>
        <w:jc w:val="both"/>
        <w:rPr>
          <w:rFonts w:cs="Arial"/>
          <w:bCs/>
          <w:szCs w:val="22"/>
        </w:rPr>
      </w:pPr>
      <w:r>
        <w:rPr>
          <w:rFonts w:cs="Arial"/>
          <w:bCs/>
          <w:szCs w:val="22"/>
        </w:rPr>
        <w:t>[18]</w:t>
      </w:r>
      <w:r>
        <w:rPr>
          <w:rFonts w:cs="Arial"/>
          <w:bCs/>
          <w:szCs w:val="22"/>
        </w:rPr>
        <w:tab/>
      </w:r>
      <w:r w:rsidR="001D26E5" w:rsidRPr="00E562CD">
        <w:rPr>
          <w:rFonts w:cs="Arial"/>
          <w:bCs/>
          <w:szCs w:val="22"/>
        </w:rPr>
        <w:t>The first respondent informs the Court in paragraph 6 of his answering affidavit that the application was served on him at 15h36 on Monday, 29 April 2024 and that he certainly did not have sufficient time to prepare affidavits. The matter was enrolled for Tuesday, the 30</w:t>
      </w:r>
      <w:r w:rsidR="001D26E5" w:rsidRPr="00E562CD">
        <w:rPr>
          <w:rFonts w:cs="Arial"/>
          <w:bCs/>
          <w:szCs w:val="22"/>
          <w:vertAlign w:val="superscript"/>
        </w:rPr>
        <w:t>th</w:t>
      </w:r>
      <w:r w:rsidR="001D26E5" w:rsidRPr="00E562CD">
        <w:rPr>
          <w:rFonts w:cs="Arial"/>
          <w:bCs/>
          <w:szCs w:val="22"/>
        </w:rPr>
        <w:t>.</w:t>
      </w:r>
      <w:r w:rsidR="00956D92" w:rsidRPr="00E562CD">
        <w:rPr>
          <w:rFonts w:cs="Arial"/>
          <w:bCs/>
          <w:szCs w:val="22"/>
        </w:rPr>
        <w:t xml:space="preserve"> He points out that the application was initially on the roll on the 23</w:t>
      </w:r>
      <w:r w:rsidR="00956D92" w:rsidRPr="00E562CD">
        <w:rPr>
          <w:rFonts w:cs="Arial"/>
          <w:bCs/>
          <w:szCs w:val="22"/>
          <w:vertAlign w:val="superscript"/>
        </w:rPr>
        <w:t>rd</w:t>
      </w:r>
      <w:r w:rsidR="00956D92" w:rsidRPr="00E562CD">
        <w:rPr>
          <w:rFonts w:cs="Arial"/>
          <w:bCs/>
          <w:szCs w:val="22"/>
        </w:rPr>
        <w:t xml:space="preserve"> and was removed from the roll by the presiding Judge. </w:t>
      </w:r>
    </w:p>
    <w:p w14:paraId="6D4A05C9" w14:textId="551FFF7A" w:rsidR="00773472" w:rsidRPr="0051104A" w:rsidRDefault="00681CF6" w:rsidP="0051104A">
      <w:pPr>
        <w:keepNext/>
        <w:widowControl w:val="0"/>
        <w:spacing w:before="240" w:after="240" w:line="360" w:lineRule="auto"/>
        <w:jc w:val="both"/>
        <w:rPr>
          <w:rFonts w:cs="Arial"/>
          <w:bCs/>
          <w:szCs w:val="22"/>
        </w:rPr>
      </w:pPr>
      <w:r w:rsidRPr="0051104A">
        <w:rPr>
          <w:rFonts w:cs="Arial"/>
          <w:bCs/>
          <w:szCs w:val="22"/>
        </w:rPr>
        <w:t xml:space="preserve">A respondent must be given adequate time to file opposing affidavits, lest adherence to the sound principles of </w:t>
      </w:r>
      <w:r w:rsidRPr="0051104A">
        <w:rPr>
          <w:rFonts w:cs="Arial"/>
          <w:bCs/>
          <w:i/>
          <w:iCs/>
          <w:szCs w:val="22"/>
        </w:rPr>
        <w:t>audi alteram partem</w:t>
      </w:r>
      <w:r w:rsidRPr="0051104A">
        <w:rPr>
          <w:rFonts w:cs="Arial"/>
          <w:bCs/>
          <w:szCs w:val="22"/>
        </w:rPr>
        <w:t xml:space="preserve"> </w:t>
      </w:r>
      <w:r w:rsidR="002D68AD" w:rsidRPr="0051104A">
        <w:rPr>
          <w:rFonts w:cs="Arial"/>
          <w:bCs/>
          <w:szCs w:val="22"/>
        </w:rPr>
        <w:t>be</w:t>
      </w:r>
      <w:r w:rsidRPr="0051104A">
        <w:rPr>
          <w:rFonts w:cs="Arial"/>
          <w:bCs/>
          <w:szCs w:val="22"/>
        </w:rPr>
        <w:t xml:space="preserve"> reduced to mere lip service.</w:t>
      </w:r>
    </w:p>
    <w:p w14:paraId="22B30552" w14:textId="0F12152C" w:rsidR="002A2099" w:rsidRPr="00E562CD" w:rsidRDefault="00E562CD" w:rsidP="00E562CD">
      <w:pPr>
        <w:keepNext/>
        <w:widowControl w:val="0"/>
        <w:tabs>
          <w:tab w:val="left" w:pos="567"/>
        </w:tabs>
        <w:spacing w:before="240" w:after="240" w:line="360" w:lineRule="auto"/>
        <w:jc w:val="both"/>
        <w:rPr>
          <w:rFonts w:cs="Arial"/>
          <w:bCs/>
          <w:szCs w:val="22"/>
        </w:rPr>
      </w:pPr>
      <w:r w:rsidRPr="002A2099">
        <w:rPr>
          <w:rFonts w:cs="Arial"/>
          <w:bCs/>
          <w:szCs w:val="22"/>
        </w:rPr>
        <w:t>[19]</w:t>
      </w:r>
      <w:r w:rsidRPr="002A2099">
        <w:rPr>
          <w:rFonts w:cs="Arial"/>
          <w:bCs/>
          <w:szCs w:val="22"/>
        </w:rPr>
        <w:tab/>
      </w:r>
      <w:r w:rsidR="0055643B" w:rsidRPr="00E562CD">
        <w:rPr>
          <w:rFonts w:cs="Arial"/>
          <w:bCs/>
          <w:szCs w:val="22"/>
        </w:rPr>
        <w:t xml:space="preserve">The application in its present form was issued it would appear on 25 April 2024. </w:t>
      </w:r>
      <w:r w:rsidR="00956D92" w:rsidRPr="00E562CD">
        <w:rPr>
          <w:rFonts w:cs="Arial"/>
          <w:bCs/>
          <w:szCs w:val="22"/>
        </w:rPr>
        <w:t>In the notice of motion served on the afternoon of the 29</w:t>
      </w:r>
      <w:r w:rsidR="00956D92" w:rsidRPr="00E562CD">
        <w:rPr>
          <w:rFonts w:cs="Arial"/>
          <w:bCs/>
          <w:szCs w:val="22"/>
          <w:vertAlign w:val="superscript"/>
        </w:rPr>
        <w:t>th</w:t>
      </w:r>
      <w:r w:rsidR="00956D92" w:rsidRPr="00E562CD">
        <w:rPr>
          <w:rFonts w:cs="Arial"/>
          <w:bCs/>
          <w:szCs w:val="22"/>
        </w:rPr>
        <w:t xml:space="preserve"> the respondents are required</w:t>
      </w:r>
      <w:r w:rsidR="0055643B" w:rsidRPr="00E562CD">
        <w:rPr>
          <w:rFonts w:cs="Arial"/>
          <w:bCs/>
          <w:szCs w:val="22"/>
        </w:rPr>
        <w:t xml:space="preserve"> to file a notice of intention to oppose </w:t>
      </w:r>
      <w:r w:rsidR="0055643B" w:rsidRPr="00E562CD">
        <w:rPr>
          <w:rFonts w:cs="Arial"/>
          <w:bCs/>
          <w:i/>
          <w:iCs/>
          <w:szCs w:val="22"/>
        </w:rPr>
        <w:t>“at or about 29 April 2024.”</w:t>
      </w:r>
      <w:r w:rsidR="0055643B" w:rsidRPr="00E562CD">
        <w:rPr>
          <w:rFonts w:cs="Arial"/>
          <w:bCs/>
          <w:szCs w:val="22"/>
        </w:rPr>
        <w:t xml:space="preserve"> However, the respondents are also required to file answering affidavits </w:t>
      </w:r>
      <w:r w:rsidR="0055643B" w:rsidRPr="00E562CD">
        <w:rPr>
          <w:rFonts w:cs="Arial"/>
          <w:bCs/>
          <w:i/>
          <w:iCs/>
          <w:szCs w:val="22"/>
        </w:rPr>
        <w:t xml:space="preserve">“on Sunday at 24 April 2024.” </w:t>
      </w:r>
      <w:r w:rsidR="0055643B" w:rsidRPr="00E562CD">
        <w:rPr>
          <w:rFonts w:cs="Arial"/>
          <w:bCs/>
          <w:szCs w:val="22"/>
        </w:rPr>
        <w:t xml:space="preserve">The respondents are then informed that if </w:t>
      </w:r>
      <w:r w:rsidR="0055643B" w:rsidRPr="00E562CD">
        <w:rPr>
          <w:rFonts w:cs="Arial"/>
          <w:bCs/>
          <w:i/>
          <w:iCs/>
          <w:szCs w:val="22"/>
        </w:rPr>
        <w:t>“no such notice to oppose is filed, this application may be heard in the respondents absence an order may be granted as prayed for in the notice of motion</w:t>
      </w:r>
      <w:r w:rsidR="00883409" w:rsidRPr="00E562CD">
        <w:rPr>
          <w:rFonts w:cs="Arial"/>
          <w:bCs/>
          <w:i/>
          <w:iCs/>
          <w:szCs w:val="22"/>
        </w:rPr>
        <w:t xml:space="preserve"> on the ____ 30</w:t>
      </w:r>
      <w:r w:rsidR="00883409" w:rsidRPr="00E562CD">
        <w:rPr>
          <w:rFonts w:cs="Arial"/>
          <w:bCs/>
          <w:i/>
          <w:iCs/>
          <w:szCs w:val="22"/>
          <w:vertAlign w:val="superscript"/>
        </w:rPr>
        <w:t>th</w:t>
      </w:r>
      <w:r w:rsidR="00883409" w:rsidRPr="00E562CD">
        <w:rPr>
          <w:rFonts w:cs="Arial"/>
          <w:bCs/>
          <w:i/>
          <w:iCs/>
          <w:szCs w:val="22"/>
        </w:rPr>
        <w:t xml:space="preserve"> of April 2024.”</w:t>
      </w:r>
      <w:r w:rsidR="00034741" w:rsidRPr="00E562CD">
        <w:rPr>
          <w:rFonts w:cs="Arial"/>
          <w:bCs/>
          <w:i/>
          <w:iCs/>
          <w:szCs w:val="22"/>
        </w:rPr>
        <w:t xml:space="preserve"> </w:t>
      </w:r>
      <w:r w:rsidR="00034741" w:rsidRPr="00E562CD">
        <w:rPr>
          <w:rFonts w:cs="Arial"/>
          <w:bCs/>
          <w:iCs/>
          <w:szCs w:val="22"/>
        </w:rPr>
        <w:t xml:space="preserve">The instructions are given in the notice </w:t>
      </w:r>
      <w:r w:rsidR="00034741" w:rsidRPr="00E562CD">
        <w:rPr>
          <w:rFonts w:cs="Arial"/>
          <w:bCs/>
          <w:iCs/>
          <w:szCs w:val="22"/>
        </w:rPr>
        <w:lastRenderedPageBreak/>
        <w:t>of motion are completely nonsensical and unrealistic.</w:t>
      </w:r>
    </w:p>
    <w:p w14:paraId="37DC6729" w14:textId="28C8D6A1" w:rsidR="00956D92" w:rsidRPr="00E562CD" w:rsidRDefault="00E562CD" w:rsidP="00E562CD">
      <w:pPr>
        <w:keepNext/>
        <w:widowControl w:val="0"/>
        <w:tabs>
          <w:tab w:val="left" w:pos="567"/>
        </w:tabs>
        <w:spacing w:before="240" w:after="240" w:line="360" w:lineRule="auto"/>
        <w:jc w:val="both"/>
        <w:rPr>
          <w:rFonts w:cs="Arial"/>
          <w:bCs/>
          <w:szCs w:val="22"/>
        </w:rPr>
      </w:pPr>
      <w:r w:rsidRPr="00D342A2">
        <w:rPr>
          <w:rFonts w:cs="Arial"/>
          <w:bCs/>
          <w:szCs w:val="22"/>
        </w:rPr>
        <w:t>[20]</w:t>
      </w:r>
      <w:r w:rsidRPr="00D342A2">
        <w:rPr>
          <w:rFonts w:cs="Arial"/>
          <w:bCs/>
          <w:szCs w:val="22"/>
        </w:rPr>
        <w:tab/>
      </w:r>
      <w:r w:rsidR="00034741" w:rsidRPr="00E562CD">
        <w:rPr>
          <w:rFonts w:cs="Arial"/>
          <w:bCs/>
          <w:iCs/>
          <w:szCs w:val="22"/>
        </w:rPr>
        <w:t xml:space="preserve">I refer to the </w:t>
      </w:r>
      <w:r w:rsidR="00034741" w:rsidRPr="00E562CD">
        <w:rPr>
          <w:rFonts w:cs="Arial"/>
          <w:bCs/>
          <w:i/>
          <w:szCs w:val="22"/>
        </w:rPr>
        <w:t>“</w:t>
      </w:r>
      <w:r w:rsidR="00636B5F" w:rsidRPr="00E562CD">
        <w:rPr>
          <w:rFonts w:cs="Arial"/>
          <w:bCs/>
          <w:i/>
          <w:szCs w:val="22"/>
        </w:rPr>
        <w:t>Notice to Legal Practitioners about the Urgent Motion Court, Johannesburg</w:t>
      </w:r>
      <w:r w:rsidR="00034741" w:rsidRPr="00E562CD">
        <w:rPr>
          <w:rFonts w:cs="Arial"/>
          <w:bCs/>
          <w:i/>
          <w:szCs w:val="22"/>
        </w:rPr>
        <w:t>”</w:t>
      </w:r>
      <w:r w:rsidR="00034741" w:rsidRPr="00E562CD">
        <w:rPr>
          <w:rFonts w:cs="Arial"/>
          <w:bCs/>
          <w:iCs/>
          <w:szCs w:val="22"/>
        </w:rPr>
        <w:t xml:space="preserve"> dated 4 October 2021. In this notice the </w:t>
      </w:r>
      <w:r w:rsidR="00636B5F" w:rsidRPr="00E562CD">
        <w:rPr>
          <w:rFonts w:cs="Arial"/>
          <w:bCs/>
          <w:iCs/>
          <w:szCs w:val="22"/>
        </w:rPr>
        <w:t>Deputy Judge President</w:t>
      </w:r>
      <w:r w:rsidR="00034741" w:rsidRPr="00E562CD">
        <w:rPr>
          <w:rFonts w:cs="Arial"/>
          <w:bCs/>
          <w:iCs/>
          <w:szCs w:val="22"/>
        </w:rPr>
        <w:t xml:space="preserve"> indicated that the effective functioning of the urgent motion court was being imperilled by several undesirable practices by some attorneys and some counsel. Frequently unrealistic timeframes</w:t>
      </w:r>
      <w:r w:rsidR="00034741">
        <w:rPr>
          <w:rStyle w:val="FootnoteReference"/>
          <w:rFonts w:cs="Arial"/>
          <w:bCs/>
          <w:iCs/>
          <w:szCs w:val="22"/>
        </w:rPr>
        <w:footnoteReference w:id="11"/>
      </w:r>
      <w:r w:rsidR="00034741" w:rsidRPr="00E562CD">
        <w:rPr>
          <w:rFonts w:cs="Arial"/>
          <w:bCs/>
          <w:iCs/>
          <w:szCs w:val="22"/>
        </w:rPr>
        <w:t xml:space="preserve"> are set by applicants to file opposing papers. This often means that the papers do not rea</w:t>
      </w:r>
      <w:r w:rsidR="002A2099" w:rsidRPr="00E562CD">
        <w:rPr>
          <w:rFonts w:cs="Arial"/>
          <w:bCs/>
          <w:iCs/>
          <w:szCs w:val="22"/>
        </w:rPr>
        <w:t>ch</w:t>
      </w:r>
      <w:r w:rsidR="00034741" w:rsidRPr="00E562CD">
        <w:rPr>
          <w:rFonts w:cs="Arial"/>
          <w:bCs/>
          <w:iCs/>
          <w:szCs w:val="22"/>
        </w:rPr>
        <w:t xml:space="preserve"> the presiding judge prior to the hearing. </w:t>
      </w:r>
      <w:r w:rsidR="00D342A2" w:rsidRPr="00E562CD">
        <w:rPr>
          <w:rFonts w:cs="Arial"/>
          <w:bCs/>
          <w:iCs/>
          <w:szCs w:val="22"/>
        </w:rPr>
        <w:t xml:space="preserve">The learned </w:t>
      </w:r>
      <w:r w:rsidR="00636B5F" w:rsidRPr="00E562CD">
        <w:rPr>
          <w:rFonts w:cs="Arial"/>
          <w:bCs/>
          <w:iCs/>
          <w:szCs w:val="22"/>
        </w:rPr>
        <w:t>Deputy Judge President</w:t>
      </w:r>
      <w:r w:rsidR="00D342A2" w:rsidRPr="00E562CD">
        <w:rPr>
          <w:rFonts w:cs="Arial"/>
          <w:bCs/>
          <w:iCs/>
          <w:szCs w:val="22"/>
        </w:rPr>
        <w:t xml:space="preserve"> continued:</w:t>
      </w:r>
      <w:r w:rsidR="00D342A2">
        <w:rPr>
          <w:rStyle w:val="FootnoteReference"/>
          <w:rFonts w:cs="Arial"/>
          <w:bCs/>
          <w:iCs/>
          <w:szCs w:val="22"/>
        </w:rPr>
        <w:footnoteReference w:id="12"/>
      </w:r>
      <w:r w:rsidR="00D342A2" w:rsidRPr="00E562CD">
        <w:rPr>
          <w:rFonts w:cs="Arial"/>
          <w:bCs/>
          <w:iCs/>
          <w:szCs w:val="22"/>
        </w:rPr>
        <w:t xml:space="preserve"> </w:t>
      </w:r>
      <w:r w:rsidR="00D342A2" w:rsidRPr="00E562CD">
        <w:rPr>
          <w:rFonts w:cs="Arial"/>
          <w:bCs/>
          <w:i/>
          <w:szCs w:val="22"/>
        </w:rPr>
        <w:t>“the basic approach should be that a full set of papers is available to the judge on the previous Thursday so that the judge can organise a programme of preparation and prepare effectively. Counsel shall be required to justify what extreme exigency warrants a deviation from this approach.”</w:t>
      </w:r>
    </w:p>
    <w:p w14:paraId="20CB96E4" w14:textId="177C1AF5" w:rsidR="00D342A2" w:rsidRPr="00E562CD" w:rsidRDefault="00E562CD" w:rsidP="00E562CD">
      <w:pPr>
        <w:keepNext/>
        <w:widowControl w:val="0"/>
        <w:tabs>
          <w:tab w:val="left" w:pos="567"/>
        </w:tabs>
        <w:spacing w:before="240" w:after="240" w:line="360" w:lineRule="auto"/>
        <w:jc w:val="both"/>
        <w:rPr>
          <w:rFonts w:cs="Arial"/>
          <w:bCs/>
          <w:szCs w:val="22"/>
        </w:rPr>
      </w:pPr>
      <w:r>
        <w:rPr>
          <w:rFonts w:cs="Arial"/>
          <w:bCs/>
          <w:szCs w:val="22"/>
        </w:rPr>
        <w:t>[21]</w:t>
      </w:r>
      <w:r>
        <w:rPr>
          <w:rFonts w:cs="Arial"/>
          <w:bCs/>
          <w:szCs w:val="22"/>
        </w:rPr>
        <w:tab/>
      </w:r>
      <w:r w:rsidR="00D342A2" w:rsidRPr="00E562CD">
        <w:rPr>
          <w:rFonts w:cs="Arial"/>
          <w:bCs/>
          <w:szCs w:val="22"/>
        </w:rPr>
        <w:t>Papers must be prepared in a manner suitable to be adjudicated urgently. Evidence should be properly presented and should be to the point.</w:t>
      </w:r>
      <w:r w:rsidR="00D342A2">
        <w:rPr>
          <w:rStyle w:val="FootnoteReference"/>
          <w:rFonts w:cs="Arial"/>
          <w:bCs/>
          <w:szCs w:val="22"/>
        </w:rPr>
        <w:footnoteReference w:id="13"/>
      </w:r>
      <w:r w:rsidR="00D342A2" w:rsidRPr="00E562CD">
        <w:rPr>
          <w:rFonts w:cs="Arial"/>
          <w:bCs/>
          <w:szCs w:val="22"/>
        </w:rPr>
        <w:t xml:space="preserve"> </w:t>
      </w:r>
      <w:r w:rsidR="002A2099" w:rsidRPr="00E562CD">
        <w:rPr>
          <w:rFonts w:cs="Arial"/>
          <w:bCs/>
          <w:szCs w:val="22"/>
        </w:rPr>
        <w:t>I</w:t>
      </w:r>
      <w:r w:rsidR="00D342A2" w:rsidRPr="00E562CD">
        <w:rPr>
          <w:rFonts w:cs="Arial"/>
          <w:bCs/>
          <w:szCs w:val="22"/>
        </w:rPr>
        <w:t>t is an abuse when papers are not paginated correctly and do not follow sequentially in a logical fashion. Annexures should in accordance with the usual practice in the courts be annexed to affidavits and this practice should also be reflected on Casel</w:t>
      </w:r>
      <w:r w:rsidR="00354315" w:rsidRPr="00E562CD">
        <w:rPr>
          <w:rFonts w:cs="Arial"/>
          <w:bCs/>
          <w:szCs w:val="22"/>
        </w:rPr>
        <w:t>ines.</w:t>
      </w:r>
      <w:r w:rsidR="00681CF6" w:rsidRPr="00E562CD">
        <w:rPr>
          <w:rFonts w:cs="Arial"/>
          <w:bCs/>
          <w:szCs w:val="22"/>
        </w:rPr>
        <w:t xml:space="preserve"> The papers must be indexed.</w:t>
      </w:r>
    </w:p>
    <w:p w14:paraId="5D3DBA2C" w14:textId="009B81B0" w:rsidR="00354315" w:rsidRPr="00E562CD" w:rsidRDefault="00E562CD" w:rsidP="00E562CD">
      <w:pPr>
        <w:keepNext/>
        <w:widowControl w:val="0"/>
        <w:tabs>
          <w:tab w:val="left" w:pos="567"/>
        </w:tabs>
        <w:spacing w:before="240" w:after="240" w:line="360" w:lineRule="auto"/>
        <w:jc w:val="both"/>
        <w:rPr>
          <w:rFonts w:cs="Arial"/>
          <w:bCs/>
          <w:szCs w:val="22"/>
        </w:rPr>
      </w:pPr>
      <w:r>
        <w:rPr>
          <w:rFonts w:cs="Arial"/>
          <w:bCs/>
          <w:szCs w:val="22"/>
        </w:rPr>
        <w:t>[22]</w:t>
      </w:r>
      <w:r>
        <w:rPr>
          <w:rFonts w:cs="Arial"/>
          <w:bCs/>
          <w:szCs w:val="22"/>
        </w:rPr>
        <w:tab/>
      </w:r>
      <w:r w:rsidR="00354315" w:rsidRPr="00E562CD">
        <w:rPr>
          <w:rFonts w:cs="Arial"/>
          <w:bCs/>
          <w:szCs w:val="22"/>
        </w:rPr>
        <w:t xml:space="preserve">It is instructive </w:t>
      </w:r>
      <w:r w:rsidR="00681CF6" w:rsidRPr="00E562CD">
        <w:rPr>
          <w:rFonts w:cs="Arial"/>
          <w:bCs/>
          <w:szCs w:val="22"/>
        </w:rPr>
        <w:t xml:space="preserve">also </w:t>
      </w:r>
      <w:r w:rsidR="00354315" w:rsidRPr="00E562CD">
        <w:rPr>
          <w:rFonts w:cs="Arial"/>
          <w:bCs/>
          <w:szCs w:val="22"/>
        </w:rPr>
        <w:t>to refer to</w:t>
      </w:r>
      <w:r w:rsidR="002A2099" w:rsidRPr="00E562CD">
        <w:rPr>
          <w:rFonts w:cs="Arial"/>
          <w:bCs/>
          <w:szCs w:val="22"/>
        </w:rPr>
        <w:t xml:space="preserve"> the 2013 judgment</w:t>
      </w:r>
      <w:r w:rsidR="00354315" w:rsidRPr="00E562CD">
        <w:rPr>
          <w:rFonts w:cs="Arial"/>
          <w:bCs/>
          <w:szCs w:val="22"/>
        </w:rPr>
        <w:t xml:space="preserve"> </w:t>
      </w:r>
      <w:r w:rsidR="00354315" w:rsidRPr="00E562CD">
        <w:rPr>
          <w:i/>
          <w:iCs/>
        </w:rPr>
        <w:t>In re Several Matters on the Urgent Court Roll</w:t>
      </w:r>
      <w:r w:rsidR="00354315">
        <w:rPr>
          <w:rStyle w:val="FootnoteReference"/>
          <w:rFonts w:cs="Arial"/>
          <w:bCs/>
          <w:szCs w:val="22"/>
        </w:rPr>
        <w:footnoteReference w:id="14"/>
      </w:r>
      <w:r w:rsidR="00354315" w:rsidRPr="00E562CD">
        <w:rPr>
          <w:rFonts w:cs="Arial"/>
          <w:bCs/>
          <w:szCs w:val="22"/>
        </w:rPr>
        <w:t xml:space="preserve"> where Wepener</w:t>
      </w:r>
      <w:r w:rsidR="00636B5F" w:rsidRPr="00E562CD">
        <w:rPr>
          <w:rFonts w:cs="Arial"/>
          <w:bCs/>
          <w:szCs w:val="22"/>
        </w:rPr>
        <w:t xml:space="preserve"> J</w:t>
      </w:r>
      <w:r w:rsidR="00354315" w:rsidRPr="00E562CD">
        <w:rPr>
          <w:rFonts w:cs="Arial"/>
          <w:bCs/>
          <w:szCs w:val="22"/>
        </w:rPr>
        <w:t xml:space="preserve"> dealt with the abuses occurring in the urgent court and said:</w:t>
      </w:r>
    </w:p>
    <w:p w14:paraId="31D835FC" w14:textId="77777777" w:rsidR="00354315" w:rsidRPr="00EF28DA" w:rsidRDefault="00354315" w:rsidP="00354315">
      <w:pPr>
        <w:spacing w:before="240" w:after="240" w:line="360" w:lineRule="auto"/>
        <w:ind w:left="720"/>
        <w:jc w:val="both"/>
        <w:rPr>
          <w:rFonts w:cs="Arial"/>
          <w:i/>
          <w:iCs/>
          <w:szCs w:val="22"/>
          <w:lang w:eastAsia="en-ZA"/>
        </w:rPr>
      </w:pPr>
      <w:r w:rsidRPr="00EF28DA">
        <w:rPr>
          <w:rFonts w:cs="Arial"/>
          <w:i/>
          <w:iCs/>
          <w:szCs w:val="22"/>
          <w:lang w:eastAsia="en-ZA"/>
        </w:rPr>
        <w:t>[4] Some of the defects are the following:</w:t>
      </w:r>
    </w:p>
    <w:p w14:paraId="4E9BDE16" w14:textId="77777777" w:rsidR="00354315" w:rsidRPr="00EF28DA" w:rsidRDefault="00354315" w:rsidP="00354315">
      <w:pPr>
        <w:spacing w:before="240" w:after="240" w:line="360" w:lineRule="auto"/>
        <w:ind w:left="720"/>
        <w:jc w:val="both"/>
        <w:rPr>
          <w:rFonts w:cs="Arial"/>
          <w:i/>
          <w:iCs/>
          <w:szCs w:val="22"/>
          <w:lang w:eastAsia="en-ZA"/>
        </w:rPr>
      </w:pPr>
      <w:r w:rsidRPr="00EF28DA">
        <w:rPr>
          <w:rFonts w:cs="Arial"/>
          <w:i/>
          <w:iCs/>
          <w:szCs w:val="22"/>
          <w:lang w:eastAsia="en-ZA"/>
        </w:rPr>
        <w:t>1.</w:t>
      </w:r>
      <w:r w:rsidRPr="00354315">
        <w:rPr>
          <w:rFonts w:cs="Arial"/>
          <w:i/>
          <w:iCs/>
          <w:szCs w:val="22"/>
        </w:rPr>
        <w:t xml:space="preserve"> </w:t>
      </w:r>
      <w:r w:rsidRPr="00EF28DA">
        <w:rPr>
          <w:rFonts w:cs="Arial"/>
          <w:i/>
          <w:iCs/>
          <w:szCs w:val="22"/>
          <w:lang w:eastAsia="en-ZA"/>
        </w:rPr>
        <w:t>A lack of indexing and pagination, the latter of which assists a judge to work easily with the papers and to find relevant documentation.</w:t>
      </w:r>
    </w:p>
    <w:p w14:paraId="4CA3CE27" w14:textId="77777777" w:rsidR="00354315" w:rsidRPr="00EF28DA" w:rsidRDefault="00354315" w:rsidP="00354315">
      <w:pPr>
        <w:spacing w:before="240" w:after="240" w:line="360" w:lineRule="auto"/>
        <w:ind w:left="720"/>
        <w:jc w:val="both"/>
        <w:rPr>
          <w:rFonts w:cs="Arial"/>
          <w:i/>
          <w:iCs/>
          <w:szCs w:val="22"/>
          <w:lang w:eastAsia="en-ZA"/>
        </w:rPr>
      </w:pPr>
      <w:r w:rsidRPr="00EF28DA">
        <w:rPr>
          <w:rFonts w:cs="Arial"/>
          <w:i/>
          <w:iCs/>
          <w:szCs w:val="22"/>
          <w:lang w:eastAsia="en-ZA"/>
        </w:rPr>
        <w:t>2.A lack of proper binding of papers, which, similar to indexing and pagination, assists a judge to work through the papers with a measure of convenience.</w:t>
      </w:r>
    </w:p>
    <w:p w14:paraId="4328980B" w14:textId="77777777" w:rsidR="00354315" w:rsidRPr="00EF28DA" w:rsidRDefault="00354315" w:rsidP="00354315">
      <w:pPr>
        <w:spacing w:before="240" w:after="240" w:line="360" w:lineRule="auto"/>
        <w:ind w:left="720"/>
        <w:jc w:val="both"/>
        <w:rPr>
          <w:rFonts w:cs="Arial"/>
          <w:i/>
          <w:iCs/>
          <w:szCs w:val="22"/>
          <w:lang w:eastAsia="en-ZA"/>
        </w:rPr>
      </w:pPr>
      <w:r w:rsidRPr="00EF28DA">
        <w:rPr>
          <w:rFonts w:cs="Arial"/>
          <w:i/>
          <w:iCs/>
          <w:szCs w:val="22"/>
          <w:lang w:eastAsia="en-ZA"/>
        </w:rPr>
        <w:t xml:space="preserve">3.A failure in the index to describe each affidavit and annexure as a separate item, which makes the work of a judge more difficult. In this regard indices that read </w:t>
      </w:r>
      <w:r w:rsidRPr="00EF28DA">
        <w:rPr>
          <w:rFonts w:cs="Arial"/>
          <w:i/>
          <w:iCs/>
          <w:szCs w:val="22"/>
          <w:lang w:eastAsia="en-ZA"/>
        </w:rPr>
        <w:lastRenderedPageBreak/>
        <w:t>'Annexure A', 'Annexure B' and 'Annexure C', etc, are of no assistance and fail to comply with the Practice Manual.</w:t>
      </w:r>
    </w:p>
    <w:p w14:paraId="0FE58511" w14:textId="5BDC80D7" w:rsidR="00354315" w:rsidRPr="00354315" w:rsidRDefault="00354315" w:rsidP="00354315">
      <w:pPr>
        <w:pStyle w:val="lrpara"/>
        <w:shd w:val="clear" w:color="auto" w:fill="FFFFFF"/>
        <w:spacing w:before="240" w:beforeAutospacing="0" w:after="240" w:afterAutospacing="0" w:line="360" w:lineRule="auto"/>
        <w:ind w:left="720"/>
        <w:jc w:val="both"/>
        <w:rPr>
          <w:rFonts w:ascii="Arial" w:hAnsi="Arial" w:cs="Arial"/>
          <w:i/>
          <w:iCs/>
          <w:color w:val="2C3E50"/>
          <w:sz w:val="22"/>
          <w:szCs w:val="22"/>
        </w:rPr>
      </w:pPr>
      <w:r w:rsidRPr="00EF28DA">
        <w:rPr>
          <w:rFonts w:ascii="Arial" w:hAnsi="Arial" w:cs="Arial"/>
          <w:i/>
          <w:iCs/>
          <w:sz w:val="22"/>
          <w:szCs w:val="22"/>
        </w:rPr>
        <w:t>4.A lack of compliance with the Practice Manual's ch 9.24 regarding urgent applications in particular. As an example I refer to the requirement that an applicant set out explicitly the circumstances which render the matter urgent. In this regard a practice has  developed in this division, that practitioners see to it that there is a</w:t>
      </w:r>
      <w:r w:rsidRPr="00354315">
        <w:rPr>
          <w:rFonts w:ascii="Arial" w:hAnsi="Arial" w:cs="Arial"/>
          <w:i/>
          <w:iCs/>
          <w:sz w:val="22"/>
          <w:szCs w:val="22"/>
        </w:rPr>
        <w:t xml:space="preserve"> </w:t>
      </w:r>
      <w:r w:rsidRPr="00EF28DA">
        <w:rPr>
          <w:rFonts w:ascii="Arial" w:hAnsi="Arial" w:cs="Arial"/>
          <w:i/>
          <w:iCs/>
          <w:sz w:val="22"/>
          <w:szCs w:val="22"/>
        </w:rPr>
        <w:t>specific section headed 'Urgency' wherein this requirement is fully  dealt with. This enables the presiding judge to quickly and conveniently determine the nature of the urgency and why the matter should be afforded preference on the motion roll, ie why it should be heard in the urgent court and not in the normal course of events.</w:t>
      </w:r>
    </w:p>
    <w:p w14:paraId="09FC095E" w14:textId="62EE4053" w:rsidR="00636B5F" w:rsidRPr="00E562CD" w:rsidRDefault="00E562CD" w:rsidP="00E562CD">
      <w:pPr>
        <w:keepNext/>
        <w:widowControl w:val="0"/>
        <w:tabs>
          <w:tab w:val="left" w:pos="567"/>
        </w:tabs>
        <w:spacing w:before="240" w:after="240" w:line="360" w:lineRule="auto"/>
        <w:jc w:val="both"/>
        <w:rPr>
          <w:rFonts w:cs="Arial"/>
          <w:bCs/>
          <w:szCs w:val="22"/>
        </w:rPr>
      </w:pPr>
      <w:r>
        <w:rPr>
          <w:rFonts w:cs="Arial"/>
          <w:bCs/>
          <w:szCs w:val="22"/>
        </w:rPr>
        <w:t>[23]</w:t>
      </w:r>
      <w:r>
        <w:rPr>
          <w:rFonts w:cs="Arial"/>
          <w:bCs/>
          <w:szCs w:val="22"/>
        </w:rPr>
        <w:tab/>
      </w:r>
      <w:r w:rsidR="00883409" w:rsidRPr="00E562CD">
        <w:rPr>
          <w:rFonts w:cs="Arial"/>
          <w:bCs/>
          <w:szCs w:val="22"/>
        </w:rPr>
        <w:t>The respondents did give notice of intention to oppose but the applicants nevertheless proceeded with the application during the motion court week of 30 April 2024 and the matter was set down for Thursday, 2 May 2024. I allow the matter to stand down until Friday, 3 May and the applicant’s counsel undertook to provide me with a hard copy of the papers as the electronic version was not easy to read.</w:t>
      </w:r>
      <w:r w:rsidR="00636B5F" w:rsidRPr="00E562CD">
        <w:rPr>
          <w:rFonts w:cs="Arial"/>
          <w:bCs/>
          <w:szCs w:val="22"/>
        </w:rPr>
        <w:t xml:space="preserve"> I also invited counsel to address me on the subject of a </w:t>
      </w:r>
      <w:r w:rsidR="00636B5F" w:rsidRPr="00E562CD">
        <w:rPr>
          <w:rFonts w:cs="Arial"/>
          <w:bCs/>
          <w:i/>
          <w:iCs/>
          <w:szCs w:val="22"/>
        </w:rPr>
        <w:t>de bonis proprius</w:t>
      </w:r>
      <w:r w:rsidR="00636B5F" w:rsidRPr="00E562CD">
        <w:rPr>
          <w:rFonts w:cs="Arial"/>
          <w:bCs/>
          <w:szCs w:val="22"/>
        </w:rPr>
        <w:t xml:space="preserve"> cost order as soug</w:t>
      </w:r>
      <w:r w:rsidR="00760C15" w:rsidRPr="00E562CD">
        <w:rPr>
          <w:rFonts w:cs="Arial"/>
          <w:bCs/>
          <w:szCs w:val="22"/>
        </w:rPr>
        <w:t>ht</w:t>
      </w:r>
      <w:r w:rsidR="00636B5F" w:rsidRPr="00E562CD">
        <w:rPr>
          <w:rFonts w:cs="Arial"/>
          <w:bCs/>
          <w:szCs w:val="22"/>
        </w:rPr>
        <w:t xml:space="preserve"> by the respondent’s counsel.</w:t>
      </w:r>
    </w:p>
    <w:p w14:paraId="52FB425E" w14:textId="18F2BDE5" w:rsidR="00956D92" w:rsidRPr="00E562CD" w:rsidRDefault="00E562CD" w:rsidP="00E562CD">
      <w:pPr>
        <w:keepNext/>
        <w:widowControl w:val="0"/>
        <w:tabs>
          <w:tab w:val="left" w:pos="567"/>
        </w:tabs>
        <w:spacing w:before="240" w:after="240" w:line="360" w:lineRule="auto"/>
        <w:jc w:val="both"/>
        <w:rPr>
          <w:rFonts w:cs="Arial"/>
          <w:bCs/>
          <w:szCs w:val="22"/>
        </w:rPr>
      </w:pPr>
      <w:r>
        <w:rPr>
          <w:rFonts w:cs="Arial"/>
          <w:bCs/>
          <w:szCs w:val="22"/>
        </w:rPr>
        <w:t>[24]</w:t>
      </w:r>
      <w:r>
        <w:rPr>
          <w:rFonts w:cs="Arial"/>
          <w:bCs/>
          <w:szCs w:val="22"/>
        </w:rPr>
        <w:tab/>
      </w:r>
      <w:r w:rsidR="00883409" w:rsidRPr="00E562CD">
        <w:rPr>
          <w:rFonts w:cs="Arial"/>
          <w:bCs/>
          <w:szCs w:val="22"/>
        </w:rPr>
        <w:t>The matter was then again called on 3 May 2024 but no hard copy of the bundle was made available. The council acting for the Municipality</w:t>
      </w:r>
      <w:r w:rsidR="00CE02AA" w:rsidRPr="00E562CD">
        <w:rPr>
          <w:rFonts w:cs="Arial"/>
          <w:bCs/>
          <w:szCs w:val="22"/>
        </w:rPr>
        <w:t>, Mr Sithole,</w:t>
      </w:r>
      <w:r w:rsidR="00883409" w:rsidRPr="00E562CD">
        <w:rPr>
          <w:rFonts w:cs="Arial"/>
          <w:bCs/>
          <w:szCs w:val="22"/>
        </w:rPr>
        <w:t xml:space="preserve"> was able to provide me with certain of the documents.</w:t>
      </w:r>
    </w:p>
    <w:p w14:paraId="1A7BD5F3" w14:textId="3C28991A" w:rsidR="002167FD" w:rsidRPr="00E562CD" w:rsidRDefault="00E562CD" w:rsidP="00E562CD">
      <w:pPr>
        <w:keepNext/>
        <w:widowControl w:val="0"/>
        <w:tabs>
          <w:tab w:val="left" w:pos="567"/>
        </w:tabs>
        <w:spacing w:before="240" w:after="240" w:line="360" w:lineRule="auto"/>
        <w:jc w:val="both"/>
        <w:rPr>
          <w:rFonts w:cs="Arial"/>
          <w:bCs/>
          <w:szCs w:val="22"/>
        </w:rPr>
      </w:pPr>
      <w:r>
        <w:rPr>
          <w:rFonts w:cs="Arial"/>
          <w:bCs/>
          <w:szCs w:val="22"/>
        </w:rPr>
        <w:t>[25]</w:t>
      </w:r>
      <w:r>
        <w:rPr>
          <w:rFonts w:cs="Arial"/>
          <w:bCs/>
          <w:szCs w:val="22"/>
        </w:rPr>
        <w:tab/>
      </w:r>
      <w:r w:rsidR="002167FD" w:rsidRPr="00E562CD">
        <w:rPr>
          <w:rFonts w:cs="Arial"/>
          <w:bCs/>
          <w:szCs w:val="22"/>
        </w:rPr>
        <w:t xml:space="preserve">Because of the extremely short time periods given it was not possible to comply with paragraph 28.10 of the Consolidated Practice Directive 1 of 2024 that came into effect on 26 February 2024. The Directive provides as follows: </w:t>
      </w:r>
    </w:p>
    <w:p w14:paraId="455C5744" w14:textId="58FEE026" w:rsidR="002167FD" w:rsidRPr="002167FD" w:rsidRDefault="002167FD" w:rsidP="002167FD">
      <w:pPr>
        <w:keepNext/>
        <w:widowControl w:val="0"/>
        <w:spacing w:before="240" w:after="240" w:line="360" w:lineRule="auto"/>
        <w:ind w:left="720"/>
        <w:jc w:val="both"/>
        <w:rPr>
          <w:rFonts w:cs="Arial"/>
          <w:bCs/>
          <w:i/>
          <w:iCs/>
          <w:szCs w:val="22"/>
        </w:rPr>
      </w:pPr>
      <w:r w:rsidRPr="002167FD">
        <w:rPr>
          <w:rFonts w:cs="Arial"/>
          <w:i/>
          <w:iCs/>
          <w:lang w:eastAsia="en-ZA"/>
        </w:rPr>
        <w:t>“</w:t>
      </w:r>
      <w:r w:rsidRPr="004D2FDD">
        <w:rPr>
          <w:rFonts w:cs="Arial"/>
          <w:i/>
          <w:iCs/>
          <w:lang w:eastAsia="en-ZA"/>
        </w:rPr>
        <w:t>28.10.   The urgent roll closes at noon on a Thursday for the following Tuesday. The applicant must properly consider the appropriate notice period to give to the respondent. Generally, enrolments ought to be made for the next week, but where longer notice periods are deemed appropriate by an applicant, matters may be enrolled for a later week.</w:t>
      </w:r>
      <w:r w:rsidRPr="002167FD">
        <w:rPr>
          <w:rFonts w:cs="Arial"/>
          <w:bCs/>
          <w:i/>
          <w:iCs/>
          <w:szCs w:val="22"/>
        </w:rPr>
        <w:t xml:space="preserve">” </w:t>
      </w:r>
    </w:p>
    <w:p w14:paraId="206DBDBA" w14:textId="68C7FC0B" w:rsidR="00956D92" w:rsidRPr="00E562CD" w:rsidRDefault="00E562CD" w:rsidP="00E562CD">
      <w:pPr>
        <w:keepNext/>
        <w:widowControl w:val="0"/>
        <w:tabs>
          <w:tab w:val="left" w:pos="567"/>
        </w:tabs>
        <w:spacing w:before="240" w:after="240" w:line="360" w:lineRule="auto"/>
        <w:jc w:val="both"/>
        <w:rPr>
          <w:rFonts w:cs="Arial"/>
          <w:bCs/>
          <w:szCs w:val="22"/>
        </w:rPr>
      </w:pPr>
      <w:r>
        <w:rPr>
          <w:rFonts w:cs="Arial"/>
          <w:bCs/>
          <w:szCs w:val="22"/>
        </w:rPr>
        <w:t>[26]</w:t>
      </w:r>
      <w:r>
        <w:rPr>
          <w:rFonts w:cs="Arial"/>
          <w:bCs/>
          <w:szCs w:val="22"/>
        </w:rPr>
        <w:tab/>
      </w:r>
      <w:r w:rsidR="00956D92" w:rsidRPr="00E562CD">
        <w:rPr>
          <w:rFonts w:cs="Arial"/>
          <w:bCs/>
          <w:szCs w:val="22"/>
        </w:rPr>
        <w:t>The applicants did not comply with</w:t>
      </w:r>
      <w:r w:rsidR="00760C15" w:rsidRPr="00E562CD">
        <w:rPr>
          <w:rFonts w:cs="Arial"/>
          <w:bCs/>
          <w:szCs w:val="22"/>
        </w:rPr>
        <w:t xml:space="preserve"> paragraph</w:t>
      </w:r>
      <w:r w:rsidR="00956D92" w:rsidRPr="00E562CD">
        <w:rPr>
          <w:rFonts w:cs="Arial"/>
          <w:bCs/>
          <w:szCs w:val="22"/>
        </w:rPr>
        <w:t xml:space="preserve"> 28.10 of the Practice Directive 1 of 2024</w:t>
      </w:r>
      <w:r w:rsidR="007F7364" w:rsidRPr="00E562CD">
        <w:rPr>
          <w:rFonts w:cs="Arial"/>
          <w:bCs/>
          <w:szCs w:val="22"/>
        </w:rPr>
        <w:t xml:space="preserve">, nor did they comply with the requirement </w:t>
      </w:r>
      <w:r w:rsidR="00760C15" w:rsidRPr="00E562CD">
        <w:rPr>
          <w:rFonts w:cs="Arial"/>
          <w:bCs/>
          <w:szCs w:val="22"/>
        </w:rPr>
        <w:t xml:space="preserve">in paragraph 5 </w:t>
      </w:r>
      <w:r w:rsidR="007F7364" w:rsidRPr="00E562CD">
        <w:rPr>
          <w:rFonts w:cs="Arial"/>
          <w:bCs/>
          <w:szCs w:val="22"/>
        </w:rPr>
        <w:t xml:space="preserve">that a compliance </w:t>
      </w:r>
      <w:r w:rsidR="007F7364" w:rsidRPr="00E562CD">
        <w:rPr>
          <w:rFonts w:cs="Arial"/>
          <w:bCs/>
          <w:szCs w:val="22"/>
        </w:rPr>
        <w:lastRenderedPageBreak/>
        <w:t>statement be filed.</w:t>
      </w:r>
      <w:r w:rsidR="007B1743">
        <w:rPr>
          <w:rStyle w:val="FootnoteReference"/>
          <w:rFonts w:cs="Arial"/>
          <w:bCs/>
          <w:szCs w:val="22"/>
        </w:rPr>
        <w:footnoteReference w:id="15"/>
      </w:r>
    </w:p>
    <w:p w14:paraId="63D95986" w14:textId="228AB0AE" w:rsidR="00AD2767" w:rsidRPr="00E562CD" w:rsidRDefault="00E562CD" w:rsidP="00E562CD">
      <w:pPr>
        <w:keepNext/>
        <w:widowControl w:val="0"/>
        <w:tabs>
          <w:tab w:val="left" w:pos="567"/>
        </w:tabs>
        <w:spacing w:before="240" w:after="240" w:line="360" w:lineRule="auto"/>
        <w:jc w:val="both"/>
        <w:rPr>
          <w:rFonts w:cs="Arial"/>
          <w:bCs/>
          <w:szCs w:val="22"/>
        </w:rPr>
      </w:pPr>
      <w:r>
        <w:rPr>
          <w:rFonts w:cs="Arial"/>
          <w:bCs/>
          <w:szCs w:val="22"/>
        </w:rPr>
        <w:t>[27]</w:t>
      </w:r>
      <w:r>
        <w:rPr>
          <w:rFonts w:cs="Arial"/>
          <w:bCs/>
          <w:szCs w:val="22"/>
        </w:rPr>
        <w:tab/>
      </w:r>
      <w:r w:rsidR="00931AF1" w:rsidRPr="00E562CD">
        <w:rPr>
          <w:rFonts w:cs="Arial"/>
          <w:bCs/>
          <w:szCs w:val="22"/>
        </w:rPr>
        <w:t xml:space="preserve">It was </w:t>
      </w:r>
      <w:r w:rsidR="00CF6418" w:rsidRPr="00E562CD">
        <w:rPr>
          <w:rFonts w:cs="Arial"/>
          <w:bCs/>
          <w:szCs w:val="22"/>
        </w:rPr>
        <w:t>brought to my attention</w:t>
      </w:r>
      <w:r w:rsidR="00931AF1" w:rsidRPr="00E562CD">
        <w:rPr>
          <w:rFonts w:cs="Arial"/>
          <w:bCs/>
          <w:szCs w:val="22"/>
        </w:rPr>
        <w:t xml:space="preserve"> that the applicant’s counsel was struck from the roll of advocates.</w:t>
      </w:r>
      <w:r w:rsidR="00931AF1">
        <w:rPr>
          <w:rStyle w:val="FootnoteReference"/>
          <w:rFonts w:cs="Arial"/>
          <w:bCs/>
          <w:szCs w:val="22"/>
        </w:rPr>
        <w:footnoteReference w:id="16"/>
      </w:r>
      <w:r w:rsidR="00931AF1" w:rsidRPr="00E562CD">
        <w:rPr>
          <w:rFonts w:cs="Arial"/>
          <w:bCs/>
          <w:szCs w:val="22"/>
        </w:rPr>
        <w:t xml:space="preserve"> An application for leave to appeal was dismissed</w:t>
      </w:r>
      <w:r w:rsidR="00B0554B" w:rsidRPr="00E562CD">
        <w:rPr>
          <w:rFonts w:cs="Arial"/>
          <w:bCs/>
          <w:szCs w:val="22"/>
        </w:rPr>
        <w:t xml:space="preserve"> and an application for leave to appeal was made to the Supreme Court of Appeal.</w:t>
      </w:r>
      <w:r w:rsidR="00B0554B">
        <w:rPr>
          <w:rStyle w:val="FootnoteReference"/>
          <w:rFonts w:cs="Arial"/>
          <w:bCs/>
          <w:szCs w:val="22"/>
        </w:rPr>
        <w:footnoteReference w:id="17"/>
      </w:r>
      <w:r w:rsidR="0095400E" w:rsidRPr="00E562CD">
        <w:rPr>
          <w:rFonts w:cs="Arial"/>
          <w:bCs/>
          <w:szCs w:val="22"/>
        </w:rPr>
        <w:t xml:space="preserve"> Mr Mkhize submitted that he was entitled to appear as the application for leave to appeal suspend</w:t>
      </w:r>
      <w:r w:rsidR="00CF6418" w:rsidRPr="00E562CD">
        <w:rPr>
          <w:rFonts w:cs="Arial"/>
          <w:bCs/>
          <w:szCs w:val="22"/>
        </w:rPr>
        <w:t>ed</w:t>
      </w:r>
      <w:r w:rsidR="00CF6418">
        <w:rPr>
          <w:rStyle w:val="FootnoteReference"/>
          <w:rFonts w:cs="Arial"/>
          <w:bCs/>
          <w:szCs w:val="22"/>
        </w:rPr>
        <w:footnoteReference w:id="18"/>
      </w:r>
      <w:r w:rsidR="0095400E" w:rsidRPr="00E562CD">
        <w:rPr>
          <w:rFonts w:cs="Arial"/>
          <w:bCs/>
          <w:szCs w:val="22"/>
        </w:rPr>
        <w:t xml:space="preserve"> the order of the High Court</w:t>
      </w:r>
      <w:r w:rsidR="00CF6418" w:rsidRPr="00E562CD">
        <w:rPr>
          <w:rFonts w:cs="Arial"/>
          <w:bCs/>
          <w:szCs w:val="22"/>
        </w:rPr>
        <w:t>. Because of the view I take of the matter it is not necessary in the urgent court to say anything about counsel’s right to appear under these circumstances but these are matters to be considered by the Legal Practice Council.</w:t>
      </w:r>
      <w:r w:rsidR="00296F09" w:rsidRPr="00E562CD">
        <w:rPr>
          <w:rFonts w:cs="Arial"/>
          <w:bCs/>
          <w:szCs w:val="22"/>
        </w:rPr>
        <w:t xml:space="preserve"> I will therefore request the Registrar to forward a copy of this judgment to the Legal Practice Council.</w:t>
      </w:r>
    </w:p>
    <w:p w14:paraId="448B2EC2" w14:textId="18363F32" w:rsidR="00AD2767" w:rsidRPr="00E562CD" w:rsidRDefault="00E562CD" w:rsidP="00E562CD">
      <w:pPr>
        <w:keepNext/>
        <w:widowControl w:val="0"/>
        <w:tabs>
          <w:tab w:val="left" w:pos="567"/>
        </w:tabs>
        <w:spacing w:before="240" w:after="240" w:line="360" w:lineRule="auto"/>
        <w:jc w:val="both"/>
        <w:rPr>
          <w:rFonts w:cs="Arial"/>
          <w:bCs/>
          <w:szCs w:val="22"/>
        </w:rPr>
      </w:pPr>
      <w:r>
        <w:rPr>
          <w:rFonts w:cs="Arial"/>
          <w:bCs/>
          <w:szCs w:val="22"/>
        </w:rPr>
        <w:t>[28]</w:t>
      </w:r>
      <w:r>
        <w:rPr>
          <w:rFonts w:cs="Arial"/>
          <w:bCs/>
          <w:szCs w:val="22"/>
        </w:rPr>
        <w:tab/>
      </w:r>
      <w:r w:rsidR="00AD2767" w:rsidRPr="00E562CD">
        <w:rPr>
          <w:rFonts w:cs="Arial"/>
          <w:bCs/>
          <w:szCs w:val="22"/>
        </w:rPr>
        <w:t>Paragraph 28.8 of the Consolidated Practice Directive reads as follows:</w:t>
      </w:r>
    </w:p>
    <w:p w14:paraId="3CE7EBF8" w14:textId="102792E3" w:rsidR="00AD2767" w:rsidRPr="00AD2767" w:rsidRDefault="00AD2767" w:rsidP="00AD2767">
      <w:pPr>
        <w:keepNext/>
        <w:widowControl w:val="0"/>
        <w:spacing w:before="240" w:after="240" w:line="360" w:lineRule="auto"/>
        <w:ind w:left="720"/>
        <w:jc w:val="both"/>
        <w:rPr>
          <w:rFonts w:cs="Arial"/>
          <w:bCs/>
          <w:i/>
          <w:iCs/>
          <w:szCs w:val="22"/>
        </w:rPr>
      </w:pPr>
      <w:r w:rsidRPr="00AD2767">
        <w:rPr>
          <w:rFonts w:cs="Arial"/>
          <w:i/>
          <w:iCs/>
          <w:lang w:eastAsia="en-ZA"/>
        </w:rPr>
        <w:t>“28.8.     The enrolment of an allegedly urgent</w:t>
      </w:r>
      <w:r w:rsidR="007B1743">
        <w:rPr>
          <w:rStyle w:val="FootnoteReference"/>
          <w:rFonts w:cs="Arial"/>
          <w:i/>
          <w:iCs/>
          <w:lang w:eastAsia="en-ZA"/>
        </w:rPr>
        <w:footnoteReference w:id="19"/>
      </w:r>
      <w:r w:rsidRPr="00AD2767">
        <w:rPr>
          <w:rFonts w:cs="Arial"/>
          <w:i/>
          <w:iCs/>
          <w:lang w:eastAsia="en-ZA"/>
        </w:rPr>
        <w:t xml:space="preserve"> matter found not to warrant a hearing on this roll may, at the discretion of the Judge seized with the matter, result in punitive costs being awarded and the culpable counsel and attorney being ordered not to be paid any fees arising from the prosecution of such matter(s).”</w:t>
      </w:r>
    </w:p>
    <w:p w14:paraId="63944788" w14:textId="2CC2829A" w:rsidR="00394CA9" w:rsidRPr="00E562CD" w:rsidRDefault="00E562CD" w:rsidP="00E562CD">
      <w:pPr>
        <w:keepNext/>
        <w:widowControl w:val="0"/>
        <w:tabs>
          <w:tab w:val="left" w:pos="567"/>
        </w:tabs>
        <w:spacing w:before="240" w:after="240" w:line="360" w:lineRule="auto"/>
        <w:jc w:val="both"/>
        <w:rPr>
          <w:rFonts w:cs="Arial"/>
          <w:bCs/>
          <w:szCs w:val="22"/>
        </w:rPr>
      </w:pPr>
      <w:r>
        <w:rPr>
          <w:rFonts w:cs="Arial"/>
          <w:bCs/>
          <w:szCs w:val="22"/>
        </w:rPr>
        <w:t>[29]</w:t>
      </w:r>
      <w:r>
        <w:rPr>
          <w:rFonts w:cs="Arial"/>
          <w:bCs/>
          <w:szCs w:val="22"/>
        </w:rPr>
        <w:tab/>
      </w:r>
      <w:r w:rsidR="00394CA9" w:rsidRPr="00E562CD">
        <w:rPr>
          <w:rFonts w:cs="Arial"/>
          <w:bCs/>
          <w:szCs w:val="22"/>
        </w:rPr>
        <w:t>I am of the view that the conduct of the applicants’ counsel and attorneys are such that a punitive cost order is justified, and that the counsel and attorneys not be paid any fees.</w:t>
      </w:r>
    </w:p>
    <w:p w14:paraId="481278B5" w14:textId="540D0510" w:rsidR="00760C15" w:rsidRPr="00E562CD" w:rsidRDefault="00E562CD" w:rsidP="00E562CD">
      <w:pPr>
        <w:keepNext/>
        <w:widowControl w:val="0"/>
        <w:tabs>
          <w:tab w:val="left" w:pos="567"/>
        </w:tabs>
        <w:spacing w:before="240" w:after="240" w:line="360" w:lineRule="auto"/>
        <w:jc w:val="both"/>
        <w:rPr>
          <w:rFonts w:cs="Arial"/>
          <w:bCs/>
          <w:szCs w:val="22"/>
        </w:rPr>
      </w:pPr>
      <w:r>
        <w:rPr>
          <w:rFonts w:cs="Arial"/>
          <w:bCs/>
          <w:szCs w:val="22"/>
        </w:rPr>
        <w:t>[30]</w:t>
      </w:r>
      <w:r>
        <w:rPr>
          <w:rFonts w:cs="Arial"/>
          <w:bCs/>
          <w:szCs w:val="22"/>
        </w:rPr>
        <w:tab/>
      </w:r>
      <w:r w:rsidR="00760C15" w:rsidRPr="00E562CD">
        <w:rPr>
          <w:rFonts w:cs="Arial"/>
          <w:bCs/>
          <w:szCs w:val="22"/>
        </w:rPr>
        <w:t>The Municipality was not cited or served in this application of 2024, but is the respondent in the main application. It was represented by counsel on both days when the matter was argued and his assistance of great help. I do not make an order in respect of the costs of the Municipality but reserve those costs for later determination perhaps when the main application is before court.</w:t>
      </w:r>
    </w:p>
    <w:p w14:paraId="199A3AE1" w14:textId="65658B32" w:rsidR="00931AF1" w:rsidRPr="00E562CD" w:rsidRDefault="00E562CD" w:rsidP="00E562CD">
      <w:pPr>
        <w:keepNext/>
        <w:widowControl w:val="0"/>
        <w:tabs>
          <w:tab w:val="left" w:pos="567"/>
        </w:tabs>
        <w:spacing w:before="240" w:after="240" w:line="360" w:lineRule="auto"/>
        <w:jc w:val="both"/>
        <w:rPr>
          <w:rFonts w:cs="Arial"/>
          <w:bCs/>
          <w:szCs w:val="22"/>
        </w:rPr>
      </w:pPr>
      <w:r>
        <w:rPr>
          <w:rFonts w:cs="Arial"/>
          <w:bCs/>
          <w:szCs w:val="22"/>
        </w:rPr>
        <w:t>[31]</w:t>
      </w:r>
      <w:r>
        <w:rPr>
          <w:rFonts w:cs="Arial"/>
          <w:bCs/>
          <w:szCs w:val="22"/>
        </w:rPr>
        <w:tab/>
      </w:r>
      <w:r w:rsidR="00394CA9" w:rsidRPr="00E562CD">
        <w:rPr>
          <w:rFonts w:cs="Arial"/>
          <w:bCs/>
          <w:szCs w:val="22"/>
        </w:rPr>
        <w:t>For these reasons I make the order set out above</w:t>
      </w:r>
      <w:r w:rsidR="00AD2767" w:rsidRPr="00E562CD">
        <w:rPr>
          <w:rFonts w:cs="Arial"/>
          <w:bCs/>
          <w:szCs w:val="22"/>
        </w:rPr>
        <w:t>.</w:t>
      </w:r>
    </w:p>
    <w:p w14:paraId="5B7FD0E4" w14:textId="77777777" w:rsidR="00B15D12" w:rsidRPr="007811C6" w:rsidRDefault="00B15D12" w:rsidP="003A1D18">
      <w:pPr>
        <w:widowControl w:val="0"/>
        <w:tabs>
          <w:tab w:val="right" w:pos="0"/>
        </w:tabs>
        <w:spacing w:line="360" w:lineRule="auto"/>
        <w:contextualSpacing/>
        <w:jc w:val="right"/>
        <w:rPr>
          <w:rFonts w:cs="Arial"/>
          <w:b/>
          <w:szCs w:val="22"/>
        </w:rPr>
      </w:pPr>
    </w:p>
    <w:p w14:paraId="58DFDFC0" w14:textId="77777777" w:rsidR="00B15D12" w:rsidRPr="007811C6" w:rsidRDefault="00B15D12" w:rsidP="003A1D18">
      <w:pPr>
        <w:widowControl w:val="0"/>
        <w:tabs>
          <w:tab w:val="right" w:pos="0"/>
        </w:tabs>
        <w:spacing w:line="360" w:lineRule="auto"/>
        <w:contextualSpacing/>
        <w:jc w:val="right"/>
        <w:rPr>
          <w:rFonts w:cs="Arial"/>
          <w:b/>
          <w:szCs w:val="22"/>
        </w:rPr>
      </w:pPr>
    </w:p>
    <w:p w14:paraId="53CD27EE" w14:textId="4566DA16" w:rsidR="00AE287F" w:rsidRPr="007811C6" w:rsidRDefault="00A649E6" w:rsidP="003A1D18">
      <w:pPr>
        <w:widowControl w:val="0"/>
        <w:tabs>
          <w:tab w:val="right" w:pos="0"/>
        </w:tabs>
        <w:spacing w:line="360" w:lineRule="auto"/>
        <w:contextualSpacing/>
        <w:jc w:val="right"/>
        <w:rPr>
          <w:rFonts w:cs="Arial"/>
          <w:b/>
          <w:szCs w:val="22"/>
        </w:rPr>
      </w:pPr>
      <w:r w:rsidRPr="007811C6">
        <w:rPr>
          <w:rFonts w:cs="Arial"/>
          <w:b/>
          <w:szCs w:val="22"/>
        </w:rPr>
        <w:t>_____________</w:t>
      </w:r>
    </w:p>
    <w:p w14:paraId="0CCB9BFE" w14:textId="532F2776" w:rsidR="006C43D7" w:rsidRPr="007811C6" w:rsidRDefault="00E22FB3" w:rsidP="003A1D18">
      <w:pPr>
        <w:widowControl w:val="0"/>
        <w:tabs>
          <w:tab w:val="right" w:pos="0"/>
        </w:tabs>
        <w:spacing w:line="360" w:lineRule="auto"/>
        <w:contextualSpacing/>
        <w:jc w:val="right"/>
        <w:rPr>
          <w:rFonts w:cs="Arial"/>
          <w:b/>
          <w:szCs w:val="22"/>
        </w:rPr>
      </w:pPr>
      <w:r>
        <w:rPr>
          <w:rFonts w:cs="Arial"/>
          <w:b/>
          <w:szCs w:val="22"/>
        </w:rPr>
        <w:t>MOORCROFT AJ</w:t>
      </w:r>
    </w:p>
    <w:p w14:paraId="7A2C1059" w14:textId="77777777" w:rsidR="006C43D7" w:rsidRPr="007811C6" w:rsidRDefault="006C43D7" w:rsidP="003A1D18">
      <w:pPr>
        <w:widowControl w:val="0"/>
        <w:tabs>
          <w:tab w:val="right" w:pos="0"/>
        </w:tabs>
        <w:spacing w:line="360" w:lineRule="auto"/>
        <w:contextualSpacing/>
        <w:jc w:val="right"/>
        <w:rPr>
          <w:rFonts w:cs="Arial"/>
          <w:b/>
          <w:szCs w:val="22"/>
        </w:rPr>
      </w:pPr>
      <w:r w:rsidRPr="007811C6">
        <w:rPr>
          <w:rFonts w:cs="Arial"/>
          <w:b/>
          <w:szCs w:val="22"/>
        </w:rPr>
        <w:t>ACTING JUDGE OF THE HIGH COURT OF SOUTH AFRICA</w:t>
      </w:r>
    </w:p>
    <w:p w14:paraId="077C2590" w14:textId="7452355B" w:rsidR="006C43D7" w:rsidRPr="007811C6" w:rsidRDefault="006C43D7" w:rsidP="003A1D18">
      <w:pPr>
        <w:widowControl w:val="0"/>
        <w:tabs>
          <w:tab w:val="right" w:pos="0"/>
          <w:tab w:val="left" w:pos="4253"/>
        </w:tabs>
        <w:spacing w:line="360" w:lineRule="auto"/>
        <w:contextualSpacing/>
        <w:jc w:val="right"/>
        <w:rPr>
          <w:rFonts w:cs="Arial"/>
          <w:b/>
          <w:szCs w:val="22"/>
        </w:rPr>
      </w:pPr>
      <w:r w:rsidRPr="007811C6">
        <w:rPr>
          <w:rFonts w:cs="Arial"/>
          <w:b/>
          <w:szCs w:val="22"/>
        </w:rPr>
        <w:lastRenderedPageBreak/>
        <w:t>GAUTENG DIVISION</w:t>
      </w:r>
    </w:p>
    <w:p w14:paraId="40B9C946" w14:textId="77777777" w:rsidR="006C43D7" w:rsidRPr="007811C6" w:rsidRDefault="006C43D7" w:rsidP="0005282E">
      <w:pPr>
        <w:widowControl w:val="0"/>
        <w:tabs>
          <w:tab w:val="right" w:pos="0"/>
          <w:tab w:val="left" w:pos="4253"/>
        </w:tabs>
        <w:spacing w:line="360" w:lineRule="auto"/>
        <w:contextualSpacing/>
        <w:jc w:val="right"/>
        <w:rPr>
          <w:rFonts w:cs="Arial"/>
          <w:b/>
          <w:szCs w:val="22"/>
        </w:rPr>
      </w:pPr>
      <w:r w:rsidRPr="007811C6">
        <w:rPr>
          <w:rFonts w:cs="Arial"/>
          <w:b/>
          <w:szCs w:val="22"/>
        </w:rPr>
        <w:t>JOHANNESBURG</w:t>
      </w:r>
    </w:p>
    <w:p w14:paraId="326B529B" w14:textId="77777777" w:rsidR="006C43D7" w:rsidRPr="007811C6" w:rsidRDefault="006C43D7" w:rsidP="003A1D18">
      <w:pPr>
        <w:widowControl w:val="0"/>
        <w:tabs>
          <w:tab w:val="right" w:pos="0"/>
          <w:tab w:val="left" w:pos="4253"/>
        </w:tabs>
        <w:spacing w:line="360" w:lineRule="auto"/>
        <w:contextualSpacing/>
        <w:jc w:val="center"/>
        <w:rPr>
          <w:rFonts w:cs="Arial"/>
          <w:b/>
          <w:szCs w:val="22"/>
        </w:rPr>
      </w:pPr>
    </w:p>
    <w:p w14:paraId="5A4CC56C" w14:textId="051C4E22" w:rsidR="006C43D7" w:rsidRPr="007811C6" w:rsidRDefault="006C43D7" w:rsidP="003A1D18">
      <w:pPr>
        <w:widowControl w:val="0"/>
        <w:spacing w:after="200" w:line="480" w:lineRule="auto"/>
        <w:contextualSpacing/>
        <w:jc w:val="right"/>
        <w:rPr>
          <w:rFonts w:cs="Arial"/>
          <w:b/>
          <w:i/>
          <w:iCs/>
          <w:szCs w:val="22"/>
        </w:rPr>
      </w:pPr>
      <w:r w:rsidRPr="007811C6">
        <w:rPr>
          <w:rFonts w:cs="Arial"/>
          <w:b/>
          <w:i/>
          <w:iCs/>
          <w:szCs w:val="22"/>
        </w:rPr>
        <w:t>Electronically submitted</w:t>
      </w:r>
    </w:p>
    <w:p w14:paraId="74CD3952" w14:textId="36BD9DC8" w:rsidR="00A84915" w:rsidRPr="000756A7" w:rsidRDefault="006C43D7" w:rsidP="00A84915">
      <w:pPr>
        <w:widowControl w:val="0"/>
        <w:spacing w:after="200" w:line="360" w:lineRule="auto"/>
        <w:contextualSpacing/>
        <w:jc w:val="both"/>
        <w:rPr>
          <w:rFonts w:eastAsia="Arial Unicode MS" w:cs="Arial"/>
          <w:b/>
          <w:szCs w:val="22"/>
        </w:rPr>
      </w:pPr>
      <w:r w:rsidRPr="007811C6">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sidRPr="007811C6">
        <w:rPr>
          <w:rFonts w:eastAsia="Arial Unicode MS" w:cs="Arial"/>
          <w:b/>
          <w:szCs w:val="22"/>
        </w:rPr>
        <w:t xml:space="preserve"> </w:t>
      </w:r>
      <w:r w:rsidR="009F3B09">
        <w:rPr>
          <w:rFonts w:eastAsia="Arial Unicode MS" w:cs="Arial"/>
          <w:b/>
          <w:szCs w:val="22"/>
        </w:rPr>
        <w:t>21</w:t>
      </w:r>
      <w:r w:rsidR="00107CEB">
        <w:rPr>
          <w:rFonts w:eastAsia="Arial Unicode MS" w:cs="Arial"/>
          <w:b/>
          <w:szCs w:val="22"/>
        </w:rPr>
        <w:t xml:space="preserve"> MAY</w:t>
      </w:r>
      <w:r w:rsidR="00044778">
        <w:rPr>
          <w:rFonts w:eastAsia="Arial Unicode MS" w:cs="Arial"/>
          <w:b/>
          <w:szCs w:val="22"/>
        </w:rPr>
        <w:t xml:space="preserve"> 2024</w:t>
      </w: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992"/>
        <w:gridCol w:w="2943"/>
      </w:tblGrid>
      <w:tr w:rsidR="009D35B5" w:rsidRPr="007811C6" w14:paraId="493AF0D7" w14:textId="77777777" w:rsidTr="00615F6B">
        <w:tc>
          <w:tcPr>
            <w:tcW w:w="4678" w:type="dxa"/>
          </w:tcPr>
          <w:p w14:paraId="6A05541A" w14:textId="0E81E6A6" w:rsidR="009D35B5" w:rsidRPr="007811C6" w:rsidRDefault="009D35B5" w:rsidP="00A25AB4">
            <w:pPr>
              <w:tabs>
                <w:tab w:val="right" w:pos="0"/>
                <w:tab w:val="left" w:pos="4253"/>
              </w:tabs>
              <w:spacing w:before="120" w:after="120"/>
              <w:rPr>
                <w:rFonts w:cs="Arial"/>
                <w:szCs w:val="22"/>
              </w:rPr>
            </w:pPr>
            <w:r w:rsidRPr="007811C6">
              <w:rPr>
                <w:rFonts w:cs="Arial"/>
                <w:szCs w:val="22"/>
              </w:rPr>
              <w:t xml:space="preserve">COUNSEL FOR </w:t>
            </w:r>
            <w:r w:rsidR="00404A52" w:rsidRPr="007811C6">
              <w:rPr>
                <w:rFonts w:cs="Arial"/>
                <w:szCs w:val="22"/>
              </w:rPr>
              <w:t>THE</w:t>
            </w:r>
            <w:r w:rsidR="000976D2" w:rsidRPr="007811C6">
              <w:rPr>
                <w:rFonts w:cs="Arial"/>
                <w:szCs w:val="22"/>
              </w:rPr>
              <w:t xml:space="preserve"> </w:t>
            </w:r>
            <w:r w:rsidR="008707F5">
              <w:rPr>
                <w:rFonts w:cs="Arial"/>
                <w:szCs w:val="22"/>
              </w:rPr>
              <w:t>APPLICANT</w:t>
            </w:r>
            <w:r w:rsidR="002C4404">
              <w:rPr>
                <w:rFonts w:cs="Arial"/>
                <w:szCs w:val="22"/>
              </w:rPr>
              <w:t>S</w:t>
            </w:r>
            <w:r w:rsidRPr="007811C6">
              <w:rPr>
                <w:rFonts w:cs="Arial"/>
                <w:szCs w:val="22"/>
              </w:rPr>
              <w:t>:</w:t>
            </w:r>
          </w:p>
        </w:tc>
        <w:tc>
          <w:tcPr>
            <w:tcW w:w="3935" w:type="dxa"/>
            <w:gridSpan w:val="2"/>
          </w:tcPr>
          <w:p w14:paraId="69785AA9" w14:textId="0998276C" w:rsidR="00DD2710" w:rsidRPr="002C4404" w:rsidRDefault="002C4404" w:rsidP="00EF0D9E">
            <w:pPr>
              <w:tabs>
                <w:tab w:val="right" w:pos="0"/>
                <w:tab w:val="left" w:pos="567"/>
                <w:tab w:val="right" w:pos="2727"/>
                <w:tab w:val="left" w:pos="4253"/>
              </w:tabs>
              <w:spacing w:before="120" w:after="120"/>
              <w:jc w:val="right"/>
              <w:rPr>
                <w:rFonts w:cs="Arial"/>
                <w:szCs w:val="22"/>
              </w:rPr>
            </w:pPr>
            <w:r w:rsidRPr="002C4404">
              <w:rPr>
                <w:rFonts w:cs="Arial"/>
                <w:szCs w:val="22"/>
              </w:rPr>
              <w:t xml:space="preserve">S W </w:t>
            </w:r>
            <w:r w:rsidRPr="002C4404">
              <w:t>MKHIZE</w:t>
            </w:r>
            <w:r w:rsidRPr="002C4404">
              <w:rPr>
                <w:rFonts w:cs="Arial"/>
                <w:szCs w:val="22"/>
              </w:rPr>
              <w:t xml:space="preserve"> </w:t>
            </w:r>
          </w:p>
        </w:tc>
      </w:tr>
      <w:tr w:rsidR="009D35B5" w:rsidRPr="007811C6" w14:paraId="183C176D" w14:textId="77777777" w:rsidTr="00615F6B">
        <w:tc>
          <w:tcPr>
            <w:tcW w:w="4678" w:type="dxa"/>
          </w:tcPr>
          <w:p w14:paraId="75365413" w14:textId="77EFB09A" w:rsidR="009D35B5" w:rsidRPr="007811C6" w:rsidRDefault="009D35B5" w:rsidP="00A25AB4">
            <w:pPr>
              <w:tabs>
                <w:tab w:val="right" w:pos="0"/>
                <w:tab w:val="left" w:pos="4253"/>
              </w:tabs>
              <w:spacing w:before="120" w:after="120"/>
              <w:rPr>
                <w:rFonts w:cs="Arial"/>
                <w:szCs w:val="22"/>
              </w:rPr>
            </w:pPr>
            <w:r w:rsidRPr="007811C6">
              <w:rPr>
                <w:rFonts w:cs="Arial"/>
                <w:szCs w:val="22"/>
              </w:rPr>
              <w:t>INSTRUCTED BY</w:t>
            </w:r>
            <w:r w:rsidR="008707F5">
              <w:rPr>
                <w:rFonts w:cs="Arial"/>
                <w:szCs w:val="22"/>
              </w:rPr>
              <w:t>:</w:t>
            </w:r>
          </w:p>
        </w:tc>
        <w:tc>
          <w:tcPr>
            <w:tcW w:w="3935" w:type="dxa"/>
            <w:gridSpan w:val="2"/>
          </w:tcPr>
          <w:p w14:paraId="4044534A" w14:textId="3FFAAB14" w:rsidR="00E10D04" w:rsidRPr="007811C6" w:rsidRDefault="002C4404" w:rsidP="00A25AB4">
            <w:pPr>
              <w:tabs>
                <w:tab w:val="right" w:pos="0"/>
                <w:tab w:val="left" w:pos="4253"/>
              </w:tabs>
              <w:spacing w:before="120" w:after="120"/>
              <w:jc w:val="right"/>
              <w:rPr>
                <w:rFonts w:cs="Arial"/>
                <w:szCs w:val="22"/>
              </w:rPr>
            </w:pPr>
            <w:r>
              <w:rPr>
                <w:rFonts w:cs="Arial"/>
                <w:szCs w:val="22"/>
              </w:rPr>
              <w:t>VUYO MNAZANA &amp; DE WEET</w:t>
            </w:r>
            <w:r w:rsidR="00306DDF">
              <w:rPr>
                <w:rFonts w:cs="Arial"/>
                <w:szCs w:val="22"/>
              </w:rPr>
              <w:t xml:space="preserve"> AT</w:t>
            </w:r>
            <w:r>
              <w:rPr>
                <w:rFonts w:cs="Arial"/>
                <w:szCs w:val="22"/>
              </w:rPr>
              <w:t>T</w:t>
            </w:r>
            <w:r w:rsidR="00306DDF">
              <w:rPr>
                <w:rFonts w:cs="Arial"/>
                <w:szCs w:val="22"/>
              </w:rPr>
              <w:t>ORNEYS</w:t>
            </w:r>
            <w:r>
              <w:rPr>
                <w:rFonts w:cs="Arial"/>
                <w:szCs w:val="22"/>
              </w:rPr>
              <w:t>, MNANZANA HLASELANI ATTORNEYS INC</w:t>
            </w:r>
          </w:p>
        </w:tc>
      </w:tr>
      <w:tr w:rsidR="009D35B5" w:rsidRPr="007811C6" w14:paraId="6E2BF966" w14:textId="77777777" w:rsidTr="00EF0D9E">
        <w:tc>
          <w:tcPr>
            <w:tcW w:w="5670" w:type="dxa"/>
            <w:gridSpan w:val="2"/>
          </w:tcPr>
          <w:p w14:paraId="545B6665" w14:textId="6B1431F3" w:rsidR="009D35B5" w:rsidRPr="007811C6" w:rsidRDefault="009D35B5" w:rsidP="00A25AB4">
            <w:pPr>
              <w:tabs>
                <w:tab w:val="right" w:pos="0"/>
                <w:tab w:val="left" w:pos="4253"/>
              </w:tabs>
              <w:spacing w:before="120" w:after="120"/>
              <w:rPr>
                <w:rFonts w:cs="Arial"/>
                <w:szCs w:val="22"/>
              </w:rPr>
            </w:pPr>
            <w:r w:rsidRPr="007811C6">
              <w:rPr>
                <w:rFonts w:cs="Arial"/>
                <w:szCs w:val="22"/>
              </w:rPr>
              <w:t xml:space="preserve">COUNSEL FOR </w:t>
            </w:r>
            <w:r w:rsidR="0061036C" w:rsidRPr="007811C6">
              <w:rPr>
                <w:rFonts w:cs="Arial"/>
                <w:szCs w:val="22"/>
              </w:rPr>
              <w:t xml:space="preserve">THE </w:t>
            </w:r>
            <w:r w:rsidR="00D83D28">
              <w:rPr>
                <w:rFonts w:cs="Arial"/>
                <w:szCs w:val="22"/>
              </w:rPr>
              <w:t xml:space="preserve">FIRST, SECOND AND THIRD </w:t>
            </w:r>
            <w:r w:rsidR="00027D19" w:rsidRPr="007811C6">
              <w:rPr>
                <w:rFonts w:cs="Arial"/>
                <w:szCs w:val="22"/>
              </w:rPr>
              <w:t>RESPONDENT</w:t>
            </w:r>
            <w:r w:rsidR="002C4404">
              <w:rPr>
                <w:rFonts w:cs="Arial"/>
                <w:szCs w:val="22"/>
              </w:rPr>
              <w:t>S</w:t>
            </w:r>
            <w:r w:rsidR="00EF0D9E">
              <w:rPr>
                <w:rFonts w:cs="Arial"/>
                <w:szCs w:val="22"/>
              </w:rPr>
              <w:t>:</w:t>
            </w:r>
          </w:p>
        </w:tc>
        <w:tc>
          <w:tcPr>
            <w:tcW w:w="2943" w:type="dxa"/>
          </w:tcPr>
          <w:p w14:paraId="51741A90" w14:textId="1BE4C150" w:rsidR="00E35391" w:rsidRPr="007811C6" w:rsidRDefault="008C091E" w:rsidP="00D65571">
            <w:pPr>
              <w:tabs>
                <w:tab w:val="right" w:pos="0"/>
                <w:tab w:val="left" w:pos="4253"/>
              </w:tabs>
              <w:spacing w:before="120" w:after="120"/>
              <w:jc w:val="right"/>
              <w:rPr>
                <w:rFonts w:cs="Arial"/>
                <w:szCs w:val="22"/>
              </w:rPr>
            </w:pPr>
            <w:r>
              <w:rPr>
                <w:rFonts w:cs="Arial"/>
                <w:szCs w:val="22"/>
              </w:rPr>
              <w:t>A SESHOKA</w:t>
            </w:r>
          </w:p>
        </w:tc>
      </w:tr>
      <w:tr w:rsidR="00034741" w:rsidRPr="007811C6" w14:paraId="2B972DA2" w14:textId="77777777" w:rsidTr="00615F6B">
        <w:tc>
          <w:tcPr>
            <w:tcW w:w="4678" w:type="dxa"/>
          </w:tcPr>
          <w:p w14:paraId="791FF4F8" w14:textId="775FF384" w:rsidR="00034741" w:rsidRPr="007811C6" w:rsidRDefault="00034741" w:rsidP="00A25AB4">
            <w:pPr>
              <w:tabs>
                <w:tab w:val="right" w:pos="0"/>
                <w:tab w:val="left" w:pos="4253"/>
              </w:tabs>
              <w:spacing w:before="120" w:after="120"/>
              <w:rPr>
                <w:rFonts w:cs="Arial"/>
                <w:szCs w:val="22"/>
              </w:rPr>
            </w:pPr>
            <w:r>
              <w:rPr>
                <w:rFonts w:cs="Arial"/>
                <w:szCs w:val="22"/>
              </w:rPr>
              <w:t>COUNSEL FOR THE CITY OF EKURHULENI METROPOLITAN MUNICIPALITY</w:t>
            </w:r>
          </w:p>
        </w:tc>
        <w:tc>
          <w:tcPr>
            <w:tcW w:w="3935" w:type="dxa"/>
            <w:gridSpan w:val="2"/>
          </w:tcPr>
          <w:p w14:paraId="5A05CD05" w14:textId="59AB0F4F" w:rsidR="00034741" w:rsidRDefault="00034741" w:rsidP="00A25AB4">
            <w:pPr>
              <w:tabs>
                <w:tab w:val="right" w:pos="0"/>
                <w:tab w:val="left" w:pos="4253"/>
              </w:tabs>
              <w:spacing w:before="120" w:after="120"/>
              <w:jc w:val="right"/>
              <w:rPr>
                <w:rFonts w:cs="Arial"/>
                <w:szCs w:val="22"/>
              </w:rPr>
            </w:pPr>
            <w:r>
              <w:rPr>
                <w:rFonts w:cs="Arial"/>
                <w:szCs w:val="22"/>
              </w:rPr>
              <w:t>E SITHOLE</w:t>
            </w:r>
          </w:p>
        </w:tc>
      </w:tr>
      <w:tr w:rsidR="009D35B5" w:rsidRPr="007811C6" w14:paraId="2A3FE2B1" w14:textId="77777777" w:rsidTr="00615F6B">
        <w:tc>
          <w:tcPr>
            <w:tcW w:w="4678" w:type="dxa"/>
          </w:tcPr>
          <w:p w14:paraId="0767D0FE" w14:textId="61925A22" w:rsidR="009D35B5" w:rsidRPr="007811C6" w:rsidRDefault="009D35B5" w:rsidP="00A25AB4">
            <w:pPr>
              <w:tabs>
                <w:tab w:val="right" w:pos="0"/>
                <w:tab w:val="left" w:pos="4253"/>
              </w:tabs>
              <w:spacing w:before="120" w:after="120"/>
              <w:rPr>
                <w:rFonts w:cs="Arial"/>
                <w:szCs w:val="22"/>
              </w:rPr>
            </w:pPr>
            <w:r w:rsidRPr="007811C6">
              <w:rPr>
                <w:rFonts w:cs="Arial"/>
                <w:szCs w:val="22"/>
              </w:rPr>
              <w:t xml:space="preserve">DATE </w:t>
            </w:r>
            <w:r w:rsidR="00E57446" w:rsidRPr="007811C6">
              <w:rPr>
                <w:rFonts w:cs="Arial"/>
                <w:szCs w:val="22"/>
              </w:rPr>
              <w:t>OF ARGUMENT</w:t>
            </w:r>
            <w:r w:rsidRPr="007811C6">
              <w:rPr>
                <w:rFonts w:cs="Arial"/>
                <w:szCs w:val="22"/>
              </w:rPr>
              <w:t>:</w:t>
            </w:r>
          </w:p>
        </w:tc>
        <w:tc>
          <w:tcPr>
            <w:tcW w:w="3935" w:type="dxa"/>
            <w:gridSpan w:val="2"/>
          </w:tcPr>
          <w:p w14:paraId="34C95147" w14:textId="475E2557" w:rsidR="009D35B5" w:rsidRPr="007811C6" w:rsidRDefault="0075435F" w:rsidP="00A25AB4">
            <w:pPr>
              <w:tabs>
                <w:tab w:val="right" w:pos="0"/>
                <w:tab w:val="left" w:pos="4253"/>
              </w:tabs>
              <w:spacing w:before="120" w:after="120"/>
              <w:jc w:val="right"/>
              <w:rPr>
                <w:rFonts w:cs="Arial"/>
                <w:szCs w:val="22"/>
              </w:rPr>
            </w:pPr>
            <w:r>
              <w:rPr>
                <w:rFonts w:cs="Arial"/>
                <w:szCs w:val="22"/>
              </w:rPr>
              <w:t>2</w:t>
            </w:r>
            <w:r w:rsidR="002C4404">
              <w:rPr>
                <w:rFonts w:cs="Arial"/>
                <w:szCs w:val="22"/>
              </w:rPr>
              <w:t xml:space="preserve"> &amp; 3</w:t>
            </w:r>
            <w:r>
              <w:rPr>
                <w:rFonts w:cs="Arial"/>
                <w:szCs w:val="22"/>
              </w:rPr>
              <w:t xml:space="preserve"> MAY</w:t>
            </w:r>
            <w:r w:rsidR="00044778">
              <w:rPr>
                <w:rFonts w:cs="Arial"/>
                <w:szCs w:val="22"/>
              </w:rPr>
              <w:t xml:space="preserve"> 2024</w:t>
            </w:r>
          </w:p>
        </w:tc>
      </w:tr>
      <w:tr w:rsidR="00107CEB" w:rsidRPr="007811C6" w14:paraId="229D7505" w14:textId="77777777" w:rsidTr="00615F6B">
        <w:tc>
          <w:tcPr>
            <w:tcW w:w="4678" w:type="dxa"/>
          </w:tcPr>
          <w:p w14:paraId="379E0058" w14:textId="491851E6" w:rsidR="00107CEB" w:rsidRPr="007811C6" w:rsidRDefault="00107CEB" w:rsidP="00A25AB4">
            <w:pPr>
              <w:tabs>
                <w:tab w:val="right" w:pos="0"/>
                <w:tab w:val="left" w:pos="4253"/>
              </w:tabs>
              <w:spacing w:before="120" w:after="120"/>
              <w:rPr>
                <w:rFonts w:cs="Arial"/>
                <w:szCs w:val="22"/>
              </w:rPr>
            </w:pPr>
            <w:r>
              <w:rPr>
                <w:rFonts w:cs="Arial"/>
                <w:szCs w:val="22"/>
              </w:rPr>
              <w:t>DATE OF</w:t>
            </w:r>
            <w:r w:rsidRPr="007811C6">
              <w:rPr>
                <w:rFonts w:cs="Arial"/>
                <w:szCs w:val="22"/>
              </w:rPr>
              <w:t xml:space="preserve"> JUDGMENT</w:t>
            </w:r>
            <w:r>
              <w:rPr>
                <w:rFonts w:cs="Arial"/>
                <w:szCs w:val="22"/>
              </w:rPr>
              <w:t>:</w:t>
            </w:r>
          </w:p>
        </w:tc>
        <w:tc>
          <w:tcPr>
            <w:tcW w:w="3935" w:type="dxa"/>
            <w:gridSpan w:val="2"/>
          </w:tcPr>
          <w:p w14:paraId="43800DC7" w14:textId="15BA9A39" w:rsidR="00107CEB" w:rsidRDefault="004D4365" w:rsidP="00A25AB4">
            <w:pPr>
              <w:tabs>
                <w:tab w:val="right" w:pos="0"/>
                <w:tab w:val="left" w:pos="4253"/>
              </w:tabs>
              <w:spacing w:before="120" w:after="120"/>
              <w:jc w:val="right"/>
              <w:rPr>
                <w:rFonts w:cs="Arial"/>
                <w:szCs w:val="22"/>
              </w:rPr>
            </w:pPr>
            <w:r>
              <w:rPr>
                <w:rFonts w:cs="Arial"/>
                <w:szCs w:val="22"/>
              </w:rPr>
              <w:t>21</w:t>
            </w:r>
            <w:r w:rsidR="00107CEB">
              <w:rPr>
                <w:rFonts w:cs="Arial"/>
                <w:szCs w:val="22"/>
              </w:rPr>
              <w:t xml:space="preserve"> MAY 2024</w:t>
            </w:r>
          </w:p>
        </w:tc>
      </w:tr>
    </w:tbl>
    <w:p w14:paraId="5AD1400A" w14:textId="77777777" w:rsidR="00264BB6" w:rsidRDefault="00264BB6" w:rsidP="00264BB6">
      <w:pPr>
        <w:widowControl w:val="0"/>
        <w:tabs>
          <w:tab w:val="num" w:pos="567"/>
        </w:tabs>
        <w:spacing w:before="240" w:after="240" w:line="360" w:lineRule="auto"/>
        <w:jc w:val="both"/>
      </w:pPr>
    </w:p>
    <w:sectPr w:rsidR="00264BB6" w:rsidSect="004B771B">
      <w:headerReference w:type="even" r:id="rId9"/>
      <w:headerReference w:type="default" r:id="rId10"/>
      <w:footerReference w:type="even" r:id="rId11"/>
      <w:footerReference w:type="default" r:id="rId12"/>
      <w:headerReference w:type="first" r:id="rId13"/>
      <w:footerReference w:type="first" r:id="rId14"/>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41D96" w14:textId="77777777" w:rsidR="00B33D1A" w:rsidRPr="008E2A22" w:rsidRDefault="00B33D1A">
      <w:pPr>
        <w:rPr>
          <w:sz w:val="21"/>
          <w:szCs w:val="21"/>
        </w:rPr>
      </w:pPr>
      <w:r w:rsidRPr="008E2A22">
        <w:rPr>
          <w:sz w:val="21"/>
          <w:szCs w:val="21"/>
        </w:rPr>
        <w:separator/>
      </w:r>
    </w:p>
  </w:endnote>
  <w:endnote w:type="continuationSeparator" w:id="0">
    <w:p w14:paraId="6734E1E5" w14:textId="77777777" w:rsidR="00B33D1A" w:rsidRPr="008E2A22" w:rsidRDefault="00B33D1A">
      <w:pPr>
        <w:rPr>
          <w:sz w:val="21"/>
          <w:szCs w:val="21"/>
        </w:rPr>
      </w:pPr>
      <w:r w:rsidRPr="008E2A2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E1B9C" w14:textId="77777777" w:rsidR="000151E5" w:rsidRDefault="00015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CF760" w14:textId="77777777" w:rsidR="000151E5" w:rsidRDefault="00015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96CF0" w14:textId="77777777" w:rsidR="000151E5" w:rsidRDefault="00015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EF1D6A" w14:textId="77777777" w:rsidR="00B33D1A" w:rsidRPr="008E2A22" w:rsidRDefault="00B33D1A">
      <w:pPr>
        <w:rPr>
          <w:sz w:val="21"/>
          <w:szCs w:val="21"/>
        </w:rPr>
      </w:pPr>
      <w:r w:rsidRPr="008E2A22">
        <w:rPr>
          <w:sz w:val="21"/>
          <w:szCs w:val="21"/>
        </w:rPr>
        <w:separator/>
      </w:r>
    </w:p>
  </w:footnote>
  <w:footnote w:type="continuationSeparator" w:id="0">
    <w:p w14:paraId="0236FAE0" w14:textId="77777777" w:rsidR="00B33D1A" w:rsidRPr="008E2A22" w:rsidRDefault="00B33D1A">
      <w:pPr>
        <w:rPr>
          <w:sz w:val="21"/>
          <w:szCs w:val="21"/>
        </w:rPr>
      </w:pPr>
      <w:r w:rsidRPr="008E2A22">
        <w:rPr>
          <w:sz w:val="21"/>
          <w:szCs w:val="21"/>
        </w:rPr>
        <w:continuationSeparator/>
      </w:r>
    </w:p>
  </w:footnote>
  <w:footnote w:id="1">
    <w:p w14:paraId="19927F97" w14:textId="7600E085" w:rsidR="007F7364" w:rsidRPr="007F7364" w:rsidRDefault="007F7364">
      <w:pPr>
        <w:pStyle w:val="FootnoteText"/>
        <w:rPr>
          <w:lang w:val="en-GB"/>
        </w:rPr>
      </w:pPr>
      <w:r>
        <w:rPr>
          <w:rStyle w:val="FootnoteReference"/>
        </w:rPr>
        <w:footnoteRef/>
      </w:r>
      <w:r>
        <w:t xml:space="preserve"> </w:t>
      </w:r>
      <w:r>
        <w:tab/>
      </w:r>
      <w:r w:rsidR="002D68AD">
        <w:rPr>
          <w:rFonts w:cs="Arial"/>
          <w:bCs/>
          <w:szCs w:val="22"/>
        </w:rPr>
        <w:t>There is a duplication of page numbers. There is a notice of motion dated 16 April 2024 together with a founding affidavit deposed to on the same day</w:t>
      </w:r>
      <w:r w:rsidR="002D68AD">
        <w:rPr>
          <w:rStyle w:val="FootnoteReference"/>
          <w:rFonts w:cs="Arial"/>
          <w:bCs/>
          <w:szCs w:val="22"/>
        </w:rPr>
        <w:footnoteRef/>
      </w:r>
      <w:r w:rsidR="002D68AD">
        <w:rPr>
          <w:rFonts w:cs="Arial"/>
          <w:bCs/>
          <w:szCs w:val="22"/>
        </w:rPr>
        <w:t xml:space="preserve"> that reflect the page numbers 0000 – 1 to 0000 – 44, as well as a supplementary affidavit at pages also numbered 0000 – 1 to 0000 – 33. The same numbering is then used for a further notice of motion dated 25 April 2024 at pages 0000-1 to 0000-4, with a copy of the supplementary affidavit at pages 0000-6 to 0000-31. The same numbering was used in 2022 when a notice of motion dated August 2022 was filed at pages also identified by the numbers 0000-1 to 0000-64, followed by another notice of motion dated 31 August 2022 at pages 0000-65 to 0000-128</w:t>
      </w:r>
    </w:p>
  </w:footnote>
  <w:footnote w:id="2">
    <w:p w14:paraId="0D253A66" w14:textId="0264798D" w:rsidR="00394CA9" w:rsidRPr="00394CA9" w:rsidRDefault="00394CA9">
      <w:pPr>
        <w:pStyle w:val="FootnoteText"/>
        <w:rPr>
          <w:lang w:val="en-GB"/>
        </w:rPr>
      </w:pPr>
      <w:r>
        <w:rPr>
          <w:rStyle w:val="FootnoteReference"/>
        </w:rPr>
        <w:footnoteRef/>
      </w:r>
      <w:r>
        <w:t xml:space="preserve"> </w:t>
      </w:r>
      <w:r>
        <w:rPr>
          <w:lang w:val="en-GB"/>
        </w:rPr>
        <w:tab/>
      </w:r>
      <w:r w:rsidRPr="00684196">
        <w:rPr>
          <w:rFonts w:cs="Arial"/>
          <w:bCs/>
          <w:szCs w:val="22"/>
        </w:rPr>
        <w:t>In the supplementary affidavit it is alleged that the applicants are li</w:t>
      </w:r>
      <w:r>
        <w:rPr>
          <w:rFonts w:cs="Arial"/>
          <w:bCs/>
          <w:szCs w:val="22"/>
        </w:rPr>
        <w:t xml:space="preserve">sted in an </w:t>
      </w:r>
      <w:r w:rsidRPr="00291EA0">
        <w:rPr>
          <w:rFonts w:cs="Arial"/>
          <w:bCs/>
          <w:i/>
          <w:iCs/>
          <w:szCs w:val="22"/>
        </w:rPr>
        <w:t>“Annexure T.S. 10 to the notice of motion.”</w:t>
      </w:r>
      <w:r w:rsidRPr="00291EA0">
        <w:rPr>
          <w:rFonts w:cs="Arial"/>
          <w:bCs/>
          <w:szCs w:val="22"/>
        </w:rPr>
        <w:t xml:space="preserve"> There is no such annexure</w:t>
      </w:r>
      <w:r>
        <w:rPr>
          <w:rFonts w:cs="Arial"/>
          <w:bCs/>
          <w:szCs w:val="22"/>
        </w:rPr>
        <w:t>.</w:t>
      </w:r>
    </w:p>
  </w:footnote>
  <w:footnote w:id="3">
    <w:p w14:paraId="1721B633" w14:textId="478D8399" w:rsidR="007F7364" w:rsidRPr="007F7364" w:rsidRDefault="007F7364">
      <w:pPr>
        <w:pStyle w:val="FootnoteText"/>
        <w:rPr>
          <w:lang w:val="en-GB"/>
        </w:rPr>
      </w:pPr>
      <w:r>
        <w:rPr>
          <w:rStyle w:val="FootnoteReference"/>
        </w:rPr>
        <w:footnoteRef/>
      </w:r>
      <w:r>
        <w:t xml:space="preserve"> </w:t>
      </w:r>
      <w:r>
        <w:rPr>
          <w:lang w:val="en-GB"/>
        </w:rPr>
        <w:tab/>
      </w:r>
      <w:r>
        <w:rPr>
          <w:rFonts w:cs="Arial"/>
          <w:bCs/>
          <w:szCs w:val="22"/>
        </w:rPr>
        <w:t xml:space="preserve">In paragraph 8 of the founding affidavit the deponent states that the applicants were in occupation of property when they were evicted </w:t>
      </w:r>
      <w:r w:rsidRPr="00615B34">
        <w:rPr>
          <w:rFonts w:cs="Arial"/>
          <w:bCs/>
          <w:i/>
          <w:iCs/>
          <w:szCs w:val="22"/>
        </w:rPr>
        <w:t>“all or about the 15</w:t>
      </w:r>
      <w:r w:rsidRPr="00615B34">
        <w:rPr>
          <w:rFonts w:cs="Arial"/>
          <w:bCs/>
          <w:i/>
          <w:iCs/>
          <w:szCs w:val="22"/>
          <w:vertAlign w:val="superscript"/>
        </w:rPr>
        <w:t>th</w:t>
      </w:r>
      <w:r w:rsidRPr="00615B34">
        <w:rPr>
          <w:rFonts w:cs="Arial"/>
          <w:bCs/>
          <w:i/>
          <w:iCs/>
          <w:szCs w:val="22"/>
        </w:rPr>
        <w:t xml:space="preserve"> of February 2024 till date one or about 20 March 2024, all illegal evictions by respondents are currently taking place which is within the jurisdiction of”</w:t>
      </w:r>
      <w:r>
        <w:rPr>
          <w:rFonts w:cs="Arial"/>
          <w:bCs/>
          <w:szCs w:val="22"/>
        </w:rPr>
        <w:t xml:space="preserve"> this court.</w:t>
      </w:r>
      <w:r w:rsidR="00394CA9">
        <w:rPr>
          <w:rFonts w:cs="Arial"/>
          <w:bCs/>
          <w:szCs w:val="22"/>
        </w:rPr>
        <w:t xml:space="preserve"> </w:t>
      </w:r>
      <w:r w:rsidR="00394CA9" w:rsidRPr="00AF3175">
        <w:t xml:space="preserve">In paragraph 19 of the founding affidavit the applicants seemingly rely on a demolition of their houses that took place on 27 April 2021 and was carried out by the municipality.In paragraph 37 of the same affidavit the date of the alleged spoliation is given as follows: </w:t>
      </w:r>
      <w:r w:rsidR="00394CA9" w:rsidRPr="00394CA9">
        <w:rPr>
          <w:i/>
          <w:iCs/>
        </w:rPr>
        <w:t>“the 28th / 30th of and 03rd March 2024 of March 2023”</w:t>
      </w:r>
      <w:r w:rsidR="00394CA9" w:rsidRPr="00AF3175">
        <w:t>. It is not possible to interpret this statement</w:t>
      </w:r>
    </w:p>
  </w:footnote>
  <w:footnote w:id="4">
    <w:p w14:paraId="1951781E" w14:textId="02077ADA" w:rsidR="00394CA9" w:rsidRPr="00394CA9" w:rsidRDefault="00394CA9">
      <w:pPr>
        <w:pStyle w:val="FootnoteText"/>
        <w:rPr>
          <w:lang w:val="en-GB"/>
        </w:rPr>
      </w:pPr>
      <w:r>
        <w:rPr>
          <w:rStyle w:val="FootnoteReference"/>
        </w:rPr>
        <w:footnoteRef/>
      </w:r>
      <w:r>
        <w:t xml:space="preserve"> </w:t>
      </w:r>
      <w:r>
        <w:rPr>
          <w:lang w:val="en-GB"/>
        </w:rPr>
        <w:tab/>
      </w:r>
      <w:r>
        <w:rPr>
          <w:rFonts w:cs="Arial"/>
          <w:bCs/>
          <w:szCs w:val="22"/>
        </w:rPr>
        <w:t xml:space="preserve">In paragraph 15 of the supplementary affidavit it is alleged that a group of </w:t>
      </w:r>
      <w:r w:rsidRPr="00684196">
        <w:rPr>
          <w:rFonts w:cs="Arial"/>
          <w:bCs/>
          <w:i/>
          <w:iCs/>
          <w:szCs w:val="22"/>
        </w:rPr>
        <w:t>“unknown angry illegal invaders being sent by respondent’s thus proceeded to erect structures or properties within the adjacent land order within the boundaries of Moroleng section community, tembisa.”</w:t>
      </w:r>
      <w:r>
        <w:rPr>
          <w:rFonts w:cs="Arial"/>
          <w:bCs/>
          <w:i/>
          <w:iCs/>
          <w:szCs w:val="22"/>
        </w:rPr>
        <w:t xml:space="preserve"> </w:t>
      </w:r>
      <w:r w:rsidRPr="00684196">
        <w:rPr>
          <w:rFonts w:cs="Arial"/>
          <w:bCs/>
          <w:szCs w:val="22"/>
        </w:rPr>
        <w:t xml:space="preserve">These invaders are not identified </w:t>
      </w:r>
      <w:r>
        <w:rPr>
          <w:rFonts w:cs="Arial"/>
          <w:bCs/>
          <w:szCs w:val="22"/>
        </w:rPr>
        <w:t>and no basis is laid for the bald averment that they were sent by the respondents</w:t>
      </w:r>
    </w:p>
  </w:footnote>
  <w:footnote w:id="5">
    <w:p w14:paraId="1A9E3CFE" w14:textId="450C8275" w:rsidR="0060254C" w:rsidRDefault="0060254C" w:rsidP="0060254C">
      <w:pPr>
        <w:pStyle w:val="FootnoteText"/>
      </w:pPr>
      <w:r>
        <w:rPr>
          <w:rStyle w:val="FootnoteReference"/>
        </w:rPr>
        <w:footnoteRef/>
      </w:r>
      <w:r>
        <w:t xml:space="preserve"> </w:t>
      </w:r>
      <w:r>
        <w:tab/>
        <w:t>Page 079-1</w:t>
      </w:r>
      <w:r w:rsidR="005761E9">
        <w:t>. The references to page numbers are to the page numbers on Caselines.</w:t>
      </w:r>
    </w:p>
  </w:footnote>
  <w:footnote w:id="6">
    <w:p w14:paraId="4396A81A" w14:textId="72B3D8A9" w:rsidR="0060254C" w:rsidRDefault="0060254C" w:rsidP="0060254C">
      <w:pPr>
        <w:pStyle w:val="FootnoteText"/>
      </w:pPr>
      <w:r>
        <w:rPr>
          <w:rStyle w:val="FootnoteReference"/>
        </w:rPr>
        <w:footnoteRef/>
      </w:r>
      <w:r>
        <w:t xml:space="preserve"> </w:t>
      </w:r>
      <w:r>
        <w:tab/>
        <w:t>Page AAA1.</w:t>
      </w:r>
    </w:p>
  </w:footnote>
  <w:footnote w:id="7">
    <w:p w14:paraId="43E55EB4" w14:textId="5D635121" w:rsidR="00BD3854" w:rsidRDefault="00BD3854">
      <w:pPr>
        <w:pStyle w:val="FootnoteText"/>
      </w:pPr>
      <w:r>
        <w:rPr>
          <w:rStyle w:val="FootnoteReference"/>
        </w:rPr>
        <w:footnoteRef/>
      </w:r>
      <w:r>
        <w:t xml:space="preserve"> </w:t>
      </w:r>
      <w:r>
        <w:tab/>
        <w:t>Page 079-5.</w:t>
      </w:r>
    </w:p>
  </w:footnote>
  <w:footnote w:id="8">
    <w:p w14:paraId="60D6CE9B" w14:textId="61CA5BDF" w:rsidR="00010C88" w:rsidRDefault="00010C88">
      <w:pPr>
        <w:pStyle w:val="FootnoteText"/>
      </w:pPr>
      <w:r>
        <w:rPr>
          <w:rStyle w:val="FootnoteReference"/>
        </w:rPr>
        <w:footnoteRef/>
      </w:r>
      <w:r>
        <w:t xml:space="preserve"> </w:t>
      </w:r>
      <w:r>
        <w:tab/>
        <w:t xml:space="preserve">Page </w:t>
      </w:r>
      <w:r w:rsidR="00810A83">
        <w:t>079-11.</w:t>
      </w:r>
    </w:p>
  </w:footnote>
  <w:footnote w:id="9">
    <w:p w14:paraId="0AC75177" w14:textId="77777777" w:rsidR="0055643B" w:rsidRPr="003847A7" w:rsidRDefault="0055643B" w:rsidP="0055643B">
      <w:pPr>
        <w:pStyle w:val="FootnoteText"/>
        <w:rPr>
          <w:lang w:val="en-GB"/>
        </w:rPr>
      </w:pPr>
      <w:r>
        <w:rPr>
          <w:rStyle w:val="FootnoteReference"/>
        </w:rPr>
        <w:footnoteRef/>
      </w:r>
      <w:r>
        <w:t xml:space="preserve"> </w:t>
      </w:r>
      <w:r>
        <w:rPr>
          <w:lang w:val="en-GB"/>
        </w:rPr>
        <w:tab/>
        <w:t>Page 0000-5.</w:t>
      </w:r>
    </w:p>
  </w:footnote>
  <w:footnote w:id="10">
    <w:p w14:paraId="1B8CF868" w14:textId="54E4A86C" w:rsidR="0055643B" w:rsidRDefault="0055643B" w:rsidP="0055643B">
      <w:pPr>
        <w:pStyle w:val="FootnoteText"/>
      </w:pPr>
      <w:r>
        <w:rPr>
          <w:rStyle w:val="FootnoteReference"/>
        </w:rPr>
        <w:footnoteRef/>
      </w:r>
      <w:r>
        <w:t xml:space="preserve"> </w:t>
      </w:r>
      <w:r>
        <w:tab/>
        <w:t>Page 0002-1 onwards</w:t>
      </w:r>
      <w:r w:rsidR="002A2099">
        <w:t>.</w:t>
      </w:r>
    </w:p>
  </w:footnote>
  <w:footnote w:id="11">
    <w:p w14:paraId="448263DE" w14:textId="71802D2B" w:rsidR="00034741" w:rsidRDefault="00034741">
      <w:pPr>
        <w:pStyle w:val="FootnoteText"/>
      </w:pPr>
      <w:r>
        <w:rPr>
          <w:rStyle w:val="FootnoteReference"/>
        </w:rPr>
        <w:footnoteRef/>
      </w:r>
      <w:r>
        <w:t xml:space="preserve"> </w:t>
      </w:r>
      <w:r>
        <w:tab/>
        <w:t>Para 10.</w:t>
      </w:r>
    </w:p>
  </w:footnote>
  <w:footnote w:id="12">
    <w:p w14:paraId="0A7776C8" w14:textId="77328693" w:rsidR="00D342A2" w:rsidRDefault="00D342A2">
      <w:pPr>
        <w:pStyle w:val="FootnoteText"/>
      </w:pPr>
      <w:r>
        <w:rPr>
          <w:rStyle w:val="FootnoteReference"/>
        </w:rPr>
        <w:footnoteRef/>
      </w:r>
      <w:r>
        <w:t xml:space="preserve"> </w:t>
      </w:r>
      <w:r>
        <w:tab/>
        <w:t>Para 11.</w:t>
      </w:r>
    </w:p>
  </w:footnote>
  <w:footnote w:id="13">
    <w:p w14:paraId="1D066FBF" w14:textId="48180ACE" w:rsidR="00D342A2" w:rsidRDefault="00D342A2">
      <w:pPr>
        <w:pStyle w:val="FootnoteText"/>
      </w:pPr>
      <w:r>
        <w:rPr>
          <w:rStyle w:val="FootnoteReference"/>
        </w:rPr>
        <w:footnoteRef/>
      </w:r>
      <w:r>
        <w:t xml:space="preserve"> </w:t>
      </w:r>
      <w:r>
        <w:tab/>
        <w:t>Para 12 and 13.</w:t>
      </w:r>
    </w:p>
  </w:footnote>
  <w:footnote w:id="14">
    <w:p w14:paraId="26E3965C" w14:textId="746A40BD" w:rsidR="00354315" w:rsidRDefault="00354315">
      <w:pPr>
        <w:pStyle w:val="FootnoteText"/>
      </w:pPr>
      <w:r>
        <w:rPr>
          <w:rStyle w:val="FootnoteReference"/>
        </w:rPr>
        <w:footnoteRef/>
      </w:r>
      <w:r>
        <w:t xml:space="preserve"> </w:t>
      </w:r>
      <w:r>
        <w:tab/>
      </w:r>
      <w:bookmarkStart w:id="1" w:name="_Hlk167177610"/>
      <w:r w:rsidRPr="00354315">
        <w:rPr>
          <w:i/>
          <w:iCs/>
        </w:rPr>
        <w:t xml:space="preserve">In re Several Matters on the Urgent Court Roll </w:t>
      </w:r>
      <w:r w:rsidRPr="00EF28DA">
        <w:t>2013 (1) SA 549 (GSJ)</w:t>
      </w:r>
      <w:bookmarkEnd w:id="1"/>
      <w:r>
        <w:t>.</w:t>
      </w:r>
      <w:r w:rsidR="002D68AD">
        <w:t xml:space="preserve"> See also the judgment by Notshe AJ </w:t>
      </w:r>
      <w:r w:rsidR="002D68AD" w:rsidRPr="002D68AD">
        <w:rPr>
          <w:rFonts w:cs="Arial"/>
          <w:color w:val="000000" w:themeColor="text1"/>
        </w:rPr>
        <w:t xml:space="preserve">in </w:t>
      </w:r>
      <w:r w:rsidR="002D68AD" w:rsidRPr="002D68AD">
        <w:rPr>
          <w:rFonts w:cs="Arial"/>
          <w:i/>
          <w:iCs/>
          <w:color w:val="000000" w:themeColor="text1"/>
        </w:rPr>
        <w:t>East Rock Trading 7 (Pty) Ltd and Another v Eagle Valley Granite (Pty) Ltd and Others</w:t>
      </w:r>
      <w:r w:rsidR="002D68AD" w:rsidRPr="002D68AD">
        <w:rPr>
          <w:rFonts w:cs="Arial"/>
          <w:color w:val="000000" w:themeColor="text1"/>
        </w:rPr>
        <w:t> [2011] ZAGPJHC 196 paras 6 and 7</w:t>
      </w:r>
      <w:r w:rsidR="002D68AD">
        <w:rPr>
          <w:rFonts w:cs="Arial"/>
          <w:color w:val="000000" w:themeColor="text1"/>
        </w:rPr>
        <w:t>.</w:t>
      </w:r>
    </w:p>
  </w:footnote>
  <w:footnote w:id="15">
    <w:p w14:paraId="0C40BC49" w14:textId="1FCC4AC1" w:rsidR="007B1743" w:rsidRDefault="007B1743">
      <w:pPr>
        <w:pStyle w:val="FootnoteText"/>
      </w:pPr>
      <w:r>
        <w:rPr>
          <w:rStyle w:val="FootnoteReference"/>
        </w:rPr>
        <w:footnoteRef/>
      </w:r>
      <w:r>
        <w:t xml:space="preserve"> </w:t>
      </w:r>
      <w:r>
        <w:tab/>
        <w:t>Answering affidavit para 28 (page 080-15).</w:t>
      </w:r>
    </w:p>
  </w:footnote>
  <w:footnote w:id="16">
    <w:p w14:paraId="783C8CA8" w14:textId="3BFC4357" w:rsidR="00931AF1" w:rsidRDefault="00931AF1">
      <w:pPr>
        <w:pStyle w:val="FootnoteText"/>
      </w:pPr>
      <w:r>
        <w:rPr>
          <w:rStyle w:val="FootnoteReference"/>
        </w:rPr>
        <w:footnoteRef/>
      </w:r>
      <w:r>
        <w:t xml:space="preserve"> </w:t>
      </w:r>
      <w:r>
        <w:tab/>
      </w:r>
      <w:r w:rsidRPr="00931AF1">
        <w:rPr>
          <w:i/>
          <w:iCs/>
        </w:rPr>
        <w:t>Legal Practice Council v Mkhize</w:t>
      </w:r>
      <w:r w:rsidRPr="0008392F">
        <w:t xml:space="preserve"> 2024 (1) SA 189 (GP)</w:t>
      </w:r>
      <w:r>
        <w:t>.</w:t>
      </w:r>
    </w:p>
  </w:footnote>
  <w:footnote w:id="17">
    <w:p w14:paraId="1A2CCF87" w14:textId="3DAE41BA" w:rsidR="00B0554B" w:rsidRDefault="00B0554B">
      <w:pPr>
        <w:pStyle w:val="FootnoteText"/>
      </w:pPr>
      <w:r>
        <w:rPr>
          <w:rStyle w:val="FootnoteReference"/>
        </w:rPr>
        <w:footnoteRef/>
      </w:r>
      <w:r>
        <w:t xml:space="preserve"> </w:t>
      </w:r>
      <w:r>
        <w:tab/>
        <w:t>Page 00-19.</w:t>
      </w:r>
    </w:p>
  </w:footnote>
  <w:footnote w:id="18">
    <w:p w14:paraId="2404AC77" w14:textId="0976B9E3" w:rsidR="00CF6418" w:rsidRPr="00CF6418" w:rsidRDefault="00CF6418">
      <w:pPr>
        <w:pStyle w:val="FootnoteText"/>
        <w:rPr>
          <w:lang w:val="en-GB"/>
        </w:rPr>
      </w:pPr>
      <w:r>
        <w:rPr>
          <w:rStyle w:val="FootnoteReference"/>
        </w:rPr>
        <w:footnoteRef/>
      </w:r>
      <w:r>
        <w:t xml:space="preserve"> </w:t>
      </w:r>
      <w:r>
        <w:rPr>
          <w:lang w:val="en-GB"/>
        </w:rPr>
        <w:tab/>
        <w:t>Section 18 of the Superior Courts Act 10 of 2013.</w:t>
      </w:r>
    </w:p>
  </w:footnote>
  <w:footnote w:id="19">
    <w:p w14:paraId="593ABB45" w14:textId="3F6FC9AE" w:rsidR="007B1743" w:rsidRDefault="007B1743">
      <w:pPr>
        <w:pStyle w:val="FootnoteText"/>
      </w:pPr>
      <w:r>
        <w:rPr>
          <w:rStyle w:val="FootnoteReference"/>
        </w:rPr>
        <w:footnoteRef/>
      </w:r>
      <w:r>
        <w:t xml:space="preserve"> </w:t>
      </w:r>
      <w:r>
        <w:tab/>
        <w:t>See also the Practice Manual, 2018, para 9.23.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BA923" w14:textId="77777777" w:rsidR="000151E5" w:rsidRDefault="0001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68A9B" w14:textId="110259E9" w:rsidR="00893C08" w:rsidRPr="008E2A22" w:rsidRDefault="00EF0D9E" w:rsidP="004B21D9">
    <w:pPr>
      <w:tabs>
        <w:tab w:val="center" w:pos="4153"/>
        <w:tab w:val="right" w:pos="8306"/>
      </w:tabs>
      <w:spacing w:line="276" w:lineRule="auto"/>
      <w:rPr>
        <w:rFonts w:cs="Arial"/>
        <w:sz w:val="19"/>
        <w:szCs w:val="19"/>
        <w:lang w:val="en-GB"/>
      </w:rPr>
    </w:pPr>
    <w:r>
      <w:rPr>
        <w:rFonts w:cs="Arial"/>
        <w:sz w:val="19"/>
        <w:szCs w:val="19"/>
        <w:lang w:val="en-GB"/>
      </w:rPr>
      <w:t>R</w:t>
    </w:r>
    <w:r w:rsidR="00893C08" w:rsidRPr="008E2A22">
      <w:rPr>
        <w:rFonts w:cs="Arial"/>
        <w:sz w:val="19"/>
        <w:szCs w:val="19"/>
        <w:lang w:val="en-GB"/>
      </w:rPr>
      <w:fldChar w:fldCharType="begin"/>
    </w:r>
    <w:r w:rsidR="00893C08" w:rsidRPr="008E2A22">
      <w:rPr>
        <w:rFonts w:cs="Arial"/>
        <w:sz w:val="19"/>
        <w:szCs w:val="19"/>
        <w:lang w:val="en-GB"/>
      </w:rPr>
      <w:instrText xml:space="preserve"> PAGE </w:instrText>
    </w:r>
    <w:r w:rsidR="00893C08" w:rsidRPr="008E2A22">
      <w:rPr>
        <w:rFonts w:cs="Arial"/>
        <w:sz w:val="19"/>
        <w:szCs w:val="19"/>
        <w:lang w:val="en-GB"/>
      </w:rPr>
      <w:fldChar w:fldCharType="separate"/>
    </w:r>
    <w:r w:rsidR="00615F6B" w:rsidRPr="008E2A22">
      <w:rPr>
        <w:rFonts w:cs="Arial"/>
        <w:noProof/>
        <w:sz w:val="19"/>
        <w:szCs w:val="19"/>
        <w:lang w:val="en-GB"/>
      </w:rPr>
      <w:t>11</w:t>
    </w:r>
    <w:r w:rsidR="00893C08" w:rsidRPr="008E2A22">
      <w:rPr>
        <w:rFonts w:cs="Arial"/>
        <w:sz w:val="19"/>
        <w:szCs w:val="19"/>
        <w:lang w:val="en-GB"/>
      </w:rPr>
      <w:fldChar w:fldCharType="end"/>
    </w:r>
  </w:p>
  <w:p w14:paraId="08C008E5" w14:textId="77777777" w:rsidR="00893C08" w:rsidRPr="008E2A22" w:rsidRDefault="00893C08" w:rsidP="006C43D7">
    <w:pPr>
      <w:tabs>
        <w:tab w:val="center" w:pos="4153"/>
        <w:tab w:val="right" w:pos="8306"/>
      </w:tabs>
      <w:spacing w:line="276" w:lineRule="auto"/>
      <w:jc w:val="right"/>
      <w:rPr>
        <w:rFonts w:cs="Arial"/>
        <w:sz w:val="21"/>
        <w:szCs w:val="21"/>
        <w:lang w:val="en-US"/>
      </w:rPr>
    </w:pPr>
  </w:p>
  <w:p w14:paraId="4A21EF97" w14:textId="77777777" w:rsidR="00893C08" w:rsidRPr="008E2A22" w:rsidRDefault="00893C08" w:rsidP="006C43D7">
    <w:pPr>
      <w:pStyle w:val="Header"/>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9E035" w14:textId="77777777" w:rsidR="000151E5" w:rsidRDefault="00015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B603A"/>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A0D50CD"/>
    <w:multiLevelType w:val="hybridMultilevel"/>
    <w:tmpl w:val="9DC047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4576F93"/>
    <w:multiLevelType w:val="hybridMultilevel"/>
    <w:tmpl w:val="64068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8"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12639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2"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3" w15:restartNumberingAfterBreak="0">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2A6AA7"/>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505316">
    <w:abstractNumId w:val="8"/>
  </w:num>
  <w:num w:numId="2" w16cid:durableId="119956254">
    <w:abstractNumId w:val="3"/>
  </w:num>
  <w:num w:numId="3" w16cid:durableId="1167473955">
    <w:abstractNumId w:val="18"/>
  </w:num>
  <w:num w:numId="4" w16cid:durableId="78840673">
    <w:abstractNumId w:val="10"/>
  </w:num>
  <w:num w:numId="5" w16cid:durableId="1918320734">
    <w:abstractNumId w:val="16"/>
  </w:num>
  <w:num w:numId="6" w16cid:durableId="1197085417">
    <w:abstractNumId w:val="14"/>
  </w:num>
  <w:num w:numId="7" w16cid:durableId="155537142">
    <w:abstractNumId w:val="1"/>
  </w:num>
  <w:num w:numId="8" w16cid:durableId="63722580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4990476">
    <w:abstractNumId w:val="12"/>
  </w:num>
  <w:num w:numId="10" w16cid:durableId="1585726226">
    <w:abstractNumId w:val="4"/>
  </w:num>
  <w:num w:numId="11" w16cid:durableId="1542935855">
    <w:abstractNumId w:val="19"/>
  </w:num>
  <w:num w:numId="12" w16cid:durableId="264770059">
    <w:abstractNumId w:val="7"/>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16cid:durableId="38435043">
    <w:abstractNumId w:val="15"/>
  </w:num>
  <w:num w:numId="14" w16cid:durableId="1920868380">
    <w:abstractNumId w:val="13"/>
  </w:num>
  <w:num w:numId="15" w16cid:durableId="1543513397">
    <w:abstractNumId w:val="6"/>
  </w:num>
  <w:num w:numId="16" w16cid:durableId="2077892263">
    <w:abstractNumId w:val="9"/>
  </w:num>
  <w:num w:numId="17" w16cid:durableId="1697004558">
    <w:abstractNumId w:val="5"/>
  </w:num>
  <w:num w:numId="18" w16cid:durableId="1922254193">
    <w:abstractNumId w:val="2"/>
  </w:num>
  <w:num w:numId="19" w16cid:durableId="970747320">
    <w:abstractNumId w:val="17"/>
  </w:num>
  <w:num w:numId="20" w16cid:durableId="475336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D78C30-D576-4311-86A7-FD525BA9F86F}"/>
    <w:docVar w:name="dgnword-eventsink" w:val="1675093046960"/>
  </w:docVars>
  <w:rsids>
    <w:rsidRoot w:val="00C676F3"/>
    <w:rsid w:val="000004A3"/>
    <w:rsid w:val="00000AFE"/>
    <w:rsid w:val="00001138"/>
    <w:rsid w:val="000019D2"/>
    <w:rsid w:val="000045DF"/>
    <w:rsid w:val="00005CDD"/>
    <w:rsid w:val="00006113"/>
    <w:rsid w:val="00010C88"/>
    <w:rsid w:val="0001111B"/>
    <w:rsid w:val="0001140A"/>
    <w:rsid w:val="00011522"/>
    <w:rsid w:val="00013B7F"/>
    <w:rsid w:val="00013F00"/>
    <w:rsid w:val="00014F6E"/>
    <w:rsid w:val="000151E5"/>
    <w:rsid w:val="0001593E"/>
    <w:rsid w:val="00015D74"/>
    <w:rsid w:val="00020266"/>
    <w:rsid w:val="00022ACD"/>
    <w:rsid w:val="00023D8C"/>
    <w:rsid w:val="00024A29"/>
    <w:rsid w:val="00025815"/>
    <w:rsid w:val="000262B3"/>
    <w:rsid w:val="000264AE"/>
    <w:rsid w:val="00026A26"/>
    <w:rsid w:val="00026D9A"/>
    <w:rsid w:val="00027D19"/>
    <w:rsid w:val="00030A89"/>
    <w:rsid w:val="000319AA"/>
    <w:rsid w:val="000325E2"/>
    <w:rsid w:val="00034741"/>
    <w:rsid w:val="00036508"/>
    <w:rsid w:val="00040CD3"/>
    <w:rsid w:val="000426C0"/>
    <w:rsid w:val="00042D0E"/>
    <w:rsid w:val="00044778"/>
    <w:rsid w:val="0004506F"/>
    <w:rsid w:val="0004508D"/>
    <w:rsid w:val="00045D03"/>
    <w:rsid w:val="00047F26"/>
    <w:rsid w:val="00050086"/>
    <w:rsid w:val="000504F1"/>
    <w:rsid w:val="00051A2B"/>
    <w:rsid w:val="0005282E"/>
    <w:rsid w:val="000528B3"/>
    <w:rsid w:val="000550EB"/>
    <w:rsid w:val="000554B8"/>
    <w:rsid w:val="0005636C"/>
    <w:rsid w:val="00060AF8"/>
    <w:rsid w:val="00063F7B"/>
    <w:rsid w:val="000643C2"/>
    <w:rsid w:val="00066915"/>
    <w:rsid w:val="00066971"/>
    <w:rsid w:val="00070368"/>
    <w:rsid w:val="00072105"/>
    <w:rsid w:val="000737E1"/>
    <w:rsid w:val="00073E30"/>
    <w:rsid w:val="000756A7"/>
    <w:rsid w:val="00077B2B"/>
    <w:rsid w:val="00077D11"/>
    <w:rsid w:val="000809A3"/>
    <w:rsid w:val="00081716"/>
    <w:rsid w:val="00082EDC"/>
    <w:rsid w:val="000833BB"/>
    <w:rsid w:val="000835BE"/>
    <w:rsid w:val="00085288"/>
    <w:rsid w:val="00087AE6"/>
    <w:rsid w:val="000906B5"/>
    <w:rsid w:val="00090FFC"/>
    <w:rsid w:val="00092591"/>
    <w:rsid w:val="00093237"/>
    <w:rsid w:val="0009429D"/>
    <w:rsid w:val="0009488C"/>
    <w:rsid w:val="0009540B"/>
    <w:rsid w:val="000956E5"/>
    <w:rsid w:val="00096A67"/>
    <w:rsid w:val="000976D2"/>
    <w:rsid w:val="00097968"/>
    <w:rsid w:val="000A0D65"/>
    <w:rsid w:val="000A6AD8"/>
    <w:rsid w:val="000A6EA3"/>
    <w:rsid w:val="000B0116"/>
    <w:rsid w:val="000B0A70"/>
    <w:rsid w:val="000B2102"/>
    <w:rsid w:val="000B21DA"/>
    <w:rsid w:val="000B39D7"/>
    <w:rsid w:val="000B3A78"/>
    <w:rsid w:val="000C7A3D"/>
    <w:rsid w:val="000C7E41"/>
    <w:rsid w:val="000D01E0"/>
    <w:rsid w:val="000D21E7"/>
    <w:rsid w:val="000D2265"/>
    <w:rsid w:val="000D415C"/>
    <w:rsid w:val="000D4E84"/>
    <w:rsid w:val="000D53F5"/>
    <w:rsid w:val="000D5760"/>
    <w:rsid w:val="000D71C5"/>
    <w:rsid w:val="000D7D6A"/>
    <w:rsid w:val="000E1EC8"/>
    <w:rsid w:val="000E22E5"/>
    <w:rsid w:val="000E3EE8"/>
    <w:rsid w:val="000E4985"/>
    <w:rsid w:val="000E5343"/>
    <w:rsid w:val="000F00EF"/>
    <w:rsid w:val="000F089C"/>
    <w:rsid w:val="000F1694"/>
    <w:rsid w:val="000F3298"/>
    <w:rsid w:val="000F430D"/>
    <w:rsid w:val="000F59F8"/>
    <w:rsid w:val="000F768A"/>
    <w:rsid w:val="000F7813"/>
    <w:rsid w:val="00101890"/>
    <w:rsid w:val="00102161"/>
    <w:rsid w:val="001025B5"/>
    <w:rsid w:val="00104142"/>
    <w:rsid w:val="001053D6"/>
    <w:rsid w:val="00105F97"/>
    <w:rsid w:val="00107540"/>
    <w:rsid w:val="00107CEB"/>
    <w:rsid w:val="00107D26"/>
    <w:rsid w:val="00107D90"/>
    <w:rsid w:val="001114D8"/>
    <w:rsid w:val="001142D1"/>
    <w:rsid w:val="00117679"/>
    <w:rsid w:val="00120C79"/>
    <w:rsid w:val="00120FB1"/>
    <w:rsid w:val="00124ED2"/>
    <w:rsid w:val="00130253"/>
    <w:rsid w:val="001305E0"/>
    <w:rsid w:val="00130C4A"/>
    <w:rsid w:val="00133E81"/>
    <w:rsid w:val="001342B3"/>
    <w:rsid w:val="00140454"/>
    <w:rsid w:val="00140CED"/>
    <w:rsid w:val="00141AD1"/>
    <w:rsid w:val="00143E7B"/>
    <w:rsid w:val="0014628D"/>
    <w:rsid w:val="00147FF5"/>
    <w:rsid w:val="00151DA9"/>
    <w:rsid w:val="00151F1E"/>
    <w:rsid w:val="0015238F"/>
    <w:rsid w:val="00152899"/>
    <w:rsid w:val="0015477E"/>
    <w:rsid w:val="00154961"/>
    <w:rsid w:val="00155A21"/>
    <w:rsid w:val="00155DAB"/>
    <w:rsid w:val="00156C9E"/>
    <w:rsid w:val="0015748A"/>
    <w:rsid w:val="00160F86"/>
    <w:rsid w:val="00161057"/>
    <w:rsid w:val="00161392"/>
    <w:rsid w:val="00161DF7"/>
    <w:rsid w:val="0016589D"/>
    <w:rsid w:val="001671C1"/>
    <w:rsid w:val="0016738D"/>
    <w:rsid w:val="00171182"/>
    <w:rsid w:val="0017124B"/>
    <w:rsid w:val="00171D7F"/>
    <w:rsid w:val="00172763"/>
    <w:rsid w:val="00172DDF"/>
    <w:rsid w:val="00173B8E"/>
    <w:rsid w:val="00175DDD"/>
    <w:rsid w:val="001802F8"/>
    <w:rsid w:val="00180CB6"/>
    <w:rsid w:val="001838CC"/>
    <w:rsid w:val="00183EB6"/>
    <w:rsid w:val="0018483D"/>
    <w:rsid w:val="00185ACF"/>
    <w:rsid w:val="00187BEB"/>
    <w:rsid w:val="00190579"/>
    <w:rsid w:val="00190F4E"/>
    <w:rsid w:val="001916C4"/>
    <w:rsid w:val="00191D41"/>
    <w:rsid w:val="0019236B"/>
    <w:rsid w:val="001923E3"/>
    <w:rsid w:val="00192613"/>
    <w:rsid w:val="00192F78"/>
    <w:rsid w:val="00193DDD"/>
    <w:rsid w:val="00195810"/>
    <w:rsid w:val="001966E8"/>
    <w:rsid w:val="00196E14"/>
    <w:rsid w:val="001A2608"/>
    <w:rsid w:val="001A5145"/>
    <w:rsid w:val="001A522A"/>
    <w:rsid w:val="001A7904"/>
    <w:rsid w:val="001B1550"/>
    <w:rsid w:val="001B1D39"/>
    <w:rsid w:val="001B35C2"/>
    <w:rsid w:val="001B4217"/>
    <w:rsid w:val="001B47D8"/>
    <w:rsid w:val="001B4812"/>
    <w:rsid w:val="001B4893"/>
    <w:rsid w:val="001B5D3E"/>
    <w:rsid w:val="001B5E58"/>
    <w:rsid w:val="001B606B"/>
    <w:rsid w:val="001B7889"/>
    <w:rsid w:val="001C0755"/>
    <w:rsid w:val="001C0C80"/>
    <w:rsid w:val="001C1F29"/>
    <w:rsid w:val="001C2233"/>
    <w:rsid w:val="001C2371"/>
    <w:rsid w:val="001C33E6"/>
    <w:rsid w:val="001C608F"/>
    <w:rsid w:val="001C7048"/>
    <w:rsid w:val="001D26E5"/>
    <w:rsid w:val="001D3CC2"/>
    <w:rsid w:val="001D46A3"/>
    <w:rsid w:val="001E0529"/>
    <w:rsid w:val="001E2EED"/>
    <w:rsid w:val="001E44D1"/>
    <w:rsid w:val="001E4691"/>
    <w:rsid w:val="001E518E"/>
    <w:rsid w:val="001F014C"/>
    <w:rsid w:val="001F09D1"/>
    <w:rsid w:val="001F0A29"/>
    <w:rsid w:val="001F0CE5"/>
    <w:rsid w:val="001F361F"/>
    <w:rsid w:val="001F3DBD"/>
    <w:rsid w:val="001F53E8"/>
    <w:rsid w:val="001F6466"/>
    <w:rsid w:val="001F648A"/>
    <w:rsid w:val="001F6F43"/>
    <w:rsid w:val="00200B96"/>
    <w:rsid w:val="00201620"/>
    <w:rsid w:val="00202CD6"/>
    <w:rsid w:val="00203DA2"/>
    <w:rsid w:val="0020474A"/>
    <w:rsid w:val="00205392"/>
    <w:rsid w:val="00205E72"/>
    <w:rsid w:val="00206919"/>
    <w:rsid w:val="002104BF"/>
    <w:rsid w:val="002108B6"/>
    <w:rsid w:val="00211F49"/>
    <w:rsid w:val="00213738"/>
    <w:rsid w:val="00213F3E"/>
    <w:rsid w:val="00214877"/>
    <w:rsid w:val="00215824"/>
    <w:rsid w:val="002167FD"/>
    <w:rsid w:val="00216BC8"/>
    <w:rsid w:val="002175BA"/>
    <w:rsid w:val="002200DC"/>
    <w:rsid w:val="0022218D"/>
    <w:rsid w:val="00226926"/>
    <w:rsid w:val="002302E3"/>
    <w:rsid w:val="00232528"/>
    <w:rsid w:val="00233DCB"/>
    <w:rsid w:val="0023405C"/>
    <w:rsid w:val="00235D20"/>
    <w:rsid w:val="00236E47"/>
    <w:rsid w:val="0023711D"/>
    <w:rsid w:val="002374DF"/>
    <w:rsid w:val="00237806"/>
    <w:rsid w:val="00237FF9"/>
    <w:rsid w:val="0024012B"/>
    <w:rsid w:val="0024329E"/>
    <w:rsid w:val="00243D2F"/>
    <w:rsid w:val="00244FB9"/>
    <w:rsid w:val="00250164"/>
    <w:rsid w:val="002507AA"/>
    <w:rsid w:val="002510AA"/>
    <w:rsid w:val="00251668"/>
    <w:rsid w:val="002535F0"/>
    <w:rsid w:val="00253F38"/>
    <w:rsid w:val="00253F72"/>
    <w:rsid w:val="002549D2"/>
    <w:rsid w:val="00260B0A"/>
    <w:rsid w:val="002625C5"/>
    <w:rsid w:val="00262819"/>
    <w:rsid w:val="00263A96"/>
    <w:rsid w:val="00264BB6"/>
    <w:rsid w:val="00270557"/>
    <w:rsid w:val="002709AE"/>
    <w:rsid w:val="00271246"/>
    <w:rsid w:val="00272B77"/>
    <w:rsid w:val="0027600C"/>
    <w:rsid w:val="00277491"/>
    <w:rsid w:val="00277B78"/>
    <w:rsid w:val="00285040"/>
    <w:rsid w:val="00285062"/>
    <w:rsid w:val="0029196F"/>
    <w:rsid w:val="00291EA0"/>
    <w:rsid w:val="00292E3E"/>
    <w:rsid w:val="00293463"/>
    <w:rsid w:val="0029369B"/>
    <w:rsid w:val="00293C02"/>
    <w:rsid w:val="0029605B"/>
    <w:rsid w:val="00296DAF"/>
    <w:rsid w:val="00296F09"/>
    <w:rsid w:val="002976B8"/>
    <w:rsid w:val="002A030C"/>
    <w:rsid w:val="002A2099"/>
    <w:rsid w:val="002A4B7B"/>
    <w:rsid w:val="002B0355"/>
    <w:rsid w:val="002B05EA"/>
    <w:rsid w:val="002B12D6"/>
    <w:rsid w:val="002B463F"/>
    <w:rsid w:val="002B528D"/>
    <w:rsid w:val="002B59EE"/>
    <w:rsid w:val="002B782F"/>
    <w:rsid w:val="002C15AC"/>
    <w:rsid w:val="002C2058"/>
    <w:rsid w:val="002C2E80"/>
    <w:rsid w:val="002C4404"/>
    <w:rsid w:val="002C4687"/>
    <w:rsid w:val="002C48E7"/>
    <w:rsid w:val="002C4B84"/>
    <w:rsid w:val="002C4EF0"/>
    <w:rsid w:val="002D1EC7"/>
    <w:rsid w:val="002D2842"/>
    <w:rsid w:val="002D47B3"/>
    <w:rsid w:val="002D68AD"/>
    <w:rsid w:val="002E0E37"/>
    <w:rsid w:val="002E2648"/>
    <w:rsid w:val="002E2901"/>
    <w:rsid w:val="002E3586"/>
    <w:rsid w:val="002E5B57"/>
    <w:rsid w:val="002E612C"/>
    <w:rsid w:val="002E6CCA"/>
    <w:rsid w:val="002E6CD7"/>
    <w:rsid w:val="002E704D"/>
    <w:rsid w:val="002F1C4D"/>
    <w:rsid w:val="002F2881"/>
    <w:rsid w:val="002F41F8"/>
    <w:rsid w:val="002F4A5D"/>
    <w:rsid w:val="002F508A"/>
    <w:rsid w:val="002F72D3"/>
    <w:rsid w:val="002F774A"/>
    <w:rsid w:val="003014D9"/>
    <w:rsid w:val="00301F05"/>
    <w:rsid w:val="00302290"/>
    <w:rsid w:val="003023F9"/>
    <w:rsid w:val="00302C31"/>
    <w:rsid w:val="003031A1"/>
    <w:rsid w:val="00303919"/>
    <w:rsid w:val="00304705"/>
    <w:rsid w:val="003047C2"/>
    <w:rsid w:val="0030653F"/>
    <w:rsid w:val="00306B41"/>
    <w:rsid w:val="00306DDF"/>
    <w:rsid w:val="00307200"/>
    <w:rsid w:val="003102C8"/>
    <w:rsid w:val="0031117B"/>
    <w:rsid w:val="00312EBC"/>
    <w:rsid w:val="00313056"/>
    <w:rsid w:val="00315B17"/>
    <w:rsid w:val="0032038C"/>
    <w:rsid w:val="00321DF8"/>
    <w:rsid w:val="00323058"/>
    <w:rsid w:val="00324EDF"/>
    <w:rsid w:val="003312BF"/>
    <w:rsid w:val="003313A2"/>
    <w:rsid w:val="00335170"/>
    <w:rsid w:val="00337135"/>
    <w:rsid w:val="0034147B"/>
    <w:rsid w:val="00342E02"/>
    <w:rsid w:val="003448B1"/>
    <w:rsid w:val="003463D6"/>
    <w:rsid w:val="00346D31"/>
    <w:rsid w:val="00346DE6"/>
    <w:rsid w:val="00347E19"/>
    <w:rsid w:val="0035170A"/>
    <w:rsid w:val="003541F6"/>
    <w:rsid w:val="00354315"/>
    <w:rsid w:val="00354395"/>
    <w:rsid w:val="003543C5"/>
    <w:rsid w:val="00354EF2"/>
    <w:rsid w:val="00355BEB"/>
    <w:rsid w:val="00357081"/>
    <w:rsid w:val="00357D35"/>
    <w:rsid w:val="00360253"/>
    <w:rsid w:val="0036253D"/>
    <w:rsid w:val="00363FCD"/>
    <w:rsid w:val="00364C43"/>
    <w:rsid w:val="00364E6A"/>
    <w:rsid w:val="00364E80"/>
    <w:rsid w:val="003653FF"/>
    <w:rsid w:val="00365FEF"/>
    <w:rsid w:val="00366937"/>
    <w:rsid w:val="00366E5C"/>
    <w:rsid w:val="003676CF"/>
    <w:rsid w:val="00367720"/>
    <w:rsid w:val="00367778"/>
    <w:rsid w:val="0037029D"/>
    <w:rsid w:val="00371332"/>
    <w:rsid w:val="00372A48"/>
    <w:rsid w:val="00373181"/>
    <w:rsid w:val="00375E93"/>
    <w:rsid w:val="003761BD"/>
    <w:rsid w:val="0037666E"/>
    <w:rsid w:val="00377123"/>
    <w:rsid w:val="00377CD6"/>
    <w:rsid w:val="00380919"/>
    <w:rsid w:val="00381213"/>
    <w:rsid w:val="00382F49"/>
    <w:rsid w:val="003832F7"/>
    <w:rsid w:val="00383EAF"/>
    <w:rsid w:val="003840EC"/>
    <w:rsid w:val="00384770"/>
    <w:rsid w:val="003847A7"/>
    <w:rsid w:val="00385B67"/>
    <w:rsid w:val="00385DBA"/>
    <w:rsid w:val="00386938"/>
    <w:rsid w:val="0038715A"/>
    <w:rsid w:val="00390C3F"/>
    <w:rsid w:val="00393127"/>
    <w:rsid w:val="003940DD"/>
    <w:rsid w:val="00394A1A"/>
    <w:rsid w:val="00394CA9"/>
    <w:rsid w:val="00395873"/>
    <w:rsid w:val="003959D1"/>
    <w:rsid w:val="003A1D18"/>
    <w:rsid w:val="003A39DC"/>
    <w:rsid w:val="003A62CC"/>
    <w:rsid w:val="003A649B"/>
    <w:rsid w:val="003A7864"/>
    <w:rsid w:val="003A7CA2"/>
    <w:rsid w:val="003B0559"/>
    <w:rsid w:val="003B0845"/>
    <w:rsid w:val="003B0C56"/>
    <w:rsid w:val="003B11F4"/>
    <w:rsid w:val="003B1851"/>
    <w:rsid w:val="003B1882"/>
    <w:rsid w:val="003B4100"/>
    <w:rsid w:val="003B6C02"/>
    <w:rsid w:val="003B75AD"/>
    <w:rsid w:val="003C067B"/>
    <w:rsid w:val="003C0ED8"/>
    <w:rsid w:val="003C1488"/>
    <w:rsid w:val="003C1A16"/>
    <w:rsid w:val="003C1E91"/>
    <w:rsid w:val="003C5536"/>
    <w:rsid w:val="003C6F49"/>
    <w:rsid w:val="003C7FCC"/>
    <w:rsid w:val="003D1202"/>
    <w:rsid w:val="003D19C3"/>
    <w:rsid w:val="003D36F9"/>
    <w:rsid w:val="003D5A45"/>
    <w:rsid w:val="003D77F1"/>
    <w:rsid w:val="003D7970"/>
    <w:rsid w:val="003E0159"/>
    <w:rsid w:val="003E449A"/>
    <w:rsid w:val="003E4A33"/>
    <w:rsid w:val="003E54E1"/>
    <w:rsid w:val="003E724B"/>
    <w:rsid w:val="003E7A60"/>
    <w:rsid w:val="003F1F49"/>
    <w:rsid w:val="003F23F0"/>
    <w:rsid w:val="003F44F4"/>
    <w:rsid w:val="003F4801"/>
    <w:rsid w:val="003F7448"/>
    <w:rsid w:val="003F77A7"/>
    <w:rsid w:val="0040197A"/>
    <w:rsid w:val="00404A52"/>
    <w:rsid w:val="00407B85"/>
    <w:rsid w:val="00407F28"/>
    <w:rsid w:val="00410BA9"/>
    <w:rsid w:val="0041100A"/>
    <w:rsid w:val="0041262D"/>
    <w:rsid w:val="004131C5"/>
    <w:rsid w:val="0041363D"/>
    <w:rsid w:val="00413D9B"/>
    <w:rsid w:val="00415439"/>
    <w:rsid w:val="0042161A"/>
    <w:rsid w:val="0042423E"/>
    <w:rsid w:val="00424BA6"/>
    <w:rsid w:val="004273C5"/>
    <w:rsid w:val="004274E7"/>
    <w:rsid w:val="00430142"/>
    <w:rsid w:val="00430B04"/>
    <w:rsid w:val="00431ABD"/>
    <w:rsid w:val="004339E6"/>
    <w:rsid w:val="00434796"/>
    <w:rsid w:val="0043683A"/>
    <w:rsid w:val="00437EB1"/>
    <w:rsid w:val="00437EB4"/>
    <w:rsid w:val="00441422"/>
    <w:rsid w:val="00444ED6"/>
    <w:rsid w:val="00445DCB"/>
    <w:rsid w:val="00447235"/>
    <w:rsid w:val="004479C3"/>
    <w:rsid w:val="0045044C"/>
    <w:rsid w:val="00450E04"/>
    <w:rsid w:val="00452B52"/>
    <w:rsid w:val="00460495"/>
    <w:rsid w:val="00460EEA"/>
    <w:rsid w:val="00462DE3"/>
    <w:rsid w:val="004630B6"/>
    <w:rsid w:val="00463106"/>
    <w:rsid w:val="00466A30"/>
    <w:rsid w:val="00467F5B"/>
    <w:rsid w:val="00471083"/>
    <w:rsid w:val="00472F97"/>
    <w:rsid w:val="00474607"/>
    <w:rsid w:val="00474910"/>
    <w:rsid w:val="004749AF"/>
    <w:rsid w:val="00474AF6"/>
    <w:rsid w:val="00475410"/>
    <w:rsid w:val="00475E80"/>
    <w:rsid w:val="004774FF"/>
    <w:rsid w:val="0048285C"/>
    <w:rsid w:val="00483F21"/>
    <w:rsid w:val="00484116"/>
    <w:rsid w:val="00484163"/>
    <w:rsid w:val="004841A8"/>
    <w:rsid w:val="0048424E"/>
    <w:rsid w:val="00484F8A"/>
    <w:rsid w:val="00486ACC"/>
    <w:rsid w:val="00486F42"/>
    <w:rsid w:val="00487D14"/>
    <w:rsid w:val="0049165E"/>
    <w:rsid w:val="004923A9"/>
    <w:rsid w:val="00494337"/>
    <w:rsid w:val="00494F1A"/>
    <w:rsid w:val="00495F7C"/>
    <w:rsid w:val="004976D5"/>
    <w:rsid w:val="004A10CD"/>
    <w:rsid w:val="004A11D9"/>
    <w:rsid w:val="004A1E3F"/>
    <w:rsid w:val="004A2C7E"/>
    <w:rsid w:val="004A3CFF"/>
    <w:rsid w:val="004A5056"/>
    <w:rsid w:val="004A5AF5"/>
    <w:rsid w:val="004A6625"/>
    <w:rsid w:val="004A69D6"/>
    <w:rsid w:val="004A6E81"/>
    <w:rsid w:val="004A70AB"/>
    <w:rsid w:val="004A7DFE"/>
    <w:rsid w:val="004B085D"/>
    <w:rsid w:val="004B0DBA"/>
    <w:rsid w:val="004B1D56"/>
    <w:rsid w:val="004B21D9"/>
    <w:rsid w:val="004B255A"/>
    <w:rsid w:val="004B273E"/>
    <w:rsid w:val="004B2887"/>
    <w:rsid w:val="004B3A47"/>
    <w:rsid w:val="004B3CA9"/>
    <w:rsid w:val="004B6022"/>
    <w:rsid w:val="004B771B"/>
    <w:rsid w:val="004C0CE3"/>
    <w:rsid w:val="004C1D86"/>
    <w:rsid w:val="004C368B"/>
    <w:rsid w:val="004C6239"/>
    <w:rsid w:val="004D1A31"/>
    <w:rsid w:val="004D1A91"/>
    <w:rsid w:val="004D2123"/>
    <w:rsid w:val="004D25C1"/>
    <w:rsid w:val="004D262A"/>
    <w:rsid w:val="004D2C6F"/>
    <w:rsid w:val="004D2E01"/>
    <w:rsid w:val="004D3237"/>
    <w:rsid w:val="004D3FD6"/>
    <w:rsid w:val="004D4365"/>
    <w:rsid w:val="004D4E89"/>
    <w:rsid w:val="004D635C"/>
    <w:rsid w:val="004D690F"/>
    <w:rsid w:val="004D692E"/>
    <w:rsid w:val="004E0F3F"/>
    <w:rsid w:val="004E1191"/>
    <w:rsid w:val="004E1349"/>
    <w:rsid w:val="004E1AF1"/>
    <w:rsid w:val="004E3305"/>
    <w:rsid w:val="004E3D0E"/>
    <w:rsid w:val="004E568C"/>
    <w:rsid w:val="004E5AD8"/>
    <w:rsid w:val="004E61DE"/>
    <w:rsid w:val="004F0806"/>
    <w:rsid w:val="004F12D8"/>
    <w:rsid w:val="004F2189"/>
    <w:rsid w:val="004F22A6"/>
    <w:rsid w:val="004F41E9"/>
    <w:rsid w:val="004F4A37"/>
    <w:rsid w:val="004F5148"/>
    <w:rsid w:val="004F5D23"/>
    <w:rsid w:val="005037B3"/>
    <w:rsid w:val="00504B53"/>
    <w:rsid w:val="00505FF7"/>
    <w:rsid w:val="005075BC"/>
    <w:rsid w:val="0051015D"/>
    <w:rsid w:val="0051104A"/>
    <w:rsid w:val="00511BB6"/>
    <w:rsid w:val="0051251A"/>
    <w:rsid w:val="0051292D"/>
    <w:rsid w:val="00514426"/>
    <w:rsid w:val="0051442D"/>
    <w:rsid w:val="00515FD8"/>
    <w:rsid w:val="0051622D"/>
    <w:rsid w:val="00517A09"/>
    <w:rsid w:val="005207B2"/>
    <w:rsid w:val="00520F03"/>
    <w:rsid w:val="005219EB"/>
    <w:rsid w:val="00522CBE"/>
    <w:rsid w:val="00523C6D"/>
    <w:rsid w:val="005262C2"/>
    <w:rsid w:val="005263F0"/>
    <w:rsid w:val="0052705A"/>
    <w:rsid w:val="005272E3"/>
    <w:rsid w:val="00532E26"/>
    <w:rsid w:val="00533CD6"/>
    <w:rsid w:val="00534C3B"/>
    <w:rsid w:val="00537126"/>
    <w:rsid w:val="00537A72"/>
    <w:rsid w:val="005405F8"/>
    <w:rsid w:val="00542EAE"/>
    <w:rsid w:val="00546878"/>
    <w:rsid w:val="005509BE"/>
    <w:rsid w:val="00551925"/>
    <w:rsid w:val="00554ED3"/>
    <w:rsid w:val="0055643B"/>
    <w:rsid w:val="0055674D"/>
    <w:rsid w:val="00560E18"/>
    <w:rsid w:val="005615BB"/>
    <w:rsid w:val="005621E7"/>
    <w:rsid w:val="00562B7E"/>
    <w:rsid w:val="00562CA5"/>
    <w:rsid w:val="00563355"/>
    <w:rsid w:val="00571E81"/>
    <w:rsid w:val="00572D0C"/>
    <w:rsid w:val="00573FF9"/>
    <w:rsid w:val="005743CA"/>
    <w:rsid w:val="005755B7"/>
    <w:rsid w:val="005761E9"/>
    <w:rsid w:val="00576B16"/>
    <w:rsid w:val="00577427"/>
    <w:rsid w:val="005808E5"/>
    <w:rsid w:val="00584DFE"/>
    <w:rsid w:val="00586361"/>
    <w:rsid w:val="005875A9"/>
    <w:rsid w:val="00593C34"/>
    <w:rsid w:val="005949BC"/>
    <w:rsid w:val="005971D5"/>
    <w:rsid w:val="005A0847"/>
    <w:rsid w:val="005A20B0"/>
    <w:rsid w:val="005A313A"/>
    <w:rsid w:val="005A35EB"/>
    <w:rsid w:val="005A3B73"/>
    <w:rsid w:val="005A3C69"/>
    <w:rsid w:val="005A5582"/>
    <w:rsid w:val="005A680F"/>
    <w:rsid w:val="005A70F0"/>
    <w:rsid w:val="005A747A"/>
    <w:rsid w:val="005B07CB"/>
    <w:rsid w:val="005B2B27"/>
    <w:rsid w:val="005B2FF9"/>
    <w:rsid w:val="005B380D"/>
    <w:rsid w:val="005B3F1C"/>
    <w:rsid w:val="005B696E"/>
    <w:rsid w:val="005B6D81"/>
    <w:rsid w:val="005B7767"/>
    <w:rsid w:val="005B7DD3"/>
    <w:rsid w:val="005C11DA"/>
    <w:rsid w:val="005C1E41"/>
    <w:rsid w:val="005C7FC2"/>
    <w:rsid w:val="005D146D"/>
    <w:rsid w:val="005D1F92"/>
    <w:rsid w:val="005D2137"/>
    <w:rsid w:val="005D2408"/>
    <w:rsid w:val="005D32A9"/>
    <w:rsid w:val="005D6122"/>
    <w:rsid w:val="005D6E80"/>
    <w:rsid w:val="005E02FB"/>
    <w:rsid w:val="005E03B3"/>
    <w:rsid w:val="005E0B20"/>
    <w:rsid w:val="005E18AB"/>
    <w:rsid w:val="005E2936"/>
    <w:rsid w:val="005E2F7B"/>
    <w:rsid w:val="005E3C94"/>
    <w:rsid w:val="005E4B00"/>
    <w:rsid w:val="005E5C01"/>
    <w:rsid w:val="005E6A9D"/>
    <w:rsid w:val="005E7118"/>
    <w:rsid w:val="005E7B14"/>
    <w:rsid w:val="005E7E9F"/>
    <w:rsid w:val="005F1CDA"/>
    <w:rsid w:val="005F35C5"/>
    <w:rsid w:val="005F37A4"/>
    <w:rsid w:val="005F561B"/>
    <w:rsid w:val="005F6089"/>
    <w:rsid w:val="005F7E15"/>
    <w:rsid w:val="00601270"/>
    <w:rsid w:val="00602403"/>
    <w:rsid w:val="0060254C"/>
    <w:rsid w:val="00602FA4"/>
    <w:rsid w:val="006041A4"/>
    <w:rsid w:val="0061036C"/>
    <w:rsid w:val="00610873"/>
    <w:rsid w:val="006109EC"/>
    <w:rsid w:val="00610F53"/>
    <w:rsid w:val="00611D8A"/>
    <w:rsid w:val="006122AB"/>
    <w:rsid w:val="0061430D"/>
    <w:rsid w:val="006150CE"/>
    <w:rsid w:val="00615B34"/>
    <w:rsid w:val="00615ED4"/>
    <w:rsid w:val="00615F6B"/>
    <w:rsid w:val="006165F4"/>
    <w:rsid w:val="00616799"/>
    <w:rsid w:val="006245EC"/>
    <w:rsid w:val="00626ABB"/>
    <w:rsid w:val="00627F73"/>
    <w:rsid w:val="006309D5"/>
    <w:rsid w:val="00630F0C"/>
    <w:rsid w:val="00631E57"/>
    <w:rsid w:val="00636B5F"/>
    <w:rsid w:val="006376C5"/>
    <w:rsid w:val="006407E9"/>
    <w:rsid w:val="00641F4F"/>
    <w:rsid w:val="00642664"/>
    <w:rsid w:val="00642ED9"/>
    <w:rsid w:val="00644BBE"/>
    <w:rsid w:val="006466DA"/>
    <w:rsid w:val="00646711"/>
    <w:rsid w:val="00646777"/>
    <w:rsid w:val="006479F9"/>
    <w:rsid w:val="00647DDD"/>
    <w:rsid w:val="0065242A"/>
    <w:rsid w:val="00653548"/>
    <w:rsid w:val="00653BA4"/>
    <w:rsid w:val="006545D0"/>
    <w:rsid w:val="00656E2E"/>
    <w:rsid w:val="00657478"/>
    <w:rsid w:val="00657EDA"/>
    <w:rsid w:val="00657F9A"/>
    <w:rsid w:val="006609A2"/>
    <w:rsid w:val="00660C84"/>
    <w:rsid w:val="0066132D"/>
    <w:rsid w:val="0066194B"/>
    <w:rsid w:val="00661FC4"/>
    <w:rsid w:val="00662EBD"/>
    <w:rsid w:val="006630E1"/>
    <w:rsid w:val="00663229"/>
    <w:rsid w:val="00666A58"/>
    <w:rsid w:val="00666D4D"/>
    <w:rsid w:val="00672205"/>
    <w:rsid w:val="00672E95"/>
    <w:rsid w:val="0067508C"/>
    <w:rsid w:val="006762B3"/>
    <w:rsid w:val="00677059"/>
    <w:rsid w:val="00680072"/>
    <w:rsid w:val="00680421"/>
    <w:rsid w:val="00681B06"/>
    <w:rsid w:val="00681CF6"/>
    <w:rsid w:val="00684196"/>
    <w:rsid w:val="00684E71"/>
    <w:rsid w:val="006858DA"/>
    <w:rsid w:val="00686C3F"/>
    <w:rsid w:val="00687C4C"/>
    <w:rsid w:val="006902F1"/>
    <w:rsid w:val="006918E9"/>
    <w:rsid w:val="00692A13"/>
    <w:rsid w:val="006951CE"/>
    <w:rsid w:val="00695B2C"/>
    <w:rsid w:val="006A1F2C"/>
    <w:rsid w:val="006A3B6B"/>
    <w:rsid w:val="006A438B"/>
    <w:rsid w:val="006A4F20"/>
    <w:rsid w:val="006A5A46"/>
    <w:rsid w:val="006A6039"/>
    <w:rsid w:val="006B0A3C"/>
    <w:rsid w:val="006B1E87"/>
    <w:rsid w:val="006B514A"/>
    <w:rsid w:val="006B77C7"/>
    <w:rsid w:val="006C1EA3"/>
    <w:rsid w:val="006C1EDF"/>
    <w:rsid w:val="006C2AB0"/>
    <w:rsid w:val="006C2B5F"/>
    <w:rsid w:val="006C31B7"/>
    <w:rsid w:val="006C3CE1"/>
    <w:rsid w:val="006C4213"/>
    <w:rsid w:val="006C43D7"/>
    <w:rsid w:val="006C49F6"/>
    <w:rsid w:val="006C53ED"/>
    <w:rsid w:val="006C5694"/>
    <w:rsid w:val="006D11AD"/>
    <w:rsid w:val="006D134C"/>
    <w:rsid w:val="006D193A"/>
    <w:rsid w:val="006D23FB"/>
    <w:rsid w:val="006D25DD"/>
    <w:rsid w:val="006D27E2"/>
    <w:rsid w:val="006D28A5"/>
    <w:rsid w:val="006D29AA"/>
    <w:rsid w:val="006D2C78"/>
    <w:rsid w:val="006D3D1D"/>
    <w:rsid w:val="006D4128"/>
    <w:rsid w:val="006D4C1B"/>
    <w:rsid w:val="006D5E45"/>
    <w:rsid w:val="006D5E57"/>
    <w:rsid w:val="006E0007"/>
    <w:rsid w:val="006E0B4D"/>
    <w:rsid w:val="006E2083"/>
    <w:rsid w:val="006E2725"/>
    <w:rsid w:val="006E3064"/>
    <w:rsid w:val="006E361B"/>
    <w:rsid w:val="006E405E"/>
    <w:rsid w:val="006E68E6"/>
    <w:rsid w:val="006E73D0"/>
    <w:rsid w:val="006E7735"/>
    <w:rsid w:val="006F0330"/>
    <w:rsid w:val="006F042A"/>
    <w:rsid w:val="006F0C74"/>
    <w:rsid w:val="006F1875"/>
    <w:rsid w:val="006F2187"/>
    <w:rsid w:val="006F25E5"/>
    <w:rsid w:val="006F2FCE"/>
    <w:rsid w:val="006F36B9"/>
    <w:rsid w:val="006F415C"/>
    <w:rsid w:val="006F489F"/>
    <w:rsid w:val="006F5E07"/>
    <w:rsid w:val="006F656F"/>
    <w:rsid w:val="00700C86"/>
    <w:rsid w:val="00703C49"/>
    <w:rsid w:val="00704FE1"/>
    <w:rsid w:val="0070560F"/>
    <w:rsid w:val="007112CA"/>
    <w:rsid w:val="00714728"/>
    <w:rsid w:val="007202BD"/>
    <w:rsid w:val="007205BF"/>
    <w:rsid w:val="00721AE9"/>
    <w:rsid w:val="00721E64"/>
    <w:rsid w:val="007237D1"/>
    <w:rsid w:val="007241D4"/>
    <w:rsid w:val="00724D82"/>
    <w:rsid w:val="00730BF2"/>
    <w:rsid w:val="00732A6F"/>
    <w:rsid w:val="00734578"/>
    <w:rsid w:val="00734CDD"/>
    <w:rsid w:val="007351A5"/>
    <w:rsid w:val="00736F9E"/>
    <w:rsid w:val="0074214D"/>
    <w:rsid w:val="00742764"/>
    <w:rsid w:val="00744E59"/>
    <w:rsid w:val="00745456"/>
    <w:rsid w:val="00746E92"/>
    <w:rsid w:val="00747D1C"/>
    <w:rsid w:val="00750950"/>
    <w:rsid w:val="00751452"/>
    <w:rsid w:val="0075156A"/>
    <w:rsid w:val="00751D8C"/>
    <w:rsid w:val="00751F90"/>
    <w:rsid w:val="0075204D"/>
    <w:rsid w:val="00752EF6"/>
    <w:rsid w:val="00753B4D"/>
    <w:rsid w:val="0075435F"/>
    <w:rsid w:val="007543AA"/>
    <w:rsid w:val="00754BDD"/>
    <w:rsid w:val="00757143"/>
    <w:rsid w:val="00760C15"/>
    <w:rsid w:val="007619C5"/>
    <w:rsid w:val="00761B26"/>
    <w:rsid w:val="00761C35"/>
    <w:rsid w:val="00762178"/>
    <w:rsid w:val="00765F62"/>
    <w:rsid w:val="00766026"/>
    <w:rsid w:val="007671E0"/>
    <w:rsid w:val="00772025"/>
    <w:rsid w:val="007726C0"/>
    <w:rsid w:val="007728F6"/>
    <w:rsid w:val="00773472"/>
    <w:rsid w:val="007744FD"/>
    <w:rsid w:val="00775AB7"/>
    <w:rsid w:val="00776B34"/>
    <w:rsid w:val="00781088"/>
    <w:rsid w:val="007811C6"/>
    <w:rsid w:val="00781AA0"/>
    <w:rsid w:val="00781CF7"/>
    <w:rsid w:val="00781D24"/>
    <w:rsid w:val="00782DE8"/>
    <w:rsid w:val="00786D45"/>
    <w:rsid w:val="00787202"/>
    <w:rsid w:val="00792E10"/>
    <w:rsid w:val="0079383D"/>
    <w:rsid w:val="0079509E"/>
    <w:rsid w:val="007966EF"/>
    <w:rsid w:val="007A006B"/>
    <w:rsid w:val="007A1D60"/>
    <w:rsid w:val="007A34D1"/>
    <w:rsid w:val="007A5BDB"/>
    <w:rsid w:val="007A7102"/>
    <w:rsid w:val="007B165A"/>
    <w:rsid w:val="007B1743"/>
    <w:rsid w:val="007B275E"/>
    <w:rsid w:val="007B2DAD"/>
    <w:rsid w:val="007B2DF7"/>
    <w:rsid w:val="007B7246"/>
    <w:rsid w:val="007B78C2"/>
    <w:rsid w:val="007C23FF"/>
    <w:rsid w:val="007C25B0"/>
    <w:rsid w:val="007C416B"/>
    <w:rsid w:val="007C4CB7"/>
    <w:rsid w:val="007C5008"/>
    <w:rsid w:val="007C6046"/>
    <w:rsid w:val="007C647E"/>
    <w:rsid w:val="007C658B"/>
    <w:rsid w:val="007D1E79"/>
    <w:rsid w:val="007D27CF"/>
    <w:rsid w:val="007D2EA8"/>
    <w:rsid w:val="007D36EA"/>
    <w:rsid w:val="007D4644"/>
    <w:rsid w:val="007D4DAF"/>
    <w:rsid w:val="007D5CE3"/>
    <w:rsid w:val="007E1175"/>
    <w:rsid w:val="007E1BA6"/>
    <w:rsid w:val="007E220A"/>
    <w:rsid w:val="007E468A"/>
    <w:rsid w:val="007E54E5"/>
    <w:rsid w:val="007E58FC"/>
    <w:rsid w:val="007E6643"/>
    <w:rsid w:val="007E7463"/>
    <w:rsid w:val="007F07D4"/>
    <w:rsid w:val="007F1517"/>
    <w:rsid w:val="007F207F"/>
    <w:rsid w:val="007F5B91"/>
    <w:rsid w:val="007F7364"/>
    <w:rsid w:val="007F7DAA"/>
    <w:rsid w:val="008001BD"/>
    <w:rsid w:val="00800BE5"/>
    <w:rsid w:val="008019A7"/>
    <w:rsid w:val="00801ECE"/>
    <w:rsid w:val="00803CEC"/>
    <w:rsid w:val="008040B5"/>
    <w:rsid w:val="00804B15"/>
    <w:rsid w:val="008076A4"/>
    <w:rsid w:val="00807DC2"/>
    <w:rsid w:val="0081003E"/>
    <w:rsid w:val="00810A83"/>
    <w:rsid w:val="00810CA3"/>
    <w:rsid w:val="008112DE"/>
    <w:rsid w:val="00811776"/>
    <w:rsid w:val="00811A3C"/>
    <w:rsid w:val="008200A7"/>
    <w:rsid w:val="00822050"/>
    <w:rsid w:val="00822132"/>
    <w:rsid w:val="008304EC"/>
    <w:rsid w:val="00830952"/>
    <w:rsid w:val="00830F84"/>
    <w:rsid w:val="00832522"/>
    <w:rsid w:val="00832F90"/>
    <w:rsid w:val="00833453"/>
    <w:rsid w:val="0084184E"/>
    <w:rsid w:val="00841B33"/>
    <w:rsid w:val="00841C01"/>
    <w:rsid w:val="00843EFD"/>
    <w:rsid w:val="008442F2"/>
    <w:rsid w:val="008443A9"/>
    <w:rsid w:val="008456A0"/>
    <w:rsid w:val="0084599C"/>
    <w:rsid w:val="008469B3"/>
    <w:rsid w:val="00847539"/>
    <w:rsid w:val="00851C84"/>
    <w:rsid w:val="008535CA"/>
    <w:rsid w:val="00856FA8"/>
    <w:rsid w:val="00856FF2"/>
    <w:rsid w:val="008578F4"/>
    <w:rsid w:val="00860576"/>
    <w:rsid w:val="00861120"/>
    <w:rsid w:val="008657EE"/>
    <w:rsid w:val="0086688C"/>
    <w:rsid w:val="008674AA"/>
    <w:rsid w:val="008675CC"/>
    <w:rsid w:val="008707F5"/>
    <w:rsid w:val="0087609B"/>
    <w:rsid w:val="00880850"/>
    <w:rsid w:val="0088094C"/>
    <w:rsid w:val="00881004"/>
    <w:rsid w:val="008824C8"/>
    <w:rsid w:val="00882C40"/>
    <w:rsid w:val="00883409"/>
    <w:rsid w:val="00885973"/>
    <w:rsid w:val="00890F03"/>
    <w:rsid w:val="0089145D"/>
    <w:rsid w:val="008919D3"/>
    <w:rsid w:val="00891DC8"/>
    <w:rsid w:val="00891F55"/>
    <w:rsid w:val="00892908"/>
    <w:rsid w:val="00893C08"/>
    <w:rsid w:val="008942FC"/>
    <w:rsid w:val="0089562F"/>
    <w:rsid w:val="008957BF"/>
    <w:rsid w:val="00895BE0"/>
    <w:rsid w:val="0089629F"/>
    <w:rsid w:val="00896F05"/>
    <w:rsid w:val="008A082A"/>
    <w:rsid w:val="008A0CEA"/>
    <w:rsid w:val="008A1413"/>
    <w:rsid w:val="008A32BD"/>
    <w:rsid w:val="008A389B"/>
    <w:rsid w:val="008A4DF4"/>
    <w:rsid w:val="008A7448"/>
    <w:rsid w:val="008A79F6"/>
    <w:rsid w:val="008B0950"/>
    <w:rsid w:val="008B1DA9"/>
    <w:rsid w:val="008B23D4"/>
    <w:rsid w:val="008B2C7C"/>
    <w:rsid w:val="008B571D"/>
    <w:rsid w:val="008B6162"/>
    <w:rsid w:val="008C091E"/>
    <w:rsid w:val="008C3710"/>
    <w:rsid w:val="008C3EBC"/>
    <w:rsid w:val="008C4AE0"/>
    <w:rsid w:val="008C57F6"/>
    <w:rsid w:val="008C68A7"/>
    <w:rsid w:val="008C7019"/>
    <w:rsid w:val="008D2A7F"/>
    <w:rsid w:val="008D33A3"/>
    <w:rsid w:val="008D4715"/>
    <w:rsid w:val="008D49C0"/>
    <w:rsid w:val="008D5B23"/>
    <w:rsid w:val="008D6F1D"/>
    <w:rsid w:val="008E03A3"/>
    <w:rsid w:val="008E1B11"/>
    <w:rsid w:val="008E2A22"/>
    <w:rsid w:val="008E2ACD"/>
    <w:rsid w:val="008E2D8C"/>
    <w:rsid w:val="008E53BA"/>
    <w:rsid w:val="008E7E5E"/>
    <w:rsid w:val="008E7F87"/>
    <w:rsid w:val="008E7FB3"/>
    <w:rsid w:val="008F0CC7"/>
    <w:rsid w:val="008F11CF"/>
    <w:rsid w:val="008F14EA"/>
    <w:rsid w:val="008F189C"/>
    <w:rsid w:val="008F1FE1"/>
    <w:rsid w:val="008F32FF"/>
    <w:rsid w:val="008F4486"/>
    <w:rsid w:val="008F4FC6"/>
    <w:rsid w:val="008F6436"/>
    <w:rsid w:val="008F72CD"/>
    <w:rsid w:val="009015D3"/>
    <w:rsid w:val="00902179"/>
    <w:rsid w:val="00903877"/>
    <w:rsid w:val="0090677E"/>
    <w:rsid w:val="009111C8"/>
    <w:rsid w:val="00913A4A"/>
    <w:rsid w:val="00914A6E"/>
    <w:rsid w:val="0091544C"/>
    <w:rsid w:val="00917561"/>
    <w:rsid w:val="00917D23"/>
    <w:rsid w:val="00921D03"/>
    <w:rsid w:val="00921DE6"/>
    <w:rsid w:val="00922FB2"/>
    <w:rsid w:val="00924CB6"/>
    <w:rsid w:val="0092546C"/>
    <w:rsid w:val="00925CD2"/>
    <w:rsid w:val="00931AF1"/>
    <w:rsid w:val="00932559"/>
    <w:rsid w:val="00933065"/>
    <w:rsid w:val="00933569"/>
    <w:rsid w:val="00934918"/>
    <w:rsid w:val="009365B1"/>
    <w:rsid w:val="0093799C"/>
    <w:rsid w:val="009422A1"/>
    <w:rsid w:val="00943484"/>
    <w:rsid w:val="00944804"/>
    <w:rsid w:val="009449FB"/>
    <w:rsid w:val="0094634F"/>
    <w:rsid w:val="009473D8"/>
    <w:rsid w:val="00947F51"/>
    <w:rsid w:val="0095400E"/>
    <w:rsid w:val="00954386"/>
    <w:rsid w:val="009564B5"/>
    <w:rsid w:val="0095655A"/>
    <w:rsid w:val="00956D92"/>
    <w:rsid w:val="00957513"/>
    <w:rsid w:val="00960ADF"/>
    <w:rsid w:val="00961EE2"/>
    <w:rsid w:val="009623DA"/>
    <w:rsid w:val="00963A0C"/>
    <w:rsid w:val="009661A4"/>
    <w:rsid w:val="009661B5"/>
    <w:rsid w:val="009725C0"/>
    <w:rsid w:val="009727D8"/>
    <w:rsid w:val="009729BD"/>
    <w:rsid w:val="009729D5"/>
    <w:rsid w:val="00974A92"/>
    <w:rsid w:val="00974C91"/>
    <w:rsid w:val="00975270"/>
    <w:rsid w:val="00975BA1"/>
    <w:rsid w:val="00976F39"/>
    <w:rsid w:val="009809DD"/>
    <w:rsid w:val="009835E3"/>
    <w:rsid w:val="009837A6"/>
    <w:rsid w:val="009839B9"/>
    <w:rsid w:val="00983C64"/>
    <w:rsid w:val="009869F2"/>
    <w:rsid w:val="00987CDB"/>
    <w:rsid w:val="009A087C"/>
    <w:rsid w:val="009A1585"/>
    <w:rsid w:val="009A2613"/>
    <w:rsid w:val="009A2726"/>
    <w:rsid w:val="009A30E0"/>
    <w:rsid w:val="009A3619"/>
    <w:rsid w:val="009A57B9"/>
    <w:rsid w:val="009A66D0"/>
    <w:rsid w:val="009A739F"/>
    <w:rsid w:val="009B08AF"/>
    <w:rsid w:val="009B0AC9"/>
    <w:rsid w:val="009B10F4"/>
    <w:rsid w:val="009B3DFC"/>
    <w:rsid w:val="009B53BC"/>
    <w:rsid w:val="009B793E"/>
    <w:rsid w:val="009C1EA6"/>
    <w:rsid w:val="009C37B9"/>
    <w:rsid w:val="009C38E7"/>
    <w:rsid w:val="009D31FA"/>
    <w:rsid w:val="009D32BD"/>
    <w:rsid w:val="009D33F1"/>
    <w:rsid w:val="009D35B5"/>
    <w:rsid w:val="009D3771"/>
    <w:rsid w:val="009D37BD"/>
    <w:rsid w:val="009D4486"/>
    <w:rsid w:val="009D7128"/>
    <w:rsid w:val="009D7613"/>
    <w:rsid w:val="009E1236"/>
    <w:rsid w:val="009E21DE"/>
    <w:rsid w:val="009E6174"/>
    <w:rsid w:val="009F1DC7"/>
    <w:rsid w:val="009F211E"/>
    <w:rsid w:val="009F2572"/>
    <w:rsid w:val="009F294E"/>
    <w:rsid w:val="009F30F1"/>
    <w:rsid w:val="009F37C7"/>
    <w:rsid w:val="009F3B09"/>
    <w:rsid w:val="009F50AB"/>
    <w:rsid w:val="00A005F6"/>
    <w:rsid w:val="00A03986"/>
    <w:rsid w:val="00A040E3"/>
    <w:rsid w:val="00A0424F"/>
    <w:rsid w:val="00A051FB"/>
    <w:rsid w:val="00A056B2"/>
    <w:rsid w:val="00A0659C"/>
    <w:rsid w:val="00A07164"/>
    <w:rsid w:val="00A075AE"/>
    <w:rsid w:val="00A10039"/>
    <w:rsid w:val="00A100BA"/>
    <w:rsid w:val="00A103FF"/>
    <w:rsid w:val="00A121B5"/>
    <w:rsid w:val="00A16C6E"/>
    <w:rsid w:val="00A17DB2"/>
    <w:rsid w:val="00A2023B"/>
    <w:rsid w:val="00A21DEA"/>
    <w:rsid w:val="00A22073"/>
    <w:rsid w:val="00A22A14"/>
    <w:rsid w:val="00A23A49"/>
    <w:rsid w:val="00A248B0"/>
    <w:rsid w:val="00A25AB4"/>
    <w:rsid w:val="00A26214"/>
    <w:rsid w:val="00A26566"/>
    <w:rsid w:val="00A27A51"/>
    <w:rsid w:val="00A27F83"/>
    <w:rsid w:val="00A31837"/>
    <w:rsid w:val="00A31D70"/>
    <w:rsid w:val="00A33018"/>
    <w:rsid w:val="00A3310D"/>
    <w:rsid w:val="00A33AE5"/>
    <w:rsid w:val="00A3484C"/>
    <w:rsid w:val="00A351B3"/>
    <w:rsid w:val="00A35CE6"/>
    <w:rsid w:val="00A36C96"/>
    <w:rsid w:val="00A37BA4"/>
    <w:rsid w:val="00A402F6"/>
    <w:rsid w:val="00A406B4"/>
    <w:rsid w:val="00A42167"/>
    <w:rsid w:val="00A429D5"/>
    <w:rsid w:val="00A434B9"/>
    <w:rsid w:val="00A43739"/>
    <w:rsid w:val="00A43E18"/>
    <w:rsid w:val="00A444DD"/>
    <w:rsid w:val="00A47150"/>
    <w:rsid w:val="00A471EF"/>
    <w:rsid w:val="00A47466"/>
    <w:rsid w:val="00A47815"/>
    <w:rsid w:val="00A47A18"/>
    <w:rsid w:val="00A47A3D"/>
    <w:rsid w:val="00A47CD6"/>
    <w:rsid w:val="00A5183D"/>
    <w:rsid w:val="00A5359C"/>
    <w:rsid w:val="00A539CB"/>
    <w:rsid w:val="00A555E0"/>
    <w:rsid w:val="00A57DA7"/>
    <w:rsid w:val="00A60542"/>
    <w:rsid w:val="00A60635"/>
    <w:rsid w:val="00A63709"/>
    <w:rsid w:val="00A643AB"/>
    <w:rsid w:val="00A649E6"/>
    <w:rsid w:val="00A655BE"/>
    <w:rsid w:val="00A660AF"/>
    <w:rsid w:val="00A7021C"/>
    <w:rsid w:val="00A70814"/>
    <w:rsid w:val="00A70A95"/>
    <w:rsid w:val="00A70BDA"/>
    <w:rsid w:val="00A712D3"/>
    <w:rsid w:val="00A73E2C"/>
    <w:rsid w:val="00A740B6"/>
    <w:rsid w:val="00A7621E"/>
    <w:rsid w:val="00A76BE4"/>
    <w:rsid w:val="00A774BA"/>
    <w:rsid w:val="00A817D5"/>
    <w:rsid w:val="00A841B2"/>
    <w:rsid w:val="00A84915"/>
    <w:rsid w:val="00A84F01"/>
    <w:rsid w:val="00A85503"/>
    <w:rsid w:val="00A85664"/>
    <w:rsid w:val="00A9029A"/>
    <w:rsid w:val="00A91332"/>
    <w:rsid w:val="00A93351"/>
    <w:rsid w:val="00A94A43"/>
    <w:rsid w:val="00A95538"/>
    <w:rsid w:val="00AA0013"/>
    <w:rsid w:val="00AA1F8B"/>
    <w:rsid w:val="00AA26FF"/>
    <w:rsid w:val="00AA43EC"/>
    <w:rsid w:val="00AA4C92"/>
    <w:rsid w:val="00AA4E77"/>
    <w:rsid w:val="00AA6E8C"/>
    <w:rsid w:val="00AA6F19"/>
    <w:rsid w:val="00AA75E6"/>
    <w:rsid w:val="00AA79A8"/>
    <w:rsid w:val="00AA7A76"/>
    <w:rsid w:val="00AA7C2E"/>
    <w:rsid w:val="00AB0286"/>
    <w:rsid w:val="00AB0DD9"/>
    <w:rsid w:val="00AB404E"/>
    <w:rsid w:val="00AB4C6D"/>
    <w:rsid w:val="00AB53F2"/>
    <w:rsid w:val="00AB55F7"/>
    <w:rsid w:val="00AB6E29"/>
    <w:rsid w:val="00AB7162"/>
    <w:rsid w:val="00AC022F"/>
    <w:rsid w:val="00AC114D"/>
    <w:rsid w:val="00AC2995"/>
    <w:rsid w:val="00AC2F6A"/>
    <w:rsid w:val="00AC38A4"/>
    <w:rsid w:val="00AC3B47"/>
    <w:rsid w:val="00AC40CA"/>
    <w:rsid w:val="00AC4165"/>
    <w:rsid w:val="00AC556A"/>
    <w:rsid w:val="00AC76EA"/>
    <w:rsid w:val="00AC7FB7"/>
    <w:rsid w:val="00AD0007"/>
    <w:rsid w:val="00AD04FB"/>
    <w:rsid w:val="00AD12F6"/>
    <w:rsid w:val="00AD23B3"/>
    <w:rsid w:val="00AD23BF"/>
    <w:rsid w:val="00AD25B6"/>
    <w:rsid w:val="00AD2631"/>
    <w:rsid w:val="00AD2767"/>
    <w:rsid w:val="00AD2C31"/>
    <w:rsid w:val="00AD3D5D"/>
    <w:rsid w:val="00AD4080"/>
    <w:rsid w:val="00AD40E8"/>
    <w:rsid w:val="00AD5A05"/>
    <w:rsid w:val="00AD662C"/>
    <w:rsid w:val="00AE1220"/>
    <w:rsid w:val="00AE287F"/>
    <w:rsid w:val="00AE39F3"/>
    <w:rsid w:val="00AE4006"/>
    <w:rsid w:val="00AE4875"/>
    <w:rsid w:val="00AE5118"/>
    <w:rsid w:val="00AE63BD"/>
    <w:rsid w:val="00AF0B2B"/>
    <w:rsid w:val="00AF20DB"/>
    <w:rsid w:val="00AF2914"/>
    <w:rsid w:val="00AF345A"/>
    <w:rsid w:val="00AF363F"/>
    <w:rsid w:val="00AF3E4F"/>
    <w:rsid w:val="00AF71E5"/>
    <w:rsid w:val="00B00DA5"/>
    <w:rsid w:val="00B0321E"/>
    <w:rsid w:val="00B0366D"/>
    <w:rsid w:val="00B0554B"/>
    <w:rsid w:val="00B071FF"/>
    <w:rsid w:val="00B110BC"/>
    <w:rsid w:val="00B11505"/>
    <w:rsid w:val="00B1182B"/>
    <w:rsid w:val="00B11DC2"/>
    <w:rsid w:val="00B123F5"/>
    <w:rsid w:val="00B15142"/>
    <w:rsid w:val="00B15D12"/>
    <w:rsid w:val="00B16F69"/>
    <w:rsid w:val="00B1789D"/>
    <w:rsid w:val="00B207DD"/>
    <w:rsid w:val="00B20DD8"/>
    <w:rsid w:val="00B21CA9"/>
    <w:rsid w:val="00B21ECE"/>
    <w:rsid w:val="00B223FE"/>
    <w:rsid w:val="00B30FE0"/>
    <w:rsid w:val="00B3161A"/>
    <w:rsid w:val="00B3208F"/>
    <w:rsid w:val="00B3260E"/>
    <w:rsid w:val="00B32DEE"/>
    <w:rsid w:val="00B33D1A"/>
    <w:rsid w:val="00B36DB5"/>
    <w:rsid w:val="00B36F2F"/>
    <w:rsid w:val="00B413BD"/>
    <w:rsid w:val="00B42807"/>
    <w:rsid w:val="00B428A6"/>
    <w:rsid w:val="00B43340"/>
    <w:rsid w:val="00B4461C"/>
    <w:rsid w:val="00B46D68"/>
    <w:rsid w:val="00B53913"/>
    <w:rsid w:val="00B543CC"/>
    <w:rsid w:val="00B554D4"/>
    <w:rsid w:val="00B5572D"/>
    <w:rsid w:val="00B55F3A"/>
    <w:rsid w:val="00B56906"/>
    <w:rsid w:val="00B569F1"/>
    <w:rsid w:val="00B572BB"/>
    <w:rsid w:val="00B57C67"/>
    <w:rsid w:val="00B6007E"/>
    <w:rsid w:val="00B61484"/>
    <w:rsid w:val="00B6179E"/>
    <w:rsid w:val="00B62B08"/>
    <w:rsid w:val="00B664E5"/>
    <w:rsid w:val="00B67D96"/>
    <w:rsid w:val="00B71CB5"/>
    <w:rsid w:val="00B71F16"/>
    <w:rsid w:val="00B72922"/>
    <w:rsid w:val="00B72A13"/>
    <w:rsid w:val="00B72ADA"/>
    <w:rsid w:val="00B7473A"/>
    <w:rsid w:val="00B74A39"/>
    <w:rsid w:val="00B75819"/>
    <w:rsid w:val="00B75CDA"/>
    <w:rsid w:val="00B76FD7"/>
    <w:rsid w:val="00B81526"/>
    <w:rsid w:val="00B819E4"/>
    <w:rsid w:val="00B84042"/>
    <w:rsid w:val="00B84DD5"/>
    <w:rsid w:val="00B903CC"/>
    <w:rsid w:val="00B9165A"/>
    <w:rsid w:val="00B91668"/>
    <w:rsid w:val="00B91F7E"/>
    <w:rsid w:val="00B924B4"/>
    <w:rsid w:val="00B9487E"/>
    <w:rsid w:val="00B95910"/>
    <w:rsid w:val="00B9692A"/>
    <w:rsid w:val="00B97F75"/>
    <w:rsid w:val="00BA0848"/>
    <w:rsid w:val="00BA29E7"/>
    <w:rsid w:val="00BA304F"/>
    <w:rsid w:val="00BA33AF"/>
    <w:rsid w:val="00BA3A4C"/>
    <w:rsid w:val="00BA4892"/>
    <w:rsid w:val="00BA61FA"/>
    <w:rsid w:val="00BA67FC"/>
    <w:rsid w:val="00BB0F20"/>
    <w:rsid w:val="00BB17D2"/>
    <w:rsid w:val="00BB1DC5"/>
    <w:rsid w:val="00BB2328"/>
    <w:rsid w:val="00BB3264"/>
    <w:rsid w:val="00BB50D7"/>
    <w:rsid w:val="00BB6DD8"/>
    <w:rsid w:val="00BB7F08"/>
    <w:rsid w:val="00BC0623"/>
    <w:rsid w:val="00BC35CD"/>
    <w:rsid w:val="00BC3C54"/>
    <w:rsid w:val="00BC415B"/>
    <w:rsid w:val="00BC5B96"/>
    <w:rsid w:val="00BD2C66"/>
    <w:rsid w:val="00BD2CDE"/>
    <w:rsid w:val="00BD3854"/>
    <w:rsid w:val="00BD3D16"/>
    <w:rsid w:val="00BD41CF"/>
    <w:rsid w:val="00BD6E92"/>
    <w:rsid w:val="00BD75F3"/>
    <w:rsid w:val="00BE0164"/>
    <w:rsid w:val="00BE12BD"/>
    <w:rsid w:val="00BE2ED7"/>
    <w:rsid w:val="00BE3498"/>
    <w:rsid w:val="00BE5A3E"/>
    <w:rsid w:val="00BE6AB8"/>
    <w:rsid w:val="00BF040B"/>
    <w:rsid w:val="00BF086D"/>
    <w:rsid w:val="00BF1C99"/>
    <w:rsid w:val="00BF2167"/>
    <w:rsid w:val="00BF43BC"/>
    <w:rsid w:val="00BF4DDA"/>
    <w:rsid w:val="00BF55C7"/>
    <w:rsid w:val="00BF7ED8"/>
    <w:rsid w:val="00C00A14"/>
    <w:rsid w:val="00C0222C"/>
    <w:rsid w:val="00C0236E"/>
    <w:rsid w:val="00C04139"/>
    <w:rsid w:val="00C0476F"/>
    <w:rsid w:val="00C0572E"/>
    <w:rsid w:val="00C105A1"/>
    <w:rsid w:val="00C1095B"/>
    <w:rsid w:val="00C1108E"/>
    <w:rsid w:val="00C120AB"/>
    <w:rsid w:val="00C14A51"/>
    <w:rsid w:val="00C14B1A"/>
    <w:rsid w:val="00C15C65"/>
    <w:rsid w:val="00C163C1"/>
    <w:rsid w:val="00C16519"/>
    <w:rsid w:val="00C16C1D"/>
    <w:rsid w:val="00C17036"/>
    <w:rsid w:val="00C17853"/>
    <w:rsid w:val="00C17EE4"/>
    <w:rsid w:val="00C21656"/>
    <w:rsid w:val="00C21B3D"/>
    <w:rsid w:val="00C24267"/>
    <w:rsid w:val="00C243E6"/>
    <w:rsid w:val="00C24A82"/>
    <w:rsid w:val="00C26FA6"/>
    <w:rsid w:val="00C2788D"/>
    <w:rsid w:val="00C31D37"/>
    <w:rsid w:val="00C33398"/>
    <w:rsid w:val="00C34388"/>
    <w:rsid w:val="00C34C5B"/>
    <w:rsid w:val="00C361F6"/>
    <w:rsid w:val="00C3669A"/>
    <w:rsid w:val="00C371D5"/>
    <w:rsid w:val="00C423E3"/>
    <w:rsid w:val="00C428AB"/>
    <w:rsid w:val="00C42D18"/>
    <w:rsid w:val="00C44BAC"/>
    <w:rsid w:val="00C45626"/>
    <w:rsid w:val="00C458AF"/>
    <w:rsid w:val="00C46041"/>
    <w:rsid w:val="00C460A0"/>
    <w:rsid w:val="00C46244"/>
    <w:rsid w:val="00C4720D"/>
    <w:rsid w:val="00C47768"/>
    <w:rsid w:val="00C50068"/>
    <w:rsid w:val="00C50180"/>
    <w:rsid w:val="00C51C4B"/>
    <w:rsid w:val="00C51EE9"/>
    <w:rsid w:val="00C52108"/>
    <w:rsid w:val="00C539A5"/>
    <w:rsid w:val="00C53DFA"/>
    <w:rsid w:val="00C543A8"/>
    <w:rsid w:val="00C549F4"/>
    <w:rsid w:val="00C555FE"/>
    <w:rsid w:val="00C56E55"/>
    <w:rsid w:val="00C60DD4"/>
    <w:rsid w:val="00C60F27"/>
    <w:rsid w:val="00C610F2"/>
    <w:rsid w:val="00C61B5E"/>
    <w:rsid w:val="00C64A7F"/>
    <w:rsid w:val="00C64C32"/>
    <w:rsid w:val="00C676F3"/>
    <w:rsid w:val="00C711C8"/>
    <w:rsid w:val="00C71AB8"/>
    <w:rsid w:val="00C72641"/>
    <w:rsid w:val="00C73E8B"/>
    <w:rsid w:val="00C74E97"/>
    <w:rsid w:val="00C75909"/>
    <w:rsid w:val="00C75D70"/>
    <w:rsid w:val="00C767D5"/>
    <w:rsid w:val="00C76EB2"/>
    <w:rsid w:val="00C77219"/>
    <w:rsid w:val="00C77EFD"/>
    <w:rsid w:val="00C809AF"/>
    <w:rsid w:val="00C81A10"/>
    <w:rsid w:val="00C81F39"/>
    <w:rsid w:val="00C829DF"/>
    <w:rsid w:val="00C82F5A"/>
    <w:rsid w:val="00C84021"/>
    <w:rsid w:val="00C85B7F"/>
    <w:rsid w:val="00C86AEA"/>
    <w:rsid w:val="00C86F14"/>
    <w:rsid w:val="00C875AE"/>
    <w:rsid w:val="00C90B1C"/>
    <w:rsid w:val="00C90CE6"/>
    <w:rsid w:val="00C91925"/>
    <w:rsid w:val="00C93030"/>
    <w:rsid w:val="00C9310B"/>
    <w:rsid w:val="00C937FB"/>
    <w:rsid w:val="00CA0F98"/>
    <w:rsid w:val="00CA179D"/>
    <w:rsid w:val="00CA2964"/>
    <w:rsid w:val="00CA696D"/>
    <w:rsid w:val="00CA6B5A"/>
    <w:rsid w:val="00CB1536"/>
    <w:rsid w:val="00CB3907"/>
    <w:rsid w:val="00CB3B51"/>
    <w:rsid w:val="00CB46F0"/>
    <w:rsid w:val="00CB5B24"/>
    <w:rsid w:val="00CB5DA0"/>
    <w:rsid w:val="00CB6167"/>
    <w:rsid w:val="00CC0638"/>
    <w:rsid w:val="00CC0C54"/>
    <w:rsid w:val="00CC1016"/>
    <w:rsid w:val="00CC32A0"/>
    <w:rsid w:val="00CC3829"/>
    <w:rsid w:val="00CC49BD"/>
    <w:rsid w:val="00CC585C"/>
    <w:rsid w:val="00CD0D1D"/>
    <w:rsid w:val="00CD1673"/>
    <w:rsid w:val="00CD1721"/>
    <w:rsid w:val="00CD25F1"/>
    <w:rsid w:val="00CD4DDC"/>
    <w:rsid w:val="00CD6592"/>
    <w:rsid w:val="00CD68C8"/>
    <w:rsid w:val="00CE02AA"/>
    <w:rsid w:val="00CE0808"/>
    <w:rsid w:val="00CE1989"/>
    <w:rsid w:val="00CE2E22"/>
    <w:rsid w:val="00CE35B4"/>
    <w:rsid w:val="00CE48FE"/>
    <w:rsid w:val="00CE6301"/>
    <w:rsid w:val="00CF06D4"/>
    <w:rsid w:val="00CF1D94"/>
    <w:rsid w:val="00CF2008"/>
    <w:rsid w:val="00CF2496"/>
    <w:rsid w:val="00CF3649"/>
    <w:rsid w:val="00CF4188"/>
    <w:rsid w:val="00CF4E9E"/>
    <w:rsid w:val="00CF52CE"/>
    <w:rsid w:val="00CF6418"/>
    <w:rsid w:val="00CF7848"/>
    <w:rsid w:val="00D00B84"/>
    <w:rsid w:val="00D047D7"/>
    <w:rsid w:val="00D058FC"/>
    <w:rsid w:val="00D05AC1"/>
    <w:rsid w:val="00D06213"/>
    <w:rsid w:val="00D073D1"/>
    <w:rsid w:val="00D10010"/>
    <w:rsid w:val="00D11510"/>
    <w:rsid w:val="00D116EE"/>
    <w:rsid w:val="00D12BB7"/>
    <w:rsid w:val="00D12E8D"/>
    <w:rsid w:val="00D14173"/>
    <w:rsid w:val="00D159D4"/>
    <w:rsid w:val="00D15C79"/>
    <w:rsid w:val="00D1641A"/>
    <w:rsid w:val="00D20E16"/>
    <w:rsid w:val="00D20E6B"/>
    <w:rsid w:val="00D21601"/>
    <w:rsid w:val="00D2164A"/>
    <w:rsid w:val="00D21AA7"/>
    <w:rsid w:val="00D22F1C"/>
    <w:rsid w:val="00D2345D"/>
    <w:rsid w:val="00D23D75"/>
    <w:rsid w:val="00D256F0"/>
    <w:rsid w:val="00D26D4B"/>
    <w:rsid w:val="00D31882"/>
    <w:rsid w:val="00D31BAB"/>
    <w:rsid w:val="00D31D27"/>
    <w:rsid w:val="00D32109"/>
    <w:rsid w:val="00D330B3"/>
    <w:rsid w:val="00D336A4"/>
    <w:rsid w:val="00D33A54"/>
    <w:rsid w:val="00D342A2"/>
    <w:rsid w:val="00D34AFB"/>
    <w:rsid w:val="00D352EE"/>
    <w:rsid w:val="00D35A03"/>
    <w:rsid w:val="00D3725D"/>
    <w:rsid w:val="00D37377"/>
    <w:rsid w:val="00D4178A"/>
    <w:rsid w:val="00D41830"/>
    <w:rsid w:val="00D42270"/>
    <w:rsid w:val="00D45B8C"/>
    <w:rsid w:val="00D56058"/>
    <w:rsid w:val="00D567E0"/>
    <w:rsid w:val="00D56A09"/>
    <w:rsid w:val="00D57976"/>
    <w:rsid w:val="00D61F2D"/>
    <w:rsid w:val="00D622E5"/>
    <w:rsid w:val="00D628B8"/>
    <w:rsid w:val="00D630DE"/>
    <w:rsid w:val="00D63DBC"/>
    <w:rsid w:val="00D645C6"/>
    <w:rsid w:val="00D6548A"/>
    <w:rsid w:val="00D65571"/>
    <w:rsid w:val="00D65905"/>
    <w:rsid w:val="00D65A71"/>
    <w:rsid w:val="00D66C66"/>
    <w:rsid w:val="00D67355"/>
    <w:rsid w:val="00D70D42"/>
    <w:rsid w:val="00D712C3"/>
    <w:rsid w:val="00D71A22"/>
    <w:rsid w:val="00D71B03"/>
    <w:rsid w:val="00D72349"/>
    <w:rsid w:val="00D7327A"/>
    <w:rsid w:val="00D74EC8"/>
    <w:rsid w:val="00D76F23"/>
    <w:rsid w:val="00D81268"/>
    <w:rsid w:val="00D81AC9"/>
    <w:rsid w:val="00D83D28"/>
    <w:rsid w:val="00D849E3"/>
    <w:rsid w:val="00D84DAA"/>
    <w:rsid w:val="00D858CC"/>
    <w:rsid w:val="00D9086C"/>
    <w:rsid w:val="00D91172"/>
    <w:rsid w:val="00D922E1"/>
    <w:rsid w:val="00D925B5"/>
    <w:rsid w:val="00D92C84"/>
    <w:rsid w:val="00D93AAA"/>
    <w:rsid w:val="00D93ECC"/>
    <w:rsid w:val="00D94745"/>
    <w:rsid w:val="00D94921"/>
    <w:rsid w:val="00D95DFF"/>
    <w:rsid w:val="00D963D5"/>
    <w:rsid w:val="00D96C96"/>
    <w:rsid w:val="00DA2201"/>
    <w:rsid w:val="00DA41B2"/>
    <w:rsid w:val="00DA5D06"/>
    <w:rsid w:val="00DA62C4"/>
    <w:rsid w:val="00DA731E"/>
    <w:rsid w:val="00DA7B20"/>
    <w:rsid w:val="00DB049D"/>
    <w:rsid w:val="00DB35B6"/>
    <w:rsid w:val="00DB473D"/>
    <w:rsid w:val="00DB5727"/>
    <w:rsid w:val="00DB68CC"/>
    <w:rsid w:val="00DB72F1"/>
    <w:rsid w:val="00DC2E38"/>
    <w:rsid w:val="00DC2FBF"/>
    <w:rsid w:val="00DC4322"/>
    <w:rsid w:val="00DC52BC"/>
    <w:rsid w:val="00DC60C2"/>
    <w:rsid w:val="00DC61D2"/>
    <w:rsid w:val="00DC621D"/>
    <w:rsid w:val="00DC6A98"/>
    <w:rsid w:val="00DC6EF8"/>
    <w:rsid w:val="00DC7245"/>
    <w:rsid w:val="00DC730A"/>
    <w:rsid w:val="00DC7A0C"/>
    <w:rsid w:val="00DD074A"/>
    <w:rsid w:val="00DD12FC"/>
    <w:rsid w:val="00DD1ED6"/>
    <w:rsid w:val="00DD2710"/>
    <w:rsid w:val="00DD2B0D"/>
    <w:rsid w:val="00DE130A"/>
    <w:rsid w:val="00DE1F21"/>
    <w:rsid w:val="00DE2E1C"/>
    <w:rsid w:val="00DE3369"/>
    <w:rsid w:val="00DE33DB"/>
    <w:rsid w:val="00DE38B2"/>
    <w:rsid w:val="00DF2C9A"/>
    <w:rsid w:val="00DF32E5"/>
    <w:rsid w:val="00DF5291"/>
    <w:rsid w:val="00DF6AC1"/>
    <w:rsid w:val="00DF7FFB"/>
    <w:rsid w:val="00E010C4"/>
    <w:rsid w:val="00E03EBC"/>
    <w:rsid w:val="00E05572"/>
    <w:rsid w:val="00E06927"/>
    <w:rsid w:val="00E06AB6"/>
    <w:rsid w:val="00E10D04"/>
    <w:rsid w:val="00E1217F"/>
    <w:rsid w:val="00E16292"/>
    <w:rsid w:val="00E166FD"/>
    <w:rsid w:val="00E17143"/>
    <w:rsid w:val="00E20294"/>
    <w:rsid w:val="00E21B0C"/>
    <w:rsid w:val="00E221E9"/>
    <w:rsid w:val="00E22FB3"/>
    <w:rsid w:val="00E25706"/>
    <w:rsid w:val="00E25F47"/>
    <w:rsid w:val="00E264BB"/>
    <w:rsid w:val="00E267F5"/>
    <w:rsid w:val="00E276DF"/>
    <w:rsid w:val="00E27A89"/>
    <w:rsid w:val="00E27F0E"/>
    <w:rsid w:val="00E30011"/>
    <w:rsid w:val="00E30596"/>
    <w:rsid w:val="00E31FF9"/>
    <w:rsid w:val="00E32985"/>
    <w:rsid w:val="00E33434"/>
    <w:rsid w:val="00E33B23"/>
    <w:rsid w:val="00E35391"/>
    <w:rsid w:val="00E37B1B"/>
    <w:rsid w:val="00E37B97"/>
    <w:rsid w:val="00E37CA6"/>
    <w:rsid w:val="00E417B9"/>
    <w:rsid w:val="00E41B67"/>
    <w:rsid w:val="00E43C23"/>
    <w:rsid w:val="00E4477A"/>
    <w:rsid w:val="00E45160"/>
    <w:rsid w:val="00E45E6A"/>
    <w:rsid w:val="00E50A42"/>
    <w:rsid w:val="00E50ABF"/>
    <w:rsid w:val="00E52F6E"/>
    <w:rsid w:val="00E53930"/>
    <w:rsid w:val="00E54FA5"/>
    <w:rsid w:val="00E562CD"/>
    <w:rsid w:val="00E56D64"/>
    <w:rsid w:val="00E57446"/>
    <w:rsid w:val="00E61081"/>
    <w:rsid w:val="00E61788"/>
    <w:rsid w:val="00E65B18"/>
    <w:rsid w:val="00E65B9D"/>
    <w:rsid w:val="00E67F32"/>
    <w:rsid w:val="00E704E0"/>
    <w:rsid w:val="00E71CE6"/>
    <w:rsid w:val="00E71E16"/>
    <w:rsid w:val="00E728C6"/>
    <w:rsid w:val="00E73E65"/>
    <w:rsid w:val="00E75732"/>
    <w:rsid w:val="00E76641"/>
    <w:rsid w:val="00E77AC7"/>
    <w:rsid w:val="00E77FA2"/>
    <w:rsid w:val="00E83DA2"/>
    <w:rsid w:val="00E84575"/>
    <w:rsid w:val="00E851E8"/>
    <w:rsid w:val="00E856E9"/>
    <w:rsid w:val="00E862E7"/>
    <w:rsid w:val="00E86395"/>
    <w:rsid w:val="00E86A0D"/>
    <w:rsid w:val="00E86B3F"/>
    <w:rsid w:val="00E86DF2"/>
    <w:rsid w:val="00E879EC"/>
    <w:rsid w:val="00E949F8"/>
    <w:rsid w:val="00E94A64"/>
    <w:rsid w:val="00E9538B"/>
    <w:rsid w:val="00E95703"/>
    <w:rsid w:val="00E95707"/>
    <w:rsid w:val="00E95C5F"/>
    <w:rsid w:val="00E95D75"/>
    <w:rsid w:val="00E964C2"/>
    <w:rsid w:val="00EA0297"/>
    <w:rsid w:val="00EA116B"/>
    <w:rsid w:val="00EA123E"/>
    <w:rsid w:val="00EA2C29"/>
    <w:rsid w:val="00EA2CB8"/>
    <w:rsid w:val="00EA3F05"/>
    <w:rsid w:val="00EA5E85"/>
    <w:rsid w:val="00EB0B07"/>
    <w:rsid w:val="00EB0C6A"/>
    <w:rsid w:val="00EB144E"/>
    <w:rsid w:val="00EB1B82"/>
    <w:rsid w:val="00EB2F49"/>
    <w:rsid w:val="00EB3E4C"/>
    <w:rsid w:val="00EB462A"/>
    <w:rsid w:val="00EB545A"/>
    <w:rsid w:val="00EB635D"/>
    <w:rsid w:val="00EB6554"/>
    <w:rsid w:val="00EB6AA6"/>
    <w:rsid w:val="00EC00AF"/>
    <w:rsid w:val="00EC0354"/>
    <w:rsid w:val="00EC5A70"/>
    <w:rsid w:val="00EC5B97"/>
    <w:rsid w:val="00EC692F"/>
    <w:rsid w:val="00EC6BED"/>
    <w:rsid w:val="00EC70BC"/>
    <w:rsid w:val="00ED018E"/>
    <w:rsid w:val="00ED044F"/>
    <w:rsid w:val="00ED07AD"/>
    <w:rsid w:val="00ED2A04"/>
    <w:rsid w:val="00ED370F"/>
    <w:rsid w:val="00ED3804"/>
    <w:rsid w:val="00ED39D5"/>
    <w:rsid w:val="00ED3B36"/>
    <w:rsid w:val="00ED46B4"/>
    <w:rsid w:val="00ED602B"/>
    <w:rsid w:val="00EE21F2"/>
    <w:rsid w:val="00EE3460"/>
    <w:rsid w:val="00EE50EE"/>
    <w:rsid w:val="00EE55F9"/>
    <w:rsid w:val="00EE62A5"/>
    <w:rsid w:val="00EE63DE"/>
    <w:rsid w:val="00EE64F9"/>
    <w:rsid w:val="00EE7598"/>
    <w:rsid w:val="00EF00EA"/>
    <w:rsid w:val="00EF0CBA"/>
    <w:rsid w:val="00EF0D9E"/>
    <w:rsid w:val="00EF242C"/>
    <w:rsid w:val="00EF34E1"/>
    <w:rsid w:val="00EF3629"/>
    <w:rsid w:val="00EF3688"/>
    <w:rsid w:val="00EF36A0"/>
    <w:rsid w:val="00EF524C"/>
    <w:rsid w:val="00EF681B"/>
    <w:rsid w:val="00EF6CC3"/>
    <w:rsid w:val="00F00D0F"/>
    <w:rsid w:val="00F0109E"/>
    <w:rsid w:val="00F03A0B"/>
    <w:rsid w:val="00F04AF8"/>
    <w:rsid w:val="00F11454"/>
    <w:rsid w:val="00F12E5A"/>
    <w:rsid w:val="00F17B48"/>
    <w:rsid w:val="00F2125A"/>
    <w:rsid w:val="00F221FC"/>
    <w:rsid w:val="00F23565"/>
    <w:rsid w:val="00F23C89"/>
    <w:rsid w:val="00F24025"/>
    <w:rsid w:val="00F267E2"/>
    <w:rsid w:val="00F322F5"/>
    <w:rsid w:val="00F35033"/>
    <w:rsid w:val="00F35CAE"/>
    <w:rsid w:val="00F36EE7"/>
    <w:rsid w:val="00F41561"/>
    <w:rsid w:val="00F4192F"/>
    <w:rsid w:val="00F41B64"/>
    <w:rsid w:val="00F41D9D"/>
    <w:rsid w:val="00F43389"/>
    <w:rsid w:val="00F44250"/>
    <w:rsid w:val="00F4468A"/>
    <w:rsid w:val="00F47653"/>
    <w:rsid w:val="00F47EFB"/>
    <w:rsid w:val="00F505CE"/>
    <w:rsid w:val="00F50BE9"/>
    <w:rsid w:val="00F5169E"/>
    <w:rsid w:val="00F51C0B"/>
    <w:rsid w:val="00F52F4E"/>
    <w:rsid w:val="00F53850"/>
    <w:rsid w:val="00F539C6"/>
    <w:rsid w:val="00F57AFC"/>
    <w:rsid w:val="00F627E4"/>
    <w:rsid w:val="00F6494D"/>
    <w:rsid w:val="00F654D7"/>
    <w:rsid w:val="00F65A5D"/>
    <w:rsid w:val="00F65DBD"/>
    <w:rsid w:val="00F669B9"/>
    <w:rsid w:val="00F67D80"/>
    <w:rsid w:val="00F74B83"/>
    <w:rsid w:val="00F773E6"/>
    <w:rsid w:val="00F77937"/>
    <w:rsid w:val="00F7797F"/>
    <w:rsid w:val="00F77DEE"/>
    <w:rsid w:val="00F80A07"/>
    <w:rsid w:val="00F80C1E"/>
    <w:rsid w:val="00F80CEE"/>
    <w:rsid w:val="00F81639"/>
    <w:rsid w:val="00F81C18"/>
    <w:rsid w:val="00F81F36"/>
    <w:rsid w:val="00F82613"/>
    <w:rsid w:val="00F83E85"/>
    <w:rsid w:val="00F8493C"/>
    <w:rsid w:val="00F85468"/>
    <w:rsid w:val="00F854C0"/>
    <w:rsid w:val="00F86212"/>
    <w:rsid w:val="00F86A45"/>
    <w:rsid w:val="00F86BC7"/>
    <w:rsid w:val="00F907D4"/>
    <w:rsid w:val="00F913C7"/>
    <w:rsid w:val="00F9202F"/>
    <w:rsid w:val="00F92AA4"/>
    <w:rsid w:val="00F967E1"/>
    <w:rsid w:val="00FA2519"/>
    <w:rsid w:val="00FA2F4C"/>
    <w:rsid w:val="00FA456B"/>
    <w:rsid w:val="00FA625E"/>
    <w:rsid w:val="00FA6B1E"/>
    <w:rsid w:val="00FB4165"/>
    <w:rsid w:val="00FB48E1"/>
    <w:rsid w:val="00FB59A0"/>
    <w:rsid w:val="00FB740E"/>
    <w:rsid w:val="00FC1484"/>
    <w:rsid w:val="00FC1792"/>
    <w:rsid w:val="00FC1944"/>
    <w:rsid w:val="00FC42BD"/>
    <w:rsid w:val="00FD2472"/>
    <w:rsid w:val="00FD2E9B"/>
    <w:rsid w:val="00FD378D"/>
    <w:rsid w:val="00FD41A2"/>
    <w:rsid w:val="00FE065B"/>
    <w:rsid w:val="00FE06D8"/>
    <w:rsid w:val="00FE17D2"/>
    <w:rsid w:val="00FE28DF"/>
    <w:rsid w:val="00FE2BF0"/>
    <w:rsid w:val="00FE43C6"/>
    <w:rsid w:val="00FE7835"/>
    <w:rsid w:val="00FF4148"/>
    <w:rsid w:val="00FF4D35"/>
    <w:rsid w:val="00FF5A86"/>
    <w:rsid w:val="00FF6D2A"/>
    <w:rsid w:val="00FF7F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57696"/>
  <w15:docId w15:val="{598FBBD5-5504-4A0A-BFBC-E507BA32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20DD8"/>
  </w:style>
  <w:style w:type="character" w:customStyle="1" w:styleId="searchhit">
    <w:name w:val="searchhit"/>
    <w:basedOn w:val="DefaultParagraphFont"/>
    <w:rsid w:val="005A20B0"/>
  </w:style>
  <w:style w:type="character" w:styleId="UnresolvedMention">
    <w:name w:val="Unresolved Mention"/>
    <w:basedOn w:val="DefaultParagraphFont"/>
    <w:uiPriority w:val="99"/>
    <w:semiHidden/>
    <w:unhideWhenUsed/>
    <w:rsid w:val="00CB5DA0"/>
    <w:rPr>
      <w:color w:val="605E5C"/>
      <w:shd w:val="clear" w:color="auto" w:fill="E1DFDD"/>
    </w:rPr>
  </w:style>
  <w:style w:type="character" w:customStyle="1" w:styleId="metadata-item">
    <w:name w:val="metadata-item"/>
    <w:basedOn w:val="DefaultParagraphFont"/>
    <w:rsid w:val="00161DF7"/>
  </w:style>
  <w:style w:type="character" w:customStyle="1" w:styleId="fnotenum">
    <w:name w:val="fnotenum"/>
    <w:basedOn w:val="DefaultParagraphFont"/>
    <w:rsid w:val="00264BB6"/>
  </w:style>
  <w:style w:type="paragraph" w:customStyle="1" w:styleId="lrparaindt1hang">
    <w:name w:val="lrparaindt1hang"/>
    <w:basedOn w:val="Normal"/>
    <w:rsid w:val="00354315"/>
    <w:pPr>
      <w:spacing w:before="100" w:beforeAutospacing="1" w:after="100" w:afterAutospacing="1"/>
    </w:pPr>
    <w:rPr>
      <w:rFonts w:ascii="Times New Roman" w:hAnsi="Times New Roman"/>
      <w:sz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559486776">
          <w:marLeft w:val="0"/>
          <w:marRight w:val="0"/>
          <w:marTop w:val="120"/>
          <w:marBottom w:val="0"/>
          <w:divBdr>
            <w:top w:val="none" w:sz="0" w:space="0" w:color="auto"/>
            <w:left w:val="none" w:sz="0" w:space="0" w:color="auto"/>
            <w:bottom w:val="none" w:sz="0" w:space="0" w:color="auto"/>
            <w:right w:val="none" w:sz="0" w:space="0" w:color="auto"/>
          </w:divBdr>
        </w:div>
        <w:div w:id="1238244361">
          <w:marLeft w:val="0"/>
          <w:marRight w:val="0"/>
          <w:marTop w:val="24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02393966">
      <w:bodyDiv w:val="1"/>
      <w:marLeft w:val="0"/>
      <w:marRight w:val="0"/>
      <w:marTop w:val="0"/>
      <w:marBottom w:val="0"/>
      <w:divBdr>
        <w:top w:val="none" w:sz="0" w:space="0" w:color="auto"/>
        <w:left w:val="none" w:sz="0" w:space="0" w:color="auto"/>
        <w:bottom w:val="none" w:sz="0" w:space="0" w:color="auto"/>
        <w:right w:val="none" w:sz="0" w:space="0" w:color="auto"/>
      </w:divBdr>
      <w:divsChild>
        <w:div w:id="315837348">
          <w:marLeft w:val="0"/>
          <w:marRight w:val="0"/>
          <w:marTop w:val="180"/>
          <w:marBottom w:val="60"/>
          <w:divBdr>
            <w:top w:val="single" w:sz="8" w:space="1" w:color="808080"/>
            <w:left w:val="none" w:sz="0" w:space="0" w:color="auto"/>
            <w:bottom w:val="none" w:sz="0" w:space="0" w:color="auto"/>
            <w:right w:val="none" w:sz="0" w:space="0" w:color="auto"/>
          </w:divBdr>
        </w:div>
        <w:div w:id="1121724181">
          <w:marLeft w:val="1134"/>
          <w:marRight w:val="0"/>
          <w:marTop w:val="60"/>
          <w:marBottom w:val="0"/>
          <w:divBdr>
            <w:top w:val="none" w:sz="0" w:space="0" w:color="auto"/>
            <w:left w:val="none" w:sz="0" w:space="0" w:color="auto"/>
            <w:bottom w:val="none" w:sz="0" w:space="0" w:color="auto"/>
            <w:right w:val="none" w:sz="0" w:space="0" w:color="auto"/>
          </w:divBdr>
        </w:div>
        <w:div w:id="1205827785">
          <w:marLeft w:val="0"/>
          <w:marRight w:val="0"/>
          <w:marTop w:val="120"/>
          <w:marBottom w:val="0"/>
          <w:divBdr>
            <w:top w:val="none" w:sz="0" w:space="0" w:color="auto"/>
            <w:left w:val="none" w:sz="0" w:space="0" w:color="auto"/>
            <w:bottom w:val="none" w:sz="0" w:space="0" w:color="auto"/>
            <w:right w:val="none" w:sz="0" w:space="0" w:color="auto"/>
          </w:divBdr>
        </w:div>
        <w:div w:id="1577285130">
          <w:marLeft w:val="0"/>
          <w:marRight w:val="0"/>
          <w:marTop w:val="120"/>
          <w:marBottom w:val="0"/>
          <w:divBdr>
            <w:top w:val="none" w:sz="0" w:space="0" w:color="auto"/>
            <w:left w:val="none" w:sz="0" w:space="0" w:color="auto"/>
            <w:bottom w:val="none" w:sz="0" w:space="0" w:color="auto"/>
            <w:right w:val="none" w:sz="0" w:space="0" w:color="auto"/>
          </w:divBdr>
        </w:div>
        <w:div w:id="1627590018">
          <w:marLeft w:val="0"/>
          <w:marRight w:val="0"/>
          <w:marTop w:val="120"/>
          <w:marBottom w:val="0"/>
          <w:divBdr>
            <w:top w:val="none" w:sz="0" w:space="0" w:color="auto"/>
            <w:left w:val="none" w:sz="0" w:space="0" w:color="auto"/>
            <w:bottom w:val="none" w:sz="0" w:space="0" w:color="auto"/>
            <w:right w:val="none" w:sz="0" w:space="0" w:color="auto"/>
          </w:divBdr>
        </w:div>
        <w:div w:id="1653682268">
          <w:marLeft w:val="1134"/>
          <w:marRight w:val="0"/>
          <w:marTop w:val="60"/>
          <w:marBottom w:val="0"/>
          <w:divBdr>
            <w:top w:val="none" w:sz="0" w:space="0" w:color="auto"/>
            <w:left w:val="none" w:sz="0" w:space="0" w:color="auto"/>
            <w:bottom w:val="none" w:sz="0" w:space="0" w:color="auto"/>
            <w:right w:val="none" w:sz="0" w:space="0" w:color="auto"/>
          </w:divBdr>
        </w:div>
        <w:div w:id="1819493354">
          <w:marLeft w:val="0"/>
          <w:marRight w:val="0"/>
          <w:marTop w:val="180"/>
          <w:marBottom w:val="60"/>
          <w:divBdr>
            <w:top w:val="single" w:sz="8" w:space="1" w:color="808080"/>
            <w:left w:val="none" w:sz="0" w:space="0" w:color="auto"/>
            <w:bottom w:val="none" w:sz="0" w:space="0" w:color="auto"/>
            <w:right w:val="none" w:sz="0" w:space="0" w:color="auto"/>
          </w:divBdr>
        </w:div>
        <w:div w:id="1977877299">
          <w:marLeft w:val="1134"/>
          <w:marRight w:val="0"/>
          <w:marTop w:val="60"/>
          <w:marBottom w:val="0"/>
          <w:divBdr>
            <w:top w:val="none" w:sz="0" w:space="0" w:color="auto"/>
            <w:left w:val="none" w:sz="0" w:space="0" w:color="auto"/>
            <w:bottom w:val="none" w:sz="0" w:space="0" w:color="auto"/>
            <w:right w:val="none" w:sz="0" w:space="0" w:color="auto"/>
          </w:divBdr>
        </w:div>
        <w:div w:id="2013219642">
          <w:marLeft w:val="0"/>
          <w:marRight w:val="0"/>
          <w:marTop w:val="120"/>
          <w:marBottom w:val="0"/>
          <w:divBdr>
            <w:top w:val="none" w:sz="0" w:space="0" w:color="auto"/>
            <w:left w:val="none" w:sz="0" w:space="0" w:color="auto"/>
            <w:bottom w:val="none" w:sz="0" w:space="0" w:color="auto"/>
            <w:right w:val="none" w:sz="0" w:space="0" w:color="auto"/>
          </w:divBdr>
        </w:div>
        <w:div w:id="2123844857">
          <w:marLeft w:val="0"/>
          <w:marRight w:val="0"/>
          <w:marTop w:val="120"/>
          <w:marBottom w:val="0"/>
          <w:divBdr>
            <w:top w:val="none" w:sz="0" w:space="0" w:color="auto"/>
            <w:left w:val="none" w:sz="0" w:space="0" w:color="auto"/>
            <w:bottom w:val="none" w:sz="0" w:space="0" w:color="auto"/>
            <w:right w:val="none" w:sz="0" w:space="0" w:color="auto"/>
          </w:divBdr>
        </w:div>
      </w:divsChild>
    </w:div>
    <w:div w:id="305014019">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543565086">
          <w:marLeft w:val="0"/>
          <w:marRight w:val="0"/>
          <w:marTop w:val="60"/>
          <w:marBottom w:val="0"/>
          <w:divBdr>
            <w:top w:val="none" w:sz="0" w:space="0" w:color="auto"/>
            <w:left w:val="none" w:sz="0" w:space="0" w:color="auto"/>
            <w:bottom w:val="none" w:sz="0" w:space="0" w:color="auto"/>
            <w:right w:val="none" w:sz="0" w:space="0" w:color="auto"/>
          </w:divBdr>
        </w:div>
        <w:div w:id="795026512">
          <w:marLeft w:val="0"/>
          <w:marRight w:val="0"/>
          <w:marTop w:val="12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52427858">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670260059">
      <w:bodyDiv w:val="1"/>
      <w:marLeft w:val="0"/>
      <w:marRight w:val="0"/>
      <w:marTop w:val="0"/>
      <w:marBottom w:val="0"/>
      <w:divBdr>
        <w:top w:val="none" w:sz="0" w:space="0" w:color="auto"/>
        <w:left w:val="none" w:sz="0" w:space="0" w:color="auto"/>
        <w:bottom w:val="none" w:sz="0" w:space="0" w:color="auto"/>
        <w:right w:val="none" w:sz="0" w:space="0" w:color="auto"/>
      </w:divBdr>
    </w:div>
    <w:div w:id="741756442">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833028666">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78808815">
          <w:marLeft w:val="675"/>
          <w:marRight w:val="0"/>
          <w:marTop w:val="0"/>
          <w:marBottom w:val="0"/>
          <w:divBdr>
            <w:top w:val="none" w:sz="0" w:space="0" w:color="auto"/>
            <w:left w:val="none" w:sz="0" w:space="0" w:color="auto"/>
            <w:bottom w:val="none" w:sz="0" w:space="0" w:color="auto"/>
            <w:right w:val="none" w:sz="0" w:space="0" w:color="auto"/>
          </w:divBdr>
        </w:div>
        <w:div w:id="1892958996">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1D474-9504-4821-A53A-0B37EF95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Acting.dotx</Template>
  <TotalTime>1</TotalTime>
  <Pages>11</Pages>
  <Words>2879</Words>
  <Characters>16411</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JUDGMENT</vt:lpstr>
      <vt:lpstr>    JUDGMENT</vt:lpstr>
    </vt:vector>
  </TitlesOfParts>
  <Company>Group21</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sathish sarshan  mohan</cp:lastModifiedBy>
  <cp:revision>3</cp:revision>
  <cp:lastPrinted>2024-05-21T05:40:00Z</cp:lastPrinted>
  <dcterms:created xsi:type="dcterms:W3CDTF">2024-05-23T12:48:00Z</dcterms:created>
  <dcterms:modified xsi:type="dcterms:W3CDTF">2024-05-25T17:48:00Z</dcterms:modified>
</cp:coreProperties>
</file>