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8535A" w14:textId="77777777" w:rsidR="00E35001" w:rsidRPr="00C831A6" w:rsidRDefault="00E35001" w:rsidP="00E35001">
      <w:pPr>
        <w:tabs>
          <w:tab w:val="left" w:pos="2342"/>
          <w:tab w:val="center" w:pos="4513"/>
        </w:tabs>
        <w:spacing w:after="0" w:line="240" w:lineRule="auto"/>
        <w:jc w:val="center"/>
        <w:outlineLvl w:val="0"/>
        <w:rPr>
          <w:rFonts w:ascii="Times New Roman" w:eastAsia="Times New Roman" w:hAnsi="Times New Roman" w:cs="Times New Roman"/>
          <w:b/>
          <w:noProof/>
          <w:sz w:val="28"/>
          <w:szCs w:val="28"/>
          <w:lang w:eastAsia="en-ZA"/>
        </w:rPr>
      </w:pPr>
      <w:r w:rsidRPr="00C831A6">
        <w:rPr>
          <w:rFonts w:ascii="Times New Roman" w:eastAsia="Times New Roman" w:hAnsi="Times New Roman" w:cs="Times New Roman"/>
          <w:b/>
          <w:noProof/>
          <w:sz w:val="28"/>
          <w:szCs w:val="28"/>
          <w:lang w:eastAsia="en-ZA"/>
        </w:rPr>
        <w:t>REPUBLIC OF SOUTH AFRICA</w:t>
      </w:r>
    </w:p>
    <w:p w14:paraId="36725513" w14:textId="77777777" w:rsidR="00E35001" w:rsidRPr="00C831A6" w:rsidRDefault="00E35001" w:rsidP="00E35001">
      <w:pPr>
        <w:tabs>
          <w:tab w:val="left" w:pos="2342"/>
          <w:tab w:val="center" w:pos="4513"/>
        </w:tabs>
        <w:spacing w:after="0" w:line="240" w:lineRule="auto"/>
        <w:jc w:val="center"/>
        <w:outlineLvl w:val="0"/>
        <w:rPr>
          <w:rFonts w:ascii="Times New Roman" w:eastAsia="Times New Roman" w:hAnsi="Times New Roman" w:cs="Times New Roman"/>
          <w:b/>
          <w:noProof/>
          <w:sz w:val="28"/>
          <w:szCs w:val="28"/>
          <w:lang w:eastAsia="en-ZA"/>
        </w:rPr>
      </w:pPr>
    </w:p>
    <w:p w14:paraId="5B368847" w14:textId="77777777" w:rsidR="00E35001" w:rsidRPr="00C831A6" w:rsidRDefault="00E35001" w:rsidP="00E35001">
      <w:pPr>
        <w:tabs>
          <w:tab w:val="left" w:pos="2342"/>
          <w:tab w:val="center" w:pos="4513"/>
        </w:tabs>
        <w:spacing w:after="0" w:line="240" w:lineRule="auto"/>
        <w:jc w:val="center"/>
        <w:outlineLvl w:val="0"/>
        <w:rPr>
          <w:rFonts w:ascii="Times New Roman" w:eastAsia="Times New Roman" w:hAnsi="Times New Roman" w:cs="Times New Roman"/>
          <w:sz w:val="28"/>
          <w:szCs w:val="28"/>
        </w:rPr>
      </w:pPr>
      <w:r w:rsidRPr="00C831A6">
        <w:rPr>
          <w:rFonts w:ascii="Times New Roman" w:eastAsia="Times New Roman" w:hAnsi="Times New Roman" w:cs="Times New Roman"/>
          <w:noProof/>
          <w:sz w:val="28"/>
          <w:szCs w:val="28"/>
          <w:lang w:eastAsia="en-ZA"/>
        </w:rPr>
        <w:drawing>
          <wp:inline distT="0" distB="0" distL="0" distR="0" wp14:anchorId="35F30E94" wp14:editId="488320FA">
            <wp:extent cx="1350645" cy="1350645"/>
            <wp:effectExtent l="0" t="0" r="1905" b="1905"/>
            <wp:docPr id="9392317" name="Picture 9392317"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5616E57B" w14:textId="77777777" w:rsidR="00E35001" w:rsidRPr="00C831A6" w:rsidRDefault="00E35001" w:rsidP="00E35001">
      <w:pPr>
        <w:spacing w:after="0" w:line="240" w:lineRule="auto"/>
        <w:jc w:val="center"/>
        <w:outlineLvl w:val="0"/>
        <w:rPr>
          <w:rFonts w:ascii="Times New Roman" w:eastAsia="Times New Roman" w:hAnsi="Times New Roman" w:cs="Times New Roman"/>
          <w:b/>
          <w:sz w:val="28"/>
          <w:szCs w:val="28"/>
        </w:rPr>
      </w:pPr>
    </w:p>
    <w:p w14:paraId="476E89C8" w14:textId="77777777" w:rsidR="00E35001" w:rsidRPr="00C831A6" w:rsidRDefault="00E35001" w:rsidP="00E35001">
      <w:pPr>
        <w:spacing w:after="0" w:line="240" w:lineRule="auto"/>
        <w:jc w:val="center"/>
        <w:outlineLvl w:val="0"/>
        <w:rPr>
          <w:rFonts w:ascii="Times New Roman" w:eastAsia="Times New Roman" w:hAnsi="Times New Roman" w:cs="Times New Roman"/>
          <w:b/>
          <w:sz w:val="28"/>
          <w:szCs w:val="28"/>
        </w:rPr>
      </w:pPr>
      <w:r w:rsidRPr="00C831A6">
        <w:rPr>
          <w:rFonts w:ascii="Times New Roman" w:eastAsia="Times New Roman" w:hAnsi="Times New Roman" w:cs="Times New Roman"/>
          <w:b/>
          <w:sz w:val="28"/>
          <w:szCs w:val="28"/>
        </w:rPr>
        <w:t>IN THE HIGH COURT OF SOUTH AFRICA</w:t>
      </w:r>
    </w:p>
    <w:p w14:paraId="3DF3A75C" w14:textId="7500D34D" w:rsidR="00E35001" w:rsidRDefault="00E35001" w:rsidP="00E45F58">
      <w:pPr>
        <w:spacing w:after="0" w:line="240" w:lineRule="auto"/>
        <w:jc w:val="center"/>
        <w:outlineLvl w:val="0"/>
        <w:rPr>
          <w:rFonts w:ascii="Times New Roman" w:eastAsia="Times New Roman" w:hAnsi="Times New Roman" w:cs="Times New Roman"/>
          <w:b/>
          <w:sz w:val="28"/>
          <w:szCs w:val="28"/>
        </w:rPr>
      </w:pPr>
      <w:r w:rsidRPr="00C831A6">
        <w:rPr>
          <w:rFonts w:ascii="Times New Roman" w:eastAsia="Times New Roman" w:hAnsi="Times New Roman" w:cs="Times New Roman"/>
          <w:b/>
          <w:sz w:val="28"/>
          <w:szCs w:val="28"/>
        </w:rPr>
        <w:t>GAUTENG LOCAL DIVISION, JOHANNESBURG</w:t>
      </w:r>
    </w:p>
    <w:p w14:paraId="7E53982D" w14:textId="77777777" w:rsidR="00E45F58" w:rsidRPr="00E45F58" w:rsidRDefault="00E45F58" w:rsidP="00E45F58">
      <w:pPr>
        <w:spacing w:after="0" w:line="240" w:lineRule="auto"/>
        <w:jc w:val="center"/>
        <w:outlineLvl w:val="0"/>
        <w:rPr>
          <w:rFonts w:ascii="Times New Roman" w:eastAsia="Times New Roman" w:hAnsi="Times New Roman" w:cs="Times New Roman"/>
          <w:b/>
          <w:sz w:val="28"/>
          <w:szCs w:val="28"/>
        </w:rPr>
      </w:pPr>
    </w:p>
    <w:p w14:paraId="4768475E" w14:textId="2EDDAB14" w:rsidR="00E35001" w:rsidRDefault="00E35001" w:rsidP="00E35001">
      <w:pPr>
        <w:widowControl w:val="0"/>
        <w:tabs>
          <w:tab w:val="right" w:pos="8493"/>
        </w:tabs>
        <w:spacing w:line="480" w:lineRule="auto"/>
        <w:jc w:val="both"/>
        <w:rPr>
          <w:rFonts w:ascii="Times New Roman" w:hAnsi="Times New Roman" w:cs="Times New Roman"/>
          <w:sz w:val="28"/>
          <w:szCs w:val="28"/>
        </w:rPr>
      </w:pPr>
      <w:r w:rsidRPr="00C831A6">
        <w:rPr>
          <w:rFonts w:ascii="Times New Roman" w:hAnsi="Times New Roman" w:cs="Times New Roman"/>
          <w:sz w:val="28"/>
          <w:szCs w:val="28"/>
        </w:rPr>
        <w:tab/>
      </w:r>
      <w:r w:rsidR="00E45F58">
        <w:rPr>
          <w:rFonts w:ascii="Times New Roman" w:hAnsi="Times New Roman" w:cs="Times New Roman"/>
          <w:sz w:val="28"/>
          <w:szCs w:val="28"/>
        </w:rPr>
        <w:t xml:space="preserve">  </w:t>
      </w:r>
      <w:r w:rsidRPr="00C831A6">
        <w:rPr>
          <w:rFonts w:ascii="Times New Roman" w:hAnsi="Times New Roman" w:cs="Times New Roman"/>
          <w:b/>
          <w:bCs/>
          <w:sz w:val="28"/>
          <w:szCs w:val="28"/>
        </w:rPr>
        <w:t>CASE NO:</w:t>
      </w:r>
      <w:r w:rsidRPr="00C831A6">
        <w:rPr>
          <w:rFonts w:ascii="Times New Roman" w:hAnsi="Times New Roman" w:cs="Times New Roman"/>
          <w:sz w:val="28"/>
          <w:szCs w:val="28"/>
        </w:rPr>
        <w:t xml:space="preserve"> 2022/23066</w:t>
      </w:r>
    </w:p>
    <w:p w14:paraId="5EE3C0FB" w14:textId="3DF79B84" w:rsidR="00CC464E" w:rsidRPr="00C831A6" w:rsidRDefault="005D343C" w:rsidP="00CC464E">
      <w:pPr>
        <w:suppressAutoHyphens/>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en-ZA"/>
        </w:rPr>
        <mc:AlternateContent>
          <mc:Choice Requires="wps">
            <w:drawing>
              <wp:anchor distT="0" distB="0" distL="114300" distR="114300" simplePos="0" relativeHeight="251658240" behindDoc="0" locked="0" layoutInCell="1" allowOverlap="1" wp14:anchorId="389A8A39" wp14:editId="765BE1F0">
                <wp:simplePos x="0" y="0"/>
                <wp:positionH relativeFrom="margin">
                  <wp:align>left</wp:align>
                </wp:positionH>
                <wp:positionV relativeFrom="paragraph">
                  <wp:posOffset>120015</wp:posOffset>
                </wp:positionV>
                <wp:extent cx="2985135" cy="1120775"/>
                <wp:effectExtent l="0" t="0" r="5715" b="3175"/>
                <wp:wrapNone/>
                <wp:docPr id="6458959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120775"/>
                        </a:xfrm>
                        <a:prstGeom prst="rect">
                          <a:avLst/>
                        </a:prstGeom>
                        <a:solidFill>
                          <a:srgbClr val="FFFFFF"/>
                        </a:solidFill>
                        <a:ln w="9525">
                          <a:solidFill>
                            <a:srgbClr val="000000"/>
                          </a:solidFill>
                          <a:miter lim="800000"/>
                          <a:headEnd/>
                          <a:tailEnd/>
                        </a:ln>
                      </wps:spPr>
                      <wps:txbx>
                        <w:txbxContent>
                          <w:p w14:paraId="5EC830BB" w14:textId="77777777" w:rsidR="00DF2BB6" w:rsidRPr="002A73CD" w:rsidRDefault="00DF2BB6" w:rsidP="00DF2BB6">
                            <w:pPr>
                              <w:numPr>
                                <w:ilvl w:val="0"/>
                                <w:numId w:val="3"/>
                              </w:numPr>
                              <w:tabs>
                                <w:tab w:val="clear" w:pos="5115"/>
                                <w:tab w:val="num" w:pos="900"/>
                              </w:tabs>
                              <w:spacing w:after="0" w:line="240" w:lineRule="auto"/>
                              <w:ind w:left="900"/>
                              <w:rPr>
                                <w:rFonts w:cs="Arial"/>
                                <w:sz w:val="20"/>
                                <w:szCs w:val="20"/>
                              </w:rPr>
                            </w:pPr>
                            <w:r w:rsidRPr="002A73CD">
                              <w:rPr>
                                <w:rFonts w:cs="Arial"/>
                                <w:sz w:val="20"/>
                                <w:szCs w:val="20"/>
                              </w:rPr>
                              <w:t xml:space="preserve">REPORTABLE: YES / </w:t>
                            </w:r>
                            <w:r w:rsidRPr="00DF05FC">
                              <w:rPr>
                                <w:rFonts w:cs="Arial"/>
                                <w:sz w:val="20"/>
                                <w:szCs w:val="20"/>
                              </w:rPr>
                              <w:t>NO</w:t>
                            </w:r>
                          </w:p>
                          <w:p w14:paraId="410264D4" w14:textId="77777777" w:rsidR="00DF2BB6" w:rsidRPr="00DF05FC" w:rsidRDefault="00DF2BB6" w:rsidP="00DF2BB6">
                            <w:pPr>
                              <w:numPr>
                                <w:ilvl w:val="0"/>
                                <w:numId w:val="3"/>
                              </w:numPr>
                              <w:tabs>
                                <w:tab w:val="clear" w:pos="5115"/>
                                <w:tab w:val="num" w:pos="900"/>
                              </w:tabs>
                              <w:spacing w:after="0" w:line="240" w:lineRule="auto"/>
                              <w:ind w:left="900"/>
                              <w:rPr>
                                <w:rFonts w:cs="Arial"/>
                                <w:sz w:val="20"/>
                                <w:szCs w:val="20"/>
                              </w:rPr>
                            </w:pPr>
                            <w:r w:rsidRPr="002A73CD">
                              <w:rPr>
                                <w:rFonts w:cs="Arial"/>
                                <w:sz w:val="20"/>
                                <w:szCs w:val="20"/>
                              </w:rPr>
                              <w:t>OF INTEREST TO OTHER JUDGES: YES/</w:t>
                            </w:r>
                            <w:r w:rsidRPr="00DF05FC">
                              <w:rPr>
                                <w:rFonts w:cs="Arial"/>
                                <w:sz w:val="20"/>
                                <w:szCs w:val="20"/>
                              </w:rPr>
                              <w:t>NO</w:t>
                            </w:r>
                          </w:p>
                          <w:p w14:paraId="13E2EC44" w14:textId="77777777" w:rsidR="00DF2BB6" w:rsidRPr="00DF05FC" w:rsidRDefault="00DF2BB6" w:rsidP="00DF2BB6">
                            <w:pPr>
                              <w:numPr>
                                <w:ilvl w:val="0"/>
                                <w:numId w:val="3"/>
                              </w:numPr>
                              <w:tabs>
                                <w:tab w:val="clear" w:pos="5115"/>
                                <w:tab w:val="num" w:pos="900"/>
                              </w:tabs>
                              <w:spacing w:after="0" w:line="240" w:lineRule="auto"/>
                              <w:ind w:left="900"/>
                              <w:rPr>
                                <w:rFonts w:cs="Arial"/>
                                <w:sz w:val="20"/>
                                <w:szCs w:val="20"/>
                              </w:rPr>
                            </w:pPr>
                            <w:r w:rsidRPr="002A73CD">
                              <w:rPr>
                                <w:rFonts w:cs="Arial"/>
                                <w:sz w:val="20"/>
                                <w:szCs w:val="20"/>
                              </w:rPr>
                              <w:t>REVISED: YES/</w:t>
                            </w:r>
                            <w:r w:rsidRPr="00DF05FC">
                              <w:rPr>
                                <w:rFonts w:cs="Arial"/>
                                <w:sz w:val="20"/>
                                <w:szCs w:val="20"/>
                              </w:rPr>
                              <w:t>NO</w:t>
                            </w:r>
                          </w:p>
                          <w:p w14:paraId="038E989D" w14:textId="590D5903" w:rsidR="00DF2BB6" w:rsidRPr="002A73CD" w:rsidRDefault="00DF2BB6" w:rsidP="00DF2BB6">
                            <w:pPr>
                              <w:spacing w:before="240" w:after="0"/>
                              <w:rPr>
                                <w:rFonts w:cs="Arial"/>
                                <w:b/>
                                <w:sz w:val="20"/>
                                <w:szCs w:val="20"/>
                              </w:rPr>
                            </w:pPr>
                            <w:r>
                              <w:rPr>
                                <w:rFonts w:cs="Arial"/>
                                <w:b/>
                                <w:sz w:val="20"/>
                                <w:szCs w:val="20"/>
                              </w:rPr>
                              <w:t xml:space="preserve"> </w:t>
                            </w:r>
                            <w:r w:rsidRPr="002A73CD">
                              <w:rPr>
                                <w:rFonts w:cs="Arial"/>
                                <w:b/>
                                <w:sz w:val="20"/>
                                <w:szCs w:val="20"/>
                              </w:rPr>
                              <w:t xml:space="preserve">                     </w:t>
                            </w:r>
                            <w:r>
                              <w:rPr>
                                <w:rFonts w:cs="Arial"/>
                                <w:b/>
                                <w:sz w:val="20"/>
                                <w:szCs w:val="20"/>
                              </w:rPr>
                              <w:t xml:space="preserve">          </w:t>
                            </w:r>
                          </w:p>
                          <w:p w14:paraId="10818373" w14:textId="77777777" w:rsidR="00DF2BB6" w:rsidRPr="002A73CD" w:rsidRDefault="00DF2BB6" w:rsidP="00DF2BB6">
                            <w:pPr>
                              <w:rPr>
                                <w:rFonts w:cs="Arial"/>
                                <w:sz w:val="20"/>
                                <w:szCs w:val="20"/>
                              </w:rPr>
                            </w:pPr>
                            <w:r w:rsidRPr="002A73CD">
                              <w:rPr>
                                <w:rFonts w:cs="Arial"/>
                                <w:sz w:val="20"/>
                                <w:szCs w:val="20"/>
                              </w:rPr>
                              <w:t xml:space="preserve">     DATE</w:t>
                            </w:r>
                            <w:r w:rsidRPr="002A73CD">
                              <w:rPr>
                                <w:rFonts w:cs="Arial"/>
                                <w:sz w:val="20"/>
                                <w:szCs w:val="20"/>
                              </w:rPr>
                              <w:tab/>
                            </w:r>
                            <w:r w:rsidRPr="002A73CD">
                              <w:rPr>
                                <w:rFonts w:cs="Arial"/>
                                <w:sz w:val="20"/>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9A8A39" id="_x0000_t202" coordsize="21600,21600" o:spt="202" path="m,l,21600r21600,l21600,xe">
                <v:stroke joinstyle="miter"/>
                <v:path gradientshapeok="t" o:connecttype="rect"/>
              </v:shapetype>
              <v:shape id="Text Box 1" o:spid="_x0000_s1026" type="#_x0000_t202" style="position:absolute;left:0;text-align:left;margin-left:0;margin-top:9.45pt;width:235.05pt;height:8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">
                <v:textbox>
                  <w:txbxContent>
                    <w:p w14:paraId="5EC830BB" w14:textId="77777777" w:rsidR="00DF2BB6" w:rsidRPr="002A73CD" w:rsidRDefault="00DF2BB6" w:rsidP="00DF2BB6">
                      <w:pPr>
                        <w:numPr>
                          <w:ilvl w:val="0"/>
                          <w:numId w:val="3"/>
                        </w:numPr>
                        <w:tabs>
                          <w:tab w:val="clear" w:pos="5115"/>
                          <w:tab w:val="num" w:pos="900"/>
                        </w:tabs>
                        <w:spacing w:after="0" w:line="240" w:lineRule="auto"/>
                        <w:ind w:left="900"/>
                        <w:rPr>
                          <w:rFonts w:cs="Arial"/>
                          <w:sz w:val="20"/>
                          <w:szCs w:val="20"/>
                        </w:rPr>
                      </w:pPr>
                      <w:r w:rsidRPr="002A73CD">
                        <w:rPr>
                          <w:rFonts w:cs="Arial"/>
                          <w:sz w:val="20"/>
                          <w:szCs w:val="20"/>
                        </w:rPr>
                        <w:t xml:space="preserve">REPORTABLE: YES / </w:t>
                      </w:r>
                      <w:r w:rsidRPr="00DF05FC">
                        <w:rPr>
                          <w:rFonts w:cs="Arial"/>
                          <w:sz w:val="20"/>
                          <w:szCs w:val="20"/>
                        </w:rPr>
                        <w:t>NO</w:t>
                      </w:r>
                    </w:p>
                    <w:p w14:paraId="410264D4" w14:textId="77777777" w:rsidR="00DF2BB6" w:rsidRPr="00DF05FC" w:rsidRDefault="00DF2BB6" w:rsidP="00DF2BB6">
                      <w:pPr>
                        <w:numPr>
                          <w:ilvl w:val="0"/>
                          <w:numId w:val="3"/>
                        </w:numPr>
                        <w:tabs>
                          <w:tab w:val="clear" w:pos="5115"/>
                          <w:tab w:val="num" w:pos="900"/>
                        </w:tabs>
                        <w:spacing w:after="0" w:line="240" w:lineRule="auto"/>
                        <w:ind w:left="900"/>
                        <w:rPr>
                          <w:rFonts w:cs="Arial"/>
                          <w:sz w:val="20"/>
                          <w:szCs w:val="20"/>
                        </w:rPr>
                      </w:pPr>
                      <w:r w:rsidRPr="002A73CD">
                        <w:rPr>
                          <w:rFonts w:cs="Arial"/>
                          <w:sz w:val="20"/>
                          <w:szCs w:val="20"/>
                        </w:rPr>
                        <w:t>OF INTEREST TO OTHER JUDGES: YES/</w:t>
                      </w:r>
                      <w:r w:rsidRPr="00DF05FC">
                        <w:rPr>
                          <w:rFonts w:cs="Arial"/>
                          <w:sz w:val="20"/>
                          <w:szCs w:val="20"/>
                        </w:rPr>
                        <w:t>NO</w:t>
                      </w:r>
                    </w:p>
                    <w:p w14:paraId="13E2EC44" w14:textId="77777777" w:rsidR="00DF2BB6" w:rsidRPr="00DF05FC" w:rsidRDefault="00DF2BB6" w:rsidP="00DF2BB6">
                      <w:pPr>
                        <w:numPr>
                          <w:ilvl w:val="0"/>
                          <w:numId w:val="3"/>
                        </w:numPr>
                        <w:tabs>
                          <w:tab w:val="clear" w:pos="5115"/>
                          <w:tab w:val="num" w:pos="900"/>
                        </w:tabs>
                        <w:spacing w:after="0" w:line="240" w:lineRule="auto"/>
                        <w:ind w:left="900"/>
                        <w:rPr>
                          <w:rFonts w:cs="Arial"/>
                          <w:sz w:val="20"/>
                          <w:szCs w:val="20"/>
                        </w:rPr>
                      </w:pPr>
                      <w:r w:rsidRPr="002A73CD">
                        <w:rPr>
                          <w:rFonts w:cs="Arial"/>
                          <w:sz w:val="20"/>
                          <w:szCs w:val="20"/>
                        </w:rPr>
                        <w:t>REVISED: YES/</w:t>
                      </w:r>
                      <w:r w:rsidRPr="00DF05FC">
                        <w:rPr>
                          <w:rFonts w:cs="Arial"/>
                          <w:sz w:val="20"/>
                          <w:szCs w:val="20"/>
                        </w:rPr>
                        <w:t>NO</w:t>
                      </w:r>
                    </w:p>
                    <w:p w14:paraId="038E989D" w14:textId="590D5903" w:rsidR="00DF2BB6" w:rsidRPr="002A73CD" w:rsidRDefault="00DF2BB6" w:rsidP="00DF2BB6">
                      <w:pPr>
                        <w:spacing w:before="240" w:after="0"/>
                        <w:rPr>
                          <w:rFonts w:cs="Arial"/>
                          <w:b/>
                          <w:sz w:val="20"/>
                          <w:szCs w:val="20"/>
                        </w:rPr>
                      </w:pPr>
                      <w:r>
                        <w:rPr>
                          <w:rFonts w:cs="Arial"/>
                          <w:b/>
                          <w:sz w:val="20"/>
                          <w:szCs w:val="20"/>
                        </w:rPr>
                        <w:t xml:space="preserve"> </w:t>
                      </w:r>
                      <w:r w:rsidRPr="002A73CD">
                        <w:rPr>
                          <w:rFonts w:cs="Arial"/>
                          <w:b/>
                          <w:sz w:val="20"/>
                          <w:szCs w:val="20"/>
                        </w:rPr>
                        <w:t xml:space="preserve">                     </w:t>
                      </w:r>
                      <w:r>
                        <w:rPr>
                          <w:rFonts w:cs="Arial"/>
                          <w:b/>
                          <w:sz w:val="20"/>
                          <w:szCs w:val="20"/>
                        </w:rPr>
                        <w:t xml:space="preserve">          </w:t>
                      </w:r>
                    </w:p>
                    <w:p w14:paraId="10818373" w14:textId="77777777" w:rsidR="00DF2BB6" w:rsidRPr="002A73CD" w:rsidRDefault="00DF2BB6" w:rsidP="00DF2BB6">
                      <w:pPr>
                        <w:rPr>
                          <w:rFonts w:cs="Arial"/>
                          <w:sz w:val="20"/>
                          <w:szCs w:val="20"/>
                        </w:rPr>
                      </w:pPr>
                      <w:r w:rsidRPr="002A73CD">
                        <w:rPr>
                          <w:rFonts w:cs="Arial"/>
                          <w:sz w:val="20"/>
                          <w:szCs w:val="20"/>
                        </w:rPr>
                        <w:t xml:space="preserve">     DATE</w:t>
                      </w:r>
                      <w:r w:rsidRPr="002A73CD">
                        <w:rPr>
                          <w:rFonts w:cs="Arial"/>
                          <w:sz w:val="20"/>
                          <w:szCs w:val="20"/>
                        </w:rPr>
                        <w:tab/>
                      </w:r>
                      <w:r w:rsidRPr="002A73CD">
                        <w:rPr>
                          <w:rFonts w:cs="Arial"/>
                          <w:sz w:val="20"/>
                          <w:szCs w:val="20"/>
                        </w:rPr>
                        <w:tab/>
                        <w:t xml:space="preserve">                           SIGNATURE</w:t>
                      </w:r>
                    </w:p>
                  </w:txbxContent>
                </v:textbox>
                <w10:wrap anchorx="margin"/>
              </v:shape>
            </w:pict>
          </mc:Fallback>
        </mc:AlternateContent>
      </w:r>
    </w:p>
    <w:p w14:paraId="62764EB5" w14:textId="77777777" w:rsidR="00DF2BB6" w:rsidRDefault="00DF2BB6" w:rsidP="00CC464E">
      <w:pPr>
        <w:suppressAutoHyphens/>
        <w:spacing w:after="0" w:line="480" w:lineRule="auto"/>
        <w:rPr>
          <w:rFonts w:ascii="Times New Roman" w:eastAsia="Times New Roman" w:hAnsi="Times New Roman" w:cs="Times New Roman"/>
          <w:sz w:val="28"/>
          <w:szCs w:val="28"/>
        </w:rPr>
      </w:pPr>
    </w:p>
    <w:p w14:paraId="4176FC1D" w14:textId="77777777" w:rsidR="00DF2BB6" w:rsidRDefault="00DF2BB6" w:rsidP="00CC464E">
      <w:pPr>
        <w:suppressAutoHyphens/>
        <w:spacing w:after="0" w:line="480" w:lineRule="auto"/>
        <w:rPr>
          <w:rFonts w:ascii="Times New Roman" w:eastAsia="Times New Roman" w:hAnsi="Times New Roman" w:cs="Times New Roman"/>
          <w:sz w:val="28"/>
          <w:szCs w:val="28"/>
        </w:rPr>
      </w:pPr>
    </w:p>
    <w:p w14:paraId="5727E0EF" w14:textId="77777777" w:rsidR="00DF2BB6" w:rsidRDefault="00DF2BB6" w:rsidP="00CC464E">
      <w:pPr>
        <w:suppressAutoHyphens/>
        <w:spacing w:after="0" w:line="480" w:lineRule="auto"/>
        <w:rPr>
          <w:rFonts w:ascii="Times New Roman" w:eastAsia="Times New Roman" w:hAnsi="Times New Roman" w:cs="Times New Roman"/>
          <w:sz w:val="28"/>
          <w:szCs w:val="28"/>
        </w:rPr>
      </w:pPr>
    </w:p>
    <w:p w14:paraId="626F5943" w14:textId="5DA3274F" w:rsidR="00CC464E" w:rsidRPr="00C831A6" w:rsidRDefault="00CC464E" w:rsidP="00CC464E">
      <w:pPr>
        <w:suppressAutoHyphens/>
        <w:spacing w:after="0" w:line="480" w:lineRule="auto"/>
        <w:rPr>
          <w:rFonts w:ascii="Times New Roman" w:eastAsia="Times New Roman" w:hAnsi="Times New Roman" w:cs="Times New Roman"/>
          <w:sz w:val="28"/>
          <w:szCs w:val="28"/>
        </w:rPr>
      </w:pPr>
      <w:r w:rsidRPr="00C831A6">
        <w:rPr>
          <w:rFonts w:ascii="Times New Roman" w:eastAsia="Times New Roman" w:hAnsi="Times New Roman" w:cs="Times New Roman"/>
          <w:sz w:val="28"/>
          <w:szCs w:val="28"/>
        </w:rPr>
        <w:t>In the matter between:</w:t>
      </w:r>
    </w:p>
    <w:tbl>
      <w:tblPr>
        <w:tblW w:w="9639" w:type="dxa"/>
        <w:tblLayout w:type="fixed"/>
        <w:tblLook w:val="0000" w:firstRow="0" w:lastRow="0" w:firstColumn="0" w:lastColumn="0" w:noHBand="0" w:noVBand="0"/>
      </w:tblPr>
      <w:tblGrid>
        <w:gridCol w:w="6204"/>
        <w:gridCol w:w="3435"/>
      </w:tblGrid>
      <w:tr w:rsidR="00CC464E" w:rsidRPr="00C831A6" w14:paraId="1D30E963" w14:textId="77777777" w:rsidTr="00445DE0">
        <w:tc>
          <w:tcPr>
            <w:tcW w:w="6204" w:type="dxa"/>
          </w:tcPr>
          <w:p w14:paraId="49DD4983" w14:textId="59B53F88" w:rsidR="00233B4D" w:rsidRPr="00C831A6" w:rsidRDefault="00233B4D" w:rsidP="009F4797">
            <w:pPr>
              <w:widowControl w:val="0"/>
              <w:suppressAutoHyphens/>
              <w:spacing w:after="120" w:line="360" w:lineRule="auto"/>
              <w:jc w:val="both"/>
              <w:rPr>
                <w:rFonts w:ascii="Times New Roman" w:hAnsi="Times New Roman" w:cs="Times New Roman"/>
                <w:sz w:val="28"/>
                <w:szCs w:val="28"/>
              </w:rPr>
            </w:pPr>
            <w:r w:rsidRPr="00C831A6">
              <w:rPr>
                <w:rFonts w:ascii="Times New Roman" w:hAnsi="Times New Roman" w:cs="Times New Roman"/>
                <w:b/>
                <w:bCs/>
                <w:sz w:val="28"/>
                <w:szCs w:val="28"/>
              </w:rPr>
              <w:t>RIORDAN AND CO (PTY) LTD</w:t>
            </w:r>
            <w:r w:rsidRPr="00C831A6">
              <w:rPr>
                <w:rFonts w:ascii="Times New Roman" w:hAnsi="Times New Roman" w:cs="Times New Roman"/>
                <w:sz w:val="28"/>
                <w:szCs w:val="28"/>
              </w:rPr>
              <w:t xml:space="preserve"> </w:t>
            </w:r>
          </w:p>
          <w:p w14:paraId="1F812E99" w14:textId="77777777" w:rsidR="00233B4D" w:rsidRPr="00C831A6" w:rsidRDefault="00233B4D" w:rsidP="009F4797">
            <w:pPr>
              <w:widowControl w:val="0"/>
              <w:suppressAutoHyphens/>
              <w:spacing w:after="120" w:line="360" w:lineRule="auto"/>
              <w:jc w:val="both"/>
              <w:rPr>
                <w:rFonts w:ascii="Times New Roman" w:hAnsi="Times New Roman" w:cs="Times New Roman"/>
                <w:sz w:val="28"/>
                <w:szCs w:val="28"/>
              </w:rPr>
            </w:pPr>
            <w:r w:rsidRPr="00C831A6">
              <w:rPr>
                <w:rFonts w:ascii="Times New Roman" w:hAnsi="Times New Roman" w:cs="Times New Roman"/>
                <w:sz w:val="28"/>
                <w:szCs w:val="28"/>
              </w:rPr>
              <w:t xml:space="preserve">and </w:t>
            </w:r>
          </w:p>
          <w:p w14:paraId="0587BEF3" w14:textId="77777777" w:rsidR="00FF4076" w:rsidRDefault="00233B4D" w:rsidP="009F4797">
            <w:pPr>
              <w:widowControl w:val="0"/>
              <w:suppressAutoHyphens/>
              <w:spacing w:after="120" w:line="360" w:lineRule="auto"/>
              <w:jc w:val="both"/>
              <w:rPr>
                <w:rFonts w:ascii="Times New Roman" w:hAnsi="Times New Roman" w:cs="Times New Roman"/>
                <w:sz w:val="28"/>
                <w:szCs w:val="28"/>
              </w:rPr>
            </w:pPr>
            <w:r w:rsidRPr="00C831A6">
              <w:rPr>
                <w:rFonts w:ascii="Times New Roman" w:hAnsi="Times New Roman" w:cs="Times New Roman"/>
                <w:b/>
                <w:bCs/>
                <w:sz w:val="28"/>
                <w:szCs w:val="28"/>
              </w:rPr>
              <w:t>VTT HOLDINGS (PTY) LTD</w:t>
            </w:r>
            <w:r w:rsidRPr="00C831A6">
              <w:rPr>
                <w:rFonts w:ascii="Times New Roman" w:hAnsi="Times New Roman" w:cs="Times New Roman"/>
                <w:sz w:val="28"/>
                <w:szCs w:val="28"/>
              </w:rPr>
              <w:t xml:space="preserve">   </w:t>
            </w:r>
            <w:bookmarkStart w:id="0" w:name="_GoBack"/>
            <w:bookmarkEnd w:id="0"/>
          </w:p>
          <w:p w14:paraId="4688386A" w14:textId="77777777" w:rsidR="00FF4076" w:rsidRDefault="00FF4076" w:rsidP="009F4797">
            <w:pPr>
              <w:widowControl w:val="0"/>
              <w:suppressAutoHyphens/>
              <w:spacing w:after="120" w:line="360" w:lineRule="auto"/>
              <w:jc w:val="both"/>
              <w:rPr>
                <w:rFonts w:ascii="Times New Roman" w:hAnsi="Times New Roman" w:cs="Times New Roman"/>
                <w:b/>
                <w:bCs/>
                <w:sz w:val="28"/>
                <w:szCs w:val="28"/>
              </w:rPr>
            </w:pPr>
          </w:p>
          <w:p w14:paraId="74E74335" w14:textId="151F7410" w:rsidR="00CC464E" w:rsidRPr="00C831A6" w:rsidRDefault="00233B4D" w:rsidP="009F4797">
            <w:pPr>
              <w:widowControl w:val="0"/>
              <w:suppressAutoHyphens/>
              <w:spacing w:after="120" w:line="360" w:lineRule="auto"/>
              <w:jc w:val="both"/>
              <w:rPr>
                <w:rFonts w:ascii="Times New Roman" w:eastAsia="Times New Roman" w:hAnsi="Times New Roman" w:cs="Times New Roman"/>
                <w:b/>
                <w:sz w:val="28"/>
                <w:szCs w:val="28"/>
                <w:lang w:val="en-US"/>
              </w:rPr>
            </w:pPr>
            <w:r w:rsidRPr="00C831A6">
              <w:rPr>
                <w:rFonts w:ascii="Times New Roman" w:hAnsi="Times New Roman" w:cs="Times New Roman"/>
                <w:b/>
                <w:bCs/>
                <w:sz w:val="28"/>
                <w:szCs w:val="28"/>
              </w:rPr>
              <w:t>FRANCIS VUSIMUZI NDLOVU</w:t>
            </w:r>
            <w:r w:rsidRPr="00C831A6">
              <w:rPr>
                <w:rFonts w:ascii="Times New Roman" w:hAnsi="Times New Roman" w:cs="Times New Roman"/>
                <w:sz w:val="28"/>
                <w:szCs w:val="28"/>
              </w:rPr>
              <w:t xml:space="preserve">  </w:t>
            </w:r>
          </w:p>
        </w:tc>
        <w:tc>
          <w:tcPr>
            <w:tcW w:w="3435" w:type="dxa"/>
          </w:tcPr>
          <w:p w14:paraId="28B3E2CD" w14:textId="77777777" w:rsidR="00CC464E" w:rsidRDefault="00FF4076" w:rsidP="00B57152">
            <w:pPr>
              <w:widowControl w:val="0"/>
              <w:suppressAutoHyphens/>
              <w:spacing w:after="0" w:line="48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Applicant</w:t>
            </w:r>
          </w:p>
          <w:p w14:paraId="4D6E0742" w14:textId="77777777" w:rsidR="00FF4076" w:rsidRDefault="00FF4076" w:rsidP="00B57152">
            <w:pPr>
              <w:widowControl w:val="0"/>
              <w:suppressAutoHyphens/>
              <w:spacing w:after="0" w:line="480" w:lineRule="auto"/>
              <w:rPr>
                <w:rFonts w:ascii="Times New Roman" w:eastAsia="Times New Roman" w:hAnsi="Times New Roman" w:cs="Times New Roman"/>
                <w:sz w:val="28"/>
                <w:szCs w:val="28"/>
                <w:lang w:val="en-US"/>
              </w:rPr>
            </w:pPr>
          </w:p>
          <w:p w14:paraId="7656DD60" w14:textId="77777777" w:rsidR="005D343C" w:rsidRDefault="00FF4076" w:rsidP="00B57152">
            <w:pPr>
              <w:widowControl w:val="0"/>
              <w:suppressAutoHyphens/>
              <w:spacing w:after="0" w:line="48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First Respondent</w:t>
            </w:r>
          </w:p>
          <w:p w14:paraId="7458FE44" w14:textId="77777777" w:rsidR="005D343C" w:rsidRDefault="005D343C" w:rsidP="00B57152">
            <w:pPr>
              <w:widowControl w:val="0"/>
              <w:suppressAutoHyphens/>
              <w:spacing w:after="0" w:line="480" w:lineRule="auto"/>
              <w:rPr>
                <w:rFonts w:ascii="Times New Roman" w:eastAsia="Times New Roman" w:hAnsi="Times New Roman" w:cs="Times New Roman"/>
                <w:sz w:val="28"/>
                <w:szCs w:val="28"/>
                <w:lang w:val="en-US"/>
              </w:rPr>
            </w:pPr>
          </w:p>
          <w:p w14:paraId="0F53CECB" w14:textId="7D77B49E" w:rsidR="00FF4076" w:rsidRPr="00C831A6" w:rsidRDefault="00FF4076" w:rsidP="00B57152">
            <w:pPr>
              <w:widowControl w:val="0"/>
              <w:suppressAutoHyphens/>
              <w:spacing w:after="0" w:line="48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Second Respondent</w:t>
            </w:r>
          </w:p>
        </w:tc>
      </w:tr>
    </w:tbl>
    <w:p w14:paraId="2BF4029D" w14:textId="28D606CD" w:rsidR="00CC464E" w:rsidRPr="008A779E" w:rsidRDefault="00CC464E" w:rsidP="00630B24">
      <w:pPr>
        <w:pBdr>
          <w:top w:val="single" w:sz="36" w:space="1" w:color="auto"/>
          <w:bottom w:val="single" w:sz="36" w:space="1" w:color="auto"/>
        </w:pBdr>
        <w:suppressAutoHyphens/>
        <w:spacing w:before="360" w:after="120" w:line="480" w:lineRule="auto"/>
        <w:jc w:val="center"/>
        <w:rPr>
          <w:rFonts w:ascii="Times New Roman" w:eastAsia="Arial Unicode MS" w:hAnsi="Times New Roman" w:cs="Times New Roman"/>
          <w:b/>
          <w:sz w:val="28"/>
          <w:szCs w:val="28"/>
        </w:rPr>
      </w:pPr>
      <w:r w:rsidRPr="008A779E">
        <w:rPr>
          <w:rFonts w:ascii="Times New Roman" w:eastAsia="Arial Unicode MS" w:hAnsi="Times New Roman" w:cs="Times New Roman"/>
          <w:b/>
          <w:sz w:val="28"/>
          <w:szCs w:val="28"/>
        </w:rPr>
        <w:t>JUDGMEN</w:t>
      </w:r>
      <w:r w:rsidR="00630B24" w:rsidRPr="008A779E">
        <w:rPr>
          <w:rFonts w:ascii="Times New Roman" w:eastAsia="Arial Unicode MS" w:hAnsi="Times New Roman" w:cs="Times New Roman"/>
          <w:b/>
          <w:sz w:val="28"/>
          <w:szCs w:val="28"/>
        </w:rPr>
        <w:t>T</w:t>
      </w:r>
    </w:p>
    <w:p w14:paraId="5172628D" w14:textId="1CF3F256" w:rsidR="00FF2565" w:rsidRDefault="00CC464E" w:rsidP="00FF2565">
      <w:pPr>
        <w:suppressAutoHyphens/>
        <w:spacing w:before="320" w:after="320" w:line="480" w:lineRule="auto"/>
        <w:ind w:left="720" w:hanging="720"/>
        <w:jc w:val="both"/>
        <w:outlineLvl w:val="0"/>
        <w:rPr>
          <w:rFonts w:ascii="Times New Roman" w:eastAsia="Times New Roman" w:hAnsi="Times New Roman" w:cs="Times New Roman"/>
          <w:b/>
          <w:sz w:val="28"/>
          <w:szCs w:val="28"/>
        </w:rPr>
      </w:pPr>
      <w:r w:rsidRPr="008A779E">
        <w:rPr>
          <w:rFonts w:ascii="Times New Roman" w:eastAsia="Times New Roman" w:hAnsi="Times New Roman" w:cs="Times New Roman"/>
          <w:bCs/>
          <w:sz w:val="28"/>
          <w:szCs w:val="28"/>
        </w:rPr>
        <w:t xml:space="preserve"> </w:t>
      </w:r>
      <w:r w:rsidR="00D3427A" w:rsidRPr="00D3427A">
        <w:rPr>
          <w:rFonts w:ascii="Times New Roman" w:eastAsia="Times New Roman" w:hAnsi="Times New Roman" w:cs="Times New Roman"/>
          <w:b/>
          <w:sz w:val="28"/>
          <w:szCs w:val="28"/>
        </w:rPr>
        <w:t>SENYATSI, J</w:t>
      </w:r>
    </w:p>
    <w:p w14:paraId="11845383" w14:textId="77777777" w:rsidR="00D3427A" w:rsidRDefault="00D3427A" w:rsidP="00FF2565">
      <w:pPr>
        <w:suppressAutoHyphens/>
        <w:spacing w:before="320" w:after="320" w:line="480" w:lineRule="auto"/>
        <w:ind w:left="720" w:hanging="720"/>
        <w:jc w:val="both"/>
        <w:outlineLvl w:val="0"/>
        <w:rPr>
          <w:rFonts w:ascii="Times New Roman" w:eastAsia="Times New Roman" w:hAnsi="Times New Roman" w:cs="Times New Roman"/>
          <w:b/>
          <w:sz w:val="28"/>
          <w:szCs w:val="28"/>
        </w:rPr>
      </w:pPr>
    </w:p>
    <w:p w14:paraId="214DAD36" w14:textId="27777882" w:rsidR="00D3427A" w:rsidRPr="00DF2BB6" w:rsidRDefault="00D3427A" w:rsidP="00FF2565">
      <w:pPr>
        <w:suppressAutoHyphens/>
        <w:spacing w:before="320" w:after="320" w:line="480" w:lineRule="auto"/>
        <w:ind w:left="720" w:hanging="720"/>
        <w:jc w:val="both"/>
        <w:outlineLvl w:val="0"/>
        <w:rPr>
          <w:rFonts w:ascii="Times New Roman" w:eastAsia="Times New Roman" w:hAnsi="Times New Roman" w:cs="Times New Roman"/>
          <w:bCs/>
          <w:i/>
          <w:iCs/>
          <w:sz w:val="28"/>
          <w:szCs w:val="28"/>
        </w:rPr>
      </w:pPr>
      <w:r w:rsidRPr="00DF2BB6">
        <w:rPr>
          <w:rFonts w:ascii="Times New Roman" w:eastAsia="Times New Roman" w:hAnsi="Times New Roman" w:cs="Times New Roman"/>
          <w:bCs/>
          <w:i/>
          <w:iCs/>
          <w:sz w:val="28"/>
          <w:szCs w:val="28"/>
        </w:rPr>
        <w:t>Introductions</w:t>
      </w:r>
    </w:p>
    <w:p w14:paraId="29FAA0D2" w14:textId="27F05B76" w:rsidR="00233B4D" w:rsidRDefault="00CC464E" w:rsidP="00C14C4A">
      <w:pPr>
        <w:suppressAutoHyphens/>
        <w:spacing w:before="320" w:after="320" w:line="360" w:lineRule="auto"/>
        <w:ind w:left="720" w:hanging="720"/>
        <w:jc w:val="both"/>
        <w:outlineLvl w:val="0"/>
        <w:rPr>
          <w:rFonts w:ascii="Times New Roman" w:eastAsia="Calibri" w:hAnsi="Times New Roman" w:cs="Times New Roman"/>
          <w:sz w:val="28"/>
          <w:szCs w:val="28"/>
          <w:lang w:val="en-GB"/>
        </w:rPr>
      </w:pPr>
      <w:r w:rsidRPr="008A779E">
        <w:rPr>
          <w:rFonts w:ascii="Times New Roman" w:eastAsia="Calibri" w:hAnsi="Times New Roman" w:cs="Times New Roman"/>
          <w:sz w:val="28"/>
          <w:szCs w:val="28"/>
          <w:lang w:val="en-GB"/>
        </w:rPr>
        <w:t>[1</w:t>
      </w:r>
      <w:r w:rsidR="00E45F58" w:rsidRPr="008A779E">
        <w:rPr>
          <w:rFonts w:ascii="Times New Roman" w:eastAsia="Calibri" w:hAnsi="Times New Roman" w:cs="Times New Roman"/>
          <w:sz w:val="28"/>
          <w:szCs w:val="28"/>
          <w:lang w:val="en-GB"/>
        </w:rPr>
        <w:t>]</w:t>
      </w:r>
      <w:r w:rsidR="00E45F58">
        <w:rPr>
          <w:rFonts w:ascii="Times New Roman" w:eastAsia="Calibri" w:hAnsi="Times New Roman" w:cs="Times New Roman"/>
          <w:sz w:val="28"/>
          <w:szCs w:val="28"/>
          <w:lang w:val="en-GB"/>
        </w:rPr>
        <w:t xml:space="preserve"> </w:t>
      </w:r>
      <w:r w:rsidR="00E45F58" w:rsidRPr="008A779E">
        <w:rPr>
          <w:rFonts w:ascii="Times New Roman" w:eastAsia="Calibri" w:hAnsi="Times New Roman" w:cs="Times New Roman"/>
          <w:sz w:val="28"/>
          <w:szCs w:val="28"/>
          <w:lang w:val="en-GB"/>
        </w:rPr>
        <w:tab/>
      </w:r>
      <w:r w:rsidR="00233B4D">
        <w:rPr>
          <w:rFonts w:ascii="Times New Roman" w:eastAsia="Calibri" w:hAnsi="Times New Roman" w:cs="Times New Roman"/>
          <w:sz w:val="28"/>
          <w:szCs w:val="28"/>
          <w:lang w:val="en-GB"/>
        </w:rPr>
        <w:t>This is an application for money judgment sought in terms of credit and the suretyship agreements (“the agreements”)</w:t>
      </w:r>
      <w:r w:rsidR="00C14C4A">
        <w:rPr>
          <w:rFonts w:ascii="Times New Roman" w:eastAsia="Calibri" w:hAnsi="Times New Roman" w:cs="Times New Roman"/>
          <w:sz w:val="28"/>
          <w:szCs w:val="28"/>
          <w:lang w:val="en-GB"/>
        </w:rPr>
        <w:t xml:space="preserve"> </w:t>
      </w:r>
      <w:r w:rsidR="00233B4D">
        <w:rPr>
          <w:rFonts w:ascii="Times New Roman" w:eastAsia="Calibri" w:hAnsi="Times New Roman" w:cs="Times New Roman"/>
          <w:sz w:val="28"/>
          <w:szCs w:val="28"/>
          <w:lang w:val="en-GB"/>
        </w:rPr>
        <w:t>concluded by the applicant and the respondents. There is no denial of existence of the agreements.</w:t>
      </w:r>
    </w:p>
    <w:p w14:paraId="7B04A2F9" w14:textId="7E94539B" w:rsidR="00233B4D" w:rsidRPr="00233B4D" w:rsidRDefault="00233B4D" w:rsidP="00233B4D">
      <w:pPr>
        <w:autoSpaceDE w:val="0"/>
        <w:autoSpaceDN w:val="0"/>
        <w:adjustRightInd w:val="0"/>
        <w:spacing w:after="0" w:line="360" w:lineRule="auto"/>
        <w:rPr>
          <w:rFonts w:ascii="Times New Roman" w:hAnsi="Times New Roman" w:cs="Times New Roman"/>
          <w:i/>
          <w:iCs/>
          <w:sz w:val="28"/>
          <w:szCs w:val="28"/>
        </w:rPr>
      </w:pPr>
      <w:r w:rsidRPr="00233B4D">
        <w:rPr>
          <w:rFonts w:ascii="Times New Roman" w:eastAsia="Calibri" w:hAnsi="Times New Roman" w:cs="Times New Roman"/>
          <w:i/>
          <w:iCs/>
          <w:sz w:val="28"/>
          <w:szCs w:val="28"/>
          <w:lang w:val="en-GB"/>
        </w:rPr>
        <w:t>Background</w:t>
      </w:r>
    </w:p>
    <w:p w14:paraId="14612B91" w14:textId="3EC2BE17" w:rsidR="00EF1DE4" w:rsidRDefault="00EF1DE4" w:rsidP="00EF1DE4">
      <w:pPr>
        <w:autoSpaceDE w:val="0"/>
        <w:autoSpaceDN w:val="0"/>
        <w:adjustRightInd w:val="0"/>
        <w:spacing w:after="0" w:line="240" w:lineRule="auto"/>
        <w:rPr>
          <w:rFonts w:ascii="Arial" w:hAnsi="Arial" w:cs="Arial"/>
          <w:sz w:val="24"/>
          <w:szCs w:val="24"/>
        </w:rPr>
      </w:pPr>
    </w:p>
    <w:p w14:paraId="7EFDE634" w14:textId="6B15A22C" w:rsidR="00302536" w:rsidRPr="00E45F58" w:rsidRDefault="00F252FC" w:rsidP="00E45F58">
      <w:pPr>
        <w:spacing w:line="360" w:lineRule="auto"/>
        <w:ind w:left="720" w:hanging="720"/>
        <w:jc w:val="both"/>
        <w:rPr>
          <w:rFonts w:ascii="Times New Roman" w:hAnsi="Times New Roman" w:cs="Times New Roman"/>
          <w:sz w:val="28"/>
          <w:szCs w:val="28"/>
        </w:rPr>
      </w:pPr>
      <w:r w:rsidRPr="008A779E">
        <w:rPr>
          <w:rFonts w:ascii="Times New Roman" w:eastAsia="Calibri" w:hAnsi="Times New Roman" w:cs="Times New Roman"/>
          <w:sz w:val="28"/>
          <w:szCs w:val="28"/>
          <w:lang w:val="en-GB"/>
        </w:rPr>
        <w:t xml:space="preserve">[2] </w:t>
      </w:r>
      <w:r w:rsidR="00E45F58">
        <w:rPr>
          <w:rFonts w:ascii="Times New Roman" w:eastAsia="Calibri" w:hAnsi="Times New Roman" w:cs="Times New Roman"/>
          <w:sz w:val="28"/>
          <w:szCs w:val="28"/>
          <w:lang w:val="en-GB"/>
        </w:rPr>
        <w:tab/>
      </w:r>
      <w:r w:rsidR="00302536">
        <w:rPr>
          <w:rFonts w:ascii="Times New Roman" w:eastAsia="Calibri" w:hAnsi="Times New Roman" w:cs="Times New Roman"/>
          <w:sz w:val="28"/>
          <w:szCs w:val="28"/>
          <w:lang w:val="en-GB"/>
        </w:rPr>
        <w:t xml:space="preserve">The common fact are that </w:t>
      </w:r>
      <w:r w:rsidR="00302536">
        <w:rPr>
          <w:rFonts w:ascii="Times New Roman" w:hAnsi="Times New Roman" w:cs="Times New Roman"/>
          <w:sz w:val="28"/>
          <w:szCs w:val="28"/>
        </w:rPr>
        <w:t>t</w:t>
      </w:r>
      <w:r w:rsidR="00C4326D">
        <w:rPr>
          <w:rFonts w:ascii="Times New Roman" w:hAnsi="Times New Roman" w:cs="Times New Roman"/>
          <w:sz w:val="28"/>
          <w:szCs w:val="28"/>
        </w:rPr>
        <w:t>h</w:t>
      </w:r>
      <w:r w:rsidR="00AA0C07" w:rsidRPr="00302536">
        <w:rPr>
          <w:rFonts w:ascii="Times New Roman" w:hAnsi="Times New Roman" w:cs="Times New Roman"/>
          <w:sz w:val="28"/>
          <w:szCs w:val="28"/>
        </w:rPr>
        <w:t>e First Respondent (“VTT”) is a fuel gel manufacturer.</w:t>
      </w:r>
      <w:r w:rsidR="00C4326D" w:rsidRPr="00C4326D">
        <w:rPr>
          <w:rFonts w:ascii="Times New Roman" w:hAnsi="Times New Roman" w:cs="Times New Roman"/>
          <w:sz w:val="28"/>
          <w:szCs w:val="28"/>
        </w:rPr>
        <w:t xml:space="preserve"> </w:t>
      </w:r>
      <w:r w:rsidR="00C4326D" w:rsidRPr="00302536">
        <w:rPr>
          <w:rFonts w:ascii="Times New Roman" w:hAnsi="Times New Roman" w:cs="Times New Roman"/>
          <w:sz w:val="28"/>
          <w:szCs w:val="28"/>
        </w:rPr>
        <w:t>On 15 February 2019 VTT, represented by the Second Respondent (“Mr Ndlovu”), completed and presented a credit application to the Applicant (“Riordan”)</w:t>
      </w:r>
      <w:r w:rsidR="00C4326D">
        <w:rPr>
          <w:rFonts w:ascii="Times New Roman" w:hAnsi="Times New Roman" w:cs="Times New Roman"/>
          <w:sz w:val="28"/>
          <w:szCs w:val="28"/>
        </w:rPr>
        <w:t xml:space="preserve"> which incorporated the terms of the </w:t>
      </w:r>
      <w:proofErr w:type="gramStart"/>
      <w:r w:rsidR="00C4326D">
        <w:rPr>
          <w:rFonts w:ascii="Times New Roman" w:hAnsi="Times New Roman" w:cs="Times New Roman"/>
          <w:sz w:val="28"/>
          <w:szCs w:val="28"/>
        </w:rPr>
        <w:t>agreement(</w:t>
      </w:r>
      <w:proofErr w:type="gramEnd"/>
      <w:r w:rsidR="00C4326D">
        <w:rPr>
          <w:rFonts w:ascii="Times New Roman" w:hAnsi="Times New Roman" w:cs="Times New Roman"/>
          <w:sz w:val="28"/>
          <w:szCs w:val="28"/>
        </w:rPr>
        <w:t>“the agreement”)</w:t>
      </w:r>
      <w:r w:rsidR="00C4326D" w:rsidRPr="00302536">
        <w:rPr>
          <w:rFonts w:ascii="Times New Roman" w:hAnsi="Times New Roman" w:cs="Times New Roman"/>
          <w:sz w:val="28"/>
          <w:szCs w:val="28"/>
        </w:rPr>
        <w:t>.  In terms of this agreement, VTT applied to purchase goods from Riordan from time to time on credit.  Riordan accepted VTT’s application</w:t>
      </w:r>
      <w:r w:rsidR="00C4326D">
        <w:rPr>
          <w:rFonts w:ascii="Times New Roman" w:hAnsi="Times New Roman" w:cs="Times New Roman"/>
          <w:sz w:val="28"/>
          <w:szCs w:val="28"/>
        </w:rPr>
        <w:t xml:space="preserve">. </w:t>
      </w:r>
    </w:p>
    <w:p w14:paraId="7F3F768B" w14:textId="7C4EC466" w:rsidR="00CC464E" w:rsidRDefault="00CC464E" w:rsidP="00E45F58">
      <w:pPr>
        <w:spacing w:line="360" w:lineRule="auto"/>
        <w:ind w:left="720" w:hanging="660"/>
        <w:jc w:val="both"/>
        <w:rPr>
          <w:rFonts w:ascii="Times New Roman" w:eastAsia="Calibri" w:hAnsi="Times New Roman" w:cs="Times New Roman"/>
          <w:sz w:val="28"/>
          <w:szCs w:val="28"/>
          <w:lang w:val="en-GB"/>
        </w:rPr>
      </w:pPr>
      <w:r w:rsidRPr="008A779E">
        <w:rPr>
          <w:rFonts w:ascii="Times New Roman" w:eastAsia="Calibri" w:hAnsi="Times New Roman" w:cs="Times New Roman"/>
          <w:sz w:val="28"/>
          <w:szCs w:val="28"/>
          <w:lang w:val="en-GB"/>
        </w:rPr>
        <w:t>[</w:t>
      </w:r>
      <w:r w:rsidR="00C64EC4">
        <w:rPr>
          <w:rFonts w:ascii="Times New Roman" w:eastAsia="Calibri" w:hAnsi="Times New Roman" w:cs="Times New Roman"/>
          <w:sz w:val="28"/>
          <w:szCs w:val="28"/>
          <w:lang w:val="en-GB"/>
        </w:rPr>
        <w:t>3</w:t>
      </w:r>
      <w:r w:rsidRPr="008A779E">
        <w:rPr>
          <w:rFonts w:ascii="Times New Roman" w:eastAsia="Calibri" w:hAnsi="Times New Roman" w:cs="Times New Roman"/>
          <w:sz w:val="28"/>
          <w:szCs w:val="28"/>
          <w:lang w:val="en-GB"/>
        </w:rPr>
        <w:t>]</w:t>
      </w:r>
      <w:r w:rsidRPr="008A779E">
        <w:rPr>
          <w:rFonts w:ascii="Times New Roman" w:eastAsia="Calibri" w:hAnsi="Times New Roman" w:cs="Times New Roman"/>
          <w:sz w:val="28"/>
          <w:szCs w:val="28"/>
          <w:lang w:val="en-GB"/>
        </w:rPr>
        <w:tab/>
      </w:r>
      <w:r w:rsidR="00954567">
        <w:rPr>
          <w:rFonts w:ascii="Times New Roman" w:eastAsia="Calibri" w:hAnsi="Times New Roman" w:cs="Times New Roman"/>
          <w:sz w:val="28"/>
          <w:szCs w:val="28"/>
          <w:lang w:val="en-GB"/>
        </w:rPr>
        <w:t>The material terms of the agreement</w:t>
      </w:r>
      <w:r w:rsidR="002C6D43">
        <w:rPr>
          <w:rFonts w:ascii="Times New Roman" w:eastAsia="Calibri" w:hAnsi="Times New Roman" w:cs="Times New Roman"/>
          <w:sz w:val="28"/>
          <w:szCs w:val="28"/>
          <w:lang w:val="en-GB"/>
        </w:rPr>
        <w:t xml:space="preserve"> as contained in clause </w:t>
      </w:r>
      <w:r w:rsidR="0067428D">
        <w:rPr>
          <w:rFonts w:ascii="Times New Roman" w:eastAsia="Calibri" w:hAnsi="Times New Roman" w:cs="Times New Roman"/>
          <w:sz w:val="28"/>
          <w:szCs w:val="28"/>
          <w:lang w:val="en-GB"/>
        </w:rPr>
        <w:t>10 of the agreement are as follows:-</w:t>
      </w:r>
    </w:p>
    <w:p w14:paraId="21D954A8" w14:textId="72EA22F1" w:rsidR="0067428D" w:rsidRPr="00190DD7" w:rsidRDefault="0067428D" w:rsidP="00E45F58">
      <w:pPr>
        <w:spacing w:line="480" w:lineRule="auto"/>
        <w:ind w:left="1440"/>
        <w:jc w:val="both"/>
        <w:rPr>
          <w:rFonts w:ascii="Times New Roman" w:eastAsia="Calibri" w:hAnsi="Times New Roman" w:cs="Times New Roman"/>
          <w:sz w:val="24"/>
          <w:szCs w:val="24"/>
          <w:lang w:val="en-GB"/>
        </w:rPr>
      </w:pPr>
      <w:r>
        <w:rPr>
          <w:rFonts w:ascii="Times New Roman" w:eastAsia="Calibri" w:hAnsi="Times New Roman" w:cs="Times New Roman"/>
          <w:sz w:val="28"/>
          <w:szCs w:val="28"/>
          <w:lang w:val="en-GB"/>
        </w:rPr>
        <w:t xml:space="preserve">“ </w:t>
      </w:r>
      <w:r w:rsidR="00D643BE" w:rsidRPr="00190DD7">
        <w:rPr>
          <w:rFonts w:ascii="Times New Roman" w:eastAsia="Calibri" w:hAnsi="Times New Roman" w:cs="Times New Roman"/>
          <w:sz w:val="24"/>
          <w:szCs w:val="24"/>
          <w:lang w:val="en-GB"/>
        </w:rPr>
        <w:t xml:space="preserve">10.1. Unless otherwise agreed in </w:t>
      </w:r>
      <w:r w:rsidR="00B07A6E" w:rsidRPr="00190DD7">
        <w:rPr>
          <w:rFonts w:ascii="Times New Roman" w:eastAsia="Calibri" w:hAnsi="Times New Roman" w:cs="Times New Roman"/>
          <w:sz w:val="24"/>
          <w:szCs w:val="24"/>
          <w:lang w:val="en-GB"/>
        </w:rPr>
        <w:t xml:space="preserve">writing, payment terms are strictly 30 </w:t>
      </w:r>
      <w:r w:rsidR="00E63DCA" w:rsidRPr="00190DD7">
        <w:rPr>
          <w:rFonts w:ascii="Times New Roman" w:eastAsia="Calibri" w:hAnsi="Times New Roman" w:cs="Times New Roman"/>
          <w:sz w:val="24"/>
          <w:szCs w:val="24"/>
          <w:lang w:val="en-GB"/>
        </w:rPr>
        <w:t xml:space="preserve">(thirty) days </w:t>
      </w:r>
      <w:r w:rsidR="00007827" w:rsidRPr="00190DD7">
        <w:rPr>
          <w:rFonts w:ascii="Times New Roman" w:eastAsia="Calibri" w:hAnsi="Times New Roman" w:cs="Times New Roman"/>
          <w:sz w:val="24"/>
          <w:szCs w:val="24"/>
          <w:lang w:val="en-GB"/>
        </w:rPr>
        <w:t>n</w:t>
      </w:r>
      <w:r w:rsidR="009F4181" w:rsidRPr="00190DD7">
        <w:rPr>
          <w:rFonts w:ascii="Times New Roman" w:eastAsia="Calibri" w:hAnsi="Times New Roman" w:cs="Times New Roman"/>
          <w:sz w:val="24"/>
          <w:szCs w:val="24"/>
          <w:lang w:val="en-GB"/>
        </w:rPr>
        <w:t>e</w:t>
      </w:r>
      <w:r w:rsidR="00007827" w:rsidRPr="00190DD7">
        <w:rPr>
          <w:rFonts w:ascii="Times New Roman" w:eastAsia="Calibri" w:hAnsi="Times New Roman" w:cs="Times New Roman"/>
          <w:sz w:val="24"/>
          <w:szCs w:val="24"/>
          <w:lang w:val="en-GB"/>
        </w:rPr>
        <w:t xml:space="preserve">t from the date of </w:t>
      </w:r>
      <w:r w:rsidR="008E46D5" w:rsidRPr="00190DD7">
        <w:rPr>
          <w:rFonts w:ascii="Times New Roman" w:eastAsia="Calibri" w:hAnsi="Times New Roman" w:cs="Times New Roman"/>
          <w:sz w:val="24"/>
          <w:szCs w:val="24"/>
          <w:lang w:val="en-GB"/>
        </w:rPr>
        <w:t xml:space="preserve">statement date. The Customer may not </w:t>
      </w:r>
      <w:r w:rsidR="00371E47" w:rsidRPr="00190DD7">
        <w:rPr>
          <w:rFonts w:ascii="Times New Roman" w:eastAsia="Calibri" w:hAnsi="Times New Roman" w:cs="Times New Roman"/>
          <w:sz w:val="24"/>
          <w:szCs w:val="24"/>
          <w:lang w:val="en-GB"/>
        </w:rPr>
        <w:t>withhold or delay payment to the Company for any reason.</w:t>
      </w:r>
    </w:p>
    <w:p w14:paraId="1982F447" w14:textId="32F8965B" w:rsidR="00CC7026" w:rsidRPr="00190DD7" w:rsidRDefault="00CC37DF" w:rsidP="00E45F58">
      <w:pPr>
        <w:spacing w:line="480" w:lineRule="auto"/>
        <w:ind w:left="1440"/>
        <w:jc w:val="both"/>
        <w:rPr>
          <w:rFonts w:ascii="Times New Roman" w:eastAsia="Calibri" w:hAnsi="Times New Roman" w:cs="Times New Roman"/>
          <w:sz w:val="24"/>
          <w:szCs w:val="24"/>
          <w:lang w:val="en-GB"/>
        </w:rPr>
      </w:pPr>
      <w:r w:rsidRPr="00190DD7">
        <w:rPr>
          <w:rFonts w:ascii="Times New Roman" w:eastAsia="Calibri" w:hAnsi="Times New Roman" w:cs="Times New Roman"/>
          <w:sz w:val="24"/>
          <w:szCs w:val="24"/>
          <w:lang w:val="en-GB"/>
        </w:rPr>
        <w:t xml:space="preserve">10.2. If the Customer defaults in making </w:t>
      </w:r>
      <w:r w:rsidR="003819E3" w:rsidRPr="00190DD7">
        <w:rPr>
          <w:rFonts w:ascii="Times New Roman" w:eastAsia="Calibri" w:hAnsi="Times New Roman" w:cs="Times New Roman"/>
          <w:sz w:val="24"/>
          <w:szCs w:val="24"/>
          <w:lang w:val="en-GB"/>
        </w:rPr>
        <w:t>payment of any amount that has become due</w:t>
      </w:r>
      <w:r w:rsidR="00622933" w:rsidRPr="00190DD7">
        <w:rPr>
          <w:rFonts w:ascii="Times New Roman" w:eastAsia="Calibri" w:hAnsi="Times New Roman" w:cs="Times New Roman"/>
          <w:sz w:val="24"/>
          <w:szCs w:val="24"/>
          <w:lang w:val="en-GB"/>
        </w:rPr>
        <w:t>, owing and payable to the Company</w:t>
      </w:r>
      <w:r w:rsidR="00F55776" w:rsidRPr="00190DD7">
        <w:rPr>
          <w:rFonts w:ascii="Times New Roman" w:eastAsia="Calibri" w:hAnsi="Times New Roman" w:cs="Times New Roman"/>
          <w:sz w:val="24"/>
          <w:szCs w:val="24"/>
          <w:lang w:val="en-GB"/>
        </w:rPr>
        <w:t xml:space="preserve">, then the full balance outstanding (whether </w:t>
      </w:r>
      <w:r w:rsidR="0062321D" w:rsidRPr="00190DD7">
        <w:rPr>
          <w:rFonts w:ascii="Times New Roman" w:eastAsia="Calibri" w:hAnsi="Times New Roman" w:cs="Times New Roman"/>
          <w:sz w:val="24"/>
          <w:szCs w:val="24"/>
          <w:lang w:val="en-GB"/>
        </w:rPr>
        <w:t>due or not) will immediately become due and payable to the Company</w:t>
      </w:r>
      <w:r w:rsidR="00B05352" w:rsidRPr="00190DD7">
        <w:rPr>
          <w:rFonts w:ascii="Times New Roman" w:eastAsia="Calibri" w:hAnsi="Times New Roman" w:cs="Times New Roman"/>
          <w:sz w:val="24"/>
          <w:szCs w:val="24"/>
          <w:lang w:val="en-GB"/>
        </w:rPr>
        <w:t xml:space="preserve"> without notice to the C</w:t>
      </w:r>
      <w:r w:rsidR="00CC7026" w:rsidRPr="00190DD7">
        <w:rPr>
          <w:rFonts w:ascii="Times New Roman" w:eastAsia="Calibri" w:hAnsi="Times New Roman" w:cs="Times New Roman"/>
          <w:sz w:val="24"/>
          <w:szCs w:val="24"/>
          <w:lang w:val="en-GB"/>
        </w:rPr>
        <w:t>ustomer.</w:t>
      </w:r>
    </w:p>
    <w:p w14:paraId="628607BF" w14:textId="2566BD18" w:rsidR="00E77E9C" w:rsidRPr="00190DD7" w:rsidRDefault="00CC7026" w:rsidP="00E45F58">
      <w:pPr>
        <w:spacing w:line="480" w:lineRule="auto"/>
        <w:ind w:left="1440"/>
        <w:jc w:val="both"/>
        <w:rPr>
          <w:rFonts w:ascii="Times New Roman" w:eastAsia="Calibri" w:hAnsi="Times New Roman" w:cs="Times New Roman"/>
          <w:sz w:val="24"/>
          <w:szCs w:val="24"/>
          <w:lang w:val="en-GB"/>
        </w:rPr>
      </w:pPr>
      <w:r w:rsidRPr="00190DD7">
        <w:rPr>
          <w:rFonts w:ascii="Times New Roman" w:eastAsia="Calibri" w:hAnsi="Times New Roman" w:cs="Times New Roman"/>
          <w:sz w:val="24"/>
          <w:szCs w:val="24"/>
          <w:lang w:val="en-GB"/>
        </w:rPr>
        <w:lastRenderedPageBreak/>
        <w:t xml:space="preserve">10.3. If the Customer should fail to object </w:t>
      </w:r>
      <w:r w:rsidR="00920344" w:rsidRPr="00190DD7">
        <w:rPr>
          <w:rFonts w:ascii="Times New Roman" w:eastAsia="Calibri" w:hAnsi="Times New Roman" w:cs="Times New Roman"/>
          <w:sz w:val="24"/>
          <w:szCs w:val="24"/>
          <w:lang w:val="en-GB"/>
        </w:rPr>
        <w:t>to any item appearing on the Company</w:t>
      </w:r>
      <w:r w:rsidR="00FF719D" w:rsidRPr="00190DD7">
        <w:rPr>
          <w:rFonts w:ascii="Times New Roman" w:eastAsia="Calibri" w:hAnsi="Times New Roman" w:cs="Times New Roman"/>
          <w:sz w:val="24"/>
          <w:szCs w:val="24"/>
          <w:lang w:val="en-GB"/>
        </w:rPr>
        <w:t xml:space="preserve">’s </w:t>
      </w:r>
      <w:r w:rsidR="00920344" w:rsidRPr="00190DD7">
        <w:rPr>
          <w:rFonts w:ascii="Times New Roman" w:eastAsia="Calibri" w:hAnsi="Times New Roman" w:cs="Times New Roman"/>
          <w:sz w:val="24"/>
          <w:szCs w:val="24"/>
          <w:lang w:val="en-GB"/>
        </w:rPr>
        <w:t>statement</w:t>
      </w:r>
      <w:r w:rsidR="001A1BDE">
        <w:rPr>
          <w:rFonts w:ascii="Times New Roman" w:eastAsia="Calibri" w:hAnsi="Times New Roman" w:cs="Times New Roman"/>
          <w:sz w:val="24"/>
          <w:szCs w:val="24"/>
          <w:lang w:val="en-GB"/>
        </w:rPr>
        <w:t xml:space="preserve"> within 10 days</w:t>
      </w:r>
      <w:r w:rsidR="00FF719D" w:rsidRPr="00190DD7">
        <w:rPr>
          <w:rFonts w:ascii="Times New Roman" w:eastAsia="Calibri" w:hAnsi="Times New Roman" w:cs="Times New Roman"/>
          <w:sz w:val="24"/>
          <w:szCs w:val="24"/>
          <w:lang w:val="en-GB"/>
        </w:rPr>
        <w:t>, the account shall be deemed to be in order</w:t>
      </w:r>
      <w:r w:rsidR="00E77E9C" w:rsidRPr="00190DD7">
        <w:rPr>
          <w:rFonts w:ascii="Times New Roman" w:eastAsia="Calibri" w:hAnsi="Times New Roman" w:cs="Times New Roman"/>
          <w:sz w:val="24"/>
          <w:szCs w:val="24"/>
          <w:lang w:val="en-GB"/>
        </w:rPr>
        <w:t xml:space="preserve"> and correct in all respects.</w:t>
      </w:r>
    </w:p>
    <w:p w14:paraId="4CBC31D9" w14:textId="0966E62B" w:rsidR="00371E47" w:rsidRPr="00190DD7" w:rsidRDefault="00E77E9C" w:rsidP="00E45F58">
      <w:pPr>
        <w:spacing w:line="480" w:lineRule="auto"/>
        <w:ind w:left="1440"/>
        <w:jc w:val="both"/>
        <w:rPr>
          <w:rFonts w:ascii="Times New Roman" w:eastAsia="Calibri" w:hAnsi="Times New Roman" w:cs="Times New Roman"/>
          <w:sz w:val="24"/>
          <w:szCs w:val="24"/>
          <w:lang w:val="en-GB"/>
        </w:rPr>
      </w:pPr>
      <w:r w:rsidRPr="00190DD7">
        <w:rPr>
          <w:rFonts w:ascii="Times New Roman" w:eastAsia="Calibri" w:hAnsi="Times New Roman" w:cs="Times New Roman"/>
          <w:sz w:val="24"/>
          <w:szCs w:val="24"/>
          <w:lang w:val="en-GB"/>
        </w:rPr>
        <w:t xml:space="preserve">10.4. All overdue </w:t>
      </w:r>
      <w:r w:rsidR="00175EE1" w:rsidRPr="00190DD7">
        <w:rPr>
          <w:rFonts w:ascii="Times New Roman" w:eastAsia="Calibri" w:hAnsi="Times New Roman" w:cs="Times New Roman"/>
          <w:sz w:val="24"/>
          <w:szCs w:val="24"/>
          <w:lang w:val="en-GB"/>
        </w:rPr>
        <w:t>sums shall bear interest at the maximum</w:t>
      </w:r>
      <w:r w:rsidR="003176E0" w:rsidRPr="00190DD7">
        <w:rPr>
          <w:rFonts w:ascii="Times New Roman" w:eastAsia="Calibri" w:hAnsi="Times New Roman" w:cs="Times New Roman"/>
          <w:sz w:val="24"/>
          <w:szCs w:val="24"/>
          <w:lang w:val="en-GB"/>
        </w:rPr>
        <w:t xml:space="preserve"> interest allowed under the limitation and disclosure of Finance</w:t>
      </w:r>
      <w:r w:rsidR="00770DB4" w:rsidRPr="00190DD7">
        <w:rPr>
          <w:rFonts w:ascii="Times New Roman" w:eastAsia="Calibri" w:hAnsi="Times New Roman" w:cs="Times New Roman"/>
          <w:sz w:val="24"/>
          <w:szCs w:val="24"/>
          <w:lang w:val="en-GB"/>
        </w:rPr>
        <w:t xml:space="preserve"> Charges Act No. 73 of 19</w:t>
      </w:r>
      <w:r w:rsidR="00460AC3" w:rsidRPr="00190DD7">
        <w:rPr>
          <w:rFonts w:ascii="Times New Roman" w:eastAsia="Calibri" w:hAnsi="Times New Roman" w:cs="Times New Roman"/>
          <w:sz w:val="24"/>
          <w:szCs w:val="24"/>
          <w:lang w:val="en-GB"/>
        </w:rPr>
        <w:t xml:space="preserve">68 </w:t>
      </w:r>
      <w:r w:rsidR="00D85FF8" w:rsidRPr="00190DD7">
        <w:rPr>
          <w:rFonts w:ascii="Times New Roman" w:eastAsia="Calibri" w:hAnsi="Times New Roman" w:cs="Times New Roman"/>
          <w:sz w:val="24"/>
          <w:szCs w:val="24"/>
          <w:lang w:val="en-GB"/>
        </w:rPr>
        <w:t xml:space="preserve">or any act replacing it from </w:t>
      </w:r>
      <w:r w:rsidR="00190DD7" w:rsidRPr="00190DD7">
        <w:rPr>
          <w:rFonts w:ascii="Times New Roman" w:eastAsia="Calibri" w:hAnsi="Times New Roman" w:cs="Times New Roman"/>
          <w:sz w:val="24"/>
          <w:szCs w:val="24"/>
          <w:lang w:val="en-GB"/>
        </w:rPr>
        <w:t>the date on which it became due.”</w:t>
      </w:r>
      <w:r w:rsidR="00920344" w:rsidRPr="00190DD7">
        <w:rPr>
          <w:rFonts w:ascii="Times New Roman" w:eastAsia="Calibri" w:hAnsi="Times New Roman" w:cs="Times New Roman"/>
          <w:sz w:val="24"/>
          <w:szCs w:val="24"/>
          <w:lang w:val="en-GB"/>
        </w:rPr>
        <w:t xml:space="preserve"> </w:t>
      </w:r>
      <w:r w:rsidR="0062321D" w:rsidRPr="00190DD7">
        <w:rPr>
          <w:rFonts w:ascii="Times New Roman" w:eastAsia="Calibri" w:hAnsi="Times New Roman" w:cs="Times New Roman"/>
          <w:sz w:val="24"/>
          <w:szCs w:val="24"/>
          <w:lang w:val="en-GB"/>
        </w:rPr>
        <w:t xml:space="preserve"> </w:t>
      </w:r>
    </w:p>
    <w:p w14:paraId="49B00534" w14:textId="02DBD019" w:rsidR="00CC464E" w:rsidRPr="00E45F58" w:rsidRDefault="00CC464E" w:rsidP="00C14C4A">
      <w:pPr>
        <w:spacing w:line="360" w:lineRule="auto"/>
        <w:ind w:left="720" w:hanging="660"/>
        <w:jc w:val="both"/>
        <w:rPr>
          <w:rFonts w:ascii="Times New Roman" w:eastAsia="Calibri" w:hAnsi="Times New Roman" w:cs="Times New Roman"/>
          <w:sz w:val="28"/>
          <w:szCs w:val="28"/>
          <w:lang w:val="en-GB"/>
        </w:rPr>
      </w:pPr>
      <w:r w:rsidRPr="008A779E">
        <w:rPr>
          <w:rFonts w:ascii="Times New Roman" w:eastAsia="Calibri" w:hAnsi="Times New Roman" w:cs="Times New Roman"/>
          <w:sz w:val="28"/>
          <w:szCs w:val="28"/>
          <w:lang w:val="en-GB"/>
        </w:rPr>
        <w:t>[</w:t>
      </w:r>
      <w:r w:rsidR="00C64EC4">
        <w:rPr>
          <w:rFonts w:ascii="Times New Roman" w:eastAsia="Calibri" w:hAnsi="Times New Roman" w:cs="Times New Roman"/>
          <w:sz w:val="28"/>
          <w:szCs w:val="28"/>
          <w:lang w:val="en-GB"/>
        </w:rPr>
        <w:t>4</w:t>
      </w:r>
      <w:r w:rsidRPr="008A779E">
        <w:rPr>
          <w:rFonts w:ascii="Times New Roman" w:eastAsia="Calibri" w:hAnsi="Times New Roman" w:cs="Times New Roman"/>
          <w:sz w:val="28"/>
          <w:szCs w:val="28"/>
          <w:lang w:val="en-GB"/>
        </w:rPr>
        <w:t xml:space="preserve">]  </w:t>
      </w:r>
      <w:r w:rsidRPr="008A779E">
        <w:rPr>
          <w:rFonts w:ascii="Times New Roman" w:eastAsia="Calibri" w:hAnsi="Times New Roman" w:cs="Times New Roman"/>
          <w:sz w:val="28"/>
          <w:szCs w:val="28"/>
          <w:lang w:val="en-GB"/>
        </w:rPr>
        <w:tab/>
      </w:r>
      <w:r w:rsidR="006E124A" w:rsidRPr="006E124A">
        <w:rPr>
          <w:rFonts w:ascii="Times New Roman" w:hAnsi="Times New Roman" w:cs="Times New Roman"/>
          <w:sz w:val="28"/>
          <w:szCs w:val="28"/>
        </w:rPr>
        <w:t xml:space="preserve">Riordan </w:t>
      </w:r>
      <w:r w:rsidR="006E124A">
        <w:rPr>
          <w:rFonts w:ascii="Times New Roman" w:hAnsi="Times New Roman" w:cs="Times New Roman"/>
          <w:sz w:val="28"/>
          <w:szCs w:val="28"/>
        </w:rPr>
        <w:t xml:space="preserve">avers that it </w:t>
      </w:r>
      <w:r w:rsidR="006E124A" w:rsidRPr="006E124A">
        <w:rPr>
          <w:rFonts w:ascii="Times New Roman" w:hAnsi="Times New Roman" w:cs="Times New Roman"/>
          <w:sz w:val="28"/>
          <w:szCs w:val="28"/>
        </w:rPr>
        <w:t xml:space="preserve">supplied VTT with goods at VTT’s request during the period of 12 December 2019 to 26 March 2020 (namely, until just before the Covid-19 pandemic lockdown) under account number 5291 to the value of R396,792.59 (which amount was due 1 May 2021), and during the period of 3 to 9 November 2021 under account </w:t>
      </w:r>
      <w:r w:rsidR="006E124A" w:rsidRPr="00466934">
        <w:rPr>
          <w:rFonts w:ascii="Times New Roman" w:hAnsi="Times New Roman" w:cs="Times New Roman"/>
          <w:sz w:val="28"/>
          <w:szCs w:val="28"/>
        </w:rPr>
        <w:t xml:space="preserve">number </w:t>
      </w:r>
      <w:r w:rsidRPr="00466934">
        <w:rPr>
          <w:rFonts w:ascii="Times New Roman" w:eastAsia="Calibri" w:hAnsi="Times New Roman" w:cs="Times New Roman"/>
          <w:b/>
          <w:bCs/>
          <w:sz w:val="28"/>
          <w:szCs w:val="28"/>
          <w:u w:val="single"/>
          <w:lang w:val="en-GB"/>
        </w:rPr>
        <w:t xml:space="preserve"> </w:t>
      </w:r>
      <w:r w:rsidR="00214356" w:rsidRPr="00466934">
        <w:rPr>
          <w:rFonts w:ascii="Times New Roman" w:hAnsi="Times New Roman" w:cs="Times New Roman"/>
          <w:sz w:val="28"/>
          <w:szCs w:val="28"/>
        </w:rPr>
        <w:t xml:space="preserve">5295 to the value of R185,857.10 (due 1 January 2022), totalling R582,649.69.  Riordan opened two accounts for VTT </w:t>
      </w:r>
      <w:r w:rsidR="00641AEA" w:rsidRPr="00466934">
        <w:rPr>
          <w:rFonts w:ascii="Times New Roman" w:hAnsi="Times New Roman" w:cs="Times New Roman"/>
          <w:sz w:val="28"/>
          <w:szCs w:val="28"/>
        </w:rPr>
        <w:t>to</w:t>
      </w:r>
      <w:r w:rsidR="00214356" w:rsidRPr="00466934">
        <w:rPr>
          <w:rFonts w:ascii="Times New Roman" w:hAnsi="Times New Roman" w:cs="Times New Roman"/>
          <w:sz w:val="28"/>
          <w:szCs w:val="28"/>
        </w:rPr>
        <w:t xml:space="preserve"> assist VTT to trade and settle the first account</w:t>
      </w:r>
      <w:r w:rsidR="00C15F7E">
        <w:rPr>
          <w:rFonts w:ascii="Times New Roman" w:hAnsi="Times New Roman" w:cs="Times New Roman"/>
          <w:sz w:val="28"/>
          <w:szCs w:val="28"/>
        </w:rPr>
        <w:t>.</w:t>
      </w:r>
    </w:p>
    <w:p w14:paraId="00C47E33" w14:textId="3A2E981D" w:rsidR="00CC464E" w:rsidRPr="006A12FD" w:rsidRDefault="00CC464E" w:rsidP="00C14C4A">
      <w:pPr>
        <w:spacing w:line="360" w:lineRule="auto"/>
        <w:ind w:left="720" w:hanging="660"/>
        <w:jc w:val="both"/>
        <w:rPr>
          <w:rFonts w:ascii="Times New Roman" w:eastAsia="Calibri" w:hAnsi="Times New Roman" w:cs="Times New Roman"/>
          <w:sz w:val="28"/>
          <w:szCs w:val="28"/>
          <w:lang w:val="en-GB"/>
        </w:rPr>
      </w:pPr>
      <w:r w:rsidRPr="008A779E">
        <w:rPr>
          <w:rFonts w:ascii="Times New Roman" w:eastAsia="Calibri" w:hAnsi="Times New Roman" w:cs="Times New Roman"/>
          <w:sz w:val="28"/>
          <w:szCs w:val="28"/>
          <w:lang w:val="en-GB"/>
        </w:rPr>
        <w:t>[</w:t>
      </w:r>
      <w:r w:rsidR="00C64EC4">
        <w:rPr>
          <w:rFonts w:ascii="Times New Roman" w:eastAsia="Calibri" w:hAnsi="Times New Roman" w:cs="Times New Roman"/>
          <w:sz w:val="28"/>
          <w:szCs w:val="28"/>
          <w:lang w:val="en-GB"/>
        </w:rPr>
        <w:t>5</w:t>
      </w:r>
      <w:r w:rsidRPr="008A779E">
        <w:rPr>
          <w:rFonts w:ascii="Times New Roman" w:eastAsia="Calibri" w:hAnsi="Times New Roman" w:cs="Times New Roman"/>
          <w:sz w:val="28"/>
          <w:szCs w:val="28"/>
          <w:lang w:val="en-GB"/>
        </w:rPr>
        <w:t xml:space="preserve">] </w:t>
      </w:r>
      <w:r w:rsidRPr="008A779E">
        <w:rPr>
          <w:rFonts w:ascii="Times New Roman" w:eastAsia="Calibri" w:hAnsi="Times New Roman" w:cs="Times New Roman"/>
          <w:sz w:val="28"/>
          <w:szCs w:val="28"/>
          <w:lang w:val="en-GB"/>
        </w:rPr>
        <w:tab/>
      </w:r>
      <w:r w:rsidR="006A12FD" w:rsidRPr="006A12FD">
        <w:rPr>
          <w:rFonts w:ascii="Times New Roman" w:eastAsia="Calibri" w:hAnsi="Times New Roman" w:cs="Times New Roman"/>
          <w:sz w:val="28"/>
          <w:szCs w:val="28"/>
          <w:lang w:val="en-GB"/>
        </w:rPr>
        <w:t xml:space="preserve">Riordan alleged that </w:t>
      </w:r>
      <w:r w:rsidR="006A12FD" w:rsidRPr="006A12FD">
        <w:rPr>
          <w:rFonts w:ascii="Times New Roman" w:hAnsi="Times New Roman" w:cs="Times New Roman"/>
          <w:sz w:val="28"/>
          <w:szCs w:val="28"/>
        </w:rPr>
        <w:t>VTT failed to settle both of the above accounts within 30 days of the statement date in terms of the agreement and accordingly</w:t>
      </w:r>
      <w:r w:rsidR="006D71AB">
        <w:rPr>
          <w:rFonts w:ascii="Times New Roman" w:hAnsi="Times New Roman" w:cs="Times New Roman"/>
          <w:sz w:val="28"/>
          <w:szCs w:val="28"/>
        </w:rPr>
        <w:t>, so contends Rio</w:t>
      </w:r>
      <w:r w:rsidR="00484682">
        <w:rPr>
          <w:rFonts w:ascii="Times New Roman" w:hAnsi="Times New Roman" w:cs="Times New Roman"/>
          <w:sz w:val="28"/>
          <w:szCs w:val="28"/>
        </w:rPr>
        <w:t>rdan</w:t>
      </w:r>
      <w:r w:rsidR="006A12FD" w:rsidRPr="006A12FD">
        <w:rPr>
          <w:rFonts w:ascii="Times New Roman" w:hAnsi="Times New Roman" w:cs="Times New Roman"/>
          <w:sz w:val="28"/>
          <w:szCs w:val="28"/>
        </w:rPr>
        <w:t xml:space="preserve"> breached the agreement</w:t>
      </w:r>
      <w:r w:rsidR="006A12FD">
        <w:rPr>
          <w:rFonts w:ascii="Times New Roman" w:hAnsi="Times New Roman" w:cs="Times New Roman"/>
          <w:sz w:val="28"/>
          <w:szCs w:val="28"/>
        </w:rPr>
        <w:t>.</w:t>
      </w:r>
    </w:p>
    <w:p w14:paraId="231FCBC0" w14:textId="15D836E1" w:rsidR="00C14C4A" w:rsidRPr="00C14C4A" w:rsidRDefault="00CC464E" w:rsidP="00C14C4A">
      <w:pPr>
        <w:suppressAutoHyphens/>
        <w:spacing w:before="320" w:after="320" w:line="360" w:lineRule="auto"/>
        <w:ind w:left="567" w:hanging="567"/>
        <w:jc w:val="both"/>
        <w:outlineLvl w:val="0"/>
        <w:rPr>
          <w:rFonts w:ascii="Times New Roman" w:hAnsi="Times New Roman" w:cs="Times New Roman"/>
          <w:sz w:val="28"/>
          <w:szCs w:val="28"/>
        </w:rPr>
      </w:pPr>
      <w:r w:rsidRPr="008A779E">
        <w:rPr>
          <w:rFonts w:ascii="Times New Roman" w:eastAsia="Times New Roman" w:hAnsi="Times New Roman" w:cs="Times New Roman"/>
          <w:bCs/>
          <w:sz w:val="28"/>
          <w:szCs w:val="28"/>
        </w:rPr>
        <w:t>[</w:t>
      </w:r>
      <w:r w:rsidR="00C64EC4">
        <w:rPr>
          <w:rFonts w:ascii="Times New Roman" w:eastAsia="Times New Roman" w:hAnsi="Times New Roman" w:cs="Times New Roman"/>
          <w:bCs/>
          <w:sz w:val="28"/>
          <w:szCs w:val="28"/>
        </w:rPr>
        <w:t>6</w:t>
      </w:r>
      <w:r w:rsidRPr="008A779E">
        <w:rPr>
          <w:rFonts w:ascii="Times New Roman" w:eastAsia="Times New Roman" w:hAnsi="Times New Roman" w:cs="Times New Roman"/>
          <w:bCs/>
          <w:sz w:val="28"/>
          <w:szCs w:val="28"/>
        </w:rPr>
        <w:t xml:space="preserve">] </w:t>
      </w:r>
      <w:r w:rsidRPr="008A779E">
        <w:rPr>
          <w:rFonts w:ascii="Times New Roman" w:eastAsia="Times New Roman" w:hAnsi="Times New Roman" w:cs="Times New Roman"/>
          <w:bCs/>
          <w:sz w:val="28"/>
          <w:szCs w:val="28"/>
        </w:rPr>
        <w:tab/>
      </w:r>
      <w:r w:rsidR="00606E21">
        <w:rPr>
          <w:rFonts w:ascii="Times New Roman" w:eastAsia="Times New Roman" w:hAnsi="Times New Roman" w:cs="Times New Roman"/>
          <w:bCs/>
          <w:sz w:val="28"/>
          <w:szCs w:val="28"/>
        </w:rPr>
        <w:t xml:space="preserve">It is common course that </w:t>
      </w:r>
      <w:r w:rsidR="00606E21">
        <w:rPr>
          <w:rFonts w:ascii="Times New Roman" w:hAnsi="Times New Roman" w:cs="Times New Roman"/>
          <w:sz w:val="28"/>
          <w:szCs w:val="28"/>
        </w:rPr>
        <w:t>o</w:t>
      </w:r>
      <w:r w:rsidR="00C12622" w:rsidRPr="00C12622">
        <w:rPr>
          <w:rFonts w:ascii="Times New Roman" w:hAnsi="Times New Roman" w:cs="Times New Roman"/>
          <w:sz w:val="28"/>
          <w:szCs w:val="28"/>
        </w:rPr>
        <w:t xml:space="preserve">n 5 May 2022 Riordan’s attorneys accordingly demanded the amounts due from VTT. On 17 May 2022 Mr Ndlovu signed an acknowledgement of debt in respect of the amounts claimed herein, which </w:t>
      </w:r>
      <w:r w:rsidR="00C12622" w:rsidRPr="00834158">
        <w:rPr>
          <w:rFonts w:ascii="Times New Roman" w:hAnsi="Times New Roman" w:cs="Times New Roman"/>
          <w:i/>
          <w:iCs/>
          <w:sz w:val="28"/>
          <w:szCs w:val="28"/>
        </w:rPr>
        <w:t xml:space="preserve">inter alia </w:t>
      </w:r>
      <w:r w:rsidR="00C12622" w:rsidRPr="00C12622">
        <w:rPr>
          <w:rFonts w:ascii="Times New Roman" w:hAnsi="Times New Roman" w:cs="Times New Roman"/>
          <w:sz w:val="28"/>
          <w:szCs w:val="28"/>
        </w:rPr>
        <w:t>set out the repayment terms for the debt, interest and costs. The acknowledgement also states that if Mr Ndlovu defaults on any of the repayments, the full amount is immediately due.</w:t>
      </w:r>
      <w:r w:rsidR="00641AEA" w:rsidRPr="00641AEA">
        <w:t xml:space="preserve"> </w:t>
      </w:r>
      <w:r w:rsidR="00641AEA" w:rsidRPr="00641AEA">
        <w:rPr>
          <w:rFonts w:ascii="Times New Roman" w:hAnsi="Times New Roman" w:cs="Times New Roman"/>
          <w:sz w:val="28"/>
          <w:szCs w:val="28"/>
        </w:rPr>
        <w:t>VTT and/or Mr Ndlovu have failed to pay the amounts claimed to date</w:t>
      </w:r>
      <w:r w:rsidR="00A254D9">
        <w:rPr>
          <w:rFonts w:ascii="Times New Roman" w:hAnsi="Times New Roman" w:cs="Times New Roman"/>
          <w:sz w:val="28"/>
          <w:szCs w:val="28"/>
        </w:rPr>
        <w:t xml:space="preserve"> and this has led to the present </w:t>
      </w:r>
      <w:r w:rsidR="0097117C">
        <w:rPr>
          <w:rFonts w:ascii="Times New Roman" w:hAnsi="Times New Roman" w:cs="Times New Roman"/>
          <w:sz w:val="28"/>
          <w:szCs w:val="28"/>
        </w:rPr>
        <w:t>litigation.</w:t>
      </w:r>
    </w:p>
    <w:p w14:paraId="5D9EF27D" w14:textId="146BF767" w:rsidR="0054182A" w:rsidRPr="0054182A" w:rsidRDefault="0054182A" w:rsidP="000A2914">
      <w:pPr>
        <w:suppressAutoHyphens/>
        <w:spacing w:before="320" w:after="320" w:line="480" w:lineRule="auto"/>
        <w:ind w:left="567" w:hanging="567"/>
        <w:jc w:val="both"/>
        <w:outlineLvl w:val="0"/>
        <w:rPr>
          <w:rFonts w:ascii="Times New Roman" w:eastAsia="Times New Roman" w:hAnsi="Times New Roman" w:cs="Times New Roman"/>
          <w:bCs/>
          <w:i/>
          <w:iCs/>
          <w:sz w:val="28"/>
          <w:szCs w:val="28"/>
        </w:rPr>
      </w:pPr>
      <w:r w:rsidRPr="0054182A">
        <w:rPr>
          <w:rFonts w:ascii="Times New Roman" w:hAnsi="Times New Roman" w:cs="Times New Roman"/>
          <w:i/>
          <w:iCs/>
          <w:sz w:val="28"/>
          <w:szCs w:val="28"/>
        </w:rPr>
        <w:t>Defences by VTT and Mr Ndlovu</w:t>
      </w:r>
    </w:p>
    <w:p w14:paraId="381B9990" w14:textId="28D2A905" w:rsidR="00112B18" w:rsidRDefault="00CC464E" w:rsidP="00E45F58">
      <w:pPr>
        <w:spacing w:after="200" w:line="360" w:lineRule="auto"/>
        <w:ind w:left="720" w:hanging="720"/>
        <w:jc w:val="both"/>
        <w:rPr>
          <w:rFonts w:ascii="Times New Roman" w:eastAsia="MS Mincho" w:hAnsi="Times New Roman" w:cs="Times New Roman"/>
          <w:iCs/>
          <w:sz w:val="28"/>
          <w:szCs w:val="28"/>
          <w:lang w:val="en-GB" w:eastAsia="ja-JP"/>
        </w:rPr>
      </w:pPr>
      <w:r w:rsidRPr="008A779E">
        <w:rPr>
          <w:rFonts w:ascii="Times New Roman" w:eastAsia="MS Mincho" w:hAnsi="Times New Roman" w:cs="Times New Roman"/>
          <w:sz w:val="28"/>
          <w:szCs w:val="28"/>
          <w:lang w:val="en-GB" w:eastAsia="ja-JP"/>
        </w:rPr>
        <w:lastRenderedPageBreak/>
        <w:t>[</w:t>
      </w:r>
      <w:r w:rsidR="00C64EC4">
        <w:rPr>
          <w:rFonts w:ascii="Times New Roman" w:eastAsia="MS Mincho" w:hAnsi="Times New Roman" w:cs="Times New Roman"/>
          <w:sz w:val="28"/>
          <w:szCs w:val="28"/>
          <w:lang w:val="en-GB" w:eastAsia="ja-JP"/>
        </w:rPr>
        <w:t>7</w:t>
      </w:r>
      <w:r w:rsidRPr="008A779E">
        <w:rPr>
          <w:rFonts w:ascii="Times New Roman" w:eastAsia="MS Mincho" w:hAnsi="Times New Roman" w:cs="Times New Roman"/>
          <w:sz w:val="28"/>
          <w:szCs w:val="28"/>
          <w:lang w:val="en-GB" w:eastAsia="ja-JP"/>
        </w:rPr>
        <w:t xml:space="preserve">] </w:t>
      </w:r>
      <w:r w:rsidR="00E45F58">
        <w:rPr>
          <w:rFonts w:ascii="Times New Roman" w:eastAsia="MS Mincho" w:hAnsi="Times New Roman" w:cs="Times New Roman"/>
          <w:sz w:val="28"/>
          <w:szCs w:val="28"/>
          <w:lang w:val="en-GB" w:eastAsia="ja-JP"/>
        </w:rPr>
        <w:tab/>
      </w:r>
      <w:r w:rsidR="00362808">
        <w:rPr>
          <w:rFonts w:ascii="Times New Roman" w:eastAsia="MS Mincho" w:hAnsi="Times New Roman" w:cs="Times New Roman"/>
          <w:sz w:val="28"/>
          <w:szCs w:val="28"/>
          <w:lang w:val="en-GB" w:eastAsia="ja-JP"/>
        </w:rPr>
        <w:t xml:space="preserve">The respondents do not deny the existence of the agreement or the amount </w:t>
      </w:r>
      <w:r w:rsidR="00112B18">
        <w:rPr>
          <w:rFonts w:ascii="Times New Roman" w:eastAsia="MS Mincho" w:hAnsi="Times New Roman" w:cs="Times New Roman"/>
          <w:sz w:val="28"/>
          <w:szCs w:val="28"/>
          <w:lang w:val="en-GB" w:eastAsia="ja-JP"/>
        </w:rPr>
        <w:t xml:space="preserve">claimed but raise the following three points </w:t>
      </w:r>
      <w:r w:rsidR="00112B18" w:rsidRPr="00112B18">
        <w:rPr>
          <w:rFonts w:ascii="Times New Roman" w:eastAsia="MS Mincho" w:hAnsi="Times New Roman" w:cs="Times New Roman"/>
          <w:i/>
          <w:iCs/>
          <w:sz w:val="28"/>
          <w:szCs w:val="28"/>
          <w:lang w:val="en-GB" w:eastAsia="ja-JP"/>
        </w:rPr>
        <w:t xml:space="preserve">in </w:t>
      </w:r>
      <w:proofErr w:type="spellStart"/>
      <w:r w:rsidR="00112B18" w:rsidRPr="00112B18">
        <w:rPr>
          <w:rFonts w:ascii="Times New Roman" w:eastAsia="MS Mincho" w:hAnsi="Times New Roman" w:cs="Times New Roman"/>
          <w:i/>
          <w:iCs/>
          <w:sz w:val="28"/>
          <w:szCs w:val="28"/>
          <w:lang w:val="en-GB" w:eastAsia="ja-JP"/>
        </w:rPr>
        <w:t>limine</w:t>
      </w:r>
      <w:proofErr w:type="spellEnd"/>
      <w:r w:rsidR="00112B18">
        <w:rPr>
          <w:rFonts w:ascii="Times New Roman" w:eastAsia="MS Mincho" w:hAnsi="Times New Roman" w:cs="Times New Roman"/>
          <w:iCs/>
          <w:sz w:val="28"/>
          <w:szCs w:val="28"/>
          <w:lang w:val="en-GB" w:eastAsia="ja-JP"/>
        </w:rPr>
        <w:t>:</w:t>
      </w:r>
    </w:p>
    <w:p w14:paraId="06612011" w14:textId="5ABBC3C5" w:rsidR="00191048" w:rsidRDefault="00112B18" w:rsidP="00E45F58">
      <w:pPr>
        <w:spacing w:after="200" w:line="360" w:lineRule="auto"/>
        <w:ind w:left="1440" w:hanging="720"/>
        <w:jc w:val="both"/>
        <w:rPr>
          <w:rFonts w:ascii="Times New Roman" w:hAnsi="Times New Roman" w:cs="Times New Roman"/>
          <w:sz w:val="28"/>
          <w:szCs w:val="28"/>
        </w:rPr>
      </w:pPr>
      <w:r>
        <w:rPr>
          <w:rFonts w:ascii="Times New Roman" w:eastAsia="MS Mincho" w:hAnsi="Times New Roman" w:cs="Times New Roman"/>
          <w:iCs/>
          <w:sz w:val="28"/>
          <w:szCs w:val="28"/>
          <w:lang w:val="en-GB" w:eastAsia="ja-JP"/>
        </w:rPr>
        <w:t>(a</w:t>
      </w:r>
      <w:r w:rsidR="00036073">
        <w:rPr>
          <w:rFonts w:ascii="Times New Roman" w:eastAsia="MS Mincho" w:hAnsi="Times New Roman" w:cs="Times New Roman"/>
          <w:iCs/>
          <w:sz w:val="28"/>
          <w:szCs w:val="28"/>
          <w:lang w:val="en-GB" w:eastAsia="ja-JP"/>
        </w:rPr>
        <w:t xml:space="preserve">) </w:t>
      </w:r>
      <w:r w:rsidR="00E45F58">
        <w:rPr>
          <w:rFonts w:ascii="Times New Roman" w:eastAsia="MS Mincho" w:hAnsi="Times New Roman" w:cs="Times New Roman"/>
          <w:iCs/>
          <w:sz w:val="28"/>
          <w:szCs w:val="28"/>
          <w:lang w:val="en-GB" w:eastAsia="ja-JP"/>
        </w:rPr>
        <w:tab/>
      </w:r>
      <w:r w:rsidR="00674973" w:rsidRPr="00674973">
        <w:rPr>
          <w:rFonts w:ascii="Times New Roman" w:hAnsi="Times New Roman" w:cs="Times New Roman"/>
          <w:sz w:val="28"/>
          <w:szCs w:val="28"/>
        </w:rPr>
        <w:t>The Respondents aver that this Court does not have jurisdiction over the application as the agreement excludes this Court’s jurisdiction.</w:t>
      </w:r>
    </w:p>
    <w:p w14:paraId="216D1903" w14:textId="14AE24FA" w:rsidR="00CC464E" w:rsidRDefault="00191048" w:rsidP="00C14C4A">
      <w:pPr>
        <w:spacing w:after="20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(b) </w:t>
      </w:r>
      <w:r w:rsidR="00E45F58">
        <w:rPr>
          <w:rFonts w:ascii="Times New Roman" w:hAnsi="Times New Roman" w:cs="Times New Roman"/>
          <w:sz w:val="28"/>
          <w:szCs w:val="28"/>
        </w:rPr>
        <w:tab/>
      </w:r>
      <w:r w:rsidR="00C422E8" w:rsidRPr="00C422E8">
        <w:rPr>
          <w:rFonts w:ascii="Times New Roman" w:hAnsi="Times New Roman" w:cs="Times New Roman"/>
          <w:sz w:val="28"/>
          <w:szCs w:val="28"/>
        </w:rPr>
        <w:t>The Respondents aver that Covid-19 constitutes a force majeure within the definition of the agreement, that the concomitant lockdown prevented the Respondents from</w:t>
      </w:r>
      <w:r w:rsidR="00CC464E" w:rsidRPr="00674973">
        <w:rPr>
          <w:rFonts w:ascii="Times New Roman" w:eastAsia="MS Mincho" w:hAnsi="Times New Roman" w:cs="Times New Roman"/>
          <w:iCs/>
          <w:sz w:val="28"/>
          <w:szCs w:val="28"/>
          <w:lang w:val="en-GB" w:eastAsia="ja-JP"/>
        </w:rPr>
        <w:tab/>
      </w:r>
      <w:r w:rsidR="000A5DCF" w:rsidRPr="000A5DCF">
        <w:rPr>
          <w:rFonts w:ascii="Times New Roman" w:hAnsi="Times New Roman" w:cs="Times New Roman"/>
          <w:sz w:val="28"/>
          <w:szCs w:val="28"/>
        </w:rPr>
        <w:t>performing in terms of the agreement, and that this Court should resultantly dismiss this application.</w:t>
      </w:r>
    </w:p>
    <w:p w14:paraId="377055CA" w14:textId="35FBB1FD" w:rsidR="0080683C" w:rsidRDefault="0080683C" w:rsidP="00C14C4A">
      <w:pPr>
        <w:spacing w:after="20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(c) </w:t>
      </w:r>
      <w:r w:rsidR="00DF1A97">
        <w:rPr>
          <w:rFonts w:ascii="Times New Roman" w:hAnsi="Times New Roman" w:cs="Times New Roman"/>
          <w:sz w:val="28"/>
          <w:szCs w:val="28"/>
        </w:rPr>
        <w:t xml:space="preserve">   </w:t>
      </w:r>
      <w:r w:rsidR="00DF1A97">
        <w:rPr>
          <w:rFonts w:ascii="Times New Roman" w:hAnsi="Times New Roman" w:cs="Times New Roman"/>
          <w:sz w:val="28"/>
          <w:szCs w:val="28"/>
        </w:rPr>
        <w:tab/>
      </w:r>
      <w:r w:rsidR="00DB6880" w:rsidRPr="00DB6880">
        <w:rPr>
          <w:rFonts w:ascii="Times New Roman" w:hAnsi="Times New Roman" w:cs="Times New Roman"/>
          <w:sz w:val="28"/>
          <w:szCs w:val="28"/>
        </w:rPr>
        <w:t>Finally, the Respondents aver that the Applicant recklessly provided them with credit just before lockdown which by inference amount to recklessness lending.</w:t>
      </w:r>
    </w:p>
    <w:p w14:paraId="10E25C33" w14:textId="068EE251" w:rsidR="00DB6880" w:rsidRDefault="00DB6880" w:rsidP="00A21361">
      <w:pPr>
        <w:spacing w:after="200" w:line="480" w:lineRule="auto"/>
        <w:ind w:left="720" w:hanging="720"/>
        <w:jc w:val="both"/>
        <w:rPr>
          <w:rFonts w:ascii="Times New Roman" w:hAnsi="Times New Roman" w:cs="Times New Roman"/>
          <w:i/>
          <w:iCs/>
          <w:sz w:val="28"/>
          <w:szCs w:val="28"/>
        </w:rPr>
      </w:pPr>
      <w:r w:rsidRPr="00DB6880">
        <w:rPr>
          <w:rFonts w:ascii="Times New Roman" w:hAnsi="Times New Roman" w:cs="Times New Roman"/>
          <w:i/>
          <w:iCs/>
          <w:sz w:val="28"/>
          <w:szCs w:val="28"/>
        </w:rPr>
        <w:t>Issues for determination</w:t>
      </w:r>
    </w:p>
    <w:p w14:paraId="35FD7429" w14:textId="060FCFBF" w:rsidR="00DF1A97" w:rsidRDefault="00CC464E" w:rsidP="00C14C4A">
      <w:pPr>
        <w:spacing w:after="200" w:line="360" w:lineRule="auto"/>
        <w:ind w:left="720" w:hanging="720"/>
        <w:jc w:val="both"/>
        <w:rPr>
          <w:rFonts w:ascii="Times New Roman" w:eastAsia="MS Mincho" w:hAnsi="Times New Roman" w:cs="Times New Roman"/>
          <w:sz w:val="28"/>
          <w:szCs w:val="28"/>
          <w:lang w:val="en-GB" w:eastAsia="ja-JP"/>
        </w:rPr>
      </w:pPr>
      <w:r w:rsidRPr="008A779E">
        <w:rPr>
          <w:rFonts w:ascii="Times New Roman" w:eastAsia="MS Mincho" w:hAnsi="Times New Roman" w:cs="Times New Roman"/>
          <w:sz w:val="28"/>
          <w:szCs w:val="28"/>
          <w:lang w:val="en-GB" w:eastAsia="ja-JP"/>
        </w:rPr>
        <w:t>[</w:t>
      </w:r>
      <w:r w:rsidR="00C64EC4">
        <w:rPr>
          <w:rFonts w:ascii="Times New Roman" w:eastAsia="MS Mincho" w:hAnsi="Times New Roman" w:cs="Times New Roman"/>
          <w:sz w:val="28"/>
          <w:szCs w:val="28"/>
          <w:lang w:val="en-GB" w:eastAsia="ja-JP"/>
        </w:rPr>
        <w:t>8</w:t>
      </w:r>
      <w:r w:rsidRPr="008A779E">
        <w:rPr>
          <w:rFonts w:ascii="Times New Roman" w:eastAsia="MS Mincho" w:hAnsi="Times New Roman" w:cs="Times New Roman"/>
          <w:sz w:val="28"/>
          <w:szCs w:val="28"/>
          <w:lang w:val="en-GB" w:eastAsia="ja-JP"/>
        </w:rPr>
        <w:t xml:space="preserve">] </w:t>
      </w:r>
      <w:r w:rsidR="00DF1A97">
        <w:rPr>
          <w:rFonts w:ascii="Times New Roman" w:eastAsia="MS Mincho" w:hAnsi="Times New Roman" w:cs="Times New Roman"/>
          <w:sz w:val="28"/>
          <w:szCs w:val="28"/>
          <w:lang w:val="en-GB" w:eastAsia="ja-JP"/>
        </w:rPr>
        <w:tab/>
      </w:r>
      <w:r w:rsidR="00DB6880">
        <w:rPr>
          <w:rFonts w:ascii="Times New Roman" w:eastAsia="MS Mincho" w:hAnsi="Times New Roman" w:cs="Times New Roman"/>
          <w:sz w:val="28"/>
          <w:szCs w:val="28"/>
          <w:lang w:val="en-GB" w:eastAsia="ja-JP"/>
        </w:rPr>
        <w:t>The issues for determination are whether the defences of lack of jurisdiction</w:t>
      </w:r>
      <w:r w:rsidR="001067D2">
        <w:rPr>
          <w:rFonts w:ascii="Times New Roman" w:eastAsia="MS Mincho" w:hAnsi="Times New Roman" w:cs="Times New Roman"/>
          <w:sz w:val="28"/>
          <w:szCs w:val="28"/>
          <w:lang w:val="en-GB" w:eastAsia="ja-JP"/>
        </w:rPr>
        <w:t>; force majeure and the alleged reckless credit can be sustained under the circumstances.</w:t>
      </w:r>
    </w:p>
    <w:p w14:paraId="78321CA1" w14:textId="77777777" w:rsidR="00C14C4A" w:rsidRDefault="00C14C4A" w:rsidP="00C14C4A">
      <w:pPr>
        <w:spacing w:after="200" w:line="360" w:lineRule="auto"/>
        <w:ind w:left="720" w:hanging="720"/>
        <w:jc w:val="both"/>
        <w:rPr>
          <w:rFonts w:ascii="Times New Roman" w:eastAsia="MS Mincho" w:hAnsi="Times New Roman" w:cs="Times New Roman"/>
          <w:sz w:val="28"/>
          <w:szCs w:val="28"/>
          <w:lang w:val="en-GB" w:eastAsia="ja-JP"/>
        </w:rPr>
      </w:pPr>
    </w:p>
    <w:p w14:paraId="24D0F040" w14:textId="4B92C249" w:rsidR="00F77155" w:rsidRDefault="00F77155" w:rsidP="00DF1A97">
      <w:pPr>
        <w:spacing w:after="200" w:line="360" w:lineRule="auto"/>
        <w:ind w:left="720" w:hanging="720"/>
        <w:jc w:val="both"/>
        <w:rPr>
          <w:rFonts w:ascii="Times New Roman" w:eastAsia="MS Mincho" w:hAnsi="Times New Roman" w:cs="Times New Roman"/>
          <w:i/>
          <w:iCs/>
          <w:sz w:val="28"/>
          <w:szCs w:val="28"/>
          <w:lang w:val="en-GB" w:eastAsia="ja-JP"/>
        </w:rPr>
      </w:pPr>
      <w:r w:rsidRPr="00F77155">
        <w:rPr>
          <w:rFonts w:ascii="Times New Roman" w:eastAsia="MS Mincho" w:hAnsi="Times New Roman" w:cs="Times New Roman"/>
          <w:i/>
          <w:iCs/>
          <w:sz w:val="28"/>
          <w:szCs w:val="28"/>
          <w:lang w:val="en-GB" w:eastAsia="ja-JP"/>
        </w:rPr>
        <w:t xml:space="preserve">The legal principles </w:t>
      </w:r>
      <w:r w:rsidR="004E7EE3">
        <w:rPr>
          <w:rFonts w:ascii="Times New Roman" w:eastAsia="MS Mincho" w:hAnsi="Times New Roman" w:cs="Times New Roman"/>
          <w:i/>
          <w:iCs/>
          <w:sz w:val="28"/>
          <w:szCs w:val="28"/>
          <w:lang w:val="en-GB" w:eastAsia="ja-JP"/>
        </w:rPr>
        <w:t>and reasons</w:t>
      </w:r>
    </w:p>
    <w:p w14:paraId="567F5AC2" w14:textId="7889C17F" w:rsidR="00CC464E" w:rsidRPr="00F77155" w:rsidRDefault="00633CF0" w:rsidP="00DF1A97">
      <w:pPr>
        <w:spacing w:after="200" w:line="360" w:lineRule="auto"/>
        <w:ind w:left="720" w:hanging="720"/>
        <w:jc w:val="both"/>
        <w:rPr>
          <w:rFonts w:ascii="Times New Roman" w:eastAsia="MS Mincho" w:hAnsi="Times New Roman" w:cs="Times New Roman"/>
          <w:i/>
          <w:iCs/>
          <w:sz w:val="28"/>
          <w:szCs w:val="28"/>
          <w:lang w:val="en-GB" w:eastAsia="ja-JP"/>
        </w:rPr>
      </w:pPr>
      <w:r>
        <w:rPr>
          <w:rFonts w:ascii="Times New Roman" w:eastAsia="MS Mincho" w:hAnsi="Times New Roman" w:cs="Times New Roman"/>
          <w:i/>
          <w:iCs/>
          <w:sz w:val="28"/>
          <w:szCs w:val="28"/>
          <w:lang w:val="en-GB" w:eastAsia="ja-JP"/>
        </w:rPr>
        <w:t>Lack of jurisdiction</w:t>
      </w:r>
      <w:r w:rsidR="00CC464E" w:rsidRPr="00F77155">
        <w:rPr>
          <w:rFonts w:ascii="Times New Roman" w:eastAsia="MS Mincho" w:hAnsi="Times New Roman" w:cs="Times New Roman"/>
          <w:i/>
          <w:iCs/>
          <w:sz w:val="28"/>
          <w:szCs w:val="28"/>
          <w:lang w:val="en-GB" w:eastAsia="ja-JP"/>
        </w:rPr>
        <w:tab/>
      </w:r>
    </w:p>
    <w:p w14:paraId="47586045" w14:textId="00D979D8" w:rsidR="00CC464E" w:rsidRDefault="00CC464E" w:rsidP="00C14C4A">
      <w:pPr>
        <w:spacing w:after="200" w:line="360" w:lineRule="auto"/>
        <w:ind w:left="720" w:hanging="720"/>
        <w:jc w:val="both"/>
        <w:rPr>
          <w:rFonts w:ascii="Times New Roman" w:eastAsia="MS Mincho" w:hAnsi="Times New Roman" w:cs="Times New Roman"/>
          <w:sz w:val="28"/>
          <w:szCs w:val="28"/>
          <w:lang w:val="en-GB" w:eastAsia="ja-JP"/>
        </w:rPr>
      </w:pPr>
      <w:r w:rsidRPr="008A779E">
        <w:rPr>
          <w:rFonts w:ascii="Times New Roman" w:eastAsia="MS Mincho" w:hAnsi="Times New Roman" w:cs="Times New Roman"/>
          <w:sz w:val="28"/>
          <w:szCs w:val="28"/>
          <w:lang w:val="en-GB" w:eastAsia="ja-JP"/>
        </w:rPr>
        <w:t>[</w:t>
      </w:r>
      <w:r w:rsidR="00C64EC4">
        <w:rPr>
          <w:rFonts w:ascii="Times New Roman" w:eastAsia="MS Mincho" w:hAnsi="Times New Roman" w:cs="Times New Roman"/>
          <w:sz w:val="28"/>
          <w:szCs w:val="28"/>
          <w:lang w:val="en-GB" w:eastAsia="ja-JP"/>
        </w:rPr>
        <w:t>9</w:t>
      </w:r>
      <w:r w:rsidRPr="008A779E">
        <w:rPr>
          <w:rFonts w:ascii="Times New Roman" w:eastAsia="MS Mincho" w:hAnsi="Times New Roman" w:cs="Times New Roman"/>
          <w:sz w:val="28"/>
          <w:szCs w:val="28"/>
          <w:lang w:val="en-GB" w:eastAsia="ja-JP"/>
        </w:rPr>
        <w:t xml:space="preserve">] </w:t>
      </w:r>
      <w:r w:rsidRPr="008A779E">
        <w:rPr>
          <w:rFonts w:ascii="Times New Roman" w:eastAsia="MS Mincho" w:hAnsi="Times New Roman" w:cs="Times New Roman"/>
          <w:sz w:val="28"/>
          <w:szCs w:val="28"/>
          <w:lang w:val="en-GB" w:eastAsia="ja-JP"/>
        </w:rPr>
        <w:tab/>
      </w:r>
      <w:r w:rsidR="007B3AAF">
        <w:rPr>
          <w:rFonts w:ascii="Times New Roman" w:eastAsia="MS Mincho" w:hAnsi="Times New Roman" w:cs="Times New Roman"/>
          <w:sz w:val="28"/>
          <w:szCs w:val="28"/>
          <w:lang w:val="en-GB" w:eastAsia="ja-JP"/>
        </w:rPr>
        <w:t>It is trite in our law that in appropriate circumstances, lack of jurisdiction may be raised as a defence</w:t>
      </w:r>
      <w:r w:rsidR="002A7873">
        <w:rPr>
          <w:rFonts w:ascii="Times New Roman" w:eastAsia="MS Mincho" w:hAnsi="Times New Roman" w:cs="Times New Roman"/>
          <w:sz w:val="28"/>
          <w:szCs w:val="28"/>
          <w:lang w:val="en-GB" w:eastAsia="ja-JP"/>
        </w:rPr>
        <w:t xml:space="preserve"> </w:t>
      </w:r>
      <w:r w:rsidR="002A7873" w:rsidRPr="002A7873">
        <w:rPr>
          <w:rFonts w:ascii="Times New Roman" w:eastAsia="MS Mincho" w:hAnsi="Times New Roman" w:cs="Times New Roman"/>
          <w:i/>
          <w:iCs/>
          <w:sz w:val="28"/>
          <w:szCs w:val="28"/>
          <w:lang w:val="en-GB" w:eastAsia="ja-JP"/>
        </w:rPr>
        <w:t xml:space="preserve">in </w:t>
      </w:r>
      <w:proofErr w:type="spellStart"/>
      <w:r w:rsidR="002A7873" w:rsidRPr="002A7873">
        <w:rPr>
          <w:rFonts w:ascii="Times New Roman" w:eastAsia="MS Mincho" w:hAnsi="Times New Roman" w:cs="Times New Roman"/>
          <w:i/>
          <w:iCs/>
          <w:sz w:val="28"/>
          <w:szCs w:val="28"/>
          <w:lang w:val="en-GB" w:eastAsia="ja-JP"/>
        </w:rPr>
        <w:t>limine</w:t>
      </w:r>
      <w:proofErr w:type="spellEnd"/>
      <w:r w:rsidR="002A7873">
        <w:rPr>
          <w:rFonts w:ascii="Times New Roman" w:eastAsia="MS Mincho" w:hAnsi="Times New Roman" w:cs="Times New Roman"/>
          <w:sz w:val="28"/>
          <w:szCs w:val="28"/>
          <w:lang w:val="en-GB" w:eastAsia="ja-JP"/>
        </w:rPr>
        <w:t xml:space="preserve">. </w:t>
      </w:r>
      <w:r w:rsidR="006B6B45">
        <w:rPr>
          <w:rFonts w:ascii="Times New Roman" w:eastAsia="MS Mincho" w:hAnsi="Times New Roman" w:cs="Times New Roman"/>
          <w:sz w:val="28"/>
          <w:szCs w:val="28"/>
          <w:lang w:val="en-GB" w:eastAsia="ja-JP"/>
        </w:rPr>
        <w:t xml:space="preserve">The </w:t>
      </w:r>
      <w:r w:rsidR="007E59E9">
        <w:rPr>
          <w:rFonts w:ascii="Times New Roman" w:eastAsia="MS Mincho" w:hAnsi="Times New Roman" w:cs="Times New Roman"/>
          <w:sz w:val="28"/>
          <w:szCs w:val="28"/>
          <w:lang w:val="en-GB" w:eastAsia="ja-JP"/>
        </w:rPr>
        <w:t>responden</w:t>
      </w:r>
      <w:r w:rsidR="007B3AAF">
        <w:rPr>
          <w:rFonts w:ascii="Times New Roman" w:eastAsia="MS Mincho" w:hAnsi="Times New Roman" w:cs="Times New Roman"/>
          <w:sz w:val="28"/>
          <w:szCs w:val="28"/>
          <w:lang w:val="en-GB" w:eastAsia="ja-JP"/>
        </w:rPr>
        <w:t>ts state that the Court lacks jurisdiction to adjudicate t</w:t>
      </w:r>
      <w:r w:rsidR="002A7873">
        <w:rPr>
          <w:rFonts w:ascii="Times New Roman" w:eastAsia="MS Mincho" w:hAnsi="Times New Roman" w:cs="Times New Roman"/>
          <w:sz w:val="28"/>
          <w:szCs w:val="28"/>
          <w:lang w:val="en-GB" w:eastAsia="ja-JP"/>
        </w:rPr>
        <w:t xml:space="preserve">he application because of Clause </w:t>
      </w:r>
      <w:r w:rsidR="00003564">
        <w:rPr>
          <w:rFonts w:ascii="Times New Roman" w:eastAsia="MS Mincho" w:hAnsi="Times New Roman" w:cs="Times New Roman"/>
          <w:sz w:val="28"/>
          <w:szCs w:val="28"/>
          <w:lang w:val="en-GB" w:eastAsia="ja-JP"/>
        </w:rPr>
        <w:t>16</w:t>
      </w:r>
      <w:r w:rsidR="00065614">
        <w:rPr>
          <w:rFonts w:ascii="Times New Roman" w:eastAsia="MS Mincho" w:hAnsi="Times New Roman" w:cs="Times New Roman"/>
          <w:sz w:val="28"/>
          <w:szCs w:val="28"/>
          <w:lang w:val="en-GB" w:eastAsia="ja-JP"/>
        </w:rPr>
        <w:t>.2</w:t>
      </w:r>
      <w:r w:rsidR="00003564">
        <w:rPr>
          <w:rFonts w:ascii="Times New Roman" w:eastAsia="MS Mincho" w:hAnsi="Times New Roman" w:cs="Times New Roman"/>
          <w:sz w:val="28"/>
          <w:szCs w:val="28"/>
          <w:lang w:val="en-GB" w:eastAsia="ja-JP"/>
        </w:rPr>
        <w:t xml:space="preserve"> which states that</w:t>
      </w:r>
      <w:r w:rsidR="00B5081E">
        <w:rPr>
          <w:rFonts w:ascii="Times New Roman" w:eastAsia="MS Mincho" w:hAnsi="Times New Roman" w:cs="Times New Roman"/>
          <w:sz w:val="28"/>
          <w:szCs w:val="28"/>
          <w:lang w:val="en-GB" w:eastAsia="ja-JP"/>
        </w:rPr>
        <w:t>:</w:t>
      </w:r>
    </w:p>
    <w:p w14:paraId="5D1E1037" w14:textId="05ACE3E6" w:rsidR="00B5081E" w:rsidRPr="004A37A9" w:rsidRDefault="00B5081E" w:rsidP="00C14C4A">
      <w:pPr>
        <w:spacing w:after="200" w:line="360" w:lineRule="auto"/>
        <w:ind w:left="1440"/>
        <w:jc w:val="both"/>
        <w:rPr>
          <w:rFonts w:ascii="Times New Roman" w:eastAsia="MS Mincho" w:hAnsi="Times New Roman" w:cs="Times New Roman"/>
          <w:iCs/>
          <w:sz w:val="28"/>
          <w:szCs w:val="28"/>
          <w:lang w:val="en-GB" w:eastAsia="ja-JP"/>
        </w:rPr>
      </w:pPr>
      <w:r>
        <w:rPr>
          <w:rFonts w:ascii="Times New Roman" w:eastAsia="MS Mincho" w:hAnsi="Times New Roman" w:cs="Times New Roman"/>
          <w:sz w:val="28"/>
          <w:szCs w:val="28"/>
          <w:lang w:val="en-GB" w:eastAsia="ja-JP"/>
        </w:rPr>
        <w:lastRenderedPageBreak/>
        <w:t>“</w:t>
      </w:r>
      <w:r w:rsidR="00EB050C" w:rsidRPr="004A37A9">
        <w:rPr>
          <w:rFonts w:ascii="Times New Roman" w:hAnsi="Times New Roman" w:cs="Times New Roman"/>
          <w:sz w:val="24"/>
          <w:szCs w:val="24"/>
        </w:rPr>
        <w:t>Whatever</w:t>
      </w:r>
      <w:r w:rsidR="004A37A9" w:rsidRPr="004A37A9">
        <w:rPr>
          <w:rFonts w:ascii="Times New Roman" w:hAnsi="Times New Roman" w:cs="Times New Roman"/>
          <w:sz w:val="24"/>
          <w:szCs w:val="24"/>
        </w:rPr>
        <w:t xml:space="preserve"> </w:t>
      </w:r>
      <w:r w:rsidR="003732BE" w:rsidRPr="004A37A9">
        <w:rPr>
          <w:rFonts w:ascii="Times New Roman" w:hAnsi="Times New Roman" w:cs="Times New Roman"/>
          <w:sz w:val="24"/>
          <w:szCs w:val="24"/>
        </w:rPr>
        <w:t>the amount owing by the</w:t>
      </w:r>
      <w:r w:rsidR="00EB050C" w:rsidRPr="004A37A9">
        <w:rPr>
          <w:rFonts w:ascii="Times New Roman" w:hAnsi="Times New Roman" w:cs="Times New Roman"/>
          <w:sz w:val="24"/>
          <w:szCs w:val="24"/>
        </w:rPr>
        <w:t xml:space="preserve"> </w:t>
      </w:r>
      <w:r w:rsidR="003732BE" w:rsidRPr="004A37A9">
        <w:rPr>
          <w:rFonts w:ascii="Times New Roman" w:hAnsi="Times New Roman" w:cs="Times New Roman"/>
          <w:sz w:val="24"/>
          <w:szCs w:val="24"/>
        </w:rPr>
        <w:t>C</w:t>
      </w:r>
      <w:r w:rsidRPr="004A37A9">
        <w:rPr>
          <w:rFonts w:ascii="Times New Roman" w:hAnsi="Times New Roman" w:cs="Times New Roman"/>
          <w:sz w:val="24"/>
          <w:szCs w:val="24"/>
        </w:rPr>
        <w:t xml:space="preserve">ustomer </w:t>
      </w:r>
      <w:r w:rsidR="003732BE" w:rsidRPr="004A37A9">
        <w:rPr>
          <w:rFonts w:ascii="Times New Roman" w:hAnsi="Times New Roman" w:cs="Times New Roman"/>
          <w:sz w:val="24"/>
          <w:szCs w:val="24"/>
        </w:rPr>
        <w:t xml:space="preserve">(or any </w:t>
      </w:r>
      <w:r w:rsidR="00CE4163" w:rsidRPr="004A37A9">
        <w:rPr>
          <w:rFonts w:ascii="Times New Roman" w:hAnsi="Times New Roman" w:cs="Times New Roman"/>
          <w:sz w:val="24"/>
          <w:szCs w:val="24"/>
        </w:rPr>
        <w:t xml:space="preserve">surety of the Customer) </w:t>
      </w:r>
      <w:r w:rsidRPr="004A37A9">
        <w:rPr>
          <w:rFonts w:ascii="Times New Roman" w:hAnsi="Times New Roman" w:cs="Times New Roman"/>
          <w:sz w:val="24"/>
          <w:szCs w:val="24"/>
        </w:rPr>
        <w:t xml:space="preserve">to the </w:t>
      </w:r>
      <w:r w:rsidR="00CE4163" w:rsidRPr="004A37A9">
        <w:rPr>
          <w:rFonts w:ascii="Times New Roman" w:hAnsi="Times New Roman" w:cs="Times New Roman"/>
          <w:sz w:val="24"/>
          <w:szCs w:val="24"/>
        </w:rPr>
        <w:t>C</w:t>
      </w:r>
      <w:r w:rsidRPr="004A37A9">
        <w:rPr>
          <w:rFonts w:ascii="Times New Roman" w:hAnsi="Times New Roman" w:cs="Times New Roman"/>
          <w:sz w:val="24"/>
          <w:szCs w:val="24"/>
        </w:rPr>
        <w:t>ompany, the parties consent</w:t>
      </w:r>
      <w:r w:rsidR="00963421" w:rsidRPr="004A37A9">
        <w:rPr>
          <w:rFonts w:ascii="Times New Roman" w:hAnsi="Times New Roman" w:cs="Times New Roman"/>
          <w:sz w:val="24"/>
          <w:szCs w:val="24"/>
        </w:rPr>
        <w:t>,</w:t>
      </w:r>
      <w:r w:rsidRPr="004A37A9">
        <w:rPr>
          <w:rFonts w:ascii="Times New Roman" w:hAnsi="Times New Roman" w:cs="Times New Roman"/>
          <w:sz w:val="24"/>
          <w:szCs w:val="24"/>
        </w:rPr>
        <w:t xml:space="preserve"> in terms of section 45 of the Magistrate Courts Act 32 of 1944 to the jurisdiction of the Magistrate court having jurisdiction, for the</w:t>
      </w:r>
      <w:r w:rsidRPr="004A37A9">
        <w:rPr>
          <w:rFonts w:ascii="Times New Roman" w:hAnsi="Times New Roman" w:cs="Times New Roman"/>
          <w:sz w:val="28"/>
          <w:szCs w:val="28"/>
        </w:rPr>
        <w:t xml:space="preserve"> </w:t>
      </w:r>
      <w:r w:rsidRPr="004A37A9">
        <w:rPr>
          <w:rFonts w:ascii="Times New Roman" w:hAnsi="Times New Roman" w:cs="Times New Roman"/>
          <w:sz w:val="24"/>
          <w:szCs w:val="24"/>
        </w:rPr>
        <w:t xml:space="preserve">determination of any action on proceedings otherwise beyond the jurisdiction of the court which may be brought by the </w:t>
      </w:r>
      <w:r w:rsidR="00655730" w:rsidRPr="004A37A9">
        <w:rPr>
          <w:rFonts w:ascii="Times New Roman" w:hAnsi="Times New Roman" w:cs="Times New Roman"/>
          <w:sz w:val="24"/>
          <w:szCs w:val="24"/>
        </w:rPr>
        <w:t>C</w:t>
      </w:r>
      <w:r w:rsidRPr="004A37A9">
        <w:rPr>
          <w:rFonts w:ascii="Times New Roman" w:hAnsi="Times New Roman" w:cs="Times New Roman"/>
          <w:sz w:val="24"/>
          <w:szCs w:val="24"/>
        </w:rPr>
        <w:t xml:space="preserve">ompany against the </w:t>
      </w:r>
      <w:r w:rsidR="00655730" w:rsidRPr="004A37A9">
        <w:rPr>
          <w:rFonts w:ascii="Times New Roman" w:hAnsi="Times New Roman" w:cs="Times New Roman"/>
          <w:sz w:val="24"/>
          <w:szCs w:val="24"/>
        </w:rPr>
        <w:t>C</w:t>
      </w:r>
      <w:r w:rsidRPr="004A37A9">
        <w:rPr>
          <w:rFonts w:ascii="Times New Roman" w:hAnsi="Times New Roman" w:cs="Times New Roman"/>
          <w:sz w:val="24"/>
          <w:szCs w:val="24"/>
        </w:rPr>
        <w:t xml:space="preserve">ustomer arising out of the transaction between the parties, it being recorded that the </w:t>
      </w:r>
      <w:r w:rsidR="005D7177" w:rsidRPr="004A37A9">
        <w:rPr>
          <w:rFonts w:ascii="Times New Roman" w:hAnsi="Times New Roman" w:cs="Times New Roman"/>
          <w:sz w:val="24"/>
          <w:szCs w:val="24"/>
        </w:rPr>
        <w:t>C</w:t>
      </w:r>
      <w:r w:rsidRPr="004A37A9">
        <w:rPr>
          <w:rFonts w:ascii="Times New Roman" w:hAnsi="Times New Roman" w:cs="Times New Roman"/>
          <w:sz w:val="24"/>
          <w:szCs w:val="24"/>
        </w:rPr>
        <w:t>ompany shall be entitled but not obliged</w:t>
      </w:r>
      <w:r w:rsidR="006831D7" w:rsidRPr="004A37A9">
        <w:rPr>
          <w:rFonts w:ascii="Times New Roman" w:hAnsi="Times New Roman" w:cs="Times New Roman"/>
          <w:sz w:val="24"/>
          <w:szCs w:val="24"/>
        </w:rPr>
        <w:t>, to bring any action</w:t>
      </w:r>
      <w:r w:rsidR="004A37A9" w:rsidRPr="004A37A9">
        <w:rPr>
          <w:rFonts w:ascii="Times New Roman" w:hAnsi="Times New Roman" w:cs="Times New Roman"/>
          <w:sz w:val="24"/>
          <w:szCs w:val="24"/>
        </w:rPr>
        <w:t xml:space="preserve"> in the said court</w:t>
      </w:r>
      <w:r w:rsidR="004A37A9" w:rsidRPr="004A37A9">
        <w:rPr>
          <w:rFonts w:ascii="Times New Roman" w:hAnsi="Times New Roman" w:cs="Times New Roman"/>
          <w:sz w:val="28"/>
          <w:szCs w:val="28"/>
        </w:rPr>
        <w:t>.”</w:t>
      </w:r>
    </w:p>
    <w:p w14:paraId="1B7176C6" w14:textId="22B85213" w:rsidR="00301929" w:rsidRDefault="00CC464E" w:rsidP="00C14C4A">
      <w:pPr>
        <w:spacing w:after="200" w:line="360" w:lineRule="auto"/>
        <w:ind w:left="720" w:hanging="720"/>
        <w:jc w:val="both"/>
        <w:rPr>
          <w:rFonts w:ascii="Times New Roman" w:hAnsi="Times New Roman" w:cs="Times New Roman"/>
          <w:sz w:val="28"/>
          <w:szCs w:val="28"/>
        </w:rPr>
      </w:pPr>
      <w:r w:rsidRPr="008A779E">
        <w:rPr>
          <w:rFonts w:ascii="Times New Roman" w:eastAsia="MS Mincho" w:hAnsi="Times New Roman" w:cs="Times New Roman"/>
          <w:sz w:val="28"/>
          <w:szCs w:val="28"/>
          <w:lang w:val="en-GB" w:eastAsia="ja-JP"/>
        </w:rPr>
        <w:t>[</w:t>
      </w:r>
      <w:r w:rsidR="00C64EC4">
        <w:rPr>
          <w:rFonts w:ascii="Times New Roman" w:eastAsia="MS Mincho" w:hAnsi="Times New Roman" w:cs="Times New Roman"/>
          <w:sz w:val="28"/>
          <w:szCs w:val="28"/>
          <w:lang w:val="en-GB" w:eastAsia="ja-JP"/>
        </w:rPr>
        <w:t>10</w:t>
      </w:r>
      <w:r w:rsidRPr="008A779E">
        <w:rPr>
          <w:rFonts w:ascii="Times New Roman" w:eastAsia="MS Mincho" w:hAnsi="Times New Roman" w:cs="Times New Roman"/>
          <w:sz w:val="28"/>
          <w:szCs w:val="28"/>
          <w:lang w:val="en-GB" w:eastAsia="ja-JP"/>
        </w:rPr>
        <w:t xml:space="preserve">] </w:t>
      </w:r>
      <w:r w:rsidRPr="008A779E">
        <w:rPr>
          <w:rFonts w:ascii="Times New Roman" w:eastAsia="MS Mincho" w:hAnsi="Times New Roman" w:cs="Times New Roman"/>
          <w:sz w:val="28"/>
          <w:szCs w:val="28"/>
          <w:lang w:val="en-GB" w:eastAsia="ja-JP"/>
        </w:rPr>
        <w:tab/>
      </w:r>
      <w:r w:rsidR="00180E19">
        <w:rPr>
          <w:rFonts w:ascii="Times New Roman" w:eastAsia="MS Mincho" w:hAnsi="Times New Roman" w:cs="Times New Roman"/>
          <w:sz w:val="28"/>
          <w:szCs w:val="28"/>
          <w:lang w:val="en-GB" w:eastAsia="ja-JP"/>
        </w:rPr>
        <w:t xml:space="preserve">The difficulty that the respondents have with this point in </w:t>
      </w:r>
      <w:proofErr w:type="spellStart"/>
      <w:r w:rsidR="00180E19">
        <w:rPr>
          <w:rFonts w:ascii="Times New Roman" w:eastAsia="MS Mincho" w:hAnsi="Times New Roman" w:cs="Times New Roman"/>
          <w:sz w:val="28"/>
          <w:szCs w:val="28"/>
          <w:lang w:val="en-GB" w:eastAsia="ja-JP"/>
        </w:rPr>
        <w:t>limine</w:t>
      </w:r>
      <w:proofErr w:type="spellEnd"/>
      <w:r w:rsidR="00180E19">
        <w:rPr>
          <w:rFonts w:ascii="Times New Roman" w:eastAsia="MS Mincho" w:hAnsi="Times New Roman" w:cs="Times New Roman"/>
          <w:sz w:val="28"/>
          <w:szCs w:val="28"/>
          <w:lang w:val="en-GB" w:eastAsia="ja-JP"/>
        </w:rPr>
        <w:t xml:space="preserve"> is that Rio</w:t>
      </w:r>
      <w:r w:rsidR="00EB162A">
        <w:rPr>
          <w:rFonts w:ascii="Times New Roman" w:eastAsia="MS Mincho" w:hAnsi="Times New Roman" w:cs="Times New Roman"/>
          <w:sz w:val="28"/>
          <w:szCs w:val="28"/>
          <w:lang w:val="en-GB" w:eastAsia="ja-JP"/>
        </w:rPr>
        <w:t>rdan has a choice whether to bring the action in the Magistrate’s Court or this Court. This view is fortified by the use of the words</w:t>
      </w:r>
      <w:r w:rsidR="00301929">
        <w:rPr>
          <w:rFonts w:ascii="Times New Roman" w:eastAsia="MS Mincho" w:hAnsi="Times New Roman" w:cs="Times New Roman"/>
          <w:sz w:val="28"/>
          <w:szCs w:val="28"/>
          <w:lang w:val="en-GB" w:eastAsia="ja-JP"/>
        </w:rPr>
        <w:t xml:space="preserve"> “</w:t>
      </w:r>
      <w:r w:rsidR="00301929" w:rsidRPr="004A37A9">
        <w:rPr>
          <w:rFonts w:ascii="Times New Roman" w:hAnsi="Times New Roman" w:cs="Times New Roman"/>
          <w:sz w:val="24"/>
          <w:szCs w:val="24"/>
        </w:rPr>
        <w:t xml:space="preserve">it being </w:t>
      </w:r>
      <w:r w:rsidR="00301929" w:rsidRPr="00301929">
        <w:rPr>
          <w:rFonts w:ascii="Times New Roman" w:hAnsi="Times New Roman" w:cs="Times New Roman"/>
          <w:b/>
          <w:bCs/>
          <w:sz w:val="24"/>
          <w:szCs w:val="24"/>
        </w:rPr>
        <w:t>recorded that the Company shall be entitled but not obliged, to bring any action in the said cour</w:t>
      </w:r>
      <w:r w:rsidR="00930440" w:rsidRPr="00930440">
        <w:rPr>
          <w:rFonts w:ascii="Times New Roman" w:hAnsi="Times New Roman" w:cs="Times New Roman"/>
          <w:b/>
          <w:bCs/>
          <w:sz w:val="24"/>
          <w:szCs w:val="24"/>
        </w:rPr>
        <w:t>t</w:t>
      </w:r>
      <w:r w:rsidR="00301929" w:rsidRPr="004A37A9">
        <w:rPr>
          <w:rFonts w:ascii="Times New Roman" w:hAnsi="Times New Roman" w:cs="Times New Roman"/>
          <w:sz w:val="28"/>
          <w:szCs w:val="28"/>
        </w:rPr>
        <w:t>”</w:t>
      </w:r>
      <w:r w:rsidR="00930440">
        <w:rPr>
          <w:rFonts w:ascii="Times New Roman" w:hAnsi="Times New Roman" w:cs="Times New Roman"/>
          <w:sz w:val="28"/>
          <w:szCs w:val="28"/>
        </w:rPr>
        <w:t xml:space="preserve"> which means that </w:t>
      </w:r>
      <w:r w:rsidR="00F42057">
        <w:rPr>
          <w:rFonts w:ascii="Times New Roman" w:hAnsi="Times New Roman" w:cs="Times New Roman"/>
          <w:sz w:val="28"/>
          <w:szCs w:val="28"/>
        </w:rPr>
        <w:t xml:space="preserve">Riordan is within its right to bring the application to this Court. Accordingly, the </w:t>
      </w:r>
      <w:r w:rsidR="00CE2E2D">
        <w:rPr>
          <w:rFonts w:ascii="Times New Roman" w:hAnsi="Times New Roman" w:cs="Times New Roman"/>
          <w:sz w:val="28"/>
          <w:szCs w:val="28"/>
        </w:rPr>
        <w:t xml:space="preserve">lack of jurisdiction as a point </w:t>
      </w:r>
      <w:r w:rsidR="00CE2E2D" w:rsidRPr="00CE2E2D">
        <w:rPr>
          <w:rFonts w:ascii="Times New Roman" w:hAnsi="Times New Roman" w:cs="Times New Roman"/>
          <w:i/>
          <w:iCs/>
          <w:sz w:val="28"/>
          <w:szCs w:val="28"/>
        </w:rPr>
        <w:t xml:space="preserve">in </w:t>
      </w:r>
      <w:proofErr w:type="spellStart"/>
      <w:r w:rsidR="00CE2E2D" w:rsidRPr="00CE2E2D">
        <w:rPr>
          <w:rFonts w:ascii="Times New Roman" w:hAnsi="Times New Roman" w:cs="Times New Roman"/>
          <w:i/>
          <w:iCs/>
          <w:sz w:val="28"/>
          <w:szCs w:val="28"/>
        </w:rPr>
        <w:t>limine</w:t>
      </w:r>
      <w:proofErr w:type="spellEnd"/>
      <w:r w:rsidR="00CE2E2D">
        <w:rPr>
          <w:rFonts w:ascii="Times New Roman" w:hAnsi="Times New Roman" w:cs="Times New Roman"/>
          <w:sz w:val="28"/>
          <w:szCs w:val="28"/>
        </w:rPr>
        <w:t xml:space="preserve"> has no merit.</w:t>
      </w:r>
    </w:p>
    <w:p w14:paraId="710A5D06" w14:textId="77777777" w:rsidR="00DF2BB6" w:rsidRDefault="00DF2BB6" w:rsidP="00301929">
      <w:pPr>
        <w:spacing w:after="200" w:line="480" w:lineRule="auto"/>
        <w:ind w:left="720" w:hanging="720"/>
        <w:jc w:val="both"/>
        <w:rPr>
          <w:rFonts w:ascii="Times New Roman" w:hAnsi="Times New Roman" w:cs="Times New Roman"/>
          <w:i/>
          <w:iCs/>
          <w:sz w:val="28"/>
          <w:szCs w:val="28"/>
        </w:rPr>
      </w:pPr>
    </w:p>
    <w:p w14:paraId="21CD31A8" w14:textId="54AFA2EE" w:rsidR="00C73577" w:rsidRPr="00C73577" w:rsidRDefault="00C73577" w:rsidP="00301929">
      <w:pPr>
        <w:spacing w:after="200" w:line="480" w:lineRule="auto"/>
        <w:ind w:left="720" w:hanging="720"/>
        <w:jc w:val="both"/>
        <w:rPr>
          <w:rFonts w:ascii="Times New Roman" w:eastAsia="MS Mincho" w:hAnsi="Times New Roman" w:cs="Times New Roman"/>
          <w:i/>
          <w:iCs/>
          <w:sz w:val="28"/>
          <w:szCs w:val="28"/>
          <w:lang w:val="en-GB" w:eastAsia="ja-JP"/>
        </w:rPr>
      </w:pPr>
      <w:r w:rsidRPr="00C73577">
        <w:rPr>
          <w:rFonts w:ascii="Times New Roman" w:hAnsi="Times New Roman" w:cs="Times New Roman"/>
          <w:i/>
          <w:iCs/>
          <w:sz w:val="28"/>
          <w:szCs w:val="28"/>
        </w:rPr>
        <w:t>Force Majeure</w:t>
      </w:r>
    </w:p>
    <w:p w14:paraId="6C3DF6B7" w14:textId="2FB30EB7" w:rsidR="00CC464E" w:rsidRDefault="00CC464E" w:rsidP="00C14C4A">
      <w:pPr>
        <w:spacing w:after="200" w:line="360" w:lineRule="auto"/>
        <w:ind w:left="720" w:hanging="720"/>
        <w:jc w:val="both"/>
        <w:rPr>
          <w:rFonts w:ascii="Times New Roman" w:eastAsia="MS Mincho" w:hAnsi="Times New Roman" w:cs="Times New Roman"/>
          <w:sz w:val="28"/>
          <w:szCs w:val="28"/>
          <w:lang w:val="en-GB" w:eastAsia="ja-JP"/>
        </w:rPr>
      </w:pPr>
      <w:r w:rsidRPr="008A779E">
        <w:rPr>
          <w:rFonts w:ascii="Times New Roman" w:eastAsia="MS Mincho" w:hAnsi="Times New Roman" w:cs="Times New Roman"/>
          <w:sz w:val="28"/>
          <w:szCs w:val="28"/>
          <w:lang w:val="en-GB" w:eastAsia="ja-JP"/>
        </w:rPr>
        <w:t>[1</w:t>
      </w:r>
      <w:r w:rsidR="00C64EC4">
        <w:rPr>
          <w:rFonts w:ascii="Times New Roman" w:eastAsia="MS Mincho" w:hAnsi="Times New Roman" w:cs="Times New Roman"/>
          <w:sz w:val="28"/>
          <w:szCs w:val="28"/>
          <w:lang w:val="en-GB" w:eastAsia="ja-JP"/>
        </w:rPr>
        <w:t>1</w:t>
      </w:r>
      <w:r w:rsidRPr="008A779E">
        <w:rPr>
          <w:rFonts w:ascii="Times New Roman" w:eastAsia="MS Mincho" w:hAnsi="Times New Roman" w:cs="Times New Roman"/>
          <w:sz w:val="28"/>
          <w:szCs w:val="28"/>
          <w:lang w:val="en-GB" w:eastAsia="ja-JP"/>
        </w:rPr>
        <w:t xml:space="preserve">] </w:t>
      </w:r>
      <w:r w:rsidRPr="008A779E">
        <w:rPr>
          <w:rFonts w:ascii="Times New Roman" w:eastAsia="MS Mincho" w:hAnsi="Times New Roman" w:cs="Times New Roman"/>
          <w:sz w:val="28"/>
          <w:szCs w:val="28"/>
          <w:lang w:val="en-GB" w:eastAsia="ja-JP"/>
        </w:rPr>
        <w:tab/>
      </w:r>
      <w:r w:rsidR="00C73577">
        <w:rPr>
          <w:rFonts w:ascii="Times New Roman" w:eastAsia="MS Mincho" w:hAnsi="Times New Roman" w:cs="Times New Roman"/>
          <w:sz w:val="28"/>
          <w:szCs w:val="28"/>
          <w:lang w:val="en-GB" w:eastAsia="ja-JP"/>
        </w:rPr>
        <w:t xml:space="preserve">Another point to consider is the point raised </w:t>
      </w:r>
      <w:r w:rsidR="0014051B">
        <w:rPr>
          <w:rFonts w:ascii="Times New Roman" w:eastAsia="MS Mincho" w:hAnsi="Times New Roman" w:cs="Times New Roman"/>
          <w:sz w:val="28"/>
          <w:szCs w:val="28"/>
          <w:lang w:val="en-GB" w:eastAsia="ja-JP"/>
        </w:rPr>
        <w:t xml:space="preserve">about the lock down due to </w:t>
      </w:r>
      <w:r w:rsidR="002E540B">
        <w:rPr>
          <w:rFonts w:ascii="Times New Roman" w:eastAsia="MS Mincho" w:hAnsi="Times New Roman" w:cs="Times New Roman"/>
          <w:sz w:val="28"/>
          <w:szCs w:val="28"/>
          <w:lang w:val="en-GB" w:eastAsia="ja-JP"/>
        </w:rPr>
        <w:t xml:space="preserve">Covid-19 as a </w:t>
      </w:r>
      <w:r w:rsidR="002E540B" w:rsidRPr="002E540B">
        <w:rPr>
          <w:rFonts w:ascii="Times New Roman" w:eastAsia="MS Mincho" w:hAnsi="Times New Roman" w:cs="Times New Roman"/>
          <w:i/>
          <w:iCs/>
          <w:sz w:val="28"/>
          <w:szCs w:val="28"/>
          <w:lang w:val="en-GB" w:eastAsia="ja-JP"/>
        </w:rPr>
        <w:t>Force Majeure</w:t>
      </w:r>
      <w:r w:rsidR="002E540B">
        <w:rPr>
          <w:rFonts w:ascii="Times New Roman" w:eastAsia="MS Mincho" w:hAnsi="Times New Roman" w:cs="Times New Roman"/>
          <w:i/>
          <w:iCs/>
          <w:sz w:val="28"/>
          <w:szCs w:val="28"/>
          <w:lang w:val="en-GB" w:eastAsia="ja-JP"/>
        </w:rPr>
        <w:t xml:space="preserve">. </w:t>
      </w:r>
      <w:r w:rsidR="008F3009">
        <w:rPr>
          <w:rFonts w:ascii="Times New Roman" w:eastAsia="MS Mincho" w:hAnsi="Times New Roman" w:cs="Times New Roman"/>
          <w:sz w:val="28"/>
          <w:szCs w:val="28"/>
          <w:lang w:val="en-GB" w:eastAsia="ja-JP"/>
        </w:rPr>
        <w:t xml:space="preserve">The respondents base their point due to the Clause </w:t>
      </w:r>
      <w:r w:rsidR="00950ADE">
        <w:rPr>
          <w:rFonts w:ascii="Times New Roman" w:eastAsia="MS Mincho" w:hAnsi="Times New Roman" w:cs="Times New Roman"/>
          <w:sz w:val="28"/>
          <w:szCs w:val="28"/>
          <w:lang w:val="en-GB" w:eastAsia="ja-JP"/>
        </w:rPr>
        <w:t>18 of the agreement which states that:</w:t>
      </w:r>
    </w:p>
    <w:p w14:paraId="3DF72AB5" w14:textId="04206FFE" w:rsidR="00950ADE" w:rsidRPr="00426BF8" w:rsidRDefault="00950ADE" w:rsidP="00C14C4A">
      <w:pPr>
        <w:spacing w:after="200" w:line="360" w:lineRule="auto"/>
        <w:ind w:left="1440"/>
        <w:jc w:val="both"/>
        <w:rPr>
          <w:rFonts w:ascii="Times New Roman" w:eastAsia="MS Mincho" w:hAnsi="Times New Roman" w:cs="Times New Roman"/>
          <w:sz w:val="28"/>
          <w:szCs w:val="28"/>
          <w:lang w:val="en-GB" w:eastAsia="ja-JP"/>
        </w:rPr>
      </w:pPr>
      <w:r>
        <w:rPr>
          <w:rFonts w:ascii="Times New Roman" w:eastAsia="MS Mincho" w:hAnsi="Times New Roman" w:cs="Times New Roman"/>
          <w:sz w:val="28"/>
          <w:szCs w:val="28"/>
          <w:lang w:val="en-GB" w:eastAsia="ja-JP"/>
        </w:rPr>
        <w:t>“</w:t>
      </w:r>
      <w:r w:rsidR="004347E2" w:rsidRPr="003B741A">
        <w:rPr>
          <w:rFonts w:ascii="Times New Roman" w:eastAsia="MS Mincho" w:hAnsi="Times New Roman" w:cs="Times New Roman"/>
          <w:sz w:val="24"/>
          <w:szCs w:val="24"/>
          <w:lang w:val="en-GB" w:eastAsia="ja-JP"/>
        </w:rPr>
        <w:t xml:space="preserve">No failure by either party to perform in accordance with </w:t>
      </w:r>
      <w:r w:rsidR="004F2CFB" w:rsidRPr="003B741A">
        <w:rPr>
          <w:rFonts w:ascii="Times New Roman" w:eastAsia="MS Mincho" w:hAnsi="Times New Roman" w:cs="Times New Roman"/>
          <w:sz w:val="24"/>
          <w:szCs w:val="24"/>
          <w:lang w:val="en-GB" w:eastAsia="ja-JP"/>
        </w:rPr>
        <w:t xml:space="preserve">any provision of this agreement shall </w:t>
      </w:r>
      <w:r w:rsidR="00AE17CA" w:rsidRPr="003B741A">
        <w:rPr>
          <w:rFonts w:ascii="Times New Roman" w:eastAsia="MS Mincho" w:hAnsi="Times New Roman" w:cs="Times New Roman"/>
          <w:sz w:val="24"/>
          <w:szCs w:val="24"/>
          <w:lang w:val="en-GB" w:eastAsia="ja-JP"/>
        </w:rPr>
        <w:t xml:space="preserve">constitute a breach of this agreement </w:t>
      </w:r>
      <w:r w:rsidR="001F3F68" w:rsidRPr="003B741A">
        <w:rPr>
          <w:rFonts w:ascii="Times New Roman" w:eastAsia="MS Mincho" w:hAnsi="Times New Roman" w:cs="Times New Roman"/>
          <w:sz w:val="24"/>
          <w:szCs w:val="24"/>
          <w:lang w:val="en-GB" w:eastAsia="ja-JP"/>
        </w:rPr>
        <w:t>if the failure arose as a result of</w:t>
      </w:r>
      <w:r w:rsidR="001F3F68" w:rsidRPr="003B741A">
        <w:rPr>
          <w:rFonts w:ascii="Times New Roman" w:eastAsia="MS Mincho" w:hAnsi="Times New Roman" w:cs="Times New Roman"/>
          <w:i/>
          <w:iCs/>
          <w:sz w:val="24"/>
          <w:szCs w:val="24"/>
          <w:lang w:val="en-GB" w:eastAsia="ja-JP"/>
        </w:rPr>
        <w:t xml:space="preserve"> </w:t>
      </w:r>
      <w:r w:rsidR="00426BF8" w:rsidRPr="003B741A">
        <w:rPr>
          <w:rFonts w:ascii="Times New Roman" w:eastAsia="MS Mincho" w:hAnsi="Times New Roman" w:cs="Times New Roman"/>
          <w:i/>
          <w:iCs/>
          <w:sz w:val="24"/>
          <w:szCs w:val="24"/>
          <w:lang w:val="en-GB" w:eastAsia="ja-JP"/>
        </w:rPr>
        <w:t>force majeure</w:t>
      </w:r>
      <w:r w:rsidR="000F4A55" w:rsidRPr="003B741A">
        <w:rPr>
          <w:rFonts w:ascii="Times New Roman" w:eastAsia="MS Mincho" w:hAnsi="Times New Roman" w:cs="Times New Roman"/>
          <w:sz w:val="24"/>
          <w:szCs w:val="24"/>
          <w:lang w:val="en-GB" w:eastAsia="ja-JP"/>
        </w:rPr>
        <w:t>, including acts of god, war, strike</w:t>
      </w:r>
      <w:r w:rsidR="00E10634" w:rsidRPr="003B741A">
        <w:rPr>
          <w:rFonts w:ascii="Times New Roman" w:eastAsia="MS Mincho" w:hAnsi="Times New Roman" w:cs="Times New Roman"/>
          <w:sz w:val="24"/>
          <w:szCs w:val="24"/>
          <w:lang w:val="en-GB" w:eastAsia="ja-JP"/>
        </w:rPr>
        <w:t xml:space="preserve"> or changes in law</w:t>
      </w:r>
      <w:r w:rsidR="00E64EA1" w:rsidRPr="003B741A">
        <w:rPr>
          <w:rFonts w:ascii="Times New Roman" w:eastAsia="MS Mincho" w:hAnsi="Times New Roman" w:cs="Times New Roman"/>
          <w:sz w:val="24"/>
          <w:szCs w:val="24"/>
          <w:lang w:val="en-GB" w:eastAsia="ja-JP"/>
        </w:rPr>
        <w:t>s, regulations or ordinance</w:t>
      </w:r>
      <w:r w:rsidR="00653469" w:rsidRPr="003B741A">
        <w:rPr>
          <w:rFonts w:ascii="Times New Roman" w:eastAsia="MS Mincho" w:hAnsi="Times New Roman" w:cs="Times New Roman"/>
          <w:sz w:val="24"/>
          <w:szCs w:val="24"/>
          <w:lang w:val="en-GB" w:eastAsia="ja-JP"/>
        </w:rPr>
        <w:t xml:space="preserve"> or the like made by a competent authority</w:t>
      </w:r>
      <w:r w:rsidR="003B741A" w:rsidRPr="003B741A">
        <w:rPr>
          <w:rFonts w:ascii="Times New Roman" w:eastAsia="MS Mincho" w:hAnsi="Times New Roman" w:cs="Times New Roman"/>
          <w:sz w:val="24"/>
          <w:szCs w:val="24"/>
          <w:lang w:val="en-GB" w:eastAsia="ja-JP"/>
        </w:rPr>
        <w:t xml:space="preserve"> or other circumstances outside the control of the parties</w:t>
      </w:r>
      <w:r w:rsidR="003B741A">
        <w:rPr>
          <w:rFonts w:ascii="Times New Roman" w:eastAsia="MS Mincho" w:hAnsi="Times New Roman" w:cs="Times New Roman"/>
          <w:sz w:val="28"/>
          <w:szCs w:val="28"/>
          <w:lang w:val="en-GB" w:eastAsia="ja-JP"/>
        </w:rPr>
        <w:t>.”</w:t>
      </w:r>
      <w:r w:rsidR="009772A9">
        <w:rPr>
          <w:rFonts w:ascii="Times New Roman" w:eastAsia="MS Mincho" w:hAnsi="Times New Roman" w:cs="Times New Roman"/>
          <w:sz w:val="28"/>
          <w:szCs w:val="28"/>
          <w:lang w:val="en-GB" w:eastAsia="ja-JP"/>
        </w:rPr>
        <w:t xml:space="preserve"> </w:t>
      </w:r>
    </w:p>
    <w:p w14:paraId="393A45E9" w14:textId="56B5E282" w:rsidR="00CC464E" w:rsidRPr="008A779E" w:rsidRDefault="00CC464E" w:rsidP="00C14C4A">
      <w:pPr>
        <w:suppressAutoHyphens/>
        <w:spacing w:before="320" w:after="320" w:line="360" w:lineRule="auto"/>
        <w:ind w:left="567" w:hanging="567"/>
        <w:jc w:val="both"/>
        <w:outlineLvl w:val="0"/>
        <w:rPr>
          <w:rFonts w:ascii="Times New Roman" w:eastAsia="Times New Roman" w:hAnsi="Times New Roman" w:cs="Times New Roman"/>
          <w:bCs/>
          <w:sz w:val="28"/>
          <w:szCs w:val="28"/>
          <w:lang w:val="en-US"/>
        </w:rPr>
      </w:pPr>
      <w:r w:rsidRPr="008A779E">
        <w:rPr>
          <w:rFonts w:ascii="Times New Roman" w:eastAsia="Times New Roman" w:hAnsi="Times New Roman" w:cs="Times New Roman"/>
          <w:bCs/>
          <w:sz w:val="28"/>
          <w:szCs w:val="28"/>
          <w:lang w:val="en-US"/>
        </w:rPr>
        <w:t>[1</w:t>
      </w:r>
      <w:r w:rsidR="00C64EC4">
        <w:rPr>
          <w:rFonts w:ascii="Times New Roman" w:eastAsia="Times New Roman" w:hAnsi="Times New Roman" w:cs="Times New Roman"/>
          <w:bCs/>
          <w:sz w:val="28"/>
          <w:szCs w:val="28"/>
          <w:lang w:val="en-US"/>
        </w:rPr>
        <w:t>2</w:t>
      </w:r>
      <w:r w:rsidRPr="008A779E">
        <w:rPr>
          <w:rFonts w:ascii="Times New Roman" w:eastAsia="Times New Roman" w:hAnsi="Times New Roman" w:cs="Times New Roman"/>
          <w:bCs/>
          <w:sz w:val="28"/>
          <w:szCs w:val="28"/>
          <w:lang w:val="en-US"/>
        </w:rPr>
        <w:t xml:space="preserve">] </w:t>
      </w:r>
      <w:r w:rsidRPr="008A779E">
        <w:rPr>
          <w:rFonts w:ascii="Times New Roman" w:eastAsia="Times New Roman" w:hAnsi="Times New Roman" w:cs="Times New Roman"/>
          <w:bCs/>
          <w:sz w:val="28"/>
          <w:szCs w:val="28"/>
          <w:lang w:val="en-US"/>
        </w:rPr>
        <w:tab/>
      </w:r>
      <w:r w:rsidR="0058705A">
        <w:rPr>
          <w:rFonts w:ascii="Times New Roman" w:eastAsia="Times New Roman" w:hAnsi="Times New Roman" w:cs="Times New Roman"/>
          <w:bCs/>
          <w:sz w:val="28"/>
          <w:szCs w:val="28"/>
          <w:lang w:val="en-US"/>
        </w:rPr>
        <w:t>The respondents contends that early 2020,</w:t>
      </w:r>
      <w:r w:rsidR="00DF2BB6">
        <w:rPr>
          <w:rFonts w:ascii="Times New Roman" w:eastAsia="Times New Roman" w:hAnsi="Times New Roman" w:cs="Times New Roman"/>
          <w:bCs/>
          <w:sz w:val="28"/>
          <w:szCs w:val="28"/>
          <w:lang w:val="en-US"/>
        </w:rPr>
        <w:t xml:space="preserve"> </w:t>
      </w:r>
      <w:r w:rsidR="0058705A">
        <w:rPr>
          <w:rFonts w:ascii="Times New Roman" w:eastAsia="Times New Roman" w:hAnsi="Times New Roman" w:cs="Times New Roman"/>
          <w:bCs/>
          <w:sz w:val="28"/>
          <w:szCs w:val="28"/>
          <w:lang w:val="en-US"/>
        </w:rPr>
        <w:t xml:space="preserve">the country was under lockdown due to Covid-19 and as a result they could not fulfil their payment </w:t>
      </w:r>
      <w:r w:rsidR="0058705A">
        <w:rPr>
          <w:rFonts w:ascii="Times New Roman" w:eastAsia="Times New Roman" w:hAnsi="Times New Roman" w:cs="Times New Roman"/>
          <w:bCs/>
          <w:sz w:val="28"/>
          <w:szCs w:val="28"/>
          <w:lang w:val="en-US"/>
        </w:rPr>
        <w:lastRenderedPageBreak/>
        <w:t>obligations</w:t>
      </w:r>
      <w:r w:rsidR="00491389">
        <w:rPr>
          <w:rFonts w:ascii="Times New Roman" w:eastAsia="Times New Roman" w:hAnsi="Times New Roman" w:cs="Times New Roman"/>
          <w:bCs/>
          <w:sz w:val="28"/>
          <w:szCs w:val="28"/>
          <w:lang w:val="en-US"/>
        </w:rPr>
        <w:t xml:space="preserve"> because </w:t>
      </w:r>
      <w:r w:rsidR="00D71F20">
        <w:rPr>
          <w:rFonts w:ascii="Times New Roman" w:eastAsia="Times New Roman" w:hAnsi="Times New Roman" w:cs="Times New Roman"/>
          <w:bCs/>
          <w:sz w:val="28"/>
          <w:szCs w:val="28"/>
          <w:lang w:val="en-US"/>
        </w:rPr>
        <w:t>VTT could not trade.</w:t>
      </w:r>
      <w:r w:rsidR="00D7349E">
        <w:rPr>
          <w:rFonts w:ascii="Times New Roman" w:eastAsia="Times New Roman" w:hAnsi="Times New Roman" w:cs="Times New Roman"/>
          <w:bCs/>
          <w:sz w:val="28"/>
          <w:szCs w:val="28"/>
          <w:lang w:val="en-US"/>
        </w:rPr>
        <w:t xml:space="preserve"> It is not clear from the </w:t>
      </w:r>
      <w:r w:rsidR="006F18CE">
        <w:rPr>
          <w:rFonts w:ascii="Times New Roman" w:eastAsia="Times New Roman" w:hAnsi="Times New Roman" w:cs="Times New Roman"/>
          <w:bCs/>
          <w:sz w:val="28"/>
          <w:szCs w:val="28"/>
          <w:lang w:val="en-US"/>
        </w:rPr>
        <w:t xml:space="preserve">opposing affidavit how long could VTT not trade and what industry was it </w:t>
      </w:r>
      <w:r w:rsidR="007D2B4C">
        <w:rPr>
          <w:rFonts w:ascii="Times New Roman" w:eastAsia="Times New Roman" w:hAnsi="Times New Roman" w:cs="Times New Roman"/>
          <w:bCs/>
          <w:sz w:val="28"/>
          <w:szCs w:val="28"/>
          <w:lang w:val="en-US"/>
        </w:rPr>
        <w:t>under.</w:t>
      </w:r>
    </w:p>
    <w:p w14:paraId="6AD73997" w14:textId="13057291" w:rsidR="001E0F0C" w:rsidRPr="00DF2BB6" w:rsidRDefault="00CC464E" w:rsidP="00C14C4A">
      <w:pPr>
        <w:pStyle w:val="NormalWeb"/>
        <w:shd w:val="clear" w:color="auto" w:fill="FFFFFF"/>
        <w:spacing w:before="144" w:beforeAutospacing="0" w:after="0" w:afterAutospacing="0" w:line="360" w:lineRule="auto"/>
        <w:ind w:left="567" w:hanging="567"/>
        <w:jc w:val="both"/>
        <w:rPr>
          <w:color w:val="242121"/>
          <w:sz w:val="28"/>
          <w:szCs w:val="28"/>
        </w:rPr>
      </w:pPr>
      <w:r w:rsidRPr="008A779E">
        <w:rPr>
          <w:rFonts w:eastAsia="Calibri"/>
          <w:sz w:val="28"/>
          <w:szCs w:val="28"/>
          <w:lang w:val="en-US"/>
        </w:rPr>
        <w:t>[1</w:t>
      </w:r>
      <w:r w:rsidR="00C64EC4">
        <w:rPr>
          <w:rFonts w:eastAsia="Calibri"/>
          <w:sz w:val="28"/>
          <w:szCs w:val="28"/>
          <w:lang w:val="en-US"/>
        </w:rPr>
        <w:t>3</w:t>
      </w:r>
      <w:r w:rsidRPr="008A779E">
        <w:rPr>
          <w:rFonts w:eastAsia="Calibri"/>
          <w:sz w:val="28"/>
          <w:szCs w:val="28"/>
          <w:lang w:val="en-US"/>
        </w:rPr>
        <w:t xml:space="preserve">] </w:t>
      </w:r>
      <w:r w:rsidRPr="008A779E">
        <w:rPr>
          <w:rFonts w:eastAsia="Calibri"/>
          <w:sz w:val="28"/>
          <w:szCs w:val="28"/>
          <w:lang w:val="en-US"/>
        </w:rPr>
        <w:tab/>
      </w:r>
      <w:r w:rsidR="00196CAA">
        <w:rPr>
          <w:rFonts w:eastAsia="Calibri"/>
          <w:sz w:val="28"/>
          <w:szCs w:val="28"/>
          <w:lang w:val="en-US"/>
        </w:rPr>
        <w:t xml:space="preserve">It must be stated that under appropriate circumstances, impossibility of performance due to </w:t>
      </w:r>
      <w:r w:rsidR="00196CAA" w:rsidRPr="00196CAA">
        <w:rPr>
          <w:rFonts w:eastAsia="Calibri"/>
          <w:i/>
          <w:iCs/>
          <w:sz w:val="28"/>
          <w:szCs w:val="28"/>
          <w:lang w:val="en-US"/>
        </w:rPr>
        <w:t>force majeure</w:t>
      </w:r>
      <w:r w:rsidR="00196CAA">
        <w:rPr>
          <w:rFonts w:eastAsia="Calibri"/>
          <w:sz w:val="28"/>
          <w:szCs w:val="28"/>
          <w:lang w:val="en-US"/>
        </w:rPr>
        <w:t xml:space="preserve"> may be excused. </w:t>
      </w:r>
      <w:r w:rsidR="00196CAA" w:rsidRPr="00DF2BB6">
        <w:rPr>
          <w:rFonts w:eastAsia="Calibri"/>
          <w:sz w:val="28"/>
          <w:szCs w:val="28"/>
          <w:lang w:val="en-US"/>
        </w:rPr>
        <w:t xml:space="preserve">In </w:t>
      </w:r>
      <w:r w:rsidR="001E0F0C" w:rsidRPr="00DF2BB6">
        <w:rPr>
          <w:color w:val="242121"/>
          <w:sz w:val="28"/>
          <w:szCs w:val="28"/>
          <w:lang w:val="en-GB"/>
        </w:rPr>
        <w:t>the matter of </w:t>
      </w:r>
      <w:proofErr w:type="spellStart"/>
      <w:r w:rsidR="001E0F0C" w:rsidRPr="00DF2BB6">
        <w:rPr>
          <w:i/>
          <w:iCs/>
          <w:color w:val="242121"/>
          <w:sz w:val="28"/>
          <w:szCs w:val="28"/>
          <w:lang w:val="en-GB"/>
        </w:rPr>
        <w:t>Frajenron</w:t>
      </w:r>
      <w:proofErr w:type="spellEnd"/>
      <w:r w:rsidR="001E0F0C" w:rsidRPr="00DF2BB6">
        <w:rPr>
          <w:i/>
          <w:iCs/>
          <w:color w:val="242121"/>
          <w:sz w:val="28"/>
          <w:szCs w:val="28"/>
          <w:lang w:val="en-GB"/>
        </w:rPr>
        <w:t xml:space="preserve"> (Pty) Ltd v Metcash Trading Ltd and Others</w:t>
      </w:r>
      <w:r w:rsidR="001E0F0C" w:rsidRPr="00DF2BB6">
        <w:rPr>
          <w:rStyle w:val="FootnoteReference"/>
          <w:i/>
          <w:iCs/>
          <w:color w:val="242121"/>
          <w:sz w:val="28"/>
          <w:szCs w:val="28"/>
          <w:lang w:val="en-GB"/>
        </w:rPr>
        <w:footnoteReference w:id="1"/>
      </w:r>
      <w:r w:rsidR="001E0F0C" w:rsidRPr="00DF2BB6">
        <w:rPr>
          <w:i/>
          <w:iCs/>
          <w:color w:val="242121"/>
          <w:sz w:val="28"/>
          <w:szCs w:val="28"/>
          <w:lang w:val="en-GB"/>
        </w:rPr>
        <w:t xml:space="preserve"> , </w:t>
      </w:r>
      <w:r w:rsidR="001E0F0C" w:rsidRPr="00DF2BB6">
        <w:rPr>
          <w:color w:val="242121"/>
          <w:sz w:val="28"/>
          <w:szCs w:val="28"/>
          <w:lang w:val="en-GB"/>
        </w:rPr>
        <w:t>the following was stated by Vally J at para [13] about impossibility of performance (footnotes omitted):</w:t>
      </w:r>
    </w:p>
    <w:p w14:paraId="5DC95036" w14:textId="77777777" w:rsidR="001E0F0C" w:rsidRPr="001E0F0C" w:rsidRDefault="001E0F0C" w:rsidP="00DF2BB6">
      <w:pPr>
        <w:pStyle w:val="NormalWeb"/>
        <w:shd w:val="clear" w:color="auto" w:fill="FFFFFF"/>
        <w:spacing w:before="144" w:beforeAutospacing="0" w:after="0" w:afterAutospacing="0" w:line="480" w:lineRule="atLeast"/>
        <w:ind w:left="567"/>
        <w:jc w:val="both"/>
        <w:rPr>
          <w:color w:val="242121"/>
        </w:rPr>
      </w:pPr>
      <w:r w:rsidRPr="001E0F0C">
        <w:rPr>
          <w:color w:val="242121"/>
        </w:rPr>
        <w:t>“</w:t>
      </w:r>
      <w:r w:rsidRPr="001E0F0C">
        <w:rPr>
          <w:color w:val="242121"/>
          <w:lang w:val="en-GB"/>
        </w:rPr>
        <w:t>[13] </w:t>
      </w:r>
      <w:r w:rsidRPr="001E0F0C">
        <w:rPr>
          <w:color w:val="000000"/>
          <w:lang w:val="en-GB"/>
        </w:rPr>
        <w:t>Our law on the impossibility of performance evolved on a similar footing. As noted above, it commenced with the dictum (quoted in [10] above) in </w:t>
      </w:r>
      <w:r w:rsidRPr="001E0F0C">
        <w:rPr>
          <w:color w:val="242121"/>
          <w:lang w:val="en-GB"/>
        </w:rPr>
        <w:t>Peters, Flamman &amp; Co.</w:t>
      </w:r>
      <w:r w:rsidRPr="001E0F0C">
        <w:rPr>
          <w:color w:val="000000"/>
          <w:lang w:val="en-GB"/>
        </w:rPr>
        <w:t> By that dictum the two factors or circumstances that would excuse the non-performance are vis major and casus fortuitous. As the law evolved it was clarified that not every vis major or casus fortuitous will excuse the non-performance. Facts specific to a case will determine whether the non-performance should be excused. These would include the nature, terms and context of the contract, the nature of the parties, their relationship and the nature of the impossibility relied upon. No party is allowed to rely on an impossibility caused by its own act or omission – there should be no fault or neglect on its part in the creation of the impossibility. The impossibility must be absolute and not relative and it must be applicable to everyone and not personal to the defendant, i.e. it must be objective.</w:t>
      </w:r>
      <w:r w:rsidRPr="001E0F0C">
        <w:rPr>
          <w:color w:val="242121"/>
          <w:lang w:val="en-GB"/>
        </w:rPr>
        <w:t>”</w:t>
      </w:r>
    </w:p>
    <w:p w14:paraId="0B98E0CD" w14:textId="0F171949" w:rsidR="00CC464E" w:rsidRPr="008A779E" w:rsidRDefault="00CC464E" w:rsidP="00CC464E">
      <w:pPr>
        <w:spacing w:line="480" w:lineRule="auto"/>
        <w:ind w:left="720" w:hanging="720"/>
        <w:jc w:val="both"/>
        <w:rPr>
          <w:rFonts w:ascii="Times New Roman" w:eastAsia="Calibri" w:hAnsi="Times New Roman" w:cs="Times New Roman"/>
          <w:sz w:val="28"/>
          <w:szCs w:val="28"/>
          <w:lang w:val="en-US"/>
        </w:rPr>
      </w:pPr>
    </w:p>
    <w:p w14:paraId="02F4D432" w14:textId="1D3C0879" w:rsidR="00CC464E" w:rsidRPr="00584A34" w:rsidRDefault="00CC464E" w:rsidP="00C14C4A">
      <w:pPr>
        <w:spacing w:line="360" w:lineRule="auto"/>
        <w:ind w:left="720" w:hanging="720"/>
        <w:jc w:val="both"/>
        <w:rPr>
          <w:rFonts w:ascii="Times New Roman" w:eastAsia="Calibri" w:hAnsi="Times New Roman" w:cs="Times New Roman"/>
          <w:sz w:val="28"/>
          <w:szCs w:val="28"/>
          <w:lang w:val="en-GB"/>
        </w:rPr>
      </w:pPr>
      <w:r w:rsidRPr="008A779E">
        <w:rPr>
          <w:rFonts w:ascii="Times New Roman" w:eastAsia="Calibri" w:hAnsi="Times New Roman" w:cs="Times New Roman"/>
          <w:sz w:val="28"/>
          <w:szCs w:val="28"/>
          <w:lang w:val="en-GB"/>
        </w:rPr>
        <w:t>[1</w:t>
      </w:r>
      <w:r w:rsidR="00C64EC4">
        <w:rPr>
          <w:rFonts w:ascii="Times New Roman" w:eastAsia="Calibri" w:hAnsi="Times New Roman" w:cs="Times New Roman"/>
          <w:sz w:val="28"/>
          <w:szCs w:val="28"/>
          <w:lang w:val="en-GB"/>
        </w:rPr>
        <w:t>4</w:t>
      </w:r>
      <w:r w:rsidRPr="008A779E">
        <w:rPr>
          <w:rFonts w:ascii="Times New Roman" w:eastAsia="Calibri" w:hAnsi="Times New Roman" w:cs="Times New Roman"/>
          <w:sz w:val="28"/>
          <w:szCs w:val="28"/>
          <w:lang w:val="en-GB"/>
        </w:rPr>
        <w:t>]</w:t>
      </w:r>
      <w:r w:rsidR="00954A8A">
        <w:rPr>
          <w:rFonts w:ascii="Times New Roman" w:eastAsia="Calibri" w:hAnsi="Times New Roman" w:cs="Times New Roman"/>
          <w:sz w:val="28"/>
          <w:szCs w:val="28"/>
          <w:lang w:val="en-GB"/>
        </w:rPr>
        <w:t xml:space="preserve"> </w:t>
      </w:r>
      <w:r w:rsidR="00C14C4A">
        <w:rPr>
          <w:rFonts w:ascii="Times New Roman" w:eastAsia="Calibri" w:hAnsi="Times New Roman" w:cs="Times New Roman"/>
          <w:sz w:val="28"/>
          <w:szCs w:val="28"/>
          <w:lang w:val="en-GB"/>
        </w:rPr>
        <w:tab/>
      </w:r>
      <w:r w:rsidR="00584A34" w:rsidRPr="00584A34">
        <w:rPr>
          <w:rFonts w:ascii="Times New Roman" w:hAnsi="Times New Roman" w:cs="Times New Roman"/>
          <w:color w:val="242121"/>
          <w:sz w:val="28"/>
          <w:szCs w:val="28"/>
          <w:shd w:val="clear" w:color="auto" w:fill="FFFFFF"/>
        </w:rPr>
        <w:t>The facts of a specific case determine whether the non-performance of a party should be excused. Only where the impossibility is absolute and not relative, i.e. in respect of everyone and not personal to the defendant, can it be found that a defendant is excused from his non-performance.</w:t>
      </w:r>
      <w:r w:rsidR="00584A34">
        <w:rPr>
          <w:rStyle w:val="FootnoteReference"/>
          <w:rFonts w:ascii="Times New Roman" w:hAnsi="Times New Roman" w:cs="Times New Roman"/>
          <w:color w:val="242121"/>
          <w:sz w:val="28"/>
          <w:szCs w:val="28"/>
          <w:shd w:val="clear" w:color="auto" w:fill="FFFFFF"/>
        </w:rPr>
        <w:footnoteReference w:id="2"/>
      </w:r>
    </w:p>
    <w:p w14:paraId="057D2CBA" w14:textId="01416F4B" w:rsidR="00CC464E" w:rsidRDefault="00CC464E" w:rsidP="00C14C4A">
      <w:pPr>
        <w:spacing w:line="360" w:lineRule="auto"/>
        <w:ind w:left="720" w:hanging="720"/>
        <w:jc w:val="both"/>
        <w:rPr>
          <w:rFonts w:ascii="Times New Roman" w:hAnsi="Times New Roman" w:cs="Times New Roman"/>
          <w:i/>
          <w:iCs/>
          <w:sz w:val="28"/>
          <w:szCs w:val="28"/>
        </w:rPr>
      </w:pPr>
      <w:r w:rsidRPr="008A779E">
        <w:rPr>
          <w:rFonts w:ascii="Times New Roman" w:eastAsia="Calibri" w:hAnsi="Times New Roman" w:cs="Times New Roman"/>
          <w:sz w:val="28"/>
          <w:szCs w:val="28"/>
          <w:lang w:val="en-GB"/>
        </w:rPr>
        <w:lastRenderedPageBreak/>
        <w:t>[1</w:t>
      </w:r>
      <w:r w:rsidR="00954A8A">
        <w:rPr>
          <w:rFonts w:ascii="Times New Roman" w:eastAsia="Calibri" w:hAnsi="Times New Roman" w:cs="Times New Roman"/>
          <w:sz w:val="28"/>
          <w:szCs w:val="28"/>
          <w:lang w:val="en-GB"/>
        </w:rPr>
        <w:t>5</w:t>
      </w:r>
      <w:r w:rsidRPr="008A779E">
        <w:rPr>
          <w:rFonts w:ascii="Times New Roman" w:eastAsia="Calibri" w:hAnsi="Times New Roman" w:cs="Times New Roman"/>
          <w:sz w:val="28"/>
          <w:szCs w:val="28"/>
          <w:lang w:val="en-GB"/>
        </w:rPr>
        <w:t xml:space="preserve">] </w:t>
      </w:r>
      <w:r w:rsidRPr="008A779E">
        <w:rPr>
          <w:rFonts w:ascii="Times New Roman" w:eastAsia="Calibri" w:hAnsi="Times New Roman" w:cs="Times New Roman"/>
          <w:sz w:val="28"/>
          <w:szCs w:val="28"/>
          <w:lang w:val="en-GB"/>
        </w:rPr>
        <w:tab/>
      </w:r>
      <w:r w:rsidR="00BE3DF5">
        <w:rPr>
          <w:rFonts w:ascii="Times New Roman" w:eastAsia="Calibri" w:hAnsi="Times New Roman" w:cs="Times New Roman"/>
          <w:sz w:val="28"/>
          <w:szCs w:val="28"/>
          <w:lang w:val="en-GB"/>
        </w:rPr>
        <w:t>I</w:t>
      </w:r>
      <w:r w:rsidR="0049678E">
        <w:rPr>
          <w:rFonts w:ascii="Times New Roman" w:eastAsia="Calibri" w:hAnsi="Times New Roman" w:cs="Times New Roman"/>
          <w:sz w:val="28"/>
          <w:szCs w:val="28"/>
          <w:lang w:val="en-GB"/>
        </w:rPr>
        <w:t xml:space="preserve">t is trite in </w:t>
      </w:r>
      <w:r w:rsidR="00CA464F">
        <w:rPr>
          <w:rFonts w:ascii="Times New Roman" w:eastAsia="Calibri" w:hAnsi="Times New Roman" w:cs="Times New Roman"/>
          <w:sz w:val="28"/>
          <w:szCs w:val="28"/>
          <w:lang w:val="en-GB"/>
        </w:rPr>
        <w:t xml:space="preserve">our law that </w:t>
      </w:r>
      <w:r w:rsidR="00193158" w:rsidRPr="00ED7BB4">
        <w:rPr>
          <w:rFonts w:ascii="Times New Roman" w:hAnsi="Times New Roman" w:cs="Times New Roman"/>
          <w:sz w:val="28"/>
          <w:szCs w:val="28"/>
        </w:rPr>
        <w:t>if performance</w:t>
      </w:r>
      <w:r w:rsidR="00193158">
        <w:t xml:space="preserve"> </w:t>
      </w:r>
      <w:r w:rsidR="00193158" w:rsidRPr="005501FE">
        <w:rPr>
          <w:rFonts w:ascii="Times New Roman" w:hAnsi="Times New Roman" w:cs="Times New Roman"/>
          <w:sz w:val="28"/>
          <w:szCs w:val="28"/>
        </w:rPr>
        <w:t>of a contract is impossible due to unforeseen events, not caused by the parties, parties are excused from performing in terms of the</w:t>
      </w:r>
      <w:r w:rsidR="00193158">
        <w:t xml:space="preserve"> </w:t>
      </w:r>
      <w:r w:rsidR="00193158" w:rsidRPr="005501FE">
        <w:rPr>
          <w:rFonts w:ascii="Times New Roman" w:hAnsi="Times New Roman" w:cs="Times New Roman"/>
          <w:sz w:val="28"/>
          <w:szCs w:val="28"/>
        </w:rPr>
        <w:t>contract</w:t>
      </w:r>
      <w:r w:rsidR="004B1F15" w:rsidRPr="005501FE">
        <w:rPr>
          <w:rFonts w:ascii="Times New Roman" w:hAnsi="Times New Roman" w:cs="Times New Roman"/>
          <w:sz w:val="28"/>
          <w:szCs w:val="28"/>
        </w:rPr>
        <w:t>.</w:t>
      </w:r>
      <w:r w:rsidR="005501FE">
        <w:rPr>
          <w:rStyle w:val="FootnoteReference"/>
          <w:rFonts w:ascii="Times New Roman" w:hAnsi="Times New Roman" w:cs="Times New Roman"/>
          <w:sz w:val="28"/>
          <w:szCs w:val="28"/>
        </w:rPr>
        <w:footnoteReference w:id="3"/>
      </w:r>
      <w:r w:rsidR="00252EC7">
        <w:rPr>
          <w:rFonts w:ascii="Times New Roman" w:hAnsi="Times New Roman" w:cs="Times New Roman"/>
          <w:sz w:val="28"/>
          <w:szCs w:val="28"/>
        </w:rPr>
        <w:t xml:space="preserve">  In order to determine whether </w:t>
      </w:r>
      <w:r w:rsidR="00252EC7" w:rsidRPr="00252EC7">
        <w:rPr>
          <w:rFonts w:ascii="Times New Roman" w:hAnsi="Times New Roman" w:cs="Times New Roman"/>
          <w:sz w:val="28"/>
          <w:szCs w:val="28"/>
        </w:rPr>
        <w:t>the contract should be discharged due to impossibility</w:t>
      </w:r>
      <w:r w:rsidR="00252EC7">
        <w:rPr>
          <w:rFonts w:ascii="Times New Roman" w:hAnsi="Times New Roman" w:cs="Times New Roman"/>
          <w:sz w:val="28"/>
          <w:szCs w:val="28"/>
        </w:rPr>
        <w:t xml:space="preserve">, </w:t>
      </w:r>
      <w:r w:rsidR="00B21FE9">
        <w:rPr>
          <w:rFonts w:ascii="Times New Roman" w:hAnsi="Times New Roman" w:cs="Times New Roman"/>
          <w:sz w:val="28"/>
          <w:szCs w:val="28"/>
        </w:rPr>
        <w:t xml:space="preserve">the Court should, as </w:t>
      </w:r>
      <w:r w:rsidR="00CF05AD">
        <w:rPr>
          <w:rFonts w:ascii="Times New Roman" w:hAnsi="Times New Roman" w:cs="Times New Roman"/>
          <w:sz w:val="28"/>
          <w:szCs w:val="28"/>
        </w:rPr>
        <w:t xml:space="preserve">held by Stratford J </w:t>
      </w:r>
      <w:r w:rsidR="00B21FE9">
        <w:rPr>
          <w:rFonts w:ascii="Times New Roman" w:hAnsi="Times New Roman" w:cs="Times New Roman"/>
          <w:sz w:val="28"/>
          <w:szCs w:val="28"/>
        </w:rPr>
        <w:t>in</w:t>
      </w:r>
      <w:r w:rsidR="00CF05AD">
        <w:rPr>
          <w:rFonts w:ascii="Times New Roman" w:hAnsi="Times New Roman" w:cs="Times New Roman"/>
          <w:sz w:val="28"/>
          <w:szCs w:val="28"/>
        </w:rPr>
        <w:t xml:space="preserve"> </w:t>
      </w:r>
      <w:r w:rsidR="00233FFC" w:rsidRPr="00233FFC">
        <w:rPr>
          <w:rFonts w:ascii="Times New Roman" w:hAnsi="Times New Roman" w:cs="Times New Roman"/>
          <w:i/>
          <w:iCs/>
          <w:sz w:val="28"/>
          <w:szCs w:val="28"/>
        </w:rPr>
        <w:t>Hersman v Shapiro &amp; Co</w:t>
      </w:r>
      <w:r w:rsidR="00233FFC">
        <w:rPr>
          <w:rStyle w:val="FootnoteReference"/>
          <w:rFonts w:ascii="Times New Roman" w:hAnsi="Times New Roman" w:cs="Times New Roman"/>
          <w:i/>
          <w:iCs/>
          <w:sz w:val="28"/>
          <w:szCs w:val="28"/>
        </w:rPr>
        <w:footnoteReference w:id="4"/>
      </w:r>
      <w:r w:rsidR="002E46EC">
        <w:rPr>
          <w:rFonts w:ascii="Times New Roman" w:hAnsi="Times New Roman" w:cs="Times New Roman"/>
          <w:i/>
          <w:iCs/>
          <w:sz w:val="28"/>
          <w:szCs w:val="28"/>
        </w:rPr>
        <w:t>,</w:t>
      </w:r>
    </w:p>
    <w:p w14:paraId="67529865" w14:textId="7B13C168" w:rsidR="00E75E79" w:rsidRDefault="00E75E79" w:rsidP="00CC464E">
      <w:pPr>
        <w:spacing w:line="480" w:lineRule="auto"/>
        <w:ind w:left="720" w:hanging="720"/>
        <w:jc w:val="both"/>
        <w:rPr>
          <w:rFonts w:ascii="Times New Roman" w:hAnsi="Times New Roman" w:cs="Times New Roman"/>
          <w:sz w:val="24"/>
          <w:szCs w:val="24"/>
        </w:rPr>
      </w:pPr>
      <w:r>
        <w:rPr>
          <w:rFonts w:ascii="Times New Roman" w:hAnsi="Times New Roman" w:cs="Times New Roman"/>
          <w:i/>
          <w:iCs/>
          <w:sz w:val="28"/>
          <w:szCs w:val="28"/>
        </w:rPr>
        <w:t xml:space="preserve">          </w:t>
      </w:r>
      <w:r>
        <w:t>“</w:t>
      </w:r>
      <w:r w:rsidRPr="00E75E79">
        <w:rPr>
          <w:rFonts w:ascii="Times New Roman" w:hAnsi="Times New Roman" w:cs="Times New Roman"/>
          <w:sz w:val="24"/>
          <w:szCs w:val="24"/>
        </w:rPr>
        <w:t>look to the nature of the contract, the relation of the parties, the circumstances of the case, and the nature of the impossibility invoked by the defendant, to see whether the general rule ought, in the particular circumstances of the case, to be applied.”</w:t>
      </w:r>
    </w:p>
    <w:p w14:paraId="6C404D2B" w14:textId="0450DDD6" w:rsidR="00734AB3" w:rsidRDefault="002675C1" w:rsidP="00C14C4A">
      <w:pPr>
        <w:spacing w:line="360" w:lineRule="auto"/>
        <w:ind w:left="720" w:hanging="720"/>
        <w:jc w:val="both"/>
        <w:rPr>
          <w:rFonts w:ascii="Times New Roman" w:hAnsi="Times New Roman" w:cs="Times New Roman"/>
          <w:sz w:val="28"/>
          <w:szCs w:val="28"/>
        </w:rPr>
      </w:pPr>
      <w:r>
        <w:rPr>
          <w:rFonts w:ascii="Times New Roman" w:hAnsi="Times New Roman" w:cs="Times New Roman"/>
          <w:sz w:val="24"/>
          <w:szCs w:val="24"/>
        </w:rPr>
        <w:t>[16]</w:t>
      </w:r>
      <w:r w:rsidR="008F0ADA" w:rsidRPr="008F0ADA">
        <w:t xml:space="preserve"> </w:t>
      </w:r>
      <w:r w:rsidR="00C14C4A">
        <w:tab/>
      </w:r>
      <w:r w:rsidR="008F0ADA" w:rsidRPr="008F0ADA">
        <w:rPr>
          <w:rFonts w:ascii="Times New Roman" w:hAnsi="Times New Roman" w:cs="Times New Roman"/>
          <w:sz w:val="28"/>
          <w:szCs w:val="28"/>
        </w:rPr>
        <w:t xml:space="preserve">In </w:t>
      </w:r>
      <w:r w:rsidR="008C64DB" w:rsidRPr="008C64DB">
        <w:rPr>
          <w:rFonts w:ascii="Times New Roman" w:hAnsi="Times New Roman" w:cs="Times New Roman"/>
          <w:i/>
          <w:iCs/>
          <w:sz w:val="28"/>
          <w:szCs w:val="28"/>
        </w:rPr>
        <w:t>Transnet Ltd t/a National Ports Authority v Owner of MV Snow</w:t>
      </w:r>
      <w:r w:rsidR="00702ABE">
        <w:rPr>
          <w:rFonts w:ascii="Times New Roman" w:hAnsi="Times New Roman" w:cs="Times New Roman"/>
          <w:i/>
          <w:iCs/>
          <w:sz w:val="28"/>
          <w:szCs w:val="28"/>
        </w:rPr>
        <w:t xml:space="preserve"> </w:t>
      </w:r>
      <w:r w:rsidR="008F0ADA" w:rsidRPr="008F0ADA">
        <w:rPr>
          <w:rFonts w:ascii="Times New Roman" w:hAnsi="Times New Roman" w:cs="Times New Roman"/>
          <w:i/>
          <w:iCs/>
          <w:sz w:val="28"/>
          <w:szCs w:val="28"/>
        </w:rPr>
        <w:t>Crystal</w:t>
      </w:r>
      <w:r w:rsidR="008F0ADA" w:rsidRPr="008F0ADA">
        <w:rPr>
          <w:rFonts w:ascii="Times New Roman" w:hAnsi="Times New Roman" w:cs="Times New Roman"/>
          <w:sz w:val="28"/>
          <w:szCs w:val="28"/>
        </w:rPr>
        <w:t>,</w:t>
      </w:r>
      <w:r w:rsidR="00363E07">
        <w:rPr>
          <w:rStyle w:val="FootnoteReference"/>
          <w:rFonts w:ascii="Times New Roman" w:hAnsi="Times New Roman" w:cs="Times New Roman"/>
          <w:sz w:val="28"/>
          <w:szCs w:val="28"/>
        </w:rPr>
        <w:footnoteReference w:id="5"/>
      </w:r>
      <w:r w:rsidR="008F0ADA" w:rsidRPr="008F0ADA">
        <w:rPr>
          <w:rFonts w:ascii="Times New Roman" w:hAnsi="Times New Roman" w:cs="Times New Roman"/>
          <w:sz w:val="28"/>
          <w:szCs w:val="28"/>
        </w:rPr>
        <w:t xml:space="preserve">  the Supreme Court of Appeal (per Scott JA) held as follows: </w:t>
      </w:r>
    </w:p>
    <w:p w14:paraId="6E77CB33" w14:textId="1B4EA5B1" w:rsidR="002675C1" w:rsidRPr="00DF2BB6" w:rsidRDefault="00734AB3" w:rsidP="00CC464E">
      <w:pPr>
        <w:spacing w:line="480" w:lineRule="auto"/>
        <w:ind w:left="720" w:hanging="720"/>
        <w:jc w:val="both"/>
        <w:rPr>
          <w:rFonts w:ascii="Times New Roman" w:hAnsi="Times New Roman" w:cs="Times New Roman"/>
        </w:rPr>
      </w:pPr>
      <w:r>
        <w:rPr>
          <w:rFonts w:ascii="Times New Roman" w:hAnsi="Times New Roman" w:cs="Times New Roman"/>
          <w:sz w:val="28"/>
          <w:szCs w:val="28"/>
        </w:rPr>
        <w:t xml:space="preserve">       </w:t>
      </w:r>
      <w:r w:rsidR="00DF2BB6">
        <w:rPr>
          <w:rFonts w:ascii="Times New Roman" w:hAnsi="Times New Roman" w:cs="Times New Roman"/>
          <w:sz w:val="28"/>
          <w:szCs w:val="28"/>
        </w:rPr>
        <w:tab/>
      </w:r>
      <w:r w:rsidR="008F0ADA" w:rsidRPr="00DF2BB6">
        <w:rPr>
          <w:rFonts w:ascii="Times New Roman" w:hAnsi="Times New Roman" w:cs="Times New Roman"/>
        </w:rPr>
        <w:t xml:space="preserve">"As a general rule impossibility of performance brought about by vis major or casus fortuitus will excuse performance of a contract. But it will not always do so. In each case it is necessary to 'look to the nature of the contract, the relation of the parties, the circumstances of the case, and the nature of the impossibility invoked by the defendant, to see whether the general rule ought, in the particular circumstances of the case, to be applied'. The rule will not avail a defendant if the impossibility is self-created; nor will it avail the defendant if the impossibility is due to his or her fault. Save possibly in circumstances where </w:t>
      </w:r>
      <w:r w:rsidR="00497EA6" w:rsidRPr="00DF2BB6">
        <w:rPr>
          <w:rFonts w:ascii="Times New Roman" w:hAnsi="Times New Roman" w:cs="Times New Roman"/>
        </w:rPr>
        <w:t>a plaintiff</w:t>
      </w:r>
      <w:r w:rsidR="00FE6782" w:rsidRPr="00DF2BB6">
        <w:rPr>
          <w:rFonts w:ascii="Times New Roman" w:hAnsi="Times New Roman" w:cs="Times New Roman"/>
        </w:rPr>
        <w:t xml:space="preserve"> seeks specific performance, the onus of proving the impossibility will lie upon the defendant</w:t>
      </w:r>
      <w:r w:rsidR="00DF2BB6">
        <w:rPr>
          <w:rFonts w:ascii="Times New Roman" w:hAnsi="Times New Roman" w:cs="Times New Roman"/>
        </w:rPr>
        <w:t>.</w:t>
      </w:r>
      <w:r w:rsidR="00FE6782" w:rsidRPr="00DF2BB6">
        <w:rPr>
          <w:rFonts w:ascii="Times New Roman" w:hAnsi="Times New Roman" w:cs="Times New Roman"/>
        </w:rPr>
        <w:t>"</w:t>
      </w:r>
    </w:p>
    <w:p w14:paraId="75D6F53E" w14:textId="692E4668" w:rsidR="00327DB7" w:rsidRDefault="00191B1E" w:rsidP="00C14C4A">
      <w:pPr>
        <w:spacing w:line="360" w:lineRule="auto"/>
        <w:ind w:left="720" w:hanging="720"/>
        <w:jc w:val="both"/>
        <w:rPr>
          <w:rFonts w:ascii="Times New Roman" w:hAnsi="Times New Roman" w:cs="Times New Roman"/>
          <w:sz w:val="28"/>
          <w:szCs w:val="28"/>
        </w:rPr>
      </w:pPr>
      <w:r w:rsidRPr="00EE5A3A">
        <w:rPr>
          <w:rFonts w:ascii="Times New Roman" w:hAnsi="Times New Roman" w:cs="Times New Roman"/>
          <w:sz w:val="28"/>
          <w:szCs w:val="28"/>
        </w:rPr>
        <w:t>[1</w:t>
      </w:r>
      <w:r w:rsidR="001F5CF3" w:rsidRPr="00EE5A3A">
        <w:rPr>
          <w:rFonts w:ascii="Times New Roman" w:hAnsi="Times New Roman" w:cs="Times New Roman"/>
          <w:sz w:val="28"/>
          <w:szCs w:val="28"/>
        </w:rPr>
        <w:t>7</w:t>
      </w:r>
      <w:r w:rsidRPr="00EE5A3A">
        <w:rPr>
          <w:rFonts w:ascii="Times New Roman" w:hAnsi="Times New Roman" w:cs="Times New Roman"/>
          <w:sz w:val="28"/>
          <w:szCs w:val="28"/>
        </w:rPr>
        <w:t>]</w:t>
      </w:r>
      <w:r>
        <w:rPr>
          <w:rFonts w:ascii="Times New Roman" w:hAnsi="Times New Roman" w:cs="Times New Roman"/>
          <w:sz w:val="24"/>
          <w:szCs w:val="24"/>
        </w:rPr>
        <w:t xml:space="preserve"> </w:t>
      </w:r>
      <w:r w:rsidR="00DF2BB6">
        <w:rPr>
          <w:rFonts w:ascii="Times New Roman" w:hAnsi="Times New Roman" w:cs="Times New Roman"/>
          <w:sz w:val="24"/>
          <w:szCs w:val="24"/>
        </w:rPr>
        <w:tab/>
      </w:r>
      <w:r w:rsidR="00B70581" w:rsidRPr="00B70581">
        <w:rPr>
          <w:rFonts w:ascii="Times New Roman" w:hAnsi="Times New Roman" w:cs="Times New Roman"/>
          <w:sz w:val="28"/>
          <w:szCs w:val="28"/>
        </w:rPr>
        <w:t>Consequently,</w:t>
      </w:r>
      <w:r w:rsidR="0074631D">
        <w:rPr>
          <w:rFonts w:ascii="Times New Roman" w:hAnsi="Times New Roman" w:cs="Times New Roman"/>
          <w:sz w:val="28"/>
          <w:szCs w:val="28"/>
        </w:rPr>
        <w:t xml:space="preserve"> for the defence of </w:t>
      </w:r>
      <w:r w:rsidR="001F5CF3">
        <w:rPr>
          <w:rFonts w:ascii="Times New Roman" w:hAnsi="Times New Roman" w:cs="Times New Roman"/>
          <w:sz w:val="28"/>
          <w:szCs w:val="28"/>
        </w:rPr>
        <w:t xml:space="preserve">impossibility of performance due to </w:t>
      </w:r>
      <w:r w:rsidR="0074631D" w:rsidRPr="001F5CF3">
        <w:rPr>
          <w:rFonts w:ascii="Times New Roman" w:hAnsi="Times New Roman" w:cs="Times New Roman"/>
          <w:i/>
          <w:iCs/>
          <w:sz w:val="28"/>
          <w:szCs w:val="28"/>
        </w:rPr>
        <w:t>force</w:t>
      </w:r>
      <w:r w:rsidR="0074631D">
        <w:rPr>
          <w:rFonts w:ascii="Times New Roman" w:hAnsi="Times New Roman" w:cs="Times New Roman"/>
          <w:sz w:val="28"/>
          <w:szCs w:val="28"/>
        </w:rPr>
        <w:t xml:space="preserve"> </w:t>
      </w:r>
      <w:r w:rsidR="0074631D" w:rsidRPr="001F5CF3">
        <w:rPr>
          <w:rFonts w:ascii="Times New Roman" w:hAnsi="Times New Roman" w:cs="Times New Roman"/>
          <w:i/>
          <w:iCs/>
          <w:sz w:val="28"/>
          <w:szCs w:val="28"/>
        </w:rPr>
        <w:t>majeure</w:t>
      </w:r>
      <w:r w:rsidR="0074631D">
        <w:rPr>
          <w:rFonts w:ascii="Times New Roman" w:hAnsi="Times New Roman" w:cs="Times New Roman"/>
          <w:sz w:val="28"/>
          <w:szCs w:val="28"/>
        </w:rPr>
        <w:t xml:space="preserve"> to succeed and lead</w:t>
      </w:r>
      <w:r w:rsidR="00B70581" w:rsidRPr="00B70581">
        <w:rPr>
          <w:rFonts w:ascii="Times New Roman" w:hAnsi="Times New Roman" w:cs="Times New Roman"/>
          <w:sz w:val="28"/>
          <w:szCs w:val="28"/>
        </w:rPr>
        <w:t xml:space="preserve"> to terminat</w:t>
      </w:r>
      <w:r w:rsidR="0074631D">
        <w:rPr>
          <w:rFonts w:ascii="Times New Roman" w:hAnsi="Times New Roman" w:cs="Times New Roman"/>
          <w:sz w:val="28"/>
          <w:szCs w:val="28"/>
        </w:rPr>
        <w:t xml:space="preserve">ion of </w:t>
      </w:r>
      <w:r w:rsidR="00B70581" w:rsidRPr="00B70581">
        <w:rPr>
          <w:rFonts w:ascii="Times New Roman" w:hAnsi="Times New Roman" w:cs="Times New Roman"/>
          <w:sz w:val="28"/>
          <w:szCs w:val="28"/>
        </w:rPr>
        <w:t xml:space="preserve">a contract or extinguish an </w:t>
      </w:r>
      <w:r w:rsidR="00B70581" w:rsidRPr="00B70581">
        <w:rPr>
          <w:rFonts w:ascii="Times New Roman" w:hAnsi="Times New Roman" w:cs="Times New Roman"/>
          <w:sz w:val="28"/>
          <w:szCs w:val="28"/>
        </w:rPr>
        <w:lastRenderedPageBreak/>
        <w:t xml:space="preserve">obligation, the impossibility </w:t>
      </w:r>
      <w:r w:rsidR="001F5CF3" w:rsidRPr="00B70581">
        <w:rPr>
          <w:rFonts w:ascii="Times New Roman" w:hAnsi="Times New Roman" w:cs="Times New Roman"/>
          <w:sz w:val="28"/>
          <w:szCs w:val="28"/>
        </w:rPr>
        <w:t>must</w:t>
      </w:r>
      <w:r w:rsidR="00B70581" w:rsidRPr="00B70581">
        <w:rPr>
          <w:rFonts w:ascii="Times New Roman" w:hAnsi="Times New Roman" w:cs="Times New Roman"/>
          <w:sz w:val="28"/>
          <w:szCs w:val="28"/>
        </w:rPr>
        <w:t xml:space="preserve"> be absolute, or objective as opposed to relative or subjective</w:t>
      </w:r>
      <w:r w:rsidR="00ED723B">
        <w:rPr>
          <w:rStyle w:val="FootnoteReference"/>
          <w:rFonts w:ascii="Times New Roman" w:hAnsi="Times New Roman" w:cs="Times New Roman"/>
          <w:sz w:val="28"/>
          <w:szCs w:val="28"/>
        </w:rPr>
        <w:footnoteReference w:id="6"/>
      </w:r>
      <w:r w:rsidR="00B70581" w:rsidRPr="00B70581">
        <w:rPr>
          <w:rFonts w:ascii="Times New Roman" w:hAnsi="Times New Roman" w:cs="Times New Roman"/>
          <w:sz w:val="28"/>
          <w:szCs w:val="28"/>
        </w:rPr>
        <w:t>.</w:t>
      </w:r>
      <w:r w:rsidR="00B70581">
        <w:t xml:space="preserve"> </w:t>
      </w:r>
      <w:r w:rsidR="00327DB7" w:rsidRPr="00327DB7">
        <w:rPr>
          <w:rFonts w:ascii="Times New Roman" w:hAnsi="Times New Roman" w:cs="Times New Roman"/>
          <w:sz w:val="28"/>
          <w:szCs w:val="28"/>
        </w:rPr>
        <w:t>This</w:t>
      </w:r>
      <w:r w:rsidR="00327DB7">
        <w:t xml:space="preserve"> </w:t>
      </w:r>
      <w:r w:rsidR="00327DB7" w:rsidRPr="00327DB7">
        <w:rPr>
          <w:rFonts w:ascii="Times New Roman" w:hAnsi="Times New Roman" w:cs="Times New Roman"/>
          <w:sz w:val="28"/>
          <w:szCs w:val="28"/>
        </w:rPr>
        <w:t xml:space="preserve">means, in principle, that- </w:t>
      </w:r>
    </w:p>
    <w:p w14:paraId="442A3B06" w14:textId="75C1C29F" w:rsidR="00191B1E" w:rsidRDefault="00327DB7" w:rsidP="00C14C4A">
      <w:pPr>
        <w:spacing w:line="360" w:lineRule="auto"/>
        <w:ind w:left="720" w:hanging="720"/>
        <w:jc w:val="both"/>
        <w:rPr>
          <w:rFonts w:ascii="Times New Roman" w:hAnsi="Times New Roman" w:cs="Times New Roman"/>
          <w:sz w:val="24"/>
          <w:szCs w:val="24"/>
        </w:rPr>
      </w:pPr>
      <w:r>
        <w:rPr>
          <w:rFonts w:ascii="Times New Roman" w:hAnsi="Times New Roman" w:cs="Times New Roman"/>
          <w:sz w:val="28"/>
          <w:szCs w:val="28"/>
        </w:rPr>
        <w:t xml:space="preserve">         </w:t>
      </w:r>
      <w:r w:rsidRPr="00327DB7">
        <w:rPr>
          <w:rFonts w:ascii="Times New Roman" w:hAnsi="Times New Roman" w:cs="Times New Roman"/>
          <w:sz w:val="24"/>
          <w:szCs w:val="24"/>
        </w:rPr>
        <w:t>“It must not be possible for anyone to make that performance. If the impossibility is peculiar to a particular contracting party because of his personal situation, that is if the impossibility is merely relative (subjective), the contract is valid and the party who finds it impossible to render performance will be held liable for breach of contract”</w:t>
      </w:r>
      <w:r>
        <w:rPr>
          <w:rStyle w:val="FootnoteReference"/>
          <w:rFonts w:ascii="Times New Roman" w:hAnsi="Times New Roman" w:cs="Times New Roman"/>
          <w:sz w:val="24"/>
          <w:szCs w:val="24"/>
        </w:rPr>
        <w:footnoteReference w:id="7"/>
      </w:r>
    </w:p>
    <w:p w14:paraId="7640E0FE" w14:textId="1F25D2E5" w:rsidR="002D273C" w:rsidRDefault="004524EA" w:rsidP="00C14C4A">
      <w:pPr>
        <w:spacing w:line="360" w:lineRule="auto"/>
        <w:ind w:left="720" w:hanging="720"/>
        <w:jc w:val="both"/>
        <w:rPr>
          <w:rFonts w:ascii="Times New Roman" w:hAnsi="Times New Roman" w:cs="Times New Roman"/>
          <w:sz w:val="28"/>
          <w:szCs w:val="28"/>
        </w:rPr>
      </w:pPr>
      <w:r w:rsidRPr="004524EA">
        <w:rPr>
          <w:rFonts w:ascii="Times New Roman" w:hAnsi="Times New Roman" w:cs="Times New Roman"/>
          <w:sz w:val="28"/>
          <w:szCs w:val="28"/>
        </w:rPr>
        <w:t>[1</w:t>
      </w:r>
      <w:r w:rsidR="00EE5A3A">
        <w:rPr>
          <w:rFonts w:ascii="Times New Roman" w:hAnsi="Times New Roman" w:cs="Times New Roman"/>
          <w:sz w:val="28"/>
          <w:szCs w:val="28"/>
        </w:rPr>
        <w:t>8</w:t>
      </w:r>
      <w:r w:rsidRPr="004524EA">
        <w:rPr>
          <w:rFonts w:ascii="Times New Roman" w:hAnsi="Times New Roman" w:cs="Times New Roman"/>
          <w:sz w:val="28"/>
          <w:szCs w:val="28"/>
        </w:rPr>
        <w:t>]</w:t>
      </w:r>
      <w:r w:rsidR="004F7EBD" w:rsidRPr="004F7EBD">
        <w:t xml:space="preserve"> </w:t>
      </w:r>
      <w:r w:rsidR="004F7EBD" w:rsidRPr="004F7EBD">
        <w:rPr>
          <w:rFonts w:ascii="Times New Roman" w:hAnsi="Times New Roman" w:cs="Times New Roman"/>
          <w:sz w:val="28"/>
          <w:szCs w:val="28"/>
        </w:rPr>
        <w:t xml:space="preserve">In </w:t>
      </w:r>
      <w:proofErr w:type="spellStart"/>
      <w:r w:rsidR="004F7EBD" w:rsidRPr="004F7EBD">
        <w:rPr>
          <w:rFonts w:ascii="Times New Roman" w:hAnsi="Times New Roman" w:cs="Times New Roman"/>
          <w:i/>
          <w:iCs/>
          <w:sz w:val="28"/>
          <w:szCs w:val="28"/>
        </w:rPr>
        <w:t>Scoin</w:t>
      </w:r>
      <w:proofErr w:type="spellEnd"/>
      <w:r w:rsidR="004F7EBD" w:rsidRPr="004F7EBD">
        <w:rPr>
          <w:rFonts w:ascii="Times New Roman" w:hAnsi="Times New Roman" w:cs="Times New Roman"/>
          <w:i/>
          <w:iCs/>
          <w:sz w:val="28"/>
          <w:szCs w:val="28"/>
        </w:rPr>
        <w:t xml:space="preserve"> Trading (Pty) Ltd v Bernstein NO</w:t>
      </w:r>
      <w:r w:rsidR="004F7EBD">
        <w:rPr>
          <w:rStyle w:val="FootnoteReference"/>
          <w:rFonts w:ascii="Times New Roman" w:hAnsi="Times New Roman" w:cs="Times New Roman"/>
          <w:i/>
          <w:iCs/>
          <w:sz w:val="28"/>
          <w:szCs w:val="28"/>
        </w:rPr>
        <w:footnoteReference w:id="8"/>
      </w:r>
      <w:r w:rsidR="004F7EBD" w:rsidRPr="004F7EBD">
        <w:rPr>
          <w:rFonts w:ascii="Times New Roman" w:hAnsi="Times New Roman" w:cs="Times New Roman"/>
          <w:sz w:val="28"/>
          <w:szCs w:val="28"/>
        </w:rPr>
        <w:t xml:space="preserve">, Pillay JA, remarked as follows: </w:t>
      </w:r>
    </w:p>
    <w:p w14:paraId="72453ADA" w14:textId="6F9229EC" w:rsidR="004524EA" w:rsidRPr="00DF2BB6" w:rsidRDefault="002D273C" w:rsidP="00C14C4A">
      <w:pPr>
        <w:spacing w:line="360" w:lineRule="auto"/>
        <w:ind w:left="720" w:hanging="720"/>
        <w:jc w:val="both"/>
      </w:pPr>
      <w:r>
        <w:rPr>
          <w:rFonts w:ascii="Times New Roman" w:hAnsi="Times New Roman" w:cs="Times New Roman"/>
          <w:sz w:val="28"/>
          <w:szCs w:val="28"/>
        </w:rPr>
        <w:t xml:space="preserve">       </w:t>
      </w:r>
      <w:r w:rsidR="00DF2BB6">
        <w:rPr>
          <w:rFonts w:ascii="Times New Roman" w:hAnsi="Times New Roman" w:cs="Times New Roman"/>
          <w:sz w:val="28"/>
          <w:szCs w:val="28"/>
        </w:rPr>
        <w:tab/>
      </w:r>
      <w:r w:rsidR="004F7EBD" w:rsidRPr="00DF2BB6">
        <w:rPr>
          <w:rFonts w:ascii="Times New Roman" w:hAnsi="Times New Roman" w:cs="Times New Roman"/>
        </w:rPr>
        <w:t>“The law does not regard mere personal incapability to perform as constituting</w:t>
      </w:r>
      <w:r w:rsidR="00C1419B" w:rsidRPr="00DF2BB6">
        <w:rPr>
          <w:rFonts w:ascii="Times New Roman" w:hAnsi="Times New Roman" w:cs="Times New Roman"/>
        </w:rPr>
        <w:t xml:space="preserve"> impossibility […]”</w:t>
      </w:r>
      <w:r w:rsidR="00CB0D22" w:rsidRPr="00DF2BB6">
        <w:rPr>
          <w:rFonts w:ascii="Times New Roman" w:hAnsi="Times New Roman" w:cs="Times New Roman"/>
        </w:rPr>
        <w:t>.Similarly, an inability to pay money will ordinarily amount to nothing more than subjective impossibility.</w:t>
      </w:r>
      <w:r w:rsidR="00CB0D22" w:rsidRPr="00DF2BB6">
        <w:t xml:space="preserve"> </w:t>
      </w:r>
      <w:r w:rsidR="00CB0D22" w:rsidRPr="00DF2BB6">
        <w:rPr>
          <w:rStyle w:val="FootnoteReference"/>
        </w:rPr>
        <w:footnoteReference w:id="9"/>
      </w:r>
    </w:p>
    <w:p w14:paraId="1B5948F8" w14:textId="5103AA93" w:rsidR="001635CC" w:rsidRDefault="007A3FF2" w:rsidP="00C14C4A">
      <w:pPr>
        <w:spacing w:line="360" w:lineRule="auto"/>
        <w:ind w:left="720" w:hanging="720"/>
        <w:jc w:val="both"/>
        <w:rPr>
          <w:rFonts w:ascii="Times New Roman" w:hAnsi="Times New Roman" w:cs="Times New Roman"/>
          <w:sz w:val="28"/>
          <w:szCs w:val="28"/>
        </w:rPr>
      </w:pPr>
      <w:r w:rsidRPr="007A3FF2">
        <w:rPr>
          <w:rFonts w:ascii="Times New Roman" w:hAnsi="Times New Roman" w:cs="Times New Roman"/>
          <w:sz w:val="28"/>
          <w:szCs w:val="28"/>
        </w:rPr>
        <w:t>[1</w:t>
      </w:r>
      <w:r w:rsidR="00EE5A3A">
        <w:rPr>
          <w:rFonts w:ascii="Times New Roman" w:hAnsi="Times New Roman" w:cs="Times New Roman"/>
          <w:sz w:val="28"/>
          <w:szCs w:val="28"/>
        </w:rPr>
        <w:t>9</w:t>
      </w:r>
      <w:r w:rsidRPr="007A3FF2">
        <w:rPr>
          <w:rFonts w:ascii="Times New Roman" w:hAnsi="Times New Roman" w:cs="Times New Roman"/>
          <w:sz w:val="28"/>
          <w:szCs w:val="28"/>
        </w:rPr>
        <w:t>]</w:t>
      </w:r>
      <w:r w:rsidRPr="007A3FF2">
        <w:t xml:space="preserve"> </w:t>
      </w:r>
      <w:r w:rsidR="00DF2BB6">
        <w:tab/>
      </w:r>
      <w:r w:rsidRPr="007A3FF2">
        <w:rPr>
          <w:rFonts w:ascii="Times New Roman" w:hAnsi="Times New Roman" w:cs="Times New Roman"/>
          <w:sz w:val="28"/>
          <w:szCs w:val="28"/>
        </w:rPr>
        <w:t xml:space="preserve">A further example of mere relative or subjective impossibility is again found in </w:t>
      </w:r>
      <w:r w:rsidRPr="007A3FF2">
        <w:rPr>
          <w:rFonts w:ascii="Times New Roman" w:hAnsi="Times New Roman" w:cs="Times New Roman"/>
          <w:i/>
          <w:iCs/>
          <w:sz w:val="28"/>
          <w:szCs w:val="28"/>
        </w:rPr>
        <w:t>Unibank Savings and Loans</w:t>
      </w:r>
      <w:r>
        <w:rPr>
          <w:rStyle w:val="FootnoteReference"/>
          <w:rFonts w:ascii="Times New Roman" w:hAnsi="Times New Roman" w:cs="Times New Roman"/>
          <w:i/>
          <w:iCs/>
          <w:sz w:val="28"/>
          <w:szCs w:val="28"/>
        </w:rPr>
        <w:footnoteReference w:id="10"/>
      </w:r>
      <w:r w:rsidRPr="007A3FF2">
        <w:rPr>
          <w:rFonts w:ascii="Times New Roman" w:hAnsi="Times New Roman" w:cs="Times New Roman"/>
          <w:sz w:val="28"/>
          <w:szCs w:val="28"/>
        </w:rPr>
        <w:t xml:space="preserve"> ,where it was held that: “</w:t>
      </w:r>
      <w:r w:rsidRPr="000C71BC">
        <w:rPr>
          <w:rFonts w:ascii="Times New Roman" w:hAnsi="Times New Roman" w:cs="Times New Roman"/>
          <w:sz w:val="24"/>
          <w:szCs w:val="24"/>
        </w:rPr>
        <w:t>Impossibility is furthermore not implicit in a change of financial strength or in commercial circumstances which cause compliance with the contractual obligations to be difficult, expensive or unaffordable</w:t>
      </w:r>
      <w:r w:rsidRPr="007A3FF2">
        <w:rPr>
          <w:rFonts w:ascii="Times New Roman" w:hAnsi="Times New Roman" w:cs="Times New Roman"/>
          <w:sz w:val="28"/>
          <w:szCs w:val="28"/>
        </w:rPr>
        <w:t>.”</w:t>
      </w:r>
    </w:p>
    <w:p w14:paraId="34C59A70" w14:textId="14B39FA6" w:rsidR="00E93190" w:rsidRDefault="00EB6B9B" w:rsidP="00C14C4A">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EE5A3A">
        <w:rPr>
          <w:rFonts w:ascii="Times New Roman" w:hAnsi="Times New Roman" w:cs="Times New Roman"/>
          <w:sz w:val="28"/>
          <w:szCs w:val="28"/>
        </w:rPr>
        <w:t>20</w:t>
      </w:r>
      <w:r>
        <w:rPr>
          <w:rFonts w:ascii="Times New Roman" w:hAnsi="Times New Roman" w:cs="Times New Roman"/>
          <w:sz w:val="28"/>
          <w:szCs w:val="28"/>
        </w:rPr>
        <w:t xml:space="preserve">] </w:t>
      </w:r>
      <w:r w:rsidR="00DF2BB6">
        <w:rPr>
          <w:rFonts w:ascii="Times New Roman" w:hAnsi="Times New Roman" w:cs="Times New Roman"/>
          <w:sz w:val="28"/>
          <w:szCs w:val="28"/>
        </w:rPr>
        <w:tab/>
      </w:r>
      <w:r>
        <w:rPr>
          <w:rFonts w:ascii="Times New Roman" w:hAnsi="Times New Roman" w:cs="Times New Roman"/>
          <w:sz w:val="28"/>
          <w:szCs w:val="28"/>
        </w:rPr>
        <w:t xml:space="preserve">In the instant case, it is common fact that the contract made provision for </w:t>
      </w:r>
      <w:r w:rsidR="00A127D2">
        <w:rPr>
          <w:rFonts w:ascii="Times New Roman" w:hAnsi="Times New Roman" w:cs="Times New Roman"/>
          <w:sz w:val="28"/>
          <w:szCs w:val="28"/>
        </w:rPr>
        <w:t xml:space="preserve">impossibility of performance due to force majeure as defined therein. </w:t>
      </w:r>
      <w:r w:rsidR="00AE4EB4">
        <w:rPr>
          <w:rFonts w:ascii="Times New Roman" w:hAnsi="Times New Roman" w:cs="Times New Roman"/>
          <w:sz w:val="28"/>
          <w:szCs w:val="28"/>
        </w:rPr>
        <w:t xml:space="preserve">The analysis of the statement of account which is not disputed, reveals that </w:t>
      </w:r>
      <w:r w:rsidR="00F700D2">
        <w:rPr>
          <w:rFonts w:ascii="Times New Roman" w:hAnsi="Times New Roman" w:cs="Times New Roman"/>
          <w:sz w:val="28"/>
          <w:szCs w:val="28"/>
        </w:rPr>
        <w:t xml:space="preserve">as early as </w:t>
      </w:r>
      <w:r w:rsidR="00623916">
        <w:rPr>
          <w:rFonts w:ascii="Times New Roman" w:hAnsi="Times New Roman" w:cs="Times New Roman"/>
          <w:sz w:val="28"/>
          <w:szCs w:val="28"/>
        </w:rPr>
        <w:t>o</w:t>
      </w:r>
      <w:r w:rsidR="00F700D2">
        <w:rPr>
          <w:rFonts w:ascii="Times New Roman" w:hAnsi="Times New Roman" w:cs="Times New Roman"/>
          <w:sz w:val="28"/>
          <w:szCs w:val="28"/>
        </w:rPr>
        <w:t xml:space="preserve">n </w:t>
      </w:r>
      <w:r w:rsidR="00623916">
        <w:rPr>
          <w:rFonts w:ascii="Times New Roman" w:hAnsi="Times New Roman" w:cs="Times New Roman"/>
          <w:sz w:val="28"/>
          <w:szCs w:val="28"/>
        </w:rPr>
        <w:t>12 Dec</w:t>
      </w:r>
      <w:r w:rsidR="00F700D2">
        <w:rPr>
          <w:rFonts w:ascii="Times New Roman" w:hAnsi="Times New Roman" w:cs="Times New Roman"/>
          <w:sz w:val="28"/>
          <w:szCs w:val="28"/>
        </w:rPr>
        <w:t xml:space="preserve">ember 2019, the first respondent </w:t>
      </w:r>
      <w:r w:rsidR="006265A5">
        <w:rPr>
          <w:rFonts w:ascii="Times New Roman" w:hAnsi="Times New Roman" w:cs="Times New Roman"/>
          <w:sz w:val="28"/>
          <w:szCs w:val="28"/>
        </w:rPr>
        <w:t xml:space="preserve">had </w:t>
      </w:r>
      <w:r w:rsidR="00070E0F">
        <w:rPr>
          <w:rFonts w:ascii="Times New Roman" w:hAnsi="Times New Roman" w:cs="Times New Roman"/>
          <w:sz w:val="28"/>
          <w:szCs w:val="28"/>
        </w:rPr>
        <w:t>purchased stock on credit</w:t>
      </w:r>
      <w:r w:rsidR="007E3EB8">
        <w:rPr>
          <w:rFonts w:ascii="Times New Roman" w:hAnsi="Times New Roman" w:cs="Times New Roman"/>
          <w:sz w:val="28"/>
          <w:szCs w:val="28"/>
        </w:rPr>
        <w:t xml:space="preserve"> </w:t>
      </w:r>
      <w:r w:rsidR="00C0341B">
        <w:rPr>
          <w:rFonts w:ascii="Times New Roman" w:hAnsi="Times New Roman" w:cs="Times New Roman"/>
          <w:sz w:val="28"/>
          <w:szCs w:val="28"/>
        </w:rPr>
        <w:t xml:space="preserve">and made </w:t>
      </w:r>
      <w:r w:rsidR="00C949B3">
        <w:rPr>
          <w:rFonts w:ascii="Times New Roman" w:hAnsi="Times New Roman" w:cs="Times New Roman"/>
          <w:sz w:val="28"/>
          <w:szCs w:val="28"/>
        </w:rPr>
        <w:t>over 13 purchases on credit between</w:t>
      </w:r>
      <w:r w:rsidR="0068642A">
        <w:rPr>
          <w:rFonts w:ascii="Times New Roman" w:hAnsi="Times New Roman" w:cs="Times New Roman"/>
          <w:sz w:val="28"/>
          <w:szCs w:val="28"/>
        </w:rPr>
        <w:t xml:space="preserve"> 13 January 2020 until 26 March 2020</w:t>
      </w:r>
      <w:r w:rsidR="004772B0">
        <w:rPr>
          <w:rFonts w:ascii="Times New Roman" w:hAnsi="Times New Roman" w:cs="Times New Roman"/>
          <w:sz w:val="28"/>
          <w:szCs w:val="28"/>
        </w:rPr>
        <w:t xml:space="preserve"> and again </w:t>
      </w:r>
      <w:r w:rsidR="00153C28">
        <w:rPr>
          <w:rFonts w:ascii="Times New Roman" w:hAnsi="Times New Roman" w:cs="Times New Roman"/>
          <w:sz w:val="28"/>
          <w:szCs w:val="28"/>
        </w:rPr>
        <w:t>during November 2021 outside of hard lock dow</w:t>
      </w:r>
      <w:r w:rsidR="00DC4E4B">
        <w:rPr>
          <w:rFonts w:ascii="Times New Roman" w:hAnsi="Times New Roman" w:cs="Times New Roman"/>
          <w:sz w:val="28"/>
          <w:szCs w:val="28"/>
        </w:rPr>
        <w:t>n.</w:t>
      </w:r>
      <w:r w:rsidR="0068642A">
        <w:rPr>
          <w:rFonts w:ascii="Times New Roman" w:hAnsi="Times New Roman" w:cs="Times New Roman"/>
          <w:sz w:val="28"/>
          <w:szCs w:val="28"/>
        </w:rPr>
        <w:t xml:space="preserve"> </w:t>
      </w:r>
      <w:r w:rsidR="00AD2C48">
        <w:rPr>
          <w:rFonts w:ascii="Times New Roman" w:hAnsi="Times New Roman" w:cs="Times New Roman"/>
          <w:sz w:val="28"/>
          <w:szCs w:val="28"/>
        </w:rPr>
        <w:t xml:space="preserve"> There is no evidence </w:t>
      </w:r>
      <w:r w:rsidR="00AE5D65">
        <w:rPr>
          <w:rFonts w:ascii="Times New Roman" w:hAnsi="Times New Roman" w:cs="Times New Roman"/>
          <w:sz w:val="28"/>
          <w:szCs w:val="28"/>
        </w:rPr>
        <w:t>from the opposing affidavit on</w:t>
      </w:r>
      <w:r w:rsidR="00DC4E4B">
        <w:rPr>
          <w:rFonts w:ascii="Times New Roman" w:hAnsi="Times New Roman" w:cs="Times New Roman"/>
          <w:sz w:val="28"/>
          <w:szCs w:val="28"/>
        </w:rPr>
        <w:t xml:space="preserve"> how the </w:t>
      </w:r>
      <w:r w:rsidR="00DC4E4B">
        <w:rPr>
          <w:rFonts w:ascii="Times New Roman" w:hAnsi="Times New Roman" w:cs="Times New Roman"/>
          <w:sz w:val="28"/>
          <w:szCs w:val="28"/>
        </w:rPr>
        <w:lastRenderedPageBreak/>
        <w:t xml:space="preserve">lockdown affected </w:t>
      </w:r>
      <w:r w:rsidR="00FF203C">
        <w:rPr>
          <w:rFonts w:ascii="Times New Roman" w:hAnsi="Times New Roman" w:cs="Times New Roman"/>
          <w:sz w:val="28"/>
          <w:szCs w:val="28"/>
        </w:rPr>
        <w:t>the first respondent’s inability to pay its debt in accordance with the agreement</w:t>
      </w:r>
      <w:r w:rsidR="004D4C6B">
        <w:rPr>
          <w:rFonts w:ascii="Times New Roman" w:hAnsi="Times New Roman" w:cs="Times New Roman"/>
          <w:sz w:val="28"/>
          <w:szCs w:val="28"/>
        </w:rPr>
        <w:t>.</w:t>
      </w:r>
      <w:r w:rsidR="00150E59">
        <w:rPr>
          <w:rFonts w:ascii="Times New Roman" w:hAnsi="Times New Roman" w:cs="Times New Roman"/>
          <w:sz w:val="28"/>
          <w:szCs w:val="28"/>
        </w:rPr>
        <w:t xml:space="preserve"> In the Court’s view, the impossibility to pay is subjective and </w:t>
      </w:r>
      <w:r w:rsidR="00DC243F">
        <w:rPr>
          <w:rFonts w:ascii="Times New Roman" w:hAnsi="Times New Roman" w:cs="Times New Roman"/>
          <w:sz w:val="28"/>
          <w:szCs w:val="28"/>
        </w:rPr>
        <w:t>cannot pass the required objective test as no facts are averred to show</w:t>
      </w:r>
      <w:r w:rsidR="004E7EE3">
        <w:rPr>
          <w:rFonts w:ascii="Times New Roman" w:hAnsi="Times New Roman" w:cs="Times New Roman"/>
          <w:sz w:val="28"/>
          <w:szCs w:val="28"/>
        </w:rPr>
        <w:t xml:space="preserve"> how the alleged force majeure affected its payment obligations. </w:t>
      </w:r>
      <w:r w:rsidR="00DC243F">
        <w:rPr>
          <w:rFonts w:ascii="Times New Roman" w:hAnsi="Times New Roman" w:cs="Times New Roman"/>
          <w:sz w:val="28"/>
          <w:szCs w:val="28"/>
        </w:rPr>
        <w:t xml:space="preserve"> </w:t>
      </w:r>
    </w:p>
    <w:p w14:paraId="51C74AEC" w14:textId="4A0064DE" w:rsidR="00A624A5" w:rsidRPr="007A3FF2" w:rsidRDefault="00A624A5" w:rsidP="00C14C4A">
      <w:pPr>
        <w:spacing w:line="360" w:lineRule="auto"/>
        <w:ind w:left="720" w:hanging="720"/>
        <w:jc w:val="both"/>
        <w:rPr>
          <w:rFonts w:ascii="Times New Roman" w:eastAsia="Calibri" w:hAnsi="Times New Roman" w:cs="Times New Roman"/>
          <w:sz w:val="28"/>
          <w:szCs w:val="28"/>
          <w:lang w:val="en-GB"/>
        </w:rPr>
      </w:pPr>
      <w:r>
        <w:rPr>
          <w:rFonts w:ascii="Times New Roman" w:hAnsi="Times New Roman" w:cs="Times New Roman"/>
          <w:sz w:val="28"/>
          <w:szCs w:val="28"/>
        </w:rPr>
        <w:t xml:space="preserve">[21] </w:t>
      </w:r>
      <w:r w:rsidR="00DF2BB6">
        <w:rPr>
          <w:rFonts w:ascii="Times New Roman" w:hAnsi="Times New Roman" w:cs="Times New Roman"/>
          <w:sz w:val="28"/>
          <w:szCs w:val="28"/>
        </w:rPr>
        <w:tab/>
      </w:r>
      <w:r>
        <w:rPr>
          <w:rFonts w:ascii="Times New Roman" w:hAnsi="Times New Roman" w:cs="Times New Roman"/>
          <w:sz w:val="28"/>
          <w:szCs w:val="28"/>
        </w:rPr>
        <w:t>The second respondent signed the Acknowle</w:t>
      </w:r>
      <w:r w:rsidR="00930809">
        <w:rPr>
          <w:rFonts w:ascii="Times New Roman" w:hAnsi="Times New Roman" w:cs="Times New Roman"/>
          <w:sz w:val="28"/>
          <w:szCs w:val="28"/>
        </w:rPr>
        <w:t>dgment of Debt confirming the indebtedness and standing as surety for the first respondent. This not in dispute.</w:t>
      </w:r>
    </w:p>
    <w:p w14:paraId="2E2995A5" w14:textId="29AA1CC4" w:rsidR="00CC464E" w:rsidRDefault="00156E89" w:rsidP="00CC464E">
      <w:pPr>
        <w:spacing w:line="480" w:lineRule="auto"/>
        <w:jc w:val="both"/>
        <w:rPr>
          <w:rFonts w:ascii="Times New Roman" w:eastAsia="Calibri" w:hAnsi="Times New Roman" w:cs="Times New Roman"/>
          <w:i/>
          <w:iCs/>
          <w:color w:val="242121"/>
          <w:sz w:val="28"/>
          <w:szCs w:val="28"/>
          <w:shd w:val="clear" w:color="auto" w:fill="FFFFFF"/>
          <w:lang w:val="en-GB"/>
        </w:rPr>
      </w:pPr>
      <w:r w:rsidRPr="00156E89">
        <w:rPr>
          <w:rFonts w:ascii="Times New Roman" w:eastAsia="Calibri" w:hAnsi="Times New Roman" w:cs="Times New Roman"/>
          <w:i/>
          <w:iCs/>
          <w:color w:val="242121"/>
          <w:sz w:val="28"/>
          <w:szCs w:val="28"/>
          <w:shd w:val="clear" w:color="auto" w:fill="FFFFFF"/>
          <w:lang w:val="en-GB"/>
        </w:rPr>
        <w:t>Reckless Lending</w:t>
      </w:r>
    </w:p>
    <w:p w14:paraId="6F05E971" w14:textId="0C2A7005" w:rsidR="00156E89" w:rsidRDefault="00156E89" w:rsidP="00C14C4A">
      <w:pPr>
        <w:spacing w:line="360" w:lineRule="auto"/>
        <w:ind w:left="720" w:hanging="720"/>
        <w:jc w:val="both"/>
        <w:rPr>
          <w:rFonts w:ascii="Times New Roman" w:eastAsia="Calibri" w:hAnsi="Times New Roman" w:cs="Times New Roman"/>
          <w:color w:val="242121"/>
          <w:sz w:val="28"/>
          <w:szCs w:val="28"/>
          <w:shd w:val="clear" w:color="auto" w:fill="FFFFFF"/>
          <w:lang w:val="en-GB"/>
        </w:rPr>
      </w:pPr>
      <w:r w:rsidRPr="00156E89">
        <w:rPr>
          <w:rFonts w:ascii="Times New Roman" w:eastAsia="Calibri" w:hAnsi="Times New Roman" w:cs="Times New Roman"/>
          <w:color w:val="242121"/>
          <w:sz w:val="28"/>
          <w:szCs w:val="28"/>
          <w:shd w:val="clear" w:color="auto" w:fill="FFFFFF"/>
          <w:lang w:val="en-GB"/>
        </w:rPr>
        <w:t>[22]</w:t>
      </w:r>
      <w:r>
        <w:rPr>
          <w:rFonts w:ascii="Times New Roman" w:eastAsia="Calibri" w:hAnsi="Times New Roman" w:cs="Times New Roman"/>
          <w:color w:val="242121"/>
          <w:sz w:val="28"/>
          <w:szCs w:val="28"/>
          <w:shd w:val="clear" w:color="auto" w:fill="FFFFFF"/>
          <w:lang w:val="en-GB"/>
        </w:rPr>
        <w:t xml:space="preserve"> </w:t>
      </w:r>
      <w:r w:rsidR="00DF2BB6">
        <w:rPr>
          <w:rFonts w:ascii="Times New Roman" w:eastAsia="Calibri" w:hAnsi="Times New Roman" w:cs="Times New Roman"/>
          <w:color w:val="242121"/>
          <w:sz w:val="28"/>
          <w:szCs w:val="28"/>
          <w:shd w:val="clear" w:color="auto" w:fill="FFFFFF"/>
          <w:lang w:val="en-GB"/>
        </w:rPr>
        <w:tab/>
      </w:r>
      <w:r>
        <w:rPr>
          <w:rFonts w:ascii="Times New Roman" w:eastAsia="Calibri" w:hAnsi="Times New Roman" w:cs="Times New Roman"/>
          <w:color w:val="242121"/>
          <w:sz w:val="28"/>
          <w:szCs w:val="28"/>
          <w:shd w:val="clear" w:color="auto" w:fill="FFFFFF"/>
          <w:lang w:val="en-GB"/>
        </w:rPr>
        <w:t>The respondents also raise t</w:t>
      </w:r>
      <w:r w:rsidR="00EA70B6">
        <w:rPr>
          <w:rFonts w:ascii="Times New Roman" w:eastAsia="Calibri" w:hAnsi="Times New Roman" w:cs="Times New Roman"/>
          <w:color w:val="242121"/>
          <w:sz w:val="28"/>
          <w:szCs w:val="28"/>
          <w:shd w:val="clear" w:color="auto" w:fill="FFFFFF"/>
          <w:lang w:val="en-GB"/>
        </w:rPr>
        <w:t xml:space="preserve">he defence of reckless lending and aver that the credit was in violation of </w:t>
      </w:r>
      <w:r w:rsidR="00127FA5">
        <w:rPr>
          <w:rFonts w:ascii="Times New Roman" w:eastAsia="Calibri" w:hAnsi="Times New Roman" w:cs="Times New Roman"/>
          <w:color w:val="242121"/>
          <w:sz w:val="28"/>
          <w:szCs w:val="28"/>
          <w:shd w:val="clear" w:color="auto" w:fill="FFFFFF"/>
          <w:lang w:val="en-GB"/>
        </w:rPr>
        <w:t xml:space="preserve">National Credit Act, </w:t>
      </w:r>
      <w:r w:rsidR="008A58F1">
        <w:rPr>
          <w:rFonts w:ascii="Times New Roman" w:eastAsia="Calibri" w:hAnsi="Times New Roman" w:cs="Times New Roman"/>
          <w:color w:val="242121"/>
          <w:sz w:val="28"/>
          <w:szCs w:val="28"/>
          <w:shd w:val="clear" w:color="auto" w:fill="FFFFFF"/>
          <w:lang w:val="en-GB"/>
        </w:rPr>
        <w:t>No 34 of 2005</w:t>
      </w:r>
      <w:r w:rsidR="00463A69">
        <w:rPr>
          <w:rFonts w:ascii="Times New Roman" w:eastAsia="Calibri" w:hAnsi="Times New Roman" w:cs="Times New Roman"/>
          <w:color w:val="242121"/>
          <w:sz w:val="28"/>
          <w:szCs w:val="28"/>
          <w:shd w:val="clear" w:color="auto" w:fill="FFFFFF"/>
          <w:lang w:val="en-GB"/>
        </w:rPr>
        <w:t>(“NCA”)</w:t>
      </w:r>
      <w:r w:rsidR="008A58F1">
        <w:rPr>
          <w:rFonts w:ascii="Times New Roman" w:eastAsia="Calibri" w:hAnsi="Times New Roman" w:cs="Times New Roman"/>
          <w:color w:val="242121"/>
          <w:sz w:val="28"/>
          <w:szCs w:val="28"/>
          <w:shd w:val="clear" w:color="auto" w:fill="FFFFFF"/>
          <w:lang w:val="en-GB"/>
        </w:rPr>
        <w:t xml:space="preserve">. It is not clarified to this Court </w:t>
      </w:r>
      <w:r w:rsidR="00463A69">
        <w:rPr>
          <w:rFonts w:ascii="Times New Roman" w:eastAsia="Calibri" w:hAnsi="Times New Roman" w:cs="Times New Roman"/>
          <w:color w:val="242121"/>
          <w:sz w:val="28"/>
          <w:szCs w:val="28"/>
          <w:shd w:val="clear" w:color="auto" w:fill="FFFFFF"/>
          <w:lang w:val="en-GB"/>
        </w:rPr>
        <w:t>o</w:t>
      </w:r>
      <w:r w:rsidR="008A58F1">
        <w:rPr>
          <w:rFonts w:ascii="Times New Roman" w:eastAsia="Calibri" w:hAnsi="Times New Roman" w:cs="Times New Roman"/>
          <w:color w:val="242121"/>
          <w:sz w:val="28"/>
          <w:szCs w:val="28"/>
          <w:shd w:val="clear" w:color="auto" w:fill="FFFFFF"/>
          <w:lang w:val="en-GB"/>
        </w:rPr>
        <w:t xml:space="preserve">n what </w:t>
      </w:r>
      <w:r w:rsidR="00463A69">
        <w:rPr>
          <w:rFonts w:ascii="Times New Roman" w:eastAsia="Calibri" w:hAnsi="Times New Roman" w:cs="Times New Roman"/>
          <w:color w:val="242121"/>
          <w:sz w:val="28"/>
          <w:szCs w:val="28"/>
          <w:shd w:val="clear" w:color="auto" w:fill="FFFFFF"/>
          <w:lang w:val="en-GB"/>
        </w:rPr>
        <w:t xml:space="preserve">basis is NCA relied </w:t>
      </w:r>
      <w:r w:rsidR="0015114B">
        <w:rPr>
          <w:rFonts w:ascii="Times New Roman" w:eastAsia="Calibri" w:hAnsi="Times New Roman" w:cs="Times New Roman"/>
          <w:color w:val="242121"/>
          <w:sz w:val="28"/>
          <w:szCs w:val="28"/>
          <w:shd w:val="clear" w:color="auto" w:fill="FFFFFF"/>
          <w:lang w:val="en-GB"/>
        </w:rPr>
        <w:t xml:space="preserve">upon. What is not disputed is the fact that </w:t>
      </w:r>
      <w:r w:rsidR="0024214E">
        <w:rPr>
          <w:rFonts w:ascii="Times New Roman" w:eastAsia="Calibri" w:hAnsi="Times New Roman" w:cs="Times New Roman"/>
          <w:color w:val="242121"/>
          <w:sz w:val="28"/>
          <w:szCs w:val="28"/>
          <w:shd w:val="clear" w:color="auto" w:fill="FFFFFF"/>
          <w:lang w:val="en-GB"/>
        </w:rPr>
        <w:t xml:space="preserve">the maximum limit of R250 000 which is applicable for the purposes of the NCA has been exceeded because the quantum claimed which is not disputed is in excess of R500 000. Without the need to </w:t>
      </w:r>
      <w:r w:rsidR="0057325E">
        <w:rPr>
          <w:rFonts w:ascii="Times New Roman" w:eastAsia="Calibri" w:hAnsi="Times New Roman" w:cs="Times New Roman"/>
          <w:color w:val="242121"/>
          <w:sz w:val="28"/>
          <w:szCs w:val="28"/>
          <w:shd w:val="clear" w:color="auto" w:fill="FFFFFF"/>
          <w:lang w:val="en-GB"/>
        </w:rPr>
        <w:t xml:space="preserve">ventilate on what constitute reckless lending, the Court is satisfied that there is not factual or legal basis for the respondents to aver that the stock purchased on credit in terms of the </w:t>
      </w:r>
      <w:r w:rsidR="003B4D6E">
        <w:rPr>
          <w:rFonts w:ascii="Times New Roman" w:eastAsia="Calibri" w:hAnsi="Times New Roman" w:cs="Times New Roman"/>
          <w:color w:val="242121"/>
          <w:sz w:val="28"/>
          <w:szCs w:val="28"/>
          <w:shd w:val="clear" w:color="auto" w:fill="FFFFFF"/>
          <w:lang w:val="en-GB"/>
        </w:rPr>
        <w:t xml:space="preserve">agreement amounted to reckless lending. Consequently, the defence must </w:t>
      </w:r>
      <w:r w:rsidR="009C12E7">
        <w:rPr>
          <w:rFonts w:ascii="Times New Roman" w:eastAsia="Calibri" w:hAnsi="Times New Roman" w:cs="Times New Roman"/>
          <w:color w:val="242121"/>
          <w:sz w:val="28"/>
          <w:szCs w:val="28"/>
          <w:shd w:val="clear" w:color="auto" w:fill="FFFFFF"/>
          <w:lang w:val="en-GB"/>
        </w:rPr>
        <w:t>fail.</w:t>
      </w:r>
      <w:r w:rsidR="00463A69">
        <w:rPr>
          <w:rFonts w:ascii="Times New Roman" w:eastAsia="Calibri" w:hAnsi="Times New Roman" w:cs="Times New Roman"/>
          <w:color w:val="242121"/>
          <w:sz w:val="28"/>
          <w:szCs w:val="28"/>
          <w:shd w:val="clear" w:color="auto" w:fill="FFFFFF"/>
          <w:lang w:val="en-GB"/>
        </w:rPr>
        <w:t xml:space="preserve"> </w:t>
      </w:r>
    </w:p>
    <w:p w14:paraId="58E53587" w14:textId="53181B59" w:rsidR="00B73607" w:rsidRPr="00156E89" w:rsidRDefault="00B73607" w:rsidP="00C14C4A">
      <w:pPr>
        <w:spacing w:line="360" w:lineRule="auto"/>
        <w:jc w:val="both"/>
        <w:rPr>
          <w:rFonts w:ascii="Times New Roman" w:eastAsia="Calibri" w:hAnsi="Times New Roman" w:cs="Times New Roman"/>
          <w:color w:val="242121"/>
          <w:sz w:val="28"/>
          <w:szCs w:val="28"/>
          <w:shd w:val="clear" w:color="auto" w:fill="FFFFFF"/>
          <w:lang w:val="en-GB"/>
        </w:rPr>
      </w:pPr>
      <w:r>
        <w:rPr>
          <w:rFonts w:ascii="Times New Roman" w:eastAsia="Calibri" w:hAnsi="Times New Roman" w:cs="Times New Roman"/>
          <w:color w:val="242121"/>
          <w:sz w:val="28"/>
          <w:szCs w:val="28"/>
          <w:shd w:val="clear" w:color="auto" w:fill="FFFFFF"/>
          <w:lang w:val="en-GB"/>
        </w:rPr>
        <w:t xml:space="preserve">[23] </w:t>
      </w:r>
      <w:r w:rsidR="00DF2BB6">
        <w:rPr>
          <w:rFonts w:ascii="Times New Roman" w:eastAsia="Calibri" w:hAnsi="Times New Roman" w:cs="Times New Roman"/>
          <w:color w:val="242121"/>
          <w:sz w:val="28"/>
          <w:szCs w:val="28"/>
          <w:shd w:val="clear" w:color="auto" w:fill="FFFFFF"/>
          <w:lang w:val="en-GB"/>
        </w:rPr>
        <w:tab/>
      </w:r>
      <w:r>
        <w:rPr>
          <w:rFonts w:ascii="Times New Roman" w:eastAsia="Calibri" w:hAnsi="Times New Roman" w:cs="Times New Roman"/>
          <w:color w:val="242121"/>
          <w:sz w:val="28"/>
          <w:szCs w:val="28"/>
          <w:shd w:val="clear" w:color="auto" w:fill="FFFFFF"/>
          <w:lang w:val="en-GB"/>
        </w:rPr>
        <w:t>The agreement provides for costs on the client</w:t>
      </w:r>
      <w:r w:rsidR="0097477B">
        <w:rPr>
          <w:rFonts w:ascii="Times New Roman" w:eastAsia="Calibri" w:hAnsi="Times New Roman" w:cs="Times New Roman"/>
          <w:color w:val="242121"/>
          <w:sz w:val="28"/>
          <w:szCs w:val="28"/>
          <w:shd w:val="clear" w:color="auto" w:fill="FFFFFF"/>
          <w:lang w:val="en-GB"/>
        </w:rPr>
        <w:t xml:space="preserve"> and </w:t>
      </w:r>
      <w:r>
        <w:rPr>
          <w:rFonts w:ascii="Times New Roman" w:eastAsia="Calibri" w:hAnsi="Times New Roman" w:cs="Times New Roman"/>
          <w:color w:val="242121"/>
          <w:sz w:val="28"/>
          <w:szCs w:val="28"/>
          <w:shd w:val="clear" w:color="auto" w:fill="FFFFFF"/>
          <w:lang w:val="en-GB"/>
        </w:rPr>
        <w:t>atto</w:t>
      </w:r>
      <w:r w:rsidR="0097477B">
        <w:rPr>
          <w:rFonts w:ascii="Times New Roman" w:eastAsia="Calibri" w:hAnsi="Times New Roman" w:cs="Times New Roman"/>
          <w:color w:val="242121"/>
          <w:sz w:val="28"/>
          <w:szCs w:val="28"/>
          <w:shd w:val="clear" w:color="auto" w:fill="FFFFFF"/>
          <w:lang w:val="en-GB"/>
        </w:rPr>
        <w:t>rney scale.</w:t>
      </w:r>
    </w:p>
    <w:p w14:paraId="0C5E9CA6" w14:textId="31D19DB6" w:rsidR="00CC464E" w:rsidRPr="009C12E7" w:rsidRDefault="00CC464E" w:rsidP="009C12E7">
      <w:pPr>
        <w:spacing w:line="480" w:lineRule="auto"/>
        <w:jc w:val="both"/>
        <w:rPr>
          <w:rFonts w:ascii="Times New Roman" w:eastAsia="Calibri" w:hAnsi="Times New Roman" w:cs="Times New Roman"/>
          <w:i/>
          <w:iCs/>
          <w:color w:val="242121"/>
          <w:sz w:val="28"/>
          <w:szCs w:val="28"/>
          <w:shd w:val="clear" w:color="auto" w:fill="FFFFFF"/>
          <w:lang w:val="en-GB"/>
        </w:rPr>
      </w:pPr>
      <w:r w:rsidRPr="009C12E7">
        <w:rPr>
          <w:rFonts w:ascii="Times New Roman" w:eastAsia="Calibri" w:hAnsi="Times New Roman" w:cs="Times New Roman"/>
          <w:i/>
          <w:iCs/>
          <w:color w:val="242121"/>
          <w:sz w:val="28"/>
          <w:szCs w:val="28"/>
          <w:shd w:val="clear" w:color="auto" w:fill="FFFFFF"/>
          <w:lang w:val="en-GB"/>
        </w:rPr>
        <w:t>O</w:t>
      </w:r>
      <w:r w:rsidR="009C12E7">
        <w:rPr>
          <w:rFonts w:ascii="Times New Roman" w:eastAsia="Calibri" w:hAnsi="Times New Roman" w:cs="Times New Roman"/>
          <w:i/>
          <w:iCs/>
          <w:color w:val="242121"/>
          <w:sz w:val="28"/>
          <w:szCs w:val="28"/>
          <w:shd w:val="clear" w:color="auto" w:fill="FFFFFF"/>
          <w:lang w:val="en-GB"/>
        </w:rPr>
        <w:t>r</w:t>
      </w:r>
      <w:r w:rsidR="00DF2BB6">
        <w:rPr>
          <w:rFonts w:ascii="Times New Roman" w:eastAsia="Calibri" w:hAnsi="Times New Roman" w:cs="Times New Roman"/>
          <w:i/>
          <w:iCs/>
          <w:color w:val="242121"/>
          <w:sz w:val="28"/>
          <w:szCs w:val="28"/>
          <w:shd w:val="clear" w:color="auto" w:fill="FFFFFF"/>
          <w:lang w:val="en-GB"/>
        </w:rPr>
        <w:t>der</w:t>
      </w:r>
    </w:p>
    <w:p w14:paraId="5DCEC892" w14:textId="620888B5" w:rsidR="008F08B8" w:rsidRDefault="00CC464E" w:rsidP="00C14C4A">
      <w:pPr>
        <w:spacing w:line="360" w:lineRule="auto"/>
        <w:ind w:left="720" w:hanging="720"/>
        <w:jc w:val="both"/>
        <w:rPr>
          <w:rFonts w:ascii="Times New Roman" w:hAnsi="Times New Roman" w:cs="Times New Roman"/>
          <w:sz w:val="28"/>
          <w:szCs w:val="28"/>
        </w:rPr>
      </w:pPr>
      <w:r w:rsidRPr="008A779E">
        <w:rPr>
          <w:rFonts w:ascii="Times New Roman" w:eastAsia="Calibri" w:hAnsi="Times New Roman" w:cs="Times New Roman"/>
          <w:color w:val="242121"/>
          <w:sz w:val="28"/>
          <w:szCs w:val="28"/>
          <w:shd w:val="clear" w:color="auto" w:fill="FFFFFF"/>
          <w:lang w:val="en-GB"/>
        </w:rPr>
        <w:t>[</w:t>
      </w:r>
      <w:r w:rsidR="009C12E7">
        <w:rPr>
          <w:rFonts w:ascii="Times New Roman" w:eastAsia="Calibri" w:hAnsi="Times New Roman" w:cs="Times New Roman"/>
          <w:color w:val="242121"/>
          <w:sz w:val="28"/>
          <w:szCs w:val="28"/>
          <w:shd w:val="clear" w:color="auto" w:fill="FFFFFF"/>
          <w:lang w:val="en-GB"/>
        </w:rPr>
        <w:t>2</w:t>
      </w:r>
      <w:r w:rsidR="0097477B">
        <w:rPr>
          <w:rFonts w:ascii="Times New Roman" w:eastAsia="Calibri" w:hAnsi="Times New Roman" w:cs="Times New Roman"/>
          <w:color w:val="242121"/>
          <w:sz w:val="28"/>
          <w:szCs w:val="28"/>
          <w:shd w:val="clear" w:color="auto" w:fill="FFFFFF"/>
          <w:lang w:val="en-GB"/>
        </w:rPr>
        <w:t>4</w:t>
      </w:r>
      <w:r w:rsidRPr="008A779E">
        <w:rPr>
          <w:rFonts w:ascii="Times New Roman" w:eastAsia="Calibri" w:hAnsi="Times New Roman" w:cs="Times New Roman"/>
          <w:color w:val="242121"/>
          <w:sz w:val="28"/>
          <w:szCs w:val="28"/>
          <w:shd w:val="clear" w:color="auto" w:fill="FFFFFF"/>
          <w:lang w:val="en-GB"/>
        </w:rPr>
        <w:t>]</w:t>
      </w:r>
      <w:r w:rsidR="009C12E7">
        <w:rPr>
          <w:rFonts w:ascii="Times New Roman" w:eastAsia="Calibri" w:hAnsi="Times New Roman" w:cs="Times New Roman"/>
          <w:color w:val="242121"/>
          <w:sz w:val="28"/>
          <w:szCs w:val="28"/>
          <w:shd w:val="clear" w:color="auto" w:fill="FFFFFF"/>
          <w:lang w:val="en-GB"/>
        </w:rPr>
        <w:t xml:space="preserve"> </w:t>
      </w:r>
      <w:r w:rsidRPr="008A779E">
        <w:rPr>
          <w:rFonts w:ascii="Times New Roman" w:eastAsia="Calibri" w:hAnsi="Times New Roman" w:cs="Times New Roman"/>
          <w:color w:val="242121"/>
          <w:sz w:val="28"/>
          <w:szCs w:val="28"/>
          <w:shd w:val="clear" w:color="auto" w:fill="FFFFFF"/>
          <w:lang w:val="en-GB"/>
        </w:rPr>
        <w:t xml:space="preserve"> </w:t>
      </w:r>
      <w:r w:rsidR="00DF2BB6">
        <w:rPr>
          <w:rFonts w:ascii="Times New Roman" w:eastAsia="Calibri" w:hAnsi="Times New Roman" w:cs="Times New Roman"/>
          <w:color w:val="242121"/>
          <w:sz w:val="28"/>
          <w:szCs w:val="28"/>
          <w:shd w:val="clear" w:color="auto" w:fill="FFFFFF"/>
          <w:lang w:val="en-GB"/>
        </w:rPr>
        <w:tab/>
      </w:r>
      <w:r w:rsidR="008F08B8" w:rsidRPr="008F08B8">
        <w:rPr>
          <w:rFonts w:ascii="Times New Roman" w:hAnsi="Times New Roman" w:cs="Times New Roman"/>
          <w:sz w:val="28"/>
          <w:szCs w:val="28"/>
        </w:rPr>
        <w:t>H</w:t>
      </w:r>
      <w:r w:rsidR="00DF2BB6">
        <w:rPr>
          <w:rFonts w:ascii="Times New Roman" w:hAnsi="Times New Roman" w:cs="Times New Roman"/>
          <w:sz w:val="28"/>
          <w:szCs w:val="28"/>
        </w:rPr>
        <w:t>aving</w:t>
      </w:r>
      <w:r w:rsidR="008F08B8" w:rsidRPr="008F08B8">
        <w:rPr>
          <w:rFonts w:ascii="Times New Roman" w:hAnsi="Times New Roman" w:cs="Times New Roman"/>
          <w:sz w:val="28"/>
          <w:szCs w:val="28"/>
        </w:rPr>
        <w:t xml:space="preserve"> read the documents filed of record, heard counsel for the parties, and having considered the matter, judgment is granted in favour of the Applicant against the Respondents, jointly and severally, the one paying the other to be absolved, for: </w:t>
      </w:r>
    </w:p>
    <w:p w14:paraId="02A10BA7" w14:textId="2B4967A9" w:rsidR="008F08B8" w:rsidRDefault="008F08B8" w:rsidP="00C14C4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2BB6">
        <w:rPr>
          <w:rFonts w:ascii="Times New Roman" w:hAnsi="Times New Roman" w:cs="Times New Roman"/>
          <w:sz w:val="28"/>
          <w:szCs w:val="28"/>
        </w:rPr>
        <w:tab/>
      </w:r>
      <w:r>
        <w:rPr>
          <w:rFonts w:ascii="Times New Roman" w:hAnsi="Times New Roman" w:cs="Times New Roman"/>
          <w:sz w:val="28"/>
          <w:szCs w:val="28"/>
        </w:rPr>
        <w:t>2</w:t>
      </w:r>
      <w:r w:rsidR="0097477B">
        <w:rPr>
          <w:rFonts w:ascii="Times New Roman" w:hAnsi="Times New Roman" w:cs="Times New Roman"/>
          <w:sz w:val="28"/>
          <w:szCs w:val="28"/>
        </w:rPr>
        <w:t>4</w:t>
      </w:r>
      <w:r>
        <w:rPr>
          <w:rFonts w:ascii="Times New Roman" w:hAnsi="Times New Roman" w:cs="Times New Roman"/>
          <w:sz w:val="28"/>
          <w:szCs w:val="28"/>
        </w:rPr>
        <w:t>.</w:t>
      </w:r>
      <w:r w:rsidRPr="008F08B8">
        <w:rPr>
          <w:rFonts w:ascii="Times New Roman" w:hAnsi="Times New Roman" w:cs="Times New Roman"/>
          <w:sz w:val="28"/>
          <w:szCs w:val="28"/>
        </w:rPr>
        <w:t>1</w:t>
      </w:r>
      <w:proofErr w:type="gramStart"/>
      <w:r w:rsidR="00C14C4A">
        <w:rPr>
          <w:rFonts w:ascii="Times New Roman" w:hAnsi="Times New Roman" w:cs="Times New Roman"/>
          <w:sz w:val="28"/>
          <w:szCs w:val="28"/>
        </w:rPr>
        <w:t xml:space="preserve">. </w:t>
      </w:r>
      <w:r w:rsidRPr="008F08B8">
        <w:rPr>
          <w:rFonts w:ascii="Times New Roman" w:hAnsi="Times New Roman" w:cs="Times New Roman"/>
          <w:sz w:val="28"/>
          <w:szCs w:val="28"/>
        </w:rPr>
        <w:t xml:space="preserve"> Payment</w:t>
      </w:r>
      <w:proofErr w:type="gramEnd"/>
      <w:r w:rsidRPr="008F08B8">
        <w:rPr>
          <w:rFonts w:ascii="Times New Roman" w:hAnsi="Times New Roman" w:cs="Times New Roman"/>
          <w:sz w:val="28"/>
          <w:szCs w:val="28"/>
        </w:rPr>
        <w:t xml:space="preserve"> of the sum of R582,649.69; </w:t>
      </w:r>
    </w:p>
    <w:p w14:paraId="5F75EA71" w14:textId="329E4443" w:rsidR="00DF2BB6" w:rsidRDefault="008F08B8" w:rsidP="00C14C4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F2BB6">
        <w:rPr>
          <w:rFonts w:ascii="Times New Roman" w:hAnsi="Times New Roman" w:cs="Times New Roman"/>
          <w:sz w:val="28"/>
          <w:szCs w:val="28"/>
        </w:rPr>
        <w:tab/>
      </w:r>
      <w:r>
        <w:rPr>
          <w:rFonts w:ascii="Times New Roman" w:hAnsi="Times New Roman" w:cs="Times New Roman"/>
          <w:sz w:val="28"/>
          <w:szCs w:val="28"/>
        </w:rPr>
        <w:t>2</w:t>
      </w:r>
      <w:r w:rsidR="0097477B">
        <w:rPr>
          <w:rFonts w:ascii="Times New Roman" w:hAnsi="Times New Roman" w:cs="Times New Roman"/>
          <w:sz w:val="28"/>
          <w:szCs w:val="28"/>
        </w:rPr>
        <w:t>4</w:t>
      </w:r>
      <w:r>
        <w:rPr>
          <w:rFonts w:ascii="Times New Roman" w:hAnsi="Times New Roman" w:cs="Times New Roman"/>
          <w:sz w:val="28"/>
          <w:szCs w:val="28"/>
        </w:rPr>
        <w:t>.</w:t>
      </w:r>
      <w:r w:rsidRPr="008F08B8">
        <w:rPr>
          <w:rFonts w:ascii="Times New Roman" w:hAnsi="Times New Roman" w:cs="Times New Roman"/>
          <w:sz w:val="28"/>
          <w:szCs w:val="28"/>
        </w:rPr>
        <w:t>2</w:t>
      </w:r>
      <w:r w:rsidR="00C14C4A">
        <w:rPr>
          <w:rFonts w:ascii="Times New Roman" w:hAnsi="Times New Roman" w:cs="Times New Roman"/>
          <w:sz w:val="28"/>
          <w:szCs w:val="28"/>
        </w:rPr>
        <w:t xml:space="preserve">. </w:t>
      </w:r>
      <w:r w:rsidRPr="008F08B8">
        <w:rPr>
          <w:rFonts w:ascii="Times New Roman" w:hAnsi="Times New Roman" w:cs="Times New Roman"/>
          <w:sz w:val="28"/>
          <w:szCs w:val="28"/>
        </w:rPr>
        <w:t xml:space="preserve"> Interest on the sum of R582,649.69 at a rate of 7% per annum from</w:t>
      </w:r>
    </w:p>
    <w:p w14:paraId="58AE330A" w14:textId="4260C413" w:rsidR="008F08B8" w:rsidRDefault="00DF2BB6" w:rsidP="00C14C4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8F08B8" w:rsidRPr="008F08B8">
        <w:rPr>
          <w:rFonts w:ascii="Times New Roman" w:hAnsi="Times New Roman" w:cs="Times New Roman"/>
          <w:sz w:val="28"/>
          <w:szCs w:val="28"/>
        </w:rPr>
        <w:t xml:space="preserve">31 December 2021 to date of final payment; and </w:t>
      </w:r>
    </w:p>
    <w:p w14:paraId="097D656E" w14:textId="1DF45466" w:rsidR="00CC464E" w:rsidRPr="008A779E" w:rsidRDefault="008F08B8" w:rsidP="00C14C4A">
      <w:pPr>
        <w:spacing w:line="360" w:lineRule="auto"/>
        <w:ind w:left="720"/>
        <w:jc w:val="both"/>
        <w:rPr>
          <w:rFonts w:ascii="Times New Roman" w:eastAsia="Calibri" w:hAnsi="Times New Roman" w:cs="Times New Roman"/>
          <w:color w:val="242121"/>
          <w:sz w:val="28"/>
          <w:szCs w:val="28"/>
          <w:shd w:val="clear" w:color="auto" w:fill="FFFFFF"/>
          <w:lang w:val="en-GB"/>
        </w:rPr>
      </w:pPr>
      <w:r>
        <w:rPr>
          <w:rFonts w:ascii="Times New Roman" w:hAnsi="Times New Roman" w:cs="Times New Roman"/>
          <w:sz w:val="28"/>
          <w:szCs w:val="28"/>
        </w:rPr>
        <w:t>2</w:t>
      </w:r>
      <w:r w:rsidR="0097477B">
        <w:rPr>
          <w:rFonts w:ascii="Times New Roman" w:hAnsi="Times New Roman" w:cs="Times New Roman"/>
          <w:sz w:val="28"/>
          <w:szCs w:val="28"/>
        </w:rPr>
        <w:t>4</w:t>
      </w:r>
      <w:r>
        <w:rPr>
          <w:rFonts w:ascii="Times New Roman" w:hAnsi="Times New Roman" w:cs="Times New Roman"/>
          <w:sz w:val="28"/>
          <w:szCs w:val="28"/>
        </w:rPr>
        <w:t>.4</w:t>
      </w:r>
      <w:r w:rsidR="008777F2">
        <w:rPr>
          <w:rFonts w:ascii="Times New Roman" w:hAnsi="Times New Roman" w:cs="Times New Roman"/>
          <w:sz w:val="28"/>
          <w:szCs w:val="28"/>
        </w:rPr>
        <w:t>.</w:t>
      </w:r>
      <w:r w:rsidR="00C14C4A">
        <w:rPr>
          <w:rFonts w:ascii="Times New Roman" w:hAnsi="Times New Roman" w:cs="Times New Roman"/>
          <w:sz w:val="28"/>
          <w:szCs w:val="28"/>
        </w:rPr>
        <w:t xml:space="preserve"> </w:t>
      </w:r>
      <w:r w:rsidRPr="008F08B8">
        <w:rPr>
          <w:rFonts w:ascii="Times New Roman" w:hAnsi="Times New Roman" w:cs="Times New Roman"/>
          <w:sz w:val="28"/>
          <w:szCs w:val="28"/>
        </w:rPr>
        <w:t>Costs on an attorney and own client scale and collection commission</w:t>
      </w:r>
      <w:r w:rsidR="00C14C4A">
        <w:rPr>
          <w:rFonts w:ascii="Times New Roman" w:hAnsi="Times New Roman" w:cs="Times New Roman"/>
          <w:sz w:val="28"/>
          <w:szCs w:val="28"/>
        </w:rPr>
        <w:t>.</w:t>
      </w:r>
      <w:r w:rsidR="00CC464E" w:rsidRPr="008A779E">
        <w:rPr>
          <w:rFonts w:ascii="Times New Roman" w:eastAsia="Calibri" w:hAnsi="Times New Roman" w:cs="Times New Roman"/>
          <w:color w:val="242121"/>
          <w:sz w:val="28"/>
          <w:szCs w:val="28"/>
          <w:shd w:val="clear" w:color="auto" w:fill="FFFFFF"/>
          <w:lang w:val="en-GB"/>
        </w:rPr>
        <w:tab/>
      </w:r>
    </w:p>
    <w:p w14:paraId="458A7700" w14:textId="203DC623" w:rsidR="00CC464E" w:rsidRPr="008A779E" w:rsidRDefault="00CC464E" w:rsidP="00C14C4A">
      <w:pPr>
        <w:suppressAutoHyphens/>
        <w:spacing w:after="0" w:line="360" w:lineRule="auto"/>
        <w:jc w:val="both"/>
        <w:rPr>
          <w:rFonts w:ascii="Times New Roman" w:eastAsia="Arial Unicode MS" w:hAnsi="Times New Roman" w:cs="Times New Roman"/>
          <w:bCs/>
          <w:sz w:val="28"/>
          <w:szCs w:val="28"/>
          <w:u w:color="000000"/>
          <w:shd w:val="clear" w:color="auto" w:fill="FFFFFF"/>
          <w:lang w:val="en-US"/>
        </w:rPr>
      </w:pPr>
      <w:r w:rsidRPr="008A779E">
        <w:rPr>
          <w:rFonts w:ascii="Times New Roman" w:eastAsia="Arial Unicode MS" w:hAnsi="Times New Roman" w:cs="Times New Roman"/>
          <w:color w:val="000000"/>
          <w:sz w:val="28"/>
          <w:szCs w:val="28"/>
          <w:u w:color="000000"/>
          <w:lang w:val="en-US"/>
        </w:rPr>
        <w:tab/>
      </w:r>
    </w:p>
    <w:p w14:paraId="4491B72A" w14:textId="77777777" w:rsidR="008777F2" w:rsidRPr="008119CE" w:rsidRDefault="008777F2" w:rsidP="008777F2">
      <w:pPr>
        <w:spacing w:line="360" w:lineRule="auto"/>
        <w:jc w:val="both"/>
        <w:rPr>
          <w:rFonts w:ascii="Times New Roman" w:eastAsia="Calibri" w:hAnsi="Times New Roman" w:cs="Times New Roman"/>
          <w:color w:val="242121"/>
          <w:sz w:val="28"/>
          <w:szCs w:val="28"/>
          <w:shd w:val="clear" w:color="auto" w:fill="FFFFFF"/>
          <w:lang w:val="en-GB"/>
        </w:rPr>
      </w:pPr>
    </w:p>
    <w:p w14:paraId="252CA7E4" w14:textId="77777777" w:rsidR="008777F2" w:rsidRPr="008119CE" w:rsidRDefault="008777F2" w:rsidP="008777F2">
      <w:pPr>
        <w:spacing w:after="0" w:line="360" w:lineRule="auto"/>
        <w:ind w:left="5040"/>
        <w:jc w:val="both"/>
        <w:rPr>
          <w:rFonts w:ascii="Times New Roman" w:hAnsi="Times New Roman" w:cs="Times New Roman"/>
          <w:sz w:val="28"/>
          <w:szCs w:val="28"/>
        </w:rPr>
      </w:pPr>
      <w:r w:rsidRPr="008119CE">
        <w:rPr>
          <w:rFonts w:ascii="Times New Roman" w:hAnsi="Times New Roman" w:cs="Times New Roman"/>
          <w:sz w:val="28"/>
          <w:szCs w:val="28"/>
        </w:rPr>
        <w:t xml:space="preserve">    __________________________</w:t>
      </w:r>
    </w:p>
    <w:p w14:paraId="3D31A34E" w14:textId="77777777" w:rsidR="008777F2" w:rsidRPr="008119CE" w:rsidRDefault="008777F2" w:rsidP="008777F2">
      <w:pPr>
        <w:spacing w:after="0" w:line="360" w:lineRule="auto"/>
        <w:ind w:left="4320" w:firstLine="720"/>
        <w:jc w:val="both"/>
        <w:rPr>
          <w:rFonts w:ascii="Times New Roman" w:hAnsi="Times New Roman" w:cs="Times New Roman"/>
          <w:b/>
          <w:sz w:val="28"/>
          <w:szCs w:val="28"/>
        </w:rPr>
      </w:pPr>
      <w:r w:rsidRPr="008119CE">
        <w:rPr>
          <w:rFonts w:ascii="Times New Roman" w:hAnsi="Times New Roman" w:cs="Times New Roman"/>
          <w:b/>
          <w:sz w:val="28"/>
          <w:szCs w:val="28"/>
        </w:rPr>
        <w:t xml:space="preserve">                             ML SENYATSI</w:t>
      </w:r>
    </w:p>
    <w:p w14:paraId="3452BA22" w14:textId="77777777" w:rsidR="008777F2" w:rsidRPr="008119CE" w:rsidRDefault="008777F2" w:rsidP="008777F2">
      <w:pPr>
        <w:spacing w:after="0" w:line="360" w:lineRule="auto"/>
        <w:ind w:hanging="567"/>
        <w:jc w:val="both"/>
        <w:rPr>
          <w:rFonts w:ascii="Times New Roman" w:hAnsi="Times New Roman" w:cs="Times New Roman"/>
          <w:b/>
          <w:sz w:val="28"/>
          <w:szCs w:val="28"/>
        </w:rPr>
      </w:pPr>
      <w:r w:rsidRPr="008119CE">
        <w:rPr>
          <w:rFonts w:ascii="Times New Roman" w:hAnsi="Times New Roman" w:cs="Times New Roman"/>
          <w:b/>
          <w:sz w:val="28"/>
          <w:szCs w:val="28"/>
        </w:rPr>
        <w:t xml:space="preserve">       </w:t>
      </w:r>
      <w:r w:rsidRPr="008119CE">
        <w:rPr>
          <w:rFonts w:ascii="Times New Roman" w:hAnsi="Times New Roman" w:cs="Times New Roman"/>
          <w:b/>
          <w:sz w:val="28"/>
          <w:szCs w:val="28"/>
        </w:rPr>
        <w:tab/>
      </w:r>
      <w:r w:rsidRPr="008119CE">
        <w:rPr>
          <w:rFonts w:ascii="Times New Roman" w:hAnsi="Times New Roman" w:cs="Times New Roman"/>
          <w:b/>
          <w:sz w:val="28"/>
          <w:szCs w:val="28"/>
        </w:rPr>
        <w:tab/>
      </w:r>
      <w:r w:rsidRPr="008119CE">
        <w:rPr>
          <w:rFonts w:ascii="Times New Roman" w:hAnsi="Times New Roman" w:cs="Times New Roman"/>
          <w:b/>
          <w:sz w:val="28"/>
          <w:szCs w:val="28"/>
        </w:rPr>
        <w:tab/>
      </w:r>
      <w:r w:rsidRPr="008119CE">
        <w:rPr>
          <w:rFonts w:ascii="Times New Roman" w:hAnsi="Times New Roman" w:cs="Times New Roman"/>
          <w:b/>
          <w:sz w:val="28"/>
          <w:szCs w:val="28"/>
        </w:rPr>
        <w:tab/>
      </w:r>
      <w:r w:rsidRPr="008119CE">
        <w:rPr>
          <w:rFonts w:ascii="Times New Roman" w:hAnsi="Times New Roman" w:cs="Times New Roman"/>
          <w:b/>
          <w:sz w:val="28"/>
          <w:szCs w:val="28"/>
        </w:rPr>
        <w:tab/>
      </w:r>
      <w:r w:rsidRPr="008119CE">
        <w:rPr>
          <w:rFonts w:ascii="Times New Roman" w:hAnsi="Times New Roman" w:cs="Times New Roman"/>
          <w:b/>
          <w:sz w:val="28"/>
          <w:szCs w:val="28"/>
        </w:rPr>
        <w:tab/>
      </w:r>
      <w:r w:rsidRPr="008119CE">
        <w:rPr>
          <w:rFonts w:ascii="Times New Roman" w:hAnsi="Times New Roman" w:cs="Times New Roman"/>
          <w:b/>
          <w:sz w:val="28"/>
          <w:szCs w:val="28"/>
        </w:rPr>
        <w:tab/>
        <w:t xml:space="preserve">          JUDGE OF THE HIGH COURT</w:t>
      </w:r>
    </w:p>
    <w:p w14:paraId="64BB792D" w14:textId="77777777" w:rsidR="008777F2" w:rsidRPr="008119CE" w:rsidRDefault="008777F2" w:rsidP="008777F2">
      <w:pPr>
        <w:spacing w:after="0" w:line="360" w:lineRule="auto"/>
        <w:ind w:hanging="567"/>
        <w:jc w:val="both"/>
        <w:rPr>
          <w:rFonts w:ascii="Times New Roman" w:hAnsi="Times New Roman" w:cs="Times New Roman"/>
          <w:b/>
          <w:sz w:val="28"/>
          <w:szCs w:val="28"/>
        </w:rPr>
      </w:pPr>
      <w:r w:rsidRPr="008119CE">
        <w:rPr>
          <w:rFonts w:ascii="Times New Roman" w:hAnsi="Times New Roman" w:cs="Times New Roman"/>
          <w:b/>
          <w:sz w:val="28"/>
          <w:szCs w:val="28"/>
        </w:rPr>
        <w:t xml:space="preserve"> </w:t>
      </w:r>
      <w:r w:rsidRPr="008119CE">
        <w:rPr>
          <w:rFonts w:ascii="Times New Roman" w:hAnsi="Times New Roman" w:cs="Times New Roman"/>
          <w:b/>
          <w:sz w:val="28"/>
          <w:szCs w:val="28"/>
        </w:rPr>
        <w:tab/>
      </w:r>
      <w:r w:rsidRPr="008119CE">
        <w:rPr>
          <w:rFonts w:ascii="Times New Roman" w:hAnsi="Times New Roman" w:cs="Times New Roman"/>
          <w:b/>
          <w:sz w:val="28"/>
          <w:szCs w:val="28"/>
        </w:rPr>
        <w:tab/>
      </w:r>
      <w:r w:rsidRPr="008119CE">
        <w:rPr>
          <w:rFonts w:ascii="Times New Roman" w:hAnsi="Times New Roman" w:cs="Times New Roman"/>
          <w:b/>
          <w:sz w:val="28"/>
          <w:szCs w:val="28"/>
        </w:rPr>
        <w:tab/>
      </w:r>
      <w:r w:rsidRPr="008119CE">
        <w:rPr>
          <w:rFonts w:ascii="Times New Roman" w:hAnsi="Times New Roman" w:cs="Times New Roman"/>
          <w:b/>
          <w:sz w:val="28"/>
          <w:szCs w:val="28"/>
        </w:rPr>
        <w:tab/>
      </w:r>
      <w:r w:rsidRPr="008119CE">
        <w:rPr>
          <w:rFonts w:ascii="Times New Roman" w:hAnsi="Times New Roman" w:cs="Times New Roman"/>
          <w:b/>
          <w:sz w:val="28"/>
          <w:szCs w:val="28"/>
        </w:rPr>
        <w:tab/>
      </w:r>
      <w:r w:rsidRPr="008119CE">
        <w:rPr>
          <w:rFonts w:ascii="Times New Roman" w:hAnsi="Times New Roman" w:cs="Times New Roman"/>
          <w:b/>
          <w:sz w:val="28"/>
          <w:szCs w:val="28"/>
        </w:rPr>
        <w:tab/>
        <w:t xml:space="preserve">  GAUTENG DIVISION, JOHANNESBURG</w:t>
      </w:r>
    </w:p>
    <w:p w14:paraId="0724907D" w14:textId="77777777" w:rsidR="008777F2" w:rsidRPr="008A779E" w:rsidRDefault="008777F2" w:rsidP="008777F2">
      <w:pPr>
        <w:suppressAutoHyphens/>
        <w:spacing w:after="0" w:line="480" w:lineRule="auto"/>
        <w:jc w:val="both"/>
        <w:rPr>
          <w:rFonts w:ascii="Times New Roman" w:eastAsia="Times New Roman" w:hAnsi="Times New Roman" w:cs="Times New Roman"/>
          <w:sz w:val="28"/>
          <w:szCs w:val="28"/>
        </w:rPr>
      </w:pPr>
    </w:p>
    <w:p w14:paraId="20C7B66C" w14:textId="77777777" w:rsidR="008777F2" w:rsidRPr="008A779E" w:rsidRDefault="008777F2" w:rsidP="008777F2">
      <w:pPr>
        <w:suppressAutoHyphens/>
        <w:spacing w:after="0" w:line="240" w:lineRule="auto"/>
        <w:jc w:val="both"/>
        <w:rPr>
          <w:rFonts w:ascii="Times New Roman" w:eastAsia="Arial Unicode MS" w:hAnsi="Times New Roman" w:cs="Times New Roman"/>
          <w:sz w:val="28"/>
          <w:szCs w:val="28"/>
        </w:rPr>
      </w:pPr>
    </w:p>
    <w:p w14:paraId="28AE0AC1" w14:textId="0C0F3C4B" w:rsidR="008777F2" w:rsidRPr="00423916" w:rsidRDefault="008777F2" w:rsidP="008777F2">
      <w:pPr>
        <w:suppressAutoHyphens/>
        <w:spacing w:before="120" w:after="120"/>
        <w:rPr>
          <w:rFonts w:ascii="Times New Roman" w:eastAsia="Arial Unicode MS" w:hAnsi="Times New Roman" w:cs="Times New Roman"/>
          <w:bCs/>
          <w:sz w:val="28"/>
          <w:szCs w:val="28"/>
        </w:rPr>
      </w:pPr>
      <w:r w:rsidRPr="00423916">
        <w:rPr>
          <w:rFonts w:ascii="Times New Roman" w:eastAsia="Arial Unicode MS" w:hAnsi="Times New Roman" w:cs="Times New Roman"/>
          <w:bCs/>
          <w:sz w:val="28"/>
          <w:szCs w:val="28"/>
        </w:rPr>
        <w:t>Delivered: This Judgment was handed down electronically by circulation to the parties/ their legal representatives by email and by uploading to the electronic file on Case Lines. The date for hand-down is deemed to b</w:t>
      </w:r>
      <w:r>
        <w:rPr>
          <w:rFonts w:ascii="Times New Roman" w:eastAsia="Arial Unicode MS" w:hAnsi="Times New Roman" w:cs="Times New Roman"/>
          <w:bCs/>
          <w:sz w:val="28"/>
          <w:szCs w:val="28"/>
        </w:rPr>
        <w:t xml:space="preserve">e </w:t>
      </w:r>
      <w:r w:rsidR="00804E11">
        <w:rPr>
          <w:rFonts w:ascii="Times New Roman" w:eastAsia="Arial Unicode MS" w:hAnsi="Times New Roman" w:cs="Times New Roman"/>
          <w:bCs/>
          <w:sz w:val="28"/>
          <w:szCs w:val="28"/>
        </w:rPr>
        <w:t>31</w:t>
      </w:r>
      <w:r w:rsidR="00DF2BB6">
        <w:rPr>
          <w:rFonts w:ascii="Times New Roman" w:eastAsia="Arial Unicode MS" w:hAnsi="Times New Roman" w:cs="Times New Roman"/>
          <w:bCs/>
          <w:sz w:val="28"/>
          <w:szCs w:val="28"/>
        </w:rPr>
        <w:t xml:space="preserve"> </w:t>
      </w:r>
      <w:r w:rsidRPr="00423916">
        <w:rPr>
          <w:rFonts w:ascii="Times New Roman" w:eastAsia="Arial Unicode MS" w:hAnsi="Times New Roman" w:cs="Times New Roman"/>
          <w:bCs/>
          <w:sz w:val="28"/>
          <w:szCs w:val="28"/>
        </w:rPr>
        <w:t>May 2024.</w:t>
      </w:r>
    </w:p>
    <w:p w14:paraId="37DF4676" w14:textId="77777777" w:rsidR="008777F2" w:rsidRPr="00423916" w:rsidRDefault="008777F2" w:rsidP="008777F2">
      <w:pPr>
        <w:suppressAutoHyphens/>
        <w:spacing w:before="120" w:after="120"/>
        <w:rPr>
          <w:rFonts w:ascii="Times New Roman" w:eastAsia="Arial Unicode MS" w:hAnsi="Times New Roman" w:cs="Times New Roman"/>
          <w:bCs/>
          <w:sz w:val="28"/>
          <w:szCs w:val="28"/>
        </w:rPr>
      </w:pPr>
    </w:p>
    <w:p w14:paraId="0B9EE720" w14:textId="77777777" w:rsidR="008777F2" w:rsidRDefault="008777F2" w:rsidP="008777F2">
      <w:pPr>
        <w:keepNext/>
        <w:widowControl w:val="0"/>
        <w:spacing w:before="240" w:after="120"/>
        <w:rPr>
          <w:rFonts w:ascii="Times New Roman" w:eastAsia="Times New Roman" w:hAnsi="Times New Roman" w:cs="Times New Roman"/>
          <w:sz w:val="28"/>
          <w:szCs w:val="28"/>
          <w:u w:val="single"/>
          <w:lang w:eastAsia="en-ZA"/>
        </w:rPr>
      </w:pPr>
      <w:r w:rsidRPr="00A56849">
        <w:rPr>
          <w:rFonts w:ascii="Times New Roman" w:eastAsia="Times New Roman" w:hAnsi="Times New Roman" w:cs="Times New Roman"/>
          <w:sz w:val="28"/>
          <w:szCs w:val="28"/>
          <w:u w:val="single"/>
          <w:lang w:eastAsia="en-ZA"/>
        </w:rPr>
        <w:t>Appearances:</w:t>
      </w:r>
    </w:p>
    <w:p w14:paraId="6A156A53" w14:textId="4058A5A6" w:rsidR="008777F2" w:rsidRDefault="008777F2" w:rsidP="008777F2">
      <w:pPr>
        <w:keepNext/>
        <w:widowControl w:val="0"/>
        <w:tabs>
          <w:tab w:val="left" w:pos="3686"/>
        </w:tabs>
        <w:spacing w:before="240" w:after="120" w:line="240" w:lineRule="auto"/>
        <w:ind w:left="3686" w:hanging="3686"/>
        <w:rPr>
          <w:rFonts w:ascii="Times New Roman" w:eastAsia="Times New Roman" w:hAnsi="Times New Roman" w:cs="Times New Roman"/>
          <w:sz w:val="28"/>
          <w:szCs w:val="28"/>
          <w:lang w:eastAsia="en-ZA"/>
        </w:rPr>
      </w:pPr>
      <w:r>
        <w:rPr>
          <w:rFonts w:ascii="Times New Roman" w:eastAsia="Times New Roman" w:hAnsi="Times New Roman" w:cs="Times New Roman"/>
          <w:sz w:val="28"/>
          <w:szCs w:val="28"/>
          <w:lang w:eastAsia="en-ZA"/>
        </w:rPr>
        <w:t xml:space="preserve">For the applicant: Adv </w:t>
      </w:r>
      <w:r w:rsidR="0082591D">
        <w:rPr>
          <w:rFonts w:ascii="Times New Roman" w:eastAsia="Times New Roman" w:hAnsi="Times New Roman" w:cs="Times New Roman"/>
          <w:sz w:val="28"/>
          <w:szCs w:val="28"/>
          <w:lang w:eastAsia="en-ZA"/>
        </w:rPr>
        <w:t>K Lavine</w:t>
      </w:r>
    </w:p>
    <w:p w14:paraId="529CD8BA" w14:textId="54768982" w:rsidR="008777F2" w:rsidRPr="00A56849" w:rsidRDefault="008777F2" w:rsidP="008777F2">
      <w:pPr>
        <w:tabs>
          <w:tab w:val="left" w:pos="3686"/>
        </w:tabs>
        <w:spacing w:after="120" w:line="240" w:lineRule="auto"/>
        <w:ind w:left="3686" w:hanging="3686"/>
        <w:rPr>
          <w:rFonts w:ascii="Times New Roman" w:hAnsi="Times New Roman" w:cs="Times New Roman"/>
          <w:sz w:val="28"/>
          <w:szCs w:val="28"/>
          <w:lang w:eastAsia="en-ZA"/>
        </w:rPr>
      </w:pPr>
      <w:r>
        <w:rPr>
          <w:rFonts w:ascii="Times New Roman" w:eastAsia="Times New Roman" w:hAnsi="Times New Roman" w:cs="Times New Roman"/>
          <w:sz w:val="28"/>
          <w:szCs w:val="28"/>
          <w:lang w:eastAsia="en-ZA"/>
        </w:rPr>
        <w:t xml:space="preserve">Instructed by </w:t>
      </w:r>
      <w:r w:rsidR="0082591D">
        <w:rPr>
          <w:rFonts w:ascii="Times New Roman" w:eastAsia="Times New Roman" w:hAnsi="Times New Roman" w:cs="Times New Roman"/>
          <w:sz w:val="28"/>
          <w:szCs w:val="28"/>
          <w:lang w:eastAsia="en-ZA"/>
        </w:rPr>
        <w:t>Orelowitz</w:t>
      </w:r>
    </w:p>
    <w:p w14:paraId="66334AF5" w14:textId="77777777" w:rsidR="008777F2" w:rsidRPr="00A56849" w:rsidRDefault="008777F2" w:rsidP="008777F2">
      <w:pPr>
        <w:keepNext/>
        <w:widowControl w:val="0"/>
        <w:spacing w:before="240" w:after="120"/>
        <w:rPr>
          <w:rFonts w:ascii="Times New Roman" w:eastAsia="Times New Roman" w:hAnsi="Times New Roman" w:cs="Times New Roman"/>
          <w:sz w:val="28"/>
          <w:szCs w:val="28"/>
          <w:u w:val="single"/>
          <w:lang w:eastAsia="en-ZA"/>
        </w:rPr>
      </w:pPr>
    </w:p>
    <w:p w14:paraId="2F9996E0" w14:textId="19D14EAA" w:rsidR="00804E11" w:rsidRDefault="008777F2" w:rsidP="008777F2">
      <w:pPr>
        <w:tabs>
          <w:tab w:val="left" w:pos="3686"/>
        </w:tabs>
        <w:spacing w:after="120" w:line="240" w:lineRule="auto"/>
        <w:ind w:left="3686" w:hanging="3686"/>
        <w:rPr>
          <w:rFonts w:ascii="Times New Roman" w:eastAsia="Times New Roman" w:hAnsi="Times New Roman" w:cs="Times New Roman"/>
          <w:sz w:val="28"/>
          <w:szCs w:val="28"/>
          <w:lang w:eastAsia="en-ZA"/>
        </w:rPr>
      </w:pPr>
      <w:r w:rsidRPr="00A56849">
        <w:rPr>
          <w:rFonts w:ascii="Times New Roman" w:eastAsia="Times New Roman" w:hAnsi="Times New Roman" w:cs="Times New Roman"/>
          <w:sz w:val="28"/>
          <w:szCs w:val="28"/>
          <w:lang w:eastAsia="en-ZA"/>
        </w:rPr>
        <w:t>For the</w:t>
      </w:r>
      <w:r>
        <w:rPr>
          <w:rFonts w:ascii="Times New Roman" w:eastAsia="Times New Roman" w:hAnsi="Times New Roman" w:cs="Times New Roman"/>
          <w:sz w:val="28"/>
          <w:szCs w:val="28"/>
          <w:lang w:eastAsia="en-ZA"/>
        </w:rPr>
        <w:t xml:space="preserve"> respondent</w:t>
      </w:r>
      <w:r w:rsidR="005D343C">
        <w:rPr>
          <w:rFonts w:ascii="Times New Roman" w:eastAsia="Times New Roman" w:hAnsi="Times New Roman" w:cs="Times New Roman"/>
          <w:sz w:val="28"/>
          <w:szCs w:val="28"/>
          <w:lang w:eastAsia="en-ZA"/>
        </w:rPr>
        <w:t>s</w:t>
      </w:r>
      <w:r w:rsidRPr="00A56849">
        <w:rPr>
          <w:rFonts w:ascii="Times New Roman" w:eastAsia="Times New Roman" w:hAnsi="Times New Roman" w:cs="Times New Roman"/>
          <w:sz w:val="28"/>
          <w:szCs w:val="28"/>
          <w:lang w:eastAsia="en-ZA"/>
        </w:rPr>
        <w:t>:</w:t>
      </w:r>
      <w:r w:rsidR="005D343C">
        <w:rPr>
          <w:rFonts w:ascii="Times New Roman" w:eastAsia="Times New Roman" w:hAnsi="Times New Roman" w:cs="Times New Roman"/>
          <w:sz w:val="28"/>
          <w:szCs w:val="28"/>
          <w:lang w:eastAsia="en-ZA"/>
        </w:rPr>
        <w:t xml:space="preserve"> </w:t>
      </w:r>
      <w:r w:rsidR="00804E11">
        <w:rPr>
          <w:rFonts w:ascii="Times New Roman" w:eastAsia="Times New Roman" w:hAnsi="Times New Roman" w:cs="Times New Roman"/>
          <w:sz w:val="28"/>
          <w:szCs w:val="28"/>
          <w:lang w:eastAsia="en-ZA"/>
        </w:rPr>
        <w:t>Ms EZ Makula</w:t>
      </w:r>
    </w:p>
    <w:p w14:paraId="58CF8EB7" w14:textId="5D9AC329" w:rsidR="008777F2" w:rsidRDefault="00804E11" w:rsidP="008777F2">
      <w:pPr>
        <w:tabs>
          <w:tab w:val="left" w:pos="3686"/>
        </w:tabs>
        <w:spacing w:after="120" w:line="240" w:lineRule="auto"/>
        <w:ind w:left="3686" w:hanging="3686"/>
        <w:rPr>
          <w:rFonts w:ascii="Times New Roman" w:eastAsia="Times New Roman" w:hAnsi="Times New Roman" w:cs="Times New Roman"/>
          <w:sz w:val="28"/>
          <w:szCs w:val="28"/>
          <w:lang w:eastAsia="en-ZA"/>
        </w:rPr>
      </w:pPr>
      <w:r>
        <w:rPr>
          <w:rFonts w:ascii="Times New Roman" w:eastAsia="Times New Roman" w:hAnsi="Times New Roman" w:cs="Times New Roman"/>
          <w:sz w:val="28"/>
          <w:szCs w:val="28"/>
          <w:lang w:eastAsia="en-ZA"/>
        </w:rPr>
        <w:t xml:space="preserve">Instructed by </w:t>
      </w:r>
      <w:r w:rsidR="005D343C">
        <w:rPr>
          <w:rFonts w:ascii="Times New Roman" w:eastAsia="Times New Roman" w:hAnsi="Times New Roman" w:cs="Times New Roman"/>
          <w:sz w:val="28"/>
          <w:szCs w:val="28"/>
          <w:lang w:eastAsia="en-ZA"/>
        </w:rPr>
        <w:t>Makula Attorneys</w:t>
      </w:r>
    </w:p>
    <w:p w14:paraId="689D9F85" w14:textId="77777777" w:rsidR="005D343C" w:rsidRPr="00A56849" w:rsidRDefault="005D343C" w:rsidP="008777F2">
      <w:pPr>
        <w:tabs>
          <w:tab w:val="left" w:pos="3686"/>
        </w:tabs>
        <w:spacing w:after="120" w:line="240" w:lineRule="auto"/>
        <w:ind w:left="3686" w:hanging="3686"/>
        <w:rPr>
          <w:rFonts w:ascii="Times New Roman" w:eastAsia="Times New Roman" w:hAnsi="Times New Roman" w:cs="Times New Roman"/>
          <w:sz w:val="28"/>
          <w:szCs w:val="28"/>
          <w:lang w:eastAsia="en-ZA"/>
        </w:rPr>
      </w:pPr>
    </w:p>
    <w:p w14:paraId="36DFC540" w14:textId="77777777" w:rsidR="008777F2" w:rsidRPr="00DF05FC" w:rsidRDefault="008777F2" w:rsidP="008777F2">
      <w:pPr>
        <w:spacing w:after="0" w:line="240" w:lineRule="auto"/>
        <w:rPr>
          <w:rFonts w:ascii="Times New Roman" w:eastAsia="Times New Roman" w:hAnsi="Times New Roman" w:cs="Times New Roman"/>
          <w:sz w:val="28"/>
          <w:szCs w:val="28"/>
          <w:lang w:eastAsia="en-GB"/>
        </w:rPr>
      </w:pPr>
      <w:r w:rsidRPr="00DF05FC">
        <w:rPr>
          <w:rFonts w:ascii="Times New Roman" w:eastAsia="Times New Roman" w:hAnsi="Times New Roman" w:cs="Times New Roman"/>
          <w:sz w:val="28"/>
          <w:szCs w:val="28"/>
          <w:lang w:eastAsia="en-GB"/>
        </w:rPr>
        <w:t xml:space="preserve">Date of Hearing: </w:t>
      </w:r>
      <w:r>
        <w:rPr>
          <w:rFonts w:ascii="Times New Roman" w:eastAsia="Times New Roman" w:hAnsi="Times New Roman" w:cs="Times New Roman"/>
          <w:sz w:val="28"/>
          <w:szCs w:val="28"/>
          <w:lang w:eastAsia="en-GB"/>
        </w:rPr>
        <w:t>12 February</w:t>
      </w:r>
      <w:r w:rsidRPr="00DF05FC">
        <w:rPr>
          <w:rFonts w:ascii="Times New Roman" w:eastAsia="Times New Roman" w:hAnsi="Times New Roman" w:cs="Times New Roman"/>
          <w:sz w:val="28"/>
          <w:szCs w:val="28"/>
          <w:lang w:eastAsia="en-GB"/>
        </w:rPr>
        <w:t xml:space="preserve"> 202</w:t>
      </w:r>
      <w:r>
        <w:rPr>
          <w:rFonts w:ascii="Times New Roman" w:eastAsia="Times New Roman" w:hAnsi="Times New Roman" w:cs="Times New Roman"/>
          <w:sz w:val="28"/>
          <w:szCs w:val="28"/>
          <w:lang w:eastAsia="en-GB"/>
        </w:rPr>
        <w:t>4</w:t>
      </w:r>
    </w:p>
    <w:p w14:paraId="419EEE4F" w14:textId="128CD292" w:rsidR="008777F2" w:rsidRPr="00DF05FC" w:rsidRDefault="008777F2" w:rsidP="008777F2">
      <w:pPr>
        <w:spacing w:after="0" w:line="240" w:lineRule="auto"/>
        <w:rPr>
          <w:rFonts w:ascii="Times New Roman" w:eastAsia="Times New Roman" w:hAnsi="Times New Roman" w:cs="Times New Roman"/>
          <w:sz w:val="28"/>
          <w:szCs w:val="28"/>
          <w:lang w:eastAsia="en-GB"/>
        </w:rPr>
        <w:sectPr w:rsidR="008777F2" w:rsidRPr="00DF05FC" w:rsidSect="008777F2">
          <w:footerReference w:type="default" r:id="rId13"/>
          <w:pgSz w:w="11906" w:h="16838"/>
          <w:pgMar w:top="1440" w:right="1440" w:bottom="1440" w:left="1440" w:header="708" w:footer="708" w:gutter="0"/>
          <w:cols w:space="708"/>
          <w:titlePg/>
          <w:docGrid w:linePitch="360"/>
        </w:sectPr>
      </w:pPr>
      <w:r w:rsidRPr="00DF05FC">
        <w:rPr>
          <w:rFonts w:ascii="Times New Roman" w:eastAsia="Times New Roman" w:hAnsi="Times New Roman" w:cs="Times New Roman"/>
          <w:sz w:val="28"/>
          <w:szCs w:val="28"/>
          <w:lang w:eastAsia="en-GB"/>
        </w:rPr>
        <w:t xml:space="preserve">Date of Judgment: </w:t>
      </w:r>
      <w:r>
        <w:rPr>
          <w:rFonts w:ascii="Times New Roman" w:eastAsia="Times New Roman" w:hAnsi="Times New Roman" w:cs="Times New Roman"/>
          <w:sz w:val="28"/>
          <w:szCs w:val="28"/>
          <w:lang w:eastAsia="en-GB"/>
        </w:rPr>
        <w:t xml:space="preserve"> </w:t>
      </w:r>
      <w:r w:rsidR="00804E11">
        <w:rPr>
          <w:rFonts w:ascii="Times New Roman" w:eastAsia="Times New Roman" w:hAnsi="Times New Roman" w:cs="Times New Roman"/>
          <w:sz w:val="28"/>
          <w:szCs w:val="28"/>
          <w:lang w:eastAsia="en-GB"/>
        </w:rPr>
        <w:t xml:space="preserve">31 </w:t>
      </w:r>
      <w:r w:rsidRPr="00DF05FC">
        <w:rPr>
          <w:rFonts w:ascii="Times New Roman" w:eastAsia="Times New Roman" w:hAnsi="Times New Roman" w:cs="Times New Roman"/>
          <w:sz w:val="28"/>
          <w:szCs w:val="28"/>
          <w:lang w:eastAsia="en-GB"/>
        </w:rPr>
        <w:t>May 2024</w:t>
      </w:r>
    </w:p>
    <w:p w14:paraId="0929202C" w14:textId="77777777" w:rsidR="008777F2" w:rsidRPr="00DF05FC" w:rsidRDefault="008777F2" w:rsidP="008777F2">
      <w:pPr>
        <w:spacing w:after="0" w:line="360" w:lineRule="auto"/>
        <w:jc w:val="both"/>
        <w:rPr>
          <w:rFonts w:ascii="Times New Roman" w:hAnsi="Times New Roman" w:cs="Times New Roman"/>
          <w:b/>
          <w:sz w:val="28"/>
          <w:szCs w:val="28"/>
          <w:lang w:val="en-GB"/>
        </w:rPr>
        <w:sectPr w:rsidR="008777F2" w:rsidRPr="00DF05FC" w:rsidSect="008777F2">
          <w:type w:val="continuous"/>
          <w:pgSz w:w="11906" w:h="16838"/>
          <w:pgMar w:top="1440" w:right="1440" w:bottom="1440" w:left="1440" w:header="708" w:footer="708" w:gutter="0"/>
          <w:cols w:space="708"/>
          <w:docGrid w:linePitch="360"/>
        </w:sectPr>
      </w:pPr>
    </w:p>
    <w:p w14:paraId="6C042339" w14:textId="77777777" w:rsidR="00CC464E" w:rsidRPr="008A779E" w:rsidRDefault="00CC464E" w:rsidP="00CC464E">
      <w:pPr>
        <w:suppressAutoHyphens/>
        <w:spacing w:after="0" w:line="480" w:lineRule="auto"/>
        <w:jc w:val="both"/>
        <w:rPr>
          <w:rFonts w:ascii="Times New Roman" w:eastAsia="Times New Roman" w:hAnsi="Times New Roman" w:cs="Times New Roman"/>
          <w:sz w:val="28"/>
          <w:szCs w:val="28"/>
        </w:rPr>
      </w:pPr>
    </w:p>
    <w:p w14:paraId="75C834F2" w14:textId="77777777" w:rsidR="00CC464E" w:rsidRPr="008A779E" w:rsidRDefault="00CC464E" w:rsidP="00CC464E">
      <w:pPr>
        <w:suppressAutoHyphens/>
        <w:spacing w:after="0" w:line="480" w:lineRule="auto"/>
        <w:jc w:val="both"/>
        <w:rPr>
          <w:rFonts w:ascii="Times New Roman" w:eastAsia="Times New Roman" w:hAnsi="Times New Roman" w:cs="Times New Roman"/>
          <w:sz w:val="28"/>
          <w:szCs w:val="28"/>
        </w:rPr>
      </w:pPr>
    </w:p>
    <w:p w14:paraId="1CA40FD8" w14:textId="77777777" w:rsidR="00CC464E" w:rsidRPr="008A779E" w:rsidRDefault="00CC464E" w:rsidP="00CC464E">
      <w:pPr>
        <w:rPr>
          <w:rFonts w:ascii="Times New Roman" w:eastAsia="Calibri" w:hAnsi="Times New Roman" w:cs="Times New Roman"/>
          <w:sz w:val="28"/>
          <w:szCs w:val="28"/>
          <w:lang w:val="en-US"/>
        </w:rPr>
      </w:pPr>
    </w:p>
    <w:p w14:paraId="5D00828C" w14:textId="77777777" w:rsidR="00CC464E" w:rsidRPr="008A779E" w:rsidRDefault="00CC464E" w:rsidP="00CC464E">
      <w:pPr>
        <w:rPr>
          <w:rFonts w:ascii="Times New Roman" w:eastAsia="Calibri" w:hAnsi="Times New Roman" w:cs="Times New Roman"/>
          <w:sz w:val="28"/>
          <w:szCs w:val="28"/>
          <w:lang w:val="en-US"/>
        </w:rPr>
      </w:pPr>
    </w:p>
    <w:p w14:paraId="779D0DB9" w14:textId="77777777" w:rsidR="00CC464E" w:rsidRPr="008A779E" w:rsidRDefault="00CC464E" w:rsidP="00CC464E">
      <w:pPr>
        <w:rPr>
          <w:rFonts w:ascii="Times New Roman" w:eastAsia="Calibri" w:hAnsi="Times New Roman" w:cs="Times New Roman"/>
          <w:sz w:val="28"/>
          <w:szCs w:val="28"/>
          <w:lang w:val="en-US"/>
        </w:rPr>
      </w:pPr>
    </w:p>
    <w:p w14:paraId="68ECC763" w14:textId="77777777" w:rsidR="00445DE0" w:rsidRPr="008A779E" w:rsidRDefault="00445DE0">
      <w:pPr>
        <w:rPr>
          <w:rFonts w:ascii="Times New Roman" w:hAnsi="Times New Roman" w:cs="Times New Roman"/>
          <w:sz w:val="28"/>
          <w:szCs w:val="28"/>
        </w:rPr>
      </w:pPr>
    </w:p>
    <w:sectPr w:rsidR="00445DE0" w:rsidRPr="008A779E">
      <w:headerReference w:type="even" r:id="rId14"/>
      <w:headerReference w:type="default" r:id="rId15"/>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2025F" w14:textId="77777777" w:rsidR="00510CF1" w:rsidRDefault="00510CF1" w:rsidP="00CC464E">
      <w:pPr>
        <w:spacing w:after="0" w:line="240" w:lineRule="auto"/>
      </w:pPr>
      <w:r>
        <w:separator/>
      </w:r>
    </w:p>
  </w:endnote>
  <w:endnote w:type="continuationSeparator" w:id="0">
    <w:p w14:paraId="02D04F5F" w14:textId="77777777" w:rsidR="00510CF1" w:rsidRDefault="00510CF1" w:rsidP="00CC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21002A87" w:usb1="090F0000" w:usb2="00000010"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618750"/>
      <w:docPartObj>
        <w:docPartGallery w:val="Page Numbers (Bottom of Page)"/>
        <w:docPartUnique/>
      </w:docPartObj>
    </w:sdtPr>
    <w:sdtEndPr>
      <w:rPr>
        <w:noProof/>
      </w:rPr>
    </w:sdtEndPr>
    <w:sdtContent>
      <w:p w14:paraId="09C3F8CD" w14:textId="72C0F4E2" w:rsidR="008777F2" w:rsidRDefault="008777F2" w:rsidP="00E469E1">
        <w:pPr>
          <w:pStyle w:val="Footer"/>
          <w:jc w:val="right"/>
        </w:pPr>
        <w:r>
          <w:fldChar w:fldCharType="begin"/>
        </w:r>
        <w:r>
          <w:instrText xml:space="preserve"> PAGE   \* MERGEFORMAT </w:instrText>
        </w:r>
        <w:r>
          <w:fldChar w:fldCharType="separate"/>
        </w:r>
        <w:r w:rsidR="00E1410C">
          <w:rPr>
            <w:noProof/>
          </w:rPr>
          <w:t>2</w:t>
        </w:r>
        <w:r>
          <w:rPr>
            <w:noProof/>
          </w:rPr>
          <w:fldChar w:fldCharType="end"/>
        </w:r>
      </w:p>
    </w:sdtContent>
  </w:sdt>
  <w:p w14:paraId="3E2C8885" w14:textId="77777777" w:rsidR="008777F2" w:rsidRDefault="00877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1B5B1" w14:textId="77777777" w:rsidR="00510CF1" w:rsidRDefault="00510CF1" w:rsidP="00CC464E">
      <w:pPr>
        <w:spacing w:after="0" w:line="240" w:lineRule="auto"/>
      </w:pPr>
      <w:r>
        <w:separator/>
      </w:r>
    </w:p>
  </w:footnote>
  <w:footnote w:type="continuationSeparator" w:id="0">
    <w:p w14:paraId="1A565D32" w14:textId="77777777" w:rsidR="00510CF1" w:rsidRDefault="00510CF1" w:rsidP="00CC464E">
      <w:pPr>
        <w:spacing w:after="0" w:line="240" w:lineRule="auto"/>
      </w:pPr>
      <w:r>
        <w:continuationSeparator/>
      </w:r>
    </w:p>
  </w:footnote>
  <w:footnote w:id="1">
    <w:p w14:paraId="18031B6C" w14:textId="3F9E96CD" w:rsidR="001E0F0C" w:rsidRDefault="001E0F0C">
      <w:pPr>
        <w:pStyle w:val="FootnoteText"/>
      </w:pPr>
      <w:r>
        <w:rPr>
          <w:rStyle w:val="FootnoteReference"/>
        </w:rPr>
        <w:footnoteRef/>
      </w:r>
      <w:r>
        <w:t xml:space="preserve"> </w:t>
      </w:r>
      <w:hyperlink r:id="rId1" w:tooltip="View LawCiteRecord" w:history="1">
        <w:r w:rsidRPr="001E0F0C">
          <w:rPr>
            <w:rStyle w:val="Hyperlink"/>
            <w:rFonts w:ascii="Times New Roman" w:hAnsi="Times New Roman" w:cs="Times New Roman"/>
            <w:color w:val="auto"/>
            <w:sz w:val="24"/>
            <w:szCs w:val="24"/>
            <w:u w:val="none"/>
            <w:lang w:val="en-GB"/>
          </w:rPr>
          <w:t>2020 (3) SA 2010</w:t>
        </w:r>
      </w:hyperlink>
      <w:r w:rsidRPr="001E0F0C">
        <w:rPr>
          <w:rFonts w:ascii="Times New Roman" w:hAnsi="Times New Roman" w:cs="Times New Roman"/>
          <w:sz w:val="24"/>
          <w:szCs w:val="24"/>
          <w:lang w:val="en-GB"/>
        </w:rPr>
        <w:t> (</w:t>
      </w:r>
      <w:r w:rsidRPr="001E0F0C">
        <w:rPr>
          <w:rFonts w:ascii="Times New Roman" w:hAnsi="Times New Roman" w:cs="Times New Roman"/>
          <w:color w:val="242121"/>
          <w:sz w:val="24"/>
          <w:szCs w:val="24"/>
          <w:lang w:val="en-GB"/>
        </w:rPr>
        <w:t>GJ)</w:t>
      </w:r>
    </w:p>
  </w:footnote>
  <w:footnote w:id="2">
    <w:p w14:paraId="22CECE01" w14:textId="5308E065" w:rsidR="00584A34" w:rsidRPr="00DF2BB6" w:rsidRDefault="00584A34" w:rsidP="00DF2BB6">
      <w:pPr>
        <w:pStyle w:val="Heading2"/>
        <w:shd w:val="clear" w:color="auto" w:fill="FFFFFF"/>
        <w:spacing w:before="240" w:line="288" w:lineRule="atLeast"/>
        <w:rPr>
          <w:rFonts w:ascii="Times New Roman" w:eastAsia="Times New Roman" w:hAnsi="Times New Roman" w:cs="Times New Roman"/>
          <w:color w:val="64473A"/>
          <w:sz w:val="24"/>
          <w:szCs w:val="24"/>
          <w:lang w:eastAsia="en-ZA"/>
        </w:rPr>
      </w:pPr>
      <w:r w:rsidRPr="00F84D74">
        <w:rPr>
          <w:rStyle w:val="FootnoteReference"/>
          <w:rFonts w:ascii="Times New Roman" w:hAnsi="Times New Roman" w:cs="Times New Roman"/>
          <w:color w:val="auto"/>
          <w:sz w:val="24"/>
          <w:szCs w:val="24"/>
        </w:rPr>
        <w:footnoteRef/>
      </w:r>
      <w:r w:rsidRPr="00F84D74">
        <w:rPr>
          <w:rFonts w:ascii="Times New Roman" w:hAnsi="Times New Roman" w:cs="Times New Roman"/>
          <w:color w:val="auto"/>
          <w:sz w:val="24"/>
          <w:szCs w:val="24"/>
        </w:rPr>
        <w:t xml:space="preserve"> </w:t>
      </w:r>
      <w:proofErr w:type="spellStart"/>
      <w:r w:rsidR="00F84D74" w:rsidRPr="00F84D74">
        <w:rPr>
          <w:rFonts w:ascii="Times New Roman" w:eastAsia="Times New Roman" w:hAnsi="Times New Roman" w:cs="Times New Roman"/>
          <w:color w:val="64473A"/>
          <w:sz w:val="24"/>
          <w:szCs w:val="24"/>
          <w:lang w:eastAsia="en-ZA"/>
        </w:rPr>
        <w:t>Firstrand</w:t>
      </w:r>
      <w:proofErr w:type="spellEnd"/>
      <w:r w:rsidR="00F84D74" w:rsidRPr="00F84D74">
        <w:rPr>
          <w:rFonts w:ascii="Times New Roman" w:eastAsia="Times New Roman" w:hAnsi="Times New Roman" w:cs="Times New Roman"/>
          <w:color w:val="64473A"/>
          <w:sz w:val="24"/>
          <w:szCs w:val="24"/>
          <w:lang w:eastAsia="en-ZA"/>
        </w:rPr>
        <w:t xml:space="preserve"> Auto Receivables (RF) Limited v </w:t>
      </w:r>
      <w:proofErr w:type="spellStart"/>
      <w:r w:rsidR="00F84D74" w:rsidRPr="00F84D74">
        <w:rPr>
          <w:rFonts w:ascii="Times New Roman" w:eastAsia="Times New Roman" w:hAnsi="Times New Roman" w:cs="Times New Roman"/>
          <w:color w:val="64473A"/>
          <w:sz w:val="24"/>
          <w:szCs w:val="24"/>
          <w:lang w:eastAsia="en-ZA"/>
        </w:rPr>
        <w:t>Zungunde</w:t>
      </w:r>
      <w:proofErr w:type="spellEnd"/>
      <w:r w:rsidR="00F84D74" w:rsidRPr="00F84D74">
        <w:rPr>
          <w:rFonts w:ascii="Times New Roman" w:eastAsia="Times New Roman" w:hAnsi="Times New Roman" w:cs="Times New Roman"/>
          <w:color w:val="64473A"/>
          <w:sz w:val="24"/>
          <w:szCs w:val="24"/>
          <w:lang w:eastAsia="en-ZA"/>
        </w:rPr>
        <w:t xml:space="preserve"> (19875/2021) [2023] ZAGPPHC 60 (27 January 2023)</w:t>
      </w:r>
      <w:r w:rsidR="00F84D74">
        <w:rPr>
          <w:rFonts w:ascii="Times New Roman" w:eastAsia="Times New Roman" w:hAnsi="Times New Roman" w:cs="Times New Roman"/>
          <w:color w:val="64473A"/>
          <w:sz w:val="24"/>
          <w:szCs w:val="24"/>
          <w:lang w:eastAsia="en-ZA"/>
        </w:rPr>
        <w:t xml:space="preserve"> para 22.</w:t>
      </w:r>
    </w:p>
  </w:footnote>
  <w:footnote w:id="3">
    <w:p w14:paraId="7D5FA739" w14:textId="0A537E27" w:rsidR="005501FE" w:rsidRPr="00613712" w:rsidRDefault="005501FE" w:rsidP="00DF2BB6">
      <w:pPr>
        <w:pStyle w:val="FootnoteText"/>
        <w:rPr>
          <w:rFonts w:ascii="Times New Roman" w:hAnsi="Times New Roman" w:cs="Times New Roman"/>
          <w:sz w:val="24"/>
          <w:szCs w:val="24"/>
        </w:rPr>
      </w:pPr>
      <w:r w:rsidRPr="002B5FAB">
        <w:rPr>
          <w:rStyle w:val="FootnoteReference"/>
          <w:rFonts w:ascii="Times New Roman" w:hAnsi="Times New Roman" w:cs="Times New Roman"/>
          <w:sz w:val="24"/>
          <w:szCs w:val="24"/>
        </w:rPr>
        <w:footnoteRef/>
      </w:r>
      <w:r w:rsidRPr="002B5FAB">
        <w:rPr>
          <w:rFonts w:ascii="Times New Roman" w:hAnsi="Times New Roman" w:cs="Times New Roman"/>
          <w:sz w:val="24"/>
          <w:szCs w:val="24"/>
        </w:rPr>
        <w:t xml:space="preserve"> </w:t>
      </w:r>
      <w:r w:rsidR="002B5FAB" w:rsidRPr="002B5FAB">
        <w:rPr>
          <w:rFonts w:ascii="Times New Roman" w:hAnsi="Times New Roman" w:cs="Times New Roman"/>
          <w:sz w:val="24"/>
          <w:szCs w:val="24"/>
        </w:rPr>
        <w:t>Unibank Savings &amp; Loans Ltd (formerly Community Bank) v Absa Bank Ltd</w:t>
      </w:r>
      <w:r w:rsidR="00613712">
        <w:rPr>
          <w:rFonts w:ascii="Times New Roman" w:hAnsi="Times New Roman" w:cs="Times New Roman"/>
          <w:sz w:val="24"/>
          <w:szCs w:val="24"/>
        </w:rPr>
        <w:t xml:space="preserve"> </w:t>
      </w:r>
      <w:r w:rsidR="00613712" w:rsidRPr="00613712">
        <w:rPr>
          <w:rFonts w:ascii="Times New Roman" w:hAnsi="Times New Roman" w:cs="Times New Roman"/>
          <w:sz w:val="24"/>
          <w:szCs w:val="24"/>
        </w:rPr>
        <w:t>2000 (4) SA 191 (W) at 198.</w:t>
      </w:r>
    </w:p>
  </w:footnote>
  <w:footnote w:id="4">
    <w:p w14:paraId="625F2555" w14:textId="39CABF70" w:rsidR="00233FFC" w:rsidRDefault="00233FFC">
      <w:pPr>
        <w:pStyle w:val="FootnoteText"/>
      </w:pPr>
      <w:r>
        <w:rPr>
          <w:rStyle w:val="FootnoteReference"/>
        </w:rPr>
        <w:footnoteRef/>
      </w:r>
      <w:r>
        <w:t xml:space="preserve"> </w:t>
      </w:r>
      <w:r w:rsidR="001A00B1" w:rsidRPr="001A00B1">
        <w:rPr>
          <w:rFonts w:ascii="Times New Roman" w:hAnsi="Times New Roman" w:cs="Times New Roman"/>
          <w:sz w:val="24"/>
          <w:szCs w:val="24"/>
        </w:rPr>
        <w:t>1926 TPD 367</w:t>
      </w:r>
      <w:r w:rsidR="001A00B1">
        <w:t>.</w:t>
      </w:r>
    </w:p>
  </w:footnote>
  <w:footnote w:id="5">
    <w:p w14:paraId="2B1553F6" w14:textId="461937A5" w:rsidR="00363E07" w:rsidRPr="00702ABE" w:rsidRDefault="00363E07">
      <w:pPr>
        <w:pStyle w:val="FootnoteText"/>
        <w:rPr>
          <w:rFonts w:ascii="Times New Roman" w:hAnsi="Times New Roman" w:cs="Times New Roman"/>
          <w:sz w:val="24"/>
          <w:szCs w:val="24"/>
        </w:rPr>
      </w:pPr>
      <w:r w:rsidRPr="00702ABE">
        <w:rPr>
          <w:rStyle w:val="FootnoteReference"/>
          <w:rFonts w:ascii="Times New Roman" w:hAnsi="Times New Roman" w:cs="Times New Roman"/>
          <w:sz w:val="24"/>
          <w:szCs w:val="24"/>
        </w:rPr>
        <w:footnoteRef/>
      </w:r>
      <w:r w:rsidRPr="00702ABE">
        <w:rPr>
          <w:rFonts w:ascii="Times New Roman" w:hAnsi="Times New Roman" w:cs="Times New Roman"/>
          <w:sz w:val="24"/>
          <w:szCs w:val="24"/>
        </w:rPr>
        <w:t xml:space="preserve"> </w:t>
      </w:r>
      <w:r w:rsidR="00D03F0E" w:rsidRPr="00702ABE">
        <w:rPr>
          <w:rFonts w:ascii="Times New Roman" w:hAnsi="Times New Roman" w:cs="Times New Roman"/>
          <w:sz w:val="24"/>
          <w:szCs w:val="24"/>
        </w:rPr>
        <w:t>2008 (4) SA 111 (SCA).</w:t>
      </w:r>
    </w:p>
  </w:footnote>
  <w:footnote w:id="6">
    <w:p w14:paraId="63662CB8" w14:textId="08A8B421" w:rsidR="00ED723B" w:rsidRDefault="00ED723B">
      <w:pPr>
        <w:pStyle w:val="FootnoteText"/>
      </w:pPr>
      <w:r>
        <w:rPr>
          <w:rStyle w:val="FootnoteReference"/>
        </w:rPr>
        <w:footnoteRef/>
      </w:r>
      <w:r>
        <w:t xml:space="preserve"> </w:t>
      </w:r>
      <w:r w:rsidR="00C8117E" w:rsidRPr="00E32890">
        <w:rPr>
          <w:rFonts w:ascii="Times New Roman" w:hAnsi="Times New Roman" w:cs="Times New Roman"/>
          <w:sz w:val="24"/>
          <w:szCs w:val="24"/>
        </w:rPr>
        <w:t>Unlocked Properties 4 (Pty) Limited v A Commercial Properties CC</w:t>
      </w:r>
      <w:r w:rsidR="00E32890" w:rsidRPr="00E32890">
        <w:rPr>
          <w:rFonts w:ascii="Times New Roman" w:hAnsi="Times New Roman" w:cs="Times New Roman"/>
          <w:sz w:val="24"/>
          <w:szCs w:val="24"/>
        </w:rPr>
        <w:t>(18549/2015) [2016] ZAGPJHC 373</w:t>
      </w:r>
      <w:r w:rsidR="00E32890">
        <w:t xml:space="preserve"> </w:t>
      </w:r>
      <w:r w:rsidR="00E32890" w:rsidRPr="00EE5A3A">
        <w:rPr>
          <w:rFonts w:ascii="Times New Roman" w:hAnsi="Times New Roman" w:cs="Times New Roman"/>
          <w:sz w:val="24"/>
          <w:szCs w:val="24"/>
        </w:rPr>
        <w:t>(29</w:t>
      </w:r>
      <w:r w:rsidR="00EE5A3A" w:rsidRPr="00EE5A3A">
        <w:rPr>
          <w:rFonts w:ascii="Times New Roman" w:hAnsi="Times New Roman" w:cs="Times New Roman"/>
          <w:sz w:val="24"/>
          <w:szCs w:val="24"/>
        </w:rPr>
        <w:t>July 2016)</w:t>
      </w:r>
      <w:r w:rsidR="00E32890" w:rsidRPr="00EE5A3A">
        <w:rPr>
          <w:rFonts w:ascii="Times New Roman" w:hAnsi="Times New Roman" w:cs="Times New Roman"/>
          <w:sz w:val="24"/>
          <w:szCs w:val="24"/>
        </w:rPr>
        <w:t xml:space="preserve"> </w:t>
      </w:r>
      <w:r w:rsidR="00EE5A3A" w:rsidRPr="00EE5A3A">
        <w:rPr>
          <w:rFonts w:ascii="Times New Roman" w:hAnsi="Times New Roman" w:cs="Times New Roman"/>
          <w:sz w:val="24"/>
          <w:szCs w:val="24"/>
        </w:rPr>
        <w:t xml:space="preserve"> citing with approval</w:t>
      </w:r>
      <w:r w:rsidR="00EE5A3A">
        <w:t xml:space="preserve"> </w:t>
      </w:r>
      <w:r w:rsidR="00C8117E">
        <w:t xml:space="preserve"> </w:t>
      </w:r>
      <w:r w:rsidRPr="00ED723B">
        <w:rPr>
          <w:rFonts w:ascii="Times New Roman" w:hAnsi="Times New Roman" w:cs="Times New Roman"/>
          <w:sz w:val="24"/>
          <w:szCs w:val="24"/>
        </w:rPr>
        <w:t>Unibank Savings &amp; Loans Ltd (formerly Community Bank) v Absa Bank Ltd</w:t>
      </w:r>
      <w:r>
        <w:rPr>
          <w:rFonts w:ascii="Times New Roman" w:hAnsi="Times New Roman" w:cs="Times New Roman"/>
          <w:sz w:val="24"/>
          <w:szCs w:val="24"/>
        </w:rPr>
        <w:t xml:space="preserve"> footnote </w:t>
      </w:r>
      <w:r w:rsidR="006C4410">
        <w:rPr>
          <w:rFonts w:ascii="Times New Roman" w:hAnsi="Times New Roman" w:cs="Times New Roman"/>
          <w:sz w:val="24"/>
          <w:szCs w:val="24"/>
        </w:rPr>
        <w:t>3 above at 198.</w:t>
      </w:r>
    </w:p>
  </w:footnote>
  <w:footnote w:id="7">
    <w:p w14:paraId="2554419A" w14:textId="3628F574" w:rsidR="00327DB7" w:rsidRPr="002D273C" w:rsidRDefault="00327DB7">
      <w:pPr>
        <w:pStyle w:val="FootnoteText"/>
        <w:rPr>
          <w:rFonts w:ascii="Times New Roman" w:hAnsi="Times New Roman" w:cs="Times New Roman"/>
          <w:sz w:val="24"/>
          <w:szCs w:val="24"/>
        </w:rPr>
      </w:pPr>
      <w:r>
        <w:rPr>
          <w:rStyle w:val="FootnoteReference"/>
        </w:rPr>
        <w:footnoteRef/>
      </w:r>
      <w:r>
        <w:t xml:space="preserve"> </w:t>
      </w:r>
      <w:r w:rsidR="00B8090C" w:rsidRPr="002D273C">
        <w:rPr>
          <w:rFonts w:ascii="Times New Roman" w:hAnsi="Times New Roman" w:cs="Times New Roman"/>
          <w:sz w:val="24"/>
          <w:szCs w:val="24"/>
        </w:rPr>
        <w:t xml:space="preserve">LAWSA Vol 5 (1) First Reissue (Butterworths) 1994 at para 160; and </w:t>
      </w:r>
      <w:proofErr w:type="spellStart"/>
      <w:r w:rsidR="00B8090C" w:rsidRPr="002D273C">
        <w:rPr>
          <w:rFonts w:ascii="Times New Roman" w:hAnsi="Times New Roman" w:cs="Times New Roman"/>
          <w:sz w:val="24"/>
          <w:szCs w:val="24"/>
        </w:rPr>
        <w:t>Wesbank</w:t>
      </w:r>
      <w:proofErr w:type="spellEnd"/>
      <w:r w:rsidR="00B8090C" w:rsidRPr="002D273C">
        <w:rPr>
          <w:rFonts w:ascii="Times New Roman" w:hAnsi="Times New Roman" w:cs="Times New Roman"/>
          <w:sz w:val="24"/>
          <w:szCs w:val="24"/>
        </w:rPr>
        <w:t xml:space="preserve">, A Division Of </w:t>
      </w:r>
      <w:proofErr w:type="spellStart"/>
      <w:r w:rsidR="00B8090C" w:rsidRPr="002D273C">
        <w:rPr>
          <w:rFonts w:ascii="Times New Roman" w:hAnsi="Times New Roman" w:cs="Times New Roman"/>
          <w:sz w:val="24"/>
          <w:szCs w:val="24"/>
        </w:rPr>
        <w:t>Firstrand</w:t>
      </w:r>
      <w:proofErr w:type="spellEnd"/>
      <w:r w:rsidR="00B8090C" w:rsidRPr="002D273C">
        <w:rPr>
          <w:rFonts w:ascii="Times New Roman" w:hAnsi="Times New Roman" w:cs="Times New Roman"/>
          <w:sz w:val="24"/>
          <w:szCs w:val="24"/>
        </w:rPr>
        <w:t xml:space="preserve"> Bank Ltd v PSG Haulers CC (38510/2020) [2022] ZAGPJHC 519.</w:t>
      </w:r>
    </w:p>
  </w:footnote>
  <w:footnote w:id="8">
    <w:p w14:paraId="2A942DD6" w14:textId="53BFAB58" w:rsidR="004F7EBD" w:rsidRDefault="004F7EBD">
      <w:pPr>
        <w:pStyle w:val="FootnoteText"/>
      </w:pPr>
      <w:r w:rsidRPr="002D273C">
        <w:rPr>
          <w:rStyle w:val="FootnoteReference"/>
          <w:rFonts w:ascii="Times New Roman" w:hAnsi="Times New Roman" w:cs="Times New Roman"/>
          <w:sz w:val="24"/>
          <w:szCs w:val="24"/>
        </w:rPr>
        <w:footnoteRef/>
      </w:r>
      <w:r w:rsidRPr="002D273C">
        <w:rPr>
          <w:rFonts w:ascii="Times New Roman" w:hAnsi="Times New Roman" w:cs="Times New Roman"/>
          <w:sz w:val="24"/>
          <w:szCs w:val="24"/>
        </w:rPr>
        <w:t xml:space="preserve"> </w:t>
      </w:r>
      <w:r w:rsidR="002D273C" w:rsidRPr="002D273C">
        <w:rPr>
          <w:rFonts w:ascii="Times New Roman" w:hAnsi="Times New Roman" w:cs="Times New Roman"/>
          <w:sz w:val="24"/>
          <w:szCs w:val="24"/>
        </w:rPr>
        <w:t>2011 (2) SA 118 (SCA) at para 22.</w:t>
      </w:r>
    </w:p>
  </w:footnote>
  <w:footnote w:id="9">
    <w:p w14:paraId="6ADD9CBF" w14:textId="11A7820B" w:rsidR="00CB0D22" w:rsidRPr="00E61CCB" w:rsidRDefault="00CB0D22">
      <w:pPr>
        <w:pStyle w:val="FootnoteText"/>
        <w:rPr>
          <w:rFonts w:ascii="Times New Roman" w:hAnsi="Times New Roman" w:cs="Times New Roman"/>
        </w:rPr>
      </w:pPr>
      <w:r>
        <w:rPr>
          <w:rStyle w:val="FootnoteReference"/>
        </w:rPr>
        <w:footnoteRef/>
      </w:r>
      <w:r>
        <w:t xml:space="preserve"> </w:t>
      </w:r>
      <w:r w:rsidR="00E61CCB" w:rsidRPr="00E61CCB">
        <w:rPr>
          <w:rFonts w:ascii="Times New Roman" w:hAnsi="Times New Roman" w:cs="Times New Roman"/>
          <w:sz w:val="24"/>
          <w:szCs w:val="24"/>
        </w:rPr>
        <w:t xml:space="preserve">Du Plessis v Du Plessis 1970 (1) SA 683 (O); Aida Uitenhage CC v </w:t>
      </w:r>
      <w:proofErr w:type="spellStart"/>
      <w:r w:rsidR="00E61CCB" w:rsidRPr="00E61CCB">
        <w:rPr>
          <w:rFonts w:ascii="Times New Roman" w:hAnsi="Times New Roman" w:cs="Times New Roman"/>
          <w:sz w:val="24"/>
          <w:szCs w:val="24"/>
        </w:rPr>
        <w:t>Singapi</w:t>
      </w:r>
      <w:proofErr w:type="spellEnd"/>
      <w:r w:rsidR="00E61CCB" w:rsidRPr="00E61CCB">
        <w:rPr>
          <w:rFonts w:ascii="Times New Roman" w:hAnsi="Times New Roman" w:cs="Times New Roman"/>
          <w:sz w:val="24"/>
          <w:szCs w:val="24"/>
        </w:rPr>
        <w:t xml:space="preserve"> 1992 (4) SA 675 (E); and more generally, Van Huyssteen, Lubbe, and Reinecke Contract: General Principles 5 ed (Juta &amp; Co Ltd, Cape Town) at 182-184.</w:t>
      </w:r>
    </w:p>
  </w:footnote>
  <w:footnote w:id="10">
    <w:p w14:paraId="5C364521" w14:textId="1AABCD8D" w:rsidR="007A3FF2" w:rsidRPr="00F342A0" w:rsidRDefault="007A3FF2">
      <w:pPr>
        <w:pStyle w:val="FootnoteText"/>
        <w:rPr>
          <w:rFonts w:ascii="Times New Roman" w:hAnsi="Times New Roman" w:cs="Times New Roman"/>
          <w:sz w:val="24"/>
          <w:szCs w:val="24"/>
        </w:rPr>
      </w:pPr>
      <w:r w:rsidRPr="00F342A0">
        <w:rPr>
          <w:rStyle w:val="FootnoteReference"/>
          <w:rFonts w:ascii="Times New Roman" w:hAnsi="Times New Roman" w:cs="Times New Roman"/>
          <w:sz w:val="24"/>
          <w:szCs w:val="24"/>
        </w:rPr>
        <w:footnoteRef/>
      </w:r>
      <w:r w:rsidRPr="00F342A0">
        <w:rPr>
          <w:rFonts w:ascii="Times New Roman" w:hAnsi="Times New Roman" w:cs="Times New Roman"/>
          <w:sz w:val="24"/>
          <w:szCs w:val="24"/>
        </w:rPr>
        <w:t xml:space="preserve"> </w:t>
      </w:r>
      <w:r w:rsidR="00D95CAF" w:rsidRPr="00F342A0">
        <w:rPr>
          <w:rFonts w:ascii="Times New Roman" w:hAnsi="Times New Roman" w:cs="Times New Roman"/>
          <w:sz w:val="24"/>
          <w:szCs w:val="24"/>
        </w:rPr>
        <w:t xml:space="preserve">Above footnote </w:t>
      </w:r>
      <w:r w:rsidR="000C71BC" w:rsidRPr="00F342A0">
        <w:rPr>
          <w:rFonts w:ascii="Times New Roman" w:hAnsi="Times New Roman" w:cs="Times New Roman"/>
          <w:sz w:val="24"/>
          <w:szCs w:val="24"/>
        </w:rPr>
        <w:t>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B9BF9" w14:textId="77777777" w:rsidR="00445DE0" w:rsidRDefault="00A54C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B7793" w14:textId="77777777" w:rsidR="00445DE0" w:rsidRDefault="00445DE0">
    <w:pPr>
      <w:pStyle w:val="Header"/>
      <w:ind w:right="360"/>
    </w:pPr>
  </w:p>
  <w:p w14:paraId="10D70D42" w14:textId="77777777" w:rsidR="00445DE0" w:rsidRDefault="00445DE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2C56B" w14:textId="77777777" w:rsidR="00445DE0" w:rsidRDefault="00A54C21">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5115"/>
        </w:tabs>
        <w:ind w:left="5115" w:hanging="720"/>
      </w:pPr>
      <w:rPr>
        <w:rFonts w:hint="default"/>
      </w:rPr>
    </w:lvl>
    <w:lvl w:ilvl="1" w:tplc="08090019" w:tentative="1">
      <w:start w:val="1"/>
      <w:numFmt w:val="lowerLetter"/>
      <w:lvlText w:val="%2."/>
      <w:lvlJc w:val="left"/>
      <w:pPr>
        <w:tabs>
          <w:tab w:val="num" w:pos="5475"/>
        </w:tabs>
        <w:ind w:left="5475" w:hanging="360"/>
      </w:pPr>
    </w:lvl>
    <w:lvl w:ilvl="2" w:tplc="0809001B" w:tentative="1">
      <w:start w:val="1"/>
      <w:numFmt w:val="lowerRoman"/>
      <w:lvlText w:val="%3."/>
      <w:lvlJc w:val="right"/>
      <w:pPr>
        <w:tabs>
          <w:tab w:val="num" w:pos="6195"/>
        </w:tabs>
        <w:ind w:left="6195" w:hanging="180"/>
      </w:pPr>
    </w:lvl>
    <w:lvl w:ilvl="3" w:tplc="0809000F" w:tentative="1">
      <w:start w:val="1"/>
      <w:numFmt w:val="decimal"/>
      <w:lvlText w:val="%4."/>
      <w:lvlJc w:val="left"/>
      <w:pPr>
        <w:tabs>
          <w:tab w:val="num" w:pos="6915"/>
        </w:tabs>
        <w:ind w:left="6915" w:hanging="360"/>
      </w:pPr>
    </w:lvl>
    <w:lvl w:ilvl="4" w:tplc="08090019" w:tentative="1">
      <w:start w:val="1"/>
      <w:numFmt w:val="lowerLetter"/>
      <w:lvlText w:val="%5."/>
      <w:lvlJc w:val="left"/>
      <w:pPr>
        <w:tabs>
          <w:tab w:val="num" w:pos="7635"/>
        </w:tabs>
        <w:ind w:left="7635" w:hanging="360"/>
      </w:pPr>
    </w:lvl>
    <w:lvl w:ilvl="5" w:tplc="0809001B" w:tentative="1">
      <w:start w:val="1"/>
      <w:numFmt w:val="lowerRoman"/>
      <w:lvlText w:val="%6."/>
      <w:lvlJc w:val="right"/>
      <w:pPr>
        <w:tabs>
          <w:tab w:val="num" w:pos="8355"/>
        </w:tabs>
        <w:ind w:left="8355" w:hanging="180"/>
      </w:pPr>
    </w:lvl>
    <w:lvl w:ilvl="6" w:tplc="0809000F" w:tentative="1">
      <w:start w:val="1"/>
      <w:numFmt w:val="decimal"/>
      <w:lvlText w:val="%7."/>
      <w:lvlJc w:val="left"/>
      <w:pPr>
        <w:tabs>
          <w:tab w:val="num" w:pos="9075"/>
        </w:tabs>
        <w:ind w:left="9075" w:hanging="360"/>
      </w:pPr>
    </w:lvl>
    <w:lvl w:ilvl="7" w:tplc="08090019" w:tentative="1">
      <w:start w:val="1"/>
      <w:numFmt w:val="lowerLetter"/>
      <w:lvlText w:val="%8."/>
      <w:lvlJc w:val="left"/>
      <w:pPr>
        <w:tabs>
          <w:tab w:val="num" w:pos="9795"/>
        </w:tabs>
        <w:ind w:left="9795" w:hanging="360"/>
      </w:pPr>
    </w:lvl>
    <w:lvl w:ilvl="8" w:tplc="0809001B" w:tentative="1">
      <w:start w:val="1"/>
      <w:numFmt w:val="lowerRoman"/>
      <w:lvlText w:val="%9."/>
      <w:lvlJc w:val="right"/>
      <w:pPr>
        <w:tabs>
          <w:tab w:val="num" w:pos="10515"/>
        </w:tabs>
        <w:ind w:left="10515" w:hanging="180"/>
      </w:pPr>
    </w:lvl>
  </w:abstractNum>
  <w:abstractNum w:abstractNumId="1" w15:restartNumberingAfterBreak="0">
    <w:nsid w:val="0D08294C"/>
    <w:multiLevelType w:val="hybridMultilevel"/>
    <w:tmpl w:val="9A60F4FA"/>
    <w:lvl w:ilvl="0" w:tplc="4C745D8E">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15:restartNumberingAfterBreak="0">
    <w:nsid w:val="6ADA6938"/>
    <w:multiLevelType w:val="hybridMultilevel"/>
    <w:tmpl w:val="E2AC75BE"/>
    <w:lvl w:ilvl="0" w:tplc="BFF6CB0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7S0MDQ0MzMwtzQ3NjdV0lEKTi0uzszPAykwrAUADqjJOiwAAAA="/>
  </w:docVars>
  <w:rsids>
    <w:rsidRoot w:val="00CC464E"/>
    <w:rsid w:val="00003564"/>
    <w:rsid w:val="00007827"/>
    <w:rsid w:val="00013F9E"/>
    <w:rsid w:val="00031159"/>
    <w:rsid w:val="00036073"/>
    <w:rsid w:val="00065614"/>
    <w:rsid w:val="00070E0F"/>
    <w:rsid w:val="00074567"/>
    <w:rsid w:val="0008149C"/>
    <w:rsid w:val="000876FC"/>
    <w:rsid w:val="000A2914"/>
    <w:rsid w:val="000A5DCF"/>
    <w:rsid w:val="000C71BC"/>
    <w:rsid w:val="000D2ED0"/>
    <w:rsid w:val="000D31BC"/>
    <w:rsid w:val="000E1700"/>
    <w:rsid w:val="000F0174"/>
    <w:rsid w:val="000F4A55"/>
    <w:rsid w:val="001067D2"/>
    <w:rsid w:val="00107EF4"/>
    <w:rsid w:val="00112B18"/>
    <w:rsid w:val="00125C75"/>
    <w:rsid w:val="00127FA5"/>
    <w:rsid w:val="0013043F"/>
    <w:rsid w:val="0014051B"/>
    <w:rsid w:val="00150E59"/>
    <w:rsid w:val="00150F83"/>
    <w:rsid w:val="0015114B"/>
    <w:rsid w:val="0015114D"/>
    <w:rsid w:val="00153C28"/>
    <w:rsid w:val="00154664"/>
    <w:rsid w:val="00156E89"/>
    <w:rsid w:val="001635CC"/>
    <w:rsid w:val="00175EE1"/>
    <w:rsid w:val="00180E19"/>
    <w:rsid w:val="00190DD7"/>
    <w:rsid w:val="00191048"/>
    <w:rsid w:val="00191B1E"/>
    <w:rsid w:val="00193158"/>
    <w:rsid w:val="001946C5"/>
    <w:rsid w:val="00196CAA"/>
    <w:rsid w:val="001A00B1"/>
    <w:rsid w:val="001A1BDE"/>
    <w:rsid w:val="001A312C"/>
    <w:rsid w:val="001C26C2"/>
    <w:rsid w:val="001E0F0C"/>
    <w:rsid w:val="001F3F68"/>
    <w:rsid w:val="001F5CF3"/>
    <w:rsid w:val="002046C8"/>
    <w:rsid w:val="00206560"/>
    <w:rsid w:val="00211E56"/>
    <w:rsid w:val="00214356"/>
    <w:rsid w:val="00231B71"/>
    <w:rsid w:val="00233B4D"/>
    <w:rsid w:val="00233FFC"/>
    <w:rsid w:val="0024214E"/>
    <w:rsid w:val="00251DD2"/>
    <w:rsid w:val="00252EC7"/>
    <w:rsid w:val="002631FA"/>
    <w:rsid w:val="00263699"/>
    <w:rsid w:val="002675C1"/>
    <w:rsid w:val="00282C2C"/>
    <w:rsid w:val="002878D4"/>
    <w:rsid w:val="002958F6"/>
    <w:rsid w:val="00297F56"/>
    <w:rsid w:val="002A7873"/>
    <w:rsid w:val="002B5FAB"/>
    <w:rsid w:val="002C6D43"/>
    <w:rsid w:val="002D1DBF"/>
    <w:rsid w:val="002D273C"/>
    <w:rsid w:val="002D77DA"/>
    <w:rsid w:val="002E4300"/>
    <w:rsid w:val="002E46EC"/>
    <w:rsid w:val="002E540B"/>
    <w:rsid w:val="00301929"/>
    <w:rsid w:val="00302536"/>
    <w:rsid w:val="003176E0"/>
    <w:rsid w:val="00327DB7"/>
    <w:rsid w:val="003544DA"/>
    <w:rsid w:val="003546BD"/>
    <w:rsid w:val="0035506B"/>
    <w:rsid w:val="00362808"/>
    <w:rsid w:val="00363E07"/>
    <w:rsid w:val="00371E47"/>
    <w:rsid w:val="003732BE"/>
    <w:rsid w:val="00373311"/>
    <w:rsid w:val="003819E3"/>
    <w:rsid w:val="003A145E"/>
    <w:rsid w:val="003A5C26"/>
    <w:rsid w:val="003A7DF1"/>
    <w:rsid w:val="003B4D6E"/>
    <w:rsid w:val="003B741A"/>
    <w:rsid w:val="003D42C4"/>
    <w:rsid w:val="003E765B"/>
    <w:rsid w:val="003E7E46"/>
    <w:rsid w:val="00426BF8"/>
    <w:rsid w:val="004304DD"/>
    <w:rsid w:val="00431D2F"/>
    <w:rsid w:val="004347E2"/>
    <w:rsid w:val="00445DE0"/>
    <w:rsid w:val="004524EA"/>
    <w:rsid w:val="00460AC3"/>
    <w:rsid w:val="00463A69"/>
    <w:rsid w:val="00466934"/>
    <w:rsid w:val="004772B0"/>
    <w:rsid w:val="00484682"/>
    <w:rsid w:val="00485645"/>
    <w:rsid w:val="00491389"/>
    <w:rsid w:val="0049678E"/>
    <w:rsid w:val="00497EA6"/>
    <w:rsid w:val="004A37A9"/>
    <w:rsid w:val="004A4841"/>
    <w:rsid w:val="004A51AF"/>
    <w:rsid w:val="004B1F15"/>
    <w:rsid w:val="004C6ECC"/>
    <w:rsid w:val="004D4C6B"/>
    <w:rsid w:val="004E7EE3"/>
    <w:rsid w:val="004F2CFB"/>
    <w:rsid w:val="004F7EBD"/>
    <w:rsid w:val="00500127"/>
    <w:rsid w:val="00510CF1"/>
    <w:rsid w:val="00527449"/>
    <w:rsid w:val="00530427"/>
    <w:rsid w:val="0054182A"/>
    <w:rsid w:val="005501FE"/>
    <w:rsid w:val="00556D43"/>
    <w:rsid w:val="00564A7F"/>
    <w:rsid w:val="0057325E"/>
    <w:rsid w:val="005773CA"/>
    <w:rsid w:val="00584A34"/>
    <w:rsid w:val="0058705A"/>
    <w:rsid w:val="005D06FE"/>
    <w:rsid w:val="005D343C"/>
    <w:rsid w:val="005D7177"/>
    <w:rsid w:val="00606E21"/>
    <w:rsid w:val="00613712"/>
    <w:rsid w:val="00622933"/>
    <w:rsid w:val="0062321D"/>
    <w:rsid w:val="00623916"/>
    <w:rsid w:val="006265A5"/>
    <w:rsid w:val="00630B24"/>
    <w:rsid w:val="0063162B"/>
    <w:rsid w:val="00633CF0"/>
    <w:rsid w:val="00641AEA"/>
    <w:rsid w:val="00653469"/>
    <w:rsid w:val="00655730"/>
    <w:rsid w:val="0067428D"/>
    <w:rsid w:val="00674973"/>
    <w:rsid w:val="006831D7"/>
    <w:rsid w:val="0068642A"/>
    <w:rsid w:val="00686993"/>
    <w:rsid w:val="006A063C"/>
    <w:rsid w:val="006A12FD"/>
    <w:rsid w:val="006B0D75"/>
    <w:rsid w:val="006B46D8"/>
    <w:rsid w:val="006B6B45"/>
    <w:rsid w:val="006C4410"/>
    <w:rsid w:val="006D71AB"/>
    <w:rsid w:val="006E124A"/>
    <w:rsid w:val="006F18CE"/>
    <w:rsid w:val="006F2F34"/>
    <w:rsid w:val="007019DA"/>
    <w:rsid w:val="00701EEC"/>
    <w:rsid w:val="00702ABE"/>
    <w:rsid w:val="00734AB3"/>
    <w:rsid w:val="0074631D"/>
    <w:rsid w:val="00746448"/>
    <w:rsid w:val="00753B82"/>
    <w:rsid w:val="00764393"/>
    <w:rsid w:val="00766F0D"/>
    <w:rsid w:val="00770DB4"/>
    <w:rsid w:val="00773F82"/>
    <w:rsid w:val="00795950"/>
    <w:rsid w:val="007A3FF2"/>
    <w:rsid w:val="007A4B45"/>
    <w:rsid w:val="007B0A13"/>
    <w:rsid w:val="007B3AAF"/>
    <w:rsid w:val="007C206A"/>
    <w:rsid w:val="007D083D"/>
    <w:rsid w:val="007D2B4C"/>
    <w:rsid w:val="007E3EB8"/>
    <w:rsid w:val="007E59E9"/>
    <w:rsid w:val="00801692"/>
    <w:rsid w:val="00804E11"/>
    <w:rsid w:val="0080683C"/>
    <w:rsid w:val="0081099D"/>
    <w:rsid w:val="00822F32"/>
    <w:rsid w:val="0082591D"/>
    <w:rsid w:val="00832E4C"/>
    <w:rsid w:val="00834158"/>
    <w:rsid w:val="008777F2"/>
    <w:rsid w:val="00890425"/>
    <w:rsid w:val="008A13BF"/>
    <w:rsid w:val="008A2FB0"/>
    <w:rsid w:val="008A58F1"/>
    <w:rsid w:val="008A779E"/>
    <w:rsid w:val="008C64DB"/>
    <w:rsid w:val="008E19AE"/>
    <w:rsid w:val="008E46D5"/>
    <w:rsid w:val="008F08B8"/>
    <w:rsid w:val="008F0ADA"/>
    <w:rsid w:val="008F247D"/>
    <w:rsid w:val="008F3009"/>
    <w:rsid w:val="00920344"/>
    <w:rsid w:val="00930440"/>
    <w:rsid w:val="00930809"/>
    <w:rsid w:val="00944924"/>
    <w:rsid w:val="00950ADE"/>
    <w:rsid w:val="00954567"/>
    <w:rsid w:val="00954A8A"/>
    <w:rsid w:val="00960052"/>
    <w:rsid w:val="00963421"/>
    <w:rsid w:val="00967E03"/>
    <w:rsid w:val="0097117C"/>
    <w:rsid w:val="00971CF0"/>
    <w:rsid w:val="0097477B"/>
    <w:rsid w:val="009772A9"/>
    <w:rsid w:val="00997D8B"/>
    <w:rsid w:val="009A6BEB"/>
    <w:rsid w:val="009B7559"/>
    <w:rsid w:val="009C12E7"/>
    <w:rsid w:val="009C6525"/>
    <w:rsid w:val="009D11FA"/>
    <w:rsid w:val="009F01BC"/>
    <w:rsid w:val="009F4181"/>
    <w:rsid w:val="009F4797"/>
    <w:rsid w:val="00A127D2"/>
    <w:rsid w:val="00A21361"/>
    <w:rsid w:val="00A254D9"/>
    <w:rsid w:val="00A54C21"/>
    <w:rsid w:val="00A624A5"/>
    <w:rsid w:val="00AA0C07"/>
    <w:rsid w:val="00AA7D73"/>
    <w:rsid w:val="00AD2C48"/>
    <w:rsid w:val="00AE17CA"/>
    <w:rsid w:val="00AE4EB4"/>
    <w:rsid w:val="00AE5D65"/>
    <w:rsid w:val="00B05352"/>
    <w:rsid w:val="00B07A6E"/>
    <w:rsid w:val="00B21FE9"/>
    <w:rsid w:val="00B30E34"/>
    <w:rsid w:val="00B5081E"/>
    <w:rsid w:val="00B57152"/>
    <w:rsid w:val="00B63445"/>
    <w:rsid w:val="00B70581"/>
    <w:rsid w:val="00B73607"/>
    <w:rsid w:val="00B8090C"/>
    <w:rsid w:val="00BB332A"/>
    <w:rsid w:val="00BB7EA5"/>
    <w:rsid w:val="00BC323D"/>
    <w:rsid w:val="00BE3DF5"/>
    <w:rsid w:val="00C0341B"/>
    <w:rsid w:val="00C12622"/>
    <w:rsid w:val="00C1419B"/>
    <w:rsid w:val="00C14C4A"/>
    <w:rsid w:val="00C15F7E"/>
    <w:rsid w:val="00C422E8"/>
    <w:rsid w:val="00C4326D"/>
    <w:rsid w:val="00C64EC4"/>
    <w:rsid w:val="00C73577"/>
    <w:rsid w:val="00C75344"/>
    <w:rsid w:val="00C8117E"/>
    <w:rsid w:val="00C831A6"/>
    <w:rsid w:val="00C949B3"/>
    <w:rsid w:val="00CA464F"/>
    <w:rsid w:val="00CA7866"/>
    <w:rsid w:val="00CB0D22"/>
    <w:rsid w:val="00CC37DF"/>
    <w:rsid w:val="00CC464E"/>
    <w:rsid w:val="00CC7026"/>
    <w:rsid w:val="00CE2E2D"/>
    <w:rsid w:val="00CE4163"/>
    <w:rsid w:val="00CF05AD"/>
    <w:rsid w:val="00D03F0E"/>
    <w:rsid w:val="00D3427A"/>
    <w:rsid w:val="00D44DAF"/>
    <w:rsid w:val="00D643BE"/>
    <w:rsid w:val="00D71F20"/>
    <w:rsid w:val="00D7349E"/>
    <w:rsid w:val="00D85FF8"/>
    <w:rsid w:val="00D95CAF"/>
    <w:rsid w:val="00DB6880"/>
    <w:rsid w:val="00DC243F"/>
    <w:rsid w:val="00DC4E4B"/>
    <w:rsid w:val="00DE7BF0"/>
    <w:rsid w:val="00DF1A97"/>
    <w:rsid w:val="00DF2BB6"/>
    <w:rsid w:val="00DF4CDD"/>
    <w:rsid w:val="00E10634"/>
    <w:rsid w:val="00E1410C"/>
    <w:rsid w:val="00E14B8F"/>
    <w:rsid w:val="00E15475"/>
    <w:rsid w:val="00E23D17"/>
    <w:rsid w:val="00E32890"/>
    <w:rsid w:val="00E35001"/>
    <w:rsid w:val="00E45F58"/>
    <w:rsid w:val="00E61CCB"/>
    <w:rsid w:val="00E63DCA"/>
    <w:rsid w:val="00E64EA1"/>
    <w:rsid w:val="00E70696"/>
    <w:rsid w:val="00E75E79"/>
    <w:rsid w:val="00E77E9C"/>
    <w:rsid w:val="00E86A73"/>
    <w:rsid w:val="00E91CEE"/>
    <w:rsid w:val="00E93190"/>
    <w:rsid w:val="00E97380"/>
    <w:rsid w:val="00EA70B6"/>
    <w:rsid w:val="00EB050C"/>
    <w:rsid w:val="00EB162A"/>
    <w:rsid w:val="00EB6B9B"/>
    <w:rsid w:val="00ED723B"/>
    <w:rsid w:val="00ED7BB4"/>
    <w:rsid w:val="00EE5A3A"/>
    <w:rsid w:val="00EF1DE4"/>
    <w:rsid w:val="00EF55BE"/>
    <w:rsid w:val="00F23469"/>
    <w:rsid w:val="00F252FC"/>
    <w:rsid w:val="00F342A0"/>
    <w:rsid w:val="00F42057"/>
    <w:rsid w:val="00F55776"/>
    <w:rsid w:val="00F700D2"/>
    <w:rsid w:val="00F77155"/>
    <w:rsid w:val="00F84D74"/>
    <w:rsid w:val="00FB19A2"/>
    <w:rsid w:val="00FD5AFD"/>
    <w:rsid w:val="00FE3D70"/>
    <w:rsid w:val="00FE6782"/>
    <w:rsid w:val="00FF1ABA"/>
    <w:rsid w:val="00FF203C"/>
    <w:rsid w:val="00FF2565"/>
    <w:rsid w:val="00FF4076"/>
    <w:rsid w:val="00FF71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5F63"/>
  <w15:docId w15:val="{46825A9D-027F-4FB1-A838-AB4A613A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84D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46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464E"/>
  </w:style>
  <w:style w:type="character" w:styleId="PageNumber">
    <w:name w:val="page number"/>
    <w:rsid w:val="00CC464E"/>
    <w:rPr>
      <w:rFonts w:ascii="Arial" w:hAnsi="Arial"/>
      <w:sz w:val="24"/>
    </w:rPr>
  </w:style>
  <w:style w:type="paragraph" w:styleId="FootnoteText">
    <w:name w:val="footnote text"/>
    <w:basedOn w:val="Normal"/>
    <w:link w:val="FootnoteTextChar"/>
    <w:uiPriority w:val="99"/>
    <w:semiHidden/>
    <w:unhideWhenUsed/>
    <w:rsid w:val="00CC46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64E"/>
    <w:rPr>
      <w:sz w:val="20"/>
      <w:szCs w:val="20"/>
    </w:rPr>
  </w:style>
  <w:style w:type="character" w:styleId="FootnoteReference">
    <w:name w:val="footnote reference"/>
    <w:basedOn w:val="DefaultParagraphFont"/>
    <w:uiPriority w:val="99"/>
    <w:semiHidden/>
    <w:unhideWhenUsed/>
    <w:rsid w:val="00CC464E"/>
    <w:rPr>
      <w:vertAlign w:val="superscript"/>
    </w:rPr>
  </w:style>
  <w:style w:type="character" w:styleId="Hyperlink">
    <w:name w:val="Hyperlink"/>
    <w:basedOn w:val="DefaultParagraphFont"/>
    <w:uiPriority w:val="99"/>
    <w:semiHidden/>
    <w:unhideWhenUsed/>
    <w:rsid w:val="0063162B"/>
    <w:rPr>
      <w:color w:val="0000FF"/>
      <w:u w:val="single"/>
    </w:rPr>
  </w:style>
  <w:style w:type="paragraph" w:styleId="NormalWeb">
    <w:name w:val="Normal (Web)"/>
    <w:basedOn w:val="Normal"/>
    <w:uiPriority w:val="99"/>
    <w:semiHidden/>
    <w:unhideWhenUsed/>
    <w:rsid w:val="001E0F0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F84D74"/>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semiHidden/>
    <w:unhideWhenUsed/>
    <w:rsid w:val="008777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7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78704">
      <w:bodyDiv w:val="1"/>
      <w:marLeft w:val="0"/>
      <w:marRight w:val="0"/>
      <w:marTop w:val="0"/>
      <w:marBottom w:val="0"/>
      <w:divBdr>
        <w:top w:val="none" w:sz="0" w:space="0" w:color="auto"/>
        <w:left w:val="none" w:sz="0" w:space="0" w:color="auto"/>
        <w:bottom w:val="none" w:sz="0" w:space="0" w:color="auto"/>
        <w:right w:val="none" w:sz="0" w:space="0" w:color="auto"/>
      </w:divBdr>
    </w:div>
    <w:div w:id="1807626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2020%20%283%29%20SA%20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6" ma:contentTypeDescription="Create a new document." ma:contentTypeScope="" ma:versionID="5fbc84934f19a25fa2c3c248aefba5da">
  <xsd:schema xmlns:xsd="http://www.w3.org/2001/XMLSchema" xmlns:xs="http://www.w3.org/2001/XMLSchema" xmlns:p="http://schemas.microsoft.com/office/2006/metadata/properties" xmlns:ns3="068c6b3d-be1e-4467-bdef-3b2882ff4aae" targetNamespace="http://schemas.microsoft.com/office/2006/metadata/properties" ma:root="true" ma:fieldsID="1de9898d771b31617d69ecbe503bda66" ns3:_="">
    <xsd:import namespace="068c6b3d-be1e-4467-bdef-3b2882ff4aae"/>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68c6b3d-be1e-4467-bdef-3b2882ff4aa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8B5CA-4399-46F7-BCB3-74463BB39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22DD3-D375-405D-A0DF-15E792D33E91}">
  <ds:schemaRefs>
    <ds:schemaRef ds:uri="http://schemas.microsoft.com/sharepoint/v3/contenttype/forms"/>
  </ds:schemaRefs>
</ds:datastoreItem>
</file>

<file path=customXml/itemProps3.xml><?xml version="1.0" encoding="utf-8"?>
<ds:datastoreItem xmlns:ds="http://schemas.openxmlformats.org/officeDocument/2006/customXml" ds:itemID="{3F6BC487-DD99-4553-A4A2-313F6C2685F3}">
  <ds:schemaRefs>
    <ds:schemaRef ds:uri="http://schemas.microsoft.com/office/2006/metadata/properties"/>
    <ds:schemaRef ds:uri="http://schemas.microsoft.com/office/infopath/2007/PartnerControls"/>
    <ds:schemaRef ds:uri="068c6b3d-be1e-4467-bdef-3b2882ff4aae"/>
  </ds:schemaRefs>
</ds:datastoreItem>
</file>

<file path=customXml/itemProps4.xml><?xml version="1.0" encoding="utf-8"?>
<ds:datastoreItem xmlns:ds="http://schemas.openxmlformats.org/officeDocument/2006/customXml" ds:itemID="{C57BE019-BA59-4ABC-97F7-93AF0F4E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Judge-Marcus Senyatsi</dc:creator>
  <cp:keywords/>
  <dc:description/>
  <cp:lastModifiedBy>Tshwarelo Mabina</cp:lastModifiedBy>
  <cp:revision>2</cp:revision>
  <dcterms:created xsi:type="dcterms:W3CDTF">2024-06-04T13:30:00Z</dcterms:created>
  <dcterms:modified xsi:type="dcterms:W3CDTF">2024-06-04T13:30:00Z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